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F2C0" w14:textId="77777777" w:rsidR="00040C3A" w:rsidRPr="00386E47" w:rsidRDefault="00D306D1" w:rsidP="00627C9F">
      <w:pPr>
        <w:jc w:val="both"/>
        <w:rPr>
          <w:rFonts w:asciiTheme="majorHAnsi" w:hAnsiTheme="majorHAnsi" w:cs="Univers"/>
          <w:b/>
          <w:bCs/>
          <w:sz w:val="22"/>
          <w:szCs w:val="22"/>
          <w:lang w:val="es-ES_tradnl"/>
        </w:rPr>
      </w:pPr>
      <w:r w:rsidRPr="00386E47">
        <w:rPr>
          <w:rFonts w:asciiTheme="majorHAnsi" w:hAnsiTheme="majorHAnsi"/>
          <w:noProof/>
          <w:sz w:val="22"/>
          <w:szCs w:val="22"/>
          <w:lang w:val="en-US" w:eastAsia="en-US"/>
        </w:rPr>
        <mc:AlternateContent>
          <mc:Choice Requires="wps">
            <w:drawing>
              <wp:anchor distT="0" distB="0" distL="114300" distR="114300" simplePos="0" relativeHeight="251661311" behindDoc="0" locked="0" layoutInCell="1" allowOverlap="1" wp14:anchorId="31B3CBEC" wp14:editId="59A2EA6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B90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86E47">
        <w:rPr>
          <w:rFonts w:asciiTheme="majorHAnsi" w:hAnsiTheme="majorHAnsi"/>
          <w:noProof/>
          <w:sz w:val="22"/>
          <w:szCs w:val="22"/>
          <w:lang w:val="en-US" w:eastAsia="en-US"/>
        </w:rPr>
        <mc:AlternateContent>
          <mc:Choice Requires="wps">
            <w:drawing>
              <wp:anchor distT="0" distB="0" distL="114300" distR="114300" simplePos="0" relativeHeight="251673600" behindDoc="0" locked="0" layoutInCell="1" allowOverlap="1" wp14:anchorId="5A088C06" wp14:editId="14F0AB0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A049C" w14:textId="77777777" w:rsidR="005B3F8C" w:rsidRDefault="005B3F8C" w:rsidP="00AE5488">
                            <w:r>
                              <w:rPr>
                                <w:noProof/>
                                <w:lang w:val="en-US" w:eastAsia="en-US"/>
                              </w:rPr>
                              <w:drawing>
                                <wp:inline distT="0" distB="0" distL="0" distR="0" wp14:anchorId="731FF1DD" wp14:editId="2B8E8F1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88C0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62A049C" w14:textId="77777777" w:rsidR="005B3F8C" w:rsidRDefault="005B3F8C" w:rsidP="00AE5488">
                      <w:r>
                        <w:rPr>
                          <w:noProof/>
                          <w:lang w:val="en-US" w:eastAsia="en-US"/>
                        </w:rPr>
                        <w:drawing>
                          <wp:inline distT="0" distB="0" distL="0" distR="0" wp14:anchorId="731FF1DD" wp14:editId="2B8E8F1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607707E" w14:textId="77777777" w:rsidR="00040C3A" w:rsidRPr="00386E47" w:rsidRDefault="006D2761" w:rsidP="00040C3A">
      <w:pPr>
        <w:tabs>
          <w:tab w:val="center" w:pos="5400"/>
        </w:tabs>
        <w:suppressAutoHyphens/>
        <w:jc w:val="both"/>
        <w:rPr>
          <w:rFonts w:asciiTheme="majorHAnsi" w:hAnsiTheme="majorHAnsi"/>
          <w:sz w:val="22"/>
          <w:szCs w:val="22"/>
          <w:lang w:val="en-US"/>
        </w:rPr>
      </w:pPr>
      <w:r w:rsidRPr="00386E47">
        <w:rPr>
          <w:rFonts w:asciiTheme="majorHAnsi" w:hAnsiTheme="majorHAnsi"/>
          <w:sz w:val="22"/>
          <w:szCs w:val="22"/>
          <w:lang w:val="en-US"/>
        </w:rPr>
        <w:t>dllll</w:t>
      </w:r>
    </w:p>
    <w:p w14:paraId="667342D9" w14:textId="77777777" w:rsidR="00040C3A" w:rsidRPr="00386E47" w:rsidRDefault="00040C3A" w:rsidP="00040C3A">
      <w:pPr>
        <w:tabs>
          <w:tab w:val="center" w:pos="5400"/>
        </w:tabs>
        <w:suppressAutoHyphens/>
        <w:jc w:val="both"/>
        <w:rPr>
          <w:rFonts w:asciiTheme="majorHAnsi" w:hAnsiTheme="majorHAnsi"/>
          <w:sz w:val="22"/>
          <w:szCs w:val="22"/>
          <w:lang w:val="en-US"/>
        </w:rPr>
      </w:pPr>
    </w:p>
    <w:p w14:paraId="6ED87E0F" w14:textId="77777777" w:rsidR="005128E4" w:rsidRPr="00386E47" w:rsidRDefault="005128E4" w:rsidP="00040C3A">
      <w:pPr>
        <w:tabs>
          <w:tab w:val="center" w:pos="5400"/>
        </w:tabs>
        <w:suppressAutoHyphens/>
        <w:rPr>
          <w:rFonts w:asciiTheme="majorHAnsi" w:hAnsiTheme="majorHAnsi"/>
          <w:sz w:val="22"/>
          <w:szCs w:val="22"/>
          <w:lang w:val="en-US"/>
        </w:rPr>
      </w:pPr>
    </w:p>
    <w:p w14:paraId="0268EFA0" w14:textId="77777777" w:rsidR="005128E4" w:rsidRPr="00386E47" w:rsidRDefault="005128E4" w:rsidP="00040C3A">
      <w:pPr>
        <w:tabs>
          <w:tab w:val="center" w:pos="5400"/>
        </w:tabs>
        <w:suppressAutoHyphens/>
        <w:rPr>
          <w:rFonts w:asciiTheme="majorHAnsi" w:hAnsiTheme="majorHAnsi"/>
          <w:sz w:val="22"/>
          <w:szCs w:val="22"/>
          <w:lang w:val="en-US"/>
        </w:rPr>
      </w:pPr>
    </w:p>
    <w:p w14:paraId="0EBD8F71" w14:textId="77777777" w:rsidR="005128E4" w:rsidRPr="00386E47" w:rsidRDefault="005128E4" w:rsidP="00040C3A">
      <w:pPr>
        <w:tabs>
          <w:tab w:val="center" w:pos="5400"/>
        </w:tabs>
        <w:suppressAutoHyphens/>
        <w:rPr>
          <w:rFonts w:asciiTheme="majorHAnsi" w:hAnsiTheme="majorHAnsi"/>
          <w:sz w:val="22"/>
          <w:szCs w:val="22"/>
          <w:lang w:val="en-US"/>
        </w:rPr>
      </w:pPr>
    </w:p>
    <w:p w14:paraId="19348C04" w14:textId="77777777" w:rsidR="00040C3A" w:rsidRPr="00386E47" w:rsidRDefault="00040C3A" w:rsidP="005128E4">
      <w:pPr>
        <w:tabs>
          <w:tab w:val="center" w:pos="5400"/>
        </w:tabs>
        <w:suppressAutoHyphens/>
        <w:jc w:val="center"/>
        <w:rPr>
          <w:rFonts w:asciiTheme="majorHAnsi" w:hAnsiTheme="majorHAnsi"/>
          <w:sz w:val="22"/>
          <w:szCs w:val="22"/>
          <w:lang w:val="en-US"/>
        </w:rPr>
      </w:pPr>
    </w:p>
    <w:p w14:paraId="0FEC3525" w14:textId="77777777" w:rsidR="00040C3A" w:rsidRPr="00386E47" w:rsidRDefault="00040C3A" w:rsidP="005128E4">
      <w:pPr>
        <w:tabs>
          <w:tab w:val="center" w:pos="5400"/>
        </w:tabs>
        <w:suppressAutoHyphens/>
        <w:jc w:val="center"/>
        <w:rPr>
          <w:rFonts w:asciiTheme="majorHAnsi" w:hAnsiTheme="majorHAnsi"/>
          <w:sz w:val="22"/>
          <w:szCs w:val="22"/>
          <w:lang w:val="en-US"/>
        </w:rPr>
      </w:pPr>
    </w:p>
    <w:p w14:paraId="73BF8F0D" w14:textId="77777777" w:rsidR="005B52B0" w:rsidRPr="00386E47" w:rsidRDefault="005B52B0" w:rsidP="005128E4">
      <w:pPr>
        <w:tabs>
          <w:tab w:val="center" w:pos="5400"/>
        </w:tabs>
        <w:suppressAutoHyphens/>
        <w:jc w:val="center"/>
        <w:rPr>
          <w:rFonts w:asciiTheme="majorHAnsi" w:hAnsiTheme="majorHAnsi"/>
          <w:sz w:val="22"/>
          <w:szCs w:val="22"/>
          <w:lang w:val="en-US"/>
        </w:rPr>
      </w:pPr>
    </w:p>
    <w:p w14:paraId="16DFD1EC" w14:textId="77777777" w:rsidR="005B52B0" w:rsidRPr="00386E47" w:rsidRDefault="005B52B0" w:rsidP="005128E4">
      <w:pPr>
        <w:tabs>
          <w:tab w:val="center" w:pos="5400"/>
        </w:tabs>
        <w:suppressAutoHyphens/>
        <w:jc w:val="center"/>
        <w:rPr>
          <w:rFonts w:asciiTheme="majorHAnsi" w:hAnsiTheme="majorHAnsi"/>
          <w:sz w:val="22"/>
          <w:szCs w:val="22"/>
          <w:lang w:val="en-US"/>
        </w:rPr>
      </w:pPr>
    </w:p>
    <w:p w14:paraId="2385094D" w14:textId="77777777" w:rsidR="005B52B0" w:rsidRPr="00386E47" w:rsidRDefault="005B52B0" w:rsidP="005128E4">
      <w:pPr>
        <w:tabs>
          <w:tab w:val="center" w:pos="5400"/>
        </w:tabs>
        <w:suppressAutoHyphens/>
        <w:jc w:val="center"/>
        <w:rPr>
          <w:rFonts w:asciiTheme="majorHAnsi" w:hAnsiTheme="majorHAnsi"/>
          <w:sz w:val="22"/>
          <w:szCs w:val="22"/>
          <w:lang w:val="en-US"/>
        </w:rPr>
      </w:pPr>
    </w:p>
    <w:p w14:paraId="41C29C26" w14:textId="77777777" w:rsidR="00040C3A" w:rsidRPr="00386E47" w:rsidRDefault="00040C3A" w:rsidP="00040C3A">
      <w:pPr>
        <w:tabs>
          <w:tab w:val="center" w:pos="5400"/>
        </w:tabs>
        <w:suppressAutoHyphens/>
        <w:jc w:val="center"/>
        <w:rPr>
          <w:rFonts w:asciiTheme="majorHAnsi" w:hAnsiTheme="majorHAnsi"/>
          <w:sz w:val="22"/>
          <w:szCs w:val="22"/>
          <w:lang w:val="en-US"/>
        </w:rPr>
      </w:pPr>
    </w:p>
    <w:p w14:paraId="61ED3B17" w14:textId="77777777" w:rsidR="00040C3A" w:rsidRPr="00386E47" w:rsidRDefault="00040C3A" w:rsidP="00040C3A">
      <w:pPr>
        <w:tabs>
          <w:tab w:val="center" w:pos="5400"/>
        </w:tabs>
        <w:suppressAutoHyphens/>
        <w:jc w:val="center"/>
        <w:rPr>
          <w:rFonts w:asciiTheme="majorHAnsi" w:hAnsiTheme="majorHAnsi"/>
          <w:sz w:val="22"/>
          <w:szCs w:val="22"/>
          <w:lang w:val="en-US"/>
        </w:rPr>
      </w:pPr>
    </w:p>
    <w:p w14:paraId="6500C0AA" w14:textId="77777777" w:rsidR="00040C3A" w:rsidRPr="00386E47" w:rsidRDefault="003D3BC2" w:rsidP="00040C3A">
      <w:pPr>
        <w:tabs>
          <w:tab w:val="center" w:pos="5400"/>
        </w:tabs>
        <w:suppressAutoHyphens/>
        <w:jc w:val="center"/>
        <w:rPr>
          <w:rFonts w:asciiTheme="majorHAnsi" w:hAnsiTheme="majorHAnsi"/>
          <w:sz w:val="22"/>
          <w:szCs w:val="22"/>
          <w:lang w:val="en-US"/>
        </w:rPr>
      </w:pPr>
      <w:r w:rsidRPr="00386E47">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6FDD239F" wp14:editId="11AC77EF">
                <wp:simplePos x="0" y="0"/>
                <wp:positionH relativeFrom="column">
                  <wp:posOffset>1352550</wp:posOffset>
                </wp:positionH>
                <wp:positionV relativeFrom="paragraph">
                  <wp:posOffset>109220</wp:posOffset>
                </wp:positionV>
                <wp:extent cx="4441190" cy="23717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371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AE350" w14:textId="77777777" w:rsidR="005B3F8C" w:rsidRPr="004E2649" w:rsidRDefault="005B3F8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187</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20</w:t>
                            </w:r>
                          </w:p>
                          <w:p w14:paraId="19CF4FB4" w14:textId="77777777" w:rsidR="005B3F8C" w:rsidRPr="004E2649" w:rsidRDefault="005B3F8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12.204</w:t>
                            </w:r>
                          </w:p>
                          <w:p w14:paraId="4131657C" w14:textId="77777777" w:rsidR="005B3F8C" w:rsidRPr="0010736F" w:rsidRDefault="005B3F8C" w:rsidP="0006550A">
                            <w:pPr>
                              <w:spacing w:line="276" w:lineRule="auto"/>
                              <w:jc w:val="both"/>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r>
                              <w:rPr>
                                <w:rFonts w:asciiTheme="majorHAnsi" w:hAnsiTheme="majorHAnsi" w:cs="Arial"/>
                                <w:color w:val="0D0D0D" w:themeColor="text1" w:themeTint="F2"/>
                                <w:szCs w:val="22"/>
                                <w:lang w:val="es-ES_tradnl"/>
                              </w:rPr>
                              <w:t>Y FONDO</w:t>
                            </w:r>
                          </w:p>
                          <w:p w14:paraId="1F0F2FA0" w14:textId="77777777" w:rsidR="005B3F8C" w:rsidRPr="0010736F" w:rsidRDefault="005B3F8C" w:rsidP="0006550A">
                            <w:pPr>
                              <w:spacing w:line="276" w:lineRule="auto"/>
                              <w:jc w:val="both"/>
                              <w:rPr>
                                <w:rFonts w:asciiTheme="majorHAnsi" w:hAnsiTheme="majorHAnsi" w:cs="Arial"/>
                                <w:color w:val="0D0D0D" w:themeColor="text1" w:themeTint="F2"/>
                                <w:szCs w:val="22"/>
                                <w:lang w:val="es-ES_tradnl"/>
                              </w:rPr>
                            </w:pPr>
                            <w:bookmarkStart w:id="0" w:name="_ftnref1"/>
                          </w:p>
                          <w:p w14:paraId="24A2BDFB" w14:textId="77777777" w:rsidR="005B3F8C" w:rsidRDefault="005B3F8C" w:rsidP="0006550A">
                            <w:pPr>
                              <w:spacing w:line="276" w:lineRule="auto"/>
                              <w:jc w:val="both"/>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ASOCIACI</w:t>
                            </w:r>
                            <w:r>
                              <w:rPr>
                                <w:rFonts w:asciiTheme="majorHAnsi" w:hAnsiTheme="majorHAnsi" w:cs="Arial"/>
                                <w:color w:val="0D0D0D" w:themeColor="text1" w:themeTint="F2"/>
                                <w:szCs w:val="22"/>
                                <w:lang w:val="es-US"/>
                              </w:rPr>
                              <w:t>Ó</w:t>
                            </w:r>
                            <w:r>
                              <w:rPr>
                                <w:rFonts w:asciiTheme="majorHAnsi" w:hAnsiTheme="majorHAnsi" w:cs="Arial"/>
                                <w:color w:val="0D0D0D" w:themeColor="text1" w:themeTint="F2"/>
                                <w:szCs w:val="22"/>
                                <w:lang w:val="es-ES_tradnl"/>
                              </w:rPr>
                              <w:t>N CIVIL MEMORIA ACTIVA</w:t>
                            </w:r>
                          </w:p>
                          <w:p w14:paraId="125F0A26" w14:textId="77777777" w:rsidR="005B3F8C" w:rsidRDefault="005B3F8C" w:rsidP="0006550A">
                            <w:pPr>
                              <w:spacing w:line="276" w:lineRule="auto"/>
                              <w:jc w:val="both"/>
                              <w:rPr>
                                <w:rFonts w:asciiTheme="majorHAnsi" w:hAnsiTheme="majorHAnsi" w:cs="Arial"/>
                                <w:color w:val="0D0D0D" w:themeColor="text1" w:themeTint="F2"/>
                                <w:szCs w:val="22"/>
                                <w:lang w:val="es-AR"/>
                              </w:rPr>
                            </w:pPr>
                            <w:r w:rsidRPr="009F70EA">
                              <w:rPr>
                                <w:rFonts w:asciiTheme="majorHAnsi" w:hAnsiTheme="majorHAnsi" w:cs="Arial"/>
                                <w:color w:val="0D0D0D" w:themeColor="text1" w:themeTint="F2"/>
                                <w:szCs w:val="22"/>
                                <w:lang w:val="es-AR"/>
                              </w:rPr>
                              <w:t>(</w:t>
                            </w:r>
                            <w:r>
                              <w:rPr>
                                <w:rFonts w:asciiTheme="majorHAnsi" w:hAnsiTheme="majorHAnsi" w:cs="Arial"/>
                                <w:color w:val="0D0D0D" w:themeColor="text1" w:themeTint="F2"/>
                                <w:szCs w:val="22"/>
                                <w:lang w:val="es-AR"/>
                              </w:rPr>
                              <w:t>VÍCTIMAS Y FAMILIARES DE LAS VÍC</w:t>
                            </w:r>
                            <w:r w:rsidRPr="009F70EA">
                              <w:rPr>
                                <w:rFonts w:asciiTheme="majorHAnsi" w:hAnsiTheme="majorHAnsi" w:cs="Arial"/>
                                <w:color w:val="0D0D0D" w:themeColor="text1" w:themeTint="F2"/>
                                <w:szCs w:val="22"/>
                                <w:lang w:val="es-AR"/>
                              </w:rPr>
                              <w:t>TIMAS DEL ATENTADO TERRORISTA DEL 18 DE JULIO D</w:t>
                            </w:r>
                            <w:r>
                              <w:rPr>
                                <w:rFonts w:asciiTheme="majorHAnsi" w:hAnsiTheme="majorHAnsi" w:cs="Arial"/>
                                <w:color w:val="0D0D0D" w:themeColor="text1" w:themeTint="F2"/>
                                <w:szCs w:val="22"/>
                                <w:lang w:val="es-AR"/>
                              </w:rPr>
                              <w:t>E 1994 A LA SEDE DE LA ASOCIACIÓ</w:t>
                            </w:r>
                            <w:r w:rsidRPr="009F70EA">
                              <w:rPr>
                                <w:rFonts w:asciiTheme="majorHAnsi" w:hAnsiTheme="majorHAnsi" w:cs="Arial"/>
                                <w:color w:val="0D0D0D" w:themeColor="text1" w:themeTint="F2"/>
                                <w:szCs w:val="22"/>
                                <w:lang w:val="es-AR"/>
                              </w:rPr>
                              <w:t>N MUTUAL ISRAELITA-ARGENTINA</w:t>
                            </w:r>
                            <w:r>
                              <w:rPr>
                                <w:rFonts w:asciiTheme="majorHAnsi" w:hAnsiTheme="majorHAnsi" w:cs="Arial"/>
                                <w:color w:val="0D0D0D" w:themeColor="text1" w:themeTint="F2"/>
                                <w:szCs w:val="22"/>
                                <w:lang w:val="es-AR"/>
                              </w:rPr>
                              <w:t xml:space="preserve">) </w:t>
                            </w:r>
                          </w:p>
                          <w:p w14:paraId="6314FD9D" w14:textId="77777777" w:rsidR="005B3F8C" w:rsidRPr="009F70EA" w:rsidRDefault="005B3F8C" w:rsidP="0006550A">
                            <w:pPr>
                              <w:spacing w:line="276" w:lineRule="auto"/>
                              <w:jc w:val="both"/>
                              <w:rPr>
                                <w:rFonts w:asciiTheme="majorHAnsi" w:hAnsiTheme="majorHAnsi" w:cs="Arial"/>
                                <w:color w:val="0D0D0D" w:themeColor="text1" w:themeTint="F2"/>
                                <w:szCs w:val="22"/>
                                <w:lang w:val="es-AR"/>
                              </w:rPr>
                            </w:pPr>
                          </w:p>
                          <w:bookmarkEnd w:id="0"/>
                          <w:p w14:paraId="37525783" w14:textId="77777777" w:rsidR="005B3F8C" w:rsidRPr="0010736F" w:rsidRDefault="005B3F8C" w:rsidP="0006550A">
                            <w:pPr>
                              <w:spacing w:line="276" w:lineRule="auto"/>
                              <w:jc w:val="both"/>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6CF41082" w14:textId="77777777" w:rsidR="005B3F8C" w:rsidRPr="00AE5488" w:rsidRDefault="005B3F8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D239F" id="Text Box 5" o:spid="_x0000_s1027" type="#_x0000_t202" style="position:absolute;left:0;text-align:left;margin-left:106.5pt;margin-top:8.6pt;width:349.7pt;height:18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" filled="f" stroked="f" strokeweight=".5pt">
                <v:textbox>
                  <w:txbxContent>
                    <w:p w14:paraId="605AE350" w14:textId="77777777" w:rsidR="005B3F8C" w:rsidRPr="004E2649" w:rsidRDefault="005B3F8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187</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20</w:t>
                      </w:r>
                    </w:p>
                    <w:p w14:paraId="19CF4FB4" w14:textId="77777777" w:rsidR="005B3F8C" w:rsidRPr="004E2649" w:rsidRDefault="005B3F8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12.204</w:t>
                      </w:r>
                    </w:p>
                    <w:p w14:paraId="4131657C" w14:textId="77777777" w:rsidR="005B3F8C" w:rsidRPr="0010736F" w:rsidRDefault="005B3F8C" w:rsidP="0006550A">
                      <w:pPr>
                        <w:spacing w:line="276" w:lineRule="auto"/>
                        <w:jc w:val="both"/>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r>
                        <w:rPr>
                          <w:rFonts w:asciiTheme="majorHAnsi" w:hAnsiTheme="majorHAnsi" w:cs="Arial"/>
                          <w:color w:val="0D0D0D" w:themeColor="text1" w:themeTint="F2"/>
                          <w:szCs w:val="22"/>
                          <w:lang w:val="es-ES_tradnl"/>
                        </w:rPr>
                        <w:t>Y FONDO</w:t>
                      </w:r>
                    </w:p>
                    <w:p w14:paraId="1F0F2FA0" w14:textId="77777777" w:rsidR="005B3F8C" w:rsidRPr="0010736F" w:rsidRDefault="005B3F8C" w:rsidP="0006550A">
                      <w:pPr>
                        <w:spacing w:line="276" w:lineRule="auto"/>
                        <w:jc w:val="both"/>
                        <w:rPr>
                          <w:rFonts w:asciiTheme="majorHAnsi" w:hAnsiTheme="majorHAnsi" w:cs="Arial"/>
                          <w:color w:val="0D0D0D" w:themeColor="text1" w:themeTint="F2"/>
                          <w:szCs w:val="22"/>
                          <w:lang w:val="es-ES_tradnl"/>
                        </w:rPr>
                      </w:pPr>
                      <w:bookmarkStart w:id="1" w:name="_ftnref1"/>
                    </w:p>
                    <w:p w14:paraId="24A2BDFB" w14:textId="77777777" w:rsidR="005B3F8C" w:rsidRDefault="005B3F8C" w:rsidP="0006550A">
                      <w:pPr>
                        <w:spacing w:line="276" w:lineRule="auto"/>
                        <w:jc w:val="both"/>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ASOCIACI</w:t>
                      </w:r>
                      <w:r>
                        <w:rPr>
                          <w:rFonts w:asciiTheme="majorHAnsi" w:hAnsiTheme="majorHAnsi" w:cs="Arial"/>
                          <w:color w:val="0D0D0D" w:themeColor="text1" w:themeTint="F2"/>
                          <w:szCs w:val="22"/>
                          <w:lang w:val="es-US"/>
                        </w:rPr>
                        <w:t>Ó</w:t>
                      </w:r>
                      <w:r>
                        <w:rPr>
                          <w:rFonts w:asciiTheme="majorHAnsi" w:hAnsiTheme="majorHAnsi" w:cs="Arial"/>
                          <w:color w:val="0D0D0D" w:themeColor="text1" w:themeTint="F2"/>
                          <w:szCs w:val="22"/>
                          <w:lang w:val="es-ES_tradnl"/>
                        </w:rPr>
                        <w:t>N CIVIL MEMORIA ACTIVA</w:t>
                      </w:r>
                    </w:p>
                    <w:p w14:paraId="125F0A26" w14:textId="77777777" w:rsidR="005B3F8C" w:rsidRDefault="005B3F8C" w:rsidP="0006550A">
                      <w:pPr>
                        <w:spacing w:line="276" w:lineRule="auto"/>
                        <w:jc w:val="both"/>
                        <w:rPr>
                          <w:rFonts w:asciiTheme="majorHAnsi" w:hAnsiTheme="majorHAnsi" w:cs="Arial"/>
                          <w:color w:val="0D0D0D" w:themeColor="text1" w:themeTint="F2"/>
                          <w:szCs w:val="22"/>
                          <w:lang w:val="es-AR"/>
                        </w:rPr>
                      </w:pPr>
                      <w:r w:rsidRPr="009F70EA">
                        <w:rPr>
                          <w:rFonts w:asciiTheme="majorHAnsi" w:hAnsiTheme="majorHAnsi" w:cs="Arial"/>
                          <w:color w:val="0D0D0D" w:themeColor="text1" w:themeTint="F2"/>
                          <w:szCs w:val="22"/>
                          <w:lang w:val="es-AR"/>
                        </w:rPr>
                        <w:t>(</w:t>
                      </w:r>
                      <w:r>
                        <w:rPr>
                          <w:rFonts w:asciiTheme="majorHAnsi" w:hAnsiTheme="majorHAnsi" w:cs="Arial"/>
                          <w:color w:val="0D0D0D" w:themeColor="text1" w:themeTint="F2"/>
                          <w:szCs w:val="22"/>
                          <w:lang w:val="es-AR"/>
                        </w:rPr>
                        <w:t>VÍCTIMAS Y FAMILIARES DE LAS VÍC</w:t>
                      </w:r>
                      <w:r w:rsidRPr="009F70EA">
                        <w:rPr>
                          <w:rFonts w:asciiTheme="majorHAnsi" w:hAnsiTheme="majorHAnsi" w:cs="Arial"/>
                          <w:color w:val="0D0D0D" w:themeColor="text1" w:themeTint="F2"/>
                          <w:szCs w:val="22"/>
                          <w:lang w:val="es-AR"/>
                        </w:rPr>
                        <w:t>TIMAS DEL ATENTADO TERRORISTA DEL 18 DE JULIO D</w:t>
                      </w:r>
                      <w:r>
                        <w:rPr>
                          <w:rFonts w:asciiTheme="majorHAnsi" w:hAnsiTheme="majorHAnsi" w:cs="Arial"/>
                          <w:color w:val="0D0D0D" w:themeColor="text1" w:themeTint="F2"/>
                          <w:szCs w:val="22"/>
                          <w:lang w:val="es-AR"/>
                        </w:rPr>
                        <w:t>E 1994 A LA SEDE DE LA ASOCIACIÓ</w:t>
                      </w:r>
                      <w:r w:rsidRPr="009F70EA">
                        <w:rPr>
                          <w:rFonts w:asciiTheme="majorHAnsi" w:hAnsiTheme="majorHAnsi" w:cs="Arial"/>
                          <w:color w:val="0D0D0D" w:themeColor="text1" w:themeTint="F2"/>
                          <w:szCs w:val="22"/>
                          <w:lang w:val="es-AR"/>
                        </w:rPr>
                        <w:t>N MUTUAL ISRAELITA-ARGENTINA</w:t>
                      </w:r>
                      <w:r>
                        <w:rPr>
                          <w:rFonts w:asciiTheme="majorHAnsi" w:hAnsiTheme="majorHAnsi" w:cs="Arial"/>
                          <w:color w:val="0D0D0D" w:themeColor="text1" w:themeTint="F2"/>
                          <w:szCs w:val="22"/>
                          <w:lang w:val="es-AR"/>
                        </w:rPr>
                        <w:t xml:space="preserve">) </w:t>
                      </w:r>
                    </w:p>
                    <w:p w14:paraId="6314FD9D" w14:textId="77777777" w:rsidR="005B3F8C" w:rsidRPr="009F70EA" w:rsidRDefault="005B3F8C" w:rsidP="0006550A">
                      <w:pPr>
                        <w:spacing w:line="276" w:lineRule="auto"/>
                        <w:jc w:val="both"/>
                        <w:rPr>
                          <w:rFonts w:asciiTheme="majorHAnsi" w:hAnsiTheme="majorHAnsi" w:cs="Arial"/>
                          <w:color w:val="0D0D0D" w:themeColor="text1" w:themeTint="F2"/>
                          <w:szCs w:val="22"/>
                          <w:lang w:val="es-AR"/>
                        </w:rPr>
                      </w:pPr>
                    </w:p>
                    <w:bookmarkEnd w:id="1"/>
                    <w:p w14:paraId="37525783" w14:textId="77777777" w:rsidR="005B3F8C" w:rsidRPr="0010736F" w:rsidRDefault="005B3F8C" w:rsidP="0006550A">
                      <w:pPr>
                        <w:spacing w:line="276" w:lineRule="auto"/>
                        <w:jc w:val="both"/>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6CF41082" w14:textId="77777777" w:rsidR="005B3F8C" w:rsidRPr="00AE5488" w:rsidRDefault="005B3F8C" w:rsidP="007A5817">
                      <w:pPr>
                        <w:rPr>
                          <w:color w:val="0D0D0D" w:themeColor="text1" w:themeTint="F2"/>
                          <w:lang w:val="es-ES_tradnl"/>
                        </w:rPr>
                      </w:pPr>
                    </w:p>
                  </w:txbxContent>
                </v:textbox>
              </v:shape>
            </w:pict>
          </mc:Fallback>
        </mc:AlternateContent>
      </w:r>
      <w:r w:rsidR="004E2649" w:rsidRPr="00386E47">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2081D854" wp14:editId="3054D37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0B1F3" w14:textId="77777777" w:rsidR="005B3F8C" w:rsidRPr="004E2649" w:rsidRDefault="005B3F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OEA/Ser.L/V/II.176</w:t>
                            </w:r>
                          </w:p>
                          <w:p w14:paraId="4897BB9A" w14:textId="77777777" w:rsidR="005B3F8C" w:rsidRPr="004E2649" w:rsidRDefault="005B3F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200</w:t>
                            </w:r>
                          </w:p>
                          <w:p w14:paraId="0004D466" w14:textId="77777777" w:rsidR="005B3F8C" w:rsidRPr="00644B93" w:rsidRDefault="005B3F8C" w:rsidP="007A5817">
                            <w:pPr>
                              <w:spacing w:line="276" w:lineRule="auto"/>
                              <w:jc w:val="right"/>
                              <w:rPr>
                                <w:rFonts w:asciiTheme="minorHAnsi" w:hAnsiTheme="minorHAnsi"/>
                                <w:color w:val="FFFFFF" w:themeColor="background1"/>
                                <w:sz w:val="22"/>
                                <w:lang w:val="es-AR"/>
                              </w:rPr>
                            </w:pPr>
                            <w:r w:rsidRPr="00644B93">
                              <w:rPr>
                                <w:rFonts w:asciiTheme="minorHAnsi" w:hAnsiTheme="minorHAnsi"/>
                                <w:color w:val="FFFFFF" w:themeColor="background1"/>
                                <w:sz w:val="22"/>
                                <w:lang w:val="es-AR"/>
                              </w:rPr>
                              <w:t>14 de julio de 2020</w:t>
                            </w:r>
                          </w:p>
                          <w:p w14:paraId="5454EB2D" w14:textId="77777777" w:rsidR="005B3F8C" w:rsidRPr="00384A58" w:rsidRDefault="005B3F8C" w:rsidP="007A5817">
                            <w:pPr>
                              <w:spacing w:line="276" w:lineRule="auto"/>
                              <w:jc w:val="right"/>
                              <w:rPr>
                                <w:rFonts w:asciiTheme="minorHAnsi" w:hAnsiTheme="minorHAnsi"/>
                                <w:color w:val="FFFFFF" w:themeColor="background1"/>
                                <w:sz w:val="22"/>
                                <w:lang w:val="es-AR"/>
                              </w:rPr>
                            </w:pPr>
                            <w:r w:rsidRPr="00384A58">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1D85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060B1F3" w14:textId="77777777" w:rsidR="005B3F8C" w:rsidRPr="004E2649" w:rsidRDefault="005B3F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OEA/Ser.L/V/II.176</w:t>
                      </w:r>
                    </w:p>
                    <w:p w14:paraId="4897BB9A" w14:textId="77777777" w:rsidR="005B3F8C" w:rsidRPr="004E2649" w:rsidRDefault="005B3F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200</w:t>
                      </w:r>
                    </w:p>
                    <w:p w14:paraId="0004D466" w14:textId="77777777" w:rsidR="005B3F8C" w:rsidRPr="00644B93" w:rsidRDefault="005B3F8C" w:rsidP="007A5817">
                      <w:pPr>
                        <w:spacing w:line="276" w:lineRule="auto"/>
                        <w:jc w:val="right"/>
                        <w:rPr>
                          <w:rFonts w:asciiTheme="minorHAnsi" w:hAnsiTheme="minorHAnsi"/>
                          <w:color w:val="FFFFFF" w:themeColor="background1"/>
                          <w:sz w:val="22"/>
                          <w:lang w:val="es-AR"/>
                        </w:rPr>
                      </w:pPr>
                      <w:r w:rsidRPr="00644B93">
                        <w:rPr>
                          <w:rFonts w:asciiTheme="minorHAnsi" w:hAnsiTheme="minorHAnsi"/>
                          <w:color w:val="FFFFFF" w:themeColor="background1"/>
                          <w:sz w:val="22"/>
                          <w:lang w:val="es-AR"/>
                        </w:rPr>
                        <w:t>14 de julio de 2020</w:t>
                      </w:r>
                    </w:p>
                    <w:p w14:paraId="5454EB2D" w14:textId="77777777" w:rsidR="005B3F8C" w:rsidRPr="00384A58" w:rsidRDefault="005B3F8C" w:rsidP="007A5817">
                      <w:pPr>
                        <w:spacing w:line="276" w:lineRule="auto"/>
                        <w:jc w:val="right"/>
                        <w:rPr>
                          <w:rFonts w:asciiTheme="minorHAnsi" w:hAnsiTheme="minorHAnsi"/>
                          <w:color w:val="FFFFFF" w:themeColor="background1"/>
                          <w:sz w:val="22"/>
                          <w:lang w:val="es-AR"/>
                        </w:rPr>
                      </w:pPr>
                      <w:r w:rsidRPr="00384A58">
                        <w:rPr>
                          <w:rFonts w:asciiTheme="minorHAnsi" w:hAnsiTheme="minorHAnsi"/>
                          <w:color w:val="FFFFFF" w:themeColor="background1"/>
                          <w:sz w:val="22"/>
                          <w:lang w:val="es-AR"/>
                        </w:rPr>
                        <w:t>Original: español</w:t>
                      </w:r>
                    </w:p>
                  </w:txbxContent>
                </v:textbox>
              </v:shape>
            </w:pict>
          </mc:Fallback>
        </mc:AlternateContent>
      </w:r>
    </w:p>
    <w:p w14:paraId="68EC1565" w14:textId="77777777" w:rsidR="00040C3A" w:rsidRPr="00386E47" w:rsidRDefault="00040C3A" w:rsidP="00040C3A">
      <w:pPr>
        <w:tabs>
          <w:tab w:val="center" w:pos="5400"/>
        </w:tabs>
        <w:suppressAutoHyphens/>
        <w:jc w:val="center"/>
        <w:rPr>
          <w:rFonts w:asciiTheme="majorHAnsi" w:hAnsiTheme="majorHAnsi"/>
          <w:sz w:val="22"/>
          <w:szCs w:val="22"/>
          <w:lang w:val="en-US"/>
        </w:rPr>
      </w:pPr>
    </w:p>
    <w:p w14:paraId="43FDA326" w14:textId="77777777" w:rsidR="00040C3A" w:rsidRPr="00386E47" w:rsidRDefault="00040C3A" w:rsidP="00040C3A">
      <w:pPr>
        <w:tabs>
          <w:tab w:val="center" w:pos="5400"/>
        </w:tabs>
        <w:suppressAutoHyphens/>
        <w:jc w:val="center"/>
        <w:rPr>
          <w:rFonts w:asciiTheme="majorHAnsi" w:hAnsiTheme="majorHAnsi"/>
          <w:sz w:val="22"/>
          <w:szCs w:val="22"/>
          <w:lang w:val="en-US"/>
        </w:rPr>
      </w:pPr>
    </w:p>
    <w:p w14:paraId="7468D260" w14:textId="77777777" w:rsidR="00040C3A" w:rsidRPr="00386E47" w:rsidRDefault="00040C3A" w:rsidP="00040C3A">
      <w:pPr>
        <w:tabs>
          <w:tab w:val="center" w:pos="5400"/>
        </w:tabs>
        <w:suppressAutoHyphens/>
        <w:jc w:val="center"/>
        <w:rPr>
          <w:rFonts w:asciiTheme="majorHAnsi" w:hAnsiTheme="majorHAnsi" w:cs="Arial"/>
          <w:sz w:val="22"/>
          <w:szCs w:val="22"/>
          <w:lang w:val="en-US"/>
        </w:rPr>
      </w:pPr>
    </w:p>
    <w:p w14:paraId="745BAA74" w14:textId="77777777" w:rsidR="00040C3A" w:rsidRPr="00386E47" w:rsidRDefault="00040C3A" w:rsidP="00040C3A">
      <w:pPr>
        <w:tabs>
          <w:tab w:val="center" w:pos="5400"/>
        </w:tabs>
        <w:suppressAutoHyphens/>
        <w:jc w:val="center"/>
        <w:rPr>
          <w:rFonts w:asciiTheme="majorHAnsi" w:hAnsiTheme="majorHAnsi"/>
          <w:sz w:val="22"/>
          <w:szCs w:val="22"/>
          <w:lang w:val="en-US"/>
        </w:rPr>
      </w:pPr>
    </w:p>
    <w:p w14:paraId="7BA70E76" w14:textId="77777777" w:rsidR="00040C3A" w:rsidRPr="00386E47" w:rsidRDefault="00040C3A" w:rsidP="00040C3A">
      <w:pPr>
        <w:tabs>
          <w:tab w:val="center" w:pos="5400"/>
        </w:tabs>
        <w:suppressAutoHyphens/>
        <w:jc w:val="center"/>
        <w:rPr>
          <w:rFonts w:asciiTheme="majorHAnsi" w:hAnsiTheme="majorHAnsi"/>
          <w:sz w:val="22"/>
          <w:szCs w:val="22"/>
          <w:lang w:val="en-US"/>
        </w:rPr>
      </w:pPr>
    </w:p>
    <w:p w14:paraId="52E2BB7A" w14:textId="77777777" w:rsidR="00040C3A" w:rsidRPr="00386E47" w:rsidRDefault="00040C3A" w:rsidP="00040C3A">
      <w:pPr>
        <w:tabs>
          <w:tab w:val="center" w:pos="5400"/>
        </w:tabs>
        <w:suppressAutoHyphens/>
        <w:jc w:val="center"/>
        <w:rPr>
          <w:rFonts w:asciiTheme="majorHAnsi" w:hAnsiTheme="majorHAnsi"/>
          <w:sz w:val="22"/>
          <w:szCs w:val="22"/>
          <w:lang w:val="en-US"/>
        </w:rPr>
      </w:pPr>
    </w:p>
    <w:p w14:paraId="5F3F25D7" w14:textId="77777777" w:rsidR="00040C3A" w:rsidRPr="00386E47" w:rsidRDefault="00040C3A" w:rsidP="00040C3A">
      <w:pPr>
        <w:tabs>
          <w:tab w:val="center" w:pos="5400"/>
        </w:tabs>
        <w:suppressAutoHyphens/>
        <w:jc w:val="center"/>
        <w:rPr>
          <w:rFonts w:asciiTheme="majorHAnsi" w:hAnsiTheme="majorHAnsi"/>
          <w:sz w:val="22"/>
          <w:szCs w:val="22"/>
          <w:lang w:val="en-US"/>
        </w:rPr>
      </w:pPr>
    </w:p>
    <w:p w14:paraId="149B7FE0" w14:textId="77777777" w:rsidR="005128E4" w:rsidRPr="00386E47" w:rsidRDefault="005128E4" w:rsidP="00040C3A">
      <w:pPr>
        <w:tabs>
          <w:tab w:val="center" w:pos="5400"/>
        </w:tabs>
        <w:suppressAutoHyphens/>
        <w:jc w:val="center"/>
        <w:rPr>
          <w:rFonts w:asciiTheme="majorHAnsi" w:hAnsiTheme="majorHAnsi"/>
          <w:sz w:val="22"/>
          <w:szCs w:val="22"/>
          <w:lang w:val="en-US"/>
        </w:rPr>
      </w:pPr>
    </w:p>
    <w:p w14:paraId="2C8574E4" w14:textId="77777777" w:rsidR="00040C3A" w:rsidRPr="00386E47" w:rsidRDefault="00040C3A" w:rsidP="00040C3A">
      <w:pPr>
        <w:tabs>
          <w:tab w:val="center" w:pos="5400"/>
        </w:tabs>
        <w:suppressAutoHyphens/>
        <w:jc w:val="center"/>
        <w:rPr>
          <w:rFonts w:asciiTheme="majorHAnsi" w:hAnsiTheme="majorHAnsi"/>
          <w:sz w:val="22"/>
          <w:szCs w:val="22"/>
          <w:lang w:val="en-US"/>
        </w:rPr>
      </w:pPr>
    </w:p>
    <w:p w14:paraId="16E2115E" w14:textId="77777777" w:rsidR="005128E4" w:rsidRPr="00386E47" w:rsidRDefault="005128E4" w:rsidP="00040C3A">
      <w:pPr>
        <w:tabs>
          <w:tab w:val="center" w:pos="5400"/>
        </w:tabs>
        <w:suppressAutoHyphens/>
        <w:jc w:val="center"/>
        <w:rPr>
          <w:rFonts w:asciiTheme="majorHAnsi" w:hAnsiTheme="majorHAnsi"/>
          <w:sz w:val="22"/>
          <w:szCs w:val="22"/>
          <w:lang w:val="en-US"/>
        </w:rPr>
      </w:pPr>
    </w:p>
    <w:p w14:paraId="79C10203" w14:textId="77777777" w:rsidR="005128E4" w:rsidRPr="00386E47" w:rsidRDefault="005128E4" w:rsidP="00040C3A">
      <w:pPr>
        <w:tabs>
          <w:tab w:val="center" w:pos="5400"/>
        </w:tabs>
        <w:suppressAutoHyphens/>
        <w:jc w:val="center"/>
        <w:rPr>
          <w:rFonts w:asciiTheme="majorHAnsi" w:hAnsiTheme="majorHAnsi"/>
          <w:sz w:val="22"/>
          <w:szCs w:val="22"/>
          <w:lang w:val="en-US"/>
        </w:rPr>
      </w:pPr>
    </w:p>
    <w:p w14:paraId="7C771623" w14:textId="77777777" w:rsidR="005128E4" w:rsidRPr="00386E47" w:rsidRDefault="005128E4" w:rsidP="00040C3A">
      <w:pPr>
        <w:tabs>
          <w:tab w:val="center" w:pos="5400"/>
        </w:tabs>
        <w:suppressAutoHyphens/>
        <w:jc w:val="center"/>
        <w:rPr>
          <w:rFonts w:asciiTheme="majorHAnsi" w:hAnsiTheme="majorHAnsi"/>
          <w:sz w:val="22"/>
          <w:szCs w:val="22"/>
          <w:lang w:val="en-US"/>
        </w:rPr>
      </w:pPr>
    </w:p>
    <w:p w14:paraId="7F993007" w14:textId="77777777" w:rsidR="00040C3A" w:rsidRPr="00386E47" w:rsidRDefault="00040C3A" w:rsidP="00040C3A">
      <w:pPr>
        <w:tabs>
          <w:tab w:val="center" w:pos="5400"/>
        </w:tabs>
        <w:suppressAutoHyphens/>
        <w:jc w:val="center"/>
        <w:rPr>
          <w:rFonts w:asciiTheme="majorHAnsi" w:hAnsiTheme="majorHAnsi"/>
          <w:sz w:val="22"/>
          <w:szCs w:val="22"/>
          <w:lang w:val="en-US"/>
        </w:rPr>
      </w:pPr>
    </w:p>
    <w:p w14:paraId="32D46B5D" w14:textId="77777777" w:rsidR="00040C3A" w:rsidRPr="00386E47" w:rsidRDefault="00040C3A" w:rsidP="00040C3A">
      <w:pPr>
        <w:tabs>
          <w:tab w:val="center" w:pos="5400"/>
        </w:tabs>
        <w:suppressAutoHyphens/>
        <w:jc w:val="center"/>
        <w:rPr>
          <w:rFonts w:asciiTheme="majorHAnsi" w:hAnsiTheme="majorHAnsi"/>
          <w:sz w:val="22"/>
          <w:szCs w:val="22"/>
          <w:lang w:val="en-US"/>
        </w:rPr>
      </w:pPr>
    </w:p>
    <w:p w14:paraId="1A279B24"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7C776B12"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0C539E2F"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7EE8224C"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2A78CAC7"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7707EFDC"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0689B446"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6BD5A3E4"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7DFD4016"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7790794F"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7C8ACC7F"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73D42DA1"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2DE75F51"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20407A93"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64AB0C34" w14:textId="77777777" w:rsidR="00A50FCF" w:rsidRPr="00386E47" w:rsidRDefault="0090270B" w:rsidP="00040C3A">
      <w:pPr>
        <w:tabs>
          <w:tab w:val="center" w:pos="5400"/>
        </w:tabs>
        <w:suppressAutoHyphens/>
        <w:jc w:val="center"/>
        <w:rPr>
          <w:rFonts w:asciiTheme="majorHAnsi" w:hAnsiTheme="majorHAnsi"/>
          <w:sz w:val="18"/>
          <w:szCs w:val="22"/>
          <w:lang w:val="en-US"/>
        </w:rPr>
      </w:pPr>
      <w:r w:rsidRPr="00386E47">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4140C0D0" wp14:editId="6C31C3D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A8AAE" w14:textId="77777777" w:rsidR="005B3F8C" w:rsidRPr="00890650" w:rsidRDefault="005B3F8C"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2179 celebrada el 14</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 xml:space="preserve">julio </w:t>
                            </w:r>
                            <w:r w:rsidRPr="00890650">
                              <w:rPr>
                                <w:rFonts w:asciiTheme="majorHAnsi" w:hAnsiTheme="majorHAnsi"/>
                                <w:color w:val="0D0D0D" w:themeColor="text1" w:themeTint="F2"/>
                                <w:sz w:val="18"/>
                                <w:szCs w:val="20"/>
                                <w:lang w:val="es-ES"/>
                              </w:rPr>
                              <w:t>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 xml:space="preserve">176 </w:t>
                            </w:r>
                            <w:r>
                              <w:rPr>
                                <w:rFonts w:asciiTheme="majorHAnsi" w:hAnsiTheme="majorHAnsi" w:cs="Univers"/>
                                <w:color w:val="0D0D0D" w:themeColor="text1" w:themeTint="F2"/>
                                <w:sz w:val="18"/>
                                <w:szCs w:val="20"/>
                                <w:lang w:val="es-ES_tradnl"/>
                              </w:rPr>
                              <w:t>Período Ordinario de S</w:t>
                            </w:r>
                            <w:r w:rsidRPr="00890650">
                              <w:rPr>
                                <w:rFonts w:asciiTheme="majorHAnsi" w:hAnsiTheme="majorHAnsi" w:cs="Univers"/>
                                <w:color w:val="0D0D0D" w:themeColor="text1" w:themeTint="F2"/>
                                <w:sz w:val="18"/>
                                <w:szCs w:val="20"/>
                                <w:lang w:val="es-ES_tradnl"/>
                              </w:rPr>
                              <w:t>esiones</w:t>
                            </w:r>
                          </w:p>
                          <w:p w14:paraId="0A76FC8C" w14:textId="77777777" w:rsidR="005B3F8C" w:rsidRPr="00890650" w:rsidRDefault="005B3F8C" w:rsidP="00DD3D86">
                            <w:pPr>
                              <w:tabs>
                                <w:tab w:val="center" w:pos="5400"/>
                              </w:tabs>
                              <w:suppressAutoHyphens/>
                              <w:spacing w:before="60"/>
                              <w:rPr>
                                <w:rFonts w:asciiTheme="majorHAnsi" w:hAnsiTheme="majorHAnsi"/>
                                <w:color w:val="0D0D0D" w:themeColor="text1" w:themeTint="F2"/>
                                <w:sz w:val="18"/>
                                <w:szCs w:val="22"/>
                                <w:lang w:val="es-ES"/>
                              </w:rPr>
                            </w:pPr>
                          </w:p>
                          <w:p w14:paraId="11C33757" w14:textId="77777777" w:rsidR="005B3F8C" w:rsidRPr="007A5817" w:rsidRDefault="005B3F8C" w:rsidP="00247403">
                            <w:pPr>
                              <w:tabs>
                                <w:tab w:val="center" w:pos="5400"/>
                              </w:tabs>
                              <w:suppressAutoHyphens/>
                              <w:spacing w:before="60"/>
                              <w:rPr>
                                <w:rFonts w:asciiTheme="minorHAnsi" w:hAnsiTheme="minorHAnsi" w:cs="Univers"/>
                                <w:color w:val="0D0D0D" w:themeColor="text1" w:themeTint="F2"/>
                                <w:sz w:val="20"/>
                                <w:szCs w:val="20"/>
                                <w:lang w:val="es-ES"/>
                              </w:rPr>
                            </w:pPr>
                          </w:p>
                          <w:p w14:paraId="092ECC17" w14:textId="77777777" w:rsidR="005B3F8C" w:rsidRPr="00167A34" w:rsidRDefault="005B3F8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0C0D0"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70A8AAE" w14:textId="77777777" w:rsidR="005B3F8C" w:rsidRPr="00890650" w:rsidRDefault="005B3F8C"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2179 celebrada el 14</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 xml:space="preserve">julio </w:t>
                      </w:r>
                      <w:r w:rsidRPr="00890650">
                        <w:rPr>
                          <w:rFonts w:asciiTheme="majorHAnsi" w:hAnsiTheme="majorHAnsi"/>
                          <w:color w:val="0D0D0D" w:themeColor="text1" w:themeTint="F2"/>
                          <w:sz w:val="18"/>
                          <w:szCs w:val="20"/>
                          <w:lang w:val="es-ES"/>
                        </w:rPr>
                        <w:t>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 xml:space="preserve">176 </w:t>
                      </w:r>
                      <w:r>
                        <w:rPr>
                          <w:rFonts w:asciiTheme="majorHAnsi" w:hAnsiTheme="majorHAnsi" w:cs="Univers"/>
                          <w:color w:val="0D0D0D" w:themeColor="text1" w:themeTint="F2"/>
                          <w:sz w:val="18"/>
                          <w:szCs w:val="20"/>
                          <w:lang w:val="es-ES_tradnl"/>
                        </w:rPr>
                        <w:t>Período Ordinario de S</w:t>
                      </w:r>
                      <w:r w:rsidRPr="00890650">
                        <w:rPr>
                          <w:rFonts w:asciiTheme="majorHAnsi" w:hAnsiTheme="majorHAnsi" w:cs="Univers"/>
                          <w:color w:val="0D0D0D" w:themeColor="text1" w:themeTint="F2"/>
                          <w:sz w:val="18"/>
                          <w:szCs w:val="20"/>
                          <w:lang w:val="es-ES_tradnl"/>
                        </w:rPr>
                        <w:t>esiones</w:t>
                      </w:r>
                    </w:p>
                    <w:p w14:paraId="0A76FC8C" w14:textId="77777777" w:rsidR="005B3F8C" w:rsidRPr="00890650" w:rsidRDefault="005B3F8C" w:rsidP="00DD3D86">
                      <w:pPr>
                        <w:tabs>
                          <w:tab w:val="center" w:pos="5400"/>
                        </w:tabs>
                        <w:suppressAutoHyphens/>
                        <w:spacing w:before="60"/>
                        <w:rPr>
                          <w:rFonts w:asciiTheme="majorHAnsi" w:hAnsiTheme="majorHAnsi"/>
                          <w:color w:val="0D0D0D" w:themeColor="text1" w:themeTint="F2"/>
                          <w:sz w:val="18"/>
                          <w:szCs w:val="22"/>
                          <w:lang w:val="es-ES"/>
                        </w:rPr>
                      </w:pPr>
                    </w:p>
                    <w:p w14:paraId="11C33757" w14:textId="77777777" w:rsidR="005B3F8C" w:rsidRPr="007A5817" w:rsidRDefault="005B3F8C" w:rsidP="00247403">
                      <w:pPr>
                        <w:tabs>
                          <w:tab w:val="center" w:pos="5400"/>
                        </w:tabs>
                        <w:suppressAutoHyphens/>
                        <w:spacing w:before="60"/>
                        <w:rPr>
                          <w:rFonts w:asciiTheme="minorHAnsi" w:hAnsiTheme="minorHAnsi" w:cs="Univers"/>
                          <w:color w:val="0D0D0D" w:themeColor="text1" w:themeTint="F2"/>
                          <w:sz w:val="20"/>
                          <w:szCs w:val="20"/>
                          <w:lang w:val="es-ES"/>
                        </w:rPr>
                      </w:pPr>
                    </w:p>
                    <w:p w14:paraId="092ECC17" w14:textId="77777777" w:rsidR="005B3F8C" w:rsidRPr="00167A34" w:rsidRDefault="005B3F8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1000694"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49090D85"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7B58722B"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0B20C712"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0381C34D" w14:textId="77777777" w:rsidR="00A50FCF" w:rsidRPr="00386E47" w:rsidRDefault="0090270B" w:rsidP="00040C3A">
      <w:pPr>
        <w:tabs>
          <w:tab w:val="center" w:pos="5400"/>
        </w:tabs>
        <w:suppressAutoHyphens/>
        <w:jc w:val="center"/>
        <w:rPr>
          <w:rFonts w:asciiTheme="majorHAnsi" w:hAnsiTheme="majorHAnsi"/>
          <w:sz w:val="18"/>
          <w:szCs w:val="22"/>
          <w:lang w:val="en-US"/>
        </w:rPr>
      </w:pPr>
      <w:r w:rsidRPr="00386E47">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4C3274CE" wp14:editId="46B7E61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6072B" w14:textId="77777777" w:rsidR="005B3F8C" w:rsidRPr="005055B9" w:rsidRDefault="005B3F8C" w:rsidP="00113F73">
                            <w:pPr>
                              <w:spacing w:line="276" w:lineRule="auto"/>
                              <w:rPr>
                                <w:rFonts w:asciiTheme="majorHAnsi" w:hAnsiTheme="majorHAnsi"/>
                                <w:color w:val="595959" w:themeColor="text1" w:themeTint="A6"/>
                                <w:sz w:val="18"/>
                                <w:szCs w:val="18"/>
                                <w:lang w:val="es-ES"/>
                              </w:rPr>
                            </w:pPr>
                            <w:r w:rsidRPr="00A311A0">
                              <w:rPr>
                                <w:rFonts w:asciiTheme="majorHAnsi" w:hAnsiTheme="majorHAnsi"/>
                                <w:b/>
                                <w:color w:val="595959" w:themeColor="text1" w:themeTint="A6"/>
                                <w:sz w:val="18"/>
                                <w:szCs w:val="18"/>
                                <w:lang w:val="pt-BR"/>
                              </w:rPr>
                              <w:t>Citar como:</w:t>
                            </w:r>
                            <w:r w:rsidRPr="00A311A0">
                              <w:rPr>
                                <w:rFonts w:asciiTheme="majorHAnsi" w:hAnsiTheme="majorHAnsi"/>
                                <w:color w:val="595959" w:themeColor="text1" w:themeTint="A6"/>
                                <w:sz w:val="18"/>
                                <w:szCs w:val="18"/>
                                <w:lang w:val="pt-BR"/>
                              </w:rPr>
                              <w:t xml:space="preserve"> CIDH. Informe No. </w:t>
                            </w:r>
                            <w:r w:rsidRPr="001F5F81">
                              <w:rPr>
                                <w:rFonts w:asciiTheme="majorHAnsi" w:hAnsiTheme="majorHAnsi"/>
                                <w:color w:val="595959" w:themeColor="text1" w:themeTint="A6"/>
                                <w:sz w:val="18"/>
                                <w:szCs w:val="18"/>
                                <w:lang w:val="pt-BR"/>
                              </w:rPr>
                              <w:t xml:space="preserve">187/20. </w:t>
                            </w:r>
                            <w:r w:rsidRPr="005055B9">
                              <w:rPr>
                                <w:rFonts w:asciiTheme="majorHAnsi" w:hAnsiTheme="majorHAnsi"/>
                                <w:color w:val="595959" w:themeColor="text1" w:themeTint="A6"/>
                                <w:sz w:val="18"/>
                                <w:szCs w:val="18"/>
                                <w:lang w:val="es-ES"/>
                              </w:rPr>
                              <w:t>Caso 12.204. Admisibilidad y Fondo. Asociación Civ</w:t>
                            </w:r>
                            <w:r>
                              <w:rPr>
                                <w:rFonts w:asciiTheme="majorHAnsi" w:hAnsiTheme="majorHAnsi"/>
                                <w:color w:val="595959" w:themeColor="text1" w:themeTint="A6"/>
                                <w:sz w:val="18"/>
                                <w:szCs w:val="18"/>
                                <w:lang w:val="es-ES"/>
                              </w:rPr>
                              <w:t>il Memoria Activa. Argentina. 14 de julio</w:t>
                            </w:r>
                            <w:r w:rsidRPr="005055B9">
                              <w:rPr>
                                <w:rFonts w:asciiTheme="majorHAnsi" w:hAnsiTheme="majorHAnsi"/>
                                <w:color w:val="595959" w:themeColor="text1" w:themeTint="A6"/>
                                <w:sz w:val="18"/>
                                <w:szCs w:val="18"/>
                                <w:lang w:val="es-ES"/>
                              </w:rPr>
                              <w:t xml:space="preserv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274C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D86072B" w14:textId="77777777" w:rsidR="005B3F8C" w:rsidRPr="005055B9" w:rsidRDefault="005B3F8C" w:rsidP="00113F73">
                      <w:pPr>
                        <w:spacing w:line="276" w:lineRule="auto"/>
                        <w:rPr>
                          <w:rFonts w:asciiTheme="majorHAnsi" w:hAnsiTheme="majorHAnsi"/>
                          <w:color w:val="595959" w:themeColor="text1" w:themeTint="A6"/>
                          <w:sz w:val="18"/>
                          <w:szCs w:val="18"/>
                          <w:lang w:val="es-ES"/>
                        </w:rPr>
                      </w:pPr>
                      <w:r w:rsidRPr="00A311A0">
                        <w:rPr>
                          <w:rFonts w:asciiTheme="majorHAnsi" w:hAnsiTheme="majorHAnsi"/>
                          <w:b/>
                          <w:color w:val="595959" w:themeColor="text1" w:themeTint="A6"/>
                          <w:sz w:val="18"/>
                          <w:szCs w:val="18"/>
                          <w:lang w:val="pt-BR"/>
                        </w:rPr>
                        <w:t>Citar como:</w:t>
                      </w:r>
                      <w:r w:rsidRPr="00A311A0">
                        <w:rPr>
                          <w:rFonts w:asciiTheme="majorHAnsi" w:hAnsiTheme="majorHAnsi"/>
                          <w:color w:val="595959" w:themeColor="text1" w:themeTint="A6"/>
                          <w:sz w:val="18"/>
                          <w:szCs w:val="18"/>
                          <w:lang w:val="pt-BR"/>
                        </w:rPr>
                        <w:t xml:space="preserve"> CIDH. Informe No. </w:t>
                      </w:r>
                      <w:r w:rsidRPr="001F5F81">
                        <w:rPr>
                          <w:rFonts w:asciiTheme="majorHAnsi" w:hAnsiTheme="majorHAnsi"/>
                          <w:color w:val="595959" w:themeColor="text1" w:themeTint="A6"/>
                          <w:sz w:val="18"/>
                          <w:szCs w:val="18"/>
                          <w:lang w:val="pt-BR"/>
                        </w:rPr>
                        <w:t xml:space="preserve">187/20. </w:t>
                      </w:r>
                      <w:r w:rsidRPr="005055B9">
                        <w:rPr>
                          <w:rFonts w:asciiTheme="majorHAnsi" w:hAnsiTheme="majorHAnsi"/>
                          <w:color w:val="595959" w:themeColor="text1" w:themeTint="A6"/>
                          <w:sz w:val="18"/>
                          <w:szCs w:val="18"/>
                          <w:lang w:val="es-ES"/>
                        </w:rPr>
                        <w:t>Caso 12.204. Admisibilidad y Fondo. Asociación Civ</w:t>
                      </w:r>
                      <w:r>
                        <w:rPr>
                          <w:rFonts w:asciiTheme="majorHAnsi" w:hAnsiTheme="majorHAnsi"/>
                          <w:color w:val="595959" w:themeColor="text1" w:themeTint="A6"/>
                          <w:sz w:val="18"/>
                          <w:szCs w:val="18"/>
                          <w:lang w:val="es-ES"/>
                        </w:rPr>
                        <w:t>il Memoria Activa. Argentina. 14 de julio</w:t>
                      </w:r>
                      <w:r w:rsidRPr="005055B9">
                        <w:rPr>
                          <w:rFonts w:asciiTheme="majorHAnsi" w:hAnsiTheme="majorHAnsi"/>
                          <w:color w:val="595959" w:themeColor="text1" w:themeTint="A6"/>
                          <w:sz w:val="18"/>
                          <w:szCs w:val="18"/>
                          <w:lang w:val="es-ES"/>
                        </w:rPr>
                        <w:t xml:space="preserve"> de 2020</w:t>
                      </w:r>
                    </w:p>
                  </w:txbxContent>
                </v:textbox>
              </v:shape>
            </w:pict>
          </mc:Fallback>
        </mc:AlternateContent>
      </w:r>
    </w:p>
    <w:p w14:paraId="242E1892" w14:textId="77777777" w:rsidR="00A50FCF" w:rsidRPr="00386E47" w:rsidRDefault="00A50FCF" w:rsidP="00040C3A">
      <w:pPr>
        <w:tabs>
          <w:tab w:val="center" w:pos="5400"/>
        </w:tabs>
        <w:suppressAutoHyphens/>
        <w:jc w:val="center"/>
        <w:rPr>
          <w:rFonts w:asciiTheme="majorHAnsi" w:hAnsiTheme="majorHAnsi"/>
          <w:sz w:val="18"/>
          <w:szCs w:val="22"/>
          <w:lang w:val="en-US"/>
        </w:rPr>
      </w:pPr>
    </w:p>
    <w:p w14:paraId="17716A57" w14:textId="77777777" w:rsidR="0090270B" w:rsidRPr="00386E47" w:rsidRDefault="00D306D1" w:rsidP="005516A1">
      <w:pPr>
        <w:tabs>
          <w:tab w:val="center" w:pos="5400"/>
        </w:tabs>
        <w:suppressAutoHyphens/>
        <w:jc w:val="center"/>
        <w:rPr>
          <w:rFonts w:asciiTheme="majorHAnsi" w:hAnsiTheme="majorHAnsi"/>
          <w:b/>
          <w:sz w:val="20"/>
          <w:lang w:val="en-US"/>
        </w:rPr>
      </w:pPr>
      <w:r w:rsidRPr="00386E47">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1803DA3A" wp14:editId="66D7A7E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9AA5D" w14:textId="77777777" w:rsidR="005B3F8C" w:rsidRPr="00D72DC6" w:rsidRDefault="005B3F8C"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17143D19" wp14:editId="7E78B674">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3DA3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A69AA5D" w14:textId="77777777" w:rsidR="005B3F8C" w:rsidRPr="00D72DC6" w:rsidRDefault="005B3F8C"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17143D19" wp14:editId="7E78B674">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386E47">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7A522C86" wp14:editId="3D83136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17B89" w14:textId="77777777" w:rsidR="005B3F8C" w:rsidRPr="004B7EB6" w:rsidRDefault="005B3F8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22C8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4817B89" w14:textId="77777777" w:rsidR="005B3F8C" w:rsidRPr="004B7EB6" w:rsidRDefault="005B3F8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5094226" w14:textId="77777777" w:rsidR="0070697F" w:rsidRPr="00386E47" w:rsidRDefault="0070697F" w:rsidP="003F1B50">
      <w:pPr>
        <w:tabs>
          <w:tab w:val="center" w:pos="5400"/>
        </w:tabs>
        <w:suppressAutoHyphens/>
        <w:rPr>
          <w:rFonts w:asciiTheme="majorHAnsi" w:hAnsiTheme="majorHAnsi"/>
          <w:b/>
          <w:sz w:val="20"/>
          <w:lang w:val="en-US"/>
        </w:rPr>
        <w:sectPr w:rsidR="0070697F" w:rsidRPr="00386E4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F3BB4FF" w14:textId="77777777" w:rsidR="00722C9F" w:rsidRPr="00386E47" w:rsidRDefault="00722C9F" w:rsidP="003F1B50">
      <w:pPr>
        <w:tabs>
          <w:tab w:val="center" w:pos="5400"/>
        </w:tabs>
        <w:suppressAutoHyphens/>
        <w:spacing w:line="276" w:lineRule="auto"/>
        <w:rPr>
          <w:rFonts w:asciiTheme="majorHAnsi" w:hAnsiTheme="majorHAnsi"/>
          <w:sz w:val="18"/>
          <w:szCs w:val="20"/>
          <w:lang w:val="en-US"/>
        </w:rPr>
      </w:pPr>
    </w:p>
    <w:p w14:paraId="309B8AF5" w14:textId="77777777" w:rsidR="00722C9F" w:rsidRPr="00386E47" w:rsidRDefault="00722C9F" w:rsidP="00722C9F">
      <w:pPr>
        <w:tabs>
          <w:tab w:val="center" w:pos="5400"/>
        </w:tabs>
        <w:suppressAutoHyphens/>
        <w:spacing w:line="276" w:lineRule="auto"/>
        <w:jc w:val="center"/>
        <w:rPr>
          <w:rFonts w:asciiTheme="majorHAnsi" w:hAnsiTheme="majorHAnsi"/>
          <w:b/>
          <w:sz w:val="28"/>
          <w:szCs w:val="20"/>
          <w:lang w:val="en-US"/>
        </w:rPr>
      </w:pPr>
      <w:r w:rsidRPr="00386E47">
        <w:rPr>
          <w:rFonts w:asciiTheme="majorHAnsi" w:hAnsiTheme="majorHAnsi"/>
          <w:b/>
          <w:szCs w:val="20"/>
          <w:lang w:val="en-US"/>
        </w:rPr>
        <w:t>ÍNDICE</w:t>
      </w:r>
    </w:p>
    <w:sdt>
      <w:sdtPr>
        <w:rPr>
          <w:rFonts w:ascii="Times New Roman" w:eastAsia="Arial Unicode MS" w:hAnsi="Times New Roman" w:cs="Times New Roman"/>
          <w:color w:val="auto"/>
          <w:sz w:val="24"/>
          <w:szCs w:val="24"/>
          <w:lang w:val="en-GB" w:eastAsia="en-GB"/>
        </w:rPr>
        <w:id w:val="1791786801"/>
        <w:docPartObj>
          <w:docPartGallery w:val="Table of Contents"/>
          <w:docPartUnique/>
        </w:docPartObj>
      </w:sdtPr>
      <w:sdtEndPr>
        <w:rPr>
          <w:rFonts w:asciiTheme="majorHAnsi" w:hAnsiTheme="majorHAnsi"/>
          <w:b/>
          <w:bCs/>
          <w:noProof/>
          <w:sz w:val="20"/>
          <w:szCs w:val="20"/>
        </w:rPr>
      </w:sdtEndPr>
      <w:sdtContent>
        <w:p w14:paraId="5A2E9745" w14:textId="77777777" w:rsidR="00F744D9" w:rsidRPr="00386E47" w:rsidRDefault="00F744D9" w:rsidP="005B3F8C">
          <w:pPr>
            <w:pStyle w:val="TOCHeading"/>
            <w:spacing w:before="0" w:line="240" w:lineRule="auto"/>
            <w:ind w:right="707"/>
            <w:jc w:val="both"/>
            <w:rPr>
              <w:sz w:val="20"/>
              <w:szCs w:val="20"/>
            </w:rPr>
          </w:pPr>
        </w:p>
        <w:p w14:paraId="486E09BB" w14:textId="2C65F310" w:rsidR="003F1B50" w:rsidRPr="00386E47" w:rsidRDefault="00F744D9" w:rsidP="005B3F8C">
          <w:pPr>
            <w:pStyle w:val="TOC1"/>
            <w:spacing w:after="0"/>
            <w:rPr>
              <w:rFonts w:eastAsiaTheme="minorEastAsia" w:cstheme="minorBidi"/>
              <w:bdr w:val="none" w:sz="0" w:space="0" w:color="auto"/>
            </w:rPr>
          </w:pPr>
          <w:r w:rsidRPr="00386E47">
            <w:fldChar w:fldCharType="begin"/>
          </w:r>
          <w:r w:rsidRPr="00386E47">
            <w:instrText xml:space="preserve"> TOC \o "1-3" \h \z \u </w:instrText>
          </w:r>
          <w:r w:rsidRPr="00386E47">
            <w:fldChar w:fldCharType="separate"/>
          </w:r>
          <w:hyperlink w:anchor="_Toc51252180" w:history="1">
            <w:r w:rsidR="003F1B50" w:rsidRPr="00386E47">
              <w:rPr>
                <w:rStyle w:val="Hyperlink"/>
                <w:rFonts w:asciiTheme="majorHAnsi" w:hAnsiTheme="majorHAnsi"/>
              </w:rPr>
              <w:t>I.</w:t>
            </w:r>
            <w:r w:rsidR="003F1B50" w:rsidRPr="00386E47">
              <w:rPr>
                <w:rFonts w:eastAsiaTheme="minorEastAsia" w:cstheme="minorBidi"/>
                <w:bdr w:val="none" w:sz="0" w:space="0" w:color="auto"/>
              </w:rPr>
              <w:tab/>
            </w:r>
            <w:r w:rsidR="003F1B50" w:rsidRPr="00386E47">
              <w:rPr>
                <w:rStyle w:val="Hyperlink"/>
                <w:rFonts w:asciiTheme="majorHAnsi" w:hAnsiTheme="majorHAnsi"/>
              </w:rPr>
              <w:t>INTRODUCCIÓN</w:t>
            </w:r>
            <w:r w:rsidR="003F1B50" w:rsidRPr="00386E47">
              <w:rPr>
                <w:webHidden/>
              </w:rPr>
              <w:tab/>
            </w:r>
            <w:r w:rsidR="003F1B50" w:rsidRPr="00386E47">
              <w:rPr>
                <w:webHidden/>
              </w:rPr>
              <w:fldChar w:fldCharType="begin"/>
            </w:r>
            <w:r w:rsidR="003F1B50" w:rsidRPr="00386E47">
              <w:rPr>
                <w:webHidden/>
              </w:rPr>
              <w:instrText xml:space="preserve"> PAGEREF _Toc51252180 \h </w:instrText>
            </w:r>
            <w:r w:rsidR="003F1B50" w:rsidRPr="00386E47">
              <w:rPr>
                <w:webHidden/>
              </w:rPr>
            </w:r>
            <w:r w:rsidR="003F1B50" w:rsidRPr="00386E47">
              <w:rPr>
                <w:webHidden/>
              </w:rPr>
              <w:fldChar w:fldCharType="separate"/>
            </w:r>
            <w:r w:rsidR="00E72266">
              <w:rPr>
                <w:webHidden/>
              </w:rPr>
              <w:t>2</w:t>
            </w:r>
            <w:r w:rsidR="003F1B50" w:rsidRPr="00386E47">
              <w:rPr>
                <w:webHidden/>
              </w:rPr>
              <w:fldChar w:fldCharType="end"/>
            </w:r>
          </w:hyperlink>
        </w:p>
        <w:p w14:paraId="407838B4" w14:textId="20D2C276" w:rsidR="003F1B50" w:rsidRPr="00386E47" w:rsidRDefault="00E72266" w:rsidP="005B3F8C">
          <w:pPr>
            <w:pStyle w:val="TOC1"/>
            <w:spacing w:after="0"/>
            <w:rPr>
              <w:rFonts w:eastAsiaTheme="minorEastAsia" w:cstheme="minorBidi"/>
              <w:bdr w:val="none" w:sz="0" w:space="0" w:color="auto"/>
            </w:rPr>
          </w:pPr>
          <w:hyperlink w:anchor="_Toc51252181" w:history="1">
            <w:r w:rsidR="003F1B50" w:rsidRPr="00386E47">
              <w:rPr>
                <w:rStyle w:val="Hyperlink"/>
                <w:rFonts w:asciiTheme="majorHAnsi" w:hAnsiTheme="majorHAnsi"/>
                <w:lang w:val="es-VE"/>
              </w:rPr>
              <w:t>II.</w:t>
            </w:r>
            <w:r w:rsidR="003F1B50" w:rsidRPr="00386E47">
              <w:rPr>
                <w:rFonts w:eastAsiaTheme="minorEastAsia" w:cstheme="minorBidi"/>
                <w:bdr w:val="none" w:sz="0" w:space="0" w:color="auto"/>
              </w:rPr>
              <w:tab/>
            </w:r>
            <w:r w:rsidR="003F1B50" w:rsidRPr="00386E47">
              <w:rPr>
                <w:rStyle w:val="Hyperlink"/>
                <w:rFonts w:asciiTheme="majorHAnsi" w:hAnsiTheme="majorHAnsi"/>
              </w:rPr>
              <w:t>TRÁMITE DE LA PETICIÓN</w:t>
            </w:r>
            <w:r w:rsidR="003F1B50" w:rsidRPr="00386E47">
              <w:rPr>
                <w:webHidden/>
              </w:rPr>
              <w:tab/>
            </w:r>
            <w:r w:rsidR="003F1B50" w:rsidRPr="00386E47">
              <w:rPr>
                <w:webHidden/>
              </w:rPr>
              <w:fldChar w:fldCharType="begin"/>
            </w:r>
            <w:r w:rsidR="003F1B50" w:rsidRPr="00386E47">
              <w:rPr>
                <w:webHidden/>
              </w:rPr>
              <w:instrText xml:space="preserve"> PAGEREF _Toc51252181 \h </w:instrText>
            </w:r>
            <w:r w:rsidR="003F1B50" w:rsidRPr="00386E47">
              <w:rPr>
                <w:webHidden/>
              </w:rPr>
            </w:r>
            <w:r w:rsidR="003F1B50" w:rsidRPr="00386E47">
              <w:rPr>
                <w:webHidden/>
              </w:rPr>
              <w:fldChar w:fldCharType="separate"/>
            </w:r>
            <w:r>
              <w:rPr>
                <w:webHidden/>
              </w:rPr>
              <w:t>2</w:t>
            </w:r>
            <w:r w:rsidR="003F1B50" w:rsidRPr="00386E47">
              <w:rPr>
                <w:webHidden/>
              </w:rPr>
              <w:fldChar w:fldCharType="end"/>
            </w:r>
          </w:hyperlink>
        </w:p>
        <w:p w14:paraId="5F242F33" w14:textId="18CABAF3" w:rsidR="003F1B50" w:rsidRPr="00386E47" w:rsidRDefault="00E72266" w:rsidP="005B3F8C">
          <w:pPr>
            <w:pStyle w:val="TOC1"/>
            <w:spacing w:after="0"/>
            <w:rPr>
              <w:rFonts w:eastAsiaTheme="minorEastAsia" w:cstheme="minorBidi"/>
              <w:bdr w:val="none" w:sz="0" w:space="0" w:color="auto"/>
            </w:rPr>
          </w:pPr>
          <w:hyperlink w:anchor="_Toc51252182" w:history="1">
            <w:r w:rsidR="003F1B50" w:rsidRPr="00386E47">
              <w:rPr>
                <w:rStyle w:val="Hyperlink"/>
                <w:rFonts w:asciiTheme="majorHAnsi" w:hAnsiTheme="majorHAnsi"/>
              </w:rPr>
              <w:t>III.</w:t>
            </w:r>
            <w:r w:rsidR="003F1B50" w:rsidRPr="00386E47">
              <w:rPr>
                <w:rFonts w:eastAsiaTheme="minorEastAsia" w:cstheme="minorBidi"/>
                <w:bdr w:val="none" w:sz="0" w:space="0" w:color="auto"/>
              </w:rPr>
              <w:tab/>
            </w:r>
            <w:r w:rsidR="003F1B50" w:rsidRPr="00386E47">
              <w:rPr>
                <w:rStyle w:val="Hyperlink"/>
                <w:rFonts w:asciiTheme="majorHAnsi" w:hAnsiTheme="majorHAnsi"/>
              </w:rPr>
              <w:t>POSICIONES DE LAS PARTES</w:t>
            </w:r>
            <w:r w:rsidR="003F1B50" w:rsidRPr="00386E47">
              <w:rPr>
                <w:webHidden/>
              </w:rPr>
              <w:tab/>
            </w:r>
            <w:r w:rsidR="003F1B50" w:rsidRPr="00386E47">
              <w:rPr>
                <w:webHidden/>
              </w:rPr>
              <w:fldChar w:fldCharType="begin"/>
            </w:r>
            <w:r w:rsidR="003F1B50" w:rsidRPr="00386E47">
              <w:rPr>
                <w:webHidden/>
              </w:rPr>
              <w:instrText xml:space="preserve"> PAGEREF _Toc51252182 \h </w:instrText>
            </w:r>
            <w:r w:rsidR="003F1B50" w:rsidRPr="00386E47">
              <w:rPr>
                <w:webHidden/>
              </w:rPr>
            </w:r>
            <w:r w:rsidR="003F1B50" w:rsidRPr="00386E47">
              <w:rPr>
                <w:webHidden/>
              </w:rPr>
              <w:fldChar w:fldCharType="separate"/>
            </w:r>
            <w:r>
              <w:rPr>
                <w:webHidden/>
              </w:rPr>
              <w:t>3</w:t>
            </w:r>
            <w:r w:rsidR="003F1B50" w:rsidRPr="00386E47">
              <w:rPr>
                <w:webHidden/>
              </w:rPr>
              <w:fldChar w:fldCharType="end"/>
            </w:r>
          </w:hyperlink>
        </w:p>
        <w:p w14:paraId="0A33A141" w14:textId="2E1B18CE" w:rsidR="003F1B50" w:rsidRPr="00386E47" w:rsidRDefault="00E72266" w:rsidP="005B3F8C">
          <w:pPr>
            <w:pStyle w:val="TOC2"/>
            <w:tabs>
              <w:tab w:val="clear" w:pos="8931"/>
              <w:tab w:val="left" w:pos="8910"/>
            </w:tabs>
            <w:spacing w:line="240" w:lineRule="auto"/>
            <w:ind w:right="707"/>
            <w:rPr>
              <w:rFonts w:asciiTheme="majorHAnsi" w:eastAsiaTheme="minorEastAsia" w:hAnsiTheme="majorHAnsi" w:cstheme="minorBidi"/>
              <w:noProof/>
              <w:sz w:val="20"/>
              <w:szCs w:val="20"/>
              <w:bdr w:val="none" w:sz="0" w:space="0" w:color="auto"/>
            </w:rPr>
          </w:pPr>
          <w:hyperlink w:anchor="_Toc51252183" w:history="1">
            <w:r w:rsidR="003F1B50" w:rsidRPr="00386E47">
              <w:rPr>
                <w:rStyle w:val="Hyperlink"/>
                <w:rFonts w:asciiTheme="majorHAnsi" w:hAnsiTheme="majorHAnsi"/>
                <w:noProof/>
                <w:sz w:val="20"/>
                <w:szCs w:val="20"/>
              </w:rPr>
              <w:t>A.</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Parte peticionaria</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_Toc51252183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3</w:t>
            </w:r>
            <w:r w:rsidR="003F1B50" w:rsidRPr="00386E47">
              <w:rPr>
                <w:rFonts w:asciiTheme="majorHAnsi" w:hAnsiTheme="majorHAnsi"/>
                <w:noProof/>
                <w:webHidden/>
                <w:sz w:val="20"/>
                <w:szCs w:val="20"/>
              </w:rPr>
              <w:fldChar w:fldCharType="end"/>
            </w:r>
          </w:hyperlink>
        </w:p>
        <w:p w14:paraId="79BDF966" w14:textId="115105CD" w:rsidR="005B3F8C" w:rsidRPr="00386E47" w:rsidRDefault="00E72266" w:rsidP="005B3F8C">
          <w:pPr>
            <w:pStyle w:val="TOC2"/>
            <w:tabs>
              <w:tab w:val="clear" w:pos="8931"/>
              <w:tab w:val="left" w:pos="8910"/>
            </w:tabs>
            <w:spacing w:line="240" w:lineRule="auto"/>
            <w:ind w:right="707"/>
            <w:rPr>
              <w:rFonts w:asciiTheme="majorHAnsi" w:hAnsiTheme="majorHAnsi"/>
              <w:noProof/>
              <w:sz w:val="20"/>
              <w:szCs w:val="20"/>
              <w:u w:val="single"/>
            </w:rPr>
          </w:pPr>
          <w:hyperlink w:anchor="_Toc51252184" w:history="1">
            <w:r w:rsidR="003F1B50" w:rsidRPr="00386E47">
              <w:rPr>
                <w:rStyle w:val="Hyperlink"/>
                <w:rFonts w:asciiTheme="majorHAnsi" w:hAnsiTheme="majorHAnsi"/>
                <w:noProof/>
                <w:sz w:val="20"/>
                <w:szCs w:val="20"/>
              </w:rPr>
              <w:t>B.</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El Estado argentino</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_Toc51252184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5</w:t>
            </w:r>
            <w:r w:rsidR="003F1B50" w:rsidRPr="00386E47">
              <w:rPr>
                <w:rFonts w:asciiTheme="majorHAnsi" w:hAnsiTheme="majorHAnsi"/>
                <w:noProof/>
                <w:webHidden/>
                <w:sz w:val="20"/>
                <w:szCs w:val="20"/>
              </w:rPr>
              <w:fldChar w:fldCharType="end"/>
            </w:r>
          </w:hyperlink>
        </w:p>
        <w:p w14:paraId="0815C681" w14:textId="1204327C" w:rsidR="003F1B50" w:rsidRPr="00386E47" w:rsidRDefault="00E72266" w:rsidP="005B3F8C">
          <w:pPr>
            <w:pStyle w:val="TOC1"/>
            <w:spacing w:after="0"/>
            <w:rPr>
              <w:rFonts w:eastAsiaTheme="minorEastAsia" w:cstheme="minorBidi"/>
              <w:bdr w:val="none" w:sz="0" w:space="0" w:color="auto"/>
            </w:rPr>
          </w:pPr>
          <w:hyperlink w:anchor="_Toc51252185" w:history="1">
            <w:r w:rsidR="003F1B50" w:rsidRPr="00386E47">
              <w:rPr>
                <w:rStyle w:val="Hyperlink"/>
                <w:rFonts w:asciiTheme="majorHAnsi" w:hAnsiTheme="majorHAnsi"/>
              </w:rPr>
              <w:t>IV.</w:t>
            </w:r>
            <w:r w:rsidR="003F1B50" w:rsidRPr="00386E47">
              <w:rPr>
                <w:rFonts w:eastAsiaTheme="minorEastAsia" w:cstheme="minorBidi"/>
                <w:bdr w:val="none" w:sz="0" w:space="0" w:color="auto"/>
              </w:rPr>
              <w:tab/>
            </w:r>
            <w:r w:rsidR="003F1B50" w:rsidRPr="00386E47">
              <w:rPr>
                <w:rStyle w:val="Hyperlink"/>
                <w:rFonts w:asciiTheme="majorHAnsi" w:hAnsiTheme="majorHAnsi"/>
              </w:rPr>
              <w:t>CONSIDERACIONES SOBRE EL RECONOCIMIENTO DE RESPONSABILIDAD DEL ESTADO ARGENTINO</w:t>
            </w:r>
            <w:r w:rsidR="003F1B50" w:rsidRPr="00386E47">
              <w:rPr>
                <w:webHidden/>
              </w:rPr>
              <w:tab/>
            </w:r>
            <w:r w:rsidR="003F1B50" w:rsidRPr="00386E47">
              <w:rPr>
                <w:webHidden/>
              </w:rPr>
              <w:fldChar w:fldCharType="begin"/>
            </w:r>
            <w:r w:rsidR="003F1B50" w:rsidRPr="00386E47">
              <w:rPr>
                <w:webHidden/>
              </w:rPr>
              <w:instrText xml:space="preserve"> PAGEREF _Toc51252185 \h </w:instrText>
            </w:r>
            <w:r w:rsidR="003F1B50" w:rsidRPr="00386E47">
              <w:rPr>
                <w:webHidden/>
              </w:rPr>
            </w:r>
            <w:r w:rsidR="003F1B50" w:rsidRPr="00386E47">
              <w:rPr>
                <w:webHidden/>
              </w:rPr>
              <w:fldChar w:fldCharType="separate"/>
            </w:r>
            <w:r>
              <w:rPr>
                <w:webHidden/>
              </w:rPr>
              <w:t>6</w:t>
            </w:r>
            <w:r w:rsidR="003F1B50" w:rsidRPr="00386E47">
              <w:rPr>
                <w:webHidden/>
              </w:rPr>
              <w:fldChar w:fldCharType="end"/>
            </w:r>
          </w:hyperlink>
        </w:p>
        <w:p w14:paraId="466CED7F" w14:textId="27494602" w:rsidR="003F1B50" w:rsidRPr="00386E47" w:rsidRDefault="00E72266" w:rsidP="005B3F8C">
          <w:pPr>
            <w:pStyle w:val="TOC1"/>
            <w:spacing w:after="0"/>
            <w:rPr>
              <w:rFonts w:eastAsiaTheme="minorEastAsia" w:cstheme="minorBidi"/>
              <w:bdr w:val="none" w:sz="0" w:space="0" w:color="auto"/>
            </w:rPr>
          </w:pPr>
          <w:hyperlink w:anchor="_Toc51252186" w:history="1">
            <w:r w:rsidR="003F1B50" w:rsidRPr="00386E47">
              <w:rPr>
                <w:rStyle w:val="Hyperlink"/>
                <w:rFonts w:asciiTheme="majorHAnsi" w:hAnsiTheme="majorHAnsi"/>
              </w:rPr>
              <w:t>V.</w:t>
            </w:r>
            <w:r w:rsidR="003F1B50" w:rsidRPr="00386E47">
              <w:rPr>
                <w:rFonts w:eastAsiaTheme="minorEastAsia" w:cstheme="minorBidi"/>
                <w:bdr w:val="none" w:sz="0" w:space="0" w:color="auto"/>
              </w:rPr>
              <w:tab/>
            </w:r>
            <w:r w:rsidR="003F1B50" w:rsidRPr="00386E47">
              <w:rPr>
                <w:rStyle w:val="Hyperlink"/>
                <w:rFonts w:asciiTheme="majorHAnsi" w:hAnsiTheme="majorHAnsi"/>
              </w:rPr>
              <w:t>ANALISIS DE COMPETENCIA Y ADMISIBILIDAD</w:t>
            </w:r>
            <w:r w:rsidR="003F1B50" w:rsidRPr="00386E47">
              <w:rPr>
                <w:webHidden/>
              </w:rPr>
              <w:tab/>
            </w:r>
            <w:r w:rsidR="003F1B50" w:rsidRPr="00386E47">
              <w:rPr>
                <w:webHidden/>
              </w:rPr>
              <w:fldChar w:fldCharType="begin"/>
            </w:r>
            <w:r w:rsidR="003F1B50" w:rsidRPr="00386E47">
              <w:rPr>
                <w:webHidden/>
              </w:rPr>
              <w:instrText xml:space="preserve"> PAGEREF _Toc51252186 \h </w:instrText>
            </w:r>
            <w:r w:rsidR="003F1B50" w:rsidRPr="00386E47">
              <w:rPr>
                <w:webHidden/>
              </w:rPr>
            </w:r>
            <w:r w:rsidR="003F1B50" w:rsidRPr="00386E47">
              <w:rPr>
                <w:webHidden/>
              </w:rPr>
              <w:fldChar w:fldCharType="separate"/>
            </w:r>
            <w:r>
              <w:rPr>
                <w:webHidden/>
              </w:rPr>
              <w:t>8</w:t>
            </w:r>
            <w:r w:rsidR="003F1B50" w:rsidRPr="00386E47">
              <w:rPr>
                <w:webHidden/>
              </w:rPr>
              <w:fldChar w:fldCharType="end"/>
            </w:r>
          </w:hyperlink>
        </w:p>
        <w:p w14:paraId="5BE00889" w14:textId="0A483871" w:rsidR="003F1B50" w:rsidRPr="00386E47" w:rsidRDefault="00E72266" w:rsidP="005B3F8C">
          <w:pPr>
            <w:pStyle w:val="TOC2"/>
            <w:tabs>
              <w:tab w:val="clear" w:pos="8931"/>
              <w:tab w:val="left" w:pos="8910"/>
            </w:tabs>
            <w:spacing w:line="240" w:lineRule="auto"/>
            <w:ind w:right="707"/>
            <w:rPr>
              <w:rFonts w:asciiTheme="majorHAnsi" w:eastAsiaTheme="minorEastAsia" w:hAnsiTheme="majorHAnsi" w:cstheme="minorBidi"/>
              <w:noProof/>
              <w:sz w:val="20"/>
              <w:szCs w:val="20"/>
              <w:bdr w:val="none" w:sz="0" w:space="0" w:color="auto"/>
            </w:rPr>
          </w:pPr>
          <w:hyperlink w:anchor="_Toc51252187" w:history="1">
            <w:r w:rsidR="003F1B50" w:rsidRPr="00386E47">
              <w:rPr>
                <w:rStyle w:val="Hyperlink"/>
                <w:rFonts w:asciiTheme="majorHAnsi" w:hAnsiTheme="majorHAnsi"/>
                <w:noProof/>
                <w:sz w:val="20"/>
                <w:szCs w:val="20"/>
              </w:rPr>
              <w:t>A.</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Competencia, duplicidad de procedimiento y cosa juzgada internacional.</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_Toc51252187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8</w:t>
            </w:r>
            <w:r w:rsidR="003F1B50" w:rsidRPr="00386E47">
              <w:rPr>
                <w:rFonts w:asciiTheme="majorHAnsi" w:hAnsiTheme="majorHAnsi"/>
                <w:noProof/>
                <w:webHidden/>
                <w:sz w:val="20"/>
                <w:szCs w:val="20"/>
              </w:rPr>
              <w:fldChar w:fldCharType="end"/>
            </w:r>
          </w:hyperlink>
        </w:p>
        <w:p w14:paraId="3CB46316" w14:textId="08A64B94" w:rsidR="003F1B50" w:rsidRPr="00386E47" w:rsidRDefault="00E72266" w:rsidP="005B3F8C">
          <w:pPr>
            <w:pStyle w:val="TOC2"/>
            <w:tabs>
              <w:tab w:val="clear" w:pos="8931"/>
              <w:tab w:val="left" w:pos="8910"/>
            </w:tabs>
            <w:spacing w:line="240" w:lineRule="auto"/>
            <w:ind w:right="707"/>
            <w:rPr>
              <w:rFonts w:asciiTheme="majorHAnsi" w:eastAsiaTheme="minorEastAsia" w:hAnsiTheme="majorHAnsi" w:cstheme="minorBidi"/>
              <w:noProof/>
              <w:sz w:val="20"/>
              <w:szCs w:val="20"/>
              <w:bdr w:val="none" w:sz="0" w:space="0" w:color="auto"/>
            </w:rPr>
          </w:pPr>
          <w:hyperlink w:anchor="_Toc51252188" w:history="1">
            <w:r w:rsidR="003F1B50" w:rsidRPr="00386E47">
              <w:rPr>
                <w:rStyle w:val="Hyperlink"/>
                <w:rFonts w:asciiTheme="majorHAnsi" w:hAnsiTheme="majorHAnsi"/>
                <w:noProof/>
                <w:sz w:val="20"/>
                <w:szCs w:val="20"/>
              </w:rPr>
              <w:t>B.</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Agotamiento de los recursos internos y plazo de presentación.</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_Toc51252188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8</w:t>
            </w:r>
            <w:r w:rsidR="003F1B50" w:rsidRPr="00386E47">
              <w:rPr>
                <w:rFonts w:asciiTheme="majorHAnsi" w:hAnsiTheme="majorHAnsi"/>
                <w:noProof/>
                <w:webHidden/>
                <w:sz w:val="20"/>
                <w:szCs w:val="20"/>
              </w:rPr>
              <w:fldChar w:fldCharType="end"/>
            </w:r>
          </w:hyperlink>
        </w:p>
        <w:p w14:paraId="6F4A0B5F" w14:textId="299BF63F" w:rsidR="003F1B50" w:rsidRPr="00386E47" w:rsidRDefault="00E72266" w:rsidP="005B3F8C">
          <w:pPr>
            <w:pStyle w:val="TOC2"/>
            <w:tabs>
              <w:tab w:val="clear" w:pos="8931"/>
              <w:tab w:val="left" w:pos="8910"/>
            </w:tabs>
            <w:spacing w:line="240" w:lineRule="auto"/>
            <w:ind w:right="707"/>
            <w:rPr>
              <w:rFonts w:asciiTheme="majorHAnsi" w:eastAsiaTheme="minorEastAsia" w:hAnsiTheme="majorHAnsi" w:cstheme="minorBidi"/>
              <w:noProof/>
              <w:sz w:val="20"/>
              <w:szCs w:val="20"/>
              <w:bdr w:val="none" w:sz="0" w:space="0" w:color="auto"/>
            </w:rPr>
          </w:pPr>
          <w:hyperlink w:anchor="_Toc51252189" w:history="1">
            <w:r w:rsidR="003F1B50" w:rsidRPr="00386E47">
              <w:rPr>
                <w:rStyle w:val="Hyperlink"/>
                <w:rFonts w:asciiTheme="majorHAnsi" w:hAnsiTheme="majorHAnsi"/>
                <w:noProof/>
                <w:sz w:val="20"/>
                <w:szCs w:val="20"/>
              </w:rPr>
              <w:t>C.</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Caracterización de los hechos alegados.</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_Toc51252189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9</w:t>
            </w:r>
            <w:r w:rsidR="003F1B50" w:rsidRPr="00386E47">
              <w:rPr>
                <w:rFonts w:asciiTheme="majorHAnsi" w:hAnsiTheme="majorHAnsi"/>
                <w:noProof/>
                <w:webHidden/>
                <w:sz w:val="20"/>
                <w:szCs w:val="20"/>
              </w:rPr>
              <w:fldChar w:fldCharType="end"/>
            </w:r>
          </w:hyperlink>
        </w:p>
        <w:p w14:paraId="06A32730" w14:textId="1B94B624" w:rsidR="003F1B50" w:rsidRPr="00386E47" w:rsidRDefault="00E72266" w:rsidP="005B3F8C">
          <w:pPr>
            <w:pStyle w:val="TOC1"/>
            <w:spacing w:after="0"/>
            <w:rPr>
              <w:rFonts w:eastAsiaTheme="minorEastAsia" w:cstheme="minorBidi"/>
              <w:bdr w:val="none" w:sz="0" w:space="0" w:color="auto"/>
            </w:rPr>
          </w:pPr>
          <w:hyperlink w:anchor="_Toc51252190" w:history="1">
            <w:r w:rsidR="003F1B50" w:rsidRPr="00386E47">
              <w:rPr>
                <w:rStyle w:val="Hyperlink"/>
                <w:rFonts w:asciiTheme="majorHAnsi" w:hAnsiTheme="majorHAnsi"/>
              </w:rPr>
              <w:t>VI.</w:t>
            </w:r>
            <w:r w:rsidR="003F1B50" w:rsidRPr="00386E47">
              <w:rPr>
                <w:rFonts w:eastAsiaTheme="minorEastAsia" w:cstheme="minorBidi"/>
                <w:bdr w:val="none" w:sz="0" w:space="0" w:color="auto"/>
              </w:rPr>
              <w:tab/>
            </w:r>
            <w:r w:rsidR="003F1B50" w:rsidRPr="00386E47">
              <w:rPr>
                <w:rStyle w:val="Hyperlink"/>
                <w:rFonts w:asciiTheme="majorHAnsi" w:hAnsiTheme="majorHAnsi"/>
              </w:rPr>
              <w:t>CONSIDERACIONES SOBRE EL FONDO</w:t>
            </w:r>
            <w:r w:rsidR="003F1B50" w:rsidRPr="00386E47">
              <w:rPr>
                <w:webHidden/>
              </w:rPr>
              <w:tab/>
            </w:r>
            <w:r w:rsidR="003F1B50" w:rsidRPr="00386E47">
              <w:rPr>
                <w:webHidden/>
              </w:rPr>
              <w:fldChar w:fldCharType="begin"/>
            </w:r>
            <w:r w:rsidR="003F1B50" w:rsidRPr="00386E47">
              <w:rPr>
                <w:webHidden/>
              </w:rPr>
              <w:instrText xml:space="preserve"> PAGEREF _Toc51252190 \h </w:instrText>
            </w:r>
            <w:r w:rsidR="003F1B50" w:rsidRPr="00386E47">
              <w:rPr>
                <w:webHidden/>
              </w:rPr>
            </w:r>
            <w:r w:rsidR="003F1B50" w:rsidRPr="00386E47">
              <w:rPr>
                <w:webHidden/>
              </w:rPr>
              <w:fldChar w:fldCharType="separate"/>
            </w:r>
            <w:r>
              <w:rPr>
                <w:webHidden/>
              </w:rPr>
              <w:t>9</w:t>
            </w:r>
            <w:r w:rsidR="003F1B50" w:rsidRPr="00386E47">
              <w:rPr>
                <w:webHidden/>
              </w:rPr>
              <w:fldChar w:fldCharType="end"/>
            </w:r>
          </w:hyperlink>
        </w:p>
        <w:p w14:paraId="3C2310AA" w14:textId="5EC15C19" w:rsidR="003F1B50" w:rsidRPr="00386E47" w:rsidRDefault="00E72266" w:rsidP="005B3F8C">
          <w:pPr>
            <w:pStyle w:val="TOC2"/>
            <w:tabs>
              <w:tab w:val="clear" w:pos="8931"/>
              <w:tab w:val="left" w:pos="8910"/>
            </w:tabs>
            <w:spacing w:line="240" w:lineRule="auto"/>
            <w:ind w:right="707"/>
            <w:rPr>
              <w:rFonts w:asciiTheme="majorHAnsi" w:eastAsiaTheme="minorEastAsia" w:hAnsiTheme="majorHAnsi" w:cstheme="minorBidi"/>
              <w:noProof/>
              <w:sz w:val="20"/>
              <w:szCs w:val="20"/>
              <w:bdr w:val="none" w:sz="0" w:space="0" w:color="auto"/>
            </w:rPr>
          </w:pPr>
          <w:hyperlink w:anchor="_Toc51252191" w:history="1">
            <w:r w:rsidR="003F1B50" w:rsidRPr="00386E47">
              <w:rPr>
                <w:rStyle w:val="Hyperlink"/>
                <w:rFonts w:asciiTheme="majorHAnsi" w:hAnsiTheme="majorHAnsi"/>
                <w:noProof/>
                <w:sz w:val="20"/>
                <w:szCs w:val="20"/>
              </w:rPr>
              <w:t>A.</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Determinaciones Globales de Hecho</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_Toc51252191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9</w:t>
            </w:r>
            <w:r w:rsidR="003F1B50" w:rsidRPr="00386E47">
              <w:rPr>
                <w:rFonts w:asciiTheme="majorHAnsi" w:hAnsiTheme="majorHAnsi"/>
                <w:noProof/>
                <w:webHidden/>
                <w:sz w:val="20"/>
                <w:szCs w:val="20"/>
              </w:rPr>
              <w:fldChar w:fldCharType="end"/>
            </w:r>
          </w:hyperlink>
        </w:p>
        <w:p w14:paraId="28431463" w14:textId="33FD06F5" w:rsidR="003F1B50" w:rsidRPr="00386E47" w:rsidRDefault="00E72266" w:rsidP="005B3F8C">
          <w:pPr>
            <w:pStyle w:val="TOC3"/>
            <w:tabs>
              <w:tab w:val="left" w:pos="8910"/>
            </w:tabs>
            <w:spacing w:after="0"/>
            <w:ind w:right="707"/>
            <w:rPr>
              <w:rFonts w:asciiTheme="majorHAnsi" w:eastAsiaTheme="minorEastAsia" w:hAnsiTheme="majorHAnsi" w:cstheme="minorBidi"/>
              <w:noProof/>
              <w:sz w:val="20"/>
              <w:szCs w:val="20"/>
              <w:bdr w:val="none" w:sz="0" w:space="0" w:color="auto"/>
            </w:rPr>
          </w:pPr>
          <w:hyperlink w:anchor="_Toc51252192" w:history="1">
            <w:r w:rsidR="003F1B50" w:rsidRPr="00386E47">
              <w:rPr>
                <w:rStyle w:val="Hyperlink"/>
                <w:rFonts w:asciiTheme="majorHAnsi" w:hAnsiTheme="majorHAnsi"/>
                <w:noProof/>
                <w:sz w:val="20"/>
                <w:szCs w:val="20"/>
              </w:rPr>
              <w:t>1.</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El atentado a la sede de la Asociación Mutual Israelita Argentina y la investigación encabezada por el Juzgado en lo Criminal y Correccional Federal Nro. 9 de la Capital Federal.</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_Toc51252192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9</w:t>
            </w:r>
            <w:r w:rsidR="003F1B50" w:rsidRPr="00386E47">
              <w:rPr>
                <w:rFonts w:asciiTheme="majorHAnsi" w:hAnsiTheme="majorHAnsi"/>
                <w:noProof/>
                <w:webHidden/>
                <w:sz w:val="20"/>
                <w:szCs w:val="20"/>
              </w:rPr>
              <w:fldChar w:fldCharType="end"/>
            </w:r>
          </w:hyperlink>
        </w:p>
        <w:p w14:paraId="3071F082" w14:textId="6CF1A0D1" w:rsidR="003F1B50" w:rsidRPr="00386E47" w:rsidRDefault="00E72266" w:rsidP="005B3F8C">
          <w:pPr>
            <w:pStyle w:val="TOC3"/>
            <w:tabs>
              <w:tab w:val="left" w:pos="8910"/>
            </w:tabs>
            <w:spacing w:after="0"/>
            <w:ind w:right="707"/>
            <w:rPr>
              <w:rFonts w:asciiTheme="majorHAnsi" w:eastAsiaTheme="minorEastAsia" w:hAnsiTheme="majorHAnsi" w:cstheme="minorBidi"/>
              <w:noProof/>
              <w:sz w:val="20"/>
              <w:szCs w:val="20"/>
              <w:bdr w:val="none" w:sz="0" w:space="0" w:color="auto"/>
            </w:rPr>
          </w:pPr>
          <w:hyperlink w:anchor="_Toc51252193" w:history="1">
            <w:r w:rsidR="003F1B50" w:rsidRPr="00386E47">
              <w:rPr>
                <w:rStyle w:val="Hyperlink"/>
                <w:rFonts w:asciiTheme="majorHAnsi" w:hAnsiTheme="majorHAnsi"/>
                <w:noProof/>
                <w:sz w:val="20"/>
                <w:szCs w:val="20"/>
              </w:rPr>
              <w:t>2.</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La investigación delegada en la Unidad Fiscal de Investigación al Atentado a la Sede de la AMIA por el Juzgado en lo Criminal y Correccional Federal Nro. 6 de la Capital Federal</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_Toc51252193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12</w:t>
            </w:r>
            <w:r w:rsidR="003F1B50" w:rsidRPr="00386E47">
              <w:rPr>
                <w:rFonts w:asciiTheme="majorHAnsi" w:hAnsiTheme="majorHAnsi"/>
                <w:noProof/>
                <w:webHidden/>
                <w:sz w:val="20"/>
                <w:szCs w:val="20"/>
              </w:rPr>
              <w:fldChar w:fldCharType="end"/>
            </w:r>
          </w:hyperlink>
        </w:p>
        <w:p w14:paraId="1E247D33" w14:textId="57F252FB" w:rsidR="003F1B50" w:rsidRPr="00386E47" w:rsidRDefault="00E72266" w:rsidP="005B3F8C">
          <w:pPr>
            <w:pStyle w:val="TOC3"/>
            <w:tabs>
              <w:tab w:val="left" w:pos="8910"/>
            </w:tabs>
            <w:spacing w:after="0"/>
            <w:ind w:right="707"/>
            <w:rPr>
              <w:rFonts w:asciiTheme="majorHAnsi" w:eastAsiaTheme="minorEastAsia" w:hAnsiTheme="majorHAnsi" w:cstheme="minorBidi"/>
              <w:noProof/>
              <w:sz w:val="20"/>
              <w:szCs w:val="20"/>
              <w:bdr w:val="none" w:sz="0" w:space="0" w:color="auto"/>
            </w:rPr>
          </w:pPr>
          <w:hyperlink w:anchor="_Toc51252194" w:history="1">
            <w:r w:rsidR="003F1B50" w:rsidRPr="00386E47">
              <w:rPr>
                <w:rStyle w:val="Hyperlink"/>
                <w:rFonts w:asciiTheme="majorHAnsi" w:hAnsiTheme="majorHAnsi"/>
                <w:noProof/>
                <w:sz w:val="20"/>
                <w:szCs w:val="20"/>
              </w:rPr>
              <w:t>3.</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Los procesos por el encubrimiento del atentado</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_Toc51252194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14</w:t>
            </w:r>
            <w:r w:rsidR="003F1B50" w:rsidRPr="00386E47">
              <w:rPr>
                <w:rFonts w:asciiTheme="majorHAnsi" w:hAnsiTheme="majorHAnsi"/>
                <w:noProof/>
                <w:webHidden/>
                <w:sz w:val="20"/>
                <w:szCs w:val="20"/>
              </w:rPr>
              <w:fldChar w:fldCharType="end"/>
            </w:r>
          </w:hyperlink>
        </w:p>
        <w:p w14:paraId="78E3DC6C" w14:textId="1C776DBE" w:rsidR="003F1B50" w:rsidRPr="00386E47" w:rsidRDefault="00E72266" w:rsidP="005B3F8C">
          <w:pPr>
            <w:pStyle w:val="TOC2"/>
            <w:tabs>
              <w:tab w:val="clear" w:pos="8931"/>
              <w:tab w:val="left" w:pos="8910"/>
            </w:tabs>
            <w:spacing w:line="240" w:lineRule="auto"/>
            <w:ind w:right="707"/>
            <w:rPr>
              <w:rFonts w:asciiTheme="majorHAnsi" w:eastAsiaTheme="minorEastAsia" w:hAnsiTheme="majorHAnsi" w:cstheme="minorBidi"/>
              <w:noProof/>
              <w:sz w:val="20"/>
              <w:szCs w:val="20"/>
              <w:bdr w:val="none" w:sz="0" w:space="0" w:color="auto"/>
            </w:rPr>
          </w:pPr>
          <w:hyperlink w:anchor="_Toc51252195" w:history="1">
            <w:r w:rsidR="003F1B50" w:rsidRPr="00386E47">
              <w:rPr>
                <w:rStyle w:val="Hyperlink"/>
                <w:rFonts w:asciiTheme="majorHAnsi" w:hAnsiTheme="majorHAnsi"/>
                <w:noProof/>
                <w:sz w:val="20"/>
                <w:szCs w:val="20"/>
              </w:rPr>
              <w:t>B.</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Derechos a la vida, a la integridad personal y derecho a la igualdad (artículos 4.1, 5.1 y 24) en relación con los artículos 1.1 de la Convención.</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_Toc51252195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15</w:t>
            </w:r>
            <w:r w:rsidR="003F1B50" w:rsidRPr="00386E47">
              <w:rPr>
                <w:rFonts w:asciiTheme="majorHAnsi" w:hAnsiTheme="majorHAnsi"/>
                <w:noProof/>
                <w:webHidden/>
                <w:sz w:val="20"/>
                <w:szCs w:val="20"/>
              </w:rPr>
              <w:fldChar w:fldCharType="end"/>
            </w:r>
          </w:hyperlink>
        </w:p>
        <w:p w14:paraId="588C25B3" w14:textId="6E506BDE" w:rsidR="003F1B50" w:rsidRPr="00386E47" w:rsidRDefault="00E72266" w:rsidP="005B3F8C">
          <w:pPr>
            <w:pStyle w:val="TOC3"/>
            <w:tabs>
              <w:tab w:val="left" w:pos="8910"/>
            </w:tabs>
            <w:spacing w:after="0"/>
            <w:ind w:right="707"/>
            <w:rPr>
              <w:rFonts w:asciiTheme="majorHAnsi" w:eastAsiaTheme="minorEastAsia" w:hAnsiTheme="majorHAnsi" w:cstheme="minorBidi"/>
              <w:noProof/>
              <w:sz w:val="20"/>
              <w:szCs w:val="20"/>
              <w:bdr w:val="none" w:sz="0" w:space="0" w:color="auto"/>
            </w:rPr>
          </w:pPr>
          <w:hyperlink w:anchor="_Toc51252196" w:history="1">
            <w:r w:rsidR="003F1B50" w:rsidRPr="00386E47">
              <w:rPr>
                <w:rStyle w:val="Hyperlink"/>
                <w:rFonts w:asciiTheme="majorHAnsi" w:hAnsiTheme="majorHAnsi"/>
                <w:noProof/>
                <w:sz w:val="20"/>
                <w:szCs w:val="20"/>
              </w:rPr>
              <w:t>1.</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Hechos específicos relacionados con la prevención del atentado</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_Toc51252196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21</w:t>
            </w:r>
            <w:r w:rsidR="003F1B50" w:rsidRPr="00386E47">
              <w:rPr>
                <w:rFonts w:asciiTheme="majorHAnsi" w:hAnsiTheme="majorHAnsi"/>
                <w:noProof/>
                <w:webHidden/>
                <w:sz w:val="20"/>
                <w:szCs w:val="20"/>
              </w:rPr>
              <w:fldChar w:fldCharType="end"/>
            </w:r>
          </w:hyperlink>
        </w:p>
        <w:p w14:paraId="138F37A5" w14:textId="27D2EF91" w:rsidR="003F1B50" w:rsidRPr="00386E47" w:rsidRDefault="00E72266" w:rsidP="005B3F8C">
          <w:pPr>
            <w:pStyle w:val="TOC3"/>
            <w:tabs>
              <w:tab w:val="left" w:pos="8910"/>
            </w:tabs>
            <w:spacing w:after="0"/>
            <w:ind w:right="707"/>
            <w:rPr>
              <w:rFonts w:asciiTheme="majorHAnsi" w:eastAsiaTheme="minorEastAsia" w:hAnsiTheme="majorHAnsi" w:cstheme="minorBidi"/>
              <w:noProof/>
              <w:sz w:val="20"/>
              <w:szCs w:val="20"/>
              <w:bdr w:val="none" w:sz="0" w:space="0" w:color="auto"/>
            </w:rPr>
          </w:pPr>
          <w:hyperlink w:anchor="_Toc51252197" w:history="1">
            <w:r w:rsidR="003F1B50" w:rsidRPr="00386E47">
              <w:rPr>
                <w:rStyle w:val="Hyperlink"/>
                <w:rFonts w:asciiTheme="majorHAnsi" w:hAnsiTheme="majorHAnsi"/>
                <w:noProof/>
                <w:sz w:val="20"/>
                <w:szCs w:val="20"/>
              </w:rPr>
              <w:t>2.</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Consideraciones de la Comisión en relación con los derechos a la vida e integridad personal en el caso concreto</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_Toc51252197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22</w:t>
            </w:r>
            <w:r w:rsidR="003F1B50" w:rsidRPr="00386E47">
              <w:rPr>
                <w:rFonts w:asciiTheme="majorHAnsi" w:hAnsiTheme="majorHAnsi"/>
                <w:noProof/>
                <w:webHidden/>
                <w:sz w:val="20"/>
                <w:szCs w:val="20"/>
              </w:rPr>
              <w:fldChar w:fldCharType="end"/>
            </w:r>
          </w:hyperlink>
        </w:p>
        <w:p w14:paraId="785672D4" w14:textId="644F5773" w:rsidR="003F1B50" w:rsidRPr="00386E47" w:rsidRDefault="00E72266" w:rsidP="005B3F8C">
          <w:pPr>
            <w:pStyle w:val="TOC3"/>
            <w:tabs>
              <w:tab w:val="left" w:pos="8910"/>
            </w:tabs>
            <w:spacing w:after="0"/>
            <w:ind w:right="707"/>
            <w:rPr>
              <w:rFonts w:asciiTheme="majorHAnsi" w:eastAsiaTheme="minorEastAsia" w:hAnsiTheme="majorHAnsi" w:cstheme="minorBidi"/>
              <w:noProof/>
              <w:sz w:val="20"/>
              <w:szCs w:val="20"/>
              <w:bdr w:val="none" w:sz="0" w:space="0" w:color="auto"/>
            </w:rPr>
          </w:pPr>
          <w:hyperlink w:anchor="_Toc51252198" w:history="1">
            <w:r w:rsidR="003F1B50" w:rsidRPr="00386E47">
              <w:rPr>
                <w:rStyle w:val="Hyperlink"/>
                <w:rFonts w:asciiTheme="majorHAnsi" w:hAnsiTheme="majorHAnsi"/>
                <w:noProof/>
                <w:sz w:val="20"/>
                <w:szCs w:val="20"/>
              </w:rPr>
              <w:t>3.</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Consideraciones de la Comisión en relación con el derecho a la igualdad y no discriminación en el caso concreto</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_Toc51252198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26</w:t>
            </w:r>
            <w:r w:rsidR="003F1B50" w:rsidRPr="00386E47">
              <w:rPr>
                <w:rFonts w:asciiTheme="majorHAnsi" w:hAnsiTheme="majorHAnsi"/>
                <w:noProof/>
                <w:webHidden/>
                <w:sz w:val="20"/>
                <w:szCs w:val="20"/>
              </w:rPr>
              <w:fldChar w:fldCharType="end"/>
            </w:r>
          </w:hyperlink>
        </w:p>
        <w:p w14:paraId="27803092" w14:textId="2BE4417E" w:rsidR="003F1B50" w:rsidRPr="00386E47" w:rsidRDefault="00E72266" w:rsidP="005B3F8C">
          <w:pPr>
            <w:pStyle w:val="TOC2"/>
            <w:tabs>
              <w:tab w:val="clear" w:pos="8931"/>
              <w:tab w:val="left" w:pos="8910"/>
            </w:tabs>
            <w:spacing w:line="240" w:lineRule="auto"/>
            <w:ind w:right="707"/>
            <w:rPr>
              <w:rFonts w:asciiTheme="majorHAnsi" w:eastAsiaTheme="minorEastAsia" w:hAnsiTheme="majorHAnsi" w:cstheme="minorBidi"/>
              <w:noProof/>
              <w:sz w:val="20"/>
              <w:szCs w:val="20"/>
              <w:bdr w:val="none" w:sz="0" w:space="0" w:color="auto"/>
            </w:rPr>
          </w:pPr>
          <w:hyperlink w:anchor="_Toc51252199" w:history="1">
            <w:r w:rsidR="003F1B50" w:rsidRPr="00386E47">
              <w:rPr>
                <w:rStyle w:val="Hyperlink"/>
                <w:rFonts w:asciiTheme="majorHAnsi" w:hAnsiTheme="majorHAnsi"/>
                <w:noProof/>
                <w:sz w:val="20"/>
                <w:szCs w:val="20"/>
              </w:rPr>
              <w:t>C.</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Derechos a las garantías judiciales y a la protección Judicial (artículos 8.1. y 25 de la Convención) en relación con la obligación de respetar los derechos humanos (artículos 1.1 de la Convención)</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_Toc51252199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27</w:t>
            </w:r>
            <w:r w:rsidR="003F1B50" w:rsidRPr="00386E47">
              <w:rPr>
                <w:rFonts w:asciiTheme="majorHAnsi" w:hAnsiTheme="majorHAnsi"/>
                <w:noProof/>
                <w:webHidden/>
                <w:sz w:val="20"/>
                <w:szCs w:val="20"/>
              </w:rPr>
              <w:fldChar w:fldCharType="end"/>
            </w:r>
          </w:hyperlink>
        </w:p>
        <w:p w14:paraId="7BD406C2" w14:textId="22F503FB" w:rsidR="003F1B50" w:rsidRPr="00386E47" w:rsidRDefault="00E72266" w:rsidP="005B3F8C">
          <w:pPr>
            <w:pStyle w:val="TOC3"/>
            <w:tabs>
              <w:tab w:val="left" w:pos="8910"/>
            </w:tabs>
            <w:spacing w:after="0"/>
            <w:ind w:right="707"/>
            <w:rPr>
              <w:rFonts w:asciiTheme="majorHAnsi" w:eastAsiaTheme="minorEastAsia" w:hAnsiTheme="majorHAnsi" w:cstheme="minorBidi"/>
              <w:noProof/>
              <w:sz w:val="20"/>
              <w:szCs w:val="20"/>
              <w:bdr w:val="none" w:sz="0" w:space="0" w:color="auto"/>
            </w:rPr>
          </w:pPr>
          <w:hyperlink w:anchor="_Toc51252200" w:history="1">
            <w:r w:rsidR="003F1B50" w:rsidRPr="00386E47">
              <w:rPr>
                <w:rStyle w:val="Hyperlink"/>
                <w:rFonts w:asciiTheme="majorHAnsi" w:hAnsiTheme="majorHAnsi"/>
                <w:noProof/>
                <w:sz w:val="20"/>
                <w:szCs w:val="20"/>
              </w:rPr>
              <w:t>1.</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Respecto de la debida diligencia en las investigaciones seguidas en el presente caso</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_Toc51252200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31</w:t>
            </w:r>
            <w:r w:rsidR="003F1B50" w:rsidRPr="00386E47">
              <w:rPr>
                <w:rFonts w:asciiTheme="majorHAnsi" w:hAnsiTheme="majorHAnsi"/>
                <w:noProof/>
                <w:webHidden/>
                <w:sz w:val="20"/>
                <w:szCs w:val="20"/>
              </w:rPr>
              <w:fldChar w:fldCharType="end"/>
            </w:r>
          </w:hyperlink>
        </w:p>
        <w:p w14:paraId="101449C0" w14:textId="06DDD054" w:rsidR="003F1B50" w:rsidRPr="00386E47" w:rsidRDefault="00E72266" w:rsidP="005B3F8C">
          <w:pPr>
            <w:pStyle w:val="TOC3"/>
            <w:tabs>
              <w:tab w:val="left" w:pos="8910"/>
            </w:tabs>
            <w:spacing w:after="0"/>
            <w:ind w:right="707"/>
            <w:rPr>
              <w:rFonts w:asciiTheme="majorHAnsi" w:eastAsiaTheme="minorEastAsia" w:hAnsiTheme="majorHAnsi" w:cstheme="minorBidi"/>
              <w:noProof/>
              <w:sz w:val="20"/>
              <w:szCs w:val="20"/>
              <w:bdr w:val="none" w:sz="0" w:space="0" w:color="auto"/>
            </w:rPr>
          </w:pPr>
          <w:hyperlink w:anchor="_Toc51252201" w:history="1">
            <w:r w:rsidR="003F1B50" w:rsidRPr="00386E47">
              <w:rPr>
                <w:rStyle w:val="Hyperlink"/>
                <w:rFonts w:asciiTheme="majorHAnsi" w:hAnsiTheme="majorHAnsi"/>
                <w:noProof/>
                <w:sz w:val="20"/>
                <w:szCs w:val="20"/>
                <w:lang w:val="es-ES"/>
              </w:rPr>
              <w:t>2.</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lang w:val="es-ES"/>
              </w:rPr>
              <w:t>Respecto del plazo razonable y el derecho a la verdad</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_Toc51252201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57</w:t>
            </w:r>
            <w:r w:rsidR="003F1B50" w:rsidRPr="00386E47">
              <w:rPr>
                <w:rFonts w:asciiTheme="majorHAnsi" w:hAnsiTheme="majorHAnsi"/>
                <w:noProof/>
                <w:webHidden/>
                <w:sz w:val="20"/>
                <w:szCs w:val="20"/>
              </w:rPr>
              <w:fldChar w:fldCharType="end"/>
            </w:r>
          </w:hyperlink>
        </w:p>
        <w:p w14:paraId="755DF53B" w14:textId="0C1BA980" w:rsidR="003F1B50" w:rsidRPr="00386E47" w:rsidRDefault="00E72266" w:rsidP="005B3F8C">
          <w:pPr>
            <w:pStyle w:val="TOC2"/>
            <w:tabs>
              <w:tab w:val="clear" w:pos="8931"/>
              <w:tab w:val="left" w:pos="8910"/>
            </w:tabs>
            <w:spacing w:line="240" w:lineRule="auto"/>
            <w:ind w:right="707"/>
            <w:rPr>
              <w:rFonts w:asciiTheme="majorHAnsi" w:eastAsiaTheme="minorEastAsia" w:hAnsiTheme="majorHAnsi" w:cstheme="minorBidi"/>
              <w:noProof/>
              <w:sz w:val="20"/>
              <w:szCs w:val="20"/>
              <w:bdr w:val="none" w:sz="0" w:space="0" w:color="auto"/>
            </w:rPr>
          </w:pPr>
          <w:hyperlink w:anchor="_Toc51252202" w:history="1">
            <w:r w:rsidR="003F1B50" w:rsidRPr="00386E47">
              <w:rPr>
                <w:rStyle w:val="Hyperlink"/>
                <w:rFonts w:asciiTheme="majorHAnsi" w:hAnsiTheme="majorHAnsi"/>
                <w:noProof/>
                <w:sz w:val="20"/>
                <w:szCs w:val="20"/>
              </w:rPr>
              <w:t>D.</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Derechos de Acceso a la Información (artículos 13, 1.1 y 2 de la Convención) y a la Protección Judicial (artículo 25 de la Convención Americana)</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_Toc51252202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58</w:t>
            </w:r>
            <w:r w:rsidR="003F1B50" w:rsidRPr="00386E47">
              <w:rPr>
                <w:rFonts w:asciiTheme="majorHAnsi" w:hAnsiTheme="majorHAnsi"/>
                <w:noProof/>
                <w:webHidden/>
                <w:sz w:val="20"/>
                <w:szCs w:val="20"/>
              </w:rPr>
              <w:fldChar w:fldCharType="end"/>
            </w:r>
          </w:hyperlink>
        </w:p>
        <w:p w14:paraId="3095D843" w14:textId="349B82A6" w:rsidR="003F1B50" w:rsidRPr="00386E47" w:rsidRDefault="00E72266" w:rsidP="005B3F8C">
          <w:pPr>
            <w:pStyle w:val="TOC3"/>
            <w:tabs>
              <w:tab w:val="left" w:pos="8910"/>
            </w:tabs>
            <w:spacing w:after="0"/>
            <w:ind w:right="707"/>
            <w:rPr>
              <w:rFonts w:asciiTheme="majorHAnsi" w:eastAsiaTheme="minorEastAsia" w:hAnsiTheme="majorHAnsi" w:cstheme="minorBidi"/>
              <w:noProof/>
              <w:sz w:val="20"/>
              <w:szCs w:val="20"/>
              <w:bdr w:val="none" w:sz="0" w:space="0" w:color="auto"/>
            </w:rPr>
          </w:pPr>
          <w:hyperlink w:anchor="_Toc51252203" w:history="1">
            <w:r w:rsidR="003F1B50" w:rsidRPr="00386E47">
              <w:rPr>
                <w:rStyle w:val="Hyperlink"/>
                <w:rFonts w:asciiTheme="majorHAnsi" w:hAnsiTheme="majorHAnsi"/>
                <w:noProof/>
                <w:sz w:val="20"/>
                <w:szCs w:val="20"/>
              </w:rPr>
              <w:t>1.</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Sobre la cuestión de la información clasificada en poder de la Secretaria de Inteligencia del Estado, sus organismos sucesores y la UFI-AMIA</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_Toc51252203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61</w:t>
            </w:r>
            <w:r w:rsidR="003F1B50" w:rsidRPr="00386E47">
              <w:rPr>
                <w:rFonts w:asciiTheme="majorHAnsi" w:hAnsiTheme="majorHAnsi"/>
                <w:noProof/>
                <w:webHidden/>
                <w:sz w:val="20"/>
                <w:szCs w:val="20"/>
              </w:rPr>
              <w:fldChar w:fldCharType="end"/>
            </w:r>
          </w:hyperlink>
        </w:p>
        <w:p w14:paraId="7F9657AE" w14:textId="2CF47B6D" w:rsidR="003F1B50" w:rsidRPr="00386E47" w:rsidRDefault="00E72266" w:rsidP="005B3F8C">
          <w:pPr>
            <w:pStyle w:val="TOC3"/>
            <w:tabs>
              <w:tab w:val="left" w:pos="8910"/>
            </w:tabs>
            <w:spacing w:after="0"/>
            <w:ind w:right="707"/>
            <w:rPr>
              <w:rFonts w:asciiTheme="majorHAnsi" w:eastAsiaTheme="minorEastAsia" w:hAnsiTheme="majorHAnsi" w:cstheme="minorBidi"/>
              <w:noProof/>
              <w:sz w:val="20"/>
              <w:szCs w:val="20"/>
              <w:bdr w:val="none" w:sz="0" w:space="0" w:color="auto"/>
            </w:rPr>
          </w:pPr>
          <w:hyperlink w:anchor="_Toc51252204" w:history="1">
            <w:r w:rsidR="003F1B50" w:rsidRPr="00386E47">
              <w:rPr>
                <w:rStyle w:val="Hyperlink"/>
                <w:rFonts w:asciiTheme="majorHAnsi" w:hAnsiTheme="majorHAnsi"/>
                <w:noProof/>
                <w:sz w:val="20"/>
                <w:szCs w:val="20"/>
              </w:rPr>
              <w:t>2.</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Sobre la cuestión de las condiciones de preservación de los fondos documentales y la accesibilidad de la información desclasificada</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_Toc51252204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63</w:t>
            </w:r>
            <w:r w:rsidR="003F1B50" w:rsidRPr="00386E47">
              <w:rPr>
                <w:rFonts w:asciiTheme="majorHAnsi" w:hAnsiTheme="majorHAnsi"/>
                <w:noProof/>
                <w:webHidden/>
                <w:sz w:val="20"/>
                <w:szCs w:val="20"/>
              </w:rPr>
              <w:fldChar w:fldCharType="end"/>
            </w:r>
          </w:hyperlink>
        </w:p>
        <w:p w14:paraId="45AEAA24" w14:textId="5536B13E" w:rsidR="005B3F8C" w:rsidRPr="00386E47" w:rsidRDefault="00E72266" w:rsidP="005B3F8C">
          <w:pPr>
            <w:pStyle w:val="TOC2"/>
            <w:tabs>
              <w:tab w:val="clear" w:pos="8931"/>
              <w:tab w:val="left" w:pos="8910"/>
            </w:tabs>
            <w:spacing w:line="240" w:lineRule="auto"/>
            <w:ind w:right="707"/>
            <w:rPr>
              <w:rFonts w:asciiTheme="majorHAnsi" w:hAnsiTheme="majorHAnsi"/>
              <w:noProof/>
              <w:sz w:val="20"/>
              <w:szCs w:val="20"/>
              <w:u w:val="single"/>
            </w:rPr>
          </w:pPr>
          <w:hyperlink w:anchor="_Toc51252205" w:history="1">
            <w:r w:rsidR="003F1B50" w:rsidRPr="00386E47">
              <w:rPr>
                <w:rStyle w:val="Hyperlink"/>
                <w:rFonts w:asciiTheme="majorHAnsi" w:hAnsiTheme="majorHAnsi"/>
                <w:noProof/>
                <w:sz w:val="20"/>
                <w:szCs w:val="20"/>
              </w:rPr>
              <w:t>E.</w:t>
            </w:r>
            <w:r w:rsidR="003F1B50" w:rsidRPr="00386E47">
              <w:rPr>
                <w:rFonts w:asciiTheme="majorHAnsi" w:eastAsiaTheme="minorEastAsia" w:hAnsiTheme="majorHAnsi" w:cstheme="minorBidi"/>
                <w:noProof/>
                <w:sz w:val="20"/>
                <w:szCs w:val="20"/>
                <w:bdr w:val="none" w:sz="0" w:space="0" w:color="auto"/>
              </w:rPr>
              <w:tab/>
            </w:r>
            <w:r w:rsidR="003F1B50" w:rsidRPr="00386E47">
              <w:rPr>
                <w:rStyle w:val="Hyperlink"/>
                <w:rFonts w:asciiTheme="majorHAnsi" w:hAnsiTheme="majorHAnsi"/>
                <w:noProof/>
                <w:sz w:val="20"/>
                <w:szCs w:val="20"/>
              </w:rPr>
              <w:t>Derecho a la integridad personal en cuanto a los familiares y determinación de victimas (Artículo 5 de la Convención Americana).</w:t>
            </w:r>
            <w:r w:rsidR="003F1B50" w:rsidRPr="00386E47">
              <w:rPr>
                <w:rFonts w:asciiTheme="majorHAnsi" w:hAnsiTheme="majorHAnsi"/>
                <w:noProof/>
                <w:webHidden/>
                <w:sz w:val="20"/>
                <w:szCs w:val="20"/>
              </w:rPr>
              <w:tab/>
            </w:r>
            <w:r w:rsidR="003F1B50" w:rsidRPr="00386E47">
              <w:rPr>
                <w:rFonts w:asciiTheme="majorHAnsi" w:hAnsiTheme="majorHAnsi"/>
                <w:noProof/>
                <w:webHidden/>
                <w:sz w:val="20"/>
                <w:szCs w:val="20"/>
              </w:rPr>
              <w:fldChar w:fldCharType="begin"/>
            </w:r>
            <w:r w:rsidR="003F1B50" w:rsidRPr="00386E47">
              <w:rPr>
                <w:rFonts w:asciiTheme="majorHAnsi" w:hAnsiTheme="majorHAnsi"/>
                <w:noProof/>
                <w:webHidden/>
                <w:sz w:val="20"/>
                <w:szCs w:val="20"/>
              </w:rPr>
              <w:instrText xml:space="preserve"> PAGEREF _Toc51252205 \h </w:instrText>
            </w:r>
            <w:r w:rsidR="003F1B50" w:rsidRPr="00386E47">
              <w:rPr>
                <w:rFonts w:asciiTheme="majorHAnsi" w:hAnsiTheme="majorHAnsi"/>
                <w:noProof/>
                <w:webHidden/>
                <w:sz w:val="20"/>
                <w:szCs w:val="20"/>
              </w:rPr>
            </w:r>
            <w:r w:rsidR="003F1B50" w:rsidRPr="00386E47">
              <w:rPr>
                <w:rFonts w:asciiTheme="majorHAnsi" w:hAnsiTheme="majorHAnsi"/>
                <w:noProof/>
                <w:webHidden/>
                <w:sz w:val="20"/>
                <w:szCs w:val="20"/>
              </w:rPr>
              <w:fldChar w:fldCharType="separate"/>
            </w:r>
            <w:r>
              <w:rPr>
                <w:rFonts w:asciiTheme="majorHAnsi" w:hAnsiTheme="majorHAnsi"/>
                <w:noProof/>
                <w:webHidden/>
                <w:sz w:val="20"/>
                <w:szCs w:val="20"/>
              </w:rPr>
              <w:t>64</w:t>
            </w:r>
            <w:r w:rsidR="003F1B50" w:rsidRPr="00386E47">
              <w:rPr>
                <w:rFonts w:asciiTheme="majorHAnsi" w:hAnsiTheme="majorHAnsi"/>
                <w:noProof/>
                <w:webHidden/>
                <w:sz w:val="20"/>
                <w:szCs w:val="20"/>
              </w:rPr>
              <w:fldChar w:fldCharType="end"/>
            </w:r>
          </w:hyperlink>
        </w:p>
        <w:p w14:paraId="58C211B3" w14:textId="1685A725" w:rsidR="003F1B50" w:rsidRPr="00386E47" w:rsidRDefault="00E72266" w:rsidP="005B3F8C">
          <w:pPr>
            <w:pStyle w:val="TOC1"/>
            <w:spacing w:after="0"/>
            <w:rPr>
              <w:rFonts w:eastAsiaTheme="minorEastAsia" w:cstheme="minorBidi"/>
              <w:bdr w:val="none" w:sz="0" w:space="0" w:color="auto"/>
            </w:rPr>
          </w:pPr>
          <w:hyperlink w:anchor="_Toc51252206" w:history="1">
            <w:r w:rsidR="003F1B50" w:rsidRPr="00386E47">
              <w:rPr>
                <w:rStyle w:val="Hyperlink"/>
                <w:rFonts w:asciiTheme="majorHAnsi" w:hAnsiTheme="majorHAnsi"/>
              </w:rPr>
              <w:t>VII.</w:t>
            </w:r>
            <w:r w:rsidR="003F1B50" w:rsidRPr="00386E47">
              <w:rPr>
                <w:rFonts w:eastAsiaTheme="minorEastAsia" w:cstheme="minorBidi"/>
                <w:bdr w:val="none" w:sz="0" w:space="0" w:color="auto"/>
              </w:rPr>
              <w:tab/>
            </w:r>
            <w:r w:rsidR="003F1B50" w:rsidRPr="00386E47">
              <w:rPr>
                <w:rStyle w:val="Hyperlink"/>
                <w:rFonts w:asciiTheme="majorHAnsi" w:hAnsiTheme="majorHAnsi"/>
              </w:rPr>
              <w:t>CONCLUSIONES Y RECOMENDACIONES</w:t>
            </w:r>
            <w:r w:rsidR="003F1B50" w:rsidRPr="00386E47">
              <w:rPr>
                <w:webHidden/>
              </w:rPr>
              <w:tab/>
            </w:r>
            <w:r w:rsidR="003F1B50" w:rsidRPr="00386E47">
              <w:rPr>
                <w:webHidden/>
              </w:rPr>
              <w:fldChar w:fldCharType="begin"/>
            </w:r>
            <w:r w:rsidR="003F1B50" w:rsidRPr="00386E47">
              <w:rPr>
                <w:webHidden/>
              </w:rPr>
              <w:instrText xml:space="preserve"> PAGEREF _Toc51252206 \h </w:instrText>
            </w:r>
            <w:r w:rsidR="003F1B50" w:rsidRPr="00386E47">
              <w:rPr>
                <w:webHidden/>
              </w:rPr>
            </w:r>
            <w:r w:rsidR="003F1B50" w:rsidRPr="00386E47">
              <w:rPr>
                <w:webHidden/>
              </w:rPr>
              <w:fldChar w:fldCharType="separate"/>
            </w:r>
            <w:r>
              <w:rPr>
                <w:webHidden/>
              </w:rPr>
              <w:t>66</w:t>
            </w:r>
            <w:r w:rsidR="003F1B50" w:rsidRPr="00386E47">
              <w:rPr>
                <w:webHidden/>
              </w:rPr>
              <w:fldChar w:fldCharType="end"/>
            </w:r>
          </w:hyperlink>
        </w:p>
        <w:p w14:paraId="282DEC13" w14:textId="77777777" w:rsidR="00F744D9" w:rsidRPr="00386E47" w:rsidRDefault="00F744D9" w:rsidP="005B3F8C">
          <w:pPr>
            <w:tabs>
              <w:tab w:val="left" w:pos="8910"/>
            </w:tabs>
            <w:ind w:right="707"/>
            <w:jc w:val="both"/>
            <w:rPr>
              <w:rFonts w:asciiTheme="majorHAnsi" w:hAnsiTheme="majorHAnsi"/>
              <w:sz w:val="20"/>
              <w:szCs w:val="20"/>
            </w:rPr>
          </w:pPr>
          <w:r w:rsidRPr="00386E47">
            <w:rPr>
              <w:rFonts w:asciiTheme="majorHAnsi" w:hAnsiTheme="majorHAnsi"/>
              <w:b/>
              <w:bCs/>
              <w:noProof/>
              <w:sz w:val="20"/>
              <w:szCs w:val="20"/>
            </w:rPr>
            <w:fldChar w:fldCharType="end"/>
          </w:r>
        </w:p>
      </w:sdtContent>
    </w:sdt>
    <w:p w14:paraId="04C66BE6" w14:textId="77777777" w:rsidR="000B23D0" w:rsidRPr="00386E47" w:rsidRDefault="000B23D0">
      <w:pPr>
        <w:pBdr>
          <w:top w:val="nil"/>
          <w:left w:val="nil"/>
          <w:bottom w:val="nil"/>
          <w:right w:val="nil"/>
          <w:between w:val="nil"/>
          <w:bar w:val="nil"/>
        </w:pBdr>
        <w:rPr>
          <w:rFonts w:asciiTheme="majorHAnsi" w:hAnsiTheme="majorHAnsi"/>
          <w:sz w:val="20"/>
          <w:szCs w:val="20"/>
          <w:lang w:val="es-ES_tradnl"/>
        </w:rPr>
      </w:pPr>
      <w:r w:rsidRPr="00386E47">
        <w:rPr>
          <w:rFonts w:asciiTheme="majorHAnsi" w:hAnsiTheme="majorHAnsi"/>
          <w:sz w:val="20"/>
          <w:szCs w:val="20"/>
          <w:lang w:val="es-ES_tradnl"/>
        </w:rPr>
        <w:br w:type="page"/>
      </w:r>
    </w:p>
    <w:p w14:paraId="4B26059C" w14:textId="77777777" w:rsidR="00722C9F" w:rsidRPr="00386E47" w:rsidRDefault="00722C9F">
      <w:pPr>
        <w:rPr>
          <w:rFonts w:asciiTheme="majorHAnsi" w:hAnsiTheme="majorHAnsi" w:cs="Calibri"/>
          <w:sz w:val="20"/>
          <w:szCs w:val="20"/>
          <w:lang w:val="es-ES"/>
        </w:rPr>
      </w:pPr>
    </w:p>
    <w:p w14:paraId="0CB20E36" w14:textId="77777777" w:rsidR="00722C9F" w:rsidRPr="00386E47" w:rsidRDefault="0006550A" w:rsidP="00722C9F">
      <w:pPr>
        <w:tabs>
          <w:tab w:val="center" w:pos="5400"/>
        </w:tabs>
        <w:suppressAutoHyphens/>
        <w:spacing w:line="276" w:lineRule="auto"/>
        <w:jc w:val="center"/>
        <w:rPr>
          <w:rFonts w:asciiTheme="majorHAnsi" w:hAnsiTheme="majorHAnsi"/>
          <w:b/>
          <w:sz w:val="18"/>
          <w:szCs w:val="20"/>
          <w:lang w:val="es-ES_tradnl"/>
        </w:rPr>
      </w:pPr>
      <w:r w:rsidRPr="00386E47">
        <w:rPr>
          <w:rFonts w:asciiTheme="majorHAnsi" w:hAnsiTheme="majorHAnsi"/>
          <w:b/>
          <w:sz w:val="18"/>
          <w:szCs w:val="20"/>
          <w:lang w:val="es-ES_tradnl"/>
        </w:rPr>
        <w:t>INFORME No. 187</w:t>
      </w:r>
      <w:r w:rsidR="00722C9F" w:rsidRPr="00386E47">
        <w:rPr>
          <w:rFonts w:asciiTheme="majorHAnsi" w:hAnsiTheme="majorHAnsi"/>
          <w:b/>
          <w:sz w:val="18"/>
          <w:szCs w:val="20"/>
          <w:lang w:val="es-ES_tradnl"/>
        </w:rPr>
        <w:t>/</w:t>
      </w:r>
      <w:r w:rsidR="00CA2516" w:rsidRPr="00386E47">
        <w:rPr>
          <w:rFonts w:asciiTheme="majorHAnsi" w:hAnsiTheme="majorHAnsi"/>
          <w:b/>
          <w:sz w:val="18"/>
          <w:szCs w:val="20"/>
          <w:lang w:val="es-ES_tradnl"/>
        </w:rPr>
        <w:t>20</w:t>
      </w:r>
    </w:p>
    <w:p w14:paraId="25D7ED9C" w14:textId="77777777" w:rsidR="00722C9F" w:rsidRPr="00386E47" w:rsidRDefault="00722C9F" w:rsidP="00722C9F">
      <w:pPr>
        <w:tabs>
          <w:tab w:val="center" w:pos="5400"/>
        </w:tabs>
        <w:suppressAutoHyphens/>
        <w:spacing w:line="276" w:lineRule="auto"/>
        <w:jc w:val="center"/>
        <w:rPr>
          <w:rFonts w:asciiTheme="majorHAnsi" w:hAnsiTheme="majorHAnsi"/>
          <w:b/>
          <w:sz w:val="18"/>
          <w:szCs w:val="20"/>
          <w:lang w:val="es-ES_tradnl"/>
        </w:rPr>
      </w:pPr>
      <w:r w:rsidRPr="00386E47">
        <w:rPr>
          <w:rFonts w:asciiTheme="majorHAnsi" w:hAnsiTheme="majorHAnsi"/>
          <w:b/>
          <w:sz w:val="18"/>
          <w:szCs w:val="20"/>
          <w:lang w:val="es-ES_tradnl"/>
        </w:rPr>
        <w:t xml:space="preserve">CASO </w:t>
      </w:r>
      <w:r w:rsidR="00CA2516" w:rsidRPr="00386E47">
        <w:rPr>
          <w:rFonts w:asciiTheme="majorHAnsi" w:hAnsiTheme="majorHAnsi"/>
          <w:b/>
          <w:sz w:val="18"/>
          <w:szCs w:val="20"/>
          <w:lang w:val="es-ES_tradnl"/>
        </w:rPr>
        <w:t>12.204</w:t>
      </w:r>
    </w:p>
    <w:p w14:paraId="67C331CB" w14:textId="77777777" w:rsidR="00722C9F" w:rsidRPr="00386E47" w:rsidRDefault="00722C9F" w:rsidP="00722C9F">
      <w:pPr>
        <w:tabs>
          <w:tab w:val="center" w:pos="5400"/>
        </w:tabs>
        <w:suppressAutoHyphens/>
        <w:spacing w:line="276" w:lineRule="auto"/>
        <w:jc w:val="center"/>
        <w:rPr>
          <w:rFonts w:asciiTheme="majorHAnsi" w:hAnsiTheme="majorHAnsi"/>
          <w:sz w:val="18"/>
          <w:szCs w:val="20"/>
          <w:lang w:val="es-ES_tradnl"/>
        </w:rPr>
      </w:pPr>
      <w:r w:rsidRPr="00386E47">
        <w:rPr>
          <w:rFonts w:asciiTheme="majorHAnsi" w:hAnsiTheme="majorHAnsi"/>
          <w:sz w:val="18"/>
          <w:szCs w:val="20"/>
          <w:lang w:val="es-ES_tradnl"/>
        </w:rPr>
        <w:t xml:space="preserve">INFORME DE ADMISIBILIDAD </w:t>
      </w:r>
      <w:r w:rsidR="00CA2516" w:rsidRPr="00386E47">
        <w:rPr>
          <w:rFonts w:asciiTheme="majorHAnsi" w:hAnsiTheme="majorHAnsi"/>
          <w:sz w:val="18"/>
          <w:szCs w:val="20"/>
          <w:lang w:val="es-ES_tradnl"/>
        </w:rPr>
        <w:t>Y FONDO</w:t>
      </w:r>
    </w:p>
    <w:p w14:paraId="465A1475" w14:textId="77777777" w:rsidR="00722C9F" w:rsidRPr="00386E47" w:rsidRDefault="00CA2516" w:rsidP="00722C9F">
      <w:pPr>
        <w:tabs>
          <w:tab w:val="center" w:pos="5400"/>
        </w:tabs>
        <w:suppressAutoHyphens/>
        <w:spacing w:line="276" w:lineRule="auto"/>
        <w:jc w:val="center"/>
        <w:rPr>
          <w:rFonts w:asciiTheme="majorHAnsi" w:hAnsiTheme="majorHAnsi"/>
          <w:sz w:val="18"/>
          <w:szCs w:val="20"/>
          <w:lang w:val="es-ES_tradnl"/>
        </w:rPr>
      </w:pPr>
      <w:r w:rsidRPr="00386E47">
        <w:rPr>
          <w:rFonts w:asciiTheme="majorHAnsi" w:hAnsiTheme="majorHAnsi"/>
          <w:sz w:val="18"/>
          <w:szCs w:val="20"/>
          <w:lang w:val="es-ES_tradnl"/>
        </w:rPr>
        <w:t>ASOCIACI</w:t>
      </w:r>
      <w:r w:rsidR="00C87214" w:rsidRPr="00386E47">
        <w:rPr>
          <w:rFonts w:asciiTheme="majorHAnsi" w:hAnsiTheme="majorHAnsi"/>
          <w:sz w:val="18"/>
          <w:szCs w:val="20"/>
          <w:lang w:val="es-US"/>
        </w:rPr>
        <w:t>Ó</w:t>
      </w:r>
      <w:r w:rsidRPr="00386E47">
        <w:rPr>
          <w:rFonts w:asciiTheme="majorHAnsi" w:hAnsiTheme="majorHAnsi"/>
          <w:sz w:val="18"/>
          <w:szCs w:val="20"/>
          <w:lang w:val="es-ES_tradnl"/>
        </w:rPr>
        <w:t xml:space="preserve">N CIVIL MEMORIA ACTIVA </w:t>
      </w:r>
    </w:p>
    <w:p w14:paraId="08CFB2EF" w14:textId="77777777" w:rsidR="00722C9F" w:rsidRPr="00386E47" w:rsidRDefault="00CA2516" w:rsidP="00722C9F">
      <w:pPr>
        <w:tabs>
          <w:tab w:val="center" w:pos="5400"/>
        </w:tabs>
        <w:suppressAutoHyphens/>
        <w:spacing w:line="276" w:lineRule="auto"/>
        <w:jc w:val="center"/>
        <w:rPr>
          <w:rFonts w:asciiTheme="majorHAnsi" w:hAnsiTheme="majorHAnsi"/>
          <w:sz w:val="18"/>
          <w:szCs w:val="20"/>
          <w:lang w:val="es-ES_tradnl"/>
        </w:rPr>
      </w:pPr>
      <w:r w:rsidRPr="00386E47">
        <w:rPr>
          <w:rFonts w:asciiTheme="majorHAnsi" w:hAnsiTheme="majorHAnsi"/>
          <w:sz w:val="18"/>
          <w:szCs w:val="20"/>
          <w:lang w:val="es-ES_tradnl"/>
        </w:rPr>
        <w:t>ARGENTINA</w:t>
      </w:r>
    </w:p>
    <w:p w14:paraId="231039EA" w14:textId="77777777" w:rsidR="00722C9F" w:rsidRPr="00386E47" w:rsidRDefault="0006550A" w:rsidP="00722C9F">
      <w:pPr>
        <w:tabs>
          <w:tab w:val="center" w:pos="5400"/>
        </w:tabs>
        <w:suppressAutoHyphens/>
        <w:spacing w:line="276" w:lineRule="auto"/>
        <w:jc w:val="center"/>
        <w:rPr>
          <w:rFonts w:asciiTheme="majorHAnsi" w:hAnsiTheme="majorHAnsi"/>
          <w:sz w:val="18"/>
          <w:szCs w:val="20"/>
          <w:lang w:val="es-ES_tradnl"/>
        </w:rPr>
      </w:pPr>
      <w:r w:rsidRPr="00386E47">
        <w:rPr>
          <w:rFonts w:asciiTheme="majorHAnsi" w:hAnsiTheme="majorHAnsi"/>
          <w:sz w:val="18"/>
          <w:szCs w:val="20"/>
          <w:lang w:val="es-ES_tradnl"/>
        </w:rPr>
        <w:t>14 de julio de 2020</w:t>
      </w:r>
    </w:p>
    <w:p w14:paraId="408A9D99" w14:textId="77777777" w:rsidR="00D27EA6" w:rsidRPr="00386E47" w:rsidRDefault="00D27EA6" w:rsidP="00722C9F">
      <w:pPr>
        <w:tabs>
          <w:tab w:val="center" w:pos="5400"/>
        </w:tabs>
        <w:suppressAutoHyphens/>
        <w:spacing w:line="276" w:lineRule="auto"/>
        <w:jc w:val="center"/>
        <w:rPr>
          <w:rFonts w:asciiTheme="majorHAnsi" w:hAnsiTheme="majorHAnsi"/>
          <w:sz w:val="18"/>
          <w:szCs w:val="20"/>
          <w:lang w:val="es-ES_tradnl"/>
        </w:rPr>
      </w:pPr>
    </w:p>
    <w:p w14:paraId="20CCDD63" w14:textId="77777777" w:rsidR="00D27EA6" w:rsidRPr="00386E47" w:rsidRDefault="00D27EA6" w:rsidP="00722C9F">
      <w:pPr>
        <w:tabs>
          <w:tab w:val="center" w:pos="5400"/>
        </w:tabs>
        <w:suppressAutoHyphens/>
        <w:spacing w:line="276" w:lineRule="auto"/>
        <w:jc w:val="center"/>
        <w:rPr>
          <w:rFonts w:asciiTheme="majorHAnsi" w:hAnsiTheme="majorHAnsi"/>
          <w:sz w:val="18"/>
          <w:szCs w:val="20"/>
          <w:lang w:val="es-ES_tradnl"/>
        </w:rPr>
      </w:pPr>
    </w:p>
    <w:p w14:paraId="6E55DA88" w14:textId="77777777" w:rsidR="00CA2516" w:rsidRPr="00386E47" w:rsidRDefault="009F70EA" w:rsidP="009F70EA">
      <w:pPr>
        <w:pStyle w:val="Heading1"/>
        <w:rPr>
          <w:rFonts w:asciiTheme="majorHAnsi" w:hAnsiTheme="majorHAnsi"/>
        </w:rPr>
      </w:pPr>
      <w:bookmarkStart w:id="2" w:name="_Toc51252180"/>
      <w:r w:rsidRPr="00386E47">
        <w:rPr>
          <w:rFonts w:asciiTheme="majorHAnsi" w:hAnsiTheme="majorHAnsi"/>
        </w:rPr>
        <w:t>INTRODUCCIÓN</w:t>
      </w:r>
      <w:bookmarkEnd w:id="2"/>
    </w:p>
    <w:p w14:paraId="6EAD7CC1" w14:textId="77777777" w:rsidR="009F70EA" w:rsidRPr="00386E47" w:rsidRDefault="009F70EA" w:rsidP="00997162">
      <w:pPr>
        <w:tabs>
          <w:tab w:val="left" w:pos="426"/>
        </w:tabs>
        <w:ind w:left="567"/>
        <w:contextualSpacing/>
        <w:jc w:val="both"/>
        <w:rPr>
          <w:rFonts w:asciiTheme="majorHAnsi" w:eastAsia="Calibri" w:hAnsiTheme="majorHAnsi"/>
          <w:b/>
          <w:sz w:val="20"/>
          <w:szCs w:val="20"/>
          <w:lang w:val="es-US"/>
        </w:rPr>
      </w:pPr>
    </w:p>
    <w:p w14:paraId="1097E0F1" w14:textId="77777777" w:rsidR="00F85B68" w:rsidRPr="00386E47" w:rsidRDefault="009F70EA" w:rsidP="003A5860">
      <w:pPr>
        <w:numPr>
          <w:ilvl w:val="0"/>
          <w:numId w:val="55"/>
        </w:numPr>
        <w:tabs>
          <w:tab w:val="left" w:pos="567"/>
        </w:tabs>
        <w:ind w:left="0" w:firstLine="0"/>
        <w:jc w:val="both"/>
        <w:rPr>
          <w:rFonts w:asciiTheme="majorHAnsi" w:eastAsia="Calibri" w:hAnsiTheme="majorHAnsi"/>
          <w:sz w:val="20"/>
          <w:szCs w:val="20"/>
          <w:lang w:val="es-VE"/>
        </w:rPr>
      </w:pPr>
      <w:r w:rsidRPr="00386E47">
        <w:rPr>
          <w:rFonts w:asciiTheme="majorHAnsi" w:eastAsia="Calibri" w:hAnsiTheme="majorHAnsi"/>
          <w:sz w:val="20"/>
          <w:szCs w:val="20"/>
          <w:lang w:val="es-AR"/>
        </w:rPr>
        <w:t xml:space="preserve">El 16 de julio de 1999, </w:t>
      </w:r>
      <w:r w:rsidRPr="00386E47">
        <w:rPr>
          <w:rFonts w:asciiTheme="majorHAnsi" w:eastAsia="Calibri" w:hAnsiTheme="majorHAnsi"/>
          <w:sz w:val="20"/>
          <w:szCs w:val="20"/>
          <w:lang w:val="es-VE"/>
        </w:rPr>
        <w:t xml:space="preserve">la Comisión Interamericana de Derechos Humanos </w:t>
      </w:r>
      <w:r w:rsidR="00EE721A" w:rsidRPr="00386E47">
        <w:rPr>
          <w:rFonts w:asciiTheme="majorHAnsi" w:eastAsia="Calibri" w:hAnsiTheme="majorHAnsi"/>
          <w:sz w:val="20"/>
          <w:szCs w:val="20"/>
          <w:lang w:val="es-VE"/>
        </w:rPr>
        <w:t>(en</w:t>
      </w:r>
      <w:r w:rsidR="00CA2516" w:rsidRPr="00386E47">
        <w:rPr>
          <w:rFonts w:asciiTheme="majorHAnsi" w:eastAsia="Calibri" w:hAnsiTheme="majorHAnsi"/>
          <w:sz w:val="20"/>
          <w:szCs w:val="20"/>
          <w:lang w:val="es-VE"/>
        </w:rPr>
        <w:t xml:space="preserve"> adelante </w:t>
      </w:r>
      <w:r w:rsidRPr="00386E47">
        <w:rPr>
          <w:rFonts w:asciiTheme="majorHAnsi" w:eastAsia="Calibri" w:hAnsiTheme="majorHAnsi"/>
          <w:sz w:val="20"/>
          <w:szCs w:val="20"/>
          <w:lang w:val="es-VE"/>
        </w:rPr>
        <w:t xml:space="preserve">“la Comisión Interamericana”, “la Comisión” o “la CIDH”) recibió una petición </w:t>
      </w:r>
      <w:r w:rsidR="00CA2516" w:rsidRPr="00386E47">
        <w:rPr>
          <w:rFonts w:asciiTheme="majorHAnsi" w:eastAsia="Calibri" w:hAnsiTheme="majorHAnsi"/>
          <w:sz w:val="20"/>
          <w:szCs w:val="20"/>
          <w:lang w:val="es-VE"/>
        </w:rPr>
        <w:t xml:space="preserve">suscripta </w:t>
      </w:r>
      <w:r w:rsidRPr="00386E47">
        <w:rPr>
          <w:rFonts w:asciiTheme="majorHAnsi" w:eastAsia="Calibri" w:hAnsiTheme="majorHAnsi"/>
          <w:sz w:val="20"/>
          <w:szCs w:val="20"/>
          <w:lang w:val="es-VE"/>
        </w:rPr>
        <w:t>por</w:t>
      </w:r>
      <w:r w:rsidR="00CA2516" w:rsidRPr="00386E47">
        <w:rPr>
          <w:rFonts w:asciiTheme="majorHAnsi" w:eastAsia="Calibri" w:hAnsiTheme="majorHAnsi"/>
          <w:sz w:val="20"/>
          <w:szCs w:val="20"/>
          <w:lang w:val="es-VE"/>
        </w:rPr>
        <w:t xml:space="preserve"> un grupo de </w:t>
      </w:r>
      <w:r w:rsidR="00EE721A" w:rsidRPr="00386E47">
        <w:rPr>
          <w:rFonts w:asciiTheme="majorHAnsi" w:eastAsia="Calibri" w:hAnsiTheme="majorHAnsi"/>
          <w:sz w:val="20"/>
          <w:szCs w:val="20"/>
          <w:lang w:val="es-VE"/>
        </w:rPr>
        <w:t>víctimas y</w:t>
      </w:r>
      <w:r w:rsidR="00CA2516" w:rsidRPr="00386E47">
        <w:rPr>
          <w:rFonts w:asciiTheme="majorHAnsi" w:eastAsia="Calibri" w:hAnsiTheme="majorHAnsi"/>
          <w:sz w:val="20"/>
          <w:szCs w:val="20"/>
          <w:lang w:val="es-VE"/>
        </w:rPr>
        <w:t xml:space="preserve"> familiares de las </w:t>
      </w:r>
      <w:r w:rsidR="00EE721A" w:rsidRPr="00386E47">
        <w:rPr>
          <w:rFonts w:asciiTheme="majorHAnsi" w:eastAsia="Calibri" w:hAnsiTheme="majorHAnsi"/>
          <w:sz w:val="20"/>
          <w:szCs w:val="20"/>
          <w:lang w:val="es-VE"/>
        </w:rPr>
        <w:t>víctimas</w:t>
      </w:r>
      <w:r w:rsidR="00CA2516" w:rsidRPr="00386E47">
        <w:rPr>
          <w:rFonts w:asciiTheme="majorHAnsi" w:eastAsia="Calibri" w:hAnsiTheme="majorHAnsi"/>
          <w:sz w:val="20"/>
          <w:szCs w:val="20"/>
          <w:lang w:val="es-VE"/>
        </w:rPr>
        <w:t xml:space="preserve"> del atentado </w:t>
      </w:r>
      <w:r w:rsidR="00997162" w:rsidRPr="00386E47">
        <w:rPr>
          <w:rFonts w:asciiTheme="majorHAnsi" w:eastAsia="Calibri" w:hAnsiTheme="majorHAnsi"/>
          <w:sz w:val="20"/>
          <w:szCs w:val="20"/>
          <w:lang w:val="es-VE"/>
        </w:rPr>
        <w:t xml:space="preserve">terrorista </w:t>
      </w:r>
      <w:r w:rsidR="00170D9A" w:rsidRPr="00386E47">
        <w:rPr>
          <w:rFonts w:asciiTheme="majorHAnsi" w:eastAsia="Calibri" w:hAnsiTheme="majorHAnsi"/>
          <w:sz w:val="20"/>
          <w:szCs w:val="20"/>
          <w:lang w:val="es-VE"/>
        </w:rPr>
        <w:t xml:space="preserve">perpetrado </w:t>
      </w:r>
      <w:r w:rsidR="00CA2516" w:rsidRPr="00386E47">
        <w:rPr>
          <w:rFonts w:asciiTheme="majorHAnsi" w:eastAsia="Calibri" w:hAnsiTheme="majorHAnsi"/>
          <w:sz w:val="20"/>
          <w:szCs w:val="20"/>
          <w:lang w:val="es-VE"/>
        </w:rPr>
        <w:t xml:space="preserve">contra la sede de la </w:t>
      </w:r>
      <w:r w:rsidR="00EE721A" w:rsidRPr="00386E47">
        <w:rPr>
          <w:rFonts w:asciiTheme="majorHAnsi" w:eastAsia="Calibri" w:hAnsiTheme="majorHAnsi"/>
          <w:sz w:val="20"/>
          <w:szCs w:val="20"/>
          <w:lang w:val="es-VE"/>
        </w:rPr>
        <w:t xml:space="preserve">Asociación Mutual Israelita Argentina (AMIA) </w:t>
      </w:r>
      <w:r w:rsidR="00170D9A" w:rsidRPr="00386E47">
        <w:rPr>
          <w:rFonts w:asciiTheme="majorHAnsi" w:eastAsia="Calibri" w:hAnsiTheme="majorHAnsi"/>
          <w:sz w:val="20"/>
          <w:szCs w:val="20"/>
          <w:lang w:val="es-VE"/>
        </w:rPr>
        <w:t xml:space="preserve">organizados </w:t>
      </w:r>
      <w:r w:rsidR="00EE721A" w:rsidRPr="00386E47">
        <w:rPr>
          <w:rFonts w:asciiTheme="majorHAnsi" w:eastAsia="Calibri" w:hAnsiTheme="majorHAnsi"/>
          <w:sz w:val="20"/>
          <w:szCs w:val="20"/>
          <w:lang w:val="es-VE"/>
        </w:rPr>
        <w:t xml:space="preserve">en </w:t>
      </w:r>
      <w:r w:rsidR="00EE721A" w:rsidRPr="00386E47">
        <w:rPr>
          <w:rFonts w:asciiTheme="majorHAnsi" w:eastAsia="Calibri" w:hAnsiTheme="majorHAnsi"/>
          <w:sz w:val="20"/>
          <w:szCs w:val="20"/>
          <w:lang w:val="es-AR"/>
        </w:rPr>
        <w:t>la Asociación Civil Memoria Activa</w:t>
      </w:r>
      <w:r w:rsidR="00F16CF6" w:rsidRPr="00386E47">
        <w:rPr>
          <w:rFonts w:asciiTheme="majorHAnsi" w:eastAsia="Calibri" w:hAnsiTheme="majorHAnsi"/>
          <w:sz w:val="20"/>
          <w:szCs w:val="20"/>
          <w:vertAlign w:val="superscript"/>
          <w:lang w:val="es-AR"/>
        </w:rPr>
        <w:footnoteReference w:id="2"/>
      </w:r>
      <w:r w:rsidR="00B0077C" w:rsidRPr="00386E47">
        <w:rPr>
          <w:rFonts w:asciiTheme="majorHAnsi" w:eastAsia="Calibri" w:hAnsiTheme="majorHAnsi"/>
          <w:sz w:val="20"/>
          <w:szCs w:val="20"/>
          <w:lang w:val="es-AR"/>
        </w:rPr>
        <w:t xml:space="preserve">. </w:t>
      </w:r>
      <w:r w:rsidR="00F16CF6" w:rsidRPr="00386E47">
        <w:rPr>
          <w:rFonts w:asciiTheme="majorHAnsi" w:eastAsia="Calibri" w:hAnsiTheme="majorHAnsi"/>
          <w:sz w:val="20"/>
          <w:szCs w:val="20"/>
          <w:lang w:val="es-VE"/>
        </w:rPr>
        <w:t xml:space="preserve">Los </w:t>
      </w:r>
      <w:r w:rsidR="00EE721A" w:rsidRPr="00386E47">
        <w:rPr>
          <w:rFonts w:asciiTheme="majorHAnsi" w:eastAsia="Calibri" w:hAnsiTheme="majorHAnsi"/>
          <w:sz w:val="20"/>
          <w:szCs w:val="20"/>
          <w:lang w:val="es-VE"/>
        </w:rPr>
        <w:t>peticionarios afirmaron</w:t>
      </w:r>
      <w:r w:rsidR="00887819" w:rsidRPr="00386E47">
        <w:rPr>
          <w:rFonts w:asciiTheme="majorHAnsi" w:eastAsia="Calibri" w:hAnsiTheme="majorHAnsi"/>
          <w:sz w:val="20"/>
          <w:szCs w:val="20"/>
          <w:lang w:val="es-VE"/>
        </w:rPr>
        <w:t>,</w:t>
      </w:r>
      <w:r w:rsidR="00EE721A" w:rsidRPr="00386E47">
        <w:rPr>
          <w:rFonts w:asciiTheme="majorHAnsi" w:eastAsia="Calibri" w:hAnsiTheme="majorHAnsi"/>
          <w:sz w:val="20"/>
          <w:szCs w:val="20"/>
          <w:lang w:val="es-VE"/>
        </w:rPr>
        <w:t xml:space="preserve"> que el </w:t>
      </w:r>
      <w:r w:rsidR="00CA2516" w:rsidRPr="00386E47">
        <w:rPr>
          <w:rFonts w:asciiTheme="majorHAnsi" w:eastAsia="Calibri" w:hAnsiTheme="majorHAnsi"/>
          <w:sz w:val="20"/>
          <w:szCs w:val="20"/>
          <w:lang w:val="es-VE"/>
        </w:rPr>
        <w:t xml:space="preserve">Estado argentino </w:t>
      </w:r>
      <w:r w:rsidRPr="00386E47">
        <w:rPr>
          <w:rFonts w:asciiTheme="majorHAnsi" w:eastAsia="Calibri" w:hAnsiTheme="majorHAnsi"/>
          <w:sz w:val="20"/>
          <w:szCs w:val="20"/>
          <w:lang w:val="es-VE"/>
        </w:rPr>
        <w:t>(</w:t>
      </w:r>
      <w:r w:rsidR="00EE721A" w:rsidRPr="00386E47">
        <w:rPr>
          <w:rFonts w:asciiTheme="majorHAnsi" w:eastAsia="Calibri" w:hAnsiTheme="majorHAnsi"/>
          <w:sz w:val="20"/>
          <w:szCs w:val="20"/>
          <w:lang w:val="es-VE"/>
        </w:rPr>
        <w:t xml:space="preserve">en adelante </w:t>
      </w:r>
      <w:r w:rsidRPr="00386E47">
        <w:rPr>
          <w:rFonts w:asciiTheme="majorHAnsi" w:eastAsia="Calibri" w:hAnsiTheme="majorHAnsi"/>
          <w:sz w:val="20"/>
          <w:szCs w:val="20"/>
          <w:lang w:val="es-VE"/>
        </w:rPr>
        <w:t>“el Estado argentino”, “el Estado” o “Argentina”)</w:t>
      </w:r>
      <w:r w:rsidR="006E5444" w:rsidRPr="00386E47">
        <w:rPr>
          <w:rFonts w:asciiTheme="majorHAnsi" w:eastAsia="Calibri" w:hAnsiTheme="majorHAnsi"/>
          <w:sz w:val="20"/>
          <w:szCs w:val="20"/>
          <w:lang w:val="es-VE"/>
        </w:rPr>
        <w:t xml:space="preserve"> resulta </w:t>
      </w:r>
      <w:r w:rsidR="00EE721A" w:rsidRPr="00386E47">
        <w:rPr>
          <w:rFonts w:asciiTheme="majorHAnsi" w:eastAsia="Calibri" w:hAnsiTheme="majorHAnsi"/>
          <w:sz w:val="20"/>
          <w:szCs w:val="20"/>
          <w:lang w:val="es-VE"/>
        </w:rPr>
        <w:t xml:space="preserve">responsable a nivel internacional </w:t>
      </w:r>
      <w:r w:rsidRPr="00386E47">
        <w:rPr>
          <w:rFonts w:asciiTheme="majorHAnsi" w:eastAsia="Calibri" w:hAnsiTheme="majorHAnsi"/>
          <w:sz w:val="20"/>
          <w:szCs w:val="20"/>
          <w:lang w:val="es-VE"/>
        </w:rPr>
        <w:t xml:space="preserve">por </w:t>
      </w:r>
      <w:r w:rsidR="00CA2516" w:rsidRPr="00386E47">
        <w:rPr>
          <w:rFonts w:asciiTheme="majorHAnsi" w:eastAsia="Calibri" w:hAnsiTheme="majorHAnsi"/>
          <w:sz w:val="20"/>
          <w:szCs w:val="20"/>
          <w:lang w:val="es-VE"/>
        </w:rPr>
        <w:t>la infracción</w:t>
      </w:r>
      <w:r w:rsidR="00EE721A" w:rsidRPr="00386E47">
        <w:rPr>
          <w:rFonts w:asciiTheme="majorHAnsi" w:eastAsia="Calibri" w:hAnsiTheme="majorHAnsi"/>
          <w:sz w:val="20"/>
          <w:szCs w:val="20"/>
          <w:lang w:val="es-VE"/>
        </w:rPr>
        <w:t xml:space="preserve"> de su </w:t>
      </w:r>
      <w:r w:rsidR="00CA2516" w:rsidRPr="00386E47">
        <w:rPr>
          <w:rFonts w:asciiTheme="majorHAnsi" w:eastAsia="Calibri" w:hAnsiTheme="majorHAnsi"/>
          <w:sz w:val="20"/>
          <w:szCs w:val="20"/>
          <w:lang w:val="es-VE"/>
        </w:rPr>
        <w:t>deber</w:t>
      </w:r>
      <w:r w:rsidRPr="00386E47">
        <w:rPr>
          <w:rFonts w:asciiTheme="majorHAnsi" w:eastAsia="Calibri" w:hAnsiTheme="majorHAnsi"/>
          <w:sz w:val="20"/>
          <w:szCs w:val="20"/>
          <w:lang w:val="es-VE"/>
        </w:rPr>
        <w:t xml:space="preserve"> de prevención del </w:t>
      </w:r>
      <w:r w:rsidR="00CA2516" w:rsidRPr="00386E47">
        <w:rPr>
          <w:rFonts w:asciiTheme="majorHAnsi" w:eastAsia="Calibri" w:hAnsiTheme="majorHAnsi"/>
          <w:sz w:val="20"/>
          <w:szCs w:val="20"/>
          <w:lang w:val="es-VE"/>
        </w:rPr>
        <w:t>atentado</w:t>
      </w:r>
      <w:r w:rsidRPr="00386E47">
        <w:rPr>
          <w:rFonts w:asciiTheme="majorHAnsi" w:eastAsia="Calibri" w:hAnsiTheme="majorHAnsi"/>
          <w:sz w:val="20"/>
          <w:szCs w:val="20"/>
          <w:lang w:val="es-VE"/>
        </w:rPr>
        <w:t xml:space="preserve"> terrorista </w:t>
      </w:r>
      <w:r w:rsidR="00EE721A" w:rsidRPr="00386E47">
        <w:rPr>
          <w:rFonts w:asciiTheme="majorHAnsi" w:eastAsia="Calibri" w:hAnsiTheme="majorHAnsi"/>
          <w:sz w:val="20"/>
          <w:szCs w:val="20"/>
          <w:lang w:val="es-VE"/>
        </w:rPr>
        <w:t xml:space="preserve">ocurrido </w:t>
      </w:r>
      <w:r w:rsidR="00997162" w:rsidRPr="00386E47">
        <w:rPr>
          <w:rFonts w:asciiTheme="majorHAnsi" w:eastAsia="Calibri" w:hAnsiTheme="majorHAnsi"/>
          <w:sz w:val="20"/>
          <w:szCs w:val="20"/>
          <w:lang w:val="es-VE"/>
        </w:rPr>
        <w:t xml:space="preserve">el </w:t>
      </w:r>
      <w:r w:rsidR="00EE721A" w:rsidRPr="00386E47">
        <w:rPr>
          <w:rFonts w:asciiTheme="majorHAnsi" w:eastAsia="Calibri" w:hAnsiTheme="majorHAnsi"/>
          <w:sz w:val="20"/>
          <w:szCs w:val="20"/>
          <w:lang w:val="es-VE"/>
        </w:rPr>
        <w:t xml:space="preserve">18 de julio de 1994, </w:t>
      </w:r>
      <w:r w:rsidR="00F00941" w:rsidRPr="00386E47">
        <w:rPr>
          <w:rFonts w:asciiTheme="majorHAnsi" w:eastAsia="Calibri" w:hAnsiTheme="majorHAnsi"/>
          <w:sz w:val="20"/>
          <w:szCs w:val="20"/>
          <w:lang w:val="es-VE"/>
        </w:rPr>
        <w:t>el cual</w:t>
      </w:r>
      <w:r w:rsidR="00EE721A" w:rsidRPr="00386E47">
        <w:rPr>
          <w:rFonts w:asciiTheme="majorHAnsi" w:eastAsia="Calibri" w:hAnsiTheme="majorHAnsi"/>
          <w:sz w:val="20"/>
          <w:szCs w:val="20"/>
          <w:lang w:val="es-VE"/>
        </w:rPr>
        <w:t xml:space="preserve"> </w:t>
      </w:r>
      <w:r w:rsidR="00887819" w:rsidRPr="00386E47">
        <w:rPr>
          <w:rFonts w:asciiTheme="majorHAnsi" w:eastAsia="Calibri" w:hAnsiTheme="majorHAnsi"/>
          <w:sz w:val="20"/>
          <w:szCs w:val="20"/>
          <w:lang w:val="es-VE"/>
        </w:rPr>
        <w:t xml:space="preserve">provocó la </w:t>
      </w:r>
      <w:r w:rsidR="00EE721A" w:rsidRPr="00386E47">
        <w:rPr>
          <w:rFonts w:asciiTheme="majorHAnsi" w:eastAsia="Calibri" w:hAnsiTheme="majorHAnsi"/>
          <w:sz w:val="20"/>
          <w:szCs w:val="20"/>
          <w:lang w:val="es-VE"/>
        </w:rPr>
        <w:t xml:space="preserve">muerte de </w:t>
      </w:r>
      <w:r w:rsidRPr="00386E47">
        <w:rPr>
          <w:rFonts w:asciiTheme="majorHAnsi" w:eastAsia="Calibri" w:hAnsiTheme="majorHAnsi"/>
          <w:sz w:val="20"/>
          <w:szCs w:val="20"/>
          <w:lang w:val="es-VE"/>
        </w:rPr>
        <w:t xml:space="preserve">85 personas y </w:t>
      </w:r>
      <w:r w:rsidR="00CA2516" w:rsidRPr="00386E47">
        <w:rPr>
          <w:rFonts w:asciiTheme="majorHAnsi" w:eastAsia="Calibri" w:hAnsiTheme="majorHAnsi"/>
          <w:sz w:val="20"/>
          <w:szCs w:val="20"/>
          <w:lang w:val="es-VE"/>
        </w:rPr>
        <w:t>heridas</w:t>
      </w:r>
      <w:r w:rsidR="00EE721A" w:rsidRPr="00386E47">
        <w:rPr>
          <w:rFonts w:asciiTheme="majorHAnsi" w:eastAsia="Calibri" w:hAnsiTheme="majorHAnsi"/>
          <w:sz w:val="20"/>
          <w:szCs w:val="20"/>
          <w:lang w:val="es-VE"/>
        </w:rPr>
        <w:t xml:space="preserve"> </w:t>
      </w:r>
      <w:r w:rsidR="00F00941" w:rsidRPr="00386E47">
        <w:rPr>
          <w:rFonts w:asciiTheme="majorHAnsi" w:eastAsia="Calibri" w:hAnsiTheme="majorHAnsi"/>
          <w:sz w:val="20"/>
          <w:szCs w:val="20"/>
          <w:lang w:val="es-VE"/>
        </w:rPr>
        <w:t xml:space="preserve">de gravedad </w:t>
      </w:r>
      <w:r w:rsidR="00D16446" w:rsidRPr="00386E47">
        <w:rPr>
          <w:rFonts w:asciiTheme="majorHAnsi" w:eastAsia="Calibri" w:hAnsiTheme="majorHAnsi"/>
          <w:sz w:val="20"/>
          <w:szCs w:val="20"/>
          <w:lang w:val="es-VE"/>
        </w:rPr>
        <w:t xml:space="preserve">en perjuicio de </w:t>
      </w:r>
      <w:r w:rsidR="00F00941" w:rsidRPr="00386E47">
        <w:rPr>
          <w:rFonts w:asciiTheme="majorHAnsi" w:eastAsia="Calibri" w:hAnsiTheme="majorHAnsi"/>
          <w:sz w:val="20"/>
          <w:szCs w:val="20"/>
          <w:lang w:val="es-VE"/>
        </w:rPr>
        <w:t>al menos otras</w:t>
      </w:r>
      <w:r w:rsidR="00D16446" w:rsidRPr="00386E47">
        <w:rPr>
          <w:rFonts w:asciiTheme="majorHAnsi" w:eastAsia="Calibri" w:hAnsiTheme="majorHAnsi"/>
          <w:sz w:val="20"/>
          <w:szCs w:val="20"/>
          <w:lang w:val="es-VE"/>
        </w:rPr>
        <w:t xml:space="preserve"> </w:t>
      </w:r>
      <w:r w:rsidRPr="00386E47">
        <w:rPr>
          <w:rFonts w:asciiTheme="majorHAnsi" w:eastAsia="Calibri" w:hAnsiTheme="majorHAnsi"/>
          <w:sz w:val="20"/>
          <w:szCs w:val="20"/>
          <w:lang w:val="es-VE"/>
        </w:rPr>
        <w:t>151</w:t>
      </w:r>
      <w:r w:rsidR="00CA2516" w:rsidRPr="00386E47">
        <w:rPr>
          <w:rFonts w:asciiTheme="majorHAnsi" w:eastAsia="Calibri" w:hAnsiTheme="majorHAnsi"/>
          <w:sz w:val="20"/>
          <w:szCs w:val="20"/>
          <w:lang w:val="es-VE"/>
        </w:rPr>
        <w:t xml:space="preserve"> </w:t>
      </w:r>
      <w:r w:rsidR="00170D9A" w:rsidRPr="00386E47">
        <w:rPr>
          <w:rFonts w:asciiTheme="majorHAnsi" w:eastAsia="Calibri" w:hAnsiTheme="majorHAnsi"/>
          <w:sz w:val="20"/>
          <w:szCs w:val="20"/>
          <w:lang w:val="es-VE"/>
        </w:rPr>
        <w:t xml:space="preserve">personas </w:t>
      </w:r>
      <w:r w:rsidRPr="00386E47">
        <w:rPr>
          <w:rFonts w:asciiTheme="majorHAnsi" w:eastAsia="Calibri" w:hAnsiTheme="majorHAnsi"/>
          <w:sz w:val="20"/>
          <w:szCs w:val="20"/>
          <w:lang w:val="es-VE"/>
        </w:rPr>
        <w:t>(“las presuntas víctimas”</w:t>
      </w:r>
      <w:r w:rsidR="00EE721A" w:rsidRPr="00386E47">
        <w:rPr>
          <w:rFonts w:asciiTheme="majorHAnsi" w:eastAsia="Calibri" w:hAnsiTheme="majorHAnsi"/>
          <w:sz w:val="20"/>
          <w:szCs w:val="20"/>
          <w:lang w:val="es-VE"/>
        </w:rPr>
        <w:t>)</w:t>
      </w:r>
      <w:r w:rsidR="00F16CF6" w:rsidRPr="00386E47">
        <w:rPr>
          <w:rFonts w:asciiTheme="majorHAnsi" w:eastAsia="Calibri" w:hAnsiTheme="majorHAnsi"/>
          <w:sz w:val="20"/>
          <w:szCs w:val="20"/>
          <w:lang w:val="es-VE"/>
        </w:rPr>
        <w:t xml:space="preserve"> y</w:t>
      </w:r>
      <w:r w:rsidR="00B0077C" w:rsidRPr="00386E47">
        <w:rPr>
          <w:rFonts w:asciiTheme="majorHAnsi" w:eastAsia="Calibri" w:hAnsiTheme="majorHAnsi"/>
          <w:sz w:val="20"/>
          <w:szCs w:val="20"/>
          <w:lang w:val="es-VE"/>
        </w:rPr>
        <w:t xml:space="preserve"> por el estado de</w:t>
      </w:r>
      <w:r w:rsidR="00F16CF6" w:rsidRPr="00386E47">
        <w:rPr>
          <w:rFonts w:asciiTheme="majorHAnsi" w:eastAsia="Calibri" w:hAnsiTheme="majorHAnsi"/>
          <w:sz w:val="20"/>
          <w:szCs w:val="20"/>
          <w:lang w:val="es-VE"/>
        </w:rPr>
        <w:t xml:space="preserve"> impunidad en que</w:t>
      </w:r>
      <w:r w:rsidR="00B0077C" w:rsidRPr="00386E47">
        <w:rPr>
          <w:rFonts w:asciiTheme="majorHAnsi" w:eastAsia="Calibri" w:hAnsiTheme="majorHAnsi"/>
          <w:sz w:val="20"/>
          <w:szCs w:val="20"/>
          <w:lang w:val="es-VE"/>
        </w:rPr>
        <w:t>, a la fecha,</w:t>
      </w:r>
      <w:r w:rsidR="00F16CF6" w:rsidRPr="00386E47">
        <w:rPr>
          <w:rFonts w:asciiTheme="majorHAnsi" w:eastAsia="Calibri" w:hAnsiTheme="majorHAnsi"/>
          <w:sz w:val="20"/>
          <w:szCs w:val="20"/>
          <w:lang w:val="es-VE"/>
        </w:rPr>
        <w:t xml:space="preserve"> se encuentran los hechos</w:t>
      </w:r>
      <w:r w:rsidR="00EE721A" w:rsidRPr="00386E47">
        <w:rPr>
          <w:rFonts w:asciiTheme="majorHAnsi" w:eastAsia="Calibri" w:hAnsiTheme="majorHAnsi"/>
          <w:sz w:val="20"/>
          <w:szCs w:val="20"/>
          <w:lang w:val="es-VE"/>
        </w:rPr>
        <w:t>.</w:t>
      </w:r>
    </w:p>
    <w:p w14:paraId="2D9D3586" w14:textId="77777777" w:rsidR="00F85B68" w:rsidRPr="00386E47" w:rsidRDefault="00F85B68" w:rsidP="00BB147E">
      <w:pPr>
        <w:pStyle w:val="ListParagraph"/>
        <w:ind w:left="0"/>
        <w:rPr>
          <w:rFonts w:asciiTheme="majorHAnsi" w:eastAsia="Calibri" w:hAnsiTheme="majorHAnsi"/>
          <w:sz w:val="20"/>
          <w:szCs w:val="20"/>
          <w:lang w:val="es-VE"/>
        </w:rPr>
      </w:pPr>
    </w:p>
    <w:p w14:paraId="031B2376" w14:textId="77777777" w:rsidR="00170D9A" w:rsidRPr="00386E47" w:rsidRDefault="006E5444" w:rsidP="00F00941">
      <w:pPr>
        <w:pStyle w:val="Heading1"/>
        <w:rPr>
          <w:rFonts w:asciiTheme="majorHAnsi" w:hAnsiTheme="majorHAnsi"/>
          <w:lang w:val="es-VE"/>
        </w:rPr>
      </w:pPr>
      <w:bookmarkStart w:id="3" w:name="_Toc51252181"/>
      <w:r w:rsidRPr="00386E47">
        <w:rPr>
          <w:rFonts w:asciiTheme="majorHAnsi" w:hAnsiTheme="majorHAnsi"/>
        </w:rPr>
        <w:t>TRÁMITE DE LA PETICIÓ</w:t>
      </w:r>
      <w:r w:rsidR="00131D6E" w:rsidRPr="00386E47">
        <w:rPr>
          <w:rFonts w:asciiTheme="majorHAnsi" w:hAnsiTheme="majorHAnsi"/>
        </w:rPr>
        <w:t>N</w:t>
      </w:r>
      <w:bookmarkEnd w:id="3"/>
    </w:p>
    <w:p w14:paraId="432C07CF" w14:textId="77777777" w:rsidR="009F70EA" w:rsidRPr="00386E47" w:rsidRDefault="00170D9A" w:rsidP="003A5860">
      <w:pPr>
        <w:numPr>
          <w:ilvl w:val="0"/>
          <w:numId w:val="55"/>
        </w:numPr>
        <w:tabs>
          <w:tab w:val="left" w:pos="567"/>
        </w:tabs>
        <w:ind w:left="0" w:firstLine="0"/>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La petición inicial fue </w:t>
      </w:r>
      <w:r w:rsidR="00B0077C" w:rsidRPr="00386E47">
        <w:rPr>
          <w:rFonts w:asciiTheme="majorHAnsi" w:eastAsia="Calibri" w:hAnsiTheme="majorHAnsi"/>
          <w:sz w:val="20"/>
          <w:szCs w:val="20"/>
          <w:lang w:val="es-AR"/>
        </w:rPr>
        <w:t>presentada</w:t>
      </w:r>
      <w:r w:rsidR="00F00941" w:rsidRPr="00386E47">
        <w:rPr>
          <w:rFonts w:asciiTheme="majorHAnsi" w:eastAsia="Calibri" w:hAnsiTheme="majorHAnsi"/>
          <w:sz w:val="20"/>
          <w:szCs w:val="20"/>
          <w:lang w:val="es-AR"/>
        </w:rPr>
        <w:t xml:space="preserve"> el</w:t>
      </w:r>
      <w:r w:rsidRPr="00386E47">
        <w:rPr>
          <w:rFonts w:asciiTheme="majorHAnsi" w:eastAsia="Calibri" w:hAnsiTheme="majorHAnsi"/>
          <w:sz w:val="20"/>
          <w:szCs w:val="20"/>
          <w:lang w:val="es-AR"/>
        </w:rPr>
        <w:t xml:space="preserve"> 16 de julio de 1999</w:t>
      </w:r>
      <w:r w:rsidR="00F00941"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por la Asociación Civil Memoria Activa</w:t>
      </w:r>
      <w:r w:rsidR="00F00941"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con el copatrocinio del Centro de Estudios Legales (CELS), el Centro por el Derecho y la Justicia Internacional (CEJIL) y el Dr. Alberto Luis Zuppi. </w:t>
      </w:r>
      <w:r w:rsidR="009F70EA" w:rsidRPr="00386E47">
        <w:rPr>
          <w:rFonts w:asciiTheme="majorHAnsi" w:eastAsia="Calibri" w:hAnsiTheme="majorHAnsi"/>
          <w:sz w:val="20"/>
          <w:szCs w:val="20"/>
          <w:lang w:val="es-AR"/>
        </w:rPr>
        <w:t>El 23 de septiembre de 1999, Human Rights Watch manifestó s</w:t>
      </w:r>
      <w:r w:rsidR="00451B75" w:rsidRPr="00386E47">
        <w:rPr>
          <w:rFonts w:asciiTheme="majorHAnsi" w:eastAsia="Calibri" w:hAnsiTheme="majorHAnsi"/>
          <w:sz w:val="20"/>
          <w:szCs w:val="20"/>
          <w:lang w:val="es-AR"/>
        </w:rPr>
        <w:t>u interés de participar como co</w:t>
      </w:r>
      <w:r w:rsidR="009F70EA" w:rsidRPr="00386E47">
        <w:rPr>
          <w:rFonts w:asciiTheme="majorHAnsi" w:eastAsia="Calibri" w:hAnsiTheme="majorHAnsi"/>
          <w:sz w:val="20"/>
          <w:szCs w:val="20"/>
          <w:lang w:val="es-AR"/>
        </w:rPr>
        <w:t xml:space="preserve">peticionario. Igualmente, el 28 de septiembre de 1999, el CELS indicó que Human Rights Watch participaría como copatrocinante de la petición. </w:t>
      </w:r>
    </w:p>
    <w:p w14:paraId="0B3474E9" w14:textId="77777777" w:rsidR="006D66B1" w:rsidRPr="00386E47" w:rsidRDefault="006D66B1" w:rsidP="00170D9A">
      <w:pPr>
        <w:tabs>
          <w:tab w:val="left" w:pos="567"/>
        </w:tabs>
        <w:jc w:val="both"/>
        <w:rPr>
          <w:rFonts w:asciiTheme="majorHAnsi" w:eastAsia="Calibri" w:hAnsiTheme="majorHAnsi"/>
          <w:sz w:val="20"/>
          <w:szCs w:val="20"/>
          <w:lang w:val="es-AR"/>
        </w:rPr>
      </w:pPr>
    </w:p>
    <w:p w14:paraId="7675B78D" w14:textId="77777777" w:rsidR="009F70EA" w:rsidRPr="00386E47" w:rsidRDefault="009F70EA" w:rsidP="003A5860">
      <w:pPr>
        <w:numPr>
          <w:ilvl w:val="0"/>
          <w:numId w:val="55"/>
        </w:numPr>
        <w:tabs>
          <w:tab w:val="left" w:pos="567"/>
        </w:tabs>
        <w:ind w:left="0" w:firstLine="0"/>
        <w:jc w:val="both"/>
        <w:rPr>
          <w:rFonts w:asciiTheme="majorHAnsi" w:eastAsia="Calibri" w:hAnsiTheme="majorHAnsi"/>
          <w:sz w:val="20"/>
          <w:szCs w:val="20"/>
          <w:lang w:val="es-VE"/>
        </w:rPr>
      </w:pPr>
      <w:r w:rsidRPr="00386E47">
        <w:rPr>
          <w:rFonts w:asciiTheme="majorHAnsi" w:eastAsia="Calibri" w:hAnsiTheme="majorHAnsi"/>
          <w:sz w:val="20"/>
          <w:szCs w:val="20"/>
          <w:lang w:val="es-AR"/>
        </w:rPr>
        <w:t xml:space="preserve">El 3 de agosto de 2000, el Estado </w:t>
      </w:r>
      <w:r w:rsidR="00EE721A" w:rsidRPr="00386E47">
        <w:rPr>
          <w:rFonts w:asciiTheme="majorHAnsi" w:eastAsia="Calibri" w:hAnsiTheme="majorHAnsi"/>
          <w:sz w:val="20"/>
          <w:szCs w:val="20"/>
          <w:lang w:val="es-AR"/>
        </w:rPr>
        <w:t>remitió una comunicación por medio de la cual</w:t>
      </w:r>
      <w:r w:rsidRPr="00386E47">
        <w:rPr>
          <w:rFonts w:asciiTheme="majorHAnsi" w:eastAsia="Calibri" w:hAnsiTheme="majorHAnsi"/>
          <w:sz w:val="20"/>
          <w:szCs w:val="20"/>
          <w:lang w:val="es-AR"/>
        </w:rPr>
        <w:t xml:space="preserve"> </w:t>
      </w:r>
      <w:r w:rsidR="00EE721A" w:rsidRPr="00386E47">
        <w:rPr>
          <w:rFonts w:asciiTheme="majorHAnsi" w:eastAsia="Calibri" w:hAnsiTheme="majorHAnsi"/>
          <w:sz w:val="20"/>
          <w:szCs w:val="20"/>
          <w:lang w:val="es-AR"/>
        </w:rPr>
        <w:t>efectuó diversas consideraciones</w:t>
      </w:r>
      <w:r w:rsidRPr="00386E47">
        <w:rPr>
          <w:rFonts w:asciiTheme="majorHAnsi" w:eastAsia="Calibri" w:hAnsiTheme="majorHAnsi"/>
          <w:sz w:val="20"/>
          <w:szCs w:val="20"/>
          <w:lang w:val="es-AR"/>
        </w:rPr>
        <w:t xml:space="preserve"> sobre </w:t>
      </w:r>
      <w:r w:rsidR="00887819" w:rsidRPr="00386E47">
        <w:rPr>
          <w:rFonts w:asciiTheme="majorHAnsi" w:eastAsia="Calibri" w:hAnsiTheme="majorHAnsi"/>
          <w:sz w:val="20"/>
          <w:szCs w:val="20"/>
          <w:lang w:val="es-AR"/>
        </w:rPr>
        <w:t xml:space="preserve">el desarrollo de la </w:t>
      </w:r>
      <w:r w:rsidR="006E5444" w:rsidRPr="00386E47">
        <w:rPr>
          <w:rFonts w:asciiTheme="majorHAnsi" w:eastAsia="Calibri" w:hAnsiTheme="majorHAnsi"/>
          <w:sz w:val="20"/>
          <w:szCs w:val="20"/>
          <w:lang w:val="es-AR"/>
        </w:rPr>
        <w:t>investigación</w:t>
      </w:r>
      <w:r w:rsidR="00887819" w:rsidRPr="00386E47">
        <w:rPr>
          <w:rFonts w:asciiTheme="majorHAnsi" w:eastAsia="Calibri" w:hAnsiTheme="majorHAnsi"/>
          <w:sz w:val="20"/>
          <w:szCs w:val="20"/>
          <w:lang w:val="es-AR"/>
        </w:rPr>
        <w:t xml:space="preserve"> en sede interna y cursó una invitación a la CIDH para asistir, en calidad de veedor, </w:t>
      </w:r>
      <w:r w:rsidRPr="00386E47">
        <w:rPr>
          <w:rFonts w:asciiTheme="majorHAnsi" w:eastAsia="Calibri" w:hAnsiTheme="majorHAnsi"/>
          <w:sz w:val="20"/>
          <w:szCs w:val="20"/>
          <w:lang w:val="es-AR"/>
        </w:rPr>
        <w:t xml:space="preserve">al juicio oral y </w:t>
      </w:r>
      <w:r w:rsidR="00CB1F3E" w:rsidRPr="00386E47">
        <w:rPr>
          <w:rFonts w:asciiTheme="majorHAnsi" w:eastAsia="Calibri" w:hAnsiTheme="majorHAnsi"/>
          <w:sz w:val="20"/>
          <w:szCs w:val="20"/>
          <w:lang w:val="es-AR"/>
        </w:rPr>
        <w:t xml:space="preserve">público que se celebraría </w:t>
      </w:r>
      <w:r w:rsidR="00EE721A" w:rsidRPr="00386E47">
        <w:rPr>
          <w:rFonts w:asciiTheme="majorHAnsi" w:eastAsia="Calibri" w:hAnsiTheme="majorHAnsi"/>
          <w:sz w:val="20"/>
          <w:szCs w:val="20"/>
          <w:lang w:val="es-AR"/>
        </w:rPr>
        <w:t xml:space="preserve">en los meses subsiguientes. </w:t>
      </w:r>
      <w:r w:rsidR="00CB1F3E" w:rsidRPr="00386E47">
        <w:rPr>
          <w:rFonts w:asciiTheme="majorHAnsi" w:eastAsia="Calibri" w:hAnsiTheme="majorHAnsi"/>
          <w:sz w:val="20"/>
          <w:szCs w:val="20"/>
          <w:lang w:val="es-AR"/>
        </w:rPr>
        <w:t>Por su parte, e</w:t>
      </w:r>
      <w:r w:rsidRPr="00386E47">
        <w:rPr>
          <w:rFonts w:asciiTheme="majorHAnsi" w:eastAsia="Calibri" w:hAnsiTheme="majorHAnsi"/>
          <w:sz w:val="20"/>
          <w:szCs w:val="20"/>
          <w:lang w:val="es-AR"/>
        </w:rPr>
        <w:t xml:space="preserve">l 26 de septiembre de 2000, la CIDH recibió </w:t>
      </w:r>
      <w:r w:rsidR="00CB1F3E" w:rsidRPr="00386E47">
        <w:rPr>
          <w:rFonts w:asciiTheme="majorHAnsi" w:eastAsia="Calibri" w:hAnsiTheme="majorHAnsi"/>
          <w:sz w:val="20"/>
          <w:szCs w:val="20"/>
          <w:lang w:val="es-AR"/>
        </w:rPr>
        <w:t>un escrito</w:t>
      </w:r>
      <w:r w:rsidRPr="00386E47">
        <w:rPr>
          <w:rFonts w:asciiTheme="majorHAnsi" w:eastAsia="Calibri" w:hAnsiTheme="majorHAnsi"/>
          <w:sz w:val="20"/>
          <w:szCs w:val="20"/>
          <w:lang w:val="es-AR"/>
        </w:rPr>
        <w:t xml:space="preserve"> d</w:t>
      </w:r>
      <w:r w:rsidR="00B0077C" w:rsidRPr="00386E47">
        <w:rPr>
          <w:rFonts w:asciiTheme="majorHAnsi" w:eastAsia="Calibri" w:hAnsiTheme="majorHAnsi"/>
          <w:sz w:val="20"/>
          <w:szCs w:val="20"/>
          <w:lang w:val="es-AR"/>
        </w:rPr>
        <w:t>e los peticionarios en el que enunciaron</w:t>
      </w:r>
      <w:r w:rsidR="00CB1F3E" w:rsidRPr="00386E47">
        <w:rPr>
          <w:rFonts w:asciiTheme="majorHAnsi" w:eastAsia="Calibri" w:hAnsiTheme="majorHAnsi"/>
          <w:sz w:val="20"/>
          <w:szCs w:val="20"/>
          <w:lang w:val="es-AR"/>
        </w:rPr>
        <w:t xml:space="preserve"> diversos</w:t>
      </w:r>
      <w:r w:rsidRPr="00386E47">
        <w:rPr>
          <w:rFonts w:asciiTheme="majorHAnsi" w:eastAsia="Calibri" w:hAnsiTheme="majorHAnsi"/>
          <w:sz w:val="20"/>
          <w:szCs w:val="20"/>
          <w:lang w:val="es-AR"/>
        </w:rPr>
        <w:t xml:space="preserve"> argu</w:t>
      </w:r>
      <w:r w:rsidR="00CB1F3E" w:rsidRPr="00386E47">
        <w:rPr>
          <w:rFonts w:asciiTheme="majorHAnsi" w:eastAsia="Calibri" w:hAnsiTheme="majorHAnsi"/>
          <w:sz w:val="20"/>
          <w:szCs w:val="20"/>
          <w:lang w:val="es-AR"/>
        </w:rPr>
        <w:t>mentos de admisibilidad y fondo</w:t>
      </w:r>
      <w:r w:rsidRPr="00386E47">
        <w:rPr>
          <w:rFonts w:asciiTheme="majorHAnsi" w:eastAsia="Calibri" w:hAnsiTheme="majorHAnsi"/>
          <w:sz w:val="20"/>
          <w:szCs w:val="20"/>
          <w:lang w:val="es-AR"/>
        </w:rPr>
        <w:t xml:space="preserve"> </w:t>
      </w:r>
      <w:r w:rsidR="00CB1F3E" w:rsidRPr="00386E47">
        <w:rPr>
          <w:rFonts w:asciiTheme="majorHAnsi" w:eastAsia="Calibri" w:hAnsiTheme="majorHAnsi"/>
          <w:sz w:val="20"/>
          <w:szCs w:val="20"/>
          <w:lang w:val="es-AR"/>
        </w:rPr>
        <w:t>y manifestaron su</w:t>
      </w:r>
      <w:r w:rsidRPr="00386E47">
        <w:rPr>
          <w:rFonts w:asciiTheme="majorHAnsi" w:eastAsia="Calibri" w:hAnsiTheme="majorHAnsi"/>
          <w:sz w:val="20"/>
          <w:szCs w:val="20"/>
          <w:lang w:val="es-AR"/>
        </w:rPr>
        <w:t xml:space="preserve"> anuencia </w:t>
      </w:r>
      <w:r w:rsidR="00CB1F3E" w:rsidRPr="00386E47">
        <w:rPr>
          <w:rFonts w:asciiTheme="majorHAnsi" w:eastAsia="Calibri" w:hAnsiTheme="majorHAnsi"/>
          <w:sz w:val="20"/>
          <w:szCs w:val="20"/>
          <w:lang w:val="es-AR"/>
        </w:rPr>
        <w:t>al nombramiento</w:t>
      </w:r>
      <w:r w:rsidRPr="00386E47">
        <w:rPr>
          <w:rFonts w:asciiTheme="majorHAnsi" w:eastAsia="Calibri" w:hAnsiTheme="majorHAnsi"/>
          <w:sz w:val="20"/>
          <w:szCs w:val="20"/>
          <w:lang w:val="es-AR"/>
        </w:rPr>
        <w:t xml:space="preserve"> </w:t>
      </w:r>
      <w:r w:rsidR="00CB1F3E" w:rsidRPr="00386E47">
        <w:rPr>
          <w:rFonts w:asciiTheme="majorHAnsi" w:eastAsia="Calibri" w:hAnsiTheme="majorHAnsi"/>
          <w:sz w:val="20"/>
          <w:szCs w:val="20"/>
          <w:lang w:val="es-AR"/>
        </w:rPr>
        <w:t>un</w:t>
      </w:r>
      <w:r w:rsidRPr="00386E47">
        <w:rPr>
          <w:rFonts w:asciiTheme="majorHAnsi" w:eastAsia="Calibri" w:hAnsiTheme="majorHAnsi"/>
          <w:sz w:val="20"/>
          <w:szCs w:val="20"/>
          <w:lang w:val="es-AR"/>
        </w:rPr>
        <w:t xml:space="preserve"> veedor. El 3 de agosto de 2</w:t>
      </w:r>
      <w:r w:rsidR="00CB1F3E" w:rsidRPr="00386E47">
        <w:rPr>
          <w:rFonts w:asciiTheme="majorHAnsi" w:eastAsia="Calibri" w:hAnsiTheme="majorHAnsi"/>
          <w:sz w:val="20"/>
          <w:szCs w:val="20"/>
          <w:lang w:val="es-AR"/>
        </w:rPr>
        <w:t>001, la CIDH decidió nombrar a su entonces presidente,</w:t>
      </w:r>
      <w:r w:rsidRPr="00386E47">
        <w:rPr>
          <w:rFonts w:asciiTheme="majorHAnsi" w:eastAsia="Calibri" w:hAnsiTheme="majorHAnsi"/>
          <w:sz w:val="20"/>
          <w:szCs w:val="20"/>
          <w:lang w:val="es-AR"/>
        </w:rPr>
        <w:t xml:space="preserve"> Claudio Grossman, como observador </w:t>
      </w:r>
      <w:r w:rsidR="00CB1F3E" w:rsidRPr="00386E47">
        <w:rPr>
          <w:rFonts w:asciiTheme="majorHAnsi" w:eastAsia="Calibri" w:hAnsiTheme="majorHAnsi"/>
          <w:sz w:val="20"/>
          <w:szCs w:val="20"/>
          <w:lang w:val="es-AR"/>
        </w:rPr>
        <w:t>del</w:t>
      </w:r>
      <w:r w:rsidRPr="00386E47">
        <w:rPr>
          <w:rFonts w:asciiTheme="majorHAnsi" w:eastAsia="Calibri" w:hAnsiTheme="majorHAnsi"/>
          <w:sz w:val="20"/>
          <w:szCs w:val="20"/>
          <w:lang w:val="es-AR"/>
        </w:rPr>
        <w:t xml:space="preserve"> juicio oral </w:t>
      </w:r>
      <w:r w:rsidR="006D66B1" w:rsidRPr="00386E47">
        <w:rPr>
          <w:rFonts w:asciiTheme="majorHAnsi" w:eastAsia="Calibri" w:hAnsiTheme="majorHAnsi"/>
          <w:sz w:val="20"/>
          <w:szCs w:val="20"/>
          <w:lang w:val="es-AR"/>
        </w:rPr>
        <w:t>cuyo inicio fue fijado para</w:t>
      </w:r>
      <w:r w:rsidRPr="00386E47">
        <w:rPr>
          <w:rFonts w:asciiTheme="majorHAnsi" w:eastAsia="Calibri" w:hAnsiTheme="majorHAnsi"/>
          <w:sz w:val="20"/>
          <w:szCs w:val="20"/>
          <w:lang w:val="es-AR"/>
        </w:rPr>
        <w:t xml:space="preserve"> el 24 de septiembre del mismo año. El 22 de </w:t>
      </w:r>
      <w:r w:rsidR="00EE721A" w:rsidRPr="00386E47">
        <w:rPr>
          <w:rFonts w:asciiTheme="majorHAnsi" w:eastAsia="Calibri" w:hAnsiTheme="majorHAnsi"/>
          <w:sz w:val="20"/>
          <w:szCs w:val="20"/>
          <w:lang w:val="es-AR"/>
        </w:rPr>
        <w:t>febrero</w:t>
      </w:r>
      <w:r w:rsidR="00CB1F3E" w:rsidRPr="00386E47">
        <w:rPr>
          <w:rFonts w:asciiTheme="majorHAnsi" w:eastAsia="Calibri" w:hAnsiTheme="majorHAnsi"/>
          <w:sz w:val="20"/>
          <w:szCs w:val="20"/>
          <w:lang w:val="es-AR"/>
        </w:rPr>
        <w:t xml:space="preserve"> de 2005 </w:t>
      </w:r>
      <w:r w:rsidRPr="00386E47">
        <w:rPr>
          <w:rFonts w:asciiTheme="majorHAnsi" w:eastAsia="Calibri" w:hAnsiTheme="majorHAnsi"/>
          <w:sz w:val="20"/>
          <w:szCs w:val="20"/>
          <w:lang w:val="es-AR"/>
        </w:rPr>
        <w:t xml:space="preserve">el </w:t>
      </w:r>
      <w:r w:rsidR="00CB1F3E" w:rsidRPr="00386E47">
        <w:rPr>
          <w:rFonts w:asciiTheme="majorHAnsi" w:eastAsia="Calibri" w:hAnsiTheme="majorHAnsi"/>
          <w:sz w:val="20"/>
          <w:szCs w:val="20"/>
          <w:lang w:val="es-AR"/>
        </w:rPr>
        <w:t>Sr.</w:t>
      </w:r>
      <w:r w:rsidRPr="00386E47">
        <w:rPr>
          <w:rFonts w:asciiTheme="majorHAnsi" w:eastAsia="Calibri" w:hAnsiTheme="majorHAnsi"/>
          <w:sz w:val="20"/>
          <w:szCs w:val="20"/>
          <w:lang w:val="es-AR"/>
        </w:rPr>
        <w:t xml:space="preserve"> Grossman emitió </w:t>
      </w:r>
      <w:r w:rsidR="00CB1F3E" w:rsidRPr="00386E47">
        <w:rPr>
          <w:rFonts w:asciiTheme="majorHAnsi" w:eastAsia="Calibri" w:hAnsiTheme="majorHAnsi"/>
          <w:sz w:val="20"/>
          <w:szCs w:val="20"/>
          <w:lang w:val="es-AR"/>
        </w:rPr>
        <w:t>su informe final</w:t>
      </w:r>
      <w:r w:rsidR="00CB1F3E" w:rsidRPr="00386E47">
        <w:rPr>
          <w:rStyle w:val="FootnoteReference"/>
          <w:rFonts w:asciiTheme="majorHAnsi" w:eastAsia="Calibri" w:hAnsiTheme="majorHAnsi"/>
          <w:sz w:val="20"/>
          <w:szCs w:val="20"/>
          <w:lang w:val="es-AR"/>
        </w:rPr>
        <w:footnoteReference w:id="3"/>
      </w:r>
      <w:r w:rsidR="00CB1F3E" w:rsidRPr="00386E47">
        <w:rPr>
          <w:rFonts w:asciiTheme="majorHAnsi" w:eastAsia="Calibri" w:hAnsiTheme="majorHAnsi"/>
          <w:sz w:val="20"/>
          <w:szCs w:val="20"/>
          <w:lang w:val="es-AR"/>
        </w:rPr>
        <w:t xml:space="preserve">.  </w:t>
      </w:r>
    </w:p>
    <w:p w14:paraId="1D0FA32C" w14:textId="77777777" w:rsidR="006D66B1" w:rsidRPr="00386E47" w:rsidRDefault="006D66B1" w:rsidP="0059511A">
      <w:pPr>
        <w:tabs>
          <w:tab w:val="left" w:pos="360"/>
        </w:tabs>
        <w:jc w:val="both"/>
        <w:rPr>
          <w:rFonts w:asciiTheme="majorHAnsi" w:eastAsia="Calibri" w:hAnsiTheme="majorHAnsi"/>
          <w:sz w:val="20"/>
          <w:szCs w:val="20"/>
          <w:lang w:val="es-VE"/>
        </w:rPr>
      </w:pPr>
    </w:p>
    <w:p w14:paraId="7BF387B4" w14:textId="77777777" w:rsidR="0025691F" w:rsidRPr="00386E47" w:rsidRDefault="00887819" w:rsidP="003A5860">
      <w:pPr>
        <w:numPr>
          <w:ilvl w:val="0"/>
          <w:numId w:val="55"/>
        </w:numPr>
        <w:tabs>
          <w:tab w:val="left" w:pos="567"/>
        </w:tabs>
        <w:ind w:left="0" w:firstLine="0"/>
        <w:jc w:val="both"/>
        <w:rPr>
          <w:rFonts w:asciiTheme="majorHAnsi" w:eastAsia="Calibri" w:hAnsiTheme="majorHAnsi"/>
          <w:sz w:val="20"/>
          <w:szCs w:val="20"/>
          <w:lang w:val="es-VE"/>
        </w:rPr>
      </w:pPr>
      <w:r w:rsidRPr="00386E47">
        <w:rPr>
          <w:rFonts w:asciiTheme="majorHAnsi" w:eastAsia="Calibri" w:hAnsiTheme="majorHAnsi"/>
          <w:sz w:val="20"/>
          <w:szCs w:val="20"/>
          <w:lang w:val="es-AR"/>
        </w:rPr>
        <w:t xml:space="preserve">El día 4 de marzo de 2005 </w:t>
      </w:r>
      <w:r w:rsidR="006D66B1" w:rsidRPr="00386E47">
        <w:rPr>
          <w:rFonts w:asciiTheme="majorHAnsi" w:eastAsia="Calibri" w:hAnsiTheme="majorHAnsi"/>
          <w:sz w:val="20"/>
          <w:szCs w:val="20"/>
          <w:lang w:val="es-AR"/>
        </w:rPr>
        <w:t>se celebró una audiencia entre</w:t>
      </w:r>
      <w:r w:rsidR="009F70EA" w:rsidRPr="00386E47">
        <w:rPr>
          <w:rFonts w:asciiTheme="majorHAnsi" w:eastAsia="Calibri" w:hAnsiTheme="majorHAnsi"/>
          <w:sz w:val="20"/>
          <w:szCs w:val="20"/>
          <w:lang w:val="es-AR"/>
        </w:rPr>
        <w:t xml:space="preserve"> los representantes de los peticionarios, </w:t>
      </w:r>
      <w:r w:rsidR="006D66B1" w:rsidRPr="00386E47">
        <w:rPr>
          <w:rFonts w:asciiTheme="majorHAnsi" w:eastAsia="Calibri" w:hAnsiTheme="majorHAnsi"/>
          <w:sz w:val="20"/>
          <w:szCs w:val="20"/>
          <w:lang w:val="es-AR"/>
        </w:rPr>
        <w:t>d</w:t>
      </w:r>
      <w:r w:rsidR="009F70EA" w:rsidRPr="00386E47">
        <w:rPr>
          <w:rFonts w:asciiTheme="majorHAnsi" w:eastAsia="Calibri" w:hAnsiTheme="majorHAnsi"/>
          <w:sz w:val="20"/>
          <w:szCs w:val="20"/>
          <w:lang w:val="es-AR"/>
        </w:rPr>
        <w:t xml:space="preserve">el </w:t>
      </w:r>
      <w:r w:rsidR="006D66B1" w:rsidRPr="00386E47">
        <w:rPr>
          <w:rFonts w:asciiTheme="majorHAnsi" w:eastAsia="Calibri" w:hAnsiTheme="majorHAnsi"/>
          <w:sz w:val="20"/>
          <w:szCs w:val="20"/>
          <w:lang w:val="es-AR"/>
        </w:rPr>
        <w:t>Estado argentino</w:t>
      </w:r>
      <w:r w:rsidR="009F70EA" w:rsidRPr="00386E47">
        <w:rPr>
          <w:rFonts w:asciiTheme="majorHAnsi" w:eastAsia="Calibri" w:hAnsiTheme="majorHAnsi"/>
          <w:sz w:val="20"/>
          <w:szCs w:val="20"/>
          <w:lang w:val="es-AR"/>
        </w:rPr>
        <w:t xml:space="preserve"> y </w:t>
      </w:r>
      <w:r w:rsidR="00B0077C" w:rsidRPr="00386E47">
        <w:rPr>
          <w:rFonts w:asciiTheme="majorHAnsi" w:eastAsia="Calibri" w:hAnsiTheme="majorHAnsi"/>
          <w:sz w:val="20"/>
          <w:szCs w:val="20"/>
          <w:lang w:val="es-AR"/>
        </w:rPr>
        <w:t xml:space="preserve">miembros </w:t>
      </w:r>
      <w:r w:rsidR="009F70EA" w:rsidRPr="00386E47">
        <w:rPr>
          <w:rFonts w:asciiTheme="majorHAnsi" w:eastAsia="Calibri" w:hAnsiTheme="majorHAnsi"/>
          <w:sz w:val="20"/>
          <w:szCs w:val="20"/>
          <w:lang w:val="es-AR"/>
        </w:rPr>
        <w:t>de la Comisión Interamericana</w:t>
      </w:r>
      <w:r w:rsidR="00162FAB" w:rsidRPr="00386E47">
        <w:rPr>
          <w:rFonts w:asciiTheme="majorHAnsi" w:eastAsia="Calibri" w:hAnsiTheme="majorHAnsi"/>
          <w:sz w:val="20"/>
          <w:szCs w:val="20"/>
          <w:lang w:val="es-VE"/>
        </w:rPr>
        <w:t xml:space="preserve"> e</w:t>
      </w:r>
      <w:r w:rsidR="00162FAB" w:rsidRPr="00386E47">
        <w:rPr>
          <w:rFonts w:asciiTheme="majorHAnsi" w:eastAsia="Calibri" w:hAnsiTheme="majorHAnsi"/>
          <w:sz w:val="20"/>
          <w:szCs w:val="20"/>
          <w:lang w:val="es-AR"/>
        </w:rPr>
        <w:t>n el marco del 122</w:t>
      </w:r>
      <w:r w:rsidR="00B0077C" w:rsidRPr="00386E47">
        <w:rPr>
          <w:rFonts w:asciiTheme="majorHAnsi" w:eastAsia="Calibri" w:hAnsiTheme="majorHAnsi"/>
          <w:sz w:val="20"/>
          <w:szCs w:val="20"/>
          <w:lang w:val="es-AR"/>
        </w:rPr>
        <w:t>°</w:t>
      </w:r>
      <w:r w:rsidR="00162FAB" w:rsidRPr="00386E47">
        <w:rPr>
          <w:rFonts w:asciiTheme="majorHAnsi" w:eastAsia="Calibri" w:hAnsiTheme="majorHAnsi"/>
          <w:sz w:val="20"/>
          <w:szCs w:val="20"/>
          <w:lang w:val="es-AR"/>
        </w:rPr>
        <w:t xml:space="preserve"> período ordinario de sesiones de la CIDH</w:t>
      </w:r>
      <w:r w:rsidR="006D66B1" w:rsidRPr="00386E47">
        <w:rPr>
          <w:rFonts w:asciiTheme="majorHAnsi" w:eastAsia="Calibri" w:hAnsiTheme="majorHAnsi"/>
          <w:sz w:val="20"/>
          <w:szCs w:val="20"/>
          <w:lang w:val="es-AR"/>
        </w:rPr>
        <w:t>. Al t</w:t>
      </w:r>
      <w:r w:rsidR="00170D9A" w:rsidRPr="00386E47">
        <w:rPr>
          <w:rFonts w:asciiTheme="majorHAnsi" w:eastAsia="Calibri" w:hAnsiTheme="majorHAnsi"/>
          <w:sz w:val="20"/>
          <w:szCs w:val="20"/>
          <w:lang w:val="es-AR"/>
        </w:rPr>
        <w:t>é</w:t>
      </w:r>
      <w:r w:rsidR="006D66B1" w:rsidRPr="00386E47">
        <w:rPr>
          <w:rFonts w:asciiTheme="majorHAnsi" w:eastAsia="Calibri" w:hAnsiTheme="majorHAnsi"/>
          <w:sz w:val="20"/>
          <w:szCs w:val="20"/>
          <w:lang w:val="es-AR"/>
        </w:rPr>
        <w:t xml:space="preserve">rmino de ese encuentro </w:t>
      </w:r>
      <w:r w:rsidR="009F70EA" w:rsidRPr="00386E47">
        <w:rPr>
          <w:rFonts w:asciiTheme="majorHAnsi" w:eastAsia="Calibri" w:hAnsiTheme="majorHAnsi"/>
          <w:sz w:val="20"/>
          <w:szCs w:val="20"/>
          <w:lang w:val="es-AR"/>
        </w:rPr>
        <w:t xml:space="preserve">las partes </w:t>
      </w:r>
      <w:r w:rsidR="006D66B1" w:rsidRPr="00386E47">
        <w:rPr>
          <w:rFonts w:asciiTheme="majorHAnsi" w:eastAsia="Calibri" w:hAnsiTheme="majorHAnsi"/>
          <w:sz w:val="20"/>
          <w:szCs w:val="20"/>
          <w:lang w:val="es-AR"/>
        </w:rPr>
        <w:t>suscribieron</w:t>
      </w:r>
      <w:r w:rsidR="009F70EA" w:rsidRPr="00386E47">
        <w:rPr>
          <w:rFonts w:asciiTheme="majorHAnsi" w:eastAsia="Calibri" w:hAnsiTheme="majorHAnsi"/>
          <w:sz w:val="20"/>
          <w:szCs w:val="20"/>
          <w:lang w:val="es-AR"/>
        </w:rPr>
        <w:t xml:space="preserve"> un acta </w:t>
      </w:r>
      <w:r w:rsidRPr="00386E47">
        <w:rPr>
          <w:rFonts w:asciiTheme="majorHAnsi" w:eastAsia="Calibri" w:hAnsiTheme="majorHAnsi"/>
          <w:sz w:val="20"/>
          <w:szCs w:val="20"/>
          <w:lang w:val="es-AR"/>
        </w:rPr>
        <w:t xml:space="preserve">acuerdo </w:t>
      </w:r>
      <w:r w:rsidR="00162FAB" w:rsidRPr="00386E47">
        <w:rPr>
          <w:rFonts w:asciiTheme="majorHAnsi" w:eastAsia="Calibri" w:hAnsiTheme="majorHAnsi"/>
          <w:sz w:val="20"/>
          <w:szCs w:val="20"/>
          <w:lang w:val="es-AR"/>
        </w:rPr>
        <w:t xml:space="preserve">por medio de </w:t>
      </w:r>
      <w:r w:rsidRPr="00386E47">
        <w:rPr>
          <w:rFonts w:asciiTheme="majorHAnsi" w:eastAsia="Calibri" w:hAnsiTheme="majorHAnsi"/>
          <w:sz w:val="20"/>
          <w:szCs w:val="20"/>
          <w:lang w:val="es-AR"/>
        </w:rPr>
        <w:t>la cual el</w:t>
      </w:r>
      <w:r w:rsidR="009F70EA" w:rsidRPr="00386E47">
        <w:rPr>
          <w:rFonts w:asciiTheme="majorHAnsi" w:eastAsia="Calibri" w:hAnsiTheme="majorHAnsi"/>
          <w:sz w:val="20"/>
          <w:szCs w:val="20"/>
          <w:lang w:val="es-AR"/>
        </w:rPr>
        <w:t xml:space="preserve"> Estado</w:t>
      </w:r>
      <w:r w:rsidRPr="00386E47">
        <w:rPr>
          <w:rFonts w:asciiTheme="majorHAnsi" w:eastAsia="Calibri" w:hAnsiTheme="majorHAnsi"/>
          <w:sz w:val="20"/>
          <w:szCs w:val="20"/>
          <w:lang w:val="es-AR"/>
        </w:rPr>
        <w:t xml:space="preserve"> argentino</w:t>
      </w:r>
      <w:r w:rsidR="009F70EA"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aceptó </w:t>
      </w:r>
      <w:r w:rsidR="00510BB1" w:rsidRPr="00386E47">
        <w:rPr>
          <w:rFonts w:asciiTheme="majorHAnsi" w:eastAsia="Calibri" w:hAnsiTheme="majorHAnsi"/>
          <w:sz w:val="20"/>
          <w:szCs w:val="20"/>
          <w:lang w:val="es-AR"/>
        </w:rPr>
        <w:t>su responsabilidad</w:t>
      </w:r>
      <w:r w:rsidR="006D66B1" w:rsidRPr="00386E47">
        <w:rPr>
          <w:rFonts w:asciiTheme="majorHAnsi" w:eastAsia="Calibri" w:hAnsiTheme="majorHAnsi"/>
          <w:sz w:val="20"/>
          <w:szCs w:val="20"/>
          <w:lang w:val="es-AR"/>
        </w:rPr>
        <w:t xml:space="preserve"> </w:t>
      </w:r>
      <w:r w:rsidR="00510BB1" w:rsidRPr="00386E47">
        <w:rPr>
          <w:rFonts w:asciiTheme="majorHAnsi" w:eastAsia="Calibri" w:hAnsiTheme="majorHAnsi"/>
          <w:sz w:val="20"/>
          <w:szCs w:val="20"/>
          <w:lang w:val="es-AR"/>
        </w:rPr>
        <w:t>internacional</w:t>
      </w:r>
      <w:r w:rsidR="00170D9A" w:rsidRPr="00386E47">
        <w:rPr>
          <w:rFonts w:asciiTheme="majorHAnsi" w:eastAsia="Calibri" w:hAnsiTheme="majorHAnsi"/>
          <w:sz w:val="20"/>
          <w:szCs w:val="20"/>
          <w:lang w:val="es-AR"/>
        </w:rPr>
        <w:t>,</w:t>
      </w:r>
      <w:r w:rsidR="00510BB1" w:rsidRPr="00386E47">
        <w:rPr>
          <w:rFonts w:asciiTheme="majorHAnsi" w:eastAsia="Calibri" w:hAnsiTheme="majorHAnsi"/>
          <w:sz w:val="20"/>
          <w:szCs w:val="20"/>
          <w:lang w:val="es-AR"/>
        </w:rPr>
        <w:t xml:space="preserve"> de </w:t>
      </w:r>
      <w:r w:rsidRPr="00386E47">
        <w:rPr>
          <w:rFonts w:asciiTheme="majorHAnsi" w:eastAsia="Calibri" w:hAnsiTheme="majorHAnsi"/>
          <w:sz w:val="20"/>
          <w:szCs w:val="20"/>
          <w:lang w:val="es-AR"/>
        </w:rPr>
        <w:t xml:space="preserve">conformidad con </w:t>
      </w:r>
      <w:r w:rsidR="00510BB1" w:rsidRPr="00386E47">
        <w:rPr>
          <w:rFonts w:asciiTheme="majorHAnsi" w:eastAsia="Calibri" w:hAnsiTheme="majorHAnsi"/>
          <w:sz w:val="20"/>
          <w:szCs w:val="20"/>
          <w:lang w:val="es-AR"/>
        </w:rPr>
        <w:t xml:space="preserve">la formula allí consignada. En el mismo acto, las partes </w:t>
      </w:r>
      <w:r w:rsidR="00170D9A" w:rsidRPr="00386E47">
        <w:rPr>
          <w:rFonts w:asciiTheme="majorHAnsi" w:eastAsia="Calibri" w:hAnsiTheme="majorHAnsi"/>
          <w:sz w:val="20"/>
          <w:szCs w:val="20"/>
          <w:lang w:val="es-AR"/>
        </w:rPr>
        <w:t>expresaron su voluntad</w:t>
      </w:r>
      <w:r w:rsidR="00510BB1" w:rsidRPr="00386E47">
        <w:rPr>
          <w:rFonts w:asciiTheme="majorHAnsi" w:eastAsia="Calibri" w:hAnsiTheme="majorHAnsi"/>
          <w:sz w:val="20"/>
          <w:szCs w:val="20"/>
          <w:lang w:val="es-AR"/>
        </w:rPr>
        <w:t xml:space="preserve"> </w:t>
      </w:r>
      <w:r w:rsidR="00162FAB" w:rsidRPr="00386E47">
        <w:rPr>
          <w:rFonts w:asciiTheme="majorHAnsi" w:eastAsia="Calibri" w:hAnsiTheme="majorHAnsi"/>
          <w:sz w:val="20"/>
          <w:szCs w:val="20"/>
          <w:lang w:val="es-AR"/>
        </w:rPr>
        <w:t>de</w:t>
      </w:r>
      <w:r w:rsidR="00510BB1" w:rsidRPr="00386E47">
        <w:rPr>
          <w:rFonts w:asciiTheme="majorHAnsi" w:eastAsia="Calibri" w:hAnsiTheme="majorHAnsi"/>
          <w:sz w:val="20"/>
          <w:szCs w:val="20"/>
          <w:lang w:val="es-AR"/>
        </w:rPr>
        <w:t xml:space="preserve"> iniciar un proceso de solución amistosa</w:t>
      </w:r>
      <w:r w:rsidR="00162FAB" w:rsidRPr="00386E47">
        <w:rPr>
          <w:rFonts w:asciiTheme="majorHAnsi" w:eastAsia="Calibri" w:hAnsiTheme="majorHAnsi"/>
          <w:sz w:val="20"/>
          <w:szCs w:val="20"/>
          <w:lang w:val="es-AR"/>
        </w:rPr>
        <w:t xml:space="preserve"> con el fin de reparar </w:t>
      </w:r>
      <w:r w:rsidR="00B0077C" w:rsidRPr="00386E47">
        <w:rPr>
          <w:rFonts w:asciiTheme="majorHAnsi" w:eastAsia="Calibri" w:hAnsiTheme="majorHAnsi"/>
          <w:sz w:val="20"/>
          <w:szCs w:val="20"/>
          <w:lang w:val="es-AR"/>
        </w:rPr>
        <w:t>las consecuencias d</w:t>
      </w:r>
      <w:r w:rsidR="00162FAB" w:rsidRPr="00386E47">
        <w:rPr>
          <w:rFonts w:asciiTheme="majorHAnsi" w:eastAsia="Calibri" w:hAnsiTheme="majorHAnsi"/>
          <w:sz w:val="20"/>
          <w:szCs w:val="20"/>
          <w:lang w:val="es-AR"/>
        </w:rPr>
        <w:t xml:space="preserve">el </w:t>
      </w:r>
      <w:r w:rsidR="006E5444" w:rsidRPr="00386E47">
        <w:rPr>
          <w:rFonts w:asciiTheme="majorHAnsi" w:eastAsia="Calibri" w:hAnsiTheme="majorHAnsi"/>
          <w:sz w:val="20"/>
          <w:szCs w:val="20"/>
          <w:lang w:val="es-AR"/>
        </w:rPr>
        <w:t>ilícito</w:t>
      </w:r>
      <w:r w:rsidR="00162FAB" w:rsidRPr="00386E47">
        <w:rPr>
          <w:rFonts w:asciiTheme="majorHAnsi" w:eastAsia="Calibri" w:hAnsiTheme="majorHAnsi"/>
          <w:sz w:val="20"/>
          <w:szCs w:val="20"/>
          <w:lang w:val="es-AR"/>
        </w:rPr>
        <w:t xml:space="preserve"> internacional</w:t>
      </w:r>
      <w:r w:rsidR="00510BB1" w:rsidRPr="00386E47">
        <w:rPr>
          <w:rFonts w:asciiTheme="majorHAnsi" w:eastAsia="Calibri" w:hAnsiTheme="majorHAnsi"/>
          <w:sz w:val="20"/>
          <w:szCs w:val="20"/>
          <w:lang w:val="es-AR"/>
        </w:rPr>
        <w:t xml:space="preserve">. </w:t>
      </w:r>
      <w:r w:rsidR="00B0077C" w:rsidRPr="00386E47">
        <w:rPr>
          <w:rFonts w:asciiTheme="majorHAnsi" w:eastAsia="Calibri" w:hAnsiTheme="majorHAnsi"/>
          <w:sz w:val="20"/>
          <w:szCs w:val="20"/>
          <w:lang w:val="es-AR"/>
        </w:rPr>
        <w:t>Por medio del D</w:t>
      </w:r>
      <w:r w:rsidR="00510BB1" w:rsidRPr="00386E47">
        <w:rPr>
          <w:rFonts w:asciiTheme="majorHAnsi" w:eastAsia="Calibri" w:hAnsiTheme="majorHAnsi"/>
          <w:sz w:val="20"/>
          <w:szCs w:val="20"/>
          <w:lang w:val="es-AR"/>
        </w:rPr>
        <w:t>ecreto 812/</w:t>
      </w:r>
      <w:r w:rsidR="00B0077C" w:rsidRPr="00386E47">
        <w:rPr>
          <w:rFonts w:asciiTheme="majorHAnsi" w:eastAsia="Calibri" w:hAnsiTheme="majorHAnsi"/>
          <w:sz w:val="20"/>
          <w:szCs w:val="20"/>
          <w:lang w:val="es-AR"/>
        </w:rPr>
        <w:t xml:space="preserve">05 de fecha 12 de julio de 2005, el Poder Ejecutivo Nacional </w:t>
      </w:r>
      <w:r w:rsidR="00510BB1" w:rsidRPr="00386E47">
        <w:rPr>
          <w:rFonts w:asciiTheme="majorHAnsi" w:eastAsia="Calibri" w:hAnsiTheme="majorHAnsi"/>
          <w:sz w:val="20"/>
          <w:szCs w:val="20"/>
          <w:lang w:val="es-AR"/>
        </w:rPr>
        <w:t>aprobó</w:t>
      </w:r>
      <w:r w:rsidR="0059511A" w:rsidRPr="00386E47">
        <w:rPr>
          <w:rFonts w:asciiTheme="majorHAnsi" w:eastAsia="Calibri" w:hAnsiTheme="majorHAnsi"/>
          <w:sz w:val="20"/>
          <w:szCs w:val="20"/>
          <w:lang w:val="es-AR"/>
        </w:rPr>
        <w:t xml:space="preserve"> lo actuado </w:t>
      </w:r>
      <w:r w:rsidR="00510BB1" w:rsidRPr="00386E47">
        <w:rPr>
          <w:rFonts w:asciiTheme="majorHAnsi" w:eastAsia="Calibri" w:hAnsiTheme="majorHAnsi"/>
          <w:sz w:val="20"/>
          <w:szCs w:val="20"/>
          <w:lang w:val="es-AR"/>
        </w:rPr>
        <w:t xml:space="preserve">e instruyó a los </w:t>
      </w:r>
      <w:r w:rsidR="00DF45EF" w:rsidRPr="00386E47">
        <w:rPr>
          <w:rFonts w:asciiTheme="majorHAnsi" w:eastAsia="Calibri" w:hAnsiTheme="majorHAnsi"/>
          <w:sz w:val="20"/>
          <w:szCs w:val="20"/>
          <w:lang w:val="es-AR"/>
        </w:rPr>
        <w:t>M</w:t>
      </w:r>
      <w:r w:rsidR="00510BB1" w:rsidRPr="00386E47">
        <w:rPr>
          <w:rFonts w:asciiTheme="majorHAnsi" w:eastAsia="Calibri" w:hAnsiTheme="majorHAnsi"/>
          <w:sz w:val="20"/>
          <w:szCs w:val="20"/>
          <w:lang w:val="es-AR"/>
        </w:rPr>
        <w:t>inisterios de</w:t>
      </w:r>
      <w:r w:rsidR="00AD1C9A" w:rsidRPr="00386E47">
        <w:rPr>
          <w:rFonts w:asciiTheme="majorHAnsi" w:eastAsia="Calibri" w:hAnsiTheme="majorHAnsi"/>
          <w:sz w:val="20"/>
          <w:szCs w:val="20"/>
          <w:lang w:val="es-AR"/>
        </w:rPr>
        <w:t>l</w:t>
      </w:r>
      <w:r w:rsidR="00510BB1" w:rsidRPr="00386E47">
        <w:rPr>
          <w:rFonts w:asciiTheme="majorHAnsi" w:eastAsia="Calibri" w:hAnsiTheme="majorHAnsi"/>
          <w:sz w:val="20"/>
          <w:szCs w:val="20"/>
          <w:lang w:val="es-AR"/>
        </w:rPr>
        <w:t xml:space="preserve"> Interior y </w:t>
      </w:r>
      <w:r w:rsidR="00AD1C9A" w:rsidRPr="00386E47">
        <w:rPr>
          <w:rFonts w:asciiTheme="majorHAnsi" w:eastAsia="Calibri" w:hAnsiTheme="majorHAnsi"/>
          <w:sz w:val="20"/>
          <w:szCs w:val="20"/>
          <w:lang w:val="es-AR"/>
        </w:rPr>
        <w:t xml:space="preserve">de </w:t>
      </w:r>
      <w:r w:rsidR="00510BB1" w:rsidRPr="00386E47">
        <w:rPr>
          <w:rFonts w:asciiTheme="majorHAnsi" w:eastAsia="Calibri" w:hAnsiTheme="majorHAnsi"/>
          <w:sz w:val="20"/>
          <w:szCs w:val="20"/>
          <w:lang w:val="es-AR"/>
        </w:rPr>
        <w:t>Justicia y Derechos Humanos a que dicten las resoluciones necesarias para el cumplimiento de los objetivos establecidos en la agenda de trabajo</w:t>
      </w:r>
      <w:r w:rsidR="00B0077C" w:rsidRPr="00386E47">
        <w:rPr>
          <w:rFonts w:asciiTheme="majorHAnsi" w:eastAsia="Calibri" w:hAnsiTheme="majorHAnsi"/>
          <w:sz w:val="20"/>
          <w:szCs w:val="20"/>
          <w:lang w:val="es-AR"/>
        </w:rPr>
        <w:t xml:space="preserve"> adjunta a la </w:t>
      </w:r>
      <w:r w:rsidR="00B0077C" w:rsidRPr="00386E47">
        <w:rPr>
          <w:rFonts w:asciiTheme="majorHAnsi" w:eastAsia="Calibri" w:hAnsiTheme="majorHAnsi"/>
          <w:sz w:val="20"/>
          <w:szCs w:val="20"/>
          <w:lang w:val="es-AR"/>
        </w:rPr>
        <w:lastRenderedPageBreak/>
        <w:t>mencionada</w:t>
      </w:r>
      <w:r w:rsidR="0059511A" w:rsidRPr="00386E47">
        <w:rPr>
          <w:rFonts w:asciiTheme="majorHAnsi" w:eastAsia="Calibri" w:hAnsiTheme="majorHAnsi"/>
          <w:sz w:val="20"/>
          <w:szCs w:val="20"/>
          <w:lang w:val="es-AR"/>
        </w:rPr>
        <w:t xml:space="preserve"> acta</w:t>
      </w:r>
      <w:r w:rsidRPr="00386E47">
        <w:rPr>
          <w:rFonts w:asciiTheme="majorHAnsi" w:eastAsia="Calibri" w:hAnsiTheme="majorHAnsi"/>
          <w:sz w:val="20"/>
          <w:szCs w:val="20"/>
          <w:lang w:val="es-AR"/>
        </w:rPr>
        <w:t xml:space="preserve"> acuerdo</w:t>
      </w:r>
      <w:r w:rsidR="00510BB1" w:rsidRPr="00386E47">
        <w:rPr>
          <w:rFonts w:asciiTheme="majorHAnsi" w:eastAsia="Calibri" w:hAnsiTheme="majorHAnsi"/>
          <w:sz w:val="20"/>
          <w:szCs w:val="20"/>
          <w:lang w:val="es-AR"/>
        </w:rPr>
        <w:t xml:space="preserve">. </w:t>
      </w:r>
      <w:r w:rsidR="009F70EA" w:rsidRPr="00386E47">
        <w:rPr>
          <w:rFonts w:asciiTheme="majorHAnsi" w:eastAsia="Calibri" w:hAnsiTheme="majorHAnsi"/>
          <w:sz w:val="20"/>
          <w:szCs w:val="20"/>
          <w:lang w:val="es-AR"/>
        </w:rPr>
        <w:t>De acuerdo con las constancias del expediente, desde este momento no se contó con la participación de Human Rights Watch.</w:t>
      </w:r>
    </w:p>
    <w:p w14:paraId="48A9F17C" w14:textId="77777777" w:rsidR="0025691F" w:rsidRPr="00386E47" w:rsidRDefault="0025691F" w:rsidP="0025691F">
      <w:pPr>
        <w:pStyle w:val="ListParagraph"/>
        <w:rPr>
          <w:rFonts w:asciiTheme="majorHAnsi" w:eastAsia="Calibri" w:hAnsiTheme="majorHAnsi"/>
          <w:sz w:val="20"/>
          <w:szCs w:val="20"/>
          <w:lang w:val="es-AR"/>
        </w:rPr>
      </w:pPr>
    </w:p>
    <w:p w14:paraId="3AA20DDF" w14:textId="77777777" w:rsidR="0025691F" w:rsidRPr="00386E47" w:rsidRDefault="009F70EA" w:rsidP="003A5860">
      <w:pPr>
        <w:numPr>
          <w:ilvl w:val="0"/>
          <w:numId w:val="55"/>
        </w:numPr>
        <w:tabs>
          <w:tab w:val="left" w:pos="567"/>
        </w:tabs>
        <w:ind w:left="0" w:firstLine="0"/>
        <w:jc w:val="both"/>
        <w:rPr>
          <w:rFonts w:asciiTheme="majorHAnsi" w:eastAsia="Calibri" w:hAnsiTheme="majorHAnsi"/>
          <w:sz w:val="20"/>
          <w:szCs w:val="20"/>
          <w:lang w:val="es-VE"/>
        </w:rPr>
      </w:pPr>
      <w:r w:rsidRPr="00386E47">
        <w:rPr>
          <w:rFonts w:asciiTheme="majorHAnsi" w:eastAsia="Calibri" w:hAnsiTheme="majorHAnsi"/>
          <w:sz w:val="20"/>
          <w:szCs w:val="20"/>
          <w:lang w:val="es-AR"/>
        </w:rPr>
        <w:t>En</w:t>
      </w:r>
      <w:r w:rsidR="00510BB1" w:rsidRPr="00386E47">
        <w:rPr>
          <w:rFonts w:asciiTheme="majorHAnsi" w:eastAsia="Calibri" w:hAnsiTheme="majorHAnsi"/>
          <w:sz w:val="20"/>
          <w:szCs w:val="20"/>
          <w:lang w:val="es-AR"/>
        </w:rPr>
        <w:t xml:space="preserve"> un</w:t>
      </w:r>
      <w:r w:rsidRPr="00386E47">
        <w:rPr>
          <w:rFonts w:asciiTheme="majorHAnsi" w:eastAsia="Calibri" w:hAnsiTheme="majorHAnsi"/>
          <w:sz w:val="20"/>
          <w:szCs w:val="20"/>
          <w:lang w:val="es-AR"/>
        </w:rPr>
        <w:t xml:space="preserve"> escrito de</w:t>
      </w:r>
      <w:r w:rsidR="00510BB1" w:rsidRPr="00386E47">
        <w:rPr>
          <w:rFonts w:asciiTheme="majorHAnsi" w:eastAsia="Calibri" w:hAnsiTheme="majorHAnsi"/>
          <w:sz w:val="20"/>
          <w:szCs w:val="20"/>
          <w:lang w:val="es-AR"/>
        </w:rPr>
        <w:t xml:space="preserve"> fecha 9</w:t>
      </w:r>
      <w:r w:rsidRPr="00386E47">
        <w:rPr>
          <w:rFonts w:asciiTheme="majorHAnsi" w:eastAsia="Calibri" w:hAnsiTheme="majorHAnsi"/>
          <w:sz w:val="20"/>
          <w:szCs w:val="20"/>
          <w:lang w:val="es-AR"/>
        </w:rPr>
        <w:t xml:space="preserve"> de marzo de 2009, los peticionarios manifestaron a la CIDH que ninguno de los puntos comprometidos con el Estado hab</w:t>
      </w:r>
      <w:r w:rsidR="00F16CF6" w:rsidRPr="00386E47">
        <w:rPr>
          <w:rFonts w:asciiTheme="majorHAnsi" w:eastAsia="Calibri" w:hAnsiTheme="majorHAnsi"/>
          <w:sz w:val="20"/>
          <w:szCs w:val="20"/>
          <w:lang w:val="es-AR"/>
        </w:rPr>
        <w:t>r</w:t>
      </w:r>
      <w:r w:rsidRPr="00386E47">
        <w:rPr>
          <w:rFonts w:asciiTheme="majorHAnsi" w:eastAsia="Calibri" w:hAnsiTheme="majorHAnsi"/>
          <w:sz w:val="20"/>
          <w:szCs w:val="20"/>
          <w:lang w:val="es-AR"/>
        </w:rPr>
        <w:t xml:space="preserve">ía sido cumplido </w:t>
      </w:r>
      <w:r w:rsidR="0059511A" w:rsidRPr="00386E47">
        <w:rPr>
          <w:rFonts w:asciiTheme="majorHAnsi" w:eastAsia="Calibri" w:hAnsiTheme="majorHAnsi"/>
          <w:sz w:val="20"/>
          <w:szCs w:val="20"/>
          <w:lang w:val="es-AR"/>
        </w:rPr>
        <w:t>de manera completa</w:t>
      </w:r>
      <w:r w:rsidRPr="00386E47">
        <w:rPr>
          <w:rFonts w:asciiTheme="majorHAnsi" w:eastAsia="Calibri" w:hAnsiTheme="majorHAnsi"/>
          <w:sz w:val="20"/>
          <w:szCs w:val="20"/>
          <w:lang w:val="es-AR"/>
        </w:rPr>
        <w:t xml:space="preserve">. </w:t>
      </w:r>
      <w:r w:rsidR="00510BB1" w:rsidRPr="00386E47">
        <w:rPr>
          <w:rFonts w:asciiTheme="majorHAnsi" w:eastAsia="Calibri" w:hAnsiTheme="majorHAnsi"/>
          <w:sz w:val="20"/>
          <w:szCs w:val="20"/>
          <w:lang w:val="es-AR"/>
        </w:rPr>
        <w:t xml:space="preserve">En </w:t>
      </w:r>
      <w:r w:rsidR="00162FAB" w:rsidRPr="00386E47">
        <w:rPr>
          <w:rFonts w:asciiTheme="majorHAnsi" w:eastAsia="Calibri" w:hAnsiTheme="majorHAnsi"/>
          <w:sz w:val="20"/>
          <w:szCs w:val="20"/>
          <w:lang w:val="es-AR"/>
        </w:rPr>
        <w:t>consecuencia</w:t>
      </w:r>
      <w:r w:rsidR="00510BB1" w:rsidRPr="00386E47">
        <w:rPr>
          <w:rFonts w:asciiTheme="majorHAnsi" w:eastAsia="Calibri" w:hAnsiTheme="majorHAnsi"/>
          <w:sz w:val="20"/>
          <w:szCs w:val="20"/>
          <w:lang w:val="es-AR"/>
        </w:rPr>
        <w:t>, c</w:t>
      </w:r>
      <w:r w:rsidRPr="00386E47">
        <w:rPr>
          <w:rFonts w:asciiTheme="majorHAnsi" w:eastAsia="Calibri" w:hAnsiTheme="majorHAnsi"/>
          <w:sz w:val="20"/>
          <w:szCs w:val="20"/>
          <w:lang w:val="es-AR"/>
        </w:rPr>
        <w:t xml:space="preserve">onsideraron concluido el proceso de solución amistosa </w:t>
      </w:r>
      <w:r w:rsidR="00510BB1" w:rsidRPr="00386E47">
        <w:rPr>
          <w:rFonts w:asciiTheme="majorHAnsi" w:eastAsia="Calibri" w:hAnsiTheme="majorHAnsi"/>
          <w:sz w:val="20"/>
          <w:szCs w:val="20"/>
          <w:lang w:val="es-AR"/>
        </w:rPr>
        <w:t>e instaron</w:t>
      </w:r>
      <w:r w:rsidR="00B0077C" w:rsidRPr="00386E47">
        <w:rPr>
          <w:rFonts w:asciiTheme="majorHAnsi" w:eastAsia="Calibri" w:hAnsiTheme="majorHAnsi"/>
          <w:sz w:val="20"/>
          <w:szCs w:val="20"/>
          <w:lang w:val="es-AR"/>
        </w:rPr>
        <w:t xml:space="preserve"> a</w:t>
      </w:r>
      <w:r w:rsidRPr="00386E47">
        <w:rPr>
          <w:rFonts w:asciiTheme="majorHAnsi" w:eastAsia="Calibri" w:hAnsiTheme="majorHAnsi"/>
          <w:sz w:val="20"/>
          <w:szCs w:val="20"/>
          <w:lang w:val="es-AR"/>
        </w:rPr>
        <w:t xml:space="preserve"> la </w:t>
      </w:r>
      <w:r w:rsidR="00510BB1" w:rsidRPr="00386E47">
        <w:rPr>
          <w:rFonts w:asciiTheme="majorHAnsi" w:eastAsia="Calibri" w:hAnsiTheme="majorHAnsi"/>
          <w:sz w:val="20"/>
          <w:szCs w:val="20"/>
          <w:lang w:val="es-AR"/>
        </w:rPr>
        <w:t xml:space="preserve">aprobación </w:t>
      </w:r>
      <w:r w:rsidRPr="00386E47">
        <w:rPr>
          <w:rFonts w:asciiTheme="majorHAnsi" w:eastAsia="Calibri" w:hAnsiTheme="majorHAnsi"/>
          <w:sz w:val="20"/>
          <w:szCs w:val="20"/>
          <w:lang w:val="es-AR"/>
        </w:rPr>
        <w:t>del informe de</w:t>
      </w:r>
      <w:r w:rsidR="00510BB1" w:rsidRPr="00386E47">
        <w:rPr>
          <w:rFonts w:asciiTheme="majorHAnsi" w:eastAsia="Calibri" w:hAnsiTheme="majorHAnsi"/>
          <w:sz w:val="20"/>
          <w:szCs w:val="20"/>
          <w:lang w:val="es-AR"/>
        </w:rPr>
        <w:t xml:space="preserve"> admisibilidad y fondo</w:t>
      </w:r>
      <w:r w:rsidR="00181BFA" w:rsidRPr="00386E47">
        <w:rPr>
          <w:rFonts w:asciiTheme="majorHAnsi" w:eastAsia="Calibri" w:hAnsiTheme="majorHAnsi"/>
          <w:sz w:val="20"/>
          <w:szCs w:val="20"/>
          <w:lang w:val="es-AR"/>
        </w:rPr>
        <w:t xml:space="preserve">. El 1 de julio de 2009, los </w:t>
      </w:r>
      <w:r w:rsidRPr="00386E47">
        <w:rPr>
          <w:rFonts w:asciiTheme="majorHAnsi" w:eastAsia="Calibri" w:hAnsiTheme="majorHAnsi"/>
          <w:sz w:val="20"/>
          <w:szCs w:val="20"/>
          <w:lang w:val="es-AR"/>
        </w:rPr>
        <w:t xml:space="preserve">peticionarios informaron a la Comisión que habían </w:t>
      </w:r>
      <w:r w:rsidR="00510BB1" w:rsidRPr="00386E47">
        <w:rPr>
          <w:rFonts w:asciiTheme="majorHAnsi" w:eastAsia="Calibri" w:hAnsiTheme="majorHAnsi"/>
          <w:sz w:val="20"/>
          <w:szCs w:val="20"/>
          <w:lang w:val="es-AR"/>
        </w:rPr>
        <w:t>man</w:t>
      </w:r>
      <w:r w:rsidRPr="00386E47">
        <w:rPr>
          <w:rFonts w:asciiTheme="majorHAnsi" w:eastAsia="Calibri" w:hAnsiTheme="majorHAnsi"/>
          <w:sz w:val="20"/>
          <w:szCs w:val="20"/>
          <w:lang w:val="es-AR"/>
        </w:rPr>
        <w:t>tenido reuniones con</w:t>
      </w:r>
      <w:r w:rsidR="00510BB1" w:rsidRPr="00386E47">
        <w:rPr>
          <w:rFonts w:asciiTheme="majorHAnsi" w:eastAsia="Calibri" w:hAnsiTheme="majorHAnsi"/>
          <w:sz w:val="20"/>
          <w:szCs w:val="20"/>
          <w:lang w:val="es-AR"/>
        </w:rPr>
        <w:t xml:space="preserve"> representantes del Estado y que</w:t>
      </w:r>
      <w:r w:rsidR="00181BFA" w:rsidRPr="00386E47">
        <w:rPr>
          <w:rFonts w:asciiTheme="majorHAnsi" w:eastAsia="Calibri" w:hAnsiTheme="majorHAnsi"/>
          <w:sz w:val="20"/>
          <w:szCs w:val="20"/>
          <w:lang w:val="es-AR"/>
        </w:rPr>
        <w:t>,</w:t>
      </w:r>
      <w:r w:rsidR="00510BB1" w:rsidRPr="00386E47">
        <w:rPr>
          <w:rFonts w:asciiTheme="majorHAnsi" w:eastAsia="Calibri" w:hAnsiTheme="majorHAnsi"/>
          <w:sz w:val="20"/>
          <w:szCs w:val="20"/>
          <w:lang w:val="es-AR"/>
        </w:rPr>
        <w:t xml:space="preserve"> oportunamente</w:t>
      </w:r>
      <w:r w:rsidR="00181BFA" w:rsidRPr="00386E47">
        <w:rPr>
          <w:rFonts w:asciiTheme="majorHAnsi" w:eastAsia="Calibri" w:hAnsiTheme="majorHAnsi"/>
          <w:sz w:val="20"/>
          <w:szCs w:val="20"/>
          <w:lang w:val="es-AR"/>
        </w:rPr>
        <w:t>,</w:t>
      </w:r>
      <w:r w:rsidR="00510BB1"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comunicarían una eventual reanudación del proceso de solución amistosa. El 4 de noviemb</w:t>
      </w:r>
      <w:r w:rsidR="00181BFA" w:rsidRPr="00386E47">
        <w:rPr>
          <w:rFonts w:asciiTheme="majorHAnsi" w:eastAsia="Calibri" w:hAnsiTheme="majorHAnsi"/>
          <w:sz w:val="20"/>
          <w:szCs w:val="20"/>
          <w:lang w:val="es-AR"/>
        </w:rPr>
        <w:t>re de 2009, en el marco del 137</w:t>
      </w:r>
      <w:r w:rsidR="00B0077C" w:rsidRPr="00386E47">
        <w:rPr>
          <w:rFonts w:asciiTheme="majorHAnsi" w:eastAsia="Calibri" w:hAnsiTheme="majorHAnsi"/>
          <w:sz w:val="20"/>
          <w:szCs w:val="20"/>
          <w:lang w:val="es-AR"/>
        </w:rPr>
        <w:t>°</w:t>
      </w:r>
      <w:r w:rsidR="00181BFA" w:rsidRPr="00386E47">
        <w:rPr>
          <w:rFonts w:asciiTheme="majorHAnsi" w:eastAsia="Calibri" w:hAnsiTheme="majorHAnsi"/>
          <w:sz w:val="20"/>
          <w:szCs w:val="20"/>
          <w:lang w:val="es-AR"/>
        </w:rPr>
        <w:t xml:space="preserve"> p</w:t>
      </w:r>
      <w:r w:rsidRPr="00386E47">
        <w:rPr>
          <w:rFonts w:asciiTheme="majorHAnsi" w:eastAsia="Calibri" w:hAnsiTheme="majorHAnsi"/>
          <w:sz w:val="20"/>
          <w:szCs w:val="20"/>
          <w:lang w:val="es-AR"/>
        </w:rPr>
        <w:t>eríodo ordinario de sesiones de la Comisión, se celebró</w:t>
      </w:r>
      <w:r w:rsidR="00510BB1" w:rsidRPr="00386E47">
        <w:rPr>
          <w:rFonts w:asciiTheme="majorHAnsi" w:eastAsia="Calibri" w:hAnsiTheme="majorHAnsi"/>
          <w:sz w:val="20"/>
          <w:szCs w:val="20"/>
          <w:lang w:val="es-AR"/>
        </w:rPr>
        <w:t xml:space="preserve"> una</w:t>
      </w:r>
      <w:r w:rsidRPr="00386E47">
        <w:rPr>
          <w:rFonts w:asciiTheme="majorHAnsi" w:eastAsia="Calibri" w:hAnsiTheme="majorHAnsi"/>
          <w:sz w:val="20"/>
          <w:szCs w:val="20"/>
          <w:lang w:val="es-AR"/>
        </w:rPr>
        <w:t xml:space="preserve"> reunión de trabajo entre las partes en la que los peticionarios accedieron a </w:t>
      </w:r>
      <w:r w:rsidR="00510BB1" w:rsidRPr="00386E47">
        <w:rPr>
          <w:rFonts w:asciiTheme="majorHAnsi" w:eastAsia="Calibri" w:hAnsiTheme="majorHAnsi"/>
          <w:sz w:val="20"/>
          <w:szCs w:val="20"/>
          <w:lang w:val="es-AR"/>
        </w:rPr>
        <w:t>reanudar e</w:t>
      </w:r>
      <w:r w:rsidRPr="00386E47">
        <w:rPr>
          <w:rFonts w:asciiTheme="majorHAnsi" w:eastAsia="Calibri" w:hAnsiTheme="majorHAnsi"/>
          <w:sz w:val="20"/>
          <w:szCs w:val="20"/>
          <w:lang w:val="es-AR"/>
        </w:rPr>
        <w:t xml:space="preserve">l proceso de solución amistosa hasta </w:t>
      </w:r>
      <w:r w:rsidR="00510BB1" w:rsidRPr="00386E47">
        <w:rPr>
          <w:rFonts w:asciiTheme="majorHAnsi" w:eastAsia="Calibri" w:hAnsiTheme="majorHAnsi"/>
          <w:sz w:val="20"/>
          <w:szCs w:val="20"/>
          <w:lang w:val="es-AR"/>
        </w:rPr>
        <w:t xml:space="preserve">el mes de </w:t>
      </w:r>
      <w:r w:rsidRPr="00386E47">
        <w:rPr>
          <w:rFonts w:asciiTheme="majorHAnsi" w:eastAsia="Calibri" w:hAnsiTheme="majorHAnsi"/>
          <w:sz w:val="20"/>
          <w:szCs w:val="20"/>
          <w:lang w:val="es-AR"/>
        </w:rPr>
        <w:t xml:space="preserve">marzo de 2010 siempre que el Estado adoptara </w:t>
      </w:r>
      <w:r w:rsidR="000F11D6" w:rsidRPr="00386E47">
        <w:rPr>
          <w:rFonts w:asciiTheme="majorHAnsi" w:eastAsia="Calibri" w:hAnsiTheme="majorHAnsi"/>
          <w:sz w:val="20"/>
          <w:szCs w:val="20"/>
          <w:lang w:val="es-AR"/>
        </w:rPr>
        <w:t xml:space="preserve">una serie de </w:t>
      </w:r>
      <w:r w:rsidRPr="00386E47">
        <w:rPr>
          <w:rFonts w:asciiTheme="majorHAnsi" w:eastAsia="Calibri" w:hAnsiTheme="majorHAnsi"/>
          <w:sz w:val="20"/>
          <w:szCs w:val="20"/>
          <w:lang w:val="es-AR"/>
        </w:rPr>
        <w:t xml:space="preserve">medidas. </w:t>
      </w:r>
    </w:p>
    <w:p w14:paraId="75FAE618" w14:textId="77777777" w:rsidR="0025691F" w:rsidRPr="00386E47" w:rsidRDefault="0025691F" w:rsidP="0025691F">
      <w:pPr>
        <w:pStyle w:val="ListParagraph"/>
        <w:rPr>
          <w:rFonts w:asciiTheme="majorHAnsi" w:eastAsia="Calibri" w:hAnsiTheme="majorHAnsi"/>
          <w:sz w:val="20"/>
          <w:szCs w:val="20"/>
          <w:lang w:val="es-AR"/>
        </w:rPr>
      </w:pPr>
    </w:p>
    <w:p w14:paraId="355A2EDD" w14:textId="77777777" w:rsidR="00181BFA" w:rsidRPr="00386E47" w:rsidRDefault="00887819" w:rsidP="003A5860">
      <w:pPr>
        <w:numPr>
          <w:ilvl w:val="0"/>
          <w:numId w:val="55"/>
        </w:numPr>
        <w:tabs>
          <w:tab w:val="left" w:pos="567"/>
        </w:tabs>
        <w:ind w:left="0" w:firstLine="0"/>
        <w:jc w:val="both"/>
        <w:rPr>
          <w:rFonts w:asciiTheme="majorHAnsi" w:eastAsia="Calibri" w:hAnsiTheme="majorHAnsi"/>
          <w:sz w:val="20"/>
          <w:szCs w:val="20"/>
          <w:lang w:val="es-VE"/>
        </w:rPr>
      </w:pPr>
      <w:r w:rsidRPr="00386E47">
        <w:rPr>
          <w:rFonts w:asciiTheme="majorHAnsi" w:eastAsia="Calibri" w:hAnsiTheme="majorHAnsi"/>
          <w:sz w:val="20"/>
          <w:szCs w:val="20"/>
          <w:lang w:val="es-AR"/>
        </w:rPr>
        <w:t>Finalmente, e</w:t>
      </w:r>
      <w:r w:rsidR="009F70EA" w:rsidRPr="00386E47">
        <w:rPr>
          <w:rFonts w:asciiTheme="majorHAnsi" w:eastAsia="Calibri" w:hAnsiTheme="majorHAnsi"/>
          <w:sz w:val="20"/>
          <w:szCs w:val="20"/>
          <w:lang w:val="es-AR"/>
        </w:rPr>
        <w:t>l 15 de abril de 2010, los peticion</w:t>
      </w:r>
      <w:r w:rsidR="00510BB1" w:rsidRPr="00386E47">
        <w:rPr>
          <w:rFonts w:asciiTheme="majorHAnsi" w:eastAsia="Calibri" w:hAnsiTheme="majorHAnsi"/>
          <w:sz w:val="20"/>
          <w:szCs w:val="20"/>
          <w:lang w:val="es-AR"/>
        </w:rPr>
        <w:t xml:space="preserve">arios </w:t>
      </w:r>
      <w:r w:rsidR="00170D9A" w:rsidRPr="00386E47">
        <w:rPr>
          <w:rFonts w:asciiTheme="majorHAnsi" w:eastAsia="Calibri" w:hAnsiTheme="majorHAnsi"/>
          <w:sz w:val="20"/>
          <w:szCs w:val="20"/>
          <w:lang w:val="es-AR"/>
        </w:rPr>
        <w:t xml:space="preserve">indicaron </w:t>
      </w:r>
      <w:r w:rsidR="00510BB1" w:rsidRPr="00386E47">
        <w:rPr>
          <w:rFonts w:asciiTheme="majorHAnsi" w:eastAsia="Calibri" w:hAnsiTheme="majorHAnsi"/>
          <w:sz w:val="20"/>
          <w:szCs w:val="20"/>
          <w:lang w:val="es-AR"/>
        </w:rPr>
        <w:t>a la CIDH que</w:t>
      </w:r>
      <w:r w:rsidR="003C20E3" w:rsidRPr="00386E47">
        <w:rPr>
          <w:rFonts w:asciiTheme="majorHAnsi" w:eastAsia="Calibri" w:hAnsiTheme="majorHAnsi"/>
          <w:sz w:val="20"/>
          <w:szCs w:val="20"/>
          <w:lang w:val="es-AR"/>
        </w:rPr>
        <w:t xml:space="preserve">, </w:t>
      </w:r>
      <w:r w:rsidR="00D45F47" w:rsidRPr="00386E47">
        <w:rPr>
          <w:rFonts w:asciiTheme="majorHAnsi" w:eastAsia="Calibri" w:hAnsiTheme="majorHAnsi"/>
          <w:sz w:val="20"/>
          <w:szCs w:val="20"/>
          <w:lang w:val="es-AR"/>
        </w:rPr>
        <w:t>para esa</w:t>
      </w:r>
      <w:r w:rsidR="003C20E3" w:rsidRPr="00386E47">
        <w:rPr>
          <w:rFonts w:asciiTheme="majorHAnsi" w:eastAsia="Calibri" w:hAnsiTheme="majorHAnsi"/>
          <w:sz w:val="20"/>
          <w:szCs w:val="20"/>
          <w:lang w:val="es-AR"/>
        </w:rPr>
        <w:t xml:space="preserve"> fecha</w:t>
      </w:r>
      <w:r w:rsidR="00D45F47" w:rsidRPr="00386E47">
        <w:rPr>
          <w:rFonts w:asciiTheme="majorHAnsi" w:eastAsia="Calibri" w:hAnsiTheme="majorHAnsi"/>
          <w:sz w:val="20"/>
          <w:szCs w:val="20"/>
          <w:lang w:val="es-AR"/>
        </w:rPr>
        <w:t>,</w:t>
      </w:r>
      <w:r w:rsidR="003C20E3" w:rsidRPr="00386E47">
        <w:rPr>
          <w:rFonts w:asciiTheme="majorHAnsi" w:eastAsia="Calibri" w:hAnsiTheme="majorHAnsi"/>
          <w:sz w:val="20"/>
          <w:szCs w:val="20"/>
          <w:lang w:val="es-AR"/>
        </w:rPr>
        <w:t xml:space="preserve"> </w:t>
      </w:r>
      <w:r w:rsidR="00170D9A" w:rsidRPr="00386E47">
        <w:rPr>
          <w:rFonts w:asciiTheme="majorHAnsi" w:eastAsia="Calibri" w:hAnsiTheme="majorHAnsi"/>
          <w:sz w:val="20"/>
          <w:szCs w:val="20"/>
          <w:lang w:val="es-AR"/>
        </w:rPr>
        <w:t>existían</w:t>
      </w:r>
      <w:r w:rsidR="009F70EA" w:rsidRPr="00386E47">
        <w:rPr>
          <w:rFonts w:asciiTheme="majorHAnsi" w:eastAsia="Calibri" w:hAnsiTheme="majorHAnsi"/>
          <w:sz w:val="20"/>
          <w:szCs w:val="20"/>
          <w:lang w:val="es-AR"/>
        </w:rPr>
        <w:t xml:space="preserve"> </w:t>
      </w:r>
      <w:r w:rsidR="00170D9A" w:rsidRPr="00386E47">
        <w:rPr>
          <w:rFonts w:asciiTheme="majorHAnsi" w:eastAsia="Calibri" w:hAnsiTheme="majorHAnsi"/>
          <w:sz w:val="20"/>
          <w:szCs w:val="20"/>
          <w:lang w:val="es-AR"/>
        </w:rPr>
        <w:t xml:space="preserve">escasos </w:t>
      </w:r>
      <w:r w:rsidR="009F70EA" w:rsidRPr="00386E47">
        <w:rPr>
          <w:rFonts w:asciiTheme="majorHAnsi" w:eastAsia="Calibri" w:hAnsiTheme="majorHAnsi"/>
          <w:sz w:val="20"/>
          <w:szCs w:val="20"/>
          <w:lang w:val="es-AR"/>
        </w:rPr>
        <w:t>avances</w:t>
      </w:r>
      <w:r w:rsidR="003C20E3" w:rsidRPr="00386E47">
        <w:rPr>
          <w:rFonts w:asciiTheme="majorHAnsi" w:eastAsia="Calibri" w:hAnsiTheme="majorHAnsi"/>
          <w:sz w:val="20"/>
          <w:szCs w:val="20"/>
          <w:lang w:val="es-AR"/>
        </w:rPr>
        <w:t xml:space="preserve"> en el proceso de </w:t>
      </w:r>
      <w:r w:rsidR="00790369" w:rsidRPr="00386E47">
        <w:rPr>
          <w:rFonts w:asciiTheme="majorHAnsi" w:eastAsia="Calibri" w:hAnsiTheme="majorHAnsi"/>
          <w:sz w:val="20"/>
          <w:szCs w:val="20"/>
          <w:lang w:val="es-AR"/>
        </w:rPr>
        <w:t>solución</w:t>
      </w:r>
      <w:r w:rsidR="003C20E3" w:rsidRPr="00386E47">
        <w:rPr>
          <w:rFonts w:asciiTheme="majorHAnsi" w:eastAsia="Calibri" w:hAnsiTheme="majorHAnsi"/>
          <w:sz w:val="20"/>
          <w:szCs w:val="20"/>
          <w:lang w:val="es-AR"/>
        </w:rPr>
        <w:t xml:space="preserve"> amistosa</w:t>
      </w:r>
      <w:r w:rsidR="009F70EA" w:rsidRPr="00386E47">
        <w:rPr>
          <w:rFonts w:asciiTheme="majorHAnsi" w:eastAsia="Calibri" w:hAnsiTheme="majorHAnsi"/>
          <w:sz w:val="20"/>
          <w:szCs w:val="20"/>
          <w:lang w:val="es-AR"/>
        </w:rPr>
        <w:t xml:space="preserve">, </w:t>
      </w:r>
      <w:r w:rsidR="00170D9A" w:rsidRPr="00386E47">
        <w:rPr>
          <w:rFonts w:asciiTheme="majorHAnsi" w:eastAsia="Calibri" w:hAnsiTheme="majorHAnsi"/>
          <w:sz w:val="20"/>
          <w:szCs w:val="20"/>
          <w:lang w:val="es-AR"/>
        </w:rPr>
        <w:t xml:space="preserve">por lo cual solicitaron que </w:t>
      </w:r>
      <w:r w:rsidR="009F70EA" w:rsidRPr="00386E47">
        <w:rPr>
          <w:rFonts w:asciiTheme="majorHAnsi" w:eastAsia="Calibri" w:hAnsiTheme="majorHAnsi"/>
          <w:sz w:val="20"/>
          <w:szCs w:val="20"/>
          <w:lang w:val="es-AR"/>
        </w:rPr>
        <w:t>se c</w:t>
      </w:r>
      <w:r w:rsidR="00510BB1" w:rsidRPr="00386E47">
        <w:rPr>
          <w:rFonts w:asciiTheme="majorHAnsi" w:eastAsia="Calibri" w:hAnsiTheme="majorHAnsi"/>
          <w:sz w:val="20"/>
          <w:szCs w:val="20"/>
          <w:lang w:val="es-AR"/>
        </w:rPr>
        <w:t xml:space="preserve">ontinuara con el </w:t>
      </w:r>
      <w:r w:rsidR="00181BFA" w:rsidRPr="00386E47">
        <w:rPr>
          <w:rFonts w:asciiTheme="majorHAnsi" w:eastAsia="Calibri" w:hAnsiTheme="majorHAnsi"/>
          <w:sz w:val="20"/>
          <w:szCs w:val="20"/>
          <w:lang w:val="es-AR"/>
        </w:rPr>
        <w:t xml:space="preserve">estudio sobre la admisibilidad y el fondo de la </w:t>
      </w:r>
      <w:r w:rsidR="000F11D6" w:rsidRPr="00386E47">
        <w:rPr>
          <w:rFonts w:asciiTheme="majorHAnsi" w:eastAsia="Calibri" w:hAnsiTheme="majorHAnsi"/>
          <w:sz w:val="20"/>
          <w:szCs w:val="20"/>
          <w:lang w:val="es-AR"/>
        </w:rPr>
        <w:t>petición</w:t>
      </w:r>
      <w:r w:rsidR="009F70EA" w:rsidRPr="00386E47">
        <w:rPr>
          <w:rFonts w:asciiTheme="majorHAnsi" w:eastAsia="Calibri" w:hAnsiTheme="majorHAnsi"/>
          <w:sz w:val="20"/>
          <w:szCs w:val="20"/>
          <w:lang w:val="es-AR"/>
        </w:rPr>
        <w:t xml:space="preserve">. </w:t>
      </w:r>
      <w:r w:rsidR="00181BFA" w:rsidRPr="00386E47">
        <w:rPr>
          <w:rFonts w:asciiTheme="majorHAnsi" w:eastAsia="Calibri" w:hAnsiTheme="majorHAnsi"/>
          <w:sz w:val="20"/>
          <w:szCs w:val="20"/>
          <w:lang w:val="es-AR"/>
        </w:rPr>
        <w:t>Con fecha 29 de junio de 2012, la Comisión comunicó a las partes su decisión de diferir el tratamiento de admisibilidad hasta el debate y decisión sobre el fondo, en aplicación del art</w:t>
      </w:r>
      <w:r w:rsidR="00B0077C" w:rsidRPr="00386E47">
        <w:rPr>
          <w:rFonts w:asciiTheme="majorHAnsi" w:eastAsia="Calibri" w:hAnsiTheme="majorHAnsi"/>
          <w:sz w:val="20"/>
          <w:szCs w:val="20"/>
          <w:lang w:val="es-AR"/>
        </w:rPr>
        <w:t xml:space="preserve">ículo 36 (3) de su Reglamento. </w:t>
      </w:r>
      <w:r w:rsidR="00181BFA" w:rsidRPr="00386E47">
        <w:rPr>
          <w:rFonts w:asciiTheme="majorHAnsi" w:eastAsia="Calibri" w:hAnsiTheme="majorHAnsi"/>
          <w:sz w:val="20"/>
          <w:szCs w:val="20"/>
          <w:lang w:val="es-AR"/>
        </w:rPr>
        <w:t xml:space="preserve">En </w:t>
      </w:r>
      <w:r w:rsidR="00B0077C" w:rsidRPr="00386E47">
        <w:rPr>
          <w:rFonts w:asciiTheme="majorHAnsi" w:eastAsia="Calibri" w:hAnsiTheme="majorHAnsi"/>
          <w:sz w:val="20"/>
          <w:szCs w:val="20"/>
          <w:lang w:val="es-AR"/>
        </w:rPr>
        <w:t>una comunicación</w:t>
      </w:r>
      <w:r w:rsidR="00181BFA" w:rsidRPr="00386E47">
        <w:rPr>
          <w:rFonts w:asciiTheme="majorHAnsi" w:eastAsia="Calibri" w:hAnsiTheme="majorHAnsi"/>
          <w:sz w:val="20"/>
          <w:szCs w:val="20"/>
          <w:lang w:val="es-AR"/>
        </w:rPr>
        <w:t xml:space="preserve"> </w:t>
      </w:r>
      <w:r w:rsidR="00B0077C" w:rsidRPr="00386E47">
        <w:rPr>
          <w:rFonts w:asciiTheme="majorHAnsi" w:eastAsia="Calibri" w:hAnsiTheme="majorHAnsi"/>
          <w:sz w:val="20"/>
          <w:szCs w:val="20"/>
          <w:lang w:val="es-AR"/>
        </w:rPr>
        <w:t>recibida</w:t>
      </w:r>
      <w:r w:rsidR="00162FAB" w:rsidRPr="00386E47">
        <w:rPr>
          <w:rFonts w:asciiTheme="majorHAnsi" w:eastAsia="Calibri" w:hAnsiTheme="majorHAnsi"/>
          <w:sz w:val="20"/>
          <w:szCs w:val="20"/>
          <w:lang w:val="es-AR"/>
        </w:rPr>
        <w:t xml:space="preserve"> </w:t>
      </w:r>
      <w:r w:rsidR="00F16CF6" w:rsidRPr="00386E47">
        <w:rPr>
          <w:rFonts w:asciiTheme="majorHAnsi" w:eastAsia="Calibri" w:hAnsiTheme="majorHAnsi"/>
          <w:sz w:val="20"/>
          <w:szCs w:val="20"/>
          <w:lang w:val="es-AR"/>
        </w:rPr>
        <w:t>el 31</w:t>
      </w:r>
      <w:r w:rsidR="00181BFA" w:rsidRPr="00386E47">
        <w:rPr>
          <w:rFonts w:asciiTheme="majorHAnsi" w:eastAsia="Calibri" w:hAnsiTheme="majorHAnsi"/>
          <w:sz w:val="20"/>
          <w:szCs w:val="20"/>
          <w:lang w:val="es-AR"/>
        </w:rPr>
        <w:t xml:space="preserve"> de octubre de 2014, </w:t>
      </w:r>
      <w:r w:rsidR="00162FAB" w:rsidRPr="00386E47">
        <w:rPr>
          <w:rFonts w:asciiTheme="majorHAnsi" w:eastAsia="Calibri" w:hAnsiTheme="majorHAnsi"/>
          <w:sz w:val="20"/>
          <w:szCs w:val="20"/>
          <w:lang w:val="es-AR"/>
        </w:rPr>
        <w:t xml:space="preserve">los peticionarios remitieron su documento de </w:t>
      </w:r>
      <w:r w:rsidR="00181BFA" w:rsidRPr="00386E47">
        <w:rPr>
          <w:rFonts w:asciiTheme="majorHAnsi" w:eastAsia="Calibri" w:hAnsiTheme="majorHAnsi"/>
          <w:sz w:val="20"/>
          <w:szCs w:val="20"/>
          <w:lang w:val="es-AR"/>
        </w:rPr>
        <w:t xml:space="preserve">observaciones </w:t>
      </w:r>
      <w:r w:rsidR="00162FAB" w:rsidRPr="00386E47">
        <w:rPr>
          <w:rFonts w:asciiTheme="majorHAnsi" w:eastAsia="Calibri" w:hAnsiTheme="majorHAnsi"/>
          <w:sz w:val="20"/>
          <w:szCs w:val="20"/>
          <w:lang w:val="es-AR"/>
        </w:rPr>
        <w:t xml:space="preserve">adicionales </w:t>
      </w:r>
      <w:r w:rsidR="00181BFA" w:rsidRPr="00386E47">
        <w:rPr>
          <w:rFonts w:asciiTheme="majorHAnsi" w:eastAsia="Calibri" w:hAnsiTheme="majorHAnsi"/>
          <w:sz w:val="20"/>
          <w:szCs w:val="20"/>
          <w:lang w:val="es-AR"/>
        </w:rPr>
        <w:t xml:space="preserve">sobre el fondo. El 18 de noviembre de 2014, la Comisión </w:t>
      </w:r>
      <w:r w:rsidR="00162FAB" w:rsidRPr="00386E47">
        <w:rPr>
          <w:rFonts w:asciiTheme="majorHAnsi" w:eastAsia="Calibri" w:hAnsiTheme="majorHAnsi"/>
          <w:sz w:val="20"/>
          <w:szCs w:val="20"/>
          <w:lang w:val="es-AR"/>
        </w:rPr>
        <w:t>trasladó</w:t>
      </w:r>
      <w:r w:rsidR="00181BFA" w:rsidRPr="00386E47">
        <w:rPr>
          <w:rFonts w:asciiTheme="majorHAnsi" w:eastAsia="Calibri" w:hAnsiTheme="majorHAnsi"/>
          <w:sz w:val="20"/>
          <w:szCs w:val="20"/>
          <w:lang w:val="es-AR"/>
        </w:rPr>
        <w:t xml:space="preserve"> </w:t>
      </w:r>
      <w:r w:rsidR="0059511A" w:rsidRPr="00386E47">
        <w:rPr>
          <w:rFonts w:asciiTheme="majorHAnsi" w:eastAsia="Calibri" w:hAnsiTheme="majorHAnsi"/>
          <w:sz w:val="20"/>
          <w:szCs w:val="20"/>
          <w:lang w:val="es-AR"/>
        </w:rPr>
        <w:t>dicho documento al Estado</w:t>
      </w:r>
      <w:r w:rsidR="00162FAB" w:rsidRPr="00386E47">
        <w:rPr>
          <w:rFonts w:asciiTheme="majorHAnsi" w:eastAsia="Calibri" w:hAnsiTheme="majorHAnsi"/>
          <w:sz w:val="20"/>
          <w:szCs w:val="20"/>
          <w:lang w:val="es-AR"/>
        </w:rPr>
        <w:t xml:space="preserve"> argentino</w:t>
      </w:r>
      <w:r w:rsidR="00181BFA" w:rsidRPr="00386E47">
        <w:rPr>
          <w:rFonts w:asciiTheme="majorHAnsi" w:eastAsia="Calibri" w:hAnsiTheme="majorHAnsi"/>
          <w:sz w:val="20"/>
          <w:szCs w:val="20"/>
          <w:lang w:val="es-AR"/>
        </w:rPr>
        <w:t>. Después de solicitar varias prórrogas, el Estado presentó su escrito</w:t>
      </w:r>
      <w:r w:rsidR="0059511A" w:rsidRPr="00386E47">
        <w:rPr>
          <w:rFonts w:asciiTheme="majorHAnsi" w:eastAsia="Calibri" w:hAnsiTheme="majorHAnsi"/>
          <w:sz w:val="20"/>
          <w:szCs w:val="20"/>
          <w:lang w:val="es-AR"/>
        </w:rPr>
        <w:t xml:space="preserve"> de observaciones adicionales sobre el fondo</w:t>
      </w:r>
      <w:r w:rsidR="00181BFA" w:rsidRPr="00386E47">
        <w:rPr>
          <w:rFonts w:asciiTheme="majorHAnsi" w:eastAsia="Calibri" w:hAnsiTheme="majorHAnsi"/>
          <w:sz w:val="20"/>
          <w:szCs w:val="20"/>
          <w:lang w:val="es-AR"/>
        </w:rPr>
        <w:t xml:space="preserve"> el 28 de septiembre de 2015.</w:t>
      </w:r>
    </w:p>
    <w:p w14:paraId="5FC4AFC5" w14:textId="77777777" w:rsidR="000F11D6" w:rsidRPr="00386E47" w:rsidRDefault="000F11D6" w:rsidP="0059511A">
      <w:pPr>
        <w:tabs>
          <w:tab w:val="left" w:pos="567"/>
        </w:tabs>
        <w:jc w:val="both"/>
        <w:rPr>
          <w:rFonts w:asciiTheme="majorHAnsi" w:eastAsia="Calibri" w:hAnsiTheme="majorHAnsi"/>
          <w:sz w:val="20"/>
          <w:szCs w:val="20"/>
          <w:lang w:val="es-VE"/>
        </w:rPr>
      </w:pPr>
    </w:p>
    <w:p w14:paraId="17981074" w14:textId="77777777" w:rsidR="009F70EA" w:rsidRPr="00386E47" w:rsidRDefault="00DF45EF" w:rsidP="003A5860">
      <w:pPr>
        <w:numPr>
          <w:ilvl w:val="0"/>
          <w:numId w:val="55"/>
        </w:numPr>
        <w:tabs>
          <w:tab w:val="left" w:pos="567"/>
        </w:tabs>
        <w:ind w:left="0" w:firstLine="0"/>
        <w:jc w:val="both"/>
        <w:rPr>
          <w:rFonts w:asciiTheme="majorHAnsi" w:eastAsia="Calibri" w:hAnsiTheme="majorHAnsi"/>
          <w:sz w:val="20"/>
          <w:szCs w:val="20"/>
          <w:lang w:val="es-VE"/>
        </w:rPr>
      </w:pPr>
      <w:r w:rsidRPr="00386E47">
        <w:rPr>
          <w:rFonts w:asciiTheme="majorHAnsi" w:eastAsia="Calibri" w:hAnsiTheme="majorHAnsi"/>
          <w:sz w:val="20"/>
          <w:szCs w:val="20"/>
          <w:lang w:val="es-AR"/>
        </w:rPr>
        <w:t>A</w:t>
      </w:r>
      <w:r w:rsidR="00887819" w:rsidRPr="00386E47">
        <w:rPr>
          <w:rFonts w:asciiTheme="majorHAnsi" w:eastAsia="Calibri" w:hAnsiTheme="majorHAnsi"/>
          <w:sz w:val="20"/>
          <w:szCs w:val="20"/>
          <w:lang w:val="es-AR"/>
        </w:rPr>
        <w:t xml:space="preserve"> solicitud de la parte peticionaria, </w:t>
      </w:r>
      <w:r w:rsidR="00181BFA" w:rsidRPr="00386E47">
        <w:rPr>
          <w:rFonts w:asciiTheme="majorHAnsi" w:eastAsia="Calibri" w:hAnsiTheme="majorHAnsi"/>
          <w:sz w:val="20"/>
          <w:szCs w:val="20"/>
          <w:lang w:val="es-AR"/>
        </w:rPr>
        <w:t>e</w:t>
      </w:r>
      <w:r w:rsidR="009F70EA" w:rsidRPr="00386E47">
        <w:rPr>
          <w:rFonts w:asciiTheme="majorHAnsi" w:eastAsia="Calibri" w:hAnsiTheme="majorHAnsi"/>
          <w:sz w:val="20"/>
          <w:szCs w:val="20"/>
          <w:lang w:val="es-AR"/>
        </w:rPr>
        <w:t>l 27 de julio de 2015</w:t>
      </w:r>
      <w:r w:rsidR="00181BFA" w:rsidRPr="00386E47">
        <w:rPr>
          <w:rFonts w:asciiTheme="majorHAnsi" w:eastAsia="Calibri" w:hAnsiTheme="majorHAnsi"/>
          <w:sz w:val="20"/>
          <w:szCs w:val="20"/>
          <w:lang w:val="es-AR"/>
        </w:rPr>
        <w:t xml:space="preserve"> </w:t>
      </w:r>
      <w:r w:rsidR="009F70EA" w:rsidRPr="00386E47">
        <w:rPr>
          <w:rFonts w:asciiTheme="majorHAnsi" w:eastAsia="Calibri" w:hAnsiTheme="majorHAnsi"/>
          <w:sz w:val="20"/>
          <w:szCs w:val="20"/>
          <w:lang w:val="es-AR"/>
        </w:rPr>
        <w:t xml:space="preserve">la Comisión </w:t>
      </w:r>
      <w:r w:rsidR="00D45F47" w:rsidRPr="00386E47">
        <w:rPr>
          <w:rFonts w:asciiTheme="majorHAnsi" w:eastAsia="Calibri" w:hAnsiTheme="majorHAnsi"/>
          <w:sz w:val="20"/>
          <w:szCs w:val="20"/>
          <w:lang w:val="es-AR"/>
        </w:rPr>
        <w:t>encomendó</w:t>
      </w:r>
      <w:r w:rsidR="0025691F" w:rsidRPr="00386E47">
        <w:rPr>
          <w:rFonts w:asciiTheme="majorHAnsi" w:eastAsia="Calibri" w:hAnsiTheme="majorHAnsi"/>
          <w:sz w:val="20"/>
          <w:szCs w:val="20"/>
          <w:lang w:val="es-AR"/>
        </w:rPr>
        <w:t xml:space="preserve"> </w:t>
      </w:r>
      <w:r w:rsidR="00181BFA" w:rsidRPr="00386E47">
        <w:rPr>
          <w:rFonts w:asciiTheme="majorHAnsi" w:eastAsia="Calibri" w:hAnsiTheme="majorHAnsi"/>
          <w:sz w:val="20"/>
          <w:szCs w:val="20"/>
          <w:lang w:val="es-AR"/>
        </w:rPr>
        <w:t xml:space="preserve">al </w:t>
      </w:r>
      <w:r w:rsidR="00170D9A" w:rsidRPr="00386E47">
        <w:rPr>
          <w:rFonts w:asciiTheme="majorHAnsi" w:eastAsia="Calibri" w:hAnsiTheme="majorHAnsi"/>
          <w:sz w:val="20"/>
          <w:szCs w:val="20"/>
          <w:lang w:val="es-AR"/>
        </w:rPr>
        <w:t xml:space="preserve">entonces </w:t>
      </w:r>
      <w:r w:rsidR="00181BFA" w:rsidRPr="00386E47">
        <w:rPr>
          <w:rFonts w:asciiTheme="majorHAnsi" w:eastAsia="Calibri" w:hAnsiTheme="majorHAnsi"/>
          <w:sz w:val="20"/>
          <w:szCs w:val="20"/>
          <w:lang w:val="es-AR"/>
        </w:rPr>
        <w:t>Comisionado Paulo Vanucchi, en su carácter de r</w:t>
      </w:r>
      <w:r w:rsidR="009F70EA" w:rsidRPr="00386E47">
        <w:rPr>
          <w:rFonts w:asciiTheme="majorHAnsi" w:eastAsia="Calibri" w:hAnsiTheme="majorHAnsi"/>
          <w:sz w:val="20"/>
          <w:szCs w:val="20"/>
          <w:lang w:val="es-AR"/>
        </w:rPr>
        <w:t>elator para Argentina, que asistiera</w:t>
      </w:r>
      <w:r w:rsidR="00181BFA" w:rsidRPr="00386E47">
        <w:rPr>
          <w:rFonts w:asciiTheme="majorHAnsi" w:eastAsia="Calibri" w:hAnsiTheme="majorHAnsi"/>
          <w:sz w:val="20"/>
          <w:szCs w:val="20"/>
          <w:lang w:val="es-AR"/>
        </w:rPr>
        <w:t xml:space="preserve"> en carácter de observador </w:t>
      </w:r>
      <w:r w:rsidR="009F70EA" w:rsidRPr="00386E47">
        <w:rPr>
          <w:rFonts w:asciiTheme="majorHAnsi" w:eastAsia="Calibri" w:hAnsiTheme="majorHAnsi"/>
          <w:sz w:val="20"/>
          <w:szCs w:val="20"/>
          <w:lang w:val="es-AR"/>
        </w:rPr>
        <w:t xml:space="preserve">a </w:t>
      </w:r>
      <w:r w:rsidR="00181BFA" w:rsidRPr="00386E47">
        <w:rPr>
          <w:rFonts w:asciiTheme="majorHAnsi" w:eastAsia="Calibri" w:hAnsiTheme="majorHAnsi"/>
          <w:sz w:val="20"/>
          <w:szCs w:val="20"/>
          <w:lang w:val="es-AR"/>
        </w:rPr>
        <w:t xml:space="preserve">la audiencia de apertura del juicio oral </w:t>
      </w:r>
      <w:r w:rsidR="00B0077C" w:rsidRPr="00386E47">
        <w:rPr>
          <w:rFonts w:asciiTheme="majorHAnsi" w:eastAsia="Calibri" w:hAnsiTheme="majorHAnsi"/>
          <w:sz w:val="20"/>
          <w:szCs w:val="20"/>
          <w:lang w:val="es-AR"/>
        </w:rPr>
        <w:t xml:space="preserve">celebrado ante el Tribunal Oral en lo Criminal Federal Nro. 2 por los hechos de </w:t>
      </w:r>
      <w:r w:rsidR="009F70EA" w:rsidRPr="00386E47">
        <w:rPr>
          <w:rFonts w:asciiTheme="majorHAnsi" w:eastAsia="Calibri" w:hAnsiTheme="majorHAnsi"/>
          <w:sz w:val="20"/>
          <w:szCs w:val="20"/>
          <w:lang w:val="es-AR"/>
        </w:rPr>
        <w:t>encubrimiento</w:t>
      </w:r>
      <w:r w:rsidR="00B0077C" w:rsidRPr="00386E47">
        <w:rPr>
          <w:rFonts w:asciiTheme="majorHAnsi" w:eastAsia="Calibri" w:hAnsiTheme="majorHAnsi"/>
          <w:sz w:val="20"/>
          <w:szCs w:val="20"/>
          <w:lang w:val="es-AR"/>
        </w:rPr>
        <w:t xml:space="preserve"> del atentado</w:t>
      </w:r>
      <w:r w:rsidR="009F70EA" w:rsidRPr="00386E47">
        <w:rPr>
          <w:rFonts w:asciiTheme="majorHAnsi" w:eastAsia="Calibri" w:hAnsiTheme="majorHAnsi"/>
          <w:sz w:val="20"/>
          <w:szCs w:val="20"/>
          <w:lang w:val="es-AR"/>
        </w:rPr>
        <w:t xml:space="preserve">. </w:t>
      </w:r>
    </w:p>
    <w:p w14:paraId="3FBBFD98" w14:textId="77777777" w:rsidR="00181BFA" w:rsidRPr="00386E47" w:rsidRDefault="00181BFA" w:rsidP="0059511A">
      <w:pPr>
        <w:tabs>
          <w:tab w:val="left" w:pos="567"/>
        </w:tabs>
        <w:jc w:val="both"/>
        <w:rPr>
          <w:rFonts w:asciiTheme="majorHAnsi" w:eastAsia="Calibri" w:hAnsiTheme="majorHAnsi"/>
          <w:sz w:val="20"/>
          <w:szCs w:val="20"/>
          <w:lang w:val="es-VE"/>
        </w:rPr>
      </w:pPr>
    </w:p>
    <w:p w14:paraId="29FC86B0" w14:textId="77777777" w:rsidR="00181BFA" w:rsidRPr="00386E47" w:rsidRDefault="009F70EA" w:rsidP="003A5860">
      <w:pPr>
        <w:numPr>
          <w:ilvl w:val="0"/>
          <w:numId w:val="55"/>
        </w:numPr>
        <w:tabs>
          <w:tab w:val="left" w:pos="567"/>
        </w:tabs>
        <w:ind w:left="0" w:firstLine="0"/>
        <w:jc w:val="both"/>
        <w:rPr>
          <w:rFonts w:asciiTheme="majorHAnsi" w:eastAsia="Calibri" w:hAnsiTheme="majorHAnsi"/>
          <w:sz w:val="20"/>
          <w:szCs w:val="20"/>
          <w:lang w:val="es-VE"/>
        </w:rPr>
      </w:pPr>
      <w:r w:rsidRPr="00386E47">
        <w:rPr>
          <w:rFonts w:asciiTheme="majorHAnsi" w:eastAsia="Calibri" w:hAnsiTheme="majorHAnsi"/>
          <w:sz w:val="20"/>
          <w:szCs w:val="20"/>
          <w:lang w:val="es-AR"/>
        </w:rPr>
        <w:t xml:space="preserve">El 7 de marzo de 2017, el Estado manifestó su voluntad de </w:t>
      </w:r>
      <w:r w:rsidR="00181BFA" w:rsidRPr="00386E47">
        <w:rPr>
          <w:rFonts w:asciiTheme="majorHAnsi" w:eastAsia="Calibri" w:hAnsiTheme="majorHAnsi"/>
          <w:sz w:val="20"/>
          <w:szCs w:val="20"/>
          <w:lang w:val="es-AR"/>
        </w:rPr>
        <w:t>reiniciar</w:t>
      </w:r>
      <w:r w:rsidRPr="00386E47">
        <w:rPr>
          <w:rFonts w:asciiTheme="majorHAnsi" w:eastAsia="Calibri" w:hAnsiTheme="majorHAnsi"/>
          <w:sz w:val="20"/>
          <w:szCs w:val="20"/>
          <w:lang w:val="es-AR"/>
        </w:rPr>
        <w:t xml:space="preserve"> </w:t>
      </w:r>
      <w:r w:rsidR="00CF0A8A" w:rsidRPr="00386E47">
        <w:rPr>
          <w:rFonts w:asciiTheme="majorHAnsi" w:eastAsia="Calibri" w:hAnsiTheme="majorHAnsi"/>
          <w:sz w:val="20"/>
          <w:szCs w:val="20"/>
          <w:lang w:val="es-AR"/>
        </w:rPr>
        <w:t xml:space="preserve">el </w:t>
      </w:r>
      <w:r w:rsidRPr="00386E47">
        <w:rPr>
          <w:rFonts w:asciiTheme="majorHAnsi" w:eastAsia="Calibri" w:hAnsiTheme="majorHAnsi"/>
          <w:sz w:val="20"/>
          <w:szCs w:val="20"/>
          <w:lang w:val="es-AR"/>
        </w:rPr>
        <w:t>proceso de solución amistosa.</w:t>
      </w:r>
      <w:r w:rsidR="00181BFA" w:rsidRPr="00386E47">
        <w:rPr>
          <w:rFonts w:asciiTheme="majorHAnsi" w:eastAsia="Calibri" w:hAnsiTheme="majorHAnsi"/>
          <w:sz w:val="20"/>
          <w:szCs w:val="20"/>
          <w:lang w:val="es-AR"/>
        </w:rPr>
        <w:t xml:space="preserve"> E</w:t>
      </w:r>
      <w:r w:rsidRPr="00386E47">
        <w:rPr>
          <w:rFonts w:asciiTheme="majorHAnsi" w:eastAsia="Calibri" w:hAnsiTheme="majorHAnsi"/>
          <w:sz w:val="20"/>
          <w:szCs w:val="20"/>
          <w:lang w:val="es-AR"/>
        </w:rPr>
        <w:t xml:space="preserve">l </w:t>
      </w:r>
      <w:r w:rsidR="0059511A" w:rsidRPr="00386E47">
        <w:rPr>
          <w:rFonts w:asciiTheme="majorHAnsi" w:eastAsia="Calibri" w:hAnsiTheme="majorHAnsi"/>
          <w:sz w:val="20"/>
          <w:szCs w:val="20"/>
          <w:lang w:val="es-AR"/>
        </w:rPr>
        <w:t xml:space="preserve">15 de mayo de 2017 </w:t>
      </w:r>
      <w:r w:rsidRPr="00386E47">
        <w:rPr>
          <w:rFonts w:asciiTheme="majorHAnsi" w:eastAsia="Calibri" w:hAnsiTheme="majorHAnsi"/>
          <w:sz w:val="20"/>
          <w:szCs w:val="20"/>
          <w:lang w:val="es-AR"/>
        </w:rPr>
        <w:t xml:space="preserve">los peticionarios </w:t>
      </w:r>
      <w:r w:rsidR="00181BFA" w:rsidRPr="00386E47">
        <w:rPr>
          <w:rFonts w:asciiTheme="majorHAnsi" w:eastAsia="Calibri" w:hAnsiTheme="majorHAnsi"/>
          <w:sz w:val="20"/>
          <w:szCs w:val="20"/>
          <w:lang w:val="es-AR"/>
        </w:rPr>
        <w:t xml:space="preserve">rechazaron la propuesta y reiteraron </w:t>
      </w:r>
      <w:r w:rsidRPr="00386E47">
        <w:rPr>
          <w:rFonts w:asciiTheme="majorHAnsi" w:eastAsia="Calibri" w:hAnsiTheme="majorHAnsi"/>
          <w:sz w:val="20"/>
          <w:szCs w:val="20"/>
          <w:lang w:val="es-AR"/>
        </w:rPr>
        <w:t xml:space="preserve">su </w:t>
      </w:r>
      <w:r w:rsidR="00181BFA" w:rsidRPr="00386E47">
        <w:rPr>
          <w:rFonts w:asciiTheme="majorHAnsi" w:eastAsia="Calibri" w:hAnsiTheme="majorHAnsi"/>
          <w:sz w:val="20"/>
          <w:szCs w:val="20"/>
          <w:lang w:val="es-AR"/>
        </w:rPr>
        <w:t xml:space="preserve">voluntad </w:t>
      </w:r>
      <w:r w:rsidRPr="00386E47">
        <w:rPr>
          <w:rFonts w:asciiTheme="majorHAnsi" w:eastAsia="Calibri" w:hAnsiTheme="majorHAnsi"/>
          <w:sz w:val="20"/>
          <w:szCs w:val="20"/>
          <w:lang w:val="es-AR"/>
        </w:rPr>
        <w:t>de continuar con</w:t>
      </w:r>
      <w:r w:rsidR="005C7C9D" w:rsidRPr="00386E47">
        <w:rPr>
          <w:rFonts w:asciiTheme="majorHAnsi" w:eastAsia="Calibri" w:hAnsiTheme="majorHAnsi"/>
          <w:sz w:val="20"/>
          <w:szCs w:val="20"/>
          <w:lang w:val="es-AR"/>
        </w:rPr>
        <w:t xml:space="preserve"> el</w:t>
      </w:r>
      <w:r w:rsidRPr="00386E47">
        <w:rPr>
          <w:rFonts w:asciiTheme="majorHAnsi" w:eastAsia="Calibri" w:hAnsiTheme="majorHAnsi"/>
          <w:sz w:val="20"/>
          <w:szCs w:val="20"/>
          <w:lang w:val="es-AR"/>
        </w:rPr>
        <w:t xml:space="preserve"> </w:t>
      </w:r>
      <w:r w:rsidR="005C7C9D" w:rsidRPr="00386E47">
        <w:rPr>
          <w:rFonts w:asciiTheme="majorHAnsi" w:eastAsia="Calibri" w:hAnsiTheme="majorHAnsi"/>
          <w:sz w:val="20"/>
          <w:szCs w:val="20"/>
          <w:lang w:val="es-AR"/>
        </w:rPr>
        <w:t>trámite</w:t>
      </w:r>
      <w:r w:rsidR="00181BFA" w:rsidRPr="00386E47">
        <w:rPr>
          <w:rFonts w:asciiTheme="majorHAnsi" w:eastAsia="Calibri" w:hAnsiTheme="majorHAnsi"/>
          <w:sz w:val="20"/>
          <w:szCs w:val="20"/>
          <w:lang w:val="es-AR"/>
        </w:rPr>
        <w:t xml:space="preserve"> de admisibilidad y fondo ante la Comisión</w:t>
      </w:r>
      <w:r w:rsidRPr="00386E47">
        <w:rPr>
          <w:rFonts w:asciiTheme="majorHAnsi" w:eastAsia="Calibri" w:hAnsiTheme="majorHAnsi"/>
          <w:sz w:val="20"/>
          <w:szCs w:val="20"/>
          <w:lang w:val="es-AR"/>
        </w:rPr>
        <w:t>.</w:t>
      </w:r>
    </w:p>
    <w:p w14:paraId="57C7D8F1" w14:textId="77777777" w:rsidR="000F11D6" w:rsidRPr="00386E47" w:rsidRDefault="000F11D6" w:rsidP="0059511A">
      <w:pPr>
        <w:tabs>
          <w:tab w:val="left" w:pos="567"/>
        </w:tabs>
        <w:jc w:val="both"/>
        <w:rPr>
          <w:rFonts w:asciiTheme="majorHAnsi" w:eastAsia="Calibri" w:hAnsiTheme="majorHAnsi"/>
          <w:sz w:val="20"/>
          <w:szCs w:val="20"/>
          <w:lang w:val="es-VE"/>
        </w:rPr>
      </w:pPr>
    </w:p>
    <w:p w14:paraId="28DA6893" w14:textId="77777777" w:rsidR="000F11D6" w:rsidRPr="00386E47" w:rsidRDefault="004F16B0" w:rsidP="003A5860">
      <w:pPr>
        <w:numPr>
          <w:ilvl w:val="0"/>
          <w:numId w:val="55"/>
        </w:numPr>
        <w:tabs>
          <w:tab w:val="left" w:pos="567"/>
        </w:tabs>
        <w:ind w:left="0" w:firstLine="0"/>
        <w:jc w:val="both"/>
        <w:rPr>
          <w:rFonts w:asciiTheme="majorHAnsi" w:eastAsia="Calibri" w:hAnsiTheme="majorHAnsi"/>
          <w:sz w:val="20"/>
          <w:szCs w:val="20"/>
          <w:lang w:val="es-VE"/>
        </w:rPr>
      </w:pPr>
      <w:r w:rsidRPr="00386E47">
        <w:rPr>
          <w:rFonts w:asciiTheme="majorHAnsi" w:eastAsia="Calibri" w:hAnsiTheme="majorHAnsi"/>
          <w:sz w:val="20"/>
          <w:szCs w:val="20"/>
          <w:lang w:val="es-AR"/>
        </w:rPr>
        <w:t>Por último, durante el 174</w:t>
      </w:r>
      <w:r w:rsidR="00B0077C" w:rsidRPr="00386E47">
        <w:rPr>
          <w:rFonts w:asciiTheme="majorHAnsi" w:eastAsia="Calibri" w:hAnsiTheme="majorHAnsi"/>
          <w:sz w:val="20"/>
          <w:szCs w:val="20"/>
          <w:lang w:val="es-AR"/>
        </w:rPr>
        <w:t>°</w:t>
      </w:r>
      <w:r w:rsidRPr="00386E47">
        <w:rPr>
          <w:rFonts w:asciiTheme="majorHAnsi" w:eastAsia="Calibri" w:hAnsiTheme="majorHAnsi"/>
          <w:sz w:val="20"/>
          <w:szCs w:val="20"/>
          <w:lang w:val="es-AR"/>
        </w:rPr>
        <w:t xml:space="preserve"> periodo de sesiones celebrado en la ciudad de Quito, Ecuador entre los días 8 a 14 del me</w:t>
      </w:r>
      <w:r w:rsidR="00B0077C" w:rsidRPr="00386E47">
        <w:rPr>
          <w:rFonts w:asciiTheme="majorHAnsi" w:eastAsia="Calibri" w:hAnsiTheme="majorHAnsi"/>
          <w:sz w:val="20"/>
          <w:szCs w:val="20"/>
          <w:lang w:val="es-AR"/>
        </w:rPr>
        <w:t xml:space="preserve">s de noviembre de 2019, la CIDH, </w:t>
      </w:r>
      <w:r w:rsidRPr="00386E47">
        <w:rPr>
          <w:rFonts w:asciiTheme="majorHAnsi" w:eastAsia="Calibri" w:hAnsiTheme="majorHAnsi"/>
          <w:sz w:val="20"/>
          <w:szCs w:val="20"/>
          <w:lang w:val="es-AR"/>
        </w:rPr>
        <w:t>en aplicación de los artículo</w:t>
      </w:r>
      <w:r w:rsidR="00B0077C" w:rsidRPr="00386E47">
        <w:rPr>
          <w:rFonts w:asciiTheme="majorHAnsi" w:eastAsia="Calibri" w:hAnsiTheme="majorHAnsi"/>
          <w:sz w:val="20"/>
          <w:szCs w:val="20"/>
          <w:lang w:val="es-AR"/>
        </w:rPr>
        <w:t xml:space="preserve">s 30.5 y 37.5 de su </w:t>
      </w:r>
      <w:r w:rsidR="00E80709" w:rsidRPr="00386E47">
        <w:rPr>
          <w:rFonts w:asciiTheme="majorHAnsi" w:eastAsia="Calibri" w:hAnsiTheme="majorHAnsi"/>
          <w:sz w:val="20"/>
          <w:szCs w:val="20"/>
          <w:lang w:val="es-AR"/>
        </w:rPr>
        <w:t>reglamento, convocó</w:t>
      </w:r>
      <w:r w:rsidRPr="00386E47">
        <w:rPr>
          <w:rFonts w:asciiTheme="majorHAnsi" w:eastAsia="Calibri" w:hAnsiTheme="majorHAnsi"/>
          <w:sz w:val="20"/>
          <w:szCs w:val="20"/>
          <w:lang w:val="es-AR"/>
        </w:rPr>
        <w:t xml:space="preserve"> a los peticionarios y al Estado argentino a una audiencia</w:t>
      </w:r>
      <w:r w:rsidR="00B0077C" w:rsidRPr="00386E47">
        <w:rPr>
          <w:rFonts w:asciiTheme="majorHAnsi" w:eastAsia="Calibri" w:hAnsiTheme="majorHAnsi"/>
          <w:sz w:val="20"/>
          <w:szCs w:val="20"/>
          <w:lang w:val="es-AR"/>
        </w:rPr>
        <w:t xml:space="preserve"> oral</w:t>
      </w:r>
      <w:r w:rsidRPr="00386E47">
        <w:rPr>
          <w:rFonts w:asciiTheme="majorHAnsi" w:eastAsia="Calibri" w:hAnsiTheme="majorHAnsi"/>
          <w:sz w:val="20"/>
          <w:szCs w:val="20"/>
          <w:lang w:val="es-AR"/>
        </w:rPr>
        <w:t xml:space="preserve">. En dicha oportunidad la Comisión recibió las declaraciones testimoniales de las señoras </w:t>
      </w:r>
      <w:r w:rsidR="008156EC" w:rsidRPr="00386E47">
        <w:rPr>
          <w:rFonts w:asciiTheme="majorHAnsi" w:eastAsia="Calibri" w:hAnsiTheme="majorHAnsi"/>
          <w:sz w:val="20"/>
          <w:szCs w:val="20"/>
          <w:lang w:val="es-US"/>
        </w:rPr>
        <w:t xml:space="preserve">Diana Wassner y Adriana </w:t>
      </w:r>
      <w:r w:rsidRPr="00386E47">
        <w:rPr>
          <w:rFonts w:asciiTheme="majorHAnsi" w:eastAsia="Calibri" w:hAnsiTheme="majorHAnsi"/>
          <w:sz w:val="20"/>
          <w:szCs w:val="20"/>
          <w:lang w:val="es-US"/>
        </w:rPr>
        <w:t xml:space="preserve">Reisfeld, ofrecidas por la parte peticionaria y escuchó las consideraciones efectuadas tanto por </w:t>
      </w:r>
      <w:r w:rsidR="000F11D6" w:rsidRPr="00386E47">
        <w:rPr>
          <w:rFonts w:asciiTheme="majorHAnsi" w:eastAsia="Calibri" w:hAnsiTheme="majorHAnsi"/>
          <w:sz w:val="20"/>
          <w:szCs w:val="20"/>
          <w:lang w:val="es-US"/>
        </w:rPr>
        <w:t>los representantes de los peticionarios como por los del</w:t>
      </w:r>
      <w:r w:rsidRPr="00386E47">
        <w:rPr>
          <w:rFonts w:asciiTheme="majorHAnsi" w:eastAsia="Calibri" w:hAnsiTheme="majorHAnsi"/>
          <w:sz w:val="20"/>
          <w:szCs w:val="20"/>
          <w:lang w:val="es-US"/>
        </w:rPr>
        <w:t xml:space="preserve"> Estado</w:t>
      </w:r>
      <w:r w:rsidRPr="00386E47">
        <w:rPr>
          <w:rStyle w:val="FootnoteReference"/>
          <w:rFonts w:asciiTheme="majorHAnsi" w:eastAsia="Calibri" w:hAnsiTheme="majorHAnsi"/>
          <w:sz w:val="20"/>
          <w:szCs w:val="20"/>
          <w:lang w:val="es-US"/>
        </w:rPr>
        <w:footnoteReference w:id="4"/>
      </w:r>
      <w:r w:rsidRPr="00386E47">
        <w:rPr>
          <w:rFonts w:asciiTheme="majorHAnsi" w:eastAsia="Calibri" w:hAnsiTheme="majorHAnsi"/>
          <w:sz w:val="20"/>
          <w:szCs w:val="20"/>
          <w:lang w:val="es-US"/>
        </w:rPr>
        <w:t>.</w:t>
      </w:r>
    </w:p>
    <w:p w14:paraId="5DEA8CC4" w14:textId="77777777" w:rsidR="00BB147E" w:rsidRPr="00386E47" w:rsidRDefault="00BB147E" w:rsidP="00BB147E">
      <w:pPr>
        <w:tabs>
          <w:tab w:val="left" w:pos="567"/>
        </w:tabs>
        <w:contextualSpacing/>
        <w:jc w:val="both"/>
        <w:rPr>
          <w:rFonts w:asciiTheme="majorHAnsi" w:eastAsia="Calibri" w:hAnsiTheme="majorHAnsi"/>
          <w:sz w:val="20"/>
          <w:szCs w:val="20"/>
          <w:lang w:val="es-AR"/>
        </w:rPr>
      </w:pPr>
    </w:p>
    <w:p w14:paraId="0A273258" w14:textId="77777777" w:rsidR="004F16B0" w:rsidRPr="00386E47" w:rsidRDefault="004F16B0" w:rsidP="004F16B0">
      <w:pPr>
        <w:pStyle w:val="Heading1"/>
        <w:rPr>
          <w:rFonts w:asciiTheme="majorHAnsi" w:hAnsiTheme="majorHAnsi"/>
        </w:rPr>
      </w:pPr>
      <w:bookmarkStart w:id="4" w:name="_Toc25252201"/>
      <w:bookmarkStart w:id="5" w:name="_Toc51252182"/>
      <w:r w:rsidRPr="00386E47">
        <w:rPr>
          <w:rFonts w:asciiTheme="majorHAnsi" w:hAnsiTheme="majorHAnsi"/>
        </w:rPr>
        <w:t>POSICIONES</w:t>
      </w:r>
      <w:r w:rsidR="009F70EA" w:rsidRPr="00386E47">
        <w:rPr>
          <w:rFonts w:asciiTheme="majorHAnsi" w:hAnsiTheme="majorHAnsi"/>
        </w:rPr>
        <w:t xml:space="preserve"> DE LAS PARTES</w:t>
      </w:r>
      <w:bookmarkEnd w:id="4"/>
      <w:bookmarkEnd w:id="5"/>
    </w:p>
    <w:p w14:paraId="1CC3061B" w14:textId="77777777" w:rsidR="009F70EA" w:rsidRPr="00386E47" w:rsidRDefault="009F70EA" w:rsidP="009146F2">
      <w:pPr>
        <w:pStyle w:val="Heading2"/>
        <w:numPr>
          <w:ilvl w:val="0"/>
          <w:numId w:val="64"/>
        </w:numPr>
        <w:rPr>
          <w:rFonts w:asciiTheme="majorHAnsi" w:hAnsiTheme="majorHAnsi"/>
        </w:rPr>
      </w:pPr>
      <w:bookmarkStart w:id="6" w:name="_Toc25252202"/>
      <w:bookmarkStart w:id="7" w:name="_Toc51252183"/>
      <w:r w:rsidRPr="00386E47">
        <w:rPr>
          <w:rFonts w:asciiTheme="majorHAnsi" w:hAnsiTheme="majorHAnsi"/>
        </w:rPr>
        <w:t>Parte peticionaria</w:t>
      </w:r>
      <w:bookmarkEnd w:id="6"/>
      <w:bookmarkEnd w:id="7"/>
      <w:r w:rsidRPr="00386E47">
        <w:rPr>
          <w:rFonts w:asciiTheme="majorHAnsi" w:hAnsiTheme="majorHAnsi"/>
        </w:rPr>
        <w:t xml:space="preserve"> </w:t>
      </w:r>
    </w:p>
    <w:p w14:paraId="00CDECC4" w14:textId="77777777" w:rsidR="009F70EA" w:rsidRPr="00386E47" w:rsidRDefault="009F70EA" w:rsidP="005A5C09">
      <w:pPr>
        <w:ind w:left="720"/>
        <w:contextualSpacing/>
        <w:jc w:val="both"/>
        <w:rPr>
          <w:rFonts w:asciiTheme="majorHAnsi" w:eastAsia="Calibri" w:hAnsiTheme="majorHAnsi"/>
          <w:sz w:val="20"/>
          <w:szCs w:val="20"/>
          <w:lang w:val="es-US"/>
        </w:rPr>
      </w:pPr>
    </w:p>
    <w:p w14:paraId="7700BC18" w14:textId="77777777" w:rsidR="0053441A" w:rsidRPr="00386E47" w:rsidRDefault="009F70EA"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La parte peticionaria</w:t>
      </w:r>
      <w:r w:rsidR="0053441A" w:rsidRPr="00386E47">
        <w:rPr>
          <w:rFonts w:asciiTheme="majorHAnsi" w:eastAsia="Calibri" w:hAnsiTheme="majorHAnsi"/>
          <w:sz w:val="20"/>
          <w:szCs w:val="20"/>
          <w:lang w:val="es-US"/>
        </w:rPr>
        <w:t xml:space="preserve"> relató</w:t>
      </w:r>
      <w:r w:rsidRPr="00386E47">
        <w:rPr>
          <w:rFonts w:asciiTheme="majorHAnsi" w:eastAsia="Calibri" w:hAnsiTheme="majorHAnsi"/>
          <w:sz w:val="20"/>
          <w:szCs w:val="20"/>
          <w:lang w:val="es-US"/>
        </w:rPr>
        <w:t xml:space="preserve"> que el atentado </w:t>
      </w:r>
      <w:r w:rsidR="0053441A" w:rsidRPr="00386E47">
        <w:rPr>
          <w:rFonts w:asciiTheme="majorHAnsi" w:eastAsia="Calibri" w:hAnsiTheme="majorHAnsi"/>
          <w:sz w:val="20"/>
          <w:szCs w:val="20"/>
          <w:lang w:val="es-US"/>
        </w:rPr>
        <w:t xml:space="preserve">tuvo lugar a las 09:53 horas del </w:t>
      </w:r>
      <w:r w:rsidR="00430CA7" w:rsidRPr="00386E47">
        <w:rPr>
          <w:rFonts w:asciiTheme="majorHAnsi" w:eastAsia="Calibri" w:hAnsiTheme="majorHAnsi"/>
          <w:sz w:val="20"/>
          <w:szCs w:val="20"/>
          <w:lang w:val="es-US"/>
        </w:rPr>
        <w:t>día</w:t>
      </w:r>
      <w:r w:rsidR="0053441A" w:rsidRPr="00386E47">
        <w:rPr>
          <w:rFonts w:asciiTheme="majorHAnsi" w:eastAsia="Calibri" w:hAnsiTheme="majorHAnsi"/>
          <w:sz w:val="20"/>
          <w:szCs w:val="20"/>
          <w:lang w:val="es-US"/>
        </w:rPr>
        <w:t xml:space="preserve"> lunes 18 de julio de 1994 cuando una camioneta Renault Trafic que portaba en su interior una importante carga explosiva se estrelló contra la entrada del edificio que albergaba la sede de la </w:t>
      </w:r>
      <w:r w:rsidR="00F063CB" w:rsidRPr="00386E47">
        <w:rPr>
          <w:rFonts w:asciiTheme="majorHAnsi" w:eastAsia="Calibri" w:hAnsiTheme="majorHAnsi"/>
          <w:sz w:val="20"/>
          <w:szCs w:val="20"/>
          <w:lang w:val="es-US"/>
        </w:rPr>
        <w:t>Asociación</w:t>
      </w:r>
      <w:r w:rsidR="0053441A" w:rsidRPr="00386E47">
        <w:rPr>
          <w:rFonts w:asciiTheme="majorHAnsi" w:eastAsia="Calibri" w:hAnsiTheme="majorHAnsi"/>
          <w:sz w:val="20"/>
          <w:szCs w:val="20"/>
          <w:lang w:val="es-US"/>
        </w:rPr>
        <w:t xml:space="preserve"> Mutual Israelita Argentina</w:t>
      </w:r>
      <w:r w:rsidR="00EF0CA9" w:rsidRPr="00386E47">
        <w:rPr>
          <w:rFonts w:asciiTheme="majorHAnsi" w:eastAsia="Calibri" w:hAnsiTheme="majorHAnsi"/>
          <w:sz w:val="20"/>
          <w:szCs w:val="20"/>
          <w:lang w:val="es-US"/>
        </w:rPr>
        <w:t>, situado</w:t>
      </w:r>
      <w:r w:rsidR="0053441A" w:rsidRPr="00386E47">
        <w:rPr>
          <w:rFonts w:asciiTheme="majorHAnsi" w:eastAsia="Calibri" w:hAnsiTheme="majorHAnsi"/>
          <w:sz w:val="20"/>
          <w:szCs w:val="20"/>
          <w:lang w:val="es-US"/>
        </w:rPr>
        <w:t xml:space="preserve"> en la calle Pasteur 633 de la ciudad de Buenos Aires. </w:t>
      </w:r>
      <w:r w:rsidR="007C5348" w:rsidRPr="00386E47">
        <w:rPr>
          <w:rFonts w:asciiTheme="majorHAnsi" w:eastAsia="Calibri" w:hAnsiTheme="majorHAnsi"/>
          <w:sz w:val="20"/>
          <w:szCs w:val="20"/>
          <w:lang w:val="es-US"/>
        </w:rPr>
        <w:t xml:space="preserve">A raíz de la </w:t>
      </w:r>
      <w:r w:rsidR="00F063CB" w:rsidRPr="00386E47">
        <w:rPr>
          <w:rFonts w:asciiTheme="majorHAnsi" w:eastAsia="Calibri" w:hAnsiTheme="majorHAnsi"/>
          <w:sz w:val="20"/>
          <w:szCs w:val="20"/>
          <w:lang w:val="es-US"/>
        </w:rPr>
        <w:t>explosión</w:t>
      </w:r>
      <w:r w:rsidR="007C5348" w:rsidRPr="00386E47">
        <w:rPr>
          <w:rFonts w:asciiTheme="majorHAnsi" w:eastAsia="Calibri" w:hAnsiTheme="majorHAnsi"/>
          <w:sz w:val="20"/>
          <w:szCs w:val="20"/>
          <w:lang w:val="es-US"/>
        </w:rPr>
        <w:t xml:space="preserve">, </w:t>
      </w:r>
      <w:r w:rsidR="0053441A" w:rsidRPr="00386E47">
        <w:rPr>
          <w:rFonts w:asciiTheme="majorHAnsi" w:eastAsia="Calibri" w:hAnsiTheme="majorHAnsi"/>
          <w:sz w:val="20"/>
          <w:szCs w:val="20"/>
          <w:lang w:val="es-US"/>
        </w:rPr>
        <w:t xml:space="preserve">85 personas perdieron la vida y </w:t>
      </w:r>
      <w:r w:rsidR="00E80709" w:rsidRPr="00386E47">
        <w:rPr>
          <w:rFonts w:asciiTheme="majorHAnsi" w:eastAsia="Calibri" w:hAnsiTheme="majorHAnsi"/>
          <w:sz w:val="20"/>
          <w:szCs w:val="20"/>
          <w:lang w:val="es-US"/>
        </w:rPr>
        <w:t xml:space="preserve">al menos </w:t>
      </w:r>
      <w:r w:rsidR="0053441A" w:rsidRPr="00386E47">
        <w:rPr>
          <w:rFonts w:asciiTheme="majorHAnsi" w:eastAsia="Calibri" w:hAnsiTheme="majorHAnsi"/>
          <w:sz w:val="20"/>
          <w:szCs w:val="20"/>
          <w:lang w:val="es-US"/>
        </w:rPr>
        <w:t xml:space="preserve">otras 151 </w:t>
      </w:r>
      <w:r w:rsidR="00E80709" w:rsidRPr="00386E47">
        <w:rPr>
          <w:rFonts w:asciiTheme="majorHAnsi" w:eastAsia="Calibri" w:hAnsiTheme="majorHAnsi"/>
          <w:sz w:val="20"/>
          <w:szCs w:val="20"/>
          <w:lang w:val="es-US"/>
        </w:rPr>
        <w:t xml:space="preserve">personas </w:t>
      </w:r>
      <w:r w:rsidR="0053441A" w:rsidRPr="00386E47">
        <w:rPr>
          <w:rFonts w:asciiTheme="majorHAnsi" w:eastAsia="Calibri" w:hAnsiTheme="majorHAnsi"/>
          <w:sz w:val="20"/>
          <w:szCs w:val="20"/>
          <w:lang w:val="es-US"/>
        </w:rPr>
        <w:t xml:space="preserve">resultaron con heridas de diversa </w:t>
      </w:r>
      <w:r w:rsidR="00F063CB" w:rsidRPr="00386E47">
        <w:rPr>
          <w:rFonts w:asciiTheme="majorHAnsi" w:eastAsia="Calibri" w:hAnsiTheme="majorHAnsi"/>
          <w:sz w:val="20"/>
          <w:szCs w:val="20"/>
          <w:lang w:val="es-US"/>
        </w:rPr>
        <w:t>consideración</w:t>
      </w:r>
      <w:r w:rsidR="0053441A" w:rsidRPr="00386E47">
        <w:rPr>
          <w:rFonts w:asciiTheme="majorHAnsi" w:eastAsia="Calibri" w:hAnsiTheme="majorHAnsi"/>
          <w:sz w:val="20"/>
          <w:szCs w:val="20"/>
          <w:lang w:val="es-US"/>
        </w:rPr>
        <w:t xml:space="preserve">. </w:t>
      </w:r>
    </w:p>
    <w:p w14:paraId="723CDAF4" w14:textId="77777777" w:rsidR="00E46C67" w:rsidRPr="00386E47" w:rsidRDefault="00E46C67" w:rsidP="0084645E">
      <w:pPr>
        <w:jc w:val="both"/>
        <w:rPr>
          <w:rFonts w:asciiTheme="majorHAnsi" w:eastAsia="Calibri" w:hAnsiTheme="majorHAnsi"/>
          <w:sz w:val="20"/>
          <w:szCs w:val="20"/>
          <w:lang w:val="es-US"/>
        </w:rPr>
      </w:pPr>
    </w:p>
    <w:p w14:paraId="23A8C026" w14:textId="77777777" w:rsidR="007C5348" w:rsidRPr="00386E47" w:rsidRDefault="007C5348"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 xml:space="preserve">De manera general, los peticionarios sostuvieron que el atentado a la AMIA es uno de los hitos más trágicos de la historia reciente de Argentina y de la </w:t>
      </w:r>
      <w:r w:rsidR="00430CA7" w:rsidRPr="00386E47">
        <w:rPr>
          <w:rFonts w:asciiTheme="majorHAnsi" w:eastAsia="Calibri" w:hAnsiTheme="majorHAnsi"/>
          <w:sz w:val="20"/>
          <w:szCs w:val="20"/>
          <w:lang w:val="es-US"/>
        </w:rPr>
        <w:t>región</w:t>
      </w:r>
      <w:r w:rsidR="00E80709" w:rsidRPr="00386E47">
        <w:rPr>
          <w:rFonts w:asciiTheme="majorHAnsi" w:eastAsia="Calibri" w:hAnsiTheme="majorHAnsi"/>
          <w:sz w:val="20"/>
          <w:szCs w:val="20"/>
          <w:lang w:val="es-US"/>
        </w:rPr>
        <w:t>, el cual</w:t>
      </w:r>
      <w:r w:rsidRPr="00386E47">
        <w:rPr>
          <w:rFonts w:asciiTheme="majorHAnsi" w:eastAsia="Calibri" w:hAnsiTheme="majorHAnsi"/>
          <w:sz w:val="20"/>
          <w:szCs w:val="20"/>
          <w:lang w:val="es-US"/>
        </w:rPr>
        <w:t xml:space="preserve">- </w:t>
      </w:r>
      <w:r w:rsidR="00E80709" w:rsidRPr="00386E47">
        <w:rPr>
          <w:rFonts w:asciiTheme="majorHAnsi" w:eastAsia="Calibri" w:hAnsiTheme="majorHAnsi"/>
          <w:sz w:val="20"/>
          <w:szCs w:val="20"/>
          <w:lang w:val="es-US"/>
        </w:rPr>
        <w:t>a</w:t>
      </w:r>
      <w:r w:rsidRPr="00386E47">
        <w:rPr>
          <w:rFonts w:asciiTheme="majorHAnsi" w:eastAsia="Calibri" w:hAnsiTheme="majorHAnsi"/>
          <w:sz w:val="20"/>
          <w:szCs w:val="20"/>
          <w:lang w:val="es-US"/>
        </w:rPr>
        <w:t xml:space="preserve"> </w:t>
      </w:r>
      <w:r w:rsidR="00430CA7" w:rsidRPr="00386E47">
        <w:rPr>
          <w:rFonts w:asciiTheme="majorHAnsi" w:eastAsia="Calibri" w:hAnsiTheme="majorHAnsi"/>
          <w:sz w:val="20"/>
          <w:szCs w:val="20"/>
          <w:lang w:val="es-US"/>
        </w:rPr>
        <w:t>más</w:t>
      </w:r>
      <w:r w:rsidRPr="00386E47">
        <w:rPr>
          <w:rFonts w:asciiTheme="majorHAnsi" w:eastAsia="Calibri" w:hAnsiTheme="majorHAnsi"/>
          <w:sz w:val="20"/>
          <w:szCs w:val="20"/>
          <w:lang w:val="es-US"/>
        </w:rPr>
        <w:t xml:space="preserve"> de 25 años de los hechos - aún permanece impune, </w:t>
      </w:r>
      <w:r w:rsidR="00E80709" w:rsidRPr="00386E47">
        <w:rPr>
          <w:rFonts w:asciiTheme="majorHAnsi" w:eastAsia="Calibri" w:hAnsiTheme="majorHAnsi"/>
          <w:sz w:val="20"/>
          <w:szCs w:val="20"/>
          <w:lang w:val="es-US"/>
        </w:rPr>
        <w:t>ya</w:t>
      </w:r>
      <w:r w:rsidRPr="00386E47">
        <w:rPr>
          <w:rFonts w:asciiTheme="majorHAnsi" w:eastAsia="Calibri" w:hAnsiTheme="majorHAnsi"/>
          <w:sz w:val="20"/>
          <w:szCs w:val="20"/>
          <w:lang w:val="es-US"/>
        </w:rPr>
        <w:t xml:space="preserve"> que Estado argentino no brindó respuesta alguna que perm</w:t>
      </w:r>
      <w:r w:rsidR="00E80709" w:rsidRPr="00386E47">
        <w:rPr>
          <w:rFonts w:asciiTheme="majorHAnsi" w:eastAsia="Calibri" w:hAnsiTheme="majorHAnsi"/>
          <w:sz w:val="20"/>
          <w:szCs w:val="20"/>
          <w:lang w:val="es-US"/>
        </w:rPr>
        <w:t>ita esclarecer lo ocurrido. Esta situación de impunidad</w:t>
      </w:r>
      <w:r w:rsidRPr="00386E47">
        <w:rPr>
          <w:rFonts w:asciiTheme="majorHAnsi" w:eastAsia="Calibri" w:hAnsiTheme="majorHAnsi"/>
          <w:sz w:val="20"/>
          <w:szCs w:val="20"/>
          <w:lang w:val="es-US"/>
        </w:rPr>
        <w:t>, argumentaron, no se debe a la complejidad del hecho sino a la manipulación política y al encubrimiento estatal deliberado que han afectado el caso desde sus inicios.</w:t>
      </w:r>
    </w:p>
    <w:p w14:paraId="1BE02EE0" w14:textId="77777777" w:rsidR="007C5348" w:rsidRPr="00386E47" w:rsidRDefault="007C5348" w:rsidP="007C5348">
      <w:pPr>
        <w:tabs>
          <w:tab w:val="left" w:pos="567"/>
        </w:tabs>
        <w:jc w:val="both"/>
        <w:rPr>
          <w:rFonts w:asciiTheme="majorHAnsi" w:eastAsia="Calibri" w:hAnsiTheme="majorHAnsi"/>
          <w:sz w:val="20"/>
          <w:szCs w:val="20"/>
          <w:lang w:val="es-US"/>
        </w:rPr>
      </w:pPr>
    </w:p>
    <w:p w14:paraId="0272FC47" w14:textId="77777777" w:rsidR="005A5C09" w:rsidRPr="00386E47" w:rsidRDefault="0053441A"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Los peticionarios afirmaron</w:t>
      </w:r>
      <w:r w:rsidR="009F70EA" w:rsidRPr="00386E47">
        <w:rPr>
          <w:rFonts w:asciiTheme="majorHAnsi" w:eastAsia="Calibri" w:hAnsiTheme="majorHAnsi"/>
          <w:sz w:val="20"/>
          <w:szCs w:val="20"/>
          <w:lang w:val="es-US"/>
        </w:rPr>
        <w:t xml:space="preserve"> que </w:t>
      </w:r>
      <w:r w:rsidR="007C5348" w:rsidRPr="00386E47">
        <w:rPr>
          <w:rFonts w:asciiTheme="majorHAnsi" w:eastAsia="Calibri" w:hAnsiTheme="majorHAnsi"/>
          <w:sz w:val="20"/>
          <w:szCs w:val="20"/>
          <w:lang w:val="es-US"/>
        </w:rPr>
        <w:t>el atentado a la AMIA</w:t>
      </w:r>
      <w:r w:rsidR="009F70EA" w:rsidRPr="00386E47">
        <w:rPr>
          <w:rFonts w:asciiTheme="majorHAnsi" w:eastAsia="Calibri" w:hAnsiTheme="majorHAnsi"/>
          <w:sz w:val="20"/>
          <w:szCs w:val="20"/>
          <w:lang w:val="es-US"/>
        </w:rPr>
        <w:t xml:space="preserve"> no </w:t>
      </w:r>
      <w:r w:rsidR="007C5348" w:rsidRPr="00386E47">
        <w:rPr>
          <w:rFonts w:asciiTheme="majorHAnsi" w:eastAsia="Calibri" w:hAnsiTheme="majorHAnsi"/>
          <w:sz w:val="20"/>
          <w:szCs w:val="20"/>
          <w:lang w:val="es-US"/>
        </w:rPr>
        <w:t xml:space="preserve">constituye </w:t>
      </w:r>
      <w:r w:rsidR="005A5C09" w:rsidRPr="00386E47">
        <w:rPr>
          <w:rFonts w:asciiTheme="majorHAnsi" w:eastAsia="Calibri" w:hAnsiTheme="majorHAnsi"/>
          <w:sz w:val="20"/>
          <w:szCs w:val="20"/>
          <w:lang w:val="es-US"/>
        </w:rPr>
        <w:t xml:space="preserve">un </w:t>
      </w:r>
      <w:r w:rsidR="007C5348" w:rsidRPr="00386E47">
        <w:rPr>
          <w:rFonts w:asciiTheme="majorHAnsi" w:eastAsia="Calibri" w:hAnsiTheme="majorHAnsi"/>
          <w:sz w:val="20"/>
          <w:szCs w:val="20"/>
          <w:lang w:val="es-US"/>
        </w:rPr>
        <w:t xml:space="preserve">hecho </w:t>
      </w:r>
      <w:r w:rsidR="005A5C09" w:rsidRPr="00386E47">
        <w:rPr>
          <w:rFonts w:asciiTheme="majorHAnsi" w:eastAsia="Calibri" w:hAnsiTheme="majorHAnsi"/>
          <w:sz w:val="20"/>
          <w:szCs w:val="20"/>
          <w:lang w:val="es-US"/>
        </w:rPr>
        <w:t>aislado, sino que se encuentra</w:t>
      </w:r>
      <w:r w:rsidR="009F70EA" w:rsidRPr="00386E47">
        <w:rPr>
          <w:rFonts w:asciiTheme="majorHAnsi" w:eastAsia="Calibri" w:hAnsiTheme="majorHAnsi"/>
          <w:sz w:val="20"/>
          <w:szCs w:val="20"/>
          <w:lang w:val="es-US"/>
        </w:rPr>
        <w:t xml:space="preserve"> </w:t>
      </w:r>
      <w:r w:rsidRPr="00386E47">
        <w:rPr>
          <w:rFonts w:asciiTheme="majorHAnsi" w:eastAsia="Calibri" w:hAnsiTheme="majorHAnsi"/>
          <w:sz w:val="20"/>
          <w:szCs w:val="20"/>
          <w:lang w:val="es-US"/>
        </w:rPr>
        <w:t xml:space="preserve">vinculado con </w:t>
      </w:r>
      <w:r w:rsidR="009F70EA" w:rsidRPr="00386E47">
        <w:rPr>
          <w:rFonts w:asciiTheme="majorHAnsi" w:eastAsia="Calibri" w:hAnsiTheme="majorHAnsi"/>
          <w:sz w:val="20"/>
          <w:szCs w:val="20"/>
          <w:lang w:val="es-US"/>
        </w:rPr>
        <w:t>otro atentado</w:t>
      </w:r>
      <w:r w:rsidR="00DD6087" w:rsidRPr="00386E47">
        <w:rPr>
          <w:rFonts w:asciiTheme="majorHAnsi" w:eastAsia="Calibri" w:hAnsiTheme="majorHAnsi"/>
          <w:sz w:val="20"/>
          <w:szCs w:val="20"/>
          <w:lang w:val="es-US"/>
        </w:rPr>
        <w:t xml:space="preserve"> terrorista</w:t>
      </w:r>
      <w:r w:rsidR="009F70EA" w:rsidRPr="00386E47">
        <w:rPr>
          <w:rFonts w:asciiTheme="majorHAnsi" w:eastAsia="Calibri" w:hAnsiTheme="majorHAnsi"/>
          <w:sz w:val="20"/>
          <w:szCs w:val="20"/>
          <w:lang w:val="es-US"/>
        </w:rPr>
        <w:t xml:space="preserve"> oc</w:t>
      </w:r>
      <w:r w:rsidRPr="00386E47">
        <w:rPr>
          <w:rFonts w:asciiTheme="majorHAnsi" w:eastAsia="Calibri" w:hAnsiTheme="majorHAnsi"/>
          <w:sz w:val="20"/>
          <w:szCs w:val="20"/>
          <w:lang w:val="es-US"/>
        </w:rPr>
        <w:t>urrido el 17 de marzo de 1992</w:t>
      </w:r>
      <w:r w:rsidR="009F70EA" w:rsidRPr="00386E47">
        <w:rPr>
          <w:rFonts w:asciiTheme="majorHAnsi" w:eastAsia="Calibri" w:hAnsiTheme="majorHAnsi"/>
          <w:sz w:val="20"/>
          <w:szCs w:val="20"/>
          <w:lang w:val="es-US"/>
        </w:rPr>
        <w:t xml:space="preserve"> contra </w:t>
      </w:r>
      <w:r w:rsidRPr="00386E47">
        <w:rPr>
          <w:rFonts w:asciiTheme="majorHAnsi" w:eastAsia="Calibri" w:hAnsiTheme="majorHAnsi"/>
          <w:sz w:val="20"/>
          <w:szCs w:val="20"/>
          <w:lang w:val="es-US"/>
        </w:rPr>
        <w:t>el edificio de la Embajada de</w:t>
      </w:r>
      <w:r w:rsidR="009F70EA" w:rsidRPr="00386E47">
        <w:rPr>
          <w:rFonts w:asciiTheme="majorHAnsi" w:eastAsia="Calibri" w:hAnsiTheme="majorHAnsi"/>
          <w:sz w:val="20"/>
          <w:szCs w:val="20"/>
          <w:lang w:val="es-US"/>
        </w:rPr>
        <w:t xml:space="preserve"> Israel en Argentina en el que murieron 22 personas y al menos</w:t>
      </w:r>
      <w:r w:rsidR="005A5C09" w:rsidRPr="00386E47">
        <w:rPr>
          <w:rFonts w:asciiTheme="majorHAnsi" w:eastAsia="Calibri" w:hAnsiTheme="majorHAnsi"/>
          <w:sz w:val="20"/>
          <w:szCs w:val="20"/>
          <w:lang w:val="es-US"/>
        </w:rPr>
        <w:t xml:space="preserve"> 346 resultaron heridas</w:t>
      </w:r>
      <w:r w:rsidR="007C5348" w:rsidRPr="00386E47">
        <w:rPr>
          <w:rFonts w:asciiTheme="majorHAnsi" w:eastAsia="Calibri" w:hAnsiTheme="majorHAnsi"/>
          <w:sz w:val="20"/>
          <w:szCs w:val="20"/>
          <w:lang w:val="es-US"/>
        </w:rPr>
        <w:t>. Este atentado, informan los peticionarios,</w:t>
      </w:r>
      <w:r w:rsidR="005A5C09" w:rsidRPr="00386E47">
        <w:rPr>
          <w:rFonts w:asciiTheme="majorHAnsi" w:eastAsia="Calibri" w:hAnsiTheme="majorHAnsi"/>
          <w:sz w:val="20"/>
          <w:szCs w:val="20"/>
          <w:lang w:val="es-US"/>
        </w:rPr>
        <w:t xml:space="preserve"> </w:t>
      </w:r>
      <w:r w:rsidR="007C5348" w:rsidRPr="00386E47">
        <w:rPr>
          <w:rFonts w:asciiTheme="majorHAnsi" w:eastAsia="Calibri" w:hAnsiTheme="majorHAnsi"/>
          <w:sz w:val="20"/>
          <w:szCs w:val="20"/>
          <w:lang w:val="es-US"/>
        </w:rPr>
        <w:t>tampoco fue esclarecido y</w:t>
      </w:r>
      <w:r w:rsidR="00E80709" w:rsidRPr="00386E47">
        <w:rPr>
          <w:rFonts w:asciiTheme="majorHAnsi" w:eastAsia="Calibri" w:hAnsiTheme="majorHAnsi"/>
          <w:sz w:val="20"/>
          <w:szCs w:val="20"/>
          <w:lang w:val="es-US"/>
        </w:rPr>
        <w:t xml:space="preserve"> también</w:t>
      </w:r>
      <w:r w:rsidR="007C5348" w:rsidRPr="00386E47">
        <w:rPr>
          <w:rFonts w:asciiTheme="majorHAnsi" w:eastAsia="Calibri" w:hAnsiTheme="majorHAnsi"/>
          <w:sz w:val="20"/>
          <w:szCs w:val="20"/>
          <w:lang w:val="es-US"/>
        </w:rPr>
        <w:t xml:space="preserve"> </w:t>
      </w:r>
      <w:r w:rsidRPr="00386E47">
        <w:rPr>
          <w:rFonts w:asciiTheme="majorHAnsi" w:eastAsia="Calibri" w:hAnsiTheme="majorHAnsi"/>
          <w:sz w:val="20"/>
          <w:szCs w:val="20"/>
          <w:lang w:val="es-US"/>
        </w:rPr>
        <w:t>se encuentra impune</w:t>
      </w:r>
      <w:r w:rsidR="007C5348" w:rsidRPr="00386E47">
        <w:rPr>
          <w:rFonts w:asciiTheme="majorHAnsi" w:eastAsia="Calibri" w:hAnsiTheme="majorHAnsi"/>
          <w:sz w:val="20"/>
          <w:szCs w:val="20"/>
          <w:lang w:val="es-US"/>
        </w:rPr>
        <w:t xml:space="preserve"> a la fecha</w:t>
      </w:r>
      <w:r w:rsidRPr="00386E47">
        <w:rPr>
          <w:rFonts w:asciiTheme="majorHAnsi" w:eastAsia="Calibri" w:hAnsiTheme="majorHAnsi"/>
          <w:sz w:val="20"/>
          <w:szCs w:val="20"/>
          <w:lang w:val="es-US"/>
        </w:rPr>
        <w:t xml:space="preserve">. </w:t>
      </w:r>
    </w:p>
    <w:p w14:paraId="1044EC6A" w14:textId="77777777" w:rsidR="007C5348" w:rsidRPr="00386E47" w:rsidRDefault="007C5348" w:rsidP="0084645E">
      <w:pPr>
        <w:jc w:val="both"/>
        <w:rPr>
          <w:rFonts w:asciiTheme="majorHAnsi" w:eastAsia="Calibri" w:hAnsiTheme="majorHAnsi"/>
          <w:sz w:val="20"/>
          <w:szCs w:val="20"/>
          <w:lang w:val="es-US"/>
        </w:rPr>
      </w:pPr>
    </w:p>
    <w:p w14:paraId="3F2E4FF7" w14:textId="77777777" w:rsidR="00BD03A2" w:rsidRPr="00386E47" w:rsidRDefault="00DD6087"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 xml:space="preserve">En lo que respecta al deber de </w:t>
      </w:r>
      <w:r w:rsidR="00430CA7" w:rsidRPr="00386E47">
        <w:rPr>
          <w:rFonts w:asciiTheme="majorHAnsi" w:eastAsia="Calibri" w:hAnsiTheme="majorHAnsi"/>
          <w:sz w:val="20"/>
          <w:szCs w:val="20"/>
          <w:lang w:val="es-US"/>
        </w:rPr>
        <w:t>prevención</w:t>
      </w:r>
      <w:r w:rsidRPr="00386E47">
        <w:rPr>
          <w:rFonts w:asciiTheme="majorHAnsi" w:eastAsia="Calibri" w:hAnsiTheme="majorHAnsi"/>
          <w:sz w:val="20"/>
          <w:szCs w:val="20"/>
          <w:lang w:val="es-US"/>
        </w:rPr>
        <w:t xml:space="preserve"> en cabeza del Estado argentino, los peticionarios señalaron que no se adoptaron las medidas suficientes para prevenir el atentado, a pesar de que el Estado </w:t>
      </w:r>
      <w:r w:rsidR="00430CA7" w:rsidRPr="00386E47">
        <w:rPr>
          <w:rFonts w:asciiTheme="majorHAnsi" w:eastAsia="Calibri" w:hAnsiTheme="majorHAnsi"/>
          <w:sz w:val="20"/>
          <w:szCs w:val="20"/>
          <w:lang w:val="es-US"/>
        </w:rPr>
        <w:t>conocía</w:t>
      </w:r>
      <w:r w:rsidRPr="00386E47">
        <w:rPr>
          <w:rFonts w:asciiTheme="majorHAnsi" w:eastAsia="Calibri" w:hAnsiTheme="majorHAnsi"/>
          <w:sz w:val="20"/>
          <w:szCs w:val="20"/>
          <w:lang w:val="es-US"/>
        </w:rPr>
        <w:t xml:space="preserve"> la </w:t>
      </w:r>
      <w:r w:rsidR="00430CA7" w:rsidRPr="00386E47">
        <w:rPr>
          <w:rFonts w:asciiTheme="majorHAnsi" w:eastAsia="Calibri" w:hAnsiTheme="majorHAnsi"/>
          <w:sz w:val="20"/>
          <w:szCs w:val="20"/>
          <w:lang w:val="es-US"/>
        </w:rPr>
        <w:t>situación</w:t>
      </w:r>
      <w:r w:rsidRPr="00386E47">
        <w:rPr>
          <w:rFonts w:asciiTheme="majorHAnsi" w:eastAsia="Calibri" w:hAnsiTheme="majorHAnsi"/>
          <w:sz w:val="20"/>
          <w:szCs w:val="20"/>
          <w:lang w:val="es-US"/>
        </w:rPr>
        <w:t xml:space="preserve"> de riesgo existente</w:t>
      </w:r>
      <w:r w:rsidR="002575B0" w:rsidRPr="00386E47">
        <w:rPr>
          <w:rFonts w:asciiTheme="majorHAnsi" w:eastAsia="Calibri" w:hAnsiTheme="majorHAnsi"/>
          <w:sz w:val="20"/>
          <w:szCs w:val="20"/>
          <w:lang w:val="es-US"/>
        </w:rPr>
        <w:t xml:space="preserve"> para los edificios </w:t>
      </w:r>
      <w:r w:rsidR="00BD03A2" w:rsidRPr="00386E47">
        <w:rPr>
          <w:rFonts w:asciiTheme="majorHAnsi" w:eastAsia="Calibri" w:hAnsiTheme="majorHAnsi"/>
          <w:sz w:val="20"/>
          <w:szCs w:val="20"/>
          <w:lang w:val="es-US"/>
        </w:rPr>
        <w:t>vinculados con la</w:t>
      </w:r>
      <w:r w:rsidR="002575B0" w:rsidRPr="00386E47">
        <w:rPr>
          <w:rFonts w:asciiTheme="majorHAnsi" w:eastAsia="Calibri" w:hAnsiTheme="majorHAnsi"/>
          <w:sz w:val="20"/>
          <w:szCs w:val="20"/>
          <w:lang w:val="es-US"/>
        </w:rPr>
        <w:t xml:space="preserve"> comunidad judía </w:t>
      </w:r>
      <w:r w:rsidR="00BD03A2" w:rsidRPr="00386E47">
        <w:rPr>
          <w:rFonts w:asciiTheme="majorHAnsi" w:eastAsia="Calibri" w:hAnsiTheme="majorHAnsi"/>
          <w:sz w:val="20"/>
          <w:szCs w:val="20"/>
          <w:lang w:val="es-US"/>
        </w:rPr>
        <w:t xml:space="preserve">de </w:t>
      </w:r>
      <w:r w:rsidR="002575B0" w:rsidRPr="00386E47">
        <w:rPr>
          <w:rFonts w:asciiTheme="majorHAnsi" w:eastAsia="Calibri" w:hAnsiTheme="majorHAnsi"/>
          <w:sz w:val="20"/>
          <w:szCs w:val="20"/>
          <w:lang w:val="es-US"/>
        </w:rPr>
        <w:t>Buenos Aires</w:t>
      </w:r>
      <w:r w:rsidRPr="00386E47">
        <w:rPr>
          <w:rFonts w:asciiTheme="majorHAnsi" w:eastAsia="Calibri" w:hAnsiTheme="majorHAnsi"/>
          <w:sz w:val="20"/>
          <w:szCs w:val="20"/>
          <w:lang w:val="es-US"/>
        </w:rPr>
        <w:t>.</w:t>
      </w:r>
      <w:r w:rsidR="00E46C67" w:rsidRPr="00386E47">
        <w:rPr>
          <w:rFonts w:asciiTheme="majorHAnsi" w:eastAsia="Calibri" w:hAnsiTheme="majorHAnsi"/>
          <w:sz w:val="20"/>
          <w:szCs w:val="20"/>
          <w:lang w:val="es-US"/>
        </w:rPr>
        <w:t xml:space="preserve"> En particular, argumentaron</w:t>
      </w:r>
      <w:r w:rsidR="009F70EA" w:rsidRPr="00386E47">
        <w:rPr>
          <w:rFonts w:asciiTheme="majorHAnsi" w:eastAsia="Calibri" w:hAnsiTheme="majorHAnsi"/>
          <w:sz w:val="20"/>
          <w:szCs w:val="20"/>
          <w:lang w:val="es-US"/>
        </w:rPr>
        <w:t xml:space="preserve"> que existió falta de vigilancia diligente de los </w:t>
      </w:r>
      <w:r w:rsidR="00E46C67" w:rsidRPr="00386E47">
        <w:rPr>
          <w:rFonts w:asciiTheme="majorHAnsi" w:eastAsia="Calibri" w:hAnsiTheme="majorHAnsi"/>
          <w:sz w:val="20"/>
          <w:szCs w:val="20"/>
          <w:lang w:val="es-US"/>
        </w:rPr>
        <w:t>sospechosos del primer atentado</w:t>
      </w:r>
      <w:r w:rsidR="009F70EA" w:rsidRPr="00386E47">
        <w:rPr>
          <w:rFonts w:asciiTheme="majorHAnsi" w:eastAsia="Calibri" w:hAnsiTheme="majorHAnsi"/>
          <w:sz w:val="20"/>
          <w:szCs w:val="20"/>
          <w:lang w:val="es-US"/>
        </w:rPr>
        <w:t>; desestimación de inf</w:t>
      </w:r>
      <w:r w:rsidR="00E46C67" w:rsidRPr="00386E47">
        <w:rPr>
          <w:rFonts w:asciiTheme="majorHAnsi" w:eastAsia="Calibri" w:hAnsiTheme="majorHAnsi"/>
          <w:sz w:val="20"/>
          <w:szCs w:val="20"/>
          <w:lang w:val="es-US"/>
        </w:rPr>
        <w:t>ormación crucial de inteligenci</w:t>
      </w:r>
      <w:r w:rsidRPr="00386E47">
        <w:rPr>
          <w:rFonts w:asciiTheme="majorHAnsi" w:eastAsia="Calibri" w:hAnsiTheme="majorHAnsi"/>
          <w:sz w:val="20"/>
          <w:szCs w:val="20"/>
          <w:lang w:val="es-US"/>
        </w:rPr>
        <w:t>a</w:t>
      </w:r>
      <w:r w:rsidR="009F70EA" w:rsidRPr="00386E47">
        <w:rPr>
          <w:rFonts w:asciiTheme="majorHAnsi" w:eastAsia="Calibri" w:hAnsiTheme="majorHAnsi"/>
          <w:sz w:val="20"/>
          <w:szCs w:val="20"/>
          <w:lang w:val="es-US"/>
        </w:rPr>
        <w:t>; falta de acción o recaudo ante el sobrevuelo del edificio a baja altura por un helicóptero durante la madrugada del día del atentado; y falta de control policial reforzado de la sede AMIA, ya que, al momento del atentado, el vehículo policial destinado a la custodia del edificio no tenía batería y la policía no contaba con otro equipo de comunic</w:t>
      </w:r>
      <w:r w:rsidRPr="00386E47">
        <w:rPr>
          <w:rFonts w:asciiTheme="majorHAnsi" w:eastAsia="Calibri" w:hAnsiTheme="majorHAnsi"/>
          <w:sz w:val="20"/>
          <w:szCs w:val="20"/>
          <w:lang w:val="es-US"/>
        </w:rPr>
        <w:t>aciones más que un walkie-talkie</w:t>
      </w:r>
      <w:r w:rsidR="009F70EA" w:rsidRPr="00386E47">
        <w:rPr>
          <w:rFonts w:asciiTheme="majorHAnsi" w:eastAsia="Calibri" w:hAnsiTheme="majorHAnsi"/>
          <w:sz w:val="20"/>
          <w:szCs w:val="20"/>
          <w:lang w:val="es-US"/>
        </w:rPr>
        <w:t xml:space="preserve">. </w:t>
      </w:r>
    </w:p>
    <w:p w14:paraId="6EBE7CB6" w14:textId="77777777" w:rsidR="00BD03A2" w:rsidRPr="00386E47" w:rsidRDefault="00BD03A2" w:rsidP="00BD03A2">
      <w:pPr>
        <w:pStyle w:val="ListParagraph"/>
        <w:rPr>
          <w:rFonts w:asciiTheme="majorHAnsi" w:eastAsia="Calibri" w:hAnsiTheme="majorHAnsi"/>
          <w:sz w:val="20"/>
          <w:szCs w:val="20"/>
          <w:lang w:val="es-US"/>
        </w:rPr>
      </w:pPr>
    </w:p>
    <w:p w14:paraId="1CC344FC" w14:textId="77777777" w:rsidR="009F70EA" w:rsidRPr="00386E47" w:rsidRDefault="00E80709"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En este sentido</w:t>
      </w:r>
      <w:r w:rsidR="00BD03A2" w:rsidRPr="00386E47">
        <w:rPr>
          <w:rFonts w:asciiTheme="majorHAnsi" w:eastAsia="Calibri" w:hAnsiTheme="majorHAnsi"/>
          <w:sz w:val="20"/>
          <w:szCs w:val="20"/>
          <w:lang w:val="es-US"/>
        </w:rPr>
        <w:t>, los peticionarios sostuvieron que el Estado es responsable por la falta de prevención en relación con el derecho a la vida de las personas fallecidas y el derecho a la integridad de las personas heridas</w:t>
      </w:r>
      <w:r w:rsidR="00131D6E" w:rsidRPr="00386E47">
        <w:rPr>
          <w:rFonts w:asciiTheme="majorHAnsi" w:eastAsia="Calibri" w:hAnsiTheme="majorHAnsi"/>
          <w:sz w:val="20"/>
          <w:szCs w:val="20"/>
          <w:lang w:val="es-US"/>
        </w:rPr>
        <w:t xml:space="preserve">, </w:t>
      </w:r>
      <w:r w:rsidR="00BD03A2" w:rsidRPr="00386E47">
        <w:rPr>
          <w:rFonts w:asciiTheme="majorHAnsi" w:eastAsia="Calibri" w:hAnsiTheme="majorHAnsi"/>
          <w:sz w:val="20"/>
          <w:szCs w:val="20"/>
          <w:lang w:val="es-US"/>
        </w:rPr>
        <w:t xml:space="preserve">por </w:t>
      </w:r>
      <w:r w:rsidR="007C5348" w:rsidRPr="00386E47">
        <w:rPr>
          <w:rFonts w:asciiTheme="majorHAnsi" w:eastAsia="Calibri" w:hAnsiTheme="majorHAnsi"/>
          <w:sz w:val="20"/>
          <w:szCs w:val="20"/>
          <w:lang w:val="es-US"/>
        </w:rPr>
        <w:t xml:space="preserve">no </w:t>
      </w:r>
      <w:r w:rsidR="00BD03A2" w:rsidRPr="00386E47">
        <w:rPr>
          <w:rFonts w:asciiTheme="majorHAnsi" w:eastAsia="Calibri" w:hAnsiTheme="majorHAnsi"/>
          <w:sz w:val="20"/>
          <w:szCs w:val="20"/>
          <w:lang w:val="es-US"/>
        </w:rPr>
        <w:t>haber tomado</w:t>
      </w:r>
      <w:r w:rsidR="00131D6E" w:rsidRPr="00386E47">
        <w:rPr>
          <w:rFonts w:asciiTheme="majorHAnsi" w:eastAsia="Calibri" w:hAnsiTheme="majorHAnsi"/>
          <w:sz w:val="20"/>
          <w:szCs w:val="20"/>
          <w:lang w:val="es-US"/>
        </w:rPr>
        <w:t xml:space="preserve"> las medidas que razonablemente se esperaban para evitar el atentado</w:t>
      </w:r>
      <w:r w:rsidR="009F70EA" w:rsidRPr="00386E47">
        <w:rPr>
          <w:rFonts w:asciiTheme="majorHAnsi" w:eastAsia="Calibri" w:hAnsiTheme="majorHAnsi"/>
          <w:sz w:val="20"/>
          <w:szCs w:val="20"/>
          <w:lang w:val="es-US"/>
        </w:rPr>
        <w:t>.</w:t>
      </w:r>
      <w:r w:rsidR="007C5348" w:rsidRPr="00386E47">
        <w:rPr>
          <w:rFonts w:asciiTheme="majorHAnsi" w:eastAsia="Calibri" w:hAnsiTheme="majorHAnsi"/>
          <w:sz w:val="20"/>
          <w:szCs w:val="20"/>
          <w:lang w:val="es-US"/>
        </w:rPr>
        <w:t xml:space="preserve"> </w:t>
      </w:r>
      <w:r w:rsidR="002575B0" w:rsidRPr="00386E47">
        <w:rPr>
          <w:rFonts w:asciiTheme="majorHAnsi" w:eastAsia="Calibri" w:hAnsiTheme="majorHAnsi" w:cs="Verdana"/>
          <w:bCs/>
          <w:sz w:val="20"/>
          <w:szCs w:val="20"/>
          <w:lang w:val="es-MX" w:bidi="en-US"/>
        </w:rPr>
        <w:t xml:space="preserve">Los peticionarios </w:t>
      </w:r>
      <w:r w:rsidR="00644B93" w:rsidRPr="00386E47">
        <w:rPr>
          <w:rFonts w:asciiTheme="majorHAnsi" w:eastAsia="Calibri" w:hAnsiTheme="majorHAnsi" w:cs="Verdana"/>
          <w:bCs/>
          <w:sz w:val="20"/>
          <w:szCs w:val="20"/>
          <w:lang w:val="es-MX" w:bidi="en-US"/>
        </w:rPr>
        <w:t>también</w:t>
      </w:r>
      <w:r w:rsidR="00BD03A2" w:rsidRPr="00386E47">
        <w:rPr>
          <w:rFonts w:asciiTheme="majorHAnsi" w:eastAsia="Calibri" w:hAnsiTheme="majorHAnsi" w:cs="Verdana"/>
          <w:bCs/>
          <w:sz w:val="20"/>
          <w:szCs w:val="20"/>
          <w:lang w:val="es-MX" w:bidi="en-US"/>
        </w:rPr>
        <w:t xml:space="preserve"> añadieron</w:t>
      </w:r>
      <w:r w:rsidR="002575B0" w:rsidRPr="00386E47">
        <w:rPr>
          <w:rFonts w:asciiTheme="majorHAnsi" w:eastAsia="Calibri" w:hAnsiTheme="majorHAnsi" w:cs="Verdana"/>
          <w:bCs/>
          <w:sz w:val="20"/>
          <w:szCs w:val="20"/>
          <w:lang w:val="es-MX" w:bidi="en-US"/>
        </w:rPr>
        <w:t xml:space="preserve"> que luego</w:t>
      </w:r>
      <w:r w:rsidR="009F70EA" w:rsidRPr="00386E47">
        <w:rPr>
          <w:rFonts w:asciiTheme="majorHAnsi" w:eastAsia="Calibri" w:hAnsiTheme="majorHAnsi" w:cs="Verdana"/>
          <w:bCs/>
          <w:sz w:val="20"/>
          <w:szCs w:val="20"/>
          <w:lang w:val="es-MX" w:bidi="en-US"/>
        </w:rPr>
        <w:t xml:space="preserve"> del atentado quedó en evidencia la ausencia de un protocolo de contingencia de catástrofes, y que no se tomaron medidas inmediatas en materia fronteriza y migratoria.</w:t>
      </w:r>
    </w:p>
    <w:p w14:paraId="0A3A3C8F" w14:textId="77777777" w:rsidR="00E46C67" w:rsidRPr="00386E47" w:rsidRDefault="00E46C67" w:rsidP="0084645E">
      <w:pPr>
        <w:tabs>
          <w:tab w:val="left" w:pos="567"/>
        </w:tabs>
        <w:jc w:val="both"/>
        <w:rPr>
          <w:rFonts w:asciiTheme="majorHAnsi" w:eastAsia="Calibri" w:hAnsiTheme="majorHAnsi"/>
          <w:sz w:val="20"/>
          <w:szCs w:val="20"/>
          <w:lang w:val="es-US"/>
        </w:rPr>
      </w:pPr>
    </w:p>
    <w:p w14:paraId="7731F896" w14:textId="77777777" w:rsidR="009F70EA" w:rsidRPr="00386E47" w:rsidRDefault="00E46C67"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Los peticionarios señalaron asimismo</w:t>
      </w:r>
      <w:r w:rsidR="00DD6087" w:rsidRPr="00386E47">
        <w:rPr>
          <w:rFonts w:asciiTheme="majorHAnsi" w:eastAsia="Calibri" w:hAnsiTheme="majorHAnsi"/>
          <w:sz w:val="20"/>
          <w:szCs w:val="20"/>
          <w:lang w:val="es-US"/>
        </w:rPr>
        <w:t xml:space="preserve"> que el Estado </w:t>
      </w:r>
      <w:r w:rsidR="002575B0" w:rsidRPr="00386E47">
        <w:rPr>
          <w:rFonts w:asciiTheme="majorHAnsi" w:eastAsia="Calibri" w:hAnsiTheme="majorHAnsi"/>
          <w:sz w:val="20"/>
          <w:szCs w:val="20"/>
          <w:lang w:val="es-US"/>
        </w:rPr>
        <w:t>argentino es</w:t>
      </w:r>
      <w:r w:rsidR="00DD6087" w:rsidRPr="00386E47">
        <w:rPr>
          <w:rFonts w:asciiTheme="majorHAnsi" w:eastAsia="Calibri" w:hAnsiTheme="majorHAnsi"/>
          <w:sz w:val="20"/>
          <w:szCs w:val="20"/>
          <w:lang w:val="es-US"/>
        </w:rPr>
        <w:t xml:space="preserve"> </w:t>
      </w:r>
      <w:r w:rsidR="009F70EA" w:rsidRPr="00386E47">
        <w:rPr>
          <w:rFonts w:asciiTheme="majorHAnsi" w:eastAsia="Calibri" w:hAnsiTheme="majorHAnsi"/>
          <w:sz w:val="20"/>
          <w:szCs w:val="20"/>
          <w:lang w:val="es-US"/>
        </w:rPr>
        <w:t>responsable por</w:t>
      </w:r>
      <w:r w:rsidR="003A77AE" w:rsidRPr="00386E47">
        <w:rPr>
          <w:rFonts w:asciiTheme="majorHAnsi" w:eastAsia="Calibri" w:hAnsiTheme="majorHAnsi"/>
          <w:sz w:val="20"/>
          <w:szCs w:val="20"/>
          <w:lang w:val="es-US"/>
        </w:rPr>
        <w:t xml:space="preserve"> las</w:t>
      </w:r>
      <w:r w:rsidR="009F70EA" w:rsidRPr="00386E47">
        <w:rPr>
          <w:rFonts w:asciiTheme="majorHAnsi" w:eastAsia="Calibri" w:hAnsiTheme="majorHAnsi"/>
          <w:sz w:val="20"/>
          <w:szCs w:val="20"/>
          <w:lang w:val="es-US"/>
        </w:rPr>
        <w:t xml:space="preserve"> extensas y gravísimas irre</w:t>
      </w:r>
      <w:r w:rsidRPr="00386E47">
        <w:rPr>
          <w:rFonts w:asciiTheme="majorHAnsi" w:eastAsia="Calibri" w:hAnsiTheme="majorHAnsi"/>
          <w:sz w:val="20"/>
          <w:szCs w:val="20"/>
          <w:lang w:val="es-US"/>
        </w:rPr>
        <w:t xml:space="preserve">gularidades </w:t>
      </w:r>
      <w:r w:rsidR="003A77AE" w:rsidRPr="00386E47">
        <w:rPr>
          <w:rFonts w:asciiTheme="majorHAnsi" w:eastAsia="Calibri" w:hAnsiTheme="majorHAnsi"/>
          <w:sz w:val="20"/>
          <w:szCs w:val="20"/>
          <w:lang w:val="es-US"/>
        </w:rPr>
        <w:t xml:space="preserve">que se </w:t>
      </w:r>
      <w:r w:rsidR="0006550A" w:rsidRPr="00386E47">
        <w:rPr>
          <w:rFonts w:asciiTheme="majorHAnsi" w:eastAsia="Calibri" w:hAnsiTheme="majorHAnsi"/>
          <w:sz w:val="20"/>
          <w:szCs w:val="20"/>
          <w:lang w:val="es-US"/>
        </w:rPr>
        <w:t>habrían</w:t>
      </w:r>
      <w:r w:rsidR="003A77AE" w:rsidRPr="00386E47">
        <w:rPr>
          <w:rFonts w:asciiTheme="majorHAnsi" w:eastAsia="Calibri" w:hAnsiTheme="majorHAnsi"/>
          <w:sz w:val="20"/>
          <w:szCs w:val="20"/>
          <w:lang w:val="es-US"/>
        </w:rPr>
        <w:t xml:space="preserve"> </w:t>
      </w:r>
      <w:r w:rsidR="00DD6087" w:rsidRPr="00386E47">
        <w:rPr>
          <w:rFonts w:asciiTheme="majorHAnsi" w:eastAsia="Calibri" w:hAnsiTheme="majorHAnsi"/>
          <w:sz w:val="20"/>
          <w:szCs w:val="20"/>
          <w:lang w:val="es-US"/>
        </w:rPr>
        <w:t>cometid</w:t>
      </w:r>
      <w:r w:rsidR="003A77AE" w:rsidRPr="00386E47">
        <w:rPr>
          <w:rFonts w:asciiTheme="majorHAnsi" w:eastAsia="Calibri" w:hAnsiTheme="majorHAnsi"/>
          <w:sz w:val="20"/>
          <w:szCs w:val="20"/>
          <w:lang w:val="es-US"/>
        </w:rPr>
        <w:t>o</w:t>
      </w:r>
      <w:r w:rsidR="00DD6087" w:rsidRPr="00386E47">
        <w:rPr>
          <w:rFonts w:asciiTheme="majorHAnsi" w:eastAsia="Calibri" w:hAnsiTheme="majorHAnsi"/>
          <w:sz w:val="20"/>
          <w:szCs w:val="20"/>
          <w:lang w:val="es-US"/>
        </w:rPr>
        <w:t xml:space="preserve"> durante la pesquisa</w:t>
      </w:r>
      <w:r w:rsidRPr="00386E47">
        <w:rPr>
          <w:rFonts w:asciiTheme="majorHAnsi" w:eastAsia="Calibri" w:hAnsiTheme="majorHAnsi"/>
          <w:sz w:val="20"/>
          <w:szCs w:val="20"/>
          <w:lang w:val="es-US"/>
        </w:rPr>
        <w:t xml:space="preserve">, </w:t>
      </w:r>
      <w:r w:rsidR="00DD6087" w:rsidRPr="00386E47">
        <w:rPr>
          <w:rFonts w:asciiTheme="majorHAnsi" w:eastAsia="Calibri" w:hAnsiTheme="majorHAnsi"/>
          <w:sz w:val="20"/>
          <w:szCs w:val="20"/>
          <w:lang w:val="es-US"/>
        </w:rPr>
        <w:t xml:space="preserve">las cuales denotan no solo una falla en la adopción de las medidas necesarias para </w:t>
      </w:r>
      <w:r w:rsidR="009F70EA" w:rsidRPr="00386E47">
        <w:rPr>
          <w:rFonts w:asciiTheme="majorHAnsi" w:eastAsia="Calibri" w:hAnsiTheme="majorHAnsi"/>
          <w:sz w:val="20"/>
          <w:szCs w:val="20"/>
          <w:lang w:val="es-US"/>
        </w:rPr>
        <w:t xml:space="preserve">lograr una investigación exitosa, sino </w:t>
      </w:r>
      <w:r w:rsidR="00DD6087" w:rsidRPr="00386E47">
        <w:rPr>
          <w:rFonts w:asciiTheme="majorHAnsi" w:eastAsia="Calibri" w:hAnsiTheme="majorHAnsi"/>
          <w:sz w:val="20"/>
          <w:szCs w:val="20"/>
          <w:lang w:val="es-US"/>
        </w:rPr>
        <w:t xml:space="preserve">también </w:t>
      </w:r>
      <w:r w:rsidR="00960AD0" w:rsidRPr="00386E47">
        <w:rPr>
          <w:rFonts w:asciiTheme="majorHAnsi" w:eastAsia="Calibri" w:hAnsiTheme="majorHAnsi"/>
          <w:sz w:val="20"/>
          <w:szCs w:val="20"/>
          <w:lang w:val="es-US"/>
        </w:rPr>
        <w:t>una</w:t>
      </w:r>
      <w:r w:rsidR="00DD6087" w:rsidRPr="00386E47">
        <w:rPr>
          <w:rFonts w:asciiTheme="majorHAnsi" w:eastAsia="Calibri" w:hAnsiTheme="majorHAnsi"/>
          <w:sz w:val="20"/>
          <w:szCs w:val="20"/>
          <w:lang w:val="es-US"/>
        </w:rPr>
        <w:t xml:space="preserve"> </w:t>
      </w:r>
      <w:r w:rsidR="0006550A" w:rsidRPr="00386E47">
        <w:rPr>
          <w:rFonts w:asciiTheme="majorHAnsi" w:eastAsia="Calibri" w:hAnsiTheme="majorHAnsi"/>
          <w:sz w:val="20"/>
          <w:szCs w:val="20"/>
          <w:lang w:val="es-US"/>
        </w:rPr>
        <w:t>intención</w:t>
      </w:r>
      <w:r w:rsidR="00DD6087" w:rsidRPr="00386E47">
        <w:rPr>
          <w:rFonts w:asciiTheme="majorHAnsi" w:eastAsia="Calibri" w:hAnsiTheme="majorHAnsi"/>
          <w:sz w:val="20"/>
          <w:szCs w:val="20"/>
          <w:lang w:val="es-US"/>
        </w:rPr>
        <w:t xml:space="preserve"> de </w:t>
      </w:r>
      <w:r w:rsidR="009F70EA" w:rsidRPr="00386E47">
        <w:rPr>
          <w:rFonts w:asciiTheme="majorHAnsi" w:eastAsia="Calibri" w:hAnsiTheme="majorHAnsi"/>
          <w:sz w:val="20"/>
          <w:szCs w:val="20"/>
          <w:lang w:val="es-US"/>
        </w:rPr>
        <w:t>desviar la investigación</w:t>
      </w:r>
      <w:r w:rsidRPr="00386E47">
        <w:rPr>
          <w:rFonts w:asciiTheme="majorHAnsi" w:eastAsia="Calibri" w:hAnsiTheme="majorHAnsi"/>
          <w:sz w:val="20"/>
          <w:szCs w:val="20"/>
          <w:lang w:val="es-US"/>
        </w:rPr>
        <w:t>,</w:t>
      </w:r>
      <w:r w:rsidR="009F70EA" w:rsidRPr="00386E47">
        <w:rPr>
          <w:rFonts w:asciiTheme="majorHAnsi" w:eastAsia="Calibri" w:hAnsiTheme="majorHAnsi"/>
          <w:sz w:val="20"/>
          <w:szCs w:val="20"/>
          <w:lang w:val="es-US"/>
        </w:rPr>
        <w:t xml:space="preserve"> encubriendo a los responsables extranjeros y locales del atentado. </w:t>
      </w:r>
    </w:p>
    <w:p w14:paraId="531A8D00" w14:textId="77777777" w:rsidR="009F70EA" w:rsidRPr="00386E47" w:rsidRDefault="009F70EA" w:rsidP="0084645E">
      <w:pPr>
        <w:ind w:left="720"/>
        <w:contextualSpacing/>
        <w:jc w:val="both"/>
        <w:rPr>
          <w:rFonts w:asciiTheme="majorHAnsi" w:eastAsia="Calibri" w:hAnsiTheme="majorHAnsi"/>
          <w:sz w:val="20"/>
          <w:szCs w:val="20"/>
          <w:lang w:val="es-US"/>
        </w:rPr>
      </w:pPr>
    </w:p>
    <w:p w14:paraId="3CA0123D" w14:textId="77777777" w:rsidR="00E46C67" w:rsidRPr="00386E47" w:rsidRDefault="009F70EA" w:rsidP="003A5860">
      <w:pPr>
        <w:numPr>
          <w:ilvl w:val="0"/>
          <w:numId w:val="55"/>
        </w:numPr>
        <w:tabs>
          <w:tab w:val="left" w:pos="567"/>
        </w:tabs>
        <w:ind w:left="0" w:firstLine="0"/>
        <w:jc w:val="both"/>
        <w:rPr>
          <w:rFonts w:asciiTheme="majorHAnsi" w:eastAsia="Calibri" w:hAnsiTheme="majorHAnsi" w:cs="Verdana"/>
          <w:bCs/>
          <w:sz w:val="20"/>
          <w:szCs w:val="20"/>
          <w:lang w:val="es-MX" w:bidi="en-US"/>
        </w:rPr>
      </w:pPr>
      <w:r w:rsidRPr="00386E47">
        <w:rPr>
          <w:rFonts w:asciiTheme="majorHAnsi" w:eastAsia="Calibri" w:hAnsiTheme="majorHAnsi"/>
          <w:sz w:val="20"/>
          <w:szCs w:val="20"/>
          <w:lang w:val="es-US"/>
        </w:rPr>
        <w:t xml:space="preserve"> </w:t>
      </w:r>
      <w:r w:rsidR="002575B0" w:rsidRPr="00386E47">
        <w:rPr>
          <w:rFonts w:asciiTheme="majorHAnsi" w:eastAsia="Calibri" w:hAnsiTheme="majorHAnsi"/>
          <w:sz w:val="20"/>
          <w:szCs w:val="20"/>
          <w:lang w:val="es-US"/>
        </w:rPr>
        <w:t>L</w:t>
      </w:r>
      <w:r w:rsidR="00DD6087" w:rsidRPr="00386E47">
        <w:rPr>
          <w:rFonts w:asciiTheme="majorHAnsi" w:eastAsia="Calibri" w:hAnsiTheme="majorHAnsi"/>
          <w:sz w:val="20"/>
          <w:szCs w:val="20"/>
          <w:lang w:val="es-US"/>
        </w:rPr>
        <w:t>os peticionarios informaron que l</w:t>
      </w:r>
      <w:r w:rsidRPr="00386E47">
        <w:rPr>
          <w:rFonts w:asciiTheme="majorHAnsi" w:eastAsia="Calibri" w:hAnsiTheme="majorHAnsi"/>
          <w:sz w:val="20"/>
          <w:szCs w:val="20"/>
          <w:lang w:val="es-US"/>
        </w:rPr>
        <w:t xml:space="preserve">a investigación inicial </w:t>
      </w:r>
      <w:r w:rsidR="00E46C67" w:rsidRPr="00386E47">
        <w:rPr>
          <w:rFonts w:asciiTheme="majorHAnsi" w:eastAsia="Calibri" w:hAnsiTheme="majorHAnsi"/>
          <w:sz w:val="20"/>
          <w:szCs w:val="20"/>
          <w:lang w:val="es-US"/>
        </w:rPr>
        <w:t>estuvo a cargo del Juzgado Federal en lo Criminal</w:t>
      </w:r>
      <w:r w:rsidR="00DD6087" w:rsidRPr="00386E47">
        <w:rPr>
          <w:rFonts w:asciiTheme="majorHAnsi" w:eastAsia="Calibri" w:hAnsiTheme="majorHAnsi"/>
          <w:sz w:val="20"/>
          <w:szCs w:val="20"/>
          <w:lang w:val="es-US"/>
        </w:rPr>
        <w:t xml:space="preserve"> y Cor</w:t>
      </w:r>
      <w:r w:rsidR="003D1B09" w:rsidRPr="00386E47">
        <w:rPr>
          <w:rFonts w:asciiTheme="majorHAnsi" w:eastAsia="Calibri" w:hAnsiTheme="majorHAnsi"/>
          <w:sz w:val="20"/>
          <w:szCs w:val="20"/>
          <w:lang w:val="es-US"/>
        </w:rPr>
        <w:t>rec</w:t>
      </w:r>
      <w:r w:rsidR="00DD6087" w:rsidRPr="00386E47">
        <w:rPr>
          <w:rFonts w:asciiTheme="majorHAnsi" w:eastAsia="Calibri" w:hAnsiTheme="majorHAnsi"/>
          <w:sz w:val="20"/>
          <w:szCs w:val="20"/>
          <w:lang w:val="es-US"/>
        </w:rPr>
        <w:t>cional Federal Nro. 9</w:t>
      </w:r>
      <w:r w:rsidRPr="00386E47">
        <w:rPr>
          <w:rFonts w:asciiTheme="majorHAnsi" w:eastAsia="Calibri" w:hAnsiTheme="majorHAnsi"/>
          <w:sz w:val="20"/>
          <w:szCs w:val="20"/>
          <w:lang w:val="es-US"/>
        </w:rPr>
        <w:t xml:space="preserve"> y</w:t>
      </w:r>
      <w:r w:rsidR="00DD6087" w:rsidRPr="00386E47">
        <w:rPr>
          <w:rFonts w:asciiTheme="majorHAnsi" w:eastAsia="Calibri" w:hAnsiTheme="majorHAnsi"/>
          <w:sz w:val="20"/>
          <w:szCs w:val="20"/>
          <w:lang w:val="es-US"/>
        </w:rPr>
        <w:t xml:space="preserve"> que</w:t>
      </w:r>
      <w:r w:rsidRPr="00386E47">
        <w:rPr>
          <w:rFonts w:asciiTheme="majorHAnsi" w:eastAsia="Calibri" w:hAnsiTheme="majorHAnsi"/>
          <w:sz w:val="20"/>
          <w:szCs w:val="20"/>
          <w:lang w:val="es-US"/>
        </w:rPr>
        <w:t xml:space="preserve"> fue elevada a juicio en el año 19</w:t>
      </w:r>
      <w:r w:rsidR="00E46C67" w:rsidRPr="00386E47">
        <w:rPr>
          <w:rFonts w:asciiTheme="majorHAnsi" w:eastAsia="Calibri" w:hAnsiTheme="majorHAnsi"/>
          <w:sz w:val="20"/>
          <w:szCs w:val="20"/>
          <w:lang w:val="es-US"/>
        </w:rPr>
        <w:t xml:space="preserve">99. </w:t>
      </w:r>
      <w:r w:rsidR="00960AD0" w:rsidRPr="00386E47">
        <w:rPr>
          <w:rFonts w:asciiTheme="majorHAnsi" w:eastAsia="Calibri" w:hAnsiTheme="majorHAnsi"/>
          <w:sz w:val="20"/>
          <w:szCs w:val="20"/>
          <w:lang w:val="es-US"/>
        </w:rPr>
        <w:t>D</w:t>
      </w:r>
      <w:r w:rsidRPr="00386E47">
        <w:rPr>
          <w:rFonts w:asciiTheme="majorHAnsi" w:eastAsia="Calibri" w:hAnsiTheme="majorHAnsi"/>
          <w:sz w:val="20"/>
          <w:szCs w:val="20"/>
          <w:lang w:val="es-US"/>
        </w:rPr>
        <w:t>urant</w:t>
      </w:r>
      <w:r w:rsidR="00E46C67" w:rsidRPr="00386E47">
        <w:rPr>
          <w:rFonts w:asciiTheme="majorHAnsi" w:eastAsia="Calibri" w:hAnsiTheme="majorHAnsi"/>
          <w:sz w:val="20"/>
          <w:szCs w:val="20"/>
          <w:lang w:val="es-US"/>
        </w:rPr>
        <w:t>e dicha investigación</w:t>
      </w:r>
      <w:r w:rsidR="00960AD0" w:rsidRPr="00386E47">
        <w:rPr>
          <w:rFonts w:asciiTheme="majorHAnsi" w:eastAsia="Calibri" w:hAnsiTheme="majorHAnsi"/>
          <w:sz w:val="20"/>
          <w:szCs w:val="20"/>
          <w:lang w:val="es-US"/>
        </w:rPr>
        <w:t>, denunciaron</w:t>
      </w:r>
      <w:r w:rsidR="00E80709" w:rsidRPr="00386E47">
        <w:rPr>
          <w:rFonts w:asciiTheme="majorHAnsi" w:eastAsia="Calibri" w:hAnsiTheme="majorHAnsi"/>
          <w:sz w:val="20"/>
          <w:szCs w:val="20"/>
          <w:lang w:val="es-US"/>
        </w:rPr>
        <w:t>,</w:t>
      </w:r>
      <w:r w:rsidR="00F16CF6" w:rsidRPr="00386E47">
        <w:rPr>
          <w:rFonts w:asciiTheme="majorHAnsi" w:eastAsia="Calibri" w:hAnsiTheme="majorHAnsi"/>
          <w:sz w:val="20"/>
          <w:szCs w:val="20"/>
          <w:lang w:val="es-US"/>
        </w:rPr>
        <w:t xml:space="preserve"> </w:t>
      </w:r>
      <w:r w:rsidR="00E46C67" w:rsidRPr="00386E47">
        <w:rPr>
          <w:rFonts w:asciiTheme="majorHAnsi" w:eastAsia="Calibri" w:hAnsiTheme="majorHAnsi"/>
          <w:sz w:val="20"/>
          <w:szCs w:val="20"/>
          <w:lang w:val="es-US"/>
        </w:rPr>
        <w:t xml:space="preserve">el Estado </w:t>
      </w:r>
      <w:r w:rsidRPr="00386E47">
        <w:rPr>
          <w:rFonts w:asciiTheme="majorHAnsi" w:eastAsia="Calibri" w:hAnsiTheme="majorHAnsi"/>
          <w:sz w:val="20"/>
          <w:szCs w:val="20"/>
          <w:lang w:val="es-US"/>
        </w:rPr>
        <w:t xml:space="preserve">omitió intencionalmente seguir líneas lógicas </w:t>
      </w:r>
      <w:r w:rsidR="002575B0" w:rsidRPr="00386E47">
        <w:rPr>
          <w:rFonts w:asciiTheme="majorHAnsi" w:eastAsia="Calibri" w:hAnsiTheme="majorHAnsi"/>
          <w:sz w:val="20"/>
          <w:szCs w:val="20"/>
          <w:lang w:val="es-US"/>
        </w:rPr>
        <w:t>que surgían de la misma</w:t>
      </w:r>
      <w:r w:rsidRPr="00386E47">
        <w:rPr>
          <w:rFonts w:asciiTheme="majorHAnsi" w:eastAsia="Calibri" w:hAnsiTheme="majorHAnsi"/>
          <w:sz w:val="20"/>
          <w:szCs w:val="20"/>
          <w:lang w:val="es-US"/>
        </w:rPr>
        <w:t xml:space="preserve">; encaminó la </w:t>
      </w:r>
      <w:r w:rsidR="00E80709" w:rsidRPr="00386E47">
        <w:rPr>
          <w:rFonts w:asciiTheme="majorHAnsi" w:eastAsia="Calibri" w:hAnsiTheme="majorHAnsi"/>
          <w:sz w:val="20"/>
          <w:szCs w:val="20"/>
          <w:lang w:val="es-US"/>
        </w:rPr>
        <w:t>pesquisa</w:t>
      </w:r>
      <w:r w:rsidRPr="00386E47">
        <w:rPr>
          <w:rFonts w:asciiTheme="majorHAnsi" w:eastAsia="Calibri" w:hAnsiTheme="majorHAnsi"/>
          <w:sz w:val="20"/>
          <w:szCs w:val="20"/>
          <w:lang w:val="es-US"/>
        </w:rPr>
        <w:t xml:space="preserve"> hacia personas inocentes; dejó de lado las reglas del debido proceso; acordó políticamente el resultado</w:t>
      </w:r>
      <w:r w:rsidR="006928A0" w:rsidRPr="00386E47">
        <w:rPr>
          <w:rFonts w:asciiTheme="majorHAnsi" w:eastAsia="Calibri" w:hAnsiTheme="majorHAnsi"/>
          <w:sz w:val="20"/>
          <w:szCs w:val="20"/>
          <w:lang w:val="es-US"/>
        </w:rPr>
        <w:t xml:space="preserve"> </w:t>
      </w:r>
      <w:r w:rsidRPr="00386E47">
        <w:rPr>
          <w:rFonts w:asciiTheme="majorHAnsi" w:eastAsia="Calibri" w:hAnsiTheme="majorHAnsi"/>
          <w:sz w:val="20"/>
          <w:szCs w:val="20"/>
          <w:lang w:val="es-US"/>
        </w:rPr>
        <w:t>del caso; privó ilegítimamente de la libertad</w:t>
      </w:r>
      <w:r w:rsidR="00960AD0" w:rsidRPr="00386E47">
        <w:rPr>
          <w:rFonts w:asciiTheme="majorHAnsi" w:eastAsia="Calibri" w:hAnsiTheme="majorHAnsi"/>
          <w:sz w:val="20"/>
          <w:szCs w:val="20"/>
          <w:lang w:val="es-US"/>
        </w:rPr>
        <w:t xml:space="preserve"> a imputados</w:t>
      </w:r>
      <w:r w:rsidRPr="00386E47">
        <w:rPr>
          <w:rFonts w:asciiTheme="majorHAnsi" w:eastAsia="Calibri" w:hAnsiTheme="majorHAnsi"/>
          <w:sz w:val="20"/>
          <w:szCs w:val="20"/>
          <w:lang w:val="es-US"/>
        </w:rPr>
        <w:t xml:space="preserve">; extorsionó testigos; desvió fondos estatales; </w:t>
      </w:r>
      <w:r w:rsidR="00E80709" w:rsidRPr="00386E47">
        <w:rPr>
          <w:rFonts w:asciiTheme="majorHAnsi" w:eastAsia="Calibri" w:hAnsiTheme="majorHAnsi"/>
          <w:sz w:val="20"/>
          <w:szCs w:val="20"/>
          <w:lang w:val="es-US"/>
        </w:rPr>
        <w:t>falló contra el derecho local; ocult</w:t>
      </w:r>
      <w:r w:rsidRPr="00386E47">
        <w:rPr>
          <w:rFonts w:asciiTheme="majorHAnsi" w:eastAsia="Calibri" w:hAnsiTheme="majorHAnsi"/>
          <w:sz w:val="20"/>
          <w:szCs w:val="20"/>
          <w:lang w:val="es-US"/>
        </w:rPr>
        <w:t>ó legajos e impidió</w:t>
      </w:r>
      <w:r w:rsidR="00960AD0" w:rsidRPr="00386E47">
        <w:rPr>
          <w:rFonts w:asciiTheme="majorHAnsi" w:eastAsia="Calibri" w:hAnsiTheme="majorHAnsi"/>
          <w:sz w:val="20"/>
          <w:szCs w:val="20"/>
          <w:lang w:val="es-US"/>
        </w:rPr>
        <w:t xml:space="preserve"> que las querellas accedan al expediente judicial. </w:t>
      </w:r>
    </w:p>
    <w:p w14:paraId="63E894CF" w14:textId="77777777" w:rsidR="00430A40" w:rsidRPr="00386E47" w:rsidRDefault="00430A40" w:rsidP="0084645E">
      <w:pPr>
        <w:tabs>
          <w:tab w:val="left" w:pos="567"/>
        </w:tabs>
        <w:jc w:val="both"/>
        <w:rPr>
          <w:rFonts w:asciiTheme="majorHAnsi" w:eastAsia="Calibri" w:hAnsiTheme="majorHAnsi" w:cs="Verdana"/>
          <w:bCs/>
          <w:sz w:val="20"/>
          <w:szCs w:val="20"/>
          <w:lang w:val="es-MX" w:bidi="en-US"/>
        </w:rPr>
      </w:pPr>
    </w:p>
    <w:p w14:paraId="6CA1C38E" w14:textId="77777777" w:rsidR="00BD03A2" w:rsidRPr="00386E47" w:rsidRDefault="002575B0" w:rsidP="003A5860">
      <w:pPr>
        <w:numPr>
          <w:ilvl w:val="0"/>
          <w:numId w:val="55"/>
        </w:numPr>
        <w:tabs>
          <w:tab w:val="left" w:pos="567"/>
        </w:tabs>
        <w:ind w:left="0" w:firstLine="0"/>
        <w:jc w:val="both"/>
        <w:rPr>
          <w:rFonts w:asciiTheme="majorHAnsi" w:eastAsia="Calibri" w:hAnsiTheme="majorHAnsi" w:cs="Verdana"/>
          <w:bCs/>
          <w:sz w:val="20"/>
          <w:szCs w:val="20"/>
          <w:lang w:val="es-MX" w:bidi="en-US"/>
        </w:rPr>
      </w:pPr>
      <w:r w:rsidRPr="00386E47">
        <w:rPr>
          <w:rFonts w:asciiTheme="majorHAnsi" w:eastAsia="Calibri" w:hAnsiTheme="majorHAnsi"/>
          <w:sz w:val="20"/>
          <w:szCs w:val="20"/>
          <w:lang w:val="es-US"/>
        </w:rPr>
        <w:t xml:space="preserve">Los peticionarios </w:t>
      </w:r>
      <w:r w:rsidR="00BB2305" w:rsidRPr="00386E47">
        <w:rPr>
          <w:rFonts w:asciiTheme="majorHAnsi" w:eastAsia="Calibri" w:hAnsiTheme="majorHAnsi"/>
          <w:sz w:val="20"/>
          <w:szCs w:val="20"/>
          <w:lang w:val="es-US"/>
        </w:rPr>
        <w:t xml:space="preserve">consignaron </w:t>
      </w:r>
      <w:r w:rsidR="005634D2" w:rsidRPr="00386E47">
        <w:rPr>
          <w:rFonts w:asciiTheme="majorHAnsi" w:eastAsia="Calibri" w:hAnsiTheme="majorHAnsi"/>
          <w:sz w:val="20"/>
          <w:szCs w:val="20"/>
          <w:lang w:val="es-US"/>
        </w:rPr>
        <w:t>que,</w:t>
      </w:r>
      <w:r w:rsidR="00E46C67" w:rsidRPr="00386E47">
        <w:rPr>
          <w:rFonts w:asciiTheme="majorHAnsi" w:eastAsia="Calibri" w:hAnsiTheme="majorHAnsi"/>
          <w:sz w:val="20"/>
          <w:szCs w:val="20"/>
          <w:lang w:val="es-US"/>
        </w:rPr>
        <w:t xml:space="preserve"> en el año 2004, el Tribunal Oral en lo Criminal Federal Nro. </w:t>
      </w:r>
      <w:r w:rsidR="005634D2" w:rsidRPr="00386E47">
        <w:rPr>
          <w:rFonts w:asciiTheme="majorHAnsi" w:eastAsia="Calibri" w:hAnsiTheme="majorHAnsi"/>
          <w:sz w:val="20"/>
          <w:szCs w:val="20"/>
          <w:lang w:val="es-US"/>
        </w:rPr>
        <w:t>3 declaró</w:t>
      </w:r>
      <w:r w:rsidR="00E46C67" w:rsidRPr="00386E47">
        <w:rPr>
          <w:rFonts w:asciiTheme="majorHAnsi" w:eastAsia="Calibri" w:hAnsiTheme="majorHAnsi"/>
          <w:sz w:val="20"/>
          <w:szCs w:val="20"/>
          <w:lang w:val="es-US"/>
        </w:rPr>
        <w:t xml:space="preserve"> la nulidad de gran parte de la investigación al considerar que la actuación del magistrado a carg</w:t>
      </w:r>
      <w:r w:rsidR="00DD6087" w:rsidRPr="00386E47">
        <w:rPr>
          <w:rFonts w:asciiTheme="majorHAnsi" w:eastAsia="Calibri" w:hAnsiTheme="majorHAnsi"/>
          <w:sz w:val="20"/>
          <w:szCs w:val="20"/>
          <w:lang w:val="es-US"/>
        </w:rPr>
        <w:t xml:space="preserve">o de la instrucción fue parcial </w:t>
      </w:r>
      <w:r w:rsidR="00BB2305" w:rsidRPr="00386E47">
        <w:rPr>
          <w:rFonts w:asciiTheme="majorHAnsi" w:eastAsia="Calibri" w:hAnsiTheme="majorHAnsi"/>
          <w:sz w:val="20"/>
          <w:szCs w:val="20"/>
          <w:lang w:val="es-US"/>
        </w:rPr>
        <w:t xml:space="preserve">y que afectó </w:t>
      </w:r>
      <w:r w:rsidR="00DD6087" w:rsidRPr="00386E47">
        <w:rPr>
          <w:rFonts w:asciiTheme="majorHAnsi" w:eastAsia="Calibri" w:hAnsiTheme="majorHAnsi"/>
          <w:sz w:val="20"/>
          <w:szCs w:val="20"/>
          <w:lang w:val="es-US"/>
        </w:rPr>
        <w:t xml:space="preserve">los derechos al </w:t>
      </w:r>
      <w:r w:rsidR="00E46C67" w:rsidRPr="00386E47">
        <w:rPr>
          <w:rFonts w:asciiTheme="majorHAnsi" w:eastAsia="Calibri" w:hAnsiTheme="majorHAnsi"/>
          <w:sz w:val="20"/>
          <w:szCs w:val="20"/>
          <w:lang w:val="es-US"/>
        </w:rPr>
        <w:t>debido proceso y la d</w:t>
      </w:r>
      <w:r w:rsidR="00DD6087" w:rsidRPr="00386E47">
        <w:rPr>
          <w:rFonts w:asciiTheme="majorHAnsi" w:eastAsia="Calibri" w:hAnsiTheme="majorHAnsi"/>
          <w:sz w:val="20"/>
          <w:szCs w:val="20"/>
          <w:lang w:val="es-US"/>
        </w:rPr>
        <w:t>efensa en juicio. En dicha sent</w:t>
      </w:r>
      <w:r w:rsidR="00E46C67" w:rsidRPr="00386E47">
        <w:rPr>
          <w:rFonts w:asciiTheme="majorHAnsi" w:eastAsia="Calibri" w:hAnsiTheme="majorHAnsi"/>
          <w:sz w:val="20"/>
          <w:szCs w:val="20"/>
          <w:lang w:val="es-US"/>
        </w:rPr>
        <w:t>e</w:t>
      </w:r>
      <w:r w:rsidR="00DD6087" w:rsidRPr="00386E47">
        <w:rPr>
          <w:rFonts w:asciiTheme="majorHAnsi" w:eastAsia="Calibri" w:hAnsiTheme="majorHAnsi"/>
          <w:sz w:val="20"/>
          <w:szCs w:val="20"/>
          <w:lang w:val="es-US"/>
        </w:rPr>
        <w:t>n</w:t>
      </w:r>
      <w:r w:rsidR="00E46C67" w:rsidRPr="00386E47">
        <w:rPr>
          <w:rFonts w:asciiTheme="majorHAnsi" w:eastAsia="Calibri" w:hAnsiTheme="majorHAnsi"/>
          <w:sz w:val="20"/>
          <w:szCs w:val="20"/>
          <w:lang w:val="es-US"/>
        </w:rPr>
        <w:t>cia, los peticionarios añadieron</w:t>
      </w:r>
      <w:r w:rsidRPr="00386E47">
        <w:rPr>
          <w:rFonts w:asciiTheme="majorHAnsi" w:eastAsia="Calibri" w:hAnsiTheme="majorHAnsi"/>
          <w:sz w:val="20"/>
          <w:szCs w:val="20"/>
          <w:lang w:val="es-US"/>
        </w:rPr>
        <w:t xml:space="preserve"> que</w:t>
      </w:r>
      <w:r w:rsidR="00E46C67" w:rsidRPr="00386E47">
        <w:rPr>
          <w:rFonts w:asciiTheme="majorHAnsi" w:eastAsia="Calibri" w:hAnsiTheme="majorHAnsi"/>
          <w:sz w:val="20"/>
          <w:szCs w:val="20"/>
          <w:lang w:val="es-US"/>
        </w:rPr>
        <w:t xml:space="preserve"> se demostró que la investigación</w:t>
      </w:r>
      <w:r w:rsidR="00DD6087" w:rsidRPr="00386E47">
        <w:rPr>
          <w:rFonts w:asciiTheme="majorHAnsi" w:eastAsia="Calibri" w:hAnsiTheme="majorHAnsi"/>
          <w:sz w:val="20"/>
          <w:szCs w:val="20"/>
          <w:lang w:val="es-US"/>
        </w:rPr>
        <w:t xml:space="preserve"> judicial</w:t>
      </w:r>
      <w:r w:rsidR="00E46C67" w:rsidRPr="00386E47">
        <w:rPr>
          <w:rFonts w:asciiTheme="majorHAnsi" w:eastAsia="Calibri" w:hAnsiTheme="majorHAnsi"/>
          <w:sz w:val="20"/>
          <w:szCs w:val="20"/>
          <w:lang w:val="es-US"/>
        </w:rPr>
        <w:t xml:space="preserve"> se valió de prueba falsa obtenida a partir de actividades estatales </w:t>
      </w:r>
      <w:r w:rsidR="0006550A" w:rsidRPr="00386E47">
        <w:rPr>
          <w:rFonts w:asciiTheme="majorHAnsi" w:eastAsia="Calibri" w:hAnsiTheme="majorHAnsi"/>
          <w:sz w:val="20"/>
          <w:szCs w:val="20"/>
          <w:lang w:val="es-US"/>
        </w:rPr>
        <w:t>ilícitas</w:t>
      </w:r>
      <w:r w:rsidR="00E80709" w:rsidRPr="00386E47">
        <w:rPr>
          <w:rFonts w:asciiTheme="majorHAnsi" w:eastAsia="Calibri" w:hAnsiTheme="majorHAnsi"/>
          <w:sz w:val="20"/>
          <w:szCs w:val="20"/>
          <w:lang w:val="es-US"/>
        </w:rPr>
        <w:t xml:space="preserve"> desplegadas con</w:t>
      </w:r>
      <w:r w:rsidR="00DD6087" w:rsidRPr="00386E47">
        <w:rPr>
          <w:rFonts w:asciiTheme="majorHAnsi" w:eastAsia="Calibri" w:hAnsiTheme="majorHAnsi"/>
          <w:sz w:val="20"/>
          <w:szCs w:val="20"/>
          <w:lang w:val="es-US"/>
        </w:rPr>
        <w:t xml:space="preserve"> el fin de</w:t>
      </w:r>
      <w:r w:rsidR="00E46C67" w:rsidRPr="00386E47">
        <w:rPr>
          <w:rFonts w:asciiTheme="majorHAnsi" w:eastAsia="Calibri" w:hAnsiTheme="majorHAnsi"/>
          <w:sz w:val="20"/>
          <w:szCs w:val="20"/>
          <w:lang w:val="es-US"/>
        </w:rPr>
        <w:t xml:space="preserve"> acusar</w:t>
      </w:r>
      <w:r w:rsidR="006928A0" w:rsidRPr="00386E47">
        <w:rPr>
          <w:rFonts w:asciiTheme="majorHAnsi" w:eastAsia="Calibri" w:hAnsiTheme="majorHAnsi"/>
          <w:sz w:val="20"/>
          <w:szCs w:val="20"/>
          <w:lang w:val="es-US"/>
        </w:rPr>
        <w:t xml:space="preserve"> </w:t>
      </w:r>
      <w:r w:rsidR="00E46C67" w:rsidRPr="00386E47">
        <w:rPr>
          <w:rFonts w:asciiTheme="majorHAnsi" w:eastAsia="Calibri" w:hAnsiTheme="majorHAnsi"/>
          <w:sz w:val="20"/>
          <w:szCs w:val="20"/>
          <w:lang w:val="es-US"/>
        </w:rPr>
        <w:t xml:space="preserve">a efectivos de la </w:t>
      </w:r>
      <w:r w:rsidR="0006550A" w:rsidRPr="00386E47">
        <w:rPr>
          <w:rFonts w:asciiTheme="majorHAnsi" w:eastAsia="Calibri" w:hAnsiTheme="majorHAnsi"/>
          <w:sz w:val="20"/>
          <w:szCs w:val="20"/>
          <w:lang w:val="es-US"/>
        </w:rPr>
        <w:t>Policía</w:t>
      </w:r>
      <w:r w:rsidR="00E46C67" w:rsidRPr="00386E47">
        <w:rPr>
          <w:rFonts w:asciiTheme="majorHAnsi" w:eastAsia="Calibri" w:hAnsiTheme="majorHAnsi"/>
          <w:sz w:val="20"/>
          <w:szCs w:val="20"/>
          <w:lang w:val="es-US"/>
        </w:rPr>
        <w:t xml:space="preserve"> de la Pro</w:t>
      </w:r>
      <w:r w:rsidRPr="00386E47">
        <w:rPr>
          <w:rFonts w:asciiTheme="majorHAnsi" w:eastAsia="Calibri" w:hAnsiTheme="majorHAnsi"/>
          <w:sz w:val="20"/>
          <w:szCs w:val="20"/>
          <w:lang w:val="es-US"/>
        </w:rPr>
        <w:t>v</w:t>
      </w:r>
      <w:r w:rsidR="00E46C67" w:rsidRPr="00386E47">
        <w:rPr>
          <w:rFonts w:asciiTheme="majorHAnsi" w:eastAsia="Calibri" w:hAnsiTheme="majorHAnsi"/>
          <w:sz w:val="20"/>
          <w:szCs w:val="20"/>
          <w:lang w:val="es-US"/>
        </w:rPr>
        <w:t xml:space="preserve">incia de Buenos Aires de ser </w:t>
      </w:r>
      <w:r w:rsidR="00DD6087" w:rsidRPr="00386E47">
        <w:rPr>
          <w:rFonts w:asciiTheme="majorHAnsi" w:eastAsia="Calibri" w:hAnsiTheme="majorHAnsi"/>
          <w:sz w:val="20"/>
          <w:szCs w:val="20"/>
          <w:lang w:val="es-US"/>
        </w:rPr>
        <w:t>parte de la conexión local</w:t>
      </w:r>
      <w:r w:rsidR="00E46C67" w:rsidRPr="00386E47">
        <w:rPr>
          <w:rFonts w:asciiTheme="majorHAnsi" w:eastAsia="Calibri" w:hAnsiTheme="majorHAnsi"/>
          <w:sz w:val="20"/>
          <w:szCs w:val="20"/>
          <w:lang w:val="es-US"/>
        </w:rPr>
        <w:t xml:space="preserve"> del atentado. </w:t>
      </w:r>
    </w:p>
    <w:p w14:paraId="14D8102E" w14:textId="77777777" w:rsidR="00BD03A2" w:rsidRPr="00386E47" w:rsidRDefault="00BD03A2" w:rsidP="00BD03A2">
      <w:pPr>
        <w:pStyle w:val="ListParagraph"/>
        <w:rPr>
          <w:rFonts w:asciiTheme="majorHAnsi" w:eastAsia="Calibri" w:hAnsiTheme="majorHAnsi"/>
          <w:sz w:val="20"/>
          <w:szCs w:val="20"/>
          <w:lang w:val="es-US"/>
        </w:rPr>
      </w:pPr>
    </w:p>
    <w:p w14:paraId="3FF17646" w14:textId="77777777" w:rsidR="005A5C09" w:rsidRPr="00386E47" w:rsidRDefault="00BD03A2" w:rsidP="003A5860">
      <w:pPr>
        <w:numPr>
          <w:ilvl w:val="0"/>
          <w:numId w:val="55"/>
        </w:numPr>
        <w:tabs>
          <w:tab w:val="left" w:pos="567"/>
        </w:tabs>
        <w:ind w:left="0" w:firstLine="0"/>
        <w:jc w:val="both"/>
        <w:rPr>
          <w:rFonts w:asciiTheme="majorHAnsi" w:eastAsia="Calibri" w:hAnsiTheme="majorHAnsi" w:cs="Verdana"/>
          <w:bCs/>
          <w:sz w:val="20"/>
          <w:szCs w:val="20"/>
          <w:lang w:val="es-MX" w:bidi="en-US"/>
        </w:rPr>
      </w:pPr>
      <w:r w:rsidRPr="00386E47">
        <w:rPr>
          <w:rFonts w:asciiTheme="majorHAnsi" w:eastAsia="Calibri" w:hAnsiTheme="majorHAnsi"/>
          <w:sz w:val="20"/>
          <w:szCs w:val="20"/>
          <w:lang w:val="es-US"/>
        </w:rPr>
        <w:t>En este sentido, a</w:t>
      </w:r>
      <w:r w:rsidR="00E46C67" w:rsidRPr="00386E47">
        <w:rPr>
          <w:rFonts w:asciiTheme="majorHAnsi" w:eastAsia="Calibri" w:hAnsiTheme="majorHAnsi"/>
          <w:sz w:val="20"/>
          <w:szCs w:val="20"/>
          <w:lang w:val="es-US"/>
        </w:rPr>
        <w:t>firmaron</w:t>
      </w:r>
      <w:r w:rsidR="005A5C09" w:rsidRPr="00386E47">
        <w:rPr>
          <w:rFonts w:asciiTheme="majorHAnsi" w:eastAsia="Calibri" w:hAnsiTheme="majorHAnsi"/>
          <w:sz w:val="20"/>
          <w:szCs w:val="20"/>
          <w:lang w:val="es-US"/>
        </w:rPr>
        <w:t xml:space="preserve"> que, </w:t>
      </w:r>
      <w:r w:rsidR="009F70EA" w:rsidRPr="00386E47">
        <w:rPr>
          <w:rFonts w:asciiTheme="majorHAnsi" w:eastAsia="Calibri" w:hAnsiTheme="majorHAnsi"/>
          <w:sz w:val="20"/>
          <w:szCs w:val="20"/>
          <w:lang w:val="es-US"/>
        </w:rPr>
        <w:t xml:space="preserve">aún después de conocida la maniobra de encubrimiento, la causa judicial siguió </w:t>
      </w:r>
      <w:r w:rsidR="006928A0" w:rsidRPr="00386E47">
        <w:rPr>
          <w:rFonts w:asciiTheme="majorHAnsi" w:eastAsia="Calibri" w:hAnsiTheme="majorHAnsi"/>
          <w:sz w:val="20"/>
          <w:szCs w:val="20"/>
          <w:lang w:val="es-US"/>
        </w:rPr>
        <w:t xml:space="preserve">conducida </w:t>
      </w:r>
      <w:r w:rsidR="009F70EA" w:rsidRPr="00386E47">
        <w:rPr>
          <w:rFonts w:asciiTheme="majorHAnsi" w:eastAsia="Calibri" w:hAnsiTheme="majorHAnsi"/>
          <w:sz w:val="20"/>
          <w:szCs w:val="20"/>
          <w:lang w:val="es-US"/>
        </w:rPr>
        <w:t xml:space="preserve">por la </w:t>
      </w:r>
      <w:r w:rsidR="006928A0" w:rsidRPr="00386E47">
        <w:rPr>
          <w:rFonts w:asciiTheme="majorHAnsi" w:eastAsia="Calibri" w:hAnsiTheme="majorHAnsi"/>
          <w:sz w:val="20"/>
          <w:szCs w:val="20"/>
          <w:lang w:val="es-US"/>
        </w:rPr>
        <w:t xml:space="preserve">Secretaria de Inteligencia del Estado </w:t>
      </w:r>
      <w:r w:rsidR="009F70EA" w:rsidRPr="00386E47">
        <w:rPr>
          <w:rFonts w:asciiTheme="majorHAnsi" w:eastAsia="Calibri" w:hAnsiTheme="majorHAnsi"/>
          <w:sz w:val="20"/>
          <w:szCs w:val="20"/>
          <w:lang w:val="es-US"/>
        </w:rPr>
        <w:t>e influida por agencias extranjeras, por lo que</w:t>
      </w:r>
      <w:r w:rsidR="006928A0" w:rsidRPr="00386E47">
        <w:rPr>
          <w:rFonts w:asciiTheme="majorHAnsi" w:eastAsia="Calibri" w:hAnsiTheme="majorHAnsi"/>
          <w:sz w:val="20"/>
          <w:szCs w:val="20"/>
          <w:lang w:val="es-US"/>
        </w:rPr>
        <w:t>,</w:t>
      </w:r>
      <w:r w:rsidR="009F70EA" w:rsidRPr="00386E47">
        <w:rPr>
          <w:rFonts w:asciiTheme="majorHAnsi" w:eastAsia="Calibri" w:hAnsiTheme="majorHAnsi"/>
          <w:sz w:val="20"/>
          <w:szCs w:val="20"/>
          <w:lang w:val="es-US"/>
        </w:rPr>
        <w:t xml:space="preserve"> durante años</w:t>
      </w:r>
      <w:r w:rsidR="006928A0" w:rsidRPr="00386E47">
        <w:rPr>
          <w:rFonts w:asciiTheme="majorHAnsi" w:eastAsia="Calibri" w:hAnsiTheme="majorHAnsi"/>
          <w:sz w:val="20"/>
          <w:szCs w:val="20"/>
          <w:lang w:val="es-US"/>
        </w:rPr>
        <w:t>,</w:t>
      </w:r>
      <w:r w:rsidR="009F70EA" w:rsidRPr="00386E47">
        <w:rPr>
          <w:rFonts w:asciiTheme="majorHAnsi" w:eastAsia="Calibri" w:hAnsiTheme="majorHAnsi"/>
          <w:sz w:val="20"/>
          <w:szCs w:val="20"/>
          <w:lang w:val="es-US"/>
        </w:rPr>
        <w:t xml:space="preserve"> tampoco se avanzó en la determinación de la verdad</w:t>
      </w:r>
      <w:r w:rsidR="006928A0" w:rsidRPr="00386E47">
        <w:rPr>
          <w:rFonts w:asciiTheme="majorHAnsi" w:eastAsia="Calibri" w:hAnsiTheme="majorHAnsi"/>
          <w:sz w:val="20"/>
          <w:szCs w:val="20"/>
          <w:lang w:val="es-US"/>
        </w:rPr>
        <w:t>, ya que</w:t>
      </w:r>
      <w:r w:rsidR="009F70EA" w:rsidRPr="00386E47">
        <w:rPr>
          <w:rFonts w:asciiTheme="majorHAnsi" w:eastAsia="Calibri" w:hAnsiTheme="majorHAnsi"/>
          <w:sz w:val="20"/>
          <w:szCs w:val="20"/>
          <w:lang w:val="es-US"/>
        </w:rPr>
        <w:t xml:space="preserve"> la investigación estaría lejos de ser exhaustiva e imparcial. </w:t>
      </w:r>
      <w:r w:rsidR="005A5C09" w:rsidRPr="00386E47">
        <w:rPr>
          <w:rFonts w:asciiTheme="majorHAnsi" w:eastAsia="Calibri" w:hAnsiTheme="majorHAnsi"/>
          <w:sz w:val="20"/>
          <w:szCs w:val="20"/>
          <w:lang w:val="es-US"/>
        </w:rPr>
        <w:t>En este sentido, sostuvieron</w:t>
      </w:r>
      <w:r w:rsidR="009F70EA" w:rsidRPr="00386E47">
        <w:rPr>
          <w:rFonts w:asciiTheme="majorHAnsi" w:eastAsia="Calibri" w:hAnsiTheme="majorHAnsi"/>
          <w:sz w:val="20"/>
          <w:szCs w:val="20"/>
          <w:lang w:val="es-US"/>
        </w:rPr>
        <w:t xml:space="preserve"> que la falta de investigación fue grave y deliberad</w:t>
      </w:r>
      <w:r w:rsidR="00E80709" w:rsidRPr="00386E47">
        <w:rPr>
          <w:rFonts w:asciiTheme="majorHAnsi" w:eastAsia="Calibri" w:hAnsiTheme="majorHAnsi"/>
          <w:sz w:val="20"/>
          <w:szCs w:val="20"/>
          <w:lang w:val="es-US"/>
        </w:rPr>
        <w:t>a y que el Estado no solo no adopt</w:t>
      </w:r>
      <w:r w:rsidR="009F70EA" w:rsidRPr="00386E47">
        <w:rPr>
          <w:rFonts w:asciiTheme="majorHAnsi" w:eastAsia="Calibri" w:hAnsiTheme="majorHAnsi"/>
          <w:sz w:val="20"/>
          <w:szCs w:val="20"/>
          <w:lang w:val="es-US"/>
        </w:rPr>
        <w:t>ó los recaudos mínimos para emprender una investigación exitosa, sino que desplegó su capacidad para desviar la investigación, sellando con ello el encubrimiento de los responsables extranjeros y locales</w:t>
      </w:r>
      <w:r w:rsidR="006928A0" w:rsidRPr="00386E47">
        <w:rPr>
          <w:rFonts w:asciiTheme="majorHAnsi" w:eastAsia="Calibri" w:hAnsiTheme="majorHAnsi"/>
          <w:sz w:val="20"/>
          <w:szCs w:val="20"/>
          <w:lang w:val="es-US"/>
        </w:rPr>
        <w:t xml:space="preserve"> del atentado</w:t>
      </w:r>
      <w:r w:rsidR="005A5C09" w:rsidRPr="00386E47">
        <w:rPr>
          <w:rFonts w:asciiTheme="majorHAnsi" w:eastAsia="Calibri" w:hAnsiTheme="majorHAnsi"/>
          <w:sz w:val="20"/>
          <w:szCs w:val="20"/>
          <w:lang w:val="es-US"/>
        </w:rPr>
        <w:t xml:space="preserve">. </w:t>
      </w:r>
    </w:p>
    <w:p w14:paraId="2D5332CC" w14:textId="77777777" w:rsidR="00430A40" w:rsidRPr="00386E47" w:rsidRDefault="00430A40" w:rsidP="0084645E">
      <w:pPr>
        <w:tabs>
          <w:tab w:val="left" w:pos="567"/>
        </w:tabs>
        <w:jc w:val="both"/>
        <w:rPr>
          <w:rFonts w:asciiTheme="majorHAnsi" w:eastAsia="Calibri" w:hAnsiTheme="majorHAnsi" w:cs="Verdana"/>
          <w:bCs/>
          <w:sz w:val="20"/>
          <w:szCs w:val="20"/>
          <w:lang w:val="es-MX" w:bidi="en-US"/>
        </w:rPr>
      </w:pPr>
    </w:p>
    <w:p w14:paraId="6BD08E01" w14:textId="77777777" w:rsidR="00DD6087" w:rsidRPr="00386E47" w:rsidRDefault="002575B0" w:rsidP="003A5860">
      <w:pPr>
        <w:numPr>
          <w:ilvl w:val="0"/>
          <w:numId w:val="55"/>
        </w:numPr>
        <w:tabs>
          <w:tab w:val="left" w:pos="567"/>
        </w:tabs>
        <w:ind w:left="0" w:firstLine="0"/>
        <w:jc w:val="both"/>
        <w:rPr>
          <w:rFonts w:asciiTheme="majorHAnsi" w:eastAsia="Calibri" w:hAnsiTheme="majorHAnsi" w:cs="Verdana"/>
          <w:bCs/>
          <w:sz w:val="20"/>
          <w:szCs w:val="20"/>
          <w:lang w:val="es-MX" w:bidi="en-US"/>
        </w:rPr>
      </w:pPr>
      <w:r w:rsidRPr="00386E47">
        <w:rPr>
          <w:rFonts w:asciiTheme="majorHAnsi" w:eastAsia="Calibri" w:hAnsiTheme="majorHAnsi"/>
          <w:sz w:val="20"/>
          <w:szCs w:val="20"/>
          <w:lang w:val="es-US"/>
        </w:rPr>
        <w:t>L</w:t>
      </w:r>
      <w:r w:rsidR="005A5C09" w:rsidRPr="00386E47">
        <w:rPr>
          <w:rFonts w:asciiTheme="majorHAnsi" w:eastAsia="Calibri" w:hAnsiTheme="majorHAnsi"/>
          <w:sz w:val="20"/>
          <w:szCs w:val="20"/>
          <w:lang w:val="es-US"/>
        </w:rPr>
        <w:t xml:space="preserve">os peticionarios señalaron que diversos funcionarios judiciales, del Poder Ejecutivo Nacional, agentes de la Secretaria de Inteligencia del Estado (SIDE) y de la </w:t>
      </w:r>
      <w:r w:rsidR="0006550A" w:rsidRPr="00386E47">
        <w:rPr>
          <w:rFonts w:asciiTheme="majorHAnsi" w:eastAsia="Calibri" w:hAnsiTheme="majorHAnsi"/>
          <w:sz w:val="20"/>
          <w:szCs w:val="20"/>
          <w:lang w:val="es-US"/>
        </w:rPr>
        <w:t>Policía</w:t>
      </w:r>
      <w:r w:rsidR="005A5C09" w:rsidRPr="00386E47">
        <w:rPr>
          <w:rFonts w:asciiTheme="majorHAnsi" w:eastAsia="Calibri" w:hAnsiTheme="majorHAnsi"/>
          <w:sz w:val="20"/>
          <w:szCs w:val="20"/>
          <w:lang w:val="es-US"/>
        </w:rPr>
        <w:t xml:space="preserve"> Federal Argentina (PFA) fueron juzgados por </w:t>
      </w:r>
      <w:r w:rsidR="0006550A" w:rsidRPr="00386E47">
        <w:rPr>
          <w:rFonts w:asciiTheme="majorHAnsi" w:eastAsia="Calibri" w:hAnsiTheme="majorHAnsi"/>
          <w:sz w:val="20"/>
          <w:szCs w:val="20"/>
          <w:lang w:val="es-US"/>
        </w:rPr>
        <w:t>encubrir</w:t>
      </w:r>
      <w:r w:rsidR="005A5C09" w:rsidRPr="00386E47">
        <w:rPr>
          <w:rFonts w:asciiTheme="majorHAnsi" w:eastAsia="Calibri" w:hAnsiTheme="majorHAnsi"/>
          <w:sz w:val="20"/>
          <w:szCs w:val="20"/>
          <w:lang w:val="es-US"/>
        </w:rPr>
        <w:t xml:space="preserve"> el atentado y a sus verdaderos responsables. </w:t>
      </w:r>
      <w:r w:rsidRPr="00386E47">
        <w:rPr>
          <w:rFonts w:asciiTheme="majorHAnsi" w:eastAsia="Calibri" w:hAnsiTheme="majorHAnsi"/>
          <w:sz w:val="20"/>
          <w:szCs w:val="20"/>
          <w:lang w:val="es-US"/>
        </w:rPr>
        <w:t>I</w:t>
      </w:r>
      <w:r w:rsidR="005A5C09" w:rsidRPr="00386E47">
        <w:rPr>
          <w:rFonts w:asciiTheme="majorHAnsi" w:eastAsia="Calibri" w:hAnsiTheme="majorHAnsi"/>
          <w:sz w:val="20"/>
          <w:szCs w:val="20"/>
          <w:lang w:val="es-US"/>
        </w:rPr>
        <w:t xml:space="preserve">nformaron que en mayo de 2019 el Tribunal Oral en lo Criminal Federal Nro. 2 dictó </w:t>
      </w:r>
      <w:r w:rsidR="005A5C09" w:rsidRPr="00386E47">
        <w:rPr>
          <w:rFonts w:asciiTheme="majorHAnsi" w:eastAsia="Calibri" w:hAnsiTheme="majorHAnsi"/>
          <w:sz w:val="20"/>
          <w:szCs w:val="20"/>
          <w:lang w:val="es-MX"/>
        </w:rPr>
        <w:t xml:space="preserve">una sentencia que - a pesar de caracterizar las maniobras de encubrimiento como graves violaciones de derechos humanos </w:t>
      </w:r>
      <w:r w:rsidR="00CF0A8A" w:rsidRPr="00386E47">
        <w:rPr>
          <w:rFonts w:asciiTheme="majorHAnsi" w:eastAsia="Calibri" w:hAnsiTheme="majorHAnsi"/>
          <w:sz w:val="20"/>
          <w:szCs w:val="20"/>
          <w:lang w:val="es-MX"/>
        </w:rPr>
        <w:t>-</w:t>
      </w:r>
      <w:r w:rsidR="005A5C09" w:rsidRPr="00386E47">
        <w:rPr>
          <w:rFonts w:asciiTheme="majorHAnsi" w:eastAsia="Calibri" w:hAnsiTheme="majorHAnsi"/>
          <w:sz w:val="20"/>
          <w:szCs w:val="20"/>
          <w:lang w:val="es-MX"/>
        </w:rPr>
        <w:t xml:space="preserve"> impuso sanciones penales que los peticionarios consideran que son desproporcionalmente bajas. </w:t>
      </w:r>
      <w:r w:rsidR="006E5444" w:rsidRPr="00386E47">
        <w:rPr>
          <w:rFonts w:asciiTheme="majorHAnsi" w:eastAsia="Calibri" w:hAnsiTheme="majorHAnsi"/>
          <w:sz w:val="20"/>
          <w:szCs w:val="20"/>
          <w:lang w:val="es-MX"/>
        </w:rPr>
        <w:t>Asimismo</w:t>
      </w:r>
      <w:r w:rsidR="005A5C09" w:rsidRPr="00386E47">
        <w:rPr>
          <w:rFonts w:asciiTheme="majorHAnsi" w:eastAsia="Calibri" w:hAnsiTheme="majorHAnsi"/>
          <w:sz w:val="20"/>
          <w:szCs w:val="20"/>
          <w:lang w:val="es-MX"/>
        </w:rPr>
        <w:t xml:space="preserve">, sostuvieron que la </w:t>
      </w:r>
      <w:r w:rsidR="00F16CF6" w:rsidRPr="00386E47">
        <w:rPr>
          <w:rFonts w:asciiTheme="majorHAnsi" w:eastAsia="Calibri" w:hAnsiTheme="majorHAnsi"/>
          <w:sz w:val="20"/>
          <w:szCs w:val="20"/>
          <w:lang w:val="es-MX"/>
        </w:rPr>
        <w:t>sentencia</w:t>
      </w:r>
      <w:r w:rsidR="005A5C09" w:rsidRPr="00386E47">
        <w:rPr>
          <w:rFonts w:asciiTheme="majorHAnsi" w:eastAsia="Calibri" w:hAnsiTheme="majorHAnsi"/>
          <w:sz w:val="20"/>
          <w:szCs w:val="20"/>
          <w:lang w:val="es-MX"/>
        </w:rPr>
        <w:t xml:space="preserve"> por el encubrimiento del atentado aún no </w:t>
      </w:r>
      <w:r w:rsidR="00C3095B" w:rsidRPr="00386E47">
        <w:rPr>
          <w:rFonts w:asciiTheme="majorHAnsi" w:eastAsia="Calibri" w:hAnsiTheme="majorHAnsi"/>
          <w:sz w:val="20"/>
          <w:szCs w:val="20"/>
          <w:lang w:val="es-MX"/>
        </w:rPr>
        <w:t>se encuentra</w:t>
      </w:r>
      <w:r w:rsidR="005A5C09" w:rsidRPr="00386E47">
        <w:rPr>
          <w:rFonts w:asciiTheme="majorHAnsi" w:eastAsia="Calibri" w:hAnsiTheme="majorHAnsi"/>
          <w:sz w:val="20"/>
          <w:szCs w:val="20"/>
          <w:lang w:val="es-MX"/>
        </w:rPr>
        <w:t xml:space="preserve"> firme y que </w:t>
      </w:r>
      <w:r w:rsidR="009F70EA" w:rsidRPr="00386E47">
        <w:rPr>
          <w:rFonts w:asciiTheme="majorHAnsi" w:eastAsia="Calibri" w:hAnsiTheme="majorHAnsi"/>
          <w:sz w:val="20"/>
          <w:szCs w:val="20"/>
          <w:lang w:val="es-US"/>
        </w:rPr>
        <w:t xml:space="preserve">resta que se avance la investigación contra varios imputados. </w:t>
      </w:r>
      <w:r w:rsidR="00890900" w:rsidRPr="00386E47">
        <w:rPr>
          <w:rFonts w:asciiTheme="majorHAnsi" w:eastAsia="Calibri" w:hAnsiTheme="majorHAnsi"/>
          <w:sz w:val="20"/>
          <w:szCs w:val="20"/>
          <w:lang w:val="es-US"/>
        </w:rPr>
        <w:t>Finalmente, i</w:t>
      </w:r>
      <w:r w:rsidR="00215F21" w:rsidRPr="00386E47">
        <w:rPr>
          <w:rFonts w:asciiTheme="majorHAnsi" w:eastAsia="Calibri" w:hAnsiTheme="majorHAnsi"/>
          <w:sz w:val="20"/>
          <w:szCs w:val="20"/>
          <w:lang w:val="es-US"/>
        </w:rPr>
        <w:t xml:space="preserve">ndicaron que </w:t>
      </w:r>
      <w:r w:rsidR="00215F21" w:rsidRPr="00386E47">
        <w:rPr>
          <w:rFonts w:asciiTheme="majorHAnsi" w:eastAsia="Calibri" w:hAnsiTheme="majorHAnsi"/>
          <w:sz w:val="20"/>
          <w:szCs w:val="20"/>
          <w:lang w:val="es-US"/>
        </w:rPr>
        <w:lastRenderedPageBreak/>
        <w:t>existió falta de imparcialidad e independencia de los jueces y fiscales a cargo de las causas de investigación del atentado y el encubrimiento.</w:t>
      </w:r>
    </w:p>
    <w:p w14:paraId="3AE4AAA9" w14:textId="77777777" w:rsidR="00430A40" w:rsidRPr="00386E47" w:rsidRDefault="00430A40" w:rsidP="0084645E">
      <w:pPr>
        <w:tabs>
          <w:tab w:val="left" w:pos="567"/>
        </w:tabs>
        <w:jc w:val="both"/>
        <w:rPr>
          <w:rFonts w:asciiTheme="majorHAnsi" w:eastAsia="Calibri" w:hAnsiTheme="majorHAnsi" w:cs="Verdana"/>
          <w:bCs/>
          <w:sz w:val="20"/>
          <w:szCs w:val="20"/>
          <w:lang w:val="es-MX" w:bidi="en-US"/>
        </w:rPr>
      </w:pPr>
    </w:p>
    <w:p w14:paraId="7173D741" w14:textId="77777777" w:rsidR="009F70EA" w:rsidRPr="00386E47" w:rsidRDefault="00DD6087" w:rsidP="003A5860">
      <w:pPr>
        <w:numPr>
          <w:ilvl w:val="0"/>
          <w:numId w:val="55"/>
        </w:numPr>
        <w:tabs>
          <w:tab w:val="left" w:pos="567"/>
        </w:tabs>
        <w:ind w:left="0" w:firstLine="0"/>
        <w:jc w:val="both"/>
        <w:rPr>
          <w:rFonts w:asciiTheme="majorHAnsi" w:eastAsia="Calibri" w:hAnsiTheme="majorHAnsi" w:cs="Verdana"/>
          <w:bCs/>
          <w:sz w:val="20"/>
          <w:szCs w:val="20"/>
          <w:lang w:val="es-MX" w:bidi="en-US"/>
        </w:rPr>
      </w:pPr>
      <w:r w:rsidRPr="00386E47">
        <w:rPr>
          <w:rFonts w:asciiTheme="majorHAnsi" w:eastAsia="Calibri" w:hAnsiTheme="majorHAnsi"/>
          <w:sz w:val="20"/>
          <w:szCs w:val="20"/>
          <w:lang w:val="es-US"/>
        </w:rPr>
        <w:t>Los peticionarios d</w:t>
      </w:r>
      <w:r w:rsidR="009F70EA" w:rsidRPr="00386E47">
        <w:rPr>
          <w:rFonts w:asciiTheme="majorHAnsi" w:eastAsia="Calibri" w:hAnsiTheme="majorHAnsi"/>
          <w:sz w:val="20"/>
          <w:szCs w:val="20"/>
          <w:lang w:val="es-US"/>
        </w:rPr>
        <w:t>estaca</w:t>
      </w:r>
      <w:r w:rsidRPr="00386E47">
        <w:rPr>
          <w:rFonts w:asciiTheme="majorHAnsi" w:eastAsia="Calibri" w:hAnsiTheme="majorHAnsi"/>
          <w:sz w:val="20"/>
          <w:szCs w:val="20"/>
          <w:lang w:val="es-US"/>
        </w:rPr>
        <w:t>ron</w:t>
      </w:r>
      <w:r w:rsidR="009F70EA" w:rsidRPr="00386E47">
        <w:rPr>
          <w:rFonts w:asciiTheme="majorHAnsi" w:eastAsia="Calibri" w:hAnsiTheme="majorHAnsi"/>
          <w:sz w:val="20"/>
          <w:szCs w:val="20"/>
          <w:lang w:val="es-US"/>
        </w:rPr>
        <w:t xml:space="preserve"> que</w:t>
      </w:r>
      <w:r w:rsidR="00E80709" w:rsidRPr="00386E47">
        <w:rPr>
          <w:rFonts w:asciiTheme="majorHAnsi" w:eastAsia="Calibri" w:hAnsiTheme="majorHAnsi"/>
          <w:sz w:val="20"/>
          <w:szCs w:val="20"/>
          <w:lang w:val="es-US"/>
        </w:rPr>
        <w:t xml:space="preserve"> en el año 2005</w:t>
      </w:r>
      <w:r w:rsidR="009F70EA" w:rsidRPr="00386E47">
        <w:rPr>
          <w:rFonts w:asciiTheme="majorHAnsi" w:eastAsia="Calibri" w:hAnsiTheme="majorHAnsi"/>
          <w:sz w:val="20"/>
          <w:szCs w:val="20"/>
          <w:lang w:val="es-US"/>
        </w:rPr>
        <w:t xml:space="preserve"> el Estado reconoció su responsabilidad internacional por la falta de</w:t>
      </w:r>
      <w:r w:rsidR="00E80709" w:rsidRPr="00386E47">
        <w:rPr>
          <w:rFonts w:asciiTheme="majorHAnsi" w:eastAsia="Calibri" w:hAnsiTheme="majorHAnsi"/>
          <w:sz w:val="20"/>
          <w:szCs w:val="20"/>
          <w:lang w:val="es-US"/>
        </w:rPr>
        <w:t xml:space="preserve"> prevención e</w:t>
      </w:r>
      <w:r w:rsidR="009F70EA" w:rsidRPr="00386E47">
        <w:rPr>
          <w:rFonts w:asciiTheme="majorHAnsi" w:eastAsia="Calibri" w:hAnsiTheme="majorHAnsi"/>
          <w:sz w:val="20"/>
          <w:szCs w:val="20"/>
          <w:lang w:val="es-US"/>
        </w:rPr>
        <w:t xml:space="preserve"> investigación </w:t>
      </w:r>
      <w:r w:rsidR="00E80709" w:rsidRPr="00386E47">
        <w:rPr>
          <w:rFonts w:asciiTheme="majorHAnsi" w:eastAsia="Calibri" w:hAnsiTheme="majorHAnsi"/>
          <w:sz w:val="20"/>
          <w:szCs w:val="20"/>
          <w:lang w:val="es-US"/>
        </w:rPr>
        <w:t xml:space="preserve">del atentado y aceptó impulsar </w:t>
      </w:r>
      <w:r w:rsidR="009F70EA" w:rsidRPr="00386E47">
        <w:rPr>
          <w:rFonts w:asciiTheme="majorHAnsi" w:eastAsia="Calibri" w:hAnsiTheme="majorHAnsi"/>
          <w:sz w:val="20"/>
          <w:szCs w:val="20"/>
          <w:lang w:val="es-US"/>
        </w:rPr>
        <w:t>una agenda de medidas orientadas a reencauzar las investigaciones</w:t>
      </w:r>
      <w:r w:rsidR="00215F21" w:rsidRPr="00386E47">
        <w:rPr>
          <w:rFonts w:asciiTheme="majorHAnsi" w:eastAsia="Calibri" w:hAnsiTheme="majorHAnsi"/>
          <w:sz w:val="20"/>
          <w:szCs w:val="20"/>
          <w:lang w:val="es-US"/>
        </w:rPr>
        <w:t xml:space="preserve">. Sin embargo, señalaron que el Estado no mostró avances </w:t>
      </w:r>
      <w:r w:rsidR="00F16CF6" w:rsidRPr="00386E47">
        <w:rPr>
          <w:rFonts w:asciiTheme="majorHAnsi" w:eastAsia="Calibri" w:hAnsiTheme="majorHAnsi"/>
          <w:sz w:val="20"/>
          <w:szCs w:val="20"/>
          <w:lang w:val="es-US"/>
        </w:rPr>
        <w:t>significativos</w:t>
      </w:r>
      <w:r w:rsidR="00215F21" w:rsidRPr="00386E47">
        <w:rPr>
          <w:rFonts w:asciiTheme="majorHAnsi" w:eastAsia="Calibri" w:hAnsiTheme="majorHAnsi"/>
          <w:sz w:val="20"/>
          <w:szCs w:val="20"/>
          <w:lang w:val="es-US"/>
        </w:rPr>
        <w:t xml:space="preserve"> en el cumplimiento de tales </w:t>
      </w:r>
      <w:r w:rsidR="009F70EA" w:rsidRPr="00386E47">
        <w:rPr>
          <w:rFonts w:asciiTheme="majorHAnsi" w:eastAsia="Calibri" w:hAnsiTheme="majorHAnsi"/>
          <w:sz w:val="20"/>
          <w:szCs w:val="20"/>
          <w:lang w:val="es-US"/>
        </w:rPr>
        <w:t>compromisos</w:t>
      </w:r>
      <w:r w:rsidR="00215F21" w:rsidRPr="00386E47">
        <w:rPr>
          <w:rFonts w:asciiTheme="majorHAnsi" w:eastAsia="Calibri" w:hAnsiTheme="majorHAnsi"/>
          <w:sz w:val="20"/>
          <w:szCs w:val="20"/>
          <w:lang w:val="es-US"/>
        </w:rPr>
        <w:t xml:space="preserve">, por lo que </w:t>
      </w:r>
      <w:r w:rsidR="009F70EA" w:rsidRPr="00386E47">
        <w:rPr>
          <w:rFonts w:asciiTheme="majorHAnsi" w:eastAsia="Calibri" w:hAnsiTheme="majorHAnsi"/>
          <w:sz w:val="20"/>
          <w:szCs w:val="20"/>
          <w:lang w:val="es-US"/>
        </w:rPr>
        <w:t>contin</w:t>
      </w:r>
      <w:r w:rsidR="00890900" w:rsidRPr="00386E47">
        <w:rPr>
          <w:rFonts w:asciiTheme="majorHAnsi" w:eastAsia="Calibri" w:hAnsiTheme="majorHAnsi"/>
          <w:sz w:val="20"/>
          <w:szCs w:val="20"/>
          <w:lang w:val="es-US"/>
        </w:rPr>
        <w:t>uaría</w:t>
      </w:r>
      <w:r w:rsidR="009F70EA" w:rsidRPr="00386E47">
        <w:rPr>
          <w:rFonts w:asciiTheme="majorHAnsi" w:eastAsia="Calibri" w:hAnsiTheme="majorHAnsi"/>
          <w:sz w:val="20"/>
          <w:szCs w:val="20"/>
          <w:lang w:val="es-US"/>
        </w:rPr>
        <w:t xml:space="preserve"> incurriendo en responsabilidad internacional</w:t>
      </w:r>
      <w:r w:rsidR="006928A0" w:rsidRPr="00386E47">
        <w:rPr>
          <w:rFonts w:asciiTheme="majorHAnsi" w:eastAsia="Calibri" w:hAnsiTheme="majorHAnsi"/>
          <w:sz w:val="20"/>
          <w:szCs w:val="20"/>
          <w:lang w:val="es-US"/>
        </w:rPr>
        <w:t xml:space="preserve">. </w:t>
      </w:r>
    </w:p>
    <w:p w14:paraId="0415CBDB" w14:textId="77777777" w:rsidR="0084645E" w:rsidRPr="00386E47" w:rsidRDefault="0084645E" w:rsidP="0084645E">
      <w:pPr>
        <w:tabs>
          <w:tab w:val="left" w:pos="567"/>
        </w:tabs>
        <w:jc w:val="both"/>
        <w:rPr>
          <w:rFonts w:asciiTheme="majorHAnsi" w:eastAsia="Calibri" w:hAnsiTheme="majorHAnsi" w:cs="Verdana"/>
          <w:bCs/>
          <w:sz w:val="20"/>
          <w:szCs w:val="20"/>
          <w:lang w:val="es-MX" w:bidi="en-US"/>
        </w:rPr>
      </w:pPr>
    </w:p>
    <w:p w14:paraId="533A521F" w14:textId="77777777" w:rsidR="009E57A1" w:rsidRPr="00386E47" w:rsidRDefault="009F70EA" w:rsidP="003A5860">
      <w:pPr>
        <w:numPr>
          <w:ilvl w:val="0"/>
          <w:numId w:val="55"/>
        </w:numPr>
        <w:tabs>
          <w:tab w:val="left" w:pos="567"/>
        </w:tabs>
        <w:ind w:left="0" w:firstLine="0"/>
        <w:jc w:val="both"/>
        <w:rPr>
          <w:rFonts w:asciiTheme="majorHAnsi" w:eastAsia="Calibri" w:hAnsiTheme="majorHAnsi" w:cs="Verdana"/>
          <w:bCs/>
          <w:sz w:val="20"/>
          <w:szCs w:val="20"/>
          <w:lang w:val="es-MX" w:bidi="en-US"/>
        </w:rPr>
      </w:pPr>
      <w:r w:rsidRPr="00386E47">
        <w:rPr>
          <w:rFonts w:asciiTheme="majorHAnsi" w:eastAsia="Calibri" w:hAnsiTheme="majorHAnsi"/>
          <w:sz w:val="20"/>
          <w:szCs w:val="20"/>
          <w:lang w:val="es-US"/>
        </w:rPr>
        <w:t>Asimismo, alega</w:t>
      </w:r>
      <w:r w:rsidR="00CA6ACF" w:rsidRPr="00386E47">
        <w:rPr>
          <w:rFonts w:asciiTheme="majorHAnsi" w:eastAsia="Calibri" w:hAnsiTheme="majorHAnsi"/>
          <w:sz w:val="20"/>
          <w:szCs w:val="20"/>
          <w:lang w:val="es-US"/>
        </w:rPr>
        <w:t>ron</w:t>
      </w:r>
      <w:r w:rsidRPr="00386E47">
        <w:rPr>
          <w:rFonts w:asciiTheme="majorHAnsi" w:eastAsia="Calibri" w:hAnsiTheme="majorHAnsi"/>
          <w:sz w:val="20"/>
          <w:szCs w:val="20"/>
          <w:lang w:val="es-US"/>
        </w:rPr>
        <w:t xml:space="preserve"> que </w:t>
      </w:r>
      <w:r w:rsidR="00890900" w:rsidRPr="00386E47">
        <w:rPr>
          <w:rFonts w:asciiTheme="majorHAnsi" w:eastAsia="Calibri" w:hAnsiTheme="majorHAnsi"/>
          <w:sz w:val="20"/>
          <w:szCs w:val="20"/>
          <w:lang w:val="es-US"/>
        </w:rPr>
        <w:t xml:space="preserve">tanto el proceso judicial por </w:t>
      </w:r>
      <w:r w:rsidRPr="00386E47">
        <w:rPr>
          <w:rFonts w:asciiTheme="majorHAnsi" w:eastAsia="Calibri" w:hAnsiTheme="majorHAnsi"/>
          <w:sz w:val="20"/>
          <w:szCs w:val="20"/>
          <w:lang w:val="es-US"/>
        </w:rPr>
        <w:t xml:space="preserve">el atentado y </w:t>
      </w:r>
      <w:r w:rsidR="00890900" w:rsidRPr="00386E47">
        <w:rPr>
          <w:rFonts w:asciiTheme="majorHAnsi" w:eastAsia="Calibri" w:hAnsiTheme="majorHAnsi"/>
          <w:sz w:val="20"/>
          <w:szCs w:val="20"/>
          <w:lang w:val="es-US"/>
        </w:rPr>
        <w:t xml:space="preserve">como por </w:t>
      </w:r>
      <w:r w:rsidR="005634D2" w:rsidRPr="00386E47">
        <w:rPr>
          <w:rFonts w:asciiTheme="majorHAnsi" w:eastAsia="Calibri" w:hAnsiTheme="majorHAnsi"/>
          <w:sz w:val="20"/>
          <w:szCs w:val="20"/>
          <w:lang w:val="es-US"/>
        </w:rPr>
        <w:t>el encubrimiento</w:t>
      </w:r>
      <w:r w:rsidRPr="00386E47">
        <w:rPr>
          <w:rFonts w:asciiTheme="majorHAnsi" w:eastAsia="Calibri" w:hAnsiTheme="majorHAnsi"/>
          <w:sz w:val="20"/>
          <w:szCs w:val="20"/>
          <w:lang w:val="es-US"/>
        </w:rPr>
        <w:t>, no se han llevado a cabo dentro de un plazo razonable. Indica</w:t>
      </w:r>
      <w:r w:rsidR="009E57A1" w:rsidRPr="00386E47">
        <w:rPr>
          <w:rFonts w:asciiTheme="majorHAnsi" w:eastAsia="Calibri" w:hAnsiTheme="majorHAnsi"/>
          <w:sz w:val="20"/>
          <w:szCs w:val="20"/>
          <w:lang w:val="es-US"/>
        </w:rPr>
        <w:t>ron</w:t>
      </w:r>
      <w:r w:rsidRPr="00386E47">
        <w:rPr>
          <w:rFonts w:asciiTheme="majorHAnsi" w:eastAsia="Calibri" w:hAnsiTheme="majorHAnsi"/>
          <w:sz w:val="20"/>
          <w:szCs w:val="20"/>
          <w:lang w:val="es-US"/>
        </w:rPr>
        <w:t xml:space="preserve"> que, si bien el caso es complejo por la magnitud de los hechos y las estructuras políticas involucradas, el retardo no se ha debido a ello sino a la constante obstaculización del Estado y las múltiples maniobras de encubrimiento que tru</w:t>
      </w:r>
      <w:r w:rsidR="00CA6ACF" w:rsidRPr="00386E47">
        <w:rPr>
          <w:rFonts w:asciiTheme="majorHAnsi" w:eastAsia="Calibri" w:hAnsiTheme="majorHAnsi"/>
          <w:sz w:val="20"/>
          <w:szCs w:val="20"/>
          <w:lang w:val="es-US"/>
        </w:rPr>
        <w:t xml:space="preserve">ncaron la investigación. En </w:t>
      </w:r>
      <w:r w:rsidR="009E57A1" w:rsidRPr="00386E47">
        <w:rPr>
          <w:rFonts w:asciiTheme="majorHAnsi" w:eastAsia="Calibri" w:hAnsiTheme="majorHAnsi"/>
          <w:sz w:val="20"/>
          <w:szCs w:val="20"/>
          <w:lang w:val="es-US"/>
        </w:rPr>
        <w:t>esta línea</w:t>
      </w:r>
      <w:r w:rsidR="00CA6ACF" w:rsidRPr="00386E47">
        <w:rPr>
          <w:rFonts w:asciiTheme="majorHAnsi" w:eastAsia="Calibri" w:hAnsiTheme="majorHAnsi"/>
          <w:sz w:val="20"/>
          <w:szCs w:val="20"/>
          <w:lang w:val="es-US"/>
        </w:rPr>
        <w:t xml:space="preserve">, afirmaron </w:t>
      </w:r>
      <w:r w:rsidRPr="00386E47">
        <w:rPr>
          <w:rFonts w:asciiTheme="majorHAnsi" w:eastAsia="Calibri" w:hAnsiTheme="majorHAnsi"/>
          <w:sz w:val="20"/>
          <w:szCs w:val="20"/>
          <w:lang w:val="es-US"/>
        </w:rPr>
        <w:t xml:space="preserve">que el único motivo por el que todavía continúan las investigaciones es por la lucha incansable de </w:t>
      </w:r>
      <w:r w:rsidR="00CA6ACF" w:rsidRPr="00386E47">
        <w:rPr>
          <w:rFonts w:asciiTheme="majorHAnsi" w:eastAsia="Calibri" w:hAnsiTheme="majorHAnsi"/>
          <w:sz w:val="20"/>
          <w:szCs w:val="20"/>
          <w:lang w:val="es-US"/>
        </w:rPr>
        <w:t>los familiares de las víctimas</w:t>
      </w:r>
      <w:r w:rsidR="00430A40" w:rsidRPr="00386E47">
        <w:rPr>
          <w:rFonts w:asciiTheme="majorHAnsi" w:eastAsia="Calibri" w:hAnsiTheme="majorHAnsi"/>
          <w:sz w:val="20"/>
          <w:szCs w:val="20"/>
          <w:lang w:val="es-US"/>
        </w:rPr>
        <w:t xml:space="preserve">. </w:t>
      </w:r>
    </w:p>
    <w:p w14:paraId="7F6D46A0" w14:textId="77777777" w:rsidR="00430A40" w:rsidRPr="00386E47" w:rsidRDefault="00430A40" w:rsidP="0084645E">
      <w:pPr>
        <w:tabs>
          <w:tab w:val="left" w:pos="567"/>
        </w:tabs>
        <w:jc w:val="both"/>
        <w:rPr>
          <w:rFonts w:asciiTheme="majorHAnsi" w:eastAsia="Calibri" w:hAnsiTheme="majorHAnsi" w:cs="Verdana"/>
          <w:bCs/>
          <w:sz w:val="20"/>
          <w:szCs w:val="20"/>
          <w:lang w:val="es-MX" w:bidi="en-US"/>
        </w:rPr>
      </w:pPr>
    </w:p>
    <w:p w14:paraId="1E3B6063" w14:textId="77777777" w:rsidR="005A7A71" w:rsidRPr="00386E47" w:rsidRDefault="00215F21" w:rsidP="003A5860">
      <w:pPr>
        <w:numPr>
          <w:ilvl w:val="0"/>
          <w:numId w:val="55"/>
        </w:numPr>
        <w:tabs>
          <w:tab w:val="left" w:pos="567"/>
        </w:tabs>
        <w:ind w:left="0" w:firstLine="0"/>
        <w:jc w:val="both"/>
        <w:rPr>
          <w:rFonts w:asciiTheme="majorHAnsi" w:eastAsia="Calibri" w:hAnsiTheme="majorHAnsi" w:cs="Verdana"/>
          <w:bCs/>
          <w:sz w:val="20"/>
          <w:szCs w:val="20"/>
          <w:lang w:val="es-MX" w:bidi="en-US"/>
        </w:rPr>
      </w:pPr>
      <w:r w:rsidRPr="00386E47">
        <w:rPr>
          <w:rFonts w:asciiTheme="majorHAnsi" w:eastAsia="Calibri" w:hAnsiTheme="majorHAnsi"/>
          <w:sz w:val="20"/>
          <w:szCs w:val="20"/>
          <w:lang w:val="es-US"/>
        </w:rPr>
        <w:t>Los peticionarios alegaron</w:t>
      </w:r>
      <w:r w:rsidR="00CA6ACF" w:rsidRPr="00386E47">
        <w:rPr>
          <w:rFonts w:asciiTheme="majorHAnsi" w:eastAsia="Calibri" w:hAnsiTheme="majorHAnsi"/>
          <w:sz w:val="20"/>
          <w:szCs w:val="20"/>
          <w:lang w:val="es-US"/>
        </w:rPr>
        <w:t xml:space="preserve"> </w:t>
      </w:r>
      <w:r w:rsidR="009F70EA" w:rsidRPr="00386E47">
        <w:rPr>
          <w:rFonts w:asciiTheme="majorHAnsi" w:eastAsia="Calibri" w:hAnsiTheme="majorHAnsi"/>
          <w:sz w:val="20"/>
          <w:szCs w:val="20"/>
          <w:lang w:val="es-US"/>
        </w:rPr>
        <w:t>que</w:t>
      </w:r>
      <w:r w:rsidR="009E57A1" w:rsidRPr="00386E47">
        <w:rPr>
          <w:rFonts w:asciiTheme="majorHAnsi" w:eastAsia="Calibri" w:hAnsiTheme="majorHAnsi"/>
          <w:sz w:val="20"/>
          <w:szCs w:val="20"/>
          <w:lang w:val="es-US"/>
        </w:rPr>
        <w:t xml:space="preserve"> en la investigaci</w:t>
      </w:r>
      <w:r w:rsidR="00713782" w:rsidRPr="00386E47">
        <w:rPr>
          <w:rFonts w:asciiTheme="majorHAnsi" w:eastAsia="Calibri" w:hAnsiTheme="majorHAnsi"/>
          <w:sz w:val="20"/>
          <w:szCs w:val="20"/>
          <w:lang w:val="es-US"/>
        </w:rPr>
        <w:t>ó</w:t>
      </w:r>
      <w:r w:rsidR="009E57A1" w:rsidRPr="00386E47">
        <w:rPr>
          <w:rFonts w:asciiTheme="majorHAnsi" w:eastAsia="Calibri" w:hAnsiTheme="majorHAnsi"/>
          <w:sz w:val="20"/>
          <w:szCs w:val="20"/>
          <w:lang w:val="es-US"/>
        </w:rPr>
        <w:t>n</w:t>
      </w:r>
      <w:r w:rsidR="009F70EA" w:rsidRPr="00386E47">
        <w:rPr>
          <w:rFonts w:asciiTheme="majorHAnsi" w:eastAsia="Calibri" w:hAnsiTheme="majorHAnsi"/>
          <w:sz w:val="20"/>
          <w:szCs w:val="20"/>
          <w:lang w:val="es-US"/>
        </w:rPr>
        <w:t xml:space="preserve"> existe un gran cúmulo de información clasificada que no fue compartida </w:t>
      </w:r>
      <w:r w:rsidR="009E57A1" w:rsidRPr="00386E47">
        <w:rPr>
          <w:rFonts w:asciiTheme="majorHAnsi" w:eastAsia="Calibri" w:hAnsiTheme="majorHAnsi"/>
          <w:sz w:val="20"/>
          <w:szCs w:val="20"/>
          <w:lang w:val="es-US"/>
        </w:rPr>
        <w:t xml:space="preserve">con ellos sino hasta el año 2001, </w:t>
      </w:r>
      <w:r w:rsidR="00430A40" w:rsidRPr="00386E47">
        <w:rPr>
          <w:rFonts w:asciiTheme="majorHAnsi" w:eastAsia="Calibri" w:hAnsiTheme="majorHAnsi"/>
          <w:sz w:val="20"/>
          <w:szCs w:val="20"/>
          <w:lang w:val="es-US"/>
        </w:rPr>
        <w:t>mientras que</w:t>
      </w:r>
      <w:r w:rsidR="009E57A1" w:rsidRPr="00386E47">
        <w:rPr>
          <w:rFonts w:asciiTheme="majorHAnsi" w:eastAsia="Calibri" w:hAnsiTheme="majorHAnsi"/>
          <w:sz w:val="20"/>
          <w:szCs w:val="20"/>
          <w:lang w:val="es-US"/>
        </w:rPr>
        <w:t xml:space="preserve"> otra gran cantidad de documentos fue manteni</w:t>
      </w:r>
      <w:r w:rsidRPr="00386E47">
        <w:rPr>
          <w:rFonts w:asciiTheme="majorHAnsi" w:eastAsia="Calibri" w:hAnsiTheme="majorHAnsi"/>
          <w:sz w:val="20"/>
          <w:szCs w:val="20"/>
          <w:lang w:val="es-US"/>
        </w:rPr>
        <w:t>d</w:t>
      </w:r>
      <w:r w:rsidR="009E57A1" w:rsidRPr="00386E47">
        <w:rPr>
          <w:rFonts w:asciiTheme="majorHAnsi" w:eastAsia="Calibri" w:hAnsiTheme="majorHAnsi"/>
          <w:sz w:val="20"/>
          <w:szCs w:val="20"/>
          <w:lang w:val="es-US"/>
        </w:rPr>
        <w:t>a en secreto hasta el</w:t>
      </w:r>
      <w:r w:rsidR="009F70EA" w:rsidRPr="00386E47">
        <w:rPr>
          <w:rFonts w:asciiTheme="majorHAnsi" w:eastAsia="Calibri" w:hAnsiTheme="majorHAnsi"/>
          <w:sz w:val="20"/>
          <w:szCs w:val="20"/>
          <w:lang w:val="es-US"/>
        </w:rPr>
        <w:t xml:space="preserve"> año 2015. Señal</w:t>
      </w:r>
      <w:r w:rsidRPr="00386E47">
        <w:rPr>
          <w:rFonts w:asciiTheme="majorHAnsi" w:eastAsia="Calibri" w:hAnsiTheme="majorHAnsi"/>
          <w:sz w:val="20"/>
          <w:szCs w:val="20"/>
          <w:lang w:val="es-US"/>
        </w:rPr>
        <w:t>aron</w:t>
      </w:r>
      <w:r w:rsidR="009F70EA" w:rsidRPr="00386E47">
        <w:rPr>
          <w:rFonts w:asciiTheme="majorHAnsi" w:eastAsia="Calibri" w:hAnsiTheme="majorHAnsi"/>
          <w:sz w:val="20"/>
          <w:szCs w:val="20"/>
          <w:lang w:val="es-US"/>
        </w:rPr>
        <w:t xml:space="preserve"> que la información con la que se cuenta en la actualidad es tan abundante y compleja que, al no prestarse asesoría o guía a los querellantes para su comprensión, el Estado no está garantizando verdaderamente el pleno acceso y la capacidad de actuar de las víctimas. </w:t>
      </w:r>
      <w:r w:rsidR="00C3095B" w:rsidRPr="00386E47">
        <w:rPr>
          <w:rFonts w:asciiTheme="majorHAnsi" w:eastAsia="Calibri" w:hAnsiTheme="majorHAnsi"/>
          <w:sz w:val="20"/>
          <w:szCs w:val="20"/>
          <w:lang w:val="es-US"/>
        </w:rPr>
        <w:t>También</w:t>
      </w:r>
      <w:r w:rsidR="00430A40" w:rsidRPr="00386E47">
        <w:rPr>
          <w:rFonts w:asciiTheme="majorHAnsi" w:eastAsia="Calibri" w:hAnsiTheme="majorHAnsi"/>
          <w:sz w:val="20"/>
          <w:szCs w:val="20"/>
          <w:lang w:val="es-US"/>
        </w:rPr>
        <w:t xml:space="preserve"> denunciaron que</w:t>
      </w:r>
      <w:r w:rsidR="009F70EA" w:rsidRPr="00386E47">
        <w:rPr>
          <w:rFonts w:asciiTheme="majorHAnsi" w:eastAsia="Calibri" w:hAnsiTheme="majorHAnsi"/>
          <w:sz w:val="20"/>
          <w:szCs w:val="20"/>
          <w:lang w:val="es-US"/>
        </w:rPr>
        <w:t xml:space="preserve"> algunos archivos </w:t>
      </w:r>
      <w:r w:rsidR="00430A40" w:rsidRPr="00386E47">
        <w:rPr>
          <w:rFonts w:asciiTheme="majorHAnsi" w:eastAsia="Calibri" w:hAnsiTheme="majorHAnsi"/>
          <w:sz w:val="20"/>
          <w:szCs w:val="20"/>
          <w:lang w:val="es-US"/>
        </w:rPr>
        <w:t>estaban ubicados</w:t>
      </w:r>
      <w:r w:rsidR="009F70EA" w:rsidRPr="00386E47">
        <w:rPr>
          <w:rFonts w:asciiTheme="majorHAnsi" w:eastAsia="Calibri" w:hAnsiTheme="majorHAnsi"/>
          <w:sz w:val="20"/>
          <w:szCs w:val="20"/>
          <w:lang w:val="es-US"/>
        </w:rPr>
        <w:t xml:space="preserve"> en sitios sin ningún resguardo ni protección para evitar su daño con el paso del tiempo. Además, </w:t>
      </w:r>
      <w:r w:rsidRPr="00386E47">
        <w:rPr>
          <w:rFonts w:asciiTheme="majorHAnsi" w:eastAsia="Calibri" w:hAnsiTheme="majorHAnsi"/>
          <w:sz w:val="20"/>
          <w:szCs w:val="20"/>
          <w:lang w:val="es-US"/>
        </w:rPr>
        <w:t xml:space="preserve">indicaron que </w:t>
      </w:r>
      <w:r w:rsidR="009F70EA" w:rsidRPr="00386E47">
        <w:rPr>
          <w:rFonts w:asciiTheme="majorHAnsi" w:eastAsia="Calibri" w:hAnsiTheme="majorHAnsi"/>
          <w:sz w:val="20"/>
          <w:szCs w:val="20"/>
          <w:lang w:val="es-US"/>
        </w:rPr>
        <w:t>el Estado no ha emprendido acciones necesarias para que otros países compartan la información que</w:t>
      </w:r>
      <w:r w:rsidR="00430A40" w:rsidRPr="00386E47">
        <w:rPr>
          <w:rFonts w:asciiTheme="majorHAnsi" w:eastAsia="Calibri" w:hAnsiTheme="majorHAnsi"/>
          <w:sz w:val="20"/>
          <w:szCs w:val="20"/>
          <w:lang w:val="es-US"/>
        </w:rPr>
        <w:t xml:space="preserve"> posean</w:t>
      </w:r>
      <w:r w:rsidR="009F70EA" w:rsidRPr="00386E47">
        <w:rPr>
          <w:rFonts w:asciiTheme="majorHAnsi" w:eastAsia="Calibri" w:hAnsiTheme="majorHAnsi"/>
          <w:sz w:val="20"/>
          <w:szCs w:val="20"/>
          <w:lang w:val="es-US"/>
        </w:rPr>
        <w:t xml:space="preserve"> sobre el atentado. </w:t>
      </w:r>
    </w:p>
    <w:p w14:paraId="66ED7DF8" w14:textId="77777777" w:rsidR="00430A40" w:rsidRPr="00386E47" w:rsidRDefault="00430A40" w:rsidP="0084645E">
      <w:pPr>
        <w:tabs>
          <w:tab w:val="left" w:pos="567"/>
        </w:tabs>
        <w:jc w:val="both"/>
        <w:rPr>
          <w:rFonts w:asciiTheme="majorHAnsi" w:eastAsia="Calibri" w:hAnsiTheme="majorHAnsi" w:cs="Verdana"/>
          <w:bCs/>
          <w:sz w:val="20"/>
          <w:szCs w:val="20"/>
          <w:lang w:val="es-MX" w:bidi="en-US"/>
        </w:rPr>
      </w:pPr>
    </w:p>
    <w:p w14:paraId="4006824A" w14:textId="77777777" w:rsidR="00EB221C" w:rsidRPr="00386E47" w:rsidRDefault="00215F21" w:rsidP="003A5860">
      <w:pPr>
        <w:numPr>
          <w:ilvl w:val="0"/>
          <w:numId w:val="55"/>
        </w:numPr>
        <w:tabs>
          <w:tab w:val="left" w:pos="567"/>
        </w:tabs>
        <w:ind w:left="0" w:firstLine="0"/>
        <w:jc w:val="both"/>
        <w:rPr>
          <w:rFonts w:asciiTheme="majorHAnsi" w:eastAsia="Calibri" w:hAnsiTheme="majorHAnsi" w:cs="Verdana"/>
          <w:bCs/>
          <w:sz w:val="20"/>
          <w:szCs w:val="20"/>
          <w:lang w:val="es-MX" w:bidi="en-US"/>
        </w:rPr>
      </w:pPr>
      <w:r w:rsidRPr="00386E47">
        <w:rPr>
          <w:rFonts w:asciiTheme="majorHAnsi" w:eastAsia="Calibri" w:hAnsiTheme="majorHAnsi"/>
          <w:sz w:val="20"/>
          <w:szCs w:val="20"/>
          <w:lang w:val="es-MX" w:bidi="en-US"/>
        </w:rPr>
        <w:t>Los peticionarios indicaron que</w:t>
      </w:r>
      <w:r w:rsidR="005A7A71" w:rsidRPr="00386E47">
        <w:rPr>
          <w:rFonts w:asciiTheme="majorHAnsi" w:eastAsia="Calibri" w:hAnsiTheme="majorHAnsi"/>
          <w:sz w:val="20"/>
          <w:szCs w:val="20"/>
          <w:lang w:val="es-MX" w:bidi="en-US"/>
        </w:rPr>
        <w:t xml:space="preserve"> el Estado argentino </w:t>
      </w:r>
      <w:r w:rsidR="009F70EA" w:rsidRPr="00386E47">
        <w:rPr>
          <w:rFonts w:asciiTheme="majorHAnsi" w:eastAsia="Calibri" w:hAnsiTheme="majorHAnsi"/>
          <w:sz w:val="20"/>
          <w:szCs w:val="20"/>
          <w:lang w:val="es-MX" w:bidi="en-US"/>
        </w:rPr>
        <w:t xml:space="preserve">violó </w:t>
      </w:r>
      <w:r w:rsidRPr="00386E47">
        <w:rPr>
          <w:rFonts w:asciiTheme="majorHAnsi" w:eastAsia="Calibri" w:hAnsiTheme="majorHAnsi"/>
          <w:sz w:val="20"/>
          <w:szCs w:val="20"/>
          <w:lang w:val="es-MX" w:bidi="en-US"/>
        </w:rPr>
        <w:t xml:space="preserve">asimismo </w:t>
      </w:r>
      <w:r w:rsidR="009F70EA" w:rsidRPr="00386E47">
        <w:rPr>
          <w:rFonts w:asciiTheme="majorHAnsi" w:eastAsia="Calibri" w:hAnsiTheme="majorHAnsi"/>
          <w:sz w:val="20"/>
          <w:szCs w:val="20"/>
          <w:lang w:val="es-MX" w:bidi="en-US"/>
        </w:rPr>
        <w:t>el derecho a la integridad personal de los familiare</w:t>
      </w:r>
      <w:r w:rsidR="005A7A71" w:rsidRPr="00386E47">
        <w:rPr>
          <w:rFonts w:asciiTheme="majorHAnsi" w:eastAsia="Calibri" w:hAnsiTheme="majorHAnsi"/>
          <w:sz w:val="20"/>
          <w:szCs w:val="20"/>
          <w:lang w:val="es-MX" w:bidi="en-US"/>
        </w:rPr>
        <w:t xml:space="preserve">s de las víctimas del atentado tanto </w:t>
      </w:r>
      <w:r w:rsidR="009F70EA" w:rsidRPr="00386E47">
        <w:rPr>
          <w:rFonts w:asciiTheme="majorHAnsi" w:eastAsia="Calibri" w:hAnsiTheme="majorHAnsi"/>
          <w:sz w:val="20"/>
          <w:szCs w:val="20"/>
          <w:lang w:val="es-MX" w:bidi="en-US"/>
        </w:rPr>
        <w:t>por el sufrimiento que han padecido a causa de las circunstancias particulares de las violaciones perpet</w:t>
      </w:r>
      <w:r w:rsidR="005A7A71" w:rsidRPr="00386E47">
        <w:rPr>
          <w:rFonts w:asciiTheme="majorHAnsi" w:eastAsia="Calibri" w:hAnsiTheme="majorHAnsi"/>
          <w:sz w:val="20"/>
          <w:szCs w:val="20"/>
          <w:lang w:val="es-MX" w:bidi="en-US"/>
        </w:rPr>
        <w:t>radas contra sus seres queridos, como por</w:t>
      </w:r>
      <w:r w:rsidR="009F70EA" w:rsidRPr="00386E47">
        <w:rPr>
          <w:rFonts w:asciiTheme="majorHAnsi" w:eastAsia="Calibri" w:hAnsiTheme="majorHAnsi"/>
          <w:sz w:val="20"/>
          <w:szCs w:val="20"/>
          <w:lang w:val="es-MX" w:bidi="en-US"/>
        </w:rPr>
        <w:t xml:space="preserve"> el esfuerzo desplegado y las gestiones realizadas para obtener justicia. En particular </w:t>
      </w:r>
      <w:r w:rsidR="00C3095B" w:rsidRPr="00386E47">
        <w:rPr>
          <w:rFonts w:asciiTheme="majorHAnsi" w:eastAsia="Calibri" w:hAnsiTheme="majorHAnsi"/>
          <w:sz w:val="20"/>
          <w:szCs w:val="20"/>
          <w:lang w:val="es-MX" w:bidi="en-US"/>
        </w:rPr>
        <w:t>refirieron</w:t>
      </w:r>
      <w:r w:rsidR="009F70EA" w:rsidRPr="00386E47">
        <w:rPr>
          <w:rFonts w:asciiTheme="majorHAnsi" w:eastAsia="Calibri" w:hAnsiTheme="majorHAnsi"/>
          <w:sz w:val="20"/>
          <w:szCs w:val="20"/>
          <w:lang w:val="es-MX" w:bidi="en-US"/>
        </w:rPr>
        <w:t xml:space="preserve"> la lucha incansable que han desplegado por más de 25 años los familiares de las víctimas y la organización Memoria Activa en la búsqueda de verdad y justicia. </w:t>
      </w:r>
    </w:p>
    <w:p w14:paraId="54C119A3" w14:textId="77777777" w:rsidR="00430A40" w:rsidRPr="00386E47" w:rsidRDefault="00430A40" w:rsidP="0084645E">
      <w:pPr>
        <w:tabs>
          <w:tab w:val="left" w:pos="567"/>
        </w:tabs>
        <w:jc w:val="both"/>
        <w:rPr>
          <w:rFonts w:asciiTheme="majorHAnsi" w:eastAsia="Calibri" w:hAnsiTheme="majorHAnsi" w:cs="Verdana"/>
          <w:bCs/>
          <w:sz w:val="20"/>
          <w:szCs w:val="20"/>
          <w:lang w:val="es-MX" w:bidi="en-US"/>
        </w:rPr>
      </w:pPr>
    </w:p>
    <w:p w14:paraId="0F016A5E" w14:textId="77777777" w:rsidR="003C1E63" w:rsidRPr="00386E47" w:rsidRDefault="005A7A71" w:rsidP="003A5860">
      <w:pPr>
        <w:numPr>
          <w:ilvl w:val="0"/>
          <w:numId w:val="55"/>
        </w:numPr>
        <w:tabs>
          <w:tab w:val="left" w:pos="567"/>
        </w:tabs>
        <w:ind w:left="0" w:firstLine="0"/>
        <w:jc w:val="both"/>
        <w:rPr>
          <w:rFonts w:asciiTheme="majorHAnsi" w:hAnsiTheme="majorHAnsi"/>
          <w:sz w:val="20"/>
          <w:szCs w:val="20"/>
          <w:lang w:val="es-US"/>
        </w:rPr>
      </w:pPr>
      <w:r w:rsidRPr="00386E47">
        <w:rPr>
          <w:rFonts w:asciiTheme="majorHAnsi" w:hAnsiTheme="majorHAnsi"/>
          <w:sz w:val="20"/>
          <w:szCs w:val="20"/>
          <w:lang w:val="es-US"/>
        </w:rPr>
        <w:t>Finalmente, los peticionarios manifestaron</w:t>
      </w:r>
      <w:r w:rsidR="00215F21" w:rsidRPr="00386E47">
        <w:rPr>
          <w:rFonts w:asciiTheme="majorHAnsi" w:hAnsiTheme="majorHAnsi"/>
          <w:sz w:val="20"/>
          <w:szCs w:val="20"/>
          <w:lang w:val="es-US"/>
        </w:rPr>
        <w:t xml:space="preserve"> </w:t>
      </w:r>
      <w:r w:rsidR="00EB221C" w:rsidRPr="00386E47">
        <w:rPr>
          <w:rFonts w:asciiTheme="majorHAnsi" w:hAnsiTheme="majorHAnsi"/>
          <w:sz w:val="20"/>
          <w:szCs w:val="20"/>
          <w:lang w:val="es-US"/>
        </w:rPr>
        <w:t>que</w:t>
      </w:r>
      <w:r w:rsidR="00890900" w:rsidRPr="00386E47">
        <w:rPr>
          <w:rFonts w:asciiTheme="majorHAnsi" w:hAnsiTheme="majorHAnsi"/>
          <w:sz w:val="20"/>
          <w:szCs w:val="20"/>
          <w:lang w:val="es-US"/>
        </w:rPr>
        <w:t>, a pesar de</w:t>
      </w:r>
      <w:r w:rsidR="001F6E96" w:rsidRPr="00386E47">
        <w:rPr>
          <w:rFonts w:asciiTheme="majorHAnsi" w:hAnsiTheme="majorHAnsi"/>
          <w:sz w:val="20"/>
          <w:szCs w:val="20"/>
          <w:lang w:val="es-US"/>
        </w:rPr>
        <w:t xml:space="preserve"> su carácter de </w:t>
      </w:r>
      <w:r w:rsidR="000C5645" w:rsidRPr="00386E47">
        <w:rPr>
          <w:rFonts w:asciiTheme="majorHAnsi" w:hAnsiTheme="majorHAnsi"/>
          <w:sz w:val="20"/>
          <w:szCs w:val="20"/>
          <w:lang w:val="es-US"/>
        </w:rPr>
        <w:t xml:space="preserve">víctimas </w:t>
      </w:r>
      <w:r w:rsidR="001F6E96" w:rsidRPr="00386E47">
        <w:rPr>
          <w:rFonts w:asciiTheme="majorHAnsi" w:hAnsiTheme="majorHAnsi"/>
          <w:sz w:val="20"/>
          <w:szCs w:val="20"/>
          <w:lang w:val="es-US"/>
        </w:rPr>
        <w:t xml:space="preserve">del atentado </w:t>
      </w:r>
      <w:r w:rsidR="000C5645" w:rsidRPr="00386E47">
        <w:rPr>
          <w:rFonts w:asciiTheme="majorHAnsi" w:hAnsiTheme="majorHAnsi"/>
          <w:sz w:val="20"/>
          <w:szCs w:val="20"/>
          <w:lang w:val="es-US"/>
        </w:rPr>
        <w:t>y querellantes</w:t>
      </w:r>
      <w:r w:rsidR="001F6E96" w:rsidRPr="00386E47">
        <w:rPr>
          <w:rFonts w:asciiTheme="majorHAnsi" w:hAnsiTheme="majorHAnsi"/>
          <w:sz w:val="20"/>
          <w:szCs w:val="20"/>
          <w:lang w:val="es-US"/>
        </w:rPr>
        <w:t xml:space="preserve"> en la causa judicial</w:t>
      </w:r>
      <w:r w:rsidR="00890900" w:rsidRPr="00386E47">
        <w:rPr>
          <w:rFonts w:asciiTheme="majorHAnsi" w:hAnsiTheme="majorHAnsi"/>
          <w:sz w:val="20"/>
          <w:szCs w:val="20"/>
          <w:lang w:val="es-US"/>
        </w:rPr>
        <w:t>,</w:t>
      </w:r>
      <w:r w:rsidR="001F6E96" w:rsidRPr="00386E47">
        <w:rPr>
          <w:rFonts w:asciiTheme="majorHAnsi" w:hAnsiTheme="majorHAnsi"/>
          <w:sz w:val="20"/>
          <w:szCs w:val="20"/>
          <w:lang w:val="es-US"/>
        </w:rPr>
        <w:t xml:space="preserve"> </w:t>
      </w:r>
      <w:r w:rsidR="000C5645" w:rsidRPr="00386E47">
        <w:rPr>
          <w:rFonts w:asciiTheme="majorHAnsi" w:hAnsiTheme="majorHAnsi"/>
          <w:sz w:val="20"/>
          <w:szCs w:val="20"/>
          <w:lang w:val="es-US"/>
        </w:rPr>
        <w:t xml:space="preserve">no tienen la posibilidad de corroborar la información de inteligencia </w:t>
      </w:r>
      <w:r w:rsidR="001F6E96" w:rsidRPr="00386E47">
        <w:rPr>
          <w:rFonts w:asciiTheme="majorHAnsi" w:hAnsiTheme="majorHAnsi"/>
          <w:sz w:val="20"/>
          <w:szCs w:val="20"/>
          <w:lang w:val="es-US"/>
        </w:rPr>
        <w:t xml:space="preserve">incorporada a la </w:t>
      </w:r>
      <w:r w:rsidR="00C3095B" w:rsidRPr="00386E47">
        <w:rPr>
          <w:rFonts w:asciiTheme="majorHAnsi" w:hAnsiTheme="majorHAnsi"/>
          <w:sz w:val="20"/>
          <w:szCs w:val="20"/>
          <w:lang w:val="es-US"/>
        </w:rPr>
        <w:t>investigación</w:t>
      </w:r>
      <w:r w:rsidR="000C5645" w:rsidRPr="00386E47">
        <w:rPr>
          <w:rFonts w:asciiTheme="majorHAnsi" w:hAnsiTheme="majorHAnsi"/>
          <w:sz w:val="20"/>
          <w:szCs w:val="20"/>
          <w:lang w:val="es-US"/>
        </w:rPr>
        <w:t xml:space="preserve">. </w:t>
      </w:r>
      <w:r w:rsidRPr="00386E47">
        <w:rPr>
          <w:rFonts w:asciiTheme="majorHAnsi" w:hAnsiTheme="majorHAnsi"/>
          <w:sz w:val="20"/>
          <w:szCs w:val="20"/>
          <w:lang w:val="es-US"/>
        </w:rPr>
        <w:t>Señalaron</w:t>
      </w:r>
      <w:r w:rsidR="001F6E96" w:rsidRPr="00386E47">
        <w:rPr>
          <w:rFonts w:asciiTheme="majorHAnsi" w:hAnsiTheme="majorHAnsi"/>
          <w:sz w:val="20"/>
          <w:szCs w:val="20"/>
          <w:lang w:val="es-US"/>
        </w:rPr>
        <w:t xml:space="preserve"> </w:t>
      </w:r>
      <w:r w:rsidR="000C5645" w:rsidRPr="00386E47">
        <w:rPr>
          <w:rFonts w:asciiTheme="majorHAnsi" w:hAnsiTheme="majorHAnsi"/>
          <w:sz w:val="20"/>
          <w:szCs w:val="20"/>
          <w:lang w:val="es-US"/>
        </w:rPr>
        <w:t xml:space="preserve">que habría evidencia de que el Estado sabía o sospechaba que el atentado podía ocurrir, </w:t>
      </w:r>
      <w:r w:rsidR="001F6E96" w:rsidRPr="00386E47">
        <w:rPr>
          <w:rFonts w:asciiTheme="majorHAnsi" w:hAnsiTheme="majorHAnsi"/>
          <w:sz w:val="20"/>
          <w:szCs w:val="20"/>
          <w:lang w:val="es-US"/>
        </w:rPr>
        <w:t xml:space="preserve">como </w:t>
      </w:r>
      <w:r w:rsidR="00C3095B" w:rsidRPr="00386E47">
        <w:rPr>
          <w:rFonts w:asciiTheme="majorHAnsi" w:hAnsiTheme="majorHAnsi"/>
          <w:sz w:val="20"/>
          <w:szCs w:val="20"/>
          <w:lang w:val="es-US"/>
        </w:rPr>
        <w:t>también</w:t>
      </w:r>
      <w:r w:rsidR="001F6E96" w:rsidRPr="00386E47">
        <w:rPr>
          <w:rFonts w:asciiTheme="majorHAnsi" w:hAnsiTheme="majorHAnsi"/>
          <w:sz w:val="20"/>
          <w:szCs w:val="20"/>
          <w:lang w:val="es-US"/>
        </w:rPr>
        <w:t xml:space="preserve"> la </w:t>
      </w:r>
      <w:r w:rsidR="00C3095B" w:rsidRPr="00386E47">
        <w:rPr>
          <w:rFonts w:asciiTheme="majorHAnsi" w:hAnsiTheme="majorHAnsi"/>
          <w:sz w:val="20"/>
          <w:szCs w:val="20"/>
          <w:lang w:val="es-US"/>
        </w:rPr>
        <w:t>identidad</w:t>
      </w:r>
      <w:r w:rsidR="001F6E96" w:rsidRPr="00386E47">
        <w:rPr>
          <w:rFonts w:asciiTheme="majorHAnsi" w:hAnsiTheme="majorHAnsi"/>
          <w:sz w:val="20"/>
          <w:szCs w:val="20"/>
          <w:lang w:val="es-US"/>
        </w:rPr>
        <w:t xml:space="preserve"> de quienes organizaron y participaron en el atentado, pero que no se investigó seriamente, optando por encubrir los hechos. </w:t>
      </w:r>
    </w:p>
    <w:p w14:paraId="445A5E0E" w14:textId="77777777" w:rsidR="003C1E63" w:rsidRPr="00386E47" w:rsidRDefault="003C1E63" w:rsidP="00890900">
      <w:pPr>
        <w:tabs>
          <w:tab w:val="left" w:pos="567"/>
        </w:tabs>
        <w:jc w:val="both"/>
        <w:rPr>
          <w:rFonts w:asciiTheme="majorHAnsi" w:hAnsiTheme="majorHAnsi"/>
          <w:sz w:val="20"/>
          <w:szCs w:val="20"/>
          <w:lang w:val="es-US"/>
        </w:rPr>
      </w:pPr>
    </w:p>
    <w:p w14:paraId="59D72AFB" w14:textId="77777777" w:rsidR="00CA6ACF" w:rsidRPr="00386E47" w:rsidRDefault="00215F21" w:rsidP="003A5860">
      <w:pPr>
        <w:numPr>
          <w:ilvl w:val="0"/>
          <w:numId w:val="55"/>
        </w:numPr>
        <w:tabs>
          <w:tab w:val="left" w:pos="567"/>
        </w:tabs>
        <w:ind w:left="0" w:firstLine="0"/>
        <w:jc w:val="both"/>
        <w:rPr>
          <w:rFonts w:asciiTheme="majorHAnsi" w:hAnsiTheme="majorHAnsi"/>
          <w:sz w:val="20"/>
          <w:szCs w:val="20"/>
          <w:lang w:val="es-US"/>
        </w:rPr>
      </w:pPr>
      <w:r w:rsidRPr="00386E47">
        <w:rPr>
          <w:rFonts w:asciiTheme="majorHAnsi" w:hAnsiTheme="majorHAnsi"/>
          <w:sz w:val="20"/>
          <w:szCs w:val="20"/>
          <w:lang w:val="es-US"/>
        </w:rPr>
        <w:t>R</w:t>
      </w:r>
      <w:r w:rsidR="001F6E96" w:rsidRPr="00386E47">
        <w:rPr>
          <w:rFonts w:asciiTheme="majorHAnsi" w:hAnsiTheme="majorHAnsi"/>
          <w:sz w:val="20"/>
          <w:szCs w:val="20"/>
          <w:lang w:val="es-US"/>
        </w:rPr>
        <w:t>esaltaron</w:t>
      </w:r>
      <w:r w:rsidR="003A4943" w:rsidRPr="00386E47">
        <w:rPr>
          <w:rFonts w:asciiTheme="majorHAnsi" w:hAnsiTheme="majorHAnsi"/>
          <w:sz w:val="20"/>
          <w:szCs w:val="20"/>
          <w:lang w:val="es-US"/>
        </w:rPr>
        <w:t xml:space="preserve"> que la actuación de agentes de inteligencia como auxiliares de la justicia </w:t>
      </w:r>
      <w:r w:rsidR="001F6E96" w:rsidRPr="00386E47">
        <w:rPr>
          <w:rFonts w:asciiTheme="majorHAnsi" w:hAnsiTheme="majorHAnsi"/>
          <w:sz w:val="20"/>
          <w:szCs w:val="20"/>
          <w:lang w:val="es-US"/>
        </w:rPr>
        <w:t xml:space="preserve">merece especial </w:t>
      </w:r>
      <w:r w:rsidR="003A4943" w:rsidRPr="00386E47">
        <w:rPr>
          <w:rFonts w:asciiTheme="majorHAnsi" w:hAnsiTheme="majorHAnsi"/>
          <w:sz w:val="20"/>
          <w:szCs w:val="20"/>
          <w:lang w:val="es-US"/>
        </w:rPr>
        <w:t xml:space="preserve">atención porque </w:t>
      </w:r>
      <w:r w:rsidR="001F6E96" w:rsidRPr="00386E47">
        <w:rPr>
          <w:rFonts w:asciiTheme="majorHAnsi" w:hAnsiTheme="majorHAnsi"/>
          <w:sz w:val="20"/>
          <w:szCs w:val="20"/>
          <w:lang w:val="es-US"/>
        </w:rPr>
        <w:t>no fue sino hasta el momento en</w:t>
      </w:r>
      <w:r w:rsidR="003A4943" w:rsidRPr="00386E47">
        <w:rPr>
          <w:rFonts w:asciiTheme="majorHAnsi" w:hAnsiTheme="majorHAnsi"/>
          <w:sz w:val="20"/>
          <w:szCs w:val="20"/>
          <w:lang w:val="es-US"/>
        </w:rPr>
        <w:t xml:space="preserve"> que se levantó el secreto</w:t>
      </w:r>
      <w:r w:rsidR="001F6E96" w:rsidRPr="00386E47">
        <w:rPr>
          <w:rFonts w:asciiTheme="majorHAnsi" w:hAnsiTheme="majorHAnsi"/>
          <w:sz w:val="20"/>
          <w:szCs w:val="20"/>
          <w:lang w:val="es-US"/>
        </w:rPr>
        <w:t xml:space="preserve"> que </w:t>
      </w:r>
      <w:r w:rsidR="00C3095B" w:rsidRPr="00386E47">
        <w:rPr>
          <w:rFonts w:asciiTheme="majorHAnsi" w:hAnsiTheme="majorHAnsi"/>
          <w:sz w:val="20"/>
          <w:szCs w:val="20"/>
          <w:lang w:val="es-US"/>
        </w:rPr>
        <w:t>cubría</w:t>
      </w:r>
      <w:r w:rsidR="001F6E96" w:rsidRPr="00386E47">
        <w:rPr>
          <w:rFonts w:asciiTheme="majorHAnsi" w:hAnsiTheme="majorHAnsi"/>
          <w:sz w:val="20"/>
          <w:szCs w:val="20"/>
          <w:lang w:val="es-US"/>
        </w:rPr>
        <w:t xml:space="preserve"> sus actividades </w:t>
      </w:r>
      <w:r w:rsidR="00CA6ACF" w:rsidRPr="00386E47">
        <w:rPr>
          <w:rFonts w:asciiTheme="majorHAnsi" w:hAnsiTheme="majorHAnsi"/>
          <w:sz w:val="20"/>
          <w:szCs w:val="20"/>
          <w:lang w:val="es-US"/>
        </w:rPr>
        <w:t>que se conocieron las maniobras de encubrimiento que explican el estado de impunidad en el que se encuentra la investigación.</w:t>
      </w:r>
    </w:p>
    <w:p w14:paraId="2E98CE9A" w14:textId="77777777" w:rsidR="001F6E96" w:rsidRPr="00386E47" w:rsidRDefault="001F6E96" w:rsidP="0084645E">
      <w:pPr>
        <w:tabs>
          <w:tab w:val="left" w:pos="567"/>
        </w:tabs>
        <w:jc w:val="both"/>
        <w:rPr>
          <w:rFonts w:asciiTheme="majorHAnsi" w:hAnsiTheme="majorHAnsi"/>
          <w:sz w:val="20"/>
          <w:szCs w:val="20"/>
          <w:lang w:val="es-US"/>
        </w:rPr>
      </w:pPr>
    </w:p>
    <w:p w14:paraId="373AC79B" w14:textId="77777777" w:rsidR="004868C9" w:rsidRPr="00386E47" w:rsidRDefault="00215F21" w:rsidP="003A5860">
      <w:pPr>
        <w:numPr>
          <w:ilvl w:val="0"/>
          <w:numId w:val="55"/>
        </w:numPr>
        <w:tabs>
          <w:tab w:val="left" w:pos="567"/>
        </w:tabs>
        <w:ind w:left="0" w:firstLine="0"/>
        <w:jc w:val="both"/>
        <w:rPr>
          <w:rFonts w:asciiTheme="majorHAnsi" w:hAnsiTheme="majorHAnsi"/>
          <w:sz w:val="20"/>
          <w:szCs w:val="20"/>
          <w:lang w:val="es-US"/>
        </w:rPr>
      </w:pPr>
      <w:r w:rsidRPr="00386E47">
        <w:rPr>
          <w:rFonts w:asciiTheme="majorHAnsi" w:hAnsiTheme="majorHAnsi"/>
          <w:sz w:val="20"/>
          <w:szCs w:val="20"/>
          <w:lang w:val="es-US"/>
        </w:rPr>
        <w:t>L</w:t>
      </w:r>
      <w:r w:rsidR="00CA6ACF" w:rsidRPr="00386E47">
        <w:rPr>
          <w:rFonts w:asciiTheme="majorHAnsi" w:hAnsiTheme="majorHAnsi"/>
          <w:sz w:val="20"/>
          <w:szCs w:val="20"/>
          <w:lang w:val="es-US"/>
        </w:rPr>
        <w:t xml:space="preserve">os peticionarios </w:t>
      </w:r>
      <w:r w:rsidRPr="00386E47">
        <w:rPr>
          <w:rFonts w:asciiTheme="majorHAnsi" w:hAnsiTheme="majorHAnsi"/>
          <w:sz w:val="20"/>
          <w:szCs w:val="20"/>
          <w:lang w:val="es-US"/>
        </w:rPr>
        <w:t>solicitaron a la Comisión</w:t>
      </w:r>
      <w:r w:rsidR="004868C9" w:rsidRPr="00386E47">
        <w:rPr>
          <w:rFonts w:asciiTheme="majorHAnsi" w:hAnsiTheme="majorHAnsi"/>
          <w:sz w:val="20"/>
          <w:szCs w:val="20"/>
          <w:lang w:val="es-US"/>
        </w:rPr>
        <w:t xml:space="preserve"> abordar el caso como una grave violación a los derechos humanos. </w:t>
      </w:r>
      <w:r w:rsidR="001F6E96" w:rsidRPr="00386E47">
        <w:rPr>
          <w:rFonts w:asciiTheme="majorHAnsi" w:hAnsiTheme="majorHAnsi"/>
          <w:sz w:val="20"/>
          <w:szCs w:val="20"/>
          <w:lang w:val="es-US"/>
        </w:rPr>
        <w:t>Igualmente, solicitaron</w:t>
      </w:r>
      <w:r w:rsidR="00CA6ACF" w:rsidRPr="00386E47">
        <w:rPr>
          <w:rFonts w:asciiTheme="majorHAnsi" w:hAnsiTheme="majorHAnsi"/>
          <w:sz w:val="20"/>
          <w:szCs w:val="20"/>
          <w:lang w:val="es-US"/>
        </w:rPr>
        <w:t xml:space="preserve"> que </w:t>
      </w:r>
      <w:r w:rsidRPr="00386E47">
        <w:rPr>
          <w:rFonts w:asciiTheme="majorHAnsi" w:hAnsiTheme="majorHAnsi"/>
          <w:sz w:val="20"/>
          <w:szCs w:val="20"/>
          <w:lang w:val="es-US"/>
        </w:rPr>
        <w:t xml:space="preserve">se </w:t>
      </w:r>
      <w:r w:rsidR="00CA6ACF" w:rsidRPr="00386E47">
        <w:rPr>
          <w:rFonts w:asciiTheme="majorHAnsi" w:hAnsiTheme="majorHAnsi"/>
          <w:sz w:val="20"/>
          <w:szCs w:val="20"/>
          <w:lang w:val="es-US"/>
        </w:rPr>
        <w:t>recomiende al Estado la adopción de una serie de acciones</w:t>
      </w:r>
      <w:r w:rsidR="004868C9" w:rsidRPr="00386E47">
        <w:rPr>
          <w:rFonts w:asciiTheme="majorHAnsi" w:hAnsiTheme="majorHAnsi"/>
          <w:sz w:val="20"/>
          <w:szCs w:val="20"/>
          <w:lang w:val="es-US"/>
        </w:rPr>
        <w:t xml:space="preserve"> </w:t>
      </w:r>
      <w:r w:rsidR="00CA6ACF" w:rsidRPr="00386E47">
        <w:rPr>
          <w:rFonts w:asciiTheme="majorHAnsi" w:hAnsiTheme="majorHAnsi"/>
          <w:sz w:val="20"/>
          <w:szCs w:val="20"/>
          <w:lang w:val="es-US"/>
        </w:rPr>
        <w:t>destinadas a garantizar una adecuada</w:t>
      </w:r>
      <w:r w:rsidR="004868C9" w:rsidRPr="00386E47">
        <w:rPr>
          <w:rFonts w:asciiTheme="majorHAnsi" w:hAnsiTheme="majorHAnsi"/>
          <w:sz w:val="20"/>
          <w:szCs w:val="20"/>
          <w:lang w:val="es-US"/>
        </w:rPr>
        <w:t xml:space="preserve"> reparación de las víctimas</w:t>
      </w:r>
      <w:r w:rsidR="001F6E96" w:rsidRPr="00386E47">
        <w:rPr>
          <w:rFonts w:asciiTheme="majorHAnsi" w:hAnsiTheme="majorHAnsi"/>
          <w:sz w:val="20"/>
          <w:szCs w:val="20"/>
          <w:lang w:val="es-US"/>
        </w:rPr>
        <w:t xml:space="preserve"> y</w:t>
      </w:r>
      <w:r w:rsidR="00CA6ACF" w:rsidRPr="00386E47">
        <w:rPr>
          <w:rFonts w:asciiTheme="majorHAnsi" w:hAnsiTheme="majorHAnsi"/>
          <w:sz w:val="20"/>
          <w:szCs w:val="20"/>
          <w:lang w:val="es-US"/>
        </w:rPr>
        <w:t xml:space="preserve"> otras</w:t>
      </w:r>
      <w:r w:rsidR="001F6E96" w:rsidRPr="00386E47">
        <w:rPr>
          <w:rFonts w:asciiTheme="majorHAnsi" w:hAnsiTheme="majorHAnsi"/>
          <w:sz w:val="20"/>
          <w:szCs w:val="20"/>
          <w:lang w:val="es-US"/>
        </w:rPr>
        <w:t xml:space="preserve"> diversas medidas de no </w:t>
      </w:r>
      <w:r w:rsidR="00C3095B" w:rsidRPr="00386E47">
        <w:rPr>
          <w:rFonts w:asciiTheme="majorHAnsi" w:hAnsiTheme="majorHAnsi"/>
          <w:sz w:val="20"/>
          <w:szCs w:val="20"/>
          <w:lang w:val="es-US"/>
        </w:rPr>
        <w:t>repetición</w:t>
      </w:r>
      <w:r w:rsidR="00CA6ACF" w:rsidRPr="00386E47">
        <w:rPr>
          <w:rFonts w:asciiTheme="majorHAnsi" w:hAnsiTheme="majorHAnsi"/>
          <w:sz w:val="20"/>
          <w:szCs w:val="20"/>
          <w:lang w:val="es-US"/>
        </w:rPr>
        <w:t xml:space="preserve">, como </w:t>
      </w:r>
      <w:r w:rsidR="00C3095B" w:rsidRPr="00386E47">
        <w:rPr>
          <w:rFonts w:asciiTheme="majorHAnsi" w:hAnsiTheme="majorHAnsi"/>
          <w:sz w:val="20"/>
          <w:szCs w:val="20"/>
          <w:lang w:val="es-US"/>
        </w:rPr>
        <w:t>así</w:t>
      </w:r>
      <w:r w:rsidR="00CA6ACF" w:rsidRPr="00386E47">
        <w:rPr>
          <w:rFonts w:asciiTheme="majorHAnsi" w:hAnsiTheme="majorHAnsi"/>
          <w:sz w:val="20"/>
          <w:szCs w:val="20"/>
          <w:lang w:val="es-US"/>
        </w:rPr>
        <w:t xml:space="preserve"> </w:t>
      </w:r>
      <w:r w:rsidR="00C3095B" w:rsidRPr="00386E47">
        <w:rPr>
          <w:rFonts w:asciiTheme="majorHAnsi" w:hAnsiTheme="majorHAnsi"/>
          <w:sz w:val="20"/>
          <w:szCs w:val="20"/>
          <w:lang w:val="es-US"/>
        </w:rPr>
        <w:t>también</w:t>
      </w:r>
      <w:r w:rsidR="00CA6ACF" w:rsidRPr="00386E47">
        <w:rPr>
          <w:rFonts w:asciiTheme="majorHAnsi" w:hAnsiTheme="majorHAnsi"/>
          <w:sz w:val="20"/>
          <w:szCs w:val="20"/>
          <w:lang w:val="es-US"/>
        </w:rPr>
        <w:t xml:space="preserve"> diversas acciones cuyo objeto sea el de </w:t>
      </w:r>
      <w:r w:rsidR="001F6E96" w:rsidRPr="00386E47">
        <w:rPr>
          <w:rFonts w:asciiTheme="majorHAnsi" w:hAnsiTheme="majorHAnsi"/>
          <w:sz w:val="20"/>
          <w:szCs w:val="20"/>
          <w:lang w:val="es-US"/>
        </w:rPr>
        <w:t>garantizar</w:t>
      </w:r>
      <w:r w:rsidR="004868C9" w:rsidRPr="00386E47">
        <w:rPr>
          <w:rFonts w:asciiTheme="majorHAnsi" w:hAnsiTheme="majorHAnsi"/>
          <w:sz w:val="20"/>
          <w:szCs w:val="20"/>
          <w:lang w:val="es-US"/>
        </w:rPr>
        <w:t xml:space="preserve"> el derecho a la verdad para s</w:t>
      </w:r>
      <w:r w:rsidR="001F6E96" w:rsidRPr="00386E47">
        <w:rPr>
          <w:rFonts w:asciiTheme="majorHAnsi" w:hAnsiTheme="majorHAnsi"/>
          <w:sz w:val="20"/>
          <w:szCs w:val="20"/>
          <w:lang w:val="es-US"/>
        </w:rPr>
        <w:t xml:space="preserve">ostener la memoria colectiva sobre lo acontecido. </w:t>
      </w:r>
    </w:p>
    <w:p w14:paraId="65086118" w14:textId="77777777" w:rsidR="001F6E96" w:rsidRPr="00386E47" w:rsidRDefault="001F6E96" w:rsidP="0084645E">
      <w:pPr>
        <w:tabs>
          <w:tab w:val="left" w:pos="567"/>
        </w:tabs>
        <w:jc w:val="both"/>
        <w:rPr>
          <w:rFonts w:asciiTheme="majorHAnsi" w:hAnsiTheme="majorHAnsi"/>
          <w:sz w:val="20"/>
          <w:szCs w:val="20"/>
          <w:lang w:val="es-US"/>
        </w:rPr>
      </w:pPr>
    </w:p>
    <w:p w14:paraId="0D81C31E" w14:textId="77777777" w:rsidR="009F70EA" w:rsidRPr="00386E47" w:rsidRDefault="00CA6ACF" w:rsidP="003A5860">
      <w:pPr>
        <w:numPr>
          <w:ilvl w:val="0"/>
          <w:numId w:val="55"/>
        </w:numPr>
        <w:tabs>
          <w:tab w:val="left" w:pos="567"/>
        </w:tabs>
        <w:ind w:left="0" w:firstLine="0"/>
        <w:jc w:val="both"/>
        <w:rPr>
          <w:rFonts w:asciiTheme="majorHAnsi" w:eastAsia="Calibri" w:hAnsiTheme="majorHAnsi"/>
          <w:sz w:val="20"/>
          <w:szCs w:val="20"/>
          <w:lang w:val="es-MX" w:bidi="en-US"/>
        </w:rPr>
      </w:pPr>
      <w:r w:rsidRPr="00386E47">
        <w:rPr>
          <w:rFonts w:asciiTheme="majorHAnsi" w:eastAsia="Calibri" w:hAnsiTheme="majorHAnsi"/>
          <w:sz w:val="20"/>
          <w:szCs w:val="20"/>
          <w:lang w:val="es-MX" w:bidi="en-US"/>
        </w:rPr>
        <w:t>En virtud de todo lo expresado</w:t>
      </w:r>
      <w:r w:rsidR="009F70EA" w:rsidRPr="00386E47">
        <w:rPr>
          <w:rFonts w:asciiTheme="majorHAnsi" w:eastAsia="Calibri" w:hAnsiTheme="majorHAnsi"/>
          <w:sz w:val="20"/>
          <w:szCs w:val="20"/>
          <w:lang w:val="es-MX" w:bidi="en-US"/>
        </w:rPr>
        <w:t xml:space="preserve">, </w:t>
      </w:r>
      <w:r w:rsidR="00215F21" w:rsidRPr="00386E47">
        <w:rPr>
          <w:rFonts w:asciiTheme="majorHAnsi" w:eastAsia="Calibri" w:hAnsiTheme="majorHAnsi"/>
          <w:sz w:val="20"/>
          <w:szCs w:val="20"/>
          <w:lang w:val="es-MX" w:bidi="en-US"/>
        </w:rPr>
        <w:t xml:space="preserve">los peticionarios </w:t>
      </w:r>
      <w:r w:rsidR="006928A0" w:rsidRPr="00386E47">
        <w:rPr>
          <w:rFonts w:asciiTheme="majorHAnsi" w:eastAsia="Calibri" w:hAnsiTheme="majorHAnsi"/>
          <w:sz w:val="20"/>
          <w:szCs w:val="20"/>
          <w:lang w:val="es-MX" w:bidi="en-US"/>
        </w:rPr>
        <w:t xml:space="preserve">solicitaron </w:t>
      </w:r>
      <w:r w:rsidR="00215F21" w:rsidRPr="00386E47">
        <w:rPr>
          <w:rFonts w:asciiTheme="majorHAnsi" w:eastAsia="Calibri" w:hAnsiTheme="majorHAnsi"/>
          <w:sz w:val="20"/>
          <w:szCs w:val="20"/>
          <w:lang w:val="es-MX" w:bidi="en-US"/>
        </w:rPr>
        <w:t>a la Comisión</w:t>
      </w:r>
      <w:r w:rsidR="009F70EA" w:rsidRPr="00386E47">
        <w:rPr>
          <w:rFonts w:asciiTheme="majorHAnsi" w:eastAsia="Calibri" w:hAnsiTheme="majorHAnsi"/>
          <w:sz w:val="20"/>
          <w:szCs w:val="20"/>
          <w:lang w:val="es-MX" w:bidi="en-US"/>
        </w:rPr>
        <w:t xml:space="preserve"> que </w:t>
      </w:r>
      <w:r w:rsidR="00215F21" w:rsidRPr="00386E47">
        <w:rPr>
          <w:rFonts w:asciiTheme="majorHAnsi" w:eastAsia="Calibri" w:hAnsiTheme="majorHAnsi"/>
          <w:sz w:val="20"/>
          <w:szCs w:val="20"/>
          <w:lang w:val="es-MX" w:bidi="en-US"/>
        </w:rPr>
        <w:t xml:space="preserve">declare que </w:t>
      </w:r>
      <w:r w:rsidR="00E80709" w:rsidRPr="00386E47">
        <w:rPr>
          <w:rFonts w:asciiTheme="majorHAnsi" w:eastAsia="Calibri" w:hAnsiTheme="majorHAnsi"/>
          <w:sz w:val="20"/>
          <w:szCs w:val="20"/>
          <w:lang w:val="es-MX" w:bidi="en-US"/>
        </w:rPr>
        <w:t xml:space="preserve">la responsabilidad internacional del Estado argentino </w:t>
      </w:r>
      <w:r w:rsidR="009F70EA" w:rsidRPr="00386E47">
        <w:rPr>
          <w:rFonts w:asciiTheme="majorHAnsi" w:eastAsia="Calibri" w:hAnsiTheme="majorHAnsi"/>
          <w:sz w:val="20"/>
          <w:szCs w:val="20"/>
          <w:lang w:val="es-MX" w:bidi="en-US"/>
        </w:rPr>
        <w:t>por la violación de los derechos garantizados en los artículos 4, 5, 8, 13 y 25 de la Convención, en relación con los artículos 1.1 y 2 del mismo instrumento.</w:t>
      </w:r>
      <w:bookmarkStart w:id="8" w:name="_Toc25252203"/>
    </w:p>
    <w:p w14:paraId="462710DE" w14:textId="77777777" w:rsidR="00CA6ACF" w:rsidRPr="00386E47" w:rsidRDefault="00CA6ACF" w:rsidP="00CA6ACF">
      <w:pPr>
        <w:tabs>
          <w:tab w:val="left" w:pos="567"/>
        </w:tabs>
        <w:jc w:val="both"/>
        <w:rPr>
          <w:rFonts w:asciiTheme="majorHAnsi" w:eastAsia="Calibri" w:hAnsiTheme="majorHAnsi"/>
          <w:sz w:val="20"/>
          <w:szCs w:val="20"/>
          <w:lang w:val="es-MX" w:bidi="en-US"/>
        </w:rPr>
      </w:pPr>
    </w:p>
    <w:p w14:paraId="63BEEC9D" w14:textId="77777777" w:rsidR="009F70EA" w:rsidRPr="00386E47" w:rsidRDefault="0060659B" w:rsidP="009146F2">
      <w:pPr>
        <w:pStyle w:val="Heading2"/>
        <w:numPr>
          <w:ilvl w:val="0"/>
          <w:numId w:val="64"/>
        </w:numPr>
        <w:rPr>
          <w:rFonts w:asciiTheme="majorHAnsi" w:hAnsiTheme="majorHAnsi"/>
        </w:rPr>
      </w:pPr>
      <w:bookmarkStart w:id="9" w:name="_Toc51252184"/>
      <w:r w:rsidRPr="00386E47">
        <w:rPr>
          <w:rFonts w:asciiTheme="majorHAnsi" w:hAnsiTheme="majorHAnsi"/>
        </w:rPr>
        <w:t xml:space="preserve">El </w:t>
      </w:r>
      <w:r w:rsidR="009F70EA" w:rsidRPr="00386E47">
        <w:rPr>
          <w:rFonts w:asciiTheme="majorHAnsi" w:hAnsiTheme="majorHAnsi"/>
        </w:rPr>
        <w:t>Estado</w:t>
      </w:r>
      <w:bookmarkEnd w:id="8"/>
      <w:r w:rsidRPr="00386E47">
        <w:rPr>
          <w:rFonts w:asciiTheme="majorHAnsi" w:hAnsiTheme="majorHAnsi"/>
        </w:rPr>
        <w:t xml:space="preserve"> argentino</w:t>
      </w:r>
      <w:bookmarkEnd w:id="9"/>
      <w:r w:rsidR="009F70EA" w:rsidRPr="00386E47">
        <w:rPr>
          <w:rFonts w:asciiTheme="majorHAnsi" w:hAnsiTheme="majorHAnsi"/>
        </w:rPr>
        <w:t xml:space="preserve"> </w:t>
      </w:r>
    </w:p>
    <w:p w14:paraId="2E882651" w14:textId="77777777" w:rsidR="009F70EA" w:rsidRPr="00386E47" w:rsidRDefault="009F70EA" w:rsidP="009F70EA">
      <w:pPr>
        <w:spacing w:after="160" w:line="259" w:lineRule="auto"/>
        <w:ind w:left="720"/>
        <w:contextualSpacing/>
        <w:jc w:val="both"/>
        <w:rPr>
          <w:rFonts w:asciiTheme="majorHAnsi" w:eastAsia="Calibri" w:hAnsiTheme="majorHAnsi"/>
          <w:sz w:val="20"/>
          <w:szCs w:val="20"/>
          <w:lang w:val="es-US"/>
        </w:rPr>
      </w:pPr>
    </w:p>
    <w:p w14:paraId="3832BEC1" w14:textId="77777777" w:rsidR="00430A40" w:rsidRPr="00386E47" w:rsidRDefault="009F70EA" w:rsidP="003A5860">
      <w:pPr>
        <w:numPr>
          <w:ilvl w:val="0"/>
          <w:numId w:val="55"/>
        </w:numPr>
        <w:tabs>
          <w:tab w:val="left" w:pos="567"/>
        </w:tabs>
        <w:ind w:left="0" w:firstLine="0"/>
        <w:jc w:val="both"/>
        <w:rPr>
          <w:rFonts w:asciiTheme="majorHAnsi" w:eastAsia="Calibri" w:hAnsiTheme="majorHAnsi"/>
          <w:color w:val="000000"/>
          <w:sz w:val="20"/>
          <w:szCs w:val="20"/>
          <w:lang w:val="es-US"/>
        </w:rPr>
      </w:pPr>
      <w:r w:rsidRPr="00386E47">
        <w:rPr>
          <w:rFonts w:asciiTheme="majorHAnsi" w:eastAsia="Calibri" w:hAnsiTheme="majorHAnsi"/>
          <w:sz w:val="20"/>
          <w:szCs w:val="20"/>
          <w:lang w:val="es-US"/>
        </w:rPr>
        <w:t>Durante la tramitación del caso ante la Comisión, el Estado argentino reconoció su responsabilidad internaciona</w:t>
      </w:r>
      <w:r w:rsidR="00430A40" w:rsidRPr="00386E47">
        <w:rPr>
          <w:rFonts w:asciiTheme="majorHAnsi" w:eastAsia="Calibri" w:hAnsiTheme="majorHAnsi"/>
          <w:sz w:val="20"/>
          <w:szCs w:val="20"/>
          <w:lang w:val="es-US"/>
        </w:rPr>
        <w:t xml:space="preserve">l por las violaciones alegadas y ratificó su </w:t>
      </w:r>
      <w:r w:rsidR="00C3095B" w:rsidRPr="00386E47">
        <w:rPr>
          <w:rFonts w:asciiTheme="majorHAnsi" w:eastAsia="Calibri" w:hAnsiTheme="majorHAnsi"/>
          <w:sz w:val="20"/>
          <w:szCs w:val="20"/>
          <w:lang w:val="es-US"/>
        </w:rPr>
        <w:t>posición</w:t>
      </w:r>
      <w:r w:rsidR="00430A40" w:rsidRPr="00386E47">
        <w:rPr>
          <w:rFonts w:asciiTheme="majorHAnsi" w:eastAsia="Calibri" w:hAnsiTheme="majorHAnsi"/>
          <w:sz w:val="20"/>
          <w:szCs w:val="20"/>
          <w:lang w:val="es-US"/>
        </w:rPr>
        <w:t xml:space="preserve"> </w:t>
      </w:r>
      <w:r w:rsidR="00C13F8D" w:rsidRPr="00386E47">
        <w:rPr>
          <w:rFonts w:asciiTheme="majorHAnsi" w:eastAsia="Calibri" w:hAnsiTheme="majorHAnsi"/>
          <w:sz w:val="20"/>
          <w:szCs w:val="20"/>
          <w:lang w:val="es-US"/>
        </w:rPr>
        <w:t>a través de</w:t>
      </w:r>
      <w:r w:rsidR="00430A40" w:rsidRPr="00386E47">
        <w:rPr>
          <w:rFonts w:asciiTheme="majorHAnsi" w:eastAsia="Calibri" w:hAnsiTheme="majorHAnsi"/>
          <w:sz w:val="20"/>
          <w:szCs w:val="20"/>
          <w:lang w:val="es-US"/>
        </w:rPr>
        <w:t xml:space="preserve"> la </w:t>
      </w:r>
      <w:r w:rsidR="005634D2" w:rsidRPr="00386E47">
        <w:rPr>
          <w:rFonts w:asciiTheme="majorHAnsi" w:eastAsia="Calibri" w:hAnsiTheme="majorHAnsi"/>
          <w:sz w:val="20"/>
          <w:szCs w:val="20"/>
          <w:lang w:val="es-US"/>
        </w:rPr>
        <w:t>sanción</w:t>
      </w:r>
      <w:r w:rsidR="00430A40" w:rsidRPr="00386E47">
        <w:rPr>
          <w:rFonts w:asciiTheme="majorHAnsi" w:eastAsia="Calibri" w:hAnsiTheme="majorHAnsi"/>
          <w:sz w:val="20"/>
          <w:szCs w:val="20"/>
          <w:lang w:val="es-US"/>
        </w:rPr>
        <w:t xml:space="preserve"> del </w:t>
      </w:r>
      <w:r w:rsidR="005634D2" w:rsidRPr="00386E47">
        <w:rPr>
          <w:rFonts w:asciiTheme="majorHAnsi" w:eastAsia="Calibri" w:hAnsiTheme="majorHAnsi"/>
          <w:sz w:val="20"/>
          <w:szCs w:val="20"/>
          <w:lang w:val="es-US"/>
        </w:rPr>
        <w:t>Decreto 812</w:t>
      </w:r>
      <w:r w:rsidR="00430A40" w:rsidRPr="00386E47">
        <w:rPr>
          <w:rFonts w:asciiTheme="majorHAnsi" w:eastAsia="Calibri" w:hAnsiTheme="majorHAnsi"/>
          <w:sz w:val="20"/>
          <w:szCs w:val="20"/>
          <w:lang w:val="es-US"/>
        </w:rPr>
        <w:t>/</w:t>
      </w:r>
      <w:r w:rsidRPr="00386E47">
        <w:rPr>
          <w:rFonts w:asciiTheme="majorHAnsi" w:eastAsia="Calibri" w:hAnsiTheme="majorHAnsi"/>
          <w:sz w:val="20"/>
          <w:szCs w:val="20"/>
          <w:lang w:val="es-US"/>
        </w:rPr>
        <w:t xml:space="preserve">05. </w:t>
      </w:r>
      <w:r w:rsidR="00430A40" w:rsidRPr="00386E47">
        <w:rPr>
          <w:rFonts w:asciiTheme="majorHAnsi" w:eastAsia="Calibri" w:hAnsiTheme="majorHAnsi"/>
          <w:sz w:val="20"/>
          <w:szCs w:val="20"/>
          <w:lang w:val="es-US"/>
        </w:rPr>
        <w:t xml:space="preserve">Dicha </w:t>
      </w:r>
      <w:r w:rsidR="00430A40" w:rsidRPr="00386E47">
        <w:rPr>
          <w:rFonts w:asciiTheme="majorHAnsi" w:eastAsia="Calibri" w:hAnsiTheme="majorHAnsi"/>
          <w:sz w:val="20"/>
          <w:szCs w:val="20"/>
          <w:lang w:val="es-US"/>
        </w:rPr>
        <w:lastRenderedPageBreak/>
        <w:t xml:space="preserve">norma </w:t>
      </w:r>
      <w:r w:rsidRPr="00386E47">
        <w:rPr>
          <w:rFonts w:asciiTheme="majorHAnsi" w:eastAsia="Calibri" w:hAnsiTheme="majorHAnsi"/>
          <w:sz w:val="20"/>
          <w:szCs w:val="20"/>
          <w:lang w:val="es-US"/>
        </w:rPr>
        <w:t xml:space="preserve">indica expresamente que Argentina reconoce su responsabilidad por las violaciones </w:t>
      </w:r>
      <w:r w:rsidRPr="00386E47">
        <w:rPr>
          <w:rFonts w:asciiTheme="majorHAnsi" w:eastAsia="Calibri" w:hAnsiTheme="majorHAnsi"/>
          <w:color w:val="000000"/>
          <w:sz w:val="20"/>
          <w:szCs w:val="20"/>
          <w:lang w:val="es-VE"/>
        </w:rPr>
        <w:t>del derecho a la vida, a la integridad física, a las garantías judiciales y a la protección judicial y al deber de garantía del artículo 1(1) de la Convención</w:t>
      </w:r>
      <w:r w:rsidR="00430A40" w:rsidRPr="00386E47">
        <w:rPr>
          <w:rFonts w:asciiTheme="majorHAnsi" w:eastAsia="Calibri" w:hAnsiTheme="majorHAnsi"/>
          <w:sz w:val="20"/>
          <w:szCs w:val="20"/>
          <w:lang w:val="es-US"/>
        </w:rPr>
        <w:t xml:space="preserve">. </w:t>
      </w:r>
    </w:p>
    <w:p w14:paraId="0DCCB6FA" w14:textId="77777777" w:rsidR="00430A40" w:rsidRPr="00386E47" w:rsidRDefault="00430A40" w:rsidP="00E552C5">
      <w:pPr>
        <w:jc w:val="both"/>
        <w:rPr>
          <w:rFonts w:asciiTheme="majorHAnsi" w:eastAsia="Calibri" w:hAnsiTheme="majorHAnsi"/>
          <w:color w:val="000000"/>
          <w:sz w:val="20"/>
          <w:szCs w:val="20"/>
          <w:lang w:val="es-US"/>
        </w:rPr>
      </w:pPr>
    </w:p>
    <w:p w14:paraId="01944587" w14:textId="77777777" w:rsidR="009F70EA" w:rsidRPr="00386E47" w:rsidRDefault="009F70EA"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 xml:space="preserve">En atención a su reconocimiento de responsabilidad, el Estado </w:t>
      </w:r>
      <w:r w:rsidR="00430A40" w:rsidRPr="00386E47">
        <w:rPr>
          <w:rFonts w:asciiTheme="majorHAnsi" w:eastAsia="Calibri" w:hAnsiTheme="majorHAnsi"/>
          <w:sz w:val="20"/>
          <w:szCs w:val="20"/>
          <w:lang w:val="es-US"/>
        </w:rPr>
        <w:t>sostuvo</w:t>
      </w:r>
      <w:r w:rsidRPr="00386E47">
        <w:rPr>
          <w:rFonts w:asciiTheme="majorHAnsi" w:eastAsia="Calibri" w:hAnsiTheme="majorHAnsi"/>
          <w:sz w:val="20"/>
          <w:szCs w:val="20"/>
          <w:lang w:val="es-US"/>
        </w:rPr>
        <w:t xml:space="preserve"> que resultaba innecesario formular observaciones relativas al fondo del caso y ratificó en una serie de oportunidades su voluntad de reabrir el proceso de diálogo con las víctimas a fin de avanzar de manera conjunta en el cumplimiento de los puntos de acuerdo pactados. </w:t>
      </w:r>
    </w:p>
    <w:p w14:paraId="303C0211" w14:textId="77777777" w:rsidR="009F70EA" w:rsidRPr="00386E47" w:rsidRDefault="009F70EA" w:rsidP="00E552C5">
      <w:pPr>
        <w:ind w:left="720"/>
        <w:contextualSpacing/>
        <w:jc w:val="both"/>
        <w:rPr>
          <w:rFonts w:asciiTheme="majorHAnsi" w:eastAsia="Calibri" w:hAnsiTheme="majorHAnsi"/>
          <w:sz w:val="20"/>
          <w:szCs w:val="20"/>
          <w:lang w:val="es-US"/>
        </w:rPr>
      </w:pPr>
    </w:p>
    <w:p w14:paraId="09281E99" w14:textId="77777777" w:rsidR="00AB3DBE" w:rsidRPr="00386E47" w:rsidRDefault="00AB3DBE"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En cuanto al cumplimiento de los</w:t>
      </w:r>
      <w:r w:rsidR="009F70EA" w:rsidRPr="00386E47">
        <w:rPr>
          <w:rFonts w:asciiTheme="majorHAnsi" w:eastAsia="Calibri" w:hAnsiTheme="majorHAnsi"/>
          <w:sz w:val="20"/>
          <w:szCs w:val="20"/>
          <w:lang w:val="es-US"/>
        </w:rPr>
        <w:t xml:space="preserve"> compromisos</w:t>
      </w:r>
      <w:r w:rsidRPr="00386E47">
        <w:rPr>
          <w:rFonts w:asciiTheme="majorHAnsi" w:eastAsia="Calibri" w:hAnsiTheme="majorHAnsi"/>
          <w:sz w:val="20"/>
          <w:szCs w:val="20"/>
          <w:lang w:val="es-US"/>
        </w:rPr>
        <w:t xml:space="preserve"> asumidos</w:t>
      </w:r>
      <w:r w:rsidR="009F70EA" w:rsidRPr="00386E47">
        <w:rPr>
          <w:rFonts w:asciiTheme="majorHAnsi" w:eastAsia="Calibri" w:hAnsiTheme="majorHAnsi"/>
          <w:sz w:val="20"/>
          <w:szCs w:val="20"/>
          <w:lang w:val="es-US"/>
        </w:rPr>
        <w:t>,</w:t>
      </w:r>
      <w:r w:rsidRPr="00386E47">
        <w:rPr>
          <w:rFonts w:asciiTheme="majorHAnsi" w:eastAsia="Calibri" w:hAnsiTheme="majorHAnsi"/>
          <w:sz w:val="20"/>
          <w:szCs w:val="20"/>
          <w:lang w:val="es-US"/>
        </w:rPr>
        <w:t xml:space="preserve"> el Estado destacó</w:t>
      </w:r>
      <w:r w:rsidR="009F70EA" w:rsidRPr="00386E47">
        <w:rPr>
          <w:rFonts w:asciiTheme="majorHAnsi" w:eastAsia="Calibri" w:hAnsiTheme="majorHAnsi"/>
          <w:sz w:val="20"/>
          <w:szCs w:val="20"/>
          <w:lang w:val="es-US"/>
        </w:rPr>
        <w:t xml:space="preserve"> </w:t>
      </w:r>
      <w:r w:rsidRPr="00386E47">
        <w:rPr>
          <w:rFonts w:asciiTheme="majorHAnsi" w:eastAsia="Calibri" w:hAnsiTheme="majorHAnsi"/>
          <w:sz w:val="20"/>
          <w:szCs w:val="20"/>
          <w:lang w:val="es-US"/>
        </w:rPr>
        <w:t>en primer t</w:t>
      </w:r>
      <w:r w:rsidR="00215F21" w:rsidRPr="00386E47">
        <w:rPr>
          <w:rFonts w:asciiTheme="majorHAnsi" w:eastAsia="Calibri" w:hAnsiTheme="majorHAnsi"/>
          <w:sz w:val="20"/>
          <w:szCs w:val="20"/>
          <w:lang w:val="es-US"/>
        </w:rPr>
        <w:t>é</w:t>
      </w:r>
      <w:r w:rsidRPr="00386E47">
        <w:rPr>
          <w:rFonts w:asciiTheme="majorHAnsi" w:eastAsia="Calibri" w:hAnsiTheme="majorHAnsi"/>
          <w:sz w:val="20"/>
          <w:szCs w:val="20"/>
          <w:lang w:val="es-US"/>
        </w:rPr>
        <w:t xml:space="preserve">rmino </w:t>
      </w:r>
      <w:r w:rsidR="009F70EA" w:rsidRPr="00386E47">
        <w:rPr>
          <w:rFonts w:asciiTheme="majorHAnsi" w:eastAsia="Calibri" w:hAnsiTheme="majorHAnsi"/>
          <w:sz w:val="20"/>
          <w:szCs w:val="20"/>
          <w:lang w:val="es-US"/>
        </w:rPr>
        <w:t>que el reconocimiento de</w:t>
      </w:r>
      <w:r w:rsidRPr="00386E47">
        <w:rPr>
          <w:rFonts w:asciiTheme="majorHAnsi" w:eastAsia="Calibri" w:hAnsiTheme="majorHAnsi"/>
          <w:sz w:val="20"/>
          <w:szCs w:val="20"/>
          <w:lang w:val="es-US"/>
        </w:rPr>
        <w:t xml:space="preserve"> responsabilidad fue difundido</w:t>
      </w:r>
      <w:r w:rsidR="00096FA6" w:rsidRPr="00386E47">
        <w:rPr>
          <w:rFonts w:asciiTheme="majorHAnsi" w:eastAsia="Calibri" w:hAnsiTheme="majorHAnsi"/>
          <w:sz w:val="20"/>
          <w:szCs w:val="20"/>
          <w:lang w:val="es-US"/>
        </w:rPr>
        <w:t xml:space="preserve"> mediante la publicación del texto del d</w:t>
      </w:r>
      <w:r w:rsidR="009F70EA" w:rsidRPr="00386E47">
        <w:rPr>
          <w:rFonts w:asciiTheme="majorHAnsi" w:eastAsia="Calibri" w:hAnsiTheme="majorHAnsi"/>
          <w:sz w:val="20"/>
          <w:szCs w:val="20"/>
          <w:lang w:val="es-US"/>
        </w:rPr>
        <w:t>ecreto 812 en</w:t>
      </w:r>
      <w:r w:rsidRPr="00386E47">
        <w:rPr>
          <w:rFonts w:asciiTheme="majorHAnsi" w:eastAsia="Calibri" w:hAnsiTheme="majorHAnsi"/>
          <w:sz w:val="20"/>
          <w:szCs w:val="20"/>
          <w:lang w:val="es-US"/>
        </w:rPr>
        <w:t xml:space="preserve"> dos </w:t>
      </w:r>
      <w:r w:rsidR="00C3095B" w:rsidRPr="00386E47">
        <w:rPr>
          <w:rFonts w:asciiTheme="majorHAnsi" w:eastAsia="Calibri" w:hAnsiTheme="majorHAnsi"/>
          <w:sz w:val="20"/>
          <w:szCs w:val="20"/>
          <w:lang w:val="es-US"/>
        </w:rPr>
        <w:t>periódicos</w:t>
      </w:r>
      <w:r w:rsidRPr="00386E47">
        <w:rPr>
          <w:rFonts w:asciiTheme="majorHAnsi" w:eastAsia="Calibri" w:hAnsiTheme="majorHAnsi"/>
          <w:sz w:val="20"/>
          <w:szCs w:val="20"/>
          <w:lang w:val="es-US"/>
        </w:rPr>
        <w:t xml:space="preserve"> de </w:t>
      </w:r>
      <w:r w:rsidR="00C3095B" w:rsidRPr="00386E47">
        <w:rPr>
          <w:rFonts w:asciiTheme="majorHAnsi" w:eastAsia="Calibri" w:hAnsiTheme="majorHAnsi"/>
          <w:sz w:val="20"/>
          <w:szCs w:val="20"/>
          <w:lang w:val="es-US"/>
        </w:rPr>
        <w:t>circulación</w:t>
      </w:r>
      <w:r w:rsidRPr="00386E47">
        <w:rPr>
          <w:rFonts w:asciiTheme="majorHAnsi" w:eastAsia="Calibri" w:hAnsiTheme="majorHAnsi"/>
          <w:sz w:val="20"/>
          <w:szCs w:val="20"/>
          <w:lang w:val="es-US"/>
        </w:rPr>
        <w:t xml:space="preserve"> nacional. Asimismo</w:t>
      </w:r>
      <w:r w:rsidR="00215F21" w:rsidRPr="00386E47">
        <w:rPr>
          <w:rFonts w:asciiTheme="majorHAnsi" w:eastAsia="Calibri" w:hAnsiTheme="majorHAnsi"/>
          <w:sz w:val="20"/>
          <w:szCs w:val="20"/>
          <w:lang w:val="es-US"/>
        </w:rPr>
        <w:t>,</w:t>
      </w:r>
      <w:r w:rsidRPr="00386E47">
        <w:rPr>
          <w:rFonts w:asciiTheme="majorHAnsi" w:eastAsia="Calibri" w:hAnsiTheme="majorHAnsi"/>
          <w:sz w:val="20"/>
          <w:szCs w:val="20"/>
          <w:lang w:val="es-US"/>
        </w:rPr>
        <w:t xml:space="preserve"> </w:t>
      </w:r>
      <w:r w:rsidR="005634D2" w:rsidRPr="00386E47">
        <w:rPr>
          <w:rFonts w:asciiTheme="majorHAnsi" w:eastAsia="Calibri" w:hAnsiTheme="majorHAnsi"/>
          <w:sz w:val="20"/>
          <w:szCs w:val="20"/>
          <w:lang w:val="es-US"/>
        </w:rPr>
        <w:t>informó que</w:t>
      </w:r>
      <w:r w:rsidR="009F70EA" w:rsidRPr="00386E47">
        <w:rPr>
          <w:rFonts w:asciiTheme="majorHAnsi" w:eastAsia="Calibri" w:hAnsiTheme="majorHAnsi"/>
          <w:sz w:val="20"/>
          <w:szCs w:val="20"/>
          <w:lang w:val="es-US"/>
        </w:rPr>
        <w:t xml:space="preserve"> el informe Grossman</w:t>
      </w:r>
      <w:r w:rsidRPr="00386E47">
        <w:rPr>
          <w:rFonts w:asciiTheme="majorHAnsi" w:eastAsia="Calibri" w:hAnsiTheme="majorHAnsi"/>
          <w:sz w:val="20"/>
          <w:szCs w:val="20"/>
          <w:lang w:val="es-US"/>
        </w:rPr>
        <w:t xml:space="preserve"> </w:t>
      </w:r>
      <w:r w:rsidR="009F70EA" w:rsidRPr="00386E47">
        <w:rPr>
          <w:rFonts w:asciiTheme="majorHAnsi" w:eastAsia="Calibri" w:hAnsiTheme="majorHAnsi"/>
          <w:sz w:val="20"/>
          <w:szCs w:val="20"/>
          <w:lang w:val="es-US"/>
        </w:rPr>
        <w:t>se encuentra publicado y disponible en la página web del Ministerio de Justicia y Derechos Humanos</w:t>
      </w:r>
      <w:r w:rsidRPr="00386E47">
        <w:rPr>
          <w:rFonts w:asciiTheme="majorHAnsi" w:eastAsia="Calibri" w:hAnsiTheme="majorHAnsi"/>
          <w:sz w:val="20"/>
          <w:szCs w:val="20"/>
          <w:lang w:val="es-US"/>
        </w:rPr>
        <w:t>.</w:t>
      </w:r>
    </w:p>
    <w:p w14:paraId="632A7915" w14:textId="77777777" w:rsidR="00AB3DBE" w:rsidRPr="00386E47" w:rsidRDefault="00AB3DBE" w:rsidP="00E552C5">
      <w:pPr>
        <w:tabs>
          <w:tab w:val="left" w:pos="567"/>
        </w:tabs>
        <w:jc w:val="both"/>
        <w:rPr>
          <w:rFonts w:asciiTheme="majorHAnsi" w:eastAsia="Calibri" w:hAnsiTheme="majorHAnsi"/>
          <w:sz w:val="20"/>
          <w:szCs w:val="20"/>
          <w:lang w:val="es-US"/>
        </w:rPr>
      </w:pPr>
    </w:p>
    <w:p w14:paraId="6F74043D" w14:textId="77777777" w:rsidR="00B31684" w:rsidRPr="00386E47" w:rsidRDefault="00AB3DBE"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 xml:space="preserve"> Por otra parte,</w:t>
      </w:r>
      <w:r w:rsidR="00215F21" w:rsidRPr="00386E47">
        <w:rPr>
          <w:rFonts w:asciiTheme="majorHAnsi" w:eastAsia="Calibri" w:hAnsiTheme="majorHAnsi"/>
          <w:sz w:val="20"/>
          <w:szCs w:val="20"/>
          <w:lang w:val="es-US"/>
        </w:rPr>
        <w:t xml:space="preserve"> en lo referente a la investigación, el Estado</w:t>
      </w:r>
      <w:r w:rsidRPr="00386E47">
        <w:rPr>
          <w:rFonts w:asciiTheme="majorHAnsi" w:eastAsia="Calibri" w:hAnsiTheme="majorHAnsi"/>
          <w:sz w:val="20"/>
          <w:szCs w:val="20"/>
          <w:lang w:val="es-US"/>
        </w:rPr>
        <w:t xml:space="preserve"> </w:t>
      </w:r>
      <w:r w:rsidR="00215F21" w:rsidRPr="00386E47">
        <w:rPr>
          <w:rFonts w:asciiTheme="majorHAnsi" w:eastAsia="Calibri" w:hAnsiTheme="majorHAnsi"/>
          <w:sz w:val="20"/>
          <w:szCs w:val="20"/>
          <w:lang w:val="es-US"/>
        </w:rPr>
        <w:t xml:space="preserve">informó </w:t>
      </w:r>
      <w:r w:rsidR="009F70EA" w:rsidRPr="00386E47">
        <w:rPr>
          <w:rFonts w:asciiTheme="majorHAnsi" w:eastAsia="Calibri" w:hAnsiTheme="majorHAnsi"/>
          <w:sz w:val="20"/>
          <w:szCs w:val="20"/>
          <w:lang w:val="es-US"/>
        </w:rPr>
        <w:t>que ha dotado de diversos recursos a la Unidad Fiscal</w:t>
      </w:r>
      <w:r w:rsidRPr="00386E47">
        <w:rPr>
          <w:rFonts w:asciiTheme="majorHAnsi" w:eastAsia="Calibri" w:hAnsiTheme="majorHAnsi"/>
          <w:sz w:val="20"/>
          <w:szCs w:val="20"/>
          <w:lang w:val="es-US"/>
        </w:rPr>
        <w:t xml:space="preserve"> encargada de la </w:t>
      </w:r>
      <w:r w:rsidR="00C3095B" w:rsidRPr="00386E47">
        <w:rPr>
          <w:rFonts w:asciiTheme="majorHAnsi" w:eastAsia="Calibri" w:hAnsiTheme="majorHAnsi"/>
          <w:sz w:val="20"/>
          <w:szCs w:val="20"/>
          <w:lang w:val="es-US"/>
        </w:rPr>
        <w:t>Investigación</w:t>
      </w:r>
      <w:r w:rsidRPr="00386E47">
        <w:rPr>
          <w:rFonts w:asciiTheme="majorHAnsi" w:eastAsia="Calibri" w:hAnsiTheme="majorHAnsi"/>
          <w:sz w:val="20"/>
          <w:szCs w:val="20"/>
          <w:lang w:val="es-US"/>
        </w:rPr>
        <w:t xml:space="preserve"> por el Atentado a la AMIA dependiente</w:t>
      </w:r>
      <w:r w:rsidR="009F70EA" w:rsidRPr="00386E47">
        <w:rPr>
          <w:rFonts w:asciiTheme="majorHAnsi" w:eastAsia="Calibri" w:hAnsiTheme="majorHAnsi"/>
          <w:sz w:val="20"/>
          <w:szCs w:val="20"/>
          <w:lang w:val="es-US"/>
        </w:rPr>
        <w:t xml:space="preserve"> del Ministerio Público</w:t>
      </w:r>
      <w:r w:rsidRPr="00386E47">
        <w:rPr>
          <w:rFonts w:asciiTheme="majorHAnsi" w:eastAsia="Calibri" w:hAnsiTheme="majorHAnsi"/>
          <w:sz w:val="20"/>
          <w:szCs w:val="20"/>
          <w:lang w:val="es-US"/>
        </w:rPr>
        <w:t xml:space="preserve"> (UFI</w:t>
      </w:r>
      <w:r w:rsidR="000A4616" w:rsidRPr="00386E47">
        <w:rPr>
          <w:rFonts w:asciiTheme="majorHAnsi" w:eastAsia="Calibri" w:hAnsiTheme="majorHAnsi"/>
          <w:sz w:val="20"/>
          <w:szCs w:val="20"/>
          <w:lang w:val="es-US"/>
        </w:rPr>
        <w:t xml:space="preserve"> </w:t>
      </w:r>
      <w:r w:rsidRPr="00386E47">
        <w:rPr>
          <w:rFonts w:asciiTheme="majorHAnsi" w:eastAsia="Calibri" w:hAnsiTheme="majorHAnsi"/>
          <w:sz w:val="20"/>
          <w:szCs w:val="20"/>
          <w:lang w:val="es-US"/>
        </w:rPr>
        <w:t xml:space="preserve">AMIA) </w:t>
      </w:r>
      <w:r w:rsidR="00215F21" w:rsidRPr="00386E47">
        <w:rPr>
          <w:rFonts w:asciiTheme="majorHAnsi" w:eastAsia="Calibri" w:hAnsiTheme="majorHAnsi"/>
          <w:sz w:val="20"/>
          <w:szCs w:val="20"/>
          <w:lang w:val="es-US"/>
        </w:rPr>
        <w:t>con el</w:t>
      </w:r>
      <w:r w:rsidRPr="00386E47">
        <w:rPr>
          <w:rFonts w:asciiTheme="majorHAnsi" w:eastAsia="Calibri" w:hAnsiTheme="majorHAnsi"/>
          <w:sz w:val="20"/>
          <w:szCs w:val="20"/>
          <w:lang w:val="es-US"/>
        </w:rPr>
        <w:t xml:space="preserve"> fin de garantizar </w:t>
      </w:r>
      <w:r w:rsidR="009F70EA" w:rsidRPr="00386E47">
        <w:rPr>
          <w:rFonts w:asciiTheme="majorHAnsi" w:eastAsia="Calibri" w:hAnsiTheme="majorHAnsi"/>
          <w:sz w:val="20"/>
          <w:szCs w:val="20"/>
          <w:lang w:val="es-US"/>
        </w:rPr>
        <w:t>un relevamiento de toda la información del caso que se encontraba archivada en la Agencia Federal de Inteligencia (AFI)</w:t>
      </w:r>
      <w:r w:rsidRPr="00386E47">
        <w:rPr>
          <w:rFonts w:asciiTheme="majorHAnsi" w:eastAsia="Calibri" w:hAnsiTheme="majorHAnsi"/>
          <w:sz w:val="20"/>
          <w:szCs w:val="20"/>
          <w:lang w:val="es-US"/>
        </w:rPr>
        <w:t xml:space="preserve">. </w:t>
      </w:r>
      <w:r w:rsidR="00B31684" w:rsidRPr="00386E47">
        <w:rPr>
          <w:rFonts w:asciiTheme="majorHAnsi" w:eastAsia="Calibri" w:hAnsiTheme="majorHAnsi"/>
          <w:sz w:val="20"/>
          <w:szCs w:val="20"/>
          <w:lang w:val="es-US"/>
        </w:rPr>
        <w:t xml:space="preserve">En este sentido, el Estado indicó que mediante los decretos 395/15 y 229/17 se dispuso la desclasificación de la totalidad de la documentación, notas, informes y resoluciones relacionadas con la investigación del atentado, la que sería organizada, sistematizada, preservada y analizada por la UFI AMIA.  </w:t>
      </w:r>
    </w:p>
    <w:p w14:paraId="50D38601" w14:textId="77777777" w:rsidR="00B31684" w:rsidRPr="00386E47" w:rsidRDefault="00B31684" w:rsidP="00B31684">
      <w:pPr>
        <w:tabs>
          <w:tab w:val="left" w:pos="567"/>
        </w:tabs>
        <w:jc w:val="both"/>
        <w:rPr>
          <w:rFonts w:asciiTheme="majorHAnsi" w:eastAsia="Calibri" w:hAnsiTheme="majorHAnsi"/>
          <w:sz w:val="20"/>
          <w:szCs w:val="20"/>
          <w:lang w:val="es-US"/>
        </w:rPr>
      </w:pPr>
    </w:p>
    <w:p w14:paraId="5DC8B94A" w14:textId="77777777" w:rsidR="00B31684" w:rsidRPr="00386E47" w:rsidRDefault="00B31684"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Por otra parte, el Estado t</w:t>
      </w:r>
      <w:r w:rsidR="00AB3DBE" w:rsidRPr="00386E47">
        <w:rPr>
          <w:rFonts w:asciiTheme="majorHAnsi" w:eastAsia="Calibri" w:hAnsiTheme="majorHAnsi"/>
          <w:sz w:val="20"/>
          <w:szCs w:val="20"/>
          <w:lang w:val="es-US"/>
        </w:rPr>
        <w:t>ambi</w:t>
      </w:r>
      <w:r w:rsidR="00215F21" w:rsidRPr="00386E47">
        <w:rPr>
          <w:rFonts w:asciiTheme="majorHAnsi" w:eastAsia="Calibri" w:hAnsiTheme="majorHAnsi"/>
          <w:sz w:val="20"/>
          <w:szCs w:val="20"/>
          <w:lang w:val="es-US"/>
        </w:rPr>
        <w:t>é</w:t>
      </w:r>
      <w:r w:rsidR="00AB3DBE" w:rsidRPr="00386E47">
        <w:rPr>
          <w:rFonts w:asciiTheme="majorHAnsi" w:eastAsia="Calibri" w:hAnsiTheme="majorHAnsi"/>
          <w:sz w:val="20"/>
          <w:szCs w:val="20"/>
          <w:lang w:val="es-US"/>
        </w:rPr>
        <w:t>n señaló que se fortaleció la Unidad AMIA</w:t>
      </w:r>
      <w:r w:rsidRPr="00386E47">
        <w:rPr>
          <w:rFonts w:asciiTheme="majorHAnsi" w:eastAsia="Calibri" w:hAnsiTheme="majorHAnsi"/>
          <w:sz w:val="20"/>
          <w:szCs w:val="20"/>
          <w:lang w:val="es-US"/>
        </w:rPr>
        <w:t xml:space="preserve"> </w:t>
      </w:r>
      <w:r w:rsidR="00AB3DBE" w:rsidRPr="00386E47">
        <w:rPr>
          <w:rFonts w:asciiTheme="majorHAnsi" w:eastAsia="Calibri" w:hAnsiTheme="majorHAnsi"/>
          <w:sz w:val="20"/>
          <w:szCs w:val="20"/>
          <w:lang w:val="es-US"/>
        </w:rPr>
        <w:t>del Ministerio de Justicia</w:t>
      </w:r>
      <w:r w:rsidR="009F70EA" w:rsidRPr="00386E47">
        <w:rPr>
          <w:rFonts w:asciiTheme="majorHAnsi" w:eastAsia="Calibri" w:hAnsiTheme="majorHAnsi"/>
          <w:sz w:val="20"/>
          <w:szCs w:val="20"/>
          <w:lang w:val="es-US"/>
        </w:rPr>
        <w:t xml:space="preserve">, permitiendo al </w:t>
      </w:r>
      <w:r w:rsidR="00AB3DBE" w:rsidRPr="00386E47">
        <w:rPr>
          <w:rFonts w:asciiTheme="majorHAnsi" w:eastAsia="Calibri" w:hAnsiTheme="majorHAnsi"/>
          <w:sz w:val="20"/>
          <w:szCs w:val="20"/>
          <w:lang w:val="es-US"/>
        </w:rPr>
        <w:t xml:space="preserve">Poder </w:t>
      </w:r>
      <w:r w:rsidR="009F70EA" w:rsidRPr="00386E47">
        <w:rPr>
          <w:rFonts w:asciiTheme="majorHAnsi" w:eastAsia="Calibri" w:hAnsiTheme="majorHAnsi"/>
          <w:sz w:val="20"/>
          <w:szCs w:val="20"/>
          <w:lang w:val="es-US"/>
        </w:rPr>
        <w:t>Ejecutivo tener una participación activa como querellante en los procesos relativos al encubrimiento.</w:t>
      </w:r>
    </w:p>
    <w:p w14:paraId="78793F6B" w14:textId="77777777" w:rsidR="009F70EA" w:rsidRPr="00386E47" w:rsidRDefault="009F70EA" w:rsidP="00B31684">
      <w:pPr>
        <w:tabs>
          <w:tab w:val="left" w:pos="567"/>
        </w:tabs>
        <w:contextualSpacing/>
        <w:jc w:val="both"/>
        <w:rPr>
          <w:rFonts w:asciiTheme="majorHAnsi" w:eastAsia="Calibri" w:hAnsiTheme="majorHAnsi"/>
          <w:sz w:val="20"/>
          <w:szCs w:val="20"/>
          <w:lang w:val="es-US"/>
        </w:rPr>
      </w:pPr>
    </w:p>
    <w:p w14:paraId="5E82EF85" w14:textId="77777777" w:rsidR="009F70EA" w:rsidRPr="00386E47" w:rsidRDefault="009F70EA"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En cuanto a las medidas de al</w:t>
      </w:r>
      <w:r w:rsidR="00A20BFC" w:rsidRPr="00386E47">
        <w:rPr>
          <w:rFonts w:asciiTheme="majorHAnsi" w:eastAsia="Calibri" w:hAnsiTheme="majorHAnsi"/>
          <w:sz w:val="20"/>
          <w:szCs w:val="20"/>
          <w:lang w:val="es-US"/>
        </w:rPr>
        <w:t>cance general</w:t>
      </w:r>
      <w:r w:rsidR="00215F21" w:rsidRPr="00386E47">
        <w:rPr>
          <w:rFonts w:asciiTheme="majorHAnsi" w:eastAsia="Calibri" w:hAnsiTheme="majorHAnsi"/>
          <w:sz w:val="20"/>
          <w:szCs w:val="20"/>
          <w:lang w:val="es-US"/>
        </w:rPr>
        <w:t xml:space="preserve"> para evitar la repetición de hechos como los ocurridos</w:t>
      </w:r>
      <w:r w:rsidR="00A20BFC" w:rsidRPr="00386E47">
        <w:rPr>
          <w:rFonts w:asciiTheme="majorHAnsi" w:eastAsia="Calibri" w:hAnsiTheme="majorHAnsi"/>
          <w:sz w:val="20"/>
          <w:szCs w:val="20"/>
          <w:lang w:val="es-US"/>
        </w:rPr>
        <w:t>, el Estado detalló</w:t>
      </w:r>
      <w:r w:rsidRPr="00386E47">
        <w:rPr>
          <w:rFonts w:asciiTheme="majorHAnsi" w:eastAsia="Calibri" w:hAnsiTheme="majorHAnsi"/>
          <w:sz w:val="20"/>
          <w:szCs w:val="20"/>
          <w:lang w:val="es-US"/>
        </w:rPr>
        <w:t xml:space="preserve"> los avances en la creación de una unidad especializada en </w:t>
      </w:r>
      <w:r w:rsidR="00E552C5" w:rsidRPr="00386E47">
        <w:rPr>
          <w:rFonts w:asciiTheme="majorHAnsi" w:eastAsia="Calibri" w:hAnsiTheme="majorHAnsi"/>
          <w:sz w:val="20"/>
          <w:szCs w:val="20"/>
          <w:lang w:val="es-US"/>
        </w:rPr>
        <w:t xml:space="preserve">la </w:t>
      </w:r>
      <w:r w:rsidR="00C3095B" w:rsidRPr="00386E47">
        <w:rPr>
          <w:rFonts w:asciiTheme="majorHAnsi" w:eastAsia="Calibri" w:hAnsiTheme="majorHAnsi"/>
          <w:sz w:val="20"/>
          <w:szCs w:val="20"/>
          <w:lang w:val="es-US"/>
        </w:rPr>
        <w:t>gestión</w:t>
      </w:r>
      <w:r w:rsidR="00E552C5" w:rsidRPr="00386E47">
        <w:rPr>
          <w:rFonts w:asciiTheme="majorHAnsi" w:eastAsia="Calibri" w:hAnsiTheme="majorHAnsi"/>
          <w:sz w:val="20"/>
          <w:szCs w:val="20"/>
          <w:lang w:val="es-US"/>
        </w:rPr>
        <w:t xml:space="preserve"> de emergencias. </w:t>
      </w:r>
      <w:r w:rsidRPr="00386E47">
        <w:rPr>
          <w:rFonts w:asciiTheme="majorHAnsi" w:eastAsia="Calibri" w:hAnsiTheme="majorHAnsi"/>
          <w:sz w:val="20"/>
          <w:szCs w:val="20"/>
          <w:lang w:val="es-US"/>
        </w:rPr>
        <w:t xml:space="preserve">También </w:t>
      </w:r>
      <w:r w:rsidR="00E552C5" w:rsidRPr="00386E47">
        <w:rPr>
          <w:rFonts w:asciiTheme="majorHAnsi" w:eastAsia="Calibri" w:hAnsiTheme="majorHAnsi"/>
          <w:sz w:val="20"/>
          <w:szCs w:val="20"/>
          <w:lang w:val="es-US"/>
        </w:rPr>
        <w:t>mencionó la creación en febrero de 2015 de la Agencia Federal de Inte</w:t>
      </w:r>
      <w:r w:rsidR="009F6B1B" w:rsidRPr="00386E47">
        <w:rPr>
          <w:rFonts w:asciiTheme="majorHAnsi" w:eastAsia="Calibri" w:hAnsiTheme="majorHAnsi"/>
          <w:sz w:val="20"/>
          <w:szCs w:val="20"/>
          <w:lang w:val="es-US"/>
        </w:rPr>
        <w:t>ligencia (AFI) por medio de la L</w:t>
      </w:r>
      <w:r w:rsidR="00E552C5" w:rsidRPr="00386E47">
        <w:rPr>
          <w:rFonts w:asciiTheme="majorHAnsi" w:eastAsia="Calibri" w:hAnsiTheme="majorHAnsi"/>
          <w:sz w:val="20"/>
          <w:szCs w:val="20"/>
          <w:lang w:val="es-US"/>
        </w:rPr>
        <w:t>ey 27.126</w:t>
      </w:r>
      <w:r w:rsidRPr="00386E47">
        <w:rPr>
          <w:rFonts w:asciiTheme="majorHAnsi" w:eastAsia="Calibri" w:hAnsiTheme="majorHAnsi"/>
          <w:sz w:val="20"/>
          <w:szCs w:val="20"/>
          <w:lang w:val="es-US"/>
        </w:rPr>
        <w:t xml:space="preserve">. En cuanto al acceso a la información de inteligencia por los jueces en investigaciones vinculadas con hechos de terrorismo, </w:t>
      </w:r>
      <w:r w:rsidR="00215F21" w:rsidRPr="00386E47">
        <w:rPr>
          <w:rFonts w:asciiTheme="majorHAnsi" w:eastAsia="Calibri" w:hAnsiTheme="majorHAnsi"/>
          <w:sz w:val="20"/>
          <w:szCs w:val="20"/>
          <w:lang w:val="es-US"/>
        </w:rPr>
        <w:t xml:space="preserve">el Estado </w:t>
      </w:r>
      <w:r w:rsidRPr="00386E47">
        <w:rPr>
          <w:rFonts w:asciiTheme="majorHAnsi" w:eastAsia="Calibri" w:hAnsiTheme="majorHAnsi"/>
          <w:sz w:val="20"/>
          <w:szCs w:val="20"/>
          <w:lang w:val="es-US"/>
        </w:rPr>
        <w:t>detall</w:t>
      </w:r>
      <w:r w:rsidR="00215F21" w:rsidRPr="00386E47">
        <w:rPr>
          <w:rFonts w:asciiTheme="majorHAnsi" w:eastAsia="Calibri" w:hAnsiTheme="majorHAnsi"/>
          <w:sz w:val="20"/>
          <w:szCs w:val="20"/>
          <w:lang w:val="es-US"/>
        </w:rPr>
        <w:t>ó</w:t>
      </w:r>
      <w:r w:rsidRPr="00386E47">
        <w:rPr>
          <w:rFonts w:asciiTheme="majorHAnsi" w:eastAsia="Calibri" w:hAnsiTheme="majorHAnsi"/>
          <w:sz w:val="20"/>
          <w:szCs w:val="20"/>
          <w:lang w:val="es-US"/>
        </w:rPr>
        <w:t xml:space="preserve"> los canales institucionales por los que se compartiría la información a partir de la creación de la AFI e inform</w:t>
      </w:r>
      <w:r w:rsidR="00215F21" w:rsidRPr="00386E47">
        <w:rPr>
          <w:rFonts w:asciiTheme="majorHAnsi" w:eastAsia="Calibri" w:hAnsiTheme="majorHAnsi"/>
          <w:sz w:val="20"/>
          <w:szCs w:val="20"/>
          <w:lang w:val="es-US"/>
        </w:rPr>
        <w:t>ó</w:t>
      </w:r>
      <w:r w:rsidRPr="00386E47">
        <w:rPr>
          <w:rFonts w:asciiTheme="majorHAnsi" w:eastAsia="Calibri" w:hAnsiTheme="majorHAnsi"/>
          <w:sz w:val="20"/>
          <w:szCs w:val="20"/>
          <w:lang w:val="es-US"/>
        </w:rPr>
        <w:t xml:space="preserve"> sobre la instauración de una Comisión para la creación de un banco de protección de datos y archivos de inteligencia. </w:t>
      </w:r>
    </w:p>
    <w:p w14:paraId="602BA0B3" w14:textId="77777777" w:rsidR="00E552C5" w:rsidRPr="00386E47" w:rsidRDefault="00E552C5" w:rsidP="00E552C5">
      <w:pPr>
        <w:tabs>
          <w:tab w:val="left" w:pos="567"/>
        </w:tabs>
        <w:jc w:val="both"/>
        <w:rPr>
          <w:rFonts w:asciiTheme="majorHAnsi" w:eastAsia="Calibri" w:hAnsiTheme="majorHAnsi"/>
          <w:sz w:val="20"/>
          <w:szCs w:val="20"/>
          <w:lang w:val="es-US"/>
        </w:rPr>
      </w:pPr>
    </w:p>
    <w:p w14:paraId="04C0D5A3" w14:textId="77777777" w:rsidR="00E552C5" w:rsidRPr="00386E47" w:rsidRDefault="00B31684"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Finalmente, y en torno</w:t>
      </w:r>
      <w:r w:rsidR="009F70EA" w:rsidRPr="00386E47">
        <w:rPr>
          <w:rFonts w:asciiTheme="majorHAnsi" w:eastAsia="Calibri" w:hAnsiTheme="majorHAnsi"/>
          <w:sz w:val="20"/>
          <w:szCs w:val="20"/>
          <w:lang w:val="es-US"/>
        </w:rPr>
        <w:t xml:space="preserve"> a las reparaciones </w:t>
      </w:r>
      <w:r w:rsidR="00215F21" w:rsidRPr="00386E47">
        <w:rPr>
          <w:rFonts w:asciiTheme="majorHAnsi" w:eastAsia="Calibri" w:hAnsiTheme="majorHAnsi"/>
          <w:sz w:val="20"/>
          <w:szCs w:val="20"/>
          <w:lang w:val="es-US"/>
        </w:rPr>
        <w:t xml:space="preserve">específicas </w:t>
      </w:r>
      <w:r w:rsidR="009F70EA" w:rsidRPr="00386E47">
        <w:rPr>
          <w:rFonts w:asciiTheme="majorHAnsi" w:eastAsia="Calibri" w:hAnsiTheme="majorHAnsi"/>
          <w:sz w:val="20"/>
          <w:szCs w:val="20"/>
          <w:lang w:val="es-US"/>
        </w:rPr>
        <w:t xml:space="preserve">para las víctimas del </w:t>
      </w:r>
      <w:r w:rsidR="00A20BFC" w:rsidRPr="00386E47">
        <w:rPr>
          <w:rFonts w:asciiTheme="majorHAnsi" w:eastAsia="Calibri" w:hAnsiTheme="majorHAnsi"/>
          <w:sz w:val="20"/>
          <w:szCs w:val="20"/>
          <w:lang w:val="es-US"/>
        </w:rPr>
        <w:t>atentado AMIA, el Estado destacó</w:t>
      </w:r>
      <w:r w:rsidR="009F70EA" w:rsidRPr="00386E47">
        <w:rPr>
          <w:rFonts w:asciiTheme="majorHAnsi" w:eastAsia="Calibri" w:hAnsiTheme="majorHAnsi"/>
          <w:sz w:val="20"/>
          <w:szCs w:val="20"/>
          <w:lang w:val="es-US"/>
        </w:rPr>
        <w:t xml:space="preserve"> la promulgación de la Ley No. 27.139 que establece el derecho de quienes hubieren fallecido o sufrido lesiones graves o gravísimas y sus causahabientes a obtener una</w:t>
      </w:r>
      <w:r w:rsidR="00A20BFC" w:rsidRPr="00386E47">
        <w:rPr>
          <w:rFonts w:asciiTheme="majorHAnsi" w:eastAsia="Calibri" w:hAnsiTheme="majorHAnsi"/>
          <w:sz w:val="20"/>
          <w:szCs w:val="20"/>
          <w:lang w:val="es-US"/>
        </w:rPr>
        <w:t xml:space="preserve"> indemnización</w:t>
      </w:r>
      <w:r w:rsidR="00D86575" w:rsidRPr="00386E47">
        <w:rPr>
          <w:rFonts w:asciiTheme="majorHAnsi" w:eastAsia="Calibri" w:hAnsiTheme="majorHAnsi"/>
          <w:sz w:val="20"/>
          <w:szCs w:val="20"/>
          <w:lang w:val="es-US"/>
        </w:rPr>
        <w:t>.</w:t>
      </w:r>
      <w:r w:rsidR="00A20BFC" w:rsidRPr="00386E47">
        <w:rPr>
          <w:rFonts w:asciiTheme="majorHAnsi" w:eastAsia="Calibri" w:hAnsiTheme="majorHAnsi"/>
          <w:sz w:val="20"/>
          <w:szCs w:val="20"/>
          <w:lang w:val="es-US"/>
        </w:rPr>
        <w:t xml:space="preserve"> Asimismo, indicó</w:t>
      </w:r>
      <w:r w:rsidR="009F70EA" w:rsidRPr="00386E47">
        <w:rPr>
          <w:rFonts w:asciiTheme="majorHAnsi" w:eastAsia="Calibri" w:hAnsiTheme="majorHAnsi"/>
          <w:sz w:val="20"/>
          <w:szCs w:val="20"/>
          <w:lang w:val="es-US"/>
        </w:rPr>
        <w:t xml:space="preserve"> que el pago de costas y honorarios de los procesos nacionales e internacionales ha sido girado al </w:t>
      </w:r>
      <w:r w:rsidR="00E552C5" w:rsidRPr="00386E47">
        <w:rPr>
          <w:rFonts w:asciiTheme="majorHAnsi" w:eastAsia="Calibri" w:hAnsiTheme="majorHAnsi"/>
          <w:sz w:val="20"/>
          <w:szCs w:val="20"/>
          <w:lang w:val="es-US"/>
        </w:rPr>
        <w:t>Ministerio de Justicia</w:t>
      </w:r>
      <w:r w:rsidR="009F70EA" w:rsidRPr="00386E47">
        <w:rPr>
          <w:rFonts w:asciiTheme="majorHAnsi" w:eastAsia="Calibri" w:hAnsiTheme="majorHAnsi"/>
          <w:sz w:val="20"/>
          <w:szCs w:val="20"/>
          <w:lang w:val="es-US"/>
        </w:rPr>
        <w:t xml:space="preserve"> a fin de proseguir su trámite.</w:t>
      </w:r>
    </w:p>
    <w:p w14:paraId="74D08330" w14:textId="77777777" w:rsidR="00E552C5" w:rsidRPr="00386E47" w:rsidRDefault="00E552C5" w:rsidP="00E552C5">
      <w:pPr>
        <w:tabs>
          <w:tab w:val="left" w:pos="567"/>
        </w:tabs>
        <w:jc w:val="both"/>
        <w:rPr>
          <w:rFonts w:asciiTheme="majorHAnsi" w:eastAsia="Calibri" w:hAnsiTheme="majorHAnsi"/>
          <w:sz w:val="20"/>
          <w:szCs w:val="20"/>
          <w:lang w:val="es-US"/>
        </w:rPr>
      </w:pPr>
    </w:p>
    <w:p w14:paraId="7E45B262" w14:textId="77777777" w:rsidR="00E9249A" w:rsidRPr="00386E47" w:rsidRDefault="00201202" w:rsidP="002847DD">
      <w:pPr>
        <w:pStyle w:val="Heading1"/>
        <w:rPr>
          <w:rFonts w:asciiTheme="majorHAnsi" w:hAnsiTheme="majorHAnsi"/>
          <w:b w:val="0"/>
          <w:szCs w:val="22"/>
        </w:rPr>
      </w:pPr>
      <w:bookmarkStart w:id="10" w:name="_Toc51252185"/>
      <w:r w:rsidRPr="00386E47">
        <w:rPr>
          <w:rFonts w:asciiTheme="majorHAnsi" w:hAnsiTheme="majorHAnsi"/>
          <w:szCs w:val="22"/>
        </w:rPr>
        <w:t xml:space="preserve">CONSIDERACIONES SOBRE EL </w:t>
      </w:r>
      <w:r w:rsidR="00E9249A" w:rsidRPr="00386E47">
        <w:rPr>
          <w:rFonts w:asciiTheme="majorHAnsi" w:hAnsiTheme="majorHAnsi"/>
          <w:szCs w:val="22"/>
        </w:rPr>
        <w:t>RECONOCIMIENTO DE RESPONSABILIDAD DEL ESTADO ARGENTINO</w:t>
      </w:r>
      <w:bookmarkEnd w:id="10"/>
    </w:p>
    <w:p w14:paraId="52D953CF" w14:textId="77777777" w:rsidR="00E9249A" w:rsidRPr="00386E47" w:rsidRDefault="00E9249A" w:rsidP="003A5860">
      <w:pPr>
        <w:numPr>
          <w:ilvl w:val="0"/>
          <w:numId w:val="55"/>
        </w:numPr>
        <w:tabs>
          <w:tab w:val="left" w:pos="567"/>
        </w:tabs>
        <w:ind w:left="0" w:firstLine="0"/>
        <w:contextualSpacing/>
        <w:jc w:val="both"/>
        <w:rPr>
          <w:rFonts w:ascii="Cambria" w:eastAsia="Calibri" w:hAnsi="Cambria"/>
          <w:b/>
          <w:sz w:val="20"/>
          <w:szCs w:val="20"/>
          <w:lang w:val="es-US"/>
        </w:rPr>
      </w:pPr>
      <w:r w:rsidRPr="00386E47">
        <w:rPr>
          <w:rFonts w:ascii="Cambria" w:eastAsia="Calibri" w:hAnsi="Cambria"/>
          <w:sz w:val="20"/>
          <w:szCs w:val="20"/>
          <w:lang w:val="es-AR"/>
        </w:rPr>
        <w:t>El</w:t>
      </w:r>
      <w:r w:rsidRPr="00386E47">
        <w:rPr>
          <w:rFonts w:ascii="Cambria" w:eastAsia="Calibri" w:hAnsi="Cambria"/>
          <w:sz w:val="20"/>
          <w:szCs w:val="20"/>
          <w:lang w:val="es-US"/>
        </w:rPr>
        <w:t xml:space="preserve"> Estado reconoció su responsabilidad internacional mediante la firma de un acta acuerdo con los peticionarios y la CIDH el día 4 de marzo de 2005. En dicho documento se consigna que</w:t>
      </w:r>
      <w:r w:rsidRPr="00386E47">
        <w:rPr>
          <w:rFonts w:ascii="Cambria" w:eastAsia="Calibri" w:hAnsi="Cambria"/>
          <w:sz w:val="20"/>
          <w:szCs w:val="20"/>
        </w:rPr>
        <w:t xml:space="preserve">: </w:t>
      </w:r>
      <w:r w:rsidRPr="00386E47">
        <w:rPr>
          <w:rFonts w:ascii="Cambria" w:eastAsia="Calibri" w:hAnsi="Cambria"/>
          <w:sz w:val="20"/>
          <w:szCs w:val="20"/>
          <w:lang w:val="es-US"/>
        </w:rPr>
        <w:t xml:space="preserve">  </w:t>
      </w:r>
    </w:p>
    <w:p w14:paraId="76710FED" w14:textId="77777777" w:rsidR="00E9249A" w:rsidRPr="00386E47" w:rsidRDefault="00E9249A" w:rsidP="00E9249A">
      <w:pPr>
        <w:tabs>
          <w:tab w:val="left" w:pos="426"/>
        </w:tabs>
        <w:contextualSpacing/>
        <w:jc w:val="both"/>
        <w:rPr>
          <w:rFonts w:ascii="Cambria" w:eastAsia="Calibri" w:hAnsi="Cambria"/>
          <w:sz w:val="20"/>
          <w:szCs w:val="20"/>
          <w:lang w:val="es-US"/>
        </w:rPr>
      </w:pPr>
    </w:p>
    <w:p w14:paraId="6A7CEE3B" w14:textId="77777777" w:rsidR="00E9249A" w:rsidRPr="00386E47" w:rsidRDefault="00E9249A" w:rsidP="00E9249A">
      <w:pPr>
        <w:ind w:left="567" w:right="855"/>
        <w:contextualSpacing/>
        <w:jc w:val="both"/>
        <w:rPr>
          <w:rFonts w:ascii="Cambria" w:eastAsia="Calibri" w:hAnsi="Cambria"/>
          <w:sz w:val="18"/>
          <w:szCs w:val="18"/>
          <w:lang w:val="es-US"/>
        </w:rPr>
      </w:pPr>
      <w:r w:rsidRPr="00386E47">
        <w:rPr>
          <w:rFonts w:ascii="Cambria" w:eastAsia="Calibri" w:hAnsi="Cambria"/>
          <w:sz w:val="18"/>
          <w:szCs w:val="18"/>
          <w:lang w:val="es-US"/>
        </w:rPr>
        <w:t xml:space="preserve">El Gobierno reconoce la responsabilidad del Estado argentino por la violación de los derechos humanos denunciada por los peticionarios en la presentación efectuada ante la CIDH en este caso: derecho a la vida (art 4 de la Convención Americana); derecho a la integridad física (art. 5 CA); derecho a las garantías judiciales (art. 8 CA) y derecho a la protección judicial (art. 25 CA); y el deber de garantía (art. 1.1 CA), en los siguientes términos. </w:t>
      </w:r>
    </w:p>
    <w:p w14:paraId="55CC4671" w14:textId="77777777" w:rsidR="00E9249A" w:rsidRPr="00386E47" w:rsidRDefault="00E9249A" w:rsidP="00E9249A">
      <w:pPr>
        <w:ind w:left="567" w:right="855"/>
        <w:contextualSpacing/>
        <w:jc w:val="both"/>
        <w:rPr>
          <w:rFonts w:ascii="Cambria" w:eastAsia="Calibri" w:hAnsi="Cambria"/>
          <w:sz w:val="18"/>
          <w:szCs w:val="18"/>
          <w:lang w:val="es-US"/>
        </w:rPr>
      </w:pPr>
    </w:p>
    <w:p w14:paraId="18B7444E" w14:textId="77777777" w:rsidR="00E9249A" w:rsidRPr="00386E47" w:rsidRDefault="00E9249A" w:rsidP="00E9249A">
      <w:pPr>
        <w:ind w:left="567" w:right="855"/>
        <w:contextualSpacing/>
        <w:jc w:val="both"/>
        <w:rPr>
          <w:rFonts w:ascii="Cambria" w:eastAsia="Calibri" w:hAnsi="Cambria"/>
          <w:sz w:val="18"/>
          <w:szCs w:val="18"/>
          <w:lang w:val="es-US"/>
        </w:rPr>
      </w:pPr>
      <w:r w:rsidRPr="00386E47">
        <w:rPr>
          <w:rFonts w:ascii="Cambria" w:eastAsia="Calibri" w:hAnsi="Cambria"/>
          <w:sz w:val="18"/>
          <w:szCs w:val="18"/>
          <w:lang w:val="es-US"/>
        </w:rPr>
        <w:t xml:space="preserve">En este sentido, el Estado reconoce responsabilidad ya que existió un incumplimiento de la función de prevención por no haber adoptado las medidas idóneas y eficaces para intentar evitar el atentado, teniendo en cuenta que dos años antes se había producido un hecho terrorista contra la embajada de Israel en Argentina. </w:t>
      </w:r>
    </w:p>
    <w:p w14:paraId="49C4235A" w14:textId="77777777" w:rsidR="00E9249A" w:rsidRPr="00386E47" w:rsidRDefault="00E9249A" w:rsidP="00E9249A">
      <w:pPr>
        <w:ind w:left="567" w:right="855"/>
        <w:contextualSpacing/>
        <w:jc w:val="both"/>
        <w:rPr>
          <w:rFonts w:ascii="Cambria" w:eastAsia="Calibri" w:hAnsi="Cambria"/>
          <w:sz w:val="18"/>
          <w:szCs w:val="18"/>
          <w:lang w:val="es-US"/>
        </w:rPr>
      </w:pPr>
    </w:p>
    <w:p w14:paraId="048D0452" w14:textId="77777777" w:rsidR="00E9249A" w:rsidRPr="00386E47" w:rsidRDefault="00E9249A" w:rsidP="00E9249A">
      <w:pPr>
        <w:ind w:left="567" w:right="855"/>
        <w:contextualSpacing/>
        <w:jc w:val="both"/>
        <w:rPr>
          <w:rFonts w:ascii="Cambria" w:eastAsia="Calibri" w:hAnsi="Cambria"/>
          <w:sz w:val="18"/>
          <w:szCs w:val="18"/>
          <w:lang w:val="es-US"/>
        </w:rPr>
      </w:pPr>
      <w:r w:rsidRPr="00386E47">
        <w:rPr>
          <w:rFonts w:ascii="Cambria" w:eastAsia="Calibri" w:hAnsi="Cambria"/>
          <w:sz w:val="18"/>
          <w:szCs w:val="18"/>
          <w:lang w:val="es-US"/>
        </w:rPr>
        <w:lastRenderedPageBreak/>
        <w:t>El Estado reconoce responsabilidad porque existió encubrimiento de los hechos, porque medió un grave y deliberado incumplimiento de la función de investigación del hecho ilícito ocurrido el 18 de julio de 1994, y porque este incumplimiento en materia de investigación adecuada produjo una clara denegatoria de justicia. Todo ello conforme fue declarado por el Tribunal Oral Federal en lo Criminal Nro. 3 de la Ciudad de Buenos Aires en su sentencia de fecha 29 de octubre de 2004.</w:t>
      </w:r>
    </w:p>
    <w:p w14:paraId="30EB825A" w14:textId="77777777" w:rsidR="00E9249A" w:rsidRPr="00386E47" w:rsidRDefault="00E9249A" w:rsidP="00E9249A">
      <w:pPr>
        <w:tabs>
          <w:tab w:val="left" w:pos="567"/>
        </w:tabs>
        <w:contextualSpacing/>
        <w:jc w:val="both"/>
        <w:rPr>
          <w:rFonts w:ascii="Cambria" w:eastAsia="Calibri" w:hAnsi="Cambria"/>
          <w:sz w:val="20"/>
          <w:szCs w:val="20"/>
          <w:lang w:val="es-AR"/>
        </w:rPr>
      </w:pPr>
    </w:p>
    <w:p w14:paraId="55F471E3" w14:textId="77777777" w:rsidR="00E9249A" w:rsidRPr="00386E47" w:rsidRDefault="00201202" w:rsidP="003A5860">
      <w:pPr>
        <w:numPr>
          <w:ilvl w:val="0"/>
          <w:numId w:val="55"/>
        </w:numPr>
        <w:tabs>
          <w:tab w:val="left" w:pos="567"/>
        </w:tabs>
        <w:ind w:left="0" w:firstLine="0"/>
        <w:contextualSpacing/>
        <w:jc w:val="both"/>
        <w:rPr>
          <w:rFonts w:ascii="Cambria" w:eastAsia="Calibri" w:hAnsi="Cambria"/>
          <w:sz w:val="20"/>
          <w:szCs w:val="20"/>
          <w:lang w:val="es-AR"/>
        </w:rPr>
      </w:pPr>
      <w:r w:rsidRPr="00386E47">
        <w:rPr>
          <w:rFonts w:ascii="Cambria" w:eastAsia="Calibri" w:hAnsi="Cambria"/>
          <w:sz w:val="20"/>
          <w:szCs w:val="20"/>
          <w:lang w:val="es-AR"/>
        </w:rPr>
        <w:t xml:space="preserve">La Comisión observa que, </w:t>
      </w:r>
      <w:r w:rsidR="00E9249A" w:rsidRPr="00386E47">
        <w:rPr>
          <w:rFonts w:ascii="Cambria" w:eastAsia="Calibri" w:hAnsi="Cambria"/>
          <w:sz w:val="20"/>
          <w:szCs w:val="20"/>
          <w:lang w:val="es-AR"/>
        </w:rPr>
        <w:t xml:space="preserve">en </w:t>
      </w:r>
      <w:r w:rsidR="00E9249A" w:rsidRPr="00386E47">
        <w:rPr>
          <w:rFonts w:ascii="Cambria" w:hAnsi="Cambria"/>
          <w:sz w:val="20"/>
          <w:szCs w:val="20"/>
          <w:lang w:val="es-US"/>
        </w:rPr>
        <w:t>la audiencia realizada en el</w:t>
      </w:r>
      <w:r w:rsidRPr="00386E47">
        <w:rPr>
          <w:rFonts w:ascii="Cambria" w:hAnsi="Cambria"/>
          <w:sz w:val="20"/>
          <w:szCs w:val="20"/>
          <w:lang w:val="es-US"/>
        </w:rPr>
        <w:t xml:space="preserve"> marco de su</w:t>
      </w:r>
      <w:r w:rsidR="00E9249A" w:rsidRPr="00386E47">
        <w:rPr>
          <w:rFonts w:ascii="Cambria" w:hAnsi="Cambria"/>
          <w:sz w:val="20"/>
          <w:szCs w:val="20"/>
          <w:lang w:val="es-US"/>
        </w:rPr>
        <w:t xml:space="preserve"> 174</w:t>
      </w:r>
      <w:r w:rsidRPr="00386E47">
        <w:rPr>
          <w:rFonts w:ascii="Cambria" w:hAnsi="Cambria"/>
          <w:sz w:val="20"/>
          <w:szCs w:val="20"/>
          <w:lang w:val="es-US"/>
        </w:rPr>
        <w:t>°</w:t>
      </w:r>
      <w:r w:rsidR="00E9249A" w:rsidRPr="00386E47">
        <w:rPr>
          <w:rFonts w:ascii="Cambria" w:hAnsi="Cambria"/>
          <w:sz w:val="20"/>
          <w:szCs w:val="20"/>
          <w:lang w:val="es-US"/>
        </w:rPr>
        <w:t xml:space="preserve"> período de sesiones, el Estado se refirió al reconocimiento de responsabilidad efectuado en el año 2005 y el proceso de solución amistosa concluido en 2012.</w:t>
      </w:r>
      <w:r w:rsidRPr="00386E47">
        <w:rPr>
          <w:rFonts w:ascii="Cambria" w:hAnsi="Cambria"/>
          <w:sz w:val="20"/>
          <w:szCs w:val="20"/>
          <w:lang w:val="es-US"/>
        </w:rPr>
        <w:t xml:space="preserve"> En dicha oportunidad los representantes estatales señalaron</w:t>
      </w:r>
      <w:r w:rsidR="00E9249A" w:rsidRPr="00386E47">
        <w:rPr>
          <w:rFonts w:ascii="Cambria" w:hAnsi="Cambria"/>
          <w:sz w:val="20"/>
          <w:szCs w:val="20"/>
          <w:lang w:val="es-US"/>
        </w:rPr>
        <w:t xml:space="preserve"> que</w:t>
      </w:r>
      <w:r w:rsidRPr="00386E47">
        <w:rPr>
          <w:rFonts w:ascii="Cambria" w:hAnsi="Cambria"/>
          <w:sz w:val="20"/>
          <w:szCs w:val="20"/>
          <w:lang w:val="es-US"/>
        </w:rPr>
        <w:t>, a pesar de la conclusión del proceso de solución amistosa, el</w:t>
      </w:r>
      <w:r w:rsidR="00E9249A" w:rsidRPr="00386E47">
        <w:rPr>
          <w:rFonts w:ascii="Cambria" w:hAnsi="Cambria"/>
          <w:sz w:val="20"/>
          <w:szCs w:val="20"/>
          <w:lang w:val="es-US"/>
        </w:rPr>
        <w:t xml:space="preserve"> Estado siguió avanzando en diversas cuestiones que figuraban en la agenda de trabajo</w:t>
      </w:r>
      <w:r w:rsidRPr="00386E47">
        <w:rPr>
          <w:rFonts w:ascii="Cambria" w:hAnsi="Cambria"/>
          <w:sz w:val="20"/>
          <w:szCs w:val="20"/>
          <w:lang w:val="es-US"/>
        </w:rPr>
        <w:t>, y aseguraron</w:t>
      </w:r>
      <w:r w:rsidR="00E9249A" w:rsidRPr="00386E47">
        <w:rPr>
          <w:rFonts w:ascii="Cambria" w:hAnsi="Cambria"/>
          <w:sz w:val="20"/>
          <w:szCs w:val="20"/>
          <w:lang w:val="es-US"/>
        </w:rPr>
        <w:t xml:space="preserve"> que en escritos posteriores</w:t>
      </w:r>
      <w:r w:rsidRPr="00386E47">
        <w:rPr>
          <w:rFonts w:ascii="Cambria" w:hAnsi="Cambria"/>
          <w:sz w:val="20"/>
          <w:szCs w:val="20"/>
          <w:lang w:val="es-US"/>
        </w:rPr>
        <w:t xml:space="preserve"> se reiteró a los peticionarios la voluntad de retomar un espacio</w:t>
      </w:r>
      <w:r w:rsidR="00E9249A" w:rsidRPr="00386E47">
        <w:rPr>
          <w:rFonts w:ascii="Cambria" w:hAnsi="Cambria"/>
          <w:sz w:val="20"/>
          <w:szCs w:val="20"/>
          <w:lang w:val="es-US"/>
        </w:rPr>
        <w:t xml:space="preserve"> de diálogo. </w:t>
      </w:r>
      <w:r w:rsidRPr="00386E47">
        <w:rPr>
          <w:rFonts w:ascii="Cambria" w:hAnsi="Cambria"/>
          <w:sz w:val="20"/>
          <w:szCs w:val="20"/>
          <w:lang w:val="es-US"/>
        </w:rPr>
        <w:t>Asimismo, refiriéndose tanto a los</w:t>
      </w:r>
      <w:r w:rsidR="00E9249A" w:rsidRPr="00386E47">
        <w:rPr>
          <w:rFonts w:ascii="Cambria" w:hAnsi="Cambria"/>
          <w:sz w:val="20"/>
          <w:szCs w:val="20"/>
          <w:lang w:val="es-US"/>
        </w:rPr>
        <w:t xml:space="preserve"> atentados a la Embajada de Israel y a la sede de la AMIA,</w:t>
      </w:r>
      <w:r w:rsidRPr="00386E47">
        <w:rPr>
          <w:rFonts w:ascii="Cambria" w:hAnsi="Cambria"/>
          <w:sz w:val="20"/>
          <w:szCs w:val="20"/>
          <w:lang w:val="es-US"/>
        </w:rPr>
        <w:t xml:space="preserve"> </w:t>
      </w:r>
      <w:r w:rsidR="009A0110" w:rsidRPr="00386E47">
        <w:rPr>
          <w:rFonts w:ascii="Cambria" w:hAnsi="Cambria"/>
          <w:sz w:val="20"/>
          <w:szCs w:val="20"/>
          <w:lang w:val="es-US"/>
        </w:rPr>
        <w:t>puntualizaron</w:t>
      </w:r>
      <w:r w:rsidR="00E9249A" w:rsidRPr="00386E47">
        <w:rPr>
          <w:rFonts w:ascii="Cambria" w:hAnsi="Cambria"/>
          <w:sz w:val="20"/>
          <w:szCs w:val="20"/>
          <w:lang w:val="es-US"/>
        </w:rPr>
        <w:t xml:space="preserve"> que: </w:t>
      </w:r>
    </w:p>
    <w:p w14:paraId="1DC1FE57" w14:textId="77777777" w:rsidR="00E9249A" w:rsidRPr="00386E47" w:rsidRDefault="00E9249A" w:rsidP="00E9249A">
      <w:pPr>
        <w:tabs>
          <w:tab w:val="left" w:pos="567"/>
        </w:tabs>
        <w:contextualSpacing/>
        <w:jc w:val="both"/>
        <w:rPr>
          <w:rFonts w:ascii="Cambria" w:eastAsia="Calibri" w:hAnsi="Cambria"/>
          <w:sz w:val="20"/>
          <w:szCs w:val="20"/>
          <w:lang w:val="es-AR"/>
        </w:rPr>
      </w:pPr>
    </w:p>
    <w:p w14:paraId="36470029" w14:textId="77777777" w:rsidR="00E9249A" w:rsidRPr="00386E47" w:rsidRDefault="00E9249A" w:rsidP="00C3095B">
      <w:pPr>
        <w:tabs>
          <w:tab w:val="left" w:pos="567"/>
        </w:tabs>
        <w:ind w:left="540" w:right="855"/>
        <w:contextualSpacing/>
        <w:jc w:val="both"/>
        <w:rPr>
          <w:rFonts w:ascii="Cambria" w:hAnsi="Cambria"/>
          <w:sz w:val="18"/>
          <w:szCs w:val="18"/>
          <w:lang w:val="es-US"/>
        </w:rPr>
      </w:pPr>
      <w:r w:rsidRPr="00386E47">
        <w:rPr>
          <w:rFonts w:ascii="Cambria" w:hAnsi="Cambria"/>
          <w:sz w:val="18"/>
          <w:szCs w:val="18"/>
          <w:lang w:val="es-US"/>
        </w:rPr>
        <w:t xml:space="preserve">las deficiencias políticas, policiales, de seguridad, los servicios de inteligencia y el poder judicial, quedaron desnudos el 17 de marzo de 1992, y lo que es imperdonable continuaron así, habilitando que a dos años de ocurrido el primer ataque, Buenos Aires sea escenario de un nuevo atentado. Bajo ese signo se desarrollaron los primeros años de investigación, o no investigación, a cargo de un juez federal sin ninguna experiencia ni formación en terrorismo internacional al igual que el resto de sus colegas, un Poder Judicial vetusto en sus estructuras tanto técnicas como de recursos humanos, fuerzas de seguridad e inteligencia más preocupadas por encubrir sus propios delitos y desviar la investigación que en aportar elementos probatorios, y un Poder Ejecutivo que, en el mejor de los casos, no estuvo a la altura. </w:t>
      </w:r>
    </w:p>
    <w:p w14:paraId="5CDDF358" w14:textId="77777777" w:rsidR="00E9249A" w:rsidRPr="00386E47" w:rsidRDefault="00E9249A" w:rsidP="00E9249A">
      <w:pPr>
        <w:tabs>
          <w:tab w:val="left" w:pos="567"/>
        </w:tabs>
        <w:ind w:left="540" w:right="900"/>
        <w:contextualSpacing/>
        <w:jc w:val="both"/>
        <w:rPr>
          <w:rFonts w:ascii="Cambria" w:hAnsi="Cambria"/>
          <w:sz w:val="20"/>
          <w:szCs w:val="20"/>
          <w:lang w:val="es-US"/>
        </w:rPr>
      </w:pPr>
    </w:p>
    <w:p w14:paraId="49CD57A0" w14:textId="77777777" w:rsidR="00E9249A" w:rsidRPr="00386E47" w:rsidRDefault="009A0110" w:rsidP="003A5860">
      <w:pPr>
        <w:numPr>
          <w:ilvl w:val="0"/>
          <w:numId w:val="55"/>
        </w:numPr>
        <w:tabs>
          <w:tab w:val="left" w:pos="567"/>
        </w:tabs>
        <w:ind w:left="0" w:firstLine="0"/>
        <w:contextualSpacing/>
        <w:jc w:val="both"/>
        <w:rPr>
          <w:rFonts w:ascii="Cambria" w:eastAsia="Calibri" w:hAnsi="Cambria"/>
          <w:sz w:val="20"/>
          <w:szCs w:val="20"/>
          <w:lang w:val="es-AR"/>
        </w:rPr>
      </w:pPr>
      <w:r w:rsidRPr="00386E47">
        <w:rPr>
          <w:rFonts w:ascii="Cambria" w:hAnsi="Cambria"/>
          <w:sz w:val="20"/>
          <w:szCs w:val="20"/>
          <w:lang w:val="es-US"/>
        </w:rPr>
        <w:t>Adicionalmente, los representantes de</w:t>
      </w:r>
      <w:r w:rsidR="00E9249A" w:rsidRPr="00386E47">
        <w:rPr>
          <w:rFonts w:ascii="Cambria" w:hAnsi="Cambria"/>
          <w:sz w:val="20"/>
          <w:szCs w:val="20"/>
          <w:lang w:val="es-US"/>
        </w:rPr>
        <w:t>l Estado d</w:t>
      </w:r>
      <w:r w:rsidRPr="00386E47">
        <w:rPr>
          <w:rFonts w:ascii="Cambria" w:hAnsi="Cambria"/>
          <w:sz w:val="20"/>
          <w:szCs w:val="20"/>
          <w:lang w:val="es-US"/>
        </w:rPr>
        <w:t>e Argentina agregaron</w:t>
      </w:r>
      <w:r w:rsidR="00E9249A" w:rsidRPr="00386E47">
        <w:rPr>
          <w:rFonts w:ascii="Cambria" w:hAnsi="Cambria"/>
          <w:sz w:val="20"/>
          <w:szCs w:val="20"/>
          <w:lang w:val="es-US"/>
        </w:rPr>
        <w:t xml:space="preserve"> que:</w:t>
      </w:r>
    </w:p>
    <w:p w14:paraId="65A77B1A" w14:textId="77777777" w:rsidR="00E9249A" w:rsidRPr="00386E47" w:rsidRDefault="00E9249A" w:rsidP="00E9249A">
      <w:pPr>
        <w:tabs>
          <w:tab w:val="left" w:pos="567"/>
        </w:tabs>
        <w:contextualSpacing/>
        <w:jc w:val="both"/>
        <w:rPr>
          <w:rFonts w:ascii="Cambria" w:hAnsi="Cambria"/>
          <w:sz w:val="20"/>
          <w:szCs w:val="20"/>
          <w:lang w:val="es-AR"/>
        </w:rPr>
      </w:pPr>
    </w:p>
    <w:p w14:paraId="652A7673" w14:textId="77777777" w:rsidR="00E9249A" w:rsidRPr="00386E47" w:rsidRDefault="00E9249A" w:rsidP="00E9249A">
      <w:pPr>
        <w:tabs>
          <w:tab w:val="left" w:pos="567"/>
        </w:tabs>
        <w:ind w:left="540" w:right="810"/>
        <w:contextualSpacing/>
        <w:jc w:val="both"/>
        <w:rPr>
          <w:rFonts w:ascii="Cambria" w:eastAsia="Calibri" w:hAnsi="Cambria"/>
          <w:sz w:val="18"/>
          <w:szCs w:val="18"/>
          <w:lang w:val="es-AR"/>
        </w:rPr>
      </w:pPr>
      <w:r w:rsidRPr="00386E47">
        <w:rPr>
          <w:rFonts w:ascii="Cambria" w:hAnsi="Cambria"/>
          <w:sz w:val="18"/>
          <w:szCs w:val="18"/>
          <w:lang w:val="es-US"/>
        </w:rPr>
        <w:t xml:space="preserve">claramente los mecanismos del Estado no estuvieron a la altura ni en la prevención de los hechos, más habiendo tenido como antecedente al atentado a la sede de la Embajada de Israel en Buenos Aires, ni en asegurar una investigación judicial que pudiera dar respuesta eficiente a las víctimas y a la sociedad. Esto determinó el reconocimiento de responsabilidad mediante el Decreto Nacional 812 de 2005. </w:t>
      </w:r>
    </w:p>
    <w:p w14:paraId="290F0A19" w14:textId="77777777" w:rsidR="00E9249A" w:rsidRPr="00386E47" w:rsidRDefault="00E9249A" w:rsidP="00E9249A">
      <w:pPr>
        <w:jc w:val="both"/>
        <w:rPr>
          <w:rFonts w:ascii="Cambria" w:hAnsi="Cambria"/>
          <w:sz w:val="20"/>
          <w:szCs w:val="20"/>
          <w:lang w:val="es-US"/>
        </w:rPr>
      </w:pPr>
    </w:p>
    <w:p w14:paraId="41031F46" w14:textId="77777777" w:rsidR="009A0110" w:rsidRPr="00386E47" w:rsidRDefault="009A0110" w:rsidP="00E9249A">
      <w:pPr>
        <w:numPr>
          <w:ilvl w:val="0"/>
          <w:numId w:val="55"/>
        </w:numPr>
        <w:tabs>
          <w:tab w:val="left" w:pos="567"/>
        </w:tabs>
        <w:ind w:left="0" w:firstLine="0"/>
        <w:contextualSpacing/>
        <w:jc w:val="both"/>
        <w:rPr>
          <w:rFonts w:ascii="Cambria" w:hAnsi="Cambria"/>
          <w:sz w:val="20"/>
          <w:szCs w:val="20"/>
          <w:lang w:val="es-US"/>
        </w:rPr>
      </w:pPr>
      <w:r w:rsidRPr="00386E47">
        <w:rPr>
          <w:rFonts w:ascii="Cambria" w:hAnsi="Cambria"/>
          <w:sz w:val="20"/>
          <w:szCs w:val="20"/>
          <w:lang w:val="es-US"/>
        </w:rPr>
        <w:t>En la misma audiencia</w:t>
      </w:r>
      <w:r w:rsidR="00E9249A" w:rsidRPr="00386E47">
        <w:rPr>
          <w:rFonts w:ascii="Cambria" w:hAnsi="Cambria"/>
          <w:sz w:val="20"/>
          <w:szCs w:val="20"/>
          <w:lang w:val="es-US"/>
        </w:rPr>
        <w:t>, el Estado se ref</w:t>
      </w:r>
      <w:r w:rsidRPr="00386E47">
        <w:rPr>
          <w:rFonts w:ascii="Cambria" w:hAnsi="Cambria"/>
          <w:sz w:val="20"/>
          <w:szCs w:val="20"/>
          <w:lang w:val="es-US"/>
        </w:rPr>
        <w:t xml:space="preserve">irió al juicio de encubrimiento. Al respecto, los representantes indicaron </w:t>
      </w:r>
      <w:r w:rsidR="00E9249A" w:rsidRPr="00386E47">
        <w:rPr>
          <w:rFonts w:ascii="Cambria" w:hAnsi="Cambria"/>
          <w:sz w:val="20"/>
          <w:szCs w:val="20"/>
          <w:lang w:val="es-US"/>
        </w:rPr>
        <w:t>que el juicio oral comenzó en agosto de 2015 ante el Tribuna</w:t>
      </w:r>
      <w:r w:rsidRPr="00386E47">
        <w:rPr>
          <w:rFonts w:ascii="Cambria" w:hAnsi="Cambria"/>
          <w:sz w:val="20"/>
          <w:szCs w:val="20"/>
          <w:lang w:val="es-US"/>
        </w:rPr>
        <w:t>l Oral en lo Criminal Federal de Buenos Aires No. 2, el cual dictó su veredicto en febrero de 2019. Asimismo, señalaron</w:t>
      </w:r>
      <w:r w:rsidR="00E9249A" w:rsidRPr="00386E47">
        <w:rPr>
          <w:rFonts w:ascii="Cambria" w:hAnsi="Cambria"/>
          <w:sz w:val="20"/>
          <w:szCs w:val="20"/>
          <w:lang w:val="es-US"/>
        </w:rPr>
        <w:t xml:space="preserve"> que en primera instancia se dictaron varias condenas que dan cuenta de</w:t>
      </w:r>
      <w:r w:rsidRPr="00386E47">
        <w:rPr>
          <w:rFonts w:ascii="Cambria" w:hAnsi="Cambria"/>
          <w:sz w:val="20"/>
          <w:szCs w:val="20"/>
          <w:lang w:val="es-US"/>
        </w:rPr>
        <w:t xml:space="preserve"> una serie de</w:t>
      </w:r>
      <w:r w:rsidR="00E9249A" w:rsidRPr="00386E47">
        <w:rPr>
          <w:rFonts w:ascii="Cambria" w:hAnsi="Cambria"/>
          <w:sz w:val="20"/>
          <w:szCs w:val="20"/>
          <w:lang w:val="es-US"/>
        </w:rPr>
        <w:t xml:space="preserve"> maniobra</w:t>
      </w:r>
      <w:r w:rsidRPr="00386E47">
        <w:rPr>
          <w:rFonts w:ascii="Cambria" w:hAnsi="Cambria"/>
          <w:sz w:val="20"/>
          <w:szCs w:val="20"/>
          <w:lang w:val="es-US"/>
        </w:rPr>
        <w:t>s</w:t>
      </w:r>
      <w:r w:rsidR="00E9249A" w:rsidRPr="00386E47">
        <w:rPr>
          <w:rFonts w:ascii="Cambria" w:hAnsi="Cambria"/>
          <w:sz w:val="20"/>
          <w:szCs w:val="20"/>
          <w:lang w:val="es-US"/>
        </w:rPr>
        <w:t xml:space="preserve"> de encubrimiento,</w:t>
      </w:r>
      <w:r w:rsidRPr="00386E47">
        <w:rPr>
          <w:rFonts w:ascii="Cambria" w:hAnsi="Cambria"/>
          <w:sz w:val="20"/>
          <w:szCs w:val="20"/>
          <w:lang w:val="es-US"/>
        </w:rPr>
        <w:t xml:space="preserve"> de</w:t>
      </w:r>
      <w:r w:rsidR="00E9249A" w:rsidRPr="00386E47">
        <w:rPr>
          <w:rFonts w:ascii="Cambria" w:hAnsi="Cambria"/>
          <w:sz w:val="20"/>
          <w:szCs w:val="20"/>
          <w:lang w:val="es-US"/>
        </w:rPr>
        <w:t xml:space="preserve"> acciones incompatibles con los deberes de funcionarios públicos y </w:t>
      </w:r>
      <w:r w:rsidRPr="00386E47">
        <w:rPr>
          <w:rFonts w:ascii="Cambria" w:hAnsi="Cambria"/>
          <w:sz w:val="20"/>
          <w:szCs w:val="20"/>
          <w:lang w:val="es-US"/>
        </w:rPr>
        <w:t>de otros delitos e indicaron</w:t>
      </w:r>
      <w:r w:rsidR="00E9249A" w:rsidRPr="00386E47">
        <w:rPr>
          <w:rFonts w:ascii="Cambria" w:hAnsi="Cambria"/>
          <w:sz w:val="20"/>
          <w:szCs w:val="20"/>
          <w:lang w:val="es-US"/>
        </w:rPr>
        <w:t xml:space="preserve"> que el caso se encontraba en trámite en la etapa recursiva.</w:t>
      </w:r>
      <w:r w:rsidRPr="00386E47">
        <w:rPr>
          <w:rFonts w:ascii="Cambria" w:hAnsi="Cambria"/>
          <w:sz w:val="20"/>
          <w:szCs w:val="20"/>
          <w:lang w:val="es-US"/>
        </w:rPr>
        <w:t xml:space="preserve"> </w:t>
      </w:r>
    </w:p>
    <w:p w14:paraId="2FD39121" w14:textId="77777777" w:rsidR="009A0110" w:rsidRPr="00386E47" w:rsidRDefault="009A0110" w:rsidP="009A0110">
      <w:pPr>
        <w:tabs>
          <w:tab w:val="left" w:pos="567"/>
        </w:tabs>
        <w:contextualSpacing/>
        <w:jc w:val="both"/>
        <w:rPr>
          <w:rFonts w:ascii="Cambria" w:hAnsi="Cambria"/>
          <w:sz w:val="20"/>
          <w:szCs w:val="20"/>
          <w:lang w:val="es-US"/>
        </w:rPr>
      </w:pPr>
    </w:p>
    <w:p w14:paraId="62736A84" w14:textId="77777777" w:rsidR="00E9249A" w:rsidRPr="00386E47" w:rsidRDefault="009A0110" w:rsidP="00E9249A">
      <w:pPr>
        <w:numPr>
          <w:ilvl w:val="0"/>
          <w:numId w:val="55"/>
        </w:numPr>
        <w:tabs>
          <w:tab w:val="left" w:pos="567"/>
        </w:tabs>
        <w:ind w:left="0" w:firstLine="0"/>
        <w:contextualSpacing/>
        <w:jc w:val="both"/>
        <w:rPr>
          <w:rFonts w:ascii="Cambria" w:hAnsi="Cambria"/>
          <w:sz w:val="20"/>
          <w:szCs w:val="20"/>
          <w:lang w:val="es-US"/>
        </w:rPr>
      </w:pPr>
      <w:r w:rsidRPr="00386E47">
        <w:rPr>
          <w:rFonts w:ascii="Cambria" w:hAnsi="Cambria"/>
          <w:sz w:val="20"/>
          <w:szCs w:val="20"/>
          <w:lang w:val="es-US"/>
        </w:rPr>
        <w:t>Por otro lado, señalaron</w:t>
      </w:r>
      <w:r w:rsidR="00E9249A" w:rsidRPr="00386E47">
        <w:rPr>
          <w:rFonts w:ascii="Cambria" w:hAnsi="Cambria"/>
          <w:sz w:val="20"/>
          <w:szCs w:val="20"/>
          <w:lang w:val="es-US"/>
        </w:rPr>
        <w:t xml:space="preserve"> que gran parte de los esfuerzos actuales se refieren a colaborar y encontrar los elementos necesarios para avanzar en el procesamiento de la información desclasificada de la Secretaría de Inteligencia, producto de varios decretos.</w:t>
      </w:r>
      <w:r w:rsidRPr="00386E47">
        <w:rPr>
          <w:rFonts w:ascii="Cambria" w:hAnsi="Cambria"/>
          <w:sz w:val="20"/>
          <w:szCs w:val="20"/>
          <w:lang w:val="es-US"/>
        </w:rPr>
        <w:t xml:space="preserve"> Finalmente, se refirieron</w:t>
      </w:r>
      <w:r w:rsidR="00E9249A" w:rsidRPr="00386E47">
        <w:rPr>
          <w:rFonts w:ascii="Cambria" w:hAnsi="Cambria"/>
          <w:sz w:val="20"/>
          <w:szCs w:val="20"/>
          <w:lang w:val="es-US"/>
        </w:rPr>
        <w:t xml:space="preserve"> también a </w:t>
      </w:r>
      <w:r w:rsidRPr="00386E47">
        <w:rPr>
          <w:rFonts w:ascii="Cambria" w:hAnsi="Cambria"/>
          <w:sz w:val="20"/>
          <w:szCs w:val="20"/>
          <w:lang w:val="es-US"/>
        </w:rPr>
        <w:t xml:space="preserve">los </w:t>
      </w:r>
      <w:r w:rsidR="00E9249A" w:rsidRPr="00386E47">
        <w:rPr>
          <w:rFonts w:ascii="Cambria" w:hAnsi="Cambria"/>
          <w:sz w:val="20"/>
          <w:szCs w:val="20"/>
          <w:lang w:val="es-US"/>
        </w:rPr>
        <w:t xml:space="preserve">esfuerzos </w:t>
      </w:r>
      <w:r w:rsidRPr="00386E47">
        <w:rPr>
          <w:rFonts w:ascii="Cambria" w:hAnsi="Cambria"/>
          <w:sz w:val="20"/>
          <w:szCs w:val="20"/>
          <w:lang w:val="es-US"/>
        </w:rPr>
        <w:t xml:space="preserve">realizados </w:t>
      </w:r>
      <w:r w:rsidR="00E9249A" w:rsidRPr="00386E47">
        <w:rPr>
          <w:rFonts w:ascii="Cambria" w:hAnsi="Cambria"/>
          <w:sz w:val="20"/>
          <w:szCs w:val="20"/>
          <w:lang w:val="es-US"/>
        </w:rPr>
        <w:t xml:space="preserve">para la recuperación de archivos, indicando que actualmente se ha procesado el 40% del material </w:t>
      </w:r>
      <w:r w:rsidRPr="00386E47">
        <w:rPr>
          <w:rFonts w:ascii="Cambria" w:hAnsi="Cambria"/>
          <w:sz w:val="20"/>
          <w:szCs w:val="20"/>
          <w:lang w:val="es-US"/>
        </w:rPr>
        <w:t>documental, y</w:t>
      </w:r>
      <w:r w:rsidR="00E9249A" w:rsidRPr="00386E47">
        <w:rPr>
          <w:rFonts w:ascii="Cambria" w:hAnsi="Cambria"/>
          <w:sz w:val="20"/>
          <w:szCs w:val="20"/>
          <w:lang w:val="es-US"/>
        </w:rPr>
        <w:t xml:space="preserve"> para procesar material documental de audio y video que se encuentra en el archivo </w:t>
      </w:r>
      <w:r w:rsidRPr="00386E47">
        <w:rPr>
          <w:rFonts w:ascii="Cambria" w:hAnsi="Cambria"/>
          <w:sz w:val="20"/>
          <w:szCs w:val="20"/>
          <w:lang w:val="es-US"/>
        </w:rPr>
        <w:t xml:space="preserve">ubicado en el edificio </w:t>
      </w:r>
      <w:r w:rsidR="00E9249A" w:rsidRPr="00386E47">
        <w:rPr>
          <w:rFonts w:ascii="Cambria" w:hAnsi="Cambria"/>
          <w:sz w:val="20"/>
          <w:szCs w:val="20"/>
          <w:lang w:val="es-US"/>
        </w:rPr>
        <w:t xml:space="preserve">Barolo. </w:t>
      </w:r>
      <w:r w:rsidRPr="00386E47">
        <w:rPr>
          <w:rFonts w:ascii="Cambria" w:hAnsi="Cambria"/>
          <w:sz w:val="20"/>
          <w:szCs w:val="20"/>
          <w:lang w:val="es-US"/>
        </w:rPr>
        <w:t>Por último, mencionaron un numero de</w:t>
      </w:r>
      <w:r w:rsidR="00E9249A" w:rsidRPr="00386E47">
        <w:rPr>
          <w:rFonts w:ascii="Cambria" w:hAnsi="Cambria"/>
          <w:sz w:val="20"/>
          <w:szCs w:val="20"/>
          <w:lang w:val="es-US"/>
        </w:rPr>
        <w:t xml:space="preserve"> medidas legislativas </w:t>
      </w:r>
      <w:r w:rsidRPr="00386E47">
        <w:rPr>
          <w:rFonts w:ascii="Cambria" w:hAnsi="Cambria"/>
          <w:sz w:val="20"/>
          <w:szCs w:val="20"/>
          <w:lang w:val="es-US"/>
        </w:rPr>
        <w:t>impulsadas para beneficio de las</w:t>
      </w:r>
      <w:r w:rsidR="00E9249A" w:rsidRPr="00386E47">
        <w:rPr>
          <w:rFonts w:ascii="Cambria" w:hAnsi="Cambria"/>
          <w:sz w:val="20"/>
          <w:szCs w:val="20"/>
          <w:lang w:val="es-US"/>
        </w:rPr>
        <w:t xml:space="preserve"> víctimas, así como el juicio en ausencia y </w:t>
      </w:r>
      <w:r w:rsidR="00770388" w:rsidRPr="00386E47">
        <w:rPr>
          <w:rFonts w:ascii="Cambria" w:hAnsi="Cambria"/>
          <w:sz w:val="20"/>
          <w:szCs w:val="20"/>
          <w:lang w:val="es-US"/>
        </w:rPr>
        <w:t xml:space="preserve">otras medidas de cooperación internacional para avanzar </w:t>
      </w:r>
      <w:r w:rsidR="00C3095B" w:rsidRPr="00386E47">
        <w:rPr>
          <w:rFonts w:ascii="Cambria" w:hAnsi="Cambria"/>
          <w:sz w:val="20"/>
          <w:szCs w:val="20"/>
          <w:lang w:val="es-US"/>
        </w:rPr>
        <w:t>en el</w:t>
      </w:r>
      <w:r w:rsidR="00770388" w:rsidRPr="00386E47">
        <w:rPr>
          <w:rFonts w:ascii="Cambria" w:hAnsi="Cambria"/>
          <w:sz w:val="20"/>
          <w:szCs w:val="20"/>
          <w:lang w:val="es-US"/>
        </w:rPr>
        <w:t xml:space="preserve"> proceso penal.</w:t>
      </w:r>
    </w:p>
    <w:p w14:paraId="00CA2765" w14:textId="77777777" w:rsidR="00201202" w:rsidRPr="00386E47" w:rsidRDefault="00201202" w:rsidP="00201202">
      <w:pPr>
        <w:tabs>
          <w:tab w:val="left" w:pos="567"/>
        </w:tabs>
        <w:contextualSpacing/>
        <w:jc w:val="both"/>
        <w:rPr>
          <w:rFonts w:ascii="Cambria" w:hAnsi="Cambria"/>
          <w:sz w:val="20"/>
          <w:szCs w:val="20"/>
          <w:lang w:val="es-US"/>
        </w:rPr>
      </w:pPr>
    </w:p>
    <w:p w14:paraId="6655EE35" w14:textId="77777777" w:rsidR="00E9249A" w:rsidRPr="00386E47" w:rsidRDefault="00E9249A" w:rsidP="003A5860">
      <w:pPr>
        <w:numPr>
          <w:ilvl w:val="0"/>
          <w:numId w:val="55"/>
        </w:numPr>
        <w:tabs>
          <w:tab w:val="left" w:pos="567"/>
        </w:tabs>
        <w:ind w:left="0" w:firstLine="0"/>
        <w:contextualSpacing/>
        <w:jc w:val="both"/>
        <w:rPr>
          <w:rFonts w:ascii="Cambria" w:eastAsia="Calibri" w:hAnsi="Cambria"/>
          <w:sz w:val="20"/>
          <w:szCs w:val="20"/>
          <w:lang w:val="es-AR"/>
        </w:rPr>
      </w:pPr>
      <w:r w:rsidRPr="00386E47">
        <w:rPr>
          <w:rFonts w:ascii="Cambria" w:eastAsia="Calibri" w:hAnsi="Cambria"/>
          <w:sz w:val="20"/>
          <w:szCs w:val="20"/>
          <w:lang w:val="es-AR"/>
        </w:rPr>
        <w:t>La Comisión, al igual que lo hizo al momento de suscribirse el acta acuerdo del 4 de marzo de 2005,  expresa su beneplácito por el reconocimiento de responsabilidad efectuado por el Estado argentino, toda vez que significa una medida conducente para garantizar la plena vigencia de los derechos, de conformidad con los  principios que inspiran el Sistema Interamericano de Derechos Humanos</w:t>
      </w:r>
      <w:r w:rsidRPr="00386E47">
        <w:rPr>
          <w:rStyle w:val="FootnoteReference"/>
          <w:rFonts w:ascii="Cambria" w:eastAsia="Calibri" w:hAnsi="Cambria"/>
          <w:sz w:val="20"/>
          <w:szCs w:val="20"/>
          <w:lang w:val="es-AR"/>
        </w:rPr>
        <w:footnoteReference w:id="5"/>
      </w:r>
      <w:r w:rsidRPr="00386E47">
        <w:rPr>
          <w:rFonts w:ascii="Cambria" w:eastAsia="Calibri" w:hAnsi="Cambria"/>
          <w:sz w:val="20"/>
          <w:szCs w:val="20"/>
          <w:lang w:val="es-AR"/>
        </w:rPr>
        <w:t>.  La Comisión resalta asimismo que dicho reconocimiento constituye un paso hacia la reivindicación de los derechos de las víctimas del atentado y sus familiares.</w:t>
      </w:r>
    </w:p>
    <w:p w14:paraId="09A06104" w14:textId="77777777" w:rsidR="00E9249A" w:rsidRPr="00386E47" w:rsidRDefault="00E9249A" w:rsidP="00E9249A">
      <w:pPr>
        <w:tabs>
          <w:tab w:val="left" w:pos="567"/>
        </w:tabs>
        <w:contextualSpacing/>
        <w:jc w:val="both"/>
        <w:rPr>
          <w:rFonts w:ascii="Cambria" w:eastAsia="Calibri" w:hAnsi="Cambria"/>
          <w:sz w:val="20"/>
          <w:szCs w:val="20"/>
          <w:lang w:val="es-AR"/>
        </w:rPr>
      </w:pPr>
    </w:p>
    <w:p w14:paraId="68B69BC2" w14:textId="77777777" w:rsidR="00E9249A" w:rsidRPr="00386E47" w:rsidRDefault="00E9249A" w:rsidP="003A5860">
      <w:pPr>
        <w:numPr>
          <w:ilvl w:val="0"/>
          <w:numId w:val="55"/>
        </w:numPr>
        <w:tabs>
          <w:tab w:val="left" w:pos="567"/>
        </w:tabs>
        <w:ind w:left="0" w:firstLine="0"/>
        <w:contextualSpacing/>
        <w:jc w:val="both"/>
        <w:rPr>
          <w:rFonts w:ascii="Cambria" w:eastAsia="Calibri" w:hAnsi="Cambria"/>
          <w:sz w:val="20"/>
          <w:szCs w:val="20"/>
          <w:lang w:val="es-AR"/>
        </w:rPr>
      </w:pPr>
      <w:r w:rsidRPr="00386E47">
        <w:rPr>
          <w:rFonts w:ascii="Cambria" w:eastAsia="Calibri" w:hAnsi="Cambria"/>
          <w:sz w:val="20"/>
          <w:szCs w:val="20"/>
          <w:lang w:val="es-AR"/>
        </w:rPr>
        <w:lastRenderedPageBreak/>
        <w:t xml:space="preserve">Con respecto al alcance que tiene este reconocimiento de responsabilidad, la Comisión entiende que el Estado argentino aceptó de manera explícita e inequívoca su responsabilidad por el incumplimiento de su deber de prevención </w:t>
      </w:r>
      <w:r w:rsidR="009A0110" w:rsidRPr="00386E47">
        <w:rPr>
          <w:rFonts w:ascii="Cambria" w:eastAsia="Calibri" w:hAnsi="Cambria"/>
          <w:sz w:val="20"/>
          <w:szCs w:val="20"/>
          <w:lang w:val="es-AR"/>
        </w:rPr>
        <w:t>del</w:t>
      </w:r>
      <w:r w:rsidRPr="00386E47">
        <w:rPr>
          <w:rFonts w:ascii="Cambria" w:eastAsia="Calibri" w:hAnsi="Cambria"/>
          <w:sz w:val="20"/>
          <w:szCs w:val="20"/>
          <w:lang w:val="es-AR"/>
        </w:rPr>
        <w:t xml:space="preserve"> atentado contra la AMIA</w:t>
      </w:r>
      <w:r w:rsidR="009A0110" w:rsidRPr="00386E47">
        <w:rPr>
          <w:rFonts w:ascii="Cambria" w:eastAsia="Calibri" w:hAnsi="Cambria"/>
          <w:sz w:val="20"/>
          <w:szCs w:val="20"/>
          <w:lang w:val="es-AR"/>
        </w:rPr>
        <w:t xml:space="preserve">, el cual tuvo como consecuencia </w:t>
      </w:r>
      <w:r w:rsidR="00FD3161" w:rsidRPr="00386E47">
        <w:rPr>
          <w:rFonts w:ascii="Cambria" w:eastAsia="Calibri" w:hAnsi="Cambria"/>
          <w:sz w:val="20"/>
          <w:szCs w:val="20"/>
          <w:lang w:val="es-AR"/>
        </w:rPr>
        <w:t>la muerte</w:t>
      </w:r>
      <w:r w:rsidRPr="00386E47">
        <w:rPr>
          <w:rFonts w:ascii="Cambria" w:eastAsia="Calibri" w:hAnsi="Cambria"/>
          <w:sz w:val="20"/>
          <w:szCs w:val="20"/>
          <w:lang w:val="es-AR"/>
        </w:rPr>
        <w:t xml:space="preserve"> de</w:t>
      </w:r>
      <w:r w:rsidRPr="00386E47">
        <w:rPr>
          <w:rFonts w:ascii="Cambria" w:eastAsia="Calibri" w:hAnsi="Cambria"/>
          <w:sz w:val="20"/>
          <w:szCs w:val="20"/>
          <w:lang w:val="es-ES_tradnl" w:eastAsia="es-ES"/>
        </w:rPr>
        <w:t xml:space="preserve"> </w:t>
      </w:r>
      <w:r w:rsidR="009A0110" w:rsidRPr="00386E47">
        <w:rPr>
          <w:rFonts w:ascii="Cambria" w:eastAsia="Calibri" w:hAnsi="Cambria"/>
          <w:sz w:val="20"/>
          <w:szCs w:val="20"/>
          <w:lang w:val="es-ES_tradnl" w:eastAsia="es-ES"/>
        </w:rPr>
        <w:t xml:space="preserve">85 personas </w:t>
      </w:r>
      <w:r w:rsidR="00FD3161" w:rsidRPr="00386E47">
        <w:rPr>
          <w:rFonts w:ascii="Cambria" w:eastAsia="Calibri" w:hAnsi="Cambria"/>
          <w:sz w:val="20"/>
          <w:szCs w:val="20"/>
          <w:lang w:val="es-ES_tradnl" w:eastAsia="es-ES"/>
        </w:rPr>
        <w:t>y lesiones</w:t>
      </w:r>
      <w:r w:rsidRPr="00386E47">
        <w:rPr>
          <w:rFonts w:ascii="Cambria" w:eastAsia="Calibri" w:hAnsi="Cambria"/>
          <w:sz w:val="20"/>
          <w:szCs w:val="20"/>
          <w:lang w:val="es-ES_tradnl" w:eastAsia="es-ES"/>
        </w:rPr>
        <w:t xml:space="preserve"> </w:t>
      </w:r>
      <w:r w:rsidR="009A0110" w:rsidRPr="00386E47">
        <w:rPr>
          <w:rFonts w:ascii="Cambria" w:eastAsia="Calibri" w:hAnsi="Cambria"/>
          <w:sz w:val="20"/>
          <w:szCs w:val="20"/>
          <w:lang w:val="es-ES_tradnl" w:eastAsia="es-ES"/>
        </w:rPr>
        <w:t>a</w:t>
      </w:r>
      <w:r w:rsidRPr="00386E47">
        <w:rPr>
          <w:rFonts w:ascii="Cambria" w:eastAsia="Calibri" w:hAnsi="Cambria"/>
          <w:sz w:val="20"/>
          <w:szCs w:val="20"/>
          <w:lang w:val="es-ES_tradnl" w:eastAsia="es-ES"/>
        </w:rPr>
        <w:t xml:space="preserve"> al menos a otras 151. Asimismo, la Comisión observa que el Estado reconoció su responsabilidad por no haber investigado de manera adecuada y efectiva los hechos, al existir un grave y</w:t>
      </w:r>
      <w:r w:rsidR="009A0110" w:rsidRPr="00386E47">
        <w:rPr>
          <w:rFonts w:ascii="Cambria" w:eastAsia="Calibri" w:hAnsi="Cambria"/>
          <w:sz w:val="20"/>
          <w:szCs w:val="20"/>
          <w:lang w:val="es-ES_tradnl" w:eastAsia="es-ES"/>
        </w:rPr>
        <w:t xml:space="preserve"> deliberado incumplimiento de su función de investigación</w:t>
      </w:r>
      <w:r w:rsidRPr="00386E47">
        <w:rPr>
          <w:rFonts w:ascii="Cambria" w:eastAsia="Calibri" w:hAnsi="Cambria"/>
          <w:sz w:val="20"/>
          <w:szCs w:val="20"/>
          <w:lang w:val="es-ES_tradnl" w:eastAsia="es-ES"/>
        </w:rPr>
        <w:t>.</w:t>
      </w:r>
    </w:p>
    <w:p w14:paraId="4082625A" w14:textId="77777777" w:rsidR="00E9249A" w:rsidRPr="00386E47" w:rsidRDefault="00E9249A" w:rsidP="00E9249A">
      <w:pPr>
        <w:pStyle w:val="ListParagraph"/>
        <w:rPr>
          <w:rFonts w:eastAsia="Calibri"/>
          <w:sz w:val="20"/>
          <w:szCs w:val="20"/>
          <w:lang w:val="es-ES_tradnl"/>
        </w:rPr>
      </w:pPr>
    </w:p>
    <w:p w14:paraId="650400B8" w14:textId="77777777" w:rsidR="00E9249A" w:rsidRPr="00386E47" w:rsidRDefault="00E9249A" w:rsidP="003A5860">
      <w:pPr>
        <w:numPr>
          <w:ilvl w:val="0"/>
          <w:numId w:val="55"/>
        </w:numPr>
        <w:tabs>
          <w:tab w:val="left" w:pos="567"/>
        </w:tabs>
        <w:ind w:left="0" w:firstLine="0"/>
        <w:contextualSpacing/>
        <w:jc w:val="both"/>
        <w:rPr>
          <w:rFonts w:ascii="Cambria" w:eastAsia="Calibri" w:hAnsi="Cambria"/>
          <w:sz w:val="20"/>
          <w:szCs w:val="20"/>
          <w:lang w:val="es-AR"/>
        </w:rPr>
      </w:pPr>
      <w:r w:rsidRPr="00386E47">
        <w:rPr>
          <w:rFonts w:ascii="Cambria" w:eastAsia="Calibri" w:hAnsi="Cambria"/>
          <w:sz w:val="20"/>
          <w:szCs w:val="20"/>
          <w:lang w:val="es-ES_tradnl" w:eastAsia="es-ES"/>
        </w:rPr>
        <w:t xml:space="preserve">La Comisión nota que </w:t>
      </w:r>
      <w:r w:rsidR="00FD3161" w:rsidRPr="00386E47">
        <w:rPr>
          <w:rFonts w:ascii="Cambria" w:eastAsia="Calibri" w:hAnsi="Cambria"/>
          <w:sz w:val="20"/>
          <w:szCs w:val="20"/>
          <w:lang w:val="es-ES_tradnl" w:eastAsia="es-ES"/>
        </w:rPr>
        <w:t>los representantes del Estado, al hacer</w:t>
      </w:r>
      <w:r w:rsidRPr="00386E47">
        <w:rPr>
          <w:rFonts w:ascii="Cambria" w:eastAsia="Calibri" w:hAnsi="Cambria"/>
          <w:sz w:val="20"/>
          <w:szCs w:val="20"/>
          <w:lang w:val="es-ES_tradnl" w:eastAsia="es-ES"/>
        </w:rPr>
        <w:t xml:space="preserve"> referencia a su reconocimiento de responsabilidad realizado en la última audiencia</w:t>
      </w:r>
      <w:r w:rsidR="00FD3161" w:rsidRPr="00386E47">
        <w:rPr>
          <w:rFonts w:ascii="Cambria" w:eastAsia="Calibri" w:hAnsi="Cambria"/>
          <w:sz w:val="20"/>
          <w:szCs w:val="20"/>
          <w:lang w:val="es-ES_tradnl" w:eastAsia="es-ES"/>
        </w:rPr>
        <w:t>, no se aceptaron</w:t>
      </w:r>
      <w:r w:rsidRPr="00386E47">
        <w:rPr>
          <w:rFonts w:ascii="Cambria" w:eastAsia="Calibri" w:hAnsi="Cambria"/>
          <w:sz w:val="20"/>
          <w:szCs w:val="20"/>
          <w:lang w:val="es-ES_tradnl" w:eastAsia="es-ES"/>
        </w:rPr>
        <w:t xml:space="preserve"> </w:t>
      </w:r>
      <w:r w:rsidR="00FD3161" w:rsidRPr="00386E47">
        <w:rPr>
          <w:rFonts w:ascii="Cambria" w:eastAsia="Calibri" w:hAnsi="Cambria"/>
          <w:sz w:val="20"/>
          <w:szCs w:val="20"/>
          <w:lang w:val="es-AR"/>
        </w:rPr>
        <w:t>de manera clara y explícita la responsabilidad del estado por</w:t>
      </w:r>
      <w:r w:rsidRPr="00386E47">
        <w:rPr>
          <w:rFonts w:ascii="Cambria" w:eastAsia="Calibri" w:hAnsi="Cambria"/>
          <w:sz w:val="20"/>
          <w:szCs w:val="20"/>
          <w:lang w:val="es-AR"/>
        </w:rPr>
        <w:t xml:space="preserve"> </w:t>
      </w:r>
      <w:r w:rsidR="00FD3161" w:rsidRPr="00386E47">
        <w:rPr>
          <w:rFonts w:ascii="Cambria" w:eastAsia="Calibri" w:hAnsi="Cambria"/>
          <w:sz w:val="20"/>
          <w:szCs w:val="20"/>
          <w:lang w:val="es-AR"/>
        </w:rPr>
        <w:t xml:space="preserve">aquellos </w:t>
      </w:r>
      <w:r w:rsidRPr="00386E47">
        <w:rPr>
          <w:rFonts w:ascii="Cambria" w:eastAsia="Calibri" w:hAnsi="Cambria"/>
          <w:sz w:val="20"/>
          <w:szCs w:val="20"/>
          <w:lang w:val="es-AR"/>
        </w:rPr>
        <w:t xml:space="preserve">hechos ocurridos con posterioridad al 4 de marzo de 2005, momento en que </w:t>
      </w:r>
      <w:r w:rsidR="00FD3161" w:rsidRPr="00386E47">
        <w:rPr>
          <w:rFonts w:ascii="Cambria" w:eastAsia="Calibri" w:hAnsi="Cambria"/>
          <w:sz w:val="20"/>
          <w:szCs w:val="20"/>
          <w:lang w:val="es-AR"/>
        </w:rPr>
        <w:t xml:space="preserve">fue suscripta </w:t>
      </w:r>
      <w:r w:rsidRPr="00386E47">
        <w:rPr>
          <w:rFonts w:ascii="Cambria" w:eastAsia="Calibri" w:hAnsi="Cambria"/>
          <w:sz w:val="20"/>
          <w:szCs w:val="20"/>
          <w:lang w:val="es-AR"/>
        </w:rPr>
        <w:t xml:space="preserve">la mencionada acta acuerdo. </w:t>
      </w:r>
      <w:r w:rsidR="00FD3161" w:rsidRPr="00386E47">
        <w:rPr>
          <w:rFonts w:ascii="Cambria" w:eastAsia="Calibri" w:hAnsi="Cambria"/>
          <w:sz w:val="20"/>
          <w:szCs w:val="20"/>
          <w:lang w:val="es-AR"/>
        </w:rPr>
        <w:t>En esta línea, la Comisión entiende que,</w:t>
      </w:r>
      <w:r w:rsidRPr="00386E47">
        <w:rPr>
          <w:rFonts w:ascii="Cambria" w:eastAsia="Calibri" w:hAnsi="Cambria"/>
          <w:sz w:val="20"/>
          <w:szCs w:val="20"/>
          <w:lang w:val="es-AR"/>
        </w:rPr>
        <w:t xml:space="preserve"> </w:t>
      </w:r>
      <w:r w:rsidRPr="00386E47">
        <w:rPr>
          <w:rFonts w:ascii="Cambria" w:eastAsia="Calibri" w:hAnsi="Cambria"/>
          <w:sz w:val="20"/>
          <w:szCs w:val="20"/>
          <w:lang w:val="es-ES_tradnl" w:eastAsia="es-ES"/>
        </w:rPr>
        <w:t xml:space="preserve">si bien el Estado </w:t>
      </w:r>
      <w:r w:rsidR="00FD3161" w:rsidRPr="00386E47">
        <w:rPr>
          <w:rFonts w:ascii="Cambria" w:eastAsia="Calibri" w:hAnsi="Cambria"/>
          <w:sz w:val="20"/>
          <w:szCs w:val="20"/>
          <w:lang w:val="es-ES_tradnl" w:eastAsia="es-ES"/>
        </w:rPr>
        <w:t xml:space="preserve">se pronunció respecto de </w:t>
      </w:r>
      <w:r w:rsidRPr="00386E47">
        <w:rPr>
          <w:rFonts w:ascii="Cambria" w:eastAsia="Calibri" w:hAnsi="Cambria"/>
          <w:sz w:val="20"/>
          <w:szCs w:val="20"/>
          <w:lang w:val="es-ES_tradnl" w:eastAsia="es-ES"/>
        </w:rPr>
        <w:t>algunos hechos</w:t>
      </w:r>
      <w:r w:rsidR="00FD3161" w:rsidRPr="00386E47">
        <w:rPr>
          <w:rFonts w:ascii="Cambria" w:eastAsia="Calibri" w:hAnsi="Cambria"/>
          <w:sz w:val="20"/>
          <w:szCs w:val="20"/>
          <w:lang w:val="es-ES_tradnl" w:eastAsia="es-ES"/>
        </w:rPr>
        <w:t xml:space="preserve"> posteriores a 2005</w:t>
      </w:r>
      <w:r w:rsidRPr="00386E47">
        <w:rPr>
          <w:rFonts w:ascii="Cambria" w:eastAsia="Calibri" w:hAnsi="Cambria"/>
          <w:sz w:val="20"/>
          <w:szCs w:val="20"/>
          <w:lang w:val="es-ES_tradnl" w:eastAsia="es-ES"/>
        </w:rPr>
        <w:t xml:space="preserve">, los mismos no son los suficientemente específicos para comprender las acciones y omisiones de las cuales </w:t>
      </w:r>
      <w:r w:rsidR="00FD3161" w:rsidRPr="00386E47">
        <w:rPr>
          <w:rFonts w:ascii="Cambria" w:eastAsia="Calibri" w:hAnsi="Cambria"/>
          <w:sz w:val="20"/>
          <w:szCs w:val="20"/>
          <w:lang w:val="es-ES_tradnl" w:eastAsia="es-ES"/>
        </w:rPr>
        <w:t>derivaría</w:t>
      </w:r>
      <w:r w:rsidRPr="00386E47">
        <w:rPr>
          <w:rFonts w:ascii="Cambria" w:eastAsia="Calibri" w:hAnsi="Cambria"/>
          <w:sz w:val="20"/>
          <w:szCs w:val="20"/>
          <w:lang w:val="es-ES_tradnl" w:eastAsia="es-ES"/>
        </w:rPr>
        <w:t xml:space="preserve"> su responsabilidad</w:t>
      </w:r>
      <w:r w:rsidR="00FD3161" w:rsidRPr="00386E47">
        <w:rPr>
          <w:rFonts w:ascii="Cambria" w:eastAsia="Calibri" w:hAnsi="Cambria"/>
          <w:sz w:val="20"/>
          <w:szCs w:val="20"/>
          <w:lang w:val="es-ES_tradnl" w:eastAsia="es-ES"/>
        </w:rPr>
        <w:t xml:space="preserve"> internacional</w:t>
      </w:r>
      <w:r w:rsidRPr="00386E47">
        <w:rPr>
          <w:rFonts w:ascii="Cambria" w:eastAsia="Calibri" w:hAnsi="Cambria"/>
          <w:sz w:val="20"/>
          <w:szCs w:val="20"/>
          <w:lang w:val="es-ES_tradnl" w:eastAsia="es-ES"/>
        </w:rPr>
        <w:t xml:space="preserve">, así como su correspondiente alcance y los efectos jurídicos que podrían tener hasta el presente. </w:t>
      </w:r>
    </w:p>
    <w:p w14:paraId="659C6D81" w14:textId="77777777" w:rsidR="00E9249A" w:rsidRPr="00386E47" w:rsidRDefault="00E9249A" w:rsidP="00E9249A">
      <w:pPr>
        <w:pStyle w:val="ListParagraph"/>
        <w:rPr>
          <w:rFonts w:eastAsia="Calibri"/>
          <w:sz w:val="20"/>
          <w:szCs w:val="20"/>
          <w:lang w:val="es-AR"/>
        </w:rPr>
      </w:pPr>
    </w:p>
    <w:p w14:paraId="3D21E5D3" w14:textId="77777777" w:rsidR="00E9249A" w:rsidRPr="00386E47" w:rsidRDefault="00E9249A" w:rsidP="003A5860">
      <w:pPr>
        <w:numPr>
          <w:ilvl w:val="0"/>
          <w:numId w:val="55"/>
        </w:numPr>
        <w:tabs>
          <w:tab w:val="left" w:pos="567"/>
        </w:tabs>
        <w:ind w:left="0" w:firstLine="0"/>
        <w:contextualSpacing/>
        <w:jc w:val="both"/>
        <w:rPr>
          <w:rFonts w:ascii="Cambria" w:eastAsia="Calibri" w:hAnsi="Cambria"/>
          <w:sz w:val="20"/>
          <w:szCs w:val="20"/>
          <w:lang w:val="es-AR"/>
        </w:rPr>
      </w:pPr>
      <w:r w:rsidRPr="00386E47">
        <w:rPr>
          <w:rFonts w:ascii="Cambria" w:eastAsia="Calibri" w:hAnsi="Cambria"/>
          <w:sz w:val="20"/>
          <w:szCs w:val="20"/>
          <w:lang w:val="es-AR"/>
        </w:rPr>
        <w:t xml:space="preserve">En vista de </w:t>
      </w:r>
      <w:r w:rsidR="00FD3161" w:rsidRPr="00386E47">
        <w:rPr>
          <w:rFonts w:ascii="Cambria" w:eastAsia="Calibri" w:hAnsi="Cambria"/>
          <w:sz w:val="20"/>
          <w:szCs w:val="20"/>
          <w:lang w:val="es-AR"/>
        </w:rPr>
        <w:t>la situación descripta con anterioridad</w:t>
      </w:r>
      <w:r w:rsidRPr="00386E47">
        <w:rPr>
          <w:rFonts w:ascii="Cambria" w:eastAsia="Calibri" w:hAnsi="Cambria"/>
          <w:sz w:val="20"/>
          <w:szCs w:val="20"/>
          <w:lang w:val="es-AR"/>
        </w:rPr>
        <w:t xml:space="preserve">, la Comisión considera </w:t>
      </w:r>
      <w:r w:rsidR="00FD3161" w:rsidRPr="00386E47">
        <w:rPr>
          <w:rFonts w:ascii="Cambria" w:eastAsia="Calibri" w:hAnsi="Cambria"/>
          <w:sz w:val="20"/>
          <w:szCs w:val="20"/>
          <w:lang w:val="es-AR"/>
        </w:rPr>
        <w:t>que el reconocimiento de responsabilidad del Estado argentino posee</w:t>
      </w:r>
      <w:r w:rsidRPr="00386E47">
        <w:rPr>
          <w:rFonts w:ascii="Cambria" w:eastAsia="Calibri" w:hAnsi="Cambria"/>
          <w:sz w:val="20"/>
          <w:szCs w:val="20"/>
          <w:lang w:val="es-AR"/>
        </w:rPr>
        <w:t xml:space="preserve"> plenos efectos jurídicos. Sin perjuicio de lo cual, teniendo en cuenta </w:t>
      </w:r>
      <w:r w:rsidR="00FD3161" w:rsidRPr="00386E47">
        <w:rPr>
          <w:rFonts w:ascii="Cambria" w:eastAsia="Calibri" w:hAnsi="Cambria"/>
          <w:sz w:val="20"/>
          <w:szCs w:val="20"/>
          <w:lang w:val="es-AR"/>
        </w:rPr>
        <w:t>el rol</w:t>
      </w:r>
      <w:r w:rsidRPr="00386E47">
        <w:rPr>
          <w:rFonts w:ascii="Cambria" w:eastAsia="Calibri" w:hAnsi="Cambria"/>
          <w:sz w:val="20"/>
          <w:szCs w:val="20"/>
          <w:lang w:val="es-AR"/>
        </w:rPr>
        <w:t xml:space="preserve"> de garante del orden público interamerica</w:t>
      </w:r>
      <w:r w:rsidR="00FD3161" w:rsidRPr="00386E47">
        <w:rPr>
          <w:rFonts w:ascii="Cambria" w:eastAsia="Calibri" w:hAnsi="Cambria"/>
          <w:sz w:val="20"/>
          <w:szCs w:val="20"/>
          <w:lang w:val="es-AR"/>
        </w:rPr>
        <w:t>no de la Comisión, los aspectos que continúan en controversia y la</w:t>
      </w:r>
      <w:r w:rsidRPr="00386E47">
        <w:rPr>
          <w:rFonts w:ascii="Cambria" w:eastAsia="Calibri" w:hAnsi="Cambria"/>
          <w:sz w:val="20"/>
          <w:szCs w:val="20"/>
          <w:lang w:val="es-AR"/>
        </w:rPr>
        <w:t xml:space="preserve"> necesidad de determinar el alcance de la responsabilidad </w:t>
      </w:r>
      <w:r w:rsidR="00FD3161" w:rsidRPr="00386E47">
        <w:rPr>
          <w:rFonts w:ascii="Cambria" w:eastAsia="Calibri" w:hAnsi="Cambria"/>
          <w:sz w:val="20"/>
          <w:szCs w:val="20"/>
          <w:lang w:val="es-AR"/>
        </w:rPr>
        <w:t xml:space="preserve">internacional </w:t>
      </w:r>
      <w:r w:rsidRPr="00386E47">
        <w:rPr>
          <w:rFonts w:ascii="Cambria" w:eastAsia="Calibri" w:hAnsi="Cambria"/>
          <w:sz w:val="20"/>
          <w:szCs w:val="20"/>
          <w:lang w:val="es-AR"/>
        </w:rPr>
        <w:t xml:space="preserve">del Estado argentino </w:t>
      </w:r>
      <w:r w:rsidR="00FD3161" w:rsidRPr="00386E47">
        <w:rPr>
          <w:rFonts w:ascii="Cambria" w:eastAsia="Calibri" w:hAnsi="Cambria"/>
          <w:sz w:val="20"/>
          <w:szCs w:val="20"/>
          <w:lang w:val="es-AR"/>
        </w:rPr>
        <w:t xml:space="preserve">a efectos de  </w:t>
      </w:r>
      <w:r w:rsidRPr="00386E47">
        <w:rPr>
          <w:rFonts w:ascii="Cambria" w:eastAsia="Calibri" w:hAnsi="Cambria"/>
          <w:sz w:val="20"/>
          <w:szCs w:val="20"/>
          <w:lang w:val="es-AR"/>
        </w:rPr>
        <w:t xml:space="preserve"> </w:t>
      </w:r>
      <w:r w:rsidR="00FD3161" w:rsidRPr="00386E47">
        <w:rPr>
          <w:rFonts w:ascii="Cambria" w:eastAsia="Calibri" w:hAnsi="Cambria"/>
          <w:sz w:val="20"/>
          <w:szCs w:val="20"/>
          <w:lang w:val="es-AR"/>
        </w:rPr>
        <w:t>disponer las recomendaciones pertinentes</w:t>
      </w:r>
      <w:r w:rsidRPr="00386E47">
        <w:rPr>
          <w:rFonts w:ascii="Cambria" w:eastAsia="Calibri" w:hAnsi="Cambria"/>
          <w:sz w:val="20"/>
          <w:szCs w:val="20"/>
          <w:lang w:val="es-AR"/>
        </w:rPr>
        <w:t xml:space="preserve">, la Comisión </w:t>
      </w:r>
      <w:r w:rsidR="00FD3161" w:rsidRPr="00386E47">
        <w:rPr>
          <w:rFonts w:ascii="Cambria" w:eastAsia="Calibri" w:hAnsi="Cambria"/>
          <w:sz w:val="20"/>
          <w:szCs w:val="20"/>
          <w:lang w:val="es-AR"/>
        </w:rPr>
        <w:t>concluye</w:t>
      </w:r>
      <w:r w:rsidRPr="00386E47">
        <w:rPr>
          <w:rFonts w:ascii="Cambria" w:eastAsia="Calibri" w:hAnsi="Cambria"/>
          <w:sz w:val="20"/>
          <w:szCs w:val="20"/>
          <w:lang w:val="es-AR"/>
        </w:rPr>
        <w:t xml:space="preserve"> que resulta necesario analizar de manera integral los hechos y todos los elementos de fondo materia del presente asunto.</w:t>
      </w:r>
    </w:p>
    <w:p w14:paraId="587AA213" w14:textId="77777777" w:rsidR="00E9249A" w:rsidRPr="00386E47" w:rsidRDefault="00E9249A" w:rsidP="002847DD">
      <w:pPr>
        <w:rPr>
          <w:lang w:val="es-US"/>
        </w:rPr>
      </w:pPr>
    </w:p>
    <w:p w14:paraId="73A8853F" w14:textId="77777777" w:rsidR="00055252" w:rsidRPr="00386E47" w:rsidRDefault="00055252" w:rsidP="00055252">
      <w:pPr>
        <w:pStyle w:val="Heading1"/>
        <w:rPr>
          <w:rFonts w:asciiTheme="majorHAnsi" w:hAnsiTheme="majorHAnsi"/>
          <w:szCs w:val="22"/>
        </w:rPr>
      </w:pPr>
      <w:bookmarkStart w:id="11" w:name="_Toc51252186"/>
      <w:r w:rsidRPr="00386E47">
        <w:rPr>
          <w:rFonts w:asciiTheme="majorHAnsi" w:hAnsiTheme="majorHAnsi"/>
          <w:szCs w:val="22"/>
        </w:rPr>
        <w:t>ANALISIS DE COMPETENCIA Y ADMISIBILIDAD</w:t>
      </w:r>
      <w:bookmarkEnd w:id="11"/>
      <w:r w:rsidRPr="00386E47">
        <w:rPr>
          <w:rFonts w:asciiTheme="majorHAnsi" w:hAnsiTheme="majorHAnsi"/>
          <w:szCs w:val="22"/>
        </w:rPr>
        <w:t xml:space="preserve"> </w:t>
      </w:r>
    </w:p>
    <w:p w14:paraId="230CB3A1" w14:textId="77777777" w:rsidR="00055252" w:rsidRPr="00386E47" w:rsidRDefault="00055252" w:rsidP="009146F2">
      <w:pPr>
        <w:pStyle w:val="Heading2"/>
        <w:numPr>
          <w:ilvl w:val="0"/>
          <w:numId w:val="67"/>
        </w:numPr>
        <w:rPr>
          <w:rFonts w:asciiTheme="majorHAnsi" w:hAnsiTheme="majorHAnsi"/>
        </w:rPr>
      </w:pPr>
      <w:bookmarkStart w:id="12" w:name="_Toc26215773"/>
      <w:bookmarkStart w:id="13" w:name="_Toc51252187"/>
      <w:r w:rsidRPr="00386E47">
        <w:rPr>
          <w:rFonts w:asciiTheme="majorHAnsi" w:hAnsiTheme="majorHAnsi"/>
        </w:rPr>
        <w:t>Competencia, duplicidad de procedimiento y cosa juzgada internacional.</w:t>
      </w:r>
      <w:bookmarkEnd w:id="12"/>
      <w:bookmarkEnd w:id="13"/>
      <w:r w:rsidRPr="00386E47">
        <w:rPr>
          <w:rFonts w:asciiTheme="majorHAnsi" w:hAnsiTheme="majorHAnsi"/>
        </w:rPr>
        <w:t xml:space="preserve"> </w:t>
      </w:r>
    </w:p>
    <w:p w14:paraId="3953F723" w14:textId="77777777" w:rsidR="00055252" w:rsidRPr="00386E47" w:rsidRDefault="00055252" w:rsidP="00055252">
      <w:pPr>
        <w:rPr>
          <w:rFonts w:asciiTheme="majorHAnsi" w:hAnsiTheme="majorHAnsi"/>
          <w:lang w:val="es-US"/>
        </w:rPr>
      </w:pPr>
    </w:p>
    <w:tbl>
      <w:tblPr>
        <w:tblW w:w="9446" w:type="dxa"/>
        <w:tblInd w:w="108" w:type="dxa"/>
        <w:tblLayout w:type="fixed"/>
        <w:tblLook w:val="0400" w:firstRow="0" w:lastRow="0" w:firstColumn="0" w:lastColumn="0" w:noHBand="0" w:noVBand="1"/>
      </w:tblPr>
      <w:tblGrid>
        <w:gridCol w:w="4723"/>
        <w:gridCol w:w="4723"/>
      </w:tblGrid>
      <w:tr w:rsidR="00055252" w:rsidRPr="00386E47" w14:paraId="5D8C46AA" w14:textId="77777777" w:rsidTr="00055252">
        <w:trPr>
          <w:trHeight w:val="280"/>
        </w:trPr>
        <w:tc>
          <w:tcPr>
            <w:tcW w:w="4723" w:type="dxa"/>
            <w:tcBorders>
              <w:top w:val="single" w:sz="8" w:space="0" w:color="000000"/>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653CD6C6" w14:textId="77777777" w:rsidR="00055252" w:rsidRPr="00386E47" w:rsidRDefault="00055252" w:rsidP="00055252">
            <w:pPr>
              <w:jc w:val="center"/>
              <w:rPr>
                <w:rFonts w:asciiTheme="majorHAnsi" w:eastAsia="Cambria" w:hAnsiTheme="majorHAnsi" w:cs="Cambria"/>
                <w:color w:val="FFFFFF"/>
                <w:sz w:val="20"/>
                <w:szCs w:val="20"/>
                <w:lang w:val="es-ES"/>
              </w:rPr>
            </w:pPr>
            <w:r w:rsidRPr="00386E47">
              <w:rPr>
                <w:rFonts w:asciiTheme="majorHAnsi" w:eastAsia="Cambria" w:hAnsiTheme="majorHAnsi" w:cs="Cambria"/>
                <w:color w:val="FFFFFF"/>
                <w:sz w:val="20"/>
                <w:szCs w:val="20"/>
                <w:lang w:val="es-ES"/>
              </w:rPr>
              <w:t>Competencia Ratione personae:</w:t>
            </w:r>
          </w:p>
        </w:tc>
        <w:tc>
          <w:tcPr>
            <w:tcW w:w="47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A085AB2" w14:textId="77777777" w:rsidR="00055252" w:rsidRPr="00386E47" w:rsidRDefault="00055252" w:rsidP="00055252">
            <w:pPr>
              <w:rPr>
                <w:rFonts w:asciiTheme="majorHAnsi" w:eastAsia="Cambria" w:hAnsiTheme="majorHAnsi" w:cs="Cambria"/>
                <w:sz w:val="20"/>
                <w:szCs w:val="20"/>
                <w:lang w:val="es-ES"/>
              </w:rPr>
            </w:pPr>
            <w:r w:rsidRPr="00386E47">
              <w:rPr>
                <w:rFonts w:asciiTheme="majorHAnsi" w:eastAsia="Cambria" w:hAnsiTheme="majorHAnsi" w:cs="Cambria"/>
                <w:sz w:val="20"/>
                <w:szCs w:val="20"/>
                <w:lang w:val="es-ES"/>
              </w:rPr>
              <w:t>Sí.</w:t>
            </w:r>
          </w:p>
        </w:tc>
      </w:tr>
      <w:tr w:rsidR="00055252" w:rsidRPr="00386E47" w14:paraId="43B95471" w14:textId="77777777" w:rsidTr="00055252">
        <w:trPr>
          <w:trHeight w:val="280"/>
        </w:trPr>
        <w:tc>
          <w:tcPr>
            <w:tcW w:w="4723" w:type="dxa"/>
            <w:tcBorders>
              <w:top w:val="nil"/>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697FC617" w14:textId="77777777" w:rsidR="00055252" w:rsidRPr="00386E47" w:rsidRDefault="00055252" w:rsidP="00055252">
            <w:pPr>
              <w:jc w:val="center"/>
              <w:rPr>
                <w:rFonts w:asciiTheme="majorHAnsi" w:eastAsia="Cambria" w:hAnsiTheme="majorHAnsi" w:cs="Cambria"/>
                <w:color w:val="FFFFFF"/>
                <w:sz w:val="20"/>
                <w:szCs w:val="20"/>
                <w:lang w:val="es-ES"/>
              </w:rPr>
            </w:pPr>
            <w:r w:rsidRPr="00386E47">
              <w:rPr>
                <w:rFonts w:asciiTheme="majorHAnsi" w:eastAsia="Cambria" w:hAnsiTheme="majorHAnsi" w:cs="Cambria"/>
                <w:color w:val="FFFFFF"/>
                <w:sz w:val="20"/>
                <w:szCs w:val="20"/>
                <w:lang w:val="es-ES"/>
              </w:rPr>
              <w:t>Competencia Ratione loci:</w:t>
            </w:r>
          </w:p>
        </w:tc>
        <w:tc>
          <w:tcPr>
            <w:tcW w:w="472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DF547E" w14:textId="77777777" w:rsidR="00055252" w:rsidRPr="00386E47" w:rsidRDefault="00055252" w:rsidP="00055252">
            <w:pPr>
              <w:rPr>
                <w:rFonts w:asciiTheme="majorHAnsi" w:eastAsia="Cambria" w:hAnsiTheme="majorHAnsi" w:cs="Cambria"/>
                <w:sz w:val="20"/>
                <w:szCs w:val="20"/>
                <w:lang w:val="es-ES"/>
              </w:rPr>
            </w:pPr>
            <w:r w:rsidRPr="00386E47">
              <w:rPr>
                <w:rFonts w:asciiTheme="majorHAnsi" w:eastAsia="Cambria" w:hAnsiTheme="majorHAnsi" w:cs="Cambria"/>
                <w:sz w:val="20"/>
                <w:szCs w:val="20"/>
                <w:lang w:val="es-ES"/>
              </w:rPr>
              <w:t>Sí.</w:t>
            </w:r>
          </w:p>
        </w:tc>
      </w:tr>
      <w:tr w:rsidR="00055252" w:rsidRPr="00386E47" w14:paraId="41C43A09" w14:textId="77777777" w:rsidTr="00055252">
        <w:trPr>
          <w:trHeight w:val="280"/>
        </w:trPr>
        <w:tc>
          <w:tcPr>
            <w:tcW w:w="4723" w:type="dxa"/>
            <w:tcBorders>
              <w:top w:val="nil"/>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37E957C1" w14:textId="77777777" w:rsidR="00055252" w:rsidRPr="00386E47" w:rsidRDefault="00055252" w:rsidP="00055252">
            <w:pPr>
              <w:jc w:val="center"/>
              <w:rPr>
                <w:rFonts w:asciiTheme="majorHAnsi" w:eastAsia="Cambria" w:hAnsiTheme="majorHAnsi" w:cs="Cambria"/>
                <w:color w:val="FFFFFF"/>
                <w:sz w:val="20"/>
                <w:szCs w:val="20"/>
                <w:lang w:val="es-ES"/>
              </w:rPr>
            </w:pPr>
            <w:r w:rsidRPr="00386E47">
              <w:rPr>
                <w:rFonts w:asciiTheme="majorHAnsi" w:eastAsia="Cambria" w:hAnsiTheme="majorHAnsi" w:cs="Cambria"/>
                <w:color w:val="FFFFFF"/>
                <w:sz w:val="20"/>
                <w:szCs w:val="20"/>
                <w:lang w:val="es-ES"/>
              </w:rPr>
              <w:t>Competencia Ratione temporis:</w:t>
            </w:r>
          </w:p>
        </w:tc>
        <w:tc>
          <w:tcPr>
            <w:tcW w:w="472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DD865C0" w14:textId="77777777" w:rsidR="00055252" w:rsidRPr="00386E47" w:rsidRDefault="00055252" w:rsidP="00571172">
            <w:pPr>
              <w:rPr>
                <w:rFonts w:asciiTheme="majorHAnsi" w:eastAsia="Cambria" w:hAnsiTheme="majorHAnsi" w:cs="Cambria"/>
                <w:sz w:val="20"/>
                <w:szCs w:val="20"/>
                <w:lang w:val="es-ES"/>
              </w:rPr>
            </w:pPr>
            <w:r w:rsidRPr="00386E47">
              <w:rPr>
                <w:rFonts w:asciiTheme="majorHAnsi" w:eastAsia="Cambria" w:hAnsiTheme="majorHAnsi" w:cs="Cambria"/>
                <w:sz w:val="20"/>
                <w:szCs w:val="20"/>
                <w:lang w:val="es-ES"/>
              </w:rPr>
              <w:t>Sí.</w:t>
            </w:r>
            <w:r w:rsidR="00571172" w:rsidRPr="00386E47">
              <w:rPr>
                <w:rFonts w:asciiTheme="majorHAnsi" w:hAnsiTheme="majorHAnsi"/>
                <w:sz w:val="20"/>
                <w:szCs w:val="20"/>
                <w:lang w:val="es-ES_tradnl" w:eastAsia="es-ES"/>
              </w:rPr>
              <w:t xml:space="preserve"> </w:t>
            </w:r>
          </w:p>
        </w:tc>
      </w:tr>
      <w:tr w:rsidR="00055252" w:rsidRPr="000F00CB" w14:paraId="1DB37985" w14:textId="77777777" w:rsidTr="00055252">
        <w:trPr>
          <w:trHeight w:val="280"/>
        </w:trPr>
        <w:tc>
          <w:tcPr>
            <w:tcW w:w="4723" w:type="dxa"/>
            <w:tcBorders>
              <w:top w:val="nil"/>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1FF34975" w14:textId="77777777" w:rsidR="00055252" w:rsidRPr="00386E47" w:rsidRDefault="00055252" w:rsidP="00055252">
            <w:pPr>
              <w:jc w:val="center"/>
              <w:rPr>
                <w:rFonts w:asciiTheme="majorHAnsi" w:eastAsia="Cambria" w:hAnsiTheme="majorHAnsi" w:cs="Cambria"/>
                <w:color w:val="FFFFFF"/>
                <w:sz w:val="20"/>
                <w:szCs w:val="20"/>
                <w:lang w:val="es-ES"/>
              </w:rPr>
            </w:pPr>
            <w:r w:rsidRPr="00386E47">
              <w:rPr>
                <w:rFonts w:asciiTheme="majorHAnsi" w:eastAsia="Cambria" w:hAnsiTheme="majorHAnsi" w:cs="Cambria"/>
                <w:color w:val="FFFFFF"/>
                <w:sz w:val="20"/>
                <w:szCs w:val="20"/>
                <w:lang w:val="es-ES"/>
              </w:rPr>
              <w:t>Competencia Ratione materiae:</w:t>
            </w:r>
          </w:p>
        </w:tc>
        <w:tc>
          <w:tcPr>
            <w:tcW w:w="472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355CD58" w14:textId="77777777" w:rsidR="00055252" w:rsidRPr="00386E47" w:rsidRDefault="00055252" w:rsidP="00055252">
            <w:pPr>
              <w:jc w:val="both"/>
              <w:rPr>
                <w:rFonts w:asciiTheme="majorHAnsi" w:eastAsia="Cambria" w:hAnsiTheme="majorHAnsi" w:cs="Cambria"/>
                <w:sz w:val="20"/>
                <w:szCs w:val="20"/>
                <w:lang w:val="es-ES"/>
              </w:rPr>
            </w:pPr>
            <w:r w:rsidRPr="00386E47">
              <w:rPr>
                <w:rFonts w:asciiTheme="majorHAnsi" w:eastAsia="Cambria" w:hAnsiTheme="majorHAnsi" w:cs="Cambria"/>
                <w:sz w:val="20"/>
                <w:szCs w:val="20"/>
                <w:lang w:val="es-ES"/>
              </w:rPr>
              <w:t>Sí.</w:t>
            </w:r>
            <w:r w:rsidR="00571172" w:rsidRPr="00386E47">
              <w:rPr>
                <w:rFonts w:asciiTheme="majorHAnsi" w:hAnsiTheme="majorHAnsi"/>
                <w:sz w:val="20"/>
                <w:szCs w:val="20"/>
                <w:lang w:val="es-ES_tradnl" w:eastAsia="es-ES"/>
              </w:rPr>
              <w:t xml:space="preserve"> Convención Americana sobre Derechos Humanos (depósito de instrumento de ratificación realizado el 5 de septiembre de 1984).</w:t>
            </w:r>
          </w:p>
        </w:tc>
      </w:tr>
      <w:tr w:rsidR="00055252" w:rsidRPr="00386E47" w14:paraId="1486A881" w14:textId="77777777" w:rsidTr="00055252">
        <w:trPr>
          <w:trHeight w:val="580"/>
        </w:trPr>
        <w:tc>
          <w:tcPr>
            <w:tcW w:w="4723" w:type="dxa"/>
            <w:tcBorders>
              <w:top w:val="nil"/>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0949A0E9" w14:textId="77777777" w:rsidR="00055252" w:rsidRPr="00386E47" w:rsidRDefault="00055252" w:rsidP="00055252">
            <w:pPr>
              <w:jc w:val="center"/>
              <w:rPr>
                <w:rFonts w:asciiTheme="majorHAnsi" w:eastAsia="Cambria" w:hAnsiTheme="majorHAnsi" w:cs="Cambria"/>
                <w:color w:val="FFFFFF"/>
                <w:sz w:val="20"/>
                <w:szCs w:val="20"/>
                <w:lang w:val="es-ES"/>
              </w:rPr>
            </w:pPr>
            <w:r w:rsidRPr="00386E47">
              <w:rPr>
                <w:rFonts w:asciiTheme="majorHAnsi" w:eastAsia="Cambria" w:hAnsiTheme="majorHAnsi" w:cs="Cambria"/>
                <w:color w:val="FFFFFF"/>
                <w:sz w:val="20"/>
                <w:szCs w:val="20"/>
                <w:lang w:val="es-ES"/>
              </w:rPr>
              <w:t>Duplicación de procedimientos y cosa juzgada internacional:</w:t>
            </w:r>
          </w:p>
        </w:tc>
        <w:tc>
          <w:tcPr>
            <w:tcW w:w="472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AEC9F5" w14:textId="77777777" w:rsidR="00055252" w:rsidRPr="00386E47" w:rsidRDefault="00055252" w:rsidP="00055252">
            <w:pPr>
              <w:jc w:val="both"/>
              <w:rPr>
                <w:rFonts w:asciiTheme="majorHAnsi" w:eastAsia="Cambria" w:hAnsiTheme="majorHAnsi" w:cs="Cambria"/>
                <w:sz w:val="20"/>
                <w:szCs w:val="20"/>
                <w:lang w:val="es-ES"/>
              </w:rPr>
            </w:pPr>
            <w:r w:rsidRPr="00386E47">
              <w:rPr>
                <w:rFonts w:asciiTheme="majorHAnsi" w:eastAsia="Cambria" w:hAnsiTheme="majorHAnsi" w:cs="Cambria"/>
                <w:sz w:val="20"/>
                <w:szCs w:val="20"/>
                <w:lang w:val="es-ES"/>
              </w:rPr>
              <w:t>No</w:t>
            </w:r>
          </w:p>
        </w:tc>
      </w:tr>
    </w:tbl>
    <w:p w14:paraId="0CFB10F1" w14:textId="77777777" w:rsidR="00055252" w:rsidRPr="00386E47" w:rsidRDefault="00055252" w:rsidP="00055252">
      <w:pPr>
        <w:spacing w:after="160" w:line="259" w:lineRule="auto"/>
        <w:jc w:val="both"/>
        <w:rPr>
          <w:rFonts w:asciiTheme="majorHAnsi" w:eastAsia="Calibri" w:hAnsiTheme="majorHAnsi"/>
          <w:sz w:val="20"/>
          <w:szCs w:val="20"/>
          <w:lang w:val="es-US"/>
        </w:rPr>
      </w:pPr>
    </w:p>
    <w:p w14:paraId="16C5AA3F" w14:textId="77777777" w:rsidR="00055252" w:rsidRPr="00386E47" w:rsidRDefault="00055252" w:rsidP="009146F2">
      <w:pPr>
        <w:pStyle w:val="Heading2"/>
        <w:numPr>
          <w:ilvl w:val="0"/>
          <w:numId w:val="67"/>
        </w:numPr>
        <w:rPr>
          <w:rFonts w:asciiTheme="majorHAnsi" w:hAnsiTheme="majorHAnsi"/>
        </w:rPr>
      </w:pPr>
      <w:bookmarkStart w:id="14" w:name="_Toc26215774"/>
      <w:bookmarkStart w:id="15" w:name="_Toc51252188"/>
      <w:r w:rsidRPr="00386E47">
        <w:rPr>
          <w:rFonts w:asciiTheme="majorHAnsi" w:hAnsiTheme="majorHAnsi"/>
        </w:rPr>
        <w:t>Agotamiento de los recursos internos y plazo de presentación.</w:t>
      </w:r>
      <w:bookmarkEnd w:id="14"/>
      <w:bookmarkEnd w:id="15"/>
      <w:r w:rsidRPr="00386E47">
        <w:rPr>
          <w:rFonts w:asciiTheme="majorHAnsi" w:hAnsiTheme="majorHAnsi"/>
        </w:rPr>
        <w:t xml:space="preserve"> </w:t>
      </w:r>
    </w:p>
    <w:p w14:paraId="3820EB4F" w14:textId="77777777" w:rsidR="00055252" w:rsidRPr="00386E47" w:rsidRDefault="00055252" w:rsidP="00365006">
      <w:pPr>
        <w:jc w:val="both"/>
        <w:rPr>
          <w:rFonts w:asciiTheme="majorHAnsi" w:eastAsia="Calibri" w:hAnsiTheme="majorHAnsi"/>
          <w:sz w:val="20"/>
          <w:szCs w:val="20"/>
          <w:lang w:val="es-US"/>
        </w:rPr>
      </w:pPr>
    </w:p>
    <w:p w14:paraId="61F006EB" w14:textId="77777777" w:rsidR="00055252" w:rsidRPr="00386E47" w:rsidRDefault="00055252" w:rsidP="003A5860">
      <w:pPr>
        <w:numPr>
          <w:ilvl w:val="0"/>
          <w:numId w:val="55"/>
        </w:numPr>
        <w:tabs>
          <w:tab w:val="left" w:pos="567"/>
        </w:tabs>
        <w:ind w:left="0" w:firstLine="0"/>
        <w:jc w:val="both"/>
        <w:rPr>
          <w:rFonts w:asciiTheme="majorHAnsi" w:eastAsia="Calibri" w:hAnsiTheme="majorHAnsi"/>
          <w:sz w:val="20"/>
          <w:szCs w:val="20"/>
          <w:lang w:val="es-ES"/>
        </w:rPr>
      </w:pPr>
      <w:r w:rsidRPr="00386E47">
        <w:rPr>
          <w:rFonts w:asciiTheme="majorHAnsi" w:eastAsia="Batang" w:hAnsiTheme="majorHAnsi"/>
          <w:sz w:val="20"/>
          <w:szCs w:val="20"/>
          <w:lang w:val="es-ES"/>
        </w:rPr>
        <w:t>De acuerdo al criterio constante de la CIDH, “(…) el análisis sobre los requisitos previstos en los artículos 46 y 47 de la Convención debe hacerse a la luz de la situación vigente al momento en que se pronuncia sobre la admisibilidad o inadmisibilidad del reclamo”</w:t>
      </w:r>
      <w:r w:rsidRPr="00386E47">
        <w:rPr>
          <w:rFonts w:asciiTheme="majorHAnsi" w:hAnsiTheme="majorHAnsi"/>
          <w:sz w:val="20"/>
          <w:szCs w:val="20"/>
          <w:vertAlign w:val="superscript"/>
          <w:lang w:val="es-ES"/>
        </w:rPr>
        <w:footnoteReference w:id="6"/>
      </w:r>
      <w:bookmarkStart w:id="16" w:name="_Toc25252204"/>
      <w:r w:rsidR="00626E71" w:rsidRPr="00386E47">
        <w:rPr>
          <w:rFonts w:asciiTheme="majorHAnsi" w:eastAsia="Batang" w:hAnsiTheme="majorHAnsi"/>
          <w:sz w:val="20"/>
          <w:szCs w:val="20"/>
          <w:lang w:val="es-ES"/>
        </w:rPr>
        <w:t>.</w:t>
      </w:r>
    </w:p>
    <w:p w14:paraId="504661AD" w14:textId="77777777" w:rsidR="00365006" w:rsidRPr="00386E47" w:rsidRDefault="00365006" w:rsidP="00365006">
      <w:pPr>
        <w:tabs>
          <w:tab w:val="left" w:pos="567"/>
        </w:tabs>
        <w:jc w:val="both"/>
        <w:rPr>
          <w:rFonts w:asciiTheme="majorHAnsi" w:eastAsia="Calibri" w:hAnsiTheme="majorHAnsi"/>
          <w:sz w:val="20"/>
          <w:szCs w:val="20"/>
          <w:lang w:val="es-ES"/>
        </w:rPr>
      </w:pPr>
    </w:p>
    <w:p w14:paraId="371E10CD" w14:textId="77777777" w:rsidR="00055252" w:rsidRPr="00386E47" w:rsidRDefault="00055252" w:rsidP="003A5860">
      <w:pPr>
        <w:numPr>
          <w:ilvl w:val="0"/>
          <w:numId w:val="55"/>
        </w:numPr>
        <w:tabs>
          <w:tab w:val="left" w:pos="567"/>
        </w:tabs>
        <w:ind w:left="0" w:firstLine="0"/>
        <w:jc w:val="both"/>
        <w:rPr>
          <w:rFonts w:asciiTheme="majorHAnsi" w:eastAsia="Calibri" w:hAnsiTheme="majorHAnsi"/>
          <w:sz w:val="20"/>
          <w:szCs w:val="20"/>
          <w:lang w:val="es-ES"/>
        </w:rPr>
      </w:pPr>
      <w:r w:rsidRPr="00386E47">
        <w:rPr>
          <w:rFonts w:asciiTheme="majorHAnsi" w:hAnsiTheme="majorHAnsi"/>
          <w:sz w:val="20"/>
          <w:szCs w:val="20"/>
          <w:lang w:val="es-ES"/>
        </w:rPr>
        <w:t>En el presente caso, la parte peticionaria adujo que el caso cumple con la excepción al agotamiento de recursos internos, tanto porque los recursos han sido ineficaces para dar con la verdad de los hechos, como por el retardo excesivo e injustificado de la justicia, debido a la intención del Estado de evitar una verdadera investigación. Indic</w:t>
      </w:r>
      <w:r w:rsidR="00A62052" w:rsidRPr="00386E47">
        <w:rPr>
          <w:rFonts w:asciiTheme="majorHAnsi" w:hAnsiTheme="majorHAnsi"/>
          <w:sz w:val="20"/>
          <w:szCs w:val="20"/>
          <w:lang w:val="es-ES"/>
        </w:rPr>
        <w:t>ó</w:t>
      </w:r>
      <w:r w:rsidRPr="00386E47">
        <w:rPr>
          <w:rFonts w:asciiTheme="majorHAnsi" w:hAnsiTheme="majorHAnsi"/>
          <w:sz w:val="20"/>
          <w:szCs w:val="20"/>
          <w:lang w:val="es-ES"/>
        </w:rPr>
        <w:t xml:space="preserve"> que pasaron 25 años para que se iniciara el juicio oral a la única persona imputada por el atentado y 15 años para que se condenara a los funcionarios involucrados en el desvío y encubrimiento de la investigación del atentado</w:t>
      </w:r>
      <w:r w:rsidR="00A62052" w:rsidRPr="00386E47">
        <w:rPr>
          <w:rFonts w:asciiTheme="majorHAnsi" w:hAnsiTheme="majorHAnsi"/>
          <w:sz w:val="20"/>
          <w:szCs w:val="20"/>
          <w:lang w:val="es-ES"/>
        </w:rPr>
        <w:t xml:space="preserve">, sin </w:t>
      </w:r>
      <w:r w:rsidR="00571172" w:rsidRPr="00386E47">
        <w:rPr>
          <w:rFonts w:asciiTheme="majorHAnsi" w:hAnsiTheme="majorHAnsi"/>
          <w:sz w:val="20"/>
          <w:szCs w:val="20"/>
          <w:lang w:val="es-ES"/>
        </w:rPr>
        <w:t>embargo,</w:t>
      </w:r>
      <w:r w:rsidR="00A62052" w:rsidRPr="00386E47">
        <w:rPr>
          <w:rFonts w:asciiTheme="majorHAnsi" w:hAnsiTheme="majorHAnsi"/>
          <w:sz w:val="20"/>
          <w:szCs w:val="20"/>
          <w:lang w:val="es-ES"/>
        </w:rPr>
        <w:t xml:space="preserve"> no se ha logrado a la fecha determinar la verdad de lo ocurrido, ni sancionar a los responsables</w:t>
      </w:r>
      <w:r w:rsidRPr="00386E47">
        <w:rPr>
          <w:rFonts w:asciiTheme="majorHAnsi" w:hAnsiTheme="majorHAnsi"/>
          <w:sz w:val="20"/>
          <w:szCs w:val="20"/>
          <w:lang w:val="es-ES"/>
        </w:rPr>
        <w:t xml:space="preserve">. </w:t>
      </w:r>
    </w:p>
    <w:p w14:paraId="177751FB" w14:textId="77777777" w:rsidR="00365006" w:rsidRPr="00386E47" w:rsidRDefault="00365006" w:rsidP="00365006">
      <w:pPr>
        <w:tabs>
          <w:tab w:val="left" w:pos="567"/>
        </w:tabs>
        <w:jc w:val="both"/>
        <w:rPr>
          <w:rFonts w:asciiTheme="majorHAnsi" w:eastAsia="Calibri" w:hAnsiTheme="majorHAnsi"/>
          <w:sz w:val="20"/>
          <w:szCs w:val="20"/>
          <w:lang w:val="es-ES"/>
        </w:rPr>
      </w:pPr>
    </w:p>
    <w:p w14:paraId="5790C4ED" w14:textId="77777777" w:rsidR="00055252" w:rsidRPr="00386E47" w:rsidRDefault="00A62052" w:rsidP="003A5860">
      <w:pPr>
        <w:numPr>
          <w:ilvl w:val="0"/>
          <w:numId w:val="55"/>
        </w:numPr>
        <w:tabs>
          <w:tab w:val="left" w:pos="567"/>
        </w:tabs>
        <w:ind w:left="0" w:firstLine="0"/>
        <w:jc w:val="both"/>
        <w:rPr>
          <w:rFonts w:asciiTheme="majorHAnsi" w:eastAsia="Calibri" w:hAnsiTheme="majorHAnsi"/>
          <w:sz w:val="20"/>
          <w:szCs w:val="20"/>
          <w:lang w:val="es-ES"/>
        </w:rPr>
      </w:pPr>
      <w:r w:rsidRPr="00386E47">
        <w:rPr>
          <w:rFonts w:asciiTheme="majorHAnsi" w:eastAsia="Batang" w:hAnsiTheme="majorHAnsi"/>
          <w:sz w:val="20"/>
          <w:szCs w:val="20"/>
          <w:lang w:val="es-ES"/>
        </w:rPr>
        <w:t>En relación con la posición del Estado argentino,</w:t>
      </w:r>
      <w:r w:rsidR="00055252" w:rsidRPr="00386E47">
        <w:rPr>
          <w:rFonts w:asciiTheme="majorHAnsi" w:eastAsia="Batang" w:hAnsiTheme="majorHAnsi"/>
          <w:sz w:val="20"/>
          <w:szCs w:val="20"/>
          <w:lang w:val="es-ES"/>
        </w:rPr>
        <w:t xml:space="preserve"> la Comisión observa que en sus primeras presentaciones alegó falta de agotamiento de los recursos internos; sin embargo, en sus comunicaciones posteriores refirió que, atento a que el Estado argentino asumió responsabilidad internacional mediante Decreto 812/2005, resultaría innecesario formular observaciones relativas al fondo del asunto. El Estado no volvió a presentar observaciones o alegatos respecto a la admisibilidad del caso. </w:t>
      </w:r>
    </w:p>
    <w:p w14:paraId="67DFA185" w14:textId="77777777" w:rsidR="00365006" w:rsidRPr="00386E47" w:rsidRDefault="00365006" w:rsidP="00365006">
      <w:pPr>
        <w:tabs>
          <w:tab w:val="left" w:pos="567"/>
        </w:tabs>
        <w:jc w:val="both"/>
        <w:rPr>
          <w:rFonts w:asciiTheme="majorHAnsi" w:eastAsia="Calibri" w:hAnsiTheme="majorHAnsi"/>
          <w:sz w:val="20"/>
          <w:szCs w:val="20"/>
          <w:lang w:val="es-ES"/>
        </w:rPr>
      </w:pPr>
    </w:p>
    <w:p w14:paraId="09445AF7" w14:textId="77777777" w:rsidR="00055252" w:rsidRPr="00386E47" w:rsidRDefault="00055252" w:rsidP="003A5860">
      <w:pPr>
        <w:numPr>
          <w:ilvl w:val="0"/>
          <w:numId w:val="55"/>
        </w:numPr>
        <w:tabs>
          <w:tab w:val="left" w:pos="567"/>
        </w:tabs>
        <w:ind w:left="0" w:firstLine="0"/>
        <w:jc w:val="both"/>
        <w:rPr>
          <w:rFonts w:asciiTheme="majorHAnsi" w:eastAsia="Calibri" w:hAnsiTheme="majorHAnsi"/>
          <w:sz w:val="20"/>
          <w:szCs w:val="20"/>
          <w:lang w:val="es-ES"/>
        </w:rPr>
      </w:pPr>
      <w:r w:rsidRPr="00386E47">
        <w:rPr>
          <w:rFonts w:asciiTheme="majorHAnsi" w:eastAsia="Batang" w:hAnsiTheme="majorHAnsi"/>
          <w:sz w:val="20"/>
          <w:szCs w:val="20"/>
          <w:lang w:val="es-UY"/>
        </w:rPr>
        <w:t>Tomando en cuenta que han pasado casi 26 añ</w:t>
      </w:r>
      <w:r w:rsidR="000E0C69" w:rsidRPr="00386E47">
        <w:rPr>
          <w:rFonts w:asciiTheme="majorHAnsi" w:eastAsia="Batang" w:hAnsiTheme="majorHAnsi"/>
          <w:sz w:val="20"/>
          <w:szCs w:val="20"/>
          <w:lang w:val="es-UY"/>
        </w:rPr>
        <w:t>os del inicio del proceso penal sin resolución</w:t>
      </w:r>
      <w:r w:rsidRPr="00386E47">
        <w:rPr>
          <w:rFonts w:asciiTheme="majorHAnsi" w:eastAsia="Batang" w:hAnsiTheme="majorHAnsi"/>
          <w:sz w:val="20"/>
          <w:szCs w:val="20"/>
          <w:lang w:val="es-UY"/>
        </w:rPr>
        <w:t xml:space="preserve"> y debiendo ser esa la vía idónea para esclarecer los hechos y responsabilidades, a través de una investigación diligente y de oficio, la Comisión considera que resulta aplicable la excepción prevista en el artículo 46.2 c) de la Convención Americana.</w:t>
      </w:r>
    </w:p>
    <w:p w14:paraId="1E625B92" w14:textId="77777777" w:rsidR="00365006" w:rsidRPr="00386E47" w:rsidRDefault="00365006" w:rsidP="00365006">
      <w:pPr>
        <w:tabs>
          <w:tab w:val="left" w:pos="567"/>
        </w:tabs>
        <w:jc w:val="both"/>
        <w:rPr>
          <w:rFonts w:asciiTheme="majorHAnsi" w:eastAsia="Calibri" w:hAnsiTheme="majorHAnsi"/>
          <w:sz w:val="20"/>
          <w:szCs w:val="20"/>
          <w:lang w:val="es-ES"/>
        </w:rPr>
      </w:pPr>
    </w:p>
    <w:p w14:paraId="3E5FBF77" w14:textId="77777777" w:rsidR="00055252" w:rsidRPr="00386E47" w:rsidRDefault="00055252" w:rsidP="003A5860">
      <w:pPr>
        <w:numPr>
          <w:ilvl w:val="0"/>
          <w:numId w:val="55"/>
        </w:numPr>
        <w:tabs>
          <w:tab w:val="left" w:pos="567"/>
        </w:tabs>
        <w:ind w:left="0" w:firstLine="0"/>
        <w:jc w:val="both"/>
        <w:rPr>
          <w:rFonts w:asciiTheme="majorHAnsi" w:eastAsia="Calibri" w:hAnsiTheme="majorHAnsi"/>
          <w:sz w:val="20"/>
          <w:szCs w:val="20"/>
          <w:lang w:val="es-ES"/>
        </w:rPr>
      </w:pPr>
      <w:r w:rsidRPr="00386E47">
        <w:rPr>
          <w:rFonts w:asciiTheme="majorHAnsi" w:eastAsia="Batang" w:hAnsiTheme="majorHAnsi"/>
          <w:sz w:val="20"/>
          <w:szCs w:val="20"/>
          <w:lang w:val="es-UY"/>
        </w:rPr>
        <w:t>Por su parte, el artículo 32 del Reglamento de la Comisión establece que en los casos en los cuales resulten aplicables las excepciones al previo agotamiento de los recursos internos, la petición deberá presentarse dentro de un plazo razonable, a criterio de la Comisión.</w:t>
      </w:r>
    </w:p>
    <w:p w14:paraId="7A410062" w14:textId="77777777" w:rsidR="00365006" w:rsidRPr="00386E47" w:rsidRDefault="00365006" w:rsidP="00365006">
      <w:pPr>
        <w:tabs>
          <w:tab w:val="left" w:pos="567"/>
        </w:tabs>
        <w:jc w:val="both"/>
        <w:rPr>
          <w:rFonts w:asciiTheme="majorHAnsi" w:eastAsia="Calibri" w:hAnsiTheme="majorHAnsi"/>
          <w:sz w:val="20"/>
          <w:szCs w:val="20"/>
          <w:lang w:val="es-ES"/>
        </w:rPr>
      </w:pPr>
    </w:p>
    <w:p w14:paraId="2AB8ACBC" w14:textId="77777777" w:rsidR="00055252" w:rsidRPr="00386E47" w:rsidRDefault="00055252" w:rsidP="003A5860">
      <w:pPr>
        <w:numPr>
          <w:ilvl w:val="0"/>
          <w:numId w:val="55"/>
        </w:numPr>
        <w:tabs>
          <w:tab w:val="left" w:pos="567"/>
        </w:tabs>
        <w:ind w:left="0" w:firstLine="0"/>
        <w:jc w:val="both"/>
        <w:rPr>
          <w:rFonts w:asciiTheme="majorHAnsi" w:eastAsia="Calibri" w:hAnsiTheme="majorHAnsi"/>
          <w:sz w:val="20"/>
          <w:szCs w:val="20"/>
          <w:lang w:val="es-ES"/>
        </w:rPr>
      </w:pPr>
      <w:r w:rsidRPr="00386E47">
        <w:rPr>
          <w:rFonts w:asciiTheme="majorHAnsi" w:eastAsia="Batang" w:hAnsiTheme="majorHAnsi"/>
          <w:sz w:val="20"/>
          <w:szCs w:val="20"/>
          <w:lang w:val="es-UY"/>
        </w:rPr>
        <w:t xml:space="preserve">En el presente caso, la petición fue recibida el 16 de julio de 1999, cinco años después del atentado y del </w:t>
      </w:r>
      <w:r w:rsidR="000E0C69" w:rsidRPr="00386E47">
        <w:rPr>
          <w:rFonts w:asciiTheme="majorHAnsi" w:eastAsia="Batang" w:hAnsiTheme="majorHAnsi"/>
          <w:sz w:val="20"/>
          <w:szCs w:val="20"/>
          <w:lang w:val="es-UY"/>
        </w:rPr>
        <w:t>inicio</w:t>
      </w:r>
      <w:r w:rsidRPr="00386E47">
        <w:rPr>
          <w:rFonts w:asciiTheme="majorHAnsi" w:eastAsia="Batang" w:hAnsiTheme="majorHAnsi"/>
          <w:sz w:val="20"/>
          <w:szCs w:val="20"/>
          <w:lang w:val="es-UY"/>
        </w:rPr>
        <w:t xml:space="preserve"> de la investigación penal que, como se ha dicho, continúa sin ser resuelto. La Comisión considera que la petición fue presentada dentro de un plazo razonable y que debe darse por satisfecho el requisito de admisibilidad referente al plazo de presentación.</w:t>
      </w:r>
    </w:p>
    <w:p w14:paraId="09C768F7" w14:textId="77777777" w:rsidR="00055252" w:rsidRPr="00386E47" w:rsidRDefault="00055252" w:rsidP="00055252">
      <w:pPr>
        <w:pStyle w:val="ListParagraph"/>
        <w:rPr>
          <w:rFonts w:asciiTheme="majorHAnsi" w:hAnsiTheme="majorHAnsi"/>
          <w:sz w:val="20"/>
          <w:szCs w:val="20"/>
          <w:lang w:val="es-US"/>
        </w:rPr>
      </w:pPr>
    </w:p>
    <w:p w14:paraId="421275D7" w14:textId="77777777" w:rsidR="00055252" w:rsidRPr="00386E47" w:rsidRDefault="00055252" w:rsidP="009146F2">
      <w:pPr>
        <w:pStyle w:val="Heading2"/>
        <w:numPr>
          <w:ilvl w:val="0"/>
          <w:numId w:val="67"/>
        </w:numPr>
        <w:rPr>
          <w:rFonts w:asciiTheme="majorHAnsi" w:hAnsiTheme="majorHAnsi"/>
        </w:rPr>
      </w:pPr>
      <w:bookmarkStart w:id="17" w:name="_Toc26215775"/>
      <w:bookmarkStart w:id="18" w:name="_Toc51252189"/>
      <w:r w:rsidRPr="00386E47">
        <w:rPr>
          <w:rFonts w:asciiTheme="majorHAnsi" w:hAnsiTheme="majorHAnsi"/>
        </w:rPr>
        <w:t>Caracterización de los hechos alegados.</w:t>
      </w:r>
      <w:bookmarkEnd w:id="17"/>
      <w:bookmarkEnd w:id="18"/>
    </w:p>
    <w:p w14:paraId="593F9617" w14:textId="77777777" w:rsidR="00055252" w:rsidRPr="00386E47" w:rsidRDefault="00055252" w:rsidP="00365006">
      <w:pPr>
        <w:pStyle w:val="parrafos"/>
      </w:pPr>
    </w:p>
    <w:p w14:paraId="776DDA27" w14:textId="77777777" w:rsidR="00055252" w:rsidRPr="00386E47" w:rsidRDefault="00055252" w:rsidP="003A5860">
      <w:pPr>
        <w:pStyle w:val="parrafos"/>
        <w:numPr>
          <w:ilvl w:val="0"/>
          <w:numId w:val="55"/>
        </w:numPr>
        <w:tabs>
          <w:tab w:val="clear" w:pos="360"/>
          <w:tab w:val="left" w:pos="567"/>
        </w:tabs>
        <w:ind w:left="0" w:firstLine="0"/>
      </w:pPr>
      <w:r w:rsidRPr="00386E47">
        <w:t>La Comisión considera que los hechos expuestos en el presente caso podr</w:t>
      </w:r>
      <w:r w:rsidR="001C7EBD" w:rsidRPr="00386E47">
        <w:t xml:space="preserve">ían caracterizar la violación de los derechos a </w:t>
      </w:r>
      <w:r w:rsidRPr="00386E47">
        <w:t xml:space="preserve">la vida, a la integridad personal, </w:t>
      </w:r>
      <w:r w:rsidR="00EF0CA9" w:rsidRPr="00386E47">
        <w:t xml:space="preserve">de acceso a la </w:t>
      </w:r>
      <w:r w:rsidR="00C3095B" w:rsidRPr="00386E47">
        <w:t>información</w:t>
      </w:r>
      <w:r w:rsidR="00EF0CA9" w:rsidRPr="00386E47">
        <w:t xml:space="preserve">, </w:t>
      </w:r>
      <w:r w:rsidRPr="00386E47">
        <w:t>a las garantías judiciales y a la protección judicial, establecidos en los artículos 4, 5, 8</w:t>
      </w:r>
      <w:r w:rsidR="00EF0CA9" w:rsidRPr="00386E47">
        <w:t>, 13</w:t>
      </w:r>
      <w:r w:rsidRPr="00386E47">
        <w:t xml:space="preserve"> y 25 de la Convención Americana, en relación con las</w:t>
      </w:r>
      <w:r w:rsidR="00571172" w:rsidRPr="00386E47">
        <w:t xml:space="preserve"> obligaciones establecidas en los artículos </w:t>
      </w:r>
      <w:r w:rsidRPr="00386E47">
        <w:t>1.1</w:t>
      </w:r>
      <w:r w:rsidR="00571172" w:rsidRPr="00386E47">
        <w:t xml:space="preserve"> y 2</w:t>
      </w:r>
      <w:r w:rsidR="00556032" w:rsidRPr="00386E47">
        <w:t xml:space="preserve"> </w:t>
      </w:r>
      <w:r w:rsidRPr="00386E47">
        <w:t xml:space="preserve">del mismo instrumento, en perjuicio de las víctimas individualizadas en el presente informe. Asimismo, en atención al principio </w:t>
      </w:r>
      <w:r w:rsidRPr="00386E47">
        <w:rPr>
          <w:i/>
        </w:rPr>
        <w:t>iura novit curiae</w:t>
      </w:r>
      <w:r w:rsidRPr="00386E47">
        <w:t>, la Comisión determina que los hechos podrían caracterizar la violación al derecho a la igualdad ante la ley, establecido en el artículo 24 de la Convención.</w:t>
      </w:r>
    </w:p>
    <w:p w14:paraId="4C56F64A" w14:textId="77777777" w:rsidR="000F208E" w:rsidRPr="00386E47" w:rsidRDefault="000F208E" w:rsidP="000F208E">
      <w:pPr>
        <w:pStyle w:val="parrafos"/>
        <w:tabs>
          <w:tab w:val="clear" w:pos="360"/>
          <w:tab w:val="left" w:pos="567"/>
        </w:tabs>
      </w:pPr>
    </w:p>
    <w:p w14:paraId="3F3352EB" w14:textId="77777777" w:rsidR="00365006" w:rsidRPr="00386E47" w:rsidRDefault="00365006" w:rsidP="00CE774A">
      <w:pPr>
        <w:pStyle w:val="parrafos"/>
        <w:tabs>
          <w:tab w:val="clear" w:pos="360"/>
          <w:tab w:val="left" w:pos="567"/>
        </w:tabs>
      </w:pPr>
    </w:p>
    <w:p w14:paraId="2F00D9A3" w14:textId="77777777" w:rsidR="000F208E" w:rsidRPr="00386E47" w:rsidRDefault="00365006" w:rsidP="000F208E">
      <w:pPr>
        <w:pStyle w:val="Heading1"/>
        <w:spacing w:line="240" w:lineRule="auto"/>
        <w:rPr>
          <w:rFonts w:asciiTheme="majorHAnsi" w:hAnsiTheme="majorHAnsi"/>
        </w:rPr>
      </w:pPr>
      <w:bookmarkStart w:id="19" w:name="_Toc51252190"/>
      <w:r w:rsidRPr="00386E47">
        <w:rPr>
          <w:rFonts w:asciiTheme="majorHAnsi" w:hAnsiTheme="majorHAnsi"/>
        </w:rPr>
        <w:t>CONSIDERACIONES SOBRE EL FONDO</w:t>
      </w:r>
      <w:bookmarkEnd w:id="19"/>
    </w:p>
    <w:p w14:paraId="4EAA1B01" w14:textId="77777777" w:rsidR="00365006" w:rsidRPr="00386E47" w:rsidRDefault="00365006" w:rsidP="009146F2">
      <w:pPr>
        <w:pStyle w:val="Heading2"/>
        <w:numPr>
          <w:ilvl w:val="0"/>
          <w:numId w:val="68"/>
        </w:numPr>
        <w:rPr>
          <w:rFonts w:asciiTheme="majorHAnsi" w:hAnsiTheme="majorHAnsi"/>
        </w:rPr>
      </w:pPr>
      <w:bookmarkStart w:id="20" w:name="_Toc51252191"/>
      <w:r w:rsidRPr="00386E47">
        <w:rPr>
          <w:rFonts w:asciiTheme="majorHAnsi" w:hAnsiTheme="majorHAnsi"/>
        </w:rPr>
        <w:t xml:space="preserve">Determinaciones </w:t>
      </w:r>
      <w:r w:rsidR="002457E7" w:rsidRPr="00386E47">
        <w:rPr>
          <w:rFonts w:asciiTheme="majorHAnsi" w:hAnsiTheme="majorHAnsi"/>
        </w:rPr>
        <w:t xml:space="preserve">Globales </w:t>
      </w:r>
      <w:r w:rsidRPr="00386E47">
        <w:rPr>
          <w:rFonts w:asciiTheme="majorHAnsi" w:hAnsiTheme="majorHAnsi"/>
        </w:rPr>
        <w:t>de Hecho</w:t>
      </w:r>
      <w:bookmarkEnd w:id="20"/>
      <w:r w:rsidRPr="00386E47">
        <w:rPr>
          <w:rFonts w:asciiTheme="majorHAnsi" w:hAnsiTheme="majorHAnsi"/>
        </w:rPr>
        <w:t xml:space="preserve"> </w:t>
      </w:r>
    </w:p>
    <w:p w14:paraId="6EDAD891" w14:textId="77777777" w:rsidR="00365006" w:rsidRPr="00386E47" w:rsidRDefault="00365006" w:rsidP="00CE774A">
      <w:pPr>
        <w:pStyle w:val="parrafos"/>
        <w:tabs>
          <w:tab w:val="clear" w:pos="360"/>
          <w:tab w:val="left" w:pos="567"/>
        </w:tabs>
      </w:pPr>
    </w:p>
    <w:p w14:paraId="5CB31F65" w14:textId="77777777" w:rsidR="00365006" w:rsidRPr="00386E47" w:rsidRDefault="00365006" w:rsidP="003A586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asciiTheme="majorHAnsi" w:eastAsia="Calibri" w:hAnsiTheme="majorHAnsi"/>
          <w:sz w:val="20"/>
          <w:szCs w:val="20"/>
          <w:bdr w:val="none" w:sz="0" w:space="0" w:color="auto"/>
          <w:lang w:val="es-ES_tradnl"/>
        </w:rPr>
      </w:pPr>
      <w:r w:rsidRPr="00386E47">
        <w:rPr>
          <w:rFonts w:asciiTheme="majorHAnsi" w:eastAsia="Arial Unicode MS" w:hAnsiTheme="majorHAnsi" w:cs="Times New Roman"/>
          <w:color w:val="000000" w:themeColor="text1"/>
          <w:sz w:val="20"/>
          <w:szCs w:val="20"/>
          <w:lang w:val="es-VE" w:eastAsia="en-US"/>
        </w:rPr>
        <w:t>La Comisión, de manera coincidente con lo expresado en numerosas ocasiones por los peticionarios y por los representantes del</w:t>
      </w:r>
      <w:r w:rsidRPr="00386E47">
        <w:rPr>
          <w:rFonts w:asciiTheme="majorHAnsi" w:eastAsia="Calibri" w:hAnsiTheme="majorHAnsi"/>
          <w:sz w:val="20"/>
          <w:szCs w:val="20"/>
          <w:bdr w:val="none" w:sz="0" w:space="0" w:color="auto"/>
          <w:lang w:val="es-ES_tradnl"/>
        </w:rPr>
        <w:t xml:space="preserve"> Estado argentino, se ve en la necesidad de iniciar su análisis sobre el fondo subrayando la complejidad fáctica del presente caso, el cual t</w:t>
      </w:r>
      <w:r w:rsidR="00EC07A3" w:rsidRPr="00386E47">
        <w:rPr>
          <w:rFonts w:asciiTheme="majorHAnsi" w:eastAsia="Calibri" w:hAnsiTheme="majorHAnsi"/>
          <w:sz w:val="20"/>
          <w:szCs w:val="20"/>
          <w:bdr w:val="none" w:sz="0" w:space="0" w:color="auto"/>
          <w:lang w:val="es-ES_tradnl"/>
        </w:rPr>
        <w:t xml:space="preserve">iene que ver con </w:t>
      </w:r>
      <w:r w:rsidRPr="00386E47">
        <w:rPr>
          <w:rFonts w:asciiTheme="majorHAnsi" w:eastAsia="Calibri" w:hAnsiTheme="majorHAnsi"/>
          <w:sz w:val="20"/>
          <w:szCs w:val="20"/>
          <w:bdr w:val="none" w:sz="0" w:space="0" w:color="auto"/>
          <w:lang w:val="es-ES_tradnl"/>
        </w:rPr>
        <w:t>uno de los</w:t>
      </w:r>
      <w:r w:rsidR="00E04584" w:rsidRPr="00386E47">
        <w:rPr>
          <w:rFonts w:asciiTheme="majorHAnsi" w:eastAsia="Calibri" w:hAnsiTheme="majorHAnsi"/>
          <w:sz w:val="20"/>
          <w:szCs w:val="20"/>
          <w:bdr w:val="none" w:sz="0" w:space="0" w:color="auto"/>
          <w:lang w:val="es-ES_tradnl"/>
        </w:rPr>
        <w:t xml:space="preserve"> actos terroristas </w:t>
      </w:r>
      <w:r w:rsidR="00D60F39" w:rsidRPr="00386E47">
        <w:rPr>
          <w:rFonts w:asciiTheme="majorHAnsi" w:eastAsia="Calibri" w:hAnsiTheme="majorHAnsi"/>
          <w:sz w:val="20"/>
          <w:szCs w:val="20"/>
          <w:bdr w:val="none" w:sz="0" w:space="0" w:color="auto"/>
          <w:lang w:val="es-ES_tradnl"/>
        </w:rPr>
        <w:t>más</w:t>
      </w:r>
      <w:r w:rsidR="00E04584" w:rsidRPr="00386E47">
        <w:rPr>
          <w:rFonts w:asciiTheme="majorHAnsi" w:eastAsia="Calibri" w:hAnsiTheme="majorHAnsi"/>
          <w:sz w:val="20"/>
          <w:szCs w:val="20"/>
          <w:bdr w:val="none" w:sz="0" w:space="0" w:color="auto"/>
          <w:lang w:val="es-ES_tradnl"/>
        </w:rPr>
        <w:t xml:space="preserve"> graves cometidos</w:t>
      </w:r>
      <w:r w:rsidRPr="00386E47">
        <w:rPr>
          <w:rFonts w:asciiTheme="majorHAnsi" w:eastAsia="Calibri" w:hAnsiTheme="majorHAnsi"/>
          <w:sz w:val="20"/>
          <w:szCs w:val="20"/>
          <w:bdr w:val="none" w:sz="0" w:space="0" w:color="auto"/>
          <w:lang w:val="es-ES_tradnl"/>
        </w:rPr>
        <w:t xml:space="preserve"> a la fecha en </w:t>
      </w:r>
      <w:r w:rsidR="00EC07A3" w:rsidRPr="00386E47">
        <w:rPr>
          <w:rFonts w:asciiTheme="majorHAnsi" w:eastAsia="Calibri" w:hAnsiTheme="majorHAnsi"/>
          <w:sz w:val="20"/>
          <w:szCs w:val="20"/>
          <w:bdr w:val="none" w:sz="0" w:space="0" w:color="auto"/>
          <w:lang w:val="es-ES_tradnl"/>
        </w:rPr>
        <w:t xml:space="preserve">el </w:t>
      </w:r>
      <w:r w:rsidR="008E6933" w:rsidRPr="00386E47">
        <w:rPr>
          <w:rFonts w:asciiTheme="majorHAnsi" w:eastAsia="Calibri" w:hAnsiTheme="majorHAnsi"/>
          <w:sz w:val="20"/>
          <w:szCs w:val="20"/>
          <w:bdr w:val="none" w:sz="0" w:space="0" w:color="auto"/>
          <w:lang w:val="es-ES_tradnl"/>
        </w:rPr>
        <w:t>hemisferio occidental</w:t>
      </w:r>
      <w:r w:rsidRPr="00386E47">
        <w:rPr>
          <w:rFonts w:asciiTheme="majorHAnsi" w:eastAsia="Calibri" w:hAnsiTheme="majorHAnsi"/>
          <w:sz w:val="20"/>
          <w:szCs w:val="20"/>
          <w:bdr w:val="none" w:sz="0" w:space="0" w:color="auto"/>
          <w:lang w:val="es-ES_tradnl"/>
        </w:rPr>
        <w:t>.</w:t>
      </w:r>
      <w:bookmarkEnd w:id="16"/>
    </w:p>
    <w:p w14:paraId="5EC8551C" w14:textId="77777777" w:rsidR="00365006" w:rsidRPr="00386E47" w:rsidRDefault="00365006" w:rsidP="00CE774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asciiTheme="majorHAnsi" w:eastAsia="Calibri" w:hAnsiTheme="majorHAnsi"/>
          <w:sz w:val="20"/>
          <w:szCs w:val="20"/>
          <w:bdr w:val="none" w:sz="0" w:space="0" w:color="auto"/>
          <w:lang w:val="es-ES_tradnl"/>
        </w:rPr>
      </w:pPr>
    </w:p>
    <w:p w14:paraId="4675F0D5" w14:textId="77777777" w:rsidR="00365006" w:rsidRPr="00386E47" w:rsidRDefault="009F70EA" w:rsidP="003A586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asciiTheme="majorHAnsi" w:eastAsia="Calibri" w:hAnsiTheme="majorHAnsi"/>
          <w:sz w:val="20"/>
          <w:szCs w:val="20"/>
          <w:bdr w:val="none" w:sz="0" w:space="0" w:color="auto"/>
          <w:lang w:val="es-ES_tradnl"/>
        </w:rPr>
      </w:pPr>
      <w:r w:rsidRPr="00386E47">
        <w:rPr>
          <w:rFonts w:asciiTheme="majorHAnsi" w:eastAsia="Calibri" w:hAnsiTheme="majorHAnsi"/>
          <w:sz w:val="20"/>
          <w:szCs w:val="20"/>
          <w:bdr w:val="none" w:sz="0" w:space="0" w:color="auto"/>
          <w:lang w:val="es-ES_tradnl"/>
        </w:rPr>
        <w:t xml:space="preserve">La complejidad </w:t>
      </w:r>
      <w:r w:rsidR="00EC07A3" w:rsidRPr="00386E47">
        <w:rPr>
          <w:rFonts w:asciiTheme="majorHAnsi" w:eastAsia="Calibri" w:hAnsiTheme="majorHAnsi"/>
          <w:sz w:val="20"/>
          <w:szCs w:val="20"/>
          <w:bdr w:val="none" w:sz="0" w:space="0" w:color="auto"/>
          <w:lang w:val="es-ES_tradnl"/>
        </w:rPr>
        <w:t>intrínseca a la naturaleza de este</w:t>
      </w:r>
      <w:r w:rsidRPr="00386E47">
        <w:rPr>
          <w:rFonts w:asciiTheme="majorHAnsi" w:eastAsia="Calibri" w:hAnsiTheme="majorHAnsi"/>
          <w:sz w:val="20"/>
          <w:szCs w:val="20"/>
          <w:bdr w:val="none" w:sz="0" w:space="0" w:color="auto"/>
          <w:lang w:val="es-ES_tradnl"/>
        </w:rPr>
        <w:t xml:space="preserve"> he</w:t>
      </w:r>
      <w:r w:rsidR="00EE7D5A" w:rsidRPr="00386E47">
        <w:rPr>
          <w:rFonts w:asciiTheme="majorHAnsi" w:eastAsia="Calibri" w:hAnsiTheme="majorHAnsi"/>
          <w:sz w:val="20"/>
          <w:szCs w:val="20"/>
          <w:bdr w:val="none" w:sz="0" w:space="0" w:color="auto"/>
          <w:lang w:val="es-ES_tradnl"/>
        </w:rPr>
        <w:t xml:space="preserve">cho delictivo se ve agravada </w:t>
      </w:r>
      <w:r w:rsidRPr="00386E47">
        <w:rPr>
          <w:rFonts w:asciiTheme="majorHAnsi" w:eastAsia="Calibri" w:hAnsiTheme="majorHAnsi"/>
          <w:sz w:val="20"/>
          <w:szCs w:val="20"/>
          <w:bdr w:val="none" w:sz="0" w:space="0" w:color="auto"/>
          <w:lang w:val="es-ES_tradnl"/>
        </w:rPr>
        <w:t>si se contemplan las múltiples alternativas procesales acontecidas a l</w:t>
      </w:r>
      <w:r w:rsidR="00EC07A3" w:rsidRPr="00386E47">
        <w:rPr>
          <w:rFonts w:asciiTheme="majorHAnsi" w:eastAsia="Calibri" w:hAnsiTheme="majorHAnsi"/>
          <w:sz w:val="20"/>
          <w:szCs w:val="20"/>
          <w:bdr w:val="none" w:sz="0" w:space="0" w:color="auto"/>
          <w:lang w:val="es-ES_tradnl"/>
        </w:rPr>
        <w:t>o largo de más de 25 años de</w:t>
      </w:r>
      <w:r w:rsidRPr="00386E47">
        <w:rPr>
          <w:rFonts w:asciiTheme="majorHAnsi" w:eastAsia="Calibri" w:hAnsiTheme="majorHAnsi"/>
          <w:sz w:val="20"/>
          <w:szCs w:val="20"/>
          <w:bdr w:val="none" w:sz="0" w:space="0" w:color="auto"/>
          <w:lang w:val="es-ES_tradnl"/>
        </w:rPr>
        <w:t xml:space="preserve"> </w:t>
      </w:r>
      <w:r w:rsidR="00B70198" w:rsidRPr="00386E47">
        <w:rPr>
          <w:rFonts w:asciiTheme="majorHAnsi" w:eastAsia="Calibri" w:hAnsiTheme="majorHAnsi"/>
          <w:sz w:val="20"/>
          <w:szCs w:val="20"/>
          <w:bdr w:val="none" w:sz="0" w:space="0" w:color="auto"/>
          <w:lang w:val="es-ES_tradnl"/>
        </w:rPr>
        <w:t xml:space="preserve">investigación </w:t>
      </w:r>
      <w:r w:rsidRPr="00386E47">
        <w:rPr>
          <w:rFonts w:asciiTheme="majorHAnsi" w:eastAsia="Calibri" w:hAnsiTheme="majorHAnsi"/>
          <w:sz w:val="20"/>
          <w:szCs w:val="20"/>
          <w:bdr w:val="none" w:sz="0" w:space="0" w:color="auto"/>
          <w:lang w:val="es-ES_tradnl"/>
        </w:rPr>
        <w:t>judicial</w:t>
      </w:r>
      <w:r w:rsidR="00EC07A3" w:rsidRPr="00386E47">
        <w:rPr>
          <w:rFonts w:asciiTheme="majorHAnsi" w:eastAsia="Calibri" w:hAnsiTheme="majorHAnsi"/>
          <w:sz w:val="20"/>
          <w:szCs w:val="20"/>
          <w:bdr w:val="none" w:sz="0" w:space="0" w:color="auto"/>
          <w:lang w:val="es-ES_tradnl"/>
        </w:rPr>
        <w:t>. Dicha instrucción fue</w:t>
      </w:r>
      <w:r w:rsidRPr="00386E47">
        <w:rPr>
          <w:rFonts w:asciiTheme="majorHAnsi" w:eastAsia="Calibri" w:hAnsiTheme="majorHAnsi"/>
          <w:sz w:val="20"/>
          <w:szCs w:val="20"/>
          <w:bdr w:val="none" w:sz="0" w:space="0" w:color="auto"/>
          <w:lang w:val="es-ES_tradnl"/>
        </w:rPr>
        <w:t xml:space="preserve"> </w:t>
      </w:r>
      <w:r w:rsidR="00B70198" w:rsidRPr="00386E47">
        <w:rPr>
          <w:rFonts w:asciiTheme="majorHAnsi" w:eastAsia="Calibri" w:hAnsiTheme="majorHAnsi"/>
          <w:sz w:val="20"/>
          <w:szCs w:val="20"/>
          <w:bdr w:val="none" w:sz="0" w:space="0" w:color="auto"/>
          <w:lang w:val="es-ES_tradnl"/>
        </w:rPr>
        <w:t xml:space="preserve">conducida </w:t>
      </w:r>
      <w:r w:rsidRPr="00386E47">
        <w:rPr>
          <w:rFonts w:asciiTheme="majorHAnsi" w:eastAsia="Calibri" w:hAnsiTheme="majorHAnsi"/>
          <w:sz w:val="20"/>
          <w:szCs w:val="20"/>
          <w:bdr w:val="none" w:sz="0" w:space="0" w:color="auto"/>
          <w:lang w:val="es-ES_tradnl"/>
        </w:rPr>
        <w:t>por magistrad</w:t>
      </w:r>
      <w:r w:rsidR="00EC07A3" w:rsidRPr="00386E47">
        <w:rPr>
          <w:rFonts w:asciiTheme="majorHAnsi" w:eastAsia="Calibri" w:hAnsiTheme="majorHAnsi"/>
          <w:sz w:val="20"/>
          <w:szCs w:val="20"/>
          <w:bdr w:val="none" w:sz="0" w:space="0" w:color="auto"/>
          <w:lang w:val="es-ES_tradnl"/>
        </w:rPr>
        <w:t>os de diversas instancias</w:t>
      </w:r>
      <w:r w:rsidR="00E04584" w:rsidRPr="00386E47">
        <w:rPr>
          <w:rFonts w:asciiTheme="majorHAnsi" w:eastAsia="Calibri" w:hAnsiTheme="majorHAnsi"/>
          <w:sz w:val="20"/>
          <w:szCs w:val="20"/>
          <w:bdr w:val="none" w:sz="0" w:space="0" w:color="auto"/>
          <w:lang w:val="es-ES_tradnl"/>
        </w:rPr>
        <w:t xml:space="preserve">; </w:t>
      </w:r>
      <w:r w:rsidR="00EC07A3" w:rsidRPr="00386E47">
        <w:rPr>
          <w:rFonts w:asciiTheme="majorHAnsi" w:eastAsia="Calibri" w:hAnsiTheme="majorHAnsi"/>
          <w:sz w:val="20"/>
          <w:szCs w:val="20"/>
          <w:bdr w:val="none" w:sz="0" w:space="0" w:color="auto"/>
          <w:lang w:val="es-ES_tradnl"/>
        </w:rPr>
        <w:t xml:space="preserve">en ella </w:t>
      </w:r>
      <w:r w:rsidRPr="00386E47">
        <w:rPr>
          <w:rFonts w:asciiTheme="majorHAnsi" w:eastAsia="Calibri" w:hAnsiTheme="majorHAnsi"/>
          <w:sz w:val="20"/>
          <w:szCs w:val="20"/>
          <w:bdr w:val="none" w:sz="0" w:space="0" w:color="auto"/>
          <w:lang w:val="es-ES_tradnl"/>
        </w:rPr>
        <w:t>intervinieron representantes de todos los poderes públicos del Estado</w:t>
      </w:r>
      <w:r w:rsidR="00E04584" w:rsidRPr="00386E47">
        <w:rPr>
          <w:rFonts w:asciiTheme="majorHAnsi" w:eastAsia="Calibri" w:hAnsiTheme="majorHAnsi"/>
          <w:sz w:val="20"/>
          <w:szCs w:val="20"/>
          <w:bdr w:val="none" w:sz="0" w:space="0" w:color="auto"/>
          <w:lang w:val="es-ES_tradnl"/>
        </w:rPr>
        <w:t xml:space="preserve"> </w:t>
      </w:r>
      <w:r w:rsidRPr="00386E47">
        <w:rPr>
          <w:rFonts w:asciiTheme="majorHAnsi" w:eastAsia="Calibri" w:hAnsiTheme="majorHAnsi"/>
          <w:sz w:val="20"/>
          <w:szCs w:val="20"/>
          <w:bdr w:val="none" w:sz="0" w:space="0" w:color="auto"/>
          <w:lang w:val="es-ES_tradnl"/>
        </w:rPr>
        <w:t xml:space="preserve">argentino y en </w:t>
      </w:r>
      <w:r w:rsidR="00E04584" w:rsidRPr="00386E47">
        <w:rPr>
          <w:rFonts w:asciiTheme="majorHAnsi" w:eastAsia="Calibri" w:hAnsiTheme="majorHAnsi"/>
          <w:sz w:val="20"/>
          <w:szCs w:val="20"/>
          <w:bdr w:val="none" w:sz="0" w:space="0" w:color="auto"/>
          <w:lang w:val="es-ES_tradnl"/>
        </w:rPr>
        <w:t>su</w:t>
      </w:r>
      <w:r w:rsidR="00B70198" w:rsidRPr="00386E47">
        <w:rPr>
          <w:rFonts w:asciiTheme="majorHAnsi" w:eastAsia="Calibri" w:hAnsiTheme="majorHAnsi"/>
          <w:sz w:val="20"/>
          <w:szCs w:val="20"/>
          <w:bdr w:val="none" w:sz="0" w:space="0" w:color="auto"/>
          <w:lang w:val="es-ES_tradnl"/>
        </w:rPr>
        <w:t xml:space="preserve"> seno</w:t>
      </w:r>
      <w:r w:rsidRPr="00386E47">
        <w:rPr>
          <w:rFonts w:asciiTheme="majorHAnsi" w:eastAsia="Calibri" w:hAnsiTheme="majorHAnsi"/>
          <w:sz w:val="20"/>
          <w:szCs w:val="20"/>
          <w:bdr w:val="none" w:sz="0" w:space="0" w:color="auto"/>
          <w:lang w:val="es-ES_tradnl"/>
        </w:rPr>
        <w:t xml:space="preserve"> se generó un cons</w:t>
      </w:r>
      <w:r w:rsidR="00F761B7" w:rsidRPr="00386E47">
        <w:rPr>
          <w:rFonts w:asciiTheme="majorHAnsi" w:eastAsia="Calibri" w:hAnsiTheme="majorHAnsi"/>
          <w:sz w:val="20"/>
          <w:szCs w:val="20"/>
          <w:bdr w:val="none" w:sz="0" w:space="0" w:color="auto"/>
          <w:lang w:val="es-ES_tradnl"/>
        </w:rPr>
        <w:t>iderable volumen de información.</w:t>
      </w:r>
    </w:p>
    <w:p w14:paraId="35A4F72B" w14:textId="77777777" w:rsidR="00365006" w:rsidRPr="00386E47" w:rsidRDefault="00365006" w:rsidP="00CE774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asciiTheme="majorHAnsi" w:eastAsia="Calibri" w:hAnsiTheme="majorHAnsi"/>
          <w:sz w:val="20"/>
          <w:szCs w:val="20"/>
          <w:bdr w:val="none" w:sz="0" w:space="0" w:color="auto"/>
          <w:lang w:val="es-ES_tradnl"/>
        </w:rPr>
      </w:pPr>
    </w:p>
    <w:p w14:paraId="14AAF3A8" w14:textId="77777777" w:rsidR="009F70EA" w:rsidRPr="00386E47" w:rsidRDefault="00EE7D5A" w:rsidP="003A586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asciiTheme="majorHAnsi" w:eastAsia="Calibri" w:hAnsiTheme="majorHAnsi"/>
          <w:sz w:val="20"/>
          <w:szCs w:val="20"/>
          <w:bdr w:val="none" w:sz="0" w:space="0" w:color="auto"/>
          <w:lang w:val="es-ES_tradnl"/>
        </w:rPr>
      </w:pPr>
      <w:r w:rsidRPr="00386E47">
        <w:rPr>
          <w:rFonts w:asciiTheme="majorHAnsi" w:eastAsia="Calibri" w:hAnsiTheme="majorHAnsi"/>
          <w:sz w:val="20"/>
          <w:szCs w:val="20"/>
          <w:bdr w:val="none" w:sz="0" w:space="0" w:color="auto"/>
          <w:lang w:val="es-ES_tradnl"/>
        </w:rPr>
        <w:t xml:space="preserve">Por consiguiente, </w:t>
      </w:r>
      <w:r w:rsidR="009F70EA" w:rsidRPr="00386E47">
        <w:rPr>
          <w:rFonts w:asciiTheme="majorHAnsi" w:eastAsia="Calibri" w:hAnsiTheme="majorHAnsi"/>
          <w:sz w:val="20"/>
          <w:szCs w:val="20"/>
          <w:bdr w:val="none" w:sz="0" w:space="0" w:color="auto"/>
          <w:lang w:val="es-ES_tradnl"/>
        </w:rPr>
        <w:t xml:space="preserve">y en aras de </w:t>
      </w:r>
      <w:r w:rsidRPr="00386E47">
        <w:rPr>
          <w:rFonts w:asciiTheme="majorHAnsi" w:eastAsia="Calibri" w:hAnsiTheme="majorHAnsi"/>
          <w:sz w:val="20"/>
          <w:szCs w:val="20"/>
          <w:bdr w:val="none" w:sz="0" w:space="0" w:color="auto"/>
          <w:lang w:val="es-ES_tradnl"/>
        </w:rPr>
        <w:t xml:space="preserve">facilitar la </w:t>
      </w:r>
      <w:r w:rsidR="00D42C89" w:rsidRPr="00386E47">
        <w:rPr>
          <w:rFonts w:asciiTheme="majorHAnsi" w:eastAsia="Calibri" w:hAnsiTheme="majorHAnsi"/>
          <w:sz w:val="20"/>
          <w:szCs w:val="20"/>
          <w:bdr w:val="none" w:sz="0" w:space="0" w:color="auto"/>
          <w:lang w:val="es-ES_tradnl"/>
        </w:rPr>
        <w:t xml:space="preserve">comprensión </w:t>
      </w:r>
      <w:r w:rsidR="006F44B1" w:rsidRPr="00386E47">
        <w:rPr>
          <w:rFonts w:asciiTheme="majorHAnsi" w:eastAsia="Calibri" w:hAnsiTheme="majorHAnsi"/>
          <w:sz w:val="20"/>
          <w:szCs w:val="20"/>
          <w:bdr w:val="none" w:sz="0" w:space="0" w:color="auto"/>
          <w:lang w:val="es-ES_tradnl"/>
        </w:rPr>
        <w:t>del presente informe</w:t>
      </w:r>
      <w:r w:rsidR="00D42C89" w:rsidRPr="00386E47">
        <w:rPr>
          <w:rFonts w:asciiTheme="majorHAnsi" w:eastAsia="Calibri" w:hAnsiTheme="majorHAnsi"/>
          <w:sz w:val="20"/>
          <w:szCs w:val="20"/>
          <w:bdr w:val="none" w:sz="0" w:space="0" w:color="auto"/>
          <w:lang w:val="es-ES_tradnl"/>
        </w:rPr>
        <w:t>, la</w:t>
      </w:r>
      <w:r w:rsidR="009F70EA" w:rsidRPr="00386E47">
        <w:rPr>
          <w:rFonts w:asciiTheme="majorHAnsi" w:eastAsia="Calibri" w:hAnsiTheme="majorHAnsi"/>
          <w:sz w:val="20"/>
          <w:szCs w:val="20"/>
          <w:bdr w:val="none" w:sz="0" w:space="0" w:color="auto"/>
          <w:lang w:val="es-ES_tradnl"/>
        </w:rPr>
        <w:t xml:space="preserve"> Comisión ha decidido dedicar este primer apartado a exponer de manera global los principales sucesos </w:t>
      </w:r>
      <w:r w:rsidR="00D42C89" w:rsidRPr="00386E47">
        <w:rPr>
          <w:rFonts w:asciiTheme="majorHAnsi" w:eastAsia="Calibri" w:hAnsiTheme="majorHAnsi"/>
          <w:sz w:val="20"/>
          <w:szCs w:val="20"/>
          <w:bdr w:val="none" w:sz="0" w:space="0" w:color="auto"/>
          <w:lang w:val="es-ES_tradnl"/>
        </w:rPr>
        <w:t xml:space="preserve">relacionados con </w:t>
      </w:r>
      <w:r w:rsidR="006F44B1" w:rsidRPr="00386E47">
        <w:rPr>
          <w:rFonts w:asciiTheme="majorHAnsi" w:eastAsia="Calibri" w:hAnsiTheme="majorHAnsi"/>
          <w:sz w:val="20"/>
          <w:szCs w:val="20"/>
          <w:bdr w:val="none" w:sz="0" w:space="0" w:color="auto"/>
          <w:lang w:val="es-ES_tradnl"/>
        </w:rPr>
        <w:t>el atentado a la AMIA y su investigación</w:t>
      </w:r>
      <w:r w:rsidR="009F70EA" w:rsidRPr="00386E47">
        <w:rPr>
          <w:rFonts w:asciiTheme="majorHAnsi" w:eastAsia="Calibri" w:hAnsiTheme="majorHAnsi"/>
          <w:sz w:val="20"/>
          <w:szCs w:val="20"/>
          <w:bdr w:val="none" w:sz="0" w:space="0" w:color="auto"/>
          <w:lang w:val="es-ES_tradnl"/>
        </w:rPr>
        <w:t>. De esta manera, la Comisión a</w:t>
      </w:r>
      <w:r w:rsidR="006F44B1" w:rsidRPr="00386E47">
        <w:rPr>
          <w:rFonts w:asciiTheme="majorHAnsi" w:eastAsia="Calibri" w:hAnsiTheme="majorHAnsi"/>
          <w:sz w:val="20"/>
          <w:szCs w:val="20"/>
          <w:bdr w:val="none" w:sz="0" w:space="0" w:color="auto"/>
          <w:lang w:val="es-ES_tradnl"/>
        </w:rPr>
        <w:t>punta</w:t>
      </w:r>
      <w:r w:rsidR="009F70EA" w:rsidRPr="00386E47">
        <w:rPr>
          <w:rFonts w:asciiTheme="majorHAnsi" w:eastAsia="Calibri" w:hAnsiTheme="majorHAnsi"/>
          <w:sz w:val="20"/>
          <w:szCs w:val="20"/>
          <w:bdr w:val="none" w:sz="0" w:space="0" w:color="auto"/>
          <w:lang w:val="es-ES_tradnl"/>
        </w:rPr>
        <w:t xml:space="preserve"> a establecer un marco fáctico global sobre el cual</w:t>
      </w:r>
      <w:r w:rsidR="00E04584" w:rsidRPr="00386E47">
        <w:rPr>
          <w:rFonts w:asciiTheme="majorHAnsi" w:eastAsia="Calibri" w:hAnsiTheme="majorHAnsi"/>
          <w:sz w:val="20"/>
          <w:szCs w:val="20"/>
          <w:bdr w:val="none" w:sz="0" w:space="0" w:color="auto"/>
          <w:lang w:val="es-ES_tradnl"/>
        </w:rPr>
        <w:t xml:space="preserve"> -</w:t>
      </w:r>
      <w:r w:rsidR="009F70EA" w:rsidRPr="00386E47">
        <w:rPr>
          <w:rFonts w:asciiTheme="majorHAnsi" w:eastAsia="Calibri" w:hAnsiTheme="majorHAnsi"/>
          <w:sz w:val="20"/>
          <w:szCs w:val="20"/>
          <w:bdr w:val="none" w:sz="0" w:space="0" w:color="auto"/>
          <w:lang w:val="es-ES_tradnl"/>
        </w:rPr>
        <w:t xml:space="preserve"> en los capítulos subsiguientes</w:t>
      </w:r>
      <w:r w:rsidR="00E04584" w:rsidRPr="00386E47">
        <w:rPr>
          <w:rFonts w:asciiTheme="majorHAnsi" w:eastAsia="Calibri" w:hAnsiTheme="majorHAnsi"/>
          <w:sz w:val="20"/>
          <w:szCs w:val="20"/>
          <w:bdr w:val="none" w:sz="0" w:space="0" w:color="auto"/>
          <w:lang w:val="es-ES_tradnl"/>
        </w:rPr>
        <w:t xml:space="preserve"> -</w:t>
      </w:r>
      <w:r w:rsidR="009F70EA" w:rsidRPr="00386E47">
        <w:rPr>
          <w:rFonts w:asciiTheme="majorHAnsi" w:eastAsia="Calibri" w:hAnsiTheme="majorHAnsi"/>
          <w:sz w:val="20"/>
          <w:szCs w:val="20"/>
          <w:bdr w:val="none" w:sz="0" w:space="0" w:color="auto"/>
          <w:lang w:val="es-ES_tradnl"/>
        </w:rPr>
        <w:t xml:space="preserve"> se presenta</w:t>
      </w:r>
      <w:r w:rsidR="00F761B7" w:rsidRPr="00386E47">
        <w:rPr>
          <w:rFonts w:asciiTheme="majorHAnsi" w:eastAsia="Calibri" w:hAnsiTheme="majorHAnsi"/>
          <w:sz w:val="20"/>
          <w:szCs w:val="20"/>
          <w:bdr w:val="none" w:sz="0" w:space="0" w:color="auto"/>
          <w:lang w:val="es-ES_tradnl"/>
        </w:rPr>
        <w:t>rán las determinaciones de hecho relevantes</w:t>
      </w:r>
      <w:r w:rsidR="00D86575" w:rsidRPr="00386E47">
        <w:rPr>
          <w:rFonts w:asciiTheme="majorHAnsi" w:eastAsia="Calibri" w:hAnsiTheme="majorHAnsi"/>
          <w:sz w:val="20"/>
          <w:szCs w:val="20"/>
          <w:bdr w:val="none" w:sz="0" w:space="0" w:color="auto"/>
          <w:lang w:val="es-ES_tradnl"/>
        </w:rPr>
        <w:t xml:space="preserve"> y específicas para tratar cada una de las consideraciones </w:t>
      </w:r>
      <w:r w:rsidR="009F70EA" w:rsidRPr="00386E47">
        <w:rPr>
          <w:rFonts w:asciiTheme="majorHAnsi" w:eastAsia="Calibri" w:hAnsiTheme="majorHAnsi"/>
          <w:sz w:val="20"/>
          <w:szCs w:val="20"/>
          <w:bdr w:val="none" w:sz="0" w:space="0" w:color="auto"/>
          <w:lang w:val="es-ES_tradnl"/>
        </w:rPr>
        <w:t>de derecho y las</w:t>
      </w:r>
      <w:r w:rsidR="006F44B1" w:rsidRPr="00386E47">
        <w:rPr>
          <w:rFonts w:asciiTheme="majorHAnsi" w:eastAsia="Calibri" w:hAnsiTheme="majorHAnsi"/>
          <w:sz w:val="20"/>
          <w:szCs w:val="20"/>
          <w:bdr w:val="none" w:sz="0" w:space="0" w:color="auto"/>
          <w:lang w:val="es-ES_tradnl"/>
        </w:rPr>
        <w:t xml:space="preserve"> subsecuentes </w:t>
      </w:r>
      <w:r w:rsidR="009F70EA" w:rsidRPr="00386E47">
        <w:rPr>
          <w:rFonts w:asciiTheme="majorHAnsi" w:eastAsia="Calibri" w:hAnsiTheme="majorHAnsi"/>
          <w:sz w:val="20"/>
          <w:szCs w:val="20"/>
          <w:bdr w:val="none" w:sz="0" w:space="0" w:color="auto"/>
          <w:lang w:val="es-ES_tradnl"/>
        </w:rPr>
        <w:t xml:space="preserve">conclusiones. </w:t>
      </w:r>
    </w:p>
    <w:p w14:paraId="7D522EFF" w14:textId="77777777" w:rsidR="009F70EA" w:rsidRPr="00386E47" w:rsidRDefault="009F70EA" w:rsidP="0040323D">
      <w:pPr>
        <w:tabs>
          <w:tab w:val="left" w:pos="426"/>
        </w:tabs>
        <w:contextualSpacing/>
        <w:jc w:val="both"/>
        <w:rPr>
          <w:rFonts w:asciiTheme="majorHAnsi" w:eastAsia="Calibri" w:hAnsiTheme="majorHAnsi"/>
          <w:sz w:val="20"/>
          <w:szCs w:val="20"/>
          <w:lang w:val="es-ES_tradnl" w:eastAsia="es-ES"/>
        </w:rPr>
      </w:pPr>
    </w:p>
    <w:p w14:paraId="54E1EAF7" w14:textId="77777777" w:rsidR="009F70EA" w:rsidRPr="00386E47" w:rsidRDefault="009F70EA" w:rsidP="009146F2">
      <w:pPr>
        <w:pStyle w:val="Heading3"/>
        <w:numPr>
          <w:ilvl w:val="1"/>
          <w:numId w:val="68"/>
        </w:numPr>
        <w:ind w:left="284" w:firstLine="0"/>
      </w:pPr>
      <w:bookmarkStart w:id="21" w:name="_Toc51252192"/>
      <w:r w:rsidRPr="00386E47">
        <w:t>El atentado a la</w:t>
      </w:r>
      <w:r w:rsidR="00F761B7" w:rsidRPr="00386E47">
        <w:t xml:space="preserve"> sede de la Asociación Mutual Israelita Argentina</w:t>
      </w:r>
      <w:r w:rsidRPr="00386E47">
        <w:t xml:space="preserve"> y la investigación encabezada por el Juzgado en lo Criminal y Correccional Federal Nro. 9 de la Capital Federal.</w:t>
      </w:r>
      <w:bookmarkEnd w:id="21"/>
      <w:r w:rsidRPr="00386E47">
        <w:t xml:space="preserve">  </w:t>
      </w:r>
    </w:p>
    <w:p w14:paraId="79FFE928"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lastRenderedPageBreak/>
        <w:t>Diversos pronunciamientos judiciales dictados en el orden nacional</w:t>
      </w:r>
      <w:r w:rsidR="00F761B7" w:rsidRPr="00386E47">
        <w:rPr>
          <w:rFonts w:asciiTheme="majorHAnsi" w:eastAsia="Calibri" w:hAnsiTheme="majorHAnsi"/>
          <w:sz w:val="20"/>
          <w:szCs w:val="20"/>
          <w:lang w:val="es-ES_tradnl" w:eastAsia="es-ES"/>
        </w:rPr>
        <w:t xml:space="preserve"> han tenido por acreditado que</w:t>
      </w:r>
      <w:r w:rsidR="00E04584" w:rsidRPr="00386E47">
        <w:rPr>
          <w:rFonts w:asciiTheme="majorHAnsi" w:eastAsia="Calibri" w:hAnsiTheme="majorHAnsi"/>
          <w:sz w:val="20"/>
          <w:szCs w:val="20"/>
          <w:lang w:val="es-ES_tradnl" w:eastAsia="es-ES"/>
        </w:rPr>
        <w:t xml:space="preserve">, </w:t>
      </w:r>
      <w:r w:rsidRPr="00386E47">
        <w:rPr>
          <w:rFonts w:asciiTheme="majorHAnsi" w:eastAsia="Calibri" w:hAnsiTheme="majorHAnsi"/>
          <w:sz w:val="20"/>
          <w:szCs w:val="20"/>
          <w:lang w:val="es-ES_tradnl" w:eastAsia="es-ES"/>
        </w:rPr>
        <w:t>a las 9 horas y 53 minutos del día 18 de julio de 1994, una carga explosiva equivalente a entre 300 y 400 kilos de T.N.T</w:t>
      </w:r>
      <w:r w:rsidR="00F761B7" w:rsidRPr="00386E47">
        <w:rPr>
          <w:rFonts w:asciiTheme="majorHAnsi" w:eastAsia="Calibri" w:hAnsiTheme="majorHAnsi"/>
          <w:sz w:val="20"/>
          <w:szCs w:val="20"/>
          <w:lang w:val="es-ES_tradnl" w:eastAsia="es-ES"/>
        </w:rPr>
        <w:t xml:space="preserve">, </w:t>
      </w:r>
      <w:r w:rsidRPr="00386E47">
        <w:rPr>
          <w:rFonts w:asciiTheme="majorHAnsi" w:eastAsia="Calibri" w:hAnsiTheme="majorHAnsi"/>
          <w:sz w:val="20"/>
          <w:szCs w:val="20"/>
          <w:lang w:val="es-ES_tradnl" w:eastAsia="es-ES"/>
        </w:rPr>
        <w:t>instalada en el interior de un vehículo Renault Trafic</w:t>
      </w:r>
      <w:r w:rsidR="00F761B7" w:rsidRPr="00386E47">
        <w:rPr>
          <w:rFonts w:asciiTheme="majorHAnsi" w:eastAsia="Calibri" w:hAnsiTheme="majorHAnsi"/>
          <w:sz w:val="20"/>
          <w:szCs w:val="20"/>
          <w:lang w:val="es-ES_tradnl" w:eastAsia="es-ES"/>
        </w:rPr>
        <w:t>,</w:t>
      </w:r>
      <w:r w:rsidRPr="00386E47">
        <w:rPr>
          <w:rFonts w:asciiTheme="majorHAnsi" w:eastAsia="Calibri" w:hAnsiTheme="majorHAnsi"/>
          <w:sz w:val="20"/>
          <w:szCs w:val="20"/>
          <w:lang w:val="es-ES_tradnl" w:eastAsia="es-ES"/>
        </w:rPr>
        <w:t xml:space="preserve"> fue detonada en las </w:t>
      </w:r>
      <w:r w:rsidR="00E04584" w:rsidRPr="00386E47">
        <w:rPr>
          <w:rFonts w:asciiTheme="majorHAnsi" w:eastAsia="Calibri" w:hAnsiTheme="majorHAnsi"/>
          <w:sz w:val="20"/>
          <w:szCs w:val="20"/>
          <w:lang w:val="es-ES_tradnl" w:eastAsia="es-ES"/>
        </w:rPr>
        <w:t>inmediaciones</w:t>
      </w:r>
      <w:r w:rsidRPr="00386E47">
        <w:rPr>
          <w:rFonts w:asciiTheme="majorHAnsi" w:eastAsia="Calibri" w:hAnsiTheme="majorHAnsi"/>
          <w:sz w:val="20"/>
          <w:szCs w:val="20"/>
          <w:lang w:val="es-ES_tradnl" w:eastAsia="es-ES"/>
        </w:rPr>
        <w:t xml:space="preserve"> de un edificio ubicado en la calle Pasteur 633 de la ciudad de Buenos Aires, Argentina</w:t>
      </w:r>
      <w:r w:rsidR="00B70198" w:rsidRPr="00386E47">
        <w:rPr>
          <w:rFonts w:asciiTheme="majorHAnsi" w:eastAsia="Calibri" w:hAnsiTheme="majorHAnsi"/>
          <w:sz w:val="20"/>
          <w:szCs w:val="20"/>
          <w:lang w:val="es-ES_tradnl" w:eastAsia="es-ES"/>
        </w:rPr>
        <w:t>. E</w:t>
      </w:r>
      <w:r w:rsidR="00F761B7" w:rsidRPr="00386E47">
        <w:rPr>
          <w:rFonts w:asciiTheme="majorHAnsi" w:eastAsia="Calibri" w:hAnsiTheme="majorHAnsi"/>
          <w:sz w:val="20"/>
          <w:szCs w:val="20"/>
          <w:lang w:val="es-ES_tradnl" w:eastAsia="es-ES"/>
        </w:rPr>
        <w:t xml:space="preserve">ste inmueble </w:t>
      </w:r>
      <w:r w:rsidR="00B70198" w:rsidRPr="00386E47">
        <w:rPr>
          <w:rFonts w:asciiTheme="majorHAnsi" w:eastAsia="Calibri" w:hAnsiTheme="majorHAnsi"/>
          <w:sz w:val="20"/>
          <w:szCs w:val="20"/>
          <w:lang w:val="es-ES_tradnl" w:eastAsia="es-ES"/>
        </w:rPr>
        <w:t xml:space="preserve">albergaba, </w:t>
      </w:r>
      <w:r w:rsidRPr="00386E47">
        <w:rPr>
          <w:rFonts w:asciiTheme="majorHAnsi" w:eastAsia="Calibri" w:hAnsiTheme="majorHAnsi"/>
          <w:sz w:val="20"/>
          <w:szCs w:val="20"/>
          <w:lang w:val="es-ES_tradnl" w:eastAsia="es-ES"/>
        </w:rPr>
        <w:t xml:space="preserve">entre otras </w:t>
      </w:r>
      <w:r w:rsidR="00EC07A3" w:rsidRPr="00386E47">
        <w:rPr>
          <w:rFonts w:asciiTheme="majorHAnsi" w:eastAsia="Calibri" w:hAnsiTheme="majorHAnsi"/>
          <w:sz w:val="20"/>
          <w:szCs w:val="20"/>
          <w:lang w:val="es-ES_tradnl" w:eastAsia="es-ES"/>
        </w:rPr>
        <w:t xml:space="preserve">instituciones, la sede central </w:t>
      </w:r>
      <w:r w:rsidRPr="00386E47">
        <w:rPr>
          <w:rFonts w:asciiTheme="majorHAnsi" w:eastAsia="Calibri" w:hAnsiTheme="majorHAnsi"/>
          <w:sz w:val="20"/>
          <w:szCs w:val="20"/>
          <w:lang w:val="es-ES_tradnl" w:eastAsia="es-ES"/>
        </w:rPr>
        <w:t>de la Asociación Mutual Israelita Argentina (AMIA) y de la Delegación de Asociaciones Israelitas Argentinas (DAIA)</w:t>
      </w:r>
      <w:r w:rsidRPr="00386E47">
        <w:rPr>
          <w:rFonts w:asciiTheme="majorHAnsi" w:eastAsia="Calibri" w:hAnsiTheme="majorHAnsi"/>
          <w:sz w:val="20"/>
          <w:szCs w:val="20"/>
          <w:vertAlign w:val="superscript"/>
          <w:lang w:val="es-ES_tradnl" w:eastAsia="es-ES"/>
        </w:rPr>
        <w:footnoteReference w:id="7"/>
      </w:r>
      <w:r w:rsidRPr="00386E47">
        <w:rPr>
          <w:rFonts w:asciiTheme="majorHAnsi" w:eastAsia="Calibri" w:hAnsiTheme="majorHAnsi"/>
          <w:sz w:val="20"/>
          <w:szCs w:val="20"/>
          <w:lang w:val="es-ES_tradnl" w:eastAsia="es-ES"/>
        </w:rPr>
        <w:t>.</w:t>
      </w:r>
    </w:p>
    <w:p w14:paraId="69A0A528" w14:textId="77777777" w:rsidR="009F70EA" w:rsidRPr="00386E47" w:rsidRDefault="009F70EA" w:rsidP="00CE774A">
      <w:pPr>
        <w:tabs>
          <w:tab w:val="left" w:pos="426"/>
        </w:tabs>
        <w:contextualSpacing/>
        <w:jc w:val="both"/>
        <w:rPr>
          <w:rFonts w:asciiTheme="majorHAnsi" w:eastAsia="Calibri" w:hAnsiTheme="majorHAnsi"/>
          <w:sz w:val="20"/>
          <w:szCs w:val="20"/>
          <w:lang w:val="es-ES_tradnl" w:eastAsia="es-ES"/>
        </w:rPr>
      </w:pPr>
    </w:p>
    <w:p w14:paraId="52ECD2A9" w14:textId="77777777" w:rsidR="009F70EA" w:rsidRPr="00386E47" w:rsidRDefault="002657EC"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La explosión</w:t>
      </w:r>
      <w:r w:rsidR="009F70EA" w:rsidRPr="00386E47">
        <w:rPr>
          <w:rFonts w:asciiTheme="majorHAnsi" w:eastAsia="Calibri" w:hAnsiTheme="majorHAnsi"/>
          <w:sz w:val="20"/>
          <w:szCs w:val="20"/>
          <w:lang w:val="es-ES_tradnl" w:eastAsia="es-ES"/>
        </w:rPr>
        <w:t xml:space="preserve"> provocó el colapso </w:t>
      </w:r>
      <w:r w:rsidR="00B70198" w:rsidRPr="00386E47">
        <w:rPr>
          <w:rFonts w:asciiTheme="majorHAnsi" w:eastAsia="Calibri" w:hAnsiTheme="majorHAnsi"/>
          <w:sz w:val="20"/>
          <w:szCs w:val="20"/>
          <w:lang w:val="es-ES_tradnl" w:eastAsia="es-ES"/>
        </w:rPr>
        <w:t>de parte del</w:t>
      </w:r>
      <w:r w:rsidR="009F70EA" w:rsidRPr="00386E47">
        <w:rPr>
          <w:rFonts w:asciiTheme="majorHAnsi" w:eastAsia="Calibri" w:hAnsiTheme="majorHAnsi"/>
          <w:sz w:val="20"/>
          <w:szCs w:val="20"/>
          <w:lang w:val="es-ES_tradnl" w:eastAsia="es-ES"/>
        </w:rPr>
        <w:t xml:space="preserve"> edificio de Pasteur 633. La subsecuente onda expansiva generada</w:t>
      </w:r>
      <w:r w:rsidR="00E04584" w:rsidRPr="00386E47">
        <w:rPr>
          <w:rFonts w:asciiTheme="majorHAnsi" w:eastAsia="Calibri" w:hAnsiTheme="majorHAnsi"/>
          <w:sz w:val="20"/>
          <w:szCs w:val="20"/>
          <w:lang w:val="es-ES_tradnl" w:eastAsia="es-ES"/>
        </w:rPr>
        <w:t xml:space="preserve"> por el estallido de los explosivos</w:t>
      </w:r>
      <w:r w:rsidR="009F70EA" w:rsidRPr="00386E47">
        <w:rPr>
          <w:rFonts w:asciiTheme="majorHAnsi" w:eastAsia="Calibri" w:hAnsiTheme="majorHAnsi"/>
          <w:sz w:val="20"/>
          <w:szCs w:val="20"/>
          <w:lang w:val="es-ES_tradnl" w:eastAsia="es-ES"/>
        </w:rPr>
        <w:t xml:space="preserve"> causó daños de envergadura en</w:t>
      </w:r>
      <w:r w:rsidR="000C3711" w:rsidRPr="00386E47">
        <w:rPr>
          <w:rFonts w:asciiTheme="majorHAnsi" w:eastAsia="Calibri" w:hAnsiTheme="majorHAnsi"/>
          <w:sz w:val="20"/>
          <w:szCs w:val="20"/>
          <w:lang w:val="es-ES_tradnl" w:eastAsia="es-ES"/>
        </w:rPr>
        <w:t xml:space="preserve"> edificios y</w:t>
      </w:r>
      <w:r w:rsidR="009F70EA" w:rsidRPr="00386E47">
        <w:rPr>
          <w:rFonts w:asciiTheme="majorHAnsi" w:eastAsia="Calibri" w:hAnsiTheme="majorHAnsi"/>
          <w:sz w:val="20"/>
          <w:szCs w:val="20"/>
          <w:lang w:val="es-ES_tradnl" w:eastAsia="es-ES"/>
        </w:rPr>
        <w:t xml:space="preserve"> bienes muebles ubicados en un radio aproximado de 200 metros. Como consecuencia directa</w:t>
      </w:r>
      <w:r w:rsidR="000C3711" w:rsidRPr="00386E47">
        <w:rPr>
          <w:rFonts w:asciiTheme="majorHAnsi" w:eastAsia="Calibri" w:hAnsiTheme="majorHAnsi"/>
          <w:sz w:val="20"/>
          <w:szCs w:val="20"/>
          <w:lang w:val="es-ES_tradnl" w:eastAsia="es-ES"/>
        </w:rPr>
        <w:t xml:space="preserve"> de la explosión</w:t>
      </w:r>
      <w:r w:rsidR="009F70EA" w:rsidRPr="00386E47">
        <w:rPr>
          <w:rFonts w:asciiTheme="majorHAnsi" w:eastAsia="Calibri" w:hAnsiTheme="majorHAnsi"/>
          <w:sz w:val="20"/>
          <w:szCs w:val="20"/>
          <w:lang w:val="es-ES_tradnl" w:eastAsia="es-ES"/>
        </w:rPr>
        <w:t xml:space="preserve">, </w:t>
      </w:r>
      <w:r w:rsidR="00D93236" w:rsidRPr="00386E47">
        <w:rPr>
          <w:rFonts w:asciiTheme="majorHAnsi" w:eastAsia="Calibri" w:hAnsiTheme="majorHAnsi"/>
          <w:sz w:val="20"/>
          <w:szCs w:val="20"/>
          <w:lang w:val="es-ES_tradnl" w:eastAsia="es-ES"/>
        </w:rPr>
        <w:t xml:space="preserve">85 personas perdieron la </w:t>
      </w:r>
      <w:r w:rsidR="00D93236" w:rsidRPr="00386E47">
        <w:rPr>
          <w:rFonts w:asciiTheme="majorHAnsi" w:eastAsia="Calibri" w:hAnsiTheme="majorHAnsi" w:cs="Verdana"/>
          <w:sz w:val="20"/>
          <w:szCs w:val="20"/>
          <w:lang w:val="es-US" w:eastAsia="pt-BR"/>
        </w:rPr>
        <w:t>vida</w:t>
      </w:r>
      <w:r w:rsidR="00D93236" w:rsidRPr="00386E47">
        <w:rPr>
          <w:rStyle w:val="FootnoteReference"/>
          <w:rFonts w:asciiTheme="majorHAnsi" w:eastAsia="Calibri" w:hAnsiTheme="majorHAnsi" w:cs="Verdana"/>
          <w:sz w:val="20"/>
          <w:szCs w:val="20"/>
          <w:lang w:val="es-US" w:eastAsia="pt-BR"/>
        </w:rPr>
        <w:footnoteReference w:id="8"/>
      </w:r>
      <w:r w:rsidR="00D93236" w:rsidRPr="00386E47">
        <w:rPr>
          <w:rFonts w:asciiTheme="majorHAnsi" w:eastAsia="Calibri" w:hAnsiTheme="majorHAnsi" w:cs="Verdana"/>
          <w:sz w:val="20"/>
          <w:szCs w:val="20"/>
          <w:lang w:val="es-US" w:eastAsia="pt-BR"/>
        </w:rPr>
        <w:t xml:space="preserve"> y 151</w:t>
      </w:r>
      <w:r w:rsidR="00D93236" w:rsidRPr="00386E47">
        <w:rPr>
          <w:rStyle w:val="FootnoteReference"/>
          <w:rFonts w:asciiTheme="majorHAnsi" w:eastAsia="Calibri" w:hAnsiTheme="majorHAnsi" w:cs="Verdana"/>
          <w:sz w:val="20"/>
          <w:szCs w:val="20"/>
          <w:lang w:val="es-US" w:eastAsia="pt-BR"/>
        </w:rPr>
        <w:footnoteReference w:id="9"/>
      </w:r>
      <w:r w:rsidR="00D93236" w:rsidRPr="00386E47">
        <w:rPr>
          <w:rFonts w:asciiTheme="majorHAnsi" w:eastAsia="Calibri" w:hAnsiTheme="majorHAnsi" w:cs="Verdana"/>
          <w:sz w:val="20"/>
          <w:szCs w:val="20"/>
          <w:lang w:val="es-US" w:eastAsia="pt-BR"/>
        </w:rPr>
        <w:t xml:space="preserve"> resultaron con heridas de diversa magnitud.</w:t>
      </w:r>
    </w:p>
    <w:p w14:paraId="625A8325"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lastRenderedPageBreak/>
        <w:t xml:space="preserve">La investigación </w:t>
      </w:r>
      <w:r w:rsidR="00880D4C" w:rsidRPr="00386E47">
        <w:rPr>
          <w:rFonts w:asciiTheme="majorHAnsi" w:eastAsia="Calibri" w:hAnsiTheme="majorHAnsi"/>
          <w:sz w:val="20"/>
          <w:szCs w:val="20"/>
          <w:lang w:val="es-ES_tradnl" w:eastAsia="es-ES"/>
        </w:rPr>
        <w:t>criminal</w:t>
      </w:r>
      <w:r w:rsidRPr="00386E47">
        <w:rPr>
          <w:rFonts w:asciiTheme="majorHAnsi" w:eastAsia="Calibri" w:hAnsiTheme="majorHAnsi"/>
          <w:sz w:val="20"/>
          <w:szCs w:val="20"/>
          <w:lang w:val="es-ES_tradnl" w:eastAsia="es-ES"/>
        </w:rPr>
        <w:t xml:space="preserve"> destinada a esclarecer y determinar las responsabilidades </w:t>
      </w:r>
      <w:r w:rsidR="001263D6" w:rsidRPr="00386E47">
        <w:rPr>
          <w:rFonts w:asciiTheme="majorHAnsi" w:eastAsia="Calibri" w:hAnsiTheme="majorHAnsi"/>
          <w:sz w:val="20"/>
          <w:szCs w:val="20"/>
          <w:lang w:val="es-ES_tradnl" w:eastAsia="es-ES"/>
        </w:rPr>
        <w:t>penales por el atentado recayó -</w:t>
      </w:r>
      <w:r w:rsidRPr="00386E47">
        <w:rPr>
          <w:rFonts w:asciiTheme="majorHAnsi" w:eastAsia="Calibri" w:hAnsiTheme="majorHAnsi"/>
          <w:sz w:val="20"/>
          <w:szCs w:val="20"/>
          <w:lang w:val="es-ES_tradnl" w:eastAsia="es-ES"/>
        </w:rPr>
        <w:t xml:space="preserve"> a partir del mismo 18 de julio y en virtud del sistema de turnos vigente para la asignación de causas judiciales -  en el Juzgado en lo Criminal y Correccional Federal Nro. 9 de la Capital Federal a cargo del juez Juan José Galeano. Como representantes del Mini</w:t>
      </w:r>
      <w:r w:rsidR="000C3711" w:rsidRPr="00386E47">
        <w:rPr>
          <w:rFonts w:asciiTheme="majorHAnsi" w:eastAsia="Calibri" w:hAnsiTheme="majorHAnsi"/>
          <w:sz w:val="20"/>
          <w:szCs w:val="20"/>
          <w:lang w:val="es-ES_tradnl" w:eastAsia="es-ES"/>
        </w:rPr>
        <w:t xml:space="preserve">sterio Público Fiscal actuaron </w:t>
      </w:r>
      <w:r w:rsidRPr="00386E47">
        <w:rPr>
          <w:rFonts w:asciiTheme="majorHAnsi" w:eastAsia="Calibri" w:hAnsiTheme="majorHAnsi"/>
          <w:sz w:val="20"/>
          <w:szCs w:val="20"/>
          <w:lang w:val="es-ES_tradnl" w:eastAsia="es-ES"/>
        </w:rPr>
        <w:t>el titular de la Fiscalía en lo Criminal y Correccional Federal Nro. 9 Eamon Mullen y el Fiscal Adjunto</w:t>
      </w:r>
      <w:r w:rsidR="008966B9" w:rsidRPr="00386E47">
        <w:rPr>
          <w:rFonts w:asciiTheme="majorHAnsi" w:eastAsia="Calibri" w:hAnsiTheme="majorHAnsi"/>
          <w:sz w:val="20"/>
          <w:szCs w:val="20"/>
          <w:lang w:val="es-ES_tradnl" w:eastAsia="es-ES"/>
        </w:rPr>
        <w:t>,</w:t>
      </w:r>
      <w:r w:rsidRPr="00386E47">
        <w:rPr>
          <w:rFonts w:asciiTheme="majorHAnsi" w:eastAsia="Calibri" w:hAnsiTheme="majorHAnsi"/>
          <w:sz w:val="20"/>
          <w:szCs w:val="20"/>
          <w:lang w:val="es-ES_tradnl" w:eastAsia="es-ES"/>
        </w:rPr>
        <w:t xml:space="preserve"> José Barbaccia. La instrucción se ri</w:t>
      </w:r>
      <w:r w:rsidR="00B70198" w:rsidRPr="00386E47">
        <w:rPr>
          <w:rFonts w:asciiTheme="majorHAnsi" w:eastAsia="Calibri" w:hAnsiTheme="majorHAnsi"/>
          <w:sz w:val="20"/>
          <w:szCs w:val="20"/>
          <w:lang w:val="es-ES_tradnl" w:eastAsia="es-ES"/>
        </w:rPr>
        <w:t xml:space="preserve">gió por las normas vigentes </w:t>
      </w:r>
      <w:r w:rsidRPr="00386E47">
        <w:rPr>
          <w:rFonts w:asciiTheme="majorHAnsi" w:eastAsia="Calibri" w:hAnsiTheme="majorHAnsi"/>
          <w:sz w:val="20"/>
          <w:szCs w:val="20"/>
          <w:lang w:val="es-ES_tradnl" w:eastAsia="es-ES"/>
        </w:rPr>
        <w:t>en el Código Procesal Penal de la Nación</w:t>
      </w:r>
      <w:r w:rsidRPr="00386E47">
        <w:rPr>
          <w:rFonts w:asciiTheme="majorHAnsi" w:eastAsia="Calibri" w:hAnsiTheme="majorHAnsi"/>
          <w:sz w:val="20"/>
          <w:szCs w:val="20"/>
          <w:vertAlign w:val="superscript"/>
          <w:lang w:val="es-ES_tradnl" w:eastAsia="es-ES"/>
        </w:rPr>
        <w:footnoteReference w:id="10"/>
      </w:r>
      <w:r w:rsidRPr="00386E47">
        <w:rPr>
          <w:rFonts w:asciiTheme="majorHAnsi" w:eastAsia="Calibri" w:hAnsiTheme="majorHAnsi"/>
          <w:sz w:val="20"/>
          <w:szCs w:val="20"/>
          <w:lang w:val="es-ES_tradnl" w:eastAsia="es-ES"/>
        </w:rPr>
        <w:t xml:space="preserve"> </w:t>
      </w:r>
    </w:p>
    <w:p w14:paraId="456615E8" w14:textId="77777777" w:rsidR="009F70EA" w:rsidRPr="00386E47" w:rsidRDefault="009F70EA" w:rsidP="00CE774A">
      <w:pPr>
        <w:tabs>
          <w:tab w:val="left" w:pos="426"/>
        </w:tabs>
        <w:contextualSpacing/>
        <w:jc w:val="both"/>
        <w:rPr>
          <w:rFonts w:asciiTheme="majorHAnsi" w:eastAsia="Calibri" w:hAnsiTheme="majorHAnsi"/>
          <w:sz w:val="20"/>
          <w:szCs w:val="20"/>
          <w:lang w:val="es-ES_tradnl" w:eastAsia="es-ES"/>
        </w:rPr>
      </w:pPr>
    </w:p>
    <w:p w14:paraId="78633B98"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Desde los primeros instantes po</w:t>
      </w:r>
      <w:r w:rsidR="000C3711" w:rsidRPr="00386E47">
        <w:rPr>
          <w:rFonts w:asciiTheme="majorHAnsi" w:eastAsia="Calibri" w:hAnsiTheme="majorHAnsi"/>
          <w:sz w:val="20"/>
          <w:szCs w:val="20"/>
          <w:lang w:val="es-ES_tradnl" w:eastAsia="es-ES"/>
        </w:rPr>
        <w:t>steriores al atentado, personal del cuerpo de</w:t>
      </w:r>
      <w:r w:rsidRPr="00386E47">
        <w:rPr>
          <w:rFonts w:asciiTheme="majorHAnsi" w:eastAsia="Calibri" w:hAnsiTheme="majorHAnsi"/>
          <w:sz w:val="20"/>
          <w:szCs w:val="20"/>
          <w:lang w:val="es-ES_tradnl" w:eastAsia="es-ES"/>
        </w:rPr>
        <w:t xml:space="preserve"> bomberos, </w:t>
      </w:r>
      <w:r w:rsidR="000C3711" w:rsidRPr="00386E47">
        <w:rPr>
          <w:rFonts w:asciiTheme="majorHAnsi" w:eastAsia="Calibri" w:hAnsiTheme="majorHAnsi"/>
          <w:sz w:val="20"/>
          <w:szCs w:val="20"/>
          <w:lang w:val="es-ES_tradnl" w:eastAsia="es-ES"/>
        </w:rPr>
        <w:t>de la Policía Federal Argentina, de Defensa Civil</w:t>
      </w:r>
      <w:r w:rsidR="00880D4C" w:rsidRPr="00386E47">
        <w:rPr>
          <w:rFonts w:asciiTheme="majorHAnsi" w:eastAsia="Calibri" w:hAnsiTheme="majorHAnsi"/>
          <w:sz w:val="20"/>
          <w:szCs w:val="20"/>
          <w:lang w:val="es-ES_tradnl" w:eastAsia="es-ES"/>
        </w:rPr>
        <w:t>,</w:t>
      </w:r>
      <w:r w:rsidR="000C3711" w:rsidRPr="00386E47">
        <w:rPr>
          <w:rFonts w:asciiTheme="majorHAnsi" w:eastAsia="Calibri" w:hAnsiTheme="majorHAnsi"/>
          <w:sz w:val="20"/>
          <w:szCs w:val="20"/>
          <w:lang w:val="es-ES_tradnl" w:eastAsia="es-ES"/>
        </w:rPr>
        <w:t xml:space="preserve"> e incluso ciudadanos particulares</w:t>
      </w:r>
      <w:r w:rsidR="00880D4C" w:rsidRPr="00386E47">
        <w:rPr>
          <w:rFonts w:asciiTheme="majorHAnsi" w:eastAsia="Calibri" w:hAnsiTheme="majorHAnsi"/>
          <w:sz w:val="20"/>
          <w:szCs w:val="20"/>
          <w:lang w:val="es-ES_tradnl" w:eastAsia="es-ES"/>
        </w:rPr>
        <w:t xml:space="preserve">, </w:t>
      </w:r>
      <w:r w:rsidRPr="00386E47">
        <w:rPr>
          <w:rFonts w:asciiTheme="majorHAnsi" w:eastAsia="Calibri" w:hAnsiTheme="majorHAnsi"/>
          <w:sz w:val="20"/>
          <w:szCs w:val="20"/>
          <w:lang w:val="es-ES_tradnl" w:eastAsia="es-ES"/>
        </w:rPr>
        <w:t xml:space="preserve">se hicieron presentes en el sitio de la explosión </w:t>
      </w:r>
      <w:r w:rsidR="000C3711" w:rsidRPr="00386E47">
        <w:rPr>
          <w:rFonts w:asciiTheme="majorHAnsi" w:eastAsia="Calibri" w:hAnsiTheme="majorHAnsi"/>
          <w:sz w:val="20"/>
          <w:szCs w:val="20"/>
          <w:lang w:val="es-ES_tradnl" w:eastAsia="es-ES"/>
        </w:rPr>
        <w:t>e iniciaron las labores de búsqueda y rescate de sobrevivientes y la remoción de los escombros. En el marco de esa tarea, e</w:t>
      </w:r>
      <w:r w:rsidRPr="00386E47">
        <w:rPr>
          <w:rFonts w:asciiTheme="majorHAnsi" w:eastAsia="Calibri" w:hAnsiTheme="majorHAnsi"/>
          <w:sz w:val="20"/>
          <w:szCs w:val="20"/>
          <w:lang w:val="es-ES_tradnl" w:eastAsia="es-ES"/>
        </w:rPr>
        <w:t xml:space="preserve">l 25 de julio un equipo de rescatistas </w:t>
      </w:r>
      <w:r w:rsidR="000C3711" w:rsidRPr="00386E47">
        <w:rPr>
          <w:rFonts w:asciiTheme="majorHAnsi" w:eastAsia="Calibri" w:hAnsiTheme="majorHAnsi"/>
          <w:sz w:val="20"/>
          <w:szCs w:val="20"/>
          <w:lang w:val="es-ES_tradnl" w:eastAsia="es-ES"/>
        </w:rPr>
        <w:t>extrajo de</w:t>
      </w:r>
      <w:r w:rsidRPr="00386E47">
        <w:rPr>
          <w:rFonts w:asciiTheme="majorHAnsi" w:eastAsia="Calibri" w:hAnsiTheme="majorHAnsi"/>
          <w:sz w:val="20"/>
          <w:szCs w:val="20"/>
          <w:lang w:val="es-ES_tradnl" w:eastAsia="es-ES"/>
        </w:rPr>
        <w:t xml:space="preserve"> entre los escombros </w:t>
      </w:r>
      <w:r w:rsidR="00880D4C" w:rsidRPr="00386E47">
        <w:rPr>
          <w:rFonts w:asciiTheme="majorHAnsi" w:eastAsia="Calibri" w:hAnsiTheme="majorHAnsi"/>
          <w:sz w:val="20"/>
          <w:szCs w:val="20"/>
          <w:lang w:val="es-ES_tradnl" w:eastAsia="es-ES"/>
        </w:rPr>
        <w:t>una pieza</w:t>
      </w:r>
      <w:r w:rsidRPr="00386E47">
        <w:rPr>
          <w:rFonts w:asciiTheme="majorHAnsi" w:eastAsia="Calibri" w:hAnsiTheme="majorHAnsi"/>
          <w:sz w:val="20"/>
          <w:szCs w:val="20"/>
          <w:lang w:val="es-ES_tradnl" w:eastAsia="es-ES"/>
        </w:rPr>
        <w:t xml:space="preserve"> de motor </w:t>
      </w:r>
      <w:r w:rsidR="00880D4C" w:rsidRPr="00386E47">
        <w:rPr>
          <w:rFonts w:asciiTheme="majorHAnsi" w:eastAsia="Calibri" w:hAnsiTheme="majorHAnsi"/>
          <w:sz w:val="20"/>
          <w:szCs w:val="20"/>
          <w:lang w:val="es-ES_tradnl" w:eastAsia="es-ES"/>
        </w:rPr>
        <w:t xml:space="preserve">que </w:t>
      </w:r>
      <w:r w:rsidR="000E0C69" w:rsidRPr="00386E47">
        <w:rPr>
          <w:rFonts w:asciiTheme="majorHAnsi" w:eastAsia="Calibri" w:hAnsiTheme="majorHAnsi"/>
          <w:sz w:val="20"/>
          <w:szCs w:val="20"/>
          <w:lang w:val="es-ES_tradnl" w:eastAsia="es-ES"/>
        </w:rPr>
        <w:t>tenía</w:t>
      </w:r>
      <w:r w:rsidR="00880D4C" w:rsidRPr="00386E47">
        <w:rPr>
          <w:rFonts w:asciiTheme="majorHAnsi" w:eastAsia="Calibri" w:hAnsiTheme="majorHAnsi"/>
          <w:sz w:val="20"/>
          <w:szCs w:val="20"/>
          <w:lang w:val="es-ES_tradnl" w:eastAsia="es-ES"/>
        </w:rPr>
        <w:t xml:space="preserve"> grabado un </w:t>
      </w:r>
      <w:r w:rsidR="000E0C69" w:rsidRPr="00386E47">
        <w:rPr>
          <w:rFonts w:asciiTheme="majorHAnsi" w:eastAsia="Calibri" w:hAnsiTheme="majorHAnsi"/>
          <w:sz w:val="20"/>
          <w:szCs w:val="20"/>
          <w:lang w:val="es-ES_tradnl" w:eastAsia="es-ES"/>
        </w:rPr>
        <w:t>número</w:t>
      </w:r>
      <w:r w:rsidR="00880D4C" w:rsidRPr="00386E47">
        <w:rPr>
          <w:rFonts w:asciiTheme="majorHAnsi" w:eastAsia="Calibri" w:hAnsiTheme="majorHAnsi"/>
          <w:sz w:val="20"/>
          <w:szCs w:val="20"/>
          <w:lang w:val="es-ES_tradnl" w:eastAsia="es-ES"/>
        </w:rPr>
        <w:t xml:space="preserve"> de serie </w:t>
      </w:r>
      <w:r w:rsidR="000C3711" w:rsidRPr="00386E47">
        <w:rPr>
          <w:rFonts w:asciiTheme="majorHAnsi" w:eastAsia="Calibri" w:hAnsiTheme="majorHAnsi"/>
          <w:sz w:val="20"/>
          <w:szCs w:val="20"/>
          <w:lang w:val="es-ES_tradnl" w:eastAsia="es-ES"/>
        </w:rPr>
        <w:t>compatible con aquellos instalados en los</w:t>
      </w:r>
      <w:r w:rsidRPr="00386E47">
        <w:rPr>
          <w:rFonts w:asciiTheme="majorHAnsi" w:eastAsia="Calibri" w:hAnsiTheme="majorHAnsi"/>
          <w:sz w:val="20"/>
          <w:szCs w:val="20"/>
          <w:lang w:val="es-ES_tradnl" w:eastAsia="es-ES"/>
        </w:rPr>
        <w:t xml:space="preserve"> vehículo</w:t>
      </w:r>
      <w:r w:rsidR="000C3711" w:rsidRPr="00386E47">
        <w:rPr>
          <w:rFonts w:asciiTheme="majorHAnsi" w:eastAsia="Calibri" w:hAnsiTheme="majorHAnsi"/>
          <w:sz w:val="20"/>
          <w:szCs w:val="20"/>
          <w:lang w:val="es-ES_tradnl" w:eastAsia="es-ES"/>
        </w:rPr>
        <w:t>s utilitarios</w:t>
      </w:r>
      <w:r w:rsidRPr="00386E47">
        <w:rPr>
          <w:rFonts w:asciiTheme="majorHAnsi" w:eastAsia="Calibri" w:hAnsiTheme="majorHAnsi"/>
          <w:sz w:val="20"/>
          <w:szCs w:val="20"/>
          <w:lang w:val="es-ES_tradnl" w:eastAsia="es-ES"/>
        </w:rPr>
        <w:t xml:space="preserve"> marca Renault Trafic</w:t>
      </w:r>
      <w:r w:rsidRPr="00386E47">
        <w:rPr>
          <w:rFonts w:asciiTheme="majorHAnsi" w:eastAsia="Calibri" w:hAnsiTheme="majorHAnsi"/>
          <w:sz w:val="20"/>
          <w:szCs w:val="20"/>
          <w:vertAlign w:val="superscript"/>
          <w:lang w:val="es-ES_tradnl" w:eastAsia="es-ES"/>
        </w:rPr>
        <w:footnoteReference w:id="11"/>
      </w:r>
      <w:r w:rsidRPr="00386E47">
        <w:rPr>
          <w:rFonts w:asciiTheme="majorHAnsi" w:eastAsia="Calibri" w:hAnsiTheme="majorHAnsi"/>
          <w:sz w:val="20"/>
          <w:szCs w:val="20"/>
          <w:lang w:val="es-ES_tradnl" w:eastAsia="es-ES"/>
        </w:rPr>
        <w:t xml:space="preserve">. </w:t>
      </w:r>
    </w:p>
    <w:p w14:paraId="11F24004" w14:textId="77777777" w:rsidR="009F70EA" w:rsidRPr="00386E47" w:rsidRDefault="009F70EA" w:rsidP="00CE774A">
      <w:pPr>
        <w:tabs>
          <w:tab w:val="left" w:pos="426"/>
        </w:tabs>
        <w:contextualSpacing/>
        <w:jc w:val="both"/>
        <w:rPr>
          <w:rFonts w:asciiTheme="majorHAnsi" w:eastAsia="Calibri" w:hAnsiTheme="majorHAnsi"/>
          <w:sz w:val="20"/>
          <w:szCs w:val="20"/>
          <w:lang w:val="es-ES_tradnl" w:eastAsia="es-ES"/>
        </w:rPr>
      </w:pPr>
    </w:p>
    <w:p w14:paraId="158E8E6E" w14:textId="77777777" w:rsidR="009F70EA" w:rsidRPr="00386E47" w:rsidRDefault="000C3711"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De acuerdo con el registro</w:t>
      </w:r>
      <w:r w:rsidR="009F70EA" w:rsidRPr="00386E47">
        <w:rPr>
          <w:rFonts w:asciiTheme="majorHAnsi" w:eastAsia="Calibri" w:hAnsiTheme="majorHAnsi"/>
          <w:sz w:val="20"/>
          <w:szCs w:val="20"/>
          <w:lang w:val="es-ES_tradnl" w:eastAsia="es-ES"/>
        </w:rPr>
        <w:t xml:space="preserve"> de la propiedad automotor, el motor secuestrado en </w:t>
      </w:r>
      <w:r w:rsidR="00880D4C" w:rsidRPr="00386E47">
        <w:rPr>
          <w:rFonts w:asciiTheme="majorHAnsi" w:eastAsia="Calibri" w:hAnsiTheme="majorHAnsi"/>
          <w:sz w:val="20"/>
          <w:szCs w:val="20"/>
          <w:lang w:val="es-ES_tradnl" w:eastAsia="es-ES"/>
        </w:rPr>
        <w:t>los restos de la AMIA</w:t>
      </w:r>
      <w:r w:rsidR="009F70EA" w:rsidRPr="00386E47">
        <w:rPr>
          <w:rFonts w:asciiTheme="majorHAnsi" w:eastAsia="Calibri" w:hAnsiTheme="majorHAnsi"/>
          <w:sz w:val="20"/>
          <w:szCs w:val="20"/>
          <w:lang w:val="es-ES_tradnl" w:eastAsia="es-ES"/>
        </w:rPr>
        <w:t xml:space="preserve"> había sido colocado en una R</w:t>
      </w:r>
      <w:r w:rsidRPr="00386E47">
        <w:rPr>
          <w:rFonts w:asciiTheme="majorHAnsi" w:eastAsia="Calibri" w:hAnsiTheme="majorHAnsi"/>
          <w:sz w:val="20"/>
          <w:szCs w:val="20"/>
          <w:lang w:val="es-ES_tradnl" w:eastAsia="es-ES"/>
        </w:rPr>
        <w:t>enault Trafic propiedad de</w:t>
      </w:r>
      <w:r w:rsidR="009F70EA" w:rsidRPr="00386E47">
        <w:rPr>
          <w:rFonts w:asciiTheme="majorHAnsi" w:eastAsia="Calibri" w:hAnsiTheme="majorHAnsi"/>
          <w:sz w:val="20"/>
          <w:szCs w:val="20"/>
          <w:lang w:val="es-ES_tradnl" w:eastAsia="es-ES"/>
        </w:rPr>
        <w:t xml:space="preserve"> u</w:t>
      </w:r>
      <w:r w:rsidR="00EC07A3" w:rsidRPr="00386E47">
        <w:rPr>
          <w:rFonts w:asciiTheme="majorHAnsi" w:eastAsia="Calibri" w:hAnsiTheme="majorHAnsi"/>
          <w:sz w:val="20"/>
          <w:szCs w:val="20"/>
          <w:lang w:val="es-ES_tradnl" w:eastAsia="es-ES"/>
        </w:rPr>
        <w:t>na empresa llamada Messin S.R.L.</w:t>
      </w:r>
      <w:r w:rsidR="009F70EA" w:rsidRPr="00386E47">
        <w:rPr>
          <w:rFonts w:asciiTheme="majorHAnsi" w:eastAsia="Calibri" w:hAnsiTheme="majorHAnsi"/>
          <w:sz w:val="20"/>
          <w:szCs w:val="20"/>
          <w:lang w:val="es-ES_tradnl" w:eastAsia="es-ES"/>
        </w:rPr>
        <w:t xml:space="preserve"> Funcionarios de la entonces Secretaria de Inteligencia del Estado (SIDE) se entrevistaron con representantes de esa empresa, quienes informaron que el 7 de marzo de 1994 la Trafic en cuestión había sufrido un incendio y que, hacia fines de marzo, la empresa aseguradora “Solvencia” había abonado la indemnización correspondiente y se había hecho cargo de</w:t>
      </w:r>
      <w:r w:rsidR="00880D4C" w:rsidRPr="00386E47">
        <w:rPr>
          <w:rFonts w:asciiTheme="majorHAnsi" w:eastAsia="Calibri" w:hAnsiTheme="majorHAnsi"/>
          <w:sz w:val="20"/>
          <w:szCs w:val="20"/>
          <w:lang w:val="es-ES_tradnl" w:eastAsia="es-ES"/>
        </w:rPr>
        <w:t xml:space="preserve"> la tenencia del </w:t>
      </w:r>
      <w:r w:rsidR="009F70EA" w:rsidRPr="00386E47">
        <w:rPr>
          <w:rFonts w:asciiTheme="majorHAnsi" w:eastAsia="Calibri" w:hAnsiTheme="majorHAnsi"/>
          <w:sz w:val="20"/>
          <w:szCs w:val="20"/>
          <w:lang w:val="es-ES_tradnl" w:eastAsia="es-ES"/>
        </w:rPr>
        <w:t>vehículo</w:t>
      </w:r>
      <w:r w:rsidR="009F70EA" w:rsidRPr="00386E47">
        <w:rPr>
          <w:rFonts w:asciiTheme="majorHAnsi" w:eastAsia="Calibri" w:hAnsiTheme="majorHAnsi"/>
          <w:sz w:val="20"/>
          <w:szCs w:val="20"/>
          <w:vertAlign w:val="superscript"/>
          <w:lang w:val="es-ES_tradnl" w:eastAsia="es-ES"/>
        </w:rPr>
        <w:footnoteReference w:id="12"/>
      </w:r>
      <w:r w:rsidR="009F70EA" w:rsidRPr="00386E47">
        <w:rPr>
          <w:rFonts w:asciiTheme="majorHAnsi" w:eastAsia="Calibri" w:hAnsiTheme="majorHAnsi"/>
          <w:sz w:val="20"/>
          <w:szCs w:val="20"/>
          <w:lang w:val="es-ES_tradnl" w:eastAsia="es-ES"/>
        </w:rPr>
        <w:t xml:space="preserve">.   </w:t>
      </w:r>
    </w:p>
    <w:p w14:paraId="18FAD58D" w14:textId="77777777" w:rsidR="009F70EA" w:rsidRPr="00386E47" w:rsidRDefault="009F70EA" w:rsidP="00CE774A">
      <w:pPr>
        <w:tabs>
          <w:tab w:val="left" w:pos="426"/>
        </w:tabs>
        <w:jc w:val="both"/>
        <w:rPr>
          <w:rFonts w:asciiTheme="majorHAnsi" w:eastAsia="Calibri" w:hAnsiTheme="majorHAnsi"/>
          <w:sz w:val="20"/>
          <w:szCs w:val="20"/>
          <w:lang w:val="es-ES_tradnl" w:eastAsia="es-ES"/>
        </w:rPr>
      </w:pPr>
    </w:p>
    <w:p w14:paraId="69DF2F8D" w14:textId="77777777" w:rsidR="00223175"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Investigaciones posteriores arrojaron que la</w:t>
      </w:r>
      <w:r w:rsidR="00223175" w:rsidRPr="00386E47">
        <w:rPr>
          <w:rFonts w:asciiTheme="majorHAnsi" w:eastAsia="Calibri" w:hAnsiTheme="majorHAnsi"/>
          <w:sz w:val="20"/>
          <w:szCs w:val="20"/>
          <w:lang w:val="es-ES_tradnl" w:eastAsia="es-ES"/>
        </w:rPr>
        <w:t xml:space="preserve"> aseguradora “Solvencia” no </w:t>
      </w:r>
      <w:r w:rsidR="00386243" w:rsidRPr="00386E47">
        <w:rPr>
          <w:rFonts w:asciiTheme="majorHAnsi" w:eastAsia="Calibri" w:hAnsiTheme="majorHAnsi"/>
          <w:sz w:val="20"/>
          <w:szCs w:val="20"/>
          <w:lang w:val="es-ES_tradnl" w:eastAsia="es-ES"/>
        </w:rPr>
        <w:t>tramitó la</w:t>
      </w:r>
      <w:r w:rsidR="00223175" w:rsidRPr="00386E47">
        <w:rPr>
          <w:rFonts w:asciiTheme="majorHAnsi" w:eastAsia="Calibri" w:hAnsiTheme="majorHAnsi"/>
          <w:sz w:val="20"/>
          <w:szCs w:val="20"/>
          <w:lang w:val="es-ES_tradnl" w:eastAsia="es-ES"/>
        </w:rPr>
        <w:t xml:space="preserve"> baja </w:t>
      </w:r>
      <w:r w:rsidR="00386243" w:rsidRPr="00386E47">
        <w:rPr>
          <w:rFonts w:asciiTheme="majorHAnsi" w:eastAsia="Calibri" w:hAnsiTheme="majorHAnsi"/>
          <w:sz w:val="20"/>
          <w:szCs w:val="20"/>
          <w:lang w:val="es-ES_tradnl" w:eastAsia="es-ES"/>
        </w:rPr>
        <w:t>de</w:t>
      </w:r>
      <w:r w:rsidR="00880D4C" w:rsidRPr="00386E47">
        <w:rPr>
          <w:rFonts w:asciiTheme="majorHAnsi" w:eastAsia="Calibri" w:hAnsiTheme="majorHAnsi"/>
          <w:sz w:val="20"/>
          <w:szCs w:val="20"/>
          <w:lang w:val="es-ES_tradnl" w:eastAsia="es-ES"/>
        </w:rPr>
        <w:t xml:space="preserve">l vehículo </w:t>
      </w:r>
      <w:r w:rsidR="00223175" w:rsidRPr="00386E47">
        <w:rPr>
          <w:rFonts w:asciiTheme="majorHAnsi" w:eastAsia="Calibri" w:hAnsiTheme="majorHAnsi"/>
          <w:sz w:val="20"/>
          <w:szCs w:val="20"/>
          <w:lang w:val="es-ES_tradnl" w:eastAsia="es-ES"/>
        </w:rPr>
        <w:t xml:space="preserve">del registro </w:t>
      </w:r>
      <w:r w:rsidR="00386243" w:rsidRPr="00386E47">
        <w:rPr>
          <w:rFonts w:asciiTheme="majorHAnsi" w:eastAsia="Calibri" w:hAnsiTheme="majorHAnsi"/>
          <w:sz w:val="20"/>
          <w:szCs w:val="20"/>
          <w:lang w:val="es-ES_tradnl" w:eastAsia="es-ES"/>
        </w:rPr>
        <w:t xml:space="preserve">del automotor </w:t>
      </w:r>
      <w:r w:rsidR="00223175" w:rsidRPr="00386E47">
        <w:rPr>
          <w:rFonts w:asciiTheme="majorHAnsi" w:eastAsia="Calibri" w:hAnsiTheme="majorHAnsi"/>
          <w:sz w:val="20"/>
          <w:szCs w:val="20"/>
          <w:lang w:val="es-ES_tradnl" w:eastAsia="es-ES"/>
        </w:rPr>
        <w:t>tal como era su obligación legal, sino que l</w:t>
      </w:r>
      <w:r w:rsidR="00880D4C" w:rsidRPr="00386E47">
        <w:rPr>
          <w:rFonts w:asciiTheme="majorHAnsi" w:eastAsia="Calibri" w:hAnsiTheme="majorHAnsi"/>
          <w:sz w:val="20"/>
          <w:szCs w:val="20"/>
          <w:lang w:val="es-ES_tradnl" w:eastAsia="es-ES"/>
        </w:rPr>
        <w:t>o</w:t>
      </w:r>
      <w:r w:rsidR="00223175" w:rsidRPr="00386E47">
        <w:rPr>
          <w:rFonts w:asciiTheme="majorHAnsi" w:eastAsia="Calibri" w:hAnsiTheme="majorHAnsi"/>
          <w:sz w:val="20"/>
          <w:szCs w:val="20"/>
          <w:lang w:val="es-ES_tradnl" w:eastAsia="es-ES"/>
        </w:rPr>
        <w:t xml:space="preserve"> transfirió</w:t>
      </w:r>
      <w:r w:rsidR="00386243" w:rsidRPr="00386E47">
        <w:rPr>
          <w:rFonts w:asciiTheme="majorHAnsi" w:eastAsia="Calibri" w:hAnsiTheme="majorHAnsi"/>
          <w:sz w:val="20"/>
          <w:szCs w:val="20"/>
          <w:lang w:val="es-ES_tradnl" w:eastAsia="es-ES"/>
        </w:rPr>
        <w:t xml:space="preserve">, en el estado en que se encontraba, a </w:t>
      </w:r>
      <w:r w:rsidR="00223175" w:rsidRPr="00386E47">
        <w:rPr>
          <w:rFonts w:asciiTheme="majorHAnsi" w:eastAsia="Calibri" w:hAnsiTheme="majorHAnsi"/>
          <w:sz w:val="20"/>
          <w:szCs w:val="20"/>
          <w:lang w:val="es-ES_tradnl" w:eastAsia="es-ES"/>
        </w:rPr>
        <w:t xml:space="preserve">una concesionaria de autos llamada “Automotores Alejandro”. El 4 de julio de 1994, esto es: dos semanas antes del atentado a la AMIA, un hombre llamado Carlos </w:t>
      </w:r>
      <w:r w:rsidR="00880D4C" w:rsidRPr="00386E47">
        <w:rPr>
          <w:rFonts w:asciiTheme="majorHAnsi" w:eastAsia="Calibri" w:hAnsiTheme="majorHAnsi"/>
          <w:sz w:val="20"/>
          <w:szCs w:val="20"/>
          <w:lang w:val="es-ES_tradnl" w:eastAsia="es-ES"/>
        </w:rPr>
        <w:t>Telleldín</w:t>
      </w:r>
      <w:r w:rsidR="00223175" w:rsidRPr="00386E47">
        <w:rPr>
          <w:rFonts w:asciiTheme="majorHAnsi" w:eastAsia="Calibri" w:hAnsiTheme="majorHAnsi"/>
          <w:sz w:val="20"/>
          <w:szCs w:val="20"/>
          <w:lang w:val="es-ES_tradnl" w:eastAsia="es-ES"/>
        </w:rPr>
        <w:t xml:space="preserve"> adquirió la Trafic a manos de “Automotores Alejandro”. El juez instructor dispuso la detención de </w:t>
      </w:r>
      <w:r w:rsidR="00880D4C" w:rsidRPr="00386E47">
        <w:rPr>
          <w:rFonts w:asciiTheme="majorHAnsi" w:eastAsia="Calibri" w:hAnsiTheme="majorHAnsi"/>
          <w:sz w:val="20"/>
          <w:szCs w:val="20"/>
          <w:lang w:val="es-ES_tradnl" w:eastAsia="es-ES"/>
        </w:rPr>
        <w:t>Telleldín</w:t>
      </w:r>
      <w:r w:rsidR="00223175" w:rsidRPr="00386E47">
        <w:rPr>
          <w:rFonts w:asciiTheme="majorHAnsi" w:eastAsia="Calibri" w:hAnsiTheme="majorHAnsi"/>
          <w:sz w:val="20"/>
          <w:szCs w:val="20"/>
          <w:lang w:val="es-ES_tradnl" w:eastAsia="es-ES"/>
        </w:rPr>
        <w:t>, quien fue arrestado el 27 de julio por agentes de la SIDE y de la Policía Federal Argentina en el Aeroparque Jorge Newbery de la ciudad de Buenos Aires</w:t>
      </w:r>
      <w:r w:rsidR="00223175" w:rsidRPr="00386E47">
        <w:rPr>
          <w:rFonts w:asciiTheme="majorHAnsi" w:eastAsia="Calibri" w:hAnsiTheme="majorHAnsi"/>
          <w:sz w:val="20"/>
          <w:szCs w:val="20"/>
          <w:vertAlign w:val="superscript"/>
          <w:lang w:val="es-ES_tradnl" w:eastAsia="es-ES"/>
        </w:rPr>
        <w:footnoteReference w:id="13"/>
      </w:r>
      <w:r w:rsidR="00223175" w:rsidRPr="00386E47">
        <w:rPr>
          <w:rFonts w:asciiTheme="majorHAnsi" w:eastAsia="Calibri" w:hAnsiTheme="majorHAnsi"/>
          <w:sz w:val="20"/>
          <w:szCs w:val="20"/>
          <w:lang w:val="es-ES_tradnl" w:eastAsia="es-ES"/>
        </w:rPr>
        <w:t>.</w:t>
      </w:r>
    </w:p>
    <w:p w14:paraId="3230304E" w14:textId="77777777" w:rsidR="009F70EA" w:rsidRPr="00386E47" w:rsidRDefault="009F70EA" w:rsidP="00CE774A">
      <w:pPr>
        <w:tabs>
          <w:tab w:val="left" w:pos="426"/>
        </w:tabs>
        <w:contextualSpacing/>
        <w:jc w:val="both"/>
        <w:rPr>
          <w:rFonts w:asciiTheme="majorHAnsi" w:eastAsia="Calibri" w:hAnsiTheme="majorHAnsi"/>
          <w:sz w:val="20"/>
          <w:szCs w:val="20"/>
          <w:lang w:val="es-ES_tradnl" w:eastAsia="es-ES"/>
        </w:rPr>
      </w:pPr>
    </w:p>
    <w:p w14:paraId="7DB9F261" w14:textId="77777777" w:rsidR="009F70EA" w:rsidRPr="00386E47" w:rsidRDefault="00223175"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Por espacio de casi</w:t>
      </w:r>
      <w:r w:rsidR="009F70EA" w:rsidRPr="00386E47">
        <w:rPr>
          <w:rFonts w:asciiTheme="majorHAnsi" w:eastAsia="Calibri" w:hAnsiTheme="majorHAnsi"/>
          <w:sz w:val="20"/>
          <w:szCs w:val="20"/>
          <w:lang w:val="es-ES_tradnl" w:eastAsia="es-ES"/>
        </w:rPr>
        <w:t xml:space="preserve"> dos años Carlos </w:t>
      </w:r>
      <w:r w:rsidR="00880D4C" w:rsidRPr="00386E47">
        <w:rPr>
          <w:rFonts w:asciiTheme="majorHAnsi" w:eastAsia="Calibri" w:hAnsiTheme="majorHAnsi"/>
          <w:sz w:val="20"/>
          <w:szCs w:val="20"/>
          <w:lang w:val="es-ES_tradnl" w:eastAsia="es-ES"/>
        </w:rPr>
        <w:t>Telleldín</w:t>
      </w:r>
      <w:r w:rsidR="009F70EA" w:rsidRPr="00386E47">
        <w:rPr>
          <w:rFonts w:asciiTheme="majorHAnsi" w:eastAsia="Calibri" w:hAnsiTheme="majorHAnsi"/>
          <w:sz w:val="20"/>
          <w:szCs w:val="20"/>
          <w:lang w:val="es-ES_tradnl" w:eastAsia="es-ES"/>
        </w:rPr>
        <w:t xml:space="preserve"> fue la única persona </w:t>
      </w:r>
      <w:r w:rsidRPr="00386E47">
        <w:rPr>
          <w:rFonts w:asciiTheme="majorHAnsi" w:eastAsia="Calibri" w:hAnsiTheme="majorHAnsi"/>
          <w:sz w:val="20"/>
          <w:szCs w:val="20"/>
          <w:lang w:val="es-ES_tradnl" w:eastAsia="es-ES"/>
        </w:rPr>
        <w:t xml:space="preserve">detenida y </w:t>
      </w:r>
      <w:r w:rsidR="009F70EA" w:rsidRPr="00386E47">
        <w:rPr>
          <w:rFonts w:asciiTheme="majorHAnsi" w:eastAsia="Calibri" w:hAnsiTheme="majorHAnsi"/>
          <w:sz w:val="20"/>
          <w:szCs w:val="20"/>
          <w:lang w:val="es-ES_tradnl" w:eastAsia="es-ES"/>
        </w:rPr>
        <w:t xml:space="preserve">formalmente acusada de tener algún grado de participación </w:t>
      </w:r>
      <w:r w:rsidRPr="00386E47">
        <w:rPr>
          <w:rFonts w:asciiTheme="majorHAnsi" w:eastAsia="Calibri" w:hAnsiTheme="majorHAnsi"/>
          <w:sz w:val="20"/>
          <w:szCs w:val="20"/>
          <w:lang w:val="es-ES_tradnl" w:eastAsia="es-ES"/>
        </w:rPr>
        <w:t>en</w:t>
      </w:r>
      <w:r w:rsidR="009F70EA" w:rsidRPr="00386E47">
        <w:rPr>
          <w:rFonts w:asciiTheme="majorHAnsi" w:eastAsia="Calibri" w:hAnsiTheme="majorHAnsi"/>
          <w:sz w:val="20"/>
          <w:szCs w:val="20"/>
          <w:lang w:val="es-ES_tradnl" w:eastAsia="es-ES"/>
        </w:rPr>
        <w:t xml:space="preserve"> el atentado. Sobre su persona pendía, concretamente, la acusación de haber entregado la Trafic a aquellos responsables de planificar o perpetrar el </w:t>
      </w:r>
      <w:r w:rsidRPr="00386E47">
        <w:rPr>
          <w:rFonts w:asciiTheme="majorHAnsi" w:eastAsia="Calibri" w:hAnsiTheme="majorHAnsi"/>
          <w:sz w:val="20"/>
          <w:szCs w:val="20"/>
          <w:lang w:val="es-ES_tradnl" w:eastAsia="es-ES"/>
        </w:rPr>
        <w:t>ataque a la AMIA</w:t>
      </w:r>
      <w:r w:rsidR="009F70EA" w:rsidRPr="00386E47">
        <w:rPr>
          <w:rFonts w:asciiTheme="majorHAnsi" w:eastAsia="Calibri" w:hAnsiTheme="majorHAnsi"/>
          <w:sz w:val="20"/>
          <w:szCs w:val="20"/>
          <w:lang w:val="es-ES_tradnl" w:eastAsia="es-ES"/>
        </w:rPr>
        <w:t xml:space="preserve">, a sabiendas de su destino final. </w:t>
      </w:r>
      <w:r w:rsidR="00880D4C" w:rsidRPr="00386E47">
        <w:rPr>
          <w:rFonts w:asciiTheme="majorHAnsi" w:eastAsia="Calibri" w:hAnsiTheme="majorHAnsi"/>
          <w:sz w:val="20"/>
          <w:szCs w:val="20"/>
          <w:lang w:val="es-ES_tradnl" w:eastAsia="es-ES"/>
        </w:rPr>
        <w:t>Telleldín</w:t>
      </w:r>
      <w:r w:rsidR="009F70EA" w:rsidRPr="00386E47">
        <w:rPr>
          <w:rFonts w:asciiTheme="majorHAnsi" w:eastAsia="Calibri" w:hAnsiTheme="majorHAnsi"/>
          <w:sz w:val="20"/>
          <w:szCs w:val="20"/>
          <w:lang w:val="es-ES_tradnl" w:eastAsia="es-ES"/>
        </w:rPr>
        <w:t xml:space="preserve"> fue convocado en cuatro oportunidades a prestar declaración indagatoria durante 1994 y 1995. En ninguna de esas declaraciones aportó datos que permitieran profundizar la investigación</w:t>
      </w:r>
      <w:r w:rsidR="009F70EA" w:rsidRPr="00386E47">
        <w:rPr>
          <w:rFonts w:asciiTheme="majorHAnsi" w:eastAsia="Calibri" w:hAnsiTheme="majorHAnsi"/>
          <w:sz w:val="20"/>
          <w:szCs w:val="20"/>
          <w:vertAlign w:val="superscript"/>
          <w:lang w:val="es-ES_tradnl" w:eastAsia="es-ES"/>
        </w:rPr>
        <w:footnoteReference w:id="14"/>
      </w:r>
      <w:r w:rsidR="009F70EA" w:rsidRPr="00386E47">
        <w:rPr>
          <w:rFonts w:asciiTheme="majorHAnsi" w:eastAsia="Calibri" w:hAnsiTheme="majorHAnsi"/>
          <w:sz w:val="20"/>
          <w:szCs w:val="20"/>
          <w:lang w:val="es-ES_tradnl" w:eastAsia="es-ES"/>
        </w:rPr>
        <w:t xml:space="preserve">. </w:t>
      </w:r>
    </w:p>
    <w:p w14:paraId="61946F78" w14:textId="77777777" w:rsidR="009F70EA" w:rsidRPr="00386E47" w:rsidRDefault="009F70EA" w:rsidP="00CE774A">
      <w:pPr>
        <w:tabs>
          <w:tab w:val="left" w:pos="426"/>
        </w:tabs>
        <w:contextualSpacing/>
        <w:jc w:val="both"/>
        <w:rPr>
          <w:rFonts w:asciiTheme="majorHAnsi" w:eastAsia="Calibri" w:hAnsiTheme="majorHAnsi"/>
          <w:sz w:val="20"/>
          <w:szCs w:val="20"/>
          <w:lang w:val="es-ES_tradnl" w:eastAsia="es-ES"/>
        </w:rPr>
      </w:pPr>
    </w:p>
    <w:p w14:paraId="16852EBB"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El 5 de julio de 1996 Carlos </w:t>
      </w:r>
      <w:r w:rsidR="00880D4C" w:rsidRPr="00386E47">
        <w:rPr>
          <w:rFonts w:asciiTheme="majorHAnsi" w:eastAsia="Calibri" w:hAnsiTheme="majorHAnsi"/>
          <w:sz w:val="20"/>
          <w:szCs w:val="20"/>
          <w:lang w:val="es-ES_tradnl" w:eastAsia="es-ES"/>
        </w:rPr>
        <w:t>Telleldín</w:t>
      </w:r>
      <w:r w:rsidRPr="00386E47">
        <w:rPr>
          <w:rFonts w:asciiTheme="majorHAnsi" w:eastAsia="Calibri" w:hAnsiTheme="majorHAnsi"/>
          <w:sz w:val="20"/>
          <w:szCs w:val="20"/>
          <w:lang w:val="es-ES_tradnl" w:eastAsia="es-ES"/>
        </w:rPr>
        <w:t xml:space="preserve"> </w:t>
      </w:r>
      <w:r w:rsidR="00365006" w:rsidRPr="00386E47">
        <w:rPr>
          <w:rFonts w:asciiTheme="majorHAnsi" w:eastAsia="Calibri" w:hAnsiTheme="majorHAnsi"/>
          <w:sz w:val="20"/>
          <w:szCs w:val="20"/>
          <w:lang w:val="es-ES_tradnl" w:eastAsia="es-ES"/>
        </w:rPr>
        <w:t>brindó</w:t>
      </w:r>
      <w:r w:rsidR="00223175" w:rsidRPr="00386E47">
        <w:rPr>
          <w:rFonts w:asciiTheme="majorHAnsi" w:eastAsia="Calibri" w:hAnsiTheme="majorHAnsi"/>
          <w:sz w:val="20"/>
          <w:szCs w:val="20"/>
          <w:lang w:val="es-ES_tradnl" w:eastAsia="es-ES"/>
        </w:rPr>
        <w:t xml:space="preserve"> una nueva declaración indagatoria</w:t>
      </w:r>
      <w:r w:rsidRPr="00386E47">
        <w:rPr>
          <w:rFonts w:asciiTheme="majorHAnsi" w:eastAsia="Calibri" w:hAnsiTheme="majorHAnsi"/>
          <w:sz w:val="20"/>
          <w:szCs w:val="20"/>
          <w:lang w:val="es-ES_tradnl" w:eastAsia="es-ES"/>
        </w:rPr>
        <w:t xml:space="preserve"> ante el juez Galeano. En esa oportunidad </w:t>
      </w:r>
      <w:r w:rsidR="00880D4C" w:rsidRPr="00386E47">
        <w:rPr>
          <w:rFonts w:asciiTheme="majorHAnsi" w:eastAsia="Calibri" w:hAnsiTheme="majorHAnsi"/>
          <w:sz w:val="20"/>
          <w:szCs w:val="20"/>
          <w:lang w:val="es-ES_tradnl" w:eastAsia="es-ES"/>
        </w:rPr>
        <w:t>Telleldín</w:t>
      </w:r>
      <w:r w:rsidRPr="00386E47">
        <w:rPr>
          <w:rFonts w:asciiTheme="majorHAnsi" w:eastAsia="Calibri" w:hAnsiTheme="majorHAnsi"/>
          <w:sz w:val="20"/>
          <w:szCs w:val="20"/>
          <w:lang w:val="es-ES_tradnl" w:eastAsia="es-ES"/>
        </w:rPr>
        <w:t xml:space="preserve"> </w:t>
      </w:r>
      <w:r w:rsidRPr="00386E47">
        <w:rPr>
          <w:rFonts w:asciiTheme="majorHAnsi" w:eastAsia="Calibri" w:hAnsiTheme="majorHAnsi"/>
          <w:sz w:val="20"/>
          <w:szCs w:val="20"/>
          <w:lang w:val="es-AR" w:eastAsia="es-ES"/>
        </w:rPr>
        <w:t>“refirió que fue víctima de extorsiones por parte de personal de la Policía Bonaerense, que culminaron en la venta de la camioneta Trafic a una persona que los acompañaba”</w:t>
      </w:r>
      <w:r w:rsidRPr="00386E47">
        <w:rPr>
          <w:rFonts w:asciiTheme="majorHAnsi" w:eastAsia="Calibri" w:hAnsiTheme="majorHAnsi"/>
          <w:sz w:val="20"/>
          <w:szCs w:val="20"/>
          <w:vertAlign w:val="superscript"/>
          <w:lang w:val="es-AR" w:eastAsia="es-ES"/>
        </w:rPr>
        <w:footnoteReference w:id="15"/>
      </w:r>
      <w:r w:rsidRPr="00386E47">
        <w:rPr>
          <w:rFonts w:asciiTheme="majorHAnsi" w:eastAsia="Calibri" w:hAnsiTheme="majorHAnsi"/>
          <w:sz w:val="20"/>
          <w:szCs w:val="20"/>
          <w:lang w:val="es-AR" w:eastAsia="es-ES"/>
        </w:rPr>
        <w:t>. Cuatro policías que revistaban al momento de los hechos en las brigadas de investigaciones de las localidades de Lanús y Vicente López fueron arrestados y acusados de formar parte de la conexión local del atentado</w:t>
      </w:r>
      <w:r w:rsidR="00880D4C" w:rsidRPr="00386E47">
        <w:rPr>
          <w:rStyle w:val="FootnoteReference"/>
          <w:rFonts w:asciiTheme="majorHAnsi" w:eastAsia="Calibri" w:hAnsiTheme="majorHAnsi"/>
          <w:sz w:val="20"/>
          <w:szCs w:val="20"/>
          <w:lang w:val="es-AR" w:eastAsia="es-ES"/>
        </w:rPr>
        <w:footnoteReference w:id="16"/>
      </w:r>
      <w:r w:rsidRPr="00386E47">
        <w:rPr>
          <w:rFonts w:asciiTheme="majorHAnsi" w:eastAsia="Calibri" w:hAnsiTheme="majorHAnsi"/>
          <w:sz w:val="20"/>
          <w:szCs w:val="20"/>
          <w:lang w:val="es-AR" w:eastAsia="es-ES"/>
        </w:rPr>
        <w:t xml:space="preserve">.  </w:t>
      </w:r>
    </w:p>
    <w:p w14:paraId="0E5E7123" w14:textId="77777777" w:rsidR="009F70EA" w:rsidRPr="00386E47" w:rsidRDefault="009F70EA" w:rsidP="00CE774A">
      <w:pPr>
        <w:tabs>
          <w:tab w:val="left" w:pos="426"/>
        </w:tabs>
        <w:contextualSpacing/>
        <w:jc w:val="both"/>
        <w:rPr>
          <w:rFonts w:asciiTheme="majorHAnsi" w:eastAsia="Calibri" w:hAnsiTheme="majorHAnsi"/>
          <w:sz w:val="20"/>
          <w:szCs w:val="20"/>
          <w:lang w:val="es-ES_tradnl" w:eastAsia="es-ES"/>
        </w:rPr>
      </w:pPr>
    </w:p>
    <w:p w14:paraId="5826FDD7"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En el mes de febrero de 2000 el Juez Galeano decretó la clausura de la instrucción y dictó auto de elevación a juicio oral contra </w:t>
      </w:r>
      <w:r w:rsidR="00880D4C" w:rsidRPr="00386E47">
        <w:rPr>
          <w:rFonts w:asciiTheme="majorHAnsi" w:eastAsia="Calibri" w:hAnsiTheme="majorHAnsi"/>
          <w:sz w:val="20"/>
          <w:szCs w:val="20"/>
          <w:lang w:val="es-ES_tradnl" w:eastAsia="es-ES"/>
        </w:rPr>
        <w:t>Telleldín</w:t>
      </w:r>
      <w:r w:rsidRPr="00386E47">
        <w:rPr>
          <w:rFonts w:asciiTheme="majorHAnsi" w:eastAsia="Calibri" w:hAnsiTheme="majorHAnsi"/>
          <w:sz w:val="20"/>
          <w:szCs w:val="20"/>
          <w:lang w:val="es-ES_tradnl" w:eastAsia="es-ES"/>
        </w:rPr>
        <w:t xml:space="preserve"> y los efectivos policiales que habrían recibido la camioneta Trafic. Otras personas </w:t>
      </w:r>
      <w:r w:rsidRPr="00386E47">
        <w:rPr>
          <w:rFonts w:asciiTheme="majorHAnsi" w:eastAsia="Calibri" w:hAnsiTheme="majorHAnsi"/>
          <w:sz w:val="20"/>
          <w:szCs w:val="20"/>
          <w:lang w:val="es-ES_tradnl" w:eastAsia="es-ES"/>
        </w:rPr>
        <w:lastRenderedPageBreak/>
        <w:t xml:space="preserve">fueron también sometidas a proceso por delitos conexos. El juez de instrucción retuvo en su despacho </w:t>
      </w:r>
      <w:r w:rsidR="00423389" w:rsidRPr="00386E47">
        <w:rPr>
          <w:rFonts w:asciiTheme="majorHAnsi" w:eastAsia="Calibri" w:hAnsiTheme="majorHAnsi"/>
          <w:sz w:val="20"/>
          <w:szCs w:val="20"/>
          <w:lang w:val="es-ES_tradnl" w:eastAsia="es-ES"/>
        </w:rPr>
        <w:t>la porción de la</w:t>
      </w:r>
      <w:r w:rsidRPr="00386E47">
        <w:rPr>
          <w:rFonts w:asciiTheme="majorHAnsi" w:eastAsia="Calibri" w:hAnsiTheme="majorHAnsi"/>
          <w:sz w:val="20"/>
          <w:szCs w:val="20"/>
          <w:lang w:val="es-ES_tradnl" w:eastAsia="es-ES"/>
        </w:rPr>
        <w:t xml:space="preserve"> investigación que apuntaba a determinar el autor o los autores materiales del atentado y los responsables intelectuales locales o internacionales</w:t>
      </w:r>
      <w:r w:rsidR="00F85EB6" w:rsidRPr="00386E47">
        <w:rPr>
          <w:rStyle w:val="FootnoteReference"/>
          <w:rFonts w:asciiTheme="majorHAnsi" w:eastAsia="Calibri" w:hAnsiTheme="majorHAnsi"/>
          <w:sz w:val="20"/>
          <w:szCs w:val="20"/>
          <w:lang w:val="es-ES_tradnl" w:eastAsia="es-ES"/>
        </w:rPr>
        <w:footnoteReference w:id="17"/>
      </w:r>
      <w:r w:rsidRPr="00386E47">
        <w:rPr>
          <w:rFonts w:asciiTheme="majorHAnsi" w:eastAsia="Calibri" w:hAnsiTheme="majorHAnsi"/>
          <w:sz w:val="20"/>
          <w:szCs w:val="20"/>
          <w:lang w:val="es-ES_tradnl" w:eastAsia="es-ES"/>
        </w:rPr>
        <w:t xml:space="preserve">. </w:t>
      </w:r>
    </w:p>
    <w:p w14:paraId="6AE50ECC" w14:textId="77777777" w:rsidR="009F70EA" w:rsidRPr="00386E47" w:rsidRDefault="009F70EA" w:rsidP="00CE774A">
      <w:pPr>
        <w:tabs>
          <w:tab w:val="left" w:pos="426"/>
        </w:tabs>
        <w:contextualSpacing/>
        <w:jc w:val="both"/>
        <w:rPr>
          <w:rFonts w:asciiTheme="majorHAnsi" w:eastAsia="Calibri" w:hAnsiTheme="majorHAnsi"/>
          <w:sz w:val="20"/>
          <w:szCs w:val="20"/>
          <w:lang w:val="es-ES_tradnl" w:eastAsia="es-ES"/>
        </w:rPr>
      </w:pPr>
    </w:p>
    <w:p w14:paraId="7075A550"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El Tribunal Oral en lo Criminal Federal No. 3 de la Capital Federal (TOF 3) fue sorteado para intervenir </w:t>
      </w:r>
      <w:r w:rsidR="00F85EB6" w:rsidRPr="00386E47">
        <w:rPr>
          <w:rFonts w:asciiTheme="majorHAnsi" w:eastAsia="Calibri" w:hAnsiTheme="majorHAnsi"/>
          <w:sz w:val="20"/>
          <w:szCs w:val="20"/>
          <w:lang w:val="es-ES_tradnl" w:eastAsia="es-ES"/>
        </w:rPr>
        <w:t xml:space="preserve">como tribunal de juicio </w:t>
      </w:r>
      <w:r w:rsidRPr="00386E47">
        <w:rPr>
          <w:rFonts w:asciiTheme="majorHAnsi" w:eastAsia="Calibri" w:hAnsiTheme="majorHAnsi"/>
          <w:sz w:val="20"/>
          <w:szCs w:val="20"/>
          <w:lang w:val="es-ES_tradnl" w:eastAsia="es-ES"/>
        </w:rPr>
        <w:t xml:space="preserve">en la etapa de debate. Las audiencias </w:t>
      </w:r>
      <w:r w:rsidR="00F85EB6" w:rsidRPr="00386E47">
        <w:rPr>
          <w:rFonts w:asciiTheme="majorHAnsi" w:eastAsia="Calibri" w:hAnsiTheme="majorHAnsi"/>
          <w:sz w:val="20"/>
          <w:szCs w:val="20"/>
          <w:lang w:val="es-ES_tradnl" w:eastAsia="es-ES"/>
        </w:rPr>
        <w:t xml:space="preserve">orales </w:t>
      </w:r>
      <w:r w:rsidRPr="00386E47">
        <w:rPr>
          <w:rFonts w:asciiTheme="majorHAnsi" w:eastAsia="Calibri" w:hAnsiTheme="majorHAnsi"/>
          <w:sz w:val="20"/>
          <w:szCs w:val="20"/>
          <w:lang w:val="es-ES_tradnl" w:eastAsia="es-ES"/>
        </w:rPr>
        <w:t xml:space="preserve">comenzaron el 24 de septiembre de 2001. </w:t>
      </w:r>
      <w:r w:rsidR="00F85EB6" w:rsidRPr="00386E47">
        <w:rPr>
          <w:rFonts w:asciiTheme="majorHAnsi" w:eastAsia="Calibri" w:hAnsiTheme="majorHAnsi"/>
          <w:sz w:val="20"/>
          <w:szCs w:val="20"/>
          <w:lang w:val="es-ES_tradnl" w:eastAsia="es-ES"/>
        </w:rPr>
        <w:t>Tal como fue expresado en la introducción, u</w:t>
      </w:r>
      <w:r w:rsidRPr="00386E47">
        <w:rPr>
          <w:rFonts w:asciiTheme="majorHAnsi" w:eastAsia="Calibri" w:hAnsiTheme="majorHAnsi"/>
          <w:sz w:val="20"/>
          <w:szCs w:val="20"/>
          <w:lang w:val="es-ES_tradnl" w:eastAsia="es-ES"/>
        </w:rPr>
        <w:t xml:space="preserve">na representación de la CIDH, encabezada por el comisionado Claudio Grossman, monitoreó el juicio en calidad de veedor y emitió un informe a su término. </w:t>
      </w:r>
    </w:p>
    <w:p w14:paraId="6C53DBFB" w14:textId="77777777" w:rsidR="009F70EA" w:rsidRPr="00386E47" w:rsidRDefault="009F70EA" w:rsidP="00CE774A">
      <w:pPr>
        <w:tabs>
          <w:tab w:val="left" w:pos="426"/>
        </w:tabs>
        <w:contextualSpacing/>
        <w:jc w:val="both"/>
        <w:rPr>
          <w:rFonts w:asciiTheme="majorHAnsi" w:eastAsia="Calibri" w:hAnsiTheme="majorHAnsi"/>
          <w:sz w:val="20"/>
          <w:szCs w:val="20"/>
          <w:lang w:val="es-ES_tradnl" w:eastAsia="es-ES"/>
        </w:rPr>
      </w:pPr>
    </w:p>
    <w:p w14:paraId="682B1801" w14:textId="77777777" w:rsidR="009F70EA" w:rsidRPr="00386E47" w:rsidRDefault="00402D44"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El</w:t>
      </w:r>
      <w:r w:rsidR="009F70EA" w:rsidRPr="00386E47">
        <w:rPr>
          <w:rFonts w:asciiTheme="majorHAnsi" w:eastAsia="Calibri" w:hAnsiTheme="majorHAnsi"/>
          <w:sz w:val="20"/>
          <w:szCs w:val="20"/>
          <w:lang w:val="es-ES_tradnl" w:eastAsia="es-ES"/>
        </w:rPr>
        <w:t xml:space="preserve"> TOF 3 en su sentencia de fecha 29 de octubre de 2004 declaró la nulidad de la investigación</w:t>
      </w:r>
      <w:r w:rsidRPr="00386E47">
        <w:rPr>
          <w:rFonts w:asciiTheme="majorHAnsi" w:eastAsia="Calibri" w:hAnsiTheme="majorHAnsi"/>
          <w:sz w:val="20"/>
          <w:szCs w:val="20"/>
          <w:lang w:val="es-ES_tradnl" w:eastAsia="es-ES"/>
        </w:rPr>
        <w:t xml:space="preserve"> encabezada por el juez</w:t>
      </w:r>
      <w:r w:rsidR="009F70EA" w:rsidRPr="00386E47">
        <w:rPr>
          <w:rFonts w:asciiTheme="majorHAnsi" w:eastAsia="Calibri" w:hAnsiTheme="majorHAnsi"/>
          <w:sz w:val="20"/>
          <w:szCs w:val="20"/>
          <w:lang w:val="es-ES_tradnl" w:eastAsia="es-ES"/>
        </w:rPr>
        <w:t xml:space="preserve"> Galeano y absolvió a todos los acusados. En un comunicado de prensa emitido el mismo día, el Tribunal informó que las pruebas producidas en el debate permitieron arribar a la conclusión que “la indagatoria del 5 de julio de 1996 de Carlos Alberto </w:t>
      </w:r>
      <w:r w:rsidR="00880D4C" w:rsidRPr="00386E47">
        <w:rPr>
          <w:rFonts w:asciiTheme="majorHAnsi" w:eastAsia="Calibri" w:hAnsiTheme="majorHAnsi"/>
          <w:sz w:val="20"/>
          <w:szCs w:val="20"/>
          <w:lang w:val="es-ES_tradnl" w:eastAsia="es-ES"/>
        </w:rPr>
        <w:t>Telleldín</w:t>
      </w:r>
      <w:r w:rsidR="009F70EA" w:rsidRPr="00386E47">
        <w:rPr>
          <w:rFonts w:asciiTheme="majorHAnsi" w:eastAsia="Calibri" w:hAnsiTheme="majorHAnsi"/>
          <w:sz w:val="20"/>
          <w:szCs w:val="20"/>
          <w:lang w:val="es-ES_tradnl" w:eastAsia="es-ES"/>
        </w:rPr>
        <w:t>, en la que involucró en el atentado a sus consortes de causa y por la que percibió la suma de cuatrocientos mil dólares o pesos, fue la culminación de una actividad irregular del Estado dirigida a obtener un responsable, más allá de lo realmente acontecido”</w:t>
      </w:r>
      <w:r w:rsidR="009F70EA" w:rsidRPr="00386E47">
        <w:rPr>
          <w:rFonts w:asciiTheme="majorHAnsi" w:eastAsia="Calibri" w:hAnsiTheme="majorHAnsi"/>
          <w:sz w:val="20"/>
          <w:szCs w:val="20"/>
          <w:vertAlign w:val="superscript"/>
          <w:lang w:val="es-ES_tradnl" w:eastAsia="es-ES"/>
        </w:rPr>
        <w:footnoteReference w:id="18"/>
      </w:r>
      <w:r w:rsidR="009F70EA" w:rsidRPr="00386E47">
        <w:rPr>
          <w:rFonts w:asciiTheme="majorHAnsi" w:eastAsia="Calibri" w:hAnsiTheme="majorHAnsi"/>
          <w:sz w:val="20"/>
          <w:szCs w:val="20"/>
          <w:lang w:val="es-ES_tradnl" w:eastAsia="es-ES"/>
        </w:rPr>
        <w:t xml:space="preserve">.  </w:t>
      </w:r>
    </w:p>
    <w:p w14:paraId="5844C6E3" w14:textId="77777777" w:rsidR="009F70EA" w:rsidRPr="00386E47" w:rsidRDefault="009F70EA" w:rsidP="00CE774A">
      <w:pPr>
        <w:tabs>
          <w:tab w:val="left" w:pos="426"/>
        </w:tabs>
        <w:contextualSpacing/>
        <w:jc w:val="both"/>
        <w:rPr>
          <w:rFonts w:asciiTheme="majorHAnsi" w:eastAsia="Calibri" w:hAnsiTheme="majorHAnsi"/>
          <w:sz w:val="20"/>
          <w:szCs w:val="20"/>
          <w:lang w:val="es-ES_tradnl" w:eastAsia="es-ES"/>
        </w:rPr>
      </w:pPr>
    </w:p>
    <w:p w14:paraId="618EDB36"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La decisión del TOF 3 fue recurrida por los representantes del Ministerio Público y por un</w:t>
      </w:r>
      <w:r w:rsidR="00880D4C" w:rsidRPr="00386E47">
        <w:rPr>
          <w:rFonts w:asciiTheme="majorHAnsi" w:eastAsia="Calibri" w:hAnsiTheme="majorHAnsi"/>
          <w:sz w:val="20"/>
          <w:szCs w:val="20"/>
          <w:lang w:val="es-ES_tradnl" w:eastAsia="es-ES"/>
        </w:rPr>
        <w:t>o</w:t>
      </w:r>
      <w:r w:rsidRPr="00386E47">
        <w:rPr>
          <w:rFonts w:asciiTheme="majorHAnsi" w:eastAsia="Calibri" w:hAnsiTheme="majorHAnsi"/>
          <w:sz w:val="20"/>
          <w:szCs w:val="20"/>
          <w:lang w:val="es-ES_tradnl" w:eastAsia="es-ES"/>
        </w:rPr>
        <w:t xml:space="preserve"> de l</w:t>
      </w:r>
      <w:r w:rsidR="00880D4C" w:rsidRPr="00386E47">
        <w:rPr>
          <w:rFonts w:asciiTheme="majorHAnsi" w:eastAsia="Calibri" w:hAnsiTheme="majorHAnsi"/>
          <w:sz w:val="20"/>
          <w:szCs w:val="20"/>
          <w:lang w:val="es-ES_tradnl" w:eastAsia="es-ES"/>
        </w:rPr>
        <w:t>o</w:t>
      </w:r>
      <w:r w:rsidRPr="00386E47">
        <w:rPr>
          <w:rFonts w:asciiTheme="majorHAnsi" w:eastAsia="Calibri" w:hAnsiTheme="majorHAnsi"/>
          <w:sz w:val="20"/>
          <w:szCs w:val="20"/>
          <w:lang w:val="es-ES_tradnl" w:eastAsia="es-ES"/>
        </w:rPr>
        <w:t>s querella</w:t>
      </w:r>
      <w:r w:rsidR="003023CC" w:rsidRPr="00386E47">
        <w:rPr>
          <w:rFonts w:asciiTheme="majorHAnsi" w:eastAsia="Calibri" w:hAnsiTheme="majorHAnsi"/>
          <w:sz w:val="20"/>
          <w:szCs w:val="20"/>
          <w:lang w:val="es-ES_tradnl" w:eastAsia="es-ES"/>
        </w:rPr>
        <w:t>nte</w:t>
      </w:r>
      <w:r w:rsidRPr="00386E47">
        <w:rPr>
          <w:rFonts w:asciiTheme="majorHAnsi" w:eastAsia="Calibri" w:hAnsiTheme="majorHAnsi"/>
          <w:sz w:val="20"/>
          <w:szCs w:val="20"/>
          <w:lang w:val="es-ES_tradnl" w:eastAsia="es-ES"/>
        </w:rPr>
        <w:t>s. El 19 de mayo de 2006 la Sala II de la Cámara Nacional de Casación Penal confirmó la sentencia apelada</w:t>
      </w:r>
      <w:r w:rsidRPr="00386E47">
        <w:rPr>
          <w:rFonts w:asciiTheme="majorHAnsi" w:eastAsia="Calibri" w:hAnsiTheme="majorHAnsi"/>
          <w:sz w:val="20"/>
          <w:szCs w:val="20"/>
          <w:vertAlign w:val="superscript"/>
          <w:lang w:val="es-ES_tradnl" w:eastAsia="es-ES"/>
        </w:rPr>
        <w:footnoteReference w:id="19"/>
      </w:r>
      <w:r w:rsidRPr="00386E47">
        <w:rPr>
          <w:rFonts w:asciiTheme="majorHAnsi" w:eastAsia="Calibri" w:hAnsiTheme="majorHAnsi"/>
          <w:sz w:val="20"/>
          <w:szCs w:val="20"/>
          <w:lang w:val="es-ES_tradnl" w:eastAsia="es-ES"/>
        </w:rPr>
        <w:t xml:space="preserve">. El 27 de mayo de 2009 la Corte Suprema de la Nación declaró procedente el recurso extraordinario </w:t>
      </w:r>
      <w:r w:rsidR="00402D44" w:rsidRPr="00386E47">
        <w:rPr>
          <w:rFonts w:asciiTheme="majorHAnsi" w:eastAsia="Calibri" w:hAnsiTheme="majorHAnsi"/>
          <w:sz w:val="20"/>
          <w:szCs w:val="20"/>
          <w:lang w:val="es-ES_tradnl" w:eastAsia="es-ES"/>
        </w:rPr>
        <w:t xml:space="preserve">presentado por los acusadores </w:t>
      </w:r>
      <w:r w:rsidRPr="00386E47">
        <w:rPr>
          <w:rFonts w:asciiTheme="majorHAnsi" w:eastAsia="Calibri" w:hAnsiTheme="majorHAnsi"/>
          <w:sz w:val="20"/>
          <w:szCs w:val="20"/>
          <w:lang w:val="es-ES_tradnl" w:eastAsia="es-ES"/>
        </w:rPr>
        <w:t>y decidió que la ausencia de imparcialidad del juez Galeano se había verificado solo a partir del 31 de octubre de 1995 - momento en que se inició formalmente la investigación contra los efectivos de la policía bonaerense - y que, por consiguiente, la declaración de nulidad no se extendía a las diligencias de instrucción ocurridas antes de esa fecha</w:t>
      </w:r>
      <w:r w:rsidR="00657C60" w:rsidRPr="00386E47">
        <w:rPr>
          <w:rStyle w:val="FootnoteReference"/>
          <w:rFonts w:asciiTheme="majorHAnsi" w:eastAsia="Calibri" w:hAnsiTheme="majorHAnsi"/>
          <w:sz w:val="20"/>
          <w:szCs w:val="20"/>
          <w:lang w:val="es-ES_tradnl" w:eastAsia="es-ES"/>
        </w:rPr>
        <w:footnoteReference w:id="20"/>
      </w:r>
      <w:r w:rsidRPr="00386E47">
        <w:rPr>
          <w:rFonts w:asciiTheme="majorHAnsi" w:eastAsia="Calibri" w:hAnsiTheme="majorHAnsi"/>
          <w:sz w:val="20"/>
          <w:szCs w:val="20"/>
          <w:lang w:val="es-ES_tradnl" w:eastAsia="es-ES"/>
        </w:rPr>
        <w:t xml:space="preserve">. </w:t>
      </w:r>
    </w:p>
    <w:p w14:paraId="407CA446" w14:textId="77777777" w:rsidR="009F70EA" w:rsidRPr="00386E47" w:rsidRDefault="009F70EA" w:rsidP="00CE774A">
      <w:pPr>
        <w:tabs>
          <w:tab w:val="left" w:pos="426"/>
        </w:tabs>
        <w:contextualSpacing/>
        <w:jc w:val="both"/>
        <w:rPr>
          <w:rFonts w:asciiTheme="majorHAnsi" w:eastAsia="Calibri" w:hAnsiTheme="majorHAnsi"/>
          <w:sz w:val="20"/>
          <w:szCs w:val="20"/>
          <w:lang w:val="es-ES_tradnl" w:eastAsia="es-ES"/>
        </w:rPr>
      </w:pPr>
    </w:p>
    <w:p w14:paraId="08B6DC5D"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La sentencia de la Corte Suprema de mayo de 2009 tuvo como consecuencia la reanudación de la persecución penal respecto </w:t>
      </w:r>
      <w:r w:rsidR="00EC461B" w:rsidRPr="00386E47">
        <w:rPr>
          <w:rFonts w:asciiTheme="majorHAnsi" w:eastAsia="Calibri" w:hAnsiTheme="majorHAnsi"/>
          <w:sz w:val="20"/>
          <w:szCs w:val="20"/>
          <w:lang w:val="es-ES_tradnl" w:eastAsia="es-ES"/>
        </w:rPr>
        <w:t>de la llamada “conexión local” del atentad</w:t>
      </w:r>
      <w:r w:rsidR="003023CC" w:rsidRPr="00386E47">
        <w:rPr>
          <w:rFonts w:asciiTheme="majorHAnsi" w:eastAsia="Calibri" w:hAnsiTheme="majorHAnsi"/>
          <w:sz w:val="20"/>
          <w:szCs w:val="20"/>
          <w:lang w:val="es-ES_tradnl" w:eastAsia="es-ES"/>
        </w:rPr>
        <w:t>o</w:t>
      </w:r>
      <w:r w:rsidRPr="00386E47">
        <w:rPr>
          <w:rFonts w:asciiTheme="majorHAnsi" w:eastAsia="Calibri" w:hAnsiTheme="majorHAnsi"/>
          <w:sz w:val="20"/>
          <w:szCs w:val="20"/>
          <w:lang w:val="es-ES_tradnl" w:eastAsia="es-ES"/>
        </w:rPr>
        <w:t>. La instrucción se radicó en el Juzgado en lo Criminal y Correccional Nro. 6 a cargo del Juez Rodolfo Canicoba Corral, quien la delegó a la Unidad Fiscal de Investigación al Atentado a la Sede de la AMIA (UFI AMIA) encabezada en ese entonces por el Fiscal General Alberto Nisman</w:t>
      </w:r>
      <w:r w:rsidR="00203A2C" w:rsidRPr="00386E47">
        <w:rPr>
          <w:rStyle w:val="FootnoteReference"/>
          <w:rFonts w:asciiTheme="majorHAnsi" w:eastAsia="Calibri" w:hAnsiTheme="majorHAnsi"/>
          <w:sz w:val="20"/>
          <w:szCs w:val="20"/>
          <w:lang w:val="es-ES_tradnl" w:eastAsia="es-ES"/>
        </w:rPr>
        <w:footnoteReference w:id="21"/>
      </w:r>
      <w:r w:rsidRPr="00386E47">
        <w:rPr>
          <w:rFonts w:asciiTheme="majorHAnsi" w:eastAsia="Calibri" w:hAnsiTheme="majorHAnsi"/>
          <w:sz w:val="20"/>
          <w:szCs w:val="20"/>
          <w:lang w:val="es-ES_tradnl" w:eastAsia="es-ES"/>
        </w:rPr>
        <w:t>. La UFI AMIA ya se hallaba para ese entonces interviniendo en la investigación por los autores materiales y la conexión internacional del atentado (ver infra</w:t>
      </w:r>
      <w:r w:rsidR="00071F87" w:rsidRPr="00386E47">
        <w:rPr>
          <w:rFonts w:asciiTheme="majorHAnsi" w:eastAsia="Calibri" w:hAnsiTheme="majorHAnsi"/>
          <w:sz w:val="20"/>
          <w:szCs w:val="20"/>
          <w:lang w:val="es-ES_tradnl" w:eastAsia="es-ES"/>
        </w:rPr>
        <w:t xml:space="preserve"> </w:t>
      </w:r>
      <w:r w:rsidR="007A4ED3" w:rsidRPr="00386E47">
        <w:rPr>
          <w:rFonts w:asciiTheme="majorHAnsi" w:eastAsia="Calibri" w:hAnsiTheme="majorHAnsi"/>
          <w:sz w:val="20"/>
          <w:szCs w:val="20"/>
          <w:lang w:val="es-ES_tradnl" w:eastAsia="es-ES"/>
        </w:rPr>
        <w:t>párr.</w:t>
      </w:r>
      <w:r w:rsidR="00071F87" w:rsidRPr="00386E47">
        <w:rPr>
          <w:rFonts w:asciiTheme="majorHAnsi" w:eastAsia="Calibri" w:hAnsiTheme="majorHAnsi"/>
          <w:sz w:val="20"/>
          <w:szCs w:val="20"/>
          <w:lang w:val="es-ES_tradnl" w:eastAsia="es-ES"/>
        </w:rPr>
        <w:t xml:space="preserve"> </w:t>
      </w:r>
      <w:r w:rsidR="00880D4C" w:rsidRPr="00386E47">
        <w:rPr>
          <w:rFonts w:asciiTheme="majorHAnsi" w:eastAsia="Calibri" w:hAnsiTheme="majorHAnsi"/>
          <w:sz w:val="20"/>
          <w:szCs w:val="20"/>
          <w:lang w:val="es-ES_tradnl" w:eastAsia="es-ES"/>
        </w:rPr>
        <w:t>69</w:t>
      </w:r>
      <w:r w:rsidR="00071F87" w:rsidRPr="00386E47">
        <w:rPr>
          <w:rFonts w:asciiTheme="majorHAnsi" w:eastAsia="Calibri" w:hAnsiTheme="majorHAnsi"/>
          <w:sz w:val="20"/>
          <w:szCs w:val="20"/>
          <w:lang w:val="es-ES_tradnl" w:eastAsia="es-ES"/>
        </w:rPr>
        <w:t xml:space="preserve"> a 8</w:t>
      </w:r>
      <w:r w:rsidR="00880D4C" w:rsidRPr="00386E47">
        <w:rPr>
          <w:rFonts w:asciiTheme="majorHAnsi" w:eastAsia="Calibri" w:hAnsiTheme="majorHAnsi"/>
          <w:sz w:val="20"/>
          <w:szCs w:val="20"/>
          <w:lang w:val="es-ES_tradnl" w:eastAsia="es-ES"/>
        </w:rPr>
        <w:t>4</w:t>
      </w:r>
      <w:r w:rsidR="00071F87" w:rsidRPr="00386E47">
        <w:rPr>
          <w:rFonts w:asciiTheme="majorHAnsi" w:eastAsia="Calibri" w:hAnsiTheme="majorHAnsi"/>
          <w:sz w:val="20"/>
          <w:szCs w:val="20"/>
          <w:lang w:val="es-ES_tradnl" w:eastAsia="es-ES"/>
        </w:rPr>
        <w:t>)</w:t>
      </w:r>
      <w:r w:rsidRPr="00386E47">
        <w:rPr>
          <w:rFonts w:asciiTheme="majorHAnsi" w:eastAsia="Calibri" w:hAnsiTheme="majorHAnsi"/>
          <w:sz w:val="20"/>
          <w:szCs w:val="20"/>
          <w:lang w:val="es-ES_tradnl" w:eastAsia="es-ES"/>
        </w:rPr>
        <w:t xml:space="preserve"> </w:t>
      </w:r>
    </w:p>
    <w:p w14:paraId="6A308179" w14:textId="77777777" w:rsidR="009F70EA" w:rsidRPr="00386E47" w:rsidRDefault="009F70EA" w:rsidP="00CE774A">
      <w:pPr>
        <w:tabs>
          <w:tab w:val="left" w:pos="426"/>
        </w:tabs>
        <w:contextualSpacing/>
        <w:jc w:val="both"/>
        <w:rPr>
          <w:rFonts w:asciiTheme="majorHAnsi" w:eastAsia="Calibri" w:hAnsiTheme="majorHAnsi"/>
          <w:sz w:val="20"/>
          <w:szCs w:val="20"/>
          <w:lang w:val="es-ES_tradnl" w:eastAsia="es-ES"/>
        </w:rPr>
      </w:pPr>
    </w:p>
    <w:p w14:paraId="61E3E6CE"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En agosto de 2012 el Fiscal Nisman formuló requerimiento de elevación a juicio respecto de Carlos Alberto </w:t>
      </w:r>
      <w:r w:rsidR="00880D4C" w:rsidRPr="00386E47">
        <w:rPr>
          <w:rFonts w:asciiTheme="majorHAnsi" w:eastAsia="Calibri" w:hAnsiTheme="majorHAnsi"/>
          <w:sz w:val="20"/>
          <w:szCs w:val="20"/>
          <w:lang w:val="es-ES_tradnl" w:eastAsia="es-ES"/>
        </w:rPr>
        <w:t>Telleldín</w:t>
      </w:r>
      <w:r w:rsidRPr="00386E47">
        <w:rPr>
          <w:rFonts w:asciiTheme="majorHAnsi" w:eastAsia="Calibri" w:hAnsiTheme="majorHAnsi"/>
          <w:sz w:val="20"/>
          <w:szCs w:val="20"/>
          <w:lang w:val="es-ES_tradnl" w:eastAsia="es-ES"/>
        </w:rPr>
        <w:t xml:space="preserve"> por el delito de homicid</w:t>
      </w:r>
      <w:r w:rsidR="009230D9" w:rsidRPr="00386E47">
        <w:rPr>
          <w:rFonts w:asciiTheme="majorHAnsi" w:eastAsia="Calibri" w:hAnsiTheme="majorHAnsi"/>
          <w:sz w:val="20"/>
          <w:szCs w:val="20"/>
          <w:lang w:val="es-ES_tradnl" w:eastAsia="es-ES"/>
        </w:rPr>
        <w:t>io calificado,</w:t>
      </w:r>
      <w:r w:rsidRPr="00386E47">
        <w:rPr>
          <w:rFonts w:asciiTheme="majorHAnsi" w:eastAsia="Calibri" w:hAnsiTheme="majorHAnsi"/>
          <w:sz w:val="20"/>
          <w:szCs w:val="20"/>
          <w:lang w:val="es-ES_tradnl" w:eastAsia="es-ES"/>
        </w:rPr>
        <w:t xml:space="preserve"> en concurso ideal con los delitos de lesiones</w:t>
      </w:r>
      <w:r w:rsidR="009230D9" w:rsidRPr="00386E47">
        <w:rPr>
          <w:rFonts w:asciiTheme="majorHAnsi" w:eastAsia="Calibri" w:hAnsiTheme="majorHAnsi"/>
          <w:sz w:val="20"/>
          <w:szCs w:val="20"/>
          <w:lang w:val="es-ES_tradnl" w:eastAsia="es-ES"/>
        </w:rPr>
        <w:t xml:space="preserve"> graves reiteradas, leves reiteradas </w:t>
      </w:r>
      <w:r w:rsidRPr="00386E47">
        <w:rPr>
          <w:rFonts w:asciiTheme="majorHAnsi" w:eastAsia="Calibri" w:hAnsiTheme="majorHAnsi"/>
          <w:sz w:val="20"/>
          <w:szCs w:val="20"/>
          <w:lang w:val="es-ES_tradnl" w:eastAsia="es-ES"/>
        </w:rPr>
        <w:t>y daños múltiples. El Fiscal con</w:t>
      </w:r>
      <w:r w:rsidR="00657C60" w:rsidRPr="00386E47">
        <w:rPr>
          <w:rFonts w:asciiTheme="majorHAnsi" w:eastAsia="Calibri" w:hAnsiTheme="majorHAnsi"/>
          <w:sz w:val="20"/>
          <w:szCs w:val="20"/>
          <w:lang w:val="es-ES_tradnl" w:eastAsia="es-ES"/>
        </w:rPr>
        <w:t xml:space="preserve">cluyó en su dictamen que </w:t>
      </w:r>
      <w:r w:rsidR="00880D4C" w:rsidRPr="00386E47">
        <w:rPr>
          <w:rFonts w:asciiTheme="majorHAnsi" w:eastAsia="Calibri" w:hAnsiTheme="majorHAnsi"/>
          <w:sz w:val="20"/>
          <w:szCs w:val="20"/>
          <w:lang w:val="es-ES_tradnl" w:eastAsia="es-ES"/>
        </w:rPr>
        <w:t>Telleldín</w:t>
      </w:r>
      <w:r w:rsidRPr="00386E47">
        <w:rPr>
          <w:rFonts w:asciiTheme="majorHAnsi" w:eastAsia="Calibri" w:hAnsiTheme="majorHAnsi"/>
          <w:sz w:val="20"/>
          <w:szCs w:val="20"/>
          <w:lang w:val="es-ES_tradnl" w:eastAsia="es-ES"/>
        </w:rPr>
        <w:t xml:space="preserve"> entregó la Trafic “acondicionada para su finalidad criminal, al siguiente eslabón de la cadena terrorista, con conocimiento de quienes eran los que la estaban recibiendo y el fin para el que sería empleada”</w:t>
      </w:r>
      <w:r w:rsidRPr="00386E47">
        <w:rPr>
          <w:rFonts w:asciiTheme="majorHAnsi" w:eastAsia="Calibri" w:hAnsiTheme="majorHAnsi"/>
          <w:sz w:val="20"/>
          <w:szCs w:val="20"/>
          <w:vertAlign w:val="superscript"/>
          <w:lang w:val="es-ES_tradnl" w:eastAsia="es-ES"/>
        </w:rPr>
        <w:footnoteReference w:id="22"/>
      </w:r>
      <w:r w:rsidRPr="00386E47">
        <w:rPr>
          <w:rFonts w:asciiTheme="majorHAnsi" w:eastAsia="Calibri" w:hAnsiTheme="majorHAnsi"/>
          <w:sz w:val="20"/>
          <w:szCs w:val="20"/>
          <w:lang w:val="es-ES_tradnl" w:eastAsia="es-ES"/>
        </w:rPr>
        <w:t xml:space="preserve"> </w:t>
      </w:r>
    </w:p>
    <w:p w14:paraId="7F1A6398" w14:textId="77777777" w:rsidR="009F70EA" w:rsidRPr="00386E47" w:rsidRDefault="009F70EA" w:rsidP="00CE774A">
      <w:pPr>
        <w:tabs>
          <w:tab w:val="left" w:pos="426"/>
        </w:tabs>
        <w:contextualSpacing/>
        <w:jc w:val="both"/>
        <w:rPr>
          <w:rFonts w:asciiTheme="majorHAnsi" w:eastAsia="Calibri" w:hAnsiTheme="majorHAnsi"/>
          <w:sz w:val="20"/>
          <w:szCs w:val="20"/>
          <w:lang w:val="es-ES_tradnl" w:eastAsia="es-ES"/>
        </w:rPr>
      </w:pPr>
    </w:p>
    <w:p w14:paraId="326BBA9A" w14:textId="77777777" w:rsidR="009F70EA" w:rsidRPr="00386E47" w:rsidRDefault="00880D4C"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De acuerdo con lo informado por las partes, e</w:t>
      </w:r>
      <w:r w:rsidR="009F70EA" w:rsidRPr="00386E47">
        <w:rPr>
          <w:rFonts w:asciiTheme="majorHAnsi" w:eastAsia="Calibri" w:hAnsiTheme="majorHAnsi"/>
          <w:sz w:val="20"/>
          <w:szCs w:val="20"/>
          <w:lang w:val="es-ES_tradnl" w:eastAsia="es-ES"/>
        </w:rPr>
        <w:t xml:space="preserve">l segundo juicio oral seguido contra Carlos </w:t>
      </w:r>
      <w:r w:rsidRPr="00386E47">
        <w:rPr>
          <w:rFonts w:asciiTheme="majorHAnsi" w:eastAsia="Calibri" w:hAnsiTheme="majorHAnsi"/>
          <w:sz w:val="20"/>
          <w:szCs w:val="20"/>
          <w:lang w:val="es-ES_tradnl" w:eastAsia="es-ES"/>
        </w:rPr>
        <w:t>Telleldín</w:t>
      </w:r>
      <w:r w:rsidR="009F70EA" w:rsidRPr="00386E47">
        <w:rPr>
          <w:rFonts w:asciiTheme="majorHAnsi" w:eastAsia="Calibri" w:hAnsiTheme="majorHAnsi"/>
          <w:sz w:val="20"/>
          <w:szCs w:val="20"/>
          <w:lang w:val="es-ES_tradnl" w:eastAsia="es-ES"/>
        </w:rPr>
        <w:t xml:space="preserve"> comenzó en mayo de 2019. Al momento de la aprobación de este informe dicho proceso </w:t>
      </w:r>
      <w:r w:rsidR="00657C60" w:rsidRPr="00386E47">
        <w:rPr>
          <w:rFonts w:asciiTheme="majorHAnsi" w:eastAsia="Calibri" w:hAnsiTheme="majorHAnsi"/>
          <w:sz w:val="20"/>
          <w:szCs w:val="20"/>
          <w:lang w:val="es-ES_tradnl" w:eastAsia="es-ES"/>
        </w:rPr>
        <w:t xml:space="preserve">aún </w:t>
      </w:r>
      <w:r w:rsidR="009F70EA" w:rsidRPr="00386E47">
        <w:rPr>
          <w:rFonts w:asciiTheme="majorHAnsi" w:eastAsia="Calibri" w:hAnsiTheme="majorHAnsi"/>
          <w:sz w:val="20"/>
          <w:szCs w:val="20"/>
          <w:lang w:val="es-ES_tradnl" w:eastAsia="es-ES"/>
        </w:rPr>
        <w:t>continúa en trámite</w:t>
      </w:r>
      <w:r w:rsidRPr="00386E47">
        <w:rPr>
          <w:rStyle w:val="FootnoteReference"/>
          <w:rFonts w:asciiTheme="majorHAnsi" w:eastAsia="Calibri" w:hAnsiTheme="majorHAnsi"/>
          <w:sz w:val="20"/>
          <w:szCs w:val="20"/>
          <w:lang w:val="es-ES_tradnl" w:eastAsia="es-ES"/>
        </w:rPr>
        <w:footnoteReference w:id="23"/>
      </w:r>
      <w:r w:rsidR="009F70EA" w:rsidRPr="00386E47">
        <w:rPr>
          <w:rFonts w:asciiTheme="majorHAnsi" w:eastAsia="Calibri" w:hAnsiTheme="majorHAnsi"/>
          <w:sz w:val="20"/>
          <w:szCs w:val="20"/>
          <w:lang w:val="es-ES_tradnl" w:eastAsia="es-ES"/>
        </w:rPr>
        <w:t xml:space="preserve">. </w:t>
      </w:r>
    </w:p>
    <w:p w14:paraId="69E26D80" w14:textId="77777777" w:rsidR="00880D4C" w:rsidRPr="00386E47" w:rsidRDefault="00880D4C" w:rsidP="00880D4C">
      <w:pPr>
        <w:tabs>
          <w:tab w:val="left" w:pos="567"/>
        </w:tabs>
        <w:contextualSpacing/>
        <w:jc w:val="both"/>
        <w:rPr>
          <w:rFonts w:asciiTheme="majorHAnsi" w:eastAsia="Calibri" w:hAnsiTheme="majorHAnsi"/>
          <w:sz w:val="20"/>
          <w:szCs w:val="20"/>
          <w:lang w:val="es-ES_tradnl" w:eastAsia="es-ES"/>
        </w:rPr>
      </w:pPr>
    </w:p>
    <w:p w14:paraId="2E8FB340" w14:textId="77777777" w:rsidR="009F70EA" w:rsidRPr="00386E47" w:rsidRDefault="009F70EA" w:rsidP="009146F2">
      <w:pPr>
        <w:pStyle w:val="Heading3"/>
        <w:numPr>
          <w:ilvl w:val="1"/>
          <w:numId w:val="68"/>
        </w:numPr>
        <w:ind w:left="284" w:firstLine="0"/>
      </w:pPr>
      <w:bookmarkStart w:id="22" w:name="_Toc51252193"/>
      <w:r w:rsidRPr="00386E47">
        <w:t>La investigación delegada en la Unidad Fiscal de Investigación al Atentado a la Sede de la AMIA por el Juzgado en lo Criminal y Correccional Federa</w:t>
      </w:r>
      <w:r w:rsidR="00657C60" w:rsidRPr="00386E47">
        <w:t>l Nro. 6 de la Capital Federal</w:t>
      </w:r>
      <w:bookmarkEnd w:id="22"/>
      <w:r w:rsidR="00657C60" w:rsidRPr="00386E47">
        <w:t xml:space="preserve"> </w:t>
      </w:r>
    </w:p>
    <w:p w14:paraId="59DC595E" w14:textId="77777777" w:rsidR="00F15801" w:rsidRPr="00386E47" w:rsidRDefault="00F15801" w:rsidP="00F761B7">
      <w:pPr>
        <w:tabs>
          <w:tab w:val="left" w:pos="284"/>
        </w:tabs>
        <w:jc w:val="both"/>
        <w:rPr>
          <w:rFonts w:asciiTheme="majorHAnsi" w:eastAsia="Calibri" w:hAnsiTheme="majorHAnsi"/>
          <w:b/>
          <w:sz w:val="20"/>
          <w:szCs w:val="20"/>
          <w:lang w:val="es-ES_tradnl" w:eastAsia="es-ES"/>
        </w:rPr>
      </w:pPr>
    </w:p>
    <w:p w14:paraId="755D510C"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El 3 de diciembre de 2003, y </w:t>
      </w:r>
      <w:r w:rsidR="00657C60" w:rsidRPr="00386E47">
        <w:rPr>
          <w:rFonts w:asciiTheme="majorHAnsi" w:eastAsia="Calibri" w:hAnsiTheme="majorHAnsi"/>
          <w:sz w:val="20"/>
          <w:szCs w:val="20"/>
          <w:lang w:val="es-ES_tradnl" w:eastAsia="es-ES"/>
        </w:rPr>
        <w:t>como resultado</w:t>
      </w:r>
      <w:r w:rsidRPr="00386E47">
        <w:rPr>
          <w:rFonts w:asciiTheme="majorHAnsi" w:eastAsia="Calibri" w:hAnsiTheme="majorHAnsi"/>
          <w:sz w:val="20"/>
          <w:szCs w:val="20"/>
          <w:lang w:val="es-ES_tradnl" w:eastAsia="es-ES"/>
        </w:rPr>
        <w:t xml:space="preserve"> de la recusación presentada por la querella de </w:t>
      </w:r>
      <w:r w:rsidR="00657C60" w:rsidRPr="00386E47">
        <w:rPr>
          <w:rFonts w:asciiTheme="majorHAnsi" w:eastAsia="Calibri" w:hAnsiTheme="majorHAnsi"/>
          <w:sz w:val="20"/>
          <w:szCs w:val="20"/>
          <w:lang w:val="es-ES_tradnl" w:eastAsia="es-ES"/>
        </w:rPr>
        <w:t xml:space="preserve">la Asociación Civil </w:t>
      </w:r>
      <w:r w:rsidRPr="00386E47">
        <w:rPr>
          <w:rFonts w:asciiTheme="majorHAnsi" w:eastAsia="Calibri" w:hAnsiTheme="majorHAnsi"/>
          <w:sz w:val="20"/>
          <w:szCs w:val="20"/>
          <w:lang w:val="es-ES_tradnl" w:eastAsia="es-ES"/>
        </w:rPr>
        <w:t>Memoria Activa, la Cámara Fe</w:t>
      </w:r>
      <w:r w:rsidR="00F15801" w:rsidRPr="00386E47">
        <w:rPr>
          <w:rFonts w:asciiTheme="majorHAnsi" w:eastAsia="Calibri" w:hAnsiTheme="majorHAnsi"/>
          <w:sz w:val="20"/>
          <w:szCs w:val="20"/>
          <w:lang w:val="es-ES_tradnl" w:eastAsia="es-ES"/>
        </w:rPr>
        <w:t>deral de Apelaciones apartó al J</w:t>
      </w:r>
      <w:r w:rsidRPr="00386E47">
        <w:rPr>
          <w:rFonts w:asciiTheme="majorHAnsi" w:eastAsia="Calibri" w:hAnsiTheme="majorHAnsi"/>
          <w:sz w:val="20"/>
          <w:szCs w:val="20"/>
          <w:lang w:val="es-ES_tradnl" w:eastAsia="es-ES"/>
        </w:rPr>
        <w:t>uez Galeano del conocimiento de aquellos tramos de la investigación que no habían sido elevados a juicio oral. En agosto de 2005 el Jurado de Enjuiciamiento del Consejo de la Magistratura de la Nación resolvió destituir de su cargo al juez Galeano por mal desempeño de sus funciones</w:t>
      </w:r>
      <w:r w:rsidR="004E5DC8" w:rsidRPr="00386E47">
        <w:rPr>
          <w:rFonts w:asciiTheme="majorHAnsi" w:eastAsia="Calibri" w:hAnsiTheme="majorHAnsi"/>
          <w:sz w:val="20"/>
          <w:szCs w:val="20"/>
          <w:lang w:val="es-ES_tradnl" w:eastAsia="es-ES"/>
        </w:rPr>
        <w:t xml:space="preserve"> evidenciado durante la investigación del atentado</w:t>
      </w:r>
      <w:r w:rsidRPr="00386E47">
        <w:rPr>
          <w:rFonts w:asciiTheme="majorHAnsi" w:eastAsia="Calibri" w:hAnsiTheme="majorHAnsi"/>
          <w:sz w:val="20"/>
          <w:szCs w:val="20"/>
          <w:vertAlign w:val="superscript"/>
          <w:lang w:val="es-ES_tradnl" w:eastAsia="es-ES"/>
        </w:rPr>
        <w:footnoteReference w:id="24"/>
      </w:r>
      <w:r w:rsidRPr="00386E47">
        <w:rPr>
          <w:rFonts w:asciiTheme="majorHAnsi" w:eastAsia="Calibri" w:hAnsiTheme="majorHAnsi"/>
          <w:sz w:val="20"/>
          <w:szCs w:val="20"/>
          <w:lang w:val="es-ES_tradnl" w:eastAsia="es-ES"/>
        </w:rPr>
        <w:t xml:space="preserve">. </w:t>
      </w:r>
    </w:p>
    <w:p w14:paraId="17FB3AC3" w14:textId="77777777" w:rsidR="009F70EA" w:rsidRPr="00386E47" w:rsidRDefault="009F70EA" w:rsidP="00CE774A">
      <w:pPr>
        <w:tabs>
          <w:tab w:val="left" w:pos="567"/>
        </w:tabs>
        <w:contextualSpacing/>
        <w:jc w:val="both"/>
        <w:rPr>
          <w:rFonts w:asciiTheme="majorHAnsi" w:eastAsia="Calibri" w:hAnsiTheme="majorHAnsi"/>
          <w:sz w:val="20"/>
          <w:szCs w:val="20"/>
          <w:lang w:val="es-ES_tradnl" w:eastAsia="es-ES"/>
        </w:rPr>
      </w:pPr>
    </w:p>
    <w:p w14:paraId="1C0A18FE"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La investigación recayó en el titular del Juzgado en lo Criminal y Correccional Nro. 6, el cual decidió delegarla en el representante del Ministerio Público. El objeto procesal de ese expediente se centra en esclarecer la identidad de aquellos autores materiales e intelectuales del atentado. Mediante resolución 84-04 de la Procuración General de la Nación se creó la UFI AMIA con el mandato de “actuar […] en la tramitación de la causa principal en que se investiga el atentado ocurrido el 18 de julio de 1994 […] y en todas las demás causas, que guarden relación con ese </w:t>
      </w:r>
      <w:r w:rsidR="000E0C69" w:rsidRPr="00386E47">
        <w:rPr>
          <w:rFonts w:asciiTheme="majorHAnsi" w:eastAsia="Calibri" w:hAnsiTheme="majorHAnsi"/>
          <w:sz w:val="20"/>
          <w:szCs w:val="20"/>
          <w:lang w:val="es-ES_tradnl" w:eastAsia="es-ES"/>
        </w:rPr>
        <w:t>hecho,</w:t>
      </w:r>
      <w:r w:rsidRPr="00386E47">
        <w:rPr>
          <w:rFonts w:asciiTheme="majorHAnsi" w:eastAsia="Calibri" w:hAnsiTheme="majorHAnsi"/>
          <w:sz w:val="20"/>
          <w:szCs w:val="20"/>
          <w:lang w:val="es-ES_tradnl" w:eastAsia="es-ES"/>
        </w:rPr>
        <w:t xml:space="preserve"> así como aquellas relacionadas con el encubrimiento…”</w:t>
      </w:r>
      <w:r w:rsidR="00F15801" w:rsidRPr="00386E47">
        <w:rPr>
          <w:rFonts w:asciiTheme="majorHAnsi" w:eastAsia="Calibri" w:hAnsiTheme="majorHAnsi"/>
          <w:sz w:val="20"/>
          <w:szCs w:val="20"/>
          <w:lang w:val="es-ES_tradnl" w:eastAsia="es-ES"/>
        </w:rPr>
        <w:t>. Los fiscales</w:t>
      </w:r>
      <w:r w:rsidRPr="00386E47">
        <w:rPr>
          <w:rFonts w:asciiTheme="majorHAnsi" w:eastAsia="Calibri" w:hAnsiTheme="majorHAnsi"/>
          <w:sz w:val="20"/>
          <w:szCs w:val="20"/>
          <w:lang w:val="es-ES_tradnl" w:eastAsia="es-ES"/>
        </w:rPr>
        <w:t xml:space="preserve"> </w:t>
      </w:r>
      <w:r w:rsidR="00D17068" w:rsidRPr="00386E47">
        <w:rPr>
          <w:rFonts w:asciiTheme="majorHAnsi" w:eastAsia="Calibri" w:hAnsiTheme="majorHAnsi"/>
          <w:sz w:val="20"/>
          <w:szCs w:val="20"/>
          <w:lang w:val="es-ES_tradnl" w:eastAsia="es-ES"/>
        </w:rPr>
        <w:t>Martínez</w:t>
      </w:r>
      <w:r w:rsidRPr="00386E47">
        <w:rPr>
          <w:rFonts w:asciiTheme="majorHAnsi" w:eastAsia="Calibri" w:hAnsiTheme="majorHAnsi"/>
          <w:sz w:val="20"/>
          <w:szCs w:val="20"/>
          <w:lang w:val="es-ES_tradnl" w:eastAsia="es-ES"/>
        </w:rPr>
        <w:t xml:space="preserve"> Burgos </w:t>
      </w:r>
      <w:r w:rsidR="00F15801" w:rsidRPr="00386E47">
        <w:rPr>
          <w:rFonts w:asciiTheme="majorHAnsi" w:eastAsia="Calibri" w:hAnsiTheme="majorHAnsi"/>
          <w:sz w:val="20"/>
          <w:szCs w:val="20"/>
          <w:lang w:val="es-ES_tradnl" w:eastAsia="es-ES"/>
        </w:rPr>
        <w:t xml:space="preserve">y Nisman </w:t>
      </w:r>
      <w:r w:rsidRPr="00386E47">
        <w:rPr>
          <w:rFonts w:asciiTheme="majorHAnsi" w:eastAsia="Calibri" w:hAnsiTheme="majorHAnsi"/>
          <w:sz w:val="20"/>
          <w:szCs w:val="20"/>
          <w:lang w:val="es-ES_tradnl" w:eastAsia="es-ES"/>
        </w:rPr>
        <w:t xml:space="preserve">fueron designados para encabezarla. Posteriormente, el Fiscal Nisman quedó a cargo de la investigación de manera exclusiva. </w:t>
      </w:r>
    </w:p>
    <w:p w14:paraId="4A6D8D0F" w14:textId="77777777" w:rsidR="009F70EA" w:rsidRPr="00386E47" w:rsidRDefault="009F70EA" w:rsidP="00347DFB">
      <w:pPr>
        <w:tabs>
          <w:tab w:val="left" w:pos="567"/>
        </w:tabs>
        <w:contextualSpacing/>
        <w:jc w:val="both"/>
        <w:rPr>
          <w:rFonts w:asciiTheme="majorHAnsi" w:eastAsia="Calibri" w:hAnsiTheme="majorHAnsi"/>
          <w:sz w:val="20"/>
          <w:szCs w:val="20"/>
          <w:lang w:val="es-ES_tradnl" w:eastAsia="es-ES"/>
        </w:rPr>
      </w:pPr>
    </w:p>
    <w:p w14:paraId="67C9488C"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El 25 de octubre de 2006 los fiscales </w:t>
      </w:r>
      <w:r w:rsidR="00D17068" w:rsidRPr="00386E47">
        <w:rPr>
          <w:rFonts w:asciiTheme="majorHAnsi" w:eastAsia="Calibri" w:hAnsiTheme="majorHAnsi"/>
          <w:sz w:val="20"/>
          <w:szCs w:val="20"/>
          <w:lang w:val="es-ES_tradnl" w:eastAsia="es-ES"/>
        </w:rPr>
        <w:t>Martínez</w:t>
      </w:r>
      <w:r w:rsidRPr="00386E47">
        <w:rPr>
          <w:rFonts w:asciiTheme="majorHAnsi" w:eastAsia="Calibri" w:hAnsiTheme="majorHAnsi"/>
          <w:sz w:val="20"/>
          <w:szCs w:val="20"/>
          <w:lang w:val="es-ES_tradnl" w:eastAsia="es-ES"/>
        </w:rPr>
        <w:t xml:space="preserve"> Burgos y Nisman suscribieron un extenso dictamen en el cual consignaron que el avance de la investigación</w:t>
      </w:r>
      <w:r w:rsidR="00F15801" w:rsidRPr="00386E47">
        <w:rPr>
          <w:rFonts w:asciiTheme="majorHAnsi" w:eastAsia="Calibri" w:hAnsiTheme="majorHAnsi"/>
          <w:sz w:val="20"/>
          <w:szCs w:val="20"/>
          <w:lang w:val="es-ES_tradnl" w:eastAsia="es-ES"/>
        </w:rPr>
        <w:t xml:space="preserve"> hasta ese momento</w:t>
      </w:r>
      <w:r w:rsidRPr="00386E47">
        <w:rPr>
          <w:rFonts w:asciiTheme="majorHAnsi" w:eastAsia="Calibri" w:hAnsiTheme="majorHAnsi"/>
          <w:sz w:val="20"/>
          <w:szCs w:val="20"/>
          <w:lang w:val="es-ES_tradnl" w:eastAsia="es-ES"/>
        </w:rPr>
        <w:t xml:space="preserve"> les permitía concluir, en primer lugar, que “el ciudadano libanés y miembro del Hezbollah, Ibrahim Hussein Berro, fue quien condujo el vehículo Renault Trafic que el 18 de julio de 1994 estalló frente a la sede de la AMIA, inmolándose en el hecho”</w:t>
      </w:r>
      <w:r w:rsidRPr="00386E47">
        <w:rPr>
          <w:rFonts w:asciiTheme="majorHAnsi" w:eastAsia="Calibri" w:hAnsiTheme="majorHAnsi"/>
          <w:sz w:val="20"/>
          <w:szCs w:val="20"/>
          <w:vertAlign w:val="superscript"/>
          <w:lang w:val="es-ES_tradnl" w:eastAsia="es-ES"/>
        </w:rPr>
        <w:footnoteReference w:id="25"/>
      </w:r>
      <w:r w:rsidRPr="00386E47">
        <w:rPr>
          <w:rFonts w:asciiTheme="majorHAnsi" w:eastAsia="Calibri" w:hAnsiTheme="majorHAnsi"/>
          <w:sz w:val="20"/>
          <w:szCs w:val="20"/>
          <w:lang w:val="es-ES_tradnl" w:eastAsia="es-ES"/>
        </w:rPr>
        <w:t>. En segundo lugar, los fiscales aseguraron que “la responsabilidad del atentado contra la sede de la AMIA recae sobre quienes, a la sazón, ejercían el gobierno de la República Islámica de Irán […] sus máximas autoridades de entonces fueron quienes tomaron la decisión de llevarlo a cabo, diagramaron su implementación y encomendaron su ejecución a la organización terrorista Hezbollah, agrupación esta última que […] tuvo a su cargo la fase final de la operación que se concretó el 18 de julio de 1994”</w:t>
      </w:r>
      <w:r w:rsidRPr="00386E47">
        <w:rPr>
          <w:rFonts w:asciiTheme="majorHAnsi" w:eastAsia="Calibri" w:hAnsiTheme="majorHAnsi"/>
          <w:sz w:val="20"/>
          <w:szCs w:val="20"/>
          <w:vertAlign w:val="superscript"/>
          <w:lang w:val="es-ES_tradnl" w:eastAsia="es-ES"/>
        </w:rPr>
        <w:footnoteReference w:id="26"/>
      </w:r>
      <w:r w:rsidRPr="00386E47">
        <w:rPr>
          <w:rFonts w:asciiTheme="majorHAnsi" w:eastAsia="Calibri" w:hAnsiTheme="majorHAnsi"/>
          <w:sz w:val="20"/>
          <w:szCs w:val="20"/>
          <w:lang w:val="es-ES_tradnl" w:eastAsia="es-ES"/>
        </w:rPr>
        <w:t xml:space="preserve">. </w:t>
      </w:r>
    </w:p>
    <w:p w14:paraId="2FF1035E" w14:textId="77777777" w:rsidR="009F70EA" w:rsidRPr="00386E47" w:rsidRDefault="009F70EA" w:rsidP="00CE774A">
      <w:pPr>
        <w:tabs>
          <w:tab w:val="left" w:pos="567"/>
        </w:tabs>
        <w:jc w:val="both"/>
        <w:rPr>
          <w:rFonts w:asciiTheme="majorHAnsi" w:eastAsia="Calibri" w:hAnsiTheme="majorHAnsi"/>
          <w:sz w:val="20"/>
          <w:szCs w:val="20"/>
          <w:lang w:val="es-ES_tradnl" w:eastAsia="es-ES"/>
        </w:rPr>
      </w:pPr>
    </w:p>
    <w:p w14:paraId="4C1B0530" w14:textId="77777777" w:rsidR="009F70EA" w:rsidRPr="00386E47" w:rsidRDefault="009F70EA" w:rsidP="003A5860">
      <w:pPr>
        <w:numPr>
          <w:ilvl w:val="0"/>
          <w:numId w:val="55"/>
        </w:numPr>
        <w:tabs>
          <w:tab w:val="left" w:pos="567"/>
        </w:tabs>
        <w:ind w:left="0" w:firstLine="0"/>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En el</w:t>
      </w:r>
      <w:r w:rsidR="00F15801" w:rsidRPr="00386E47">
        <w:rPr>
          <w:rFonts w:asciiTheme="majorHAnsi" w:eastAsia="Calibri" w:hAnsiTheme="majorHAnsi"/>
          <w:sz w:val="20"/>
          <w:szCs w:val="20"/>
          <w:lang w:val="es-ES_tradnl" w:eastAsia="es-ES"/>
        </w:rPr>
        <w:t xml:space="preserve"> mismo dictamen de fecha</w:t>
      </w:r>
      <w:r w:rsidRPr="00386E47">
        <w:rPr>
          <w:rFonts w:asciiTheme="majorHAnsi" w:eastAsia="Calibri" w:hAnsiTheme="majorHAnsi"/>
          <w:sz w:val="20"/>
          <w:szCs w:val="20"/>
          <w:lang w:val="es-ES_tradnl" w:eastAsia="es-ES"/>
        </w:rPr>
        <w:t xml:space="preserve"> 25 de octubre de 2006 los fiscales intervinientes solicitaron la captura internacional de ocho individuos, s</w:t>
      </w:r>
      <w:r w:rsidR="00F15801" w:rsidRPr="00386E47">
        <w:rPr>
          <w:rFonts w:asciiTheme="majorHAnsi" w:eastAsia="Calibri" w:hAnsiTheme="majorHAnsi"/>
          <w:sz w:val="20"/>
          <w:szCs w:val="20"/>
          <w:lang w:val="es-ES_tradnl" w:eastAsia="es-ES"/>
        </w:rPr>
        <w:t>iete de nacionalidad iraní y un nacional</w:t>
      </w:r>
      <w:r w:rsidRPr="00386E47">
        <w:rPr>
          <w:rFonts w:asciiTheme="majorHAnsi" w:eastAsia="Calibri" w:hAnsiTheme="majorHAnsi"/>
          <w:sz w:val="20"/>
          <w:szCs w:val="20"/>
          <w:lang w:val="es-ES_tradnl" w:eastAsia="es-ES"/>
        </w:rPr>
        <w:t xml:space="preserve"> de la República Libanesa, </w:t>
      </w:r>
      <w:r w:rsidR="00F15801" w:rsidRPr="00386E47">
        <w:rPr>
          <w:rFonts w:asciiTheme="majorHAnsi" w:eastAsia="Calibri" w:hAnsiTheme="majorHAnsi"/>
          <w:sz w:val="20"/>
          <w:szCs w:val="20"/>
          <w:lang w:val="es-ES_tradnl" w:eastAsia="es-ES"/>
        </w:rPr>
        <w:t>las cuales</w:t>
      </w:r>
      <w:r w:rsidRPr="00386E47">
        <w:rPr>
          <w:rFonts w:asciiTheme="majorHAnsi" w:eastAsia="Calibri" w:hAnsiTheme="majorHAnsi"/>
          <w:sz w:val="20"/>
          <w:szCs w:val="20"/>
          <w:lang w:val="es-ES_tradnl" w:eastAsia="es-ES"/>
        </w:rPr>
        <w:t xml:space="preserve"> fueron concedidas por el juez</w:t>
      </w:r>
      <w:r w:rsidR="00787972" w:rsidRPr="00386E47">
        <w:rPr>
          <w:rFonts w:asciiTheme="majorHAnsi" w:eastAsia="Calibri" w:hAnsiTheme="majorHAnsi"/>
          <w:sz w:val="20"/>
          <w:szCs w:val="20"/>
          <w:lang w:val="es-ES_tradnl" w:eastAsia="es-ES"/>
        </w:rPr>
        <w:t xml:space="preserve"> de instrucción</w:t>
      </w:r>
      <w:r w:rsidRPr="00386E47">
        <w:rPr>
          <w:rFonts w:asciiTheme="majorHAnsi" w:eastAsia="Calibri" w:hAnsiTheme="majorHAnsi"/>
          <w:sz w:val="20"/>
          <w:szCs w:val="20"/>
          <w:lang w:val="es-ES_tradnl" w:eastAsia="es-ES"/>
        </w:rPr>
        <w:t>. El 7 de noviembre de 2007 INTERPOL ordenó la inscripción en carácter de notificación roja de las órdenes de captura de seis de las ocho personas señaladas por Nisman y Martínez Burgos</w:t>
      </w:r>
      <w:r w:rsidR="00D17068" w:rsidRPr="00386E47">
        <w:rPr>
          <w:rStyle w:val="FootnoteReference"/>
          <w:rFonts w:asciiTheme="majorHAnsi" w:eastAsia="Calibri" w:hAnsiTheme="majorHAnsi"/>
          <w:sz w:val="20"/>
          <w:szCs w:val="20"/>
          <w:lang w:val="es-ES_tradnl" w:eastAsia="es-ES"/>
        </w:rPr>
        <w:footnoteReference w:id="27"/>
      </w:r>
      <w:r w:rsidR="00B8409B" w:rsidRPr="00386E47">
        <w:rPr>
          <w:rFonts w:asciiTheme="majorHAnsi" w:eastAsia="Calibri" w:hAnsiTheme="majorHAnsi"/>
          <w:sz w:val="20"/>
          <w:szCs w:val="20"/>
          <w:lang w:val="es-ES_tradnl" w:eastAsia="es-ES"/>
        </w:rPr>
        <w:t>.</w:t>
      </w:r>
    </w:p>
    <w:p w14:paraId="43A2ECB0" w14:textId="77777777" w:rsidR="009F70EA" w:rsidRPr="00386E47" w:rsidRDefault="009F70EA" w:rsidP="00CE774A">
      <w:pPr>
        <w:tabs>
          <w:tab w:val="left" w:pos="567"/>
        </w:tabs>
        <w:jc w:val="both"/>
        <w:rPr>
          <w:rFonts w:asciiTheme="majorHAnsi" w:eastAsia="Calibri" w:hAnsiTheme="majorHAnsi"/>
          <w:sz w:val="20"/>
          <w:szCs w:val="20"/>
          <w:lang w:val="es-ES_tradnl" w:eastAsia="es-ES"/>
        </w:rPr>
      </w:pPr>
    </w:p>
    <w:p w14:paraId="5C5EE524" w14:textId="77777777" w:rsidR="009F70EA" w:rsidRPr="00386E47" w:rsidRDefault="009F70EA" w:rsidP="003A5860">
      <w:pPr>
        <w:numPr>
          <w:ilvl w:val="0"/>
          <w:numId w:val="55"/>
        </w:numPr>
        <w:tabs>
          <w:tab w:val="left" w:pos="567"/>
        </w:tabs>
        <w:ind w:left="0" w:firstLine="0"/>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Con fecha 20 de mayo de 2009 la UFI AMIA emitió un nuevo dictamen </w:t>
      </w:r>
      <w:r w:rsidR="00084399" w:rsidRPr="00386E47">
        <w:rPr>
          <w:rFonts w:asciiTheme="majorHAnsi" w:eastAsia="Calibri" w:hAnsiTheme="majorHAnsi"/>
          <w:sz w:val="20"/>
          <w:szCs w:val="20"/>
          <w:lang w:val="es-ES_tradnl" w:eastAsia="es-ES"/>
        </w:rPr>
        <w:t xml:space="preserve">a través </w:t>
      </w:r>
      <w:r w:rsidRPr="00386E47">
        <w:rPr>
          <w:rFonts w:asciiTheme="majorHAnsi" w:eastAsia="Calibri" w:hAnsiTheme="majorHAnsi"/>
          <w:sz w:val="20"/>
          <w:szCs w:val="20"/>
          <w:lang w:val="es-ES_tradnl" w:eastAsia="es-ES"/>
        </w:rPr>
        <w:t>del cual acusó a un hombre de nacionalidad colombiana llamado Samuel Salman</w:t>
      </w:r>
      <w:r w:rsidR="000606B7" w:rsidRPr="00386E47">
        <w:rPr>
          <w:rFonts w:asciiTheme="majorHAnsi" w:eastAsia="Calibri" w:hAnsiTheme="majorHAnsi"/>
          <w:sz w:val="20"/>
          <w:szCs w:val="20"/>
          <w:lang w:val="es-ES_tradnl" w:eastAsia="es-ES"/>
        </w:rPr>
        <w:t xml:space="preserve"> </w:t>
      </w:r>
      <w:r w:rsidRPr="00386E47">
        <w:rPr>
          <w:rFonts w:asciiTheme="majorHAnsi" w:eastAsia="Calibri" w:hAnsiTheme="majorHAnsi"/>
          <w:sz w:val="20"/>
          <w:szCs w:val="20"/>
          <w:lang w:val="es-ES_tradnl" w:eastAsia="es-ES"/>
        </w:rPr>
        <w:t xml:space="preserve">El Reda como el responsable, desde su residencia en la </w:t>
      </w:r>
      <w:r w:rsidR="00A5097A" w:rsidRPr="00386E47">
        <w:rPr>
          <w:rFonts w:asciiTheme="majorHAnsi" w:eastAsia="Calibri" w:hAnsiTheme="majorHAnsi"/>
          <w:sz w:val="20"/>
          <w:szCs w:val="20"/>
          <w:lang w:val="es-ES_tradnl" w:eastAsia="es-ES"/>
        </w:rPr>
        <w:t>zona</w:t>
      </w:r>
      <w:r w:rsidRPr="00386E47">
        <w:rPr>
          <w:rFonts w:asciiTheme="majorHAnsi" w:eastAsia="Calibri" w:hAnsiTheme="majorHAnsi"/>
          <w:sz w:val="20"/>
          <w:szCs w:val="20"/>
          <w:lang w:val="es-ES_tradnl" w:eastAsia="es-ES"/>
        </w:rPr>
        <w:t xml:space="preserve"> de la tripe frontera entre Argentina, Brasil y Paraguay, de </w:t>
      </w:r>
      <w:r w:rsidR="00A5097A" w:rsidRPr="00386E47">
        <w:rPr>
          <w:rFonts w:asciiTheme="majorHAnsi" w:eastAsia="Calibri" w:hAnsiTheme="majorHAnsi"/>
          <w:sz w:val="20"/>
          <w:szCs w:val="20"/>
          <w:lang w:val="es-ES_tradnl" w:eastAsia="es-ES"/>
        </w:rPr>
        <w:t>haber coordinado</w:t>
      </w:r>
      <w:r w:rsidRPr="00386E47">
        <w:rPr>
          <w:rFonts w:asciiTheme="majorHAnsi" w:eastAsia="Calibri" w:hAnsiTheme="majorHAnsi"/>
          <w:sz w:val="20"/>
          <w:szCs w:val="20"/>
          <w:lang w:val="es-ES_tradnl" w:eastAsia="es-ES"/>
        </w:rPr>
        <w:t xml:space="preserve"> “la llegada y la partida, las operaciones de logística y las demás actividades desplegadas por el grupo operativo encargado de ejecutar la fase final del atentado”</w:t>
      </w:r>
      <w:r w:rsidRPr="00386E47">
        <w:rPr>
          <w:rFonts w:asciiTheme="majorHAnsi" w:eastAsia="Calibri" w:hAnsiTheme="majorHAnsi"/>
          <w:sz w:val="20"/>
          <w:szCs w:val="20"/>
          <w:vertAlign w:val="superscript"/>
          <w:lang w:val="es-ES_tradnl" w:eastAsia="es-ES"/>
        </w:rPr>
        <w:footnoteReference w:id="28"/>
      </w:r>
      <w:r w:rsidRPr="00386E47">
        <w:rPr>
          <w:rFonts w:asciiTheme="majorHAnsi" w:eastAsia="Calibri" w:hAnsiTheme="majorHAnsi"/>
          <w:sz w:val="20"/>
          <w:szCs w:val="20"/>
          <w:lang w:val="es-ES_tradnl" w:eastAsia="es-ES"/>
        </w:rPr>
        <w:t>. El 9 de julio de 2009 el juez a cargo de la causa ordenó la captura nacional e internacional de El Reda</w:t>
      </w:r>
      <w:r w:rsidR="00070209" w:rsidRPr="00386E47">
        <w:rPr>
          <w:rFonts w:asciiTheme="majorHAnsi" w:eastAsia="Calibri" w:hAnsiTheme="majorHAnsi"/>
          <w:sz w:val="20"/>
          <w:szCs w:val="20"/>
          <w:lang w:val="es-ES_tradnl" w:eastAsia="es-ES"/>
        </w:rPr>
        <w:t xml:space="preserve"> e INTERPOL emitió una notificación roja</w:t>
      </w:r>
      <w:r w:rsidR="00084399" w:rsidRPr="00386E47">
        <w:rPr>
          <w:rFonts w:asciiTheme="majorHAnsi" w:eastAsia="Calibri" w:hAnsiTheme="majorHAnsi"/>
          <w:sz w:val="20"/>
          <w:szCs w:val="20"/>
          <w:lang w:val="es-ES_tradnl" w:eastAsia="es-ES"/>
        </w:rPr>
        <w:t xml:space="preserve"> contra su persona</w:t>
      </w:r>
      <w:r w:rsidRPr="00386E47">
        <w:rPr>
          <w:rFonts w:asciiTheme="majorHAnsi" w:eastAsia="Calibri" w:hAnsiTheme="majorHAnsi"/>
          <w:sz w:val="20"/>
          <w:szCs w:val="20"/>
          <w:vertAlign w:val="superscript"/>
          <w:lang w:val="es-ES_tradnl" w:eastAsia="es-ES"/>
        </w:rPr>
        <w:footnoteReference w:id="29"/>
      </w:r>
      <w:r w:rsidRPr="00386E47">
        <w:rPr>
          <w:rFonts w:asciiTheme="majorHAnsi" w:eastAsia="Calibri" w:hAnsiTheme="majorHAnsi"/>
          <w:sz w:val="20"/>
          <w:szCs w:val="20"/>
          <w:lang w:val="es-ES_tradnl" w:eastAsia="es-ES"/>
        </w:rPr>
        <w:t xml:space="preserve">.  </w:t>
      </w:r>
    </w:p>
    <w:p w14:paraId="3F8981AD" w14:textId="77777777" w:rsidR="00070209" w:rsidRPr="00386E47" w:rsidRDefault="00070209" w:rsidP="00CE774A">
      <w:pPr>
        <w:tabs>
          <w:tab w:val="left" w:pos="567"/>
        </w:tabs>
        <w:jc w:val="both"/>
        <w:rPr>
          <w:rFonts w:asciiTheme="majorHAnsi" w:eastAsia="Calibri" w:hAnsiTheme="majorHAnsi"/>
          <w:sz w:val="20"/>
          <w:szCs w:val="20"/>
          <w:lang w:val="es-ES_tradnl" w:eastAsia="es-ES"/>
        </w:rPr>
      </w:pPr>
    </w:p>
    <w:p w14:paraId="19409D65" w14:textId="77777777" w:rsidR="009F70EA" w:rsidRPr="00386E47" w:rsidRDefault="009F70EA" w:rsidP="003A5860">
      <w:pPr>
        <w:numPr>
          <w:ilvl w:val="0"/>
          <w:numId w:val="55"/>
        </w:numPr>
        <w:tabs>
          <w:tab w:val="left" w:pos="567"/>
        </w:tabs>
        <w:ind w:left="0" w:firstLine="0"/>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El 27 de enero de 2013, en la ciudad de Adis Abeba, Etiopia, los gobiernos de la República Argentina y la República Islámica de Irán firmaron un Memorándum de Entendimiento “sobre los temas vinculados al ataque terrorista a la sede de la AMIA en Buenos Aires el 18 de Julio de 1994”. El memorándum disponía la creación de una Comisión de la Verdad compuesta por juristas internacionales y representantes de Argentina e Irán, </w:t>
      </w:r>
      <w:r w:rsidR="00070209" w:rsidRPr="00386E47">
        <w:rPr>
          <w:rFonts w:asciiTheme="majorHAnsi" w:eastAsia="Calibri" w:hAnsiTheme="majorHAnsi"/>
          <w:sz w:val="20"/>
          <w:szCs w:val="20"/>
          <w:lang w:val="es-ES_tradnl" w:eastAsia="es-ES"/>
        </w:rPr>
        <w:t xml:space="preserve">con el mandato </w:t>
      </w:r>
      <w:r w:rsidRPr="00386E47">
        <w:rPr>
          <w:rFonts w:asciiTheme="majorHAnsi" w:eastAsia="Calibri" w:hAnsiTheme="majorHAnsi"/>
          <w:sz w:val="20"/>
          <w:szCs w:val="20"/>
          <w:lang w:val="es-ES_tradnl" w:eastAsia="es-ES"/>
        </w:rPr>
        <w:t xml:space="preserve">de analizar la </w:t>
      </w:r>
      <w:r w:rsidR="00082C0F" w:rsidRPr="00386E47">
        <w:rPr>
          <w:rFonts w:asciiTheme="majorHAnsi" w:eastAsia="Calibri" w:hAnsiTheme="majorHAnsi"/>
          <w:sz w:val="20"/>
          <w:szCs w:val="20"/>
          <w:lang w:val="es-ES_tradnl" w:eastAsia="es-ES"/>
        </w:rPr>
        <w:t xml:space="preserve">información presentada por las autoridades </w:t>
      </w:r>
      <w:r w:rsidRPr="00386E47">
        <w:rPr>
          <w:rFonts w:asciiTheme="majorHAnsi" w:eastAsia="Calibri" w:hAnsiTheme="majorHAnsi"/>
          <w:sz w:val="20"/>
          <w:szCs w:val="20"/>
          <w:lang w:val="es-ES_tradnl" w:eastAsia="es-ES"/>
        </w:rPr>
        <w:t xml:space="preserve">de ambos países (art 1). Posteriormente, la Comisión de la Verdad debía “emitir un informe con recomendaciones sobre cómo proceder con el caso” (art 4). </w:t>
      </w:r>
      <w:r w:rsidRPr="00386E47">
        <w:rPr>
          <w:rFonts w:asciiTheme="majorHAnsi" w:eastAsia="Calibri" w:hAnsiTheme="majorHAnsi"/>
          <w:sz w:val="20"/>
          <w:szCs w:val="20"/>
          <w:lang w:val="es-ES_tradnl" w:eastAsia="es-ES"/>
        </w:rPr>
        <w:lastRenderedPageBreak/>
        <w:t xml:space="preserve">El memorándum también establecía que la Comisión de la Verdad “y las autoridades judiciales argentinas e iraníes se encontrarían en Teherán para proceder a interrogar a aquellas personas respecto de las cuales Interpol ha emitido una notificación roja” (art 5). </w:t>
      </w:r>
    </w:p>
    <w:p w14:paraId="5EE2F379" w14:textId="77777777" w:rsidR="009F70EA" w:rsidRPr="00386E47" w:rsidRDefault="009F70EA" w:rsidP="00CE774A">
      <w:pPr>
        <w:tabs>
          <w:tab w:val="left" w:pos="567"/>
        </w:tabs>
        <w:jc w:val="both"/>
        <w:rPr>
          <w:rFonts w:asciiTheme="majorHAnsi" w:eastAsia="Calibri" w:hAnsiTheme="majorHAnsi"/>
          <w:sz w:val="20"/>
          <w:szCs w:val="20"/>
          <w:lang w:val="es-ES_tradnl" w:eastAsia="es-ES"/>
        </w:rPr>
      </w:pPr>
    </w:p>
    <w:p w14:paraId="43A3433F" w14:textId="77777777" w:rsidR="009F70EA" w:rsidRPr="00386E47" w:rsidRDefault="009F70EA" w:rsidP="003A5860">
      <w:pPr>
        <w:numPr>
          <w:ilvl w:val="0"/>
          <w:numId w:val="55"/>
        </w:numPr>
        <w:tabs>
          <w:tab w:val="left" w:pos="567"/>
        </w:tabs>
        <w:ind w:left="0" w:firstLine="0"/>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El Memorándum de Entendimiento fue aprobado por el Congreso argentino mediante ley 26.843 de fecha 1 de marzo de 2013</w:t>
      </w:r>
      <w:r w:rsidR="00070209" w:rsidRPr="00386E47">
        <w:rPr>
          <w:rFonts w:asciiTheme="majorHAnsi" w:eastAsia="Calibri" w:hAnsiTheme="majorHAnsi"/>
          <w:sz w:val="20"/>
          <w:szCs w:val="20"/>
          <w:vertAlign w:val="superscript"/>
          <w:lang w:val="es-ES_tradnl" w:eastAsia="es-ES"/>
        </w:rPr>
        <w:footnoteReference w:id="30"/>
      </w:r>
      <w:r w:rsidRPr="00386E47">
        <w:rPr>
          <w:rFonts w:asciiTheme="majorHAnsi" w:eastAsia="Calibri" w:hAnsiTheme="majorHAnsi"/>
          <w:sz w:val="20"/>
          <w:szCs w:val="20"/>
          <w:lang w:val="es-ES_tradnl" w:eastAsia="es-ES"/>
        </w:rPr>
        <w:t>. Dicha norma fue declarada inconstitucional por la Sala I de la Cámara Federal en lo Criminal y Correccional</w:t>
      </w:r>
      <w:r w:rsidR="00084399" w:rsidRPr="00386E47">
        <w:rPr>
          <w:rFonts w:asciiTheme="majorHAnsi" w:eastAsia="Calibri" w:hAnsiTheme="majorHAnsi"/>
          <w:sz w:val="20"/>
          <w:szCs w:val="20"/>
          <w:lang w:val="es-ES_tradnl" w:eastAsia="es-ES"/>
        </w:rPr>
        <w:t xml:space="preserve">. La </w:t>
      </w:r>
      <w:r w:rsidRPr="00386E47">
        <w:rPr>
          <w:rFonts w:asciiTheme="majorHAnsi" w:eastAsia="Calibri" w:hAnsiTheme="majorHAnsi"/>
          <w:sz w:val="20"/>
          <w:szCs w:val="20"/>
          <w:lang w:val="es-ES_tradnl" w:eastAsia="es-ES"/>
        </w:rPr>
        <w:t>decisión adquirió calidad de cosa juzgada en diciembre de 2015.</w:t>
      </w:r>
      <w:r w:rsidR="0092651C" w:rsidRPr="00386E47">
        <w:rPr>
          <w:rFonts w:asciiTheme="majorHAnsi" w:eastAsia="Calibri" w:hAnsiTheme="majorHAnsi"/>
          <w:sz w:val="20"/>
          <w:szCs w:val="20"/>
          <w:lang w:val="es-ES_tradnl" w:eastAsia="es-ES"/>
        </w:rPr>
        <w:t xml:space="preserve"> En consecuencia,  l</w:t>
      </w:r>
      <w:r w:rsidRPr="00386E47">
        <w:rPr>
          <w:rFonts w:asciiTheme="majorHAnsi" w:eastAsia="Calibri" w:hAnsiTheme="majorHAnsi"/>
          <w:sz w:val="20"/>
          <w:szCs w:val="20"/>
          <w:lang w:val="es-ES_tradnl" w:eastAsia="es-ES"/>
        </w:rPr>
        <w:t>a Comisión de la Verdad</w:t>
      </w:r>
      <w:r w:rsidR="00845CE0" w:rsidRPr="00386E47">
        <w:rPr>
          <w:rFonts w:asciiTheme="majorHAnsi" w:eastAsia="Calibri" w:hAnsiTheme="majorHAnsi"/>
          <w:sz w:val="20"/>
          <w:szCs w:val="20"/>
          <w:lang w:val="es-ES_tradnl" w:eastAsia="es-ES"/>
        </w:rPr>
        <w:t xml:space="preserve"> </w:t>
      </w:r>
      <w:r w:rsidR="0092651C" w:rsidRPr="00386E47">
        <w:rPr>
          <w:rFonts w:asciiTheme="majorHAnsi" w:eastAsia="Calibri" w:hAnsiTheme="majorHAnsi"/>
          <w:sz w:val="20"/>
          <w:szCs w:val="20"/>
          <w:lang w:val="es-ES_tradnl" w:eastAsia="es-ES"/>
        </w:rPr>
        <w:t>prevista por la ley</w:t>
      </w:r>
      <w:r w:rsidR="00845CE0" w:rsidRPr="00386E47">
        <w:rPr>
          <w:rFonts w:asciiTheme="majorHAnsi" w:eastAsia="Calibri" w:hAnsiTheme="majorHAnsi"/>
          <w:sz w:val="20"/>
          <w:szCs w:val="20"/>
          <w:lang w:val="es-ES_tradnl" w:eastAsia="es-ES"/>
        </w:rPr>
        <w:t xml:space="preserve"> 26.843</w:t>
      </w:r>
      <w:r w:rsidRPr="00386E47">
        <w:rPr>
          <w:rFonts w:asciiTheme="majorHAnsi" w:eastAsia="Calibri" w:hAnsiTheme="majorHAnsi"/>
          <w:sz w:val="20"/>
          <w:szCs w:val="20"/>
          <w:lang w:val="es-ES_tradnl" w:eastAsia="es-ES"/>
        </w:rPr>
        <w:t xml:space="preserve"> nunca fue instalada</w:t>
      </w:r>
      <w:r w:rsidR="00070209" w:rsidRPr="00386E47">
        <w:rPr>
          <w:rStyle w:val="FootnoteReference"/>
          <w:rFonts w:asciiTheme="majorHAnsi" w:eastAsia="Calibri" w:hAnsiTheme="majorHAnsi"/>
          <w:sz w:val="20"/>
          <w:szCs w:val="20"/>
          <w:lang w:val="es-ES_tradnl" w:eastAsia="es-ES"/>
        </w:rPr>
        <w:footnoteReference w:id="31"/>
      </w:r>
      <w:r w:rsidRPr="00386E47">
        <w:rPr>
          <w:rFonts w:asciiTheme="majorHAnsi" w:eastAsia="Calibri" w:hAnsiTheme="majorHAnsi"/>
          <w:sz w:val="20"/>
          <w:szCs w:val="20"/>
          <w:lang w:val="es-ES_tradnl" w:eastAsia="es-ES"/>
        </w:rPr>
        <w:t xml:space="preserve">. </w:t>
      </w:r>
    </w:p>
    <w:p w14:paraId="69579D01" w14:textId="77777777" w:rsidR="009F70EA" w:rsidRPr="00386E47" w:rsidRDefault="009F70EA" w:rsidP="00CE774A">
      <w:pPr>
        <w:tabs>
          <w:tab w:val="left" w:pos="567"/>
        </w:tabs>
        <w:jc w:val="both"/>
        <w:rPr>
          <w:rFonts w:asciiTheme="majorHAnsi" w:eastAsia="Calibri" w:hAnsiTheme="majorHAnsi"/>
          <w:sz w:val="20"/>
          <w:szCs w:val="20"/>
          <w:lang w:val="es-ES_tradnl" w:eastAsia="es-ES"/>
        </w:rPr>
      </w:pPr>
    </w:p>
    <w:p w14:paraId="612F1663" w14:textId="77777777" w:rsidR="00070209" w:rsidRPr="00386E47" w:rsidRDefault="009F70EA" w:rsidP="003A5860">
      <w:pPr>
        <w:numPr>
          <w:ilvl w:val="0"/>
          <w:numId w:val="55"/>
        </w:numPr>
        <w:tabs>
          <w:tab w:val="left" w:pos="567"/>
        </w:tabs>
        <w:ind w:left="0" w:firstLine="0"/>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El 18 de enero de 2015 el cuerpo del Fiscal Nisman fue hallado sin vida en su domicilio de la ciudad de Buenos Aires. Al momento de la aprobación de este informe las circunstancias de su muerte continúan siendo objeto de una investigación por parte de los tribunales nacionales. En febrero de 2015 la Procuración General de la Nación designó a cargo de la UFI AMIA a un equipo de trabajo compuesto por tres fiscales, quienes, con algunos cambios en su composición,</w:t>
      </w:r>
      <w:r w:rsidR="00CE774A" w:rsidRPr="00386E47">
        <w:rPr>
          <w:rFonts w:asciiTheme="majorHAnsi" w:eastAsia="Calibri" w:hAnsiTheme="majorHAnsi"/>
          <w:sz w:val="20"/>
          <w:szCs w:val="20"/>
          <w:lang w:val="es-ES_tradnl" w:eastAsia="es-ES"/>
        </w:rPr>
        <w:t xml:space="preserve"> </w:t>
      </w:r>
      <w:r w:rsidRPr="00386E47">
        <w:rPr>
          <w:rFonts w:asciiTheme="majorHAnsi" w:eastAsia="Calibri" w:hAnsiTheme="majorHAnsi"/>
          <w:sz w:val="20"/>
          <w:szCs w:val="20"/>
          <w:lang w:val="es-ES_tradnl" w:eastAsia="es-ES"/>
        </w:rPr>
        <w:t xml:space="preserve">encabezan, en la actualidad, la acusación contra Carlos </w:t>
      </w:r>
      <w:r w:rsidR="00084399" w:rsidRPr="00386E47">
        <w:rPr>
          <w:rFonts w:asciiTheme="majorHAnsi" w:eastAsia="Calibri" w:hAnsiTheme="majorHAnsi"/>
          <w:sz w:val="20"/>
          <w:szCs w:val="20"/>
          <w:lang w:val="es-ES_tradnl" w:eastAsia="es-ES"/>
        </w:rPr>
        <w:t>Telleldín</w:t>
      </w:r>
      <w:r w:rsidR="00203A2C" w:rsidRPr="00386E47">
        <w:rPr>
          <w:rFonts w:asciiTheme="majorHAnsi" w:eastAsia="Calibri" w:hAnsiTheme="majorHAnsi"/>
          <w:sz w:val="20"/>
          <w:szCs w:val="20"/>
          <w:lang w:val="es-ES_tradnl" w:eastAsia="es-ES"/>
        </w:rPr>
        <w:t>,</w:t>
      </w:r>
      <w:r w:rsidRPr="00386E47">
        <w:rPr>
          <w:rFonts w:asciiTheme="majorHAnsi" w:eastAsia="Calibri" w:hAnsiTheme="majorHAnsi"/>
          <w:sz w:val="20"/>
          <w:szCs w:val="20"/>
          <w:lang w:val="es-ES_tradnl" w:eastAsia="es-ES"/>
        </w:rPr>
        <w:t xml:space="preserve"> la investigación por los autores materiales e intelectuales del atentado y el litigio de las causas </w:t>
      </w:r>
      <w:r w:rsidR="00845CE0" w:rsidRPr="00386E47">
        <w:rPr>
          <w:rFonts w:asciiTheme="majorHAnsi" w:eastAsia="Calibri" w:hAnsiTheme="majorHAnsi"/>
          <w:sz w:val="20"/>
          <w:szCs w:val="20"/>
          <w:lang w:val="es-ES_tradnl" w:eastAsia="es-ES"/>
        </w:rPr>
        <w:t xml:space="preserve">que se iniciaron a </w:t>
      </w:r>
      <w:r w:rsidRPr="00386E47">
        <w:rPr>
          <w:rFonts w:asciiTheme="majorHAnsi" w:eastAsia="Calibri" w:hAnsiTheme="majorHAnsi"/>
          <w:sz w:val="20"/>
          <w:szCs w:val="20"/>
          <w:lang w:val="es-ES_tradnl" w:eastAsia="es-ES"/>
        </w:rPr>
        <w:t xml:space="preserve"> fin de esclarecer </w:t>
      </w:r>
      <w:r w:rsidR="00203A2C" w:rsidRPr="00386E47">
        <w:rPr>
          <w:rFonts w:asciiTheme="majorHAnsi" w:eastAsia="Calibri" w:hAnsiTheme="majorHAnsi"/>
          <w:sz w:val="20"/>
          <w:szCs w:val="20"/>
          <w:lang w:val="es-ES_tradnl" w:eastAsia="es-ES"/>
        </w:rPr>
        <w:t>las maniobras de</w:t>
      </w:r>
      <w:r w:rsidR="00845CE0" w:rsidRPr="00386E47">
        <w:rPr>
          <w:rFonts w:asciiTheme="majorHAnsi" w:eastAsia="Calibri" w:hAnsiTheme="majorHAnsi"/>
          <w:sz w:val="20"/>
          <w:szCs w:val="20"/>
          <w:lang w:val="es-ES_tradnl" w:eastAsia="es-ES"/>
        </w:rPr>
        <w:t xml:space="preserve"> </w:t>
      </w:r>
      <w:r w:rsidRPr="00386E47">
        <w:rPr>
          <w:rFonts w:asciiTheme="majorHAnsi" w:eastAsia="Calibri" w:hAnsiTheme="majorHAnsi"/>
          <w:sz w:val="20"/>
          <w:szCs w:val="20"/>
          <w:lang w:val="es-ES_tradnl" w:eastAsia="es-ES"/>
        </w:rPr>
        <w:t>encubrimiento</w:t>
      </w:r>
      <w:r w:rsidRPr="00386E47">
        <w:rPr>
          <w:rFonts w:asciiTheme="majorHAnsi" w:eastAsia="Calibri" w:hAnsiTheme="majorHAnsi"/>
          <w:sz w:val="20"/>
          <w:szCs w:val="20"/>
          <w:vertAlign w:val="superscript"/>
          <w:lang w:val="es-ES_tradnl" w:eastAsia="es-ES"/>
        </w:rPr>
        <w:footnoteReference w:id="32"/>
      </w:r>
      <w:r w:rsidRPr="00386E47">
        <w:rPr>
          <w:rFonts w:asciiTheme="majorHAnsi" w:eastAsia="Calibri" w:hAnsiTheme="majorHAnsi"/>
          <w:sz w:val="20"/>
          <w:szCs w:val="20"/>
          <w:lang w:val="es-ES_tradnl" w:eastAsia="es-ES"/>
        </w:rPr>
        <w:t xml:space="preserve">. </w:t>
      </w:r>
    </w:p>
    <w:p w14:paraId="667ACACD" w14:textId="77777777" w:rsidR="00070209" w:rsidRPr="00386E47" w:rsidRDefault="00070209" w:rsidP="00CE774A">
      <w:pPr>
        <w:tabs>
          <w:tab w:val="left" w:pos="426"/>
        </w:tabs>
        <w:jc w:val="both"/>
        <w:rPr>
          <w:rFonts w:asciiTheme="majorHAnsi" w:eastAsia="Calibri" w:hAnsiTheme="majorHAnsi"/>
          <w:sz w:val="20"/>
          <w:szCs w:val="20"/>
          <w:lang w:val="es-ES_tradnl" w:eastAsia="es-ES"/>
        </w:rPr>
      </w:pPr>
    </w:p>
    <w:p w14:paraId="0FC2F776" w14:textId="77777777" w:rsidR="009F70EA" w:rsidRPr="00386E47" w:rsidRDefault="009F70EA" w:rsidP="009146F2">
      <w:pPr>
        <w:pStyle w:val="Heading3"/>
        <w:numPr>
          <w:ilvl w:val="1"/>
          <w:numId w:val="68"/>
        </w:numPr>
        <w:ind w:left="284" w:firstLine="0"/>
      </w:pPr>
      <w:bookmarkStart w:id="23" w:name="_Toc51252194"/>
      <w:r w:rsidRPr="00386E47">
        <w:t>Los procesos por el encubrimiento del atentado</w:t>
      </w:r>
      <w:bookmarkEnd w:id="23"/>
      <w:r w:rsidRPr="00386E47">
        <w:t xml:space="preserve"> </w:t>
      </w:r>
    </w:p>
    <w:p w14:paraId="459C2D4D"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En el mes de agosto del año 2000 y como resultado del testimonio brindado por un empleado del Juzgado Federal Nro. 9 ante la Comisión Bicameral de Seguimiento de la Investigación de los Atentados a la </w:t>
      </w:r>
      <w:r w:rsidR="00070209" w:rsidRPr="00386E47">
        <w:rPr>
          <w:rFonts w:asciiTheme="majorHAnsi" w:eastAsia="Calibri" w:hAnsiTheme="majorHAnsi"/>
          <w:sz w:val="20"/>
          <w:szCs w:val="20"/>
          <w:lang w:val="es-ES_tradnl" w:eastAsia="es-ES"/>
        </w:rPr>
        <w:t>Embajada de Israel y a la AMIA</w:t>
      </w:r>
      <w:r w:rsidR="00A20875" w:rsidRPr="00386E47">
        <w:rPr>
          <w:rFonts w:asciiTheme="majorHAnsi" w:eastAsia="Calibri" w:hAnsiTheme="majorHAnsi"/>
          <w:sz w:val="20"/>
          <w:szCs w:val="20"/>
          <w:lang w:val="es-ES_tradnl" w:eastAsia="es-ES"/>
        </w:rPr>
        <w:t>,</w:t>
      </w:r>
      <w:r w:rsidR="00070209" w:rsidRPr="00386E47">
        <w:rPr>
          <w:rFonts w:asciiTheme="majorHAnsi" w:eastAsia="Calibri" w:hAnsiTheme="majorHAnsi"/>
          <w:sz w:val="20"/>
          <w:szCs w:val="20"/>
          <w:lang w:val="es-ES_tradnl" w:eastAsia="es-ES"/>
        </w:rPr>
        <w:t xml:space="preserve"> se abrió una</w:t>
      </w:r>
      <w:r w:rsidRPr="00386E47">
        <w:rPr>
          <w:rFonts w:asciiTheme="majorHAnsi" w:eastAsia="Calibri" w:hAnsiTheme="majorHAnsi"/>
          <w:sz w:val="20"/>
          <w:szCs w:val="20"/>
          <w:lang w:val="es-ES_tradnl" w:eastAsia="es-ES"/>
        </w:rPr>
        <w:t xml:space="preserve"> investigación por el presunto delito de encubrimiento del atentado</w:t>
      </w:r>
      <w:r w:rsidR="000606B7" w:rsidRPr="00386E47">
        <w:rPr>
          <w:rStyle w:val="FootnoteReference"/>
          <w:rFonts w:asciiTheme="majorHAnsi" w:eastAsia="Calibri" w:hAnsiTheme="majorHAnsi"/>
          <w:sz w:val="20"/>
          <w:szCs w:val="20"/>
          <w:lang w:val="es-ES_tradnl" w:eastAsia="es-ES"/>
        </w:rPr>
        <w:footnoteReference w:id="33"/>
      </w:r>
      <w:r w:rsidRPr="00386E47">
        <w:rPr>
          <w:rFonts w:asciiTheme="majorHAnsi" w:eastAsia="Calibri" w:hAnsiTheme="majorHAnsi"/>
          <w:sz w:val="20"/>
          <w:szCs w:val="20"/>
          <w:lang w:val="es-ES_tradnl" w:eastAsia="es-ES"/>
        </w:rPr>
        <w:t xml:space="preserve">. </w:t>
      </w:r>
    </w:p>
    <w:p w14:paraId="1382CF19" w14:textId="77777777" w:rsidR="009F70EA" w:rsidRPr="00386E47" w:rsidRDefault="009F70EA" w:rsidP="00CE774A">
      <w:pPr>
        <w:tabs>
          <w:tab w:val="left" w:pos="284"/>
          <w:tab w:val="left" w:pos="426"/>
        </w:tabs>
        <w:contextualSpacing/>
        <w:jc w:val="both"/>
        <w:rPr>
          <w:rFonts w:asciiTheme="majorHAnsi" w:eastAsia="Calibri" w:hAnsiTheme="majorHAnsi"/>
          <w:sz w:val="20"/>
          <w:szCs w:val="20"/>
          <w:lang w:val="es-ES_tradnl" w:eastAsia="es-ES"/>
        </w:rPr>
      </w:pPr>
    </w:p>
    <w:p w14:paraId="1C4FA9AE"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Esta investigación </w:t>
      </w:r>
      <w:r w:rsidR="00070209" w:rsidRPr="00386E47">
        <w:rPr>
          <w:rFonts w:asciiTheme="majorHAnsi" w:eastAsia="Calibri" w:hAnsiTheme="majorHAnsi"/>
          <w:sz w:val="20"/>
          <w:szCs w:val="20"/>
          <w:lang w:val="es-ES_tradnl" w:eastAsia="es-ES"/>
        </w:rPr>
        <w:t xml:space="preserve">cobró </w:t>
      </w:r>
      <w:r w:rsidR="00A20875" w:rsidRPr="00386E47">
        <w:rPr>
          <w:rFonts w:asciiTheme="majorHAnsi" w:eastAsia="Calibri" w:hAnsiTheme="majorHAnsi"/>
          <w:sz w:val="20"/>
          <w:szCs w:val="20"/>
          <w:lang w:val="es-ES_tradnl" w:eastAsia="es-ES"/>
        </w:rPr>
        <w:t xml:space="preserve">relevancia </w:t>
      </w:r>
      <w:r w:rsidR="00070209" w:rsidRPr="00386E47">
        <w:rPr>
          <w:rFonts w:asciiTheme="majorHAnsi" w:eastAsia="Calibri" w:hAnsiTheme="majorHAnsi"/>
          <w:sz w:val="20"/>
          <w:szCs w:val="20"/>
          <w:lang w:val="es-ES_tradnl" w:eastAsia="es-ES"/>
        </w:rPr>
        <w:t>a partir</w:t>
      </w:r>
      <w:r w:rsidRPr="00386E47">
        <w:rPr>
          <w:rFonts w:asciiTheme="majorHAnsi" w:eastAsia="Calibri" w:hAnsiTheme="majorHAnsi"/>
          <w:sz w:val="20"/>
          <w:szCs w:val="20"/>
          <w:lang w:val="es-ES_tradnl" w:eastAsia="es-ES"/>
        </w:rPr>
        <w:t xml:space="preserve"> de las revelaciones que surgieron durante el debate oral y público llevado a cabo entre los años 2001 y 2004 por el TOF 3 contra Carlos </w:t>
      </w:r>
      <w:r w:rsidR="00084399" w:rsidRPr="00386E47">
        <w:rPr>
          <w:rFonts w:asciiTheme="majorHAnsi" w:eastAsia="Calibri" w:hAnsiTheme="majorHAnsi"/>
          <w:sz w:val="20"/>
          <w:szCs w:val="20"/>
          <w:lang w:val="es-ES_tradnl" w:eastAsia="es-ES"/>
        </w:rPr>
        <w:t>Telleldín</w:t>
      </w:r>
      <w:r w:rsidRPr="00386E47">
        <w:rPr>
          <w:rFonts w:asciiTheme="majorHAnsi" w:eastAsia="Calibri" w:hAnsiTheme="majorHAnsi"/>
          <w:sz w:val="20"/>
          <w:szCs w:val="20"/>
          <w:lang w:val="es-ES_tradnl" w:eastAsia="es-ES"/>
        </w:rPr>
        <w:t xml:space="preserve"> y los policías bonaeren</w:t>
      </w:r>
      <w:r w:rsidR="00070209" w:rsidRPr="00386E47">
        <w:rPr>
          <w:rFonts w:asciiTheme="majorHAnsi" w:eastAsia="Calibri" w:hAnsiTheme="majorHAnsi"/>
          <w:sz w:val="20"/>
          <w:szCs w:val="20"/>
          <w:lang w:val="es-ES_tradnl" w:eastAsia="es-ES"/>
        </w:rPr>
        <w:t>ses. Al t</w:t>
      </w:r>
      <w:r w:rsidR="006A0C6C" w:rsidRPr="00386E47">
        <w:rPr>
          <w:rFonts w:asciiTheme="majorHAnsi" w:eastAsia="Calibri" w:hAnsiTheme="majorHAnsi"/>
          <w:sz w:val="20"/>
          <w:szCs w:val="20"/>
          <w:lang w:val="es-ES_tradnl" w:eastAsia="es-ES"/>
        </w:rPr>
        <w:t>é</w:t>
      </w:r>
      <w:r w:rsidR="00070209" w:rsidRPr="00386E47">
        <w:rPr>
          <w:rFonts w:asciiTheme="majorHAnsi" w:eastAsia="Calibri" w:hAnsiTheme="majorHAnsi"/>
          <w:sz w:val="20"/>
          <w:szCs w:val="20"/>
          <w:lang w:val="es-ES_tradnl" w:eastAsia="es-ES"/>
        </w:rPr>
        <w:t xml:space="preserve">rmino de ese juicio, </w:t>
      </w:r>
      <w:r w:rsidR="006A0C6C" w:rsidRPr="00386E47">
        <w:rPr>
          <w:rFonts w:asciiTheme="majorHAnsi" w:eastAsia="Calibri" w:hAnsiTheme="majorHAnsi"/>
          <w:sz w:val="20"/>
          <w:szCs w:val="20"/>
          <w:lang w:val="es-ES_tradnl" w:eastAsia="es-ES"/>
        </w:rPr>
        <w:t xml:space="preserve">como se ha indicado, </w:t>
      </w:r>
      <w:r w:rsidRPr="00386E47">
        <w:rPr>
          <w:rFonts w:asciiTheme="majorHAnsi" w:eastAsia="Calibri" w:hAnsiTheme="majorHAnsi"/>
          <w:sz w:val="20"/>
          <w:szCs w:val="20"/>
          <w:lang w:val="es-ES_tradnl" w:eastAsia="es-ES"/>
        </w:rPr>
        <w:t>el Tribunal arribó a</w:t>
      </w:r>
      <w:r w:rsidR="00070209" w:rsidRPr="00386E47">
        <w:rPr>
          <w:rFonts w:asciiTheme="majorHAnsi" w:eastAsia="Calibri" w:hAnsiTheme="majorHAnsi"/>
          <w:sz w:val="20"/>
          <w:szCs w:val="20"/>
          <w:lang w:val="es-ES_tradnl" w:eastAsia="es-ES"/>
        </w:rPr>
        <w:t xml:space="preserve"> la conclusión que la hipótesis acusatoria sostenida </w:t>
      </w:r>
      <w:r w:rsidRPr="00386E47">
        <w:rPr>
          <w:rFonts w:asciiTheme="majorHAnsi" w:eastAsia="Calibri" w:hAnsiTheme="majorHAnsi"/>
          <w:sz w:val="20"/>
          <w:szCs w:val="20"/>
          <w:lang w:val="es-ES_tradnl" w:eastAsia="es-ES"/>
        </w:rPr>
        <w:t>por el Juez Galeano y los fiscales “fue armada de manera aviesa, violándose de tal modo no solo la garantía de imparcialidad del juzgador, sino [también] todo el catálogo de principios procesales de inmanente jerarquía constitucional”</w:t>
      </w:r>
      <w:r w:rsidRPr="00386E47">
        <w:rPr>
          <w:rFonts w:asciiTheme="majorHAnsi" w:eastAsia="Calibri" w:hAnsiTheme="majorHAnsi"/>
          <w:sz w:val="20"/>
          <w:szCs w:val="20"/>
          <w:vertAlign w:val="superscript"/>
          <w:lang w:val="es-ES_tradnl" w:eastAsia="es-ES"/>
        </w:rPr>
        <w:footnoteReference w:id="34"/>
      </w:r>
      <w:r w:rsidR="00D1522B" w:rsidRPr="00386E47">
        <w:rPr>
          <w:rFonts w:asciiTheme="majorHAnsi" w:eastAsia="Calibri" w:hAnsiTheme="majorHAnsi"/>
          <w:sz w:val="20"/>
          <w:szCs w:val="20"/>
          <w:lang w:val="es-ES_tradnl" w:eastAsia="es-ES"/>
        </w:rPr>
        <w:t xml:space="preserve"> </w:t>
      </w:r>
      <w:r w:rsidR="00070209" w:rsidRPr="00386E47">
        <w:rPr>
          <w:rFonts w:asciiTheme="majorHAnsi" w:eastAsia="Calibri" w:hAnsiTheme="majorHAnsi"/>
          <w:sz w:val="20"/>
          <w:szCs w:val="20"/>
          <w:lang w:val="es-ES_tradnl" w:eastAsia="es-ES"/>
        </w:rPr>
        <w:t xml:space="preserve">( ver supra </w:t>
      </w:r>
      <w:r w:rsidR="00DC34AB" w:rsidRPr="00386E47">
        <w:rPr>
          <w:rFonts w:asciiTheme="majorHAnsi" w:eastAsia="Calibri" w:hAnsiTheme="majorHAnsi"/>
          <w:sz w:val="20"/>
          <w:szCs w:val="20"/>
          <w:lang w:val="es-ES_tradnl" w:eastAsia="es-ES"/>
        </w:rPr>
        <w:t>párr.</w:t>
      </w:r>
      <w:r w:rsidR="00070209" w:rsidRPr="00386E47">
        <w:rPr>
          <w:rFonts w:asciiTheme="majorHAnsi" w:eastAsia="Calibri" w:hAnsiTheme="majorHAnsi"/>
          <w:sz w:val="20"/>
          <w:szCs w:val="20"/>
          <w:lang w:val="es-ES_tradnl" w:eastAsia="es-ES"/>
        </w:rPr>
        <w:t xml:space="preserve"> </w:t>
      </w:r>
      <w:r w:rsidR="00A20875" w:rsidRPr="00386E47">
        <w:rPr>
          <w:rFonts w:asciiTheme="majorHAnsi" w:eastAsia="Calibri" w:hAnsiTheme="majorHAnsi"/>
          <w:sz w:val="20"/>
          <w:szCs w:val="20"/>
          <w:lang w:val="es-ES_tradnl" w:eastAsia="es-ES"/>
        </w:rPr>
        <w:t>64</w:t>
      </w:r>
      <w:r w:rsidR="00070209" w:rsidRPr="00386E47">
        <w:rPr>
          <w:rFonts w:asciiTheme="majorHAnsi" w:eastAsia="Calibri" w:hAnsiTheme="majorHAnsi"/>
          <w:sz w:val="20"/>
          <w:szCs w:val="20"/>
          <w:lang w:val="es-ES_tradnl" w:eastAsia="es-ES"/>
        </w:rPr>
        <w:t>),</w:t>
      </w:r>
    </w:p>
    <w:p w14:paraId="372D4982" w14:textId="77777777" w:rsidR="009F70EA" w:rsidRPr="00386E47" w:rsidRDefault="009F70EA" w:rsidP="00CE774A">
      <w:pPr>
        <w:tabs>
          <w:tab w:val="left" w:pos="284"/>
          <w:tab w:val="left" w:pos="426"/>
        </w:tabs>
        <w:contextualSpacing/>
        <w:jc w:val="both"/>
        <w:rPr>
          <w:rFonts w:asciiTheme="majorHAnsi" w:eastAsia="Calibri" w:hAnsiTheme="majorHAnsi"/>
          <w:sz w:val="20"/>
          <w:szCs w:val="20"/>
          <w:lang w:val="es-ES_tradnl" w:eastAsia="es-ES"/>
        </w:rPr>
      </w:pPr>
    </w:p>
    <w:p w14:paraId="5F69DD23"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Las acciones de encubrimiento del atentado</w:t>
      </w:r>
      <w:r w:rsidR="00226BD0" w:rsidRPr="00386E47">
        <w:rPr>
          <w:rFonts w:asciiTheme="majorHAnsi" w:eastAsia="Calibri" w:hAnsiTheme="majorHAnsi"/>
          <w:sz w:val="20"/>
          <w:szCs w:val="20"/>
          <w:lang w:val="es-ES_tradnl" w:eastAsia="es-ES"/>
        </w:rPr>
        <w:t xml:space="preserve"> de la AMIA investigadas a partir del año 2000 por los</w:t>
      </w:r>
      <w:r w:rsidRPr="00386E47">
        <w:rPr>
          <w:rFonts w:asciiTheme="majorHAnsi" w:eastAsia="Calibri" w:hAnsiTheme="majorHAnsi"/>
          <w:sz w:val="20"/>
          <w:szCs w:val="20"/>
          <w:lang w:val="es-ES_tradnl" w:eastAsia="es-ES"/>
        </w:rPr>
        <w:t xml:space="preserve"> magistrados del </w:t>
      </w:r>
      <w:r w:rsidR="00226BD0" w:rsidRPr="00386E47">
        <w:rPr>
          <w:rFonts w:asciiTheme="majorHAnsi" w:eastAsia="Calibri" w:hAnsiTheme="majorHAnsi"/>
          <w:sz w:val="20"/>
          <w:szCs w:val="20"/>
          <w:lang w:val="es-ES_tradnl" w:eastAsia="es-ES"/>
        </w:rPr>
        <w:t xml:space="preserve">ámbito nacional </w:t>
      </w:r>
      <w:r w:rsidRPr="00386E47">
        <w:rPr>
          <w:rFonts w:asciiTheme="majorHAnsi" w:eastAsia="Calibri" w:hAnsiTheme="majorHAnsi"/>
          <w:sz w:val="20"/>
          <w:szCs w:val="20"/>
          <w:lang w:val="es-ES_tradnl" w:eastAsia="es-ES"/>
        </w:rPr>
        <w:t xml:space="preserve">pueden resumirse, a grandes rasgos, en dos grandes núcleos. </w:t>
      </w:r>
    </w:p>
    <w:p w14:paraId="7B556A8B" w14:textId="77777777" w:rsidR="009F70EA" w:rsidRPr="00386E47" w:rsidRDefault="009F70EA" w:rsidP="00CE774A">
      <w:pPr>
        <w:tabs>
          <w:tab w:val="left" w:pos="284"/>
          <w:tab w:val="left" w:pos="426"/>
        </w:tabs>
        <w:contextualSpacing/>
        <w:jc w:val="both"/>
        <w:rPr>
          <w:rFonts w:asciiTheme="majorHAnsi" w:eastAsia="Calibri" w:hAnsiTheme="majorHAnsi"/>
          <w:sz w:val="20"/>
          <w:szCs w:val="20"/>
          <w:lang w:val="es-ES_tradnl" w:eastAsia="es-ES"/>
        </w:rPr>
      </w:pPr>
    </w:p>
    <w:p w14:paraId="16E546BE"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eastAsia="es-ES"/>
        </w:rPr>
        <w:t xml:space="preserve">En primer término, se investiga la decisión adoptada por el juez Galeano de </w:t>
      </w:r>
      <w:r w:rsidR="0092651C" w:rsidRPr="00386E47">
        <w:rPr>
          <w:rFonts w:asciiTheme="majorHAnsi" w:eastAsia="Calibri" w:hAnsiTheme="majorHAnsi"/>
          <w:sz w:val="20"/>
          <w:szCs w:val="20"/>
          <w:lang w:val="es-ES_tradnl" w:eastAsia="es-ES"/>
        </w:rPr>
        <w:t xml:space="preserve">ordenar el desembolso de </w:t>
      </w:r>
      <w:r w:rsidRPr="00386E47">
        <w:rPr>
          <w:rFonts w:asciiTheme="majorHAnsi" w:eastAsia="Calibri" w:hAnsiTheme="majorHAnsi"/>
          <w:sz w:val="20"/>
          <w:szCs w:val="20"/>
          <w:lang w:val="es-ES_tradnl" w:eastAsia="es-ES"/>
        </w:rPr>
        <w:t>400.000 dólares, provenientes de una partida presupuestaria secreta de la Secretar</w:t>
      </w:r>
      <w:r w:rsidR="006A0C6C" w:rsidRPr="00386E47">
        <w:rPr>
          <w:rFonts w:asciiTheme="majorHAnsi" w:eastAsia="Calibri" w:hAnsiTheme="majorHAnsi"/>
          <w:sz w:val="20"/>
          <w:szCs w:val="20"/>
          <w:lang w:val="es-ES_tradnl" w:eastAsia="es-ES"/>
        </w:rPr>
        <w:t>í</w:t>
      </w:r>
      <w:r w:rsidRPr="00386E47">
        <w:rPr>
          <w:rFonts w:asciiTheme="majorHAnsi" w:eastAsia="Calibri" w:hAnsiTheme="majorHAnsi"/>
          <w:sz w:val="20"/>
          <w:szCs w:val="20"/>
          <w:lang w:val="es-ES_tradnl" w:eastAsia="es-ES"/>
        </w:rPr>
        <w:t>a de Inteligencia del Est</w:t>
      </w:r>
      <w:r w:rsidR="0092651C" w:rsidRPr="00386E47">
        <w:rPr>
          <w:rFonts w:asciiTheme="majorHAnsi" w:eastAsia="Calibri" w:hAnsiTheme="majorHAnsi"/>
          <w:sz w:val="20"/>
          <w:szCs w:val="20"/>
          <w:lang w:val="es-ES_tradnl" w:eastAsia="es-ES"/>
        </w:rPr>
        <w:t xml:space="preserve">ado, </w:t>
      </w:r>
      <w:r w:rsidRPr="00386E47">
        <w:rPr>
          <w:rFonts w:asciiTheme="majorHAnsi" w:eastAsia="Calibri" w:hAnsiTheme="majorHAnsi"/>
          <w:sz w:val="20"/>
          <w:szCs w:val="20"/>
          <w:lang w:val="es-ES_tradnl" w:eastAsia="es-ES"/>
        </w:rPr>
        <w:t xml:space="preserve">al procesado Carlos </w:t>
      </w:r>
      <w:r w:rsidR="000606B7" w:rsidRPr="00386E47">
        <w:rPr>
          <w:rFonts w:asciiTheme="majorHAnsi" w:eastAsia="Calibri" w:hAnsiTheme="majorHAnsi"/>
          <w:sz w:val="20"/>
          <w:szCs w:val="20"/>
          <w:lang w:val="es-ES_tradnl" w:eastAsia="es-ES"/>
        </w:rPr>
        <w:t>Telleldín</w:t>
      </w:r>
      <w:r w:rsidR="006A0C6C" w:rsidRPr="00386E47">
        <w:rPr>
          <w:rFonts w:asciiTheme="majorHAnsi" w:eastAsia="Calibri" w:hAnsiTheme="majorHAnsi"/>
          <w:sz w:val="20"/>
          <w:szCs w:val="20"/>
          <w:lang w:val="es-ES_tradnl" w:eastAsia="es-ES"/>
        </w:rPr>
        <w:t>,</w:t>
      </w:r>
      <w:r w:rsidR="00226BD0" w:rsidRPr="00386E47">
        <w:rPr>
          <w:rFonts w:asciiTheme="majorHAnsi" w:eastAsia="Calibri" w:hAnsiTheme="majorHAnsi"/>
          <w:sz w:val="20"/>
          <w:szCs w:val="20"/>
          <w:lang w:val="es-ES_tradnl" w:eastAsia="es-ES"/>
        </w:rPr>
        <w:t xml:space="preserve"> con el objeto de que</w:t>
      </w:r>
      <w:r w:rsidR="0092651C" w:rsidRPr="00386E47">
        <w:rPr>
          <w:rFonts w:asciiTheme="majorHAnsi" w:eastAsia="Calibri" w:hAnsiTheme="majorHAnsi"/>
          <w:sz w:val="20"/>
          <w:szCs w:val="20"/>
          <w:lang w:val="es-ES_tradnl" w:eastAsia="es-ES"/>
        </w:rPr>
        <w:t xml:space="preserve"> éste</w:t>
      </w:r>
      <w:r w:rsidR="00226BD0" w:rsidRPr="00386E47">
        <w:rPr>
          <w:rFonts w:asciiTheme="majorHAnsi" w:eastAsia="Calibri" w:hAnsiTheme="majorHAnsi"/>
          <w:sz w:val="20"/>
          <w:szCs w:val="20"/>
          <w:lang w:val="es-ES_tradnl" w:eastAsia="es-ES"/>
        </w:rPr>
        <w:t xml:space="preserve"> </w:t>
      </w:r>
      <w:r w:rsidR="0092651C" w:rsidRPr="00386E47">
        <w:rPr>
          <w:rFonts w:asciiTheme="majorHAnsi" w:eastAsia="Calibri" w:hAnsiTheme="majorHAnsi"/>
          <w:sz w:val="20"/>
          <w:szCs w:val="20"/>
          <w:lang w:val="es-ES_tradnl" w:eastAsia="es-ES"/>
        </w:rPr>
        <w:t>declar</w:t>
      </w:r>
      <w:r w:rsidR="006A0C6C" w:rsidRPr="00386E47">
        <w:rPr>
          <w:rFonts w:asciiTheme="majorHAnsi" w:eastAsia="Calibri" w:hAnsiTheme="majorHAnsi"/>
          <w:sz w:val="20"/>
          <w:szCs w:val="20"/>
          <w:lang w:val="es-ES_tradnl" w:eastAsia="es-ES"/>
        </w:rPr>
        <w:t>ara</w:t>
      </w:r>
      <w:r w:rsidR="00226BD0" w:rsidRPr="00386E47">
        <w:rPr>
          <w:rFonts w:asciiTheme="majorHAnsi" w:eastAsia="Calibri" w:hAnsiTheme="majorHAnsi"/>
          <w:sz w:val="20"/>
          <w:szCs w:val="20"/>
          <w:lang w:val="es-ES_tradnl" w:eastAsia="es-ES"/>
        </w:rPr>
        <w:t xml:space="preserve"> haber entregado la camioneta Renault Trafic</w:t>
      </w:r>
      <w:r w:rsidRPr="00386E47">
        <w:rPr>
          <w:rFonts w:asciiTheme="majorHAnsi" w:eastAsia="Calibri" w:hAnsiTheme="majorHAnsi"/>
          <w:sz w:val="20"/>
          <w:szCs w:val="20"/>
          <w:lang w:val="es-ES_tradnl" w:eastAsia="es-ES"/>
        </w:rPr>
        <w:t xml:space="preserve"> </w:t>
      </w:r>
      <w:r w:rsidR="006A0C6C" w:rsidRPr="00386E47">
        <w:rPr>
          <w:rFonts w:asciiTheme="majorHAnsi" w:eastAsia="Calibri" w:hAnsiTheme="majorHAnsi"/>
          <w:sz w:val="20"/>
          <w:szCs w:val="20"/>
          <w:lang w:val="es-ES_tradnl" w:eastAsia="es-ES"/>
        </w:rPr>
        <w:t>-</w:t>
      </w:r>
      <w:r w:rsidR="00D1522B" w:rsidRPr="00386E47">
        <w:rPr>
          <w:rFonts w:asciiTheme="majorHAnsi" w:eastAsia="Calibri" w:hAnsiTheme="majorHAnsi"/>
          <w:sz w:val="20"/>
          <w:szCs w:val="20"/>
          <w:lang w:val="es-ES_tradnl" w:eastAsia="es-ES"/>
        </w:rPr>
        <w:t xml:space="preserve"> </w:t>
      </w:r>
      <w:r w:rsidRPr="00386E47">
        <w:rPr>
          <w:rFonts w:asciiTheme="majorHAnsi" w:eastAsia="Calibri" w:hAnsiTheme="majorHAnsi"/>
          <w:sz w:val="20"/>
          <w:szCs w:val="20"/>
          <w:lang w:val="es-ES_tradnl" w:eastAsia="es-ES"/>
        </w:rPr>
        <w:t>cuyos restos fueron hal</w:t>
      </w:r>
      <w:r w:rsidR="00226BD0" w:rsidRPr="00386E47">
        <w:rPr>
          <w:rFonts w:asciiTheme="majorHAnsi" w:eastAsia="Calibri" w:hAnsiTheme="majorHAnsi"/>
          <w:sz w:val="20"/>
          <w:szCs w:val="20"/>
          <w:lang w:val="es-ES_tradnl" w:eastAsia="es-ES"/>
        </w:rPr>
        <w:t>lados en las ruinas de la AMIA</w:t>
      </w:r>
      <w:r w:rsidR="00D1522B" w:rsidRPr="00386E47">
        <w:rPr>
          <w:rFonts w:asciiTheme="majorHAnsi" w:eastAsia="Calibri" w:hAnsiTheme="majorHAnsi"/>
          <w:sz w:val="20"/>
          <w:szCs w:val="20"/>
          <w:lang w:val="es-ES_tradnl" w:eastAsia="es-ES"/>
        </w:rPr>
        <w:t xml:space="preserve"> </w:t>
      </w:r>
      <w:r w:rsidR="006A0C6C" w:rsidRPr="00386E47">
        <w:rPr>
          <w:rFonts w:asciiTheme="majorHAnsi" w:eastAsia="Calibri" w:hAnsiTheme="majorHAnsi"/>
          <w:sz w:val="20"/>
          <w:szCs w:val="20"/>
          <w:lang w:val="es-ES_tradnl" w:eastAsia="es-ES"/>
        </w:rPr>
        <w:t>-</w:t>
      </w:r>
      <w:r w:rsidR="00226BD0" w:rsidRPr="00386E47">
        <w:rPr>
          <w:rFonts w:asciiTheme="majorHAnsi" w:eastAsia="Calibri" w:hAnsiTheme="majorHAnsi"/>
          <w:sz w:val="20"/>
          <w:szCs w:val="20"/>
          <w:lang w:val="es-ES_tradnl" w:eastAsia="es-ES"/>
        </w:rPr>
        <w:t xml:space="preserve"> a</w:t>
      </w:r>
      <w:r w:rsidR="0092651C" w:rsidRPr="00386E47">
        <w:rPr>
          <w:rFonts w:asciiTheme="majorHAnsi" w:eastAsia="Calibri" w:hAnsiTheme="majorHAnsi"/>
          <w:sz w:val="20"/>
          <w:szCs w:val="20"/>
          <w:lang w:val="es-ES_tradnl" w:eastAsia="es-ES"/>
        </w:rPr>
        <w:t xml:space="preserve"> un grupo de miembros</w:t>
      </w:r>
      <w:r w:rsidRPr="00386E47">
        <w:rPr>
          <w:rFonts w:asciiTheme="majorHAnsi" w:eastAsia="Calibri" w:hAnsiTheme="majorHAnsi"/>
          <w:sz w:val="20"/>
          <w:szCs w:val="20"/>
          <w:lang w:val="es-ES_tradnl" w:eastAsia="es-ES"/>
        </w:rPr>
        <w:t xml:space="preserve"> de la Policía de la Provincia de Buenos Aires, desviando de esa manera la pesquisa por el atentado. </w:t>
      </w:r>
    </w:p>
    <w:p w14:paraId="74D79E64" w14:textId="77777777" w:rsidR="009F70EA" w:rsidRPr="00386E47" w:rsidRDefault="009F70EA" w:rsidP="00CE774A">
      <w:pPr>
        <w:tabs>
          <w:tab w:val="left" w:pos="284"/>
          <w:tab w:val="left" w:pos="426"/>
        </w:tabs>
        <w:contextualSpacing/>
        <w:jc w:val="both"/>
        <w:rPr>
          <w:rFonts w:asciiTheme="majorHAnsi" w:eastAsia="Calibri" w:hAnsiTheme="majorHAnsi"/>
          <w:sz w:val="20"/>
          <w:szCs w:val="20"/>
          <w:lang w:val="es-ES_tradnl" w:eastAsia="es-ES"/>
        </w:rPr>
      </w:pPr>
    </w:p>
    <w:p w14:paraId="0EE46B73"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eastAsia="es-ES"/>
        </w:rPr>
        <w:t xml:space="preserve">En segundo lugar, se </w:t>
      </w:r>
      <w:r w:rsidR="00DA203B" w:rsidRPr="00386E47">
        <w:rPr>
          <w:rFonts w:asciiTheme="majorHAnsi" w:eastAsia="Calibri" w:hAnsiTheme="majorHAnsi"/>
          <w:sz w:val="20"/>
          <w:szCs w:val="20"/>
          <w:lang w:val="es-ES_tradnl" w:eastAsia="es-ES"/>
        </w:rPr>
        <w:t>investiga</w:t>
      </w:r>
      <w:r w:rsidRPr="00386E47">
        <w:rPr>
          <w:rFonts w:asciiTheme="majorHAnsi" w:eastAsia="Calibri" w:hAnsiTheme="majorHAnsi"/>
          <w:sz w:val="20"/>
          <w:szCs w:val="20"/>
          <w:lang w:val="es-ES_tradnl" w:eastAsia="es-ES"/>
        </w:rPr>
        <w:t xml:space="preserve"> si los funcionarios judiciales encargados de la investigación -  junto con efectivos policiales que actuaron como auxiliares de la instrucción, ex dirigentes de organizaciones de la comunidad judía en Argentina, agentes de inteligencia y altos funcionarios del Poder Ejecutivo Nacional durante la presidencia de Carlos Menem </w:t>
      </w:r>
      <w:r w:rsidR="00226BD0" w:rsidRPr="00386E47">
        <w:rPr>
          <w:rFonts w:asciiTheme="majorHAnsi" w:eastAsia="Calibri" w:hAnsiTheme="majorHAnsi"/>
          <w:sz w:val="20"/>
          <w:szCs w:val="20"/>
          <w:lang w:val="es-ES_tradnl" w:eastAsia="es-ES"/>
        </w:rPr>
        <w:t>–</w:t>
      </w:r>
      <w:r w:rsidRPr="00386E47">
        <w:rPr>
          <w:rFonts w:asciiTheme="majorHAnsi" w:eastAsia="Calibri" w:hAnsiTheme="majorHAnsi"/>
          <w:sz w:val="20"/>
          <w:szCs w:val="20"/>
          <w:lang w:val="es-ES_tradnl" w:eastAsia="es-ES"/>
        </w:rPr>
        <w:t xml:space="preserve"> </w:t>
      </w:r>
      <w:r w:rsidR="00226BD0" w:rsidRPr="00386E47">
        <w:rPr>
          <w:rFonts w:asciiTheme="majorHAnsi" w:eastAsia="Calibri" w:hAnsiTheme="majorHAnsi"/>
          <w:sz w:val="20"/>
          <w:szCs w:val="20"/>
          <w:lang w:val="es-ES_tradnl" w:eastAsia="es-ES"/>
        </w:rPr>
        <w:t xml:space="preserve"> impidieron la </w:t>
      </w:r>
      <w:r w:rsidRPr="00386E47">
        <w:rPr>
          <w:rFonts w:asciiTheme="majorHAnsi" w:eastAsia="Calibri" w:hAnsiTheme="majorHAnsi"/>
          <w:sz w:val="20"/>
          <w:szCs w:val="20"/>
          <w:lang w:val="es-ES_tradnl" w:eastAsia="es-ES"/>
        </w:rPr>
        <w:t xml:space="preserve"> profundización de una línea de investigación que vinculaba a un ciudadano </w:t>
      </w:r>
      <w:r w:rsidR="00226BD0" w:rsidRPr="00386E47">
        <w:rPr>
          <w:rFonts w:asciiTheme="majorHAnsi" w:eastAsia="Calibri" w:hAnsiTheme="majorHAnsi"/>
          <w:sz w:val="20"/>
          <w:szCs w:val="20"/>
          <w:lang w:val="es-ES_tradnl" w:eastAsia="es-ES"/>
        </w:rPr>
        <w:t xml:space="preserve">argentino </w:t>
      </w:r>
      <w:r w:rsidRPr="00386E47">
        <w:rPr>
          <w:rFonts w:asciiTheme="majorHAnsi" w:eastAsia="Calibri" w:hAnsiTheme="majorHAnsi"/>
          <w:sz w:val="20"/>
          <w:szCs w:val="20"/>
          <w:lang w:val="es-ES_tradnl" w:eastAsia="es-ES"/>
        </w:rPr>
        <w:t xml:space="preserve">de origen sirio llamado Alberto Kanoore Edul y a personas de su entorno con el atentado. </w:t>
      </w:r>
    </w:p>
    <w:p w14:paraId="6BFADDD6" w14:textId="77777777" w:rsidR="009F70EA" w:rsidRPr="00386E47" w:rsidRDefault="009F70EA" w:rsidP="00CE774A">
      <w:pPr>
        <w:tabs>
          <w:tab w:val="left" w:pos="284"/>
        </w:tabs>
        <w:contextualSpacing/>
        <w:jc w:val="both"/>
        <w:rPr>
          <w:rFonts w:asciiTheme="majorHAnsi" w:eastAsia="Calibri" w:hAnsiTheme="majorHAnsi"/>
          <w:sz w:val="20"/>
          <w:szCs w:val="20"/>
          <w:lang w:val="es-ES_tradnl"/>
        </w:rPr>
      </w:pPr>
    </w:p>
    <w:p w14:paraId="121D4A63"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lastRenderedPageBreak/>
        <w:t>La causa por el encubrimiento fue instruida por diversos magistrados del fuero en lo Criminal y Correccional Federal de la Ciudad de Buenos Aire</w:t>
      </w:r>
      <w:r w:rsidR="00226BD0" w:rsidRPr="00386E47">
        <w:rPr>
          <w:rFonts w:asciiTheme="majorHAnsi" w:eastAsia="Calibri" w:hAnsiTheme="majorHAnsi"/>
          <w:sz w:val="20"/>
          <w:szCs w:val="20"/>
          <w:lang w:val="es-ES_tradnl"/>
        </w:rPr>
        <w:t>s. El 6 de agosto de 2015 se dieron</w:t>
      </w:r>
      <w:r w:rsidRPr="00386E47">
        <w:rPr>
          <w:rFonts w:asciiTheme="majorHAnsi" w:eastAsia="Calibri" w:hAnsiTheme="majorHAnsi"/>
          <w:sz w:val="20"/>
          <w:szCs w:val="20"/>
          <w:lang w:val="es-ES_tradnl"/>
        </w:rPr>
        <w:t xml:space="preserve"> inicio a las audiencias de debate ante el Tribunal Oral en lo Criminal Federal Nro. 2 de la Capital Federal (TOF 2</w:t>
      </w:r>
      <w:r w:rsidR="00226BD0" w:rsidRPr="00386E47">
        <w:rPr>
          <w:rFonts w:asciiTheme="majorHAnsi" w:eastAsia="Calibri" w:hAnsiTheme="majorHAnsi"/>
          <w:sz w:val="20"/>
          <w:szCs w:val="20"/>
          <w:lang w:val="es-ES_tradnl"/>
        </w:rPr>
        <w:t>). El 28 de febrero de 2019 el T</w:t>
      </w:r>
      <w:r w:rsidRPr="00386E47">
        <w:rPr>
          <w:rFonts w:asciiTheme="majorHAnsi" w:eastAsia="Calibri" w:hAnsiTheme="majorHAnsi"/>
          <w:sz w:val="20"/>
          <w:szCs w:val="20"/>
          <w:lang w:val="es-ES_tradnl"/>
        </w:rPr>
        <w:t xml:space="preserve">ribunal comunicó su veredicto y el 3 de mayo del mismo año </w:t>
      </w:r>
      <w:r w:rsidR="00226BD0" w:rsidRPr="00386E47">
        <w:rPr>
          <w:rFonts w:asciiTheme="majorHAnsi" w:eastAsia="Calibri" w:hAnsiTheme="majorHAnsi"/>
          <w:sz w:val="20"/>
          <w:szCs w:val="20"/>
          <w:lang w:val="es-ES_tradnl"/>
        </w:rPr>
        <w:t>difundió</w:t>
      </w:r>
      <w:r w:rsidRPr="00386E47">
        <w:rPr>
          <w:rFonts w:asciiTheme="majorHAnsi" w:eastAsia="Calibri" w:hAnsiTheme="majorHAnsi"/>
          <w:sz w:val="20"/>
          <w:szCs w:val="20"/>
          <w:lang w:val="es-ES_tradnl"/>
        </w:rPr>
        <w:t xml:space="preserve"> los fund</w:t>
      </w:r>
      <w:r w:rsidR="00226BD0" w:rsidRPr="00386E47">
        <w:rPr>
          <w:rFonts w:asciiTheme="majorHAnsi" w:eastAsia="Calibri" w:hAnsiTheme="majorHAnsi"/>
          <w:sz w:val="20"/>
          <w:szCs w:val="20"/>
          <w:lang w:val="es-ES_tradnl"/>
        </w:rPr>
        <w:t xml:space="preserve">amentos de la sentencia. </w:t>
      </w:r>
      <w:r w:rsidR="00F050CD" w:rsidRPr="00386E47">
        <w:rPr>
          <w:rFonts w:asciiTheme="majorHAnsi" w:eastAsia="Calibri" w:hAnsiTheme="majorHAnsi"/>
          <w:sz w:val="20"/>
          <w:szCs w:val="20"/>
          <w:lang w:val="es-ES_tradnl"/>
        </w:rPr>
        <w:t>El TOF</w:t>
      </w:r>
      <w:r w:rsidRPr="00386E47">
        <w:rPr>
          <w:rFonts w:asciiTheme="majorHAnsi" w:eastAsia="Calibri" w:hAnsiTheme="majorHAnsi"/>
          <w:sz w:val="20"/>
          <w:szCs w:val="20"/>
          <w:lang w:val="es-ES_tradnl"/>
        </w:rPr>
        <w:t xml:space="preserve"> 2 </w:t>
      </w:r>
      <w:r w:rsidR="00F050CD" w:rsidRPr="00386E47">
        <w:rPr>
          <w:rFonts w:asciiTheme="majorHAnsi" w:eastAsia="Calibri" w:hAnsiTheme="majorHAnsi"/>
          <w:sz w:val="20"/>
          <w:szCs w:val="20"/>
          <w:lang w:val="es-ES_tradnl"/>
        </w:rPr>
        <w:t xml:space="preserve">consideró que se encontraban </w:t>
      </w:r>
      <w:r w:rsidR="00226BD0" w:rsidRPr="00386E47">
        <w:rPr>
          <w:rFonts w:asciiTheme="majorHAnsi" w:eastAsia="Calibri" w:hAnsiTheme="majorHAnsi"/>
          <w:sz w:val="20"/>
          <w:szCs w:val="20"/>
          <w:lang w:val="es-ES_tradnl"/>
        </w:rPr>
        <w:t xml:space="preserve">acreditadas las acciones descriptas en los párrafos precedentes y </w:t>
      </w:r>
      <w:r w:rsidRPr="00386E47">
        <w:rPr>
          <w:rFonts w:asciiTheme="majorHAnsi" w:eastAsia="Calibri" w:hAnsiTheme="majorHAnsi"/>
          <w:sz w:val="20"/>
          <w:szCs w:val="20"/>
          <w:lang w:val="es-ES_tradnl"/>
        </w:rPr>
        <w:t xml:space="preserve">condenó al ex Juez Juan José Galeano, a los fiscales Mullen y Barbaccia y a funcionarios policiales y de la Secretaria de Inteligencia del Estado a diversas penas de prisión. </w:t>
      </w:r>
      <w:r w:rsidR="00F9366D" w:rsidRPr="00386E47">
        <w:rPr>
          <w:rFonts w:asciiTheme="majorHAnsi" w:eastAsia="Calibri" w:hAnsiTheme="majorHAnsi"/>
          <w:sz w:val="20"/>
          <w:szCs w:val="20"/>
          <w:lang w:val="es-ES_tradnl"/>
        </w:rPr>
        <w:t xml:space="preserve">De acuerdo con la </w:t>
      </w:r>
      <w:r w:rsidR="00F050CD" w:rsidRPr="00386E47">
        <w:rPr>
          <w:rFonts w:asciiTheme="majorHAnsi" w:eastAsia="Calibri" w:hAnsiTheme="majorHAnsi"/>
          <w:sz w:val="20"/>
          <w:szCs w:val="20"/>
          <w:lang w:val="es-ES_tradnl"/>
        </w:rPr>
        <w:t>información</w:t>
      </w:r>
      <w:r w:rsidR="00F9366D" w:rsidRPr="00386E47">
        <w:rPr>
          <w:rFonts w:asciiTheme="majorHAnsi" w:eastAsia="Calibri" w:hAnsiTheme="majorHAnsi"/>
          <w:sz w:val="20"/>
          <w:szCs w:val="20"/>
          <w:lang w:val="es-ES_tradnl"/>
        </w:rPr>
        <w:t xml:space="preserve"> en poder de la </w:t>
      </w:r>
      <w:r w:rsidR="00F050CD" w:rsidRPr="00386E47">
        <w:rPr>
          <w:rFonts w:asciiTheme="majorHAnsi" w:eastAsia="Calibri" w:hAnsiTheme="majorHAnsi"/>
          <w:sz w:val="20"/>
          <w:szCs w:val="20"/>
          <w:lang w:val="es-ES_tradnl"/>
        </w:rPr>
        <w:t>Comisión</w:t>
      </w:r>
      <w:r w:rsidR="00F9366D" w:rsidRPr="00386E47">
        <w:rPr>
          <w:rFonts w:asciiTheme="majorHAnsi" w:eastAsia="Calibri" w:hAnsiTheme="majorHAnsi"/>
          <w:sz w:val="20"/>
          <w:szCs w:val="20"/>
          <w:lang w:val="es-ES_tradnl"/>
        </w:rPr>
        <w:t>, e</w:t>
      </w:r>
      <w:r w:rsidRPr="00386E47">
        <w:rPr>
          <w:rFonts w:asciiTheme="majorHAnsi" w:eastAsia="Calibri" w:hAnsiTheme="majorHAnsi"/>
          <w:sz w:val="20"/>
          <w:szCs w:val="20"/>
          <w:lang w:val="es-ES_tradnl"/>
        </w:rPr>
        <w:t>l momento de</w:t>
      </w:r>
      <w:r w:rsidR="00F9366D" w:rsidRPr="00386E47">
        <w:rPr>
          <w:rFonts w:asciiTheme="majorHAnsi" w:eastAsia="Calibri" w:hAnsiTheme="majorHAnsi"/>
          <w:sz w:val="20"/>
          <w:szCs w:val="20"/>
          <w:lang w:val="es-ES_tradnl"/>
        </w:rPr>
        <w:t xml:space="preserve"> la aprobación de este informe </w:t>
      </w:r>
      <w:r w:rsidRPr="00386E47">
        <w:rPr>
          <w:rFonts w:asciiTheme="majorHAnsi" w:eastAsia="Calibri" w:hAnsiTheme="majorHAnsi"/>
          <w:sz w:val="20"/>
          <w:szCs w:val="20"/>
          <w:lang w:val="es-ES_tradnl"/>
        </w:rPr>
        <w:t xml:space="preserve">la decisión del TOF 2 se encuentra siendo revisada por </w:t>
      </w:r>
      <w:r w:rsidR="00226BD0" w:rsidRPr="00386E47">
        <w:rPr>
          <w:rFonts w:asciiTheme="majorHAnsi" w:eastAsia="Calibri" w:hAnsiTheme="majorHAnsi"/>
          <w:sz w:val="20"/>
          <w:szCs w:val="20"/>
          <w:lang w:val="es-ES_tradnl"/>
        </w:rPr>
        <w:t>los tribunales de alzada</w:t>
      </w:r>
      <w:r w:rsidRPr="00386E47">
        <w:rPr>
          <w:rFonts w:asciiTheme="majorHAnsi" w:eastAsia="Calibri" w:hAnsiTheme="majorHAnsi"/>
          <w:sz w:val="20"/>
          <w:szCs w:val="20"/>
          <w:vertAlign w:val="superscript"/>
          <w:lang w:val="es-ES_tradnl"/>
        </w:rPr>
        <w:footnoteReference w:id="35"/>
      </w:r>
      <w:r w:rsidRPr="00386E47">
        <w:rPr>
          <w:rFonts w:asciiTheme="majorHAnsi" w:eastAsia="Calibri" w:hAnsiTheme="majorHAnsi"/>
          <w:sz w:val="20"/>
          <w:szCs w:val="20"/>
          <w:lang w:val="es-ES_tradnl"/>
        </w:rPr>
        <w:t xml:space="preserve">. </w:t>
      </w:r>
    </w:p>
    <w:p w14:paraId="08BB8452" w14:textId="77777777" w:rsidR="009F70EA" w:rsidRPr="00386E47" w:rsidRDefault="009F70EA" w:rsidP="00CE774A">
      <w:pPr>
        <w:tabs>
          <w:tab w:val="left" w:pos="284"/>
          <w:tab w:val="left" w:pos="426"/>
        </w:tabs>
        <w:contextualSpacing/>
        <w:jc w:val="both"/>
        <w:rPr>
          <w:rFonts w:asciiTheme="majorHAnsi" w:eastAsia="Calibri" w:hAnsiTheme="majorHAnsi"/>
          <w:sz w:val="20"/>
          <w:szCs w:val="20"/>
          <w:lang w:val="es-ES_tradnl"/>
        </w:rPr>
      </w:pPr>
    </w:p>
    <w:p w14:paraId="1CCFF4CA"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La Comisión </w:t>
      </w:r>
      <w:r w:rsidR="00F9366D" w:rsidRPr="00386E47">
        <w:rPr>
          <w:rFonts w:asciiTheme="majorHAnsi" w:eastAsia="Calibri" w:hAnsiTheme="majorHAnsi"/>
          <w:sz w:val="20"/>
          <w:szCs w:val="20"/>
          <w:lang w:val="es-ES_tradnl"/>
        </w:rPr>
        <w:t>ha sido informada que</w:t>
      </w:r>
      <w:r w:rsidR="00594429" w:rsidRPr="00386E47">
        <w:rPr>
          <w:rFonts w:asciiTheme="majorHAnsi" w:eastAsia="Calibri" w:hAnsiTheme="majorHAnsi"/>
          <w:sz w:val="20"/>
          <w:szCs w:val="20"/>
          <w:lang w:val="es-ES_tradnl"/>
        </w:rPr>
        <w:t xml:space="preserve"> </w:t>
      </w:r>
      <w:r w:rsidRPr="00386E47">
        <w:rPr>
          <w:rFonts w:asciiTheme="majorHAnsi" w:eastAsia="Calibri" w:hAnsiTheme="majorHAnsi"/>
          <w:sz w:val="20"/>
          <w:szCs w:val="20"/>
          <w:lang w:val="es-ES_tradnl"/>
        </w:rPr>
        <w:t>en los tribunales nacionales</w:t>
      </w:r>
      <w:r w:rsidR="00594429" w:rsidRPr="00386E47">
        <w:rPr>
          <w:rFonts w:asciiTheme="majorHAnsi" w:eastAsia="Calibri" w:hAnsiTheme="majorHAnsi"/>
          <w:sz w:val="20"/>
          <w:szCs w:val="20"/>
          <w:lang w:val="es-ES_tradnl"/>
        </w:rPr>
        <w:t xml:space="preserve"> se encuentran radicados</w:t>
      </w:r>
      <w:r w:rsidRPr="00386E47">
        <w:rPr>
          <w:rFonts w:asciiTheme="majorHAnsi" w:eastAsia="Calibri" w:hAnsiTheme="majorHAnsi"/>
          <w:sz w:val="20"/>
          <w:szCs w:val="20"/>
          <w:lang w:val="es-ES_tradnl"/>
        </w:rPr>
        <w:t xml:space="preserve"> diversos expedientes </w:t>
      </w:r>
      <w:r w:rsidR="00594429" w:rsidRPr="00386E47">
        <w:rPr>
          <w:rFonts w:asciiTheme="majorHAnsi" w:eastAsia="Calibri" w:hAnsiTheme="majorHAnsi"/>
          <w:sz w:val="20"/>
          <w:szCs w:val="20"/>
          <w:lang w:val="es-ES_tradnl"/>
        </w:rPr>
        <w:t>en los que se</w:t>
      </w:r>
      <w:r w:rsidRPr="00386E47">
        <w:rPr>
          <w:rFonts w:asciiTheme="majorHAnsi" w:eastAsia="Calibri" w:hAnsiTheme="majorHAnsi"/>
          <w:sz w:val="20"/>
          <w:szCs w:val="20"/>
          <w:lang w:val="es-ES_tradnl"/>
        </w:rPr>
        <w:t xml:space="preserve"> investiga la responsabilidad penal de un grupo de personas por hechos relacionados con</w:t>
      </w:r>
      <w:r w:rsidR="00594429" w:rsidRPr="00386E47">
        <w:rPr>
          <w:rFonts w:asciiTheme="majorHAnsi" w:eastAsia="Calibri" w:hAnsiTheme="majorHAnsi"/>
          <w:sz w:val="20"/>
          <w:szCs w:val="20"/>
          <w:lang w:val="es-ES_tradnl"/>
        </w:rPr>
        <w:t xml:space="preserve"> el</w:t>
      </w:r>
      <w:r w:rsidRPr="00386E47">
        <w:rPr>
          <w:rFonts w:asciiTheme="majorHAnsi" w:eastAsia="Calibri" w:hAnsiTheme="majorHAnsi"/>
          <w:sz w:val="20"/>
          <w:szCs w:val="20"/>
          <w:lang w:val="es-ES_tradnl"/>
        </w:rPr>
        <w:t xml:space="preserve"> encubrimiento del atentado. Entre las personas que resultan imputadas en esas causas se encuentran los entonces secretarios del Juzgado en lo Criminal Federal 9, funcionarios </w:t>
      </w:r>
      <w:r w:rsidR="009370C2" w:rsidRPr="00386E47">
        <w:rPr>
          <w:rFonts w:asciiTheme="majorHAnsi" w:eastAsia="Calibri" w:hAnsiTheme="majorHAnsi"/>
          <w:sz w:val="20"/>
          <w:szCs w:val="20"/>
          <w:lang w:val="es-ES_tradnl"/>
        </w:rPr>
        <w:t>del Poder Ejecutivo Nacional y otros individuos</w:t>
      </w:r>
      <w:r w:rsidRPr="00386E47">
        <w:rPr>
          <w:rFonts w:asciiTheme="majorHAnsi" w:eastAsia="Calibri" w:hAnsiTheme="majorHAnsi"/>
          <w:sz w:val="20"/>
          <w:szCs w:val="20"/>
          <w:lang w:val="es-ES_tradnl"/>
        </w:rPr>
        <w:t xml:space="preserve"> que </w:t>
      </w:r>
      <w:r w:rsidR="009370C2" w:rsidRPr="00386E47">
        <w:rPr>
          <w:rFonts w:asciiTheme="majorHAnsi" w:eastAsia="Calibri" w:hAnsiTheme="majorHAnsi"/>
          <w:sz w:val="20"/>
          <w:szCs w:val="20"/>
          <w:lang w:val="es-ES_tradnl"/>
        </w:rPr>
        <w:t>participaron de la</w:t>
      </w:r>
      <w:r w:rsidRPr="00386E47">
        <w:rPr>
          <w:rFonts w:asciiTheme="majorHAnsi" w:eastAsia="Calibri" w:hAnsiTheme="majorHAnsi"/>
          <w:sz w:val="20"/>
          <w:szCs w:val="20"/>
          <w:lang w:val="es-ES_tradnl"/>
        </w:rPr>
        <w:t xml:space="preserve"> investigación encabezada por el ex Juez Galeano</w:t>
      </w:r>
      <w:r w:rsidRPr="00386E47">
        <w:rPr>
          <w:rFonts w:asciiTheme="majorHAnsi" w:eastAsia="Calibri" w:hAnsiTheme="majorHAnsi"/>
          <w:sz w:val="20"/>
          <w:szCs w:val="20"/>
          <w:vertAlign w:val="superscript"/>
          <w:lang w:val="es-ES_tradnl"/>
        </w:rPr>
        <w:footnoteReference w:id="36"/>
      </w:r>
      <w:r w:rsidRPr="00386E47">
        <w:rPr>
          <w:rFonts w:asciiTheme="majorHAnsi" w:eastAsia="Calibri" w:hAnsiTheme="majorHAnsi"/>
          <w:sz w:val="20"/>
          <w:szCs w:val="20"/>
          <w:lang w:val="es-ES_tradnl"/>
        </w:rPr>
        <w:t xml:space="preserve">.   </w:t>
      </w:r>
    </w:p>
    <w:p w14:paraId="70EEA94B" w14:textId="77777777" w:rsidR="009F70EA" w:rsidRPr="00386E47" w:rsidRDefault="009F70EA" w:rsidP="00CE774A">
      <w:pPr>
        <w:tabs>
          <w:tab w:val="left" w:pos="284"/>
          <w:tab w:val="left" w:pos="426"/>
          <w:tab w:val="left" w:pos="567"/>
        </w:tabs>
        <w:contextualSpacing/>
        <w:jc w:val="both"/>
        <w:rPr>
          <w:rFonts w:asciiTheme="majorHAnsi" w:eastAsia="Calibri" w:hAnsiTheme="majorHAnsi"/>
          <w:sz w:val="20"/>
          <w:szCs w:val="20"/>
          <w:lang w:val="es-ES_tradnl"/>
        </w:rPr>
      </w:pPr>
    </w:p>
    <w:p w14:paraId="0EE1A021"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Por último, en enero de 2015</w:t>
      </w:r>
      <w:r w:rsidR="00572A62" w:rsidRPr="00386E47">
        <w:rPr>
          <w:rFonts w:asciiTheme="majorHAnsi" w:eastAsia="Calibri" w:hAnsiTheme="majorHAnsi"/>
          <w:sz w:val="20"/>
          <w:szCs w:val="20"/>
          <w:lang w:val="es-ES_tradnl"/>
        </w:rPr>
        <w:t xml:space="preserve">, </w:t>
      </w:r>
      <w:r w:rsidRPr="00386E47">
        <w:rPr>
          <w:rFonts w:asciiTheme="majorHAnsi" w:eastAsia="Calibri" w:hAnsiTheme="majorHAnsi"/>
          <w:sz w:val="20"/>
          <w:szCs w:val="20"/>
          <w:lang w:val="es-ES_tradnl"/>
        </w:rPr>
        <w:t xml:space="preserve">el entonces titular de la UFI AMIA, Alberto Nisman, presentó ante un Juzgado en lo Criminal y Correccional Federal una denuncia penal </w:t>
      </w:r>
      <w:r w:rsidR="00594429" w:rsidRPr="00386E47">
        <w:rPr>
          <w:rFonts w:asciiTheme="majorHAnsi" w:eastAsia="Calibri" w:hAnsiTheme="majorHAnsi"/>
          <w:sz w:val="20"/>
          <w:szCs w:val="20"/>
          <w:lang w:val="es-ES_tradnl"/>
        </w:rPr>
        <w:t>por medio de la</w:t>
      </w:r>
      <w:r w:rsidRPr="00386E47">
        <w:rPr>
          <w:rFonts w:asciiTheme="majorHAnsi" w:eastAsia="Calibri" w:hAnsiTheme="majorHAnsi"/>
          <w:sz w:val="20"/>
          <w:szCs w:val="20"/>
          <w:lang w:val="es-ES_tradnl"/>
        </w:rPr>
        <w:t xml:space="preserve"> cual acusó a diversos funcionario</w:t>
      </w:r>
      <w:r w:rsidR="00594429" w:rsidRPr="00386E47">
        <w:rPr>
          <w:rFonts w:asciiTheme="majorHAnsi" w:eastAsia="Calibri" w:hAnsiTheme="majorHAnsi"/>
          <w:sz w:val="20"/>
          <w:szCs w:val="20"/>
          <w:lang w:val="es-ES_tradnl"/>
        </w:rPr>
        <w:t xml:space="preserve">s estatales e individuos </w:t>
      </w:r>
      <w:r w:rsidR="00FD7F66" w:rsidRPr="00386E47">
        <w:rPr>
          <w:rFonts w:asciiTheme="majorHAnsi" w:eastAsia="Calibri" w:hAnsiTheme="majorHAnsi"/>
          <w:sz w:val="20"/>
          <w:szCs w:val="20"/>
          <w:lang w:val="es-ES_tradnl"/>
        </w:rPr>
        <w:t xml:space="preserve">presuntamente </w:t>
      </w:r>
      <w:r w:rsidR="00594429" w:rsidRPr="00386E47">
        <w:rPr>
          <w:rFonts w:asciiTheme="majorHAnsi" w:eastAsia="Calibri" w:hAnsiTheme="majorHAnsi"/>
          <w:sz w:val="20"/>
          <w:szCs w:val="20"/>
          <w:lang w:val="es-ES_tradnl"/>
        </w:rPr>
        <w:t xml:space="preserve">allegados a ellos </w:t>
      </w:r>
      <w:r w:rsidRPr="00386E47">
        <w:rPr>
          <w:rFonts w:asciiTheme="majorHAnsi" w:eastAsia="Calibri" w:hAnsiTheme="majorHAnsi"/>
          <w:sz w:val="20"/>
          <w:szCs w:val="20"/>
          <w:lang w:val="es-ES_tradnl"/>
        </w:rPr>
        <w:t xml:space="preserve">de haber trazado “un plan delictivo destinado a dotar de impunidad a los imputados de nacionalidad iraní” </w:t>
      </w:r>
      <w:r w:rsidR="008B5505" w:rsidRPr="00386E47">
        <w:rPr>
          <w:rFonts w:asciiTheme="majorHAnsi" w:eastAsia="Calibri" w:hAnsiTheme="majorHAnsi"/>
          <w:sz w:val="20"/>
          <w:szCs w:val="20"/>
          <w:lang w:val="es-ES_tradnl"/>
        </w:rPr>
        <w:t>a partir de</w:t>
      </w:r>
      <w:r w:rsidR="00F050CD" w:rsidRPr="00386E47">
        <w:rPr>
          <w:rFonts w:asciiTheme="majorHAnsi" w:eastAsia="Calibri" w:hAnsiTheme="majorHAnsi"/>
          <w:sz w:val="20"/>
          <w:szCs w:val="20"/>
          <w:lang w:val="es-ES_tradnl"/>
        </w:rPr>
        <w:t xml:space="preserve"> la firma del</w:t>
      </w:r>
      <w:r w:rsidR="008B5505" w:rsidRPr="00386E47">
        <w:rPr>
          <w:rFonts w:asciiTheme="majorHAnsi" w:eastAsia="Calibri" w:hAnsiTheme="majorHAnsi"/>
          <w:sz w:val="20"/>
          <w:szCs w:val="20"/>
          <w:lang w:val="es-ES_tradnl"/>
        </w:rPr>
        <w:t xml:space="preserve"> denominado</w:t>
      </w:r>
      <w:r w:rsidRPr="00386E47">
        <w:rPr>
          <w:rFonts w:asciiTheme="majorHAnsi" w:eastAsia="Calibri" w:hAnsiTheme="majorHAnsi"/>
          <w:sz w:val="20"/>
          <w:szCs w:val="20"/>
          <w:lang w:val="es-ES_tradnl"/>
        </w:rPr>
        <w:t xml:space="preserve"> </w:t>
      </w:r>
      <w:r w:rsidR="008B5505" w:rsidRPr="00386E47">
        <w:rPr>
          <w:rFonts w:asciiTheme="majorHAnsi" w:eastAsia="Calibri" w:hAnsiTheme="majorHAnsi"/>
          <w:sz w:val="20"/>
          <w:szCs w:val="20"/>
          <w:lang w:val="es-ES_tradnl"/>
        </w:rPr>
        <w:t>“</w:t>
      </w:r>
      <w:r w:rsidRPr="00386E47">
        <w:rPr>
          <w:rFonts w:asciiTheme="majorHAnsi" w:eastAsia="Calibri" w:hAnsiTheme="majorHAnsi"/>
          <w:sz w:val="20"/>
          <w:szCs w:val="20"/>
          <w:lang w:val="es-ES_tradnl"/>
        </w:rPr>
        <w:t>Memorándum de Entendimiento entre la República Argentina y la República Islámica de Irán</w:t>
      </w:r>
      <w:r w:rsidR="008B5505" w:rsidRPr="00386E47">
        <w:rPr>
          <w:rFonts w:asciiTheme="majorHAnsi" w:eastAsia="Calibri" w:hAnsiTheme="majorHAnsi"/>
          <w:sz w:val="20"/>
          <w:szCs w:val="20"/>
          <w:lang w:val="es-ES_tradnl"/>
        </w:rPr>
        <w:t xml:space="preserve"> sobre los temas vinculados al ataque terrorista a la sede de la AMIA en Buenos Aires el 18 de julio de 1994”</w:t>
      </w:r>
      <w:r w:rsidR="00FD7F66" w:rsidRPr="00386E47">
        <w:rPr>
          <w:rStyle w:val="FootnoteReference"/>
          <w:rFonts w:asciiTheme="majorHAnsi" w:eastAsia="Calibri" w:hAnsiTheme="majorHAnsi"/>
          <w:sz w:val="20"/>
          <w:szCs w:val="20"/>
          <w:lang w:val="es-ES_tradnl"/>
        </w:rPr>
        <w:footnoteReference w:id="37"/>
      </w:r>
      <w:r w:rsidRPr="00386E47">
        <w:rPr>
          <w:rFonts w:asciiTheme="majorHAnsi" w:eastAsia="Calibri" w:hAnsiTheme="majorHAnsi"/>
          <w:sz w:val="20"/>
          <w:szCs w:val="20"/>
          <w:lang w:val="es-ES_tradnl"/>
        </w:rPr>
        <w:t xml:space="preserve">. La Comisión ha </w:t>
      </w:r>
      <w:r w:rsidR="00633B9B" w:rsidRPr="00386E47">
        <w:rPr>
          <w:rFonts w:asciiTheme="majorHAnsi" w:eastAsia="Calibri" w:hAnsiTheme="majorHAnsi"/>
          <w:sz w:val="20"/>
          <w:szCs w:val="20"/>
          <w:lang w:val="es-ES_tradnl"/>
        </w:rPr>
        <w:t xml:space="preserve">sido informada por los peticionarios </w:t>
      </w:r>
      <w:r w:rsidRPr="00386E47">
        <w:rPr>
          <w:rFonts w:asciiTheme="majorHAnsi" w:eastAsia="Calibri" w:hAnsiTheme="majorHAnsi"/>
          <w:sz w:val="20"/>
          <w:szCs w:val="20"/>
          <w:lang w:val="es-ES_tradnl"/>
        </w:rPr>
        <w:t>que la mencionada denuncia continúa, a la fecha de</w:t>
      </w:r>
      <w:r w:rsidR="00E87276" w:rsidRPr="00386E47">
        <w:rPr>
          <w:rFonts w:asciiTheme="majorHAnsi" w:eastAsia="Calibri" w:hAnsiTheme="majorHAnsi"/>
          <w:sz w:val="20"/>
          <w:szCs w:val="20"/>
          <w:lang w:val="es-ES_tradnl"/>
        </w:rPr>
        <w:t xml:space="preserve"> la aprobación de</w:t>
      </w:r>
      <w:r w:rsidRPr="00386E47">
        <w:rPr>
          <w:rFonts w:asciiTheme="majorHAnsi" w:eastAsia="Calibri" w:hAnsiTheme="majorHAnsi"/>
          <w:sz w:val="20"/>
          <w:szCs w:val="20"/>
          <w:lang w:val="es-ES_tradnl"/>
        </w:rPr>
        <w:t xml:space="preserve"> este informe, siendo investigada por las autoridades judiciales argentinas</w:t>
      </w:r>
      <w:r w:rsidR="008B5505" w:rsidRPr="00386E47">
        <w:rPr>
          <w:rFonts w:asciiTheme="majorHAnsi" w:eastAsia="Calibri" w:hAnsiTheme="majorHAnsi"/>
          <w:sz w:val="20"/>
          <w:szCs w:val="20"/>
          <w:vertAlign w:val="superscript"/>
          <w:lang w:val="es-ES_tradnl"/>
        </w:rPr>
        <w:footnoteReference w:id="38"/>
      </w:r>
      <w:r w:rsidRPr="00386E47">
        <w:rPr>
          <w:rFonts w:asciiTheme="majorHAnsi" w:eastAsia="Calibri" w:hAnsiTheme="majorHAnsi"/>
          <w:sz w:val="20"/>
          <w:szCs w:val="20"/>
          <w:lang w:val="es-ES_tradnl"/>
        </w:rPr>
        <w:t xml:space="preserve">. </w:t>
      </w:r>
    </w:p>
    <w:p w14:paraId="00C8CB76" w14:textId="77777777" w:rsidR="009F70EA" w:rsidRPr="00386E47" w:rsidRDefault="009F70EA" w:rsidP="009F70EA">
      <w:pPr>
        <w:tabs>
          <w:tab w:val="left" w:pos="426"/>
        </w:tabs>
        <w:contextualSpacing/>
        <w:jc w:val="both"/>
        <w:rPr>
          <w:rFonts w:asciiTheme="majorHAnsi" w:eastAsia="Calibri" w:hAnsiTheme="majorHAnsi"/>
          <w:sz w:val="20"/>
          <w:szCs w:val="20"/>
          <w:lang w:val="es-ES_tradnl"/>
        </w:rPr>
      </w:pPr>
    </w:p>
    <w:p w14:paraId="32322D8F" w14:textId="77777777" w:rsidR="00137B1C" w:rsidRPr="00386E47" w:rsidRDefault="0025516D" w:rsidP="009146F2">
      <w:pPr>
        <w:pStyle w:val="Heading2"/>
        <w:numPr>
          <w:ilvl w:val="0"/>
          <w:numId w:val="68"/>
        </w:numPr>
        <w:rPr>
          <w:rFonts w:asciiTheme="majorHAnsi" w:hAnsiTheme="majorHAnsi"/>
        </w:rPr>
      </w:pPr>
      <w:bookmarkStart w:id="24" w:name="_Toc51252195"/>
      <w:r w:rsidRPr="00386E47">
        <w:rPr>
          <w:rFonts w:asciiTheme="majorHAnsi" w:hAnsiTheme="majorHAnsi"/>
        </w:rPr>
        <w:t>Derechos a la vida,</w:t>
      </w:r>
      <w:r w:rsidR="00FB1535" w:rsidRPr="00386E47">
        <w:rPr>
          <w:rFonts w:asciiTheme="majorHAnsi" w:hAnsiTheme="majorHAnsi"/>
        </w:rPr>
        <w:t xml:space="preserve"> a la integridad personal y derecho a la igualdad (artículo</w:t>
      </w:r>
      <w:r w:rsidRPr="00386E47">
        <w:rPr>
          <w:rFonts w:asciiTheme="majorHAnsi" w:hAnsiTheme="majorHAnsi"/>
        </w:rPr>
        <w:t>s 4.1, 5.1 y</w:t>
      </w:r>
      <w:r w:rsidR="00FB1535" w:rsidRPr="00386E47">
        <w:rPr>
          <w:rFonts w:asciiTheme="majorHAnsi" w:hAnsiTheme="majorHAnsi"/>
        </w:rPr>
        <w:t xml:space="preserve"> 24) en relación con los artículos 1.1 de la Convención.</w:t>
      </w:r>
      <w:bookmarkEnd w:id="24"/>
      <w:r w:rsidR="00FB1535" w:rsidRPr="00386E47">
        <w:rPr>
          <w:rFonts w:asciiTheme="majorHAnsi" w:hAnsiTheme="majorHAnsi"/>
        </w:rPr>
        <w:t xml:space="preserve"> </w:t>
      </w:r>
    </w:p>
    <w:p w14:paraId="4A0A8990" w14:textId="77777777" w:rsidR="008B43FD" w:rsidRPr="00386E47" w:rsidRDefault="008B43FD" w:rsidP="00A311A0">
      <w:pPr>
        <w:pStyle w:val="ListParagraph"/>
        <w:tabs>
          <w:tab w:val="left" w:pos="567"/>
        </w:tabs>
        <w:ind w:left="0"/>
        <w:jc w:val="both"/>
        <w:rPr>
          <w:rFonts w:asciiTheme="majorHAnsi" w:hAnsiTheme="majorHAnsi"/>
          <w:lang w:val="es-US"/>
        </w:rPr>
      </w:pPr>
    </w:p>
    <w:p w14:paraId="114C2AA6" w14:textId="77777777" w:rsidR="00021B5D" w:rsidRPr="00386E47" w:rsidRDefault="008B43FD" w:rsidP="0025516D">
      <w:pPr>
        <w:pStyle w:val="ListParagraph"/>
        <w:numPr>
          <w:ilvl w:val="0"/>
          <w:numId w:val="55"/>
        </w:numPr>
        <w:tabs>
          <w:tab w:val="left" w:pos="567"/>
        </w:tabs>
        <w:ind w:left="0" w:firstLine="0"/>
        <w:jc w:val="both"/>
        <w:rPr>
          <w:rFonts w:asciiTheme="majorHAnsi" w:hAnsiTheme="majorHAnsi"/>
          <w:sz w:val="20"/>
          <w:szCs w:val="20"/>
          <w:lang w:val="es-ES"/>
        </w:rPr>
      </w:pPr>
      <w:r w:rsidRPr="00386E47">
        <w:rPr>
          <w:rFonts w:asciiTheme="majorHAnsi" w:hAnsiTheme="majorHAnsi"/>
          <w:sz w:val="20"/>
          <w:szCs w:val="20"/>
          <w:lang w:val="es-ES"/>
        </w:rPr>
        <w:t xml:space="preserve">Los </w:t>
      </w:r>
      <w:r w:rsidRPr="00386E47">
        <w:rPr>
          <w:rFonts w:asciiTheme="majorHAnsi" w:hAnsiTheme="majorHAnsi"/>
          <w:bCs/>
          <w:sz w:val="20"/>
          <w:szCs w:val="20"/>
          <w:lang w:val="es-ES"/>
        </w:rPr>
        <w:t>derechos a la vida e integridad personal</w:t>
      </w:r>
      <w:r w:rsidRPr="00386E47">
        <w:rPr>
          <w:rFonts w:asciiTheme="majorHAnsi" w:hAnsiTheme="majorHAnsi"/>
          <w:sz w:val="20"/>
          <w:szCs w:val="20"/>
          <w:lang w:val="es-ES"/>
        </w:rPr>
        <w:t xml:space="preserve"> se encuentran consagrados en los artículos</w:t>
      </w:r>
      <w:r w:rsidR="00FB1535" w:rsidRPr="00386E47">
        <w:rPr>
          <w:rFonts w:asciiTheme="majorHAnsi" w:hAnsiTheme="majorHAnsi"/>
          <w:sz w:val="20"/>
          <w:szCs w:val="20"/>
          <w:lang w:val="es-ES"/>
        </w:rPr>
        <w:t xml:space="preserve"> 4 y 5</w:t>
      </w:r>
      <w:r w:rsidR="00BE6274" w:rsidRPr="00386E47">
        <w:rPr>
          <w:rFonts w:asciiTheme="majorHAnsi" w:hAnsiTheme="majorHAnsi"/>
          <w:sz w:val="20"/>
          <w:szCs w:val="20"/>
          <w:lang w:val="es-ES"/>
        </w:rPr>
        <w:t xml:space="preserve"> de la Convención Americana sobre Derechos Humanos</w:t>
      </w:r>
      <w:r w:rsidR="00FB1535" w:rsidRPr="00386E47">
        <w:rPr>
          <w:rFonts w:asciiTheme="majorHAnsi" w:hAnsiTheme="majorHAnsi"/>
          <w:sz w:val="20"/>
          <w:szCs w:val="20"/>
          <w:lang w:val="es-ES"/>
        </w:rPr>
        <w:t xml:space="preserve">. </w:t>
      </w:r>
      <w:r w:rsidR="00BE6274" w:rsidRPr="00386E47">
        <w:rPr>
          <w:rFonts w:asciiTheme="majorHAnsi" w:hAnsiTheme="majorHAnsi"/>
          <w:sz w:val="20"/>
          <w:szCs w:val="20"/>
          <w:lang w:val="es-ES"/>
        </w:rPr>
        <w:t>Ellos</w:t>
      </w:r>
      <w:r w:rsidR="00FB1535" w:rsidRPr="00386E47">
        <w:rPr>
          <w:rFonts w:asciiTheme="majorHAnsi" w:hAnsiTheme="majorHAnsi"/>
          <w:sz w:val="20"/>
          <w:szCs w:val="20"/>
          <w:lang w:val="es-ES"/>
        </w:rPr>
        <w:t xml:space="preserve"> revisten un carácter esencial</w:t>
      </w:r>
      <w:r w:rsidR="00BE6274" w:rsidRPr="00386E47">
        <w:rPr>
          <w:rFonts w:asciiTheme="majorHAnsi" w:hAnsiTheme="majorHAnsi"/>
          <w:sz w:val="20"/>
          <w:szCs w:val="20"/>
          <w:lang w:val="es-ES"/>
        </w:rPr>
        <w:t>, ya que</w:t>
      </w:r>
      <w:r w:rsidR="00FB1535" w:rsidRPr="00386E47">
        <w:rPr>
          <w:rFonts w:asciiTheme="majorHAnsi" w:hAnsiTheme="majorHAnsi"/>
          <w:sz w:val="20"/>
          <w:szCs w:val="20"/>
          <w:lang w:val="es-ES"/>
        </w:rPr>
        <w:t>, de conformidad con</w:t>
      </w:r>
      <w:r w:rsidR="00BE6274" w:rsidRPr="00386E47">
        <w:rPr>
          <w:rFonts w:asciiTheme="majorHAnsi" w:hAnsiTheme="majorHAnsi"/>
          <w:sz w:val="20"/>
          <w:szCs w:val="20"/>
          <w:lang w:val="es-ES"/>
        </w:rPr>
        <w:t xml:space="preserve"> el</w:t>
      </w:r>
      <w:r w:rsidR="00FB1535" w:rsidRPr="00386E47">
        <w:rPr>
          <w:rFonts w:asciiTheme="majorHAnsi" w:hAnsiTheme="majorHAnsi"/>
          <w:sz w:val="20"/>
          <w:szCs w:val="20"/>
          <w:lang w:val="es-ES"/>
        </w:rPr>
        <w:t xml:space="preserve"> artículo 27.2 de la Convención</w:t>
      </w:r>
      <w:r w:rsidR="00BE6274" w:rsidRPr="00386E47">
        <w:rPr>
          <w:rFonts w:asciiTheme="majorHAnsi" w:hAnsiTheme="majorHAnsi"/>
          <w:sz w:val="20"/>
          <w:szCs w:val="20"/>
          <w:lang w:val="es-ES"/>
        </w:rPr>
        <w:t>,</w:t>
      </w:r>
      <w:r w:rsidR="00FB1535" w:rsidRPr="00386E47">
        <w:rPr>
          <w:rFonts w:asciiTheme="majorHAnsi" w:hAnsiTheme="majorHAnsi"/>
          <w:sz w:val="20"/>
          <w:szCs w:val="20"/>
          <w:lang w:val="es-ES"/>
        </w:rPr>
        <w:t xml:space="preserve"> forman parte del núcleo inderogable</w:t>
      </w:r>
      <w:r w:rsidR="00BE6274" w:rsidRPr="00386E47">
        <w:rPr>
          <w:rFonts w:asciiTheme="majorHAnsi" w:hAnsiTheme="majorHAnsi"/>
          <w:sz w:val="20"/>
          <w:szCs w:val="20"/>
          <w:lang w:val="es-ES"/>
        </w:rPr>
        <w:t xml:space="preserve"> de derechos que no</w:t>
      </w:r>
      <w:r w:rsidR="00FB1535" w:rsidRPr="00386E47">
        <w:rPr>
          <w:rFonts w:asciiTheme="majorHAnsi" w:hAnsiTheme="majorHAnsi"/>
          <w:sz w:val="20"/>
          <w:szCs w:val="20"/>
          <w:lang w:val="es-ES"/>
        </w:rPr>
        <w:t xml:space="preserve"> pueden ser suspendidos </w:t>
      </w:r>
      <w:r w:rsidR="00BE6274" w:rsidRPr="00386E47">
        <w:rPr>
          <w:rFonts w:asciiTheme="majorHAnsi" w:hAnsiTheme="majorHAnsi"/>
          <w:sz w:val="20"/>
          <w:szCs w:val="20"/>
          <w:lang w:val="es-ES"/>
        </w:rPr>
        <w:t xml:space="preserve">ni siquiera </w:t>
      </w:r>
      <w:r w:rsidR="00FB1535" w:rsidRPr="00386E47">
        <w:rPr>
          <w:rFonts w:asciiTheme="majorHAnsi" w:hAnsiTheme="majorHAnsi"/>
          <w:sz w:val="20"/>
          <w:szCs w:val="20"/>
          <w:lang w:val="es-ES"/>
        </w:rPr>
        <w:t xml:space="preserve">en casos de guerra, peligro público u otras amenazas. </w:t>
      </w:r>
      <w:r w:rsidR="00BE6274" w:rsidRPr="00386E47">
        <w:rPr>
          <w:rFonts w:asciiTheme="majorHAnsi" w:hAnsiTheme="majorHAnsi"/>
          <w:sz w:val="20"/>
          <w:szCs w:val="20"/>
          <w:lang w:val="es-ES"/>
        </w:rPr>
        <w:t>En consecuencia</w:t>
      </w:r>
      <w:r w:rsidR="00021B5D" w:rsidRPr="00386E47">
        <w:rPr>
          <w:rFonts w:asciiTheme="majorHAnsi" w:hAnsiTheme="majorHAnsi"/>
          <w:sz w:val="20"/>
          <w:szCs w:val="20"/>
          <w:lang w:val="es-ES"/>
        </w:rPr>
        <w:t xml:space="preserve">, </w:t>
      </w:r>
      <w:r w:rsidR="00FB1535" w:rsidRPr="00386E47">
        <w:rPr>
          <w:rFonts w:asciiTheme="majorHAnsi" w:hAnsiTheme="majorHAnsi"/>
          <w:sz w:val="20"/>
          <w:szCs w:val="20"/>
          <w:lang w:val="es-ES"/>
        </w:rPr>
        <w:t xml:space="preserve">los Estados </w:t>
      </w:r>
      <w:r w:rsidR="00BE6274" w:rsidRPr="00386E47">
        <w:rPr>
          <w:rFonts w:asciiTheme="majorHAnsi" w:hAnsiTheme="majorHAnsi"/>
          <w:sz w:val="20"/>
          <w:szCs w:val="20"/>
          <w:lang w:val="es-ES"/>
        </w:rPr>
        <w:t xml:space="preserve">tienen </w:t>
      </w:r>
      <w:r w:rsidR="00FB1535" w:rsidRPr="00386E47">
        <w:rPr>
          <w:rFonts w:asciiTheme="majorHAnsi" w:hAnsiTheme="majorHAnsi"/>
          <w:sz w:val="20"/>
          <w:szCs w:val="20"/>
          <w:lang w:val="es-ES"/>
        </w:rPr>
        <w:t>el deber de adoptar todas las medidas que sean necesarias y apropiadas para proteger y preservar los derechos a la vida y a la integridad</w:t>
      </w:r>
      <w:r w:rsidR="00FB1535" w:rsidRPr="00386E47">
        <w:rPr>
          <w:rFonts w:asciiTheme="majorHAnsi" w:hAnsiTheme="majorHAnsi"/>
          <w:sz w:val="20"/>
          <w:szCs w:val="20"/>
          <w:vertAlign w:val="superscript"/>
          <w:lang w:val="es-ES"/>
        </w:rPr>
        <w:footnoteReference w:id="39"/>
      </w:r>
      <w:r w:rsidR="00FB1535" w:rsidRPr="00386E47">
        <w:rPr>
          <w:rFonts w:asciiTheme="majorHAnsi" w:hAnsiTheme="majorHAnsi"/>
          <w:sz w:val="20"/>
          <w:szCs w:val="20"/>
          <w:lang w:val="es-ES"/>
        </w:rPr>
        <w:t xml:space="preserve">. </w:t>
      </w:r>
    </w:p>
    <w:p w14:paraId="320CEF7B" w14:textId="77777777" w:rsidR="00021B5D" w:rsidRPr="00386E47" w:rsidRDefault="00021B5D" w:rsidP="0025516D">
      <w:pPr>
        <w:pStyle w:val="ListParagraph"/>
        <w:tabs>
          <w:tab w:val="left" w:pos="567"/>
        </w:tabs>
        <w:ind w:left="0"/>
        <w:jc w:val="both"/>
        <w:rPr>
          <w:rFonts w:asciiTheme="majorHAnsi" w:hAnsiTheme="majorHAnsi"/>
          <w:sz w:val="20"/>
          <w:szCs w:val="20"/>
          <w:lang w:val="es-ES"/>
        </w:rPr>
      </w:pPr>
    </w:p>
    <w:p w14:paraId="354C1EF8" w14:textId="77777777" w:rsidR="00C93CB2" w:rsidRPr="00386E47" w:rsidRDefault="00021B5D" w:rsidP="0025516D">
      <w:pPr>
        <w:pStyle w:val="ListParagraph"/>
        <w:numPr>
          <w:ilvl w:val="0"/>
          <w:numId w:val="55"/>
        </w:numPr>
        <w:tabs>
          <w:tab w:val="left" w:pos="567"/>
        </w:tabs>
        <w:ind w:left="0" w:firstLine="0"/>
        <w:jc w:val="both"/>
        <w:rPr>
          <w:rFonts w:asciiTheme="majorHAnsi" w:hAnsiTheme="majorHAnsi"/>
          <w:sz w:val="20"/>
          <w:szCs w:val="20"/>
          <w:lang w:val="es-ES"/>
        </w:rPr>
      </w:pPr>
      <w:r w:rsidRPr="00386E47">
        <w:rPr>
          <w:rFonts w:asciiTheme="majorHAnsi" w:hAnsiTheme="majorHAnsi"/>
          <w:sz w:val="20"/>
          <w:szCs w:val="20"/>
          <w:lang w:val="es-ES"/>
        </w:rPr>
        <w:t xml:space="preserve">La Corte Interamericana </w:t>
      </w:r>
      <w:r w:rsidR="00FB1535" w:rsidRPr="00386E47">
        <w:rPr>
          <w:rFonts w:asciiTheme="majorHAnsi" w:hAnsiTheme="majorHAnsi"/>
          <w:sz w:val="20"/>
          <w:szCs w:val="20"/>
          <w:lang w:val="es-ES"/>
        </w:rPr>
        <w:t>ha señalado que la obligación del artículo 1.1 de la Convención en relación con el derecho a la vida “no sólo presupone que ninguna persona sea privada de su vida arbitrariamente (obligación negativa), sino que además requiere que los Estados adopten todas las medidas apropiadas para proteger y preservar el derecho a la vida (obligación positiva), conforme al deber de garantizar el pleno y libre ejercicio de los derechos de todas las personas bajo su jurisdicción”</w:t>
      </w:r>
      <w:r w:rsidR="00FB1535" w:rsidRPr="00386E47">
        <w:rPr>
          <w:rStyle w:val="FootnoteReference"/>
          <w:rFonts w:asciiTheme="majorHAnsi" w:hAnsiTheme="majorHAnsi"/>
          <w:sz w:val="20"/>
          <w:szCs w:val="20"/>
          <w:lang w:val="es-ES"/>
        </w:rPr>
        <w:footnoteReference w:id="40"/>
      </w:r>
      <w:r w:rsidR="00FB1535" w:rsidRPr="00386E47">
        <w:rPr>
          <w:rFonts w:asciiTheme="majorHAnsi" w:hAnsiTheme="majorHAnsi"/>
          <w:sz w:val="20"/>
          <w:szCs w:val="20"/>
          <w:lang w:val="es-ES"/>
        </w:rPr>
        <w:t xml:space="preserve">. Igualmente, </w:t>
      </w:r>
      <w:r w:rsidR="00BE6274" w:rsidRPr="00386E47">
        <w:rPr>
          <w:rFonts w:asciiTheme="majorHAnsi" w:hAnsiTheme="majorHAnsi"/>
          <w:sz w:val="20"/>
          <w:szCs w:val="20"/>
          <w:lang w:val="es-ES"/>
        </w:rPr>
        <w:t>el</w:t>
      </w:r>
      <w:r w:rsidR="00FB1535" w:rsidRPr="00386E47">
        <w:rPr>
          <w:rFonts w:asciiTheme="majorHAnsi" w:hAnsiTheme="majorHAnsi"/>
          <w:sz w:val="20"/>
          <w:szCs w:val="20"/>
          <w:lang w:val="es-ES"/>
        </w:rPr>
        <w:t xml:space="preserve"> derecho a la integridad personal, implica el deber del Estado de prevenir e invest</w:t>
      </w:r>
      <w:r w:rsidR="00BE6274" w:rsidRPr="00386E47">
        <w:rPr>
          <w:rFonts w:asciiTheme="majorHAnsi" w:hAnsiTheme="majorHAnsi"/>
          <w:sz w:val="20"/>
          <w:szCs w:val="20"/>
          <w:lang w:val="es-ES"/>
        </w:rPr>
        <w:t>igar posibles actos de tortura,</w:t>
      </w:r>
      <w:r w:rsidR="00FB1535" w:rsidRPr="00386E47">
        <w:rPr>
          <w:rFonts w:asciiTheme="majorHAnsi" w:hAnsiTheme="majorHAnsi"/>
          <w:sz w:val="20"/>
          <w:szCs w:val="20"/>
          <w:lang w:val="es-ES"/>
        </w:rPr>
        <w:t xml:space="preserve"> otros tratos c</w:t>
      </w:r>
      <w:r w:rsidR="00BE6274" w:rsidRPr="00386E47">
        <w:rPr>
          <w:rFonts w:asciiTheme="majorHAnsi" w:hAnsiTheme="majorHAnsi"/>
          <w:sz w:val="20"/>
          <w:szCs w:val="20"/>
          <w:lang w:val="es-ES"/>
        </w:rPr>
        <w:t xml:space="preserve">rueles, inhumanos o degradantes o actos del estado o de terceros que lesionen la integridad corporal de la persona humana. </w:t>
      </w:r>
    </w:p>
    <w:p w14:paraId="444CEF67" w14:textId="77777777" w:rsidR="00C93CB2" w:rsidRPr="00386E47" w:rsidRDefault="00C93CB2" w:rsidP="0025516D">
      <w:pPr>
        <w:pStyle w:val="ListParagraph"/>
        <w:ind w:left="0"/>
        <w:jc w:val="both"/>
        <w:rPr>
          <w:rFonts w:asciiTheme="majorHAnsi" w:hAnsiTheme="majorHAnsi"/>
          <w:sz w:val="20"/>
          <w:szCs w:val="20"/>
          <w:lang w:val="es-ES"/>
        </w:rPr>
      </w:pPr>
    </w:p>
    <w:p w14:paraId="56891E0E" w14:textId="77777777" w:rsidR="00FB1535" w:rsidRPr="00386E47" w:rsidRDefault="00FB1535" w:rsidP="0025516D">
      <w:pPr>
        <w:pStyle w:val="ListParagraph"/>
        <w:numPr>
          <w:ilvl w:val="0"/>
          <w:numId w:val="55"/>
        </w:numPr>
        <w:tabs>
          <w:tab w:val="left" w:pos="567"/>
        </w:tabs>
        <w:ind w:left="0" w:firstLine="0"/>
        <w:jc w:val="both"/>
        <w:rPr>
          <w:rFonts w:asciiTheme="majorHAnsi" w:hAnsiTheme="majorHAnsi"/>
          <w:sz w:val="20"/>
          <w:szCs w:val="20"/>
          <w:lang w:val="es-ES"/>
        </w:rPr>
      </w:pPr>
      <w:r w:rsidRPr="00386E47">
        <w:rPr>
          <w:rFonts w:asciiTheme="majorHAnsi" w:hAnsiTheme="majorHAnsi"/>
          <w:sz w:val="20"/>
          <w:szCs w:val="20"/>
          <w:lang w:val="es-ES"/>
        </w:rPr>
        <w:t xml:space="preserve">Desde su primera sentencia en un caso contencioso, la Corte Interamericana indicó que: </w:t>
      </w:r>
    </w:p>
    <w:p w14:paraId="6552DE8B" w14:textId="77777777" w:rsidR="00C93CB2" w:rsidRPr="00386E47" w:rsidRDefault="00C93CB2" w:rsidP="0025516D">
      <w:pPr>
        <w:pStyle w:val="ListParagraph"/>
        <w:tabs>
          <w:tab w:val="left" w:pos="567"/>
        </w:tabs>
        <w:ind w:left="0"/>
        <w:jc w:val="both"/>
        <w:rPr>
          <w:rFonts w:asciiTheme="majorHAnsi" w:hAnsiTheme="majorHAnsi"/>
          <w:sz w:val="20"/>
          <w:szCs w:val="20"/>
          <w:lang w:val="es-ES"/>
        </w:rPr>
      </w:pPr>
    </w:p>
    <w:p w14:paraId="37306412" w14:textId="77777777" w:rsidR="00FB1535" w:rsidRPr="00386E47" w:rsidRDefault="00FB1535" w:rsidP="0025516D">
      <w:pPr>
        <w:autoSpaceDE w:val="0"/>
        <w:autoSpaceDN w:val="0"/>
        <w:adjustRightInd w:val="0"/>
        <w:ind w:left="567" w:right="855"/>
        <w:jc w:val="both"/>
        <w:rPr>
          <w:rFonts w:asciiTheme="majorHAnsi" w:eastAsia="Calibri" w:hAnsiTheme="majorHAnsi" w:cs="Verdana"/>
          <w:sz w:val="20"/>
          <w:szCs w:val="20"/>
          <w:lang w:val="es-ES" w:eastAsia="es-ES"/>
        </w:rPr>
      </w:pPr>
      <w:r w:rsidRPr="00386E47">
        <w:rPr>
          <w:rFonts w:asciiTheme="majorHAnsi" w:eastAsia="Calibri" w:hAnsiTheme="majorHAnsi" w:cs="Verdana"/>
          <w:sz w:val="20"/>
          <w:szCs w:val="20"/>
          <w:lang w:val="es-ES" w:eastAsia="es-ES"/>
        </w:rPr>
        <w:lastRenderedPageBreak/>
        <w:t>El artículo 1.1 es fundamental para determinar si una violación de los derechos humanos reconocidos por la Convención puede ser atribuida a un Estado Parte. En efecto, dicho artículo pone a cargo de los Estados Partes los deberes fundamentales de respeto y de garantía, de tal modo que todo menoscabo a los derechos humanos reconocidos en la Convención que pueda ser atribuido, según las reglas del Derecho internacional, a la acción u omisión de cualquier autoridad pública, constituye un</w:t>
      </w:r>
      <w:r w:rsidR="00BE6274" w:rsidRPr="00386E47">
        <w:rPr>
          <w:rFonts w:asciiTheme="majorHAnsi" w:eastAsia="Calibri" w:hAnsiTheme="majorHAnsi" w:cs="Verdana"/>
          <w:sz w:val="20"/>
          <w:szCs w:val="20"/>
          <w:lang w:val="es-ES" w:eastAsia="es-ES"/>
        </w:rPr>
        <w:t xml:space="preserve"> hecho imputable al Estado que </w:t>
      </w:r>
      <w:r w:rsidRPr="00386E47">
        <w:rPr>
          <w:rFonts w:asciiTheme="majorHAnsi" w:eastAsia="Calibri" w:hAnsiTheme="majorHAnsi" w:cs="Verdana"/>
          <w:sz w:val="20"/>
          <w:szCs w:val="20"/>
          <w:lang w:val="es-ES" w:eastAsia="es-ES"/>
        </w:rPr>
        <w:t>compromete su responsabilidad en los términos previstos por la misma Convención</w:t>
      </w:r>
      <w:r w:rsidRPr="00386E47">
        <w:rPr>
          <w:rFonts w:asciiTheme="majorHAnsi" w:eastAsia="Calibri" w:hAnsiTheme="majorHAnsi"/>
          <w:sz w:val="20"/>
          <w:szCs w:val="20"/>
          <w:vertAlign w:val="superscript"/>
          <w:lang w:val="es-ES"/>
        </w:rPr>
        <w:footnoteReference w:id="41"/>
      </w:r>
      <w:r w:rsidRPr="00386E47">
        <w:rPr>
          <w:rFonts w:asciiTheme="majorHAnsi" w:eastAsia="Calibri" w:hAnsiTheme="majorHAnsi" w:cs="Verdana"/>
          <w:sz w:val="20"/>
          <w:szCs w:val="20"/>
          <w:lang w:val="es-ES" w:eastAsia="es-ES"/>
        </w:rPr>
        <w:t>.</w:t>
      </w:r>
    </w:p>
    <w:p w14:paraId="567BDDC1" w14:textId="77777777" w:rsidR="00FB1535" w:rsidRPr="00386E47" w:rsidRDefault="00FB1535" w:rsidP="00FB1535">
      <w:pPr>
        <w:tabs>
          <w:tab w:val="left" w:pos="720"/>
          <w:tab w:val="left" w:pos="1440"/>
        </w:tabs>
        <w:ind w:left="630"/>
        <w:jc w:val="both"/>
        <w:rPr>
          <w:rFonts w:asciiTheme="majorHAnsi" w:eastAsia="Calibri" w:hAnsiTheme="majorHAnsi"/>
          <w:sz w:val="20"/>
          <w:szCs w:val="20"/>
          <w:lang w:val="es-ES"/>
        </w:rPr>
      </w:pPr>
    </w:p>
    <w:p w14:paraId="68F71F6F" w14:textId="77777777" w:rsidR="00F9080A" w:rsidRPr="00386E47" w:rsidRDefault="00FB1535" w:rsidP="003A5860">
      <w:pPr>
        <w:pStyle w:val="parrafos"/>
        <w:numPr>
          <w:ilvl w:val="0"/>
          <w:numId w:val="55"/>
        </w:numPr>
        <w:tabs>
          <w:tab w:val="clear" w:pos="360"/>
          <w:tab w:val="left" w:pos="0"/>
          <w:tab w:val="left" w:pos="567"/>
        </w:tabs>
        <w:ind w:left="0" w:firstLine="0"/>
      </w:pPr>
      <w:r w:rsidRPr="00386E47">
        <w:t xml:space="preserve">La responsabilidad internacional del Estado puede basarse en actos u omisiones de cualquier poder u órgano de éste que </w:t>
      </w:r>
      <w:r w:rsidR="00BE6274" w:rsidRPr="00386E47">
        <w:t xml:space="preserve">violen la Convención Americana </w:t>
      </w:r>
      <w:r w:rsidRPr="00386E47">
        <w:t>y se genera en forma inmediata con el ilícito internacional atribuido. En estos supuestos, para establecer que se ha producido una violación de los derechos de la Convención no se requiere determinar, como ocurre en el derecho penal interno, la culpabilidad de s</w:t>
      </w:r>
      <w:r w:rsidR="00BE6274" w:rsidRPr="00386E47">
        <w:t>us autores o su intencionalidad. De igual manera, tampoco</w:t>
      </w:r>
      <w:r w:rsidRPr="00386E47">
        <w:t xml:space="preserve"> es preciso identificar individualmente a los agentes a los cuales se atribuyen los hechos violatorios. Es suficiente demostrar “que se han verificado acciones u omisiones que hayan permitido la perpetración de esas violaciones o que exista una obligación del Estado que haya sido incumplida por éste”</w:t>
      </w:r>
      <w:r w:rsidRPr="00386E47">
        <w:rPr>
          <w:vertAlign w:val="superscript"/>
        </w:rPr>
        <w:footnoteReference w:id="42"/>
      </w:r>
      <w:r w:rsidRPr="00386E47">
        <w:t>.</w:t>
      </w:r>
    </w:p>
    <w:p w14:paraId="6B7DDBDC" w14:textId="77777777" w:rsidR="00F9080A" w:rsidRPr="00386E47" w:rsidRDefault="00F9080A" w:rsidP="00F9080A">
      <w:pPr>
        <w:pStyle w:val="parrafos"/>
        <w:tabs>
          <w:tab w:val="left" w:pos="0"/>
          <w:tab w:val="left" w:pos="567"/>
        </w:tabs>
      </w:pPr>
    </w:p>
    <w:p w14:paraId="56686E66" w14:textId="77777777" w:rsidR="00F9080A" w:rsidRPr="00386E47" w:rsidRDefault="00FB1535" w:rsidP="003A5860">
      <w:pPr>
        <w:pStyle w:val="parrafos"/>
        <w:numPr>
          <w:ilvl w:val="0"/>
          <w:numId w:val="55"/>
        </w:numPr>
        <w:tabs>
          <w:tab w:val="clear" w:pos="360"/>
          <w:tab w:val="left" w:pos="0"/>
          <w:tab w:val="left" w:pos="567"/>
        </w:tabs>
        <w:ind w:left="0" w:firstLine="0"/>
      </w:pPr>
      <w:r w:rsidRPr="00386E47">
        <w:rPr>
          <w:lang w:val="es-ES"/>
        </w:rPr>
        <w:t>A lo largo del desarrollo jurisprudencial de la Comisión y la Corte, se han definido los contenidos de las obligaciones de respeto y de garantía conforme al artículo 1.1 de la Convención. Sobre la obligación de respeto, la Corte indicó que “conforme al artículo 1.1 es ilícita toda forma de ejercicio del poder público que viole los derechos reconocidos por la Convención. En tal sentido, en toda circunstancia en la cual un órgano o funcionario del Estado o de una institución de carácter público lesione indebidamente uno de tales derechos, se está ante un supuesto de inobservancia del deber de respeto consagrado en ese artículo”</w:t>
      </w:r>
      <w:r w:rsidRPr="00386E47">
        <w:rPr>
          <w:vertAlign w:val="superscript"/>
          <w:lang w:val="es-ES"/>
        </w:rPr>
        <w:footnoteReference w:id="43"/>
      </w:r>
      <w:r w:rsidRPr="00386E47">
        <w:rPr>
          <w:lang w:val="es-ES"/>
        </w:rPr>
        <w:t xml:space="preserve">. </w:t>
      </w:r>
    </w:p>
    <w:p w14:paraId="7F60130C" w14:textId="77777777" w:rsidR="00F9080A" w:rsidRPr="00386E47" w:rsidRDefault="00F9080A" w:rsidP="00F9080A">
      <w:pPr>
        <w:pStyle w:val="ListParagraph"/>
        <w:rPr>
          <w:rFonts w:asciiTheme="majorHAnsi" w:hAnsiTheme="majorHAnsi" w:cs="Verdana"/>
          <w:sz w:val="20"/>
          <w:szCs w:val="20"/>
          <w:lang w:val="es-ES"/>
        </w:rPr>
      </w:pPr>
    </w:p>
    <w:p w14:paraId="23C7A4F4" w14:textId="77777777" w:rsidR="00F9080A" w:rsidRPr="00386E47" w:rsidRDefault="00FB1535" w:rsidP="003A5860">
      <w:pPr>
        <w:pStyle w:val="parrafos"/>
        <w:numPr>
          <w:ilvl w:val="0"/>
          <w:numId w:val="55"/>
        </w:numPr>
        <w:tabs>
          <w:tab w:val="clear" w:pos="360"/>
          <w:tab w:val="left" w:pos="0"/>
          <w:tab w:val="left" w:pos="567"/>
        </w:tabs>
        <w:ind w:left="0" w:firstLine="0"/>
      </w:pPr>
      <w:r w:rsidRPr="00386E47">
        <w:rPr>
          <w:rFonts w:cs="Verdana"/>
          <w:lang w:val="es-ES"/>
        </w:rPr>
        <w:t xml:space="preserve">En cuanto a la obligación de garantía, la Corte </w:t>
      </w:r>
      <w:r w:rsidR="00021B5D" w:rsidRPr="00386E47">
        <w:rPr>
          <w:rFonts w:cs="Verdana"/>
          <w:lang w:val="es-ES"/>
        </w:rPr>
        <w:t xml:space="preserve">Interamericana ha establecido </w:t>
      </w:r>
      <w:r w:rsidRPr="00386E47">
        <w:rPr>
          <w:rFonts w:cs="Verdana"/>
          <w:lang w:val="es-ES"/>
        </w:rPr>
        <w:t xml:space="preserve">que la misma implica el deber de los Estados </w:t>
      </w:r>
      <w:r w:rsidR="000E0C69" w:rsidRPr="00386E47">
        <w:rPr>
          <w:rFonts w:cs="Verdana"/>
          <w:lang w:val="es-ES"/>
        </w:rPr>
        <w:t>Partes de</w:t>
      </w:r>
      <w:r w:rsidRPr="00386E47">
        <w:rPr>
          <w:rFonts w:cs="Verdana"/>
          <w:lang w:val="es-ES"/>
        </w:rPr>
        <w:t xml:space="preserve"> la Convención de organizar todo el aparato gubernamental y, en general, todas las estructuras a través de las cuales se manifiesta el ejercicio del poder público, de manera tal que sean capaces de asegurar jurídicamente el libre y pleno ejercicio de </w:t>
      </w:r>
      <w:r w:rsidRPr="00386E47">
        <w:rPr>
          <w:lang w:val="es-ES"/>
        </w:rPr>
        <w:t>los</w:t>
      </w:r>
      <w:r w:rsidRPr="00386E47">
        <w:rPr>
          <w:rFonts w:cs="Verdana"/>
          <w:lang w:val="es-ES"/>
        </w:rPr>
        <w:t xml:space="preserve"> derechos humanos. Como consecuencia de esta obligación los Estados deben prevenir, investigar y sancionar toda violación de los derechos reconocidos por la Convención y procurar, además, el restablecimiento, si es posible, del derecho conculcado y, en su caso, la reparación de los daños producidos por la violación de los derechos humanos</w:t>
      </w:r>
      <w:r w:rsidRPr="00386E47">
        <w:rPr>
          <w:vertAlign w:val="superscript"/>
        </w:rPr>
        <w:footnoteReference w:id="44"/>
      </w:r>
      <w:r w:rsidRPr="00386E47">
        <w:rPr>
          <w:rFonts w:cs="Verdana"/>
          <w:lang w:val="es-ES"/>
        </w:rPr>
        <w:t xml:space="preserve">. </w:t>
      </w:r>
    </w:p>
    <w:p w14:paraId="3D0FE634" w14:textId="77777777" w:rsidR="00F9080A" w:rsidRPr="00386E47" w:rsidRDefault="00F9080A" w:rsidP="00F9080A">
      <w:pPr>
        <w:pStyle w:val="ListParagraph"/>
        <w:rPr>
          <w:rFonts w:asciiTheme="majorHAnsi" w:hAnsiTheme="majorHAnsi"/>
          <w:sz w:val="20"/>
          <w:szCs w:val="20"/>
          <w:lang w:val="es-ES"/>
        </w:rPr>
      </w:pPr>
    </w:p>
    <w:p w14:paraId="25FF3042" w14:textId="77777777" w:rsidR="00F9080A" w:rsidRPr="00386E47" w:rsidRDefault="00FB1535" w:rsidP="003A5860">
      <w:pPr>
        <w:pStyle w:val="parrafos"/>
        <w:numPr>
          <w:ilvl w:val="0"/>
          <w:numId w:val="55"/>
        </w:numPr>
        <w:tabs>
          <w:tab w:val="clear" w:pos="360"/>
          <w:tab w:val="left" w:pos="0"/>
          <w:tab w:val="left" w:pos="567"/>
        </w:tabs>
        <w:ind w:left="0" w:firstLine="0"/>
      </w:pPr>
      <w:r w:rsidRPr="00386E47">
        <w:rPr>
          <w:lang w:val="es-ES"/>
        </w:rPr>
        <w:t xml:space="preserve">Específicamente, sobre el deber de prevención, la Corte ha indicado que un Estado puede ser responsable por la falta de debida diligencia al no adoptar medidas que prevengan violaciones de derechos humanos cometidas entre particulares dentro de su jurisdicción. Ahora bien, el carácter </w:t>
      </w:r>
      <w:r w:rsidRPr="00386E47">
        <w:rPr>
          <w:i/>
          <w:lang w:val="es-ES"/>
        </w:rPr>
        <w:t>erga omnes</w:t>
      </w:r>
      <w:r w:rsidRPr="00386E47">
        <w:rPr>
          <w:lang w:val="es-ES"/>
        </w:rPr>
        <w:t xml:space="preserve"> </w:t>
      </w:r>
      <w:r w:rsidRPr="00386E47">
        <w:rPr>
          <w:rFonts w:cs="Arial"/>
          <w:lang w:val="es-ES"/>
        </w:rPr>
        <w:t>de</w:t>
      </w:r>
      <w:r w:rsidRPr="00386E47">
        <w:rPr>
          <w:lang w:val="es-ES"/>
        </w:rPr>
        <w:t xml:space="preserve"> las obligaciones convencionales de garantía a cargo de los Estados no implica una </w:t>
      </w:r>
      <w:r w:rsidRPr="00386E47">
        <w:rPr>
          <w:rFonts w:cs="Verdana"/>
          <w:lang w:val="es-ES"/>
        </w:rPr>
        <w:t>responsabilidad</w:t>
      </w:r>
      <w:r w:rsidRPr="00386E47">
        <w:rPr>
          <w:lang w:val="es-ES"/>
        </w:rPr>
        <w:t xml:space="preserve"> ilimitada de los Estados frente a cualquier acto o hecho de particulares</w:t>
      </w:r>
      <w:r w:rsidRPr="00386E47">
        <w:rPr>
          <w:vertAlign w:val="superscript"/>
        </w:rPr>
        <w:footnoteReference w:id="45"/>
      </w:r>
      <w:r w:rsidRPr="00386E47">
        <w:rPr>
          <w:lang w:val="es-ES"/>
        </w:rPr>
        <w:t>. Sus deberes de adoptar medidas de prevención y protección en sus relaciones entre sí</w:t>
      </w:r>
      <w:r w:rsidRPr="00386E47">
        <w:rPr>
          <w:b/>
          <w:lang w:val="es-ES"/>
        </w:rPr>
        <w:t xml:space="preserve"> </w:t>
      </w:r>
      <w:r w:rsidRPr="00386E47">
        <w:rPr>
          <w:lang w:val="es-ES"/>
        </w:rPr>
        <w:t>se encuentran condicionados a i) si el Estado tenía o debía tener conocimiento de una situación de riesgo; ii) si dicho riesgo era real e inmediato; y iii) si el Estado adoptó las medidas que razonablemente se esperaban para evitar que dicho riesgo se verificara</w:t>
      </w:r>
      <w:r w:rsidRPr="00386E47">
        <w:rPr>
          <w:rFonts w:cs="Arial"/>
          <w:vertAlign w:val="superscript"/>
        </w:rPr>
        <w:footnoteReference w:id="46"/>
      </w:r>
      <w:r w:rsidRPr="00386E47">
        <w:rPr>
          <w:lang w:val="es-ES"/>
        </w:rPr>
        <w:t>.</w:t>
      </w:r>
    </w:p>
    <w:p w14:paraId="49EB25DF" w14:textId="77777777" w:rsidR="00F9080A" w:rsidRPr="00386E47" w:rsidRDefault="00F9080A" w:rsidP="00F9080A">
      <w:pPr>
        <w:pStyle w:val="ListParagraph"/>
        <w:rPr>
          <w:rFonts w:asciiTheme="majorHAnsi" w:hAnsiTheme="majorHAnsi"/>
          <w:lang w:val="es-ES"/>
        </w:rPr>
      </w:pPr>
    </w:p>
    <w:p w14:paraId="5D18CA4E" w14:textId="77777777" w:rsidR="00F9080A" w:rsidRPr="00386E47" w:rsidRDefault="00FB1535" w:rsidP="003A5860">
      <w:pPr>
        <w:pStyle w:val="parrafos"/>
        <w:numPr>
          <w:ilvl w:val="0"/>
          <w:numId w:val="55"/>
        </w:numPr>
        <w:tabs>
          <w:tab w:val="clear" w:pos="360"/>
          <w:tab w:val="left" w:pos="0"/>
          <w:tab w:val="left" w:pos="567"/>
        </w:tabs>
        <w:ind w:left="0" w:firstLine="0"/>
      </w:pPr>
      <w:r w:rsidRPr="00386E47">
        <w:rPr>
          <w:lang w:val="es-ES"/>
        </w:rPr>
        <w:lastRenderedPageBreak/>
        <w:t>Igualmente, la Corte ha sostenido que el deber de prevención abarca “todas aquellas medidas de carácter jurídico, político, administrativo y cultural que promuevan la salvaguarda de los derechos humanos y que aseguren que las eventuales violaciones a los mismos sean efectivamente consideradas y tratadas como un hecho ilícito que, como tal, es susceptible de acarrear sanciones para quien las cometa, así como la obligación de indemnizar a las víctimas por sus consecuencias perjudiciales”</w:t>
      </w:r>
      <w:r w:rsidRPr="00386E47">
        <w:rPr>
          <w:vertAlign w:val="superscript"/>
        </w:rPr>
        <w:footnoteReference w:id="47"/>
      </w:r>
      <w:r w:rsidRPr="00386E47">
        <w:rPr>
          <w:lang w:val="es-ES"/>
        </w:rPr>
        <w:t>. Además, ha indicado que la obligación de prevenir es de medio o comportamiento y no se demuestra su incumplimiento por el mero hecho de que un derecho haya sido violado.</w:t>
      </w:r>
    </w:p>
    <w:p w14:paraId="1B15FA90" w14:textId="77777777" w:rsidR="00021B5D" w:rsidRPr="00386E47" w:rsidRDefault="00021B5D" w:rsidP="00A311A0">
      <w:pPr>
        <w:rPr>
          <w:rFonts w:asciiTheme="majorHAnsi" w:hAnsiTheme="majorHAnsi"/>
          <w:lang w:val="es-US"/>
        </w:rPr>
      </w:pPr>
    </w:p>
    <w:p w14:paraId="353A3331" w14:textId="77777777" w:rsidR="00021B5D" w:rsidRPr="00386E47" w:rsidRDefault="00021B5D" w:rsidP="003A5860">
      <w:pPr>
        <w:pStyle w:val="parrafos"/>
        <w:numPr>
          <w:ilvl w:val="0"/>
          <w:numId w:val="55"/>
        </w:numPr>
        <w:tabs>
          <w:tab w:val="clear" w:pos="360"/>
          <w:tab w:val="left" w:pos="567"/>
        </w:tabs>
        <w:ind w:left="0" w:firstLine="0"/>
      </w:pPr>
      <w:r w:rsidRPr="00386E47">
        <w:rPr>
          <w:lang w:val="es-US"/>
        </w:rPr>
        <w:t xml:space="preserve">El </w:t>
      </w:r>
      <w:r w:rsidRPr="00386E47">
        <w:rPr>
          <w:bCs/>
          <w:lang w:val="es-US"/>
        </w:rPr>
        <w:t>principio de igualdad y no discriminación</w:t>
      </w:r>
      <w:r w:rsidRPr="00386E47">
        <w:rPr>
          <w:b/>
          <w:lang w:val="es-US"/>
        </w:rPr>
        <w:t xml:space="preserve"> </w:t>
      </w:r>
      <w:r w:rsidRPr="00386E47">
        <w:t xml:space="preserve">se encuentra reconocido en los artículos 1.1 y 24 de la Convención, tiene un carácter de </w:t>
      </w:r>
      <w:r w:rsidRPr="00386E47">
        <w:rPr>
          <w:i/>
        </w:rPr>
        <w:t>ius cogens</w:t>
      </w:r>
      <w:r w:rsidRPr="00386E47">
        <w:t>, sobre él descansa el andamiaje jurídico del orden público nacional e internacional que permea todo el ordenamiento jurídico. En virtud del principio de igualdad, los Estados deben abstenerse de realizar acciones que de cualquier manera vayan dirigidas, directa o indirectamente, a crear situaciones de discriminación de jure o de facto</w:t>
      </w:r>
      <w:r w:rsidR="00BE6274" w:rsidRPr="00386E47">
        <w:rPr>
          <w:lang w:val="es-US"/>
        </w:rPr>
        <w:t xml:space="preserve">. La </w:t>
      </w:r>
      <w:r w:rsidRPr="00386E47">
        <w:rPr>
          <w:lang w:val="es-US"/>
        </w:rPr>
        <w:t>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se lo trate con hostilidad o de cualquier forma lo discrimine del goce de derechos que sí se reconocen a quienes no se consideran incursos en tal situación</w:t>
      </w:r>
      <w:r w:rsidRPr="00386E47">
        <w:rPr>
          <w:vertAlign w:val="superscript"/>
        </w:rPr>
        <w:footnoteReference w:id="48"/>
      </w:r>
      <w:r w:rsidRPr="00386E47">
        <w:rPr>
          <w:lang w:val="es-US"/>
        </w:rPr>
        <w:t xml:space="preserve">. </w:t>
      </w:r>
    </w:p>
    <w:p w14:paraId="14CAA037" w14:textId="77777777" w:rsidR="00021B5D" w:rsidRPr="00386E47" w:rsidRDefault="00021B5D" w:rsidP="00021B5D">
      <w:pPr>
        <w:pStyle w:val="ListParagraph"/>
        <w:rPr>
          <w:rFonts w:asciiTheme="majorHAnsi" w:hAnsiTheme="majorHAnsi"/>
          <w:lang w:val="es-US"/>
        </w:rPr>
      </w:pPr>
    </w:p>
    <w:p w14:paraId="3C712769" w14:textId="77777777" w:rsidR="001B7DE5" w:rsidRPr="00386E47" w:rsidRDefault="00021B5D" w:rsidP="003A5860">
      <w:pPr>
        <w:pStyle w:val="parrafos"/>
        <w:numPr>
          <w:ilvl w:val="0"/>
          <w:numId w:val="55"/>
        </w:numPr>
        <w:tabs>
          <w:tab w:val="clear" w:pos="360"/>
          <w:tab w:val="left" w:pos="567"/>
        </w:tabs>
        <w:ind w:left="0" w:firstLine="0"/>
      </w:pPr>
      <w:r w:rsidRPr="00386E47">
        <w:rPr>
          <w:lang w:val="es-US"/>
        </w:rPr>
        <w:t>Dado que la Convención Americana no tiene una definición explícita de discriminación, la Corte ha tomado en cuenta varios instrumentos de derecho internacional para definirla como “toda distinción, exclusión, restricción o preferencia que se base en determinados motivos, como la raza, el color, el sexo, el idioma, la religión, la opinión política o de otra índole, el origen nacional o social, la propiedad, el nacimiento o cualquier otra condición social, y que tengan por objeto o por resultado anular o menoscabar el reconocimiento, goce o ejercicio, en condiciones de igualdad, de los derechos humanos y libertades fundamentales de todas las personas”</w:t>
      </w:r>
      <w:r w:rsidRPr="00386E47">
        <w:rPr>
          <w:vertAlign w:val="superscript"/>
        </w:rPr>
        <w:footnoteReference w:id="49"/>
      </w:r>
      <w:r w:rsidRPr="00386E47">
        <w:rPr>
          <w:lang w:val="es-US"/>
        </w:rPr>
        <w:t>. Igualmente, es de resaltar que no existe un listado taxativo de categorías prohibidas de discriminación, sino que la expresión “cualquier otra condición social” del artículo 1.1 de la Convención Americana debe ser interpretada en la perspectiva de la opción más favorable a la persona y de la evolución de los derechos fundamentales en el derecho internacional contemporáneo</w:t>
      </w:r>
      <w:r w:rsidRPr="00386E47">
        <w:rPr>
          <w:vertAlign w:val="superscript"/>
        </w:rPr>
        <w:footnoteReference w:id="50"/>
      </w:r>
      <w:r w:rsidRPr="00386E47">
        <w:rPr>
          <w:lang w:val="es-US"/>
        </w:rPr>
        <w:t>.</w:t>
      </w:r>
    </w:p>
    <w:p w14:paraId="5C01C148" w14:textId="77777777" w:rsidR="00A86CFA" w:rsidRPr="00386E47" w:rsidRDefault="00A86CFA" w:rsidP="00A86CFA">
      <w:pPr>
        <w:pStyle w:val="ListParagraph"/>
        <w:rPr>
          <w:rFonts w:asciiTheme="majorHAnsi" w:hAnsiTheme="majorHAnsi"/>
          <w:lang w:val="es-US"/>
        </w:rPr>
      </w:pPr>
    </w:p>
    <w:p w14:paraId="4A60D4B3" w14:textId="77777777" w:rsidR="00A86CFA" w:rsidRPr="00386E47" w:rsidRDefault="00D93236" w:rsidP="003A5860">
      <w:pPr>
        <w:pStyle w:val="parrafos"/>
        <w:numPr>
          <w:ilvl w:val="0"/>
          <w:numId w:val="55"/>
        </w:numPr>
        <w:tabs>
          <w:tab w:val="left" w:pos="567"/>
        </w:tabs>
        <w:ind w:left="0" w:firstLine="0"/>
      </w:pPr>
      <w:r w:rsidRPr="00386E47">
        <w:t xml:space="preserve">Como ha señalado la CIDH, </w:t>
      </w:r>
      <w:r w:rsidR="00A86CFA" w:rsidRPr="00386E47">
        <w:rPr>
          <w:rFonts w:eastAsia="Times New Roman"/>
          <w:lang w:val="es-CO" w:eastAsia="es-ES_tradnl"/>
        </w:rPr>
        <w:t>el desarrollo del derecho a la igualdad y no discriminación permite identificar varias concepciones del mismo. Por ejemplo, una concepción es la relacionada con la prohibición de diferencia de trato arbitraria – entendiendo por diferencia de trato distinción, exclu</w:t>
      </w:r>
      <w:r w:rsidR="00E169C5" w:rsidRPr="00386E47">
        <w:rPr>
          <w:rFonts w:eastAsia="Times New Roman"/>
          <w:lang w:val="es-CO" w:eastAsia="es-ES_tradnl"/>
        </w:rPr>
        <w:t>sión, restricción o preferencia</w:t>
      </w:r>
      <w:r w:rsidR="00A86CFA" w:rsidRPr="00386E47">
        <w:rPr>
          <w:rFonts w:eastAsia="Times New Roman"/>
          <w:lang w:val="es-CO" w:eastAsia="es-ES_tradnl"/>
        </w:rPr>
        <w:t xml:space="preserve">; otra es la relacionada con la obligación de crear condiciones de igualdad real frente a grupos que han sido históricamente excluidos y se encuentran en mayor riesgo de ser discriminados. Asimismo, y vinculado con estas dos concepciones, se encuentra la de discriminación indirecta o impacto desproporcionado </w:t>
      </w:r>
      <w:r w:rsidR="00BE6274" w:rsidRPr="00386E47">
        <w:rPr>
          <w:rFonts w:eastAsia="Times New Roman"/>
          <w:lang w:val="es-CO" w:eastAsia="es-ES_tradnl"/>
        </w:rPr>
        <w:t xml:space="preserve">de normas, acciones o políticas </w:t>
      </w:r>
      <w:r w:rsidR="00A86CFA" w:rsidRPr="00386E47">
        <w:rPr>
          <w:rFonts w:eastAsia="Times New Roman"/>
          <w:lang w:val="es-CO" w:eastAsia="es-ES_tradnl"/>
        </w:rPr>
        <w:t>que parecen neutrales pero que tienen efectos diferenciados en ciertos grupos</w:t>
      </w:r>
      <w:r w:rsidR="00A86CFA" w:rsidRPr="00386E47">
        <w:rPr>
          <w:rStyle w:val="FootnoteReference"/>
          <w:rFonts w:eastAsia="Times New Roman"/>
          <w:lang w:val="es-CO" w:eastAsia="es-ES_tradnl"/>
        </w:rPr>
        <w:footnoteReference w:id="51"/>
      </w:r>
      <w:r w:rsidR="00A86CFA" w:rsidRPr="00386E47">
        <w:rPr>
          <w:rFonts w:eastAsia="Times New Roman"/>
          <w:lang w:val="es-CO" w:eastAsia="es-ES_tradnl"/>
        </w:rPr>
        <w:t xml:space="preserve">. Igualmente, la Corte IDH ha señalado </w:t>
      </w:r>
      <w:r w:rsidR="00A86CFA" w:rsidRPr="00386E47">
        <w:rPr>
          <w:lang w:val="es-US"/>
        </w:rPr>
        <w:t xml:space="preserve">sobre la discriminación indirecta que “el derecho internacional de los derechos humanos no sólo prohíbe políticas y prácticas deliberadamente discriminatorias, sino también aquellas cuyo impacto sea </w:t>
      </w:r>
      <w:r w:rsidR="00A86CFA" w:rsidRPr="00386E47">
        <w:rPr>
          <w:lang w:val="es-US"/>
        </w:rPr>
        <w:lastRenderedPageBreak/>
        <w:t>discriminatorio contra ciertas categorías de personas, aun cuando no se pueda probar la intención discriminatoria”</w:t>
      </w:r>
      <w:r w:rsidR="00A86CFA" w:rsidRPr="00386E47">
        <w:rPr>
          <w:vertAlign w:val="superscript"/>
        </w:rPr>
        <w:footnoteReference w:id="52"/>
      </w:r>
      <w:r w:rsidR="00A86CFA" w:rsidRPr="00386E47">
        <w:rPr>
          <w:lang w:val="es-US"/>
        </w:rPr>
        <w:t>.</w:t>
      </w:r>
    </w:p>
    <w:p w14:paraId="7FCCC64B" w14:textId="77777777" w:rsidR="001B7DE5" w:rsidRPr="00386E47" w:rsidRDefault="001B7DE5" w:rsidP="001B7DE5">
      <w:pPr>
        <w:rPr>
          <w:rFonts w:asciiTheme="majorHAnsi" w:hAnsiTheme="majorHAnsi"/>
          <w:sz w:val="20"/>
          <w:szCs w:val="20"/>
          <w:lang w:val="es-US"/>
        </w:rPr>
      </w:pPr>
    </w:p>
    <w:p w14:paraId="6DE02155" w14:textId="77777777" w:rsidR="001B7DE5" w:rsidRPr="00386E47" w:rsidRDefault="001B7DE5" w:rsidP="003A5860">
      <w:pPr>
        <w:pStyle w:val="parrafos"/>
        <w:numPr>
          <w:ilvl w:val="0"/>
          <w:numId w:val="55"/>
        </w:numPr>
        <w:tabs>
          <w:tab w:val="clear" w:pos="360"/>
          <w:tab w:val="left" w:pos="567"/>
        </w:tabs>
        <w:ind w:left="0" w:firstLine="0"/>
      </w:pPr>
      <w:r w:rsidRPr="00386E47">
        <w:rPr>
          <w:lang w:val="es-US"/>
        </w:rPr>
        <w:t xml:space="preserve">El principio de igualdad en la Convención Americana tiene dos referentes importantes en los artículos 1.1. y 24 de la Convención. Por un lado, el artículo 1.1 de la Convención es una norma de carácter general cuyo contenido se extiende a todas las disposiciones del tratado y dispone la obligación de los Estados Parte de 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derechos garantizados en la Convención es, </w:t>
      </w:r>
      <w:r w:rsidRPr="00386E47">
        <w:rPr>
          <w:i/>
          <w:lang w:val="es-US"/>
        </w:rPr>
        <w:t>per se</w:t>
      </w:r>
      <w:r w:rsidRPr="00386E47">
        <w:rPr>
          <w:lang w:val="es-US"/>
        </w:rPr>
        <w:t>, incompatible con la misma”</w:t>
      </w:r>
      <w:r w:rsidRPr="00386E47">
        <w:rPr>
          <w:vertAlign w:val="superscript"/>
        </w:rPr>
        <w:footnoteReference w:id="53"/>
      </w:r>
      <w:r w:rsidRPr="00386E47">
        <w:rPr>
          <w:lang w:val="es-US"/>
        </w:rPr>
        <w:t>. Por otro lado, el artículo 24 dispone el derecho de igual protección de la ley, y es aplicable en el caso de que la discriminación se refiera a una protección desigual de la ley interna o su aplicación</w:t>
      </w:r>
      <w:r w:rsidRPr="00386E47">
        <w:rPr>
          <w:vertAlign w:val="superscript"/>
        </w:rPr>
        <w:footnoteReference w:id="54"/>
      </w:r>
      <w:r w:rsidRPr="00386E47">
        <w:rPr>
          <w:lang w:val="es-US"/>
        </w:rPr>
        <w:t xml:space="preserve">. </w:t>
      </w:r>
    </w:p>
    <w:p w14:paraId="4A6B9DE8" w14:textId="77777777" w:rsidR="00362B3C" w:rsidRPr="00386E47" w:rsidRDefault="00362B3C" w:rsidP="00A311A0">
      <w:pPr>
        <w:pStyle w:val="parrafos"/>
        <w:tabs>
          <w:tab w:val="left" w:pos="567"/>
        </w:tabs>
      </w:pPr>
    </w:p>
    <w:p w14:paraId="1D95BA01" w14:textId="77777777" w:rsidR="00362B3C" w:rsidRPr="00386E47" w:rsidRDefault="001A12B0" w:rsidP="009146F2">
      <w:pPr>
        <w:pStyle w:val="ListParagraph"/>
        <w:numPr>
          <w:ilvl w:val="0"/>
          <w:numId w:val="65"/>
        </w:numPr>
        <w:rPr>
          <w:b/>
          <w:sz w:val="20"/>
          <w:szCs w:val="20"/>
          <w:lang w:val="es-AR"/>
        </w:rPr>
      </w:pPr>
      <w:r w:rsidRPr="00386E47">
        <w:rPr>
          <w:b/>
          <w:sz w:val="20"/>
          <w:szCs w:val="20"/>
          <w:lang w:val="es-AR"/>
        </w:rPr>
        <w:t>El deber de prevención en el contexto de l</w:t>
      </w:r>
      <w:r w:rsidR="007A0537" w:rsidRPr="00386E47">
        <w:rPr>
          <w:b/>
          <w:sz w:val="20"/>
          <w:szCs w:val="20"/>
          <w:lang w:val="es-AR"/>
        </w:rPr>
        <w:t>a lucha</w:t>
      </w:r>
      <w:r w:rsidR="00021B5D" w:rsidRPr="00386E47">
        <w:rPr>
          <w:b/>
          <w:sz w:val="20"/>
          <w:szCs w:val="20"/>
          <w:lang w:val="es-AR"/>
        </w:rPr>
        <w:t xml:space="preserve"> contra el terrorismo</w:t>
      </w:r>
    </w:p>
    <w:p w14:paraId="140D8159" w14:textId="77777777" w:rsidR="00F54071" w:rsidRPr="00386E47" w:rsidRDefault="00F54071" w:rsidP="00F54071">
      <w:pPr>
        <w:pStyle w:val="ListParagraph"/>
        <w:rPr>
          <w:b/>
          <w:sz w:val="20"/>
          <w:szCs w:val="20"/>
          <w:lang w:val="es-AR"/>
        </w:rPr>
      </w:pPr>
    </w:p>
    <w:p w14:paraId="6527E3A9" w14:textId="77777777" w:rsidR="00362B3C" w:rsidRPr="00386E47" w:rsidRDefault="00021B5D" w:rsidP="003A5860">
      <w:pPr>
        <w:pStyle w:val="ListParagraph"/>
        <w:numPr>
          <w:ilvl w:val="0"/>
          <w:numId w:val="55"/>
        </w:numPr>
        <w:tabs>
          <w:tab w:val="left" w:pos="567"/>
        </w:tabs>
        <w:ind w:left="0" w:firstLine="0"/>
        <w:jc w:val="both"/>
        <w:rPr>
          <w:rFonts w:asciiTheme="majorHAnsi" w:eastAsia="Times New Roman" w:hAnsiTheme="majorHAnsi"/>
          <w:sz w:val="20"/>
          <w:szCs w:val="20"/>
          <w:shd w:val="clear" w:color="auto" w:fill="FFFFFF"/>
          <w:lang w:val="es-ES" w:eastAsia="es-ES_tradnl"/>
        </w:rPr>
      </w:pPr>
      <w:r w:rsidRPr="00386E47">
        <w:rPr>
          <w:rFonts w:asciiTheme="majorHAnsi" w:hAnsiTheme="majorHAnsi"/>
          <w:sz w:val="20"/>
          <w:szCs w:val="20"/>
          <w:lang w:val="es-ES"/>
        </w:rPr>
        <w:t xml:space="preserve">De </w:t>
      </w:r>
      <w:r w:rsidR="00362B3C" w:rsidRPr="00386E47">
        <w:rPr>
          <w:rFonts w:asciiTheme="majorHAnsi" w:hAnsiTheme="majorHAnsi"/>
          <w:sz w:val="20"/>
          <w:szCs w:val="20"/>
          <w:lang w:val="es-ES"/>
        </w:rPr>
        <w:t xml:space="preserve"> acuerdo con la Convención Interamericana contra el Terrorismo, los actos de terrorismo constituyen “un grave fenómeno delictivo que preocupa profundamente a todos los Estados Miembros, atenta contra la democracia, impide el goce de los derechos humanos y las libertades fundamentales, amenaza la seguridad de los Estados, desestabilizando y socavando las bases de la toda la sociedad, y afecta seriamente el desarrollo económico y social de los Estados de la región”</w:t>
      </w:r>
      <w:r w:rsidR="00362B3C" w:rsidRPr="00386E47">
        <w:rPr>
          <w:rStyle w:val="FootnoteReference"/>
          <w:rFonts w:asciiTheme="majorHAnsi" w:hAnsiTheme="majorHAnsi"/>
          <w:sz w:val="20"/>
          <w:szCs w:val="20"/>
          <w:lang w:val="es-ES"/>
        </w:rPr>
        <w:footnoteReference w:id="55"/>
      </w:r>
      <w:r w:rsidR="00362B3C" w:rsidRPr="00386E47">
        <w:rPr>
          <w:rFonts w:asciiTheme="majorHAnsi" w:hAnsiTheme="majorHAnsi"/>
          <w:sz w:val="20"/>
          <w:szCs w:val="20"/>
          <w:lang w:val="es-ES"/>
        </w:rPr>
        <w:t>. En atención a la gravedad de tales actos, en el derecho internacional existen varios instrumentos encaminados a la</w:t>
      </w:r>
      <w:r w:rsidR="00362B3C" w:rsidRPr="00386E47">
        <w:rPr>
          <w:rFonts w:asciiTheme="majorHAnsi" w:eastAsia="Times New Roman" w:hAnsiTheme="majorHAnsi"/>
          <w:sz w:val="20"/>
          <w:szCs w:val="20"/>
          <w:shd w:val="clear" w:color="auto" w:fill="FFFFFF"/>
          <w:lang w:val="es-ES" w:eastAsia="es-ES_tradnl"/>
        </w:rPr>
        <w:t xml:space="preserve"> prevención, supresión y erradicación de las distintas formas de violencia terrorista.</w:t>
      </w:r>
    </w:p>
    <w:p w14:paraId="4655AA4D" w14:textId="77777777" w:rsidR="00362B3C" w:rsidRPr="00386E47" w:rsidRDefault="00362B3C" w:rsidP="00362B3C">
      <w:pPr>
        <w:pStyle w:val="ListParagraph"/>
        <w:tabs>
          <w:tab w:val="left" w:pos="567"/>
        </w:tabs>
        <w:ind w:left="0"/>
        <w:jc w:val="both"/>
        <w:rPr>
          <w:rFonts w:asciiTheme="majorHAnsi" w:eastAsia="Times New Roman" w:hAnsiTheme="majorHAnsi"/>
          <w:sz w:val="20"/>
          <w:szCs w:val="20"/>
          <w:shd w:val="clear" w:color="auto" w:fill="FFFFFF"/>
          <w:lang w:val="es-ES" w:eastAsia="es-ES_tradnl"/>
        </w:rPr>
      </w:pPr>
    </w:p>
    <w:p w14:paraId="5F7338FE" w14:textId="77777777" w:rsidR="00362B3C" w:rsidRPr="00386E47" w:rsidRDefault="00362B3C" w:rsidP="003A5860">
      <w:pPr>
        <w:pStyle w:val="ListParagraph"/>
        <w:numPr>
          <w:ilvl w:val="0"/>
          <w:numId w:val="55"/>
        </w:numPr>
        <w:tabs>
          <w:tab w:val="left" w:pos="567"/>
        </w:tabs>
        <w:ind w:left="0" w:firstLine="0"/>
        <w:jc w:val="both"/>
        <w:rPr>
          <w:rFonts w:asciiTheme="majorHAnsi" w:eastAsia="Times New Roman" w:hAnsiTheme="majorHAnsi"/>
          <w:sz w:val="20"/>
          <w:szCs w:val="20"/>
          <w:shd w:val="clear" w:color="auto" w:fill="FFFFFF"/>
          <w:lang w:val="es-ES" w:eastAsia="es-ES_tradnl"/>
        </w:rPr>
      </w:pPr>
      <w:r w:rsidRPr="00386E47">
        <w:rPr>
          <w:rFonts w:asciiTheme="majorHAnsi" w:eastAsia="Times New Roman" w:hAnsiTheme="majorHAnsi"/>
          <w:sz w:val="20"/>
          <w:szCs w:val="20"/>
          <w:lang w:val="es-ES" w:eastAsia="es-ES_tradnl"/>
        </w:rPr>
        <w:t>En el marco del derecho internacional público existen 19 instrumentos internacionales relacionados con la lucha contra el terrorismo</w:t>
      </w:r>
      <w:r w:rsidRPr="00386E47">
        <w:rPr>
          <w:rStyle w:val="FootnoteReference"/>
          <w:rFonts w:asciiTheme="majorHAnsi" w:eastAsia="Times New Roman" w:hAnsiTheme="majorHAnsi"/>
          <w:sz w:val="20"/>
          <w:szCs w:val="20"/>
          <w:lang w:val="es-ES" w:eastAsia="es-ES_tradnl"/>
        </w:rPr>
        <w:footnoteReference w:id="56"/>
      </w:r>
      <w:r w:rsidRPr="00386E47">
        <w:rPr>
          <w:rFonts w:asciiTheme="majorHAnsi" w:eastAsia="Times New Roman" w:hAnsiTheme="majorHAnsi"/>
          <w:sz w:val="20"/>
          <w:szCs w:val="20"/>
          <w:lang w:val="es-ES" w:eastAsia="es-ES_tradnl"/>
        </w:rPr>
        <w:t xml:space="preserve">. Algunos de ellos se refieren a aviación civil, protección internacional de agentes diplomáticos, toma de rehenes, protección a material nuclear, navegación marítima, materiales explosivos, bombardeo terrorista, financiación del terrorismo y terrorismo nuclear. </w:t>
      </w:r>
      <w:r w:rsidRPr="00386E47">
        <w:rPr>
          <w:rFonts w:asciiTheme="majorHAnsi" w:hAnsiTheme="majorHAnsi"/>
          <w:sz w:val="20"/>
          <w:szCs w:val="20"/>
          <w:shd w:val="clear" w:color="auto" w:fill="FFFFFF"/>
          <w:lang w:val="es-ES"/>
        </w:rPr>
        <w:t>El conjunto de instrumentos incluye disposiciones que requieren a los Estados partes su cooperación en la prevención de delitos terroristas y la asistencia jurídica mutua en los procesos penales relacionados con delitos terroristas; que los delitos terroristas se incluyan entre los delitos extraditables en todos los tratados de extradición entre Estados partes y que obligan a los Estados partes a no considerar ciertos delitos terroristas como delitos políticos, delitos conexos con un delito político o delitos inspirados por motivos políticos, a los efectos de la extradición</w:t>
      </w:r>
      <w:r w:rsidRPr="00386E47">
        <w:rPr>
          <w:rStyle w:val="FootnoteReference"/>
          <w:rFonts w:asciiTheme="majorHAnsi" w:hAnsiTheme="majorHAnsi"/>
          <w:sz w:val="20"/>
          <w:szCs w:val="20"/>
          <w:shd w:val="clear" w:color="auto" w:fill="FFFFFF"/>
          <w:lang w:val="es-ES"/>
        </w:rPr>
        <w:footnoteReference w:id="57"/>
      </w:r>
      <w:r w:rsidRPr="00386E47">
        <w:rPr>
          <w:rFonts w:asciiTheme="majorHAnsi" w:hAnsiTheme="majorHAnsi"/>
          <w:sz w:val="20"/>
          <w:szCs w:val="20"/>
          <w:shd w:val="clear" w:color="auto" w:fill="FFFFFF"/>
          <w:lang w:val="es-ES"/>
        </w:rPr>
        <w:t>.</w:t>
      </w:r>
      <w:r w:rsidRPr="00386E47">
        <w:rPr>
          <w:rFonts w:asciiTheme="majorHAnsi" w:eastAsia="Times New Roman" w:hAnsiTheme="majorHAnsi"/>
          <w:sz w:val="20"/>
          <w:szCs w:val="20"/>
          <w:lang w:val="es-ES" w:eastAsia="es-ES_tradnl"/>
        </w:rPr>
        <w:t xml:space="preserve"> </w:t>
      </w:r>
    </w:p>
    <w:p w14:paraId="625E4D20" w14:textId="77777777" w:rsidR="00362B3C" w:rsidRPr="00386E47" w:rsidRDefault="00362B3C" w:rsidP="00362B3C">
      <w:pPr>
        <w:pStyle w:val="ListParagraph"/>
        <w:tabs>
          <w:tab w:val="left" w:pos="567"/>
        </w:tabs>
        <w:ind w:left="0"/>
        <w:jc w:val="both"/>
        <w:rPr>
          <w:rFonts w:asciiTheme="majorHAnsi" w:eastAsia="Times New Roman" w:hAnsiTheme="majorHAnsi"/>
          <w:sz w:val="20"/>
          <w:szCs w:val="20"/>
          <w:shd w:val="clear" w:color="auto" w:fill="FFFFFF"/>
          <w:lang w:val="es-ES" w:eastAsia="es-ES_tradnl"/>
        </w:rPr>
      </w:pPr>
    </w:p>
    <w:p w14:paraId="56C1B132" w14:textId="77777777" w:rsidR="00362B3C" w:rsidRPr="00386E47" w:rsidRDefault="00362B3C" w:rsidP="003A5860">
      <w:pPr>
        <w:pStyle w:val="ListParagraph"/>
        <w:numPr>
          <w:ilvl w:val="0"/>
          <w:numId w:val="55"/>
        </w:numPr>
        <w:tabs>
          <w:tab w:val="left" w:pos="567"/>
        </w:tabs>
        <w:ind w:left="0" w:firstLine="0"/>
        <w:jc w:val="both"/>
        <w:rPr>
          <w:rFonts w:asciiTheme="majorHAnsi" w:eastAsia="Times New Roman" w:hAnsiTheme="majorHAnsi"/>
          <w:sz w:val="20"/>
          <w:szCs w:val="20"/>
          <w:shd w:val="clear" w:color="auto" w:fill="FFFFFF"/>
          <w:lang w:val="es-ES" w:eastAsia="es-ES_tradnl"/>
        </w:rPr>
      </w:pPr>
      <w:r w:rsidRPr="00386E47">
        <w:rPr>
          <w:rFonts w:asciiTheme="majorHAnsi" w:hAnsiTheme="majorHAnsi"/>
          <w:sz w:val="20"/>
          <w:szCs w:val="20"/>
          <w:lang w:val="es-ES"/>
        </w:rPr>
        <w:t>La Asamblea General de Naciones Unidas ha emitido resoluciones sobre medidas para eliminar el terrorismo internacional</w:t>
      </w:r>
      <w:r w:rsidRPr="00386E47">
        <w:rPr>
          <w:rStyle w:val="FootnoteReference"/>
          <w:rFonts w:asciiTheme="majorHAnsi" w:hAnsiTheme="majorHAnsi"/>
          <w:sz w:val="20"/>
          <w:szCs w:val="20"/>
          <w:lang w:val="es-ES"/>
        </w:rPr>
        <w:footnoteReference w:id="58"/>
      </w:r>
      <w:r w:rsidRPr="00386E47">
        <w:rPr>
          <w:rFonts w:asciiTheme="majorHAnsi" w:hAnsiTheme="majorHAnsi"/>
          <w:sz w:val="20"/>
          <w:szCs w:val="20"/>
          <w:lang w:val="es-ES"/>
        </w:rPr>
        <w:t>. En específico, la Asamblea General de Naciones Unidas emitió la Resolución A/RES/51/210 de 16 de enero 1997, sobre medidas para eliminar el terrorismo internacional</w:t>
      </w:r>
      <w:r w:rsidRPr="00386E47">
        <w:rPr>
          <w:rStyle w:val="FootnoteReference"/>
          <w:rFonts w:asciiTheme="majorHAnsi" w:hAnsiTheme="majorHAnsi"/>
          <w:sz w:val="20"/>
          <w:szCs w:val="20"/>
          <w:lang w:val="es-ES"/>
        </w:rPr>
        <w:footnoteReference w:id="59"/>
      </w:r>
      <w:r w:rsidRPr="00386E47">
        <w:rPr>
          <w:rFonts w:asciiTheme="majorHAnsi" w:hAnsiTheme="majorHAnsi"/>
          <w:sz w:val="20"/>
          <w:szCs w:val="20"/>
          <w:lang w:val="es-ES"/>
        </w:rPr>
        <w:t xml:space="preserve">. Dicha resolución indica en su segundo </w:t>
      </w:r>
      <w:r w:rsidR="00021B5D" w:rsidRPr="00386E47">
        <w:rPr>
          <w:rFonts w:asciiTheme="majorHAnsi" w:hAnsiTheme="majorHAnsi"/>
          <w:sz w:val="20"/>
          <w:szCs w:val="20"/>
          <w:lang w:val="es-ES"/>
        </w:rPr>
        <w:t>párrafo que</w:t>
      </w:r>
      <w:r w:rsidRPr="00386E47">
        <w:rPr>
          <w:rFonts w:asciiTheme="majorHAnsi" w:hAnsiTheme="majorHAnsi"/>
          <w:sz w:val="20"/>
          <w:szCs w:val="20"/>
          <w:lang w:val="es-ES"/>
        </w:rPr>
        <w:t xml:space="preserve"> “los actos criminales con fines políticos concebidos o planeados para provocar un estado de terror en la población en general, en un grupo de personas o en personas determinadas</w:t>
      </w:r>
      <w:r w:rsidR="00E83758" w:rsidRPr="00386E47">
        <w:rPr>
          <w:rFonts w:asciiTheme="majorHAnsi" w:hAnsiTheme="majorHAnsi"/>
          <w:sz w:val="20"/>
          <w:szCs w:val="20"/>
          <w:lang w:val="es-ES"/>
        </w:rPr>
        <w:t>,</w:t>
      </w:r>
      <w:r w:rsidRPr="00386E47">
        <w:rPr>
          <w:rFonts w:asciiTheme="majorHAnsi" w:hAnsiTheme="majorHAnsi"/>
          <w:sz w:val="20"/>
          <w:szCs w:val="20"/>
          <w:lang w:val="es-ES"/>
        </w:rPr>
        <w:t xml:space="preserve"> son injustificables en todas las circunstancias, cualesquiera sean las consideraciones políticas, filosóficas, ideológicas, raciales, étnicas, religiosas o de cualquier otra índole que se hagan valer para justificarlos”. </w:t>
      </w:r>
    </w:p>
    <w:p w14:paraId="5FB7AC92" w14:textId="77777777" w:rsidR="00362B3C" w:rsidRPr="00386E47" w:rsidRDefault="00362B3C" w:rsidP="00362B3C">
      <w:pPr>
        <w:pStyle w:val="ListParagraph"/>
        <w:rPr>
          <w:rFonts w:asciiTheme="majorHAnsi" w:hAnsiTheme="majorHAnsi"/>
          <w:sz w:val="20"/>
          <w:szCs w:val="20"/>
          <w:lang w:val="es-ES"/>
        </w:rPr>
      </w:pPr>
    </w:p>
    <w:p w14:paraId="24643BFA" w14:textId="77777777" w:rsidR="00362B3C" w:rsidRPr="00386E47" w:rsidRDefault="00362B3C" w:rsidP="003A5860">
      <w:pPr>
        <w:pStyle w:val="ListParagraph"/>
        <w:numPr>
          <w:ilvl w:val="0"/>
          <w:numId w:val="55"/>
        </w:numPr>
        <w:tabs>
          <w:tab w:val="left" w:pos="567"/>
        </w:tabs>
        <w:ind w:left="0" w:firstLine="0"/>
        <w:jc w:val="both"/>
        <w:rPr>
          <w:rFonts w:asciiTheme="majorHAnsi" w:eastAsia="Times New Roman" w:hAnsiTheme="majorHAnsi"/>
          <w:sz w:val="20"/>
          <w:szCs w:val="20"/>
          <w:shd w:val="clear" w:color="auto" w:fill="FFFFFF"/>
          <w:lang w:val="es-ES" w:eastAsia="es-ES_tradnl"/>
        </w:rPr>
      </w:pPr>
      <w:r w:rsidRPr="00386E47">
        <w:rPr>
          <w:rFonts w:asciiTheme="majorHAnsi" w:hAnsiTheme="majorHAnsi"/>
          <w:sz w:val="20"/>
          <w:szCs w:val="20"/>
          <w:lang w:val="es-ES"/>
        </w:rPr>
        <w:lastRenderedPageBreak/>
        <w:t>A su vez, el Consejo de Seguridad ha expedido varias Resoluciones sobre la materia. E</w:t>
      </w:r>
      <w:r w:rsidR="007A0537" w:rsidRPr="00386E47">
        <w:rPr>
          <w:rFonts w:asciiTheme="majorHAnsi" w:hAnsiTheme="majorHAnsi"/>
          <w:sz w:val="20"/>
          <w:szCs w:val="20"/>
          <w:lang w:val="es-ES"/>
        </w:rPr>
        <w:t>specíficamente, e</w:t>
      </w:r>
      <w:r w:rsidRPr="00386E47">
        <w:rPr>
          <w:rFonts w:asciiTheme="majorHAnsi" w:hAnsiTheme="majorHAnsi"/>
          <w:sz w:val="20"/>
          <w:szCs w:val="20"/>
          <w:lang w:val="es-ES"/>
        </w:rPr>
        <w:t xml:space="preserve">n 2001 fue aprobada la Resolución 1373; en 2014 fue aprobada la Resolución 2178 y en 2017 fue aprobada la Resolución 2396. Todas ellas desarrollan medidas de prevención, investigación y cooperación internacional considerando que el terrorismo es una amenaza a la paz y seguridad internacionales. </w:t>
      </w:r>
      <w:r w:rsidRPr="00386E47">
        <w:rPr>
          <w:rFonts w:asciiTheme="majorHAnsi" w:eastAsia="Times New Roman" w:hAnsiTheme="majorHAnsi"/>
          <w:sz w:val="20"/>
          <w:szCs w:val="20"/>
          <w:lang w:val="es-ES" w:eastAsia="es-ES_tradnl"/>
        </w:rPr>
        <w:t>El 8 de septiembre de 2006 la Asamblea General de</w:t>
      </w:r>
      <w:r w:rsidR="00C71E03" w:rsidRPr="00386E47">
        <w:rPr>
          <w:rFonts w:asciiTheme="majorHAnsi" w:eastAsia="Times New Roman" w:hAnsiTheme="majorHAnsi"/>
          <w:sz w:val="20"/>
          <w:szCs w:val="20"/>
          <w:lang w:val="es-ES" w:eastAsia="es-ES_tradnl"/>
        </w:rPr>
        <w:t xml:space="preserve"> las</w:t>
      </w:r>
      <w:r w:rsidRPr="00386E47">
        <w:rPr>
          <w:rFonts w:asciiTheme="majorHAnsi" w:eastAsia="Times New Roman" w:hAnsiTheme="majorHAnsi"/>
          <w:sz w:val="20"/>
          <w:szCs w:val="20"/>
          <w:lang w:val="es-ES" w:eastAsia="es-ES_tradnl"/>
        </w:rPr>
        <w:t xml:space="preserve"> Naciones Unidas aprobó la Estrategia Global de</w:t>
      </w:r>
      <w:r w:rsidR="00084D3B" w:rsidRPr="00386E47">
        <w:rPr>
          <w:rFonts w:asciiTheme="majorHAnsi" w:eastAsia="Times New Roman" w:hAnsiTheme="majorHAnsi"/>
          <w:sz w:val="20"/>
          <w:szCs w:val="20"/>
          <w:lang w:val="es-ES" w:eastAsia="es-ES_tradnl"/>
        </w:rPr>
        <w:t xml:space="preserve"> las Naciones Unidas contra el T</w:t>
      </w:r>
      <w:r w:rsidRPr="00386E47">
        <w:rPr>
          <w:rFonts w:asciiTheme="majorHAnsi" w:eastAsia="Times New Roman" w:hAnsiTheme="majorHAnsi"/>
          <w:sz w:val="20"/>
          <w:szCs w:val="20"/>
          <w:lang w:val="es-ES" w:eastAsia="es-ES_tradnl"/>
        </w:rPr>
        <w:t xml:space="preserve">errorismo </w:t>
      </w:r>
      <w:r w:rsidRPr="00386E47">
        <w:rPr>
          <w:rFonts w:asciiTheme="majorHAnsi" w:hAnsiTheme="majorHAnsi"/>
          <w:sz w:val="20"/>
          <w:szCs w:val="20"/>
          <w:lang w:val="es-ES"/>
        </w:rPr>
        <w:t xml:space="preserve">en cuyo Plan de Acción se </w:t>
      </w:r>
      <w:r w:rsidRPr="00386E47">
        <w:rPr>
          <w:rFonts w:asciiTheme="majorHAnsi" w:eastAsia="Times New Roman" w:hAnsiTheme="majorHAnsi"/>
          <w:sz w:val="20"/>
          <w:szCs w:val="20"/>
          <w:lang w:val="es-ES" w:eastAsia="es-ES_tradnl"/>
        </w:rPr>
        <w:t>incluye</w:t>
      </w:r>
      <w:r w:rsidR="00E830BE" w:rsidRPr="00386E47">
        <w:rPr>
          <w:rFonts w:asciiTheme="majorHAnsi" w:hAnsiTheme="majorHAnsi"/>
          <w:sz w:val="20"/>
          <w:szCs w:val="20"/>
          <w:lang w:val="es-ES"/>
        </w:rPr>
        <w:t xml:space="preserve">n medidas </w:t>
      </w:r>
      <w:r w:rsidRPr="00386E47">
        <w:rPr>
          <w:rFonts w:asciiTheme="majorHAnsi" w:hAnsiTheme="majorHAnsi"/>
          <w:sz w:val="20"/>
          <w:szCs w:val="20"/>
          <w:lang w:val="es-ES"/>
        </w:rPr>
        <w:t xml:space="preserve"> relacionadas con el deber de los Estados de prevenir la ocurrencia de atentados terroristas</w:t>
      </w:r>
      <w:r w:rsidRPr="00386E47">
        <w:rPr>
          <w:rStyle w:val="FootnoteReference"/>
          <w:rFonts w:asciiTheme="majorHAnsi" w:eastAsia="Times New Roman" w:hAnsiTheme="majorHAnsi"/>
          <w:sz w:val="20"/>
          <w:szCs w:val="20"/>
          <w:lang w:val="es-ES" w:eastAsia="es-ES_tradnl"/>
        </w:rPr>
        <w:footnoteReference w:id="60"/>
      </w:r>
      <w:r w:rsidRPr="00386E47">
        <w:rPr>
          <w:rFonts w:asciiTheme="majorHAnsi" w:eastAsia="Times New Roman" w:hAnsiTheme="majorHAnsi"/>
          <w:sz w:val="20"/>
          <w:szCs w:val="20"/>
          <w:lang w:val="es-ES" w:eastAsia="es-ES_tradnl"/>
        </w:rPr>
        <w:t xml:space="preserve">. </w:t>
      </w:r>
    </w:p>
    <w:p w14:paraId="345D9E9E" w14:textId="77777777" w:rsidR="00362B3C" w:rsidRPr="00386E47" w:rsidRDefault="00362B3C" w:rsidP="00362B3C">
      <w:pPr>
        <w:pStyle w:val="ListParagraph"/>
        <w:tabs>
          <w:tab w:val="left" w:pos="567"/>
        </w:tabs>
        <w:ind w:left="0"/>
        <w:jc w:val="both"/>
        <w:rPr>
          <w:rFonts w:asciiTheme="majorHAnsi" w:eastAsia="Times New Roman" w:hAnsiTheme="majorHAnsi"/>
          <w:sz w:val="20"/>
          <w:szCs w:val="20"/>
          <w:shd w:val="clear" w:color="auto" w:fill="FFFFFF"/>
          <w:lang w:val="es-ES" w:eastAsia="es-ES_tradnl"/>
        </w:rPr>
      </w:pPr>
    </w:p>
    <w:p w14:paraId="069AE11A" w14:textId="77777777" w:rsidR="00362B3C" w:rsidRPr="00386E47" w:rsidRDefault="007A0537" w:rsidP="003A5860">
      <w:pPr>
        <w:pStyle w:val="ListParagraph"/>
        <w:numPr>
          <w:ilvl w:val="0"/>
          <w:numId w:val="55"/>
        </w:numPr>
        <w:tabs>
          <w:tab w:val="left" w:pos="567"/>
        </w:tabs>
        <w:ind w:left="0" w:firstLine="0"/>
        <w:jc w:val="both"/>
        <w:rPr>
          <w:rFonts w:asciiTheme="majorHAnsi" w:eastAsia="Times New Roman" w:hAnsiTheme="majorHAnsi"/>
          <w:sz w:val="20"/>
          <w:szCs w:val="20"/>
          <w:shd w:val="clear" w:color="auto" w:fill="FFFFFF"/>
          <w:lang w:val="es-ES" w:eastAsia="es-ES_tradnl"/>
        </w:rPr>
      </w:pPr>
      <w:r w:rsidRPr="00386E47">
        <w:rPr>
          <w:rFonts w:asciiTheme="majorHAnsi" w:hAnsiTheme="majorHAnsi"/>
          <w:sz w:val="20"/>
          <w:szCs w:val="20"/>
          <w:lang w:val="es-ES"/>
        </w:rPr>
        <w:t>Por otra parte, en el ámbito de las Naciones Unidas, los</w:t>
      </w:r>
      <w:r w:rsidR="00362B3C" w:rsidRPr="00386E47">
        <w:rPr>
          <w:rFonts w:asciiTheme="majorHAnsi" w:hAnsiTheme="majorHAnsi"/>
          <w:sz w:val="20"/>
          <w:szCs w:val="20"/>
          <w:lang w:val="es-ES"/>
        </w:rPr>
        <w:t xml:space="preserve"> </w:t>
      </w:r>
      <w:r w:rsidRPr="00386E47">
        <w:rPr>
          <w:rFonts w:asciiTheme="majorHAnsi" w:hAnsiTheme="majorHAnsi"/>
          <w:sz w:val="20"/>
          <w:szCs w:val="20"/>
          <w:lang w:val="es-ES"/>
        </w:rPr>
        <w:t>i</w:t>
      </w:r>
      <w:r w:rsidR="00362B3C" w:rsidRPr="00386E47">
        <w:rPr>
          <w:rFonts w:asciiTheme="majorHAnsi" w:hAnsiTheme="majorHAnsi"/>
          <w:sz w:val="20"/>
          <w:szCs w:val="20"/>
          <w:lang w:val="es-ES"/>
        </w:rPr>
        <w:t xml:space="preserve">nformes de los Relatores de Naciones Unidas </w:t>
      </w:r>
      <w:r w:rsidR="00362B3C" w:rsidRPr="00386E47">
        <w:rPr>
          <w:rFonts w:asciiTheme="majorHAnsi" w:eastAsia="Times New Roman" w:hAnsiTheme="majorHAnsi"/>
          <w:sz w:val="20"/>
          <w:szCs w:val="20"/>
          <w:lang w:val="es-ES" w:eastAsia="es-ES_tradnl"/>
        </w:rPr>
        <w:t>sobre la promoción y la protección de los derechos humanos y las libertades fundamentales en la lucha contra el terrorismo</w:t>
      </w:r>
      <w:r w:rsidRPr="00386E47">
        <w:rPr>
          <w:rFonts w:asciiTheme="majorHAnsi" w:eastAsia="Times New Roman" w:hAnsiTheme="majorHAnsi"/>
          <w:sz w:val="20"/>
          <w:szCs w:val="20"/>
          <w:lang w:val="es-ES" w:eastAsia="es-ES_tradnl"/>
        </w:rPr>
        <w:t xml:space="preserve"> han establecido diversas directrices a los Estados</w:t>
      </w:r>
      <w:r w:rsidR="00362B3C" w:rsidRPr="00386E47">
        <w:rPr>
          <w:rFonts w:asciiTheme="majorHAnsi" w:eastAsia="Times New Roman" w:hAnsiTheme="majorHAnsi"/>
          <w:sz w:val="20"/>
          <w:szCs w:val="20"/>
          <w:lang w:val="es-ES" w:eastAsia="es-ES_tradnl"/>
        </w:rPr>
        <w:t>. En su Informe de 2012, el Relator Esp</w:t>
      </w:r>
      <w:r w:rsidR="007614EA" w:rsidRPr="00386E47">
        <w:rPr>
          <w:rFonts w:asciiTheme="majorHAnsi" w:eastAsia="Times New Roman" w:hAnsiTheme="majorHAnsi"/>
          <w:sz w:val="20"/>
          <w:szCs w:val="20"/>
          <w:lang w:val="es-ES" w:eastAsia="es-ES_tradnl"/>
        </w:rPr>
        <w:t xml:space="preserve">ecial, Ben Emmerson señaló que </w:t>
      </w:r>
      <w:r w:rsidR="00362B3C" w:rsidRPr="00386E47">
        <w:rPr>
          <w:rFonts w:asciiTheme="majorHAnsi" w:hAnsiTheme="majorHAnsi"/>
          <w:sz w:val="20"/>
          <w:szCs w:val="20"/>
          <w:lang w:val="es-ES"/>
        </w:rPr>
        <w:t>“</w:t>
      </w:r>
      <w:r w:rsidR="00362B3C" w:rsidRPr="00386E47">
        <w:rPr>
          <w:rFonts w:asciiTheme="majorHAnsi" w:eastAsia="Times New Roman" w:hAnsiTheme="majorHAnsi"/>
          <w:sz w:val="20"/>
          <w:szCs w:val="20"/>
          <w:lang w:val="es-ES" w:eastAsia="es-ES_tradnl"/>
        </w:rPr>
        <w:t>el deber del Estado de defender la seguridad nacional y su obligación de asegurar la protección de los derechos humanos de quienes están bajo su jurisdicción constituyen una serie de obligaciones complementarias, simultáneas y que se refuerzan entre sí”</w:t>
      </w:r>
      <w:r w:rsidR="00362B3C" w:rsidRPr="00386E47">
        <w:rPr>
          <w:rStyle w:val="FootnoteReference"/>
          <w:rFonts w:asciiTheme="majorHAnsi" w:eastAsia="Times New Roman" w:hAnsiTheme="majorHAnsi"/>
          <w:sz w:val="20"/>
          <w:szCs w:val="20"/>
          <w:lang w:val="es-ES" w:eastAsia="es-ES_tradnl"/>
        </w:rPr>
        <w:footnoteReference w:id="61"/>
      </w:r>
      <w:r w:rsidR="00362B3C" w:rsidRPr="00386E47">
        <w:rPr>
          <w:rFonts w:asciiTheme="majorHAnsi" w:eastAsia="Times New Roman" w:hAnsiTheme="majorHAnsi"/>
          <w:sz w:val="20"/>
          <w:szCs w:val="20"/>
          <w:lang w:val="es-ES" w:eastAsia="es-ES_tradnl"/>
        </w:rPr>
        <w:t xml:space="preserve">. </w:t>
      </w:r>
    </w:p>
    <w:p w14:paraId="7EBA63C7" w14:textId="77777777" w:rsidR="00362B3C" w:rsidRPr="00386E47" w:rsidRDefault="00362B3C" w:rsidP="00362B3C">
      <w:pPr>
        <w:rPr>
          <w:rFonts w:asciiTheme="majorHAnsi" w:eastAsia="Times New Roman" w:hAnsiTheme="majorHAnsi"/>
          <w:sz w:val="20"/>
          <w:szCs w:val="20"/>
          <w:lang w:val="es-ES" w:eastAsia="es-ES_tradnl"/>
        </w:rPr>
      </w:pPr>
    </w:p>
    <w:p w14:paraId="4F92D87B" w14:textId="77777777" w:rsidR="00362B3C" w:rsidRPr="00386E47" w:rsidRDefault="00362B3C" w:rsidP="003A5860">
      <w:pPr>
        <w:pStyle w:val="ListParagraph"/>
        <w:numPr>
          <w:ilvl w:val="0"/>
          <w:numId w:val="55"/>
        </w:numPr>
        <w:tabs>
          <w:tab w:val="left" w:pos="567"/>
        </w:tabs>
        <w:ind w:left="0" w:firstLine="0"/>
        <w:jc w:val="both"/>
        <w:rPr>
          <w:rFonts w:asciiTheme="majorHAnsi" w:eastAsia="Times New Roman" w:hAnsiTheme="majorHAnsi"/>
          <w:sz w:val="20"/>
          <w:szCs w:val="20"/>
          <w:shd w:val="clear" w:color="auto" w:fill="FFFFFF"/>
          <w:lang w:val="es-ES" w:eastAsia="es-ES_tradnl"/>
        </w:rPr>
      </w:pPr>
      <w:r w:rsidRPr="00386E47">
        <w:rPr>
          <w:rFonts w:asciiTheme="majorHAnsi" w:eastAsia="Times New Roman" w:hAnsiTheme="majorHAnsi"/>
          <w:sz w:val="20"/>
          <w:szCs w:val="20"/>
          <w:lang w:val="es-ES" w:eastAsia="es-ES_tradnl"/>
        </w:rPr>
        <w:t>A nivel regional existen</w:t>
      </w:r>
      <w:r w:rsidRPr="00386E47">
        <w:rPr>
          <w:rFonts w:asciiTheme="majorHAnsi" w:hAnsiTheme="majorHAnsi"/>
          <w:sz w:val="20"/>
          <w:szCs w:val="20"/>
          <w:lang w:val="es-ES"/>
        </w:rPr>
        <w:t xml:space="preserve"> también varios instrumentos. El 2 de febrero de 1971, </w:t>
      </w:r>
      <w:r w:rsidRPr="00386E47">
        <w:rPr>
          <w:rStyle w:val="Strong"/>
          <w:rFonts w:asciiTheme="majorHAnsi" w:hAnsiTheme="majorHAnsi" w:cs="Tahoma"/>
          <w:b w:val="0"/>
          <w:bCs w:val="0"/>
          <w:sz w:val="20"/>
          <w:szCs w:val="20"/>
          <w:lang w:val="es-ES"/>
        </w:rPr>
        <w:t xml:space="preserve">la Asamblea General de la OEA aprobó la </w:t>
      </w:r>
      <w:r w:rsidRPr="00386E47">
        <w:rPr>
          <w:rStyle w:val="Strong"/>
          <w:rFonts w:asciiTheme="majorHAnsi" w:hAnsiTheme="majorHAnsi" w:cs="Tahoma"/>
          <w:b w:val="0"/>
          <w:bCs w:val="0"/>
          <w:iCs/>
          <w:sz w:val="20"/>
          <w:szCs w:val="20"/>
          <w:lang w:val="es-ES"/>
        </w:rPr>
        <w:t>Convención para prevenir y sancionar los actos de terrorismo configurados en delitos contra las personas y la extorsión conexa cuando estos tengan trascendencia internacional</w:t>
      </w:r>
      <w:r w:rsidRPr="00386E47">
        <w:rPr>
          <w:rStyle w:val="FootnoteReference"/>
          <w:rFonts w:asciiTheme="majorHAnsi" w:hAnsiTheme="majorHAnsi" w:cs="Tahoma"/>
          <w:iCs/>
          <w:sz w:val="20"/>
          <w:szCs w:val="20"/>
          <w:lang w:val="es-ES"/>
        </w:rPr>
        <w:footnoteReference w:id="62"/>
      </w:r>
      <w:r w:rsidRPr="00386E47">
        <w:rPr>
          <w:rStyle w:val="Strong"/>
          <w:rFonts w:asciiTheme="majorHAnsi" w:hAnsiTheme="majorHAnsi" w:cs="Tahoma"/>
          <w:b w:val="0"/>
          <w:bCs w:val="0"/>
          <w:iCs/>
          <w:sz w:val="20"/>
          <w:szCs w:val="20"/>
          <w:lang w:val="es-ES"/>
        </w:rPr>
        <w:t xml:space="preserve">. </w:t>
      </w:r>
      <w:r w:rsidRPr="00386E47">
        <w:rPr>
          <w:rFonts w:asciiTheme="majorHAnsi" w:hAnsiTheme="majorHAnsi"/>
          <w:sz w:val="20"/>
          <w:szCs w:val="20"/>
          <w:lang w:val="es-ES"/>
        </w:rPr>
        <w:t xml:space="preserve">También la OEA adoptó la Declaración </w:t>
      </w:r>
      <w:r w:rsidR="00E169C5" w:rsidRPr="00386E47">
        <w:rPr>
          <w:rFonts w:asciiTheme="majorHAnsi" w:hAnsiTheme="majorHAnsi"/>
          <w:sz w:val="20"/>
          <w:szCs w:val="20"/>
          <w:lang w:val="es-ES"/>
        </w:rPr>
        <w:t>de Lima para p</w:t>
      </w:r>
      <w:r w:rsidRPr="00386E47">
        <w:rPr>
          <w:rFonts w:asciiTheme="majorHAnsi" w:hAnsiTheme="majorHAnsi"/>
          <w:sz w:val="20"/>
          <w:szCs w:val="20"/>
          <w:lang w:val="es-ES"/>
        </w:rPr>
        <w:t>revenir, combatir y eliminar el terrorismo, que aproximó una definición del terrorismo al señalar aquel “</w:t>
      </w:r>
      <w:r w:rsidRPr="00386E47">
        <w:rPr>
          <w:rFonts w:asciiTheme="majorHAnsi" w:hAnsiTheme="majorHAnsi" w:cs="Tahoma"/>
          <w:sz w:val="20"/>
          <w:szCs w:val="20"/>
          <w:shd w:val="clear" w:color="auto" w:fill="FFFFFF"/>
          <w:lang w:val="es-ES"/>
        </w:rPr>
        <w:t xml:space="preserve">como grave manifestación de violencia deliberada y sistemática dirigida a crear caos y temor en la población, genera muerte y destrucción y constituye una </w:t>
      </w:r>
      <w:r w:rsidR="00D60F39" w:rsidRPr="00386E47">
        <w:rPr>
          <w:rFonts w:asciiTheme="majorHAnsi" w:hAnsiTheme="majorHAnsi" w:cs="Tahoma"/>
          <w:sz w:val="20"/>
          <w:szCs w:val="20"/>
          <w:shd w:val="clear" w:color="auto" w:fill="FFFFFF"/>
          <w:lang w:val="es-ES"/>
        </w:rPr>
        <w:t>actividad delictiva repudiable”</w:t>
      </w:r>
      <w:r w:rsidRPr="00386E47">
        <w:rPr>
          <w:rStyle w:val="FootnoteReference"/>
          <w:rFonts w:asciiTheme="majorHAnsi" w:hAnsiTheme="majorHAnsi"/>
          <w:sz w:val="20"/>
          <w:szCs w:val="20"/>
          <w:lang w:val="es-ES"/>
        </w:rPr>
        <w:footnoteReference w:id="63"/>
      </w:r>
      <w:r w:rsidRPr="00386E47">
        <w:rPr>
          <w:rFonts w:asciiTheme="majorHAnsi" w:hAnsiTheme="majorHAnsi"/>
          <w:sz w:val="20"/>
          <w:szCs w:val="20"/>
          <w:lang w:val="es-ES"/>
        </w:rPr>
        <w:t>.</w:t>
      </w:r>
    </w:p>
    <w:p w14:paraId="4F87C505" w14:textId="77777777" w:rsidR="00362B3C" w:rsidRPr="00386E47" w:rsidRDefault="00362B3C" w:rsidP="00362B3C">
      <w:pPr>
        <w:pStyle w:val="ListParagraph"/>
        <w:rPr>
          <w:rFonts w:asciiTheme="majorHAnsi" w:hAnsiTheme="majorHAnsi"/>
          <w:sz w:val="20"/>
          <w:szCs w:val="20"/>
          <w:shd w:val="clear" w:color="auto" w:fill="FFFFFF"/>
          <w:lang w:val="es-ES"/>
        </w:rPr>
      </w:pPr>
    </w:p>
    <w:p w14:paraId="269E1E98" w14:textId="77777777" w:rsidR="00362B3C" w:rsidRPr="00386E47" w:rsidRDefault="00362B3C" w:rsidP="003A5860">
      <w:pPr>
        <w:pStyle w:val="ListParagraph"/>
        <w:numPr>
          <w:ilvl w:val="0"/>
          <w:numId w:val="55"/>
        </w:numPr>
        <w:tabs>
          <w:tab w:val="left" w:pos="567"/>
        </w:tabs>
        <w:ind w:left="0" w:firstLine="0"/>
        <w:jc w:val="both"/>
        <w:rPr>
          <w:rFonts w:asciiTheme="majorHAnsi" w:eastAsia="Times New Roman" w:hAnsiTheme="majorHAnsi"/>
          <w:sz w:val="20"/>
          <w:szCs w:val="20"/>
          <w:shd w:val="clear" w:color="auto" w:fill="FFFFFF"/>
          <w:lang w:val="es-ES" w:eastAsia="es-ES_tradnl"/>
        </w:rPr>
      </w:pPr>
      <w:r w:rsidRPr="00386E47">
        <w:rPr>
          <w:rFonts w:asciiTheme="majorHAnsi" w:hAnsiTheme="majorHAnsi"/>
          <w:sz w:val="20"/>
          <w:szCs w:val="20"/>
          <w:shd w:val="clear" w:color="auto" w:fill="FFFFFF"/>
          <w:lang w:val="es-ES"/>
        </w:rPr>
        <w:t xml:space="preserve">Igualmente, el 3 de junio de 2002, la Asamblea General de la OEA aprobó la </w:t>
      </w:r>
      <w:r w:rsidRPr="00386E47">
        <w:rPr>
          <w:rFonts w:asciiTheme="majorHAnsi" w:hAnsiTheme="majorHAnsi"/>
          <w:iCs/>
          <w:sz w:val="20"/>
          <w:szCs w:val="20"/>
          <w:shd w:val="clear" w:color="auto" w:fill="FFFFFF"/>
          <w:lang w:val="es-ES"/>
        </w:rPr>
        <w:t>Convención Interamericana contra el Terrorismo</w:t>
      </w:r>
      <w:r w:rsidRPr="00386E47">
        <w:rPr>
          <w:rFonts w:asciiTheme="majorHAnsi" w:hAnsiTheme="majorHAnsi"/>
          <w:sz w:val="20"/>
          <w:szCs w:val="20"/>
          <w:shd w:val="clear" w:color="auto" w:fill="FFFFFF"/>
          <w:lang w:val="es-ES"/>
        </w:rPr>
        <w:t>, con la finalidad y propósito declarados de prevenir, castigar y eliminar el terrorismo</w:t>
      </w:r>
      <w:r w:rsidRPr="00386E47">
        <w:rPr>
          <w:rStyle w:val="FootnoteReference"/>
          <w:rFonts w:asciiTheme="majorHAnsi" w:eastAsia="Times New Roman" w:hAnsiTheme="majorHAnsi"/>
          <w:sz w:val="20"/>
          <w:szCs w:val="20"/>
          <w:shd w:val="clear" w:color="auto" w:fill="FFFFFF"/>
          <w:lang w:val="es-ES" w:eastAsia="es-ES_tradnl"/>
        </w:rPr>
        <w:footnoteReference w:id="64"/>
      </w:r>
      <w:r w:rsidRPr="00386E47">
        <w:rPr>
          <w:rFonts w:asciiTheme="majorHAnsi" w:hAnsiTheme="majorHAnsi"/>
          <w:sz w:val="20"/>
          <w:szCs w:val="20"/>
          <w:shd w:val="clear" w:color="auto" w:fill="FFFFFF"/>
          <w:lang w:val="es-ES"/>
        </w:rPr>
        <w:t>. Dicha Convención establece en su artículo 4 que “</w:t>
      </w:r>
      <w:r w:rsidRPr="00386E47">
        <w:rPr>
          <w:rFonts w:asciiTheme="majorHAnsi" w:hAnsiTheme="majorHAnsi"/>
          <w:sz w:val="20"/>
          <w:szCs w:val="20"/>
          <w:lang w:val="es-ES"/>
        </w:rPr>
        <w:t>cada Estado Parte, en la medida en que no lo haya hecho, deberá establecer un régimen jurídico y administrativo para prevenir, combatir y erradicar la financiación del terrorismo y para lograr una cooperación internacional efectiva al respecto, la cual deberá incluir”</w:t>
      </w:r>
      <w:r w:rsidRPr="00386E47">
        <w:rPr>
          <w:rStyle w:val="FootnoteReference"/>
          <w:rFonts w:asciiTheme="majorHAnsi" w:hAnsiTheme="majorHAnsi"/>
          <w:sz w:val="20"/>
          <w:szCs w:val="20"/>
          <w:lang w:val="es-ES"/>
        </w:rPr>
        <w:footnoteReference w:id="65"/>
      </w:r>
      <w:r w:rsidRPr="00386E47">
        <w:rPr>
          <w:rFonts w:asciiTheme="majorHAnsi" w:hAnsiTheme="majorHAnsi"/>
          <w:sz w:val="20"/>
          <w:szCs w:val="20"/>
          <w:shd w:val="clear" w:color="auto" w:fill="FFFFFF"/>
          <w:lang w:val="es-ES"/>
        </w:rPr>
        <w:t xml:space="preserve">. </w:t>
      </w:r>
    </w:p>
    <w:p w14:paraId="1B087587" w14:textId="77777777" w:rsidR="00362B3C" w:rsidRPr="00386E47" w:rsidRDefault="00362B3C" w:rsidP="00362B3C">
      <w:pPr>
        <w:pStyle w:val="ListParagraph"/>
        <w:rPr>
          <w:rFonts w:asciiTheme="majorHAnsi" w:eastAsia="Times New Roman" w:hAnsiTheme="majorHAnsi"/>
          <w:sz w:val="20"/>
          <w:szCs w:val="20"/>
          <w:shd w:val="clear" w:color="auto" w:fill="FFFFFF"/>
          <w:lang w:val="es-ES" w:eastAsia="es-ES_tradnl"/>
        </w:rPr>
      </w:pPr>
    </w:p>
    <w:p w14:paraId="2E917A62" w14:textId="77777777" w:rsidR="00362B3C" w:rsidRPr="00386E47" w:rsidRDefault="00362B3C" w:rsidP="003A5860">
      <w:pPr>
        <w:pStyle w:val="ListParagraph"/>
        <w:numPr>
          <w:ilvl w:val="0"/>
          <w:numId w:val="55"/>
        </w:numPr>
        <w:tabs>
          <w:tab w:val="left" w:pos="567"/>
        </w:tabs>
        <w:ind w:left="0" w:firstLine="0"/>
        <w:jc w:val="both"/>
        <w:rPr>
          <w:rFonts w:asciiTheme="majorHAnsi" w:eastAsia="Times New Roman" w:hAnsiTheme="majorHAnsi"/>
          <w:sz w:val="20"/>
          <w:szCs w:val="20"/>
          <w:shd w:val="clear" w:color="auto" w:fill="FFFFFF"/>
          <w:lang w:val="es-ES" w:eastAsia="es-ES_tradnl"/>
        </w:rPr>
      </w:pPr>
      <w:r w:rsidRPr="00386E47">
        <w:rPr>
          <w:rFonts w:asciiTheme="majorHAnsi" w:eastAsia="Times New Roman" w:hAnsiTheme="majorHAnsi"/>
          <w:sz w:val="20"/>
          <w:szCs w:val="20"/>
          <w:shd w:val="clear" w:color="auto" w:fill="FFFFFF"/>
          <w:lang w:val="es-ES" w:eastAsia="es-ES_tradnl"/>
        </w:rPr>
        <w:t xml:space="preserve">En el año 2002 la Comisión Interamericana de Derechos Humanos emitió el Informe </w:t>
      </w:r>
      <w:r w:rsidRPr="00386E47">
        <w:rPr>
          <w:rFonts w:asciiTheme="majorHAnsi" w:eastAsia="Times New Roman" w:hAnsiTheme="majorHAnsi"/>
          <w:iCs/>
          <w:sz w:val="20"/>
          <w:szCs w:val="20"/>
          <w:shd w:val="clear" w:color="auto" w:fill="FFFFFF"/>
          <w:lang w:val="es-ES" w:eastAsia="es-ES_tradnl"/>
        </w:rPr>
        <w:t>Terrorismo y Derechos Humanos</w:t>
      </w:r>
      <w:r w:rsidRPr="00386E47">
        <w:rPr>
          <w:rFonts w:asciiTheme="majorHAnsi" w:eastAsia="Times New Roman" w:hAnsiTheme="majorHAnsi"/>
          <w:sz w:val="20"/>
          <w:szCs w:val="20"/>
          <w:shd w:val="clear" w:color="auto" w:fill="FFFFFF"/>
          <w:lang w:val="es-ES" w:eastAsia="es-ES_tradnl"/>
        </w:rPr>
        <w:t>,</w:t>
      </w:r>
      <w:r w:rsidRPr="00386E47">
        <w:rPr>
          <w:rFonts w:asciiTheme="majorHAnsi" w:hAnsiTheme="majorHAnsi"/>
          <w:sz w:val="20"/>
          <w:szCs w:val="20"/>
          <w:shd w:val="clear" w:color="auto" w:fill="FFFFFF"/>
          <w:lang w:val="es-ES"/>
        </w:rPr>
        <w:t xml:space="preserve"> en el cual remarcó que las manifestaciones de violencia terrorista en las Américas, además de plantear una grave amenaza a la protección de los derechos humanos, con frecuencia han afectado a gobiernos e instituciones democráticas; y señaló que el derecho internacional obliga a los Estados miembros a adoptar las medidas necesarias para prevenir el terrorismo y otras formas de violencia y a garantizar la seguridad de sus </w:t>
      </w:r>
      <w:r w:rsidRPr="00386E47">
        <w:rPr>
          <w:rFonts w:asciiTheme="majorHAnsi" w:hAnsiTheme="majorHAnsi"/>
          <w:sz w:val="20"/>
          <w:szCs w:val="20"/>
          <w:shd w:val="clear" w:color="auto" w:fill="FFFFFF"/>
          <w:lang w:val="es-ES"/>
        </w:rPr>
        <w:lastRenderedPageBreak/>
        <w:t>ciudadanos</w:t>
      </w:r>
      <w:r w:rsidRPr="00386E47">
        <w:rPr>
          <w:rStyle w:val="FootnoteReference"/>
          <w:rFonts w:asciiTheme="majorHAnsi" w:hAnsiTheme="majorHAnsi"/>
          <w:sz w:val="20"/>
          <w:szCs w:val="20"/>
          <w:shd w:val="clear" w:color="auto" w:fill="FFFFFF"/>
          <w:lang w:val="es-ES"/>
        </w:rPr>
        <w:footnoteReference w:id="66"/>
      </w:r>
      <w:r w:rsidRPr="00386E47">
        <w:rPr>
          <w:rFonts w:asciiTheme="majorHAnsi" w:hAnsiTheme="majorHAnsi"/>
          <w:sz w:val="20"/>
          <w:szCs w:val="20"/>
          <w:shd w:val="clear" w:color="auto" w:fill="FFFFFF"/>
          <w:lang w:val="es-ES"/>
        </w:rPr>
        <w:t xml:space="preserve">. </w:t>
      </w:r>
      <w:r w:rsidRPr="00386E47">
        <w:rPr>
          <w:rFonts w:asciiTheme="majorHAnsi" w:eastAsia="Times New Roman" w:hAnsiTheme="majorHAnsi"/>
          <w:sz w:val="20"/>
          <w:szCs w:val="20"/>
          <w:shd w:val="clear" w:color="auto" w:fill="FFFFFF"/>
          <w:lang w:val="es-ES" w:eastAsia="es-ES_tradnl"/>
        </w:rPr>
        <w:t xml:space="preserve">Asimismo, reiteró la necesidad de </w:t>
      </w:r>
      <w:r w:rsidRPr="00386E47">
        <w:rPr>
          <w:rFonts w:asciiTheme="majorHAnsi" w:hAnsiTheme="majorHAnsi"/>
          <w:sz w:val="20"/>
          <w:szCs w:val="20"/>
          <w:shd w:val="clear" w:color="auto" w:fill="FFFFFF"/>
          <w:lang w:val="es-ES"/>
        </w:rPr>
        <w:t xml:space="preserve">que los Estados, al adoptar las medidas antiterroristas, </w:t>
      </w:r>
      <w:r w:rsidR="00E169C5" w:rsidRPr="00386E47">
        <w:rPr>
          <w:rFonts w:asciiTheme="majorHAnsi" w:hAnsiTheme="majorHAnsi"/>
          <w:sz w:val="20"/>
          <w:szCs w:val="20"/>
          <w:shd w:val="clear" w:color="auto" w:fill="FFFFFF"/>
          <w:lang w:val="es-ES"/>
        </w:rPr>
        <w:t>cumplan</w:t>
      </w:r>
      <w:r w:rsidRPr="00386E47">
        <w:rPr>
          <w:rFonts w:asciiTheme="majorHAnsi" w:hAnsiTheme="majorHAnsi"/>
          <w:sz w:val="20"/>
          <w:szCs w:val="20"/>
          <w:shd w:val="clear" w:color="auto" w:fill="FFFFFF"/>
          <w:lang w:val="es-ES"/>
        </w:rPr>
        <w:t xml:space="preserve"> con sus obligaciones internacionales, incluyendo las del derecho internacional de los derechos humanos y el derecho humanitario</w:t>
      </w:r>
      <w:r w:rsidRPr="00386E47">
        <w:rPr>
          <w:rStyle w:val="FootnoteReference"/>
          <w:rFonts w:asciiTheme="majorHAnsi" w:hAnsiTheme="majorHAnsi"/>
          <w:sz w:val="20"/>
          <w:szCs w:val="20"/>
          <w:shd w:val="clear" w:color="auto" w:fill="FFFFFF"/>
          <w:lang w:val="es-ES"/>
        </w:rPr>
        <w:footnoteReference w:id="67"/>
      </w:r>
      <w:r w:rsidRPr="00386E47">
        <w:rPr>
          <w:rFonts w:asciiTheme="majorHAnsi" w:hAnsiTheme="majorHAnsi"/>
          <w:sz w:val="20"/>
          <w:szCs w:val="20"/>
          <w:shd w:val="clear" w:color="auto" w:fill="FFFFFF"/>
          <w:lang w:val="es-ES"/>
        </w:rPr>
        <w:t>.</w:t>
      </w:r>
    </w:p>
    <w:p w14:paraId="1E10E03D" w14:textId="77777777" w:rsidR="00362B3C" w:rsidRPr="00386E47" w:rsidRDefault="00362B3C" w:rsidP="00362B3C">
      <w:pPr>
        <w:pStyle w:val="ListParagraph"/>
        <w:rPr>
          <w:rFonts w:asciiTheme="majorHAnsi" w:eastAsia="Times New Roman" w:hAnsiTheme="majorHAnsi"/>
          <w:sz w:val="20"/>
          <w:szCs w:val="20"/>
          <w:lang w:val="es-ES" w:eastAsia="es-ES_tradnl"/>
        </w:rPr>
      </w:pPr>
    </w:p>
    <w:p w14:paraId="08774773" w14:textId="77777777" w:rsidR="00362B3C" w:rsidRPr="00386E47" w:rsidRDefault="00362B3C" w:rsidP="003A5860">
      <w:pPr>
        <w:pStyle w:val="ListParagraph"/>
        <w:numPr>
          <w:ilvl w:val="0"/>
          <w:numId w:val="55"/>
        </w:numPr>
        <w:tabs>
          <w:tab w:val="left" w:pos="567"/>
        </w:tabs>
        <w:ind w:left="0" w:firstLine="0"/>
        <w:jc w:val="both"/>
        <w:rPr>
          <w:rFonts w:asciiTheme="majorHAnsi" w:eastAsia="Times New Roman" w:hAnsiTheme="majorHAnsi"/>
          <w:sz w:val="20"/>
          <w:szCs w:val="20"/>
          <w:shd w:val="clear" w:color="auto" w:fill="FFFFFF"/>
          <w:lang w:val="es-ES" w:eastAsia="es-ES_tradnl"/>
        </w:rPr>
      </w:pPr>
      <w:r w:rsidRPr="00386E47">
        <w:rPr>
          <w:rFonts w:asciiTheme="majorHAnsi" w:eastAsia="Times New Roman" w:hAnsiTheme="majorHAnsi"/>
          <w:sz w:val="20"/>
          <w:szCs w:val="20"/>
          <w:lang w:val="es-ES" w:eastAsia="es-ES_tradnl"/>
        </w:rPr>
        <w:t>Sobre la definición de terrorismo, en dicho</w:t>
      </w:r>
      <w:r w:rsidR="00E169C5" w:rsidRPr="00386E47">
        <w:rPr>
          <w:rFonts w:asciiTheme="majorHAnsi" w:eastAsia="Times New Roman" w:hAnsiTheme="majorHAnsi"/>
          <w:sz w:val="20"/>
          <w:szCs w:val="20"/>
          <w:lang w:val="es-ES" w:eastAsia="es-ES_tradnl"/>
        </w:rPr>
        <w:t xml:space="preserve"> Informe la Comisión señaló que. </w:t>
      </w:r>
      <w:r w:rsidRPr="00386E47">
        <w:rPr>
          <w:rFonts w:asciiTheme="majorHAnsi" w:hAnsiTheme="majorHAnsi"/>
          <w:sz w:val="20"/>
          <w:szCs w:val="20"/>
          <w:shd w:val="clear" w:color="auto" w:fill="FFFFFF"/>
          <w:lang w:val="es-ES"/>
        </w:rPr>
        <w:t xml:space="preserve">a diferencia de la Convención de la ONU contra el terrorismo, </w:t>
      </w:r>
      <w:r w:rsidR="00E169C5" w:rsidRPr="00386E47">
        <w:rPr>
          <w:rFonts w:asciiTheme="majorHAnsi" w:hAnsiTheme="majorHAnsi"/>
          <w:sz w:val="20"/>
          <w:szCs w:val="20"/>
          <w:shd w:val="clear" w:color="auto" w:fill="FFFFFF"/>
          <w:lang w:val="es-ES"/>
        </w:rPr>
        <w:t xml:space="preserve">la Convención Interamericana contra el Terrorismo </w:t>
      </w:r>
      <w:r w:rsidRPr="00386E47">
        <w:rPr>
          <w:rFonts w:asciiTheme="majorHAnsi" w:hAnsiTheme="majorHAnsi"/>
          <w:sz w:val="20"/>
          <w:szCs w:val="20"/>
          <w:shd w:val="clear" w:color="auto" w:fill="FFFFFF"/>
          <w:lang w:val="es-ES"/>
        </w:rPr>
        <w:t xml:space="preserve"> se abstiene de dar una definición pormenorizada del terrorismo y, en cambio, incluye los delitos definidos en diez tratados internacionales sobre terrorismo existentes a la fecha</w:t>
      </w:r>
      <w:r w:rsidRPr="00386E47">
        <w:rPr>
          <w:rStyle w:val="FootnoteReference"/>
          <w:rFonts w:asciiTheme="majorHAnsi" w:hAnsiTheme="majorHAnsi"/>
          <w:sz w:val="20"/>
          <w:szCs w:val="20"/>
          <w:shd w:val="clear" w:color="auto" w:fill="FFFFFF"/>
          <w:lang w:val="es-ES"/>
        </w:rPr>
        <w:footnoteReference w:id="68"/>
      </w:r>
      <w:r w:rsidRPr="00386E47">
        <w:rPr>
          <w:rFonts w:asciiTheme="majorHAnsi" w:hAnsiTheme="majorHAnsi"/>
          <w:sz w:val="20"/>
          <w:szCs w:val="20"/>
          <w:shd w:val="clear" w:color="auto" w:fill="FFFFFF"/>
          <w:lang w:val="es-ES"/>
        </w:rPr>
        <w:t xml:space="preserve">. </w:t>
      </w:r>
      <w:r w:rsidR="007F48A5" w:rsidRPr="00386E47">
        <w:rPr>
          <w:rFonts w:asciiTheme="majorHAnsi" w:eastAsia="Times New Roman" w:hAnsiTheme="majorHAnsi"/>
          <w:sz w:val="20"/>
          <w:szCs w:val="20"/>
          <w:shd w:val="clear" w:color="auto" w:fill="FFFFFF"/>
          <w:lang w:val="es-ES" w:eastAsia="es-ES_tradnl"/>
        </w:rPr>
        <w:t xml:space="preserve"> </w:t>
      </w:r>
      <w:r w:rsidR="007F48A5" w:rsidRPr="00386E47">
        <w:rPr>
          <w:rFonts w:asciiTheme="majorHAnsi" w:eastAsia="Times New Roman" w:hAnsiTheme="majorHAnsi"/>
          <w:sz w:val="20"/>
          <w:szCs w:val="20"/>
          <w:lang w:val="es-ES" w:eastAsia="es-ES_tradnl"/>
        </w:rPr>
        <w:t>L</w:t>
      </w:r>
      <w:r w:rsidRPr="00386E47">
        <w:rPr>
          <w:rFonts w:asciiTheme="majorHAnsi" w:eastAsia="Times New Roman" w:hAnsiTheme="majorHAnsi"/>
          <w:sz w:val="20"/>
          <w:szCs w:val="20"/>
          <w:lang w:val="es-ES" w:eastAsia="es-ES_tradnl"/>
        </w:rPr>
        <w:t>a Comisión señaló:</w:t>
      </w:r>
    </w:p>
    <w:p w14:paraId="62FCBE99" w14:textId="77777777" w:rsidR="00362B3C" w:rsidRPr="00386E47" w:rsidRDefault="00362B3C" w:rsidP="00362B3C">
      <w:pPr>
        <w:pStyle w:val="ListParagraph"/>
        <w:tabs>
          <w:tab w:val="left" w:pos="567"/>
        </w:tabs>
        <w:ind w:left="0"/>
        <w:jc w:val="both"/>
        <w:rPr>
          <w:rFonts w:asciiTheme="majorHAnsi" w:eastAsia="Times New Roman" w:hAnsiTheme="majorHAnsi"/>
          <w:sz w:val="20"/>
          <w:szCs w:val="20"/>
          <w:shd w:val="clear" w:color="auto" w:fill="FFFFFF"/>
          <w:lang w:val="es-ES" w:eastAsia="es-ES_tradnl"/>
        </w:rPr>
      </w:pPr>
    </w:p>
    <w:p w14:paraId="1528D9CA" w14:textId="77777777" w:rsidR="00362B3C" w:rsidRPr="00386E47" w:rsidRDefault="00362B3C" w:rsidP="003676A3">
      <w:pPr>
        <w:pStyle w:val="Quote"/>
        <w:rPr>
          <w:sz w:val="20"/>
          <w:lang w:val="es-US"/>
        </w:rPr>
      </w:pPr>
      <w:r w:rsidRPr="00386E47">
        <w:rPr>
          <w:shd w:val="clear" w:color="auto" w:fill="FFFFFF"/>
        </w:rPr>
        <w:t xml:space="preserve">Al mismo tiempo, el hecho de que el terrorismo no posea, per se, un significado concreto dentro del derecho internacional no significa que constituya una forma de violencia indescriptible o que los Estados no estén sometidos a restricciones, en el marco del derecho internacional, en la configuración de sus respuestas a esa violencia. Al contrario, es posible enumerar varias características frecuentemente asociadas con los incidentes terroristas que ofrecen parámetros suficientes para que los Estados definan y evalúen sus obligaciones internacionales a la hora de responder a esa violencia. Por ejemplo, la Asamblea General de las Naciones Unidas ha elaborado una definición práctica del terrorismo a los efectos de sus distintas resoluciones y declaraciones sobre medidas tendientes a la eliminación del terrorismo, a saber “los actos criminales con fines políticos concebidos o planeados para provocar un estado de terror en la población en general, en un grupo de personas o en personas determinadas (que) son injustificables en todas las circunstancias, cualesquiera sean las consideraciones políticas, filosóficas, ideológicas, raciales, étnicas, religiosas o de cualquier otra índole que se hagan valer para justificarlos”. Éstas y otras autoridades sugieren que los incidentes terroristas pueden describirse en términos de a) la naturaleza e identidad de quienes perpetran el terrorismo; b) la naturaleza e identidad de las víctimas del terrorismo; c) los objetivos del terrorismo y d) los medios empleados para perpetrar la violencia del terror. </w:t>
      </w:r>
      <w:r w:rsidRPr="00386E47">
        <w:rPr>
          <w:lang w:val="es-US"/>
        </w:rPr>
        <w:t xml:space="preserve"> </w:t>
      </w:r>
    </w:p>
    <w:p w14:paraId="5B37C491" w14:textId="77777777" w:rsidR="00362B3C" w:rsidRPr="00386E47" w:rsidRDefault="00362B3C" w:rsidP="00362B3C">
      <w:pPr>
        <w:ind w:left="284" w:right="333"/>
        <w:jc w:val="both"/>
        <w:rPr>
          <w:rFonts w:asciiTheme="majorHAnsi" w:hAnsiTheme="majorHAnsi"/>
          <w:sz w:val="20"/>
          <w:szCs w:val="20"/>
          <w:lang w:val="es-US"/>
        </w:rPr>
      </w:pPr>
    </w:p>
    <w:p w14:paraId="057CD2A2" w14:textId="77777777" w:rsidR="00362B3C" w:rsidRPr="00386E47" w:rsidRDefault="007A0537" w:rsidP="003A5860">
      <w:pPr>
        <w:pStyle w:val="ListParagraph"/>
        <w:numPr>
          <w:ilvl w:val="0"/>
          <w:numId w:val="55"/>
        </w:numPr>
        <w:tabs>
          <w:tab w:val="left" w:pos="567"/>
        </w:tabs>
        <w:ind w:left="0" w:firstLine="0"/>
        <w:jc w:val="both"/>
        <w:rPr>
          <w:rFonts w:asciiTheme="majorHAnsi" w:hAnsiTheme="majorHAnsi"/>
          <w:sz w:val="20"/>
          <w:szCs w:val="20"/>
          <w:lang w:val="es-ES" w:eastAsia="es-ES_tradnl"/>
        </w:rPr>
      </w:pPr>
      <w:r w:rsidRPr="00386E47">
        <w:rPr>
          <w:rFonts w:asciiTheme="majorHAnsi" w:hAnsiTheme="majorHAnsi"/>
          <w:sz w:val="20"/>
          <w:szCs w:val="20"/>
          <w:lang w:val="es-ES" w:eastAsia="es-ES_tradnl"/>
        </w:rPr>
        <w:t>La</w:t>
      </w:r>
      <w:r w:rsidR="00362B3C" w:rsidRPr="00386E47">
        <w:rPr>
          <w:rFonts w:asciiTheme="majorHAnsi" w:hAnsiTheme="majorHAnsi"/>
          <w:sz w:val="20"/>
          <w:szCs w:val="20"/>
          <w:lang w:val="es-ES" w:eastAsia="es-ES_tradnl"/>
        </w:rPr>
        <w:t xml:space="preserve"> Comisión </w:t>
      </w:r>
      <w:r w:rsidR="007F48A5" w:rsidRPr="00386E47">
        <w:rPr>
          <w:rFonts w:asciiTheme="majorHAnsi" w:hAnsiTheme="majorHAnsi"/>
          <w:sz w:val="20"/>
          <w:szCs w:val="20"/>
          <w:lang w:val="es-ES" w:eastAsia="es-ES_tradnl"/>
        </w:rPr>
        <w:t>indicó</w:t>
      </w:r>
      <w:r w:rsidR="00362B3C" w:rsidRPr="00386E47">
        <w:rPr>
          <w:rFonts w:asciiTheme="majorHAnsi" w:hAnsiTheme="majorHAnsi"/>
          <w:sz w:val="20"/>
          <w:szCs w:val="20"/>
          <w:lang w:val="es-ES" w:eastAsia="es-ES_tradnl"/>
        </w:rPr>
        <w:t xml:space="preserve"> que la violencia terrorista puede adquirir muchas formas y variar según contextos de paz o de conflicto armado. </w:t>
      </w:r>
      <w:r w:rsidRPr="00386E47">
        <w:rPr>
          <w:rFonts w:asciiTheme="majorHAnsi" w:hAnsiTheme="majorHAnsi"/>
          <w:sz w:val="20"/>
          <w:szCs w:val="20"/>
          <w:lang w:val="es-ES" w:eastAsia="es-ES_tradnl"/>
        </w:rPr>
        <w:t>Asimismo, resaltó que el</w:t>
      </w:r>
      <w:r w:rsidR="00362B3C" w:rsidRPr="00386E47">
        <w:rPr>
          <w:rFonts w:asciiTheme="majorHAnsi" w:hAnsiTheme="majorHAnsi"/>
          <w:sz w:val="20"/>
          <w:szCs w:val="20"/>
          <w:lang w:val="es-ES_tradnl"/>
        </w:rPr>
        <w:t xml:space="preserve"> comportamiento de actores que no sean Estados, incluyendo los terroristas y grupos terroristas, </w:t>
      </w:r>
      <w:r w:rsidRPr="00386E47">
        <w:rPr>
          <w:rFonts w:asciiTheme="majorHAnsi" w:hAnsiTheme="majorHAnsi"/>
          <w:sz w:val="20"/>
          <w:szCs w:val="20"/>
          <w:lang w:val="es-ES_tradnl"/>
        </w:rPr>
        <w:t xml:space="preserve">tienen implicaciones </w:t>
      </w:r>
      <w:r w:rsidR="00362B3C" w:rsidRPr="00386E47">
        <w:rPr>
          <w:rFonts w:asciiTheme="majorHAnsi" w:hAnsiTheme="majorHAnsi"/>
          <w:sz w:val="20"/>
          <w:szCs w:val="20"/>
          <w:lang w:val="es-ES_tradnl"/>
        </w:rPr>
        <w:t xml:space="preserve"> para la evaluación de las obligaciones de los Estados en materia de la protección de los derechos humanos en el continente”</w:t>
      </w:r>
      <w:r w:rsidR="00362B3C" w:rsidRPr="00386E47">
        <w:rPr>
          <w:rStyle w:val="FootnoteReference"/>
          <w:rFonts w:asciiTheme="majorHAnsi" w:hAnsiTheme="majorHAnsi"/>
          <w:sz w:val="20"/>
          <w:szCs w:val="20"/>
          <w:lang w:val="es-ES_tradnl"/>
        </w:rPr>
        <w:footnoteReference w:id="69"/>
      </w:r>
      <w:r w:rsidR="00362B3C" w:rsidRPr="00386E47">
        <w:rPr>
          <w:rFonts w:asciiTheme="majorHAnsi" w:hAnsiTheme="majorHAnsi"/>
          <w:sz w:val="20"/>
          <w:szCs w:val="20"/>
          <w:lang w:val="es-ES_tradnl"/>
        </w:rPr>
        <w:t>.</w:t>
      </w:r>
      <w:r w:rsidR="00362B3C" w:rsidRPr="00386E47">
        <w:rPr>
          <w:rFonts w:asciiTheme="majorHAnsi" w:hAnsiTheme="majorHAnsi"/>
          <w:sz w:val="20"/>
          <w:szCs w:val="20"/>
          <w:lang w:val="es-ES" w:eastAsia="es-ES_tradnl"/>
        </w:rPr>
        <w:t xml:space="preserve"> </w:t>
      </w:r>
    </w:p>
    <w:p w14:paraId="20A9502B" w14:textId="77777777" w:rsidR="00362B3C" w:rsidRPr="00386E47" w:rsidRDefault="00362B3C" w:rsidP="00362B3C">
      <w:pPr>
        <w:pStyle w:val="ListParagraph"/>
        <w:tabs>
          <w:tab w:val="left" w:pos="567"/>
        </w:tabs>
        <w:ind w:left="0"/>
        <w:jc w:val="both"/>
        <w:rPr>
          <w:rFonts w:asciiTheme="majorHAnsi" w:hAnsiTheme="majorHAnsi"/>
          <w:sz w:val="20"/>
          <w:szCs w:val="20"/>
          <w:lang w:val="es-ES" w:eastAsia="es-ES_tradnl"/>
        </w:rPr>
      </w:pPr>
    </w:p>
    <w:p w14:paraId="1A7547C2" w14:textId="77777777" w:rsidR="007A0537" w:rsidRPr="00386E47" w:rsidRDefault="00362B3C" w:rsidP="003A5860">
      <w:pPr>
        <w:pStyle w:val="ListParagraph"/>
        <w:numPr>
          <w:ilvl w:val="0"/>
          <w:numId w:val="55"/>
        </w:numPr>
        <w:tabs>
          <w:tab w:val="left" w:pos="567"/>
        </w:tabs>
        <w:ind w:left="0" w:firstLine="0"/>
        <w:jc w:val="both"/>
        <w:rPr>
          <w:rFonts w:asciiTheme="majorHAnsi" w:eastAsia="Times New Roman" w:hAnsiTheme="majorHAnsi"/>
          <w:sz w:val="20"/>
          <w:szCs w:val="20"/>
          <w:shd w:val="clear" w:color="auto" w:fill="FFFFFF"/>
          <w:lang w:val="es-ES" w:eastAsia="es-ES_tradnl"/>
        </w:rPr>
      </w:pPr>
      <w:r w:rsidRPr="00386E47">
        <w:rPr>
          <w:rFonts w:asciiTheme="majorHAnsi" w:hAnsiTheme="majorHAnsi"/>
          <w:sz w:val="20"/>
          <w:szCs w:val="20"/>
          <w:lang w:val="es-ES"/>
        </w:rPr>
        <w:t xml:space="preserve">Específicamente, en relación con la responsabilidad internacional de los Estados por la ocurrencia de actos terroristas en su jurisdicción, </w:t>
      </w:r>
      <w:r w:rsidR="007A0537" w:rsidRPr="00386E47">
        <w:rPr>
          <w:rFonts w:asciiTheme="majorHAnsi" w:hAnsiTheme="majorHAnsi"/>
          <w:sz w:val="20"/>
          <w:szCs w:val="20"/>
          <w:lang w:val="es-ES"/>
        </w:rPr>
        <w:t xml:space="preserve">la Comisión señaló </w:t>
      </w:r>
      <w:r w:rsidR="00F54071" w:rsidRPr="00386E47">
        <w:rPr>
          <w:rFonts w:asciiTheme="majorHAnsi" w:hAnsiTheme="majorHAnsi"/>
          <w:sz w:val="20"/>
          <w:szCs w:val="20"/>
          <w:lang w:val="es-ES"/>
        </w:rPr>
        <w:t>que,</w:t>
      </w:r>
      <w:r w:rsidRPr="00386E47">
        <w:rPr>
          <w:rFonts w:asciiTheme="majorHAnsi" w:hAnsiTheme="majorHAnsi"/>
          <w:sz w:val="20"/>
          <w:szCs w:val="20"/>
          <w:lang w:val="es-ES"/>
        </w:rPr>
        <w:t xml:space="preserve"> en el marco de sus obligaciones respecto </w:t>
      </w:r>
      <w:r w:rsidRPr="00386E47">
        <w:rPr>
          <w:rFonts w:asciiTheme="majorHAnsi" w:eastAsia="Times New Roman" w:hAnsiTheme="majorHAnsi"/>
          <w:sz w:val="20"/>
          <w:szCs w:val="20"/>
          <w:lang w:val="es-ES" w:eastAsia="es-ES_tradnl"/>
        </w:rPr>
        <w:t xml:space="preserve">al derecho a la vida, ˝no puede interpretarse de manera de poner al Estado en situación de garante respecto de toda amenaza terrorista, pues ello impondría a las autoridades una carga desproporcionada. Sin embargo, en ciertas </w:t>
      </w:r>
      <w:r w:rsidRPr="00386E47">
        <w:rPr>
          <w:rFonts w:asciiTheme="majorHAnsi" w:eastAsia="Times New Roman" w:hAnsiTheme="majorHAnsi"/>
          <w:sz w:val="20"/>
          <w:szCs w:val="20"/>
          <w:lang w:val="es-ES" w:eastAsia="es-ES_tradnl"/>
        </w:rPr>
        <w:lastRenderedPageBreak/>
        <w:t>circunstancias establecidas, los funcionarios públicos pueden quedar sujetos a una obligación positiva de tomar medidas operacionales para prevenir que ocurra un acto terrorista”</w:t>
      </w:r>
      <w:r w:rsidRPr="00386E47">
        <w:rPr>
          <w:rStyle w:val="FootnoteReference"/>
          <w:rFonts w:asciiTheme="majorHAnsi" w:eastAsia="Times New Roman" w:hAnsiTheme="majorHAnsi"/>
          <w:sz w:val="20"/>
          <w:szCs w:val="20"/>
          <w:lang w:val="es-ES" w:eastAsia="es-ES_tradnl"/>
        </w:rPr>
        <w:footnoteReference w:id="70"/>
      </w:r>
      <w:r w:rsidRPr="00386E47">
        <w:rPr>
          <w:rFonts w:asciiTheme="majorHAnsi" w:eastAsia="Times New Roman" w:hAnsiTheme="majorHAnsi"/>
          <w:sz w:val="20"/>
          <w:szCs w:val="20"/>
          <w:lang w:val="es-ES" w:eastAsia="es-ES_tradnl"/>
        </w:rPr>
        <w:t xml:space="preserve">. </w:t>
      </w:r>
    </w:p>
    <w:p w14:paraId="204E918E" w14:textId="77777777" w:rsidR="007A0537" w:rsidRPr="00386E47" w:rsidRDefault="007A0537" w:rsidP="00A311A0">
      <w:pPr>
        <w:pStyle w:val="ListParagraph"/>
        <w:rPr>
          <w:rFonts w:asciiTheme="majorHAnsi" w:eastAsia="Times New Roman" w:hAnsiTheme="majorHAnsi"/>
          <w:sz w:val="20"/>
          <w:szCs w:val="20"/>
          <w:lang w:val="es-ES" w:eastAsia="es-ES_tradnl"/>
        </w:rPr>
      </w:pPr>
    </w:p>
    <w:p w14:paraId="0132B148" w14:textId="77777777" w:rsidR="00362B3C" w:rsidRPr="00386E47" w:rsidRDefault="007A0537" w:rsidP="003A5860">
      <w:pPr>
        <w:pStyle w:val="ListParagraph"/>
        <w:numPr>
          <w:ilvl w:val="0"/>
          <w:numId w:val="55"/>
        </w:numPr>
        <w:tabs>
          <w:tab w:val="left" w:pos="567"/>
        </w:tabs>
        <w:ind w:left="0" w:firstLine="0"/>
        <w:jc w:val="both"/>
        <w:rPr>
          <w:rFonts w:asciiTheme="majorHAnsi" w:eastAsia="Times New Roman" w:hAnsiTheme="majorHAnsi"/>
          <w:sz w:val="20"/>
          <w:szCs w:val="20"/>
          <w:lang w:val="es-ES" w:eastAsia="es-ES_tradnl"/>
        </w:rPr>
      </w:pPr>
      <w:r w:rsidRPr="00386E47">
        <w:rPr>
          <w:rFonts w:asciiTheme="majorHAnsi" w:eastAsia="Times New Roman" w:hAnsiTheme="majorHAnsi"/>
          <w:sz w:val="20"/>
          <w:szCs w:val="20"/>
          <w:lang w:val="es-ES" w:eastAsia="es-ES_tradnl"/>
        </w:rPr>
        <w:t xml:space="preserve">Específicamente, respecto del deber de prevención, la Comisión observa que a efectos de determinar </w:t>
      </w:r>
      <w:r w:rsidR="00362B3C" w:rsidRPr="00386E47">
        <w:rPr>
          <w:rFonts w:asciiTheme="majorHAnsi" w:eastAsia="Times New Roman" w:hAnsiTheme="majorHAnsi"/>
          <w:sz w:val="20"/>
          <w:szCs w:val="20"/>
          <w:lang w:val="es-ES" w:eastAsia="es-ES_tradnl"/>
        </w:rPr>
        <w:t xml:space="preserve">cuándo el Estado es responsable por ausencia de prevención, el Informe del Relator Especial </w:t>
      </w:r>
      <w:r w:rsidRPr="00386E47">
        <w:rPr>
          <w:rFonts w:asciiTheme="majorHAnsi" w:eastAsia="Times New Roman" w:hAnsiTheme="majorHAnsi"/>
          <w:sz w:val="20"/>
          <w:szCs w:val="20"/>
          <w:lang w:val="es-ES" w:eastAsia="es-ES_tradnl"/>
        </w:rPr>
        <w:t xml:space="preserve">de la ONU </w:t>
      </w:r>
      <w:r w:rsidR="00362B3C" w:rsidRPr="00386E47">
        <w:rPr>
          <w:rFonts w:asciiTheme="majorHAnsi" w:eastAsia="Times New Roman" w:hAnsiTheme="majorHAnsi"/>
          <w:sz w:val="20"/>
          <w:szCs w:val="20"/>
          <w:lang w:val="es-ES" w:eastAsia="es-ES_tradnl"/>
        </w:rPr>
        <w:t>presenta la siguiente metodología de análisis: “i) las autoridades sabían o debían haber sabido ii) que existía al momento correspondiente un peligro real e inmediato, iii) para la vida de una persona o un grupo de individuos bajo su jurisdicción en razón de iv) actos criminales de un tercero y que v) no tomaron, en el ámbito de sus facultades legales y sus recursos disponibles de conformidad con sus obligaciones internacionales, medidas con las cuales, juzgadas en forma objetiva y razonable, se podría haber esperado evitar ese peligro”</w:t>
      </w:r>
      <w:r w:rsidR="00362B3C" w:rsidRPr="00386E47">
        <w:rPr>
          <w:rStyle w:val="FootnoteReference"/>
          <w:rFonts w:asciiTheme="majorHAnsi" w:eastAsia="Times New Roman" w:hAnsiTheme="majorHAnsi"/>
          <w:sz w:val="20"/>
          <w:szCs w:val="20"/>
          <w:lang w:val="es-ES" w:eastAsia="es-ES_tradnl"/>
        </w:rPr>
        <w:t xml:space="preserve"> </w:t>
      </w:r>
      <w:r w:rsidR="00362B3C" w:rsidRPr="00386E47">
        <w:rPr>
          <w:rStyle w:val="FootnoteReference"/>
          <w:rFonts w:asciiTheme="majorHAnsi" w:eastAsia="Times New Roman" w:hAnsiTheme="majorHAnsi"/>
          <w:sz w:val="20"/>
          <w:szCs w:val="20"/>
          <w:lang w:val="es-ES" w:eastAsia="es-ES_tradnl"/>
        </w:rPr>
        <w:footnoteReference w:id="71"/>
      </w:r>
      <w:r w:rsidR="00362B3C" w:rsidRPr="00386E47">
        <w:rPr>
          <w:rFonts w:asciiTheme="majorHAnsi" w:eastAsia="Times New Roman" w:hAnsiTheme="majorHAnsi"/>
          <w:sz w:val="20"/>
          <w:szCs w:val="20"/>
          <w:lang w:val="es-ES" w:eastAsia="es-ES_tradnl"/>
        </w:rPr>
        <w:t>.</w:t>
      </w:r>
      <w:r w:rsidRPr="00386E47">
        <w:rPr>
          <w:rFonts w:asciiTheme="majorHAnsi" w:eastAsia="Times New Roman" w:hAnsiTheme="majorHAnsi"/>
          <w:sz w:val="20"/>
          <w:szCs w:val="20"/>
          <w:lang w:val="es-ES" w:eastAsia="es-ES_tradnl"/>
        </w:rPr>
        <w:t xml:space="preserve"> </w:t>
      </w:r>
      <w:r w:rsidRPr="00386E47">
        <w:rPr>
          <w:rFonts w:asciiTheme="majorHAnsi" w:hAnsiTheme="majorHAnsi"/>
          <w:sz w:val="20"/>
          <w:szCs w:val="20"/>
          <w:lang w:val="es-ES"/>
        </w:rPr>
        <w:t xml:space="preserve">El </w:t>
      </w:r>
      <w:r w:rsidR="000A6511" w:rsidRPr="00386E47">
        <w:rPr>
          <w:rFonts w:asciiTheme="majorHAnsi" w:hAnsiTheme="majorHAnsi"/>
          <w:sz w:val="20"/>
          <w:szCs w:val="20"/>
          <w:lang w:val="es-ES"/>
        </w:rPr>
        <w:t>R</w:t>
      </w:r>
      <w:r w:rsidRPr="00386E47">
        <w:rPr>
          <w:rFonts w:asciiTheme="majorHAnsi" w:hAnsiTheme="majorHAnsi"/>
          <w:sz w:val="20"/>
          <w:szCs w:val="20"/>
          <w:lang w:val="es-ES"/>
        </w:rPr>
        <w:t>elator enfatizó</w:t>
      </w:r>
      <w:r w:rsidR="00362B3C" w:rsidRPr="00386E47">
        <w:rPr>
          <w:rFonts w:asciiTheme="majorHAnsi" w:eastAsia="Times New Roman" w:hAnsiTheme="majorHAnsi"/>
          <w:sz w:val="20"/>
          <w:szCs w:val="20"/>
          <w:lang w:val="es-ES" w:eastAsia="es-ES_tradnl"/>
        </w:rPr>
        <w:t xml:space="preserve"> que “los Estados están obligados a establecer mecanismos efectivos para determinar posibles amenazas futuras de atentados terroristas, analizar la información con diligencia razonable, llegar a una evaluación informada del riesgo y tomar las medidas que procedan”</w:t>
      </w:r>
      <w:r w:rsidR="00362B3C" w:rsidRPr="00386E47">
        <w:rPr>
          <w:rStyle w:val="FootnoteReference"/>
          <w:rFonts w:asciiTheme="majorHAnsi" w:eastAsia="Times New Roman" w:hAnsiTheme="majorHAnsi"/>
          <w:sz w:val="20"/>
          <w:szCs w:val="20"/>
          <w:lang w:val="es-ES" w:eastAsia="es-ES_tradnl"/>
        </w:rPr>
        <w:footnoteReference w:id="72"/>
      </w:r>
      <w:r w:rsidR="00362B3C" w:rsidRPr="00386E47">
        <w:rPr>
          <w:rFonts w:asciiTheme="majorHAnsi" w:eastAsia="Times New Roman" w:hAnsiTheme="majorHAnsi"/>
          <w:sz w:val="20"/>
          <w:szCs w:val="20"/>
          <w:lang w:val="es-ES" w:eastAsia="es-ES_tradnl"/>
        </w:rPr>
        <w:t xml:space="preserve">. Agregó que las actividades de organismos de inteligencia deben respetar el derecho internacional de los derechos humanos. Igualmente, en el marco del deber de prevención y sobre el peligro real, </w:t>
      </w:r>
      <w:r w:rsidR="00362B3C" w:rsidRPr="00386E47">
        <w:rPr>
          <w:rFonts w:asciiTheme="majorHAnsi" w:hAnsiTheme="majorHAnsi"/>
          <w:sz w:val="20"/>
          <w:szCs w:val="20"/>
          <w:lang w:val="es-ES"/>
        </w:rPr>
        <w:t>refirió</w:t>
      </w:r>
      <w:r w:rsidR="00362B3C" w:rsidRPr="00386E47">
        <w:rPr>
          <w:rFonts w:asciiTheme="majorHAnsi" w:eastAsia="Times New Roman" w:hAnsiTheme="majorHAnsi"/>
          <w:sz w:val="20"/>
          <w:szCs w:val="20"/>
          <w:lang w:val="es-ES" w:eastAsia="es-ES_tradnl"/>
        </w:rPr>
        <w:t xml:space="preserve"> que “</w:t>
      </w:r>
      <w:r w:rsidR="00362B3C" w:rsidRPr="00386E47">
        <w:rPr>
          <w:rFonts w:asciiTheme="majorHAnsi" w:hAnsiTheme="majorHAnsi"/>
          <w:sz w:val="20"/>
          <w:szCs w:val="20"/>
          <w:lang w:val="es-ES"/>
        </w:rPr>
        <w:t>[l]</w:t>
      </w:r>
      <w:r w:rsidR="00362B3C" w:rsidRPr="00386E47">
        <w:rPr>
          <w:rFonts w:asciiTheme="majorHAnsi" w:eastAsia="Times New Roman" w:hAnsiTheme="majorHAnsi"/>
          <w:sz w:val="20"/>
          <w:szCs w:val="20"/>
          <w:lang w:val="es-ES" w:eastAsia="es-ES_tradnl"/>
        </w:rPr>
        <w:t>as evaluaciones que se hacen exclusivamente ex post facto no pueden constituir la única base para constatar la responsabilidad del Estado por una violación del derecho a la vida”</w:t>
      </w:r>
      <w:r w:rsidR="00362B3C" w:rsidRPr="00386E47">
        <w:rPr>
          <w:rStyle w:val="FootnoteReference"/>
          <w:rFonts w:asciiTheme="majorHAnsi" w:eastAsia="Times New Roman" w:hAnsiTheme="majorHAnsi"/>
          <w:sz w:val="20"/>
          <w:szCs w:val="20"/>
          <w:lang w:val="es-ES" w:eastAsia="es-ES_tradnl"/>
        </w:rPr>
        <w:footnoteReference w:id="73"/>
      </w:r>
      <w:r w:rsidR="00362B3C" w:rsidRPr="00386E47">
        <w:rPr>
          <w:rFonts w:asciiTheme="majorHAnsi" w:eastAsia="Times New Roman" w:hAnsiTheme="majorHAnsi"/>
          <w:sz w:val="20"/>
          <w:szCs w:val="20"/>
          <w:lang w:val="es-ES" w:eastAsia="es-ES_tradnl"/>
        </w:rPr>
        <w:t xml:space="preserve">.  </w:t>
      </w:r>
    </w:p>
    <w:p w14:paraId="10C7CF95" w14:textId="77777777" w:rsidR="008B43FD" w:rsidRPr="00386E47" w:rsidRDefault="008B43FD" w:rsidP="00F9080A">
      <w:pPr>
        <w:pStyle w:val="parrafos"/>
        <w:tabs>
          <w:tab w:val="left" w:pos="0"/>
          <w:tab w:val="left" w:pos="567"/>
        </w:tabs>
      </w:pPr>
    </w:p>
    <w:p w14:paraId="5C7331FD" w14:textId="77777777" w:rsidR="008B43FD" w:rsidRPr="00386E47" w:rsidRDefault="008B43FD" w:rsidP="009146F2">
      <w:pPr>
        <w:pStyle w:val="Heading3"/>
        <w:numPr>
          <w:ilvl w:val="1"/>
          <w:numId w:val="68"/>
        </w:numPr>
        <w:ind w:left="284" w:firstLine="0"/>
      </w:pPr>
      <w:bookmarkStart w:id="25" w:name="_Toc51252196"/>
      <w:r w:rsidRPr="00386E47">
        <w:t xml:space="preserve">Hechos </w:t>
      </w:r>
      <w:r w:rsidR="00790369" w:rsidRPr="00386E47">
        <w:t xml:space="preserve">específicos relacionados con </w:t>
      </w:r>
      <w:r w:rsidR="00F54071" w:rsidRPr="00386E47">
        <w:t>la prevención d</w:t>
      </w:r>
      <w:r w:rsidR="00790369" w:rsidRPr="00386E47">
        <w:t>el atentado</w:t>
      </w:r>
      <w:bookmarkEnd w:id="25"/>
    </w:p>
    <w:p w14:paraId="4A51985B" w14:textId="77777777" w:rsidR="008B43FD" w:rsidRPr="00386E47" w:rsidRDefault="008B43FD" w:rsidP="003A5860">
      <w:pPr>
        <w:pStyle w:val="ListParagraph"/>
        <w:numPr>
          <w:ilvl w:val="0"/>
          <w:numId w:val="55"/>
        </w:numPr>
        <w:tabs>
          <w:tab w:val="left" w:pos="567"/>
        </w:tabs>
        <w:ind w:left="0" w:firstLine="0"/>
        <w:contextualSpacing/>
        <w:jc w:val="both"/>
        <w:rPr>
          <w:rFonts w:asciiTheme="majorHAnsi" w:eastAsia="Calibri" w:hAnsiTheme="majorHAnsi"/>
          <w:sz w:val="20"/>
          <w:szCs w:val="20"/>
          <w:lang w:val="es-US"/>
        </w:rPr>
      </w:pPr>
      <w:r w:rsidRPr="00386E47">
        <w:rPr>
          <w:rFonts w:asciiTheme="majorHAnsi" w:eastAsia="Calibri" w:hAnsiTheme="majorHAnsi"/>
          <w:sz w:val="20"/>
          <w:szCs w:val="20"/>
          <w:lang w:val="es-US"/>
        </w:rPr>
        <w:t xml:space="preserve">El 17 de marzo de 1992, </w:t>
      </w:r>
      <w:r w:rsidRPr="00386E47">
        <w:rPr>
          <w:rFonts w:asciiTheme="majorHAnsi" w:eastAsia="Calibri" w:hAnsiTheme="majorHAnsi"/>
          <w:sz w:val="20"/>
          <w:szCs w:val="20"/>
          <w:lang w:val="es-AR"/>
        </w:rPr>
        <w:t xml:space="preserve">aproximadamente dos años antes del atentado a la sede de la AMIA, </w:t>
      </w:r>
      <w:r w:rsidRPr="00386E47">
        <w:rPr>
          <w:rFonts w:asciiTheme="majorHAnsi" w:eastAsia="Calibri" w:hAnsiTheme="majorHAnsi"/>
          <w:sz w:val="20"/>
          <w:szCs w:val="20"/>
          <w:lang w:val="es-US"/>
        </w:rPr>
        <w:t>se produjo un atentado en la sede de la Embajada de Israel situada en la ciudad de Buenos Aires, como consecuencia de un estallido de material explosivo acondicionado en una camioneta Ford F-100. El atentado provocó la destrucción de la sede diplomática y ocasionó daños en edificios cercanos y en vehículos estacionados en la zona. 22 personas murieron y más de 350 resultaron heridas</w:t>
      </w:r>
      <w:r w:rsidRPr="00386E47">
        <w:rPr>
          <w:rFonts w:asciiTheme="majorHAnsi" w:hAnsiTheme="majorHAnsi"/>
          <w:sz w:val="20"/>
          <w:szCs w:val="20"/>
          <w:vertAlign w:val="superscript"/>
        </w:rPr>
        <w:footnoteReference w:id="74"/>
      </w:r>
      <w:r w:rsidRPr="00386E47">
        <w:rPr>
          <w:rFonts w:asciiTheme="majorHAnsi" w:eastAsia="Calibri" w:hAnsiTheme="majorHAnsi"/>
          <w:sz w:val="20"/>
          <w:szCs w:val="20"/>
          <w:lang w:val="es-US"/>
        </w:rPr>
        <w:t xml:space="preserve">.  </w:t>
      </w:r>
    </w:p>
    <w:p w14:paraId="374EAA55" w14:textId="77777777" w:rsidR="008B43FD" w:rsidRPr="00386E47" w:rsidRDefault="008B43FD" w:rsidP="008B43FD">
      <w:pPr>
        <w:tabs>
          <w:tab w:val="left" w:pos="567"/>
        </w:tabs>
        <w:contextualSpacing/>
        <w:jc w:val="both"/>
        <w:rPr>
          <w:rFonts w:asciiTheme="majorHAnsi" w:eastAsia="Calibri" w:hAnsiTheme="majorHAnsi"/>
          <w:sz w:val="20"/>
          <w:szCs w:val="20"/>
          <w:lang w:val="es-US"/>
        </w:rPr>
      </w:pPr>
    </w:p>
    <w:p w14:paraId="5FE95F76" w14:textId="77777777" w:rsidR="008B43FD" w:rsidRPr="00386E47" w:rsidRDefault="008B43FD" w:rsidP="003A5860">
      <w:pPr>
        <w:numPr>
          <w:ilvl w:val="0"/>
          <w:numId w:val="55"/>
        </w:numPr>
        <w:tabs>
          <w:tab w:val="left" w:pos="567"/>
        </w:tabs>
        <w:ind w:left="0" w:firstLine="0"/>
        <w:contextualSpacing/>
        <w:jc w:val="both"/>
        <w:rPr>
          <w:rFonts w:asciiTheme="majorHAnsi" w:eastAsia="Calibri" w:hAnsiTheme="majorHAnsi"/>
          <w:sz w:val="20"/>
          <w:szCs w:val="20"/>
          <w:lang w:val="es-US"/>
        </w:rPr>
      </w:pPr>
      <w:r w:rsidRPr="00386E47">
        <w:rPr>
          <w:rFonts w:asciiTheme="majorHAnsi" w:eastAsia="Calibri" w:hAnsiTheme="majorHAnsi"/>
          <w:sz w:val="20"/>
          <w:szCs w:val="20"/>
          <w:lang w:val="es-US"/>
        </w:rPr>
        <w:t xml:space="preserve">La investigación al atentado de la Embajada quedó a cargo de la Corte Suprema de Justicia de la Nación. </w:t>
      </w:r>
      <w:r w:rsidRPr="00386E47">
        <w:rPr>
          <w:rFonts w:asciiTheme="majorHAnsi" w:eastAsia="Calibri" w:hAnsiTheme="majorHAnsi"/>
          <w:sz w:val="20"/>
          <w:szCs w:val="20"/>
          <w:lang w:val="es-ES"/>
        </w:rPr>
        <w:t>Para la fecha del atentado a la AMIA, las autoridades judiciales argentinas aún no habían dictado resolución de mérito alguna sobre el ataque a la Embajada de Israel. A</w:t>
      </w:r>
      <w:r w:rsidRPr="00386E47">
        <w:rPr>
          <w:rFonts w:asciiTheme="majorHAnsi" w:eastAsia="Calibri" w:hAnsiTheme="majorHAnsi"/>
          <w:sz w:val="20"/>
          <w:szCs w:val="20"/>
          <w:lang w:val="es-US"/>
        </w:rPr>
        <w:t xml:space="preserve"> través de la resolución de 23 de diciembre de 1999 se atribuyó el hecho “al grupo terrorista denominado Jihad Islámica, brazo armado del Hezbollah”</w:t>
      </w:r>
      <w:r w:rsidRPr="00386E47">
        <w:rPr>
          <w:rFonts w:asciiTheme="majorHAnsi" w:eastAsia="Calibri" w:hAnsiTheme="majorHAnsi"/>
          <w:sz w:val="20"/>
          <w:szCs w:val="20"/>
          <w:vertAlign w:val="superscript"/>
          <w:lang w:val="es-US"/>
        </w:rPr>
        <w:footnoteReference w:id="75"/>
      </w:r>
      <w:r w:rsidRPr="00386E47">
        <w:rPr>
          <w:rFonts w:asciiTheme="majorHAnsi" w:eastAsia="Calibri" w:hAnsiTheme="majorHAnsi"/>
          <w:sz w:val="20"/>
          <w:szCs w:val="20"/>
          <w:lang w:val="es-US"/>
        </w:rPr>
        <w:t xml:space="preserve">. </w:t>
      </w:r>
      <w:r w:rsidRPr="00386E47">
        <w:rPr>
          <w:rFonts w:asciiTheme="majorHAnsi" w:eastAsia="Calibri" w:hAnsiTheme="majorHAnsi"/>
          <w:sz w:val="20"/>
          <w:szCs w:val="20"/>
          <w:lang w:val="es-ES"/>
        </w:rPr>
        <w:t>A la fecha, no se cuenta con información que indique que existen personas condenadas por el hecho.</w:t>
      </w:r>
    </w:p>
    <w:p w14:paraId="170010E1" w14:textId="77777777" w:rsidR="008B43FD" w:rsidRPr="00386E47" w:rsidRDefault="008B43FD" w:rsidP="008B43FD">
      <w:pPr>
        <w:tabs>
          <w:tab w:val="left" w:pos="567"/>
        </w:tabs>
        <w:rPr>
          <w:rFonts w:asciiTheme="majorHAnsi" w:eastAsia="Calibri" w:hAnsiTheme="majorHAnsi"/>
          <w:sz w:val="20"/>
          <w:szCs w:val="20"/>
          <w:lang w:val="es-US"/>
        </w:rPr>
      </w:pPr>
    </w:p>
    <w:p w14:paraId="78944780" w14:textId="77777777" w:rsidR="008B43FD" w:rsidRPr="00386E47" w:rsidRDefault="008B43FD" w:rsidP="003A5860">
      <w:pPr>
        <w:numPr>
          <w:ilvl w:val="0"/>
          <w:numId w:val="55"/>
        </w:numPr>
        <w:tabs>
          <w:tab w:val="left" w:pos="567"/>
        </w:tabs>
        <w:ind w:left="0" w:firstLine="0"/>
        <w:contextualSpacing/>
        <w:jc w:val="both"/>
        <w:rPr>
          <w:rFonts w:asciiTheme="majorHAnsi" w:eastAsia="Calibri" w:hAnsiTheme="majorHAnsi"/>
          <w:sz w:val="20"/>
          <w:szCs w:val="20"/>
          <w:lang w:val="es-US"/>
        </w:rPr>
      </w:pPr>
      <w:r w:rsidRPr="00386E47">
        <w:rPr>
          <w:rFonts w:asciiTheme="majorHAnsi" w:eastAsia="Calibri" w:hAnsiTheme="majorHAnsi"/>
          <w:sz w:val="20"/>
          <w:szCs w:val="20"/>
          <w:lang w:val="es-US"/>
        </w:rPr>
        <w:t>Después del atentado a la Embajada de Israel se implantó un servicio de vigilancia 24 horas para custodiar la calle donde se encontraba el edificio de la AMIA, el cual se encontraba a cargo de las comisarías 5ª y 7ª de la Policía Federal Argentina</w:t>
      </w:r>
      <w:r w:rsidRPr="00386E47">
        <w:rPr>
          <w:rFonts w:asciiTheme="majorHAnsi" w:eastAsia="Calibri" w:hAnsiTheme="majorHAnsi"/>
          <w:sz w:val="20"/>
          <w:szCs w:val="20"/>
          <w:vertAlign w:val="superscript"/>
          <w:lang w:val="es-US"/>
        </w:rPr>
        <w:footnoteReference w:id="76"/>
      </w:r>
      <w:r w:rsidRPr="00386E47">
        <w:rPr>
          <w:rFonts w:asciiTheme="majorHAnsi" w:eastAsia="Calibri" w:hAnsiTheme="majorHAnsi"/>
          <w:sz w:val="20"/>
          <w:szCs w:val="20"/>
          <w:lang w:val="es-US"/>
        </w:rPr>
        <w:t xml:space="preserve">. Algunas de las medidas de custodia consistían en tomar fotografías de las proximidades del edificio, observaciones o filmaciones, prohibir el estacionamiento en la calle Pasteur al 600 y evitar, en medida de lo posible, que los autos se detuvieran en cercanías del edificio. Los policías se rotaban por </w:t>
      </w:r>
      <w:r w:rsidRPr="00386E47">
        <w:rPr>
          <w:rFonts w:asciiTheme="majorHAnsi" w:eastAsia="Calibri" w:hAnsiTheme="majorHAnsi"/>
          <w:sz w:val="20"/>
          <w:szCs w:val="20"/>
          <w:lang w:val="es-US"/>
        </w:rPr>
        <w:lastRenderedPageBreak/>
        <w:t>cuartos, de forma que siempre estuvieran presentes dos uniformados. Además, había un servicio de control y supervisión a cargo del oficial externo de las dos comisarías para controlar y dejar constancia de cualquier irregularidad</w:t>
      </w:r>
      <w:r w:rsidRPr="00386E47">
        <w:rPr>
          <w:rFonts w:asciiTheme="majorHAnsi" w:eastAsia="Calibri" w:hAnsiTheme="majorHAnsi"/>
          <w:sz w:val="20"/>
          <w:szCs w:val="20"/>
          <w:vertAlign w:val="superscript"/>
          <w:lang w:val="es-US"/>
        </w:rPr>
        <w:footnoteReference w:id="77"/>
      </w:r>
      <w:r w:rsidRPr="00386E47">
        <w:rPr>
          <w:rFonts w:asciiTheme="majorHAnsi" w:eastAsia="Calibri" w:hAnsiTheme="majorHAnsi"/>
          <w:sz w:val="20"/>
          <w:szCs w:val="20"/>
          <w:lang w:val="es-US"/>
        </w:rPr>
        <w:t xml:space="preserve">. </w:t>
      </w:r>
    </w:p>
    <w:p w14:paraId="6B87E971" w14:textId="77777777" w:rsidR="008B43FD" w:rsidRPr="00386E47" w:rsidRDefault="008B43FD" w:rsidP="008B43FD">
      <w:pPr>
        <w:tabs>
          <w:tab w:val="left" w:pos="567"/>
        </w:tabs>
        <w:jc w:val="both"/>
        <w:rPr>
          <w:rFonts w:asciiTheme="majorHAnsi" w:eastAsia="Calibri" w:hAnsiTheme="majorHAnsi"/>
          <w:sz w:val="20"/>
          <w:szCs w:val="20"/>
          <w:lang w:val="es-US"/>
        </w:rPr>
      </w:pPr>
    </w:p>
    <w:p w14:paraId="58137C46" w14:textId="77777777" w:rsidR="008B43FD" w:rsidRPr="00386E47" w:rsidRDefault="008B43FD"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 xml:space="preserve">Días antes del atentado al edificio de la AMIA, el ciudadano brasilero Wilson Roberto Dos Santos concurrió al consulado argentino en Milán, Italia, e informó a la cónsul </w:t>
      </w:r>
      <w:r w:rsidRPr="00386E47">
        <w:rPr>
          <w:rFonts w:asciiTheme="majorHAnsi" w:eastAsia="Calibri" w:hAnsiTheme="majorHAnsi"/>
          <w:sz w:val="20"/>
          <w:szCs w:val="20"/>
          <w:lang w:val="es-ES"/>
        </w:rPr>
        <w:t>Norma Fasano sobre la identidad de una mujer que consideraba extraña y que, en su criterio, tenía pasaporte y cédula de identidad argentinos falsos. Dos Santos indicó que manifestó a la cónsul que la mujer a la que se refería habría participado en el atentado ocurrido a la Embajada de Israel en Buenos Aires</w:t>
      </w:r>
      <w:r w:rsidRPr="00386E47">
        <w:rPr>
          <w:rFonts w:asciiTheme="majorHAnsi" w:eastAsia="Calibri" w:hAnsiTheme="majorHAnsi"/>
          <w:sz w:val="20"/>
          <w:szCs w:val="20"/>
          <w:vertAlign w:val="superscript"/>
          <w:lang w:val="es-ES"/>
        </w:rPr>
        <w:footnoteReference w:id="78"/>
      </w:r>
      <w:r w:rsidRPr="00386E47">
        <w:rPr>
          <w:rFonts w:asciiTheme="majorHAnsi" w:eastAsia="Calibri" w:hAnsiTheme="majorHAnsi"/>
          <w:sz w:val="20"/>
          <w:szCs w:val="20"/>
          <w:lang w:val="es-ES"/>
        </w:rPr>
        <w:t>. Dos Santos manifestó que después del atentado a la AMIA acudió nuevamente donde la cónsul Fasano para insistir sobre sus sospechas de la participación de una persona en los ataques a la Embajada y a la AMIA, a lo que ella le habría respondido que “el fundamento de sus</w:t>
      </w:r>
      <w:r w:rsidRPr="00386E47">
        <w:rPr>
          <w:rFonts w:asciiTheme="majorHAnsi" w:eastAsia="Calibri" w:hAnsiTheme="majorHAnsi"/>
          <w:sz w:val="20"/>
          <w:szCs w:val="20"/>
          <w:lang w:val="es-US"/>
        </w:rPr>
        <w:t xml:space="preserve"> sospechas, esto es, la ilicitud de la documentación argentina […], no resultaban suficientes para iniciar una investigación”</w:t>
      </w:r>
      <w:r w:rsidRPr="00386E47">
        <w:rPr>
          <w:rFonts w:asciiTheme="majorHAnsi" w:eastAsia="Calibri" w:hAnsiTheme="majorHAnsi"/>
          <w:sz w:val="20"/>
          <w:szCs w:val="20"/>
          <w:vertAlign w:val="superscript"/>
          <w:lang w:val="es-US"/>
        </w:rPr>
        <w:footnoteReference w:id="79"/>
      </w:r>
      <w:r w:rsidRPr="00386E47">
        <w:rPr>
          <w:rFonts w:asciiTheme="majorHAnsi" w:eastAsia="Calibri" w:hAnsiTheme="majorHAnsi"/>
          <w:sz w:val="20"/>
          <w:szCs w:val="20"/>
          <w:lang w:val="es-US"/>
        </w:rPr>
        <w:t xml:space="preserve">. </w:t>
      </w:r>
    </w:p>
    <w:p w14:paraId="7E937CBE" w14:textId="77777777" w:rsidR="008B43FD" w:rsidRPr="00386E47" w:rsidRDefault="008B43FD" w:rsidP="008B43FD">
      <w:pPr>
        <w:tabs>
          <w:tab w:val="left" w:pos="567"/>
        </w:tabs>
        <w:jc w:val="both"/>
        <w:rPr>
          <w:rFonts w:asciiTheme="majorHAnsi" w:eastAsia="Calibri" w:hAnsiTheme="majorHAnsi"/>
          <w:sz w:val="20"/>
          <w:szCs w:val="20"/>
          <w:lang w:val="es-US"/>
        </w:rPr>
      </w:pPr>
    </w:p>
    <w:p w14:paraId="7B2573C4" w14:textId="77777777" w:rsidR="008B43FD" w:rsidRPr="00386E47" w:rsidRDefault="008B43FD"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Las últimas horas del 17 de julio de 1994 y la madrugada del día siguiente varias personas observaron y escucharon el sobrevuelo de un helicóptero a baja altura en el edificio de la AMIA</w:t>
      </w:r>
      <w:r w:rsidRPr="00386E47">
        <w:rPr>
          <w:rFonts w:asciiTheme="majorHAnsi" w:eastAsia="Calibri" w:hAnsiTheme="majorHAnsi"/>
          <w:sz w:val="20"/>
          <w:szCs w:val="20"/>
          <w:vertAlign w:val="superscript"/>
          <w:lang w:val="es-US"/>
        </w:rPr>
        <w:footnoteReference w:id="80"/>
      </w:r>
      <w:r w:rsidRPr="00386E47">
        <w:rPr>
          <w:rFonts w:asciiTheme="majorHAnsi" w:eastAsia="Calibri" w:hAnsiTheme="majorHAnsi"/>
          <w:sz w:val="20"/>
          <w:szCs w:val="20"/>
          <w:lang w:val="es-US"/>
        </w:rPr>
        <w:t>. La autoridad aeronáutica no tuvo registro del mismo</w:t>
      </w:r>
      <w:r w:rsidRPr="00386E47">
        <w:rPr>
          <w:rFonts w:asciiTheme="majorHAnsi" w:eastAsia="Calibri" w:hAnsiTheme="majorHAnsi"/>
          <w:sz w:val="20"/>
          <w:szCs w:val="20"/>
          <w:vertAlign w:val="superscript"/>
          <w:lang w:val="es-US"/>
        </w:rPr>
        <w:footnoteReference w:id="81"/>
      </w:r>
      <w:r w:rsidRPr="00386E47">
        <w:rPr>
          <w:rFonts w:asciiTheme="majorHAnsi" w:eastAsia="Calibri" w:hAnsiTheme="majorHAnsi"/>
          <w:sz w:val="20"/>
          <w:szCs w:val="20"/>
          <w:lang w:val="es-US"/>
        </w:rPr>
        <w:t xml:space="preserve">. </w:t>
      </w:r>
    </w:p>
    <w:p w14:paraId="66D71206" w14:textId="77777777" w:rsidR="008B43FD" w:rsidRPr="00386E47" w:rsidRDefault="008B43FD" w:rsidP="008B43FD">
      <w:pPr>
        <w:tabs>
          <w:tab w:val="left" w:pos="567"/>
        </w:tabs>
        <w:jc w:val="both"/>
        <w:rPr>
          <w:rFonts w:asciiTheme="majorHAnsi" w:eastAsia="Calibri" w:hAnsiTheme="majorHAnsi"/>
          <w:sz w:val="20"/>
          <w:szCs w:val="20"/>
          <w:lang w:val="es-US"/>
        </w:rPr>
      </w:pPr>
    </w:p>
    <w:p w14:paraId="63DB58B4" w14:textId="77777777" w:rsidR="008B43FD" w:rsidRPr="00386E47" w:rsidRDefault="008B43FD" w:rsidP="003A5860">
      <w:pPr>
        <w:numPr>
          <w:ilvl w:val="0"/>
          <w:numId w:val="55"/>
        </w:numPr>
        <w:tabs>
          <w:tab w:val="left" w:pos="567"/>
        </w:tabs>
        <w:ind w:left="0" w:firstLine="0"/>
        <w:contextualSpacing/>
        <w:jc w:val="both"/>
        <w:rPr>
          <w:rFonts w:asciiTheme="majorHAnsi" w:eastAsia="Calibri" w:hAnsiTheme="majorHAnsi"/>
          <w:sz w:val="20"/>
          <w:szCs w:val="20"/>
          <w:lang w:val="es-US"/>
        </w:rPr>
      </w:pPr>
      <w:r w:rsidRPr="00386E47">
        <w:rPr>
          <w:rFonts w:asciiTheme="majorHAnsi" w:eastAsia="Calibri" w:hAnsiTheme="majorHAnsi"/>
          <w:sz w:val="20"/>
          <w:szCs w:val="20"/>
          <w:lang w:val="es-US"/>
        </w:rPr>
        <w:t>Específicamente en relación con la custodia del lugar antes del atentado a la AMIA, el TOF 3 encontró que de los testimonios recibidos se desprendía que “que al menos desde el viernes 15 hasta la mañana del lunes siguiente, el patrullero apostado sobre la calle Pasteur no funcionaba debido a que su batería no tenía carga. Por esa razón, la custodia no contaba, en esos días, con el equipo de comunicaciones instalado en el móvil policial; carencia que se suplía, según dichos de varios de los efectivos policiales arriba mencionados, mediante la utilización de un aparato de comunicaciones manual -“H.T.”- provisto por los encargados de la custodia interna de la mutual”</w:t>
      </w:r>
      <w:r w:rsidRPr="00386E47">
        <w:rPr>
          <w:rFonts w:asciiTheme="majorHAnsi" w:eastAsia="Calibri" w:hAnsiTheme="majorHAnsi"/>
          <w:sz w:val="20"/>
          <w:szCs w:val="20"/>
          <w:vertAlign w:val="superscript"/>
          <w:lang w:val="es-US"/>
        </w:rPr>
        <w:footnoteReference w:id="82"/>
      </w:r>
      <w:r w:rsidRPr="00386E47">
        <w:rPr>
          <w:rFonts w:asciiTheme="majorHAnsi" w:eastAsia="Calibri" w:hAnsiTheme="majorHAnsi"/>
          <w:sz w:val="20"/>
          <w:szCs w:val="20"/>
          <w:lang w:val="es-US"/>
        </w:rPr>
        <w:t>.</w:t>
      </w:r>
    </w:p>
    <w:p w14:paraId="70E6DA23" w14:textId="77777777" w:rsidR="008B43FD" w:rsidRPr="00386E47" w:rsidRDefault="008B43FD" w:rsidP="008B43FD">
      <w:pPr>
        <w:tabs>
          <w:tab w:val="left" w:pos="567"/>
        </w:tabs>
        <w:contextualSpacing/>
        <w:jc w:val="both"/>
        <w:rPr>
          <w:rFonts w:asciiTheme="majorHAnsi" w:eastAsia="Calibri" w:hAnsiTheme="majorHAnsi"/>
          <w:sz w:val="20"/>
          <w:szCs w:val="20"/>
          <w:lang w:val="es-US"/>
        </w:rPr>
      </w:pPr>
    </w:p>
    <w:p w14:paraId="634B6E5E" w14:textId="77777777" w:rsidR="008B43FD" w:rsidRPr="00386E47" w:rsidRDefault="008B43FD"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 xml:space="preserve">De acuerdo con lo expresado en el “Informe Grossman”, consta que en la instrucción realizada por el Juez Galeano se encuentra mencionado </w:t>
      </w:r>
      <w:r w:rsidR="00F54071" w:rsidRPr="00386E47">
        <w:rPr>
          <w:rFonts w:asciiTheme="majorHAnsi" w:eastAsia="Calibri" w:hAnsiTheme="majorHAnsi"/>
          <w:sz w:val="20"/>
          <w:szCs w:val="20"/>
          <w:lang w:val="es-US"/>
        </w:rPr>
        <w:t>que tres</w:t>
      </w:r>
      <w:r w:rsidRPr="00386E47">
        <w:rPr>
          <w:rFonts w:asciiTheme="majorHAnsi" w:eastAsia="Calibri" w:hAnsiTheme="majorHAnsi"/>
          <w:sz w:val="20"/>
          <w:szCs w:val="20"/>
          <w:lang w:val="es-US"/>
        </w:rPr>
        <w:t xml:space="preserve"> minutos antes del atentado un camión dejó un volquete frente a la AMIA, en </w:t>
      </w:r>
      <w:r w:rsidR="00F54071" w:rsidRPr="00386E47">
        <w:rPr>
          <w:rFonts w:asciiTheme="majorHAnsi" w:eastAsia="Calibri" w:hAnsiTheme="majorHAnsi"/>
          <w:sz w:val="20"/>
          <w:szCs w:val="20"/>
          <w:lang w:val="es-US"/>
        </w:rPr>
        <w:t>proximidades del</w:t>
      </w:r>
      <w:r w:rsidRPr="00386E47">
        <w:rPr>
          <w:rFonts w:asciiTheme="majorHAnsi" w:eastAsia="Calibri" w:hAnsiTheme="majorHAnsi"/>
          <w:sz w:val="20"/>
          <w:szCs w:val="20"/>
          <w:lang w:val="es-US"/>
        </w:rPr>
        <w:t xml:space="preserve"> lugar donde después explotaría el coche bomba. Sin embargo, el juez no creyó que allí hubiesen estado los explosivos y a la misma conclusión llegó el Tribunal</w:t>
      </w:r>
      <w:r w:rsidRPr="00386E47">
        <w:rPr>
          <w:rFonts w:asciiTheme="majorHAnsi" w:eastAsia="Calibri" w:hAnsiTheme="majorHAnsi"/>
          <w:sz w:val="20"/>
          <w:szCs w:val="20"/>
          <w:vertAlign w:val="superscript"/>
          <w:lang w:val="es-US"/>
        </w:rPr>
        <w:footnoteReference w:id="83"/>
      </w:r>
      <w:r w:rsidRPr="00386E47">
        <w:rPr>
          <w:rFonts w:asciiTheme="majorHAnsi" w:eastAsia="Calibri" w:hAnsiTheme="majorHAnsi"/>
          <w:sz w:val="20"/>
          <w:szCs w:val="20"/>
          <w:lang w:val="es-US"/>
        </w:rPr>
        <w:t>. De acuerdo también con el Informe Grossman, los investigadores iniciales de la causa, suponían que la AMIA fue elegida como blanco porque era el escenario de manifestaciones en favor del Estado de Israel</w:t>
      </w:r>
      <w:r w:rsidRPr="00386E47">
        <w:rPr>
          <w:rFonts w:asciiTheme="majorHAnsi" w:eastAsia="Calibri" w:hAnsiTheme="majorHAnsi"/>
          <w:sz w:val="20"/>
          <w:szCs w:val="20"/>
          <w:vertAlign w:val="superscript"/>
          <w:lang w:val="es-US"/>
        </w:rPr>
        <w:footnoteReference w:id="84"/>
      </w:r>
      <w:r w:rsidRPr="00386E47">
        <w:rPr>
          <w:rFonts w:asciiTheme="majorHAnsi" w:eastAsia="Calibri" w:hAnsiTheme="majorHAnsi"/>
          <w:sz w:val="20"/>
          <w:szCs w:val="20"/>
          <w:lang w:val="es-US"/>
        </w:rPr>
        <w:t xml:space="preserve">. </w:t>
      </w:r>
    </w:p>
    <w:p w14:paraId="5FD5FD83" w14:textId="77777777" w:rsidR="008B43FD" w:rsidRPr="00386E47" w:rsidRDefault="008B43FD" w:rsidP="008B43FD">
      <w:pPr>
        <w:tabs>
          <w:tab w:val="left" w:pos="567"/>
        </w:tabs>
        <w:jc w:val="both"/>
        <w:rPr>
          <w:rFonts w:asciiTheme="majorHAnsi" w:eastAsia="Calibri" w:hAnsiTheme="majorHAnsi"/>
          <w:sz w:val="20"/>
          <w:szCs w:val="20"/>
          <w:lang w:val="es-US"/>
        </w:rPr>
      </w:pPr>
    </w:p>
    <w:p w14:paraId="2F6B83FA" w14:textId="77777777" w:rsidR="008B43FD" w:rsidRPr="00386E47" w:rsidRDefault="008B43FD" w:rsidP="003A5860">
      <w:pPr>
        <w:numPr>
          <w:ilvl w:val="0"/>
          <w:numId w:val="55"/>
        </w:numPr>
        <w:tabs>
          <w:tab w:val="left" w:pos="567"/>
        </w:tabs>
        <w:ind w:left="0" w:firstLine="0"/>
        <w:contextualSpacing/>
        <w:jc w:val="both"/>
        <w:rPr>
          <w:rFonts w:asciiTheme="majorHAnsi" w:eastAsia="Calibri" w:hAnsiTheme="majorHAnsi"/>
          <w:sz w:val="20"/>
          <w:szCs w:val="20"/>
          <w:lang w:val="es-US"/>
        </w:rPr>
      </w:pPr>
      <w:r w:rsidRPr="00386E47">
        <w:rPr>
          <w:rFonts w:asciiTheme="majorHAnsi" w:eastAsia="Calibri" w:hAnsiTheme="majorHAnsi"/>
          <w:sz w:val="20"/>
          <w:szCs w:val="20"/>
          <w:lang w:val="es-ES"/>
        </w:rPr>
        <w:t>De acuerdo con los peticionarios, después del atentado a la Embajada de Israel y con antelación al atentado de la AMIA, la SIDE se encontraría realizando tareas de seguimiento e inteligencia que tenían como blanco a Moshen Rabanni, agregado cultural de la Embajada de Irán en Argentina, quien habría sido observado  en 1993 mientras recorría diversas concesionarias de automóviles</w:t>
      </w:r>
      <w:r w:rsidRPr="00386E47">
        <w:rPr>
          <w:rFonts w:asciiTheme="majorHAnsi" w:eastAsia="Calibri" w:hAnsiTheme="majorHAnsi"/>
          <w:sz w:val="20"/>
          <w:szCs w:val="20"/>
          <w:vertAlign w:val="superscript"/>
          <w:lang w:val="es-ES"/>
        </w:rPr>
        <w:footnoteReference w:id="85"/>
      </w:r>
      <w:r w:rsidRPr="00386E47">
        <w:rPr>
          <w:rFonts w:asciiTheme="majorHAnsi" w:eastAsia="Calibri" w:hAnsiTheme="majorHAnsi"/>
          <w:sz w:val="20"/>
          <w:szCs w:val="20"/>
          <w:lang w:val="es-ES"/>
        </w:rPr>
        <w:t>. Señalaron también que los teléfonos de la Embajada de Irán se encontrarían intervenidos 45 días antes del atentado a la AMIA, pero que el contenido de esas escuchas fue extraviado</w:t>
      </w:r>
      <w:r w:rsidRPr="00386E47">
        <w:rPr>
          <w:rFonts w:asciiTheme="majorHAnsi" w:eastAsia="Calibri" w:hAnsiTheme="majorHAnsi"/>
          <w:sz w:val="20"/>
          <w:szCs w:val="20"/>
          <w:vertAlign w:val="superscript"/>
          <w:lang w:val="es-ES"/>
        </w:rPr>
        <w:footnoteReference w:id="86"/>
      </w:r>
      <w:r w:rsidRPr="00386E47">
        <w:rPr>
          <w:rFonts w:asciiTheme="majorHAnsi" w:eastAsia="Calibri" w:hAnsiTheme="majorHAnsi"/>
          <w:sz w:val="20"/>
          <w:szCs w:val="20"/>
          <w:lang w:val="es-ES"/>
        </w:rPr>
        <w:t xml:space="preserve">. </w:t>
      </w:r>
    </w:p>
    <w:p w14:paraId="4AB2CB30" w14:textId="77777777" w:rsidR="008B43FD" w:rsidRPr="00386E47" w:rsidRDefault="008B43FD" w:rsidP="00F9080A">
      <w:pPr>
        <w:pStyle w:val="parrafos"/>
        <w:tabs>
          <w:tab w:val="left" w:pos="0"/>
          <w:tab w:val="left" w:pos="567"/>
        </w:tabs>
        <w:rPr>
          <w:b/>
        </w:rPr>
      </w:pPr>
    </w:p>
    <w:p w14:paraId="4829C136" w14:textId="77777777" w:rsidR="00CC4D5C" w:rsidRPr="00386E47" w:rsidRDefault="00FB1535" w:rsidP="009146F2">
      <w:pPr>
        <w:pStyle w:val="Heading3"/>
        <w:numPr>
          <w:ilvl w:val="1"/>
          <w:numId w:val="68"/>
        </w:numPr>
        <w:ind w:left="284" w:firstLine="0"/>
      </w:pPr>
      <w:bookmarkStart w:id="26" w:name="_Toc51252197"/>
      <w:r w:rsidRPr="00386E47">
        <w:t xml:space="preserve">Consideraciones </w:t>
      </w:r>
      <w:r w:rsidR="007A0537" w:rsidRPr="00386E47">
        <w:t>de la Comisión</w:t>
      </w:r>
      <w:r w:rsidR="00C95355" w:rsidRPr="00386E47">
        <w:t xml:space="preserve"> en relación con los derechos a la vida e integridad personal</w:t>
      </w:r>
      <w:r w:rsidR="000F208E" w:rsidRPr="00386E47">
        <w:t xml:space="preserve"> en el caso concreto</w:t>
      </w:r>
      <w:bookmarkEnd w:id="26"/>
    </w:p>
    <w:p w14:paraId="04E6071E" w14:textId="77777777" w:rsidR="000C4D90" w:rsidRPr="00386E47" w:rsidRDefault="007A0537" w:rsidP="003A5860">
      <w:pPr>
        <w:numPr>
          <w:ilvl w:val="0"/>
          <w:numId w:val="55"/>
        </w:numPr>
        <w:tabs>
          <w:tab w:val="left" w:pos="567"/>
        </w:tabs>
        <w:ind w:left="0" w:firstLine="0"/>
        <w:jc w:val="both"/>
        <w:rPr>
          <w:rFonts w:asciiTheme="majorHAnsi" w:hAnsiTheme="majorHAnsi"/>
          <w:lang w:val="es-US"/>
        </w:rPr>
      </w:pPr>
      <w:r w:rsidRPr="00386E47">
        <w:rPr>
          <w:rFonts w:asciiTheme="majorHAnsi" w:hAnsiTheme="majorHAnsi" w:cs="Verdana"/>
          <w:sz w:val="20"/>
          <w:szCs w:val="20"/>
          <w:lang w:val="es-US"/>
        </w:rPr>
        <w:t>E</w:t>
      </w:r>
      <w:r w:rsidR="000C4D90" w:rsidRPr="00386E47">
        <w:rPr>
          <w:rFonts w:asciiTheme="majorHAnsi" w:hAnsiTheme="majorHAnsi" w:cs="Verdana"/>
          <w:sz w:val="20"/>
          <w:szCs w:val="20"/>
          <w:lang w:val="es-US"/>
        </w:rPr>
        <w:t xml:space="preserve">l atentado a la sede de la AMIA dejó 85 personas fallecidas y </w:t>
      </w:r>
      <w:r w:rsidR="00A86CFA" w:rsidRPr="00386E47">
        <w:rPr>
          <w:rFonts w:asciiTheme="majorHAnsi" w:hAnsiTheme="majorHAnsi" w:cs="Verdana"/>
          <w:sz w:val="20"/>
          <w:szCs w:val="20"/>
          <w:lang w:val="es-US"/>
        </w:rPr>
        <w:t>151</w:t>
      </w:r>
      <w:r w:rsidR="000C4D90" w:rsidRPr="00386E47">
        <w:rPr>
          <w:rFonts w:asciiTheme="majorHAnsi" w:hAnsiTheme="majorHAnsi" w:cs="Verdana"/>
          <w:sz w:val="20"/>
          <w:szCs w:val="20"/>
          <w:lang w:val="es-US"/>
        </w:rPr>
        <w:t xml:space="preserve"> heridas. </w:t>
      </w:r>
      <w:r w:rsidR="004C7D54" w:rsidRPr="00386E47">
        <w:rPr>
          <w:rFonts w:asciiTheme="majorHAnsi" w:hAnsiTheme="majorHAnsi" w:cs="Verdana"/>
          <w:sz w:val="20"/>
          <w:szCs w:val="20"/>
          <w:lang w:val="es-US"/>
        </w:rPr>
        <w:t>C</w:t>
      </w:r>
      <w:r w:rsidR="000C4D90" w:rsidRPr="00386E47">
        <w:rPr>
          <w:rFonts w:asciiTheme="majorHAnsi" w:hAnsiTheme="majorHAnsi" w:cs="Verdana"/>
          <w:sz w:val="20"/>
          <w:szCs w:val="20"/>
          <w:lang w:val="es-US"/>
        </w:rPr>
        <w:t xml:space="preserve">omo se ha indicado, no existe una definición única de violencia terrorismo y no corresponde a la CIDH determinar los móviles como se haría en </w:t>
      </w:r>
      <w:r w:rsidR="000C4D90" w:rsidRPr="00386E47">
        <w:rPr>
          <w:rFonts w:asciiTheme="majorHAnsi" w:hAnsiTheme="majorHAnsi" w:cs="Verdana"/>
          <w:sz w:val="20"/>
          <w:szCs w:val="20"/>
          <w:lang w:val="es-US"/>
        </w:rPr>
        <w:lastRenderedPageBreak/>
        <w:t>una investigación penal</w:t>
      </w:r>
      <w:r w:rsidR="004C7D54" w:rsidRPr="00386E47">
        <w:rPr>
          <w:rFonts w:asciiTheme="majorHAnsi" w:hAnsiTheme="majorHAnsi" w:cs="Verdana"/>
          <w:sz w:val="20"/>
          <w:szCs w:val="20"/>
          <w:lang w:val="es-US"/>
        </w:rPr>
        <w:t>. Sin embargo</w:t>
      </w:r>
      <w:r w:rsidR="000C4D90" w:rsidRPr="00386E47">
        <w:rPr>
          <w:rFonts w:asciiTheme="majorHAnsi" w:hAnsiTheme="majorHAnsi" w:cs="Verdana"/>
          <w:sz w:val="20"/>
          <w:szCs w:val="20"/>
          <w:lang w:val="es-US"/>
        </w:rPr>
        <w:t>, a efectos de determinar las consecuencias jurídicas que tiene en las obligaciones del Estado argentino</w:t>
      </w:r>
      <w:r w:rsidR="00640EFC" w:rsidRPr="00386E47">
        <w:rPr>
          <w:rFonts w:asciiTheme="majorHAnsi" w:hAnsiTheme="majorHAnsi" w:cs="Verdana"/>
          <w:sz w:val="20"/>
          <w:szCs w:val="20"/>
          <w:lang w:val="es-US"/>
        </w:rPr>
        <w:t xml:space="preserve"> a la luz del derecho internacional</w:t>
      </w:r>
      <w:r w:rsidR="000C4D90" w:rsidRPr="00386E47">
        <w:rPr>
          <w:rFonts w:asciiTheme="majorHAnsi" w:hAnsiTheme="majorHAnsi" w:cs="Verdana"/>
          <w:sz w:val="20"/>
          <w:szCs w:val="20"/>
          <w:lang w:val="es-US"/>
        </w:rPr>
        <w:t>, con base en los hechos probados y los instrume</w:t>
      </w:r>
      <w:r w:rsidR="004C7D54" w:rsidRPr="00386E47">
        <w:rPr>
          <w:rFonts w:asciiTheme="majorHAnsi" w:hAnsiTheme="majorHAnsi" w:cs="Verdana"/>
          <w:sz w:val="20"/>
          <w:szCs w:val="20"/>
          <w:lang w:val="es-US"/>
        </w:rPr>
        <w:t>ntos internacionales referidos</w:t>
      </w:r>
      <w:r w:rsidR="000C4D90" w:rsidRPr="00386E47">
        <w:rPr>
          <w:rFonts w:asciiTheme="majorHAnsi" w:hAnsiTheme="majorHAnsi" w:cs="Verdana"/>
          <w:sz w:val="20"/>
          <w:szCs w:val="20"/>
          <w:lang w:val="es-US"/>
        </w:rPr>
        <w:t>, la C</w:t>
      </w:r>
      <w:r w:rsidR="004C7D54" w:rsidRPr="00386E47">
        <w:rPr>
          <w:rFonts w:asciiTheme="majorHAnsi" w:hAnsiTheme="majorHAnsi" w:cs="Verdana"/>
          <w:sz w:val="20"/>
          <w:szCs w:val="20"/>
          <w:lang w:val="es-US"/>
        </w:rPr>
        <w:t>omisión</w:t>
      </w:r>
      <w:r w:rsidR="000C4D90" w:rsidRPr="00386E47">
        <w:rPr>
          <w:rFonts w:asciiTheme="majorHAnsi" w:hAnsiTheme="majorHAnsi" w:cs="Verdana"/>
          <w:sz w:val="20"/>
          <w:szCs w:val="20"/>
          <w:lang w:val="es-US"/>
        </w:rPr>
        <w:t xml:space="preserve"> considera necesario afirmar que el atentado materia del presente caso constituye un acto terrorista. Lo anterior, teniendo en cuenta fundamentalmente los siguientes factores: es una acción violenta, que ocasionó la muerte y lesiones de decenas de personas, derivó en un estado de terror y pánico en la población por el método y la violencia empleada, creó una amenaza a la paz y seguridad en la sociedad argentina y a la comunidad judía argentina, y además estuvo dirigido a causar un daño a un grupo identitario como es la comunidad judía argentina.  </w:t>
      </w:r>
    </w:p>
    <w:p w14:paraId="07ABBCDA" w14:textId="77777777" w:rsidR="000C4D90" w:rsidRPr="00386E47" w:rsidRDefault="000C4D90" w:rsidP="000C4D90">
      <w:pPr>
        <w:tabs>
          <w:tab w:val="left" w:pos="567"/>
        </w:tabs>
        <w:jc w:val="both"/>
        <w:rPr>
          <w:rFonts w:asciiTheme="majorHAnsi" w:eastAsia="Calibri" w:hAnsiTheme="majorHAnsi" w:cs="Verdana"/>
          <w:sz w:val="20"/>
          <w:szCs w:val="20"/>
          <w:lang w:val="es-US"/>
        </w:rPr>
      </w:pPr>
    </w:p>
    <w:p w14:paraId="6278BE73" w14:textId="77777777" w:rsidR="000C4D90" w:rsidRPr="00386E47" w:rsidRDefault="000C4D90" w:rsidP="003A5860">
      <w:pPr>
        <w:numPr>
          <w:ilvl w:val="0"/>
          <w:numId w:val="55"/>
        </w:numPr>
        <w:tabs>
          <w:tab w:val="left" w:pos="567"/>
        </w:tabs>
        <w:ind w:left="0" w:firstLine="0"/>
        <w:jc w:val="both"/>
        <w:rPr>
          <w:rFonts w:asciiTheme="majorHAnsi" w:eastAsia="Calibri" w:hAnsiTheme="majorHAnsi" w:cs="Verdana"/>
          <w:sz w:val="20"/>
          <w:szCs w:val="20"/>
          <w:lang w:val="es-US"/>
        </w:rPr>
      </w:pPr>
      <w:r w:rsidRPr="00386E47">
        <w:rPr>
          <w:rFonts w:asciiTheme="majorHAnsi" w:hAnsiTheme="majorHAnsi" w:cs="Verdana"/>
          <w:sz w:val="20"/>
          <w:szCs w:val="20"/>
          <w:lang w:val="es-US"/>
        </w:rPr>
        <w:t xml:space="preserve">En el caso concreto, </w:t>
      </w:r>
      <w:r w:rsidR="004C7D54" w:rsidRPr="00386E47">
        <w:rPr>
          <w:rFonts w:asciiTheme="majorHAnsi" w:hAnsiTheme="majorHAnsi" w:cs="Verdana"/>
          <w:sz w:val="20"/>
          <w:szCs w:val="20"/>
          <w:lang w:val="es-US"/>
        </w:rPr>
        <w:t xml:space="preserve">la Comisión observa que </w:t>
      </w:r>
      <w:r w:rsidRPr="00386E47">
        <w:rPr>
          <w:rFonts w:asciiTheme="majorHAnsi" w:hAnsiTheme="majorHAnsi" w:cs="Verdana"/>
          <w:sz w:val="20"/>
          <w:szCs w:val="20"/>
          <w:lang w:val="es-US"/>
        </w:rPr>
        <w:t xml:space="preserve">no </w:t>
      </w:r>
      <w:r w:rsidR="004C7D54" w:rsidRPr="00386E47">
        <w:rPr>
          <w:rFonts w:asciiTheme="majorHAnsi" w:hAnsiTheme="majorHAnsi" w:cs="Verdana"/>
          <w:sz w:val="20"/>
          <w:szCs w:val="20"/>
          <w:lang w:val="es-US"/>
        </w:rPr>
        <w:t>se encuentra</w:t>
      </w:r>
      <w:r w:rsidRPr="00386E47">
        <w:rPr>
          <w:rFonts w:asciiTheme="majorHAnsi" w:hAnsiTheme="majorHAnsi" w:cs="Verdana"/>
          <w:sz w:val="20"/>
          <w:szCs w:val="20"/>
          <w:lang w:val="es-US"/>
        </w:rPr>
        <w:t xml:space="preserve"> probada la participación de agentes del Estado en las acciones que generaron las afectaciones al derecho</w:t>
      </w:r>
      <w:r w:rsidRPr="00386E47">
        <w:rPr>
          <w:rFonts w:asciiTheme="majorHAnsi" w:hAnsiTheme="majorHAnsi"/>
          <w:sz w:val="20"/>
          <w:szCs w:val="20"/>
          <w:lang w:val="es-AR"/>
        </w:rPr>
        <w:t xml:space="preserve"> a la vida y a la integridad personal. Sin embargo, como se ha indicado, </w:t>
      </w:r>
      <w:r w:rsidRPr="00386E47">
        <w:rPr>
          <w:rFonts w:asciiTheme="majorHAnsi" w:hAnsiTheme="majorHAnsi"/>
          <w:sz w:val="20"/>
          <w:szCs w:val="20"/>
          <w:lang w:val="es-ES_tradnl"/>
        </w:rPr>
        <w:t xml:space="preserve">un Estado puede ser responsable por la falta de debida diligencia al no adoptar medidas que prevengan violaciones de derechos humanos cometidas entre particulares dentro de su jurisdicción. </w:t>
      </w:r>
    </w:p>
    <w:p w14:paraId="4D2F3804" w14:textId="77777777" w:rsidR="000C4D90" w:rsidRPr="00386E47" w:rsidRDefault="000C4D90" w:rsidP="00A311A0">
      <w:pPr>
        <w:tabs>
          <w:tab w:val="left" w:pos="567"/>
        </w:tabs>
        <w:jc w:val="both"/>
        <w:rPr>
          <w:rFonts w:asciiTheme="majorHAnsi" w:eastAsia="Calibri" w:hAnsiTheme="majorHAnsi"/>
          <w:sz w:val="20"/>
          <w:szCs w:val="20"/>
          <w:lang w:val="es-US"/>
        </w:rPr>
      </w:pPr>
    </w:p>
    <w:p w14:paraId="2784BD0F" w14:textId="77777777" w:rsidR="00FB1535" w:rsidRPr="00386E47" w:rsidRDefault="00FB1535" w:rsidP="003A5860">
      <w:pPr>
        <w:numPr>
          <w:ilvl w:val="0"/>
          <w:numId w:val="55"/>
        </w:numPr>
        <w:tabs>
          <w:tab w:val="left" w:pos="567"/>
        </w:tabs>
        <w:ind w:left="0" w:firstLine="0"/>
        <w:jc w:val="both"/>
        <w:rPr>
          <w:rFonts w:asciiTheme="majorHAnsi" w:eastAsia="Calibri" w:hAnsiTheme="majorHAnsi" w:cs="Verdana"/>
          <w:sz w:val="20"/>
          <w:szCs w:val="20"/>
          <w:lang w:val="es-US"/>
        </w:rPr>
      </w:pPr>
      <w:r w:rsidRPr="00386E47">
        <w:rPr>
          <w:rFonts w:asciiTheme="majorHAnsi" w:eastAsia="Calibri" w:hAnsiTheme="majorHAnsi"/>
          <w:sz w:val="20"/>
          <w:szCs w:val="20"/>
          <w:lang w:val="es-AR"/>
        </w:rPr>
        <w:t xml:space="preserve">Para analizar </w:t>
      </w:r>
      <w:r w:rsidR="004C7D54" w:rsidRPr="00386E47">
        <w:rPr>
          <w:rFonts w:asciiTheme="majorHAnsi" w:eastAsia="Calibri" w:hAnsiTheme="majorHAnsi"/>
          <w:sz w:val="20"/>
          <w:szCs w:val="20"/>
          <w:lang w:val="es-AR"/>
        </w:rPr>
        <w:t>el cumplimento de la referida obligación</w:t>
      </w:r>
      <w:r w:rsidRPr="00386E47">
        <w:rPr>
          <w:rFonts w:asciiTheme="majorHAnsi" w:eastAsia="Calibri" w:hAnsiTheme="majorHAnsi"/>
          <w:sz w:val="20"/>
          <w:szCs w:val="20"/>
          <w:lang w:val="es-AR"/>
        </w:rPr>
        <w:t xml:space="preserve">, la </w:t>
      </w:r>
      <w:r w:rsidR="000C4D90" w:rsidRPr="00386E47">
        <w:rPr>
          <w:rFonts w:asciiTheme="majorHAnsi" w:eastAsia="Calibri" w:hAnsiTheme="majorHAnsi"/>
          <w:sz w:val="20"/>
          <w:szCs w:val="20"/>
          <w:lang w:val="es-AR"/>
        </w:rPr>
        <w:t>Comisi</w:t>
      </w:r>
      <w:r w:rsidR="00B04794" w:rsidRPr="00386E47">
        <w:rPr>
          <w:rFonts w:asciiTheme="majorHAnsi" w:eastAsia="Calibri" w:hAnsiTheme="majorHAnsi"/>
          <w:sz w:val="20"/>
          <w:szCs w:val="20"/>
          <w:lang w:val="es-AR"/>
        </w:rPr>
        <w:t xml:space="preserve">ón recuerda </w:t>
      </w:r>
      <w:r w:rsidR="00F54071" w:rsidRPr="00386E47">
        <w:rPr>
          <w:rFonts w:asciiTheme="majorHAnsi" w:eastAsia="Calibri" w:hAnsiTheme="majorHAnsi"/>
          <w:sz w:val="20"/>
          <w:szCs w:val="20"/>
          <w:lang w:val="es-AR"/>
        </w:rPr>
        <w:t>que,</w:t>
      </w:r>
      <w:r w:rsidR="004C7D54" w:rsidRPr="00386E47">
        <w:rPr>
          <w:rFonts w:asciiTheme="majorHAnsi" w:eastAsia="Calibri" w:hAnsiTheme="majorHAnsi"/>
          <w:sz w:val="20"/>
          <w:szCs w:val="20"/>
          <w:lang w:val="es-AR"/>
        </w:rPr>
        <w:t xml:space="preserve"> si bien</w:t>
      </w:r>
      <w:r w:rsidRPr="00386E47">
        <w:rPr>
          <w:rFonts w:asciiTheme="majorHAnsi" w:hAnsiTheme="majorHAnsi"/>
          <w:sz w:val="20"/>
          <w:szCs w:val="20"/>
          <w:lang w:val="es-ES_tradnl"/>
        </w:rPr>
        <w:t xml:space="preserve"> los Estados no son responsables por todo acto terrorista en su jurisdicción, </w:t>
      </w:r>
      <w:r w:rsidRPr="00386E47">
        <w:rPr>
          <w:rFonts w:asciiTheme="majorHAnsi" w:hAnsiTheme="majorHAnsi" w:cs="Verdana"/>
          <w:sz w:val="20"/>
          <w:szCs w:val="20"/>
          <w:lang w:val="es-US"/>
        </w:rPr>
        <w:t>perpetrado por terceros</w:t>
      </w:r>
      <w:r w:rsidR="004C7D54" w:rsidRPr="00386E47">
        <w:rPr>
          <w:rFonts w:asciiTheme="majorHAnsi" w:hAnsiTheme="majorHAnsi" w:cs="Verdana"/>
          <w:sz w:val="20"/>
          <w:szCs w:val="20"/>
          <w:lang w:val="es-US"/>
        </w:rPr>
        <w:t>, un Estado puede ser responsable cuando:</w:t>
      </w:r>
      <w:r w:rsidRPr="00386E47">
        <w:rPr>
          <w:rFonts w:asciiTheme="majorHAnsi" w:eastAsia="Calibri" w:hAnsiTheme="majorHAnsi"/>
          <w:sz w:val="20"/>
          <w:szCs w:val="20"/>
          <w:lang w:val="es-ES_tradnl"/>
        </w:rPr>
        <w:t xml:space="preserve"> </w:t>
      </w:r>
      <w:r w:rsidRPr="00386E47">
        <w:rPr>
          <w:rFonts w:asciiTheme="majorHAnsi" w:eastAsia="Calibri" w:hAnsiTheme="majorHAnsi"/>
          <w:sz w:val="20"/>
          <w:szCs w:val="20"/>
          <w:lang w:val="es-US"/>
        </w:rPr>
        <w:t>i</w:t>
      </w:r>
      <w:r w:rsidR="00F54071" w:rsidRPr="00386E47">
        <w:rPr>
          <w:rFonts w:asciiTheme="majorHAnsi" w:eastAsia="Calibri" w:hAnsiTheme="majorHAnsi"/>
          <w:sz w:val="20"/>
          <w:szCs w:val="20"/>
          <w:lang w:val="es-US"/>
        </w:rPr>
        <w:t>) tenía</w:t>
      </w:r>
      <w:r w:rsidRPr="00386E47">
        <w:rPr>
          <w:rFonts w:asciiTheme="majorHAnsi" w:eastAsia="Calibri" w:hAnsiTheme="majorHAnsi"/>
          <w:sz w:val="20"/>
          <w:szCs w:val="20"/>
          <w:lang w:val="es-US"/>
        </w:rPr>
        <w:t xml:space="preserve"> o debía tener conocimiento de una situación de riesgo; ii) </w:t>
      </w:r>
      <w:r w:rsidR="004C7D54" w:rsidRPr="00386E47">
        <w:rPr>
          <w:rFonts w:asciiTheme="majorHAnsi" w:eastAsia="Calibri" w:hAnsiTheme="majorHAnsi"/>
          <w:sz w:val="20"/>
          <w:szCs w:val="20"/>
          <w:lang w:val="es-US"/>
        </w:rPr>
        <w:t>dicha situación de</w:t>
      </w:r>
      <w:r w:rsidRPr="00386E47">
        <w:rPr>
          <w:rFonts w:asciiTheme="majorHAnsi" w:eastAsia="Calibri" w:hAnsiTheme="majorHAnsi"/>
          <w:sz w:val="20"/>
          <w:szCs w:val="20"/>
          <w:lang w:val="es-US"/>
        </w:rPr>
        <w:t xml:space="preserve"> riesgo era real e inmediat</w:t>
      </w:r>
      <w:r w:rsidR="004C7D54" w:rsidRPr="00386E47">
        <w:rPr>
          <w:rFonts w:asciiTheme="majorHAnsi" w:eastAsia="Calibri" w:hAnsiTheme="majorHAnsi"/>
          <w:sz w:val="20"/>
          <w:szCs w:val="20"/>
          <w:lang w:val="es-US"/>
        </w:rPr>
        <w:t>a</w:t>
      </w:r>
      <w:r w:rsidRPr="00386E47">
        <w:rPr>
          <w:rFonts w:asciiTheme="majorHAnsi" w:eastAsia="Calibri" w:hAnsiTheme="majorHAnsi"/>
          <w:sz w:val="20"/>
          <w:szCs w:val="20"/>
          <w:lang w:val="es-US"/>
        </w:rPr>
        <w:t xml:space="preserve">; y iii) </w:t>
      </w:r>
      <w:r w:rsidR="004C7D54" w:rsidRPr="00386E47">
        <w:rPr>
          <w:rFonts w:asciiTheme="majorHAnsi" w:eastAsia="Calibri" w:hAnsiTheme="majorHAnsi"/>
          <w:sz w:val="20"/>
          <w:szCs w:val="20"/>
          <w:lang w:val="es-US"/>
        </w:rPr>
        <w:t xml:space="preserve">no </w:t>
      </w:r>
      <w:r w:rsidRPr="00386E47">
        <w:rPr>
          <w:rFonts w:asciiTheme="majorHAnsi" w:eastAsia="Calibri" w:hAnsiTheme="majorHAnsi"/>
          <w:sz w:val="20"/>
          <w:szCs w:val="20"/>
          <w:lang w:val="es-US"/>
        </w:rPr>
        <w:t xml:space="preserve">adoptó las medidas que razonablemente se esperaban para evitar que dicho riesgo se verificara. A continuación, la Comisión analizará si en el caso concreto se cumplen tales supuestos.  </w:t>
      </w:r>
    </w:p>
    <w:p w14:paraId="2A55A67E" w14:textId="77777777" w:rsidR="00FB1535" w:rsidRPr="00386E47" w:rsidRDefault="00FB1535" w:rsidP="009600B8">
      <w:pPr>
        <w:pStyle w:val="ListParagraph"/>
        <w:tabs>
          <w:tab w:val="left" w:pos="567"/>
        </w:tabs>
        <w:rPr>
          <w:rFonts w:asciiTheme="majorHAnsi" w:eastAsia="Calibri" w:hAnsiTheme="majorHAnsi"/>
          <w:sz w:val="20"/>
          <w:szCs w:val="20"/>
          <w:bdr w:val="none" w:sz="0" w:space="0" w:color="auto"/>
          <w:lang w:val="es-US"/>
        </w:rPr>
      </w:pPr>
    </w:p>
    <w:p w14:paraId="32E0F289" w14:textId="77777777" w:rsidR="00FB1535" w:rsidRPr="00386E47" w:rsidRDefault="004C7D54" w:rsidP="003A5860">
      <w:pPr>
        <w:numPr>
          <w:ilvl w:val="0"/>
          <w:numId w:val="55"/>
        </w:numPr>
        <w:tabs>
          <w:tab w:val="left" w:pos="567"/>
        </w:tabs>
        <w:ind w:left="0" w:firstLine="0"/>
        <w:jc w:val="both"/>
        <w:rPr>
          <w:rFonts w:asciiTheme="majorHAnsi" w:eastAsia="Calibri" w:hAnsiTheme="majorHAnsi" w:cs="Verdana"/>
          <w:sz w:val="20"/>
          <w:szCs w:val="20"/>
          <w:lang w:val="es-US"/>
        </w:rPr>
      </w:pPr>
      <w:r w:rsidRPr="00386E47">
        <w:rPr>
          <w:rFonts w:asciiTheme="majorHAnsi" w:eastAsia="Calibri" w:hAnsiTheme="majorHAnsi"/>
          <w:sz w:val="20"/>
          <w:szCs w:val="20"/>
          <w:lang w:val="es-US"/>
        </w:rPr>
        <w:t>En cuanto a si</w:t>
      </w:r>
      <w:r w:rsidR="00FB1535" w:rsidRPr="00386E47">
        <w:rPr>
          <w:rFonts w:asciiTheme="majorHAnsi" w:eastAsia="Calibri" w:hAnsiTheme="majorHAnsi"/>
          <w:sz w:val="20"/>
          <w:szCs w:val="20"/>
          <w:lang w:val="es-US"/>
        </w:rPr>
        <w:t xml:space="preserve"> el Estado tenía o debía tener conocimiento de una situación de riesgo</w:t>
      </w:r>
      <w:r w:rsidRPr="00386E47">
        <w:rPr>
          <w:rFonts w:asciiTheme="majorHAnsi" w:eastAsia="Calibri" w:hAnsiTheme="majorHAnsi"/>
          <w:sz w:val="20"/>
          <w:szCs w:val="20"/>
          <w:lang w:val="es-US"/>
        </w:rPr>
        <w:t>, la Comisión observa</w:t>
      </w:r>
      <w:r w:rsidR="00FB1535" w:rsidRPr="00386E47">
        <w:rPr>
          <w:rFonts w:asciiTheme="majorHAnsi" w:eastAsia="Calibri" w:hAnsiTheme="majorHAnsi"/>
          <w:sz w:val="20"/>
          <w:szCs w:val="20"/>
          <w:lang w:val="es-US"/>
        </w:rPr>
        <w:t xml:space="preserve"> que </w:t>
      </w:r>
      <w:r w:rsidR="00FB1535" w:rsidRPr="00386E47">
        <w:rPr>
          <w:rFonts w:asciiTheme="majorHAnsi" w:eastAsia="Calibri" w:hAnsiTheme="majorHAnsi"/>
          <w:sz w:val="20"/>
          <w:szCs w:val="20"/>
          <w:lang w:val="es-AR"/>
        </w:rPr>
        <w:t xml:space="preserve">el atentado a la sede de la AMIA </w:t>
      </w:r>
      <w:r w:rsidR="00262778" w:rsidRPr="00386E47">
        <w:rPr>
          <w:rFonts w:asciiTheme="majorHAnsi" w:eastAsia="Calibri" w:hAnsiTheme="majorHAnsi"/>
          <w:sz w:val="20"/>
          <w:szCs w:val="20"/>
          <w:lang w:val="es-AR"/>
        </w:rPr>
        <w:t>fue el segundo</w:t>
      </w:r>
      <w:r w:rsidR="00FB1535" w:rsidRPr="00386E47">
        <w:rPr>
          <w:rFonts w:asciiTheme="majorHAnsi" w:eastAsia="Calibri" w:hAnsiTheme="majorHAnsi"/>
          <w:sz w:val="20"/>
          <w:szCs w:val="20"/>
          <w:lang w:val="es-AR"/>
        </w:rPr>
        <w:t xml:space="preserve"> acto terrorista dirigido </w:t>
      </w:r>
      <w:r w:rsidR="00262778" w:rsidRPr="00386E47">
        <w:rPr>
          <w:rFonts w:asciiTheme="majorHAnsi" w:eastAsia="Calibri" w:hAnsiTheme="majorHAnsi"/>
          <w:sz w:val="20"/>
          <w:szCs w:val="20"/>
          <w:lang w:val="es-AR"/>
        </w:rPr>
        <w:t xml:space="preserve">en contra </w:t>
      </w:r>
      <w:r w:rsidR="00F54071" w:rsidRPr="00386E47">
        <w:rPr>
          <w:rFonts w:asciiTheme="majorHAnsi" w:eastAsia="Calibri" w:hAnsiTheme="majorHAnsi"/>
          <w:sz w:val="20"/>
          <w:szCs w:val="20"/>
          <w:lang w:val="es-AR"/>
        </w:rPr>
        <w:t>de la</w:t>
      </w:r>
      <w:r w:rsidR="00FB1535" w:rsidRPr="00386E47">
        <w:rPr>
          <w:rFonts w:asciiTheme="majorHAnsi" w:eastAsia="Calibri" w:hAnsiTheme="majorHAnsi"/>
          <w:sz w:val="20"/>
          <w:szCs w:val="20"/>
          <w:lang w:val="es-AR"/>
        </w:rPr>
        <w:t xml:space="preserve"> comunidad judía en Argentina. Su antecedente es el atentado a la Embajada de Israel en 1992, que cobró la vida de 22 personas e hirió a 350. Dicho ataque marcó la memoria de la sociedad argentina, por el tipo de violencia empleada, los efectos causados en las personas que sufrieron el ataque</w:t>
      </w:r>
      <w:r w:rsidR="00262778" w:rsidRPr="00386E47">
        <w:rPr>
          <w:rFonts w:asciiTheme="majorHAnsi" w:eastAsia="Calibri" w:hAnsiTheme="majorHAnsi"/>
          <w:sz w:val="20"/>
          <w:szCs w:val="20"/>
          <w:lang w:val="es-AR"/>
        </w:rPr>
        <w:t xml:space="preserve"> y el objetivo que claramente se desprende del mismo para generar terror</w:t>
      </w:r>
      <w:r w:rsidR="00FB1535" w:rsidRPr="00386E47">
        <w:rPr>
          <w:rFonts w:asciiTheme="majorHAnsi" w:eastAsia="Calibri" w:hAnsiTheme="majorHAnsi"/>
          <w:sz w:val="20"/>
          <w:szCs w:val="20"/>
          <w:lang w:val="es-AR"/>
        </w:rPr>
        <w:t xml:space="preserve">. </w:t>
      </w:r>
      <w:r w:rsidR="00262778" w:rsidRPr="00386E47">
        <w:rPr>
          <w:rFonts w:asciiTheme="majorHAnsi" w:eastAsia="Calibri" w:hAnsiTheme="majorHAnsi"/>
          <w:sz w:val="20"/>
          <w:szCs w:val="20"/>
          <w:lang w:val="es-AR"/>
        </w:rPr>
        <w:t>L</w:t>
      </w:r>
      <w:r w:rsidR="00FB1535" w:rsidRPr="00386E47">
        <w:rPr>
          <w:rFonts w:asciiTheme="majorHAnsi" w:eastAsia="Calibri" w:hAnsiTheme="majorHAnsi"/>
          <w:sz w:val="20"/>
          <w:szCs w:val="20"/>
          <w:lang w:val="es-AR"/>
        </w:rPr>
        <w:t>a gravedad del atentado a la Embajada de Israel en 1992</w:t>
      </w:r>
      <w:r w:rsidR="00262778" w:rsidRPr="00386E47">
        <w:rPr>
          <w:rFonts w:asciiTheme="majorHAnsi" w:eastAsia="Calibri" w:hAnsiTheme="majorHAnsi"/>
          <w:sz w:val="20"/>
          <w:szCs w:val="20"/>
          <w:lang w:val="es-AR"/>
        </w:rPr>
        <w:t xml:space="preserve">, teniendo en cuenta su caracterización como un acto terrorista, </w:t>
      </w:r>
      <w:r w:rsidR="00FB1535" w:rsidRPr="00386E47">
        <w:rPr>
          <w:rFonts w:asciiTheme="majorHAnsi" w:eastAsia="Calibri" w:hAnsiTheme="majorHAnsi"/>
          <w:sz w:val="20"/>
          <w:szCs w:val="20"/>
          <w:lang w:val="es-AR"/>
        </w:rPr>
        <w:t>generó</w:t>
      </w:r>
      <w:r w:rsidRPr="00386E47">
        <w:rPr>
          <w:rFonts w:asciiTheme="majorHAnsi" w:eastAsia="Calibri" w:hAnsiTheme="majorHAnsi"/>
          <w:sz w:val="20"/>
          <w:szCs w:val="20"/>
          <w:lang w:val="es-AR"/>
        </w:rPr>
        <w:t xml:space="preserve"> razonablemente</w:t>
      </w:r>
      <w:r w:rsidR="00FB1535" w:rsidRPr="00386E47">
        <w:rPr>
          <w:rFonts w:asciiTheme="majorHAnsi" w:eastAsia="Calibri" w:hAnsiTheme="majorHAnsi"/>
          <w:sz w:val="20"/>
          <w:szCs w:val="20"/>
          <w:lang w:val="es-AR"/>
        </w:rPr>
        <w:t xml:space="preserve"> una situación de riesgo para esta comunidad y para las personas que tuvieran alguna relación</w:t>
      </w:r>
      <w:r w:rsidR="00262778" w:rsidRPr="00386E47">
        <w:rPr>
          <w:rFonts w:asciiTheme="majorHAnsi" w:eastAsia="Calibri" w:hAnsiTheme="majorHAnsi"/>
          <w:sz w:val="20"/>
          <w:szCs w:val="20"/>
          <w:lang w:val="es-AR"/>
        </w:rPr>
        <w:t xml:space="preserve"> con la misma, que era y debía ser conocida por el Estado</w:t>
      </w:r>
      <w:r w:rsidR="00FB1535" w:rsidRPr="00386E47">
        <w:rPr>
          <w:rFonts w:asciiTheme="majorHAnsi" w:eastAsia="Calibri" w:hAnsiTheme="majorHAnsi"/>
          <w:sz w:val="20"/>
          <w:szCs w:val="20"/>
          <w:lang w:val="es-AR"/>
        </w:rPr>
        <w:t xml:space="preserve">. </w:t>
      </w:r>
      <w:r w:rsidR="00262778" w:rsidRPr="00386E47">
        <w:rPr>
          <w:rFonts w:asciiTheme="majorHAnsi" w:eastAsia="Calibri" w:hAnsiTheme="majorHAnsi"/>
          <w:sz w:val="20"/>
          <w:szCs w:val="20"/>
          <w:lang w:val="es-US"/>
        </w:rPr>
        <w:t xml:space="preserve">En efecto, la </w:t>
      </w:r>
      <w:r w:rsidR="00FB1535" w:rsidRPr="00386E47">
        <w:rPr>
          <w:rFonts w:asciiTheme="majorHAnsi" w:eastAsia="Calibri" w:hAnsiTheme="majorHAnsi"/>
          <w:sz w:val="20"/>
          <w:szCs w:val="20"/>
          <w:lang w:val="es-US"/>
        </w:rPr>
        <w:t xml:space="preserve">especificidad y magnitud del ataque que implica un atentado terrorista </w:t>
      </w:r>
      <w:r w:rsidR="00262778" w:rsidRPr="00386E47">
        <w:rPr>
          <w:rFonts w:asciiTheme="majorHAnsi" w:eastAsia="Calibri" w:hAnsiTheme="majorHAnsi"/>
          <w:sz w:val="20"/>
          <w:szCs w:val="20"/>
          <w:lang w:val="es-US"/>
        </w:rPr>
        <w:t xml:space="preserve">de estas características </w:t>
      </w:r>
      <w:r w:rsidR="00FB1535" w:rsidRPr="00386E47">
        <w:rPr>
          <w:rFonts w:asciiTheme="majorHAnsi" w:eastAsia="Calibri" w:hAnsiTheme="majorHAnsi"/>
          <w:sz w:val="20"/>
          <w:szCs w:val="20"/>
          <w:lang w:val="es-US"/>
        </w:rPr>
        <w:t xml:space="preserve">supone una situación de </w:t>
      </w:r>
      <w:r w:rsidR="00F54071" w:rsidRPr="00386E47">
        <w:rPr>
          <w:rFonts w:asciiTheme="majorHAnsi" w:eastAsia="Calibri" w:hAnsiTheme="majorHAnsi"/>
          <w:sz w:val="20"/>
          <w:szCs w:val="20"/>
          <w:lang w:val="es-US"/>
        </w:rPr>
        <w:t>riesgo para</w:t>
      </w:r>
      <w:r w:rsidR="00FB1535" w:rsidRPr="00386E47">
        <w:rPr>
          <w:rFonts w:asciiTheme="majorHAnsi" w:eastAsia="Calibri" w:hAnsiTheme="majorHAnsi"/>
          <w:sz w:val="20"/>
          <w:szCs w:val="20"/>
          <w:lang w:val="es-US"/>
        </w:rPr>
        <w:t xml:space="preserve"> las personas o comunidades a las que se dir</w:t>
      </w:r>
      <w:r w:rsidR="00B04794" w:rsidRPr="00386E47">
        <w:rPr>
          <w:rFonts w:asciiTheme="majorHAnsi" w:eastAsia="Calibri" w:hAnsiTheme="majorHAnsi"/>
          <w:sz w:val="20"/>
          <w:szCs w:val="20"/>
          <w:lang w:val="es-US"/>
        </w:rPr>
        <w:t>i</w:t>
      </w:r>
      <w:r w:rsidR="00FB1535" w:rsidRPr="00386E47">
        <w:rPr>
          <w:rFonts w:asciiTheme="majorHAnsi" w:eastAsia="Calibri" w:hAnsiTheme="majorHAnsi"/>
          <w:sz w:val="20"/>
          <w:szCs w:val="20"/>
          <w:lang w:val="es-US"/>
        </w:rPr>
        <w:t xml:space="preserve">gía o se relacionan con aquellas. </w:t>
      </w:r>
      <w:r w:rsidR="00B04794" w:rsidRPr="00386E47">
        <w:rPr>
          <w:rFonts w:asciiTheme="majorHAnsi" w:eastAsia="Calibri" w:hAnsiTheme="majorHAnsi"/>
          <w:sz w:val="20"/>
          <w:szCs w:val="20"/>
          <w:lang w:val="es-US"/>
        </w:rPr>
        <w:t>E</w:t>
      </w:r>
      <w:r w:rsidR="00FB1535" w:rsidRPr="00386E47">
        <w:rPr>
          <w:rFonts w:asciiTheme="majorHAnsi" w:eastAsia="Calibri" w:hAnsiTheme="majorHAnsi"/>
          <w:sz w:val="20"/>
          <w:szCs w:val="20"/>
          <w:lang w:val="es-US"/>
        </w:rPr>
        <w:t xml:space="preserve">sta situación de </w:t>
      </w:r>
      <w:r w:rsidR="00F54071" w:rsidRPr="00386E47">
        <w:rPr>
          <w:rFonts w:asciiTheme="majorHAnsi" w:eastAsia="Calibri" w:hAnsiTheme="majorHAnsi"/>
          <w:sz w:val="20"/>
          <w:szCs w:val="20"/>
          <w:lang w:val="es-US"/>
        </w:rPr>
        <w:t>riesgo, se</w:t>
      </w:r>
      <w:r w:rsidR="00FB1535" w:rsidRPr="00386E47">
        <w:rPr>
          <w:rFonts w:asciiTheme="majorHAnsi" w:eastAsia="Calibri" w:hAnsiTheme="majorHAnsi"/>
          <w:sz w:val="20"/>
          <w:szCs w:val="20"/>
          <w:lang w:val="es-US"/>
        </w:rPr>
        <w:t xml:space="preserve"> extendía a los lugares de congregación de la comunidad</w:t>
      </w:r>
      <w:r w:rsidR="00262778" w:rsidRPr="00386E47">
        <w:rPr>
          <w:rFonts w:asciiTheme="majorHAnsi" w:eastAsia="Calibri" w:hAnsiTheme="majorHAnsi"/>
          <w:sz w:val="20"/>
          <w:szCs w:val="20"/>
          <w:lang w:val="es-US"/>
        </w:rPr>
        <w:t xml:space="preserve"> </w:t>
      </w:r>
      <w:r w:rsidR="00F54071" w:rsidRPr="00386E47">
        <w:rPr>
          <w:rFonts w:asciiTheme="majorHAnsi" w:eastAsia="Calibri" w:hAnsiTheme="majorHAnsi"/>
          <w:sz w:val="20"/>
          <w:szCs w:val="20"/>
          <w:lang w:val="es-US"/>
        </w:rPr>
        <w:t>judía, específicamente</w:t>
      </w:r>
      <w:r w:rsidR="00FB1535" w:rsidRPr="00386E47">
        <w:rPr>
          <w:rFonts w:asciiTheme="majorHAnsi" w:eastAsia="Calibri" w:hAnsiTheme="majorHAnsi"/>
          <w:sz w:val="20"/>
          <w:szCs w:val="20"/>
          <w:lang w:val="es-US"/>
        </w:rPr>
        <w:t xml:space="preserve"> </w:t>
      </w:r>
      <w:r w:rsidR="00262778" w:rsidRPr="00386E47">
        <w:rPr>
          <w:rFonts w:asciiTheme="majorHAnsi" w:eastAsia="Calibri" w:hAnsiTheme="majorHAnsi"/>
          <w:sz w:val="20"/>
          <w:szCs w:val="20"/>
          <w:lang w:val="es-US"/>
        </w:rPr>
        <w:t xml:space="preserve">siendo uno de ellos </w:t>
      </w:r>
      <w:r w:rsidR="00FB1535" w:rsidRPr="00386E47">
        <w:rPr>
          <w:rFonts w:asciiTheme="majorHAnsi" w:eastAsia="Calibri" w:hAnsiTheme="majorHAnsi"/>
          <w:sz w:val="20"/>
          <w:szCs w:val="20"/>
          <w:lang w:val="es-US"/>
        </w:rPr>
        <w:t>el edificio de la AMIA</w:t>
      </w:r>
      <w:r w:rsidR="00262778" w:rsidRPr="00386E47">
        <w:rPr>
          <w:rFonts w:asciiTheme="majorHAnsi" w:eastAsia="Calibri" w:hAnsiTheme="majorHAnsi"/>
          <w:sz w:val="20"/>
          <w:szCs w:val="20"/>
          <w:lang w:val="es-US"/>
        </w:rPr>
        <w:t xml:space="preserve"> y la D</w:t>
      </w:r>
      <w:r w:rsidR="0066097F" w:rsidRPr="00386E47">
        <w:rPr>
          <w:rFonts w:asciiTheme="majorHAnsi" w:eastAsia="Calibri" w:hAnsiTheme="majorHAnsi"/>
          <w:sz w:val="20"/>
          <w:szCs w:val="20"/>
          <w:lang w:val="es-US"/>
        </w:rPr>
        <w:t>A</w:t>
      </w:r>
      <w:r w:rsidR="00262778" w:rsidRPr="00386E47">
        <w:rPr>
          <w:rFonts w:asciiTheme="majorHAnsi" w:eastAsia="Calibri" w:hAnsiTheme="majorHAnsi"/>
          <w:sz w:val="20"/>
          <w:szCs w:val="20"/>
          <w:lang w:val="es-US"/>
        </w:rPr>
        <w:t>IA</w:t>
      </w:r>
      <w:r w:rsidR="00FB1535" w:rsidRPr="00386E47">
        <w:rPr>
          <w:rFonts w:asciiTheme="majorHAnsi" w:eastAsia="Calibri" w:hAnsiTheme="majorHAnsi"/>
          <w:sz w:val="20"/>
          <w:szCs w:val="20"/>
          <w:lang w:val="es-AR"/>
        </w:rPr>
        <w:t xml:space="preserve">. </w:t>
      </w:r>
      <w:r w:rsidR="00262778" w:rsidRPr="00386E47">
        <w:rPr>
          <w:rFonts w:asciiTheme="majorHAnsi" w:eastAsia="Calibri" w:hAnsiTheme="majorHAnsi"/>
          <w:sz w:val="20"/>
          <w:szCs w:val="20"/>
          <w:lang w:val="es-AR"/>
        </w:rPr>
        <w:t xml:space="preserve"> En el presente caso, muestra de que el Estado específicamente identificó y conoció de esta situación de riesgo, fue que</w:t>
      </w:r>
      <w:r w:rsidR="00FB1535" w:rsidRPr="00386E47">
        <w:rPr>
          <w:rFonts w:asciiTheme="majorHAnsi" w:eastAsia="Calibri" w:hAnsiTheme="majorHAnsi"/>
          <w:sz w:val="20"/>
          <w:szCs w:val="20"/>
          <w:lang w:val="es-AR"/>
        </w:rPr>
        <w:t xml:space="preserve"> </w:t>
      </w:r>
      <w:r w:rsidR="00B04794" w:rsidRPr="00386E47">
        <w:rPr>
          <w:rFonts w:asciiTheme="majorHAnsi" w:eastAsia="Calibri" w:hAnsiTheme="majorHAnsi"/>
          <w:sz w:val="20"/>
          <w:szCs w:val="20"/>
          <w:lang w:val="es-AR"/>
        </w:rPr>
        <w:t xml:space="preserve">efectivamente </w:t>
      </w:r>
      <w:r w:rsidR="00FB1535" w:rsidRPr="00386E47">
        <w:rPr>
          <w:rFonts w:asciiTheme="majorHAnsi" w:eastAsia="Calibri" w:hAnsiTheme="majorHAnsi"/>
          <w:sz w:val="20"/>
          <w:szCs w:val="20"/>
          <w:lang w:val="es-AR"/>
        </w:rPr>
        <w:t>dispuso que la Policía Federal custodiara el edificio ubicado en la Calle Pasteur de forma permanente, 24 horas al día.</w:t>
      </w:r>
    </w:p>
    <w:p w14:paraId="7AC54589" w14:textId="77777777" w:rsidR="00FB1535" w:rsidRPr="00386E47" w:rsidRDefault="00FB1535" w:rsidP="009600B8">
      <w:pPr>
        <w:pStyle w:val="ListParagraph"/>
        <w:tabs>
          <w:tab w:val="left" w:pos="567"/>
        </w:tabs>
        <w:rPr>
          <w:rFonts w:asciiTheme="majorHAnsi" w:eastAsia="Calibri" w:hAnsiTheme="majorHAnsi"/>
          <w:sz w:val="20"/>
          <w:szCs w:val="20"/>
          <w:bdr w:val="none" w:sz="0" w:space="0" w:color="auto"/>
          <w:lang w:val="es-AR"/>
        </w:rPr>
      </w:pPr>
    </w:p>
    <w:p w14:paraId="7D099BD1" w14:textId="77777777" w:rsidR="00FB1535" w:rsidRPr="00386E47" w:rsidRDefault="004C7D54" w:rsidP="003A5860">
      <w:pPr>
        <w:numPr>
          <w:ilvl w:val="0"/>
          <w:numId w:val="55"/>
        </w:numPr>
        <w:tabs>
          <w:tab w:val="left" w:pos="567"/>
        </w:tabs>
        <w:ind w:left="0" w:firstLine="0"/>
        <w:jc w:val="both"/>
        <w:rPr>
          <w:rFonts w:asciiTheme="majorHAnsi" w:eastAsia="Calibri" w:hAnsiTheme="majorHAnsi" w:cs="Verdana"/>
          <w:sz w:val="20"/>
          <w:szCs w:val="20"/>
          <w:lang w:val="es-US"/>
        </w:rPr>
      </w:pPr>
      <w:r w:rsidRPr="00386E47">
        <w:rPr>
          <w:rFonts w:asciiTheme="majorHAnsi" w:eastAsia="Calibri" w:hAnsiTheme="majorHAnsi"/>
          <w:sz w:val="20"/>
          <w:szCs w:val="20"/>
          <w:lang w:val="es-AR"/>
        </w:rPr>
        <w:t>En cuanto a</w:t>
      </w:r>
      <w:r w:rsidR="00FB1535" w:rsidRPr="00386E47">
        <w:rPr>
          <w:rFonts w:asciiTheme="majorHAnsi" w:eastAsia="Calibri" w:hAnsiTheme="majorHAnsi"/>
          <w:sz w:val="20"/>
          <w:szCs w:val="20"/>
          <w:lang w:val="es-AR"/>
        </w:rPr>
        <w:t xml:space="preserve"> s</w:t>
      </w:r>
      <w:r w:rsidR="00FB1535" w:rsidRPr="00386E47">
        <w:rPr>
          <w:rFonts w:asciiTheme="majorHAnsi" w:eastAsia="Calibri" w:hAnsiTheme="majorHAnsi"/>
          <w:sz w:val="20"/>
          <w:szCs w:val="20"/>
          <w:lang w:val="es-US"/>
        </w:rPr>
        <w:t xml:space="preserve">i dicho riesgo era real e inmediato, la </w:t>
      </w:r>
      <w:r w:rsidRPr="00386E47">
        <w:rPr>
          <w:rFonts w:asciiTheme="majorHAnsi" w:eastAsia="Calibri" w:hAnsiTheme="majorHAnsi"/>
          <w:sz w:val="20"/>
          <w:szCs w:val="20"/>
          <w:lang w:val="es-US"/>
        </w:rPr>
        <w:t xml:space="preserve">Comisión </w:t>
      </w:r>
      <w:r w:rsidR="00FB1535" w:rsidRPr="00386E47">
        <w:rPr>
          <w:rFonts w:asciiTheme="majorHAnsi" w:eastAsia="Calibri" w:hAnsiTheme="majorHAnsi"/>
          <w:sz w:val="20"/>
          <w:szCs w:val="20"/>
          <w:lang w:val="es-US"/>
        </w:rPr>
        <w:t>observa que</w:t>
      </w:r>
      <w:r w:rsidR="00B04794" w:rsidRPr="00386E47">
        <w:rPr>
          <w:rFonts w:asciiTheme="majorHAnsi" w:eastAsia="Calibri" w:hAnsiTheme="majorHAnsi"/>
          <w:sz w:val="20"/>
          <w:szCs w:val="20"/>
          <w:lang w:val="es-US"/>
        </w:rPr>
        <w:t>,</w:t>
      </w:r>
      <w:r w:rsidR="00FB1535" w:rsidRPr="00386E47">
        <w:rPr>
          <w:rFonts w:asciiTheme="majorHAnsi" w:eastAsia="Calibri" w:hAnsiTheme="majorHAnsi"/>
          <w:sz w:val="20"/>
          <w:szCs w:val="20"/>
          <w:lang w:val="es-US"/>
        </w:rPr>
        <w:t xml:space="preserve"> para la época del atentado de la AMIA, no existía </w:t>
      </w:r>
      <w:r w:rsidR="00B04794" w:rsidRPr="00386E47">
        <w:rPr>
          <w:rFonts w:asciiTheme="majorHAnsi" w:eastAsia="Calibri" w:hAnsiTheme="majorHAnsi"/>
          <w:sz w:val="20"/>
          <w:szCs w:val="20"/>
          <w:lang w:val="es-US"/>
        </w:rPr>
        <w:t xml:space="preserve">una </w:t>
      </w:r>
      <w:r w:rsidR="00FB1535" w:rsidRPr="00386E47">
        <w:rPr>
          <w:rFonts w:asciiTheme="majorHAnsi" w:eastAsia="Calibri" w:hAnsiTheme="majorHAnsi"/>
          <w:sz w:val="20"/>
          <w:szCs w:val="20"/>
          <w:lang w:val="es-US"/>
        </w:rPr>
        <w:t>decisión judicial que hubiese determinado la verdad de lo ocurrido en el atentado de la Embajada de Israel y castigado a los</w:t>
      </w:r>
      <w:r w:rsidR="00B04794" w:rsidRPr="00386E47">
        <w:rPr>
          <w:rFonts w:asciiTheme="majorHAnsi" w:eastAsia="Calibri" w:hAnsiTheme="majorHAnsi"/>
          <w:sz w:val="20"/>
          <w:szCs w:val="20"/>
          <w:lang w:val="es-US"/>
        </w:rPr>
        <w:t xml:space="preserve"> responsables. La Comisión resalta que la ocurrencia de un ataque como el ocurrido en contra de la Embajada, necesariamente involucró a una serie de actores o redes que participan en su planificación y ejecución. En este sentido, la ausencia de una desarticulación y sanción a los responsables, hacía que se mantuviera una latente </w:t>
      </w:r>
      <w:r w:rsidR="00262778" w:rsidRPr="00386E47">
        <w:rPr>
          <w:rFonts w:asciiTheme="majorHAnsi" w:eastAsia="Calibri" w:hAnsiTheme="majorHAnsi"/>
          <w:sz w:val="20"/>
          <w:szCs w:val="20"/>
          <w:lang w:val="es-US"/>
        </w:rPr>
        <w:t xml:space="preserve">situación de inseguridad </w:t>
      </w:r>
      <w:r w:rsidRPr="00386E47">
        <w:rPr>
          <w:rFonts w:asciiTheme="majorHAnsi" w:eastAsia="Calibri" w:hAnsiTheme="majorHAnsi"/>
          <w:sz w:val="20"/>
          <w:szCs w:val="20"/>
          <w:lang w:val="es-US"/>
        </w:rPr>
        <w:t xml:space="preserve">propicia para </w:t>
      </w:r>
      <w:r w:rsidR="00262778" w:rsidRPr="00386E47">
        <w:rPr>
          <w:rFonts w:asciiTheme="majorHAnsi" w:eastAsia="Calibri" w:hAnsiTheme="majorHAnsi"/>
          <w:sz w:val="20"/>
          <w:szCs w:val="20"/>
          <w:lang w:val="es-US"/>
        </w:rPr>
        <w:t>un nuevo ataque</w:t>
      </w:r>
      <w:r w:rsidR="00B04794" w:rsidRPr="00386E47">
        <w:rPr>
          <w:rFonts w:asciiTheme="majorHAnsi" w:eastAsia="Calibri" w:hAnsiTheme="majorHAnsi"/>
          <w:sz w:val="20"/>
          <w:szCs w:val="20"/>
          <w:lang w:val="es-US"/>
        </w:rPr>
        <w:t>.</w:t>
      </w:r>
      <w:r w:rsidR="00262778" w:rsidRPr="00386E47">
        <w:rPr>
          <w:rFonts w:asciiTheme="majorHAnsi" w:eastAsia="Calibri" w:hAnsiTheme="majorHAnsi"/>
          <w:sz w:val="20"/>
          <w:szCs w:val="20"/>
          <w:lang w:val="es-US"/>
        </w:rPr>
        <w:t xml:space="preserve"> </w:t>
      </w:r>
      <w:r w:rsidR="00FB1535" w:rsidRPr="00386E47">
        <w:rPr>
          <w:rFonts w:asciiTheme="majorHAnsi" w:eastAsia="Calibri" w:hAnsiTheme="majorHAnsi"/>
          <w:sz w:val="20"/>
          <w:szCs w:val="20"/>
          <w:lang w:val="es-US"/>
        </w:rPr>
        <w:t xml:space="preserve">Además, la Comisión </w:t>
      </w:r>
      <w:r w:rsidR="00262778" w:rsidRPr="00386E47">
        <w:rPr>
          <w:rFonts w:asciiTheme="majorHAnsi" w:eastAsia="Calibri" w:hAnsiTheme="majorHAnsi"/>
          <w:sz w:val="20"/>
          <w:szCs w:val="20"/>
          <w:lang w:val="es-US"/>
        </w:rPr>
        <w:t xml:space="preserve">nota </w:t>
      </w:r>
      <w:r w:rsidR="00FB1535" w:rsidRPr="00386E47">
        <w:rPr>
          <w:rFonts w:asciiTheme="majorHAnsi" w:eastAsia="Calibri" w:hAnsiTheme="majorHAnsi"/>
          <w:sz w:val="20"/>
          <w:szCs w:val="20"/>
          <w:lang w:val="es-US"/>
        </w:rPr>
        <w:t xml:space="preserve">que dos hechos de alerta ocurrieron </w:t>
      </w:r>
      <w:r w:rsidR="00787972" w:rsidRPr="00386E47">
        <w:rPr>
          <w:rFonts w:asciiTheme="majorHAnsi" w:eastAsia="Calibri" w:hAnsiTheme="majorHAnsi"/>
          <w:sz w:val="20"/>
          <w:szCs w:val="20"/>
          <w:lang w:val="es-US"/>
        </w:rPr>
        <w:t xml:space="preserve">en los </w:t>
      </w:r>
      <w:r w:rsidR="00FB1535" w:rsidRPr="00386E47">
        <w:rPr>
          <w:rFonts w:asciiTheme="majorHAnsi" w:eastAsia="Calibri" w:hAnsiTheme="majorHAnsi"/>
          <w:sz w:val="20"/>
          <w:szCs w:val="20"/>
          <w:lang w:val="es-US"/>
        </w:rPr>
        <w:t>días previos al atentado, que demuestran la inmediatez del riesgo, a saber, las declaraciones del ciudadano brasileño Wilson Dos Santos a la cónsul argentina en Milán y el sobrevuelo de un helicóptero al edificio de la AMIA, ambos ocurridos días o momentos previos al atentado de 1994.</w:t>
      </w:r>
    </w:p>
    <w:p w14:paraId="74AB9549" w14:textId="77777777" w:rsidR="00FB1535" w:rsidRPr="00386E47" w:rsidRDefault="00FB1535" w:rsidP="009600B8">
      <w:pPr>
        <w:pStyle w:val="ListParagraph"/>
        <w:tabs>
          <w:tab w:val="left" w:pos="567"/>
        </w:tabs>
        <w:rPr>
          <w:rFonts w:asciiTheme="majorHAnsi" w:eastAsia="Calibri" w:hAnsiTheme="majorHAnsi"/>
          <w:sz w:val="20"/>
          <w:szCs w:val="20"/>
          <w:bdr w:val="none" w:sz="0" w:space="0" w:color="auto"/>
          <w:lang w:val="es-US"/>
        </w:rPr>
      </w:pPr>
    </w:p>
    <w:p w14:paraId="758B152A" w14:textId="77777777" w:rsidR="00FB1535" w:rsidRPr="00386E47" w:rsidRDefault="00FB1535" w:rsidP="003A5860">
      <w:pPr>
        <w:numPr>
          <w:ilvl w:val="0"/>
          <w:numId w:val="55"/>
        </w:numPr>
        <w:tabs>
          <w:tab w:val="left" w:pos="567"/>
        </w:tabs>
        <w:ind w:left="0" w:firstLine="0"/>
        <w:jc w:val="both"/>
        <w:rPr>
          <w:rFonts w:asciiTheme="majorHAnsi" w:eastAsia="Calibri" w:hAnsiTheme="majorHAnsi" w:cs="Verdana"/>
          <w:sz w:val="20"/>
          <w:szCs w:val="20"/>
          <w:lang w:val="es-US"/>
        </w:rPr>
      </w:pPr>
      <w:r w:rsidRPr="00386E47">
        <w:rPr>
          <w:rFonts w:asciiTheme="majorHAnsi" w:eastAsia="Calibri" w:hAnsiTheme="majorHAnsi"/>
          <w:sz w:val="20"/>
          <w:szCs w:val="20"/>
          <w:lang w:val="es-US"/>
        </w:rPr>
        <w:t xml:space="preserve">En relación con las afirmaciones del ciudadano brasileño Wilson Dos Santos, </w:t>
      </w:r>
      <w:r w:rsidRPr="00386E47">
        <w:rPr>
          <w:rFonts w:asciiTheme="majorHAnsi" w:eastAsia="Calibri" w:hAnsiTheme="majorHAnsi" w:cs="Verdana"/>
          <w:sz w:val="20"/>
          <w:szCs w:val="20"/>
          <w:lang w:val="es-US"/>
        </w:rPr>
        <w:t xml:space="preserve">la Comisión observa que aquel se presentó para aportar información del atentado sobre la Embajada de Israel y llamó la atención sobre la presencia de una persona sospechosa. Además, las declaraciones de Dos Santos dan cuenta de un riesgo real porque se refieren a una persona que no tendría documentación legal y que podría estar involucrada con hechos de altísima gravedad, que se encontraría libre y podría continuar en actividades delictivas similares al atentado de la Embajada. </w:t>
      </w:r>
    </w:p>
    <w:p w14:paraId="73B7F201" w14:textId="77777777" w:rsidR="00FB1535" w:rsidRPr="00386E47" w:rsidRDefault="00FB1535" w:rsidP="009600B8">
      <w:pPr>
        <w:pStyle w:val="ListParagraph"/>
        <w:tabs>
          <w:tab w:val="left" w:pos="567"/>
        </w:tabs>
        <w:rPr>
          <w:rFonts w:asciiTheme="majorHAnsi" w:eastAsia="Calibri" w:hAnsiTheme="majorHAnsi"/>
          <w:sz w:val="20"/>
          <w:szCs w:val="20"/>
          <w:bdr w:val="none" w:sz="0" w:space="0" w:color="auto"/>
          <w:lang w:val="es-US"/>
        </w:rPr>
      </w:pPr>
    </w:p>
    <w:p w14:paraId="72CBF30B" w14:textId="77777777" w:rsidR="00FB1535" w:rsidRPr="00386E47" w:rsidRDefault="007F48A5" w:rsidP="003A5860">
      <w:pPr>
        <w:numPr>
          <w:ilvl w:val="0"/>
          <w:numId w:val="55"/>
        </w:numPr>
        <w:tabs>
          <w:tab w:val="left" w:pos="567"/>
        </w:tabs>
        <w:ind w:left="0" w:firstLine="0"/>
        <w:jc w:val="both"/>
        <w:rPr>
          <w:rFonts w:asciiTheme="majorHAnsi" w:eastAsia="Calibri" w:hAnsiTheme="majorHAnsi" w:cs="Verdana"/>
          <w:sz w:val="20"/>
          <w:szCs w:val="20"/>
          <w:lang w:val="es-US"/>
        </w:rPr>
      </w:pPr>
      <w:r w:rsidRPr="00386E47">
        <w:rPr>
          <w:rFonts w:asciiTheme="majorHAnsi" w:eastAsia="Calibri" w:hAnsiTheme="majorHAnsi"/>
          <w:sz w:val="20"/>
          <w:szCs w:val="20"/>
          <w:lang w:val="es-US"/>
        </w:rPr>
        <w:t>Respecto de</w:t>
      </w:r>
      <w:r w:rsidR="00FB1535" w:rsidRPr="00386E47">
        <w:rPr>
          <w:rFonts w:asciiTheme="majorHAnsi" w:eastAsia="Calibri" w:hAnsiTheme="majorHAnsi"/>
          <w:sz w:val="20"/>
          <w:szCs w:val="20"/>
          <w:lang w:val="es-US"/>
        </w:rPr>
        <w:t xml:space="preserve"> la actividad del helicóptero a baja altura sobre el edificio de la AMIA en la noche del 17 de julio de 1994, la Comisión encuentra que este hecho denotaba actualidad e inmediatez de situaciones particulares que merecían especial atención para un lugar sobre el cual pende una situación general de riesgo. Si el Estado conocía </w:t>
      </w:r>
      <w:r w:rsidR="00FB1535" w:rsidRPr="00386E47">
        <w:rPr>
          <w:rFonts w:asciiTheme="majorHAnsi" w:eastAsia="Calibri" w:hAnsiTheme="majorHAnsi"/>
          <w:sz w:val="20"/>
          <w:szCs w:val="20"/>
          <w:lang w:val="es-US"/>
        </w:rPr>
        <w:lastRenderedPageBreak/>
        <w:t xml:space="preserve">que el edificio debía ser custodiado, e incluso había dispuesto medidas para ello y para controlar el tráfico terrestre, </w:t>
      </w:r>
      <w:r w:rsidR="00A86CFA" w:rsidRPr="00386E47">
        <w:rPr>
          <w:rFonts w:asciiTheme="majorHAnsi" w:eastAsia="Calibri" w:hAnsiTheme="majorHAnsi"/>
          <w:sz w:val="20"/>
          <w:szCs w:val="20"/>
          <w:lang w:val="es-US"/>
        </w:rPr>
        <w:t>debía hacer seguimiento si existía un helicóptero sobrevolando el lugar.</w:t>
      </w:r>
    </w:p>
    <w:p w14:paraId="1537CF61" w14:textId="77777777" w:rsidR="00FB1535" w:rsidRPr="00386E47" w:rsidRDefault="00FB1535" w:rsidP="009600B8">
      <w:pPr>
        <w:tabs>
          <w:tab w:val="left" w:pos="567"/>
        </w:tabs>
        <w:rPr>
          <w:rFonts w:asciiTheme="majorHAnsi" w:eastAsia="Calibri" w:hAnsiTheme="majorHAnsi"/>
          <w:sz w:val="20"/>
          <w:szCs w:val="20"/>
          <w:lang w:val="es-AR"/>
        </w:rPr>
      </w:pPr>
    </w:p>
    <w:p w14:paraId="191B82C0" w14:textId="77777777" w:rsidR="00FB1535" w:rsidRPr="00386E47" w:rsidRDefault="00FB1535" w:rsidP="003A5860">
      <w:pPr>
        <w:numPr>
          <w:ilvl w:val="0"/>
          <w:numId w:val="55"/>
        </w:numPr>
        <w:tabs>
          <w:tab w:val="left" w:pos="567"/>
        </w:tabs>
        <w:ind w:left="0" w:firstLine="0"/>
        <w:jc w:val="both"/>
        <w:rPr>
          <w:rFonts w:asciiTheme="majorHAnsi" w:eastAsia="Calibri" w:hAnsiTheme="majorHAnsi" w:cs="Verdana"/>
          <w:sz w:val="20"/>
          <w:szCs w:val="20"/>
          <w:lang w:val="es-US"/>
        </w:rPr>
      </w:pPr>
      <w:r w:rsidRPr="00386E47">
        <w:rPr>
          <w:rFonts w:asciiTheme="majorHAnsi" w:eastAsia="Calibri" w:hAnsiTheme="majorHAnsi"/>
          <w:sz w:val="20"/>
          <w:szCs w:val="20"/>
          <w:lang w:val="es-AR"/>
        </w:rPr>
        <w:t xml:space="preserve"> </w:t>
      </w:r>
      <w:r w:rsidR="004C7D54" w:rsidRPr="00386E47">
        <w:rPr>
          <w:rFonts w:asciiTheme="majorHAnsi" w:eastAsia="Calibri" w:hAnsiTheme="majorHAnsi"/>
          <w:sz w:val="20"/>
          <w:szCs w:val="20"/>
          <w:lang w:val="es-AR"/>
        </w:rPr>
        <w:t>En cuanto a</w:t>
      </w:r>
      <w:r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US"/>
        </w:rPr>
        <w:t>si el Estado adoptó las medidas que razonablemente se esperaban para evitar que dicho riesgo se verificara, la Comisión subraya que el Estado conocía del riesgo general para la comunidad judía en Argentina y sus edificios, sin embargo</w:t>
      </w:r>
      <w:r w:rsidR="004C7D54" w:rsidRPr="00386E47">
        <w:rPr>
          <w:rFonts w:asciiTheme="majorHAnsi" w:eastAsia="Calibri" w:hAnsiTheme="majorHAnsi"/>
          <w:sz w:val="20"/>
          <w:szCs w:val="20"/>
          <w:lang w:val="es-US"/>
        </w:rPr>
        <w:t xml:space="preserve">, no consta que hubiese adoptado medidas dirigidas a </w:t>
      </w:r>
      <w:r w:rsidRPr="00386E47">
        <w:rPr>
          <w:rFonts w:asciiTheme="majorHAnsi" w:eastAsia="Calibri" w:hAnsiTheme="majorHAnsi"/>
          <w:sz w:val="20"/>
          <w:szCs w:val="20"/>
          <w:lang w:val="es-US"/>
        </w:rPr>
        <w:t>desestructurar eventuales planes terroristas después del ataque a la Embajada de Israel,</w:t>
      </w:r>
      <w:r w:rsidR="0066097F" w:rsidRPr="00386E47">
        <w:rPr>
          <w:rFonts w:asciiTheme="majorHAnsi" w:eastAsia="Calibri" w:hAnsiTheme="majorHAnsi"/>
          <w:sz w:val="20"/>
          <w:szCs w:val="20"/>
          <w:lang w:val="es-US"/>
        </w:rPr>
        <w:t xml:space="preserve"> </w:t>
      </w:r>
      <w:r w:rsidRPr="00386E47">
        <w:rPr>
          <w:rFonts w:asciiTheme="majorHAnsi" w:eastAsia="Calibri" w:hAnsiTheme="majorHAnsi"/>
          <w:sz w:val="20"/>
          <w:szCs w:val="20"/>
          <w:lang w:val="es-US"/>
        </w:rPr>
        <w:t xml:space="preserve">medidas idóneas </w:t>
      </w:r>
      <w:r w:rsidR="0066097F" w:rsidRPr="00386E47">
        <w:rPr>
          <w:rFonts w:asciiTheme="majorHAnsi" w:eastAsia="Calibri" w:hAnsiTheme="majorHAnsi"/>
          <w:sz w:val="20"/>
          <w:szCs w:val="20"/>
          <w:lang w:val="es-US"/>
        </w:rPr>
        <w:t>de seguridad</w:t>
      </w:r>
      <w:r w:rsidRPr="00386E47">
        <w:rPr>
          <w:rFonts w:asciiTheme="majorHAnsi" w:eastAsia="Calibri" w:hAnsiTheme="majorHAnsi"/>
          <w:sz w:val="20"/>
          <w:szCs w:val="20"/>
          <w:lang w:val="es-US"/>
        </w:rPr>
        <w:t xml:space="preserve"> para proteger el edificio de la AMIA, </w:t>
      </w:r>
      <w:r w:rsidR="004C7D54" w:rsidRPr="00386E47">
        <w:rPr>
          <w:rFonts w:asciiTheme="majorHAnsi" w:eastAsia="Calibri" w:hAnsiTheme="majorHAnsi"/>
          <w:sz w:val="20"/>
          <w:szCs w:val="20"/>
          <w:lang w:val="es-US"/>
        </w:rPr>
        <w:t>ni tuvo una respuesta adecuada</w:t>
      </w:r>
      <w:r w:rsidR="0066097F" w:rsidRPr="00386E47">
        <w:rPr>
          <w:rFonts w:asciiTheme="majorHAnsi" w:eastAsia="Calibri" w:hAnsiTheme="majorHAnsi"/>
          <w:sz w:val="20"/>
          <w:szCs w:val="20"/>
          <w:lang w:val="es-US"/>
        </w:rPr>
        <w:t xml:space="preserve"> ante la información que sugería que pudiera presentarse un ataque. </w:t>
      </w:r>
    </w:p>
    <w:p w14:paraId="4F73B04E" w14:textId="77777777" w:rsidR="00FB1535" w:rsidRPr="00386E47" w:rsidRDefault="00FB1535" w:rsidP="009600B8">
      <w:pPr>
        <w:tabs>
          <w:tab w:val="left" w:pos="567"/>
        </w:tabs>
        <w:rPr>
          <w:rFonts w:asciiTheme="majorHAnsi" w:eastAsia="Calibri" w:hAnsiTheme="majorHAnsi" w:cs="Verdana"/>
          <w:sz w:val="20"/>
          <w:szCs w:val="20"/>
          <w:lang w:val="es-US"/>
        </w:rPr>
      </w:pPr>
    </w:p>
    <w:p w14:paraId="243F6ECA" w14:textId="77777777" w:rsidR="00FB1535" w:rsidRPr="00386E47" w:rsidRDefault="00640EFC" w:rsidP="003A5860">
      <w:pPr>
        <w:numPr>
          <w:ilvl w:val="0"/>
          <w:numId w:val="55"/>
        </w:numPr>
        <w:tabs>
          <w:tab w:val="left" w:pos="567"/>
        </w:tabs>
        <w:ind w:left="0" w:firstLine="0"/>
        <w:jc w:val="both"/>
        <w:rPr>
          <w:rFonts w:asciiTheme="majorHAnsi" w:eastAsia="Calibri" w:hAnsiTheme="majorHAnsi" w:cs="Verdana"/>
          <w:sz w:val="20"/>
          <w:szCs w:val="20"/>
          <w:lang w:val="es-US"/>
        </w:rPr>
      </w:pPr>
      <w:r w:rsidRPr="00386E47">
        <w:rPr>
          <w:rFonts w:asciiTheme="majorHAnsi" w:eastAsia="Calibri" w:hAnsiTheme="majorHAnsi" w:cs="Verdana"/>
          <w:sz w:val="20"/>
          <w:szCs w:val="20"/>
          <w:lang w:val="es-US"/>
        </w:rPr>
        <w:t>E</w:t>
      </w:r>
      <w:r w:rsidR="0066097F" w:rsidRPr="00386E47">
        <w:rPr>
          <w:rFonts w:asciiTheme="majorHAnsi" w:eastAsia="Calibri" w:hAnsiTheme="majorHAnsi" w:cs="Verdana"/>
          <w:sz w:val="20"/>
          <w:szCs w:val="20"/>
          <w:lang w:val="es-US"/>
        </w:rPr>
        <w:t xml:space="preserve">n </w:t>
      </w:r>
      <w:r w:rsidR="004C7D54" w:rsidRPr="00386E47">
        <w:rPr>
          <w:rFonts w:asciiTheme="majorHAnsi" w:eastAsia="Calibri" w:hAnsiTheme="majorHAnsi" w:cs="Verdana"/>
          <w:sz w:val="20"/>
          <w:szCs w:val="20"/>
          <w:lang w:val="es-US"/>
        </w:rPr>
        <w:t>efecto, en lo que se refiere a</w:t>
      </w:r>
      <w:r w:rsidR="0066097F" w:rsidRPr="00386E47">
        <w:rPr>
          <w:rFonts w:asciiTheme="majorHAnsi" w:eastAsia="Calibri" w:hAnsiTheme="majorHAnsi" w:cs="Verdana"/>
          <w:sz w:val="20"/>
          <w:szCs w:val="20"/>
          <w:lang w:val="es-US"/>
        </w:rPr>
        <w:t xml:space="preserve"> las medidas de prevención más generales que tenía el Estado, </w:t>
      </w:r>
      <w:r w:rsidR="00FB1535" w:rsidRPr="00386E47">
        <w:rPr>
          <w:rFonts w:asciiTheme="majorHAnsi" w:eastAsia="Calibri" w:hAnsiTheme="majorHAnsi" w:cs="Verdana"/>
          <w:sz w:val="20"/>
          <w:szCs w:val="20"/>
          <w:lang w:val="es-US"/>
        </w:rPr>
        <w:t xml:space="preserve">la Comisión desea </w:t>
      </w:r>
      <w:r w:rsidRPr="00386E47">
        <w:rPr>
          <w:rFonts w:asciiTheme="majorHAnsi" w:eastAsia="Calibri" w:hAnsiTheme="majorHAnsi" w:cs="Verdana"/>
          <w:sz w:val="20"/>
          <w:szCs w:val="20"/>
          <w:lang w:val="es-US"/>
        </w:rPr>
        <w:t>resaltar</w:t>
      </w:r>
      <w:r w:rsidR="00FB1535" w:rsidRPr="00386E47">
        <w:rPr>
          <w:rFonts w:asciiTheme="majorHAnsi" w:eastAsia="Calibri" w:hAnsiTheme="majorHAnsi" w:cs="Verdana"/>
          <w:sz w:val="20"/>
          <w:szCs w:val="20"/>
          <w:lang w:val="es-US"/>
        </w:rPr>
        <w:t xml:space="preserve"> que los actos de terrorismo generan violaciones a los derechos humanos que deben ser abordadas por el Estado, para su investigación, pero también para evitar su repetición. En palabras del Relator Especial de las Naciones Unidas </w:t>
      </w:r>
      <w:r w:rsidR="00FB1535" w:rsidRPr="00386E47">
        <w:rPr>
          <w:rFonts w:asciiTheme="majorHAnsi" w:hAnsiTheme="majorHAnsi"/>
          <w:sz w:val="20"/>
          <w:szCs w:val="20"/>
          <w:lang w:val="es-ES"/>
        </w:rPr>
        <w:t>“el deber del Estado de defender la seguridad nacional y su obligación de asegurar la protección de los derechos humanos de quienes están bajo su jurisdicción constituyen una serie de obligaciones complementarias, simultáneas y que se refuerzan entre sí”</w:t>
      </w:r>
      <w:r w:rsidR="00FB1535" w:rsidRPr="00386E47">
        <w:rPr>
          <w:rStyle w:val="FootnoteReference"/>
          <w:rFonts w:asciiTheme="majorHAnsi" w:hAnsiTheme="majorHAnsi"/>
          <w:sz w:val="20"/>
          <w:szCs w:val="20"/>
          <w:lang w:val="es-ES"/>
        </w:rPr>
        <w:footnoteReference w:id="87"/>
      </w:r>
      <w:r w:rsidR="00FB1535" w:rsidRPr="00386E47">
        <w:rPr>
          <w:rFonts w:asciiTheme="majorHAnsi" w:hAnsiTheme="majorHAnsi"/>
          <w:sz w:val="20"/>
          <w:szCs w:val="20"/>
          <w:lang w:val="es-ES"/>
        </w:rPr>
        <w:t>.</w:t>
      </w:r>
      <w:r w:rsidR="00DC138B" w:rsidRPr="00386E47">
        <w:rPr>
          <w:rFonts w:asciiTheme="majorHAnsi" w:eastAsia="Calibri" w:hAnsiTheme="majorHAnsi" w:cs="Verdana"/>
          <w:sz w:val="20"/>
          <w:szCs w:val="20"/>
          <w:lang w:val="es-US"/>
        </w:rPr>
        <w:t xml:space="preserve"> Por ello, </w:t>
      </w:r>
      <w:r w:rsidR="00FB1535" w:rsidRPr="00386E47">
        <w:rPr>
          <w:rFonts w:asciiTheme="majorHAnsi" w:eastAsia="Calibri" w:hAnsiTheme="majorHAnsi" w:cs="Verdana"/>
          <w:sz w:val="20"/>
          <w:szCs w:val="20"/>
          <w:lang w:val="es-US"/>
        </w:rPr>
        <w:t>los Estados deben emprender estrategias</w:t>
      </w:r>
      <w:r w:rsidRPr="00386E47">
        <w:rPr>
          <w:rFonts w:asciiTheme="majorHAnsi" w:eastAsia="Calibri" w:hAnsiTheme="majorHAnsi" w:cs="Verdana"/>
          <w:sz w:val="20"/>
          <w:szCs w:val="20"/>
          <w:lang w:val="es-US"/>
        </w:rPr>
        <w:t xml:space="preserve"> in</w:t>
      </w:r>
      <w:r w:rsidR="004C7D54" w:rsidRPr="00386E47">
        <w:rPr>
          <w:rFonts w:asciiTheme="majorHAnsi" w:eastAsia="Calibri" w:hAnsiTheme="majorHAnsi" w:cs="Verdana"/>
          <w:sz w:val="20"/>
          <w:szCs w:val="20"/>
          <w:lang w:val="es-US"/>
        </w:rPr>
        <w:t>t</w:t>
      </w:r>
      <w:r w:rsidRPr="00386E47">
        <w:rPr>
          <w:rFonts w:asciiTheme="majorHAnsi" w:eastAsia="Calibri" w:hAnsiTheme="majorHAnsi" w:cs="Verdana"/>
          <w:sz w:val="20"/>
          <w:szCs w:val="20"/>
          <w:lang w:val="es-US"/>
        </w:rPr>
        <w:t>egrales</w:t>
      </w:r>
      <w:r w:rsidR="004C7D54" w:rsidRPr="00386E47">
        <w:rPr>
          <w:rFonts w:asciiTheme="majorHAnsi" w:eastAsia="Calibri" w:hAnsiTheme="majorHAnsi" w:cs="Verdana"/>
          <w:sz w:val="20"/>
          <w:szCs w:val="20"/>
          <w:lang w:val="es-US"/>
        </w:rPr>
        <w:t xml:space="preserve">, </w:t>
      </w:r>
      <w:r w:rsidR="00FB1535" w:rsidRPr="00386E47">
        <w:rPr>
          <w:rFonts w:asciiTheme="majorHAnsi" w:eastAsia="Calibri" w:hAnsiTheme="majorHAnsi" w:cs="Verdana"/>
          <w:sz w:val="20"/>
          <w:szCs w:val="20"/>
          <w:lang w:val="es-US"/>
        </w:rPr>
        <w:t xml:space="preserve">no sólo para evitar la creación de grupos terroristas, sino también para desactivar sus planes de acción cuando aquellos ya han sido creados. </w:t>
      </w:r>
      <w:r w:rsidR="004C7D54" w:rsidRPr="00386E47">
        <w:rPr>
          <w:rFonts w:asciiTheme="majorHAnsi" w:eastAsia="Calibri" w:hAnsiTheme="majorHAnsi" w:cs="Verdana"/>
          <w:sz w:val="20"/>
          <w:szCs w:val="20"/>
          <w:lang w:val="es-US"/>
        </w:rPr>
        <w:t>La Comisión</w:t>
      </w:r>
      <w:r w:rsidR="00FB1535" w:rsidRPr="00386E47">
        <w:rPr>
          <w:rFonts w:asciiTheme="majorHAnsi" w:eastAsia="Calibri" w:hAnsiTheme="majorHAnsi" w:cs="Verdana"/>
          <w:sz w:val="20"/>
          <w:szCs w:val="20"/>
          <w:lang w:val="es-US"/>
        </w:rPr>
        <w:t xml:space="preserve"> nota con preocupación que el Estado no aportó información sobre estrategias estatales de lucha contra el terrorismo después del atentado a la Embajada de Israel</w:t>
      </w:r>
      <w:r w:rsidR="00262778" w:rsidRPr="00386E47">
        <w:rPr>
          <w:rFonts w:asciiTheme="majorHAnsi" w:eastAsia="Calibri" w:hAnsiTheme="majorHAnsi" w:cs="Verdana"/>
          <w:sz w:val="20"/>
          <w:szCs w:val="20"/>
          <w:lang w:val="es-US"/>
        </w:rPr>
        <w:t xml:space="preserve">, que incluyeran medidas como el despliegue de actividades de </w:t>
      </w:r>
      <w:r w:rsidR="00FB1535" w:rsidRPr="00386E47">
        <w:rPr>
          <w:rFonts w:asciiTheme="majorHAnsi" w:eastAsia="Calibri" w:hAnsiTheme="majorHAnsi" w:cs="Verdana"/>
          <w:sz w:val="20"/>
          <w:szCs w:val="20"/>
          <w:lang w:val="es-US"/>
        </w:rPr>
        <w:t xml:space="preserve">cooperación internacional para obtener información de inteligencia, control de documentación y fronteras, o </w:t>
      </w:r>
      <w:r w:rsidR="00262778" w:rsidRPr="00386E47">
        <w:rPr>
          <w:rFonts w:asciiTheme="majorHAnsi" w:eastAsia="Calibri" w:hAnsiTheme="majorHAnsi" w:cs="Verdana"/>
          <w:sz w:val="20"/>
          <w:szCs w:val="20"/>
          <w:lang w:val="es-US"/>
        </w:rPr>
        <w:t xml:space="preserve">mayor </w:t>
      </w:r>
      <w:r w:rsidR="00FB1535" w:rsidRPr="00386E47">
        <w:rPr>
          <w:rFonts w:asciiTheme="majorHAnsi" w:eastAsia="Calibri" w:hAnsiTheme="majorHAnsi" w:cs="Verdana"/>
          <w:sz w:val="20"/>
          <w:szCs w:val="20"/>
          <w:lang w:val="es-US"/>
        </w:rPr>
        <w:t xml:space="preserve">control y vigilancia de materiales explosivos.  </w:t>
      </w:r>
    </w:p>
    <w:p w14:paraId="3089F5AE" w14:textId="77777777" w:rsidR="00262778" w:rsidRPr="00386E47" w:rsidRDefault="00262778" w:rsidP="00A311A0">
      <w:pPr>
        <w:tabs>
          <w:tab w:val="left" w:pos="567"/>
        </w:tabs>
        <w:jc w:val="both"/>
        <w:rPr>
          <w:rFonts w:asciiTheme="majorHAnsi" w:eastAsia="Calibri" w:hAnsiTheme="majorHAnsi" w:cs="Verdana"/>
          <w:sz w:val="20"/>
          <w:szCs w:val="20"/>
          <w:lang w:val="es-US"/>
        </w:rPr>
      </w:pPr>
    </w:p>
    <w:p w14:paraId="37A2D3D3" w14:textId="77777777" w:rsidR="00FB1535" w:rsidRPr="00386E47" w:rsidRDefault="004C7D54" w:rsidP="003A5860">
      <w:pPr>
        <w:numPr>
          <w:ilvl w:val="0"/>
          <w:numId w:val="55"/>
        </w:numPr>
        <w:tabs>
          <w:tab w:val="left" w:pos="567"/>
        </w:tabs>
        <w:ind w:left="0" w:firstLine="0"/>
        <w:jc w:val="both"/>
        <w:rPr>
          <w:rFonts w:asciiTheme="majorHAnsi" w:eastAsia="Calibri" w:hAnsiTheme="majorHAnsi" w:cs="Verdana"/>
          <w:sz w:val="20"/>
          <w:szCs w:val="20"/>
          <w:lang w:val="es-US"/>
        </w:rPr>
      </w:pPr>
      <w:r w:rsidRPr="00386E47">
        <w:rPr>
          <w:rFonts w:asciiTheme="majorHAnsi" w:eastAsia="Calibri" w:hAnsiTheme="majorHAnsi" w:cs="Verdana"/>
          <w:sz w:val="20"/>
          <w:szCs w:val="20"/>
          <w:lang w:val="es-US"/>
        </w:rPr>
        <w:t>Por el contrario, la información que dispone la CIDH indica que no se llevaron a cabo tales medidas. En efecto, la</w:t>
      </w:r>
      <w:r w:rsidR="00FB1535" w:rsidRPr="00386E47">
        <w:rPr>
          <w:rFonts w:asciiTheme="majorHAnsi" w:eastAsia="Calibri" w:hAnsiTheme="majorHAnsi" w:cs="Verdana"/>
          <w:sz w:val="20"/>
          <w:szCs w:val="20"/>
          <w:lang w:val="es-US"/>
        </w:rPr>
        <w:t xml:space="preserve"> sentencia del TOF 3  indica que </w:t>
      </w:r>
      <w:r w:rsidR="00FB1535" w:rsidRPr="00386E47">
        <w:rPr>
          <w:rFonts w:asciiTheme="majorHAnsi" w:eastAsia="Calibri" w:hAnsiTheme="majorHAnsi"/>
          <w:sz w:val="20"/>
          <w:szCs w:val="20"/>
          <w:lang w:val="es-US"/>
        </w:rPr>
        <w:t>el entonces Ministro del Interior Carlos Federico Ruckauf y el brigadier Andrés Arnoldo Antonietti, titular de la Secretaría de Seguridad Interior y Protección de la Comunidad, negaron conocer sobre políticas de prevención después del atentado de 1992</w:t>
      </w:r>
      <w:r w:rsidR="00FB1535" w:rsidRPr="00386E47">
        <w:rPr>
          <w:rFonts w:asciiTheme="majorHAnsi" w:eastAsia="Calibri" w:hAnsiTheme="majorHAnsi"/>
          <w:sz w:val="20"/>
          <w:szCs w:val="20"/>
          <w:vertAlign w:val="superscript"/>
          <w:lang w:val="es-US"/>
        </w:rPr>
        <w:footnoteReference w:id="88"/>
      </w:r>
      <w:r w:rsidR="00FB1535" w:rsidRPr="00386E47">
        <w:rPr>
          <w:rFonts w:asciiTheme="majorHAnsi" w:eastAsia="Calibri" w:hAnsiTheme="majorHAnsi"/>
          <w:sz w:val="20"/>
          <w:szCs w:val="20"/>
          <w:lang w:val="es-US"/>
        </w:rPr>
        <w:t>. Además, al recaudar testimonios de otros funcionarios, el mismo Tribunal encontró probado que no se adoptaron medidas de prevención, ni se crearon organismos para ello, así: “aunque el país contaba con el trágico antecedente del atentado a la Embajada de Israel, ocurrido el 17 de marzo de 1992, la casi totalidad de los funcionarios de seguridad que depusieron en el debate coincidieron en señalar que luego de dicho acontecimiento no se adoptaron las medidas encaminadas a la prevención de futuros ataques terroristas ni a la creación de organismos debidamente preparados para colaborar en hechos de esa naturaleza habiendo quedado en una mera expresión de deseos los objetivos plasmados en la ley no 24.059”</w:t>
      </w:r>
      <w:r w:rsidR="00FB1535" w:rsidRPr="00386E47">
        <w:rPr>
          <w:rFonts w:asciiTheme="majorHAnsi" w:eastAsia="Calibri" w:hAnsiTheme="majorHAnsi"/>
          <w:sz w:val="20"/>
          <w:szCs w:val="20"/>
          <w:vertAlign w:val="superscript"/>
          <w:lang w:val="es-US"/>
        </w:rPr>
        <w:footnoteReference w:id="89"/>
      </w:r>
      <w:r w:rsidR="00FB1535" w:rsidRPr="00386E47">
        <w:rPr>
          <w:rFonts w:asciiTheme="majorHAnsi" w:eastAsia="Calibri" w:hAnsiTheme="majorHAnsi"/>
          <w:sz w:val="20"/>
          <w:szCs w:val="20"/>
          <w:lang w:val="es-US"/>
        </w:rPr>
        <w:t xml:space="preserve">.  </w:t>
      </w:r>
    </w:p>
    <w:p w14:paraId="7CA527A8" w14:textId="77777777" w:rsidR="00362B3C" w:rsidRPr="00386E47" w:rsidRDefault="00362B3C" w:rsidP="00A311A0">
      <w:pPr>
        <w:tabs>
          <w:tab w:val="left" w:pos="567"/>
        </w:tabs>
        <w:jc w:val="both"/>
        <w:rPr>
          <w:rFonts w:asciiTheme="majorHAnsi" w:eastAsia="Calibri" w:hAnsiTheme="majorHAnsi" w:cs="Verdana"/>
          <w:sz w:val="20"/>
          <w:szCs w:val="20"/>
          <w:lang w:val="es-US"/>
        </w:rPr>
      </w:pPr>
    </w:p>
    <w:p w14:paraId="66EF4859" w14:textId="77777777" w:rsidR="00362B3C" w:rsidRPr="00386E47" w:rsidRDefault="0066097F" w:rsidP="003A5860">
      <w:pPr>
        <w:numPr>
          <w:ilvl w:val="0"/>
          <w:numId w:val="55"/>
        </w:numPr>
        <w:tabs>
          <w:tab w:val="left" w:pos="567"/>
        </w:tabs>
        <w:ind w:left="0" w:firstLine="0"/>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En cuanto a la protección </w:t>
      </w:r>
      <w:r w:rsidR="00362B3C" w:rsidRPr="00386E47">
        <w:rPr>
          <w:rFonts w:asciiTheme="majorHAnsi" w:eastAsia="Calibri" w:hAnsiTheme="majorHAnsi"/>
          <w:sz w:val="20"/>
          <w:szCs w:val="20"/>
          <w:lang w:val="es-AR"/>
        </w:rPr>
        <w:t xml:space="preserve">a la zona y </w:t>
      </w:r>
      <w:r w:rsidRPr="00386E47">
        <w:rPr>
          <w:rFonts w:asciiTheme="majorHAnsi" w:eastAsia="Calibri" w:hAnsiTheme="majorHAnsi"/>
          <w:sz w:val="20"/>
          <w:szCs w:val="20"/>
          <w:lang w:val="es-AR"/>
        </w:rPr>
        <w:t>el edificio de la AMIA</w:t>
      </w:r>
      <w:r w:rsidR="00FB1535" w:rsidRPr="00386E47">
        <w:rPr>
          <w:rFonts w:asciiTheme="majorHAnsi" w:eastAsia="Calibri" w:hAnsiTheme="majorHAnsi"/>
          <w:sz w:val="20"/>
          <w:szCs w:val="20"/>
          <w:lang w:val="es-AR"/>
        </w:rPr>
        <w:t>, la CIDH nota que el Estado no contaba con mecanismos efectivo</w:t>
      </w:r>
      <w:r w:rsidR="00787972" w:rsidRPr="00386E47">
        <w:rPr>
          <w:rFonts w:asciiTheme="majorHAnsi" w:eastAsia="Calibri" w:hAnsiTheme="majorHAnsi"/>
          <w:sz w:val="20"/>
          <w:szCs w:val="20"/>
          <w:lang w:val="es-AR"/>
        </w:rPr>
        <w:t>s</w:t>
      </w:r>
      <w:r w:rsidR="00FB1535" w:rsidRPr="00386E47">
        <w:rPr>
          <w:rFonts w:asciiTheme="majorHAnsi" w:eastAsia="Calibri" w:hAnsiTheme="majorHAnsi"/>
          <w:sz w:val="20"/>
          <w:szCs w:val="20"/>
          <w:lang w:val="es-AR"/>
        </w:rPr>
        <w:t xml:space="preserve"> para </w:t>
      </w:r>
      <w:r w:rsidR="00787972" w:rsidRPr="00386E47">
        <w:rPr>
          <w:rFonts w:asciiTheme="majorHAnsi" w:eastAsia="Calibri" w:hAnsiTheme="majorHAnsi"/>
          <w:sz w:val="20"/>
          <w:szCs w:val="20"/>
          <w:lang w:val="es-AR"/>
        </w:rPr>
        <w:t>afrontar</w:t>
      </w:r>
      <w:r w:rsidR="00F46E95" w:rsidRPr="00386E47">
        <w:rPr>
          <w:rFonts w:asciiTheme="majorHAnsi" w:eastAsia="Calibri" w:hAnsiTheme="majorHAnsi"/>
          <w:sz w:val="20"/>
          <w:szCs w:val="20"/>
          <w:lang w:val="es-AR"/>
        </w:rPr>
        <w:t xml:space="preserve"> y repeler</w:t>
      </w:r>
      <w:r w:rsidR="00787972" w:rsidRPr="00386E47">
        <w:rPr>
          <w:rFonts w:asciiTheme="majorHAnsi" w:eastAsia="Calibri" w:hAnsiTheme="majorHAnsi"/>
          <w:sz w:val="20"/>
          <w:szCs w:val="20"/>
          <w:lang w:val="es-AR"/>
        </w:rPr>
        <w:t xml:space="preserve"> </w:t>
      </w:r>
      <w:r w:rsidR="00FB1535" w:rsidRPr="00386E47">
        <w:rPr>
          <w:rFonts w:asciiTheme="majorHAnsi" w:eastAsia="Calibri" w:hAnsiTheme="majorHAnsi"/>
          <w:sz w:val="20"/>
          <w:szCs w:val="20"/>
          <w:lang w:val="es-AR"/>
        </w:rPr>
        <w:t>situaciones de riesgo</w:t>
      </w:r>
      <w:r w:rsidR="00F46E95" w:rsidRPr="00386E47">
        <w:rPr>
          <w:rFonts w:asciiTheme="majorHAnsi" w:eastAsia="Calibri" w:hAnsiTheme="majorHAnsi"/>
          <w:sz w:val="20"/>
          <w:szCs w:val="20"/>
          <w:lang w:val="es-AR"/>
        </w:rPr>
        <w:t xml:space="preserve"> que pudieran presentarse</w:t>
      </w:r>
      <w:r w:rsidR="00FB1535" w:rsidRPr="00386E47">
        <w:rPr>
          <w:rFonts w:asciiTheme="majorHAnsi" w:eastAsia="Calibri" w:hAnsiTheme="majorHAnsi"/>
          <w:sz w:val="20"/>
          <w:szCs w:val="20"/>
          <w:lang w:val="es-AR"/>
        </w:rPr>
        <w:t>.</w:t>
      </w:r>
      <w:r w:rsidRPr="00386E47">
        <w:rPr>
          <w:rFonts w:asciiTheme="majorHAnsi" w:eastAsia="Calibri" w:hAnsiTheme="majorHAnsi"/>
          <w:sz w:val="20"/>
          <w:szCs w:val="20"/>
          <w:lang w:val="es-AR"/>
        </w:rPr>
        <w:t xml:space="preserve"> En el expediente ante la CIDH no consta que se hubieran realizado despliegues de seguridad, control de tráfico de personas o de transportación </w:t>
      </w:r>
      <w:r w:rsidR="00362B3C" w:rsidRPr="00386E47">
        <w:rPr>
          <w:rFonts w:asciiTheme="majorHAnsi" w:eastAsia="Calibri" w:hAnsiTheme="majorHAnsi"/>
          <w:sz w:val="20"/>
          <w:szCs w:val="20"/>
          <w:lang w:val="es-AR"/>
        </w:rPr>
        <w:t>adecuadamente coordinados ni</w:t>
      </w:r>
      <w:r w:rsidRPr="00386E47">
        <w:rPr>
          <w:rFonts w:asciiTheme="majorHAnsi" w:eastAsia="Calibri" w:hAnsiTheme="majorHAnsi"/>
          <w:sz w:val="20"/>
          <w:szCs w:val="20"/>
          <w:lang w:val="es-AR"/>
        </w:rPr>
        <w:t xml:space="preserve"> </w:t>
      </w:r>
      <w:r w:rsidR="005062B1" w:rsidRPr="00386E47">
        <w:rPr>
          <w:rFonts w:asciiTheme="majorHAnsi" w:eastAsia="Calibri" w:hAnsiTheme="majorHAnsi"/>
          <w:sz w:val="20"/>
          <w:szCs w:val="20"/>
          <w:lang w:val="es-AR"/>
        </w:rPr>
        <w:t xml:space="preserve">protocolos </w:t>
      </w:r>
      <w:r w:rsidRPr="00386E47">
        <w:rPr>
          <w:rFonts w:asciiTheme="majorHAnsi" w:eastAsia="Calibri" w:hAnsiTheme="majorHAnsi"/>
          <w:sz w:val="20"/>
          <w:szCs w:val="20"/>
          <w:lang w:val="es-AR"/>
        </w:rPr>
        <w:t>de seguridad</w:t>
      </w:r>
      <w:r w:rsidR="00362B3C" w:rsidRPr="00386E47">
        <w:rPr>
          <w:rFonts w:asciiTheme="majorHAnsi" w:eastAsia="Calibri" w:hAnsiTheme="majorHAnsi"/>
          <w:sz w:val="20"/>
          <w:szCs w:val="20"/>
          <w:lang w:val="es-AR"/>
        </w:rPr>
        <w:t xml:space="preserve"> en las afueras e interior del edificio,</w:t>
      </w:r>
      <w:r w:rsidRPr="00386E47">
        <w:rPr>
          <w:rFonts w:asciiTheme="majorHAnsi" w:eastAsia="Calibri" w:hAnsiTheme="majorHAnsi"/>
          <w:sz w:val="20"/>
          <w:szCs w:val="20"/>
          <w:lang w:val="es-AR"/>
        </w:rPr>
        <w:t xml:space="preserve"> </w:t>
      </w:r>
      <w:r w:rsidR="00362B3C" w:rsidRPr="00386E47">
        <w:rPr>
          <w:rFonts w:asciiTheme="majorHAnsi" w:eastAsia="Calibri" w:hAnsiTheme="majorHAnsi"/>
          <w:sz w:val="20"/>
          <w:szCs w:val="20"/>
          <w:lang w:val="es-AR"/>
        </w:rPr>
        <w:t>ante la ocurrencia de un posible evento violento,</w:t>
      </w:r>
      <w:r w:rsidR="005062B1" w:rsidRPr="00386E47">
        <w:rPr>
          <w:rFonts w:asciiTheme="majorHAnsi" w:eastAsia="Calibri" w:hAnsiTheme="majorHAnsi"/>
          <w:sz w:val="20"/>
          <w:szCs w:val="20"/>
          <w:lang w:val="es-AR"/>
        </w:rPr>
        <w:t xml:space="preserve"> </w:t>
      </w:r>
      <w:r w:rsidR="00362B3C" w:rsidRPr="00386E47">
        <w:rPr>
          <w:rFonts w:asciiTheme="majorHAnsi" w:eastAsia="Calibri" w:hAnsiTheme="majorHAnsi"/>
          <w:sz w:val="20"/>
          <w:szCs w:val="20"/>
          <w:lang w:val="es-AR"/>
        </w:rPr>
        <w:t xml:space="preserve">o bien, medidas que permitieran reforzar la infraestructura y </w:t>
      </w:r>
      <w:r w:rsidR="005062B1" w:rsidRPr="00386E47">
        <w:rPr>
          <w:rFonts w:asciiTheme="majorHAnsi" w:eastAsia="Calibri" w:hAnsiTheme="majorHAnsi"/>
          <w:sz w:val="20"/>
          <w:szCs w:val="20"/>
          <w:lang w:val="es-AR"/>
        </w:rPr>
        <w:t>proteger la vida e integridad de las personas que se encontraban en él</w:t>
      </w:r>
      <w:r w:rsidRPr="00386E47">
        <w:rPr>
          <w:rFonts w:asciiTheme="majorHAnsi" w:eastAsia="Calibri" w:hAnsiTheme="majorHAnsi"/>
          <w:sz w:val="20"/>
          <w:szCs w:val="20"/>
          <w:lang w:val="es-AR"/>
        </w:rPr>
        <w:t>.</w:t>
      </w:r>
      <w:r w:rsidR="00FB1535" w:rsidRPr="00386E47">
        <w:rPr>
          <w:rFonts w:asciiTheme="majorHAnsi" w:eastAsia="Calibri" w:hAnsiTheme="majorHAnsi"/>
          <w:sz w:val="20"/>
          <w:szCs w:val="20"/>
          <w:lang w:val="es-AR"/>
        </w:rPr>
        <w:t xml:space="preserve"> </w:t>
      </w:r>
    </w:p>
    <w:p w14:paraId="04B762F7" w14:textId="77777777" w:rsidR="00362B3C" w:rsidRPr="00386E47" w:rsidRDefault="00362B3C" w:rsidP="00A311A0">
      <w:pPr>
        <w:tabs>
          <w:tab w:val="left" w:pos="567"/>
        </w:tabs>
        <w:jc w:val="both"/>
        <w:rPr>
          <w:rFonts w:asciiTheme="majorHAnsi" w:eastAsia="Calibri" w:hAnsiTheme="majorHAnsi"/>
          <w:sz w:val="20"/>
          <w:szCs w:val="20"/>
          <w:lang w:val="es-AR"/>
        </w:rPr>
      </w:pPr>
    </w:p>
    <w:p w14:paraId="0A5C4F09" w14:textId="77777777" w:rsidR="00362B3C" w:rsidRPr="00386E47" w:rsidRDefault="00362B3C" w:rsidP="003A5860">
      <w:pPr>
        <w:numPr>
          <w:ilvl w:val="0"/>
          <w:numId w:val="55"/>
        </w:numPr>
        <w:tabs>
          <w:tab w:val="left" w:pos="567"/>
        </w:tabs>
        <w:ind w:left="0" w:firstLine="0"/>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La Comisión observa que la única medida adoptada consistente en vigilancia policial tenía graves fallas. </w:t>
      </w:r>
      <w:r w:rsidR="00C85918" w:rsidRPr="00386E47">
        <w:rPr>
          <w:rFonts w:asciiTheme="majorHAnsi" w:eastAsia="Calibri" w:hAnsiTheme="majorHAnsi"/>
          <w:sz w:val="20"/>
          <w:szCs w:val="20"/>
          <w:lang w:val="es-AR"/>
        </w:rPr>
        <w:t>Tal como fue constatado</w:t>
      </w:r>
      <w:r w:rsidR="00C85918" w:rsidRPr="00386E47">
        <w:rPr>
          <w:rFonts w:asciiTheme="majorHAnsi" w:eastAsia="Calibri" w:hAnsiTheme="majorHAnsi" w:cs="Verdana"/>
          <w:sz w:val="20"/>
          <w:szCs w:val="20"/>
          <w:lang w:val="es-US"/>
        </w:rPr>
        <w:t xml:space="preserve"> por</w:t>
      </w:r>
      <w:r w:rsidRPr="00386E47">
        <w:rPr>
          <w:rFonts w:asciiTheme="majorHAnsi" w:eastAsia="Calibri" w:hAnsiTheme="majorHAnsi" w:cs="Verdana"/>
          <w:sz w:val="20"/>
          <w:szCs w:val="20"/>
          <w:lang w:val="es-US"/>
        </w:rPr>
        <w:t xml:space="preserve"> el TOF 3, el edificio de la AMIA tenía una vigilancia 24 horas, a cargo de las Comisarías </w:t>
      </w:r>
      <w:r w:rsidRPr="00386E47">
        <w:rPr>
          <w:rFonts w:asciiTheme="majorHAnsi" w:eastAsia="Calibri" w:hAnsiTheme="majorHAnsi"/>
          <w:sz w:val="20"/>
          <w:szCs w:val="20"/>
          <w:lang w:val="es-US"/>
        </w:rPr>
        <w:t>5ª y 7ª de la Policía Federal Argentina. La custodia planeada para el edificio implicaba que dos personas debían estar de forma permanente dando vigilancia al edificio, sin embargo, según lo probado a nivel interno, el personal policial no contaba con el equipamiento inicialmente dispuesto para cumplir su función, por lo que utilizaban un aparato de comunicaciones manual de la custodia interna. L</w:t>
      </w:r>
      <w:r w:rsidRPr="00386E47">
        <w:rPr>
          <w:rFonts w:asciiTheme="majorHAnsi" w:eastAsia="Calibri" w:hAnsiTheme="majorHAnsi" w:cs="Verdana"/>
          <w:sz w:val="20"/>
          <w:szCs w:val="20"/>
          <w:lang w:val="es-US"/>
        </w:rPr>
        <w:t xml:space="preserve">a Comisión observa que la falla en los equipos de custodia </w:t>
      </w:r>
      <w:r w:rsidR="00640EFC" w:rsidRPr="00386E47">
        <w:rPr>
          <w:rFonts w:asciiTheme="majorHAnsi" w:eastAsia="Calibri" w:hAnsiTheme="majorHAnsi" w:cs="Verdana"/>
          <w:sz w:val="20"/>
          <w:szCs w:val="20"/>
          <w:lang w:val="es-US"/>
        </w:rPr>
        <w:t>se venía presentando</w:t>
      </w:r>
      <w:r w:rsidRPr="00386E47">
        <w:rPr>
          <w:rFonts w:asciiTheme="majorHAnsi" w:eastAsia="Calibri" w:hAnsiTheme="majorHAnsi" w:cs="Verdana"/>
          <w:sz w:val="20"/>
          <w:szCs w:val="20"/>
          <w:lang w:val="es-US"/>
        </w:rPr>
        <w:t xml:space="preserve"> desde hace un tiempo y la ausencia de batería para el equipo de comunicaciones no era una cuestión excepcional coincidente el día en que ocurrió el atentado, pues según lo dicho por el TOF 3 </w:t>
      </w:r>
      <w:r w:rsidRPr="00386E47">
        <w:rPr>
          <w:rFonts w:asciiTheme="majorHAnsi" w:eastAsia="Calibri" w:hAnsiTheme="majorHAnsi"/>
          <w:sz w:val="20"/>
          <w:szCs w:val="20"/>
          <w:lang w:val="es-US"/>
        </w:rPr>
        <w:t xml:space="preserve">“al </w:t>
      </w:r>
      <w:r w:rsidRPr="00386E47">
        <w:rPr>
          <w:rFonts w:asciiTheme="majorHAnsi" w:eastAsia="Calibri" w:hAnsiTheme="majorHAnsi"/>
          <w:sz w:val="20"/>
          <w:szCs w:val="20"/>
          <w:lang w:val="es-US"/>
        </w:rPr>
        <w:lastRenderedPageBreak/>
        <w:t xml:space="preserve">menos desde el viernes 15 hasta la mañana del lunes siguiente, el </w:t>
      </w:r>
      <w:r w:rsidR="004C7D54" w:rsidRPr="00386E47">
        <w:rPr>
          <w:rFonts w:asciiTheme="majorHAnsi" w:eastAsia="Calibri" w:hAnsiTheme="majorHAnsi"/>
          <w:sz w:val="20"/>
          <w:szCs w:val="20"/>
          <w:lang w:val="es-US"/>
        </w:rPr>
        <w:t xml:space="preserve">[equipo de comunicación del] </w:t>
      </w:r>
      <w:r w:rsidRPr="00386E47">
        <w:rPr>
          <w:rFonts w:asciiTheme="majorHAnsi" w:eastAsia="Calibri" w:hAnsiTheme="majorHAnsi"/>
          <w:sz w:val="20"/>
          <w:szCs w:val="20"/>
          <w:lang w:val="es-US"/>
        </w:rPr>
        <w:t>patrullero apostado sobre la calle Pasteur no funcionaba debido a que su batería no tenía carga”.</w:t>
      </w:r>
    </w:p>
    <w:p w14:paraId="1250D3AE" w14:textId="77777777" w:rsidR="00362B3C" w:rsidRPr="00386E47" w:rsidRDefault="00362B3C" w:rsidP="00A311A0">
      <w:pPr>
        <w:pStyle w:val="ListParagraph"/>
        <w:rPr>
          <w:rFonts w:asciiTheme="majorHAnsi" w:eastAsia="Calibri" w:hAnsiTheme="majorHAnsi"/>
          <w:sz w:val="20"/>
          <w:szCs w:val="20"/>
          <w:lang w:val="es-AR"/>
        </w:rPr>
      </w:pPr>
    </w:p>
    <w:p w14:paraId="41D571A8" w14:textId="77777777" w:rsidR="00362B3C" w:rsidRPr="00386E47" w:rsidRDefault="00362B3C" w:rsidP="003A5860">
      <w:pPr>
        <w:numPr>
          <w:ilvl w:val="0"/>
          <w:numId w:val="55"/>
        </w:numPr>
        <w:tabs>
          <w:tab w:val="left" w:pos="567"/>
        </w:tabs>
        <w:ind w:left="0" w:firstLine="0"/>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Por otra </w:t>
      </w:r>
      <w:r w:rsidR="0006550A" w:rsidRPr="00386E47">
        <w:rPr>
          <w:rFonts w:asciiTheme="majorHAnsi" w:eastAsia="Calibri" w:hAnsiTheme="majorHAnsi"/>
          <w:sz w:val="20"/>
          <w:szCs w:val="20"/>
          <w:lang w:val="es-AR"/>
        </w:rPr>
        <w:t>parte,</w:t>
      </w:r>
      <w:r w:rsidRPr="00386E47">
        <w:rPr>
          <w:rFonts w:asciiTheme="majorHAnsi" w:eastAsia="Calibri" w:hAnsiTheme="majorHAnsi"/>
          <w:sz w:val="20"/>
          <w:szCs w:val="20"/>
          <w:lang w:val="es-AR"/>
        </w:rPr>
        <w:t xml:space="preserve"> en lo referente al control en la zona, </w:t>
      </w:r>
      <w:r w:rsidRPr="00386E47">
        <w:rPr>
          <w:rFonts w:asciiTheme="majorHAnsi" w:eastAsia="Calibri" w:hAnsiTheme="majorHAnsi"/>
          <w:sz w:val="20"/>
          <w:szCs w:val="20"/>
          <w:lang w:val="es-US"/>
        </w:rPr>
        <w:t xml:space="preserve">la Comisión observa </w:t>
      </w:r>
      <w:r w:rsidR="004C7D54" w:rsidRPr="00386E47">
        <w:rPr>
          <w:rFonts w:asciiTheme="majorHAnsi" w:eastAsia="Calibri" w:hAnsiTheme="majorHAnsi"/>
          <w:sz w:val="20"/>
          <w:szCs w:val="20"/>
          <w:lang w:val="es-US"/>
        </w:rPr>
        <w:t xml:space="preserve">que el Estado no ha acreditado que se adoptaron </w:t>
      </w:r>
      <w:r w:rsidRPr="00386E47">
        <w:rPr>
          <w:rFonts w:asciiTheme="majorHAnsi" w:eastAsia="Calibri" w:hAnsiTheme="majorHAnsi"/>
          <w:sz w:val="20"/>
          <w:szCs w:val="20"/>
          <w:lang w:val="es-US"/>
        </w:rPr>
        <w:t xml:space="preserve">medidas </w:t>
      </w:r>
      <w:r w:rsidR="00640EFC" w:rsidRPr="00386E47">
        <w:rPr>
          <w:rFonts w:asciiTheme="majorHAnsi" w:eastAsia="Calibri" w:hAnsiTheme="majorHAnsi"/>
          <w:sz w:val="20"/>
          <w:szCs w:val="20"/>
          <w:lang w:val="es-US"/>
        </w:rPr>
        <w:t xml:space="preserve">efectivas </w:t>
      </w:r>
      <w:r w:rsidRPr="00386E47">
        <w:rPr>
          <w:rFonts w:asciiTheme="majorHAnsi" w:eastAsia="Calibri" w:hAnsiTheme="majorHAnsi"/>
          <w:sz w:val="20"/>
          <w:szCs w:val="20"/>
          <w:lang w:val="es-US"/>
        </w:rPr>
        <w:t>para controlar y requisar el ingreso de automóviles a la calle Pasteur. De acuerdo con el TOF 3 “la inspección de los materiales destinados a las tareas de refacción y la de los volquetes que se ubicaban frente a la puerta de la mutual estaba a cargo de su personal de vigilancia y, según las distintas declaraciones del personal policial, no existía coordinación entre la seguridad externa a cargo de la Policía Federal y la interna del edificio”</w:t>
      </w:r>
      <w:r w:rsidRPr="00386E47">
        <w:rPr>
          <w:rFonts w:asciiTheme="majorHAnsi" w:eastAsia="Calibri" w:hAnsiTheme="majorHAnsi"/>
          <w:sz w:val="20"/>
          <w:szCs w:val="20"/>
          <w:vertAlign w:val="superscript"/>
          <w:lang w:val="es-US"/>
        </w:rPr>
        <w:footnoteReference w:id="90"/>
      </w:r>
      <w:r w:rsidRPr="00386E47">
        <w:rPr>
          <w:rFonts w:asciiTheme="majorHAnsi" w:eastAsia="Calibri" w:hAnsiTheme="majorHAnsi"/>
          <w:sz w:val="20"/>
          <w:szCs w:val="20"/>
          <w:lang w:val="es-US"/>
        </w:rPr>
        <w:t>.</w:t>
      </w:r>
    </w:p>
    <w:p w14:paraId="347623C2" w14:textId="77777777" w:rsidR="00FB1535" w:rsidRPr="00386E47" w:rsidRDefault="00FB1535" w:rsidP="00A311A0">
      <w:pPr>
        <w:tabs>
          <w:tab w:val="left" w:pos="567"/>
        </w:tabs>
        <w:jc w:val="both"/>
        <w:rPr>
          <w:rFonts w:asciiTheme="majorHAnsi" w:eastAsia="Calibri" w:hAnsiTheme="majorHAnsi" w:cs="Verdana"/>
          <w:sz w:val="20"/>
          <w:szCs w:val="20"/>
          <w:lang w:val="es-US"/>
        </w:rPr>
      </w:pPr>
    </w:p>
    <w:p w14:paraId="33468844" w14:textId="77777777" w:rsidR="00362B3C" w:rsidRPr="00386E47" w:rsidRDefault="00362B3C"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AR"/>
        </w:rPr>
        <w:t>Finalmente, en relación con la respuesta estatal</w:t>
      </w:r>
      <w:r w:rsidR="00FB1535" w:rsidRPr="00386E47">
        <w:rPr>
          <w:rFonts w:asciiTheme="majorHAnsi" w:eastAsia="Calibri" w:hAnsiTheme="majorHAnsi"/>
          <w:sz w:val="20"/>
          <w:szCs w:val="20"/>
          <w:lang w:val="es-AR"/>
        </w:rPr>
        <w:t xml:space="preserve"> ante </w:t>
      </w:r>
      <w:r w:rsidRPr="00386E47">
        <w:rPr>
          <w:rFonts w:asciiTheme="majorHAnsi" w:eastAsia="Calibri" w:hAnsiTheme="majorHAnsi"/>
          <w:sz w:val="20"/>
          <w:szCs w:val="20"/>
          <w:lang w:val="es-AR"/>
        </w:rPr>
        <w:t xml:space="preserve">las </w:t>
      </w:r>
      <w:r w:rsidR="00FB1535" w:rsidRPr="00386E47">
        <w:rPr>
          <w:rFonts w:asciiTheme="majorHAnsi" w:eastAsia="Calibri" w:hAnsiTheme="majorHAnsi"/>
          <w:sz w:val="20"/>
          <w:szCs w:val="20"/>
          <w:lang w:val="es-AR"/>
        </w:rPr>
        <w:t xml:space="preserve">alertas </w:t>
      </w:r>
      <w:r w:rsidRPr="00386E47">
        <w:rPr>
          <w:rFonts w:asciiTheme="majorHAnsi" w:eastAsia="Calibri" w:hAnsiTheme="majorHAnsi"/>
          <w:sz w:val="20"/>
          <w:szCs w:val="20"/>
          <w:lang w:val="es-AR"/>
        </w:rPr>
        <w:t>que se presentaron de manera previa al atentado</w:t>
      </w:r>
      <w:r w:rsidR="00FB1535"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y que </w:t>
      </w:r>
      <w:r w:rsidR="00FB1535" w:rsidRPr="00386E47">
        <w:rPr>
          <w:rFonts w:asciiTheme="majorHAnsi" w:eastAsia="Calibri" w:hAnsiTheme="majorHAnsi" w:cs="Verdana"/>
          <w:sz w:val="20"/>
          <w:szCs w:val="20"/>
          <w:lang w:val="es-US"/>
        </w:rPr>
        <w:t xml:space="preserve">ilustran la inmediatez del riesgo, la Comisión observa que el Estado no indagó sobre la información que entregó el ciudadano brasileño </w:t>
      </w:r>
      <w:r w:rsidR="00FB1535" w:rsidRPr="00386E47">
        <w:rPr>
          <w:rFonts w:asciiTheme="majorHAnsi" w:eastAsia="Calibri" w:hAnsiTheme="majorHAnsi"/>
          <w:sz w:val="20"/>
          <w:szCs w:val="20"/>
          <w:lang w:val="es-US"/>
        </w:rPr>
        <w:t>Wilson Dos Santos a la cónsul argentina en Milán. Al respecto, la sentencia del TOF 3 concluyó “si bien no se han reunido suficientes elementos de convicción que autoricen a sostener que Wilson Roberto Dos Santos alertó lo que habría de suceder el día 18 de julio de 1994 enviado por un organismo de inteligencia extranjero, cabe considerar como altamente llamativas las circunstancias y supuestas motivaciones que rodearon la actividad del nombrado en las distintas sedes consulares a las que concurrió”</w:t>
      </w:r>
      <w:r w:rsidR="00FB1535" w:rsidRPr="00386E47">
        <w:rPr>
          <w:rFonts w:asciiTheme="majorHAnsi" w:eastAsia="Calibri" w:hAnsiTheme="majorHAnsi"/>
          <w:sz w:val="20"/>
          <w:szCs w:val="20"/>
          <w:vertAlign w:val="superscript"/>
          <w:lang w:val="es-US"/>
        </w:rPr>
        <w:footnoteReference w:id="91"/>
      </w:r>
      <w:r w:rsidR="00FB1535" w:rsidRPr="00386E47">
        <w:rPr>
          <w:rFonts w:asciiTheme="majorHAnsi" w:eastAsia="Calibri" w:hAnsiTheme="majorHAnsi"/>
          <w:sz w:val="20"/>
          <w:szCs w:val="20"/>
          <w:lang w:val="es-US"/>
        </w:rPr>
        <w:t>.</w:t>
      </w:r>
      <w:r w:rsidRPr="00386E47">
        <w:rPr>
          <w:rFonts w:asciiTheme="majorHAnsi" w:eastAsia="Calibri" w:hAnsiTheme="majorHAnsi"/>
          <w:sz w:val="20"/>
          <w:szCs w:val="20"/>
          <w:lang w:val="es-US"/>
        </w:rPr>
        <w:t xml:space="preserve"> </w:t>
      </w:r>
    </w:p>
    <w:p w14:paraId="33E67AC9" w14:textId="77777777" w:rsidR="00362B3C" w:rsidRPr="00386E47" w:rsidRDefault="00362B3C" w:rsidP="00A311A0">
      <w:pPr>
        <w:tabs>
          <w:tab w:val="left" w:pos="567"/>
        </w:tabs>
        <w:jc w:val="both"/>
        <w:rPr>
          <w:rFonts w:asciiTheme="majorHAnsi" w:eastAsia="Calibri" w:hAnsiTheme="majorHAnsi"/>
          <w:sz w:val="20"/>
          <w:szCs w:val="20"/>
          <w:lang w:val="es-US"/>
        </w:rPr>
      </w:pPr>
    </w:p>
    <w:p w14:paraId="2C0141F2" w14:textId="77777777" w:rsidR="00FB1535" w:rsidRPr="00386E47" w:rsidRDefault="005B3502" w:rsidP="003A5860">
      <w:pPr>
        <w:numPr>
          <w:ilvl w:val="0"/>
          <w:numId w:val="55"/>
        </w:numPr>
        <w:tabs>
          <w:tab w:val="left" w:pos="567"/>
        </w:tabs>
        <w:ind w:left="0" w:firstLine="0"/>
        <w:jc w:val="both"/>
        <w:rPr>
          <w:rFonts w:asciiTheme="majorHAnsi" w:eastAsia="Calibri" w:hAnsiTheme="majorHAnsi" w:cs="Verdana"/>
          <w:sz w:val="20"/>
          <w:szCs w:val="20"/>
          <w:lang w:val="es-US"/>
        </w:rPr>
      </w:pPr>
      <w:r w:rsidRPr="00386E47">
        <w:rPr>
          <w:rFonts w:asciiTheme="majorHAnsi" w:eastAsia="Calibri" w:hAnsiTheme="majorHAnsi"/>
          <w:sz w:val="20"/>
          <w:szCs w:val="20"/>
          <w:lang w:val="es-US"/>
        </w:rPr>
        <w:t>Asimismo</w:t>
      </w:r>
      <w:r w:rsidR="00362B3C" w:rsidRPr="00386E47">
        <w:rPr>
          <w:rFonts w:asciiTheme="majorHAnsi" w:eastAsia="Calibri" w:hAnsiTheme="majorHAnsi"/>
          <w:sz w:val="20"/>
          <w:szCs w:val="20"/>
          <w:lang w:val="es-US"/>
        </w:rPr>
        <w:t xml:space="preserve">, la Comisión observa que el Estado no informó haber adoptado </w:t>
      </w:r>
      <w:r w:rsidR="00F54071" w:rsidRPr="00386E47">
        <w:rPr>
          <w:rFonts w:asciiTheme="majorHAnsi" w:eastAsia="Calibri" w:hAnsiTheme="majorHAnsi"/>
          <w:sz w:val="20"/>
          <w:szCs w:val="20"/>
          <w:lang w:val="es-US"/>
        </w:rPr>
        <w:t>medidas en</w:t>
      </w:r>
      <w:r w:rsidR="00362B3C" w:rsidRPr="00386E47">
        <w:rPr>
          <w:rFonts w:asciiTheme="majorHAnsi" w:eastAsia="Calibri" w:hAnsiTheme="majorHAnsi"/>
          <w:sz w:val="20"/>
          <w:szCs w:val="20"/>
          <w:lang w:val="es-US"/>
        </w:rPr>
        <w:t xml:space="preserve"> relación con</w:t>
      </w:r>
      <w:r w:rsidR="00FB1535" w:rsidRPr="00386E47">
        <w:rPr>
          <w:rFonts w:asciiTheme="majorHAnsi" w:eastAsia="Calibri" w:hAnsiTheme="majorHAnsi"/>
          <w:sz w:val="20"/>
          <w:szCs w:val="20"/>
          <w:lang w:val="es-US"/>
        </w:rPr>
        <w:t xml:space="preserve"> el helicóptero que sobrevoló el edificio de la AMIA la noche anterior al atentado. Como señaló el TOF 3 “[d]icho déficit probatorio, que frustró la posibilidad de ahondar las circunstancias que explicarían tan singular acontecimiento –un vuelo estacionario sobre la mutual, durante algunos minutos, en la noche anterior al atentado- y acerca del cual se tejieron numerosas hipótesis, nunca confirmadas, constituyó una inadmisible desaprensión del magistrado instructor, dado que omitió requerir, en el tiempo oportuno y en la forma adecuada, aquellos datos que hubieran echado luz a la cuestión; máxime cuando la sospechosa presencia fue anunciada al juzgado interviniente el mismo día del atentado, corroborada luego por los primeros testimonios arrimados al proceso”</w:t>
      </w:r>
      <w:r w:rsidR="00FB1535" w:rsidRPr="00386E47">
        <w:rPr>
          <w:rFonts w:asciiTheme="majorHAnsi" w:eastAsia="Calibri" w:hAnsiTheme="majorHAnsi"/>
          <w:sz w:val="20"/>
          <w:szCs w:val="20"/>
          <w:vertAlign w:val="superscript"/>
          <w:lang w:val="es-US"/>
        </w:rPr>
        <w:t xml:space="preserve"> </w:t>
      </w:r>
      <w:r w:rsidR="00FB1535" w:rsidRPr="00386E47">
        <w:rPr>
          <w:rFonts w:asciiTheme="majorHAnsi" w:eastAsia="Calibri" w:hAnsiTheme="majorHAnsi"/>
          <w:sz w:val="20"/>
          <w:szCs w:val="20"/>
          <w:vertAlign w:val="superscript"/>
          <w:lang w:val="es-US"/>
        </w:rPr>
        <w:footnoteReference w:id="92"/>
      </w:r>
      <w:r w:rsidR="00FB1535" w:rsidRPr="00386E47">
        <w:rPr>
          <w:rFonts w:asciiTheme="majorHAnsi" w:eastAsia="Calibri" w:hAnsiTheme="majorHAnsi"/>
          <w:sz w:val="20"/>
          <w:szCs w:val="20"/>
          <w:lang w:val="es-US"/>
        </w:rPr>
        <w:t>.</w:t>
      </w:r>
      <w:r w:rsidR="00362B3C" w:rsidRPr="00386E47">
        <w:rPr>
          <w:rFonts w:asciiTheme="majorHAnsi" w:eastAsia="Calibri" w:hAnsiTheme="majorHAnsi"/>
          <w:sz w:val="20"/>
          <w:szCs w:val="20"/>
          <w:lang w:val="es-US"/>
        </w:rPr>
        <w:t xml:space="preserve"> </w:t>
      </w:r>
      <w:r w:rsidR="00FB1535" w:rsidRPr="00386E47">
        <w:rPr>
          <w:rFonts w:asciiTheme="majorHAnsi" w:eastAsia="Calibri" w:hAnsiTheme="majorHAnsi"/>
          <w:sz w:val="20"/>
          <w:szCs w:val="20"/>
          <w:lang w:val="es-US"/>
        </w:rPr>
        <w:t xml:space="preserve">La Comisión considera </w:t>
      </w:r>
      <w:r w:rsidR="00F54071" w:rsidRPr="00386E47">
        <w:rPr>
          <w:rFonts w:asciiTheme="majorHAnsi" w:eastAsia="Calibri" w:hAnsiTheme="majorHAnsi"/>
          <w:sz w:val="20"/>
          <w:szCs w:val="20"/>
          <w:lang w:val="es-US"/>
        </w:rPr>
        <w:t>que,</w:t>
      </w:r>
      <w:r w:rsidR="00FB1535" w:rsidRPr="00386E47">
        <w:rPr>
          <w:rFonts w:asciiTheme="majorHAnsi" w:eastAsia="Calibri" w:hAnsiTheme="majorHAnsi"/>
          <w:sz w:val="20"/>
          <w:szCs w:val="20"/>
          <w:lang w:val="es-US"/>
        </w:rPr>
        <w:t xml:space="preserve"> </w:t>
      </w:r>
      <w:r w:rsidR="00640EFC" w:rsidRPr="00386E47">
        <w:rPr>
          <w:rFonts w:asciiTheme="majorHAnsi" w:eastAsia="Calibri" w:hAnsiTheme="majorHAnsi"/>
          <w:sz w:val="20"/>
          <w:szCs w:val="20"/>
          <w:lang w:val="es-US"/>
        </w:rPr>
        <w:t xml:space="preserve">en efecto, </w:t>
      </w:r>
      <w:r w:rsidR="00FB1535" w:rsidRPr="00386E47">
        <w:rPr>
          <w:rFonts w:asciiTheme="majorHAnsi" w:eastAsia="Calibri" w:hAnsiTheme="majorHAnsi"/>
          <w:sz w:val="20"/>
          <w:szCs w:val="20"/>
          <w:lang w:val="es-US"/>
        </w:rPr>
        <w:t>el Estado incurrió en una omisión al no adoptar medidas para aclarar los hechos sobre el vuelo de un helicóptero, las razones del mismo, y en todo caso, aumentar las medidas de seguridad y custodia del lugar</w:t>
      </w:r>
      <w:r w:rsidR="00640EFC" w:rsidRPr="00386E47">
        <w:rPr>
          <w:rFonts w:asciiTheme="majorHAnsi" w:eastAsia="Calibri" w:hAnsiTheme="majorHAnsi"/>
          <w:sz w:val="20"/>
          <w:szCs w:val="20"/>
          <w:lang w:val="es-US"/>
        </w:rPr>
        <w:t>,</w:t>
      </w:r>
      <w:r w:rsidR="00FB1535" w:rsidRPr="00386E47">
        <w:rPr>
          <w:rFonts w:asciiTheme="majorHAnsi" w:eastAsia="Calibri" w:hAnsiTheme="majorHAnsi"/>
          <w:sz w:val="20"/>
          <w:szCs w:val="20"/>
          <w:lang w:val="es-US"/>
        </w:rPr>
        <w:t xml:space="preserve"> a fin de que las mismas fueran efectivas para evitar el riesgo que estaba latente sobre el lugar</w:t>
      </w:r>
      <w:r w:rsidR="00640EFC" w:rsidRPr="00386E47">
        <w:rPr>
          <w:rFonts w:asciiTheme="majorHAnsi" w:eastAsia="Calibri" w:hAnsiTheme="majorHAnsi"/>
          <w:sz w:val="20"/>
          <w:szCs w:val="20"/>
          <w:lang w:val="es-US"/>
        </w:rPr>
        <w:t xml:space="preserve">. </w:t>
      </w:r>
      <w:r w:rsidRPr="00386E47">
        <w:rPr>
          <w:rFonts w:asciiTheme="majorHAnsi" w:eastAsia="Calibri" w:hAnsiTheme="majorHAnsi"/>
          <w:sz w:val="20"/>
          <w:szCs w:val="20"/>
          <w:lang w:val="es-US"/>
        </w:rPr>
        <w:t>No</w:t>
      </w:r>
      <w:r w:rsidR="00FB1535" w:rsidRPr="00386E47">
        <w:rPr>
          <w:rFonts w:asciiTheme="majorHAnsi" w:eastAsia="Calibri" w:hAnsiTheme="majorHAnsi"/>
          <w:sz w:val="20"/>
          <w:szCs w:val="20"/>
          <w:lang w:val="es-US"/>
        </w:rPr>
        <w:t xml:space="preserve"> existe registro si quiera del episodio. Si bien debía haber anotaciones sobre los hechos extraordinarios en la calle, llama la atención que no existiera una alarma por un hecho como la presencia de un artefacto en el aire. </w:t>
      </w:r>
    </w:p>
    <w:p w14:paraId="474B9AFC" w14:textId="77777777" w:rsidR="00FB1535" w:rsidRPr="00386E47" w:rsidRDefault="00FB1535" w:rsidP="00A311A0">
      <w:pPr>
        <w:rPr>
          <w:rFonts w:asciiTheme="majorHAnsi" w:eastAsia="Calibri" w:hAnsiTheme="majorHAnsi"/>
          <w:sz w:val="20"/>
          <w:szCs w:val="20"/>
          <w:lang w:val="es-US"/>
        </w:rPr>
      </w:pPr>
    </w:p>
    <w:p w14:paraId="3A85869F" w14:textId="77777777" w:rsidR="00FB1535" w:rsidRPr="00386E47" w:rsidRDefault="00FB1535" w:rsidP="003A5860">
      <w:pPr>
        <w:numPr>
          <w:ilvl w:val="0"/>
          <w:numId w:val="55"/>
        </w:numPr>
        <w:tabs>
          <w:tab w:val="left" w:pos="567"/>
        </w:tabs>
        <w:ind w:left="0" w:firstLine="0"/>
        <w:jc w:val="both"/>
        <w:rPr>
          <w:rFonts w:asciiTheme="majorHAnsi" w:eastAsia="Calibri" w:hAnsiTheme="majorHAnsi" w:cs="Verdana"/>
          <w:sz w:val="20"/>
          <w:szCs w:val="20"/>
          <w:lang w:val="es-US"/>
        </w:rPr>
      </w:pPr>
      <w:r w:rsidRPr="00386E47">
        <w:rPr>
          <w:rFonts w:asciiTheme="majorHAnsi" w:eastAsia="Calibri" w:hAnsiTheme="majorHAnsi"/>
          <w:sz w:val="20"/>
          <w:szCs w:val="20"/>
          <w:lang w:val="es-US"/>
        </w:rPr>
        <w:t xml:space="preserve">Si bien la Comisión no afirma que estos hechos </w:t>
      </w:r>
      <w:r w:rsidR="00362B3C" w:rsidRPr="00386E47">
        <w:rPr>
          <w:rFonts w:asciiTheme="majorHAnsi" w:eastAsia="Calibri" w:hAnsiTheme="majorHAnsi"/>
          <w:sz w:val="20"/>
          <w:szCs w:val="20"/>
          <w:lang w:val="es-US"/>
        </w:rPr>
        <w:t xml:space="preserve">necesariamente </w:t>
      </w:r>
      <w:r w:rsidRPr="00386E47">
        <w:rPr>
          <w:rFonts w:asciiTheme="majorHAnsi" w:eastAsia="Calibri" w:hAnsiTheme="majorHAnsi"/>
          <w:sz w:val="20"/>
          <w:szCs w:val="20"/>
          <w:lang w:val="es-US"/>
        </w:rPr>
        <w:t xml:space="preserve">fueran a ser determinantes para evitar el atentado en la calle Pasteur, destaca que el deber de prevención es de medio y no de resultado, por ello el incumplimiento del deber de prevención del Estado surge no por el acontecimiento del atentado, sino por la omisión de tomar medidas </w:t>
      </w:r>
      <w:r w:rsidR="00F46E95" w:rsidRPr="00386E47">
        <w:rPr>
          <w:rFonts w:asciiTheme="majorHAnsi" w:eastAsia="Calibri" w:hAnsiTheme="majorHAnsi"/>
          <w:sz w:val="20"/>
          <w:szCs w:val="20"/>
          <w:lang w:val="es-US"/>
        </w:rPr>
        <w:t xml:space="preserve">razonables, </w:t>
      </w:r>
      <w:r w:rsidRPr="00386E47">
        <w:rPr>
          <w:rFonts w:asciiTheme="majorHAnsi" w:eastAsia="Calibri" w:hAnsiTheme="majorHAnsi"/>
          <w:sz w:val="20"/>
          <w:szCs w:val="20"/>
          <w:lang w:val="es-US"/>
        </w:rPr>
        <w:t>tendientes a evitar acciones violentas</w:t>
      </w:r>
      <w:r w:rsidR="00640EFC" w:rsidRPr="00386E47">
        <w:rPr>
          <w:rFonts w:asciiTheme="majorHAnsi" w:eastAsia="Calibri" w:hAnsiTheme="majorHAnsi"/>
          <w:sz w:val="20"/>
          <w:szCs w:val="20"/>
          <w:lang w:val="es-US"/>
        </w:rPr>
        <w:t xml:space="preserve">, </w:t>
      </w:r>
      <w:r w:rsidRPr="00386E47">
        <w:rPr>
          <w:rFonts w:asciiTheme="majorHAnsi" w:eastAsia="Calibri" w:hAnsiTheme="majorHAnsi"/>
          <w:sz w:val="20"/>
          <w:szCs w:val="20"/>
          <w:lang w:val="es-US"/>
        </w:rPr>
        <w:t>aunque contaba con información inusual sobre un lugar respecto del cual había una alerta general que incluso había llevado a reforzar su seguridad.</w:t>
      </w:r>
    </w:p>
    <w:p w14:paraId="2F8A49C5" w14:textId="77777777" w:rsidR="00FB1535" w:rsidRPr="00386E47" w:rsidRDefault="00FB1535" w:rsidP="00A311A0">
      <w:pPr>
        <w:rPr>
          <w:rFonts w:asciiTheme="majorHAnsi" w:hAnsiTheme="majorHAnsi" w:cs="Verdana"/>
          <w:lang w:val="es-US"/>
        </w:rPr>
      </w:pPr>
    </w:p>
    <w:p w14:paraId="673CD365" w14:textId="77777777" w:rsidR="00124D62" w:rsidRPr="00386E47" w:rsidRDefault="005B3502" w:rsidP="003A5860">
      <w:pPr>
        <w:numPr>
          <w:ilvl w:val="0"/>
          <w:numId w:val="55"/>
        </w:numPr>
        <w:tabs>
          <w:tab w:val="left" w:pos="567"/>
        </w:tabs>
        <w:ind w:left="0" w:firstLine="0"/>
        <w:jc w:val="both"/>
        <w:rPr>
          <w:rFonts w:asciiTheme="majorHAnsi" w:eastAsia="Calibri" w:hAnsiTheme="majorHAnsi" w:cs="Verdana"/>
          <w:sz w:val="20"/>
          <w:szCs w:val="20"/>
          <w:lang w:val="es-US"/>
        </w:rPr>
      </w:pPr>
      <w:r w:rsidRPr="00386E47">
        <w:rPr>
          <w:rFonts w:asciiTheme="majorHAnsi" w:eastAsia="Calibri" w:hAnsiTheme="majorHAnsi" w:cs="Verdana"/>
          <w:sz w:val="20"/>
          <w:szCs w:val="20"/>
          <w:lang w:val="es-US"/>
        </w:rPr>
        <w:t>Finalmente</w:t>
      </w:r>
      <w:r w:rsidR="00FB1535" w:rsidRPr="00386E47">
        <w:rPr>
          <w:rFonts w:asciiTheme="majorHAnsi" w:eastAsia="Calibri" w:hAnsiTheme="majorHAnsi" w:cs="Verdana"/>
          <w:sz w:val="20"/>
          <w:szCs w:val="20"/>
          <w:lang w:val="es-US"/>
        </w:rPr>
        <w:t xml:space="preserve">, la Comisión </w:t>
      </w:r>
      <w:r w:rsidRPr="00386E47">
        <w:rPr>
          <w:rFonts w:asciiTheme="majorHAnsi" w:eastAsia="Calibri" w:hAnsiTheme="majorHAnsi" w:cs="Verdana"/>
          <w:sz w:val="20"/>
          <w:szCs w:val="20"/>
          <w:lang w:val="es-US"/>
        </w:rPr>
        <w:t>nota</w:t>
      </w:r>
      <w:r w:rsidR="00362B3C" w:rsidRPr="00386E47">
        <w:rPr>
          <w:rFonts w:asciiTheme="majorHAnsi" w:eastAsia="Calibri" w:hAnsiTheme="majorHAnsi" w:cs="Verdana"/>
          <w:sz w:val="20"/>
          <w:szCs w:val="20"/>
          <w:lang w:val="es-US"/>
        </w:rPr>
        <w:t xml:space="preserve"> </w:t>
      </w:r>
      <w:r w:rsidR="00FB1535" w:rsidRPr="00386E47">
        <w:rPr>
          <w:rFonts w:asciiTheme="majorHAnsi" w:eastAsia="Calibri" w:hAnsiTheme="majorHAnsi" w:cs="Verdana"/>
          <w:sz w:val="20"/>
          <w:szCs w:val="20"/>
          <w:lang w:val="es-US"/>
        </w:rPr>
        <w:t xml:space="preserve">que no se creó un plan general de prevención </w:t>
      </w:r>
      <w:r w:rsidRPr="00386E47">
        <w:rPr>
          <w:rFonts w:asciiTheme="majorHAnsi" w:eastAsia="Calibri" w:hAnsiTheme="majorHAnsi" w:cs="Verdana"/>
          <w:sz w:val="20"/>
          <w:szCs w:val="20"/>
          <w:lang w:val="es-US"/>
        </w:rPr>
        <w:t>para</w:t>
      </w:r>
      <w:r w:rsidR="00FB1535" w:rsidRPr="00386E47">
        <w:rPr>
          <w:rFonts w:asciiTheme="majorHAnsi" w:eastAsia="Calibri" w:hAnsiTheme="majorHAnsi" w:cs="Verdana"/>
          <w:sz w:val="20"/>
          <w:szCs w:val="20"/>
          <w:lang w:val="es-US"/>
        </w:rPr>
        <w:t xml:space="preserve"> evitar un atentado terrorista, </w:t>
      </w:r>
      <w:r w:rsidRPr="00386E47">
        <w:rPr>
          <w:rFonts w:asciiTheme="majorHAnsi" w:eastAsia="Calibri" w:hAnsiTheme="majorHAnsi" w:cs="Verdana"/>
          <w:sz w:val="20"/>
          <w:szCs w:val="20"/>
          <w:lang w:val="es-US"/>
        </w:rPr>
        <w:t>teniendo en cuenta</w:t>
      </w:r>
      <w:r w:rsidR="00FB1535" w:rsidRPr="00386E47">
        <w:rPr>
          <w:rFonts w:asciiTheme="majorHAnsi" w:eastAsia="Calibri" w:hAnsiTheme="majorHAnsi" w:cs="Verdana"/>
          <w:sz w:val="20"/>
          <w:szCs w:val="20"/>
          <w:lang w:val="es-US"/>
        </w:rPr>
        <w:t xml:space="preserve"> el móvil</w:t>
      </w:r>
      <w:r w:rsidRPr="00386E47">
        <w:rPr>
          <w:rFonts w:asciiTheme="majorHAnsi" w:eastAsia="Calibri" w:hAnsiTheme="majorHAnsi" w:cs="Verdana"/>
          <w:sz w:val="20"/>
          <w:szCs w:val="20"/>
          <w:lang w:val="es-US"/>
        </w:rPr>
        <w:t xml:space="preserve"> revelado por el primer atentado</w:t>
      </w:r>
      <w:r w:rsidR="00FB1535" w:rsidRPr="00386E47">
        <w:rPr>
          <w:rFonts w:asciiTheme="majorHAnsi" w:eastAsia="Calibri" w:hAnsiTheme="majorHAnsi" w:cs="Verdana"/>
          <w:sz w:val="20"/>
          <w:szCs w:val="20"/>
          <w:lang w:val="es-US"/>
        </w:rPr>
        <w:t>, los actores involucrados y las formas de actuación. A</w:t>
      </w:r>
      <w:r w:rsidR="00FB1535" w:rsidRPr="00386E47">
        <w:rPr>
          <w:rFonts w:asciiTheme="majorHAnsi" w:eastAsia="Calibri" w:hAnsiTheme="majorHAnsi"/>
          <w:sz w:val="20"/>
          <w:szCs w:val="20"/>
          <w:lang w:val="es-US"/>
        </w:rPr>
        <w:t xml:space="preserve">unque el atentado a la Embajada fue un hecho crucial para la historia de Argentina, no se adoptaron medidas integrales para evitar su repetición. </w:t>
      </w:r>
    </w:p>
    <w:p w14:paraId="2386B8D0" w14:textId="77777777" w:rsidR="00124D62" w:rsidRPr="00386E47" w:rsidRDefault="00124D62" w:rsidP="00124D62">
      <w:pPr>
        <w:pStyle w:val="ListParagraph"/>
        <w:rPr>
          <w:rFonts w:asciiTheme="majorHAnsi" w:hAnsiTheme="majorHAnsi"/>
          <w:sz w:val="20"/>
          <w:szCs w:val="20"/>
          <w:lang w:val="es-US"/>
        </w:rPr>
      </w:pPr>
    </w:p>
    <w:p w14:paraId="026CC55B" w14:textId="77777777" w:rsidR="00FB1535" w:rsidRPr="00386E47" w:rsidRDefault="00FB1535" w:rsidP="003A5860">
      <w:pPr>
        <w:numPr>
          <w:ilvl w:val="0"/>
          <w:numId w:val="55"/>
        </w:numPr>
        <w:tabs>
          <w:tab w:val="left" w:pos="567"/>
        </w:tabs>
        <w:ind w:left="0" w:firstLine="0"/>
        <w:jc w:val="both"/>
        <w:rPr>
          <w:rFonts w:asciiTheme="majorHAnsi" w:hAnsiTheme="majorHAnsi"/>
          <w:lang w:val="es-US"/>
        </w:rPr>
      </w:pPr>
      <w:r w:rsidRPr="00386E47">
        <w:rPr>
          <w:rFonts w:asciiTheme="majorHAnsi" w:hAnsiTheme="majorHAnsi"/>
          <w:sz w:val="20"/>
          <w:szCs w:val="20"/>
          <w:lang w:val="es-ES"/>
        </w:rPr>
        <w:t xml:space="preserve">En </w:t>
      </w:r>
      <w:r w:rsidR="005B3502" w:rsidRPr="00386E47">
        <w:rPr>
          <w:rFonts w:asciiTheme="majorHAnsi" w:hAnsiTheme="majorHAnsi"/>
          <w:sz w:val="20"/>
          <w:szCs w:val="20"/>
          <w:lang w:val="es-ES"/>
        </w:rPr>
        <w:t>vista de todo lo antes señalado</w:t>
      </w:r>
      <w:r w:rsidRPr="00386E47">
        <w:rPr>
          <w:rFonts w:asciiTheme="majorHAnsi" w:hAnsiTheme="majorHAnsi"/>
          <w:sz w:val="20"/>
          <w:szCs w:val="20"/>
          <w:lang w:val="es-ES"/>
        </w:rPr>
        <w:t xml:space="preserve">, la Comisión encuentra que el Estado conocía de una situación de riesgo en general sobre sitios identificados con la comunidad </w:t>
      </w:r>
      <w:r w:rsidR="00124D62" w:rsidRPr="00386E47">
        <w:rPr>
          <w:rFonts w:asciiTheme="majorHAnsi" w:hAnsiTheme="majorHAnsi"/>
          <w:sz w:val="20"/>
          <w:szCs w:val="20"/>
          <w:lang w:val="es-ES"/>
        </w:rPr>
        <w:t>judía</w:t>
      </w:r>
      <w:r w:rsidRPr="00386E47">
        <w:rPr>
          <w:rFonts w:asciiTheme="majorHAnsi" w:hAnsiTheme="majorHAnsi"/>
          <w:sz w:val="20"/>
          <w:szCs w:val="20"/>
          <w:lang w:val="es-ES"/>
        </w:rPr>
        <w:t xml:space="preserve"> argentina, que dicho riesgo era real e inmediato y que no adoptó las medidas razonables para evitar dicho riesgo. </w:t>
      </w:r>
      <w:r w:rsidR="005B3502" w:rsidRPr="00386E47">
        <w:rPr>
          <w:rFonts w:asciiTheme="majorHAnsi" w:hAnsiTheme="majorHAnsi"/>
          <w:sz w:val="20"/>
          <w:szCs w:val="20"/>
          <w:lang w:val="es-ES"/>
        </w:rPr>
        <w:t>En consecuencia</w:t>
      </w:r>
      <w:r w:rsidRPr="00386E47">
        <w:rPr>
          <w:rFonts w:asciiTheme="majorHAnsi" w:hAnsiTheme="majorHAnsi"/>
          <w:sz w:val="20"/>
          <w:szCs w:val="20"/>
          <w:lang w:val="es-ES"/>
        </w:rPr>
        <w:t xml:space="preserve">, </w:t>
      </w:r>
      <w:r w:rsidR="005B3502" w:rsidRPr="00386E47">
        <w:rPr>
          <w:rFonts w:asciiTheme="majorHAnsi" w:hAnsiTheme="majorHAnsi"/>
          <w:sz w:val="20"/>
          <w:szCs w:val="20"/>
          <w:lang w:val="es-ES"/>
        </w:rPr>
        <w:t xml:space="preserve">la Comisión concluye que </w:t>
      </w:r>
      <w:r w:rsidRPr="00386E47">
        <w:rPr>
          <w:rFonts w:asciiTheme="majorHAnsi" w:hAnsiTheme="majorHAnsi"/>
          <w:sz w:val="20"/>
          <w:szCs w:val="20"/>
          <w:lang w:val="es-ES"/>
        </w:rPr>
        <w:t>se encuentran reunidos los requisitos fijados en la jurisprudencia interamericana para determinar que</w:t>
      </w:r>
      <w:r w:rsidR="00640EFC" w:rsidRPr="00386E47">
        <w:rPr>
          <w:rFonts w:asciiTheme="majorHAnsi" w:hAnsiTheme="majorHAnsi"/>
          <w:sz w:val="20"/>
          <w:szCs w:val="20"/>
          <w:lang w:val="es-ES"/>
        </w:rPr>
        <w:t xml:space="preserve"> el Estado argentino violó los derechos a la vida e integridad personal </w:t>
      </w:r>
      <w:r w:rsidR="00F54071" w:rsidRPr="00386E47">
        <w:rPr>
          <w:rFonts w:asciiTheme="majorHAnsi" w:hAnsiTheme="majorHAnsi"/>
          <w:sz w:val="20"/>
          <w:szCs w:val="20"/>
          <w:lang w:val="es-ES"/>
        </w:rPr>
        <w:t>consagrados respectivamente</w:t>
      </w:r>
      <w:r w:rsidR="00640EFC" w:rsidRPr="00386E47">
        <w:rPr>
          <w:rFonts w:asciiTheme="majorHAnsi" w:hAnsiTheme="majorHAnsi"/>
          <w:sz w:val="20"/>
          <w:szCs w:val="20"/>
          <w:lang w:val="es-ES"/>
        </w:rPr>
        <w:t xml:space="preserve"> en los artículos 4 y 5 de la Convención Americana en relación con el artículo 1.1 del mismo instrumento, ante la </w:t>
      </w:r>
      <w:r w:rsidRPr="00386E47">
        <w:rPr>
          <w:rFonts w:asciiTheme="majorHAnsi" w:hAnsiTheme="majorHAnsi"/>
          <w:sz w:val="20"/>
          <w:szCs w:val="20"/>
          <w:lang w:val="es-ES"/>
        </w:rPr>
        <w:t xml:space="preserve">ausencia de medidas para abordar un riesgo a los derechos de la Convención. </w:t>
      </w:r>
    </w:p>
    <w:p w14:paraId="21DBD39B" w14:textId="77777777" w:rsidR="00C95355" w:rsidRPr="00386E47" w:rsidRDefault="00C95355" w:rsidP="00C95355">
      <w:pPr>
        <w:pStyle w:val="parrafos"/>
        <w:tabs>
          <w:tab w:val="left" w:pos="0"/>
          <w:tab w:val="left" w:pos="567"/>
        </w:tabs>
        <w:rPr>
          <w:b/>
        </w:rPr>
      </w:pPr>
    </w:p>
    <w:p w14:paraId="0951A6D9" w14:textId="77777777" w:rsidR="00C95355" w:rsidRPr="00386E47" w:rsidRDefault="00C95355" w:rsidP="009146F2">
      <w:pPr>
        <w:pStyle w:val="Heading3"/>
        <w:numPr>
          <w:ilvl w:val="1"/>
          <w:numId w:val="68"/>
        </w:numPr>
        <w:ind w:left="284" w:firstLine="0"/>
      </w:pPr>
      <w:bookmarkStart w:id="27" w:name="_Toc51252198"/>
      <w:r w:rsidRPr="00386E47">
        <w:t>Consideraciones de la Comisión en relación con el derecho a la igualdad y no discriminación</w:t>
      </w:r>
      <w:r w:rsidR="000F208E" w:rsidRPr="00386E47">
        <w:t xml:space="preserve"> en el caso concreto</w:t>
      </w:r>
      <w:bookmarkEnd w:id="27"/>
    </w:p>
    <w:p w14:paraId="1C7A8C88" w14:textId="77777777" w:rsidR="0045048C" w:rsidRPr="00386E47" w:rsidRDefault="00C95355" w:rsidP="003A5860">
      <w:pPr>
        <w:pStyle w:val="ListParagraph"/>
        <w:numPr>
          <w:ilvl w:val="0"/>
          <w:numId w:val="55"/>
        </w:numPr>
        <w:tabs>
          <w:tab w:val="left" w:pos="567"/>
        </w:tabs>
        <w:ind w:left="0" w:firstLine="0"/>
        <w:jc w:val="both"/>
        <w:rPr>
          <w:rFonts w:asciiTheme="majorHAnsi" w:hAnsiTheme="majorHAnsi"/>
          <w:sz w:val="20"/>
          <w:szCs w:val="20"/>
          <w:lang w:val="es-US"/>
        </w:rPr>
      </w:pPr>
      <w:r w:rsidRPr="00386E47">
        <w:rPr>
          <w:rFonts w:asciiTheme="majorHAnsi" w:hAnsiTheme="majorHAnsi"/>
          <w:sz w:val="20"/>
          <w:szCs w:val="20"/>
          <w:lang w:val="es-US"/>
        </w:rPr>
        <w:t>L</w:t>
      </w:r>
      <w:r w:rsidR="005B3502" w:rsidRPr="00386E47">
        <w:rPr>
          <w:rFonts w:asciiTheme="majorHAnsi" w:hAnsiTheme="majorHAnsi"/>
          <w:sz w:val="20"/>
          <w:szCs w:val="20"/>
          <w:lang w:val="es-US"/>
        </w:rPr>
        <w:t xml:space="preserve">a </w:t>
      </w:r>
      <w:r w:rsidR="00FB1535" w:rsidRPr="00386E47">
        <w:rPr>
          <w:rFonts w:asciiTheme="majorHAnsi" w:hAnsiTheme="majorHAnsi"/>
          <w:sz w:val="20"/>
          <w:szCs w:val="20"/>
          <w:lang w:val="es-US"/>
        </w:rPr>
        <w:t xml:space="preserve">Comisión observa que el ataque a la AMIA tiene características particulares porque se trató de un atentado terrorista dirigido a un sitio identificado con la comunidad </w:t>
      </w:r>
      <w:r w:rsidR="004301F7" w:rsidRPr="00386E47">
        <w:rPr>
          <w:rFonts w:asciiTheme="majorHAnsi" w:hAnsiTheme="majorHAnsi"/>
          <w:sz w:val="20"/>
          <w:szCs w:val="20"/>
          <w:lang w:val="es-US"/>
        </w:rPr>
        <w:t>judía</w:t>
      </w:r>
      <w:r w:rsidR="00FB1535" w:rsidRPr="00386E47">
        <w:rPr>
          <w:rFonts w:asciiTheme="majorHAnsi" w:hAnsiTheme="majorHAnsi"/>
          <w:sz w:val="20"/>
          <w:szCs w:val="20"/>
          <w:lang w:val="es-US"/>
        </w:rPr>
        <w:t xml:space="preserve"> argentina. En efecto, la Comisión toma nota que el objeto social de la AMIA es el de  “</w:t>
      </w:r>
      <w:r w:rsidR="00FB1535" w:rsidRPr="00386E47">
        <w:rPr>
          <w:rFonts w:asciiTheme="majorHAnsi" w:hAnsiTheme="majorHAnsi"/>
          <w:sz w:val="20"/>
          <w:szCs w:val="20"/>
          <w:shd w:val="clear" w:color="auto" w:fill="FFFFFF"/>
          <w:lang w:val="es-US"/>
        </w:rPr>
        <w:t>promover el bienestar y el desarrollo individual, familiar e institucional de la vida judía en la Argentina, para asegurar la continuidad, sostener los valores de nuestro pueblo y afianzar el sentido de Comunidad”</w:t>
      </w:r>
      <w:r w:rsidR="00FB1535" w:rsidRPr="00386E47">
        <w:rPr>
          <w:rStyle w:val="FootnoteReference"/>
          <w:rFonts w:asciiTheme="majorHAnsi" w:hAnsiTheme="majorHAnsi"/>
          <w:sz w:val="20"/>
          <w:szCs w:val="20"/>
          <w:shd w:val="clear" w:color="auto" w:fill="FFFFFF"/>
          <w:lang w:val="es-US"/>
        </w:rPr>
        <w:footnoteReference w:id="93"/>
      </w:r>
      <w:r w:rsidR="00FB1535" w:rsidRPr="00386E47">
        <w:rPr>
          <w:rFonts w:asciiTheme="majorHAnsi" w:hAnsiTheme="majorHAnsi"/>
          <w:sz w:val="20"/>
          <w:szCs w:val="20"/>
          <w:shd w:val="clear" w:color="auto" w:fill="FFFFFF"/>
          <w:lang w:val="es-US"/>
        </w:rPr>
        <w:t>. Igualmente la información pública indica que la DAIA “en cumplimiento del mandato otorgado por la totalidad de las instituciones judías argentinas, tiene la misión de luchar contra toda expresión de antisemitismo, discriminación, racismo y xenofobia, preservar los derechos humanos, promover el diálogo interreligioso y la convivencia armónica entre todos los ciudadanos, en un marco de respeto a las diferencias; así como denunciar el terrorismo internacional, velando por la seguridad de las instituciones e integrantes de la comunidad judía argentina”</w:t>
      </w:r>
      <w:r w:rsidR="00FB1535" w:rsidRPr="00386E47">
        <w:rPr>
          <w:rStyle w:val="FootnoteReference"/>
          <w:rFonts w:asciiTheme="majorHAnsi" w:hAnsiTheme="majorHAnsi"/>
          <w:sz w:val="20"/>
          <w:szCs w:val="20"/>
          <w:shd w:val="clear" w:color="auto" w:fill="FFFFFF"/>
          <w:lang w:val="es-US"/>
        </w:rPr>
        <w:footnoteReference w:id="94"/>
      </w:r>
      <w:r w:rsidR="00FB1535" w:rsidRPr="00386E47">
        <w:rPr>
          <w:rFonts w:asciiTheme="majorHAnsi" w:hAnsiTheme="majorHAnsi"/>
          <w:sz w:val="20"/>
          <w:szCs w:val="20"/>
          <w:shd w:val="clear" w:color="auto" w:fill="FFFFFF"/>
          <w:lang w:val="es-US"/>
        </w:rPr>
        <w:t xml:space="preserve">. </w:t>
      </w:r>
      <w:r w:rsidR="005B3502" w:rsidRPr="00386E47">
        <w:rPr>
          <w:rFonts w:asciiTheme="majorHAnsi" w:hAnsiTheme="majorHAnsi"/>
          <w:sz w:val="20"/>
          <w:szCs w:val="20"/>
          <w:shd w:val="clear" w:color="auto" w:fill="FFFFFF"/>
          <w:lang w:val="es-US"/>
        </w:rPr>
        <w:t xml:space="preserve"> </w:t>
      </w:r>
    </w:p>
    <w:p w14:paraId="246DEBA4" w14:textId="77777777" w:rsidR="0045048C" w:rsidRPr="00386E47" w:rsidRDefault="0045048C" w:rsidP="0045048C">
      <w:pPr>
        <w:tabs>
          <w:tab w:val="left" w:pos="567"/>
        </w:tabs>
        <w:jc w:val="both"/>
        <w:rPr>
          <w:rFonts w:asciiTheme="majorHAnsi" w:hAnsiTheme="majorHAnsi"/>
          <w:sz w:val="20"/>
          <w:szCs w:val="20"/>
          <w:lang w:val="es-US"/>
        </w:rPr>
      </w:pPr>
    </w:p>
    <w:p w14:paraId="27F5A8D4" w14:textId="77777777" w:rsidR="0045048C" w:rsidRPr="00386E47" w:rsidRDefault="0045048C" w:rsidP="003A5860">
      <w:pPr>
        <w:pStyle w:val="parrafos"/>
        <w:numPr>
          <w:ilvl w:val="0"/>
          <w:numId w:val="55"/>
        </w:numPr>
        <w:tabs>
          <w:tab w:val="left" w:pos="567"/>
        </w:tabs>
        <w:ind w:left="0" w:firstLine="0"/>
      </w:pPr>
      <w:r w:rsidRPr="00386E47">
        <w:rPr>
          <w:lang w:val="es-US"/>
        </w:rPr>
        <w:t>Dado que la Convención Americana no tiene una definición explícita de discriminación, la Corte ha tomado en cuenta varios instrumentos de derecho internacional para definirla como “</w:t>
      </w:r>
      <w:r w:rsidRPr="00386E47">
        <w:rPr>
          <w:i/>
          <w:lang w:val="es-US"/>
        </w:rPr>
        <w:t>toda distinción, exclusión, restricción o preferencia que se basen en determinados motivos, como la raza, el color, el sexo, el idioma, la religión, la opinión política o de otra índole, el origen nacional o social, la propiedad, el nacimiento o cualquier otra condición social, y que tengan por objeto o por resultado anular o menoscabar el reconocimiento, goce o ejercicio, en condiciones de igualdad, de los derechos humanos y libertades fundamentales de todas las personas</w:t>
      </w:r>
      <w:r w:rsidRPr="00386E47">
        <w:rPr>
          <w:lang w:val="es-US"/>
        </w:rPr>
        <w:t>”</w:t>
      </w:r>
      <w:r w:rsidRPr="00386E47">
        <w:rPr>
          <w:vertAlign w:val="superscript"/>
        </w:rPr>
        <w:footnoteReference w:id="95"/>
      </w:r>
      <w:r w:rsidRPr="00386E47">
        <w:rPr>
          <w:lang w:val="es-US"/>
        </w:rPr>
        <w:t>. Igualmente, es de resaltar que no existe un listado taxativo de categorías prohibidas de discriminación, sino que la expresión “</w:t>
      </w:r>
      <w:r w:rsidRPr="00386E47">
        <w:rPr>
          <w:i/>
          <w:lang w:val="es-US"/>
        </w:rPr>
        <w:t>cualquier otra condición social</w:t>
      </w:r>
      <w:r w:rsidRPr="00386E47">
        <w:rPr>
          <w:lang w:val="es-US"/>
        </w:rPr>
        <w:t>” del artículo 1.1 de la Convención Americana debe ser interpretada en la perspectiva de la opción más favorable a la persona y de la evolución de los derechos fundamentales en el derecho internacional contemporáneo</w:t>
      </w:r>
      <w:r w:rsidRPr="00386E47">
        <w:rPr>
          <w:vertAlign w:val="superscript"/>
        </w:rPr>
        <w:footnoteReference w:id="96"/>
      </w:r>
      <w:r w:rsidRPr="00386E47">
        <w:rPr>
          <w:lang w:val="es-US"/>
        </w:rPr>
        <w:t xml:space="preserve">. </w:t>
      </w:r>
    </w:p>
    <w:p w14:paraId="165A93FA" w14:textId="77777777" w:rsidR="0045048C" w:rsidRPr="00386E47" w:rsidRDefault="0045048C" w:rsidP="0045048C">
      <w:pPr>
        <w:tabs>
          <w:tab w:val="left" w:pos="567"/>
        </w:tabs>
        <w:jc w:val="both"/>
        <w:rPr>
          <w:rFonts w:asciiTheme="majorHAnsi" w:hAnsiTheme="majorHAnsi"/>
          <w:sz w:val="20"/>
          <w:szCs w:val="20"/>
          <w:lang w:val="es-US"/>
        </w:rPr>
      </w:pPr>
    </w:p>
    <w:p w14:paraId="2BEB91D2" w14:textId="77777777" w:rsidR="00124D62" w:rsidRPr="00386E47" w:rsidRDefault="0045048C" w:rsidP="003A5860">
      <w:pPr>
        <w:pStyle w:val="ListParagraph"/>
        <w:numPr>
          <w:ilvl w:val="0"/>
          <w:numId w:val="55"/>
        </w:numPr>
        <w:tabs>
          <w:tab w:val="left" w:pos="567"/>
        </w:tabs>
        <w:ind w:left="0" w:firstLine="0"/>
        <w:jc w:val="both"/>
        <w:rPr>
          <w:rFonts w:asciiTheme="majorHAnsi" w:hAnsiTheme="majorHAnsi"/>
          <w:sz w:val="20"/>
          <w:szCs w:val="20"/>
          <w:lang w:val="es-US"/>
        </w:rPr>
      </w:pPr>
      <w:r w:rsidRPr="00386E47">
        <w:rPr>
          <w:rFonts w:asciiTheme="majorHAnsi" w:eastAsia="Times New Roman" w:hAnsiTheme="majorHAnsi"/>
          <w:sz w:val="20"/>
          <w:szCs w:val="20"/>
          <w:lang w:val="es-US" w:eastAsia="es-ES_tradnl"/>
        </w:rPr>
        <w:t>En opinión de la Comisión, la referida</w:t>
      </w:r>
      <w:r w:rsidR="00FB1535" w:rsidRPr="00386E47">
        <w:rPr>
          <w:rFonts w:asciiTheme="majorHAnsi" w:eastAsia="Times New Roman" w:hAnsiTheme="majorHAnsi"/>
          <w:sz w:val="20"/>
          <w:szCs w:val="20"/>
          <w:lang w:val="es-ES_tradnl" w:eastAsia="es-ES_tradnl"/>
        </w:rPr>
        <w:t xml:space="preserve"> característica de identidad judía </w:t>
      </w:r>
      <w:r w:rsidRPr="00386E47">
        <w:rPr>
          <w:rFonts w:asciiTheme="majorHAnsi" w:eastAsia="Times New Roman" w:hAnsiTheme="majorHAnsi"/>
          <w:sz w:val="20"/>
          <w:szCs w:val="20"/>
          <w:lang w:val="es-ES_tradnl" w:eastAsia="es-ES_tradnl"/>
        </w:rPr>
        <w:t xml:space="preserve">que tenían las víctimas del presente caso </w:t>
      </w:r>
      <w:r w:rsidR="00FB1535" w:rsidRPr="00386E47">
        <w:rPr>
          <w:rFonts w:asciiTheme="majorHAnsi" w:eastAsia="Times New Roman" w:hAnsiTheme="majorHAnsi"/>
          <w:sz w:val="20"/>
          <w:szCs w:val="20"/>
          <w:lang w:val="es-ES_tradnl" w:eastAsia="es-ES_tradnl"/>
        </w:rPr>
        <w:t>en el país</w:t>
      </w:r>
      <w:r w:rsidRPr="00386E47">
        <w:rPr>
          <w:rFonts w:asciiTheme="majorHAnsi" w:eastAsia="Times New Roman" w:hAnsiTheme="majorHAnsi"/>
          <w:sz w:val="20"/>
          <w:szCs w:val="20"/>
          <w:lang w:val="es-ES_tradnl" w:eastAsia="es-ES_tradnl"/>
        </w:rPr>
        <w:t>,</w:t>
      </w:r>
      <w:r w:rsidR="00FB1535" w:rsidRPr="00386E47">
        <w:rPr>
          <w:rFonts w:asciiTheme="majorHAnsi" w:eastAsia="Times New Roman" w:hAnsiTheme="majorHAnsi"/>
          <w:sz w:val="20"/>
          <w:szCs w:val="20"/>
          <w:lang w:val="es-ES_tradnl" w:eastAsia="es-ES_tradnl"/>
        </w:rPr>
        <w:t xml:space="preserve"> </w:t>
      </w:r>
      <w:r w:rsidR="005B3502" w:rsidRPr="00386E47">
        <w:rPr>
          <w:rFonts w:asciiTheme="majorHAnsi" w:eastAsia="Times New Roman" w:hAnsiTheme="majorHAnsi"/>
          <w:sz w:val="20"/>
          <w:szCs w:val="20"/>
          <w:lang w:val="es-ES_tradnl" w:eastAsia="es-ES_tradnl"/>
        </w:rPr>
        <w:t>definió que</w:t>
      </w:r>
      <w:r w:rsidR="00FB1535" w:rsidRPr="00386E47">
        <w:rPr>
          <w:rFonts w:asciiTheme="majorHAnsi" w:hAnsiTheme="majorHAnsi"/>
          <w:sz w:val="20"/>
          <w:szCs w:val="20"/>
          <w:shd w:val="clear" w:color="auto" w:fill="FFFFFF"/>
          <w:lang w:val="es-US"/>
        </w:rPr>
        <w:t xml:space="preserve"> la violencia terrorista </w:t>
      </w:r>
      <w:r w:rsidRPr="00386E47">
        <w:rPr>
          <w:rFonts w:asciiTheme="majorHAnsi" w:hAnsiTheme="majorHAnsi"/>
          <w:sz w:val="20"/>
          <w:szCs w:val="20"/>
          <w:shd w:val="clear" w:color="auto" w:fill="FFFFFF"/>
          <w:lang w:val="es-US"/>
        </w:rPr>
        <w:t>estuviera</w:t>
      </w:r>
      <w:r w:rsidR="00FB1535" w:rsidRPr="00386E47">
        <w:rPr>
          <w:rFonts w:asciiTheme="majorHAnsi" w:hAnsiTheme="majorHAnsi"/>
          <w:sz w:val="20"/>
          <w:szCs w:val="20"/>
          <w:shd w:val="clear" w:color="auto" w:fill="FFFFFF"/>
          <w:lang w:val="es-US"/>
        </w:rPr>
        <w:t xml:space="preserve"> dirigida a atacar a aquellos que se referenciaban o </w:t>
      </w:r>
      <w:r w:rsidR="005B3502" w:rsidRPr="00386E47">
        <w:rPr>
          <w:rFonts w:asciiTheme="majorHAnsi" w:hAnsiTheme="majorHAnsi"/>
          <w:sz w:val="20"/>
          <w:szCs w:val="20"/>
          <w:shd w:val="clear" w:color="auto" w:fill="FFFFFF"/>
          <w:lang w:val="es-US"/>
        </w:rPr>
        <w:t>pertenecían</w:t>
      </w:r>
      <w:r w:rsidR="00FB1535" w:rsidRPr="00386E47">
        <w:rPr>
          <w:rFonts w:asciiTheme="majorHAnsi" w:hAnsiTheme="majorHAnsi"/>
          <w:sz w:val="20"/>
          <w:szCs w:val="20"/>
          <w:shd w:val="clear" w:color="auto" w:fill="FFFFFF"/>
          <w:lang w:val="es-US"/>
        </w:rPr>
        <w:t xml:space="preserve"> a la comunidad judía argentina</w:t>
      </w:r>
      <w:r w:rsidRPr="00386E47">
        <w:rPr>
          <w:rFonts w:asciiTheme="majorHAnsi" w:hAnsiTheme="majorHAnsi"/>
          <w:sz w:val="20"/>
          <w:szCs w:val="20"/>
          <w:shd w:val="clear" w:color="auto" w:fill="FFFFFF"/>
          <w:lang w:val="es-US"/>
        </w:rPr>
        <w:t>. E</w:t>
      </w:r>
      <w:r w:rsidR="001B7DE5" w:rsidRPr="00386E47">
        <w:rPr>
          <w:rFonts w:asciiTheme="majorHAnsi" w:hAnsiTheme="majorHAnsi"/>
          <w:sz w:val="20"/>
          <w:szCs w:val="20"/>
          <w:shd w:val="clear" w:color="auto" w:fill="FFFFFF"/>
          <w:lang w:val="es-US"/>
        </w:rPr>
        <w:t xml:space="preserve">n </w:t>
      </w:r>
      <w:r w:rsidRPr="00386E47">
        <w:rPr>
          <w:rFonts w:asciiTheme="majorHAnsi" w:hAnsiTheme="majorHAnsi"/>
          <w:sz w:val="20"/>
          <w:szCs w:val="20"/>
          <w:shd w:val="clear" w:color="auto" w:fill="FFFFFF"/>
          <w:lang w:val="es-US"/>
        </w:rPr>
        <w:t>consecuencia,</w:t>
      </w:r>
      <w:r w:rsidR="001B7DE5" w:rsidRPr="00386E47">
        <w:rPr>
          <w:rFonts w:asciiTheme="majorHAnsi" w:hAnsiTheme="majorHAnsi"/>
          <w:sz w:val="20"/>
          <w:szCs w:val="20"/>
          <w:shd w:val="clear" w:color="auto" w:fill="FFFFFF"/>
          <w:lang w:val="es-US"/>
        </w:rPr>
        <w:t xml:space="preserve"> la Comisión considera que se </w:t>
      </w:r>
      <w:r w:rsidRPr="00386E47">
        <w:rPr>
          <w:rFonts w:asciiTheme="majorHAnsi" w:hAnsiTheme="majorHAnsi"/>
          <w:sz w:val="20"/>
          <w:szCs w:val="20"/>
          <w:shd w:val="clear" w:color="auto" w:fill="FFFFFF"/>
          <w:lang w:val="es-US"/>
        </w:rPr>
        <w:t>dicho acto terrorista, constituyó además una forma de discriminación en contra de las víctimas por su pertenencia</w:t>
      </w:r>
      <w:r w:rsidR="00A86CFA" w:rsidRPr="00386E47">
        <w:rPr>
          <w:rFonts w:asciiTheme="majorHAnsi" w:hAnsiTheme="majorHAnsi"/>
          <w:sz w:val="20"/>
          <w:szCs w:val="20"/>
          <w:shd w:val="clear" w:color="auto" w:fill="FFFFFF"/>
          <w:lang w:val="es-US"/>
        </w:rPr>
        <w:t>,</w:t>
      </w:r>
      <w:r w:rsidRPr="00386E47">
        <w:rPr>
          <w:rFonts w:asciiTheme="majorHAnsi" w:hAnsiTheme="majorHAnsi"/>
          <w:sz w:val="20"/>
          <w:szCs w:val="20"/>
          <w:shd w:val="clear" w:color="auto" w:fill="FFFFFF"/>
          <w:lang w:val="es-US"/>
        </w:rPr>
        <w:t xml:space="preserve"> identificación</w:t>
      </w:r>
      <w:r w:rsidR="00A86CFA" w:rsidRPr="00386E47">
        <w:rPr>
          <w:rFonts w:asciiTheme="majorHAnsi" w:hAnsiTheme="majorHAnsi"/>
          <w:sz w:val="20"/>
          <w:szCs w:val="20"/>
          <w:shd w:val="clear" w:color="auto" w:fill="FFFFFF"/>
          <w:lang w:val="es-US"/>
        </w:rPr>
        <w:t xml:space="preserve"> o alguna vinculación</w:t>
      </w:r>
      <w:r w:rsidRPr="00386E47">
        <w:rPr>
          <w:rFonts w:asciiTheme="majorHAnsi" w:hAnsiTheme="majorHAnsi"/>
          <w:sz w:val="20"/>
          <w:szCs w:val="20"/>
          <w:shd w:val="clear" w:color="auto" w:fill="FFFFFF"/>
          <w:lang w:val="es-US"/>
        </w:rPr>
        <w:t xml:space="preserve"> con la comunidad judío argentina.</w:t>
      </w:r>
    </w:p>
    <w:p w14:paraId="07460161" w14:textId="77777777" w:rsidR="00124D62" w:rsidRPr="00386E47" w:rsidRDefault="00124D62" w:rsidP="00124D62">
      <w:pPr>
        <w:pStyle w:val="ListParagraph"/>
        <w:jc w:val="both"/>
        <w:rPr>
          <w:rFonts w:asciiTheme="majorHAnsi" w:hAnsiTheme="majorHAnsi"/>
          <w:sz w:val="20"/>
          <w:szCs w:val="20"/>
          <w:lang w:val="es-US"/>
        </w:rPr>
      </w:pPr>
    </w:p>
    <w:p w14:paraId="23AFA2C8" w14:textId="77777777" w:rsidR="00124D62" w:rsidRPr="00386E47" w:rsidRDefault="0045048C" w:rsidP="003A5860">
      <w:pPr>
        <w:pStyle w:val="ListParagraph"/>
        <w:numPr>
          <w:ilvl w:val="0"/>
          <w:numId w:val="55"/>
        </w:numPr>
        <w:tabs>
          <w:tab w:val="left" w:pos="567"/>
        </w:tabs>
        <w:ind w:left="0" w:firstLine="0"/>
        <w:jc w:val="both"/>
        <w:rPr>
          <w:rFonts w:asciiTheme="majorHAnsi" w:hAnsiTheme="majorHAnsi"/>
          <w:sz w:val="20"/>
          <w:szCs w:val="20"/>
          <w:lang w:val="es-US"/>
        </w:rPr>
      </w:pPr>
      <w:r w:rsidRPr="00386E47">
        <w:rPr>
          <w:rFonts w:asciiTheme="majorHAnsi" w:hAnsiTheme="majorHAnsi"/>
          <w:sz w:val="20"/>
          <w:szCs w:val="20"/>
          <w:lang w:val="es-US"/>
        </w:rPr>
        <w:t>En ese sentido, l</w:t>
      </w:r>
      <w:r w:rsidR="005B3502" w:rsidRPr="00386E47">
        <w:rPr>
          <w:rFonts w:asciiTheme="majorHAnsi" w:hAnsiTheme="majorHAnsi"/>
          <w:sz w:val="20"/>
          <w:szCs w:val="20"/>
          <w:lang w:val="es-US"/>
        </w:rPr>
        <w:t xml:space="preserve">a Comisión observa </w:t>
      </w:r>
      <w:r w:rsidR="00F54071" w:rsidRPr="00386E47">
        <w:rPr>
          <w:rFonts w:asciiTheme="majorHAnsi" w:hAnsiTheme="majorHAnsi"/>
          <w:sz w:val="20"/>
          <w:szCs w:val="20"/>
          <w:lang w:val="es-US"/>
        </w:rPr>
        <w:t>que,</w:t>
      </w:r>
      <w:r w:rsidR="00FB1535" w:rsidRPr="00386E47">
        <w:rPr>
          <w:rFonts w:asciiTheme="majorHAnsi" w:hAnsiTheme="majorHAnsi"/>
          <w:sz w:val="20"/>
          <w:szCs w:val="20"/>
          <w:lang w:val="es-US"/>
        </w:rPr>
        <w:t xml:space="preserve"> aunque todas las personas que se encontraban en el lugar no tuvieran el propósito de asociarse alrededor de los valores judíos que propugna la AMIA o no se reconocieran como tal, por estar en un lugar </w:t>
      </w:r>
      <w:r w:rsidR="00396DC4" w:rsidRPr="00386E47">
        <w:rPr>
          <w:rFonts w:asciiTheme="majorHAnsi" w:hAnsiTheme="majorHAnsi"/>
          <w:sz w:val="20"/>
          <w:szCs w:val="20"/>
          <w:lang w:val="es-US"/>
        </w:rPr>
        <w:t>q</w:t>
      </w:r>
      <w:r w:rsidR="00BD144A" w:rsidRPr="00386E47">
        <w:rPr>
          <w:rFonts w:asciiTheme="majorHAnsi" w:hAnsiTheme="majorHAnsi"/>
          <w:sz w:val="20"/>
          <w:szCs w:val="20"/>
          <w:lang w:val="es-US"/>
        </w:rPr>
        <w:t>ue propugna por mantener los valores identitarios de la comunidad judía y</w:t>
      </w:r>
      <w:r w:rsidR="00FB1535" w:rsidRPr="00386E47">
        <w:rPr>
          <w:rFonts w:asciiTheme="majorHAnsi" w:hAnsiTheme="majorHAnsi"/>
          <w:sz w:val="20"/>
          <w:szCs w:val="20"/>
          <w:lang w:val="es-US"/>
        </w:rPr>
        <w:t xml:space="preserve"> </w:t>
      </w:r>
      <w:r w:rsidR="00BD144A" w:rsidRPr="00386E47">
        <w:rPr>
          <w:rFonts w:asciiTheme="majorHAnsi" w:hAnsiTheme="majorHAnsi"/>
          <w:sz w:val="20"/>
          <w:szCs w:val="20"/>
          <w:lang w:val="es-US"/>
        </w:rPr>
        <w:t>fue objeto de</w:t>
      </w:r>
      <w:r w:rsidR="00FB1535" w:rsidRPr="00386E47">
        <w:rPr>
          <w:rFonts w:asciiTheme="majorHAnsi" w:hAnsiTheme="majorHAnsi"/>
          <w:sz w:val="20"/>
          <w:szCs w:val="20"/>
          <w:lang w:val="es-US"/>
        </w:rPr>
        <w:t xml:space="preserve"> un ataque discriminatorio, perdieron su vida o vieron afectada su integridad. En este caso, el ataque discriminatorio generó consecuencias a la vida e integridad también contra las personas que</w:t>
      </w:r>
      <w:r w:rsidR="00DE6A18" w:rsidRPr="00386E47">
        <w:rPr>
          <w:rFonts w:asciiTheme="majorHAnsi" w:hAnsiTheme="majorHAnsi"/>
          <w:sz w:val="20"/>
          <w:szCs w:val="20"/>
          <w:lang w:val="es-US"/>
        </w:rPr>
        <w:t>,</w:t>
      </w:r>
      <w:r w:rsidR="00FB1535" w:rsidRPr="00386E47">
        <w:rPr>
          <w:rFonts w:asciiTheme="majorHAnsi" w:hAnsiTheme="majorHAnsi"/>
          <w:sz w:val="20"/>
          <w:szCs w:val="20"/>
          <w:lang w:val="es-US"/>
        </w:rPr>
        <w:t xml:space="preserve"> aunque no fueran judías se encontraban cerca físicamente o en el lugar representativo para la comunidad judía. Así, por el alto nivel de violencia del ataque, se tiene que el mismo generó efectos en quienes se percibían con algún vínculo, así fuera únicamente físico por </w:t>
      </w:r>
      <w:r w:rsidR="00413F60" w:rsidRPr="00386E47">
        <w:rPr>
          <w:rFonts w:asciiTheme="majorHAnsi" w:hAnsiTheme="majorHAnsi"/>
          <w:sz w:val="20"/>
          <w:szCs w:val="20"/>
          <w:lang w:val="es-US"/>
        </w:rPr>
        <w:t>estar en el mismo barrio de un C</w:t>
      </w:r>
      <w:r w:rsidR="00FB1535" w:rsidRPr="00386E47">
        <w:rPr>
          <w:rFonts w:asciiTheme="majorHAnsi" w:hAnsiTheme="majorHAnsi"/>
          <w:sz w:val="20"/>
          <w:szCs w:val="20"/>
          <w:lang w:val="es-US"/>
        </w:rPr>
        <w:t xml:space="preserve">entro de la comunidad judía. </w:t>
      </w:r>
    </w:p>
    <w:p w14:paraId="2404A382" w14:textId="77777777" w:rsidR="00F72F3E" w:rsidRPr="00386E47" w:rsidRDefault="00F72F3E" w:rsidP="00A311A0">
      <w:pPr>
        <w:rPr>
          <w:rFonts w:asciiTheme="majorHAnsi" w:hAnsiTheme="majorHAnsi"/>
          <w:lang w:val="es-US"/>
        </w:rPr>
      </w:pPr>
    </w:p>
    <w:p w14:paraId="61016553" w14:textId="77777777" w:rsidR="00BD144A" w:rsidRPr="00386E47" w:rsidRDefault="00BD144A" w:rsidP="003A5860">
      <w:pPr>
        <w:pStyle w:val="ListParagraph"/>
        <w:numPr>
          <w:ilvl w:val="0"/>
          <w:numId w:val="55"/>
        </w:numPr>
        <w:tabs>
          <w:tab w:val="left" w:pos="567"/>
        </w:tabs>
        <w:ind w:left="0" w:firstLine="0"/>
        <w:jc w:val="both"/>
        <w:rPr>
          <w:rFonts w:asciiTheme="majorHAnsi" w:hAnsiTheme="majorHAnsi"/>
          <w:sz w:val="20"/>
          <w:szCs w:val="20"/>
          <w:lang w:val="es-ES"/>
        </w:rPr>
      </w:pPr>
      <w:r w:rsidRPr="00386E47">
        <w:rPr>
          <w:rFonts w:asciiTheme="majorHAnsi" w:hAnsiTheme="majorHAnsi"/>
          <w:sz w:val="20"/>
          <w:szCs w:val="20"/>
          <w:lang w:val="es-ES"/>
        </w:rPr>
        <w:t>En vista de lo anterior, la Comisión observa que las omisiones del Estado en materia de prevención que generaron su responsabilidad internacional, aunque no se haya probado que tuvier</w:t>
      </w:r>
      <w:r w:rsidR="000F208E" w:rsidRPr="00386E47">
        <w:rPr>
          <w:rFonts w:asciiTheme="majorHAnsi" w:hAnsiTheme="majorHAnsi"/>
          <w:sz w:val="20"/>
          <w:szCs w:val="20"/>
          <w:lang w:val="es-ES"/>
        </w:rPr>
        <w:t>a</w:t>
      </w:r>
      <w:r w:rsidRPr="00386E47">
        <w:rPr>
          <w:rFonts w:asciiTheme="majorHAnsi" w:hAnsiTheme="majorHAnsi"/>
          <w:sz w:val="20"/>
          <w:szCs w:val="20"/>
          <w:lang w:val="es-ES"/>
        </w:rPr>
        <w:t>n un carácter deliberado en contra de la comunidad judí</w:t>
      </w:r>
      <w:r w:rsidR="000F208E" w:rsidRPr="00386E47">
        <w:rPr>
          <w:rFonts w:asciiTheme="majorHAnsi" w:hAnsiTheme="majorHAnsi"/>
          <w:sz w:val="20"/>
          <w:szCs w:val="20"/>
          <w:lang w:val="es-ES"/>
        </w:rPr>
        <w:t>a</w:t>
      </w:r>
      <w:r w:rsidRPr="00386E47">
        <w:rPr>
          <w:rFonts w:asciiTheme="majorHAnsi" w:hAnsiTheme="majorHAnsi"/>
          <w:sz w:val="20"/>
          <w:szCs w:val="20"/>
          <w:lang w:val="es-ES"/>
        </w:rPr>
        <w:t xml:space="preserve"> argentina, sí demuestran que el Estado se abstuvo de tomar las medidas razonables para proteger a un grupo susceptible de sufrir un ataque discriminatorio. </w:t>
      </w:r>
      <w:r w:rsidRPr="00386E47">
        <w:rPr>
          <w:rFonts w:asciiTheme="majorHAnsi" w:hAnsiTheme="majorHAnsi"/>
          <w:sz w:val="20"/>
          <w:szCs w:val="20"/>
          <w:lang w:val="es-US"/>
        </w:rPr>
        <w:t xml:space="preserve">La Comisión encuentra que el riesgo para la vida e integridad de las personas relacionadas con los lugares de la comunidad judía tenía una </w:t>
      </w:r>
      <w:r w:rsidRPr="00386E47">
        <w:rPr>
          <w:rFonts w:asciiTheme="majorHAnsi" w:hAnsiTheme="majorHAnsi"/>
          <w:sz w:val="20"/>
          <w:szCs w:val="20"/>
          <w:lang w:val="es-US"/>
        </w:rPr>
        <w:lastRenderedPageBreak/>
        <w:t>característica especial</w:t>
      </w:r>
      <w:r w:rsidR="000F208E" w:rsidRPr="00386E47">
        <w:rPr>
          <w:rFonts w:asciiTheme="majorHAnsi" w:hAnsiTheme="majorHAnsi"/>
          <w:sz w:val="20"/>
          <w:szCs w:val="20"/>
          <w:lang w:val="es-US"/>
        </w:rPr>
        <w:t xml:space="preserve"> en virtud de su identidad</w:t>
      </w:r>
      <w:r w:rsidRPr="00386E47">
        <w:rPr>
          <w:rFonts w:asciiTheme="majorHAnsi" w:hAnsiTheme="majorHAnsi"/>
          <w:sz w:val="20"/>
          <w:szCs w:val="20"/>
          <w:lang w:val="es-US"/>
        </w:rPr>
        <w:t xml:space="preserve">. Es decir, que el riesgo </w:t>
      </w:r>
      <w:r w:rsidR="000F208E" w:rsidRPr="00386E47">
        <w:rPr>
          <w:rFonts w:asciiTheme="majorHAnsi" w:hAnsiTheme="majorHAnsi"/>
          <w:sz w:val="20"/>
          <w:szCs w:val="20"/>
          <w:lang w:val="es-US"/>
        </w:rPr>
        <w:t xml:space="preserve">para la vida </w:t>
      </w:r>
      <w:r w:rsidRPr="00386E47">
        <w:rPr>
          <w:rFonts w:asciiTheme="majorHAnsi" w:hAnsiTheme="majorHAnsi"/>
          <w:sz w:val="20"/>
          <w:szCs w:val="20"/>
          <w:lang w:val="es-US"/>
        </w:rPr>
        <w:t>implicaba también un riesgo de configuración de un</w:t>
      </w:r>
      <w:r w:rsidR="000F208E" w:rsidRPr="00386E47">
        <w:rPr>
          <w:rFonts w:asciiTheme="majorHAnsi" w:hAnsiTheme="majorHAnsi"/>
          <w:sz w:val="20"/>
          <w:szCs w:val="20"/>
          <w:lang w:val="es-US"/>
        </w:rPr>
        <w:t xml:space="preserve"> acto de</w:t>
      </w:r>
      <w:r w:rsidRPr="00386E47">
        <w:rPr>
          <w:rFonts w:asciiTheme="majorHAnsi" w:hAnsiTheme="majorHAnsi"/>
          <w:sz w:val="20"/>
          <w:szCs w:val="20"/>
          <w:lang w:val="es-US"/>
        </w:rPr>
        <w:t xml:space="preserve"> discriminación. </w:t>
      </w:r>
      <w:r w:rsidR="003C2510" w:rsidRPr="00386E47">
        <w:rPr>
          <w:rFonts w:asciiTheme="majorHAnsi" w:hAnsiTheme="majorHAnsi"/>
          <w:sz w:val="20"/>
          <w:szCs w:val="20"/>
          <w:lang w:val="es-US"/>
        </w:rPr>
        <w:t>D</w:t>
      </w:r>
      <w:r w:rsidRPr="00386E47">
        <w:rPr>
          <w:rFonts w:asciiTheme="majorHAnsi" w:hAnsiTheme="majorHAnsi"/>
          <w:sz w:val="20"/>
          <w:szCs w:val="20"/>
          <w:lang w:val="es-US"/>
        </w:rPr>
        <w:t>ada la calidad del riesgo en el presente caso, la Comisión encuentra que las omisiones del Estado en proteger l</w:t>
      </w:r>
      <w:r w:rsidR="000F208E" w:rsidRPr="00386E47">
        <w:rPr>
          <w:rFonts w:asciiTheme="majorHAnsi" w:hAnsiTheme="majorHAnsi"/>
          <w:sz w:val="20"/>
          <w:szCs w:val="20"/>
          <w:lang w:val="es-US"/>
        </w:rPr>
        <w:t xml:space="preserve">os </w:t>
      </w:r>
      <w:r w:rsidR="00F54071" w:rsidRPr="00386E47">
        <w:rPr>
          <w:rFonts w:asciiTheme="majorHAnsi" w:hAnsiTheme="majorHAnsi"/>
          <w:sz w:val="20"/>
          <w:szCs w:val="20"/>
          <w:lang w:val="es-US"/>
        </w:rPr>
        <w:t>derechos reconocidos</w:t>
      </w:r>
      <w:r w:rsidR="000F208E" w:rsidRPr="00386E47">
        <w:rPr>
          <w:rFonts w:asciiTheme="majorHAnsi" w:hAnsiTheme="majorHAnsi"/>
          <w:sz w:val="20"/>
          <w:szCs w:val="20"/>
          <w:lang w:val="es-US"/>
        </w:rPr>
        <w:t xml:space="preserve"> en los artículos 4 y 5 de la Convención, </w:t>
      </w:r>
      <w:r w:rsidRPr="00386E47">
        <w:rPr>
          <w:rFonts w:asciiTheme="majorHAnsi" w:hAnsiTheme="majorHAnsi"/>
          <w:sz w:val="20"/>
          <w:szCs w:val="20"/>
          <w:lang w:val="es-US"/>
        </w:rPr>
        <w:t xml:space="preserve">implicaron también una ausencia de prevención de un ataque con un móvil discriminatorio por parte de terceros. Por lo tanto, la ausencia de medidas razonables para evitar dicho ataque también </w:t>
      </w:r>
      <w:r w:rsidRPr="00386E47">
        <w:rPr>
          <w:rFonts w:asciiTheme="majorHAnsi" w:hAnsiTheme="majorHAnsi"/>
          <w:sz w:val="20"/>
          <w:szCs w:val="20"/>
          <w:lang w:val="es-ES"/>
        </w:rPr>
        <w:t>configura una violación a los artículos 1.1 y 24 de la Convención Americana</w:t>
      </w:r>
      <w:r w:rsidRPr="00386E47">
        <w:rPr>
          <w:rFonts w:asciiTheme="majorHAnsi" w:hAnsiTheme="majorHAnsi"/>
          <w:sz w:val="20"/>
          <w:szCs w:val="20"/>
          <w:shd w:val="clear" w:color="auto" w:fill="FFFFFF"/>
          <w:lang w:val="es-ES"/>
        </w:rPr>
        <w:t>.</w:t>
      </w:r>
    </w:p>
    <w:p w14:paraId="0D991CB6" w14:textId="77777777" w:rsidR="005E54E1" w:rsidRPr="00386E47" w:rsidRDefault="005E54E1" w:rsidP="00F72F3E">
      <w:pPr>
        <w:tabs>
          <w:tab w:val="left" w:pos="567"/>
        </w:tabs>
        <w:jc w:val="both"/>
        <w:rPr>
          <w:rFonts w:asciiTheme="majorHAnsi" w:eastAsia="Calibri" w:hAnsiTheme="majorHAnsi" w:cs="Verdana"/>
          <w:sz w:val="20"/>
          <w:szCs w:val="20"/>
          <w:lang w:val="es-US"/>
        </w:rPr>
      </w:pPr>
    </w:p>
    <w:p w14:paraId="45EF39C0" w14:textId="77777777" w:rsidR="00E93D21" w:rsidRPr="00386E47" w:rsidRDefault="00790369" w:rsidP="003A5860">
      <w:pPr>
        <w:pStyle w:val="ListParagraph"/>
        <w:numPr>
          <w:ilvl w:val="0"/>
          <w:numId w:val="55"/>
        </w:numPr>
        <w:tabs>
          <w:tab w:val="left" w:pos="567"/>
        </w:tabs>
        <w:ind w:left="0" w:firstLine="0"/>
        <w:jc w:val="both"/>
        <w:rPr>
          <w:rFonts w:asciiTheme="majorHAnsi" w:hAnsiTheme="majorHAnsi"/>
          <w:sz w:val="20"/>
          <w:szCs w:val="20"/>
          <w:lang w:val="es-US"/>
        </w:rPr>
      </w:pPr>
      <w:r w:rsidRPr="00386E47">
        <w:rPr>
          <w:rFonts w:asciiTheme="majorHAnsi" w:hAnsiTheme="majorHAnsi"/>
          <w:sz w:val="20"/>
          <w:szCs w:val="20"/>
          <w:lang w:val="es-US"/>
        </w:rPr>
        <w:t>L</w:t>
      </w:r>
      <w:r w:rsidR="00E93D21" w:rsidRPr="00386E47">
        <w:rPr>
          <w:rFonts w:asciiTheme="majorHAnsi" w:hAnsiTheme="majorHAnsi"/>
          <w:sz w:val="20"/>
          <w:szCs w:val="20"/>
          <w:lang w:val="es-US"/>
        </w:rPr>
        <w:t xml:space="preserve">a Comisión </w:t>
      </w:r>
      <w:r w:rsidRPr="00386E47">
        <w:rPr>
          <w:rFonts w:asciiTheme="majorHAnsi" w:hAnsiTheme="majorHAnsi"/>
          <w:sz w:val="20"/>
          <w:szCs w:val="20"/>
          <w:lang w:val="es-US"/>
        </w:rPr>
        <w:t>resalta</w:t>
      </w:r>
      <w:r w:rsidR="00E93D21" w:rsidRPr="00386E47">
        <w:rPr>
          <w:rFonts w:asciiTheme="majorHAnsi" w:hAnsiTheme="majorHAnsi"/>
          <w:sz w:val="20"/>
          <w:szCs w:val="20"/>
          <w:lang w:val="es-US"/>
        </w:rPr>
        <w:t xml:space="preserve"> que la anterior determinación no nubla las fuertes repercusiones que tuvo este ataque en la sociedad, que superó a la misma comunidad judía, y que afectó a otras personas por el grado de violencia utilizado que incluso no tenían dichos rasgo de identidad. Además, se destaca que por ocurrir en Argentina no se trata únicamente de un episodio relevante para la comunidad judía, como fue su origen y su móvil, sino que sus efectos se proyectaron a lo largo de todo el país</w:t>
      </w:r>
      <w:r w:rsidR="004301F7" w:rsidRPr="00386E47">
        <w:rPr>
          <w:rFonts w:asciiTheme="majorHAnsi" w:hAnsiTheme="majorHAnsi"/>
          <w:sz w:val="20"/>
          <w:szCs w:val="20"/>
          <w:lang w:val="es-US"/>
        </w:rPr>
        <w:t xml:space="preserve"> en la sociedad </w:t>
      </w:r>
      <w:r w:rsidR="00F54071" w:rsidRPr="00386E47">
        <w:rPr>
          <w:rFonts w:asciiTheme="majorHAnsi" w:hAnsiTheme="majorHAnsi"/>
          <w:sz w:val="20"/>
          <w:szCs w:val="20"/>
          <w:lang w:val="es-US"/>
        </w:rPr>
        <w:t>argentina.</w:t>
      </w:r>
      <w:r w:rsidR="00E93D21" w:rsidRPr="00386E47">
        <w:rPr>
          <w:rFonts w:asciiTheme="majorHAnsi" w:hAnsiTheme="majorHAnsi"/>
          <w:sz w:val="20"/>
          <w:szCs w:val="20"/>
          <w:lang w:val="es-US"/>
        </w:rPr>
        <w:t xml:space="preserve"> </w:t>
      </w:r>
    </w:p>
    <w:p w14:paraId="0587471B" w14:textId="77777777" w:rsidR="00E93D21" w:rsidRPr="00386E47" w:rsidRDefault="00E93D21" w:rsidP="00F72F3E">
      <w:pPr>
        <w:tabs>
          <w:tab w:val="left" w:pos="567"/>
        </w:tabs>
        <w:jc w:val="both"/>
        <w:rPr>
          <w:rFonts w:asciiTheme="majorHAnsi" w:eastAsia="Calibri" w:hAnsiTheme="majorHAnsi" w:cs="Verdana"/>
          <w:sz w:val="20"/>
          <w:szCs w:val="20"/>
          <w:lang w:val="es-US"/>
        </w:rPr>
      </w:pPr>
    </w:p>
    <w:p w14:paraId="31BF8DCF" w14:textId="77777777" w:rsidR="003C1378" w:rsidRPr="00386E47" w:rsidRDefault="003C1378" w:rsidP="009146F2">
      <w:pPr>
        <w:pStyle w:val="Heading2"/>
        <w:numPr>
          <w:ilvl w:val="0"/>
          <w:numId w:val="68"/>
        </w:numPr>
        <w:rPr>
          <w:rFonts w:asciiTheme="majorHAnsi" w:hAnsiTheme="majorHAnsi"/>
        </w:rPr>
      </w:pPr>
      <w:bookmarkStart w:id="28" w:name="_Toc51252199"/>
      <w:r w:rsidRPr="00386E47">
        <w:rPr>
          <w:rFonts w:asciiTheme="majorHAnsi" w:hAnsiTheme="majorHAnsi"/>
        </w:rPr>
        <w:t>Derechos a las garantías judiciales y a la protección Judicial (artículos 8.1. y 25 de la Convención) en relación con la obligación de r</w:t>
      </w:r>
      <w:r w:rsidR="00764BCB" w:rsidRPr="00386E47">
        <w:rPr>
          <w:rFonts w:asciiTheme="majorHAnsi" w:hAnsiTheme="majorHAnsi"/>
        </w:rPr>
        <w:t xml:space="preserve">espetar los derechos humanos </w:t>
      </w:r>
      <w:r w:rsidRPr="00386E47">
        <w:rPr>
          <w:rFonts w:asciiTheme="majorHAnsi" w:hAnsiTheme="majorHAnsi"/>
        </w:rPr>
        <w:t xml:space="preserve">(artículos 1.1 </w:t>
      </w:r>
      <w:r w:rsidR="005A65DD" w:rsidRPr="00386E47">
        <w:rPr>
          <w:rFonts w:asciiTheme="majorHAnsi" w:hAnsiTheme="majorHAnsi"/>
        </w:rPr>
        <w:t>de la Convención</w:t>
      </w:r>
      <w:r w:rsidRPr="00386E47">
        <w:rPr>
          <w:rFonts w:asciiTheme="majorHAnsi" w:hAnsiTheme="majorHAnsi"/>
        </w:rPr>
        <w:t>)</w:t>
      </w:r>
      <w:bookmarkEnd w:id="28"/>
      <w:r w:rsidRPr="00386E47">
        <w:rPr>
          <w:rFonts w:asciiTheme="majorHAnsi" w:hAnsiTheme="majorHAnsi"/>
        </w:rPr>
        <w:t xml:space="preserve"> </w:t>
      </w:r>
    </w:p>
    <w:p w14:paraId="1CAFFE1E" w14:textId="77777777" w:rsidR="00790369" w:rsidRPr="00386E47" w:rsidRDefault="00790369" w:rsidP="00A311A0">
      <w:pPr>
        <w:rPr>
          <w:rFonts w:asciiTheme="majorHAnsi" w:eastAsia="Calibri" w:hAnsiTheme="majorHAnsi"/>
          <w:sz w:val="20"/>
          <w:szCs w:val="20"/>
          <w:lang w:val="es-ES_tradnl" w:eastAsia="es-ES"/>
        </w:rPr>
      </w:pPr>
    </w:p>
    <w:p w14:paraId="26B4760E" w14:textId="77777777" w:rsidR="00790369" w:rsidRPr="00386E47" w:rsidRDefault="00790369"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Los artículos</w:t>
      </w:r>
      <w:r w:rsidRPr="00386E47">
        <w:rPr>
          <w:rFonts w:asciiTheme="majorHAnsi" w:eastAsia="Calibri" w:hAnsiTheme="majorHAnsi"/>
          <w:sz w:val="20"/>
          <w:szCs w:val="20"/>
          <w:lang w:val="es-AR"/>
        </w:rPr>
        <w:t xml:space="preserve"> 8 y 25 de la Convención Americana establecen la obligación en cabeza del Estado de poner a disposición de las víctimas de violaciones a los derechos humanos recursos judiciales efectivos, los cuales deben ser sustanciados de conformidad con las reglas del debido proceso legal</w:t>
      </w:r>
      <w:r w:rsidRPr="00386E47">
        <w:rPr>
          <w:rFonts w:asciiTheme="majorHAnsi" w:eastAsia="Calibri" w:hAnsiTheme="majorHAnsi"/>
          <w:sz w:val="20"/>
          <w:szCs w:val="20"/>
          <w:vertAlign w:val="superscript"/>
          <w:lang w:val="es-AR"/>
        </w:rPr>
        <w:footnoteReference w:id="97"/>
      </w:r>
      <w:r w:rsidRPr="00386E47">
        <w:rPr>
          <w:rFonts w:asciiTheme="majorHAnsi" w:eastAsia="Calibri" w:hAnsiTheme="majorHAnsi"/>
          <w:sz w:val="20"/>
          <w:szCs w:val="20"/>
          <w:lang w:val="es-AR"/>
        </w:rPr>
        <w:t>.</w:t>
      </w:r>
      <w:r w:rsidRPr="00386E47">
        <w:rPr>
          <w:rFonts w:asciiTheme="majorHAnsi" w:eastAsia="Calibri" w:hAnsiTheme="majorHAnsi"/>
          <w:sz w:val="20"/>
          <w:szCs w:val="20"/>
          <w:lang w:val="es-ES_tradnl"/>
        </w:rPr>
        <w:t xml:space="preserve"> </w:t>
      </w:r>
      <w:r w:rsidRPr="00386E47">
        <w:rPr>
          <w:rFonts w:asciiTheme="majorHAnsi" w:eastAsia="Calibri" w:hAnsiTheme="majorHAnsi"/>
          <w:sz w:val="20"/>
          <w:szCs w:val="20"/>
          <w:lang w:val="es-AR"/>
        </w:rPr>
        <w:t>Esta obligación, es de medio y no de resultado, y debe ser asumida por el Estado como una obligación jurídica propia y no como una simple formalidad condenada de antemano a ser infructuosa</w:t>
      </w:r>
      <w:r w:rsidRPr="00386E47">
        <w:rPr>
          <w:rFonts w:asciiTheme="majorHAnsi" w:eastAsia="Calibri" w:hAnsiTheme="majorHAnsi"/>
          <w:sz w:val="20"/>
          <w:szCs w:val="20"/>
          <w:vertAlign w:val="superscript"/>
          <w:lang w:val="es-AR"/>
        </w:rPr>
        <w:footnoteReference w:id="98"/>
      </w:r>
      <w:r w:rsidRPr="00386E47">
        <w:rPr>
          <w:rFonts w:asciiTheme="majorHAnsi" w:eastAsia="Calibri" w:hAnsiTheme="majorHAnsi"/>
          <w:sz w:val="20"/>
          <w:szCs w:val="20"/>
          <w:lang w:val="es-AR"/>
        </w:rPr>
        <w:t>.</w:t>
      </w:r>
      <w:r w:rsidR="00137B1C" w:rsidRPr="00386E47">
        <w:rPr>
          <w:rFonts w:asciiTheme="majorHAnsi" w:eastAsia="Calibri" w:hAnsiTheme="majorHAnsi"/>
          <w:sz w:val="20"/>
          <w:szCs w:val="20"/>
          <w:lang w:val="es-AR"/>
        </w:rPr>
        <w:t xml:space="preserve"> </w:t>
      </w:r>
      <w:r w:rsidR="00137B1C" w:rsidRPr="00386E47">
        <w:rPr>
          <w:rFonts w:asciiTheme="majorHAnsi" w:eastAsia="Calibri" w:hAnsiTheme="majorHAnsi"/>
          <w:sz w:val="20"/>
          <w:szCs w:val="20"/>
          <w:lang w:val="es-ES_tradnl"/>
        </w:rPr>
        <w:t>La Comisión recuerda que no forma parte de sus funciones  efectuar determinaciones sobre la responsabilidad penal de personas individuales que puedan emerger de los hechos del presente caso, por lo que su análisis se centrara en las acciones y omisiones atribuibles al Estado durante la investigación y proceso penal a la luz de sus obligaciones internacionales en materia de acceso a la justicia y de investigar con la debida diligencia violaciones a los derechos humanos</w:t>
      </w:r>
      <w:r w:rsidR="00137B1C" w:rsidRPr="00386E47">
        <w:rPr>
          <w:rFonts w:asciiTheme="majorHAnsi" w:eastAsia="Calibri" w:hAnsiTheme="majorHAnsi"/>
          <w:sz w:val="20"/>
          <w:szCs w:val="20"/>
          <w:vertAlign w:val="superscript"/>
          <w:lang w:val="es-ES_tradnl"/>
        </w:rPr>
        <w:footnoteReference w:id="99"/>
      </w:r>
      <w:r w:rsidR="00137B1C" w:rsidRPr="00386E47">
        <w:rPr>
          <w:rFonts w:asciiTheme="majorHAnsi" w:eastAsia="Calibri" w:hAnsiTheme="majorHAnsi"/>
          <w:sz w:val="20"/>
          <w:szCs w:val="20"/>
          <w:lang w:val="es-ES_tradnl"/>
        </w:rPr>
        <w:t>.</w:t>
      </w:r>
    </w:p>
    <w:p w14:paraId="7421B08E" w14:textId="77777777" w:rsidR="00790369" w:rsidRPr="00386E47" w:rsidRDefault="00790369" w:rsidP="00790369">
      <w:pPr>
        <w:tabs>
          <w:tab w:val="left" w:pos="567"/>
        </w:tabs>
        <w:contextualSpacing/>
        <w:jc w:val="both"/>
        <w:rPr>
          <w:rFonts w:asciiTheme="majorHAnsi" w:eastAsia="Calibri" w:hAnsiTheme="majorHAnsi"/>
          <w:sz w:val="20"/>
          <w:szCs w:val="20"/>
          <w:lang w:val="es-ES_tradnl"/>
        </w:rPr>
      </w:pPr>
    </w:p>
    <w:p w14:paraId="4B7F1DA3" w14:textId="77777777" w:rsidR="00790369" w:rsidRPr="00386E47" w:rsidRDefault="00790369"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La Corte ha asegurado que la investigación de violaciones de derechos humanos de conformidad con las reglas del debido proceso; su juzgamiento por órganos judiciales competentes y la imposición de sanciones a aquellos que sean encontrados responsables, forman parte de las medidas que debe adoptar el Estado a efectos de cumplir con la obligación general, contemplada en el artículo 1.1. de la Convención Americana, de garantizar los derechos reconocidos a lo largo de su texto. Dicha obligación adquiere particular importancia ante la gravedad de los delitos cometidos y la naturaleza de los derechos lesionados</w:t>
      </w:r>
      <w:r w:rsidRPr="00386E47">
        <w:rPr>
          <w:rFonts w:asciiTheme="majorHAnsi" w:eastAsia="Calibri" w:hAnsiTheme="majorHAnsi"/>
          <w:sz w:val="20"/>
          <w:szCs w:val="20"/>
          <w:vertAlign w:val="superscript"/>
          <w:lang w:val="es-ES_tradnl"/>
        </w:rPr>
        <w:footnoteReference w:id="100"/>
      </w:r>
      <w:r w:rsidRPr="00386E47">
        <w:rPr>
          <w:rFonts w:asciiTheme="majorHAnsi" w:eastAsia="Calibri" w:hAnsiTheme="majorHAnsi"/>
          <w:sz w:val="20"/>
          <w:szCs w:val="20"/>
          <w:lang w:val="es-ES_tradnl"/>
        </w:rPr>
        <w:t xml:space="preserve">. </w:t>
      </w:r>
    </w:p>
    <w:p w14:paraId="66A0DF56" w14:textId="77777777" w:rsidR="00790369" w:rsidRPr="00386E47" w:rsidRDefault="00790369" w:rsidP="00790369">
      <w:pPr>
        <w:tabs>
          <w:tab w:val="left" w:pos="567"/>
        </w:tabs>
        <w:contextualSpacing/>
        <w:jc w:val="both"/>
        <w:rPr>
          <w:rFonts w:asciiTheme="majorHAnsi" w:eastAsia="Calibri" w:hAnsiTheme="majorHAnsi"/>
          <w:sz w:val="20"/>
          <w:szCs w:val="20"/>
          <w:lang w:val="es-ES_tradnl"/>
        </w:rPr>
      </w:pPr>
    </w:p>
    <w:p w14:paraId="44A4E060" w14:textId="77777777" w:rsidR="00DC6EDE" w:rsidRPr="00386E47" w:rsidRDefault="00DC6EDE"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hAnsiTheme="majorHAnsi"/>
          <w:sz w:val="20"/>
          <w:szCs w:val="20"/>
          <w:lang w:val="es-MX"/>
        </w:rPr>
        <w:t>En el mismo sentido, la Corte ha indicado que las víctimas y sus familiares tienen el derecho, y los Estados la obligación, a que lo sucedido a éstas sea efectivamente investigado por las autoridades del Estado; se siga un proceso contra los presuntos responsables de estos ilícitos; en su caso, se les impongan las sanciones pertinentes, y se reparen los daños y perjuicios que dichos familiares han sufrido</w:t>
      </w:r>
      <w:r w:rsidRPr="00386E47">
        <w:rPr>
          <w:rStyle w:val="FootnoteReference"/>
          <w:rFonts w:asciiTheme="majorHAnsi" w:hAnsiTheme="majorHAnsi"/>
          <w:sz w:val="20"/>
          <w:szCs w:val="20"/>
        </w:rPr>
        <w:footnoteReference w:id="101"/>
      </w:r>
      <w:r w:rsidRPr="00386E47">
        <w:rPr>
          <w:rFonts w:asciiTheme="majorHAnsi" w:hAnsiTheme="majorHAnsi"/>
          <w:sz w:val="20"/>
          <w:szCs w:val="20"/>
          <w:lang w:val="es-MX"/>
        </w:rPr>
        <w:t xml:space="preserve">. Según lo anterior, las autoridades estatales, una vez tienen conocimiento de un hecho de violación de derechos humanos, en particular de los </w:t>
      </w:r>
      <w:r w:rsidRPr="00386E47">
        <w:rPr>
          <w:rFonts w:asciiTheme="majorHAnsi" w:hAnsiTheme="majorHAnsi"/>
          <w:sz w:val="20"/>
          <w:szCs w:val="20"/>
          <w:lang w:val="es-MX"/>
        </w:rPr>
        <w:lastRenderedPageBreak/>
        <w:t>derechos a la vida, integridad personal y libertad personal</w:t>
      </w:r>
      <w:r w:rsidRPr="00386E47">
        <w:rPr>
          <w:rStyle w:val="FootnoteReference"/>
          <w:rFonts w:asciiTheme="majorHAnsi" w:hAnsiTheme="majorHAnsi"/>
          <w:sz w:val="20"/>
          <w:szCs w:val="20"/>
        </w:rPr>
        <w:footnoteReference w:id="102"/>
      </w:r>
      <w:r w:rsidRPr="00386E47">
        <w:rPr>
          <w:rFonts w:asciiTheme="majorHAnsi" w:hAnsiTheme="majorHAnsi"/>
          <w:sz w:val="20"/>
          <w:szCs w:val="20"/>
          <w:lang w:val="es-MX"/>
        </w:rPr>
        <w:t xml:space="preserve">, tienen el deber de iniciar </w:t>
      </w:r>
      <w:r w:rsidRPr="00386E47">
        <w:rPr>
          <w:rFonts w:asciiTheme="majorHAnsi" w:hAnsiTheme="majorHAnsi"/>
          <w:i/>
          <w:sz w:val="20"/>
          <w:szCs w:val="20"/>
          <w:lang w:val="es-MX"/>
        </w:rPr>
        <w:t xml:space="preserve">ex officio </w:t>
      </w:r>
      <w:r w:rsidRPr="00386E47">
        <w:rPr>
          <w:rFonts w:asciiTheme="majorHAnsi" w:hAnsiTheme="majorHAnsi"/>
          <w:sz w:val="20"/>
          <w:szCs w:val="20"/>
          <w:lang w:val="es-MX"/>
        </w:rPr>
        <w:t>y sin dilación, una investigación seria, imparcial y efectiva</w:t>
      </w:r>
      <w:r w:rsidRPr="00386E47">
        <w:rPr>
          <w:rFonts w:asciiTheme="majorHAnsi" w:hAnsiTheme="majorHAnsi"/>
          <w:sz w:val="20"/>
          <w:szCs w:val="20"/>
          <w:vertAlign w:val="superscript"/>
        </w:rPr>
        <w:footnoteReference w:id="103"/>
      </w:r>
      <w:r w:rsidRPr="00386E47">
        <w:rPr>
          <w:rFonts w:asciiTheme="majorHAnsi" w:hAnsiTheme="majorHAnsi"/>
          <w:sz w:val="20"/>
          <w:szCs w:val="20"/>
          <w:lang w:val="es-MX"/>
        </w:rPr>
        <w:t>, la cual debe llevarse a cabo en un plazo razonable</w:t>
      </w:r>
      <w:r w:rsidRPr="00386E47">
        <w:rPr>
          <w:rStyle w:val="FootnoteReference"/>
          <w:rFonts w:asciiTheme="majorHAnsi" w:hAnsiTheme="majorHAnsi"/>
          <w:sz w:val="20"/>
          <w:szCs w:val="20"/>
        </w:rPr>
        <w:footnoteReference w:id="104"/>
      </w:r>
      <w:r w:rsidRPr="00386E47">
        <w:rPr>
          <w:rFonts w:asciiTheme="majorHAnsi" w:hAnsiTheme="majorHAnsi"/>
          <w:sz w:val="20"/>
          <w:szCs w:val="20"/>
          <w:lang w:val="es-MX"/>
        </w:rPr>
        <w:t>. En palabras de la Comisión:</w:t>
      </w:r>
    </w:p>
    <w:p w14:paraId="04409F91" w14:textId="77777777" w:rsidR="00DC6EDE" w:rsidRPr="00386E47" w:rsidRDefault="00DC6EDE" w:rsidP="00DC6EDE">
      <w:pPr>
        <w:tabs>
          <w:tab w:val="left" w:pos="720"/>
          <w:tab w:val="left" w:pos="1440"/>
        </w:tabs>
        <w:ind w:left="720"/>
        <w:jc w:val="both"/>
        <w:rPr>
          <w:rFonts w:asciiTheme="majorHAnsi" w:hAnsiTheme="majorHAnsi"/>
          <w:sz w:val="20"/>
          <w:szCs w:val="20"/>
          <w:lang w:val="es-MX"/>
        </w:rPr>
      </w:pPr>
    </w:p>
    <w:p w14:paraId="3E36253D" w14:textId="77777777" w:rsidR="00DC6EDE" w:rsidRPr="00386E47" w:rsidRDefault="00DC6EDE" w:rsidP="00DC6EDE">
      <w:pPr>
        <w:tabs>
          <w:tab w:val="left" w:pos="720"/>
          <w:tab w:val="left" w:pos="1440"/>
        </w:tabs>
        <w:ind w:left="720" w:right="720"/>
        <w:jc w:val="both"/>
        <w:rPr>
          <w:rFonts w:asciiTheme="majorHAnsi" w:hAnsiTheme="majorHAnsi"/>
          <w:sz w:val="20"/>
          <w:szCs w:val="20"/>
          <w:lang w:val="es-MX"/>
        </w:rPr>
      </w:pPr>
      <w:r w:rsidRPr="00386E47">
        <w:rPr>
          <w:rFonts w:asciiTheme="majorHAnsi" w:hAnsiTheme="majorHAnsi"/>
          <w:sz w:val="20"/>
          <w:szCs w:val="20"/>
          <w:lang w:val="es-ES"/>
        </w:rPr>
        <w:t>La investigación judicial debe ser emprendida de buena fe, de manera diligente, exhaustiva e imparcial, y debe estar orientada a explorar todas las líneas investigativas posibles que permitan la identificación de los autores del delito, para su posterior juzgamiento y sanción</w:t>
      </w:r>
      <w:r w:rsidRPr="00386E47">
        <w:rPr>
          <w:rStyle w:val="FootnoteReference"/>
          <w:rFonts w:asciiTheme="majorHAnsi" w:hAnsiTheme="majorHAnsi"/>
          <w:sz w:val="20"/>
          <w:szCs w:val="20"/>
          <w:lang w:val="es-ES"/>
        </w:rPr>
        <w:footnoteReference w:id="105"/>
      </w:r>
      <w:r w:rsidRPr="00386E47">
        <w:rPr>
          <w:rFonts w:asciiTheme="majorHAnsi" w:hAnsiTheme="majorHAnsi"/>
          <w:sz w:val="20"/>
          <w:szCs w:val="20"/>
          <w:lang w:val="es-ES"/>
        </w:rPr>
        <w:t>.</w:t>
      </w:r>
    </w:p>
    <w:p w14:paraId="3E3F6B67" w14:textId="77777777" w:rsidR="00DC6EDE" w:rsidRPr="00386E47" w:rsidRDefault="00DC6EDE" w:rsidP="00DC6EDE">
      <w:pPr>
        <w:tabs>
          <w:tab w:val="left" w:pos="720"/>
          <w:tab w:val="left" w:pos="1440"/>
        </w:tabs>
        <w:jc w:val="both"/>
        <w:rPr>
          <w:rFonts w:asciiTheme="majorHAnsi" w:hAnsiTheme="majorHAnsi"/>
          <w:sz w:val="20"/>
          <w:szCs w:val="20"/>
          <w:lang w:val="es-MX"/>
        </w:rPr>
      </w:pPr>
    </w:p>
    <w:p w14:paraId="22082AE2" w14:textId="77777777" w:rsidR="000E35A2" w:rsidRPr="00386E47" w:rsidRDefault="00DC6EDE" w:rsidP="003A5860">
      <w:pPr>
        <w:numPr>
          <w:ilvl w:val="0"/>
          <w:numId w:val="55"/>
        </w:numPr>
        <w:tabs>
          <w:tab w:val="left" w:pos="567"/>
        </w:tabs>
        <w:ind w:left="0" w:firstLine="0"/>
        <w:contextualSpacing/>
        <w:jc w:val="both"/>
        <w:rPr>
          <w:rFonts w:asciiTheme="majorHAnsi" w:hAnsiTheme="majorHAnsi"/>
          <w:sz w:val="20"/>
          <w:lang w:val="es-ES"/>
        </w:rPr>
      </w:pPr>
      <w:r w:rsidRPr="00386E47">
        <w:rPr>
          <w:rFonts w:asciiTheme="majorHAnsi" w:hAnsiTheme="majorHAnsi"/>
          <w:sz w:val="20"/>
          <w:szCs w:val="20"/>
          <w:lang w:val="es-MX"/>
        </w:rPr>
        <w:t>Sobre</w:t>
      </w:r>
      <w:r w:rsidRPr="00386E47">
        <w:rPr>
          <w:rFonts w:asciiTheme="majorHAnsi" w:hAnsiTheme="majorHAnsi" w:cs="Arial"/>
          <w:sz w:val="20"/>
          <w:szCs w:val="20"/>
          <w:lang w:val="es-MX"/>
        </w:rPr>
        <w:t xml:space="preserve"> el contenido del deber de investigar “con la debida diligencia”, la Corte Interamericana ha </w:t>
      </w:r>
      <w:r w:rsidRPr="00386E47">
        <w:rPr>
          <w:rFonts w:asciiTheme="majorHAnsi" w:hAnsiTheme="majorHAnsi"/>
          <w:sz w:val="20"/>
          <w:szCs w:val="20"/>
          <w:lang w:val="es-MX"/>
        </w:rPr>
        <w:t>señalado</w:t>
      </w:r>
      <w:r w:rsidRPr="00386E47">
        <w:rPr>
          <w:rFonts w:asciiTheme="majorHAnsi" w:hAnsiTheme="majorHAnsi" w:cs="Arial"/>
          <w:sz w:val="20"/>
          <w:szCs w:val="20"/>
          <w:lang w:val="es-MX"/>
        </w:rPr>
        <w:t xml:space="preserve"> que implica que las averiguaciones deben </w:t>
      </w:r>
      <w:r w:rsidRPr="00386E47">
        <w:rPr>
          <w:rFonts w:asciiTheme="majorHAnsi" w:hAnsiTheme="majorHAnsi"/>
          <w:sz w:val="20"/>
          <w:szCs w:val="20"/>
          <w:lang w:val="es-MX"/>
        </w:rPr>
        <w:t>ser realizadas</w:t>
      </w:r>
      <w:r w:rsidRPr="00386E47">
        <w:rPr>
          <w:rFonts w:asciiTheme="majorHAnsi" w:hAnsiTheme="majorHAnsi"/>
          <w:color w:val="000000"/>
          <w:sz w:val="20"/>
          <w:szCs w:val="20"/>
          <w:lang w:val="es-MX"/>
        </w:rPr>
        <w:t xml:space="preserve"> </w:t>
      </w:r>
      <w:r w:rsidRPr="00386E47">
        <w:rPr>
          <w:rFonts w:asciiTheme="majorHAnsi" w:hAnsiTheme="majorHAnsi"/>
          <w:sz w:val="20"/>
          <w:szCs w:val="20"/>
          <w:lang w:val="es-MX"/>
        </w:rPr>
        <w:t>por todos los medios legales disponibles</w:t>
      </w:r>
      <w:r w:rsidRPr="00386E47">
        <w:rPr>
          <w:rFonts w:asciiTheme="majorHAnsi" w:hAnsiTheme="majorHAnsi"/>
          <w:color w:val="000000"/>
          <w:sz w:val="20"/>
          <w:szCs w:val="20"/>
          <w:lang w:val="es-MX"/>
        </w:rPr>
        <w:t xml:space="preserve"> y deben </w:t>
      </w:r>
      <w:r w:rsidRPr="00386E47">
        <w:rPr>
          <w:rFonts w:asciiTheme="majorHAnsi" w:hAnsiTheme="majorHAnsi"/>
          <w:sz w:val="20"/>
          <w:szCs w:val="20"/>
          <w:lang w:val="es-MX"/>
        </w:rPr>
        <w:t>estar</w:t>
      </w:r>
      <w:r w:rsidRPr="00386E47">
        <w:rPr>
          <w:rFonts w:asciiTheme="majorHAnsi" w:hAnsiTheme="majorHAnsi"/>
          <w:color w:val="000000"/>
          <w:sz w:val="20"/>
          <w:szCs w:val="20"/>
          <w:lang w:val="es-MX"/>
        </w:rPr>
        <w:t xml:space="preserve"> orientadas a la determinación de la verdad</w:t>
      </w:r>
      <w:r w:rsidRPr="00386E47">
        <w:rPr>
          <w:rFonts w:asciiTheme="majorHAnsi" w:hAnsiTheme="majorHAnsi"/>
          <w:sz w:val="20"/>
          <w:szCs w:val="20"/>
          <w:vertAlign w:val="superscript"/>
        </w:rPr>
        <w:footnoteReference w:id="106"/>
      </w:r>
      <w:r w:rsidRPr="00386E47">
        <w:rPr>
          <w:rFonts w:asciiTheme="majorHAnsi" w:hAnsiTheme="majorHAnsi"/>
          <w:color w:val="000000"/>
          <w:sz w:val="20"/>
          <w:szCs w:val="20"/>
          <w:lang w:val="es-MX"/>
        </w:rPr>
        <w:t xml:space="preserve">. En la misma línea, la Corte ha indicado que el Estado tiene el deber de </w:t>
      </w:r>
      <w:r w:rsidRPr="00386E47">
        <w:rPr>
          <w:rFonts w:asciiTheme="majorHAnsi" w:hAnsiTheme="majorHAnsi"/>
          <w:sz w:val="20"/>
          <w:szCs w:val="20"/>
          <w:lang w:val="es-MX"/>
        </w:rPr>
        <w:t>asegurar que se efectúe todo lo necesario para conocer la verdad de lo sucedido y para que se sancione a los eventuales responsables</w:t>
      </w:r>
      <w:r w:rsidRPr="00386E47">
        <w:rPr>
          <w:rStyle w:val="FootnoteReference"/>
          <w:rFonts w:asciiTheme="majorHAnsi" w:hAnsiTheme="majorHAnsi"/>
          <w:sz w:val="20"/>
          <w:szCs w:val="20"/>
        </w:rPr>
        <w:footnoteReference w:id="107"/>
      </w:r>
      <w:r w:rsidRPr="00386E47">
        <w:rPr>
          <w:rFonts w:asciiTheme="majorHAnsi" w:hAnsiTheme="majorHAnsi"/>
          <w:sz w:val="20"/>
          <w:szCs w:val="20"/>
          <w:lang w:val="es-MX"/>
        </w:rPr>
        <w:t>, involucrando a toda institución estatal</w:t>
      </w:r>
      <w:r w:rsidRPr="00386E47">
        <w:rPr>
          <w:rStyle w:val="FootnoteReference"/>
          <w:rFonts w:asciiTheme="majorHAnsi" w:hAnsiTheme="majorHAnsi"/>
          <w:sz w:val="20"/>
          <w:szCs w:val="20"/>
        </w:rPr>
        <w:footnoteReference w:id="108"/>
      </w:r>
      <w:r w:rsidRPr="00386E47">
        <w:rPr>
          <w:rFonts w:asciiTheme="majorHAnsi" w:hAnsiTheme="majorHAnsi"/>
          <w:color w:val="000000"/>
          <w:sz w:val="20"/>
          <w:szCs w:val="20"/>
          <w:lang w:val="es-MX"/>
        </w:rPr>
        <w:t>.</w:t>
      </w:r>
      <w:r w:rsidRPr="00386E47">
        <w:rPr>
          <w:rFonts w:asciiTheme="majorHAnsi" w:hAnsiTheme="majorHAnsi"/>
          <w:sz w:val="20"/>
          <w:szCs w:val="20"/>
          <w:lang w:val="es-MX"/>
        </w:rPr>
        <w:t xml:space="preserve"> </w:t>
      </w:r>
      <w:r w:rsidRPr="00386E47">
        <w:rPr>
          <w:rFonts w:asciiTheme="majorHAnsi" w:hAnsiTheme="majorHAnsi"/>
          <w:sz w:val="20"/>
          <w:lang w:val="es-ES_tradnl"/>
        </w:rPr>
        <w:t>L</w:t>
      </w:r>
      <w:r w:rsidRPr="00386E47">
        <w:rPr>
          <w:rFonts w:asciiTheme="majorHAnsi" w:hAnsiTheme="majorHAnsi"/>
          <w:sz w:val="20"/>
          <w:lang w:val="es-ES"/>
        </w:rPr>
        <w:t>a CIDH recuerda que la obligación de investigar y sancionar todo hecho que implique violación de los derechos protegidos por la Convención requiere que se castigue no sólo a los autores materiales de los hechos violatorios de derechos humanos, sino también a los autores intelectuales de tales violaciones</w:t>
      </w:r>
      <w:r w:rsidRPr="00386E47">
        <w:rPr>
          <w:rFonts w:asciiTheme="majorHAnsi" w:hAnsiTheme="majorHAnsi"/>
          <w:sz w:val="20"/>
          <w:vertAlign w:val="superscript"/>
        </w:rPr>
        <w:footnoteReference w:id="109"/>
      </w:r>
      <w:r w:rsidRPr="00386E47">
        <w:rPr>
          <w:rFonts w:asciiTheme="majorHAnsi" w:hAnsiTheme="majorHAnsi"/>
          <w:sz w:val="20"/>
          <w:lang w:val="es-ES"/>
        </w:rPr>
        <w:t xml:space="preserve">. </w:t>
      </w:r>
      <w:r w:rsidR="00397A09" w:rsidRPr="00386E47">
        <w:rPr>
          <w:rFonts w:asciiTheme="majorHAnsi" w:hAnsiTheme="majorHAnsi"/>
          <w:sz w:val="20"/>
          <w:lang w:val="es-ES"/>
        </w:rPr>
        <w:t xml:space="preserve"> </w:t>
      </w:r>
      <w:r w:rsidRPr="00386E47">
        <w:rPr>
          <w:rFonts w:asciiTheme="majorHAnsi" w:hAnsiTheme="majorHAnsi" w:cs="Arial"/>
          <w:sz w:val="20"/>
          <w:szCs w:val="20"/>
          <w:lang w:val="es-MX"/>
        </w:rPr>
        <w:t xml:space="preserve">La Corte </w:t>
      </w:r>
      <w:r w:rsidRPr="00386E47">
        <w:rPr>
          <w:rFonts w:asciiTheme="majorHAnsi" w:hAnsiTheme="majorHAnsi"/>
          <w:sz w:val="20"/>
          <w:szCs w:val="20"/>
          <w:lang w:val="es-MX"/>
        </w:rPr>
        <w:t>también</w:t>
      </w:r>
      <w:r w:rsidRPr="00386E47">
        <w:rPr>
          <w:rFonts w:asciiTheme="majorHAnsi" w:hAnsiTheme="majorHAnsi" w:cs="Arial"/>
          <w:sz w:val="20"/>
          <w:szCs w:val="20"/>
          <w:lang w:val="es-MX"/>
        </w:rPr>
        <w:t xml:space="preserve"> ha dicho que las autoridades deben adoptar las medidas razonables que permitan asegurar el material probatorio necesario para llevar a cabo la investigación</w:t>
      </w:r>
      <w:r w:rsidRPr="00386E47">
        <w:rPr>
          <w:rStyle w:val="FootnoteReference"/>
          <w:rFonts w:asciiTheme="majorHAnsi" w:hAnsiTheme="majorHAnsi" w:cs="Arial"/>
          <w:sz w:val="20"/>
          <w:szCs w:val="20"/>
        </w:rPr>
        <w:footnoteReference w:id="110"/>
      </w:r>
      <w:r w:rsidRPr="00386E47">
        <w:rPr>
          <w:rFonts w:asciiTheme="majorHAnsi" w:hAnsiTheme="majorHAnsi" w:cs="Arial"/>
          <w:sz w:val="20"/>
          <w:szCs w:val="20"/>
          <w:lang w:val="es-MX"/>
        </w:rPr>
        <w:t xml:space="preserve">. </w:t>
      </w:r>
      <w:r w:rsidRPr="00386E47">
        <w:rPr>
          <w:rFonts w:asciiTheme="majorHAnsi" w:hAnsiTheme="majorHAnsi"/>
          <w:sz w:val="20"/>
          <w:szCs w:val="20"/>
          <w:lang w:val="es-ES"/>
        </w:rPr>
        <w:t xml:space="preserve"> </w:t>
      </w:r>
    </w:p>
    <w:p w14:paraId="2E61D920" w14:textId="77777777" w:rsidR="00790369" w:rsidRPr="00386E47" w:rsidRDefault="00790369" w:rsidP="00790369">
      <w:pPr>
        <w:tabs>
          <w:tab w:val="left" w:pos="567"/>
        </w:tabs>
        <w:contextualSpacing/>
        <w:jc w:val="both"/>
        <w:rPr>
          <w:rFonts w:asciiTheme="majorHAnsi" w:eastAsia="Calibri" w:hAnsiTheme="majorHAnsi"/>
          <w:sz w:val="20"/>
          <w:szCs w:val="20"/>
          <w:lang w:val="es-ES_tradnl"/>
        </w:rPr>
      </w:pPr>
    </w:p>
    <w:p w14:paraId="7AD35CDD" w14:textId="77777777" w:rsidR="00790369" w:rsidRPr="00386E47" w:rsidRDefault="00DC6EDE"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Por otra parte, </w:t>
      </w:r>
      <w:r w:rsidR="004301F7" w:rsidRPr="00386E47">
        <w:rPr>
          <w:rFonts w:asciiTheme="majorHAnsi" w:eastAsia="Calibri" w:hAnsiTheme="majorHAnsi"/>
          <w:sz w:val="20"/>
          <w:szCs w:val="20"/>
          <w:lang w:val="es-ES_tradnl"/>
        </w:rPr>
        <w:t>l</w:t>
      </w:r>
      <w:r w:rsidR="00790369" w:rsidRPr="00386E47">
        <w:rPr>
          <w:rFonts w:asciiTheme="majorHAnsi" w:eastAsia="Calibri" w:hAnsiTheme="majorHAnsi"/>
          <w:sz w:val="20"/>
          <w:szCs w:val="20"/>
          <w:lang w:val="es-ES_tradnl"/>
        </w:rPr>
        <w:t>a investigación debe ser conducida de manera exhaustiva y diligente. Ello significa, por un lado, que el Estado tiene la obligación de realizar todas aquellas averiguaciones que sean necesarias para asegurar que las víctimas conozcan la verdad de todos los hechos acontecidos y que se sancione a quienes estén involucrados en el los delitos, ya sea que hayan actuado como autores materiales, participes, instigadores o encubridores</w:t>
      </w:r>
      <w:r w:rsidR="00790369" w:rsidRPr="00386E47">
        <w:rPr>
          <w:rFonts w:asciiTheme="majorHAnsi" w:eastAsia="Calibri" w:hAnsiTheme="majorHAnsi"/>
          <w:sz w:val="20"/>
          <w:szCs w:val="20"/>
          <w:vertAlign w:val="superscript"/>
          <w:lang w:val="es-ES_tradnl"/>
        </w:rPr>
        <w:footnoteReference w:id="111"/>
      </w:r>
      <w:r w:rsidR="00790369" w:rsidRPr="00386E47">
        <w:rPr>
          <w:rFonts w:asciiTheme="majorHAnsi" w:eastAsia="Calibri" w:hAnsiTheme="majorHAnsi"/>
          <w:sz w:val="20"/>
          <w:szCs w:val="20"/>
          <w:lang w:val="es-ES_tradnl"/>
        </w:rPr>
        <w:t>. Asimismo, la Corte IDH ha establecido que el juez, como autoridad competente para dirigir el proceso, tiene el deber de encausarlo de manera tal de evitar “que dilaciones y entorpecimientos indebidos conduzcan a la impunidad, frustrando así la debida protección judicial de los derechos humanos”</w:t>
      </w:r>
      <w:r w:rsidR="00790369" w:rsidRPr="00386E47">
        <w:rPr>
          <w:rFonts w:asciiTheme="majorHAnsi" w:eastAsia="Calibri" w:hAnsiTheme="majorHAnsi"/>
          <w:sz w:val="20"/>
          <w:szCs w:val="20"/>
          <w:vertAlign w:val="superscript"/>
          <w:lang w:val="es-ES_tradnl"/>
        </w:rPr>
        <w:footnoteReference w:id="112"/>
      </w:r>
      <w:r w:rsidR="00790369" w:rsidRPr="00386E47">
        <w:rPr>
          <w:rFonts w:asciiTheme="majorHAnsi" w:eastAsia="Calibri" w:hAnsiTheme="majorHAnsi"/>
          <w:sz w:val="20"/>
          <w:szCs w:val="20"/>
          <w:lang w:val="es-ES_tradnl"/>
        </w:rPr>
        <w:t>.</w:t>
      </w:r>
      <w:r w:rsidR="00397A09" w:rsidRPr="00386E47">
        <w:rPr>
          <w:rFonts w:asciiTheme="majorHAnsi" w:eastAsia="Calibri" w:hAnsiTheme="majorHAnsi"/>
          <w:sz w:val="20"/>
          <w:szCs w:val="20"/>
          <w:lang w:val="es-ES_tradnl"/>
        </w:rPr>
        <w:t xml:space="preserve"> En efecto, según lo ha señalado la Corte Interamericana:</w:t>
      </w:r>
    </w:p>
    <w:p w14:paraId="199E8BFD" w14:textId="77777777" w:rsidR="00397A09" w:rsidRPr="00386E47" w:rsidRDefault="00397A09" w:rsidP="00397A09">
      <w:pPr>
        <w:tabs>
          <w:tab w:val="left" w:pos="567"/>
        </w:tabs>
        <w:contextualSpacing/>
        <w:jc w:val="both"/>
        <w:rPr>
          <w:rFonts w:asciiTheme="majorHAnsi" w:eastAsia="Calibri" w:hAnsiTheme="majorHAnsi"/>
          <w:sz w:val="20"/>
          <w:szCs w:val="20"/>
          <w:lang w:val="es-ES"/>
        </w:rPr>
      </w:pPr>
    </w:p>
    <w:p w14:paraId="726D2C91" w14:textId="77777777" w:rsidR="002529BA" w:rsidRPr="00386E47" w:rsidRDefault="00397A09" w:rsidP="00A311A0">
      <w:pPr>
        <w:tabs>
          <w:tab w:val="left" w:pos="567"/>
        </w:tabs>
        <w:ind w:left="540" w:right="720"/>
        <w:contextualSpacing/>
        <w:jc w:val="both"/>
        <w:rPr>
          <w:rFonts w:asciiTheme="majorHAnsi" w:eastAsia="Calibri" w:hAnsiTheme="majorHAnsi"/>
          <w:sz w:val="18"/>
          <w:szCs w:val="18"/>
          <w:lang w:val="es-ES"/>
        </w:rPr>
      </w:pPr>
      <w:r w:rsidRPr="00386E47">
        <w:rPr>
          <w:rFonts w:asciiTheme="majorHAnsi" w:eastAsia="Calibri" w:hAnsiTheme="majorHAnsi"/>
          <w:sz w:val="18"/>
          <w:szCs w:val="18"/>
          <w:lang w:val="es-ES"/>
        </w:rPr>
        <w:t xml:space="preserve">[E]en casos complejos, como el presente, la obligación de investigar conlleva el deber de dirigir los esfuerzos del aparato estatal para desentrañar las estructuras que permitieron esas violaciones, sus causas, sus beneficiarios y sus consecuencias, por lo cual una investigación sólo puede resultar efectiva si se realiza a </w:t>
      </w:r>
      <w:r w:rsidRPr="00386E47">
        <w:rPr>
          <w:rFonts w:asciiTheme="majorHAnsi" w:eastAsia="Calibri" w:hAnsiTheme="majorHAnsi"/>
          <w:sz w:val="18"/>
          <w:szCs w:val="18"/>
          <w:lang w:val="es-ES"/>
        </w:rPr>
        <w:lastRenderedPageBreak/>
        <w:t>partir de una visión comprehensiva de los hechos, que tenga en cuenta los antecedentes y el contexto en que ocurrieron y que busque develar las estructuras de participación</w:t>
      </w:r>
      <w:r w:rsidRPr="00386E47">
        <w:rPr>
          <w:rStyle w:val="FootnoteReference"/>
          <w:rFonts w:asciiTheme="majorHAnsi" w:eastAsia="Calibri" w:hAnsiTheme="majorHAnsi"/>
          <w:sz w:val="18"/>
          <w:szCs w:val="18"/>
          <w:lang w:val="es-ES"/>
        </w:rPr>
        <w:footnoteReference w:id="113"/>
      </w:r>
      <w:r w:rsidRPr="00386E47">
        <w:rPr>
          <w:rFonts w:asciiTheme="majorHAnsi" w:eastAsia="Calibri" w:hAnsiTheme="majorHAnsi"/>
          <w:sz w:val="18"/>
          <w:szCs w:val="18"/>
          <w:lang w:val="es-ES"/>
        </w:rPr>
        <w:t>.</w:t>
      </w:r>
    </w:p>
    <w:p w14:paraId="6153B7B3" w14:textId="77777777" w:rsidR="00397A09" w:rsidRPr="00386E47" w:rsidRDefault="00397A09" w:rsidP="00A311A0">
      <w:pPr>
        <w:tabs>
          <w:tab w:val="left" w:pos="567"/>
        </w:tabs>
        <w:ind w:left="540" w:right="720"/>
        <w:contextualSpacing/>
        <w:jc w:val="both"/>
        <w:rPr>
          <w:rFonts w:asciiTheme="majorHAnsi" w:eastAsia="Calibri" w:hAnsiTheme="majorHAnsi"/>
          <w:sz w:val="18"/>
          <w:szCs w:val="18"/>
          <w:lang w:val="es-ES"/>
        </w:rPr>
      </w:pPr>
    </w:p>
    <w:p w14:paraId="63BB4623" w14:textId="77777777" w:rsidR="002529BA" w:rsidRPr="00386E47" w:rsidRDefault="002529BA"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El adecuado cumplimiento del principio de independencia e imparcialidad, por su parte, demanda que el Estado garantice que los órganos encargados de intervenir en el proceso judicial - ya sea durante la instrucción como en el juicio propiamente dicho - se aproximen al asunto contando con la mayor objetividad posible. Ello implica, en esencia, que los magistrados intervinientes deben carecer de prejuicios personales y deben ofrecer garantías suficientes de manera tal que las partes del proceso no alberguen dudas justificadas respecto a su imparcialidad</w:t>
      </w:r>
      <w:r w:rsidRPr="00386E47">
        <w:rPr>
          <w:rFonts w:asciiTheme="majorHAnsi" w:eastAsia="Calibri" w:hAnsiTheme="majorHAnsi"/>
          <w:sz w:val="20"/>
          <w:szCs w:val="20"/>
          <w:vertAlign w:val="superscript"/>
          <w:lang w:val="es-ES_tradnl"/>
        </w:rPr>
        <w:footnoteReference w:id="114"/>
      </w:r>
      <w:r w:rsidRPr="00386E47">
        <w:rPr>
          <w:rFonts w:asciiTheme="majorHAnsi" w:eastAsia="Calibri" w:hAnsiTheme="majorHAnsi"/>
          <w:sz w:val="20"/>
          <w:szCs w:val="20"/>
          <w:lang w:val="es-ES_tradnl"/>
        </w:rPr>
        <w:t xml:space="preserve">. </w:t>
      </w:r>
    </w:p>
    <w:p w14:paraId="227E8D13" w14:textId="77777777" w:rsidR="002529BA" w:rsidRPr="00386E47" w:rsidRDefault="002529BA" w:rsidP="00A311A0">
      <w:pPr>
        <w:tabs>
          <w:tab w:val="left" w:pos="567"/>
        </w:tabs>
        <w:contextualSpacing/>
        <w:jc w:val="both"/>
        <w:rPr>
          <w:rFonts w:asciiTheme="majorHAnsi" w:eastAsia="Calibri" w:hAnsiTheme="majorHAnsi"/>
          <w:sz w:val="20"/>
          <w:szCs w:val="20"/>
          <w:lang w:val="es-ES_tradnl"/>
        </w:rPr>
      </w:pPr>
    </w:p>
    <w:p w14:paraId="6BF6DC01" w14:textId="77777777" w:rsidR="002529BA" w:rsidRPr="00386E47" w:rsidRDefault="002529BA" w:rsidP="003A5860">
      <w:pPr>
        <w:numPr>
          <w:ilvl w:val="0"/>
          <w:numId w:val="55"/>
        </w:numPr>
        <w:tabs>
          <w:tab w:val="left" w:pos="567"/>
        </w:tabs>
        <w:ind w:left="0" w:firstLine="0"/>
        <w:contextualSpacing/>
        <w:jc w:val="both"/>
        <w:rPr>
          <w:rFonts w:asciiTheme="majorHAnsi" w:hAnsiTheme="majorHAnsi" w:cs="Verdana"/>
          <w:sz w:val="20"/>
          <w:szCs w:val="20"/>
          <w:lang w:val="es-ES"/>
        </w:rPr>
      </w:pPr>
      <w:r w:rsidRPr="00386E47">
        <w:rPr>
          <w:rFonts w:asciiTheme="majorHAnsi" w:hAnsiTheme="majorHAnsi" w:cs="Verdana"/>
          <w:sz w:val="20"/>
          <w:szCs w:val="20"/>
          <w:lang w:val="es-ES"/>
        </w:rPr>
        <w:t xml:space="preserve">En relación </w:t>
      </w:r>
      <w:r w:rsidR="009A5B18" w:rsidRPr="00386E47">
        <w:rPr>
          <w:rFonts w:asciiTheme="majorHAnsi" w:hAnsiTheme="majorHAnsi" w:cs="Verdana"/>
          <w:sz w:val="20"/>
          <w:szCs w:val="20"/>
          <w:lang w:val="es-ES"/>
        </w:rPr>
        <w:t>con la manera</w:t>
      </w:r>
      <w:r w:rsidRPr="00386E47">
        <w:rPr>
          <w:rFonts w:asciiTheme="majorHAnsi" w:hAnsiTheme="majorHAnsi" w:cs="Verdana"/>
          <w:sz w:val="20"/>
          <w:szCs w:val="20"/>
          <w:lang w:val="es-ES"/>
        </w:rPr>
        <w:t xml:space="preserve"> que es conducida una investigación</w:t>
      </w:r>
      <w:r w:rsidRPr="00386E47">
        <w:rPr>
          <w:rFonts w:asciiTheme="majorHAnsi" w:hAnsiTheme="majorHAnsi"/>
          <w:sz w:val="20"/>
          <w:szCs w:val="20"/>
          <w:lang w:val="es-ES"/>
        </w:rPr>
        <w:t>, la Corte Interamericana ha indicado que no corresponde sustituir a la jurisdicción interna estableciendo las modalidades específicas de investigación y juzgamiento en un caso concreto para obtener un mejor o más eficaz resultado, sino constatar si en los pasos efectivamente dados a nivel interno se violaron o no obligaciones internacionales del Estado</w:t>
      </w:r>
      <w:r w:rsidRPr="00386E47">
        <w:rPr>
          <w:rStyle w:val="FootnoteReference"/>
          <w:rFonts w:asciiTheme="majorHAnsi" w:hAnsiTheme="majorHAnsi"/>
          <w:color w:val="000000"/>
          <w:sz w:val="20"/>
          <w:szCs w:val="20"/>
          <w:lang w:val="es-ES"/>
        </w:rPr>
        <w:footnoteReference w:id="115"/>
      </w:r>
      <w:r w:rsidRPr="00386E47">
        <w:rPr>
          <w:rFonts w:asciiTheme="majorHAnsi" w:hAnsiTheme="majorHAnsi"/>
          <w:sz w:val="20"/>
          <w:szCs w:val="20"/>
          <w:lang w:val="es-ES"/>
        </w:rPr>
        <w:t>. En los casos cuyos hechos se refieren a la muerte violenta de una persona, la Corte ha indicado que la investigación iniciada debe ser conducida de tal forma que pudiese garantizar el debido análisis de las hipótesis de autoría surgidas a raíz de la misma</w:t>
      </w:r>
      <w:r w:rsidRPr="00386E47">
        <w:rPr>
          <w:rStyle w:val="FootnoteReference"/>
          <w:rFonts w:asciiTheme="majorHAnsi" w:hAnsiTheme="majorHAnsi"/>
          <w:sz w:val="20"/>
          <w:szCs w:val="20"/>
          <w:lang w:val="es-ES"/>
        </w:rPr>
        <w:footnoteReference w:id="116"/>
      </w:r>
      <w:r w:rsidRPr="00386E47">
        <w:rPr>
          <w:rFonts w:asciiTheme="majorHAnsi" w:hAnsiTheme="majorHAnsi"/>
          <w:sz w:val="20"/>
          <w:szCs w:val="20"/>
          <w:lang w:val="es-ES"/>
        </w:rPr>
        <w:t>. Asimismo, resulta necesario que la investigación sea conducida evitando omisiones en la recaudación de la prueba y en el seguimiento de líneas lógicas de investigación</w:t>
      </w:r>
      <w:r w:rsidRPr="00386E47">
        <w:rPr>
          <w:rStyle w:val="FootnoteReference"/>
          <w:rFonts w:asciiTheme="majorHAnsi" w:hAnsiTheme="majorHAnsi"/>
          <w:sz w:val="20"/>
          <w:szCs w:val="20"/>
          <w:lang w:val="es-ES"/>
        </w:rPr>
        <w:footnoteReference w:id="117"/>
      </w:r>
      <w:r w:rsidRPr="00386E47">
        <w:rPr>
          <w:rFonts w:asciiTheme="majorHAnsi" w:hAnsiTheme="majorHAnsi"/>
          <w:sz w:val="20"/>
          <w:szCs w:val="20"/>
          <w:lang w:val="es-ES"/>
        </w:rPr>
        <w:t xml:space="preserve">. </w:t>
      </w:r>
    </w:p>
    <w:p w14:paraId="786304DA" w14:textId="77777777" w:rsidR="002529BA" w:rsidRPr="00386E47" w:rsidRDefault="002529BA" w:rsidP="00A311A0">
      <w:pPr>
        <w:pStyle w:val="ListParagraph"/>
        <w:rPr>
          <w:rFonts w:asciiTheme="majorHAnsi" w:hAnsiTheme="majorHAnsi" w:cs="Verdana"/>
          <w:sz w:val="20"/>
          <w:szCs w:val="20"/>
          <w:lang w:val="es-ES"/>
        </w:rPr>
      </w:pPr>
    </w:p>
    <w:p w14:paraId="09BE0E05" w14:textId="77777777" w:rsidR="002529BA" w:rsidRPr="00386E47" w:rsidRDefault="002529BA" w:rsidP="003A5860">
      <w:pPr>
        <w:numPr>
          <w:ilvl w:val="0"/>
          <w:numId w:val="55"/>
        </w:numPr>
        <w:tabs>
          <w:tab w:val="left" w:pos="567"/>
        </w:tabs>
        <w:ind w:left="0" w:firstLine="0"/>
        <w:contextualSpacing/>
        <w:jc w:val="both"/>
        <w:rPr>
          <w:rFonts w:asciiTheme="majorHAnsi" w:hAnsiTheme="majorHAnsi" w:cs="Verdana"/>
          <w:sz w:val="20"/>
          <w:szCs w:val="20"/>
          <w:lang w:val="es-ES"/>
        </w:rPr>
      </w:pPr>
      <w:r w:rsidRPr="00386E47">
        <w:rPr>
          <w:rFonts w:asciiTheme="majorHAnsi" w:hAnsiTheme="majorHAnsi"/>
          <w:sz w:val="20"/>
          <w:szCs w:val="20"/>
          <w:lang w:val="es-ES"/>
        </w:rPr>
        <w:t xml:space="preserve">A ese respecto, el Estado tiene que </w:t>
      </w:r>
      <w:r w:rsidRPr="00386E47">
        <w:rPr>
          <w:rFonts w:asciiTheme="majorHAnsi" w:hAnsiTheme="majorHAnsi"/>
          <w:spacing w:val="-2"/>
          <w:sz w:val="20"/>
          <w:szCs w:val="20"/>
          <w:lang w:val="es-ES"/>
        </w:rPr>
        <w:t>demostrar que ha realizado una investigación inmediata, exhaustiva, seria e imparcial</w:t>
      </w:r>
      <w:r w:rsidRPr="00386E47">
        <w:rPr>
          <w:rStyle w:val="FootnoteReference"/>
          <w:rFonts w:asciiTheme="majorHAnsi" w:hAnsiTheme="majorHAnsi"/>
          <w:sz w:val="20"/>
          <w:szCs w:val="20"/>
          <w:lang w:val="es-ES"/>
        </w:rPr>
        <w:footnoteReference w:id="118"/>
      </w:r>
      <w:r w:rsidRPr="00386E47">
        <w:rPr>
          <w:rFonts w:asciiTheme="majorHAnsi" w:hAnsiTheme="majorHAnsi"/>
          <w:spacing w:val="-2"/>
          <w:sz w:val="20"/>
          <w:szCs w:val="20"/>
          <w:lang w:val="es-ES"/>
        </w:rPr>
        <w:t>,</w:t>
      </w:r>
      <w:r w:rsidRPr="00386E47">
        <w:rPr>
          <w:rFonts w:asciiTheme="majorHAnsi" w:hAnsiTheme="majorHAnsi"/>
          <w:sz w:val="20"/>
          <w:szCs w:val="20"/>
          <w:lang w:val="es-ES"/>
        </w:rPr>
        <w:t xml:space="preserve"> la cual debe estar orientada a explorar todas las líneas investigativas posibles que permitan la identificación de los autores del delito, para su posterior juzgamiento y sanción</w:t>
      </w:r>
      <w:r w:rsidRPr="00386E47">
        <w:rPr>
          <w:rStyle w:val="FootnoteReference"/>
          <w:rFonts w:asciiTheme="majorHAnsi" w:hAnsiTheme="majorHAnsi" w:cs="Arial"/>
          <w:sz w:val="20"/>
          <w:szCs w:val="20"/>
          <w:lang w:val="es-ES"/>
        </w:rPr>
        <w:footnoteReference w:id="119"/>
      </w:r>
      <w:r w:rsidRPr="00386E47">
        <w:rPr>
          <w:rFonts w:asciiTheme="majorHAnsi" w:hAnsiTheme="majorHAnsi"/>
          <w:sz w:val="20"/>
          <w:szCs w:val="20"/>
          <w:lang w:val="es-ES"/>
        </w:rPr>
        <w:t>. El Estado puede ser responsable por no “ordenar, practicar o valorar pruebas” que pueden ser fundamentales para el debido esclarecimiento de los hechos</w:t>
      </w:r>
      <w:r w:rsidRPr="00386E47">
        <w:rPr>
          <w:rStyle w:val="FootnoteReference"/>
          <w:rFonts w:asciiTheme="majorHAnsi" w:hAnsiTheme="majorHAnsi"/>
          <w:sz w:val="20"/>
          <w:szCs w:val="20"/>
          <w:lang w:val="es-ES"/>
        </w:rPr>
        <w:footnoteReference w:id="120"/>
      </w:r>
      <w:r w:rsidRPr="00386E47">
        <w:rPr>
          <w:rFonts w:asciiTheme="majorHAnsi" w:hAnsiTheme="majorHAnsi"/>
          <w:sz w:val="20"/>
          <w:szCs w:val="20"/>
          <w:lang w:val="es-ES"/>
        </w:rPr>
        <w:t>.</w:t>
      </w:r>
    </w:p>
    <w:p w14:paraId="5B2C7BCE" w14:textId="77777777" w:rsidR="002529BA" w:rsidRPr="00386E47" w:rsidRDefault="002529BA" w:rsidP="00A311A0">
      <w:pPr>
        <w:pStyle w:val="ListParagraph"/>
        <w:rPr>
          <w:rFonts w:asciiTheme="majorHAnsi" w:hAnsiTheme="majorHAnsi" w:cs="Verdana"/>
          <w:sz w:val="20"/>
          <w:szCs w:val="20"/>
          <w:lang w:val="es-ES"/>
        </w:rPr>
      </w:pPr>
    </w:p>
    <w:p w14:paraId="54966B32" w14:textId="77777777" w:rsidR="002529BA" w:rsidRPr="00386E47" w:rsidRDefault="002529B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De conformidad con los artículos 8 y 25 de la Convención Americana, el Estado de investigar violaciones a los derechos humanos y sancionar a sus responsables lo cual comprende asimismo el juzgamiento y castigo de aquellos que encubran los hechos o faciliten la impunidad de sus autores. En este sentido, la Corte Interamericana ha asegurado que “los funcionarios públicos y los particulares que entorpezcan, desvíen o dilaten indebidamente las investigaciones tendientes a aclarar la verdad de los hechos, deberán ser sancionados, aplicando al respecto, con el mayor rigor, las previsiones de la legislación interna”</w:t>
      </w:r>
      <w:r w:rsidRPr="00386E47">
        <w:rPr>
          <w:rFonts w:asciiTheme="majorHAnsi" w:eastAsia="Calibri" w:hAnsiTheme="majorHAnsi"/>
          <w:sz w:val="20"/>
          <w:szCs w:val="20"/>
          <w:vertAlign w:val="superscript"/>
          <w:lang w:val="es-AR"/>
        </w:rPr>
        <w:footnoteReference w:id="121"/>
      </w:r>
      <w:r w:rsidR="00544816" w:rsidRPr="00386E47">
        <w:rPr>
          <w:rFonts w:asciiTheme="majorHAnsi" w:eastAsia="Calibri" w:hAnsiTheme="majorHAnsi"/>
          <w:sz w:val="20"/>
          <w:szCs w:val="20"/>
          <w:lang w:val="es-AR"/>
        </w:rPr>
        <w:t>.</w:t>
      </w:r>
      <w:r w:rsidRPr="00386E47">
        <w:rPr>
          <w:rFonts w:asciiTheme="majorHAnsi" w:eastAsia="Calibri" w:hAnsiTheme="majorHAnsi"/>
          <w:sz w:val="20"/>
          <w:szCs w:val="20"/>
          <w:lang w:val="es-AR"/>
        </w:rPr>
        <w:t xml:space="preserve"> </w:t>
      </w:r>
    </w:p>
    <w:p w14:paraId="299B4371" w14:textId="77777777" w:rsidR="002529BA" w:rsidRPr="00386E47" w:rsidRDefault="002529BA" w:rsidP="00A311A0">
      <w:pPr>
        <w:rPr>
          <w:rFonts w:asciiTheme="majorHAnsi" w:hAnsiTheme="majorHAnsi" w:cs="Verdana"/>
          <w:sz w:val="20"/>
          <w:szCs w:val="20"/>
          <w:lang w:val="es-ES"/>
        </w:rPr>
      </w:pPr>
    </w:p>
    <w:p w14:paraId="44771D91" w14:textId="77777777" w:rsidR="00790369" w:rsidRPr="00386E47" w:rsidRDefault="002529BA" w:rsidP="003A5860">
      <w:pPr>
        <w:numPr>
          <w:ilvl w:val="0"/>
          <w:numId w:val="55"/>
        </w:numPr>
        <w:tabs>
          <w:tab w:val="left" w:pos="567"/>
        </w:tabs>
        <w:ind w:left="0" w:firstLine="0"/>
        <w:contextualSpacing/>
        <w:jc w:val="both"/>
        <w:rPr>
          <w:rFonts w:asciiTheme="majorHAnsi" w:hAnsiTheme="majorHAnsi" w:cs="Verdana"/>
          <w:sz w:val="20"/>
          <w:szCs w:val="20"/>
          <w:lang w:val="es-ES"/>
        </w:rPr>
      </w:pPr>
      <w:r w:rsidRPr="00386E47">
        <w:rPr>
          <w:rFonts w:asciiTheme="majorHAnsi" w:eastAsia="Calibri" w:hAnsiTheme="majorHAnsi"/>
          <w:sz w:val="20"/>
          <w:szCs w:val="20"/>
          <w:lang w:val="es-ES_tradnl"/>
        </w:rPr>
        <w:t>La</w:t>
      </w:r>
      <w:r w:rsidR="00790369" w:rsidRPr="00386E47">
        <w:rPr>
          <w:rFonts w:asciiTheme="majorHAnsi" w:eastAsia="Calibri" w:hAnsiTheme="majorHAnsi"/>
          <w:sz w:val="20"/>
          <w:szCs w:val="20"/>
          <w:lang w:val="es-ES_tradnl"/>
        </w:rPr>
        <w:t xml:space="preserve"> Comisión resalta que el deber de debida diligencia en las investigaciones por graves violaciones a los derechos humanos implica que los Estados tienen “la obligación de garantizar el derecho de las víctimas o sus familiares de participar en todas las etapas de los de manera que puedan hacer planteamientos, recibir informaciones, aportar pruebas, formular alegaciones y, en síntesis, hacer valer sus derechos”</w:t>
      </w:r>
      <w:r w:rsidR="00790369" w:rsidRPr="00386E47">
        <w:rPr>
          <w:rFonts w:asciiTheme="majorHAnsi" w:eastAsia="Calibri" w:hAnsiTheme="majorHAnsi"/>
          <w:sz w:val="20"/>
          <w:szCs w:val="20"/>
          <w:vertAlign w:val="superscript"/>
          <w:lang w:val="es-ES_tradnl"/>
        </w:rPr>
        <w:t xml:space="preserve"> </w:t>
      </w:r>
      <w:r w:rsidR="00790369" w:rsidRPr="00386E47">
        <w:rPr>
          <w:rFonts w:asciiTheme="majorHAnsi" w:eastAsia="Calibri" w:hAnsiTheme="majorHAnsi"/>
          <w:sz w:val="20"/>
          <w:szCs w:val="20"/>
          <w:vertAlign w:val="superscript"/>
          <w:lang w:val="es-ES_tradnl"/>
        </w:rPr>
        <w:footnoteReference w:id="122"/>
      </w:r>
      <w:r w:rsidR="00790369" w:rsidRPr="00386E47">
        <w:rPr>
          <w:rFonts w:asciiTheme="majorHAnsi" w:eastAsia="Calibri" w:hAnsiTheme="majorHAnsi"/>
          <w:sz w:val="20"/>
          <w:szCs w:val="20"/>
          <w:lang w:val="es-ES_tradnl"/>
        </w:rPr>
        <w:t xml:space="preserve">, con miras a asegurar el derecho de acceso a la justicia, el esclarecimiento de la verdad y la adjudicación de las medidas de </w:t>
      </w:r>
      <w:r w:rsidR="00790369" w:rsidRPr="00386E47">
        <w:rPr>
          <w:rFonts w:asciiTheme="majorHAnsi" w:eastAsia="Calibri" w:hAnsiTheme="majorHAnsi"/>
          <w:sz w:val="20"/>
          <w:szCs w:val="20"/>
          <w:lang w:val="es-ES_tradnl"/>
        </w:rPr>
        <w:lastRenderedPageBreak/>
        <w:t>reparación que el caso amerite. La Comisión remarca que el derecho de las víctimas de participar en las investigaciones se encuentra íntimamente vinculado a las posibilidades de que ellas y sus representantes puedan acceder de manera oportuna al expediente judicial</w:t>
      </w:r>
      <w:r w:rsidR="00790369" w:rsidRPr="00386E47">
        <w:rPr>
          <w:rFonts w:asciiTheme="majorHAnsi" w:eastAsia="Calibri" w:hAnsiTheme="majorHAnsi"/>
          <w:sz w:val="20"/>
          <w:szCs w:val="20"/>
          <w:vertAlign w:val="superscript"/>
          <w:lang w:val="es-ES_tradnl"/>
        </w:rPr>
        <w:footnoteReference w:id="123"/>
      </w:r>
      <w:r w:rsidR="00790369" w:rsidRPr="00386E47">
        <w:rPr>
          <w:rFonts w:asciiTheme="majorHAnsi" w:eastAsia="Calibri" w:hAnsiTheme="majorHAnsi"/>
          <w:sz w:val="20"/>
          <w:szCs w:val="20"/>
          <w:lang w:val="es-ES_tradnl"/>
        </w:rPr>
        <w:t>.</w:t>
      </w:r>
    </w:p>
    <w:p w14:paraId="28B62383" w14:textId="77777777" w:rsidR="002529BA" w:rsidRPr="00386E47" w:rsidRDefault="002529BA" w:rsidP="00A311A0">
      <w:pPr>
        <w:pStyle w:val="ListParagraph"/>
        <w:rPr>
          <w:rFonts w:asciiTheme="majorHAnsi" w:hAnsiTheme="majorHAnsi" w:cs="Verdana"/>
          <w:sz w:val="20"/>
          <w:szCs w:val="20"/>
          <w:lang w:val="es-ES"/>
        </w:rPr>
      </w:pPr>
    </w:p>
    <w:p w14:paraId="6E7D1847" w14:textId="77777777" w:rsidR="002529BA" w:rsidRPr="00386E47" w:rsidRDefault="000E35A2" w:rsidP="003A5860">
      <w:pPr>
        <w:numPr>
          <w:ilvl w:val="0"/>
          <w:numId w:val="55"/>
        </w:numPr>
        <w:tabs>
          <w:tab w:val="left" w:pos="567"/>
        </w:tabs>
        <w:ind w:left="0" w:firstLine="0"/>
        <w:contextualSpacing/>
        <w:jc w:val="both"/>
        <w:rPr>
          <w:rFonts w:asciiTheme="majorHAnsi" w:hAnsiTheme="majorHAnsi" w:cs="Verdana"/>
          <w:sz w:val="20"/>
          <w:szCs w:val="20"/>
          <w:lang w:val="es-AR"/>
        </w:rPr>
      </w:pPr>
      <w:r w:rsidRPr="00386E47">
        <w:rPr>
          <w:rFonts w:asciiTheme="majorHAnsi" w:hAnsiTheme="majorHAnsi" w:cs="Verdana"/>
          <w:sz w:val="20"/>
          <w:szCs w:val="20"/>
          <w:lang w:val="es-ES"/>
        </w:rPr>
        <w:t>La</w:t>
      </w:r>
      <w:r w:rsidR="00137B1C" w:rsidRPr="00386E47">
        <w:rPr>
          <w:rFonts w:asciiTheme="majorHAnsi" w:hAnsiTheme="majorHAnsi" w:cs="Verdana"/>
          <w:sz w:val="20"/>
          <w:szCs w:val="20"/>
          <w:lang w:val="es-ES"/>
        </w:rPr>
        <w:t xml:space="preserve"> Comisión recuerda que </w:t>
      </w:r>
      <w:r w:rsidR="00137B1C" w:rsidRPr="00386E47">
        <w:rPr>
          <w:rFonts w:asciiTheme="majorHAnsi" w:eastAsia="Times New Roman" w:hAnsiTheme="majorHAnsi"/>
          <w:color w:val="000000"/>
          <w:sz w:val="20"/>
          <w:szCs w:val="20"/>
          <w:shd w:val="clear" w:color="auto" w:fill="FFFFFF"/>
          <w:lang w:val="es-ES"/>
        </w:rPr>
        <w:t>el Estado tiene la obligación de realizar “</w:t>
      </w:r>
      <w:r w:rsidR="002529BA" w:rsidRPr="00386E47">
        <w:rPr>
          <w:rFonts w:asciiTheme="majorHAnsi" w:eastAsia="Times New Roman" w:hAnsiTheme="majorHAnsi"/>
          <w:color w:val="000000"/>
          <w:sz w:val="20"/>
          <w:szCs w:val="20"/>
          <w:shd w:val="clear" w:color="auto" w:fill="FFFFFF"/>
          <w:lang w:val="es-ES"/>
        </w:rPr>
        <w:t xml:space="preserve">efectiva la determinación de los  hechos que se investigan y, en su caso, de las correspondientes responsabilidades penales en tiempo razonable, por lo que, en atención a la necesidad de garantizar los derechos  de  las personas perjudicadas, una demora prolongada puede llegar a constituir, por sí misma, una violación de las garantías judiciales” </w:t>
      </w:r>
      <w:r w:rsidR="002529BA" w:rsidRPr="00386E47">
        <w:rPr>
          <w:rFonts w:asciiTheme="majorHAnsi" w:eastAsia="Times New Roman" w:hAnsiTheme="majorHAnsi"/>
          <w:color w:val="000000"/>
          <w:sz w:val="20"/>
          <w:szCs w:val="20"/>
          <w:shd w:val="clear" w:color="auto" w:fill="FFFFFF"/>
          <w:vertAlign w:val="superscript"/>
          <w:lang w:val="es-ES"/>
        </w:rPr>
        <w:footnoteReference w:id="124"/>
      </w:r>
      <w:r w:rsidR="00137B1C" w:rsidRPr="00386E47">
        <w:rPr>
          <w:rFonts w:asciiTheme="majorHAnsi" w:hAnsiTheme="majorHAnsi" w:cs="Verdana"/>
          <w:sz w:val="20"/>
          <w:szCs w:val="20"/>
          <w:lang w:val="es-ES"/>
        </w:rPr>
        <w:t>. En este sentido, la Corte Interamericana ha señalado que</w:t>
      </w:r>
      <w:r w:rsidR="002529BA" w:rsidRPr="00386E47">
        <w:rPr>
          <w:rFonts w:asciiTheme="majorHAnsi" w:eastAsia="Calibri" w:hAnsiTheme="majorHAnsi"/>
          <w:sz w:val="20"/>
          <w:szCs w:val="20"/>
          <w:lang w:val="es-ES"/>
        </w:rPr>
        <w:t xml:space="preserve"> “el derecho de acceso a la justicia </w:t>
      </w:r>
      <w:r w:rsidR="002529BA" w:rsidRPr="00386E47">
        <w:rPr>
          <w:rFonts w:asciiTheme="majorHAnsi" w:eastAsia="Calibri" w:hAnsiTheme="majorHAnsi"/>
          <w:sz w:val="20"/>
          <w:szCs w:val="20"/>
          <w:lang w:val="es-AR"/>
        </w:rPr>
        <w:t>no se agota con el trámite de procesos internos, sino que este debe asegurar, en tiempo razonable, el derecho de la presunta víctima o sus familiares a que se haga todo lo necesario para conocer la verdad de lo sucedido y para que se sancione a los eventuales responsables”</w:t>
      </w:r>
      <w:r w:rsidR="002529BA" w:rsidRPr="00386E47">
        <w:rPr>
          <w:rFonts w:asciiTheme="majorHAnsi" w:eastAsia="Calibri" w:hAnsiTheme="majorHAnsi"/>
          <w:sz w:val="20"/>
          <w:szCs w:val="20"/>
          <w:vertAlign w:val="superscript"/>
          <w:lang w:val="es-AR"/>
        </w:rPr>
        <w:footnoteReference w:id="125"/>
      </w:r>
      <w:r w:rsidR="002529BA" w:rsidRPr="00386E47">
        <w:rPr>
          <w:rFonts w:asciiTheme="majorHAnsi" w:eastAsia="Calibri" w:hAnsiTheme="majorHAnsi"/>
          <w:sz w:val="20"/>
          <w:szCs w:val="20"/>
          <w:lang w:val="es-AR"/>
        </w:rPr>
        <w:t xml:space="preserve">. </w:t>
      </w:r>
    </w:p>
    <w:p w14:paraId="501944C4" w14:textId="77777777" w:rsidR="000E35A2" w:rsidRPr="00386E47" w:rsidRDefault="000E35A2" w:rsidP="00A311A0">
      <w:pPr>
        <w:pStyle w:val="ListParagraph"/>
        <w:rPr>
          <w:rFonts w:asciiTheme="majorHAnsi" w:hAnsiTheme="majorHAnsi" w:cs="Verdana"/>
          <w:sz w:val="20"/>
          <w:szCs w:val="20"/>
          <w:lang w:val="es-AR"/>
        </w:rPr>
      </w:pPr>
    </w:p>
    <w:p w14:paraId="746FFF79" w14:textId="77777777" w:rsidR="000E35A2" w:rsidRPr="00386E47" w:rsidRDefault="000E35A2" w:rsidP="003A5860">
      <w:pPr>
        <w:numPr>
          <w:ilvl w:val="0"/>
          <w:numId w:val="55"/>
        </w:numPr>
        <w:tabs>
          <w:tab w:val="left" w:pos="567"/>
        </w:tabs>
        <w:ind w:left="0" w:firstLine="0"/>
        <w:contextualSpacing/>
        <w:jc w:val="both"/>
        <w:rPr>
          <w:rFonts w:asciiTheme="majorHAnsi" w:hAnsiTheme="majorHAnsi"/>
          <w:sz w:val="20"/>
          <w:szCs w:val="20"/>
          <w:lang w:val="es-ES"/>
        </w:rPr>
      </w:pPr>
      <w:r w:rsidRPr="00386E47">
        <w:rPr>
          <w:rFonts w:asciiTheme="majorHAnsi" w:hAnsiTheme="majorHAnsi"/>
          <w:sz w:val="20"/>
          <w:szCs w:val="20"/>
          <w:lang w:val="es-ES"/>
        </w:rPr>
        <w:t>Finalmente, la Comisión resalta que el</w:t>
      </w:r>
      <w:r w:rsidRPr="00386E47">
        <w:rPr>
          <w:rFonts w:asciiTheme="majorHAnsi" w:eastAsia="Calibri" w:hAnsiTheme="majorHAnsi"/>
          <w:sz w:val="20"/>
          <w:szCs w:val="20"/>
          <w:lang w:val="es-ES_tradnl"/>
        </w:rPr>
        <w:t xml:space="preserve"> proceso judicial debe ser concluido en un plazo razonable a efectos de no frustrar el derecho de las víctimas de conocer la verdad y de que se sancione a los responsables de las violaciones</w:t>
      </w:r>
      <w:r w:rsidRPr="00386E47">
        <w:rPr>
          <w:rFonts w:asciiTheme="majorHAnsi" w:eastAsia="Calibri" w:hAnsiTheme="majorHAnsi"/>
          <w:sz w:val="20"/>
          <w:szCs w:val="20"/>
          <w:vertAlign w:val="superscript"/>
          <w:lang w:val="es-ES_tradnl"/>
        </w:rPr>
        <w:footnoteReference w:id="126"/>
      </w:r>
      <w:r w:rsidRPr="00386E47">
        <w:rPr>
          <w:rFonts w:asciiTheme="majorHAnsi" w:eastAsia="Calibri" w:hAnsiTheme="majorHAnsi"/>
          <w:sz w:val="20"/>
          <w:szCs w:val="20"/>
          <w:lang w:val="es-ES_tradnl"/>
        </w:rPr>
        <w:t xml:space="preserve">. </w:t>
      </w:r>
      <w:r w:rsidRPr="00386E47">
        <w:rPr>
          <w:rFonts w:asciiTheme="majorHAnsi" w:hAnsiTheme="majorHAnsi"/>
          <w:sz w:val="20"/>
          <w:szCs w:val="20"/>
          <w:lang w:val="es-ES"/>
        </w:rPr>
        <w:t xml:space="preserve"> </w:t>
      </w:r>
      <w:r w:rsidRPr="00386E47">
        <w:rPr>
          <w:rFonts w:asciiTheme="majorHAnsi" w:eastAsia="Calibri" w:hAnsiTheme="majorHAnsi"/>
          <w:sz w:val="20"/>
          <w:szCs w:val="20"/>
          <w:lang w:val="es-AR"/>
        </w:rPr>
        <w:t>Los órganos del sistema interamericano han tomado en consideración tres criterios para determinar si existe una violación a la garantía del plazo razonable, a saber: a) la complejidad del asunto; b) la conducta de las autoridades judiciales y c) la actividad procesal del interesado</w:t>
      </w:r>
      <w:r w:rsidRPr="00386E47">
        <w:rPr>
          <w:rFonts w:asciiTheme="majorHAnsi" w:eastAsia="Calibri" w:hAnsiTheme="majorHAnsi"/>
          <w:sz w:val="20"/>
          <w:szCs w:val="20"/>
          <w:vertAlign w:val="superscript"/>
          <w:lang w:val="es-AR"/>
        </w:rPr>
        <w:footnoteReference w:id="127"/>
      </w:r>
      <w:r w:rsidRPr="00386E47">
        <w:rPr>
          <w:rFonts w:asciiTheme="majorHAnsi" w:eastAsia="Calibri" w:hAnsiTheme="majorHAnsi"/>
          <w:sz w:val="20"/>
          <w:szCs w:val="20"/>
          <w:lang w:val="es-AR"/>
        </w:rPr>
        <w:t>. Asimismo, la Corte IDH ha establecido que el plazo de tramitación del proceso debe evaluarse en función de la duración total del mismo, es decir, desde el primer acto procesal hasta que se dicta sentencia definitiva</w:t>
      </w:r>
      <w:r w:rsidRPr="00386E47">
        <w:rPr>
          <w:rFonts w:asciiTheme="majorHAnsi" w:eastAsia="Calibri" w:hAnsiTheme="majorHAnsi"/>
          <w:sz w:val="20"/>
          <w:szCs w:val="20"/>
          <w:vertAlign w:val="superscript"/>
          <w:lang w:val="es-AR"/>
        </w:rPr>
        <w:footnoteReference w:id="128"/>
      </w:r>
      <w:r w:rsidRPr="00386E47">
        <w:rPr>
          <w:rFonts w:asciiTheme="majorHAnsi" w:eastAsia="Calibri" w:hAnsiTheme="majorHAnsi"/>
          <w:sz w:val="20"/>
          <w:szCs w:val="20"/>
          <w:lang w:val="es-AR"/>
        </w:rPr>
        <w:t xml:space="preserve">. </w:t>
      </w:r>
    </w:p>
    <w:p w14:paraId="07A8B0DC" w14:textId="77777777" w:rsidR="000E35A2" w:rsidRPr="00386E47" w:rsidRDefault="000E35A2" w:rsidP="00A311A0">
      <w:pPr>
        <w:tabs>
          <w:tab w:val="left" w:pos="567"/>
        </w:tabs>
        <w:contextualSpacing/>
        <w:jc w:val="both"/>
        <w:rPr>
          <w:rFonts w:asciiTheme="majorHAnsi" w:hAnsiTheme="majorHAnsi" w:cs="Verdana"/>
          <w:sz w:val="20"/>
          <w:szCs w:val="20"/>
          <w:lang w:val="es-AR"/>
        </w:rPr>
      </w:pPr>
    </w:p>
    <w:p w14:paraId="6D958A9C" w14:textId="77777777" w:rsidR="000E35A2" w:rsidRPr="00386E47" w:rsidRDefault="000E35A2"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Además de los tres mencionados criterios, resulta necesario evaluar el interés en juego y la afectación generada por la duración del procedimiento en la situación individual de la persona involucrada. Sobre este extremo, la Corte IDH ha precisado que “se debe tomar en cuenta la afectación generada por la duración del procedimiento en la situación jurídica de la persona involucrada en el mismo, considerando, entre otros elementos la materia objeto de controversia. Si el paso del tiempo incide de manera relevante en la situación jurídica del individuo, resultara necesario que el procedimiento corra con más diligencia a fin de que el caso se resuelva en un tiempo breve”</w:t>
      </w:r>
      <w:r w:rsidRPr="00386E47">
        <w:rPr>
          <w:rFonts w:asciiTheme="majorHAnsi" w:eastAsia="Calibri" w:hAnsiTheme="majorHAnsi"/>
          <w:sz w:val="20"/>
          <w:szCs w:val="20"/>
          <w:vertAlign w:val="superscript"/>
          <w:lang w:val="es-AR"/>
        </w:rPr>
        <w:footnoteReference w:id="129"/>
      </w:r>
      <w:r w:rsidRPr="00386E47">
        <w:rPr>
          <w:rFonts w:asciiTheme="majorHAnsi" w:eastAsia="Calibri" w:hAnsiTheme="majorHAnsi"/>
          <w:sz w:val="20"/>
          <w:szCs w:val="20"/>
          <w:lang w:val="es-AR"/>
        </w:rPr>
        <w:t xml:space="preserve">. </w:t>
      </w:r>
    </w:p>
    <w:p w14:paraId="1CF386B3" w14:textId="77777777" w:rsidR="000E35A2" w:rsidRPr="00386E47" w:rsidRDefault="000E35A2" w:rsidP="000E35A2">
      <w:pPr>
        <w:tabs>
          <w:tab w:val="left" w:pos="567"/>
        </w:tabs>
        <w:contextualSpacing/>
        <w:jc w:val="both"/>
        <w:rPr>
          <w:rFonts w:asciiTheme="majorHAnsi" w:eastAsia="Calibri" w:hAnsiTheme="majorHAnsi"/>
          <w:sz w:val="20"/>
          <w:szCs w:val="20"/>
          <w:lang w:val="es-AR"/>
        </w:rPr>
      </w:pPr>
    </w:p>
    <w:p w14:paraId="4583369A" w14:textId="77777777" w:rsidR="000E35A2" w:rsidRPr="00386E47" w:rsidRDefault="000E35A2"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Times New Roman" w:hAnsiTheme="majorHAnsi"/>
          <w:sz w:val="20"/>
          <w:szCs w:val="20"/>
          <w:lang w:val="es-ES"/>
        </w:rPr>
        <w:t>En cuanto a la carga argumentativa y probatoria sobre la razonabilidad del plazo, la Comisión ha indicado que corresponde al Estado exponer y probar el motivo por la cual se ha requerido más tiempo del razonable para dictar sentencia definitiva en un caso particular</w:t>
      </w:r>
      <w:r w:rsidRPr="00386E47">
        <w:rPr>
          <w:rFonts w:asciiTheme="majorHAnsi" w:eastAsia="Times New Roman" w:hAnsiTheme="majorHAnsi"/>
          <w:sz w:val="20"/>
          <w:szCs w:val="20"/>
          <w:vertAlign w:val="superscript"/>
          <w:lang w:val="es-ES"/>
        </w:rPr>
        <w:footnoteReference w:id="130"/>
      </w:r>
      <w:r w:rsidRPr="00386E47">
        <w:rPr>
          <w:rFonts w:asciiTheme="majorHAnsi" w:eastAsia="Times New Roman" w:hAnsiTheme="majorHAnsi"/>
          <w:sz w:val="20"/>
          <w:szCs w:val="20"/>
          <w:lang w:val="es-ES"/>
        </w:rPr>
        <w:t>. En la misma línea, la Corte ha indicado que corresponde al Estado justificar, con fundamento en los criterios señalados, la razón por la cual la tramitación del caso ha insumido un tiempo prolongado y, en la eventualidad de que éste no lo demuestre, la Corte tiene amplias atribuciones para hacer su propia estimación al respecto</w:t>
      </w:r>
      <w:r w:rsidRPr="00386E47">
        <w:rPr>
          <w:rFonts w:asciiTheme="majorHAnsi" w:eastAsia="Times New Roman" w:hAnsiTheme="majorHAnsi"/>
          <w:sz w:val="20"/>
          <w:szCs w:val="20"/>
          <w:vertAlign w:val="superscript"/>
          <w:lang w:val="es-ES"/>
        </w:rPr>
        <w:footnoteReference w:id="131"/>
      </w:r>
      <w:r w:rsidRPr="00386E47">
        <w:rPr>
          <w:rFonts w:asciiTheme="majorHAnsi" w:eastAsia="Times New Roman" w:hAnsiTheme="majorHAnsi"/>
          <w:sz w:val="20"/>
          <w:szCs w:val="20"/>
          <w:lang w:val="es-ES"/>
        </w:rPr>
        <w:t>.</w:t>
      </w:r>
    </w:p>
    <w:p w14:paraId="55D286EA" w14:textId="77777777" w:rsidR="00790369" w:rsidRPr="00386E47" w:rsidRDefault="00790369" w:rsidP="00A311A0">
      <w:pPr>
        <w:rPr>
          <w:rFonts w:asciiTheme="majorHAnsi" w:eastAsia="Calibri" w:hAnsiTheme="majorHAnsi"/>
          <w:sz w:val="20"/>
          <w:szCs w:val="20"/>
          <w:lang w:val="es-ES_tradnl"/>
        </w:rPr>
      </w:pPr>
    </w:p>
    <w:p w14:paraId="088E981A" w14:textId="77777777" w:rsidR="00790369" w:rsidRPr="00386E47" w:rsidRDefault="0092045B" w:rsidP="009146F2">
      <w:pPr>
        <w:pStyle w:val="ListParagraph"/>
        <w:numPr>
          <w:ilvl w:val="0"/>
          <w:numId w:val="61"/>
        </w:numPr>
        <w:rPr>
          <w:rFonts w:asciiTheme="majorHAnsi" w:eastAsia="Calibri" w:hAnsiTheme="majorHAnsi"/>
          <w:b/>
          <w:sz w:val="20"/>
          <w:szCs w:val="20"/>
          <w:lang w:val="es-ES_tradnl"/>
        </w:rPr>
      </w:pPr>
      <w:r w:rsidRPr="00386E47">
        <w:rPr>
          <w:rFonts w:asciiTheme="majorHAnsi" w:eastAsia="Calibri" w:hAnsiTheme="majorHAnsi"/>
          <w:b/>
          <w:sz w:val="20"/>
          <w:szCs w:val="20"/>
          <w:lang w:val="es-ES_tradnl"/>
        </w:rPr>
        <w:t>El</w:t>
      </w:r>
      <w:r w:rsidR="00790369" w:rsidRPr="00386E47">
        <w:rPr>
          <w:rFonts w:asciiTheme="majorHAnsi" w:eastAsia="Calibri" w:hAnsiTheme="majorHAnsi"/>
          <w:b/>
          <w:sz w:val="20"/>
          <w:szCs w:val="20"/>
          <w:lang w:val="es-ES_tradnl"/>
        </w:rPr>
        <w:t xml:space="preserve"> deber de investigar y sancionar</w:t>
      </w:r>
      <w:r w:rsidRPr="00386E47">
        <w:rPr>
          <w:rFonts w:asciiTheme="majorHAnsi" w:eastAsia="Calibri" w:hAnsiTheme="majorHAnsi"/>
          <w:b/>
          <w:sz w:val="20"/>
          <w:szCs w:val="20"/>
          <w:lang w:val="es-ES_tradnl"/>
        </w:rPr>
        <w:t xml:space="preserve"> a los responsables de actos terroristas</w:t>
      </w:r>
    </w:p>
    <w:p w14:paraId="616DCFCC" w14:textId="77777777" w:rsidR="00790369" w:rsidRPr="00386E47" w:rsidRDefault="00790369" w:rsidP="00790369">
      <w:pPr>
        <w:pStyle w:val="ListParagraph"/>
        <w:rPr>
          <w:rFonts w:asciiTheme="majorHAnsi" w:eastAsia="Calibri" w:hAnsiTheme="majorHAnsi"/>
          <w:sz w:val="20"/>
          <w:szCs w:val="20"/>
          <w:lang w:val="es-ES_tradnl"/>
        </w:rPr>
      </w:pPr>
    </w:p>
    <w:p w14:paraId="4CC9A158" w14:textId="77777777" w:rsidR="00790369" w:rsidRPr="00386E47" w:rsidRDefault="00790369"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Específicamente en el contexto de la lugar contra el terrorismo, </w:t>
      </w:r>
      <w:r w:rsidRPr="00386E47" w:rsidDel="00672ABF">
        <w:rPr>
          <w:rFonts w:asciiTheme="majorHAnsi" w:eastAsia="Calibri" w:hAnsiTheme="majorHAnsi"/>
          <w:sz w:val="20"/>
          <w:szCs w:val="20"/>
          <w:lang w:val="es-ES_tradnl"/>
        </w:rPr>
        <w:t>conforme la Convención Interamericana contra el Terrorismo, los Estados signatarios – entre los que se encuentra el Estado argentino – asumieron el compromiso de “adoptar las medidas necesarias y fortalecer la cooperación entre ellos” a efectos de prevenir, sancionar y eliminar el fenómeno delictivo del terrorismo</w:t>
      </w:r>
      <w:r w:rsidR="00473F91" w:rsidRPr="00386E47">
        <w:rPr>
          <w:rStyle w:val="FootnoteReference"/>
          <w:rFonts w:asciiTheme="majorHAnsi" w:eastAsia="Calibri" w:hAnsiTheme="majorHAnsi"/>
          <w:sz w:val="20"/>
          <w:szCs w:val="20"/>
          <w:lang w:val="es-ES_tradnl"/>
        </w:rPr>
        <w:footnoteReference w:id="132"/>
      </w:r>
      <w:r w:rsidRPr="00386E47" w:rsidDel="00672ABF">
        <w:rPr>
          <w:rFonts w:asciiTheme="majorHAnsi" w:eastAsia="Calibri" w:hAnsiTheme="majorHAnsi"/>
          <w:sz w:val="20"/>
          <w:szCs w:val="20"/>
          <w:lang w:val="es-ES_tradnl"/>
        </w:rPr>
        <w:t>. En el mismo sentido, la Comisión en su informe sobre Terrorismo y Derechos Humanos puso de relieve que “los Estados miembros de la OEA están obligados a garantizar la seguridad de sus poblaciones, que incluye las medidas necesarias para investigar, juzgar y castigar los actos terroristas”</w:t>
      </w:r>
      <w:r w:rsidR="00A57D5E" w:rsidRPr="00386E47">
        <w:rPr>
          <w:rStyle w:val="FootnoteReference"/>
          <w:rFonts w:asciiTheme="majorHAnsi" w:eastAsia="Calibri" w:hAnsiTheme="majorHAnsi"/>
          <w:sz w:val="20"/>
          <w:szCs w:val="20"/>
          <w:lang w:val="es-ES_tradnl"/>
        </w:rPr>
        <w:footnoteReference w:id="133"/>
      </w:r>
    </w:p>
    <w:p w14:paraId="6E3F9DCF" w14:textId="77777777" w:rsidR="00790369" w:rsidRPr="00386E47" w:rsidRDefault="00790369" w:rsidP="00790369">
      <w:pPr>
        <w:pStyle w:val="ListParagraph"/>
        <w:rPr>
          <w:rFonts w:asciiTheme="majorHAnsi" w:eastAsia="Calibri" w:hAnsiTheme="majorHAnsi"/>
          <w:sz w:val="20"/>
          <w:szCs w:val="20"/>
          <w:lang w:val="es-ES_tradnl"/>
        </w:rPr>
      </w:pPr>
    </w:p>
    <w:p w14:paraId="1995FD2C" w14:textId="77777777" w:rsidR="00790369" w:rsidRPr="00386E47" w:rsidRDefault="00790369"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El Relator Especial sobre la promoción y la protección de los derechos humanos y las libertades fundamentales en la lucha contra el terrorismo, Ben Emmerson, se ha referido a una serie de requisitos mínimos que para investigar actos terroristas, los cuales incluyen</w:t>
      </w:r>
      <w:r w:rsidRPr="00386E47">
        <w:rPr>
          <w:rStyle w:val="FootnoteReference"/>
          <w:rFonts w:asciiTheme="majorHAnsi" w:eastAsia="Calibri" w:hAnsiTheme="majorHAnsi"/>
          <w:sz w:val="20"/>
          <w:szCs w:val="20"/>
          <w:lang w:val="es-ES_tradnl"/>
        </w:rPr>
        <w:footnoteReference w:id="134"/>
      </w:r>
    </w:p>
    <w:p w14:paraId="2A1E34E9" w14:textId="77777777" w:rsidR="00790369" w:rsidRPr="00386E47" w:rsidRDefault="00790369" w:rsidP="009A5B18">
      <w:pPr>
        <w:jc w:val="both"/>
        <w:rPr>
          <w:rFonts w:asciiTheme="majorHAnsi" w:eastAsia="Calibri" w:hAnsiTheme="majorHAnsi"/>
          <w:sz w:val="18"/>
          <w:szCs w:val="18"/>
          <w:lang w:val="es-ES_tradnl"/>
        </w:rPr>
      </w:pPr>
    </w:p>
    <w:p w14:paraId="63E0A3C3" w14:textId="77777777" w:rsidR="00790369" w:rsidRPr="00386E47" w:rsidRDefault="00790369" w:rsidP="009A5B18">
      <w:pPr>
        <w:pStyle w:val="ListParagraph"/>
        <w:numPr>
          <w:ilvl w:val="0"/>
          <w:numId w:val="58"/>
        </w:numPr>
        <w:tabs>
          <w:tab w:val="left" w:pos="567"/>
        </w:tabs>
        <w:ind w:left="851" w:right="360" w:hanging="284"/>
        <w:contextualSpacing/>
        <w:jc w:val="both"/>
        <w:rPr>
          <w:rFonts w:asciiTheme="majorHAnsi" w:hAnsiTheme="majorHAnsi"/>
          <w:sz w:val="18"/>
          <w:szCs w:val="18"/>
          <w:lang w:val="es-US"/>
        </w:rPr>
      </w:pPr>
      <w:r w:rsidRPr="00386E47">
        <w:rPr>
          <w:rFonts w:asciiTheme="majorHAnsi" w:hAnsiTheme="majorHAnsi"/>
          <w:sz w:val="18"/>
          <w:szCs w:val="18"/>
          <w:lang w:val="es-US"/>
        </w:rPr>
        <w:t xml:space="preserve">Actuar de </w:t>
      </w:r>
      <w:r w:rsidRPr="00386E47">
        <w:rPr>
          <w:rFonts w:asciiTheme="majorHAnsi" w:eastAsia="Calibri" w:hAnsiTheme="majorHAnsi"/>
          <w:sz w:val="18"/>
          <w:szCs w:val="18"/>
          <w:lang w:val="es-ES_tradnl"/>
        </w:rPr>
        <w:t>oficio y no esperar que los familiares del difunto presenten una denuncia formal.</w:t>
      </w:r>
    </w:p>
    <w:p w14:paraId="3BF756DE" w14:textId="77777777" w:rsidR="00790369" w:rsidRPr="00386E47" w:rsidRDefault="00790369" w:rsidP="009A5B18">
      <w:pPr>
        <w:pStyle w:val="ListParagraph"/>
        <w:numPr>
          <w:ilvl w:val="0"/>
          <w:numId w:val="58"/>
        </w:numPr>
        <w:tabs>
          <w:tab w:val="left" w:pos="567"/>
        </w:tabs>
        <w:ind w:left="851" w:right="360" w:hanging="284"/>
        <w:contextualSpacing/>
        <w:jc w:val="both"/>
        <w:rPr>
          <w:rFonts w:asciiTheme="majorHAnsi" w:hAnsiTheme="majorHAnsi"/>
          <w:sz w:val="18"/>
          <w:szCs w:val="18"/>
          <w:lang w:val="es-US"/>
        </w:rPr>
      </w:pPr>
      <w:r w:rsidRPr="00386E47">
        <w:rPr>
          <w:rFonts w:asciiTheme="majorHAnsi" w:eastAsia="Calibri" w:hAnsiTheme="majorHAnsi"/>
          <w:sz w:val="18"/>
          <w:szCs w:val="18"/>
          <w:lang w:val="es-ES_tradnl"/>
        </w:rPr>
        <w:t>Comenzar</w:t>
      </w:r>
      <w:r w:rsidRPr="00386E47">
        <w:rPr>
          <w:rFonts w:asciiTheme="majorHAnsi" w:hAnsiTheme="majorHAnsi"/>
          <w:sz w:val="18"/>
          <w:szCs w:val="18"/>
          <w:lang w:val="es-US"/>
        </w:rPr>
        <w:t xml:space="preserve"> prontamente, debido a que es más probable que en una </w:t>
      </w:r>
      <w:r w:rsidRPr="00386E47">
        <w:rPr>
          <w:rFonts w:asciiTheme="majorHAnsi" w:eastAsia="Calibri" w:hAnsiTheme="majorHAnsi"/>
          <w:sz w:val="18"/>
          <w:szCs w:val="18"/>
          <w:lang w:val="es-ES_tradnl"/>
        </w:rPr>
        <w:t xml:space="preserve">investigación oportuna se obtengan pruebas dignas de crédito. </w:t>
      </w:r>
    </w:p>
    <w:p w14:paraId="1ACC5320" w14:textId="77777777" w:rsidR="00790369" w:rsidRPr="00386E47" w:rsidRDefault="00790369" w:rsidP="009A5B18">
      <w:pPr>
        <w:pStyle w:val="ListParagraph"/>
        <w:numPr>
          <w:ilvl w:val="0"/>
          <w:numId w:val="58"/>
        </w:numPr>
        <w:tabs>
          <w:tab w:val="left" w:pos="567"/>
        </w:tabs>
        <w:ind w:left="851" w:right="360" w:hanging="284"/>
        <w:contextualSpacing/>
        <w:jc w:val="both"/>
        <w:rPr>
          <w:rFonts w:asciiTheme="majorHAnsi" w:eastAsia="Calibri" w:hAnsiTheme="majorHAnsi"/>
          <w:sz w:val="18"/>
          <w:szCs w:val="18"/>
          <w:lang w:val="es-ES_tradnl"/>
        </w:rPr>
      </w:pPr>
      <w:r w:rsidRPr="00386E47">
        <w:rPr>
          <w:rFonts w:asciiTheme="majorHAnsi" w:eastAsia="Calibri" w:hAnsiTheme="majorHAnsi"/>
          <w:sz w:val="18"/>
          <w:szCs w:val="18"/>
          <w:lang w:val="es-ES_tradnl"/>
        </w:rPr>
        <w:t>Una vez abierta una investigación, las autoridades deben cerciorarse de mantener a los familiares plenamente informados de su marcha y de darles una oportunidad adecuada de participar.</w:t>
      </w:r>
    </w:p>
    <w:p w14:paraId="2B9DA940" w14:textId="77777777" w:rsidR="00790369" w:rsidRPr="00386E47" w:rsidRDefault="00790369" w:rsidP="009A5B18">
      <w:pPr>
        <w:pStyle w:val="ListParagraph"/>
        <w:numPr>
          <w:ilvl w:val="0"/>
          <w:numId w:val="58"/>
        </w:numPr>
        <w:tabs>
          <w:tab w:val="left" w:pos="567"/>
        </w:tabs>
        <w:ind w:left="851" w:right="360" w:hanging="284"/>
        <w:contextualSpacing/>
        <w:jc w:val="both"/>
        <w:rPr>
          <w:rFonts w:asciiTheme="majorHAnsi" w:eastAsia="Calibri" w:hAnsiTheme="majorHAnsi"/>
          <w:sz w:val="18"/>
          <w:szCs w:val="18"/>
          <w:lang w:val="es-ES_tradnl"/>
        </w:rPr>
      </w:pPr>
      <w:r w:rsidRPr="00386E47">
        <w:rPr>
          <w:rFonts w:asciiTheme="majorHAnsi" w:eastAsia="Calibri" w:hAnsiTheme="majorHAnsi"/>
          <w:sz w:val="18"/>
          <w:szCs w:val="18"/>
          <w:lang w:val="es-ES_tradnl"/>
        </w:rPr>
        <w:t>La investigación debe culminar en la identificación y el castigo de los responsables. El principio de la rendición de cuentas se extiende a las situaciones en que se denuncie que funcionarios públicos han causado la muerte o lesiones mediante el empleo negligente de fuer</w:t>
      </w:r>
      <w:r w:rsidR="0001484F" w:rsidRPr="00386E47">
        <w:rPr>
          <w:rFonts w:asciiTheme="majorHAnsi" w:eastAsia="Calibri" w:hAnsiTheme="majorHAnsi"/>
          <w:sz w:val="18"/>
          <w:szCs w:val="18"/>
          <w:lang w:val="es-ES_tradnl"/>
        </w:rPr>
        <w:t xml:space="preserve">za letal o, por negligencia, no </w:t>
      </w:r>
      <w:r w:rsidRPr="00386E47">
        <w:rPr>
          <w:rFonts w:asciiTheme="majorHAnsi" w:eastAsia="Calibri" w:hAnsiTheme="majorHAnsi"/>
          <w:sz w:val="18"/>
          <w:szCs w:val="18"/>
          <w:lang w:val="es-ES_tradnl"/>
        </w:rPr>
        <w:t>han prevenido un acto terrorista.</w:t>
      </w:r>
    </w:p>
    <w:p w14:paraId="5A72BFAF" w14:textId="77777777" w:rsidR="00790369" w:rsidRPr="00386E47" w:rsidRDefault="00790369" w:rsidP="0001484F">
      <w:pPr>
        <w:pStyle w:val="ListParagraph"/>
        <w:numPr>
          <w:ilvl w:val="0"/>
          <w:numId w:val="58"/>
        </w:numPr>
        <w:tabs>
          <w:tab w:val="left" w:pos="567"/>
          <w:tab w:val="left" w:pos="8505"/>
        </w:tabs>
        <w:ind w:left="810" w:right="360" w:hanging="270"/>
        <w:contextualSpacing/>
        <w:jc w:val="both"/>
        <w:rPr>
          <w:rFonts w:asciiTheme="majorHAnsi" w:eastAsia="Calibri" w:hAnsiTheme="majorHAnsi"/>
          <w:sz w:val="18"/>
          <w:szCs w:val="18"/>
          <w:lang w:val="es-ES_tradnl"/>
        </w:rPr>
      </w:pPr>
      <w:r w:rsidRPr="00386E47">
        <w:rPr>
          <w:rFonts w:asciiTheme="majorHAnsi" w:eastAsia="Calibri" w:hAnsiTheme="majorHAnsi"/>
          <w:sz w:val="18"/>
          <w:szCs w:val="18"/>
          <w:lang w:val="es-ES_tradnl"/>
        </w:rPr>
        <w:t xml:space="preserve"> En los casos en que esté en juego la responsabilidad del Estado, las autoridades que efectúan la investigación deben ser totalmente independientes de quienes puedan estar implicados en los hechos, lo que significa no solo que no haya una relación jerárquica o institucional sino también que haya independencia en la práctica.</w:t>
      </w:r>
    </w:p>
    <w:p w14:paraId="7F3088B1" w14:textId="77777777" w:rsidR="00790369" w:rsidRPr="00386E47" w:rsidRDefault="00790369" w:rsidP="0001484F">
      <w:pPr>
        <w:pStyle w:val="ListParagraph"/>
        <w:numPr>
          <w:ilvl w:val="0"/>
          <w:numId w:val="58"/>
        </w:numPr>
        <w:tabs>
          <w:tab w:val="left" w:pos="567"/>
          <w:tab w:val="left" w:pos="8505"/>
        </w:tabs>
        <w:ind w:left="810" w:right="360" w:hanging="270"/>
        <w:contextualSpacing/>
        <w:jc w:val="both"/>
        <w:rPr>
          <w:rFonts w:asciiTheme="majorHAnsi" w:eastAsia="Calibri" w:hAnsiTheme="majorHAnsi"/>
          <w:sz w:val="18"/>
          <w:szCs w:val="18"/>
          <w:lang w:val="es-ES_tradnl"/>
        </w:rPr>
      </w:pPr>
      <w:r w:rsidRPr="00386E47">
        <w:rPr>
          <w:rFonts w:asciiTheme="majorHAnsi" w:eastAsia="Calibri" w:hAnsiTheme="majorHAnsi"/>
          <w:sz w:val="18"/>
          <w:szCs w:val="18"/>
          <w:lang w:val="es-ES_tradnl"/>
        </w:rPr>
        <w:t xml:space="preserve">Debe haber un elemento suficiente de examen público de la investigación y sus resultados de manera de rendir cuentas a la población. </w:t>
      </w:r>
    </w:p>
    <w:p w14:paraId="03F8F2A1" w14:textId="77777777" w:rsidR="00790369" w:rsidRPr="00386E47" w:rsidRDefault="00790369" w:rsidP="0001484F">
      <w:pPr>
        <w:pStyle w:val="ListParagraph"/>
        <w:numPr>
          <w:ilvl w:val="0"/>
          <w:numId w:val="58"/>
        </w:numPr>
        <w:tabs>
          <w:tab w:val="left" w:pos="567"/>
          <w:tab w:val="left" w:pos="8505"/>
        </w:tabs>
        <w:ind w:left="810" w:right="360" w:hanging="270"/>
        <w:contextualSpacing/>
        <w:jc w:val="both"/>
        <w:rPr>
          <w:rFonts w:asciiTheme="majorHAnsi" w:eastAsia="Calibri" w:hAnsiTheme="majorHAnsi"/>
          <w:sz w:val="18"/>
          <w:szCs w:val="18"/>
          <w:lang w:val="es-ES_tradnl"/>
        </w:rPr>
      </w:pPr>
      <w:r w:rsidRPr="00386E47">
        <w:rPr>
          <w:rFonts w:asciiTheme="majorHAnsi" w:eastAsia="Calibri" w:hAnsiTheme="majorHAnsi"/>
          <w:sz w:val="18"/>
          <w:szCs w:val="18"/>
          <w:lang w:val="es-ES_tradnl"/>
        </w:rPr>
        <w:t>Las autoridades deben haber tomado medidas razonables para obtener y evaluar todas las pruebas que puedan ser pertinentes. Los investigadores deben encomendar los informes forenses y de autopsia necesarios, en que figure una relación completa y objetiva de los resultados científicos; deben registrar todos los elementos de prueba que puedan ser pertinentes; efectuar visitas al lugar de los hechos e identificar e interrogar a todos los testigos pertinentes y obtener de ellos completas declaraciones escritas. Las conclusiones deben basarse en un análisis completo, objetivo e imparcial de las pruebas, que incluya un examen de los actos de las propias autoridades.</w:t>
      </w:r>
    </w:p>
    <w:p w14:paraId="0080B594" w14:textId="77777777" w:rsidR="00790369" w:rsidRPr="00386E47" w:rsidRDefault="00790369" w:rsidP="0001484F">
      <w:pPr>
        <w:pStyle w:val="ListParagraph"/>
        <w:numPr>
          <w:ilvl w:val="0"/>
          <w:numId w:val="58"/>
        </w:numPr>
        <w:tabs>
          <w:tab w:val="left" w:pos="567"/>
          <w:tab w:val="left" w:pos="8505"/>
        </w:tabs>
        <w:ind w:left="810" w:right="360" w:hanging="270"/>
        <w:contextualSpacing/>
        <w:jc w:val="both"/>
        <w:rPr>
          <w:rFonts w:asciiTheme="majorHAnsi" w:eastAsia="Calibri" w:hAnsiTheme="majorHAnsi"/>
          <w:sz w:val="18"/>
          <w:szCs w:val="18"/>
          <w:lang w:val="es-ES_tradnl"/>
        </w:rPr>
      </w:pPr>
      <w:r w:rsidRPr="00386E47">
        <w:rPr>
          <w:rFonts w:asciiTheme="majorHAnsi" w:eastAsia="Calibri" w:hAnsiTheme="majorHAnsi"/>
          <w:sz w:val="18"/>
          <w:szCs w:val="18"/>
          <w:lang w:val="es-ES_tradnl"/>
        </w:rPr>
        <w:t>Los investigadores deben ser verdaderamente imparciales y no tener una opinión preconcebida acerca de la cuestión que investigan ni de la identidad de los responsables de las muertes. Tampoco deben enfocar la investigación en forma que promueva o proteja los intereses de un funcionario público que pueda ser responsable. Los investigadores deben estar demostrablemente exentos de influencia indebida.</w:t>
      </w:r>
    </w:p>
    <w:p w14:paraId="64C28CE3" w14:textId="77777777" w:rsidR="00790369" w:rsidRPr="00386E47" w:rsidRDefault="00790369" w:rsidP="0001484F">
      <w:pPr>
        <w:pStyle w:val="ListParagraph"/>
        <w:numPr>
          <w:ilvl w:val="0"/>
          <w:numId w:val="58"/>
        </w:numPr>
        <w:tabs>
          <w:tab w:val="left" w:pos="567"/>
          <w:tab w:val="left" w:pos="8505"/>
        </w:tabs>
        <w:ind w:left="810" w:right="360" w:hanging="270"/>
        <w:contextualSpacing/>
        <w:jc w:val="both"/>
        <w:rPr>
          <w:rFonts w:asciiTheme="majorHAnsi" w:eastAsia="Calibri" w:hAnsiTheme="majorHAnsi"/>
          <w:sz w:val="18"/>
          <w:szCs w:val="18"/>
          <w:lang w:val="es-ES_tradnl"/>
        </w:rPr>
      </w:pPr>
      <w:r w:rsidRPr="00386E47">
        <w:rPr>
          <w:rFonts w:asciiTheme="majorHAnsi" w:eastAsia="Calibri" w:hAnsiTheme="majorHAnsi"/>
          <w:sz w:val="18"/>
          <w:szCs w:val="18"/>
          <w:lang w:val="es-ES_tradnl"/>
        </w:rPr>
        <w:t xml:space="preserve"> Si de resultas de la investigación se sustancia un procedimiento penal u otra causa judicial, debe ofrecerse a los familiares la posibilidad de participar efectivamente.</w:t>
      </w:r>
    </w:p>
    <w:p w14:paraId="16A3BB0F" w14:textId="77777777" w:rsidR="002529BA" w:rsidRPr="00386E47" w:rsidRDefault="002529BA" w:rsidP="00A311A0">
      <w:pPr>
        <w:pStyle w:val="ListParagraph"/>
        <w:tabs>
          <w:tab w:val="left" w:pos="567"/>
        </w:tabs>
        <w:ind w:left="1080"/>
        <w:contextualSpacing/>
        <w:jc w:val="both"/>
        <w:rPr>
          <w:rFonts w:asciiTheme="majorHAnsi" w:eastAsia="Calibri" w:hAnsiTheme="majorHAnsi"/>
          <w:sz w:val="20"/>
          <w:szCs w:val="20"/>
          <w:lang w:val="es-ES_tradnl"/>
        </w:rPr>
      </w:pPr>
    </w:p>
    <w:p w14:paraId="224BDE2E" w14:textId="77777777" w:rsidR="00790369" w:rsidRPr="00386E47" w:rsidRDefault="002529BA" w:rsidP="009146F2">
      <w:pPr>
        <w:pStyle w:val="Heading3"/>
        <w:numPr>
          <w:ilvl w:val="1"/>
          <w:numId w:val="68"/>
        </w:numPr>
        <w:ind w:left="284" w:firstLine="0"/>
      </w:pPr>
      <w:bookmarkStart w:id="29" w:name="_Toc51252200"/>
      <w:r w:rsidRPr="00386E47">
        <w:t>Respecto de la</w:t>
      </w:r>
      <w:r w:rsidR="0097207E" w:rsidRPr="00386E47">
        <w:t xml:space="preserve"> debida diligencia en la</w:t>
      </w:r>
      <w:r w:rsidRPr="00386E47">
        <w:t>s investigaciones seguidas en el presente caso</w:t>
      </w:r>
      <w:bookmarkEnd w:id="29"/>
    </w:p>
    <w:p w14:paraId="5397593C" w14:textId="77777777" w:rsidR="002C25B5" w:rsidRPr="00386E47" w:rsidRDefault="00790369"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A continuación, la Comisión analizará </w:t>
      </w:r>
      <w:r w:rsidR="002529BA" w:rsidRPr="00386E47">
        <w:rPr>
          <w:rFonts w:asciiTheme="majorHAnsi" w:eastAsia="Calibri" w:hAnsiTheme="majorHAnsi"/>
          <w:sz w:val="20"/>
          <w:szCs w:val="20"/>
          <w:lang w:val="es-ES_tradnl"/>
        </w:rPr>
        <w:t>si el Estado argentino cumplió con investigar de manera diligente</w:t>
      </w:r>
      <w:r w:rsidR="00137B1C" w:rsidRPr="00386E47">
        <w:rPr>
          <w:rFonts w:asciiTheme="majorHAnsi" w:eastAsia="Calibri" w:hAnsiTheme="majorHAnsi"/>
          <w:sz w:val="20"/>
          <w:szCs w:val="20"/>
          <w:lang w:val="es-ES_tradnl"/>
        </w:rPr>
        <w:t xml:space="preserve"> los hechos relacionados con el ataque a la sede de la AMIA. Teniendo en cuenta lo señalado en las determinaciones globales de hechos, la Comisión se pronunciará en el siguiente orden: a) sobre la </w:t>
      </w:r>
      <w:r w:rsidR="002C25B5" w:rsidRPr="00386E47">
        <w:rPr>
          <w:rFonts w:asciiTheme="majorHAnsi" w:hAnsiTheme="majorHAnsi"/>
          <w:sz w:val="20"/>
          <w:szCs w:val="20"/>
          <w:lang w:val="es-US"/>
        </w:rPr>
        <w:t xml:space="preserve">investigación dirigida por el Juzgado en lo Criminal y </w:t>
      </w:r>
      <w:r w:rsidR="002C25B5" w:rsidRPr="00386E47">
        <w:rPr>
          <w:rFonts w:asciiTheme="majorHAnsi" w:eastAsia="Calibri" w:hAnsiTheme="majorHAnsi"/>
          <w:sz w:val="20"/>
          <w:szCs w:val="20"/>
          <w:lang w:val="es-ES_tradnl"/>
        </w:rPr>
        <w:t xml:space="preserve">Correccional Federal Nro.9, b) sobre investigación delegada por el Juzgado en lo Criminal y Correccional Federal Nro.6 en la Unidad Fiscal de Investigación al Atentado a la Sede de la AMIA y c) sobre la </w:t>
      </w:r>
      <w:r w:rsidR="005A65DD" w:rsidRPr="00386E47">
        <w:rPr>
          <w:rFonts w:asciiTheme="majorHAnsi" w:eastAsia="Calibri" w:hAnsiTheme="majorHAnsi"/>
          <w:sz w:val="20"/>
          <w:szCs w:val="20"/>
          <w:lang w:val="es-ES_tradnl"/>
        </w:rPr>
        <w:t>i</w:t>
      </w:r>
      <w:r w:rsidR="002C25B5" w:rsidRPr="00386E47">
        <w:rPr>
          <w:rFonts w:asciiTheme="majorHAnsi" w:eastAsia="Calibri" w:hAnsiTheme="majorHAnsi"/>
          <w:sz w:val="20"/>
          <w:szCs w:val="20"/>
          <w:lang w:val="es-ES_tradnl"/>
        </w:rPr>
        <w:t xml:space="preserve">nvestigación por el encubrimiento del atentado. </w:t>
      </w:r>
    </w:p>
    <w:p w14:paraId="70473A6C" w14:textId="77777777" w:rsidR="002C25B5" w:rsidRPr="00386E47" w:rsidRDefault="002C25B5" w:rsidP="00A311A0">
      <w:pPr>
        <w:tabs>
          <w:tab w:val="left" w:pos="567"/>
        </w:tabs>
        <w:contextualSpacing/>
        <w:jc w:val="both"/>
        <w:rPr>
          <w:rFonts w:asciiTheme="majorHAnsi" w:eastAsia="Calibri" w:hAnsiTheme="majorHAnsi"/>
          <w:sz w:val="20"/>
          <w:szCs w:val="20"/>
          <w:lang w:val="es-ES_tradnl"/>
        </w:rPr>
      </w:pPr>
    </w:p>
    <w:p w14:paraId="77992316" w14:textId="77777777" w:rsidR="00137B1C" w:rsidRPr="00386E47" w:rsidRDefault="002C25B5" w:rsidP="00F54071">
      <w:pPr>
        <w:pStyle w:val="Heading4"/>
      </w:pPr>
      <w:r w:rsidRPr="00386E47">
        <w:t>Investigación</w:t>
      </w:r>
      <w:r w:rsidR="00137B1C" w:rsidRPr="00386E47">
        <w:t xml:space="preserve"> dirigida por el Juzgado en lo Criminal y Correccional Federal Nro.9 </w:t>
      </w:r>
    </w:p>
    <w:p w14:paraId="48E40BE3" w14:textId="77777777" w:rsidR="00137B1C" w:rsidRPr="00386E47" w:rsidRDefault="00137B1C" w:rsidP="00A311A0">
      <w:pPr>
        <w:tabs>
          <w:tab w:val="left" w:pos="567"/>
        </w:tabs>
        <w:contextualSpacing/>
        <w:jc w:val="both"/>
        <w:rPr>
          <w:rFonts w:asciiTheme="majorHAnsi" w:eastAsia="Calibri" w:hAnsiTheme="majorHAnsi"/>
          <w:sz w:val="20"/>
          <w:szCs w:val="20"/>
          <w:lang w:val="es-AR"/>
        </w:rPr>
      </w:pPr>
    </w:p>
    <w:p w14:paraId="6FA8D7E8" w14:textId="77777777" w:rsidR="007E5792" w:rsidRPr="00386E47" w:rsidRDefault="003C1378" w:rsidP="003A5860">
      <w:pPr>
        <w:numPr>
          <w:ilvl w:val="0"/>
          <w:numId w:val="55"/>
        </w:numPr>
        <w:tabs>
          <w:tab w:val="left" w:pos="567"/>
        </w:tabs>
        <w:ind w:left="0" w:firstLine="0"/>
        <w:jc w:val="both"/>
        <w:rPr>
          <w:rFonts w:asciiTheme="majorHAnsi" w:eastAsia="Cambria" w:hAnsiTheme="majorHAnsi" w:cs="Cambria"/>
          <w:color w:val="000000"/>
          <w:sz w:val="20"/>
          <w:szCs w:val="20"/>
          <w:u w:color="000000"/>
          <w:bdr w:val="nil"/>
          <w:lang w:val="es-ES" w:eastAsia="es-ES"/>
        </w:rPr>
      </w:pPr>
      <w:r w:rsidRPr="00386E47">
        <w:rPr>
          <w:rFonts w:asciiTheme="majorHAnsi" w:eastAsia="Cambria" w:hAnsiTheme="majorHAnsi" w:cs="Cambria"/>
          <w:color w:val="000000"/>
          <w:sz w:val="20"/>
          <w:szCs w:val="20"/>
          <w:u w:color="000000"/>
          <w:bdr w:val="nil"/>
          <w:lang w:val="es-ES" w:eastAsia="es-ES"/>
        </w:rPr>
        <w:lastRenderedPageBreak/>
        <w:t>La Comisión dedicará este apartado a presentar aquellos sucesos acontecidos</w:t>
      </w:r>
      <w:r w:rsidR="007E5792" w:rsidRPr="00386E47">
        <w:rPr>
          <w:rFonts w:asciiTheme="majorHAnsi" w:eastAsia="Cambria" w:hAnsiTheme="majorHAnsi" w:cs="Cambria"/>
          <w:color w:val="000000"/>
          <w:sz w:val="20"/>
          <w:szCs w:val="20"/>
          <w:u w:color="000000"/>
          <w:bdr w:val="nil"/>
          <w:lang w:val="es-ES" w:eastAsia="es-ES"/>
        </w:rPr>
        <w:t xml:space="preserve"> en el marco d</w:t>
      </w:r>
      <w:r w:rsidR="000853E5" w:rsidRPr="00386E47">
        <w:rPr>
          <w:rFonts w:asciiTheme="majorHAnsi" w:eastAsia="Cambria" w:hAnsiTheme="majorHAnsi" w:cs="Cambria"/>
          <w:color w:val="000000"/>
          <w:sz w:val="20"/>
          <w:szCs w:val="20"/>
          <w:u w:color="000000"/>
          <w:bdr w:val="nil"/>
          <w:lang w:val="es-ES" w:eastAsia="es-ES"/>
        </w:rPr>
        <w:t>e</w:t>
      </w:r>
      <w:r w:rsidRPr="00386E47">
        <w:rPr>
          <w:rFonts w:asciiTheme="majorHAnsi" w:eastAsia="Cambria" w:hAnsiTheme="majorHAnsi" w:cs="Cambria"/>
          <w:color w:val="000000"/>
          <w:sz w:val="20"/>
          <w:szCs w:val="20"/>
          <w:u w:color="000000"/>
          <w:bdr w:val="nil"/>
          <w:lang w:val="es-ES" w:eastAsia="es-ES"/>
        </w:rPr>
        <w:t xml:space="preserve"> la investigación encabezada por el </w:t>
      </w:r>
      <w:r w:rsidR="007E5792" w:rsidRPr="00386E47">
        <w:rPr>
          <w:rFonts w:asciiTheme="majorHAnsi" w:eastAsia="Cambria" w:hAnsiTheme="majorHAnsi" w:cs="Cambria"/>
          <w:color w:val="000000"/>
          <w:sz w:val="20"/>
          <w:szCs w:val="20"/>
          <w:u w:color="000000"/>
          <w:bdr w:val="nil"/>
          <w:lang w:val="es-ES" w:eastAsia="es-ES"/>
        </w:rPr>
        <w:t>Juzgado en lo Criminal y Correccional Federal Nro. 9</w:t>
      </w:r>
      <w:r w:rsidR="00F533FB" w:rsidRPr="00386E47">
        <w:rPr>
          <w:rFonts w:asciiTheme="majorHAnsi" w:eastAsia="Cambria" w:hAnsiTheme="majorHAnsi" w:cs="Cambria"/>
          <w:color w:val="000000"/>
          <w:sz w:val="20"/>
          <w:szCs w:val="20"/>
          <w:u w:color="000000"/>
          <w:bdr w:val="nil"/>
          <w:lang w:val="es-ES" w:eastAsia="es-ES"/>
        </w:rPr>
        <w:t xml:space="preserve"> que resultan relevantes para analizar la responsabilidad estatal.</w:t>
      </w:r>
      <w:r w:rsidR="00F36609" w:rsidRPr="00386E47">
        <w:rPr>
          <w:rFonts w:asciiTheme="majorHAnsi" w:eastAsia="Cambria" w:hAnsiTheme="majorHAnsi" w:cs="Cambria"/>
          <w:color w:val="000000"/>
          <w:sz w:val="20"/>
          <w:szCs w:val="20"/>
          <w:u w:color="000000"/>
          <w:bdr w:val="nil"/>
          <w:lang w:val="es-ES" w:eastAsia="es-ES"/>
        </w:rPr>
        <w:t xml:space="preserve"> </w:t>
      </w:r>
    </w:p>
    <w:p w14:paraId="3B6FD452" w14:textId="77777777" w:rsidR="00F533FB" w:rsidRPr="00386E47" w:rsidRDefault="00F533FB" w:rsidP="003C1378">
      <w:pPr>
        <w:tabs>
          <w:tab w:val="left" w:pos="567"/>
        </w:tabs>
        <w:jc w:val="both"/>
        <w:rPr>
          <w:rFonts w:asciiTheme="majorHAnsi" w:eastAsia="Calibri" w:hAnsiTheme="majorHAnsi"/>
          <w:sz w:val="20"/>
          <w:szCs w:val="20"/>
          <w:lang w:val="es-US"/>
        </w:rPr>
      </w:pPr>
    </w:p>
    <w:p w14:paraId="4C311D23" w14:textId="77777777" w:rsidR="00F533FB" w:rsidRPr="00386E47" w:rsidRDefault="00F533FB" w:rsidP="00F54071">
      <w:pPr>
        <w:pStyle w:val="Heading5"/>
      </w:pPr>
      <w:r w:rsidRPr="00386E47">
        <w:t xml:space="preserve">Diligencias iniciales en la escena del crimen y allanamientos realizados </w:t>
      </w:r>
      <w:r w:rsidR="00F54071" w:rsidRPr="00386E47">
        <w:t xml:space="preserve">por la Secretaria de Inteligencia del Estado </w:t>
      </w:r>
    </w:p>
    <w:p w14:paraId="1337AF45" w14:textId="77777777" w:rsidR="00F533FB" w:rsidRPr="00386E47" w:rsidRDefault="00F533FB" w:rsidP="003C1378">
      <w:pPr>
        <w:ind w:left="426"/>
        <w:contextualSpacing/>
        <w:jc w:val="both"/>
        <w:rPr>
          <w:rFonts w:asciiTheme="majorHAnsi" w:eastAsia="Calibri" w:hAnsiTheme="majorHAnsi"/>
          <w:b/>
          <w:sz w:val="20"/>
          <w:szCs w:val="20"/>
          <w:lang w:val="es-AR"/>
        </w:rPr>
      </w:pPr>
    </w:p>
    <w:p w14:paraId="5A4B9E97" w14:textId="77777777" w:rsidR="00B848B2" w:rsidRPr="00386E47" w:rsidRDefault="003C1378"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 xml:space="preserve"> </w:t>
      </w:r>
      <w:r w:rsidR="00F533FB" w:rsidRPr="00386E47">
        <w:rPr>
          <w:rFonts w:asciiTheme="majorHAnsi" w:eastAsia="Calibri" w:hAnsiTheme="majorHAnsi"/>
          <w:sz w:val="20"/>
          <w:szCs w:val="20"/>
          <w:lang w:val="es-US"/>
        </w:rPr>
        <w:t xml:space="preserve">El </w:t>
      </w:r>
      <w:r w:rsidR="007E5792" w:rsidRPr="00386E47">
        <w:rPr>
          <w:rFonts w:asciiTheme="majorHAnsi" w:eastAsia="Calibri" w:hAnsiTheme="majorHAnsi"/>
          <w:sz w:val="20"/>
          <w:szCs w:val="20"/>
          <w:lang w:val="es-US"/>
        </w:rPr>
        <w:t xml:space="preserve"> TOF 3 señaló </w:t>
      </w:r>
      <w:r w:rsidR="009F70EA" w:rsidRPr="00386E47">
        <w:rPr>
          <w:rFonts w:asciiTheme="majorHAnsi" w:eastAsia="Calibri" w:hAnsiTheme="majorHAnsi"/>
          <w:sz w:val="20"/>
          <w:szCs w:val="20"/>
          <w:lang w:val="es-US"/>
        </w:rPr>
        <w:t>en su sentencia de 29 de octubre de 2004 que</w:t>
      </w:r>
      <w:r w:rsidR="00C50FAF" w:rsidRPr="00386E47">
        <w:rPr>
          <w:rFonts w:asciiTheme="majorHAnsi" w:eastAsia="Calibri" w:hAnsiTheme="majorHAnsi"/>
          <w:sz w:val="20"/>
          <w:szCs w:val="20"/>
          <w:lang w:val="es-US"/>
        </w:rPr>
        <w:t>,</w:t>
      </w:r>
      <w:r w:rsidR="009F70EA" w:rsidRPr="00386E47">
        <w:rPr>
          <w:rFonts w:asciiTheme="majorHAnsi" w:eastAsia="Calibri" w:hAnsiTheme="majorHAnsi"/>
          <w:sz w:val="20"/>
          <w:szCs w:val="20"/>
          <w:lang w:val="es-US"/>
        </w:rPr>
        <w:t xml:space="preserve"> </w:t>
      </w:r>
      <w:r w:rsidR="007E5792" w:rsidRPr="00386E47">
        <w:rPr>
          <w:rFonts w:asciiTheme="majorHAnsi" w:eastAsia="Calibri" w:hAnsiTheme="majorHAnsi"/>
          <w:sz w:val="20"/>
          <w:szCs w:val="20"/>
          <w:lang w:val="es-US"/>
        </w:rPr>
        <w:t>durante las primeras horas del atentado, la zona de la catástrofe resultó “</w:t>
      </w:r>
      <w:r w:rsidR="009F70EA" w:rsidRPr="00386E47">
        <w:rPr>
          <w:rFonts w:asciiTheme="majorHAnsi" w:eastAsia="Calibri" w:hAnsiTheme="majorHAnsi"/>
          <w:sz w:val="20"/>
          <w:szCs w:val="20"/>
          <w:lang w:val="es-US"/>
        </w:rPr>
        <w:t>invadida por un sinnúmero de personas ajenas a las fuerzas de seguridad y de rescate, movilizadas, en algunos casos, por la búsqueda afanosa de sus familiares o amigos y, en otros, por el solo deseo de prestar una ayuda</w:t>
      </w:r>
      <w:r w:rsidR="006A10F8" w:rsidRPr="00386E47">
        <w:rPr>
          <w:rFonts w:asciiTheme="majorHAnsi" w:eastAsia="Calibri" w:hAnsiTheme="majorHAnsi"/>
          <w:sz w:val="20"/>
          <w:szCs w:val="20"/>
          <w:lang w:val="es-US"/>
        </w:rPr>
        <w:t xml:space="preserve"> solidaria o aú</w:t>
      </w:r>
      <w:r w:rsidR="009F70EA" w:rsidRPr="00386E47">
        <w:rPr>
          <w:rFonts w:asciiTheme="majorHAnsi" w:eastAsia="Calibri" w:hAnsiTheme="majorHAnsi"/>
          <w:sz w:val="20"/>
          <w:szCs w:val="20"/>
          <w:lang w:val="es-US"/>
        </w:rPr>
        <w:t>n por mera curiosidad”</w:t>
      </w:r>
      <w:r w:rsidR="009F70EA" w:rsidRPr="00386E47">
        <w:rPr>
          <w:rFonts w:asciiTheme="majorHAnsi" w:eastAsia="Calibri" w:hAnsiTheme="majorHAnsi"/>
          <w:sz w:val="20"/>
          <w:szCs w:val="20"/>
          <w:vertAlign w:val="superscript"/>
          <w:lang w:val="es-US"/>
        </w:rPr>
        <w:footnoteReference w:id="135"/>
      </w:r>
      <w:r w:rsidR="009F70EA" w:rsidRPr="00386E47">
        <w:rPr>
          <w:rFonts w:asciiTheme="majorHAnsi" w:eastAsia="Calibri" w:hAnsiTheme="majorHAnsi"/>
          <w:sz w:val="20"/>
          <w:szCs w:val="20"/>
          <w:lang w:val="es-US"/>
        </w:rPr>
        <w:t>.</w:t>
      </w:r>
      <w:r w:rsidR="00183DC0" w:rsidRPr="00386E47">
        <w:rPr>
          <w:rFonts w:asciiTheme="majorHAnsi" w:eastAsia="Calibri" w:hAnsiTheme="majorHAnsi"/>
          <w:sz w:val="20"/>
          <w:szCs w:val="20"/>
          <w:lang w:val="es-US"/>
        </w:rPr>
        <w:t xml:space="preserve"> </w:t>
      </w:r>
    </w:p>
    <w:p w14:paraId="220FED5C" w14:textId="77777777" w:rsidR="00B848B2" w:rsidRPr="00386E47" w:rsidRDefault="00B848B2" w:rsidP="00B848B2">
      <w:pPr>
        <w:tabs>
          <w:tab w:val="left" w:pos="567"/>
        </w:tabs>
        <w:jc w:val="both"/>
        <w:rPr>
          <w:rFonts w:asciiTheme="majorHAnsi" w:eastAsia="Calibri" w:hAnsiTheme="majorHAnsi"/>
          <w:sz w:val="20"/>
          <w:szCs w:val="20"/>
          <w:lang w:val="es-US"/>
        </w:rPr>
      </w:pPr>
    </w:p>
    <w:p w14:paraId="5811A87B" w14:textId="77777777" w:rsidR="009F70EA" w:rsidRPr="00386E47" w:rsidRDefault="00183DC0" w:rsidP="003A5860">
      <w:pPr>
        <w:numPr>
          <w:ilvl w:val="0"/>
          <w:numId w:val="55"/>
        </w:numPr>
        <w:tabs>
          <w:tab w:val="left" w:pos="567"/>
        </w:tabs>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 xml:space="preserve">La </w:t>
      </w:r>
      <w:r w:rsidR="009F70EA" w:rsidRPr="00386E47">
        <w:rPr>
          <w:rFonts w:asciiTheme="majorHAnsi" w:eastAsia="Calibri" w:hAnsiTheme="majorHAnsi"/>
          <w:sz w:val="20"/>
          <w:szCs w:val="20"/>
          <w:lang w:val="es-US"/>
        </w:rPr>
        <w:t xml:space="preserve">Sala II de la Cámara de Casación Penal en su sentencia de 19 de mayo de 2006 </w:t>
      </w:r>
      <w:r w:rsidRPr="00386E47">
        <w:rPr>
          <w:rFonts w:asciiTheme="majorHAnsi" w:eastAsia="Calibri" w:hAnsiTheme="majorHAnsi"/>
          <w:sz w:val="20"/>
          <w:szCs w:val="20"/>
          <w:lang w:val="es-US"/>
        </w:rPr>
        <w:t xml:space="preserve">también </w:t>
      </w:r>
      <w:r w:rsidR="009F70EA" w:rsidRPr="00386E47">
        <w:rPr>
          <w:rFonts w:asciiTheme="majorHAnsi" w:eastAsia="Calibri" w:hAnsiTheme="majorHAnsi"/>
          <w:sz w:val="20"/>
          <w:szCs w:val="20"/>
          <w:lang w:val="es-US"/>
        </w:rPr>
        <w:t>retomó este punto y aseguró que “los funcionarios intervinientes inmediatamente con posterioridad a la explosión, omitieron establecer un cerco de seguridad a fin de controlar y ordenar el ingreso, egreso y traslado seguro de personas y objetos desde el lugar”</w:t>
      </w:r>
      <w:r w:rsidR="009F70EA" w:rsidRPr="00386E47">
        <w:rPr>
          <w:rFonts w:asciiTheme="majorHAnsi" w:eastAsia="Calibri" w:hAnsiTheme="majorHAnsi"/>
          <w:sz w:val="20"/>
          <w:szCs w:val="20"/>
          <w:vertAlign w:val="superscript"/>
          <w:lang w:val="es-US"/>
        </w:rPr>
        <w:footnoteReference w:id="136"/>
      </w:r>
      <w:r w:rsidRPr="00386E47">
        <w:rPr>
          <w:rFonts w:asciiTheme="majorHAnsi" w:eastAsia="Calibri" w:hAnsiTheme="majorHAnsi"/>
          <w:sz w:val="20"/>
          <w:szCs w:val="20"/>
          <w:lang w:val="es-US"/>
        </w:rPr>
        <w:t xml:space="preserve">. Asimismo, el tribunal aseguró </w:t>
      </w:r>
      <w:r w:rsidR="009F70EA" w:rsidRPr="00386E47">
        <w:rPr>
          <w:rFonts w:asciiTheme="majorHAnsi" w:eastAsia="Calibri" w:hAnsiTheme="majorHAnsi"/>
          <w:sz w:val="20"/>
          <w:szCs w:val="20"/>
          <w:lang w:val="es-US"/>
        </w:rPr>
        <w:t xml:space="preserve">que la labor de </w:t>
      </w:r>
      <w:r w:rsidRPr="00386E47">
        <w:rPr>
          <w:rFonts w:asciiTheme="majorHAnsi" w:eastAsia="Calibri" w:hAnsiTheme="majorHAnsi"/>
          <w:sz w:val="20"/>
          <w:szCs w:val="20"/>
          <w:lang w:val="es-US"/>
        </w:rPr>
        <w:t xml:space="preserve">búsqueda, reunión y conservación de elementos de </w:t>
      </w:r>
      <w:r w:rsidR="009F70EA" w:rsidRPr="00386E47">
        <w:rPr>
          <w:rFonts w:asciiTheme="majorHAnsi" w:eastAsia="Calibri" w:hAnsiTheme="majorHAnsi"/>
          <w:sz w:val="20"/>
          <w:szCs w:val="20"/>
          <w:lang w:val="es-US"/>
        </w:rPr>
        <w:t>prueba</w:t>
      </w:r>
      <w:r w:rsidRPr="00386E47">
        <w:rPr>
          <w:rFonts w:asciiTheme="majorHAnsi" w:eastAsia="Calibri" w:hAnsiTheme="majorHAnsi"/>
          <w:sz w:val="20"/>
          <w:szCs w:val="20"/>
          <w:lang w:val="es-US"/>
        </w:rPr>
        <w:t xml:space="preserve"> en la escena del hecho</w:t>
      </w:r>
      <w:r w:rsidR="009F70EA" w:rsidRPr="00386E47">
        <w:rPr>
          <w:rFonts w:asciiTheme="majorHAnsi" w:eastAsia="Calibri" w:hAnsiTheme="majorHAnsi"/>
          <w:sz w:val="20"/>
          <w:szCs w:val="20"/>
          <w:lang w:val="es-US"/>
        </w:rPr>
        <w:t xml:space="preserve"> “</w:t>
      </w:r>
      <w:r w:rsidR="007E5792" w:rsidRPr="00386E47">
        <w:rPr>
          <w:rFonts w:asciiTheme="majorHAnsi" w:eastAsia="Calibri" w:hAnsiTheme="majorHAnsi"/>
          <w:sz w:val="20"/>
          <w:szCs w:val="20"/>
          <w:lang w:val="es-US"/>
        </w:rPr>
        <w:t>se vio</w:t>
      </w:r>
      <w:r w:rsidR="009F70EA" w:rsidRPr="00386E47">
        <w:rPr>
          <w:rFonts w:asciiTheme="majorHAnsi" w:eastAsia="Calibri" w:hAnsiTheme="majorHAnsi"/>
          <w:sz w:val="20"/>
          <w:szCs w:val="20"/>
          <w:lang w:val="es-US"/>
        </w:rPr>
        <w:t xml:space="preserve"> seriamente afectada por la falta de un plan coordinado tendiente a […] asegurar tanto la integridad como la fiabilidad de los elementos […] que pudieran revestir interés para la investigación del hecho”</w:t>
      </w:r>
      <w:r w:rsidR="009F70EA" w:rsidRPr="00386E47">
        <w:rPr>
          <w:rFonts w:asciiTheme="majorHAnsi" w:eastAsia="Calibri" w:hAnsiTheme="majorHAnsi"/>
          <w:sz w:val="20"/>
          <w:szCs w:val="20"/>
          <w:vertAlign w:val="superscript"/>
          <w:lang w:val="es-US"/>
        </w:rPr>
        <w:footnoteReference w:id="137"/>
      </w:r>
      <w:r w:rsidR="009A5B18" w:rsidRPr="00386E47">
        <w:rPr>
          <w:rFonts w:asciiTheme="majorHAnsi" w:eastAsia="Calibri" w:hAnsiTheme="majorHAnsi"/>
          <w:sz w:val="20"/>
          <w:szCs w:val="20"/>
          <w:lang w:val="es-US"/>
        </w:rPr>
        <w:t>.</w:t>
      </w:r>
    </w:p>
    <w:p w14:paraId="38794A28" w14:textId="77777777" w:rsidR="003C1378" w:rsidRPr="00386E47" w:rsidRDefault="003C1378" w:rsidP="00D90B05">
      <w:pPr>
        <w:rPr>
          <w:rFonts w:asciiTheme="majorHAnsi" w:eastAsia="Calibri" w:hAnsiTheme="majorHAnsi"/>
          <w:b/>
          <w:sz w:val="20"/>
          <w:szCs w:val="20"/>
          <w:lang w:val="es-AR"/>
        </w:rPr>
      </w:pPr>
    </w:p>
    <w:p w14:paraId="201EA159" w14:textId="77777777" w:rsidR="009F70EA" w:rsidRPr="00386E47" w:rsidRDefault="00183DC0"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Por otro lado, y en</w:t>
      </w:r>
      <w:r w:rsidR="009F70EA" w:rsidRPr="00386E47">
        <w:rPr>
          <w:rFonts w:asciiTheme="majorHAnsi" w:eastAsia="Calibri" w:hAnsiTheme="majorHAnsi"/>
          <w:sz w:val="20"/>
          <w:szCs w:val="20"/>
          <w:lang w:val="es-AR"/>
        </w:rPr>
        <w:t xml:space="preserve"> lo que </w:t>
      </w:r>
      <w:r w:rsidR="000853E5" w:rsidRPr="00386E47">
        <w:rPr>
          <w:rFonts w:asciiTheme="majorHAnsi" w:eastAsia="Calibri" w:hAnsiTheme="majorHAnsi"/>
          <w:sz w:val="20"/>
          <w:szCs w:val="20"/>
          <w:lang w:val="es-AR"/>
        </w:rPr>
        <w:t xml:space="preserve">tiene que ver en concreto con el </w:t>
      </w:r>
      <w:r w:rsidR="009F70EA" w:rsidRPr="00386E47">
        <w:rPr>
          <w:rFonts w:asciiTheme="majorHAnsi" w:eastAsia="Calibri" w:hAnsiTheme="majorHAnsi"/>
          <w:sz w:val="20"/>
          <w:szCs w:val="20"/>
          <w:lang w:val="es-AR"/>
        </w:rPr>
        <w:t>hallazgo de restos de un motor de un vehí</w:t>
      </w:r>
      <w:r w:rsidR="000853E5" w:rsidRPr="00386E47">
        <w:rPr>
          <w:rFonts w:asciiTheme="majorHAnsi" w:eastAsia="Calibri" w:hAnsiTheme="majorHAnsi"/>
          <w:sz w:val="20"/>
          <w:szCs w:val="20"/>
          <w:lang w:val="es-AR"/>
        </w:rPr>
        <w:t>culo Trafic entre los escombros,</w:t>
      </w:r>
      <w:r w:rsidR="00DC183D" w:rsidRPr="00386E47">
        <w:rPr>
          <w:rFonts w:asciiTheme="majorHAnsi" w:eastAsia="Calibri" w:hAnsiTheme="majorHAnsi"/>
          <w:sz w:val="20"/>
          <w:szCs w:val="20"/>
          <w:lang w:val="es-AR"/>
        </w:rPr>
        <w:t xml:space="preserve"> </w:t>
      </w:r>
      <w:r w:rsidR="009F70EA" w:rsidRPr="00386E47">
        <w:rPr>
          <w:rFonts w:asciiTheme="majorHAnsi" w:eastAsia="Calibri" w:hAnsiTheme="majorHAnsi"/>
          <w:sz w:val="20"/>
          <w:szCs w:val="20"/>
          <w:lang w:val="es-AR"/>
        </w:rPr>
        <w:t xml:space="preserve">el TOF 3 </w:t>
      </w:r>
      <w:r w:rsidR="00C50FAF" w:rsidRPr="00386E47">
        <w:rPr>
          <w:rFonts w:asciiTheme="majorHAnsi" w:eastAsia="Calibri" w:hAnsiTheme="majorHAnsi"/>
          <w:sz w:val="20"/>
          <w:szCs w:val="20"/>
          <w:lang w:val="es-AR"/>
        </w:rPr>
        <w:t>declaró</w:t>
      </w:r>
      <w:r w:rsidR="009F70EA" w:rsidRPr="00386E47">
        <w:rPr>
          <w:rFonts w:asciiTheme="majorHAnsi" w:eastAsia="Calibri" w:hAnsiTheme="majorHAnsi"/>
          <w:sz w:val="20"/>
          <w:szCs w:val="20"/>
          <w:lang w:val="es-AR"/>
        </w:rPr>
        <w:t xml:space="preserve"> la nulidad del acta de secuestro de fecha 25 de julio de 1994 labrada por efectivos de la Superintendencia de Bomberos </w:t>
      </w:r>
      <w:r w:rsidR="000853E5" w:rsidRPr="00386E47">
        <w:rPr>
          <w:rFonts w:asciiTheme="majorHAnsi" w:eastAsia="Calibri" w:hAnsiTheme="majorHAnsi"/>
          <w:sz w:val="20"/>
          <w:szCs w:val="20"/>
          <w:lang w:val="es-AR"/>
        </w:rPr>
        <w:t xml:space="preserve">de la Policía Federal Argentina, toda vez </w:t>
      </w:r>
      <w:r w:rsidR="009F70EA" w:rsidRPr="00386E47">
        <w:rPr>
          <w:rFonts w:asciiTheme="majorHAnsi" w:eastAsia="Calibri" w:hAnsiTheme="majorHAnsi"/>
          <w:sz w:val="20"/>
          <w:szCs w:val="20"/>
          <w:lang w:val="es-AR"/>
        </w:rPr>
        <w:t>que “las versiones ofrecidas por quienes suscribieron el acta en cuestión permiten concluir, sin esfuerzo, que las circunstancias consignadas en ella no reflejan, en modo alguno, lo realmente acontecido”</w:t>
      </w:r>
      <w:r w:rsidR="009F70EA" w:rsidRPr="00386E47">
        <w:rPr>
          <w:rFonts w:asciiTheme="majorHAnsi" w:eastAsia="Calibri" w:hAnsiTheme="majorHAnsi"/>
          <w:sz w:val="20"/>
          <w:szCs w:val="20"/>
          <w:vertAlign w:val="superscript"/>
          <w:lang w:val="es-AR"/>
        </w:rPr>
        <w:footnoteReference w:id="138"/>
      </w:r>
      <w:r w:rsidR="009F70EA" w:rsidRPr="00386E47">
        <w:rPr>
          <w:rFonts w:asciiTheme="majorHAnsi" w:eastAsia="Calibri" w:hAnsiTheme="majorHAnsi"/>
          <w:sz w:val="20"/>
          <w:szCs w:val="20"/>
          <w:lang w:val="es-AR"/>
        </w:rPr>
        <w:t xml:space="preserve">.  </w:t>
      </w:r>
    </w:p>
    <w:p w14:paraId="52208B61" w14:textId="77777777" w:rsidR="009F70EA" w:rsidRPr="00386E47" w:rsidRDefault="009F70EA" w:rsidP="00D90B05">
      <w:pPr>
        <w:rPr>
          <w:rFonts w:asciiTheme="majorHAnsi" w:eastAsia="Calibri" w:hAnsiTheme="majorHAnsi"/>
          <w:sz w:val="20"/>
          <w:szCs w:val="20"/>
          <w:lang w:val="es-AR"/>
        </w:rPr>
      </w:pPr>
    </w:p>
    <w:p w14:paraId="458FDCFB"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En efecto, el TOF 3 señaló que los funcionarios policiales que se encontraban en el lugar de</w:t>
      </w:r>
      <w:r w:rsidR="000C1D6A" w:rsidRPr="00386E47">
        <w:rPr>
          <w:rFonts w:asciiTheme="majorHAnsi" w:eastAsia="Calibri" w:hAnsiTheme="majorHAnsi"/>
          <w:sz w:val="20"/>
          <w:szCs w:val="20"/>
          <w:lang w:val="es-AR"/>
        </w:rPr>
        <w:t>l hecho el día 25 de julio, participaron en el hallazgo</w:t>
      </w:r>
      <w:r w:rsidR="00184159" w:rsidRPr="00386E47">
        <w:rPr>
          <w:rFonts w:asciiTheme="majorHAnsi" w:eastAsia="Calibri" w:hAnsiTheme="majorHAnsi"/>
          <w:sz w:val="20"/>
          <w:szCs w:val="20"/>
          <w:lang w:val="es-AR"/>
        </w:rPr>
        <w:t xml:space="preserve"> de los restos del motor</w:t>
      </w:r>
      <w:r w:rsidR="000C1D6A" w:rsidRPr="00386E47">
        <w:rPr>
          <w:rFonts w:asciiTheme="majorHAnsi" w:eastAsia="Calibri" w:hAnsiTheme="majorHAnsi"/>
          <w:sz w:val="20"/>
          <w:szCs w:val="20"/>
          <w:lang w:val="es-AR"/>
        </w:rPr>
        <w:t xml:space="preserve"> y labraron el acta de secuestro</w:t>
      </w:r>
      <w:r w:rsidRPr="00386E47">
        <w:rPr>
          <w:rFonts w:asciiTheme="majorHAnsi" w:eastAsia="Calibri" w:hAnsiTheme="majorHAnsi"/>
          <w:sz w:val="20"/>
          <w:szCs w:val="20"/>
          <w:lang w:val="es-AR"/>
        </w:rPr>
        <w:t xml:space="preserve"> incurrieron en una “inadmisible omisión […] toda vez que nada hicieron para establecer cómo y dónde se produjo ni para individualizar a las personas que intervinieron en él”</w:t>
      </w:r>
      <w:r w:rsidRPr="00386E47">
        <w:rPr>
          <w:rFonts w:asciiTheme="majorHAnsi" w:eastAsia="Calibri" w:hAnsiTheme="majorHAnsi"/>
          <w:sz w:val="20"/>
          <w:szCs w:val="20"/>
          <w:vertAlign w:val="superscript"/>
          <w:lang w:val="es-AR"/>
        </w:rPr>
        <w:footnoteReference w:id="139"/>
      </w:r>
      <w:r w:rsidRPr="00386E47">
        <w:rPr>
          <w:rFonts w:asciiTheme="majorHAnsi" w:eastAsia="Calibri" w:hAnsiTheme="majorHAnsi"/>
          <w:sz w:val="20"/>
          <w:szCs w:val="20"/>
          <w:lang w:val="es-AR"/>
        </w:rPr>
        <w:t>. En particular, el Tribunal reprochó a los efectivos policiales “no haber mostrado una mínima inquietud […] sea para recibirle declaración testimonial a quienes presenciaron el efectivo hallazgo del motor o para realizar una reconstrucción u observación del lugar donde éste fue encontrado”</w:t>
      </w:r>
      <w:r w:rsidRPr="00386E47">
        <w:rPr>
          <w:rFonts w:asciiTheme="majorHAnsi" w:eastAsia="Calibri" w:hAnsiTheme="majorHAnsi"/>
          <w:sz w:val="20"/>
          <w:szCs w:val="20"/>
          <w:vertAlign w:val="superscript"/>
          <w:lang w:val="es-AR"/>
        </w:rPr>
        <w:footnoteReference w:id="140"/>
      </w:r>
      <w:r w:rsidRPr="00386E47">
        <w:rPr>
          <w:rFonts w:asciiTheme="majorHAnsi" w:eastAsia="Calibri" w:hAnsiTheme="majorHAnsi"/>
          <w:sz w:val="20"/>
          <w:szCs w:val="20"/>
          <w:lang w:val="es-AR"/>
        </w:rPr>
        <w:t xml:space="preserve">. </w:t>
      </w:r>
    </w:p>
    <w:p w14:paraId="3B1D73BB" w14:textId="77777777" w:rsidR="009F70EA" w:rsidRPr="00386E47" w:rsidRDefault="009F70EA" w:rsidP="000853E5">
      <w:pPr>
        <w:rPr>
          <w:rFonts w:asciiTheme="majorHAnsi" w:eastAsia="Calibri" w:hAnsiTheme="majorHAnsi"/>
          <w:b/>
          <w:sz w:val="20"/>
          <w:szCs w:val="20"/>
          <w:lang w:val="es-AR"/>
        </w:rPr>
      </w:pPr>
    </w:p>
    <w:p w14:paraId="73EDB202" w14:textId="77777777" w:rsidR="006A10F8" w:rsidRPr="00386E47" w:rsidRDefault="00F533FB"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Por otra parte, conforme </w:t>
      </w:r>
      <w:r w:rsidR="009F70EA" w:rsidRPr="00386E47">
        <w:rPr>
          <w:rFonts w:asciiTheme="majorHAnsi" w:eastAsia="Calibri" w:hAnsiTheme="majorHAnsi"/>
          <w:sz w:val="20"/>
          <w:szCs w:val="20"/>
          <w:lang w:val="es-AR"/>
        </w:rPr>
        <w:t>se desprende de la sentencia dictada por el Tribunal Oral en lo</w:t>
      </w:r>
      <w:r w:rsidR="006A10F8" w:rsidRPr="00386E47">
        <w:rPr>
          <w:rFonts w:asciiTheme="majorHAnsi" w:eastAsia="Calibri" w:hAnsiTheme="majorHAnsi"/>
          <w:sz w:val="20"/>
          <w:szCs w:val="20"/>
          <w:lang w:val="es-AR"/>
        </w:rPr>
        <w:t xml:space="preserve"> Criminal Federal Nro. 3</w:t>
      </w:r>
      <w:r w:rsidR="00DA54AF" w:rsidRPr="00386E47">
        <w:rPr>
          <w:rFonts w:asciiTheme="majorHAnsi" w:eastAsia="Calibri" w:hAnsiTheme="majorHAnsi"/>
          <w:sz w:val="20"/>
          <w:szCs w:val="20"/>
          <w:lang w:val="es-AR"/>
        </w:rPr>
        <w:t>,</w:t>
      </w:r>
      <w:r w:rsidR="006A10F8" w:rsidRPr="00386E47">
        <w:rPr>
          <w:rFonts w:asciiTheme="majorHAnsi" w:eastAsia="Calibri" w:hAnsiTheme="majorHAnsi"/>
          <w:sz w:val="20"/>
          <w:szCs w:val="20"/>
          <w:lang w:val="es-AR"/>
        </w:rPr>
        <w:t xml:space="preserve"> </w:t>
      </w:r>
      <w:r w:rsidR="009F70EA" w:rsidRPr="00386E47">
        <w:rPr>
          <w:rFonts w:asciiTheme="majorHAnsi" w:eastAsia="Calibri" w:hAnsiTheme="majorHAnsi"/>
          <w:sz w:val="20"/>
          <w:szCs w:val="20"/>
          <w:lang w:val="es-AR"/>
        </w:rPr>
        <w:t xml:space="preserve">una vez </w:t>
      </w:r>
      <w:r w:rsidR="006A10F8" w:rsidRPr="00386E47">
        <w:rPr>
          <w:rFonts w:asciiTheme="majorHAnsi" w:eastAsia="Calibri" w:hAnsiTheme="majorHAnsi"/>
          <w:sz w:val="20"/>
          <w:szCs w:val="20"/>
          <w:lang w:val="es-AR"/>
        </w:rPr>
        <w:t xml:space="preserve">extraídos de la zona de la explosión </w:t>
      </w:r>
      <w:r w:rsidR="009F70EA" w:rsidRPr="00386E47">
        <w:rPr>
          <w:rFonts w:asciiTheme="majorHAnsi" w:eastAsia="Calibri" w:hAnsiTheme="majorHAnsi"/>
          <w:sz w:val="20"/>
          <w:szCs w:val="20"/>
          <w:lang w:val="es-AR"/>
        </w:rPr>
        <w:t>los restos de</w:t>
      </w:r>
      <w:r w:rsidR="006A10F8" w:rsidRPr="00386E47">
        <w:rPr>
          <w:rFonts w:asciiTheme="majorHAnsi" w:eastAsia="Calibri" w:hAnsiTheme="majorHAnsi"/>
          <w:sz w:val="20"/>
          <w:szCs w:val="20"/>
          <w:lang w:val="es-AR"/>
        </w:rPr>
        <w:t>l</w:t>
      </w:r>
      <w:r w:rsidR="009F70EA" w:rsidRPr="00386E47">
        <w:rPr>
          <w:rFonts w:asciiTheme="majorHAnsi" w:eastAsia="Calibri" w:hAnsiTheme="majorHAnsi"/>
          <w:sz w:val="20"/>
          <w:szCs w:val="20"/>
          <w:lang w:val="es-AR"/>
        </w:rPr>
        <w:t xml:space="preserve"> motor y verificado el número de serie que se encontraba grabado en él, </w:t>
      </w:r>
      <w:r w:rsidR="00C50FAF" w:rsidRPr="00386E47">
        <w:rPr>
          <w:rFonts w:asciiTheme="majorHAnsi" w:eastAsia="Calibri" w:hAnsiTheme="majorHAnsi"/>
          <w:sz w:val="20"/>
          <w:szCs w:val="20"/>
          <w:lang w:val="es-AR"/>
        </w:rPr>
        <w:t xml:space="preserve">durante la noche del 25 de julio de 1994, </w:t>
      </w:r>
      <w:r w:rsidR="006A10F8" w:rsidRPr="00386E47">
        <w:rPr>
          <w:rFonts w:asciiTheme="majorHAnsi" w:eastAsia="Calibri" w:hAnsiTheme="majorHAnsi"/>
          <w:sz w:val="20"/>
          <w:szCs w:val="20"/>
          <w:lang w:val="es-AR"/>
        </w:rPr>
        <w:t>agentes</w:t>
      </w:r>
      <w:r w:rsidR="009F70EA" w:rsidRPr="00386E47">
        <w:rPr>
          <w:rFonts w:asciiTheme="majorHAnsi" w:eastAsia="Calibri" w:hAnsiTheme="majorHAnsi"/>
          <w:sz w:val="20"/>
          <w:szCs w:val="20"/>
          <w:lang w:val="es-AR"/>
        </w:rPr>
        <w:t xml:space="preserve"> del Departamento de Operaciones de la Dirección de Contrainteligencia de la SIDE </w:t>
      </w:r>
      <w:r w:rsidR="00C50FAF" w:rsidRPr="00386E47">
        <w:rPr>
          <w:rFonts w:asciiTheme="majorHAnsi" w:eastAsia="Calibri" w:hAnsiTheme="majorHAnsi"/>
          <w:sz w:val="20"/>
          <w:szCs w:val="20"/>
          <w:lang w:val="es-AR"/>
        </w:rPr>
        <w:t>iniciaron un operativo de</w:t>
      </w:r>
      <w:r w:rsidR="006A10F8" w:rsidRPr="00386E47">
        <w:rPr>
          <w:rFonts w:asciiTheme="majorHAnsi" w:eastAsia="Calibri" w:hAnsiTheme="majorHAnsi"/>
          <w:sz w:val="20"/>
          <w:szCs w:val="20"/>
          <w:lang w:val="es-AR"/>
        </w:rPr>
        <w:t xml:space="preserve"> búsqueda del </w:t>
      </w:r>
      <w:r w:rsidR="00C50FAF" w:rsidRPr="00386E47">
        <w:rPr>
          <w:rFonts w:asciiTheme="majorHAnsi" w:eastAsia="Calibri" w:hAnsiTheme="majorHAnsi"/>
          <w:sz w:val="20"/>
          <w:szCs w:val="20"/>
          <w:lang w:val="es-AR"/>
        </w:rPr>
        <w:t>propietario</w:t>
      </w:r>
      <w:r w:rsidR="006A10F8" w:rsidRPr="00386E47">
        <w:rPr>
          <w:rFonts w:asciiTheme="majorHAnsi" w:eastAsia="Calibri" w:hAnsiTheme="majorHAnsi"/>
          <w:sz w:val="20"/>
          <w:szCs w:val="20"/>
          <w:lang w:val="es-AR"/>
        </w:rPr>
        <w:t xml:space="preserve"> del vehículo que habría sido utilizado como coche bomba</w:t>
      </w:r>
      <w:r w:rsidR="006A10F8" w:rsidRPr="00386E47">
        <w:rPr>
          <w:rFonts w:asciiTheme="majorHAnsi" w:eastAsia="Calibri" w:hAnsiTheme="majorHAnsi"/>
          <w:sz w:val="22"/>
          <w:szCs w:val="22"/>
          <w:vertAlign w:val="superscript"/>
          <w:lang w:val="es-AR"/>
        </w:rPr>
        <w:footnoteReference w:id="141"/>
      </w:r>
      <w:r w:rsidR="006A10F8" w:rsidRPr="00386E47">
        <w:rPr>
          <w:rFonts w:asciiTheme="majorHAnsi" w:eastAsia="Calibri" w:hAnsiTheme="majorHAnsi"/>
          <w:sz w:val="20"/>
          <w:szCs w:val="20"/>
          <w:lang w:val="es-AR"/>
        </w:rPr>
        <w:t>. Con ese objetivo</w:t>
      </w:r>
      <w:r w:rsidR="0043628D" w:rsidRPr="00386E47">
        <w:rPr>
          <w:rFonts w:asciiTheme="majorHAnsi" w:eastAsia="Calibri" w:hAnsiTheme="majorHAnsi"/>
          <w:sz w:val="20"/>
          <w:szCs w:val="20"/>
          <w:lang w:val="es-AR"/>
        </w:rPr>
        <w:t>,</w:t>
      </w:r>
      <w:r w:rsidR="006A10F8" w:rsidRPr="00386E47">
        <w:rPr>
          <w:rFonts w:asciiTheme="majorHAnsi" w:eastAsia="Calibri" w:hAnsiTheme="majorHAnsi"/>
          <w:sz w:val="20"/>
          <w:szCs w:val="20"/>
          <w:lang w:val="es-AR"/>
        </w:rPr>
        <w:t xml:space="preserve"> y luego de consultar con los registros de la propiedad </w:t>
      </w:r>
      <w:r w:rsidR="006A10F8" w:rsidRPr="00386E47">
        <w:rPr>
          <w:rFonts w:asciiTheme="majorHAnsi" w:eastAsia="Calibri" w:hAnsiTheme="majorHAnsi"/>
          <w:sz w:val="20"/>
          <w:szCs w:val="20"/>
          <w:lang w:val="es-AR"/>
        </w:rPr>
        <w:lastRenderedPageBreak/>
        <w:t xml:space="preserve">automotor, los investigadores se dirigieron, en primer término, a la sede de la empresa Messin S.R.L, propietario original del vehículo y luego al local de una concesionaria de vehículos llamada “Alejandro Automotores” </w:t>
      </w:r>
      <w:r w:rsidR="009F70EA" w:rsidRPr="00386E47">
        <w:rPr>
          <w:rFonts w:asciiTheme="majorHAnsi" w:eastAsia="Calibri" w:hAnsiTheme="majorHAnsi"/>
          <w:sz w:val="20"/>
          <w:szCs w:val="20"/>
          <w:lang w:val="es-AR"/>
        </w:rPr>
        <w:t>Las averiguaciones efectuadas en “Alejandro Automotores” condujeron a los funcionarios a un inmueble ubi</w:t>
      </w:r>
      <w:r w:rsidR="006A10F8" w:rsidRPr="00386E47">
        <w:rPr>
          <w:rFonts w:asciiTheme="majorHAnsi" w:eastAsia="Calibri" w:hAnsiTheme="majorHAnsi"/>
          <w:sz w:val="20"/>
          <w:szCs w:val="20"/>
          <w:lang w:val="es-AR"/>
        </w:rPr>
        <w:t xml:space="preserve">cado en la calle República 107 de la localidad de </w:t>
      </w:r>
      <w:r w:rsidR="009F70EA" w:rsidRPr="00386E47">
        <w:rPr>
          <w:rFonts w:asciiTheme="majorHAnsi" w:eastAsia="Calibri" w:hAnsiTheme="majorHAnsi"/>
          <w:sz w:val="20"/>
          <w:szCs w:val="20"/>
          <w:lang w:val="es-AR"/>
        </w:rPr>
        <w:t>Villa Ballester, propiedad de Carlos Telleldin y de su</w:t>
      </w:r>
      <w:r w:rsidR="00722A4B" w:rsidRPr="00386E47">
        <w:rPr>
          <w:rFonts w:asciiTheme="majorHAnsi" w:eastAsia="Calibri" w:hAnsiTheme="majorHAnsi"/>
          <w:sz w:val="20"/>
          <w:szCs w:val="20"/>
          <w:lang w:val="es-AR"/>
        </w:rPr>
        <w:t xml:space="preserve"> pareja</w:t>
      </w:r>
      <w:r w:rsidR="00EF4DB1" w:rsidRPr="00386E47">
        <w:rPr>
          <w:rStyle w:val="FootnoteReference"/>
          <w:rFonts w:asciiTheme="majorHAnsi" w:eastAsia="Calibri" w:hAnsiTheme="majorHAnsi"/>
          <w:sz w:val="20"/>
          <w:szCs w:val="20"/>
          <w:lang w:val="es-AR"/>
        </w:rPr>
        <w:footnoteReference w:id="142"/>
      </w:r>
      <w:r w:rsidR="00722A4B" w:rsidRPr="00386E47">
        <w:rPr>
          <w:rFonts w:asciiTheme="majorHAnsi" w:eastAsia="Calibri" w:hAnsiTheme="majorHAnsi"/>
          <w:sz w:val="20"/>
          <w:szCs w:val="20"/>
          <w:lang w:val="es-AR"/>
        </w:rPr>
        <w:t>.</w:t>
      </w:r>
    </w:p>
    <w:p w14:paraId="00D2F835" w14:textId="77777777" w:rsidR="006A10F8" w:rsidRPr="00386E47" w:rsidRDefault="00722A4B" w:rsidP="00D90B05">
      <w:pPr>
        <w:tabs>
          <w:tab w:val="left" w:pos="426"/>
        </w:tabs>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 </w:t>
      </w:r>
    </w:p>
    <w:p w14:paraId="3888B7EF" w14:textId="77777777" w:rsidR="009F70EA" w:rsidRPr="00386E47" w:rsidRDefault="00DA54AF"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Con base en</w:t>
      </w:r>
      <w:r w:rsidR="006A10F8" w:rsidRPr="00386E47">
        <w:rPr>
          <w:rFonts w:asciiTheme="majorHAnsi" w:eastAsia="Calibri" w:hAnsiTheme="majorHAnsi"/>
          <w:sz w:val="20"/>
          <w:szCs w:val="20"/>
          <w:lang w:val="es-AR"/>
        </w:rPr>
        <w:t xml:space="preserve"> la declaración en el juicio oral</w:t>
      </w:r>
      <w:r w:rsidR="009F70EA" w:rsidRPr="00386E47">
        <w:rPr>
          <w:rFonts w:asciiTheme="majorHAnsi" w:eastAsia="Calibri" w:hAnsiTheme="majorHAnsi"/>
          <w:sz w:val="20"/>
          <w:szCs w:val="20"/>
          <w:lang w:val="es-AR"/>
        </w:rPr>
        <w:t xml:space="preserve"> de </w:t>
      </w:r>
      <w:r w:rsidR="006A10F8" w:rsidRPr="00386E47">
        <w:rPr>
          <w:rFonts w:asciiTheme="majorHAnsi" w:eastAsia="Calibri" w:hAnsiTheme="majorHAnsi"/>
          <w:sz w:val="20"/>
          <w:szCs w:val="20"/>
          <w:lang w:val="es-AR"/>
        </w:rPr>
        <w:t xml:space="preserve">varios </w:t>
      </w:r>
      <w:r w:rsidR="009F70EA" w:rsidRPr="00386E47">
        <w:rPr>
          <w:rFonts w:asciiTheme="majorHAnsi" w:eastAsia="Calibri" w:hAnsiTheme="majorHAnsi"/>
          <w:sz w:val="20"/>
          <w:szCs w:val="20"/>
          <w:lang w:val="es-AR"/>
        </w:rPr>
        <w:t>agentes de la SIDE y de efectivos policiales pertenecientes al Departamento de Protección del Orden Constitucional de la Policía Federal Argentina (DPOC)</w:t>
      </w:r>
      <w:r w:rsidRPr="00386E47">
        <w:rPr>
          <w:rFonts w:asciiTheme="majorHAnsi" w:eastAsia="Calibri" w:hAnsiTheme="majorHAnsi"/>
          <w:sz w:val="20"/>
          <w:szCs w:val="20"/>
          <w:lang w:val="es-AR"/>
        </w:rPr>
        <w:t>,</w:t>
      </w:r>
      <w:r w:rsidR="009F70EA" w:rsidRPr="00386E47">
        <w:rPr>
          <w:rFonts w:asciiTheme="majorHAnsi" w:eastAsia="Calibri" w:hAnsiTheme="majorHAnsi"/>
          <w:sz w:val="20"/>
          <w:szCs w:val="20"/>
          <w:lang w:val="es-AR"/>
        </w:rPr>
        <w:t xml:space="preserve"> el Tribunal arribó a la conclusión que, durante los días 26 y 27 de julio, personal de ambas dependencias realizaron “una serie de diligencias ignoradas en el expediente, encaminadas a individualizar a Carlos Alberto Telleldin y a obtener, de modo subrepticio, información acerca de sus movimientos y entorno, todo ello en el marco de una anómala negociación entre los órganos investigadores - la Secretar</w:t>
      </w:r>
      <w:r w:rsidRPr="00386E47">
        <w:rPr>
          <w:rFonts w:asciiTheme="majorHAnsi" w:eastAsia="Calibri" w:hAnsiTheme="majorHAnsi"/>
          <w:sz w:val="20"/>
          <w:szCs w:val="20"/>
          <w:lang w:val="es-AR"/>
        </w:rPr>
        <w:t>í</w:t>
      </w:r>
      <w:r w:rsidR="009F70EA" w:rsidRPr="00386E47">
        <w:rPr>
          <w:rFonts w:asciiTheme="majorHAnsi" w:eastAsia="Calibri" w:hAnsiTheme="majorHAnsi"/>
          <w:sz w:val="20"/>
          <w:szCs w:val="20"/>
          <w:lang w:val="es-AR"/>
        </w:rPr>
        <w:t>a de Inteligencia de Estado y la Policía Federal Argentina – con los allegados de quien aparecía como el principal sospechoso de tal grave hecho”</w:t>
      </w:r>
      <w:r w:rsidR="009F70EA" w:rsidRPr="00386E47">
        <w:rPr>
          <w:rFonts w:asciiTheme="majorHAnsi" w:eastAsia="Calibri" w:hAnsiTheme="majorHAnsi"/>
          <w:sz w:val="20"/>
          <w:szCs w:val="20"/>
          <w:vertAlign w:val="superscript"/>
          <w:lang w:val="es-AR"/>
        </w:rPr>
        <w:footnoteReference w:id="143"/>
      </w:r>
      <w:r w:rsidR="00544816" w:rsidRPr="00386E47">
        <w:rPr>
          <w:rFonts w:asciiTheme="majorHAnsi" w:eastAsia="Calibri" w:hAnsiTheme="majorHAnsi"/>
          <w:sz w:val="20"/>
          <w:szCs w:val="20"/>
          <w:lang w:val="es-AR"/>
        </w:rPr>
        <w:t>.</w:t>
      </w:r>
    </w:p>
    <w:p w14:paraId="70052BE1" w14:textId="77777777" w:rsidR="009F70EA" w:rsidRPr="00386E47" w:rsidRDefault="009F70EA" w:rsidP="00D90B05">
      <w:pPr>
        <w:tabs>
          <w:tab w:val="left" w:pos="426"/>
        </w:tabs>
        <w:contextualSpacing/>
        <w:jc w:val="both"/>
        <w:rPr>
          <w:rFonts w:asciiTheme="majorHAnsi" w:eastAsia="Calibri" w:hAnsiTheme="majorHAnsi"/>
          <w:sz w:val="20"/>
          <w:szCs w:val="20"/>
          <w:lang w:val="es-AR"/>
        </w:rPr>
      </w:pPr>
    </w:p>
    <w:p w14:paraId="11715D2A" w14:textId="77777777" w:rsidR="009F70EA" w:rsidRPr="00386E47" w:rsidRDefault="00184159"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En </w:t>
      </w:r>
      <w:r w:rsidR="001A09BF" w:rsidRPr="00386E47">
        <w:rPr>
          <w:rFonts w:asciiTheme="majorHAnsi" w:eastAsia="Calibri" w:hAnsiTheme="majorHAnsi"/>
          <w:sz w:val="20"/>
          <w:szCs w:val="20"/>
          <w:lang w:val="es-AR"/>
        </w:rPr>
        <w:t>concreto</w:t>
      </w:r>
      <w:r w:rsidR="009F70EA" w:rsidRPr="00386E47">
        <w:rPr>
          <w:rFonts w:asciiTheme="majorHAnsi" w:eastAsia="Calibri" w:hAnsiTheme="majorHAnsi"/>
          <w:sz w:val="20"/>
          <w:szCs w:val="20"/>
          <w:lang w:val="es-AR"/>
        </w:rPr>
        <w:t xml:space="preserve">, el TOF 3 </w:t>
      </w:r>
      <w:r w:rsidR="001A09BF" w:rsidRPr="00386E47">
        <w:rPr>
          <w:rFonts w:asciiTheme="majorHAnsi" w:eastAsia="Calibri" w:hAnsiTheme="majorHAnsi"/>
          <w:sz w:val="20"/>
          <w:szCs w:val="20"/>
          <w:lang w:val="es-AR"/>
        </w:rPr>
        <w:t xml:space="preserve">tuvo por comprobado </w:t>
      </w:r>
      <w:r w:rsidR="009F70EA" w:rsidRPr="00386E47">
        <w:rPr>
          <w:rFonts w:asciiTheme="majorHAnsi" w:eastAsia="Calibri" w:hAnsiTheme="majorHAnsi"/>
          <w:sz w:val="20"/>
          <w:szCs w:val="20"/>
          <w:lang w:val="es-AR"/>
        </w:rPr>
        <w:t xml:space="preserve">que, en horas de la tarde del día 26 de julio, agentes de la SIDE, </w:t>
      </w:r>
      <w:r w:rsidRPr="00386E47">
        <w:rPr>
          <w:rFonts w:asciiTheme="majorHAnsi" w:eastAsia="Calibri" w:hAnsiTheme="majorHAnsi"/>
          <w:sz w:val="20"/>
          <w:szCs w:val="20"/>
          <w:lang w:val="es-AR"/>
        </w:rPr>
        <w:t>junto con efectivos</w:t>
      </w:r>
      <w:r w:rsidR="009F70EA" w:rsidRPr="00386E47">
        <w:rPr>
          <w:rFonts w:asciiTheme="majorHAnsi" w:eastAsia="Calibri" w:hAnsiTheme="majorHAnsi"/>
          <w:sz w:val="20"/>
          <w:szCs w:val="20"/>
          <w:lang w:val="es-AR"/>
        </w:rPr>
        <w:t xml:space="preserve"> del DPOC, irrumpieron en el domicilio de la calle República 107</w:t>
      </w:r>
      <w:r w:rsidRPr="00386E47">
        <w:rPr>
          <w:rFonts w:asciiTheme="majorHAnsi" w:eastAsia="Calibri" w:hAnsiTheme="majorHAnsi"/>
          <w:sz w:val="20"/>
          <w:szCs w:val="20"/>
          <w:lang w:val="es-AR"/>
        </w:rPr>
        <w:t xml:space="preserve">. </w:t>
      </w:r>
      <w:r w:rsidR="001A09BF" w:rsidRPr="00386E47">
        <w:rPr>
          <w:rFonts w:asciiTheme="majorHAnsi" w:eastAsia="Calibri" w:hAnsiTheme="majorHAnsi"/>
          <w:sz w:val="20"/>
          <w:szCs w:val="20"/>
          <w:lang w:val="es-AR"/>
        </w:rPr>
        <w:t>Los efectivos policiales y de inteligencia no contaban con una orden judicial de allanamiento y en el expediente “no obra ninguna constancia acerca de la incursión”</w:t>
      </w:r>
      <w:r w:rsidR="001A09BF" w:rsidRPr="00386E47">
        <w:rPr>
          <w:rFonts w:asciiTheme="majorHAnsi" w:eastAsia="Calibri" w:hAnsiTheme="majorHAnsi"/>
          <w:sz w:val="20"/>
          <w:szCs w:val="20"/>
          <w:vertAlign w:val="superscript"/>
          <w:lang w:val="es-AR"/>
        </w:rPr>
        <w:footnoteReference w:id="144"/>
      </w:r>
      <w:r w:rsidR="001A09BF"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En ese momento en el</w:t>
      </w:r>
      <w:r w:rsidR="009F70EA" w:rsidRPr="00386E47">
        <w:rPr>
          <w:rFonts w:asciiTheme="majorHAnsi" w:eastAsia="Calibri" w:hAnsiTheme="majorHAnsi"/>
          <w:sz w:val="20"/>
          <w:szCs w:val="20"/>
          <w:lang w:val="es-AR"/>
        </w:rPr>
        <w:t xml:space="preserve"> inmu</w:t>
      </w:r>
      <w:r w:rsidRPr="00386E47">
        <w:rPr>
          <w:rFonts w:asciiTheme="majorHAnsi" w:eastAsia="Calibri" w:hAnsiTheme="majorHAnsi"/>
          <w:sz w:val="20"/>
          <w:szCs w:val="20"/>
          <w:lang w:val="es-AR"/>
        </w:rPr>
        <w:t>eble solo se hallaban presentes</w:t>
      </w:r>
      <w:r w:rsidR="009F70EA" w:rsidRPr="00386E47">
        <w:rPr>
          <w:rFonts w:asciiTheme="majorHAnsi" w:eastAsia="Calibri" w:hAnsiTheme="majorHAnsi"/>
          <w:sz w:val="20"/>
          <w:szCs w:val="20"/>
          <w:lang w:val="es-AR"/>
        </w:rPr>
        <w:t xml:space="preserve"> la </w:t>
      </w:r>
      <w:r w:rsidR="001A09BF" w:rsidRPr="00386E47">
        <w:rPr>
          <w:rFonts w:asciiTheme="majorHAnsi" w:eastAsia="Calibri" w:hAnsiTheme="majorHAnsi"/>
          <w:sz w:val="20"/>
          <w:szCs w:val="20"/>
          <w:lang w:val="es-AR"/>
        </w:rPr>
        <w:t>pareja de</w:t>
      </w:r>
      <w:r w:rsidR="009F70EA" w:rsidRPr="00386E47">
        <w:rPr>
          <w:rFonts w:asciiTheme="majorHAnsi" w:eastAsia="Calibri" w:hAnsiTheme="majorHAnsi"/>
          <w:sz w:val="20"/>
          <w:szCs w:val="20"/>
          <w:lang w:val="es-AR"/>
        </w:rPr>
        <w:t xml:space="preserve"> Telleldin</w:t>
      </w:r>
      <w:r w:rsidR="001A09BF" w:rsidRPr="00386E47">
        <w:rPr>
          <w:rFonts w:asciiTheme="majorHAnsi" w:eastAsia="Calibri" w:hAnsiTheme="majorHAnsi"/>
          <w:sz w:val="20"/>
          <w:szCs w:val="20"/>
          <w:lang w:val="es-AR"/>
        </w:rPr>
        <w:t>, Ana Maria Boragni</w:t>
      </w:r>
      <w:r w:rsidR="009F70EA" w:rsidRPr="00386E47">
        <w:rPr>
          <w:rFonts w:asciiTheme="majorHAnsi" w:eastAsia="Calibri" w:hAnsiTheme="majorHAnsi"/>
          <w:sz w:val="20"/>
          <w:szCs w:val="20"/>
          <w:lang w:val="es-AR"/>
        </w:rPr>
        <w:t xml:space="preserve"> y sus tres hijos menores de edad</w:t>
      </w:r>
      <w:r w:rsidR="009F70EA" w:rsidRPr="00386E47">
        <w:rPr>
          <w:rFonts w:asciiTheme="majorHAnsi" w:eastAsia="Calibri" w:hAnsiTheme="majorHAnsi"/>
          <w:sz w:val="20"/>
          <w:szCs w:val="20"/>
          <w:vertAlign w:val="superscript"/>
          <w:lang w:val="es-AR"/>
        </w:rPr>
        <w:footnoteReference w:id="145"/>
      </w:r>
      <w:r w:rsidR="009F70EA" w:rsidRPr="00386E47">
        <w:rPr>
          <w:rFonts w:asciiTheme="majorHAnsi" w:eastAsia="Calibri" w:hAnsiTheme="majorHAnsi"/>
          <w:sz w:val="20"/>
          <w:szCs w:val="20"/>
          <w:lang w:val="es-AR"/>
        </w:rPr>
        <w:t xml:space="preserve">. </w:t>
      </w:r>
    </w:p>
    <w:p w14:paraId="450FC2A3" w14:textId="77777777" w:rsidR="009F70EA" w:rsidRPr="00386E47" w:rsidRDefault="009F70EA" w:rsidP="00D90B05">
      <w:pPr>
        <w:tabs>
          <w:tab w:val="left" w:pos="426"/>
        </w:tabs>
        <w:contextualSpacing/>
        <w:jc w:val="both"/>
        <w:rPr>
          <w:rFonts w:asciiTheme="majorHAnsi" w:eastAsia="Calibri" w:hAnsiTheme="majorHAnsi"/>
          <w:sz w:val="20"/>
          <w:szCs w:val="20"/>
          <w:lang w:val="es-AR"/>
        </w:rPr>
      </w:pPr>
    </w:p>
    <w:p w14:paraId="08AAD1C4"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Durante la noche del 26 de julio, la </w:t>
      </w:r>
      <w:r w:rsidR="001A09BF" w:rsidRPr="00386E47">
        <w:rPr>
          <w:rFonts w:asciiTheme="majorHAnsi" w:eastAsia="Calibri" w:hAnsiTheme="majorHAnsi"/>
          <w:sz w:val="20"/>
          <w:szCs w:val="20"/>
          <w:lang w:val="es-AR"/>
        </w:rPr>
        <w:t xml:space="preserve">pareja </w:t>
      </w:r>
      <w:r w:rsidRPr="00386E47">
        <w:rPr>
          <w:rFonts w:asciiTheme="majorHAnsi" w:eastAsia="Calibri" w:hAnsiTheme="majorHAnsi"/>
          <w:sz w:val="20"/>
          <w:szCs w:val="20"/>
          <w:lang w:val="es-AR"/>
        </w:rPr>
        <w:t xml:space="preserve">de Telleldin fue trasladada a la sede del DPOC para prestar declaración, </w:t>
      </w:r>
      <w:r w:rsidR="00524888" w:rsidRPr="00386E47">
        <w:rPr>
          <w:rFonts w:asciiTheme="majorHAnsi" w:eastAsia="Calibri" w:hAnsiTheme="majorHAnsi"/>
          <w:sz w:val="20"/>
          <w:szCs w:val="20"/>
          <w:lang w:val="es-AR"/>
        </w:rPr>
        <w:t xml:space="preserve">en tanto </w:t>
      </w:r>
      <w:r w:rsidR="00184159" w:rsidRPr="00386E47">
        <w:rPr>
          <w:rFonts w:asciiTheme="majorHAnsi" w:eastAsia="Calibri" w:hAnsiTheme="majorHAnsi"/>
          <w:sz w:val="20"/>
          <w:szCs w:val="20"/>
          <w:lang w:val="es-AR"/>
        </w:rPr>
        <w:t xml:space="preserve">que otro un grupo de </w:t>
      </w:r>
      <w:r w:rsidRPr="00386E47">
        <w:rPr>
          <w:rFonts w:asciiTheme="majorHAnsi" w:eastAsia="Calibri" w:hAnsiTheme="majorHAnsi"/>
          <w:sz w:val="20"/>
          <w:szCs w:val="20"/>
          <w:lang w:val="es-AR"/>
        </w:rPr>
        <w:t xml:space="preserve">funcionarios </w:t>
      </w:r>
      <w:r w:rsidR="00524888" w:rsidRPr="00386E47">
        <w:rPr>
          <w:rFonts w:asciiTheme="majorHAnsi" w:eastAsia="Calibri" w:hAnsiTheme="majorHAnsi"/>
          <w:sz w:val="20"/>
          <w:szCs w:val="20"/>
          <w:lang w:val="es-AR"/>
        </w:rPr>
        <w:t xml:space="preserve">de la SIDE y </w:t>
      </w:r>
      <w:r w:rsidR="00184159" w:rsidRPr="00386E47">
        <w:rPr>
          <w:rFonts w:asciiTheme="majorHAnsi" w:eastAsia="Calibri" w:hAnsiTheme="majorHAnsi"/>
          <w:sz w:val="20"/>
          <w:szCs w:val="20"/>
          <w:lang w:val="es-AR"/>
        </w:rPr>
        <w:t xml:space="preserve">el DPOC permanecieron </w:t>
      </w:r>
      <w:r w:rsidRPr="00386E47">
        <w:rPr>
          <w:rFonts w:asciiTheme="majorHAnsi" w:eastAsia="Calibri" w:hAnsiTheme="majorHAnsi"/>
          <w:sz w:val="20"/>
          <w:szCs w:val="20"/>
          <w:lang w:val="es-AR"/>
        </w:rPr>
        <w:t xml:space="preserve">en el domicilio </w:t>
      </w:r>
      <w:r w:rsidR="001A09BF" w:rsidRPr="00386E47">
        <w:rPr>
          <w:rFonts w:asciiTheme="majorHAnsi" w:eastAsia="Calibri" w:hAnsiTheme="majorHAnsi"/>
          <w:sz w:val="20"/>
          <w:szCs w:val="20"/>
          <w:lang w:val="es-AR"/>
        </w:rPr>
        <w:t>junto con</w:t>
      </w:r>
      <w:r w:rsidRPr="00386E47">
        <w:rPr>
          <w:rFonts w:asciiTheme="majorHAnsi" w:eastAsia="Calibri" w:hAnsiTheme="majorHAnsi"/>
          <w:sz w:val="20"/>
          <w:szCs w:val="20"/>
          <w:lang w:val="es-AR"/>
        </w:rPr>
        <w:t xml:space="preserve"> </w:t>
      </w:r>
      <w:r w:rsidR="00184159" w:rsidRPr="00386E47">
        <w:rPr>
          <w:rFonts w:asciiTheme="majorHAnsi" w:eastAsia="Calibri" w:hAnsiTheme="majorHAnsi"/>
          <w:sz w:val="20"/>
          <w:szCs w:val="20"/>
          <w:lang w:val="es-AR"/>
        </w:rPr>
        <w:t xml:space="preserve">los </w:t>
      </w:r>
      <w:r w:rsidR="001A09BF" w:rsidRPr="00386E47">
        <w:rPr>
          <w:rFonts w:asciiTheme="majorHAnsi" w:eastAsia="Calibri" w:hAnsiTheme="majorHAnsi"/>
          <w:sz w:val="20"/>
          <w:szCs w:val="20"/>
          <w:lang w:val="es-AR"/>
        </w:rPr>
        <w:t>hijos de Boragni</w:t>
      </w:r>
      <w:r w:rsidRPr="00386E47">
        <w:rPr>
          <w:rFonts w:asciiTheme="majorHAnsi" w:eastAsia="Calibri" w:hAnsiTheme="majorHAnsi"/>
          <w:sz w:val="20"/>
          <w:szCs w:val="20"/>
          <w:vertAlign w:val="superscript"/>
          <w:lang w:val="es-AR"/>
        </w:rPr>
        <w:footnoteReference w:id="146"/>
      </w:r>
      <w:r w:rsidRPr="00386E47">
        <w:rPr>
          <w:rFonts w:asciiTheme="majorHAnsi" w:eastAsia="Calibri" w:hAnsiTheme="majorHAnsi"/>
          <w:sz w:val="20"/>
          <w:szCs w:val="20"/>
          <w:lang w:val="es-AR"/>
        </w:rPr>
        <w:t xml:space="preserve">.  De acuerdo con </w:t>
      </w:r>
      <w:r w:rsidR="00184159" w:rsidRPr="00386E47">
        <w:rPr>
          <w:rFonts w:asciiTheme="majorHAnsi" w:eastAsia="Calibri" w:hAnsiTheme="majorHAnsi"/>
          <w:sz w:val="20"/>
          <w:szCs w:val="20"/>
          <w:lang w:val="es-AR"/>
        </w:rPr>
        <w:t>estos agentes</w:t>
      </w:r>
      <w:r w:rsidRPr="00386E47">
        <w:rPr>
          <w:rFonts w:asciiTheme="majorHAnsi" w:eastAsia="Calibri" w:hAnsiTheme="majorHAnsi"/>
          <w:sz w:val="20"/>
          <w:szCs w:val="20"/>
          <w:lang w:val="es-AR"/>
        </w:rPr>
        <w:t xml:space="preserve">, </w:t>
      </w:r>
      <w:r w:rsidR="00184159" w:rsidRPr="00386E47">
        <w:rPr>
          <w:rFonts w:asciiTheme="majorHAnsi" w:eastAsia="Calibri" w:hAnsiTheme="majorHAnsi"/>
          <w:sz w:val="20"/>
          <w:szCs w:val="20"/>
          <w:lang w:val="es-AR"/>
        </w:rPr>
        <w:t xml:space="preserve">su </w:t>
      </w:r>
      <w:r w:rsidRPr="00386E47">
        <w:rPr>
          <w:rFonts w:asciiTheme="majorHAnsi" w:eastAsia="Calibri" w:hAnsiTheme="majorHAnsi"/>
          <w:sz w:val="20"/>
          <w:szCs w:val="20"/>
          <w:lang w:val="es-AR"/>
        </w:rPr>
        <w:t>permanencia en el domicilio de Telleldin se extendió desde la tarde del 26 de julio hasta la tarde del 27 y cesó cuando Telleldin fue detenido en el Aeroparque Jorge Newbery</w:t>
      </w:r>
      <w:r w:rsidR="001A09BF" w:rsidRPr="00386E47">
        <w:rPr>
          <w:rFonts w:asciiTheme="majorHAnsi" w:eastAsia="Calibri" w:hAnsiTheme="majorHAnsi"/>
          <w:sz w:val="20"/>
          <w:szCs w:val="20"/>
          <w:lang w:val="es-AR"/>
        </w:rPr>
        <w:t>, al regreso de un viaje al norte del país</w:t>
      </w:r>
      <w:r w:rsidRPr="00386E47">
        <w:rPr>
          <w:rFonts w:asciiTheme="majorHAnsi" w:eastAsia="Calibri" w:hAnsiTheme="majorHAnsi"/>
          <w:sz w:val="20"/>
          <w:szCs w:val="20"/>
          <w:vertAlign w:val="superscript"/>
          <w:lang w:val="es-AR"/>
        </w:rPr>
        <w:footnoteReference w:id="147"/>
      </w:r>
      <w:r w:rsidRPr="00386E47">
        <w:rPr>
          <w:rFonts w:asciiTheme="majorHAnsi" w:eastAsia="Calibri" w:hAnsiTheme="majorHAnsi"/>
          <w:sz w:val="20"/>
          <w:szCs w:val="20"/>
          <w:lang w:val="es-AR"/>
        </w:rPr>
        <w:t>. Un allana</w:t>
      </w:r>
      <w:r w:rsidR="00F54071" w:rsidRPr="00386E47">
        <w:rPr>
          <w:rFonts w:asciiTheme="majorHAnsi" w:eastAsia="Calibri" w:hAnsiTheme="majorHAnsi"/>
          <w:sz w:val="20"/>
          <w:szCs w:val="20"/>
          <w:lang w:val="es-AR"/>
        </w:rPr>
        <w:t>miento formal al inmueble de República</w:t>
      </w:r>
      <w:r w:rsidRPr="00386E47">
        <w:rPr>
          <w:rFonts w:asciiTheme="majorHAnsi" w:eastAsia="Calibri" w:hAnsiTheme="majorHAnsi"/>
          <w:sz w:val="20"/>
          <w:szCs w:val="20"/>
          <w:lang w:val="es-AR"/>
        </w:rPr>
        <w:t xml:space="preserve"> 107 tuvo lugar poco tie</w:t>
      </w:r>
      <w:r w:rsidR="00184159" w:rsidRPr="00386E47">
        <w:rPr>
          <w:rFonts w:asciiTheme="majorHAnsi" w:eastAsia="Calibri" w:hAnsiTheme="majorHAnsi"/>
          <w:sz w:val="20"/>
          <w:szCs w:val="20"/>
          <w:lang w:val="es-AR"/>
        </w:rPr>
        <w:t xml:space="preserve">mpo después del arresto de </w:t>
      </w:r>
      <w:r w:rsidRPr="00386E47">
        <w:rPr>
          <w:rFonts w:asciiTheme="majorHAnsi" w:eastAsia="Calibri" w:hAnsiTheme="majorHAnsi"/>
          <w:sz w:val="20"/>
          <w:szCs w:val="20"/>
          <w:lang w:val="es-AR"/>
        </w:rPr>
        <w:t>Telleldin</w:t>
      </w:r>
      <w:r w:rsidRPr="00386E47">
        <w:rPr>
          <w:rFonts w:asciiTheme="majorHAnsi" w:eastAsia="Calibri" w:hAnsiTheme="majorHAnsi"/>
          <w:sz w:val="20"/>
          <w:szCs w:val="20"/>
          <w:vertAlign w:val="superscript"/>
          <w:lang w:val="es-AR"/>
        </w:rPr>
        <w:footnoteReference w:id="148"/>
      </w:r>
      <w:r w:rsidRPr="00386E47">
        <w:rPr>
          <w:rFonts w:asciiTheme="majorHAnsi" w:eastAsia="Calibri" w:hAnsiTheme="majorHAnsi"/>
          <w:sz w:val="20"/>
          <w:szCs w:val="20"/>
          <w:lang w:val="es-AR"/>
        </w:rPr>
        <w:t xml:space="preserve">. </w:t>
      </w:r>
    </w:p>
    <w:p w14:paraId="1C3E0AEC" w14:textId="77777777" w:rsidR="009F70EA" w:rsidRPr="00386E47" w:rsidRDefault="009F70EA" w:rsidP="00D90B05">
      <w:pPr>
        <w:tabs>
          <w:tab w:val="left" w:pos="426"/>
        </w:tabs>
        <w:contextualSpacing/>
        <w:jc w:val="both"/>
        <w:rPr>
          <w:rFonts w:asciiTheme="majorHAnsi" w:eastAsia="Calibri" w:hAnsiTheme="majorHAnsi"/>
          <w:sz w:val="20"/>
          <w:szCs w:val="20"/>
          <w:lang w:val="es-AR"/>
        </w:rPr>
      </w:pPr>
    </w:p>
    <w:p w14:paraId="1335B47D"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Con respecto al significado y valor procesal del allanamiento efectuado con posterioridad a las actividades de los agentes de la SIDE y la DPOC, el TOF 3 señaló que “la permanencia, por casi dos días consecutivos en el domicilio en cuestión, incluso durante algunos lapsos en ausencia de sus titulares, despoja de certeza cualquier posible indicio emanado de los elementos posteriormente secuestrados en el allanamiento”</w:t>
      </w:r>
      <w:r w:rsidRPr="00386E47">
        <w:rPr>
          <w:rFonts w:asciiTheme="majorHAnsi" w:eastAsia="Calibri" w:hAnsiTheme="majorHAnsi"/>
          <w:sz w:val="20"/>
          <w:szCs w:val="20"/>
          <w:vertAlign w:val="superscript"/>
          <w:lang w:val="es-AR"/>
        </w:rPr>
        <w:footnoteReference w:id="149"/>
      </w:r>
      <w:r w:rsidRPr="00386E47">
        <w:rPr>
          <w:rFonts w:asciiTheme="majorHAnsi" w:eastAsia="Calibri" w:hAnsiTheme="majorHAnsi"/>
          <w:sz w:val="20"/>
          <w:szCs w:val="20"/>
          <w:lang w:val="es-AR"/>
        </w:rPr>
        <w:t>. En el mismo sentido, el Tribunal aseguró que “la incursión informal efectuada por los funcionarios de inteligencia en el domicilio del imputado, vulneró la incolumidad que poseían los elementos de prueba allí existentes privando así de validez a la diligencia posteriormente realizada convirtiéndola en una mera ficción”</w:t>
      </w:r>
      <w:r w:rsidRPr="00386E47">
        <w:rPr>
          <w:rFonts w:asciiTheme="majorHAnsi" w:eastAsia="Calibri" w:hAnsiTheme="majorHAnsi"/>
          <w:sz w:val="20"/>
          <w:szCs w:val="20"/>
          <w:vertAlign w:val="superscript"/>
          <w:lang w:val="es-AR"/>
        </w:rPr>
        <w:footnoteReference w:id="150"/>
      </w:r>
      <w:r w:rsidRPr="00386E47">
        <w:rPr>
          <w:rFonts w:asciiTheme="majorHAnsi" w:eastAsia="Calibri" w:hAnsiTheme="majorHAnsi"/>
          <w:sz w:val="20"/>
          <w:szCs w:val="20"/>
          <w:lang w:val="es-AR"/>
        </w:rPr>
        <w:t xml:space="preserve">. </w:t>
      </w:r>
    </w:p>
    <w:p w14:paraId="0E59CE18" w14:textId="77777777" w:rsidR="009F70EA" w:rsidRPr="00386E47" w:rsidRDefault="009F70EA" w:rsidP="00D90B05">
      <w:pPr>
        <w:tabs>
          <w:tab w:val="left" w:pos="426"/>
        </w:tabs>
        <w:contextualSpacing/>
        <w:jc w:val="both"/>
        <w:rPr>
          <w:rFonts w:asciiTheme="majorHAnsi" w:eastAsia="Calibri" w:hAnsiTheme="majorHAnsi"/>
          <w:sz w:val="20"/>
          <w:szCs w:val="20"/>
          <w:lang w:val="es-AR"/>
        </w:rPr>
      </w:pPr>
    </w:p>
    <w:p w14:paraId="2644286A"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Por último, el TOF 3 sostuvo que no resultaba creíble que “experimentados funcionarios de investigaciones, en vez de solicitar una orden de allanamiento a fin de incautar los elementos que podían echar luz sobre la pesquisa o las medidas de coerción personal, permanecieran inactivos […] en un rol de niñeros de los hijos del principal sospechoso”</w:t>
      </w:r>
      <w:r w:rsidR="00524888" w:rsidRPr="00386E47">
        <w:rPr>
          <w:rStyle w:val="FootnoteReference"/>
          <w:rFonts w:asciiTheme="majorHAnsi" w:eastAsia="Calibri" w:hAnsiTheme="majorHAnsi"/>
          <w:sz w:val="20"/>
          <w:szCs w:val="20"/>
          <w:lang w:val="es-AR"/>
        </w:rPr>
        <w:footnoteReference w:id="151"/>
      </w:r>
      <w:r w:rsidRPr="00386E47">
        <w:rPr>
          <w:rFonts w:asciiTheme="majorHAnsi" w:eastAsia="Calibri" w:hAnsiTheme="majorHAnsi"/>
          <w:sz w:val="20"/>
          <w:szCs w:val="20"/>
          <w:lang w:val="es-AR"/>
        </w:rPr>
        <w:t>. En consecuencia, el TOF 3 declaró la nulidad del allanamiento p</w:t>
      </w:r>
      <w:r w:rsidR="006812DA" w:rsidRPr="00386E47">
        <w:rPr>
          <w:rFonts w:asciiTheme="majorHAnsi" w:eastAsia="Calibri" w:hAnsiTheme="majorHAnsi"/>
          <w:sz w:val="20"/>
          <w:szCs w:val="20"/>
          <w:lang w:val="es-AR"/>
        </w:rPr>
        <w:t>racticado en el inmueble de la c</w:t>
      </w:r>
      <w:r w:rsidR="00F54071" w:rsidRPr="00386E47">
        <w:rPr>
          <w:rFonts w:asciiTheme="majorHAnsi" w:eastAsia="Calibri" w:hAnsiTheme="majorHAnsi"/>
          <w:sz w:val="20"/>
          <w:szCs w:val="20"/>
          <w:lang w:val="es-AR"/>
        </w:rPr>
        <w:t>alle República</w:t>
      </w:r>
      <w:r w:rsidR="006812DA" w:rsidRPr="00386E47">
        <w:rPr>
          <w:rFonts w:asciiTheme="majorHAnsi" w:eastAsia="Calibri" w:hAnsiTheme="majorHAnsi"/>
          <w:sz w:val="20"/>
          <w:szCs w:val="20"/>
          <w:lang w:val="es-AR"/>
        </w:rPr>
        <w:t xml:space="preserve"> 107</w:t>
      </w:r>
      <w:r w:rsidRPr="00386E47">
        <w:rPr>
          <w:rFonts w:asciiTheme="majorHAnsi" w:eastAsia="Calibri" w:hAnsiTheme="majorHAnsi"/>
          <w:sz w:val="20"/>
          <w:szCs w:val="20"/>
          <w:lang w:val="es-AR"/>
        </w:rPr>
        <w:t xml:space="preserve">. </w:t>
      </w:r>
    </w:p>
    <w:p w14:paraId="1FCF3F1B" w14:textId="77777777" w:rsidR="00F533FB" w:rsidRPr="00386E47" w:rsidRDefault="00F533FB" w:rsidP="004A09E0">
      <w:pPr>
        <w:tabs>
          <w:tab w:val="left" w:pos="567"/>
        </w:tabs>
        <w:contextualSpacing/>
        <w:jc w:val="both"/>
        <w:rPr>
          <w:rFonts w:asciiTheme="majorHAnsi" w:eastAsia="Calibri" w:hAnsiTheme="majorHAnsi"/>
          <w:sz w:val="20"/>
          <w:szCs w:val="20"/>
          <w:lang w:val="es-AR"/>
        </w:rPr>
      </w:pPr>
    </w:p>
    <w:p w14:paraId="6CB4A50E" w14:textId="77777777" w:rsidR="00F533FB" w:rsidRPr="00386E47" w:rsidRDefault="00F533FB" w:rsidP="003A5860">
      <w:pPr>
        <w:pStyle w:val="ListParagraph"/>
        <w:numPr>
          <w:ilvl w:val="0"/>
          <w:numId w:val="58"/>
        </w:numPr>
        <w:tabs>
          <w:tab w:val="left" w:pos="567"/>
        </w:tabs>
        <w:contextualSpacing/>
        <w:jc w:val="both"/>
        <w:rPr>
          <w:rFonts w:asciiTheme="majorHAnsi" w:eastAsia="Calibri" w:hAnsiTheme="majorHAnsi"/>
          <w:b/>
          <w:sz w:val="20"/>
          <w:szCs w:val="20"/>
          <w:lang w:val="es-AR"/>
        </w:rPr>
      </w:pPr>
      <w:r w:rsidRPr="00386E47">
        <w:rPr>
          <w:rFonts w:asciiTheme="majorHAnsi" w:eastAsia="Calibri" w:hAnsiTheme="majorHAnsi"/>
          <w:b/>
          <w:sz w:val="20"/>
          <w:szCs w:val="20"/>
          <w:lang w:val="es-AR"/>
        </w:rPr>
        <w:t>Consideraciones de la Comisión</w:t>
      </w:r>
    </w:p>
    <w:p w14:paraId="692CF767" w14:textId="77777777" w:rsidR="00F533FB" w:rsidRPr="00386E47" w:rsidRDefault="00F533FB" w:rsidP="004A09E0">
      <w:pPr>
        <w:tabs>
          <w:tab w:val="left" w:pos="567"/>
        </w:tabs>
        <w:contextualSpacing/>
        <w:jc w:val="both"/>
        <w:rPr>
          <w:rFonts w:asciiTheme="majorHAnsi" w:eastAsia="Calibri" w:hAnsiTheme="majorHAnsi"/>
          <w:sz w:val="20"/>
          <w:szCs w:val="20"/>
          <w:lang w:val="es-AR"/>
        </w:rPr>
      </w:pPr>
    </w:p>
    <w:p w14:paraId="7D1C2B37" w14:textId="77777777" w:rsidR="00F533FB" w:rsidRPr="00386E47" w:rsidRDefault="00F533FB"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La Comisión resalta - en línea con lo advertido por el Tribunal Oral en lo Criminal Federal Nro. 3 y por la Sala II de la Cámara Nacional de Casación Penal en sus sentencias de fecha 29 de octubre de 2004 y 19 de mayo de </w:t>
      </w:r>
      <w:r w:rsidRPr="00386E47">
        <w:rPr>
          <w:rFonts w:asciiTheme="majorHAnsi" w:eastAsia="Calibri" w:hAnsiTheme="majorHAnsi"/>
          <w:sz w:val="20"/>
          <w:szCs w:val="20"/>
          <w:lang w:val="es-ES_tradnl"/>
        </w:rPr>
        <w:lastRenderedPageBreak/>
        <w:t>2006</w:t>
      </w:r>
      <w:r w:rsidRPr="00386E47">
        <w:rPr>
          <w:rFonts w:asciiTheme="majorHAnsi" w:eastAsia="Calibri" w:hAnsiTheme="majorHAnsi"/>
          <w:sz w:val="22"/>
          <w:szCs w:val="22"/>
          <w:vertAlign w:val="superscript"/>
          <w:lang w:val="es-ES_tradnl"/>
        </w:rPr>
        <w:footnoteReference w:id="152"/>
      </w:r>
      <w:r w:rsidRPr="00386E47">
        <w:rPr>
          <w:rFonts w:asciiTheme="majorHAnsi" w:eastAsia="Calibri" w:hAnsiTheme="majorHAnsi"/>
          <w:sz w:val="20"/>
          <w:szCs w:val="20"/>
          <w:lang w:val="es-ES_tradnl"/>
        </w:rPr>
        <w:t xml:space="preserve"> - que determinados funcionarios judiciales y policiales encargados de coordinar la investigación del atentado que se hallaban presentes en el sitio del atentado no cumplieron adecuadamente con sus deberes de proteger la escena del hecho, recoger de manera adecuada y oportuna las pruebas que allí se hallaron  y asegurar su cadena de custodia. </w:t>
      </w:r>
    </w:p>
    <w:p w14:paraId="3CB2E666" w14:textId="77777777" w:rsidR="00F533FB" w:rsidRPr="00386E47" w:rsidRDefault="00F533FB" w:rsidP="00F533FB">
      <w:pPr>
        <w:tabs>
          <w:tab w:val="left" w:pos="567"/>
        </w:tabs>
        <w:contextualSpacing/>
        <w:jc w:val="both"/>
        <w:rPr>
          <w:rFonts w:asciiTheme="majorHAnsi" w:eastAsia="Calibri" w:hAnsiTheme="majorHAnsi"/>
          <w:sz w:val="20"/>
          <w:szCs w:val="20"/>
          <w:lang w:val="es-ES_tradnl"/>
        </w:rPr>
      </w:pPr>
    </w:p>
    <w:p w14:paraId="363DB5FD" w14:textId="77777777" w:rsidR="00F533FB" w:rsidRPr="00386E47" w:rsidRDefault="00F533FB"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La Comisión reconoce que la magnitud de este hecho delictivo, tanto en términos del grado de destrucción provocado por la explosión como por la cantidad de víctimas fatales y heridos existentes, determinó que, durante las primeras horas, la prioridad estuviera concentrada en las labores de remoción de escombros y búsqueda de personas sobrevivientes. En este sentido, la Comisión tiene en consideración la dificultad que supone la realización de las tareas de levantamiento de evidencias en el contexto de hechos de esta naturaleza. </w:t>
      </w:r>
    </w:p>
    <w:p w14:paraId="787B8A11" w14:textId="77777777" w:rsidR="00F533FB" w:rsidRPr="00386E47" w:rsidRDefault="00F533FB" w:rsidP="00F533FB">
      <w:pPr>
        <w:tabs>
          <w:tab w:val="left" w:pos="567"/>
        </w:tabs>
        <w:contextualSpacing/>
        <w:jc w:val="both"/>
        <w:rPr>
          <w:rFonts w:asciiTheme="majorHAnsi" w:eastAsia="Calibri" w:hAnsiTheme="majorHAnsi"/>
          <w:sz w:val="20"/>
          <w:szCs w:val="20"/>
          <w:lang w:val="es-ES_tradnl"/>
        </w:rPr>
      </w:pPr>
    </w:p>
    <w:p w14:paraId="366CA23E" w14:textId="77777777" w:rsidR="00F533FB" w:rsidRPr="00386E47" w:rsidRDefault="00F533FB"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Sin embargo, la Comisión encuentra que no resultan justificables, a la luz del principio de debida diligencia, las acciones de aquellos funcionarios que omitieron documentar de manera fidedigna las circunstancias en que fueron hallados diversos elementos de gran relevancia para la investigación, en particular las partes del motor de la camioneta Renault Trafic. Como fue indicado en su momento por el TOF 3, los policías no mostraron una “mínima inquietud” por recibir la declaración de quienes presenciaron el hallazgo de dichas piezas o para realizar una reconstrucción u observación del lugar donde fueron encontradas. Por consiguiente, la Comisión no encuentra sustento en la confección del acta del secuestro, con base en declaraciones de personas respecto de quienes no se tiene efectiva constancia de que se encontraran presentes en el momento de dicho hallazgo</w:t>
      </w:r>
      <w:r w:rsidRPr="00386E47">
        <w:rPr>
          <w:rStyle w:val="CommentReference"/>
          <w:rFonts w:asciiTheme="majorHAnsi" w:hAnsiTheme="majorHAnsi"/>
          <w:sz w:val="20"/>
          <w:szCs w:val="20"/>
          <w:bdr w:val="nil"/>
          <w:lang w:val="es-AR" w:eastAsia="en-US"/>
        </w:rPr>
        <w:t>.</w:t>
      </w:r>
      <w:r w:rsidRPr="00386E47">
        <w:rPr>
          <w:rFonts w:asciiTheme="majorHAnsi" w:eastAsia="Calibri" w:hAnsiTheme="majorHAnsi"/>
          <w:sz w:val="20"/>
          <w:szCs w:val="20"/>
          <w:lang w:val="es-ES_tradnl"/>
        </w:rPr>
        <w:t xml:space="preserve"> </w:t>
      </w:r>
    </w:p>
    <w:p w14:paraId="0098E5F1" w14:textId="77777777" w:rsidR="00F533FB" w:rsidRPr="00386E47" w:rsidRDefault="00F533FB" w:rsidP="00F533FB">
      <w:pPr>
        <w:tabs>
          <w:tab w:val="left" w:pos="567"/>
        </w:tabs>
        <w:contextualSpacing/>
        <w:jc w:val="both"/>
        <w:rPr>
          <w:rFonts w:asciiTheme="majorHAnsi" w:eastAsia="Calibri" w:hAnsiTheme="majorHAnsi"/>
          <w:sz w:val="20"/>
          <w:szCs w:val="20"/>
          <w:lang w:val="es-ES_tradnl"/>
        </w:rPr>
      </w:pPr>
    </w:p>
    <w:p w14:paraId="04B9F19F" w14:textId="77777777" w:rsidR="00F533FB" w:rsidRPr="00386E47" w:rsidRDefault="00F533FB"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Relacionado con este punto, la Comisión recuerda que, frente a una muerte violenta, la Corte </w:t>
      </w:r>
      <w:r w:rsidR="00C46758" w:rsidRPr="00386E47">
        <w:rPr>
          <w:rFonts w:asciiTheme="majorHAnsi" w:eastAsia="Calibri" w:hAnsiTheme="majorHAnsi"/>
          <w:sz w:val="20"/>
          <w:szCs w:val="20"/>
          <w:lang w:val="es-ES_tradnl"/>
        </w:rPr>
        <w:t>Interamericana</w:t>
      </w:r>
      <w:r w:rsidRPr="00386E47">
        <w:rPr>
          <w:rFonts w:asciiTheme="majorHAnsi" w:eastAsia="Calibri" w:hAnsiTheme="majorHAnsi"/>
          <w:sz w:val="20"/>
          <w:szCs w:val="20"/>
          <w:lang w:val="es-ES_tradnl"/>
        </w:rPr>
        <w:t xml:space="preserve"> ha señalado que “el correcto manejo de la escena del crimen es un punto de partida de la investigación y, por tanto, determinante para esclarecer la naturaleza, circunstancias y características del delito, así como los participantes en el hecho”</w:t>
      </w:r>
      <w:r w:rsidRPr="00386E47">
        <w:rPr>
          <w:rFonts w:asciiTheme="majorHAnsi" w:eastAsia="Calibri" w:hAnsiTheme="majorHAnsi"/>
          <w:sz w:val="20"/>
          <w:szCs w:val="20"/>
          <w:vertAlign w:val="superscript"/>
          <w:lang w:val="es-ES_tradnl"/>
        </w:rPr>
        <w:footnoteReference w:id="153"/>
      </w:r>
      <w:r w:rsidRPr="00386E47">
        <w:rPr>
          <w:rFonts w:asciiTheme="majorHAnsi" w:eastAsia="Calibri" w:hAnsiTheme="majorHAnsi"/>
          <w:sz w:val="20"/>
          <w:szCs w:val="20"/>
          <w:lang w:val="es-ES_tradnl"/>
        </w:rPr>
        <w:t xml:space="preserve"> y que, conforme los estándares internacionales sobre la materia, “los investigadores deben, como mínimo, fotografiar dicha escena, cualquier otra evidencia física […] y hacer un informe detallando</w:t>
      </w:r>
      <w:r w:rsidR="00473F91" w:rsidRPr="00386E47">
        <w:rPr>
          <w:rFonts w:asciiTheme="majorHAnsi" w:eastAsia="Calibri" w:hAnsiTheme="majorHAnsi"/>
          <w:sz w:val="20"/>
          <w:szCs w:val="20"/>
          <w:lang w:val="es-ES_tradnl"/>
        </w:rPr>
        <w:t xml:space="preserve"> </w:t>
      </w:r>
      <w:r w:rsidRPr="00386E47">
        <w:rPr>
          <w:rFonts w:asciiTheme="majorHAnsi" w:eastAsia="Calibri" w:hAnsiTheme="majorHAnsi"/>
          <w:sz w:val="20"/>
          <w:szCs w:val="20"/>
          <w:lang w:val="es-ES_tradnl"/>
        </w:rPr>
        <w:t>cualquier observación de la escena, las acciones de los investigadores y la disposición de toda la evidencia colectada”</w:t>
      </w:r>
      <w:r w:rsidRPr="00386E47">
        <w:rPr>
          <w:rFonts w:asciiTheme="majorHAnsi" w:eastAsia="Calibri" w:hAnsiTheme="majorHAnsi"/>
          <w:sz w:val="20"/>
          <w:szCs w:val="20"/>
          <w:vertAlign w:val="superscript"/>
          <w:lang w:val="es-ES_tradnl"/>
        </w:rPr>
        <w:footnoteReference w:id="154"/>
      </w:r>
      <w:r w:rsidRPr="00386E47">
        <w:rPr>
          <w:rFonts w:asciiTheme="majorHAnsi" w:eastAsia="Calibri" w:hAnsiTheme="majorHAnsi"/>
          <w:sz w:val="20"/>
          <w:szCs w:val="20"/>
          <w:lang w:val="es-ES_tradnl"/>
        </w:rPr>
        <w:t xml:space="preserve">. </w:t>
      </w:r>
    </w:p>
    <w:p w14:paraId="6C771489" w14:textId="77777777" w:rsidR="00F533FB" w:rsidRPr="00386E47" w:rsidRDefault="00F533FB" w:rsidP="00F533FB">
      <w:pPr>
        <w:tabs>
          <w:tab w:val="left" w:pos="567"/>
        </w:tabs>
        <w:contextualSpacing/>
        <w:jc w:val="both"/>
        <w:rPr>
          <w:rFonts w:asciiTheme="majorHAnsi" w:eastAsia="Calibri" w:hAnsiTheme="majorHAnsi"/>
          <w:sz w:val="20"/>
          <w:szCs w:val="20"/>
          <w:lang w:val="es-ES_tradnl"/>
        </w:rPr>
      </w:pPr>
    </w:p>
    <w:p w14:paraId="2F5BC4D0" w14:textId="77777777" w:rsidR="00F533FB" w:rsidRPr="00386E47" w:rsidRDefault="00F533FB"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Por otra parte, la Comisión entiende que el procedimiento protagonizado por agentes de la SIDE y el DPOC en el domicilio de Carlos Telleldín durante los días 26 y 27 de julio implicó también una ausencia de debida diligencia en la práctica de esta diligencia esencial. Ello es así si se advierte - de manera coincidente a como lo hizo el TOF 3 en su sentencia de octubre de 2004 - que la permanencia informal de agentes estatales en el domicilio del por entonces único acusado por el atentado por espacio de casi dos días, sin que dichos agentes procedieran de manera inmediata al aseguramiento de aquellos elementos que pudieran ser de interés a la investigación, generó dudas razonables respecto de la integridad de la prueba recolectada en el posterior allanamiento realizado en ese inmueble. En efecto, existe una falta a la debida diligencia cuando no se reúne o se preserva de manera efectiva </w:t>
      </w:r>
      <w:r w:rsidRPr="00386E47">
        <w:rPr>
          <w:rFonts w:asciiTheme="majorHAnsi" w:eastAsia="Calibri" w:hAnsiTheme="majorHAnsi"/>
          <w:sz w:val="20"/>
          <w:szCs w:val="20"/>
          <w:lang w:val="es-ES_tradnl"/>
        </w:rPr>
        <w:lastRenderedPageBreak/>
        <w:t>prueba documental de importancia para la determinación de los hechos, pues ello puede afectar directamente el éxito de las investigaciones</w:t>
      </w:r>
      <w:r w:rsidRPr="00386E47">
        <w:rPr>
          <w:rFonts w:asciiTheme="majorHAnsi" w:eastAsia="Calibri" w:hAnsiTheme="majorHAnsi"/>
          <w:sz w:val="20"/>
          <w:szCs w:val="20"/>
          <w:vertAlign w:val="superscript"/>
          <w:lang w:val="es-ES_tradnl"/>
        </w:rPr>
        <w:footnoteReference w:id="155"/>
      </w:r>
      <w:r w:rsidRPr="00386E47">
        <w:rPr>
          <w:rFonts w:asciiTheme="majorHAnsi" w:eastAsia="Calibri" w:hAnsiTheme="majorHAnsi"/>
          <w:sz w:val="20"/>
          <w:szCs w:val="20"/>
          <w:lang w:val="es-ES_tradnl"/>
        </w:rPr>
        <w:t>.</w:t>
      </w:r>
    </w:p>
    <w:p w14:paraId="6E9A2F82" w14:textId="77777777" w:rsidR="00F533FB" w:rsidRPr="00386E47" w:rsidRDefault="00F533FB" w:rsidP="00A311A0">
      <w:pPr>
        <w:pStyle w:val="ListParagraph"/>
        <w:rPr>
          <w:rFonts w:asciiTheme="majorHAnsi" w:eastAsia="Calibri" w:hAnsiTheme="majorHAnsi"/>
          <w:sz w:val="20"/>
          <w:szCs w:val="20"/>
          <w:lang w:val="es-ES_tradnl"/>
        </w:rPr>
      </w:pPr>
    </w:p>
    <w:p w14:paraId="2C1D872A" w14:textId="77777777" w:rsidR="00F533FB" w:rsidRPr="00386E47" w:rsidRDefault="00F533FB" w:rsidP="00B528BF">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En vista de lo indicado, la Comisión observa que el Estado no cumplió con la debida diligencia requerida en las diligencias iniciales. Como se indicará más adelante, las omisiones realizadas en esta etapa han tenido un severo impacto en el desarrollo de la investigación.</w:t>
      </w:r>
    </w:p>
    <w:p w14:paraId="03D71055" w14:textId="77777777" w:rsidR="00B528BF" w:rsidRPr="00386E47" w:rsidRDefault="00B528BF" w:rsidP="00B528BF">
      <w:pPr>
        <w:tabs>
          <w:tab w:val="left" w:pos="567"/>
        </w:tabs>
        <w:contextualSpacing/>
        <w:jc w:val="both"/>
        <w:rPr>
          <w:rFonts w:asciiTheme="majorHAnsi" w:eastAsia="Calibri" w:hAnsiTheme="majorHAnsi"/>
          <w:sz w:val="20"/>
          <w:szCs w:val="20"/>
          <w:lang w:val="es-ES_tradnl"/>
        </w:rPr>
      </w:pPr>
    </w:p>
    <w:p w14:paraId="6C9A3796" w14:textId="77777777" w:rsidR="009F70EA" w:rsidRPr="00386E47" w:rsidRDefault="00F533FB" w:rsidP="00B528BF">
      <w:pPr>
        <w:pStyle w:val="Heading5"/>
      </w:pPr>
      <w:r w:rsidRPr="00386E47">
        <w:t xml:space="preserve">En </w:t>
      </w:r>
      <w:r w:rsidR="009146F2" w:rsidRPr="00386E47">
        <w:t>lo que respecta</w:t>
      </w:r>
      <w:r w:rsidRPr="00386E47">
        <w:t xml:space="preserve"> a </w:t>
      </w:r>
      <w:r w:rsidR="007511E3" w:rsidRPr="00386E47">
        <w:t>la denominada</w:t>
      </w:r>
      <w:r w:rsidR="009F70EA" w:rsidRPr="00386E47">
        <w:t xml:space="preserve"> “Pista Siria/Kanoore Edul” </w:t>
      </w:r>
    </w:p>
    <w:p w14:paraId="735363DC" w14:textId="77777777" w:rsidR="009F70EA" w:rsidRPr="00386E47" w:rsidRDefault="009F70EA" w:rsidP="009F70EA">
      <w:pPr>
        <w:tabs>
          <w:tab w:val="left" w:pos="709"/>
        </w:tabs>
        <w:jc w:val="both"/>
        <w:rPr>
          <w:rFonts w:asciiTheme="majorHAnsi" w:eastAsia="Calibri" w:hAnsiTheme="majorHAnsi"/>
          <w:b/>
          <w:sz w:val="20"/>
          <w:szCs w:val="20"/>
          <w:lang w:val="es-US"/>
        </w:rPr>
      </w:pPr>
    </w:p>
    <w:p w14:paraId="612ADE30" w14:textId="77777777" w:rsidR="00207892" w:rsidRPr="00386E47" w:rsidRDefault="009F70EA" w:rsidP="003A5860">
      <w:pPr>
        <w:numPr>
          <w:ilvl w:val="0"/>
          <w:numId w:val="55"/>
        </w:numPr>
        <w:tabs>
          <w:tab w:val="left" w:pos="0"/>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Entre las líneas de investigación abiertas durante los primeros días del atentado </w:t>
      </w:r>
      <w:r w:rsidR="00AD6467" w:rsidRPr="00386E47">
        <w:rPr>
          <w:rFonts w:asciiTheme="majorHAnsi" w:eastAsia="Calibri" w:hAnsiTheme="majorHAnsi"/>
          <w:sz w:val="20"/>
          <w:szCs w:val="20"/>
          <w:lang w:val="es-AR"/>
        </w:rPr>
        <w:t>se encuentra</w:t>
      </w:r>
      <w:r w:rsidRPr="00386E47">
        <w:rPr>
          <w:rFonts w:asciiTheme="majorHAnsi" w:eastAsia="Calibri" w:hAnsiTheme="majorHAnsi"/>
          <w:sz w:val="20"/>
          <w:szCs w:val="20"/>
          <w:lang w:val="es-AR"/>
        </w:rPr>
        <w:t xml:space="preserve"> </w:t>
      </w:r>
      <w:r w:rsidR="00524888" w:rsidRPr="00386E47">
        <w:rPr>
          <w:rFonts w:asciiTheme="majorHAnsi" w:eastAsia="Calibri" w:hAnsiTheme="majorHAnsi"/>
          <w:sz w:val="20"/>
          <w:szCs w:val="20"/>
          <w:lang w:val="es-AR"/>
        </w:rPr>
        <w:t>aquella que se conoce como la</w:t>
      </w:r>
      <w:r w:rsidR="003D55E1" w:rsidRPr="00386E47">
        <w:rPr>
          <w:rFonts w:asciiTheme="majorHAnsi" w:eastAsia="Calibri" w:hAnsiTheme="majorHAnsi"/>
          <w:sz w:val="20"/>
          <w:szCs w:val="20"/>
          <w:lang w:val="es-AR"/>
        </w:rPr>
        <w:t xml:space="preserve"> “</w:t>
      </w:r>
      <w:r w:rsidR="00524888" w:rsidRPr="00386E47">
        <w:rPr>
          <w:rFonts w:asciiTheme="majorHAnsi" w:eastAsia="Calibri" w:hAnsiTheme="majorHAnsi"/>
          <w:sz w:val="20"/>
          <w:szCs w:val="20"/>
          <w:lang w:val="es-AR"/>
        </w:rPr>
        <w:t>Pista S</w:t>
      </w:r>
      <w:r w:rsidRPr="00386E47">
        <w:rPr>
          <w:rFonts w:asciiTheme="majorHAnsi" w:eastAsia="Calibri" w:hAnsiTheme="majorHAnsi"/>
          <w:sz w:val="20"/>
          <w:szCs w:val="20"/>
          <w:lang w:val="es-AR"/>
        </w:rPr>
        <w:t>iria</w:t>
      </w:r>
      <w:r w:rsidR="003D55E1" w:rsidRPr="00386E47">
        <w:rPr>
          <w:rFonts w:asciiTheme="majorHAnsi" w:eastAsia="Calibri" w:hAnsiTheme="majorHAnsi"/>
          <w:sz w:val="20"/>
          <w:szCs w:val="20"/>
          <w:lang w:val="es-AR"/>
        </w:rPr>
        <w:t>/Kanoore Edul</w:t>
      </w:r>
      <w:r w:rsidRPr="00386E47">
        <w:rPr>
          <w:rFonts w:asciiTheme="majorHAnsi" w:eastAsia="Calibri" w:hAnsiTheme="majorHAnsi"/>
          <w:sz w:val="20"/>
          <w:szCs w:val="20"/>
          <w:lang w:val="es-AR"/>
        </w:rPr>
        <w:t xml:space="preserve">”. Su origen tiene que ver con la constatación, efectuada a partir del análisis del registro de llamadas entrantes y salientes </w:t>
      </w:r>
      <w:r w:rsidR="00207892" w:rsidRPr="00386E47">
        <w:rPr>
          <w:rFonts w:asciiTheme="majorHAnsi" w:eastAsia="Calibri" w:hAnsiTheme="majorHAnsi"/>
          <w:sz w:val="20"/>
          <w:szCs w:val="20"/>
          <w:lang w:val="es-AR"/>
        </w:rPr>
        <w:t>de la línea telefónica instalada</w:t>
      </w:r>
      <w:r w:rsidRPr="00386E47">
        <w:rPr>
          <w:rFonts w:asciiTheme="majorHAnsi" w:eastAsia="Calibri" w:hAnsiTheme="majorHAnsi"/>
          <w:sz w:val="20"/>
          <w:szCs w:val="20"/>
          <w:lang w:val="es-AR"/>
        </w:rPr>
        <w:t xml:space="preserve"> en el domicilio de Carlos Telleldin, que el día 10 de julio de 1994 recibió un llamado proveniente de una línea </w:t>
      </w:r>
      <w:r w:rsidR="00207892" w:rsidRPr="00386E47">
        <w:rPr>
          <w:rFonts w:asciiTheme="majorHAnsi" w:eastAsia="Calibri" w:hAnsiTheme="majorHAnsi"/>
          <w:sz w:val="20"/>
          <w:szCs w:val="20"/>
          <w:lang w:val="es-AR"/>
        </w:rPr>
        <w:t>perteneciente a</w:t>
      </w:r>
      <w:r w:rsidRPr="00386E47">
        <w:rPr>
          <w:rFonts w:asciiTheme="majorHAnsi" w:eastAsia="Calibri" w:hAnsiTheme="majorHAnsi"/>
          <w:sz w:val="20"/>
          <w:szCs w:val="20"/>
          <w:lang w:val="es-AR"/>
        </w:rPr>
        <w:t xml:space="preserve"> una empresa propiedad de un hombre llamado Alberto Jacinto Kanoore Edul. La investigación judicial también comprobó que, durante los días 9 y 10 de julio de 1994, esto es 8 días antes del atentado, Carlos Telleldin había publicado un aviso clasificado en un periódico ofreciendo </w:t>
      </w:r>
      <w:r w:rsidR="003D55E1" w:rsidRPr="00386E47">
        <w:rPr>
          <w:rFonts w:asciiTheme="majorHAnsi" w:eastAsia="Calibri" w:hAnsiTheme="majorHAnsi"/>
          <w:sz w:val="20"/>
          <w:szCs w:val="20"/>
          <w:lang w:val="es-AR"/>
        </w:rPr>
        <w:t xml:space="preserve">en venta </w:t>
      </w:r>
      <w:r w:rsidRPr="00386E47">
        <w:rPr>
          <w:rFonts w:asciiTheme="majorHAnsi" w:eastAsia="Calibri" w:hAnsiTheme="majorHAnsi"/>
          <w:sz w:val="20"/>
          <w:szCs w:val="20"/>
          <w:lang w:val="es-AR"/>
        </w:rPr>
        <w:t>una camioneta Renault Trafic</w:t>
      </w:r>
      <w:r w:rsidR="00207892" w:rsidRPr="00386E47">
        <w:rPr>
          <w:rStyle w:val="FootnoteReference"/>
          <w:rFonts w:asciiTheme="majorHAnsi" w:eastAsia="Calibri" w:hAnsiTheme="majorHAnsi"/>
          <w:sz w:val="20"/>
          <w:szCs w:val="20"/>
          <w:lang w:val="es-AR"/>
        </w:rPr>
        <w:footnoteReference w:id="156"/>
      </w:r>
      <w:r w:rsidRPr="00386E47">
        <w:rPr>
          <w:rFonts w:asciiTheme="majorHAnsi" w:eastAsia="Calibri" w:hAnsiTheme="majorHAnsi"/>
          <w:sz w:val="20"/>
          <w:szCs w:val="20"/>
          <w:lang w:val="es-AR"/>
        </w:rPr>
        <w:t>.</w:t>
      </w:r>
    </w:p>
    <w:p w14:paraId="449ACD99" w14:textId="77777777" w:rsidR="00207892" w:rsidRPr="00386E47" w:rsidRDefault="00207892" w:rsidP="00D90B05">
      <w:pPr>
        <w:tabs>
          <w:tab w:val="left" w:pos="0"/>
          <w:tab w:val="left" w:pos="567"/>
        </w:tabs>
        <w:contextualSpacing/>
        <w:jc w:val="both"/>
        <w:rPr>
          <w:rFonts w:asciiTheme="majorHAnsi" w:eastAsia="Calibri" w:hAnsiTheme="majorHAnsi"/>
          <w:b/>
          <w:sz w:val="20"/>
          <w:szCs w:val="20"/>
          <w:lang w:val="es-AR"/>
        </w:rPr>
      </w:pPr>
    </w:p>
    <w:p w14:paraId="01CE5195" w14:textId="77777777" w:rsidR="00207892" w:rsidRPr="00386E47" w:rsidRDefault="009F70EA" w:rsidP="003A5860">
      <w:pPr>
        <w:numPr>
          <w:ilvl w:val="0"/>
          <w:numId w:val="55"/>
        </w:numPr>
        <w:tabs>
          <w:tab w:val="left" w:pos="0"/>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Asimismo, </w:t>
      </w:r>
      <w:r w:rsidR="002B48A7" w:rsidRPr="00386E47">
        <w:rPr>
          <w:rFonts w:asciiTheme="majorHAnsi" w:eastAsia="Calibri" w:hAnsiTheme="majorHAnsi"/>
          <w:sz w:val="20"/>
          <w:szCs w:val="20"/>
          <w:lang w:val="es-AR"/>
        </w:rPr>
        <w:t xml:space="preserve">y de acuerdo con la sentencia del Tribunal Oral en lo Criminal Federal Nro. 2 (TOF 2) de mayo de 2019, </w:t>
      </w:r>
      <w:r w:rsidR="00207892" w:rsidRPr="00386E47">
        <w:rPr>
          <w:rFonts w:asciiTheme="majorHAnsi" w:eastAsia="Calibri" w:hAnsiTheme="majorHAnsi"/>
          <w:sz w:val="20"/>
          <w:szCs w:val="20"/>
          <w:lang w:val="es-AR"/>
        </w:rPr>
        <w:t xml:space="preserve">en el mismo </w:t>
      </w:r>
      <w:r w:rsidR="002B48A7" w:rsidRPr="00386E47">
        <w:rPr>
          <w:rFonts w:asciiTheme="majorHAnsi" w:eastAsia="Calibri" w:hAnsiTheme="majorHAnsi"/>
          <w:sz w:val="20"/>
          <w:szCs w:val="20"/>
          <w:lang w:val="es-AR"/>
        </w:rPr>
        <w:t>día</w:t>
      </w:r>
      <w:r w:rsidR="00207892" w:rsidRPr="00386E47">
        <w:rPr>
          <w:rFonts w:asciiTheme="majorHAnsi" w:eastAsia="Calibri" w:hAnsiTheme="majorHAnsi"/>
          <w:sz w:val="20"/>
          <w:szCs w:val="20"/>
          <w:lang w:val="es-AR"/>
        </w:rPr>
        <w:t xml:space="preserve"> de</w:t>
      </w:r>
      <w:r w:rsidR="003D55E1" w:rsidRPr="00386E47">
        <w:rPr>
          <w:rFonts w:asciiTheme="majorHAnsi" w:eastAsia="Calibri" w:hAnsiTheme="majorHAnsi"/>
          <w:sz w:val="20"/>
          <w:szCs w:val="20"/>
          <w:lang w:val="es-AR"/>
        </w:rPr>
        <w:t>l</w:t>
      </w:r>
      <w:r w:rsidRPr="00386E47">
        <w:rPr>
          <w:rFonts w:asciiTheme="majorHAnsi" w:eastAsia="Calibri" w:hAnsiTheme="majorHAnsi"/>
          <w:sz w:val="20"/>
          <w:szCs w:val="20"/>
          <w:lang w:val="es-AR"/>
        </w:rPr>
        <w:t xml:space="preserve"> atentado</w:t>
      </w:r>
      <w:r w:rsidR="007D1821" w:rsidRPr="00386E47">
        <w:rPr>
          <w:rFonts w:asciiTheme="majorHAnsi" w:eastAsia="Calibri" w:hAnsiTheme="majorHAnsi"/>
          <w:sz w:val="20"/>
          <w:szCs w:val="20"/>
          <w:lang w:val="es-AR"/>
        </w:rPr>
        <w:t>,</w:t>
      </w:r>
      <w:r w:rsidR="00840D8A" w:rsidRPr="00386E47">
        <w:rPr>
          <w:rFonts w:asciiTheme="majorHAnsi" w:eastAsia="Calibri" w:hAnsiTheme="majorHAnsi"/>
          <w:sz w:val="20"/>
          <w:szCs w:val="20"/>
          <w:lang w:val="es-AR"/>
        </w:rPr>
        <w:t xml:space="preserve"> </w:t>
      </w:r>
      <w:r w:rsidR="002B48A7" w:rsidRPr="00386E47">
        <w:rPr>
          <w:rFonts w:asciiTheme="majorHAnsi" w:eastAsia="Calibri" w:hAnsiTheme="majorHAnsi"/>
          <w:sz w:val="20"/>
          <w:szCs w:val="20"/>
          <w:lang w:val="es-AR"/>
        </w:rPr>
        <w:t>los investigadores ya habían constatado</w:t>
      </w:r>
      <w:r w:rsidRPr="00386E47">
        <w:rPr>
          <w:rFonts w:asciiTheme="majorHAnsi" w:eastAsia="Calibri" w:hAnsiTheme="majorHAnsi"/>
          <w:sz w:val="20"/>
          <w:szCs w:val="20"/>
          <w:lang w:val="es-AR"/>
        </w:rPr>
        <w:t xml:space="preserve"> que,</w:t>
      </w:r>
      <w:r w:rsidR="002B48A7" w:rsidRPr="00386E47">
        <w:rPr>
          <w:rFonts w:asciiTheme="majorHAnsi" w:eastAsia="Calibri" w:hAnsiTheme="majorHAnsi"/>
          <w:sz w:val="20"/>
          <w:szCs w:val="20"/>
          <w:lang w:val="es-AR"/>
        </w:rPr>
        <w:t xml:space="preserve"> unos</w:t>
      </w:r>
      <w:r w:rsidRPr="00386E47">
        <w:rPr>
          <w:rFonts w:asciiTheme="majorHAnsi" w:eastAsia="Calibri" w:hAnsiTheme="majorHAnsi"/>
          <w:sz w:val="20"/>
          <w:szCs w:val="20"/>
          <w:lang w:val="es-AR"/>
        </w:rPr>
        <w:t xml:space="preserve"> minutos previos a la explosión, “un empleado de la empresa Cascotera Santa Rita, cuyo dueño era Nassib Haddad, depositó un volquete frente a la sed</w:t>
      </w:r>
      <w:r w:rsidR="00DB6627" w:rsidRPr="00386E47">
        <w:rPr>
          <w:rFonts w:asciiTheme="majorHAnsi" w:eastAsia="Calibri" w:hAnsiTheme="majorHAnsi"/>
          <w:sz w:val="20"/>
          <w:szCs w:val="20"/>
          <w:lang w:val="es-AR"/>
        </w:rPr>
        <w:t>e de la AMIA-DAIA y que trasladó</w:t>
      </w:r>
      <w:r w:rsidRPr="00386E47">
        <w:rPr>
          <w:rFonts w:asciiTheme="majorHAnsi" w:eastAsia="Calibri" w:hAnsiTheme="majorHAnsi"/>
          <w:sz w:val="20"/>
          <w:szCs w:val="20"/>
          <w:lang w:val="es-AR"/>
        </w:rPr>
        <w:t xml:space="preserve"> otro volquete que estaba allí apostado al domicilio sito en la calle Constitución 2657”</w:t>
      </w:r>
      <w:r w:rsidRPr="00386E47">
        <w:rPr>
          <w:rFonts w:asciiTheme="majorHAnsi" w:eastAsia="Calibri" w:hAnsiTheme="majorHAnsi"/>
          <w:sz w:val="20"/>
          <w:szCs w:val="20"/>
          <w:vertAlign w:val="superscript"/>
          <w:lang w:val="es-AR"/>
        </w:rPr>
        <w:footnoteReference w:id="157"/>
      </w:r>
      <w:r w:rsidRPr="00386E47">
        <w:rPr>
          <w:rFonts w:asciiTheme="majorHAnsi" w:eastAsia="Calibri" w:hAnsiTheme="majorHAnsi"/>
          <w:sz w:val="20"/>
          <w:szCs w:val="20"/>
          <w:lang w:val="es-AR"/>
        </w:rPr>
        <w:t xml:space="preserve">. El domicilio de la empresa de Kanoore Edul </w:t>
      </w:r>
      <w:r w:rsidR="00DB6627" w:rsidRPr="00386E47">
        <w:rPr>
          <w:rFonts w:asciiTheme="majorHAnsi" w:eastAsia="Calibri" w:hAnsiTheme="majorHAnsi"/>
          <w:sz w:val="20"/>
          <w:szCs w:val="20"/>
          <w:lang w:val="es-AR"/>
        </w:rPr>
        <w:t>estaba situado en</w:t>
      </w:r>
      <w:r w:rsidRPr="00386E47">
        <w:rPr>
          <w:rFonts w:asciiTheme="majorHAnsi" w:eastAsia="Calibri" w:hAnsiTheme="majorHAnsi"/>
          <w:sz w:val="20"/>
          <w:szCs w:val="20"/>
          <w:lang w:val="es-AR"/>
        </w:rPr>
        <w:t xml:space="preserve"> Constitución 2695, es decir en la misma cuadra donde fue depositado el volquete de la Cascotera Santa Rita. </w:t>
      </w:r>
    </w:p>
    <w:p w14:paraId="631C834A" w14:textId="77777777" w:rsidR="00207892" w:rsidRPr="00386E47" w:rsidRDefault="00207892" w:rsidP="00D90B05">
      <w:pPr>
        <w:tabs>
          <w:tab w:val="left" w:pos="0"/>
          <w:tab w:val="left" w:pos="567"/>
        </w:tabs>
        <w:contextualSpacing/>
        <w:jc w:val="both"/>
        <w:rPr>
          <w:rFonts w:asciiTheme="majorHAnsi" w:eastAsia="Calibri" w:hAnsiTheme="majorHAnsi"/>
          <w:b/>
          <w:sz w:val="20"/>
          <w:szCs w:val="20"/>
          <w:lang w:val="es-AR"/>
        </w:rPr>
      </w:pPr>
    </w:p>
    <w:p w14:paraId="57E596A2" w14:textId="77777777" w:rsidR="00667DDF" w:rsidRPr="00386E47" w:rsidRDefault="002B48A7" w:rsidP="003A5860">
      <w:pPr>
        <w:numPr>
          <w:ilvl w:val="0"/>
          <w:numId w:val="55"/>
        </w:numPr>
        <w:tabs>
          <w:tab w:val="left" w:pos="0"/>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Teniendo en cuenta ambos datos, el TOF 2 concluyó que, </w:t>
      </w:r>
      <w:r w:rsidR="009F70EA" w:rsidRPr="00386E47">
        <w:rPr>
          <w:rFonts w:asciiTheme="majorHAnsi" w:eastAsia="Calibri" w:hAnsiTheme="majorHAnsi"/>
          <w:sz w:val="20"/>
          <w:szCs w:val="20"/>
          <w:lang w:val="es-AR"/>
        </w:rPr>
        <w:t>hacia fines del mes de julio de 1994</w:t>
      </w:r>
      <w:r w:rsidRPr="00386E47">
        <w:rPr>
          <w:rFonts w:asciiTheme="majorHAnsi" w:eastAsia="Calibri" w:hAnsiTheme="majorHAnsi"/>
          <w:sz w:val="20"/>
          <w:szCs w:val="20"/>
          <w:lang w:val="es-AR"/>
        </w:rPr>
        <w:t>,</w:t>
      </w:r>
      <w:r w:rsidR="009F70EA" w:rsidRPr="00386E47">
        <w:rPr>
          <w:rFonts w:asciiTheme="majorHAnsi" w:eastAsia="Calibri" w:hAnsiTheme="majorHAnsi"/>
          <w:sz w:val="20"/>
          <w:szCs w:val="20"/>
          <w:lang w:val="es-AR"/>
        </w:rPr>
        <w:t xml:space="preserve"> resultaba “evidente la seriedad y consecuente necesidad e importancia de profundizar la hipótesis respecto de la intervención de Alberto Jacinto Kanoore Edul en el atentado</w:t>
      </w:r>
      <w:r w:rsidR="00DB6627" w:rsidRPr="00386E47">
        <w:rPr>
          <w:rFonts w:asciiTheme="majorHAnsi" w:eastAsia="Calibri" w:hAnsiTheme="majorHAnsi"/>
          <w:sz w:val="20"/>
          <w:szCs w:val="20"/>
          <w:lang w:val="es-AR"/>
        </w:rPr>
        <w:t>,</w:t>
      </w:r>
      <w:r w:rsidR="009F70EA" w:rsidRPr="00386E47">
        <w:rPr>
          <w:rFonts w:asciiTheme="majorHAnsi" w:eastAsia="Calibri" w:hAnsiTheme="majorHAnsi"/>
          <w:sz w:val="20"/>
          <w:szCs w:val="20"/>
          <w:lang w:val="es-AR"/>
        </w:rPr>
        <w:t xml:space="preserve"> ya que a ese momento constituía la línea de investigación más sólida y concreta que presentaba el proceso”</w:t>
      </w:r>
      <w:r w:rsidR="009F70EA" w:rsidRPr="00386E47">
        <w:rPr>
          <w:rFonts w:asciiTheme="majorHAnsi" w:eastAsia="Calibri" w:hAnsiTheme="majorHAnsi"/>
          <w:sz w:val="20"/>
          <w:szCs w:val="20"/>
          <w:vertAlign w:val="superscript"/>
          <w:lang w:val="es-AR"/>
        </w:rPr>
        <w:footnoteReference w:id="158"/>
      </w:r>
      <w:r w:rsidR="009F70EA" w:rsidRPr="00386E47">
        <w:rPr>
          <w:rFonts w:asciiTheme="majorHAnsi" w:eastAsia="Calibri" w:hAnsiTheme="majorHAnsi"/>
          <w:sz w:val="20"/>
          <w:szCs w:val="20"/>
          <w:lang w:val="es-AR"/>
        </w:rPr>
        <w:t xml:space="preserve">. </w:t>
      </w:r>
      <w:r w:rsidR="00667DDF" w:rsidRPr="00386E47">
        <w:rPr>
          <w:rFonts w:asciiTheme="majorHAnsi" w:eastAsia="Calibri" w:hAnsiTheme="majorHAnsi"/>
          <w:sz w:val="20"/>
          <w:szCs w:val="20"/>
          <w:lang w:val="es-AR"/>
        </w:rPr>
        <w:t>En consecuencia, el juez Galeano dispuso la intervención telefónica con escucha directa de una serie de teléfonos vinculados a Kanoore Edul y ordenó a la Policía Federal que proced</w:t>
      </w:r>
      <w:r w:rsidR="006B795B" w:rsidRPr="00386E47">
        <w:rPr>
          <w:rFonts w:asciiTheme="majorHAnsi" w:eastAsia="Calibri" w:hAnsiTheme="majorHAnsi"/>
          <w:sz w:val="20"/>
          <w:szCs w:val="20"/>
          <w:lang w:val="es-AR"/>
        </w:rPr>
        <w:t>ier</w:t>
      </w:r>
      <w:r w:rsidR="00667DDF" w:rsidRPr="00386E47">
        <w:rPr>
          <w:rFonts w:asciiTheme="majorHAnsi" w:eastAsia="Calibri" w:hAnsiTheme="majorHAnsi"/>
          <w:sz w:val="20"/>
          <w:szCs w:val="20"/>
          <w:lang w:val="es-AR"/>
        </w:rPr>
        <w:t>a a allanar el domicilio de la calle Constitución 2695 y otros dos situados en Constitución 2633 y 2745</w:t>
      </w:r>
      <w:r w:rsidR="00667DDF" w:rsidRPr="00386E47">
        <w:rPr>
          <w:rStyle w:val="FootnoteReference"/>
          <w:rFonts w:asciiTheme="majorHAnsi" w:eastAsia="Calibri" w:hAnsiTheme="majorHAnsi"/>
          <w:sz w:val="20"/>
          <w:szCs w:val="20"/>
          <w:lang w:val="es-AR"/>
        </w:rPr>
        <w:footnoteReference w:id="159"/>
      </w:r>
      <w:r w:rsidR="00667DDF" w:rsidRPr="00386E47">
        <w:rPr>
          <w:rFonts w:asciiTheme="majorHAnsi" w:eastAsia="Calibri" w:hAnsiTheme="majorHAnsi"/>
          <w:sz w:val="20"/>
          <w:szCs w:val="20"/>
          <w:lang w:val="es-AR"/>
        </w:rPr>
        <w:t>.</w:t>
      </w:r>
    </w:p>
    <w:p w14:paraId="1DD0B326" w14:textId="77777777" w:rsidR="00667DDF" w:rsidRPr="00386E47" w:rsidRDefault="00667DDF" w:rsidP="00D90B05">
      <w:pPr>
        <w:tabs>
          <w:tab w:val="left" w:pos="0"/>
          <w:tab w:val="left" w:pos="567"/>
        </w:tabs>
        <w:contextualSpacing/>
        <w:jc w:val="both"/>
        <w:rPr>
          <w:rFonts w:asciiTheme="majorHAnsi" w:eastAsia="Calibri" w:hAnsiTheme="majorHAnsi"/>
          <w:b/>
          <w:sz w:val="20"/>
          <w:szCs w:val="20"/>
          <w:lang w:val="es-AR"/>
        </w:rPr>
      </w:pPr>
    </w:p>
    <w:p w14:paraId="6A757AAA" w14:textId="77777777" w:rsidR="002D7022" w:rsidRPr="00386E47" w:rsidRDefault="009F70EA" w:rsidP="003A5860">
      <w:pPr>
        <w:numPr>
          <w:ilvl w:val="0"/>
          <w:numId w:val="55"/>
        </w:numPr>
        <w:tabs>
          <w:tab w:val="left" w:pos="0"/>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Con respecto a los allanamientos, el TOF 2 tuvo por acreditado que “no fueron realizados en forma simultánea, sino sucesiva”</w:t>
      </w:r>
      <w:r w:rsidRPr="00386E47">
        <w:rPr>
          <w:rFonts w:asciiTheme="majorHAnsi" w:eastAsia="Calibri" w:hAnsiTheme="majorHAnsi"/>
          <w:sz w:val="20"/>
          <w:szCs w:val="20"/>
          <w:vertAlign w:val="superscript"/>
          <w:lang w:val="es-AR"/>
        </w:rPr>
        <w:footnoteReference w:id="160"/>
      </w:r>
      <w:r w:rsidRPr="00386E47">
        <w:rPr>
          <w:rFonts w:asciiTheme="majorHAnsi" w:eastAsia="Calibri" w:hAnsiTheme="majorHAnsi"/>
          <w:sz w:val="20"/>
          <w:szCs w:val="20"/>
          <w:lang w:val="es-AR"/>
        </w:rPr>
        <w:t xml:space="preserve"> y que ello “conspiró al mayor éxito de la medida toda vez que podría haber permitido que los ocupantes de la segunda finca, advertidos del allanamiento anterior, descarten elementos de interés a la investigación”</w:t>
      </w:r>
      <w:r w:rsidRPr="00386E47">
        <w:rPr>
          <w:rFonts w:asciiTheme="majorHAnsi" w:eastAsia="Calibri" w:hAnsiTheme="majorHAnsi"/>
          <w:sz w:val="20"/>
          <w:szCs w:val="20"/>
          <w:vertAlign w:val="superscript"/>
          <w:lang w:val="es-AR"/>
        </w:rPr>
        <w:footnoteReference w:id="161"/>
      </w:r>
      <w:r w:rsidRPr="00386E47">
        <w:rPr>
          <w:rFonts w:asciiTheme="majorHAnsi" w:eastAsia="Calibri" w:hAnsiTheme="majorHAnsi"/>
          <w:sz w:val="20"/>
          <w:szCs w:val="20"/>
          <w:lang w:val="es-AR"/>
        </w:rPr>
        <w:t xml:space="preserve">. Asimismo, el Tribunal también comprobó que los funcionarios policiales omitieron </w:t>
      </w:r>
      <w:r w:rsidR="002D7022" w:rsidRPr="00386E47">
        <w:rPr>
          <w:rFonts w:asciiTheme="majorHAnsi" w:eastAsia="Calibri" w:hAnsiTheme="majorHAnsi"/>
          <w:sz w:val="20"/>
          <w:szCs w:val="20"/>
          <w:lang w:val="es-AR"/>
        </w:rPr>
        <w:t>ejecutar el allanamiento d</w:t>
      </w:r>
      <w:r w:rsidRPr="00386E47">
        <w:rPr>
          <w:rFonts w:asciiTheme="majorHAnsi" w:eastAsia="Calibri" w:hAnsiTheme="majorHAnsi"/>
          <w:sz w:val="20"/>
          <w:szCs w:val="20"/>
          <w:lang w:val="es-AR"/>
        </w:rPr>
        <w:t xml:space="preserve">el inmueble de la calle Constitución 2633 y no dieron razones valederas para actuar de ese modo. El ex juez Galeano, conforme lo estableció el TOF 2, “se limitó a agregar en el expediente las actuaciones […] sin </w:t>
      </w:r>
      <w:r w:rsidRPr="00386E47">
        <w:rPr>
          <w:rFonts w:asciiTheme="majorHAnsi" w:eastAsia="Calibri" w:hAnsiTheme="majorHAnsi"/>
          <w:sz w:val="20"/>
          <w:szCs w:val="20"/>
          <w:lang w:val="es-AR"/>
        </w:rPr>
        <w:lastRenderedPageBreak/>
        <w:t>realizar ningún tipo de observación ni requerir explicaciones, consintiendo así el ilegal accionar del personal que estaba a cargo de la medida”</w:t>
      </w:r>
      <w:r w:rsidRPr="00386E47">
        <w:rPr>
          <w:rFonts w:asciiTheme="majorHAnsi" w:eastAsia="Calibri" w:hAnsiTheme="majorHAnsi"/>
          <w:sz w:val="20"/>
          <w:szCs w:val="20"/>
          <w:vertAlign w:val="superscript"/>
          <w:lang w:val="es-AR"/>
        </w:rPr>
        <w:footnoteReference w:id="162"/>
      </w:r>
      <w:r w:rsidRPr="00386E47">
        <w:rPr>
          <w:rFonts w:asciiTheme="majorHAnsi" w:eastAsia="Calibri" w:hAnsiTheme="majorHAnsi"/>
          <w:sz w:val="20"/>
          <w:szCs w:val="20"/>
          <w:lang w:val="es-AR"/>
        </w:rPr>
        <w:t xml:space="preserve">.   </w:t>
      </w:r>
    </w:p>
    <w:p w14:paraId="37EFBF00" w14:textId="77777777" w:rsidR="002D7022" w:rsidRPr="00386E47" w:rsidRDefault="002D7022" w:rsidP="00D90B05">
      <w:pPr>
        <w:tabs>
          <w:tab w:val="left" w:pos="0"/>
          <w:tab w:val="left" w:pos="567"/>
        </w:tabs>
        <w:contextualSpacing/>
        <w:jc w:val="both"/>
        <w:rPr>
          <w:rFonts w:asciiTheme="majorHAnsi" w:eastAsia="Calibri" w:hAnsiTheme="majorHAnsi"/>
          <w:b/>
          <w:sz w:val="20"/>
          <w:szCs w:val="20"/>
          <w:lang w:val="es-AR"/>
        </w:rPr>
      </w:pPr>
    </w:p>
    <w:p w14:paraId="037F246B" w14:textId="77777777" w:rsidR="00FF50CB" w:rsidRPr="00386E47" w:rsidRDefault="009F70EA" w:rsidP="003A5860">
      <w:pPr>
        <w:numPr>
          <w:ilvl w:val="0"/>
          <w:numId w:val="55"/>
        </w:numPr>
        <w:tabs>
          <w:tab w:val="left" w:pos="0"/>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En lo que tiene que ver con las medidas de interceptación de las comunicaciones telefónicas de los abonados vinculados con el Sr. Kanoore </w:t>
      </w:r>
      <w:r w:rsidR="002D7022" w:rsidRPr="00386E47">
        <w:rPr>
          <w:rFonts w:asciiTheme="majorHAnsi" w:eastAsia="Calibri" w:hAnsiTheme="majorHAnsi"/>
          <w:sz w:val="20"/>
          <w:szCs w:val="20"/>
          <w:lang w:val="es-AR"/>
        </w:rPr>
        <w:t>Edul, el</w:t>
      </w:r>
      <w:r w:rsidRPr="00386E47">
        <w:rPr>
          <w:rFonts w:asciiTheme="majorHAnsi" w:eastAsia="Calibri" w:hAnsiTheme="majorHAnsi"/>
          <w:sz w:val="20"/>
          <w:szCs w:val="20"/>
          <w:lang w:val="es-AR"/>
        </w:rPr>
        <w:t xml:space="preserve"> TOF 2 constató que el 26 de julio de 1994 el ex Juez Galeano </w:t>
      </w:r>
      <w:r w:rsidR="002D7022" w:rsidRPr="00386E47">
        <w:rPr>
          <w:rFonts w:asciiTheme="majorHAnsi" w:eastAsia="Calibri" w:hAnsiTheme="majorHAnsi"/>
          <w:sz w:val="20"/>
          <w:szCs w:val="20"/>
          <w:lang w:val="es-AR"/>
        </w:rPr>
        <w:t>dispuso</w:t>
      </w:r>
      <w:r w:rsidRPr="00386E47">
        <w:rPr>
          <w:rFonts w:asciiTheme="majorHAnsi" w:eastAsia="Calibri" w:hAnsiTheme="majorHAnsi"/>
          <w:sz w:val="20"/>
          <w:szCs w:val="20"/>
          <w:lang w:val="es-AR"/>
        </w:rPr>
        <w:t xml:space="preserve"> la intervención bajo la modalidad de escucha directa de tres líneas solicitadas por la SIDE. Las interceptaciones </w:t>
      </w:r>
      <w:r w:rsidR="002D7022" w:rsidRPr="00386E47">
        <w:rPr>
          <w:rFonts w:asciiTheme="majorHAnsi" w:eastAsia="Calibri" w:hAnsiTheme="majorHAnsi"/>
          <w:sz w:val="20"/>
          <w:szCs w:val="20"/>
          <w:lang w:val="es-AR"/>
        </w:rPr>
        <w:t>fueron materializadas a partir del 29 de julio</w:t>
      </w:r>
      <w:r w:rsidR="00B52E89" w:rsidRPr="00386E47">
        <w:rPr>
          <w:rStyle w:val="FootnoteReference"/>
          <w:rFonts w:asciiTheme="majorHAnsi" w:eastAsia="Calibri" w:hAnsiTheme="majorHAnsi"/>
          <w:sz w:val="20"/>
          <w:szCs w:val="20"/>
          <w:lang w:val="es-AR"/>
        </w:rPr>
        <w:footnoteReference w:id="163"/>
      </w:r>
      <w:r w:rsidR="002D7022" w:rsidRPr="00386E47">
        <w:rPr>
          <w:rFonts w:asciiTheme="majorHAnsi" w:eastAsia="Calibri" w:hAnsiTheme="majorHAnsi"/>
          <w:sz w:val="20"/>
          <w:szCs w:val="20"/>
          <w:lang w:val="es-AR"/>
        </w:rPr>
        <w:t xml:space="preserve"> De acuerdo con la legislación y las pr</w:t>
      </w:r>
      <w:r w:rsidR="00840D8A" w:rsidRPr="00386E47">
        <w:rPr>
          <w:rFonts w:asciiTheme="majorHAnsi" w:eastAsia="Calibri" w:hAnsiTheme="majorHAnsi"/>
          <w:sz w:val="20"/>
          <w:szCs w:val="20"/>
          <w:lang w:val="es-AR"/>
        </w:rPr>
        <w:t>á</w:t>
      </w:r>
      <w:r w:rsidR="002D7022" w:rsidRPr="00386E47">
        <w:rPr>
          <w:rFonts w:asciiTheme="majorHAnsi" w:eastAsia="Calibri" w:hAnsiTheme="majorHAnsi"/>
          <w:sz w:val="20"/>
          <w:szCs w:val="20"/>
          <w:lang w:val="es-AR"/>
        </w:rPr>
        <w:t>cticas vigentes en ese momento, agentes de la SIDE</w:t>
      </w:r>
      <w:r w:rsidR="00FF50CB" w:rsidRPr="00386E47">
        <w:rPr>
          <w:rFonts w:asciiTheme="majorHAnsi" w:eastAsia="Calibri" w:hAnsiTheme="majorHAnsi"/>
          <w:sz w:val="20"/>
          <w:szCs w:val="20"/>
          <w:lang w:val="es-AR"/>
        </w:rPr>
        <w:t xml:space="preserve"> estaban</w:t>
      </w:r>
      <w:r w:rsidR="002D7022" w:rsidRPr="00386E47">
        <w:rPr>
          <w:rFonts w:asciiTheme="majorHAnsi" w:eastAsia="Calibri" w:hAnsiTheme="majorHAnsi"/>
          <w:sz w:val="20"/>
          <w:szCs w:val="20"/>
          <w:lang w:val="es-AR"/>
        </w:rPr>
        <w:t xml:space="preserve"> encargados tanto</w:t>
      </w:r>
      <w:r w:rsidR="00FF50CB" w:rsidRPr="00386E47">
        <w:rPr>
          <w:rFonts w:asciiTheme="majorHAnsi" w:eastAsia="Calibri" w:hAnsiTheme="majorHAnsi"/>
          <w:sz w:val="20"/>
          <w:szCs w:val="20"/>
          <w:lang w:val="es-AR"/>
        </w:rPr>
        <w:t xml:space="preserve"> de</w:t>
      </w:r>
      <w:r w:rsidR="002D7022" w:rsidRPr="00386E47">
        <w:rPr>
          <w:rFonts w:asciiTheme="majorHAnsi" w:eastAsia="Calibri" w:hAnsiTheme="majorHAnsi"/>
          <w:sz w:val="20"/>
          <w:szCs w:val="20"/>
          <w:lang w:val="es-AR"/>
        </w:rPr>
        <w:t xml:space="preserve"> arbitrar los </w:t>
      </w:r>
      <w:r w:rsidR="00FF50CB" w:rsidRPr="00386E47">
        <w:rPr>
          <w:rFonts w:asciiTheme="majorHAnsi" w:eastAsia="Calibri" w:hAnsiTheme="majorHAnsi"/>
          <w:sz w:val="20"/>
          <w:szCs w:val="20"/>
          <w:lang w:val="es-AR"/>
        </w:rPr>
        <w:t>medios para interceptar las comunicaciones, como de proceder a escuchar de manera directa las conversaciones</w:t>
      </w:r>
      <w:r w:rsidR="00C46AD4" w:rsidRPr="00386E47">
        <w:rPr>
          <w:rFonts w:asciiTheme="majorHAnsi" w:eastAsia="Calibri" w:hAnsiTheme="majorHAnsi"/>
          <w:sz w:val="20"/>
          <w:szCs w:val="20"/>
          <w:lang w:val="es-AR"/>
        </w:rPr>
        <w:t xml:space="preserve"> y </w:t>
      </w:r>
      <w:r w:rsidR="00FF50CB" w:rsidRPr="00386E47">
        <w:rPr>
          <w:rFonts w:asciiTheme="majorHAnsi" w:eastAsia="Calibri" w:hAnsiTheme="majorHAnsi"/>
          <w:sz w:val="20"/>
          <w:szCs w:val="20"/>
          <w:lang w:val="es-AR"/>
        </w:rPr>
        <w:t>grabarlas en diversos soportes</w:t>
      </w:r>
      <w:r w:rsidR="00FF50CB" w:rsidRPr="00386E47">
        <w:rPr>
          <w:rStyle w:val="FootnoteReference"/>
          <w:rFonts w:asciiTheme="majorHAnsi" w:eastAsia="Calibri" w:hAnsiTheme="majorHAnsi"/>
          <w:sz w:val="20"/>
          <w:szCs w:val="20"/>
          <w:lang w:val="es-AR"/>
        </w:rPr>
        <w:footnoteReference w:id="164"/>
      </w:r>
      <w:r w:rsidR="00FF50CB" w:rsidRPr="00386E47">
        <w:rPr>
          <w:rFonts w:asciiTheme="majorHAnsi" w:eastAsia="Calibri" w:hAnsiTheme="majorHAnsi"/>
          <w:sz w:val="20"/>
          <w:szCs w:val="20"/>
          <w:lang w:val="es-AR"/>
        </w:rPr>
        <w:t>.</w:t>
      </w:r>
    </w:p>
    <w:p w14:paraId="3FA4BFF0" w14:textId="77777777" w:rsidR="00FF50CB" w:rsidRPr="00386E47" w:rsidRDefault="00FF50CB" w:rsidP="00D90B05">
      <w:pPr>
        <w:tabs>
          <w:tab w:val="left" w:pos="0"/>
          <w:tab w:val="left" w:pos="567"/>
        </w:tabs>
        <w:contextualSpacing/>
        <w:jc w:val="both"/>
        <w:rPr>
          <w:rFonts w:asciiTheme="majorHAnsi" w:eastAsia="Calibri" w:hAnsiTheme="majorHAnsi"/>
          <w:b/>
          <w:sz w:val="20"/>
          <w:szCs w:val="20"/>
          <w:lang w:val="es-AR"/>
        </w:rPr>
      </w:pPr>
    </w:p>
    <w:p w14:paraId="2E643454" w14:textId="77777777" w:rsidR="00FF50CB" w:rsidRPr="00386E47" w:rsidRDefault="002D7022" w:rsidP="003A5860">
      <w:pPr>
        <w:numPr>
          <w:ilvl w:val="0"/>
          <w:numId w:val="55"/>
        </w:numPr>
        <w:tabs>
          <w:tab w:val="left" w:pos="0"/>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Sin embargo, e</w:t>
      </w:r>
      <w:r w:rsidR="009F70EA" w:rsidRPr="00386E47">
        <w:rPr>
          <w:rFonts w:asciiTheme="majorHAnsi" w:eastAsia="Calibri" w:hAnsiTheme="majorHAnsi"/>
          <w:sz w:val="20"/>
          <w:szCs w:val="20"/>
          <w:lang w:val="es-AR"/>
        </w:rPr>
        <w:t xml:space="preserve">l TOF 2 verificó que </w:t>
      </w:r>
      <w:r w:rsidRPr="00386E47">
        <w:rPr>
          <w:rFonts w:asciiTheme="majorHAnsi" w:eastAsia="Calibri" w:hAnsiTheme="majorHAnsi"/>
          <w:sz w:val="20"/>
          <w:szCs w:val="20"/>
          <w:lang w:val="es-AR"/>
        </w:rPr>
        <w:t xml:space="preserve">estas </w:t>
      </w:r>
      <w:r w:rsidR="009F70EA" w:rsidRPr="00386E47">
        <w:rPr>
          <w:rFonts w:asciiTheme="majorHAnsi" w:eastAsia="Calibri" w:hAnsiTheme="majorHAnsi"/>
          <w:sz w:val="20"/>
          <w:szCs w:val="20"/>
          <w:lang w:val="es-AR"/>
        </w:rPr>
        <w:t>tres medidas de interceptación de las comunicaciones fueron dejadas sin efecto por el Juez Galeano a instancias del Secretario y del Subsecretario de Inteligencia de la Naci</w:t>
      </w:r>
      <w:r w:rsidRPr="00386E47">
        <w:rPr>
          <w:rFonts w:asciiTheme="majorHAnsi" w:eastAsia="Calibri" w:hAnsiTheme="majorHAnsi"/>
          <w:sz w:val="20"/>
          <w:szCs w:val="20"/>
          <w:lang w:val="es-AR"/>
        </w:rPr>
        <w:t>ón. Estos funcionarios</w:t>
      </w:r>
      <w:r w:rsidR="009F70EA" w:rsidRPr="00386E47">
        <w:rPr>
          <w:rFonts w:asciiTheme="majorHAnsi" w:eastAsia="Calibri" w:hAnsiTheme="majorHAnsi"/>
          <w:sz w:val="20"/>
          <w:szCs w:val="20"/>
          <w:lang w:val="es-AR"/>
        </w:rPr>
        <w:t xml:space="preserve"> en sucesivas notas, informaron al magistrado que las medidas “carecían de valor informativo”</w:t>
      </w:r>
      <w:r w:rsidR="009F70EA" w:rsidRPr="00386E47">
        <w:rPr>
          <w:rFonts w:asciiTheme="majorHAnsi" w:eastAsia="Calibri" w:hAnsiTheme="majorHAnsi"/>
          <w:sz w:val="20"/>
          <w:szCs w:val="20"/>
          <w:vertAlign w:val="superscript"/>
          <w:lang w:val="es-AR"/>
        </w:rPr>
        <w:footnoteReference w:id="165"/>
      </w:r>
      <w:r w:rsidR="009F70EA" w:rsidRPr="00386E47">
        <w:rPr>
          <w:rFonts w:asciiTheme="majorHAnsi" w:eastAsia="Calibri" w:hAnsiTheme="majorHAnsi"/>
          <w:sz w:val="20"/>
          <w:szCs w:val="20"/>
          <w:lang w:val="es-AR"/>
        </w:rPr>
        <w:t>. El Tribunal hizo notar, asimismo, que, en los tres casos, el ex Juez Galeano “aun sin contar con las escuchas y las transcripciones que le permitieran realizar una real evaluación acerca de la importancia o no de mantener la intervención de la línea, decretó sin análisis alguno […] el cese de la intervención telefónica”</w:t>
      </w:r>
      <w:r w:rsidR="009F70EA" w:rsidRPr="00386E47">
        <w:rPr>
          <w:rFonts w:asciiTheme="majorHAnsi" w:eastAsia="Calibri" w:hAnsiTheme="majorHAnsi"/>
          <w:sz w:val="20"/>
          <w:szCs w:val="20"/>
          <w:vertAlign w:val="superscript"/>
          <w:lang w:val="es-AR"/>
        </w:rPr>
        <w:footnoteReference w:id="166"/>
      </w:r>
      <w:r w:rsidR="009F70EA" w:rsidRPr="00386E47">
        <w:rPr>
          <w:rFonts w:asciiTheme="majorHAnsi" w:eastAsia="Calibri" w:hAnsiTheme="majorHAnsi"/>
          <w:sz w:val="20"/>
          <w:szCs w:val="20"/>
          <w:lang w:val="es-AR"/>
        </w:rPr>
        <w:t>. En vista de esta situación, el TOF 2 concluyó</w:t>
      </w:r>
      <w:r w:rsidR="009F70EA" w:rsidRPr="00386E47">
        <w:rPr>
          <w:rFonts w:asciiTheme="majorHAnsi" w:eastAsia="Calibri" w:hAnsiTheme="majorHAnsi"/>
          <w:sz w:val="20"/>
          <w:szCs w:val="20"/>
          <w:lang w:val="es-US"/>
        </w:rPr>
        <w:t xml:space="preserve"> que resultaba </w:t>
      </w:r>
      <w:r w:rsidR="009F70EA" w:rsidRPr="00386E47">
        <w:rPr>
          <w:rFonts w:asciiTheme="majorHAnsi" w:eastAsia="Calibri" w:hAnsiTheme="majorHAnsi"/>
          <w:sz w:val="20"/>
          <w:szCs w:val="20"/>
          <w:lang w:val="es-AR"/>
        </w:rPr>
        <w:t>“inadmisible concluir que el producto de la escucha de la línea carecía de valor informativo sin haber realizado su correspondiente análisis y ello se explica en la voluntad de perjudicar y deliberadamente frustrar la línea de investigación sobre Kanoore Edul por parte de los agentes auxiliares de la justicia con la complacencia deliberada del juez de la causa”</w:t>
      </w:r>
      <w:r w:rsidR="009F70EA" w:rsidRPr="00386E47">
        <w:rPr>
          <w:rFonts w:asciiTheme="majorHAnsi" w:eastAsia="Calibri" w:hAnsiTheme="majorHAnsi"/>
          <w:sz w:val="20"/>
          <w:szCs w:val="20"/>
          <w:vertAlign w:val="superscript"/>
          <w:lang w:val="es-AR"/>
        </w:rPr>
        <w:footnoteReference w:id="167"/>
      </w:r>
      <w:r w:rsidR="009F70EA" w:rsidRPr="00386E47">
        <w:rPr>
          <w:rFonts w:asciiTheme="majorHAnsi" w:eastAsia="Calibri" w:hAnsiTheme="majorHAnsi"/>
          <w:sz w:val="20"/>
          <w:szCs w:val="20"/>
          <w:lang w:val="es-AR"/>
        </w:rPr>
        <w:t>.</w:t>
      </w:r>
    </w:p>
    <w:p w14:paraId="553841B2" w14:textId="77777777" w:rsidR="00FF50CB" w:rsidRPr="00386E47" w:rsidRDefault="00FF50CB" w:rsidP="00D90B05">
      <w:pPr>
        <w:tabs>
          <w:tab w:val="left" w:pos="0"/>
          <w:tab w:val="left" w:pos="567"/>
        </w:tabs>
        <w:contextualSpacing/>
        <w:jc w:val="both"/>
        <w:rPr>
          <w:rFonts w:asciiTheme="majorHAnsi" w:eastAsia="Calibri" w:hAnsiTheme="majorHAnsi"/>
          <w:b/>
          <w:sz w:val="20"/>
          <w:szCs w:val="20"/>
          <w:lang w:val="es-AR"/>
        </w:rPr>
      </w:pPr>
    </w:p>
    <w:p w14:paraId="6A3D38EE" w14:textId="77777777" w:rsidR="00FF50CB" w:rsidRPr="00386E47" w:rsidRDefault="009F70EA" w:rsidP="003A5860">
      <w:pPr>
        <w:numPr>
          <w:ilvl w:val="0"/>
          <w:numId w:val="55"/>
        </w:numPr>
        <w:tabs>
          <w:tab w:val="left" w:pos="0"/>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Por otra parte, el Tribunal también </w:t>
      </w:r>
      <w:r w:rsidR="009F5F7E" w:rsidRPr="00386E47">
        <w:rPr>
          <w:rFonts w:asciiTheme="majorHAnsi" w:eastAsia="Calibri" w:hAnsiTheme="majorHAnsi"/>
          <w:sz w:val="20"/>
          <w:szCs w:val="20"/>
          <w:lang w:val="es-AR"/>
        </w:rPr>
        <w:t>consideró</w:t>
      </w:r>
      <w:r w:rsidRPr="00386E47">
        <w:rPr>
          <w:rFonts w:asciiTheme="majorHAnsi" w:eastAsia="Calibri" w:hAnsiTheme="majorHAnsi"/>
          <w:sz w:val="20"/>
          <w:szCs w:val="20"/>
          <w:lang w:val="es-AR"/>
        </w:rPr>
        <w:t xml:space="preserve"> probado que las cintas donde se grabaron las comunicaciones interceptadas por la SIDE a los abonados vinculados con Kanoore Edul </w:t>
      </w:r>
      <w:r w:rsidR="00B52E89" w:rsidRPr="00386E47">
        <w:rPr>
          <w:rFonts w:asciiTheme="majorHAnsi" w:eastAsia="Calibri" w:hAnsiTheme="majorHAnsi"/>
          <w:sz w:val="20"/>
          <w:szCs w:val="20"/>
          <w:lang w:val="es-AR"/>
        </w:rPr>
        <w:t>desaparecieron</w:t>
      </w:r>
      <w:r w:rsidRPr="00386E47">
        <w:rPr>
          <w:rFonts w:asciiTheme="majorHAnsi" w:eastAsia="Calibri" w:hAnsiTheme="majorHAnsi"/>
          <w:sz w:val="20"/>
          <w:szCs w:val="20"/>
          <w:lang w:val="es-AR"/>
        </w:rPr>
        <w:t xml:space="preserve"> cuando se encontraban </w:t>
      </w:r>
      <w:r w:rsidR="00C46AD4" w:rsidRPr="00386E47">
        <w:rPr>
          <w:rFonts w:asciiTheme="majorHAnsi" w:eastAsia="Calibri" w:hAnsiTheme="majorHAnsi"/>
          <w:sz w:val="20"/>
          <w:szCs w:val="20"/>
          <w:lang w:val="es-AR"/>
        </w:rPr>
        <w:t>en</w:t>
      </w:r>
      <w:r w:rsidRPr="00386E47">
        <w:rPr>
          <w:rFonts w:asciiTheme="majorHAnsi" w:eastAsia="Calibri" w:hAnsiTheme="majorHAnsi"/>
          <w:sz w:val="20"/>
          <w:szCs w:val="20"/>
          <w:lang w:val="es-AR"/>
        </w:rPr>
        <w:t xml:space="preserve"> custodia del DPOC y de la División </w:t>
      </w:r>
      <w:r w:rsidR="006B795B" w:rsidRPr="00386E47">
        <w:rPr>
          <w:rFonts w:asciiTheme="majorHAnsi" w:eastAsia="Calibri" w:hAnsiTheme="majorHAnsi"/>
          <w:sz w:val="20"/>
          <w:szCs w:val="20"/>
          <w:lang w:val="es-AR"/>
        </w:rPr>
        <w:t xml:space="preserve">de </w:t>
      </w:r>
      <w:r w:rsidRPr="00386E47">
        <w:rPr>
          <w:rFonts w:asciiTheme="majorHAnsi" w:eastAsia="Calibri" w:hAnsiTheme="majorHAnsi"/>
          <w:sz w:val="20"/>
          <w:szCs w:val="20"/>
          <w:lang w:val="es-AR"/>
        </w:rPr>
        <w:t>Operaciones Federales de la Superintendencia de Drogas Peligrosas de la Policía Federal, unidades que estaban a cargo de la transcripción en soporte papel de las comunicaciones grabadas</w:t>
      </w:r>
      <w:r w:rsidRPr="00386E47">
        <w:rPr>
          <w:rFonts w:asciiTheme="majorHAnsi" w:eastAsia="Calibri" w:hAnsiTheme="majorHAnsi"/>
          <w:sz w:val="20"/>
          <w:szCs w:val="20"/>
          <w:vertAlign w:val="superscript"/>
          <w:lang w:val="es-AR"/>
        </w:rPr>
        <w:footnoteReference w:id="168"/>
      </w:r>
      <w:r w:rsidRPr="00386E47">
        <w:rPr>
          <w:rFonts w:asciiTheme="majorHAnsi" w:eastAsia="Calibri" w:hAnsiTheme="majorHAnsi"/>
          <w:sz w:val="20"/>
          <w:szCs w:val="20"/>
          <w:lang w:val="es-AR"/>
        </w:rPr>
        <w:t xml:space="preserve">. </w:t>
      </w:r>
    </w:p>
    <w:p w14:paraId="49BDF88C" w14:textId="77777777" w:rsidR="00FF50CB" w:rsidRPr="00386E47" w:rsidRDefault="00FF50CB" w:rsidP="00D90B05">
      <w:pPr>
        <w:tabs>
          <w:tab w:val="left" w:pos="0"/>
          <w:tab w:val="left" w:pos="567"/>
        </w:tabs>
        <w:contextualSpacing/>
        <w:jc w:val="both"/>
        <w:rPr>
          <w:rFonts w:asciiTheme="majorHAnsi" w:eastAsia="Calibri" w:hAnsiTheme="majorHAnsi"/>
          <w:b/>
          <w:sz w:val="20"/>
          <w:szCs w:val="20"/>
          <w:lang w:val="es-AR"/>
        </w:rPr>
      </w:pPr>
    </w:p>
    <w:p w14:paraId="17F4F6E4" w14:textId="77777777" w:rsidR="00C46AD4" w:rsidRPr="00386E47" w:rsidRDefault="009F70EA" w:rsidP="003A5860">
      <w:pPr>
        <w:numPr>
          <w:ilvl w:val="0"/>
          <w:numId w:val="55"/>
        </w:numPr>
        <w:tabs>
          <w:tab w:val="left" w:pos="0"/>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Asimismo, las transcripciones realizadas por las mencionadas reparticiones de la Policía Federal se remitieron al juzgado de</w:t>
      </w:r>
      <w:r w:rsidR="002C22A1" w:rsidRPr="00386E47">
        <w:rPr>
          <w:rFonts w:asciiTheme="majorHAnsi" w:eastAsia="Calibri" w:hAnsiTheme="majorHAnsi"/>
          <w:sz w:val="20"/>
          <w:szCs w:val="20"/>
          <w:lang w:val="es-AR"/>
        </w:rPr>
        <w:t>l ex j</w:t>
      </w:r>
      <w:r w:rsidRPr="00386E47">
        <w:rPr>
          <w:rFonts w:asciiTheme="majorHAnsi" w:eastAsia="Calibri" w:hAnsiTheme="majorHAnsi"/>
          <w:sz w:val="20"/>
          <w:szCs w:val="20"/>
          <w:lang w:val="es-AR"/>
        </w:rPr>
        <w:t>uez Galeano, donde, el TOF 2 verificó</w:t>
      </w:r>
      <w:r w:rsidR="002913F6" w:rsidRPr="00386E47">
        <w:rPr>
          <w:rFonts w:asciiTheme="majorHAnsi" w:eastAsia="Calibri" w:hAnsiTheme="majorHAnsi"/>
          <w:sz w:val="20"/>
          <w:szCs w:val="20"/>
          <w:lang w:val="es-AR"/>
        </w:rPr>
        <w:t xml:space="preserve"> que </w:t>
      </w:r>
      <w:r w:rsidRPr="00386E47">
        <w:rPr>
          <w:rFonts w:asciiTheme="majorHAnsi" w:eastAsia="Calibri" w:hAnsiTheme="majorHAnsi"/>
          <w:sz w:val="20"/>
          <w:szCs w:val="20"/>
          <w:lang w:val="es-AR"/>
        </w:rPr>
        <w:t>también fueron extraviadas. En efecto, el T</w:t>
      </w:r>
      <w:r w:rsidR="002C22A1" w:rsidRPr="00386E47">
        <w:rPr>
          <w:rFonts w:asciiTheme="majorHAnsi" w:eastAsia="Calibri" w:hAnsiTheme="majorHAnsi"/>
          <w:sz w:val="20"/>
          <w:szCs w:val="20"/>
          <w:lang w:val="es-AR"/>
        </w:rPr>
        <w:t>ribunal señaló que “el entonces j</w:t>
      </w:r>
      <w:r w:rsidRPr="00386E47">
        <w:rPr>
          <w:rFonts w:asciiTheme="majorHAnsi" w:eastAsia="Calibri" w:hAnsiTheme="majorHAnsi"/>
          <w:sz w:val="20"/>
          <w:szCs w:val="20"/>
          <w:lang w:val="es-AR"/>
        </w:rPr>
        <w:t>uez Galeano ante los requerimientos formulados por los magistrados del Tribunal Oral en lo Criminal Federal Nro. 3 de esta ciudad al momento que le fueran solicitadas las escuchas en cuestión y sus transcripciones adujo no encontrarlas en el juzgado y en ningún momento las pudo remitir a la judicatura encargada de realizar el juicio oral y público”</w:t>
      </w:r>
      <w:r w:rsidRPr="00386E47">
        <w:rPr>
          <w:rFonts w:asciiTheme="majorHAnsi" w:eastAsia="Calibri" w:hAnsiTheme="majorHAnsi"/>
          <w:sz w:val="20"/>
          <w:szCs w:val="20"/>
          <w:vertAlign w:val="superscript"/>
          <w:lang w:val="es-AR"/>
        </w:rPr>
        <w:footnoteReference w:id="169"/>
      </w:r>
      <w:r w:rsidRPr="00386E47">
        <w:rPr>
          <w:rFonts w:asciiTheme="majorHAnsi" w:eastAsia="Calibri" w:hAnsiTheme="majorHAnsi"/>
          <w:sz w:val="20"/>
          <w:szCs w:val="20"/>
          <w:lang w:val="es-AR"/>
        </w:rPr>
        <w:t>.</w:t>
      </w:r>
    </w:p>
    <w:p w14:paraId="2BB04F1D" w14:textId="77777777" w:rsidR="00C46AD4" w:rsidRPr="00386E47" w:rsidRDefault="00C46AD4" w:rsidP="00D90B05">
      <w:pPr>
        <w:tabs>
          <w:tab w:val="left" w:pos="0"/>
          <w:tab w:val="left" w:pos="567"/>
        </w:tabs>
        <w:contextualSpacing/>
        <w:jc w:val="both"/>
        <w:rPr>
          <w:rFonts w:asciiTheme="majorHAnsi" w:eastAsia="Calibri" w:hAnsiTheme="majorHAnsi"/>
          <w:b/>
          <w:sz w:val="20"/>
          <w:szCs w:val="20"/>
          <w:lang w:val="es-AR"/>
        </w:rPr>
      </w:pPr>
    </w:p>
    <w:p w14:paraId="25D7CD8D" w14:textId="77777777" w:rsidR="009F70EA" w:rsidRPr="00386E47" w:rsidRDefault="009F70EA" w:rsidP="003A5860">
      <w:pPr>
        <w:numPr>
          <w:ilvl w:val="0"/>
          <w:numId w:val="55"/>
        </w:numPr>
        <w:tabs>
          <w:tab w:val="left" w:pos="0"/>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En resumen, los dos grandes núcleos de irregularidades acreditados por el Tribunal Oral en lo Criminal Federal Nro. 2 que afectaron la profundización de la denominada “pista siria/ Kanoore Edul” fueron: por un lado, el incumplimiento deliberado de la orden de allanamiento al inmueble de la calle Constitución 2633 por parte de </w:t>
      </w:r>
      <w:r w:rsidRPr="00386E47">
        <w:rPr>
          <w:rFonts w:asciiTheme="majorHAnsi" w:eastAsia="Calibri" w:hAnsiTheme="majorHAnsi"/>
          <w:sz w:val="20"/>
          <w:szCs w:val="20"/>
          <w:lang w:val="es-AR"/>
        </w:rPr>
        <w:lastRenderedPageBreak/>
        <w:t>las fuerzas policiale</w:t>
      </w:r>
      <w:r w:rsidR="00B52E89" w:rsidRPr="00386E47">
        <w:rPr>
          <w:rFonts w:asciiTheme="majorHAnsi" w:eastAsia="Calibri" w:hAnsiTheme="majorHAnsi"/>
          <w:sz w:val="20"/>
          <w:szCs w:val="20"/>
          <w:lang w:val="es-AR"/>
        </w:rPr>
        <w:t xml:space="preserve">s </w:t>
      </w:r>
      <w:r w:rsidR="00F55D99" w:rsidRPr="00386E47">
        <w:rPr>
          <w:rFonts w:asciiTheme="majorHAnsi" w:eastAsia="Calibri" w:hAnsiTheme="majorHAnsi"/>
          <w:sz w:val="20"/>
          <w:szCs w:val="20"/>
          <w:lang w:val="es-AR"/>
        </w:rPr>
        <w:t>sin una explicación a ese respecto por parte</w:t>
      </w:r>
      <w:r w:rsidR="00B52E89" w:rsidRPr="00386E47">
        <w:rPr>
          <w:rFonts w:asciiTheme="majorHAnsi" w:eastAsia="Calibri" w:hAnsiTheme="majorHAnsi"/>
          <w:sz w:val="20"/>
          <w:szCs w:val="20"/>
          <w:lang w:val="es-AR"/>
        </w:rPr>
        <w:t xml:space="preserve"> del magistrado; y por otra parte</w:t>
      </w:r>
      <w:r w:rsidR="002913F6" w:rsidRPr="00386E47">
        <w:rPr>
          <w:rFonts w:asciiTheme="majorHAnsi" w:eastAsia="Calibri" w:hAnsiTheme="majorHAnsi"/>
          <w:sz w:val="20"/>
          <w:szCs w:val="20"/>
          <w:lang w:val="es-AR"/>
        </w:rPr>
        <w:t>,</w:t>
      </w:r>
      <w:r w:rsidR="00B52E89"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la interrupción de las medidas de escuchas telefónicas iniciadas respecto a tres abonados vinculados con el Sr. Kanoore Edul y el posterior extravío de las cintas donde se grabaron y de sus transcripciones en papel. A criterio del TOF 2, el ex juez Galeano evitó “producir todas aquellas pruebas que tenían por objeto esclarecer la responsabilidad de Kanoore Edul en el atentado situación que importó que se perdieran elementos de prueba que requerían ser inmediatamente producidos y de difícil concreción con el paso del tiempo, lo que dificultó la averiguación de la verdad”</w:t>
      </w:r>
      <w:r w:rsidRPr="00386E47">
        <w:rPr>
          <w:rFonts w:asciiTheme="majorHAnsi" w:eastAsia="Calibri" w:hAnsiTheme="majorHAnsi"/>
          <w:sz w:val="20"/>
          <w:szCs w:val="20"/>
          <w:vertAlign w:val="superscript"/>
          <w:lang w:val="es-AR"/>
        </w:rPr>
        <w:footnoteReference w:id="170"/>
      </w:r>
      <w:r w:rsidRPr="00386E47">
        <w:rPr>
          <w:rFonts w:asciiTheme="majorHAnsi" w:eastAsia="Calibri" w:hAnsiTheme="majorHAnsi"/>
          <w:sz w:val="20"/>
          <w:szCs w:val="20"/>
          <w:lang w:val="es-AR"/>
        </w:rPr>
        <w:t xml:space="preserve">.  </w:t>
      </w:r>
    </w:p>
    <w:p w14:paraId="62F54EAC" w14:textId="77777777" w:rsidR="009F70EA" w:rsidRPr="00386E47" w:rsidRDefault="009F70EA" w:rsidP="009F70EA">
      <w:pPr>
        <w:tabs>
          <w:tab w:val="left" w:pos="426"/>
        </w:tabs>
        <w:contextualSpacing/>
        <w:jc w:val="both"/>
        <w:rPr>
          <w:rFonts w:asciiTheme="majorHAnsi" w:eastAsia="Calibri" w:hAnsiTheme="majorHAnsi"/>
          <w:sz w:val="20"/>
          <w:szCs w:val="20"/>
          <w:lang w:val="es-AR"/>
        </w:rPr>
      </w:pPr>
    </w:p>
    <w:p w14:paraId="77D7FC04" w14:textId="77777777" w:rsidR="00F533FB" w:rsidRPr="00386E47" w:rsidRDefault="00402A9D" w:rsidP="003A5860">
      <w:pPr>
        <w:pStyle w:val="ListParagraph"/>
        <w:numPr>
          <w:ilvl w:val="0"/>
          <w:numId w:val="58"/>
        </w:numPr>
        <w:tabs>
          <w:tab w:val="left" w:pos="426"/>
        </w:tabs>
        <w:contextualSpacing/>
        <w:jc w:val="both"/>
        <w:rPr>
          <w:rFonts w:asciiTheme="majorHAnsi" w:eastAsia="Calibri" w:hAnsiTheme="majorHAnsi"/>
          <w:b/>
          <w:sz w:val="20"/>
          <w:szCs w:val="20"/>
          <w:lang w:val="es-ES_tradnl"/>
        </w:rPr>
      </w:pPr>
      <w:r w:rsidRPr="00386E47">
        <w:rPr>
          <w:rFonts w:asciiTheme="majorHAnsi" w:eastAsia="Calibri" w:hAnsiTheme="majorHAnsi"/>
          <w:b/>
          <w:sz w:val="20"/>
          <w:szCs w:val="20"/>
          <w:lang w:val="es-ES_tradnl"/>
        </w:rPr>
        <w:t>Consideraciones de la Comisión</w:t>
      </w:r>
    </w:p>
    <w:p w14:paraId="33EC15FF" w14:textId="77777777" w:rsidR="00402A9D" w:rsidRPr="00386E47" w:rsidRDefault="00402A9D" w:rsidP="009C2C14">
      <w:pPr>
        <w:tabs>
          <w:tab w:val="left" w:pos="426"/>
        </w:tabs>
        <w:contextualSpacing/>
        <w:jc w:val="both"/>
        <w:rPr>
          <w:rFonts w:asciiTheme="majorHAnsi" w:eastAsia="Calibri" w:hAnsiTheme="majorHAnsi"/>
          <w:b/>
          <w:sz w:val="20"/>
          <w:szCs w:val="20"/>
          <w:lang w:val="es-ES_tradnl"/>
        </w:rPr>
      </w:pPr>
    </w:p>
    <w:p w14:paraId="0314AAE3" w14:textId="77777777" w:rsidR="0092045B" w:rsidRPr="00386E47" w:rsidRDefault="0092045B"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La Comisión observa que la sentencia dictada por el Tribunal Oral en lo Criminal Federal Nro. 2 que condenó a diversos</w:t>
      </w:r>
      <w:r w:rsidR="00245A1A" w:rsidRPr="00386E47">
        <w:rPr>
          <w:rFonts w:asciiTheme="majorHAnsi" w:eastAsia="Calibri" w:hAnsiTheme="majorHAnsi"/>
          <w:sz w:val="20"/>
          <w:szCs w:val="20"/>
          <w:lang w:val="es-ES_tradnl"/>
        </w:rPr>
        <w:t xml:space="preserve"> funcionarios judiciales a</w:t>
      </w:r>
      <w:r w:rsidRPr="00386E47">
        <w:rPr>
          <w:rFonts w:asciiTheme="majorHAnsi" w:eastAsia="Calibri" w:hAnsiTheme="majorHAnsi"/>
          <w:sz w:val="20"/>
          <w:szCs w:val="20"/>
          <w:lang w:val="es-ES_tradnl"/>
        </w:rPr>
        <w:t xml:space="preserve"> </w:t>
      </w:r>
      <w:r w:rsidR="00245A1A" w:rsidRPr="00386E47">
        <w:rPr>
          <w:rFonts w:asciiTheme="majorHAnsi" w:eastAsia="Calibri" w:hAnsiTheme="majorHAnsi"/>
          <w:sz w:val="20"/>
          <w:szCs w:val="20"/>
          <w:lang w:val="es-ES_tradnl"/>
        </w:rPr>
        <w:t xml:space="preserve">cargo </w:t>
      </w:r>
      <w:r w:rsidRPr="00386E47">
        <w:rPr>
          <w:rFonts w:asciiTheme="majorHAnsi" w:eastAsia="Calibri" w:hAnsiTheme="majorHAnsi"/>
          <w:sz w:val="20"/>
          <w:szCs w:val="20"/>
          <w:lang w:val="es-ES_tradnl"/>
        </w:rPr>
        <w:t>de la investigación conducida por el Juzgado de Instrucción en lo Criminal Federal 9 por los delitos de encubrimiento, peculado e incumplimiento de los deberes de funcionario público, resalta la realización de maniobras de encubrimiento dirigidas a interrumpir de manera deliberada cualquier progreso de la línea de investigación conocida com</w:t>
      </w:r>
      <w:r w:rsidR="00245A1A" w:rsidRPr="00386E47">
        <w:rPr>
          <w:rFonts w:asciiTheme="majorHAnsi" w:eastAsia="Calibri" w:hAnsiTheme="majorHAnsi"/>
          <w:sz w:val="20"/>
          <w:szCs w:val="20"/>
          <w:lang w:val="es-ES_tradnl"/>
        </w:rPr>
        <w:t xml:space="preserve">o la “pista siria/Kanoore Edul”. </w:t>
      </w:r>
    </w:p>
    <w:p w14:paraId="4AEC725F" w14:textId="77777777" w:rsidR="0092045B" w:rsidRPr="00386E47" w:rsidRDefault="0092045B" w:rsidP="0092045B">
      <w:pPr>
        <w:tabs>
          <w:tab w:val="left" w:pos="567"/>
        </w:tabs>
        <w:contextualSpacing/>
        <w:jc w:val="both"/>
        <w:rPr>
          <w:rFonts w:asciiTheme="majorHAnsi" w:eastAsia="Calibri" w:hAnsiTheme="majorHAnsi"/>
          <w:sz w:val="20"/>
          <w:szCs w:val="20"/>
          <w:lang w:val="es-ES_tradnl"/>
        </w:rPr>
      </w:pPr>
    </w:p>
    <w:p w14:paraId="6BEC9149" w14:textId="77777777" w:rsidR="0092045B" w:rsidRPr="00386E47" w:rsidRDefault="0092045B"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Conforme a la propia sentencia del TOF 2, la Comisión nota que los agentes del Estado encargados de dirigir e impulsar la investigación por el atentado a la AMIA obviaron ejecutar y sostener diversas diligencias procesales que, de haberse realizado de manera oportuna, podrían haber sido útiles para el esclarecimiento del hecho o, cuanto menos, para conocer más acerca del grado de verosimilitud de la llamada “pista siria”. Estas omisiones resultan aún más problemáticas si se tiene en cuenta lo consignado por el TOF 2 con respecto a la solidez de en esa línea de investigación durante los primeros días de la instrucción judicial</w:t>
      </w:r>
      <w:r w:rsidRPr="00386E47">
        <w:rPr>
          <w:rStyle w:val="FootnoteReference"/>
          <w:rFonts w:asciiTheme="majorHAnsi" w:eastAsia="Calibri" w:hAnsiTheme="majorHAnsi"/>
          <w:sz w:val="20"/>
          <w:szCs w:val="20"/>
          <w:lang w:val="es-ES_tradnl"/>
        </w:rPr>
        <w:footnoteReference w:id="171"/>
      </w:r>
      <w:r w:rsidRPr="00386E47">
        <w:rPr>
          <w:rFonts w:asciiTheme="majorHAnsi" w:eastAsia="Calibri" w:hAnsiTheme="majorHAnsi"/>
          <w:sz w:val="20"/>
          <w:szCs w:val="20"/>
          <w:lang w:val="es-ES_tradnl"/>
        </w:rPr>
        <w:t xml:space="preserve">. </w:t>
      </w:r>
    </w:p>
    <w:p w14:paraId="6D8E8824" w14:textId="77777777" w:rsidR="0092045B" w:rsidRPr="00386E47" w:rsidRDefault="0092045B" w:rsidP="0092045B">
      <w:pPr>
        <w:tabs>
          <w:tab w:val="left" w:pos="567"/>
        </w:tabs>
        <w:contextualSpacing/>
        <w:jc w:val="both"/>
        <w:rPr>
          <w:rFonts w:asciiTheme="majorHAnsi" w:eastAsia="Calibri" w:hAnsiTheme="majorHAnsi"/>
          <w:sz w:val="20"/>
          <w:szCs w:val="20"/>
          <w:lang w:val="es-ES_tradnl"/>
        </w:rPr>
      </w:pPr>
    </w:p>
    <w:p w14:paraId="1009B934" w14:textId="77777777" w:rsidR="0092045B" w:rsidRPr="00386E47" w:rsidRDefault="0092045B"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Entre las principales omisiones en las que incurrieron los funcionarios cabe mencionar el allanamiento frustrado al inmueble de la Calle Constitución 2633 y, en segundo término, la interrupción de las medidas de interceptación de las comunicaciones telefónicas de personas de interés para la investigación, sin realizar un previo análisis del contenido de aquellas comunicaciones ya captadas. </w:t>
      </w:r>
    </w:p>
    <w:p w14:paraId="6012B790" w14:textId="77777777" w:rsidR="0092045B" w:rsidRPr="00386E47" w:rsidRDefault="0092045B" w:rsidP="0092045B">
      <w:pPr>
        <w:tabs>
          <w:tab w:val="left" w:pos="567"/>
        </w:tabs>
        <w:contextualSpacing/>
        <w:jc w:val="both"/>
        <w:rPr>
          <w:rFonts w:asciiTheme="majorHAnsi" w:eastAsia="Calibri" w:hAnsiTheme="majorHAnsi"/>
          <w:sz w:val="20"/>
          <w:szCs w:val="20"/>
          <w:lang w:val="es-ES_tradnl"/>
        </w:rPr>
      </w:pPr>
    </w:p>
    <w:p w14:paraId="4918E794" w14:textId="77777777" w:rsidR="0092045B" w:rsidRPr="00386E47" w:rsidRDefault="0092045B"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En torno al principio de exhaustividad en las investigaciones por violaciones a derechos humanos, la Comisión considera oportuno recordar que la jurisprudencia de la Corte IDH es abundante en lo que tiene que ver con </w:t>
      </w:r>
      <w:r w:rsidRPr="00386E47">
        <w:rPr>
          <w:rFonts w:asciiTheme="majorHAnsi" w:eastAsia="Calibri" w:hAnsiTheme="majorHAnsi"/>
          <w:sz w:val="20"/>
          <w:szCs w:val="20"/>
          <w:lang w:val="es-AR"/>
        </w:rPr>
        <w:t>la responsabilidad internacional del Estado por no ordenar, practicar o valorar pruebas que puedan resultar fundamentales para el debido esclarecimiento de los hechos. La Corte IDH señaló, en este mismo sentido, que la pesquisa debe estar orientada a explorar todas las líneas investigativas posibles que permitan la identificación de los autores del delito, su posterior juzgamiento y sanción</w:t>
      </w:r>
      <w:r w:rsidRPr="00386E47">
        <w:rPr>
          <w:rFonts w:asciiTheme="majorHAnsi" w:eastAsia="Calibri" w:hAnsiTheme="majorHAnsi"/>
          <w:sz w:val="20"/>
          <w:szCs w:val="20"/>
          <w:vertAlign w:val="superscript"/>
          <w:lang w:val="es-AR"/>
        </w:rPr>
        <w:footnoteReference w:id="172"/>
      </w:r>
      <w:r w:rsidRPr="00386E47">
        <w:rPr>
          <w:rFonts w:asciiTheme="majorHAnsi" w:eastAsia="Calibri" w:hAnsiTheme="majorHAnsi"/>
          <w:sz w:val="20"/>
          <w:szCs w:val="20"/>
          <w:lang w:val="es-AR"/>
        </w:rPr>
        <w:t>.</w:t>
      </w:r>
    </w:p>
    <w:p w14:paraId="5B78F18E" w14:textId="77777777" w:rsidR="0092045B" w:rsidRPr="00386E47" w:rsidRDefault="0092045B" w:rsidP="0092045B">
      <w:pPr>
        <w:tabs>
          <w:tab w:val="left" w:pos="567"/>
        </w:tabs>
        <w:contextualSpacing/>
        <w:jc w:val="both"/>
        <w:rPr>
          <w:rFonts w:asciiTheme="majorHAnsi" w:eastAsia="Calibri" w:hAnsiTheme="majorHAnsi"/>
          <w:sz w:val="20"/>
          <w:szCs w:val="20"/>
          <w:lang w:val="es-ES_tradnl"/>
        </w:rPr>
      </w:pPr>
    </w:p>
    <w:p w14:paraId="49D7B7CA" w14:textId="77777777" w:rsidR="00F533FB" w:rsidRPr="00386E47" w:rsidRDefault="0092045B"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ES_tradnl"/>
        </w:rPr>
        <w:t xml:space="preserve">En </w:t>
      </w:r>
      <w:r w:rsidR="003D23F8" w:rsidRPr="00386E47">
        <w:rPr>
          <w:rFonts w:asciiTheme="majorHAnsi" w:eastAsia="Calibri" w:hAnsiTheme="majorHAnsi"/>
          <w:sz w:val="20"/>
          <w:szCs w:val="20"/>
          <w:lang w:val="es-ES_tradnl"/>
        </w:rPr>
        <w:t>vista de lo expuesto</w:t>
      </w:r>
      <w:r w:rsidRPr="00386E47">
        <w:rPr>
          <w:rFonts w:asciiTheme="majorHAnsi" w:eastAsia="Calibri" w:hAnsiTheme="majorHAnsi"/>
          <w:sz w:val="20"/>
          <w:szCs w:val="20"/>
          <w:lang w:val="es-ES_tradnl"/>
        </w:rPr>
        <w:t xml:space="preserve">, </w:t>
      </w:r>
      <w:r w:rsidR="003D23F8" w:rsidRPr="00386E47">
        <w:rPr>
          <w:rFonts w:asciiTheme="majorHAnsi" w:eastAsia="Calibri" w:hAnsiTheme="majorHAnsi"/>
          <w:sz w:val="20"/>
          <w:szCs w:val="20"/>
          <w:lang w:val="es-ES_tradnl"/>
        </w:rPr>
        <w:t xml:space="preserve">y ante la ausencia de </w:t>
      </w:r>
      <w:r w:rsidR="00C46758" w:rsidRPr="00386E47">
        <w:rPr>
          <w:rFonts w:asciiTheme="majorHAnsi" w:eastAsia="Calibri" w:hAnsiTheme="majorHAnsi"/>
          <w:sz w:val="20"/>
          <w:szCs w:val="20"/>
          <w:lang w:val="es-ES_tradnl"/>
        </w:rPr>
        <w:t xml:space="preserve">cumplimiento de las </w:t>
      </w:r>
      <w:r w:rsidR="003D23F8" w:rsidRPr="00386E47">
        <w:rPr>
          <w:rFonts w:asciiTheme="majorHAnsi" w:eastAsia="Calibri" w:hAnsiTheme="majorHAnsi"/>
          <w:sz w:val="20"/>
          <w:szCs w:val="20"/>
          <w:lang w:val="es-ES_tradnl"/>
        </w:rPr>
        <w:t xml:space="preserve">diligencias </w:t>
      </w:r>
      <w:r w:rsidRPr="00386E47">
        <w:rPr>
          <w:rFonts w:asciiTheme="majorHAnsi" w:eastAsia="Calibri" w:hAnsiTheme="majorHAnsi"/>
          <w:sz w:val="20"/>
          <w:szCs w:val="20"/>
          <w:lang w:val="es-ES_tradnl"/>
        </w:rPr>
        <w:t>identificadas por el TOF 2</w:t>
      </w:r>
      <w:r w:rsidR="003D23F8" w:rsidRPr="00386E47">
        <w:rPr>
          <w:rFonts w:asciiTheme="majorHAnsi" w:eastAsia="Calibri" w:hAnsiTheme="majorHAnsi"/>
          <w:sz w:val="20"/>
          <w:szCs w:val="20"/>
          <w:lang w:val="es-ES_tradnl"/>
        </w:rPr>
        <w:t xml:space="preserve">, la Comisión observa que los funcionarios estatales se abstuvieron de continuar profundizando y desarrollando una línea lógica esencial para el desarrollo de la investigación. En este sentido, </w:t>
      </w:r>
      <w:r w:rsidR="003D23F8" w:rsidRPr="00386E47">
        <w:rPr>
          <w:rFonts w:asciiTheme="majorHAnsi" w:eastAsia="Calibri" w:hAnsiTheme="majorHAnsi"/>
          <w:sz w:val="20"/>
          <w:szCs w:val="20"/>
          <w:lang w:val="es-AR"/>
        </w:rPr>
        <w:t>la Comisión considera que el Estado no cumplió con investigar de manera seria y exhaustiva los hechos con el objetivo de llegar al conocimiento de la verdad sobre los hechos.</w:t>
      </w:r>
    </w:p>
    <w:p w14:paraId="73B2AD1A" w14:textId="77777777" w:rsidR="00F533FB" w:rsidRPr="00386E47" w:rsidRDefault="00F533FB" w:rsidP="009F70EA">
      <w:pPr>
        <w:tabs>
          <w:tab w:val="left" w:pos="426"/>
        </w:tabs>
        <w:contextualSpacing/>
        <w:jc w:val="both"/>
        <w:rPr>
          <w:rFonts w:asciiTheme="majorHAnsi" w:eastAsia="Calibri" w:hAnsiTheme="majorHAnsi"/>
          <w:sz w:val="20"/>
          <w:szCs w:val="20"/>
          <w:lang w:val="es-AR"/>
        </w:rPr>
      </w:pPr>
    </w:p>
    <w:p w14:paraId="28A7ADCA" w14:textId="77777777" w:rsidR="003D23F8" w:rsidRPr="00386E47" w:rsidRDefault="003D23F8" w:rsidP="00B528BF">
      <w:pPr>
        <w:pStyle w:val="Heading5"/>
      </w:pPr>
      <w:r w:rsidRPr="00386E47">
        <w:t xml:space="preserve">Actuaciones realizadas por el Juez de Instrucción No. 9 en relación </w:t>
      </w:r>
      <w:r w:rsidR="00B528BF" w:rsidRPr="00386E47">
        <w:t>al</w:t>
      </w:r>
      <w:r w:rsidRPr="00386E47">
        <w:t xml:space="preserve"> imputado</w:t>
      </w:r>
      <w:r w:rsidR="009F70EA" w:rsidRPr="00386E47">
        <w:t xml:space="preserve"> </w:t>
      </w:r>
      <w:r w:rsidRPr="00386E47">
        <w:t xml:space="preserve">Carlos </w:t>
      </w:r>
      <w:r w:rsidR="009F70EA" w:rsidRPr="00386E47">
        <w:t xml:space="preserve">Telleldin </w:t>
      </w:r>
    </w:p>
    <w:p w14:paraId="43C2F53A" w14:textId="77777777" w:rsidR="003D23F8" w:rsidRPr="00386E47" w:rsidRDefault="003D23F8" w:rsidP="00A311A0">
      <w:pPr>
        <w:tabs>
          <w:tab w:val="left" w:pos="426"/>
        </w:tabs>
        <w:ind w:left="426"/>
        <w:contextualSpacing/>
        <w:jc w:val="both"/>
        <w:rPr>
          <w:rFonts w:asciiTheme="majorHAnsi" w:eastAsia="Calibri" w:hAnsiTheme="majorHAnsi"/>
          <w:b/>
          <w:sz w:val="20"/>
          <w:szCs w:val="20"/>
          <w:lang w:val="es-AR"/>
        </w:rPr>
      </w:pPr>
    </w:p>
    <w:p w14:paraId="2946798E"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D</w:t>
      </w:r>
      <w:r w:rsidR="00C74910" w:rsidRPr="00386E47">
        <w:rPr>
          <w:rFonts w:asciiTheme="majorHAnsi" w:eastAsia="Calibri" w:hAnsiTheme="majorHAnsi"/>
          <w:sz w:val="20"/>
          <w:szCs w:val="20"/>
          <w:lang w:val="es-AR"/>
        </w:rPr>
        <w:t xml:space="preserve">urante el lapso de tiempo que transcurrió entre </w:t>
      </w:r>
      <w:r w:rsidR="009F70EA" w:rsidRPr="00386E47">
        <w:rPr>
          <w:rFonts w:asciiTheme="majorHAnsi" w:eastAsia="Calibri" w:hAnsiTheme="majorHAnsi"/>
          <w:sz w:val="20"/>
          <w:szCs w:val="20"/>
          <w:lang w:val="es-AR"/>
        </w:rPr>
        <w:t xml:space="preserve">julio de 1994 y mediados de 1996, Carlos Telleldin era la única persona detenida </w:t>
      </w:r>
      <w:r w:rsidR="00C74910" w:rsidRPr="00386E47">
        <w:rPr>
          <w:rFonts w:asciiTheme="majorHAnsi" w:eastAsia="Calibri" w:hAnsiTheme="majorHAnsi"/>
          <w:sz w:val="20"/>
          <w:szCs w:val="20"/>
          <w:lang w:val="es-AR"/>
        </w:rPr>
        <w:t xml:space="preserve">a </w:t>
      </w:r>
      <w:r w:rsidRPr="00386E47">
        <w:rPr>
          <w:rFonts w:asciiTheme="majorHAnsi" w:eastAsia="Calibri" w:hAnsiTheme="majorHAnsi"/>
          <w:sz w:val="20"/>
          <w:szCs w:val="20"/>
          <w:lang w:val="es-AR"/>
        </w:rPr>
        <w:t>disposición</w:t>
      </w:r>
      <w:r w:rsidR="00C74910" w:rsidRPr="00386E47">
        <w:rPr>
          <w:rFonts w:asciiTheme="majorHAnsi" w:eastAsia="Calibri" w:hAnsiTheme="majorHAnsi"/>
          <w:sz w:val="20"/>
          <w:szCs w:val="20"/>
          <w:lang w:val="es-AR"/>
        </w:rPr>
        <w:t xml:space="preserve"> de las autoridades judiciales e imputada </w:t>
      </w:r>
      <w:r w:rsidR="009F70EA" w:rsidRPr="00386E47">
        <w:rPr>
          <w:rFonts w:asciiTheme="majorHAnsi" w:eastAsia="Calibri" w:hAnsiTheme="majorHAnsi"/>
          <w:sz w:val="20"/>
          <w:szCs w:val="20"/>
          <w:lang w:val="es-AR"/>
        </w:rPr>
        <w:t xml:space="preserve">de haber tenido algún grado de </w:t>
      </w:r>
      <w:r w:rsidR="009F70EA" w:rsidRPr="00386E47">
        <w:rPr>
          <w:rFonts w:asciiTheme="majorHAnsi" w:eastAsia="Calibri" w:hAnsiTheme="majorHAnsi"/>
          <w:sz w:val="20"/>
          <w:szCs w:val="20"/>
          <w:lang w:val="es-AR"/>
        </w:rPr>
        <w:lastRenderedPageBreak/>
        <w:t>participación en el atentado</w:t>
      </w:r>
      <w:r w:rsidR="00EF4DB1" w:rsidRPr="00386E47">
        <w:rPr>
          <w:rStyle w:val="FootnoteReference"/>
          <w:rFonts w:asciiTheme="majorHAnsi" w:eastAsia="Calibri" w:hAnsiTheme="majorHAnsi"/>
          <w:sz w:val="20"/>
          <w:szCs w:val="20"/>
          <w:lang w:val="es-AR"/>
        </w:rPr>
        <w:footnoteReference w:id="173"/>
      </w:r>
      <w:r w:rsidR="009F70EA"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 En el transcurso de la investigación fue conocido que dicho imputado tuvo una serie de reuniones informales con diversas autoridades y que recibió una suma de dinero por parte del SIDE con el objetivo de emitir una declaración que involucró a algunos policías en los hechos. A </w:t>
      </w:r>
      <w:r w:rsidR="00C46758" w:rsidRPr="00386E47">
        <w:rPr>
          <w:rFonts w:asciiTheme="majorHAnsi" w:eastAsia="Calibri" w:hAnsiTheme="majorHAnsi"/>
          <w:sz w:val="20"/>
          <w:szCs w:val="20"/>
          <w:lang w:val="es-AR"/>
        </w:rPr>
        <w:t>continuación,</w:t>
      </w:r>
      <w:r w:rsidRPr="00386E47">
        <w:rPr>
          <w:rFonts w:asciiTheme="majorHAnsi" w:eastAsia="Calibri" w:hAnsiTheme="majorHAnsi"/>
          <w:sz w:val="20"/>
          <w:szCs w:val="20"/>
          <w:lang w:val="es-AR"/>
        </w:rPr>
        <w:t xml:space="preserve"> se describen los hechos relevantes en relación con estos aspectos y, la Comisión realizará sus consideraciones respectivas.</w:t>
      </w:r>
    </w:p>
    <w:p w14:paraId="0FB1FB01" w14:textId="77777777" w:rsidR="003D23F8" w:rsidRPr="00386E47" w:rsidRDefault="003D23F8" w:rsidP="00A311A0">
      <w:pPr>
        <w:tabs>
          <w:tab w:val="left" w:pos="567"/>
        </w:tabs>
        <w:contextualSpacing/>
        <w:jc w:val="both"/>
        <w:rPr>
          <w:rFonts w:asciiTheme="majorHAnsi" w:eastAsia="Calibri" w:hAnsiTheme="majorHAnsi"/>
          <w:sz w:val="20"/>
          <w:szCs w:val="20"/>
          <w:lang w:val="es-AR"/>
        </w:rPr>
      </w:pPr>
    </w:p>
    <w:p w14:paraId="39F7149A" w14:textId="77777777" w:rsidR="00AD270D" w:rsidRPr="00386E47" w:rsidRDefault="003D23F8" w:rsidP="003A5860">
      <w:pPr>
        <w:pStyle w:val="ListParagraph"/>
        <w:numPr>
          <w:ilvl w:val="0"/>
          <w:numId w:val="58"/>
        </w:numPr>
        <w:tabs>
          <w:tab w:val="left" w:pos="567"/>
        </w:tabs>
        <w:contextualSpacing/>
        <w:jc w:val="both"/>
        <w:rPr>
          <w:rFonts w:asciiTheme="majorHAnsi" w:eastAsia="Calibri" w:hAnsiTheme="majorHAnsi"/>
          <w:b/>
          <w:sz w:val="20"/>
          <w:szCs w:val="20"/>
          <w:lang w:val="es-AR"/>
        </w:rPr>
      </w:pPr>
      <w:r w:rsidRPr="00386E47">
        <w:rPr>
          <w:rFonts w:asciiTheme="majorHAnsi" w:eastAsia="Calibri" w:hAnsiTheme="majorHAnsi"/>
          <w:b/>
          <w:sz w:val="20"/>
          <w:szCs w:val="20"/>
          <w:lang w:val="es-AR"/>
        </w:rPr>
        <w:t xml:space="preserve">Respecto de las reuniones informales entre autoridades y el imputado Carlos Telleldín </w:t>
      </w:r>
    </w:p>
    <w:p w14:paraId="56DE3D79" w14:textId="77777777" w:rsidR="00AD270D" w:rsidRPr="00386E47" w:rsidRDefault="00AD270D" w:rsidP="00D90B05">
      <w:pPr>
        <w:tabs>
          <w:tab w:val="left" w:pos="426"/>
        </w:tabs>
        <w:contextualSpacing/>
        <w:jc w:val="both"/>
        <w:rPr>
          <w:rFonts w:asciiTheme="majorHAnsi" w:eastAsia="Calibri" w:hAnsiTheme="majorHAnsi"/>
          <w:b/>
          <w:sz w:val="20"/>
          <w:szCs w:val="20"/>
          <w:lang w:val="es-AR"/>
        </w:rPr>
      </w:pPr>
    </w:p>
    <w:p w14:paraId="26E92985" w14:textId="77777777" w:rsidR="00AD270D" w:rsidRPr="00386E47" w:rsidRDefault="007C4B9E" w:rsidP="003A5860">
      <w:pPr>
        <w:numPr>
          <w:ilvl w:val="0"/>
          <w:numId w:val="55"/>
        </w:numPr>
        <w:tabs>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El TOF 3 en su sentencia de octubre de 2004 tuvo por acreditado que, a</w:t>
      </w:r>
      <w:r w:rsidR="009F70EA" w:rsidRPr="00386E47">
        <w:rPr>
          <w:rFonts w:asciiTheme="majorHAnsi" w:eastAsia="Calibri" w:hAnsiTheme="majorHAnsi"/>
          <w:sz w:val="20"/>
          <w:szCs w:val="20"/>
          <w:lang w:val="es-AR"/>
        </w:rPr>
        <w:t xml:space="preserve"> principios de 1995</w:t>
      </w:r>
      <w:r w:rsidRPr="00386E47">
        <w:rPr>
          <w:rFonts w:asciiTheme="majorHAnsi" w:eastAsia="Calibri" w:hAnsiTheme="majorHAnsi"/>
          <w:sz w:val="20"/>
          <w:szCs w:val="20"/>
          <w:lang w:val="es-AR"/>
        </w:rPr>
        <w:t>,</w:t>
      </w:r>
      <w:r w:rsidR="009F70EA" w:rsidRPr="00386E47">
        <w:rPr>
          <w:rFonts w:asciiTheme="majorHAnsi" w:eastAsia="Calibri" w:hAnsiTheme="majorHAnsi"/>
          <w:sz w:val="20"/>
          <w:szCs w:val="20"/>
          <w:lang w:val="es-AR"/>
        </w:rPr>
        <w:t xml:space="preserve"> una persona llamada Héctor Pedro Vergéz, por entonces oficial en situación de retiro del Ejército Argentino, se presentó ante los estrados del Juzgado en lo Criminal y Correccional Federal Nro. 9 y solicitó </w:t>
      </w:r>
      <w:r w:rsidR="00AD270D" w:rsidRPr="00386E47">
        <w:rPr>
          <w:rFonts w:asciiTheme="majorHAnsi" w:eastAsia="Calibri" w:hAnsiTheme="majorHAnsi"/>
          <w:sz w:val="20"/>
          <w:szCs w:val="20"/>
          <w:lang w:val="es-AR"/>
        </w:rPr>
        <w:t>mantener</w:t>
      </w:r>
      <w:r w:rsidR="009F70EA" w:rsidRPr="00386E47">
        <w:rPr>
          <w:rFonts w:asciiTheme="majorHAnsi" w:eastAsia="Calibri" w:hAnsiTheme="majorHAnsi"/>
          <w:sz w:val="20"/>
          <w:szCs w:val="20"/>
          <w:lang w:val="es-AR"/>
        </w:rPr>
        <w:t xml:space="preserve"> una entrevista</w:t>
      </w:r>
      <w:r w:rsidR="00AD270D" w:rsidRPr="00386E47">
        <w:rPr>
          <w:rFonts w:asciiTheme="majorHAnsi" w:eastAsia="Calibri" w:hAnsiTheme="majorHAnsi"/>
          <w:sz w:val="20"/>
          <w:szCs w:val="20"/>
          <w:lang w:val="es-AR"/>
        </w:rPr>
        <w:t xml:space="preserve"> privada</w:t>
      </w:r>
      <w:r w:rsidR="009F70EA" w:rsidRPr="00386E47">
        <w:rPr>
          <w:rFonts w:asciiTheme="majorHAnsi" w:eastAsia="Calibri" w:hAnsiTheme="majorHAnsi"/>
          <w:sz w:val="20"/>
          <w:szCs w:val="20"/>
          <w:lang w:val="es-AR"/>
        </w:rPr>
        <w:t xml:space="preserve"> con el Sr. Telleldin. </w:t>
      </w:r>
      <w:r w:rsidR="00AD270D" w:rsidRPr="00386E47">
        <w:rPr>
          <w:rFonts w:asciiTheme="majorHAnsi" w:eastAsia="Calibri" w:hAnsiTheme="majorHAnsi"/>
          <w:sz w:val="20"/>
          <w:szCs w:val="20"/>
          <w:lang w:val="es-AR"/>
        </w:rPr>
        <w:t>El juez Galeano accedió al pedido y, en consecuencia, d</w:t>
      </w:r>
      <w:r w:rsidR="009F70EA" w:rsidRPr="00386E47">
        <w:rPr>
          <w:rFonts w:asciiTheme="majorHAnsi" w:eastAsia="Calibri" w:hAnsiTheme="majorHAnsi"/>
          <w:sz w:val="20"/>
          <w:szCs w:val="20"/>
          <w:lang w:val="es-AR"/>
        </w:rPr>
        <w:t xml:space="preserve">os </w:t>
      </w:r>
      <w:r w:rsidR="00AD270D" w:rsidRPr="00386E47">
        <w:rPr>
          <w:rFonts w:asciiTheme="majorHAnsi" w:eastAsia="Calibri" w:hAnsiTheme="majorHAnsi"/>
          <w:sz w:val="20"/>
          <w:szCs w:val="20"/>
          <w:lang w:val="es-AR"/>
        </w:rPr>
        <w:t xml:space="preserve">reuniones </w:t>
      </w:r>
      <w:r w:rsidR="009F70EA" w:rsidRPr="00386E47">
        <w:rPr>
          <w:rFonts w:asciiTheme="majorHAnsi" w:eastAsia="Calibri" w:hAnsiTheme="majorHAnsi"/>
          <w:sz w:val="20"/>
          <w:szCs w:val="20"/>
          <w:lang w:val="es-AR"/>
        </w:rPr>
        <w:t>tuvieron lugar en las oficinas del juzgado los días 20 de</w:t>
      </w:r>
      <w:r w:rsidR="00FF50CB" w:rsidRPr="00386E47">
        <w:rPr>
          <w:rFonts w:asciiTheme="majorHAnsi" w:eastAsia="Calibri" w:hAnsiTheme="majorHAnsi"/>
          <w:sz w:val="20"/>
          <w:szCs w:val="20"/>
          <w:lang w:val="es-AR"/>
        </w:rPr>
        <w:t xml:space="preserve"> enero y 2 de febrero de 1995. </w:t>
      </w:r>
      <w:r w:rsidR="009F70EA" w:rsidRPr="00386E47">
        <w:rPr>
          <w:rFonts w:asciiTheme="majorHAnsi" w:eastAsia="Calibri" w:hAnsiTheme="majorHAnsi"/>
          <w:sz w:val="20"/>
          <w:szCs w:val="20"/>
          <w:lang w:val="es-AR"/>
        </w:rPr>
        <w:t>Vergéz concurrió</w:t>
      </w:r>
      <w:r w:rsidR="00AD270D" w:rsidRPr="00386E47">
        <w:rPr>
          <w:rFonts w:asciiTheme="majorHAnsi" w:eastAsia="Calibri" w:hAnsiTheme="majorHAnsi"/>
          <w:sz w:val="20"/>
          <w:szCs w:val="20"/>
          <w:lang w:val="es-AR"/>
        </w:rPr>
        <w:t xml:space="preserve"> a esos encuentros</w:t>
      </w:r>
      <w:r w:rsidR="009F70EA" w:rsidRPr="00386E47">
        <w:rPr>
          <w:rFonts w:asciiTheme="majorHAnsi" w:eastAsia="Calibri" w:hAnsiTheme="majorHAnsi"/>
          <w:sz w:val="20"/>
          <w:szCs w:val="20"/>
          <w:lang w:val="es-AR"/>
        </w:rPr>
        <w:t xml:space="preserve"> acompañado de un agente de la SIDE llamado Daniel Ricardo Romero, quien se encargó de </w:t>
      </w:r>
      <w:r w:rsidR="00AD270D" w:rsidRPr="00386E47">
        <w:rPr>
          <w:rFonts w:asciiTheme="majorHAnsi" w:eastAsia="Calibri" w:hAnsiTheme="majorHAnsi"/>
          <w:sz w:val="20"/>
          <w:szCs w:val="20"/>
          <w:lang w:val="es-AR"/>
        </w:rPr>
        <w:t>registrar en video las conversaciones</w:t>
      </w:r>
      <w:r w:rsidR="009F70EA" w:rsidRPr="00386E47">
        <w:rPr>
          <w:rFonts w:asciiTheme="majorHAnsi" w:eastAsia="Calibri" w:hAnsiTheme="majorHAnsi"/>
          <w:sz w:val="20"/>
          <w:szCs w:val="20"/>
          <w:lang w:val="es-AR"/>
        </w:rPr>
        <w:t>. Hacia fines de febrero</w:t>
      </w:r>
      <w:r w:rsidR="006B795B" w:rsidRPr="00386E47">
        <w:rPr>
          <w:rFonts w:asciiTheme="majorHAnsi" w:eastAsia="Calibri" w:hAnsiTheme="majorHAnsi"/>
          <w:sz w:val="20"/>
          <w:szCs w:val="20"/>
          <w:lang w:val="es-AR"/>
        </w:rPr>
        <w:t>,</w:t>
      </w:r>
      <w:r w:rsidR="009F70EA" w:rsidRPr="00386E47">
        <w:rPr>
          <w:rFonts w:asciiTheme="majorHAnsi" w:eastAsia="Calibri" w:hAnsiTheme="majorHAnsi"/>
          <w:sz w:val="20"/>
          <w:szCs w:val="20"/>
          <w:lang w:val="es-AR"/>
        </w:rPr>
        <w:t xml:space="preserve"> Vergéz y Romero concurrieron en otras dos oportunidades a la unidad penitenciaria donde Telleldin estaba detenido</w:t>
      </w:r>
      <w:r w:rsidR="00701B67" w:rsidRPr="00386E47">
        <w:rPr>
          <w:rStyle w:val="FootnoteReference"/>
          <w:rFonts w:asciiTheme="majorHAnsi" w:eastAsia="Calibri" w:hAnsiTheme="majorHAnsi"/>
          <w:sz w:val="20"/>
          <w:szCs w:val="20"/>
          <w:lang w:val="es-AR"/>
        </w:rPr>
        <w:footnoteReference w:id="174"/>
      </w:r>
      <w:r w:rsidR="009F70EA" w:rsidRPr="00386E47">
        <w:rPr>
          <w:rFonts w:asciiTheme="majorHAnsi" w:eastAsia="Calibri" w:hAnsiTheme="majorHAnsi"/>
          <w:sz w:val="20"/>
          <w:szCs w:val="20"/>
          <w:lang w:val="es-AR"/>
        </w:rPr>
        <w:t xml:space="preserve">. </w:t>
      </w:r>
    </w:p>
    <w:p w14:paraId="59EA8FA2" w14:textId="77777777" w:rsidR="00AD270D" w:rsidRPr="00386E47" w:rsidRDefault="00AD270D" w:rsidP="00D90B05">
      <w:pPr>
        <w:tabs>
          <w:tab w:val="left" w:pos="426"/>
        </w:tabs>
        <w:contextualSpacing/>
        <w:jc w:val="both"/>
        <w:rPr>
          <w:rFonts w:asciiTheme="majorHAnsi" w:eastAsia="Calibri" w:hAnsiTheme="majorHAnsi"/>
          <w:b/>
          <w:sz w:val="20"/>
          <w:szCs w:val="20"/>
          <w:lang w:val="es-AR"/>
        </w:rPr>
      </w:pPr>
    </w:p>
    <w:p w14:paraId="16951C29" w14:textId="77777777" w:rsidR="006845EA" w:rsidRPr="00386E47" w:rsidRDefault="009F70EA" w:rsidP="003A5860">
      <w:pPr>
        <w:numPr>
          <w:ilvl w:val="0"/>
          <w:numId w:val="55"/>
        </w:numPr>
        <w:tabs>
          <w:tab w:val="left" w:pos="567"/>
        </w:tabs>
        <w:ind w:left="0" w:firstLine="0"/>
        <w:contextualSpacing/>
        <w:jc w:val="both"/>
        <w:rPr>
          <w:rFonts w:asciiTheme="majorHAnsi" w:eastAsia="Calibri" w:hAnsiTheme="majorHAnsi"/>
          <w:b/>
          <w:sz w:val="20"/>
          <w:szCs w:val="20"/>
          <w:lang w:val="es-AR"/>
        </w:rPr>
      </w:pPr>
      <w:r w:rsidRPr="00386E47">
        <w:rPr>
          <w:rFonts w:asciiTheme="majorHAnsi" w:hAnsiTheme="majorHAnsi"/>
          <w:sz w:val="20"/>
          <w:szCs w:val="20"/>
          <w:lang w:val="es-AR"/>
        </w:rPr>
        <w:t>En su declaración en el juicio oral sustancia</w:t>
      </w:r>
      <w:r w:rsidR="00701B67" w:rsidRPr="00386E47">
        <w:rPr>
          <w:rFonts w:asciiTheme="majorHAnsi" w:hAnsiTheme="majorHAnsi"/>
          <w:sz w:val="20"/>
          <w:szCs w:val="20"/>
          <w:lang w:val="es-AR"/>
        </w:rPr>
        <w:t>do por el TOF 3 Vergéz aseguró</w:t>
      </w:r>
      <w:r w:rsidRPr="00386E47">
        <w:rPr>
          <w:rFonts w:asciiTheme="majorHAnsi" w:hAnsiTheme="majorHAnsi"/>
          <w:sz w:val="20"/>
          <w:szCs w:val="20"/>
          <w:lang w:val="es-AR"/>
        </w:rPr>
        <w:t xml:space="preserve"> que “el Dr. Galeano ten</w:t>
      </w:r>
      <w:r w:rsidR="005950E4" w:rsidRPr="00386E47">
        <w:rPr>
          <w:rFonts w:asciiTheme="majorHAnsi" w:hAnsiTheme="majorHAnsi"/>
          <w:sz w:val="20"/>
          <w:szCs w:val="20"/>
          <w:lang w:val="es-AR"/>
        </w:rPr>
        <w:t>í</w:t>
      </w:r>
      <w:r w:rsidRPr="00386E47">
        <w:rPr>
          <w:rFonts w:asciiTheme="majorHAnsi" w:hAnsiTheme="majorHAnsi"/>
          <w:sz w:val="20"/>
          <w:szCs w:val="20"/>
          <w:lang w:val="es-AR"/>
        </w:rPr>
        <w:t>a pleno conocimiento de las entrevistas que mantuvo con Telleldin y de la investigación que realizaba junto con Daniel Romero”</w:t>
      </w:r>
      <w:r w:rsidRPr="00386E47">
        <w:rPr>
          <w:rFonts w:asciiTheme="majorHAnsi" w:hAnsiTheme="majorHAnsi"/>
          <w:sz w:val="20"/>
          <w:szCs w:val="20"/>
          <w:vertAlign w:val="superscript"/>
        </w:rPr>
        <w:footnoteReference w:id="175"/>
      </w:r>
      <w:r w:rsidRPr="00386E47">
        <w:rPr>
          <w:rFonts w:asciiTheme="majorHAnsi" w:hAnsiTheme="majorHAnsi"/>
          <w:sz w:val="20"/>
          <w:szCs w:val="20"/>
          <w:lang w:val="es-AR"/>
        </w:rPr>
        <w:t>. Romero, por su parte, sostuvo que entregó una copia de las grabaciones al juzgado y otra copia a agentes de la SIDE pertenecientes a una oficina denominada “Sala Patria”</w:t>
      </w:r>
      <w:r w:rsidR="006845EA" w:rsidRPr="00386E47">
        <w:rPr>
          <w:rStyle w:val="FootnoteReference"/>
          <w:rFonts w:asciiTheme="majorHAnsi" w:hAnsiTheme="majorHAnsi"/>
          <w:sz w:val="20"/>
          <w:szCs w:val="20"/>
          <w:lang w:val="es-AR"/>
        </w:rPr>
        <w:footnoteReference w:id="176"/>
      </w:r>
      <w:r w:rsidRPr="00386E47">
        <w:rPr>
          <w:rFonts w:asciiTheme="majorHAnsi" w:hAnsiTheme="majorHAnsi"/>
          <w:sz w:val="20"/>
          <w:szCs w:val="20"/>
          <w:lang w:val="es-AR"/>
        </w:rPr>
        <w:t xml:space="preserve">. </w:t>
      </w:r>
    </w:p>
    <w:p w14:paraId="7166105B" w14:textId="77777777" w:rsidR="006845EA" w:rsidRPr="00386E47" w:rsidRDefault="006845EA" w:rsidP="00D90B05">
      <w:pPr>
        <w:tabs>
          <w:tab w:val="left" w:pos="567"/>
        </w:tabs>
        <w:contextualSpacing/>
        <w:jc w:val="both"/>
        <w:rPr>
          <w:rFonts w:asciiTheme="majorHAnsi" w:eastAsia="Calibri" w:hAnsiTheme="majorHAnsi"/>
          <w:b/>
          <w:sz w:val="20"/>
          <w:szCs w:val="20"/>
          <w:lang w:val="es-AR"/>
        </w:rPr>
      </w:pPr>
    </w:p>
    <w:p w14:paraId="738E6D7D" w14:textId="77777777" w:rsidR="006845EA" w:rsidRPr="00386E47" w:rsidRDefault="009F70EA" w:rsidP="003A5860">
      <w:pPr>
        <w:numPr>
          <w:ilvl w:val="0"/>
          <w:numId w:val="55"/>
        </w:numPr>
        <w:tabs>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Las entrevistas de Vergéz, Romero y Telleldin significaron, a juicio del Tribunal Oral en lo Criminal Federal Nro. 3 “la primera maniobra tendiente a obtener información de boca del detenido Telleldin al margen de la normativa procesal”</w:t>
      </w:r>
      <w:r w:rsidRPr="00386E47">
        <w:rPr>
          <w:rFonts w:asciiTheme="majorHAnsi" w:eastAsia="Calibri" w:hAnsiTheme="majorHAnsi"/>
          <w:sz w:val="20"/>
          <w:szCs w:val="20"/>
          <w:vertAlign w:val="superscript"/>
          <w:lang w:val="es-AR"/>
        </w:rPr>
        <w:footnoteReference w:id="177"/>
      </w:r>
      <w:r w:rsidRPr="00386E47">
        <w:rPr>
          <w:rFonts w:asciiTheme="majorHAnsi" w:eastAsia="Calibri" w:hAnsiTheme="majorHAnsi"/>
          <w:sz w:val="20"/>
          <w:szCs w:val="20"/>
          <w:lang w:val="es-AR"/>
        </w:rPr>
        <w:t>. En efecto, el TOF 3 tuvo por acreditado q</w:t>
      </w:r>
      <w:r w:rsidR="006845EA" w:rsidRPr="00386E47">
        <w:rPr>
          <w:rFonts w:asciiTheme="majorHAnsi" w:eastAsia="Calibri" w:hAnsiTheme="majorHAnsi"/>
          <w:sz w:val="20"/>
          <w:szCs w:val="20"/>
          <w:lang w:val="es-AR"/>
        </w:rPr>
        <w:t>ue en los encuentros entre Vergé</w:t>
      </w:r>
      <w:r w:rsidRPr="00386E47">
        <w:rPr>
          <w:rFonts w:asciiTheme="majorHAnsi" w:eastAsia="Calibri" w:hAnsiTheme="majorHAnsi"/>
          <w:sz w:val="20"/>
          <w:szCs w:val="20"/>
          <w:lang w:val="es-AR"/>
        </w:rPr>
        <w:t xml:space="preserve">z, Romero y Telleldin, este último mencionó que, </w:t>
      </w:r>
      <w:r w:rsidR="006845EA" w:rsidRPr="00386E47">
        <w:rPr>
          <w:rFonts w:asciiTheme="majorHAnsi" w:eastAsia="Calibri" w:hAnsiTheme="majorHAnsi"/>
          <w:sz w:val="20"/>
          <w:szCs w:val="20"/>
          <w:lang w:val="es-AR"/>
        </w:rPr>
        <w:t xml:space="preserve">en los meses previos </w:t>
      </w:r>
      <w:r w:rsidRPr="00386E47">
        <w:rPr>
          <w:rFonts w:asciiTheme="majorHAnsi" w:eastAsia="Calibri" w:hAnsiTheme="majorHAnsi"/>
          <w:sz w:val="20"/>
          <w:szCs w:val="20"/>
          <w:lang w:val="es-AR"/>
        </w:rPr>
        <w:t xml:space="preserve">a su detención, había sido víctima de extorsiones por parte de efectivos de la Policía de la Provincia de Buenos Aires, quienes le exigían dinero y automóviles para permitirle continuar con su actividad </w:t>
      </w:r>
      <w:r w:rsidR="006845EA" w:rsidRPr="00386E47">
        <w:rPr>
          <w:rFonts w:asciiTheme="majorHAnsi" w:eastAsia="Calibri" w:hAnsiTheme="majorHAnsi"/>
          <w:sz w:val="20"/>
          <w:szCs w:val="20"/>
          <w:lang w:val="es-AR"/>
        </w:rPr>
        <w:t>de</w:t>
      </w:r>
      <w:r w:rsidRPr="00386E47">
        <w:rPr>
          <w:rFonts w:asciiTheme="majorHAnsi" w:eastAsia="Calibri" w:hAnsiTheme="majorHAnsi"/>
          <w:sz w:val="20"/>
          <w:szCs w:val="20"/>
          <w:lang w:val="es-AR"/>
        </w:rPr>
        <w:t xml:space="preserve"> c</w:t>
      </w:r>
      <w:r w:rsidR="006845EA" w:rsidRPr="00386E47">
        <w:rPr>
          <w:rFonts w:asciiTheme="majorHAnsi" w:eastAsia="Calibri" w:hAnsiTheme="majorHAnsi"/>
          <w:sz w:val="20"/>
          <w:szCs w:val="20"/>
          <w:lang w:val="es-AR"/>
        </w:rPr>
        <w:t xml:space="preserve">ompraventa de vehículos robados </w:t>
      </w:r>
      <w:r w:rsidRPr="00386E47">
        <w:rPr>
          <w:rFonts w:asciiTheme="majorHAnsi" w:eastAsia="Calibri" w:hAnsiTheme="majorHAnsi"/>
          <w:sz w:val="20"/>
          <w:szCs w:val="20"/>
          <w:vertAlign w:val="superscript"/>
          <w:lang w:val="es-AR"/>
        </w:rPr>
        <w:footnoteReference w:id="178"/>
      </w:r>
      <w:r w:rsidRPr="00386E47">
        <w:rPr>
          <w:rFonts w:asciiTheme="majorHAnsi" w:eastAsia="Calibri" w:hAnsiTheme="majorHAnsi"/>
          <w:sz w:val="20"/>
          <w:szCs w:val="20"/>
          <w:lang w:val="es-AR"/>
        </w:rPr>
        <w:t xml:space="preserve">.  </w:t>
      </w:r>
    </w:p>
    <w:p w14:paraId="3A0B4D1F" w14:textId="77777777" w:rsidR="006845EA" w:rsidRPr="00386E47" w:rsidRDefault="006845EA" w:rsidP="00D90B05">
      <w:pPr>
        <w:tabs>
          <w:tab w:val="left" w:pos="567"/>
        </w:tabs>
        <w:contextualSpacing/>
        <w:jc w:val="both"/>
        <w:rPr>
          <w:rFonts w:asciiTheme="majorHAnsi" w:eastAsia="Calibri" w:hAnsiTheme="majorHAnsi"/>
          <w:b/>
          <w:sz w:val="20"/>
          <w:szCs w:val="20"/>
          <w:lang w:val="es-AR"/>
        </w:rPr>
      </w:pPr>
    </w:p>
    <w:p w14:paraId="5E9A69B7" w14:textId="77777777" w:rsidR="006845EA" w:rsidRPr="00386E47" w:rsidRDefault="009F70EA" w:rsidP="003A5860">
      <w:pPr>
        <w:numPr>
          <w:ilvl w:val="0"/>
          <w:numId w:val="55"/>
        </w:numPr>
        <w:tabs>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De acuerdo con lo probado por los tribunales orales 3 y 2 en sus sentencias de octubre de 2004 y mayo de 2019, respectivamente, Vergéz y Romero no fueron los únicos individuos que se </w:t>
      </w:r>
      <w:r w:rsidR="006845EA" w:rsidRPr="00386E47">
        <w:rPr>
          <w:rFonts w:asciiTheme="majorHAnsi" w:eastAsia="Calibri" w:hAnsiTheme="majorHAnsi"/>
          <w:sz w:val="20"/>
          <w:szCs w:val="20"/>
          <w:lang w:val="es-AR"/>
        </w:rPr>
        <w:t>reunieron</w:t>
      </w:r>
      <w:r w:rsidRPr="00386E47">
        <w:rPr>
          <w:rFonts w:asciiTheme="majorHAnsi" w:eastAsia="Calibri" w:hAnsiTheme="majorHAnsi"/>
          <w:sz w:val="20"/>
          <w:szCs w:val="20"/>
          <w:lang w:val="es-AR"/>
        </w:rPr>
        <w:t xml:space="preserve"> personalmente con Telleldin </w:t>
      </w:r>
      <w:r w:rsidR="006845EA" w:rsidRPr="00386E47">
        <w:rPr>
          <w:rFonts w:asciiTheme="majorHAnsi" w:eastAsia="Calibri" w:hAnsiTheme="majorHAnsi"/>
          <w:sz w:val="20"/>
          <w:szCs w:val="20"/>
          <w:lang w:val="es-AR"/>
        </w:rPr>
        <w:t>en los meses en lo que era</w:t>
      </w:r>
      <w:r w:rsidRPr="00386E47">
        <w:rPr>
          <w:rFonts w:asciiTheme="majorHAnsi" w:eastAsia="Calibri" w:hAnsiTheme="majorHAnsi"/>
          <w:sz w:val="20"/>
          <w:szCs w:val="20"/>
          <w:lang w:val="es-AR"/>
        </w:rPr>
        <w:t xml:space="preserve"> el único detenido en la causa por el atentado. Telleldin también recibió en prisión la visita de la entonces presidenta de la Cámara Nacional de Apelaciones en lo Criminal y Correccional Federal, Luisa Riva Aramayo. Los resultados de las entrevistas entre Riva Aramayo y Telle</w:t>
      </w:r>
      <w:r w:rsidR="002C22A1" w:rsidRPr="00386E47">
        <w:rPr>
          <w:rFonts w:asciiTheme="majorHAnsi" w:eastAsia="Calibri" w:hAnsiTheme="majorHAnsi"/>
          <w:sz w:val="20"/>
          <w:szCs w:val="20"/>
          <w:lang w:val="es-AR"/>
        </w:rPr>
        <w:t>ldin fueron registradas por el j</w:t>
      </w:r>
      <w:r w:rsidRPr="00386E47">
        <w:rPr>
          <w:rFonts w:asciiTheme="majorHAnsi" w:eastAsia="Calibri" w:hAnsiTheme="majorHAnsi"/>
          <w:sz w:val="20"/>
          <w:szCs w:val="20"/>
          <w:lang w:val="es-AR"/>
        </w:rPr>
        <w:t>uez Galeano en constancias incorporadas al expediente</w:t>
      </w:r>
      <w:r w:rsidR="00671D5A" w:rsidRPr="00386E47">
        <w:rPr>
          <w:rStyle w:val="FootnoteReference"/>
          <w:rFonts w:asciiTheme="majorHAnsi" w:eastAsia="Calibri" w:hAnsiTheme="majorHAnsi"/>
          <w:sz w:val="20"/>
          <w:szCs w:val="20"/>
          <w:lang w:val="es-AR"/>
        </w:rPr>
        <w:footnoteReference w:id="179"/>
      </w:r>
      <w:r w:rsidRPr="00386E47">
        <w:rPr>
          <w:rFonts w:asciiTheme="majorHAnsi" w:eastAsia="Calibri" w:hAnsiTheme="majorHAnsi"/>
          <w:sz w:val="20"/>
          <w:szCs w:val="20"/>
          <w:lang w:val="es-AR"/>
        </w:rPr>
        <w:t xml:space="preserve">. </w:t>
      </w:r>
    </w:p>
    <w:p w14:paraId="64D667F2" w14:textId="77777777" w:rsidR="006845EA" w:rsidRPr="00386E47" w:rsidRDefault="006845EA" w:rsidP="00D90B05">
      <w:pPr>
        <w:tabs>
          <w:tab w:val="left" w:pos="567"/>
        </w:tabs>
        <w:contextualSpacing/>
        <w:jc w:val="both"/>
        <w:rPr>
          <w:rFonts w:asciiTheme="majorHAnsi" w:eastAsia="Calibri" w:hAnsiTheme="majorHAnsi"/>
          <w:b/>
          <w:sz w:val="20"/>
          <w:szCs w:val="20"/>
          <w:lang w:val="es-AR"/>
        </w:rPr>
      </w:pPr>
    </w:p>
    <w:p w14:paraId="105EA049" w14:textId="77777777" w:rsidR="002142AE" w:rsidRPr="00386E47" w:rsidRDefault="009F70EA" w:rsidP="003A5860">
      <w:pPr>
        <w:numPr>
          <w:ilvl w:val="0"/>
          <w:numId w:val="55"/>
        </w:numPr>
        <w:tabs>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La jueza Riva Aramayo concurrió a la prisión donde estaba detenido Telleldin en diversas ocasiones entre los meses de agosto y octubre de 1995</w:t>
      </w:r>
      <w:r w:rsidRPr="00386E47">
        <w:rPr>
          <w:rFonts w:asciiTheme="majorHAnsi" w:eastAsia="Calibri" w:hAnsiTheme="majorHAnsi"/>
          <w:sz w:val="20"/>
          <w:szCs w:val="20"/>
          <w:vertAlign w:val="superscript"/>
          <w:lang w:val="es-AR"/>
        </w:rPr>
        <w:footnoteReference w:id="180"/>
      </w:r>
      <w:r w:rsidRPr="00386E47">
        <w:rPr>
          <w:rFonts w:asciiTheme="majorHAnsi" w:eastAsia="Calibri" w:hAnsiTheme="majorHAnsi"/>
          <w:sz w:val="20"/>
          <w:szCs w:val="20"/>
          <w:lang w:val="es-AR"/>
        </w:rPr>
        <w:t xml:space="preserve">. En algunas </w:t>
      </w:r>
      <w:r w:rsidR="006845EA" w:rsidRPr="00386E47">
        <w:rPr>
          <w:rFonts w:asciiTheme="majorHAnsi" w:eastAsia="Calibri" w:hAnsiTheme="majorHAnsi"/>
          <w:sz w:val="20"/>
          <w:szCs w:val="20"/>
          <w:lang w:val="es-AR"/>
        </w:rPr>
        <w:t xml:space="preserve">de esas </w:t>
      </w:r>
      <w:r w:rsidRPr="00386E47">
        <w:rPr>
          <w:rFonts w:asciiTheme="majorHAnsi" w:eastAsia="Calibri" w:hAnsiTheme="majorHAnsi"/>
          <w:sz w:val="20"/>
          <w:szCs w:val="20"/>
          <w:lang w:val="es-AR"/>
        </w:rPr>
        <w:t xml:space="preserve">oportunidades la Sra. Riva Aramayo se trasladó a la cárcel en un automóvil conducido por el chofer personal del entonces Secretario de Inteligencia de la Nación, Hugo </w:t>
      </w:r>
      <w:r w:rsidRPr="00386E47">
        <w:rPr>
          <w:rFonts w:asciiTheme="majorHAnsi" w:eastAsia="Calibri" w:hAnsiTheme="majorHAnsi"/>
          <w:sz w:val="20"/>
          <w:szCs w:val="20"/>
          <w:lang w:val="es-AR"/>
        </w:rPr>
        <w:lastRenderedPageBreak/>
        <w:t>Anzorreguy</w:t>
      </w:r>
      <w:r w:rsidRPr="00386E47">
        <w:rPr>
          <w:rFonts w:asciiTheme="majorHAnsi" w:eastAsia="Calibri" w:hAnsiTheme="majorHAnsi"/>
          <w:sz w:val="20"/>
          <w:szCs w:val="20"/>
          <w:vertAlign w:val="superscript"/>
          <w:lang w:val="es-AR"/>
        </w:rPr>
        <w:footnoteReference w:id="181"/>
      </w:r>
      <w:r w:rsidRPr="00386E47">
        <w:rPr>
          <w:rFonts w:asciiTheme="majorHAnsi" w:eastAsia="Calibri" w:hAnsiTheme="majorHAnsi"/>
          <w:sz w:val="20"/>
          <w:szCs w:val="20"/>
          <w:lang w:val="es-AR"/>
        </w:rPr>
        <w:t xml:space="preserve">. Como resultado de dichas entrevistas, la Sra. Riva Aramayo informó a </w:t>
      </w:r>
      <w:r w:rsidR="00F80736" w:rsidRPr="00386E47">
        <w:rPr>
          <w:rFonts w:asciiTheme="majorHAnsi" w:eastAsia="Calibri" w:hAnsiTheme="majorHAnsi"/>
          <w:sz w:val="20"/>
          <w:szCs w:val="20"/>
          <w:lang w:val="es-AR"/>
        </w:rPr>
        <w:t>Galeano que Telleldin “</w:t>
      </w:r>
      <w:r w:rsidRPr="00386E47">
        <w:rPr>
          <w:rFonts w:asciiTheme="majorHAnsi" w:eastAsia="Calibri" w:hAnsiTheme="majorHAnsi"/>
          <w:sz w:val="20"/>
          <w:szCs w:val="20"/>
          <w:lang w:val="es-AR"/>
        </w:rPr>
        <w:t>le mencionó que quienes recibieron la camioneta eran policías de la Provincia de Buenos Aires que conocía, cuyos nombres se reservaba”</w:t>
      </w:r>
      <w:r w:rsidRPr="00386E47">
        <w:rPr>
          <w:rFonts w:asciiTheme="majorHAnsi" w:eastAsia="Calibri" w:hAnsiTheme="majorHAnsi"/>
          <w:sz w:val="20"/>
          <w:szCs w:val="20"/>
          <w:vertAlign w:val="superscript"/>
          <w:lang w:val="es-AR"/>
        </w:rPr>
        <w:footnoteReference w:id="182"/>
      </w:r>
      <w:r w:rsidRPr="00386E47">
        <w:rPr>
          <w:rFonts w:asciiTheme="majorHAnsi" w:eastAsia="Calibri" w:hAnsiTheme="majorHAnsi"/>
          <w:sz w:val="20"/>
          <w:szCs w:val="20"/>
          <w:lang w:val="es-AR"/>
        </w:rPr>
        <w:t>.</w:t>
      </w:r>
      <w:r w:rsidR="00347DFB"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Asimismo, Riva Aramayo le </w:t>
      </w:r>
      <w:r w:rsidR="00347DFB" w:rsidRPr="00386E47">
        <w:rPr>
          <w:rFonts w:asciiTheme="majorHAnsi" w:eastAsia="Calibri" w:hAnsiTheme="majorHAnsi"/>
          <w:sz w:val="20"/>
          <w:szCs w:val="20"/>
          <w:lang w:val="es-AR"/>
        </w:rPr>
        <w:t>transmiti</w:t>
      </w:r>
      <w:r w:rsidRPr="00386E47">
        <w:rPr>
          <w:rFonts w:asciiTheme="majorHAnsi" w:eastAsia="Calibri" w:hAnsiTheme="majorHAnsi"/>
          <w:sz w:val="20"/>
          <w:szCs w:val="20"/>
          <w:lang w:val="es-AR"/>
        </w:rPr>
        <w:t>ó a Galeano que Telleldin “condicionó su cooperación al cumplimiento previo de d</w:t>
      </w:r>
      <w:r w:rsidR="00846B28" w:rsidRPr="00386E47">
        <w:rPr>
          <w:rFonts w:asciiTheme="majorHAnsi" w:eastAsia="Calibri" w:hAnsiTheme="majorHAnsi"/>
          <w:sz w:val="20"/>
          <w:szCs w:val="20"/>
          <w:lang w:val="es-AR"/>
        </w:rPr>
        <w:t>eterminadas exigencias que no</w:t>
      </w:r>
      <w:r w:rsidRPr="00386E47">
        <w:rPr>
          <w:rFonts w:asciiTheme="majorHAnsi" w:eastAsia="Calibri" w:hAnsiTheme="majorHAnsi"/>
          <w:sz w:val="20"/>
          <w:szCs w:val="20"/>
          <w:lang w:val="es-AR"/>
        </w:rPr>
        <w:t xml:space="preserve"> precisó”</w:t>
      </w:r>
      <w:r w:rsidRPr="00386E47">
        <w:rPr>
          <w:rFonts w:asciiTheme="majorHAnsi" w:eastAsia="Calibri" w:hAnsiTheme="majorHAnsi"/>
          <w:sz w:val="20"/>
          <w:szCs w:val="20"/>
          <w:vertAlign w:val="superscript"/>
          <w:lang w:val="es-AR"/>
        </w:rPr>
        <w:footnoteReference w:id="183"/>
      </w:r>
      <w:r w:rsidRPr="00386E47">
        <w:rPr>
          <w:rFonts w:asciiTheme="majorHAnsi" w:eastAsia="Calibri" w:hAnsiTheme="majorHAnsi"/>
          <w:sz w:val="20"/>
          <w:szCs w:val="20"/>
          <w:lang w:val="es-AR"/>
        </w:rPr>
        <w:t xml:space="preserve">. </w:t>
      </w:r>
    </w:p>
    <w:p w14:paraId="1937BD2E" w14:textId="77777777" w:rsidR="002142AE" w:rsidRPr="00386E47" w:rsidRDefault="002142AE" w:rsidP="00D90B05">
      <w:pPr>
        <w:tabs>
          <w:tab w:val="left" w:pos="567"/>
        </w:tabs>
        <w:contextualSpacing/>
        <w:jc w:val="both"/>
        <w:rPr>
          <w:rFonts w:asciiTheme="majorHAnsi" w:eastAsia="Calibri" w:hAnsiTheme="majorHAnsi"/>
          <w:b/>
          <w:sz w:val="20"/>
          <w:szCs w:val="20"/>
          <w:lang w:val="es-AR"/>
        </w:rPr>
      </w:pPr>
    </w:p>
    <w:p w14:paraId="0A614B15"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Según dieron por probado los tribunales orales federales 3 y 2, las acciones de Vergéz, Romero y Riva Aramayo </w:t>
      </w:r>
      <w:r w:rsidR="00846B28" w:rsidRPr="00386E47">
        <w:rPr>
          <w:rFonts w:asciiTheme="majorHAnsi" w:eastAsia="Calibri" w:hAnsiTheme="majorHAnsi"/>
          <w:sz w:val="20"/>
          <w:szCs w:val="20"/>
          <w:lang w:val="es-AR"/>
        </w:rPr>
        <w:t>significaron</w:t>
      </w:r>
      <w:r w:rsidR="002142AE" w:rsidRPr="00386E47">
        <w:rPr>
          <w:rFonts w:asciiTheme="majorHAnsi" w:eastAsia="Calibri" w:hAnsiTheme="majorHAnsi"/>
          <w:sz w:val="20"/>
          <w:szCs w:val="20"/>
          <w:lang w:val="es-AR"/>
        </w:rPr>
        <w:t xml:space="preserve"> una</w:t>
      </w:r>
      <w:r w:rsidRPr="00386E47">
        <w:rPr>
          <w:rFonts w:asciiTheme="majorHAnsi" w:eastAsia="Calibri" w:hAnsiTheme="majorHAnsi"/>
          <w:sz w:val="20"/>
          <w:szCs w:val="20"/>
          <w:lang w:val="es-AR"/>
        </w:rPr>
        <w:t xml:space="preserve"> “actividad informal y subrepticia del Estado a fin de obtener la declaración de Carlos Telleldin”</w:t>
      </w:r>
      <w:r w:rsidRPr="00386E47">
        <w:rPr>
          <w:rFonts w:asciiTheme="majorHAnsi" w:eastAsia="Calibri" w:hAnsiTheme="majorHAnsi"/>
          <w:sz w:val="20"/>
          <w:szCs w:val="20"/>
          <w:vertAlign w:val="superscript"/>
          <w:lang w:val="es-AR"/>
        </w:rPr>
        <w:footnoteReference w:id="184"/>
      </w:r>
      <w:r w:rsidRPr="00386E47">
        <w:rPr>
          <w:rFonts w:asciiTheme="majorHAnsi" w:eastAsia="Calibri" w:hAnsiTheme="majorHAnsi"/>
          <w:sz w:val="20"/>
          <w:szCs w:val="20"/>
          <w:lang w:val="es-AR"/>
        </w:rPr>
        <w:t xml:space="preserve">. </w:t>
      </w:r>
      <w:r w:rsidR="00846B28" w:rsidRPr="00386E47">
        <w:rPr>
          <w:rFonts w:asciiTheme="majorHAnsi" w:eastAsia="Calibri" w:hAnsiTheme="majorHAnsi"/>
          <w:sz w:val="20"/>
          <w:szCs w:val="20"/>
          <w:lang w:val="es-AR"/>
        </w:rPr>
        <w:t>La nueva declaración indagatoria</w:t>
      </w:r>
      <w:r w:rsidRPr="00386E47">
        <w:rPr>
          <w:rFonts w:asciiTheme="majorHAnsi" w:eastAsia="Calibri" w:hAnsiTheme="majorHAnsi"/>
          <w:sz w:val="20"/>
          <w:szCs w:val="20"/>
          <w:lang w:val="es-AR"/>
        </w:rPr>
        <w:t xml:space="preserve"> se terminó celebrando el 5 de julio de 1996 y fue en esa oportunidad </w:t>
      </w:r>
      <w:r w:rsidR="002142AE" w:rsidRPr="00386E47">
        <w:rPr>
          <w:rFonts w:asciiTheme="majorHAnsi" w:eastAsia="Calibri" w:hAnsiTheme="majorHAnsi"/>
          <w:sz w:val="20"/>
          <w:szCs w:val="20"/>
          <w:lang w:val="es-AR"/>
        </w:rPr>
        <w:t xml:space="preserve">en </w:t>
      </w:r>
      <w:r w:rsidRPr="00386E47">
        <w:rPr>
          <w:rFonts w:asciiTheme="majorHAnsi" w:eastAsia="Calibri" w:hAnsiTheme="majorHAnsi"/>
          <w:sz w:val="20"/>
          <w:szCs w:val="20"/>
          <w:lang w:val="es-AR"/>
        </w:rPr>
        <w:t>que Telleldin involucró</w:t>
      </w:r>
      <w:r w:rsidR="002142AE" w:rsidRPr="00386E47">
        <w:rPr>
          <w:rFonts w:asciiTheme="majorHAnsi" w:eastAsia="Calibri" w:hAnsiTheme="majorHAnsi"/>
          <w:sz w:val="20"/>
          <w:szCs w:val="20"/>
          <w:lang w:val="es-AR"/>
        </w:rPr>
        <w:t xml:space="preserve"> por primera vez en el atentado </w:t>
      </w:r>
      <w:r w:rsidRPr="00386E47">
        <w:rPr>
          <w:rFonts w:asciiTheme="majorHAnsi" w:eastAsia="Calibri" w:hAnsiTheme="majorHAnsi"/>
          <w:sz w:val="20"/>
          <w:szCs w:val="20"/>
          <w:lang w:val="es-AR"/>
        </w:rPr>
        <w:t xml:space="preserve">a efectivos policiales pertenecientes a las brigadas de Lanús y Vicente López de la </w:t>
      </w:r>
      <w:r w:rsidR="002142AE" w:rsidRPr="00386E47">
        <w:rPr>
          <w:rFonts w:asciiTheme="majorHAnsi" w:eastAsia="Calibri" w:hAnsiTheme="majorHAnsi"/>
          <w:sz w:val="20"/>
          <w:szCs w:val="20"/>
          <w:lang w:val="es-AR"/>
        </w:rPr>
        <w:t>Policía de la Provincia de Buenos Aires</w:t>
      </w:r>
      <w:r w:rsidRPr="00386E47">
        <w:rPr>
          <w:rFonts w:asciiTheme="majorHAnsi" w:eastAsia="Calibri" w:hAnsiTheme="majorHAnsi"/>
          <w:sz w:val="20"/>
          <w:szCs w:val="20"/>
          <w:vertAlign w:val="superscript"/>
          <w:lang w:val="es-AR"/>
        </w:rPr>
        <w:footnoteReference w:id="185"/>
      </w:r>
      <w:r w:rsidR="002142AE" w:rsidRPr="00386E47">
        <w:rPr>
          <w:rFonts w:asciiTheme="majorHAnsi" w:eastAsia="Calibri" w:hAnsiTheme="majorHAnsi"/>
          <w:sz w:val="20"/>
          <w:szCs w:val="20"/>
          <w:lang w:val="es-AR"/>
        </w:rPr>
        <w:t>.</w:t>
      </w:r>
      <w:r w:rsidRPr="00386E47">
        <w:rPr>
          <w:rFonts w:asciiTheme="majorHAnsi" w:eastAsia="Calibri" w:hAnsiTheme="majorHAnsi"/>
          <w:sz w:val="20"/>
          <w:szCs w:val="20"/>
          <w:lang w:val="es-AR"/>
        </w:rPr>
        <w:t xml:space="preserve"> En palabras del TOF 3, la declaración de Telleldin “estuvo precedida de un arquitectónico armado, consentido y guiado por el juez federal Galeano, del que no fue ajena la camarista Riva Aramayo, quienes eran, precisamente, los que debían velar para que ese tipo de maniobras ilícitas nunca sucedieran”</w:t>
      </w:r>
      <w:r w:rsidRPr="00386E47">
        <w:rPr>
          <w:rFonts w:asciiTheme="majorHAnsi" w:eastAsia="Calibri" w:hAnsiTheme="majorHAnsi"/>
          <w:sz w:val="20"/>
          <w:szCs w:val="20"/>
          <w:vertAlign w:val="superscript"/>
          <w:lang w:val="es-AR"/>
        </w:rPr>
        <w:footnoteReference w:id="186"/>
      </w:r>
      <w:r w:rsidRPr="00386E47">
        <w:rPr>
          <w:rFonts w:asciiTheme="majorHAnsi" w:eastAsia="Calibri" w:hAnsiTheme="majorHAnsi"/>
          <w:sz w:val="20"/>
          <w:szCs w:val="20"/>
          <w:lang w:val="es-AR"/>
        </w:rPr>
        <w:t xml:space="preserve"> (ver supra párr. </w:t>
      </w:r>
      <w:r w:rsidR="00853C49" w:rsidRPr="00386E47">
        <w:rPr>
          <w:rFonts w:asciiTheme="majorHAnsi" w:eastAsia="Calibri" w:hAnsiTheme="majorHAnsi"/>
          <w:sz w:val="20"/>
          <w:szCs w:val="20"/>
          <w:lang w:val="es-AR"/>
        </w:rPr>
        <w:t>61</w:t>
      </w:r>
      <w:r w:rsidRPr="00386E47">
        <w:rPr>
          <w:rFonts w:asciiTheme="majorHAnsi" w:eastAsia="Calibri" w:hAnsiTheme="majorHAnsi"/>
          <w:sz w:val="20"/>
          <w:szCs w:val="20"/>
          <w:lang w:val="es-AR"/>
        </w:rPr>
        <w:t xml:space="preserve">) </w:t>
      </w:r>
    </w:p>
    <w:p w14:paraId="518A0F0A" w14:textId="77777777" w:rsidR="009F70EA" w:rsidRPr="00386E47" w:rsidRDefault="009F70EA" w:rsidP="009F70EA">
      <w:pPr>
        <w:tabs>
          <w:tab w:val="left" w:pos="426"/>
        </w:tabs>
        <w:contextualSpacing/>
        <w:jc w:val="both"/>
        <w:rPr>
          <w:rFonts w:asciiTheme="majorHAnsi" w:eastAsia="Calibri" w:hAnsiTheme="majorHAnsi"/>
          <w:sz w:val="20"/>
          <w:szCs w:val="20"/>
          <w:lang w:val="es-AR"/>
        </w:rPr>
      </w:pPr>
    </w:p>
    <w:p w14:paraId="386FC521" w14:textId="77777777" w:rsidR="009F70EA" w:rsidRPr="00386E47" w:rsidRDefault="00C21134" w:rsidP="003A5860">
      <w:pPr>
        <w:pStyle w:val="ListParagraph"/>
        <w:numPr>
          <w:ilvl w:val="0"/>
          <w:numId w:val="58"/>
        </w:numPr>
        <w:jc w:val="both"/>
        <w:rPr>
          <w:rFonts w:asciiTheme="majorHAnsi" w:eastAsia="Calibri" w:hAnsiTheme="majorHAnsi"/>
          <w:b/>
          <w:sz w:val="20"/>
          <w:szCs w:val="20"/>
          <w:lang w:val="es-AR"/>
        </w:rPr>
      </w:pPr>
      <w:r w:rsidRPr="00386E47">
        <w:rPr>
          <w:rFonts w:asciiTheme="majorHAnsi" w:eastAsia="Calibri" w:hAnsiTheme="majorHAnsi"/>
          <w:b/>
          <w:sz w:val="20"/>
          <w:szCs w:val="20"/>
          <w:lang w:val="es-AR"/>
        </w:rPr>
        <w:t xml:space="preserve">Respecto al </w:t>
      </w:r>
      <w:r w:rsidR="00846B28" w:rsidRPr="00386E47">
        <w:rPr>
          <w:rFonts w:asciiTheme="majorHAnsi" w:eastAsia="Calibri" w:hAnsiTheme="majorHAnsi"/>
          <w:b/>
          <w:sz w:val="20"/>
          <w:szCs w:val="20"/>
          <w:lang w:val="es-AR"/>
        </w:rPr>
        <w:t>desembolso</w:t>
      </w:r>
      <w:r w:rsidR="009F70EA" w:rsidRPr="00386E47">
        <w:rPr>
          <w:rFonts w:asciiTheme="majorHAnsi" w:eastAsia="Calibri" w:hAnsiTheme="majorHAnsi"/>
          <w:b/>
          <w:sz w:val="20"/>
          <w:szCs w:val="20"/>
          <w:lang w:val="es-AR"/>
        </w:rPr>
        <w:t xml:space="preserve"> de una suma de dinero a Carlos Telleldin proveniente de los fondos reservados de la Secretaria de Inteligencia del Estado </w:t>
      </w:r>
    </w:p>
    <w:p w14:paraId="32EA5C4E" w14:textId="77777777" w:rsidR="009F70EA" w:rsidRPr="00386E47" w:rsidRDefault="009F70EA" w:rsidP="009F70EA">
      <w:pPr>
        <w:ind w:left="567"/>
        <w:jc w:val="both"/>
        <w:rPr>
          <w:rFonts w:asciiTheme="majorHAnsi" w:eastAsia="Calibri" w:hAnsiTheme="majorHAnsi"/>
          <w:b/>
          <w:sz w:val="20"/>
          <w:szCs w:val="20"/>
          <w:lang w:val="es-AR"/>
        </w:rPr>
      </w:pPr>
    </w:p>
    <w:p w14:paraId="63E3E397"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En la sentencia dictada por el TOF 3 en octubre de 2004 se </w:t>
      </w:r>
      <w:r w:rsidR="00683038" w:rsidRPr="00386E47">
        <w:rPr>
          <w:rFonts w:asciiTheme="majorHAnsi" w:eastAsia="Calibri" w:hAnsiTheme="majorHAnsi"/>
          <w:sz w:val="20"/>
          <w:szCs w:val="20"/>
          <w:lang w:val="es-AR"/>
        </w:rPr>
        <w:t>consideró acreditado</w:t>
      </w:r>
      <w:r w:rsidRPr="00386E47">
        <w:rPr>
          <w:rFonts w:asciiTheme="majorHAnsi" w:eastAsia="Calibri" w:hAnsiTheme="majorHAnsi"/>
          <w:sz w:val="20"/>
          <w:szCs w:val="20"/>
          <w:lang w:val="es-AR"/>
        </w:rPr>
        <w:t xml:space="preserve"> que el entonces juez Galeano mantuvo dos reuniones informales con Carlos Telleldin en su despacho oficial</w:t>
      </w:r>
      <w:r w:rsidR="00683038" w:rsidRPr="00386E47">
        <w:rPr>
          <w:rFonts w:asciiTheme="majorHAnsi" w:eastAsia="Calibri" w:hAnsiTheme="majorHAnsi"/>
          <w:sz w:val="20"/>
          <w:szCs w:val="20"/>
          <w:lang w:val="es-AR"/>
        </w:rPr>
        <w:t xml:space="preserve"> durante los días 10 de abril y</w:t>
      </w:r>
      <w:r w:rsidR="00536704" w:rsidRPr="00386E47">
        <w:rPr>
          <w:rFonts w:asciiTheme="majorHAnsi" w:eastAsia="Calibri" w:hAnsiTheme="majorHAnsi"/>
          <w:sz w:val="20"/>
          <w:szCs w:val="20"/>
          <w:lang w:val="es-AR"/>
        </w:rPr>
        <w:t xml:space="preserve"> 1 de julio de 1996</w:t>
      </w:r>
      <w:r w:rsidRPr="00386E47">
        <w:rPr>
          <w:rFonts w:asciiTheme="majorHAnsi" w:eastAsia="Calibri" w:hAnsiTheme="majorHAnsi"/>
          <w:sz w:val="20"/>
          <w:szCs w:val="20"/>
          <w:lang w:val="es-AR"/>
        </w:rPr>
        <w:t xml:space="preserve">. </w:t>
      </w:r>
      <w:r w:rsidR="00683038" w:rsidRPr="00386E47">
        <w:rPr>
          <w:rFonts w:asciiTheme="majorHAnsi" w:eastAsia="Calibri" w:hAnsiTheme="majorHAnsi"/>
          <w:sz w:val="20"/>
          <w:szCs w:val="20"/>
          <w:lang w:val="es-AR"/>
        </w:rPr>
        <w:t>Ambos encuentros</w:t>
      </w:r>
      <w:r w:rsidRPr="00386E47">
        <w:rPr>
          <w:rFonts w:asciiTheme="majorHAnsi" w:eastAsia="Calibri" w:hAnsiTheme="majorHAnsi"/>
          <w:sz w:val="20"/>
          <w:szCs w:val="20"/>
          <w:lang w:val="es-AR"/>
        </w:rPr>
        <w:t xml:space="preserve"> fueron </w:t>
      </w:r>
      <w:r w:rsidR="00683038" w:rsidRPr="00386E47">
        <w:rPr>
          <w:rFonts w:asciiTheme="majorHAnsi" w:eastAsia="Calibri" w:hAnsiTheme="majorHAnsi"/>
          <w:sz w:val="20"/>
          <w:szCs w:val="20"/>
          <w:lang w:val="es-AR"/>
        </w:rPr>
        <w:t>grabados</w:t>
      </w:r>
      <w:r w:rsidRPr="00386E47">
        <w:rPr>
          <w:rFonts w:asciiTheme="majorHAnsi" w:eastAsia="Calibri" w:hAnsiTheme="majorHAnsi"/>
          <w:sz w:val="20"/>
          <w:szCs w:val="20"/>
          <w:lang w:val="es-AR"/>
        </w:rPr>
        <w:t xml:space="preserve"> en video por medio de una cámara oculta </w:t>
      </w:r>
      <w:r w:rsidR="00683038" w:rsidRPr="00386E47">
        <w:rPr>
          <w:rFonts w:asciiTheme="majorHAnsi" w:eastAsia="Calibri" w:hAnsiTheme="majorHAnsi"/>
          <w:sz w:val="20"/>
          <w:szCs w:val="20"/>
          <w:lang w:val="es-AR"/>
        </w:rPr>
        <w:t>colocada por el juez dentro de su propia oficina</w:t>
      </w:r>
      <w:r w:rsidRPr="00386E47">
        <w:rPr>
          <w:rFonts w:asciiTheme="majorHAnsi" w:eastAsia="Calibri" w:hAnsiTheme="majorHAnsi"/>
          <w:sz w:val="20"/>
          <w:szCs w:val="20"/>
          <w:lang w:val="es-AR"/>
        </w:rPr>
        <w:t>. El TOF 3 advirtió que en el video correspondiente a la reunión del 1 de julio, “puede verse al Dr. Galeano conversando con Telleldin de manera amena y distendida”</w:t>
      </w:r>
      <w:r w:rsidRPr="00386E47">
        <w:rPr>
          <w:rFonts w:asciiTheme="majorHAnsi" w:eastAsia="Calibri" w:hAnsiTheme="majorHAnsi"/>
          <w:sz w:val="20"/>
          <w:szCs w:val="20"/>
          <w:vertAlign w:val="superscript"/>
          <w:lang w:val="es-AR"/>
        </w:rPr>
        <w:footnoteReference w:id="187"/>
      </w:r>
      <w:r w:rsidRPr="00386E47">
        <w:rPr>
          <w:rFonts w:asciiTheme="majorHAnsi" w:eastAsia="Calibri" w:hAnsiTheme="majorHAnsi"/>
          <w:sz w:val="20"/>
          <w:szCs w:val="20"/>
          <w:lang w:val="es-AR"/>
        </w:rPr>
        <w:t xml:space="preserve"> y</w:t>
      </w:r>
      <w:r w:rsidR="00683038" w:rsidRPr="00386E47">
        <w:rPr>
          <w:rFonts w:asciiTheme="majorHAnsi" w:eastAsia="Calibri" w:hAnsiTheme="majorHAnsi"/>
          <w:sz w:val="20"/>
          <w:szCs w:val="20"/>
          <w:lang w:val="es-AR"/>
        </w:rPr>
        <w:t xml:space="preserve"> que</w:t>
      </w:r>
      <w:r w:rsidRPr="00386E47">
        <w:rPr>
          <w:rFonts w:asciiTheme="majorHAnsi" w:eastAsia="Calibri" w:hAnsiTheme="majorHAnsi"/>
          <w:sz w:val="20"/>
          <w:szCs w:val="20"/>
          <w:lang w:val="es-AR"/>
        </w:rPr>
        <w:t xml:space="preserve"> “se abordaron diversos temas que eran materia de investigación en la causa y acerca de los cuales el procesado, en oportunidad de ejercer su defensa material, aun no se había pronunciado”</w:t>
      </w:r>
      <w:r w:rsidRPr="00386E47">
        <w:rPr>
          <w:rFonts w:asciiTheme="majorHAnsi" w:eastAsia="Calibri" w:hAnsiTheme="majorHAnsi"/>
          <w:sz w:val="20"/>
          <w:szCs w:val="20"/>
          <w:vertAlign w:val="superscript"/>
          <w:lang w:val="es-AR"/>
        </w:rPr>
        <w:footnoteReference w:id="188"/>
      </w:r>
      <w:r w:rsidRPr="00386E47">
        <w:rPr>
          <w:rFonts w:asciiTheme="majorHAnsi" w:eastAsia="Calibri" w:hAnsiTheme="majorHAnsi"/>
          <w:sz w:val="20"/>
          <w:szCs w:val="20"/>
          <w:lang w:val="es-AR"/>
        </w:rPr>
        <w:t xml:space="preserve">. </w:t>
      </w:r>
    </w:p>
    <w:p w14:paraId="389F0E18" w14:textId="77777777" w:rsidR="009F70EA" w:rsidRPr="00386E47" w:rsidRDefault="009F70EA" w:rsidP="00D90B05">
      <w:pPr>
        <w:tabs>
          <w:tab w:val="left" w:pos="567"/>
        </w:tabs>
        <w:contextualSpacing/>
        <w:jc w:val="both"/>
        <w:rPr>
          <w:rFonts w:asciiTheme="majorHAnsi" w:eastAsia="Calibri" w:hAnsiTheme="majorHAnsi"/>
          <w:sz w:val="20"/>
          <w:szCs w:val="20"/>
          <w:lang w:val="es-AR"/>
        </w:rPr>
      </w:pPr>
    </w:p>
    <w:p w14:paraId="48EC7A52"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Según pudo reconstruir el TOF 3, durante el intercambio en</w:t>
      </w:r>
      <w:r w:rsidR="00683038" w:rsidRPr="00386E47">
        <w:rPr>
          <w:rFonts w:asciiTheme="majorHAnsi" w:eastAsia="Calibri" w:hAnsiTheme="majorHAnsi"/>
          <w:sz w:val="20"/>
          <w:szCs w:val="20"/>
          <w:lang w:val="es-AR"/>
        </w:rPr>
        <w:t xml:space="preserve">tre el juez Galeano y Telleldin, </w:t>
      </w:r>
      <w:r w:rsidRPr="00386E47">
        <w:rPr>
          <w:rFonts w:asciiTheme="majorHAnsi" w:eastAsia="Calibri" w:hAnsiTheme="majorHAnsi"/>
          <w:sz w:val="20"/>
          <w:szCs w:val="20"/>
          <w:lang w:val="es-AR"/>
        </w:rPr>
        <w:t>el magistrado “bajo el disfraz de una supuesta compra de derechos de autor de un libro […] intenta acordar con el imputado una declaración a cambio de una suma de dinero, como así también la forma de pago”</w:t>
      </w:r>
      <w:r w:rsidRPr="00386E47">
        <w:rPr>
          <w:rFonts w:asciiTheme="majorHAnsi" w:eastAsia="Calibri" w:hAnsiTheme="majorHAnsi"/>
          <w:sz w:val="20"/>
          <w:szCs w:val="20"/>
          <w:vertAlign w:val="superscript"/>
          <w:lang w:val="es-AR"/>
        </w:rPr>
        <w:footnoteReference w:id="189"/>
      </w:r>
      <w:r w:rsidRPr="00386E47">
        <w:rPr>
          <w:rFonts w:asciiTheme="majorHAnsi" w:eastAsia="Calibri" w:hAnsiTheme="majorHAnsi"/>
          <w:sz w:val="20"/>
          <w:szCs w:val="20"/>
          <w:lang w:val="es-AR"/>
        </w:rPr>
        <w:t>. Adicionalmente, de la cinta se desprende que el juez Galeano le aseguró a Telleldin que la persona interesada en adquirir el libro necesitaba saber si este “podía contestar determinados puntos, aunque fuese por sí o por no”, a lo que Telleldin respondió que</w:t>
      </w:r>
      <w:r w:rsidR="00683038" w:rsidRPr="00386E47">
        <w:rPr>
          <w:rFonts w:asciiTheme="majorHAnsi" w:eastAsia="Calibri" w:hAnsiTheme="majorHAnsi"/>
          <w:sz w:val="20"/>
          <w:szCs w:val="20"/>
          <w:lang w:val="es-AR"/>
        </w:rPr>
        <w:t xml:space="preserve"> lo que</w:t>
      </w:r>
      <w:r w:rsidRPr="00386E47">
        <w:rPr>
          <w:rFonts w:asciiTheme="majorHAnsi" w:eastAsia="Calibri" w:hAnsiTheme="majorHAnsi"/>
          <w:sz w:val="20"/>
          <w:szCs w:val="20"/>
          <w:lang w:val="es-AR"/>
        </w:rPr>
        <w:t xml:space="preserve"> quería</w:t>
      </w:r>
      <w:r w:rsidR="00683038" w:rsidRPr="00386E47">
        <w:rPr>
          <w:rFonts w:asciiTheme="majorHAnsi" w:eastAsia="Calibri" w:hAnsiTheme="majorHAnsi"/>
          <w:sz w:val="20"/>
          <w:szCs w:val="20"/>
          <w:lang w:val="es-AR"/>
        </w:rPr>
        <w:t xml:space="preserve"> era</w:t>
      </w:r>
      <w:r w:rsidRPr="00386E47">
        <w:rPr>
          <w:rFonts w:asciiTheme="majorHAnsi" w:eastAsia="Calibri" w:hAnsiTheme="majorHAnsi"/>
          <w:sz w:val="20"/>
          <w:szCs w:val="20"/>
          <w:lang w:val="es-AR"/>
        </w:rPr>
        <w:t xml:space="preserve"> que el dinero le fuera depositado a su esposa en una cuenta de banco</w:t>
      </w:r>
      <w:r w:rsidRPr="00386E47">
        <w:rPr>
          <w:rFonts w:asciiTheme="majorHAnsi" w:eastAsia="Calibri" w:hAnsiTheme="majorHAnsi"/>
          <w:sz w:val="20"/>
          <w:szCs w:val="20"/>
          <w:vertAlign w:val="superscript"/>
          <w:lang w:val="es-AR"/>
        </w:rPr>
        <w:footnoteReference w:id="190"/>
      </w:r>
      <w:r w:rsidRPr="00386E47">
        <w:rPr>
          <w:rFonts w:asciiTheme="majorHAnsi" w:eastAsia="Calibri" w:hAnsiTheme="majorHAnsi"/>
          <w:sz w:val="20"/>
          <w:szCs w:val="20"/>
          <w:lang w:val="es-AR"/>
        </w:rPr>
        <w:t xml:space="preserve">. </w:t>
      </w:r>
    </w:p>
    <w:p w14:paraId="331D8032" w14:textId="77777777" w:rsidR="009F70EA" w:rsidRPr="00386E47" w:rsidRDefault="009F70EA" w:rsidP="00D90B05">
      <w:pPr>
        <w:tabs>
          <w:tab w:val="left" w:pos="567"/>
        </w:tabs>
        <w:contextualSpacing/>
        <w:jc w:val="both"/>
        <w:rPr>
          <w:rFonts w:asciiTheme="majorHAnsi" w:eastAsia="Calibri" w:hAnsiTheme="majorHAnsi"/>
          <w:sz w:val="20"/>
          <w:szCs w:val="20"/>
          <w:lang w:val="es-AR"/>
        </w:rPr>
      </w:pPr>
    </w:p>
    <w:p w14:paraId="0DCBC0EE"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A partir de la</w:t>
      </w:r>
      <w:r w:rsidR="007907EB" w:rsidRPr="00386E47">
        <w:rPr>
          <w:rFonts w:asciiTheme="majorHAnsi" w:eastAsia="Calibri" w:hAnsiTheme="majorHAnsi"/>
          <w:sz w:val="20"/>
          <w:szCs w:val="20"/>
          <w:lang w:val="es-AR"/>
        </w:rPr>
        <w:t>s</w:t>
      </w:r>
      <w:r w:rsidRPr="00386E47">
        <w:rPr>
          <w:rFonts w:asciiTheme="majorHAnsi" w:eastAsia="Calibri" w:hAnsiTheme="majorHAnsi"/>
          <w:sz w:val="20"/>
          <w:szCs w:val="20"/>
          <w:lang w:val="es-AR"/>
        </w:rPr>
        <w:t xml:space="preserve"> </w:t>
      </w:r>
      <w:r w:rsidR="007907EB" w:rsidRPr="00386E47">
        <w:rPr>
          <w:rFonts w:asciiTheme="majorHAnsi" w:eastAsia="Calibri" w:hAnsiTheme="majorHAnsi"/>
          <w:sz w:val="20"/>
          <w:szCs w:val="20"/>
          <w:lang w:val="es-AR"/>
        </w:rPr>
        <w:t>declaraciones</w:t>
      </w:r>
      <w:r w:rsidRPr="00386E47">
        <w:rPr>
          <w:rFonts w:asciiTheme="majorHAnsi" w:eastAsia="Calibri" w:hAnsiTheme="majorHAnsi"/>
          <w:sz w:val="20"/>
          <w:szCs w:val="20"/>
          <w:lang w:val="es-AR"/>
        </w:rPr>
        <w:t xml:space="preserve"> </w:t>
      </w:r>
      <w:r w:rsidR="007907EB" w:rsidRPr="00386E47">
        <w:rPr>
          <w:rFonts w:asciiTheme="majorHAnsi" w:eastAsia="Calibri" w:hAnsiTheme="majorHAnsi"/>
          <w:sz w:val="20"/>
          <w:szCs w:val="20"/>
          <w:lang w:val="es-AR"/>
        </w:rPr>
        <w:t>testimoniales prestadas por</w:t>
      </w:r>
      <w:r w:rsidRPr="00386E47">
        <w:rPr>
          <w:rFonts w:asciiTheme="majorHAnsi" w:eastAsia="Calibri" w:hAnsiTheme="majorHAnsi"/>
          <w:sz w:val="20"/>
          <w:szCs w:val="20"/>
          <w:lang w:val="es-AR"/>
        </w:rPr>
        <w:t xml:space="preserve"> diversas autoridades y agentes de la SI</w:t>
      </w:r>
      <w:r w:rsidR="007907EB" w:rsidRPr="00386E47">
        <w:rPr>
          <w:rFonts w:asciiTheme="majorHAnsi" w:eastAsia="Calibri" w:hAnsiTheme="majorHAnsi"/>
          <w:sz w:val="20"/>
          <w:szCs w:val="20"/>
          <w:lang w:val="es-AR"/>
        </w:rPr>
        <w:t xml:space="preserve">DE en el juicio oral celebrado ante </w:t>
      </w:r>
      <w:r w:rsidRPr="00386E47">
        <w:rPr>
          <w:rFonts w:asciiTheme="majorHAnsi" w:eastAsia="Calibri" w:hAnsiTheme="majorHAnsi"/>
          <w:sz w:val="20"/>
          <w:szCs w:val="20"/>
          <w:lang w:val="es-AR"/>
        </w:rPr>
        <w:t xml:space="preserve">el TOF 3 se </w:t>
      </w:r>
      <w:r w:rsidR="007907EB" w:rsidRPr="00386E47">
        <w:rPr>
          <w:rFonts w:asciiTheme="majorHAnsi" w:eastAsia="Calibri" w:hAnsiTheme="majorHAnsi"/>
          <w:sz w:val="20"/>
          <w:szCs w:val="20"/>
          <w:lang w:val="es-AR"/>
        </w:rPr>
        <w:t>estableció</w:t>
      </w:r>
      <w:r w:rsidRPr="00386E47">
        <w:rPr>
          <w:rFonts w:asciiTheme="majorHAnsi" w:eastAsia="Calibri" w:hAnsiTheme="majorHAnsi"/>
          <w:sz w:val="20"/>
          <w:szCs w:val="20"/>
          <w:lang w:val="es-AR"/>
        </w:rPr>
        <w:t xml:space="preserve"> que Carlos Telleldin, a través de su </w:t>
      </w:r>
      <w:r w:rsidR="007907EB" w:rsidRPr="00386E47">
        <w:rPr>
          <w:rFonts w:asciiTheme="majorHAnsi" w:eastAsia="Calibri" w:hAnsiTheme="majorHAnsi"/>
          <w:sz w:val="20"/>
          <w:szCs w:val="20"/>
          <w:lang w:val="es-AR"/>
        </w:rPr>
        <w:t>pareja</w:t>
      </w:r>
      <w:r w:rsidRPr="00386E47">
        <w:rPr>
          <w:rFonts w:asciiTheme="majorHAnsi" w:eastAsia="Calibri" w:hAnsiTheme="majorHAnsi"/>
          <w:sz w:val="20"/>
          <w:szCs w:val="20"/>
          <w:lang w:val="es-AR"/>
        </w:rPr>
        <w:t xml:space="preserve">, recibió la suma de 400.000 dólares provenientes de fondos reservados confiados a la administración de la propia Secretaria de Inteligencia del Estado. En efecto, el entonces Secretario de Inteligencia del Estado, Hugo Anzorreguy, declaró ante el TOF 3 que “a fines de mayo de 1996 el Dr. Galeano concurrió a su despacho, comentándole que la causa estaba </w:t>
      </w:r>
      <w:r w:rsidRPr="00386E47">
        <w:rPr>
          <w:rFonts w:asciiTheme="majorHAnsi" w:eastAsia="Calibri" w:hAnsiTheme="majorHAnsi"/>
          <w:sz w:val="20"/>
          <w:szCs w:val="20"/>
          <w:lang w:val="es-AR"/>
        </w:rPr>
        <w:lastRenderedPageBreak/>
        <w:t>estancada, que los familiares de Telleldin tenían miedo y que necesitaba una suma de dinero para destrabarla”</w:t>
      </w:r>
      <w:r w:rsidRPr="00386E47">
        <w:rPr>
          <w:rFonts w:asciiTheme="majorHAnsi" w:eastAsia="Calibri" w:hAnsiTheme="majorHAnsi"/>
          <w:sz w:val="20"/>
          <w:szCs w:val="20"/>
          <w:vertAlign w:val="superscript"/>
          <w:lang w:val="es-AR"/>
        </w:rPr>
        <w:footnoteReference w:id="191"/>
      </w:r>
      <w:r w:rsidRPr="00386E47">
        <w:rPr>
          <w:rFonts w:asciiTheme="majorHAnsi" w:eastAsia="Calibri" w:hAnsiTheme="majorHAnsi"/>
          <w:sz w:val="20"/>
          <w:szCs w:val="20"/>
          <w:lang w:val="es-AR"/>
        </w:rPr>
        <w:t>. El Sr. Anzorreguy también añadió “que no preguntó acerca de que aportaría Telleldin, ni tampoco el magistrado se lo comentó, pero de inmediato respondió afirmativamente a su solicitud por cuanto era una contribución más del organismo a su cargo ‘para salir adelante’</w:t>
      </w:r>
      <w:r w:rsidRPr="00386E47">
        <w:rPr>
          <w:rFonts w:asciiTheme="majorHAnsi" w:eastAsia="Calibri" w:hAnsiTheme="majorHAnsi"/>
          <w:sz w:val="20"/>
          <w:szCs w:val="20"/>
          <w:vertAlign w:val="superscript"/>
          <w:lang w:val="es-AR"/>
        </w:rPr>
        <w:footnoteReference w:id="192"/>
      </w:r>
      <w:r w:rsidRPr="00386E47">
        <w:rPr>
          <w:rFonts w:asciiTheme="majorHAnsi" w:eastAsia="Calibri" w:hAnsiTheme="majorHAnsi"/>
          <w:sz w:val="20"/>
          <w:szCs w:val="20"/>
          <w:lang w:val="es-AR"/>
        </w:rPr>
        <w:t xml:space="preserve">. </w:t>
      </w:r>
    </w:p>
    <w:p w14:paraId="5CB517DE" w14:textId="77777777" w:rsidR="009F70EA" w:rsidRPr="00386E47" w:rsidRDefault="009F70EA" w:rsidP="00D90B05">
      <w:pPr>
        <w:tabs>
          <w:tab w:val="left" w:pos="567"/>
        </w:tabs>
        <w:contextualSpacing/>
        <w:jc w:val="both"/>
        <w:rPr>
          <w:rFonts w:asciiTheme="majorHAnsi" w:eastAsia="Calibri" w:hAnsiTheme="majorHAnsi"/>
          <w:sz w:val="20"/>
          <w:szCs w:val="20"/>
          <w:lang w:val="es-AR"/>
        </w:rPr>
      </w:pPr>
    </w:p>
    <w:p w14:paraId="2A617C56"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El TOF 3 tuvo por acreditado que la entrega del dinero a la </w:t>
      </w:r>
      <w:r w:rsidR="007907EB" w:rsidRPr="00386E47">
        <w:rPr>
          <w:rFonts w:asciiTheme="majorHAnsi" w:eastAsia="Calibri" w:hAnsiTheme="majorHAnsi"/>
          <w:sz w:val="20"/>
          <w:szCs w:val="20"/>
          <w:lang w:val="es-AR"/>
        </w:rPr>
        <w:t>pareja</w:t>
      </w:r>
      <w:r w:rsidRPr="00386E47">
        <w:rPr>
          <w:rFonts w:asciiTheme="majorHAnsi" w:eastAsia="Calibri" w:hAnsiTheme="majorHAnsi"/>
          <w:sz w:val="20"/>
          <w:szCs w:val="20"/>
          <w:lang w:val="es-AR"/>
        </w:rPr>
        <w:t xml:space="preserve"> de Telleldin fue realizada en dos cuotas de 200.000 dólares cada una. La primera entrega tuvo lugar el 5 de julio de 1996 en el sector de cajas de seguridad de una institución bancaria ubicada en la localidad de Ramos Mejía. La segunda se efectivizó en el mes de octubre del mismo año en un banco de la Capital Federal. La logística del operativo estuvo a cargo de agentes de la SIDE, quienes reportaron su conclusión exitosa de manera inmediata al Secretario Anzo</w:t>
      </w:r>
      <w:r w:rsidR="002C22A1" w:rsidRPr="00386E47">
        <w:rPr>
          <w:rFonts w:asciiTheme="majorHAnsi" w:eastAsia="Calibri" w:hAnsiTheme="majorHAnsi"/>
          <w:sz w:val="20"/>
          <w:szCs w:val="20"/>
          <w:lang w:val="es-AR"/>
        </w:rPr>
        <w:t>rreguy y al j</w:t>
      </w:r>
      <w:r w:rsidRPr="00386E47">
        <w:rPr>
          <w:rFonts w:asciiTheme="majorHAnsi" w:eastAsia="Calibri" w:hAnsiTheme="majorHAnsi"/>
          <w:sz w:val="20"/>
          <w:szCs w:val="20"/>
          <w:lang w:val="es-AR"/>
        </w:rPr>
        <w:t>uez Galeano</w:t>
      </w:r>
      <w:r w:rsidRPr="00386E47">
        <w:rPr>
          <w:rFonts w:asciiTheme="majorHAnsi" w:eastAsia="Calibri" w:hAnsiTheme="majorHAnsi"/>
          <w:sz w:val="20"/>
          <w:szCs w:val="20"/>
          <w:vertAlign w:val="superscript"/>
          <w:lang w:val="es-AR"/>
        </w:rPr>
        <w:footnoteReference w:id="193"/>
      </w:r>
      <w:r w:rsidRPr="00386E47">
        <w:rPr>
          <w:rFonts w:asciiTheme="majorHAnsi" w:eastAsia="Calibri" w:hAnsiTheme="majorHAnsi"/>
          <w:sz w:val="20"/>
          <w:szCs w:val="20"/>
          <w:lang w:val="es-AR"/>
        </w:rPr>
        <w:t xml:space="preserve">. </w:t>
      </w:r>
    </w:p>
    <w:p w14:paraId="78EBBD2A" w14:textId="77777777" w:rsidR="009F70EA" w:rsidRPr="00386E47" w:rsidRDefault="009F70EA" w:rsidP="00D90B05">
      <w:pPr>
        <w:tabs>
          <w:tab w:val="left" w:pos="567"/>
        </w:tabs>
        <w:contextualSpacing/>
        <w:jc w:val="both"/>
        <w:rPr>
          <w:rFonts w:asciiTheme="majorHAnsi" w:eastAsia="Calibri" w:hAnsiTheme="majorHAnsi"/>
          <w:sz w:val="20"/>
          <w:szCs w:val="20"/>
          <w:lang w:val="es-AR"/>
        </w:rPr>
      </w:pPr>
    </w:p>
    <w:p w14:paraId="06C4F0DE"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Conforme surge de la sentencia de mayo</w:t>
      </w:r>
      <w:r w:rsidR="007907EB" w:rsidRPr="00386E47">
        <w:rPr>
          <w:rFonts w:asciiTheme="majorHAnsi" w:eastAsia="Calibri" w:hAnsiTheme="majorHAnsi"/>
          <w:sz w:val="20"/>
          <w:szCs w:val="20"/>
          <w:lang w:val="es-AR"/>
        </w:rPr>
        <w:t xml:space="preserve"> de 2019 dictada por el TOF 2, </w:t>
      </w:r>
      <w:r w:rsidRPr="00386E47">
        <w:rPr>
          <w:rFonts w:asciiTheme="majorHAnsi" w:eastAsia="Calibri" w:hAnsiTheme="majorHAnsi"/>
          <w:sz w:val="20"/>
          <w:szCs w:val="20"/>
          <w:lang w:val="es-AR"/>
        </w:rPr>
        <w:t>el mismo 5 de julio de 1996  “Carlos Alberto Telleldin, después de recibir el llamado telefónico de su pareja Ana Maria Boragni, quien le hizo saber de la efectivización del primer pago, prestó - conforme lo acordado con Juan Jose Galeano - una nueva declaración indagatoria […] en la ocasión brindó una versión de los hechos distinta a las anteriores, indicando que el día 10 de julio de 1994 entregó la camioneta Trafic - cuyo motor fue hallado entre los escombros de la sede de la AMIA - a personal de la Policía de la Provincia de Buenos Aires, más precisamente de las Brigadas de Lanús y Vicente López”</w:t>
      </w:r>
      <w:r w:rsidRPr="00386E47">
        <w:rPr>
          <w:rFonts w:asciiTheme="majorHAnsi" w:eastAsia="Calibri" w:hAnsiTheme="majorHAnsi"/>
          <w:sz w:val="20"/>
          <w:szCs w:val="20"/>
          <w:vertAlign w:val="superscript"/>
          <w:lang w:val="es-AR"/>
        </w:rPr>
        <w:footnoteReference w:id="194"/>
      </w:r>
      <w:r w:rsidRPr="00386E47">
        <w:rPr>
          <w:rFonts w:asciiTheme="majorHAnsi" w:eastAsia="Calibri" w:hAnsiTheme="majorHAnsi"/>
          <w:sz w:val="20"/>
          <w:szCs w:val="20"/>
          <w:lang w:val="es-AR"/>
        </w:rPr>
        <w:t xml:space="preserve">. </w:t>
      </w:r>
    </w:p>
    <w:p w14:paraId="4C592AD2" w14:textId="77777777" w:rsidR="009F70EA" w:rsidRPr="00386E47" w:rsidRDefault="009F70EA" w:rsidP="00D90B05">
      <w:pPr>
        <w:tabs>
          <w:tab w:val="left" w:pos="567"/>
        </w:tabs>
        <w:contextualSpacing/>
        <w:rPr>
          <w:rFonts w:asciiTheme="majorHAnsi" w:eastAsia="Calibri" w:hAnsiTheme="majorHAnsi"/>
          <w:sz w:val="20"/>
          <w:szCs w:val="20"/>
          <w:lang w:val="es-AR"/>
        </w:rPr>
      </w:pPr>
    </w:p>
    <w:p w14:paraId="13CCA0A5"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La declaración indagatoria de Telleldin del día 5 de julio de 1996, junto con las que prestaron algunas personas de su círculo íntimo en los días subsiguientes, constituyeron la base de la acusación construida por Galeano contra los policías bonaerenses Juan Jose Ribelli, Raúl Edilio Ibarra, Anastasio Irineo Leal y Mario Norberto Barreto. Los mencionados efectivos fueron detenidos, indagados y finalmente, el 31 de julio de 1996, procesados como participes necesarios del atentado</w:t>
      </w:r>
      <w:r w:rsidRPr="00386E47">
        <w:rPr>
          <w:rFonts w:asciiTheme="majorHAnsi" w:eastAsia="Calibri" w:hAnsiTheme="majorHAnsi"/>
          <w:sz w:val="20"/>
          <w:szCs w:val="20"/>
          <w:vertAlign w:val="superscript"/>
          <w:lang w:val="es-AR"/>
        </w:rPr>
        <w:footnoteReference w:id="195"/>
      </w:r>
      <w:r w:rsidRPr="00386E47">
        <w:rPr>
          <w:rFonts w:asciiTheme="majorHAnsi" w:eastAsia="Calibri" w:hAnsiTheme="majorHAnsi"/>
          <w:sz w:val="20"/>
          <w:szCs w:val="20"/>
          <w:lang w:val="es-AR"/>
        </w:rPr>
        <w:t xml:space="preserve">. </w:t>
      </w:r>
      <w:r w:rsidR="00041810" w:rsidRPr="00386E47">
        <w:rPr>
          <w:rFonts w:asciiTheme="majorHAnsi" w:eastAsia="Calibri" w:hAnsiTheme="majorHAnsi"/>
          <w:sz w:val="20"/>
          <w:szCs w:val="20"/>
          <w:lang w:val="es-AR"/>
        </w:rPr>
        <w:t xml:space="preserve"> </w:t>
      </w:r>
      <w:r w:rsidR="007907EB" w:rsidRPr="00386E47">
        <w:rPr>
          <w:rFonts w:asciiTheme="majorHAnsi" w:eastAsia="Calibri" w:hAnsiTheme="majorHAnsi"/>
          <w:sz w:val="20"/>
          <w:szCs w:val="20"/>
          <w:lang w:val="es-AR"/>
        </w:rPr>
        <w:t xml:space="preserve">En febrero de 2000, </w:t>
      </w:r>
      <w:r w:rsidRPr="00386E47">
        <w:rPr>
          <w:rFonts w:asciiTheme="majorHAnsi" w:eastAsia="Calibri" w:hAnsiTheme="majorHAnsi"/>
          <w:sz w:val="20"/>
          <w:szCs w:val="20"/>
          <w:lang w:val="es-AR"/>
        </w:rPr>
        <w:t xml:space="preserve">el juez Galeano elevó a juicio oral </w:t>
      </w:r>
      <w:r w:rsidR="007A6186" w:rsidRPr="00386E47">
        <w:rPr>
          <w:rFonts w:asciiTheme="majorHAnsi" w:eastAsia="Calibri" w:hAnsiTheme="majorHAnsi"/>
          <w:sz w:val="20"/>
          <w:szCs w:val="20"/>
          <w:lang w:val="es-AR"/>
        </w:rPr>
        <w:t xml:space="preserve">la </w:t>
      </w:r>
      <w:r w:rsidRPr="00386E47">
        <w:rPr>
          <w:rFonts w:asciiTheme="majorHAnsi" w:eastAsia="Calibri" w:hAnsiTheme="majorHAnsi"/>
          <w:sz w:val="20"/>
          <w:szCs w:val="20"/>
          <w:lang w:val="es-AR"/>
        </w:rPr>
        <w:t xml:space="preserve">causa contra Telleldin y los policías, bajo la acusación de formar parte de la denominada “conexión local” del atentado. </w:t>
      </w:r>
    </w:p>
    <w:p w14:paraId="2C3B9210" w14:textId="77777777" w:rsidR="009F70EA" w:rsidRPr="00386E47" w:rsidRDefault="009F70EA" w:rsidP="00D90B05">
      <w:pPr>
        <w:tabs>
          <w:tab w:val="left" w:pos="567"/>
        </w:tabs>
        <w:contextualSpacing/>
        <w:rPr>
          <w:rFonts w:asciiTheme="majorHAnsi" w:eastAsia="Calibri" w:hAnsiTheme="majorHAnsi"/>
          <w:sz w:val="20"/>
          <w:szCs w:val="20"/>
          <w:lang w:val="es-AR"/>
        </w:rPr>
      </w:pPr>
    </w:p>
    <w:p w14:paraId="045F4B87"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El Tribunal Oral en lo Criminal Federal 3, en virtud de las irregularidades expuest</w:t>
      </w:r>
      <w:r w:rsidR="0069541F" w:rsidRPr="00386E47">
        <w:rPr>
          <w:rFonts w:asciiTheme="majorHAnsi" w:eastAsia="Calibri" w:hAnsiTheme="majorHAnsi"/>
          <w:sz w:val="20"/>
          <w:szCs w:val="20"/>
          <w:lang w:val="es-AR"/>
        </w:rPr>
        <w:t xml:space="preserve">as a lo largo de este capítulo - </w:t>
      </w:r>
      <w:r w:rsidRPr="00386E47">
        <w:rPr>
          <w:rFonts w:asciiTheme="majorHAnsi" w:eastAsia="Calibri" w:hAnsiTheme="majorHAnsi"/>
          <w:sz w:val="20"/>
          <w:szCs w:val="20"/>
          <w:lang w:val="es-AR"/>
        </w:rPr>
        <w:t>sintetizadas en el comunicado de prensa adjunto a la sentencia</w:t>
      </w:r>
      <w:r w:rsidR="0069541F" w:rsidRPr="00386E47">
        <w:rPr>
          <w:rFonts w:asciiTheme="majorHAnsi" w:eastAsia="Calibri" w:hAnsiTheme="majorHAnsi"/>
          <w:sz w:val="20"/>
          <w:szCs w:val="20"/>
          <w:lang w:val="es-AR"/>
        </w:rPr>
        <w:t xml:space="preserve"> de fecha 29 de octubre de 2004 - </w:t>
      </w:r>
      <w:r w:rsidRPr="00386E47">
        <w:rPr>
          <w:rFonts w:asciiTheme="majorHAnsi" w:eastAsia="Calibri" w:hAnsiTheme="majorHAnsi"/>
          <w:sz w:val="20"/>
          <w:szCs w:val="20"/>
          <w:lang w:val="es-AR"/>
        </w:rPr>
        <w:t xml:space="preserve"> declaró la nulidad de todo lo actuado a partir de la iniciación de la investigación contra los policías bonaerenses y ordenó que se extraigan testimonios a fin de que se investigue la responsabilidad penal de una serie de personas </w:t>
      </w:r>
      <w:r w:rsidR="0069541F" w:rsidRPr="00386E47">
        <w:rPr>
          <w:rFonts w:asciiTheme="majorHAnsi" w:eastAsia="Calibri" w:hAnsiTheme="majorHAnsi"/>
          <w:sz w:val="20"/>
          <w:szCs w:val="20"/>
          <w:lang w:val="es-AR"/>
        </w:rPr>
        <w:t>que participaron</w:t>
      </w:r>
      <w:r w:rsidRPr="00386E47">
        <w:rPr>
          <w:rFonts w:asciiTheme="majorHAnsi" w:eastAsia="Calibri" w:hAnsiTheme="majorHAnsi"/>
          <w:sz w:val="20"/>
          <w:szCs w:val="20"/>
          <w:lang w:val="es-AR"/>
        </w:rPr>
        <w:t xml:space="preserve"> en la instrucción, entre </w:t>
      </w:r>
      <w:r w:rsidR="0069541F" w:rsidRPr="00386E47">
        <w:rPr>
          <w:rFonts w:asciiTheme="majorHAnsi" w:eastAsia="Calibri" w:hAnsiTheme="majorHAnsi"/>
          <w:sz w:val="20"/>
          <w:szCs w:val="20"/>
          <w:lang w:val="es-AR"/>
        </w:rPr>
        <w:t>las que se cuentan</w:t>
      </w:r>
      <w:r w:rsidRPr="00386E47">
        <w:rPr>
          <w:rFonts w:asciiTheme="majorHAnsi" w:eastAsia="Calibri" w:hAnsiTheme="majorHAnsi"/>
          <w:sz w:val="20"/>
          <w:szCs w:val="20"/>
          <w:lang w:val="es-AR"/>
        </w:rPr>
        <w:t xml:space="preserve"> el juez Galeano y diversos funcionarios judiciales, policiales, de la SIDE y del Poder Ejecutivo</w:t>
      </w:r>
      <w:r w:rsidRPr="00386E47">
        <w:rPr>
          <w:rFonts w:asciiTheme="majorHAnsi" w:eastAsia="Calibri" w:hAnsiTheme="majorHAnsi"/>
          <w:sz w:val="20"/>
          <w:szCs w:val="20"/>
          <w:vertAlign w:val="superscript"/>
          <w:lang w:val="es-AR"/>
        </w:rPr>
        <w:footnoteReference w:id="196"/>
      </w:r>
      <w:r w:rsidRPr="00386E47">
        <w:rPr>
          <w:rFonts w:asciiTheme="majorHAnsi" w:eastAsia="Calibri" w:hAnsiTheme="majorHAnsi"/>
          <w:sz w:val="20"/>
          <w:szCs w:val="20"/>
          <w:lang w:val="es-AR"/>
        </w:rPr>
        <w:t>.</w:t>
      </w:r>
    </w:p>
    <w:p w14:paraId="56E13A1B" w14:textId="77777777" w:rsidR="009F70EA" w:rsidRPr="00386E47" w:rsidRDefault="009F70EA" w:rsidP="00D90B05">
      <w:pPr>
        <w:tabs>
          <w:tab w:val="left" w:pos="567"/>
        </w:tabs>
        <w:contextualSpacing/>
        <w:rPr>
          <w:rFonts w:asciiTheme="majorHAnsi" w:eastAsia="Calibri" w:hAnsiTheme="majorHAnsi"/>
          <w:sz w:val="20"/>
          <w:szCs w:val="20"/>
          <w:lang w:val="es-AR"/>
        </w:rPr>
      </w:pPr>
    </w:p>
    <w:p w14:paraId="197F0344"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 Finalmente, cabe destacar que, en aras de “dar acabada respuesta a las legítimas expectativas de conocer la verdad de lo acontecido, puestas sobre este debate por las victimas del hecho y la sociedad”</w:t>
      </w:r>
      <w:r w:rsidRPr="00386E47">
        <w:rPr>
          <w:rFonts w:asciiTheme="majorHAnsi" w:eastAsia="Calibri" w:hAnsiTheme="majorHAnsi"/>
          <w:sz w:val="20"/>
          <w:szCs w:val="20"/>
          <w:vertAlign w:val="superscript"/>
          <w:lang w:val="es-AR"/>
        </w:rPr>
        <w:footnoteReference w:id="197"/>
      </w:r>
      <w:r w:rsidRPr="00386E47">
        <w:rPr>
          <w:rFonts w:asciiTheme="majorHAnsi" w:eastAsia="Calibri" w:hAnsiTheme="majorHAnsi"/>
          <w:sz w:val="20"/>
          <w:szCs w:val="20"/>
          <w:lang w:val="es-AR"/>
        </w:rPr>
        <w:t>, el TOF 3 realizó un amplio análisis de la prue</w:t>
      </w:r>
      <w:r w:rsidR="007907EB" w:rsidRPr="00386E47">
        <w:rPr>
          <w:rFonts w:asciiTheme="majorHAnsi" w:eastAsia="Calibri" w:hAnsiTheme="majorHAnsi"/>
          <w:sz w:val="20"/>
          <w:szCs w:val="20"/>
          <w:lang w:val="es-AR"/>
        </w:rPr>
        <w:t>ba existente en el expediente. En el marco de esa tarea, el tribunal arribó a la conclusión</w:t>
      </w:r>
      <w:r w:rsidRPr="00386E47">
        <w:rPr>
          <w:rFonts w:asciiTheme="majorHAnsi" w:eastAsia="Calibri" w:hAnsiTheme="majorHAnsi"/>
          <w:sz w:val="20"/>
          <w:szCs w:val="20"/>
          <w:lang w:val="es-AR"/>
        </w:rPr>
        <w:t xml:space="preserve"> que “no se ha demostrado que el 10 de julio de 1994 […] ni en ninguna otra fecha, Carlos Alberto Telleldin entregara a los ex policías bonaerenses imputados alguna camioneta Renault Trafic”</w:t>
      </w:r>
      <w:r w:rsidRPr="00386E47">
        <w:rPr>
          <w:rFonts w:asciiTheme="majorHAnsi" w:eastAsia="Calibri" w:hAnsiTheme="majorHAnsi"/>
          <w:sz w:val="20"/>
          <w:szCs w:val="20"/>
          <w:vertAlign w:val="superscript"/>
          <w:lang w:val="es-AR"/>
        </w:rPr>
        <w:footnoteReference w:id="198"/>
      </w:r>
      <w:r w:rsidRPr="00386E47">
        <w:rPr>
          <w:rFonts w:asciiTheme="majorHAnsi" w:eastAsia="Calibri" w:hAnsiTheme="majorHAnsi"/>
          <w:sz w:val="20"/>
          <w:szCs w:val="20"/>
          <w:lang w:val="es-AR"/>
        </w:rPr>
        <w:t xml:space="preserve"> y reiteró que “la </w:t>
      </w:r>
      <w:r w:rsidRPr="00386E47">
        <w:rPr>
          <w:rFonts w:asciiTheme="majorHAnsi" w:eastAsia="Calibri" w:hAnsiTheme="majorHAnsi"/>
          <w:sz w:val="20"/>
          <w:szCs w:val="20"/>
          <w:lang w:val="es-AR"/>
        </w:rPr>
        <w:lastRenderedPageBreak/>
        <w:t>declaración indagatoria prestada por Telleldin el 5 de julio de 1996, en la que introduce formalmente la imputación a los ex policías bonaerenses por el atenta</w:t>
      </w:r>
      <w:r w:rsidR="007907EB" w:rsidRPr="00386E47">
        <w:rPr>
          <w:rFonts w:asciiTheme="majorHAnsi" w:eastAsia="Calibri" w:hAnsiTheme="majorHAnsi"/>
          <w:sz w:val="20"/>
          <w:szCs w:val="20"/>
          <w:lang w:val="es-AR"/>
        </w:rPr>
        <w:t>do, fue el resultado del simultá</w:t>
      </w:r>
      <w:r w:rsidRPr="00386E47">
        <w:rPr>
          <w:rFonts w:asciiTheme="majorHAnsi" w:eastAsia="Calibri" w:hAnsiTheme="majorHAnsi"/>
          <w:sz w:val="20"/>
          <w:szCs w:val="20"/>
          <w:lang w:val="es-AR"/>
        </w:rPr>
        <w:t>neo pago efectuado por representantes del Estado con la innegable intervención del magistrado instructor, doctor Juan Jose Galeano”</w:t>
      </w:r>
      <w:r w:rsidRPr="00386E47">
        <w:rPr>
          <w:rFonts w:asciiTheme="majorHAnsi" w:eastAsia="Calibri" w:hAnsiTheme="majorHAnsi"/>
          <w:sz w:val="20"/>
          <w:szCs w:val="20"/>
          <w:vertAlign w:val="superscript"/>
          <w:lang w:val="es-AR"/>
        </w:rPr>
        <w:footnoteReference w:id="199"/>
      </w:r>
      <w:r w:rsidRPr="00386E47">
        <w:rPr>
          <w:rFonts w:asciiTheme="majorHAnsi" w:eastAsia="Calibri" w:hAnsiTheme="majorHAnsi"/>
          <w:sz w:val="20"/>
          <w:szCs w:val="20"/>
          <w:lang w:val="es-AR"/>
        </w:rPr>
        <w:t xml:space="preserve">. </w:t>
      </w:r>
    </w:p>
    <w:p w14:paraId="38ACF8EF" w14:textId="77777777" w:rsidR="003C1378" w:rsidRPr="00386E47" w:rsidRDefault="003C1378" w:rsidP="0071718D">
      <w:pPr>
        <w:tabs>
          <w:tab w:val="left" w:pos="426"/>
        </w:tabs>
        <w:contextualSpacing/>
        <w:jc w:val="both"/>
        <w:rPr>
          <w:rFonts w:asciiTheme="majorHAnsi" w:eastAsia="Calibri" w:hAnsiTheme="majorHAnsi"/>
          <w:sz w:val="20"/>
          <w:szCs w:val="20"/>
          <w:lang w:val="es-AR"/>
        </w:rPr>
      </w:pPr>
    </w:p>
    <w:p w14:paraId="5ED6A943" w14:textId="77777777" w:rsidR="003D23F8" w:rsidRPr="00386E47" w:rsidRDefault="003D23F8" w:rsidP="00C21134">
      <w:pPr>
        <w:pStyle w:val="ListParagraph"/>
        <w:tabs>
          <w:tab w:val="left" w:pos="567"/>
        </w:tabs>
        <w:contextualSpacing/>
        <w:jc w:val="both"/>
        <w:rPr>
          <w:rFonts w:asciiTheme="majorHAnsi" w:eastAsia="Calibri" w:hAnsiTheme="majorHAnsi"/>
          <w:b/>
          <w:sz w:val="20"/>
          <w:szCs w:val="20"/>
          <w:lang w:val="es-AR"/>
        </w:rPr>
      </w:pPr>
      <w:r w:rsidRPr="00386E47">
        <w:rPr>
          <w:rFonts w:asciiTheme="majorHAnsi" w:eastAsia="Calibri" w:hAnsiTheme="majorHAnsi"/>
          <w:b/>
          <w:sz w:val="20"/>
          <w:szCs w:val="20"/>
          <w:lang w:val="es-AR"/>
        </w:rPr>
        <w:t>Consideraciones de la Comisión</w:t>
      </w:r>
    </w:p>
    <w:p w14:paraId="6C285145" w14:textId="77777777" w:rsidR="003D23F8" w:rsidRPr="00386E47" w:rsidRDefault="003D23F8" w:rsidP="00A311A0">
      <w:pPr>
        <w:pStyle w:val="ListParagraph"/>
        <w:tabs>
          <w:tab w:val="left" w:pos="567"/>
        </w:tabs>
        <w:contextualSpacing/>
        <w:jc w:val="both"/>
        <w:rPr>
          <w:rFonts w:asciiTheme="majorHAnsi" w:eastAsia="Calibri" w:hAnsiTheme="majorHAnsi"/>
          <w:b/>
          <w:sz w:val="20"/>
          <w:szCs w:val="20"/>
          <w:lang w:val="es-AR"/>
        </w:rPr>
      </w:pPr>
    </w:p>
    <w:p w14:paraId="61C2AD6A"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La Comisión observa que durante el transcurso de la investigación dirigida por el Juzgado Federal en lo Criminal Nro. 9, se produjeron </w:t>
      </w:r>
      <w:r w:rsidR="00C46758" w:rsidRPr="00386E47">
        <w:rPr>
          <w:rFonts w:asciiTheme="majorHAnsi" w:eastAsia="Calibri" w:hAnsiTheme="majorHAnsi"/>
          <w:sz w:val="20"/>
          <w:szCs w:val="20"/>
          <w:lang w:val="es-ES_tradnl"/>
        </w:rPr>
        <w:t xml:space="preserve">al menos </w:t>
      </w:r>
      <w:r w:rsidR="00713782" w:rsidRPr="00386E47">
        <w:rPr>
          <w:rFonts w:asciiTheme="majorHAnsi" w:eastAsia="Calibri" w:hAnsiTheme="majorHAnsi"/>
          <w:sz w:val="20"/>
          <w:szCs w:val="20"/>
          <w:lang w:val="es-ES_tradnl"/>
        </w:rPr>
        <w:t>dos graves</w:t>
      </w:r>
      <w:r w:rsidRPr="00386E47">
        <w:rPr>
          <w:rFonts w:asciiTheme="majorHAnsi" w:eastAsia="Calibri" w:hAnsiTheme="majorHAnsi"/>
          <w:sz w:val="20"/>
          <w:szCs w:val="20"/>
          <w:lang w:val="es-ES_tradnl"/>
        </w:rPr>
        <w:t xml:space="preserve"> irregularidades.</w:t>
      </w:r>
    </w:p>
    <w:p w14:paraId="0483A456" w14:textId="77777777" w:rsidR="003D23F8" w:rsidRPr="00386E47" w:rsidRDefault="003D23F8" w:rsidP="003D23F8">
      <w:pPr>
        <w:tabs>
          <w:tab w:val="left" w:pos="567"/>
        </w:tabs>
        <w:contextualSpacing/>
        <w:jc w:val="both"/>
        <w:rPr>
          <w:rFonts w:asciiTheme="majorHAnsi" w:eastAsia="Calibri" w:hAnsiTheme="majorHAnsi"/>
          <w:sz w:val="20"/>
          <w:szCs w:val="20"/>
          <w:lang w:val="es-ES_tradnl"/>
        </w:rPr>
      </w:pPr>
    </w:p>
    <w:p w14:paraId="49442F23"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En primer término, la Comisión </w:t>
      </w:r>
      <w:r w:rsidR="00C46758" w:rsidRPr="00386E47">
        <w:rPr>
          <w:rFonts w:asciiTheme="majorHAnsi" w:eastAsia="Calibri" w:hAnsiTheme="majorHAnsi"/>
          <w:sz w:val="20"/>
          <w:szCs w:val="20"/>
          <w:lang w:val="es-ES_tradnl"/>
        </w:rPr>
        <w:t>nota</w:t>
      </w:r>
      <w:r w:rsidRPr="00386E47">
        <w:rPr>
          <w:rFonts w:asciiTheme="majorHAnsi" w:eastAsia="Calibri" w:hAnsiTheme="majorHAnsi"/>
          <w:sz w:val="20"/>
          <w:szCs w:val="20"/>
          <w:lang w:val="es-ES_tradnl"/>
        </w:rPr>
        <w:t xml:space="preserve"> - en línea con los pronunciamientos reseñados del ámbito nacional - que a partir de 1995 los funcionarios encargados de conducir la investigación permitieron y facilitaron que terceras personas no vinculadas directamente con la instrucción judicial se entrevistaran con Carlos Telleldín, quien hasta ese momento era el único detenido sobre el cual pesaba una acusación de haber participado en el atentado a la AMIA. </w:t>
      </w:r>
    </w:p>
    <w:p w14:paraId="57D13EE2" w14:textId="77777777" w:rsidR="003D23F8" w:rsidRPr="00386E47" w:rsidRDefault="003D23F8" w:rsidP="003D23F8">
      <w:pPr>
        <w:tabs>
          <w:tab w:val="left" w:pos="567"/>
        </w:tabs>
        <w:contextualSpacing/>
        <w:jc w:val="both"/>
        <w:rPr>
          <w:rFonts w:asciiTheme="majorHAnsi" w:eastAsia="Calibri" w:hAnsiTheme="majorHAnsi"/>
          <w:sz w:val="20"/>
          <w:szCs w:val="20"/>
          <w:lang w:val="es-ES_tradnl"/>
        </w:rPr>
      </w:pPr>
    </w:p>
    <w:p w14:paraId="116656E5"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El Estado no acreditó que estas reuniones informales estuvieran previstas en alguna norma procesal vigente en ese momento. Asimismo, dichos encuentros fueron protagonizados por actores estatales - como lo era en ese momento la </w:t>
      </w:r>
      <w:r w:rsidR="00F06B1C" w:rsidRPr="00386E47">
        <w:rPr>
          <w:rFonts w:asciiTheme="majorHAnsi" w:eastAsia="Calibri" w:hAnsiTheme="majorHAnsi"/>
          <w:sz w:val="20"/>
          <w:szCs w:val="20"/>
          <w:lang w:val="es-ES_tradnl"/>
        </w:rPr>
        <w:t>J</w:t>
      </w:r>
      <w:r w:rsidRPr="00386E47">
        <w:rPr>
          <w:rFonts w:asciiTheme="majorHAnsi" w:eastAsia="Calibri" w:hAnsiTheme="majorHAnsi"/>
          <w:sz w:val="20"/>
          <w:szCs w:val="20"/>
          <w:lang w:val="es-ES_tradnl"/>
        </w:rPr>
        <w:t>ueza Riva Aramayo -  o por personas que, o bien se identificaron como agentes de los servicios de inteligencia, como en el caso de Daniel Ricardo Romero, o bien invocaron representar intereses públicos, como el ex Capitán Vergéz</w:t>
      </w:r>
      <w:r w:rsidRPr="00386E47">
        <w:rPr>
          <w:rStyle w:val="FootnoteReference"/>
          <w:rFonts w:asciiTheme="majorHAnsi" w:eastAsia="Calibri" w:hAnsiTheme="majorHAnsi"/>
          <w:sz w:val="20"/>
          <w:szCs w:val="20"/>
          <w:lang w:val="es-ES_tradnl"/>
        </w:rPr>
        <w:footnoteReference w:id="200"/>
      </w:r>
      <w:r w:rsidRPr="00386E47">
        <w:rPr>
          <w:rFonts w:asciiTheme="majorHAnsi" w:eastAsia="Calibri" w:hAnsiTheme="majorHAnsi"/>
          <w:sz w:val="20"/>
          <w:szCs w:val="20"/>
          <w:lang w:val="es-ES_tradnl"/>
        </w:rPr>
        <w:t>. La Comisión subraya que los tribunales nacionales han tenido por acreditado que tales reuniones tuvieron como objetivo preparar el terreno para que Telleldín proporcionara una declaración que permitiera incluir en la investigación la hipótesis que involucraba en la preparación del atentado a determinados agentes de la Policía de la Provincia de Buenos Aires</w:t>
      </w:r>
      <w:r w:rsidRPr="00386E47">
        <w:rPr>
          <w:rStyle w:val="FootnoteReference"/>
          <w:rFonts w:asciiTheme="majorHAnsi" w:eastAsia="Calibri" w:hAnsiTheme="majorHAnsi"/>
          <w:sz w:val="20"/>
          <w:szCs w:val="20"/>
          <w:lang w:val="es-ES_tradnl"/>
        </w:rPr>
        <w:footnoteReference w:id="201"/>
      </w:r>
      <w:r w:rsidRPr="00386E47">
        <w:rPr>
          <w:rFonts w:asciiTheme="majorHAnsi" w:eastAsia="Calibri" w:hAnsiTheme="majorHAnsi"/>
          <w:sz w:val="20"/>
          <w:szCs w:val="20"/>
          <w:lang w:val="es-ES_tradnl"/>
        </w:rPr>
        <w:t xml:space="preserve">.  </w:t>
      </w:r>
    </w:p>
    <w:p w14:paraId="1E204D29" w14:textId="77777777" w:rsidR="003D23F8" w:rsidRPr="00386E47" w:rsidRDefault="003D23F8" w:rsidP="003D23F8">
      <w:pPr>
        <w:tabs>
          <w:tab w:val="left" w:pos="567"/>
        </w:tabs>
        <w:contextualSpacing/>
        <w:jc w:val="both"/>
        <w:rPr>
          <w:rFonts w:asciiTheme="majorHAnsi" w:eastAsia="Calibri" w:hAnsiTheme="majorHAnsi"/>
          <w:sz w:val="20"/>
          <w:szCs w:val="20"/>
          <w:lang w:val="es-ES_tradnl"/>
        </w:rPr>
      </w:pPr>
    </w:p>
    <w:p w14:paraId="583CD9B0"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La Comisión verificó - a partir de su rol de observador del juicio oral celebrado ante el TOF 3 – que, en efecto, fue recién durante las audiencias de debate que los jueces del tribunal oral y la querella conformada por los peticionarios pudieron conocer por primera vez las circunstancias que rodearon la decisión de iniciar e impulsar la línea de investigación que inculpaba de manera falsa a determinados miembros de la policía bonaerense de la autoría del atentado</w:t>
      </w:r>
      <w:r w:rsidRPr="00386E47">
        <w:rPr>
          <w:rStyle w:val="FootnoteReference"/>
          <w:rFonts w:asciiTheme="majorHAnsi" w:eastAsia="Calibri" w:hAnsiTheme="majorHAnsi"/>
          <w:sz w:val="20"/>
          <w:szCs w:val="20"/>
          <w:lang w:val="es-ES_tradnl"/>
        </w:rPr>
        <w:footnoteReference w:id="202"/>
      </w:r>
      <w:r w:rsidRPr="00386E47">
        <w:rPr>
          <w:rFonts w:asciiTheme="majorHAnsi" w:eastAsia="Calibri" w:hAnsiTheme="majorHAnsi"/>
          <w:sz w:val="20"/>
          <w:szCs w:val="20"/>
          <w:lang w:val="es-ES_tradnl"/>
        </w:rPr>
        <w:t xml:space="preserve">. </w:t>
      </w:r>
    </w:p>
    <w:p w14:paraId="31780CD4" w14:textId="77777777" w:rsidR="003D23F8" w:rsidRPr="00386E47" w:rsidRDefault="003D23F8" w:rsidP="003D23F8">
      <w:pPr>
        <w:tabs>
          <w:tab w:val="left" w:pos="567"/>
        </w:tabs>
        <w:contextualSpacing/>
        <w:jc w:val="both"/>
        <w:rPr>
          <w:rFonts w:asciiTheme="majorHAnsi" w:eastAsia="Calibri" w:hAnsiTheme="majorHAnsi"/>
          <w:sz w:val="20"/>
          <w:szCs w:val="20"/>
          <w:lang w:val="es-ES_tradnl"/>
        </w:rPr>
      </w:pPr>
    </w:p>
    <w:p w14:paraId="6590FD53"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En segundo lugar, la Comisión </w:t>
      </w:r>
      <w:r w:rsidR="00C46758" w:rsidRPr="00386E47">
        <w:rPr>
          <w:rFonts w:asciiTheme="majorHAnsi" w:eastAsia="Calibri" w:hAnsiTheme="majorHAnsi"/>
          <w:sz w:val="20"/>
          <w:szCs w:val="20"/>
          <w:lang w:val="es-ES_tradnl"/>
        </w:rPr>
        <w:t>nota</w:t>
      </w:r>
      <w:r w:rsidRPr="00386E47">
        <w:rPr>
          <w:rFonts w:asciiTheme="majorHAnsi" w:eastAsia="Calibri" w:hAnsiTheme="majorHAnsi"/>
          <w:sz w:val="20"/>
          <w:szCs w:val="20"/>
          <w:lang w:val="es-ES_tradnl"/>
        </w:rPr>
        <w:t xml:space="preserve"> que fue solo recién a partir de la comparecencia en las audiencias de juicio oral de aquellos agentes de la SIDE que fueron relevados de su deber de guardar secreto que resultó posible reconstruir los sucesos del 5 de julio de 1996; a saber: el desembolso de una suma de dinero a la pareja de Telleldín en el Banco Quilmes de Ramos Mejía; la comunicación simultanea del éxito de esa operación al juez Galeano y al propio Telleldín y, finalmente, la iniciación de la declaración indagatoria ampliatoria donde este último mencionó que entregó la Trafic que supuestamente fue usada como coche bomba a </w:t>
      </w:r>
      <w:r w:rsidR="00C408A8" w:rsidRPr="00386E47">
        <w:rPr>
          <w:rFonts w:asciiTheme="majorHAnsi" w:eastAsia="Calibri" w:hAnsiTheme="majorHAnsi"/>
          <w:sz w:val="20"/>
          <w:szCs w:val="20"/>
          <w:lang w:val="es-ES_tradnl"/>
        </w:rPr>
        <w:t>los policías bonaerenses pertenecientes a</w:t>
      </w:r>
      <w:r w:rsidRPr="00386E47">
        <w:rPr>
          <w:rFonts w:asciiTheme="majorHAnsi" w:eastAsia="Calibri" w:hAnsiTheme="majorHAnsi"/>
          <w:sz w:val="20"/>
          <w:szCs w:val="20"/>
          <w:lang w:val="es-ES_tradnl"/>
        </w:rPr>
        <w:t xml:space="preserve"> las brigadas de Vicente López y Lanús.</w:t>
      </w:r>
    </w:p>
    <w:p w14:paraId="065350F7" w14:textId="77777777" w:rsidR="003D23F8" w:rsidRPr="00386E47" w:rsidRDefault="003D23F8" w:rsidP="003D23F8">
      <w:pPr>
        <w:tabs>
          <w:tab w:val="left" w:pos="567"/>
        </w:tabs>
        <w:contextualSpacing/>
        <w:jc w:val="both"/>
        <w:rPr>
          <w:rFonts w:asciiTheme="majorHAnsi" w:eastAsia="Calibri" w:hAnsiTheme="majorHAnsi"/>
          <w:sz w:val="20"/>
          <w:szCs w:val="20"/>
          <w:lang w:val="es-ES_tradnl"/>
        </w:rPr>
      </w:pPr>
    </w:p>
    <w:p w14:paraId="4555D837"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En relación con este punto, la Comisión considera oportuno resaltar que el magistrado a cargo de la investigación convocó, en los instantes iniciales de la pesquisa, a la Secretaria de Inteligencia del Estado (SIDE) para que actúe en calidad de auxiliar de la justicia</w:t>
      </w:r>
      <w:r w:rsidRPr="00386E47">
        <w:rPr>
          <w:rFonts w:asciiTheme="majorHAnsi" w:eastAsia="Calibri" w:hAnsiTheme="majorHAnsi"/>
          <w:sz w:val="20"/>
          <w:szCs w:val="20"/>
          <w:vertAlign w:val="superscript"/>
          <w:lang w:val="es-ES_tradnl"/>
        </w:rPr>
        <w:footnoteReference w:id="203"/>
      </w:r>
      <w:r w:rsidRPr="00386E47">
        <w:rPr>
          <w:rFonts w:asciiTheme="majorHAnsi" w:eastAsia="Calibri" w:hAnsiTheme="majorHAnsi"/>
          <w:sz w:val="20"/>
          <w:szCs w:val="20"/>
          <w:lang w:val="es-ES_tradnl"/>
        </w:rPr>
        <w:t xml:space="preserve">. La Comisión también verificó que, conforme la legislación vigente en ese momento, el mandato de la SIDE comprendía el </w:t>
      </w:r>
      <w:r w:rsidRPr="00386E47">
        <w:rPr>
          <w:rFonts w:asciiTheme="majorHAnsi" w:eastAsia="Calibri" w:hAnsiTheme="majorHAnsi"/>
          <w:sz w:val="20"/>
          <w:szCs w:val="20"/>
          <w:lang w:val="es-AR"/>
        </w:rPr>
        <w:t>“prestar su colaboración a tareas militares, policiales y judiciales cuando las autoridades competentes así lo requieran”</w:t>
      </w:r>
      <w:r w:rsidRPr="00386E47">
        <w:rPr>
          <w:rFonts w:asciiTheme="majorHAnsi" w:eastAsia="Calibri" w:hAnsiTheme="majorHAnsi"/>
          <w:sz w:val="20"/>
          <w:szCs w:val="20"/>
          <w:vertAlign w:val="superscript"/>
          <w:lang w:val="es-AR"/>
        </w:rPr>
        <w:footnoteReference w:id="204"/>
      </w:r>
      <w:r w:rsidRPr="00386E47">
        <w:rPr>
          <w:rFonts w:asciiTheme="majorHAnsi" w:eastAsia="Calibri" w:hAnsiTheme="majorHAnsi"/>
          <w:sz w:val="20"/>
          <w:szCs w:val="20"/>
          <w:lang w:val="es-AR"/>
        </w:rPr>
        <w:t>.</w:t>
      </w:r>
    </w:p>
    <w:p w14:paraId="09549093" w14:textId="77777777" w:rsidR="003D23F8" w:rsidRPr="00386E47" w:rsidRDefault="003D23F8" w:rsidP="003D23F8">
      <w:pPr>
        <w:tabs>
          <w:tab w:val="left" w:pos="567"/>
        </w:tabs>
        <w:contextualSpacing/>
        <w:jc w:val="both"/>
        <w:rPr>
          <w:rFonts w:asciiTheme="majorHAnsi" w:eastAsia="Calibri" w:hAnsiTheme="majorHAnsi"/>
          <w:sz w:val="20"/>
          <w:szCs w:val="20"/>
          <w:lang w:val="es-ES_tradnl"/>
        </w:rPr>
      </w:pPr>
    </w:p>
    <w:p w14:paraId="0C3AFBAC"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AR"/>
        </w:rPr>
        <w:t xml:space="preserve"> Con base en las declaraciones testimoniales de los propios ex agentes y directivos de la SIDE brindadas en sed</w:t>
      </w:r>
      <w:r w:rsidR="00C408A8" w:rsidRPr="00386E47">
        <w:rPr>
          <w:rFonts w:asciiTheme="majorHAnsi" w:eastAsia="Calibri" w:hAnsiTheme="majorHAnsi"/>
          <w:sz w:val="20"/>
          <w:szCs w:val="20"/>
          <w:lang w:val="es-AR"/>
        </w:rPr>
        <w:t>e judicial, la Comisión constató</w:t>
      </w:r>
      <w:r w:rsidRPr="00386E47">
        <w:rPr>
          <w:rFonts w:asciiTheme="majorHAnsi" w:eastAsia="Calibri" w:hAnsiTheme="majorHAnsi"/>
          <w:sz w:val="20"/>
          <w:szCs w:val="20"/>
          <w:lang w:val="es-AR"/>
        </w:rPr>
        <w:t xml:space="preserve"> que, al momento de los hechos, el Estado no ha acreditado que las funciones de administración y disposición de los fondos reservados en poder de la Secretaria de Inteligencia no se encontraban </w:t>
      </w:r>
      <w:r w:rsidRPr="00386E47">
        <w:rPr>
          <w:rFonts w:asciiTheme="majorHAnsi" w:eastAsia="Calibri" w:hAnsiTheme="majorHAnsi"/>
          <w:sz w:val="20"/>
          <w:szCs w:val="20"/>
          <w:lang w:val="es-AR"/>
        </w:rPr>
        <w:lastRenderedPageBreak/>
        <w:t>sometidas a ninguna clase de restricción normativa. De igual forma, tampoco existían mecanismos administrativos que garantizaran un adecuado registro de las erogaciones efectuadas y no se encontraban en funcionamiento organismos o dependencias que pudieran desarrollar auditorías externas o políticas publicas orientadas a supervisar la manera en la que la SIDE disponía de sus fondos reservados</w:t>
      </w:r>
      <w:r w:rsidRPr="00386E47">
        <w:rPr>
          <w:rFonts w:asciiTheme="majorHAnsi" w:eastAsia="Calibri" w:hAnsiTheme="majorHAnsi"/>
          <w:sz w:val="20"/>
          <w:szCs w:val="20"/>
          <w:vertAlign w:val="superscript"/>
          <w:lang w:val="es-AR"/>
        </w:rPr>
        <w:footnoteReference w:id="205"/>
      </w:r>
      <w:r w:rsidRPr="00386E47">
        <w:rPr>
          <w:rFonts w:asciiTheme="majorHAnsi" w:eastAsia="Calibri" w:hAnsiTheme="majorHAnsi"/>
          <w:sz w:val="20"/>
          <w:szCs w:val="20"/>
          <w:lang w:val="es-AR"/>
        </w:rPr>
        <w:t xml:space="preserve">. </w:t>
      </w:r>
    </w:p>
    <w:p w14:paraId="4DD5A5AA" w14:textId="77777777" w:rsidR="003D23F8" w:rsidRPr="00386E47" w:rsidRDefault="003D23F8" w:rsidP="003D23F8">
      <w:pPr>
        <w:tabs>
          <w:tab w:val="left" w:pos="567"/>
        </w:tabs>
        <w:contextualSpacing/>
        <w:jc w:val="both"/>
        <w:rPr>
          <w:rFonts w:asciiTheme="majorHAnsi" w:eastAsia="Calibri" w:hAnsiTheme="majorHAnsi"/>
          <w:sz w:val="20"/>
          <w:szCs w:val="20"/>
          <w:lang w:val="es-ES_tradnl"/>
        </w:rPr>
      </w:pPr>
    </w:p>
    <w:p w14:paraId="18413CBB"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En función de la información existente, la Comisión entiende que la declaración indagatoria ampliatoria tomada al imputado Telleldín el día 5 de julio de 1996 difícilmente podría haberse celebrado de no ser por la entrega por parte de agentes de la Secretaria de Inteligencia del Estado de una suma de dinero a sus allegados. Asimismo, la Comisión subraya que el pago en cuestión solo fue posible gracias a las facultades discrecionales en materia de administración y disposición de fondos reservados que se hallaban en cabeza del Secretario de Inteligencia del Estado</w:t>
      </w:r>
      <w:r w:rsidRPr="00386E47">
        <w:rPr>
          <w:rStyle w:val="FootnoteReference"/>
          <w:rFonts w:asciiTheme="majorHAnsi" w:eastAsia="Calibri" w:hAnsiTheme="majorHAnsi"/>
          <w:sz w:val="20"/>
          <w:szCs w:val="20"/>
          <w:lang w:val="es-ES_tradnl"/>
        </w:rPr>
        <w:footnoteReference w:id="206"/>
      </w:r>
      <w:r w:rsidRPr="00386E47">
        <w:rPr>
          <w:rFonts w:asciiTheme="majorHAnsi" w:eastAsia="Calibri" w:hAnsiTheme="majorHAnsi"/>
          <w:sz w:val="20"/>
          <w:szCs w:val="20"/>
          <w:lang w:val="es-ES_tradnl"/>
        </w:rPr>
        <w:t xml:space="preserve">. </w:t>
      </w:r>
    </w:p>
    <w:p w14:paraId="19C3A0D6" w14:textId="77777777" w:rsidR="003D23F8" w:rsidRPr="00386E47" w:rsidRDefault="003D23F8" w:rsidP="003D23F8">
      <w:pPr>
        <w:tabs>
          <w:tab w:val="left" w:pos="567"/>
        </w:tabs>
        <w:contextualSpacing/>
        <w:jc w:val="both"/>
        <w:rPr>
          <w:rFonts w:asciiTheme="majorHAnsi" w:eastAsia="Calibri" w:hAnsiTheme="majorHAnsi"/>
          <w:sz w:val="20"/>
          <w:szCs w:val="20"/>
          <w:lang w:val="es-ES_tradnl"/>
        </w:rPr>
      </w:pPr>
    </w:p>
    <w:p w14:paraId="00FDEF7D"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La Comisión resalta que - por años y a pesar de los </w:t>
      </w:r>
      <w:r w:rsidR="00713782" w:rsidRPr="00386E47">
        <w:rPr>
          <w:rFonts w:asciiTheme="majorHAnsi" w:eastAsia="Calibri" w:hAnsiTheme="majorHAnsi"/>
          <w:sz w:val="20"/>
          <w:szCs w:val="20"/>
          <w:lang w:val="es-ES_tradnl"/>
        </w:rPr>
        <w:t>reiterados requerimientos</w:t>
      </w:r>
      <w:r w:rsidRPr="00386E47">
        <w:rPr>
          <w:rFonts w:asciiTheme="majorHAnsi" w:eastAsia="Calibri" w:hAnsiTheme="majorHAnsi"/>
          <w:sz w:val="20"/>
          <w:szCs w:val="20"/>
          <w:lang w:val="es-ES_tradnl"/>
        </w:rPr>
        <w:t xml:space="preserve"> efectuados por el TOF 3 - la Secretaría de Inteligencia negó expresamente la existencia del desembolso de dinero a los allegados a Telleldín. En efecto, no fue sino hasta el dictado en junio de 2003 del decreto 291/2003 que relevó a los agentes que participaron del operativo de pago de su obligación de guardar secreto, que dichos agentes pudieron testificar en los estrados judiciales y relatar de manera detallada la manera en que tuvieron lugar los dos episodios en donde se </w:t>
      </w:r>
      <w:r w:rsidR="00B528BF" w:rsidRPr="00386E47">
        <w:rPr>
          <w:rFonts w:asciiTheme="majorHAnsi" w:eastAsia="Calibri" w:hAnsiTheme="majorHAnsi"/>
          <w:sz w:val="20"/>
          <w:szCs w:val="20"/>
          <w:lang w:val="es-ES_tradnl"/>
        </w:rPr>
        <w:t>pagó</w:t>
      </w:r>
      <w:r w:rsidRPr="00386E47">
        <w:rPr>
          <w:rFonts w:asciiTheme="majorHAnsi" w:eastAsia="Calibri" w:hAnsiTheme="majorHAnsi"/>
          <w:sz w:val="20"/>
          <w:szCs w:val="20"/>
          <w:lang w:val="es-ES_tradnl"/>
        </w:rPr>
        <w:t xml:space="preserve"> a los allegados a Telleldín una considerable suma de dinero en efectivo</w:t>
      </w:r>
      <w:r w:rsidRPr="00386E47">
        <w:rPr>
          <w:rStyle w:val="FootnoteReference"/>
          <w:rFonts w:asciiTheme="majorHAnsi" w:eastAsia="Calibri" w:hAnsiTheme="majorHAnsi"/>
          <w:sz w:val="20"/>
          <w:szCs w:val="20"/>
          <w:lang w:val="es-ES_tradnl"/>
        </w:rPr>
        <w:footnoteReference w:id="207"/>
      </w:r>
      <w:r w:rsidRPr="00386E47">
        <w:rPr>
          <w:rFonts w:asciiTheme="majorHAnsi" w:eastAsia="Calibri" w:hAnsiTheme="majorHAnsi"/>
          <w:sz w:val="20"/>
          <w:szCs w:val="20"/>
          <w:lang w:val="es-ES_tradnl"/>
        </w:rPr>
        <w:t>. También el juez Galeano, como lo puntualiza el TOF 3 “ocultó sistemáticamente la existencia de un pago efectuado a Carlos Alberto Telleldín para que este amplíe, en términos previamente consensuados, su declaración indagatoria”</w:t>
      </w:r>
      <w:r w:rsidRPr="00386E47">
        <w:rPr>
          <w:rStyle w:val="FootnoteReference"/>
          <w:rFonts w:asciiTheme="majorHAnsi" w:eastAsia="Calibri" w:hAnsiTheme="majorHAnsi"/>
          <w:sz w:val="20"/>
          <w:szCs w:val="20"/>
          <w:lang w:val="es-ES_tradnl"/>
        </w:rPr>
        <w:footnoteReference w:id="208"/>
      </w:r>
      <w:r w:rsidR="00BF041B" w:rsidRPr="00386E47">
        <w:rPr>
          <w:rFonts w:asciiTheme="majorHAnsi" w:eastAsia="Calibri" w:hAnsiTheme="majorHAnsi"/>
          <w:sz w:val="20"/>
          <w:szCs w:val="20"/>
          <w:lang w:val="es-ES_tradnl"/>
        </w:rPr>
        <w:t>.</w:t>
      </w:r>
    </w:p>
    <w:p w14:paraId="28D9354D" w14:textId="77777777" w:rsidR="003D23F8" w:rsidRPr="00386E47" w:rsidRDefault="003D23F8" w:rsidP="003D23F8">
      <w:pPr>
        <w:pStyle w:val="ListParagraph"/>
        <w:rPr>
          <w:rFonts w:asciiTheme="majorHAnsi" w:eastAsia="Calibri" w:hAnsiTheme="majorHAnsi"/>
          <w:sz w:val="20"/>
          <w:szCs w:val="20"/>
          <w:lang w:val="es-ES_tradnl"/>
        </w:rPr>
      </w:pPr>
    </w:p>
    <w:p w14:paraId="2FDE88DE"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Al respecto, la Comisión destaca - en línea con lo expuesto por el Relator Especial de las Naciones Unidas sobre la promoción y protección de los derechos humanos y las libertades fundamentales en la lucha contra el terrorismo, Martin Scheinin - que la principal función de las agencias de inteligencia es la identificación de potenciales amenazas a la seguridad nacional a partir de la reunión y el análisis de información</w:t>
      </w:r>
      <w:r w:rsidRPr="00386E47">
        <w:rPr>
          <w:rFonts w:asciiTheme="majorHAnsi" w:eastAsia="Calibri" w:hAnsiTheme="majorHAnsi"/>
          <w:sz w:val="20"/>
          <w:szCs w:val="20"/>
          <w:vertAlign w:val="superscript"/>
          <w:lang w:val="es-ES_tradnl"/>
        </w:rPr>
        <w:footnoteReference w:id="209"/>
      </w:r>
      <w:r w:rsidRPr="00386E47">
        <w:rPr>
          <w:rFonts w:asciiTheme="majorHAnsi" w:eastAsia="Calibri" w:hAnsiTheme="majorHAnsi"/>
          <w:sz w:val="20"/>
          <w:szCs w:val="20"/>
          <w:lang w:val="es-ES_tradnl"/>
        </w:rPr>
        <w:t xml:space="preserve">.  Si bien los principales instrumentos internacionales de derechos humanos no prohíben de manera expresa que las agencias de inteligencia actúen como auxiliares de la justicia, existen argumentos convincentes que desaconsejan la conjunción de las funciones estatales de inteligencia y de investigación criminal. En lo que tiene que ver de manera particular con la asignación a las agencias de inteligencia de facultades de arresto y detención – asimilable </w:t>
      </w:r>
      <w:r w:rsidRPr="00386E47">
        <w:rPr>
          <w:rFonts w:asciiTheme="majorHAnsi" w:eastAsia="Calibri" w:hAnsiTheme="majorHAnsi"/>
          <w:i/>
          <w:sz w:val="20"/>
          <w:szCs w:val="20"/>
          <w:lang w:val="es-ES_tradnl"/>
        </w:rPr>
        <w:t>inter alia</w:t>
      </w:r>
      <w:r w:rsidRPr="00386E47">
        <w:rPr>
          <w:rFonts w:asciiTheme="majorHAnsi" w:eastAsia="Calibri" w:hAnsiTheme="majorHAnsi"/>
          <w:sz w:val="20"/>
          <w:szCs w:val="20"/>
          <w:lang w:val="es-ES_tradnl"/>
        </w:rPr>
        <w:t xml:space="preserve"> al resto de las actividades típicas de la policía en función judicial – el Relator Especial Scheinin aseguró que “existe el peligro de que se cree un sistema de seguridad paralelo, con el cual los servicios de inteligencia ejercerían funciones de arresto y detención para eludir las salvaguardas legales y los sistemas de supervisión a que están sujetas las fuerzas de seguridad del Estado”</w:t>
      </w:r>
      <w:r w:rsidRPr="00386E47">
        <w:rPr>
          <w:rFonts w:asciiTheme="majorHAnsi" w:eastAsia="Calibri" w:hAnsiTheme="majorHAnsi"/>
          <w:sz w:val="20"/>
          <w:szCs w:val="20"/>
          <w:vertAlign w:val="superscript"/>
          <w:lang w:val="es-ES_tradnl"/>
        </w:rPr>
        <w:footnoteReference w:id="210"/>
      </w:r>
      <w:r w:rsidRPr="00386E47">
        <w:rPr>
          <w:rFonts w:asciiTheme="majorHAnsi" w:eastAsia="Calibri" w:hAnsiTheme="majorHAnsi"/>
          <w:sz w:val="20"/>
          <w:szCs w:val="20"/>
          <w:lang w:val="es-ES_tradnl"/>
        </w:rPr>
        <w:t xml:space="preserve">. </w:t>
      </w:r>
    </w:p>
    <w:p w14:paraId="07356CFA" w14:textId="77777777" w:rsidR="003D23F8" w:rsidRPr="00386E47" w:rsidRDefault="003D23F8" w:rsidP="003D23F8">
      <w:pPr>
        <w:tabs>
          <w:tab w:val="left" w:pos="567"/>
        </w:tabs>
        <w:contextualSpacing/>
        <w:jc w:val="both"/>
        <w:rPr>
          <w:rFonts w:asciiTheme="majorHAnsi" w:eastAsia="Calibri" w:hAnsiTheme="majorHAnsi"/>
          <w:sz w:val="20"/>
          <w:szCs w:val="20"/>
          <w:lang w:val="es-ES_tradnl"/>
        </w:rPr>
      </w:pPr>
    </w:p>
    <w:p w14:paraId="27A2771F"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La Comisión observa que la investigación que desde 1994 hasta 2004 encabezó el ex Juez Galeano, adoptó como única hipótesis acusatoria, en lo que respecta a la llamada “conexión local” del atentado, aquella que indicaba la participación de los policías bonaerenses señalados por Telleldín en su declaración del 5 de julio de 1996. Como ha sido establecido, esta hipótesis fue construida y promovida mediante el empleo de una porción de los fondos </w:t>
      </w:r>
      <w:r w:rsidRPr="00386E47">
        <w:rPr>
          <w:rFonts w:asciiTheme="majorHAnsi" w:eastAsia="Calibri" w:hAnsiTheme="majorHAnsi"/>
          <w:sz w:val="20"/>
          <w:szCs w:val="20"/>
          <w:lang w:val="es-ES_tradnl"/>
        </w:rPr>
        <w:lastRenderedPageBreak/>
        <w:t xml:space="preserve">secretos asignados a la SIDE, los cuales eran utilizados con absoluta discrecionalidad y ausencia de controles por parte del órgano de inteligencia de donde provinieron. En efecto, de esos fondos provino la suma de dinero que se le abonó a un imputado para que incorpore al expediente información que no cuenta con otros medios de respaldo o de convicción en el expediente. Esta hipótesis acusatoria fabricada a raíz de dicha información fue mantenida por las autoridades estatales por varios años, hasta el punto de elevar la instrucción a juicio oral. </w:t>
      </w:r>
    </w:p>
    <w:p w14:paraId="1EC09640" w14:textId="77777777" w:rsidR="003D23F8" w:rsidRPr="00386E47" w:rsidRDefault="003D23F8" w:rsidP="003D23F8">
      <w:pPr>
        <w:tabs>
          <w:tab w:val="left" w:pos="567"/>
        </w:tabs>
        <w:contextualSpacing/>
        <w:jc w:val="both"/>
        <w:rPr>
          <w:rFonts w:asciiTheme="majorHAnsi" w:eastAsia="Calibri" w:hAnsiTheme="majorHAnsi"/>
          <w:sz w:val="20"/>
          <w:szCs w:val="20"/>
          <w:lang w:val="es-ES_tradnl"/>
        </w:rPr>
      </w:pPr>
    </w:p>
    <w:p w14:paraId="5D50D700"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Todo lo anterior, a juicio de la Comisión, apunta a la ausencia de un contenido o sustento racional en la principal línea de investigación impulsada en este momento por el Estado, lo cual no solo es altamente cuestionable e implica una falta del deber de investigar con debida diligencia, sino que también </w:t>
      </w:r>
      <w:r w:rsidR="00666C4E" w:rsidRPr="00386E47">
        <w:rPr>
          <w:rFonts w:asciiTheme="majorHAnsi" w:eastAsia="Calibri" w:hAnsiTheme="majorHAnsi"/>
          <w:sz w:val="20"/>
          <w:szCs w:val="20"/>
          <w:lang w:val="es-ES_tradnl"/>
        </w:rPr>
        <w:t xml:space="preserve">revela </w:t>
      </w:r>
      <w:r w:rsidRPr="00386E47">
        <w:rPr>
          <w:rFonts w:asciiTheme="majorHAnsi" w:eastAsia="Calibri" w:hAnsiTheme="majorHAnsi"/>
          <w:sz w:val="20"/>
          <w:szCs w:val="20"/>
          <w:lang w:val="es-ES_tradnl"/>
        </w:rPr>
        <w:t>una manifiesta parcialidad del juez por interés en generar un determinado resultado que no obedece al material probatorio incorporado de manera legal a la investigación. Estas actuaciones que</w:t>
      </w:r>
      <w:r w:rsidR="00666C4E" w:rsidRPr="00386E47">
        <w:rPr>
          <w:rFonts w:asciiTheme="majorHAnsi" w:eastAsia="Calibri" w:hAnsiTheme="majorHAnsi"/>
          <w:sz w:val="20"/>
          <w:szCs w:val="20"/>
          <w:lang w:val="es-ES_tradnl"/>
        </w:rPr>
        <w:t>, hicieron</w:t>
      </w:r>
      <w:r w:rsidRPr="00386E47">
        <w:rPr>
          <w:rFonts w:asciiTheme="majorHAnsi" w:eastAsia="Calibri" w:hAnsiTheme="majorHAnsi"/>
          <w:sz w:val="20"/>
          <w:szCs w:val="20"/>
          <w:lang w:val="es-ES_tradnl"/>
        </w:rPr>
        <w:t xml:space="preserve"> además uso de medios que tampoco encuentran sustento en las garantías del debido proceso regular, no satisfacen en modo alguno el derecho que tienen l</w:t>
      </w:r>
      <w:r w:rsidR="00666C4E" w:rsidRPr="00386E47">
        <w:rPr>
          <w:rFonts w:asciiTheme="majorHAnsi" w:eastAsia="Calibri" w:hAnsiTheme="majorHAnsi"/>
          <w:sz w:val="20"/>
          <w:szCs w:val="20"/>
          <w:lang w:val="es-ES_tradnl"/>
        </w:rPr>
        <w:t>os familiares de las</w:t>
      </w:r>
      <w:r w:rsidRPr="00386E47">
        <w:rPr>
          <w:rFonts w:asciiTheme="majorHAnsi" w:eastAsia="Calibri" w:hAnsiTheme="majorHAnsi"/>
          <w:sz w:val="20"/>
          <w:szCs w:val="20"/>
          <w:lang w:val="es-ES_tradnl"/>
        </w:rPr>
        <w:t xml:space="preserve"> víctimas </w:t>
      </w:r>
      <w:r w:rsidR="00666C4E" w:rsidRPr="00386E47">
        <w:rPr>
          <w:rFonts w:asciiTheme="majorHAnsi" w:eastAsia="Calibri" w:hAnsiTheme="majorHAnsi"/>
          <w:sz w:val="20"/>
          <w:szCs w:val="20"/>
          <w:lang w:val="es-ES_tradnl"/>
        </w:rPr>
        <w:t>a acceder a la justicia</w:t>
      </w:r>
      <w:r w:rsidRPr="00386E47">
        <w:rPr>
          <w:rFonts w:asciiTheme="majorHAnsi" w:eastAsia="Calibri" w:hAnsiTheme="majorHAnsi"/>
          <w:sz w:val="20"/>
          <w:szCs w:val="20"/>
          <w:lang w:val="es-ES_tradnl"/>
        </w:rPr>
        <w:t xml:space="preserve">. Además de ello, proyectó severas consecuencias para el esclarecimiento de las graves afectaciones a los derechos humanos padecidas por las víctimas de este caso. </w:t>
      </w:r>
    </w:p>
    <w:p w14:paraId="0154F09C" w14:textId="77777777" w:rsidR="003D23F8" w:rsidRPr="00386E47" w:rsidRDefault="003D23F8" w:rsidP="003D23F8">
      <w:pPr>
        <w:tabs>
          <w:tab w:val="left" w:pos="567"/>
        </w:tabs>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 </w:t>
      </w:r>
    </w:p>
    <w:p w14:paraId="329F451F" w14:textId="77777777" w:rsidR="003D23F8" w:rsidRPr="00386E47" w:rsidRDefault="003D23F8" w:rsidP="00B528BF">
      <w:pPr>
        <w:pStyle w:val="Heading5"/>
      </w:pPr>
      <w:r w:rsidRPr="00386E47">
        <w:t xml:space="preserve">Conclusión </w:t>
      </w:r>
    </w:p>
    <w:p w14:paraId="232B95CC" w14:textId="77777777" w:rsidR="003D23F8" w:rsidRPr="00386E47" w:rsidRDefault="003D23F8" w:rsidP="00A311A0">
      <w:pPr>
        <w:contextualSpacing/>
        <w:rPr>
          <w:rFonts w:asciiTheme="majorHAnsi" w:eastAsia="Calibri" w:hAnsiTheme="majorHAnsi"/>
          <w:sz w:val="20"/>
          <w:szCs w:val="20"/>
          <w:lang w:val="es-ES_tradnl"/>
        </w:rPr>
      </w:pPr>
    </w:p>
    <w:p w14:paraId="5A1E88CA" w14:textId="77777777" w:rsidR="00C423FB" w:rsidRPr="00386E47" w:rsidRDefault="00BF041B"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Con</w:t>
      </w:r>
      <w:r w:rsidR="00C423FB" w:rsidRPr="00386E47">
        <w:rPr>
          <w:rFonts w:asciiTheme="majorHAnsi" w:eastAsia="Calibri" w:hAnsiTheme="majorHAnsi"/>
          <w:sz w:val="20"/>
          <w:szCs w:val="20"/>
          <w:lang w:val="es-ES_tradnl"/>
        </w:rPr>
        <w:t xml:space="preserve"> base a lo consignado</w:t>
      </w:r>
      <w:r w:rsidR="003D23F8" w:rsidRPr="00386E47">
        <w:rPr>
          <w:rFonts w:asciiTheme="majorHAnsi" w:eastAsia="Calibri" w:hAnsiTheme="majorHAnsi"/>
          <w:sz w:val="20"/>
          <w:szCs w:val="20"/>
          <w:lang w:val="es-ES_tradnl"/>
        </w:rPr>
        <w:t xml:space="preserve"> en este capítulo, la Comisión concluye que</w:t>
      </w:r>
      <w:r w:rsidR="00C423FB" w:rsidRPr="00386E47">
        <w:rPr>
          <w:rFonts w:asciiTheme="majorHAnsi" w:eastAsia="Calibri" w:hAnsiTheme="majorHAnsi"/>
          <w:sz w:val="20"/>
          <w:szCs w:val="20"/>
          <w:lang w:val="es-ES_tradnl"/>
        </w:rPr>
        <w:t>, tanto en los inicios de la investigación como</w:t>
      </w:r>
      <w:r w:rsidR="003D23F8" w:rsidRPr="00386E47">
        <w:rPr>
          <w:rFonts w:asciiTheme="majorHAnsi" w:eastAsia="Calibri" w:hAnsiTheme="majorHAnsi"/>
          <w:sz w:val="20"/>
          <w:szCs w:val="20"/>
          <w:lang w:val="es-ES_tradnl"/>
        </w:rPr>
        <w:t xml:space="preserve"> </w:t>
      </w:r>
      <w:r w:rsidR="00C423FB" w:rsidRPr="00386E47">
        <w:rPr>
          <w:rFonts w:asciiTheme="majorHAnsi" w:eastAsia="Calibri" w:hAnsiTheme="majorHAnsi"/>
          <w:sz w:val="20"/>
          <w:szCs w:val="20"/>
          <w:lang w:val="es-ES_tradnl"/>
        </w:rPr>
        <w:t>durante la instrucción conducida por el</w:t>
      </w:r>
      <w:r w:rsidR="003D23F8" w:rsidRPr="00386E47">
        <w:rPr>
          <w:rFonts w:asciiTheme="majorHAnsi" w:eastAsia="Calibri" w:hAnsiTheme="majorHAnsi"/>
          <w:sz w:val="20"/>
          <w:szCs w:val="20"/>
          <w:lang w:val="es-ES_tradnl"/>
        </w:rPr>
        <w:t xml:space="preserve"> Juzgado en lo Criminal Federal Nro. 9, </w:t>
      </w:r>
      <w:r w:rsidR="00C423FB" w:rsidRPr="00386E47">
        <w:rPr>
          <w:rFonts w:asciiTheme="majorHAnsi" w:eastAsia="Calibri" w:hAnsiTheme="majorHAnsi"/>
          <w:sz w:val="20"/>
          <w:szCs w:val="20"/>
          <w:lang w:val="es-ES_tradnl"/>
        </w:rPr>
        <w:t>sucedieron</w:t>
      </w:r>
      <w:r w:rsidR="003D23F8" w:rsidRPr="00386E47">
        <w:rPr>
          <w:rFonts w:asciiTheme="majorHAnsi" w:eastAsia="Calibri" w:hAnsiTheme="majorHAnsi"/>
          <w:sz w:val="20"/>
          <w:szCs w:val="20"/>
          <w:lang w:val="es-ES_tradnl"/>
        </w:rPr>
        <w:t xml:space="preserve"> una serie de irregularidade</w:t>
      </w:r>
      <w:r w:rsidR="00C423FB" w:rsidRPr="00386E47">
        <w:rPr>
          <w:rFonts w:asciiTheme="majorHAnsi" w:eastAsia="Calibri" w:hAnsiTheme="majorHAnsi"/>
          <w:sz w:val="20"/>
          <w:szCs w:val="20"/>
          <w:lang w:val="es-ES_tradnl"/>
        </w:rPr>
        <w:t>s tales como las</w:t>
      </w:r>
      <w:r w:rsidR="003D23F8" w:rsidRPr="00386E47">
        <w:rPr>
          <w:rFonts w:asciiTheme="majorHAnsi" w:eastAsia="Calibri" w:hAnsiTheme="majorHAnsi"/>
          <w:sz w:val="20"/>
          <w:szCs w:val="20"/>
          <w:lang w:val="es-ES_tradnl"/>
        </w:rPr>
        <w:t xml:space="preserve"> </w:t>
      </w:r>
      <w:r w:rsidR="00C423FB" w:rsidRPr="00386E47">
        <w:rPr>
          <w:rFonts w:asciiTheme="majorHAnsi" w:eastAsia="Calibri" w:hAnsiTheme="majorHAnsi"/>
          <w:sz w:val="20"/>
          <w:szCs w:val="20"/>
          <w:lang w:val="es-ES_tradnl"/>
        </w:rPr>
        <w:t xml:space="preserve">fallas en la </w:t>
      </w:r>
      <w:r w:rsidR="00B528BF" w:rsidRPr="00386E47">
        <w:rPr>
          <w:rFonts w:asciiTheme="majorHAnsi" w:eastAsia="Calibri" w:hAnsiTheme="majorHAnsi"/>
          <w:sz w:val="20"/>
          <w:szCs w:val="20"/>
          <w:lang w:val="es-ES_tradnl"/>
        </w:rPr>
        <w:t>práctica</w:t>
      </w:r>
      <w:r w:rsidR="00C423FB" w:rsidRPr="00386E47">
        <w:rPr>
          <w:rFonts w:asciiTheme="majorHAnsi" w:eastAsia="Calibri" w:hAnsiTheme="majorHAnsi"/>
          <w:sz w:val="20"/>
          <w:szCs w:val="20"/>
          <w:lang w:val="es-ES_tradnl"/>
        </w:rPr>
        <w:t xml:space="preserve"> </w:t>
      </w:r>
      <w:r w:rsidR="003D23F8" w:rsidRPr="00386E47">
        <w:rPr>
          <w:rFonts w:asciiTheme="majorHAnsi" w:eastAsia="Calibri" w:hAnsiTheme="majorHAnsi"/>
          <w:sz w:val="20"/>
          <w:szCs w:val="20"/>
          <w:lang w:val="es-ES_tradnl"/>
        </w:rPr>
        <w:t>de diligencias esenciales, así como el abandono</w:t>
      </w:r>
      <w:r w:rsidR="00C423FB" w:rsidRPr="00386E47">
        <w:rPr>
          <w:rFonts w:asciiTheme="majorHAnsi" w:eastAsia="Calibri" w:hAnsiTheme="majorHAnsi"/>
          <w:sz w:val="20"/>
          <w:szCs w:val="20"/>
          <w:lang w:val="es-ES_tradnl"/>
        </w:rPr>
        <w:t xml:space="preserve"> </w:t>
      </w:r>
      <w:r w:rsidR="00C408A8" w:rsidRPr="00386E47">
        <w:rPr>
          <w:rFonts w:asciiTheme="majorHAnsi" w:eastAsia="Calibri" w:hAnsiTheme="majorHAnsi"/>
          <w:sz w:val="20"/>
          <w:szCs w:val="20"/>
          <w:lang w:val="es-ES_tradnl"/>
        </w:rPr>
        <w:t xml:space="preserve">deliberado </w:t>
      </w:r>
      <w:r w:rsidR="00C423FB" w:rsidRPr="00386E47">
        <w:rPr>
          <w:rFonts w:asciiTheme="majorHAnsi" w:eastAsia="Calibri" w:hAnsiTheme="majorHAnsi"/>
          <w:sz w:val="20"/>
          <w:szCs w:val="20"/>
          <w:lang w:val="es-ES_tradnl"/>
        </w:rPr>
        <w:t>de algunas</w:t>
      </w:r>
      <w:r w:rsidR="003D23F8" w:rsidRPr="00386E47">
        <w:rPr>
          <w:rFonts w:asciiTheme="majorHAnsi" w:eastAsia="Calibri" w:hAnsiTheme="majorHAnsi"/>
          <w:sz w:val="20"/>
          <w:szCs w:val="20"/>
          <w:lang w:val="es-ES_tradnl"/>
        </w:rPr>
        <w:t xml:space="preserve"> líneas </w:t>
      </w:r>
      <w:r w:rsidR="00C408A8" w:rsidRPr="00386E47">
        <w:rPr>
          <w:rFonts w:asciiTheme="majorHAnsi" w:eastAsia="Calibri" w:hAnsiTheme="majorHAnsi"/>
          <w:sz w:val="20"/>
          <w:szCs w:val="20"/>
          <w:lang w:val="es-ES_tradnl"/>
        </w:rPr>
        <w:t>de investigación</w:t>
      </w:r>
      <w:r w:rsidR="00EB6CB8" w:rsidRPr="00386E47">
        <w:rPr>
          <w:rFonts w:asciiTheme="majorHAnsi" w:eastAsia="Calibri" w:hAnsiTheme="majorHAnsi"/>
          <w:sz w:val="20"/>
          <w:szCs w:val="20"/>
          <w:lang w:val="es-ES_tradnl"/>
        </w:rPr>
        <w:t xml:space="preserve"> cuya profundización resultaba un curso de acción lógico a seguir. </w:t>
      </w:r>
      <w:r w:rsidR="00C408A8" w:rsidRPr="00386E47">
        <w:rPr>
          <w:rFonts w:asciiTheme="majorHAnsi" w:eastAsia="Calibri" w:hAnsiTheme="majorHAnsi"/>
          <w:sz w:val="20"/>
          <w:szCs w:val="20"/>
          <w:lang w:val="es-ES_tradnl"/>
        </w:rPr>
        <w:t xml:space="preserve"> </w:t>
      </w:r>
    </w:p>
    <w:p w14:paraId="60728F20" w14:textId="77777777" w:rsidR="00C423FB" w:rsidRPr="00386E47" w:rsidRDefault="00C423FB" w:rsidP="00C423FB">
      <w:pPr>
        <w:tabs>
          <w:tab w:val="left" w:pos="567"/>
        </w:tabs>
        <w:contextualSpacing/>
        <w:jc w:val="both"/>
        <w:rPr>
          <w:rFonts w:asciiTheme="majorHAnsi" w:eastAsia="Calibri" w:hAnsiTheme="majorHAnsi"/>
          <w:sz w:val="20"/>
          <w:szCs w:val="20"/>
          <w:lang w:val="es-ES_tradnl"/>
        </w:rPr>
      </w:pPr>
    </w:p>
    <w:p w14:paraId="25E9A9C6" w14:textId="77777777" w:rsidR="00EB6CB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Sumado a ello, </w:t>
      </w:r>
      <w:r w:rsidR="00C423FB" w:rsidRPr="00386E47">
        <w:rPr>
          <w:rFonts w:asciiTheme="majorHAnsi" w:eastAsia="Calibri" w:hAnsiTheme="majorHAnsi"/>
          <w:sz w:val="20"/>
          <w:szCs w:val="20"/>
          <w:lang w:val="es-ES_tradnl"/>
        </w:rPr>
        <w:t xml:space="preserve">y </w:t>
      </w:r>
      <w:r w:rsidRPr="00386E47">
        <w:rPr>
          <w:rFonts w:asciiTheme="majorHAnsi" w:eastAsia="Calibri" w:hAnsiTheme="majorHAnsi"/>
          <w:sz w:val="20"/>
          <w:szCs w:val="20"/>
          <w:lang w:val="es-ES_tradnl"/>
        </w:rPr>
        <w:t xml:space="preserve">de forma particularmente grave, </w:t>
      </w:r>
      <w:r w:rsidR="00C423FB" w:rsidRPr="00386E47">
        <w:rPr>
          <w:rFonts w:asciiTheme="majorHAnsi" w:eastAsia="Calibri" w:hAnsiTheme="majorHAnsi"/>
          <w:sz w:val="20"/>
          <w:szCs w:val="20"/>
          <w:lang w:val="es-ES_tradnl"/>
        </w:rPr>
        <w:t>la Comisión ha verificado que durante la</w:t>
      </w:r>
      <w:r w:rsidR="00F51009" w:rsidRPr="00386E47">
        <w:rPr>
          <w:rFonts w:asciiTheme="majorHAnsi" w:eastAsia="Calibri" w:hAnsiTheme="majorHAnsi"/>
          <w:sz w:val="20"/>
          <w:szCs w:val="20"/>
          <w:lang w:val="es-ES_tradnl"/>
        </w:rPr>
        <w:t xml:space="preserve"> etapa </w:t>
      </w:r>
      <w:r w:rsidR="00713782" w:rsidRPr="00386E47">
        <w:rPr>
          <w:rFonts w:asciiTheme="majorHAnsi" w:eastAsia="Calibri" w:hAnsiTheme="majorHAnsi"/>
          <w:sz w:val="20"/>
          <w:szCs w:val="20"/>
          <w:lang w:val="es-ES_tradnl"/>
        </w:rPr>
        <w:t>de instrucción</w:t>
      </w:r>
      <w:r w:rsidR="00C423FB" w:rsidRPr="00386E47">
        <w:rPr>
          <w:rFonts w:asciiTheme="majorHAnsi" w:eastAsia="Calibri" w:hAnsiTheme="majorHAnsi"/>
          <w:sz w:val="20"/>
          <w:szCs w:val="20"/>
          <w:lang w:val="es-ES_tradnl"/>
        </w:rPr>
        <w:t xml:space="preserve"> </w:t>
      </w:r>
      <w:r w:rsidR="00F51009" w:rsidRPr="00386E47">
        <w:rPr>
          <w:rFonts w:asciiTheme="majorHAnsi" w:eastAsia="Calibri" w:hAnsiTheme="majorHAnsi"/>
          <w:sz w:val="20"/>
          <w:szCs w:val="20"/>
          <w:lang w:val="es-ES_tradnl"/>
        </w:rPr>
        <w:t>del atentado</w:t>
      </w:r>
      <w:r w:rsidR="00C423FB" w:rsidRPr="00386E47">
        <w:rPr>
          <w:rFonts w:asciiTheme="majorHAnsi" w:eastAsia="Calibri" w:hAnsiTheme="majorHAnsi"/>
          <w:sz w:val="20"/>
          <w:szCs w:val="20"/>
          <w:lang w:val="es-ES_tradnl"/>
        </w:rPr>
        <w:t xml:space="preserve"> se produjo</w:t>
      </w:r>
      <w:r w:rsidRPr="00386E47">
        <w:rPr>
          <w:rFonts w:asciiTheme="majorHAnsi" w:eastAsia="Calibri" w:hAnsiTheme="majorHAnsi"/>
          <w:sz w:val="20"/>
          <w:szCs w:val="20"/>
          <w:lang w:val="es-ES_tradnl"/>
        </w:rPr>
        <w:t xml:space="preserve"> un desvío de las reglas racionales </w:t>
      </w:r>
      <w:r w:rsidR="00C408A8" w:rsidRPr="00386E47">
        <w:rPr>
          <w:rFonts w:asciiTheme="majorHAnsi" w:eastAsia="Calibri" w:hAnsiTheme="majorHAnsi"/>
          <w:sz w:val="20"/>
          <w:szCs w:val="20"/>
          <w:lang w:val="es-ES_tradnl"/>
        </w:rPr>
        <w:t>que deben regir cualquier</w:t>
      </w:r>
      <w:r w:rsidRPr="00386E47">
        <w:rPr>
          <w:rFonts w:asciiTheme="majorHAnsi" w:eastAsia="Calibri" w:hAnsiTheme="majorHAnsi"/>
          <w:sz w:val="20"/>
          <w:szCs w:val="20"/>
          <w:lang w:val="es-ES_tradnl"/>
        </w:rPr>
        <w:t xml:space="preserve"> investigación criminal</w:t>
      </w:r>
      <w:r w:rsidR="00C423FB" w:rsidRPr="00386E47">
        <w:rPr>
          <w:rFonts w:asciiTheme="majorHAnsi" w:eastAsia="Calibri" w:hAnsiTheme="majorHAnsi"/>
          <w:sz w:val="20"/>
          <w:szCs w:val="20"/>
          <w:lang w:val="es-ES_tradnl"/>
        </w:rPr>
        <w:t xml:space="preserve">. </w:t>
      </w:r>
      <w:r w:rsidRPr="00386E47">
        <w:rPr>
          <w:rFonts w:asciiTheme="majorHAnsi" w:eastAsia="Calibri" w:hAnsiTheme="majorHAnsi"/>
          <w:sz w:val="20"/>
          <w:szCs w:val="20"/>
          <w:lang w:val="es-ES_tradnl"/>
        </w:rPr>
        <w:t xml:space="preserve"> </w:t>
      </w:r>
      <w:r w:rsidR="00F51009" w:rsidRPr="00386E47">
        <w:rPr>
          <w:rFonts w:asciiTheme="majorHAnsi" w:eastAsia="Calibri" w:hAnsiTheme="majorHAnsi"/>
          <w:sz w:val="20"/>
          <w:szCs w:val="20"/>
          <w:lang w:val="es-ES_tradnl"/>
        </w:rPr>
        <w:t>En efecto, los magistrad</w:t>
      </w:r>
      <w:r w:rsidR="00C408A8" w:rsidRPr="00386E47">
        <w:rPr>
          <w:rFonts w:asciiTheme="majorHAnsi" w:eastAsia="Calibri" w:hAnsiTheme="majorHAnsi"/>
          <w:sz w:val="20"/>
          <w:szCs w:val="20"/>
          <w:lang w:val="es-ES_tradnl"/>
        </w:rPr>
        <w:t xml:space="preserve">os que actuaron durante dicha etapa - </w:t>
      </w:r>
      <w:r w:rsidR="00F51009" w:rsidRPr="00386E47">
        <w:rPr>
          <w:rFonts w:asciiTheme="majorHAnsi" w:eastAsia="Calibri" w:hAnsiTheme="majorHAnsi"/>
          <w:sz w:val="20"/>
          <w:szCs w:val="20"/>
          <w:lang w:val="es-ES_tradnl"/>
        </w:rPr>
        <w:t xml:space="preserve">de forma articulada con </w:t>
      </w:r>
      <w:r w:rsidR="00C408A8" w:rsidRPr="00386E47">
        <w:rPr>
          <w:rFonts w:asciiTheme="majorHAnsi" w:eastAsia="Calibri" w:hAnsiTheme="majorHAnsi"/>
          <w:sz w:val="20"/>
          <w:szCs w:val="20"/>
          <w:lang w:val="es-ES_tradnl"/>
        </w:rPr>
        <w:t xml:space="preserve">otros actores estatales - </w:t>
      </w:r>
      <w:r w:rsidR="00F51009" w:rsidRPr="00386E47">
        <w:rPr>
          <w:rFonts w:asciiTheme="majorHAnsi" w:eastAsia="Calibri" w:hAnsiTheme="majorHAnsi"/>
          <w:sz w:val="20"/>
          <w:szCs w:val="20"/>
          <w:lang w:val="es-ES_tradnl"/>
        </w:rPr>
        <w:t xml:space="preserve">realizaron </w:t>
      </w:r>
      <w:r w:rsidR="00C408A8" w:rsidRPr="00386E47">
        <w:rPr>
          <w:rFonts w:asciiTheme="majorHAnsi" w:eastAsia="Calibri" w:hAnsiTheme="majorHAnsi"/>
          <w:sz w:val="20"/>
          <w:szCs w:val="20"/>
          <w:lang w:val="es-ES_tradnl"/>
        </w:rPr>
        <w:t>actividades al margen de la ley</w:t>
      </w:r>
      <w:r w:rsidR="00F51009" w:rsidRPr="00386E47">
        <w:rPr>
          <w:rFonts w:asciiTheme="majorHAnsi" w:eastAsia="Calibri" w:hAnsiTheme="majorHAnsi"/>
          <w:sz w:val="20"/>
          <w:szCs w:val="20"/>
          <w:lang w:val="es-ES_tradnl"/>
        </w:rPr>
        <w:t xml:space="preserve"> con el propósito de</w:t>
      </w:r>
      <w:r w:rsidR="00C408A8" w:rsidRPr="00386E47">
        <w:rPr>
          <w:rFonts w:asciiTheme="majorHAnsi" w:eastAsia="Calibri" w:hAnsiTheme="majorHAnsi"/>
          <w:sz w:val="20"/>
          <w:szCs w:val="20"/>
          <w:lang w:val="es-ES_tradnl"/>
        </w:rPr>
        <w:t xml:space="preserve"> construir y profundizar</w:t>
      </w:r>
      <w:r w:rsidR="00F51009" w:rsidRPr="00386E47">
        <w:rPr>
          <w:rFonts w:asciiTheme="majorHAnsi" w:eastAsia="Calibri" w:hAnsiTheme="majorHAnsi"/>
          <w:sz w:val="20"/>
          <w:szCs w:val="20"/>
          <w:lang w:val="es-ES_tradnl"/>
        </w:rPr>
        <w:t xml:space="preserve"> una hipótesis acusatoria sin sustento</w:t>
      </w:r>
      <w:r w:rsidR="00C408A8" w:rsidRPr="00386E47">
        <w:rPr>
          <w:rFonts w:asciiTheme="majorHAnsi" w:eastAsia="Calibri" w:hAnsiTheme="majorHAnsi"/>
          <w:sz w:val="20"/>
          <w:szCs w:val="20"/>
          <w:lang w:val="es-ES_tradnl"/>
        </w:rPr>
        <w:t xml:space="preserve"> fáctico</w:t>
      </w:r>
      <w:r w:rsidR="00F51009" w:rsidRPr="00386E47">
        <w:rPr>
          <w:rFonts w:asciiTheme="majorHAnsi" w:eastAsia="Calibri" w:hAnsiTheme="majorHAnsi"/>
          <w:sz w:val="20"/>
          <w:szCs w:val="20"/>
          <w:lang w:val="es-ES_tradnl"/>
        </w:rPr>
        <w:t xml:space="preserve">. </w:t>
      </w:r>
      <w:r w:rsidR="00C408A8" w:rsidRPr="00386E47">
        <w:rPr>
          <w:rFonts w:asciiTheme="majorHAnsi" w:eastAsia="Calibri" w:hAnsiTheme="majorHAnsi"/>
          <w:sz w:val="20"/>
          <w:szCs w:val="20"/>
          <w:lang w:val="es-ES_tradnl"/>
        </w:rPr>
        <w:t xml:space="preserve">Estas </w:t>
      </w:r>
      <w:r w:rsidR="00F51009" w:rsidRPr="00386E47">
        <w:rPr>
          <w:rFonts w:asciiTheme="majorHAnsi" w:eastAsia="Calibri" w:hAnsiTheme="majorHAnsi"/>
          <w:sz w:val="20"/>
          <w:szCs w:val="20"/>
          <w:lang w:val="es-ES_tradnl"/>
        </w:rPr>
        <w:t xml:space="preserve">acciones favorecieron </w:t>
      </w:r>
      <w:r w:rsidR="00C408A8" w:rsidRPr="00386E47">
        <w:rPr>
          <w:rFonts w:asciiTheme="majorHAnsi" w:eastAsia="Calibri" w:hAnsiTheme="majorHAnsi"/>
          <w:sz w:val="20"/>
          <w:szCs w:val="20"/>
          <w:lang w:val="es-ES_tradnl"/>
        </w:rPr>
        <w:t xml:space="preserve">en </w:t>
      </w:r>
      <w:r w:rsidR="00F51009" w:rsidRPr="00386E47">
        <w:rPr>
          <w:rFonts w:asciiTheme="majorHAnsi" w:eastAsia="Calibri" w:hAnsiTheme="majorHAnsi"/>
          <w:sz w:val="20"/>
          <w:szCs w:val="20"/>
          <w:lang w:val="es-ES_tradnl"/>
        </w:rPr>
        <w:t>forma deliberada el encubrimiento de los verdaderos responsables del atentado</w:t>
      </w:r>
      <w:r w:rsidR="00C408A8" w:rsidRPr="00386E47">
        <w:rPr>
          <w:rFonts w:asciiTheme="majorHAnsi" w:eastAsia="Calibri" w:hAnsiTheme="majorHAnsi"/>
          <w:sz w:val="20"/>
          <w:szCs w:val="20"/>
          <w:lang w:val="es-ES_tradnl"/>
        </w:rPr>
        <w:t xml:space="preserve">, perjudicaron de manera determinante el derecho de las víctimas y de la sociedad argentina de conocer la verdad de lo sucedido </w:t>
      </w:r>
      <w:r w:rsidR="00F51009" w:rsidRPr="00386E47">
        <w:rPr>
          <w:rFonts w:asciiTheme="majorHAnsi" w:eastAsia="Calibri" w:hAnsiTheme="majorHAnsi"/>
          <w:sz w:val="20"/>
          <w:szCs w:val="20"/>
          <w:lang w:val="es-ES_tradnl"/>
        </w:rPr>
        <w:t>y explican</w:t>
      </w:r>
      <w:r w:rsidR="00EB6CB8" w:rsidRPr="00386E47">
        <w:rPr>
          <w:rFonts w:asciiTheme="majorHAnsi" w:eastAsia="Calibri" w:hAnsiTheme="majorHAnsi"/>
          <w:sz w:val="20"/>
          <w:szCs w:val="20"/>
          <w:lang w:val="es-ES_tradnl"/>
        </w:rPr>
        <w:t>, en gran medida,</w:t>
      </w:r>
      <w:r w:rsidR="00F51009" w:rsidRPr="00386E47">
        <w:rPr>
          <w:rFonts w:asciiTheme="majorHAnsi" w:eastAsia="Calibri" w:hAnsiTheme="majorHAnsi"/>
          <w:sz w:val="20"/>
          <w:szCs w:val="20"/>
          <w:lang w:val="es-ES_tradnl"/>
        </w:rPr>
        <w:t xml:space="preserve"> el estado de impunidad en el que actualmente se encuentra el caso. </w:t>
      </w:r>
    </w:p>
    <w:p w14:paraId="1022E108" w14:textId="77777777" w:rsidR="00EB6CB8" w:rsidRPr="00386E47" w:rsidRDefault="00EB6CB8" w:rsidP="00EB6CB8">
      <w:pPr>
        <w:tabs>
          <w:tab w:val="left" w:pos="567"/>
        </w:tabs>
        <w:contextualSpacing/>
        <w:jc w:val="both"/>
        <w:rPr>
          <w:rFonts w:asciiTheme="majorHAnsi" w:eastAsia="Calibri" w:hAnsiTheme="majorHAnsi"/>
          <w:sz w:val="20"/>
          <w:szCs w:val="20"/>
          <w:lang w:val="es-ES_tradnl"/>
        </w:rPr>
      </w:pPr>
    </w:p>
    <w:p w14:paraId="251FAA0D" w14:textId="77777777" w:rsidR="00C408A8" w:rsidRPr="00386E47" w:rsidRDefault="00EB6CB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En este sentido, l</w:t>
      </w:r>
      <w:r w:rsidR="003D23F8" w:rsidRPr="00386E47">
        <w:rPr>
          <w:rFonts w:asciiTheme="majorHAnsi" w:eastAsia="Calibri" w:hAnsiTheme="majorHAnsi"/>
          <w:sz w:val="20"/>
          <w:szCs w:val="20"/>
          <w:lang w:val="es-ES_tradnl"/>
        </w:rPr>
        <w:t>a Comisión encuentra que</w:t>
      </w:r>
      <w:r w:rsidR="00F51009" w:rsidRPr="00386E47">
        <w:rPr>
          <w:rFonts w:asciiTheme="majorHAnsi" w:eastAsia="Calibri" w:hAnsiTheme="majorHAnsi"/>
          <w:sz w:val="20"/>
          <w:szCs w:val="20"/>
          <w:lang w:val="es-ES_tradnl"/>
        </w:rPr>
        <w:t xml:space="preserve"> la reseñada</w:t>
      </w:r>
      <w:r w:rsidR="003D23F8" w:rsidRPr="00386E47">
        <w:rPr>
          <w:rFonts w:asciiTheme="majorHAnsi" w:eastAsia="Calibri" w:hAnsiTheme="majorHAnsi"/>
          <w:sz w:val="20"/>
          <w:szCs w:val="20"/>
          <w:lang w:val="es-ES_tradnl"/>
        </w:rPr>
        <w:t xml:space="preserve"> actuación estatal</w:t>
      </w:r>
      <w:r w:rsidR="00F51009" w:rsidRPr="00386E47">
        <w:rPr>
          <w:rFonts w:asciiTheme="majorHAnsi" w:eastAsia="Calibri" w:hAnsiTheme="majorHAnsi"/>
          <w:sz w:val="20"/>
          <w:szCs w:val="20"/>
          <w:lang w:val="es-ES_tradnl"/>
        </w:rPr>
        <w:t xml:space="preserve"> </w:t>
      </w:r>
      <w:r w:rsidR="003D23F8" w:rsidRPr="00386E47">
        <w:rPr>
          <w:rFonts w:asciiTheme="majorHAnsi" w:eastAsia="Calibri" w:hAnsiTheme="majorHAnsi"/>
          <w:sz w:val="20"/>
          <w:szCs w:val="20"/>
          <w:lang w:val="es-ES_tradnl"/>
        </w:rPr>
        <w:t xml:space="preserve">no solamente </w:t>
      </w:r>
      <w:r w:rsidR="00F51009" w:rsidRPr="00386E47">
        <w:rPr>
          <w:rFonts w:asciiTheme="majorHAnsi" w:eastAsia="Calibri" w:hAnsiTheme="majorHAnsi"/>
          <w:sz w:val="20"/>
          <w:szCs w:val="20"/>
          <w:lang w:val="es-ES_tradnl"/>
        </w:rPr>
        <w:t>vulneró el</w:t>
      </w:r>
      <w:r w:rsidR="003D23F8" w:rsidRPr="00386E47">
        <w:rPr>
          <w:rFonts w:asciiTheme="majorHAnsi" w:eastAsia="Calibri" w:hAnsiTheme="majorHAnsi"/>
          <w:sz w:val="20"/>
          <w:szCs w:val="20"/>
          <w:lang w:val="es-ES_tradnl"/>
        </w:rPr>
        <w:t xml:space="preserve"> principio de debida diligencia</w:t>
      </w:r>
      <w:r w:rsidRPr="00386E47">
        <w:rPr>
          <w:rFonts w:asciiTheme="majorHAnsi" w:eastAsia="Calibri" w:hAnsiTheme="majorHAnsi"/>
          <w:sz w:val="20"/>
          <w:szCs w:val="20"/>
          <w:lang w:val="es-ES_tradnl"/>
        </w:rPr>
        <w:t xml:space="preserve"> que debe regir en las investigaciones judiciales por graves violaciones a los derechos humanos</w:t>
      </w:r>
      <w:r w:rsidR="003D23F8" w:rsidRPr="00386E47">
        <w:rPr>
          <w:rFonts w:asciiTheme="majorHAnsi" w:eastAsia="Calibri" w:hAnsiTheme="majorHAnsi"/>
          <w:sz w:val="20"/>
          <w:szCs w:val="20"/>
          <w:lang w:val="es-ES_tradnl"/>
        </w:rPr>
        <w:t xml:space="preserve">, </w:t>
      </w:r>
      <w:r w:rsidRPr="00386E47">
        <w:rPr>
          <w:rFonts w:asciiTheme="majorHAnsi" w:eastAsia="Calibri" w:hAnsiTheme="majorHAnsi"/>
          <w:sz w:val="20"/>
          <w:szCs w:val="20"/>
          <w:lang w:val="es-ES_tradnl"/>
        </w:rPr>
        <w:t xml:space="preserve">sino que </w:t>
      </w:r>
      <w:r w:rsidR="003D23F8" w:rsidRPr="00386E47">
        <w:rPr>
          <w:rFonts w:asciiTheme="majorHAnsi" w:eastAsia="Calibri" w:hAnsiTheme="majorHAnsi"/>
          <w:sz w:val="20"/>
          <w:szCs w:val="20"/>
          <w:lang w:val="es-ES_tradnl"/>
        </w:rPr>
        <w:t>también</w:t>
      </w:r>
      <w:r w:rsidRPr="00386E47">
        <w:rPr>
          <w:rFonts w:asciiTheme="majorHAnsi" w:eastAsia="Calibri" w:hAnsiTheme="majorHAnsi"/>
          <w:sz w:val="20"/>
          <w:szCs w:val="20"/>
          <w:lang w:val="es-ES_tradnl"/>
        </w:rPr>
        <w:t xml:space="preserve"> </w:t>
      </w:r>
      <w:r w:rsidR="00C408A8" w:rsidRPr="00386E47">
        <w:rPr>
          <w:rFonts w:asciiTheme="majorHAnsi" w:eastAsia="Calibri" w:hAnsiTheme="majorHAnsi"/>
          <w:sz w:val="20"/>
          <w:szCs w:val="20"/>
          <w:lang w:val="es-ES_tradnl"/>
        </w:rPr>
        <w:t xml:space="preserve">constituye un supuesto de encubrimiento deliberado </w:t>
      </w:r>
      <w:r w:rsidRPr="00386E47">
        <w:rPr>
          <w:rFonts w:asciiTheme="majorHAnsi" w:eastAsia="Calibri" w:hAnsiTheme="majorHAnsi"/>
          <w:sz w:val="20"/>
          <w:szCs w:val="20"/>
          <w:lang w:val="es-ES_tradnl"/>
        </w:rPr>
        <w:t>de la verdad histórica y la negación de la obligación estatal de esclarecer y sancionar tales hechos</w:t>
      </w:r>
      <w:r w:rsidRPr="00386E47">
        <w:rPr>
          <w:rStyle w:val="FootnoteReference"/>
          <w:rFonts w:asciiTheme="majorHAnsi" w:eastAsia="Calibri" w:hAnsiTheme="majorHAnsi"/>
          <w:sz w:val="20"/>
          <w:szCs w:val="20"/>
          <w:lang w:val="es-ES_tradnl"/>
        </w:rPr>
        <w:footnoteReference w:id="211"/>
      </w:r>
      <w:r w:rsidRPr="00386E47">
        <w:rPr>
          <w:rFonts w:asciiTheme="majorHAnsi" w:eastAsia="Calibri" w:hAnsiTheme="majorHAnsi"/>
          <w:sz w:val="20"/>
          <w:szCs w:val="20"/>
          <w:lang w:val="es-ES_tradnl"/>
        </w:rPr>
        <w:t xml:space="preserve">.  </w:t>
      </w:r>
    </w:p>
    <w:p w14:paraId="4ACB8CC3" w14:textId="77777777" w:rsidR="003D23F8" w:rsidRPr="00386E47" w:rsidRDefault="003D23F8" w:rsidP="00EB6CB8">
      <w:pPr>
        <w:tabs>
          <w:tab w:val="left" w:pos="567"/>
        </w:tabs>
        <w:contextualSpacing/>
        <w:jc w:val="both"/>
        <w:rPr>
          <w:rFonts w:asciiTheme="majorHAnsi" w:eastAsia="Calibri" w:hAnsiTheme="majorHAnsi"/>
          <w:sz w:val="20"/>
          <w:szCs w:val="20"/>
          <w:lang w:val="es-ES_tradnl"/>
        </w:rPr>
      </w:pPr>
    </w:p>
    <w:p w14:paraId="7DE3FF16" w14:textId="77777777" w:rsidR="003D23F8" w:rsidRPr="00386E47" w:rsidRDefault="003D23F8" w:rsidP="003A5860">
      <w:pPr>
        <w:numPr>
          <w:ilvl w:val="0"/>
          <w:numId w:val="55"/>
        </w:numPr>
        <w:tabs>
          <w:tab w:val="left" w:pos="567"/>
        </w:tabs>
        <w:ind w:left="0" w:firstLine="0"/>
        <w:contextualSpacing/>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En consecuencia, la Comisión concluye que el Estado argentino resulta responsable de la violación de los derechos a las garantías judiciales y a la protección judicial consagrados en los artículos 8.1 y 25 de la Convención Americana, respectivamente, en relación con el artículo 1.1. del mismo instrumento en perjuicio de las víctimas del caso. </w:t>
      </w:r>
    </w:p>
    <w:p w14:paraId="2EBDDE90" w14:textId="77777777" w:rsidR="009F70EA" w:rsidRPr="00386E47" w:rsidRDefault="009F70EA" w:rsidP="009F70EA">
      <w:pPr>
        <w:tabs>
          <w:tab w:val="left" w:pos="426"/>
        </w:tabs>
        <w:contextualSpacing/>
        <w:jc w:val="both"/>
        <w:rPr>
          <w:rFonts w:asciiTheme="majorHAnsi" w:eastAsia="Calibri" w:hAnsiTheme="majorHAnsi"/>
          <w:sz w:val="20"/>
          <w:szCs w:val="20"/>
          <w:lang w:val="es-ES_tradnl"/>
        </w:rPr>
      </w:pPr>
    </w:p>
    <w:p w14:paraId="450FFF9F" w14:textId="77777777" w:rsidR="009F70EA" w:rsidRPr="00386E47" w:rsidRDefault="002C25B5" w:rsidP="00B528BF">
      <w:pPr>
        <w:pStyle w:val="Heading4"/>
      </w:pPr>
      <w:r w:rsidRPr="00386E47">
        <w:t>Investigación</w:t>
      </w:r>
      <w:r w:rsidR="009F70EA" w:rsidRPr="00386E47">
        <w:t xml:space="preserve"> delegada por el Juzgado en lo Criminal y Correccional Federal Nro.6 en la Unidad Fiscal de Investigación al Atentado a la Sede de la AMIA</w:t>
      </w:r>
    </w:p>
    <w:p w14:paraId="11CE5147" w14:textId="77777777" w:rsidR="0010765F" w:rsidRPr="00386E47" w:rsidRDefault="0010765F" w:rsidP="003B5D03">
      <w:pPr>
        <w:pStyle w:val="NoSpacing"/>
        <w:rPr>
          <w:rFonts w:asciiTheme="majorHAnsi" w:hAnsiTheme="majorHAnsi"/>
          <w:lang w:val="es-US"/>
        </w:rPr>
      </w:pPr>
    </w:p>
    <w:p w14:paraId="3310D474" w14:textId="77777777" w:rsidR="00977D46" w:rsidRPr="00386E47" w:rsidRDefault="00977D46"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Teniendo en cuenta que</w:t>
      </w:r>
      <w:r w:rsidR="00CA38A4" w:rsidRPr="00386E47">
        <w:rPr>
          <w:rFonts w:asciiTheme="majorHAnsi" w:eastAsia="Calibri" w:hAnsiTheme="majorHAnsi"/>
          <w:sz w:val="20"/>
          <w:szCs w:val="20"/>
          <w:lang w:val="es-AR"/>
        </w:rPr>
        <w:t>,</w:t>
      </w:r>
      <w:r w:rsidRPr="00386E47">
        <w:rPr>
          <w:rFonts w:asciiTheme="majorHAnsi" w:eastAsia="Calibri" w:hAnsiTheme="majorHAnsi"/>
          <w:sz w:val="20"/>
          <w:szCs w:val="20"/>
          <w:lang w:val="es-AR"/>
        </w:rPr>
        <w:t xml:space="preserve"> conforme a lo establecido en la sección anterior, la investigación fue obstaculizada como resultado de la propia actuación estatal, la Comisión considera </w:t>
      </w:r>
      <w:r w:rsidR="006A1FC1" w:rsidRPr="00386E47">
        <w:rPr>
          <w:rFonts w:asciiTheme="majorHAnsi" w:eastAsia="Calibri" w:hAnsiTheme="majorHAnsi"/>
          <w:sz w:val="20"/>
          <w:szCs w:val="20"/>
          <w:lang w:val="es-AR"/>
        </w:rPr>
        <w:t>que existe</w:t>
      </w:r>
      <w:r w:rsidRPr="00386E47">
        <w:rPr>
          <w:rFonts w:asciiTheme="majorHAnsi" w:eastAsia="Calibri" w:hAnsiTheme="majorHAnsi"/>
          <w:sz w:val="20"/>
          <w:szCs w:val="20"/>
          <w:lang w:val="es-AR"/>
        </w:rPr>
        <w:t xml:space="preserve"> una obligación acentuada para el Estado argentino de investigar estos hechos y de</w:t>
      </w:r>
      <w:r w:rsidR="00CA38A4" w:rsidRPr="00386E47">
        <w:rPr>
          <w:rFonts w:asciiTheme="majorHAnsi" w:eastAsia="Calibri" w:hAnsiTheme="majorHAnsi"/>
          <w:sz w:val="20"/>
          <w:szCs w:val="20"/>
          <w:lang w:val="es-AR"/>
        </w:rPr>
        <w:t xml:space="preserve"> la</w:t>
      </w:r>
      <w:r w:rsidRPr="00386E47">
        <w:rPr>
          <w:rFonts w:asciiTheme="majorHAnsi" w:eastAsia="Calibri" w:hAnsiTheme="majorHAnsi"/>
          <w:sz w:val="20"/>
          <w:szCs w:val="20"/>
          <w:lang w:val="es-AR"/>
        </w:rPr>
        <w:t xml:space="preserve"> cual se deriva una doble responsabilidad. </w:t>
      </w:r>
      <w:r w:rsidR="00CA38A4" w:rsidRPr="00386E47">
        <w:rPr>
          <w:rFonts w:asciiTheme="majorHAnsi" w:eastAsia="Calibri" w:hAnsiTheme="majorHAnsi"/>
          <w:sz w:val="20"/>
          <w:szCs w:val="20"/>
          <w:lang w:val="es-AR"/>
        </w:rPr>
        <w:t xml:space="preserve">En primer </w:t>
      </w:r>
      <w:r w:rsidR="00B528BF" w:rsidRPr="00386E47">
        <w:rPr>
          <w:rFonts w:asciiTheme="majorHAnsi" w:eastAsia="Calibri" w:hAnsiTheme="majorHAnsi"/>
          <w:sz w:val="20"/>
          <w:szCs w:val="20"/>
          <w:lang w:val="es-AR"/>
        </w:rPr>
        <w:t>término, la</w:t>
      </w:r>
      <w:r w:rsidR="00CA38A4" w:rsidRPr="00386E47">
        <w:rPr>
          <w:rFonts w:asciiTheme="majorHAnsi" w:eastAsia="Calibri" w:hAnsiTheme="majorHAnsi"/>
          <w:sz w:val="20"/>
          <w:szCs w:val="20"/>
          <w:lang w:val="es-AR"/>
        </w:rPr>
        <w:t xml:space="preserve"> de </w:t>
      </w:r>
      <w:r w:rsidRPr="00386E47">
        <w:rPr>
          <w:rFonts w:asciiTheme="majorHAnsi" w:eastAsia="Calibri" w:hAnsiTheme="majorHAnsi"/>
          <w:sz w:val="20"/>
          <w:szCs w:val="20"/>
          <w:lang w:val="es-AR"/>
        </w:rPr>
        <w:t xml:space="preserve">emprender </w:t>
      </w:r>
      <w:r w:rsidR="00B528BF" w:rsidRPr="00386E47">
        <w:rPr>
          <w:rFonts w:asciiTheme="majorHAnsi" w:eastAsia="Calibri" w:hAnsiTheme="majorHAnsi"/>
          <w:sz w:val="20"/>
          <w:szCs w:val="20"/>
          <w:lang w:val="es-AR"/>
        </w:rPr>
        <w:t>seriamente</w:t>
      </w:r>
      <w:r w:rsidRPr="00386E47">
        <w:rPr>
          <w:rFonts w:asciiTheme="majorHAnsi" w:eastAsia="Calibri" w:hAnsiTheme="majorHAnsi"/>
          <w:sz w:val="20"/>
          <w:szCs w:val="20"/>
          <w:lang w:val="es-AR"/>
        </w:rPr>
        <w:t xml:space="preserve"> una investigación diligente</w:t>
      </w:r>
      <w:r w:rsidR="00CA38A4" w:rsidRPr="00386E47">
        <w:rPr>
          <w:rFonts w:asciiTheme="majorHAnsi" w:eastAsia="Calibri" w:hAnsiTheme="majorHAnsi"/>
          <w:sz w:val="20"/>
          <w:szCs w:val="20"/>
          <w:lang w:val="es-AR"/>
        </w:rPr>
        <w:t xml:space="preserve"> </w:t>
      </w:r>
      <w:r w:rsidR="00B528BF" w:rsidRPr="00386E47">
        <w:rPr>
          <w:rFonts w:asciiTheme="majorHAnsi" w:eastAsia="Calibri" w:hAnsiTheme="majorHAnsi"/>
          <w:sz w:val="20"/>
          <w:szCs w:val="20"/>
          <w:lang w:val="es-AR"/>
        </w:rPr>
        <w:t>del atentado</w:t>
      </w:r>
      <w:r w:rsidRPr="00386E47">
        <w:rPr>
          <w:rFonts w:asciiTheme="majorHAnsi" w:eastAsia="Calibri" w:hAnsiTheme="majorHAnsi"/>
          <w:sz w:val="20"/>
          <w:szCs w:val="20"/>
          <w:lang w:val="es-AR"/>
        </w:rPr>
        <w:t xml:space="preserve"> de la AMIA a efectos de esclarecer lo sucedido y sancionar a los responsables. </w:t>
      </w:r>
      <w:r w:rsidR="00CA38A4" w:rsidRPr="00386E47">
        <w:rPr>
          <w:rFonts w:asciiTheme="majorHAnsi" w:eastAsia="Calibri" w:hAnsiTheme="majorHAnsi"/>
          <w:sz w:val="20"/>
          <w:szCs w:val="20"/>
          <w:lang w:val="es-AR"/>
        </w:rPr>
        <w:t>En segundo lugar</w:t>
      </w:r>
      <w:r w:rsidRPr="00386E47">
        <w:rPr>
          <w:rFonts w:asciiTheme="majorHAnsi" w:eastAsia="Calibri" w:hAnsiTheme="majorHAnsi"/>
          <w:sz w:val="20"/>
          <w:szCs w:val="20"/>
          <w:lang w:val="es-AR"/>
        </w:rPr>
        <w:t xml:space="preserve">, la </w:t>
      </w:r>
      <w:r w:rsidR="006A1FC1" w:rsidRPr="00386E47">
        <w:rPr>
          <w:rFonts w:asciiTheme="majorHAnsi" w:eastAsia="Calibri" w:hAnsiTheme="majorHAnsi"/>
          <w:sz w:val="20"/>
          <w:szCs w:val="20"/>
          <w:lang w:val="es-AR"/>
        </w:rPr>
        <w:t>de investigar</w:t>
      </w:r>
      <w:r w:rsidRPr="00386E47">
        <w:rPr>
          <w:rFonts w:asciiTheme="majorHAnsi" w:eastAsia="Calibri" w:hAnsiTheme="majorHAnsi"/>
          <w:sz w:val="20"/>
          <w:szCs w:val="20"/>
          <w:lang w:val="es-AR"/>
        </w:rPr>
        <w:t xml:space="preserve"> con la debida diligencia, subsanar las afectaciones generadas y, en su caso, sancionar a los responsables de todas las falencias e irregularidades </w:t>
      </w:r>
      <w:r w:rsidRPr="00386E47">
        <w:rPr>
          <w:rFonts w:asciiTheme="majorHAnsi" w:eastAsia="Calibri" w:hAnsiTheme="majorHAnsi"/>
          <w:sz w:val="20"/>
          <w:szCs w:val="20"/>
          <w:lang w:val="es-AR"/>
        </w:rPr>
        <w:lastRenderedPageBreak/>
        <w:t>producidas en la investigación por el atentado que, por sus efectos, se han convertido en factores de impunidad atribuible</w:t>
      </w:r>
      <w:r w:rsidR="00EB6CB8" w:rsidRPr="00386E47">
        <w:rPr>
          <w:rFonts w:asciiTheme="majorHAnsi" w:eastAsia="Calibri" w:hAnsiTheme="majorHAnsi"/>
          <w:sz w:val="20"/>
          <w:szCs w:val="20"/>
          <w:lang w:val="es-AR"/>
        </w:rPr>
        <w:t>s</w:t>
      </w:r>
      <w:r w:rsidRPr="00386E47">
        <w:rPr>
          <w:rFonts w:asciiTheme="majorHAnsi" w:eastAsia="Calibri" w:hAnsiTheme="majorHAnsi"/>
          <w:sz w:val="20"/>
          <w:szCs w:val="20"/>
          <w:lang w:val="es-AR"/>
        </w:rPr>
        <w:t xml:space="preserve"> a la actuación de sus propios agentes.  </w:t>
      </w:r>
    </w:p>
    <w:p w14:paraId="27B340CE" w14:textId="77777777" w:rsidR="00977D46" w:rsidRPr="00386E47" w:rsidRDefault="00977D46" w:rsidP="00977D46">
      <w:pPr>
        <w:tabs>
          <w:tab w:val="left" w:pos="567"/>
        </w:tabs>
        <w:contextualSpacing/>
        <w:jc w:val="both"/>
        <w:rPr>
          <w:rFonts w:asciiTheme="majorHAnsi" w:eastAsia="Calibri" w:hAnsiTheme="majorHAnsi"/>
          <w:sz w:val="20"/>
          <w:szCs w:val="20"/>
          <w:lang w:val="es-AR"/>
        </w:rPr>
      </w:pPr>
    </w:p>
    <w:p w14:paraId="22C9F06F" w14:textId="77777777" w:rsidR="00977D46" w:rsidRPr="00386E47" w:rsidRDefault="00977D46"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En este apartado la Comisión analizará el cumplimiento de los estándares en materia de debida diligencia por parte del Estado con respecto a la investigación dirigida desde febrero de 2005 hasta la actualidad por la Unidad Fiscal de Investigaciones dedicada a las causas vinculadas con el atentado a la AMIA (UFI-AMIA). En un apartado posterior, la Comisión se pronunciará respecto de las investigaciones y procesos seguidos en relación con las posibles irregularidades y falencias de la propia investigación. </w:t>
      </w:r>
    </w:p>
    <w:p w14:paraId="3819A4BF" w14:textId="77777777" w:rsidR="00AC686F" w:rsidRPr="00386E47" w:rsidRDefault="00AC686F" w:rsidP="004B0F57">
      <w:pPr>
        <w:tabs>
          <w:tab w:val="left" w:pos="567"/>
        </w:tabs>
        <w:contextualSpacing/>
        <w:jc w:val="both"/>
        <w:rPr>
          <w:rFonts w:asciiTheme="majorHAnsi" w:eastAsia="Calibri" w:hAnsiTheme="majorHAnsi"/>
          <w:sz w:val="20"/>
          <w:szCs w:val="20"/>
          <w:lang w:val="es-AR"/>
        </w:rPr>
      </w:pPr>
    </w:p>
    <w:p w14:paraId="4AD205BC" w14:textId="77777777" w:rsidR="00AC686F" w:rsidRPr="00386E47" w:rsidRDefault="008F3277"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E</w:t>
      </w:r>
      <w:r w:rsidR="002A0011" w:rsidRPr="00386E47">
        <w:rPr>
          <w:rFonts w:asciiTheme="majorHAnsi" w:eastAsia="Calibri" w:hAnsiTheme="majorHAnsi"/>
          <w:sz w:val="20"/>
          <w:szCs w:val="20"/>
          <w:lang w:val="es-AR"/>
        </w:rPr>
        <w:t xml:space="preserve">l </w:t>
      </w:r>
      <w:r w:rsidR="009F70EA" w:rsidRPr="00386E47">
        <w:rPr>
          <w:rFonts w:asciiTheme="majorHAnsi" w:eastAsia="Calibri" w:hAnsiTheme="majorHAnsi"/>
          <w:sz w:val="20"/>
          <w:szCs w:val="20"/>
          <w:lang w:val="es-AR"/>
        </w:rPr>
        <w:t>3 de diciembre de 2003 la Cámara de Apelaciones decidió apartar al entonces Juez Juan José Galeano del conocimiento del tramo de la investigación por el atentado que aún estaba bajo su responsabilidad y de todas aquellas que resultaren conexas</w:t>
      </w:r>
      <w:r w:rsidR="009F70EA" w:rsidRPr="00386E47">
        <w:rPr>
          <w:rFonts w:asciiTheme="majorHAnsi" w:eastAsia="Calibri" w:hAnsiTheme="majorHAnsi"/>
          <w:sz w:val="22"/>
          <w:szCs w:val="22"/>
          <w:vertAlign w:val="superscript"/>
          <w:lang w:val="es-AR"/>
        </w:rPr>
        <w:footnoteReference w:id="212"/>
      </w:r>
      <w:r w:rsidR="009F70EA" w:rsidRPr="00386E47">
        <w:rPr>
          <w:rFonts w:asciiTheme="majorHAnsi" w:eastAsia="Calibri" w:hAnsiTheme="majorHAnsi"/>
          <w:sz w:val="20"/>
          <w:szCs w:val="20"/>
          <w:lang w:val="es-AR"/>
        </w:rPr>
        <w:t xml:space="preserve">. </w:t>
      </w:r>
    </w:p>
    <w:p w14:paraId="7632C8AC" w14:textId="77777777" w:rsidR="00AC686F" w:rsidRPr="00386E47" w:rsidRDefault="00AC686F" w:rsidP="004B0F57">
      <w:pPr>
        <w:tabs>
          <w:tab w:val="left" w:pos="567"/>
        </w:tabs>
        <w:contextualSpacing/>
        <w:jc w:val="both"/>
        <w:rPr>
          <w:rFonts w:asciiTheme="majorHAnsi" w:eastAsia="Calibri" w:hAnsiTheme="majorHAnsi"/>
          <w:sz w:val="20"/>
          <w:szCs w:val="20"/>
          <w:lang w:val="es-AR"/>
        </w:rPr>
      </w:pPr>
    </w:p>
    <w:p w14:paraId="15496459" w14:textId="77777777" w:rsidR="00030F8D" w:rsidRPr="00386E47" w:rsidRDefault="00AC686F"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Por consiguiente, la investigación judicial quedó </w:t>
      </w:r>
      <w:r w:rsidR="009F70EA" w:rsidRPr="00386E47">
        <w:rPr>
          <w:rFonts w:asciiTheme="majorHAnsi" w:eastAsia="Calibri" w:hAnsiTheme="majorHAnsi"/>
          <w:sz w:val="20"/>
          <w:szCs w:val="20"/>
          <w:lang w:val="es-AR"/>
        </w:rPr>
        <w:t>radicad</w:t>
      </w:r>
      <w:r w:rsidRPr="00386E47">
        <w:rPr>
          <w:rFonts w:asciiTheme="majorHAnsi" w:eastAsia="Calibri" w:hAnsiTheme="majorHAnsi"/>
          <w:sz w:val="20"/>
          <w:szCs w:val="20"/>
          <w:lang w:val="es-AR"/>
        </w:rPr>
        <w:t>a</w:t>
      </w:r>
      <w:r w:rsidR="009F70EA" w:rsidRPr="00386E47">
        <w:rPr>
          <w:rFonts w:asciiTheme="majorHAnsi" w:eastAsia="Calibri" w:hAnsiTheme="majorHAnsi"/>
          <w:sz w:val="20"/>
          <w:szCs w:val="20"/>
          <w:lang w:val="es-AR"/>
        </w:rPr>
        <w:t xml:space="preserve"> en el Juzgado Federal Nro. 6 a cargo del Juez Rodolfo Canicoba Corral. En febrero de 2005 y luego de la sen</w:t>
      </w:r>
      <w:r w:rsidR="0068449F" w:rsidRPr="00386E47">
        <w:rPr>
          <w:rFonts w:asciiTheme="majorHAnsi" w:eastAsia="Calibri" w:hAnsiTheme="majorHAnsi"/>
          <w:sz w:val="20"/>
          <w:szCs w:val="20"/>
          <w:lang w:val="es-AR"/>
        </w:rPr>
        <w:t xml:space="preserve">tencia del TOF 3 que declaró </w:t>
      </w:r>
      <w:r w:rsidR="009F70EA" w:rsidRPr="00386E47">
        <w:rPr>
          <w:rFonts w:asciiTheme="majorHAnsi" w:eastAsia="Calibri" w:hAnsiTheme="majorHAnsi"/>
          <w:sz w:val="20"/>
          <w:szCs w:val="20"/>
          <w:lang w:val="es-AR"/>
        </w:rPr>
        <w:t>nula la acusación que implicaba a los policías bonaerenses como parte de la conexión local del atentado, el Juez Canicoba Corral delegó la instrucción de toda la investigaci</w:t>
      </w:r>
      <w:r w:rsidRPr="00386E47">
        <w:rPr>
          <w:rFonts w:asciiTheme="majorHAnsi" w:eastAsia="Calibri" w:hAnsiTheme="majorHAnsi"/>
          <w:sz w:val="20"/>
          <w:szCs w:val="20"/>
          <w:lang w:val="es-AR"/>
        </w:rPr>
        <w:t xml:space="preserve">ón del caso AMIA en la UFI AMIA, dependencia que había sido </w:t>
      </w:r>
      <w:r w:rsidR="009F70EA" w:rsidRPr="00386E47">
        <w:rPr>
          <w:rFonts w:asciiTheme="majorHAnsi" w:eastAsia="Calibri" w:hAnsiTheme="majorHAnsi"/>
          <w:sz w:val="20"/>
          <w:szCs w:val="20"/>
          <w:lang w:val="es-AR"/>
        </w:rPr>
        <w:t>creada poco tiempo antes por el Procurador General de la Nación. La UFI AMIA estuvo en un primer momento dirigida por los fiscales Alberto Nisman y Marcelo Martinez Burgos y luego quedó de forma exclusiva a cargo del primero de los nombrados hasta el día de su deceso, ocurrido el 18 de enero de 2015. A partir de esa fecha y hasta el pres</w:t>
      </w:r>
      <w:r w:rsidRPr="00386E47">
        <w:rPr>
          <w:rFonts w:asciiTheme="majorHAnsi" w:eastAsia="Calibri" w:hAnsiTheme="majorHAnsi"/>
          <w:sz w:val="20"/>
          <w:szCs w:val="20"/>
          <w:lang w:val="es-AR"/>
        </w:rPr>
        <w:t>ente, la UFI AMIA se encuentra comandada</w:t>
      </w:r>
      <w:r w:rsidR="009F70EA" w:rsidRPr="00386E47">
        <w:rPr>
          <w:rFonts w:asciiTheme="majorHAnsi" w:eastAsia="Calibri" w:hAnsiTheme="majorHAnsi"/>
          <w:sz w:val="20"/>
          <w:szCs w:val="20"/>
          <w:lang w:val="es-AR"/>
        </w:rPr>
        <w:t xml:space="preserve"> por un equipo</w:t>
      </w:r>
      <w:r w:rsidRPr="00386E47">
        <w:rPr>
          <w:rFonts w:asciiTheme="majorHAnsi" w:eastAsia="Calibri" w:hAnsiTheme="majorHAnsi"/>
          <w:sz w:val="20"/>
          <w:szCs w:val="20"/>
          <w:lang w:val="es-AR"/>
        </w:rPr>
        <w:t xml:space="preserve"> colegiado</w:t>
      </w:r>
      <w:r w:rsidR="009F70EA" w:rsidRPr="00386E47">
        <w:rPr>
          <w:rFonts w:asciiTheme="majorHAnsi" w:eastAsia="Calibri" w:hAnsiTheme="majorHAnsi"/>
          <w:sz w:val="20"/>
          <w:szCs w:val="20"/>
          <w:lang w:val="es-AR"/>
        </w:rPr>
        <w:t xml:space="preserve"> de fiscales</w:t>
      </w:r>
      <w:r w:rsidR="0010765F" w:rsidRPr="00386E47">
        <w:rPr>
          <w:rFonts w:asciiTheme="majorHAnsi" w:eastAsia="Calibri" w:hAnsiTheme="majorHAnsi"/>
          <w:sz w:val="22"/>
          <w:szCs w:val="22"/>
          <w:vertAlign w:val="superscript"/>
          <w:lang w:val="es-AR"/>
        </w:rPr>
        <w:footnoteReference w:id="213"/>
      </w:r>
      <w:r w:rsidR="009F70EA" w:rsidRPr="00386E47">
        <w:rPr>
          <w:rFonts w:asciiTheme="majorHAnsi" w:eastAsia="Calibri" w:hAnsiTheme="majorHAnsi"/>
          <w:sz w:val="20"/>
          <w:szCs w:val="20"/>
          <w:lang w:val="es-AR"/>
        </w:rPr>
        <w:t xml:space="preserve">.  </w:t>
      </w:r>
    </w:p>
    <w:p w14:paraId="3B9B7988" w14:textId="77777777" w:rsidR="00030F8D" w:rsidRPr="00386E47" w:rsidRDefault="00030F8D" w:rsidP="004B0F57">
      <w:pPr>
        <w:tabs>
          <w:tab w:val="left" w:pos="567"/>
        </w:tabs>
        <w:contextualSpacing/>
        <w:jc w:val="both"/>
        <w:rPr>
          <w:rFonts w:asciiTheme="majorHAnsi" w:eastAsia="Calibri" w:hAnsiTheme="majorHAnsi"/>
          <w:sz w:val="20"/>
          <w:szCs w:val="20"/>
          <w:lang w:val="es-AR"/>
        </w:rPr>
      </w:pPr>
    </w:p>
    <w:p w14:paraId="56923005" w14:textId="77777777" w:rsidR="00A969ED"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La actividad investigativa de la UFI AMIA durante el periodo 2005 a 2015 relacionada con el esclarecimiento del atentado quedo plasmada, esencialmente, en dos dictámenes suscriptos en los años 2006 y 2009. En lo que respecta al primero de ellos, de fecha 25 de octubre de 2006, los fiscales Nisman y Martinez Burgos expusieron diversos argumentos </w:t>
      </w:r>
      <w:r w:rsidR="00A969ED" w:rsidRPr="00386E47">
        <w:rPr>
          <w:rFonts w:asciiTheme="majorHAnsi" w:eastAsia="Calibri" w:hAnsiTheme="majorHAnsi"/>
          <w:sz w:val="20"/>
          <w:szCs w:val="20"/>
          <w:lang w:val="es-AR"/>
        </w:rPr>
        <w:t xml:space="preserve">que les permitieron arribar a la conclusión que </w:t>
      </w:r>
      <w:r w:rsidR="00EB6CB8" w:rsidRPr="00386E47">
        <w:rPr>
          <w:rFonts w:asciiTheme="majorHAnsi" w:eastAsia="Calibri" w:hAnsiTheme="majorHAnsi"/>
          <w:sz w:val="20"/>
          <w:szCs w:val="20"/>
          <w:lang w:val="es-AR"/>
        </w:rPr>
        <w:t xml:space="preserve">“el </w:t>
      </w:r>
      <w:r w:rsidRPr="00386E47">
        <w:rPr>
          <w:rFonts w:asciiTheme="majorHAnsi" w:eastAsia="Calibri" w:hAnsiTheme="majorHAnsi"/>
          <w:sz w:val="20"/>
          <w:szCs w:val="20"/>
          <w:lang w:val="es-AR"/>
        </w:rPr>
        <w:t>atentado perpetrado contra la sede de la AMIA fue ejecutado por la organización terrorista libanesa Hezbollah, a instancias de las máximas autoridades del entonces gobierno de la República Islámica de Irán y con la participación, a nivel local, de funcionarios diplomáticos iraníes acreditados en nuestro país”</w:t>
      </w:r>
      <w:r w:rsidRPr="00386E47">
        <w:rPr>
          <w:rFonts w:asciiTheme="majorHAnsi" w:eastAsia="Calibri" w:hAnsiTheme="majorHAnsi"/>
          <w:sz w:val="22"/>
          <w:szCs w:val="22"/>
          <w:vertAlign w:val="superscript"/>
          <w:lang w:val="es-AR"/>
        </w:rPr>
        <w:footnoteReference w:id="214"/>
      </w:r>
      <w:r w:rsidRPr="00386E47">
        <w:rPr>
          <w:rFonts w:asciiTheme="majorHAnsi" w:eastAsia="Calibri" w:hAnsiTheme="majorHAnsi"/>
          <w:sz w:val="20"/>
          <w:szCs w:val="20"/>
          <w:lang w:val="es-AR"/>
        </w:rPr>
        <w:t xml:space="preserve">. </w:t>
      </w:r>
    </w:p>
    <w:p w14:paraId="414912F2" w14:textId="77777777" w:rsidR="00A969ED" w:rsidRPr="00386E47" w:rsidRDefault="00A969ED" w:rsidP="004B0F57">
      <w:pPr>
        <w:tabs>
          <w:tab w:val="left" w:pos="567"/>
        </w:tabs>
        <w:contextualSpacing/>
        <w:jc w:val="both"/>
        <w:rPr>
          <w:rFonts w:asciiTheme="majorHAnsi" w:eastAsia="Calibri" w:hAnsiTheme="majorHAnsi"/>
          <w:sz w:val="20"/>
          <w:szCs w:val="20"/>
          <w:lang w:val="es-AR"/>
        </w:rPr>
      </w:pPr>
    </w:p>
    <w:p w14:paraId="2B68B3AB" w14:textId="77777777" w:rsidR="00D61961" w:rsidRPr="00386E47" w:rsidRDefault="00A969ED"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En</w:t>
      </w:r>
      <w:r w:rsidR="009F70EA" w:rsidRPr="00386E47">
        <w:rPr>
          <w:rFonts w:asciiTheme="majorHAnsi" w:eastAsia="Calibri" w:hAnsiTheme="majorHAnsi"/>
          <w:sz w:val="20"/>
          <w:szCs w:val="20"/>
          <w:lang w:val="es-AR"/>
        </w:rPr>
        <w:t xml:space="preserve"> el mismo dictamen de octubre de 2006 los fiscales aseguraron que la camioneta </w:t>
      </w:r>
      <w:r w:rsidRPr="00386E47">
        <w:rPr>
          <w:rFonts w:asciiTheme="majorHAnsi" w:eastAsia="Calibri" w:hAnsiTheme="majorHAnsi"/>
          <w:sz w:val="20"/>
          <w:szCs w:val="20"/>
          <w:lang w:val="es-AR"/>
        </w:rPr>
        <w:t xml:space="preserve">Renault </w:t>
      </w:r>
      <w:r w:rsidR="009F70EA" w:rsidRPr="00386E47">
        <w:rPr>
          <w:rFonts w:asciiTheme="majorHAnsi" w:eastAsia="Calibri" w:hAnsiTheme="majorHAnsi"/>
          <w:sz w:val="20"/>
          <w:szCs w:val="20"/>
          <w:lang w:val="es-AR"/>
        </w:rPr>
        <w:t>Trafic cargada de explosivos que estalló en el edificio de la AMIA fue conducida por un terrorista suicida militante del Hezbollah de nacionalidad libanesa llamado Ibrahim Hussein Berro</w:t>
      </w:r>
      <w:r w:rsidR="009F70EA" w:rsidRPr="00386E47">
        <w:rPr>
          <w:rFonts w:asciiTheme="majorHAnsi" w:eastAsia="Calibri" w:hAnsiTheme="majorHAnsi"/>
          <w:sz w:val="20"/>
          <w:szCs w:val="20"/>
          <w:vertAlign w:val="superscript"/>
          <w:lang w:val="es-AR"/>
        </w:rPr>
        <w:footnoteReference w:id="215"/>
      </w:r>
      <w:r w:rsidR="00397D76" w:rsidRPr="00386E47">
        <w:rPr>
          <w:rFonts w:asciiTheme="majorHAnsi" w:eastAsia="Calibri" w:hAnsiTheme="majorHAnsi"/>
          <w:sz w:val="20"/>
          <w:szCs w:val="20"/>
          <w:lang w:val="es-AR"/>
        </w:rPr>
        <w:t xml:space="preserve">, quien </w:t>
      </w:r>
      <w:r w:rsidR="009F70EA" w:rsidRPr="00386E47">
        <w:rPr>
          <w:rFonts w:asciiTheme="majorHAnsi" w:eastAsia="Calibri" w:hAnsiTheme="majorHAnsi"/>
          <w:sz w:val="20"/>
          <w:szCs w:val="20"/>
          <w:lang w:val="es-AR"/>
        </w:rPr>
        <w:t xml:space="preserve">habría sido reclutado por Hezbollah y posteriormente trasladado a la </w:t>
      </w:r>
      <w:r w:rsidR="00D61961" w:rsidRPr="00386E47">
        <w:rPr>
          <w:rFonts w:asciiTheme="majorHAnsi" w:eastAsia="Calibri" w:hAnsiTheme="majorHAnsi"/>
          <w:sz w:val="20"/>
          <w:szCs w:val="20"/>
          <w:lang w:val="es-AR"/>
        </w:rPr>
        <w:t>región de la</w:t>
      </w:r>
      <w:r w:rsidR="009F70EA" w:rsidRPr="00386E47">
        <w:rPr>
          <w:rFonts w:asciiTheme="majorHAnsi" w:eastAsia="Calibri" w:hAnsiTheme="majorHAnsi"/>
          <w:sz w:val="20"/>
          <w:szCs w:val="20"/>
          <w:lang w:val="es-AR"/>
        </w:rPr>
        <w:t xml:space="preserve"> Triple Frontera entre Argentina, Paraguay y Brasil, desde donde habría ingresado clandestinamente al territorio argentino con la ayuda de simpatizantes de esa organización </w:t>
      </w:r>
      <w:r w:rsidR="00D61961" w:rsidRPr="00386E47">
        <w:rPr>
          <w:rFonts w:asciiTheme="majorHAnsi" w:eastAsia="Calibri" w:hAnsiTheme="majorHAnsi"/>
          <w:sz w:val="20"/>
          <w:szCs w:val="20"/>
          <w:lang w:val="es-AR"/>
        </w:rPr>
        <w:t>que residían en esa zona</w:t>
      </w:r>
      <w:r w:rsidR="009F70EA" w:rsidRPr="00386E47">
        <w:rPr>
          <w:rFonts w:asciiTheme="majorHAnsi" w:eastAsia="Calibri" w:hAnsiTheme="majorHAnsi"/>
          <w:sz w:val="20"/>
          <w:szCs w:val="20"/>
          <w:vertAlign w:val="superscript"/>
          <w:lang w:val="es-AR"/>
        </w:rPr>
        <w:footnoteReference w:id="216"/>
      </w:r>
      <w:r w:rsidR="009F70EA" w:rsidRPr="00386E47">
        <w:rPr>
          <w:rFonts w:asciiTheme="majorHAnsi" w:eastAsia="Calibri" w:hAnsiTheme="majorHAnsi"/>
          <w:sz w:val="20"/>
          <w:szCs w:val="20"/>
          <w:lang w:val="es-AR"/>
        </w:rPr>
        <w:t xml:space="preserve">. </w:t>
      </w:r>
    </w:p>
    <w:p w14:paraId="6AC17438" w14:textId="77777777" w:rsidR="00D61961" w:rsidRPr="00386E47" w:rsidRDefault="00D61961" w:rsidP="004B0F57">
      <w:pPr>
        <w:tabs>
          <w:tab w:val="left" w:pos="567"/>
        </w:tabs>
        <w:contextualSpacing/>
        <w:jc w:val="both"/>
        <w:rPr>
          <w:rFonts w:asciiTheme="majorHAnsi" w:eastAsia="Calibri" w:hAnsiTheme="majorHAnsi"/>
          <w:sz w:val="20"/>
          <w:szCs w:val="20"/>
          <w:lang w:val="es-AR"/>
        </w:rPr>
      </w:pPr>
    </w:p>
    <w:p w14:paraId="1A948507" w14:textId="77777777" w:rsidR="00370440" w:rsidRPr="00386E47" w:rsidRDefault="00D61961"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Por consiguiente</w:t>
      </w:r>
      <w:r w:rsidR="009F70EA" w:rsidRPr="00386E47">
        <w:rPr>
          <w:rFonts w:asciiTheme="majorHAnsi" w:eastAsia="Calibri" w:hAnsiTheme="majorHAnsi"/>
          <w:sz w:val="20"/>
          <w:szCs w:val="20"/>
          <w:lang w:val="es-AR"/>
        </w:rPr>
        <w:t>, los fiscales solicitaron al juez Canicoba Corral que</w:t>
      </w:r>
      <w:r w:rsidRPr="00386E47">
        <w:rPr>
          <w:rFonts w:asciiTheme="majorHAnsi" w:eastAsia="Calibri" w:hAnsiTheme="majorHAnsi"/>
          <w:sz w:val="20"/>
          <w:szCs w:val="20"/>
          <w:lang w:val="es-AR"/>
        </w:rPr>
        <w:t xml:space="preserve"> ordene la</w:t>
      </w:r>
      <w:r w:rsidR="009F70EA" w:rsidRPr="00386E47">
        <w:rPr>
          <w:rFonts w:asciiTheme="majorHAnsi" w:eastAsia="Calibri" w:hAnsiTheme="majorHAnsi"/>
          <w:sz w:val="20"/>
          <w:szCs w:val="20"/>
          <w:lang w:val="es-AR"/>
        </w:rPr>
        <w:t xml:space="preserve"> captura </w:t>
      </w:r>
      <w:r w:rsidRPr="00386E47">
        <w:rPr>
          <w:rFonts w:asciiTheme="majorHAnsi" w:eastAsia="Calibri" w:hAnsiTheme="majorHAnsi"/>
          <w:sz w:val="20"/>
          <w:szCs w:val="20"/>
          <w:lang w:val="es-AR"/>
        </w:rPr>
        <w:t>de un</w:t>
      </w:r>
      <w:r w:rsidR="009F70EA" w:rsidRPr="00386E47">
        <w:rPr>
          <w:rFonts w:asciiTheme="majorHAnsi" w:eastAsia="Calibri" w:hAnsiTheme="majorHAnsi"/>
          <w:sz w:val="20"/>
          <w:szCs w:val="20"/>
          <w:lang w:val="es-AR"/>
        </w:rPr>
        <w:t xml:space="preserve"> grupo de funcionarios y ex funcionarios públicos de la República Islámica de Irán y</w:t>
      </w:r>
      <w:r w:rsidRPr="00386E47">
        <w:rPr>
          <w:rFonts w:asciiTheme="majorHAnsi" w:eastAsia="Calibri" w:hAnsiTheme="majorHAnsi"/>
          <w:sz w:val="20"/>
          <w:szCs w:val="20"/>
          <w:lang w:val="es-AR"/>
        </w:rPr>
        <w:t xml:space="preserve"> de</w:t>
      </w:r>
      <w:r w:rsidR="009F70EA" w:rsidRPr="00386E47">
        <w:rPr>
          <w:rFonts w:asciiTheme="majorHAnsi" w:eastAsia="Calibri" w:hAnsiTheme="majorHAnsi"/>
          <w:sz w:val="20"/>
          <w:szCs w:val="20"/>
          <w:lang w:val="es-AR"/>
        </w:rPr>
        <w:t xml:space="preserve"> miembros del Hezbollah </w:t>
      </w:r>
      <w:r w:rsidRPr="00386E47">
        <w:rPr>
          <w:rFonts w:asciiTheme="majorHAnsi" w:eastAsia="Calibri" w:hAnsiTheme="majorHAnsi"/>
          <w:sz w:val="20"/>
          <w:szCs w:val="20"/>
          <w:lang w:val="es-AR"/>
        </w:rPr>
        <w:t xml:space="preserve">a </w:t>
      </w:r>
      <w:r w:rsidR="00190921" w:rsidRPr="00386E47">
        <w:rPr>
          <w:rFonts w:asciiTheme="majorHAnsi" w:eastAsia="Calibri" w:hAnsiTheme="majorHAnsi"/>
          <w:sz w:val="20"/>
          <w:szCs w:val="20"/>
          <w:lang w:val="es-AR"/>
        </w:rPr>
        <w:t>efectos de</w:t>
      </w:r>
      <w:r w:rsidR="009F70EA" w:rsidRPr="00386E47">
        <w:rPr>
          <w:rFonts w:asciiTheme="majorHAnsi" w:eastAsia="Calibri" w:hAnsiTheme="majorHAnsi"/>
          <w:sz w:val="20"/>
          <w:szCs w:val="20"/>
          <w:lang w:val="es-AR"/>
        </w:rPr>
        <w:t xml:space="preserve"> que sean escuchados en declaración indagatoria, conforme las normas </w:t>
      </w:r>
      <w:r w:rsidR="00C80AA5" w:rsidRPr="00386E47">
        <w:rPr>
          <w:rFonts w:asciiTheme="majorHAnsi" w:eastAsia="Calibri" w:hAnsiTheme="majorHAnsi"/>
          <w:sz w:val="20"/>
          <w:szCs w:val="20"/>
          <w:lang w:val="es-AR"/>
        </w:rPr>
        <w:t>procesales penales argentinas</w:t>
      </w:r>
      <w:r w:rsidR="009F70EA" w:rsidRPr="00386E47">
        <w:rPr>
          <w:rFonts w:asciiTheme="majorHAnsi" w:eastAsia="Calibri" w:hAnsiTheme="majorHAnsi"/>
          <w:sz w:val="20"/>
          <w:szCs w:val="20"/>
          <w:lang w:val="es-AR"/>
        </w:rPr>
        <w:t xml:space="preserve">. En noviembre de 2007, </w:t>
      </w:r>
      <w:r w:rsidRPr="00386E47">
        <w:rPr>
          <w:rFonts w:asciiTheme="majorHAnsi" w:eastAsia="Calibri" w:hAnsiTheme="majorHAnsi"/>
          <w:sz w:val="20"/>
          <w:szCs w:val="20"/>
          <w:lang w:val="es-AR"/>
        </w:rPr>
        <w:t xml:space="preserve">y </w:t>
      </w:r>
      <w:r w:rsidR="009F70EA" w:rsidRPr="00386E47">
        <w:rPr>
          <w:rFonts w:asciiTheme="majorHAnsi" w:eastAsia="Calibri" w:hAnsiTheme="majorHAnsi"/>
          <w:sz w:val="20"/>
          <w:szCs w:val="20"/>
          <w:lang w:val="es-AR"/>
        </w:rPr>
        <w:t>ante la ausencia de cooperación judicial por parte de los estados en cuyo territorio se presumen que esta</w:t>
      </w:r>
      <w:r w:rsidR="00190921" w:rsidRPr="00386E47">
        <w:rPr>
          <w:rFonts w:asciiTheme="majorHAnsi" w:eastAsia="Calibri" w:hAnsiTheme="majorHAnsi"/>
          <w:sz w:val="20"/>
          <w:szCs w:val="20"/>
          <w:lang w:val="es-AR"/>
        </w:rPr>
        <w:t xml:space="preserve">rían residiendo los acusados, </w:t>
      </w:r>
      <w:r w:rsidR="009F70EA" w:rsidRPr="00386E47">
        <w:rPr>
          <w:rFonts w:asciiTheme="majorHAnsi" w:eastAsia="Calibri" w:hAnsiTheme="majorHAnsi"/>
          <w:sz w:val="20"/>
          <w:szCs w:val="20"/>
          <w:lang w:val="es-AR"/>
        </w:rPr>
        <w:t>INTERPOL emitió una notificación roja</w:t>
      </w:r>
      <w:r w:rsidR="00190921" w:rsidRPr="00386E47">
        <w:rPr>
          <w:rFonts w:asciiTheme="majorHAnsi" w:eastAsia="Calibri" w:hAnsiTheme="majorHAnsi"/>
          <w:sz w:val="20"/>
          <w:szCs w:val="20"/>
          <w:lang w:val="es-AR"/>
        </w:rPr>
        <w:t xml:space="preserve"> con</w:t>
      </w:r>
      <w:r w:rsidR="009F70EA" w:rsidRPr="00386E47">
        <w:rPr>
          <w:rFonts w:asciiTheme="majorHAnsi" w:eastAsia="Calibri" w:hAnsiTheme="majorHAnsi"/>
          <w:sz w:val="20"/>
          <w:szCs w:val="20"/>
          <w:lang w:val="es-AR"/>
        </w:rPr>
        <w:t xml:space="preserve"> respecto </w:t>
      </w:r>
      <w:r w:rsidR="00190921" w:rsidRPr="00386E47">
        <w:rPr>
          <w:rFonts w:asciiTheme="majorHAnsi" w:eastAsia="Calibri" w:hAnsiTheme="majorHAnsi"/>
          <w:sz w:val="20"/>
          <w:szCs w:val="20"/>
          <w:lang w:val="es-AR"/>
        </w:rPr>
        <w:t xml:space="preserve">a </w:t>
      </w:r>
      <w:r w:rsidR="009F70EA" w:rsidRPr="00386E47">
        <w:rPr>
          <w:rFonts w:asciiTheme="majorHAnsi" w:eastAsia="Calibri" w:hAnsiTheme="majorHAnsi"/>
          <w:sz w:val="20"/>
          <w:szCs w:val="20"/>
          <w:lang w:val="es-AR"/>
        </w:rPr>
        <w:t>6 de 8 de ellos</w:t>
      </w:r>
      <w:r w:rsidR="00190921" w:rsidRPr="00386E47">
        <w:rPr>
          <w:rStyle w:val="FootnoteReference"/>
          <w:rFonts w:asciiTheme="majorHAnsi" w:eastAsia="Calibri" w:hAnsiTheme="majorHAnsi"/>
          <w:sz w:val="20"/>
          <w:szCs w:val="20"/>
          <w:lang w:val="es-AR"/>
        </w:rPr>
        <w:footnoteReference w:id="217"/>
      </w:r>
      <w:r w:rsidR="00370440" w:rsidRPr="00386E47">
        <w:rPr>
          <w:rFonts w:asciiTheme="majorHAnsi" w:eastAsia="Calibri" w:hAnsiTheme="majorHAnsi"/>
          <w:sz w:val="20"/>
          <w:szCs w:val="20"/>
          <w:lang w:val="es-AR"/>
        </w:rPr>
        <w:t xml:space="preserve">. </w:t>
      </w:r>
      <w:r w:rsidR="009F70EA" w:rsidRPr="00386E47">
        <w:rPr>
          <w:rFonts w:asciiTheme="majorHAnsi" w:eastAsia="Calibri" w:hAnsiTheme="majorHAnsi"/>
          <w:sz w:val="20"/>
          <w:szCs w:val="20"/>
          <w:lang w:val="es-AR"/>
        </w:rPr>
        <w:t>A la fecha de aprobación de este informe, las notificaciones rojas permanecían vigentes, salvo la correspondiente a un acusado</w:t>
      </w:r>
      <w:r w:rsidR="00190921" w:rsidRPr="00386E47">
        <w:rPr>
          <w:rFonts w:asciiTheme="majorHAnsi" w:eastAsia="Calibri" w:hAnsiTheme="majorHAnsi"/>
          <w:sz w:val="20"/>
          <w:szCs w:val="20"/>
          <w:lang w:val="es-AR"/>
        </w:rPr>
        <w:t xml:space="preserve"> de nacionalidad libanesa</w:t>
      </w:r>
      <w:r w:rsidR="009F70EA" w:rsidRPr="00386E47">
        <w:rPr>
          <w:rFonts w:asciiTheme="majorHAnsi" w:eastAsia="Calibri" w:hAnsiTheme="majorHAnsi"/>
          <w:sz w:val="20"/>
          <w:szCs w:val="20"/>
          <w:lang w:val="es-AR"/>
        </w:rPr>
        <w:t xml:space="preserve"> cuyo fallecimiento fue verificado en el año 2008</w:t>
      </w:r>
      <w:r w:rsidR="00190921" w:rsidRPr="00386E47">
        <w:rPr>
          <w:rStyle w:val="FootnoteReference"/>
          <w:rFonts w:asciiTheme="majorHAnsi" w:eastAsia="Calibri" w:hAnsiTheme="majorHAnsi"/>
          <w:sz w:val="20"/>
          <w:szCs w:val="20"/>
          <w:lang w:val="es-AR"/>
        </w:rPr>
        <w:footnoteReference w:id="218"/>
      </w:r>
    </w:p>
    <w:p w14:paraId="4EC01A9C" w14:textId="77777777" w:rsidR="00370440" w:rsidRPr="00386E47" w:rsidRDefault="00370440" w:rsidP="004B0F57">
      <w:pPr>
        <w:tabs>
          <w:tab w:val="left" w:pos="567"/>
        </w:tabs>
        <w:contextualSpacing/>
        <w:jc w:val="both"/>
        <w:rPr>
          <w:rFonts w:asciiTheme="majorHAnsi" w:eastAsia="Calibri" w:hAnsiTheme="majorHAnsi"/>
          <w:sz w:val="20"/>
          <w:szCs w:val="20"/>
          <w:lang w:val="es-AR"/>
        </w:rPr>
      </w:pPr>
    </w:p>
    <w:p w14:paraId="3AC9ADEF" w14:textId="77777777" w:rsidR="00DA6390" w:rsidRPr="00386E47" w:rsidRDefault="00497058"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El segundo dictamen de la UFI </w:t>
      </w:r>
      <w:r w:rsidR="009F70EA" w:rsidRPr="00386E47">
        <w:rPr>
          <w:rFonts w:asciiTheme="majorHAnsi" w:eastAsia="Calibri" w:hAnsiTheme="majorHAnsi"/>
          <w:sz w:val="20"/>
          <w:szCs w:val="20"/>
          <w:lang w:val="es-AR"/>
        </w:rPr>
        <w:t xml:space="preserve">AMIA, de fecha 20 de mayo de 2009, se concentró en formular una acusación contra un individuo llamado Samuel Salman El Reda. Esta persona, a criterio de </w:t>
      </w:r>
      <w:r w:rsidR="003173A4" w:rsidRPr="00386E47">
        <w:rPr>
          <w:rFonts w:asciiTheme="majorHAnsi" w:eastAsia="Calibri" w:hAnsiTheme="majorHAnsi"/>
          <w:sz w:val="20"/>
          <w:szCs w:val="20"/>
          <w:lang w:val="es-AR"/>
        </w:rPr>
        <w:t xml:space="preserve">la fiscalía, habría sido quien </w:t>
      </w:r>
      <w:r w:rsidR="009F70EA" w:rsidRPr="00386E47">
        <w:rPr>
          <w:rFonts w:asciiTheme="majorHAnsi" w:eastAsia="Calibri" w:hAnsiTheme="majorHAnsi"/>
          <w:sz w:val="20"/>
          <w:szCs w:val="20"/>
          <w:lang w:val="es-AR"/>
        </w:rPr>
        <w:t>desde su lugar de residencia e</w:t>
      </w:r>
      <w:r w:rsidR="003173A4" w:rsidRPr="00386E47">
        <w:rPr>
          <w:rFonts w:asciiTheme="majorHAnsi" w:eastAsia="Calibri" w:hAnsiTheme="majorHAnsi"/>
          <w:sz w:val="20"/>
          <w:szCs w:val="20"/>
          <w:lang w:val="es-AR"/>
        </w:rPr>
        <w:t>n la zona de la triple frontera</w:t>
      </w:r>
      <w:r w:rsidR="009F70EA" w:rsidRPr="00386E47">
        <w:rPr>
          <w:rFonts w:asciiTheme="majorHAnsi" w:eastAsia="Calibri" w:hAnsiTheme="majorHAnsi"/>
          <w:sz w:val="20"/>
          <w:szCs w:val="20"/>
          <w:lang w:val="es-AR"/>
        </w:rPr>
        <w:t xml:space="preserve"> “coordinó la llegada y la partida, las operaciones de logística y las demás actividades desplegadas por el grupo operativo encargado de ejecutar la fase final del atentado”</w:t>
      </w:r>
      <w:r w:rsidR="009F70EA" w:rsidRPr="00386E47">
        <w:rPr>
          <w:rStyle w:val="FootnoteReference"/>
          <w:rFonts w:asciiTheme="majorHAnsi" w:hAnsiTheme="majorHAnsi"/>
          <w:sz w:val="20"/>
          <w:szCs w:val="20"/>
          <w:lang w:val="es-AR"/>
        </w:rPr>
        <w:footnoteReference w:id="219"/>
      </w:r>
      <w:r w:rsidR="00370440" w:rsidRPr="00386E47">
        <w:rPr>
          <w:rFonts w:asciiTheme="majorHAnsi" w:eastAsia="Calibri" w:hAnsiTheme="majorHAnsi"/>
          <w:sz w:val="20"/>
          <w:szCs w:val="20"/>
          <w:lang w:val="es-AR"/>
        </w:rPr>
        <w:t>. El juez interviniente dictó</w:t>
      </w:r>
      <w:r w:rsidR="009F70EA" w:rsidRPr="00386E47">
        <w:rPr>
          <w:rFonts w:asciiTheme="majorHAnsi" w:eastAsia="Calibri" w:hAnsiTheme="majorHAnsi"/>
          <w:sz w:val="20"/>
          <w:szCs w:val="20"/>
          <w:lang w:val="es-AR"/>
        </w:rPr>
        <w:t xml:space="preserve"> orden de captura internacional e INTERPOL emitió una alerta roja que </w:t>
      </w:r>
      <w:r w:rsidR="00370440" w:rsidRPr="00386E47">
        <w:rPr>
          <w:rFonts w:asciiTheme="majorHAnsi" w:eastAsia="Calibri" w:hAnsiTheme="majorHAnsi"/>
          <w:sz w:val="20"/>
          <w:szCs w:val="20"/>
          <w:lang w:val="es-AR"/>
        </w:rPr>
        <w:t xml:space="preserve">también </w:t>
      </w:r>
      <w:r w:rsidR="009F70EA" w:rsidRPr="00386E47">
        <w:rPr>
          <w:rFonts w:asciiTheme="majorHAnsi" w:eastAsia="Calibri" w:hAnsiTheme="majorHAnsi"/>
          <w:sz w:val="20"/>
          <w:szCs w:val="20"/>
          <w:lang w:val="es-AR"/>
        </w:rPr>
        <w:t>continúa vigente en la actualidad</w:t>
      </w:r>
      <w:r w:rsidR="00370440" w:rsidRPr="00386E47">
        <w:rPr>
          <w:rStyle w:val="FootnoteReference"/>
          <w:rFonts w:asciiTheme="majorHAnsi" w:eastAsia="Calibri" w:hAnsiTheme="majorHAnsi"/>
          <w:sz w:val="20"/>
          <w:szCs w:val="20"/>
          <w:lang w:val="es-AR"/>
        </w:rPr>
        <w:footnoteReference w:id="220"/>
      </w:r>
      <w:r w:rsidR="00370440" w:rsidRPr="00386E47">
        <w:rPr>
          <w:rFonts w:asciiTheme="majorHAnsi" w:eastAsia="Calibri" w:hAnsiTheme="majorHAnsi"/>
          <w:sz w:val="20"/>
          <w:szCs w:val="20"/>
          <w:lang w:val="es-AR"/>
        </w:rPr>
        <w:t xml:space="preserve">. </w:t>
      </w:r>
    </w:p>
    <w:p w14:paraId="66228CCD" w14:textId="77777777" w:rsidR="00DA6390" w:rsidRPr="00386E47" w:rsidRDefault="00DA6390" w:rsidP="004B0F57">
      <w:pPr>
        <w:tabs>
          <w:tab w:val="left" w:pos="567"/>
        </w:tabs>
        <w:contextualSpacing/>
        <w:jc w:val="both"/>
        <w:rPr>
          <w:rFonts w:asciiTheme="majorHAnsi" w:eastAsia="Calibri" w:hAnsiTheme="majorHAnsi"/>
          <w:sz w:val="20"/>
          <w:szCs w:val="20"/>
          <w:lang w:val="es-AR"/>
        </w:rPr>
      </w:pPr>
    </w:p>
    <w:p w14:paraId="568092A7" w14:textId="77777777" w:rsidR="00DA6390"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A partir de enero de 2015, el equipo de fiscales que asumió la titularidad de la UFI AMIA emprendió diversas medidas, difundidas a los fami</w:t>
      </w:r>
      <w:r w:rsidR="00DA6390" w:rsidRPr="00386E47">
        <w:rPr>
          <w:rFonts w:asciiTheme="majorHAnsi" w:eastAsia="Calibri" w:hAnsiTheme="majorHAnsi"/>
          <w:sz w:val="20"/>
          <w:szCs w:val="20"/>
          <w:lang w:val="es-AR"/>
        </w:rPr>
        <w:t>liares y a la opinión pública a través de</w:t>
      </w:r>
      <w:r w:rsidRPr="00386E47">
        <w:rPr>
          <w:rFonts w:asciiTheme="majorHAnsi" w:eastAsia="Calibri" w:hAnsiTheme="majorHAnsi"/>
          <w:sz w:val="20"/>
          <w:szCs w:val="20"/>
          <w:lang w:val="es-AR"/>
        </w:rPr>
        <w:t xml:space="preserve"> una serie de informes de gestión semestrales. De acuerdo con </w:t>
      </w:r>
      <w:r w:rsidR="00DA6390" w:rsidRPr="00386E47">
        <w:rPr>
          <w:rFonts w:asciiTheme="majorHAnsi" w:eastAsia="Calibri" w:hAnsiTheme="majorHAnsi"/>
          <w:sz w:val="20"/>
          <w:szCs w:val="20"/>
          <w:lang w:val="es-AR"/>
        </w:rPr>
        <w:t>estos informes</w:t>
      </w:r>
      <w:r w:rsidRPr="00386E47">
        <w:rPr>
          <w:rFonts w:asciiTheme="majorHAnsi" w:eastAsia="Calibri" w:hAnsiTheme="majorHAnsi"/>
          <w:sz w:val="20"/>
          <w:szCs w:val="20"/>
          <w:lang w:val="es-AR"/>
        </w:rPr>
        <w:t>, la UFI AMIA se concentró en la tarea de sostener y consolidar la hipótesis acusatoria plasmada en los dictámenes de 2006 y 200</w:t>
      </w:r>
      <w:r w:rsidR="00AC0549" w:rsidRPr="00386E47">
        <w:rPr>
          <w:rFonts w:asciiTheme="majorHAnsi" w:eastAsia="Calibri" w:hAnsiTheme="majorHAnsi"/>
          <w:sz w:val="20"/>
          <w:szCs w:val="20"/>
          <w:lang w:val="es-AR"/>
        </w:rPr>
        <w:t>9</w:t>
      </w:r>
      <w:r w:rsidRPr="00386E47">
        <w:rPr>
          <w:rFonts w:asciiTheme="majorHAnsi" w:eastAsia="Calibri" w:hAnsiTheme="majorHAnsi"/>
          <w:sz w:val="20"/>
          <w:szCs w:val="20"/>
          <w:lang w:val="es-AR"/>
        </w:rPr>
        <w:t>, sin desechar “la tramitación de otras líneas no necesariamente consistentes con esa tesis”</w:t>
      </w:r>
      <w:r w:rsidRPr="00386E47">
        <w:rPr>
          <w:rStyle w:val="FootnoteReference"/>
          <w:rFonts w:asciiTheme="majorHAnsi" w:hAnsiTheme="majorHAnsi"/>
          <w:sz w:val="20"/>
          <w:szCs w:val="20"/>
          <w:lang w:val="es-AR"/>
        </w:rPr>
        <w:footnoteReference w:id="221"/>
      </w:r>
      <w:r w:rsidR="00CE50A8" w:rsidRPr="00386E47">
        <w:rPr>
          <w:rFonts w:asciiTheme="majorHAnsi" w:hAnsiTheme="majorHAnsi"/>
          <w:sz w:val="20"/>
          <w:szCs w:val="20"/>
          <w:lang w:val="es-AR"/>
        </w:rPr>
        <w:t>.</w:t>
      </w:r>
    </w:p>
    <w:p w14:paraId="1D86E604" w14:textId="77777777" w:rsidR="00DA6390" w:rsidRPr="00386E47" w:rsidRDefault="00DA6390" w:rsidP="004B0F57">
      <w:pPr>
        <w:tabs>
          <w:tab w:val="left" w:pos="567"/>
        </w:tabs>
        <w:contextualSpacing/>
        <w:jc w:val="both"/>
        <w:rPr>
          <w:rFonts w:asciiTheme="majorHAnsi" w:eastAsia="Calibri" w:hAnsiTheme="majorHAnsi"/>
          <w:sz w:val="20"/>
          <w:szCs w:val="20"/>
          <w:lang w:val="es-AR"/>
        </w:rPr>
      </w:pPr>
    </w:p>
    <w:p w14:paraId="5B32D6A8" w14:textId="77777777" w:rsidR="001278E1"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 </w:t>
      </w:r>
      <w:r w:rsidR="00736DDE" w:rsidRPr="00386E47">
        <w:rPr>
          <w:rFonts w:asciiTheme="majorHAnsi" w:eastAsia="Calibri" w:hAnsiTheme="majorHAnsi"/>
          <w:sz w:val="20"/>
          <w:szCs w:val="20"/>
          <w:lang w:val="es-AR"/>
        </w:rPr>
        <w:t>L</w:t>
      </w:r>
      <w:r w:rsidRPr="00386E47">
        <w:rPr>
          <w:rFonts w:asciiTheme="majorHAnsi" w:eastAsia="Calibri" w:hAnsiTheme="majorHAnsi"/>
          <w:sz w:val="20"/>
          <w:szCs w:val="20"/>
          <w:lang w:val="es-AR"/>
        </w:rPr>
        <w:t xml:space="preserve">a UFI AMIA informó en julio de 2016 que parte de sus esfuerzos fueron centrados en la verificación genética de la identidad de Ibrahim Hussein Berro. Los fiscales señalaron que para tales fines </w:t>
      </w:r>
      <w:r w:rsidR="00DA6390" w:rsidRPr="00386E47">
        <w:rPr>
          <w:rFonts w:asciiTheme="majorHAnsi" w:eastAsia="Calibri" w:hAnsiTheme="majorHAnsi"/>
          <w:sz w:val="20"/>
          <w:szCs w:val="20"/>
          <w:lang w:val="es-AR"/>
        </w:rPr>
        <w:t xml:space="preserve">fue </w:t>
      </w:r>
      <w:r w:rsidRPr="00386E47">
        <w:rPr>
          <w:rFonts w:asciiTheme="majorHAnsi" w:eastAsia="Calibri" w:hAnsiTheme="majorHAnsi"/>
          <w:sz w:val="20"/>
          <w:szCs w:val="20"/>
          <w:lang w:val="es-AR"/>
        </w:rPr>
        <w:t>necesario in</w:t>
      </w:r>
      <w:r w:rsidR="00DA6390" w:rsidRPr="00386E47">
        <w:rPr>
          <w:rFonts w:asciiTheme="majorHAnsi" w:eastAsia="Calibri" w:hAnsiTheme="majorHAnsi"/>
          <w:sz w:val="20"/>
          <w:szCs w:val="20"/>
          <w:lang w:val="es-AR"/>
        </w:rPr>
        <w:t xml:space="preserve">speccionar la Morgue Judicial, </w:t>
      </w:r>
      <w:r w:rsidRPr="00386E47">
        <w:rPr>
          <w:rFonts w:asciiTheme="majorHAnsi" w:eastAsia="Calibri" w:hAnsiTheme="majorHAnsi"/>
          <w:sz w:val="20"/>
          <w:szCs w:val="20"/>
          <w:lang w:val="es-AR"/>
        </w:rPr>
        <w:t xml:space="preserve">realizar un inventario del material orgánico que se encontraba allí almacenado y </w:t>
      </w:r>
      <w:r w:rsidR="00DA6390" w:rsidRPr="00386E47">
        <w:rPr>
          <w:rFonts w:asciiTheme="majorHAnsi" w:eastAsia="Calibri" w:hAnsiTheme="majorHAnsi"/>
          <w:sz w:val="20"/>
          <w:szCs w:val="20"/>
          <w:lang w:val="es-AR"/>
        </w:rPr>
        <w:t>verificar sus</w:t>
      </w:r>
      <w:r w:rsidRPr="00386E47">
        <w:rPr>
          <w:rFonts w:asciiTheme="majorHAnsi" w:eastAsia="Calibri" w:hAnsiTheme="majorHAnsi"/>
          <w:sz w:val="20"/>
          <w:szCs w:val="20"/>
          <w:lang w:val="es-AR"/>
        </w:rPr>
        <w:t xml:space="preserve"> condiciones de mantenimiento y conservación. Asimismo, </w:t>
      </w:r>
      <w:r w:rsidR="00DA6390" w:rsidRPr="00386E47">
        <w:rPr>
          <w:rFonts w:asciiTheme="majorHAnsi" w:eastAsia="Calibri" w:hAnsiTheme="majorHAnsi"/>
          <w:sz w:val="20"/>
          <w:szCs w:val="20"/>
          <w:lang w:val="es-AR"/>
        </w:rPr>
        <w:t>los fiscales convocaron</w:t>
      </w:r>
      <w:r w:rsidRPr="00386E47">
        <w:rPr>
          <w:rFonts w:asciiTheme="majorHAnsi" w:eastAsia="Calibri" w:hAnsiTheme="majorHAnsi"/>
          <w:sz w:val="20"/>
          <w:szCs w:val="20"/>
          <w:lang w:val="es-AR"/>
        </w:rPr>
        <w:t xml:space="preserve"> al Equipo Argentino de Antropología Forense para que, junto con los funcionarios de la Morgue Judicial, reali</w:t>
      </w:r>
      <w:r w:rsidR="00736DDE" w:rsidRPr="00386E47">
        <w:rPr>
          <w:rFonts w:asciiTheme="majorHAnsi" w:eastAsia="Calibri" w:hAnsiTheme="majorHAnsi"/>
          <w:sz w:val="20"/>
          <w:szCs w:val="20"/>
          <w:lang w:val="es-AR"/>
        </w:rPr>
        <w:t>zaran</w:t>
      </w:r>
      <w:r w:rsidRPr="00386E47">
        <w:rPr>
          <w:rFonts w:asciiTheme="majorHAnsi" w:eastAsia="Calibri" w:hAnsiTheme="majorHAnsi"/>
          <w:sz w:val="20"/>
          <w:szCs w:val="20"/>
          <w:lang w:val="es-AR"/>
        </w:rPr>
        <w:t xml:space="preserve"> “un peritaje biológico a fin de obtener el perfil de ADN de las muestras de los restos humanos de las víctimas del atentado”</w:t>
      </w:r>
      <w:r w:rsidR="00DA6390" w:rsidRPr="00386E47">
        <w:rPr>
          <w:rStyle w:val="FootnoteReference"/>
          <w:rFonts w:asciiTheme="majorHAnsi" w:eastAsia="Calibri" w:hAnsiTheme="majorHAnsi"/>
          <w:sz w:val="20"/>
          <w:szCs w:val="20"/>
          <w:lang w:val="es-AR"/>
        </w:rPr>
        <w:footnoteReference w:id="222"/>
      </w:r>
      <w:r w:rsidRPr="00386E47">
        <w:rPr>
          <w:rFonts w:asciiTheme="majorHAnsi" w:eastAsia="Calibri" w:hAnsiTheme="majorHAnsi"/>
          <w:sz w:val="20"/>
          <w:szCs w:val="20"/>
          <w:lang w:val="es-AR"/>
        </w:rPr>
        <w:t xml:space="preserve"> y determinar si existe alguna muestra en depósito </w:t>
      </w:r>
      <w:r w:rsidR="006535CE" w:rsidRPr="00386E47">
        <w:rPr>
          <w:rFonts w:asciiTheme="majorHAnsi" w:eastAsia="Calibri" w:hAnsiTheme="majorHAnsi"/>
          <w:sz w:val="20"/>
          <w:szCs w:val="20"/>
          <w:lang w:val="es-AR"/>
        </w:rPr>
        <w:t xml:space="preserve">que </w:t>
      </w:r>
      <w:r w:rsidRPr="00386E47">
        <w:rPr>
          <w:rFonts w:asciiTheme="majorHAnsi" w:eastAsia="Calibri" w:hAnsiTheme="majorHAnsi"/>
          <w:sz w:val="20"/>
          <w:szCs w:val="20"/>
          <w:lang w:val="es-AR"/>
        </w:rPr>
        <w:t>correspond</w:t>
      </w:r>
      <w:r w:rsidR="00D967EC" w:rsidRPr="00386E47">
        <w:rPr>
          <w:rFonts w:asciiTheme="majorHAnsi" w:eastAsia="Calibri" w:hAnsiTheme="majorHAnsi"/>
          <w:sz w:val="20"/>
          <w:szCs w:val="20"/>
          <w:lang w:val="es-AR"/>
        </w:rPr>
        <w:t>iera</w:t>
      </w:r>
      <w:r w:rsidRPr="00386E47">
        <w:rPr>
          <w:rFonts w:asciiTheme="majorHAnsi" w:eastAsia="Calibri" w:hAnsiTheme="majorHAnsi"/>
          <w:sz w:val="20"/>
          <w:szCs w:val="20"/>
          <w:lang w:val="es-AR"/>
        </w:rPr>
        <w:t xml:space="preserve"> a personas no identificadas, incluyendo a Berro. </w:t>
      </w:r>
    </w:p>
    <w:p w14:paraId="4861D581" w14:textId="77777777" w:rsidR="001278E1" w:rsidRPr="00386E47" w:rsidRDefault="001278E1" w:rsidP="004B0F57">
      <w:pPr>
        <w:tabs>
          <w:tab w:val="left" w:pos="567"/>
        </w:tabs>
        <w:contextualSpacing/>
        <w:jc w:val="both"/>
        <w:rPr>
          <w:rFonts w:asciiTheme="majorHAnsi" w:eastAsia="Calibri" w:hAnsiTheme="majorHAnsi"/>
          <w:sz w:val="20"/>
          <w:szCs w:val="20"/>
          <w:lang w:val="es-AR"/>
        </w:rPr>
      </w:pPr>
    </w:p>
    <w:p w14:paraId="6C4893F9" w14:textId="77777777" w:rsidR="001278E1"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Por otra parte, la UFI AMIA informó la creación del Grupo Especial de Relevamiento y Análisis Documental (GERAD) con el objetivo de identificar la docume</w:t>
      </w:r>
      <w:r w:rsidR="001278E1" w:rsidRPr="00386E47">
        <w:rPr>
          <w:rFonts w:asciiTheme="majorHAnsi" w:eastAsia="Calibri" w:hAnsiTheme="majorHAnsi"/>
          <w:sz w:val="20"/>
          <w:szCs w:val="20"/>
          <w:lang w:val="es-AR"/>
        </w:rPr>
        <w:t>ntación que revista relevancia para la</w:t>
      </w:r>
      <w:r w:rsidRPr="00386E47">
        <w:rPr>
          <w:rFonts w:asciiTheme="majorHAnsi" w:eastAsia="Calibri" w:hAnsiTheme="majorHAnsi"/>
          <w:sz w:val="20"/>
          <w:szCs w:val="20"/>
          <w:lang w:val="es-AR"/>
        </w:rPr>
        <w:t xml:space="preserve"> investigación del atentado y</w:t>
      </w:r>
      <w:r w:rsidR="001278E1" w:rsidRPr="00386E47">
        <w:rPr>
          <w:rFonts w:asciiTheme="majorHAnsi" w:eastAsia="Calibri" w:hAnsiTheme="majorHAnsi"/>
          <w:sz w:val="20"/>
          <w:szCs w:val="20"/>
          <w:lang w:val="es-AR"/>
        </w:rPr>
        <w:t xml:space="preserve">, adicionalmente, garantizar su análisis y su </w:t>
      </w:r>
      <w:r w:rsidRPr="00386E47">
        <w:rPr>
          <w:rFonts w:asciiTheme="majorHAnsi" w:eastAsia="Calibri" w:hAnsiTheme="majorHAnsi"/>
          <w:sz w:val="20"/>
          <w:szCs w:val="20"/>
          <w:lang w:val="es-AR"/>
        </w:rPr>
        <w:t>accesibilidad material para las partes del proceso</w:t>
      </w:r>
      <w:r w:rsidR="001278E1" w:rsidRPr="00386E47">
        <w:rPr>
          <w:rStyle w:val="FootnoteReference"/>
          <w:rFonts w:asciiTheme="majorHAnsi" w:eastAsia="Calibri" w:hAnsiTheme="majorHAnsi"/>
          <w:sz w:val="20"/>
          <w:szCs w:val="20"/>
          <w:lang w:val="es-AR"/>
        </w:rPr>
        <w:footnoteReference w:id="223"/>
      </w:r>
      <w:r w:rsidRPr="00386E47">
        <w:rPr>
          <w:rFonts w:asciiTheme="majorHAnsi" w:eastAsia="Calibri" w:hAnsiTheme="majorHAnsi"/>
          <w:sz w:val="20"/>
          <w:szCs w:val="20"/>
          <w:lang w:val="es-AR"/>
        </w:rPr>
        <w:t>. Asimismo, la UFI AMIA comunicó que se iniciaron diversas tareas de síntesis y sistematización de la prueba,</w:t>
      </w:r>
      <w:r w:rsidR="001278E1" w:rsidRPr="00386E47">
        <w:rPr>
          <w:rFonts w:asciiTheme="majorHAnsi" w:eastAsia="Calibri" w:hAnsiTheme="majorHAnsi"/>
          <w:sz w:val="20"/>
          <w:szCs w:val="20"/>
          <w:lang w:val="es-AR"/>
        </w:rPr>
        <w:t xml:space="preserve"> de gestión de los volúmenes de </w:t>
      </w:r>
      <w:r w:rsidR="00550CA0" w:rsidRPr="00386E47">
        <w:rPr>
          <w:rFonts w:asciiTheme="majorHAnsi" w:eastAsia="Calibri" w:hAnsiTheme="majorHAnsi"/>
          <w:sz w:val="20"/>
          <w:szCs w:val="20"/>
          <w:lang w:val="es-AR"/>
        </w:rPr>
        <w:t>información</w:t>
      </w:r>
      <w:r w:rsidR="001278E1" w:rsidRPr="00386E47">
        <w:rPr>
          <w:rFonts w:asciiTheme="majorHAnsi" w:eastAsia="Calibri" w:hAnsiTheme="majorHAnsi"/>
          <w:sz w:val="20"/>
          <w:szCs w:val="20"/>
          <w:lang w:val="es-AR"/>
        </w:rPr>
        <w:t xml:space="preserve"> que existen en la causa</w:t>
      </w:r>
      <w:r w:rsidR="00B6064B" w:rsidRPr="00386E47">
        <w:rPr>
          <w:rFonts w:asciiTheme="majorHAnsi" w:eastAsia="Calibri" w:hAnsiTheme="majorHAnsi"/>
          <w:sz w:val="20"/>
          <w:szCs w:val="20"/>
          <w:lang w:val="es-AR"/>
        </w:rPr>
        <w:t>,</w:t>
      </w:r>
      <w:r w:rsidRPr="00386E47">
        <w:rPr>
          <w:rFonts w:asciiTheme="majorHAnsi" w:eastAsia="Calibri" w:hAnsiTheme="majorHAnsi"/>
          <w:sz w:val="20"/>
          <w:szCs w:val="20"/>
          <w:lang w:val="es-AR"/>
        </w:rPr>
        <w:t xml:space="preserve"> de tramitación y regularización de los legajos reservados anexos a la causa principal y la exploración de canales de cooperación internacional y de mantenimiento de las capturas internacionales, entre otras cuestiones</w:t>
      </w:r>
      <w:r w:rsidR="001278E1" w:rsidRPr="00386E47">
        <w:rPr>
          <w:rStyle w:val="FootnoteReference"/>
          <w:rFonts w:asciiTheme="majorHAnsi" w:eastAsia="Calibri" w:hAnsiTheme="majorHAnsi"/>
          <w:sz w:val="20"/>
          <w:szCs w:val="20"/>
          <w:lang w:val="es-AR"/>
        </w:rPr>
        <w:footnoteReference w:id="224"/>
      </w:r>
      <w:r w:rsidRPr="00386E47">
        <w:rPr>
          <w:rFonts w:asciiTheme="majorHAnsi" w:eastAsia="Calibri" w:hAnsiTheme="majorHAnsi"/>
          <w:sz w:val="20"/>
          <w:szCs w:val="20"/>
          <w:lang w:val="es-AR"/>
        </w:rPr>
        <w:t xml:space="preserve">. </w:t>
      </w:r>
    </w:p>
    <w:p w14:paraId="376196B1" w14:textId="77777777" w:rsidR="001278E1" w:rsidRPr="00386E47" w:rsidRDefault="001278E1" w:rsidP="004B0F57">
      <w:pPr>
        <w:tabs>
          <w:tab w:val="left" w:pos="567"/>
        </w:tabs>
        <w:contextualSpacing/>
        <w:jc w:val="both"/>
        <w:rPr>
          <w:rFonts w:asciiTheme="majorHAnsi" w:eastAsia="Calibri" w:hAnsiTheme="majorHAnsi"/>
          <w:sz w:val="20"/>
          <w:szCs w:val="20"/>
          <w:lang w:val="es-AR"/>
        </w:rPr>
      </w:pPr>
    </w:p>
    <w:p w14:paraId="35DED90C" w14:textId="77777777" w:rsidR="009F70EA" w:rsidRPr="00386E47" w:rsidRDefault="009F70EA" w:rsidP="002C22A1">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La publicación de los informes de gestión por parte de la UFI AMIA se d</w:t>
      </w:r>
      <w:r w:rsidR="00287555" w:rsidRPr="00386E47">
        <w:rPr>
          <w:rFonts w:asciiTheme="majorHAnsi" w:eastAsia="Calibri" w:hAnsiTheme="majorHAnsi"/>
          <w:sz w:val="20"/>
          <w:szCs w:val="20"/>
          <w:lang w:val="es-AR"/>
        </w:rPr>
        <w:t>i</w:t>
      </w:r>
      <w:r w:rsidRPr="00386E47">
        <w:rPr>
          <w:rFonts w:asciiTheme="majorHAnsi" w:eastAsia="Calibri" w:hAnsiTheme="majorHAnsi"/>
          <w:sz w:val="20"/>
          <w:szCs w:val="20"/>
          <w:lang w:val="es-AR"/>
        </w:rPr>
        <w:t>scontinuó en diciembre de 2017. El Estado argentino no presentó en el marco del trámite del presente caso ante la Comisión información que permitiera conocer cuáles son las actividades desarrolladas a partir de esa fecha. Los peticionarios comunicaron a la Comisión que, en los últimos tiempos, la UFI AMIA experimentó diversas modificaciones en la composición de su equipo de gestión</w:t>
      </w:r>
      <w:r w:rsidR="001278E1" w:rsidRPr="00386E47">
        <w:rPr>
          <w:rStyle w:val="FootnoteReference"/>
          <w:rFonts w:asciiTheme="majorHAnsi" w:eastAsia="Calibri" w:hAnsiTheme="majorHAnsi"/>
          <w:sz w:val="20"/>
          <w:szCs w:val="20"/>
          <w:lang w:val="es-AR"/>
        </w:rPr>
        <w:footnoteReference w:id="225"/>
      </w:r>
      <w:r w:rsidRPr="00386E47">
        <w:rPr>
          <w:rFonts w:asciiTheme="majorHAnsi" w:eastAsia="Calibri" w:hAnsiTheme="majorHAnsi"/>
          <w:sz w:val="20"/>
          <w:szCs w:val="20"/>
          <w:lang w:val="es-AR"/>
        </w:rPr>
        <w:t xml:space="preserve">. </w:t>
      </w:r>
    </w:p>
    <w:p w14:paraId="4139658B" w14:textId="77777777" w:rsidR="00B528BF" w:rsidRPr="00386E47" w:rsidRDefault="00B528BF" w:rsidP="00B528BF">
      <w:pPr>
        <w:tabs>
          <w:tab w:val="left" w:pos="567"/>
        </w:tabs>
        <w:contextualSpacing/>
        <w:jc w:val="both"/>
        <w:rPr>
          <w:rFonts w:asciiTheme="majorHAnsi" w:eastAsia="Calibri" w:hAnsiTheme="majorHAnsi"/>
          <w:sz w:val="20"/>
          <w:szCs w:val="20"/>
          <w:lang w:val="es-AR"/>
        </w:rPr>
      </w:pPr>
    </w:p>
    <w:p w14:paraId="51F96A93" w14:textId="77777777" w:rsidR="009F70EA" w:rsidRPr="00386E47" w:rsidRDefault="009F70EA" w:rsidP="009146F2">
      <w:pPr>
        <w:pStyle w:val="Heading5"/>
        <w:numPr>
          <w:ilvl w:val="0"/>
          <w:numId w:val="69"/>
        </w:numPr>
      </w:pPr>
      <w:r w:rsidRPr="00386E47">
        <w:t xml:space="preserve">Respecto a la conservación y gestión del material orgánico afectado a la investigación y su utilización como medio de prueba  </w:t>
      </w:r>
    </w:p>
    <w:p w14:paraId="687A6483" w14:textId="77777777" w:rsidR="00A8406C" w:rsidRPr="00386E47" w:rsidRDefault="00A8406C" w:rsidP="00347DFB">
      <w:pPr>
        <w:tabs>
          <w:tab w:val="left" w:pos="0"/>
          <w:tab w:val="left" w:pos="567"/>
        </w:tabs>
        <w:contextualSpacing/>
        <w:jc w:val="both"/>
        <w:rPr>
          <w:rFonts w:asciiTheme="majorHAnsi" w:eastAsia="Calibri" w:hAnsiTheme="majorHAnsi"/>
          <w:sz w:val="20"/>
          <w:szCs w:val="20"/>
          <w:lang w:val="es-AR"/>
        </w:rPr>
      </w:pPr>
    </w:p>
    <w:p w14:paraId="3A6EF0FF" w14:textId="77777777" w:rsidR="00D96DFC" w:rsidRPr="00386E47" w:rsidRDefault="00D96DFC" w:rsidP="003A5860">
      <w:pPr>
        <w:numPr>
          <w:ilvl w:val="0"/>
          <w:numId w:val="55"/>
        </w:numPr>
        <w:tabs>
          <w:tab w:val="left" w:pos="0"/>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En el mes de marzo de 2016, el Juzgado Federal Nro. 6 ordenó a instancias de la UFI AMIA la realización de un peritaje científico con el fin de obtener el perfil genético de la totalidad de los restos biológicos preservados en la Morgue Judicial y de aquellos que fueron encontrados en la División Laboratorio Químico de la PFA. Asimismo, </w:t>
      </w:r>
      <w:r w:rsidRPr="00386E47">
        <w:rPr>
          <w:rFonts w:asciiTheme="majorHAnsi" w:eastAsia="Calibri" w:hAnsiTheme="majorHAnsi"/>
          <w:sz w:val="20"/>
          <w:szCs w:val="20"/>
          <w:lang w:val="es-AR"/>
        </w:rPr>
        <w:lastRenderedPageBreak/>
        <w:t>el juzgado dispuso el cotejo entre sí de los perfiles genéticos que se extrajeran a fin de “determinar que todas las muestras en depósito corresponden a alguna de las personas fallecidas”. Para hacer posible el trabajo, los fiscales convocaron a personal especializado del Cuerpo Médico Forense, del Equipo Argentino de Antropología Forense y del Laboratorio de Huellas Genéticas de la Facultad de Farmacia y Bioquímica de la Universidad de Buenos Aires</w:t>
      </w:r>
      <w:r w:rsidRPr="00386E47">
        <w:rPr>
          <w:rStyle w:val="FootnoteReference"/>
          <w:rFonts w:asciiTheme="majorHAnsi" w:eastAsia="Calibri" w:hAnsiTheme="majorHAnsi"/>
          <w:sz w:val="20"/>
          <w:szCs w:val="20"/>
          <w:lang w:val="es-AR"/>
        </w:rPr>
        <w:footnoteReference w:id="226"/>
      </w:r>
      <w:r w:rsidRPr="00386E47">
        <w:rPr>
          <w:rFonts w:asciiTheme="majorHAnsi" w:eastAsia="Calibri" w:hAnsiTheme="majorHAnsi"/>
          <w:sz w:val="20"/>
          <w:szCs w:val="20"/>
          <w:lang w:val="es-AR"/>
        </w:rPr>
        <w:t>.</w:t>
      </w:r>
    </w:p>
    <w:p w14:paraId="4D2046B2" w14:textId="77777777" w:rsidR="00D96DFC" w:rsidRPr="00386E47" w:rsidRDefault="00D96DFC" w:rsidP="00A311A0">
      <w:pPr>
        <w:tabs>
          <w:tab w:val="left" w:pos="0"/>
          <w:tab w:val="left" w:pos="567"/>
        </w:tabs>
        <w:contextualSpacing/>
        <w:jc w:val="both"/>
        <w:rPr>
          <w:rFonts w:asciiTheme="majorHAnsi" w:eastAsia="Calibri" w:hAnsiTheme="majorHAnsi"/>
          <w:sz w:val="20"/>
          <w:szCs w:val="20"/>
          <w:lang w:val="es-AR"/>
        </w:rPr>
      </w:pPr>
    </w:p>
    <w:p w14:paraId="6A44EF41" w14:textId="77777777" w:rsidR="00A8406C" w:rsidRPr="00386E47" w:rsidRDefault="00D96DFC" w:rsidP="003A5860">
      <w:pPr>
        <w:numPr>
          <w:ilvl w:val="0"/>
          <w:numId w:val="55"/>
        </w:numPr>
        <w:tabs>
          <w:tab w:val="left" w:pos="0"/>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L</w:t>
      </w:r>
      <w:r w:rsidR="009F70EA" w:rsidRPr="00386E47">
        <w:rPr>
          <w:rFonts w:asciiTheme="majorHAnsi" w:eastAsia="Calibri" w:hAnsiTheme="majorHAnsi"/>
          <w:sz w:val="20"/>
          <w:szCs w:val="20"/>
          <w:lang w:val="es-AR"/>
        </w:rPr>
        <w:t>a UFI AMIA en su informe de gestión de julio de 2016 relató que el grupo de fiscales que asumió la dirección de la investigación en febrero de 2015 procedió, en primer término, a realizar una inspección a la Morgue Judicial “para verificar de manera personal la totalidad de material orgánico y de otra naturaleza a disposición de la investigación”. Como resultado de esa inspección, los fiscales ordenaron la confección de “un meticuloso inventario del material orgánico existente en la Morgue y la verificación de las condiciones de conservación y resguardo”</w:t>
      </w:r>
      <w:r w:rsidR="00F36DEE" w:rsidRPr="00386E47">
        <w:rPr>
          <w:rFonts w:asciiTheme="majorHAnsi" w:eastAsia="Calibri" w:hAnsiTheme="majorHAnsi"/>
          <w:sz w:val="20"/>
          <w:szCs w:val="20"/>
          <w:lang w:val="es-AR"/>
        </w:rPr>
        <w:t xml:space="preserve"> </w:t>
      </w:r>
      <w:r w:rsidR="009F70EA" w:rsidRPr="00386E47">
        <w:rPr>
          <w:rFonts w:asciiTheme="majorHAnsi" w:eastAsia="Calibri" w:hAnsiTheme="majorHAnsi"/>
          <w:sz w:val="20"/>
          <w:szCs w:val="20"/>
          <w:lang w:val="es-AR"/>
        </w:rPr>
        <w:t>con la finalidad de “determinar con exactitud la cantidad y calidad de las muestras obtenidas al momento de las autopsias, en aras de establecer su aptitud para un eventual análisis”</w:t>
      </w:r>
      <w:r w:rsidR="00A34570" w:rsidRPr="00386E47">
        <w:rPr>
          <w:rStyle w:val="FootnoteReference"/>
          <w:rFonts w:asciiTheme="majorHAnsi" w:eastAsia="Calibri" w:hAnsiTheme="majorHAnsi"/>
          <w:sz w:val="20"/>
          <w:szCs w:val="20"/>
          <w:lang w:val="es-AR"/>
        </w:rPr>
        <w:footnoteReference w:id="227"/>
      </w:r>
      <w:r w:rsidR="009F70EA" w:rsidRPr="00386E47">
        <w:rPr>
          <w:rFonts w:asciiTheme="majorHAnsi" w:eastAsia="Calibri" w:hAnsiTheme="majorHAnsi"/>
          <w:sz w:val="20"/>
          <w:szCs w:val="20"/>
          <w:lang w:val="es-AR"/>
        </w:rPr>
        <w:t xml:space="preserve">. </w:t>
      </w:r>
    </w:p>
    <w:p w14:paraId="719B9396" w14:textId="77777777" w:rsidR="00A8406C" w:rsidRPr="00386E47" w:rsidRDefault="00A8406C" w:rsidP="00347DFB">
      <w:pPr>
        <w:tabs>
          <w:tab w:val="left" w:pos="0"/>
          <w:tab w:val="left" w:pos="567"/>
        </w:tabs>
        <w:contextualSpacing/>
        <w:jc w:val="both"/>
        <w:rPr>
          <w:rFonts w:asciiTheme="majorHAnsi" w:eastAsia="Calibri" w:hAnsiTheme="majorHAnsi"/>
          <w:sz w:val="20"/>
          <w:szCs w:val="20"/>
          <w:lang w:val="es-AR"/>
        </w:rPr>
      </w:pPr>
    </w:p>
    <w:p w14:paraId="7879CECF" w14:textId="77777777" w:rsidR="00481C31" w:rsidRPr="00386E47" w:rsidRDefault="009F70EA" w:rsidP="003A5860">
      <w:pPr>
        <w:numPr>
          <w:ilvl w:val="0"/>
          <w:numId w:val="55"/>
        </w:numPr>
        <w:tabs>
          <w:tab w:val="left" w:pos="0"/>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Asimismo, con fecha 8 de septiembre de 2016 la División Laboratorio Químico de la Policía Federal Argentina informó a la UFI AMIA </w:t>
      </w:r>
      <w:r w:rsidR="00481C31" w:rsidRPr="00386E47">
        <w:rPr>
          <w:rFonts w:asciiTheme="majorHAnsi" w:eastAsia="Calibri" w:hAnsiTheme="majorHAnsi"/>
          <w:sz w:val="20"/>
          <w:szCs w:val="20"/>
          <w:lang w:val="es-AR"/>
        </w:rPr>
        <w:t>de la existencia en sus oficinas</w:t>
      </w:r>
      <w:r w:rsidRPr="00386E47">
        <w:rPr>
          <w:rFonts w:asciiTheme="majorHAnsi" w:eastAsia="Calibri" w:hAnsiTheme="majorHAnsi"/>
          <w:sz w:val="20"/>
          <w:szCs w:val="20"/>
          <w:lang w:val="es-AR"/>
        </w:rPr>
        <w:t xml:space="preserve"> de </w:t>
      </w:r>
      <w:r w:rsidR="00481C31" w:rsidRPr="00386E47">
        <w:rPr>
          <w:rFonts w:asciiTheme="majorHAnsi" w:eastAsia="Calibri" w:hAnsiTheme="majorHAnsi"/>
          <w:sz w:val="20"/>
          <w:szCs w:val="20"/>
          <w:lang w:val="es-AR"/>
        </w:rPr>
        <w:t xml:space="preserve">elementos </w:t>
      </w:r>
      <w:r w:rsidRPr="00386E47">
        <w:rPr>
          <w:rFonts w:asciiTheme="majorHAnsi" w:eastAsia="Calibri" w:hAnsiTheme="majorHAnsi"/>
          <w:sz w:val="20"/>
          <w:szCs w:val="20"/>
          <w:lang w:val="es-AR"/>
        </w:rPr>
        <w:t xml:space="preserve">vinculados a la investigación, entre los que </w:t>
      </w:r>
      <w:r w:rsidR="00481C31" w:rsidRPr="00386E47">
        <w:rPr>
          <w:rFonts w:asciiTheme="majorHAnsi" w:eastAsia="Calibri" w:hAnsiTheme="majorHAnsi"/>
          <w:sz w:val="20"/>
          <w:szCs w:val="20"/>
          <w:lang w:val="es-AR"/>
        </w:rPr>
        <w:t xml:space="preserve">se </w:t>
      </w:r>
      <w:r w:rsidR="00C80AA5" w:rsidRPr="00386E47">
        <w:rPr>
          <w:rFonts w:asciiTheme="majorHAnsi" w:eastAsia="Calibri" w:hAnsiTheme="majorHAnsi"/>
          <w:sz w:val="20"/>
          <w:szCs w:val="20"/>
          <w:lang w:val="es-AR"/>
        </w:rPr>
        <w:t>en</w:t>
      </w:r>
      <w:r w:rsidR="00481C31" w:rsidRPr="00386E47">
        <w:rPr>
          <w:rFonts w:asciiTheme="majorHAnsi" w:eastAsia="Calibri" w:hAnsiTheme="majorHAnsi"/>
          <w:sz w:val="20"/>
          <w:szCs w:val="20"/>
          <w:lang w:val="es-AR"/>
        </w:rPr>
        <w:t>cont</w:t>
      </w:r>
      <w:r w:rsidR="00C80AA5" w:rsidRPr="00386E47">
        <w:rPr>
          <w:rFonts w:asciiTheme="majorHAnsi" w:eastAsia="Calibri" w:hAnsiTheme="majorHAnsi"/>
          <w:sz w:val="20"/>
          <w:szCs w:val="20"/>
          <w:lang w:val="es-AR"/>
        </w:rPr>
        <w:t>r</w:t>
      </w:r>
      <w:r w:rsidR="00481C31" w:rsidRPr="00386E47">
        <w:rPr>
          <w:rFonts w:asciiTheme="majorHAnsi" w:eastAsia="Calibri" w:hAnsiTheme="majorHAnsi"/>
          <w:sz w:val="20"/>
          <w:szCs w:val="20"/>
          <w:lang w:val="es-AR"/>
        </w:rPr>
        <w:t xml:space="preserve">aba </w:t>
      </w:r>
      <w:r w:rsidRPr="00386E47">
        <w:rPr>
          <w:rFonts w:asciiTheme="majorHAnsi" w:eastAsia="Calibri" w:hAnsiTheme="majorHAnsi"/>
          <w:sz w:val="20"/>
          <w:szCs w:val="20"/>
          <w:lang w:val="es-AR"/>
        </w:rPr>
        <w:t>un balde rojo con restos orgánicos de víctimas</w:t>
      </w:r>
      <w:r w:rsidR="00481C31" w:rsidRPr="00386E47">
        <w:rPr>
          <w:rFonts w:asciiTheme="majorHAnsi" w:eastAsia="Calibri" w:hAnsiTheme="majorHAnsi"/>
          <w:sz w:val="20"/>
          <w:szCs w:val="20"/>
          <w:lang w:val="es-AR"/>
        </w:rPr>
        <w:t xml:space="preserve">, el cual </w:t>
      </w:r>
      <w:r w:rsidR="003D4AE0" w:rsidRPr="00386E47">
        <w:rPr>
          <w:rFonts w:asciiTheme="majorHAnsi" w:eastAsia="Calibri" w:hAnsiTheme="majorHAnsi"/>
          <w:sz w:val="20"/>
          <w:szCs w:val="20"/>
          <w:lang w:val="es-AR"/>
        </w:rPr>
        <w:t>estaba preservado</w:t>
      </w:r>
      <w:r w:rsidR="00481C31" w:rsidRPr="00386E47">
        <w:rPr>
          <w:rFonts w:asciiTheme="majorHAnsi" w:eastAsia="Calibri" w:hAnsiTheme="majorHAnsi"/>
          <w:sz w:val="20"/>
          <w:szCs w:val="20"/>
          <w:lang w:val="es-AR"/>
        </w:rPr>
        <w:t xml:space="preserve"> dentro de</w:t>
      </w:r>
      <w:r w:rsidR="00EC27BF" w:rsidRPr="00386E47">
        <w:rPr>
          <w:rFonts w:asciiTheme="majorHAnsi" w:eastAsia="Calibri" w:hAnsiTheme="majorHAnsi"/>
          <w:sz w:val="20"/>
          <w:szCs w:val="20"/>
          <w:lang w:val="es-AR"/>
        </w:rPr>
        <w:t xml:space="preserve"> un freezer</w:t>
      </w:r>
      <w:r w:rsidRPr="00386E47">
        <w:rPr>
          <w:rFonts w:asciiTheme="majorHAnsi" w:eastAsia="Calibri" w:hAnsiTheme="majorHAnsi"/>
          <w:sz w:val="20"/>
          <w:szCs w:val="20"/>
          <w:lang w:val="es-AR"/>
        </w:rPr>
        <w:t xml:space="preserve">. La UFI AMIA consignó </w:t>
      </w:r>
      <w:r w:rsidR="00C80AA5" w:rsidRPr="00386E47">
        <w:rPr>
          <w:rFonts w:asciiTheme="majorHAnsi" w:eastAsia="Calibri" w:hAnsiTheme="majorHAnsi"/>
          <w:sz w:val="20"/>
          <w:szCs w:val="20"/>
          <w:lang w:val="es-AR"/>
        </w:rPr>
        <w:t>en su informe de gestión que dichos</w:t>
      </w:r>
      <w:r w:rsidRPr="00386E47">
        <w:rPr>
          <w:rFonts w:asciiTheme="majorHAnsi" w:eastAsia="Calibri" w:hAnsiTheme="majorHAnsi"/>
          <w:sz w:val="20"/>
          <w:szCs w:val="20"/>
          <w:lang w:val="es-AR"/>
        </w:rPr>
        <w:t xml:space="preserve"> restos eran fragmentos de tejido congelado colocados dentro de un frasco de vidrio, el cual estaba ubicado en el interior del balde rojo</w:t>
      </w:r>
      <w:r w:rsidRPr="00386E47">
        <w:rPr>
          <w:rStyle w:val="FootnoteReference"/>
          <w:rFonts w:asciiTheme="majorHAnsi" w:hAnsiTheme="majorHAnsi"/>
          <w:sz w:val="20"/>
          <w:szCs w:val="20"/>
        </w:rPr>
        <w:footnoteReference w:id="228"/>
      </w:r>
      <w:r w:rsidRPr="00386E47">
        <w:rPr>
          <w:rFonts w:asciiTheme="majorHAnsi" w:eastAsia="Calibri" w:hAnsiTheme="majorHAnsi"/>
          <w:sz w:val="20"/>
          <w:szCs w:val="20"/>
          <w:lang w:val="es-AR"/>
        </w:rPr>
        <w:t xml:space="preserve">. </w:t>
      </w:r>
      <w:r w:rsidR="00481C31" w:rsidRPr="00386E47">
        <w:rPr>
          <w:rFonts w:asciiTheme="majorHAnsi" w:eastAsia="Calibri" w:hAnsiTheme="majorHAnsi"/>
          <w:sz w:val="20"/>
          <w:szCs w:val="20"/>
          <w:lang w:val="es-AR"/>
        </w:rPr>
        <w:t>Estos elementos de prueba</w:t>
      </w:r>
      <w:r w:rsidRPr="00386E47">
        <w:rPr>
          <w:rFonts w:asciiTheme="majorHAnsi" w:eastAsia="Calibri" w:hAnsiTheme="majorHAnsi"/>
          <w:sz w:val="20"/>
          <w:szCs w:val="20"/>
          <w:lang w:val="es-AR"/>
        </w:rPr>
        <w:t xml:space="preserve"> no habían sido previamente inventariados y se encontraban en el laboratorio de la PFA desde agosto de 1994.</w:t>
      </w:r>
    </w:p>
    <w:p w14:paraId="73FFDC00" w14:textId="77777777" w:rsidR="00D96DFC" w:rsidRPr="00386E47" w:rsidRDefault="00D96DFC" w:rsidP="00A311A0">
      <w:pPr>
        <w:pStyle w:val="ListParagraph"/>
        <w:rPr>
          <w:rFonts w:asciiTheme="majorHAnsi" w:eastAsia="Calibri" w:hAnsiTheme="majorHAnsi"/>
          <w:sz w:val="20"/>
          <w:szCs w:val="20"/>
          <w:lang w:val="es-AR"/>
        </w:rPr>
      </w:pPr>
    </w:p>
    <w:p w14:paraId="39A7CF21" w14:textId="77777777" w:rsidR="00D96DFC" w:rsidRPr="00386E47" w:rsidRDefault="00D96DFC" w:rsidP="003A5860">
      <w:pPr>
        <w:pStyle w:val="ListParagraph"/>
        <w:numPr>
          <w:ilvl w:val="0"/>
          <w:numId w:val="58"/>
        </w:numPr>
        <w:tabs>
          <w:tab w:val="left" w:pos="0"/>
          <w:tab w:val="left" w:pos="567"/>
        </w:tabs>
        <w:contextualSpacing/>
        <w:jc w:val="both"/>
        <w:rPr>
          <w:rFonts w:asciiTheme="majorHAnsi" w:eastAsia="Calibri" w:hAnsiTheme="majorHAnsi"/>
          <w:b/>
          <w:sz w:val="20"/>
          <w:szCs w:val="20"/>
          <w:lang w:val="es-AR"/>
        </w:rPr>
      </w:pPr>
      <w:r w:rsidRPr="00386E47">
        <w:rPr>
          <w:rFonts w:asciiTheme="majorHAnsi" w:eastAsia="Calibri" w:hAnsiTheme="majorHAnsi"/>
          <w:b/>
          <w:sz w:val="20"/>
          <w:szCs w:val="20"/>
          <w:lang w:val="es-AR"/>
        </w:rPr>
        <w:t>Consideraciones de la Comisión</w:t>
      </w:r>
    </w:p>
    <w:p w14:paraId="75C20AD0" w14:textId="77777777" w:rsidR="00481C31" w:rsidRPr="00386E47" w:rsidRDefault="00481C31" w:rsidP="00347DFB">
      <w:pPr>
        <w:tabs>
          <w:tab w:val="left" w:pos="0"/>
          <w:tab w:val="left" w:pos="567"/>
        </w:tabs>
        <w:contextualSpacing/>
        <w:jc w:val="both"/>
        <w:rPr>
          <w:rFonts w:asciiTheme="majorHAnsi" w:eastAsia="Calibri" w:hAnsiTheme="majorHAnsi"/>
          <w:sz w:val="20"/>
          <w:szCs w:val="20"/>
          <w:lang w:val="es-AR"/>
        </w:rPr>
      </w:pPr>
    </w:p>
    <w:p w14:paraId="3025C7FF" w14:textId="77777777" w:rsidR="00F71061" w:rsidRPr="00386E47" w:rsidRDefault="00481C31" w:rsidP="003A5860">
      <w:pPr>
        <w:numPr>
          <w:ilvl w:val="0"/>
          <w:numId w:val="55"/>
        </w:numPr>
        <w:tabs>
          <w:tab w:val="left" w:pos="0"/>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La CIDH considera que </w:t>
      </w:r>
      <w:r w:rsidR="009F70EA" w:rsidRPr="00386E47">
        <w:rPr>
          <w:rFonts w:asciiTheme="majorHAnsi" w:eastAsia="Calibri" w:hAnsiTheme="majorHAnsi"/>
          <w:sz w:val="20"/>
          <w:szCs w:val="20"/>
          <w:lang w:val="es-AR"/>
        </w:rPr>
        <w:t xml:space="preserve">tanto la ausencia de un registro preciso del material orgánico </w:t>
      </w:r>
      <w:r w:rsidRPr="00386E47">
        <w:rPr>
          <w:rFonts w:asciiTheme="majorHAnsi" w:eastAsia="Calibri" w:hAnsiTheme="majorHAnsi"/>
          <w:sz w:val="20"/>
          <w:szCs w:val="20"/>
          <w:lang w:val="es-AR"/>
        </w:rPr>
        <w:t>vinculado con</w:t>
      </w:r>
      <w:r w:rsidR="009F70EA" w:rsidRPr="00386E47">
        <w:rPr>
          <w:rFonts w:asciiTheme="majorHAnsi" w:eastAsia="Calibri" w:hAnsiTheme="majorHAnsi"/>
          <w:sz w:val="20"/>
          <w:szCs w:val="20"/>
          <w:lang w:val="es-AR"/>
        </w:rPr>
        <w:t xml:space="preserve"> la investigación</w:t>
      </w:r>
      <w:r w:rsidR="001E233D" w:rsidRPr="00386E47">
        <w:rPr>
          <w:rFonts w:asciiTheme="majorHAnsi" w:eastAsia="Calibri" w:hAnsiTheme="majorHAnsi"/>
          <w:sz w:val="20"/>
          <w:szCs w:val="20"/>
          <w:lang w:val="es-AR"/>
        </w:rPr>
        <w:t xml:space="preserve"> </w:t>
      </w:r>
      <w:r w:rsidR="009F70EA" w:rsidRPr="00386E47">
        <w:rPr>
          <w:rFonts w:asciiTheme="majorHAnsi" w:eastAsia="Calibri" w:hAnsiTheme="majorHAnsi"/>
          <w:sz w:val="20"/>
          <w:szCs w:val="20"/>
          <w:lang w:val="es-AR"/>
        </w:rPr>
        <w:t>-</w:t>
      </w:r>
      <w:r w:rsidR="00A13497"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situación evidenciada </w:t>
      </w:r>
      <w:r w:rsidR="009F70EA" w:rsidRPr="00386E47">
        <w:rPr>
          <w:rFonts w:asciiTheme="majorHAnsi" w:eastAsia="Calibri" w:hAnsiTheme="majorHAnsi"/>
          <w:sz w:val="20"/>
          <w:szCs w:val="20"/>
          <w:lang w:val="es-AR"/>
        </w:rPr>
        <w:t xml:space="preserve">con el hallazgo producido en la División Laboratorio Químico en septiembre de 2016 - como </w:t>
      </w:r>
      <w:r w:rsidR="002740B6" w:rsidRPr="00386E47">
        <w:rPr>
          <w:rFonts w:asciiTheme="majorHAnsi" w:eastAsia="Calibri" w:hAnsiTheme="majorHAnsi"/>
          <w:sz w:val="20"/>
          <w:szCs w:val="20"/>
          <w:lang w:val="es-AR"/>
        </w:rPr>
        <w:t xml:space="preserve">la falta de </w:t>
      </w:r>
      <w:r w:rsidRPr="00386E47">
        <w:rPr>
          <w:rFonts w:asciiTheme="majorHAnsi" w:eastAsia="Calibri" w:hAnsiTheme="majorHAnsi"/>
          <w:sz w:val="20"/>
          <w:szCs w:val="20"/>
          <w:lang w:val="es-AR"/>
        </w:rPr>
        <w:t>exploración</w:t>
      </w:r>
      <w:r w:rsidR="002740B6" w:rsidRPr="00386E47">
        <w:rPr>
          <w:rFonts w:asciiTheme="majorHAnsi" w:eastAsia="Calibri" w:hAnsiTheme="majorHAnsi"/>
          <w:sz w:val="20"/>
          <w:szCs w:val="20"/>
          <w:lang w:val="es-AR"/>
        </w:rPr>
        <w:t xml:space="preserve">, hasta el año 2016, </w:t>
      </w:r>
      <w:r w:rsidRPr="00386E47">
        <w:rPr>
          <w:rFonts w:asciiTheme="majorHAnsi" w:eastAsia="Calibri" w:hAnsiTheme="majorHAnsi"/>
          <w:sz w:val="20"/>
          <w:szCs w:val="20"/>
          <w:lang w:val="es-AR"/>
        </w:rPr>
        <w:t xml:space="preserve">de las </w:t>
      </w:r>
      <w:r w:rsidR="009F70EA" w:rsidRPr="00386E47">
        <w:rPr>
          <w:rFonts w:asciiTheme="majorHAnsi" w:eastAsia="Calibri" w:hAnsiTheme="majorHAnsi"/>
          <w:sz w:val="20"/>
          <w:szCs w:val="20"/>
          <w:lang w:val="es-AR"/>
        </w:rPr>
        <w:t>posibilidades que el análisis de dicho material pudiera arrojar</w:t>
      </w:r>
      <w:r w:rsidRPr="00386E47">
        <w:rPr>
          <w:rFonts w:asciiTheme="majorHAnsi" w:eastAsia="Calibri" w:hAnsiTheme="majorHAnsi"/>
          <w:sz w:val="20"/>
          <w:szCs w:val="20"/>
          <w:lang w:val="es-AR"/>
        </w:rPr>
        <w:t xml:space="preserve"> para el esclarecimiento de los hechos</w:t>
      </w:r>
      <w:r w:rsidR="009F70EA" w:rsidRPr="00386E47">
        <w:rPr>
          <w:rFonts w:asciiTheme="majorHAnsi" w:eastAsia="Calibri" w:hAnsiTheme="majorHAnsi"/>
          <w:sz w:val="20"/>
          <w:szCs w:val="20"/>
          <w:lang w:val="es-AR"/>
        </w:rPr>
        <w:t xml:space="preserve">, </w:t>
      </w:r>
      <w:r w:rsidR="00826A3B" w:rsidRPr="00386E47">
        <w:rPr>
          <w:rFonts w:asciiTheme="majorHAnsi" w:eastAsia="Calibri" w:hAnsiTheme="majorHAnsi"/>
          <w:sz w:val="20"/>
          <w:szCs w:val="20"/>
          <w:lang w:val="es-AR"/>
        </w:rPr>
        <w:t>no satisface el</w:t>
      </w:r>
      <w:r w:rsidR="009F70EA" w:rsidRPr="00386E47">
        <w:rPr>
          <w:rFonts w:asciiTheme="majorHAnsi" w:eastAsia="Calibri" w:hAnsiTheme="majorHAnsi"/>
          <w:sz w:val="20"/>
          <w:szCs w:val="20"/>
          <w:lang w:val="es-AR"/>
        </w:rPr>
        <w:t xml:space="preserve"> deber de debida diligencia</w:t>
      </w:r>
      <w:r w:rsidR="00826A3B" w:rsidRPr="00386E47">
        <w:rPr>
          <w:rFonts w:asciiTheme="majorHAnsi" w:eastAsia="Calibri" w:hAnsiTheme="majorHAnsi"/>
          <w:sz w:val="20"/>
          <w:szCs w:val="20"/>
          <w:lang w:val="es-AR"/>
        </w:rPr>
        <w:t>, conforme a los parámetros internacionalmente reconocidos</w:t>
      </w:r>
      <w:r w:rsidR="00F76BEA" w:rsidRPr="00386E47">
        <w:rPr>
          <w:rStyle w:val="FootnoteReference"/>
          <w:rFonts w:asciiTheme="majorHAnsi" w:eastAsia="Calibri" w:hAnsiTheme="majorHAnsi"/>
          <w:sz w:val="20"/>
          <w:szCs w:val="20"/>
          <w:lang w:val="es-AR"/>
        </w:rPr>
        <w:footnoteReference w:id="229"/>
      </w:r>
      <w:r w:rsidR="009F70EA" w:rsidRPr="00386E47">
        <w:rPr>
          <w:rFonts w:asciiTheme="majorHAnsi" w:eastAsia="Calibri" w:hAnsiTheme="majorHAnsi"/>
          <w:sz w:val="20"/>
          <w:szCs w:val="20"/>
          <w:lang w:val="es-AR"/>
        </w:rPr>
        <w:t xml:space="preserve">. </w:t>
      </w:r>
      <w:r w:rsidR="00041323" w:rsidRPr="00386E47">
        <w:rPr>
          <w:rFonts w:asciiTheme="majorHAnsi" w:eastAsia="Calibri" w:hAnsiTheme="majorHAnsi"/>
          <w:sz w:val="20"/>
          <w:szCs w:val="20"/>
          <w:lang w:val="es-AR"/>
        </w:rPr>
        <w:t>La</w:t>
      </w:r>
      <w:r w:rsidR="009F70EA" w:rsidRPr="00386E47">
        <w:rPr>
          <w:rFonts w:asciiTheme="majorHAnsi" w:eastAsia="Calibri" w:hAnsiTheme="majorHAnsi"/>
          <w:sz w:val="20"/>
          <w:szCs w:val="20"/>
          <w:lang w:val="es-AR"/>
        </w:rPr>
        <w:t xml:space="preserve"> Comisión resalta que en casos complejos como el del atentado a la AMIA resulta necesario que los funcionarios encargados de la investigación incorporen a sus rutinas de trabajo un enfoque interdisciplinario que incluya el aporte que puedan realizar especialistas de diferentes campos científicos</w:t>
      </w:r>
      <w:r w:rsidR="009F70EA" w:rsidRPr="00386E47">
        <w:rPr>
          <w:rStyle w:val="FootnoteReference"/>
          <w:rFonts w:asciiTheme="majorHAnsi" w:hAnsiTheme="majorHAnsi"/>
          <w:sz w:val="20"/>
          <w:szCs w:val="20"/>
        </w:rPr>
        <w:footnoteReference w:id="230"/>
      </w:r>
      <w:r w:rsidR="009F70EA" w:rsidRPr="00386E47">
        <w:rPr>
          <w:rFonts w:asciiTheme="majorHAnsi" w:eastAsia="Calibri" w:hAnsiTheme="majorHAnsi"/>
          <w:sz w:val="20"/>
          <w:szCs w:val="20"/>
          <w:lang w:val="es-AR"/>
        </w:rPr>
        <w:t xml:space="preserve">. </w:t>
      </w:r>
    </w:p>
    <w:p w14:paraId="347653FC" w14:textId="77777777" w:rsidR="00F71061" w:rsidRPr="00386E47" w:rsidRDefault="00F71061" w:rsidP="00347DFB">
      <w:pPr>
        <w:tabs>
          <w:tab w:val="left" w:pos="0"/>
          <w:tab w:val="left" w:pos="567"/>
        </w:tabs>
        <w:contextualSpacing/>
        <w:jc w:val="both"/>
        <w:rPr>
          <w:rFonts w:asciiTheme="majorHAnsi" w:eastAsia="Calibri" w:hAnsiTheme="majorHAnsi"/>
          <w:sz w:val="20"/>
          <w:szCs w:val="20"/>
          <w:lang w:val="es-AR"/>
        </w:rPr>
      </w:pPr>
    </w:p>
    <w:p w14:paraId="3A80B5ED" w14:textId="77777777" w:rsidR="009F70EA" w:rsidRPr="00386E47" w:rsidRDefault="00D96DFC" w:rsidP="003A5860">
      <w:pPr>
        <w:numPr>
          <w:ilvl w:val="0"/>
          <w:numId w:val="55"/>
        </w:numPr>
        <w:tabs>
          <w:tab w:val="left" w:pos="0"/>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La Comisión</w:t>
      </w:r>
      <w:r w:rsidR="009F70EA" w:rsidRPr="00386E47">
        <w:rPr>
          <w:rFonts w:asciiTheme="majorHAnsi" w:eastAsia="Calibri" w:hAnsiTheme="majorHAnsi"/>
          <w:sz w:val="20"/>
          <w:szCs w:val="20"/>
          <w:lang w:val="es-AR"/>
        </w:rPr>
        <w:t xml:space="preserve"> </w:t>
      </w:r>
      <w:r w:rsidR="0023330E" w:rsidRPr="00386E47">
        <w:rPr>
          <w:rFonts w:asciiTheme="majorHAnsi" w:eastAsia="Calibri" w:hAnsiTheme="majorHAnsi"/>
          <w:sz w:val="20"/>
          <w:szCs w:val="20"/>
          <w:lang w:val="es-AR"/>
        </w:rPr>
        <w:t xml:space="preserve">considera </w:t>
      </w:r>
      <w:r w:rsidR="003D4AE0" w:rsidRPr="00386E47">
        <w:rPr>
          <w:rFonts w:asciiTheme="majorHAnsi" w:eastAsia="Calibri" w:hAnsiTheme="majorHAnsi"/>
          <w:sz w:val="20"/>
          <w:szCs w:val="20"/>
          <w:lang w:val="es-AR"/>
        </w:rPr>
        <w:t xml:space="preserve">que el </w:t>
      </w:r>
      <w:r w:rsidR="009F70EA" w:rsidRPr="00386E47">
        <w:rPr>
          <w:rFonts w:asciiTheme="majorHAnsi" w:eastAsia="Calibri" w:hAnsiTheme="majorHAnsi"/>
          <w:sz w:val="20"/>
          <w:szCs w:val="20"/>
          <w:lang w:val="es-AR"/>
        </w:rPr>
        <w:t>curso de acción seguido por la UFI AM</w:t>
      </w:r>
      <w:r w:rsidR="00F71061" w:rsidRPr="00386E47">
        <w:rPr>
          <w:rFonts w:asciiTheme="majorHAnsi" w:eastAsia="Calibri" w:hAnsiTheme="majorHAnsi"/>
          <w:sz w:val="20"/>
          <w:szCs w:val="20"/>
          <w:lang w:val="es-AR"/>
        </w:rPr>
        <w:t xml:space="preserve">IA a partir de 2015 </w:t>
      </w:r>
      <w:r w:rsidR="003D4AE0" w:rsidRPr="00386E47">
        <w:rPr>
          <w:rFonts w:asciiTheme="majorHAnsi" w:eastAsia="Calibri" w:hAnsiTheme="majorHAnsi"/>
          <w:sz w:val="20"/>
          <w:szCs w:val="20"/>
          <w:lang w:val="es-AR"/>
        </w:rPr>
        <w:t>result</w:t>
      </w:r>
      <w:r w:rsidR="00826A3B" w:rsidRPr="00386E47">
        <w:rPr>
          <w:rFonts w:asciiTheme="majorHAnsi" w:eastAsia="Calibri" w:hAnsiTheme="majorHAnsi"/>
          <w:sz w:val="20"/>
          <w:szCs w:val="20"/>
          <w:lang w:val="es-AR"/>
        </w:rPr>
        <w:t>ó</w:t>
      </w:r>
      <w:r w:rsidR="003D4AE0" w:rsidRPr="00386E47">
        <w:rPr>
          <w:rFonts w:asciiTheme="majorHAnsi" w:eastAsia="Calibri" w:hAnsiTheme="majorHAnsi"/>
          <w:sz w:val="20"/>
          <w:szCs w:val="20"/>
          <w:lang w:val="es-AR"/>
        </w:rPr>
        <w:t xml:space="preserve"> positivo </w:t>
      </w:r>
      <w:r w:rsidR="00F71061" w:rsidRPr="00386E47">
        <w:rPr>
          <w:rFonts w:asciiTheme="majorHAnsi" w:eastAsia="Calibri" w:hAnsiTheme="majorHAnsi"/>
          <w:sz w:val="20"/>
          <w:szCs w:val="20"/>
          <w:lang w:val="es-AR"/>
        </w:rPr>
        <w:t>en lo que respecta a</w:t>
      </w:r>
      <w:r w:rsidR="009F70EA" w:rsidRPr="00386E47">
        <w:rPr>
          <w:rFonts w:asciiTheme="majorHAnsi" w:eastAsia="Calibri" w:hAnsiTheme="majorHAnsi"/>
          <w:sz w:val="20"/>
          <w:szCs w:val="20"/>
          <w:lang w:val="es-AR"/>
        </w:rPr>
        <w:t xml:space="preserve"> la </w:t>
      </w:r>
      <w:r w:rsidR="00F71061" w:rsidRPr="00386E47">
        <w:rPr>
          <w:rFonts w:asciiTheme="majorHAnsi" w:eastAsia="Calibri" w:hAnsiTheme="majorHAnsi"/>
          <w:sz w:val="20"/>
          <w:szCs w:val="20"/>
          <w:lang w:val="es-AR"/>
        </w:rPr>
        <w:t>exploración de</w:t>
      </w:r>
      <w:r w:rsidR="009F70EA" w:rsidRPr="00386E47">
        <w:rPr>
          <w:rFonts w:asciiTheme="majorHAnsi" w:eastAsia="Calibri" w:hAnsiTheme="majorHAnsi"/>
          <w:sz w:val="20"/>
          <w:szCs w:val="20"/>
          <w:lang w:val="es-AR"/>
        </w:rPr>
        <w:t xml:space="preserve"> herramientas propias de la medicina</w:t>
      </w:r>
      <w:r w:rsidR="004432A5" w:rsidRPr="00386E47">
        <w:rPr>
          <w:rFonts w:asciiTheme="majorHAnsi" w:eastAsia="Calibri" w:hAnsiTheme="majorHAnsi"/>
          <w:sz w:val="20"/>
          <w:szCs w:val="20"/>
          <w:lang w:val="es-AR"/>
        </w:rPr>
        <w:t xml:space="preserve"> </w:t>
      </w:r>
      <w:r w:rsidR="009F70EA" w:rsidRPr="00386E47">
        <w:rPr>
          <w:rFonts w:asciiTheme="majorHAnsi" w:eastAsia="Calibri" w:hAnsiTheme="majorHAnsi"/>
          <w:sz w:val="20"/>
          <w:szCs w:val="20"/>
          <w:lang w:val="es-AR"/>
        </w:rPr>
        <w:t>forense</w:t>
      </w:r>
      <w:r w:rsidR="00C21134" w:rsidRPr="00386E47">
        <w:rPr>
          <w:rFonts w:asciiTheme="majorHAnsi" w:eastAsia="Calibri" w:hAnsiTheme="majorHAnsi"/>
          <w:sz w:val="20"/>
          <w:szCs w:val="20"/>
          <w:lang w:val="es-AR"/>
        </w:rPr>
        <w:t xml:space="preserve"> como manera de contribuir a determinar la verdad histórica del hecho. Asimismo, la Comisión es</w:t>
      </w:r>
      <w:r w:rsidR="009F70EA" w:rsidRPr="00386E47">
        <w:rPr>
          <w:rFonts w:asciiTheme="majorHAnsi" w:eastAsia="Calibri" w:hAnsiTheme="majorHAnsi"/>
          <w:sz w:val="20"/>
          <w:szCs w:val="20"/>
          <w:lang w:val="es-AR"/>
        </w:rPr>
        <w:t xml:space="preserve"> consciente que las técnicas de ampliación, purificación y extracción del ADN experimentaron un considerable avance desde </w:t>
      </w:r>
      <w:r w:rsidR="00F71061" w:rsidRPr="00386E47">
        <w:rPr>
          <w:rFonts w:asciiTheme="majorHAnsi" w:eastAsia="Calibri" w:hAnsiTheme="majorHAnsi"/>
          <w:sz w:val="20"/>
          <w:szCs w:val="20"/>
          <w:lang w:val="es-AR"/>
        </w:rPr>
        <w:t xml:space="preserve">el momento del atentado </w:t>
      </w:r>
      <w:r w:rsidR="002D603D" w:rsidRPr="00386E47">
        <w:rPr>
          <w:rFonts w:asciiTheme="majorHAnsi" w:eastAsia="Calibri" w:hAnsiTheme="majorHAnsi"/>
          <w:sz w:val="20"/>
          <w:szCs w:val="20"/>
          <w:lang w:val="es-AR"/>
        </w:rPr>
        <w:t>a la actualidad</w:t>
      </w:r>
      <w:r w:rsidRPr="00386E47">
        <w:rPr>
          <w:rFonts w:asciiTheme="majorHAnsi" w:eastAsia="Calibri" w:hAnsiTheme="majorHAnsi"/>
          <w:sz w:val="20"/>
          <w:szCs w:val="20"/>
          <w:lang w:val="es-AR"/>
        </w:rPr>
        <w:t>. Sin perjuicio de ello</w:t>
      </w:r>
      <w:r w:rsidR="00F71061"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la Comisión observa que </w:t>
      </w:r>
      <w:r w:rsidR="00F71061" w:rsidRPr="00386E47">
        <w:rPr>
          <w:rFonts w:asciiTheme="majorHAnsi" w:eastAsia="Calibri" w:hAnsiTheme="majorHAnsi"/>
          <w:sz w:val="20"/>
          <w:szCs w:val="20"/>
          <w:lang w:val="es-AR"/>
        </w:rPr>
        <w:t xml:space="preserve">el Estado argentino </w:t>
      </w:r>
      <w:r w:rsidR="002D603D" w:rsidRPr="00386E47">
        <w:rPr>
          <w:rFonts w:asciiTheme="majorHAnsi" w:eastAsia="Calibri" w:hAnsiTheme="majorHAnsi"/>
          <w:sz w:val="20"/>
          <w:szCs w:val="20"/>
          <w:lang w:val="es-AR"/>
        </w:rPr>
        <w:t xml:space="preserve">no brindó a lo largo de este proceso </w:t>
      </w:r>
      <w:r w:rsidR="009E48F1" w:rsidRPr="00386E47">
        <w:rPr>
          <w:rFonts w:asciiTheme="majorHAnsi" w:eastAsia="Calibri" w:hAnsiTheme="majorHAnsi"/>
          <w:sz w:val="20"/>
          <w:szCs w:val="20"/>
          <w:lang w:val="es-AR"/>
        </w:rPr>
        <w:t>razón</w:t>
      </w:r>
      <w:r w:rsidR="002D603D" w:rsidRPr="00386E47">
        <w:rPr>
          <w:rFonts w:asciiTheme="majorHAnsi" w:eastAsia="Calibri" w:hAnsiTheme="majorHAnsi"/>
          <w:sz w:val="20"/>
          <w:szCs w:val="20"/>
          <w:lang w:val="es-AR"/>
        </w:rPr>
        <w:t xml:space="preserve"> alguna</w:t>
      </w:r>
      <w:r w:rsidR="009F70EA" w:rsidRPr="00386E47">
        <w:rPr>
          <w:rFonts w:asciiTheme="majorHAnsi" w:eastAsia="Calibri" w:hAnsiTheme="majorHAnsi"/>
          <w:sz w:val="20"/>
          <w:szCs w:val="20"/>
          <w:lang w:val="es-AR"/>
        </w:rPr>
        <w:t xml:space="preserve"> por las cua</w:t>
      </w:r>
      <w:r w:rsidR="002D603D" w:rsidRPr="00386E47">
        <w:rPr>
          <w:rFonts w:asciiTheme="majorHAnsi" w:eastAsia="Calibri" w:hAnsiTheme="majorHAnsi"/>
          <w:sz w:val="20"/>
          <w:szCs w:val="20"/>
          <w:lang w:val="es-AR"/>
        </w:rPr>
        <w:t>l</w:t>
      </w:r>
      <w:r w:rsidR="00C21134" w:rsidRPr="00386E47">
        <w:rPr>
          <w:rFonts w:asciiTheme="majorHAnsi" w:eastAsia="Calibri" w:hAnsiTheme="majorHAnsi"/>
          <w:sz w:val="20"/>
          <w:szCs w:val="20"/>
          <w:lang w:val="es-AR"/>
        </w:rPr>
        <w:t xml:space="preserve"> el mencionado</w:t>
      </w:r>
      <w:r w:rsidR="009F70EA" w:rsidRPr="00386E47">
        <w:rPr>
          <w:rFonts w:asciiTheme="majorHAnsi" w:eastAsia="Calibri" w:hAnsiTheme="majorHAnsi"/>
          <w:sz w:val="20"/>
          <w:szCs w:val="20"/>
          <w:lang w:val="es-AR"/>
        </w:rPr>
        <w:t xml:space="preserve"> peritaje científico </w:t>
      </w:r>
      <w:r w:rsidR="00F71061" w:rsidRPr="00386E47">
        <w:rPr>
          <w:rFonts w:asciiTheme="majorHAnsi" w:eastAsia="Calibri" w:hAnsiTheme="majorHAnsi"/>
          <w:sz w:val="20"/>
          <w:szCs w:val="20"/>
          <w:lang w:val="es-AR"/>
        </w:rPr>
        <w:t xml:space="preserve">fue </w:t>
      </w:r>
      <w:r w:rsidR="00C21134" w:rsidRPr="00386E47">
        <w:rPr>
          <w:rFonts w:asciiTheme="majorHAnsi" w:eastAsia="Calibri" w:hAnsiTheme="majorHAnsi"/>
          <w:sz w:val="20"/>
          <w:szCs w:val="20"/>
          <w:lang w:val="es-AR"/>
        </w:rPr>
        <w:t>ordenado e iniciado</w:t>
      </w:r>
      <w:r w:rsidR="00F71061" w:rsidRPr="00386E47">
        <w:rPr>
          <w:rFonts w:asciiTheme="majorHAnsi" w:eastAsia="Calibri" w:hAnsiTheme="majorHAnsi"/>
          <w:sz w:val="20"/>
          <w:szCs w:val="20"/>
          <w:lang w:val="es-AR"/>
        </w:rPr>
        <w:t xml:space="preserve"> recién en marzo de 2016, es decir, a casi 22 años de acontecidos los hechos</w:t>
      </w:r>
      <w:r w:rsidR="00C21134" w:rsidRPr="00386E47">
        <w:rPr>
          <w:rFonts w:asciiTheme="majorHAnsi" w:eastAsia="Calibri" w:hAnsiTheme="majorHAnsi"/>
          <w:sz w:val="20"/>
          <w:szCs w:val="20"/>
          <w:lang w:val="es-AR"/>
        </w:rPr>
        <w:t xml:space="preserve">. Esta situación </w:t>
      </w:r>
      <w:r w:rsidRPr="00386E47">
        <w:rPr>
          <w:rFonts w:asciiTheme="majorHAnsi" w:eastAsia="Calibri" w:hAnsiTheme="majorHAnsi"/>
          <w:sz w:val="20"/>
          <w:szCs w:val="20"/>
          <w:lang w:val="es-AR"/>
        </w:rPr>
        <w:t>constituye</w:t>
      </w:r>
      <w:r w:rsidR="002A3811" w:rsidRPr="00386E47">
        <w:rPr>
          <w:rFonts w:asciiTheme="majorHAnsi" w:eastAsia="Calibri" w:hAnsiTheme="majorHAnsi"/>
          <w:sz w:val="20"/>
          <w:szCs w:val="20"/>
          <w:lang w:val="es-AR"/>
        </w:rPr>
        <w:t xml:space="preserve">, </w:t>
      </w:r>
      <w:r w:rsidR="00C21134" w:rsidRPr="00386E47">
        <w:rPr>
          <w:rFonts w:asciiTheme="majorHAnsi" w:eastAsia="Calibri" w:hAnsiTheme="majorHAnsi"/>
          <w:sz w:val="20"/>
          <w:szCs w:val="20"/>
          <w:lang w:val="es-AR"/>
        </w:rPr>
        <w:t xml:space="preserve">a criterio de la </w:t>
      </w:r>
      <w:r w:rsidR="002A3811" w:rsidRPr="00386E47">
        <w:rPr>
          <w:rFonts w:asciiTheme="majorHAnsi" w:eastAsia="Calibri" w:hAnsiTheme="majorHAnsi"/>
          <w:sz w:val="20"/>
          <w:szCs w:val="20"/>
          <w:lang w:val="es-AR"/>
        </w:rPr>
        <w:t xml:space="preserve">Comisión, un incumplimiento del </w:t>
      </w:r>
      <w:r w:rsidRPr="00386E47">
        <w:rPr>
          <w:rFonts w:asciiTheme="majorHAnsi" w:eastAsia="Calibri" w:hAnsiTheme="majorHAnsi"/>
          <w:sz w:val="20"/>
          <w:szCs w:val="20"/>
          <w:lang w:val="es-AR"/>
        </w:rPr>
        <w:t>deber</w:t>
      </w:r>
      <w:r w:rsidR="002A3811" w:rsidRPr="00386E47">
        <w:rPr>
          <w:rFonts w:asciiTheme="majorHAnsi" w:eastAsia="Calibri" w:hAnsiTheme="majorHAnsi"/>
          <w:sz w:val="20"/>
          <w:szCs w:val="20"/>
          <w:lang w:val="es-AR"/>
        </w:rPr>
        <w:t xml:space="preserve"> estatal de actuar con</w:t>
      </w:r>
      <w:r w:rsidRPr="00386E47">
        <w:rPr>
          <w:rFonts w:asciiTheme="majorHAnsi" w:eastAsia="Calibri" w:hAnsiTheme="majorHAnsi"/>
          <w:sz w:val="20"/>
          <w:szCs w:val="20"/>
          <w:lang w:val="es-AR"/>
        </w:rPr>
        <w:t xml:space="preserve"> la debida diligencia</w:t>
      </w:r>
      <w:r w:rsidR="002A3811" w:rsidRPr="00386E47">
        <w:rPr>
          <w:rFonts w:asciiTheme="majorHAnsi" w:eastAsia="Calibri" w:hAnsiTheme="majorHAnsi"/>
          <w:sz w:val="20"/>
          <w:szCs w:val="20"/>
          <w:lang w:val="es-AR"/>
        </w:rPr>
        <w:t xml:space="preserve"> en la investigación de los hechos</w:t>
      </w:r>
      <w:r w:rsidR="00F71061" w:rsidRPr="00386E47">
        <w:rPr>
          <w:rFonts w:asciiTheme="majorHAnsi" w:eastAsia="Calibri" w:hAnsiTheme="majorHAnsi"/>
          <w:sz w:val="20"/>
          <w:szCs w:val="20"/>
          <w:lang w:val="es-AR"/>
        </w:rPr>
        <w:t>.</w:t>
      </w:r>
      <w:r w:rsidR="00340607" w:rsidRPr="00386E47">
        <w:rPr>
          <w:rFonts w:asciiTheme="majorHAnsi" w:eastAsia="Calibri" w:hAnsiTheme="majorHAnsi"/>
          <w:sz w:val="20"/>
          <w:szCs w:val="20"/>
          <w:lang w:val="es-AR"/>
        </w:rPr>
        <w:t xml:space="preserve"> </w:t>
      </w:r>
      <w:r w:rsidR="00826A3B" w:rsidRPr="00386E47">
        <w:rPr>
          <w:rFonts w:asciiTheme="majorHAnsi" w:eastAsia="Calibri" w:hAnsiTheme="majorHAnsi"/>
          <w:sz w:val="20"/>
          <w:szCs w:val="20"/>
          <w:lang w:val="es-AR"/>
        </w:rPr>
        <w:t>C</w:t>
      </w:r>
      <w:r w:rsidR="008F2D2C" w:rsidRPr="00386E47">
        <w:rPr>
          <w:rFonts w:asciiTheme="majorHAnsi" w:eastAsia="Calibri" w:hAnsiTheme="majorHAnsi"/>
          <w:sz w:val="20"/>
          <w:szCs w:val="20"/>
          <w:lang w:val="es-AR"/>
        </w:rPr>
        <w:t xml:space="preserve">omo se </w:t>
      </w:r>
      <w:r w:rsidR="004432A5" w:rsidRPr="00386E47">
        <w:rPr>
          <w:rFonts w:asciiTheme="majorHAnsi" w:eastAsia="Calibri" w:hAnsiTheme="majorHAnsi"/>
          <w:sz w:val="20"/>
          <w:szCs w:val="20"/>
          <w:lang w:val="es-AR"/>
        </w:rPr>
        <w:lastRenderedPageBreak/>
        <w:t>señalará</w:t>
      </w:r>
      <w:r w:rsidR="008F2D2C" w:rsidRPr="00386E47">
        <w:rPr>
          <w:rFonts w:asciiTheme="majorHAnsi" w:eastAsia="Calibri" w:hAnsiTheme="majorHAnsi"/>
          <w:sz w:val="20"/>
          <w:szCs w:val="20"/>
          <w:lang w:val="es-AR"/>
        </w:rPr>
        <w:t xml:space="preserve"> en los párrafos siguientes, tales demoras </w:t>
      </w:r>
      <w:r w:rsidR="009F70EA" w:rsidRPr="00386E47">
        <w:rPr>
          <w:rFonts w:asciiTheme="majorHAnsi" w:eastAsia="Calibri" w:hAnsiTheme="majorHAnsi"/>
          <w:sz w:val="20"/>
          <w:szCs w:val="20"/>
          <w:lang w:val="es-AR"/>
        </w:rPr>
        <w:t>cobra</w:t>
      </w:r>
      <w:r w:rsidR="008F2D2C" w:rsidRPr="00386E47">
        <w:rPr>
          <w:rFonts w:asciiTheme="majorHAnsi" w:eastAsia="Calibri" w:hAnsiTheme="majorHAnsi"/>
          <w:sz w:val="20"/>
          <w:szCs w:val="20"/>
          <w:lang w:val="es-AR"/>
        </w:rPr>
        <w:t>n</w:t>
      </w:r>
      <w:r w:rsidR="009F70EA" w:rsidRPr="00386E47">
        <w:rPr>
          <w:rFonts w:asciiTheme="majorHAnsi" w:eastAsia="Calibri" w:hAnsiTheme="majorHAnsi"/>
          <w:sz w:val="20"/>
          <w:szCs w:val="20"/>
          <w:lang w:val="es-AR"/>
        </w:rPr>
        <w:t xml:space="preserve"> aún más relevancia si se tienen en cuenta los resultados que arrojó </w:t>
      </w:r>
      <w:r w:rsidR="002B6A9B" w:rsidRPr="00386E47">
        <w:rPr>
          <w:rFonts w:asciiTheme="majorHAnsi" w:eastAsia="Calibri" w:hAnsiTheme="majorHAnsi"/>
          <w:sz w:val="20"/>
          <w:szCs w:val="20"/>
          <w:lang w:val="es-AR"/>
        </w:rPr>
        <w:t xml:space="preserve">la medida </w:t>
      </w:r>
      <w:r w:rsidR="0023330E" w:rsidRPr="00386E47">
        <w:rPr>
          <w:rFonts w:asciiTheme="majorHAnsi" w:eastAsia="Calibri" w:hAnsiTheme="majorHAnsi"/>
          <w:sz w:val="20"/>
          <w:szCs w:val="20"/>
          <w:lang w:val="es-AR"/>
        </w:rPr>
        <w:t xml:space="preserve">una vez que </w:t>
      </w:r>
      <w:r w:rsidR="002B6A9B" w:rsidRPr="00386E47">
        <w:rPr>
          <w:rFonts w:asciiTheme="majorHAnsi" w:eastAsia="Calibri" w:hAnsiTheme="majorHAnsi"/>
          <w:sz w:val="20"/>
          <w:szCs w:val="20"/>
          <w:lang w:val="es-AR"/>
        </w:rPr>
        <w:t xml:space="preserve">fue </w:t>
      </w:r>
      <w:r w:rsidR="009F70EA" w:rsidRPr="00386E47">
        <w:rPr>
          <w:rFonts w:asciiTheme="majorHAnsi" w:eastAsia="Calibri" w:hAnsiTheme="majorHAnsi"/>
          <w:sz w:val="20"/>
          <w:szCs w:val="20"/>
          <w:lang w:val="es-AR"/>
        </w:rPr>
        <w:t xml:space="preserve">culminada. </w:t>
      </w:r>
    </w:p>
    <w:p w14:paraId="76D01498" w14:textId="77777777" w:rsidR="00335B7F" w:rsidRPr="00386E47" w:rsidRDefault="00335B7F" w:rsidP="00A311A0">
      <w:pPr>
        <w:tabs>
          <w:tab w:val="left" w:pos="567"/>
        </w:tabs>
        <w:contextualSpacing/>
        <w:jc w:val="both"/>
        <w:rPr>
          <w:rFonts w:asciiTheme="majorHAnsi" w:eastAsia="Calibri" w:hAnsiTheme="majorHAnsi"/>
          <w:sz w:val="20"/>
          <w:szCs w:val="20"/>
          <w:lang w:val="es-AR"/>
        </w:rPr>
      </w:pPr>
    </w:p>
    <w:p w14:paraId="27B300B5" w14:textId="77777777" w:rsidR="009F70EA" w:rsidRPr="00386E47" w:rsidRDefault="009F70EA" w:rsidP="009146F2">
      <w:pPr>
        <w:pStyle w:val="Heading5"/>
        <w:numPr>
          <w:ilvl w:val="0"/>
          <w:numId w:val="69"/>
        </w:numPr>
      </w:pPr>
      <w:r w:rsidRPr="00386E47">
        <w:t>Respecto a la determinación de la identidad de la persona que se habría inmolado en el atentado</w:t>
      </w:r>
      <w:r w:rsidR="00E51C4F" w:rsidRPr="00386E47">
        <w:t xml:space="preserve"> </w:t>
      </w:r>
    </w:p>
    <w:p w14:paraId="192EF267" w14:textId="77777777" w:rsidR="00D96DFC" w:rsidRPr="00386E47" w:rsidRDefault="00D96DFC" w:rsidP="00A311A0">
      <w:pPr>
        <w:tabs>
          <w:tab w:val="left" w:pos="567"/>
        </w:tabs>
        <w:contextualSpacing/>
        <w:jc w:val="both"/>
        <w:rPr>
          <w:rFonts w:asciiTheme="majorHAnsi" w:eastAsia="Calibri" w:hAnsiTheme="majorHAnsi"/>
          <w:b/>
          <w:sz w:val="20"/>
          <w:szCs w:val="20"/>
          <w:lang w:val="es-AR"/>
        </w:rPr>
      </w:pPr>
    </w:p>
    <w:p w14:paraId="39161A4E" w14:textId="77777777" w:rsidR="00D54921" w:rsidRPr="00386E47" w:rsidRDefault="00A34097" w:rsidP="00DD1075">
      <w:pPr>
        <w:numPr>
          <w:ilvl w:val="0"/>
          <w:numId w:val="55"/>
        </w:numPr>
        <w:tabs>
          <w:tab w:val="left" w:pos="567"/>
        </w:tabs>
        <w:ind w:left="0" w:firstLine="0"/>
        <w:contextualSpacing/>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El </w:t>
      </w:r>
      <w:r w:rsidR="009F70EA" w:rsidRPr="00386E47">
        <w:rPr>
          <w:rFonts w:asciiTheme="majorHAnsi" w:eastAsia="Calibri" w:hAnsiTheme="majorHAnsi"/>
          <w:sz w:val="20"/>
          <w:szCs w:val="20"/>
          <w:lang w:val="es-AR"/>
        </w:rPr>
        <w:t xml:space="preserve"> TOF 3 en su sentencia de octubre de 2004 </w:t>
      </w:r>
      <w:r w:rsidR="00891749" w:rsidRPr="00386E47">
        <w:rPr>
          <w:rFonts w:asciiTheme="majorHAnsi" w:eastAsia="Calibri" w:hAnsiTheme="majorHAnsi"/>
          <w:sz w:val="20"/>
          <w:szCs w:val="20"/>
          <w:lang w:val="es-AR"/>
        </w:rPr>
        <w:t>concluyó que</w:t>
      </w:r>
      <w:r w:rsidR="009F70EA" w:rsidRPr="00386E47">
        <w:rPr>
          <w:rFonts w:asciiTheme="majorHAnsi" w:eastAsia="Calibri" w:hAnsiTheme="majorHAnsi"/>
          <w:sz w:val="20"/>
          <w:szCs w:val="20"/>
          <w:lang w:val="es-AR"/>
        </w:rPr>
        <w:t xml:space="preserve"> el atentado a la AMIA </w:t>
      </w:r>
      <w:r w:rsidR="00041323" w:rsidRPr="00386E47">
        <w:rPr>
          <w:rFonts w:asciiTheme="majorHAnsi" w:eastAsia="Calibri" w:hAnsiTheme="majorHAnsi"/>
          <w:sz w:val="20"/>
          <w:szCs w:val="20"/>
          <w:lang w:val="es-AR"/>
        </w:rPr>
        <w:t>fue</w:t>
      </w:r>
      <w:r w:rsidR="009F70EA" w:rsidRPr="00386E47">
        <w:rPr>
          <w:rFonts w:asciiTheme="majorHAnsi" w:eastAsia="Calibri" w:hAnsiTheme="majorHAnsi"/>
          <w:sz w:val="20"/>
          <w:szCs w:val="20"/>
          <w:lang w:val="es-AR"/>
        </w:rPr>
        <w:t xml:space="preserve"> provocado por la detonación de una carga explosiva colocada en la parte trasera de una camioneta Renault Trafic</w:t>
      </w:r>
      <w:r w:rsidR="009F70EA" w:rsidRPr="00386E47">
        <w:rPr>
          <w:rFonts w:asciiTheme="majorHAnsi" w:eastAsia="Calibri" w:hAnsiTheme="majorHAnsi"/>
          <w:sz w:val="20"/>
          <w:szCs w:val="20"/>
          <w:vertAlign w:val="superscript"/>
          <w:lang w:val="es-AR"/>
        </w:rPr>
        <w:footnoteReference w:id="231"/>
      </w:r>
      <w:r w:rsidR="009F70EA" w:rsidRPr="00386E47">
        <w:rPr>
          <w:rFonts w:asciiTheme="majorHAnsi" w:eastAsia="Calibri" w:hAnsiTheme="majorHAnsi"/>
          <w:sz w:val="20"/>
          <w:szCs w:val="20"/>
          <w:lang w:val="es-AR"/>
        </w:rPr>
        <w:t xml:space="preserve">. </w:t>
      </w:r>
      <w:r w:rsidR="00826A3B" w:rsidRPr="00386E47">
        <w:rPr>
          <w:rFonts w:asciiTheme="majorHAnsi" w:eastAsia="Calibri" w:hAnsiTheme="majorHAnsi"/>
          <w:sz w:val="20"/>
          <w:szCs w:val="20"/>
          <w:lang w:val="es-AR"/>
        </w:rPr>
        <w:t>E</w:t>
      </w:r>
      <w:r w:rsidR="006C0095" w:rsidRPr="00386E47">
        <w:rPr>
          <w:rFonts w:asciiTheme="majorHAnsi" w:eastAsia="Calibri" w:hAnsiTheme="majorHAnsi"/>
          <w:sz w:val="20"/>
          <w:szCs w:val="20"/>
          <w:lang w:val="es-AR"/>
        </w:rPr>
        <w:t>n</w:t>
      </w:r>
      <w:r w:rsidR="009F70EA" w:rsidRPr="00386E47">
        <w:rPr>
          <w:rFonts w:asciiTheme="majorHAnsi" w:eastAsia="Calibri" w:hAnsiTheme="majorHAnsi"/>
          <w:sz w:val="20"/>
          <w:szCs w:val="20"/>
          <w:lang w:val="es-AR"/>
        </w:rPr>
        <w:t xml:space="preserve"> el dictamen de fecha 25 de octubre de 2006, la UFI AMIA </w:t>
      </w:r>
      <w:r w:rsidR="00D54921" w:rsidRPr="00386E47">
        <w:rPr>
          <w:rFonts w:asciiTheme="majorHAnsi" w:eastAsia="Calibri" w:hAnsiTheme="majorHAnsi"/>
          <w:sz w:val="20"/>
          <w:szCs w:val="20"/>
          <w:lang w:val="es-AR"/>
        </w:rPr>
        <w:t>señal</w:t>
      </w:r>
      <w:r w:rsidR="007146CB" w:rsidRPr="00386E47">
        <w:rPr>
          <w:rFonts w:asciiTheme="majorHAnsi" w:eastAsia="Calibri" w:hAnsiTheme="majorHAnsi"/>
          <w:sz w:val="20"/>
          <w:szCs w:val="20"/>
          <w:lang w:val="es-AR"/>
        </w:rPr>
        <w:t>ó</w:t>
      </w:r>
      <w:r w:rsidR="00D54921" w:rsidRPr="00386E47">
        <w:rPr>
          <w:rFonts w:asciiTheme="majorHAnsi" w:eastAsia="Calibri" w:hAnsiTheme="majorHAnsi"/>
          <w:sz w:val="20"/>
          <w:szCs w:val="20"/>
          <w:lang w:val="es-AR"/>
        </w:rPr>
        <w:t xml:space="preserve"> a un ciudadano de origen libanés llamado Ibrahim Hussein Berro como el conductor de la Trafic que</w:t>
      </w:r>
      <w:r w:rsidR="009F70EA" w:rsidRPr="00386E47">
        <w:rPr>
          <w:rFonts w:asciiTheme="majorHAnsi" w:eastAsia="Calibri" w:hAnsiTheme="majorHAnsi"/>
          <w:sz w:val="20"/>
          <w:szCs w:val="20"/>
          <w:lang w:val="es-AR"/>
        </w:rPr>
        <w:t xml:space="preserve"> se</w:t>
      </w:r>
      <w:r w:rsidR="00891749" w:rsidRPr="00386E47">
        <w:rPr>
          <w:rFonts w:asciiTheme="majorHAnsi" w:eastAsia="Calibri" w:hAnsiTheme="majorHAnsi"/>
          <w:sz w:val="20"/>
          <w:szCs w:val="20"/>
          <w:lang w:val="es-AR"/>
        </w:rPr>
        <w:t xml:space="preserve"> habría</w:t>
      </w:r>
      <w:r w:rsidR="009F70EA" w:rsidRPr="00386E47">
        <w:rPr>
          <w:rFonts w:asciiTheme="majorHAnsi" w:eastAsia="Calibri" w:hAnsiTheme="majorHAnsi"/>
          <w:sz w:val="20"/>
          <w:szCs w:val="20"/>
          <w:lang w:val="es-AR"/>
        </w:rPr>
        <w:t xml:space="preserve"> </w:t>
      </w:r>
      <w:r w:rsidR="007146CB" w:rsidRPr="00386E47">
        <w:rPr>
          <w:rFonts w:asciiTheme="majorHAnsi" w:eastAsia="Calibri" w:hAnsiTheme="majorHAnsi"/>
          <w:sz w:val="20"/>
          <w:szCs w:val="20"/>
          <w:lang w:val="es-AR"/>
        </w:rPr>
        <w:t>estrella</w:t>
      </w:r>
      <w:r w:rsidR="00826A3B" w:rsidRPr="00386E47">
        <w:rPr>
          <w:rFonts w:asciiTheme="majorHAnsi" w:eastAsia="Calibri" w:hAnsiTheme="majorHAnsi"/>
          <w:sz w:val="20"/>
          <w:szCs w:val="20"/>
          <w:lang w:val="es-AR"/>
        </w:rPr>
        <w:t>d</w:t>
      </w:r>
      <w:r w:rsidR="007146CB" w:rsidRPr="00386E47">
        <w:rPr>
          <w:rFonts w:asciiTheme="majorHAnsi" w:eastAsia="Calibri" w:hAnsiTheme="majorHAnsi"/>
          <w:sz w:val="20"/>
          <w:szCs w:val="20"/>
          <w:lang w:val="es-AR"/>
        </w:rPr>
        <w:t xml:space="preserve">o </w:t>
      </w:r>
      <w:r w:rsidR="009F70EA" w:rsidRPr="00386E47">
        <w:rPr>
          <w:rFonts w:asciiTheme="majorHAnsi" w:eastAsia="Calibri" w:hAnsiTheme="majorHAnsi"/>
          <w:sz w:val="20"/>
          <w:szCs w:val="20"/>
          <w:lang w:val="es-AR"/>
        </w:rPr>
        <w:t>frente a la AMIA. De acuerdo con los fiscales, la primera información que relacionó el nombre de Berro con el atentado fue proporcionada por una fuente cuya identidad se mantuvo en reserva a lo largo del dictamen</w:t>
      </w:r>
      <w:r w:rsidR="00D54921" w:rsidRPr="00386E47">
        <w:rPr>
          <w:rFonts w:asciiTheme="majorHAnsi" w:eastAsia="Calibri" w:hAnsiTheme="majorHAnsi"/>
          <w:sz w:val="20"/>
          <w:szCs w:val="20"/>
          <w:lang w:val="es-AR"/>
        </w:rPr>
        <w:t xml:space="preserve"> durante</w:t>
      </w:r>
      <w:r w:rsidR="009F70EA" w:rsidRPr="00386E47">
        <w:rPr>
          <w:rFonts w:asciiTheme="majorHAnsi" w:eastAsia="Calibri" w:hAnsiTheme="majorHAnsi"/>
          <w:sz w:val="20"/>
          <w:szCs w:val="20"/>
          <w:lang w:val="es-AR"/>
        </w:rPr>
        <w:t xml:space="preserve"> un</w:t>
      </w:r>
      <w:r w:rsidR="007146CB" w:rsidRPr="00386E47">
        <w:rPr>
          <w:rFonts w:asciiTheme="majorHAnsi" w:eastAsia="Calibri" w:hAnsiTheme="majorHAnsi"/>
          <w:sz w:val="20"/>
          <w:szCs w:val="20"/>
          <w:lang w:val="es-AR"/>
        </w:rPr>
        <w:t xml:space="preserve">a entrevista </w:t>
      </w:r>
      <w:r w:rsidR="009F70EA" w:rsidRPr="00386E47">
        <w:rPr>
          <w:rFonts w:asciiTheme="majorHAnsi" w:eastAsia="Calibri" w:hAnsiTheme="majorHAnsi"/>
          <w:sz w:val="20"/>
          <w:szCs w:val="20"/>
          <w:lang w:val="es-AR"/>
        </w:rPr>
        <w:t>celebrada en la ciudad de Montevideo en el año 2001</w:t>
      </w:r>
      <w:r w:rsidR="007146CB" w:rsidRPr="00386E47">
        <w:rPr>
          <w:rFonts w:asciiTheme="majorHAnsi" w:eastAsia="Calibri" w:hAnsiTheme="majorHAnsi"/>
          <w:sz w:val="20"/>
          <w:szCs w:val="20"/>
          <w:lang w:val="es-AR"/>
        </w:rPr>
        <w:t xml:space="preserve"> con </w:t>
      </w:r>
      <w:r w:rsidR="009F70EA" w:rsidRPr="00386E47">
        <w:rPr>
          <w:rFonts w:asciiTheme="majorHAnsi" w:eastAsia="Calibri" w:hAnsiTheme="majorHAnsi"/>
          <w:sz w:val="20"/>
          <w:szCs w:val="20"/>
          <w:lang w:val="es-AR"/>
        </w:rPr>
        <w:t xml:space="preserve">agentes de la SIDE y el FBI. </w:t>
      </w:r>
      <w:r w:rsidR="00D54921" w:rsidRPr="00386E47">
        <w:rPr>
          <w:rFonts w:asciiTheme="majorHAnsi" w:eastAsia="Calibri" w:hAnsiTheme="majorHAnsi"/>
          <w:sz w:val="20"/>
          <w:szCs w:val="20"/>
          <w:lang w:val="es-AR"/>
        </w:rPr>
        <w:t>Dicha</w:t>
      </w:r>
      <w:r w:rsidR="009F70EA" w:rsidRPr="00386E47">
        <w:rPr>
          <w:rFonts w:asciiTheme="majorHAnsi" w:eastAsia="Calibri" w:hAnsiTheme="majorHAnsi"/>
          <w:sz w:val="20"/>
          <w:szCs w:val="20"/>
          <w:lang w:val="es-AR"/>
        </w:rPr>
        <w:t xml:space="preserve"> fuente, identificada como “un ciudada</w:t>
      </w:r>
      <w:r w:rsidR="000645DE" w:rsidRPr="00386E47">
        <w:rPr>
          <w:rFonts w:asciiTheme="majorHAnsi" w:eastAsia="Calibri" w:hAnsiTheme="majorHAnsi"/>
          <w:sz w:val="20"/>
          <w:szCs w:val="20"/>
          <w:lang w:val="es-AR"/>
        </w:rPr>
        <w:t xml:space="preserve">no libanés, </w:t>
      </w:r>
      <w:r w:rsidR="009F70EA" w:rsidRPr="00386E47">
        <w:rPr>
          <w:rFonts w:asciiTheme="majorHAnsi" w:eastAsia="Calibri" w:hAnsiTheme="majorHAnsi"/>
          <w:sz w:val="20"/>
          <w:szCs w:val="20"/>
          <w:lang w:val="es-AR"/>
        </w:rPr>
        <w:t>ex militante del grupo terrorista Hezbollah”, aseguró que una persona que viv</w:t>
      </w:r>
      <w:r w:rsidR="00D54921" w:rsidRPr="00386E47">
        <w:rPr>
          <w:rFonts w:asciiTheme="majorHAnsi" w:eastAsia="Calibri" w:hAnsiTheme="majorHAnsi"/>
          <w:sz w:val="20"/>
          <w:szCs w:val="20"/>
          <w:lang w:val="es-AR"/>
        </w:rPr>
        <w:t>ía cerca de su domicilio llamada</w:t>
      </w:r>
      <w:r w:rsidR="009F70EA" w:rsidRPr="00386E47">
        <w:rPr>
          <w:rFonts w:asciiTheme="majorHAnsi" w:eastAsia="Calibri" w:hAnsiTheme="majorHAnsi"/>
          <w:sz w:val="20"/>
          <w:szCs w:val="20"/>
          <w:lang w:val="es-AR"/>
        </w:rPr>
        <w:t xml:space="preserve"> Abu Mohamed Yassin le había afirmado que “el apellido de aquel que cumplió el rol de suicida en el atentado a la sede de la AMIA era Brru”</w:t>
      </w:r>
      <w:r w:rsidR="009F70EA" w:rsidRPr="00386E47">
        <w:rPr>
          <w:rFonts w:asciiTheme="majorHAnsi" w:eastAsia="Calibri" w:hAnsiTheme="majorHAnsi"/>
          <w:sz w:val="20"/>
          <w:szCs w:val="20"/>
          <w:vertAlign w:val="superscript"/>
          <w:lang w:val="es-AR"/>
        </w:rPr>
        <w:footnoteReference w:id="232"/>
      </w:r>
      <w:r w:rsidR="002C22A1" w:rsidRPr="00386E47">
        <w:rPr>
          <w:rFonts w:asciiTheme="majorHAnsi" w:eastAsia="Calibri" w:hAnsiTheme="majorHAnsi"/>
          <w:sz w:val="20"/>
          <w:szCs w:val="20"/>
          <w:lang w:val="es-AR"/>
        </w:rPr>
        <w:t>.</w:t>
      </w:r>
    </w:p>
    <w:p w14:paraId="1FFC07B7" w14:textId="77777777" w:rsidR="00245A1A" w:rsidRPr="00386E47" w:rsidRDefault="00245A1A" w:rsidP="00245A1A">
      <w:pPr>
        <w:tabs>
          <w:tab w:val="left" w:pos="567"/>
        </w:tabs>
        <w:contextualSpacing/>
        <w:jc w:val="both"/>
        <w:rPr>
          <w:rFonts w:asciiTheme="majorHAnsi" w:eastAsia="Calibri" w:hAnsiTheme="majorHAnsi"/>
          <w:b/>
          <w:sz w:val="20"/>
          <w:szCs w:val="20"/>
          <w:lang w:val="es-AR"/>
        </w:rPr>
      </w:pPr>
    </w:p>
    <w:p w14:paraId="22C0C81B" w14:textId="77777777" w:rsidR="00D54921" w:rsidRPr="00386E47" w:rsidRDefault="009F70EA" w:rsidP="003A5860">
      <w:pPr>
        <w:numPr>
          <w:ilvl w:val="0"/>
          <w:numId w:val="55"/>
        </w:numPr>
        <w:tabs>
          <w:tab w:val="left" w:pos="567"/>
        </w:tabs>
        <w:ind w:left="0" w:firstLine="0"/>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En las páginas subsiguientes del dictamen, los fiscales mencionaron una serie de elementos que comprobarían lo expuesto por el individuo que </w:t>
      </w:r>
      <w:r w:rsidR="00C77B23" w:rsidRPr="00386E47">
        <w:rPr>
          <w:rFonts w:asciiTheme="majorHAnsi" w:eastAsia="Calibri" w:hAnsiTheme="majorHAnsi"/>
          <w:sz w:val="20"/>
          <w:szCs w:val="20"/>
          <w:lang w:val="es-AR"/>
        </w:rPr>
        <w:t>fue entrevistado por los agentes de la SIDE en la República Oriental del</w:t>
      </w:r>
      <w:r w:rsidRPr="00386E47">
        <w:rPr>
          <w:rFonts w:asciiTheme="majorHAnsi" w:eastAsia="Calibri" w:hAnsiTheme="majorHAnsi"/>
          <w:sz w:val="20"/>
          <w:szCs w:val="20"/>
          <w:lang w:val="es-AR"/>
        </w:rPr>
        <w:t xml:space="preserve"> Uruguay. En primer término, </w:t>
      </w:r>
      <w:r w:rsidR="000B3023" w:rsidRPr="00386E47">
        <w:rPr>
          <w:rFonts w:asciiTheme="majorHAnsi" w:eastAsia="Calibri" w:hAnsiTheme="majorHAnsi"/>
          <w:sz w:val="20"/>
          <w:szCs w:val="20"/>
          <w:lang w:val="es-AR"/>
        </w:rPr>
        <w:t>consignaron</w:t>
      </w:r>
      <w:r w:rsidRPr="00386E47">
        <w:rPr>
          <w:rFonts w:asciiTheme="majorHAnsi" w:eastAsia="Calibri" w:hAnsiTheme="majorHAnsi"/>
          <w:sz w:val="20"/>
          <w:szCs w:val="20"/>
          <w:lang w:val="es-AR"/>
        </w:rPr>
        <w:t xml:space="preserve"> que el testigo Abolghasem Mesbahi afirm</w:t>
      </w:r>
      <w:r w:rsidR="00891749" w:rsidRPr="00386E47">
        <w:rPr>
          <w:rFonts w:asciiTheme="majorHAnsi" w:eastAsia="Calibri" w:hAnsiTheme="majorHAnsi"/>
          <w:sz w:val="20"/>
          <w:szCs w:val="20"/>
          <w:lang w:val="es-AR"/>
        </w:rPr>
        <w:t>ó</w:t>
      </w:r>
      <w:r w:rsidRPr="00386E47">
        <w:rPr>
          <w:rFonts w:asciiTheme="majorHAnsi" w:eastAsia="Calibri" w:hAnsiTheme="majorHAnsi"/>
          <w:sz w:val="20"/>
          <w:szCs w:val="20"/>
          <w:lang w:val="es-AR"/>
        </w:rPr>
        <w:t xml:space="preserve"> frente al TOF 3 que la persona que se había inmolado era de origen libanés</w:t>
      </w:r>
      <w:r w:rsidR="00DF7A10" w:rsidRPr="00386E47">
        <w:rPr>
          <w:rStyle w:val="FootnoteReference"/>
          <w:rFonts w:asciiTheme="majorHAnsi" w:eastAsia="Calibri" w:hAnsiTheme="majorHAnsi"/>
          <w:sz w:val="20"/>
          <w:szCs w:val="20"/>
          <w:lang w:val="es-AR"/>
        </w:rPr>
        <w:footnoteReference w:id="233"/>
      </w:r>
      <w:r w:rsidRPr="00386E47">
        <w:rPr>
          <w:rFonts w:asciiTheme="majorHAnsi" w:eastAsia="Calibri" w:hAnsiTheme="majorHAnsi"/>
          <w:sz w:val="20"/>
          <w:szCs w:val="20"/>
          <w:lang w:val="es-AR"/>
        </w:rPr>
        <w:t xml:space="preserve">. En segundo </w:t>
      </w:r>
      <w:r w:rsidR="001128D5" w:rsidRPr="00386E47">
        <w:rPr>
          <w:rFonts w:asciiTheme="majorHAnsi" w:eastAsia="Calibri" w:hAnsiTheme="majorHAnsi"/>
          <w:sz w:val="20"/>
          <w:szCs w:val="20"/>
          <w:lang w:val="es-AR"/>
        </w:rPr>
        <w:t xml:space="preserve">lugar, </w:t>
      </w:r>
      <w:r w:rsidRPr="00386E47">
        <w:rPr>
          <w:rFonts w:asciiTheme="majorHAnsi" w:eastAsia="Calibri" w:hAnsiTheme="majorHAnsi"/>
          <w:sz w:val="20"/>
          <w:szCs w:val="20"/>
          <w:lang w:val="es-AR"/>
        </w:rPr>
        <w:t>los fiscales cita</w:t>
      </w:r>
      <w:r w:rsidR="00826A3B" w:rsidRPr="00386E47">
        <w:rPr>
          <w:rFonts w:asciiTheme="majorHAnsi" w:eastAsia="Calibri" w:hAnsiTheme="majorHAnsi"/>
          <w:sz w:val="20"/>
          <w:szCs w:val="20"/>
          <w:lang w:val="es-AR"/>
        </w:rPr>
        <w:t>ron</w:t>
      </w:r>
      <w:r w:rsidRPr="00386E47">
        <w:rPr>
          <w:rFonts w:asciiTheme="majorHAnsi" w:eastAsia="Calibri" w:hAnsiTheme="majorHAnsi"/>
          <w:sz w:val="20"/>
          <w:szCs w:val="20"/>
          <w:lang w:val="es-AR"/>
        </w:rPr>
        <w:t xml:space="preserve"> en numerosos tramos “información proporcionada oportunamente por la Secretaria de Inteligencia”</w:t>
      </w:r>
      <w:r w:rsidRPr="00386E47">
        <w:rPr>
          <w:rFonts w:asciiTheme="majorHAnsi" w:eastAsia="Calibri" w:hAnsiTheme="majorHAnsi"/>
          <w:sz w:val="20"/>
          <w:szCs w:val="20"/>
          <w:vertAlign w:val="superscript"/>
          <w:lang w:val="es-AR"/>
        </w:rPr>
        <w:footnoteReference w:id="234"/>
      </w:r>
      <w:r w:rsidRPr="00386E47">
        <w:rPr>
          <w:rFonts w:asciiTheme="majorHAnsi" w:eastAsia="Calibri" w:hAnsiTheme="majorHAnsi"/>
          <w:sz w:val="20"/>
          <w:szCs w:val="20"/>
          <w:lang w:val="es-AR"/>
        </w:rPr>
        <w:t xml:space="preserve"> e información aportada por un “servicio colateral” de la Secretar</w:t>
      </w:r>
      <w:r w:rsidR="00891749" w:rsidRPr="00386E47">
        <w:rPr>
          <w:rFonts w:asciiTheme="majorHAnsi" w:eastAsia="Calibri" w:hAnsiTheme="majorHAnsi"/>
          <w:sz w:val="20"/>
          <w:szCs w:val="20"/>
          <w:lang w:val="es-AR"/>
        </w:rPr>
        <w:t>í</w:t>
      </w:r>
      <w:r w:rsidRPr="00386E47">
        <w:rPr>
          <w:rFonts w:asciiTheme="majorHAnsi" w:eastAsia="Calibri" w:hAnsiTheme="majorHAnsi"/>
          <w:sz w:val="20"/>
          <w:szCs w:val="20"/>
          <w:lang w:val="es-AR"/>
        </w:rPr>
        <w:t>a de Inteligencia</w:t>
      </w:r>
      <w:r w:rsidRPr="00386E47">
        <w:rPr>
          <w:rFonts w:asciiTheme="majorHAnsi" w:eastAsia="Calibri" w:hAnsiTheme="majorHAnsi"/>
          <w:sz w:val="20"/>
          <w:szCs w:val="20"/>
          <w:vertAlign w:val="superscript"/>
          <w:lang w:val="es-AR"/>
        </w:rPr>
        <w:footnoteReference w:id="235"/>
      </w:r>
      <w:r w:rsidRPr="00386E47">
        <w:rPr>
          <w:rFonts w:asciiTheme="majorHAnsi" w:eastAsia="Calibri" w:hAnsiTheme="majorHAnsi"/>
          <w:sz w:val="20"/>
          <w:szCs w:val="20"/>
          <w:lang w:val="es-AR"/>
        </w:rPr>
        <w:t>, las cuales estarían incorporadas en un dossier producido por la SIDE, titulado “Informe Internacional”</w:t>
      </w:r>
      <w:r w:rsidR="00826A3B" w:rsidRPr="00386E47">
        <w:rPr>
          <w:rFonts w:asciiTheme="majorHAnsi" w:eastAsia="Calibri" w:hAnsiTheme="majorHAnsi"/>
          <w:sz w:val="20"/>
          <w:szCs w:val="20"/>
          <w:lang w:val="es-AR"/>
        </w:rPr>
        <w:t xml:space="preserve"> y que respaldarían en gran medida la citada hipótesis</w:t>
      </w:r>
      <w:r w:rsidRPr="00386E47">
        <w:rPr>
          <w:rFonts w:asciiTheme="majorHAnsi" w:eastAsia="Calibri" w:hAnsiTheme="majorHAnsi"/>
          <w:sz w:val="20"/>
          <w:szCs w:val="20"/>
          <w:lang w:val="es-AR"/>
        </w:rPr>
        <w:t xml:space="preserve">. </w:t>
      </w:r>
    </w:p>
    <w:p w14:paraId="58C9785E" w14:textId="77777777" w:rsidR="007146CB" w:rsidRPr="00386E47" w:rsidRDefault="007146CB" w:rsidP="007146CB">
      <w:pPr>
        <w:pStyle w:val="ListParagraph"/>
        <w:rPr>
          <w:rFonts w:asciiTheme="majorHAnsi" w:eastAsia="Calibri" w:hAnsiTheme="majorHAnsi"/>
          <w:b/>
          <w:sz w:val="20"/>
          <w:szCs w:val="20"/>
          <w:lang w:val="es-AR"/>
        </w:rPr>
      </w:pPr>
    </w:p>
    <w:p w14:paraId="441B8FB5" w14:textId="77777777" w:rsidR="00D95C63" w:rsidRPr="00386E47" w:rsidRDefault="00D95C63" w:rsidP="003A5860">
      <w:pPr>
        <w:numPr>
          <w:ilvl w:val="0"/>
          <w:numId w:val="55"/>
        </w:numPr>
        <w:tabs>
          <w:tab w:val="left" w:pos="567"/>
        </w:tabs>
        <w:ind w:left="0" w:firstLine="0"/>
        <w:jc w:val="both"/>
        <w:rPr>
          <w:rFonts w:asciiTheme="majorHAnsi" w:eastAsia="Calibri" w:hAnsiTheme="majorHAnsi"/>
          <w:sz w:val="20"/>
          <w:szCs w:val="20"/>
          <w:lang w:val="es-ES"/>
        </w:rPr>
      </w:pPr>
      <w:r w:rsidRPr="00386E47">
        <w:rPr>
          <w:rFonts w:asciiTheme="majorHAnsi" w:eastAsia="Calibri" w:hAnsiTheme="majorHAnsi"/>
          <w:sz w:val="20"/>
          <w:szCs w:val="20"/>
          <w:lang w:val="es-AR"/>
        </w:rPr>
        <w:t>Por otra parte, los fiscales enumeraron una serie de comunicaciones telefónicas que se habrían realizado entre mezquitas ubicadas en la ciudad de Foz de Iguazú y un domicilio en la ciudad de Beirut que pertenecería a una persona identificada como Ahmad Ali Berro. La Comisión destaca en este punto que los fiscales aclararon que no habían podido asegurar con  “certeza acerca del posible grado de vinculación” de esta pe</w:t>
      </w:r>
      <w:r w:rsidR="00CE50A8" w:rsidRPr="00386E47">
        <w:rPr>
          <w:rFonts w:asciiTheme="majorHAnsi" w:eastAsia="Calibri" w:hAnsiTheme="majorHAnsi"/>
          <w:sz w:val="20"/>
          <w:szCs w:val="20"/>
          <w:lang w:val="es-AR"/>
        </w:rPr>
        <w:t>rsona con Ibrahim Hussein Berro</w:t>
      </w:r>
      <w:r w:rsidRPr="00386E47">
        <w:rPr>
          <w:rFonts w:asciiTheme="majorHAnsi" w:hAnsiTheme="majorHAnsi"/>
          <w:sz w:val="20"/>
          <w:szCs w:val="20"/>
          <w:vertAlign w:val="superscript"/>
        </w:rPr>
        <w:footnoteReference w:id="236"/>
      </w:r>
      <w:r w:rsidR="00CE50A8" w:rsidRPr="00386E47">
        <w:rPr>
          <w:rFonts w:asciiTheme="majorHAnsi" w:eastAsia="Calibri" w:hAnsiTheme="majorHAnsi"/>
          <w:sz w:val="20"/>
          <w:szCs w:val="20"/>
          <w:lang w:val="es-US"/>
        </w:rPr>
        <w:t>.</w:t>
      </w:r>
      <w:r w:rsidRPr="00386E47">
        <w:rPr>
          <w:rFonts w:asciiTheme="majorHAnsi" w:eastAsia="Calibri" w:hAnsiTheme="majorHAnsi"/>
          <w:sz w:val="20"/>
          <w:szCs w:val="20"/>
          <w:lang w:val="es-AR"/>
        </w:rPr>
        <w:t xml:space="preserve">  </w:t>
      </w:r>
    </w:p>
    <w:p w14:paraId="7064D942" w14:textId="77777777" w:rsidR="00FA4729" w:rsidRPr="00386E47" w:rsidRDefault="00FA4729" w:rsidP="00347DFB">
      <w:pPr>
        <w:tabs>
          <w:tab w:val="left" w:pos="567"/>
        </w:tabs>
        <w:jc w:val="both"/>
        <w:rPr>
          <w:rFonts w:asciiTheme="majorHAnsi" w:eastAsia="Calibri" w:hAnsiTheme="majorHAnsi"/>
          <w:b/>
          <w:sz w:val="20"/>
          <w:szCs w:val="20"/>
          <w:lang w:val="es-AR"/>
        </w:rPr>
      </w:pPr>
    </w:p>
    <w:p w14:paraId="67EFB641" w14:textId="77777777" w:rsidR="00FC22BD" w:rsidRPr="00386E47" w:rsidRDefault="009F70EA" w:rsidP="003A5860">
      <w:pPr>
        <w:numPr>
          <w:ilvl w:val="0"/>
          <w:numId w:val="55"/>
        </w:numPr>
        <w:tabs>
          <w:tab w:val="left" w:pos="567"/>
        </w:tabs>
        <w:ind w:left="0" w:firstLine="0"/>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Adicionalmente, en el dictamen se consigna la información obtenida a partir de una declaración testimonial tomada a dos hermanos de Ibrahim Berro que residían en los Estados Unidos. Los hermanos de Berro afirmaron, en primer lugar, que Ibrahim solía ausentarse del hogar familiar “por periodos largos, de entre dos y tres meses, y que al momento en que su familia recibió la noticia de su muerte, este hacía tiempo que no estaba en su domicilio” </w:t>
      </w:r>
      <w:r w:rsidRPr="00386E47">
        <w:rPr>
          <w:rFonts w:asciiTheme="majorHAnsi" w:eastAsia="Calibri" w:hAnsiTheme="majorHAnsi"/>
          <w:sz w:val="20"/>
          <w:szCs w:val="20"/>
          <w:vertAlign w:val="superscript"/>
          <w:lang w:val="es-AR"/>
        </w:rPr>
        <w:footnoteReference w:id="237"/>
      </w:r>
      <w:r w:rsidRPr="00386E47">
        <w:rPr>
          <w:rFonts w:asciiTheme="majorHAnsi" w:eastAsia="Calibri" w:hAnsiTheme="majorHAnsi"/>
          <w:sz w:val="20"/>
          <w:szCs w:val="20"/>
          <w:lang w:val="es-AR"/>
        </w:rPr>
        <w:t>. En segundo término, aseguraron que a la ceremonia fúnebre por el fallecimiento de Ibrahim asistió el líder del Hezbollah, organización que “había informado que Ibrahim murió en un combate contra tropas israelíes en el sur del Líbano, sin que pudiera ser recuperado su cuerpo”</w:t>
      </w:r>
      <w:r w:rsidRPr="00386E47">
        <w:rPr>
          <w:rFonts w:asciiTheme="majorHAnsi" w:eastAsia="Calibri" w:hAnsiTheme="majorHAnsi"/>
          <w:sz w:val="20"/>
          <w:szCs w:val="20"/>
          <w:vertAlign w:val="superscript"/>
          <w:lang w:val="es-AR"/>
        </w:rPr>
        <w:footnoteReference w:id="238"/>
      </w:r>
      <w:r w:rsidRPr="00386E47">
        <w:rPr>
          <w:rFonts w:asciiTheme="majorHAnsi" w:eastAsia="Calibri" w:hAnsiTheme="majorHAnsi"/>
          <w:sz w:val="20"/>
          <w:szCs w:val="20"/>
          <w:lang w:val="es-AR"/>
        </w:rPr>
        <w:t xml:space="preserve"> </w:t>
      </w:r>
      <w:r w:rsidR="00FC22BD" w:rsidRPr="00386E47">
        <w:rPr>
          <w:rFonts w:asciiTheme="majorHAnsi" w:eastAsia="Calibri" w:hAnsiTheme="majorHAnsi"/>
          <w:sz w:val="20"/>
          <w:szCs w:val="20"/>
          <w:lang w:val="es-AR"/>
        </w:rPr>
        <w:t>.</w:t>
      </w:r>
    </w:p>
    <w:p w14:paraId="722FD06C" w14:textId="77777777" w:rsidR="00FC22BD" w:rsidRPr="00386E47" w:rsidRDefault="00FC22BD" w:rsidP="00A311A0">
      <w:pPr>
        <w:tabs>
          <w:tab w:val="left" w:pos="567"/>
        </w:tabs>
        <w:jc w:val="both"/>
        <w:rPr>
          <w:rFonts w:asciiTheme="majorHAnsi" w:eastAsia="Calibri" w:hAnsiTheme="majorHAnsi"/>
          <w:b/>
          <w:sz w:val="20"/>
          <w:szCs w:val="20"/>
          <w:lang w:val="es-AR"/>
        </w:rPr>
      </w:pPr>
    </w:p>
    <w:p w14:paraId="2F5BC642" w14:textId="77777777" w:rsidR="00974A7E" w:rsidRPr="00386E47" w:rsidRDefault="009F70EA" w:rsidP="003A5860">
      <w:pPr>
        <w:numPr>
          <w:ilvl w:val="0"/>
          <w:numId w:val="55"/>
        </w:numPr>
        <w:tabs>
          <w:tab w:val="left" w:pos="567"/>
        </w:tabs>
        <w:ind w:left="0" w:firstLine="0"/>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 </w:t>
      </w:r>
      <w:r w:rsidR="00A34097" w:rsidRPr="00386E47">
        <w:rPr>
          <w:rFonts w:asciiTheme="majorHAnsi" w:eastAsia="Calibri" w:hAnsiTheme="majorHAnsi"/>
          <w:sz w:val="20"/>
          <w:szCs w:val="20"/>
          <w:lang w:val="es-AR"/>
        </w:rPr>
        <w:t>Los</w:t>
      </w:r>
      <w:r w:rsidRPr="00386E47">
        <w:rPr>
          <w:rFonts w:asciiTheme="majorHAnsi" w:eastAsia="Calibri" w:hAnsiTheme="majorHAnsi"/>
          <w:sz w:val="20"/>
          <w:szCs w:val="20"/>
          <w:lang w:val="es-AR"/>
        </w:rPr>
        <w:t xml:space="preserve"> fiscales valoraron los resultados de un peritaje comparativo efectuado entre dos fotografías de Berro entregadas por sus hermanos y el identikit construido 72 horas después del atentado a partir de la declaración de</w:t>
      </w:r>
      <w:r w:rsidR="00FA4729" w:rsidRPr="00386E47">
        <w:rPr>
          <w:rFonts w:asciiTheme="majorHAnsi" w:eastAsia="Calibri" w:hAnsiTheme="majorHAnsi"/>
          <w:sz w:val="20"/>
          <w:szCs w:val="20"/>
          <w:lang w:val="es-AR"/>
        </w:rPr>
        <w:t>la testigo Nicolasa Romero, quien afirmó</w:t>
      </w:r>
      <w:r w:rsidRPr="00386E47">
        <w:rPr>
          <w:rFonts w:asciiTheme="majorHAnsi" w:eastAsia="Calibri" w:hAnsiTheme="majorHAnsi"/>
          <w:sz w:val="20"/>
          <w:szCs w:val="20"/>
          <w:lang w:val="es-AR"/>
        </w:rPr>
        <w:t xml:space="preserve"> haber visto el rostro del conductor de una camioneta Renault Trafic transitando por la calle Pasteur momentos antes de la explosión. Este peritaje arrojó “coincidencias puntuales señaladas en ojos, nariz, contorno del rostro línea de inserción del cabello y cejas”</w:t>
      </w:r>
      <w:r w:rsidRPr="00386E47">
        <w:rPr>
          <w:rFonts w:asciiTheme="majorHAnsi" w:eastAsia="Calibri" w:hAnsiTheme="majorHAnsi"/>
          <w:sz w:val="20"/>
          <w:szCs w:val="20"/>
          <w:vertAlign w:val="superscript"/>
          <w:lang w:val="es-AR"/>
        </w:rPr>
        <w:footnoteReference w:id="239"/>
      </w:r>
      <w:r w:rsidRPr="00386E47">
        <w:rPr>
          <w:rFonts w:asciiTheme="majorHAnsi" w:eastAsia="Calibri" w:hAnsiTheme="majorHAnsi"/>
          <w:sz w:val="20"/>
          <w:szCs w:val="20"/>
          <w:lang w:val="es-AR"/>
        </w:rPr>
        <w:t>.  Asimismo, los fiscales mencionan el reconocimiento fotográfico efectuado por la testigo Romero, quien “luego de sus dudas iniciales y después de que se le exhibiera el identikit” señal</w:t>
      </w:r>
      <w:r w:rsidR="00953702" w:rsidRPr="00386E47">
        <w:rPr>
          <w:rFonts w:asciiTheme="majorHAnsi" w:eastAsia="Calibri" w:hAnsiTheme="majorHAnsi"/>
          <w:sz w:val="20"/>
          <w:szCs w:val="20"/>
          <w:lang w:val="es-AR"/>
        </w:rPr>
        <w:t>ó</w:t>
      </w:r>
      <w:r w:rsidRPr="00386E47">
        <w:rPr>
          <w:rFonts w:asciiTheme="majorHAnsi" w:eastAsia="Calibri" w:hAnsiTheme="majorHAnsi"/>
          <w:sz w:val="20"/>
          <w:szCs w:val="20"/>
          <w:lang w:val="es-AR"/>
        </w:rPr>
        <w:t xml:space="preserve"> de entre una serie de 4 fotografías la que correspondía a Berro y afirmó “que la persona ‘era un muchachote como este, de esta contextura, así cejudo, veo un parecido en el rostro, tiene abundante(s) cejas, es parecida la contextura de la cara…</w:t>
      </w:r>
      <w:r w:rsidR="009558F8" w:rsidRPr="00386E47">
        <w:rPr>
          <w:rFonts w:asciiTheme="majorHAnsi" w:eastAsia="Calibri" w:hAnsiTheme="majorHAnsi"/>
          <w:sz w:val="20"/>
          <w:szCs w:val="20"/>
          <w:lang w:val="es-AR"/>
        </w:rPr>
        <w:t>’</w:t>
      </w:r>
      <w:r w:rsidRPr="00386E47">
        <w:rPr>
          <w:rFonts w:asciiTheme="majorHAnsi" w:eastAsia="Calibri" w:hAnsiTheme="majorHAnsi"/>
          <w:sz w:val="20"/>
          <w:szCs w:val="20"/>
          <w:lang w:val="es-AR"/>
        </w:rPr>
        <w:t>”</w:t>
      </w:r>
      <w:r w:rsidRPr="00386E47">
        <w:rPr>
          <w:rFonts w:asciiTheme="majorHAnsi" w:eastAsia="Calibri" w:hAnsiTheme="majorHAnsi"/>
          <w:sz w:val="20"/>
          <w:szCs w:val="20"/>
          <w:vertAlign w:val="superscript"/>
          <w:lang w:val="es-AR"/>
        </w:rPr>
        <w:footnoteReference w:id="240"/>
      </w:r>
      <w:r w:rsidR="00245A1A" w:rsidRPr="00386E47">
        <w:rPr>
          <w:rFonts w:asciiTheme="majorHAnsi" w:eastAsia="Calibri" w:hAnsiTheme="majorHAnsi"/>
          <w:sz w:val="20"/>
          <w:szCs w:val="20"/>
          <w:lang w:val="es-AR"/>
        </w:rPr>
        <w:t xml:space="preserve">. </w:t>
      </w:r>
    </w:p>
    <w:p w14:paraId="6ED191BD" w14:textId="77777777" w:rsidR="00881EBF" w:rsidRPr="00386E47" w:rsidRDefault="00881EBF" w:rsidP="00347DFB">
      <w:pPr>
        <w:tabs>
          <w:tab w:val="left" w:pos="567"/>
        </w:tabs>
        <w:jc w:val="both"/>
        <w:rPr>
          <w:rFonts w:asciiTheme="majorHAnsi" w:eastAsia="Calibri" w:hAnsiTheme="majorHAnsi"/>
          <w:b/>
          <w:sz w:val="20"/>
          <w:szCs w:val="20"/>
          <w:lang w:val="es-AR"/>
        </w:rPr>
      </w:pPr>
    </w:p>
    <w:p w14:paraId="78D0EF9A" w14:textId="77777777" w:rsidR="00340607" w:rsidRPr="00386E47" w:rsidRDefault="00A34097" w:rsidP="003A5860">
      <w:pPr>
        <w:numPr>
          <w:ilvl w:val="0"/>
          <w:numId w:val="55"/>
        </w:numPr>
        <w:tabs>
          <w:tab w:val="left" w:pos="567"/>
        </w:tabs>
        <w:ind w:left="0" w:firstLine="0"/>
        <w:jc w:val="both"/>
        <w:rPr>
          <w:rFonts w:asciiTheme="majorHAnsi" w:eastAsia="Calibri" w:hAnsiTheme="majorHAnsi"/>
          <w:b/>
          <w:sz w:val="20"/>
          <w:szCs w:val="20"/>
          <w:lang w:val="es-ES"/>
        </w:rPr>
      </w:pPr>
      <w:r w:rsidRPr="00386E47">
        <w:rPr>
          <w:rFonts w:asciiTheme="majorHAnsi" w:eastAsia="Calibri" w:hAnsiTheme="majorHAnsi"/>
          <w:sz w:val="20"/>
          <w:szCs w:val="20"/>
          <w:lang w:val="es-AR"/>
        </w:rPr>
        <w:t>Fue solo hasta un informe de gestión correspondiente al mes de julio de 2017, que la UFI AMIA informó sobre la práctica de un examen de  comparación genética de la totalidad de las muestras en depósito que arrojó la “verificación de un perfil genético a partir del material reservado en el laboratorio de la PFA que no corresponde a ninguna de las victimas conocidas”</w:t>
      </w:r>
      <w:r w:rsidRPr="00386E47">
        <w:rPr>
          <w:rFonts w:asciiTheme="majorHAnsi" w:eastAsia="Calibri" w:hAnsiTheme="majorHAnsi"/>
          <w:sz w:val="20"/>
          <w:szCs w:val="20"/>
          <w:vertAlign w:val="superscript"/>
          <w:lang w:val="es-AR"/>
        </w:rPr>
        <w:footnoteReference w:id="241"/>
      </w:r>
      <w:r w:rsidRPr="00386E47">
        <w:rPr>
          <w:rFonts w:asciiTheme="majorHAnsi" w:eastAsia="Calibri" w:hAnsiTheme="majorHAnsi"/>
          <w:sz w:val="20"/>
          <w:szCs w:val="20"/>
          <w:lang w:val="es-AR"/>
        </w:rPr>
        <w:t xml:space="preserve">, dato que abonaría, en principio, la hipótesis de que la Trafic que estalló frente a la AMIA fue </w:t>
      </w:r>
      <w:r w:rsidR="00340607" w:rsidRPr="00386E47">
        <w:rPr>
          <w:rFonts w:asciiTheme="majorHAnsi" w:eastAsia="Calibri" w:hAnsiTheme="majorHAnsi"/>
          <w:sz w:val="20"/>
          <w:szCs w:val="20"/>
          <w:lang w:val="es-AR"/>
        </w:rPr>
        <w:t>conducida</w:t>
      </w:r>
      <w:r w:rsidRPr="00386E47">
        <w:rPr>
          <w:rFonts w:asciiTheme="majorHAnsi" w:eastAsia="Calibri" w:hAnsiTheme="majorHAnsi"/>
          <w:sz w:val="20"/>
          <w:szCs w:val="20"/>
          <w:lang w:val="es-AR"/>
        </w:rPr>
        <w:t xml:space="preserve"> por un conductor suicida.</w:t>
      </w:r>
      <w:r w:rsidRPr="00386E47">
        <w:rPr>
          <w:rFonts w:asciiTheme="majorHAnsi" w:eastAsia="Calibri" w:hAnsiTheme="majorHAnsi"/>
          <w:b/>
          <w:sz w:val="20"/>
          <w:szCs w:val="20"/>
          <w:lang w:val="es-AR"/>
        </w:rPr>
        <w:t xml:space="preserve"> </w:t>
      </w:r>
    </w:p>
    <w:p w14:paraId="0284CF2D" w14:textId="77777777" w:rsidR="00340607" w:rsidRPr="00386E47" w:rsidRDefault="00340607" w:rsidP="00340607">
      <w:pPr>
        <w:pStyle w:val="ListParagraph"/>
        <w:rPr>
          <w:rFonts w:asciiTheme="majorHAnsi" w:eastAsia="Calibri" w:hAnsiTheme="majorHAnsi"/>
          <w:sz w:val="20"/>
          <w:szCs w:val="20"/>
          <w:lang w:val="es-AR"/>
        </w:rPr>
      </w:pPr>
    </w:p>
    <w:p w14:paraId="3C0C97F0" w14:textId="77777777" w:rsidR="00A34097" w:rsidRPr="00386E47" w:rsidRDefault="00A34097" w:rsidP="003A5860">
      <w:pPr>
        <w:numPr>
          <w:ilvl w:val="0"/>
          <w:numId w:val="55"/>
        </w:numPr>
        <w:tabs>
          <w:tab w:val="left" w:pos="567"/>
        </w:tabs>
        <w:ind w:left="0" w:firstLine="0"/>
        <w:jc w:val="both"/>
        <w:rPr>
          <w:rFonts w:asciiTheme="majorHAnsi" w:eastAsia="Calibri" w:hAnsiTheme="majorHAnsi"/>
          <w:b/>
          <w:sz w:val="20"/>
          <w:szCs w:val="20"/>
          <w:lang w:val="es-ES"/>
        </w:rPr>
      </w:pPr>
      <w:r w:rsidRPr="00386E47">
        <w:rPr>
          <w:rFonts w:asciiTheme="majorHAnsi" w:eastAsia="Calibri" w:hAnsiTheme="majorHAnsi"/>
          <w:sz w:val="20"/>
          <w:szCs w:val="20"/>
          <w:lang w:val="es-AR"/>
        </w:rPr>
        <w:t>En ese mismo informe de gestión, la UFI AMIA relató el proceso por medio del cual - con la colaboración de las autoridades de los Estados Unidos de América - se comparó el perfil genético de la muestra hallada en la División Laboratorio Químico de la PFA con el perfil genético de uno de los hermanos de Berro. En noviembre de 2017 conforme el referido informe el FBI habría informado que “luego de realizar la tipificación de ADN de STR autosómico, Y-STR y mitocondrial del supuesto hermano del atacante y llevar adelante la comparación con el perfil genético obtenido a partir de la muestra recuperada del Laboratorio Químico de la PFA se determinó que esta última ‘no pudo haberse originado de un pariente paterno o materno […] para incluir a un hermano o medio hermano’”</w:t>
      </w:r>
      <w:r w:rsidRPr="00386E47">
        <w:rPr>
          <w:rFonts w:asciiTheme="majorHAnsi" w:eastAsia="Calibri" w:hAnsiTheme="majorHAnsi"/>
          <w:sz w:val="20"/>
          <w:szCs w:val="20"/>
          <w:vertAlign w:val="superscript"/>
          <w:lang w:val="es-AR"/>
        </w:rPr>
        <w:footnoteReference w:id="242"/>
      </w:r>
      <w:r w:rsidRPr="00386E47">
        <w:rPr>
          <w:rFonts w:asciiTheme="majorHAnsi" w:eastAsia="Calibri" w:hAnsiTheme="majorHAnsi"/>
          <w:sz w:val="20"/>
          <w:szCs w:val="20"/>
          <w:lang w:val="es-AR"/>
        </w:rPr>
        <w:t>.</w:t>
      </w:r>
    </w:p>
    <w:p w14:paraId="4A2D9A92" w14:textId="77777777" w:rsidR="00A34097" w:rsidRPr="00386E47" w:rsidRDefault="00A34097" w:rsidP="00A311A0">
      <w:pPr>
        <w:tabs>
          <w:tab w:val="left" w:pos="567"/>
        </w:tabs>
        <w:jc w:val="both"/>
        <w:rPr>
          <w:rFonts w:asciiTheme="majorHAnsi" w:eastAsia="Calibri" w:hAnsiTheme="majorHAnsi"/>
          <w:b/>
          <w:sz w:val="20"/>
          <w:szCs w:val="20"/>
          <w:lang w:val="es-AR"/>
        </w:rPr>
      </w:pPr>
    </w:p>
    <w:p w14:paraId="528FAF5A" w14:textId="77777777" w:rsidR="00A34097" w:rsidRPr="00386E47" w:rsidRDefault="00A34097" w:rsidP="003A5860">
      <w:pPr>
        <w:pStyle w:val="ListParagraph"/>
        <w:numPr>
          <w:ilvl w:val="0"/>
          <w:numId w:val="58"/>
        </w:numPr>
        <w:tabs>
          <w:tab w:val="left" w:pos="567"/>
        </w:tabs>
        <w:jc w:val="both"/>
        <w:rPr>
          <w:rFonts w:asciiTheme="majorHAnsi" w:eastAsia="Calibri" w:hAnsiTheme="majorHAnsi"/>
          <w:b/>
          <w:sz w:val="20"/>
          <w:szCs w:val="20"/>
          <w:lang w:val="es-ES"/>
        </w:rPr>
      </w:pPr>
      <w:r w:rsidRPr="00386E47">
        <w:rPr>
          <w:rFonts w:asciiTheme="majorHAnsi" w:eastAsia="Calibri" w:hAnsiTheme="majorHAnsi"/>
          <w:b/>
          <w:sz w:val="20"/>
          <w:szCs w:val="20"/>
          <w:lang w:val="es-ES"/>
        </w:rPr>
        <w:t>Consideraciones de la Comisión</w:t>
      </w:r>
    </w:p>
    <w:p w14:paraId="6D46E124" w14:textId="77777777" w:rsidR="00A34097" w:rsidRPr="00386E47" w:rsidRDefault="00A34097" w:rsidP="00A311A0">
      <w:pPr>
        <w:tabs>
          <w:tab w:val="left" w:pos="567"/>
        </w:tabs>
        <w:jc w:val="both"/>
        <w:rPr>
          <w:rFonts w:asciiTheme="majorHAnsi" w:eastAsia="Calibri" w:hAnsiTheme="majorHAnsi"/>
          <w:b/>
          <w:sz w:val="20"/>
          <w:szCs w:val="20"/>
          <w:lang w:val="es-ES"/>
        </w:rPr>
      </w:pPr>
    </w:p>
    <w:p w14:paraId="53380CED" w14:textId="77777777" w:rsidR="00F40018" w:rsidRPr="00386E47" w:rsidRDefault="00DE04D1" w:rsidP="003A5860">
      <w:pPr>
        <w:numPr>
          <w:ilvl w:val="0"/>
          <w:numId w:val="55"/>
        </w:numPr>
        <w:tabs>
          <w:tab w:val="left" w:pos="567"/>
        </w:tabs>
        <w:ind w:left="0" w:firstLine="0"/>
        <w:jc w:val="both"/>
        <w:rPr>
          <w:rFonts w:asciiTheme="majorHAnsi" w:eastAsia="Calibri" w:hAnsiTheme="majorHAnsi"/>
          <w:b/>
          <w:sz w:val="20"/>
          <w:szCs w:val="20"/>
          <w:lang w:val="es-ES"/>
        </w:rPr>
      </w:pPr>
      <w:r w:rsidRPr="00386E47">
        <w:rPr>
          <w:rFonts w:asciiTheme="majorHAnsi" w:eastAsia="Calibri" w:hAnsiTheme="majorHAnsi"/>
          <w:sz w:val="20"/>
          <w:szCs w:val="20"/>
          <w:lang w:val="es-ES"/>
        </w:rPr>
        <w:t>La Comisión</w:t>
      </w:r>
      <w:r w:rsidR="00F40018" w:rsidRPr="00386E47">
        <w:rPr>
          <w:rFonts w:asciiTheme="majorHAnsi" w:eastAsia="Calibri" w:hAnsiTheme="majorHAnsi"/>
          <w:sz w:val="20"/>
          <w:szCs w:val="20"/>
          <w:lang w:val="es-ES"/>
        </w:rPr>
        <w:t xml:space="preserve"> observa</w:t>
      </w:r>
      <w:r w:rsidR="00340607" w:rsidRPr="00386E47">
        <w:rPr>
          <w:rFonts w:asciiTheme="majorHAnsi" w:eastAsia="Calibri" w:hAnsiTheme="majorHAnsi"/>
          <w:sz w:val="20"/>
          <w:szCs w:val="20"/>
          <w:lang w:val="es-ES"/>
        </w:rPr>
        <w:t xml:space="preserve"> en primer término</w:t>
      </w:r>
      <w:r w:rsidR="00F40018" w:rsidRPr="00386E47">
        <w:rPr>
          <w:rFonts w:asciiTheme="majorHAnsi" w:eastAsia="Calibri" w:hAnsiTheme="majorHAnsi"/>
          <w:sz w:val="20"/>
          <w:szCs w:val="20"/>
          <w:lang w:val="es-ES"/>
        </w:rPr>
        <w:t xml:space="preserve"> que gran parte de la investigación de la causa AMIA y, en </w:t>
      </w:r>
      <w:r w:rsidR="00B528BF" w:rsidRPr="00386E47">
        <w:rPr>
          <w:rFonts w:asciiTheme="majorHAnsi" w:eastAsia="Calibri" w:hAnsiTheme="majorHAnsi"/>
          <w:sz w:val="20"/>
          <w:szCs w:val="20"/>
          <w:lang w:val="es-ES"/>
        </w:rPr>
        <w:t>particular, lo</w:t>
      </w:r>
      <w:r w:rsidR="00F40018" w:rsidRPr="00386E47">
        <w:rPr>
          <w:rFonts w:asciiTheme="majorHAnsi" w:eastAsia="Calibri" w:hAnsiTheme="majorHAnsi"/>
          <w:sz w:val="20"/>
          <w:szCs w:val="20"/>
          <w:lang w:val="es-ES"/>
        </w:rPr>
        <w:t xml:space="preserve"> referente a la </w:t>
      </w:r>
      <w:r w:rsidR="00340607" w:rsidRPr="00386E47">
        <w:rPr>
          <w:rFonts w:asciiTheme="majorHAnsi" w:eastAsia="Calibri" w:hAnsiTheme="majorHAnsi"/>
          <w:sz w:val="20"/>
          <w:szCs w:val="20"/>
          <w:lang w:val="es-ES"/>
        </w:rPr>
        <w:t>determinación de la identidad de la persona que se habría inmolado</w:t>
      </w:r>
      <w:r w:rsidR="00F40018" w:rsidRPr="00386E47">
        <w:rPr>
          <w:rFonts w:asciiTheme="majorHAnsi" w:eastAsia="Calibri" w:hAnsiTheme="majorHAnsi"/>
          <w:sz w:val="20"/>
          <w:szCs w:val="20"/>
          <w:lang w:val="es-ES"/>
        </w:rPr>
        <w:t xml:space="preserve"> está sustentado en informes de inteligencia </w:t>
      </w:r>
      <w:r w:rsidR="00340607" w:rsidRPr="00386E47">
        <w:rPr>
          <w:rFonts w:asciiTheme="majorHAnsi" w:eastAsia="Calibri" w:hAnsiTheme="majorHAnsi"/>
          <w:sz w:val="20"/>
          <w:szCs w:val="20"/>
          <w:lang w:val="es-ES"/>
        </w:rPr>
        <w:t>realizados por la Secretaria de Inteligencia del Estado u otros organismos de inteligencia argentinos</w:t>
      </w:r>
      <w:r w:rsidR="00F40018" w:rsidRPr="00386E47">
        <w:rPr>
          <w:rFonts w:asciiTheme="majorHAnsi" w:eastAsia="Calibri" w:hAnsiTheme="majorHAnsi"/>
          <w:sz w:val="20"/>
          <w:szCs w:val="20"/>
          <w:lang w:val="es-ES"/>
        </w:rPr>
        <w:t>.</w:t>
      </w:r>
      <w:r w:rsidR="00340607" w:rsidRPr="00386E47">
        <w:rPr>
          <w:rFonts w:asciiTheme="majorHAnsi" w:eastAsia="Calibri" w:hAnsiTheme="majorHAnsi"/>
          <w:sz w:val="20"/>
          <w:szCs w:val="20"/>
          <w:lang w:val="es-ES"/>
        </w:rPr>
        <w:t xml:space="preserve"> </w:t>
      </w:r>
      <w:r w:rsidR="00FC22BD" w:rsidRPr="00386E47">
        <w:rPr>
          <w:rFonts w:asciiTheme="majorHAnsi" w:eastAsia="Calibri" w:hAnsiTheme="majorHAnsi"/>
          <w:sz w:val="20"/>
          <w:szCs w:val="20"/>
          <w:lang w:val="es-ES"/>
        </w:rPr>
        <w:t>En este sentido, la Comisión estima pertinente realizar las siguientes consideraciones.</w:t>
      </w:r>
    </w:p>
    <w:p w14:paraId="2854BAD6" w14:textId="77777777" w:rsidR="00DE04D1" w:rsidRPr="00386E47" w:rsidRDefault="00DE04D1" w:rsidP="00A311A0">
      <w:pPr>
        <w:tabs>
          <w:tab w:val="left" w:pos="567"/>
        </w:tabs>
        <w:jc w:val="both"/>
        <w:rPr>
          <w:rFonts w:asciiTheme="majorHAnsi" w:eastAsia="Calibri" w:hAnsiTheme="majorHAnsi"/>
          <w:b/>
          <w:sz w:val="20"/>
          <w:szCs w:val="20"/>
          <w:lang w:val="es-ES"/>
        </w:rPr>
      </w:pPr>
    </w:p>
    <w:p w14:paraId="55907C4E" w14:textId="77777777" w:rsidR="00A34097" w:rsidRPr="00386E47" w:rsidRDefault="00FC22BD" w:rsidP="003A5860">
      <w:pPr>
        <w:numPr>
          <w:ilvl w:val="0"/>
          <w:numId w:val="55"/>
        </w:numPr>
        <w:tabs>
          <w:tab w:val="left" w:pos="567"/>
        </w:tabs>
        <w:ind w:left="0" w:firstLine="0"/>
        <w:jc w:val="both"/>
        <w:rPr>
          <w:rFonts w:asciiTheme="majorHAnsi" w:eastAsia="Calibri" w:hAnsiTheme="majorHAnsi"/>
          <w:b/>
          <w:sz w:val="20"/>
          <w:szCs w:val="20"/>
          <w:lang w:val="es-ES"/>
        </w:rPr>
      </w:pPr>
      <w:r w:rsidRPr="00386E47">
        <w:rPr>
          <w:rFonts w:asciiTheme="majorHAnsi" w:eastAsia="Calibri" w:hAnsiTheme="majorHAnsi"/>
          <w:sz w:val="20"/>
          <w:szCs w:val="20"/>
          <w:lang w:val="es-ES"/>
        </w:rPr>
        <w:t>L</w:t>
      </w:r>
      <w:r w:rsidR="00F40018" w:rsidRPr="00386E47">
        <w:rPr>
          <w:rFonts w:asciiTheme="majorHAnsi" w:eastAsia="Calibri" w:hAnsiTheme="majorHAnsi"/>
          <w:sz w:val="20"/>
          <w:szCs w:val="20"/>
          <w:lang w:val="es-ES"/>
        </w:rPr>
        <w:t>a Comisión resalta que no es el objeto</w:t>
      </w:r>
      <w:r w:rsidR="00A34097" w:rsidRPr="00386E47">
        <w:rPr>
          <w:rFonts w:asciiTheme="majorHAnsi" w:eastAsia="Calibri" w:hAnsiTheme="majorHAnsi"/>
          <w:sz w:val="20"/>
          <w:szCs w:val="20"/>
          <w:lang w:val="es-ES"/>
        </w:rPr>
        <w:t xml:space="preserve"> del presente caso profundizar sobre las posibles afectaciones que pueden generar a los derechos de </w:t>
      </w:r>
      <w:r w:rsidR="00DE04D1" w:rsidRPr="00386E47">
        <w:rPr>
          <w:rFonts w:asciiTheme="majorHAnsi" w:eastAsia="Calibri" w:hAnsiTheme="majorHAnsi"/>
          <w:sz w:val="20"/>
          <w:szCs w:val="20"/>
          <w:lang w:val="es-ES"/>
        </w:rPr>
        <w:t>las personas imputadas</w:t>
      </w:r>
      <w:r w:rsidR="00A34097" w:rsidRPr="00386E47">
        <w:rPr>
          <w:rFonts w:asciiTheme="majorHAnsi" w:eastAsia="Calibri" w:hAnsiTheme="majorHAnsi"/>
          <w:sz w:val="20"/>
          <w:szCs w:val="20"/>
          <w:lang w:val="es-ES"/>
        </w:rPr>
        <w:t xml:space="preserve"> las acusaciones que están fundamentalmente sustentadas en informes de inteligencia </w:t>
      </w:r>
      <w:r w:rsidR="00340607" w:rsidRPr="00386E47">
        <w:rPr>
          <w:rFonts w:asciiTheme="majorHAnsi" w:eastAsia="Calibri" w:hAnsiTheme="majorHAnsi"/>
          <w:sz w:val="20"/>
          <w:szCs w:val="20"/>
          <w:lang w:val="es-ES"/>
        </w:rPr>
        <w:t>producidos a partir de</w:t>
      </w:r>
      <w:r w:rsidR="00A34097" w:rsidRPr="00386E47">
        <w:rPr>
          <w:rFonts w:asciiTheme="majorHAnsi" w:eastAsia="Calibri" w:hAnsiTheme="majorHAnsi"/>
          <w:sz w:val="20"/>
          <w:szCs w:val="20"/>
          <w:lang w:val="es-ES"/>
        </w:rPr>
        <w:t xml:space="preserve"> fuentes reservadas, </w:t>
      </w:r>
      <w:r w:rsidR="00340607" w:rsidRPr="00386E47">
        <w:rPr>
          <w:rFonts w:asciiTheme="majorHAnsi" w:eastAsia="Calibri" w:hAnsiTheme="majorHAnsi"/>
          <w:sz w:val="20"/>
          <w:szCs w:val="20"/>
          <w:lang w:val="es-ES"/>
        </w:rPr>
        <w:t xml:space="preserve">cuya </w:t>
      </w:r>
      <w:r w:rsidR="00A34097" w:rsidRPr="00386E47">
        <w:rPr>
          <w:rFonts w:asciiTheme="majorHAnsi" w:eastAsia="Calibri" w:hAnsiTheme="majorHAnsi"/>
          <w:sz w:val="20"/>
          <w:szCs w:val="20"/>
          <w:lang w:val="es-ES"/>
        </w:rPr>
        <w:t>idoneidad o calidad de los testigos n</w:t>
      </w:r>
      <w:r w:rsidR="00340607" w:rsidRPr="00386E47">
        <w:rPr>
          <w:rFonts w:asciiTheme="majorHAnsi" w:eastAsia="Calibri" w:hAnsiTheme="majorHAnsi"/>
          <w:sz w:val="20"/>
          <w:szCs w:val="20"/>
          <w:lang w:val="es-ES"/>
        </w:rPr>
        <w:t>o puede ser susceptible de ser controlada por las partes de un proceso penal</w:t>
      </w:r>
      <w:r w:rsidR="00A34097" w:rsidRPr="00386E47">
        <w:rPr>
          <w:rFonts w:asciiTheme="majorHAnsi" w:eastAsia="Calibri" w:hAnsiTheme="majorHAnsi"/>
          <w:sz w:val="20"/>
          <w:szCs w:val="20"/>
          <w:lang w:val="es-ES"/>
        </w:rPr>
        <w:t>. La Comisión entiende que</w:t>
      </w:r>
      <w:r w:rsidR="00340607" w:rsidRPr="00386E47">
        <w:rPr>
          <w:rFonts w:asciiTheme="majorHAnsi" w:eastAsia="Calibri" w:hAnsiTheme="majorHAnsi"/>
          <w:sz w:val="20"/>
          <w:szCs w:val="20"/>
          <w:lang w:val="es-ES"/>
        </w:rPr>
        <w:t>,</w:t>
      </w:r>
      <w:r w:rsidR="00A34097" w:rsidRPr="00386E47">
        <w:rPr>
          <w:rFonts w:asciiTheme="majorHAnsi" w:eastAsia="Calibri" w:hAnsiTheme="majorHAnsi"/>
          <w:sz w:val="20"/>
          <w:szCs w:val="20"/>
          <w:lang w:val="es-ES"/>
        </w:rPr>
        <w:t xml:space="preserve"> en ciertas ocasiones, puede resultar indispensable para el éxito de las políticas de reunión de información llevadas a cabo por las agencias de inteligencia que se proteja la identidad de la fuente que suministra la información o de los métodos utilizados para obtenerla. De igual manera, es necesario reconocer que las reglas relativas al secreto de las actividades de inteligencia suelen perseguir el fin legítimo de preservar la integridad personal de los funcionarios públicos que se dedican a ellas</w:t>
      </w:r>
      <w:r w:rsidR="00F40018" w:rsidRPr="00386E47">
        <w:rPr>
          <w:rFonts w:asciiTheme="majorHAnsi" w:eastAsia="Calibri" w:hAnsiTheme="majorHAnsi"/>
          <w:sz w:val="20"/>
          <w:szCs w:val="20"/>
          <w:lang w:val="es-ES"/>
        </w:rPr>
        <w:t>. S</w:t>
      </w:r>
      <w:r w:rsidR="00A34097" w:rsidRPr="00386E47">
        <w:rPr>
          <w:rFonts w:asciiTheme="majorHAnsi" w:eastAsia="Calibri" w:hAnsiTheme="majorHAnsi"/>
          <w:sz w:val="20"/>
          <w:szCs w:val="20"/>
          <w:lang w:val="es-ES"/>
        </w:rPr>
        <w:t xml:space="preserve">in embargo, en todo caso </w:t>
      </w:r>
      <w:r w:rsidR="00F40018" w:rsidRPr="00386E47">
        <w:rPr>
          <w:rFonts w:asciiTheme="majorHAnsi" w:eastAsia="Calibri" w:hAnsiTheme="majorHAnsi"/>
          <w:sz w:val="20"/>
          <w:szCs w:val="20"/>
          <w:lang w:val="es-ES"/>
        </w:rPr>
        <w:t>result</w:t>
      </w:r>
      <w:r w:rsidR="00A34097" w:rsidRPr="00386E47">
        <w:rPr>
          <w:rFonts w:asciiTheme="majorHAnsi" w:eastAsia="Calibri" w:hAnsiTheme="majorHAnsi"/>
          <w:sz w:val="20"/>
          <w:szCs w:val="20"/>
          <w:lang w:val="es-ES"/>
        </w:rPr>
        <w:t>a necesario adoptar ciertas salvaguardias para respetar las garantías del debido proceso</w:t>
      </w:r>
      <w:r w:rsidR="00A34097" w:rsidRPr="00386E47">
        <w:rPr>
          <w:rStyle w:val="FootnoteReference"/>
          <w:rFonts w:asciiTheme="majorHAnsi" w:eastAsia="Calibri" w:hAnsiTheme="majorHAnsi"/>
          <w:sz w:val="20"/>
          <w:szCs w:val="20"/>
          <w:lang w:val="es-ES"/>
        </w:rPr>
        <w:footnoteReference w:id="243"/>
      </w:r>
      <w:r w:rsidR="00A34097" w:rsidRPr="00386E47">
        <w:rPr>
          <w:rFonts w:asciiTheme="majorHAnsi" w:eastAsia="Calibri" w:hAnsiTheme="majorHAnsi"/>
          <w:sz w:val="20"/>
          <w:szCs w:val="20"/>
          <w:lang w:val="es-ES"/>
        </w:rPr>
        <w:t xml:space="preserve">. </w:t>
      </w:r>
    </w:p>
    <w:p w14:paraId="22FDB100" w14:textId="77777777" w:rsidR="00A34097" w:rsidRPr="00386E47" w:rsidRDefault="00A34097" w:rsidP="00A34097">
      <w:pPr>
        <w:tabs>
          <w:tab w:val="left" w:pos="567"/>
        </w:tabs>
        <w:jc w:val="both"/>
        <w:rPr>
          <w:rFonts w:asciiTheme="majorHAnsi" w:eastAsia="Calibri" w:hAnsiTheme="majorHAnsi"/>
          <w:b/>
          <w:sz w:val="20"/>
          <w:szCs w:val="20"/>
          <w:lang w:val="es-ES"/>
        </w:rPr>
      </w:pPr>
    </w:p>
    <w:p w14:paraId="797C1FB8" w14:textId="77777777" w:rsidR="00A34097" w:rsidRPr="00386E47" w:rsidRDefault="00F40018" w:rsidP="003A5860">
      <w:pPr>
        <w:numPr>
          <w:ilvl w:val="0"/>
          <w:numId w:val="55"/>
        </w:numPr>
        <w:tabs>
          <w:tab w:val="left" w:pos="567"/>
        </w:tabs>
        <w:ind w:left="0" w:firstLine="0"/>
        <w:jc w:val="both"/>
        <w:rPr>
          <w:rFonts w:asciiTheme="majorHAnsi" w:eastAsia="Calibri" w:hAnsiTheme="majorHAnsi"/>
          <w:b/>
          <w:sz w:val="20"/>
          <w:szCs w:val="20"/>
          <w:lang w:val="es-ES"/>
        </w:rPr>
      </w:pPr>
      <w:r w:rsidRPr="00386E47">
        <w:rPr>
          <w:rFonts w:asciiTheme="majorHAnsi" w:eastAsia="Calibri" w:hAnsiTheme="majorHAnsi"/>
          <w:sz w:val="20"/>
          <w:szCs w:val="20"/>
          <w:lang w:val="es-ES"/>
        </w:rPr>
        <w:t>En lo relevante para el presente caso, l</w:t>
      </w:r>
      <w:r w:rsidR="00A34097" w:rsidRPr="00386E47">
        <w:rPr>
          <w:rFonts w:asciiTheme="majorHAnsi" w:eastAsia="Calibri" w:hAnsiTheme="majorHAnsi"/>
          <w:sz w:val="20"/>
          <w:szCs w:val="20"/>
          <w:lang w:val="es-ES"/>
        </w:rPr>
        <w:t xml:space="preserve">a Comisión estima que los informes </w:t>
      </w:r>
      <w:r w:rsidR="00BD587F" w:rsidRPr="00386E47">
        <w:rPr>
          <w:rFonts w:asciiTheme="majorHAnsi" w:eastAsia="Calibri" w:hAnsiTheme="majorHAnsi"/>
          <w:sz w:val="20"/>
          <w:szCs w:val="20"/>
          <w:lang w:val="es-ES"/>
        </w:rPr>
        <w:t>de inteligencia construidos a partir de</w:t>
      </w:r>
      <w:r w:rsidR="00324884" w:rsidRPr="00386E47">
        <w:rPr>
          <w:rFonts w:asciiTheme="majorHAnsi" w:eastAsia="Calibri" w:hAnsiTheme="majorHAnsi"/>
          <w:sz w:val="20"/>
          <w:szCs w:val="20"/>
          <w:lang w:val="es-ES"/>
        </w:rPr>
        <w:t xml:space="preserve"> </w:t>
      </w:r>
      <w:r w:rsidR="00BD587F" w:rsidRPr="00386E47">
        <w:rPr>
          <w:rFonts w:asciiTheme="majorHAnsi" w:eastAsia="Calibri" w:hAnsiTheme="majorHAnsi"/>
          <w:sz w:val="20"/>
          <w:szCs w:val="20"/>
          <w:lang w:val="es-ES"/>
        </w:rPr>
        <w:t>información obtenida por fuentes</w:t>
      </w:r>
      <w:r w:rsidR="00A34097" w:rsidRPr="00386E47">
        <w:rPr>
          <w:rFonts w:asciiTheme="majorHAnsi" w:eastAsia="Calibri" w:hAnsiTheme="majorHAnsi"/>
          <w:sz w:val="20"/>
          <w:szCs w:val="20"/>
          <w:lang w:val="es-ES"/>
        </w:rPr>
        <w:t xml:space="preserve"> </w:t>
      </w:r>
      <w:r w:rsidR="00BD587F" w:rsidRPr="00386E47">
        <w:rPr>
          <w:rFonts w:asciiTheme="majorHAnsi" w:eastAsia="Calibri" w:hAnsiTheme="majorHAnsi"/>
          <w:sz w:val="20"/>
          <w:szCs w:val="20"/>
          <w:lang w:val="es-ES"/>
        </w:rPr>
        <w:t>cuya identidad es desconocida incluso</w:t>
      </w:r>
      <w:r w:rsidRPr="00386E47">
        <w:rPr>
          <w:rFonts w:asciiTheme="majorHAnsi" w:eastAsia="Calibri" w:hAnsiTheme="majorHAnsi"/>
          <w:sz w:val="20"/>
          <w:szCs w:val="20"/>
          <w:lang w:val="es-ES"/>
        </w:rPr>
        <w:t xml:space="preserve"> </w:t>
      </w:r>
      <w:r w:rsidR="00BD587F" w:rsidRPr="00386E47">
        <w:rPr>
          <w:rFonts w:asciiTheme="majorHAnsi" w:eastAsia="Calibri" w:hAnsiTheme="majorHAnsi"/>
          <w:sz w:val="20"/>
          <w:szCs w:val="20"/>
          <w:lang w:val="es-ES"/>
        </w:rPr>
        <w:t xml:space="preserve">por los funcionarios judiciales </w:t>
      </w:r>
      <w:r w:rsidR="00BD587F" w:rsidRPr="00386E47">
        <w:rPr>
          <w:rFonts w:asciiTheme="majorHAnsi" w:eastAsia="Calibri" w:hAnsiTheme="majorHAnsi"/>
          <w:sz w:val="20"/>
          <w:szCs w:val="20"/>
          <w:lang w:val="es-ES"/>
        </w:rPr>
        <w:lastRenderedPageBreak/>
        <w:t xml:space="preserve">encargados de la investigación </w:t>
      </w:r>
      <w:r w:rsidR="00A34097" w:rsidRPr="00386E47">
        <w:rPr>
          <w:rFonts w:asciiTheme="majorHAnsi" w:eastAsia="Calibri" w:hAnsiTheme="majorHAnsi"/>
          <w:sz w:val="20"/>
          <w:szCs w:val="20"/>
          <w:lang w:val="es-ES"/>
        </w:rPr>
        <w:t xml:space="preserve">y de los que se pueden desprender ciertas conclusiones con sustento en presunciones o conjeturas a partir de tales informes, </w:t>
      </w:r>
      <w:r w:rsidR="00BD587F" w:rsidRPr="00386E47">
        <w:rPr>
          <w:rFonts w:asciiTheme="majorHAnsi" w:eastAsia="Calibri" w:hAnsiTheme="majorHAnsi"/>
          <w:sz w:val="20"/>
          <w:szCs w:val="20"/>
          <w:lang w:val="es-ES"/>
        </w:rPr>
        <w:t>podrían</w:t>
      </w:r>
      <w:r w:rsidR="00A34097" w:rsidRPr="00386E47">
        <w:rPr>
          <w:rFonts w:asciiTheme="majorHAnsi" w:eastAsia="Calibri" w:hAnsiTheme="majorHAnsi"/>
          <w:sz w:val="20"/>
          <w:szCs w:val="20"/>
          <w:lang w:val="es-ES"/>
        </w:rPr>
        <w:t xml:space="preserve"> servir como un criterio orientador para la autoridad investigadora</w:t>
      </w:r>
      <w:r w:rsidR="00A34097" w:rsidRPr="00386E47">
        <w:rPr>
          <w:rStyle w:val="FootnoteReference"/>
          <w:rFonts w:asciiTheme="majorHAnsi" w:eastAsia="Calibri" w:hAnsiTheme="majorHAnsi"/>
          <w:sz w:val="18"/>
          <w:szCs w:val="18"/>
          <w:lang w:val="es-ES"/>
        </w:rPr>
        <w:footnoteReference w:id="244"/>
      </w:r>
      <w:r w:rsidR="00BD587F" w:rsidRPr="00386E47">
        <w:rPr>
          <w:rFonts w:asciiTheme="majorHAnsi" w:eastAsia="Calibri" w:hAnsiTheme="majorHAnsi"/>
          <w:sz w:val="20"/>
          <w:szCs w:val="20"/>
          <w:lang w:val="es-ES"/>
        </w:rPr>
        <w:t xml:space="preserve">. Sin embargo, </w:t>
      </w:r>
      <w:r w:rsidR="00A34097" w:rsidRPr="00386E47">
        <w:rPr>
          <w:rFonts w:asciiTheme="majorHAnsi" w:eastAsia="Calibri" w:hAnsiTheme="majorHAnsi"/>
          <w:sz w:val="20"/>
          <w:szCs w:val="20"/>
          <w:lang w:val="es-ES"/>
        </w:rPr>
        <w:t>en circunstancias en las cuales se pretenda generar una hipótesis investigativa basada en tales informes para fundamentar una eventual acusación penal</w:t>
      </w:r>
      <w:r w:rsidRPr="00386E47">
        <w:rPr>
          <w:rFonts w:asciiTheme="majorHAnsi" w:eastAsia="Calibri" w:hAnsiTheme="majorHAnsi"/>
          <w:sz w:val="20"/>
          <w:szCs w:val="20"/>
          <w:lang w:val="es-ES"/>
        </w:rPr>
        <w:t>, juzgamiento y condena</w:t>
      </w:r>
      <w:r w:rsidR="00A34097" w:rsidRPr="00386E47">
        <w:rPr>
          <w:rFonts w:asciiTheme="majorHAnsi" w:eastAsia="Calibri" w:hAnsiTheme="majorHAnsi"/>
          <w:sz w:val="20"/>
          <w:szCs w:val="20"/>
          <w:lang w:val="es-ES"/>
        </w:rPr>
        <w:t xml:space="preserve">, resulta necesario equilibrar la protección de las fuentes y de los métodos de reunión de información de inteligencia con el derecho de las partes del proceso de controlar la </w:t>
      </w:r>
      <w:r w:rsidR="00BD587F" w:rsidRPr="00386E47">
        <w:rPr>
          <w:rFonts w:asciiTheme="majorHAnsi" w:eastAsia="Calibri" w:hAnsiTheme="majorHAnsi"/>
          <w:sz w:val="20"/>
          <w:szCs w:val="20"/>
          <w:lang w:val="es-ES"/>
        </w:rPr>
        <w:t>actividad probatoria estatal</w:t>
      </w:r>
      <w:r w:rsidR="00A34097" w:rsidRPr="00386E47">
        <w:rPr>
          <w:rFonts w:asciiTheme="majorHAnsi" w:eastAsia="Calibri" w:hAnsiTheme="majorHAnsi"/>
          <w:sz w:val="20"/>
          <w:szCs w:val="20"/>
          <w:lang w:val="es-ES"/>
        </w:rPr>
        <w:t xml:space="preserve"> y contrainterrogar a los testigos</w:t>
      </w:r>
      <w:r w:rsidR="00A34097" w:rsidRPr="00386E47">
        <w:rPr>
          <w:rStyle w:val="FootnoteReference"/>
          <w:rFonts w:asciiTheme="majorHAnsi" w:eastAsia="Calibri" w:hAnsiTheme="majorHAnsi"/>
          <w:sz w:val="20"/>
          <w:szCs w:val="20"/>
          <w:lang w:val="es-ES"/>
        </w:rPr>
        <w:footnoteReference w:id="245"/>
      </w:r>
      <w:r w:rsidR="00BD587F" w:rsidRPr="00386E47">
        <w:rPr>
          <w:rFonts w:asciiTheme="majorHAnsi" w:eastAsia="Calibri" w:hAnsiTheme="majorHAnsi"/>
          <w:sz w:val="20"/>
          <w:szCs w:val="20"/>
          <w:lang w:val="es-ES"/>
        </w:rPr>
        <w:t>.</w:t>
      </w:r>
      <w:r w:rsidR="00C516A9" w:rsidRPr="00386E47">
        <w:rPr>
          <w:rFonts w:asciiTheme="majorHAnsi" w:eastAsia="Calibri" w:hAnsiTheme="majorHAnsi"/>
          <w:sz w:val="20"/>
          <w:szCs w:val="20"/>
          <w:lang w:val="es-ES"/>
        </w:rPr>
        <w:t xml:space="preserve"> </w:t>
      </w:r>
      <w:r w:rsidR="00BD587F" w:rsidRPr="00386E47">
        <w:rPr>
          <w:rFonts w:asciiTheme="majorHAnsi" w:eastAsia="Calibri" w:hAnsiTheme="majorHAnsi"/>
          <w:sz w:val="20"/>
          <w:szCs w:val="20"/>
          <w:lang w:val="es-ES"/>
        </w:rPr>
        <w:t>Ello</w:t>
      </w:r>
      <w:r w:rsidR="00C516A9" w:rsidRPr="00386E47">
        <w:rPr>
          <w:rFonts w:asciiTheme="majorHAnsi" w:eastAsia="Calibri" w:hAnsiTheme="majorHAnsi"/>
          <w:sz w:val="20"/>
          <w:szCs w:val="20"/>
          <w:lang w:val="es-ES"/>
        </w:rPr>
        <w:t xml:space="preserve"> </w:t>
      </w:r>
      <w:r w:rsidR="00BD587F" w:rsidRPr="00386E47">
        <w:rPr>
          <w:rFonts w:asciiTheme="majorHAnsi" w:eastAsia="Calibri" w:hAnsiTheme="majorHAnsi"/>
          <w:sz w:val="20"/>
          <w:szCs w:val="20"/>
          <w:lang w:val="es-ES"/>
        </w:rPr>
        <w:t>implica que</w:t>
      </w:r>
      <w:r w:rsidR="00A34097" w:rsidRPr="00386E47">
        <w:rPr>
          <w:rFonts w:asciiTheme="majorHAnsi" w:eastAsia="Calibri" w:hAnsiTheme="majorHAnsi"/>
          <w:sz w:val="20"/>
          <w:szCs w:val="20"/>
          <w:lang w:val="es-ES"/>
        </w:rPr>
        <w:t xml:space="preserve"> </w:t>
      </w:r>
      <w:r w:rsidR="00BD587F" w:rsidRPr="00386E47">
        <w:rPr>
          <w:rFonts w:asciiTheme="majorHAnsi" w:eastAsia="Calibri" w:hAnsiTheme="majorHAnsi"/>
          <w:sz w:val="20"/>
          <w:szCs w:val="20"/>
          <w:lang w:val="es-ES"/>
        </w:rPr>
        <w:t xml:space="preserve">resulta necesario que el Estado </w:t>
      </w:r>
      <w:r w:rsidR="00A34097" w:rsidRPr="00386E47">
        <w:rPr>
          <w:rFonts w:asciiTheme="majorHAnsi" w:eastAsia="Calibri" w:hAnsiTheme="majorHAnsi"/>
          <w:sz w:val="20"/>
          <w:szCs w:val="20"/>
          <w:lang w:val="es-ES"/>
        </w:rPr>
        <w:t>practi</w:t>
      </w:r>
      <w:r w:rsidR="00BD587F" w:rsidRPr="00386E47">
        <w:rPr>
          <w:rFonts w:asciiTheme="majorHAnsi" w:eastAsia="Calibri" w:hAnsiTheme="majorHAnsi"/>
          <w:sz w:val="20"/>
          <w:szCs w:val="20"/>
          <w:lang w:val="es-ES"/>
        </w:rPr>
        <w:t>que</w:t>
      </w:r>
      <w:r w:rsidR="00A34097" w:rsidRPr="00386E47">
        <w:rPr>
          <w:rFonts w:asciiTheme="majorHAnsi" w:eastAsia="Calibri" w:hAnsiTheme="majorHAnsi"/>
          <w:sz w:val="20"/>
          <w:szCs w:val="20"/>
          <w:lang w:val="es-ES"/>
        </w:rPr>
        <w:t xml:space="preserve"> en forma exhaustiva todas aquellas diligencias probatorias que resulten pertinentes para dar suficiente solidez a </w:t>
      </w:r>
      <w:r w:rsidR="00BD587F" w:rsidRPr="00386E47">
        <w:rPr>
          <w:rFonts w:asciiTheme="majorHAnsi" w:eastAsia="Calibri" w:hAnsiTheme="majorHAnsi"/>
          <w:sz w:val="20"/>
          <w:szCs w:val="20"/>
          <w:lang w:val="es-ES"/>
        </w:rPr>
        <w:t>la</w:t>
      </w:r>
      <w:r w:rsidR="00A34097" w:rsidRPr="00386E47">
        <w:rPr>
          <w:rFonts w:asciiTheme="majorHAnsi" w:eastAsia="Calibri" w:hAnsiTheme="majorHAnsi"/>
          <w:sz w:val="20"/>
          <w:szCs w:val="20"/>
          <w:lang w:val="es-ES"/>
        </w:rPr>
        <w:t xml:space="preserve"> </w:t>
      </w:r>
      <w:r w:rsidR="00BD587F" w:rsidRPr="00386E47">
        <w:rPr>
          <w:rFonts w:asciiTheme="majorHAnsi" w:eastAsia="Calibri" w:hAnsiTheme="majorHAnsi"/>
          <w:sz w:val="20"/>
          <w:szCs w:val="20"/>
          <w:lang w:val="es-ES"/>
        </w:rPr>
        <w:t>versión de los hechos</w:t>
      </w:r>
      <w:r w:rsidR="00A34097" w:rsidRPr="00386E47">
        <w:rPr>
          <w:rFonts w:asciiTheme="majorHAnsi" w:eastAsia="Calibri" w:hAnsiTheme="majorHAnsi"/>
          <w:sz w:val="20"/>
          <w:szCs w:val="20"/>
          <w:lang w:val="es-ES"/>
        </w:rPr>
        <w:t xml:space="preserve"> </w:t>
      </w:r>
      <w:r w:rsidR="00B46F73" w:rsidRPr="00386E47">
        <w:rPr>
          <w:rFonts w:asciiTheme="majorHAnsi" w:eastAsia="Calibri" w:hAnsiTheme="majorHAnsi"/>
          <w:sz w:val="20"/>
          <w:szCs w:val="20"/>
          <w:lang w:val="es-ES"/>
        </w:rPr>
        <w:t>que se pretenden sostener</w:t>
      </w:r>
      <w:r w:rsidR="00BD587F" w:rsidRPr="00386E47">
        <w:rPr>
          <w:rFonts w:asciiTheme="majorHAnsi" w:eastAsia="Calibri" w:hAnsiTheme="majorHAnsi"/>
          <w:sz w:val="20"/>
          <w:szCs w:val="20"/>
          <w:lang w:val="es-ES"/>
        </w:rPr>
        <w:t xml:space="preserve">. </w:t>
      </w:r>
    </w:p>
    <w:p w14:paraId="29D9C411" w14:textId="77777777" w:rsidR="00A34097" w:rsidRPr="00386E47" w:rsidRDefault="00A34097" w:rsidP="00A34097">
      <w:pPr>
        <w:tabs>
          <w:tab w:val="left" w:pos="567"/>
        </w:tabs>
        <w:jc w:val="both"/>
        <w:rPr>
          <w:rFonts w:asciiTheme="majorHAnsi" w:eastAsia="Calibri" w:hAnsiTheme="majorHAnsi"/>
          <w:b/>
          <w:sz w:val="20"/>
          <w:szCs w:val="20"/>
          <w:lang w:val="es-ES"/>
        </w:rPr>
      </w:pPr>
    </w:p>
    <w:p w14:paraId="22437B26" w14:textId="77777777" w:rsidR="00324884" w:rsidRPr="00386E47" w:rsidRDefault="00324884" w:rsidP="003A5860">
      <w:pPr>
        <w:numPr>
          <w:ilvl w:val="0"/>
          <w:numId w:val="55"/>
        </w:numPr>
        <w:tabs>
          <w:tab w:val="left" w:pos="567"/>
        </w:tabs>
        <w:ind w:left="0" w:firstLine="0"/>
        <w:jc w:val="both"/>
        <w:rPr>
          <w:rFonts w:asciiTheme="majorHAnsi" w:eastAsia="Calibri" w:hAnsiTheme="majorHAnsi"/>
          <w:sz w:val="20"/>
          <w:szCs w:val="20"/>
          <w:lang w:val="es-ES"/>
        </w:rPr>
      </w:pPr>
      <w:r w:rsidRPr="00386E47">
        <w:rPr>
          <w:rFonts w:asciiTheme="majorHAnsi" w:eastAsia="Calibri" w:hAnsiTheme="majorHAnsi"/>
          <w:sz w:val="20"/>
          <w:szCs w:val="20"/>
          <w:lang w:val="es-ES"/>
        </w:rPr>
        <w:t>La</w:t>
      </w:r>
      <w:r w:rsidR="00A34097" w:rsidRPr="00386E47">
        <w:rPr>
          <w:rFonts w:asciiTheme="majorHAnsi" w:eastAsia="Calibri" w:hAnsiTheme="majorHAnsi"/>
          <w:sz w:val="20"/>
          <w:szCs w:val="20"/>
          <w:lang w:val="es-ES"/>
        </w:rPr>
        <w:t xml:space="preserve"> Comisión observa que el Estado no aportó información que indique que la legislación procesal penal y de inteligencia argentina contara</w:t>
      </w:r>
      <w:r w:rsidRPr="00386E47">
        <w:rPr>
          <w:rFonts w:asciiTheme="majorHAnsi" w:eastAsia="Calibri" w:hAnsiTheme="majorHAnsi"/>
          <w:sz w:val="20"/>
          <w:szCs w:val="20"/>
          <w:lang w:val="es-ES"/>
        </w:rPr>
        <w:t xml:space="preserve"> a la fecha de los hechos</w:t>
      </w:r>
      <w:r w:rsidR="00A34097" w:rsidRPr="00386E47">
        <w:rPr>
          <w:rFonts w:asciiTheme="majorHAnsi" w:eastAsia="Calibri" w:hAnsiTheme="majorHAnsi"/>
          <w:sz w:val="20"/>
          <w:szCs w:val="20"/>
          <w:lang w:val="es-ES"/>
        </w:rPr>
        <w:t xml:space="preserve"> con mecanismos normativos que permitieran garantizar las anteriores exigencias respecto del uso de informes de inteligencia en las investigaciones</w:t>
      </w:r>
      <w:r w:rsidR="00BD587F" w:rsidRPr="00386E47">
        <w:rPr>
          <w:rFonts w:asciiTheme="majorHAnsi" w:eastAsia="Calibri" w:hAnsiTheme="majorHAnsi"/>
          <w:sz w:val="20"/>
          <w:szCs w:val="20"/>
          <w:lang w:val="es-ES"/>
        </w:rPr>
        <w:t xml:space="preserve"> criminales. </w:t>
      </w:r>
      <w:r w:rsidR="00A34097" w:rsidRPr="00386E47">
        <w:rPr>
          <w:rFonts w:asciiTheme="majorHAnsi" w:eastAsia="Calibri" w:hAnsiTheme="majorHAnsi"/>
          <w:sz w:val="20"/>
          <w:szCs w:val="20"/>
          <w:lang w:val="es-ES"/>
        </w:rPr>
        <w:t xml:space="preserve">Como se ha indicado, la incorporación de este tipo de informes </w:t>
      </w:r>
      <w:r w:rsidR="00BD587F" w:rsidRPr="00386E47">
        <w:rPr>
          <w:rFonts w:asciiTheme="majorHAnsi" w:eastAsia="Calibri" w:hAnsiTheme="majorHAnsi"/>
          <w:sz w:val="20"/>
          <w:szCs w:val="20"/>
          <w:lang w:val="es-ES"/>
        </w:rPr>
        <w:t xml:space="preserve">genera, </w:t>
      </w:r>
      <w:r w:rsidR="00A34097" w:rsidRPr="00386E47">
        <w:rPr>
          <w:rFonts w:asciiTheme="majorHAnsi" w:eastAsia="Calibri" w:hAnsiTheme="majorHAnsi"/>
          <w:sz w:val="20"/>
          <w:szCs w:val="20"/>
          <w:lang w:val="es-ES"/>
        </w:rPr>
        <w:t>a su vez</w:t>
      </w:r>
      <w:r w:rsidR="00BD587F" w:rsidRPr="00386E47">
        <w:rPr>
          <w:rFonts w:asciiTheme="majorHAnsi" w:eastAsia="Calibri" w:hAnsiTheme="majorHAnsi"/>
          <w:sz w:val="20"/>
          <w:szCs w:val="20"/>
          <w:lang w:val="es-ES"/>
        </w:rPr>
        <w:t>,</w:t>
      </w:r>
      <w:r w:rsidR="00A34097" w:rsidRPr="00386E47">
        <w:rPr>
          <w:rFonts w:asciiTheme="majorHAnsi" w:eastAsia="Calibri" w:hAnsiTheme="majorHAnsi"/>
          <w:sz w:val="20"/>
          <w:szCs w:val="20"/>
          <w:lang w:val="es-ES"/>
        </w:rPr>
        <w:t xml:space="preserve"> un deber de practicar diligencias adicionales que permitieran confirmar </w:t>
      </w:r>
      <w:r w:rsidR="00BD587F" w:rsidRPr="00386E47">
        <w:rPr>
          <w:rFonts w:asciiTheme="majorHAnsi" w:eastAsia="Calibri" w:hAnsiTheme="majorHAnsi"/>
          <w:sz w:val="20"/>
          <w:szCs w:val="20"/>
          <w:lang w:val="es-ES"/>
        </w:rPr>
        <w:t>las</w:t>
      </w:r>
      <w:r w:rsidR="00A34097" w:rsidRPr="00386E47">
        <w:rPr>
          <w:rFonts w:asciiTheme="majorHAnsi" w:eastAsia="Calibri" w:hAnsiTheme="majorHAnsi"/>
          <w:sz w:val="20"/>
          <w:szCs w:val="20"/>
          <w:lang w:val="es-ES"/>
        </w:rPr>
        <w:t xml:space="preserve"> hipótesis</w:t>
      </w:r>
      <w:r w:rsidR="00BD587F" w:rsidRPr="00386E47">
        <w:rPr>
          <w:rFonts w:asciiTheme="majorHAnsi" w:eastAsia="Calibri" w:hAnsiTheme="majorHAnsi"/>
          <w:sz w:val="20"/>
          <w:szCs w:val="20"/>
          <w:lang w:val="es-ES"/>
        </w:rPr>
        <w:t xml:space="preserve"> allí planteadas</w:t>
      </w:r>
      <w:r w:rsidR="00A34097" w:rsidRPr="00386E47">
        <w:rPr>
          <w:rFonts w:asciiTheme="majorHAnsi" w:eastAsia="Calibri" w:hAnsiTheme="majorHAnsi"/>
          <w:sz w:val="20"/>
          <w:szCs w:val="20"/>
          <w:lang w:val="es-ES"/>
        </w:rPr>
        <w:t>. La Comisión en ese sentido observa que</w:t>
      </w:r>
      <w:r w:rsidRPr="00386E47">
        <w:rPr>
          <w:rFonts w:asciiTheme="majorHAnsi" w:eastAsia="Calibri" w:hAnsiTheme="majorHAnsi"/>
          <w:sz w:val="20"/>
          <w:szCs w:val="20"/>
          <w:lang w:val="es-ES"/>
        </w:rPr>
        <w:t>,</w:t>
      </w:r>
      <w:r w:rsidR="00A34097" w:rsidRPr="00386E47">
        <w:rPr>
          <w:rFonts w:asciiTheme="majorHAnsi" w:eastAsia="Calibri" w:hAnsiTheme="majorHAnsi"/>
          <w:sz w:val="20"/>
          <w:szCs w:val="20"/>
          <w:lang w:val="es-ES"/>
        </w:rPr>
        <w:t xml:space="preserve"> en vista de que gran parte de la información que consta en la causa se encuentra en informes de inteligencia, de no llevarse adelante diligencias dirigidas a obtener pruebas conforme a las normas procesales que puedan ser incorporadas en el expediente, </w:t>
      </w:r>
      <w:r w:rsidRPr="00386E47">
        <w:rPr>
          <w:rFonts w:asciiTheme="majorHAnsi" w:eastAsia="Calibri" w:hAnsiTheme="majorHAnsi"/>
          <w:sz w:val="20"/>
          <w:szCs w:val="20"/>
          <w:lang w:val="es-ES"/>
        </w:rPr>
        <w:t xml:space="preserve">se </w:t>
      </w:r>
      <w:r w:rsidR="00C516A9" w:rsidRPr="00386E47">
        <w:rPr>
          <w:rFonts w:asciiTheme="majorHAnsi" w:eastAsia="Calibri" w:hAnsiTheme="majorHAnsi"/>
          <w:sz w:val="20"/>
          <w:szCs w:val="20"/>
          <w:lang w:val="es-ES"/>
        </w:rPr>
        <w:t>vería</w:t>
      </w:r>
      <w:r w:rsidRPr="00386E47">
        <w:rPr>
          <w:rFonts w:asciiTheme="majorHAnsi" w:eastAsia="Calibri" w:hAnsiTheme="majorHAnsi"/>
          <w:sz w:val="20"/>
          <w:szCs w:val="20"/>
          <w:lang w:val="es-ES"/>
        </w:rPr>
        <w:t xml:space="preserve"> seriamente comprometida la posibilidad de obtener un pronunciamiento judicial que determine la correspondencia con la verdad de las hipótesis acusatorias planteadas por la UFI AMIA y se sancione a los individuos </w:t>
      </w:r>
      <w:r w:rsidR="00C516A9" w:rsidRPr="00386E47">
        <w:rPr>
          <w:rFonts w:asciiTheme="majorHAnsi" w:eastAsia="Calibri" w:hAnsiTheme="majorHAnsi"/>
          <w:sz w:val="20"/>
          <w:szCs w:val="20"/>
          <w:lang w:val="es-ES"/>
        </w:rPr>
        <w:t xml:space="preserve">acusados por dicha dependencia. </w:t>
      </w:r>
    </w:p>
    <w:p w14:paraId="11D81269" w14:textId="77777777" w:rsidR="00F40018" w:rsidRPr="00386E47" w:rsidRDefault="00F40018" w:rsidP="002847DD">
      <w:pPr>
        <w:tabs>
          <w:tab w:val="left" w:pos="567"/>
        </w:tabs>
        <w:jc w:val="both"/>
        <w:rPr>
          <w:rFonts w:asciiTheme="majorHAnsi" w:eastAsia="Calibri" w:hAnsiTheme="majorHAnsi"/>
          <w:sz w:val="20"/>
          <w:szCs w:val="20"/>
          <w:lang w:val="es-ES"/>
        </w:rPr>
      </w:pPr>
    </w:p>
    <w:p w14:paraId="29470310" w14:textId="77777777" w:rsidR="00F40018" w:rsidRPr="00386E47" w:rsidRDefault="00C516A9" w:rsidP="003A5860">
      <w:pPr>
        <w:numPr>
          <w:ilvl w:val="0"/>
          <w:numId w:val="55"/>
        </w:numPr>
        <w:tabs>
          <w:tab w:val="left" w:pos="567"/>
        </w:tabs>
        <w:ind w:left="0" w:firstLine="0"/>
        <w:jc w:val="both"/>
        <w:rPr>
          <w:rFonts w:asciiTheme="majorHAnsi" w:eastAsia="Calibri" w:hAnsiTheme="majorHAnsi"/>
          <w:sz w:val="20"/>
          <w:szCs w:val="20"/>
          <w:lang w:val="es-ES"/>
        </w:rPr>
      </w:pPr>
      <w:r w:rsidRPr="00386E47">
        <w:rPr>
          <w:rFonts w:asciiTheme="majorHAnsi" w:eastAsia="Calibri" w:hAnsiTheme="majorHAnsi"/>
          <w:sz w:val="20"/>
          <w:szCs w:val="20"/>
          <w:lang w:val="es-ES"/>
        </w:rPr>
        <w:t>Con respecto a la identidad del supuesto conductor suicida, l</w:t>
      </w:r>
      <w:r w:rsidR="00A34097" w:rsidRPr="00386E47">
        <w:rPr>
          <w:rFonts w:asciiTheme="majorHAnsi" w:eastAsia="Calibri" w:hAnsiTheme="majorHAnsi"/>
          <w:sz w:val="20"/>
          <w:szCs w:val="20"/>
          <w:lang w:val="es-ES"/>
        </w:rPr>
        <w:t xml:space="preserve">a Comisión nota </w:t>
      </w:r>
      <w:r w:rsidR="00B46F73" w:rsidRPr="00386E47">
        <w:rPr>
          <w:rFonts w:asciiTheme="majorHAnsi" w:eastAsia="Calibri" w:hAnsiTheme="majorHAnsi"/>
          <w:sz w:val="20"/>
          <w:szCs w:val="20"/>
          <w:lang w:val="es-ES"/>
        </w:rPr>
        <w:t>que,</w:t>
      </w:r>
      <w:r w:rsidR="00FC22BD" w:rsidRPr="00386E47">
        <w:rPr>
          <w:rFonts w:asciiTheme="majorHAnsi" w:eastAsia="Calibri" w:hAnsiTheme="majorHAnsi"/>
          <w:sz w:val="20"/>
          <w:szCs w:val="20"/>
          <w:lang w:val="es-ES"/>
        </w:rPr>
        <w:t xml:space="preserve"> si bien los fiscales tomaron en cuenta un peritaje comparativo, con base en un </w:t>
      </w:r>
      <w:r w:rsidR="00FC22BD" w:rsidRPr="00386E47">
        <w:rPr>
          <w:rFonts w:asciiTheme="majorHAnsi" w:eastAsia="Calibri" w:hAnsiTheme="majorHAnsi"/>
          <w:i/>
          <w:sz w:val="20"/>
          <w:szCs w:val="20"/>
          <w:lang w:val="es-ES"/>
        </w:rPr>
        <w:t>identiki</w:t>
      </w:r>
      <w:r w:rsidR="00340607" w:rsidRPr="00386E47">
        <w:rPr>
          <w:rFonts w:asciiTheme="majorHAnsi" w:eastAsia="Calibri" w:hAnsiTheme="majorHAnsi"/>
          <w:i/>
          <w:sz w:val="20"/>
          <w:szCs w:val="20"/>
          <w:lang w:val="es-ES"/>
        </w:rPr>
        <w:t>t</w:t>
      </w:r>
      <w:r w:rsidR="00FC22BD" w:rsidRPr="00386E47">
        <w:rPr>
          <w:rFonts w:asciiTheme="majorHAnsi" w:eastAsia="Calibri" w:hAnsiTheme="majorHAnsi"/>
          <w:i/>
          <w:sz w:val="20"/>
          <w:szCs w:val="20"/>
          <w:lang w:val="es-ES"/>
        </w:rPr>
        <w:t xml:space="preserve"> </w:t>
      </w:r>
      <w:r w:rsidR="00FC22BD" w:rsidRPr="00386E47">
        <w:rPr>
          <w:rFonts w:asciiTheme="majorHAnsi" w:eastAsia="Calibri" w:hAnsiTheme="majorHAnsi"/>
          <w:sz w:val="20"/>
          <w:szCs w:val="20"/>
          <w:lang w:val="es-ES"/>
        </w:rPr>
        <w:t xml:space="preserve">construido en tiempo cercano al atentado, </w:t>
      </w:r>
      <w:r w:rsidR="00A34097" w:rsidRPr="00386E47">
        <w:rPr>
          <w:rFonts w:asciiTheme="majorHAnsi" w:eastAsia="Calibri" w:hAnsiTheme="majorHAnsi"/>
          <w:sz w:val="20"/>
          <w:szCs w:val="20"/>
          <w:lang w:val="es-ES"/>
        </w:rPr>
        <w:t>la UFI AMIA</w:t>
      </w:r>
      <w:r w:rsidRPr="00386E47">
        <w:rPr>
          <w:rFonts w:asciiTheme="majorHAnsi" w:eastAsia="Calibri" w:hAnsiTheme="majorHAnsi"/>
          <w:sz w:val="20"/>
          <w:szCs w:val="20"/>
          <w:lang w:val="es-ES"/>
        </w:rPr>
        <w:t xml:space="preserve"> en su dictamen de octubre de 2006</w:t>
      </w:r>
      <w:r w:rsidR="00FC22BD" w:rsidRPr="00386E47">
        <w:rPr>
          <w:rFonts w:asciiTheme="majorHAnsi" w:eastAsia="Calibri" w:hAnsiTheme="majorHAnsi"/>
          <w:sz w:val="20"/>
          <w:szCs w:val="20"/>
          <w:lang w:val="es-ES"/>
        </w:rPr>
        <w:t xml:space="preserve"> </w:t>
      </w:r>
      <w:r w:rsidR="00324884" w:rsidRPr="00386E47">
        <w:rPr>
          <w:rFonts w:asciiTheme="majorHAnsi" w:eastAsia="Calibri" w:hAnsiTheme="majorHAnsi"/>
          <w:sz w:val="20"/>
          <w:szCs w:val="20"/>
          <w:lang w:val="es-ES"/>
        </w:rPr>
        <w:t xml:space="preserve">atribuyó a Ibrahim Hussein Berro la autoría material del atentado en base a </w:t>
      </w:r>
      <w:r w:rsidR="00A34097" w:rsidRPr="00386E47">
        <w:rPr>
          <w:rFonts w:asciiTheme="majorHAnsi" w:eastAsia="Calibri" w:hAnsiTheme="majorHAnsi"/>
          <w:sz w:val="20"/>
          <w:szCs w:val="20"/>
          <w:lang w:val="es-ES"/>
        </w:rPr>
        <w:t xml:space="preserve">informes de inteligencia que eran </w:t>
      </w:r>
      <w:r w:rsidR="00324884" w:rsidRPr="00386E47">
        <w:rPr>
          <w:rFonts w:asciiTheme="majorHAnsi" w:eastAsia="Calibri" w:hAnsiTheme="majorHAnsi"/>
          <w:sz w:val="20"/>
          <w:szCs w:val="20"/>
          <w:lang w:val="es-ES"/>
        </w:rPr>
        <w:t xml:space="preserve">incorporados a la causa </w:t>
      </w:r>
      <w:r w:rsidR="00A34097" w:rsidRPr="00386E47">
        <w:rPr>
          <w:rFonts w:asciiTheme="majorHAnsi" w:eastAsia="Calibri" w:hAnsiTheme="majorHAnsi"/>
          <w:sz w:val="20"/>
          <w:szCs w:val="20"/>
          <w:lang w:val="es-ES"/>
        </w:rPr>
        <w:t xml:space="preserve">por la SIDE.  </w:t>
      </w:r>
      <w:r w:rsidR="00FC22BD" w:rsidRPr="00386E47">
        <w:rPr>
          <w:rFonts w:asciiTheme="majorHAnsi" w:eastAsia="Calibri" w:hAnsiTheme="majorHAnsi"/>
          <w:sz w:val="20"/>
          <w:szCs w:val="20"/>
          <w:lang w:val="es-ES"/>
        </w:rPr>
        <w:t>La Comisión observa que tuvieron que transcurrir más de 10 años</w:t>
      </w:r>
      <w:r w:rsidR="00BD587F" w:rsidRPr="00386E47">
        <w:rPr>
          <w:rFonts w:asciiTheme="majorHAnsi" w:eastAsia="Calibri" w:hAnsiTheme="majorHAnsi"/>
          <w:sz w:val="20"/>
          <w:szCs w:val="20"/>
          <w:lang w:val="es-ES"/>
        </w:rPr>
        <w:t xml:space="preserve"> para que </w:t>
      </w:r>
      <w:r w:rsidR="009F70EA" w:rsidRPr="00386E47">
        <w:rPr>
          <w:rFonts w:asciiTheme="majorHAnsi" w:eastAsia="Calibri" w:hAnsiTheme="majorHAnsi"/>
          <w:sz w:val="20"/>
          <w:szCs w:val="20"/>
          <w:lang w:val="es-ES"/>
        </w:rPr>
        <w:t xml:space="preserve">la UFI AMIA </w:t>
      </w:r>
      <w:r w:rsidRPr="00386E47">
        <w:rPr>
          <w:rFonts w:asciiTheme="majorHAnsi" w:eastAsia="Calibri" w:hAnsiTheme="majorHAnsi"/>
          <w:sz w:val="20"/>
          <w:szCs w:val="20"/>
          <w:lang w:val="es-ES"/>
        </w:rPr>
        <w:t xml:space="preserve">identificara la existencia de material biológico en un deposito </w:t>
      </w:r>
      <w:r w:rsidR="00FC22BD" w:rsidRPr="00386E47">
        <w:rPr>
          <w:rFonts w:asciiTheme="majorHAnsi" w:eastAsia="Calibri" w:hAnsiTheme="majorHAnsi"/>
          <w:sz w:val="20"/>
          <w:szCs w:val="20"/>
          <w:lang w:val="es-ES"/>
        </w:rPr>
        <w:t xml:space="preserve">que no correspondía a </w:t>
      </w:r>
      <w:r w:rsidR="009F70EA" w:rsidRPr="00386E47">
        <w:rPr>
          <w:rFonts w:asciiTheme="majorHAnsi" w:eastAsia="Calibri" w:hAnsiTheme="majorHAnsi"/>
          <w:sz w:val="20"/>
          <w:szCs w:val="20"/>
          <w:lang w:val="es-ES"/>
        </w:rPr>
        <w:t xml:space="preserve">ninguna de las victimas conocidas. </w:t>
      </w:r>
      <w:r w:rsidR="00FC22BD" w:rsidRPr="00386E47">
        <w:rPr>
          <w:rFonts w:asciiTheme="majorHAnsi" w:eastAsia="Calibri" w:hAnsiTheme="majorHAnsi"/>
          <w:sz w:val="20"/>
          <w:szCs w:val="20"/>
          <w:lang w:val="es-ES"/>
        </w:rPr>
        <w:t xml:space="preserve">Asimismo, </w:t>
      </w:r>
      <w:r w:rsidR="00324884" w:rsidRPr="00386E47">
        <w:rPr>
          <w:rFonts w:asciiTheme="majorHAnsi" w:eastAsia="Calibri" w:hAnsiTheme="majorHAnsi"/>
          <w:sz w:val="20"/>
          <w:szCs w:val="20"/>
          <w:lang w:val="es-ES"/>
        </w:rPr>
        <w:t xml:space="preserve">no </w:t>
      </w:r>
      <w:r w:rsidR="00F40018" w:rsidRPr="00386E47">
        <w:rPr>
          <w:rFonts w:asciiTheme="majorHAnsi" w:eastAsia="Calibri" w:hAnsiTheme="majorHAnsi"/>
          <w:sz w:val="20"/>
          <w:szCs w:val="20"/>
          <w:lang w:val="es-ES"/>
        </w:rPr>
        <w:t>f</w:t>
      </w:r>
      <w:r w:rsidR="00A34097" w:rsidRPr="00386E47">
        <w:rPr>
          <w:rFonts w:asciiTheme="majorHAnsi" w:eastAsia="Calibri" w:hAnsiTheme="majorHAnsi"/>
          <w:sz w:val="20"/>
          <w:szCs w:val="20"/>
          <w:lang w:val="es-ES"/>
        </w:rPr>
        <w:t>ue</w:t>
      </w:r>
      <w:r w:rsidR="00324884" w:rsidRPr="00386E47">
        <w:rPr>
          <w:rFonts w:asciiTheme="majorHAnsi" w:eastAsia="Calibri" w:hAnsiTheme="majorHAnsi"/>
          <w:sz w:val="20"/>
          <w:szCs w:val="20"/>
          <w:lang w:val="es-ES"/>
        </w:rPr>
        <w:t xml:space="preserve"> sino </w:t>
      </w:r>
      <w:r w:rsidR="00B46F73" w:rsidRPr="00386E47">
        <w:rPr>
          <w:rFonts w:asciiTheme="majorHAnsi" w:eastAsia="Calibri" w:hAnsiTheme="majorHAnsi"/>
          <w:sz w:val="20"/>
          <w:szCs w:val="20"/>
          <w:lang w:val="es-ES"/>
        </w:rPr>
        <w:t>hasta el</w:t>
      </w:r>
      <w:r w:rsidR="00324884" w:rsidRPr="00386E47">
        <w:rPr>
          <w:rFonts w:asciiTheme="majorHAnsi" w:eastAsia="Calibri" w:hAnsiTheme="majorHAnsi"/>
          <w:sz w:val="20"/>
          <w:szCs w:val="20"/>
          <w:lang w:val="es-ES"/>
        </w:rPr>
        <w:t xml:space="preserve"> año 2017</w:t>
      </w:r>
      <w:r w:rsidR="009F70EA" w:rsidRPr="00386E47">
        <w:rPr>
          <w:rFonts w:asciiTheme="majorHAnsi" w:eastAsia="Calibri" w:hAnsiTheme="majorHAnsi"/>
          <w:sz w:val="20"/>
          <w:szCs w:val="20"/>
          <w:lang w:val="es-ES"/>
        </w:rPr>
        <w:t xml:space="preserve"> </w:t>
      </w:r>
      <w:r w:rsidR="000E6B91" w:rsidRPr="00386E47">
        <w:rPr>
          <w:rFonts w:asciiTheme="majorHAnsi" w:eastAsia="Calibri" w:hAnsiTheme="majorHAnsi"/>
          <w:sz w:val="20"/>
          <w:szCs w:val="20"/>
          <w:lang w:val="es-ES"/>
        </w:rPr>
        <w:t xml:space="preserve">que </w:t>
      </w:r>
      <w:r w:rsidR="009F70EA" w:rsidRPr="00386E47">
        <w:rPr>
          <w:rFonts w:asciiTheme="majorHAnsi" w:eastAsia="Calibri" w:hAnsiTheme="majorHAnsi"/>
          <w:sz w:val="20"/>
          <w:szCs w:val="20"/>
          <w:lang w:val="es-ES"/>
        </w:rPr>
        <w:t xml:space="preserve">la UFI AMIA </w:t>
      </w:r>
      <w:r w:rsidRPr="00386E47">
        <w:rPr>
          <w:rFonts w:asciiTheme="majorHAnsi" w:eastAsia="Calibri" w:hAnsiTheme="majorHAnsi"/>
          <w:sz w:val="20"/>
          <w:szCs w:val="20"/>
          <w:lang w:val="es-ES"/>
        </w:rPr>
        <w:t>logró concluir</w:t>
      </w:r>
      <w:r w:rsidR="009F70EA" w:rsidRPr="00386E47">
        <w:rPr>
          <w:rFonts w:asciiTheme="majorHAnsi" w:eastAsia="Calibri" w:hAnsiTheme="majorHAnsi"/>
          <w:sz w:val="20"/>
          <w:szCs w:val="20"/>
          <w:lang w:val="es-ES"/>
        </w:rPr>
        <w:t xml:space="preserve"> </w:t>
      </w:r>
      <w:r w:rsidR="00F40018" w:rsidRPr="00386E47">
        <w:rPr>
          <w:rFonts w:asciiTheme="majorHAnsi" w:eastAsia="Calibri" w:hAnsiTheme="majorHAnsi"/>
          <w:sz w:val="20"/>
          <w:szCs w:val="20"/>
          <w:lang w:val="es-ES"/>
        </w:rPr>
        <w:t>que</w:t>
      </w:r>
      <w:r w:rsidRPr="00386E47">
        <w:rPr>
          <w:rFonts w:asciiTheme="majorHAnsi" w:eastAsia="Calibri" w:hAnsiTheme="majorHAnsi"/>
          <w:sz w:val="20"/>
          <w:szCs w:val="20"/>
          <w:lang w:val="es-ES"/>
        </w:rPr>
        <w:t xml:space="preserve"> esa</w:t>
      </w:r>
      <w:r w:rsidR="00F40018" w:rsidRPr="00386E47">
        <w:rPr>
          <w:rFonts w:asciiTheme="majorHAnsi" w:eastAsia="Calibri" w:hAnsiTheme="majorHAnsi"/>
          <w:sz w:val="20"/>
          <w:szCs w:val="20"/>
          <w:lang w:val="es-ES"/>
        </w:rPr>
        <w:t xml:space="preserve"> muestra </w:t>
      </w:r>
      <w:r w:rsidR="00324884" w:rsidRPr="00386E47">
        <w:rPr>
          <w:rFonts w:asciiTheme="majorHAnsi" w:eastAsia="Calibri" w:hAnsiTheme="majorHAnsi"/>
          <w:sz w:val="20"/>
          <w:szCs w:val="20"/>
          <w:lang w:val="es-ES"/>
        </w:rPr>
        <w:t>no poseía</w:t>
      </w:r>
      <w:r w:rsidR="00F40018" w:rsidRPr="00386E47">
        <w:rPr>
          <w:rFonts w:asciiTheme="majorHAnsi" w:eastAsia="Calibri" w:hAnsiTheme="majorHAnsi"/>
          <w:sz w:val="20"/>
          <w:szCs w:val="20"/>
          <w:lang w:val="es-ES"/>
        </w:rPr>
        <w:t xml:space="preserve"> correspondencia genética</w:t>
      </w:r>
      <w:r w:rsidR="00324884" w:rsidRPr="00386E47">
        <w:rPr>
          <w:rFonts w:asciiTheme="majorHAnsi" w:eastAsia="Calibri" w:hAnsiTheme="majorHAnsi"/>
          <w:sz w:val="20"/>
          <w:szCs w:val="20"/>
          <w:lang w:val="es-ES"/>
        </w:rPr>
        <w:t xml:space="preserve"> alguna</w:t>
      </w:r>
      <w:r w:rsidR="00FC22BD" w:rsidRPr="00386E47">
        <w:rPr>
          <w:rFonts w:asciiTheme="majorHAnsi" w:eastAsia="Calibri" w:hAnsiTheme="majorHAnsi"/>
          <w:sz w:val="20"/>
          <w:szCs w:val="20"/>
          <w:lang w:val="es-ES"/>
        </w:rPr>
        <w:t xml:space="preserve"> con uno de los hermanos de Berro</w:t>
      </w:r>
      <w:r w:rsidR="009F70EA" w:rsidRPr="00386E47">
        <w:rPr>
          <w:rFonts w:asciiTheme="majorHAnsi" w:eastAsia="Calibri" w:hAnsiTheme="majorHAnsi"/>
          <w:sz w:val="20"/>
          <w:szCs w:val="20"/>
          <w:lang w:val="es-ES"/>
        </w:rPr>
        <w:t>.</w:t>
      </w:r>
    </w:p>
    <w:p w14:paraId="244D4A24" w14:textId="77777777" w:rsidR="00974A7E" w:rsidRPr="00386E47" w:rsidRDefault="00974A7E" w:rsidP="00347DFB">
      <w:pPr>
        <w:tabs>
          <w:tab w:val="left" w:pos="567"/>
        </w:tabs>
        <w:jc w:val="both"/>
        <w:rPr>
          <w:rFonts w:asciiTheme="majorHAnsi" w:eastAsia="Calibri" w:hAnsiTheme="majorHAnsi"/>
          <w:b/>
          <w:sz w:val="20"/>
          <w:szCs w:val="20"/>
          <w:lang w:val="es-AR"/>
        </w:rPr>
      </w:pPr>
    </w:p>
    <w:p w14:paraId="44220BF0" w14:textId="77777777" w:rsidR="00664CCF" w:rsidRPr="00386E47" w:rsidRDefault="00953702" w:rsidP="003A5860">
      <w:pPr>
        <w:numPr>
          <w:ilvl w:val="0"/>
          <w:numId w:val="55"/>
        </w:numPr>
        <w:tabs>
          <w:tab w:val="left" w:pos="567"/>
        </w:tabs>
        <w:ind w:left="0" w:firstLine="0"/>
        <w:jc w:val="both"/>
        <w:rPr>
          <w:rFonts w:asciiTheme="majorHAnsi" w:eastAsia="Calibri" w:hAnsiTheme="majorHAnsi"/>
          <w:sz w:val="20"/>
          <w:szCs w:val="20"/>
          <w:lang w:val="es-AR"/>
        </w:rPr>
      </w:pPr>
      <w:r w:rsidRPr="00386E47">
        <w:rPr>
          <w:rFonts w:asciiTheme="majorHAnsi" w:eastAsia="Calibri" w:hAnsiTheme="majorHAnsi"/>
          <w:sz w:val="20"/>
          <w:szCs w:val="20"/>
          <w:lang w:val="es-AR"/>
        </w:rPr>
        <w:t>L</w:t>
      </w:r>
      <w:r w:rsidR="009F70EA" w:rsidRPr="00386E47">
        <w:rPr>
          <w:rFonts w:asciiTheme="majorHAnsi" w:eastAsia="Calibri" w:hAnsiTheme="majorHAnsi"/>
          <w:sz w:val="20"/>
          <w:szCs w:val="20"/>
          <w:lang w:val="es-AR"/>
        </w:rPr>
        <w:t xml:space="preserve">a CIDH entiende que, a la luz del resultado de este peritaje biológico, resulta razonable que </w:t>
      </w:r>
      <w:r w:rsidR="00121E33" w:rsidRPr="00386E47">
        <w:rPr>
          <w:rFonts w:asciiTheme="majorHAnsi" w:eastAsia="Calibri" w:hAnsiTheme="majorHAnsi"/>
          <w:sz w:val="20"/>
          <w:szCs w:val="20"/>
          <w:lang w:val="es-AR"/>
        </w:rPr>
        <w:t>a la fecha continúen existiendo</w:t>
      </w:r>
      <w:r w:rsidR="009F70EA" w:rsidRPr="00386E47">
        <w:rPr>
          <w:rFonts w:asciiTheme="majorHAnsi" w:eastAsia="Calibri" w:hAnsiTheme="majorHAnsi"/>
          <w:sz w:val="20"/>
          <w:szCs w:val="20"/>
          <w:lang w:val="es-AR"/>
        </w:rPr>
        <w:t xml:space="preserve"> serias dudas respecto de la veracidad de la hipótesis fiscal plasmada en el dictamen de octubre de 2006.</w:t>
      </w:r>
      <w:r w:rsidR="00324884" w:rsidRPr="00386E47">
        <w:rPr>
          <w:rFonts w:asciiTheme="majorHAnsi" w:eastAsia="Calibri" w:hAnsiTheme="majorHAnsi"/>
          <w:sz w:val="20"/>
          <w:szCs w:val="20"/>
          <w:lang w:val="es-AR"/>
        </w:rPr>
        <w:t xml:space="preserve"> </w:t>
      </w:r>
      <w:r w:rsidR="009F70EA" w:rsidRPr="00386E47">
        <w:rPr>
          <w:rFonts w:asciiTheme="majorHAnsi" w:eastAsia="Calibri" w:hAnsiTheme="majorHAnsi"/>
          <w:sz w:val="20"/>
          <w:szCs w:val="20"/>
          <w:lang w:val="es-AR"/>
        </w:rPr>
        <w:t xml:space="preserve"> </w:t>
      </w:r>
      <w:r w:rsidR="00F40018" w:rsidRPr="00386E47">
        <w:rPr>
          <w:rFonts w:asciiTheme="majorHAnsi" w:eastAsia="Calibri" w:hAnsiTheme="majorHAnsi"/>
          <w:sz w:val="20"/>
          <w:szCs w:val="20"/>
          <w:lang w:val="es-AR"/>
        </w:rPr>
        <w:t>E</w:t>
      </w:r>
      <w:r w:rsidR="009F70EA" w:rsidRPr="00386E47">
        <w:rPr>
          <w:rFonts w:asciiTheme="majorHAnsi" w:eastAsia="Calibri" w:hAnsiTheme="majorHAnsi"/>
          <w:sz w:val="20"/>
          <w:szCs w:val="20"/>
          <w:lang w:val="es-AR"/>
        </w:rPr>
        <w:t xml:space="preserve">ste estado de incertidumbre se agudiza si se tiene en cuenta que en el mencionado dictamen la identificación de Berro se </w:t>
      </w:r>
      <w:r w:rsidR="00245A1A" w:rsidRPr="00386E47">
        <w:rPr>
          <w:rFonts w:asciiTheme="majorHAnsi" w:eastAsia="Calibri" w:hAnsiTheme="majorHAnsi"/>
          <w:sz w:val="20"/>
          <w:szCs w:val="20"/>
          <w:lang w:val="es-AR"/>
        </w:rPr>
        <w:t>bas</w:t>
      </w:r>
      <w:r w:rsidR="00B816C5" w:rsidRPr="00386E47">
        <w:rPr>
          <w:rFonts w:asciiTheme="majorHAnsi" w:eastAsia="Calibri" w:hAnsiTheme="majorHAnsi"/>
          <w:sz w:val="20"/>
          <w:szCs w:val="20"/>
          <w:lang w:val="es-AR"/>
        </w:rPr>
        <w:t>ó</w:t>
      </w:r>
      <w:r w:rsidR="009F70EA" w:rsidRPr="00386E47">
        <w:rPr>
          <w:rFonts w:asciiTheme="majorHAnsi" w:eastAsia="Calibri" w:hAnsiTheme="majorHAnsi"/>
          <w:sz w:val="20"/>
          <w:szCs w:val="20"/>
          <w:lang w:val="es-AR"/>
        </w:rPr>
        <w:t xml:space="preserve">, </w:t>
      </w:r>
      <w:r w:rsidR="00324884" w:rsidRPr="00386E47">
        <w:rPr>
          <w:rFonts w:asciiTheme="majorHAnsi" w:eastAsia="Calibri" w:hAnsiTheme="majorHAnsi"/>
          <w:sz w:val="20"/>
          <w:szCs w:val="20"/>
          <w:lang w:val="es-AR"/>
        </w:rPr>
        <w:t xml:space="preserve">la </w:t>
      </w:r>
      <w:r w:rsidR="00B528BF" w:rsidRPr="00386E47">
        <w:rPr>
          <w:rFonts w:asciiTheme="majorHAnsi" w:eastAsia="Calibri" w:hAnsiTheme="majorHAnsi"/>
          <w:sz w:val="20"/>
          <w:szCs w:val="20"/>
          <w:lang w:val="es-AR"/>
        </w:rPr>
        <w:t>Comisión</w:t>
      </w:r>
      <w:r w:rsidR="00324884" w:rsidRPr="00386E47">
        <w:rPr>
          <w:rFonts w:asciiTheme="majorHAnsi" w:eastAsia="Calibri" w:hAnsiTheme="majorHAnsi"/>
          <w:sz w:val="20"/>
          <w:szCs w:val="20"/>
          <w:lang w:val="es-AR"/>
        </w:rPr>
        <w:t xml:space="preserve"> reitera</w:t>
      </w:r>
      <w:r w:rsidR="009F70EA" w:rsidRPr="00386E47">
        <w:rPr>
          <w:rFonts w:asciiTheme="majorHAnsi" w:eastAsia="Calibri" w:hAnsiTheme="majorHAnsi"/>
          <w:sz w:val="20"/>
          <w:szCs w:val="20"/>
          <w:lang w:val="es-AR"/>
        </w:rPr>
        <w:t xml:space="preserve">, en información reunida por agencias de inteligencia argentinas y extranjeras y por declaraciones de testigos de identidad reservada cuya veracidad no </w:t>
      </w:r>
      <w:r w:rsidR="002A3811" w:rsidRPr="00386E47">
        <w:rPr>
          <w:rFonts w:asciiTheme="majorHAnsi" w:eastAsia="Calibri" w:hAnsiTheme="majorHAnsi"/>
          <w:sz w:val="20"/>
          <w:szCs w:val="20"/>
          <w:lang w:val="es-AR"/>
        </w:rPr>
        <w:t xml:space="preserve">fue posible de </w:t>
      </w:r>
      <w:r w:rsidR="009F70EA" w:rsidRPr="00386E47">
        <w:rPr>
          <w:rFonts w:asciiTheme="majorHAnsi" w:eastAsia="Calibri" w:hAnsiTheme="majorHAnsi"/>
          <w:sz w:val="20"/>
          <w:szCs w:val="20"/>
          <w:lang w:val="es-AR"/>
        </w:rPr>
        <w:t xml:space="preserve">ser controlada o corroborada ni por las autoridades judiciales </w:t>
      </w:r>
      <w:r w:rsidR="002A3811" w:rsidRPr="00386E47">
        <w:rPr>
          <w:rFonts w:asciiTheme="majorHAnsi" w:eastAsia="Calibri" w:hAnsiTheme="majorHAnsi"/>
          <w:sz w:val="20"/>
          <w:szCs w:val="20"/>
          <w:lang w:val="es-AR"/>
        </w:rPr>
        <w:t xml:space="preserve">ni por los peticionarios constituidos como querellantes en la causa toda vez que su </w:t>
      </w:r>
      <w:r w:rsidR="00245A1A" w:rsidRPr="00386E47">
        <w:rPr>
          <w:rFonts w:asciiTheme="majorHAnsi" w:eastAsia="Calibri" w:hAnsiTheme="majorHAnsi"/>
          <w:sz w:val="20"/>
          <w:szCs w:val="20"/>
          <w:lang w:val="es-AR"/>
        </w:rPr>
        <w:t xml:space="preserve">introducción al expediente judicial no se rigió por las reglas de la prueba testimonial. </w:t>
      </w:r>
      <w:r w:rsidR="009F70EA" w:rsidRPr="00386E47">
        <w:rPr>
          <w:rFonts w:asciiTheme="majorHAnsi" w:eastAsia="Calibri" w:hAnsiTheme="majorHAnsi"/>
          <w:sz w:val="20"/>
          <w:szCs w:val="20"/>
          <w:lang w:val="es-AR"/>
        </w:rPr>
        <w:t xml:space="preserve">(ver </w:t>
      </w:r>
      <w:r w:rsidR="001D4ABD" w:rsidRPr="00386E47">
        <w:rPr>
          <w:rFonts w:asciiTheme="majorHAnsi" w:eastAsia="Calibri" w:hAnsiTheme="majorHAnsi"/>
          <w:sz w:val="20"/>
          <w:szCs w:val="20"/>
          <w:lang w:val="es-AR"/>
        </w:rPr>
        <w:t xml:space="preserve">supra </w:t>
      </w:r>
      <w:r w:rsidR="009F70EA" w:rsidRPr="00386E47">
        <w:rPr>
          <w:rFonts w:asciiTheme="majorHAnsi" w:eastAsia="Calibri" w:hAnsiTheme="majorHAnsi"/>
          <w:sz w:val="20"/>
          <w:szCs w:val="20"/>
          <w:lang w:val="es-AR"/>
        </w:rPr>
        <w:t>par</w:t>
      </w:r>
      <w:r w:rsidR="001D4ABD" w:rsidRPr="00386E47">
        <w:rPr>
          <w:rFonts w:asciiTheme="majorHAnsi" w:eastAsia="Calibri" w:hAnsiTheme="majorHAnsi"/>
          <w:sz w:val="20"/>
          <w:szCs w:val="20"/>
          <w:lang w:val="es-AR"/>
        </w:rPr>
        <w:t xml:space="preserve">r. </w:t>
      </w:r>
      <w:r w:rsidR="00245A1A" w:rsidRPr="00386E47">
        <w:rPr>
          <w:rFonts w:asciiTheme="majorHAnsi" w:eastAsia="Calibri" w:hAnsiTheme="majorHAnsi"/>
          <w:sz w:val="20"/>
          <w:szCs w:val="20"/>
          <w:lang w:val="es-AR"/>
        </w:rPr>
        <w:t>243</w:t>
      </w:r>
      <w:r w:rsidR="009F70EA" w:rsidRPr="00386E47">
        <w:rPr>
          <w:rFonts w:asciiTheme="majorHAnsi" w:eastAsia="Calibri" w:hAnsiTheme="majorHAnsi"/>
          <w:sz w:val="20"/>
          <w:szCs w:val="20"/>
          <w:lang w:val="es-AR"/>
        </w:rPr>
        <w:t>)</w:t>
      </w:r>
      <w:r w:rsidR="00B816C5" w:rsidRPr="00386E47">
        <w:rPr>
          <w:rFonts w:asciiTheme="majorHAnsi" w:eastAsia="Calibri" w:hAnsiTheme="majorHAnsi"/>
          <w:sz w:val="20"/>
          <w:szCs w:val="20"/>
          <w:lang w:val="es-AR"/>
        </w:rPr>
        <w:t xml:space="preserve">. </w:t>
      </w:r>
    </w:p>
    <w:p w14:paraId="6930CD41" w14:textId="77777777" w:rsidR="00664CCF" w:rsidRPr="00386E47" w:rsidRDefault="00664CCF" w:rsidP="00A311A0">
      <w:pPr>
        <w:pStyle w:val="ListParagraph"/>
        <w:rPr>
          <w:rFonts w:asciiTheme="majorHAnsi" w:eastAsia="Calibri" w:hAnsiTheme="majorHAnsi"/>
          <w:sz w:val="20"/>
          <w:szCs w:val="20"/>
          <w:lang w:val="es-AR"/>
        </w:rPr>
      </w:pPr>
    </w:p>
    <w:p w14:paraId="103F1301" w14:textId="77777777" w:rsidR="00324884" w:rsidRPr="00386E47" w:rsidRDefault="00953702" w:rsidP="003A5860">
      <w:pPr>
        <w:numPr>
          <w:ilvl w:val="0"/>
          <w:numId w:val="55"/>
        </w:numPr>
        <w:tabs>
          <w:tab w:val="left" w:pos="567"/>
        </w:tabs>
        <w:ind w:left="0" w:firstLine="0"/>
        <w:jc w:val="both"/>
        <w:rPr>
          <w:rFonts w:asciiTheme="majorHAnsi" w:eastAsia="Calibri" w:hAnsiTheme="majorHAnsi"/>
          <w:sz w:val="20"/>
          <w:szCs w:val="20"/>
          <w:lang w:val="es-AR"/>
        </w:rPr>
      </w:pPr>
      <w:r w:rsidRPr="00386E47">
        <w:rPr>
          <w:rFonts w:asciiTheme="majorHAnsi" w:eastAsia="Calibri" w:hAnsiTheme="majorHAnsi"/>
          <w:sz w:val="20"/>
          <w:szCs w:val="20"/>
          <w:lang w:val="es-AR"/>
        </w:rPr>
        <w:t>L</w:t>
      </w:r>
      <w:r w:rsidR="00B816C5" w:rsidRPr="00386E47">
        <w:rPr>
          <w:rFonts w:asciiTheme="majorHAnsi" w:eastAsia="Calibri" w:hAnsiTheme="majorHAnsi"/>
          <w:sz w:val="20"/>
          <w:szCs w:val="20"/>
          <w:lang w:val="es-AR"/>
        </w:rPr>
        <w:t xml:space="preserve">a Comisión considera </w:t>
      </w:r>
      <w:r w:rsidRPr="00386E47">
        <w:rPr>
          <w:rFonts w:asciiTheme="majorHAnsi" w:eastAsia="Calibri" w:hAnsiTheme="majorHAnsi"/>
          <w:sz w:val="20"/>
          <w:szCs w:val="20"/>
          <w:lang w:val="es-AR"/>
        </w:rPr>
        <w:t>que</w:t>
      </w:r>
      <w:r w:rsidR="002A3811" w:rsidRPr="00386E47">
        <w:rPr>
          <w:rFonts w:asciiTheme="majorHAnsi" w:eastAsia="Calibri" w:hAnsiTheme="majorHAnsi"/>
          <w:sz w:val="20"/>
          <w:szCs w:val="20"/>
          <w:lang w:val="es-AR"/>
        </w:rPr>
        <w:t>,</w:t>
      </w:r>
      <w:r w:rsidRPr="00386E47">
        <w:rPr>
          <w:rFonts w:asciiTheme="majorHAnsi" w:eastAsia="Calibri" w:hAnsiTheme="majorHAnsi"/>
          <w:sz w:val="20"/>
          <w:szCs w:val="20"/>
          <w:lang w:val="es-AR"/>
        </w:rPr>
        <w:t xml:space="preserve"> además de la </w:t>
      </w:r>
      <w:r w:rsidR="002A3811" w:rsidRPr="00386E47">
        <w:rPr>
          <w:rFonts w:asciiTheme="majorHAnsi" w:eastAsia="Calibri" w:hAnsiTheme="majorHAnsi"/>
          <w:sz w:val="20"/>
          <w:szCs w:val="20"/>
          <w:lang w:val="es-AR"/>
        </w:rPr>
        <w:t xml:space="preserve">realización oportuna de los estudios de </w:t>
      </w:r>
      <w:r w:rsidRPr="00386E47">
        <w:rPr>
          <w:rFonts w:asciiTheme="majorHAnsi" w:eastAsia="Calibri" w:hAnsiTheme="majorHAnsi"/>
          <w:sz w:val="20"/>
          <w:szCs w:val="20"/>
          <w:lang w:val="es-AR"/>
        </w:rPr>
        <w:t>ADN</w:t>
      </w:r>
      <w:r w:rsidR="002A3811" w:rsidRPr="00386E47">
        <w:rPr>
          <w:rFonts w:asciiTheme="majorHAnsi" w:eastAsia="Calibri" w:hAnsiTheme="majorHAnsi"/>
          <w:sz w:val="20"/>
          <w:szCs w:val="20"/>
          <w:lang w:val="es-AR"/>
        </w:rPr>
        <w:t xml:space="preserve"> anteriormente reseñados</w:t>
      </w:r>
      <w:r w:rsidR="00156EE3"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las autoridades a cargo de la investigación </w:t>
      </w:r>
      <w:r w:rsidR="00FC22BD" w:rsidRPr="00386E47">
        <w:rPr>
          <w:rFonts w:asciiTheme="majorHAnsi" w:eastAsia="Calibri" w:hAnsiTheme="majorHAnsi"/>
          <w:sz w:val="20"/>
          <w:szCs w:val="20"/>
          <w:lang w:val="es-AR"/>
        </w:rPr>
        <w:t xml:space="preserve">deberían haber adoptado una serie de medidas en forma diligente y exhaustiva con el objetivo de recabar la mayor cantidad de prueba que respaldaran la </w:t>
      </w:r>
      <w:r w:rsidR="00324884" w:rsidRPr="00386E47">
        <w:rPr>
          <w:rFonts w:asciiTheme="majorHAnsi" w:eastAsia="Calibri" w:hAnsiTheme="majorHAnsi"/>
          <w:sz w:val="20"/>
          <w:szCs w:val="20"/>
          <w:lang w:val="es-AR"/>
        </w:rPr>
        <w:t xml:space="preserve">versión de los hechos consignada en los </w:t>
      </w:r>
      <w:r w:rsidR="00FC22BD" w:rsidRPr="00386E47">
        <w:rPr>
          <w:rFonts w:asciiTheme="majorHAnsi" w:eastAsia="Calibri" w:hAnsiTheme="majorHAnsi"/>
          <w:sz w:val="20"/>
          <w:szCs w:val="20"/>
          <w:lang w:val="es-AR"/>
        </w:rPr>
        <w:t>informe</w:t>
      </w:r>
      <w:r w:rsidR="00324884" w:rsidRPr="00386E47">
        <w:rPr>
          <w:rFonts w:asciiTheme="majorHAnsi" w:eastAsia="Calibri" w:hAnsiTheme="majorHAnsi"/>
          <w:sz w:val="20"/>
          <w:szCs w:val="20"/>
          <w:lang w:val="es-AR"/>
        </w:rPr>
        <w:t>s</w:t>
      </w:r>
      <w:r w:rsidR="00FC22BD" w:rsidRPr="00386E47">
        <w:rPr>
          <w:rFonts w:asciiTheme="majorHAnsi" w:eastAsia="Calibri" w:hAnsiTheme="majorHAnsi"/>
          <w:sz w:val="20"/>
          <w:szCs w:val="20"/>
          <w:lang w:val="es-AR"/>
        </w:rPr>
        <w:t xml:space="preserve"> de inteligencia. Ello incluía</w:t>
      </w:r>
      <w:r w:rsidRPr="00386E47">
        <w:rPr>
          <w:rFonts w:asciiTheme="majorHAnsi" w:eastAsia="Calibri" w:hAnsiTheme="majorHAnsi"/>
          <w:sz w:val="20"/>
          <w:szCs w:val="20"/>
          <w:lang w:val="es-AR"/>
        </w:rPr>
        <w:t xml:space="preserve"> haber requerido</w:t>
      </w:r>
      <w:r w:rsidR="00156EE3" w:rsidRPr="00386E47">
        <w:rPr>
          <w:rFonts w:asciiTheme="majorHAnsi" w:eastAsia="Calibri" w:hAnsiTheme="majorHAnsi"/>
          <w:sz w:val="20"/>
          <w:szCs w:val="20"/>
          <w:lang w:val="es-AR"/>
        </w:rPr>
        <w:t xml:space="preserve"> </w:t>
      </w:r>
      <w:r w:rsidR="00E11640" w:rsidRPr="00386E47">
        <w:rPr>
          <w:rFonts w:asciiTheme="majorHAnsi" w:eastAsia="Calibri" w:hAnsiTheme="majorHAnsi"/>
          <w:sz w:val="20"/>
          <w:szCs w:val="20"/>
          <w:lang w:val="es-AR"/>
        </w:rPr>
        <w:t>el mantenimiento de</w:t>
      </w:r>
      <w:r w:rsidR="00324884" w:rsidRPr="00386E47">
        <w:rPr>
          <w:rFonts w:asciiTheme="majorHAnsi" w:eastAsia="Calibri" w:hAnsiTheme="majorHAnsi"/>
          <w:sz w:val="20"/>
          <w:szCs w:val="20"/>
          <w:lang w:val="es-AR"/>
        </w:rPr>
        <w:t xml:space="preserve"> un registro documental</w:t>
      </w:r>
      <w:r w:rsidR="002A3811" w:rsidRPr="00386E47">
        <w:rPr>
          <w:rFonts w:asciiTheme="majorHAnsi" w:eastAsia="Calibri" w:hAnsiTheme="majorHAnsi"/>
          <w:sz w:val="20"/>
          <w:szCs w:val="20"/>
          <w:lang w:val="es-AR"/>
        </w:rPr>
        <w:t xml:space="preserve"> </w:t>
      </w:r>
      <w:r w:rsidR="00156EE3" w:rsidRPr="00386E47">
        <w:rPr>
          <w:rFonts w:asciiTheme="majorHAnsi" w:eastAsia="Calibri" w:hAnsiTheme="majorHAnsi"/>
          <w:sz w:val="20"/>
          <w:szCs w:val="20"/>
          <w:lang w:val="es-AR"/>
        </w:rPr>
        <w:t xml:space="preserve">de </w:t>
      </w:r>
      <w:r w:rsidR="00324884" w:rsidRPr="00386E47">
        <w:rPr>
          <w:rFonts w:asciiTheme="majorHAnsi" w:eastAsia="Calibri" w:hAnsiTheme="majorHAnsi"/>
          <w:sz w:val="20"/>
          <w:szCs w:val="20"/>
          <w:lang w:val="es-AR"/>
        </w:rPr>
        <w:t>la actividad de los</w:t>
      </w:r>
      <w:r w:rsidR="00E11640" w:rsidRPr="00386E47">
        <w:rPr>
          <w:rFonts w:asciiTheme="majorHAnsi" w:eastAsia="Calibri" w:hAnsiTheme="majorHAnsi"/>
          <w:sz w:val="20"/>
          <w:szCs w:val="20"/>
          <w:lang w:val="es-AR"/>
        </w:rPr>
        <w:t xml:space="preserve"> servicios de inteligencia </w:t>
      </w:r>
      <w:r w:rsidR="00156EE3" w:rsidRPr="00386E47">
        <w:rPr>
          <w:rFonts w:asciiTheme="majorHAnsi" w:eastAsia="Calibri" w:hAnsiTheme="majorHAnsi"/>
          <w:sz w:val="20"/>
          <w:szCs w:val="20"/>
          <w:lang w:val="es-AR"/>
        </w:rPr>
        <w:t xml:space="preserve">con la finalidad de poder garantizar que tal información </w:t>
      </w:r>
      <w:r w:rsidR="00156EE3" w:rsidRPr="00386E47">
        <w:rPr>
          <w:rFonts w:asciiTheme="majorHAnsi" w:eastAsia="Calibri" w:hAnsiTheme="majorHAnsi"/>
          <w:sz w:val="20"/>
          <w:szCs w:val="20"/>
          <w:lang w:val="es-AR"/>
        </w:rPr>
        <w:lastRenderedPageBreak/>
        <w:t xml:space="preserve">pudiera constituir una prueba en las actuaciones judiciales, o bien, </w:t>
      </w:r>
      <w:r w:rsidR="002A3811" w:rsidRPr="00386E47">
        <w:rPr>
          <w:rFonts w:asciiTheme="majorHAnsi" w:eastAsia="Calibri" w:hAnsiTheme="majorHAnsi"/>
          <w:sz w:val="20"/>
          <w:szCs w:val="20"/>
          <w:lang w:val="es-AR"/>
        </w:rPr>
        <w:t>facilitar</w:t>
      </w:r>
      <w:r w:rsidR="00156EE3" w:rsidRPr="00386E47">
        <w:rPr>
          <w:rFonts w:asciiTheme="majorHAnsi" w:eastAsia="Calibri" w:hAnsiTheme="majorHAnsi"/>
          <w:sz w:val="20"/>
          <w:szCs w:val="20"/>
          <w:lang w:val="es-AR"/>
        </w:rPr>
        <w:t xml:space="preserve"> la prác</w:t>
      </w:r>
      <w:r w:rsidR="00D66DE3" w:rsidRPr="00386E47">
        <w:rPr>
          <w:rFonts w:asciiTheme="majorHAnsi" w:eastAsia="Calibri" w:hAnsiTheme="majorHAnsi"/>
          <w:sz w:val="20"/>
          <w:szCs w:val="20"/>
          <w:lang w:val="es-AR"/>
        </w:rPr>
        <w:t>tica de diligencias</w:t>
      </w:r>
      <w:r w:rsidR="002A3811" w:rsidRPr="00386E47">
        <w:rPr>
          <w:rFonts w:asciiTheme="majorHAnsi" w:eastAsia="Calibri" w:hAnsiTheme="majorHAnsi"/>
          <w:sz w:val="20"/>
          <w:szCs w:val="20"/>
          <w:lang w:val="es-AR"/>
        </w:rPr>
        <w:t xml:space="preserve"> judiciales</w:t>
      </w:r>
      <w:r w:rsidR="00D66DE3" w:rsidRPr="00386E47">
        <w:rPr>
          <w:rFonts w:asciiTheme="majorHAnsi" w:eastAsia="Calibri" w:hAnsiTheme="majorHAnsi"/>
          <w:sz w:val="20"/>
          <w:szCs w:val="20"/>
          <w:lang w:val="es-AR"/>
        </w:rPr>
        <w:t xml:space="preserve"> adicionales</w:t>
      </w:r>
      <w:r w:rsidR="00D66DE3" w:rsidRPr="00386E47">
        <w:rPr>
          <w:rStyle w:val="FootnoteReference"/>
          <w:rFonts w:asciiTheme="majorHAnsi" w:eastAsia="Calibri" w:hAnsiTheme="majorHAnsi"/>
          <w:sz w:val="20"/>
          <w:szCs w:val="20"/>
          <w:lang w:val="es-AR"/>
        </w:rPr>
        <w:footnoteReference w:id="246"/>
      </w:r>
      <w:r w:rsidR="00B816C5" w:rsidRPr="00386E47">
        <w:rPr>
          <w:rFonts w:asciiTheme="majorHAnsi" w:eastAsia="Calibri" w:hAnsiTheme="majorHAnsi"/>
          <w:sz w:val="20"/>
          <w:szCs w:val="20"/>
          <w:lang w:val="es-ES"/>
        </w:rPr>
        <w:t>.</w:t>
      </w:r>
      <w:r w:rsidRPr="00386E47">
        <w:rPr>
          <w:rFonts w:asciiTheme="majorHAnsi" w:eastAsia="Calibri" w:hAnsiTheme="majorHAnsi"/>
          <w:sz w:val="20"/>
          <w:szCs w:val="20"/>
          <w:lang w:val="es-ES"/>
        </w:rPr>
        <w:t xml:space="preserve"> </w:t>
      </w:r>
      <w:r w:rsidR="00664CCF" w:rsidRPr="00386E47">
        <w:rPr>
          <w:rFonts w:asciiTheme="majorHAnsi" w:eastAsia="Calibri" w:hAnsiTheme="majorHAnsi"/>
          <w:sz w:val="20"/>
          <w:szCs w:val="20"/>
          <w:lang w:val="es-AR"/>
        </w:rPr>
        <w:t xml:space="preserve"> </w:t>
      </w:r>
    </w:p>
    <w:p w14:paraId="5EC8BF6A" w14:textId="77777777" w:rsidR="00324884" w:rsidRPr="00386E47" w:rsidRDefault="00324884" w:rsidP="00324884">
      <w:pPr>
        <w:pStyle w:val="ListParagraph"/>
        <w:rPr>
          <w:rFonts w:asciiTheme="majorHAnsi" w:eastAsia="Calibri" w:hAnsiTheme="majorHAnsi"/>
          <w:sz w:val="20"/>
          <w:szCs w:val="20"/>
          <w:lang w:val="es-AR"/>
        </w:rPr>
      </w:pPr>
    </w:p>
    <w:p w14:paraId="56642C3C" w14:textId="77777777" w:rsidR="00324884" w:rsidRPr="00386E47" w:rsidRDefault="00664CCF" w:rsidP="003A5860">
      <w:pPr>
        <w:numPr>
          <w:ilvl w:val="0"/>
          <w:numId w:val="55"/>
        </w:numPr>
        <w:tabs>
          <w:tab w:val="left" w:pos="567"/>
        </w:tabs>
        <w:ind w:left="0" w:firstLine="0"/>
        <w:jc w:val="both"/>
        <w:rPr>
          <w:rFonts w:asciiTheme="majorHAnsi" w:eastAsia="Calibri" w:hAnsiTheme="majorHAnsi"/>
          <w:sz w:val="20"/>
          <w:szCs w:val="20"/>
          <w:lang w:val="es-AR"/>
        </w:rPr>
      </w:pPr>
      <w:r w:rsidRPr="00386E47">
        <w:rPr>
          <w:rFonts w:asciiTheme="majorHAnsi" w:eastAsia="Calibri" w:hAnsiTheme="majorHAnsi"/>
          <w:sz w:val="20"/>
          <w:szCs w:val="20"/>
          <w:lang w:val="es-AR"/>
        </w:rPr>
        <w:t>Sumado a ello, la Comisión resalta que la naturaleza transnacional del delito de terrorismo implica que los Estados poseen un deber especifico de hacer todo lo que este razonablemente a su alc</w:t>
      </w:r>
      <w:r w:rsidR="00D62291" w:rsidRPr="00386E47">
        <w:rPr>
          <w:rFonts w:asciiTheme="majorHAnsi" w:eastAsia="Calibri" w:hAnsiTheme="majorHAnsi"/>
          <w:sz w:val="20"/>
          <w:szCs w:val="20"/>
          <w:lang w:val="es-AR"/>
        </w:rPr>
        <w:t>ance para incentivar y asegurar</w:t>
      </w:r>
      <w:r w:rsidRPr="00386E47">
        <w:rPr>
          <w:rFonts w:asciiTheme="majorHAnsi" w:eastAsia="Calibri" w:hAnsiTheme="majorHAnsi"/>
          <w:sz w:val="20"/>
          <w:szCs w:val="20"/>
          <w:lang w:val="es-AR"/>
        </w:rPr>
        <w:t xml:space="preserve"> la cooperación judicial internacional de terceros estados en cuyo territorio se encuentren personas o documentación que sea de interés para el esclarecimiento de los hechos. En el caso concreto, el adecuado cumplimiento del deber de investigar con debida diligencia </w:t>
      </w:r>
      <w:r w:rsidR="000E6B91" w:rsidRPr="00386E47">
        <w:rPr>
          <w:rFonts w:asciiTheme="majorHAnsi" w:eastAsia="Calibri" w:hAnsiTheme="majorHAnsi"/>
          <w:sz w:val="20"/>
          <w:szCs w:val="20"/>
          <w:lang w:val="es-AR"/>
        </w:rPr>
        <w:t xml:space="preserve">demanda </w:t>
      </w:r>
      <w:r w:rsidRPr="00386E47">
        <w:rPr>
          <w:rFonts w:asciiTheme="majorHAnsi" w:eastAsia="Calibri" w:hAnsiTheme="majorHAnsi"/>
          <w:sz w:val="20"/>
          <w:szCs w:val="20"/>
          <w:lang w:val="es-AR"/>
        </w:rPr>
        <w:t xml:space="preserve">que el Estado argentino arbitre los medios que estén a su </w:t>
      </w:r>
      <w:r w:rsidR="00C516A9" w:rsidRPr="00386E47">
        <w:rPr>
          <w:rFonts w:asciiTheme="majorHAnsi" w:eastAsia="Calibri" w:hAnsiTheme="majorHAnsi"/>
          <w:sz w:val="20"/>
          <w:szCs w:val="20"/>
          <w:lang w:val="es-AR"/>
        </w:rPr>
        <w:t>alcance</w:t>
      </w:r>
      <w:r w:rsidRPr="00386E47">
        <w:rPr>
          <w:rFonts w:asciiTheme="majorHAnsi" w:eastAsia="Calibri" w:hAnsiTheme="majorHAnsi"/>
          <w:sz w:val="20"/>
          <w:szCs w:val="20"/>
          <w:lang w:val="es-AR"/>
        </w:rPr>
        <w:t xml:space="preserve"> para asegurar que toda información que se encuentre</w:t>
      </w:r>
      <w:r w:rsidR="00C516A9" w:rsidRPr="00386E47">
        <w:rPr>
          <w:rFonts w:asciiTheme="majorHAnsi" w:eastAsia="Calibri" w:hAnsiTheme="majorHAnsi"/>
          <w:sz w:val="20"/>
          <w:szCs w:val="20"/>
          <w:lang w:val="es-AR"/>
        </w:rPr>
        <w:t xml:space="preserve"> en manos</w:t>
      </w:r>
      <w:r w:rsidRPr="00386E47">
        <w:rPr>
          <w:rFonts w:asciiTheme="majorHAnsi" w:eastAsia="Calibri" w:hAnsiTheme="majorHAnsi"/>
          <w:sz w:val="20"/>
          <w:szCs w:val="20"/>
          <w:lang w:val="es-AR"/>
        </w:rPr>
        <w:t xml:space="preserve"> de un </w:t>
      </w:r>
      <w:r w:rsidR="002A3811" w:rsidRPr="00386E47">
        <w:rPr>
          <w:rFonts w:asciiTheme="majorHAnsi" w:eastAsia="Calibri" w:hAnsiTheme="majorHAnsi"/>
          <w:sz w:val="20"/>
          <w:szCs w:val="20"/>
          <w:lang w:val="es-AR"/>
        </w:rPr>
        <w:t xml:space="preserve">extranjero </w:t>
      </w:r>
      <w:r w:rsidRPr="00386E47">
        <w:rPr>
          <w:rFonts w:asciiTheme="majorHAnsi" w:eastAsia="Calibri" w:hAnsiTheme="majorHAnsi"/>
          <w:sz w:val="20"/>
          <w:szCs w:val="20"/>
          <w:lang w:val="es-AR"/>
        </w:rPr>
        <w:t xml:space="preserve"> o un</w:t>
      </w:r>
      <w:r w:rsidR="002A3811" w:rsidRPr="00386E47">
        <w:rPr>
          <w:rFonts w:asciiTheme="majorHAnsi" w:eastAsia="Calibri" w:hAnsiTheme="majorHAnsi"/>
          <w:sz w:val="20"/>
          <w:szCs w:val="20"/>
          <w:lang w:val="es-AR"/>
        </w:rPr>
        <w:t>a agencia perteneciente a un</w:t>
      </w:r>
      <w:r w:rsidRPr="00386E47">
        <w:rPr>
          <w:rFonts w:asciiTheme="majorHAnsi" w:eastAsia="Calibri" w:hAnsiTheme="majorHAnsi"/>
          <w:sz w:val="20"/>
          <w:szCs w:val="20"/>
          <w:lang w:val="es-AR"/>
        </w:rPr>
        <w:t xml:space="preserve"> estado extranjero pueda ser incorporada a la </w:t>
      </w:r>
      <w:r w:rsidR="00D62291" w:rsidRPr="00386E47">
        <w:rPr>
          <w:rFonts w:asciiTheme="majorHAnsi" w:eastAsia="Calibri" w:hAnsiTheme="majorHAnsi"/>
          <w:sz w:val="20"/>
          <w:szCs w:val="20"/>
          <w:lang w:val="es-AR"/>
        </w:rPr>
        <w:t>investigación</w:t>
      </w:r>
      <w:r w:rsidRPr="00386E47">
        <w:rPr>
          <w:rFonts w:asciiTheme="majorHAnsi" w:eastAsia="Calibri" w:hAnsiTheme="majorHAnsi"/>
          <w:sz w:val="20"/>
          <w:szCs w:val="20"/>
          <w:lang w:val="es-AR"/>
        </w:rPr>
        <w:t xml:space="preserve"> judicial actualmente en curso</w:t>
      </w:r>
      <w:r w:rsidR="002A3811" w:rsidRPr="00386E47">
        <w:rPr>
          <w:rStyle w:val="FootnoteReference"/>
          <w:rFonts w:asciiTheme="majorHAnsi" w:eastAsia="Calibri" w:hAnsiTheme="majorHAnsi"/>
          <w:sz w:val="20"/>
          <w:szCs w:val="20"/>
          <w:lang w:val="es-AR"/>
        </w:rPr>
        <w:footnoteReference w:id="247"/>
      </w:r>
      <w:r w:rsidR="00C516A9" w:rsidRPr="00386E47">
        <w:rPr>
          <w:rFonts w:asciiTheme="majorHAnsi" w:eastAsia="Calibri" w:hAnsiTheme="majorHAnsi"/>
          <w:sz w:val="20"/>
          <w:szCs w:val="20"/>
          <w:lang w:val="es-AR"/>
        </w:rPr>
        <w:t xml:space="preserve">. Ello incluye la </w:t>
      </w:r>
      <w:r w:rsidR="00B528BF" w:rsidRPr="00386E47">
        <w:rPr>
          <w:rFonts w:asciiTheme="majorHAnsi" w:eastAsia="Calibri" w:hAnsiTheme="majorHAnsi"/>
          <w:sz w:val="20"/>
          <w:szCs w:val="20"/>
          <w:lang w:val="es-AR"/>
        </w:rPr>
        <w:t>información</w:t>
      </w:r>
      <w:r w:rsidR="00C516A9" w:rsidRPr="00386E47">
        <w:rPr>
          <w:rFonts w:asciiTheme="majorHAnsi" w:eastAsia="Calibri" w:hAnsiTheme="majorHAnsi"/>
          <w:sz w:val="20"/>
          <w:szCs w:val="20"/>
          <w:lang w:val="es-AR"/>
        </w:rPr>
        <w:t xml:space="preserve"> que dichas personas</w:t>
      </w:r>
      <w:r w:rsidR="002A3811" w:rsidRPr="00386E47">
        <w:rPr>
          <w:rFonts w:asciiTheme="majorHAnsi" w:eastAsia="Calibri" w:hAnsiTheme="majorHAnsi"/>
          <w:sz w:val="20"/>
          <w:szCs w:val="20"/>
          <w:lang w:val="es-AR"/>
        </w:rPr>
        <w:t xml:space="preserve"> u organismos pudieron</w:t>
      </w:r>
      <w:r w:rsidR="00C516A9" w:rsidRPr="00386E47">
        <w:rPr>
          <w:rFonts w:asciiTheme="majorHAnsi" w:eastAsia="Calibri" w:hAnsiTheme="majorHAnsi"/>
          <w:sz w:val="20"/>
          <w:szCs w:val="20"/>
          <w:lang w:val="es-AR"/>
        </w:rPr>
        <w:t xml:space="preserve"> haber transmitido a agentes de inteligencia </w:t>
      </w:r>
      <w:r w:rsidR="002A3811" w:rsidRPr="00386E47">
        <w:rPr>
          <w:rFonts w:asciiTheme="majorHAnsi" w:eastAsia="Calibri" w:hAnsiTheme="majorHAnsi"/>
          <w:sz w:val="20"/>
          <w:szCs w:val="20"/>
          <w:lang w:val="es-AR"/>
        </w:rPr>
        <w:t>pertenecientes al Estado argentino.</w:t>
      </w:r>
    </w:p>
    <w:p w14:paraId="5C01D4C2" w14:textId="77777777" w:rsidR="00324884" w:rsidRPr="00386E47" w:rsidRDefault="00324884" w:rsidP="00324884">
      <w:pPr>
        <w:pStyle w:val="ListParagraph"/>
        <w:rPr>
          <w:rFonts w:asciiTheme="majorHAnsi" w:eastAsia="Calibri" w:hAnsiTheme="majorHAnsi"/>
          <w:sz w:val="20"/>
          <w:szCs w:val="20"/>
          <w:lang w:val="es-AR"/>
        </w:rPr>
      </w:pPr>
    </w:p>
    <w:p w14:paraId="4D4C03F2" w14:textId="77777777" w:rsidR="00664CCF" w:rsidRPr="00386E47" w:rsidRDefault="00664CCF" w:rsidP="003A5860">
      <w:pPr>
        <w:numPr>
          <w:ilvl w:val="0"/>
          <w:numId w:val="55"/>
        </w:numPr>
        <w:tabs>
          <w:tab w:val="left" w:pos="567"/>
        </w:tabs>
        <w:ind w:left="0" w:firstLine="0"/>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La Comisión </w:t>
      </w:r>
      <w:r w:rsidR="003070F1" w:rsidRPr="00386E47">
        <w:rPr>
          <w:rFonts w:asciiTheme="majorHAnsi" w:eastAsia="Calibri" w:hAnsiTheme="majorHAnsi"/>
          <w:sz w:val="20"/>
          <w:szCs w:val="20"/>
          <w:lang w:val="es-AR"/>
        </w:rPr>
        <w:t xml:space="preserve">no cuenta </w:t>
      </w:r>
      <w:r w:rsidR="00FF6211" w:rsidRPr="00386E47">
        <w:rPr>
          <w:rFonts w:asciiTheme="majorHAnsi" w:eastAsia="Calibri" w:hAnsiTheme="majorHAnsi"/>
          <w:sz w:val="20"/>
          <w:szCs w:val="20"/>
          <w:lang w:val="es-AR"/>
        </w:rPr>
        <w:t xml:space="preserve">a la fecha </w:t>
      </w:r>
      <w:r w:rsidR="003070F1" w:rsidRPr="00386E47">
        <w:rPr>
          <w:rFonts w:asciiTheme="majorHAnsi" w:eastAsia="Calibri" w:hAnsiTheme="majorHAnsi"/>
          <w:sz w:val="20"/>
          <w:szCs w:val="20"/>
          <w:lang w:val="es-AR"/>
        </w:rPr>
        <w:t>con información detallada que permita establecer</w:t>
      </w:r>
      <w:r w:rsidR="002A3811" w:rsidRPr="00386E47">
        <w:rPr>
          <w:rFonts w:asciiTheme="majorHAnsi" w:eastAsia="Calibri" w:hAnsiTheme="majorHAnsi"/>
          <w:sz w:val="20"/>
          <w:szCs w:val="20"/>
          <w:lang w:val="es-AR"/>
        </w:rPr>
        <w:t xml:space="preserve"> de manera concreta que </w:t>
      </w:r>
      <w:r w:rsidR="00FF6211" w:rsidRPr="00386E47">
        <w:rPr>
          <w:rFonts w:asciiTheme="majorHAnsi" w:eastAsia="Calibri" w:hAnsiTheme="majorHAnsi"/>
          <w:sz w:val="20"/>
          <w:szCs w:val="20"/>
          <w:lang w:val="es-AR"/>
        </w:rPr>
        <w:t xml:space="preserve">esfuerzos </w:t>
      </w:r>
      <w:r w:rsidR="00B528BF" w:rsidRPr="00386E47">
        <w:rPr>
          <w:rFonts w:asciiTheme="majorHAnsi" w:eastAsia="Calibri" w:hAnsiTheme="majorHAnsi"/>
          <w:sz w:val="20"/>
          <w:szCs w:val="20"/>
          <w:lang w:val="es-AR"/>
        </w:rPr>
        <w:t>estaría</w:t>
      </w:r>
      <w:r w:rsidR="00FF6211" w:rsidRPr="00386E47">
        <w:rPr>
          <w:rFonts w:asciiTheme="majorHAnsi" w:eastAsia="Calibri" w:hAnsiTheme="majorHAnsi"/>
          <w:sz w:val="20"/>
          <w:szCs w:val="20"/>
          <w:lang w:val="es-AR"/>
        </w:rPr>
        <w:t xml:space="preserve"> </w:t>
      </w:r>
      <w:r w:rsidR="003070F1" w:rsidRPr="00386E47">
        <w:rPr>
          <w:rFonts w:asciiTheme="majorHAnsi" w:eastAsia="Calibri" w:hAnsiTheme="majorHAnsi"/>
          <w:sz w:val="20"/>
          <w:szCs w:val="20"/>
          <w:lang w:val="es-AR"/>
        </w:rPr>
        <w:t xml:space="preserve">llevando a cabo </w:t>
      </w:r>
      <w:r w:rsidR="00FF6211" w:rsidRPr="00386E47">
        <w:rPr>
          <w:rFonts w:asciiTheme="majorHAnsi" w:eastAsia="Calibri" w:hAnsiTheme="majorHAnsi"/>
          <w:sz w:val="20"/>
          <w:szCs w:val="20"/>
          <w:lang w:val="es-AR"/>
        </w:rPr>
        <w:t xml:space="preserve">el Estado argentino </w:t>
      </w:r>
      <w:r w:rsidR="003070F1" w:rsidRPr="00386E47">
        <w:rPr>
          <w:rFonts w:asciiTheme="majorHAnsi" w:eastAsia="Calibri" w:hAnsiTheme="majorHAnsi"/>
          <w:sz w:val="20"/>
          <w:szCs w:val="20"/>
          <w:lang w:val="es-AR"/>
        </w:rPr>
        <w:t>en dicha dirección</w:t>
      </w:r>
      <w:r w:rsidR="00FF6211" w:rsidRPr="00386E47">
        <w:rPr>
          <w:rFonts w:asciiTheme="majorHAnsi" w:eastAsia="Calibri" w:hAnsiTheme="majorHAnsi"/>
          <w:sz w:val="20"/>
          <w:szCs w:val="20"/>
          <w:lang w:val="es-AR"/>
        </w:rPr>
        <w:t xml:space="preserve">. Ello a pesar de </w:t>
      </w:r>
      <w:r w:rsidR="007511E3" w:rsidRPr="00386E47">
        <w:rPr>
          <w:rFonts w:asciiTheme="majorHAnsi" w:eastAsia="Calibri" w:hAnsiTheme="majorHAnsi"/>
          <w:sz w:val="20"/>
          <w:szCs w:val="20"/>
          <w:lang w:val="es-AR"/>
        </w:rPr>
        <w:t>que entiende</w:t>
      </w:r>
      <w:r w:rsidR="002E3813" w:rsidRPr="00386E47">
        <w:rPr>
          <w:rFonts w:asciiTheme="majorHAnsi" w:eastAsia="Calibri" w:hAnsiTheme="majorHAnsi"/>
          <w:sz w:val="20"/>
          <w:szCs w:val="20"/>
          <w:lang w:val="es-AR"/>
        </w:rPr>
        <w:t xml:space="preserve"> que ha realizado contactos con otras agencias estatales en el marco de la investigación de la causa y que </w:t>
      </w:r>
      <w:r w:rsidR="00FF6211" w:rsidRPr="00386E47">
        <w:rPr>
          <w:rFonts w:asciiTheme="majorHAnsi" w:eastAsia="Calibri" w:hAnsiTheme="majorHAnsi"/>
          <w:sz w:val="20"/>
          <w:szCs w:val="20"/>
          <w:lang w:val="es-AR"/>
        </w:rPr>
        <w:t xml:space="preserve">también </w:t>
      </w:r>
      <w:r w:rsidR="002E3813" w:rsidRPr="00386E47">
        <w:rPr>
          <w:rFonts w:asciiTheme="majorHAnsi" w:eastAsia="Calibri" w:hAnsiTheme="majorHAnsi"/>
          <w:sz w:val="20"/>
          <w:szCs w:val="20"/>
          <w:lang w:val="es-AR"/>
        </w:rPr>
        <w:t xml:space="preserve">se han practicado diligencias periciales con </w:t>
      </w:r>
      <w:r w:rsidR="00FF6211" w:rsidRPr="00386E47">
        <w:rPr>
          <w:rFonts w:asciiTheme="majorHAnsi" w:eastAsia="Calibri" w:hAnsiTheme="majorHAnsi"/>
          <w:sz w:val="20"/>
          <w:szCs w:val="20"/>
          <w:lang w:val="es-AR"/>
        </w:rPr>
        <w:t>la cooperación</w:t>
      </w:r>
      <w:r w:rsidR="002E3813" w:rsidRPr="00386E47">
        <w:rPr>
          <w:rFonts w:asciiTheme="majorHAnsi" w:eastAsia="Calibri" w:hAnsiTheme="majorHAnsi"/>
          <w:sz w:val="20"/>
          <w:szCs w:val="20"/>
          <w:lang w:val="es-AR"/>
        </w:rPr>
        <w:t xml:space="preserve"> de otros Estados</w:t>
      </w:r>
      <w:r w:rsidR="002A3811" w:rsidRPr="00386E47">
        <w:rPr>
          <w:rFonts w:asciiTheme="majorHAnsi" w:eastAsia="Calibri" w:hAnsiTheme="majorHAnsi"/>
          <w:sz w:val="20"/>
          <w:szCs w:val="20"/>
          <w:lang w:val="es-AR"/>
        </w:rPr>
        <w:t xml:space="preserve"> y que se han</w:t>
      </w:r>
      <w:r w:rsidR="007511E3" w:rsidRPr="00386E47">
        <w:rPr>
          <w:rFonts w:asciiTheme="majorHAnsi" w:eastAsia="Calibri" w:hAnsiTheme="majorHAnsi"/>
          <w:sz w:val="20"/>
          <w:szCs w:val="20"/>
          <w:lang w:val="es-AR"/>
        </w:rPr>
        <w:t xml:space="preserve"> </w:t>
      </w:r>
      <w:r w:rsidR="002A3811" w:rsidRPr="00386E47">
        <w:rPr>
          <w:rFonts w:asciiTheme="majorHAnsi" w:eastAsia="Calibri" w:hAnsiTheme="majorHAnsi"/>
          <w:sz w:val="20"/>
          <w:szCs w:val="20"/>
          <w:lang w:val="es-AR"/>
        </w:rPr>
        <w:t>efectuado algunos</w:t>
      </w:r>
      <w:r w:rsidR="007511E3" w:rsidRPr="00386E47">
        <w:rPr>
          <w:rFonts w:asciiTheme="majorHAnsi" w:eastAsia="Calibri" w:hAnsiTheme="majorHAnsi"/>
          <w:sz w:val="20"/>
          <w:szCs w:val="20"/>
          <w:lang w:val="es-AR"/>
        </w:rPr>
        <w:t xml:space="preserve"> pedidos de extradición</w:t>
      </w:r>
      <w:r w:rsidR="002A3811" w:rsidRPr="00386E47">
        <w:rPr>
          <w:rFonts w:asciiTheme="majorHAnsi" w:eastAsia="Calibri" w:hAnsiTheme="majorHAnsi"/>
          <w:sz w:val="20"/>
          <w:szCs w:val="20"/>
          <w:lang w:val="es-AR"/>
        </w:rPr>
        <w:t xml:space="preserve"> respecto de personas acusadas</w:t>
      </w:r>
      <w:r w:rsidR="00FF6211" w:rsidRPr="00386E47">
        <w:rPr>
          <w:rFonts w:asciiTheme="majorHAnsi" w:eastAsia="Calibri" w:hAnsiTheme="majorHAnsi"/>
          <w:sz w:val="20"/>
          <w:szCs w:val="20"/>
          <w:lang w:val="es-AR"/>
        </w:rPr>
        <w:t xml:space="preserve">. </w:t>
      </w:r>
      <w:r w:rsidR="002A3811" w:rsidRPr="00386E47">
        <w:rPr>
          <w:rFonts w:asciiTheme="majorHAnsi" w:eastAsia="Calibri" w:hAnsiTheme="majorHAnsi"/>
          <w:sz w:val="20"/>
          <w:szCs w:val="20"/>
          <w:lang w:val="es-AR"/>
        </w:rPr>
        <w:t>En este sentido, l</w:t>
      </w:r>
      <w:r w:rsidR="003F1151" w:rsidRPr="00386E47">
        <w:rPr>
          <w:rFonts w:asciiTheme="majorHAnsi" w:eastAsia="Calibri" w:hAnsiTheme="majorHAnsi"/>
          <w:sz w:val="20"/>
          <w:szCs w:val="20"/>
          <w:lang w:val="es-AR"/>
        </w:rPr>
        <w:t>a Comisión no cuenta con información</w:t>
      </w:r>
      <w:r w:rsidR="00E9688C" w:rsidRPr="00386E47">
        <w:rPr>
          <w:rFonts w:asciiTheme="majorHAnsi" w:eastAsia="Calibri" w:hAnsiTheme="majorHAnsi"/>
          <w:sz w:val="20"/>
          <w:szCs w:val="20"/>
          <w:lang w:val="es-AR"/>
        </w:rPr>
        <w:t xml:space="preserve"> actualizada</w:t>
      </w:r>
      <w:r w:rsidR="003F1151" w:rsidRPr="00386E47">
        <w:rPr>
          <w:rFonts w:asciiTheme="majorHAnsi" w:eastAsia="Calibri" w:hAnsiTheme="majorHAnsi"/>
          <w:sz w:val="20"/>
          <w:szCs w:val="20"/>
          <w:lang w:val="es-AR"/>
        </w:rPr>
        <w:t>, por ejemplo, sobre l</w:t>
      </w:r>
      <w:r w:rsidR="00E9688C" w:rsidRPr="00386E47">
        <w:rPr>
          <w:rFonts w:asciiTheme="majorHAnsi" w:eastAsia="Calibri" w:hAnsiTheme="majorHAnsi"/>
          <w:sz w:val="20"/>
          <w:szCs w:val="20"/>
          <w:lang w:val="es-AR"/>
        </w:rPr>
        <w:t>a</w:t>
      </w:r>
      <w:r w:rsidR="003F1151" w:rsidRPr="00386E47">
        <w:rPr>
          <w:rFonts w:asciiTheme="majorHAnsi" w:eastAsia="Calibri" w:hAnsiTheme="majorHAnsi"/>
          <w:sz w:val="20"/>
          <w:szCs w:val="20"/>
          <w:lang w:val="es-AR"/>
        </w:rPr>
        <w:t xml:space="preserve">s iniciativas </w:t>
      </w:r>
      <w:r w:rsidR="007511E3" w:rsidRPr="00386E47">
        <w:rPr>
          <w:rFonts w:asciiTheme="majorHAnsi" w:eastAsia="Calibri" w:hAnsiTheme="majorHAnsi"/>
          <w:sz w:val="20"/>
          <w:szCs w:val="20"/>
          <w:lang w:val="es-AR"/>
        </w:rPr>
        <w:t xml:space="preserve">y estrategias </w:t>
      </w:r>
      <w:r w:rsidR="00E9688C" w:rsidRPr="00386E47">
        <w:rPr>
          <w:rFonts w:asciiTheme="majorHAnsi" w:eastAsia="Calibri" w:hAnsiTheme="majorHAnsi"/>
          <w:sz w:val="20"/>
          <w:szCs w:val="20"/>
          <w:lang w:val="es-AR"/>
        </w:rPr>
        <w:t>impulsadas</w:t>
      </w:r>
      <w:r w:rsidR="003F1151" w:rsidRPr="00386E47">
        <w:rPr>
          <w:rFonts w:asciiTheme="majorHAnsi" w:eastAsia="Calibri" w:hAnsiTheme="majorHAnsi"/>
          <w:sz w:val="20"/>
          <w:szCs w:val="20"/>
          <w:lang w:val="es-AR"/>
        </w:rPr>
        <w:t xml:space="preserve"> por parte del Estado con el objetivo de materializar las declaraciones indagatorias de los nacionales iraníes imputados</w:t>
      </w:r>
      <w:r w:rsidR="002A3811" w:rsidRPr="00386E47">
        <w:rPr>
          <w:rStyle w:val="FootnoteReference"/>
          <w:rFonts w:asciiTheme="majorHAnsi" w:eastAsia="Calibri" w:hAnsiTheme="majorHAnsi"/>
          <w:sz w:val="20"/>
          <w:szCs w:val="20"/>
          <w:lang w:val="es-AR"/>
        </w:rPr>
        <w:footnoteReference w:id="248"/>
      </w:r>
      <w:r w:rsidR="003070F1" w:rsidRPr="00386E47">
        <w:rPr>
          <w:rFonts w:asciiTheme="majorHAnsi" w:eastAsia="Calibri" w:hAnsiTheme="majorHAnsi"/>
          <w:sz w:val="20"/>
          <w:szCs w:val="20"/>
          <w:lang w:val="es-AR"/>
        </w:rPr>
        <w:t>.</w:t>
      </w:r>
    </w:p>
    <w:p w14:paraId="78404336" w14:textId="77777777" w:rsidR="00974A7E" w:rsidRPr="00386E47" w:rsidRDefault="00974A7E" w:rsidP="00347DFB">
      <w:pPr>
        <w:tabs>
          <w:tab w:val="left" w:pos="567"/>
        </w:tabs>
        <w:jc w:val="both"/>
        <w:rPr>
          <w:rFonts w:asciiTheme="majorHAnsi" w:eastAsia="Calibri" w:hAnsiTheme="majorHAnsi"/>
          <w:b/>
          <w:sz w:val="20"/>
          <w:szCs w:val="20"/>
          <w:lang w:val="es-AR"/>
        </w:rPr>
      </w:pPr>
    </w:p>
    <w:p w14:paraId="545F68D3" w14:textId="77777777" w:rsidR="00974A7E" w:rsidRPr="00386E47" w:rsidRDefault="009F70EA" w:rsidP="003A5860">
      <w:pPr>
        <w:numPr>
          <w:ilvl w:val="0"/>
          <w:numId w:val="55"/>
        </w:numPr>
        <w:tabs>
          <w:tab w:val="left" w:pos="567"/>
        </w:tabs>
        <w:ind w:left="0" w:firstLine="0"/>
        <w:jc w:val="both"/>
        <w:rPr>
          <w:rFonts w:asciiTheme="majorHAnsi" w:eastAsia="Calibri" w:hAnsiTheme="majorHAnsi"/>
          <w:b/>
          <w:sz w:val="20"/>
          <w:szCs w:val="20"/>
          <w:lang w:val="es-AR"/>
        </w:rPr>
      </w:pPr>
      <w:r w:rsidRPr="00386E47">
        <w:rPr>
          <w:rFonts w:asciiTheme="majorHAnsi" w:eastAsia="Calibri" w:hAnsiTheme="majorHAnsi"/>
          <w:sz w:val="20"/>
          <w:szCs w:val="20"/>
          <w:lang w:val="es-AR"/>
        </w:rPr>
        <w:t xml:space="preserve">La Comisión </w:t>
      </w:r>
      <w:r w:rsidR="00D95C63" w:rsidRPr="00386E47">
        <w:rPr>
          <w:rFonts w:asciiTheme="majorHAnsi" w:eastAsia="Calibri" w:hAnsiTheme="majorHAnsi"/>
          <w:sz w:val="20"/>
          <w:szCs w:val="20"/>
          <w:lang w:val="es-AR"/>
        </w:rPr>
        <w:t xml:space="preserve">resalta </w:t>
      </w:r>
      <w:r w:rsidRPr="00386E47">
        <w:rPr>
          <w:rFonts w:asciiTheme="majorHAnsi" w:eastAsia="Calibri" w:hAnsiTheme="majorHAnsi"/>
          <w:sz w:val="20"/>
          <w:szCs w:val="20"/>
          <w:lang w:val="es-AR"/>
        </w:rPr>
        <w:t>que la d</w:t>
      </w:r>
      <w:r w:rsidR="002A3811" w:rsidRPr="00386E47">
        <w:rPr>
          <w:rFonts w:asciiTheme="majorHAnsi" w:eastAsia="Calibri" w:hAnsiTheme="majorHAnsi"/>
          <w:sz w:val="20"/>
          <w:szCs w:val="20"/>
          <w:lang w:val="es-AR"/>
        </w:rPr>
        <w:t>eterminación de la identidad de la persona que se habría</w:t>
      </w:r>
      <w:r w:rsidRPr="00386E47">
        <w:rPr>
          <w:rFonts w:asciiTheme="majorHAnsi" w:eastAsia="Calibri" w:hAnsiTheme="majorHAnsi"/>
          <w:sz w:val="20"/>
          <w:szCs w:val="20"/>
          <w:lang w:val="es-AR"/>
        </w:rPr>
        <w:t xml:space="preserve"> inmolado en el atentado a la AMIA resulta especialmente importante, toda vez que a partir de esa información se podría confirmar las hipótesis acusatorias actualmente sostenidas por la fiscalía o </w:t>
      </w:r>
      <w:r w:rsidR="002A3811" w:rsidRPr="00386E47">
        <w:rPr>
          <w:rFonts w:asciiTheme="majorHAnsi" w:eastAsia="Calibri" w:hAnsiTheme="majorHAnsi"/>
          <w:sz w:val="20"/>
          <w:szCs w:val="20"/>
          <w:lang w:val="es-AR"/>
        </w:rPr>
        <w:t xml:space="preserve">bien </w:t>
      </w:r>
      <w:r w:rsidRPr="00386E47">
        <w:rPr>
          <w:rFonts w:asciiTheme="majorHAnsi" w:eastAsia="Calibri" w:hAnsiTheme="majorHAnsi"/>
          <w:sz w:val="20"/>
          <w:szCs w:val="20"/>
          <w:lang w:val="es-AR"/>
        </w:rPr>
        <w:t>iniciarse otros cursos de investigación diversos. Asimismo, llegar a conocer la identidad del autor material del atentado</w:t>
      </w:r>
      <w:r w:rsidR="00F9773C"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y </w:t>
      </w:r>
      <w:r w:rsidR="007039E1" w:rsidRPr="00386E47">
        <w:rPr>
          <w:rFonts w:asciiTheme="majorHAnsi" w:eastAsia="Calibri" w:hAnsiTheme="majorHAnsi"/>
          <w:sz w:val="20"/>
          <w:szCs w:val="20"/>
          <w:lang w:val="es-AR"/>
        </w:rPr>
        <w:t>eventuales</w:t>
      </w:r>
      <w:r w:rsidRPr="00386E47">
        <w:rPr>
          <w:rFonts w:asciiTheme="majorHAnsi" w:eastAsia="Calibri" w:hAnsiTheme="majorHAnsi"/>
          <w:sz w:val="20"/>
          <w:szCs w:val="20"/>
          <w:lang w:val="es-AR"/>
        </w:rPr>
        <w:t xml:space="preserve"> conexiones sociales o afiliaciones políticas representaría un gran paso en aras de</w:t>
      </w:r>
      <w:r w:rsidR="00664CCF" w:rsidRPr="00386E47">
        <w:rPr>
          <w:rFonts w:asciiTheme="majorHAnsi" w:eastAsia="Calibri" w:hAnsiTheme="majorHAnsi"/>
          <w:sz w:val="20"/>
          <w:szCs w:val="20"/>
          <w:lang w:val="es-AR"/>
        </w:rPr>
        <w:t xml:space="preserve"> determinar la totalidad de las responsabilidades materiales e intelectuales, y </w:t>
      </w:r>
      <w:r w:rsidRPr="00386E47">
        <w:rPr>
          <w:rFonts w:asciiTheme="majorHAnsi" w:eastAsia="Calibri" w:hAnsiTheme="majorHAnsi"/>
          <w:sz w:val="20"/>
          <w:szCs w:val="20"/>
          <w:lang w:val="es-AR"/>
        </w:rPr>
        <w:t xml:space="preserve">garantizar el derecho a la verdad de las víctimas, sus familiares y la sociedad.  </w:t>
      </w:r>
    </w:p>
    <w:p w14:paraId="6B454A61" w14:textId="77777777" w:rsidR="00AC5A78" w:rsidRPr="00386E47" w:rsidRDefault="00AC5A78" w:rsidP="00AC5A78">
      <w:pPr>
        <w:tabs>
          <w:tab w:val="left" w:pos="567"/>
        </w:tabs>
        <w:jc w:val="both"/>
        <w:rPr>
          <w:rFonts w:asciiTheme="majorHAnsi" w:eastAsia="Calibri" w:hAnsiTheme="majorHAnsi"/>
          <w:b/>
          <w:sz w:val="20"/>
          <w:szCs w:val="20"/>
          <w:lang w:val="es-ES"/>
        </w:rPr>
      </w:pPr>
    </w:p>
    <w:p w14:paraId="5C43625F" w14:textId="77777777" w:rsidR="00B816C5" w:rsidRPr="00386E47" w:rsidRDefault="00D95C63" w:rsidP="003A5860">
      <w:pPr>
        <w:numPr>
          <w:ilvl w:val="0"/>
          <w:numId w:val="55"/>
        </w:numPr>
        <w:tabs>
          <w:tab w:val="left" w:pos="567"/>
        </w:tabs>
        <w:ind w:left="0" w:firstLine="0"/>
        <w:jc w:val="both"/>
        <w:rPr>
          <w:rFonts w:asciiTheme="majorHAnsi" w:eastAsia="Calibri" w:hAnsiTheme="majorHAnsi"/>
          <w:b/>
          <w:sz w:val="20"/>
          <w:szCs w:val="20"/>
          <w:lang w:val="es-AR"/>
        </w:rPr>
      </w:pPr>
      <w:r w:rsidRPr="00386E47">
        <w:rPr>
          <w:rFonts w:asciiTheme="majorHAnsi" w:eastAsia="Calibri" w:hAnsiTheme="majorHAnsi"/>
          <w:sz w:val="20"/>
          <w:szCs w:val="20"/>
          <w:lang w:val="es-ES"/>
        </w:rPr>
        <w:t>La</w:t>
      </w:r>
      <w:r w:rsidR="009F70EA" w:rsidRPr="00386E47">
        <w:rPr>
          <w:rFonts w:asciiTheme="majorHAnsi" w:eastAsia="Calibri" w:hAnsiTheme="majorHAnsi"/>
          <w:sz w:val="20"/>
          <w:szCs w:val="20"/>
          <w:lang w:val="es-AR"/>
        </w:rPr>
        <w:t xml:space="preserve"> Comisión recuerda que la circunstancia de que el Estado haya omitido hasta el año 2016 inventariar restos orgánicos recolectados en la escena del hecho </w:t>
      </w:r>
      <w:r w:rsidR="008A40D3" w:rsidRPr="00386E47">
        <w:rPr>
          <w:rFonts w:asciiTheme="majorHAnsi" w:eastAsia="Calibri" w:hAnsiTheme="majorHAnsi"/>
          <w:sz w:val="20"/>
          <w:szCs w:val="20"/>
          <w:lang w:val="es-AR"/>
        </w:rPr>
        <w:t>refleja en sí mismo la falta de debida diligencia estatal</w:t>
      </w:r>
      <w:r w:rsidR="009F70EA" w:rsidRPr="00386E47">
        <w:rPr>
          <w:rFonts w:asciiTheme="majorHAnsi" w:eastAsia="Calibri" w:hAnsiTheme="majorHAnsi"/>
          <w:sz w:val="20"/>
          <w:szCs w:val="20"/>
          <w:lang w:val="es-AR"/>
        </w:rPr>
        <w:t xml:space="preserve">. Esta omisión explica asimismo que el cotejo genético que descartó que la muestra sin identificar hallada en el Laboratorio Químico de la PFA sea la de Ibrahim Hussein Berro recién haya podido ser concluido en noviembre de 2017. </w:t>
      </w:r>
    </w:p>
    <w:p w14:paraId="2021CF86" w14:textId="77777777" w:rsidR="00974A7E" w:rsidRPr="00386E47" w:rsidRDefault="00974A7E" w:rsidP="00347DFB">
      <w:pPr>
        <w:tabs>
          <w:tab w:val="left" w:pos="567"/>
        </w:tabs>
        <w:jc w:val="both"/>
        <w:rPr>
          <w:rFonts w:asciiTheme="majorHAnsi" w:eastAsia="Calibri" w:hAnsiTheme="majorHAnsi"/>
          <w:b/>
          <w:sz w:val="20"/>
          <w:szCs w:val="20"/>
          <w:lang w:val="es-AR"/>
        </w:rPr>
      </w:pPr>
    </w:p>
    <w:p w14:paraId="4C230891" w14:textId="77777777" w:rsidR="009F70EA" w:rsidRPr="00386E47" w:rsidRDefault="00E9688C" w:rsidP="003A5860">
      <w:pPr>
        <w:numPr>
          <w:ilvl w:val="0"/>
          <w:numId w:val="55"/>
        </w:numPr>
        <w:tabs>
          <w:tab w:val="left" w:pos="567"/>
        </w:tabs>
        <w:ind w:left="0" w:firstLine="0"/>
        <w:jc w:val="both"/>
        <w:rPr>
          <w:rFonts w:asciiTheme="majorHAnsi" w:eastAsia="Calibri" w:hAnsiTheme="majorHAnsi"/>
          <w:b/>
          <w:sz w:val="20"/>
          <w:szCs w:val="20"/>
          <w:lang w:val="es-AR"/>
        </w:rPr>
      </w:pPr>
      <w:r w:rsidRPr="00386E47">
        <w:rPr>
          <w:rFonts w:asciiTheme="majorHAnsi" w:eastAsia="Calibri" w:hAnsiTheme="majorHAnsi"/>
          <w:sz w:val="20"/>
          <w:szCs w:val="20"/>
          <w:lang w:val="es-AR"/>
        </w:rPr>
        <w:lastRenderedPageBreak/>
        <w:t>E</w:t>
      </w:r>
      <w:r w:rsidR="009F70EA" w:rsidRPr="00386E47">
        <w:rPr>
          <w:rFonts w:asciiTheme="majorHAnsi" w:eastAsia="Calibri" w:hAnsiTheme="majorHAnsi"/>
          <w:sz w:val="20"/>
          <w:szCs w:val="20"/>
          <w:lang w:val="es-AR"/>
        </w:rPr>
        <w:t xml:space="preserve">l deber de </w:t>
      </w:r>
      <w:r w:rsidR="00D95C63" w:rsidRPr="00386E47">
        <w:rPr>
          <w:rFonts w:asciiTheme="majorHAnsi" w:eastAsia="Calibri" w:hAnsiTheme="majorHAnsi"/>
          <w:sz w:val="20"/>
          <w:szCs w:val="20"/>
          <w:lang w:val="es-AR"/>
        </w:rPr>
        <w:t xml:space="preserve">actuar con debida diligencia </w:t>
      </w:r>
      <w:r w:rsidR="009F70EA" w:rsidRPr="00386E47">
        <w:rPr>
          <w:rFonts w:asciiTheme="majorHAnsi" w:eastAsia="Calibri" w:hAnsiTheme="majorHAnsi"/>
          <w:sz w:val="20"/>
          <w:szCs w:val="20"/>
          <w:lang w:val="es-AR"/>
        </w:rPr>
        <w:t>demandaba, en este caso, que el Estado arbitrara</w:t>
      </w:r>
      <w:r w:rsidR="00C516A9" w:rsidRPr="00386E47">
        <w:rPr>
          <w:rFonts w:asciiTheme="majorHAnsi" w:eastAsia="Calibri" w:hAnsiTheme="majorHAnsi"/>
          <w:sz w:val="20"/>
          <w:szCs w:val="20"/>
          <w:lang w:val="es-AR"/>
        </w:rPr>
        <w:t xml:space="preserve"> todos</w:t>
      </w:r>
      <w:r w:rsidR="009F70EA" w:rsidRPr="00386E47">
        <w:rPr>
          <w:rFonts w:asciiTheme="majorHAnsi" w:eastAsia="Calibri" w:hAnsiTheme="majorHAnsi"/>
          <w:sz w:val="20"/>
          <w:szCs w:val="20"/>
          <w:lang w:val="es-AR"/>
        </w:rPr>
        <w:t xml:space="preserve"> los medios </w:t>
      </w:r>
      <w:r w:rsidR="00C516A9" w:rsidRPr="00386E47">
        <w:rPr>
          <w:rFonts w:asciiTheme="majorHAnsi" w:eastAsia="Calibri" w:hAnsiTheme="majorHAnsi"/>
          <w:sz w:val="20"/>
          <w:szCs w:val="20"/>
          <w:lang w:val="es-AR"/>
        </w:rPr>
        <w:t xml:space="preserve">necesarios </w:t>
      </w:r>
      <w:r w:rsidR="009F70EA" w:rsidRPr="00386E47">
        <w:rPr>
          <w:rFonts w:asciiTheme="majorHAnsi" w:eastAsia="Calibri" w:hAnsiTheme="majorHAnsi"/>
          <w:sz w:val="20"/>
          <w:szCs w:val="20"/>
          <w:lang w:val="es-AR"/>
        </w:rPr>
        <w:t>para</w:t>
      </w:r>
      <w:r w:rsidR="00B816C5" w:rsidRPr="00386E47">
        <w:rPr>
          <w:rFonts w:asciiTheme="majorHAnsi" w:eastAsia="Calibri" w:hAnsiTheme="majorHAnsi"/>
          <w:sz w:val="20"/>
          <w:szCs w:val="20"/>
          <w:lang w:val="es-AR"/>
        </w:rPr>
        <w:t xml:space="preserve"> investigar de manera exhaustiva </w:t>
      </w:r>
      <w:r w:rsidR="00C516A9" w:rsidRPr="00386E47">
        <w:rPr>
          <w:rFonts w:asciiTheme="majorHAnsi" w:eastAsia="Calibri" w:hAnsiTheme="majorHAnsi"/>
          <w:sz w:val="20"/>
          <w:szCs w:val="20"/>
          <w:lang w:val="es-AR"/>
        </w:rPr>
        <w:t xml:space="preserve">y sin demoras </w:t>
      </w:r>
      <w:r w:rsidR="00B816C5" w:rsidRPr="00386E47">
        <w:rPr>
          <w:rFonts w:asciiTheme="majorHAnsi" w:eastAsia="Calibri" w:hAnsiTheme="majorHAnsi"/>
          <w:sz w:val="20"/>
          <w:szCs w:val="20"/>
          <w:lang w:val="es-AR"/>
        </w:rPr>
        <w:t>la hipótesis antes referida</w:t>
      </w:r>
      <w:r w:rsidR="00C516A9" w:rsidRPr="00386E47">
        <w:rPr>
          <w:rFonts w:asciiTheme="majorHAnsi" w:eastAsia="Calibri" w:hAnsiTheme="majorHAnsi"/>
          <w:sz w:val="20"/>
          <w:szCs w:val="20"/>
          <w:lang w:val="es-AR"/>
        </w:rPr>
        <w:t>,</w:t>
      </w:r>
      <w:r w:rsidR="00B816C5" w:rsidRPr="00386E47">
        <w:rPr>
          <w:rFonts w:asciiTheme="majorHAnsi" w:eastAsia="Calibri" w:hAnsiTheme="majorHAnsi"/>
          <w:sz w:val="20"/>
          <w:szCs w:val="20"/>
          <w:lang w:val="es-AR"/>
        </w:rPr>
        <w:t xml:space="preserve"> mediante la práctica de todas las pruebas pertinentes, incluido </w:t>
      </w:r>
      <w:r w:rsidR="009F70EA" w:rsidRPr="00386E47">
        <w:rPr>
          <w:rFonts w:asciiTheme="majorHAnsi" w:eastAsia="Calibri" w:hAnsiTheme="majorHAnsi"/>
          <w:sz w:val="20"/>
          <w:szCs w:val="20"/>
          <w:lang w:val="es-AR"/>
        </w:rPr>
        <w:t xml:space="preserve">el análisis genético de la muestra orgánica </w:t>
      </w:r>
      <w:r w:rsidR="00C516A9" w:rsidRPr="00386E47">
        <w:rPr>
          <w:rFonts w:asciiTheme="majorHAnsi" w:eastAsia="Calibri" w:hAnsiTheme="majorHAnsi"/>
          <w:sz w:val="20"/>
          <w:szCs w:val="20"/>
          <w:lang w:val="es-AR"/>
        </w:rPr>
        <w:t>que se hallaba en depósito sin identificar</w:t>
      </w:r>
      <w:r w:rsidRPr="00386E47">
        <w:rPr>
          <w:rFonts w:asciiTheme="majorHAnsi" w:eastAsia="Calibri" w:hAnsiTheme="majorHAnsi"/>
          <w:sz w:val="20"/>
          <w:szCs w:val="20"/>
          <w:lang w:val="es-AR"/>
        </w:rPr>
        <w:t>.</w:t>
      </w:r>
      <w:r w:rsidR="009F70EA" w:rsidRPr="00386E47">
        <w:rPr>
          <w:rFonts w:asciiTheme="majorHAnsi" w:eastAsia="Calibri" w:hAnsiTheme="majorHAnsi"/>
          <w:sz w:val="20"/>
          <w:szCs w:val="20"/>
          <w:lang w:val="es-AR"/>
        </w:rPr>
        <w:t xml:space="preserve"> Ello era aún más crucial si se tiene en cuenta que</w:t>
      </w:r>
      <w:r w:rsidR="00CC09BF" w:rsidRPr="00386E47">
        <w:rPr>
          <w:rFonts w:asciiTheme="majorHAnsi" w:eastAsia="Calibri" w:hAnsiTheme="majorHAnsi"/>
          <w:sz w:val="20"/>
          <w:szCs w:val="20"/>
          <w:lang w:val="es-AR"/>
        </w:rPr>
        <w:t>,</w:t>
      </w:r>
      <w:r w:rsidR="009F70EA" w:rsidRPr="00386E47">
        <w:rPr>
          <w:rFonts w:asciiTheme="majorHAnsi" w:eastAsia="Calibri" w:hAnsiTheme="majorHAnsi"/>
          <w:sz w:val="20"/>
          <w:szCs w:val="20"/>
          <w:lang w:val="es-AR"/>
        </w:rPr>
        <w:t xml:space="preserve"> </w:t>
      </w:r>
      <w:r w:rsidR="0042231B" w:rsidRPr="00386E47">
        <w:rPr>
          <w:rFonts w:asciiTheme="majorHAnsi" w:eastAsia="Calibri" w:hAnsiTheme="majorHAnsi"/>
          <w:sz w:val="20"/>
          <w:szCs w:val="20"/>
          <w:lang w:val="es-AR"/>
        </w:rPr>
        <w:t xml:space="preserve">al menos </w:t>
      </w:r>
      <w:r w:rsidR="009F70EA" w:rsidRPr="00386E47">
        <w:rPr>
          <w:rFonts w:asciiTheme="majorHAnsi" w:eastAsia="Calibri" w:hAnsiTheme="majorHAnsi"/>
          <w:sz w:val="20"/>
          <w:szCs w:val="20"/>
          <w:lang w:val="es-AR"/>
        </w:rPr>
        <w:t>desde octubre de 2006</w:t>
      </w:r>
      <w:r w:rsidR="00CC09BF" w:rsidRPr="00386E47">
        <w:rPr>
          <w:rFonts w:asciiTheme="majorHAnsi" w:eastAsia="Calibri" w:hAnsiTheme="majorHAnsi"/>
          <w:sz w:val="20"/>
          <w:szCs w:val="20"/>
          <w:lang w:val="es-AR"/>
        </w:rPr>
        <w:t>,</w:t>
      </w:r>
      <w:r w:rsidR="009F70EA" w:rsidRPr="00386E47">
        <w:rPr>
          <w:rFonts w:asciiTheme="majorHAnsi" w:eastAsia="Calibri" w:hAnsiTheme="majorHAnsi"/>
          <w:sz w:val="20"/>
          <w:szCs w:val="20"/>
          <w:lang w:val="es-AR"/>
        </w:rPr>
        <w:t xml:space="preserve"> </w:t>
      </w:r>
      <w:r w:rsidR="00CC09BF" w:rsidRPr="00386E47">
        <w:rPr>
          <w:rFonts w:asciiTheme="majorHAnsi" w:eastAsia="Calibri" w:hAnsiTheme="majorHAnsi"/>
          <w:sz w:val="20"/>
          <w:szCs w:val="20"/>
          <w:lang w:val="es-AR"/>
        </w:rPr>
        <w:t xml:space="preserve">una parte central de </w:t>
      </w:r>
      <w:r w:rsidR="009F70EA" w:rsidRPr="00386E47">
        <w:rPr>
          <w:rFonts w:asciiTheme="majorHAnsi" w:eastAsia="Calibri" w:hAnsiTheme="majorHAnsi"/>
          <w:sz w:val="20"/>
          <w:szCs w:val="20"/>
          <w:lang w:val="es-AR"/>
        </w:rPr>
        <w:t xml:space="preserve">la </w:t>
      </w:r>
      <w:r w:rsidR="0042231B" w:rsidRPr="00386E47">
        <w:rPr>
          <w:rFonts w:asciiTheme="majorHAnsi" w:eastAsia="Calibri" w:hAnsiTheme="majorHAnsi"/>
          <w:sz w:val="20"/>
          <w:szCs w:val="20"/>
          <w:lang w:val="es-AR"/>
        </w:rPr>
        <w:t>hip</w:t>
      </w:r>
      <w:r w:rsidR="007039E1" w:rsidRPr="00386E47">
        <w:rPr>
          <w:rFonts w:asciiTheme="majorHAnsi" w:eastAsia="Calibri" w:hAnsiTheme="majorHAnsi"/>
          <w:sz w:val="20"/>
          <w:szCs w:val="20"/>
          <w:lang w:val="es-AR"/>
        </w:rPr>
        <w:t>ó</w:t>
      </w:r>
      <w:r w:rsidR="0042231B" w:rsidRPr="00386E47">
        <w:rPr>
          <w:rFonts w:asciiTheme="majorHAnsi" w:eastAsia="Calibri" w:hAnsiTheme="majorHAnsi"/>
          <w:sz w:val="20"/>
          <w:szCs w:val="20"/>
          <w:lang w:val="es-AR"/>
        </w:rPr>
        <w:t xml:space="preserve">tesis acusatoria </w:t>
      </w:r>
      <w:r w:rsidR="00CC09BF" w:rsidRPr="00386E47">
        <w:rPr>
          <w:rFonts w:asciiTheme="majorHAnsi" w:eastAsia="Calibri" w:hAnsiTheme="majorHAnsi"/>
          <w:sz w:val="20"/>
          <w:szCs w:val="20"/>
          <w:lang w:val="es-AR"/>
        </w:rPr>
        <w:t>publica</w:t>
      </w:r>
      <w:r w:rsidR="009F70EA" w:rsidRPr="00386E47">
        <w:rPr>
          <w:rFonts w:asciiTheme="majorHAnsi" w:eastAsia="Calibri" w:hAnsiTheme="majorHAnsi"/>
          <w:sz w:val="20"/>
          <w:szCs w:val="20"/>
          <w:lang w:val="es-AR"/>
        </w:rPr>
        <w:t xml:space="preserve"> </w:t>
      </w:r>
      <w:r w:rsidR="00CC09BF" w:rsidRPr="00386E47">
        <w:rPr>
          <w:rFonts w:asciiTheme="majorHAnsi" w:eastAsia="Calibri" w:hAnsiTheme="majorHAnsi"/>
          <w:sz w:val="20"/>
          <w:szCs w:val="20"/>
          <w:lang w:val="es-AR"/>
        </w:rPr>
        <w:t>gir</w:t>
      </w:r>
      <w:r w:rsidR="00B816C5" w:rsidRPr="00386E47">
        <w:rPr>
          <w:rFonts w:asciiTheme="majorHAnsi" w:eastAsia="Calibri" w:hAnsiTheme="majorHAnsi"/>
          <w:sz w:val="20"/>
          <w:szCs w:val="20"/>
          <w:lang w:val="es-AR"/>
        </w:rPr>
        <w:t>ó</w:t>
      </w:r>
      <w:r w:rsidR="00CC09BF" w:rsidRPr="00386E47">
        <w:rPr>
          <w:rFonts w:asciiTheme="majorHAnsi" w:eastAsia="Calibri" w:hAnsiTheme="majorHAnsi"/>
          <w:sz w:val="20"/>
          <w:szCs w:val="20"/>
          <w:lang w:val="es-AR"/>
        </w:rPr>
        <w:t xml:space="preserve"> en torno a la </w:t>
      </w:r>
      <w:r w:rsidR="00861975" w:rsidRPr="00386E47">
        <w:rPr>
          <w:rFonts w:asciiTheme="majorHAnsi" w:eastAsia="Calibri" w:hAnsiTheme="majorHAnsi"/>
          <w:sz w:val="20"/>
          <w:szCs w:val="20"/>
          <w:lang w:val="es-AR"/>
        </w:rPr>
        <w:t>identificación</w:t>
      </w:r>
      <w:r w:rsidR="00CC09BF" w:rsidRPr="00386E47">
        <w:rPr>
          <w:rFonts w:asciiTheme="majorHAnsi" w:eastAsia="Calibri" w:hAnsiTheme="majorHAnsi"/>
          <w:sz w:val="20"/>
          <w:szCs w:val="20"/>
          <w:lang w:val="es-AR"/>
        </w:rPr>
        <w:t xml:space="preserve"> de</w:t>
      </w:r>
      <w:r w:rsidR="009F70EA" w:rsidRPr="00386E47">
        <w:rPr>
          <w:rFonts w:asciiTheme="majorHAnsi" w:eastAsia="Calibri" w:hAnsiTheme="majorHAnsi"/>
          <w:sz w:val="20"/>
          <w:szCs w:val="20"/>
          <w:lang w:val="es-AR"/>
        </w:rPr>
        <w:t xml:space="preserve"> Berro com</w:t>
      </w:r>
      <w:r w:rsidR="00CC09BF" w:rsidRPr="00386E47">
        <w:rPr>
          <w:rFonts w:asciiTheme="majorHAnsi" w:eastAsia="Calibri" w:hAnsiTheme="majorHAnsi"/>
          <w:sz w:val="20"/>
          <w:szCs w:val="20"/>
          <w:lang w:val="es-AR"/>
        </w:rPr>
        <w:t xml:space="preserve">o el individuo que </w:t>
      </w:r>
      <w:r w:rsidR="00D95C63" w:rsidRPr="00386E47">
        <w:rPr>
          <w:rFonts w:asciiTheme="majorHAnsi" w:eastAsia="Calibri" w:hAnsiTheme="majorHAnsi"/>
          <w:sz w:val="20"/>
          <w:szCs w:val="20"/>
          <w:lang w:val="es-AR"/>
        </w:rPr>
        <w:t>habría</w:t>
      </w:r>
      <w:r w:rsidR="00CC09BF" w:rsidRPr="00386E47">
        <w:rPr>
          <w:rFonts w:asciiTheme="majorHAnsi" w:eastAsia="Calibri" w:hAnsiTheme="majorHAnsi"/>
          <w:sz w:val="20"/>
          <w:szCs w:val="20"/>
          <w:lang w:val="es-AR"/>
        </w:rPr>
        <w:t xml:space="preserve"> actuado como</w:t>
      </w:r>
      <w:r w:rsidR="009F70EA" w:rsidRPr="00386E47">
        <w:rPr>
          <w:rFonts w:asciiTheme="majorHAnsi" w:eastAsia="Calibri" w:hAnsiTheme="majorHAnsi"/>
          <w:sz w:val="20"/>
          <w:szCs w:val="20"/>
          <w:lang w:val="es-AR"/>
        </w:rPr>
        <w:t xml:space="preserve"> conductor suicida de la Trafic que </w:t>
      </w:r>
      <w:r w:rsidR="00C21134" w:rsidRPr="00386E47">
        <w:rPr>
          <w:rFonts w:asciiTheme="majorHAnsi" w:eastAsia="Calibri" w:hAnsiTheme="majorHAnsi"/>
          <w:sz w:val="20"/>
          <w:szCs w:val="20"/>
          <w:lang w:val="es-AR"/>
        </w:rPr>
        <w:t>habria sido utilizada como coche bomba</w:t>
      </w:r>
      <w:r w:rsidR="009F70EA" w:rsidRPr="00386E47">
        <w:rPr>
          <w:rFonts w:asciiTheme="majorHAnsi" w:eastAsia="Calibri" w:hAnsiTheme="majorHAnsi"/>
          <w:sz w:val="20"/>
          <w:szCs w:val="20"/>
          <w:lang w:val="es-AR"/>
        </w:rPr>
        <w:t>. La</w:t>
      </w:r>
      <w:r w:rsidR="00FC22BD" w:rsidRPr="00386E47">
        <w:rPr>
          <w:rFonts w:asciiTheme="majorHAnsi" w:eastAsia="Calibri" w:hAnsiTheme="majorHAnsi"/>
          <w:sz w:val="20"/>
          <w:szCs w:val="20"/>
          <w:lang w:val="es-AR"/>
        </w:rPr>
        <w:t xml:space="preserve"> Comisión concluye que la</w:t>
      </w:r>
      <w:r w:rsidR="009F70EA" w:rsidRPr="00386E47">
        <w:rPr>
          <w:rFonts w:asciiTheme="majorHAnsi" w:eastAsia="Calibri" w:hAnsiTheme="majorHAnsi"/>
          <w:sz w:val="20"/>
          <w:szCs w:val="20"/>
          <w:lang w:val="es-AR"/>
        </w:rPr>
        <w:t xml:space="preserve"> falta de realización oportuna de est</w:t>
      </w:r>
      <w:r w:rsidR="007039E1" w:rsidRPr="00386E47">
        <w:rPr>
          <w:rFonts w:asciiTheme="majorHAnsi" w:eastAsia="Calibri" w:hAnsiTheme="majorHAnsi"/>
          <w:sz w:val="20"/>
          <w:szCs w:val="20"/>
          <w:lang w:val="es-AR"/>
        </w:rPr>
        <w:t>a diligencia probatoria</w:t>
      </w:r>
      <w:r w:rsidR="008A40D3" w:rsidRPr="00386E47">
        <w:rPr>
          <w:rFonts w:asciiTheme="majorHAnsi" w:eastAsia="Calibri" w:hAnsiTheme="majorHAnsi"/>
          <w:sz w:val="20"/>
          <w:szCs w:val="20"/>
          <w:lang w:val="es-AR"/>
        </w:rPr>
        <w:t xml:space="preserve">, así como otras que permitieran </w:t>
      </w:r>
      <w:r w:rsidR="00FC22BD" w:rsidRPr="00386E47">
        <w:rPr>
          <w:rFonts w:asciiTheme="majorHAnsi" w:eastAsia="Calibri" w:hAnsiTheme="majorHAnsi"/>
          <w:sz w:val="20"/>
          <w:szCs w:val="20"/>
          <w:lang w:val="es-AR"/>
        </w:rPr>
        <w:t xml:space="preserve">fortalecer la línea investigativa que </w:t>
      </w:r>
      <w:r w:rsidR="00C516A9" w:rsidRPr="00386E47">
        <w:rPr>
          <w:rFonts w:asciiTheme="majorHAnsi" w:eastAsia="Calibri" w:hAnsiTheme="majorHAnsi"/>
          <w:sz w:val="20"/>
          <w:szCs w:val="20"/>
          <w:lang w:val="es-AR"/>
        </w:rPr>
        <w:t>vincula a</w:t>
      </w:r>
      <w:r w:rsidR="00FC22BD" w:rsidRPr="00386E47">
        <w:rPr>
          <w:rFonts w:asciiTheme="majorHAnsi" w:eastAsia="Calibri" w:hAnsiTheme="majorHAnsi"/>
          <w:sz w:val="20"/>
          <w:szCs w:val="20"/>
          <w:lang w:val="es-AR"/>
        </w:rPr>
        <w:t xml:space="preserve"> Hezbollah y</w:t>
      </w:r>
      <w:r w:rsidR="00C516A9" w:rsidRPr="00386E47">
        <w:rPr>
          <w:rFonts w:asciiTheme="majorHAnsi" w:eastAsia="Calibri" w:hAnsiTheme="majorHAnsi"/>
          <w:sz w:val="20"/>
          <w:szCs w:val="20"/>
          <w:lang w:val="es-AR"/>
        </w:rPr>
        <w:t xml:space="preserve"> a</w:t>
      </w:r>
      <w:r w:rsidR="00FC22BD" w:rsidRPr="00386E47">
        <w:rPr>
          <w:rFonts w:asciiTheme="majorHAnsi" w:eastAsia="Calibri" w:hAnsiTheme="majorHAnsi"/>
          <w:sz w:val="20"/>
          <w:szCs w:val="20"/>
          <w:lang w:val="es-AR"/>
        </w:rPr>
        <w:t xml:space="preserve"> </w:t>
      </w:r>
      <w:r w:rsidR="00C516A9" w:rsidRPr="00386E47">
        <w:rPr>
          <w:rFonts w:asciiTheme="majorHAnsi" w:eastAsia="Calibri" w:hAnsiTheme="majorHAnsi"/>
          <w:sz w:val="20"/>
          <w:szCs w:val="20"/>
          <w:lang w:val="es-AR"/>
        </w:rPr>
        <w:t xml:space="preserve">funcionarios y nacionales de la República Islámica de Irán con el hecho </w:t>
      </w:r>
      <w:r w:rsidR="009F70EA" w:rsidRPr="00386E47">
        <w:rPr>
          <w:rFonts w:asciiTheme="majorHAnsi" w:eastAsia="Calibri" w:hAnsiTheme="majorHAnsi"/>
          <w:sz w:val="20"/>
          <w:szCs w:val="20"/>
          <w:lang w:val="es-AR"/>
        </w:rPr>
        <w:t xml:space="preserve">impidió </w:t>
      </w:r>
      <w:r w:rsidR="00FC22BD" w:rsidRPr="00386E47">
        <w:rPr>
          <w:rFonts w:asciiTheme="majorHAnsi" w:eastAsia="Calibri" w:hAnsiTheme="majorHAnsi"/>
          <w:sz w:val="20"/>
          <w:szCs w:val="20"/>
          <w:lang w:val="es-AR"/>
        </w:rPr>
        <w:t xml:space="preserve">asimismo </w:t>
      </w:r>
      <w:r w:rsidR="009F70EA" w:rsidRPr="00386E47">
        <w:rPr>
          <w:rFonts w:asciiTheme="majorHAnsi" w:eastAsia="Calibri" w:hAnsiTheme="majorHAnsi"/>
          <w:sz w:val="20"/>
          <w:szCs w:val="20"/>
          <w:lang w:val="es-AR"/>
        </w:rPr>
        <w:t>que se pudieran explorar</w:t>
      </w:r>
      <w:r w:rsidR="007A42D9" w:rsidRPr="00386E47">
        <w:rPr>
          <w:rFonts w:asciiTheme="majorHAnsi" w:eastAsia="Calibri" w:hAnsiTheme="majorHAnsi"/>
          <w:sz w:val="20"/>
          <w:szCs w:val="20"/>
          <w:lang w:val="es-AR"/>
        </w:rPr>
        <w:t xml:space="preserve"> </w:t>
      </w:r>
      <w:r w:rsidR="009F70EA" w:rsidRPr="00386E47">
        <w:rPr>
          <w:rFonts w:asciiTheme="majorHAnsi" w:eastAsia="Calibri" w:hAnsiTheme="majorHAnsi"/>
          <w:sz w:val="20"/>
          <w:szCs w:val="20"/>
          <w:lang w:val="es-AR"/>
        </w:rPr>
        <w:t>otras eventuales líneas de investigación</w:t>
      </w:r>
      <w:r w:rsidR="008A40D3" w:rsidRPr="00386E47">
        <w:rPr>
          <w:rFonts w:asciiTheme="majorHAnsi" w:eastAsia="Calibri" w:hAnsiTheme="majorHAnsi"/>
          <w:sz w:val="20"/>
          <w:szCs w:val="20"/>
          <w:lang w:val="es-AR"/>
        </w:rPr>
        <w:t xml:space="preserve"> complementarias</w:t>
      </w:r>
      <w:r w:rsidR="009F70EA" w:rsidRPr="00386E47">
        <w:rPr>
          <w:rFonts w:asciiTheme="majorHAnsi" w:eastAsia="Calibri" w:hAnsiTheme="majorHAnsi"/>
          <w:sz w:val="20"/>
          <w:szCs w:val="20"/>
          <w:lang w:val="es-AR"/>
        </w:rPr>
        <w:t xml:space="preserve"> que no incluyeran necesariamente la participación de Berro o de sus supuestos asociados en el atentado</w:t>
      </w:r>
      <w:r w:rsidR="00B816C5" w:rsidRPr="00386E47">
        <w:rPr>
          <w:rFonts w:asciiTheme="majorHAnsi" w:eastAsia="Calibri" w:hAnsiTheme="majorHAnsi"/>
          <w:sz w:val="20"/>
          <w:szCs w:val="20"/>
          <w:lang w:val="es-AR"/>
        </w:rPr>
        <w:t xml:space="preserve">, </w:t>
      </w:r>
      <w:r w:rsidR="008A40D3" w:rsidRPr="00386E47">
        <w:rPr>
          <w:rFonts w:asciiTheme="majorHAnsi" w:eastAsia="Calibri" w:hAnsiTheme="majorHAnsi"/>
          <w:sz w:val="20"/>
          <w:szCs w:val="20"/>
          <w:lang w:val="es-AR"/>
        </w:rPr>
        <w:t>impactando negativamente el avance de las investigaciones</w:t>
      </w:r>
      <w:r w:rsidR="009F70EA" w:rsidRPr="00386E47">
        <w:rPr>
          <w:rFonts w:asciiTheme="majorHAnsi" w:eastAsia="Calibri" w:hAnsiTheme="majorHAnsi"/>
          <w:sz w:val="20"/>
          <w:szCs w:val="20"/>
          <w:lang w:val="es-AR"/>
        </w:rPr>
        <w:t xml:space="preserve">.  </w:t>
      </w:r>
    </w:p>
    <w:p w14:paraId="770C880D" w14:textId="77777777" w:rsidR="009F70EA" w:rsidRPr="00386E47" w:rsidRDefault="009F70EA" w:rsidP="00974A7E">
      <w:pPr>
        <w:tabs>
          <w:tab w:val="left" w:pos="426"/>
        </w:tabs>
        <w:contextualSpacing/>
        <w:jc w:val="both"/>
        <w:rPr>
          <w:rFonts w:asciiTheme="majorHAnsi" w:eastAsia="Calibri" w:hAnsiTheme="majorHAnsi"/>
          <w:sz w:val="20"/>
          <w:szCs w:val="20"/>
          <w:lang w:val="es-AR"/>
        </w:rPr>
      </w:pPr>
    </w:p>
    <w:p w14:paraId="36CC51B6" w14:textId="77777777" w:rsidR="00A33088" w:rsidRPr="00386E47" w:rsidRDefault="00A33088" w:rsidP="009146F2">
      <w:pPr>
        <w:pStyle w:val="Heading5"/>
        <w:numPr>
          <w:ilvl w:val="0"/>
          <w:numId w:val="69"/>
        </w:numPr>
      </w:pPr>
      <w:r w:rsidRPr="00386E47">
        <w:t>Respecto de la muerte del fiscal a cargo de la investigación</w:t>
      </w:r>
    </w:p>
    <w:p w14:paraId="576777AD" w14:textId="77777777" w:rsidR="00A33088" w:rsidRPr="00386E47" w:rsidRDefault="00A33088" w:rsidP="00A33088">
      <w:pPr>
        <w:tabs>
          <w:tab w:val="left" w:pos="567"/>
        </w:tabs>
        <w:jc w:val="both"/>
        <w:rPr>
          <w:rFonts w:asciiTheme="majorHAnsi" w:eastAsia="Calibri" w:hAnsiTheme="majorHAnsi"/>
          <w:sz w:val="20"/>
          <w:szCs w:val="20"/>
          <w:lang w:val="es-ES_tradnl" w:eastAsia="es-ES"/>
        </w:rPr>
      </w:pPr>
    </w:p>
    <w:p w14:paraId="37670968" w14:textId="77777777" w:rsidR="00DB0B54" w:rsidRPr="00386E47" w:rsidRDefault="00A33088" w:rsidP="003A5860">
      <w:pPr>
        <w:pStyle w:val="ListParagraph"/>
        <w:numPr>
          <w:ilvl w:val="0"/>
          <w:numId w:val="55"/>
        </w:numPr>
        <w:tabs>
          <w:tab w:val="left" w:pos="567"/>
        </w:tabs>
        <w:ind w:left="0" w:firstLine="0"/>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Como se ha referido en el </w:t>
      </w:r>
      <w:r w:rsidR="0098796A" w:rsidRPr="00386E47">
        <w:rPr>
          <w:rFonts w:asciiTheme="majorHAnsi" w:eastAsia="Calibri" w:hAnsiTheme="majorHAnsi"/>
          <w:sz w:val="20"/>
          <w:szCs w:val="20"/>
          <w:lang w:val="es-ES_tradnl"/>
        </w:rPr>
        <w:t>apartado</w:t>
      </w:r>
      <w:r w:rsidRPr="00386E47">
        <w:rPr>
          <w:rFonts w:asciiTheme="majorHAnsi" w:eastAsia="Calibri" w:hAnsiTheme="majorHAnsi"/>
          <w:sz w:val="20"/>
          <w:szCs w:val="20"/>
          <w:lang w:val="es-ES_tradnl"/>
        </w:rPr>
        <w:t xml:space="preserve"> de hechos, el 18 de enero de 2015 el cuerpo del Fiscal Nisman</w:t>
      </w:r>
      <w:r w:rsidR="0098796A" w:rsidRPr="00386E47">
        <w:rPr>
          <w:rFonts w:asciiTheme="majorHAnsi" w:eastAsia="Calibri" w:hAnsiTheme="majorHAnsi"/>
          <w:sz w:val="20"/>
          <w:szCs w:val="20"/>
          <w:lang w:val="es-ES_tradnl"/>
        </w:rPr>
        <w:t>, entonces titular de la UFl</w:t>
      </w:r>
      <w:r w:rsidR="00DB0B54" w:rsidRPr="00386E47">
        <w:rPr>
          <w:rFonts w:asciiTheme="majorHAnsi" w:eastAsia="Calibri" w:hAnsiTheme="majorHAnsi"/>
          <w:sz w:val="20"/>
          <w:szCs w:val="20"/>
          <w:lang w:val="es-ES_tradnl"/>
        </w:rPr>
        <w:t xml:space="preserve"> </w:t>
      </w:r>
      <w:r w:rsidR="0098796A" w:rsidRPr="00386E47">
        <w:rPr>
          <w:rFonts w:asciiTheme="majorHAnsi" w:eastAsia="Calibri" w:hAnsiTheme="majorHAnsi"/>
          <w:sz w:val="20"/>
          <w:szCs w:val="20"/>
          <w:lang w:val="es-ES_tradnl"/>
        </w:rPr>
        <w:t>AMIA</w:t>
      </w:r>
      <w:r w:rsidR="00DB0B54" w:rsidRPr="00386E47">
        <w:rPr>
          <w:rFonts w:asciiTheme="majorHAnsi" w:eastAsia="Calibri" w:hAnsiTheme="majorHAnsi"/>
          <w:sz w:val="20"/>
          <w:szCs w:val="20"/>
          <w:lang w:val="es-ES_tradnl"/>
        </w:rPr>
        <w:t xml:space="preserve">, </w:t>
      </w:r>
      <w:r w:rsidRPr="00386E47">
        <w:rPr>
          <w:rFonts w:asciiTheme="majorHAnsi" w:eastAsia="Calibri" w:hAnsiTheme="majorHAnsi"/>
          <w:sz w:val="20"/>
          <w:szCs w:val="20"/>
          <w:lang w:val="es-ES_tradnl"/>
        </w:rPr>
        <w:t>fue hallado sin vida en su domicilio de la ciudad de Buenos Aires</w:t>
      </w:r>
      <w:r w:rsidR="00DB0B54" w:rsidRPr="00386E47">
        <w:rPr>
          <w:rFonts w:asciiTheme="majorHAnsi" w:eastAsia="Calibri" w:hAnsiTheme="majorHAnsi"/>
          <w:sz w:val="20"/>
          <w:szCs w:val="20"/>
          <w:lang w:val="es-ES_tradnl"/>
        </w:rPr>
        <w:t>. El suceso se produjo</w:t>
      </w:r>
      <w:r w:rsidR="0098796A" w:rsidRPr="00386E47">
        <w:rPr>
          <w:rFonts w:asciiTheme="majorHAnsi" w:eastAsia="Calibri" w:hAnsiTheme="majorHAnsi"/>
          <w:sz w:val="20"/>
          <w:szCs w:val="20"/>
          <w:lang w:val="es-ES_tradnl"/>
        </w:rPr>
        <w:t xml:space="preserve"> días después de </w:t>
      </w:r>
      <w:r w:rsidR="00DB0B54" w:rsidRPr="00386E47">
        <w:rPr>
          <w:rFonts w:asciiTheme="majorHAnsi" w:eastAsia="Calibri" w:hAnsiTheme="majorHAnsi"/>
          <w:sz w:val="20"/>
          <w:szCs w:val="20"/>
          <w:lang w:val="es-ES_tradnl"/>
        </w:rPr>
        <w:t>que la UFI AMIA interpuso</w:t>
      </w:r>
      <w:r w:rsidR="0098796A" w:rsidRPr="00386E47">
        <w:rPr>
          <w:rFonts w:asciiTheme="majorHAnsi" w:eastAsia="Calibri" w:hAnsiTheme="majorHAnsi"/>
          <w:sz w:val="20"/>
          <w:szCs w:val="20"/>
          <w:lang w:val="es-ES_tradnl"/>
        </w:rPr>
        <w:t xml:space="preserve"> una denuncia penal en contra de varios funcionarios estatales en relación con posibles </w:t>
      </w:r>
      <w:r w:rsidR="00DB0B54" w:rsidRPr="00386E47">
        <w:rPr>
          <w:rFonts w:asciiTheme="majorHAnsi" w:eastAsia="Calibri" w:hAnsiTheme="majorHAnsi"/>
          <w:sz w:val="20"/>
          <w:szCs w:val="20"/>
          <w:lang w:val="es-ES_tradnl"/>
        </w:rPr>
        <w:t xml:space="preserve">actos de encubrimiento vinculadas con la firma del Memorándum de entendimiento entre la República Argentina y la </w:t>
      </w:r>
      <w:r w:rsidR="00B528BF" w:rsidRPr="00386E47">
        <w:rPr>
          <w:rFonts w:asciiTheme="majorHAnsi" w:eastAsia="Calibri" w:hAnsiTheme="majorHAnsi"/>
          <w:sz w:val="20"/>
          <w:szCs w:val="20"/>
          <w:lang w:val="es-ES_tradnl"/>
        </w:rPr>
        <w:t>República</w:t>
      </w:r>
      <w:r w:rsidR="00DB0B54" w:rsidRPr="00386E47">
        <w:rPr>
          <w:rFonts w:asciiTheme="majorHAnsi" w:eastAsia="Calibri" w:hAnsiTheme="majorHAnsi"/>
          <w:sz w:val="20"/>
          <w:szCs w:val="20"/>
          <w:lang w:val="es-ES_tradnl"/>
        </w:rPr>
        <w:t xml:space="preserve"> Islámica de Irán. </w:t>
      </w:r>
      <w:r w:rsidR="0098796A" w:rsidRPr="00386E47">
        <w:rPr>
          <w:rFonts w:asciiTheme="majorHAnsi" w:eastAsia="Calibri" w:hAnsiTheme="majorHAnsi"/>
          <w:sz w:val="20"/>
          <w:szCs w:val="20"/>
          <w:lang w:val="es-ES_tradnl"/>
        </w:rPr>
        <w:t xml:space="preserve"> (ver supra párr. </w:t>
      </w:r>
      <w:r w:rsidR="00C11B38" w:rsidRPr="00386E47">
        <w:rPr>
          <w:rFonts w:asciiTheme="majorHAnsi" w:eastAsia="Calibri" w:hAnsiTheme="majorHAnsi"/>
          <w:sz w:val="20"/>
          <w:szCs w:val="20"/>
          <w:lang w:val="es-ES_tradnl"/>
        </w:rPr>
        <w:t>84</w:t>
      </w:r>
      <w:r w:rsidR="0098796A" w:rsidRPr="00386E47">
        <w:rPr>
          <w:rFonts w:asciiTheme="majorHAnsi" w:eastAsia="Calibri" w:hAnsiTheme="majorHAnsi"/>
          <w:sz w:val="20"/>
          <w:szCs w:val="20"/>
          <w:lang w:val="es-ES_tradnl"/>
        </w:rPr>
        <w:t>)</w:t>
      </w:r>
      <w:r w:rsidRPr="00386E47">
        <w:rPr>
          <w:rFonts w:asciiTheme="majorHAnsi" w:eastAsia="Calibri" w:hAnsiTheme="majorHAnsi"/>
          <w:sz w:val="20"/>
          <w:szCs w:val="20"/>
          <w:lang w:val="es-ES_tradnl"/>
        </w:rPr>
        <w:t>.</w:t>
      </w:r>
      <w:r w:rsidR="0098796A" w:rsidRPr="00386E47">
        <w:rPr>
          <w:rFonts w:asciiTheme="majorHAnsi" w:eastAsia="Calibri" w:hAnsiTheme="majorHAnsi"/>
          <w:sz w:val="20"/>
          <w:szCs w:val="20"/>
          <w:lang w:val="es-ES_tradnl"/>
        </w:rPr>
        <w:t xml:space="preserve">  </w:t>
      </w:r>
    </w:p>
    <w:p w14:paraId="06E0A14B" w14:textId="77777777" w:rsidR="00DB0B54" w:rsidRPr="00386E47" w:rsidRDefault="00DB0B54" w:rsidP="00DB0B54">
      <w:pPr>
        <w:tabs>
          <w:tab w:val="left" w:pos="567"/>
        </w:tabs>
        <w:jc w:val="both"/>
        <w:rPr>
          <w:rFonts w:asciiTheme="majorHAnsi" w:eastAsia="Calibri" w:hAnsiTheme="majorHAnsi"/>
          <w:sz w:val="20"/>
          <w:szCs w:val="20"/>
          <w:lang w:val="es-ES_tradnl" w:eastAsia="es-ES"/>
        </w:rPr>
      </w:pPr>
    </w:p>
    <w:p w14:paraId="72986ACC" w14:textId="77777777" w:rsidR="00A33088" w:rsidRPr="00386E47" w:rsidRDefault="0098796A" w:rsidP="003A5860">
      <w:pPr>
        <w:numPr>
          <w:ilvl w:val="0"/>
          <w:numId w:val="55"/>
        </w:numPr>
        <w:tabs>
          <w:tab w:val="left" w:pos="567"/>
        </w:tabs>
        <w:ind w:left="0" w:firstLine="0"/>
        <w:jc w:val="both"/>
        <w:rPr>
          <w:rFonts w:asciiTheme="majorHAnsi" w:eastAsia="Calibri" w:hAnsiTheme="majorHAnsi"/>
          <w:sz w:val="20"/>
          <w:szCs w:val="20"/>
          <w:lang w:val="es-ES_tradnl" w:eastAsia="es-ES"/>
        </w:rPr>
      </w:pPr>
      <w:r w:rsidRPr="00386E47">
        <w:rPr>
          <w:rFonts w:asciiTheme="majorHAnsi" w:eastAsia="Calibri" w:hAnsiTheme="majorHAnsi"/>
          <w:sz w:val="20"/>
          <w:szCs w:val="20"/>
          <w:lang w:val="es-ES_tradnl"/>
        </w:rPr>
        <w:t xml:space="preserve">En relación con este hecho, la Comisión observa que no es materia del presente caso pronunciarse sobre </w:t>
      </w:r>
      <w:r w:rsidR="00DB0B54" w:rsidRPr="00386E47">
        <w:rPr>
          <w:rFonts w:asciiTheme="majorHAnsi" w:eastAsia="Calibri" w:hAnsiTheme="majorHAnsi"/>
          <w:sz w:val="20"/>
          <w:szCs w:val="20"/>
          <w:lang w:val="es-ES_tradnl"/>
        </w:rPr>
        <w:t>el deceso</w:t>
      </w:r>
      <w:r w:rsidRPr="00386E47">
        <w:rPr>
          <w:rFonts w:asciiTheme="majorHAnsi" w:eastAsia="Calibri" w:hAnsiTheme="majorHAnsi"/>
          <w:sz w:val="20"/>
          <w:szCs w:val="20"/>
          <w:lang w:val="es-ES_tradnl"/>
        </w:rPr>
        <w:t xml:space="preserve"> del </w:t>
      </w:r>
      <w:r w:rsidR="00DB0B54" w:rsidRPr="00386E47">
        <w:rPr>
          <w:rFonts w:asciiTheme="majorHAnsi" w:eastAsia="Calibri" w:hAnsiTheme="majorHAnsi"/>
          <w:sz w:val="20"/>
          <w:szCs w:val="20"/>
          <w:lang w:val="es-ES_tradnl"/>
        </w:rPr>
        <w:t>Sr.</w:t>
      </w:r>
      <w:r w:rsidRPr="00386E47">
        <w:rPr>
          <w:rFonts w:asciiTheme="majorHAnsi" w:eastAsia="Calibri" w:hAnsiTheme="majorHAnsi"/>
          <w:sz w:val="20"/>
          <w:szCs w:val="20"/>
          <w:lang w:val="es-ES_tradnl"/>
        </w:rPr>
        <w:t xml:space="preserve"> Nisman y las circunstancias en las que </w:t>
      </w:r>
      <w:r w:rsidR="00DB0B54" w:rsidRPr="00386E47">
        <w:rPr>
          <w:rFonts w:asciiTheme="majorHAnsi" w:eastAsia="Calibri" w:hAnsiTheme="majorHAnsi"/>
          <w:sz w:val="20"/>
          <w:szCs w:val="20"/>
          <w:lang w:val="es-ES_tradnl"/>
        </w:rPr>
        <w:t>tuvo lugar, toda vez que este hecho se encuentra siendo investigado por las autoridades judiciales argentinas y ya que ellas podrían ser eventualmente objeto de una nueva petición ante el sistema interamericano</w:t>
      </w:r>
      <w:r w:rsidR="00DB0B54" w:rsidRPr="00386E47">
        <w:rPr>
          <w:rFonts w:asciiTheme="majorHAnsi" w:eastAsia="Calibri" w:hAnsiTheme="majorHAnsi"/>
          <w:sz w:val="20"/>
          <w:szCs w:val="20"/>
          <w:lang w:val="es-ES_tradnl" w:eastAsia="es-ES"/>
        </w:rPr>
        <w:t xml:space="preserve">. </w:t>
      </w:r>
      <w:r w:rsidRPr="00386E47">
        <w:rPr>
          <w:rFonts w:asciiTheme="majorHAnsi" w:eastAsia="Calibri" w:hAnsiTheme="majorHAnsi"/>
          <w:sz w:val="20"/>
          <w:szCs w:val="20"/>
          <w:lang w:val="es-ES_tradnl"/>
        </w:rPr>
        <w:t>En lo relevante para este caso, la Comisión considera únicamente dejar constancia que la falta de esclarecimiento de tales circunstancias, no ha permitido en el presente caso identificar si existiría un nexo causal entre tal muerte y el rol de</w:t>
      </w:r>
      <w:r w:rsidR="00DB0B54" w:rsidRPr="00386E47">
        <w:rPr>
          <w:rFonts w:asciiTheme="majorHAnsi" w:eastAsia="Calibri" w:hAnsiTheme="majorHAnsi"/>
          <w:sz w:val="20"/>
          <w:szCs w:val="20"/>
          <w:lang w:val="es-ES_tradnl"/>
        </w:rPr>
        <w:t xml:space="preserve">l Sr. </w:t>
      </w:r>
      <w:r w:rsidRPr="00386E47">
        <w:rPr>
          <w:rFonts w:asciiTheme="majorHAnsi" w:eastAsia="Calibri" w:hAnsiTheme="majorHAnsi"/>
          <w:sz w:val="20"/>
          <w:szCs w:val="20"/>
          <w:lang w:val="es-ES_tradnl"/>
        </w:rPr>
        <w:t xml:space="preserve">Nisman como operador de justicia </w:t>
      </w:r>
      <w:r w:rsidR="00831270" w:rsidRPr="00386E47">
        <w:rPr>
          <w:rFonts w:asciiTheme="majorHAnsi" w:eastAsia="Calibri" w:hAnsiTheme="majorHAnsi"/>
          <w:sz w:val="20"/>
          <w:szCs w:val="20"/>
          <w:lang w:val="es-ES_tradnl"/>
        </w:rPr>
        <w:t>y, en particular el deber en cabeza del Estado de haber adoptado las medidas requeridas frente a todo tipo de riesgo que surgiera en relación con las personas que investigan violaciones a derechos humanos</w:t>
      </w:r>
      <w:r w:rsidR="00831270" w:rsidRPr="00386E47">
        <w:rPr>
          <w:rStyle w:val="FootnoteReference"/>
          <w:rFonts w:asciiTheme="majorHAnsi" w:hAnsiTheme="majorHAnsi"/>
          <w:sz w:val="20"/>
          <w:szCs w:val="20"/>
          <w:lang w:val="es-ES"/>
        </w:rPr>
        <w:footnoteReference w:id="249"/>
      </w:r>
      <w:r w:rsidRPr="00386E47">
        <w:rPr>
          <w:rFonts w:asciiTheme="majorHAnsi" w:eastAsia="Calibri" w:hAnsiTheme="majorHAnsi"/>
          <w:sz w:val="20"/>
          <w:szCs w:val="20"/>
          <w:lang w:val="es-ES_tradnl"/>
        </w:rPr>
        <w:t xml:space="preserve">. </w:t>
      </w:r>
      <w:r w:rsidR="00831270" w:rsidRPr="00386E47">
        <w:rPr>
          <w:rFonts w:asciiTheme="majorHAnsi" w:eastAsia="Calibri" w:hAnsiTheme="majorHAnsi"/>
          <w:sz w:val="20"/>
          <w:szCs w:val="20"/>
          <w:lang w:val="es-ES_tradnl"/>
        </w:rPr>
        <w:t>En ese sentido, la Comisión observa la importancia de que el Estado continúe investigando dicho hecho</w:t>
      </w:r>
      <w:r w:rsidR="001B61F0" w:rsidRPr="00386E47">
        <w:rPr>
          <w:rFonts w:asciiTheme="majorHAnsi" w:eastAsia="Calibri" w:hAnsiTheme="majorHAnsi"/>
          <w:sz w:val="20"/>
          <w:szCs w:val="20"/>
          <w:lang w:val="es-ES_tradnl"/>
        </w:rPr>
        <w:t xml:space="preserve"> y esclarezca </w:t>
      </w:r>
      <w:r w:rsidR="00831270" w:rsidRPr="00386E47">
        <w:rPr>
          <w:rFonts w:asciiTheme="majorHAnsi" w:eastAsia="Calibri" w:hAnsiTheme="majorHAnsi"/>
          <w:sz w:val="20"/>
          <w:szCs w:val="20"/>
          <w:lang w:val="es-ES_tradnl"/>
        </w:rPr>
        <w:t xml:space="preserve">las circunstancias en </w:t>
      </w:r>
      <w:r w:rsidR="00905FE1" w:rsidRPr="00386E47">
        <w:rPr>
          <w:rFonts w:asciiTheme="majorHAnsi" w:eastAsia="Calibri" w:hAnsiTheme="majorHAnsi"/>
          <w:sz w:val="20"/>
          <w:szCs w:val="20"/>
          <w:lang w:val="es-ES_tradnl"/>
        </w:rPr>
        <w:t xml:space="preserve">las </w:t>
      </w:r>
      <w:r w:rsidR="00831270" w:rsidRPr="00386E47">
        <w:rPr>
          <w:rFonts w:asciiTheme="majorHAnsi" w:eastAsia="Calibri" w:hAnsiTheme="majorHAnsi"/>
          <w:sz w:val="20"/>
          <w:szCs w:val="20"/>
          <w:lang w:val="es-ES_tradnl"/>
        </w:rPr>
        <w:t xml:space="preserve">que tuvo lugar. </w:t>
      </w:r>
    </w:p>
    <w:p w14:paraId="5C4608EC" w14:textId="77777777" w:rsidR="00A33088" w:rsidRPr="00386E47" w:rsidRDefault="00A33088" w:rsidP="00A311A0">
      <w:pPr>
        <w:pStyle w:val="ListParagraph"/>
        <w:ind w:left="1080"/>
        <w:jc w:val="both"/>
        <w:rPr>
          <w:rFonts w:asciiTheme="majorHAnsi" w:eastAsia="Calibri" w:hAnsiTheme="majorHAnsi"/>
          <w:b/>
          <w:sz w:val="20"/>
          <w:szCs w:val="20"/>
          <w:lang w:val="es-AR"/>
        </w:rPr>
      </w:pPr>
    </w:p>
    <w:p w14:paraId="05D12678" w14:textId="77777777" w:rsidR="00335B7F" w:rsidRPr="00386E47" w:rsidRDefault="00335B7F" w:rsidP="009146F2">
      <w:pPr>
        <w:pStyle w:val="Heading5"/>
        <w:numPr>
          <w:ilvl w:val="0"/>
          <w:numId w:val="69"/>
        </w:numPr>
      </w:pPr>
      <w:r w:rsidRPr="00386E47">
        <w:t xml:space="preserve">Respecto a la falta de adopción de medidas oportunas para determinar la identidad de la denominada “víctima 85”. </w:t>
      </w:r>
    </w:p>
    <w:p w14:paraId="43BD902D" w14:textId="77777777" w:rsidR="00335B7F" w:rsidRPr="00386E47" w:rsidRDefault="00335B7F" w:rsidP="00335B7F">
      <w:pPr>
        <w:jc w:val="both"/>
        <w:rPr>
          <w:rFonts w:asciiTheme="majorHAnsi" w:eastAsia="Calibri" w:hAnsiTheme="majorHAnsi"/>
          <w:b/>
          <w:sz w:val="20"/>
          <w:szCs w:val="20"/>
          <w:lang w:val="es-AR"/>
        </w:rPr>
      </w:pPr>
    </w:p>
    <w:p w14:paraId="5A50EC3B" w14:textId="77777777" w:rsidR="00335B7F" w:rsidRPr="00386E47" w:rsidRDefault="006246FE"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Durante </w:t>
      </w:r>
      <w:r w:rsidR="00335B7F" w:rsidRPr="00386E47">
        <w:rPr>
          <w:rFonts w:asciiTheme="majorHAnsi" w:eastAsia="Calibri" w:hAnsiTheme="majorHAnsi"/>
          <w:sz w:val="20"/>
          <w:szCs w:val="20"/>
          <w:lang w:val="es-AR"/>
        </w:rPr>
        <w:t>las labores de rescate de víctimas y remoción de escombros las autoridades hallaron el cuerpo sin vida de una persona que no pudo ser identificada</w:t>
      </w:r>
      <w:r w:rsidR="00335B7F" w:rsidRPr="00386E47">
        <w:rPr>
          <w:rFonts w:asciiTheme="majorHAnsi" w:eastAsia="Calibri" w:hAnsiTheme="majorHAnsi"/>
          <w:sz w:val="20"/>
          <w:szCs w:val="20"/>
          <w:vertAlign w:val="superscript"/>
          <w:lang w:val="es-AR"/>
        </w:rPr>
        <w:footnoteReference w:id="250"/>
      </w:r>
      <w:r w:rsidR="00335B7F" w:rsidRPr="00386E47">
        <w:rPr>
          <w:rFonts w:asciiTheme="majorHAnsi" w:eastAsia="Calibri" w:hAnsiTheme="majorHAnsi"/>
          <w:sz w:val="20"/>
          <w:szCs w:val="20"/>
          <w:lang w:val="es-AR"/>
        </w:rPr>
        <w:t>. La UFI AMIA relató en su informe de gestión de diciembre de 2016 que constató que, al momento de realizada la autopsia, al cuerpo se le seccionaron 3 falanges, sin que exist</w:t>
      </w:r>
      <w:r w:rsidRPr="00386E47">
        <w:rPr>
          <w:rFonts w:asciiTheme="majorHAnsi" w:eastAsia="Calibri" w:hAnsiTheme="majorHAnsi"/>
          <w:sz w:val="20"/>
          <w:szCs w:val="20"/>
          <w:lang w:val="es-AR"/>
        </w:rPr>
        <w:t>ier</w:t>
      </w:r>
      <w:r w:rsidR="00335B7F" w:rsidRPr="00386E47">
        <w:rPr>
          <w:rFonts w:asciiTheme="majorHAnsi" w:eastAsia="Calibri" w:hAnsiTheme="majorHAnsi"/>
          <w:sz w:val="20"/>
          <w:szCs w:val="20"/>
          <w:lang w:val="es-AR"/>
        </w:rPr>
        <w:t>a constancia del destino dado a la muestra. Años más tarde, la UFI AMIA agregó, el cuerpo fue colocado en el osario común del Cementerio de la Chacarita</w:t>
      </w:r>
      <w:r w:rsidR="001B61F0" w:rsidRPr="00386E47">
        <w:rPr>
          <w:rStyle w:val="FootnoteReference"/>
          <w:rFonts w:asciiTheme="majorHAnsi" w:eastAsia="Calibri" w:hAnsiTheme="majorHAnsi"/>
          <w:sz w:val="20"/>
          <w:szCs w:val="20"/>
          <w:lang w:val="es-AR"/>
        </w:rPr>
        <w:footnoteReference w:id="251"/>
      </w:r>
      <w:r w:rsidR="00335B7F" w:rsidRPr="00386E47">
        <w:rPr>
          <w:rFonts w:asciiTheme="majorHAnsi" w:eastAsia="Calibri" w:hAnsiTheme="majorHAnsi"/>
          <w:sz w:val="20"/>
          <w:szCs w:val="20"/>
          <w:lang w:val="es-AR"/>
        </w:rPr>
        <w:t xml:space="preserve">. </w:t>
      </w:r>
    </w:p>
    <w:p w14:paraId="6D838420" w14:textId="77777777" w:rsidR="00335B7F" w:rsidRPr="00386E47" w:rsidRDefault="00335B7F" w:rsidP="00335B7F">
      <w:pPr>
        <w:tabs>
          <w:tab w:val="left" w:pos="567"/>
        </w:tabs>
        <w:contextualSpacing/>
        <w:jc w:val="both"/>
        <w:rPr>
          <w:rFonts w:asciiTheme="majorHAnsi" w:eastAsia="Calibri" w:hAnsiTheme="majorHAnsi"/>
          <w:sz w:val="20"/>
          <w:szCs w:val="20"/>
          <w:lang w:val="es-AR"/>
        </w:rPr>
      </w:pPr>
    </w:p>
    <w:p w14:paraId="6970A0A8" w14:textId="77777777" w:rsidR="00335B7F" w:rsidRPr="00386E47" w:rsidRDefault="006246FE"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E</w:t>
      </w:r>
      <w:r w:rsidR="00335B7F" w:rsidRPr="00386E47">
        <w:rPr>
          <w:rFonts w:asciiTheme="majorHAnsi" w:eastAsia="Calibri" w:hAnsiTheme="majorHAnsi"/>
          <w:sz w:val="20"/>
          <w:szCs w:val="20"/>
          <w:lang w:val="es-AR"/>
        </w:rPr>
        <w:t xml:space="preserve">n agosto de 2016 y gracias al peritaje de cotejo genético de las muestras orgánicas de los cuerpos de victimas existentes en poder de la UFI AMIA se pudo establecer que “existía una probabilidad equivalente a un 99,9999% de que los perfiles genéticos extraídos de las muestras correspondientes a la persona que, hasta entonces, no había sido identificada pertenezcan a un hijo biológico de la persona cuya muestra corresponde a Maria Lourdes Jesús”. Sobre esta información se estableció que el cuerpo correspondía a Augusto Daniel Jesús de </w:t>
      </w:r>
      <w:r w:rsidR="00335B7F" w:rsidRPr="00386E47">
        <w:rPr>
          <w:rFonts w:asciiTheme="majorHAnsi" w:eastAsia="Calibri" w:hAnsiTheme="majorHAnsi"/>
          <w:sz w:val="20"/>
          <w:szCs w:val="20"/>
          <w:lang w:val="es-AR"/>
        </w:rPr>
        <w:lastRenderedPageBreak/>
        <w:t>20 años de edad. Augusto había concurrido la mañana del atentado a la bolsa de trabajo que funcionaba en la AMIA en compañía de su madre, Maria Lourdes, quien también se cuenta entre las víctimas fatales del atentado</w:t>
      </w:r>
      <w:r w:rsidR="004E2EA6" w:rsidRPr="00386E47">
        <w:rPr>
          <w:rStyle w:val="FootnoteReference"/>
          <w:rFonts w:asciiTheme="majorHAnsi" w:eastAsia="Calibri" w:hAnsiTheme="majorHAnsi"/>
          <w:sz w:val="20"/>
          <w:szCs w:val="20"/>
          <w:lang w:val="es-AR"/>
        </w:rPr>
        <w:footnoteReference w:id="252"/>
      </w:r>
      <w:r w:rsidR="00335B7F" w:rsidRPr="00386E47">
        <w:rPr>
          <w:rFonts w:asciiTheme="majorHAnsi" w:eastAsia="Calibri" w:hAnsiTheme="majorHAnsi"/>
          <w:sz w:val="20"/>
          <w:szCs w:val="20"/>
          <w:lang w:val="es-AR"/>
        </w:rPr>
        <w:t xml:space="preserve">.  </w:t>
      </w:r>
    </w:p>
    <w:p w14:paraId="20D02F90" w14:textId="77777777" w:rsidR="00335B7F" w:rsidRPr="00386E47" w:rsidRDefault="00335B7F" w:rsidP="00335B7F">
      <w:pPr>
        <w:tabs>
          <w:tab w:val="left" w:pos="567"/>
        </w:tabs>
        <w:contextualSpacing/>
        <w:jc w:val="both"/>
        <w:rPr>
          <w:rFonts w:asciiTheme="majorHAnsi" w:eastAsia="Calibri" w:hAnsiTheme="majorHAnsi"/>
          <w:sz w:val="20"/>
          <w:szCs w:val="20"/>
          <w:lang w:val="es-AR"/>
        </w:rPr>
      </w:pPr>
    </w:p>
    <w:p w14:paraId="6DBD7BAE" w14:textId="77777777" w:rsidR="006246FE" w:rsidRPr="00386E47" w:rsidRDefault="006246FE" w:rsidP="003A5860">
      <w:pPr>
        <w:pStyle w:val="ListParagraph"/>
        <w:numPr>
          <w:ilvl w:val="0"/>
          <w:numId w:val="58"/>
        </w:numPr>
        <w:tabs>
          <w:tab w:val="left" w:pos="567"/>
        </w:tabs>
        <w:contextualSpacing/>
        <w:jc w:val="both"/>
        <w:rPr>
          <w:rFonts w:asciiTheme="majorHAnsi" w:eastAsia="Calibri" w:hAnsiTheme="majorHAnsi"/>
          <w:b/>
          <w:sz w:val="20"/>
          <w:szCs w:val="20"/>
          <w:lang w:val="es-AR"/>
        </w:rPr>
      </w:pPr>
      <w:r w:rsidRPr="00386E47">
        <w:rPr>
          <w:rFonts w:asciiTheme="majorHAnsi" w:eastAsia="Calibri" w:hAnsiTheme="majorHAnsi"/>
          <w:b/>
          <w:sz w:val="20"/>
          <w:szCs w:val="20"/>
          <w:lang w:val="es-AR"/>
        </w:rPr>
        <w:t>Consideraciones de la Comisión</w:t>
      </w:r>
    </w:p>
    <w:p w14:paraId="193EB049" w14:textId="77777777" w:rsidR="006246FE" w:rsidRPr="00386E47" w:rsidRDefault="006246FE" w:rsidP="00335B7F">
      <w:pPr>
        <w:tabs>
          <w:tab w:val="left" w:pos="567"/>
        </w:tabs>
        <w:contextualSpacing/>
        <w:jc w:val="both"/>
        <w:rPr>
          <w:rFonts w:asciiTheme="majorHAnsi" w:eastAsia="Calibri" w:hAnsiTheme="majorHAnsi"/>
          <w:sz w:val="20"/>
          <w:szCs w:val="20"/>
          <w:lang w:val="es-AR"/>
        </w:rPr>
      </w:pPr>
    </w:p>
    <w:p w14:paraId="14FD8D8E" w14:textId="77777777" w:rsidR="00335B7F" w:rsidRPr="00386E47" w:rsidRDefault="00335B7F"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La Comisión valora los esfuerzos realizados por el Estado argentino a partir del año 2015 orientados a esclarecer la suerte de Augusto Daniel Jesús, establecer su identidad y reconocer su carácter de víctima del atentado. No obstante, la Comisión lamenta que una medida tan elemental como el cotejo genético de las muestras orgánicas del cuerpo </w:t>
      </w:r>
      <w:r w:rsidR="00F449B5" w:rsidRPr="00386E47">
        <w:rPr>
          <w:rFonts w:asciiTheme="majorHAnsi" w:eastAsia="Calibri" w:hAnsiTheme="majorHAnsi"/>
          <w:sz w:val="20"/>
          <w:szCs w:val="20"/>
          <w:lang w:val="es-AR"/>
        </w:rPr>
        <w:t>de Augusto Daniel</w:t>
      </w:r>
      <w:r w:rsidRPr="00386E47">
        <w:rPr>
          <w:rFonts w:asciiTheme="majorHAnsi" w:eastAsia="Calibri" w:hAnsiTheme="majorHAnsi"/>
          <w:sz w:val="20"/>
          <w:szCs w:val="20"/>
          <w:lang w:val="es-AR"/>
        </w:rPr>
        <w:t xml:space="preserve"> Jesús con aquellas pertenecientes al resto del universo de v</w:t>
      </w:r>
      <w:r w:rsidR="002516D0" w:rsidRPr="00386E47">
        <w:rPr>
          <w:rFonts w:asciiTheme="majorHAnsi" w:eastAsia="Calibri" w:hAnsiTheme="majorHAnsi"/>
          <w:sz w:val="20"/>
          <w:szCs w:val="20"/>
          <w:lang w:val="es-AR"/>
        </w:rPr>
        <w:t>í</w:t>
      </w:r>
      <w:r w:rsidRPr="00386E47">
        <w:rPr>
          <w:rFonts w:asciiTheme="majorHAnsi" w:eastAsia="Calibri" w:hAnsiTheme="majorHAnsi"/>
          <w:sz w:val="20"/>
          <w:szCs w:val="20"/>
          <w:lang w:val="es-AR"/>
        </w:rPr>
        <w:t xml:space="preserve">ctimas solo haya sido impulsada a pocos meses de cumplirse el vigésimo aniversario del atentado. </w:t>
      </w:r>
    </w:p>
    <w:p w14:paraId="5E2C3A6E" w14:textId="77777777" w:rsidR="006246FE" w:rsidRPr="00386E47" w:rsidRDefault="006246FE" w:rsidP="00A311A0">
      <w:pPr>
        <w:pStyle w:val="ListParagraph"/>
        <w:rPr>
          <w:rFonts w:asciiTheme="majorHAnsi" w:eastAsia="Calibri" w:hAnsiTheme="majorHAnsi"/>
          <w:sz w:val="20"/>
          <w:szCs w:val="20"/>
          <w:lang w:val="es-AR"/>
        </w:rPr>
      </w:pPr>
    </w:p>
    <w:p w14:paraId="61CA707D" w14:textId="77777777" w:rsidR="006246FE" w:rsidRPr="00386E47" w:rsidRDefault="006246FE"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La Comisión advierte que la falta de diligencia con la que el Estado condujo la investigación en relación a las muestras orgánicas pertenecientes a las personas que perdieron la vida en el atentado no solo obstaculizó la posibilidad de comprobar la identidad del supuesto terrorista suicida, sino que también determinó que por años no se conociera el destino ni la identidad de la llamada “victima 85”.   </w:t>
      </w:r>
    </w:p>
    <w:p w14:paraId="2E4A6625" w14:textId="77777777" w:rsidR="00C82D5F" w:rsidRPr="00386E47" w:rsidRDefault="006246FE" w:rsidP="00DB3D43">
      <w:pPr>
        <w:tabs>
          <w:tab w:val="left" w:pos="567"/>
        </w:tabs>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  </w:t>
      </w:r>
    </w:p>
    <w:p w14:paraId="773D6125" w14:textId="77777777" w:rsidR="00DB3D43" w:rsidRPr="00386E47" w:rsidRDefault="00DB3D43" w:rsidP="009146F2">
      <w:pPr>
        <w:pStyle w:val="Heading5"/>
        <w:numPr>
          <w:ilvl w:val="0"/>
          <w:numId w:val="69"/>
        </w:numPr>
      </w:pPr>
      <w:r w:rsidRPr="00386E47">
        <w:t xml:space="preserve">Conclusión </w:t>
      </w:r>
    </w:p>
    <w:p w14:paraId="08C4C221" w14:textId="77777777" w:rsidR="00DB3D43" w:rsidRPr="00386E47" w:rsidRDefault="00DB3D43" w:rsidP="00DB3D43">
      <w:pPr>
        <w:tabs>
          <w:tab w:val="left" w:pos="567"/>
        </w:tabs>
        <w:contextualSpacing/>
        <w:jc w:val="both"/>
        <w:rPr>
          <w:rFonts w:asciiTheme="majorHAnsi" w:eastAsia="Calibri" w:hAnsiTheme="majorHAnsi"/>
          <w:sz w:val="20"/>
          <w:szCs w:val="20"/>
          <w:lang w:val="es-AR"/>
        </w:rPr>
      </w:pPr>
    </w:p>
    <w:p w14:paraId="7F581EDC" w14:textId="77777777" w:rsidR="00E77E69" w:rsidRPr="00386E47" w:rsidRDefault="006246FE"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L</w:t>
      </w:r>
      <w:r w:rsidR="00DB3D43" w:rsidRPr="00386E47">
        <w:rPr>
          <w:rFonts w:asciiTheme="majorHAnsi" w:eastAsia="Calibri" w:hAnsiTheme="majorHAnsi"/>
          <w:sz w:val="20"/>
          <w:szCs w:val="20"/>
          <w:lang w:val="es-AR"/>
        </w:rPr>
        <w:t xml:space="preserve">a Comisión </w:t>
      </w:r>
      <w:r w:rsidR="0084011B" w:rsidRPr="00386E47">
        <w:rPr>
          <w:rFonts w:asciiTheme="majorHAnsi" w:eastAsia="Calibri" w:hAnsiTheme="majorHAnsi"/>
          <w:sz w:val="20"/>
          <w:szCs w:val="20"/>
          <w:lang w:val="es-AR"/>
        </w:rPr>
        <w:t>encuentra</w:t>
      </w:r>
      <w:r w:rsidR="00F56A47" w:rsidRPr="00386E47">
        <w:rPr>
          <w:rFonts w:asciiTheme="majorHAnsi" w:eastAsia="Calibri" w:hAnsiTheme="majorHAnsi"/>
          <w:sz w:val="20"/>
          <w:szCs w:val="20"/>
          <w:lang w:val="es-AR"/>
        </w:rPr>
        <w:t xml:space="preserve"> que</w:t>
      </w:r>
      <w:r w:rsidR="002516D0" w:rsidRPr="00386E47">
        <w:rPr>
          <w:rFonts w:asciiTheme="majorHAnsi" w:eastAsia="Calibri" w:hAnsiTheme="majorHAnsi"/>
          <w:sz w:val="20"/>
          <w:szCs w:val="20"/>
          <w:lang w:val="es-AR"/>
        </w:rPr>
        <w:t xml:space="preserve">, en los últimos </w:t>
      </w:r>
      <w:r w:rsidR="00E9688C" w:rsidRPr="00386E47">
        <w:rPr>
          <w:rFonts w:asciiTheme="majorHAnsi" w:eastAsia="Calibri" w:hAnsiTheme="majorHAnsi"/>
          <w:sz w:val="20"/>
          <w:szCs w:val="20"/>
          <w:lang w:val="es-AR"/>
        </w:rPr>
        <w:t>años, el</w:t>
      </w:r>
      <w:r w:rsidR="0084011B" w:rsidRPr="00386E47">
        <w:rPr>
          <w:rFonts w:asciiTheme="majorHAnsi" w:eastAsia="Calibri" w:hAnsiTheme="majorHAnsi"/>
          <w:sz w:val="20"/>
          <w:szCs w:val="20"/>
          <w:lang w:val="es-AR"/>
        </w:rPr>
        <w:t xml:space="preserve"> Estado ha adoptado </w:t>
      </w:r>
      <w:r w:rsidR="002516D0" w:rsidRPr="00386E47">
        <w:rPr>
          <w:rFonts w:asciiTheme="majorHAnsi" w:eastAsia="Calibri" w:hAnsiTheme="majorHAnsi"/>
          <w:sz w:val="20"/>
          <w:szCs w:val="20"/>
          <w:lang w:val="es-AR"/>
        </w:rPr>
        <w:t xml:space="preserve">algunas </w:t>
      </w:r>
      <w:r w:rsidR="0084011B" w:rsidRPr="00386E47">
        <w:rPr>
          <w:rFonts w:asciiTheme="majorHAnsi" w:eastAsia="Calibri" w:hAnsiTheme="majorHAnsi"/>
          <w:sz w:val="20"/>
          <w:szCs w:val="20"/>
          <w:lang w:val="es-AR"/>
        </w:rPr>
        <w:t>medidas relevantes para</w:t>
      </w:r>
      <w:r w:rsidR="002516D0" w:rsidRPr="00386E47">
        <w:rPr>
          <w:rFonts w:asciiTheme="majorHAnsi" w:eastAsia="Calibri" w:hAnsiTheme="majorHAnsi"/>
          <w:sz w:val="20"/>
          <w:szCs w:val="20"/>
          <w:lang w:val="es-AR"/>
        </w:rPr>
        <w:t xml:space="preserve"> encausar la pesquisa y </w:t>
      </w:r>
      <w:r w:rsidR="0084011B" w:rsidRPr="00386E47">
        <w:rPr>
          <w:rFonts w:asciiTheme="majorHAnsi" w:eastAsia="Calibri" w:hAnsiTheme="majorHAnsi"/>
          <w:sz w:val="20"/>
          <w:szCs w:val="20"/>
          <w:lang w:val="es-AR"/>
        </w:rPr>
        <w:t xml:space="preserve">subsanar las múltiples afectaciones </w:t>
      </w:r>
      <w:r w:rsidR="002516D0" w:rsidRPr="00386E47">
        <w:rPr>
          <w:rFonts w:asciiTheme="majorHAnsi" w:eastAsia="Calibri" w:hAnsiTheme="majorHAnsi"/>
          <w:sz w:val="20"/>
          <w:szCs w:val="20"/>
          <w:lang w:val="es-AR"/>
        </w:rPr>
        <w:t xml:space="preserve">acontecidas durante el tiempo en que la </w:t>
      </w:r>
      <w:r w:rsidR="00B528BF" w:rsidRPr="00386E47">
        <w:rPr>
          <w:rFonts w:asciiTheme="majorHAnsi" w:eastAsia="Calibri" w:hAnsiTheme="majorHAnsi"/>
          <w:sz w:val="20"/>
          <w:szCs w:val="20"/>
          <w:lang w:val="es-AR"/>
        </w:rPr>
        <w:t>investigación</w:t>
      </w:r>
      <w:r w:rsidR="002516D0" w:rsidRPr="00386E47">
        <w:rPr>
          <w:rFonts w:asciiTheme="majorHAnsi" w:eastAsia="Calibri" w:hAnsiTheme="majorHAnsi"/>
          <w:sz w:val="20"/>
          <w:szCs w:val="20"/>
          <w:lang w:val="es-AR"/>
        </w:rPr>
        <w:t xml:space="preserve"> estuvo </w:t>
      </w:r>
      <w:r w:rsidR="0084011B" w:rsidRPr="00386E47">
        <w:rPr>
          <w:rFonts w:asciiTheme="majorHAnsi" w:eastAsia="Calibri" w:hAnsiTheme="majorHAnsi"/>
          <w:sz w:val="20"/>
          <w:szCs w:val="20"/>
          <w:lang w:val="es-AR"/>
        </w:rPr>
        <w:t>e</w:t>
      </w:r>
      <w:r w:rsidR="00C423FB" w:rsidRPr="00386E47">
        <w:rPr>
          <w:rFonts w:asciiTheme="majorHAnsi" w:eastAsia="Calibri" w:hAnsiTheme="majorHAnsi"/>
          <w:sz w:val="20"/>
          <w:szCs w:val="20"/>
          <w:lang w:val="es-AR"/>
        </w:rPr>
        <w:t>ncabezada</w:t>
      </w:r>
      <w:r w:rsidR="0084011B" w:rsidRPr="00386E47">
        <w:rPr>
          <w:rFonts w:asciiTheme="majorHAnsi" w:eastAsia="Calibri" w:hAnsiTheme="majorHAnsi"/>
          <w:sz w:val="20"/>
          <w:szCs w:val="20"/>
          <w:lang w:val="es-AR"/>
        </w:rPr>
        <w:t xml:space="preserve"> por el Juzgado en lo Criminal Federal No. 9</w:t>
      </w:r>
      <w:r w:rsidR="002516D0" w:rsidRPr="00386E47">
        <w:rPr>
          <w:rFonts w:asciiTheme="majorHAnsi" w:eastAsia="Calibri" w:hAnsiTheme="majorHAnsi"/>
          <w:sz w:val="20"/>
          <w:szCs w:val="20"/>
          <w:lang w:val="es-AR"/>
        </w:rPr>
        <w:t xml:space="preserve">. </w:t>
      </w:r>
      <w:r w:rsidR="0084011B" w:rsidRPr="00386E47">
        <w:rPr>
          <w:rFonts w:asciiTheme="majorHAnsi" w:eastAsia="Calibri" w:hAnsiTheme="majorHAnsi"/>
          <w:sz w:val="20"/>
          <w:szCs w:val="20"/>
          <w:lang w:val="es-AR"/>
        </w:rPr>
        <w:t xml:space="preserve"> </w:t>
      </w:r>
      <w:r w:rsidR="002516D0" w:rsidRPr="00386E47">
        <w:rPr>
          <w:rFonts w:asciiTheme="majorHAnsi" w:eastAsia="Calibri" w:hAnsiTheme="majorHAnsi"/>
          <w:sz w:val="20"/>
          <w:szCs w:val="20"/>
          <w:lang w:val="es-AR"/>
        </w:rPr>
        <w:t>En este sentido</w:t>
      </w:r>
      <w:r w:rsidR="0084011B" w:rsidRPr="00386E47">
        <w:rPr>
          <w:rFonts w:asciiTheme="majorHAnsi" w:eastAsia="Calibri" w:hAnsiTheme="majorHAnsi"/>
          <w:sz w:val="20"/>
          <w:szCs w:val="20"/>
          <w:lang w:val="es-AR"/>
        </w:rPr>
        <w:t xml:space="preserve">, la UFI </w:t>
      </w:r>
      <w:r w:rsidR="00B528BF" w:rsidRPr="00386E47">
        <w:rPr>
          <w:rFonts w:asciiTheme="majorHAnsi" w:eastAsia="Calibri" w:hAnsiTheme="majorHAnsi"/>
          <w:sz w:val="20"/>
          <w:szCs w:val="20"/>
          <w:lang w:val="es-AR"/>
        </w:rPr>
        <w:t>AMIA desde</w:t>
      </w:r>
      <w:r w:rsidR="00E27260" w:rsidRPr="00386E47">
        <w:rPr>
          <w:rFonts w:asciiTheme="majorHAnsi" w:eastAsia="Calibri" w:hAnsiTheme="majorHAnsi"/>
          <w:sz w:val="20"/>
          <w:szCs w:val="20"/>
          <w:lang w:val="es-AR"/>
        </w:rPr>
        <w:t xml:space="preserve"> el año</w:t>
      </w:r>
      <w:r w:rsidR="004E2EA6" w:rsidRPr="00386E47">
        <w:rPr>
          <w:rFonts w:asciiTheme="majorHAnsi" w:eastAsia="Calibri" w:hAnsiTheme="majorHAnsi"/>
          <w:sz w:val="20"/>
          <w:szCs w:val="20"/>
          <w:lang w:val="es-AR"/>
        </w:rPr>
        <w:t xml:space="preserve"> 2015</w:t>
      </w:r>
      <w:r w:rsidR="002516D0" w:rsidRPr="00386E47">
        <w:rPr>
          <w:rFonts w:asciiTheme="majorHAnsi" w:eastAsia="Calibri" w:hAnsiTheme="majorHAnsi"/>
          <w:sz w:val="20"/>
          <w:szCs w:val="20"/>
          <w:lang w:val="es-AR"/>
        </w:rPr>
        <w:t xml:space="preserve"> </w:t>
      </w:r>
      <w:r w:rsidR="0084011B" w:rsidRPr="00386E47">
        <w:rPr>
          <w:rFonts w:asciiTheme="majorHAnsi" w:eastAsia="Calibri" w:hAnsiTheme="majorHAnsi"/>
          <w:sz w:val="20"/>
          <w:szCs w:val="20"/>
          <w:lang w:val="es-AR"/>
        </w:rPr>
        <w:t xml:space="preserve">ha </w:t>
      </w:r>
      <w:r w:rsidR="002516D0" w:rsidRPr="00386E47">
        <w:rPr>
          <w:rFonts w:asciiTheme="majorHAnsi" w:eastAsia="Calibri" w:hAnsiTheme="majorHAnsi"/>
          <w:sz w:val="20"/>
          <w:szCs w:val="20"/>
          <w:lang w:val="es-AR"/>
        </w:rPr>
        <w:t>realizado una actividad probatoria</w:t>
      </w:r>
      <w:r w:rsidR="0084011B" w:rsidRPr="00386E47">
        <w:rPr>
          <w:rFonts w:asciiTheme="majorHAnsi" w:eastAsia="Calibri" w:hAnsiTheme="majorHAnsi"/>
          <w:sz w:val="20"/>
          <w:szCs w:val="20"/>
          <w:lang w:val="es-AR"/>
        </w:rPr>
        <w:t xml:space="preserve"> que </w:t>
      </w:r>
      <w:r w:rsidR="002516D0" w:rsidRPr="00386E47">
        <w:rPr>
          <w:rFonts w:asciiTheme="majorHAnsi" w:eastAsia="Calibri" w:hAnsiTheme="majorHAnsi"/>
          <w:sz w:val="20"/>
          <w:szCs w:val="20"/>
          <w:lang w:val="es-AR"/>
        </w:rPr>
        <w:t xml:space="preserve">posibilitó </w:t>
      </w:r>
      <w:r w:rsidR="0084011B" w:rsidRPr="00386E47">
        <w:rPr>
          <w:rFonts w:asciiTheme="majorHAnsi" w:eastAsia="Calibri" w:hAnsiTheme="majorHAnsi"/>
          <w:sz w:val="20"/>
          <w:szCs w:val="20"/>
          <w:lang w:val="es-AR"/>
        </w:rPr>
        <w:t xml:space="preserve">revelar aún mayores falencias que ocurrieron durante la recolección e identificación de material probatorio </w:t>
      </w:r>
      <w:r w:rsidR="00B528BF" w:rsidRPr="00386E47">
        <w:rPr>
          <w:rFonts w:asciiTheme="majorHAnsi" w:eastAsia="Calibri" w:hAnsiTheme="majorHAnsi"/>
          <w:sz w:val="20"/>
          <w:szCs w:val="20"/>
          <w:lang w:val="es-AR"/>
        </w:rPr>
        <w:t>esencial en</w:t>
      </w:r>
      <w:r w:rsidR="0084011B" w:rsidRPr="00386E47">
        <w:rPr>
          <w:rFonts w:asciiTheme="majorHAnsi" w:eastAsia="Calibri" w:hAnsiTheme="majorHAnsi"/>
          <w:sz w:val="20"/>
          <w:szCs w:val="20"/>
          <w:lang w:val="es-AR"/>
        </w:rPr>
        <w:t xml:space="preserve"> las diligencias iniciales. </w:t>
      </w:r>
    </w:p>
    <w:p w14:paraId="72A4EAEF" w14:textId="77777777" w:rsidR="00E77E69" w:rsidRPr="00386E47" w:rsidRDefault="00E77E69" w:rsidP="00A311A0">
      <w:pPr>
        <w:tabs>
          <w:tab w:val="left" w:pos="567"/>
        </w:tabs>
        <w:contextualSpacing/>
        <w:jc w:val="both"/>
        <w:rPr>
          <w:rFonts w:asciiTheme="majorHAnsi" w:eastAsia="Calibri" w:hAnsiTheme="majorHAnsi"/>
          <w:sz w:val="20"/>
          <w:szCs w:val="20"/>
          <w:lang w:val="es-AR"/>
        </w:rPr>
      </w:pPr>
    </w:p>
    <w:p w14:paraId="3BD5CD55" w14:textId="77777777" w:rsidR="00664CCF" w:rsidRPr="00386E47" w:rsidRDefault="00335B7F"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La Comisión </w:t>
      </w:r>
      <w:r w:rsidR="00E52D27" w:rsidRPr="00386E47">
        <w:rPr>
          <w:rFonts w:asciiTheme="majorHAnsi" w:eastAsia="Calibri" w:hAnsiTheme="majorHAnsi"/>
          <w:sz w:val="20"/>
          <w:szCs w:val="20"/>
          <w:lang w:val="es-AR"/>
        </w:rPr>
        <w:t>observa,</w:t>
      </w:r>
      <w:r w:rsidRPr="00386E47">
        <w:rPr>
          <w:rFonts w:asciiTheme="majorHAnsi" w:eastAsia="Calibri" w:hAnsiTheme="majorHAnsi"/>
          <w:sz w:val="20"/>
          <w:szCs w:val="20"/>
          <w:lang w:val="es-AR"/>
        </w:rPr>
        <w:t xml:space="preserve"> </w:t>
      </w:r>
      <w:r w:rsidR="00E232EE" w:rsidRPr="00386E47">
        <w:rPr>
          <w:rFonts w:asciiTheme="majorHAnsi" w:eastAsia="Calibri" w:hAnsiTheme="majorHAnsi"/>
          <w:sz w:val="20"/>
          <w:szCs w:val="20"/>
          <w:lang w:val="es-AR"/>
        </w:rPr>
        <w:t xml:space="preserve">sin embargo, </w:t>
      </w:r>
      <w:r w:rsidRPr="00386E47">
        <w:rPr>
          <w:rFonts w:asciiTheme="majorHAnsi" w:eastAsia="Calibri" w:hAnsiTheme="majorHAnsi"/>
          <w:sz w:val="20"/>
          <w:szCs w:val="20"/>
          <w:lang w:val="es-AR"/>
        </w:rPr>
        <w:t xml:space="preserve">que </w:t>
      </w:r>
      <w:r w:rsidR="002516D0" w:rsidRPr="00386E47">
        <w:rPr>
          <w:rFonts w:asciiTheme="majorHAnsi" w:eastAsia="Calibri" w:hAnsiTheme="majorHAnsi"/>
          <w:sz w:val="20"/>
          <w:szCs w:val="20"/>
          <w:lang w:val="es-AR"/>
        </w:rPr>
        <w:t>tales diligencias</w:t>
      </w:r>
      <w:r w:rsidR="0048693B" w:rsidRPr="00386E47">
        <w:rPr>
          <w:rFonts w:asciiTheme="majorHAnsi" w:eastAsia="Calibri" w:hAnsiTheme="majorHAnsi"/>
          <w:sz w:val="20"/>
          <w:szCs w:val="20"/>
          <w:lang w:val="es-AR"/>
        </w:rPr>
        <w:t xml:space="preserve"> </w:t>
      </w:r>
      <w:r w:rsidR="002516D0" w:rsidRPr="00386E47">
        <w:rPr>
          <w:rFonts w:asciiTheme="majorHAnsi" w:eastAsia="Calibri" w:hAnsiTheme="majorHAnsi"/>
          <w:sz w:val="20"/>
          <w:szCs w:val="20"/>
          <w:lang w:val="es-AR"/>
        </w:rPr>
        <w:t xml:space="preserve">fueron </w:t>
      </w:r>
      <w:r w:rsidR="00630449" w:rsidRPr="00386E47">
        <w:rPr>
          <w:rFonts w:asciiTheme="majorHAnsi" w:eastAsia="Calibri" w:hAnsiTheme="majorHAnsi"/>
          <w:sz w:val="20"/>
          <w:szCs w:val="20"/>
          <w:lang w:val="es-AR"/>
        </w:rPr>
        <w:t>precedidas</w:t>
      </w:r>
      <w:r w:rsidR="002516D0" w:rsidRPr="00386E47">
        <w:rPr>
          <w:rFonts w:asciiTheme="majorHAnsi" w:eastAsia="Calibri" w:hAnsiTheme="majorHAnsi"/>
          <w:sz w:val="20"/>
          <w:szCs w:val="20"/>
          <w:lang w:val="es-AR"/>
        </w:rPr>
        <w:t xml:space="preserve"> </w:t>
      </w:r>
      <w:r w:rsidR="00E9688C" w:rsidRPr="00386E47">
        <w:rPr>
          <w:rFonts w:asciiTheme="majorHAnsi" w:eastAsia="Calibri" w:hAnsiTheme="majorHAnsi"/>
          <w:sz w:val="20"/>
          <w:szCs w:val="20"/>
          <w:lang w:val="es-AR"/>
        </w:rPr>
        <w:t>de amplios</w:t>
      </w:r>
      <w:r w:rsidR="0048693B" w:rsidRPr="00386E47">
        <w:rPr>
          <w:rFonts w:asciiTheme="majorHAnsi" w:eastAsia="Calibri" w:hAnsiTheme="majorHAnsi"/>
          <w:sz w:val="20"/>
          <w:szCs w:val="20"/>
          <w:lang w:val="es-AR"/>
        </w:rPr>
        <w:t xml:space="preserve"> períodos de demora</w:t>
      </w:r>
      <w:r w:rsidR="00945190" w:rsidRPr="00386E47">
        <w:rPr>
          <w:rFonts w:asciiTheme="majorHAnsi" w:eastAsia="Calibri" w:hAnsiTheme="majorHAnsi"/>
          <w:sz w:val="20"/>
          <w:szCs w:val="20"/>
          <w:lang w:val="es-AR"/>
        </w:rPr>
        <w:t>, sin que s</w:t>
      </w:r>
      <w:r w:rsidR="00664CCF" w:rsidRPr="00386E47">
        <w:rPr>
          <w:rFonts w:asciiTheme="majorHAnsi" w:eastAsia="Calibri" w:hAnsiTheme="majorHAnsi"/>
          <w:sz w:val="20"/>
          <w:szCs w:val="20"/>
          <w:lang w:val="es-AR"/>
        </w:rPr>
        <w:t>e hubiere ofrecido una justificación al respecto</w:t>
      </w:r>
      <w:r w:rsidR="0048693B" w:rsidRPr="00386E47">
        <w:rPr>
          <w:rFonts w:asciiTheme="majorHAnsi" w:eastAsia="Calibri" w:hAnsiTheme="majorHAnsi"/>
          <w:sz w:val="20"/>
          <w:szCs w:val="20"/>
          <w:lang w:val="es-AR"/>
        </w:rPr>
        <w:t xml:space="preserve">. Además, el </w:t>
      </w:r>
      <w:r w:rsidR="00945190" w:rsidRPr="00386E47">
        <w:rPr>
          <w:rFonts w:asciiTheme="majorHAnsi" w:eastAsia="Calibri" w:hAnsiTheme="majorHAnsi"/>
          <w:sz w:val="20"/>
          <w:szCs w:val="20"/>
          <w:lang w:val="es-AR"/>
        </w:rPr>
        <w:t xml:space="preserve">Estado no ha demostrado </w:t>
      </w:r>
      <w:r w:rsidR="00E77E69" w:rsidRPr="00386E47">
        <w:rPr>
          <w:rFonts w:asciiTheme="majorHAnsi" w:eastAsia="Calibri" w:hAnsiTheme="majorHAnsi"/>
          <w:sz w:val="20"/>
          <w:szCs w:val="20"/>
          <w:lang w:val="es-AR"/>
        </w:rPr>
        <w:t>que,</w:t>
      </w:r>
      <w:r w:rsidR="00945190" w:rsidRPr="00386E47">
        <w:rPr>
          <w:rFonts w:asciiTheme="majorHAnsi" w:eastAsia="Calibri" w:hAnsiTheme="majorHAnsi"/>
          <w:sz w:val="20"/>
          <w:szCs w:val="20"/>
          <w:lang w:val="es-AR"/>
        </w:rPr>
        <w:t xml:space="preserve"> de conformidad con el principio de debida diligencia,</w:t>
      </w:r>
      <w:r w:rsidR="0048693B" w:rsidRPr="00386E47">
        <w:rPr>
          <w:rFonts w:asciiTheme="majorHAnsi" w:eastAsia="Calibri" w:hAnsiTheme="majorHAnsi"/>
          <w:sz w:val="20"/>
          <w:szCs w:val="20"/>
          <w:lang w:val="es-AR"/>
        </w:rPr>
        <w:t xml:space="preserve"> se hubiesen investigado y practicado en forma exhaustiva todas las diligencias requeridas, siendo que hasta la fecha la principal hipótesis investigativa respecto de la persona que había participado como supuesto suicida, </w:t>
      </w:r>
      <w:r w:rsidR="00E77E69" w:rsidRPr="00386E47">
        <w:rPr>
          <w:rFonts w:asciiTheme="majorHAnsi" w:eastAsia="Calibri" w:hAnsiTheme="majorHAnsi"/>
          <w:sz w:val="20"/>
          <w:szCs w:val="20"/>
          <w:lang w:val="es-AR"/>
        </w:rPr>
        <w:t xml:space="preserve">continúa sin ser lo suficientemente esclarecida. </w:t>
      </w:r>
      <w:r w:rsidR="0076793C" w:rsidRPr="00386E47">
        <w:rPr>
          <w:rFonts w:asciiTheme="majorHAnsi" w:eastAsia="Calibri" w:hAnsiTheme="majorHAnsi"/>
          <w:sz w:val="20"/>
          <w:szCs w:val="20"/>
          <w:lang w:val="es-AR"/>
        </w:rPr>
        <w:t xml:space="preserve"> </w:t>
      </w:r>
      <w:r w:rsidR="002516D0" w:rsidRPr="00386E47">
        <w:rPr>
          <w:rFonts w:asciiTheme="majorHAnsi" w:eastAsia="Calibri" w:hAnsiTheme="majorHAnsi"/>
          <w:sz w:val="20"/>
          <w:szCs w:val="20"/>
          <w:lang w:val="es-AR"/>
        </w:rPr>
        <w:t>Asimismo</w:t>
      </w:r>
      <w:r w:rsidR="00E232EE" w:rsidRPr="00386E47">
        <w:rPr>
          <w:rFonts w:asciiTheme="majorHAnsi" w:eastAsia="Calibri" w:hAnsiTheme="majorHAnsi"/>
          <w:sz w:val="20"/>
          <w:szCs w:val="20"/>
          <w:lang w:val="es-AR"/>
        </w:rPr>
        <w:t>, la</w:t>
      </w:r>
      <w:r w:rsidR="0076793C" w:rsidRPr="00386E47">
        <w:rPr>
          <w:rFonts w:asciiTheme="majorHAnsi" w:eastAsia="Calibri" w:hAnsiTheme="majorHAnsi"/>
          <w:sz w:val="20"/>
          <w:szCs w:val="20"/>
          <w:lang w:val="es-AR"/>
        </w:rPr>
        <w:t xml:space="preserve"> investigación </w:t>
      </w:r>
      <w:r w:rsidR="00E232EE" w:rsidRPr="00386E47">
        <w:rPr>
          <w:rFonts w:asciiTheme="majorHAnsi" w:eastAsia="Calibri" w:hAnsiTheme="majorHAnsi"/>
          <w:sz w:val="20"/>
          <w:szCs w:val="20"/>
          <w:lang w:val="es-AR"/>
        </w:rPr>
        <w:t xml:space="preserve">tampoco </w:t>
      </w:r>
      <w:r w:rsidR="002516D0" w:rsidRPr="00386E47">
        <w:rPr>
          <w:rFonts w:asciiTheme="majorHAnsi" w:eastAsia="Calibri" w:hAnsiTheme="majorHAnsi"/>
          <w:sz w:val="20"/>
          <w:szCs w:val="20"/>
          <w:lang w:val="es-AR"/>
        </w:rPr>
        <w:t xml:space="preserve">ha resultado </w:t>
      </w:r>
      <w:r w:rsidR="0076793C" w:rsidRPr="00386E47">
        <w:rPr>
          <w:rFonts w:asciiTheme="majorHAnsi" w:eastAsia="Calibri" w:hAnsiTheme="majorHAnsi"/>
          <w:sz w:val="20"/>
          <w:szCs w:val="20"/>
          <w:lang w:val="es-AR"/>
        </w:rPr>
        <w:t xml:space="preserve">efectiva para lograr la determinación de la </w:t>
      </w:r>
      <w:r w:rsidR="002516D0" w:rsidRPr="00386E47">
        <w:rPr>
          <w:rFonts w:asciiTheme="majorHAnsi" w:eastAsia="Calibri" w:hAnsiTheme="majorHAnsi"/>
          <w:sz w:val="20"/>
          <w:szCs w:val="20"/>
          <w:lang w:val="es-AR"/>
        </w:rPr>
        <w:t xml:space="preserve">responsabilidad en el atentado de actores de origen internacional </w:t>
      </w:r>
      <w:r w:rsidR="00043289" w:rsidRPr="00386E47">
        <w:rPr>
          <w:rFonts w:asciiTheme="majorHAnsi" w:eastAsia="Calibri" w:hAnsiTheme="majorHAnsi"/>
          <w:sz w:val="20"/>
          <w:szCs w:val="20"/>
          <w:lang w:val="es-AR"/>
        </w:rPr>
        <w:t>y</w:t>
      </w:r>
      <w:r w:rsidR="002516D0" w:rsidRPr="00386E47">
        <w:rPr>
          <w:rFonts w:asciiTheme="majorHAnsi" w:eastAsia="Calibri" w:hAnsiTheme="majorHAnsi"/>
          <w:sz w:val="20"/>
          <w:szCs w:val="20"/>
          <w:lang w:val="es-AR"/>
        </w:rPr>
        <w:t>, en general, de todos aquellos</w:t>
      </w:r>
      <w:r w:rsidR="0076793C" w:rsidRPr="00386E47">
        <w:rPr>
          <w:rFonts w:asciiTheme="majorHAnsi" w:eastAsia="Calibri" w:hAnsiTheme="majorHAnsi"/>
          <w:sz w:val="20"/>
          <w:szCs w:val="20"/>
          <w:lang w:val="es-AR"/>
        </w:rPr>
        <w:t xml:space="preserve"> de los responsables involucrados en el ataque, encontrándose los hechos en una situación de impunidad. </w:t>
      </w:r>
    </w:p>
    <w:p w14:paraId="14330F1F" w14:textId="77777777" w:rsidR="0076793C" w:rsidRPr="00386E47" w:rsidRDefault="0076793C" w:rsidP="002847DD">
      <w:pPr>
        <w:rPr>
          <w:rFonts w:asciiTheme="majorHAnsi" w:eastAsia="Calibri" w:hAnsiTheme="majorHAnsi"/>
          <w:sz w:val="20"/>
          <w:szCs w:val="20"/>
          <w:lang w:val="es-AR"/>
        </w:rPr>
      </w:pPr>
    </w:p>
    <w:p w14:paraId="05D7D88E" w14:textId="77777777" w:rsidR="002D4B06" w:rsidRPr="00386E47" w:rsidRDefault="002D4B06" w:rsidP="002D4B06">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En el mismo sentido, tanto la CIDH como la Corte IDH han reiteradamente señalado que el derecho a la verdad que se deriva de los artículos 8 y 25 de la Convenció</w:t>
      </w:r>
      <w:r w:rsidR="00386E47" w:rsidRPr="00386E47">
        <w:rPr>
          <w:rFonts w:asciiTheme="majorHAnsi" w:eastAsia="Calibri" w:hAnsiTheme="majorHAnsi"/>
          <w:sz w:val="20"/>
          <w:szCs w:val="20"/>
          <w:lang w:val="es-AR"/>
        </w:rPr>
        <w:t>n comprende una doble dimensión.</w:t>
      </w:r>
      <w:r w:rsidRPr="00386E47">
        <w:rPr>
          <w:rFonts w:asciiTheme="majorHAnsi" w:eastAsia="Calibri" w:hAnsiTheme="majorHAnsi"/>
          <w:sz w:val="20"/>
          <w:szCs w:val="20"/>
          <w:lang w:val="es-AR"/>
        </w:rPr>
        <w:t xml:space="preserve"> Desde el punto de vista individual, incluye el derecho de las víctimas y de sus familiares a conocer tanto la verdad de los hechos que dieron lugar a las violaciones a sus derechos humanos como la identidad de los perpetradores.  Asimismo, y desde una óptica colectiva, la sociedad en su conjunto también resulta titular del derecho a conocer la verdad de lo sucedido, así como las razones y circunstancias en las que estos aberrantes hechos fueron cometidos, ello con el objeto de diseñar e implementar medidas de no repetición</w:t>
      </w:r>
      <w:r w:rsidRPr="00386E47">
        <w:rPr>
          <w:rStyle w:val="FootnoteReference"/>
          <w:rFonts w:asciiTheme="majorHAnsi" w:eastAsia="Calibri" w:hAnsiTheme="majorHAnsi"/>
          <w:sz w:val="20"/>
          <w:szCs w:val="20"/>
          <w:lang w:val="es-AR"/>
        </w:rPr>
        <w:footnoteReference w:id="253"/>
      </w:r>
      <w:r w:rsidRPr="00386E47">
        <w:rPr>
          <w:rFonts w:asciiTheme="majorHAnsi" w:eastAsia="Calibri" w:hAnsiTheme="majorHAnsi"/>
          <w:sz w:val="20"/>
          <w:szCs w:val="20"/>
          <w:lang w:val="es-AR"/>
        </w:rPr>
        <w:t xml:space="preserve">.  </w:t>
      </w:r>
    </w:p>
    <w:p w14:paraId="449B6D38" w14:textId="77777777" w:rsidR="002D4B06" w:rsidRPr="00386E47" w:rsidRDefault="002D4B06" w:rsidP="002D4B06">
      <w:pPr>
        <w:tabs>
          <w:tab w:val="left" w:pos="567"/>
        </w:tabs>
        <w:contextualSpacing/>
        <w:jc w:val="both"/>
        <w:rPr>
          <w:rFonts w:asciiTheme="majorHAnsi" w:eastAsia="Calibri" w:hAnsiTheme="majorHAnsi"/>
          <w:sz w:val="20"/>
          <w:szCs w:val="20"/>
          <w:lang w:val="es-AR"/>
        </w:rPr>
      </w:pPr>
    </w:p>
    <w:p w14:paraId="19B9C893" w14:textId="77777777" w:rsidR="0076793C" w:rsidRPr="00386E47" w:rsidRDefault="002D4B06"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Teniendo en cuenta todo lo reseñado anteriormente</w:t>
      </w:r>
      <w:r w:rsidR="0076793C" w:rsidRPr="00386E47">
        <w:rPr>
          <w:rFonts w:asciiTheme="majorHAnsi" w:eastAsia="Calibri" w:hAnsiTheme="majorHAnsi"/>
          <w:sz w:val="20"/>
          <w:szCs w:val="20"/>
          <w:lang w:val="es-AR"/>
        </w:rPr>
        <w:t>,</w:t>
      </w:r>
      <w:r w:rsidRPr="00386E47">
        <w:rPr>
          <w:rFonts w:asciiTheme="majorHAnsi" w:eastAsia="Calibri" w:hAnsiTheme="majorHAnsi"/>
          <w:sz w:val="20"/>
          <w:szCs w:val="20"/>
          <w:lang w:val="es-AR"/>
        </w:rPr>
        <w:t xml:space="preserve"> y</w:t>
      </w:r>
      <w:r w:rsidR="0076793C"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habiendo transcurrido </w:t>
      </w:r>
      <w:r w:rsidR="00E232EE" w:rsidRPr="00386E47">
        <w:rPr>
          <w:rFonts w:asciiTheme="majorHAnsi" w:eastAsia="Calibri" w:hAnsiTheme="majorHAnsi"/>
          <w:sz w:val="20"/>
          <w:szCs w:val="20"/>
          <w:lang w:val="es-AR"/>
        </w:rPr>
        <w:t xml:space="preserve">más de </w:t>
      </w:r>
      <w:r w:rsidR="00B901C7" w:rsidRPr="00386E47">
        <w:rPr>
          <w:rFonts w:asciiTheme="majorHAnsi" w:eastAsia="Calibri" w:hAnsiTheme="majorHAnsi"/>
          <w:sz w:val="20"/>
          <w:szCs w:val="20"/>
          <w:lang w:val="es-AR"/>
        </w:rPr>
        <w:t xml:space="preserve">veinticinco años </w:t>
      </w:r>
      <w:r w:rsidRPr="00386E47">
        <w:rPr>
          <w:rFonts w:asciiTheme="majorHAnsi" w:eastAsia="Calibri" w:hAnsiTheme="majorHAnsi"/>
          <w:sz w:val="20"/>
          <w:szCs w:val="20"/>
          <w:lang w:val="es-AR"/>
        </w:rPr>
        <w:t>de ocurridos los hechos, la Comisión ha verificado que los</w:t>
      </w:r>
      <w:r w:rsidR="00E232EE" w:rsidRPr="00386E47">
        <w:rPr>
          <w:rFonts w:asciiTheme="majorHAnsi" w:eastAsia="Calibri" w:hAnsiTheme="majorHAnsi"/>
          <w:sz w:val="20"/>
          <w:szCs w:val="20"/>
          <w:lang w:val="es-AR"/>
        </w:rPr>
        <w:t xml:space="preserve"> resu</w:t>
      </w:r>
      <w:r w:rsidRPr="00386E47">
        <w:rPr>
          <w:rFonts w:asciiTheme="majorHAnsi" w:eastAsia="Calibri" w:hAnsiTheme="majorHAnsi"/>
          <w:sz w:val="20"/>
          <w:szCs w:val="20"/>
          <w:lang w:val="es-AR"/>
        </w:rPr>
        <w:t>ltados de la investigación son muy exiguos y tanto las víctimas como la sociedad argentina poco conocen respecto de lo sucedido en el atentado a la AMIA y aún menos respecto de quienes son los responsables de tal grave hecho</w:t>
      </w:r>
      <w:r w:rsidR="00E232EE" w:rsidRPr="00386E47">
        <w:rPr>
          <w:rFonts w:asciiTheme="majorHAnsi" w:eastAsia="Calibri" w:hAnsiTheme="majorHAnsi"/>
          <w:sz w:val="20"/>
          <w:szCs w:val="20"/>
          <w:lang w:val="es-AR"/>
        </w:rPr>
        <w:t>,</w:t>
      </w:r>
      <w:r w:rsidR="000B7B84"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Aún más grave, la Comisión ya ha puntualizado que </w:t>
      </w:r>
      <w:r w:rsidR="00E232EE" w:rsidRPr="00386E47">
        <w:rPr>
          <w:rFonts w:asciiTheme="majorHAnsi" w:eastAsia="Calibri" w:hAnsiTheme="majorHAnsi"/>
          <w:sz w:val="20"/>
          <w:szCs w:val="20"/>
          <w:lang w:val="es-AR"/>
        </w:rPr>
        <w:t xml:space="preserve">ha sido la propia actuación estatal la que </w:t>
      </w:r>
      <w:r w:rsidR="0076793C" w:rsidRPr="00386E47">
        <w:rPr>
          <w:rFonts w:asciiTheme="majorHAnsi" w:eastAsia="Calibri" w:hAnsiTheme="majorHAnsi"/>
          <w:sz w:val="20"/>
          <w:szCs w:val="20"/>
          <w:lang w:val="es-AR"/>
        </w:rPr>
        <w:t>ha contribuido</w:t>
      </w:r>
      <w:r w:rsidRPr="00386E47">
        <w:rPr>
          <w:rFonts w:asciiTheme="majorHAnsi" w:eastAsia="Calibri" w:hAnsiTheme="majorHAnsi"/>
          <w:sz w:val="20"/>
          <w:szCs w:val="20"/>
          <w:lang w:val="es-AR"/>
        </w:rPr>
        <w:t xml:space="preserve"> a la generación de</w:t>
      </w:r>
      <w:r w:rsidR="0076793C"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múltiples factores de impunidad, entre las que se incluyen un numero de </w:t>
      </w:r>
      <w:r w:rsidR="0076793C" w:rsidRPr="00386E47">
        <w:rPr>
          <w:rFonts w:asciiTheme="majorHAnsi" w:eastAsia="Calibri" w:hAnsiTheme="majorHAnsi"/>
          <w:sz w:val="20"/>
          <w:szCs w:val="20"/>
          <w:lang w:val="es-AR"/>
        </w:rPr>
        <w:t>falencias, irregularidades, demoras,</w:t>
      </w:r>
      <w:r w:rsidR="002516D0" w:rsidRPr="00386E47">
        <w:rPr>
          <w:rFonts w:asciiTheme="majorHAnsi" w:eastAsia="Calibri" w:hAnsiTheme="majorHAnsi"/>
          <w:sz w:val="20"/>
          <w:szCs w:val="20"/>
          <w:lang w:val="es-AR"/>
        </w:rPr>
        <w:t xml:space="preserve"> </w:t>
      </w:r>
      <w:r w:rsidR="0076793C" w:rsidRPr="00386E47">
        <w:rPr>
          <w:rFonts w:asciiTheme="majorHAnsi" w:eastAsia="Calibri" w:hAnsiTheme="majorHAnsi"/>
          <w:sz w:val="20"/>
          <w:szCs w:val="20"/>
          <w:lang w:val="es-AR"/>
        </w:rPr>
        <w:t xml:space="preserve">abandono </w:t>
      </w:r>
      <w:r w:rsidRPr="00386E47">
        <w:rPr>
          <w:rFonts w:asciiTheme="majorHAnsi" w:eastAsia="Calibri" w:hAnsiTheme="majorHAnsi"/>
          <w:sz w:val="20"/>
          <w:szCs w:val="20"/>
          <w:lang w:val="es-AR"/>
        </w:rPr>
        <w:t xml:space="preserve">irracional </w:t>
      </w:r>
      <w:r w:rsidR="0076793C" w:rsidRPr="00386E47">
        <w:rPr>
          <w:rFonts w:asciiTheme="majorHAnsi" w:eastAsia="Calibri" w:hAnsiTheme="majorHAnsi"/>
          <w:sz w:val="20"/>
          <w:szCs w:val="20"/>
          <w:lang w:val="es-AR"/>
        </w:rPr>
        <w:t xml:space="preserve">de </w:t>
      </w:r>
      <w:r w:rsidRPr="00386E47">
        <w:rPr>
          <w:rFonts w:asciiTheme="majorHAnsi" w:eastAsia="Calibri" w:hAnsiTheme="majorHAnsi"/>
          <w:sz w:val="20"/>
          <w:szCs w:val="20"/>
          <w:lang w:val="es-AR"/>
        </w:rPr>
        <w:t xml:space="preserve">determinadas </w:t>
      </w:r>
      <w:r w:rsidR="0076793C" w:rsidRPr="00386E47">
        <w:rPr>
          <w:rFonts w:asciiTheme="majorHAnsi" w:eastAsia="Calibri" w:hAnsiTheme="majorHAnsi"/>
          <w:sz w:val="20"/>
          <w:szCs w:val="20"/>
          <w:lang w:val="es-AR"/>
        </w:rPr>
        <w:t xml:space="preserve">líneas </w:t>
      </w:r>
      <w:r w:rsidR="0076793C" w:rsidRPr="00386E47">
        <w:rPr>
          <w:rFonts w:asciiTheme="majorHAnsi" w:eastAsia="Calibri" w:hAnsiTheme="majorHAnsi"/>
          <w:sz w:val="20"/>
          <w:szCs w:val="20"/>
          <w:lang w:val="es-AR"/>
        </w:rPr>
        <w:lastRenderedPageBreak/>
        <w:t>de investigación</w:t>
      </w:r>
      <w:r w:rsidRPr="00386E47">
        <w:rPr>
          <w:rFonts w:asciiTheme="majorHAnsi" w:eastAsia="Calibri" w:hAnsiTheme="majorHAnsi"/>
          <w:sz w:val="20"/>
          <w:szCs w:val="20"/>
          <w:lang w:val="es-AR"/>
        </w:rPr>
        <w:t xml:space="preserve"> lógicas</w:t>
      </w:r>
      <w:r w:rsidR="0076793C" w:rsidRPr="00386E47">
        <w:rPr>
          <w:rFonts w:asciiTheme="majorHAnsi" w:eastAsia="Calibri" w:hAnsiTheme="majorHAnsi"/>
          <w:sz w:val="20"/>
          <w:szCs w:val="20"/>
          <w:lang w:val="es-AR"/>
        </w:rPr>
        <w:t xml:space="preserve">, creación de líneas de investigación al margen de la ley y sin sustento </w:t>
      </w:r>
      <w:r w:rsidR="00CA38A4" w:rsidRPr="00386E47">
        <w:rPr>
          <w:rFonts w:asciiTheme="majorHAnsi" w:eastAsia="Calibri" w:hAnsiTheme="majorHAnsi"/>
          <w:sz w:val="20"/>
          <w:szCs w:val="20"/>
          <w:lang w:val="es-AR"/>
        </w:rPr>
        <w:t xml:space="preserve">probatorio </w:t>
      </w:r>
      <w:r w:rsidR="0076793C" w:rsidRPr="00386E47">
        <w:rPr>
          <w:rFonts w:asciiTheme="majorHAnsi" w:eastAsia="Calibri" w:hAnsiTheme="majorHAnsi"/>
          <w:sz w:val="20"/>
          <w:szCs w:val="20"/>
          <w:lang w:val="es-AR"/>
        </w:rPr>
        <w:t xml:space="preserve">que han desviado por </w:t>
      </w:r>
      <w:r w:rsidR="00E232EE" w:rsidRPr="00386E47">
        <w:rPr>
          <w:rFonts w:asciiTheme="majorHAnsi" w:eastAsia="Calibri" w:hAnsiTheme="majorHAnsi"/>
          <w:sz w:val="20"/>
          <w:szCs w:val="20"/>
          <w:lang w:val="es-AR"/>
        </w:rPr>
        <w:t>años</w:t>
      </w:r>
      <w:r w:rsidR="0076793C" w:rsidRPr="00386E47">
        <w:rPr>
          <w:rFonts w:asciiTheme="majorHAnsi" w:eastAsia="Calibri" w:hAnsiTheme="majorHAnsi"/>
          <w:sz w:val="20"/>
          <w:szCs w:val="20"/>
          <w:lang w:val="es-AR"/>
        </w:rPr>
        <w:t xml:space="preserve"> la investigación</w:t>
      </w:r>
      <w:r w:rsidRPr="00386E47">
        <w:rPr>
          <w:rFonts w:asciiTheme="majorHAnsi" w:eastAsia="Calibri" w:hAnsiTheme="majorHAnsi"/>
          <w:sz w:val="20"/>
          <w:szCs w:val="20"/>
          <w:lang w:val="es-AR"/>
        </w:rPr>
        <w:t xml:space="preserve"> y, finalmente, </w:t>
      </w:r>
      <w:r w:rsidR="0076793C" w:rsidRPr="00386E47">
        <w:rPr>
          <w:rFonts w:asciiTheme="majorHAnsi" w:eastAsia="Calibri" w:hAnsiTheme="majorHAnsi"/>
          <w:sz w:val="20"/>
          <w:szCs w:val="20"/>
          <w:lang w:val="es-AR"/>
        </w:rPr>
        <w:t xml:space="preserve">el establecimiento </w:t>
      </w:r>
      <w:r w:rsidRPr="00386E47">
        <w:rPr>
          <w:rFonts w:asciiTheme="majorHAnsi" w:eastAsia="Calibri" w:hAnsiTheme="majorHAnsi"/>
          <w:sz w:val="20"/>
          <w:szCs w:val="20"/>
          <w:lang w:val="es-AR"/>
        </w:rPr>
        <w:t>de hipótesis investigativas de gran fragilidad fáctica toda vez que no son el fruto</w:t>
      </w:r>
      <w:r w:rsidR="0005428C" w:rsidRPr="00386E47">
        <w:rPr>
          <w:rFonts w:asciiTheme="majorHAnsi" w:eastAsia="Calibri" w:hAnsiTheme="majorHAnsi"/>
          <w:sz w:val="20"/>
          <w:szCs w:val="20"/>
          <w:lang w:val="es-AR"/>
        </w:rPr>
        <w:t xml:space="preserve"> de una </w:t>
      </w:r>
      <w:r w:rsidR="00E232EE" w:rsidRPr="00386E47">
        <w:rPr>
          <w:rFonts w:asciiTheme="majorHAnsi" w:eastAsia="Calibri" w:hAnsiTheme="majorHAnsi"/>
          <w:sz w:val="20"/>
          <w:szCs w:val="20"/>
          <w:lang w:val="es-AR"/>
        </w:rPr>
        <w:t>investigación diligente y exhaustiva.</w:t>
      </w:r>
    </w:p>
    <w:p w14:paraId="075070F8" w14:textId="77777777" w:rsidR="00664CCF" w:rsidRPr="00386E47" w:rsidRDefault="00664CCF" w:rsidP="00A311A0">
      <w:pPr>
        <w:rPr>
          <w:rFonts w:asciiTheme="majorHAnsi" w:eastAsia="Calibri" w:hAnsiTheme="majorHAnsi"/>
          <w:sz w:val="20"/>
          <w:szCs w:val="20"/>
          <w:lang w:val="es-AR"/>
        </w:rPr>
      </w:pPr>
    </w:p>
    <w:p w14:paraId="340A8B19" w14:textId="77777777" w:rsidR="00E232EE" w:rsidRPr="00386E47" w:rsidRDefault="00E232EE"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En consecuencia, la Comisión conclu</w:t>
      </w:r>
      <w:r w:rsidR="002516D0" w:rsidRPr="00386E47">
        <w:rPr>
          <w:rFonts w:asciiTheme="majorHAnsi" w:eastAsia="Calibri" w:hAnsiTheme="majorHAnsi"/>
          <w:sz w:val="20"/>
          <w:szCs w:val="20"/>
          <w:lang w:val="es-AR"/>
        </w:rPr>
        <w:t>irá</w:t>
      </w:r>
      <w:r w:rsidRPr="00386E47">
        <w:rPr>
          <w:rFonts w:asciiTheme="majorHAnsi" w:eastAsia="Calibri" w:hAnsiTheme="majorHAnsi"/>
          <w:sz w:val="20"/>
          <w:szCs w:val="20"/>
          <w:lang w:val="es-AR"/>
        </w:rPr>
        <w:t xml:space="preserve"> que el Estado de Argentina es responsable por la violación de los</w:t>
      </w:r>
      <w:r w:rsidR="002516D0" w:rsidRPr="00386E47">
        <w:rPr>
          <w:rFonts w:asciiTheme="majorHAnsi" w:eastAsia="Calibri" w:hAnsiTheme="majorHAnsi"/>
          <w:sz w:val="20"/>
          <w:szCs w:val="20"/>
          <w:lang w:val="es-AR"/>
        </w:rPr>
        <w:t xml:space="preserve"> derechos a las garantías judiciales y la protección judicial consagrados en los</w:t>
      </w:r>
      <w:r w:rsidR="00EB3BB7" w:rsidRPr="00386E47">
        <w:rPr>
          <w:rFonts w:asciiTheme="majorHAnsi" w:eastAsia="Calibri" w:hAnsiTheme="majorHAnsi"/>
          <w:sz w:val="20"/>
          <w:szCs w:val="20"/>
          <w:lang w:val="es-AR"/>
        </w:rPr>
        <w:t xml:space="preserve"> artículos 8 y 25 de la Convención Americana en relación con el artículo 1.1 del mismo instrumento.</w:t>
      </w:r>
    </w:p>
    <w:p w14:paraId="13870FFB" w14:textId="77777777" w:rsidR="00C125BA" w:rsidRPr="00386E47" w:rsidRDefault="002E3813" w:rsidP="00F449B5">
      <w:pPr>
        <w:tabs>
          <w:tab w:val="left" w:pos="567"/>
        </w:tabs>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 </w:t>
      </w:r>
    </w:p>
    <w:p w14:paraId="3F7CD81D" w14:textId="77777777" w:rsidR="009F70EA" w:rsidRPr="00386E47" w:rsidRDefault="009146F2" w:rsidP="00B528BF">
      <w:pPr>
        <w:pStyle w:val="Heading4"/>
      </w:pPr>
      <w:r w:rsidRPr="00386E47">
        <w:t>Investigaciones iniciadas</w:t>
      </w:r>
      <w:r w:rsidR="009F70EA" w:rsidRPr="00386E47">
        <w:t xml:space="preserve"> por el encubrimiento del atentado </w:t>
      </w:r>
    </w:p>
    <w:p w14:paraId="337BB8C3" w14:textId="77777777" w:rsidR="00521BC4" w:rsidRPr="00386E47" w:rsidRDefault="00521BC4" w:rsidP="00A311A0">
      <w:pPr>
        <w:tabs>
          <w:tab w:val="left" w:pos="567"/>
        </w:tabs>
        <w:contextualSpacing/>
        <w:jc w:val="both"/>
        <w:rPr>
          <w:rFonts w:asciiTheme="majorHAnsi" w:hAnsiTheme="majorHAnsi"/>
          <w:sz w:val="20"/>
          <w:szCs w:val="20"/>
          <w:lang w:val="es-US"/>
        </w:rPr>
      </w:pPr>
    </w:p>
    <w:p w14:paraId="2C6BDDB8" w14:textId="77777777" w:rsidR="00521BC4" w:rsidRPr="00386E47" w:rsidRDefault="00521BC4" w:rsidP="009146F2">
      <w:pPr>
        <w:pStyle w:val="Heading5"/>
        <w:numPr>
          <w:ilvl w:val="0"/>
          <w:numId w:val="66"/>
        </w:numPr>
      </w:pPr>
      <w:r w:rsidRPr="00386E47">
        <w:t xml:space="preserve">Investigación por las irregularidades cometidas </w:t>
      </w:r>
      <w:r w:rsidR="009146F2" w:rsidRPr="00386E47">
        <w:t xml:space="preserve">durante la instrucción conducida por el </w:t>
      </w:r>
      <w:r w:rsidR="004C42C7" w:rsidRPr="00386E47">
        <w:t>Juzgado</w:t>
      </w:r>
      <w:r w:rsidRPr="00386E47">
        <w:t xml:space="preserve"> Criminal Federal Nro. 9 </w:t>
      </w:r>
    </w:p>
    <w:p w14:paraId="41259D42" w14:textId="77777777" w:rsidR="00521BC4" w:rsidRPr="00386E47" w:rsidRDefault="00521BC4" w:rsidP="00A311A0">
      <w:pPr>
        <w:tabs>
          <w:tab w:val="left" w:pos="567"/>
        </w:tabs>
        <w:contextualSpacing/>
        <w:jc w:val="both"/>
        <w:rPr>
          <w:rFonts w:asciiTheme="majorHAnsi" w:hAnsiTheme="majorHAnsi"/>
          <w:lang w:val="es-US"/>
        </w:rPr>
      </w:pPr>
    </w:p>
    <w:p w14:paraId="5B0EB668" w14:textId="77777777" w:rsidR="00C570CA" w:rsidRPr="00386E47" w:rsidRDefault="00EB3BB7"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A</w:t>
      </w:r>
      <w:r w:rsidR="008C380A" w:rsidRPr="00386E47">
        <w:rPr>
          <w:rFonts w:asciiTheme="majorHAnsi" w:eastAsia="Calibri" w:hAnsiTheme="majorHAnsi"/>
          <w:sz w:val="20"/>
          <w:szCs w:val="20"/>
          <w:lang w:val="es-ES"/>
        </w:rPr>
        <w:t xml:space="preserve"> partir de agosto de 2000</w:t>
      </w:r>
      <w:r w:rsidR="009F70EA" w:rsidRPr="00386E47">
        <w:rPr>
          <w:rFonts w:asciiTheme="majorHAnsi" w:eastAsia="Calibri" w:hAnsiTheme="majorHAnsi"/>
          <w:sz w:val="20"/>
          <w:szCs w:val="20"/>
          <w:lang w:val="es-ES"/>
        </w:rPr>
        <w:t xml:space="preserve"> </w:t>
      </w:r>
      <w:r w:rsidR="00C570CA" w:rsidRPr="00386E47">
        <w:rPr>
          <w:rFonts w:asciiTheme="majorHAnsi" w:eastAsia="Calibri" w:hAnsiTheme="majorHAnsi"/>
          <w:sz w:val="20"/>
          <w:szCs w:val="20"/>
          <w:lang w:val="es-ES"/>
        </w:rPr>
        <w:t>se iniciaron una serie de expedientes judiciales destinados a</w:t>
      </w:r>
      <w:r w:rsidR="008C380A" w:rsidRPr="00386E47">
        <w:rPr>
          <w:rFonts w:asciiTheme="majorHAnsi" w:eastAsia="Calibri" w:hAnsiTheme="majorHAnsi"/>
          <w:sz w:val="20"/>
          <w:szCs w:val="20"/>
          <w:lang w:val="es-ES"/>
        </w:rPr>
        <w:t xml:space="preserve"> </w:t>
      </w:r>
      <w:r w:rsidR="009F70EA" w:rsidRPr="00386E47">
        <w:rPr>
          <w:rFonts w:asciiTheme="majorHAnsi" w:eastAsia="Calibri" w:hAnsiTheme="majorHAnsi"/>
          <w:sz w:val="20"/>
          <w:szCs w:val="20"/>
          <w:lang w:val="es-ES"/>
        </w:rPr>
        <w:t xml:space="preserve">determinar eventuales responsabilidades penales por </w:t>
      </w:r>
      <w:r w:rsidR="00F449B5" w:rsidRPr="00386E47">
        <w:rPr>
          <w:rFonts w:asciiTheme="majorHAnsi" w:eastAsia="Calibri" w:hAnsiTheme="majorHAnsi"/>
          <w:sz w:val="20"/>
          <w:szCs w:val="20"/>
          <w:lang w:val="es-ES"/>
        </w:rPr>
        <w:t xml:space="preserve">las </w:t>
      </w:r>
      <w:r w:rsidR="009F70EA" w:rsidRPr="00386E47">
        <w:rPr>
          <w:rFonts w:asciiTheme="majorHAnsi" w:eastAsia="Calibri" w:hAnsiTheme="majorHAnsi"/>
          <w:sz w:val="20"/>
          <w:szCs w:val="20"/>
          <w:lang w:val="es-ES"/>
        </w:rPr>
        <w:t xml:space="preserve">irregularidades que se habrían cometido </w:t>
      </w:r>
      <w:r w:rsidR="008C380A" w:rsidRPr="00386E47">
        <w:rPr>
          <w:rFonts w:asciiTheme="majorHAnsi" w:eastAsia="Calibri" w:hAnsiTheme="majorHAnsi"/>
          <w:sz w:val="20"/>
          <w:szCs w:val="20"/>
          <w:lang w:val="es-ES"/>
        </w:rPr>
        <w:t>durante</w:t>
      </w:r>
      <w:r w:rsidR="009F70EA" w:rsidRPr="00386E47">
        <w:rPr>
          <w:rFonts w:asciiTheme="majorHAnsi" w:eastAsia="Calibri" w:hAnsiTheme="majorHAnsi"/>
          <w:sz w:val="20"/>
          <w:szCs w:val="20"/>
          <w:lang w:val="es-ES"/>
        </w:rPr>
        <w:t xml:space="preserve"> la investigación </w:t>
      </w:r>
      <w:r w:rsidR="008C380A" w:rsidRPr="00386E47">
        <w:rPr>
          <w:rFonts w:asciiTheme="majorHAnsi" w:eastAsia="Calibri" w:hAnsiTheme="majorHAnsi"/>
          <w:sz w:val="20"/>
          <w:szCs w:val="20"/>
          <w:lang w:val="es-ES"/>
        </w:rPr>
        <w:t xml:space="preserve">encabezada por el Juzgado de Instrucción en lo Criminal Federal Nro. </w:t>
      </w:r>
      <w:r w:rsidR="00521BC4" w:rsidRPr="00386E47">
        <w:rPr>
          <w:rFonts w:asciiTheme="majorHAnsi" w:eastAsia="Calibri" w:hAnsiTheme="majorHAnsi"/>
          <w:sz w:val="20"/>
          <w:szCs w:val="20"/>
          <w:lang w:val="es-ES"/>
        </w:rPr>
        <w:t>9</w:t>
      </w:r>
      <w:r w:rsidR="009F70EA" w:rsidRPr="00386E47">
        <w:rPr>
          <w:rFonts w:asciiTheme="majorHAnsi" w:eastAsia="Calibri" w:hAnsiTheme="majorHAnsi"/>
          <w:sz w:val="20"/>
          <w:szCs w:val="20"/>
          <w:vertAlign w:val="superscript"/>
          <w:lang w:val="es-AR"/>
        </w:rPr>
        <w:footnoteReference w:id="254"/>
      </w:r>
      <w:r w:rsidR="00CE50A8" w:rsidRPr="00386E47">
        <w:rPr>
          <w:rFonts w:asciiTheme="majorHAnsi" w:eastAsia="Calibri" w:hAnsiTheme="majorHAnsi"/>
          <w:sz w:val="20"/>
          <w:szCs w:val="20"/>
          <w:lang w:val="es-ES"/>
        </w:rPr>
        <w:t>.</w:t>
      </w:r>
    </w:p>
    <w:p w14:paraId="5E788DEB" w14:textId="77777777" w:rsidR="00C570CA" w:rsidRPr="00386E47" w:rsidRDefault="00C570CA" w:rsidP="00D85E80">
      <w:pPr>
        <w:tabs>
          <w:tab w:val="left" w:pos="567"/>
        </w:tabs>
        <w:contextualSpacing/>
        <w:jc w:val="both"/>
        <w:rPr>
          <w:rFonts w:asciiTheme="majorHAnsi" w:eastAsia="Calibri" w:hAnsiTheme="majorHAnsi"/>
          <w:sz w:val="20"/>
          <w:szCs w:val="20"/>
          <w:lang w:val="es-ES"/>
        </w:rPr>
      </w:pPr>
    </w:p>
    <w:p w14:paraId="51E95DEA" w14:textId="77777777" w:rsidR="00C570CA" w:rsidRPr="00386E47" w:rsidRDefault="00F449B5"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Asimismo, e</w:t>
      </w:r>
      <w:r w:rsidR="009F70EA" w:rsidRPr="00386E47">
        <w:rPr>
          <w:rFonts w:asciiTheme="majorHAnsi" w:eastAsia="Calibri" w:hAnsiTheme="majorHAnsi"/>
          <w:sz w:val="20"/>
          <w:szCs w:val="20"/>
          <w:lang w:val="es-ES"/>
        </w:rPr>
        <w:t xml:space="preserve">l Tribunal Oral Federal Nro. 3 en su sentencia de fecha 29 de octubre de 2004 tuvo por acreditados los sucesos relacionados con el pago a </w:t>
      </w:r>
      <w:r w:rsidR="00B528BF" w:rsidRPr="00386E47">
        <w:rPr>
          <w:rFonts w:asciiTheme="majorHAnsi" w:eastAsia="Calibri" w:hAnsiTheme="majorHAnsi"/>
          <w:sz w:val="20"/>
          <w:szCs w:val="20"/>
          <w:lang w:val="es-ES"/>
        </w:rPr>
        <w:t>Telleldin</w:t>
      </w:r>
      <w:r w:rsidR="009F70EA" w:rsidRPr="00386E47">
        <w:rPr>
          <w:rFonts w:asciiTheme="majorHAnsi" w:eastAsia="Calibri" w:hAnsiTheme="majorHAnsi"/>
          <w:sz w:val="20"/>
          <w:szCs w:val="20"/>
          <w:lang w:val="es-ES"/>
        </w:rPr>
        <w:t xml:space="preserve"> y, en consecuencia, anuló todo lo actuado por el juez Galeano durante la etapa de instrucción y absolvió a </w:t>
      </w:r>
      <w:r w:rsidR="00C570CA" w:rsidRPr="00386E47">
        <w:rPr>
          <w:rFonts w:asciiTheme="majorHAnsi" w:eastAsia="Calibri" w:hAnsiTheme="majorHAnsi"/>
          <w:sz w:val="20"/>
          <w:szCs w:val="20"/>
          <w:lang w:val="es-ES"/>
        </w:rPr>
        <w:t>los policías bonaerenses sometidos a juicio</w:t>
      </w:r>
      <w:r w:rsidR="009F70EA" w:rsidRPr="00386E47">
        <w:rPr>
          <w:rFonts w:asciiTheme="majorHAnsi" w:eastAsia="Calibri" w:hAnsiTheme="majorHAnsi"/>
          <w:sz w:val="20"/>
          <w:szCs w:val="20"/>
          <w:lang w:val="es-ES"/>
        </w:rPr>
        <w:t xml:space="preserve">. </w:t>
      </w:r>
      <w:r w:rsidRPr="00386E47">
        <w:rPr>
          <w:rFonts w:asciiTheme="majorHAnsi" w:eastAsia="Calibri" w:hAnsiTheme="majorHAnsi"/>
          <w:sz w:val="20"/>
          <w:szCs w:val="20"/>
          <w:lang w:val="es-ES"/>
        </w:rPr>
        <w:t>E</w:t>
      </w:r>
      <w:r w:rsidR="009F70EA" w:rsidRPr="00386E47">
        <w:rPr>
          <w:rFonts w:asciiTheme="majorHAnsi" w:eastAsia="Calibri" w:hAnsiTheme="majorHAnsi"/>
          <w:sz w:val="20"/>
          <w:szCs w:val="20"/>
          <w:lang w:val="es-ES"/>
        </w:rPr>
        <w:t xml:space="preserve">l Tribunal ordenó que se </w:t>
      </w:r>
      <w:r w:rsidR="005A16DA" w:rsidRPr="00386E47">
        <w:rPr>
          <w:rFonts w:asciiTheme="majorHAnsi" w:eastAsia="Calibri" w:hAnsiTheme="majorHAnsi"/>
          <w:sz w:val="20"/>
          <w:szCs w:val="20"/>
          <w:lang w:val="es-ES"/>
        </w:rPr>
        <w:t xml:space="preserve">extrajeran </w:t>
      </w:r>
      <w:r w:rsidR="009F70EA" w:rsidRPr="00386E47">
        <w:rPr>
          <w:rFonts w:asciiTheme="majorHAnsi" w:eastAsia="Calibri" w:hAnsiTheme="majorHAnsi"/>
          <w:sz w:val="20"/>
          <w:szCs w:val="20"/>
          <w:lang w:val="es-ES"/>
        </w:rPr>
        <w:t xml:space="preserve">copias de lo actuado a fin de que se </w:t>
      </w:r>
      <w:r w:rsidR="005A16DA" w:rsidRPr="00386E47">
        <w:rPr>
          <w:rFonts w:asciiTheme="majorHAnsi" w:eastAsia="Calibri" w:hAnsiTheme="majorHAnsi"/>
          <w:sz w:val="20"/>
          <w:szCs w:val="20"/>
          <w:lang w:val="es-ES"/>
        </w:rPr>
        <w:t xml:space="preserve">investigara </w:t>
      </w:r>
      <w:r w:rsidR="009F70EA" w:rsidRPr="00386E47">
        <w:rPr>
          <w:rFonts w:asciiTheme="majorHAnsi" w:eastAsia="Calibri" w:hAnsiTheme="majorHAnsi"/>
          <w:sz w:val="20"/>
          <w:szCs w:val="20"/>
          <w:lang w:val="es-ES"/>
        </w:rPr>
        <w:t xml:space="preserve">la eventual responsabilidad penal del juez Galeano, de los fiscales intervinientes en la etapa de instrucción, de diversos funcionarios del Poder Ejecutivo Nacional, de la SIDE, de la Policía Federal, empleados judiciales, </w:t>
      </w:r>
      <w:r w:rsidR="00C570CA" w:rsidRPr="00386E47">
        <w:rPr>
          <w:rFonts w:asciiTheme="majorHAnsi" w:eastAsia="Calibri" w:hAnsiTheme="majorHAnsi"/>
          <w:sz w:val="20"/>
          <w:szCs w:val="20"/>
          <w:lang w:val="es-ES"/>
        </w:rPr>
        <w:t xml:space="preserve">de </w:t>
      </w:r>
      <w:r w:rsidR="009F70EA" w:rsidRPr="00386E47">
        <w:rPr>
          <w:rFonts w:asciiTheme="majorHAnsi" w:eastAsia="Calibri" w:hAnsiTheme="majorHAnsi"/>
          <w:sz w:val="20"/>
          <w:szCs w:val="20"/>
          <w:lang w:val="es-ES"/>
        </w:rPr>
        <w:t xml:space="preserve">algunos de los legisladores nacionales que </w:t>
      </w:r>
      <w:r w:rsidR="00C570CA" w:rsidRPr="00386E47">
        <w:rPr>
          <w:rFonts w:asciiTheme="majorHAnsi" w:eastAsia="Calibri" w:hAnsiTheme="majorHAnsi"/>
          <w:sz w:val="20"/>
          <w:szCs w:val="20"/>
          <w:lang w:val="es-ES"/>
        </w:rPr>
        <w:t>conformaron</w:t>
      </w:r>
      <w:r w:rsidR="009F70EA" w:rsidRPr="00386E47">
        <w:rPr>
          <w:rFonts w:asciiTheme="majorHAnsi" w:eastAsia="Calibri" w:hAnsiTheme="majorHAnsi"/>
          <w:sz w:val="20"/>
          <w:szCs w:val="20"/>
          <w:lang w:val="es-ES"/>
        </w:rPr>
        <w:t xml:space="preserve"> la Comisión Bicameral de Seguimiento y de ciertos abogados defensores que habían actuado en el expediente</w:t>
      </w:r>
      <w:r w:rsidR="00C570CA" w:rsidRPr="00386E47">
        <w:rPr>
          <w:rStyle w:val="FootnoteReference"/>
          <w:rFonts w:asciiTheme="majorHAnsi" w:eastAsia="Calibri" w:hAnsiTheme="majorHAnsi"/>
          <w:sz w:val="20"/>
          <w:szCs w:val="20"/>
          <w:lang w:val="es-ES"/>
        </w:rPr>
        <w:footnoteReference w:id="255"/>
      </w:r>
      <w:r w:rsidR="009F70EA" w:rsidRPr="00386E47">
        <w:rPr>
          <w:rFonts w:asciiTheme="majorHAnsi" w:eastAsia="Calibri" w:hAnsiTheme="majorHAnsi"/>
          <w:sz w:val="20"/>
          <w:szCs w:val="20"/>
          <w:lang w:val="es-ES"/>
        </w:rPr>
        <w:t xml:space="preserve">.   </w:t>
      </w:r>
    </w:p>
    <w:p w14:paraId="00C4C948" w14:textId="77777777" w:rsidR="00C570CA" w:rsidRPr="00386E47" w:rsidRDefault="00C570CA" w:rsidP="00D85E80">
      <w:pPr>
        <w:tabs>
          <w:tab w:val="left" w:pos="567"/>
        </w:tabs>
        <w:contextualSpacing/>
        <w:jc w:val="both"/>
        <w:rPr>
          <w:rFonts w:asciiTheme="majorHAnsi" w:eastAsia="Calibri" w:hAnsiTheme="majorHAnsi"/>
          <w:sz w:val="20"/>
          <w:szCs w:val="20"/>
          <w:lang w:val="es-ES"/>
        </w:rPr>
      </w:pPr>
    </w:p>
    <w:p w14:paraId="186A7885" w14:textId="77777777" w:rsidR="004D22AC" w:rsidRPr="00386E47" w:rsidRDefault="0097207E"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Los</w:t>
      </w:r>
      <w:r w:rsidR="009F70EA" w:rsidRPr="00386E47">
        <w:rPr>
          <w:rFonts w:asciiTheme="majorHAnsi" w:eastAsia="Calibri" w:hAnsiTheme="majorHAnsi"/>
          <w:sz w:val="20"/>
          <w:szCs w:val="20"/>
          <w:lang w:val="es-ES"/>
        </w:rPr>
        <w:t xml:space="preserve"> procesos por el encubrimiento se dividieron en dos tramos: por un lado, aquel que tenía como objeto procesal el pago a </w:t>
      </w:r>
      <w:r w:rsidR="00B528BF" w:rsidRPr="00386E47">
        <w:rPr>
          <w:rFonts w:asciiTheme="majorHAnsi" w:eastAsia="Calibri" w:hAnsiTheme="majorHAnsi"/>
          <w:sz w:val="20"/>
          <w:szCs w:val="20"/>
          <w:lang w:val="es-ES"/>
        </w:rPr>
        <w:t>Telleldin</w:t>
      </w:r>
      <w:r w:rsidR="009F70EA" w:rsidRPr="00386E47">
        <w:rPr>
          <w:rFonts w:asciiTheme="majorHAnsi" w:eastAsia="Calibri" w:hAnsiTheme="majorHAnsi"/>
          <w:sz w:val="20"/>
          <w:szCs w:val="20"/>
          <w:lang w:val="es-ES"/>
        </w:rPr>
        <w:t xml:space="preserve"> con fondos reservados de la SIDE para construir una hipótesis acusatoria sin correspondencia con la verdad de lo acontecido y, por otro lado, aquel que buscaba averiguar si funcionarios públicos habían bloqueado la prosecución de la llamada “Pista Siria/Kanoore Edul”. </w:t>
      </w:r>
    </w:p>
    <w:p w14:paraId="479E43FC" w14:textId="77777777" w:rsidR="004D22AC" w:rsidRPr="00386E47" w:rsidRDefault="004D22AC" w:rsidP="00D85E80">
      <w:pPr>
        <w:tabs>
          <w:tab w:val="left" w:pos="567"/>
        </w:tabs>
        <w:contextualSpacing/>
        <w:jc w:val="both"/>
        <w:rPr>
          <w:rFonts w:asciiTheme="majorHAnsi" w:eastAsia="Calibri" w:hAnsiTheme="majorHAnsi"/>
          <w:sz w:val="20"/>
          <w:szCs w:val="20"/>
          <w:lang w:val="es-ES"/>
        </w:rPr>
      </w:pPr>
    </w:p>
    <w:p w14:paraId="1DA2EC55" w14:textId="77777777" w:rsidR="004D22AC"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Con respecto a la línea de investigación por el pago a </w:t>
      </w:r>
      <w:r w:rsidR="00B528BF" w:rsidRPr="00386E47">
        <w:rPr>
          <w:rFonts w:asciiTheme="majorHAnsi" w:eastAsia="Calibri" w:hAnsiTheme="majorHAnsi"/>
          <w:sz w:val="20"/>
          <w:szCs w:val="20"/>
          <w:lang w:val="es-ES"/>
        </w:rPr>
        <w:t>Telleldin</w:t>
      </w:r>
      <w:r w:rsidRPr="00386E47">
        <w:rPr>
          <w:rFonts w:asciiTheme="majorHAnsi" w:eastAsia="Calibri" w:hAnsiTheme="majorHAnsi"/>
          <w:sz w:val="20"/>
          <w:szCs w:val="20"/>
          <w:lang w:val="es-ES"/>
        </w:rPr>
        <w:t xml:space="preserve">, el Juzgado Federal en lo Criminal y Correccional Nro. 4 dictó el 19 de septiembre de 2006 auto de procesamiento contra el ex juez Galeano, por los delitos de peculado, coacción, falsedad ideológica, privación ilegítima de la libertad y prevaricato. </w:t>
      </w:r>
      <w:r w:rsidR="004D22AC" w:rsidRPr="00386E47">
        <w:rPr>
          <w:rFonts w:asciiTheme="majorHAnsi" w:eastAsia="Calibri" w:hAnsiTheme="majorHAnsi"/>
          <w:sz w:val="20"/>
          <w:szCs w:val="20"/>
          <w:lang w:val="es-ES"/>
        </w:rPr>
        <w:t xml:space="preserve">Asimismo, otras personas, entre </w:t>
      </w:r>
      <w:r w:rsidRPr="00386E47">
        <w:rPr>
          <w:rFonts w:asciiTheme="majorHAnsi" w:eastAsia="Calibri" w:hAnsiTheme="majorHAnsi"/>
          <w:sz w:val="20"/>
          <w:szCs w:val="20"/>
          <w:lang w:val="es-ES"/>
        </w:rPr>
        <w:t>ellos ex agentes de la SIDE, fueron procesados por el delito de peculado</w:t>
      </w:r>
      <w:r w:rsidRPr="00386E47">
        <w:rPr>
          <w:rFonts w:asciiTheme="majorHAnsi" w:eastAsia="Calibri" w:hAnsiTheme="majorHAnsi"/>
          <w:sz w:val="20"/>
          <w:szCs w:val="20"/>
          <w:vertAlign w:val="superscript"/>
          <w:lang w:val="es-ES"/>
        </w:rPr>
        <w:footnoteReference w:id="256"/>
      </w:r>
      <w:r w:rsidRPr="00386E47">
        <w:rPr>
          <w:rFonts w:asciiTheme="majorHAnsi" w:eastAsia="Calibri" w:hAnsiTheme="majorHAnsi"/>
          <w:sz w:val="20"/>
          <w:szCs w:val="20"/>
          <w:lang w:val="es-ES"/>
        </w:rPr>
        <w:t xml:space="preserve">. El 29 de junio de 2007 la Cámara de Apelaciones en lo Criminal y Correccional Federal confirmó la decisión.  </w:t>
      </w:r>
    </w:p>
    <w:p w14:paraId="0E514981" w14:textId="77777777" w:rsidR="004D22AC" w:rsidRPr="00386E47" w:rsidRDefault="004D22AC" w:rsidP="00D85E80">
      <w:pPr>
        <w:tabs>
          <w:tab w:val="left" w:pos="567"/>
        </w:tabs>
        <w:contextualSpacing/>
        <w:jc w:val="both"/>
        <w:rPr>
          <w:rFonts w:asciiTheme="majorHAnsi" w:eastAsia="Calibri" w:hAnsiTheme="majorHAnsi"/>
          <w:sz w:val="20"/>
          <w:szCs w:val="20"/>
          <w:lang w:val="es-ES"/>
        </w:rPr>
      </w:pPr>
    </w:p>
    <w:p w14:paraId="5F7D9E6C" w14:textId="77777777" w:rsidR="00DC3723"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La defensa del ex juez Galeano recurrió el procesamiento ante la Cámara Federal de Casación Penal.  El 31 de octubre de 2007 se tuvo por mantenido el recurso de casación y se notificó a las partes de la radicación de la causa. Luego de una serie de excusaciones por parte de los magistrados de ese tribunal, el 21 de marzo de 2013 quedó integrada la sala interviniente. El 14 de agosto de 2013 la Sala II de la Cámara Federal de Casación Penal rechazó el recurso de casación.</w:t>
      </w:r>
      <w:r w:rsidR="00302613" w:rsidRPr="00386E47">
        <w:rPr>
          <w:rStyle w:val="FootnoteReference"/>
          <w:rFonts w:asciiTheme="majorHAnsi" w:eastAsia="Calibri" w:hAnsiTheme="majorHAnsi"/>
          <w:sz w:val="20"/>
          <w:szCs w:val="20"/>
          <w:lang w:val="es-ES"/>
        </w:rPr>
        <w:footnoteReference w:id="257"/>
      </w:r>
      <w:r w:rsidRPr="00386E47">
        <w:rPr>
          <w:rFonts w:asciiTheme="majorHAnsi" w:eastAsia="Calibri" w:hAnsiTheme="majorHAnsi"/>
          <w:sz w:val="20"/>
          <w:szCs w:val="20"/>
          <w:lang w:val="es-ES"/>
        </w:rPr>
        <w:t xml:space="preserve">  </w:t>
      </w:r>
    </w:p>
    <w:p w14:paraId="713376CA" w14:textId="77777777" w:rsidR="00DC3723" w:rsidRPr="00386E47" w:rsidRDefault="009F70EA" w:rsidP="00D85E80">
      <w:pPr>
        <w:tabs>
          <w:tab w:val="left" w:pos="567"/>
        </w:tabs>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 </w:t>
      </w:r>
    </w:p>
    <w:p w14:paraId="5E611041" w14:textId="77777777" w:rsidR="00DC3723" w:rsidRPr="00386E47" w:rsidRDefault="00DC3723"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Por otro lado, y con respecto al</w:t>
      </w:r>
      <w:r w:rsidR="009F70EA" w:rsidRPr="00386E47">
        <w:rPr>
          <w:rFonts w:asciiTheme="majorHAnsi" w:eastAsia="Calibri" w:hAnsiTheme="majorHAnsi"/>
          <w:sz w:val="20"/>
          <w:szCs w:val="20"/>
          <w:lang w:val="es-ES"/>
        </w:rPr>
        <w:t xml:space="preserve"> tramo de investigación </w:t>
      </w:r>
      <w:r w:rsidRPr="00386E47">
        <w:rPr>
          <w:rFonts w:asciiTheme="majorHAnsi" w:eastAsia="Calibri" w:hAnsiTheme="majorHAnsi"/>
          <w:sz w:val="20"/>
          <w:szCs w:val="20"/>
          <w:lang w:val="es-ES"/>
        </w:rPr>
        <w:t xml:space="preserve">vinculado </w:t>
      </w:r>
      <w:r w:rsidR="009F70EA" w:rsidRPr="00386E47">
        <w:rPr>
          <w:rFonts w:asciiTheme="majorHAnsi" w:eastAsia="Calibri" w:hAnsiTheme="majorHAnsi"/>
          <w:sz w:val="20"/>
          <w:szCs w:val="20"/>
          <w:lang w:val="es-ES"/>
        </w:rPr>
        <w:t>con el encubrimiento de la denominada “Pista Siria-Kanoore Edul</w:t>
      </w:r>
      <w:r w:rsidRPr="00386E47">
        <w:rPr>
          <w:rFonts w:asciiTheme="majorHAnsi" w:eastAsia="Calibri" w:hAnsiTheme="majorHAnsi"/>
          <w:sz w:val="20"/>
          <w:szCs w:val="20"/>
          <w:lang w:val="es-ES"/>
        </w:rPr>
        <w:t>”, con fecha</w:t>
      </w:r>
      <w:r w:rsidR="009F70EA" w:rsidRPr="00386E47">
        <w:rPr>
          <w:rFonts w:asciiTheme="majorHAnsi" w:eastAsia="Calibri" w:hAnsiTheme="majorHAnsi"/>
          <w:sz w:val="20"/>
          <w:szCs w:val="20"/>
          <w:lang w:val="es-ES"/>
        </w:rPr>
        <w:t xml:space="preserve"> 30 de marzo de 2012 el Juzgado Federal en lo Criminal y Correccional Nro. 4 </w:t>
      </w:r>
      <w:r w:rsidR="009F70EA" w:rsidRPr="00386E47">
        <w:rPr>
          <w:rFonts w:asciiTheme="majorHAnsi" w:eastAsia="Calibri" w:hAnsiTheme="majorHAnsi"/>
          <w:sz w:val="20"/>
          <w:szCs w:val="20"/>
          <w:lang w:val="es-ES"/>
        </w:rPr>
        <w:lastRenderedPageBreak/>
        <w:t>dio por terminada la instrucción y elevó la causa a juicio oral, vinculando a proceso al ex juez Galeano, al ex presidente Carlos Menem y a diversos funcionarios de la SIDE y de la Policía Federal</w:t>
      </w:r>
      <w:r w:rsidR="009F70EA" w:rsidRPr="00386E47">
        <w:rPr>
          <w:rFonts w:asciiTheme="majorHAnsi" w:eastAsia="Calibri" w:hAnsiTheme="majorHAnsi"/>
          <w:sz w:val="20"/>
          <w:szCs w:val="20"/>
          <w:vertAlign w:val="superscript"/>
          <w:lang w:val="es-ES"/>
        </w:rPr>
        <w:footnoteReference w:id="258"/>
      </w:r>
      <w:r w:rsidR="009F70EA" w:rsidRPr="00386E47">
        <w:rPr>
          <w:rFonts w:asciiTheme="majorHAnsi" w:eastAsia="Calibri" w:hAnsiTheme="majorHAnsi"/>
          <w:sz w:val="20"/>
          <w:szCs w:val="20"/>
          <w:lang w:val="es-ES"/>
        </w:rPr>
        <w:t xml:space="preserve">. </w:t>
      </w:r>
    </w:p>
    <w:p w14:paraId="4CB9649B" w14:textId="77777777" w:rsidR="00DC3723" w:rsidRPr="00386E47" w:rsidRDefault="00DC3723" w:rsidP="00D85E80">
      <w:pPr>
        <w:tabs>
          <w:tab w:val="left" w:pos="567"/>
        </w:tabs>
        <w:contextualSpacing/>
        <w:jc w:val="both"/>
        <w:rPr>
          <w:rFonts w:asciiTheme="majorHAnsi" w:eastAsia="Calibri" w:hAnsiTheme="majorHAnsi"/>
          <w:sz w:val="20"/>
          <w:szCs w:val="20"/>
          <w:lang w:val="es-ES"/>
        </w:rPr>
      </w:pPr>
    </w:p>
    <w:p w14:paraId="7F5563B9" w14:textId="77777777" w:rsidR="00DC3723"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Ambos tramos fueron unificados en la etapa de juicio oral, el cual fue </w:t>
      </w:r>
      <w:r w:rsidR="00DC3723" w:rsidRPr="00386E47">
        <w:rPr>
          <w:rFonts w:asciiTheme="majorHAnsi" w:eastAsia="Calibri" w:hAnsiTheme="majorHAnsi"/>
          <w:sz w:val="20"/>
          <w:szCs w:val="20"/>
          <w:lang w:val="es-ES"/>
        </w:rPr>
        <w:t xml:space="preserve">celebrado </w:t>
      </w:r>
      <w:r w:rsidRPr="00386E47">
        <w:rPr>
          <w:rFonts w:asciiTheme="majorHAnsi" w:eastAsia="Calibri" w:hAnsiTheme="majorHAnsi"/>
          <w:sz w:val="20"/>
          <w:szCs w:val="20"/>
          <w:lang w:val="es-ES"/>
        </w:rPr>
        <w:t xml:space="preserve">ante el Tribunal Oral Federal Nro. 2. Las audiencias de juicio comenzaron el 6 de agosto de 2015. El 28 de febrero de 2019 el Tribunal dictó su veredicto, imponiendo diversas penas de prisión a ocho de los acusados y absolviendo a otros cinco. El 3 de mayo de 2019 se difundieron los fundamentos de la sentencia. La decisión del TOF 2 fue apelada por todas las partes y, al momento de la aprobación de este informe, la causa se encuentra radicada en la Cámara Federal de Casación Penal. </w:t>
      </w:r>
    </w:p>
    <w:p w14:paraId="09DFB31C" w14:textId="77777777" w:rsidR="00DC3723" w:rsidRPr="00386E47" w:rsidRDefault="00DC3723" w:rsidP="00D85E80">
      <w:pPr>
        <w:tabs>
          <w:tab w:val="left" w:pos="567"/>
        </w:tabs>
        <w:contextualSpacing/>
        <w:jc w:val="both"/>
        <w:rPr>
          <w:rFonts w:asciiTheme="majorHAnsi" w:eastAsia="Calibri" w:hAnsiTheme="majorHAnsi"/>
          <w:sz w:val="20"/>
          <w:szCs w:val="20"/>
          <w:lang w:val="es-ES"/>
        </w:rPr>
      </w:pPr>
    </w:p>
    <w:p w14:paraId="65E6F93C"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Existe asimismo otro desprendimiento de la causa por hechos de encubrimiento que se habrían cometido en el marco de la investigación Galeano que aún no ha sido objeto de una decisión de mérito. </w:t>
      </w:r>
      <w:r w:rsidR="00DC3723" w:rsidRPr="00386E47">
        <w:rPr>
          <w:rFonts w:asciiTheme="majorHAnsi" w:eastAsia="Calibri" w:hAnsiTheme="majorHAnsi"/>
          <w:sz w:val="20"/>
          <w:szCs w:val="20"/>
          <w:lang w:val="es-ES"/>
        </w:rPr>
        <w:t xml:space="preserve">Al respecto, la </w:t>
      </w:r>
      <w:r w:rsidR="00400AD7" w:rsidRPr="00386E47">
        <w:rPr>
          <w:rFonts w:asciiTheme="majorHAnsi" w:eastAsia="Calibri" w:hAnsiTheme="majorHAnsi"/>
          <w:sz w:val="20"/>
          <w:szCs w:val="20"/>
          <w:lang w:val="es-ES"/>
        </w:rPr>
        <w:t>Comisión</w:t>
      </w:r>
      <w:r w:rsidR="00DC3723" w:rsidRPr="00386E47">
        <w:rPr>
          <w:rFonts w:asciiTheme="majorHAnsi" w:eastAsia="Calibri" w:hAnsiTheme="majorHAnsi"/>
          <w:sz w:val="20"/>
          <w:szCs w:val="20"/>
          <w:lang w:val="es-ES"/>
        </w:rPr>
        <w:t xml:space="preserve"> ha sido informada del hecho </w:t>
      </w:r>
      <w:r w:rsidRPr="00386E47">
        <w:rPr>
          <w:rFonts w:asciiTheme="majorHAnsi" w:eastAsia="Calibri" w:hAnsiTheme="majorHAnsi"/>
          <w:sz w:val="20"/>
          <w:szCs w:val="20"/>
          <w:lang w:val="es-ES"/>
        </w:rPr>
        <w:t>que los tribunales nacionales aún no se han pronunciado respecto de la responsabilidad penal de una serie de funcionarios judiciales, abogados intervinientes en la investigación por el atentado y ministros del Poder Ejecutivo durante la década de 1990</w:t>
      </w:r>
      <w:r w:rsidRPr="00386E47">
        <w:rPr>
          <w:rFonts w:asciiTheme="majorHAnsi" w:eastAsia="Calibri" w:hAnsiTheme="majorHAnsi"/>
          <w:sz w:val="22"/>
          <w:szCs w:val="22"/>
          <w:vertAlign w:val="superscript"/>
          <w:lang w:val="es-ES"/>
        </w:rPr>
        <w:footnoteReference w:id="259"/>
      </w:r>
      <w:r w:rsidRPr="00386E47">
        <w:rPr>
          <w:rFonts w:asciiTheme="majorHAnsi" w:eastAsia="Calibri" w:hAnsiTheme="majorHAnsi"/>
          <w:sz w:val="20"/>
          <w:szCs w:val="20"/>
          <w:lang w:val="es-ES"/>
        </w:rPr>
        <w:t xml:space="preserve">. </w:t>
      </w:r>
    </w:p>
    <w:p w14:paraId="68F4583F" w14:textId="77777777" w:rsidR="00521BC4" w:rsidRPr="00386E47" w:rsidRDefault="00521BC4" w:rsidP="009F70EA">
      <w:pPr>
        <w:rPr>
          <w:rFonts w:asciiTheme="majorHAnsi" w:eastAsia="Calibri" w:hAnsiTheme="majorHAnsi"/>
          <w:sz w:val="20"/>
          <w:szCs w:val="20"/>
          <w:lang w:val="es-ES"/>
        </w:rPr>
      </w:pPr>
    </w:p>
    <w:p w14:paraId="00EA66D8" w14:textId="77777777" w:rsidR="00521BC4" w:rsidRPr="00386E47" w:rsidRDefault="00521BC4" w:rsidP="00B05379">
      <w:pPr>
        <w:pStyle w:val="Heading5"/>
        <w:numPr>
          <w:ilvl w:val="0"/>
          <w:numId w:val="66"/>
        </w:numPr>
      </w:pPr>
      <w:r w:rsidRPr="00386E47">
        <w:t xml:space="preserve">Investigación iniciada a partir de la </w:t>
      </w:r>
      <w:r w:rsidR="00B05379" w:rsidRPr="00386E47">
        <w:t>denuncia de la Unidad Fiscal de Investigación del Atentado a la AMIA de fecha 13</w:t>
      </w:r>
      <w:r w:rsidRPr="00386E47">
        <w:t xml:space="preserve"> enero de 2015</w:t>
      </w:r>
    </w:p>
    <w:p w14:paraId="3B782CE8" w14:textId="77777777" w:rsidR="00521BC4" w:rsidRPr="00386E47" w:rsidRDefault="00521BC4" w:rsidP="009F70EA">
      <w:pPr>
        <w:rPr>
          <w:rFonts w:asciiTheme="majorHAnsi" w:eastAsia="Calibri" w:hAnsiTheme="majorHAnsi"/>
          <w:sz w:val="20"/>
          <w:szCs w:val="20"/>
          <w:lang w:val="es-ES"/>
        </w:rPr>
      </w:pPr>
    </w:p>
    <w:p w14:paraId="0C5FA238" w14:textId="77777777" w:rsidR="00287767" w:rsidRPr="00386E47" w:rsidRDefault="00F449B5"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El 13 de enero de 2015, el entonces titular de la UFI AMIA, Alberto Nisman, presentó ante el Juzgado en lo Criminal y Correccional Federal Nro. 4 de la Capital Federal una denuncia penal. En dicho documento, el Sr. Nisman aseguró que </w:t>
      </w:r>
      <w:r w:rsidR="00E9688C" w:rsidRPr="00386E47">
        <w:rPr>
          <w:rFonts w:asciiTheme="majorHAnsi" w:eastAsia="Calibri" w:hAnsiTheme="majorHAnsi"/>
          <w:sz w:val="20"/>
          <w:szCs w:val="20"/>
          <w:lang w:val="es-ES"/>
        </w:rPr>
        <w:t>tenía</w:t>
      </w:r>
      <w:r w:rsidRPr="00386E47">
        <w:rPr>
          <w:rFonts w:asciiTheme="majorHAnsi" w:eastAsia="Calibri" w:hAnsiTheme="majorHAnsi"/>
          <w:sz w:val="20"/>
          <w:szCs w:val="20"/>
          <w:lang w:val="es-ES"/>
        </w:rPr>
        <w:t xml:space="preserve"> conocimiento de la “existencia de un plan delictivo destinado a dotar de impunidad a los imputados de nacionalidad iraní” acusados en la causa AMIA. Estas acciones habrían sido ejecutadas “por altas autoridades del gobierno nacional argentino, con la colaboración de terceros”. </w:t>
      </w:r>
    </w:p>
    <w:p w14:paraId="4BDEE66E" w14:textId="77777777" w:rsidR="00287767" w:rsidRPr="00386E47" w:rsidRDefault="00287767" w:rsidP="00287767">
      <w:pPr>
        <w:tabs>
          <w:tab w:val="left" w:pos="567"/>
        </w:tabs>
        <w:contextualSpacing/>
        <w:jc w:val="both"/>
        <w:rPr>
          <w:rFonts w:asciiTheme="majorHAnsi" w:eastAsia="Calibri" w:hAnsiTheme="majorHAnsi"/>
          <w:sz w:val="20"/>
          <w:szCs w:val="20"/>
          <w:lang w:val="es-ES"/>
        </w:rPr>
      </w:pPr>
    </w:p>
    <w:p w14:paraId="413AEA9E" w14:textId="77777777" w:rsidR="00521BC4" w:rsidRPr="00386E47" w:rsidRDefault="00287767"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De acuerdo </w:t>
      </w:r>
      <w:r w:rsidR="00D76661" w:rsidRPr="00386E47">
        <w:rPr>
          <w:rFonts w:asciiTheme="majorHAnsi" w:eastAsia="Calibri" w:hAnsiTheme="majorHAnsi"/>
          <w:sz w:val="20"/>
          <w:szCs w:val="20"/>
          <w:lang w:val="es-ES"/>
        </w:rPr>
        <w:t xml:space="preserve">con la información pública a disposición de la </w:t>
      </w:r>
      <w:r w:rsidR="00495DB1" w:rsidRPr="00386E47">
        <w:rPr>
          <w:rFonts w:asciiTheme="majorHAnsi" w:eastAsia="Calibri" w:hAnsiTheme="majorHAnsi"/>
          <w:sz w:val="20"/>
          <w:szCs w:val="20"/>
          <w:lang w:val="es-ES"/>
        </w:rPr>
        <w:t>Comisión</w:t>
      </w:r>
      <w:r w:rsidR="00D76661" w:rsidRPr="00386E47">
        <w:rPr>
          <w:rFonts w:asciiTheme="majorHAnsi" w:eastAsia="Calibri" w:hAnsiTheme="majorHAnsi"/>
          <w:sz w:val="20"/>
          <w:szCs w:val="20"/>
          <w:lang w:val="es-ES"/>
        </w:rPr>
        <w:t xml:space="preserve">, a la fecha de la aprobación de este informe </w:t>
      </w:r>
      <w:r w:rsidR="00495DB1" w:rsidRPr="00386E47">
        <w:rPr>
          <w:rFonts w:asciiTheme="majorHAnsi" w:eastAsia="Calibri" w:hAnsiTheme="majorHAnsi"/>
          <w:sz w:val="20"/>
          <w:szCs w:val="20"/>
          <w:lang w:val="es-ES"/>
        </w:rPr>
        <w:t>el proceso iniciado por la denuncia del Sr. Nisman se encuentra en etapa de juicio oral ante el Tribunal Oral en lo Criminal Federal Nro. 8</w:t>
      </w:r>
      <w:r w:rsidR="00495DB1" w:rsidRPr="00386E47">
        <w:rPr>
          <w:rStyle w:val="FootnoteReference"/>
          <w:rFonts w:asciiTheme="majorHAnsi" w:eastAsia="Calibri" w:hAnsiTheme="majorHAnsi"/>
          <w:sz w:val="20"/>
          <w:szCs w:val="20"/>
          <w:lang w:val="es-ES"/>
        </w:rPr>
        <w:footnoteReference w:id="260"/>
      </w:r>
      <w:r w:rsidR="00495DB1" w:rsidRPr="00386E47">
        <w:rPr>
          <w:rFonts w:asciiTheme="majorHAnsi" w:eastAsia="Calibri" w:hAnsiTheme="majorHAnsi"/>
          <w:sz w:val="20"/>
          <w:szCs w:val="20"/>
          <w:lang w:val="es-ES"/>
        </w:rPr>
        <w:t xml:space="preserve">. </w:t>
      </w:r>
    </w:p>
    <w:p w14:paraId="0C479561" w14:textId="77777777" w:rsidR="009F70EA" w:rsidRDefault="009F70EA" w:rsidP="009F70EA">
      <w:pPr>
        <w:tabs>
          <w:tab w:val="left" w:pos="426"/>
        </w:tabs>
        <w:contextualSpacing/>
        <w:jc w:val="both"/>
        <w:rPr>
          <w:rFonts w:asciiTheme="majorHAnsi" w:eastAsia="Calibri" w:hAnsiTheme="majorHAnsi"/>
          <w:sz w:val="20"/>
          <w:szCs w:val="20"/>
          <w:lang w:val="es-ES"/>
        </w:rPr>
      </w:pPr>
    </w:p>
    <w:p w14:paraId="313A65E2" w14:textId="77777777" w:rsidR="000F00CB" w:rsidRDefault="000F00CB" w:rsidP="009F70EA">
      <w:pPr>
        <w:tabs>
          <w:tab w:val="left" w:pos="426"/>
        </w:tabs>
        <w:contextualSpacing/>
        <w:jc w:val="both"/>
        <w:rPr>
          <w:rFonts w:asciiTheme="majorHAnsi" w:eastAsia="Calibri" w:hAnsiTheme="majorHAnsi"/>
          <w:sz w:val="20"/>
          <w:szCs w:val="20"/>
          <w:lang w:val="es-ES"/>
        </w:rPr>
      </w:pPr>
    </w:p>
    <w:p w14:paraId="2863590F" w14:textId="77777777" w:rsidR="000F00CB" w:rsidRDefault="000F00CB" w:rsidP="009F70EA">
      <w:pPr>
        <w:tabs>
          <w:tab w:val="left" w:pos="426"/>
        </w:tabs>
        <w:contextualSpacing/>
        <w:jc w:val="both"/>
        <w:rPr>
          <w:rFonts w:asciiTheme="majorHAnsi" w:eastAsia="Calibri" w:hAnsiTheme="majorHAnsi"/>
          <w:sz w:val="20"/>
          <w:szCs w:val="20"/>
          <w:lang w:val="es-ES"/>
        </w:rPr>
      </w:pPr>
    </w:p>
    <w:p w14:paraId="065C52A5" w14:textId="77777777" w:rsidR="000F00CB" w:rsidRDefault="000F00CB" w:rsidP="009F70EA">
      <w:pPr>
        <w:tabs>
          <w:tab w:val="left" w:pos="426"/>
        </w:tabs>
        <w:contextualSpacing/>
        <w:jc w:val="both"/>
        <w:rPr>
          <w:rFonts w:asciiTheme="majorHAnsi" w:eastAsia="Calibri" w:hAnsiTheme="majorHAnsi"/>
          <w:sz w:val="20"/>
          <w:szCs w:val="20"/>
          <w:lang w:val="es-ES"/>
        </w:rPr>
      </w:pPr>
    </w:p>
    <w:p w14:paraId="1EDB2E47" w14:textId="77777777" w:rsidR="009F70EA" w:rsidRPr="00386E47" w:rsidRDefault="007F64D0" w:rsidP="002457E7">
      <w:pPr>
        <w:pStyle w:val="ListParagraph"/>
        <w:numPr>
          <w:ilvl w:val="0"/>
          <w:numId w:val="58"/>
        </w:numPr>
        <w:rPr>
          <w:b/>
          <w:sz w:val="20"/>
          <w:szCs w:val="20"/>
          <w:lang w:val="es-AR"/>
        </w:rPr>
      </w:pPr>
      <w:r w:rsidRPr="00386E47">
        <w:rPr>
          <w:b/>
          <w:sz w:val="20"/>
          <w:szCs w:val="20"/>
          <w:lang w:val="es-AR"/>
        </w:rPr>
        <w:t>Consideraciones de la Comisión</w:t>
      </w:r>
    </w:p>
    <w:p w14:paraId="598B2552" w14:textId="77777777" w:rsidR="009F70EA" w:rsidRPr="00386E47" w:rsidRDefault="009F70EA" w:rsidP="009F70EA">
      <w:pPr>
        <w:tabs>
          <w:tab w:val="left" w:pos="426"/>
        </w:tabs>
        <w:ind w:left="720"/>
        <w:contextualSpacing/>
        <w:jc w:val="both"/>
        <w:rPr>
          <w:rFonts w:asciiTheme="majorHAnsi" w:eastAsia="Calibri" w:hAnsiTheme="majorHAnsi"/>
          <w:b/>
          <w:sz w:val="20"/>
          <w:szCs w:val="20"/>
          <w:lang w:val="es-ES"/>
        </w:rPr>
      </w:pPr>
    </w:p>
    <w:p w14:paraId="4A239839" w14:textId="77777777" w:rsidR="000727B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Tal como se indicó </w:t>
      </w:r>
      <w:r w:rsidR="00043289" w:rsidRPr="00386E47">
        <w:rPr>
          <w:rFonts w:asciiTheme="majorHAnsi" w:eastAsia="Calibri" w:hAnsiTheme="majorHAnsi"/>
          <w:sz w:val="20"/>
          <w:szCs w:val="20"/>
          <w:lang w:val="es-ES"/>
        </w:rPr>
        <w:t xml:space="preserve">anteriormente, </w:t>
      </w:r>
      <w:r w:rsidR="00043289" w:rsidRPr="00386E47">
        <w:rPr>
          <w:rFonts w:asciiTheme="majorHAnsi" w:eastAsia="Calibri" w:hAnsiTheme="majorHAnsi"/>
          <w:sz w:val="20"/>
          <w:szCs w:val="20"/>
          <w:lang w:val="es-AR"/>
        </w:rPr>
        <w:t>en vista de que la investigación fue obstaculizada como resultado de la propia actuación estatal, existe una obligación acentuada para el Estado argentino de investigar y, en su caso, sancionar todas las demoras, desviaciones e irregularidades que fueron cometidas por agentes estatales que participaron en la investigación y que se han constituido en factores de impunidad en el presente caso. Dicha investigación debe ser asumida de manera seria y diligente</w:t>
      </w:r>
      <w:r w:rsidR="008026D7" w:rsidRPr="00386E47">
        <w:rPr>
          <w:rFonts w:asciiTheme="majorHAnsi" w:eastAsia="Calibri" w:hAnsiTheme="majorHAnsi"/>
          <w:sz w:val="20"/>
          <w:szCs w:val="20"/>
          <w:lang w:val="es-AR"/>
        </w:rPr>
        <w:t xml:space="preserve">, de tal forma que se logre esclarecer lo ocurrido y determinar la culpabilidad o inocencia de las personas que son vinculadas a tales procesos, </w:t>
      </w:r>
      <w:r w:rsidR="002958BB" w:rsidRPr="00386E47">
        <w:rPr>
          <w:rFonts w:asciiTheme="majorHAnsi" w:eastAsia="Calibri" w:hAnsiTheme="majorHAnsi"/>
          <w:sz w:val="20"/>
          <w:szCs w:val="20"/>
          <w:lang w:val="es-AR"/>
        </w:rPr>
        <w:t xml:space="preserve">dentro </w:t>
      </w:r>
      <w:r w:rsidR="002457E7" w:rsidRPr="00386E47">
        <w:rPr>
          <w:rFonts w:asciiTheme="majorHAnsi" w:eastAsia="Calibri" w:hAnsiTheme="majorHAnsi"/>
          <w:sz w:val="20"/>
          <w:szCs w:val="20"/>
          <w:lang w:val="es-AR"/>
        </w:rPr>
        <w:t>de un</w:t>
      </w:r>
      <w:r w:rsidR="008026D7" w:rsidRPr="00386E47">
        <w:rPr>
          <w:rFonts w:asciiTheme="majorHAnsi" w:eastAsia="Calibri" w:hAnsiTheme="majorHAnsi"/>
          <w:sz w:val="20"/>
          <w:szCs w:val="20"/>
          <w:lang w:val="es-AR"/>
        </w:rPr>
        <w:t xml:space="preserve"> plazo razonable.  </w:t>
      </w:r>
      <w:r w:rsidR="00397A09" w:rsidRPr="00386E47">
        <w:rPr>
          <w:rFonts w:asciiTheme="majorHAnsi" w:eastAsia="Calibri" w:hAnsiTheme="majorHAnsi"/>
          <w:sz w:val="20"/>
          <w:szCs w:val="20"/>
          <w:lang w:val="es-AR"/>
        </w:rPr>
        <w:t xml:space="preserve"> </w:t>
      </w:r>
    </w:p>
    <w:p w14:paraId="5293AFF4" w14:textId="77777777" w:rsidR="000727BA" w:rsidRPr="00386E47" w:rsidRDefault="000727BA" w:rsidP="00A311A0">
      <w:pPr>
        <w:tabs>
          <w:tab w:val="left" w:pos="567"/>
        </w:tabs>
        <w:contextualSpacing/>
        <w:jc w:val="both"/>
        <w:rPr>
          <w:rFonts w:asciiTheme="majorHAnsi" w:eastAsia="Calibri" w:hAnsiTheme="majorHAnsi"/>
          <w:sz w:val="20"/>
          <w:szCs w:val="20"/>
          <w:lang w:val="es-ES"/>
        </w:rPr>
      </w:pPr>
    </w:p>
    <w:p w14:paraId="06D1F70A" w14:textId="77777777" w:rsidR="00397A09" w:rsidRPr="00386E47" w:rsidRDefault="008026D7" w:rsidP="003A5860">
      <w:pPr>
        <w:numPr>
          <w:ilvl w:val="0"/>
          <w:numId w:val="55"/>
        </w:numPr>
        <w:tabs>
          <w:tab w:val="left" w:pos="567"/>
        </w:tabs>
        <w:ind w:left="0" w:firstLine="0"/>
        <w:contextualSpacing/>
        <w:jc w:val="both"/>
        <w:rPr>
          <w:rFonts w:asciiTheme="majorHAnsi" w:eastAsia="Calibri" w:hAnsiTheme="majorHAnsi"/>
          <w:b/>
          <w:sz w:val="20"/>
          <w:szCs w:val="20"/>
          <w:lang w:val="es-ES"/>
        </w:rPr>
      </w:pPr>
      <w:r w:rsidRPr="00386E47">
        <w:rPr>
          <w:rFonts w:asciiTheme="majorHAnsi" w:eastAsia="Calibri" w:hAnsiTheme="majorHAnsi"/>
          <w:sz w:val="20"/>
          <w:szCs w:val="20"/>
          <w:lang w:val="es-AR"/>
        </w:rPr>
        <w:t>A continuación, la Comisión se referirá a los procesos que se siguen en curso</w:t>
      </w:r>
      <w:r w:rsidR="007F64D0" w:rsidRPr="00386E47">
        <w:rPr>
          <w:rFonts w:asciiTheme="majorHAnsi" w:eastAsia="Calibri" w:hAnsiTheme="majorHAnsi"/>
          <w:sz w:val="20"/>
          <w:szCs w:val="20"/>
          <w:lang w:val="es-AR"/>
        </w:rPr>
        <w:t>.</w:t>
      </w:r>
      <w:r w:rsidR="000727BA" w:rsidRPr="00386E47">
        <w:rPr>
          <w:rFonts w:asciiTheme="majorHAnsi" w:eastAsia="Calibri" w:hAnsiTheme="majorHAnsi"/>
          <w:sz w:val="20"/>
          <w:szCs w:val="20"/>
          <w:lang w:val="es-AR"/>
        </w:rPr>
        <w:t xml:space="preserve"> Al realizar dicho análisis la Comisión</w:t>
      </w:r>
      <w:r w:rsidR="000727BA" w:rsidRPr="00386E47">
        <w:rPr>
          <w:rFonts w:asciiTheme="majorHAnsi" w:eastAsia="Calibri" w:hAnsiTheme="majorHAnsi"/>
          <w:sz w:val="20"/>
          <w:szCs w:val="20"/>
          <w:lang w:val="es-ES"/>
        </w:rPr>
        <w:t xml:space="preserve"> tomará en cuenta que, tal y como lo ha </w:t>
      </w:r>
      <w:r w:rsidR="00397A09" w:rsidRPr="00386E47">
        <w:rPr>
          <w:rFonts w:asciiTheme="majorHAnsi" w:eastAsia="Calibri" w:hAnsiTheme="majorHAnsi"/>
          <w:sz w:val="20"/>
          <w:szCs w:val="20"/>
          <w:lang w:val="es-ES"/>
        </w:rPr>
        <w:t xml:space="preserve">referido la Corte, </w:t>
      </w:r>
      <w:r w:rsidR="000727BA" w:rsidRPr="00386E47">
        <w:rPr>
          <w:rFonts w:asciiTheme="majorHAnsi" w:eastAsia="Calibri" w:hAnsiTheme="majorHAnsi"/>
          <w:sz w:val="20"/>
          <w:szCs w:val="20"/>
          <w:lang w:val="es-ES"/>
        </w:rPr>
        <w:t>“ante actos que dan cuenta de la obstaculización de la administración de justicia, tales como la alteración y supresión de la prueba aumenta la diligencia con la que debe actuar el Estado en la investigación”</w:t>
      </w:r>
      <w:r w:rsidR="000727BA" w:rsidRPr="00386E47">
        <w:rPr>
          <w:rFonts w:asciiTheme="majorHAnsi" w:eastAsia="Calibri" w:hAnsiTheme="majorHAnsi"/>
          <w:sz w:val="20"/>
          <w:szCs w:val="20"/>
          <w:vertAlign w:val="superscript"/>
          <w:lang w:val="es-ES"/>
        </w:rPr>
        <w:footnoteReference w:id="261"/>
      </w:r>
      <w:r w:rsidR="000727BA" w:rsidRPr="00386E47">
        <w:rPr>
          <w:rFonts w:asciiTheme="majorHAnsi" w:eastAsia="Calibri" w:hAnsiTheme="majorHAnsi"/>
          <w:sz w:val="20"/>
          <w:szCs w:val="20"/>
          <w:lang w:val="es-ES"/>
        </w:rPr>
        <w:t>.</w:t>
      </w:r>
      <w:r w:rsidR="00397A09" w:rsidRPr="00386E47">
        <w:rPr>
          <w:rFonts w:asciiTheme="majorHAnsi" w:eastAsia="Calibri" w:hAnsiTheme="majorHAnsi"/>
          <w:sz w:val="20"/>
          <w:szCs w:val="20"/>
          <w:lang w:val="es-ES"/>
        </w:rPr>
        <w:t xml:space="preserve"> </w:t>
      </w:r>
    </w:p>
    <w:p w14:paraId="3FFEF47A" w14:textId="77777777" w:rsidR="00397A09" w:rsidRPr="00386E47" w:rsidRDefault="00397A09" w:rsidP="00A311A0">
      <w:pPr>
        <w:tabs>
          <w:tab w:val="left" w:pos="567"/>
        </w:tabs>
        <w:contextualSpacing/>
        <w:jc w:val="both"/>
        <w:rPr>
          <w:rFonts w:asciiTheme="majorHAnsi" w:eastAsia="Calibri" w:hAnsiTheme="majorHAnsi"/>
          <w:b/>
          <w:sz w:val="20"/>
          <w:szCs w:val="20"/>
          <w:lang w:val="es-AR"/>
        </w:rPr>
      </w:pPr>
    </w:p>
    <w:p w14:paraId="32F5CEDA" w14:textId="77777777" w:rsidR="0049683A" w:rsidRPr="00386E47" w:rsidRDefault="008026D7"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lastRenderedPageBreak/>
        <w:t>L</w:t>
      </w:r>
      <w:r w:rsidR="004B548A" w:rsidRPr="00386E47">
        <w:rPr>
          <w:rFonts w:asciiTheme="majorHAnsi" w:eastAsia="Calibri" w:hAnsiTheme="majorHAnsi"/>
          <w:sz w:val="20"/>
          <w:szCs w:val="20"/>
          <w:lang w:val="es-ES"/>
        </w:rPr>
        <w:t>a Comisión observa</w:t>
      </w:r>
      <w:r w:rsidR="000E35A2" w:rsidRPr="00386E47">
        <w:rPr>
          <w:rFonts w:asciiTheme="majorHAnsi" w:eastAsia="Calibri" w:hAnsiTheme="majorHAnsi"/>
          <w:sz w:val="20"/>
          <w:szCs w:val="20"/>
          <w:lang w:val="es-ES"/>
        </w:rPr>
        <w:t xml:space="preserve"> que</w:t>
      </w:r>
      <w:r w:rsidR="002958BB" w:rsidRPr="00386E47">
        <w:rPr>
          <w:rFonts w:asciiTheme="majorHAnsi" w:eastAsia="Calibri" w:hAnsiTheme="majorHAnsi"/>
          <w:sz w:val="20"/>
          <w:szCs w:val="20"/>
          <w:lang w:val="es-ES"/>
        </w:rPr>
        <w:t xml:space="preserve"> </w:t>
      </w:r>
      <w:r w:rsidR="0049683A" w:rsidRPr="00386E47">
        <w:rPr>
          <w:rFonts w:asciiTheme="majorHAnsi" w:eastAsia="Calibri" w:hAnsiTheme="majorHAnsi"/>
          <w:sz w:val="20"/>
          <w:szCs w:val="20"/>
          <w:lang w:val="es-ES"/>
        </w:rPr>
        <w:t xml:space="preserve">tanto los hechos vinculados con el tramo que tenía como objeto procesal el pago a </w:t>
      </w:r>
      <w:r w:rsidR="002457E7" w:rsidRPr="00386E47">
        <w:rPr>
          <w:rFonts w:asciiTheme="majorHAnsi" w:eastAsia="Calibri" w:hAnsiTheme="majorHAnsi"/>
          <w:sz w:val="20"/>
          <w:szCs w:val="20"/>
          <w:lang w:val="es-ES"/>
        </w:rPr>
        <w:t>Telleldin</w:t>
      </w:r>
      <w:r w:rsidR="0049683A" w:rsidRPr="00386E47">
        <w:rPr>
          <w:rFonts w:asciiTheme="majorHAnsi" w:eastAsia="Calibri" w:hAnsiTheme="majorHAnsi"/>
          <w:sz w:val="20"/>
          <w:szCs w:val="20"/>
          <w:lang w:val="es-ES"/>
        </w:rPr>
        <w:t xml:space="preserve"> con fondos reservados de la SIDE como el relacionado con la falta de profundización de la llamada “pista siria-Kanoore Edul”, se sustentan fundamentalmente en elementos de prueba que se encontraban presentes desde el mismo inicio en que comenzaron a ser investigados</w:t>
      </w:r>
      <w:r w:rsidR="00017822" w:rsidRPr="00386E47">
        <w:rPr>
          <w:rFonts w:asciiTheme="majorHAnsi" w:eastAsia="Calibri" w:hAnsiTheme="majorHAnsi"/>
          <w:sz w:val="20"/>
          <w:szCs w:val="20"/>
          <w:lang w:val="es-ES"/>
        </w:rPr>
        <w:t xml:space="preserve">, de tal forma que no </w:t>
      </w:r>
      <w:r w:rsidR="002C25B5" w:rsidRPr="00386E47">
        <w:rPr>
          <w:rFonts w:asciiTheme="majorHAnsi" w:eastAsia="Calibri" w:hAnsiTheme="majorHAnsi"/>
          <w:sz w:val="20"/>
          <w:szCs w:val="20"/>
          <w:lang w:val="es-ES"/>
        </w:rPr>
        <w:t>revestían</w:t>
      </w:r>
      <w:r w:rsidR="0049683A" w:rsidRPr="00386E47">
        <w:rPr>
          <w:rFonts w:asciiTheme="majorHAnsi" w:eastAsia="Calibri" w:hAnsiTheme="majorHAnsi"/>
          <w:sz w:val="20"/>
          <w:szCs w:val="20"/>
          <w:lang w:val="es-ES"/>
        </w:rPr>
        <w:t xml:space="preserve"> especial complejidad. </w:t>
      </w:r>
    </w:p>
    <w:p w14:paraId="1B0D5591" w14:textId="77777777" w:rsidR="0049683A" w:rsidRPr="00386E47" w:rsidRDefault="0049683A" w:rsidP="00A311A0">
      <w:pPr>
        <w:tabs>
          <w:tab w:val="left" w:pos="567"/>
        </w:tabs>
        <w:contextualSpacing/>
        <w:jc w:val="both"/>
        <w:rPr>
          <w:rFonts w:asciiTheme="majorHAnsi" w:eastAsia="Calibri" w:hAnsiTheme="majorHAnsi"/>
          <w:sz w:val="20"/>
          <w:szCs w:val="20"/>
          <w:lang w:val="es-ES"/>
        </w:rPr>
      </w:pPr>
    </w:p>
    <w:p w14:paraId="69986361" w14:textId="77777777" w:rsidR="00017822" w:rsidRPr="00386E47" w:rsidRDefault="0049683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Respecto del pago a </w:t>
      </w:r>
      <w:r w:rsidR="002457E7" w:rsidRPr="00386E47">
        <w:rPr>
          <w:rFonts w:asciiTheme="majorHAnsi" w:eastAsia="Calibri" w:hAnsiTheme="majorHAnsi"/>
          <w:sz w:val="20"/>
          <w:szCs w:val="20"/>
          <w:lang w:val="es-ES"/>
        </w:rPr>
        <w:t>Telleldin</w:t>
      </w:r>
      <w:r w:rsidRPr="00386E47">
        <w:rPr>
          <w:rFonts w:asciiTheme="majorHAnsi" w:eastAsia="Calibri" w:hAnsiTheme="majorHAnsi"/>
          <w:sz w:val="20"/>
          <w:szCs w:val="20"/>
          <w:lang w:val="es-ES"/>
        </w:rPr>
        <w:t xml:space="preserve">, </w:t>
      </w:r>
      <w:r w:rsidR="008026D7" w:rsidRPr="00386E47">
        <w:rPr>
          <w:rFonts w:asciiTheme="majorHAnsi" w:eastAsia="Calibri" w:hAnsiTheme="majorHAnsi"/>
          <w:sz w:val="20"/>
          <w:szCs w:val="20"/>
          <w:lang w:val="es-ES"/>
        </w:rPr>
        <w:t xml:space="preserve">los hechos relacionados </w:t>
      </w:r>
      <w:r w:rsidR="009F70EA" w:rsidRPr="00386E47">
        <w:rPr>
          <w:rFonts w:asciiTheme="majorHAnsi" w:eastAsia="Calibri" w:hAnsiTheme="majorHAnsi"/>
          <w:sz w:val="20"/>
          <w:szCs w:val="20"/>
          <w:lang w:val="es-ES"/>
        </w:rPr>
        <w:t>había</w:t>
      </w:r>
      <w:r w:rsidR="008026D7" w:rsidRPr="00386E47">
        <w:rPr>
          <w:rFonts w:asciiTheme="majorHAnsi" w:eastAsia="Calibri" w:hAnsiTheme="majorHAnsi"/>
          <w:sz w:val="20"/>
          <w:szCs w:val="20"/>
          <w:lang w:val="es-ES"/>
        </w:rPr>
        <w:t>n</w:t>
      </w:r>
      <w:r w:rsidR="009F70EA" w:rsidRPr="00386E47">
        <w:rPr>
          <w:rFonts w:asciiTheme="majorHAnsi" w:eastAsia="Calibri" w:hAnsiTheme="majorHAnsi"/>
          <w:sz w:val="20"/>
          <w:szCs w:val="20"/>
          <w:lang w:val="es-ES"/>
        </w:rPr>
        <w:t xml:space="preserve"> sido objeto </w:t>
      </w:r>
      <w:r w:rsidR="002457E7" w:rsidRPr="00386E47">
        <w:rPr>
          <w:rFonts w:asciiTheme="majorHAnsi" w:eastAsia="Calibri" w:hAnsiTheme="majorHAnsi"/>
          <w:sz w:val="20"/>
          <w:szCs w:val="20"/>
          <w:lang w:val="es-ES"/>
        </w:rPr>
        <w:t>de comprobación</w:t>
      </w:r>
      <w:r w:rsidR="009F70EA" w:rsidRPr="00386E47">
        <w:rPr>
          <w:rFonts w:asciiTheme="majorHAnsi" w:eastAsia="Calibri" w:hAnsiTheme="majorHAnsi"/>
          <w:sz w:val="20"/>
          <w:szCs w:val="20"/>
          <w:lang w:val="es-ES"/>
        </w:rPr>
        <w:t xml:space="preserve"> judicial a partir de los elementos de prueba producidos durante el juicio oral celebrado ante el TOF 3, </w:t>
      </w:r>
      <w:r w:rsidR="003C7EA3" w:rsidRPr="00386E47">
        <w:rPr>
          <w:rFonts w:asciiTheme="majorHAnsi" w:eastAsia="Calibri" w:hAnsiTheme="majorHAnsi"/>
          <w:sz w:val="20"/>
          <w:szCs w:val="20"/>
          <w:lang w:val="es-ES"/>
        </w:rPr>
        <w:t xml:space="preserve">cuya sentencia fue </w:t>
      </w:r>
      <w:r w:rsidR="009F70EA" w:rsidRPr="00386E47">
        <w:rPr>
          <w:rFonts w:asciiTheme="majorHAnsi" w:eastAsia="Calibri" w:hAnsiTheme="majorHAnsi"/>
          <w:sz w:val="20"/>
          <w:szCs w:val="20"/>
          <w:lang w:val="es-ES"/>
        </w:rPr>
        <w:t xml:space="preserve">dictada en octubre de 2004. </w:t>
      </w:r>
      <w:r w:rsidR="008026D7" w:rsidRPr="00386E47">
        <w:rPr>
          <w:rFonts w:asciiTheme="majorHAnsi" w:eastAsia="Calibri" w:hAnsiTheme="majorHAnsi"/>
          <w:sz w:val="20"/>
          <w:szCs w:val="20"/>
          <w:lang w:val="es-ES"/>
        </w:rPr>
        <w:t xml:space="preserve"> </w:t>
      </w:r>
      <w:r w:rsidR="009F70EA" w:rsidRPr="00386E47">
        <w:rPr>
          <w:rFonts w:asciiTheme="majorHAnsi" w:eastAsia="Calibri" w:hAnsiTheme="majorHAnsi"/>
          <w:sz w:val="20"/>
          <w:szCs w:val="20"/>
          <w:lang w:val="es-ES"/>
        </w:rPr>
        <w:t xml:space="preserve">Asimismo, el TOF 3 tuvo por acreditado la </w:t>
      </w:r>
      <w:r w:rsidRPr="00386E47">
        <w:rPr>
          <w:rFonts w:asciiTheme="majorHAnsi" w:eastAsia="Calibri" w:hAnsiTheme="majorHAnsi"/>
          <w:sz w:val="20"/>
          <w:szCs w:val="20"/>
          <w:lang w:val="es-ES"/>
        </w:rPr>
        <w:t xml:space="preserve">misma </w:t>
      </w:r>
      <w:r w:rsidR="009F70EA" w:rsidRPr="00386E47">
        <w:rPr>
          <w:rFonts w:asciiTheme="majorHAnsi" w:eastAsia="Calibri" w:hAnsiTheme="majorHAnsi"/>
          <w:sz w:val="20"/>
          <w:szCs w:val="20"/>
          <w:lang w:val="es-ES"/>
        </w:rPr>
        <w:t xml:space="preserve">secuencia de hechos </w:t>
      </w:r>
      <w:r w:rsidR="007F64D0" w:rsidRPr="00386E47">
        <w:rPr>
          <w:rFonts w:asciiTheme="majorHAnsi" w:eastAsia="Calibri" w:hAnsiTheme="majorHAnsi"/>
          <w:sz w:val="20"/>
          <w:szCs w:val="20"/>
          <w:lang w:val="es-ES"/>
        </w:rPr>
        <w:t xml:space="preserve">que </w:t>
      </w:r>
      <w:r w:rsidR="00F0749E" w:rsidRPr="00386E47">
        <w:rPr>
          <w:rFonts w:asciiTheme="majorHAnsi" w:eastAsia="Calibri" w:hAnsiTheme="majorHAnsi"/>
          <w:sz w:val="20"/>
          <w:szCs w:val="20"/>
          <w:lang w:val="es-ES"/>
        </w:rPr>
        <w:t>culminó</w:t>
      </w:r>
      <w:r w:rsidR="007F64D0" w:rsidRPr="00386E47">
        <w:rPr>
          <w:rFonts w:asciiTheme="majorHAnsi" w:eastAsia="Calibri" w:hAnsiTheme="majorHAnsi"/>
          <w:sz w:val="20"/>
          <w:szCs w:val="20"/>
          <w:lang w:val="es-ES"/>
        </w:rPr>
        <w:t xml:space="preserve"> </w:t>
      </w:r>
      <w:r w:rsidR="009F70EA" w:rsidRPr="00386E47">
        <w:rPr>
          <w:rFonts w:asciiTheme="majorHAnsi" w:eastAsia="Calibri" w:hAnsiTheme="majorHAnsi"/>
          <w:sz w:val="20"/>
          <w:szCs w:val="20"/>
          <w:lang w:val="es-ES"/>
        </w:rPr>
        <w:t xml:space="preserve">con la declaración ampliatoria de </w:t>
      </w:r>
      <w:r w:rsidR="002457E7" w:rsidRPr="00386E47">
        <w:rPr>
          <w:rFonts w:asciiTheme="majorHAnsi" w:eastAsia="Calibri" w:hAnsiTheme="majorHAnsi"/>
          <w:sz w:val="20"/>
          <w:szCs w:val="20"/>
          <w:lang w:val="es-ES"/>
        </w:rPr>
        <w:t>Telleldin</w:t>
      </w:r>
      <w:r w:rsidR="009F70EA" w:rsidRPr="00386E47">
        <w:rPr>
          <w:rFonts w:asciiTheme="majorHAnsi" w:eastAsia="Calibri" w:hAnsiTheme="majorHAnsi"/>
          <w:sz w:val="20"/>
          <w:szCs w:val="20"/>
          <w:lang w:val="es-ES"/>
        </w:rPr>
        <w:t xml:space="preserve"> del 5 de julio de 1996, a partir de la cual se consolidó como única línea investigativa la hipótesis que sostenía </w:t>
      </w:r>
      <w:r w:rsidRPr="00386E47">
        <w:rPr>
          <w:rFonts w:asciiTheme="majorHAnsi" w:eastAsia="Calibri" w:hAnsiTheme="majorHAnsi"/>
          <w:sz w:val="20"/>
          <w:szCs w:val="20"/>
          <w:lang w:val="es-ES"/>
        </w:rPr>
        <w:t xml:space="preserve">a cambio del pago realizado por funcionarios del SIDE </w:t>
      </w:r>
      <w:r w:rsidR="009F70EA" w:rsidRPr="00386E47">
        <w:rPr>
          <w:rFonts w:asciiTheme="majorHAnsi" w:eastAsia="Calibri" w:hAnsiTheme="majorHAnsi"/>
          <w:sz w:val="20"/>
          <w:szCs w:val="20"/>
          <w:lang w:val="es-ES"/>
        </w:rPr>
        <w:t xml:space="preserve">la responsabilidad de ciertos policías bonaerenses. </w:t>
      </w:r>
      <w:r w:rsidR="002958BB" w:rsidRPr="00386E47">
        <w:rPr>
          <w:rFonts w:asciiTheme="majorHAnsi" w:eastAsia="Calibri" w:hAnsiTheme="majorHAnsi"/>
          <w:sz w:val="20"/>
          <w:szCs w:val="20"/>
          <w:lang w:val="es-ES"/>
        </w:rPr>
        <w:t xml:space="preserve"> </w:t>
      </w:r>
      <w:r w:rsidR="00017822" w:rsidRPr="00386E47">
        <w:rPr>
          <w:rFonts w:asciiTheme="majorHAnsi" w:eastAsia="Calibri" w:hAnsiTheme="majorHAnsi"/>
          <w:sz w:val="20"/>
          <w:szCs w:val="20"/>
          <w:lang w:val="es-ES"/>
        </w:rPr>
        <w:t xml:space="preserve"> La Comisión nota que el auto de procesamiento de fecha 19 de septiembre de 2006 dictado contra el ex juez Galeano y los ex fiscales del caso, entre otros imputados, se sustentó, en gran medida, en la valoración de prueba preconstituida tanto durante la etapa de instrucción por el atentado a la AMIA como durante el debate oral celebrado ante el TOF 3</w:t>
      </w:r>
      <w:r w:rsidR="00017822" w:rsidRPr="00386E47">
        <w:rPr>
          <w:rFonts w:asciiTheme="majorHAnsi" w:eastAsia="Calibri" w:hAnsiTheme="majorHAnsi"/>
          <w:sz w:val="20"/>
          <w:szCs w:val="20"/>
          <w:vertAlign w:val="superscript"/>
          <w:lang w:val="es-ES"/>
        </w:rPr>
        <w:footnoteReference w:id="262"/>
      </w:r>
      <w:r w:rsidR="00017822" w:rsidRPr="00386E47">
        <w:rPr>
          <w:rFonts w:asciiTheme="majorHAnsi" w:eastAsia="Calibri" w:hAnsiTheme="majorHAnsi"/>
          <w:sz w:val="20"/>
          <w:szCs w:val="20"/>
          <w:lang w:val="es-ES"/>
        </w:rPr>
        <w:t xml:space="preserve">. </w:t>
      </w:r>
    </w:p>
    <w:p w14:paraId="162979ED" w14:textId="77777777" w:rsidR="0049683A" w:rsidRPr="00386E47" w:rsidRDefault="0049683A" w:rsidP="00347DFB">
      <w:pPr>
        <w:tabs>
          <w:tab w:val="left" w:pos="567"/>
        </w:tabs>
        <w:contextualSpacing/>
        <w:jc w:val="both"/>
        <w:rPr>
          <w:rFonts w:asciiTheme="majorHAnsi" w:eastAsia="Calibri" w:hAnsiTheme="majorHAnsi"/>
          <w:sz w:val="20"/>
          <w:szCs w:val="20"/>
          <w:lang w:val="es-ES"/>
        </w:rPr>
      </w:pPr>
    </w:p>
    <w:p w14:paraId="50372BF9" w14:textId="77777777" w:rsidR="00017822" w:rsidRPr="00386E47" w:rsidRDefault="0049683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Respecto de la </w:t>
      </w:r>
      <w:r w:rsidR="00017822" w:rsidRPr="00386E47">
        <w:rPr>
          <w:rFonts w:asciiTheme="majorHAnsi" w:eastAsia="Calibri" w:hAnsiTheme="majorHAnsi"/>
          <w:sz w:val="20"/>
          <w:szCs w:val="20"/>
          <w:lang w:val="es-ES"/>
        </w:rPr>
        <w:t xml:space="preserve">investigación sobre la falta de profundización de la </w:t>
      </w:r>
      <w:r w:rsidRPr="00386E47">
        <w:rPr>
          <w:rFonts w:asciiTheme="majorHAnsi" w:eastAsia="Calibri" w:hAnsiTheme="majorHAnsi"/>
          <w:sz w:val="20"/>
          <w:szCs w:val="20"/>
          <w:lang w:val="es-ES"/>
        </w:rPr>
        <w:t xml:space="preserve">pista </w:t>
      </w:r>
      <w:r w:rsidR="00017822" w:rsidRPr="00386E47">
        <w:rPr>
          <w:rFonts w:asciiTheme="majorHAnsi" w:eastAsia="Calibri" w:hAnsiTheme="majorHAnsi"/>
          <w:sz w:val="20"/>
          <w:szCs w:val="20"/>
          <w:lang w:val="es-ES"/>
        </w:rPr>
        <w:t>siria- Kannore Edul, de manera similar</w:t>
      </w:r>
      <w:r w:rsidR="001B3781" w:rsidRPr="00386E47">
        <w:rPr>
          <w:rFonts w:asciiTheme="majorHAnsi" w:eastAsia="Calibri" w:hAnsiTheme="majorHAnsi"/>
          <w:sz w:val="20"/>
          <w:szCs w:val="20"/>
          <w:lang w:val="es-ES"/>
        </w:rPr>
        <w:t>,</w:t>
      </w:r>
      <w:r w:rsidRPr="00386E47">
        <w:rPr>
          <w:rFonts w:asciiTheme="majorHAnsi" w:eastAsia="Calibri" w:hAnsiTheme="majorHAnsi"/>
          <w:sz w:val="20"/>
          <w:szCs w:val="20"/>
          <w:lang w:val="es-ES"/>
        </w:rPr>
        <w:t xml:space="preserve"> gran parte de las pruebas evaluadas por el TOF 2 en su sentencia de mayo de </w:t>
      </w:r>
      <w:r w:rsidR="002457E7" w:rsidRPr="00386E47">
        <w:rPr>
          <w:rFonts w:asciiTheme="majorHAnsi" w:eastAsia="Calibri" w:hAnsiTheme="majorHAnsi"/>
          <w:sz w:val="20"/>
          <w:szCs w:val="20"/>
          <w:lang w:val="es-ES"/>
        </w:rPr>
        <w:t>2019 se</w:t>
      </w:r>
      <w:r w:rsidRPr="00386E47">
        <w:rPr>
          <w:rFonts w:asciiTheme="majorHAnsi" w:eastAsia="Calibri" w:hAnsiTheme="majorHAnsi"/>
          <w:sz w:val="20"/>
          <w:szCs w:val="20"/>
          <w:lang w:val="es-ES"/>
        </w:rPr>
        <w:t xml:space="preserve"> encontraban a disposición de los órganos judiciales desde los inicios mismos de la instrucción. Tanto de la lectura del auto de elevación a juicio de fecha 30 de marzo de 2012 como de la sentencia del TOF 2 de mayo de 2019 se desprende que la comprobación de los hechos relacionados con el abandono deliberado de la llamada pista siria no requerían de la realización de una profusa actividad jurisdiccional, toda vez que los principales elementos de prueba ya se encontraban presentes desde la investigación por el atentado y solo restaba realizar un  análisis jurídico de subsunción de los hechos.  Por ejemplo, al menos desde el año 2001, ya se conocía que las cintas con las grabaciones de las escuchas telefónicas a abonados vinculados con personas de interés para la investigación se encontraban extraviadas. </w:t>
      </w:r>
    </w:p>
    <w:p w14:paraId="6F9ED61B" w14:textId="77777777" w:rsidR="00017822" w:rsidRPr="00386E47" w:rsidRDefault="00017822" w:rsidP="00A311A0">
      <w:pPr>
        <w:tabs>
          <w:tab w:val="left" w:pos="567"/>
        </w:tabs>
        <w:contextualSpacing/>
        <w:jc w:val="both"/>
        <w:rPr>
          <w:rFonts w:asciiTheme="majorHAnsi" w:eastAsia="Calibri" w:hAnsiTheme="majorHAnsi"/>
          <w:sz w:val="20"/>
          <w:szCs w:val="20"/>
          <w:lang w:val="es-ES"/>
        </w:rPr>
      </w:pPr>
    </w:p>
    <w:p w14:paraId="3B88C42B" w14:textId="77777777" w:rsidR="0049683A" w:rsidRPr="00386E47" w:rsidRDefault="0049683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En efecto, esta circunstancia surgió a la luz cuando esos elementos fueron solicitados al juzgado a cargo de Galeano por el TOF 3 para el debate oral que se realizó ante dicho tribunal</w:t>
      </w:r>
      <w:r w:rsidRPr="00386E47">
        <w:rPr>
          <w:rFonts w:asciiTheme="majorHAnsi" w:eastAsia="Calibri" w:hAnsiTheme="majorHAnsi"/>
          <w:sz w:val="20"/>
          <w:szCs w:val="20"/>
          <w:vertAlign w:val="superscript"/>
          <w:lang w:val="es-ES"/>
        </w:rPr>
        <w:footnoteReference w:id="263"/>
      </w:r>
      <w:r w:rsidRPr="00386E47">
        <w:rPr>
          <w:rFonts w:asciiTheme="majorHAnsi" w:eastAsia="Calibri" w:hAnsiTheme="majorHAnsi"/>
          <w:sz w:val="20"/>
          <w:szCs w:val="20"/>
          <w:lang w:val="es-ES"/>
        </w:rPr>
        <w:t>.</w:t>
      </w:r>
      <w:r w:rsidR="00017822" w:rsidRPr="00386E47">
        <w:rPr>
          <w:rFonts w:asciiTheme="majorHAnsi" w:eastAsia="Calibri" w:hAnsiTheme="majorHAnsi"/>
          <w:sz w:val="20"/>
          <w:szCs w:val="20"/>
          <w:lang w:val="es-ES"/>
        </w:rPr>
        <w:t xml:space="preserve"> Adicionalmente, y tal como lo puntualizó el TOF 2, el incumplimiento del mandato judicial de allanamiento a los domicilios de la Calle Constitución vinculados con el Sr. Kanoore Edul, era un hecho que ya se conocía desde agosto de 1994, cuando el comisario a cargo del operativo devolvió sin diligenciar la orden de registro perteneciente al domicilio de Constitución 2633</w:t>
      </w:r>
      <w:r w:rsidR="00017822" w:rsidRPr="00386E47">
        <w:rPr>
          <w:rFonts w:asciiTheme="majorHAnsi" w:eastAsia="Calibri" w:hAnsiTheme="majorHAnsi"/>
          <w:sz w:val="20"/>
          <w:szCs w:val="20"/>
          <w:vertAlign w:val="superscript"/>
          <w:lang w:val="es-ES"/>
        </w:rPr>
        <w:footnoteReference w:id="264"/>
      </w:r>
      <w:r w:rsidR="00017822" w:rsidRPr="00386E47">
        <w:rPr>
          <w:rFonts w:asciiTheme="majorHAnsi" w:eastAsia="Calibri" w:hAnsiTheme="majorHAnsi"/>
          <w:sz w:val="20"/>
          <w:szCs w:val="20"/>
          <w:lang w:val="es-ES"/>
        </w:rPr>
        <w:t xml:space="preserve">.   </w:t>
      </w:r>
    </w:p>
    <w:p w14:paraId="08DA70ED" w14:textId="77777777" w:rsidR="0049683A" w:rsidRPr="00386E47" w:rsidRDefault="0049683A" w:rsidP="00347DFB">
      <w:pPr>
        <w:tabs>
          <w:tab w:val="left" w:pos="567"/>
        </w:tabs>
        <w:contextualSpacing/>
        <w:jc w:val="both"/>
        <w:rPr>
          <w:rFonts w:asciiTheme="majorHAnsi" w:eastAsia="Calibri" w:hAnsiTheme="majorHAnsi"/>
          <w:sz w:val="20"/>
          <w:szCs w:val="20"/>
          <w:lang w:val="es-ES"/>
        </w:rPr>
      </w:pPr>
    </w:p>
    <w:p w14:paraId="3F2AFCA1" w14:textId="77777777" w:rsidR="00017822" w:rsidRPr="00386E47" w:rsidRDefault="002958BB"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A pesar de lo anterior, la Comisión observa que </w:t>
      </w:r>
      <w:r w:rsidR="00017822" w:rsidRPr="00386E47">
        <w:rPr>
          <w:rFonts w:asciiTheme="majorHAnsi" w:eastAsia="Calibri" w:hAnsiTheme="majorHAnsi"/>
          <w:sz w:val="20"/>
          <w:szCs w:val="20"/>
          <w:lang w:val="es-ES"/>
        </w:rPr>
        <w:t>el comportamiento de las autoridades se ha caracterizado por incurrir</w:t>
      </w:r>
      <w:r w:rsidRPr="00386E47">
        <w:rPr>
          <w:rFonts w:asciiTheme="majorHAnsi" w:eastAsia="Calibri" w:hAnsiTheme="majorHAnsi"/>
          <w:sz w:val="20"/>
          <w:szCs w:val="20"/>
          <w:lang w:val="es-ES"/>
        </w:rPr>
        <w:t xml:space="preserve"> en diversas demoras que ha</w:t>
      </w:r>
      <w:r w:rsidR="00017822" w:rsidRPr="00386E47">
        <w:rPr>
          <w:rFonts w:asciiTheme="majorHAnsi" w:eastAsia="Calibri" w:hAnsiTheme="majorHAnsi"/>
          <w:sz w:val="20"/>
          <w:szCs w:val="20"/>
          <w:lang w:val="es-ES"/>
        </w:rPr>
        <w:t>n</w:t>
      </w:r>
      <w:r w:rsidRPr="00386E47">
        <w:rPr>
          <w:rFonts w:asciiTheme="majorHAnsi" w:eastAsia="Calibri" w:hAnsiTheme="majorHAnsi"/>
          <w:sz w:val="20"/>
          <w:szCs w:val="20"/>
          <w:lang w:val="es-ES"/>
        </w:rPr>
        <w:t xml:space="preserve"> prolongado el curso de esta investigación. </w:t>
      </w:r>
    </w:p>
    <w:p w14:paraId="6F2A7FBB" w14:textId="77777777" w:rsidR="00017822" w:rsidRPr="00386E47" w:rsidRDefault="00017822" w:rsidP="00A311A0">
      <w:pPr>
        <w:pStyle w:val="ListParagraph"/>
        <w:rPr>
          <w:rFonts w:asciiTheme="majorHAnsi" w:eastAsia="Calibri" w:hAnsiTheme="majorHAnsi"/>
          <w:sz w:val="20"/>
          <w:szCs w:val="20"/>
          <w:lang w:val="es-ES"/>
        </w:rPr>
      </w:pPr>
    </w:p>
    <w:p w14:paraId="4C732191" w14:textId="77777777" w:rsidR="00017822" w:rsidRPr="00386E47" w:rsidRDefault="00017822"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En la investigación seguida respecto del tramo vinculado al pago de </w:t>
      </w:r>
      <w:r w:rsidR="002457E7" w:rsidRPr="00386E47">
        <w:rPr>
          <w:rFonts w:asciiTheme="majorHAnsi" w:eastAsia="Calibri" w:hAnsiTheme="majorHAnsi"/>
          <w:sz w:val="20"/>
          <w:szCs w:val="20"/>
          <w:lang w:val="es-ES"/>
        </w:rPr>
        <w:t>Telleldin</w:t>
      </w:r>
      <w:r w:rsidRPr="00386E47">
        <w:rPr>
          <w:rFonts w:asciiTheme="majorHAnsi" w:eastAsia="Calibri" w:hAnsiTheme="majorHAnsi"/>
          <w:sz w:val="20"/>
          <w:szCs w:val="20"/>
          <w:lang w:val="es-ES"/>
        </w:rPr>
        <w:t>, el trámite que las instancias judiciales de apelación imprimieron a los recursos presentados por las defensas de los procesados causó una considerable dilación del proceso. La consecuencia más tangible de esta demora radica en que recién en el año 2015 se dieron inicio a las audiencias de debate oral, esto es: a más de 15 años de presentada la denuncia que dio origen a la investigación por el encubrimiento</w:t>
      </w:r>
      <w:r w:rsidRPr="00386E47">
        <w:rPr>
          <w:rFonts w:asciiTheme="majorHAnsi" w:hAnsiTheme="majorHAnsi"/>
          <w:sz w:val="20"/>
          <w:szCs w:val="20"/>
          <w:vertAlign w:val="superscript"/>
        </w:rPr>
        <w:footnoteReference w:id="265"/>
      </w:r>
      <w:r w:rsidRPr="00386E47">
        <w:rPr>
          <w:rFonts w:asciiTheme="majorHAnsi" w:eastAsia="Calibri" w:hAnsiTheme="majorHAnsi"/>
          <w:sz w:val="20"/>
          <w:szCs w:val="20"/>
          <w:lang w:val="es-ES"/>
        </w:rPr>
        <w:t xml:space="preserve">. La Comisión observa asimismo que resultaron especialmente problemáticas las circunstancias que rodearon la tramitación de un recurso de casación presentado por la defensa del ex juez Galeano contra la decisión de la Sala I “ad hoc” de la Cámara Nacional de Apelaciones en lo Criminal y Correccional Federal que confirmó el auto de procesamiento dictado por el juez de instrucción de fecha 19 de septiembre de 2006. Si bien el recurso quedó radicado ante los estrados de la Cámara de Casación el 31 de octubre de 2007, el tribunal recién fue integrado de manera definitiva el 8 de abril de 2013. La demora en la integración del tribunal se debió a que siete magistrados se inhibieron o excusaron de intervenir en distintos momentos del </w:t>
      </w:r>
      <w:r w:rsidRPr="00386E47">
        <w:rPr>
          <w:rFonts w:asciiTheme="majorHAnsi" w:eastAsia="Calibri" w:hAnsiTheme="majorHAnsi"/>
          <w:sz w:val="20"/>
          <w:szCs w:val="20"/>
          <w:lang w:val="es-ES"/>
        </w:rPr>
        <w:lastRenderedPageBreak/>
        <w:t>trámite. La Cámara de Casación finalmente rechazó el recurso por medio de una resolución dictada el 14 de agosto de 2013</w:t>
      </w:r>
      <w:r w:rsidRPr="00386E47">
        <w:rPr>
          <w:rFonts w:asciiTheme="majorHAnsi" w:eastAsia="Calibri" w:hAnsiTheme="majorHAnsi"/>
          <w:sz w:val="20"/>
          <w:szCs w:val="20"/>
          <w:vertAlign w:val="superscript"/>
          <w:lang w:val="es-ES"/>
        </w:rPr>
        <w:footnoteReference w:id="266"/>
      </w:r>
      <w:r w:rsidRPr="00386E47">
        <w:rPr>
          <w:rFonts w:asciiTheme="majorHAnsi" w:eastAsia="Calibri" w:hAnsiTheme="majorHAnsi"/>
          <w:sz w:val="20"/>
          <w:szCs w:val="20"/>
          <w:lang w:val="es-ES"/>
        </w:rPr>
        <w:t xml:space="preserve">.   </w:t>
      </w:r>
    </w:p>
    <w:p w14:paraId="77DBA298" w14:textId="77777777" w:rsidR="00017822" w:rsidRPr="00386E47" w:rsidRDefault="00017822" w:rsidP="00A311A0">
      <w:pPr>
        <w:tabs>
          <w:tab w:val="left" w:pos="567"/>
        </w:tabs>
        <w:contextualSpacing/>
        <w:jc w:val="both"/>
        <w:rPr>
          <w:rFonts w:asciiTheme="majorHAnsi" w:eastAsia="Calibri" w:hAnsiTheme="majorHAnsi"/>
          <w:sz w:val="20"/>
          <w:szCs w:val="20"/>
          <w:lang w:val="es-ES"/>
        </w:rPr>
      </w:pPr>
    </w:p>
    <w:p w14:paraId="3FF9A924" w14:textId="77777777" w:rsidR="00017822" w:rsidRPr="00386E47" w:rsidRDefault="00017822"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Respecto de la investigación sobre la falta de profundización de la pista siria- Kannore Edul, la Comisión nota que el Juzgado Federal en lo Criminal y Correccional Nro. 4 resolvió el 30 de marzo de 2012 clausurar la instrucción y elevar la causa a juicio oral</w:t>
      </w:r>
      <w:r w:rsidRPr="00386E47">
        <w:rPr>
          <w:rFonts w:asciiTheme="majorHAnsi" w:eastAsia="Calibri" w:hAnsiTheme="majorHAnsi"/>
          <w:sz w:val="20"/>
          <w:szCs w:val="20"/>
          <w:vertAlign w:val="superscript"/>
          <w:lang w:val="es-ES"/>
        </w:rPr>
        <w:footnoteReference w:id="267"/>
      </w:r>
      <w:r w:rsidRPr="00386E47">
        <w:rPr>
          <w:rFonts w:asciiTheme="majorHAnsi" w:eastAsia="Calibri" w:hAnsiTheme="majorHAnsi"/>
          <w:sz w:val="20"/>
          <w:szCs w:val="20"/>
          <w:lang w:val="es-ES"/>
        </w:rPr>
        <w:t>. Considerando que el proceso se inició en el año 2000, ello significa que la etapa de instrucción insumió doce años. Las peticionarias expresaron que el primer magistrado que intervino en la causa debió ser desplazado de la misma por su inactividad procesal</w:t>
      </w:r>
      <w:r w:rsidRPr="00386E47">
        <w:rPr>
          <w:rFonts w:asciiTheme="majorHAnsi" w:eastAsia="Calibri" w:hAnsiTheme="majorHAnsi"/>
          <w:sz w:val="20"/>
          <w:szCs w:val="20"/>
          <w:vertAlign w:val="superscript"/>
          <w:lang w:val="es-ES"/>
        </w:rPr>
        <w:footnoteReference w:id="268"/>
      </w:r>
      <w:r w:rsidRPr="00386E47">
        <w:rPr>
          <w:rFonts w:asciiTheme="majorHAnsi" w:eastAsia="Calibri" w:hAnsiTheme="majorHAnsi"/>
          <w:sz w:val="20"/>
          <w:szCs w:val="20"/>
          <w:lang w:val="es-ES"/>
        </w:rPr>
        <w:t xml:space="preserve">. El Estado argentino no proporcionó en el trámite de esta petición razón alguna que explique el porqué de la prolongada demora de esta instrucción. </w:t>
      </w:r>
    </w:p>
    <w:p w14:paraId="67DA90BC" w14:textId="77777777" w:rsidR="006C5BDC" w:rsidRPr="00386E47" w:rsidRDefault="006C5BDC">
      <w:pPr>
        <w:tabs>
          <w:tab w:val="left" w:pos="567"/>
        </w:tabs>
        <w:contextualSpacing/>
        <w:jc w:val="both"/>
        <w:rPr>
          <w:rFonts w:asciiTheme="majorHAnsi" w:eastAsia="Calibri" w:hAnsiTheme="majorHAnsi"/>
          <w:sz w:val="20"/>
          <w:szCs w:val="20"/>
          <w:lang w:val="es-ES"/>
        </w:rPr>
      </w:pPr>
    </w:p>
    <w:p w14:paraId="46EF6126" w14:textId="77777777" w:rsidR="00CD6F1B" w:rsidRPr="00386E47" w:rsidRDefault="000E35A2"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La Comisión observa en relación con ambas investigaciones </w:t>
      </w:r>
      <w:r w:rsidR="009F70EA" w:rsidRPr="00386E47">
        <w:rPr>
          <w:rFonts w:asciiTheme="majorHAnsi" w:eastAsia="Calibri" w:hAnsiTheme="majorHAnsi"/>
          <w:sz w:val="20"/>
          <w:szCs w:val="20"/>
          <w:lang w:val="es-ES"/>
        </w:rPr>
        <w:t>que</w:t>
      </w:r>
      <w:r w:rsidR="001B3781" w:rsidRPr="00386E47">
        <w:rPr>
          <w:rFonts w:asciiTheme="majorHAnsi" w:eastAsia="Calibri" w:hAnsiTheme="majorHAnsi"/>
          <w:sz w:val="20"/>
          <w:szCs w:val="20"/>
          <w:lang w:val="es-ES"/>
        </w:rPr>
        <w:t>,</w:t>
      </w:r>
      <w:r w:rsidR="009F70EA" w:rsidRPr="00386E47">
        <w:rPr>
          <w:rFonts w:asciiTheme="majorHAnsi" w:eastAsia="Calibri" w:hAnsiTheme="majorHAnsi"/>
          <w:sz w:val="20"/>
          <w:szCs w:val="20"/>
          <w:lang w:val="es-ES"/>
        </w:rPr>
        <w:t xml:space="preserve"> desde el dictado de </w:t>
      </w:r>
      <w:r w:rsidRPr="00386E47">
        <w:rPr>
          <w:rFonts w:asciiTheme="majorHAnsi" w:eastAsia="Calibri" w:hAnsiTheme="majorHAnsi"/>
          <w:sz w:val="20"/>
          <w:szCs w:val="20"/>
          <w:lang w:val="es-ES"/>
        </w:rPr>
        <w:t xml:space="preserve">los respectivos </w:t>
      </w:r>
      <w:r w:rsidR="009F70EA" w:rsidRPr="00386E47">
        <w:rPr>
          <w:rFonts w:asciiTheme="majorHAnsi" w:eastAsia="Calibri" w:hAnsiTheme="majorHAnsi"/>
          <w:sz w:val="20"/>
          <w:szCs w:val="20"/>
          <w:lang w:val="es-ES"/>
        </w:rPr>
        <w:t>autos de elevación a juicio hasta el inicio de la primera audiencia de debate</w:t>
      </w:r>
      <w:r w:rsidR="001B3781" w:rsidRPr="00386E47">
        <w:rPr>
          <w:rFonts w:asciiTheme="majorHAnsi" w:eastAsia="Calibri" w:hAnsiTheme="majorHAnsi"/>
          <w:sz w:val="20"/>
          <w:szCs w:val="20"/>
          <w:lang w:val="es-ES"/>
        </w:rPr>
        <w:t>,</w:t>
      </w:r>
      <w:r w:rsidR="009F70EA" w:rsidRPr="00386E47">
        <w:rPr>
          <w:rFonts w:asciiTheme="majorHAnsi" w:eastAsia="Calibri" w:hAnsiTheme="majorHAnsi"/>
          <w:sz w:val="20"/>
          <w:szCs w:val="20"/>
          <w:lang w:val="es-ES"/>
        </w:rPr>
        <w:t xml:space="preserve"> transcurrieron más de tres años en los cuales el trámite de la causa no experimentó avance</w:t>
      </w:r>
      <w:r w:rsidR="001B3781" w:rsidRPr="00386E47">
        <w:rPr>
          <w:rFonts w:asciiTheme="majorHAnsi" w:eastAsia="Calibri" w:hAnsiTheme="majorHAnsi"/>
          <w:sz w:val="20"/>
          <w:szCs w:val="20"/>
          <w:lang w:val="es-ES"/>
        </w:rPr>
        <w:t>s</w:t>
      </w:r>
      <w:r w:rsidR="009F70EA" w:rsidRPr="00386E47">
        <w:rPr>
          <w:rFonts w:asciiTheme="majorHAnsi" w:eastAsia="Calibri" w:hAnsiTheme="majorHAnsi"/>
          <w:sz w:val="20"/>
          <w:szCs w:val="20"/>
          <w:lang w:val="es-ES"/>
        </w:rPr>
        <w:t xml:space="preserve"> sustancial</w:t>
      </w:r>
      <w:r w:rsidR="001B3781" w:rsidRPr="00386E47">
        <w:rPr>
          <w:rFonts w:asciiTheme="majorHAnsi" w:eastAsia="Calibri" w:hAnsiTheme="majorHAnsi"/>
          <w:sz w:val="20"/>
          <w:szCs w:val="20"/>
          <w:lang w:val="es-ES"/>
        </w:rPr>
        <w:t>es</w:t>
      </w:r>
      <w:r w:rsidR="009F70EA" w:rsidRPr="00386E47">
        <w:rPr>
          <w:rFonts w:asciiTheme="majorHAnsi" w:eastAsia="Calibri" w:hAnsiTheme="majorHAnsi"/>
          <w:sz w:val="20"/>
          <w:szCs w:val="20"/>
          <w:lang w:val="es-ES"/>
        </w:rPr>
        <w:t xml:space="preserve">. En efecto, el auto de elevación a juicio oral por los hechos vinculados con el pago a </w:t>
      </w:r>
      <w:r w:rsidR="002457E7" w:rsidRPr="00386E47">
        <w:rPr>
          <w:rFonts w:asciiTheme="majorHAnsi" w:eastAsia="Calibri" w:hAnsiTheme="majorHAnsi"/>
          <w:sz w:val="20"/>
          <w:szCs w:val="20"/>
          <w:lang w:val="es-ES"/>
        </w:rPr>
        <w:t>Telleldin</w:t>
      </w:r>
      <w:r w:rsidR="009F70EA" w:rsidRPr="00386E47">
        <w:rPr>
          <w:rFonts w:asciiTheme="majorHAnsi" w:eastAsia="Calibri" w:hAnsiTheme="majorHAnsi"/>
          <w:sz w:val="20"/>
          <w:szCs w:val="20"/>
          <w:lang w:val="es-ES"/>
        </w:rPr>
        <w:t xml:space="preserve"> data del 12 de mayo de 2011 y el auto dictado por la interrupción de la pista siria es de fecha 30 de marzo de 2012. Sin embargo, la primera audiencia del juicio oral tuvo lugar recién en agosto de 2015</w:t>
      </w:r>
      <w:r w:rsidR="006C5BDC" w:rsidRPr="00386E47">
        <w:rPr>
          <w:rStyle w:val="FootnoteReference"/>
          <w:rFonts w:asciiTheme="majorHAnsi" w:eastAsia="Calibri" w:hAnsiTheme="majorHAnsi"/>
          <w:sz w:val="20"/>
          <w:szCs w:val="20"/>
          <w:lang w:val="es-ES"/>
        </w:rPr>
        <w:footnoteReference w:id="269"/>
      </w:r>
      <w:r w:rsidR="009F70EA" w:rsidRPr="00386E47">
        <w:rPr>
          <w:rFonts w:asciiTheme="majorHAnsi" w:eastAsia="Calibri" w:hAnsiTheme="majorHAnsi"/>
          <w:sz w:val="20"/>
          <w:szCs w:val="20"/>
          <w:lang w:val="es-ES"/>
        </w:rPr>
        <w:t xml:space="preserve">. </w:t>
      </w:r>
    </w:p>
    <w:p w14:paraId="686EDB60" w14:textId="77777777" w:rsidR="00CD6F1B" w:rsidRPr="00386E47" w:rsidRDefault="00CD6F1B" w:rsidP="00D85E80">
      <w:pPr>
        <w:tabs>
          <w:tab w:val="left" w:pos="567"/>
        </w:tabs>
        <w:contextualSpacing/>
        <w:jc w:val="both"/>
        <w:rPr>
          <w:rFonts w:asciiTheme="majorHAnsi" w:eastAsia="Calibri" w:hAnsiTheme="majorHAnsi"/>
          <w:sz w:val="20"/>
          <w:szCs w:val="20"/>
          <w:lang w:val="es-ES"/>
        </w:rPr>
      </w:pPr>
    </w:p>
    <w:p w14:paraId="7FE2D347" w14:textId="77777777" w:rsidR="00CD6F1B"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La Comisión </w:t>
      </w:r>
      <w:r w:rsidR="00162518" w:rsidRPr="00386E47">
        <w:rPr>
          <w:rFonts w:asciiTheme="majorHAnsi" w:eastAsia="Calibri" w:hAnsiTheme="majorHAnsi"/>
          <w:sz w:val="20"/>
          <w:szCs w:val="20"/>
          <w:lang w:val="es-ES"/>
        </w:rPr>
        <w:t>destaca asimismo</w:t>
      </w:r>
      <w:r w:rsidRPr="00386E47">
        <w:rPr>
          <w:rFonts w:asciiTheme="majorHAnsi" w:eastAsia="Calibri" w:hAnsiTheme="majorHAnsi"/>
          <w:sz w:val="20"/>
          <w:szCs w:val="20"/>
          <w:lang w:val="es-ES"/>
        </w:rPr>
        <w:t xml:space="preserve"> que las audiencias de debate ante el TOF 2 se extendieron por más de tres años y seis meses. En efecto, la primera audiencia de debate del juicio oral se celebró el día 6 de agosto de 2015 y el veredicto fue pronunciado el 28 de febrero de 2019. La Comisión destaca que, conforme se encuentra plasmado en la sentencia del TOF 2, entre agosto de 2015 y febrero de 2019 se habrían tenido lugar 172 audiencias y que la etapa de alegatos de las partes comenzó el 26 de octubre de 2017 y culminó el 22 de noviembre de 2018. La Comisión nota que las audiencias fueron celebradas de manera esporádica, a un ritmo de tres o cuatro por mes y que se interrumpieron en reiteradas oportunidades, especialmente durante los meses de diciembre y enero.  </w:t>
      </w:r>
    </w:p>
    <w:p w14:paraId="3BD05017" w14:textId="77777777" w:rsidR="00CD6F1B" w:rsidRPr="00386E47" w:rsidRDefault="00CD6F1B" w:rsidP="00D85E80">
      <w:pPr>
        <w:tabs>
          <w:tab w:val="left" w:pos="567"/>
        </w:tabs>
        <w:contextualSpacing/>
        <w:jc w:val="both"/>
        <w:rPr>
          <w:rFonts w:asciiTheme="majorHAnsi" w:eastAsia="Calibri" w:hAnsiTheme="majorHAnsi"/>
          <w:sz w:val="20"/>
          <w:szCs w:val="20"/>
          <w:lang w:val="es-ES"/>
        </w:rPr>
      </w:pPr>
    </w:p>
    <w:p w14:paraId="419D6197" w14:textId="77777777" w:rsidR="00CD6F1B"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En resumen, la Comisión resalta que la etapa de juicio por el encubrimiento al atentado se extendió por más de siete años y la etapa de instrucción por más de doce. La Comisión advierte que en la causa aún no se ha dictado sentencia definitiva, toda vez que se encuentran en trámite diversos recursos de casación interpuestos ante la decisión del TOF 2 de mayo de 2019. A lo largo del trámite de esta petición el Estado argentino no esbozó argumento alguno respecto de la razonabilidad del plazo y tampoco elaboró que factores pudieron haber influido para que la tramitación global del proceso se encuentre, a la fecha de aprobación de este informe, ingresando en su vigésimo año</w:t>
      </w:r>
      <w:r w:rsidRPr="00386E47">
        <w:rPr>
          <w:rFonts w:asciiTheme="majorHAnsi" w:eastAsia="Calibri" w:hAnsiTheme="majorHAnsi"/>
          <w:sz w:val="22"/>
          <w:szCs w:val="22"/>
          <w:vertAlign w:val="superscript"/>
          <w:lang w:val="es-ES"/>
        </w:rPr>
        <w:footnoteReference w:id="270"/>
      </w:r>
      <w:r w:rsidRPr="00386E47">
        <w:rPr>
          <w:rFonts w:asciiTheme="majorHAnsi" w:eastAsia="Calibri" w:hAnsiTheme="majorHAnsi"/>
          <w:sz w:val="20"/>
          <w:szCs w:val="20"/>
          <w:lang w:val="es-ES"/>
        </w:rPr>
        <w:t xml:space="preserve">. </w:t>
      </w:r>
    </w:p>
    <w:p w14:paraId="4DB5B286" w14:textId="77777777" w:rsidR="00CD6F1B" w:rsidRPr="00386E47" w:rsidRDefault="00CD6F1B" w:rsidP="00D85E80">
      <w:pPr>
        <w:tabs>
          <w:tab w:val="left" w:pos="567"/>
        </w:tabs>
        <w:contextualSpacing/>
        <w:jc w:val="both"/>
        <w:rPr>
          <w:rFonts w:asciiTheme="majorHAnsi" w:eastAsia="Calibri" w:hAnsiTheme="majorHAnsi"/>
          <w:sz w:val="20"/>
          <w:szCs w:val="20"/>
          <w:lang w:val="es-ES"/>
        </w:rPr>
      </w:pPr>
    </w:p>
    <w:p w14:paraId="4E8EA242"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Por último, la Comisión destaca que también existen causas donde se investigan otros posibles actos de encubrimiento durante la investigación Galeano que aún continúan en trámite y que no fueron objeto de una decisión de mérito de primera instancia. Entre estos desprendimientos o causas residuales se encuentra pendiente de resolución la situación de los secretarios que secundaban a Galeano en el juzgado</w:t>
      </w:r>
      <w:r w:rsidRPr="00386E47">
        <w:rPr>
          <w:rFonts w:asciiTheme="majorHAnsi" w:eastAsia="Calibri" w:hAnsiTheme="majorHAnsi"/>
          <w:sz w:val="22"/>
          <w:szCs w:val="22"/>
          <w:vertAlign w:val="superscript"/>
          <w:lang w:val="es-ES"/>
        </w:rPr>
        <w:footnoteReference w:id="271"/>
      </w:r>
      <w:r w:rsidRPr="00386E47">
        <w:rPr>
          <w:rFonts w:asciiTheme="majorHAnsi" w:eastAsia="Calibri" w:hAnsiTheme="majorHAnsi"/>
          <w:sz w:val="20"/>
          <w:szCs w:val="20"/>
          <w:lang w:val="es-ES"/>
        </w:rPr>
        <w:t xml:space="preserve"> y la responsabilidad penal de algunos abogados que intervinieron en la investigación por amenazas a ciertos imputados</w:t>
      </w:r>
      <w:r w:rsidRPr="00386E47">
        <w:rPr>
          <w:rFonts w:asciiTheme="majorHAnsi" w:eastAsia="Calibri" w:hAnsiTheme="majorHAnsi"/>
          <w:sz w:val="22"/>
          <w:szCs w:val="22"/>
          <w:vertAlign w:val="superscript"/>
          <w:lang w:val="es-ES"/>
        </w:rPr>
        <w:footnoteReference w:id="272"/>
      </w:r>
      <w:r w:rsidRPr="00386E47">
        <w:rPr>
          <w:rFonts w:asciiTheme="majorHAnsi" w:eastAsia="Calibri" w:hAnsiTheme="majorHAnsi"/>
          <w:sz w:val="20"/>
          <w:szCs w:val="20"/>
          <w:lang w:val="es-ES"/>
        </w:rPr>
        <w:t xml:space="preserve">. </w:t>
      </w:r>
    </w:p>
    <w:p w14:paraId="50F3A72D" w14:textId="77777777" w:rsidR="009F70EA" w:rsidRPr="00386E47" w:rsidRDefault="009F70EA" w:rsidP="00A311A0">
      <w:pPr>
        <w:tabs>
          <w:tab w:val="left" w:pos="426"/>
        </w:tabs>
        <w:contextualSpacing/>
        <w:jc w:val="both"/>
        <w:rPr>
          <w:rFonts w:asciiTheme="majorHAnsi" w:eastAsia="Calibri" w:hAnsiTheme="majorHAnsi"/>
          <w:b/>
          <w:sz w:val="20"/>
          <w:szCs w:val="20"/>
          <w:lang w:val="es-ES"/>
        </w:rPr>
      </w:pPr>
    </w:p>
    <w:p w14:paraId="2E614416" w14:textId="77777777" w:rsidR="007F4EFD"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La Comisión verificó que las peticionarias, en su carácter de parte querellante de los procesos por el encubrimiento del atentado, instaron en numerosas ocasiones a las autoridades judiciales a que se avance con las </w:t>
      </w:r>
      <w:r w:rsidRPr="00386E47">
        <w:rPr>
          <w:rFonts w:asciiTheme="majorHAnsi" w:eastAsia="Calibri" w:hAnsiTheme="majorHAnsi"/>
          <w:sz w:val="20"/>
          <w:szCs w:val="20"/>
          <w:lang w:val="es-ES"/>
        </w:rPr>
        <w:lastRenderedPageBreak/>
        <w:t xml:space="preserve">investigaciones y se celebren los respectivos juicios orales. </w:t>
      </w:r>
      <w:r w:rsidR="000E35A2" w:rsidRPr="00386E47">
        <w:rPr>
          <w:rFonts w:asciiTheme="majorHAnsi" w:eastAsia="Calibri" w:hAnsiTheme="majorHAnsi"/>
          <w:sz w:val="20"/>
          <w:szCs w:val="20"/>
          <w:lang w:val="es-ES"/>
        </w:rPr>
        <w:t>Además, las peticionarias y sus representantes legales también han recurrido a las más altas autoridades de la Procuración General de la Nación a efectos de solicitar que los fiscales intervinientes en los procesos por el encubrimiento desplieguen un rol más proactivo a la hora de ejercer la acción penal pública</w:t>
      </w:r>
      <w:r w:rsidR="000E35A2" w:rsidRPr="00386E47">
        <w:rPr>
          <w:rFonts w:asciiTheme="majorHAnsi" w:eastAsia="Calibri" w:hAnsiTheme="majorHAnsi"/>
          <w:sz w:val="20"/>
          <w:szCs w:val="20"/>
          <w:vertAlign w:val="superscript"/>
          <w:lang w:val="es-ES"/>
        </w:rPr>
        <w:footnoteReference w:id="273"/>
      </w:r>
      <w:r w:rsidR="000E35A2" w:rsidRPr="00386E47">
        <w:rPr>
          <w:rFonts w:asciiTheme="majorHAnsi" w:eastAsia="Calibri" w:hAnsiTheme="majorHAnsi"/>
          <w:sz w:val="20"/>
          <w:szCs w:val="20"/>
          <w:lang w:val="es-ES"/>
        </w:rPr>
        <w:t xml:space="preserve">.  </w:t>
      </w:r>
    </w:p>
    <w:p w14:paraId="647DD88E" w14:textId="77777777" w:rsidR="0014695A" w:rsidRPr="00386E47" w:rsidRDefault="00D85E80" w:rsidP="00A311A0">
      <w:pPr>
        <w:tabs>
          <w:tab w:val="left" w:pos="567"/>
        </w:tabs>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ab/>
      </w:r>
    </w:p>
    <w:p w14:paraId="4AE9B440"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En esta misma línea, la Comisión destaca que el objeto procesal de las investigaciones reseñadas en este apartado es el juzgamiento y eventual imposición de sanciones penales por hechos de encubrimiento y ocultamiento de la verdad por parte de funcionarios públicos. La importancia de investigar y juzgar este tipo de actos en un plazo razonable resulta aún más intensa si se tiene en cuenta que las maniobras de encubrimiento se sucedieron en el marco de la investigación por el atentado terrorista a la sede de la AMIA que arrojó decenas de víctimas fatales y centenares de heridos y fue catalogado por las propias autoridades judiciales nacionales como un caso de graves violaciones a los derechos humano</w:t>
      </w:r>
      <w:r w:rsidR="00F361B0" w:rsidRPr="00386E47">
        <w:rPr>
          <w:rFonts w:asciiTheme="majorHAnsi" w:eastAsia="Calibri" w:hAnsiTheme="majorHAnsi"/>
          <w:sz w:val="20"/>
          <w:szCs w:val="20"/>
          <w:lang w:val="es-ES"/>
        </w:rPr>
        <w:t>s</w:t>
      </w:r>
      <w:r w:rsidRPr="00386E47">
        <w:rPr>
          <w:rFonts w:asciiTheme="majorHAnsi" w:eastAsia="Calibri" w:hAnsiTheme="majorHAnsi"/>
          <w:sz w:val="20"/>
          <w:szCs w:val="20"/>
          <w:lang w:val="es-ES"/>
        </w:rPr>
        <w:t xml:space="preserve">. </w:t>
      </w:r>
    </w:p>
    <w:p w14:paraId="02B4CDFA" w14:textId="77777777" w:rsidR="004C42C7" w:rsidRPr="00386E47" w:rsidRDefault="004C42C7" w:rsidP="004C42C7">
      <w:pPr>
        <w:pStyle w:val="ListParagraph"/>
        <w:rPr>
          <w:rFonts w:asciiTheme="majorHAnsi" w:eastAsia="Calibri" w:hAnsiTheme="majorHAnsi"/>
          <w:sz w:val="20"/>
          <w:szCs w:val="20"/>
          <w:lang w:val="es-ES"/>
        </w:rPr>
      </w:pPr>
    </w:p>
    <w:p w14:paraId="6D4E9150" w14:textId="77777777" w:rsidR="004C42C7" w:rsidRPr="00386E47" w:rsidRDefault="004C42C7"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Finalmente, en relación con la investigación de la denuncia interpuesta</w:t>
      </w:r>
      <w:r w:rsidR="00287767" w:rsidRPr="00386E47">
        <w:rPr>
          <w:rFonts w:asciiTheme="majorHAnsi" w:eastAsia="Calibri" w:hAnsiTheme="majorHAnsi"/>
          <w:sz w:val="20"/>
          <w:szCs w:val="20"/>
          <w:lang w:val="es-ES"/>
        </w:rPr>
        <w:t xml:space="preserve"> en enero de 2015 </w:t>
      </w:r>
      <w:r w:rsidRPr="00386E47">
        <w:rPr>
          <w:rFonts w:asciiTheme="majorHAnsi" w:eastAsia="Calibri" w:hAnsiTheme="majorHAnsi"/>
          <w:sz w:val="20"/>
          <w:szCs w:val="20"/>
          <w:lang w:val="es-ES"/>
        </w:rPr>
        <w:t xml:space="preserve"> por el fiscal Nisman </w:t>
      </w:r>
      <w:r w:rsidR="00287767" w:rsidRPr="00386E47">
        <w:rPr>
          <w:rFonts w:asciiTheme="majorHAnsi" w:eastAsia="Calibri" w:hAnsiTheme="majorHAnsi"/>
          <w:sz w:val="20"/>
          <w:szCs w:val="20"/>
          <w:lang w:val="es-ES"/>
        </w:rPr>
        <w:t xml:space="preserve">por el posible delito de encubrimiento en el contexto de la firma del </w:t>
      </w:r>
      <w:r w:rsidR="00EC5A9D" w:rsidRPr="00386E47">
        <w:rPr>
          <w:rFonts w:asciiTheme="majorHAnsi" w:eastAsia="Calibri" w:hAnsiTheme="majorHAnsi"/>
          <w:sz w:val="20"/>
          <w:szCs w:val="20"/>
          <w:lang w:val="es-ES"/>
        </w:rPr>
        <w:t>Memorándum</w:t>
      </w:r>
      <w:r w:rsidR="00287767" w:rsidRPr="00386E47">
        <w:rPr>
          <w:rFonts w:asciiTheme="majorHAnsi" w:eastAsia="Calibri" w:hAnsiTheme="majorHAnsi"/>
          <w:sz w:val="20"/>
          <w:szCs w:val="20"/>
          <w:lang w:val="es-ES"/>
        </w:rPr>
        <w:t xml:space="preserve"> de entendimiento entre Argentina e Irán</w:t>
      </w:r>
      <w:r w:rsidR="00EC5A9D" w:rsidRPr="00386E47">
        <w:rPr>
          <w:rFonts w:asciiTheme="majorHAnsi" w:eastAsia="Calibri" w:hAnsiTheme="majorHAnsi"/>
          <w:sz w:val="20"/>
          <w:szCs w:val="20"/>
          <w:lang w:val="es-ES"/>
        </w:rPr>
        <w:t xml:space="preserve">, la Comisión ha verificado que, a </w:t>
      </w:r>
      <w:r w:rsidR="002457E7" w:rsidRPr="00386E47">
        <w:rPr>
          <w:rFonts w:asciiTheme="majorHAnsi" w:eastAsia="Calibri" w:hAnsiTheme="majorHAnsi"/>
          <w:sz w:val="20"/>
          <w:szCs w:val="20"/>
          <w:lang w:val="es-ES"/>
        </w:rPr>
        <w:t>más</w:t>
      </w:r>
      <w:r w:rsidR="00EC5A9D" w:rsidRPr="00386E47">
        <w:rPr>
          <w:rFonts w:asciiTheme="majorHAnsi" w:eastAsia="Calibri" w:hAnsiTheme="majorHAnsi"/>
          <w:sz w:val="20"/>
          <w:szCs w:val="20"/>
          <w:lang w:val="es-ES"/>
        </w:rPr>
        <w:t xml:space="preserve"> de </w:t>
      </w:r>
      <w:r w:rsidR="00D76661" w:rsidRPr="00386E47">
        <w:rPr>
          <w:rFonts w:asciiTheme="majorHAnsi" w:eastAsia="Calibri" w:hAnsiTheme="majorHAnsi"/>
          <w:sz w:val="20"/>
          <w:szCs w:val="20"/>
          <w:lang w:val="es-ES"/>
        </w:rPr>
        <w:t xml:space="preserve">5 años de iniciada la instrucción judicial, las autoridades judiciales argentinas aún no han pronunciado una sentencia que establezca la existencia o no de conductas delictivas por parte de las personas sometidas a proceso, como asa tampoco existe un pronunciamiento judicial que determine que los hechos denunciados </w:t>
      </w:r>
      <w:r w:rsidR="00D72113" w:rsidRPr="00386E47">
        <w:rPr>
          <w:rFonts w:asciiTheme="majorHAnsi" w:eastAsia="Calibri" w:hAnsiTheme="majorHAnsi"/>
          <w:sz w:val="20"/>
          <w:szCs w:val="20"/>
          <w:lang w:val="es-ES"/>
        </w:rPr>
        <w:t>efectivamente se produjeron</w:t>
      </w:r>
      <w:r w:rsidR="00D76661" w:rsidRPr="00386E47">
        <w:rPr>
          <w:rFonts w:asciiTheme="majorHAnsi" w:eastAsia="Calibri" w:hAnsiTheme="majorHAnsi"/>
          <w:sz w:val="20"/>
          <w:szCs w:val="20"/>
          <w:lang w:val="es-ES"/>
        </w:rPr>
        <w:t xml:space="preserve">. </w:t>
      </w:r>
    </w:p>
    <w:p w14:paraId="7A298B52" w14:textId="77777777" w:rsidR="00C56BCD" w:rsidRPr="00386E47" w:rsidRDefault="00C56BCD" w:rsidP="00BB0C99">
      <w:pPr>
        <w:tabs>
          <w:tab w:val="left" w:pos="426"/>
        </w:tabs>
        <w:contextualSpacing/>
        <w:jc w:val="both"/>
        <w:rPr>
          <w:rFonts w:asciiTheme="majorHAnsi" w:eastAsia="Calibri" w:hAnsiTheme="majorHAnsi"/>
          <w:sz w:val="20"/>
          <w:szCs w:val="20"/>
          <w:lang w:val="es-ES"/>
        </w:rPr>
      </w:pPr>
    </w:p>
    <w:p w14:paraId="26D2B0DE" w14:textId="77777777" w:rsidR="009F70EA" w:rsidRPr="00386E47" w:rsidRDefault="009F70EA" w:rsidP="002457E7">
      <w:pPr>
        <w:pStyle w:val="Heading5"/>
      </w:pPr>
      <w:r w:rsidRPr="00386E47">
        <w:t xml:space="preserve">Conclusión </w:t>
      </w:r>
    </w:p>
    <w:p w14:paraId="7BD7F3A9" w14:textId="77777777" w:rsidR="009F70EA" w:rsidRPr="00386E47" w:rsidRDefault="009F70EA" w:rsidP="00BB0C99">
      <w:pPr>
        <w:tabs>
          <w:tab w:val="left" w:pos="426"/>
        </w:tabs>
        <w:ind w:left="720"/>
        <w:contextualSpacing/>
        <w:jc w:val="both"/>
        <w:rPr>
          <w:rFonts w:asciiTheme="majorHAnsi" w:eastAsia="Calibri" w:hAnsiTheme="majorHAnsi"/>
          <w:b/>
          <w:sz w:val="20"/>
          <w:szCs w:val="20"/>
          <w:lang w:val="es-AR"/>
        </w:rPr>
      </w:pPr>
    </w:p>
    <w:p w14:paraId="26AB9162" w14:textId="77777777" w:rsidR="00495DB1"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En virtud de las anteriores consideraciones, la Comisión concluye que el plazo de más de 20 años que </w:t>
      </w:r>
      <w:r w:rsidR="001B3781" w:rsidRPr="00386E47">
        <w:rPr>
          <w:rFonts w:asciiTheme="majorHAnsi" w:eastAsia="Calibri" w:hAnsiTheme="majorHAnsi"/>
          <w:sz w:val="20"/>
          <w:szCs w:val="20"/>
          <w:lang w:val="es-ES"/>
        </w:rPr>
        <w:t>han demorado</w:t>
      </w:r>
      <w:r w:rsidRPr="00386E47">
        <w:rPr>
          <w:rFonts w:asciiTheme="majorHAnsi" w:eastAsia="Calibri" w:hAnsiTheme="majorHAnsi"/>
          <w:sz w:val="20"/>
          <w:szCs w:val="20"/>
          <w:lang w:val="es-ES"/>
        </w:rPr>
        <w:t xml:space="preserve"> los diversos procesos penales donde se investigan hechos de encubrimiento del atentado a la AMIA, </w:t>
      </w:r>
      <w:r w:rsidR="001B3781" w:rsidRPr="00386E47">
        <w:rPr>
          <w:rFonts w:asciiTheme="majorHAnsi" w:eastAsia="Calibri" w:hAnsiTheme="majorHAnsi"/>
          <w:sz w:val="20"/>
          <w:szCs w:val="20"/>
          <w:lang w:val="es-ES"/>
        </w:rPr>
        <w:t xml:space="preserve">no ha tenido por resultado una determinación efectiva de las responsabilidades correspondientes. En este sentido, </w:t>
      </w:r>
      <w:r w:rsidR="00495DB1" w:rsidRPr="00386E47">
        <w:rPr>
          <w:rFonts w:asciiTheme="majorHAnsi" w:eastAsia="Calibri" w:hAnsiTheme="majorHAnsi"/>
          <w:sz w:val="20"/>
          <w:szCs w:val="20"/>
          <w:lang w:val="es-ES"/>
        </w:rPr>
        <w:t xml:space="preserve">los procesos por el encubrimiento no </w:t>
      </w:r>
      <w:r w:rsidR="001B3781" w:rsidRPr="00386E47">
        <w:rPr>
          <w:rFonts w:asciiTheme="majorHAnsi" w:eastAsia="Calibri" w:hAnsiTheme="majorHAnsi"/>
          <w:sz w:val="20"/>
          <w:szCs w:val="20"/>
          <w:lang w:val="es-ES"/>
        </w:rPr>
        <w:t>ha</w:t>
      </w:r>
      <w:r w:rsidR="00495DB1" w:rsidRPr="00386E47">
        <w:rPr>
          <w:rFonts w:asciiTheme="majorHAnsi" w:eastAsia="Calibri" w:hAnsiTheme="majorHAnsi"/>
          <w:sz w:val="20"/>
          <w:szCs w:val="20"/>
          <w:lang w:val="es-ES"/>
        </w:rPr>
        <w:t>n</w:t>
      </w:r>
      <w:r w:rsidR="001B3781" w:rsidRPr="00386E47">
        <w:rPr>
          <w:rFonts w:asciiTheme="majorHAnsi" w:eastAsia="Calibri" w:hAnsiTheme="majorHAnsi"/>
          <w:sz w:val="20"/>
          <w:szCs w:val="20"/>
          <w:lang w:val="es-ES"/>
        </w:rPr>
        <w:t xml:space="preserve"> contribuido a identificar con claridad las acciones u omisiones en que incurrieron las autoridades lo cual es especialmente grave en el presente caso donde como se ha establecido existen múltiples irregularidades y desvíos que se han convertido en factores de impunidad.  </w:t>
      </w:r>
    </w:p>
    <w:p w14:paraId="1EF5212A" w14:textId="77777777" w:rsidR="00495DB1" w:rsidRPr="00386E47" w:rsidRDefault="00495DB1" w:rsidP="00495DB1">
      <w:pPr>
        <w:tabs>
          <w:tab w:val="left" w:pos="567"/>
        </w:tabs>
        <w:contextualSpacing/>
        <w:jc w:val="both"/>
        <w:rPr>
          <w:rFonts w:asciiTheme="majorHAnsi" w:eastAsia="Calibri" w:hAnsiTheme="majorHAnsi"/>
          <w:sz w:val="20"/>
          <w:szCs w:val="20"/>
          <w:lang w:val="es-ES"/>
        </w:rPr>
      </w:pPr>
    </w:p>
    <w:p w14:paraId="3D060374" w14:textId="77777777" w:rsidR="00495DB1" w:rsidRPr="00386E47" w:rsidRDefault="00495DB1"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En consecuencia</w:t>
      </w:r>
      <w:r w:rsidR="001B3781" w:rsidRPr="00386E47">
        <w:rPr>
          <w:rFonts w:asciiTheme="majorHAnsi" w:eastAsia="Calibri" w:hAnsiTheme="majorHAnsi"/>
          <w:sz w:val="20"/>
          <w:szCs w:val="20"/>
          <w:lang w:val="es-ES"/>
        </w:rPr>
        <w:t xml:space="preserve">, dichos procesos se han extendido de una manera irrazonable, no han contribuido al conocimiento de la verdad sobre </w:t>
      </w:r>
      <w:r w:rsidRPr="00386E47">
        <w:rPr>
          <w:rFonts w:asciiTheme="majorHAnsi" w:eastAsia="Calibri" w:hAnsiTheme="majorHAnsi"/>
          <w:sz w:val="20"/>
          <w:szCs w:val="20"/>
          <w:lang w:val="es-ES"/>
        </w:rPr>
        <w:t>las maniobras de encubrimiento</w:t>
      </w:r>
      <w:r w:rsidR="001B3781" w:rsidRPr="00386E47">
        <w:rPr>
          <w:rFonts w:asciiTheme="majorHAnsi" w:eastAsia="Calibri" w:hAnsiTheme="majorHAnsi"/>
          <w:sz w:val="20"/>
          <w:szCs w:val="20"/>
          <w:lang w:val="es-ES"/>
        </w:rPr>
        <w:t xml:space="preserve"> y, por lo tanto, </w:t>
      </w:r>
      <w:r w:rsidRPr="00386E47">
        <w:rPr>
          <w:rFonts w:asciiTheme="majorHAnsi" w:eastAsia="Calibri" w:hAnsiTheme="majorHAnsi"/>
          <w:sz w:val="20"/>
          <w:szCs w:val="20"/>
          <w:lang w:val="es-ES"/>
        </w:rPr>
        <w:t>tampoco han subsanado</w:t>
      </w:r>
      <w:r w:rsidR="001B3781" w:rsidRPr="00386E47">
        <w:rPr>
          <w:rFonts w:asciiTheme="majorHAnsi" w:eastAsia="Calibri" w:hAnsiTheme="majorHAnsi"/>
          <w:sz w:val="20"/>
          <w:szCs w:val="20"/>
          <w:lang w:val="es-ES"/>
        </w:rPr>
        <w:t xml:space="preserve"> las múltiples irregularidades que se han cometido a lo largo de la investigación. </w:t>
      </w:r>
      <w:r w:rsidR="0034073A" w:rsidRPr="00386E47">
        <w:rPr>
          <w:rFonts w:asciiTheme="majorHAnsi" w:eastAsia="Calibri" w:hAnsiTheme="majorHAnsi"/>
          <w:sz w:val="20"/>
          <w:szCs w:val="20"/>
          <w:lang w:val="es-ES"/>
        </w:rPr>
        <w:t xml:space="preserve">Especialmente, la Comisión observa que tales investigaciones no han permitido conocer cuáles fueron asimismo las reales motivaciones que pudieron encontrarse detrás de los hechos que son investigados, incluyendo la generación de prueba para generar convicción sobre el involucramiento de </w:t>
      </w:r>
      <w:r w:rsidRPr="00386E47">
        <w:rPr>
          <w:rFonts w:asciiTheme="majorHAnsi" w:eastAsia="Calibri" w:hAnsiTheme="majorHAnsi"/>
          <w:sz w:val="20"/>
          <w:szCs w:val="20"/>
          <w:lang w:val="es-ES"/>
        </w:rPr>
        <w:t xml:space="preserve">determinados </w:t>
      </w:r>
      <w:r w:rsidR="0034073A" w:rsidRPr="00386E47">
        <w:rPr>
          <w:rFonts w:asciiTheme="majorHAnsi" w:eastAsia="Calibri" w:hAnsiTheme="majorHAnsi"/>
          <w:sz w:val="20"/>
          <w:szCs w:val="20"/>
          <w:lang w:val="es-ES"/>
        </w:rPr>
        <w:t xml:space="preserve">policías bonaerenses en los hechos y en el abandono de </w:t>
      </w:r>
      <w:r w:rsidRPr="00386E47">
        <w:rPr>
          <w:rFonts w:asciiTheme="majorHAnsi" w:eastAsia="Calibri" w:hAnsiTheme="majorHAnsi"/>
          <w:sz w:val="20"/>
          <w:szCs w:val="20"/>
          <w:lang w:val="es-ES"/>
        </w:rPr>
        <w:t>la denominada</w:t>
      </w:r>
      <w:r w:rsidR="0034073A" w:rsidRPr="00386E47">
        <w:rPr>
          <w:rFonts w:asciiTheme="majorHAnsi" w:eastAsia="Calibri" w:hAnsiTheme="majorHAnsi"/>
          <w:sz w:val="20"/>
          <w:szCs w:val="20"/>
          <w:lang w:val="es-ES"/>
        </w:rPr>
        <w:t xml:space="preserve"> </w:t>
      </w:r>
      <w:r w:rsidRPr="00386E47">
        <w:rPr>
          <w:rFonts w:asciiTheme="majorHAnsi" w:eastAsia="Calibri" w:hAnsiTheme="majorHAnsi"/>
          <w:sz w:val="20"/>
          <w:szCs w:val="20"/>
          <w:lang w:val="es-ES"/>
        </w:rPr>
        <w:t>“</w:t>
      </w:r>
      <w:r w:rsidR="0034073A" w:rsidRPr="00386E47">
        <w:rPr>
          <w:rFonts w:asciiTheme="majorHAnsi" w:eastAsia="Calibri" w:hAnsiTheme="majorHAnsi"/>
          <w:sz w:val="20"/>
          <w:szCs w:val="20"/>
          <w:lang w:val="es-ES"/>
        </w:rPr>
        <w:t>pista siria Kannore Edul</w:t>
      </w:r>
      <w:r w:rsidRPr="00386E47">
        <w:rPr>
          <w:rFonts w:asciiTheme="majorHAnsi" w:eastAsia="Calibri" w:hAnsiTheme="majorHAnsi"/>
          <w:sz w:val="20"/>
          <w:szCs w:val="20"/>
          <w:lang w:val="es-ES"/>
        </w:rPr>
        <w:t>”</w:t>
      </w:r>
      <w:r w:rsidR="0034073A" w:rsidRPr="00386E47">
        <w:rPr>
          <w:rFonts w:asciiTheme="majorHAnsi" w:eastAsia="Calibri" w:hAnsiTheme="majorHAnsi"/>
          <w:sz w:val="20"/>
          <w:szCs w:val="20"/>
          <w:lang w:val="es-ES"/>
        </w:rPr>
        <w:t>.</w:t>
      </w:r>
    </w:p>
    <w:p w14:paraId="2ABF3FA6" w14:textId="77777777" w:rsidR="00495DB1" w:rsidRPr="00386E47" w:rsidRDefault="00495DB1" w:rsidP="00495DB1">
      <w:pPr>
        <w:pStyle w:val="ListParagraph"/>
        <w:rPr>
          <w:rFonts w:asciiTheme="majorHAnsi" w:eastAsia="Calibri" w:hAnsiTheme="majorHAnsi"/>
          <w:sz w:val="20"/>
          <w:szCs w:val="20"/>
          <w:lang w:val="es-ES"/>
        </w:rPr>
      </w:pPr>
    </w:p>
    <w:p w14:paraId="05F99A3A" w14:textId="77777777" w:rsidR="009F70EA" w:rsidRPr="00386E47" w:rsidRDefault="0034073A"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 </w:t>
      </w:r>
      <w:r w:rsidR="001B3781" w:rsidRPr="00386E47">
        <w:rPr>
          <w:rFonts w:asciiTheme="majorHAnsi" w:eastAsia="Calibri" w:hAnsiTheme="majorHAnsi"/>
          <w:sz w:val="20"/>
          <w:szCs w:val="20"/>
          <w:lang w:val="es-ES"/>
        </w:rPr>
        <w:t>En vista de lo anterior,</w:t>
      </w:r>
      <w:r w:rsidR="009F70EA" w:rsidRPr="00386E47">
        <w:rPr>
          <w:rFonts w:asciiTheme="majorHAnsi" w:eastAsia="Calibri" w:hAnsiTheme="majorHAnsi"/>
          <w:sz w:val="20"/>
          <w:szCs w:val="20"/>
          <w:lang w:val="es-ES"/>
        </w:rPr>
        <w:t xml:space="preserve"> </w:t>
      </w:r>
      <w:r w:rsidR="00495DB1" w:rsidRPr="00386E47">
        <w:rPr>
          <w:rFonts w:asciiTheme="majorHAnsi" w:eastAsia="Calibri" w:hAnsiTheme="majorHAnsi"/>
          <w:sz w:val="20"/>
          <w:szCs w:val="20"/>
          <w:lang w:val="es-ES"/>
        </w:rPr>
        <w:t>la Comisión concluye que los diversos procesos por el encubrimiento del atentado a la AMIA</w:t>
      </w:r>
      <w:r w:rsidR="009F70EA" w:rsidRPr="00386E47">
        <w:rPr>
          <w:rFonts w:asciiTheme="majorHAnsi" w:eastAsia="Calibri" w:hAnsiTheme="majorHAnsi"/>
          <w:sz w:val="20"/>
          <w:szCs w:val="20"/>
          <w:lang w:val="es-ES"/>
        </w:rPr>
        <w:t xml:space="preserve"> no </w:t>
      </w:r>
      <w:r w:rsidR="001B3781" w:rsidRPr="00386E47">
        <w:rPr>
          <w:rFonts w:asciiTheme="majorHAnsi" w:eastAsia="Calibri" w:hAnsiTheme="majorHAnsi"/>
          <w:sz w:val="20"/>
          <w:szCs w:val="20"/>
          <w:lang w:val="es-ES"/>
        </w:rPr>
        <w:t>han sido conducidos de forma diligente y en un plazo razonable</w:t>
      </w:r>
      <w:r w:rsidR="00495DB1" w:rsidRPr="00386E47">
        <w:rPr>
          <w:rFonts w:asciiTheme="majorHAnsi" w:eastAsia="Calibri" w:hAnsiTheme="majorHAnsi"/>
          <w:sz w:val="20"/>
          <w:szCs w:val="20"/>
          <w:lang w:val="es-ES"/>
        </w:rPr>
        <w:t xml:space="preserve">. En consecuencia, la Comisión entiende </w:t>
      </w:r>
      <w:r w:rsidR="001B3781" w:rsidRPr="00386E47">
        <w:rPr>
          <w:rFonts w:asciiTheme="majorHAnsi" w:eastAsia="Calibri" w:hAnsiTheme="majorHAnsi"/>
          <w:sz w:val="20"/>
          <w:szCs w:val="20"/>
          <w:lang w:val="es-ES"/>
        </w:rPr>
        <w:t>no se ha contado con un</w:t>
      </w:r>
      <w:r w:rsidR="009F70EA" w:rsidRPr="00386E47">
        <w:rPr>
          <w:rFonts w:asciiTheme="majorHAnsi" w:eastAsia="Calibri" w:hAnsiTheme="majorHAnsi"/>
          <w:sz w:val="20"/>
          <w:szCs w:val="20"/>
          <w:lang w:val="es-ES"/>
        </w:rPr>
        <w:t xml:space="preserve"> recurso efectivo </w:t>
      </w:r>
      <w:r w:rsidR="001B3781" w:rsidRPr="00386E47">
        <w:rPr>
          <w:rFonts w:asciiTheme="majorHAnsi" w:eastAsia="Calibri" w:hAnsiTheme="majorHAnsi"/>
          <w:sz w:val="20"/>
          <w:szCs w:val="20"/>
          <w:lang w:val="es-ES"/>
        </w:rPr>
        <w:t>que cumpla con los requisitos que imponen los artículos 8 y 25 de la Convención Americana</w:t>
      </w:r>
      <w:r w:rsidR="009F70EA" w:rsidRPr="00386E47">
        <w:rPr>
          <w:rFonts w:asciiTheme="majorHAnsi" w:eastAsia="Calibri" w:hAnsiTheme="majorHAnsi"/>
          <w:sz w:val="20"/>
          <w:szCs w:val="20"/>
          <w:lang w:val="es-ES"/>
        </w:rPr>
        <w:t xml:space="preserve">. </w:t>
      </w:r>
    </w:p>
    <w:p w14:paraId="539E4B28" w14:textId="77777777" w:rsidR="00043289" w:rsidRPr="00386E47" w:rsidRDefault="00043289" w:rsidP="00A311A0">
      <w:pPr>
        <w:rPr>
          <w:rFonts w:asciiTheme="majorHAnsi" w:eastAsia="Times New Roman" w:hAnsiTheme="majorHAnsi"/>
          <w:lang w:val="es-ES"/>
        </w:rPr>
      </w:pPr>
    </w:p>
    <w:p w14:paraId="7AB61E2F" w14:textId="77777777" w:rsidR="0097207E" w:rsidRPr="00386E47" w:rsidRDefault="0097207E" w:rsidP="008A03A7">
      <w:pPr>
        <w:pStyle w:val="Heading3"/>
        <w:numPr>
          <w:ilvl w:val="1"/>
          <w:numId w:val="68"/>
        </w:numPr>
        <w:ind w:left="284" w:firstLine="0"/>
        <w:rPr>
          <w:rFonts w:asciiTheme="majorHAnsi" w:hAnsiTheme="majorHAnsi"/>
          <w:lang w:val="es-ES"/>
        </w:rPr>
      </w:pPr>
      <w:bookmarkStart w:id="30" w:name="_Toc51252201"/>
      <w:r w:rsidRPr="00386E47">
        <w:rPr>
          <w:rFonts w:asciiTheme="majorHAnsi" w:hAnsiTheme="majorHAnsi"/>
          <w:lang w:val="es-ES"/>
        </w:rPr>
        <w:t xml:space="preserve">Respecto </w:t>
      </w:r>
      <w:r w:rsidR="00E92433" w:rsidRPr="00386E47">
        <w:rPr>
          <w:rFonts w:asciiTheme="majorHAnsi" w:hAnsiTheme="majorHAnsi"/>
          <w:lang w:val="es-ES"/>
        </w:rPr>
        <w:t>del</w:t>
      </w:r>
      <w:r w:rsidRPr="00386E47">
        <w:rPr>
          <w:rFonts w:asciiTheme="majorHAnsi" w:hAnsiTheme="majorHAnsi"/>
          <w:lang w:val="es-ES"/>
        </w:rPr>
        <w:t xml:space="preserve"> </w:t>
      </w:r>
      <w:r w:rsidR="00E92433" w:rsidRPr="00386E47">
        <w:rPr>
          <w:rFonts w:asciiTheme="majorHAnsi" w:hAnsiTheme="majorHAnsi"/>
          <w:lang w:val="es-ES"/>
        </w:rPr>
        <w:t>plazo razonable</w:t>
      </w:r>
      <w:r w:rsidR="00804DA9" w:rsidRPr="00386E47">
        <w:rPr>
          <w:rFonts w:asciiTheme="majorHAnsi" w:hAnsiTheme="majorHAnsi"/>
          <w:lang w:val="es-ES"/>
        </w:rPr>
        <w:t xml:space="preserve"> y el derecho a la verdad</w:t>
      </w:r>
      <w:bookmarkEnd w:id="30"/>
    </w:p>
    <w:p w14:paraId="37B0FD6A" w14:textId="77777777" w:rsidR="00495DB1" w:rsidRPr="00386E47" w:rsidRDefault="00397A09"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Atendiendo a los elementos para el análisis del plazo razonable expuestos anteriormente, la Comisión reconoce que </w:t>
      </w:r>
      <w:r w:rsidR="004C42C7" w:rsidRPr="00386E47">
        <w:rPr>
          <w:rFonts w:asciiTheme="majorHAnsi" w:eastAsia="Calibri" w:hAnsiTheme="majorHAnsi"/>
          <w:sz w:val="20"/>
          <w:szCs w:val="20"/>
          <w:lang w:val="es-ES"/>
        </w:rPr>
        <w:t>la investigación seguida por los hechos del presente caso reviste</w:t>
      </w:r>
      <w:r w:rsidR="006463F9" w:rsidRPr="00386E47">
        <w:rPr>
          <w:rFonts w:asciiTheme="majorHAnsi" w:eastAsia="Calibri" w:hAnsiTheme="majorHAnsi"/>
          <w:sz w:val="20"/>
          <w:szCs w:val="20"/>
          <w:lang w:val="es-ES"/>
        </w:rPr>
        <w:t xml:space="preserve"> cierta complejidad teniendo en cuenta la naturaleza de los hechos y la estructura o red </w:t>
      </w:r>
      <w:r w:rsidR="00804DA9" w:rsidRPr="00386E47">
        <w:rPr>
          <w:rFonts w:asciiTheme="majorHAnsi" w:eastAsia="Calibri" w:hAnsiTheme="majorHAnsi"/>
          <w:sz w:val="20"/>
          <w:szCs w:val="20"/>
          <w:lang w:val="es-ES"/>
        </w:rPr>
        <w:t xml:space="preserve">criminal </w:t>
      </w:r>
      <w:r w:rsidR="006463F9" w:rsidRPr="00386E47">
        <w:rPr>
          <w:rFonts w:asciiTheme="majorHAnsi" w:eastAsia="Calibri" w:hAnsiTheme="majorHAnsi"/>
          <w:sz w:val="20"/>
          <w:szCs w:val="20"/>
          <w:lang w:val="es-ES"/>
        </w:rPr>
        <w:t xml:space="preserve">que podría encontrarse detrás del atentado, incluso </w:t>
      </w:r>
      <w:r w:rsidR="00804DA9" w:rsidRPr="00386E47">
        <w:rPr>
          <w:rFonts w:asciiTheme="majorHAnsi" w:eastAsia="Calibri" w:hAnsiTheme="majorHAnsi"/>
          <w:sz w:val="20"/>
          <w:szCs w:val="20"/>
          <w:lang w:val="es-ES"/>
        </w:rPr>
        <w:t>podría tener</w:t>
      </w:r>
      <w:r w:rsidR="006463F9" w:rsidRPr="00386E47">
        <w:rPr>
          <w:rFonts w:asciiTheme="majorHAnsi" w:eastAsia="Calibri" w:hAnsiTheme="majorHAnsi"/>
          <w:sz w:val="20"/>
          <w:szCs w:val="20"/>
          <w:lang w:val="es-ES"/>
        </w:rPr>
        <w:t xml:space="preserve"> un carácter que rebasa las fronteras del Estado argentino. </w:t>
      </w:r>
    </w:p>
    <w:p w14:paraId="1BF6AD97" w14:textId="77777777" w:rsidR="00495DB1" w:rsidRPr="00386E47" w:rsidRDefault="00495DB1" w:rsidP="00495DB1">
      <w:pPr>
        <w:tabs>
          <w:tab w:val="left" w:pos="567"/>
        </w:tabs>
        <w:contextualSpacing/>
        <w:jc w:val="both"/>
        <w:rPr>
          <w:rFonts w:asciiTheme="majorHAnsi" w:eastAsia="Calibri" w:hAnsiTheme="majorHAnsi"/>
          <w:sz w:val="20"/>
          <w:szCs w:val="20"/>
          <w:lang w:val="es-ES"/>
        </w:rPr>
      </w:pPr>
    </w:p>
    <w:p w14:paraId="616E4AC7" w14:textId="77777777" w:rsidR="00495DB1" w:rsidRPr="00386E47" w:rsidRDefault="006463F9"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Sin perjuicio de ello, como se ha expuesto a lo largo del presente informe, la conducta de las autoridades a cargo de la investigación</w:t>
      </w:r>
      <w:r w:rsidR="00495DB1" w:rsidRPr="00386E47">
        <w:rPr>
          <w:rFonts w:asciiTheme="majorHAnsi" w:eastAsia="Calibri" w:hAnsiTheme="majorHAnsi"/>
          <w:sz w:val="20"/>
          <w:szCs w:val="20"/>
          <w:lang w:val="es-ES"/>
        </w:rPr>
        <w:t xml:space="preserve"> - </w:t>
      </w:r>
      <w:r w:rsidRPr="00386E47">
        <w:rPr>
          <w:rFonts w:asciiTheme="majorHAnsi" w:eastAsia="Calibri" w:hAnsiTheme="majorHAnsi"/>
          <w:sz w:val="20"/>
          <w:szCs w:val="20"/>
          <w:lang w:val="es-ES"/>
        </w:rPr>
        <w:t xml:space="preserve">especialmente en las diligencias iniciales y aquellas a cargo del </w:t>
      </w:r>
      <w:r w:rsidRPr="00386E47">
        <w:rPr>
          <w:rFonts w:asciiTheme="majorHAnsi" w:hAnsiTheme="majorHAnsi"/>
          <w:sz w:val="20"/>
          <w:szCs w:val="20"/>
          <w:lang w:val="es-US"/>
        </w:rPr>
        <w:t xml:space="preserve">Juzgado en lo Criminal </w:t>
      </w:r>
      <w:r w:rsidRPr="00386E47">
        <w:rPr>
          <w:rFonts w:asciiTheme="majorHAnsi" w:hAnsiTheme="majorHAnsi"/>
          <w:sz w:val="20"/>
          <w:szCs w:val="20"/>
          <w:lang w:val="es-US"/>
        </w:rPr>
        <w:lastRenderedPageBreak/>
        <w:t xml:space="preserve">y </w:t>
      </w:r>
      <w:r w:rsidRPr="00386E47">
        <w:rPr>
          <w:rFonts w:asciiTheme="majorHAnsi" w:eastAsia="Calibri" w:hAnsiTheme="majorHAnsi"/>
          <w:sz w:val="20"/>
          <w:szCs w:val="20"/>
          <w:lang w:val="es-ES_tradnl"/>
        </w:rPr>
        <w:t>Correccional Federal Nro.9</w:t>
      </w:r>
      <w:r w:rsidR="00495DB1" w:rsidRPr="00386E47">
        <w:rPr>
          <w:rFonts w:asciiTheme="majorHAnsi" w:eastAsia="Calibri" w:hAnsiTheme="majorHAnsi"/>
          <w:sz w:val="20"/>
          <w:szCs w:val="20"/>
          <w:lang w:val="es-ES_tradnl"/>
        </w:rPr>
        <w:t xml:space="preserve"> - </w:t>
      </w:r>
      <w:r w:rsidRPr="00386E47">
        <w:rPr>
          <w:rFonts w:asciiTheme="majorHAnsi" w:eastAsia="Calibri" w:hAnsiTheme="majorHAnsi"/>
          <w:sz w:val="20"/>
          <w:szCs w:val="20"/>
          <w:lang w:val="es-ES_tradnl"/>
        </w:rPr>
        <w:t>en vez de impulsar seriamente la investigación y la sanción de los responsables, terminó por incurrir en serias falencias, irregularidades y en el desvío</w:t>
      </w:r>
      <w:r w:rsidR="00495DB1" w:rsidRPr="00386E47">
        <w:rPr>
          <w:rFonts w:asciiTheme="majorHAnsi" w:eastAsia="Calibri" w:hAnsiTheme="majorHAnsi"/>
          <w:sz w:val="20"/>
          <w:szCs w:val="20"/>
          <w:lang w:val="es-ES_tradnl"/>
        </w:rPr>
        <w:t xml:space="preserve"> deliberado</w:t>
      </w:r>
      <w:r w:rsidRPr="00386E47">
        <w:rPr>
          <w:rFonts w:asciiTheme="majorHAnsi" w:eastAsia="Calibri" w:hAnsiTheme="majorHAnsi"/>
          <w:sz w:val="20"/>
          <w:szCs w:val="20"/>
          <w:lang w:val="es-ES_tradnl"/>
        </w:rPr>
        <w:t xml:space="preserve"> de la investigación por más de</w:t>
      </w:r>
      <w:r w:rsidR="00495DB1" w:rsidRPr="00386E47">
        <w:rPr>
          <w:rFonts w:asciiTheme="majorHAnsi" w:eastAsia="Calibri" w:hAnsiTheme="majorHAnsi"/>
          <w:sz w:val="20"/>
          <w:szCs w:val="20"/>
          <w:lang w:val="es-ES_tradnl"/>
        </w:rPr>
        <w:t xml:space="preserve"> 8</w:t>
      </w:r>
      <w:r w:rsidRPr="00386E47">
        <w:rPr>
          <w:rFonts w:asciiTheme="majorHAnsi" w:eastAsia="Calibri" w:hAnsiTheme="majorHAnsi"/>
          <w:sz w:val="20"/>
          <w:szCs w:val="20"/>
          <w:lang w:val="es-ES_tradnl"/>
        </w:rPr>
        <w:t xml:space="preserve"> años</w:t>
      </w:r>
      <w:r w:rsidR="00495DB1" w:rsidRPr="00386E47">
        <w:rPr>
          <w:rFonts w:asciiTheme="majorHAnsi" w:eastAsia="Calibri" w:hAnsiTheme="majorHAnsi"/>
          <w:sz w:val="20"/>
          <w:szCs w:val="20"/>
          <w:lang w:val="es-ES_tradnl"/>
        </w:rPr>
        <w:t>. La prosecución de una hipótesis acusatoria fabricada por funcionarios estatales solo fue posible a partir de una actuación carente de imparcialidad por parte del juez a cargo de la instrucción y se convirtió en un factor que ocasionó que no se investigaran las verdaderas causas del atentado y todas las responsabilidades involucradas</w:t>
      </w:r>
      <w:r w:rsidR="00D72113" w:rsidRPr="00386E47">
        <w:rPr>
          <w:rFonts w:asciiTheme="majorHAnsi" w:eastAsia="Calibri" w:hAnsiTheme="majorHAnsi"/>
          <w:sz w:val="20"/>
          <w:szCs w:val="20"/>
          <w:lang w:val="es-ES_tradnl"/>
        </w:rPr>
        <w:t>.</w:t>
      </w:r>
    </w:p>
    <w:p w14:paraId="5F3794B9" w14:textId="77777777" w:rsidR="00495DB1" w:rsidRPr="00386E47" w:rsidRDefault="00495DB1" w:rsidP="00495DB1">
      <w:pPr>
        <w:pStyle w:val="ListParagraph"/>
        <w:rPr>
          <w:rFonts w:asciiTheme="majorHAnsi" w:eastAsia="Calibri" w:hAnsiTheme="majorHAnsi"/>
          <w:sz w:val="20"/>
          <w:szCs w:val="20"/>
          <w:lang w:val="es-ES_tradnl"/>
        </w:rPr>
      </w:pPr>
    </w:p>
    <w:p w14:paraId="725174A4" w14:textId="77777777" w:rsidR="00FF067D" w:rsidRPr="00386E47" w:rsidRDefault="006463F9"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_tradnl"/>
        </w:rPr>
        <w:t>Como se ha indicado, la investigación realizada por parte de la UFI</w:t>
      </w:r>
      <w:r w:rsidR="00495DB1" w:rsidRPr="00386E47">
        <w:rPr>
          <w:rFonts w:asciiTheme="majorHAnsi" w:eastAsia="Calibri" w:hAnsiTheme="majorHAnsi"/>
          <w:sz w:val="20"/>
          <w:szCs w:val="20"/>
          <w:lang w:val="es-ES_tradnl"/>
        </w:rPr>
        <w:t xml:space="preserve"> </w:t>
      </w:r>
      <w:r w:rsidRPr="00386E47">
        <w:rPr>
          <w:rFonts w:asciiTheme="majorHAnsi" w:eastAsia="Calibri" w:hAnsiTheme="majorHAnsi"/>
          <w:sz w:val="20"/>
          <w:szCs w:val="20"/>
          <w:lang w:val="es-ES_tradnl"/>
        </w:rPr>
        <w:t>AMIA</w:t>
      </w:r>
      <w:r w:rsidR="004C42C7" w:rsidRPr="00386E47">
        <w:rPr>
          <w:rFonts w:asciiTheme="majorHAnsi" w:eastAsia="Calibri" w:hAnsiTheme="majorHAnsi"/>
          <w:sz w:val="20"/>
          <w:szCs w:val="20"/>
          <w:lang w:val="es-ES_tradnl"/>
        </w:rPr>
        <w:t xml:space="preserve">, en particular desde el año </w:t>
      </w:r>
      <w:r w:rsidR="00495DB1" w:rsidRPr="00386E47">
        <w:rPr>
          <w:rFonts w:asciiTheme="majorHAnsi" w:eastAsia="Calibri" w:hAnsiTheme="majorHAnsi"/>
          <w:sz w:val="20"/>
          <w:szCs w:val="20"/>
          <w:lang w:val="es-ES_tradnl"/>
        </w:rPr>
        <w:t>2015</w:t>
      </w:r>
      <w:r w:rsidR="004C42C7" w:rsidRPr="00386E47">
        <w:rPr>
          <w:rFonts w:asciiTheme="majorHAnsi" w:eastAsia="Calibri" w:hAnsiTheme="majorHAnsi"/>
          <w:sz w:val="20"/>
          <w:szCs w:val="20"/>
          <w:lang w:val="es-ES_tradnl"/>
        </w:rPr>
        <w:t>,</w:t>
      </w:r>
      <w:r w:rsidRPr="00386E47">
        <w:rPr>
          <w:rFonts w:asciiTheme="majorHAnsi" w:eastAsia="Calibri" w:hAnsiTheme="majorHAnsi"/>
          <w:sz w:val="20"/>
          <w:szCs w:val="20"/>
          <w:lang w:val="es-ES_tradnl"/>
        </w:rPr>
        <w:t xml:space="preserve"> ha </w:t>
      </w:r>
      <w:r w:rsidR="00C95355" w:rsidRPr="00386E47">
        <w:rPr>
          <w:rFonts w:asciiTheme="majorHAnsi" w:eastAsia="Calibri" w:hAnsiTheme="majorHAnsi"/>
          <w:sz w:val="20"/>
          <w:szCs w:val="20"/>
          <w:lang w:val="es-ES_tradnl"/>
        </w:rPr>
        <w:t xml:space="preserve">contribuido a subsanar algunas </w:t>
      </w:r>
      <w:r w:rsidR="00495DB1" w:rsidRPr="00386E47">
        <w:rPr>
          <w:rFonts w:asciiTheme="majorHAnsi" w:eastAsia="Calibri" w:hAnsiTheme="majorHAnsi"/>
          <w:sz w:val="20"/>
          <w:szCs w:val="20"/>
          <w:lang w:val="es-ES_tradnl"/>
        </w:rPr>
        <w:t>falencias de la investigación,</w:t>
      </w:r>
      <w:r w:rsidR="00C95355" w:rsidRPr="00386E47">
        <w:rPr>
          <w:rFonts w:asciiTheme="majorHAnsi" w:eastAsia="Calibri" w:hAnsiTheme="majorHAnsi"/>
          <w:sz w:val="20"/>
          <w:szCs w:val="20"/>
          <w:lang w:val="es-ES_tradnl"/>
        </w:rPr>
        <w:t xml:space="preserve"> como </w:t>
      </w:r>
      <w:r w:rsidR="00FF067D" w:rsidRPr="00386E47">
        <w:rPr>
          <w:rFonts w:asciiTheme="majorHAnsi" w:eastAsia="Calibri" w:hAnsiTheme="majorHAnsi"/>
          <w:sz w:val="20"/>
          <w:szCs w:val="20"/>
          <w:lang w:val="es-ES_tradnl"/>
        </w:rPr>
        <w:t xml:space="preserve">por ejemplo </w:t>
      </w:r>
      <w:r w:rsidR="00C95355" w:rsidRPr="00386E47">
        <w:rPr>
          <w:rFonts w:asciiTheme="majorHAnsi" w:eastAsia="Calibri" w:hAnsiTheme="majorHAnsi"/>
          <w:sz w:val="20"/>
          <w:szCs w:val="20"/>
          <w:lang w:val="es-ES_tradnl"/>
        </w:rPr>
        <w:t xml:space="preserve">la referente a la identificación de la </w:t>
      </w:r>
      <w:r w:rsidR="004C42C7" w:rsidRPr="00386E47">
        <w:rPr>
          <w:rFonts w:asciiTheme="majorHAnsi" w:eastAsia="Calibri" w:hAnsiTheme="majorHAnsi"/>
          <w:sz w:val="20"/>
          <w:szCs w:val="20"/>
          <w:lang w:val="es-ES_tradnl"/>
        </w:rPr>
        <w:t>denominada</w:t>
      </w:r>
      <w:r w:rsidR="00C95355" w:rsidRPr="00386E47">
        <w:rPr>
          <w:rFonts w:asciiTheme="majorHAnsi" w:eastAsia="Calibri" w:hAnsiTheme="majorHAnsi"/>
          <w:sz w:val="20"/>
          <w:szCs w:val="20"/>
          <w:lang w:val="es-ES_tradnl"/>
        </w:rPr>
        <w:t xml:space="preserve"> víctima </w:t>
      </w:r>
      <w:r w:rsidR="00EE68C8" w:rsidRPr="00386E47">
        <w:rPr>
          <w:rFonts w:asciiTheme="majorHAnsi" w:eastAsia="Calibri" w:hAnsiTheme="majorHAnsi"/>
          <w:sz w:val="20"/>
          <w:szCs w:val="20"/>
          <w:lang w:val="es-ES_tradnl"/>
        </w:rPr>
        <w:t>85 y</w:t>
      </w:r>
      <w:r w:rsidR="00C95355" w:rsidRPr="00386E47">
        <w:rPr>
          <w:rFonts w:asciiTheme="majorHAnsi" w:eastAsia="Calibri" w:hAnsiTheme="majorHAnsi"/>
          <w:sz w:val="20"/>
          <w:szCs w:val="20"/>
          <w:lang w:val="es-ES_tradnl"/>
        </w:rPr>
        <w:t xml:space="preserve"> el análisis </w:t>
      </w:r>
      <w:r w:rsidR="00EE68C8" w:rsidRPr="00386E47">
        <w:rPr>
          <w:rFonts w:asciiTheme="majorHAnsi" w:eastAsia="Calibri" w:hAnsiTheme="majorHAnsi"/>
          <w:sz w:val="20"/>
          <w:szCs w:val="20"/>
          <w:lang w:val="es-ES_tradnl"/>
        </w:rPr>
        <w:t>de material</w:t>
      </w:r>
      <w:r w:rsidR="00E92433" w:rsidRPr="00386E47">
        <w:rPr>
          <w:rFonts w:asciiTheme="majorHAnsi" w:eastAsia="Calibri" w:hAnsiTheme="majorHAnsi"/>
          <w:sz w:val="20"/>
          <w:szCs w:val="20"/>
          <w:lang w:val="es-ES_tradnl"/>
        </w:rPr>
        <w:t xml:space="preserve"> biológico </w:t>
      </w:r>
      <w:r w:rsidR="00EE68C8" w:rsidRPr="00386E47">
        <w:rPr>
          <w:rFonts w:asciiTheme="majorHAnsi" w:eastAsia="Calibri" w:hAnsiTheme="majorHAnsi"/>
          <w:sz w:val="20"/>
          <w:szCs w:val="20"/>
          <w:lang w:val="es-ES_tradnl"/>
        </w:rPr>
        <w:t>relevante para la pesquisa</w:t>
      </w:r>
      <w:r w:rsidR="00FF067D" w:rsidRPr="00386E47">
        <w:rPr>
          <w:rFonts w:asciiTheme="majorHAnsi" w:eastAsia="Calibri" w:hAnsiTheme="majorHAnsi"/>
          <w:sz w:val="20"/>
          <w:szCs w:val="20"/>
          <w:lang w:val="es-ES_tradnl"/>
        </w:rPr>
        <w:t>. Sin embargo, la principal</w:t>
      </w:r>
      <w:r w:rsidR="004C42C7" w:rsidRPr="00386E47">
        <w:rPr>
          <w:rFonts w:asciiTheme="majorHAnsi" w:eastAsia="Calibri" w:hAnsiTheme="majorHAnsi"/>
          <w:sz w:val="20"/>
          <w:szCs w:val="20"/>
          <w:lang w:val="es-ES_tradnl"/>
        </w:rPr>
        <w:t xml:space="preserve"> </w:t>
      </w:r>
      <w:r w:rsidR="00E92433" w:rsidRPr="00386E47">
        <w:rPr>
          <w:rFonts w:asciiTheme="majorHAnsi" w:eastAsia="Calibri" w:hAnsiTheme="majorHAnsi"/>
          <w:sz w:val="20"/>
          <w:szCs w:val="20"/>
          <w:lang w:val="es-ES_tradnl"/>
        </w:rPr>
        <w:t>línea de investigación</w:t>
      </w:r>
      <w:r w:rsidR="00FF067D" w:rsidRPr="00386E47">
        <w:rPr>
          <w:rFonts w:asciiTheme="majorHAnsi" w:eastAsia="Calibri" w:hAnsiTheme="majorHAnsi"/>
          <w:sz w:val="20"/>
          <w:szCs w:val="20"/>
          <w:lang w:val="es-ES_tradnl"/>
        </w:rPr>
        <w:t xml:space="preserve"> impulsada por los </w:t>
      </w:r>
      <w:r w:rsidR="00D72113" w:rsidRPr="00386E47">
        <w:rPr>
          <w:rFonts w:asciiTheme="majorHAnsi" w:eastAsia="Calibri" w:hAnsiTheme="majorHAnsi"/>
          <w:sz w:val="20"/>
          <w:szCs w:val="20"/>
          <w:lang w:val="es-ES_tradnl"/>
        </w:rPr>
        <w:t xml:space="preserve">fiscales </w:t>
      </w:r>
      <w:r w:rsidR="00EE68C8" w:rsidRPr="00386E47">
        <w:rPr>
          <w:rFonts w:asciiTheme="majorHAnsi" w:eastAsia="Calibri" w:hAnsiTheme="majorHAnsi"/>
          <w:sz w:val="20"/>
          <w:szCs w:val="20"/>
          <w:lang w:val="es-ES_tradnl"/>
        </w:rPr>
        <w:t>se ha</w:t>
      </w:r>
      <w:r w:rsidR="004C42C7" w:rsidRPr="00386E47">
        <w:rPr>
          <w:rFonts w:asciiTheme="majorHAnsi" w:eastAsia="Calibri" w:hAnsiTheme="majorHAnsi"/>
          <w:sz w:val="20"/>
          <w:szCs w:val="20"/>
          <w:lang w:val="es-ES_tradnl"/>
        </w:rPr>
        <w:t xml:space="preserve"> sustentado </w:t>
      </w:r>
      <w:r w:rsidR="00804DA9" w:rsidRPr="00386E47">
        <w:rPr>
          <w:rFonts w:asciiTheme="majorHAnsi" w:eastAsia="Calibri" w:hAnsiTheme="majorHAnsi"/>
          <w:sz w:val="20"/>
          <w:szCs w:val="20"/>
          <w:lang w:val="es-ES_tradnl"/>
        </w:rPr>
        <w:t>especialmente</w:t>
      </w:r>
      <w:r w:rsidR="00E92433" w:rsidRPr="00386E47">
        <w:rPr>
          <w:rFonts w:asciiTheme="majorHAnsi" w:eastAsia="Calibri" w:hAnsiTheme="majorHAnsi"/>
          <w:sz w:val="20"/>
          <w:szCs w:val="20"/>
          <w:lang w:val="es-ES_tradnl"/>
        </w:rPr>
        <w:t xml:space="preserve"> en informes de inteligencia,</w:t>
      </w:r>
      <w:r w:rsidR="00FF067D" w:rsidRPr="00386E47">
        <w:rPr>
          <w:rFonts w:asciiTheme="majorHAnsi" w:eastAsia="Calibri" w:hAnsiTheme="majorHAnsi"/>
          <w:sz w:val="20"/>
          <w:szCs w:val="20"/>
          <w:lang w:val="es-ES_tradnl"/>
        </w:rPr>
        <w:t xml:space="preserve"> y no han sido el</w:t>
      </w:r>
      <w:r w:rsidR="004C42C7" w:rsidRPr="00386E47">
        <w:rPr>
          <w:rFonts w:asciiTheme="majorHAnsi" w:eastAsia="Calibri" w:hAnsiTheme="majorHAnsi"/>
          <w:sz w:val="20"/>
          <w:szCs w:val="20"/>
          <w:lang w:val="es-ES_tradnl"/>
        </w:rPr>
        <w:t xml:space="preserve"> </w:t>
      </w:r>
      <w:r w:rsidR="00E92433" w:rsidRPr="00386E47">
        <w:rPr>
          <w:rFonts w:asciiTheme="majorHAnsi" w:eastAsia="Calibri" w:hAnsiTheme="majorHAnsi"/>
          <w:sz w:val="20"/>
          <w:szCs w:val="20"/>
          <w:lang w:val="es-ES_tradnl"/>
        </w:rPr>
        <w:t>resultado de una investigación diligente y exhaustiva</w:t>
      </w:r>
      <w:r w:rsidR="00FF067D" w:rsidRPr="00386E47">
        <w:rPr>
          <w:rFonts w:asciiTheme="majorHAnsi" w:eastAsia="Calibri" w:hAnsiTheme="majorHAnsi"/>
          <w:sz w:val="20"/>
          <w:szCs w:val="20"/>
          <w:lang w:val="es-ES_tradnl"/>
        </w:rPr>
        <w:t xml:space="preserve">. En este </w:t>
      </w:r>
      <w:r w:rsidR="00EE68C8" w:rsidRPr="00386E47">
        <w:rPr>
          <w:rFonts w:asciiTheme="majorHAnsi" w:eastAsia="Calibri" w:hAnsiTheme="majorHAnsi"/>
          <w:sz w:val="20"/>
          <w:szCs w:val="20"/>
          <w:lang w:val="es-ES_tradnl"/>
        </w:rPr>
        <w:t>sentido, resulta</w:t>
      </w:r>
      <w:r w:rsidR="00FF067D" w:rsidRPr="00386E47">
        <w:rPr>
          <w:rFonts w:asciiTheme="majorHAnsi" w:eastAsia="Calibri" w:hAnsiTheme="majorHAnsi"/>
          <w:sz w:val="20"/>
          <w:szCs w:val="20"/>
          <w:lang w:val="es-ES_tradnl"/>
        </w:rPr>
        <w:t xml:space="preserve"> necesario realizar</w:t>
      </w:r>
      <w:r w:rsidR="00E92433" w:rsidRPr="00386E47">
        <w:rPr>
          <w:rFonts w:asciiTheme="majorHAnsi" w:eastAsia="Calibri" w:hAnsiTheme="majorHAnsi"/>
          <w:sz w:val="20"/>
          <w:szCs w:val="20"/>
          <w:lang w:val="es-ES_tradnl"/>
        </w:rPr>
        <w:t xml:space="preserve"> diligencias adicionales</w:t>
      </w:r>
      <w:r w:rsidR="00FF067D" w:rsidRPr="00386E47">
        <w:rPr>
          <w:rFonts w:asciiTheme="majorHAnsi" w:eastAsia="Calibri" w:hAnsiTheme="majorHAnsi"/>
          <w:sz w:val="20"/>
          <w:szCs w:val="20"/>
          <w:lang w:val="es-ES_tradnl"/>
        </w:rPr>
        <w:t xml:space="preserve"> encaminadas</w:t>
      </w:r>
      <w:r w:rsidR="0041144C" w:rsidRPr="00386E47">
        <w:rPr>
          <w:rFonts w:asciiTheme="majorHAnsi" w:eastAsia="Calibri" w:hAnsiTheme="majorHAnsi"/>
          <w:sz w:val="20"/>
          <w:szCs w:val="20"/>
          <w:lang w:val="es-ES_tradnl"/>
        </w:rPr>
        <w:t xml:space="preserve"> </w:t>
      </w:r>
      <w:r w:rsidR="00FF067D" w:rsidRPr="00386E47">
        <w:rPr>
          <w:rFonts w:asciiTheme="majorHAnsi" w:eastAsia="Calibri" w:hAnsiTheme="majorHAnsi"/>
          <w:sz w:val="20"/>
          <w:szCs w:val="20"/>
          <w:lang w:val="es-ES_tradnl"/>
        </w:rPr>
        <w:t xml:space="preserve">tanto </w:t>
      </w:r>
      <w:r w:rsidR="004C42C7" w:rsidRPr="00386E47">
        <w:rPr>
          <w:rFonts w:asciiTheme="majorHAnsi" w:eastAsia="Calibri" w:hAnsiTheme="majorHAnsi"/>
          <w:sz w:val="20"/>
          <w:szCs w:val="20"/>
          <w:lang w:val="es-ES_tradnl"/>
        </w:rPr>
        <w:t>a fortalecer dicha hipótesis de investigación o bien</w:t>
      </w:r>
      <w:r w:rsidR="00FF067D" w:rsidRPr="00386E47">
        <w:rPr>
          <w:rFonts w:asciiTheme="majorHAnsi" w:eastAsia="Calibri" w:hAnsiTheme="majorHAnsi"/>
          <w:sz w:val="20"/>
          <w:szCs w:val="20"/>
          <w:lang w:val="es-ES_tradnl"/>
        </w:rPr>
        <w:t xml:space="preserve"> cualquier otra hipótesis</w:t>
      </w:r>
      <w:r w:rsidR="004C42C7" w:rsidRPr="00386E47">
        <w:rPr>
          <w:rFonts w:asciiTheme="majorHAnsi" w:eastAsia="Calibri" w:hAnsiTheme="majorHAnsi"/>
          <w:sz w:val="20"/>
          <w:szCs w:val="20"/>
          <w:lang w:val="es-ES_tradnl"/>
        </w:rPr>
        <w:t xml:space="preserve"> </w:t>
      </w:r>
      <w:r w:rsidR="00FF067D" w:rsidRPr="00386E47">
        <w:rPr>
          <w:rFonts w:asciiTheme="majorHAnsi" w:eastAsia="Calibri" w:hAnsiTheme="majorHAnsi"/>
          <w:sz w:val="20"/>
          <w:szCs w:val="20"/>
          <w:lang w:val="es-ES_tradnl"/>
        </w:rPr>
        <w:t xml:space="preserve">adicional o complementaria que resulte útil para el </w:t>
      </w:r>
      <w:r w:rsidR="00E92433" w:rsidRPr="00386E47">
        <w:rPr>
          <w:rFonts w:asciiTheme="majorHAnsi" w:eastAsia="Calibri" w:hAnsiTheme="majorHAnsi"/>
          <w:sz w:val="20"/>
          <w:szCs w:val="20"/>
          <w:lang w:val="es-ES_tradnl"/>
        </w:rPr>
        <w:t xml:space="preserve">esclarecimiento de la verdad.  </w:t>
      </w:r>
    </w:p>
    <w:p w14:paraId="39F4A5F3" w14:textId="77777777" w:rsidR="00FF067D" w:rsidRPr="00386E47" w:rsidRDefault="00FF067D" w:rsidP="00FF067D">
      <w:pPr>
        <w:pStyle w:val="ListParagraph"/>
        <w:rPr>
          <w:rFonts w:asciiTheme="majorHAnsi" w:eastAsia="Calibri" w:hAnsiTheme="majorHAnsi"/>
          <w:sz w:val="20"/>
          <w:szCs w:val="20"/>
          <w:lang w:val="es-ES_tradnl"/>
        </w:rPr>
      </w:pPr>
    </w:p>
    <w:p w14:paraId="798F242E" w14:textId="77777777" w:rsidR="00397A09" w:rsidRPr="00386E47" w:rsidRDefault="00E92433"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_tradnl"/>
        </w:rPr>
        <w:t>Finalmente, y a pesar de que existe un deber acentuado del Estado de identificar las acciones u omisiones que constituyeran irregularidades en la investigación y determinar las responsabilidades correspondientes, los procesos que se han seguido a ese respecto no han constituido un recurso efectivo y se han extendido por un plazo irrazonable.</w:t>
      </w:r>
      <w:r w:rsidR="004C42C7" w:rsidRPr="00386E47">
        <w:rPr>
          <w:rFonts w:asciiTheme="majorHAnsi" w:eastAsia="Calibri" w:hAnsiTheme="majorHAnsi"/>
          <w:sz w:val="20"/>
          <w:szCs w:val="20"/>
          <w:lang w:val="es-ES_tradnl"/>
        </w:rPr>
        <w:t xml:space="preserve"> La Comisión observa asimismo que en todos estos años los familiares de las víctimas han participado activamente en búsqueda de justicia, sin obstaculizar en modo alguno las investigaciones.</w:t>
      </w:r>
    </w:p>
    <w:p w14:paraId="036BEECD" w14:textId="77777777" w:rsidR="004C42C7" w:rsidRPr="00386E47" w:rsidRDefault="004C42C7" w:rsidP="004C42C7">
      <w:pPr>
        <w:tabs>
          <w:tab w:val="left" w:pos="567"/>
        </w:tabs>
        <w:contextualSpacing/>
        <w:jc w:val="both"/>
        <w:rPr>
          <w:rFonts w:asciiTheme="majorHAnsi" w:eastAsia="Calibri" w:hAnsiTheme="majorHAnsi"/>
          <w:sz w:val="20"/>
          <w:szCs w:val="20"/>
          <w:lang w:val="es-ES"/>
        </w:rPr>
      </w:pPr>
    </w:p>
    <w:p w14:paraId="5EB4EC23" w14:textId="77777777" w:rsidR="006A1FC1" w:rsidRPr="00386E47" w:rsidRDefault="00804DA9" w:rsidP="003A5860">
      <w:pPr>
        <w:numPr>
          <w:ilvl w:val="0"/>
          <w:numId w:val="55"/>
        </w:numPr>
        <w:tabs>
          <w:tab w:val="left" w:pos="567"/>
        </w:tabs>
        <w:ind w:left="0" w:firstLine="0"/>
        <w:contextualSpacing/>
        <w:jc w:val="both"/>
        <w:rPr>
          <w:rFonts w:asciiTheme="majorHAnsi" w:eastAsia="Calibri" w:hAnsiTheme="majorHAnsi"/>
          <w:sz w:val="20"/>
          <w:szCs w:val="20"/>
          <w:lang w:val="es-ES"/>
        </w:rPr>
      </w:pPr>
      <w:r w:rsidRPr="00386E47">
        <w:rPr>
          <w:rFonts w:asciiTheme="majorHAnsi" w:eastAsia="Calibri" w:hAnsiTheme="majorHAnsi"/>
          <w:sz w:val="20"/>
          <w:szCs w:val="20"/>
          <w:lang w:val="es-ES"/>
        </w:rPr>
        <w:t>La</w:t>
      </w:r>
      <w:r w:rsidR="004C42C7" w:rsidRPr="00386E47">
        <w:rPr>
          <w:rFonts w:asciiTheme="majorHAnsi" w:eastAsia="Calibri" w:hAnsiTheme="majorHAnsi"/>
          <w:sz w:val="20"/>
          <w:szCs w:val="20"/>
          <w:lang w:val="es-ES"/>
        </w:rPr>
        <w:t xml:space="preserve"> Comisión subraya que la investigación materia del presente caso se ha extendido por un período irrazonable, </w:t>
      </w:r>
      <w:r w:rsidR="00414369" w:rsidRPr="00386E47">
        <w:rPr>
          <w:rFonts w:asciiTheme="majorHAnsi" w:eastAsia="Calibri" w:hAnsiTheme="majorHAnsi"/>
          <w:sz w:val="20"/>
          <w:szCs w:val="20"/>
          <w:lang w:val="es-ES"/>
        </w:rPr>
        <w:t>y</w:t>
      </w:r>
      <w:r w:rsidR="004C42C7" w:rsidRPr="00386E47">
        <w:rPr>
          <w:rFonts w:asciiTheme="majorHAnsi" w:eastAsia="Calibri" w:hAnsiTheme="majorHAnsi"/>
          <w:sz w:val="20"/>
          <w:szCs w:val="20"/>
          <w:lang w:val="es-ES"/>
        </w:rPr>
        <w:t xml:space="preserve"> sus muy exiguos avances</w:t>
      </w:r>
      <w:r w:rsidR="00414369" w:rsidRPr="00386E47">
        <w:rPr>
          <w:rFonts w:asciiTheme="majorHAnsi" w:eastAsia="Calibri" w:hAnsiTheme="majorHAnsi"/>
          <w:sz w:val="20"/>
          <w:szCs w:val="20"/>
          <w:lang w:val="es-ES"/>
        </w:rPr>
        <w:t xml:space="preserve"> son</w:t>
      </w:r>
      <w:r w:rsidR="004C42C7" w:rsidRPr="00386E47">
        <w:rPr>
          <w:rFonts w:asciiTheme="majorHAnsi" w:eastAsia="Calibri" w:hAnsiTheme="majorHAnsi"/>
          <w:sz w:val="20"/>
          <w:szCs w:val="20"/>
          <w:lang w:val="es-ES"/>
        </w:rPr>
        <w:t xml:space="preserve"> resultado </w:t>
      </w:r>
      <w:r w:rsidR="00D72113" w:rsidRPr="00386E47">
        <w:rPr>
          <w:rFonts w:asciiTheme="majorHAnsi" w:eastAsia="Calibri" w:hAnsiTheme="majorHAnsi"/>
          <w:sz w:val="20"/>
          <w:szCs w:val="20"/>
          <w:lang w:val="es-ES"/>
        </w:rPr>
        <w:t>no solo de la</w:t>
      </w:r>
      <w:r w:rsidR="004C42C7" w:rsidRPr="00386E47">
        <w:rPr>
          <w:rFonts w:asciiTheme="majorHAnsi" w:eastAsia="Calibri" w:hAnsiTheme="majorHAnsi"/>
          <w:sz w:val="20"/>
          <w:szCs w:val="20"/>
          <w:lang w:val="es-ES"/>
        </w:rPr>
        <w:t xml:space="preserve"> negligencia </w:t>
      </w:r>
      <w:r w:rsidR="00C939A3" w:rsidRPr="00386E47">
        <w:rPr>
          <w:rFonts w:asciiTheme="majorHAnsi" w:eastAsia="Calibri" w:hAnsiTheme="majorHAnsi"/>
          <w:sz w:val="20"/>
          <w:szCs w:val="20"/>
          <w:lang w:val="es-ES"/>
        </w:rPr>
        <w:t>estatal</w:t>
      </w:r>
      <w:r w:rsidR="00D72113" w:rsidRPr="00386E47">
        <w:rPr>
          <w:rFonts w:asciiTheme="majorHAnsi" w:eastAsia="Calibri" w:hAnsiTheme="majorHAnsi"/>
          <w:sz w:val="20"/>
          <w:szCs w:val="20"/>
          <w:lang w:val="es-ES"/>
        </w:rPr>
        <w:t xml:space="preserve"> sino de maniobras dirigidas a ocultar la verdad</w:t>
      </w:r>
      <w:r w:rsidR="004C42C7" w:rsidRPr="00386E47">
        <w:rPr>
          <w:rFonts w:asciiTheme="majorHAnsi" w:eastAsia="Calibri" w:hAnsiTheme="majorHAnsi"/>
          <w:sz w:val="20"/>
          <w:szCs w:val="20"/>
          <w:lang w:val="es-ES"/>
        </w:rPr>
        <w:t>.</w:t>
      </w:r>
      <w:r w:rsidR="00414369" w:rsidRPr="00386E47">
        <w:rPr>
          <w:rFonts w:asciiTheme="majorHAnsi" w:eastAsia="Calibri" w:hAnsiTheme="majorHAnsi"/>
          <w:sz w:val="20"/>
          <w:szCs w:val="20"/>
          <w:lang w:val="es-ES"/>
        </w:rPr>
        <w:t xml:space="preserve"> </w:t>
      </w:r>
      <w:r w:rsidRPr="00386E47">
        <w:rPr>
          <w:rFonts w:asciiTheme="majorHAnsi" w:eastAsia="Calibri" w:hAnsiTheme="majorHAnsi"/>
          <w:sz w:val="20"/>
          <w:szCs w:val="20"/>
          <w:lang w:val="es-ES"/>
        </w:rPr>
        <w:t>En estas circunstancias, y teniendo en cuenta que el derecho a la verdad se encuentra subsumido en el derecho de la víctima o de sus familiares a obtener de los órganos competentes del Estado el esclarecimiento de los hechos violatorios y las responsabilidades correspondientes, ”</w:t>
      </w:r>
      <w:r w:rsidRPr="00386E47">
        <w:rPr>
          <w:rStyle w:val="FootnoteReference"/>
          <w:rFonts w:asciiTheme="majorHAnsi" w:eastAsia="Calibri" w:hAnsiTheme="majorHAnsi"/>
          <w:sz w:val="20"/>
          <w:szCs w:val="20"/>
          <w:lang w:val="es-ES"/>
        </w:rPr>
        <w:footnoteReference w:id="274"/>
      </w:r>
      <w:r w:rsidRPr="00386E47">
        <w:rPr>
          <w:rFonts w:asciiTheme="majorHAnsi" w:eastAsia="Calibri" w:hAnsiTheme="majorHAnsi"/>
          <w:sz w:val="20"/>
          <w:szCs w:val="20"/>
          <w:lang w:val="es-ES"/>
        </w:rPr>
        <w:t>, la Comisión concluye que ha sido la propia actuación</w:t>
      </w:r>
      <w:r w:rsidR="00C939A3" w:rsidRPr="00386E47">
        <w:rPr>
          <w:rFonts w:asciiTheme="majorHAnsi" w:eastAsia="Calibri" w:hAnsiTheme="majorHAnsi"/>
          <w:sz w:val="20"/>
          <w:szCs w:val="20"/>
          <w:lang w:val="es-ES"/>
        </w:rPr>
        <w:t xml:space="preserve"> estatal</w:t>
      </w:r>
      <w:r w:rsidRPr="00386E47">
        <w:rPr>
          <w:rFonts w:asciiTheme="majorHAnsi" w:eastAsia="Calibri" w:hAnsiTheme="majorHAnsi"/>
          <w:sz w:val="20"/>
          <w:szCs w:val="20"/>
          <w:lang w:val="es-ES"/>
        </w:rPr>
        <w:t xml:space="preserve"> la que ha impedido a las víctimas y familiares ver satisfecho su derecho al establecimiento de la verdad a través de la investigación y proceso penal. En consecuencia, el Estado argentino ha violado sus obligaciones establecidas en los artículos 8 y 25 de la Convención Americana. </w:t>
      </w:r>
    </w:p>
    <w:p w14:paraId="5DD3E75C" w14:textId="77777777" w:rsidR="006A1FC1" w:rsidRPr="00386E47" w:rsidRDefault="006A1FC1" w:rsidP="00A311A0">
      <w:pPr>
        <w:pStyle w:val="ListParagraph"/>
        <w:ind w:left="1080"/>
        <w:rPr>
          <w:rFonts w:asciiTheme="majorHAnsi" w:eastAsia="Calibri" w:hAnsiTheme="majorHAnsi"/>
          <w:sz w:val="20"/>
          <w:szCs w:val="20"/>
          <w:lang w:val="es-ES"/>
        </w:rPr>
      </w:pPr>
    </w:p>
    <w:p w14:paraId="255F9CCD" w14:textId="77777777" w:rsidR="009F70EA" w:rsidRPr="00386E47" w:rsidRDefault="009017AE" w:rsidP="009146F2">
      <w:pPr>
        <w:pStyle w:val="Heading2"/>
        <w:numPr>
          <w:ilvl w:val="0"/>
          <w:numId w:val="68"/>
        </w:numPr>
        <w:rPr>
          <w:rFonts w:asciiTheme="majorHAnsi" w:hAnsiTheme="majorHAnsi"/>
        </w:rPr>
      </w:pPr>
      <w:bookmarkStart w:id="31" w:name="_Toc51252202"/>
      <w:r w:rsidRPr="00386E47">
        <w:rPr>
          <w:rFonts w:asciiTheme="majorHAnsi" w:hAnsiTheme="majorHAnsi"/>
        </w:rPr>
        <w:t>D</w:t>
      </w:r>
      <w:r w:rsidR="009F70EA" w:rsidRPr="00386E47">
        <w:rPr>
          <w:rFonts w:asciiTheme="majorHAnsi" w:hAnsiTheme="majorHAnsi"/>
        </w:rPr>
        <w:t>erechos de Acceso a la Información (artículos 13, 1.1 y 2 de la Convención) y</w:t>
      </w:r>
      <w:r w:rsidR="00764BCB" w:rsidRPr="00386E47">
        <w:rPr>
          <w:rFonts w:asciiTheme="majorHAnsi" w:hAnsiTheme="majorHAnsi"/>
        </w:rPr>
        <w:t xml:space="preserve"> a la</w:t>
      </w:r>
      <w:r w:rsidR="009F70EA" w:rsidRPr="00386E47">
        <w:rPr>
          <w:rFonts w:asciiTheme="majorHAnsi" w:hAnsiTheme="majorHAnsi"/>
        </w:rPr>
        <w:t xml:space="preserve"> Protección Judicial (artículo 25 de la Convención Americana)</w:t>
      </w:r>
      <w:bookmarkEnd w:id="31"/>
      <w:r w:rsidR="009F70EA" w:rsidRPr="00386E47">
        <w:rPr>
          <w:rFonts w:asciiTheme="majorHAnsi" w:hAnsiTheme="majorHAnsi"/>
        </w:rPr>
        <w:t xml:space="preserve"> </w:t>
      </w:r>
    </w:p>
    <w:p w14:paraId="600F18EC" w14:textId="77777777" w:rsidR="00D85E80" w:rsidRPr="00386E47" w:rsidRDefault="00D85E80" w:rsidP="00D85E80">
      <w:pPr>
        <w:rPr>
          <w:rFonts w:asciiTheme="majorHAnsi" w:hAnsiTheme="majorHAnsi"/>
          <w:lang w:val="es-US"/>
        </w:rPr>
      </w:pPr>
    </w:p>
    <w:p w14:paraId="3E3BF545" w14:textId="77777777" w:rsidR="008264BE" w:rsidRPr="00386E47" w:rsidRDefault="009017AE"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E</w:t>
      </w:r>
      <w:r w:rsidR="009F70EA" w:rsidRPr="00386E47">
        <w:rPr>
          <w:rFonts w:asciiTheme="majorHAnsi" w:eastAsia="Calibri" w:hAnsiTheme="majorHAnsi"/>
          <w:sz w:val="20"/>
          <w:szCs w:val="20"/>
          <w:lang w:val="es-AR"/>
        </w:rPr>
        <w:t>l derecho de acceso a la información es u</w:t>
      </w:r>
      <w:r w:rsidR="0014695A" w:rsidRPr="00386E47">
        <w:rPr>
          <w:rFonts w:asciiTheme="majorHAnsi" w:eastAsia="Calibri" w:hAnsiTheme="majorHAnsi"/>
          <w:sz w:val="20"/>
          <w:szCs w:val="20"/>
          <w:lang w:val="es-AR"/>
        </w:rPr>
        <w:t>n derecho fundamental contemplado de manera expresa en</w:t>
      </w:r>
      <w:r w:rsidR="009F70EA" w:rsidRPr="00386E47">
        <w:rPr>
          <w:rFonts w:asciiTheme="majorHAnsi" w:eastAsia="Calibri" w:hAnsiTheme="majorHAnsi"/>
          <w:sz w:val="20"/>
          <w:szCs w:val="20"/>
          <w:lang w:val="es-AR"/>
        </w:rPr>
        <w:t xml:space="preserve"> el artículo 13 de la Convención Americana</w:t>
      </w:r>
      <w:r w:rsidR="009F70EA" w:rsidRPr="00386E47">
        <w:rPr>
          <w:rFonts w:asciiTheme="majorHAnsi" w:eastAsia="Calibri" w:hAnsiTheme="majorHAnsi"/>
          <w:sz w:val="20"/>
          <w:szCs w:val="20"/>
          <w:vertAlign w:val="superscript"/>
          <w:lang w:val="es-AR"/>
        </w:rPr>
        <w:footnoteReference w:id="275"/>
      </w:r>
      <w:r w:rsidR="00540E60" w:rsidRPr="00386E47">
        <w:rPr>
          <w:rFonts w:asciiTheme="majorHAnsi" w:eastAsia="Calibri" w:hAnsiTheme="majorHAnsi"/>
          <w:sz w:val="20"/>
          <w:szCs w:val="20"/>
          <w:lang w:val="es-AR"/>
        </w:rPr>
        <w:t xml:space="preserve"> y </w:t>
      </w:r>
      <w:r w:rsidR="00D82ADC" w:rsidRPr="00386E47">
        <w:rPr>
          <w:rFonts w:asciiTheme="majorHAnsi" w:eastAsia="Calibri" w:hAnsiTheme="majorHAnsi"/>
          <w:sz w:val="20"/>
          <w:szCs w:val="20"/>
          <w:lang w:val="es-AR"/>
        </w:rPr>
        <w:t xml:space="preserve">su ejercicio </w:t>
      </w:r>
      <w:r w:rsidR="009F70EA" w:rsidRPr="00386E47">
        <w:rPr>
          <w:rFonts w:asciiTheme="majorHAnsi" w:eastAsia="Calibri" w:hAnsiTheme="majorHAnsi"/>
          <w:sz w:val="20"/>
          <w:szCs w:val="20"/>
          <w:lang w:val="es-AR"/>
        </w:rPr>
        <w:t>resulta part</w:t>
      </w:r>
      <w:r w:rsidR="00D82ADC" w:rsidRPr="00386E47">
        <w:rPr>
          <w:rFonts w:asciiTheme="majorHAnsi" w:eastAsia="Calibri" w:hAnsiTheme="majorHAnsi"/>
          <w:sz w:val="20"/>
          <w:szCs w:val="20"/>
          <w:lang w:val="es-AR"/>
        </w:rPr>
        <w:t xml:space="preserve">icularmente importante no solo </w:t>
      </w:r>
      <w:r w:rsidR="0014695A" w:rsidRPr="00386E47">
        <w:rPr>
          <w:rFonts w:asciiTheme="majorHAnsi" w:eastAsia="Calibri" w:hAnsiTheme="majorHAnsi"/>
          <w:sz w:val="20"/>
          <w:szCs w:val="20"/>
          <w:lang w:val="es-AR"/>
        </w:rPr>
        <w:t xml:space="preserve">para el </w:t>
      </w:r>
      <w:r w:rsidR="0025385C" w:rsidRPr="00386E47">
        <w:rPr>
          <w:rFonts w:asciiTheme="majorHAnsi" w:eastAsia="Calibri" w:hAnsiTheme="majorHAnsi"/>
          <w:sz w:val="20"/>
          <w:szCs w:val="20"/>
          <w:lang w:val="es-AR"/>
        </w:rPr>
        <w:t xml:space="preserve">pleno </w:t>
      </w:r>
      <w:r w:rsidR="009F70EA" w:rsidRPr="00386E47">
        <w:rPr>
          <w:rFonts w:asciiTheme="majorHAnsi" w:eastAsia="Calibri" w:hAnsiTheme="majorHAnsi"/>
          <w:sz w:val="20"/>
          <w:szCs w:val="20"/>
          <w:lang w:val="es-AR"/>
        </w:rPr>
        <w:t>funcionamie</w:t>
      </w:r>
      <w:r w:rsidR="004B1571" w:rsidRPr="00386E47">
        <w:rPr>
          <w:rFonts w:asciiTheme="majorHAnsi" w:eastAsia="Calibri" w:hAnsiTheme="majorHAnsi"/>
          <w:sz w:val="20"/>
          <w:szCs w:val="20"/>
          <w:lang w:val="es-AR"/>
        </w:rPr>
        <w:t xml:space="preserve">nto </w:t>
      </w:r>
      <w:r w:rsidR="00281918" w:rsidRPr="00386E47">
        <w:rPr>
          <w:rFonts w:asciiTheme="majorHAnsi" w:eastAsia="Calibri" w:hAnsiTheme="majorHAnsi"/>
          <w:sz w:val="20"/>
          <w:szCs w:val="20"/>
          <w:lang w:val="es-AR"/>
        </w:rPr>
        <w:t>del sistema</w:t>
      </w:r>
      <w:r w:rsidR="004B1571" w:rsidRPr="00386E47">
        <w:rPr>
          <w:rFonts w:asciiTheme="majorHAnsi" w:eastAsia="Calibri" w:hAnsiTheme="majorHAnsi"/>
          <w:sz w:val="20"/>
          <w:szCs w:val="20"/>
          <w:lang w:val="es-AR"/>
        </w:rPr>
        <w:t xml:space="preserve"> democrático </w:t>
      </w:r>
      <w:r w:rsidR="00D82ADC" w:rsidRPr="00386E47">
        <w:rPr>
          <w:rFonts w:asciiTheme="majorHAnsi" w:eastAsia="Calibri" w:hAnsiTheme="majorHAnsi"/>
          <w:sz w:val="20"/>
          <w:szCs w:val="20"/>
          <w:lang w:val="es-AR"/>
        </w:rPr>
        <w:t>sino que</w:t>
      </w:r>
      <w:r w:rsidR="0025385C" w:rsidRPr="00386E47">
        <w:rPr>
          <w:rFonts w:asciiTheme="majorHAnsi" w:eastAsia="Calibri" w:hAnsiTheme="majorHAnsi"/>
          <w:sz w:val="20"/>
          <w:szCs w:val="20"/>
          <w:lang w:val="es-AR"/>
        </w:rPr>
        <w:t xml:space="preserve"> </w:t>
      </w:r>
      <w:r w:rsidR="002457E7" w:rsidRPr="00386E47">
        <w:rPr>
          <w:rFonts w:asciiTheme="majorHAnsi" w:eastAsia="Calibri" w:hAnsiTheme="majorHAnsi"/>
          <w:sz w:val="20"/>
          <w:szCs w:val="20"/>
          <w:lang w:val="es-AR"/>
        </w:rPr>
        <w:t>también</w:t>
      </w:r>
      <w:r w:rsidR="00D82ADC" w:rsidRPr="00386E47">
        <w:rPr>
          <w:rFonts w:asciiTheme="majorHAnsi" w:eastAsia="Calibri" w:hAnsiTheme="majorHAnsi"/>
          <w:sz w:val="20"/>
          <w:szCs w:val="20"/>
          <w:lang w:val="es-AR"/>
        </w:rPr>
        <w:t xml:space="preserve"> resulta una</w:t>
      </w:r>
      <w:r w:rsidR="009F70EA" w:rsidRPr="00386E47">
        <w:rPr>
          <w:rFonts w:asciiTheme="majorHAnsi" w:eastAsia="Calibri" w:hAnsiTheme="majorHAnsi"/>
          <w:sz w:val="20"/>
          <w:szCs w:val="20"/>
          <w:lang w:val="es-AR"/>
        </w:rPr>
        <w:t xml:space="preserve"> precondición para el disfrute de otros derechos humanos</w:t>
      </w:r>
      <w:r w:rsidR="009F70EA" w:rsidRPr="00386E47">
        <w:rPr>
          <w:rFonts w:asciiTheme="majorHAnsi" w:eastAsia="Calibri" w:hAnsiTheme="majorHAnsi"/>
          <w:sz w:val="20"/>
          <w:szCs w:val="20"/>
          <w:vertAlign w:val="superscript"/>
          <w:lang w:val="es-AR"/>
        </w:rPr>
        <w:footnoteReference w:id="276"/>
      </w:r>
      <w:r w:rsidR="008A03A7" w:rsidRPr="00386E47">
        <w:rPr>
          <w:rFonts w:asciiTheme="majorHAnsi" w:eastAsia="Calibri" w:hAnsiTheme="majorHAnsi"/>
          <w:sz w:val="20"/>
          <w:szCs w:val="20"/>
          <w:lang w:val="es-AR"/>
        </w:rPr>
        <w:t>.</w:t>
      </w:r>
      <w:r w:rsidR="009F70EA" w:rsidRPr="00386E47">
        <w:rPr>
          <w:rFonts w:asciiTheme="majorHAnsi" w:eastAsia="Calibri" w:hAnsiTheme="majorHAnsi"/>
          <w:sz w:val="20"/>
          <w:szCs w:val="20"/>
          <w:lang w:val="es-AR"/>
        </w:rPr>
        <w:t xml:space="preserve"> </w:t>
      </w:r>
    </w:p>
    <w:p w14:paraId="1D3D223F" w14:textId="77777777" w:rsidR="008264BE" w:rsidRPr="00386E47" w:rsidRDefault="008264BE" w:rsidP="00CE774A">
      <w:pPr>
        <w:tabs>
          <w:tab w:val="left" w:pos="567"/>
        </w:tabs>
        <w:contextualSpacing/>
        <w:jc w:val="both"/>
        <w:rPr>
          <w:rFonts w:asciiTheme="majorHAnsi" w:eastAsia="Calibri" w:hAnsiTheme="majorHAnsi"/>
          <w:sz w:val="20"/>
          <w:szCs w:val="20"/>
          <w:lang w:val="es-AR"/>
        </w:rPr>
      </w:pPr>
    </w:p>
    <w:p w14:paraId="4D579DFB" w14:textId="77777777" w:rsidR="00601936" w:rsidRPr="00386E47" w:rsidRDefault="00601936"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En este sentido, la Corte IDH ha determinado que en una sociedad democrática es indispensable que las autoridades estatales se rijan por el principio de </w:t>
      </w:r>
      <w:r w:rsidR="002457E7" w:rsidRPr="00386E47">
        <w:rPr>
          <w:rFonts w:asciiTheme="majorHAnsi" w:eastAsia="Calibri" w:hAnsiTheme="majorHAnsi"/>
          <w:sz w:val="20"/>
          <w:szCs w:val="20"/>
          <w:lang w:val="es-AR"/>
        </w:rPr>
        <w:t>máxima</w:t>
      </w:r>
      <w:r w:rsidRPr="00386E47">
        <w:rPr>
          <w:rFonts w:asciiTheme="majorHAnsi" w:eastAsia="Calibri" w:hAnsiTheme="majorHAnsi"/>
          <w:sz w:val="20"/>
          <w:szCs w:val="20"/>
          <w:lang w:val="es-AR"/>
        </w:rPr>
        <w:t xml:space="preserve"> </w:t>
      </w:r>
      <w:r w:rsidR="002457E7" w:rsidRPr="00386E47">
        <w:rPr>
          <w:rFonts w:asciiTheme="majorHAnsi" w:eastAsia="Calibri" w:hAnsiTheme="majorHAnsi"/>
          <w:sz w:val="20"/>
          <w:szCs w:val="20"/>
          <w:lang w:val="es-AR"/>
        </w:rPr>
        <w:t>divulgación</w:t>
      </w:r>
      <w:r w:rsidRPr="00386E47">
        <w:rPr>
          <w:rFonts w:asciiTheme="majorHAnsi" w:eastAsia="Calibri" w:hAnsiTheme="majorHAnsi"/>
          <w:sz w:val="20"/>
          <w:szCs w:val="20"/>
          <w:lang w:val="es-AR"/>
        </w:rPr>
        <w:t xml:space="preserve">, el cual establece la presunción de que toda </w:t>
      </w:r>
      <w:r w:rsidR="002457E7" w:rsidRPr="00386E47">
        <w:rPr>
          <w:rFonts w:asciiTheme="majorHAnsi" w:eastAsia="Calibri" w:hAnsiTheme="majorHAnsi"/>
          <w:sz w:val="20"/>
          <w:szCs w:val="20"/>
          <w:lang w:val="es-AR"/>
        </w:rPr>
        <w:t>información</w:t>
      </w:r>
      <w:r w:rsidRPr="00386E47">
        <w:rPr>
          <w:rFonts w:asciiTheme="majorHAnsi" w:eastAsia="Calibri" w:hAnsiTheme="majorHAnsi"/>
          <w:sz w:val="20"/>
          <w:szCs w:val="20"/>
          <w:lang w:val="es-AR"/>
        </w:rPr>
        <w:t xml:space="preserve"> es accesible, </w:t>
      </w:r>
      <w:r w:rsidR="0025385C" w:rsidRPr="00386E47">
        <w:rPr>
          <w:rFonts w:asciiTheme="majorHAnsi" w:eastAsia="Calibri" w:hAnsiTheme="majorHAnsi"/>
          <w:sz w:val="20"/>
          <w:szCs w:val="20"/>
          <w:lang w:val="es-AR"/>
        </w:rPr>
        <w:t xml:space="preserve">y que el acceso a dicha </w:t>
      </w:r>
      <w:r w:rsidR="002457E7" w:rsidRPr="00386E47">
        <w:rPr>
          <w:rFonts w:asciiTheme="majorHAnsi" w:eastAsia="Calibri" w:hAnsiTheme="majorHAnsi"/>
          <w:sz w:val="20"/>
          <w:szCs w:val="20"/>
          <w:lang w:val="es-AR"/>
        </w:rPr>
        <w:t>información</w:t>
      </w:r>
      <w:r w:rsidR="0025385C" w:rsidRPr="00386E47">
        <w:rPr>
          <w:rFonts w:asciiTheme="majorHAnsi" w:eastAsia="Calibri" w:hAnsiTheme="majorHAnsi"/>
          <w:sz w:val="20"/>
          <w:szCs w:val="20"/>
          <w:lang w:val="es-AR"/>
        </w:rPr>
        <w:t xml:space="preserve"> solo puede ser negado conforme</w:t>
      </w:r>
      <w:r w:rsidRPr="00386E47">
        <w:rPr>
          <w:rFonts w:asciiTheme="majorHAnsi" w:eastAsia="Calibri" w:hAnsiTheme="majorHAnsi"/>
          <w:sz w:val="20"/>
          <w:szCs w:val="20"/>
          <w:lang w:val="es-AR"/>
        </w:rPr>
        <w:t xml:space="preserve"> a un sistema restringido de excepciones</w:t>
      </w:r>
      <w:r w:rsidRPr="00386E47">
        <w:rPr>
          <w:rStyle w:val="FootnoteReference"/>
          <w:rFonts w:asciiTheme="majorHAnsi" w:eastAsia="Calibri" w:hAnsiTheme="majorHAnsi"/>
          <w:sz w:val="20"/>
          <w:szCs w:val="20"/>
          <w:lang w:val="es-AR"/>
        </w:rPr>
        <w:footnoteReference w:id="277"/>
      </w:r>
      <w:r w:rsidRPr="00386E47">
        <w:rPr>
          <w:rFonts w:asciiTheme="majorHAnsi" w:eastAsia="Calibri" w:hAnsiTheme="majorHAnsi"/>
          <w:sz w:val="20"/>
          <w:szCs w:val="20"/>
          <w:lang w:val="es-AR"/>
        </w:rPr>
        <w:t>.</w:t>
      </w:r>
    </w:p>
    <w:p w14:paraId="355490E2" w14:textId="77777777" w:rsidR="00601936" w:rsidRPr="00386E47" w:rsidRDefault="00601936" w:rsidP="00CE774A">
      <w:pPr>
        <w:tabs>
          <w:tab w:val="left" w:pos="567"/>
        </w:tabs>
        <w:contextualSpacing/>
        <w:jc w:val="both"/>
        <w:rPr>
          <w:rFonts w:asciiTheme="majorHAnsi" w:eastAsia="Calibri" w:hAnsiTheme="majorHAnsi"/>
          <w:sz w:val="20"/>
          <w:szCs w:val="20"/>
          <w:lang w:val="es-AR"/>
        </w:rPr>
      </w:pPr>
    </w:p>
    <w:p w14:paraId="0846FAC2" w14:textId="77777777" w:rsidR="008264BE" w:rsidRPr="00386E47" w:rsidRDefault="00601936"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 Por su parte, la CIDH </w:t>
      </w:r>
      <w:r w:rsidR="009F70EA" w:rsidRPr="00386E47">
        <w:rPr>
          <w:rFonts w:asciiTheme="majorHAnsi" w:eastAsia="Calibri" w:hAnsiTheme="majorHAnsi"/>
          <w:sz w:val="20"/>
          <w:szCs w:val="20"/>
          <w:lang w:val="es-AR"/>
        </w:rPr>
        <w:t xml:space="preserve">ha señalado que el derecho de acceso a la información </w:t>
      </w:r>
      <w:r w:rsidRPr="00386E47">
        <w:rPr>
          <w:rFonts w:asciiTheme="majorHAnsi" w:eastAsia="Calibri" w:hAnsiTheme="majorHAnsi"/>
          <w:sz w:val="20"/>
          <w:szCs w:val="20"/>
          <w:lang w:val="es-AR"/>
        </w:rPr>
        <w:t>comprende</w:t>
      </w:r>
      <w:r w:rsidR="009F70EA" w:rsidRPr="00386E47">
        <w:rPr>
          <w:rFonts w:asciiTheme="majorHAnsi" w:eastAsia="Calibri" w:hAnsiTheme="majorHAnsi"/>
          <w:sz w:val="20"/>
          <w:szCs w:val="20"/>
          <w:lang w:val="es-AR"/>
        </w:rPr>
        <w:t xml:space="preserve"> el interés de las víctimas y sus familiares, así como la sociedad en su conjunto, a buscar y obtener información sobre graves violaciones de derechos humanos que pueda hallase almacenad</w:t>
      </w:r>
      <w:r w:rsidR="00D549B0" w:rsidRPr="00386E47">
        <w:rPr>
          <w:rFonts w:asciiTheme="majorHAnsi" w:eastAsia="Calibri" w:hAnsiTheme="majorHAnsi"/>
          <w:sz w:val="20"/>
          <w:szCs w:val="20"/>
          <w:lang w:val="es-AR"/>
        </w:rPr>
        <w:t>a en los archivos del Estado, aú</w:t>
      </w:r>
      <w:r w:rsidR="009F70EA" w:rsidRPr="00386E47">
        <w:rPr>
          <w:rFonts w:asciiTheme="majorHAnsi" w:eastAsia="Calibri" w:hAnsiTheme="majorHAnsi"/>
          <w:sz w:val="20"/>
          <w:szCs w:val="20"/>
          <w:lang w:val="es-AR"/>
        </w:rPr>
        <w:t xml:space="preserve">n en los casos en </w:t>
      </w:r>
      <w:r w:rsidR="009F70EA" w:rsidRPr="00386E47">
        <w:rPr>
          <w:rFonts w:asciiTheme="majorHAnsi" w:eastAsia="Calibri" w:hAnsiTheme="majorHAnsi"/>
          <w:sz w:val="20"/>
          <w:szCs w:val="20"/>
          <w:lang w:val="es-AR"/>
        </w:rPr>
        <w:lastRenderedPageBreak/>
        <w:t>que dichos  archivos se encuentran bajo la custodia de agencias de seguridad, en dependencias militares o de la policía</w:t>
      </w:r>
      <w:r w:rsidR="009F70EA" w:rsidRPr="00386E47">
        <w:rPr>
          <w:rFonts w:asciiTheme="majorHAnsi" w:eastAsia="Calibri" w:hAnsiTheme="majorHAnsi"/>
          <w:sz w:val="20"/>
          <w:szCs w:val="20"/>
          <w:vertAlign w:val="superscript"/>
          <w:lang w:val="es-AR"/>
        </w:rPr>
        <w:footnoteReference w:id="278"/>
      </w:r>
      <w:r w:rsidR="009F70EA" w:rsidRPr="00386E47">
        <w:rPr>
          <w:rFonts w:asciiTheme="majorHAnsi" w:eastAsia="Calibri" w:hAnsiTheme="majorHAnsi"/>
          <w:sz w:val="20"/>
          <w:szCs w:val="20"/>
          <w:lang w:val="es-AR"/>
        </w:rPr>
        <w:t xml:space="preserve">. </w:t>
      </w:r>
    </w:p>
    <w:p w14:paraId="260E90FC" w14:textId="77777777" w:rsidR="008264BE" w:rsidRPr="00386E47" w:rsidRDefault="008264BE" w:rsidP="00CE774A">
      <w:pPr>
        <w:tabs>
          <w:tab w:val="left" w:pos="567"/>
        </w:tabs>
        <w:contextualSpacing/>
        <w:jc w:val="both"/>
        <w:rPr>
          <w:rFonts w:asciiTheme="majorHAnsi" w:eastAsia="Calibri" w:hAnsiTheme="majorHAnsi"/>
          <w:sz w:val="20"/>
          <w:szCs w:val="20"/>
          <w:lang w:val="es-AR"/>
        </w:rPr>
      </w:pPr>
    </w:p>
    <w:p w14:paraId="17DCE958" w14:textId="77777777" w:rsidR="00D549B0"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Garantizar el derecho de acceso a la información vinculada con hechos de graves violaciones a los derechos humanos impone al Estado el cumplimiento de una serie de obligaciones positivas. En lo que resulta relevante a este caso, la Comisión destaca, e</w:t>
      </w:r>
      <w:r w:rsidR="0025385C" w:rsidRPr="00386E47">
        <w:rPr>
          <w:rFonts w:asciiTheme="majorHAnsi" w:eastAsia="Calibri" w:hAnsiTheme="majorHAnsi"/>
          <w:sz w:val="20"/>
          <w:szCs w:val="20"/>
          <w:lang w:val="es-AR"/>
        </w:rPr>
        <w:t>ntre otras medidas</w:t>
      </w:r>
      <w:r w:rsidRPr="00386E47">
        <w:rPr>
          <w:rFonts w:asciiTheme="majorHAnsi" w:eastAsia="Calibri" w:hAnsiTheme="majorHAnsi"/>
          <w:sz w:val="20"/>
          <w:szCs w:val="20"/>
          <w:lang w:val="es-AR"/>
        </w:rPr>
        <w:t>, la</w:t>
      </w:r>
      <w:r w:rsidR="008264BE" w:rsidRPr="00386E47">
        <w:rPr>
          <w:rFonts w:asciiTheme="majorHAnsi" w:eastAsia="Calibri" w:hAnsiTheme="majorHAnsi"/>
          <w:sz w:val="20"/>
          <w:szCs w:val="20"/>
          <w:lang w:val="es-AR"/>
        </w:rPr>
        <w:t xml:space="preserve"> </w:t>
      </w:r>
      <w:r w:rsidR="00B05379" w:rsidRPr="00386E47">
        <w:rPr>
          <w:rFonts w:asciiTheme="majorHAnsi" w:eastAsia="Calibri" w:hAnsiTheme="majorHAnsi"/>
          <w:sz w:val="20"/>
          <w:szCs w:val="20"/>
          <w:lang w:val="es-AR"/>
        </w:rPr>
        <w:t>desclasificación</w:t>
      </w:r>
      <w:r w:rsidR="008264BE" w:rsidRPr="00386E47">
        <w:rPr>
          <w:rFonts w:asciiTheme="majorHAnsi" w:eastAsia="Calibri" w:hAnsiTheme="majorHAnsi"/>
          <w:sz w:val="20"/>
          <w:szCs w:val="20"/>
          <w:lang w:val="es-AR"/>
        </w:rPr>
        <w:t xml:space="preserve"> y</w:t>
      </w:r>
      <w:r w:rsidRPr="00386E47">
        <w:rPr>
          <w:rFonts w:asciiTheme="majorHAnsi" w:eastAsia="Calibri" w:hAnsiTheme="majorHAnsi"/>
          <w:sz w:val="20"/>
          <w:szCs w:val="20"/>
          <w:lang w:val="es-AR"/>
        </w:rPr>
        <w:t xml:space="preserve"> apertura de los archivos a efectos de que las instituciones que investigan los hechos puedan hacer inspecciones directas; la realización de inventarios y rastreos en las instalaciones oficiales; el impulso de operativos de búsqueda que incluyan allanamientos a los lugares en los cuales la información puede reposar; la realización de audiencias e interrogatorios a quienes pueden saber dónde se encuentra</w:t>
      </w:r>
      <w:r w:rsidR="008264BE" w:rsidRPr="00386E47">
        <w:rPr>
          <w:rFonts w:asciiTheme="majorHAnsi" w:eastAsia="Calibri" w:hAnsiTheme="majorHAnsi"/>
          <w:sz w:val="20"/>
          <w:szCs w:val="20"/>
          <w:lang w:val="es-AR"/>
        </w:rPr>
        <w:t>n documentos relevantes</w:t>
      </w:r>
      <w:r w:rsidRPr="00386E47">
        <w:rPr>
          <w:rFonts w:asciiTheme="majorHAnsi" w:eastAsia="Calibri" w:hAnsiTheme="majorHAnsi"/>
          <w:sz w:val="20"/>
          <w:szCs w:val="20"/>
          <w:lang w:val="es-AR"/>
        </w:rPr>
        <w:t xml:space="preserve"> o a quienes pueden reconstruir lo sucedido</w:t>
      </w:r>
      <w:r w:rsidR="008264BE" w:rsidRPr="00386E47">
        <w:rPr>
          <w:rFonts w:asciiTheme="majorHAnsi" w:eastAsia="Calibri" w:hAnsiTheme="majorHAnsi"/>
          <w:sz w:val="20"/>
          <w:szCs w:val="20"/>
          <w:lang w:val="es-AR"/>
        </w:rPr>
        <w:t xml:space="preserve"> con ellos,</w:t>
      </w:r>
      <w:r w:rsidRPr="00386E47">
        <w:rPr>
          <w:rFonts w:asciiTheme="majorHAnsi" w:eastAsia="Calibri" w:hAnsiTheme="majorHAnsi"/>
          <w:sz w:val="20"/>
          <w:szCs w:val="20"/>
          <w:lang w:val="es-AR"/>
        </w:rPr>
        <w:t xml:space="preserve"> entre otras cosas. Resulta necesario, asimismo, que los familiares de las víctimas y sus representantes legales puedan participar en estas acciones y tener acceso directo a la documentación </w:t>
      </w:r>
      <w:r w:rsidR="008264BE" w:rsidRPr="00386E47">
        <w:rPr>
          <w:rFonts w:asciiTheme="majorHAnsi" w:eastAsia="Calibri" w:hAnsiTheme="majorHAnsi"/>
          <w:sz w:val="20"/>
          <w:szCs w:val="20"/>
          <w:lang w:val="es-AR"/>
        </w:rPr>
        <w:t>existente</w:t>
      </w:r>
      <w:r w:rsidRPr="00386E47">
        <w:rPr>
          <w:rFonts w:asciiTheme="majorHAnsi" w:eastAsia="Calibri" w:hAnsiTheme="majorHAnsi"/>
          <w:sz w:val="20"/>
          <w:szCs w:val="20"/>
          <w:vertAlign w:val="superscript"/>
          <w:lang w:val="es-AR"/>
        </w:rPr>
        <w:footnoteReference w:id="279"/>
      </w:r>
      <w:r w:rsidR="002F50D7" w:rsidRPr="00386E47">
        <w:rPr>
          <w:rFonts w:asciiTheme="majorHAnsi" w:eastAsia="Calibri" w:hAnsiTheme="majorHAnsi"/>
          <w:sz w:val="20"/>
          <w:szCs w:val="20"/>
          <w:lang w:val="es-AR"/>
        </w:rPr>
        <w:t>.</w:t>
      </w:r>
    </w:p>
    <w:p w14:paraId="10F087A0" w14:textId="77777777" w:rsidR="00D549B0" w:rsidRPr="00386E47" w:rsidRDefault="00D549B0" w:rsidP="00D85E80">
      <w:pPr>
        <w:tabs>
          <w:tab w:val="left" w:pos="567"/>
        </w:tabs>
        <w:contextualSpacing/>
        <w:jc w:val="both"/>
        <w:rPr>
          <w:rFonts w:asciiTheme="majorHAnsi" w:eastAsia="Calibri" w:hAnsiTheme="majorHAnsi"/>
          <w:sz w:val="20"/>
          <w:szCs w:val="20"/>
          <w:lang w:val="es-AR"/>
        </w:rPr>
      </w:pPr>
    </w:p>
    <w:p w14:paraId="768FB081" w14:textId="77777777" w:rsidR="00D549B0"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En segundo término, la Comisión resalta que </w:t>
      </w:r>
      <w:r w:rsidR="002778A1" w:rsidRPr="00386E47">
        <w:rPr>
          <w:rFonts w:asciiTheme="majorHAnsi" w:eastAsia="Calibri" w:hAnsiTheme="majorHAnsi"/>
          <w:sz w:val="20"/>
          <w:szCs w:val="20"/>
          <w:lang w:val="es-AR"/>
        </w:rPr>
        <w:t>los Estados poseen</w:t>
      </w:r>
      <w:r w:rsidRPr="00386E47">
        <w:rPr>
          <w:rFonts w:asciiTheme="majorHAnsi" w:eastAsia="Calibri" w:hAnsiTheme="majorHAnsi"/>
          <w:sz w:val="20"/>
          <w:szCs w:val="20"/>
          <w:lang w:val="es-AR"/>
        </w:rPr>
        <w:t xml:space="preserve"> el deber de preservar y facilitar el acceso a los archivos est</w:t>
      </w:r>
      <w:r w:rsidR="00D549B0" w:rsidRPr="00386E47">
        <w:rPr>
          <w:rFonts w:asciiTheme="majorHAnsi" w:eastAsia="Calibri" w:hAnsiTheme="majorHAnsi"/>
          <w:sz w:val="20"/>
          <w:szCs w:val="20"/>
          <w:lang w:val="es-AR"/>
        </w:rPr>
        <w:t>atales, cuando éstos existieran</w:t>
      </w:r>
      <w:r w:rsidRPr="00386E47">
        <w:rPr>
          <w:rFonts w:asciiTheme="majorHAnsi" w:eastAsia="Calibri" w:hAnsiTheme="majorHAnsi"/>
          <w:sz w:val="20"/>
          <w:szCs w:val="20"/>
          <w:lang w:val="es-AR"/>
        </w:rPr>
        <w:t xml:space="preserve"> y de crearlos y </w:t>
      </w:r>
      <w:r w:rsidR="008264BE" w:rsidRPr="00386E47">
        <w:rPr>
          <w:rFonts w:asciiTheme="majorHAnsi" w:eastAsia="Calibri" w:hAnsiTheme="majorHAnsi"/>
          <w:sz w:val="20"/>
          <w:szCs w:val="20"/>
          <w:lang w:val="es-AR"/>
        </w:rPr>
        <w:t>gestionarlos</w:t>
      </w:r>
      <w:r w:rsidRPr="00386E47">
        <w:rPr>
          <w:rFonts w:asciiTheme="majorHAnsi" w:eastAsia="Calibri" w:hAnsiTheme="majorHAnsi"/>
          <w:sz w:val="20"/>
          <w:szCs w:val="20"/>
          <w:lang w:val="es-AR"/>
        </w:rPr>
        <w:t xml:space="preserve"> cuando no estuvieran recopilados u organizados como tales. </w:t>
      </w:r>
      <w:r w:rsidR="002409D9" w:rsidRPr="00386E47">
        <w:rPr>
          <w:rFonts w:asciiTheme="majorHAnsi" w:eastAsia="Calibri" w:hAnsiTheme="majorHAnsi"/>
          <w:sz w:val="20"/>
          <w:szCs w:val="20"/>
          <w:lang w:val="es-AR"/>
        </w:rPr>
        <w:t>En efecto, c</w:t>
      </w:r>
      <w:r w:rsidRPr="00386E47">
        <w:rPr>
          <w:rFonts w:asciiTheme="majorHAnsi" w:eastAsia="Calibri" w:hAnsiTheme="majorHAnsi"/>
          <w:sz w:val="20"/>
          <w:szCs w:val="20"/>
          <w:lang w:val="es-AR"/>
        </w:rPr>
        <w:t>uando se trata de graves violaciones de derechos h</w:t>
      </w:r>
      <w:r w:rsidR="008264BE" w:rsidRPr="00386E47">
        <w:rPr>
          <w:rFonts w:asciiTheme="majorHAnsi" w:eastAsia="Calibri" w:hAnsiTheme="majorHAnsi"/>
          <w:sz w:val="20"/>
          <w:szCs w:val="20"/>
          <w:lang w:val="es-AR"/>
        </w:rPr>
        <w:t>umanos, la información que pueda</w:t>
      </w:r>
      <w:r w:rsidRPr="00386E47">
        <w:rPr>
          <w:rFonts w:asciiTheme="majorHAnsi" w:eastAsia="Calibri" w:hAnsiTheme="majorHAnsi"/>
          <w:sz w:val="20"/>
          <w:szCs w:val="20"/>
          <w:lang w:val="es-AR"/>
        </w:rPr>
        <w:t>n reunir estos archiv</w:t>
      </w:r>
      <w:r w:rsidR="008264BE" w:rsidRPr="00386E47">
        <w:rPr>
          <w:rFonts w:asciiTheme="majorHAnsi" w:eastAsia="Calibri" w:hAnsiTheme="majorHAnsi"/>
          <w:sz w:val="20"/>
          <w:szCs w:val="20"/>
          <w:lang w:val="es-AR"/>
        </w:rPr>
        <w:t>os posee un valor innegable y resultan</w:t>
      </w:r>
      <w:r w:rsidRPr="00386E47">
        <w:rPr>
          <w:rFonts w:asciiTheme="majorHAnsi" w:eastAsia="Calibri" w:hAnsiTheme="majorHAnsi"/>
          <w:sz w:val="20"/>
          <w:szCs w:val="20"/>
          <w:lang w:val="es-AR"/>
        </w:rPr>
        <w:t xml:space="preserve"> indispensable</w:t>
      </w:r>
      <w:r w:rsidR="008264BE" w:rsidRPr="00386E47">
        <w:rPr>
          <w:rFonts w:asciiTheme="majorHAnsi" w:eastAsia="Calibri" w:hAnsiTheme="majorHAnsi"/>
          <w:sz w:val="20"/>
          <w:szCs w:val="20"/>
          <w:lang w:val="es-AR"/>
        </w:rPr>
        <w:t>s</w:t>
      </w:r>
      <w:r w:rsidRPr="00386E47">
        <w:rPr>
          <w:rFonts w:asciiTheme="majorHAnsi" w:eastAsia="Calibri" w:hAnsiTheme="majorHAnsi"/>
          <w:sz w:val="20"/>
          <w:szCs w:val="20"/>
          <w:lang w:val="es-AR"/>
        </w:rPr>
        <w:t xml:space="preserve"> no sólo para impulsar las investigacion</w:t>
      </w:r>
      <w:r w:rsidR="008264BE" w:rsidRPr="00386E47">
        <w:rPr>
          <w:rFonts w:asciiTheme="majorHAnsi" w:eastAsia="Calibri" w:hAnsiTheme="majorHAnsi"/>
          <w:sz w:val="20"/>
          <w:szCs w:val="20"/>
          <w:lang w:val="es-AR"/>
        </w:rPr>
        <w:t xml:space="preserve">es, </w:t>
      </w:r>
      <w:r w:rsidRPr="00386E47">
        <w:rPr>
          <w:rFonts w:asciiTheme="majorHAnsi" w:eastAsia="Calibri" w:hAnsiTheme="majorHAnsi"/>
          <w:sz w:val="20"/>
          <w:szCs w:val="20"/>
          <w:lang w:val="es-AR"/>
        </w:rPr>
        <w:t xml:space="preserve">sino </w:t>
      </w:r>
      <w:r w:rsidR="00B05379" w:rsidRPr="00386E47">
        <w:rPr>
          <w:rFonts w:asciiTheme="majorHAnsi" w:eastAsia="Calibri" w:hAnsiTheme="majorHAnsi"/>
          <w:sz w:val="20"/>
          <w:szCs w:val="20"/>
          <w:lang w:val="es-AR"/>
        </w:rPr>
        <w:t>también</w:t>
      </w:r>
      <w:r w:rsidR="008264BE"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para</w:t>
      </w:r>
      <w:r w:rsidR="008264BE" w:rsidRPr="00386E47">
        <w:rPr>
          <w:rFonts w:asciiTheme="majorHAnsi" w:eastAsia="Calibri" w:hAnsiTheme="majorHAnsi"/>
          <w:sz w:val="20"/>
          <w:szCs w:val="20"/>
          <w:lang w:val="es-AR"/>
        </w:rPr>
        <w:t xml:space="preserve"> estudiar el pasado </w:t>
      </w:r>
      <w:r w:rsidR="00B05379" w:rsidRPr="00386E47">
        <w:rPr>
          <w:rFonts w:asciiTheme="majorHAnsi" w:eastAsia="Calibri" w:hAnsiTheme="majorHAnsi"/>
          <w:sz w:val="20"/>
          <w:szCs w:val="20"/>
          <w:lang w:val="es-AR"/>
        </w:rPr>
        <w:t>a fin de</w:t>
      </w:r>
      <w:r w:rsidR="00D549B0" w:rsidRPr="00386E47">
        <w:rPr>
          <w:rFonts w:asciiTheme="majorHAnsi" w:eastAsia="Calibri" w:hAnsiTheme="majorHAnsi"/>
          <w:sz w:val="20"/>
          <w:szCs w:val="20"/>
          <w:lang w:val="es-AR"/>
        </w:rPr>
        <w:t xml:space="preserve"> prevenir</w:t>
      </w:r>
      <w:r w:rsidR="008264BE" w:rsidRPr="00386E47">
        <w:rPr>
          <w:rFonts w:asciiTheme="majorHAnsi" w:eastAsia="Calibri" w:hAnsiTheme="majorHAnsi"/>
          <w:sz w:val="20"/>
          <w:szCs w:val="20"/>
          <w:lang w:val="es-AR"/>
        </w:rPr>
        <w:t xml:space="preserve"> </w:t>
      </w:r>
      <w:r w:rsidR="00D549B0" w:rsidRPr="00386E47">
        <w:rPr>
          <w:rFonts w:asciiTheme="majorHAnsi" w:eastAsia="Calibri" w:hAnsiTheme="majorHAnsi"/>
          <w:sz w:val="20"/>
          <w:szCs w:val="20"/>
          <w:lang w:val="es-AR"/>
        </w:rPr>
        <w:t>su repetici</w:t>
      </w:r>
      <w:r w:rsidR="002F3E4D" w:rsidRPr="00386E47">
        <w:rPr>
          <w:rFonts w:asciiTheme="majorHAnsi" w:eastAsia="Calibri" w:hAnsiTheme="majorHAnsi"/>
          <w:sz w:val="20"/>
          <w:szCs w:val="20"/>
          <w:lang w:val="es-AR"/>
        </w:rPr>
        <w:t>ó</w:t>
      </w:r>
      <w:r w:rsidR="008A03A7" w:rsidRPr="00386E47">
        <w:rPr>
          <w:rFonts w:asciiTheme="majorHAnsi" w:eastAsia="Calibri" w:hAnsiTheme="majorHAnsi"/>
          <w:sz w:val="20"/>
          <w:szCs w:val="20"/>
          <w:lang w:val="es-AR"/>
        </w:rPr>
        <w:t>n</w:t>
      </w:r>
      <w:r w:rsidRPr="00386E47">
        <w:rPr>
          <w:rFonts w:asciiTheme="majorHAnsi" w:eastAsia="Calibri" w:hAnsiTheme="majorHAnsi"/>
          <w:sz w:val="20"/>
          <w:szCs w:val="20"/>
          <w:vertAlign w:val="superscript"/>
          <w:lang w:val="es-AR"/>
        </w:rPr>
        <w:footnoteReference w:id="280"/>
      </w:r>
      <w:r w:rsidR="008A03A7" w:rsidRPr="00386E47">
        <w:rPr>
          <w:rFonts w:asciiTheme="majorHAnsi" w:eastAsia="Calibri" w:hAnsiTheme="majorHAnsi"/>
          <w:sz w:val="20"/>
          <w:szCs w:val="20"/>
          <w:lang w:val="es-AR"/>
        </w:rPr>
        <w:t>.</w:t>
      </w:r>
    </w:p>
    <w:p w14:paraId="01734B97" w14:textId="77777777" w:rsidR="002778A1" w:rsidRPr="00386E47" w:rsidRDefault="002778A1" w:rsidP="002778A1">
      <w:pPr>
        <w:tabs>
          <w:tab w:val="left" w:pos="567"/>
        </w:tabs>
        <w:contextualSpacing/>
        <w:jc w:val="both"/>
        <w:rPr>
          <w:rFonts w:asciiTheme="majorHAnsi" w:eastAsia="Calibri" w:hAnsiTheme="majorHAnsi"/>
          <w:sz w:val="20"/>
          <w:szCs w:val="20"/>
          <w:lang w:val="es-AR"/>
        </w:rPr>
      </w:pPr>
    </w:p>
    <w:p w14:paraId="3F2783BF" w14:textId="77777777" w:rsidR="00D549B0" w:rsidRPr="00386E47" w:rsidRDefault="00540E60" w:rsidP="00540E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A </w:t>
      </w:r>
      <w:r w:rsidR="002778A1" w:rsidRPr="00386E47">
        <w:rPr>
          <w:rFonts w:asciiTheme="majorHAnsi" w:eastAsia="Calibri" w:hAnsiTheme="majorHAnsi"/>
          <w:sz w:val="20"/>
          <w:szCs w:val="20"/>
          <w:lang w:val="es-AR"/>
        </w:rPr>
        <w:t xml:space="preserve">nivel internacional se han </w:t>
      </w:r>
      <w:r w:rsidRPr="00386E47">
        <w:rPr>
          <w:rFonts w:asciiTheme="majorHAnsi" w:eastAsia="Calibri" w:hAnsiTheme="majorHAnsi"/>
          <w:sz w:val="20"/>
          <w:szCs w:val="20"/>
          <w:lang w:val="es-AR"/>
        </w:rPr>
        <w:t>realizado diversos pronunciamientos</w:t>
      </w:r>
      <w:r w:rsidR="002778A1" w:rsidRPr="00386E47">
        <w:rPr>
          <w:rFonts w:asciiTheme="majorHAnsi" w:eastAsia="Calibri" w:hAnsiTheme="majorHAnsi"/>
          <w:sz w:val="20"/>
          <w:szCs w:val="20"/>
          <w:lang w:val="es-AR"/>
        </w:rPr>
        <w:t xml:space="preserve"> sobre la materia que resultan de especial inter</w:t>
      </w:r>
      <w:r w:rsidR="002F3E4D" w:rsidRPr="00386E47">
        <w:rPr>
          <w:rFonts w:asciiTheme="majorHAnsi" w:eastAsia="Calibri" w:hAnsiTheme="majorHAnsi"/>
          <w:sz w:val="20"/>
          <w:szCs w:val="20"/>
          <w:lang w:val="es-AR"/>
        </w:rPr>
        <w:t>é</w:t>
      </w:r>
      <w:r w:rsidR="002778A1" w:rsidRPr="00386E47">
        <w:rPr>
          <w:rFonts w:asciiTheme="majorHAnsi" w:eastAsia="Calibri" w:hAnsiTheme="majorHAnsi"/>
          <w:sz w:val="20"/>
          <w:szCs w:val="20"/>
          <w:lang w:val="es-AR"/>
        </w:rPr>
        <w:t>s para el presente caso</w:t>
      </w:r>
      <w:r w:rsidRPr="00386E47">
        <w:rPr>
          <w:rFonts w:asciiTheme="majorHAnsi" w:eastAsia="Calibri" w:hAnsiTheme="majorHAnsi"/>
          <w:sz w:val="20"/>
          <w:szCs w:val="20"/>
          <w:lang w:val="es-AR"/>
        </w:rPr>
        <w:t xml:space="preserve"> por parte de diversas conferencias especializadas</w:t>
      </w:r>
      <w:r w:rsidR="002778A1" w:rsidRPr="00386E47">
        <w:rPr>
          <w:rFonts w:asciiTheme="majorHAnsi" w:eastAsia="Calibri" w:hAnsiTheme="majorHAnsi"/>
          <w:sz w:val="20"/>
          <w:szCs w:val="20"/>
          <w:lang w:val="es-AR"/>
        </w:rPr>
        <w:t>. Por ejemplo, en los denominados “Principios de Tshwane” se consagra, entre otros, la obligaci</w:t>
      </w:r>
      <w:r w:rsidR="002F3E4D" w:rsidRPr="00386E47">
        <w:rPr>
          <w:rFonts w:asciiTheme="majorHAnsi" w:eastAsia="Calibri" w:hAnsiTheme="majorHAnsi"/>
          <w:sz w:val="20"/>
          <w:szCs w:val="20"/>
          <w:lang w:val="es-AR"/>
        </w:rPr>
        <w:t>ó</w:t>
      </w:r>
      <w:r w:rsidR="002778A1" w:rsidRPr="00386E47">
        <w:rPr>
          <w:rFonts w:asciiTheme="majorHAnsi" w:eastAsia="Calibri" w:hAnsiTheme="majorHAnsi"/>
          <w:sz w:val="20"/>
          <w:szCs w:val="20"/>
          <w:lang w:val="es-AR"/>
        </w:rPr>
        <w:t>n de</w:t>
      </w:r>
      <w:r w:rsidR="002F3E4D" w:rsidRPr="00386E47">
        <w:rPr>
          <w:rFonts w:asciiTheme="majorHAnsi" w:eastAsia="Calibri" w:hAnsiTheme="majorHAnsi"/>
          <w:sz w:val="20"/>
          <w:szCs w:val="20"/>
          <w:lang w:val="es-AR"/>
        </w:rPr>
        <w:t xml:space="preserve"> los Estados de asegurar</w:t>
      </w:r>
      <w:r w:rsidR="002778A1" w:rsidRPr="00386E47">
        <w:rPr>
          <w:rFonts w:asciiTheme="majorHAnsi" w:eastAsia="Calibri" w:hAnsiTheme="majorHAnsi"/>
          <w:sz w:val="20"/>
          <w:szCs w:val="20"/>
          <w:lang w:val="es-AR"/>
        </w:rPr>
        <w:t xml:space="preserve"> que “todos los organismos de </w:t>
      </w:r>
      <w:r w:rsidR="00B05379" w:rsidRPr="00386E47">
        <w:rPr>
          <w:rFonts w:asciiTheme="majorHAnsi" w:eastAsia="Calibri" w:hAnsiTheme="majorHAnsi"/>
          <w:sz w:val="20"/>
          <w:szCs w:val="20"/>
          <w:lang w:val="es-AR"/>
        </w:rPr>
        <w:t>supervisión</w:t>
      </w:r>
      <w:r w:rsidR="002778A1" w:rsidRPr="00386E47">
        <w:rPr>
          <w:rFonts w:asciiTheme="majorHAnsi" w:eastAsia="Calibri" w:hAnsiTheme="majorHAnsi"/>
          <w:sz w:val="20"/>
          <w:szCs w:val="20"/>
          <w:lang w:val="es-AR"/>
        </w:rPr>
        <w:t xml:space="preserve"> </w:t>
      </w:r>
      <w:r w:rsidR="00FA506E" w:rsidRPr="00386E47">
        <w:rPr>
          <w:rFonts w:asciiTheme="majorHAnsi" w:hAnsiTheme="majorHAnsi"/>
          <w:sz w:val="20"/>
          <w:szCs w:val="20"/>
          <w:lang w:val="es-AR"/>
        </w:rPr>
        <w:t xml:space="preserve">[…] </w:t>
      </w:r>
      <w:r w:rsidR="002778A1" w:rsidRPr="00386E47">
        <w:rPr>
          <w:rFonts w:asciiTheme="majorHAnsi" w:eastAsia="Calibri" w:hAnsiTheme="majorHAnsi"/>
          <w:sz w:val="20"/>
          <w:szCs w:val="20"/>
          <w:lang w:val="es-AR"/>
        </w:rPr>
        <w:t>incluidos los tribunales de justicia deben tener acceso a todo tipo de informaci</w:t>
      </w:r>
      <w:r w:rsidR="002F3E4D" w:rsidRPr="00386E47">
        <w:rPr>
          <w:rFonts w:asciiTheme="majorHAnsi" w:eastAsia="Calibri" w:hAnsiTheme="majorHAnsi"/>
          <w:sz w:val="20"/>
          <w:szCs w:val="20"/>
          <w:lang w:val="es-AR"/>
        </w:rPr>
        <w:t>ó</w:t>
      </w:r>
      <w:r w:rsidR="002778A1" w:rsidRPr="00386E47">
        <w:rPr>
          <w:rFonts w:asciiTheme="majorHAnsi" w:eastAsia="Calibri" w:hAnsiTheme="majorHAnsi"/>
          <w:sz w:val="20"/>
          <w:szCs w:val="20"/>
          <w:lang w:val="es-AR"/>
        </w:rPr>
        <w:t>n - incluso la informaci</w:t>
      </w:r>
      <w:r w:rsidR="002F3E4D" w:rsidRPr="00386E47">
        <w:rPr>
          <w:rFonts w:asciiTheme="majorHAnsi" w:eastAsia="Calibri" w:hAnsiTheme="majorHAnsi"/>
          <w:sz w:val="20"/>
          <w:szCs w:val="20"/>
          <w:lang w:val="es-AR"/>
        </w:rPr>
        <w:t>ó</w:t>
      </w:r>
      <w:r w:rsidR="00B05379" w:rsidRPr="00386E47">
        <w:rPr>
          <w:rFonts w:asciiTheme="majorHAnsi" w:eastAsia="Calibri" w:hAnsiTheme="majorHAnsi"/>
          <w:sz w:val="20"/>
          <w:szCs w:val="20"/>
          <w:lang w:val="es-AR"/>
        </w:rPr>
        <w:t xml:space="preserve">n sobre seguridad nacional </w:t>
      </w:r>
      <w:r w:rsidR="002778A1" w:rsidRPr="00386E47">
        <w:rPr>
          <w:rFonts w:asciiTheme="majorHAnsi" w:eastAsia="Calibri" w:hAnsiTheme="majorHAnsi"/>
          <w:sz w:val="20"/>
          <w:szCs w:val="20"/>
          <w:lang w:val="es-AR"/>
        </w:rPr>
        <w:t xml:space="preserve">y con independencia de su nivel de confidencialidad </w:t>
      </w:r>
      <w:r w:rsidR="002F3E4D" w:rsidRPr="00386E47">
        <w:rPr>
          <w:rFonts w:asciiTheme="majorHAnsi" w:eastAsia="Calibri" w:hAnsiTheme="majorHAnsi"/>
          <w:sz w:val="20"/>
          <w:szCs w:val="20"/>
          <w:lang w:val="es-AR"/>
        </w:rPr>
        <w:t>-</w:t>
      </w:r>
      <w:r w:rsidR="002778A1" w:rsidRPr="00386E47">
        <w:rPr>
          <w:rFonts w:asciiTheme="majorHAnsi" w:eastAsia="Calibri" w:hAnsiTheme="majorHAnsi"/>
          <w:sz w:val="20"/>
          <w:szCs w:val="20"/>
          <w:lang w:val="es-AR"/>
        </w:rPr>
        <w:t xml:space="preserve"> que resulte relevante para el desempeño de sus funciones” (principio 6). Asimismo, se reconoce que “existe un inter</w:t>
      </w:r>
      <w:r w:rsidR="002F3E4D" w:rsidRPr="00386E47">
        <w:rPr>
          <w:rFonts w:asciiTheme="majorHAnsi" w:eastAsia="Calibri" w:hAnsiTheme="majorHAnsi"/>
          <w:sz w:val="20"/>
          <w:szCs w:val="20"/>
          <w:lang w:val="es-AR"/>
        </w:rPr>
        <w:t>é</w:t>
      </w:r>
      <w:r w:rsidR="002778A1" w:rsidRPr="00386E47">
        <w:rPr>
          <w:rFonts w:asciiTheme="majorHAnsi" w:eastAsia="Calibri" w:hAnsiTheme="majorHAnsi"/>
          <w:sz w:val="20"/>
          <w:szCs w:val="20"/>
          <w:lang w:val="es-AR"/>
        </w:rPr>
        <w:t>s p</w:t>
      </w:r>
      <w:r w:rsidR="002F3E4D" w:rsidRPr="00386E47">
        <w:rPr>
          <w:rFonts w:asciiTheme="majorHAnsi" w:eastAsia="Calibri" w:hAnsiTheme="majorHAnsi"/>
          <w:sz w:val="20"/>
          <w:szCs w:val="20"/>
          <w:lang w:val="es-AR"/>
        </w:rPr>
        <w:t>ú</w:t>
      </w:r>
      <w:r w:rsidR="002778A1" w:rsidRPr="00386E47">
        <w:rPr>
          <w:rFonts w:asciiTheme="majorHAnsi" w:eastAsia="Calibri" w:hAnsiTheme="majorHAnsi"/>
          <w:sz w:val="20"/>
          <w:szCs w:val="20"/>
          <w:lang w:val="es-AR"/>
        </w:rPr>
        <w:t>blico preponderante en la divulgaci</w:t>
      </w:r>
      <w:r w:rsidR="002F3E4D" w:rsidRPr="00386E47">
        <w:rPr>
          <w:rFonts w:asciiTheme="majorHAnsi" w:eastAsia="Calibri" w:hAnsiTheme="majorHAnsi"/>
          <w:sz w:val="20"/>
          <w:szCs w:val="20"/>
          <w:lang w:val="es-AR"/>
        </w:rPr>
        <w:t>ó</w:t>
      </w:r>
      <w:r w:rsidR="002778A1" w:rsidRPr="00386E47">
        <w:rPr>
          <w:rFonts w:asciiTheme="majorHAnsi" w:eastAsia="Calibri" w:hAnsiTheme="majorHAnsi"/>
          <w:sz w:val="20"/>
          <w:szCs w:val="20"/>
          <w:lang w:val="es-AR"/>
        </w:rPr>
        <w:t>n de informaci</w:t>
      </w:r>
      <w:r w:rsidR="002F3E4D" w:rsidRPr="00386E47">
        <w:rPr>
          <w:rFonts w:asciiTheme="majorHAnsi" w:eastAsia="Calibri" w:hAnsiTheme="majorHAnsi"/>
          <w:sz w:val="20"/>
          <w:szCs w:val="20"/>
          <w:lang w:val="es-AR"/>
        </w:rPr>
        <w:t>ó</w:t>
      </w:r>
      <w:r w:rsidR="002778A1" w:rsidRPr="00386E47">
        <w:rPr>
          <w:rFonts w:asciiTheme="majorHAnsi" w:eastAsia="Calibri" w:hAnsiTheme="majorHAnsi"/>
          <w:sz w:val="20"/>
          <w:szCs w:val="20"/>
          <w:lang w:val="es-AR"/>
        </w:rPr>
        <w:t>n s</w:t>
      </w:r>
      <w:r w:rsidR="00B05379" w:rsidRPr="00386E47">
        <w:rPr>
          <w:rFonts w:asciiTheme="majorHAnsi" w:eastAsia="Calibri" w:hAnsiTheme="majorHAnsi"/>
          <w:sz w:val="20"/>
          <w:szCs w:val="20"/>
          <w:lang w:val="es-AR"/>
        </w:rPr>
        <w:t>o</w:t>
      </w:r>
      <w:r w:rsidR="002778A1" w:rsidRPr="00386E47">
        <w:rPr>
          <w:rFonts w:asciiTheme="majorHAnsi" w:eastAsia="Calibri" w:hAnsiTheme="majorHAnsi"/>
          <w:sz w:val="20"/>
          <w:szCs w:val="20"/>
          <w:lang w:val="es-AR"/>
        </w:rPr>
        <w:t xml:space="preserve">bre violaciones graves de derechos humanos </w:t>
      </w:r>
      <w:r w:rsidR="00FA506E" w:rsidRPr="00386E47">
        <w:rPr>
          <w:rFonts w:asciiTheme="majorHAnsi" w:hAnsiTheme="majorHAnsi"/>
          <w:sz w:val="20"/>
          <w:szCs w:val="20"/>
          <w:lang w:val="es-AR"/>
        </w:rPr>
        <w:t xml:space="preserve">[…] </w:t>
      </w:r>
      <w:r w:rsidR="002778A1" w:rsidRPr="00386E47">
        <w:rPr>
          <w:rFonts w:asciiTheme="majorHAnsi" w:eastAsia="Calibri" w:hAnsiTheme="majorHAnsi"/>
          <w:sz w:val="20"/>
          <w:szCs w:val="20"/>
          <w:lang w:val="es-AR"/>
        </w:rPr>
        <w:t xml:space="preserve">Dicha </w:t>
      </w:r>
      <w:r w:rsidR="00B05379" w:rsidRPr="00386E47">
        <w:rPr>
          <w:rFonts w:asciiTheme="majorHAnsi" w:eastAsia="Calibri" w:hAnsiTheme="majorHAnsi"/>
          <w:sz w:val="20"/>
          <w:szCs w:val="20"/>
          <w:lang w:val="es-AR"/>
        </w:rPr>
        <w:t>información</w:t>
      </w:r>
      <w:r w:rsidR="002778A1" w:rsidRPr="00386E47">
        <w:rPr>
          <w:rFonts w:asciiTheme="majorHAnsi" w:eastAsia="Calibri" w:hAnsiTheme="majorHAnsi"/>
          <w:sz w:val="20"/>
          <w:szCs w:val="20"/>
          <w:lang w:val="es-AR"/>
        </w:rPr>
        <w:t xml:space="preserve"> no </w:t>
      </w:r>
      <w:r w:rsidR="00B05379" w:rsidRPr="00386E47">
        <w:rPr>
          <w:rFonts w:asciiTheme="majorHAnsi" w:eastAsia="Calibri" w:hAnsiTheme="majorHAnsi"/>
          <w:sz w:val="20"/>
          <w:szCs w:val="20"/>
          <w:lang w:val="es-AR"/>
        </w:rPr>
        <w:t>podrá</w:t>
      </w:r>
      <w:r w:rsidR="002778A1" w:rsidRPr="00386E47">
        <w:rPr>
          <w:rFonts w:asciiTheme="majorHAnsi" w:eastAsia="Calibri" w:hAnsiTheme="majorHAnsi"/>
          <w:sz w:val="20"/>
          <w:szCs w:val="20"/>
          <w:lang w:val="es-AR"/>
        </w:rPr>
        <w:t xml:space="preserve"> ser clasificada por razones de seguridad nacional bajo ninguna circunstancia”</w:t>
      </w:r>
      <w:r w:rsidR="00FA506E" w:rsidRPr="00386E47">
        <w:rPr>
          <w:rFonts w:asciiTheme="majorHAnsi" w:eastAsia="Calibri" w:hAnsiTheme="majorHAnsi"/>
          <w:sz w:val="20"/>
          <w:szCs w:val="20"/>
          <w:lang w:val="es-AR"/>
        </w:rPr>
        <w:t xml:space="preserve"> (principio 10.a)</w:t>
      </w:r>
      <w:r w:rsidR="00FA506E" w:rsidRPr="00386E47">
        <w:rPr>
          <w:rStyle w:val="FootnoteReference"/>
          <w:rFonts w:asciiTheme="majorHAnsi" w:eastAsia="Calibri" w:hAnsiTheme="majorHAnsi"/>
          <w:sz w:val="20"/>
          <w:szCs w:val="20"/>
          <w:lang w:val="es-AR"/>
        </w:rPr>
        <w:footnoteReference w:id="281"/>
      </w:r>
      <w:r w:rsidR="002778A1" w:rsidRPr="00386E47">
        <w:rPr>
          <w:rFonts w:asciiTheme="majorHAnsi" w:eastAsia="Calibri" w:hAnsiTheme="majorHAnsi"/>
          <w:sz w:val="20"/>
          <w:szCs w:val="20"/>
          <w:lang w:val="es-AR"/>
        </w:rPr>
        <w:t>.</w:t>
      </w:r>
      <w:r w:rsidR="00FA506E" w:rsidRPr="00386E47">
        <w:rPr>
          <w:rFonts w:asciiTheme="majorHAnsi" w:eastAsia="Calibri" w:hAnsiTheme="majorHAnsi"/>
          <w:sz w:val="20"/>
          <w:szCs w:val="20"/>
          <w:lang w:val="es-AR"/>
        </w:rPr>
        <w:t xml:space="preserve"> </w:t>
      </w:r>
    </w:p>
    <w:p w14:paraId="69F61073" w14:textId="77777777" w:rsidR="00FA506E" w:rsidRPr="00386E47" w:rsidRDefault="00FA506E" w:rsidP="00FA506E">
      <w:pPr>
        <w:tabs>
          <w:tab w:val="left" w:pos="567"/>
        </w:tabs>
        <w:contextualSpacing/>
        <w:jc w:val="both"/>
        <w:rPr>
          <w:rFonts w:asciiTheme="majorHAnsi" w:eastAsia="Calibri" w:hAnsiTheme="majorHAnsi"/>
          <w:sz w:val="20"/>
          <w:szCs w:val="20"/>
          <w:lang w:val="es-AR"/>
        </w:rPr>
      </w:pPr>
    </w:p>
    <w:p w14:paraId="1FE1FDD2"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En </w:t>
      </w:r>
      <w:r w:rsidR="00B05379" w:rsidRPr="00386E47">
        <w:rPr>
          <w:rFonts w:asciiTheme="majorHAnsi" w:eastAsia="Calibri" w:hAnsiTheme="majorHAnsi"/>
          <w:sz w:val="20"/>
          <w:szCs w:val="20"/>
          <w:lang w:val="es-AR"/>
        </w:rPr>
        <w:t>conclusión</w:t>
      </w:r>
      <w:r w:rsidRPr="00386E47">
        <w:rPr>
          <w:rFonts w:asciiTheme="majorHAnsi" w:eastAsia="Calibri" w:hAnsiTheme="majorHAnsi"/>
          <w:sz w:val="20"/>
          <w:szCs w:val="20"/>
          <w:lang w:val="es-AR"/>
        </w:rPr>
        <w:t>, la Comisión ratifica que la obligación de garantizar y respetar el derecho de acceso a la información trae aparejado el deber de realizar, de buena fe, esfuerzos significativos para garantizar que las víctimas de graves violaciones de derechos humanos y sus familiares, los encargados de la investigación de estos crímenes y la sociedad en su conjunto puedan tener acceso a toda la información en poder del Estado necesaria para conocer la verdad de lo sucedido.</w:t>
      </w:r>
    </w:p>
    <w:p w14:paraId="3BD3264C" w14:textId="77777777" w:rsidR="009F70EA" w:rsidRPr="00386E47" w:rsidRDefault="009F70EA" w:rsidP="009F70EA">
      <w:pPr>
        <w:tabs>
          <w:tab w:val="left" w:pos="426"/>
        </w:tabs>
        <w:contextualSpacing/>
        <w:jc w:val="both"/>
        <w:rPr>
          <w:rFonts w:asciiTheme="majorHAnsi" w:eastAsia="Calibri" w:hAnsiTheme="majorHAnsi"/>
          <w:sz w:val="20"/>
          <w:szCs w:val="20"/>
          <w:lang w:val="es-AR"/>
        </w:rPr>
      </w:pPr>
    </w:p>
    <w:p w14:paraId="2E71169D" w14:textId="77777777" w:rsidR="009F70EA" w:rsidRPr="00386E47" w:rsidRDefault="00171D37" w:rsidP="00CE50A8">
      <w:pPr>
        <w:pStyle w:val="parrafos"/>
        <w:numPr>
          <w:ilvl w:val="0"/>
          <w:numId w:val="58"/>
        </w:numPr>
        <w:rPr>
          <w:b/>
        </w:rPr>
      </w:pPr>
      <w:r w:rsidRPr="00386E47">
        <w:rPr>
          <w:b/>
        </w:rPr>
        <w:t>Consideraciones de la Comisión</w:t>
      </w:r>
      <w:r w:rsidR="009F70EA" w:rsidRPr="00386E47">
        <w:rPr>
          <w:b/>
        </w:rPr>
        <w:t xml:space="preserve"> </w:t>
      </w:r>
    </w:p>
    <w:p w14:paraId="437D592E" w14:textId="77777777" w:rsidR="00E05F14" w:rsidRPr="00386E47" w:rsidRDefault="00E05F14" w:rsidP="00E05F14">
      <w:pPr>
        <w:pStyle w:val="parrafos"/>
        <w:ind w:left="720"/>
      </w:pPr>
    </w:p>
    <w:p w14:paraId="3AD312E0" w14:textId="77777777" w:rsidR="00776266"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La CIDH observa que, desde </w:t>
      </w:r>
      <w:r w:rsidR="00540E60" w:rsidRPr="00386E47">
        <w:rPr>
          <w:rFonts w:asciiTheme="majorHAnsi" w:eastAsia="Calibri" w:hAnsiTheme="majorHAnsi"/>
          <w:sz w:val="20"/>
          <w:szCs w:val="20"/>
          <w:lang w:val="es-AR"/>
        </w:rPr>
        <w:t>los inicios</w:t>
      </w:r>
      <w:r w:rsidRPr="00386E47">
        <w:rPr>
          <w:rFonts w:asciiTheme="majorHAnsi" w:eastAsia="Calibri" w:hAnsiTheme="majorHAnsi"/>
          <w:sz w:val="20"/>
          <w:szCs w:val="20"/>
          <w:lang w:val="es-AR"/>
        </w:rPr>
        <w:t xml:space="preserve"> de la investigación por el atentado a la AMIA, las autoridades judiciales </w:t>
      </w:r>
      <w:r w:rsidR="00776266" w:rsidRPr="00386E47">
        <w:rPr>
          <w:rFonts w:asciiTheme="majorHAnsi" w:eastAsia="Calibri" w:hAnsiTheme="majorHAnsi"/>
          <w:sz w:val="20"/>
          <w:szCs w:val="20"/>
          <w:lang w:val="es-AR"/>
        </w:rPr>
        <w:t xml:space="preserve">solicitaron la </w:t>
      </w:r>
      <w:r w:rsidR="00397A09" w:rsidRPr="00386E47">
        <w:rPr>
          <w:rFonts w:asciiTheme="majorHAnsi" w:eastAsia="Calibri" w:hAnsiTheme="majorHAnsi"/>
          <w:sz w:val="20"/>
          <w:szCs w:val="20"/>
          <w:lang w:val="es-AR"/>
        </w:rPr>
        <w:t>colaboración</w:t>
      </w:r>
      <w:r w:rsidR="00776266" w:rsidRPr="00386E47">
        <w:rPr>
          <w:rFonts w:asciiTheme="majorHAnsi" w:eastAsia="Calibri" w:hAnsiTheme="majorHAnsi"/>
          <w:sz w:val="20"/>
          <w:szCs w:val="20"/>
          <w:lang w:val="es-AR"/>
        </w:rPr>
        <w:t xml:space="preserve"> de </w:t>
      </w:r>
      <w:r w:rsidRPr="00386E47">
        <w:rPr>
          <w:rFonts w:asciiTheme="majorHAnsi" w:eastAsia="Calibri" w:hAnsiTheme="majorHAnsi"/>
          <w:sz w:val="20"/>
          <w:szCs w:val="20"/>
          <w:lang w:val="es-AR"/>
        </w:rPr>
        <w:t xml:space="preserve">la entonces Secretaria de Inteligencia del Estado (SIDE) a efectos de que sus agentes se desempeñen como auxiliares de la justicia. </w:t>
      </w:r>
      <w:r w:rsidR="00776266" w:rsidRPr="00386E47">
        <w:rPr>
          <w:rFonts w:asciiTheme="majorHAnsi" w:eastAsia="Calibri" w:hAnsiTheme="majorHAnsi"/>
          <w:sz w:val="20"/>
          <w:szCs w:val="20"/>
          <w:lang w:val="es-AR"/>
        </w:rPr>
        <w:t>A lo largo de los años</w:t>
      </w:r>
      <w:r w:rsidR="0025385C" w:rsidRPr="00386E47">
        <w:rPr>
          <w:rFonts w:asciiTheme="majorHAnsi" w:eastAsia="Calibri" w:hAnsiTheme="majorHAnsi"/>
          <w:sz w:val="20"/>
          <w:szCs w:val="20"/>
          <w:lang w:val="es-AR"/>
        </w:rPr>
        <w:t>,</w:t>
      </w:r>
      <w:r w:rsidR="00776266" w:rsidRPr="00386E47">
        <w:rPr>
          <w:rFonts w:asciiTheme="majorHAnsi" w:eastAsia="Calibri" w:hAnsiTheme="majorHAnsi"/>
          <w:sz w:val="20"/>
          <w:szCs w:val="20"/>
          <w:lang w:val="es-AR"/>
        </w:rPr>
        <w:t xml:space="preserve"> y c</w:t>
      </w:r>
      <w:r w:rsidRPr="00386E47">
        <w:rPr>
          <w:rFonts w:asciiTheme="majorHAnsi" w:eastAsia="Calibri" w:hAnsiTheme="majorHAnsi"/>
          <w:sz w:val="20"/>
          <w:szCs w:val="20"/>
          <w:lang w:val="es-AR"/>
        </w:rPr>
        <w:t>omo resultado de las diversas actividades de reu</w:t>
      </w:r>
      <w:r w:rsidR="00776266" w:rsidRPr="00386E47">
        <w:rPr>
          <w:rFonts w:asciiTheme="majorHAnsi" w:eastAsia="Calibri" w:hAnsiTheme="majorHAnsi"/>
          <w:sz w:val="20"/>
          <w:szCs w:val="20"/>
          <w:lang w:val="es-AR"/>
        </w:rPr>
        <w:t>nión y análisis de información, la SIDE</w:t>
      </w:r>
      <w:r w:rsidRPr="00386E47">
        <w:rPr>
          <w:rFonts w:asciiTheme="majorHAnsi" w:eastAsia="Calibri" w:hAnsiTheme="majorHAnsi"/>
          <w:sz w:val="20"/>
          <w:szCs w:val="20"/>
          <w:lang w:val="es-AR"/>
        </w:rPr>
        <w:t xml:space="preserve"> fue produciendo numerosas piezas documentales, </w:t>
      </w:r>
      <w:r w:rsidR="0025385C" w:rsidRPr="00386E47">
        <w:rPr>
          <w:rFonts w:asciiTheme="majorHAnsi" w:eastAsia="Calibri" w:hAnsiTheme="majorHAnsi"/>
          <w:sz w:val="20"/>
          <w:szCs w:val="20"/>
          <w:lang w:val="es-AR"/>
        </w:rPr>
        <w:t xml:space="preserve">las </w:t>
      </w:r>
      <w:r w:rsidR="0025385C" w:rsidRPr="00386E47">
        <w:rPr>
          <w:rFonts w:asciiTheme="majorHAnsi" w:eastAsia="Calibri" w:hAnsiTheme="majorHAnsi"/>
          <w:sz w:val="20"/>
          <w:szCs w:val="20"/>
          <w:lang w:val="es-AR"/>
        </w:rPr>
        <w:lastRenderedPageBreak/>
        <w:t>cuales fueron incorporadas</w:t>
      </w:r>
      <w:r w:rsidR="00776266" w:rsidRPr="00386E47">
        <w:rPr>
          <w:rFonts w:asciiTheme="majorHAnsi" w:eastAsia="Calibri" w:hAnsiTheme="majorHAnsi"/>
          <w:sz w:val="20"/>
          <w:szCs w:val="20"/>
          <w:lang w:val="es-AR"/>
        </w:rPr>
        <w:t xml:space="preserve"> tanto al tramo de la </w:t>
      </w:r>
      <w:r w:rsidR="008E716B" w:rsidRPr="00386E47">
        <w:rPr>
          <w:rFonts w:asciiTheme="majorHAnsi" w:eastAsia="Calibri" w:hAnsiTheme="majorHAnsi"/>
          <w:sz w:val="20"/>
          <w:szCs w:val="20"/>
          <w:lang w:val="es-AR"/>
        </w:rPr>
        <w:t>investigación</w:t>
      </w:r>
      <w:r w:rsidR="00540E60" w:rsidRPr="00386E47">
        <w:rPr>
          <w:rFonts w:asciiTheme="majorHAnsi" w:eastAsia="Calibri" w:hAnsiTheme="majorHAnsi"/>
          <w:sz w:val="20"/>
          <w:szCs w:val="20"/>
          <w:lang w:val="es-AR"/>
        </w:rPr>
        <w:t xml:space="preserve"> que intentó</w:t>
      </w:r>
      <w:r w:rsidR="00776266" w:rsidRPr="00386E47">
        <w:rPr>
          <w:rFonts w:asciiTheme="majorHAnsi" w:eastAsia="Calibri" w:hAnsiTheme="majorHAnsi"/>
          <w:sz w:val="20"/>
          <w:szCs w:val="20"/>
          <w:lang w:val="es-AR"/>
        </w:rPr>
        <w:t xml:space="preserve"> dilucidar</w:t>
      </w:r>
      <w:r w:rsidR="0025385C"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la llamada conexión local del atentado como </w:t>
      </w:r>
      <w:r w:rsidR="00776266" w:rsidRPr="00386E47">
        <w:rPr>
          <w:rFonts w:asciiTheme="majorHAnsi" w:eastAsia="Calibri" w:hAnsiTheme="majorHAnsi"/>
          <w:sz w:val="20"/>
          <w:szCs w:val="20"/>
          <w:lang w:val="es-AR"/>
        </w:rPr>
        <w:t xml:space="preserve">a </w:t>
      </w:r>
      <w:r w:rsidRPr="00386E47">
        <w:rPr>
          <w:rFonts w:asciiTheme="majorHAnsi" w:eastAsia="Calibri" w:hAnsiTheme="majorHAnsi"/>
          <w:sz w:val="20"/>
          <w:szCs w:val="20"/>
          <w:lang w:val="es-AR"/>
        </w:rPr>
        <w:t>la investigación por las eventuales responsabilidades de actores internacionales</w:t>
      </w:r>
      <w:r w:rsidRPr="00386E47">
        <w:rPr>
          <w:rFonts w:asciiTheme="majorHAnsi" w:eastAsia="Calibri" w:hAnsiTheme="majorHAnsi"/>
          <w:sz w:val="20"/>
          <w:szCs w:val="20"/>
          <w:vertAlign w:val="superscript"/>
          <w:lang w:val="es-AR"/>
        </w:rPr>
        <w:footnoteReference w:id="282"/>
      </w:r>
      <w:r w:rsidRPr="00386E47">
        <w:rPr>
          <w:rFonts w:asciiTheme="majorHAnsi" w:eastAsia="Calibri" w:hAnsiTheme="majorHAnsi"/>
          <w:sz w:val="20"/>
          <w:szCs w:val="20"/>
          <w:lang w:val="es-AR"/>
        </w:rPr>
        <w:t xml:space="preserve">. </w:t>
      </w:r>
    </w:p>
    <w:p w14:paraId="4E87FB0F" w14:textId="77777777" w:rsidR="00776266" w:rsidRPr="00386E47" w:rsidRDefault="00776266" w:rsidP="009E1D55">
      <w:pPr>
        <w:tabs>
          <w:tab w:val="left" w:pos="567"/>
        </w:tabs>
        <w:contextualSpacing/>
        <w:jc w:val="both"/>
        <w:rPr>
          <w:rFonts w:asciiTheme="majorHAnsi" w:eastAsia="Calibri" w:hAnsiTheme="majorHAnsi"/>
          <w:sz w:val="20"/>
          <w:szCs w:val="20"/>
          <w:lang w:val="es-AR"/>
        </w:rPr>
      </w:pPr>
    </w:p>
    <w:p w14:paraId="51B74690" w14:textId="77777777" w:rsidR="00776266" w:rsidRPr="00386E47" w:rsidRDefault="00776266"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La Comisión ha tomado nota que</w:t>
      </w:r>
      <w:r w:rsidR="0025385C" w:rsidRPr="00386E47">
        <w:rPr>
          <w:rFonts w:asciiTheme="majorHAnsi" w:eastAsia="Calibri" w:hAnsiTheme="majorHAnsi"/>
          <w:sz w:val="20"/>
          <w:szCs w:val="20"/>
          <w:lang w:val="es-AR"/>
        </w:rPr>
        <w:t xml:space="preserve"> tanto</w:t>
      </w:r>
      <w:r w:rsidRPr="00386E47">
        <w:rPr>
          <w:rFonts w:asciiTheme="majorHAnsi" w:eastAsia="Calibri" w:hAnsiTheme="majorHAnsi"/>
          <w:sz w:val="20"/>
          <w:szCs w:val="20"/>
          <w:lang w:val="es-AR"/>
        </w:rPr>
        <w:t xml:space="preserve"> </w:t>
      </w:r>
      <w:r w:rsidR="009F70EA" w:rsidRPr="00386E47">
        <w:rPr>
          <w:rFonts w:asciiTheme="majorHAnsi" w:eastAsia="Calibri" w:hAnsiTheme="majorHAnsi"/>
          <w:sz w:val="20"/>
          <w:szCs w:val="20"/>
          <w:lang w:val="es-AR"/>
        </w:rPr>
        <w:t xml:space="preserve">los peticionarios </w:t>
      </w:r>
      <w:r w:rsidRPr="00386E47">
        <w:rPr>
          <w:rFonts w:asciiTheme="majorHAnsi" w:eastAsia="Calibri" w:hAnsiTheme="majorHAnsi"/>
          <w:sz w:val="20"/>
          <w:szCs w:val="20"/>
          <w:lang w:val="es-AR"/>
        </w:rPr>
        <w:t xml:space="preserve">en sus diversas comunicaciones </w:t>
      </w:r>
      <w:r w:rsidR="0025385C" w:rsidRPr="00386E47">
        <w:rPr>
          <w:rFonts w:asciiTheme="majorHAnsi" w:eastAsia="Calibri" w:hAnsiTheme="majorHAnsi"/>
          <w:sz w:val="20"/>
          <w:szCs w:val="20"/>
          <w:lang w:val="es-AR"/>
        </w:rPr>
        <w:t>como l</w:t>
      </w:r>
      <w:r w:rsidR="009F70EA" w:rsidRPr="00386E47">
        <w:rPr>
          <w:rFonts w:asciiTheme="majorHAnsi" w:eastAsia="Calibri" w:hAnsiTheme="majorHAnsi"/>
          <w:sz w:val="20"/>
          <w:szCs w:val="20"/>
          <w:lang w:val="es-AR"/>
        </w:rPr>
        <w:t xml:space="preserve">a UFI AMIA en </w:t>
      </w:r>
      <w:r w:rsidRPr="00386E47">
        <w:rPr>
          <w:rFonts w:asciiTheme="majorHAnsi" w:eastAsia="Calibri" w:hAnsiTheme="majorHAnsi"/>
          <w:sz w:val="20"/>
          <w:szCs w:val="20"/>
          <w:lang w:val="es-AR"/>
        </w:rPr>
        <w:t xml:space="preserve">sus </w:t>
      </w:r>
      <w:r w:rsidR="009F70EA" w:rsidRPr="00386E47">
        <w:rPr>
          <w:rFonts w:asciiTheme="majorHAnsi" w:eastAsia="Calibri" w:hAnsiTheme="majorHAnsi"/>
          <w:sz w:val="20"/>
          <w:szCs w:val="20"/>
          <w:lang w:val="es-AR"/>
        </w:rPr>
        <w:t xml:space="preserve">informes de acceso público, </w:t>
      </w:r>
      <w:r w:rsidRPr="00386E47">
        <w:rPr>
          <w:rFonts w:asciiTheme="majorHAnsi" w:eastAsia="Calibri" w:hAnsiTheme="majorHAnsi"/>
          <w:sz w:val="20"/>
          <w:szCs w:val="20"/>
          <w:lang w:val="es-AR"/>
        </w:rPr>
        <w:t>han señalado de manera coincidente</w:t>
      </w:r>
      <w:r w:rsidR="009F70EA" w:rsidRPr="00386E47">
        <w:rPr>
          <w:rFonts w:asciiTheme="majorHAnsi" w:eastAsia="Calibri" w:hAnsiTheme="majorHAnsi"/>
          <w:sz w:val="20"/>
          <w:szCs w:val="20"/>
          <w:lang w:val="es-AR"/>
        </w:rPr>
        <w:t xml:space="preserve"> que los fondos documentales reunidos o producidos por la SIDE </w:t>
      </w:r>
      <w:r w:rsidRPr="00386E47">
        <w:rPr>
          <w:rFonts w:asciiTheme="majorHAnsi" w:eastAsia="Calibri" w:hAnsiTheme="majorHAnsi"/>
          <w:sz w:val="20"/>
          <w:szCs w:val="20"/>
          <w:lang w:val="es-AR"/>
        </w:rPr>
        <w:t>se encuentran</w:t>
      </w:r>
      <w:r w:rsidR="009F70EA"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 xml:space="preserve">conformados por archivos de diversos formatos, todos los cuales </w:t>
      </w:r>
      <w:r w:rsidR="009F70EA" w:rsidRPr="00386E47">
        <w:rPr>
          <w:rFonts w:asciiTheme="majorHAnsi" w:eastAsia="Calibri" w:hAnsiTheme="majorHAnsi"/>
          <w:sz w:val="20"/>
          <w:szCs w:val="20"/>
          <w:lang w:val="es-AR"/>
        </w:rPr>
        <w:t>fueron oportunamente clasificados como secretos, de conformidad con el régimen legal que regula las funciones y actividades de los órganos que componen el sistema de inteligencia nacional argentino</w:t>
      </w:r>
      <w:r w:rsidR="009F70EA" w:rsidRPr="00386E47">
        <w:rPr>
          <w:rFonts w:asciiTheme="majorHAnsi" w:eastAsia="Calibri" w:hAnsiTheme="majorHAnsi"/>
          <w:sz w:val="20"/>
          <w:szCs w:val="20"/>
          <w:vertAlign w:val="superscript"/>
          <w:lang w:val="es-AR"/>
        </w:rPr>
        <w:footnoteReference w:id="283"/>
      </w:r>
      <w:r w:rsidR="009F70EA" w:rsidRPr="00386E47">
        <w:rPr>
          <w:rFonts w:asciiTheme="majorHAnsi" w:eastAsia="Calibri" w:hAnsiTheme="majorHAnsi"/>
          <w:sz w:val="20"/>
          <w:szCs w:val="20"/>
          <w:lang w:val="es-AR"/>
        </w:rPr>
        <w:t>.</w:t>
      </w:r>
    </w:p>
    <w:p w14:paraId="7F1AF387" w14:textId="77777777" w:rsidR="00776266" w:rsidRPr="00386E47" w:rsidRDefault="00776266" w:rsidP="009E1D55">
      <w:pPr>
        <w:tabs>
          <w:tab w:val="left" w:pos="567"/>
        </w:tabs>
        <w:contextualSpacing/>
        <w:jc w:val="both"/>
        <w:rPr>
          <w:rFonts w:asciiTheme="majorHAnsi" w:eastAsia="Calibri" w:hAnsiTheme="majorHAnsi"/>
          <w:sz w:val="20"/>
          <w:szCs w:val="20"/>
          <w:lang w:val="es-AR"/>
        </w:rPr>
      </w:pPr>
    </w:p>
    <w:p w14:paraId="47FD6D7D"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Asimismo, la Comisión ha sido informada de la existencia de una serie de decretos e iniciativas oficiales destinados a organizar, sistematizar, transferir la custodia y desclasificar información relevante producida o almacenada por diversas agencias del Estado y, en particular, de aquella documentación que </w:t>
      </w:r>
      <w:r w:rsidR="00776266" w:rsidRPr="00386E47">
        <w:rPr>
          <w:rFonts w:asciiTheme="majorHAnsi" w:eastAsia="Calibri" w:hAnsiTheme="majorHAnsi"/>
          <w:sz w:val="20"/>
          <w:szCs w:val="20"/>
          <w:lang w:val="es-AR"/>
        </w:rPr>
        <w:t xml:space="preserve">fue originada por la SIDE, o bien </w:t>
      </w:r>
      <w:r w:rsidRPr="00386E47">
        <w:rPr>
          <w:rFonts w:asciiTheme="majorHAnsi" w:eastAsia="Calibri" w:hAnsiTheme="majorHAnsi"/>
          <w:sz w:val="20"/>
          <w:szCs w:val="20"/>
          <w:lang w:val="es-AR"/>
        </w:rPr>
        <w:t xml:space="preserve">permaneció o continúa permaneciendo en </w:t>
      </w:r>
      <w:r w:rsidR="00776266" w:rsidRPr="00386E47">
        <w:rPr>
          <w:rFonts w:asciiTheme="majorHAnsi" w:eastAsia="Calibri" w:hAnsiTheme="majorHAnsi"/>
          <w:sz w:val="20"/>
          <w:szCs w:val="20"/>
          <w:lang w:val="es-AR"/>
        </w:rPr>
        <w:t xml:space="preserve">su poder. </w:t>
      </w:r>
      <w:r w:rsidRPr="00386E47">
        <w:rPr>
          <w:rFonts w:asciiTheme="majorHAnsi" w:eastAsia="Calibri" w:hAnsiTheme="majorHAnsi"/>
          <w:sz w:val="20"/>
          <w:szCs w:val="20"/>
          <w:lang w:val="es-AR"/>
        </w:rPr>
        <w:t xml:space="preserve"> </w:t>
      </w:r>
    </w:p>
    <w:p w14:paraId="605E4088" w14:textId="77777777" w:rsidR="009F70EA" w:rsidRPr="00386E47" w:rsidRDefault="009F70EA" w:rsidP="009E1D55">
      <w:pPr>
        <w:tabs>
          <w:tab w:val="left" w:pos="426"/>
        </w:tabs>
        <w:contextualSpacing/>
        <w:jc w:val="both"/>
        <w:rPr>
          <w:rFonts w:asciiTheme="majorHAnsi" w:eastAsia="Calibri" w:hAnsiTheme="majorHAnsi"/>
          <w:sz w:val="20"/>
          <w:szCs w:val="20"/>
          <w:lang w:val="es-AR"/>
        </w:rPr>
      </w:pPr>
    </w:p>
    <w:p w14:paraId="1ADE7F5E"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Al respecto, la Comisión reafirma que no </w:t>
      </w:r>
      <w:r w:rsidR="00540E60" w:rsidRPr="00386E47">
        <w:rPr>
          <w:rFonts w:asciiTheme="majorHAnsi" w:eastAsia="Calibri" w:hAnsiTheme="majorHAnsi"/>
          <w:sz w:val="20"/>
          <w:szCs w:val="20"/>
          <w:lang w:val="es-AR"/>
        </w:rPr>
        <w:t xml:space="preserve">considera necesario en el presente caso referirse a </w:t>
      </w:r>
      <w:r w:rsidR="003A5A1C" w:rsidRPr="00386E47">
        <w:rPr>
          <w:rFonts w:asciiTheme="majorHAnsi" w:eastAsia="Calibri" w:hAnsiTheme="majorHAnsi"/>
          <w:sz w:val="20"/>
          <w:szCs w:val="20"/>
          <w:lang w:val="es-AR"/>
        </w:rPr>
        <w:t xml:space="preserve">la </w:t>
      </w:r>
      <w:r w:rsidRPr="00386E47">
        <w:rPr>
          <w:rFonts w:asciiTheme="majorHAnsi" w:eastAsia="Calibri" w:hAnsiTheme="majorHAnsi"/>
          <w:sz w:val="20"/>
          <w:szCs w:val="20"/>
          <w:lang w:val="es-AR"/>
        </w:rPr>
        <w:t xml:space="preserve">decisión </w:t>
      </w:r>
      <w:r w:rsidR="003A5A1C" w:rsidRPr="00386E47">
        <w:rPr>
          <w:rFonts w:asciiTheme="majorHAnsi" w:eastAsia="Calibri" w:hAnsiTheme="majorHAnsi"/>
          <w:sz w:val="20"/>
          <w:szCs w:val="20"/>
          <w:lang w:val="es-AR"/>
        </w:rPr>
        <w:t xml:space="preserve">de los Estados </w:t>
      </w:r>
      <w:r w:rsidRPr="00386E47">
        <w:rPr>
          <w:rFonts w:asciiTheme="majorHAnsi" w:eastAsia="Calibri" w:hAnsiTheme="majorHAnsi"/>
          <w:sz w:val="20"/>
          <w:szCs w:val="20"/>
          <w:lang w:val="es-AR"/>
        </w:rPr>
        <w:t>de involucrar a las agencias de inteligencia y a sus funcionarios como colaboradores de la justicia en investigaciones criminales</w:t>
      </w:r>
      <w:r w:rsidR="00540E60" w:rsidRPr="00386E47">
        <w:rPr>
          <w:rFonts w:asciiTheme="majorHAnsi" w:eastAsia="Calibri" w:hAnsiTheme="majorHAnsi"/>
          <w:sz w:val="20"/>
          <w:szCs w:val="20"/>
          <w:lang w:val="es-AR"/>
        </w:rPr>
        <w:t>, sin embargo, como se ha indicado existen determinadas salvaguardas que considerar en virtud de las pruebas o conjeturas que se pretendan sustentar</w:t>
      </w:r>
      <w:r w:rsidRPr="00386E47">
        <w:rPr>
          <w:rFonts w:asciiTheme="majorHAnsi" w:eastAsia="Calibri" w:hAnsiTheme="majorHAnsi"/>
          <w:sz w:val="20"/>
          <w:szCs w:val="20"/>
          <w:lang w:val="es-AR"/>
        </w:rPr>
        <w:t xml:space="preserve">. La Comisión tiene presente asimismo la necesidad de </w:t>
      </w:r>
      <w:r w:rsidR="003A5A1C" w:rsidRPr="00386E47">
        <w:rPr>
          <w:rFonts w:asciiTheme="majorHAnsi" w:eastAsia="Calibri" w:hAnsiTheme="majorHAnsi"/>
          <w:sz w:val="20"/>
          <w:szCs w:val="20"/>
          <w:lang w:val="es-AR"/>
        </w:rPr>
        <w:t>que exista</w:t>
      </w:r>
      <w:r w:rsidRPr="00386E47">
        <w:rPr>
          <w:rFonts w:asciiTheme="majorHAnsi" w:eastAsia="Calibri" w:hAnsiTheme="majorHAnsi"/>
          <w:sz w:val="20"/>
          <w:szCs w:val="20"/>
          <w:lang w:val="es-AR"/>
        </w:rPr>
        <w:t xml:space="preserve"> un régimen de clasificación de la información</w:t>
      </w:r>
      <w:r w:rsidR="003A5A1C" w:rsidRPr="00386E47">
        <w:rPr>
          <w:rFonts w:asciiTheme="majorHAnsi" w:eastAsia="Calibri" w:hAnsiTheme="majorHAnsi"/>
          <w:sz w:val="20"/>
          <w:szCs w:val="20"/>
          <w:lang w:val="es-AR"/>
        </w:rPr>
        <w:t xml:space="preserve"> que se encuentre</w:t>
      </w:r>
      <w:r w:rsidRPr="00386E47">
        <w:rPr>
          <w:rFonts w:asciiTheme="majorHAnsi" w:eastAsia="Calibri" w:hAnsiTheme="majorHAnsi"/>
          <w:sz w:val="20"/>
          <w:szCs w:val="20"/>
          <w:lang w:val="es-AR"/>
        </w:rPr>
        <w:t xml:space="preserve"> </w:t>
      </w:r>
      <w:r w:rsidR="003A5A1C" w:rsidRPr="00386E47">
        <w:rPr>
          <w:rFonts w:asciiTheme="majorHAnsi" w:eastAsia="Calibri" w:hAnsiTheme="majorHAnsi"/>
          <w:sz w:val="20"/>
          <w:szCs w:val="20"/>
          <w:lang w:val="es-AR"/>
        </w:rPr>
        <w:t>en poder de dichos organismos, a efectos de</w:t>
      </w:r>
      <w:r w:rsidRPr="00386E47">
        <w:rPr>
          <w:rFonts w:asciiTheme="majorHAnsi" w:eastAsia="Calibri" w:hAnsiTheme="majorHAnsi"/>
          <w:sz w:val="20"/>
          <w:szCs w:val="20"/>
          <w:lang w:val="es-AR"/>
        </w:rPr>
        <w:t xml:space="preserve"> salvaguardar la integridad personal de los agentes que participen en las operaciones de reunión de información y </w:t>
      </w:r>
      <w:r w:rsidR="003A5A1C" w:rsidRPr="00386E47">
        <w:rPr>
          <w:rFonts w:asciiTheme="majorHAnsi" w:eastAsia="Calibri" w:hAnsiTheme="majorHAnsi"/>
          <w:sz w:val="20"/>
          <w:szCs w:val="20"/>
          <w:lang w:val="es-AR"/>
        </w:rPr>
        <w:t xml:space="preserve">la protección de </w:t>
      </w:r>
      <w:r w:rsidRPr="00386E47">
        <w:rPr>
          <w:rFonts w:asciiTheme="majorHAnsi" w:eastAsia="Calibri" w:hAnsiTheme="majorHAnsi"/>
          <w:sz w:val="20"/>
          <w:szCs w:val="20"/>
          <w:lang w:val="es-AR"/>
        </w:rPr>
        <w:t>la seguridad nacional.</w:t>
      </w:r>
    </w:p>
    <w:p w14:paraId="64C90A72" w14:textId="77777777" w:rsidR="009F70EA" w:rsidRPr="00386E47" w:rsidRDefault="009F70EA" w:rsidP="009E1D55">
      <w:pPr>
        <w:tabs>
          <w:tab w:val="left" w:pos="426"/>
        </w:tabs>
        <w:contextualSpacing/>
        <w:jc w:val="both"/>
        <w:rPr>
          <w:rFonts w:asciiTheme="majorHAnsi" w:eastAsia="Calibri" w:hAnsiTheme="majorHAnsi"/>
          <w:sz w:val="20"/>
          <w:szCs w:val="20"/>
          <w:lang w:val="es-AR"/>
        </w:rPr>
      </w:pPr>
    </w:p>
    <w:p w14:paraId="0FA29454"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 Sin </w:t>
      </w:r>
      <w:r w:rsidR="00540E60" w:rsidRPr="00386E47">
        <w:rPr>
          <w:rFonts w:asciiTheme="majorHAnsi" w:eastAsia="Calibri" w:hAnsiTheme="majorHAnsi"/>
          <w:sz w:val="20"/>
          <w:szCs w:val="20"/>
          <w:lang w:val="es-AR"/>
        </w:rPr>
        <w:t>perjuicio de lo anterior</w:t>
      </w:r>
      <w:r w:rsidR="00947BAE" w:rsidRPr="00386E47">
        <w:rPr>
          <w:rFonts w:asciiTheme="majorHAnsi" w:eastAsia="Calibri" w:hAnsiTheme="majorHAnsi"/>
          <w:sz w:val="20"/>
          <w:szCs w:val="20"/>
          <w:lang w:val="es-AR"/>
        </w:rPr>
        <w:t>, la Comisión</w:t>
      </w:r>
      <w:r w:rsidRPr="00386E47">
        <w:rPr>
          <w:rFonts w:asciiTheme="majorHAnsi" w:eastAsia="Calibri" w:hAnsiTheme="majorHAnsi"/>
          <w:sz w:val="20"/>
          <w:szCs w:val="20"/>
          <w:lang w:val="es-AR"/>
        </w:rPr>
        <w:t xml:space="preserve"> subraya una vez más que los Estados tienen la obligación </w:t>
      </w:r>
      <w:r w:rsidR="003A5A1C" w:rsidRPr="00386E47">
        <w:rPr>
          <w:rFonts w:asciiTheme="majorHAnsi" w:eastAsia="Calibri" w:hAnsiTheme="majorHAnsi"/>
          <w:sz w:val="20"/>
          <w:szCs w:val="20"/>
          <w:lang w:val="es-AR"/>
        </w:rPr>
        <w:t xml:space="preserve">de asegurar que la </w:t>
      </w:r>
      <w:r w:rsidR="00B05379" w:rsidRPr="00386E47">
        <w:rPr>
          <w:rFonts w:asciiTheme="majorHAnsi" w:eastAsia="Calibri" w:hAnsiTheme="majorHAnsi"/>
          <w:sz w:val="20"/>
          <w:szCs w:val="20"/>
          <w:lang w:val="es-AR"/>
        </w:rPr>
        <w:t>regulación</w:t>
      </w:r>
      <w:r w:rsidR="003A5A1C" w:rsidRPr="00386E47">
        <w:rPr>
          <w:rFonts w:asciiTheme="majorHAnsi" w:eastAsia="Calibri" w:hAnsiTheme="majorHAnsi"/>
          <w:sz w:val="20"/>
          <w:szCs w:val="20"/>
          <w:lang w:val="es-AR"/>
        </w:rPr>
        <w:t xml:space="preserve"> normativa y la </w:t>
      </w:r>
      <w:r w:rsidR="00B05379" w:rsidRPr="00386E47">
        <w:rPr>
          <w:rFonts w:asciiTheme="majorHAnsi" w:eastAsia="Calibri" w:hAnsiTheme="majorHAnsi"/>
          <w:sz w:val="20"/>
          <w:szCs w:val="20"/>
          <w:lang w:val="es-AR"/>
        </w:rPr>
        <w:t>gestión</w:t>
      </w:r>
      <w:r w:rsidR="003A5A1C" w:rsidRPr="00386E47">
        <w:rPr>
          <w:rFonts w:asciiTheme="majorHAnsi" w:eastAsia="Calibri" w:hAnsiTheme="majorHAnsi"/>
          <w:sz w:val="20"/>
          <w:szCs w:val="20"/>
          <w:lang w:val="es-AR"/>
        </w:rPr>
        <w:t xml:space="preserve"> cotidiana de los </w:t>
      </w:r>
      <w:r w:rsidRPr="00386E47">
        <w:rPr>
          <w:rFonts w:asciiTheme="majorHAnsi" w:eastAsia="Calibri" w:hAnsiTheme="majorHAnsi"/>
          <w:sz w:val="20"/>
          <w:szCs w:val="20"/>
          <w:lang w:val="es-AR"/>
        </w:rPr>
        <w:t xml:space="preserve">servicios de inteligencia </w:t>
      </w:r>
      <w:r w:rsidR="003A5A1C" w:rsidRPr="00386E47">
        <w:rPr>
          <w:rFonts w:asciiTheme="majorHAnsi" w:eastAsia="Calibri" w:hAnsiTheme="majorHAnsi"/>
          <w:sz w:val="20"/>
          <w:szCs w:val="20"/>
          <w:lang w:val="es-AR"/>
        </w:rPr>
        <w:t>sea compatible</w:t>
      </w:r>
      <w:r w:rsidRPr="00386E47">
        <w:rPr>
          <w:rFonts w:asciiTheme="majorHAnsi" w:eastAsia="Calibri" w:hAnsiTheme="majorHAnsi"/>
          <w:sz w:val="20"/>
          <w:szCs w:val="20"/>
          <w:lang w:val="es-AR"/>
        </w:rPr>
        <w:t xml:space="preserve"> con los principios fundamentales del estado de derecho y los estándares internacionales en materia de derechos humanos</w:t>
      </w:r>
      <w:r w:rsidRPr="00386E47">
        <w:rPr>
          <w:rFonts w:asciiTheme="majorHAnsi" w:eastAsia="Calibri" w:hAnsiTheme="majorHAnsi"/>
          <w:sz w:val="20"/>
          <w:szCs w:val="20"/>
          <w:vertAlign w:val="superscript"/>
          <w:lang w:val="es-AR"/>
        </w:rPr>
        <w:footnoteReference w:id="284"/>
      </w:r>
      <w:r w:rsidRPr="00386E47">
        <w:rPr>
          <w:rFonts w:asciiTheme="majorHAnsi" w:eastAsia="Calibri" w:hAnsiTheme="majorHAnsi"/>
          <w:sz w:val="20"/>
          <w:szCs w:val="20"/>
          <w:lang w:val="es-AR"/>
        </w:rPr>
        <w:t xml:space="preserve">. En especial, la Comisión entiende que el fin legítimo que los Estados puedan llegar a perseguir con la puesta en funcionamiento de un régimen de clasificación de las actividades de inteligencia no implica una carta blanca para que los organismos de inteligencia operen en la total clandestinidad. </w:t>
      </w:r>
    </w:p>
    <w:p w14:paraId="6B2116FB" w14:textId="77777777" w:rsidR="009F70EA" w:rsidRPr="00386E47" w:rsidRDefault="009F70EA" w:rsidP="009E1D55">
      <w:pPr>
        <w:tabs>
          <w:tab w:val="left" w:pos="426"/>
        </w:tabs>
        <w:contextualSpacing/>
        <w:jc w:val="both"/>
        <w:rPr>
          <w:rFonts w:asciiTheme="majorHAnsi" w:eastAsia="Calibri" w:hAnsiTheme="majorHAnsi"/>
          <w:sz w:val="20"/>
          <w:szCs w:val="20"/>
          <w:lang w:val="es-AR"/>
        </w:rPr>
      </w:pPr>
    </w:p>
    <w:p w14:paraId="6F7B8B6C" w14:textId="77777777" w:rsidR="009F70EA" w:rsidRPr="00386E47" w:rsidRDefault="009F70EA" w:rsidP="00540E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En este sentido, la Comisión considera que la necesidad de resolver el conflicto que se presenta entre la necesidad de mantener el secreto de ciertas actividades de inteligencia y el derecho de acceso a la información resulta </w:t>
      </w:r>
      <w:r w:rsidR="00540E60" w:rsidRPr="00386E47">
        <w:rPr>
          <w:rFonts w:asciiTheme="majorHAnsi" w:eastAsia="Calibri" w:hAnsiTheme="majorHAnsi"/>
          <w:sz w:val="20"/>
          <w:szCs w:val="20"/>
          <w:lang w:val="es-AR"/>
        </w:rPr>
        <w:t>de suma importancia en</w:t>
      </w:r>
      <w:r w:rsidRPr="00386E47">
        <w:rPr>
          <w:rFonts w:asciiTheme="majorHAnsi" w:eastAsia="Calibri" w:hAnsiTheme="majorHAnsi"/>
          <w:sz w:val="20"/>
          <w:szCs w:val="20"/>
          <w:lang w:val="es-AR"/>
        </w:rPr>
        <w:t xml:space="preserve"> aquellos casos en los que las agencias de inteligencia son llamadas a actuar como auxiliares de justicia en una investigación criminal</w:t>
      </w:r>
      <w:r w:rsidR="00540E60" w:rsidRPr="00386E47">
        <w:rPr>
          <w:rFonts w:asciiTheme="majorHAnsi" w:eastAsia="Calibri" w:hAnsiTheme="majorHAnsi"/>
          <w:sz w:val="20"/>
          <w:szCs w:val="20"/>
          <w:lang w:val="es-AR"/>
        </w:rPr>
        <w:t xml:space="preserve"> relacionada con graves violaciones a derechos humanos</w:t>
      </w:r>
      <w:r w:rsidRPr="00386E47">
        <w:rPr>
          <w:rFonts w:asciiTheme="majorHAnsi" w:eastAsia="Calibri" w:hAnsiTheme="majorHAnsi"/>
          <w:sz w:val="20"/>
          <w:szCs w:val="20"/>
          <w:lang w:val="es-AR"/>
        </w:rPr>
        <w:t xml:space="preserve">. </w:t>
      </w:r>
      <w:r w:rsidR="00540E60" w:rsidRPr="00386E47">
        <w:rPr>
          <w:rFonts w:asciiTheme="majorHAnsi" w:eastAsia="Calibri" w:hAnsiTheme="majorHAnsi"/>
          <w:sz w:val="20"/>
          <w:szCs w:val="20"/>
          <w:lang w:val="es-AR"/>
        </w:rPr>
        <w:t>L</w:t>
      </w:r>
      <w:r w:rsidRPr="00386E47">
        <w:rPr>
          <w:rFonts w:asciiTheme="majorHAnsi" w:eastAsia="Calibri" w:hAnsiTheme="majorHAnsi"/>
          <w:sz w:val="20"/>
          <w:szCs w:val="20"/>
          <w:lang w:val="es-AR"/>
        </w:rPr>
        <w:t xml:space="preserve">a Comisión considera que existen numerosas razones por las cuales </w:t>
      </w:r>
      <w:r w:rsidR="00540E60" w:rsidRPr="00386E47">
        <w:rPr>
          <w:rFonts w:asciiTheme="majorHAnsi" w:eastAsia="Calibri" w:hAnsiTheme="majorHAnsi"/>
          <w:sz w:val="20"/>
          <w:szCs w:val="20"/>
          <w:lang w:val="es-AR"/>
        </w:rPr>
        <w:t>la</w:t>
      </w:r>
      <w:r w:rsidRPr="00386E47">
        <w:rPr>
          <w:rFonts w:asciiTheme="majorHAnsi" w:eastAsia="Calibri" w:hAnsiTheme="majorHAnsi"/>
          <w:sz w:val="20"/>
          <w:szCs w:val="20"/>
          <w:lang w:val="es-AR"/>
        </w:rPr>
        <w:t xml:space="preserve"> restricción al derecho de acceso a la información pude ser </w:t>
      </w:r>
      <w:r w:rsidR="00540E60" w:rsidRPr="00386E47">
        <w:rPr>
          <w:rFonts w:asciiTheme="majorHAnsi" w:eastAsia="Calibri" w:hAnsiTheme="majorHAnsi"/>
          <w:sz w:val="20"/>
          <w:szCs w:val="20"/>
          <w:lang w:val="es-AR"/>
        </w:rPr>
        <w:t>oponible</w:t>
      </w:r>
      <w:r w:rsidRPr="00386E47">
        <w:rPr>
          <w:rFonts w:asciiTheme="majorHAnsi" w:eastAsia="Calibri" w:hAnsiTheme="majorHAnsi"/>
          <w:sz w:val="20"/>
          <w:szCs w:val="20"/>
          <w:lang w:val="es-AR"/>
        </w:rPr>
        <w:t xml:space="preserve">, más aún </w:t>
      </w:r>
      <w:r w:rsidR="00540E60" w:rsidRPr="00386E47">
        <w:rPr>
          <w:rFonts w:asciiTheme="majorHAnsi" w:eastAsia="Calibri" w:hAnsiTheme="majorHAnsi"/>
          <w:sz w:val="20"/>
          <w:szCs w:val="20"/>
          <w:lang w:val="es-AR"/>
        </w:rPr>
        <w:t>es requerida por las partes quienes</w:t>
      </w:r>
      <w:r w:rsidRPr="00386E47">
        <w:rPr>
          <w:rFonts w:asciiTheme="majorHAnsi" w:eastAsia="Calibri" w:hAnsiTheme="majorHAnsi"/>
          <w:sz w:val="20"/>
          <w:szCs w:val="20"/>
          <w:lang w:val="es-AR"/>
        </w:rPr>
        <w:t xml:space="preserve"> se encuentran constituidas como parte querellante en los procesos judiciales. </w:t>
      </w:r>
    </w:p>
    <w:p w14:paraId="71A0B255" w14:textId="77777777" w:rsidR="009F70EA" w:rsidRPr="00386E47" w:rsidRDefault="009F70EA" w:rsidP="009E1D55">
      <w:pPr>
        <w:tabs>
          <w:tab w:val="left" w:pos="426"/>
        </w:tabs>
        <w:contextualSpacing/>
        <w:jc w:val="both"/>
        <w:rPr>
          <w:rFonts w:asciiTheme="majorHAnsi" w:eastAsia="Calibri" w:hAnsiTheme="majorHAnsi"/>
          <w:sz w:val="20"/>
          <w:szCs w:val="20"/>
          <w:lang w:val="es-AR"/>
        </w:rPr>
      </w:pPr>
    </w:p>
    <w:p w14:paraId="3CE649B6" w14:textId="77777777" w:rsidR="009F70EA" w:rsidRPr="00386E47" w:rsidRDefault="00540E60"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A ese respecto</w:t>
      </w:r>
      <w:r w:rsidR="009F70EA" w:rsidRPr="00386E47">
        <w:rPr>
          <w:rFonts w:asciiTheme="majorHAnsi" w:eastAsia="Calibri" w:hAnsiTheme="majorHAnsi"/>
          <w:sz w:val="20"/>
          <w:szCs w:val="20"/>
          <w:lang w:val="es-AR"/>
        </w:rPr>
        <w:t xml:space="preserve">, la Corte </w:t>
      </w:r>
      <w:r w:rsidRPr="00386E47">
        <w:rPr>
          <w:rFonts w:asciiTheme="majorHAnsi" w:eastAsia="Calibri" w:hAnsiTheme="majorHAnsi"/>
          <w:sz w:val="20"/>
          <w:szCs w:val="20"/>
          <w:lang w:val="es-AR"/>
        </w:rPr>
        <w:t>Interamericana</w:t>
      </w:r>
      <w:r w:rsidR="009F70EA" w:rsidRPr="00386E47">
        <w:rPr>
          <w:rFonts w:asciiTheme="majorHAnsi" w:eastAsia="Calibri" w:hAnsiTheme="majorHAnsi"/>
          <w:sz w:val="20"/>
          <w:szCs w:val="20"/>
          <w:lang w:val="es-AR"/>
        </w:rPr>
        <w:t xml:space="preserve"> ha señalado que toda persona, incluyendo los familiares de las víctimas de graves violaciones a derechos humanes tiene el derecho a conocer la verdad y a ser informados de todo lo sucedido con relación a dichas violaciones. Asimismo, y desde la óptica de las garantías del debido proceso consagradas de manera general en el artículo 8.1 de la Convención, en relación con el art 1.1, los Estados tienen la obligación de garantizar el derecho de las víctimas y de sus familiares de participar en todas las etapas de los procesos judiciales a efectos de hacer valer sus derechos. La Comisión entiende, de manera general, que los </w:t>
      </w:r>
      <w:r w:rsidR="009F70EA" w:rsidRPr="00386E47">
        <w:rPr>
          <w:rFonts w:asciiTheme="majorHAnsi" w:eastAsia="Calibri" w:hAnsiTheme="majorHAnsi"/>
          <w:sz w:val="20"/>
          <w:szCs w:val="20"/>
          <w:lang w:val="es-AR"/>
        </w:rPr>
        <w:lastRenderedPageBreak/>
        <w:t xml:space="preserve">derechos mencionados precedentemente se encuentran severamente amenazados cuando la investigación judicial se compone, esencialmente, de piezas documentales que son clasificadas como secretas en </w:t>
      </w:r>
      <w:r w:rsidR="00804A4B" w:rsidRPr="00386E47">
        <w:rPr>
          <w:rFonts w:asciiTheme="majorHAnsi" w:eastAsia="Calibri" w:hAnsiTheme="majorHAnsi"/>
          <w:sz w:val="20"/>
          <w:szCs w:val="20"/>
          <w:lang w:val="es-AR"/>
        </w:rPr>
        <w:t xml:space="preserve">razón </w:t>
      </w:r>
      <w:r w:rsidR="009F70EA" w:rsidRPr="00386E47">
        <w:rPr>
          <w:rFonts w:asciiTheme="majorHAnsi" w:eastAsia="Calibri" w:hAnsiTheme="majorHAnsi"/>
          <w:sz w:val="20"/>
          <w:szCs w:val="20"/>
          <w:lang w:val="es-AR"/>
        </w:rPr>
        <w:t xml:space="preserve">de haber sido producidas o reunidas por organismos de inteligencia. </w:t>
      </w:r>
    </w:p>
    <w:p w14:paraId="69A69512" w14:textId="77777777" w:rsidR="009F70EA" w:rsidRPr="00386E47" w:rsidRDefault="009F70EA" w:rsidP="009E1D55">
      <w:pPr>
        <w:tabs>
          <w:tab w:val="left" w:pos="426"/>
        </w:tabs>
        <w:contextualSpacing/>
        <w:jc w:val="both"/>
        <w:rPr>
          <w:rFonts w:asciiTheme="majorHAnsi" w:eastAsia="Calibri" w:hAnsiTheme="majorHAnsi"/>
          <w:sz w:val="20"/>
          <w:szCs w:val="20"/>
          <w:lang w:val="es-AR"/>
        </w:rPr>
      </w:pPr>
    </w:p>
    <w:p w14:paraId="36B1B818"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Corresponde a la CIDH, por lo tanto, definir si en el presente caso el Estado argentino cumplió con sus obligaciones internacionales derivadas del derecho de acceso a la información de los peticionarios, como un componente del derecho a conocer la verdad sobre lo sucedido. En particular, resulta necesario que la CIDH determine si el Estado </w:t>
      </w:r>
      <w:r w:rsidR="00D73730" w:rsidRPr="00386E47">
        <w:rPr>
          <w:rFonts w:asciiTheme="majorHAnsi" w:eastAsia="Calibri" w:hAnsiTheme="majorHAnsi"/>
          <w:sz w:val="20"/>
          <w:szCs w:val="20"/>
          <w:lang w:val="es-AR"/>
        </w:rPr>
        <w:t>cumplió con</w:t>
      </w:r>
      <w:r w:rsidRPr="00386E47">
        <w:rPr>
          <w:rFonts w:asciiTheme="majorHAnsi" w:eastAsia="Calibri" w:hAnsiTheme="majorHAnsi"/>
          <w:sz w:val="20"/>
          <w:szCs w:val="20"/>
          <w:lang w:val="es-AR"/>
        </w:rPr>
        <w:t xml:space="preserve"> sus obligaciones positivas de </w:t>
      </w:r>
      <w:r w:rsidR="00540E60" w:rsidRPr="00386E47">
        <w:rPr>
          <w:rFonts w:asciiTheme="majorHAnsi" w:eastAsia="Calibri" w:hAnsiTheme="majorHAnsi"/>
          <w:sz w:val="20"/>
          <w:szCs w:val="20"/>
          <w:lang w:val="es-AR"/>
        </w:rPr>
        <w:t>garantizar</w:t>
      </w:r>
      <w:r w:rsidR="00D73730" w:rsidRPr="00386E47">
        <w:rPr>
          <w:rFonts w:asciiTheme="majorHAnsi" w:eastAsia="Calibri" w:hAnsiTheme="majorHAnsi"/>
          <w:sz w:val="20"/>
          <w:szCs w:val="20"/>
          <w:lang w:val="es-AR"/>
        </w:rPr>
        <w:t xml:space="preserve"> el derecho a</w:t>
      </w:r>
      <w:r w:rsidRPr="00386E47">
        <w:rPr>
          <w:rFonts w:asciiTheme="majorHAnsi" w:eastAsia="Calibri" w:hAnsiTheme="majorHAnsi"/>
          <w:sz w:val="20"/>
          <w:szCs w:val="20"/>
          <w:lang w:val="es-AR"/>
        </w:rPr>
        <w:t xml:space="preserve"> </w:t>
      </w:r>
      <w:r w:rsidR="00D73730" w:rsidRPr="00386E47">
        <w:rPr>
          <w:rFonts w:asciiTheme="majorHAnsi" w:eastAsia="Calibri" w:hAnsiTheme="majorHAnsi"/>
          <w:sz w:val="20"/>
          <w:szCs w:val="20"/>
          <w:lang w:val="es-AR"/>
        </w:rPr>
        <w:t>acceder</w:t>
      </w:r>
      <w:r w:rsidRPr="00386E47">
        <w:rPr>
          <w:rFonts w:asciiTheme="majorHAnsi" w:eastAsia="Calibri" w:hAnsiTheme="majorHAnsi"/>
          <w:sz w:val="20"/>
          <w:szCs w:val="20"/>
          <w:lang w:val="es-AR"/>
        </w:rPr>
        <w:t xml:space="preserve"> a </w:t>
      </w:r>
      <w:r w:rsidR="00D73730" w:rsidRPr="00386E47">
        <w:rPr>
          <w:rFonts w:asciiTheme="majorHAnsi" w:eastAsia="Calibri" w:hAnsiTheme="majorHAnsi"/>
          <w:sz w:val="20"/>
          <w:szCs w:val="20"/>
          <w:lang w:val="es-AR"/>
        </w:rPr>
        <w:t xml:space="preserve">la </w:t>
      </w:r>
      <w:r w:rsidRPr="00386E47">
        <w:rPr>
          <w:rFonts w:asciiTheme="majorHAnsi" w:eastAsia="Calibri" w:hAnsiTheme="majorHAnsi"/>
          <w:sz w:val="20"/>
          <w:szCs w:val="20"/>
          <w:lang w:val="es-AR"/>
        </w:rPr>
        <w:t xml:space="preserve">información relacionada con el atentado a la AMIA contenida en archivos oficiales.  </w:t>
      </w:r>
    </w:p>
    <w:p w14:paraId="5AF0416A" w14:textId="77777777" w:rsidR="009F70EA" w:rsidRPr="00386E47" w:rsidRDefault="009F70EA" w:rsidP="009F70EA">
      <w:pPr>
        <w:rPr>
          <w:rFonts w:asciiTheme="majorHAnsi" w:eastAsia="Calibri" w:hAnsiTheme="majorHAnsi"/>
          <w:sz w:val="20"/>
          <w:szCs w:val="20"/>
          <w:lang w:val="es-AR"/>
        </w:rPr>
      </w:pPr>
    </w:p>
    <w:p w14:paraId="4E0A7166" w14:textId="77777777" w:rsidR="009F70EA" w:rsidRPr="00386E47" w:rsidRDefault="009F70EA" w:rsidP="00E05F14">
      <w:pPr>
        <w:pStyle w:val="Heading3"/>
        <w:numPr>
          <w:ilvl w:val="1"/>
          <w:numId w:val="68"/>
        </w:numPr>
        <w:ind w:left="284" w:firstLine="0"/>
      </w:pPr>
      <w:bookmarkStart w:id="32" w:name="_Toc51252203"/>
      <w:r w:rsidRPr="00386E47">
        <w:t xml:space="preserve">Sobre la cuestión de la información clasificada en poder de la Secretaria de Inteligencia del Estado, sus </w:t>
      </w:r>
      <w:r w:rsidR="00CA372A" w:rsidRPr="00386E47">
        <w:t>organismos</w:t>
      </w:r>
      <w:r w:rsidRPr="00386E47">
        <w:t xml:space="preserve"> sucesores y la UFI-AMIA</w:t>
      </w:r>
      <w:bookmarkEnd w:id="32"/>
      <w:r w:rsidRPr="00386E47">
        <w:t xml:space="preserve"> </w:t>
      </w:r>
    </w:p>
    <w:p w14:paraId="01AD337F" w14:textId="77777777" w:rsidR="00D73730" w:rsidRPr="00386E47" w:rsidRDefault="00D73730" w:rsidP="003A5860">
      <w:pPr>
        <w:pStyle w:val="ListParagraph"/>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En primer término, la Comisión recuerda que la Corte IDH señaló en el caso Myrna Mack Chang vs. Guatemala que, en caso de violaciones de derechos humanos, “las autoridades estatales no se pueden amparar en mecanismos como el secreto de Estado o la confidencialidad de la información, o en razones de interés público o seguridad nacional, para dejar de aportar la información requerida por las autoridades judiciales o administrativas encargadas de la investigación de procesos pendientes”</w:t>
      </w:r>
      <w:r w:rsidRPr="00386E47">
        <w:rPr>
          <w:rFonts w:asciiTheme="majorHAnsi" w:hAnsiTheme="majorHAnsi"/>
          <w:sz w:val="20"/>
          <w:szCs w:val="20"/>
          <w:vertAlign w:val="superscript"/>
        </w:rPr>
        <w:footnoteReference w:id="285"/>
      </w:r>
      <w:r w:rsidRPr="00386E47">
        <w:rPr>
          <w:rFonts w:asciiTheme="majorHAnsi" w:eastAsia="Calibri" w:hAnsiTheme="majorHAnsi"/>
          <w:sz w:val="20"/>
          <w:szCs w:val="20"/>
          <w:lang w:val="es-AR"/>
        </w:rPr>
        <w:t xml:space="preserve">. </w:t>
      </w:r>
    </w:p>
    <w:p w14:paraId="6C9D2FA7" w14:textId="77777777" w:rsidR="00D73730" w:rsidRPr="00386E47" w:rsidRDefault="00D73730" w:rsidP="00CE774A">
      <w:pPr>
        <w:pStyle w:val="ListParagraph"/>
        <w:rPr>
          <w:rFonts w:asciiTheme="majorHAnsi" w:eastAsia="Calibri" w:hAnsiTheme="majorHAnsi"/>
          <w:sz w:val="20"/>
          <w:szCs w:val="20"/>
          <w:lang w:val="es-AR"/>
        </w:rPr>
      </w:pPr>
    </w:p>
    <w:p w14:paraId="653A136D" w14:textId="77777777" w:rsidR="00D73730" w:rsidRPr="00386E47" w:rsidRDefault="00D73730"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Asimismo, la </w:t>
      </w:r>
      <w:r w:rsidR="00E05F14" w:rsidRPr="00386E47">
        <w:rPr>
          <w:rFonts w:asciiTheme="majorHAnsi" w:eastAsia="Calibri" w:hAnsiTheme="majorHAnsi"/>
          <w:sz w:val="20"/>
          <w:szCs w:val="20"/>
          <w:lang w:val="es-AR"/>
        </w:rPr>
        <w:t>Comisión</w:t>
      </w:r>
      <w:r w:rsidRPr="00386E47">
        <w:rPr>
          <w:rFonts w:asciiTheme="majorHAnsi" w:eastAsia="Calibri" w:hAnsiTheme="majorHAnsi"/>
          <w:sz w:val="20"/>
          <w:szCs w:val="20"/>
          <w:lang w:val="es-AR"/>
        </w:rPr>
        <w:t xml:space="preserve"> resalta que conforme la jurisprudencia de la Corte IDH, las restricciones al derecho a acceder a la </w:t>
      </w:r>
      <w:r w:rsidR="00E05F14" w:rsidRPr="00386E47">
        <w:rPr>
          <w:rFonts w:asciiTheme="majorHAnsi" w:eastAsia="Calibri" w:hAnsiTheme="majorHAnsi"/>
          <w:sz w:val="20"/>
          <w:szCs w:val="20"/>
          <w:lang w:val="es-AR"/>
        </w:rPr>
        <w:t>información</w:t>
      </w:r>
      <w:r w:rsidRPr="00386E47">
        <w:rPr>
          <w:rFonts w:asciiTheme="majorHAnsi" w:eastAsia="Calibri" w:hAnsiTheme="majorHAnsi"/>
          <w:sz w:val="20"/>
          <w:szCs w:val="20"/>
          <w:lang w:val="es-AR"/>
        </w:rPr>
        <w:t xml:space="preserve"> deben estar previamente fijadas por ley y deben responder a uno de los objetivos permitidos por el </w:t>
      </w:r>
      <w:r w:rsidR="00E05F14" w:rsidRPr="00386E47">
        <w:rPr>
          <w:rFonts w:asciiTheme="majorHAnsi" w:eastAsia="Calibri" w:hAnsiTheme="majorHAnsi"/>
          <w:sz w:val="20"/>
          <w:szCs w:val="20"/>
          <w:lang w:val="es-AR"/>
        </w:rPr>
        <w:t>artículo</w:t>
      </w:r>
      <w:r w:rsidRPr="00386E47">
        <w:rPr>
          <w:rFonts w:asciiTheme="majorHAnsi" w:eastAsia="Calibri" w:hAnsiTheme="majorHAnsi"/>
          <w:sz w:val="20"/>
          <w:szCs w:val="20"/>
          <w:lang w:val="es-AR"/>
        </w:rPr>
        <w:t xml:space="preserve"> 13.2 de la </w:t>
      </w:r>
      <w:r w:rsidR="00E05F14" w:rsidRPr="00386E47">
        <w:rPr>
          <w:rFonts w:asciiTheme="majorHAnsi" w:eastAsia="Calibri" w:hAnsiTheme="majorHAnsi"/>
          <w:sz w:val="20"/>
          <w:szCs w:val="20"/>
          <w:lang w:val="es-AR"/>
        </w:rPr>
        <w:t>Convención</w:t>
      </w:r>
      <w:r w:rsidRPr="00386E47">
        <w:rPr>
          <w:rFonts w:asciiTheme="majorHAnsi" w:eastAsia="Calibri" w:hAnsiTheme="majorHAnsi"/>
          <w:sz w:val="20"/>
          <w:szCs w:val="20"/>
          <w:lang w:val="es-AR"/>
        </w:rPr>
        <w:t xml:space="preserve"> Americana. Adicionalmente, las limitaciones impuestas deben ser “necesarias en una sociedad democrática y orientadas a satisfacer un </w:t>
      </w:r>
      <w:r w:rsidR="00E05F14" w:rsidRPr="00386E47">
        <w:rPr>
          <w:rFonts w:asciiTheme="majorHAnsi" w:eastAsia="Calibri" w:hAnsiTheme="majorHAnsi"/>
          <w:sz w:val="20"/>
          <w:szCs w:val="20"/>
          <w:lang w:val="es-AR"/>
        </w:rPr>
        <w:t>interés</w:t>
      </w:r>
      <w:r w:rsidRPr="00386E47">
        <w:rPr>
          <w:rFonts w:asciiTheme="majorHAnsi" w:eastAsia="Calibri" w:hAnsiTheme="majorHAnsi"/>
          <w:sz w:val="20"/>
          <w:szCs w:val="20"/>
          <w:lang w:val="es-AR"/>
        </w:rPr>
        <w:t xml:space="preserve"> </w:t>
      </w:r>
      <w:r w:rsidR="00E05F14" w:rsidRPr="00386E47">
        <w:rPr>
          <w:rFonts w:asciiTheme="majorHAnsi" w:eastAsia="Calibri" w:hAnsiTheme="majorHAnsi"/>
          <w:sz w:val="20"/>
          <w:szCs w:val="20"/>
          <w:lang w:val="es-AR"/>
        </w:rPr>
        <w:t>público</w:t>
      </w:r>
      <w:r w:rsidRPr="00386E47">
        <w:rPr>
          <w:rFonts w:asciiTheme="majorHAnsi" w:eastAsia="Calibri" w:hAnsiTheme="majorHAnsi"/>
          <w:sz w:val="20"/>
          <w:szCs w:val="20"/>
          <w:lang w:val="es-AR"/>
        </w:rPr>
        <w:t xml:space="preserve"> imperativo”</w:t>
      </w:r>
      <w:r w:rsidRPr="00386E47">
        <w:rPr>
          <w:rStyle w:val="FootnoteReference"/>
          <w:rFonts w:asciiTheme="majorHAnsi" w:eastAsia="Calibri" w:hAnsiTheme="majorHAnsi"/>
          <w:sz w:val="20"/>
          <w:szCs w:val="20"/>
          <w:lang w:val="es-AR"/>
        </w:rPr>
        <w:footnoteReference w:id="286"/>
      </w:r>
      <w:r w:rsidRPr="00386E47">
        <w:rPr>
          <w:rFonts w:asciiTheme="majorHAnsi" w:eastAsia="Calibri" w:hAnsiTheme="majorHAnsi"/>
          <w:sz w:val="20"/>
          <w:szCs w:val="20"/>
          <w:lang w:val="es-AR"/>
        </w:rPr>
        <w:t>.</w:t>
      </w:r>
    </w:p>
    <w:p w14:paraId="000833D0" w14:textId="77777777" w:rsidR="00D73730" w:rsidRPr="00386E47" w:rsidRDefault="00D73730" w:rsidP="00CE774A">
      <w:pPr>
        <w:tabs>
          <w:tab w:val="left" w:pos="567"/>
        </w:tabs>
        <w:contextualSpacing/>
        <w:jc w:val="both"/>
        <w:rPr>
          <w:rFonts w:asciiTheme="majorHAnsi" w:eastAsia="Calibri" w:hAnsiTheme="majorHAnsi"/>
          <w:sz w:val="20"/>
          <w:szCs w:val="20"/>
          <w:lang w:val="es-AR"/>
        </w:rPr>
      </w:pPr>
    </w:p>
    <w:p w14:paraId="55B865AA"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En el </w:t>
      </w:r>
      <w:r w:rsidR="00D73730" w:rsidRPr="00386E47">
        <w:rPr>
          <w:rFonts w:asciiTheme="majorHAnsi" w:eastAsia="Calibri" w:hAnsiTheme="majorHAnsi"/>
          <w:sz w:val="20"/>
          <w:szCs w:val="20"/>
          <w:lang w:val="es-AR"/>
        </w:rPr>
        <w:t>presente caso</w:t>
      </w:r>
      <w:r w:rsidRPr="00386E47">
        <w:rPr>
          <w:rFonts w:asciiTheme="majorHAnsi" w:eastAsia="Calibri" w:hAnsiTheme="majorHAnsi"/>
          <w:sz w:val="20"/>
          <w:szCs w:val="20"/>
          <w:lang w:val="es-AR"/>
        </w:rPr>
        <w:t xml:space="preserve">, la Comisión resalta que, al momento de producirse el atentado </w:t>
      </w:r>
      <w:r w:rsidR="00D73730" w:rsidRPr="00386E47">
        <w:rPr>
          <w:rFonts w:asciiTheme="majorHAnsi" w:eastAsia="Calibri" w:hAnsiTheme="majorHAnsi"/>
          <w:sz w:val="20"/>
          <w:szCs w:val="20"/>
          <w:lang w:val="es-AR"/>
        </w:rPr>
        <w:t>a la AMIA</w:t>
      </w:r>
      <w:r w:rsidR="004662AF"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y hasta el año 2001, las acciones de la SIDE estaban reguladas por la ley 20.195, en cuyo artículo 10 se disponía que “todas las actividades que desarrolle la Secretaria de Informaciones del Estado, como asimismo su organización, funciones y documentación son calificadas en interés de la Seguridad Nacional,</w:t>
      </w:r>
      <w:r w:rsidR="005C5085"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lang w:val="es-AR"/>
        </w:rPr>
        <w:t>de ‘Estrictamente Secreto y Confidencial…</w:t>
      </w:r>
      <w:r w:rsidR="004662AF" w:rsidRPr="00386E47">
        <w:rPr>
          <w:rFonts w:asciiTheme="majorHAnsi" w:eastAsia="Calibri" w:hAnsiTheme="majorHAnsi"/>
          <w:sz w:val="20"/>
          <w:szCs w:val="20"/>
          <w:lang w:val="es-AR"/>
        </w:rPr>
        <w:t xml:space="preserve">’ </w:t>
      </w:r>
      <w:r w:rsidRPr="00386E47">
        <w:rPr>
          <w:rFonts w:asciiTheme="majorHAnsi" w:eastAsia="Calibri" w:hAnsiTheme="majorHAnsi"/>
          <w:sz w:val="20"/>
          <w:szCs w:val="20"/>
          <w:vertAlign w:val="superscript"/>
          <w:lang w:val="es-AR"/>
        </w:rPr>
        <w:footnoteReference w:id="287"/>
      </w:r>
      <w:r w:rsidRPr="00386E47">
        <w:rPr>
          <w:rFonts w:asciiTheme="majorHAnsi" w:eastAsia="Calibri" w:hAnsiTheme="majorHAnsi"/>
          <w:sz w:val="20"/>
          <w:szCs w:val="20"/>
          <w:lang w:val="es-AR"/>
        </w:rPr>
        <w:t xml:space="preserve">. A partir de 2001, esta norma fue reemplazada por la ley 25.520 que disponía, entre otras cosas, que la información clasificada como secreta </w:t>
      </w:r>
      <w:r w:rsidR="00C5180C" w:rsidRPr="00386E47">
        <w:rPr>
          <w:rFonts w:asciiTheme="majorHAnsi" w:eastAsia="Calibri" w:hAnsiTheme="majorHAnsi"/>
          <w:sz w:val="20"/>
          <w:szCs w:val="20"/>
          <w:lang w:val="es-AR"/>
        </w:rPr>
        <w:t>solo podía ser consultada</w:t>
      </w:r>
      <w:r w:rsidRPr="00386E47">
        <w:rPr>
          <w:rFonts w:asciiTheme="majorHAnsi" w:eastAsia="Calibri" w:hAnsiTheme="majorHAnsi"/>
          <w:sz w:val="20"/>
          <w:szCs w:val="20"/>
          <w:lang w:val="es-AR"/>
        </w:rPr>
        <w:t xml:space="preserve"> por las autoridades judiciales, debiendo mantener ellas el más estricto secreto y confidencialidad</w:t>
      </w:r>
      <w:r w:rsidRPr="00386E47">
        <w:rPr>
          <w:rFonts w:asciiTheme="majorHAnsi" w:eastAsia="Calibri" w:hAnsiTheme="majorHAnsi"/>
          <w:sz w:val="20"/>
          <w:szCs w:val="20"/>
          <w:vertAlign w:val="superscript"/>
          <w:lang w:val="es-AR"/>
        </w:rPr>
        <w:footnoteReference w:id="288"/>
      </w:r>
      <w:r w:rsidRPr="00386E47">
        <w:rPr>
          <w:rFonts w:asciiTheme="majorHAnsi" w:eastAsia="Calibri" w:hAnsiTheme="majorHAnsi"/>
          <w:sz w:val="20"/>
          <w:szCs w:val="20"/>
          <w:lang w:val="es-AR"/>
        </w:rPr>
        <w:t xml:space="preserve">. </w:t>
      </w:r>
    </w:p>
    <w:p w14:paraId="1E20FFF4" w14:textId="77777777" w:rsidR="009F70EA" w:rsidRPr="00386E47" w:rsidRDefault="009F70EA" w:rsidP="00CE774A">
      <w:pPr>
        <w:tabs>
          <w:tab w:val="left" w:pos="567"/>
        </w:tabs>
        <w:contextualSpacing/>
        <w:jc w:val="both"/>
        <w:rPr>
          <w:rFonts w:asciiTheme="majorHAnsi" w:eastAsia="Calibri" w:hAnsiTheme="majorHAnsi"/>
          <w:sz w:val="20"/>
          <w:szCs w:val="20"/>
          <w:lang w:val="es-AR"/>
        </w:rPr>
      </w:pPr>
    </w:p>
    <w:p w14:paraId="730808E8" w14:textId="77777777" w:rsidR="004662AF" w:rsidRPr="00386E47" w:rsidRDefault="00D73730"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Coincidentemente</w:t>
      </w:r>
      <w:r w:rsidR="009F70EA" w:rsidRPr="00386E47">
        <w:rPr>
          <w:rFonts w:asciiTheme="majorHAnsi" w:eastAsia="Calibri" w:hAnsiTheme="majorHAnsi"/>
          <w:sz w:val="20"/>
          <w:szCs w:val="20"/>
          <w:lang w:val="es-AR"/>
        </w:rPr>
        <w:t xml:space="preserve">, la CIDH ha verificado que la SIDE encabezó - durante la instrucción encabezada por el Juzgado Federal 9 </w:t>
      </w:r>
      <w:r w:rsidRPr="00386E47">
        <w:rPr>
          <w:rFonts w:asciiTheme="majorHAnsi" w:eastAsia="Calibri" w:hAnsiTheme="majorHAnsi"/>
          <w:sz w:val="20"/>
          <w:szCs w:val="20"/>
          <w:lang w:val="es-AR"/>
        </w:rPr>
        <w:t>-</w:t>
      </w:r>
      <w:r w:rsidR="009F70EA" w:rsidRPr="00386E47">
        <w:rPr>
          <w:rFonts w:asciiTheme="majorHAnsi" w:eastAsia="Calibri" w:hAnsiTheme="majorHAnsi"/>
          <w:sz w:val="20"/>
          <w:szCs w:val="20"/>
          <w:lang w:val="es-AR"/>
        </w:rPr>
        <w:t xml:space="preserve"> numerosos operativos y diligencias secretas que no fueron oportunamente conocidas por los peticionarios ni por los jueces que integraron los tribunales de alzada. La SIDE fue más allá e incluso negó taxativamente la existencia de algunas de estas actividades</w:t>
      </w:r>
      <w:r w:rsidR="00DC34AB" w:rsidRPr="00386E47">
        <w:rPr>
          <w:rFonts w:asciiTheme="majorHAnsi" w:eastAsia="Calibri" w:hAnsiTheme="majorHAnsi"/>
          <w:sz w:val="20"/>
          <w:szCs w:val="20"/>
          <w:lang w:val="es-AR"/>
        </w:rPr>
        <w:t xml:space="preserve">, </w:t>
      </w:r>
      <w:r w:rsidR="00E05F14" w:rsidRPr="00386E47">
        <w:rPr>
          <w:rFonts w:asciiTheme="majorHAnsi" w:eastAsia="Calibri" w:hAnsiTheme="majorHAnsi"/>
          <w:sz w:val="20"/>
          <w:szCs w:val="20"/>
          <w:lang w:val="es-AR"/>
        </w:rPr>
        <w:t>ocultándolas</w:t>
      </w:r>
      <w:r w:rsidR="00DC34AB" w:rsidRPr="00386E47">
        <w:rPr>
          <w:rFonts w:asciiTheme="majorHAnsi" w:eastAsia="Calibri" w:hAnsiTheme="majorHAnsi"/>
          <w:sz w:val="20"/>
          <w:szCs w:val="20"/>
          <w:lang w:val="es-AR"/>
        </w:rPr>
        <w:t xml:space="preserve"> de esa manera del escrutinio de los jueces, las partes del proceso y</w:t>
      </w:r>
      <w:r w:rsidR="00072B9D" w:rsidRPr="00386E47">
        <w:rPr>
          <w:rFonts w:asciiTheme="majorHAnsi" w:eastAsia="Calibri" w:hAnsiTheme="majorHAnsi"/>
          <w:sz w:val="20"/>
          <w:szCs w:val="20"/>
          <w:lang w:val="es-AR"/>
        </w:rPr>
        <w:t xml:space="preserve"> de la sociedad en su conjunto</w:t>
      </w:r>
      <w:r w:rsidR="009F70EA" w:rsidRPr="00386E47">
        <w:rPr>
          <w:rFonts w:asciiTheme="majorHAnsi" w:eastAsia="Calibri" w:hAnsiTheme="majorHAnsi"/>
          <w:sz w:val="20"/>
          <w:szCs w:val="20"/>
          <w:lang w:val="es-AR"/>
        </w:rPr>
        <w:t>.</w:t>
      </w:r>
    </w:p>
    <w:p w14:paraId="164AA13F" w14:textId="77777777" w:rsidR="004662AF" w:rsidRPr="00386E47" w:rsidRDefault="004662AF" w:rsidP="00CE774A">
      <w:pPr>
        <w:pStyle w:val="ListParagraph"/>
        <w:rPr>
          <w:rFonts w:asciiTheme="majorHAnsi" w:eastAsia="Calibri" w:hAnsiTheme="majorHAnsi"/>
          <w:sz w:val="20"/>
          <w:szCs w:val="20"/>
          <w:lang w:val="es-AR"/>
        </w:rPr>
      </w:pPr>
    </w:p>
    <w:p w14:paraId="4818B631"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A modo de ejemplo, la Comisión rescata que en septiembre de 2001 y ante el requerimiento del TOF 3 que entendía en el juicio oral contra los policías bonaerenses, el operativo de desembolso de una suma de dinero a Carlos Telleldin fue expresamente desconocido por las autoridades de la Secretaria de Inteligencia</w:t>
      </w:r>
      <w:r w:rsidRPr="00386E47">
        <w:rPr>
          <w:rFonts w:asciiTheme="majorHAnsi" w:eastAsia="Calibri" w:hAnsiTheme="majorHAnsi"/>
          <w:sz w:val="20"/>
          <w:szCs w:val="20"/>
          <w:vertAlign w:val="superscript"/>
          <w:lang w:val="es-AR"/>
        </w:rPr>
        <w:footnoteReference w:id="289"/>
      </w:r>
      <w:r w:rsidRPr="00386E47">
        <w:rPr>
          <w:rFonts w:asciiTheme="majorHAnsi" w:eastAsia="Calibri" w:hAnsiTheme="majorHAnsi"/>
          <w:sz w:val="20"/>
          <w:szCs w:val="20"/>
          <w:lang w:val="es-AR"/>
        </w:rPr>
        <w:t>. Solo dos años más tarde y luego del dictado de diversos decretos que relevaron a los agentes de la SIDE de sus</w:t>
      </w:r>
      <w:r w:rsidR="00072B9D" w:rsidRPr="00386E47">
        <w:rPr>
          <w:rFonts w:asciiTheme="majorHAnsi" w:eastAsia="Calibri" w:hAnsiTheme="majorHAnsi"/>
          <w:sz w:val="20"/>
          <w:szCs w:val="20"/>
          <w:lang w:val="es-AR"/>
        </w:rPr>
        <w:t xml:space="preserve"> respectivas</w:t>
      </w:r>
      <w:r w:rsidRPr="00386E47">
        <w:rPr>
          <w:rFonts w:asciiTheme="majorHAnsi" w:eastAsia="Calibri" w:hAnsiTheme="majorHAnsi"/>
          <w:sz w:val="20"/>
          <w:szCs w:val="20"/>
          <w:lang w:val="es-AR"/>
        </w:rPr>
        <w:t xml:space="preserve"> obligaciones de guardar secreto </w:t>
      </w:r>
      <w:r w:rsidR="00072B9D" w:rsidRPr="00386E47">
        <w:rPr>
          <w:rFonts w:asciiTheme="majorHAnsi" w:eastAsia="Calibri" w:hAnsiTheme="majorHAnsi"/>
          <w:sz w:val="20"/>
          <w:szCs w:val="20"/>
          <w:lang w:val="es-AR"/>
        </w:rPr>
        <w:t xml:space="preserve">operativo </w:t>
      </w:r>
      <w:r w:rsidRPr="00386E47">
        <w:rPr>
          <w:rFonts w:asciiTheme="majorHAnsi" w:eastAsia="Calibri" w:hAnsiTheme="majorHAnsi"/>
          <w:sz w:val="20"/>
          <w:szCs w:val="20"/>
          <w:lang w:val="es-AR"/>
        </w:rPr>
        <w:t xml:space="preserve">pudieron el TOF 3 y todas las partes querellantes conocer en su </w:t>
      </w:r>
      <w:r w:rsidRPr="00386E47">
        <w:rPr>
          <w:rFonts w:asciiTheme="majorHAnsi" w:eastAsia="Calibri" w:hAnsiTheme="majorHAnsi"/>
          <w:sz w:val="20"/>
          <w:szCs w:val="20"/>
          <w:lang w:val="es-AR"/>
        </w:rPr>
        <w:lastRenderedPageBreak/>
        <w:t xml:space="preserve">totalidad ese hecho y </w:t>
      </w:r>
      <w:r w:rsidR="00072B9D" w:rsidRPr="00386E47">
        <w:rPr>
          <w:rFonts w:asciiTheme="majorHAnsi" w:eastAsia="Calibri" w:hAnsiTheme="majorHAnsi"/>
          <w:sz w:val="20"/>
          <w:szCs w:val="20"/>
          <w:lang w:val="es-AR"/>
        </w:rPr>
        <w:t xml:space="preserve">dilucidar </w:t>
      </w:r>
      <w:r w:rsidRPr="00386E47">
        <w:rPr>
          <w:rFonts w:asciiTheme="majorHAnsi" w:eastAsia="Calibri" w:hAnsiTheme="majorHAnsi"/>
          <w:sz w:val="20"/>
          <w:szCs w:val="20"/>
          <w:lang w:val="es-AR"/>
        </w:rPr>
        <w:t>cuál había sido el origen de la acusación a los policías señalados como parte de la conexión local</w:t>
      </w:r>
      <w:r w:rsidRPr="00386E47">
        <w:rPr>
          <w:rFonts w:asciiTheme="majorHAnsi" w:eastAsia="Calibri" w:hAnsiTheme="majorHAnsi"/>
          <w:sz w:val="20"/>
          <w:szCs w:val="20"/>
          <w:vertAlign w:val="superscript"/>
          <w:lang w:val="es-AR"/>
        </w:rPr>
        <w:footnoteReference w:id="290"/>
      </w:r>
      <w:r w:rsidRPr="00386E47">
        <w:rPr>
          <w:rFonts w:asciiTheme="majorHAnsi" w:eastAsia="Calibri" w:hAnsiTheme="majorHAnsi"/>
          <w:sz w:val="20"/>
          <w:szCs w:val="20"/>
          <w:lang w:val="es-AR"/>
        </w:rPr>
        <w:t xml:space="preserve">. </w:t>
      </w:r>
      <w:r w:rsidR="00834681" w:rsidRPr="00386E47">
        <w:rPr>
          <w:rFonts w:asciiTheme="majorHAnsi" w:eastAsia="Calibri" w:hAnsiTheme="majorHAnsi"/>
          <w:sz w:val="20"/>
          <w:szCs w:val="20"/>
          <w:lang w:val="es-AR"/>
        </w:rPr>
        <w:t xml:space="preserve">(ver supra parr </w:t>
      </w:r>
      <w:r w:rsidR="00245A1A" w:rsidRPr="00386E47">
        <w:rPr>
          <w:rFonts w:asciiTheme="majorHAnsi" w:eastAsia="Calibri" w:hAnsiTheme="majorHAnsi"/>
          <w:sz w:val="20"/>
          <w:szCs w:val="20"/>
          <w:lang w:val="es-AR"/>
        </w:rPr>
        <w:t>196 a 203</w:t>
      </w:r>
      <w:r w:rsidR="00834681" w:rsidRPr="00386E47">
        <w:rPr>
          <w:rFonts w:asciiTheme="majorHAnsi" w:eastAsia="Calibri" w:hAnsiTheme="majorHAnsi"/>
          <w:sz w:val="20"/>
          <w:szCs w:val="20"/>
          <w:lang w:val="es-AR"/>
        </w:rPr>
        <w:t xml:space="preserve">) </w:t>
      </w:r>
    </w:p>
    <w:p w14:paraId="77125A80" w14:textId="77777777" w:rsidR="00D73730" w:rsidRPr="00386E47" w:rsidRDefault="00D73730" w:rsidP="00CE774A">
      <w:pPr>
        <w:rPr>
          <w:rFonts w:asciiTheme="majorHAnsi" w:eastAsia="Calibri" w:hAnsiTheme="majorHAnsi"/>
          <w:sz w:val="20"/>
          <w:szCs w:val="20"/>
          <w:lang w:val="es-AR"/>
        </w:rPr>
      </w:pPr>
    </w:p>
    <w:p w14:paraId="1626E580" w14:textId="77777777" w:rsidR="00834681" w:rsidRPr="00386E47" w:rsidRDefault="00EA15CB" w:rsidP="00C21134">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 En </w:t>
      </w:r>
      <w:r w:rsidR="00D73730" w:rsidRPr="00386E47">
        <w:rPr>
          <w:rFonts w:asciiTheme="majorHAnsi" w:eastAsia="Calibri" w:hAnsiTheme="majorHAnsi"/>
          <w:sz w:val="20"/>
          <w:szCs w:val="20"/>
          <w:lang w:val="es-AR"/>
        </w:rPr>
        <w:t xml:space="preserve">consecuencia, la </w:t>
      </w:r>
      <w:r w:rsidR="00E05F14" w:rsidRPr="00386E47">
        <w:rPr>
          <w:rFonts w:asciiTheme="majorHAnsi" w:eastAsia="Calibri" w:hAnsiTheme="majorHAnsi"/>
          <w:sz w:val="20"/>
          <w:szCs w:val="20"/>
          <w:lang w:val="es-AR"/>
        </w:rPr>
        <w:t>Comisión</w:t>
      </w:r>
      <w:r w:rsidR="00D73730" w:rsidRPr="00386E47">
        <w:rPr>
          <w:rFonts w:asciiTheme="majorHAnsi" w:eastAsia="Calibri" w:hAnsiTheme="majorHAnsi"/>
          <w:sz w:val="20"/>
          <w:szCs w:val="20"/>
          <w:lang w:val="es-AR"/>
        </w:rPr>
        <w:t xml:space="preserve"> entiende que, si bien las restricciones al acceso a la </w:t>
      </w:r>
      <w:r w:rsidR="00E05F14" w:rsidRPr="00386E47">
        <w:rPr>
          <w:rFonts w:asciiTheme="majorHAnsi" w:eastAsia="Calibri" w:hAnsiTheme="majorHAnsi"/>
          <w:sz w:val="20"/>
          <w:szCs w:val="20"/>
          <w:lang w:val="es-AR"/>
        </w:rPr>
        <w:t>información</w:t>
      </w:r>
      <w:r w:rsidR="00D73730" w:rsidRPr="00386E47">
        <w:rPr>
          <w:rFonts w:asciiTheme="majorHAnsi" w:eastAsia="Calibri" w:hAnsiTheme="majorHAnsi"/>
          <w:sz w:val="20"/>
          <w:szCs w:val="20"/>
          <w:lang w:val="es-AR"/>
        </w:rPr>
        <w:t xml:space="preserve"> producida por la Secretaria de Inteligencia del Estado (SIDE) se encontraban previstas en una norma legal, </w:t>
      </w:r>
      <w:r w:rsidR="00072B9D" w:rsidRPr="00386E47">
        <w:rPr>
          <w:rFonts w:asciiTheme="majorHAnsi" w:eastAsia="Calibri" w:hAnsiTheme="majorHAnsi"/>
          <w:sz w:val="20"/>
          <w:szCs w:val="20"/>
          <w:lang w:val="es-AR"/>
        </w:rPr>
        <w:t xml:space="preserve">el Estado argentino no probó de que manera ellas resultaban necesarias, en este caso, para la </w:t>
      </w:r>
      <w:r w:rsidR="00E05F14" w:rsidRPr="00386E47">
        <w:rPr>
          <w:rFonts w:asciiTheme="majorHAnsi" w:eastAsia="Calibri" w:hAnsiTheme="majorHAnsi"/>
          <w:sz w:val="20"/>
          <w:szCs w:val="20"/>
          <w:lang w:val="es-AR"/>
        </w:rPr>
        <w:t>protección</w:t>
      </w:r>
      <w:r w:rsidR="00072B9D" w:rsidRPr="00386E47">
        <w:rPr>
          <w:rFonts w:asciiTheme="majorHAnsi" w:eastAsia="Calibri" w:hAnsiTheme="majorHAnsi"/>
          <w:sz w:val="20"/>
          <w:szCs w:val="20"/>
          <w:lang w:val="es-AR"/>
        </w:rPr>
        <w:t xml:space="preserve"> del orden público o la seguridad nacional. Por el contrario, la </w:t>
      </w:r>
      <w:r w:rsidR="00E05F14" w:rsidRPr="00386E47">
        <w:rPr>
          <w:rFonts w:asciiTheme="majorHAnsi" w:eastAsia="Calibri" w:hAnsiTheme="majorHAnsi"/>
          <w:sz w:val="20"/>
          <w:szCs w:val="20"/>
          <w:lang w:val="es-AR"/>
        </w:rPr>
        <w:t>Comisión</w:t>
      </w:r>
      <w:r w:rsidR="00072B9D" w:rsidRPr="00386E47">
        <w:rPr>
          <w:rFonts w:asciiTheme="majorHAnsi" w:eastAsia="Calibri" w:hAnsiTheme="majorHAnsi"/>
          <w:sz w:val="20"/>
          <w:szCs w:val="20"/>
          <w:lang w:val="es-AR"/>
        </w:rPr>
        <w:t xml:space="preserve"> considera que la existencia de un </w:t>
      </w:r>
      <w:r w:rsidR="00E05F14" w:rsidRPr="00386E47">
        <w:rPr>
          <w:rFonts w:asciiTheme="majorHAnsi" w:eastAsia="Calibri" w:hAnsiTheme="majorHAnsi"/>
          <w:sz w:val="20"/>
          <w:szCs w:val="20"/>
          <w:lang w:val="es-AR"/>
        </w:rPr>
        <w:t>régimen</w:t>
      </w:r>
      <w:r w:rsidR="00072B9D" w:rsidRPr="00386E47">
        <w:rPr>
          <w:rFonts w:asciiTheme="majorHAnsi" w:eastAsia="Calibri" w:hAnsiTheme="majorHAnsi"/>
          <w:sz w:val="20"/>
          <w:szCs w:val="20"/>
          <w:lang w:val="es-AR"/>
        </w:rPr>
        <w:t xml:space="preserve"> legal que consagr</w:t>
      </w:r>
      <w:r w:rsidR="004662AF" w:rsidRPr="00386E47">
        <w:rPr>
          <w:rFonts w:asciiTheme="majorHAnsi" w:eastAsia="Calibri" w:hAnsiTheme="majorHAnsi"/>
          <w:sz w:val="20"/>
          <w:szCs w:val="20"/>
          <w:lang w:val="es-AR"/>
        </w:rPr>
        <w:t>a</w:t>
      </w:r>
      <w:r w:rsidR="00072B9D" w:rsidRPr="00386E47">
        <w:rPr>
          <w:rFonts w:asciiTheme="majorHAnsi" w:eastAsia="Calibri" w:hAnsiTheme="majorHAnsi"/>
          <w:sz w:val="20"/>
          <w:szCs w:val="20"/>
          <w:lang w:val="es-AR"/>
        </w:rPr>
        <w:t xml:space="preserve"> el carácter clasificado de la totalidad de la </w:t>
      </w:r>
      <w:r w:rsidR="00E05F14" w:rsidRPr="00386E47">
        <w:rPr>
          <w:rFonts w:asciiTheme="majorHAnsi" w:eastAsia="Calibri" w:hAnsiTheme="majorHAnsi"/>
          <w:sz w:val="20"/>
          <w:szCs w:val="20"/>
          <w:lang w:val="es-AR"/>
        </w:rPr>
        <w:t>información</w:t>
      </w:r>
      <w:r w:rsidR="00072B9D" w:rsidRPr="00386E47">
        <w:rPr>
          <w:rFonts w:asciiTheme="majorHAnsi" w:eastAsia="Calibri" w:hAnsiTheme="majorHAnsi"/>
          <w:sz w:val="20"/>
          <w:szCs w:val="20"/>
          <w:lang w:val="es-AR"/>
        </w:rPr>
        <w:t xml:space="preserve"> que genere o almacene una entidad estatal,  sin establecer salvaguardas que permitan equilibrar eventuales valores u objetivos en pugna, no resulta compatible con el derecho a buscar y recibir informaciones reconocido en el </w:t>
      </w:r>
      <w:r w:rsidR="00E05F14" w:rsidRPr="00386E47">
        <w:rPr>
          <w:rFonts w:asciiTheme="majorHAnsi" w:eastAsia="Calibri" w:hAnsiTheme="majorHAnsi"/>
          <w:sz w:val="20"/>
          <w:szCs w:val="20"/>
          <w:lang w:val="es-AR"/>
        </w:rPr>
        <w:t>artículo</w:t>
      </w:r>
      <w:r w:rsidR="00072B9D" w:rsidRPr="00386E47">
        <w:rPr>
          <w:rFonts w:asciiTheme="majorHAnsi" w:eastAsia="Calibri" w:hAnsiTheme="majorHAnsi"/>
          <w:sz w:val="20"/>
          <w:szCs w:val="20"/>
          <w:lang w:val="es-AR"/>
        </w:rPr>
        <w:t xml:space="preserve"> 13.1 de la </w:t>
      </w:r>
      <w:r w:rsidR="00E05F14" w:rsidRPr="00386E47">
        <w:rPr>
          <w:rFonts w:asciiTheme="majorHAnsi" w:eastAsia="Calibri" w:hAnsiTheme="majorHAnsi"/>
          <w:sz w:val="20"/>
          <w:szCs w:val="20"/>
          <w:lang w:val="es-AR"/>
        </w:rPr>
        <w:t>Convención</w:t>
      </w:r>
      <w:r w:rsidR="00072B9D" w:rsidRPr="00386E47">
        <w:rPr>
          <w:rFonts w:asciiTheme="majorHAnsi" w:eastAsia="Calibri" w:hAnsiTheme="majorHAnsi"/>
          <w:sz w:val="20"/>
          <w:szCs w:val="20"/>
          <w:lang w:val="es-AR"/>
        </w:rPr>
        <w:t xml:space="preserve"> Americana</w:t>
      </w:r>
      <w:r w:rsidR="00EF4DB1" w:rsidRPr="00386E47">
        <w:rPr>
          <w:rStyle w:val="FootnoteReference"/>
          <w:rFonts w:asciiTheme="majorHAnsi" w:eastAsia="Calibri" w:hAnsiTheme="majorHAnsi"/>
          <w:sz w:val="20"/>
          <w:szCs w:val="20"/>
          <w:lang w:val="es-AR"/>
        </w:rPr>
        <w:footnoteReference w:id="291"/>
      </w:r>
      <w:r w:rsidR="00072B9D" w:rsidRPr="00386E47">
        <w:rPr>
          <w:rFonts w:asciiTheme="majorHAnsi" w:eastAsia="Calibri" w:hAnsiTheme="majorHAnsi"/>
          <w:sz w:val="20"/>
          <w:szCs w:val="20"/>
          <w:lang w:val="es-AR"/>
        </w:rPr>
        <w:t xml:space="preserve">. </w:t>
      </w:r>
    </w:p>
    <w:p w14:paraId="6D3F22DC" w14:textId="77777777" w:rsidR="009F70EA" w:rsidRPr="00386E47" w:rsidRDefault="009F70EA" w:rsidP="002D4E73">
      <w:pPr>
        <w:tabs>
          <w:tab w:val="left" w:pos="426"/>
        </w:tabs>
        <w:contextualSpacing/>
        <w:jc w:val="both"/>
        <w:rPr>
          <w:rFonts w:asciiTheme="majorHAnsi" w:eastAsia="Calibri" w:hAnsiTheme="majorHAnsi"/>
          <w:sz w:val="20"/>
          <w:szCs w:val="20"/>
          <w:lang w:val="es-AR"/>
        </w:rPr>
      </w:pPr>
    </w:p>
    <w:p w14:paraId="2A293714" w14:textId="77777777" w:rsidR="00D73730" w:rsidRPr="00386E47" w:rsidRDefault="00D73730"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Asimismo, la CIDH </w:t>
      </w:r>
      <w:r w:rsidR="00540E60" w:rsidRPr="00386E47">
        <w:rPr>
          <w:rFonts w:asciiTheme="majorHAnsi" w:eastAsia="Calibri" w:hAnsiTheme="majorHAnsi"/>
          <w:sz w:val="20"/>
          <w:szCs w:val="20"/>
          <w:lang w:val="es-AR"/>
        </w:rPr>
        <w:t>nota</w:t>
      </w:r>
      <w:r w:rsidRPr="00386E47">
        <w:rPr>
          <w:rFonts w:asciiTheme="majorHAnsi" w:eastAsia="Calibri" w:hAnsiTheme="majorHAnsi"/>
          <w:sz w:val="20"/>
          <w:szCs w:val="20"/>
          <w:lang w:val="es-AR"/>
        </w:rPr>
        <w:t xml:space="preserve"> que los peticionarios no poseían ningún recurso judicial o administrativo destinado a </w:t>
      </w:r>
      <w:r w:rsidR="0090028B" w:rsidRPr="00386E47">
        <w:rPr>
          <w:rFonts w:asciiTheme="majorHAnsi" w:eastAsia="Calibri" w:hAnsiTheme="majorHAnsi"/>
          <w:sz w:val="20"/>
          <w:szCs w:val="20"/>
          <w:lang w:val="es-AR"/>
        </w:rPr>
        <w:t>controvertir</w:t>
      </w:r>
      <w:r w:rsidRPr="00386E47">
        <w:rPr>
          <w:rFonts w:asciiTheme="majorHAnsi" w:eastAsia="Calibri" w:hAnsiTheme="majorHAnsi"/>
          <w:sz w:val="20"/>
          <w:szCs w:val="20"/>
          <w:lang w:val="es-AR"/>
        </w:rPr>
        <w:t xml:space="preserve"> la decisión de clasificar como secreto la documentación que la SIDE y otras agencias de inteligencia estatales incorporaban a la investigación por el atentado a la AMIA. </w:t>
      </w:r>
      <w:r w:rsidR="00540E60" w:rsidRPr="00386E47">
        <w:rPr>
          <w:rFonts w:asciiTheme="majorHAnsi" w:eastAsia="Calibri" w:hAnsiTheme="majorHAnsi"/>
          <w:sz w:val="20"/>
          <w:szCs w:val="20"/>
          <w:lang w:val="es-AR"/>
        </w:rPr>
        <w:t xml:space="preserve">Lo anterior, no fue controvertido por el Estado. </w:t>
      </w:r>
      <w:r w:rsidR="00072B9D" w:rsidRPr="00386E47">
        <w:rPr>
          <w:rFonts w:asciiTheme="majorHAnsi" w:eastAsia="Calibri" w:hAnsiTheme="majorHAnsi"/>
          <w:sz w:val="20"/>
          <w:szCs w:val="20"/>
          <w:lang w:val="es-AR"/>
        </w:rPr>
        <w:t>En este sentido</w:t>
      </w:r>
      <w:r w:rsidRPr="00386E47">
        <w:rPr>
          <w:rFonts w:asciiTheme="majorHAnsi" w:eastAsia="Calibri" w:hAnsiTheme="majorHAnsi"/>
          <w:sz w:val="20"/>
          <w:szCs w:val="20"/>
          <w:lang w:val="es-AR"/>
        </w:rPr>
        <w:t>, la CIDH considera oportuno señalar que conforme la jurisprudencia de la Corte IDH, “lo que resulta incompatible con un Estado de Derecho y una tutela judicial efectiva no es que haya secretos, sino que estos secretos escapen de la ley, esto es, que el poder tenga ámbitos en los que no es responsable porque no están regulados jurídicamente y que por tanto están al margen de todo sistema de control”</w:t>
      </w:r>
      <w:r w:rsidRPr="00386E47">
        <w:rPr>
          <w:rFonts w:asciiTheme="majorHAnsi" w:eastAsia="Calibri" w:hAnsiTheme="majorHAnsi"/>
          <w:sz w:val="20"/>
          <w:szCs w:val="20"/>
          <w:vertAlign w:val="superscript"/>
          <w:lang w:val="es-AR"/>
        </w:rPr>
        <w:footnoteReference w:id="292"/>
      </w:r>
      <w:r w:rsidRPr="00386E47">
        <w:rPr>
          <w:rFonts w:asciiTheme="majorHAnsi" w:eastAsia="Calibri" w:hAnsiTheme="majorHAnsi"/>
          <w:sz w:val="20"/>
          <w:szCs w:val="20"/>
          <w:lang w:val="es-AR"/>
        </w:rPr>
        <w:t xml:space="preserve">. </w:t>
      </w:r>
    </w:p>
    <w:p w14:paraId="0A32B623" w14:textId="77777777" w:rsidR="00D73730" w:rsidRPr="00386E47" w:rsidRDefault="00D73730" w:rsidP="00CE774A">
      <w:pPr>
        <w:tabs>
          <w:tab w:val="left" w:pos="426"/>
        </w:tabs>
        <w:contextualSpacing/>
        <w:jc w:val="both"/>
        <w:rPr>
          <w:rFonts w:asciiTheme="majorHAnsi" w:eastAsia="Calibri" w:hAnsiTheme="majorHAnsi"/>
          <w:sz w:val="20"/>
          <w:szCs w:val="20"/>
          <w:lang w:val="es-AR"/>
        </w:rPr>
      </w:pPr>
    </w:p>
    <w:p w14:paraId="56821536"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La Comisión valora las medidas adoptadas a partir del año 2003 por el Poder Ejecutivo, el Ministerio de Justicia y la Secretaria de Inteligencia que relevaron a un número considerable de funcionarios y agentes de inteligencia de la obligación de guardar secreto a efectos de posibilitar sus respectivas comparecencias en el marco </w:t>
      </w:r>
      <w:r w:rsidR="00633B9B" w:rsidRPr="00386E47">
        <w:rPr>
          <w:rFonts w:asciiTheme="majorHAnsi" w:eastAsia="Calibri" w:hAnsiTheme="majorHAnsi"/>
          <w:sz w:val="20"/>
          <w:szCs w:val="20"/>
          <w:lang w:val="es-AR"/>
        </w:rPr>
        <w:t>del juicio</w:t>
      </w:r>
      <w:r w:rsidRPr="00386E47">
        <w:rPr>
          <w:rFonts w:asciiTheme="majorHAnsi" w:eastAsia="Calibri" w:hAnsiTheme="majorHAnsi"/>
          <w:sz w:val="20"/>
          <w:szCs w:val="20"/>
          <w:lang w:val="es-AR"/>
        </w:rPr>
        <w:t xml:space="preserve"> oral celebrado ante el TOF 3</w:t>
      </w:r>
      <w:r w:rsidR="00F231C5" w:rsidRPr="00386E47">
        <w:rPr>
          <w:rFonts w:asciiTheme="majorHAnsi" w:eastAsia="Calibri" w:hAnsiTheme="majorHAnsi"/>
          <w:sz w:val="20"/>
          <w:szCs w:val="20"/>
          <w:lang w:val="es-AR"/>
        </w:rPr>
        <w:t>.</w:t>
      </w:r>
      <w:r w:rsidRPr="00386E47">
        <w:rPr>
          <w:rFonts w:asciiTheme="majorHAnsi" w:eastAsia="Calibri" w:hAnsiTheme="majorHAnsi"/>
          <w:sz w:val="20"/>
          <w:szCs w:val="20"/>
          <w:lang w:val="es-AR"/>
        </w:rPr>
        <w:t xml:space="preserve"> Asimismo, la CIDH considera que la sanción de los decretos 786/03 y 787/03 que crearon en el seno de la Secretaria de Inteligencia y en cada una de las fuerzas de seguridad una Unidad de Relevación de Información (URI) destinada a buscar, compulsar y analizar la información existente y comunicar sus hallazgos a los magistrados competentes, constituyó una medida necesaria a efectos de garantizar el derecho de los peticionarios a acceder a la información, y de ellos y de la sociedad toda a conocer la verdad</w:t>
      </w:r>
      <w:r w:rsidR="00F231C5" w:rsidRPr="00386E47">
        <w:rPr>
          <w:rStyle w:val="FootnoteReference"/>
          <w:rFonts w:asciiTheme="majorHAnsi" w:eastAsia="Calibri" w:hAnsiTheme="majorHAnsi"/>
          <w:sz w:val="20"/>
          <w:szCs w:val="20"/>
          <w:lang w:val="es-AR"/>
        </w:rPr>
        <w:footnoteReference w:id="293"/>
      </w:r>
      <w:r w:rsidRPr="00386E47">
        <w:rPr>
          <w:rFonts w:asciiTheme="majorHAnsi" w:eastAsia="Calibri" w:hAnsiTheme="majorHAnsi"/>
          <w:sz w:val="20"/>
          <w:szCs w:val="20"/>
          <w:lang w:val="es-AR"/>
        </w:rPr>
        <w:t xml:space="preserve">.   </w:t>
      </w:r>
    </w:p>
    <w:p w14:paraId="577490CF" w14:textId="77777777" w:rsidR="009F70EA" w:rsidRPr="00386E47" w:rsidRDefault="009F70EA" w:rsidP="00CE774A">
      <w:pPr>
        <w:tabs>
          <w:tab w:val="left" w:pos="426"/>
        </w:tabs>
        <w:contextualSpacing/>
        <w:jc w:val="both"/>
        <w:rPr>
          <w:rFonts w:asciiTheme="majorHAnsi" w:eastAsia="Calibri" w:hAnsiTheme="majorHAnsi"/>
          <w:sz w:val="20"/>
          <w:szCs w:val="20"/>
          <w:lang w:val="es-AR"/>
        </w:rPr>
      </w:pPr>
    </w:p>
    <w:p w14:paraId="2DE42706"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Sin embargo, la CIDH advierte que la decisión de iniciar un relevamiento de la información en poder de la SIDE y de las fuerzas de seguridad federales y de entregar la custodia de los fondos documentales a la UFI AMIA, no </w:t>
      </w:r>
      <w:r w:rsidR="00F231C5" w:rsidRPr="00386E47">
        <w:rPr>
          <w:rFonts w:asciiTheme="majorHAnsi" w:eastAsia="Calibri" w:hAnsiTheme="majorHAnsi"/>
          <w:sz w:val="20"/>
          <w:szCs w:val="20"/>
          <w:lang w:val="es-AR"/>
        </w:rPr>
        <w:t xml:space="preserve">garantizó plenamente </w:t>
      </w:r>
      <w:r w:rsidRPr="00386E47">
        <w:rPr>
          <w:rFonts w:asciiTheme="majorHAnsi" w:eastAsia="Calibri" w:hAnsiTheme="majorHAnsi"/>
          <w:sz w:val="20"/>
          <w:szCs w:val="20"/>
          <w:lang w:val="es-AR"/>
        </w:rPr>
        <w:t>el derecho de acceso a la información en cabeza de los peticionarios. En este sentido, la Comisión seña</w:t>
      </w:r>
      <w:r w:rsidR="00F231C5" w:rsidRPr="00386E47">
        <w:rPr>
          <w:rFonts w:asciiTheme="majorHAnsi" w:eastAsia="Calibri" w:hAnsiTheme="majorHAnsi"/>
          <w:sz w:val="20"/>
          <w:szCs w:val="20"/>
          <w:lang w:val="es-AR"/>
        </w:rPr>
        <w:t>la que los decretos 786/03 y 787/03</w:t>
      </w:r>
      <w:r w:rsidRPr="00386E47">
        <w:rPr>
          <w:rFonts w:asciiTheme="majorHAnsi" w:eastAsia="Calibri" w:hAnsiTheme="majorHAnsi"/>
          <w:sz w:val="20"/>
          <w:szCs w:val="20"/>
          <w:lang w:val="es-AR"/>
        </w:rPr>
        <w:t xml:space="preserve"> solo tuvieron como efecto posibilitar que la información de inteligencia pudiera ser compartida con las autoridades estatales encargadas de investigar el atentado, pero no dispusieron la eliminación de la clasificación de seguridad que pesaba sobre esos documentos. En consecuencia, la información reunida en esas tareas continuó estando fuera del alcance de los peticionarios, a pesar de estar constituidos como partes en el proceso. </w:t>
      </w:r>
    </w:p>
    <w:p w14:paraId="24B9D225" w14:textId="77777777" w:rsidR="009F70EA" w:rsidRPr="00386E47" w:rsidRDefault="009F70EA" w:rsidP="00CE774A">
      <w:pPr>
        <w:tabs>
          <w:tab w:val="left" w:pos="426"/>
        </w:tabs>
        <w:contextualSpacing/>
        <w:jc w:val="both"/>
        <w:rPr>
          <w:rFonts w:asciiTheme="majorHAnsi" w:eastAsia="Calibri" w:hAnsiTheme="majorHAnsi"/>
          <w:sz w:val="20"/>
          <w:szCs w:val="20"/>
          <w:lang w:val="es-AR"/>
        </w:rPr>
      </w:pPr>
    </w:p>
    <w:p w14:paraId="07BF9B6E" w14:textId="77777777" w:rsidR="009F70EA" w:rsidRPr="00386E47" w:rsidRDefault="009F70EA" w:rsidP="00C21134">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La Comisión entiende que la situación descripta en los párrafos precedentes se extendió desde el año 2004 hasta la sanción del Decreto 395/15 en marzo de 2015. Dicha norma dispuso la desclasificación de la totalidad de la documentación que fuera remitida en custodia por la Secretaria de Inteligencia a la UFI-AMIA (art 1), de la documentación adicional existente en los archivos de la ex SIDE (art 2) y de toda otra documentación que no hubiera sido aportada oportunamente a la causa que, a la fecha del dictado del decreto, se encuentre en poder de la Agencia Federal de Inteligencia (art 3) De esta manera, conforme lo puntualiza la UFI-AMIA, toda la información </w:t>
      </w:r>
      <w:r w:rsidRPr="00386E47">
        <w:rPr>
          <w:rFonts w:asciiTheme="majorHAnsi" w:eastAsia="Calibri" w:hAnsiTheme="majorHAnsi"/>
          <w:sz w:val="20"/>
          <w:szCs w:val="20"/>
          <w:lang w:val="es-AR"/>
        </w:rPr>
        <w:lastRenderedPageBreak/>
        <w:t>generada por la ex SIDE “dejó de tener carácter reservado para las partes y quedó estrictamente configurado como prueba documental en los términos del Código Procesal Penal de la Nación”</w:t>
      </w:r>
      <w:r w:rsidRPr="00386E47">
        <w:rPr>
          <w:rFonts w:asciiTheme="majorHAnsi" w:eastAsia="Calibri" w:hAnsiTheme="majorHAnsi"/>
          <w:sz w:val="20"/>
          <w:szCs w:val="20"/>
          <w:vertAlign w:val="superscript"/>
          <w:lang w:val="es-AR"/>
        </w:rPr>
        <w:footnoteReference w:id="294"/>
      </w:r>
      <w:r w:rsidRPr="00386E47">
        <w:rPr>
          <w:rFonts w:asciiTheme="majorHAnsi" w:eastAsia="Calibri" w:hAnsiTheme="majorHAnsi"/>
          <w:sz w:val="20"/>
          <w:szCs w:val="20"/>
          <w:lang w:val="es-AR"/>
        </w:rPr>
        <w:t xml:space="preserve">. </w:t>
      </w:r>
    </w:p>
    <w:p w14:paraId="5CBA7119" w14:textId="77777777" w:rsidR="009F70EA" w:rsidRPr="00386E47" w:rsidRDefault="009F70EA" w:rsidP="00C21134">
      <w:pPr>
        <w:tabs>
          <w:tab w:val="left" w:pos="567"/>
        </w:tabs>
        <w:contextualSpacing/>
        <w:jc w:val="both"/>
        <w:rPr>
          <w:rFonts w:asciiTheme="majorHAnsi" w:eastAsia="Calibri" w:hAnsiTheme="majorHAnsi"/>
          <w:sz w:val="20"/>
          <w:szCs w:val="20"/>
          <w:lang w:val="es-AR"/>
        </w:rPr>
      </w:pPr>
    </w:p>
    <w:p w14:paraId="7791B760" w14:textId="77777777" w:rsidR="009F70EA" w:rsidRPr="00386E47" w:rsidRDefault="009F70EA" w:rsidP="00C21134">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A partir de este desarrollo, la Comisión concluye que el Estado argentino, desde el 18 de julio de 1994 y hasta marzo de 2015, violó el derecho de los peticionarios a acceder a información vinculada con el atentado, toda vez que mantuvo bajo secreto la documentación clasificada como secreto por los organismos de inteligencia que participaron en las investigaciones</w:t>
      </w:r>
      <w:r w:rsidRPr="00386E47">
        <w:rPr>
          <w:rFonts w:asciiTheme="majorHAnsi" w:eastAsia="Calibri" w:hAnsiTheme="majorHAnsi"/>
          <w:sz w:val="20"/>
          <w:szCs w:val="20"/>
          <w:vertAlign w:val="superscript"/>
          <w:lang w:val="es-AR"/>
        </w:rPr>
        <w:footnoteReference w:id="295"/>
      </w:r>
      <w:r w:rsidRPr="00386E47">
        <w:rPr>
          <w:rFonts w:asciiTheme="majorHAnsi" w:eastAsia="Calibri" w:hAnsiTheme="majorHAnsi"/>
          <w:sz w:val="20"/>
          <w:szCs w:val="20"/>
          <w:lang w:val="es-AR"/>
        </w:rPr>
        <w:t xml:space="preserve">. </w:t>
      </w:r>
    </w:p>
    <w:p w14:paraId="2C34E246" w14:textId="77777777" w:rsidR="009F70EA" w:rsidRPr="00386E47" w:rsidRDefault="009F70EA" w:rsidP="009F70EA">
      <w:pPr>
        <w:ind w:left="720"/>
        <w:contextualSpacing/>
        <w:rPr>
          <w:rFonts w:asciiTheme="majorHAnsi" w:eastAsia="Calibri" w:hAnsiTheme="majorHAnsi"/>
          <w:sz w:val="20"/>
          <w:szCs w:val="20"/>
          <w:lang w:val="es-AR"/>
        </w:rPr>
      </w:pPr>
    </w:p>
    <w:p w14:paraId="03D96FC6" w14:textId="77777777" w:rsidR="009F70EA" w:rsidRPr="00386E47" w:rsidRDefault="009F70EA" w:rsidP="00E05F14">
      <w:pPr>
        <w:pStyle w:val="Heading3"/>
        <w:numPr>
          <w:ilvl w:val="1"/>
          <w:numId w:val="68"/>
        </w:numPr>
        <w:ind w:left="284" w:firstLine="0"/>
      </w:pPr>
      <w:bookmarkStart w:id="33" w:name="_Toc51252204"/>
      <w:r w:rsidRPr="00386E47">
        <w:t>Sobre la cuestión de las condiciones de preservación de los fondos documentales y la accesibilidad de la información desclasificada</w:t>
      </w:r>
      <w:bookmarkEnd w:id="33"/>
      <w:r w:rsidRPr="00386E47">
        <w:t xml:space="preserve"> </w:t>
      </w:r>
    </w:p>
    <w:p w14:paraId="47A1B853" w14:textId="77777777" w:rsidR="009F70EA" w:rsidRPr="00386E47" w:rsidRDefault="009F70EA" w:rsidP="009F70EA">
      <w:pPr>
        <w:ind w:left="720"/>
        <w:contextualSpacing/>
        <w:rPr>
          <w:rFonts w:asciiTheme="majorHAnsi" w:eastAsia="Calibri" w:hAnsiTheme="majorHAnsi"/>
          <w:sz w:val="20"/>
          <w:szCs w:val="20"/>
          <w:lang w:val="es-AR"/>
        </w:rPr>
      </w:pPr>
    </w:p>
    <w:p w14:paraId="2229273D"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A modo de aproximación al asunto, la Comisión resalta que no resulta adecuado asimilar las nociones de desclasificación y accesibilidad. E</w:t>
      </w:r>
      <w:r w:rsidR="00D97F4B" w:rsidRPr="00386E47">
        <w:rPr>
          <w:rFonts w:asciiTheme="majorHAnsi" w:eastAsia="Calibri" w:hAnsiTheme="majorHAnsi"/>
          <w:sz w:val="20"/>
          <w:szCs w:val="20"/>
          <w:lang w:val="es-AR"/>
        </w:rPr>
        <w:t xml:space="preserve">l concepto de desclasificación </w:t>
      </w:r>
      <w:r w:rsidRPr="00386E47">
        <w:rPr>
          <w:rFonts w:asciiTheme="majorHAnsi" w:eastAsia="Calibri" w:hAnsiTheme="majorHAnsi"/>
          <w:sz w:val="20"/>
          <w:szCs w:val="20"/>
          <w:lang w:val="es-AR"/>
        </w:rPr>
        <w:t xml:space="preserve">denota el acto administrativo cuyo objeto es retirar o levantar el carácter de secreto de un documento o de una serie de documentos.  La accesibilidad, por </w:t>
      </w:r>
      <w:r w:rsidR="00D97F4B" w:rsidRPr="00386E47">
        <w:rPr>
          <w:rFonts w:asciiTheme="majorHAnsi" w:eastAsia="Calibri" w:hAnsiTheme="majorHAnsi"/>
          <w:sz w:val="20"/>
          <w:szCs w:val="20"/>
          <w:lang w:val="es-AR"/>
        </w:rPr>
        <w:t>su parte</w:t>
      </w:r>
      <w:r w:rsidRPr="00386E47">
        <w:rPr>
          <w:rFonts w:asciiTheme="majorHAnsi" w:eastAsia="Calibri" w:hAnsiTheme="majorHAnsi"/>
          <w:sz w:val="20"/>
          <w:szCs w:val="20"/>
          <w:lang w:val="es-AR"/>
        </w:rPr>
        <w:t>, tiene que ver con las condiciones materiales que hacen posible que terceras personas puedan consultar de manera eficiente los documentos o fondos documentales que fue</w:t>
      </w:r>
      <w:r w:rsidR="00584B30" w:rsidRPr="00386E47">
        <w:rPr>
          <w:rFonts w:asciiTheme="majorHAnsi" w:eastAsia="Calibri" w:hAnsiTheme="majorHAnsi"/>
          <w:sz w:val="20"/>
          <w:szCs w:val="20"/>
          <w:lang w:val="es-AR"/>
        </w:rPr>
        <w:t>ron previamente desclasificados</w:t>
      </w:r>
      <w:r w:rsidR="00D97F4B" w:rsidRPr="00386E47">
        <w:rPr>
          <w:rStyle w:val="FootnoteReference"/>
          <w:rFonts w:asciiTheme="majorHAnsi" w:eastAsia="Calibri" w:hAnsiTheme="majorHAnsi"/>
          <w:sz w:val="20"/>
          <w:szCs w:val="20"/>
          <w:lang w:val="es-AR"/>
        </w:rPr>
        <w:footnoteReference w:id="296"/>
      </w:r>
      <w:r w:rsidR="00584B30" w:rsidRPr="00386E47">
        <w:rPr>
          <w:rFonts w:asciiTheme="majorHAnsi" w:eastAsia="Calibri" w:hAnsiTheme="majorHAnsi"/>
          <w:sz w:val="20"/>
          <w:szCs w:val="20"/>
          <w:lang w:val="es-AR"/>
        </w:rPr>
        <w:t>.</w:t>
      </w:r>
      <w:r w:rsidRPr="00386E47">
        <w:rPr>
          <w:rFonts w:asciiTheme="majorHAnsi" w:eastAsia="Calibri" w:hAnsiTheme="majorHAnsi"/>
          <w:sz w:val="20"/>
          <w:szCs w:val="20"/>
          <w:lang w:val="es-AR"/>
        </w:rPr>
        <w:t xml:space="preserve"> </w:t>
      </w:r>
    </w:p>
    <w:p w14:paraId="1FD315E5" w14:textId="77777777" w:rsidR="009F70EA" w:rsidRPr="00386E47" w:rsidRDefault="009F70EA" w:rsidP="00D73730">
      <w:pPr>
        <w:tabs>
          <w:tab w:val="left" w:pos="567"/>
        </w:tabs>
        <w:contextualSpacing/>
        <w:jc w:val="both"/>
        <w:rPr>
          <w:rFonts w:asciiTheme="majorHAnsi" w:eastAsia="Calibri" w:hAnsiTheme="majorHAnsi"/>
          <w:sz w:val="20"/>
          <w:szCs w:val="20"/>
          <w:lang w:val="es-AR"/>
        </w:rPr>
      </w:pPr>
    </w:p>
    <w:p w14:paraId="7FFBB7A5"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Con el fin de garantizar la accesibilidad de la documentación y, en general, el ejercicio del derecho de acceso a la información, la decisión de desclasificación debe venir acompañada de </w:t>
      </w:r>
      <w:r w:rsidR="00D73730" w:rsidRPr="00386E47">
        <w:rPr>
          <w:rFonts w:asciiTheme="majorHAnsi" w:eastAsia="Calibri" w:hAnsiTheme="majorHAnsi"/>
          <w:sz w:val="20"/>
          <w:szCs w:val="20"/>
          <w:lang w:val="es-AR"/>
        </w:rPr>
        <w:t xml:space="preserve">la </w:t>
      </w:r>
      <w:r w:rsidR="00574033" w:rsidRPr="00386E47">
        <w:rPr>
          <w:rFonts w:asciiTheme="majorHAnsi" w:eastAsia="Calibri" w:hAnsiTheme="majorHAnsi"/>
          <w:sz w:val="20"/>
          <w:szCs w:val="20"/>
          <w:lang w:val="es-AR"/>
        </w:rPr>
        <w:t>ejecución</w:t>
      </w:r>
      <w:r w:rsidR="00D73730" w:rsidRPr="00386E47">
        <w:rPr>
          <w:rFonts w:asciiTheme="majorHAnsi" w:eastAsia="Calibri" w:hAnsiTheme="majorHAnsi"/>
          <w:sz w:val="20"/>
          <w:szCs w:val="20"/>
          <w:lang w:val="es-AR"/>
        </w:rPr>
        <w:t xml:space="preserve"> de políticas</w:t>
      </w:r>
      <w:r w:rsidRPr="00386E47">
        <w:rPr>
          <w:rFonts w:asciiTheme="majorHAnsi" w:eastAsia="Calibri" w:hAnsiTheme="majorHAnsi"/>
          <w:sz w:val="20"/>
          <w:szCs w:val="20"/>
          <w:lang w:val="es-AR"/>
        </w:rPr>
        <w:t xml:space="preserve"> proactivas de clasificación, organización y sistematización de los archivos. Estas acciones son de especial importancia cuando se está en presencia de fondos documentales de considerable volumen como los relacionados con el caso AMIA</w:t>
      </w:r>
      <w:r w:rsidRPr="00386E47">
        <w:rPr>
          <w:rFonts w:asciiTheme="majorHAnsi" w:eastAsia="Calibri" w:hAnsiTheme="majorHAnsi"/>
          <w:sz w:val="20"/>
          <w:szCs w:val="20"/>
          <w:vertAlign w:val="superscript"/>
          <w:lang w:val="es-AR"/>
        </w:rPr>
        <w:footnoteReference w:id="297"/>
      </w:r>
      <w:r w:rsidRPr="00386E47">
        <w:rPr>
          <w:rFonts w:asciiTheme="majorHAnsi" w:eastAsia="Calibri" w:hAnsiTheme="majorHAnsi"/>
          <w:sz w:val="20"/>
          <w:szCs w:val="20"/>
          <w:lang w:val="es-AR"/>
        </w:rPr>
        <w:t xml:space="preserve">. </w:t>
      </w:r>
    </w:p>
    <w:p w14:paraId="76C143C0" w14:textId="77777777" w:rsidR="009F70EA" w:rsidRPr="00386E47" w:rsidRDefault="009F70EA" w:rsidP="00D73730">
      <w:pPr>
        <w:tabs>
          <w:tab w:val="left" w:pos="567"/>
        </w:tabs>
        <w:contextualSpacing/>
        <w:jc w:val="both"/>
        <w:rPr>
          <w:rFonts w:asciiTheme="majorHAnsi" w:eastAsia="Calibri" w:hAnsiTheme="majorHAnsi"/>
          <w:sz w:val="20"/>
          <w:szCs w:val="20"/>
          <w:lang w:val="es-AR"/>
        </w:rPr>
      </w:pPr>
    </w:p>
    <w:p w14:paraId="6F51250B"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En este sentido, la Comisión destaca que uno de los ítems de la agenda de trabajo propuesta por el Estado argentino a los peticionarios en el marco de la firma del Acta Acuerdo </w:t>
      </w:r>
      <w:r w:rsidR="0095421C" w:rsidRPr="00386E47">
        <w:rPr>
          <w:rFonts w:asciiTheme="majorHAnsi" w:eastAsia="Calibri" w:hAnsiTheme="majorHAnsi"/>
          <w:sz w:val="20"/>
          <w:szCs w:val="20"/>
          <w:lang w:val="es-AR"/>
        </w:rPr>
        <w:t>de fecha</w:t>
      </w:r>
      <w:r w:rsidRPr="00386E47">
        <w:rPr>
          <w:rFonts w:asciiTheme="majorHAnsi" w:eastAsia="Calibri" w:hAnsiTheme="majorHAnsi"/>
          <w:sz w:val="20"/>
          <w:szCs w:val="20"/>
          <w:lang w:val="es-AR"/>
        </w:rPr>
        <w:t xml:space="preserve"> 4 de marzo de 2005 contemplaba la “profundización del proceso de relevamiento de archivos del Caso AMIA en poder de la Secretaria de Inteligencia del Estado y fuerzas de seguridad”</w:t>
      </w:r>
      <w:r w:rsidRPr="00386E47">
        <w:rPr>
          <w:rFonts w:asciiTheme="majorHAnsi" w:eastAsia="Calibri" w:hAnsiTheme="majorHAnsi"/>
          <w:sz w:val="20"/>
          <w:szCs w:val="20"/>
          <w:vertAlign w:val="superscript"/>
          <w:lang w:val="es-AR"/>
        </w:rPr>
        <w:footnoteReference w:id="298"/>
      </w:r>
      <w:r w:rsidRPr="00386E47">
        <w:rPr>
          <w:rFonts w:asciiTheme="majorHAnsi" w:eastAsia="Calibri" w:hAnsiTheme="majorHAnsi"/>
          <w:sz w:val="20"/>
          <w:szCs w:val="20"/>
          <w:lang w:val="es-AR"/>
        </w:rPr>
        <w:t xml:space="preserve">. </w:t>
      </w:r>
    </w:p>
    <w:p w14:paraId="1707006C" w14:textId="77777777" w:rsidR="009F70EA" w:rsidRPr="00386E47" w:rsidRDefault="009F70EA" w:rsidP="00D73730">
      <w:pPr>
        <w:tabs>
          <w:tab w:val="left" w:pos="567"/>
        </w:tabs>
        <w:contextualSpacing/>
        <w:jc w:val="both"/>
        <w:rPr>
          <w:rFonts w:asciiTheme="majorHAnsi" w:eastAsia="Calibri" w:hAnsiTheme="majorHAnsi"/>
          <w:sz w:val="20"/>
          <w:szCs w:val="20"/>
          <w:lang w:val="es-AR"/>
        </w:rPr>
      </w:pPr>
    </w:p>
    <w:p w14:paraId="02A7F898"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La CIDH advierte que una parte importante de los archivos con información vinculada a la causa AMIA se encontraban - hasta la sanción en marzo de 2015 del Decreto 395/15 - bajo la custodia de la Secretaria de Inteligencia del Estado y sus organismos sucesores, la Secretaria de Inteligencia y la Agencia Federal de Inteligencia. La Comisión resalta que, durante el mes de marzo de 2015 y en ocasión del proceso de transferencia de la custodia de dichos archivos a la UFI AMIA, los fiscales inspeccionaron la sede de la Dirección de Terrorismo de la AFI donde hallaron en un sótano documentación de la causa AMIA junto con otra que no tenía relación</w:t>
      </w:r>
      <w:r w:rsidR="00880A60" w:rsidRPr="00386E47">
        <w:rPr>
          <w:rFonts w:asciiTheme="majorHAnsi" w:eastAsia="Calibri" w:hAnsiTheme="majorHAnsi"/>
          <w:sz w:val="20"/>
          <w:szCs w:val="20"/>
          <w:lang w:val="es-AR"/>
        </w:rPr>
        <w:t xml:space="preserve"> con ella</w:t>
      </w:r>
      <w:r w:rsidRPr="00386E47">
        <w:rPr>
          <w:rFonts w:asciiTheme="majorHAnsi" w:eastAsia="Calibri" w:hAnsiTheme="majorHAnsi"/>
          <w:sz w:val="20"/>
          <w:szCs w:val="20"/>
          <w:vertAlign w:val="superscript"/>
          <w:lang w:val="es-AR"/>
        </w:rPr>
        <w:footnoteReference w:id="299"/>
      </w:r>
      <w:r w:rsidRPr="00386E47">
        <w:rPr>
          <w:rFonts w:asciiTheme="majorHAnsi" w:eastAsia="Calibri" w:hAnsiTheme="majorHAnsi"/>
          <w:sz w:val="20"/>
          <w:szCs w:val="20"/>
          <w:lang w:val="es-AR"/>
        </w:rPr>
        <w:t xml:space="preserve">. </w:t>
      </w:r>
    </w:p>
    <w:p w14:paraId="00F88C08" w14:textId="77777777" w:rsidR="009F70EA" w:rsidRPr="00386E47" w:rsidRDefault="009F70EA" w:rsidP="003B7C1C">
      <w:pPr>
        <w:tabs>
          <w:tab w:val="left" w:pos="426"/>
          <w:tab w:val="left" w:pos="567"/>
        </w:tabs>
        <w:contextualSpacing/>
        <w:jc w:val="both"/>
        <w:rPr>
          <w:rFonts w:asciiTheme="majorHAnsi" w:eastAsia="Calibri" w:hAnsiTheme="majorHAnsi"/>
          <w:sz w:val="20"/>
          <w:szCs w:val="20"/>
          <w:lang w:val="es-AR"/>
        </w:rPr>
      </w:pPr>
    </w:p>
    <w:p w14:paraId="5A20B3D9"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La Comisión considera las diversas acciones adoptadas a partir de la creación en julio de 2015 del Grupo Especial de Relevamiento y Análisis Documental (GERAD) en el ámbito de la UFI AMIA constituyen un avance en pos de garantizar tanto el deber del Estado de preservar todo tipo de documentación que se encuentre relacionada con el atentado como el derecho de las partes a acceder a dicha información.  </w:t>
      </w:r>
    </w:p>
    <w:p w14:paraId="33A06B5C" w14:textId="77777777" w:rsidR="009F70EA" w:rsidRPr="00386E47" w:rsidRDefault="009F70EA" w:rsidP="003B7C1C">
      <w:pPr>
        <w:tabs>
          <w:tab w:val="left" w:pos="567"/>
        </w:tabs>
        <w:contextualSpacing/>
        <w:jc w:val="both"/>
        <w:rPr>
          <w:rFonts w:asciiTheme="majorHAnsi" w:eastAsia="Calibri" w:hAnsiTheme="majorHAnsi"/>
          <w:sz w:val="20"/>
          <w:szCs w:val="20"/>
          <w:lang w:val="es-AR"/>
        </w:rPr>
      </w:pPr>
    </w:p>
    <w:p w14:paraId="2C4385DC" w14:textId="77777777" w:rsidR="009F70EA"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 xml:space="preserve">Sin embargo, la Comisión se ve en la necesidad de rescatar que en el primer Informe de Gestión de la UFI AMIA publicado en julio de 2016, los fiscales describieron que, la documentación en poder de la AFI “en muchos </w:t>
      </w:r>
      <w:r w:rsidRPr="00386E47">
        <w:rPr>
          <w:rFonts w:asciiTheme="majorHAnsi" w:eastAsia="Calibri" w:hAnsiTheme="majorHAnsi"/>
          <w:sz w:val="20"/>
          <w:szCs w:val="20"/>
          <w:lang w:val="es-AR"/>
        </w:rPr>
        <w:lastRenderedPageBreak/>
        <w:t>casos […] se encontraba duplicada y mal compendiada, y en pésimo estado de conservación y cuidado. En algunos casos, con todo, se halló material hasta el momento desconocido”. Asimismo, aseguraron que los fondos documentales no se encontraban digitalizados y que en los depósitos de la AFI se verificaron “condiciones deficientes de espacio, higiene y condiciones de temperatura y humedad que perjudican la conservación de la documentación y contribuyen a su deterioro”</w:t>
      </w:r>
      <w:r w:rsidRPr="00386E47">
        <w:rPr>
          <w:rFonts w:asciiTheme="majorHAnsi" w:eastAsia="Calibri" w:hAnsiTheme="majorHAnsi"/>
          <w:sz w:val="20"/>
          <w:szCs w:val="20"/>
          <w:vertAlign w:val="superscript"/>
          <w:lang w:val="es-AR"/>
        </w:rPr>
        <w:footnoteReference w:id="300"/>
      </w:r>
      <w:r w:rsidRPr="00386E47">
        <w:rPr>
          <w:rFonts w:asciiTheme="majorHAnsi" w:eastAsia="Calibri" w:hAnsiTheme="majorHAnsi"/>
          <w:sz w:val="20"/>
          <w:szCs w:val="20"/>
          <w:lang w:val="es-AR"/>
        </w:rPr>
        <w:t xml:space="preserve">. </w:t>
      </w:r>
    </w:p>
    <w:p w14:paraId="35730FCE" w14:textId="77777777" w:rsidR="009F70EA" w:rsidRPr="00386E47" w:rsidRDefault="009F70EA" w:rsidP="003B7C1C">
      <w:pPr>
        <w:tabs>
          <w:tab w:val="left" w:pos="567"/>
        </w:tabs>
        <w:contextualSpacing/>
        <w:jc w:val="both"/>
        <w:rPr>
          <w:rFonts w:asciiTheme="majorHAnsi" w:eastAsia="Calibri" w:hAnsiTheme="majorHAnsi"/>
          <w:sz w:val="20"/>
          <w:szCs w:val="20"/>
          <w:lang w:val="es-AR"/>
        </w:rPr>
      </w:pPr>
    </w:p>
    <w:p w14:paraId="1A32253C" w14:textId="77777777" w:rsidR="00171D37" w:rsidRPr="00386E47" w:rsidRDefault="009F70EA" w:rsidP="003A5860">
      <w:pPr>
        <w:numPr>
          <w:ilvl w:val="0"/>
          <w:numId w:val="55"/>
        </w:numPr>
        <w:tabs>
          <w:tab w:val="left" w:pos="567"/>
        </w:tabs>
        <w:ind w:left="0" w:firstLine="0"/>
        <w:contextualSpacing/>
        <w:jc w:val="both"/>
        <w:rPr>
          <w:rFonts w:asciiTheme="majorHAnsi" w:eastAsia="Calibri" w:hAnsiTheme="majorHAnsi"/>
          <w:sz w:val="20"/>
          <w:szCs w:val="20"/>
          <w:lang w:val="es-AR"/>
        </w:rPr>
      </w:pPr>
      <w:r w:rsidRPr="00386E47">
        <w:rPr>
          <w:rFonts w:asciiTheme="majorHAnsi" w:eastAsia="Calibri" w:hAnsiTheme="majorHAnsi"/>
          <w:sz w:val="20"/>
          <w:szCs w:val="20"/>
          <w:lang w:val="es-AR"/>
        </w:rPr>
        <w:t>Asimismo, en su segundo informe de gestión de diciembre de 2016, la UFI AMIA alertó</w:t>
      </w:r>
      <w:r w:rsidRPr="00386E47">
        <w:rPr>
          <w:rFonts w:asciiTheme="majorHAnsi" w:eastAsia="Calibri" w:hAnsiTheme="majorHAnsi"/>
          <w:sz w:val="20"/>
          <w:szCs w:val="20"/>
          <w:lang w:val="es-US"/>
        </w:rPr>
        <w:t xml:space="preserve"> sobre “las dificultades resultantes del deficiente registro inicial de las pruebas, la desaparición de cintas y el mal estado de conservación de la evidencia” y también afirmó que “considerando la ausencia de inventarios y hojas de ruta u los problemas de resguardo detectados, nada de los registros hallados sugiere calidad y seriedad en la investigación desarrollada”</w:t>
      </w:r>
      <w:r w:rsidRPr="00386E47">
        <w:rPr>
          <w:rFonts w:asciiTheme="majorHAnsi" w:eastAsia="Calibri" w:hAnsiTheme="majorHAnsi"/>
          <w:sz w:val="20"/>
          <w:szCs w:val="20"/>
          <w:vertAlign w:val="superscript"/>
          <w:lang w:val="es-US"/>
        </w:rPr>
        <w:footnoteReference w:id="301"/>
      </w:r>
      <w:r w:rsidR="00171D37" w:rsidRPr="00386E47">
        <w:rPr>
          <w:rFonts w:asciiTheme="majorHAnsi" w:eastAsia="Calibri" w:hAnsiTheme="majorHAnsi"/>
          <w:sz w:val="20"/>
          <w:szCs w:val="20"/>
          <w:lang w:val="es-AR"/>
        </w:rPr>
        <w:t xml:space="preserve">. </w:t>
      </w:r>
    </w:p>
    <w:p w14:paraId="10CB28A5" w14:textId="77777777" w:rsidR="00171D37" w:rsidRPr="00386E47" w:rsidRDefault="00171D37" w:rsidP="002847DD">
      <w:pPr>
        <w:tabs>
          <w:tab w:val="left" w:pos="567"/>
        </w:tabs>
        <w:contextualSpacing/>
        <w:jc w:val="both"/>
        <w:rPr>
          <w:rFonts w:asciiTheme="majorHAnsi" w:eastAsia="Calibri" w:hAnsiTheme="majorHAnsi"/>
          <w:sz w:val="20"/>
          <w:szCs w:val="20"/>
          <w:lang w:val="es-AR"/>
        </w:rPr>
      </w:pPr>
    </w:p>
    <w:p w14:paraId="5CE2FE1B" w14:textId="77777777" w:rsidR="00171D37" w:rsidRPr="00386E47" w:rsidRDefault="009F70EA" w:rsidP="002409D9">
      <w:pPr>
        <w:numPr>
          <w:ilvl w:val="0"/>
          <w:numId w:val="55"/>
        </w:numPr>
        <w:tabs>
          <w:tab w:val="left" w:pos="567"/>
        </w:tabs>
        <w:ind w:left="0" w:firstLine="0"/>
        <w:contextualSpacing/>
        <w:jc w:val="both"/>
        <w:rPr>
          <w:rFonts w:asciiTheme="majorHAnsi" w:hAnsiTheme="majorHAnsi"/>
          <w:sz w:val="20"/>
          <w:szCs w:val="20"/>
          <w:lang w:val="es-US"/>
        </w:rPr>
      </w:pPr>
      <w:r w:rsidRPr="00386E47">
        <w:rPr>
          <w:rFonts w:asciiTheme="majorHAnsi" w:eastAsia="Calibri" w:hAnsiTheme="majorHAnsi"/>
          <w:sz w:val="20"/>
          <w:szCs w:val="20"/>
          <w:lang w:val="es-AR"/>
        </w:rPr>
        <w:t>En vista de señalado precedentemente, la Comisión subraya que una deficiente o nula preservación de los fondos documentales vinculados con un caso de graves violaciones a los derechos humanos durante extensos periodos de tiempo compromete seriamente la responsabilidad internacional del Estado. Ello es así toda vez que impide que las víctimas y sus familiares puedan acceder de manera eficiente a la información en poder del Estado, como así también analizar y valorar la documentación, proponer nuevas medidas de prueba y, en general, evaluar y controlar la actuación  de las autoridades encargadas de dirigir la investigación</w:t>
      </w:r>
      <w:r w:rsidRPr="00386E47">
        <w:rPr>
          <w:rFonts w:asciiTheme="majorHAnsi" w:hAnsiTheme="majorHAnsi"/>
          <w:sz w:val="20"/>
          <w:szCs w:val="20"/>
          <w:vertAlign w:val="superscript"/>
        </w:rPr>
        <w:footnoteReference w:id="302"/>
      </w:r>
      <w:r w:rsidRPr="00386E47">
        <w:rPr>
          <w:rFonts w:asciiTheme="majorHAnsi" w:eastAsia="Calibri" w:hAnsiTheme="majorHAnsi"/>
          <w:sz w:val="20"/>
          <w:szCs w:val="20"/>
          <w:lang w:val="es-AR"/>
        </w:rPr>
        <w:t xml:space="preserve">. </w:t>
      </w:r>
      <w:r w:rsidRPr="00386E47">
        <w:rPr>
          <w:rFonts w:asciiTheme="majorHAnsi" w:hAnsiTheme="majorHAnsi"/>
          <w:sz w:val="20"/>
          <w:szCs w:val="20"/>
          <w:lang w:val="es-AR"/>
        </w:rPr>
        <w:t xml:space="preserve">Por consiguiente, la Comisión concluye que el Estado argentino no ha cumplido hasta la fecha con su obligación de </w:t>
      </w:r>
      <w:r w:rsidR="00880A60" w:rsidRPr="00386E47">
        <w:rPr>
          <w:rFonts w:asciiTheme="majorHAnsi" w:hAnsiTheme="majorHAnsi"/>
          <w:sz w:val="20"/>
          <w:szCs w:val="20"/>
          <w:lang w:val="es-AR"/>
        </w:rPr>
        <w:t xml:space="preserve">garantizar </w:t>
      </w:r>
      <w:r w:rsidRPr="00386E47">
        <w:rPr>
          <w:rFonts w:asciiTheme="majorHAnsi" w:hAnsiTheme="majorHAnsi"/>
          <w:sz w:val="20"/>
          <w:szCs w:val="20"/>
          <w:lang w:val="es-AR"/>
        </w:rPr>
        <w:t xml:space="preserve">a los peticionarios el acceso a los archivos estatales donde se encuentra almacenada información relacionada con el atentado a la AMIA. </w:t>
      </w:r>
    </w:p>
    <w:p w14:paraId="0B3B4C8B" w14:textId="77777777" w:rsidR="00171D37" w:rsidRPr="00386E47" w:rsidRDefault="00171D37" w:rsidP="002409D9">
      <w:pPr>
        <w:tabs>
          <w:tab w:val="left" w:pos="567"/>
        </w:tabs>
        <w:contextualSpacing/>
        <w:jc w:val="both"/>
        <w:rPr>
          <w:rFonts w:asciiTheme="majorHAnsi" w:eastAsia="Calibri" w:hAnsiTheme="majorHAnsi"/>
          <w:sz w:val="20"/>
          <w:szCs w:val="20"/>
          <w:lang w:val="es-AR"/>
        </w:rPr>
      </w:pPr>
    </w:p>
    <w:p w14:paraId="7CF43833" w14:textId="77777777" w:rsidR="00D74092" w:rsidRPr="00386E47" w:rsidRDefault="009F70EA" w:rsidP="002409D9">
      <w:pPr>
        <w:pStyle w:val="ListParagraph"/>
        <w:numPr>
          <w:ilvl w:val="0"/>
          <w:numId w:val="55"/>
        </w:numPr>
        <w:ind w:left="0" w:firstLine="0"/>
        <w:jc w:val="both"/>
        <w:rPr>
          <w:lang w:val="es-US"/>
        </w:rPr>
      </w:pPr>
      <w:r w:rsidRPr="00386E47">
        <w:rPr>
          <w:rFonts w:asciiTheme="majorHAnsi" w:eastAsia="Calibri" w:hAnsiTheme="majorHAnsi"/>
          <w:sz w:val="20"/>
          <w:szCs w:val="20"/>
          <w:lang w:val="es-AR"/>
        </w:rPr>
        <w:t xml:space="preserve">En función de lo expuesto a lo largo de este apartado, la Comisión considera que el Estado argentino vulneró en perjuicio de los peticionarios el derecho de acceso a la información consagrado en el artículo 13 de la Convención Americana, en relación con los artículos 1.1 y 2 del mismo instrumento. </w:t>
      </w:r>
    </w:p>
    <w:p w14:paraId="401CF636" w14:textId="77777777" w:rsidR="009F70EA" w:rsidRPr="00386E47" w:rsidRDefault="009F70EA" w:rsidP="002847DD">
      <w:pPr>
        <w:tabs>
          <w:tab w:val="left" w:pos="567"/>
        </w:tabs>
        <w:contextualSpacing/>
        <w:jc w:val="both"/>
        <w:rPr>
          <w:rFonts w:asciiTheme="majorHAnsi" w:eastAsia="Calibri" w:hAnsiTheme="majorHAnsi"/>
          <w:sz w:val="20"/>
          <w:szCs w:val="20"/>
          <w:lang w:val="es-US"/>
        </w:rPr>
      </w:pPr>
    </w:p>
    <w:p w14:paraId="321E4EDC" w14:textId="77777777" w:rsidR="009F70EA" w:rsidRPr="00386E47" w:rsidRDefault="009F70EA" w:rsidP="009146F2">
      <w:pPr>
        <w:pStyle w:val="Heading2"/>
        <w:numPr>
          <w:ilvl w:val="0"/>
          <w:numId w:val="68"/>
        </w:numPr>
        <w:rPr>
          <w:rFonts w:asciiTheme="majorHAnsi" w:hAnsiTheme="majorHAnsi"/>
        </w:rPr>
      </w:pPr>
      <w:bookmarkStart w:id="34" w:name="_Toc25252216"/>
      <w:bookmarkStart w:id="35" w:name="_Toc535172806"/>
      <w:bookmarkStart w:id="36" w:name="_Toc5788722"/>
      <w:bookmarkStart w:id="37" w:name="_Toc51252205"/>
      <w:r w:rsidRPr="00386E47">
        <w:rPr>
          <w:rFonts w:asciiTheme="majorHAnsi" w:hAnsiTheme="majorHAnsi"/>
        </w:rPr>
        <w:t>Derecho a la integridad personal en cuanto a los familiares</w:t>
      </w:r>
      <w:bookmarkEnd w:id="34"/>
      <w:r w:rsidRPr="00386E47">
        <w:rPr>
          <w:rFonts w:asciiTheme="majorHAnsi" w:hAnsiTheme="majorHAnsi"/>
        </w:rPr>
        <w:t xml:space="preserve"> </w:t>
      </w:r>
      <w:bookmarkEnd w:id="35"/>
      <w:bookmarkEnd w:id="36"/>
      <w:r w:rsidR="00434A46" w:rsidRPr="00386E47">
        <w:rPr>
          <w:rFonts w:asciiTheme="majorHAnsi" w:hAnsiTheme="majorHAnsi"/>
        </w:rPr>
        <w:t xml:space="preserve">y determinación de victimas </w:t>
      </w:r>
      <w:r w:rsidRPr="00386E47">
        <w:rPr>
          <w:rFonts w:asciiTheme="majorHAnsi" w:hAnsiTheme="majorHAnsi"/>
        </w:rPr>
        <w:t>(Artículo 5 de la Convención Americana).</w:t>
      </w:r>
      <w:bookmarkEnd w:id="37"/>
      <w:r w:rsidRPr="00386E47">
        <w:rPr>
          <w:rFonts w:asciiTheme="majorHAnsi" w:hAnsiTheme="majorHAnsi"/>
        </w:rPr>
        <w:t xml:space="preserve"> </w:t>
      </w:r>
    </w:p>
    <w:p w14:paraId="4FC40E36" w14:textId="77777777" w:rsidR="00A444F8" w:rsidRPr="00386E47" w:rsidRDefault="00A444F8" w:rsidP="00A444F8">
      <w:pPr>
        <w:rPr>
          <w:rFonts w:asciiTheme="majorHAnsi" w:hAnsiTheme="majorHAnsi"/>
          <w:lang w:val="es-US"/>
        </w:rPr>
      </w:pPr>
      <w:bookmarkStart w:id="38" w:name="_Toc535172810"/>
      <w:bookmarkStart w:id="39" w:name="_Toc5788726"/>
      <w:bookmarkStart w:id="40" w:name="_Toc25252217"/>
    </w:p>
    <w:p w14:paraId="2F62019D" w14:textId="77777777" w:rsidR="00171D37" w:rsidRPr="00386E47" w:rsidRDefault="00A444F8" w:rsidP="003A5860">
      <w:pPr>
        <w:pStyle w:val="ListParagraph"/>
        <w:numPr>
          <w:ilvl w:val="0"/>
          <w:numId w:val="55"/>
        </w:numPr>
        <w:tabs>
          <w:tab w:val="left" w:pos="567"/>
        </w:tabs>
        <w:ind w:left="0" w:firstLine="0"/>
        <w:jc w:val="both"/>
        <w:rPr>
          <w:lang w:val="es-ES"/>
        </w:rPr>
      </w:pPr>
      <w:r w:rsidRPr="00386E47">
        <w:rPr>
          <w:rFonts w:asciiTheme="majorHAnsi" w:eastAsia="Calibri" w:hAnsiTheme="majorHAnsi"/>
          <w:sz w:val="20"/>
          <w:szCs w:val="20"/>
          <w:lang w:val="es-US"/>
        </w:rPr>
        <w:t xml:space="preserve">El derecho a la integridad personal, consagrado en el artículo 5(1) de la Convención Americana, establece que “toda persona tiene derecho a que se respete su integridad física, psíquica y moral”. </w:t>
      </w:r>
      <w:r w:rsidR="00D93236" w:rsidRPr="00386E47">
        <w:rPr>
          <w:lang w:val="es-ES"/>
        </w:rPr>
        <w:t xml:space="preserve"> </w:t>
      </w:r>
      <w:r w:rsidRPr="00386E47">
        <w:rPr>
          <w:rFonts w:asciiTheme="majorHAnsi" w:eastAsia="Calibri" w:hAnsiTheme="majorHAnsi"/>
          <w:sz w:val="20"/>
          <w:szCs w:val="20"/>
          <w:lang w:val="es-US"/>
        </w:rPr>
        <w:t>Los órganos del sistema interamericano han indicado en reiteradas oportunidades que los familiares de las víctimas de ciertas graves violaciones de derechos humanos, pueden, a su vez, resultar víctimas de violaciones de su integridad personal</w:t>
      </w:r>
      <w:r w:rsidRPr="00386E47">
        <w:rPr>
          <w:sz w:val="20"/>
          <w:szCs w:val="20"/>
          <w:vertAlign w:val="superscript"/>
          <w:lang w:val="es-ES"/>
        </w:rPr>
        <w:footnoteReference w:id="303"/>
      </w:r>
      <w:r w:rsidRPr="00386E47">
        <w:rPr>
          <w:rFonts w:asciiTheme="majorHAnsi" w:eastAsia="Calibri" w:hAnsiTheme="majorHAnsi"/>
          <w:sz w:val="20"/>
          <w:szCs w:val="20"/>
          <w:lang w:val="es-US"/>
        </w:rPr>
        <w:t>. En est</w:t>
      </w:r>
      <w:r w:rsidR="0056350A" w:rsidRPr="00386E47">
        <w:rPr>
          <w:rFonts w:asciiTheme="majorHAnsi" w:eastAsia="Calibri" w:hAnsiTheme="majorHAnsi"/>
          <w:sz w:val="20"/>
          <w:szCs w:val="20"/>
          <w:lang w:val="es-US"/>
        </w:rPr>
        <w:t>e</w:t>
      </w:r>
      <w:r w:rsidRPr="00386E47">
        <w:rPr>
          <w:rFonts w:asciiTheme="majorHAnsi" w:eastAsia="Calibri" w:hAnsiTheme="majorHAnsi"/>
          <w:sz w:val="20"/>
          <w:szCs w:val="20"/>
          <w:lang w:val="es-US"/>
        </w:rPr>
        <w:t xml:space="preserve"> sentido, la Corte ha determinado en múltiples oportunidades que se debe considerar “violado el derecho a la integridad psíquica y moral de los familiares de las víctimas con motivo del sufrimiento y angustia adicionales que éstos han padecido a causa de las actuaciones u omisiones posteriores de las autoridades estatales con respecto a esos hechos y debido a la ausencia de recursos efectivos”</w:t>
      </w:r>
      <w:r w:rsidRPr="00386E47">
        <w:rPr>
          <w:sz w:val="20"/>
          <w:szCs w:val="20"/>
          <w:vertAlign w:val="superscript"/>
          <w:lang w:val="es-ES"/>
        </w:rPr>
        <w:footnoteReference w:id="304"/>
      </w:r>
      <w:r w:rsidRPr="00386E47">
        <w:rPr>
          <w:rFonts w:asciiTheme="majorHAnsi" w:eastAsia="Calibri" w:hAnsiTheme="majorHAnsi"/>
          <w:sz w:val="20"/>
          <w:szCs w:val="20"/>
          <w:lang w:val="es-US"/>
        </w:rPr>
        <w:t>. En efecto,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w:t>
      </w:r>
      <w:r w:rsidRPr="00386E47">
        <w:rPr>
          <w:sz w:val="20"/>
          <w:szCs w:val="20"/>
          <w:vertAlign w:val="superscript"/>
        </w:rPr>
        <w:footnoteReference w:id="305"/>
      </w:r>
      <w:r w:rsidRPr="00386E47">
        <w:rPr>
          <w:rFonts w:asciiTheme="majorHAnsi" w:eastAsia="Calibri" w:hAnsiTheme="majorHAnsi"/>
          <w:sz w:val="20"/>
          <w:szCs w:val="20"/>
          <w:lang w:val="es-US"/>
        </w:rPr>
        <w:t xml:space="preserve">. </w:t>
      </w:r>
    </w:p>
    <w:p w14:paraId="5DE4AF43" w14:textId="77777777" w:rsidR="00171D37" w:rsidRPr="00386E47" w:rsidRDefault="00171D37" w:rsidP="002847DD">
      <w:pPr>
        <w:rPr>
          <w:rFonts w:asciiTheme="majorHAnsi" w:eastAsia="Calibri" w:hAnsiTheme="majorHAnsi"/>
          <w:sz w:val="20"/>
          <w:szCs w:val="20"/>
          <w:lang w:val="es-US"/>
        </w:rPr>
      </w:pPr>
    </w:p>
    <w:p w14:paraId="29248544" w14:textId="77777777" w:rsidR="00A444F8" w:rsidRPr="00386E47" w:rsidRDefault="00D93236" w:rsidP="003A5860">
      <w:pPr>
        <w:pStyle w:val="ListParagraph"/>
        <w:numPr>
          <w:ilvl w:val="0"/>
          <w:numId w:val="55"/>
        </w:numPr>
        <w:ind w:left="0" w:firstLine="0"/>
        <w:jc w:val="both"/>
        <w:rPr>
          <w:sz w:val="20"/>
          <w:szCs w:val="20"/>
          <w:lang w:val="es-US"/>
        </w:rPr>
      </w:pPr>
      <w:r w:rsidRPr="00386E47">
        <w:rPr>
          <w:sz w:val="20"/>
          <w:szCs w:val="20"/>
          <w:lang w:val="es-US"/>
        </w:rPr>
        <w:t>Por su parte</w:t>
      </w:r>
      <w:r w:rsidR="00A444F8" w:rsidRPr="00386E47">
        <w:rPr>
          <w:sz w:val="20"/>
          <w:szCs w:val="20"/>
          <w:lang w:val="es-US"/>
        </w:rPr>
        <w:t>, la Comisión observa que en el Informe de 2012 de</w:t>
      </w:r>
      <w:r w:rsidR="00A444F8" w:rsidRPr="00386E47">
        <w:rPr>
          <w:sz w:val="20"/>
          <w:szCs w:val="20"/>
          <w:lang w:val="es-ES"/>
        </w:rPr>
        <w:t xml:space="preserve">l Relator Especial de Naciones Unidas sobre la promoción y la protección de los derechos humanos y las libertades fundamentales en la lucha contra el terrorismo se destaca la importancia de reconocer y reparar integralmente a las </w:t>
      </w:r>
      <w:r w:rsidR="0056350A" w:rsidRPr="00386E47">
        <w:rPr>
          <w:sz w:val="20"/>
          <w:szCs w:val="20"/>
          <w:lang w:val="es-ES"/>
        </w:rPr>
        <w:t>víctimas de</w:t>
      </w:r>
      <w:r w:rsidR="00A444F8" w:rsidRPr="00386E47">
        <w:rPr>
          <w:sz w:val="20"/>
          <w:szCs w:val="20"/>
          <w:lang w:val="es-ES"/>
        </w:rPr>
        <w:t xml:space="preserve"> terrorismo. También </w:t>
      </w:r>
      <w:r w:rsidR="00A444F8" w:rsidRPr="00386E47">
        <w:rPr>
          <w:sz w:val="20"/>
          <w:szCs w:val="20"/>
          <w:lang w:val="es-ES"/>
        </w:rPr>
        <w:lastRenderedPageBreak/>
        <w:t>reconoce que aquellas tienen derecho a constituir organizaciones representativas y que “[l]</w:t>
      </w:r>
      <w:r w:rsidR="00A444F8" w:rsidRPr="00386E47">
        <w:rPr>
          <w:sz w:val="20"/>
          <w:szCs w:val="20"/>
          <w:lang w:val="es-US"/>
        </w:rPr>
        <w:t>os Estados deben también asegurar los derechos de las organizaciones que representen a víctimas del terrorismo de no ser objeto de injerencia ilícita por parte de entidades no estatales”</w:t>
      </w:r>
      <w:r w:rsidR="00A444F8" w:rsidRPr="00386E47">
        <w:rPr>
          <w:rStyle w:val="FootnoteReference"/>
          <w:rFonts w:asciiTheme="majorHAnsi" w:hAnsiTheme="majorHAnsi"/>
          <w:sz w:val="20"/>
          <w:szCs w:val="20"/>
        </w:rPr>
        <w:footnoteReference w:id="306"/>
      </w:r>
      <w:r w:rsidR="00A444F8" w:rsidRPr="00386E47">
        <w:rPr>
          <w:sz w:val="20"/>
          <w:szCs w:val="20"/>
          <w:lang w:val="es-US"/>
        </w:rPr>
        <w:t xml:space="preserve">. Además, indica, que una reparación plena y efectiva debe incluir, en forma apropiada, la restitución, la indemnización, la rehabilitación, la satisfacción y las garantías de no repetición. </w:t>
      </w:r>
    </w:p>
    <w:p w14:paraId="79195911" w14:textId="77777777" w:rsidR="00A444F8" w:rsidRPr="00386E47" w:rsidRDefault="00A444F8" w:rsidP="00A444F8">
      <w:pPr>
        <w:tabs>
          <w:tab w:val="left" w:pos="567"/>
        </w:tabs>
        <w:jc w:val="both"/>
        <w:rPr>
          <w:rFonts w:asciiTheme="majorHAnsi" w:eastAsia="Calibri" w:hAnsiTheme="majorHAnsi"/>
          <w:sz w:val="20"/>
          <w:szCs w:val="20"/>
          <w:lang w:val="es-US"/>
        </w:rPr>
      </w:pPr>
    </w:p>
    <w:p w14:paraId="5C7AD96F" w14:textId="77777777" w:rsidR="00A444F8" w:rsidRPr="00386E47" w:rsidRDefault="00A444F8" w:rsidP="003A5860">
      <w:pPr>
        <w:pStyle w:val="ListParagraph"/>
        <w:numPr>
          <w:ilvl w:val="0"/>
          <w:numId w:val="55"/>
        </w:numPr>
        <w:ind w:left="0" w:firstLine="0"/>
        <w:jc w:val="both"/>
        <w:rPr>
          <w:rFonts w:asciiTheme="majorHAnsi" w:eastAsia="Calibri" w:hAnsiTheme="majorHAnsi"/>
          <w:sz w:val="20"/>
          <w:szCs w:val="20"/>
          <w:lang w:val="es-US"/>
        </w:rPr>
      </w:pPr>
      <w:r w:rsidRPr="00386E47">
        <w:rPr>
          <w:rFonts w:asciiTheme="majorHAnsi" w:eastAsia="Calibri" w:hAnsiTheme="majorHAnsi" w:cs="Arial"/>
          <w:sz w:val="20"/>
          <w:szCs w:val="20"/>
          <w:lang w:val="es-ES"/>
        </w:rPr>
        <w:t xml:space="preserve">La Comisión </w:t>
      </w:r>
      <w:r w:rsidR="00BD144A" w:rsidRPr="00386E47">
        <w:rPr>
          <w:rFonts w:asciiTheme="majorHAnsi" w:eastAsia="Calibri" w:hAnsiTheme="majorHAnsi" w:cs="Verdana"/>
          <w:sz w:val="20"/>
          <w:szCs w:val="20"/>
          <w:lang w:val="es-US" w:eastAsia="pt-BR"/>
        </w:rPr>
        <w:t xml:space="preserve">encuentra </w:t>
      </w:r>
      <w:r w:rsidR="00D93236" w:rsidRPr="00386E47">
        <w:rPr>
          <w:rFonts w:asciiTheme="majorHAnsi" w:eastAsia="Calibri" w:hAnsiTheme="majorHAnsi" w:cs="Verdana"/>
          <w:sz w:val="20"/>
          <w:szCs w:val="20"/>
          <w:lang w:val="es-US" w:eastAsia="pt-BR"/>
        </w:rPr>
        <w:t>que,</w:t>
      </w:r>
      <w:r w:rsidR="00BD144A" w:rsidRPr="00386E47">
        <w:rPr>
          <w:rFonts w:asciiTheme="majorHAnsi" w:eastAsia="Calibri" w:hAnsiTheme="majorHAnsi" w:cs="Verdana"/>
          <w:sz w:val="20"/>
          <w:szCs w:val="20"/>
          <w:lang w:val="es-US" w:eastAsia="pt-BR"/>
        </w:rPr>
        <w:t xml:space="preserve"> como consecuencia del atentado al edificio de la AMIA, </w:t>
      </w:r>
      <w:r w:rsidRPr="00386E47">
        <w:rPr>
          <w:rFonts w:asciiTheme="majorHAnsi" w:eastAsia="Calibri" w:hAnsiTheme="majorHAnsi" w:cs="Verdana"/>
          <w:sz w:val="20"/>
          <w:szCs w:val="20"/>
          <w:lang w:val="es-US" w:eastAsia="pt-BR"/>
        </w:rPr>
        <w:t xml:space="preserve">85 personas perdieron la vida y 151 resultaron heridas como consecuencia del atentado. </w:t>
      </w:r>
      <w:r w:rsidR="00BD144A" w:rsidRPr="00386E47">
        <w:rPr>
          <w:rFonts w:asciiTheme="majorHAnsi" w:eastAsia="Calibri" w:hAnsiTheme="majorHAnsi" w:cs="Verdana"/>
          <w:sz w:val="20"/>
          <w:szCs w:val="20"/>
          <w:lang w:val="es-US" w:eastAsia="pt-BR"/>
        </w:rPr>
        <w:t xml:space="preserve">La sentencia del TOF 3 contiene un listado de 84 personas fallecidas. La Comisión destaca que, </w:t>
      </w:r>
      <w:r w:rsidR="00BD144A" w:rsidRPr="00386E47">
        <w:rPr>
          <w:rFonts w:asciiTheme="majorHAnsi" w:eastAsia="Calibri" w:hAnsiTheme="majorHAnsi"/>
          <w:sz w:val="20"/>
          <w:szCs w:val="20"/>
          <w:lang w:val="es-US"/>
        </w:rPr>
        <w:t>en su escrito de 30 de diciembre de 2016, los peticionarios manifestaron que una de las víctimas que inicialmente fue presentada como NN, fue identificada recientemente por parte de las autoridades judiciales y hace parte del grupo de</w:t>
      </w:r>
      <w:r w:rsidR="00DE6775" w:rsidRPr="00386E47">
        <w:rPr>
          <w:rFonts w:asciiTheme="majorHAnsi" w:eastAsia="Calibri" w:hAnsiTheme="majorHAnsi"/>
          <w:sz w:val="20"/>
          <w:szCs w:val="20"/>
          <w:lang w:val="es-US"/>
        </w:rPr>
        <w:t xml:space="preserve"> personas que fueron asesinadas. En consecuencia, </w:t>
      </w:r>
      <w:r w:rsidR="00BD144A" w:rsidRPr="00386E47">
        <w:rPr>
          <w:rFonts w:asciiTheme="majorHAnsi" w:eastAsia="Calibri" w:hAnsiTheme="majorHAnsi"/>
          <w:sz w:val="20"/>
          <w:szCs w:val="20"/>
          <w:lang w:val="es-US"/>
        </w:rPr>
        <w:t>el listado total</w:t>
      </w:r>
      <w:r w:rsidR="00434A46" w:rsidRPr="00386E47">
        <w:rPr>
          <w:rFonts w:asciiTheme="majorHAnsi" w:eastAsia="Calibri" w:hAnsiTheme="majorHAnsi"/>
          <w:sz w:val="20"/>
          <w:szCs w:val="20"/>
          <w:lang w:val="es-US"/>
        </w:rPr>
        <w:t xml:space="preserve"> con el que cuenta la </w:t>
      </w:r>
      <w:r w:rsidR="00071CFE" w:rsidRPr="00386E47">
        <w:rPr>
          <w:rFonts w:asciiTheme="majorHAnsi" w:eastAsia="Calibri" w:hAnsiTheme="majorHAnsi"/>
          <w:sz w:val="20"/>
          <w:szCs w:val="20"/>
          <w:lang w:val="es-US"/>
        </w:rPr>
        <w:t>Comisión</w:t>
      </w:r>
      <w:r w:rsidR="00434A46" w:rsidRPr="00386E47">
        <w:rPr>
          <w:rFonts w:asciiTheme="majorHAnsi" w:eastAsia="Calibri" w:hAnsiTheme="majorHAnsi"/>
          <w:sz w:val="20"/>
          <w:szCs w:val="20"/>
          <w:lang w:val="es-US"/>
        </w:rPr>
        <w:t xml:space="preserve"> incluye</w:t>
      </w:r>
      <w:r w:rsidR="00BD144A" w:rsidRPr="00386E47">
        <w:rPr>
          <w:rFonts w:asciiTheme="majorHAnsi" w:eastAsia="Calibri" w:hAnsiTheme="majorHAnsi"/>
          <w:sz w:val="20"/>
          <w:szCs w:val="20"/>
          <w:lang w:val="es-US"/>
        </w:rPr>
        <w:t xml:space="preserve"> es de 85 personas</w:t>
      </w:r>
      <w:r w:rsidR="00434A46" w:rsidRPr="00386E47">
        <w:rPr>
          <w:rFonts w:asciiTheme="majorHAnsi" w:eastAsia="Calibri" w:hAnsiTheme="majorHAnsi"/>
          <w:sz w:val="20"/>
          <w:szCs w:val="20"/>
          <w:lang w:val="es-US"/>
        </w:rPr>
        <w:t xml:space="preserve"> fallecidas y 151 heridas </w:t>
      </w:r>
      <w:r w:rsidRPr="00386E47">
        <w:rPr>
          <w:rFonts w:asciiTheme="majorHAnsi" w:eastAsia="Calibri" w:hAnsiTheme="majorHAnsi"/>
          <w:sz w:val="20"/>
          <w:szCs w:val="20"/>
          <w:vertAlign w:val="superscript"/>
          <w:lang w:val="es-US"/>
        </w:rPr>
        <w:footnoteReference w:id="307"/>
      </w:r>
      <w:r w:rsidRPr="00386E47">
        <w:rPr>
          <w:rFonts w:asciiTheme="majorHAnsi" w:eastAsia="Calibri" w:hAnsiTheme="majorHAnsi"/>
          <w:sz w:val="20"/>
          <w:szCs w:val="20"/>
          <w:lang w:val="es-US"/>
        </w:rPr>
        <w:t>.</w:t>
      </w:r>
    </w:p>
    <w:p w14:paraId="6FF465B1" w14:textId="77777777" w:rsidR="00A444F8" w:rsidRPr="00386E47" w:rsidRDefault="00A444F8" w:rsidP="00A444F8">
      <w:pPr>
        <w:tabs>
          <w:tab w:val="left" w:pos="567"/>
        </w:tabs>
        <w:contextualSpacing/>
        <w:rPr>
          <w:rFonts w:asciiTheme="majorHAnsi" w:eastAsia="Calibri" w:hAnsiTheme="majorHAnsi"/>
          <w:sz w:val="20"/>
          <w:szCs w:val="20"/>
          <w:lang w:val="es-US"/>
        </w:rPr>
      </w:pPr>
    </w:p>
    <w:p w14:paraId="0DEE267F" w14:textId="77777777" w:rsidR="00A444F8" w:rsidRPr="00386E47" w:rsidRDefault="00A444F8" w:rsidP="008A03A7">
      <w:pPr>
        <w:pStyle w:val="ListParagraph"/>
        <w:numPr>
          <w:ilvl w:val="0"/>
          <w:numId w:val="55"/>
        </w:numPr>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 xml:space="preserve">En cuanto a la determinación de los familiares de las víctimas del atentado, la Comisión encuentra que </w:t>
      </w:r>
      <w:r w:rsidR="00DE6775" w:rsidRPr="00386E47">
        <w:rPr>
          <w:rFonts w:asciiTheme="majorHAnsi" w:eastAsia="Calibri" w:hAnsiTheme="majorHAnsi"/>
          <w:sz w:val="20"/>
          <w:szCs w:val="20"/>
          <w:lang w:val="es-US"/>
        </w:rPr>
        <w:t xml:space="preserve">los miembros de la Asociacion Civil Memoria Activa </w:t>
      </w:r>
      <w:r w:rsidRPr="00386E47">
        <w:rPr>
          <w:rFonts w:asciiTheme="majorHAnsi" w:eastAsia="Calibri" w:hAnsiTheme="majorHAnsi"/>
          <w:sz w:val="20"/>
          <w:szCs w:val="20"/>
          <w:lang w:val="es-US"/>
        </w:rPr>
        <w:t>que se indican a continuación son familiares de personas que perdieron la vida o res</w:t>
      </w:r>
      <w:r w:rsidR="00DE6775" w:rsidRPr="00386E47">
        <w:rPr>
          <w:rFonts w:asciiTheme="majorHAnsi" w:eastAsia="Calibri" w:hAnsiTheme="majorHAnsi"/>
          <w:sz w:val="20"/>
          <w:szCs w:val="20"/>
          <w:lang w:val="es-US"/>
        </w:rPr>
        <w:t>ultaron heridas en el atentado; a</w:t>
      </w:r>
      <w:r w:rsidRPr="00386E47">
        <w:rPr>
          <w:rFonts w:asciiTheme="majorHAnsi" w:eastAsia="Calibri" w:hAnsiTheme="majorHAnsi"/>
          <w:sz w:val="20"/>
          <w:szCs w:val="20"/>
          <w:lang w:val="es-US"/>
        </w:rPr>
        <w:t xml:space="preserve"> saber: Adriana Reisfeld, hermana de Noemí Reisfeld fallecida en el atentado; Diana Wassner, quien perdió a su marido Andrés Malamud</w:t>
      </w:r>
      <w:r w:rsidR="008A03A7" w:rsidRPr="00386E47">
        <w:rPr>
          <w:rFonts w:asciiTheme="majorHAnsi" w:eastAsia="Calibri" w:hAnsiTheme="majorHAnsi"/>
          <w:sz w:val="20"/>
          <w:szCs w:val="20"/>
          <w:lang w:val="es-US"/>
        </w:rPr>
        <w:t>;</w:t>
      </w:r>
      <w:r w:rsidRPr="00386E47">
        <w:rPr>
          <w:rFonts w:asciiTheme="majorHAnsi" w:eastAsia="Calibri" w:hAnsiTheme="majorHAnsi"/>
          <w:sz w:val="20"/>
          <w:szCs w:val="20"/>
          <w:lang w:val="es-US"/>
        </w:rPr>
        <w:t xml:space="preserve"> y Jorge Lew</w:t>
      </w:r>
      <w:r w:rsidRPr="00386E47">
        <w:rPr>
          <w:rFonts w:asciiTheme="majorHAnsi" w:eastAsia="Calibri" w:hAnsiTheme="majorHAnsi"/>
          <w:sz w:val="20"/>
          <w:szCs w:val="20"/>
          <w:vertAlign w:val="superscript"/>
          <w:lang w:val="es-US"/>
        </w:rPr>
        <w:footnoteReference w:id="308"/>
      </w:r>
      <w:r w:rsidRPr="00386E47">
        <w:rPr>
          <w:rFonts w:asciiTheme="majorHAnsi" w:eastAsia="Calibri" w:hAnsiTheme="majorHAnsi"/>
          <w:sz w:val="20"/>
          <w:szCs w:val="20"/>
          <w:lang w:val="es-US"/>
        </w:rPr>
        <w:t>, padre de Agustín Lew y esposo de Raquel Lew, quienes perdieron la vida y fueron heridas en el atentado, respectivamente</w:t>
      </w:r>
      <w:r w:rsidRPr="00386E47">
        <w:rPr>
          <w:rFonts w:asciiTheme="majorHAnsi" w:eastAsia="Calibri" w:hAnsiTheme="majorHAnsi"/>
          <w:sz w:val="20"/>
          <w:szCs w:val="20"/>
          <w:vertAlign w:val="superscript"/>
          <w:lang w:val="es-US"/>
        </w:rPr>
        <w:footnoteReference w:id="309"/>
      </w:r>
      <w:r w:rsidRPr="00386E47">
        <w:rPr>
          <w:rFonts w:asciiTheme="majorHAnsi" w:eastAsia="Calibri" w:hAnsiTheme="majorHAnsi"/>
          <w:sz w:val="20"/>
          <w:szCs w:val="20"/>
          <w:lang w:val="es-US"/>
        </w:rPr>
        <w:t>. Igualmente, se tienen como víctimas a los siguientes familiares identificados por los peticionarios: L</w:t>
      </w:r>
      <w:r w:rsidRPr="00386E47">
        <w:rPr>
          <w:rFonts w:asciiTheme="majorHAnsi" w:eastAsia="Calibri" w:hAnsiTheme="majorHAnsi" w:cs="ArialNarrow"/>
          <w:sz w:val="20"/>
          <w:szCs w:val="20"/>
          <w:lang w:val="es-US"/>
        </w:rPr>
        <w:t xml:space="preserve">ucía y Ana Clara Oroño Reisfeld, sobrinas de Adriana Reisfeld e hijas de Noemí Reisfeld; Débora y Astrid Malamud, hijas de Diana Wassner y Andrés Malamud </w:t>
      </w:r>
      <w:r w:rsidR="00574033" w:rsidRPr="00386E47">
        <w:rPr>
          <w:rFonts w:asciiTheme="majorHAnsi" w:eastAsia="Calibri" w:hAnsiTheme="majorHAnsi" w:cs="ArialNarrow"/>
          <w:sz w:val="20"/>
          <w:szCs w:val="20"/>
          <w:lang w:val="es-US"/>
        </w:rPr>
        <w:t>y Nicolás</w:t>
      </w:r>
      <w:r w:rsidRPr="00386E47">
        <w:rPr>
          <w:rFonts w:asciiTheme="majorHAnsi" w:eastAsia="Calibri" w:hAnsiTheme="majorHAnsi"/>
          <w:sz w:val="20"/>
          <w:szCs w:val="20"/>
          <w:lang w:val="es-US"/>
        </w:rPr>
        <w:t xml:space="preserve"> Lew - </w:t>
      </w:r>
      <w:r w:rsidR="00584B30" w:rsidRPr="00386E47">
        <w:rPr>
          <w:rFonts w:asciiTheme="majorHAnsi" w:eastAsia="Calibri" w:hAnsiTheme="majorHAnsi"/>
          <w:sz w:val="20"/>
          <w:szCs w:val="20"/>
          <w:lang w:val="es-US"/>
        </w:rPr>
        <w:t>hijo de Jorge Lew y Raquel Lew.</w:t>
      </w:r>
      <w:r w:rsidR="00D93236" w:rsidRPr="00386E47">
        <w:rPr>
          <w:rFonts w:asciiTheme="majorHAnsi" w:eastAsia="Calibri" w:hAnsiTheme="majorHAnsi"/>
          <w:sz w:val="20"/>
          <w:szCs w:val="20"/>
          <w:lang w:val="es-US"/>
        </w:rPr>
        <w:t xml:space="preserve"> </w:t>
      </w:r>
      <w:r w:rsidR="00434A46" w:rsidRPr="00386E47">
        <w:rPr>
          <w:rFonts w:asciiTheme="majorHAnsi" w:eastAsia="Calibri" w:hAnsiTheme="majorHAnsi"/>
          <w:sz w:val="20"/>
          <w:szCs w:val="20"/>
          <w:lang w:val="es-US"/>
        </w:rPr>
        <w:t xml:space="preserve">La </w:t>
      </w:r>
      <w:r w:rsidR="00071CFE" w:rsidRPr="00386E47">
        <w:rPr>
          <w:rFonts w:asciiTheme="majorHAnsi" w:eastAsia="Calibri" w:hAnsiTheme="majorHAnsi"/>
          <w:sz w:val="20"/>
          <w:szCs w:val="20"/>
          <w:lang w:val="es-US"/>
        </w:rPr>
        <w:t>Comisión</w:t>
      </w:r>
      <w:r w:rsidR="00434A46" w:rsidRPr="00386E47">
        <w:rPr>
          <w:rFonts w:asciiTheme="majorHAnsi" w:eastAsia="Calibri" w:hAnsiTheme="majorHAnsi"/>
          <w:sz w:val="20"/>
          <w:szCs w:val="20"/>
          <w:lang w:val="es-US"/>
        </w:rPr>
        <w:t xml:space="preserve"> no cuenta con </w:t>
      </w:r>
      <w:r w:rsidR="00071CFE" w:rsidRPr="00386E47">
        <w:rPr>
          <w:rFonts w:asciiTheme="majorHAnsi" w:eastAsia="Calibri" w:hAnsiTheme="majorHAnsi"/>
          <w:sz w:val="20"/>
          <w:szCs w:val="20"/>
          <w:lang w:val="es-US"/>
        </w:rPr>
        <w:t>información</w:t>
      </w:r>
      <w:r w:rsidR="00434A46" w:rsidRPr="00386E47">
        <w:rPr>
          <w:rFonts w:asciiTheme="majorHAnsi" w:eastAsia="Calibri" w:hAnsiTheme="majorHAnsi"/>
          <w:sz w:val="20"/>
          <w:szCs w:val="20"/>
          <w:lang w:val="es-US"/>
        </w:rPr>
        <w:t xml:space="preserve"> que le permita realizar un listado exhaustivo de</w:t>
      </w:r>
      <w:r w:rsidR="00071CFE" w:rsidRPr="00386E47">
        <w:rPr>
          <w:rFonts w:asciiTheme="majorHAnsi" w:eastAsia="Calibri" w:hAnsiTheme="majorHAnsi"/>
          <w:sz w:val="20"/>
          <w:szCs w:val="20"/>
          <w:lang w:val="es-US"/>
        </w:rPr>
        <w:t xml:space="preserve"> los familiares </w:t>
      </w:r>
      <w:r w:rsidR="008A03A7" w:rsidRPr="00386E47">
        <w:rPr>
          <w:rFonts w:asciiTheme="majorHAnsi" w:eastAsia="Calibri" w:hAnsiTheme="majorHAnsi"/>
          <w:sz w:val="20"/>
          <w:szCs w:val="20"/>
          <w:lang w:val="es-US"/>
        </w:rPr>
        <w:t>de las restantes</w:t>
      </w:r>
      <w:r w:rsidR="00071CFE" w:rsidRPr="00386E47">
        <w:rPr>
          <w:rFonts w:asciiTheme="majorHAnsi" w:eastAsia="Calibri" w:hAnsiTheme="majorHAnsi"/>
          <w:sz w:val="20"/>
          <w:szCs w:val="20"/>
          <w:lang w:val="es-US"/>
        </w:rPr>
        <w:t xml:space="preserve"> </w:t>
      </w:r>
      <w:r w:rsidR="00C80B58" w:rsidRPr="00386E47">
        <w:rPr>
          <w:rFonts w:asciiTheme="majorHAnsi" w:eastAsia="Calibri" w:hAnsiTheme="majorHAnsi"/>
          <w:sz w:val="20"/>
          <w:szCs w:val="20"/>
          <w:lang w:val="es-US"/>
        </w:rPr>
        <w:t xml:space="preserve">victimas fallecidas y heridas en el atentado. </w:t>
      </w:r>
      <w:r w:rsidR="00071CFE" w:rsidRPr="00386E47">
        <w:rPr>
          <w:rFonts w:asciiTheme="majorHAnsi" w:eastAsia="Calibri" w:hAnsiTheme="majorHAnsi"/>
          <w:sz w:val="20"/>
          <w:szCs w:val="20"/>
          <w:lang w:val="es-US"/>
        </w:rPr>
        <w:t xml:space="preserve"> </w:t>
      </w:r>
      <w:r w:rsidR="00434A46" w:rsidRPr="00386E47">
        <w:rPr>
          <w:rFonts w:asciiTheme="majorHAnsi" w:eastAsia="Calibri" w:hAnsiTheme="majorHAnsi"/>
          <w:sz w:val="20"/>
          <w:szCs w:val="20"/>
          <w:lang w:val="es-US"/>
        </w:rPr>
        <w:t xml:space="preserve"> </w:t>
      </w:r>
    </w:p>
    <w:p w14:paraId="04479EE5" w14:textId="77777777" w:rsidR="00D2232D" w:rsidRPr="00386E47" w:rsidRDefault="00D2232D" w:rsidP="00D559BA">
      <w:pPr>
        <w:rPr>
          <w:rFonts w:asciiTheme="majorHAnsi" w:eastAsia="Calibri" w:hAnsiTheme="majorHAnsi"/>
          <w:sz w:val="20"/>
          <w:szCs w:val="20"/>
          <w:lang w:val="es-US"/>
        </w:rPr>
      </w:pPr>
    </w:p>
    <w:p w14:paraId="4AA778FA" w14:textId="77777777" w:rsidR="00D2232D" w:rsidRPr="00386E47" w:rsidRDefault="00D2232D" w:rsidP="003A5860">
      <w:pPr>
        <w:pStyle w:val="ListParagraph"/>
        <w:numPr>
          <w:ilvl w:val="0"/>
          <w:numId w:val="55"/>
        </w:numPr>
        <w:ind w:left="0" w:firstLine="0"/>
        <w:jc w:val="both"/>
        <w:rPr>
          <w:rFonts w:asciiTheme="majorHAnsi" w:eastAsia="Calibri" w:hAnsiTheme="majorHAnsi"/>
          <w:sz w:val="20"/>
          <w:szCs w:val="20"/>
          <w:lang w:val="es-US"/>
        </w:rPr>
      </w:pPr>
      <w:r w:rsidRPr="00386E47">
        <w:rPr>
          <w:rFonts w:asciiTheme="majorHAnsi" w:eastAsia="Calibri" w:hAnsiTheme="majorHAnsi"/>
          <w:sz w:val="20"/>
          <w:szCs w:val="20"/>
          <w:lang w:val="es-US"/>
        </w:rPr>
        <w:t xml:space="preserve">En relación con </w:t>
      </w:r>
      <w:r w:rsidR="00DE6775" w:rsidRPr="00386E47">
        <w:rPr>
          <w:rFonts w:asciiTheme="majorHAnsi" w:eastAsia="Calibri" w:hAnsiTheme="majorHAnsi"/>
          <w:sz w:val="20"/>
          <w:szCs w:val="20"/>
          <w:lang w:val="es-US"/>
        </w:rPr>
        <w:t xml:space="preserve">las </w:t>
      </w:r>
      <w:r w:rsidRPr="00386E47">
        <w:rPr>
          <w:rFonts w:asciiTheme="majorHAnsi" w:eastAsia="Calibri" w:hAnsiTheme="majorHAnsi"/>
          <w:sz w:val="20"/>
          <w:szCs w:val="20"/>
          <w:lang w:val="es-US"/>
        </w:rPr>
        <w:t>afectaciones</w:t>
      </w:r>
      <w:r w:rsidR="00D559BA" w:rsidRPr="00386E47">
        <w:rPr>
          <w:rFonts w:asciiTheme="majorHAnsi" w:eastAsia="Calibri" w:hAnsiTheme="majorHAnsi"/>
          <w:sz w:val="20"/>
          <w:szCs w:val="20"/>
          <w:lang w:val="es-US"/>
        </w:rPr>
        <w:t xml:space="preserve"> que han sufrido los familiares de las víctimas del atentado</w:t>
      </w:r>
      <w:r w:rsidRPr="00386E47">
        <w:rPr>
          <w:rFonts w:asciiTheme="majorHAnsi" w:eastAsia="Calibri" w:hAnsiTheme="majorHAnsi"/>
          <w:sz w:val="20"/>
          <w:szCs w:val="20"/>
          <w:lang w:val="es-US"/>
        </w:rPr>
        <w:t>, la Comisión observa que Diana Wassner, quien perdió a su marido Andrés Malamud en el atentado</w:t>
      </w:r>
      <w:r w:rsidR="00D559BA" w:rsidRPr="00386E47">
        <w:rPr>
          <w:rFonts w:asciiTheme="majorHAnsi" w:eastAsia="Calibri" w:hAnsiTheme="majorHAnsi"/>
          <w:sz w:val="20"/>
          <w:szCs w:val="20"/>
          <w:lang w:val="es-US"/>
        </w:rPr>
        <w:t>,</w:t>
      </w:r>
      <w:r w:rsidRPr="00386E47">
        <w:rPr>
          <w:rFonts w:asciiTheme="majorHAnsi" w:eastAsia="Calibri" w:hAnsiTheme="majorHAnsi"/>
          <w:sz w:val="20"/>
          <w:szCs w:val="20"/>
          <w:lang w:val="es-US"/>
        </w:rPr>
        <w:t xml:space="preserve"> declaró </w:t>
      </w:r>
      <w:r w:rsidR="00DE6775" w:rsidRPr="00386E47">
        <w:rPr>
          <w:rFonts w:asciiTheme="majorHAnsi" w:eastAsia="Calibri" w:hAnsiTheme="majorHAnsi"/>
          <w:sz w:val="20"/>
          <w:szCs w:val="20"/>
          <w:lang w:val="es-US"/>
        </w:rPr>
        <w:t>en la audiencia pública convocada en el 174° Periodo de Sesiones</w:t>
      </w:r>
      <w:r w:rsidRPr="00386E47">
        <w:rPr>
          <w:rFonts w:asciiTheme="majorHAnsi" w:eastAsia="Calibri" w:hAnsiTheme="majorHAnsi"/>
          <w:sz w:val="20"/>
          <w:szCs w:val="20"/>
          <w:lang w:val="es-US"/>
        </w:rPr>
        <w:t xml:space="preserve"> </w:t>
      </w:r>
      <w:r w:rsidR="00D559BA" w:rsidRPr="00386E47">
        <w:rPr>
          <w:rFonts w:asciiTheme="majorHAnsi" w:eastAsia="Calibri" w:hAnsiTheme="majorHAnsi"/>
          <w:sz w:val="20"/>
          <w:szCs w:val="20"/>
          <w:lang w:val="es-US"/>
        </w:rPr>
        <w:t>que “esto ha partido a mi familia de un modo difícil de explicar, éramos muy jóvenes y pensábamos que teníamos una vida por delante y teníamos una hermosa familia por delante[,..] la verdad es que</w:t>
      </w:r>
      <w:r w:rsidR="00DE6775" w:rsidRPr="00386E47">
        <w:rPr>
          <w:rFonts w:asciiTheme="majorHAnsi" w:eastAsia="Calibri" w:hAnsiTheme="majorHAnsi"/>
          <w:sz w:val="20"/>
          <w:szCs w:val="20"/>
          <w:lang w:val="es-US"/>
        </w:rPr>
        <w:t xml:space="preserve"> el</w:t>
      </w:r>
      <w:r w:rsidR="00D559BA" w:rsidRPr="00386E47">
        <w:rPr>
          <w:rFonts w:asciiTheme="majorHAnsi" w:eastAsia="Calibri" w:hAnsiTheme="majorHAnsi"/>
          <w:sz w:val="20"/>
          <w:szCs w:val="20"/>
          <w:lang w:val="es-US"/>
        </w:rPr>
        <w:t xml:space="preserve"> atentado vino a cortarnos todas estas cosas y destruir</w:t>
      </w:r>
      <w:r w:rsidR="00DE6775" w:rsidRPr="00386E47">
        <w:rPr>
          <w:rFonts w:asciiTheme="majorHAnsi" w:eastAsia="Calibri" w:hAnsiTheme="majorHAnsi"/>
          <w:sz w:val="20"/>
          <w:szCs w:val="20"/>
          <w:lang w:val="es-US"/>
        </w:rPr>
        <w:t>nos o intentar destruirnos […]”</w:t>
      </w:r>
      <w:r w:rsidR="00D559BA" w:rsidRPr="00386E47">
        <w:rPr>
          <w:rFonts w:asciiTheme="majorHAnsi" w:eastAsia="Calibri" w:hAnsiTheme="majorHAnsi"/>
          <w:sz w:val="20"/>
          <w:szCs w:val="20"/>
          <w:lang w:val="es-US"/>
        </w:rPr>
        <w:t>. Asimismo, indicó que en relación con la actuación estatal que</w:t>
      </w:r>
      <w:r w:rsidRPr="00386E47">
        <w:rPr>
          <w:rFonts w:asciiTheme="majorHAnsi" w:eastAsia="Calibri" w:hAnsiTheme="majorHAnsi"/>
          <w:sz w:val="20"/>
          <w:szCs w:val="20"/>
          <w:lang w:val="es-US"/>
        </w:rPr>
        <w:t xml:space="preserve"> “lo que siento y pienso del Estado argentino es muy doloroso, </w:t>
      </w:r>
      <w:r w:rsidR="00D559BA" w:rsidRPr="00386E47">
        <w:rPr>
          <w:rFonts w:asciiTheme="majorHAnsi" w:eastAsia="Calibri" w:hAnsiTheme="majorHAnsi"/>
          <w:sz w:val="20"/>
          <w:szCs w:val="20"/>
          <w:lang w:val="es-US"/>
        </w:rPr>
        <w:t>fundamentalmente</w:t>
      </w:r>
      <w:r w:rsidRPr="00386E47">
        <w:rPr>
          <w:rFonts w:asciiTheme="majorHAnsi" w:eastAsia="Calibri" w:hAnsiTheme="majorHAnsi"/>
          <w:sz w:val="20"/>
          <w:szCs w:val="20"/>
          <w:lang w:val="es-US"/>
        </w:rPr>
        <w:t xml:space="preserve"> porque me duele que </w:t>
      </w:r>
      <w:r w:rsidR="00D559BA" w:rsidRPr="00386E47">
        <w:rPr>
          <w:rFonts w:asciiTheme="majorHAnsi" w:eastAsia="Calibri" w:hAnsiTheme="majorHAnsi"/>
          <w:sz w:val="20"/>
          <w:szCs w:val="20"/>
          <w:lang w:val="es-US"/>
        </w:rPr>
        <w:t>mis hijas</w:t>
      </w:r>
      <w:r w:rsidRPr="00386E47">
        <w:rPr>
          <w:rFonts w:asciiTheme="majorHAnsi" w:eastAsia="Calibri" w:hAnsiTheme="majorHAnsi"/>
          <w:sz w:val="20"/>
          <w:szCs w:val="20"/>
          <w:lang w:val="es-US"/>
        </w:rPr>
        <w:t xml:space="preserve"> hayan elegido irse a vivir a otros países porque no quieren estar en un lugar que no les ofreció una respuesta por la muerte de su papá. Es muy difícil pues hemos tenido que cargar en las espaldas de los familiares toda esta lucha y no es el lugar que les corresponde”. Por su </w:t>
      </w:r>
      <w:r w:rsidR="00D559BA" w:rsidRPr="00386E47">
        <w:rPr>
          <w:rFonts w:asciiTheme="majorHAnsi" w:eastAsia="Calibri" w:hAnsiTheme="majorHAnsi"/>
          <w:sz w:val="20"/>
          <w:szCs w:val="20"/>
          <w:lang w:val="es-US"/>
        </w:rPr>
        <w:t>parte, Adriana Reisfeld, hermana de Noemí Reisfeld quien trabajaba en el edificio de la AMIA y falle</w:t>
      </w:r>
      <w:r w:rsidR="00DE6775" w:rsidRPr="00386E47">
        <w:rPr>
          <w:rFonts w:asciiTheme="majorHAnsi" w:eastAsia="Calibri" w:hAnsiTheme="majorHAnsi"/>
          <w:sz w:val="20"/>
          <w:szCs w:val="20"/>
          <w:lang w:val="es-US"/>
        </w:rPr>
        <w:t>ció en el atentado declaró que</w:t>
      </w:r>
      <w:r w:rsidR="00D559BA" w:rsidRPr="00386E47">
        <w:rPr>
          <w:rFonts w:asciiTheme="majorHAnsi" w:eastAsia="Calibri" w:hAnsiTheme="majorHAnsi"/>
          <w:sz w:val="20"/>
          <w:szCs w:val="20"/>
          <w:lang w:val="es-US"/>
        </w:rPr>
        <w:t xml:space="preserve"> desde hace más de 20 años se encuentra en el proceso de obtención de justicia, siendo que los familiares fueron unidos “por el horror”. Asimismo, relató los esfuerzos que han realizado los familiares por denunciar las irregularidades en la investigación.</w:t>
      </w:r>
      <w:r w:rsidR="0038685F" w:rsidRPr="00386E47">
        <w:rPr>
          <w:rFonts w:asciiTheme="majorHAnsi" w:eastAsia="Calibri" w:hAnsiTheme="majorHAnsi"/>
          <w:sz w:val="20"/>
          <w:szCs w:val="20"/>
          <w:lang w:val="es-US"/>
        </w:rPr>
        <w:t xml:space="preserve"> Agregó que “siempre teníamos que dar las razones sobre por qué reclamábamos justicia [..]”. </w:t>
      </w:r>
    </w:p>
    <w:p w14:paraId="15D8FB18" w14:textId="77777777" w:rsidR="00D93236" w:rsidRPr="00386E47" w:rsidRDefault="00D93236" w:rsidP="00D93236">
      <w:pPr>
        <w:pStyle w:val="ListParagraph"/>
        <w:ind w:left="0"/>
        <w:jc w:val="both"/>
        <w:rPr>
          <w:rFonts w:asciiTheme="majorHAnsi" w:eastAsia="Calibri" w:hAnsiTheme="majorHAnsi"/>
          <w:sz w:val="20"/>
          <w:szCs w:val="20"/>
          <w:lang w:val="es-US"/>
        </w:rPr>
      </w:pPr>
    </w:p>
    <w:p w14:paraId="40258D41" w14:textId="77777777" w:rsidR="00D559BA" w:rsidRPr="00386E47" w:rsidRDefault="0038685F" w:rsidP="003A5860">
      <w:pPr>
        <w:pStyle w:val="ListParagraph"/>
        <w:numPr>
          <w:ilvl w:val="0"/>
          <w:numId w:val="55"/>
        </w:numPr>
        <w:ind w:left="0" w:firstLine="0"/>
        <w:jc w:val="both"/>
        <w:rPr>
          <w:rFonts w:asciiTheme="majorHAnsi" w:eastAsia="Calibri" w:hAnsiTheme="majorHAnsi"/>
          <w:sz w:val="20"/>
          <w:szCs w:val="20"/>
          <w:lang w:val="es-US"/>
        </w:rPr>
      </w:pPr>
      <w:r w:rsidRPr="00386E47">
        <w:rPr>
          <w:rFonts w:asciiTheme="majorHAnsi" w:eastAsia="Calibri" w:hAnsiTheme="majorHAnsi" w:cs="Verdana"/>
          <w:sz w:val="20"/>
          <w:szCs w:val="20"/>
          <w:lang w:val="es-US" w:eastAsia="pt-BR"/>
        </w:rPr>
        <w:t>La Comisión</w:t>
      </w:r>
      <w:r w:rsidR="00D559BA" w:rsidRPr="00386E47">
        <w:rPr>
          <w:rFonts w:asciiTheme="majorHAnsi" w:eastAsia="Calibri" w:hAnsiTheme="majorHAnsi" w:cs="Verdana"/>
          <w:sz w:val="20"/>
          <w:szCs w:val="20"/>
          <w:lang w:val="es-US" w:eastAsia="pt-BR"/>
        </w:rPr>
        <w:t xml:space="preserve"> </w:t>
      </w:r>
      <w:r w:rsidR="00D559BA" w:rsidRPr="00386E47">
        <w:rPr>
          <w:rFonts w:asciiTheme="majorHAnsi" w:eastAsia="Calibri" w:hAnsiTheme="majorHAnsi"/>
          <w:sz w:val="20"/>
          <w:szCs w:val="20"/>
          <w:lang w:val="es-ES"/>
        </w:rPr>
        <w:t xml:space="preserve">considera que las </w:t>
      </w:r>
      <w:r w:rsidRPr="00386E47">
        <w:rPr>
          <w:rFonts w:asciiTheme="majorHAnsi" w:eastAsia="Calibri" w:hAnsiTheme="majorHAnsi"/>
          <w:sz w:val="20"/>
          <w:szCs w:val="20"/>
          <w:lang w:val="es-ES"/>
        </w:rPr>
        <w:t xml:space="preserve">graves </w:t>
      </w:r>
      <w:r w:rsidR="00D559BA" w:rsidRPr="00386E47">
        <w:rPr>
          <w:rFonts w:asciiTheme="majorHAnsi" w:eastAsia="Calibri" w:hAnsiTheme="majorHAnsi"/>
          <w:sz w:val="20"/>
          <w:szCs w:val="20"/>
          <w:lang w:val="es-ES"/>
        </w:rPr>
        <w:t xml:space="preserve">violaciones a derechos humanos que sufrieron las víctimas del presente </w:t>
      </w:r>
      <w:r w:rsidRPr="00386E47">
        <w:rPr>
          <w:rFonts w:asciiTheme="majorHAnsi" w:eastAsia="Calibri" w:hAnsiTheme="majorHAnsi"/>
          <w:sz w:val="20"/>
          <w:szCs w:val="20"/>
          <w:lang w:val="es-ES"/>
        </w:rPr>
        <w:t xml:space="preserve">caso </w:t>
      </w:r>
      <w:r w:rsidR="00D559BA" w:rsidRPr="00386E47">
        <w:rPr>
          <w:rFonts w:asciiTheme="majorHAnsi" w:eastAsia="Calibri" w:hAnsiTheme="majorHAnsi"/>
          <w:sz w:val="20"/>
          <w:szCs w:val="20"/>
          <w:lang w:val="es-ES"/>
        </w:rPr>
        <w:t xml:space="preserve">afectaron la </w:t>
      </w:r>
      <w:r w:rsidR="00D559BA" w:rsidRPr="00386E47">
        <w:rPr>
          <w:rFonts w:asciiTheme="majorHAnsi" w:eastAsia="Calibri" w:hAnsiTheme="majorHAnsi" w:cs="Arial"/>
          <w:sz w:val="20"/>
          <w:szCs w:val="20"/>
          <w:lang w:val="es-ES"/>
        </w:rPr>
        <w:t xml:space="preserve">integridad psíquica y moral de </w:t>
      </w:r>
      <w:r w:rsidRPr="00386E47">
        <w:rPr>
          <w:rFonts w:asciiTheme="majorHAnsi" w:eastAsia="Calibri" w:hAnsiTheme="majorHAnsi" w:cs="Arial"/>
          <w:sz w:val="20"/>
          <w:szCs w:val="20"/>
          <w:lang w:val="es-ES"/>
        </w:rPr>
        <w:t>sus</w:t>
      </w:r>
      <w:r w:rsidR="00D559BA" w:rsidRPr="00386E47">
        <w:rPr>
          <w:rFonts w:asciiTheme="majorHAnsi" w:eastAsia="Calibri" w:hAnsiTheme="majorHAnsi" w:cs="Arial"/>
          <w:sz w:val="20"/>
          <w:szCs w:val="20"/>
          <w:lang w:val="es-ES"/>
        </w:rPr>
        <w:t xml:space="preserve"> familiares</w:t>
      </w:r>
      <w:r w:rsidRPr="00386E47">
        <w:rPr>
          <w:rFonts w:asciiTheme="majorHAnsi" w:eastAsia="Calibri" w:hAnsiTheme="majorHAnsi" w:cs="Arial"/>
          <w:sz w:val="20"/>
          <w:szCs w:val="20"/>
          <w:lang w:val="es-ES"/>
        </w:rPr>
        <w:t>.</w:t>
      </w:r>
      <w:r w:rsidR="00DE6775" w:rsidRPr="00386E47">
        <w:rPr>
          <w:rFonts w:asciiTheme="majorHAnsi" w:eastAsia="Calibri" w:hAnsiTheme="majorHAnsi" w:cs="Arial"/>
          <w:sz w:val="20"/>
          <w:szCs w:val="20"/>
          <w:lang w:val="es-ES"/>
        </w:rPr>
        <w:t xml:space="preserve"> La circunstancia de ser familiar de una víctima de un acto terrorista de la magnitud del atentado a la </w:t>
      </w:r>
      <w:r w:rsidR="00434A46" w:rsidRPr="00386E47">
        <w:rPr>
          <w:rFonts w:asciiTheme="majorHAnsi" w:eastAsia="Calibri" w:hAnsiTheme="majorHAnsi" w:cs="Arial"/>
          <w:sz w:val="20"/>
          <w:szCs w:val="20"/>
          <w:lang w:val="es-ES"/>
        </w:rPr>
        <w:t>AMIA genera</w:t>
      </w:r>
      <w:r w:rsidR="00DE6775" w:rsidRPr="00386E47">
        <w:rPr>
          <w:rFonts w:asciiTheme="majorHAnsi" w:eastAsia="Calibri" w:hAnsiTheme="majorHAnsi" w:cs="Arial"/>
          <w:sz w:val="20"/>
          <w:szCs w:val="20"/>
          <w:lang w:val="es-ES"/>
        </w:rPr>
        <w:t xml:space="preserve"> por sí </w:t>
      </w:r>
      <w:r w:rsidR="00434A46" w:rsidRPr="00386E47">
        <w:rPr>
          <w:rFonts w:asciiTheme="majorHAnsi" w:eastAsia="Calibri" w:hAnsiTheme="majorHAnsi" w:cs="Arial"/>
          <w:sz w:val="20"/>
          <w:szCs w:val="20"/>
          <w:lang w:val="es-ES"/>
        </w:rPr>
        <w:t>mismo un</w:t>
      </w:r>
      <w:r w:rsidR="00DE6775" w:rsidRPr="00386E47">
        <w:rPr>
          <w:rFonts w:asciiTheme="majorHAnsi" w:eastAsia="Calibri" w:hAnsiTheme="majorHAnsi" w:cs="Arial"/>
          <w:sz w:val="20"/>
          <w:szCs w:val="20"/>
          <w:lang w:val="es-ES"/>
        </w:rPr>
        <w:t xml:space="preserve"> severo sufrimiento. En el caso concreto este padecimiento </w:t>
      </w:r>
      <w:r w:rsidR="00D559BA" w:rsidRPr="00386E47">
        <w:rPr>
          <w:rFonts w:asciiTheme="majorHAnsi" w:eastAsia="Calibri" w:hAnsiTheme="majorHAnsi" w:cs="Arial"/>
          <w:sz w:val="20"/>
          <w:szCs w:val="20"/>
          <w:lang w:val="es-ES"/>
        </w:rPr>
        <w:t xml:space="preserve">se ve acrecentado por la situación de </w:t>
      </w:r>
      <w:r w:rsidR="00434A46" w:rsidRPr="00386E47">
        <w:rPr>
          <w:rFonts w:asciiTheme="majorHAnsi" w:eastAsia="Calibri" w:hAnsiTheme="majorHAnsi" w:cs="Arial"/>
          <w:sz w:val="20"/>
          <w:szCs w:val="20"/>
          <w:lang w:val="es-ES"/>
        </w:rPr>
        <w:t xml:space="preserve">impunidad en la que está sumido el caso, la cual </w:t>
      </w:r>
      <w:r w:rsidR="00D559BA" w:rsidRPr="00386E47">
        <w:rPr>
          <w:rFonts w:asciiTheme="majorHAnsi" w:eastAsia="Calibri" w:hAnsiTheme="majorHAnsi" w:cs="Arial"/>
          <w:sz w:val="20"/>
          <w:szCs w:val="20"/>
          <w:lang w:val="es-ES"/>
        </w:rPr>
        <w:t xml:space="preserve">resulta </w:t>
      </w:r>
      <w:r w:rsidRPr="00386E47">
        <w:rPr>
          <w:rFonts w:asciiTheme="majorHAnsi" w:eastAsia="Calibri" w:hAnsiTheme="majorHAnsi" w:cs="Arial"/>
          <w:sz w:val="20"/>
          <w:szCs w:val="20"/>
          <w:lang w:val="es-ES"/>
        </w:rPr>
        <w:t xml:space="preserve">directamente imputable al Estado por la </w:t>
      </w:r>
      <w:r w:rsidR="00D559BA" w:rsidRPr="00386E47">
        <w:rPr>
          <w:rFonts w:asciiTheme="majorHAnsi" w:eastAsia="Calibri" w:hAnsiTheme="majorHAnsi" w:cs="Arial"/>
          <w:sz w:val="20"/>
          <w:szCs w:val="20"/>
          <w:lang w:val="es-ES"/>
        </w:rPr>
        <w:t>actuaci</w:t>
      </w:r>
      <w:r w:rsidRPr="00386E47">
        <w:rPr>
          <w:rFonts w:asciiTheme="majorHAnsi" w:eastAsia="Calibri" w:hAnsiTheme="majorHAnsi" w:cs="Arial"/>
          <w:sz w:val="20"/>
          <w:szCs w:val="20"/>
          <w:lang w:val="es-ES"/>
        </w:rPr>
        <w:t>ón de sus agentes</w:t>
      </w:r>
      <w:r w:rsidR="00DE6775" w:rsidRPr="00386E47">
        <w:rPr>
          <w:rFonts w:asciiTheme="majorHAnsi" w:eastAsia="Calibri" w:hAnsiTheme="majorHAnsi" w:cs="Arial"/>
          <w:sz w:val="20"/>
          <w:szCs w:val="20"/>
          <w:lang w:val="es-ES"/>
        </w:rPr>
        <w:t>, quienes</w:t>
      </w:r>
      <w:r w:rsidR="00D559BA" w:rsidRPr="00386E47">
        <w:rPr>
          <w:rFonts w:asciiTheme="majorHAnsi" w:eastAsia="Calibri" w:hAnsiTheme="majorHAnsi" w:cs="Arial"/>
          <w:sz w:val="20"/>
          <w:szCs w:val="20"/>
          <w:lang w:val="es-ES"/>
        </w:rPr>
        <w:t xml:space="preserve"> incluso en algunos periodos </w:t>
      </w:r>
      <w:r w:rsidRPr="00386E47">
        <w:rPr>
          <w:rFonts w:asciiTheme="majorHAnsi" w:eastAsia="Calibri" w:hAnsiTheme="majorHAnsi" w:cs="Arial"/>
          <w:sz w:val="20"/>
          <w:szCs w:val="20"/>
          <w:lang w:val="es-ES"/>
        </w:rPr>
        <w:t>de forma</w:t>
      </w:r>
      <w:r w:rsidR="00D559BA" w:rsidRPr="00386E47">
        <w:rPr>
          <w:rFonts w:asciiTheme="majorHAnsi" w:eastAsia="Calibri" w:hAnsiTheme="majorHAnsi" w:cs="Arial"/>
          <w:sz w:val="20"/>
          <w:szCs w:val="20"/>
          <w:lang w:val="es-ES"/>
        </w:rPr>
        <w:t xml:space="preserve"> deliberada </w:t>
      </w:r>
      <w:r w:rsidRPr="00386E47">
        <w:rPr>
          <w:rFonts w:asciiTheme="majorHAnsi" w:eastAsia="Calibri" w:hAnsiTheme="majorHAnsi" w:cs="Arial"/>
          <w:sz w:val="20"/>
          <w:szCs w:val="20"/>
          <w:lang w:val="es-ES"/>
        </w:rPr>
        <w:t>desviaron</w:t>
      </w:r>
      <w:r w:rsidR="00D559BA" w:rsidRPr="00386E47">
        <w:rPr>
          <w:rFonts w:asciiTheme="majorHAnsi" w:eastAsia="Calibri" w:hAnsiTheme="majorHAnsi" w:cs="Arial"/>
          <w:sz w:val="20"/>
          <w:szCs w:val="20"/>
          <w:lang w:val="es-ES"/>
        </w:rPr>
        <w:t xml:space="preserve"> la investigación</w:t>
      </w:r>
      <w:r w:rsidR="00DE6775" w:rsidRPr="00386E47">
        <w:rPr>
          <w:rFonts w:asciiTheme="majorHAnsi" w:eastAsia="Calibri" w:hAnsiTheme="majorHAnsi" w:cs="Arial"/>
          <w:sz w:val="20"/>
          <w:szCs w:val="20"/>
          <w:lang w:val="es-ES"/>
        </w:rPr>
        <w:t>, favoreciendo el</w:t>
      </w:r>
      <w:r w:rsidRPr="00386E47">
        <w:rPr>
          <w:rFonts w:asciiTheme="majorHAnsi" w:eastAsia="Calibri" w:hAnsiTheme="majorHAnsi" w:cs="Arial"/>
          <w:sz w:val="20"/>
          <w:szCs w:val="20"/>
          <w:lang w:val="es-ES"/>
        </w:rPr>
        <w:t xml:space="preserve"> ocultamiento de la verdad y</w:t>
      </w:r>
      <w:r w:rsidR="00DE6775" w:rsidRPr="00386E47">
        <w:rPr>
          <w:rFonts w:asciiTheme="majorHAnsi" w:eastAsia="Calibri" w:hAnsiTheme="majorHAnsi" w:cs="Arial"/>
          <w:sz w:val="20"/>
          <w:szCs w:val="20"/>
          <w:lang w:val="es-ES"/>
        </w:rPr>
        <w:t xml:space="preserve"> la posibilidad de identificar y </w:t>
      </w:r>
      <w:r w:rsidR="00434A46" w:rsidRPr="00386E47">
        <w:rPr>
          <w:rFonts w:asciiTheme="majorHAnsi" w:eastAsia="Calibri" w:hAnsiTheme="majorHAnsi" w:cs="Arial"/>
          <w:sz w:val="20"/>
          <w:szCs w:val="20"/>
          <w:lang w:val="es-ES"/>
        </w:rPr>
        <w:t>sancionar a</w:t>
      </w:r>
      <w:r w:rsidRPr="00386E47">
        <w:rPr>
          <w:rFonts w:asciiTheme="majorHAnsi" w:eastAsia="Calibri" w:hAnsiTheme="majorHAnsi" w:cs="Arial"/>
          <w:sz w:val="20"/>
          <w:szCs w:val="20"/>
          <w:lang w:val="es-ES"/>
        </w:rPr>
        <w:t xml:space="preserve"> los responsables</w:t>
      </w:r>
      <w:r w:rsidR="00D559BA" w:rsidRPr="00386E47">
        <w:rPr>
          <w:rFonts w:asciiTheme="majorHAnsi" w:eastAsia="Calibri" w:hAnsiTheme="majorHAnsi" w:cs="Arial"/>
          <w:sz w:val="20"/>
          <w:szCs w:val="20"/>
          <w:lang w:val="es-ES"/>
        </w:rPr>
        <w:t xml:space="preserve">. </w:t>
      </w:r>
      <w:r w:rsidR="00434A46" w:rsidRPr="00386E47">
        <w:rPr>
          <w:rFonts w:asciiTheme="majorHAnsi" w:eastAsia="Calibri" w:hAnsiTheme="majorHAnsi" w:cs="Arial"/>
          <w:sz w:val="20"/>
          <w:szCs w:val="20"/>
          <w:lang w:val="es-ES"/>
        </w:rPr>
        <w:t>La Comisión desea resaltar que h</w:t>
      </w:r>
      <w:r w:rsidR="00D559BA" w:rsidRPr="00386E47">
        <w:rPr>
          <w:rFonts w:asciiTheme="majorHAnsi" w:eastAsia="Calibri" w:hAnsiTheme="majorHAnsi" w:cs="Arial"/>
          <w:sz w:val="20"/>
          <w:szCs w:val="20"/>
          <w:lang w:val="es-ES"/>
        </w:rPr>
        <w:t>a sido fundamentalmente gracias a</w:t>
      </w:r>
      <w:r w:rsidR="00434A46" w:rsidRPr="00386E47">
        <w:rPr>
          <w:rFonts w:asciiTheme="majorHAnsi" w:eastAsia="Calibri" w:hAnsiTheme="majorHAnsi" w:cs="Arial"/>
          <w:sz w:val="20"/>
          <w:szCs w:val="20"/>
          <w:lang w:val="es-ES"/>
        </w:rPr>
        <w:t xml:space="preserve">l activismo y a la participación procesal de </w:t>
      </w:r>
      <w:r w:rsidR="00D559BA" w:rsidRPr="00386E47">
        <w:rPr>
          <w:rFonts w:asciiTheme="majorHAnsi" w:eastAsia="Calibri" w:hAnsiTheme="majorHAnsi" w:cs="Arial"/>
          <w:sz w:val="20"/>
          <w:szCs w:val="20"/>
          <w:lang w:val="es-ES"/>
        </w:rPr>
        <w:t xml:space="preserve">los </w:t>
      </w:r>
      <w:r w:rsidR="00434A46" w:rsidRPr="00386E47">
        <w:rPr>
          <w:rFonts w:asciiTheme="majorHAnsi" w:eastAsia="Calibri" w:hAnsiTheme="majorHAnsi" w:cs="Arial"/>
          <w:sz w:val="20"/>
          <w:szCs w:val="20"/>
          <w:lang w:val="es-ES"/>
        </w:rPr>
        <w:t>peticionarios</w:t>
      </w:r>
      <w:r w:rsidR="00D559BA" w:rsidRPr="00386E47">
        <w:rPr>
          <w:rFonts w:asciiTheme="majorHAnsi" w:eastAsia="Calibri" w:hAnsiTheme="majorHAnsi" w:cs="Arial"/>
          <w:sz w:val="20"/>
          <w:szCs w:val="20"/>
          <w:lang w:val="es-ES"/>
        </w:rPr>
        <w:t xml:space="preserve"> </w:t>
      </w:r>
      <w:r w:rsidR="00434A46" w:rsidRPr="00386E47">
        <w:rPr>
          <w:rFonts w:asciiTheme="majorHAnsi" w:eastAsia="Calibri" w:hAnsiTheme="majorHAnsi" w:cs="Arial"/>
          <w:sz w:val="20"/>
          <w:szCs w:val="20"/>
          <w:lang w:val="es-ES"/>
        </w:rPr>
        <w:t xml:space="preserve">que se han conocido   las </w:t>
      </w:r>
      <w:r w:rsidRPr="00386E47">
        <w:rPr>
          <w:rFonts w:asciiTheme="majorHAnsi" w:eastAsia="Calibri" w:hAnsiTheme="majorHAnsi" w:cs="Arial"/>
          <w:sz w:val="20"/>
          <w:szCs w:val="20"/>
          <w:lang w:val="es-ES"/>
        </w:rPr>
        <w:t xml:space="preserve">irregularidades y </w:t>
      </w:r>
      <w:r w:rsidR="00434A46" w:rsidRPr="00386E47">
        <w:rPr>
          <w:rFonts w:asciiTheme="majorHAnsi" w:eastAsia="Calibri" w:hAnsiTheme="majorHAnsi" w:cs="Arial"/>
          <w:sz w:val="20"/>
          <w:szCs w:val="20"/>
          <w:lang w:val="es-ES"/>
        </w:rPr>
        <w:t xml:space="preserve">los </w:t>
      </w:r>
      <w:r w:rsidRPr="00386E47">
        <w:rPr>
          <w:rFonts w:asciiTheme="majorHAnsi" w:eastAsia="Calibri" w:hAnsiTheme="majorHAnsi" w:cs="Arial"/>
          <w:sz w:val="20"/>
          <w:szCs w:val="20"/>
          <w:lang w:val="es-ES"/>
        </w:rPr>
        <w:t xml:space="preserve">múltiples factores de impunidad </w:t>
      </w:r>
      <w:r w:rsidR="00434A46" w:rsidRPr="00386E47">
        <w:rPr>
          <w:rFonts w:asciiTheme="majorHAnsi" w:eastAsia="Calibri" w:hAnsiTheme="majorHAnsi" w:cs="Arial"/>
          <w:sz w:val="20"/>
          <w:szCs w:val="20"/>
          <w:lang w:val="es-ES"/>
        </w:rPr>
        <w:t>presentes en el caso</w:t>
      </w:r>
      <w:r w:rsidR="00D559BA" w:rsidRPr="00386E47">
        <w:rPr>
          <w:rFonts w:asciiTheme="majorHAnsi" w:eastAsia="Calibri" w:hAnsiTheme="majorHAnsi" w:cs="Arial"/>
          <w:sz w:val="20"/>
          <w:szCs w:val="20"/>
          <w:lang w:val="es-ES"/>
        </w:rPr>
        <w:t xml:space="preserve">. De esta forma, </w:t>
      </w:r>
      <w:r w:rsidRPr="00386E47">
        <w:rPr>
          <w:rFonts w:asciiTheme="majorHAnsi" w:eastAsia="Calibri" w:hAnsiTheme="majorHAnsi" w:cs="Arial"/>
          <w:sz w:val="20"/>
          <w:szCs w:val="20"/>
          <w:lang w:val="es-ES"/>
        </w:rPr>
        <w:t xml:space="preserve">la Comisión observa </w:t>
      </w:r>
      <w:r w:rsidRPr="00386E47">
        <w:rPr>
          <w:rFonts w:asciiTheme="majorHAnsi" w:eastAsia="Calibri" w:hAnsiTheme="majorHAnsi" w:cs="Arial"/>
          <w:sz w:val="20"/>
          <w:szCs w:val="20"/>
          <w:lang w:val="es-ES"/>
        </w:rPr>
        <w:lastRenderedPageBreak/>
        <w:t xml:space="preserve">que </w:t>
      </w:r>
      <w:r w:rsidR="00434A46" w:rsidRPr="00386E47">
        <w:rPr>
          <w:rFonts w:asciiTheme="majorHAnsi" w:eastAsia="Calibri" w:hAnsiTheme="majorHAnsi" w:cs="Arial"/>
          <w:sz w:val="20"/>
          <w:szCs w:val="20"/>
          <w:lang w:val="es-ES"/>
        </w:rPr>
        <w:t>la continua falta de esclarecimiento</w:t>
      </w:r>
      <w:r w:rsidR="00D559BA" w:rsidRPr="00386E47">
        <w:rPr>
          <w:rFonts w:asciiTheme="majorHAnsi" w:eastAsia="Calibri" w:hAnsiTheme="majorHAnsi" w:cs="Arial"/>
          <w:sz w:val="20"/>
          <w:szCs w:val="20"/>
          <w:lang w:val="es-ES"/>
        </w:rPr>
        <w:t>, y</w:t>
      </w:r>
      <w:r w:rsidR="00434A46" w:rsidRPr="00386E47">
        <w:rPr>
          <w:rFonts w:asciiTheme="majorHAnsi" w:eastAsia="Calibri" w:hAnsiTheme="majorHAnsi" w:cs="Arial"/>
          <w:sz w:val="20"/>
          <w:szCs w:val="20"/>
          <w:lang w:val="es-ES"/>
        </w:rPr>
        <w:t xml:space="preserve"> la</w:t>
      </w:r>
      <w:r w:rsidR="00D559BA" w:rsidRPr="00386E47">
        <w:rPr>
          <w:rFonts w:asciiTheme="majorHAnsi" w:eastAsia="Calibri" w:hAnsiTheme="majorHAnsi" w:cs="Arial"/>
          <w:sz w:val="20"/>
          <w:szCs w:val="20"/>
          <w:lang w:val="es-ES"/>
        </w:rPr>
        <w:t xml:space="preserve"> situación de impunidad</w:t>
      </w:r>
      <w:r w:rsidR="00434A46" w:rsidRPr="00386E47">
        <w:rPr>
          <w:rFonts w:asciiTheme="majorHAnsi" w:eastAsia="Calibri" w:hAnsiTheme="majorHAnsi" w:cs="Arial"/>
          <w:sz w:val="20"/>
          <w:szCs w:val="20"/>
          <w:lang w:val="es-ES"/>
        </w:rPr>
        <w:t xml:space="preserve"> del atentado ha provocado en los peticionarios </w:t>
      </w:r>
      <w:r w:rsidR="00D559BA" w:rsidRPr="00386E47">
        <w:rPr>
          <w:rFonts w:asciiTheme="majorHAnsi" w:eastAsia="Calibri" w:hAnsiTheme="majorHAnsi" w:cs="Arial"/>
          <w:sz w:val="20"/>
          <w:szCs w:val="20"/>
          <w:lang w:val="es-ES"/>
        </w:rPr>
        <w:t>sentimientos de angustia, tristeza, frustración e inclusive engaño</w:t>
      </w:r>
      <w:r w:rsidR="00434A46" w:rsidRPr="00386E47">
        <w:rPr>
          <w:rFonts w:asciiTheme="majorHAnsi" w:eastAsia="Calibri" w:hAnsiTheme="majorHAnsi" w:cs="Arial"/>
          <w:sz w:val="20"/>
          <w:szCs w:val="20"/>
          <w:lang w:val="es-ES"/>
        </w:rPr>
        <w:t xml:space="preserve">. </w:t>
      </w:r>
    </w:p>
    <w:p w14:paraId="7BA8BFAA" w14:textId="77777777" w:rsidR="00D93236" w:rsidRPr="00386E47" w:rsidRDefault="00D93236" w:rsidP="00D93236">
      <w:pPr>
        <w:pStyle w:val="ListParagraph"/>
        <w:ind w:left="0"/>
        <w:jc w:val="both"/>
        <w:rPr>
          <w:rFonts w:asciiTheme="majorHAnsi" w:eastAsia="Calibri" w:hAnsiTheme="majorHAnsi"/>
          <w:sz w:val="20"/>
          <w:szCs w:val="20"/>
          <w:lang w:val="es-US"/>
        </w:rPr>
      </w:pPr>
    </w:p>
    <w:p w14:paraId="13CDE0C9" w14:textId="77777777" w:rsidR="00A444F8" w:rsidRPr="00386E47" w:rsidRDefault="00A444F8" w:rsidP="003A5860">
      <w:pPr>
        <w:pStyle w:val="ListParagraph"/>
        <w:numPr>
          <w:ilvl w:val="0"/>
          <w:numId w:val="55"/>
        </w:numPr>
        <w:ind w:left="0" w:firstLine="0"/>
        <w:jc w:val="both"/>
        <w:rPr>
          <w:rFonts w:asciiTheme="majorHAnsi" w:eastAsia="Calibri" w:hAnsiTheme="majorHAnsi"/>
          <w:sz w:val="20"/>
          <w:szCs w:val="20"/>
          <w:lang w:val="es-ES"/>
        </w:rPr>
      </w:pPr>
      <w:r w:rsidRPr="00386E47">
        <w:rPr>
          <w:rFonts w:asciiTheme="majorHAnsi" w:eastAsia="Calibri" w:hAnsiTheme="majorHAnsi"/>
          <w:sz w:val="20"/>
          <w:szCs w:val="20"/>
          <w:lang w:val="es-ES"/>
        </w:rPr>
        <w:t xml:space="preserve">En virtud de las anteriores consideraciones, la Comisión concluye que el Estado violó el derecho a la integridad psíquica y moral consagrado en el artículo 5.1 de la Convención Americana en relación con el deber de respeto establecido en el artículo 1.1. de la misma en perjuicio de los familiares de las víctimas. </w:t>
      </w:r>
    </w:p>
    <w:p w14:paraId="5C353498" w14:textId="77777777" w:rsidR="002F417B" w:rsidRPr="00386E47" w:rsidRDefault="002F417B" w:rsidP="002F417B">
      <w:pPr>
        <w:jc w:val="both"/>
        <w:rPr>
          <w:rFonts w:asciiTheme="majorHAnsi" w:eastAsia="Calibri" w:hAnsiTheme="majorHAnsi"/>
          <w:sz w:val="20"/>
          <w:szCs w:val="20"/>
          <w:lang w:val="es-ES"/>
        </w:rPr>
      </w:pPr>
    </w:p>
    <w:p w14:paraId="002F8031" w14:textId="77777777" w:rsidR="009F70EA" w:rsidRPr="00386E47" w:rsidRDefault="009F70EA" w:rsidP="00574033">
      <w:pPr>
        <w:pStyle w:val="Heading1"/>
        <w:spacing w:line="240" w:lineRule="auto"/>
        <w:rPr>
          <w:rFonts w:asciiTheme="majorHAnsi" w:hAnsiTheme="majorHAnsi"/>
        </w:rPr>
      </w:pPr>
      <w:bookmarkStart w:id="41" w:name="_Toc51252206"/>
      <w:r w:rsidRPr="00386E47">
        <w:rPr>
          <w:rFonts w:asciiTheme="majorHAnsi" w:hAnsiTheme="majorHAnsi"/>
        </w:rPr>
        <w:t>CONCLUSIONES Y RECOMENDACIONES</w:t>
      </w:r>
      <w:bookmarkEnd w:id="38"/>
      <w:bookmarkEnd w:id="39"/>
      <w:bookmarkEnd w:id="40"/>
      <w:bookmarkEnd w:id="41"/>
    </w:p>
    <w:p w14:paraId="39558A87" w14:textId="77777777" w:rsidR="00615A1C" w:rsidRPr="00386E47" w:rsidRDefault="00615A1C" w:rsidP="003A5860">
      <w:pPr>
        <w:pStyle w:val="ListParagraph"/>
        <w:numPr>
          <w:ilvl w:val="0"/>
          <w:numId w:val="55"/>
        </w:numPr>
        <w:ind w:left="0" w:firstLine="0"/>
        <w:jc w:val="both"/>
        <w:rPr>
          <w:rFonts w:asciiTheme="majorHAnsi" w:eastAsia="Calibri" w:hAnsiTheme="majorHAnsi"/>
          <w:sz w:val="20"/>
          <w:szCs w:val="20"/>
          <w:lang w:val="es-VE"/>
        </w:rPr>
      </w:pPr>
      <w:r w:rsidRPr="00386E47">
        <w:rPr>
          <w:rFonts w:asciiTheme="majorHAnsi" w:eastAsia="Calibri" w:hAnsiTheme="majorHAnsi"/>
          <w:sz w:val="20"/>
          <w:szCs w:val="20"/>
          <w:lang w:val="es-VE"/>
        </w:rPr>
        <w:t xml:space="preserve">En función de las consideraciones de hecho y de derecho expuestas a lo largo del presente informe, la </w:t>
      </w:r>
      <w:r w:rsidR="00574033" w:rsidRPr="00386E47">
        <w:rPr>
          <w:rFonts w:asciiTheme="majorHAnsi" w:eastAsia="Calibri" w:hAnsiTheme="majorHAnsi"/>
          <w:sz w:val="20"/>
          <w:szCs w:val="20"/>
          <w:lang w:val="es-VE"/>
        </w:rPr>
        <w:t>Comisión</w:t>
      </w:r>
      <w:r w:rsidRPr="00386E47">
        <w:rPr>
          <w:rFonts w:asciiTheme="majorHAnsi" w:eastAsia="Calibri" w:hAnsiTheme="majorHAnsi"/>
          <w:sz w:val="20"/>
          <w:szCs w:val="20"/>
          <w:lang w:val="es-VE"/>
        </w:rPr>
        <w:t xml:space="preserve"> concluye </w:t>
      </w:r>
      <w:r w:rsidR="009F70EA" w:rsidRPr="00386E47">
        <w:rPr>
          <w:rFonts w:asciiTheme="majorHAnsi" w:eastAsia="Calibri" w:hAnsiTheme="majorHAnsi"/>
          <w:sz w:val="20"/>
          <w:szCs w:val="20"/>
          <w:lang w:val="es-US"/>
        </w:rPr>
        <w:t xml:space="preserve">que </w:t>
      </w:r>
      <w:r w:rsidRPr="00386E47">
        <w:rPr>
          <w:rFonts w:asciiTheme="majorHAnsi" w:eastAsia="Calibri" w:hAnsiTheme="majorHAnsi"/>
          <w:sz w:val="20"/>
          <w:szCs w:val="20"/>
          <w:lang w:val="es-US"/>
        </w:rPr>
        <w:t>el Estado argentino</w:t>
      </w:r>
      <w:r w:rsidR="009F70EA" w:rsidRPr="00386E47">
        <w:rPr>
          <w:rFonts w:asciiTheme="majorHAnsi" w:eastAsia="Calibri" w:hAnsiTheme="majorHAnsi"/>
          <w:sz w:val="20"/>
          <w:szCs w:val="20"/>
          <w:lang w:val="es-US"/>
        </w:rPr>
        <w:t xml:space="preserve"> es responsable por la violación de los derechos a la vida, a la integridad personal, </w:t>
      </w:r>
      <w:r w:rsidRPr="00386E47">
        <w:rPr>
          <w:rFonts w:asciiTheme="majorHAnsi" w:eastAsia="Calibri" w:hAnsiTheme="majorHAnsi"/>
          <w:sz w:val="20"/>
          <w:szCs w:val="20"/>
          <w:lang w:val="es-US"/>
        </w:rPr>
        <w:t>de acceso a la información</w:t>
      </w:r>
      <w:r w:rsidR="00F07144" w:rsidRPr="00386E47">
        <w:rPr>
          <w:rFonts w:asciiTheme="majorHAnsi" w:eastAsia="Calibri" w:hAnsiTheme="majorHAnsi"/>
          <w:sz w:val="20"/>
          <w:szCs w:val="20"/>
          <w:lang w:val="es-US"/>
        </w:rPr>
        <w:t xml:space="preserve">, </w:t>
      </w:r>
      <w:r w:rsidR="009F70EA" w:rsidRPr="00386E47">
        <w:rPr>
          <w:rFonts w:asciiTheme="majorHAnsi" w:eastAsia="Calibri" w:hAnsiTheme="majorHAnsi"/>
          <w:sz w:val="20"/>
          <w:szCs w:val="20"/>
          <w:lang w:val="es-ES_tradnl"/>
        </w:rPr>
        <w:t xml:space="preserve">a las </w:t>
      </w:r>
      <w:r w:rsidR="009F70EA" w:rsidRPr="00386E47">
        <w:rPr>
          <w:rFonts w:asciiTheme="majorHAnsi" w:eastAsia="Calibri" w:hAnsiTheme="majorHAnsi" w:cs="Garamond"/>
          <w:spacing w:val="-2"/>
          <w:sz w:val="20"/>
          <w:szCs w:val="20"/>
          <w:lang w:val="es-US"/>
        </w:rPr>
        <w:t>garantías judiciales</w:t>
      </w:r>
      <w:r w:rsidR="00950063" w:rsidRPr="00386E47">
        <w:rPr>
          <w:rFonts w:asciiTheme="majorHAnsi" w:eastAsia="Calibri" w:hAnsiTheme="majorHAnsi" w:cs="Garamond"/>
          <w:spacing w:val="-2"/>
          <w:sz w:val="20"/>
          <w:szCs w:val="20"/>
          <w:lang w:val="es-US"/>
        </w:rPr>
        <w:t>, a la igualdad</w:t>
      </w:r>
      <w:r w:rsidR="009F70EA" w:rsidRPr="00386E47">
        <w:rPr>
          <w:rFonts w:asciiTheme="majorHAnsi" w:eastAsia="Calibri" w:hAnsiTheme="majorHAnsi" w:cs="Garamond"/>
          <w:spacing w:val="-2"/>
          <w:sz w:val="20"/>
          <w:szCs w:val="20"/>
          <w:lang w:val="es-US"/>
        </w:rPr>
        <w:t xml:space="preserve"> y a la protección judicial.</w:t>
      </w:r>
      <w:r w:rsidR="009F70EA" w:rsidRPr="00386E47">
        <w:rPr>
          <w:rFonts w:asciiTheme="majorHAnsi" w:eastAsia="Calibri" w:hAnsiTheme="majorHAnsi"/>
          <w:sz w:val="20"/>
          <w:szCs w:val="20"/>
          <w:lang w:val="es-ES_tradnl"/>
        </w:rPr>
        <w:t xml:space="preserve"> Todo lo anterior, conforme a lo </w:t>
      </w:r>
      <w:r w:rsidR="009F70EA" w:rsidRPr="00386E47">
        <w:rPr>
          <w:rFonts w:asciiTheme="majorHAnsi" w:eastAsia="Calibri" w:hAnsiTheme="majorHAnsi"/>
          <w:sz w:val="20"/>
          <w:szCs w:val="20"/>
          <w:lang w:val="es-US"/>
        </w:rPr>
        <w:t>establecido en los artículos 4.1, 5.1</w:t>
      </w:r>
      <w:r w:rsidR="009F70EA" w:rsidRPr="00386E47">
        <w:rPr>
          <w:rFonts w:asciiTheme="majorHAnsi" w:eastAsia="Calibri" w:hAnsiTheme="majorHAnsi"/>
          <w:sz w:val="20"/>
          <w:szCs w:val="20"/>
          <w:lang w:val="es-ES_tradnl"/>
        </w:rPr>
        <w:t xml:space="preserve">, </w:t>
      </w:r>
      <w:r w:rsidR="00F07144" w:rsidRPr="00386E47">
        <w:rPr>
          <w:rFonts w:asciiTheme="majorHAnsi" w:eastAsia="Calibri" w:hAnsiTheme="majorHAnsi"/>
          <w:sz w:val="20"/>
          <w:szCs w:val="20"/>
          <w:lang w:val="es-US"/>
        </w:rPr>
        <w:t>8.1, 13</w:t>
      </w:r>
      <w:r w:rsidR="00171D37" w:rsidRPr="00386E47">
        <w:rPr>
          <w:rFonts w:asciiTheme="majorHAnsi" w:eastAsia="Calibri" w:hAnsiTheme="majorHAnsi"/>
          <w:sz w:val="20"/>
          <w:szCs w:val="20"/>
          <w:lang w:val="es-US"/>
        </w:rPr>
        <w:t>, 24</w:t>
      </w:r>
      <w:r w:rsidR="00F07144" w:rsidRPr="00386E47">
        <w:rPr>
          <w:rFonts w:asciiTheme="majorHAnsi" w:eastAsia="Calibri" w:hAnsiTheme="majorHAnsi"/>
          <w:sz w:val="20"/>
          <w:szCs w:val="20"/>
          <w:lang w:val="es-US"/>
        </w:rPr>
        <w:t xml:space="preserve"> </w:t>
      </w:r>
      <w:r w:rsidR="009F70EA" w:rsidRPr="00386E47">
        <w:rPr>
          <w:rFonts w:asciiTheme="majorHAnsi" w:eastAsia="Calibri" w:hAnsiTheme="majorHAnsi"/>
          <w:sz w:val="20"/>
          <w:szCs w:val="20"/>
          <w:lang w:val="es-US"/>
        </w:rPr>
        <w:t xml:space="preserve">y 25.1 de la Convención Americana en relación con el artículo 1.1 del mismo instrumento. </w:t>
      </w:r>
      <w:r w:rsidR="003E67F8" w:rsidRPr="00386E47">
        <w:rPr>
          <w:rFonts w:asciiTheme="majorHAnsi" w:eastAsia="Calibri" w:hAnsiTheme="majorHAnsi"/>
          <w:sz w:val="20"/>
          <w:szCs w:val="20"/>
          <w:lang w:val="es-US"/>
        </w:rPr>
        <w:t xml:space="preserve">Asimismo, </w:t>
      </w:r>
      <w:r w:rsidR="00DE6775" w:rsidRPr="00386E47">
        <w:rPr>
          <w:rFonts w:asciiTheme="majorHAnsi" w:eastAsia="Calibri" w:hAnsiTheme="majorHAnsi"/>
          <w:sz w:val="20"/>
          <w:szCs w:val="20"/>
          <w:lang w:val="es-US"/>
        </w:rPr>
        <w:t xml:space="preserve">la Comisión concluye que </w:t>
      </w:r>
      <w:r w:rsidR="003E67F8" w:rsidRPr="00386E47">
        <w:rPr>
          <w:rFonts w:asciiTheme="majorHAnsi" w:eastAsia="Calibri" w:hAnsiTheme="majorHAnsi"/>
          <w:sz w:val="20"/>
          <w:szCs w:val="20"/>
          <w:lang w:val="es-US"/>
        </w:rPr>
        <w:t>el Estado violó el artículo 13 de la Convención Americana en relación con el artículo 2 del mismo instrumento.</w:t>
      </w:r>
    </w:p>
    <w:p w14:paraId="21B035C3" w14:textId="77777777" w:rsidR="00171D37" w:rsidRPr="00386E47" w:rsidRDefault="00171D37" w:rsidP="002847DD">
      <w:pPr>
        <w:pStyle w:val="ListParagraph"/>
        <w:ind w:left="0"/>
        <w:jc w:val="both"/>
        <w:rPr>
          <w:rFonts w:asciiTheme="majorHAnsi" w:eastAsia="Calibri" w:hAnsiTheme="majorHAnsi"/>
          <w:sz w:val="20"/>
          <w:szCs w:val="20"/>
          <w:lang w:val="es-VE"/>
        </w:rPr>
      </w:pPr>
    </w:p>
    <w:p w14:paraId="000B3E1B" w14:textId="77777777" w:rsidR="00615A1C" w:rsidRPr="00386E47" w:rsidRDefault="00615A1C" w:rsidP="003A5860">
      <w:pPr>
        <w:pStyle w:val="ListParagraph"/>
        <w:numPr>
          <w:ilvl w:val="0"/>
          <w:numId w:val="55"/>
        </w:numPr>
        <w:ind w:left="0" w:firstLine="0"/>
        <w:jc w:val="both"/>
        <w:rPr>
          <w:rFonts w:asciiTheme="majorHAnsi" w:eastAsia="Calibri" w:hAnsiTheme="majorHAnsi"/>
          <w:sz w:val="20"/>
          <w:szCs w:val="20"/>
          <w:lang w:val="es-VE"/>
        </w:rPr>
      </w:pPr>
      <w:r w:rsidRPr="00386E47">
        <w:rPr>
          <w:rFonts w:asciiTheme="majorHAnsi" w:eastAsiaTheme="minorHAnsi" w:hAnsiTheme="majorHAnsi" w:cstheme="minorBidi"/>
          <w:sz w:val="20"/>
          <w:szCs w:val="20"/>
          <w:lang w:val="es-ES_tradnl"/>
        </w:rPr>
        <w:t xml:space="preserve">Con fundamento en el análisis y las conclusiones del presente informe: </w:t>
      </w:r>
    </w:p>
    <w:p w14:paraId="4A5A3121" w14:textId="77777777" w:rsidR="009F70EA" w:rsidRPr="00386E47" w:rsidRDefault="009F70EA" w:rsidP="009F70EA">
      <w:pPr>
        <w:spacing w:after="160" w:line="259" w:lineRule="auto"/>
        <w:ind w:left="720"/>
        <w:contextualSpacing/>
        <w:rPr>
          <w:rFonts w:asciiTheme="majorHAnsi" w:eastAsia="Calibri" w:hAnsiTheme="majorHAnsi"/>
          <w:b/>
          <w:sz w:val="20"/>
          <w:szCs w:val="20"/>
          <w:lang w:val="es-ES_tradnl"/>
        </w:rPr>
      </w:pPr>
    </w:p>
    <w:p w14:paraId="011B95FC" w14:textId="77777777" w:rsidR="009F70EA" w:rsidRPr="00386E47" w:rsidRDefault="009F70EA" w:rsidP="00574033">
      <w:pPr>
        <w:ind w:left="720"/>
        <w:contextualSpacing/>
        <w:jc w:val="both"/>
        <w:rPr>
          <w:rFonts w:asciiTheme="majorHAnsi" w:eastAsia="Calibri" w:hAnsiTheme="majorHAnsi"/>
          <w:sz w:val="20"/>
          <w:szCs w:val="20"/>
          <w:lang w:val="es-VE"/>
        </w:rPr>
      </w:pPr>
      <w:r w:rsidRPr="00386E47">
        <w:rPr>
          <w:rFonts w:asciiTheme="majorHAnsi" w:eastAsia="Calibri" w:hAnsiTheme="majorHAnsi"/>
          <w:b/>
          <w:sz w:val="20"/>
          <w:szCs w:val="20"/>
          <w:lang w:val="es-ES_tradnl"/>
        </w:rPr>
        <w:t>LA COMISIÓN INT</w:t>
      </w:r>
      <w:r w:rsidR="00615A1C" w:rsidRPr="00386E47">
        <w:rPr>
          <w:rFonts w:asciiTheme="majorHAnsi" w:eastAsia="Calibri" w:hAnsiTheme="majorHAnsi"/>
          <w:b/>
          <w:sz w:val="20"/>
          <w:szCs w:val="20"/>
          <w:lang w:val="es-ES_tradnl"/>
        </w:rPr>
        <w:t>ERAMERICANA DE DERECHOS HUMANOS</w:t>
      </w:r>
      <w:r w:rsidRPr="00386E47">
        <w:rPr>
          <w:rFonts w:asciiTheme="majorHAnsi" w:eastAsia="Calibri" w:hAnsiTheme="majorHAnsi"/>
          <w:b/>
          <w:sz w:val="20"/>
          <w:szCs w:val="20"/>
          <w:lang w:val="es-ES_tradnl"/>
        </w:rPr>
        <w:t xml:space="preserve"> RECOMIENDA A</w:t>
      </w:r>
      <w:r w:rsidR="00615A1C" w:rsidRPr="00386E47">
        <w:rPr>
          <w:rFonts w:asciiTheme="majorHAnsi" w:eastAsia="Calibri" w:hAnsiTheme="majorHAnsi"/>
          <w:b/>
          <w:sz w:val="20"/>
          <w:szCs w:val="20"/>
          <w:lang w:val="es-ES_tradnl"/>
        </w:rPr>
        <w:t xml:space="preserve">L ESTADO ARGENTINO: </w:t>
      </w:r>
    </w:p>
    <w:p w14:paraId="1A55A13E" w14:textId="77777777" w:rsidR="00574033" w:rsidRPr="00386E47" w:rsidRDefault="00574033" w:rsidP="00574033">
      <w:pPr>
        <w:ind w:left="720"/>
        <w:contextualSpacing/>
        <w:jc w:val="both"/>
        <w:rPr>
          <w:rFonts w:asciiTheme="majorHAnsi" w:eastAsia="Calibri" w:hAnsiTheme="majorHAnsi"/>
          <w:sz w:val="20"/>
          <w:szCs w:val="20"/>
          <w:lang w:val="es-VE"/>
        </w:rPr>
      </w:pPr>
    </w:p>
    <w:p w14:paraId="62177FF2" w14:textId="77777777" w:rsidR="00EB0900" w:rsidRPr="00386E47" w:rsidRDefault="00CC69DE" w:rsidP="003A5860">
      <w:pPr>
        <w:numPr>
          <w:ilvl w:val="0"/>
          <w:numId w:val="56"/>
        </w:numPr>
        <w:tabs>
          <w:tab w:val="left" w:pos="567"/>
        </w:tabs>
        <w:ind w:left="0" w:firstLine="0"/>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Conducir y llevar a término, de manera eficaz y dentro de un plazo razonable, la investigación </w:t>
      </w:r>
      <w:r w:rsidR="000C72F9" w:rsidRPr="00386E47">
        <w:rPr>
          <w:rFonts w:asciiTheme="majorHAnsi" w:eastAsia="Calibri" w:hAnsiTheme="majorHAnsi"/>
          <w:sz w:val="20"/>
          <w:szCs w:val="20"/>
          <w:lang w:val="es-ES_tradnl"/>
        </w:rPr>
        <w:t xml:space="preserve">de los hechos del </w:t>
      </w:r>
      <w:r w:rsidRPr="00386E47">
        <w:rPr>
          <w:rFonts w:asciiTheme="majorHAnsi" w:eastAsia="Calibri" w:hAnsiTheme="majorHAnsi"/>
          <w:sz w:val="20"/>
          <w:szCs w:val="20"/>
          <w:lang w:val="es-ES_tradnl"/>
        </w:rPr>
        <w:t xml:space="preserve">caso, con el fin de juzgar y sancionar a todos los responsables materiales e intelectuales de las </w:t>
      </w:r>
      <w:r w:rsidR="006F14A5" w:rsidRPr="00386E47">
        <w:rPr>
          <w:rFonts w:asciiTheme="majorHAnsi" w:eastAsia="Calibri" w:hAnsiTheme="majorHAnsi"/>
          <w:sz w:val="20"/>
          <w:szCs w:val="20"/>
          <w:lang w:val="es-ES_tradnl"/>
        </w:rPr>
        <w:t xml:space="preserve">graves </w:t>
      </w:r>
      <w:r w:rsidRPr="00386E47">
        <w:rPr>
          <w:rFonts w:asciiTheme="majorHAnsi" w:eastAsia="Calibri" w:hAnsiTheme="majorHAnsi"/>
          <w:sz w:val="20"/>
          <w:szCs w:val="20"/>
          <w:lang w:val="es-ES_tradnl"/>
        </w:rPr>
        <w:t xml:space="preserve">violaciones de derechos humanos declaradas en el presente informe. En particular, el Estado debe proseguir las investigaciones judiciales para esclarecer </w:t>
      </w:r>
      <w:r w:rsidR="005E09EA" w:rsidRPr="00386E47">
        <w:rPr>
          <w:rFonts w:asciiTheme="majorHAnsi" w:eastAsia="Calibri" w:hAnsiTheme="majorHAnsi"/>
          <w:sz w:val="20"/>
          <w:szCs w:val="20"/>
          <w:lang w:val="es-ES_tradnl"/>
        </w:rPr>
        <w:t>el atentado a la sede de la AMIA</w:t>
      </w:r>
      <w:r w:rsidRPr="00386E47">
        <w:rPr>
          <w:rFonts w:asciiTheme="majorHAnsi" w:eastAsia="Calibri" w:hAnsiTheme="majorHAnsi"/>
          <w:sz w:val="20"/>
          <w:szCs w:val="20"/>
          <w:lang w:val="es-ES_tradnl"/>
        </w:rPr>
        <w:t xml:space="preserve"> y </w:t>
      </w:r>
      <w:r w:rsidR="00E31B79" w:rsidRPr="00386E47">
        <w:rPr>
          <w:rFonts w:asciiTheme="majorHAnsi" w:eastAsia="Calibri" w:hAnsiTheme="majorHAnsi"/>
          <w:sz w:val="20"/>
          <w:szCs w:val="20"/>
          <w:lang w:val="es-ES_tradnl"/>
        </w:rPr>
        <w:t>sancionar</w:t>
      </w:r>
      <w:r w:rsidRPr="00386E47">
        <w:rPr>
          <w:rFonts w:asciiTheme="majorHAnsi" w:eastAsia="Calibri" w:hAnsiTheme="majorHAnsi"/>
          <w:sz w:val="20"/>
          <w:szCs w:val="20"/>
          <w:lang w:val="es-ES_tradnl"/>
        </w:rPr>
        <w:t xml:space="preserve"> a </w:t>
      </w:r>
      <w:r w:rsidR="005E09EA" w:rsidRPr="00386E47">
        <w:rPr>
          <w:rFonts w:asciiTheme="majorHAnsi" w:eastAsia="Calibri" w:hAnsiTheme="majorHAnsi"/>
          <w:sz w:val="20"/>
          <w:szCs w:val="20"/>
          <w:lang w:val="es-ES_tradnl"/>
        </w:rPr>
        <w:t>todos sus</w:t>
      </w:r>
      <w:r w:rsidRPr="00386E47">
        <w:rPr>
          <w:rFonts w:asciiTheme="majorHAnsi" w:eastAsia="Calibri" w:hAnsiTheme="majorHAnsi"/>
          <w:sz w:val="20"/>
          <w:szCs w:val="20"/>
          <w:lang w:val="es-ES_tradnl"/>
        </w:rPr>
        <w:t xml:space="preserve"> autores </w:t>
      </w:r>
      <w:r w:rsidR="005E09EA" w:rsidRPr="00386E47">
        <w:rPr>
          <w:rFonts w:asciiTheme="majorHAnsi" w:eastAsia="Calibri" w:hAnsiTheme="majorHAnsi"/>
          <w:sz w:val="20"/>
          <w:szCs w:val="20"/>
          <w:lang w:val="es-ES_tradnl"/>
        </w:rPr>
        <w:t>materiales e intelectuales,</w:t>
      </w:r>
      <w:r w:rsidRPr="00386E47">
        <w:rPr>
          <w:rFonts w:asciiTheme="majorHAnsi" w:eastAsia="Calibri" w:hAnsiTheme="majorHAnsi"/>
          <w:sz w:val="20"/>
          <w:szCs w:val="20"/>
          <w:lang w:val="es-ES_tradnl"/>
        </w:rPr>
        <w:t xml:space="preserve"> como así también a quienes hayan obstaculizado o encubierto </w:t>
      </w:r>
      <w:r w:rsidR="005E09EA" w:rsidRPr="00386E47">
        <w:rPr>
          <w:rFonts w:asciiTheme="majorHAnsi" w:eastAsia="Calibri" w:hAnsiTheme="majorHAnsi"/>
          <w:sz w:val="20"/>
          <w:szCs w:val="20"/>
          <w:lang w:val="es-ES_tradnl"/>
        </w:rPr>
        <w:t>las investigaciones</w:t>
      </w:r>
      <w:r w:rsidRPr="00386E47">
        <w:rPr>
          <w:rFonts w:asciiTheme="majorHAnsi" w:eastAsia="Calibri" w:hAnsiTheme="majorHAnsi"/>
          <w:sz w:val="20"/>
          <w:szCs w:val="20"/>
          <w:lang w:val="es-ES_tradnl"/>
        </w:rPr>
        <w:t xml:space="preserve">. </w:t>
      </w:r>
      <w:r w:rsidR="00D70180" w:rsidRPr="00386E47">
        <w:rPr>
          <w:rFonts w:asciiTheme="majorHAnsi" w:eastAsia="Calibri" w:hAnsiTheme="majorHAnsi"/>
          <w:sz w:val="20"/>
          <w:szCs w:val="20"/>
          <w:lang w:val="es-ES_tradnl"/>
        </w:rPr>
        <w:t>Con el objetivo de verificar los avances, e</w:t>
      </w:r>
      <w:r w:rsidR="00E31B79" w:rsidRPr="00386E47">
        <w:rPr>
          <w:rFonts w:asciiTheme="majorHAnsi" w:eastAsia="Calibri" w:hAnsiTheme="majorHAnsi"/>
          <w:sz w:val="20"/>
          <w:szCs w:val="20"/>
          <w:lang w:val="es-ES_tradnl"/>
        </w:rPr>
        <w:t xml:space="preserve">l Estado deberá de </w:t>
      </w:r>
      <w:r w:rsidR="00D70180" w:rsidRPr="00386E47">
        <w:rPr>
          <w:rFonts w:asciiTheme="majorHAnsi" w:eastAsia="Calibri" w:hAnsiTheme="majorHAnsi"/>
          <w:sz w:val="20"/>
          <w:szCs w:val="20"/>
          <w:lang w:val="es-ES_tradnl"/>
        </w:rPr>
        <w:t xml:space="preserve">retomar la práctica de publicar de forma periódica los informes de gestión de la UFI-AMIA.  Asimismo, deberá de mantener reuniones periódicas con los familiares a fin de brindarles información sobre </w:t>
      </w:r>
      <w:r w:rsidR="006F14A5" w:rsidRPr="00386E47">
        <w:rPr>
          <w:rFonts w:asciiTheme="majorHAnsi" w:eastAsia="Calibri" w:hAnsiTheme="majorHAnsi"/>
          <w:sz w:val="20"/>
          <w:szCs w:val="20"/>
          <w:lang w:val="es-ES_tradnl"/>
        </w:rPr>
        <w:t>los avances en las investigaciones.</w:t>
      </w:r>
    </w:p>
    <w:p w14:paraId="3A9443A3" w14:textId="77777777" w:rsidR="00CC69DE" w:rsidRPr="00386E47" w:rsidRDefault="00CC69DE" w:rsidP="00EB0900">
      <w:pPr>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 </w:t>
      </w:r>
    </w:p>
    <w:p w14:paraId="64F3A8C4" w14:textId="77777777" w:rsidR="00D70180" w:rsidRPr="00386E47" w:rsidRDefault="00A341A6" w:rsidP="00C3095B">
      <w:pPr>
        <w:numPr>
          <w:ilvl w:val="0"/>
          <w:numId w:val="56"/>
        </w:numPr>
        <w:tabs>
          <w:tab w:val="left" w:pos="567"/>
        </w:tabs>
        <w:ind w:left="0" w:firstLine="0"/>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Reparar adecuadamente todas las violaciones a los derechos humanos identifica</w:t>
      </w:r>
      <w:r w:rsidR="00E31B79" w:rsidRPr="00386E47">
        <w:rPr>
          <w:rFonts w:asciiTheme="majorHAnsi" w:eastAsia="Calibri" w:hAnsiTheme="majorHAnsi"/>
          <w:sz w:val="20"/>
          <w:szCs w:val="20"/>
          <w:lang w:val="es-ES_tradnl"/>
        </w:rPr>
        <w:t>da</w:t>
      </w:r>
      <w:r w:rsidRPr="00386E47">
        <w:rPr>
          <w:rFonts w:asciiTheme="majorHAnsi" w:eastAsia="Calibri" w:hAnsiTheme="majorHAnsi"/>
          <w:sz w:val="20"/>
          <w:szCs w:val="20"/>
          <w:lang w:val="es-ES_tradnl"/>
        </w:rPr>
        <w:t xml:space="preserve">s en perjuicio de las víctimas del presente informe, tanto en el aspecto material como inmaterial. Esta reparación debe incluir medidas de compensación pecuniaria y satisfacción para reparar tanto el daño material como moral. Dentro de las medidas de satisfacción </w:t>
      </w:r>
      <w:r w:rsidR="006F14A5" w:rsidRPr="00386E47">
        <w:rPr>
          <w:rFonts w:asciiTheme="majorHAnsi" w:eastAsia="Calibri" w:hAnsiTheme="majorHAnsi"/>
          <w:sz w:val="20"/>
          <w:szCs w:val="20"/>
          <w:lang w:val="es-ES_tradnl"/>
        </w:rPr>
        <w:t xml:space="preserve">que deberán de realizarse con la participación de las peticionarias, las víctimas y los familiares, </w:t>
      </w:r>
      <w:r w:rsidRPr="00386E47">
        <w:rPr>
          <w:rFonts w:asciiTheme="majorHAnsi" w:eastAsia="Calibri" w:hAnsiTheme="majorHAnsi"/>
          <w:sz w:val="20"/>
          <w:szCs w:val="20"/>
          <w:lang w:val="es-ES_tradnl"/>
        </w:rPr>
        <w:t>se encuentran: i)</w:t>
      </w:r>
      <w:r w:rsidR="00D70180" w:rsidRPr="00386E47">
        <w:rPr>
          <w:rFonts w:asciiTheme="majorHAnsi" w:eastAsia="Calibri" w:hAnsiTheme="majorHAnsi"/>
          <w:sz w:val="20"/>
          <w:szCs w:val="20"/>
          <w:lang w:val="es-ES_tradnl"/>
        </w:rPr>
        <w:t xml:space="preserve"> </w:t>
      </w:r>
      <w:r w:rsidR="006F14A5" w:rsidRPr="00386E47">
        <w:rPr>
          <w:rFonts w:asciiTheme="majorHAnsi" w:eastAsia="Calibri" w:hAnsiTheme="majorHAnsi"/>
          <w:sz w:val="20"/>
          <w:szCs w:val="20"/>
          <w:lang w:val="es-ES_tradnl"/>
        </w:rPr>
        <w:t xml:space="preserve">un acto de disculpas públicas </w:t>
      </w:r>
      <w:r w:rsidRPr="00386E47">
        <w:rPr>
          <w:rFonts w:asciiTheme="majorHAnsi" w:eastAsia="Calibri" w:hAnsiTheme="majorHAnsi"/>
          <w:sz w:val="20"/>
          <w:szCs w:val="20"/>
          <w:lang w:val="es-ES_tradnl"/>
        </w:rPr>
        <w:t>para todas las víctimas del atentado; ii) la realización, de actos conmemorativos que contribuyan a preservar la</w:t>
      </w:r>
      <w:r w:rsidR="00E31B79" w:rsidRPr="00386E47">
        <w:rPr>
          <w:rFonts w:asciiTheme="majorHAnsi" w:eastAsia="Calibri" w:hAnsiTheme="majorHAnsi"/>
          <w:sz w:val="20"/>
          <w:szCs w:val="20"/>
          <w:lang w:val="es-ES_tradnl"/>
        </w:rPr>
        <w:t xml:space="preserve"> verdad y la</w:t>
      </w:r>
      <w:r w:rsidRPr="00386E47">
        <w:rPr>
          <w:rFonts w:asciiTheme="majorHAnsi" w:eastAsia="Calibri" w:hAnsiTheme="majorHAnsi"/>
          <w:sz w:val="20"/>
          <w:szCs w:val="20"/>
          <w:lang w:val="es-ES_tradnl"/>
        </w:rPr>
        <w:t xml:space="preserve"> memoria </w:t>
      </w:r>
      <w:r w:rsidR="00E31B79" w:rsidRPr="00386E47">
        <w:rPr>
          <w:rFonts w:asciiTheme="majorHAnsi" w:eastAsia="Calibri" w:hAnsiTheme="majorHAnsi"/>
          <w:sz w:val="20"/>
          <w:szCs w:val="20"/>
          <w:lang w:val="es-ES_tradnl"/>
        </w:rPr>
        <w:t>en relación con el atentado de la AMIA como un paso fundamental a la dignificación de las víctimas mortales y sus familiares</w:t>
      </w:r>
      <w:r w:rsidR="00D70180" w:rsidRPr="00386E47">
        <w:rPr>
          <w:rFonts w:asciiTheme="majorHAnsi" w:eastAsia="Calibri" w:hAnsiTheme="majorHAnsi"/>
          <w:sz w:val="20"/>
          <w:szCs w:val="20"/>
          <w:lang w:val="es-ES_tradnl"/>
        </w:rPr>
        <w:t>;  iii) la realización de un documental audiovisual sobre los hechos del presente caso, sus víctimas y la búsque</w:t>
      </w:r>
      <w:r w:rsidR="006F14A5" w:rsidRPr="00386E47">
        <w:rPr>
          <w:rFonts w:asciiTheme="majorHAnsi" w:eastAsia="Calibri" w:hAnsiTheme="majorHAnsi"/>
          <w:sz w:val="20"/>
          <w:szCs w:val="20"/>
          <w:lang w:val="es-ES_tradnl"/>
        </w:rPr>
        <w:t>da de justicia de sus familiares.</w:t>
      </w:r>
    </w:p>
    <w:p w14:paraId="729E5E43" w14:textId="77777777" w:rsidR="00EB0900" w:rsidRPr="00386E47" w:rsidRDefault="00EB0900" w:rsidP="00EB0900">
      <w:pPr>
        <w:jc w:val="both"/>
        <w:rPr>
          <w:rFonts w:asciiTheme="majorHAnsi" w:eastAsia="Calibri" w:hAnsiTheme="majorHAnsi"/>
          <w:sz w:val="20"/>
          <w:szCs w:val="20"/>
          <w:lang w:val="es-ES_tradnl"/>
        </w:rPr>
      </w:pPr>
    </w:p>
    <w:p w14:paraId="4093223B" w14:textId="77777777" w:rsidR="00CC69DE" w:rsidRPr="00386E47" w:rsidRDefault="00CC69DE" w:rsidP="003A5860">
      <w:pPr>
        <w:numPr>
          <w:ilvl w:val="0"/>
          <w:numId w:val="56"/>
        </w:numPr>
        <w:tabs>
          <w:tab w:val="left" w:pos="567"/>
        </w:tabs>
        <w:ind w:left="0" w:firstLine="0"/>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Adoptar </w:t>
      </w:r>
      <w:r w:rsidR="00ED52FE" w:rsidRPr="00386E47">
        <w:rPr>
          <w:rFonts w:asciiTheme="majorHAnsi" w:eastAsia="Calibri" w:hAnsiTheme="majorHAnsi"/>
          <w:sz w:val="20"/>
          <w:szCs w:val="20"/>
          <w:lang w:val="es-ES_tradnl"/>
        </w:rPr>
        <w:t xml:space="preserve">e implementar las políticas y medidas necesarias para establecer un mecanismo de gestión y rendición de cuentas de las partidas presupuestarias secretas </w:t>
      </w:r>
      <w:r w:rsidR="000C72F9" w:rsidRPr="00386E47">
        <w:rPr>
          <w:rFonts w:asciiTheme="majorHAnsi" w:eastAsia="Calibri" w:hAnsiTheme="majorHAnsi"/>
          <w:sz w:val="20"/>
          <w:szCs w:val="20"/>
          <w:lang w:val="es-ES_tradnl"/>
        </w:rPr>
        <w:t>asignadas</w:t>
      </w:r>
      <w:r w:rsidR="00ED52FE" w:rsidRPr="00386E47">
        <w:rPr>
          <w:rFonts w:asciiTheme="majorHAnsi" w:eastAsia="Calibri" w:hAnsiTheme="majorHAnsi"/>
          <w:sz w:val="20"/>
          <w:szCs w:val="20"/>
          <w:lang w:val="es-ES_tradnl"/>
        </w:rPr>
        <w:t xml:space="preserve"> a los organismos de inteligencia del Estado argentino</w:t>
      </w:r>
      <w:r w:rsidR="000C72F9" w:rsidRPr="00386E47">
        <w:rPr>
          <w:rFonts w:asciiTheme="majorHAnsi" w:eastAsia="Calibri" w:hAnsiTheme="majorHAnsi"/>
          <w:sz w:val="20"/>
          <w:szCs w:val="20"/>
          <w:lang w:val="es-ES_tradnl"/>
        </w:rPr>
        <w:t xml:space="preserve">. </w:t>
      </w:r>
      <w:r w:rsidR="00117B28" w:rsidRPr="00386E47">
        <w:rPr>
          <w:rFonts w:asciiTheme="majorHAnsi" w:eastAsia="Calibri" w:hAnsiTheme="majorHAnsi"/>
          <w:sz w:val="20"/>
          <w:szCs w:val="20"/>
          <w:lang w:val="es-ES_tradnl"/>
        </w:rPr>
        <w:t>Dichas acciones deberán perseguir el objetivo de garantizar el</w:t>
      </w:r>
      <w:r w:rsidR="00ED52FE" w:rsidRPr="00386E47">
        <w:rPr>
          <w:rFonts w:asciiTheme="majorHAnsi" w:eastAsia="Calibri" w:hAnsiTheme="majorHAnsi"/>
          <w:sz w:val="20"/>
          <w:szCs w:val="20"/>
          <w:lang w:val="es-ES_tradnl"/>
        </w:rPr>
        <w:t xml:space="preserve"> adecuado registro</w:t>
      </w:r>
      <w:r w:rsidR="00117B28" w:rsidRPr="00386E47">
        <w:rPr>
          <w:rFonts w:asciiTheme="majorHAnsi" w:eastAsia="Calibri" w:hAnsiTheme="majorHAnsi"/>
          <w:sz w:val="20"/>
          <w:szCs w:val="20"/>
          <w:lang w:val="es-ES_tradnl"/>
        </w:rPr>
        <w:t xml:space="preserve"> de tales fondos</w:t>
      </w:r>
      <w:r w:rsidR="00ED52FE" w:rsidRPr="00386E47">
        <w:rPr>
          <w:rFonts w:asciiTheme="majorHAnsi" w:eastAsia="Calibri" w:hAnsiTheme="majorHAnsi"/>
          <w:sz w:val="20"/>
          <w:szCs w:val="20"/>
          <w:lang w:val="es-ES_tradnl"/>
        </w:rPr>
        <w:t xml:space="preserve">, la </w:t>
      </w:r>
      <w:r w:rsidR="00117B28" w:rsidRPr="00386E47">
        <w:rPr>
          <w:rFonts w:asciiTheme="majorHAnsi" w:eastAsia="Calibri" w:hAnsiTheme="majorHAnsi"/>
          <w:sz w:val="20"/>
          <w:szCs w:val="20"/>
          <w:lang w:val="es-ES_tradnl"/>
        </w:rPr>
        <w:t xml:space="preserve">legalidad </w:t>
      </w:r>
      <w:r w:rsidR="00ED52FE" w:rsidRPr="00386E47">
        <w:rPr>
          <w:rFonts w:asciiTheme="majorHAnsi" w:eastAsia="Calibri" w:hAnsiTheme="majorHAnsi"/>
          <w:sz w:val="20"/>
          <w:szCs w:val="20"/>
          <w:lang w:val="es-ES_tradnl"/>
        </w:rPr>
        <w:t xml:space="preserve">de su ejercicio y su control externo y oportuno.   </w:t>
      </w:r>
    </w:p>
    <w:p w14:paraId="67950EDE" w14:textId="77777777" w:rsidR="00EB0900" w:rsidRPr="00386E47" w:rsidRDefault="00EB0900" w:rsidP="00EB0900">
      <w:pPr>
        <w:jc w:val="both"/>
        <w:rPr>
          <w:rFonts w:asciiTheme="majorHAnsi" w:eastAsia="Calibri" w:hAnsiTheme="majorHAnsi"/>
          <w:sz w:val="20"/>
          <w:szCs w:val="20"/>
          <w:lang w:val="es-ES_tradnl"/>
        </w:rPr>
      </w:pPr>
    </w:p>
    <w:p w14:paraId="5C6847E4" w14:textId="77777777" w:rsidR="001D18A3" w:rsidRPr="00386E47" w:rsidRDefault="001D18A3" w:rsidP="003A5860">
      <w:pPr>
        <w:numPr>
          <w:ilvl w:val="0"/>
          <w:numId w:val="56"/>
        </w:numPr>
        <w:tabs>
          <w:tab w:val="left" w:pos="567"/>
        </w:tabs>
        <w:ind w:left="0" w:firstLine="0"/>
        <w:jc w:val="both"/>
        <w:rPr>
          <w:rFonts w:asciiTheme="majorHAnsi" w:eastAsia="Calibri" w:hAnsiTheme="majorHAnsi"/>
          <w:sz w:val="20"/>
          <w:szCs w:val="20"/>
          <w:lang w:val="es-ES_tradnl"/>
        </w:rPr>
      </w:pPr>
      <w:r w:rsidRPr="00386E47">
        <w:rPr>
          <w:rFonts w:asciiTheme="majorHAnsi" w:eastAsia="Calibri" w:hAnsiTheme="majorHAnsi"/>
          <w:sz w:val="20"/>
          <w:szCs w:val="20"/>
          <w:lang w:val="es-ES_tradnl"/>
        </w:rPr>
        <w:t xml:space="preserve">Diseñar e implementar </w:t>
      </w:r>
      <w:r w:rsidR="005E09EA" w:rsidRPr="00386E47">
        <w:rPr>
          <w:rFonts w:asciiTheme="majorHAnsi" w:eastAsia="Calibri" w:hAnsiTheme="majorHAnsi"/>
          <w:sz w:val="20"/>
          <w:szCs w:val="20"/>
          <w:lang w:val="es-ES_tradnl"/>
        </w:rPr>
        <w:t xml:space="preserve">programas de formación y </w:t>
      </w:r>
      <w:r w:rsidRPr="00386E47">
        <w:rPr>
          <w:rFonts w:asciiTheme="majorHAnsi" w:eastAsia="Calibri" w:hAnsiTheme="majorHAnsi"/>
          <w:sz w:val="20"/>
          <w:szCs w:val="20"/>
          <w:lang w:val="es-ES_tradnl"/>
        </w:rPr>
        <w:t>capacitación dirigidos a todos los miembros de los cuerpos de seguridad</w:t>
      </w:r>
      <w:r w:rsidR="000C72F9" w:rsidRPr="00386E47">
        <w:rPr>
          <w:rFonts w:asciiTheme="majorHAnsi" w:eastAsia="Calibri" w:hAnsiTheme="majorHAnsi"/>
          <w:sz w:val="20"/>
          <w:szCs w:val="20"/>
          <w:lang w:val="es-ES_tradnl"/>
        </w:rPr>
        <w:t xml:space="preserve"> e </w:t>
      </w:r>
      <w:r w:rsidRPr="00386E47">
        <w:rPr>
          <w:rFonts w:asciiTheme="majorHAnsi" w:eastAsia="Calibri" w:hAnsiTheme="majorHAnsi"/>
          <w:sz w:val="20"/>
          <w:szCs w:val="20"/>
          <w:lang w:val="es-ES_tradnl"/>
        </w:rPr>
        <w:t>inteligencia</w:t>
      </w:r>
      <w:r w:rsidR="000C72F9" w:rsidRPr="00386E47">
        <w:rPr>
          <w:rFonts w:asciiTheme="majorHAnsi" w:eastAsia="Calibri" w:hAnsiTheme="majorHAnsi"/>
          <w:sz w:val="20"/>
          <w:szCs w:val="20"/>
          <w:lang w:val="es-ES_tradnl"/>
        </w:rPr>
        <w:t xml:space="preserve"> federales, como </w:t>
      </w:r>
      <w:r w:rsidR="005E09EA" w:rsidRPr="00386E47">
        <w:rPr>
          <w:rFonts w:asciiTheme="majorHAnsi" w:eastAsia="Calibri" w:hAnsiTheme="majorHAnsi"/>
          <w:sz w:val="20"/>
          <w:szCs w:val="20"/>
          <w:lang w:val="es-ES_tradnl"/>
        </w:rPr>
        <w:t xml:space="preserve">así </w:t>
      </w:r>
      <w:r w:rsidR="000C72F9" w:rsidRPr="00386E47">
        <w:rPr>
          <w:rFonts w:asciiTheme="majorHAnsi" w:eastAsia="Calibri" w:hAnsiTheme="majorHAnsi"/>
          <w:sz w:val="20"/>
          <w:szCs w:val="20"/>
          <w:lang w:val="es-ES_tradnl"/>
        </w:rPr>
        <w:t>también a los</w:t>
      </w:r>
      <w:r w:rsidRPr="00386E47">
        <w:rPr>
          <w:rFonts w:asciiTheme="majorHAnsi" w:eastAsia="Calibri" w:hAnsiTheme="majorHAnsi"/>
          <w:sz w:val="20"/>
          <w:szCs w:val="20"/>
          <w:lang w:val="es-ES_tradnl"/>
        </w:rPr>
        <w:t xml:space="preserve"> integrantes del Poder Judicial </w:t>
      </w:r>
      <w:r w:rsidR="000C72F9" w:rsidRPr="00386E47">
        <w:rPr>
          <w:rFonts w:asciiTheme="majorHAnsi" w:eastAsia="Calibri" w:hAnsiTheme="majorHAnsi"/>
          <w:sz w:val="20"/>
          <w:szCs w:val="20"/>
          <w:lang w:val="es-ES_tradnl"/>
        </w:rPr>
        <w:t xml:space="preserve">de la Nación, </w:t>
      </w:r>
      <w:r w:rsidRPr="00386E47">
        <w:rPr>
          <w:rFonts w:asciiTheme="majorHAnsi" w:eastAsia="Calibri" w:hAnsiTheme="majorHAnsi"/>
          <w:sz w:val="20"/>
          <w:szCs w:val="20"/>
          <w:lang w:val="es-ES_tradnl"/>
        </w:rPr>
        <w:t>que apunten a</w:t>
      </w:r>
      <w:r w:rsidR="00A341A6" w:rsidRPr="00386E47">
        <w:rPr>
          <w:rFonts w:asciiTheme="majorHAnsi" w:eastAsia="Calibri" w:hAnsiTheme="majorHAnsi"/>
          <w:sz w:val="20"/>
          <w:szCs w:val="20"/>
          <w:lang w:val="es-ES_tradnl"/>
        </w:rPr>
        <w:t xml:space="preserve"> fortalecer sus capacidades para</w:t>
      </w:r>
      <w:r w:rsidR="00950063" w:rsidRPr="00386E47">
        <w:rPr>
          <w:rFonts w:asciiTheme="majorHAnsi" w:eastAsia="Calibri" w:hAnsiTheme="majorHAnsi"/>
          <w:sz w:val="20"/>
          <w:szCs w:val="20"/>
          <w:lang w:val="es-ES_tradnl"/>
        </w:rPr>
        <w:t xml:space="preserve"> prevenir</w:t>
      </w:r>
      <w:r w:rsidR="00A341A6" w:rsidRPr="00386E47">
        <w:rPr>
          <w:rFonts w:asciiTheme="majorHAnsi" w:eastAsia="Calibri" w:hAnsiTheme="majorHAnsi"/>
          <w:sz w:val="20"/>
          <w:szCs w:val="20"/>
          <w:lang w:val="es-ES_tradnl"/>
        </w:rPr>
        <w:t xml:space="preserve"> </w:t>
      </w:r>
      <w:r w:rsidR="00950063" w:rsidRPr="00386E47">
        <w:rPr>
          <w:rFonts w:asciiTheme="majorHAnsi" w:eastAsia="Calibri" w:hAnsiTheme="majorHAnsi"/>
          <w:sz w:val="20"/>
          <w:szCs w:val="20"/>
          <w:lang w:val="es-ES_tradnl"/>
        </w:rPr>
        <w:t xml:space="preserve">e </w:t>
      </w:r>
      <w:r w:rsidR="00A341A6" w:rsidRPr="00386E47">
        <w:rPr>
          <w:rFonts w:asciiTheme="majorHAnsi" w:eastAsia="Calibri" w:hAnsiTheme="majorHAnsi"/>
          <w:sz w:val="20"/>
          <w:szCs w:val="20"/>
          <w:lang w:val="es-ES_tradnl"/>
        </w:rPr>
        <w:t>investigar delitos complejos</w:t>
      </w:r>
      <w:r w:rsidR="007B3D41" w:rsidRPr="00386E47">
        <w:rPr>
          <w:rFonts w:asciiTheme="majorHAnsi" w:eastAsia="Calibri" w:hAnsiTheme="majorHAnsi"/>
          <w:sz w:val="20"/>
          <w:szCs w:val="20"/>
          <w:lang w:val="es-ES_tradnl"/>
        </w:rPr>
        <w:t xml:space="preserve"> vinculados con la lucha contra el terrorismo</w:t>
      </w:r>
      <w:r w:rsidR="00A341A6" w:rsidRPr="00386E47">
        <w:rPr>
          <w:rFonts w:asciiTheme="majorHAnsi" w:eastAsia="Calibri" w:hAnsiTheme="majorHAnsi"/>
          <w:sz w:val="20"/>
          <w:szCs w:val="20"/>
          <w:lang w:val="es-ES_tradnl"/>
        </w:rPr>
        <w:t xml:space="preserve">. Asimismo, </w:t>
      </w:r>
      <w:r w:rsidRPr="00386E47">
        <w:rPr>
          <w:rFonts w:asciiTheme="majorHAnsi" w:eastAsia="Calibri" w:hAnsiTheme="majorHAnsi"/>
          <w:sz w:val="20"/>
          <w:szCs w:val="20"/>
          <w:lang w:val="es-ES_tradnl"/>
        </w:rPr>
        <w:t xml:space="preserve">difundir los principios y normas básicas de protección de los derechos humanos, haciendo especial énfasis en la protección de las libertades fundamentales </w:t>
      </w:r>
      <w:r w:rsidR="00117B28" w:rsidRPr="00386E47">
        <w:rPr>
          <w:rFonts w:asciiTheme="majorHAnsi" w:eastAsia="Calibri" w:hAnsiTheme="majorHAnsi"/>
          <w:sz w:val="20"/>
          <w:szCs w:val="20"/>
          <w:lang w:val="es-ES_tradnl"/>
        </w:rPr>
        <w:t xml:space="preserve">y de las garantías del </w:t>
      </w:r>
      <w:r w:rsidR="000C72F9" w:rsidRPr="00386E47">
        <w:rPr>
          <w:rFonts w:asciiTheme="majorHAnsi" w:eastAsia="Calibri" w:hAnsiTheme="majorHAnsi"/>
          <w:sz w:val="20"/>
          <w:szCs w:val="20"/>
          <w:lang w:val="es-ES_tradnl"/>
        </w:rPr>
        <w:t xml:space="preserve">debido proceso </w:t>
      </w:r>
      <w:r w:rsidRPr="00386E47">
        <w:rPr>
          <w:rFonts w:asciiTheme="majorHAnsi" w:eastAsia="Calibri" w:hAnsiTheme="majorHAnsi"/>
          <w:sz w:val="20"/>
          <w:szCs w:val="20"/>
          <w:lang w:val="es-ES_tradnl"/>
        </w:rPr>
        <w:t xml:space="preserve">en el contexto de la </w:t>
      </w:r>
      <w:r w:rsidR="000C72F9" w:rsidRPr="00386E47">
        <w:rPr>
          <w:rFonts w:asciiTheme="majorHAnsi" w:eastAsia="Calibri" w:hAnsiTheme="majorHAnsi"/>
          <w:sz w:val="20"/>
          <w:szCs w:val="20"/>
          <w:lang w:val="es-ES_tradnl"/>
        </w:rPr>
        <w:t xml:space="preserve">lucha contra el terrorismo. </w:t>
      </w:r>
    </w:p>
    <w:p w14:paraId="279AEF97" w14:textId="77777777" w:rsidR="00EB0900" w:rsidRPr="00386E47" w:rsidRDefault="00EB0900" w:rsidP="00EB0900">
      <w:pPr>
        <w:jc w:val="both"/>
        <w:rPr>
          <w:rFonts w:asciiTheme="majorHAnsi" w:eastAsia="Calibri" w:hAnsiTheme="majorHAnsi"/>
          <w:sz w:val="20"/>
          <w:szCs w:val="20"/>
          <w:lang w:val="es-ES_tradnl"/>
        </w:rPr>
      </w:pPr>
    </w:p>
    <w:p w14:paraId="7DE62DB2" w14:textId="77777777" w:rsidR="009F70EA" w:rsidRPr="00386E47" w:rsidRDefault="000C72F9" w:rsidP="003A5860">
      <w:pPr>
        <w:numPr>
          <w:ilvl w:val="0"/>
          <w:numId w:val="56"/>
        </w:numPr>
        <w:tabs>
          <w:tab w:val="left" w:pos="567"/>
        </w:tabs>
        <w:ind w:left="0" w:firstLine="0"/>
        <w:jc w:val="both"/>
        <w:rPr>
          <w:rFonts w:asciiTheme="majorHAnsi" w:eastAsia="Calibri" w:hAnsiTheme="majorHAnsi"/>
          <w:sz w:val="20"/>
          <w:szCs w:val="20"/>
          <w:lang w:val="es-ES_tradnl"/>
        </w:rPr>
      </w:pPr>
      <w:r w:rsidRPr="00386E47">
        <w:rPr>
          <w:rFonts w:asciiTheme="majorHAnsi" w:eastAsia="Calibri" w:hAnsiTheme="majorHAnsi"/>
          <w:sz w:val="20"/>
          <w:szCs w:val="20"/>
          <w:lang w:val="es-VE"/>
        </w:rPr>
        <w:t xml:space="preserve">Adoptar medidas para que los jueces y fiscales a cargo de </w:t>
      </w:r>
      <w:r w:rsidR="00A341A6" w:rsidRPr="00386E47">
        <w:rPr>
          <w:rFonts w:asciiTheme="majorHAnsi" w:eastAsia="Calibri" w:hAnsiTheme="majorHAnsi"/>
          <w:sz w:val="20"/>
          <w:szCs w:val="20"/>
          <w:lang w:val="es-VE"/>
        </w:rPr>
        <w:t>las investigaciones vi</w:t>
      </w:r>
      <w:r w:rsidR="007B3D41" w:rsidRPr="00386E47">
        <w:rPr>
          <w:rFonts w:asciiTheme="majorHAnsi" w:eastAsia="Calibri" w:hAnsiTheme="majorHAnsi"/>
          <w:sz w:val="20"/>
          <w:szCs w:val="20"/>
          <w:lang w:val="es-VE"/>
        </w:rPr>
        <w:t>n</w:t>
      </w:r>
      <w:r w:rsidR="00A341A6" w:rsidRPr="00386E47">
        <w:rPr>
          <w:rFonts w:asciiTheme="majorHAnsi" w:eastAsia="Calibri" w:hAnsiTheme="majorHAnsi"/>
          <w:sz w:val="20"/>
          <w:szCs w:val="20"/>
          <w:lang w:val="es-VE"/>
        </w:rPr>
        <w:t>culadas con el atentado a la AMIA</w:t>
      </w:r>
      <w:r w:rsidRPr="00386E47">
        <w:rPr>
          <w:rFonts w:asciiTheme="majorHAnsi" w:eastAsia="Calibri" w:hAnsiTheme="majorHAnsi"/>
          <w:sz w:val="20"/>
          <w:szCs w:val="20"/>
          <w:lang w:val="es-VE"/>
        </w:rPr>
        <w:t xml:space="preserve"> puedan contar con toda la información relevante para conocer la verdad y juzgar y sancionar a los r</w:t>
      </w:r>
      <w:r w:rsidR="00A341A6" w:rsidRPr="00386E47">
        <w:rPr>
          <w:rFonts w:asciiTheme="majorHAnsi" w:eastAsia="Calibri" w:hAnsiTheme="majorHAnsi"/>
          <w:sz w:val="20"/>
          <w:szCs w:val="20"/>
          <w:lang w:val="es-VE"/>
        </w:rPr>
        <w:t>esponsables,</w:t>
      </w:r>
      <w:r w:rsidRPr="00386E47">
        <w:rPr>
          <w:rFonts w:asciiTheme="majorHAnsi" w:eastAsia="Calibri" w:hAnsiTheme="majorHAnsi"/>
          <w:sz w:val="20"/>
          <w:szCs w:val="20"/>
          <w:lang w:val="es-VE"/>
        </w:rPr>
        <w:t xml:space="preserve"> incluso si la </w:t>
      </w:r>
      <w:r w:rsidR="00574033" w:rsidRPr="00386E47">
        <w:rPr>
          <w:rFonts w:asciiTheme="majorHAnsi" w:eastAsia="Calibri" w:hAnsiTheme="majorHAnsi"/>
          <w:sz w:val="20"/>
          <w:szCs w:val="20"/>
          <w:lang w:val="es-VE"/>
        </w:rPr>
        <w:t>información</w:t>
      </w:r>
      <w:r w:rsidRPr="00386E47">
        <w:rPr>
          <w:rFonts w:asciiTheme="majorHAnsi" w:eastAsia="Calibri" w:hAnsiTheme="majorHAnsi"/>
          <w:sz w:val="20"/>
          <w:szCs w:val="20"/>
          <w:lang w:val="es-VE"/>
        </w:rPr>
        <w:t xml:space="preserve"> se encuentra sometida a </w:t>
      </w:r>
      <w:r w:rsidR="00574033" w:rsidRPr="00386E47">
        <w:rPr>
          <w:rFonts w:asciiTheme="majorHAnsi" w:eastAsia="Calibri" w:hAnsiTheme="majorHAnsi"/>
          <w:sz w:val="20"/>
          <w:szCs w:val="20"/>
          <w:lang w:val="es-VE"/>
        </w:rPr>
        <w:t>cualquier</w:t>
      </w:r>
      <w:r w:rsidRPr="00386E47">
        <w:rPr>
          <w:rFonts w:asciiTheme="majorHAnsi" w:eastAsia="Calibri" w:hAnsiTheme="majorHAnsi"/>
          <w:sz w:val="20"/>
          <w:szCs w:val="20"/>
          <w:lang w:val="es-VE"/>
        </w:rPr>
        <w:t xml:space="preserve"> tipo de reserva o secreto de estado</w:t>
      </w:r>
      <w:r w:rsidR="00A341A6" w:rsidRPr="00386E47">
        <w:rPr>
          <w:rFonts w:asciiTheme="majorHAnsi" w:eastAsia="Calibri" w:hAnsiTheme="majorHAnsi"/>
          <w:sz w:val="20"/>
          <w:szCs w:val="20"/>
          <w:lang w:val="es-VE"/>
        </w:rPr>
        <w:t xml:space="preserve">. </w:t>
      </w:r>
      <w:r w:rsidR="00EB0900" w:rsidRPr="00386E47">
        <w:rPr>
          <w:rFonts w:asciiTheme="majorHAnsi" w:eastAsia="Calibri" w:hAnsiTheme="majorHAnsi"/>
          <w:sz w:val="20"/>
          <w:szCs w:val="20"/>
          <w:lang w:val="es-VE"/>
        </w:rPr>
        <w:t xml:space="preserve">De igual manera, </w:t>
      </w:r>
      <w:r w:rsidRPr="00386E47">
        <w:rPr>
          <w:rFonts w:asciiTheme="majorHAnsi" w:eastAsia="Calibri" w:hAnsiTheme="majorHAnsi"/>
          <w:sz w:val="20"/>
          <w:szCs w:val="20"/>
          <w:lang w:val="es-VE"/>
        </w:rPr>
        <w:t xml:space="preserve">asegurar que </w:t>
      </w:r>
      <w:r w:rsidR="00EB0900" w:rsidRPr="00386E47">
        <w:rPr>
          <w:rFonts w:asciiTheme="majorHAnsi" w:eastAsia="Calibri" w:hAnsiTheme="majorHAnsi"/>
          <w:sz w:val="20"/>
          <w:szCs w:val="20"/>
          <w:lang w:val="es-VE"/>
        </w:rPr>
        <w:t xml:space="preserve">los peticionarios y las </w:t>
      </w:r>
      <w:r w:rsidR="00574033" w:rsidRPr="00386E47">
        <w:rPr>
          <w:rFonts w:asciiTheme="majorHAnsi" w:eastAsia="Calibri" w:hAnsiTheme="majorHAnsi"/>
          <w:sz w:val="20"/>
          <w:szCs w:val="20"/>
          <w:lang w:val="es-VE"/>
        </w:rPr>
        <w:t>víctimas</w:t>
      </w:r>
      <w:r w:rsidR="00EB0900" w:rsidRPr="00386E47">
        <w:rPr>
          <w:rFonts w:asciiTheme="majorHAnsi" w:eastAsia="Calibri" w:hAnsiTheme="majorHAnsi"/>
          <w:sz w:val="20"/>
          <w:szCs w:val="20"/>
          <w:lang w:val="es-VE"/>
        </w:rPr>
        <w:t xml:space="preserve"> del atentado </w:t>
      </w:r>
      <w:r w:rsidRPr="00386E47">
        <w:rPr>
          <w:rFonts w:asciiTheme="majorHAnsi" w:eastAsia="Calibri" w:hAnsiTheme="majorHAnsi"/>
          <w:sz w:val="20"/>
          <w:szCs w:val="20"/>
          <w:lang w:val="es-VE"/>
        </w:rPr>
        <w:t xml:space="preserve">puedan </w:t>
      </w:r>
      <w:r w:rsidR="00EB0900" w:rsidRPr="00386E47">
        <w:rPr>
          <w:rFonts w:asciiTheme="majorHAnsi" w:eastAsia="Calibri" w:hAnsiTheme="majorHAnsi"/>
          <w:sz w:val="20"/>
          <w:szCs w:val="20"/>
          <w:lang w:val="es-VE"/>
        </w:rPr>
        <w:t xml:space="preserve">acceder </w:t>
      </w:r>
      <w:r w:rsidR="006F14A5" w:rsidRPr="00386E47">
        <w:rPr>
          <w:rFonts w:asciiTheme="majorHAnsi" w:eastAsia="Calibri" w:hAnsiTheme="majorHAnsi"/>
          <w:sz w:val="20"/>
          <w:szCs w:val="20"/>
          <w:lang w:val="es-VE"/>
        </w:rPr>
        <w:t>a la</w:t>
      </w:r>
      <w:r w:rsidR="00EB0900" w:rsidRPr="00386E47">
        <w:rPr>
          <w:rFonts w:asciiTheme="majorHAnsi" w:eastAsia="Calibri" w:hAnsiTheme="majorHAnsi"/>
          <w:sz w:val="20"/>
          <w:szCs w:val="20"/>
          <w:lang w:val="es-VE"/>
        </w:rPr>
        <w:t xml:space="preserve"> </w:t>
      </w:r>
      <w:r w:rsidR="006F14A5" w:rsidRPr="00386E47">
        <w:rPr>
          <w:rFonts w:asciiTheme="majorHAnsi" w:eastAsia="Calibri" w:hAnsiTheme="majorHAnsi"/>
          <w:sz w:val="20"/>
          <w:szCs w:val="20"/>
          <w:lang w:val="es-VE"/>
        </w:rPr>
        <w:t>información</w:t>
      </w:r>
      <w:r w:rsidR="00EB0900" w:rsidRPr="00386E47">
        <w:rPr>
          <w:rFonts w:asciiTheme="majorHAnsi" w:eastAsia="Calibri" w:hAnsiTheme="majorHAnsi"/>
          <w:sz w:val="20"/>
          <w:szCs w:val="20"/>
          <w:lang w:val="es-VE"/>
        </w:rPr>
        <w:t xml:space="preserve"> que se encuentre vinculada con el </w:t>
      </w:r>
      <w:r w:rsidR="006F14A5" w:rsidRPr="00386E47">
        <w:rPr>
          <w:rFonts w:asciiTheme="majorHAnsi" w:eastAsia="Calibri" w:hAnsiTheme="majorHAnsi"/>
          <w:sz w:val="20"/>
          <w:szCs w:val="20"/>
          <w:lang w:val="es-VE"/>
        </w:rPr>
        <w:t>caso.</w:t>
      </w:r>
      <w:r w:rsidR="00EB0900" w:rsidRPr="00386E47">
        <w:rPr>
          <w:rFonts w:asciiTheme="majorHAnsi" w:eastAsia="Calibri" w:hAnsiTheme="majorHAnsi"/>
          <w:sz w:val="20"/>
          <w:szCs w:val="20"/>
          <w:lang w:val="es-VE"/>
        </w:rPr>
        <w:t xml:space="preserve"> </w:t>
      </w:r>
      <w:r w:rsidRPr="00386E47">
        <w:rPr>
          <w:rFonts w:asciiTheme="majorHAnsi" w:eastAsia="Calibri" w:hAnsiTheme="majorHAnsi"/>
          <w:sz w:val="20"/>
          <w:szCs w:val="20"/>
          <w:lang w:val="es-VE"/>
        </w:rPr>
        <w:t>En ambos casos, se debe implementar las medidas conducentes para</w:t>
      </w:r>
      <w:r w:rsidR="003678F0" w:rsidRPr="00386E47">
        <w:rPr>
          <w:rFonts w:asciiTheme="majorHAnsi" w:eastAsia="Calibri" w:hAnsiTheme="majorHAnsi"/>
          <w:sz w:val="20"/>
          <w:szCs w:val="20"/>
          <w:lang w:val="es-VE"/>
        </w:rPr>
        <w:t xml:space="preserve"> que la toda </w:t>
      </w:r>
      <w:r w:rsidR="003678F0" w:rsidRPr="00386E47">
        <w:rPr>
          <w:rFonts w:asciiTheme="majorHAnsi" w:eastAsia="Calibri" w:hAnsiTheme="majorHAnsi"/>
          <w:sz w:val="20"/>
          <w:szCs w:val="20"/>
          <w:lang w:val="es-VE"/>
        </w:rPr>
        <w:lastRenderedPageBreak/>
        <w:t>aque</w:t>
      </w:r>
      <w:r w:rsidR="00E31B79" w:rsidRPr="00386E47">
        <w:rPr>
          <w:rFonts w:asciiTheme="majorHAnsi" w:eastAsia="Calibri" w:hAnsiTheme="majorHAnsi"/>
          <w:sz w:val="20"/>
          <w:szCs w:val="20"/>
          <w:lang w:val="es-VE"/>
        </w:rPr>
        <w:t>l</w:t>
      </w:r>
      <w:r w:rsidR="003678F0" w:rsidRPr="00386E47">
        <w:rPr>
          <w:rFonts w:asciiTheme="majorHAnsi" w:eastAsia="Calibri" w:hAnsiTheme="majorHAnsi"/>
          <w:sz w:val="20"/>
          <w:szCs w:val="20"/>
          <w:lang w:val="es-VE"/>
        </w:rPr>
        <w:t xml:space="preserve">la </w:t>
      </w:r>
      <w:r w:rsidR="00574033" w:rsidRPr="00386E47">
        <w:rPr>
          <w:rFonts w:asciiTheme="majorHAnsi" w:eastAsia="Calibri" w:hAnsiTheme="majorHAnsi"/>
          <w:sz w:val="20"/>
          <w:szCs w:val="20"/>
          <w:lang w:val="es-VE"/>
        </w:rPr>
        <w:t>información</w:t>
      </w:r>
      <w:r w:rsidR="003678F0" w:rsidRPr="00386E47">
        <w:rPr>
          <w:rFonts w:asciiTheme="majorHAnsi" w:eastAsia="Calibri" w:hAnsiTheme="majorHAnsi"/>
          <w:sz w:val="20"/>
          <w:szCs w:val="20"/>
          <w:lang w:val="es-VE"/>
        </w:rPr>
        <w:t xml:space="preserve"> en poder del Estado relativa al ataque a la AMIA se encuentre debidamente resguardada</w:t>
      </w:r>
      <w:r w:rsidR="00E31B79" w:rsidRPr="00386E47">
        <w:rPr>
          <w:rFonts w:asciiTheme="majorHAnsi" w:eastAsia="Calibri" w:hAnsiTheme="majorHAnsi"/>
          <w:sz w:val="20"/>
          <w:szCs w:val="20"/>
          <w:lang w:val="es-VE"/>
        </w:rPr>
        <w:t xml:space="preserve"> y preservada</w:t>
      </w:r>
      <w:r w:rsidR="003678F0" w:rsidRPr="00386E47">
        <w:rPr>
          <w:rFonts w:asciiTheme="majorHAnsi" w:eastAsia="Calibri" w:hAnsiTheme="majorHAnsi"/>
          <w:sz w:val="20"/>
          <w:szCs w:val="20"/>
          <w:lang w:val="es-VE"/>
        </w:rPr>
        <w:t xml:space="preserve">. </w:t>
      </w:r>
    </w:p>
    <w:p w14:paraId="02740E90" w14:textId="77777777" w:rsidR="00950063" w:rsidRPr="00386E47" w:rsidRDefault="00950063" w:rsidP="00950063">
      <w:pPr>
        <w:pStyle w:val="ListParagraph"/>
        <w:rPr>
          <w:rFonts w:asciiTheme="majorHAnsi" w:eastAsia="Calibri" w:hAnsiTheme="majorHAnsi"/>
          <w:sz w:val="20"/>
          <w:szCs w:val="20"/>
          <w:lang w:val="es-ES_tradnl"/>
        </w:rPr>
      </w:pPr>
    </w:p>
    <w:p w14:paraId="395F5865" w14:textId="77777777" w:rsidR="00950063" w:rsidRPr="00386E47" w:rsidRDefault="00950063" w:rsidP="003A5860">
      <w:pPr>
        <w:numPr>
          <w:ilvl w:val="0"/>
          <w:numId w:val="56"/>
        </w:numPr>
        <w:tabs>
          <w:tab w:val="left" w:pos="567"/>
        </w:tabs>
        <w:ind w:left="0" w:firstLine="0"/>
        <w:jc w:val="both"/>
        <w:rPr>
          <w:rFonts w:asciiTheme="majorHAnsi" w:eastAsia="Calibri" w:hAnsiTheme="majorHAnsi"/>
          <w:sz w:val="20"/>
          <w:szCs w:val="20"/>
          <w:lang w:val="es-ES_tradnl"/>
        </w:rPr>
      </w:pPr>
      <w:r w:rsidRPr="00386E47">
        <w:rPr>
          <w:rFonts w:asciiTheme="majorHAnsi" w:eastAsia="Calibri" w:hAnsiTheme="majorHAnsi"/>
          <w:sz w:val="20"/>
          <w:szCs w:val="20"/>
          <w:lang w:val="es-VE"/>
        </w:rPr>
        <w:t xml:space="preserve">      </w:t>
      </w:r>
      <w:r w:rsidRPr="00386E47">
        <w:rPr>
          <w:rFonts w:asciiTheme="majorHAnsi" w:eastAsia="Calibri" w:hAnsiTheme="majorHAnsi"/>
          <w:sz w:val="20"/>
          <w:szCs w:val="20"/>
          <w:lang w:val="es-ES_tradnl"/>
        </w:rPr>
        <w:t>Adoptar e implementar medidas para fortalecer las capacidades del Estado en materia de prevención de ataques terroristas</w:t>
      </w:r>
      <w:r w:rsidR="00386E47" w:rsidRPr="00386E47">
        <w:rPr>
          <w:rFonts w:asciiTheme="majorHAnsi" w:eastAsia="Calibri" w:hAnsiTheme="majorHAnsi"/>
          <w:sz w:val="20"/>
          <w:szCs w:val="20"/>
          <w:lang w:val="es-ES_tradnl"/>
        </w:rPr>
        <w:t xml:space="preserve"> que constituyan actos discriminatorios. As</w:t>
      </w:r>
      <w:r w:rsidRPr="00386E47">
        <w:rPr>
          <w:rFonts w:asciiTheme="majorHAnsi" w:eastAsia="Calibri" w:hAnsiTheme="majorHAnsi"/>
          <w:sz w:val="20"/>
          <w:szCs w:val="20"/>
          <w:lang w:val="es-ES_tradnl"/>
        </w:rPr>
        <w:t>egurar que las disculpas públicas y los programas de formación a autoridades del Estado</w:t>
      </w:r>
      <w:r w:rsidR="00584B30" w:rsidRPr="00386E47">
        <w:rPr>
          <w:rFonts w:asciiTheme="majorHAnsi" w:eastAsia="Calibri" w:hAnsiTheme="majorHAnsi"/>
          <w:sz w:val="20"/>
          <w:szCs w:val="20"/>
          <w:lang w:val="es-ES_tradnl"/>
        </w:rPr>
        <w:t>, referidos en recomendaciones previas,</w:t>
      </w:r>
      <w:r w:rsidRPr="00386E47">
        <w:rPr>
          <w:rFonts w:asciiTheme="majorHAnsi" w:eastAsia="Calibri" w:hAnsiTheme="majorHAnsi"/>
          <w:sz w:val="20"/>
          <w:szCs w:val="20"/>
          <w:lang w:val="es-ES_tradnl"/>
        </w:rPr>
        <w:t xml:space="preserve"> incluyan el componente </w:t>
      </w:r>
      <w:r w:rsidR="001F5F81" w:rsidRPr="00386E47">
        <w:rPr>
          <w:rFonts w:asciiTheme="majorHAnsi" w:eastAsia="Calibri" w:hAnsiTheme="majorHAnsi"/>
          <w:sz w:val="20"/>
          <w:szCs w:val="20"/>
          <w:lang w:val="es-ES_tradnl"/>
        </w:rPr>
        <w:t xml:space="preserve">respecto de las violaciones al </w:t>
      </w:r>
      <w:r w:rsidRPr="00386E47">
        <w:rPr>
          <w:rFonts w:asciiTheme="majorHAnsi" w:eastAsia="Calibri" w:hAnsiTheme="majorHAnsi"/>
          <w:sz w:val="20"/>
          <w:szCs w:val="20"/>
          <w:lang w:val="es-ES_tradnl"/>
        </w:rPr>
        <w:t>derecho a la igualdad y no discriminación</w:t>
      </w:r>
      <w:r w:rsidR="00584B30" w:rsidRPr="00386E47">
        <w:rPr>
          <w:rFonts w:asciiTheme="majorHAnsi" w:eastAsia="Calibri" w:hAnsiTheme="majorHAnsi"/>
          <w:sz w:val="20"/>
          <w:szCs w:val="20"/>
          <w:lang w:val="es-ES_tradnl"/>
        </w:rPr>
        <w:t xml:space="preserve"> </w:t>
      </w:r>
      <w:r w:rsidR="00386E47" w:rsidRPr="00386E47">
        <w:rPr>
          <w:rFonts w:asciiTheme="majorHAnsi" w:eastAsia="Calibri" w:hAnsiTheme="majorHAnsi"/>
          <w:sz w:val="20"/>
          <w:szCs w:val="20"/>
          <w:lang w:val="es-ES_tradnl"/>
        </w:rPr>
        <w:t>conforme a los estándares interamericanos aplicables</w:t>
      </w:r>
      <w:r w:rsidRPr="00386E47">
        <w:rPr>
          <w:rFonts w:asciiTheme="majorHAnsi" w:eastAsia="Calibri" w:hAnsiTheme="majorHAnsi"/>
          <w:sz w:val="20"/>
          <w:szCs w:val="20"/>
          <w:lang w:val="es-ES_tradnl"/>
        </w:rPr>
        <w:t>.</w:t>
      </w:r>
    </w:p>
    <w:p w14:paraId="19CEE95F" w14:textId="77777777" w:rsidR="00DC183D" w:rsidRPr="00386E47" w:rsidRDefault="00DC183D" w:rsidP="009F70EA">
      <w:pPr>
        <w:spacing w:line="259" w:lineRule="auto"/>
        <w:rPr>
          <w:rFonts w:asciiTheme="majorHAnsi" w:eastAsia="Calibri" w:hAnsiTheme="majorHAnsi"/>
          <w:sz w:val="20"/>
          <w:szCs w:val="20"/>
          <w:lang w:val="es-VE"/>
        </w:rPr>
      </w:pPr>
    </w:p>
    <w:p w14:paraId="31DBA15A" w14:textId="77777777" w:rsidR="00D27EA6" w:rsidRDefault="00FF429D" w:rsidP="001A0C21">
      <w:pPr>
        <w:suppressAutoHyphens/>
        <w:ind w:firstLine="567"/>
        <w:jc w:val="both"/>
        <w:rPr>
          <w:rFonts w:asciiTheme="majorHAnsi" w:hAnsiTheme="majorHAnsi"/>
          <w:sz w:val="20"/>
          <w:szCs w:val="20"/>
          <w:lang w:val="es-AR"/>
        </w:rPr>
      </w:pPr>
      <w:r w:rsidRPr="00386E47">
        <w:rPr>
          <w:rFonts w:asciiTheme="majorHAnsi" w:hAnsiTheme="majorHAnsi"/>
          <w:sz w:val="20"/>
          <w:szCs w:val="20"/>
          <w:lang w:val="es-AR"/>
        </w:rPr>
        <w:t xml:space="preserve">Aprobado por la </w:t>
      </w:r>
      <w:r w:rsidR="001A0C21" w:rsidRPr="00386E47">
        <w:rPr>
          <w:rFonts w:asciiTheme="majorHAnsi" w:hAnsiTheme="majorHAnsi"/>
          <w:sz w:val="20"/>
          <w:szCs w:val="20"/>
          <w:lang w:val="es-AR"/>
        </w:rPr>
        <w:t>Comisión</w:t>
      </w:r>
      <w:r w:rsidRPr="00386E47">
        <w:rPr>
          <w:rFonts w:asciiTheme="majorHAnsi" w:hAnsiTheme="majorHAnsi"/>
          <w:sz w:val="20"/>
          <w:szCs w:val="20"/>
          <w:lang w:val="es-AR"/>
        </w:rPr>
        <w:t xml:space="preserve"> Interamericana de Derechos Humanos el 14 de julio de 2020. (Firmado) </w:t>
      </w:r>
      <w:r w:rsidR="001A0C21" w:rsidRPr="00386E47">
        <w:rPr>
          <w:rFonts w:asciiTheme="majorHAnsi" w:hAnsiTheme="majorHAnsi"/>
          <w:sz w:val="20"/>
          <w:szCs w:val="20"/>
          <w:lang w:val="es-AR"/>
        </w:rPr>
        <w:t>Joel Hernandez, Presidente; Antonia Urrejola, Primera Vicepresidenta; Flávia Piovesan, Segunda Vicepresidenta; Margarette May Macaulay; Esmeralda Arosemena de Troitiño, Edgar Stuardo Ralón Orell</w:t>
      </w:r>
      <w:r w:rsidR="000F00CB">
        <w:rPr>
          <w:rFonts w:asciiTheme="majorHAnsi" w:hAnsiTheme="majorHAnsi"/>
          <w:sz w:val="20"/>
          <w:szCs w:val="20"/>
          <w:lang w:val="es-AR"/>
        </w:rPr>
        <w:t>ana y Julissa Mantilla Falcón, M</w:t>
      </w:r>
      <w:r w:rsidR="001A0C21" w:rsidRPr="00386E47">
        <w:rPr>
          <w:rFonts w:asciiTheme="majorHAnsi" w:hAnsiTheme="majorHAnsi"/>
          <w:sz w:val="20"/>
          <w:szCs w:val="20"/>
          <w:lang w:val="es-AR"/>
        </w:rPr>
        <w:t>iembros de la CIDH.</w:t>
      </w:r>
      <w:r w:rsidR="001A0C21">
        <w:rPr>
          <w:rFonts w:asciiTheme="majorHAnsi" w:hAnsiTheme="majorHAnsi"/>
          <w:sz w:val="20"/>
          <w:szCs w:val="20"/>
          <w:lang w:val="es-AR"/>
        </w:rPr>
        <w:t xml:space="preserve"> </w:t>
      </w:r>
    </w:p>
    <w:p w14:paraId="51C9CA3E" w14:textId="77777777" w:rsidR="000F00CB" w:rsidRDefault="000F00CB" w:rsidP="000F00CB">
      <w:pPr>
        <w:suppressAutoHyphens/>
        <w:jc w:val="both"/>
        <w:rPr>
          <w:rFonts w:asciiTheme="majorHAnsi" w:hAnsiTheme="majorHAnsi"/>
          <w:sz w:val="20"/>
          <w:szCs w:val="20"/>
          <w:lang w:val="es-AR"/>
        </w:rPr>
      </w:pPr>
    </w:p>
    <w:p w14:paraId="4560907A" w14:textId="77777777" w:rsidR="000F00CB" w:rsidRDefault="000F00CB" w:rsidP="000F00CB">
      <w:pPr>
        <w:ind w:firstLine="720"/>
        <w:jc w:val="both"/>
        <w:rPr>
          <w:rFonts w:ascii="Cambria" w:hAnsi="Cambria"/>
          <w:sz w:val="20"/>
          <w:szCs w:val="20"/>
          <w:lang w:val="es-CL"/>
        </w:rPr>
      </w:pPr>
      <w:r>
        <w:rPr>
          <w:rFonts w:ascii="Cambria" w:hAnsi="Cambria"/>
          <w:sz w:val="20"/>
          <w:szCs w:val="20"/>
          <w:lang w:val="es-CL"/>
        </w:rPr>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24937E00" w14:textId="77777777" w:rsidR="000F00CB" w:rsidRPr="003D7C01" w:rsidRDefault="000F00CB" w:rsidP="000F00CB">
      <w:pPr>
        <w:jc w:val="center"/>
        <w:rPr>
          <w:rFonts w:ascii="Cambria" w:hAnsi="Cambria"/>
          <w:sz w:val="16"/>
          <w:szCs w:val="16"/>
        </w:rPr>
      </w:pPr>
      <w:r w:rsidRPr="002B105B">
        <w:rPr>
          <w:rFonts w:cs="Calibri"/>
          <w:noProof/>
        </w:rPr>
        <w:drawing>
          <wp:inline distT="0" distB="0" distL="0" distR="0" wp14:anchorId="688D3B73" wp14:editId="0D2E987A">
            <wp:extent cx="1371600" cy="809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14:paraId="49558C22" w14:textId="77777777" w:rsidR="000F00CB" w:rsidRPr="00BE3E7A" w:rsidRDefault="000F00CB" w:rsidP="000F00CB">
      <w:pPr>
        <w:tabs>
          <w:tab w:val="left" w:pos="-720"/>
        </w:tabs>
        <w:jc w:val="center"/>
        <w:rPr>
          <w:rFonts w:ascii="Cambria" w:hAnsi="Cambria" w:cs="Arial"/>
          <w:sz w:val="20"/>
          <w:szCs w:val="20"/>
          <w:lang w:val="es-US"/>
        </w:rPr>
      </w:pPr>
      <w:r w:rsidRPr="00BE3E7A">
        <w:rPr>
          <w:rFonts w:ascii="Cambria" w:hAnsi="Cambria" w:cs="Arial"/>
          <w:sz w:val="20"/>
          <w:szCs w:val="20"/>
          <w:lang w:val="es-US"/>
        </w:rPr>
        <w:t>Marisol Blanchard</w:t>
      </w:r>
    </w:p>
    <w:p w14:paraId="71EDCECA" w14:textId="77777777" w:rsidR="000F00CB" w:rsidRPr="002B105B" w:rsidRDefault="000F00CB" w:rsidP="000F00CB">
      <w:pPr>
        <w:tabs>
          <w:tab w:val="left" w:pos="-720"/>
          <w:tab w:val="left" w:pos="5760"/>
        </w:tabs>
        <w:jc w:val="center"/>
        <w:rPr>
          <w:rFonts w:ascii="Calibri Light" w:hAnsi="Calibri Light"/>
          <w:sz w:val="20"/>
          <w:szCs w:val="20"/>
          <w:lang w:val="es-ES_tradnl"/>
        </w:rPr>
      </w:pPr>
      <w:r w:rsidRPr="00BE3E7A">
        <w:rPr>
          <w:rFonts w:ascii="Cambria" w:hAnsi="Cambria" w:cs="Arial"/>
          <w:sz w:val="20"/>
          <w:szCs w:val="20"/>
          <w:lang w:val="es-US"/>
        </w:rPr>
        <w:t>Secretaria Ejecutiva Adjunta</w:t>
      </w:r>
    </w:p>
    <w:p w14:paraId="4B22FE70" w14:textId="77777777" w:rsidR="000F00CB" w:rsidRDefault="000F00CB" w:rsidP="000F00CB">
      <w:pPr>
        <w:rPr>
          <w:b/>
          <w:lang w:val="es-ES_tradnl"/>
        </w:rPr>
      </w:pPr>
    </w:p>
    <w:p w14:paraId="1887EDA0" w14:textId="77777777" w:rsidR="000F00CB" w:rsidRPr="00FF429D" w:rsidRDefault="000F00CB" w:rsidP="000F00CB">
      <w:pPr>
        <w:suppressAutoHyphens/>
        <w:jc w:val="both"/>
        <w:rPr>
          <w:rFonts w:asciiTheme="majorHAnsi" w:hAnsiTheme="majorHAnsi"/>
          <w:sz w:val="20"/>
          <w:szCs w:val="20"/>
          <w:lang w:val="es-AR"/>
        </w:rPr>
      </w:pPr>
    </w:p>
    <w:sectPr w:rsidR="000F00CB" w:rsidRPr="00FF429D" w:rsidSect="002B61E0">
      <w:type w:val="oddPage"/>
      <w:pgSz w:w="12240" w:h="15840"/>
      <w:pgMar w:top="1440" w:right="1183" w:bottom="143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301C" w14:textId="77777777" w:rsidR="005B3F8C" w:rsidRDefault="005B3F8C">
      <w:r>
        <w:separator/>
      </w:r>
    </w:p>
    <w:p w14:paraId="4A8B69CE" w14:textId="77777777" w:rsidR="005B3F8C" w:rsidRDefault="005B3F8C"/>
  </w:endnote>
  <w:endnote w:type="continuationSeparator" w:id="0">
    <w:p w14:paraId="404D9ECC" w14:textId="77777777" w:rsidR="005B3F8C" w:rsidRDefault="005B3F8C">
      <w:r>
        <w:continuationSeparator/>
      </w:r>
    </w:p>
    <w:p w14:paraId="7CD1DE62" w14:textId="77777777" w:rsidR="005B3F8C" w:rsidRDefault="005B3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Verdana"/>
    <w:panose1 w:val="00000000000000000000"/>
    <w:charset w:val="4D"/>
    <w:family w:val="auto"/>
    <w:notTrueType/>
    <w:pitch w:val="default"/>
    <w:sig w:usb0="03000003" w:usb1="00000000" w:usb2="00000000" w:usb3="00000000" w:csb0="00000001" w:csb1="00000000"/>
  </w:font>
  <w:font w:name="Univers,Italic">
    <w:panose1 w:val="00000000000000000000"/>
    <w:charset w:val="00"/>
    <w:family w:val="auto"/>
    <w:notTrueType/>
    <w:pitch w:val="default"/>
    <w:sig w:usb0="00000003" w:usb1="00000000" w:usb2="00000000" w:usb3="00000000" w:csb0="00000001" w:csb1="00000000"/>
  </w:font>
  <w:font w:name="ArialNarrow">
    <w:altName w:val="Arial Narrow"/>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2DDCD8B1" w14:textId="77777777" w:rsidR="005B3F8C" w:rsidRPr="00934A2C" w:rsidRDefault="005B3F8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F00CB">
          <w:rPr>
            <w:noProof/>
            <w:sz w:val="16"/>
            <w:szCs w:val="22"/>
          </w:rPr>
          <w:t>68</w:t>
        </w:r>
        <w:r w:rsidRPr="00934A2C">
          <w:rPr>
            <w:noProof/>
            <w:sz w:val="16"/>
            <w:szCs w:val="22"/>
          </w:rPr>
          <w:fldChar w:fldCharType="end"/>
        </w:r>
      </w:p>
    </w:sdtContent>
  </w:sdt>
  <w:p w14:paraId="0C71B740" w14:textId="77777777" w:rsidR="005B3F8C" w:rsidRDefault="005B3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3F24" w14:textId="77777777" w:rsidR="005B3F8C" w:rsidRPr="00934A2C" w:rsidRDefault="005B3F8C">
    <w:pPr>
      <w:pStyle w:val="Footer"/>
      <w:jc w:val="center"/>
      <w:rPr>
        <w:sz w:val="16"/>
        <w:szCs w:val="22"/>
      </w:rPr>
    </w:pPr>
  </w:p>
  <w:p w14:paraId="33110B4B" w14:textId="77777777" w:rsidR="005B3F8C" w:rsidRDefault="005B3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EFF5" w14:textId="77777777" w:rsidR="005B3F8C" w:rsidRPr="000F35ED" w:rsidRDefault="005B3F8C">
      <w:pPr>
        <w:rPr>
          <w:rFonts w:asciiTheme="majorHAnsi" w:hAnsiTheme="majorHAnsi"/>
          <w:sz w:val="16"/>
          <w:szCs w:val="16"/>
        </w:rPr>
      </w:pPr>
      <w:r w:rsidRPr="000F35ED">
        <w:rPr>
          <w:rFonts w:asciiTheme="majorHAnsi" w:hAnsiTheme="majorHAnsi"/>
          <w:sz w:val="16"/>
          <w:szCs w:val="16"/>
        </w:rPr>
        <w:separator/>
      </w:r>
    </w:p>
    <w:p w14:paraId="0FEA486C" w14:textId="77777777" w:rsidR="005B3F8C" w:rsidRDefault="005B3F8C"/>
  </w:footnote>
  <w:footnote w:type="continuationSeparator" w:id="0">
    <w:p w14:paraId="6E10057B" w14:textId="77777777" w:rsidR="005B3F8C" w:rsidRPr="000F35ED" w:rsidRDefault="005B3F8C" w:rsidP="000F35ED">
      <w:pPr>
        <w:rPr>
          <w:rFonts w:asciiTheme="majorHAnsi" w:hAnsiTheme="majorHAnsi"/>
          <w:sz w:val="16"/>
          <w:szCs w:val="16"/>
        </w:rPr>
      </w:pPr>
      <w:r w:rsidRPr="000F35ED">
        <w:rPr>
          <w:rFonts w:asciiTheme="majorHAnsi" w:hAnsiTheme="majorHAnsi"/>
          <w:sz w:val="16"/>
          <w:szCs w:val="16"/>
        </w:rPr>
        <w:separator/>
      </w:r>
    </w:p>
    <w:p w14:paraId="77AF449A" w14:textId="77777777" w:rsidR="005B3F8C" w:rsidRPr="000F35ED" w:rsidRDefault="005B3F8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p w14:paraId="19E7D124" w14:textId="77777777" w:rsidR="005B3F8C" w:rsidRDefault="005B3F8C"/>
  </w:footnote>
  <w:footnote w:type="continuationNotice" w:id="1">
    <w:p w14:paraId="0EF34377" w14:textId="77777777" w:rsidR="005B3F8C" w:rsidRPr="000F35ED" w:rsidRDefault="005B3F8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p w14:paraId="256FD6B7" w14:textId="77777777" w:rsidR="005B3F8C" w:rsidRDefault="005B3F8C"/>
  </w:footnote>
  <w:footnote w:id="2">
    <w:p w14:paraId="1113F62F" w14:textId="77777777" w:rsidR="005B3F8C" w:rsidRPr="00D93236" w:rsidRDefault="005B3F8C" w:rsidP="00E27260">
      <w:pPr>
        <w:tabs>
          <w:tab w:val="left" w:pos="567"/>
        </w:tabs>
        <w:jc w:val="both"/>
        <w:rPr>
          <w:rFonts w:asciiTheme="majorHAnsi" w:eastAsia="Calibri" w:hAnsiTheme="majorHAnsi"/>
          <w:sz w:val="16"/>
          <w:szCs w:val="16"/>
          <w:lang w:val="es-VE"/>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93236">
        <w:rPr>
          <w:rFonts w:asciiTheme="majorHAnsi" w:hAnsiTheme="majorHAnsi"/>
          <w:sz w:val="16"/>
          <w:szCs w:val="16"/>
          <w:lang w:val="es-AR"/>
        </w:rPr>
        <w:t>El</w:t>
      </w:r>
      <w:r w:rsidRPr="00D93236">
        <w:rPr>
          <w:rFonts w:asciiTheme="majorHAnsi" w:hAnsiTheme="majorHAnsi"/>
          <w:sz w:val="16"/>
          <w:szCs w:val="16"/>
          <w:lang w:val="es-US"/>
        </w:rPr>
        <w:t xml:space="preserve"> 24 de agosto de 1999, la CIDH recibió una comunicación de la Asociación Madres de Plaza de Mayo – Línea Fundadora en la que manifestaban su adhesión a la denuncia de los peticionarios. En el mismo sentido, la Comisión recibió comunicaciones de la Fundación Servicio, Paz y Justicia el 31 de agosto de 1999, del International Human Righs Law Group el 16 de septiembre de 1999, de la organización de familiares de desaparecidos y detenidos por razones políticas, el 8 de septiembre de 1999, y de la Asamblea Permanente por los Derechos Humanos el 5 de octubre de 1999. </w:t>
      </w:r>
      <w:r w:rsidRPr="00D93236">
        <w:rPr>
          <w:rFonts w:asciiTheme="majorHAnsi" w:eastAsia="Calibri" w:hAnsiTheme="majorHAnsi"/>
          <w:sz w:val="16"/>
          <w:szCs w:val="16"/>
          <w:lang w:val="es-AR"/>
        </w:rPr>
        <w:t xml:space="preserve">El 18 de abril de 2019, a solicitud de Daniel Eduardo Joffe, la Comisión señaló que su petición será considerada en petición diferente. </w:t>
      </w:r>
    </w:p>
  </w:footnote>
  <w:footnote w:id="3">
    <w:p w14:paraId="45D812F6"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Pr>
          <w:rFonts w:asciiTheme="majorHAnsi" w:hAnsiTheme="majorHAnsi"/>
          <w:sz w:val="16"/>
          <w:szCs w:val="16"/>
          <w:lang w:val="es-AR"/>
        </w:rPr>
        <w:t xml:space="preserve">Anexo 1. Informe suscripto por el </w:t>
      </w:r>
      <w:r w:rsidRPr="00D93236">
        <w:rPr>
          <w:rFonts w:asciiTheme="majorHAnsi" w:hAnsiTheme="majorHAnsi"/>
          <w:sz w:val="16"/>
          <w:szCs w:val="16"/>
          <w:lang w:val="es-AR"/>
        </w:rPr>
        <w:t>Decano Claudio Grossman, Observador Internacional de la CIDH en el juicio de la Asociación Mutual Israelita Argentina (AMIA). 22 de febrero, 2005. En adelante: “Informe Grossman”. Anexo 5 a la comunicación de la parte peticionaria de fecha 11 de noviembre de 2019</w:t>
      </w:r>
    </w:p>
  </w:footnote>
  <w:footnote w:id="4">
    <w:p w14:paraId="0D5C2F74"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El registro audiovisual de la audiencia puede consultarse en: </w:t>
      </w:r>
      <w:hyperlink r:id="rId1" w:history="1">
        <w:r w:rsidRPr="00D93236">
          <w:rPr>
            <w:rFonts w:asciiTheme="majorHAnsi" w:eastAsia="Arial Unicode MS" w:hAnsiTheme="majorHAnsi" w:cs="Times New Roman"/>
            <w:color w:val="0000FF"/>
            <w:sz w:val="16"/>
            <w:szCs w:val="16"/>
            <w:u w:val="single"/>
            <w:lang w:val="es-AR" w:eastAsia="en-US"/>
          </w:rPr>
          <w:t>https://www.youtube.com/watch?v=EyTmlo6Anos</w:t>
        </w:r>
      </w:hyperlink>
    </w:p>
  </w:footnote>
  <w:footnote w:id="5">
    <w:p w14:paraId="24951E94" w14:textId="77777777" w:rsidR="005B3F8C" w:rsidRPr="009A0110" w:rsidRDefault="005B3F8C" w:rsidP="00E9249A">
      <w:pPr>
        <w:pStyle w:val="FootnoteText"/>
        <w:jc w:val="both"/>
        <w:rPr>
          <w:rFonts w:ascii="Cambria" w:hAnsi="Cambria"/>
          <w:sz w:val="16"/>
          <w:szCs w:val="16"/>
          <w:lang w:val="es-AR"/>
        </w:rPr>
      </w:pPr>
      <w:r w:rsidRPr="009A0110">
        <w:rPr>
          <w:rStyle w:val="FootnoteReference"/>
          <w:rFonts w:ascii="Cambria" w:hAnsi="Cambria"/>
          <w:sz w:val="16"/>
          <w:szCs w:val="16"/>
        </w:rPr>
        <w:footnoteRef/>
      </w:r>
      <w:r w:rsidRPr="009A0110">
        <w:rPr>
          <w:rFonts w:ascii="Cambria" w:hAnsi="Cambria"/>
          <w:sz w:val="16"/>
          <w:szCs w:val="16"/>
          <w:lang w:val="es-AR"/>
        </w:rPr>
        <w:t xml:space="preserve"> </w:t>
      </w:r>
      <w:r w:rsidRPr="009A0110">
        <w:rPr>
          <w:rFonts w:ascii="Cambria" w:hAnsi="Cambria"/>
          <w:sz w:val="16"/>
          <w:szCs w:val="16"/>
          <w:lang w:val="es-US"/>
        </w:rPr>
        <w:t xml:space="preserve">CIDH, Comunicado de Prensa No. 05/05. “Satisfacción de la CIDH por el reconocimiento de responsabilidad del Estado argentino en el caso de la AMIA”, 4 de marzo de 2005. Accesible en: </w:t>
      </w:r>
      <w:hyperlink r:id="rId2" w:history="1">
        <w:r w:rsidRPr="00065C62">
          <w:rPr>
            <w:rFonts w:ascii="Cambria" w:eastAsia="Arial Unicode MS" w:hAnsi="Cambria" w:cs="Times New Roman"/>
            <w:color w:val="0000FF"/>
            <w:sz w:val="16"/>
            <w:szCs w:val="16"/>
            <w:u w:val="single"/>
            <w:bdr w:val="none" w:sz="0" w:space="0" w:color="auto"/>
            <w:lang w:val="es-AR" w:eastAsia="en-GB"/>
          </w:rPr>
          <w:t>https://www.oas.org/es/centro_noticias/comunicado_prensa.asp?sCodigo=CIDH-5-S</w:t>
        </w:r>
      </w:hyperlink>
      <w:r w:rsidRPr="00065C62">
        <w:rPr>
          <w:rFonts w:ascii="Cambria" w:eastAsia="Arial Unicode MS" w:hAnsi="Cambria" w:cs="Times New Roman"/>
          <w:color w:val="auto"/>
          <w:sz w:val="16"/>
          <w:szCs w:val="16"/>
          <w:bdr w:val="none" w:sz="0" w:space="0" w:color="auto"/>
          <w:lang w:val="es-AR" w:eastAsia="en-GB"/>
        </w:rPr>
        <w:t xml:space="preserve"> </w:t>
      </w:r>
    </w:p>
  </w:footnote>
  <w:footnote w:id="6">
    <w:p w14:paraId="07C2D867" w14:textId="77777777" w:rsidR="005B3F8C" w:rsidRPr="00D93236" w:rsidRDefault="005B3F8C" w:rsidP="00E27260">
      <w:pPr>
        <w:jc w:val="both"/>
        <w:rPr>
          <w:rFonts w:asciiTheme="majorHAnsi" w:hAnsiTheme="majorHAnsi"/>
          <w:iCs/>
          <w:sz w:val="16"/>
          <w:szCs w:val="16"/>
          <w:lang w:val="es-AR"/>
        </w:rPr>
      </w:pPr>
      <w:r w:rsidRPr="009A0110">
        <w:rPr>
          <w:rStyle w:val="FootnoteReference"/>
          <w:rFonts w:ascii="Cambria" w:hAnsi="Cambria"/>
          <w:sz w:val="16"/>
          <w:szCs w:val="16"/>
        </w:rPr>
        <w:footnoteRef/>
      </w:r>
      <w:r w:rsidRPr="009A0110">
        <w:rPr>
          <w:rFonts w:ascii="Cambria" w:hAnsi="Cambria"/>
          <w:sz w:val="16"/>
          <w:szCs w:val="16"/>
          <w:lang w:val="es-ES"/>
        </w:rPr>
        <w:t xml:space="preserve"> CIDH, Informe </w:t>
      </w:r>
      <w:r w:rsidRPr="009A0110">
        <w:rPr>
          <w:rFonts w:ascii="Cambria" w:hAnsi="Cambria"/>
          <w:sz w:val="16"/>
          <w:szCs w:val="16"/>
          <w:lang w:val="es-AR"/>
        </w:rPr>
        <w:t>Nº</w:t>
      </w:r>
      <w:r w:rsidRPr="009A0110">
        <w:rPr>
          <w:rFonts w:ascii="Cambria" w:hAnsi="Cambria"/>
          <w:sz w:val="16"/>
          <w:szCs w:val="16"/>
          <w:lang w:val="es-ES"/>
        </w:rPr>
        <w:t xml:space="preserve"> 15/15, Admisibilidad. Petición 374-05. Trabajadores del Sindicato de Trabajadores de la Federación Nacional de Cafeteros de Colombia</w:t>
      </w:r>
      <w:r w:rsidRPr="009A0110">
        <w:rPr>
          <w:rFonts w:ascii="Cambria" w:hAnsi="Cambria"/>
          <w:iCs/>
          <w:sz w:val="16"/>
          <w:szCs w:val="16"/>
          <w:lang w:val="es-AR"/>
        </w:rPr>
        <w:t xml:space="preserve">. Colombia. 24 de marzo de 2015, párr. 39. Asimismo, véase: </w:t>
      </w:r>
      <w:r w:rsidRPr="009A0110">
        <w:rPr>
          <w:rFonts w:ascii="Cambria" w:hAnsi="Cambria"/>
          <w:color w:val="000000"/>
          <w:sz w:val="16"/>
          <w:szCs w:val="16"/>
          <w:lang w:val="es-MX"/>
        </w:rPr>
        <w:t xml:space="preserve">Corte IDH. </w:t>
      </w:r>
      <w:r w:rsidRPr="009A0110">
        <w:rPr>
          <w:rFonts w:ascii="Cambria" w:hAnsi="Cambria"/>
          <w:iCs/>
          <w:sz w:val="16"/>
          <w:szCs w:val="16"/>
          <w:lang w:val="es-AR"/>
        </w:rPr>
        <w:t>Caso Wong Ho Wing Vs. Perú. Excepción Preliminar, Fondo, Reparaciones y Costas. Sentencia de 30 de junio de 2015. Serie C No. 297, párr. 25.</w:t>
      </w:r>
    </w:p>
  </w:footnote>
  <w:footnote w:id="7">
    <w:p w14:paraId="58F4A994"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Pr>
          <w:rFonts w:asciiTheme="majorHAnsi" w:hAnsiTheme="majorHAnsi"/>
          <w:sz w:val="16"/>
          <w:szCs w:val="16"/>
          <w:lang w:val="es-AR"/>
        </w:rPr>
        <w:t>Anexo 2</w:t>
      </w:r>
      <w:r w:rsidRPr="00D93236">
        <w:rPr>
          <w:rFonts w:asciiTheme="majorHAnsi" w:hAnsiTheme="majorHAnsi"/>
          <w:b/>
          <w:sz w:val="16"/>
          <w:szCs w:val="16"/>
          <w:lang w:val="es-AR"/>
        </w:rPr>
        <w:t>.</w:t>
      </w:r>
      <w:r w:rsidRPr="00D93236">
        <w:rPr>
          <w:rFonts w:asciiTheme="majorHAnsi" w:hAnsiTheme="majorHAnsi"/>
          <w:sz w:val="16"/>
          <w:szCs w:val="16"/>
          <w:lang w:val="es-AR"/>
        </w:rPr>
        <w:t xml:space="preserve"> Sentencia del Tribunal Oral en lo Criminal Federal Nro. 3 de la Capital Federal de fecha 29 de octubre de 2004 (En adelante “Sentencia del TOF 3”). Capítulo V, pág. 2351. Anexo 1 a la comunicación de la parte peticionaria de fecha 11 de noviembre de 2019. El TOF 3 precisó que la carga explosiva estaba “</w:t>
      </w:r>
      <w:r w:rsidRPr="00D93236">
        <w:rPr>
          <w:rFonts w:asciiTheme="majorHAnsi" w:hAnsiTheme="majorHAnsi"/>
          <w:i/>
          <w:sz w:val="16"/>
          <w:szCs w:val="16"/>
          <w:lang w:val="es-AR"/>
        </w:rPr>
        <w:t>compuesta de nitrato de amonio, con el agregado de aluminio, un hidrocarburo pesado, TNT y nitroglicerina</w:t>
      </w:r>
      <w:r>
        <w:rPr>
          <w:rFonts w:asciiTheme="majorHAnsi" w:hAnsiTheme="majorHAnsi"/>
          <w:sz w:val="16"/>
          <w:szCs w:val="16"/>
          <w:lang w:val="es-AR"/>
        </w:rPr>
        <w:t>”, ver asimismo</w:t>
      </w:r>
      <w:r w:rsidRPr="00D93236">
        <w:rPr>
          <w:rFonts w:asciiTheme="majorHAnsi" w:hAnsiTheme="majorHAnsi"/>
          <w:sz w:val="16"/>
          <w:szCs w:val="16"/>
          <w:lang w:val="es-AR"/>
        </w:rPr>
        <w:t xml:space="preserve">: </w:t>
      </w:r>
      <w:r>
        <w:rPr>
          <w:rFonts w:asciiTheme="majorHAnsi" w:hAnsiTheme="majorHAnsi"/>
          <w:sz w:val="16"/>
          <w:szCs w:val="16"/>
          <w:lang w:val="es-AR"/>
        </w:rPr>
        <w:t>Anexo 2</w:t>
      </w:r>
      <w:r w:rsidRPr="00D93236">
        <w:rPr>
          <w:rFonts w:asciiTheme="majorHAnsi" w:hAnsiTheme="majorHAnsi"/>
          <w:sz w:val="16"/>
          <w:szCs w:val="16"/>
          <w:lang w:val="es-AR"/>
        </w:rPr>
        <w:t>. Sentencia del TOF 3. Capítulo V pág. 2535. Anexo 1 a la comunicación de la parte peticionaria de fecha 11 de noviembre de 2019</w:t>
      </w:r>
    </w:p>
  </w:footnote>
  <w:footnote w:id="8">
    <w:p w14:paraId="3D1A7B84" w14:textId="77777777" w:rsidR="005B3F8C" w:rsidRPr="00E9688C" w:rsidRDefault="005B3F8C" w:rsidP="00D93236">
      <w:pPr>
        <w:jc w:val="both"/>
        <w:rPr>
          <w:rFonts w:ascii="Cambria" w:eastAsia="Times New Roman" w:hAnsi="Cambria"/>
          <w:sz w:val="16"/>
          <w:szCs w:val="16"/>
          <w:lang w:val="es-CO" w:eastAsia="es-ES_tradnl"/>
        </w:rPr>
      </w:pPr>
      <w:r w:rsidRPr="00B46F73">
        <w:rPr>
          <w:rStyle w:val="FootnoteReference"/>
          <w:rFonts w:ascii="Cambria" w:hAnsi="Cambria"/>
          <w:sz w:val="16"/>
          <w:szCs w:val="16"/>
        </w:rPr>
        <w:footnoteRef/>
      </w:r>
      <w:r w:rsidRPr="002847DD">
        <w:rPr>
          <w:rFonts w:ascii="Cambria" w:hAnsi="Cambria"/>
          <w:sz w:val="16"/>
          <w:szCs w:val="16"/>
          <w:lang w:val="es-US"/>
        </w:rPr>
        <w:t xml:space="preserve"> </w:t>
      </w:r>
      <w:r w:rsidRPr="00B46F73">
        <w:rPr>
          <w:rFonts w:ascii="Cambria" w:hAnsi="Cambria"/>
          <w:sz w:val="16"/>
          <w:szCs w:val="16"/>
          <w:lang w:val="es-ES"/>
        </w:rPr>
        <w:t>Las personas que perdieron la vida en el atentado de la AMIA, de acuerdo con la información presentada por los peticionarios en su comunicación</w:t>
      </w:r>
      <w:r>
        <w:rPr>
          <w:rFonts w:ascii="Cambria" w:hAnsi="Cambria"/>
          <w:sz w:val="16"/>
          <w:szCs w:val="16"/>
          <w:lang w:val="es-ES"/>
        </w:rPr>
        <w:t xml:space="preserve"> de fecha</w:t>
      </w:r>
      <w:r w:rsidRPr="00B46F73">
        <w:rPr>
          <w:rFonts w:ascii="Cambria" w:hAnsi="Cambria"/>
          <w:sz w:val="16"/>
          <w:szCs w:val="16"/>
          <w:lang w:val="es-ES"/>
        </w:rPr>
        <w:t xml:space="preserve"> 16 de junio de 2014, la sentencia del TOF 3 y la actualización de la información de los peticionarios sobre la identidad de una persona inicialmente señalada como NN son:</w:t>
      </w:r>
      <w:r w:rsidRPr="00B46F73">
        <w:rPr>
          <w:rFonts w:ascii="Cambria" w:hAnsi="Cambria" w:cs="Verdana"/>
          <w:sz w:val="16"/>
          <w:szCs w:val="16"/>
          <w:lang w:val="es-US" w:eastAsia="pt-BR"/>
        </w:rPr>
        <w:t xml:space="preserve"> Silvana</w:t>
      </w:r>
      <w:r>
        <w:rPr>
          <w:rFonts w:ascii="Cambria" w:hAnsi="Cambria" w:cs="Verdana"/>
          <w:sz w:val="16"/>
          <w:szCs w:val="16"/>
          <w:lang w:val="es-US" w:eastAsia="pt-BR"/>
        </w:rPr>
        <w:t xml:space="preserve"> Sandra Alguea d</w:t>
      </w:r>
      <w:r w:rsidRPr="00B46F73">
        <w:rPr>
          <w:rFonts w:ascii="Cambria" w:hAnsi="Cambria" w:cs="Verdana"/>
          <w:sz w:val="16"/>
          <w:szCs w:val="16"/>
          <w:lang w:val="es-US" w:eastAsia="pt-BR"/>
        </w:rPr>
        <w:t>e Rodríguez, J</w:t>
      </w:r>
      <w:r w:rsidRPr="00B46F73">
        <w:rPr>
          <w:rFonts w:ascii="Cambria" w:eastAsia="Times New Roman" w:hAnsi="Cambria"/>
          <w:sz w:val="16"/>
          <w:szCs w:val="16"/>
          <w:lang w:val="es-CO" w:eastAsia="es-ES_tradnl"/>
        </w:rPr>
        <w:t>orge</w:t>
      </w:r>
      <w:r>
        <w:rPr>
          <w:rFonts w:ascii="Cambria" w:eastAsia="Times New Roman" w:hAnsi="Cambria"/>
          <w:sz w:val="16"/>
          <w:szCs w:val="16"/>
          <w:lang w:val="es-CO" w:eastAsia="es-ES_tradnl"/>
        </w:rPr>
        <w:t xml:space="preserve"> Lucio Antú</w:t>
      </w:r>
      <w:r w:rsidRPr="00B46F73">
        <w:rPr>
          <w:rFonts w:ascii="Cambria" w:eastAsia="Times New Roman" w:hAnsi="Cambria"/>
          <w:sz w:val="16"/>
          <w:szCs w:val="16"/>
          <w:lang w:val="es-CO" w:eastAsia="es-ES_tradnl"/>
        </w:rPr>
        <w:t>nez, Moisés Gabriel Arazi, Carlos Avendaño</w:t>
      </w:r>
      <w:r>
        <w:rPr>
          <w:rFonts w:ascii="Cambria" w:eastAsia="Times New Roman" w:hAnsi="Cambria"/>
          <w:sz w:val="16"/>
          <w:szCs w:val="16"/>
          <w:lang w:val="es-CO" w:eastAsia="es-ES_tradnl"/>
        </w:rPr>
        <w:t xml:space="preserve"> Bobadilla</w:t>
      </w:r>
      <w:r w:rsidRPr="00B46F73">
        <w:rPr>
          <w:rFonts w:ascii="Cambria" w:eastAsia="Times New Roman" w:hAnsi="Cambria"/>
          <w:sz w:val="16"/>
          <w:szCs w:val="16"/>
          <w:lang w:val="es-CO" w:eastAsia="es-ES_tradnl"/>
        </w:rPr>
        <w:t>, Yanina Muriel Averbuch, Naum Band, Sebastián</w:t>
      </w:r>
      <w:r>
        <w:rPr>
          <w:rFonts w:ascii="Cambria" w:eastAsia="Times New Roman" w:hAnsi="Cambria"/>
          <w:sz w:val="16"/>
          <w:szCs w:val="16"/>
          <w:lang w:val="es-CO" w:eastAsia="es-ES_tradnl"/>
        </w:rPr>
        <w:t xml:space="preserve"> Julio</w:t>
      </w:r>
      <w:r w:rsidRPr="00B46F73">
        <w:rPr>
          <w:rFonts w:ascii="Cambria" w:eastAsia="Times New Roman" w:hAnsi="Cambria"/>
          <w:sz w:val="16"/>
          <w:szCs w:val="16"/>
          <w:lang w:val="es-CO" w:eastAsia="es-ES_tradnl"/>
        </w:rPr>
        <w:t xml:space="preserve"> Barreiro</w:t>
      </w:r>
      <w:r>
        <w:rPr>
          <w:rFonts w:ascii="Cambria" w:eastAsia="Times New Roman" w:hAnsi="Cambria"/>
          <w:sz w:val="16"/>
          <w:szCs w:val="16"/>
          <w:lang w:val="es-CO" w:eastAsia="es-ES_tradnl"/>
        </w:rPr>
        <w:t>s</w:t>
      </w:r>
      <w:r w:rsidRPr="00B46F73">
        <w:rPr>
          <w:rFonts w:ascii="Cambria" w:eastAsia="Times New Roman" w:hAnsi="Cambria"/>
          <w:sz w:val="16"/>
          <w:szCs w:val="16"/>
          <w:lang w:val="es-CO" w:eastAsia="es-ES_tradnl"/>
        </w:rPr>
        <w:t>, David Barriga</w:t>
      </w:r>
      <w:r>
        <w:rPr>
          <w:rFonts w:ascii="Cambria" w:eastAsia="Times New Roman" w:hAnsi="Cambria"/>
          <w:sz w:val="16"/>
          <w:szCs w:val="16"/>
          <w:lang w:val="es-CO" w:eastAsia="es-ES_tradnl"/>
        </w:rPr>
        <w:t xml:space="preserve"> Loaiza</w:t>
      </w:r>
      <w:r w:rsidRPr="00B46F73">
        <w:rPr>
          <w:rFonts w:ascii="Cambria" w:eastAsia="Times New Roman" w:hAnsi="Cambria"/>
          <w:sz w:val="16"/>
          <w:szCs w:val="16"/>
          <w:lang w:val="es-CO" w:eastAsia="es-ES_tradnl"/>
        </w:rPr>
        <w:t>, Hugo Norberto Basigli</w:t>
      </w:r>
      <w:r>
        <w:rPr>
          <w:rFonts w:ascii="Cambria" w:eastAsia="Times New Roman" w:hAnsi="Cambria"/>
          <w:sz w:val="16"/>
          <w:szCs w:val="16"/>
          <w:lang w:val="es-CO" w:eastAsia="es-ES_tradnl"/>
        </w:rPr>
        <w:t xml:space="preserve">o, </w:t>
      </w:r>
      <w:r w:rsidRPr="00B46F73">
        <w:rPr>
          <w:rFonts w:ascii="Cambria" w:eastAsia="Times New Roman" w:hAnsi="Cambria"/>
          <w:sz w:val="16"/>
          <w:szCs w:val="16"/>
          <w:lang w:val="es-CO" w:eastAsia="es-ES_tradnl"/>
        </w:rPr>
        <w:t>Rebeca Violeta</w:t>
      </w:r>
      <w:r>
        <w:rPr>
          <w:rFonts w:ascii="Cambria" w:eastAsia="Times New Roman" w:hAnsi="Cambria"/>
          <w:sz w:val="16"/>
          <w:szCs w:val="16"/>
          <w:lang w:val="es-CO" w:eastAsia="es-ES_tradnl"/>
        </w:rPr>
        <w:t xml:space="preserve"> Behar de Jurin</w:t>
      </w:r>
      <w:r w:rsidRPr="00E9688C">
        <w:rPr>
          <w:rFonts w:ascii="Cambria" w:eastAsia="Times New Roman" w:hAnsi="Cambria"/>
          <w:sz w:val="16"/>
          <w:szCs w:val="16"/>
          <w:lang w:val="es-CO" w:eastAsia="es-ES_tradnl"/>
        </w:rPr>
        <w:t>, Favio Enrique Bermúdez, Romina Am</w:t>
      </w:r>
      <w:r>
        <w:rPr>
          <w:rFonts w:ascii="Cambria" w:eastAsia="Times New Roman" w:hAnsi="Cambria"/>
          <w:sz w:val="16"/>
          <w:szCs w:val="16"/>
          <w:lang w:val="es-CO" w:eastAsia="es-ES_tradnl"/>
        </w:rPr>
        <w:t>bar Luján Bolan, Emiliano Gastó</w:t>
      </w:r>
      <w:r w:rsidRPr="00E9688C">
        <w:rPr>
          <w:rFonts w:ascii="Cambria" w:eastAsia="Times New Roman" w:hAnsi="Cambria"/>
          <w:sz w:val="16"/>
          <w:szCs w:val="16"/>
          <w:lang w:val="es-CO" w:eastAsia="es-ES_tradnl"/>
        </w:rPr>
        <w:t>n Brikman,</w:t>
      </w:r>
      <w:r>
        <w:rPr>
          <w:rFonts w:ascii="Cambria" w:eastAsia="Times New Roman" w:hAnsi="Cambria"/>
          <w:sz w:val="16"/>
          <w:szCs w:val="16"/>
          <w:lang w:val="es-CO" w:eastAsia="es-ES_tradnl"/>
        </w:rPr>
        <w:t xml:space="preserve"> Víctor</w:t>
      </w:r>
      <w:r w:rsidRPr="002847DD">
        <w:rPr>
          <w:rFonts w:ascii="Cambria" w:hAnsi="Cambria"/>
          <w:sz w:val="16"/>
          <w:szCs w:val="16"/>
          <w:lang w:val="es-US"/>
        </w:rPr>
        <w:t xml:space="preserve"> </w:t>
      </w:r>
      <w:r w:rsidRPr="00B46F73">
        <w:rPr>
          <w:rFonts w:ascii="Cambria" w:eastAsia="Times New Roman" w:hAnsi="Cambria"/>
          <w:sz w:val="16"/>
          <w:szCs w:val="16"/>
          <w:lang w:val="es-CO" w:eastAsia="es-ES_tradnl"/>
        </w:rPr>
        <w:t>Gabriel Buttini, Viviana Adela Casabe, Paola Sara Czyzewski, Jacobo Chemau</w:t>
      </w:r>
      <w:r>
        <w:rPr>
          <w:rFonts w:ascii="Cambria" w:eastAsia="Times New Roman" w:hAnsi="Cambria"/>
          <w:sz w:val="16"/>
          <w:szCs w:val="16"/>
          <w:lang w:val="es-CO" w:eastAsia="es-ES_tradnl"/>
        </w:rPr>
        <w:t>el</w:t>
      </w:r>
      <w:r w:rsidRPr="00B46F73">
        <w:rPr>
          <w:rFonts w:ascii="Cambria" w:eastAsia="Times New Roman" w:hAnsi="Cambria"/>
          <w:sz w:val="16"/>
          <w:szCs w:val="16"/>
          <w:lang w:val="es-CO" w:eastAsia="es-ES_tradnl"/>
        </w:rPr>
        <w:t>, Diego</w:t>
      </w:r>
      <w:r>
        <w:rPr>
          <w:rFonts w:ascii="Cambria" w:eastAsia="Times New Roman" w:hAnsi="Cambria"/>
          <w:sz w:val="16"/>
          <w:szCs w:val="16"/>
          <w:lang w:val="es-CO" w:eastAsia="es-ES_tradnl"/>
        </w:rPr>
        <w:t xml:space="preserve"> Ricardo d</w:t>
      </w:r>
      <w:r w:rsidRPr="00B46F73">
        <w:rPr>
          <w:rFonts w:ascii="Cambria" w:eastAsia="Times New Roman" w:hAnsi="Cambria"/>
          <w:sz w:val="16"/>
          <w:szCs w:val="16"/>
          <w:lang w:val="es-CO" w:eastAsia="es-ES_tradnl"/>
        </w:rPr>
        <w:t>e Pirro</w:t>
      </w:r>
      <w:r>
        <w:rPr>
          <w:rFonts w:ascii="Cambria" w:eastAsia="Times New Roman" w:hAnsi="Cambria"/>
          <w:sz w:val="16"/>
          <w:szCs w:val="16"/>
          <w:lang w:val="es-CO" w:eastAsia="es-ES_tradnl"/>
        </w:rPr>
        <w:t xml:space="preserve">, </w:t>
      </w:r>
      <w:r w:rsidRPr="00B46F73">
        <w:rPr>
          <w:rFonts w:ascii="Cambria" w:eastAsia="Times New Roman" w:hAnsi="Cambria"/>
          <w:sz w:val="16"/>
          <w:szCs w:val="16"/>
          <w:lang w:val="es-CO" w:eastAsia="es-ES_tradnl"/>
        </w:rPr>
        <w:t xml:space="preserve"> </w:t>
      </w:r>
      <w:r>
        <w:rPr>
          <w:rFonts w:ascii="Cambria" w:eastAsia="Times New Roman" w:hAnsi="Cambria"/>
          <w:sz w:val="16"/>
          <w:szCs w:val="16"/>
          <w:lang w:val="es-CO" w:eastAsia="es-ES_tradnl"/>
        </w:rPr>
        <w:t>Cristian Adrián Degtiar,</w:t>
      </w:r>
      <w:r w:rsidRPr="00B46F73">
        <w:rPr>
          <w:rFonts w:ascii="Cambria" w:eastAsia="Times New Roman" w:hAnsi="Cambria"/>
          <w:sz w:val="16"/>
          <w:szCs w:val="16"/>
          <w:lang w:val="es-CO" w:eastAsia="es-ES_tradnl"/>
        </w:rPr>
        <w:t xml:space="preserve"> Ramón Norberto Díaz</w:t>
      </w:r>
      <w:r>
        <w:rPr>
          <w:rFonts w:ascii="Cambria" w:eastAsia="Times New Roman" w:hAnsi="Cambria"/>
          <w:sz w:val="16"/>
          <w:szCs w:val="16"/>
          <w:lang w:val="es-CO" w:eastAsia="es-ES_tradnl"/>
        </w:rPr>
        <w:t>, Norberto Ariel Dubí</w:t>
      </w:r>
      <w:r w:rsidRPr="00B46F73">
        <w:rPr>
          <w:rFonts w:ascii="Cambria" w:eastAsia="Times New Roman" w:hAnsi="Cambria"/>
          <w:sz w:val="16"/>
          <w:szCs w:val="16"/>
          <w:lang w:val="es-CO" w:eastAsia="es-ES_tradnl"/>
        </w:rPr>
        <w:t>n, Faiwel</w:t>
      </w:r>
      <w:r>
        <w:rPr>
          <w:rFonts w:ascii="Cambria" w:eastAsia="Times New Roman" w:hAnsi="Cambria"/>
          <w:sz w:val="16"/>
          <w:szCs w:val="16"/>
          <w:lang w:val="es-CO" w:eastAsia="es-ES_tradnl"/>
        </w:rPr>
        <w:t xml:space="preserve"> Dyjament, Aída Mónica Feldman d</w:t>
      </w:r>
      <w:r w:rsidRPr="00B46F73">
        <w:rPr>
          <w:rFonts w:ascii="Cambria" w:eastAsia="Times New Roman" w:hAnsi="Cambria"/>
          <w:sz w:val="16"/>
          <w:szCs w:val="16"/>
          <w:lang w:val="es-CO" w:eastAsia="es-ES_tradnl"/>
        </w:rPr>
        <w:t>e Goldfeder, Alberto Fernández, Martín</w:t>
      </w:r>
      <w:r>
        <w:rPr>
          <w:rFonts w:ascii="Cambria" w:eastAsia="Times New Roman" w:hAnsi="Cambria"/>
          <w:sz w:val="16"/>
          <w:szCs w:val="16"/>
          <w:lang w:val="es-CO" w:eastAsia="es-ES_tradnl"/>
        </w:rPr>
        <w:t xml:space="preserve"> Antonio</w:t>
      </w:r>
      <w:r w:rsidRPr="00B46F73">
        <w:rPr>
          <w:rFonts w:ascii="Cambria" w:eastAsia="Times New Roman" w:hAnsi="Cambria"/>
          <w:sz w:val="16"/>
          <w:szCs w:val="16"/>
          <w:lang w:val="es-CO" w:eastAsia="es-ES_tradnl"/>
        </w:rPr>
        <w:t xml:space="preserve"> Figueroa, Ingrid</w:t>
      </w:r>
      <w:r>
        <w:rPr>
          <w:rFonts w:ascii="Cambria" w:eastAsia="Times New Roman" w:hAnsi="Cambria"/>
          <w:sz w:val="16"/>
          <w:szCs w:val="16"/>
          <w:lang w:val="es-CO" w:eastAsia="es-ES_tradnl"/>
        </w:rPr>
        <w:t xml:space="preserve"> Elizabeth</w:t>
      </w:r>
      <w:r w:rsidRPr="00B46F73">
        <w:rPr>
          <w:rFonts w:ascii="Cambria" w:eastAsia="Times New Roman" w:hAnsi="Cambria"/>
          <w:sz w:val="16"/>
          <w:szCs w:val="16"/>
          <w:lang w:val="es-CO" w:eastAsia="es-ES_tradnl"/>
        </w:rPr>
        <w:t xml:space="preserve"> Finkelchtein, Fabián Marcelo Furman, Guillermo Benigno Galarraga, Erwin</w:t>
      </w:r>
      <w:r>
        <w:rPr>
          <w:rFonts w:ascii="Cambria" w:eastAsia="Times New Roman" w:hAnsi="Cambria"/>
          <w:sz w:val="16"/>
          <w:szCs w:val="16"/>
          <w:lang w:val="es-CO" w:eastAsia="es-ES_tradnl"/>
        </w:rPr>
        <w:t xml:space="preserve"> Yonny</w:t>
      </w:r>
      <w:r w:rsidRPr="00B46F73">
        <w:rPr>
          <w:rFonts w:ascii="Cambria" w:eastAsia="Times New Roman" w:hAnsi="Cambria"/>
          <w:sz w:val="16"/>
          <w:szCs w:val="16"/>
          <w:lang w:val="es-CO" w:eastAsia="es-ES_tradnl"/>
        </w:rPr>
        <w:t xml:space="preserve"> García Tenorio, José Enrique Ginsber</w:t>
      </w:r>
      <w:r>
        <w:rPr>
          <w:rFonts w:ascii="Cambria" w:eastAsia="Times New Roman" w:hAnsi="Cambria"/>
          <w:sz w:val="16"/>
          <w:szCs w:val="16"/>
          <w:lang w:val="es-CO" w:eastAsia="es-ES_tradnl"/>
        </w:rPr>
        <w:t>g</w:t>
      </w:r>
      <w:r w:rsidRPr="00B46F73">
        <w:rPr>
          <w:rFonts w:ascii="Cambria" w:eastAsia="Times New Roman" w:hAnsi="Cambria"/>
          <w:sz w:val="16"/>
          <w:szCs w:val="16"/>
          <w:lang w:val="es-CO" w:eastAsia="es-ES_tradnl"/>
        </w:rPr>
        <w:t>, Cynthia</w:t>
      </w:r>
      <w:r>
        <w:rPr>
          <w:rFonts w:ascii="Cambria" w:eastAsia="Times New Roman" w:hAnsi="Cambria"/>
          <w:sz w:val="16"/>
          <w:szCs w:val="16"/>
          <w:lang w:val="es-CO" w:eastAsia="es-ES_tradnl"/>
        </w:rPr>
        <w:t xml:space="preserve"> </w:t>
      </w:r>
      <w:r w:rsidRPr="00B46F73">
        <w:rPr>
          <w:rFonts w:ascii="Cambria" w:eastAsia="Times New Roman" w:hAnsi="Cambria"/>
          <w:sz w:val="16"/>
          <w:szCs w:val="16"/>
          <w:lang w:val="es-CO" w:eastAsia="es-ES_tradnl"/>
        </w:rPr>
        <w:t xml:space="preserve">Verónica Goldenberg, Andrea Judith Guterman, </w:t>
      </w:r>
      <w:r>
        <w:rPr>
          <w:rFonts w:ascii="Cambria" w:eastAsia="Times New Roman" w:hAnsi="Cambria"/>
          <w:sz w:val="16"/>
          <w:szCs w:val="16"/>
          <w:lang w:val="es-CO" w:eastAsia="es-ES_tradnl"/>
        </w:rPr>
        <w:t>Leonor Gutman d</w:t>
      </w:r>
      <w:r w:rsidRPr="00B46F73">
        <w:rPr>
          <w:rFonts w:ascii="Cambria" w:eastAsia="Times New Roman" w:hAnsi="Cambria"/>
          <w:sz w:val="16"/>
          <w:szCs w:val="16"/>
          <w:lang w:val="es-CO" w:eastAsia="es-ES_tradnl"/>
        </w:rPr>
        <w:t>e Finkelchtein</w:t>
      </w:r>
      <w:r>
        <w:rPr>
          <w:rFonts w:ascii="Cambria" w:eastAsia="Times New Roman" w:hAnsi="Cambria"/>
          <w:sz w:val="16"/>
          <w:szCs w:val="16"/>
          <w:lang w:val="es-CO" w:eastAsia="es-ES_tradnl"/>
        </w:rPr>
        <w:t xml:space="preserve">, </w:t>
      </w:r>
      <w:r w:rsidRPr="00B46F73">
        <w:rPr>
          <w:rFonts w:ascii="Cambria" w:eastAsia="Times New Roman" w:hAnsi="Cambria"/>
          <w:sz w:val="16"/>
          <w:szCs w:val="16"/>
          <w:lang w:val="es-CO" w:eastAsia="es-ES_tradnl"/>
        </w:rPr>
        <w:t>Silvia Leonor Hersalis, Carlos</w:t>
      </w:r>
      <w:r>
        <w:rPr>
          <w:rFonts w:ascii="Cambria" w:eastAsia="Times New Roman" w:hAnsi="Cambria"/>
          <w:sz w:val="16"/>
          <w:szCs w:val="16"/>
          <w:lang w:val="es-CO" w:eastAsia="es-ES_tradnl"/>
        </w:rPr>
        <w:t xml:space="preserve"> Isaac Hilu, Emilia Jakubiec d</w:t>
      </w:r>
      <w:r w:rsidRPr="00B46F73">
        <w:rPr>
          <w:rFonts w:ascii="Cambria" w:eastAsia="Times New Roman" w:hAnsi="Cambria"/>
          <w:sz w:val="16"/>
          <w:szCs w:val="16"/>
          <w:lang w:val="es-CO" w:eastAsia="es-ES_tradnl"/>
        </w:rPr>
        <w:t xml:space="preserve">e Lewczuk, Maria Luisa Jaworski, Augusto Daniel Jesús, María Lourdes Jesús, Analía Verónica Josch,  Carla Andrea Josch, Elena Sofía Kastika, Esther </w:t>
      </w:r>
      <w:r>
        <w:rPr>
          <w:rFonts w:ascii="Cambria" w:eastAsia="Times New Roman" w:hAnsi="Cambria"/>
          <w:sz w:val="16"/>
          <w:szCs w:val="16"/>
          <w:lang w:val="es-CO" w:eastAsia="es-ES_tradnl"/>
        </w:rPr>
        <w:t xml:space="preserve">Raquel </w:t>
      </w:r>
      <w:r w:rsidRPr="00B46F73">
        <w:rPr>
          <w:rFonts w:ascii="Cambria" w:eastAsia="Times New Roman" w:hAnsi="Cambria"/>
          <w:sz w:val="16"/>
          <w:szCs w:val="16"/>
          <w:lang w:val="es-CO" w:eastAsia="es-ES_tradnl"/>
        </w:rPr>
        <w:t>Klin</w:t>
      </w:r>
      <w:r>
        <w:rPr>
          <w:rFonts w:ascii="Cambria" w:eastAsia="Times New Roman" w:hAnsi="Cambria"/>
          <w:sz w:val="16"/>
          <w:szCs w:val="16"/>
          <w:lang w:val="es-CO" w:eastAsia="es-ES_tradnl"/>
        </w:rPr>
        <w:t xml:space="preserve"> de Fail</w:t>
      </w:r>
      <w:r w:rsidRPr="00B46F73">
        <w:rPr>
          <w:rFonts w:ascii="Cambria" w:eastAsia="Times New Roman" w:hAnsi="Cambria"/>
          <w:sz w:val="16"/>
          <w:szCs w:val="16"/>
          <w:lang w:val="es-CO" w:eastAsia="es-ES_tradnl"/>
        </w:rPr>
        <w:t>, León Gregorio Knorpe</w:t>
      </w:r>
      <w:r>
        <w:rPr>
          <w:rFonts w:ascii="Cambria" w:eastAsia="Times New Roman" w:hAnsi="Cambria"/>
          <w:sz w:val="16"/>
          <w:szCs w:val="16"/>
          <w:lang w:val="es-CO" w:eastAsia="es-ES_tradnl"/>
        </w:rPr>
        <w:t>l, Berta Kozuk de Losz, Luis Fernando Kupchik</w:t>
      </w:r>
      <w:r w:rsidRPr="00B46F73">
        <w:rPr>
          <w:rFonts w:ascii="Cambria" w:eastAsia="Times New Roman" w:hAnsi="Cambria"/>
          <w:sz w:val="16"/>
          <w:szCs w:val="16"/>
          <w:lang w:val="es-CO" w:eastAsia="es-ES_tradnl"/>
        </w:rPr>
        <w:t>, Agustín Diego Lew, Andrés Gustavo Malamud, Gregorio Melma</w:t>
      </w:r>
      <w:r>
        <w:rPr>
          <w:rFonts w:ascii="Cambria" w:eastAsia="Times New Roman" w:hAnsi="Cambria"/>
          <w:sz w:val="16"/>
          <w:szCs w:val="16"/>
          <w:lang w:val="es-CO" w:eastAsia="es-ES_tradnl"/>
        </w:rPr>
        <w:t>n</w:t>
      </w:r>
      <w:r w:rsidRPr="00B46F73">
        <w:rPr>
          <w:rFonts w:ascii="Cambria" w:eastAsia="Times New Roman" w:hAnsi="Cambria"/>
          <w:sz w:val="16"/>
          <w:szCs w:val="16"/>
          <w:lang w:val="es-CO" w:eastAsia="es-ES_tradnl"/>
        </w:rPr>
        <w:t>, Ileana</w:t>
      </w:r>
      <w:r>
        <w:rPr>
          <w:rFonts w:ascii="Cambria" w:eastAsia="Times New Roman" w:hAnsi="Cambria"/>
          <w:sz w:val="16"/>
          <w:szCs w:val="16"/>
          <w:lang w:val="es-CO" w:eastAsia="es-ES_tradnl"/>
        </w:rPr>
        <w:t xml:space="preserve"> Sara Mercovic, Naó</w:t>
      </w:r>
      <w:r w:rsidRPr="00B46F73">
        <w:rPr>
          <w:rFonts w:ascii="Cambria" w:eastAsia="Times New Roman" w:hAnsi="Cambria"/>
          <w:sz w:val="16"/>
          <w:szCs w:val="16"/>
          <w:lang w:val="es-CO" w:eastAsia="es-ES_tradnl"/>
        </w:rPr>
        <w:t>n Bernardo Mirochnik, Mónica</w:t>
      </w:r>
      <w:r>
        <w:rPr>
          <w:rFonts w:ascii="Cambria" w:eastAsia="Times New Roman" w:hAnsi="Cambria"/>
          <w:sz w:val="16"/>
          <w:szCs w:val="16"/>
          <w:lang w:val="es-CO" w:eastAsia="es-ES_tradnl"/>
        </w:rPr>
        <w:t xml:space="preserve"> Graciela Nudel, Elí</w:t>
      </w:r>
      <w:r w:rsidRPr="00B46F73">
        <w:rPr>
          <w:rFonts w:ascii="Cambria" w:eastAsia="Times New Roman" w:hAnsi="Cambria"/>
          <w:sz w:val="16"/>
          <w:szCs w:val="16"/>
          <w:lang w:val="es-CO" w:eastAsia="es-ES_tradnl"/>
        </w:rPr>
        <w:t>as Alberto Palti, Germán Parsons, Rosa Perelmu</w:t>
      </w:r>
      <w:r>
        <w:rPr>
          <w:rFonts w:ascii="Cambria" w:eastAsia="Times New Roman" w:hAnsi="Cambria"/>
          <w:sz w:val="16"/>
          <w:szCs w:val="16"/>
          <w:lang w:val="es-CO" w:eastAsia="es-ES_tradnl"/>
        </w:rPr>
        <w:t>t</w:t>
      </w:r>
      <w:r w:rsidRPr="00B46F73">
        <w:rPr>
          <w:rFonts w:ascii="Cambria" w:eastAsia="Times New Roman" w:hAnsi="Cambria"/>
          <w:sz w:val="16"/>
          <w:szCs w:val="16"/>
          <w:lang w:val="es-CO" w:eastAsia="es-ES_tradnl"/>
        </w:rPr>
        <w:t xml:space="preserve">ter, Roberto Fernando Pérez, </w:t>
      </w:r>
      <w:r w:rsidRPr="00E9688C">
        <w:rPr>
          <w:rFonts w:ascii="Cambria" w:eastAsia="Times New Roman" w:hAnsi="Cambria"/>
          <w:sz w:val="16"/>
          <w:szCs w:val="16"/>
          <w:lang w:val="es-CO" w:eastAsia="es-ES_tradnl"/>
        </w:rPr>
        <w:t>Abraham Jaime Plaksin, Silvia Inés Portnoy, Olegario Ramírez, Noemí Graciela Reisfeld, Félix Roberto Roisma</w:t>
      </w:r>
      <w:r>
        <w:rPr>
          <w:rFonts w:ascii="Cambria" w:eastAsia="Times New Roman" w:hAnsi="Cambria"/>
          <w:sz w:val="16"/>
          <w:szCs w:val="16"/>
          <w:lang w:val="es-CO" w:eastAsia="es-ES_tradnl"/>
        </w:rPr>
        <w:t>n</w:t>
      </w:r>
      <w:r w:rsidRPr="00E9688C">
        <w:rPr>
          <w:rFonts w:ascii="Cambria" w:eastAsia="Times New Roman" w:hAnsi="Cambria"/>
          <w:sz w:val="16"/>
          <w:szCs w:val="16"/>
          <w:lang w:val="es-CO" w:eastAsia="es-ES_tradnl"/>
        </w:rPr>
        <w:t xml:space="preserve">, Marisa Raquel Said, Ricardo Hugo Said, Rimar Salazar Mendoza, Fabián </w:t>
      </w:r>
      <w:r>
        <w:rPr>
          <w:rFonts w:ascii="Cambria" w:eastAsia="Times New Roman" w:hAnsi="Cambria"/>
          <w:sz w:val="16"/>
          <w:szCs w:val="16"/>
          <w:lang w:val="es-CO" w:eastAsia="es-ES_tradnl"/>
        </w:rPr>
        <w:t xml:space="preserve">Gustavo </w:t>
      </w:r>
      <w:r w:rsidRPr="00E9688C">
        <w:rPr>
          <w:rFonts w:ascii="Cambria" w:eastAsia="Times New Roman" w:hAnsi="Cambria"/>
          <w:sz w:val="16"/>
          <w:szCs w:val="16"/>
          <w:lang w:val="es-CO" w:eastAsia="es-ES_tradnl"/>
        </w:rPr>
        <w:t xml:space="preserve">Schalit, Pablo </w:t>
      </w:r>
      <w:r>
        <w:rPr>
          <w:rFonts w:ascii="Cambria" w:eastAsia="Times New Roman" w:hAnsi="Cambria"/>
          <w:sz w:val="16"/>
          <w:szCs w:val="16"/>
          <w:lang w:val="es-CO" w:eastAsia="es-ES_tradnl"/>
        </w:rPr>
        <w:t>Néstor Schalit, Mauricio Schiber</w:t>
      </w:r>
      <w:r w:rsidRPr="00E9688C">
        <w:rPr>
          <w:rFonts w:ascii="Cambria" w:eastAsia="Times New Roman" w:hAnsi="Cambria"/>
          <w:sz w:val="16"/>
          <w:szCs w:val="16"/>
          <w:lang w:val="es-CO" w:eastAsia="es-ES_tradnl"/>
        </w:rPr>
        <w:t xml:space="preserve">, </w:t>
      </w:r>
      <w:r>
        <w:rPr>
          <w:rFonts w:ascii="Cambria" w:eastAsia="Times New Roman" w:hAnsi="Cambria"/>
          <w:sz w:val="16"/>
          <w:szCs w:val="16"/>
          <w:lang w:val="es-CO" w:eastAsia="es-ES_tradnl"/>
        </w:rPr>
        <w:t xml:space="preserve">Dora Shuldman de Belgorosky, </w:t>
      </w:r>
      <w:r w:rsidRPr="00E9688C">
        <w:rPr>
          <w:rFonts w:ascii="Cambria" w:eastAsia="Times New Roman" w:hAnsi="Cambria"/>
          <w:sz w:val="16"/>
          <w:szCs w:val="16"/>
          <w:lang w:val="es-CO" w:eastAsia="es-ES_tradnl"/>
        </w:rPr>
        <w:t xml:space="preserve">Néstor Américo Serena, Mirta </w:t>
      </w:r>
      <w:r>
        <w:rPr>
          <w:rFonts w:ascii="Cambria" w:eastAsia="Times New Roman" w:hAnsi="Cambria"/>
          <w:sz w:val="16"/>
          <w:szCs w:val="16"/>
          <w:lang w:val="es-CO" w:eastAsia="es-ES_tradnl"/>
        </w:rPr>
        <w:t xml:space="preserve">Alicia </w:t>
      </w:r>
      <w:r w:rsidRPr="00E9688C">
        <w:rPr>
          <w:rFonts w:ascii="Cambria" w:eastAsia="Times New Roman" w:hAnsi="Cambria"/>
          <w:sz w:val="16"/>
          <w:szCs w:val="16"/>
          <w:lang w:val="es-CO" w:eastAsia="es-ES_tradnl"/>
        </w:rPr>
        <w:t>Strier, Liliana Edith Szwimer, Naum Javier Tenenbaum, Juan Carlos Terrano</w:t>
      </w:r>
      <w:r>
        <w:rPr>
          <w:rFonts w:ascii="Cambria" w:eastAsia="Times New Roman" w:hAnsi="Cambria"/>
          <w:sz w:val="16"/>
          <w:szCs w:val="16"/>
          <w:lang w:val="es-CO" w:eastAsia="es-ES_tradnl"/>
        </w:rPr>
        <w:t>va, Emilia Graciela Berelejis d</w:t>
      </w:r>
      <w:r w:rsidRPr="00E9688C">
        <w:rPr>
          <w:rFonts w:ascii="Cambria" w:eastAsia="Times New Roman" w:hAnsi="Cambria"/>
          <w:sz w:val="16"/>
          <w:szCs w:val="16"/>
          <w:lang w:val="es-CO" w:eastAsia="es-ES_tradnl"/>
        </w:rPr>
        <w:t>e Toer, Mariela Toer, Marta</w:t>
      </w:r>
      <w:r>
        <w:rPr>
          <w:rFonts w:ascii="Cambria" w:eastAsia="Times New Roman" w:hAnsi="Cambria"/>
          <w:sz w:val="16"/>
          <w:szCs w:val="16"/>
          <w:lang w:val="es-CO" w:eastAsia="es-ES_tradnl"/>
        </w:rPr>
        <w:t xml:space="preserve"> Andrea </w:t>
      </w:r>
      <w:r w:rsidRPr="00E9688C">
        <w:rPr>
          <w:rFonts w:ascii="Cambria" w:eastAsia="Times New Roman" w:hAnsi="Cambria"/>
          <w:sz w:val="16"/>
          <w:szCs w:val="16"/>
          <w:lang w:val="es-CO" w:eastAsia="es-ES_tradnl"/>
        </w:rPr>
        <w:t>Treibman</w:t>
      </w:r>
      <w:r>
        <w:rPr>
          <w:rFonts w:ascii="Cambria" w:eastAsia="Times New Roman" w:hAnsi="Cambria"/>
          <w:sz w:val="16"/>
          <w:szCs w:val="16"/>
          <w:lang w:val="es-CO" w:eastAsia="es-ES_tradnl"/>
        </w:rPr>
        <w:t xml:space="preserve"> de Duek</w:t>
      </w:r>
      <w:r w:rsidRPr="00E9688C">
        <w:rPr>
          <w:rFonts w:ascii="Cambria" w:eastAsia="Times New Roman" w:hAnsi="Cambria"/>
          <w:sz w:val="16"/>
          <w:szCs w:val="16"/>
          <w:lang w:val="es-CO" w:eastAsia="es-ES_tradnl"/>
        </w:rPr>
        <w:t>, Ángel Claudio Ubfal, Eugenio Vela Ramos, Juan Vela Ramos, Gustavo Daniel Velásquez, Isabel Victoria Núñez De Velázquez, Danilo Vil</w:t>
      </w:r>
      <w:r>
        <w:rPr>
          <w:rFonts w:ascii="Cambria" w:eastAsia="Times New Roman" w:hAnsi="Cambria"/>
          <w:sz w:val="16"/>
          <w:szCs w:val="16"/>
          <w:lang w:val="es-CO" w:eastAsia="es-ES_tradnl"/>
        </w:rPr>
        <w:t>laverde, Julia Susana Wolynski d</w:t>
      </w:r>
      <w:r w:rsidRPr="00E9688C">
        <w:rPr>
          <w:rFonts w:ascii="Cambria" w:eastAsia="Times New Roman" w:hAnsi="Cambria"/>
          <w:sz w:val="16"/>
          <w:szCs w:val="16"/>
          <w:lang w:val="es-CO" w:eastAsia="es-ES_tradnl"/>
        </w:rPr>
        <w:t xml:space="preserve">e Kreiman, Rita </w:t>
      </w:r>
      <w:r>
        <w:rPr>
          <w:rFonts w:ascii="Cambria" w:eastAsia="Times New Roman" w:hAnsi="Cambria"/>
          <w:sz w:val="16"/>
          <w:szCs w:val="16"/>
          <w:lang w:val="es-CO" w:eastAsia="es-ES_tradnl"/>
        </w:rPr>
        <w:t>Noemí Worona, Ademar Zá</w:t>
      </w:r>
      <w:r w:rsidRPr="00E9688C">
        <w:rPr>
          <w:rFonts w:ascii="Cambria" w:eastAsia="Times New Roman" w:hAnsi="Cambria"/>
          <w:sz w:val="16"/>
          <w:szCs w:val="16"/>
          <w:lang w:val="es-CO" w:eastAsia="es-ES_tradnl"/>
        </w:rPr>
        <w:t xml:space="preserve">rate Loayza. </w:t>
      </w:r>
      <w:r>
        <w:rPr>
          <w:rFonts w:ascii="Cambria" w:hAnsi="Cambria"/>
          <w:sz w:val="16"/>
          <w:szCs w:val="16"/>
          <w:lang w:val="es-ES"/>
        </w:rPr>
        <w:t xml:space="preserve">Ver al respecto: </w:t>
      </w:r>
      <w:r w:rsidRPr="001A370E">
        <w:rPr>
          <w:rFonts w:asciiTheme="majorHAnsi" w:hAnsiTheme="majorHAnsi"/>
          <w:sz w:val="16"/>
          <w:szCs w:val="16"/>
          <w:lang w:val="es-AR"/>
        </w:rPr>
        <w:t>A</w:t>
      </w:r>
      <w:r>
        <w:rPr>
          <w:rFonts w:asciiTheme="majorHAnsi" w:hAnsiTheme="majorHAnsi"/>
          <w:sz w:val="16"/>
          <w:szCs w:val="16"/>
          <w:lang w:val="es-AR"/>
        </w:rPr>
        <w:t>nexo 2</w:t>
      </w:r>
      <w:r w:rsidRPr="00D93236">
        <w:rPr>
          <w:rFonts w:asciiTheme="majorHAnsi" w:hAnsiTheme="majorHAnsi"/>
          <w:sz w:val="16"/>
          <w:szCs w:val="16"/>
          <w:lang w:val="es-AR"/>
        </w:rPr>
        <w:t>. Sentencia del TOF 3. Capítulo V</w:t>
      </w:r>
      <w:r>
        <w:rPr>
          <w:rFonts w:asciiTheme="majorHAnsi" w:hAnsiTheme="majorHAnsi"/>
          <w:sz w:val="16"/>
          <w:szCs w:val="16"/>
          <w:lang w:val="es-AR"/>
        </w:rPr>
        <w:t>.A.5,</w:t>
      </w:r>
      <w:r w:rsidRPr="00D93236">
        <w:rPr>
          <w:rFonts w:asciiTheme="majorHAnsi" w:hAnsiTheme="majorHAnsi"/>
          <w:sz w:val="16"/>
          <w:szCs w:val="16"/>
          <w:lang w:val="es-AR"/>
        </w:rPr>
        <w:t xml:space="preserve"> pág. 2</w:t>
      </w:r>
      <w:r>
        <w:rPr>
          <w:rFonts w:asciiTheme="majorHAnsi" w:hAnsiTheme="majorHAnsi"/>
          <w:sz w:val="16"/>
          <w:szCs w:val="16"/>
          <w:lang w:val="es-AR"/>
        </w:rPr>
        <w:t>361 a 2372</w:t>
      </w:r>
      <w:r w:rsidRPr="00D93236">
        <w:rPr>
          <w:rFonts w:asciiTheme="majorHAnsi" w:hAnsiTheme="majorHAnsi"/>
          <w:sz w:val="16"/>
          <w:szCs w:val="16"/>
          <w:lang w:val="es-AR"/>
        </w:rPr>
        <w:t>. Anexo 1 a la comunicación de la parte peticionaria de fecha 11 de noviembre de 2019</w:t>
      </w:r>
    </w:p>
  </w:footnote>
  <w:footnote w:id="9">
    <w:p w14:paraId="3C014E3F" w14:textId="77777777" w:rsidR="005B3F8C" w:rsidRPr="002847DD" w:rsidRDefault="005B3F8C" w:rsidP="00D93236">
      <w:pPr>
        <w:pStyle w:val="FootnoteText"/>
        <w:jc w:val="both"/>
        <w:rPr>
          <w:rFonts w:ascii="Cambria" w:hAnsi="Cambria"/>
          <w:sz w:val="16"/>
          <w:szCs w:val="16"/>
          <w:lang w:val="es-ES"/>
        </w:rPr>
      </w:pPr>
      <w:r w:rsidRPr="00B46F73">
        <w:rPr>
          <w:rStyle w:val="FootnoteReference"/>
          <w:rFonts w:ascii="Cambria" w:hAnsi="Cambria"/>
          <w:sz w:val="16"/>
          <w:szCs w:val="16"/>
        </w:rPr>
        <w:footnoteRef/>
      </w:r>
      <w:r w:rsidRPr="002847DD">
        <w:rPr>
          <w:rFonts w:ascii="Cambria" w:hAnsi="Cambria"/>
          <w:sz w:val="16"/>
          <w:szCs w:val="16"/>
          <w:lang w:val="es-CO"/>
        </w:rPr>
        <w:t xml:space="preserve"> De acuerdo con la sentencia del TOF 3 </w:t>
      </w:r>
      <w:r w:rsidRPr="00B46F73">
        <w:rPr>
          <w:rFonts w:ascii="Cambria" w:hAnsi="Cambria"/>
          <w:sz w:val="16"/>
          <w:szCs w:val="16"/>
          <w:lang w:val="es-ES"/>
        </w:rPr>
        <w:t>las personas que sufrieron lesiones</w:t>
      </w:r>
      <w:r>
        <w:rPr>
          <w:rFonts w:ascii="Cambria" w:hAnsi="Cambria"/>
          <w:sz w:val="16"/>
          <w:szCs w:val="16"/>
          <w:lang w:val="es-ES"/>
        </w:rPr>
        <w:t xml:space="preserve"> graves</w:t>
      </w:r>
      <w:r w:rsidRPr="00B46F73">
        <w:rPr>
          <w:rFonts w:ascii="Cambria" w:hAnsi="Cambria"/>
          <w:sz w:val="16"/>
          <w:szCs w:val="16"/>
          <w:lang w:val="es-ES"/>
        </w:rPr>
        <w:t xml:space="preserve"> como consecuencia del atentado </w:t>
      </w:r>
      <w:r>
        <w:rPr>
          <w:rFonts w:ascii="Cambria" w:hAnsi="Cambria"/>
          <w:sz w:val="16"/>
          <w:szCs w:val="16"/>
          <w:lang w:val="es-ES"/>
        </w:rPr>
        <w:t>fueron</w:t>
      </w:r>
      <w:r w:rsidRPr="00B46F73">
        <w:rPr>
          <w:rFonts w:ascii="Cambria" w:hAnsi="Cambria"/>
          <w:sz w:val="16"/>
          <w:szCs w:val="16"/>
          <w:lang w:val="es-ES"/>
        </w:rPr>
        <w:t xml:space="preserve">: Juan Carlos Álvarez, Raquel Angélica Álvarez, Fernando José Andrada, Pablo Ayala Rodríguez, Ana María Balaszczuk de Cernadas, Mónica Beatriz Barraganes, Hermelinda Bermin Bello, Sergio </w:t>
      </w:r>
      <w:r>
        <w:rPr>
          <w:rFonts w:ascii="Cambria" w:hAnsi="Cambria"/>
          <w:sz w:val="16"/>
          <w:szCs w:val="16"/>
          <w:lang w:val="es-ES"/>
        </w:rPr>
        <w:t>Luis Bondar, Jorge Eduardo Bordó</w:t>
      </w:r>
      <w:r w:rsidRPr="00B46F73">
        <w:rPr>
          <w:rFonts w:ascii="Cambria" w:hAnsi="Cambria"/>
          <w:sz w:val="16"/>
          <w:szCs w:val="16"/>
          <w:lang w:val="es-ES"/>
        </w:rPr>
        <w:t>n, Gustavo Marí</w:t>
      </w:r>
      <w:r w:rsidRPr="00E9688C">
        <w:rPr>
          <w:rFonts w:ascii="Cambria" w:hAnsi="Cambria"/>
          <w:sz w:val="16"/>
          <w:szCs w:val="16"/>
          <w:lang w:val="es-ES"/>
        </w:rPr>
        <w:t>n Cano, Moisés Chaufan, Rubén Samuel Chejfec, Humberto Chiesa, Mario Ernesto Damp, Horacio Dragubitzky, Jorge Osvaldo Ferretti, Leonor Marina Fuster, Adolfo Guido Guzmán, Norma Heler de Lew, Angélica Ester Leiva, Luciano Javier Luppi, Aldo Ernesto Macagno, Gregorio Marchak, Marta Beatriz Massoli de Luppi, Alejandro Mirochnik, Javier Horacio Miropol</w:t>
      </w:r>
      <w:r>
        <w:rPr>
          <w:rFonts w:ascii="Cambria" w:hAnsi="Cambria"/>
          <w:sz w:val="16"/>
          <w:szCs w:val="16"/>
          <w:lang w:val="es-ES"/>
        </w:rPr>
        <w:t>sky, Rosa Montano de Barreiros</w:t>
      </w:r>
      <w:r w:rsidRPr="00E9688C">
        <w:rPr>
          <w:rFonts w:ascii="Cambria" w:hAnsi="Cambria"/>
          <w:sz w:val="16"/>
          <w:szCs w:val="16"/>
          <w:lang w:val="es-ES"/>
        </w:rPr>
        <w:t>, Raúl Alberto Sánchez, Daniel Osvaldo Saravia, Elena Schreiber de Falk, Gustavo Spinelli, Horaci</w:t>
      </w:r>
      <w:r w:rsidRPr="002847DD">
        <w:rPr>
          <w:rFonts w:ascii="Cambria" w:hAnsi="Cambria"/>
          <w:sz w:val="16"/>
          <w:szCs w:val="16"/>
          <w:lang w:val="es-ES"/>
        </w:rPr>
        <w:t>o Diego Vel</w:t>
      </w:r>
      <w:r>
        <w:rPr>
          <w:rFonts w:ascii="Cambria" w:hAnsi="Cambria"/>
          <w:sz w:val="16"/>
          <w:szCs w:val="16"/>
          <w:lang w:val="es-ES"/>
        </w:rPr>
        <w:t>ázquez, Martín José Viudez y Claudio Alejandro Weicman. En tanto que l</w:t>
      </w:r>
      <w:r w:rsidRPr="002847DD">
        <w:rPr>
          <w:rFonts w:ascii="Cambria" w:hAnsi="Cambria"/>
          <w:sz w:val="16"/>
          <w:szCs w:val="16"/>
          <w:lang w:val="es-ES"/>
        </w:rPr>
        <w:t xml:space="preserve">as personas que </w:t>
      </w:r>
      <w:r>
        <w:rPr>
          <w:rFonts w:ascii="Cambria" w:hAnsi="Cambria"/>
          <w:sz w:val="16"/>
          <w:szCs w:val="16"/>
          <w:lang w:val="es-ES"/>
        </w:rPr>
        <w:t>sufrieron lesiones leves  fueron</w:t>
      </w:r>
      <w:r w:rsidRPr="002847DD">
        <w:rPr>
          <w:rFonts w:ascii="Cambria" w:hAnsi="Cambria"/>
          <w:sz w:val="16"/>
          <w:szCs w:val="16"/>
          <w:lang w:val="es-ES"/>
        </w:rPr>
        <w:t>: Berta Abousky de Palais, Elvira Rosa Acosta, Isabel Ainwoiner de Peker, Jorge Miguel Andrada, Héctor Alberto Arce, Mónica Lucía Arnaudo de Yabiansky, Elena Atallah de Paleciz, Hugo Enrique Ávila, Claudio Baamnonte, Óscar Alberto Banega, Edmundo Horacio Baron, Julio Barriga Loayza, Alberto Brescia, Juan Antonio Brizuela, Martha Hilda Brodsky de Roffe, Luis Canzobre, Silvia Verónica Carrizo, Silvia Castillo Benítez, Blanca Ofelia Castillo Villanueva, Claudio Alejandro Castro, Lidia Ber</w:t>
      </w:r>
      <w:r>
        <w:rPr>
          <w:rFonts w:ascii="Cambria" w:hAnsi="Cambria"/>
          <w:sz w:val="16"/>
          <w:szCs w:val="16"/>
          <w:lang w:val="es-ES"/>
        </w:rPr>
        <w:t>nardita Cazal Martí, María Elsa</w:t>
      </w:r>
      <w:r w:rsidRPr="002847DD">
        <w:rPr>
          <w:rFonts w:ascii="Cambria" w:hAnsi="Cambria"/>
          <w:sz w:val="16"/>
          <w:szCs w:val="16"/>
          <w:lang w:val="es-ES"/>
        </w:rPr>
        <w:t xml:space="preserve"> Cena, Gustavo Cernadas, Paula Cernadas, Siphor Chalelachuili de Lapidus, Salomon Chencinski, Raquel Czertok de Chen, Diego Nolberto Díaz, Celia Dubini de Quiroga, Silvio Duniec, Edmundo Ruiz, Martha Raquel Finkelberg de Pirro, Carlos Alberto Flores, Adrián Pablo Furman, Eleuterio Galán, Francisco Gustavo Galán, Salustiano Galeano, Jos Adalberto Gallardo Nuesch, Raquel Ester Goberman, Oscar Alfredo Gómez, Arturo Gritti, Arturo Daniel Gritti, Ramón Máximo Gutmann, Miriam Magdalena Hoyos, </w:t>
      </w:r>
      <w:r>
        <w:rPr>
          <w:rFonts w:ascii="Cambria" w:hAnsi="Cambria"/>
          <w:sz w:val="16"/>
          <w:szCs w:val="16"/>
          <w:lang w:val="es-ES"/>
        </w:rPr>
        <w:t>Ernesto Víctor Ini, Dolores Insú</w:t>
      </w:r>
      <w:r w:rsidRPr="002847DD">
        <w:rPr>
          <w:rFonts w:ascii="Cambria" w:hAnsi="Cambria"/>
          <w:sz w:val="16"/>
          <w:szCs w:val="16"/>
          <w:lang w:val="es-ES"/>
        </w:rPr>
        <w:t xml:space="preserve">a Calo, Mario Kahan, Marcela Patricia Laborie San Miguel, Susana Cecilia Lacour, Israel Moisés Lapidus, José Longo, Inés Vicenta López de Duniec, Inés Zulema López, Ramón López, Salomon Lotersztein, Juan Aldo Luján, Jorge Alberto Machaca, Norma Gladys Mansilla, Olga Josefina Martínez, Zunilda Petrona Martínez, Pedro Martínez, José Eduardo Marzilli, Antonia Nelida Mastromauro, Luisa Miednik, Gregorio Oscar Militello, Ramona Miño, Laura Andrea Moragues, Oscar Orlando Moya, </w:t>
      </w:r>
      <w:r>
        <w:rPr>
          <w:rFonts w:ascii="Cambria" w:hAnsi="Cambria"/>
          <w:sz w:val="16"/>
          <w:szCs w:val="16"/>
          <w:lang w:val="es-ES"/>
        </w:rPr>
        <w:t xml:space="preserve">Silvia </w:t>
      </w:r>
      <w:r w:rsidRPr="002847DD">
        <w:rPr>
          <w:rFonts w:ascii="Cambria" w:hAnsi="Cambria"/>
          <w:sz w:val="16"/>
          <w:szCs w:val="16"/>
          <w:lang w:val="es-ES"/>
        </w:rPr>
        <w:t xml:space="preserve">Alejandra Murcia, Mario Obregón, Liliana Cristina Olivo, Mario Antonio Ottolino, Lorena Verónica Pate, Marcial César Peleteyro, Gabriel German Peralta Ruíz, Omar Alfredo Pérez, Osvaldo Héctor Pérez, </w:t>
      </w:r>
      <w:r w:rsidRPr="00E9688C">
        <w:rPr>
          <w:rFonts w:ascii="Cambria" w:hAnsi="Cambria"/>
          <w:sz w:val="16"/>
          <w:szCs w:val="16"/>
          <w:lang w:val="es-ES"/>
        </w:rPr>
        <w:t>Gladys Ernestina Perona de Lisazo</w:t>
      </w:r>
      <w:r>
        <w:rPr>
          <w:rFonts w:ascii="Cambria" w:hAnsi="Cambria"/>
          <w:sz w:val="16"/>
          <w:szCs w:val="16"/>
          <w:lang w:val="es-ES"/>
        </w:rPr>
        <w:t xml:space="preserve">, </w:t>
      </w:r>
      <w:r w:rsidRPr="002847DD">
        <w:rPr>
          <w:rFonts w:ascii="Cambria" w:hAnsi="Cambria"/>
          <w:sz w:val="16"/>
          <w:szCs w:val="16"/>
          <w:lang w:val="es-ES"/>
        </w:rPr>
        <w:t xml:space="preserve">Daniel Alejandro Pomerantz, Rita Raquel Ramírez, Edgardo Roberto Ribrochi, Cecilia Alejandra Rikap, Ana María Rivas de Rikap, María Beatriz Rivera Méndez, Julio César Rodríguez, Alberto Roffe, Gabriel León Roffe, Carlos Romagnani, Ángela Romano de Delgado, Mariana Andrea Sandkovsky, Olga Magdalena Santillán, Adriana Beatriz Schettino, Esther Beatriz Segelis de Dobniewski, Sara Shimanski de Schapira, Adriana Verónica Rosa Sibilla, Víctor Hugo Siman, </w:t>
      </w:r>
      <w:r>
        <w:rPr>
          <w:rFonts w:ascii="Cambria" w:hAnsi="Cambria"/>
          <w:sz w:val="16"/>
          <w:szCs w:val="16"/>
          <w:lang w:val="es-ES"/>
        </w:rPr>
        <w:t xml:space="preserve">Simón Sneh, Julio Carlos Sosa, </w:t>
      </w:r>
      <w:r w:rsidRPr="002847DD">
        <w:rPr>
          <w:rFonts w:ascii="Cambria" w:hAnsi="Cambria"/>
          <w:sz w:val="16"/>
          <w:szCs w:val="16"/>
          <w:lang w:val="es-ES"/>
        </w:rPr>
        <w:t xml:space="preserve"> Aida Eva Stolarsky de Bedne, Samuel Szurman, Adriana Marisa Tello, Daniel Tobal, Elías Néstor Tobal, Claudia Patricia Valdez, León Veliz Palmacio, Alejandro Daniel Verri, Claudia Cristina Vicente de Liano, Miguel Ángel Vinciguerra, Eduardo Waizer, Miguel Ángel Wehbi, Nicolás Wojda, Romina Yabian</w:t>
      </w:r>
      <w:r>
        <w:rPr>
          <w:rFonts w:ascii="Cambria" w:hAnsi="Cambria"/>
          <w:sz w:val="16"/>
          <w:szCs w:val="16"/>
          <w:lang w:val="es-ES"/>
        </w:rPr>
        <w:t>sky, Adolfo Yabo, Jaime Zaidman y</w:t>
      </w:r>
      <w:r w:rsidRPr="002847DD">
        <w:rPr>
          <w:rFonts w:ascii="Cambria" w:hAnsi="Cambria"/>
          <w:sz w:val="16"/>
          <w:szCs w:val="16"/>
          <w:lang w:val="es-ES"/>
        </w:rPr>
        <w:t xml:space="preserve"> Leonardo León Zechin.</w:t>
      </w:r>
      <w:r>
        <w:rPr>
          <w:rFonts w:ascii="Cambria" w:hAnsi="Cambria"/>
          <w:sz w:val="16"/>
          <w:szCs w:val="16"/>
          <w:lang w:val="es-ES"/>
        </w:rPr>
        <w:t xml:space="preserve"> Ver al respecto: </w:t>
      </w:r>
      <w:r w:rsidRPr="001A370E">
        <w:rPr>
          <w:rFonts w:asciiTheme="majorHAnsi" w:hAnsiTheme="majorHAnsi"/>
          <w:sz w:val="16"/>
          <w:szCs w:val="16"/>
          <w:lang w:val="es-AR"/>
        </w:rPr>
        <w:t>A</w:t>
      </w:r>
      <w:r>
        <w:rPr>
          <w:rFonts w:asciiTheme="majorHAnsi" w:hAnsiTheme="majorHAnsi"/>
          <w:sz w:val="16"/>
          <w:szCs w:val="16"/>
          <w:lang w:val="es-AR"/>
        </w:rPr>
        <w:t>nexo 2</w:t>
      </w:r>
      <w:r w:rsidRPr="00D93236">
        <w:rPr>
          <w:rFonts w:asciiTheme="majorHAnsi" w:hAnsiTheme="majorHAnsi"/>
          <w:sz w:val="16"/>
          <w:szCs w:val="16"/>
          <w:lang w:val="es-AR"/>
        </w:rPr>
        <w:t>. Sentencia del TOF 3. Capítulo V</w:t>
      </w:r>
      <w:r>
        <w:rPr>
          <w:rFonts w:asciiTheme="majorHAnsi" w:hAnsiTheme="majorHAnsi"/>
          <w:sz w:val="16"/>
          <w:szCs w:val="16"/>
          <w:lang w:val="es-AR"/>
        </w:rPr>
        <w:t>.A.6,</w:t>
      </w:r>
      <w:r w:rsidRPr="00D93236">
        <w:rPr>
          <w:rFonts w:asciiTheme="majorHAnsi" w:hAnsiTheme="majorHAnsi"/>
          <w:sz w:val="16"/>
          <w:szCs w:val="16"/>
          <w:lang w:val="es-AR"/>
        </w:rPr>
        <w:t xml:space="preserve"> pág. 2</w:t>
      </w:r>
      <w:r>
        <w:rPr>
          <w:rFonts w:asciiTheme="majorHAnsi" w:hAnsiTheme="majorHAnsi"/>
          <w:sz w:val="16"/>
          <w:szCs w:val="16"/>
          <w:lang w:val="es-AR"/>
        </w:rPr>
        <w:t>372 a 2402</w:t>
      </w:r>
      <w:r w:rsidRPr="00D93236">
        <w:rPr>
          <w:rFonts w:asciiTheme="majorHAnsi" w:hAnsiTheme="majorHAnsi"/>
          <w:sz w:val="16"/>
          <w:szCs w:val="16"/>
          <w:lang w:val="es-AR"/>
        </w:rPr>
        <w:t>. Anexo 1 a la comunicación de la parte peticionaria de fecha 11 de noviembre de 2019</w:t>
      </w:r>
    </w:p>
  </w:footnote>
  <w:footnote w:id="10">
    <w:p w14:paraId="192391D1"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Pr>
          <w:rFonts w:asciiTheme="majorHAnsi" w:hAnsiTheme="majorHAnsi"/>
          <w:sz w:val="16"/>
          <w:szCs w:val="16"/>
          <w:lang w:val="es-AR"/>
        </w:rPr>
        <w:t xml:space="preserve">Código </w:t>
      </w:r>
      <w:r w:rsidRPr="00D93236">
        <w:rPr>
          <w:rFonts w:asciiTheme="majorHAnsi" w:hAnsiTheme="majorHAnsi"/>
          <w:sz w:val="16"/>
          <w:szCs w:val="16"/>
          <w:lang w:val="es-AR"/>
        </w:rPr>
        <w:t xml:space="preserve">Procesal Penal. Ley 23.984. Sancionada el 21 de agosto de 1991. Accesible en: </w:t>
      </w:r>
      <w:r w:rsidRPr="00386243">
        <w:rPr>
          <w:rFonts w:asciiTheme="majorHAnsi" w:hAnsiTheme="majorHAnsi"/>
          <w:sz w:val="16"/>
          <w:szCs w:val="16"/>
          <w:lang w:val="es-AR"/>
        </w:rPr>
        <w:t>http://servicios.infoleg.gob.ar/infolegInternet/anexos/0-4999/383/texact.htm</w:t>
      </w:r>
      <w:r w:rsidRPr="00D93236">
        <w:rPr>
          <w:rFonts w:asciiTheme="majorHAnsi" w:hAnsiTheme="majorHAnsi"/>
          <w:sz w:val="16"/>
          <w:szCs w:val="16"/>
          <w:lang w:val="es-AR"/>
        </w:rPr>
        <w:t xml:space="preserve"> </w:t>
      </w:r>
    </w:p>
  </w:footnote>
  <w:footnote w:id="11">
    <w:p w14:paraId="049DCAFB" w14:textId="77777777" w:rsidR="005B3F8C" w:rsidRPr="00386243" w:rsidRDefault="005B3F8C" w:rsidP="00E27260">
      <w:pPr>
        <w:jc w:val="both"/>
        <w:rPr>
          <w:rFonts w:ascii="Cambria" w:eastAsia="Calibri" w:hAnsi="Cambria" w:cs="Calibri"/>
          <w:color w:val="000000"/>
          <w:sz w:val="16"/>
          <w:szCs w:val="16"/>
          <w:u w:color="000000"/>
          <w:bdr w:val="nil"/>
          <w:lang w:val="es-AR" w:eastAsia="es-E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386243">
        <w:rPr>
          <w:rFonts w:ascii="Cambria" w:eastAsia="Calibri" w:hAnsi="Cambria" w:cs="Calibri"/>
          <w:color w:val="000000"/>
          <w:sz w:val="16"/>
          <w:szCs w:val="16"/>
          <w:u w:color="000000"/>
          <w:bdr w:val="nil"/>
          <w:lang w:val="es-AR" w:eastAsia="es-ES"/>
        </w:rPr>
        <w:t>Anexo 2. Sentencia del TOF 3. Capitulo V.B “Nulidades”. Págs. 2650 a 2682.  Anexo 1 a la comunicación de la parte peticionaria de fecha 11 de noviembre de 2019</w:t>
      </w:r>
    </w:p>
  </w:footnote>
  <w:footnote w:id="12">
    <w:p w14:paraId="3480C0AC" w14:textId="77777777" w:rsidR="005B3F8C" w:rsidRPr="00D93236" w:rsidRDefault="005B3F8C" w:rsidP="00E27260">
      <w:pPr>
        <w:pStyle w:val="FootnoteText"/>
        <w:jc w:val="both"/>
        <w:rPr>
          <w:rFonts w:asciiTheme="majorHAnsi" w:hAnsiTheme="majorHAnsi"/>
          <w:sz w:val="16"/>
          <w:szCs w:val="16"/>
          <w:lang w:val="es-AR"/>
        </w:rPr>
      </w:pPr>
      <w:r w:rsidRPr="00386243">
        <w:rPr>
          <w:rFonts w:ascii="Cambria" w:hAnsi="Cambria"/>
          <w:sz w:val="16"/>
          <w:szCs w:val="16"/>
          <w:vertAlign w:val="superscript"/>
          <w:lang w:val="es-AR"/>
        </w:rPr>
        <w:footnoteRef/>
      </w:r>
      <w:r w:rsidRPr="00386243">
        <w:rPr>
          <w:rFonts w:ascii="Cambria" w:hAnsi="Cambria"/>
          <w:sz w:val="16"/>
          <w:szCs w:val="16"/>
          <w:lang w:val="es-AR"/>
        </w:rPr>
        <w:t xml:space="preserve"> Anexo 2. Sentencia del TOF 3. Capítulo VI.A “la Trafic de ‘Messin’. págs. 2706-2734. Anexo 1 a la comunicación de la parte peticionaria de fecha 11 de noviembre de 2019.</w:t>
      </w:r>
      <w:r w:rsidRPr="00D93236">
        <w:rPr>
          <w:rFonts w:asciiTheme="majorHAnsi" w:hAnsiTheme="majorHAnsi"/>
          <w:sz w:val="16"/>
          <w:szCs w:val="16"/>
          <w:lang w:val="es-AR"/>
        </w:rPr>
        <w:t xml:space="preserve"> </w:t>
      </w:r>
    </w:p>
  </w:footnote>
  <w:footnote w:id="13">
    <w:p w14:paraId="4A6C56E2"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Para un relato de las circunstancias que rodearon la detención de Carlos Telleldin, ver</w:t>
      </w:r>
      <w:r w:rsidRPr="00D93236">
        <w:rPr>
          <w:rFonts w:asciiTheme="majorHAnsi" w:hAnsiTheme="majorHAnsi"/>
          <w:i/>
          <w:sz w:val="16"/>
          <w:szCs w:val="16"/>
          <w:lang w:val="es-AR"/>
        </w:rPr>
        <w:t xml:space="preserve"> infra</w:t>
      </w:r>
      <w:r w:rsidRPr="00D93236">
        <w:rPr>
          <w:rFonts w:asciiTheme="majorHAnsi" w:hAnsiTheme="majorHAnsi"/>
          <w:sz w:val="16"/>
          <w:szCs w:val="16"/>
          <w:lang w:val="es-AR"/>
        </w:rPr>
        <w:t xml:space="preserve"> </w:t>
      </w:r>
      <w:r w:rsidRPr="00386243">
        <w:rPr>
          <w:rFonts w:asciiTheme="majorHAnsi" w:hAnsiTheme="majorHAnsi"/>
          <w:sz w:val="16"/>
          <w:szCs w:val="16"/>
          <w:lang w:val="es-AR"/>
        </w:rPr>
        <w:t>parrs 163 a 168</w:t>
      </w:r>
      <w:r w:rsidRPr="00D93236">
        <w:rPr>
          <w:rFonts w:asciiTheme="majorHAnsi" w:hAnsiTheme="majorHAnsi"/>
          <w:sz w:val="16"/>
          <w:szCs w:val="16"/>
          <w:lang w:val="es-AR"/>
        </w:rPr>
        <w:t xml:space="preserve"> y</w:t>
      </w:r>
      <w:r w:rsidRPr="00D93236">
        <w:rPr>
          <w:rFonts w:asciiTheme="majorHAnsi" w:hAnsiTheme="majorHAnsi"/>
          <w:b/>
          <w:sz w:val="16"/>
          <w:szCs w:val="16"/>
          <w:lang w:val="es-AR"/>
        </w:rPr>
        <w:t xml:space="preserve"> </w:t>
      </w:r>
      <w:r w:rsidRPr="00403250">
        <w:rPr>
          <w:rFonts w:asciiTheme="majorHAnsi" w:hAnsiTheme="majorHAnsi"/>
          <w:sz w:val="16"/>
          <w:szCs w:val="16"/>
          <w:lang w:val="es-AR"/>
        </w:rPr>
        <w:t>A</w:t>
      </w:r>
      <w:r>
        <w:rPr>
          <w:rFonts w:asciiTheme="majorHAnsi" w:hAnsiTheme="majorHAnsi"/>
          <w:sz w:val="16"/>
          <w:szCs w:val="16"/>
          <w:lang w:val="es-AR"/>
        </w:rPr>
        <w:t>nexo 2</w:t>
      </w:r>
      <w:r w:rsidRPr="00D93236">
        <w:rPr>
          <w:rFonts w:asciiTheme="majorHAnsi" w:hAnsiTheme="majorHAnsi"/>
          <w:sz w:val="16"/>
          <w:szCs w:val="16"/>
          <w:lang w:val="es-AR"/>
        </w:rPr>
        <w:t xml:space="preserve">. Sentencia del TOF 3. Capítulo IX.  págs. 3681-3700.  Anexo 1 a la comunicación de la parte peticionaria de fecha 11 de noviembre de 2019. </w:t>
      </w:r>
    </w:p>
  </w:footnote>
  <w:footnote w:id="14">
    <w:p w14:paraId="394DF21F"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El resumen de lo expuesto por Telleldin en sus declaraciones indagatorias de fecha 20 de julio de 1994, 6 y 7 de agosto de 1994, 28 de diciembre de 1994 y 4 de abril de 1995 puede consultarse en: </w:t>
      </w:r>
      <w:r w:rsidRPr="00403250">
        <w:rPr>
          <w:rFonts w:asciiTheme="majorHAnsi" w:hAnsiTheme="majorHAnsi"/>
          <w:sz w:val="16"/>
          <w:szCs w:val="16"/>
          <w:lang w:val="es-AR"/>
        </w:rPr>
        <w:t>A</w:t>
      </w:r>
      <w:r>
        <w:rPr>
          <w:rFonts w:asciiTheme="majorHAnsi" w:hAnsiTheme="majorHAnsi"/>
          <w:sz w:val="16"/>
          <w:szCs w:val="16"/>
          <w:lang w:val="es-AR"/>
        </w:rPr>
        <w:t>nexo 2</w:t>
      </w:r>
      <w:r w:rsidRPr="00D93236">
        <w:rPr>
          <w:rFonts w:asciiTheme="majorHAnsi" w:hAnsiTheme="majorHAnsi"/>
          <w:sz w:val="16"/>
          <w:szCs w:val="16"/>
          <w:lang w:val="es-AR"/>
        </w:rPr>
        <w:t>. Sentencia del TOF 3. Capítulo IV, págs. 1453-1522. Anexo 1 a la comunicación de la parte peticionaria de fecha 11 de noviembre de 2019</w:t>
      </w:r>
    </w:p>
  </w:footnote>
  <w:footnote w:id="15">
    <w:p w14:paraId="7E4E56D1"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556032">
        <w:rPr>
          <w:rFonts w:asciiTheme="majorHAnsi" w:hAnsiTheme="majorHAnsi"/>
          <w:sz w:val="16"/>
          <w:szCs w:val="16"/>
          <w:lang w:val="es-AR"/>
        </w:rPr>
        <w:t>Anexo 2.</w:t>
      </w:r>
      <w:r w:rsidRPr="00D93236">
        <w:rPr>
          <w:rFonts w:asciiTheme="majorHAnsi" w:hAnsiTheme="majorHAnsi"/>
          <w:sz w:val="16"/>
          <w:szCs w:val="16"/>
          <w:lang w:val="es-AR"/>
        </w:rPr>
        <w:t xml:space="preserve"> Sentencia del TOF 3. Capítulo IV, págs. 1522-1557. Anexo 1 a la comunicación de la parte peticionaria de fecha 11 de noviembre de 2019</w:t>
      </w:r>
    </w:p>
  </w:footnote>
  <w:footnote w:id="16">
    <w:p w14:paraId="1E657BAD"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556032">
        <w:rPr>
          <w:rFonts w:asciiTheme="majorHAnsi" w:hAnsiTheme="majorHAnsi"/>
          <w:sz w:val="16"/>
          <w:szCs w:val="16"/>
          <w:lang w:val="es-AR"/>
        </w:rPr>
        <w:t>Anexo 2.</w:t>
      </w:r>
      <w:r w:rsidRPr="00D93236">
        <w:rPr>
          <w:rFonts w:asciiTheme="majorHAnsi" w:hAnsiTheme="majorHAnsi"/>
          <w:i/>
          <w:sz w:val="16"/>
          <w:szCs w:val="16"/>
          <w:lang w:val="es-AR"/>
        </w:rPr>
        <w:t xml:space="preserve"> </w:t>
      </w:r>
      <w:r w:rsidRPr="00D93236">
        <w:rPr>
          <w:rFonts w:asciiTheme="majorHAnsi" w:hAnsiTheme="majorHAnsi"/>
          <w:sz w:val="16"/>
          <w:szCs w:val="16"/>
          <w:lang w:val="es-AR"/>
        </w:rPr>
        <w:t>Sentencia del TOF 3.</w:t>
      </w:r>
      <w:r w:rsidRPr="00D93236">
        <w:rPr>
          <w:rFonts w:asciiTheme="majorHAnsi" w:hAnsiTheme="majorHAnsi"/>
          <w:i/>
          <w:sz w:val="16"/>
          <w:szCs w:val="16"/>
          <w:lang w:val="es-AR"/>
        </w:rPr>
        <w:t xml:space="preserve"> </w:t>
      </w:r>
      <w:r>
        <w:rPr>
          <w:rFonts w:asciiTheme="majorHAnsi" w:hAnsiTheme="majorHAnsi"/>
          <w:sz w:val="16"/>
          <w:szCs w:val="16"/>
          <w:lang w:val="es-AR"/>
        </w:rPr>
        <w:t>Capítulo IV, p</w:t>
      </w:r>
      <w:r w:rsidRPr="00D93236">
        <w:rPr>
          <w:rFonts w:asciiTheme="majorHAnsi" w:hAnsiTheme="majorHAnsi"/>
          <w:sz w:val="16"/>
          <w:szCs w:val="16"/>
          <w:lang w:val="es-AR"/>
        </w:rPr>
        <w:t>ág. 1899. Anexo 1 a la comunicación de la parte peticionaria de fecha 11 de noviembre de 2019,</w:t>
      </w:r>
    </w:p>
  </w:footnote>
  <w:footnote w:id="17">
    <w:p w14:paraId="3646571E" w14:textId="77777777" w:rsidR="005B3F8C" w:rsidRPr="00386243"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0F00CB">
        <w:rPr>
          <w:rFonts w:asciiTheme="majorHAnsi" w:hAnsiTheme="majorHAnsi"/>
          <w:sz w:val="16"/>
          <w:szCs w:val="16"/>
        </w:rPr>
        <w:t xml:space="preserve"> Anexo 1. Informe Grossman. Págs. 5 a 7. </w:t>
      </w:r>
      <w:r w:rsidRPr="00386243">
        <w:rPr>
          <w:rFonts w:asciiTheme="majorHAnsi" w:hAnsiTheme="majorHAnsi"/>
          <w:sz w:val="16"/>
          <w:szCs w:val="16"/>
          <w:lang w:val="es-AR"/>
        </w:rPr>
        <w:t xml:space="preserve">Anexo 5 a la comunicación de la parte peticionaria de fecha 11 de noviembre de 2019. </w:t>
      </w:r>
    </w:p>
  </w:footnote>
  <w:footnote w:id="18">
    <w:p w14:paraId="4388E760" w14:textId="77777777" w:rsidR="005B3F8C" w:rsidRPr="00D93236" w:rsidRDefault="005B3F8C" w:rsidP="00E27260">
      <w:pPr>
        <w:pStyle w:val="FootnoteText"/>
        <w:jc w:val="both"/>
        <w:rPr>
          <w:rFonts w:asciiTheme="majorHAnsi" w:hAnsiTheme="majorHAnsi"/>
          <w:sz w:val="16"/>
          <w:szCs w:val="16"/>
          <w:lang w:val="es-US"/>
        </w:rPr>
      </w:pPr>
      <w:r w:rsidRPr="00386243">
        <w:rPr>
          <w:rStyle w:val="FootnoteReference"/>
          <w:rFonts w:asciiTheme="majorHAnsi" w:hAnsiTheme="majorHAnsi"/>
          <w:sz w:val="16"/>
          <w:szCs w:val="16"/>
          <w:lang w:val="es-AR"/>
        </w:rPr>
        <w:footnoteRef/>
      </w:r>
      <w:r w:rsidRPr="00386243">
        <w:rPr>
          <w:rFonts w:asciiTheme="majorHAnsi" w:hAnsiTheme="majorHAnsi"/>
          <w:sz w:val="16"/>
          <w:szCs w:val="16"/>
          <w:lang w:val="es-AR"/>
        </w:rPr>
        <w:t xml:space="preserve"> Comunicado de prensa del Tribunal Oral en lo Criminal Federal Nro. 3 de la Capital Federal con relación al pronunciamiento recaído en el día de la fecha</w:t>
      </w:r>
      <w:r w:rsidRPr="00D93236">
        <w:rPr>
          <w:rFonts w:asciiTheme="majorHAnsi" w:hAnsiTheme="majorHAnsi"/>
          <w:sz w:val="16"/>
          <w:szCs w:val="16"/>
          <w:lang w:val="es-AR"/>
        </w:rPr>
        <w:t xml:space="preserve"> en la causa 487-00, caratulada: “Telleldin, Carlos Alberto y otros s/homicidio calificado… (atentado a la A.M.I.A.)” y sus acumuladas. Accesible en: </w:t>
      </w:r>
      <w:r w:rsidRPr="00D93236">
        <w:rPr>
          <w:rFonts w:asciiTheme="majorHAnsi" w:hAnsiTheme="majorHAnsi"/>
          <w:color w:val="0000FF"/>
          <w:sz w:val="16"/>
          <w:szCs w:val="16"/>
          <w:u w:val="single"/>
          <w:lang w:val="es-AR"/>
        </w:rPr>
        <w:t>https://www2.jus.gov.ar/AMIA/Comunicado_de_prensa.pdf</w:t>
      </w:r>
    </w:p>
  </w:footnote>
  <w:footnote w:id="19">
    <w:p w14:paraId="762120AB"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556032">
        <w:rPr>
          <w:rFonts w:asciiTheme="majorHAnsi" w:hAnsiTheme="majorHAnsi"/>
          <w:sz w:val="16"/>
          <w:szCs w:val="16"/>
          <w:lang w:val="es-AR"/>
        </w:rPr>
        <w:t>Anexo 3.</w:t>
      </w:r>
      <w:r w:rsidRPr="00D93236">
        <w:rPr>
          <w:rFonts w:asciiTheme="majorHAnsi" w:hAnsiTheme="majorHAnsi"/>
          <w:sz w:val="16"/>
          <w:szCs w:val="16"/>
          <w:lang w:val="es-AR"/>
        </w:rPr>
        <w:t xml:space="preserve"> Sentencia de la Sala II de la Cámara Nacional de Casación Penal de fecha 19 de mayo de 2006. Anexo 7 de la comunicación de la parte peticionaria de fecha 11 de noviembre de 2019</w:t>
      </w:r>
    </w:p>
  </w:footnote>
  <w:footnote w:id="20">
    <w:p w14:paraId="6FEF354E"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556032">
        <w:rPr>
          <w:rFonts w:asciiTheme="majorHAnsi" w:hAnsiTheme="majorHAnsi"/>
          <w:sz w:val="16"/>
          <w:szCs w:val="16"/>
          <w:lang w:val="es-AR"/>
        </w:rPr>
        <w:t>Anexo 4</w:t>
      </w:r>
      <w:r w:rsidRPr="00D93236">
        <w:rPr>
          <w:rFonts w:asciiTheme="majorHAnsi" w:hAnsiTheme="majorHAnsi"/>
          <w:b/>
          <w:sz w:val="16"/>
          <w:szCs w:val="16"/>
          <w:lang w:val="es-AR"/>
        </w:rPr>
        <w:t>.</w:t>
      </w:r>
      <w:r w:rsidRPr="00D93236">
        <w:rPr>
          <w:rFonts w:asciiTheme="majorHAnsi" w:hAnsiTheme="majorHAnsi"/>
          <w:sz w:val="16"/>
          <w:szCs w:val="16"/>
          <w:lang w:val="es-AR"/>
        </w:rPr>
        <w:t xml:space="preserve"> </w:t>
      </w:r>
      <w:r w:rsidRPr="00D93236">
        <w:rPr>
          <w:rFonts w:asciiTheme="majorHAnsi" w:hAnsiTheme="majorHAnsi"/>
          <w:sz w:val="16"/>
          <w:szCs w:val="16"/>
          <w:lang w:val="es-ES"/>
        </w:rPr>
        <w:t xml:space="preserve">Sentencia de la Corte Suprema de Justicia de la Nación de fecha 27 de mayo de 2009. Anexo 8 de la comunicación de la parte peticionaria de fecha 11 de noviembre de 2019. </w:t>
      </w:r>
    </w:p>
  </w:footnote>
  <w:footnote w:id="21">
    <w:p w14:paraId="46DCF4D6"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Pr>
          <w:rFonts w:asciiTheme="majorHAnsi" w:hAnsiTheme="majorHAnsi"/>
          <w:sz w:val="16"/>
          <w:szCs w:val="16"/>
          <w:lang w:val="es-US"/>
        </w:rPr>
        <w:t xml:space="preserve">Anexo 5 </w:t>
      </w:r>
      <w:r w:rsidRPr="00D93236">
        <w:rPr>
          <w:rFonts w:asciiTheme="majorHAnsi" w:hAnsiTheme="majorHAnsi"/>
          <w:sz w:val="16"/>
          <w:szCs w:val="16"/>
          <w:lang w:val="es-AR"/>
        </w:rPr>
        <w:t xml:space="preserve">Dictamen de los Fiscales a cargo de la Unidad Fiscal de Investigación del Atentado a la AMIA de fecha 25 de octubre de 2006, (en adelante: Dictamen UFI AMIA 2006) pág. 1. Anexo 12 a la comunicación de la parte peticionaria de fecha 11 de noviembre de 2019.  </w:t>
      </w:r>
    </w:p>
  </w:footnote>
  <w:footnote w:id="22">
    <w:p w14:paraId="25A98731"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Pr>
          <w:rFonts w:asciiTheme="majorHAnsi" w:hAnsiTheme="majorHAnsi"/>
          <w:b/>
          <w:sz w:val="16"/>
          <w:szCs w:val="16"/>
          <w:lang w:val="es-ES"/>
        </w:rPr>
        <w:t xml:space="preserve"> </w:t>
      </w:r>
      <w:r w:rsidRPr="00C14CE2">
        <w:rPr>
          <w:rFonts w:asciiTheme="majorHAnsi" w:hAnsiTheme="majorHAnsi"/>
          <w:sz w:val="16"/>
          <w:szCs w:val="16"/>
          <w:lang w:val="es-ES"/>
        </w:rPr>
        <w:t>Anexo 6.</w:t>
      </w:r>
      <w:r w:rsidRPr="00D93236">
        <w:rPr>
          <w:rFonts w:asciiTheme="majorHAnsi" w:hAnsiTheme="majorHAnsi"/>
          <w:sz w:val="16"/>
          <w:szCs w:val="16"/>
          <w:lang w:val="es-ES"/>
        </w:rPr>
        <w:t xml:space="preserve">  Dictamen de requerimiento de elevación a juicio suscripto por el Fiscal General titular de la Unidad Fiscal de Investigación del atentado a la sede de la AMIA. Anexo 10 de la comunicación de la parte peticionaria de fecha 11 de noviembre de 2019</w:t>
      </w:r>
    </w:p>
  </w:footnote>
  <w:footnote w:id="23">
    <w:p w14:paraId="73B42748"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Comunicación de la parte peticionaria de fecha 11 de noviembre de 2019. </w:t>
      </w:r>
    </w:p>
  </w:footnote>
  <w:footnote w:id="24">
    <w:p w14:paraId="6153F61B"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C14CE2">
        <w:rPr>
          <w:rFonts w:asciiTheme="majorHAnsi" w:hAnsiTheme="majorHAnsi"/>
          <w:sz w:val="16"/>
          <w:szCs w:val="16"/>
          <w:lang w:val="es-ES"/>
        </w:rPr>
        <w:t>Anexo 7.</w:t>
      </w:r>
      <w:r>
        <w:rPr>
          <w:rFonts w:asciiTheme="majorHAnsi" w:hAnsiTheme="majorHAnsi"/>
          <w:sz w:val="16"/>
          <w:szCs w:val="16"/>
          <w:lang w:val="es-ES"/>
        </w:rPr>
        <w:t xml:space="preserve"> </w:t>
      </w:r>
      <w:r w:rsidRPr="00D93236">
        <w:rPr>
          <w:rFonts w:asciiTheme="majorHAnsi" w:hAnsiTheme="majorHAnsi"/>
          <w:sz w:val="16"/>
          <w:szCs w:val="16"/>
          <w:lang w:val="es-ES"/>
        </w:rPr>
        <w:t>Fallo definitivo del Jurado de Enjuiciamiento de Magistrados de la Nación en la causa Nro. 14 “Doctor Juan José Galeano s/pedido de enjuiciamiento. Anexo 35 de la comunicación de la parte peticionaria de fecha 11 de noviembre de 2019.</w:t>
      </w:r>
      <w:r w:rsidRPr="00D93236">
        <w:rPr>
          <w:rFonts w:asciiTheme="majorHAnsi" w:hAnsiTheme="majorHAnsi"/>
          <w:sz w:val="16"/>
          <w:szCs w:val="16"/>
          <w:lang w:val="es-AR"/>
        </w:rPr>
        <w:t xml:space="preserve"> </w:t>
      </w:r>
    </w:p>
  </w:footnote>
  <w:footnote w:id="25">
    <w:p w14:paraId="6D155ADF"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C14CE2">
        <w:rPr>
          <w:rFonts w:asciiTheme="majorHAnsi" w:hAnsiTheme="majorHAnsi"/>
          <w:sz w:val="16"/>
          <w:szCs w:val="16"/>
          <w:lang w:val="es-AR"/>
        </w:rPr>
        <w:t>Anexo 5.</w:t>
      </w:r>
      <w:r w:rsidRPr="00D93236">
        <w:rPr>
          <w:rFonts w:asciiTheme="majorHAnsi" w:hAnsiTheme="majorHAnsi"/>
          <w:sz w:val="16"/>
          <w:szCs w:val="16"/>
          <w:lang w:val="es-AR"/>
        </w:rPr>
        <w:t xml:space="preserve"> Dictamen UFI AMIA 2006 pág. 792. Anexo 12 a la comunicación de la parte peticionaria de fecha 11 de noviembre de 2019.  </w:t>
      </w:r>
    </w:p>
  </w:footnote>
  <w:footnote w:id="26">
    <w:p w14:paraId="674C20E2"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C14CE2">
        <w:rPr>
          <w:rFonts w:asciiTheme="majorHAnsi" w:hAnsiTheme="majorHAnsi"/>
          <w:sz w:val="16"/>
          <w:szCs w:val="16"/>
          <w:lang w:val="es-AR"/>
        </w:rPr>
        <w:t>Anexo 5.</w:t>
      </w:r>
      <w:r w:rsidRPr="00D93236">
        <w:rPr>
          <w:rFonts w:asciiTheme="majorHAnsi" w:hAnsiTheme="majorHAnsi"/>
          <w:sz w:val="16"/>
          <w:szCs w:val="16"/>
          <w:lang w:val="es-AR"/>
        </w:rPr>
        <w:t xml:space="preserve"> Dictamen UFI AMIA 2006, pág. 22. Anexo 12 a la comunicación de la parte peticionaria de fecha 11 de noviembre de 2019. </w:t>
      </w:r>
    </w:p>
  </w:footnote>
  <w:footnote w:id="27">
    <w:p w14:paraId="6E967250"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C14CE2">
        <w:rPr>
          <w:rFonts w:asciiTheme="majorHAnsi" w:hAnsiTheme="majorHAnsi"/>
          <w:sz w:val="16"/>
          <w:szCs w:val="16"/>
          <w:lang w:val="es-AR"/>
        </w:rPr>
        <w:t>Anexo 8.</w:t>
      </w:r>
      <w:r w:rsidRPr="00D93236">
        <w:rPr>
          <w:rFonts w:asciiTheme="majorHAnsi" w:hAnsiTheme="majorHAnsi"/>
          <w:sz w:val="16"/>
          <w:szCs w:val="16"/>
          <w:lang w:val="es-AR"/>
        </w:rPr>
        <w:t xml:space="preserve"> UFI AMIA. Informe de Gestión – Diciembre 2016, pág. 15. Anexo 19 a la comunicación de la parte peticionaria de fecha 11 de noviembre de 2019.</w:t>
      </w:r>
    </w:p>
  </w:footnote>
  <w:footnote w:id="28">
    <w:p w14:paraId="1CAC5CB4"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Pr>
          <w:rFonts w:asciiTheme="majorHAnsi" w:hAnsiTheme="majorHAnsi"/>
          <w:b/>
          <w:sz w:val="16"/>
          <w:szCs w:val="16"/>
          <w:lang w:val="es-AR"/>
        </w:rPr>
        <w:t>ANEXO 9</w:t>
      </w:r>
      <w:r w:rsidRPr="00D93236">
        <w:rPr>
          <w:rFonts w:asciiTheme="majorHAnsi" w:hAnsiTheme="majorHAnsi"/>
          <w:b/>
          <w:sz w:val="16"/>
          <w:szCs w:val="16"/>
          <w:lang w:val="es-AR"/>
        </w:rPr>
        <w:t>.</w:t>
      </w:r>
      <w:r w:rsidRPr="00D93236">
        <w:rPr>
          <w:rFonts w:asciiTheme="majorHAnsi" w:hAnsiTheme="majorHAnsi"/>
          <w:sz w:val="16"/>
          <w:szCs w:val="16"/>
          <w:lang w:val="es-AR"/>
        </w:rPr>
        <w:t xml:space="preserve"> Dictamen suscripto por el Fiscal a cargo de la Unidad Fiscal de Investigación del Atentado a la AMIA de fecha 20 de mayo de 2009 (en a</w:t>
      </w:r>
      <w:r>
        <w:rPr>
          <w:rFonts w:asciiTheme="majorHAnsi" w:hAnsiTheme="majorHAnsi"/>
          <w:sz w:val="16"/>
          <w:szCs w:val="16"/>
          <w:lang w:val="es-AR"/>
        </w:rPr>
        <w:t>delante: Dictamen UFI AMIA 2009</w:t>
      </w:r>
      <w:r w:rsidRPr="00D93236">
        <w:rPr>
          <w:rFonts w:asciiTheme="majorHAnsi" w:hAnsiTheme="majorHAnsi"/>
          <w:sz w:val="16"/>
          <w:szCs w:val="16"/>
          <w:lang w:val="es-AR"/>
        </w:rPr>
        <w:t>, pág. 30. Anexo 16 a la comunicación de la parte peticionaria de fecha 11 de noviembre de 2019.</w:t>
      </w:r>
    </w:p>
  </w:footnote>
  <w:footnote w:id="29">
    <w:p w14:paraId="1B6D1FC3"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Pr>
          <w:rFonts w:asciiTheme="majorHAnsi" w:hAnsiTheme="majorHAnsi"/>
          <w:b/>
          <w:sz w:val="16"/>
          <w:szCs w:val="16"/>
          <w:lang w:val="es-AR"/>
        </w:rPr>
        <w:t>ANEXO 10</w:t>
      </w:r>
      <w:r w:rsidRPr="00D93236">
        <w:rPr>
          <w:rFonts w:asciiTheme="majorHAnsi" w:hAnsiTheme="majorHAnsi"/>
          <w:b/>
          <w:sz w:val="16"/>
          <w:szCs w:val="16"/>
          <w:lang w:val="es-AR"/>
        </w:rPr>
        <w:t>.</w:t>
      </w:r>
      <w:r w:rsidRPr="00D93236">
        <w:rPr>
          <w:rFonts w:asciiTheme="majorHAnsi" w:hAnsiTheme="majorHAnsi"/>
          <w:sz w:val="16"/>
          <w:szCs w:val="16"/>
          <w:lang w:val="es-AR"/>
        </w:rPr>
        <w:t xml:space="preserve"> Informe del titular de la UFI AMIA al Director General de Derechos Humanos del Ministerio de Relaciones Exteriores, Comercio Internacional y Culto de la Nación de fecha 1 de junio de 2010. Anexo 1 a la comunicación del Estado de fecha 29 de julio de 2010. </w:t>
      </w:r>
    </w:p>
  </w:footnote>
  <w:footnote w:id="30">
    <w:p w14:paraId="4468426C" w14:textId="77777777" w:rsidR="005B3F8C" w:rsidRPr="00D93236" w:rsidRDefault="005B3F8C" w:rsidP="00E27260">
      <w:pPr>
        <w:jc w:val="both"/>
        <w:rPr>
          <w:rFonts w:asciiTheme="majorHAnsi" w:eastAsia="Times New Roman"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Ley 26.843 sancionada el 27 de febrero de 2013. Accesible en: </w:t>
      </w:r>
      <w:r w:rsidRPr="00D93236">
        <w:rPr>
          <w:rFonts w:asciiTheme="majorHAnsi" w:eastAsia="Times New Roman" w:hAnsiTheme="majorHAnsi"/>
          <w:sz w:val="16"/>
          <w:szCs w:val="16"/>
          <w:lang w:val="es-US"/>
        </w:rPr>
        <w:t>http://servicios.infoleg.gob.ar/infolegInternet/anexos/205000-209999/208948/norma.htm</w:t>
      </w:r>
      <w:r w:rsidRPr="00D93236">
        <w:rPr>
          <w:rFonts w:asciiTheme="majorHAnsi" w:hAnsiTheme="majorHAnsi"/>
          <w:sz w:val="16"/>
          <w:szCs w:val="16"/>
          <w:lang w:val="es-AR"/>
        </w:rPr>
        <w:t xml:space="preserve"> </w:t>
      </w:r>
    </w:p>
  </w:footnote>
  <w:footnote w:id="31">
    <w:p w14:paraId="6EC9071E"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Pr>
          <w:rFonts w:asciiTheme="majorHAnsi" w:hAnsiTheme="majorHAnsi"/>
          <w:sz w:val="16"/>
          <w:szCs w:val="16"/>
          <w:lang w:val="es-AR"/>
        </w:rPr>
        <w:t xml:space="preserve"> </w:t>
      </w:r>
      <w:r w:rsidRPr="00D93236">
        <w:rPr>
          <w:rFonts w:asciiTheme="majorHAnsi" w:hAnsiTheme="majorHAnsi"/>
          <w:sz w:val="16"/>
          <w:szCs w:val="16"/>
          <w:lang w:val="es-AR"/>
        </w:rPr>
        <w:t xml:space="preserve">Comunicación de la parte peticionaria de fecha 11 de noviembre de 2019. </w:t>
      </w:r>
    </w:p>
  </w:footnote>
  <w:footnote w:id="32">
    <w:p w14:paraId="3122FA98"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Pr>
          <w:rFonts w:asciiTheme="majorHAnsi" w:hAnsiTheme="majorHAnsi"/>
          <w:b/>
          <w:sz w:val="16"/>
          <w:szCs w:val="16"/>
          <w:lang w:val="es-AR"/>
        </w:rPr>
        <w:t>ANEXO 11</w:t>
      </w:r>
      <w:r w:rsidRPr="00D93236">
        <w:rPr>
          <w:rFonts w:asciiTheme="majorHAnsi" w:hAnsiTheme="majorHAnsi"/>
          <w:b/>
          <w:sz w:val="16"/>
          <w:szCs w:val="16"/>
          <w:lang w:val="es-AR"/>
        </w:rPr>
        <w:t>.</w:t>
      </w:r>
      <w:r w:rsidRPr="00D93236">
        <w:rPr>
          <w:rFonts w:asciiTheme="majorHAnsi" w:hAnsiTheme="majorHAnsi"/>
          <w:sz w:val="16"/>
          <w:szCs w:val="16"/>
          <w:lang w:val="es-AR"/>
        </w:rPr>
        <w:t xml:space="preserve"> UFI AMIA. Informe de Gestión - Julio 2016. Anexo 13 a la comunicación de la parte peticionaria de fecha 11 de noviembre de 2019. </w:t>
      </w:r>
    </w:p>
  </w:footnote>
  <w:footnote w:id="33">
    <w:p w14:paraId="25F453E4"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Pr>
          <w:rFonts w:asciiTheme="majorHAnsi" w:hAnsiTheme="majorHAnsi"/>
          <w:b/>
          <w:sz w:val="16"/>
          <w:szCs w:val="16"/>
          <w:lang w:val="es-AR"/>
        </w:rPr>
        <w:t>ANEXO 12</w:t>
      </w:r>
      <w:r w:rsidRPr="00D93236">
        <w:rPr>
          <w:rFonts w:asciiTheme="majorHAnsi" w:hAnsiTheme="majorHAnsi"/>
          <w:b/>
          <w:sz w:val="16"/>
          <w:szCs w:val="16"/>
          <w:lang w:val="es-AR"/>
        </w:rPr>
        <w:t>.</w:t>
      </w:r>
      <w:r w:rsidRPr="00D93236">
        <w:rPr>
          <w:rFonts w:asciiTheme="majorHAnsi" w:hAnsiTheme="majorHAnsi"/>
          <w:sz w:val="16"/>
          <w:szCs w:val="16"/>
          <w:lang w:val="es-AR"/>
        </w:rPr>
        <w:t xml:space="preserve"> Sentencia del Tribunal Oral en lo Criminal Federal Nro. 2 de fecha 3 de mayo de 2019, pág. 69.  Anexo 2 a la comunicación de la parte peticionaria de fecha 11 de noviembre de 2019.</w:t>
      </w:r>
    </w:p>
  </w:footnote>
  <w:footnote w:id="34">
    <w:p w14:paraId="29430DEC"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Pr>
          <w:rFonts w:asciiTheme="majorHAnsi" w:hAnsiTheme="majorHAnsi"/>
          <w:b/>
          <w:sz w:val="16"/>
          <w:szCs w:val="16"/>
          <w:lang w:val="es-AR"/>
        </w:rPr>
        <w:t>ANEXO 2</w:t>
      </w:r>
      <w:r w:rsidRPr="00D93236">
        <w:rPr>
          <w:rFonts w:asciiTheme="majorHAnsi" w:hAnsiTheme="majorHAnsi"/>
          <w:sz w:val="16"/>
          <w:szCs w:val="16"/>
          <w:lang w:val="es-AR"/>
        </w:rPr>
        <w:t>. Sentencia del TOF 3. Capítulo VIII, págs. 2944. Anexo 1 a la comunicación de la parte peticionaria de fecha 11 de noviembre de 2019</w:t>
      </w:r>
    </w:p>
  </w:footnote>
  <w:footnote w:id="35">
    <w:p w14:paraId="0C79E424"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Comunicación de la parte peticionaria de fecha 11 de noviembre de 2019. Pag 50 a 51. </w:t>
      </w:r>
    </w:p>
  </w:footnote>
  <w:footnote w:id="36">
    <w:p w14:paraId="3B31DE8B"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Comunicación de la parte peticionaria de fecha 11 de noviembre de 2019. Pag 63 a 66. </w:t>
      </w:r>
    </w:p>
  </w:footnote>
  <w:footnote w:id="37">
    <w:p w14:paraId="03334D72" w14:textId="77777777" w:rsidR="005B3F8C" w:rsidRPr="00D93236" w:rsidRDefault="005B3F8C" w:rsidP="00B07258">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Las personas denunciadas fueron:</w:t>
      </w:r>
      <w:r>
        <w:rPr>
          <w:rFonts w:asciiTheme="majorHAnsi" w:hAnsiTheme="majorHAnsi"/>
          <w:sz w:val="16"/>
          <w:szCs w:val="16"/>
          <w:lang w:val="es-AR"/>
        </w:rPr>
        <w:t xml:space="preserve"> Cristina Fernández, Héctor Ti</w:t>
      </w:r>
      <w:r w:rsidRPr="00D93236">
        <w:rPr>
          <w:rFonts w:asciiTheme="majorHAnsi" w:hAnsiTheme="majorHAnsi"/>
          <w:sz w:val="16"/>
          <w:szCs w:val="16"/>
          <w:lang w:val="es-AR"/>
        </w:rPr>
        <w:t>merman, Luis Ángel D’Elia, Fernando Luis Esteche, Jorge Alejandro Khalil, Andrés Larroque, Héctor Luis Yrimia y Ramón Allan Héctor Bogado</w:t>
      </w:r>
    </w:p>
  </w:footnote>
  <w:footnote w:id="38">
    <w:p w14:paraId="622EC4CF"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Comunicación de la parte peticionaria de fecha 11 de noviembre de 2019, Pag 35. </w:t>
      </w:r>
    </w:p>
  </w:footnote>
  <w:footnote w:id="39">
    <w:p w14:paraId="37413476" w14:textId="77777777" w:rsidR="005B3F8C" w:rsidRPr="00D93236" w:rsidRDefault="005B3F8C" w:rsidP="00E27260">
      <w:pPr>
        <w:pStyle w:val="FootnoteText"/>
        <w:tabs>
          <w:tab w:val="left" w:pos="720"/>
          <w:tab w:val="left" w:pos="900"/>
          <w:tab w:val="left" w:pos="1080"/>
        </w:tabs>
        <w:jc w:val="both"/>
        <w:rPr>
          <w:rFonts w:asciiTheme="majorHAnsi" w:hAnsiTheme="majorHAnsi"/>
          <w:sz w:val="16"/>
          <w:szCs w:val="16"/>
          <w:lang w:val="es-CO"/>
        </w:rPr>
      </w:pPr>
      <w:r w:rsidRPr="00D93236">
        <w:rPr>
          <w:rStyle w:val="FootnoteReference"/>
          <w:rFonts w:asciiTheme="majorHAnsi" w:hAnsiTheme="majorHAnsi"/>
          <w:sz w:val="16"/>
          <w:szCs w:val="16"/>
        </w:rPr>
        <w:footnoteRef/>
      </w:r>
      <w:r w:rsidRPr="00D93236">
        <w:rPr>
          <w:rFonts w:asciiTheme="majorHAnsi" w:hAnsiTheme="majorHAnsi"/>
          <w:sz w:val="16"/>
          <w:szCs w:val="16"/>
          <w:lang w:val="es-ES_tradnl"/>
        </w:rPr>
        <w:t xml:space="preserve"> </w:t>
      </w:r>
      <w:r w:rsidRPr="00D93236">
        <w:rPr>
          <w:rFonts w:asciiTheme="majorHAnsi" w:hAnsiTheme="majorHAnsi"/>
          <w:sz w:val="16"/>
          <w:szCs w:val="16"/>
          <w:lang w:val="es-ES"/>
        </w:rPr>
        <w:t xml:space="preserve">CIDH, Caso 12.270. Informe No. 2/15, Fondo, </w:t>
      </w:r>
      <w:r w:rsidRPr="00F54071">
        <w:rPr>
          <w:rFonts w:asciiTheme="majorHAnsi" w:hAnsiTheme="majorHAnsi"/>
          <w:sz w:val="16"/>
          <w:szCs w:val="16"/>
          <w:lang w:val="es-ES"/>
        </w:rPr>
        <w:t>Johan Alexis Ortiz Hernández</w:t>
      </w:r>
      <w:r w:rsidRPr="00D93236">
        <w:rPr>
          <w:rFonts w:asciiTheme="majorHAnsi" w:hAnsiTheme="majorHAnsi"/>
          <w:sz w:val="16"/>
          <w:szCs w:val="16"/>
          <w:lang w:val="es-ES"/>
        </w:rPr>
        <w:t xml:space="preserve">, Venezuela, 29 de enero de 2015, párr. </w:t>
      </w:r>
      <w:r w:rsidRPr="00D93236">
        <w:rPr>
          <w:rFonts w:asciiTheme="majorHAnsi" w:hAnsiTheme="majorHAnsi"/>
          <w:sz w:val="16"/>
          <w:szCs w:val="16"/>
          <w:lang w:val="es-CO"/>
        </w:rPr>
        <w:t xml:space="preserve">186; </w:t>
      </w:r>
      <w:r w:rsidRPr="00D93236">
        <w:rPr>
          <w:rFonts w:asciiTheme="majorHAnsi" w:hAnsiTheme="majorHAnsi"/>
          <w:sz w:val="16"/>
          <w:szCs w:val="16"/>
          <w:lang w:val="es-ES_tradnl"/>
        </w:rPr>
        <w:t>Corte IDH</w:t>
      </w:r>
      <w:r w:rsidRPr="00D93236">
        <w:rPr>
          <w:rFonts w:asciiTheme="majorHAnsi" w:hAnsiTheme="majorHAnsi"/>
          <w:i/>
          <w:sz w:val="16"/>
          <w:szCs w:val="16"/>
          <w:lang w:val="es-ES_tradnl"/>
        </w:rPr>
        <w:t xml:space="preserve">. </w:t>
      </w:r>
      <w:r w:rsidRPr="00D93236">
        <w:rPr>
          <w:rFonts w:asciiTheme="majorHAnsi" w:hAnsiTheme="majorHAnsi"/>
          <w:bCs/>
          <w:i/>
          <w:sz w:val="16"/>
          <w:szCs w:val="16"/>
          <w:lang w:val="es-ES_tradnl"/>
        </w:rPr>
        <w:t>Caso Zambrano Vélez y otros Vs. Ecuador</w:t>
      </w:r>
      <w:r w:rsidRPr="00D93236">
        <w:rPr>
          <w:rFonts w:asciiTheme="majorHAnsi" w:hAnsiTheme="majorHAnsi"/>
          <w:bCs/>
          <w:sz w:val="16"/>
          <w:szCs w:val="16"/>
          <w:lang w:val="es-ES_tradnl"/>
        </w:rPr>
        <w:t xml:space="preserve">. </w:t>
      </w:r>
      <w:r w:rsidRPr="00D93236">
        <w:rPr>
          <w:rFonts w:asciiTheme="majorHAnsi" w:hAnsiTheme="majorHAnsi"/>
          <w:sz w:val="16"/>
          <w:szCs w:val="16"/>
          <w:lang w:val="es-ES_tradnl"/>
        </w:rPr>
        <w:t xml:space="preserve">Fondo, Reparaciones y Costas. Sentencia de 4 de julio de 2007. Serie C No. 166, párr. 80. </w:t>
      </w:r>
    </w:p>
  </w:footnote>
  <w:footnote w:id="40">
    <w:p w14:paraId="5B8655A0"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rPr>
        <w:footnoteRef/>
      </w:r>
      <w:r w:rsidRPr="00D93236">
        <w:rPr>
          <w:rFonts w:asciiTheme="majorHAnsi" w:hAnsiTheme="majorHAnsi"/>
          <w:sz w:val="16"/>
          <w:szCs w:val="16"/>
          <w:lang w:val="es-CO"/>
        </w:rPr>
        <w:t xml:space="preserve"> </w:t>
      </w:r>
      <w:r w:rsidRPr="00D93236">
        <w:rPr>
          <w:rFonts w:asciiTheme="majorHAnsi" w:hAnsiTheme="majorHAnsi"/>
          <w:sz w:val="16"/>
          <w:szCs w:val="16"/>
          <w:lang w:val="es-US"/>
        </w:rPr>
        <w:t xml:space="preserve">Corte IDH. </w:t>
      </w:r>
      <w:r w:rsidRPr="00D93236">
        <w:rPr>
          <w:rFonts w:asciiTheme="majorHAnsi" w:hAnsiTheme="majorHAnsi"/>
          <w:i/>
          <w:sz w:val="16"/>
          <w:szCs w:val="16"/>
          <w:lang w:val="es-US"/>
        </w:rPr>
        <w:t>Caso González y otras (“Campo Algodonero”) Vs. México</w:t>
      </w:r>
      <w:r w:rsidRPr="00D93236">
        <w:rPr>
          <w:rFonts w:asciiTheme="majorHAnsi" w:hAnsiTheme="majorHAnsi"/>
          <w:sz w:val="16"/>
          <w:szCs w:val="16"/>
          <w:lang w:val="es-US"/>
        </w:rPr>
        <w:t xml:space="preserve">. Excepción Preliminar, Fondo, Reparaciones y Costas. Sentencia de 16 de noviembre de 2009. Serie C No. 205, párr. </w:t>
      </w:r>
      <w:r w:rsidRPr="00D93236">
        <w:rPr>
          <w:rFonts w:asciiTheme="majorHAnsi" w:hAnsiTheme="majorHAnsi"/>
          <w:sz w:val="16"/>
          <w:szCs w:val="16"/>
          <w:lang w:val="es-ES"/>
        </w:rPr>
        <w:t>245.</w:t>
      </w:r>
    </w:p>
  </w:footnote>
  <w:footnote w:id="41">
    <w:p w14:paraId="4B8FD542" w14:textId="77777777" w:rsidR="005B3F8C" w:rsidRPr="00D93236" w:rsidRDefault="005B3F8C" w:rsidP="00E27260">
      <w:pPr>
        <w:ind w:right="14"/>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93236">
        <w:rPr>
          <w:rFonts w:asciiTheme="majorHAnsi" w:hAnsiTheme="majorHAnsi"/>
          <w:sz w:val="16"/>
          <w:szCs w:val="16"/>
          <w:lang w:val="es-ES_tradnl"/>
        </w:rPr>
        <w:t xml:space="preserve">Corte IDH. </w:t>
      </w:r>
      <w:r w:rsidRPr="00F54071">
        <w:rPr>
          <w:rFonts w:asciiTheme="majorHAnsi" w:hAnsiTheme="majorHAnsi"/>
          <w:i/>
          <w:sz w:val="16"/>
          <w:szCs w:val="16"/>
          <w:lang w:val="es-ES_tradnl"/>
        </w:rPr>
        <w:t>Caso Velásquez Rodríguez Vs. Honduras</w:t>
      </w:r>
      <w:r w:rsidRPr="00D93236">
        <w:rPr>
          <w:rFonts w:asciiTheme="majorHAnsi" w:hAnsiTheme="majorHAnsi"/>
          <w:sz w:val="16"/>
          <w:szCs w:val="16"/>
          <w:lang w:val="es-ES_tradnl"/>
        </w:rPr>
        <w:t xml:space="preserve">. </w:t>
      </w:r>
      <w:r w:rsidRPr="00D93236">
        <w:rPr>
          <w:rFonts w:asciiTheme="majorHAnsi" w:hAnsiTheme="majorHAnsi" w:cs="Arial"/>
          <w:sz w:val="16"/>
          <w:szCs w:val="16"/>
          <w:shd w:val="clear" w:color="auto" w:fill="FFFFFF"/>
          <w:lang w:val="es-ES"/>
        </w:rPr>
        <w:t xml:space="preserve">Fondo. Sentencia de 29 de julio de 1988. </w:t>
      </w:r>
      <w:r w:rsidRPr="00D93236">
        <w:rPr>
          <w:rFonts w:asciiTheme="majorHAnsi" w:hAnsiTheme="majorHAnsi" w:cs="Arial"/>
          <w:sz w:val="16"/>
          <w:szCs w:val="16"/>
          <w:shd w:val="clear" w:color="auto" w:fill="FFFFFF"/>
          <w:lang w:val="es-US"/>
        </w:rPr>
        <w:t>Serie C No. 4</w:t>
      </w:r>
      <w:r w:rsidRPr="00D93236">
        <w:rPr>
          <w:rStyle w:val="Hyperlink"/>
          <w:rFonts w:asciiTheme="majorHAnsi" w:hAnsiTheme="majorHAnsi" w:cs="Arial"/>
          <w:sz w:val="16"/>
          <w:szCs w:val="16"/>
          <w:u w:val="none"/>
          <w:shd w:val="clear" w:color="auto" w:fill="FFFFFF"/>
          <w:lang w:val="es-US"/>
        </w:rPr>
        <w:t>. Párr. 164.</w:t>
      </w:r>
      <w:r w:rsidRPr="00D93236">
        <w:rPr>
          <w:rStyle w:val="Hyperlink"/>
          <w:rFonts w:asciiTheme="majorHAnsi" w:hAnsiTheme="majorHAnsi" w:cs="Arial"/>
          <w:sz w:val="16"/>
          <w:szCs w:val="16"/>
          <w:shd w:val="clear" w:color="auto" w:fill="FFFFFF"/>
          <w:lang w:val="es-US"/>
        </w:rPr>
        <w:t xml:space="preserve"> </w:t>
      </w:r>
    </w:p>
  </w:footnote>
  <w:footnote w:id="42">
    <w:p w14:paraId="67F521A9" w14:textId="77777777" w:rsidR="005B3F8C" w:rsidRPr="00D93236" w:rsidRDefault="005B3F8C" w:rsidP="00E27260">
      <w:pPr>
        <w:jc w:val="both"/>
        <w:rPr>
          <w:rFonts w:asciiTheme="majorHAnsi" w:hAnsiTheme="majorHAnsi"/>
          <w:sz w:val="16"/>
          <w:szCs w:val="16"/>
          <w:lang w:val="es-ES"/>
        </w:rPr>
      </w:pPr>
      <w:r w:rsidRPr="00D93236">
        <w:rPr>
          <w:rFonts w:asciiTheme="majorHAnsi" w:hAnsiTheme="majorHAnsi" w:cs="Arial"/>
          <w:sz w:val="16"/>
          <w:szCs w:val="16"/>
          <w:vertAlign w:val="superscript"/>
          <w:lang w:val="es-ES"/>
        </w:rPr>
        <w:footnoteRef/>
      </w:r>
      <w:r w:rsidRPr="00D93236">
        <w:rPr>
          <w:rFonts w:asciiTheme="majorHAnsi" w:hAnsiTheme="majorHAnsi" w:cs="Arial"/>
          <w:sz w:val="16"/>
          <w:szCs w:val="16"/>
          <w:lang w:val="es-ES"/>
        </w:rPr>
        <w:t xml:space="preserve"> </w:t>
      </w:r>
      <w:r w:rsidRPr="00D93236">
        <w:rPr>
          <w:rFonts w:asciiTheme="majorHAnsi" w:hAnsiTheme="majorHAnsi"/>
          <w:sz w:val="16"/>
          <w:szCs w:val="16"/>
          <w:lang w:val="es-ES"/>
        </w:rPr>
        <w:t xml:space="preserve">Corte IDH. </w:t>
      </w:r>
      <w:r w:rsidRPr="00D93236">
        <w:rPr>
          <w:rFonts w:asciiTheme="majorHAnsi" w:hAnsiTheme="majorHAnsi"/>
          <w:i/>
          <w:sz w:val="16"/>
          <w:szCs w:val="16"/>
          <w:lang w:val="es-ES"/>
        </w:rPr>
        <w:t>Caso González Medina y familiares Vs. República Dominicana</w:t>
      </w:r>
      <w:r w:rsidRPr="00D93236">
        <w:rPr>
          <w:rFonts w:asciiTheme="majorHAnsi" w:hAnsiTheme="majorHAnsi"/>
          <w:sz w:val="16"/>
          <w:szCs w:val="16"/>
          <w:lang w:val="es-ES"/>
        </w:rPr>
        <w:t xml:space="preserve">. Excepciones Preliminares, Fondo, Reparaciones y Costas. Sentencia de 27 de febrero de 2012 Serie C No. 240, párr.133; </w:t>
      </w:r>
      <w:r w:rsidRPr="00D93236">
        <w:rPr>
          <w:rFonts w:asciiTheme="majorHAnsi" w:hAnsiTheme="majorHAnsi" w:cs="Arial"/>
          <w:sz w:val="16"/>
          <w:szCs w:val="16"/>
          <w:lang w:val="es-ES"/>
        </w:rPr>
        <w:t xml:space="preserve">Corte IDH, </w:t>
      </w:r>
      <w:r w:rsidRPr="00D93236">
        <w:rPr>
          <w:rFonts w:asciiTheme="majorHAnsi" w:hAnsiTheme="majorHAnsi" w:cs="Arial"/>
          <w:i/>
          <w:sz w:val="16"/>
          <w:szCs w:val="16"/>
          <w:lang w:val="es-ES"/>
        </w:rPr>
        <w:t>Caso de la Masacre de Pueblo Bello vs. Colombia</w:t>
      </w:r>
      <w:r w:rsidRPr="00D93236">
        <w:rPr>
          <w:rFonts w:asciiTheme="majorHAnsi" w:hAnsiTheme="majorHAnsi" w:cs="Arial"/>
          <w:sz w:val="16"/>
          <w:szCs w:val="16"/>
          <w:lang w:val="es-ES"/>
        </w:rPr>
        <w:t>, Sentencia de 31 de enero de 2006, Serie C No. 140, párrafo 112.</w:t>
      </w:r>
    </w:p>
  </w:footnote>
  <w:footnote w:id="43">
    <w:p w14:paraId="421944AF" w14:textId="77777777" w:rsidR="005B3F8C" w:rsidRPr="00D93236" w:rsidRDefault="005B3F8C" w:rsidP="00E27260">
      <w:pPr>
        <w:ind w:right="11"/>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Corte IDH. </w:t>
      </w:r>
      <w:r w:rsidRPr="00D93236">
        <w:rPr>
          <w:rFonts w:asciiTheme="majorHAnsi" w:hAnsiTheme="majorHAnsi"/>
          <w:i/>
          <w:sz w:val="16"/>
          <w:szCs w:val="16"/>
          <w:lang w:val="es-ES"/>
        </w:rPr>
        <w:t>Caso Velásquez Rodríguez Vs. Honduras.</w:t>
      </w:r>
      <w:r w:rsidRPr="00D93236">
        <w:rPr>
          <w:rFonts w:asciiTheme="majorHAnsi" w:hAnsiTheme="majorHAnsi"/>
          <w:sz w:val="16"/>
          <w:szCs w:val="16"/>
          <w:lang w:val="es-ES"/>
        </w:rPr>
        <w:t xml:space="preserve"> </w:t>
      </w:r>
      <w:r w:rsidRPr="00D93236">
        <w:rPr>
          <w:rFonts w:asciiTheme="majorHAnsi" w:hAnsiTheme="majorHAnsi" w:cs="Arial"/>
          <w:sz w:val="16"/>
          <w:szCs w:val="16"/>
          <w:shd w:val="clear" w:color="auto" w:fill="FFFFFF"/>
          <w:lang w:val="es-ES"/>
        </w:rPr>
        <w:t>Fondo. Sentencia de 29 de julio de 1988. Serie C No. 4</w:t>
      </w:r>
      <w:r w:rsidRPr="00D93236">
        <w:rPr>
          <w:rStyle w:val="Hyperlink"/>
          <w:rFonts w:asciiTheme="majorHAnsi" w:hAnsiTheme="majorHAnsi" w:cs="Arial"/>
          <w:sz w:val="16"/>
          <w:szCs w:val="16"/>
          <w:shd w:val="clear" w:color="auto" w:fill="FFFFFF"/>
          <w:lang w:val="es-ES"/>
        </w:rPr>
        <w:t xml:space="preserve">. </w:t>
      </w:r>
      <w:r w:rsidRPr="00D93236">
        <w:rPr>
          <w:rStyle w:val="Hyperlink"/>
          <w:rFonts w:asciiTheme="majorHAnsi" w:hAnsiTheme="majorHAnsi" w:cs="Arial"/>
          <w:sz w:val="16"/>
          <w:szCs w:val="16"/>
          <w:u w:val="none"/>
          <w:shd w:val="clear" w:color="auto" w:fill="FFFFFF"/>
          <w:lang w:val="es-ES"/>
        </w:rPr>
        <w:t>Párr. 169; ver también CIDH, Informe No. 11/10, Caso 12.488, Fondo, Miembros de la Familia Barrios, Venezuela, 16 de marzo de 2010, párr.91.</w:t>
      </w:r>
      <w:r w:rsidRPr="00D93236">
        <w:rPr>
          <w:rStyle w:val="Hyperlink"/>
          <w:rFonts w:asciiTheme="majorHAnsi" w:hAnsiTheme="majorHAnsi" w:cs="Arial"/>
          <w:sz w:val="16"/>
          <w:szCs w:val="16"/>
          <w:shd w:val="clear" w:color="auto" w:fill="FFFFFF"/>
          <w:lang w:val="es-ES"/>
        </w:rPr>
        <w:t xml:space="preserve">  </w:t>
      </w:r>
    </w:p>
  </w:footnote>
  <w:footnote w:id="44">
    <w:p w14:paraId="5E6CC3D1" w14:textId="77777777" w:rsidR="005B3F8C" w:rsidRPr="00D93236" w:rsidRDefault="005B3F8C" w:rsidP="00E27260">
      <w:pPr>
        <w:ind w:right="11"/>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Corte IDH. </w:t>
      </w:r>
      <w:r w:rsidRPr="00D93236">
        <w:rPr>
          <w:rFonts w:asciiTheme="majorHAnsi" w:hAnsiTheme="majorHAnsi"/>
          <w:i/>
          <w:sz w:val="16"/>
          <w:szCs w:val="16"/>
          <w:lang w:val="es-ES"/>
        </w:rPr>
        <w:t>Caso Velásquez Rodríguez Vs. Honduras</w:t>
      </w:r>
      <w:r w:rsidRPr="00D93236">
        <w:rPr>
          <w:rFonts w:asciiTheme="majorHAnsi" w:hAnsiTheme="majorHAnsi"/>
          <w:sz w:val="16"/>
          <w:szCs w:val="16"/>
          <w:lang w:val="es-ES"/>
        </w:rPr>
        <w:t xml:space="preserve">. </w:t>
      </w:r>
      <w:r w:rsidRPr="00D93236">
        <w:rPr>
          <w:rFonts w:asciiTheme="majorHAnsi" w:hAnsiTheme="majorHAnsi" w:cs="Arial"/>
          <w:sz w:val="16"/>
          <w:szCs w:val="16"/>
          <w:shd w:val="clear" w:color="auto" w:fill="FFFFFF"/>
          <w:lang w:val="es-ES"/>
        </w:rPr>
        <w:t>Fondo. Sentencia de 29 de julio de 1988. Serie C No. 4</w:t>
      </w:r>
      <w:r w:rsidRPr="00D93236">
        <w:rPr>
          <w:rStyle w:val="Hyperlink"/>
          <w:rFonts w:asciiTheme="majorHAnsi" w:hAnsiTheme="majorHAnsi" w:cs="Arial"/>
          <w:sz w:val="16"/>
          <w:szCs w:val="16"/>
          <w:u w:val="none"/>
          <w:shd w:val="clear" w:color="auto" w:fill="FFFFFF"/>
          <w:lang w:val="es-ES"/>
        </w:rPr>
        <w:t>. Párr. 166.</w:t>
      </w:r>
      <w:r w:rsidRPr="00D93236">
        <w:rPr>
          <w:rStyle w:val="Hyperlink"/>
          <w:rFonts w:asciiTheme="majorHAnsi" w:hAnsiTheme="majorHAnsi" w:cs="Arial"/>
          <w:sz w:val="16"/>
          <w:szCs w:val="16"/>
          <w:shd w:val="clear" w:color="auto" w:fill="FFFFFF"/>
          <w:lang w:val="es-ES"/>
        </w:rPr>
        <w:t xml:space="preserve"> </w:t>
      </w:r>
    </w:p>
  </w:footnote>
  <w:footnote w:id="45">
    <w:p w14:paraId="0DA10564" w14:textId="77777777" w:rsidR="005B3F8C" w:rsidRPr="00D93236" w:rsidRDefault="005B3F8C" w:rsidP="00E27260">
      <w:pPr>
        <w:pStyle w:val="FootnoteText"/>
        <w:tabs>
          <w:tab w:val="left" w:pos="720"/>
        </w:tabs>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Corte IDH. </w:t>
      </w:r>
      <w:r w:rsidRPr="00D93236">
        <w:rPr>
          <w:rFonts w:asciiTheme="majorHAnsi" w:hAnsiTheme="majorHAnsi"/>
          <w:i/>
          <w:iCs/>
          <w:sz w:val="16"/>
          <w:szCs w:val="16"/>
          <w:lang w:val="es-ES"/>
        </w:rPr>
        <w:t>Caso</w:t>
      </w:r>
      <w:r w:rsidRPr="00D93236">
        <w:rPr>
          <w:rFonts w:asciiTheme="majorHAnsi" w:hAnsiTheme="majorHAnsi"/>
          <w:i/>
          <w:sz w:val="16"/>
          <w:szCs w:val="16"/>
          <w:lang w:val="es-ES"/>
        </w:rPr>
        <w:t xml:space="preserve"> </w:t>
      </w:r>
      <w:r w:rsidRPr="00D93236">
        <w:rPr>
          <w:rFonts w:asciiTheme="majorHAnsi" w:hAnsiTheme="majorHAnsi"/>
          <w:i/>
          <w:iCs/>
          <w:sz w:val="16"/>
          <w:szCs w:val="16"/>
          <w:lang w:val="es-ES"/>
        </w:rPr>
        <w:t>de la Masacre de Pueblo Bello</w:t>
      </w:r>
      <w:r w:rsidRPr="00D93236">
        <w:rPr>
          <w:rFonts w:asciiTheme="majorHAnsi" w:hAnsiTheme="majorHAnsi"/>
          <w:sz w:val="16"/>
          <w:szCs w:val="16"/>
          <w:lang w:val="es-ES"/>
        </w:rPr>
        <w:t xml:space="preserve">. </w:t>
      </w:r>
      <w:r w:rsidRPr="00D93236">
        <w:rPr>
          <w:rFonts w:asciiTheme="majorHAnsi" w:hAnsiTheme="majorHAnsi" w:cs="Arial"/>
          <w:sz w:val="16"/>
          <w:szCs w:val="16"/>
          <w:lang w:val="es-ES"/>
        </w:rPr>
        <w:t>Serie C No. 140</w:t>
      </w:r>
      <w:r w:rsidRPr="00D93236">
        <w:rPr>
          <w:rFonts w:asciiTheme="majorHAnsi" w:hAnsiTheme="majorHAnsi"/>
          <w:sz w:val="16"/>
          <w:szCs w:val="16"/>
          <w:lang w:val="es-ES"/>
        </w:rPr>
        <w:t>Párr. 117.</w:t>
      </w:r>
    </w:p>
  </w:footnote>
  <w:footnote w:id="46">
    <w:p w14:paraId="75588658" w14:textId="77777777" w:rsidR="005B3F8C" w:rsidRPr="00D93236" w:rsidRDefault="005B3F8C" w:rsidP="00E27260">
      <w:pPr>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cs="Arial"/>
          <w:sz w:val="16"/>
          <w:szCs w:val="16"/>
          <w:lang w:val="es-ES"/>
        </w:rPr>
        <w:t xml:space="preserve">La jurisprudencia de la Corte Europea respecto de los elementos señalando en el deber de prevención ha sido retomada por la Corte Interamericana en varias de sus sentencias. En este sentido ver: </w:t>
      </w:r>
      <w:r w:rsidRPr="00D93236">
        <w:rPr>
          <w:rFonts w:asciiTheme="majorHAnsi" w:hAnsiTheme="majorHAnsi"/>
          <w:bCs/>
          <w:sz w:val="16"/>
          <w:szCs w:val="16"/>
          <w:shd w:val="clear" w:color="auto" w:fill="FFFFFF"/>
          <w:lang w:val="es-ES"/>
        </w:rPr>
        <w:t xml:space="preserve">Corte IDH. </w:t>
      </w:r>
      <w:r w:rsidRPr="00D93236">
        <w:rPr>
          <w:rFonts w:asciiTheme="majorHAnsi" w:hAnsiTheme="majorHAnsi"/>
          <w:bCs/>
          <w:i/>
          <w:sz w:val="16"/>
          <w:szCs w:val="16"/>
          <w:shd w:val="clear" w:color="auto" w:fill="FFFFFF"/>
          <w:lang w:val="es-ES"/>
        </w:rPr>
        <w:t>Caso de la Masacre de Pueblo Bello Vs. Colombia</w:t>
      </w:r>
      <w:r w:rsidRPr="00D93236">
        <w:rPr>
          <w:rFonts w:asciiTheme="majorHAnsi" w:hAnsiTheme="majorHAnsi"/>
          <w:bCs/>
          <w:sz w:val="16"/>
          <w:szCs w:val="16"/>
          <w:shd w:val="clear" w:color="auto" w:fill="FFFFFF"/>
          <w:lang w:val="es-ES"/>
        </w:rPr>
        <w:t xml:space="preserve">. Sentencia de 31 de enero de 2006. Serie C No. 140, párr. 124; Corte IDH. </w:t>
      </w:r>
      <w:r w:rsidRPr="00D93236">
        <w:rPr>
          <w:rFonts w:asciiTheme="majorHAnsi" w:hAnsiTheme="majorHAnsi"/>
          <w:bCs/>
          <w:i/>
          <w:sz w:val="16"/>
          <w:szCs w:val="16"/>
          <w:shd w:val="clear" w:color="auto" w:fill="FFFFFF"/>
          <w:lang w:val="es-ES"/>
        </w:rPr>
        <w:t>Caso González y otras (“Campo Algodonero”) Vs. México</w:t>
      </w:r>
      <w:r w:rsidRPr="00D93236">
        <w:rPr>
          <w:rFonts w:asciiTheme="majorHAnsi" w:hAnsiTheme="majorHAnsi"/>
          <w:bCs/>
          <w:sz w:val="16"/>
          <w:szCs w:val="16"/>
          <w:shd w:val="clear" w:color="auto" w:fill="FFFFFF"/>
          <w:lang w:val="es-ES"/>
        </w:rPr>
        <w:t xml:space="preserve">. Excepción Preliminar, Fondo, Reparaciones y Costas. Sentencia de 16 de noviembre de 2009. Serie C No.205, párr. 284; Corte IDH. </w:t>
      </w:r>
      <w:r w:rsidRPr="00D93236">
        <w:rPr>
          <w:rFonts w:asciiTheme="majorHAnsi" w:hAnsiTheme="majorHAnsi"/>
          <w:bCs/>
          <w:i/>
          <w:sz w:val="16"/>
          <w:szCs w:val="16"/>
          <w:shd w:val="clear" w:color="auto" w:fill="FFFFFF"/>
          <w:lang w:val="es-ES"/>
        </w:rPr>
        <w:t>Caso Luna López Vs. Honduras</w:t>
      </w:r>
      <w:r w:rsidRPr="00D93236">
        <w:rPr>
          <w:rFonts w:asciiTheme="majorHAnsi" w:hAnsiTheme="majorHAnsi"/>
          <w:bCs/>
          <w:sz w:val="16"/>
          <w:szCs w:val="16"/>
          <w:shd w:val="clear" w:color="auto" w:fill="FFFFFF"/>
          <w:lang w:val="es-ES"/>
        </w:rPr>
        <w:t>. Fondo, Reparaciones y Costas. Sentencia de 10 de octubre de 2013. Serie C No. 269, párr. 124.</w:t>
      </w:r>
    </w:p>
  </w:footnote>
  <w:footnote w:id="47">
    <w:p w14:paraId="6026E6F0" w14:textId="77777777" w:rsidR="005B3F8C" w:rsidRPr="003E67F8" w:rsidRDefault="005B3F8C" w:rsidP="00E27260">
      <w:pPr>
        <w:jc w:val="both"/>
        <w:rPr>
          <w:rFonts w:asciiTheme="majorHAnsi" w:hAnsiTheme="majorHAnsi"/>
          <w:sz w:val="16"/>
          <w:szCs w:val="16"/>
          <w:lang w:val="pt-BR"/>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Corte IDH. </w:t>
      </w:r>
      <w:r w:rsidRPr="00D93236">
        <w:rPr>
          <w:rFonts w:asciiTheme="majorHAnsi" w:hAnsiTheme="majorHAnsi"/>
          <w:i/>
          <w:sz w:val="16"/>
          <w:szCs w:val="16"/>
          <w:lang w:val="es-ES"/>
        </w:rPr>
        <w:t>Caso Defensor de Derechos Humanos y otros Vs. Guatemala</w:t>
      </w:r>
      <w:r w:rsidRPr="00D93236">
        <w:rPr>
          <w:rFonts w:asciiTheme="majorHAnsi" w:hAnsiTheme="majorHAnsi"/>
          <w:sz w:val="16"/>
          <w:szCs w:val="16"/>
          <w:lang w:val="es-ES"/>
        </w:rPr>
        <w:t xml:space="preserve">. Excepciones Preliminares, Fondo, Reparaciones y Costas. </w:t>
      </w:r>
      <w:r w:rsidRPr="003E67F8">
        <w:rPr>
          <w:rFonts w:asciiTheme="majorHAnsi" w:hAnsiTheme="majorHAnsi"/>
          <w:sz w:val="16"/>
          <w:szCs w:val="16"/>
          <w:lang w:val="pt-BR"/>
        </w:rPr>
        <w:t xml:space="preserve">Sentencia de 28 de agosto de 2014. Serie C No. 283. Párrafo 283. </w:t>
      </w:r>
    </w:p>
  </w:footnote>
  <w:footnote w:id="48">
    <w:p w14:paraId="4F766086"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3E67F8">
        <w:rPr>
          <w:rFonts w:asciiTheme="majorHAnsi" w:hAnsiTheme="majorHAnsi"/>
          <w:sz w:val="16"/>
          <w:szCs w:val="16"/>
          <w:lang w:val="pt-BR"/>
        </w:rPr>
        <w:t xml:space="preserve"> Corte IDH. </w:t>
      </w:r>
      <w:r w:rsidRPr="00D93236">
        <w:rPr>
          <w:rFonts w:asciiTheme="majorHAnsi" w:hAnsiTheme="majorHAnsi"/>
          <w:i/>
          <w:sz w:val="16"/>
          <w:szCs w:val="16"/>
          <w:lang w:val="es-US"/>
        </w:rPr>
        <w:t>Caso Velásquez Paiz y otros Vs. Guatemala</w:t>
      </w:r>
      <w:r w:rsidRPr="00D93236">
        <w:rPr>
          <w:rFonts w:asciiTheme="majorHAnsi" w:hAnsiTheme="majorHAnsi"/>
          <w:sz w:val="16"/>
          <w:szCs w:val="16"/>
          <w:lang w:val="es-US"/>
        </w:rPr>
        <w:t xml:space="preserve">. Excepciones Preliminares, Fondo, Reparaciones y Costas. Sentencia de 19 de noviembre de 2015. Serie C No. 307, Párr. 173. Corte IDH. </w:t>
      </w:r>
      <w:r w:rsidRPr="00D93236">
        <w:rPr>
          <w:rFonts w:asciiTheme="majorHAnsi" w:hAnsiTheme="majorHAnsi"/>
          <w:i/>
          <w:sz w:val="16"/>
          <w:szCs w:val="16"/>
          <w:lang w:val="es-US"/>
        </w:rPr>
        <w:t>Caso Flor Freire Vs. Ecuador</w:t>
      </w:r>
      <w:r w:rsidRPr="00D93236">
        <w:rPr>
          <w:rFonts w:asciiTheme="majorHAnsi" w:hAnsiTheme="majorHAnsi"/>
          <w:sz w:val="16"/>
          <w:szCs w:val="16"/>
          <w:lang w:val="es-US"/>
        </w:rPr>
        <w:t xml:space="preserve">. Excepción Preliminar, Fondo, Reparaciones y Costas. Sentencia de 31 de agosto de 2016. Serie C No. 315, párr. 110. Corte IDH. </w:t>
      </w:r>
      <w:r w:rsidRPr="00D93236">
        <w:rPr>
          <w:rFonts w:asciiTheme="majorHAnsi" w:hAnsiTheme="majorHAnsi"/>
          <w:i/>
          <w:sz w:val="16"/>
          <w:szCs w:val="16"/>
          <w:lang w:val="es-US"/>
        </w:rPr>
        <w:t>Caso I.V. Vs. Bolivia</w:t>
      </w:r>
      <w:r w:rsidRPr="00D93236">
        <w:rPr>
          <w:rFonts w:asciiTheme="majorHAnsi" w:hAnsiTheme="majorHAnsi"/>
          <w:sz w:val="16"/>
          <w:szCs w:val="16"/>
          <w:lang w:val="es-US"/>
        </w:rPr>
        <w:t>. Excepciones Preliminares, Fondo, Reparaciones y Costas. Sentencia de 30 de noviembre de 2016. Serie C No. 329, párr. 238.</w:t>
      </w:r>
    </w:p>
  </w:footnote>
  <w:footnote w:id="49">
    <w:p w14:paraId="0B61DEA2"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Corte IDH. </w:t>
      </w:r>
      <w:r w:rsidRPr="00D93236">
        <w:rPr>
          <w:rFonts w:asciiTheme="majorHAnsi" w:hAnsiTheme="majorHAnsi"/>
          <w:i/>
          <w:sz w:val="16"/>
          <w:szCs w:val="16"/>
          <w:lang w:val="es-US"/>
        </w:rPr>
        <w:t>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w:t>
      </w:r>
      <w:r w:rsidRPr="00D93236">
        <w:rPr>
          <w:rFonts w:asciiTheme="majorHAnsi" w:hAnsiTheme="majorHAnsi"/>
          <w:sz w:val="16"/>
          <w:szCs w:val="16"/>
          <w:lang w:val="es-US"/>
        </w:rPr>
        <w:t xml:space="preserve"> Opinión Consultiva OC-24/17 de 24 de noviembre de 2017. Serie A No. 24. Párr. 62. </w:t>
      </w:r>
    </w:p>
  </w:footnote>
  <w:footnote w:id="50">
    <w:p w14:paraId="44A69A2F"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CIDH. Informe No. 112/12. Caso 12.828. Fondo</w:t>
      </w:r>
      <w:r w:rsidRPr="00D93236">
        <w:rPr>
          <w:rFonts w:asciiTheme="majorHAnsi" w:hAnsiTheme="majorHAnsi"/>
          <w:i/>
          <w:sz w:val="16"/>
          <w:szCs w:val="16"/>
          <w:lang w:val="es-US"/>
        </w:rPr>
        <w:t>. Marcel Granier y otros</w:t>
      </w:r>
      <w:r w:rsidRPr="00D93236">
        <w:rPr>
          <w:rFonts w:asciiTheme="majorHAnsi" w:hAnsiTheme="majorHAnsi"/>
          <w:sz w:val="16"/>
          <w:szCs w:val="16"/>
          <w:lang w:val="es-US"/>
        </w:rPr>
        <w:t xml:space="preserve">. Venezuela. 9 de noviembre de 2012, párr. 160; y CIDH. Informe No. 75/15. Caso 12.923. Fondo. </w:t>
      </w:r>
      <w:r w:rsidRPr="00D93236">
        <w:rPr>
          <w:rFonts w:asciiTheme="majorHAnsi" w:hAnsiTheme="majorHAnsi"/>
          <w:i/>
          <w:sz w:val="16"/>
          <w:szCs w:val="16"/>
          <w:lang w:val="es-US"/>
        </w:rPr>
        <w:t>Rocío San Miguel Sosa y otras. Venezuela</w:t>
      </w:r>
      <w:r w:rsidRPr="00D93236">
        <w:rPr>
          <w:rFonts w:asciiTheme="majorHAnsi" w:hAnsiTheme="majorHAnsi"/>
          <w:sz w:val="16"/>
          <w:szCs w:val="16"/>
          <w:lang w:val="es-US"/>
        </w:rPr>
        <w:t xml:space="preserve">. 28 de octubre de 2015, párr. 171. CIDH. </w:t>
      </w:r>
      <w:r w:rsidRPr="00D93236">
        <w:rPr>
          <w:rFonts w:asciiTheme="majorHAnsi" w:hAnsiTheme="majorHAnsi"/>
          <w:i/>
          <w:sz w:val="16"/>
          <w:szCs w:val="16"/>
          <w:lang w:val="es-US"/>
        </w:rPr>
        <w:t>Informe sobre pobreza y derechos humanos en las Américas.</w:t>
      </w:r>
      <w:r w:rsidRPr="00D93236">
        <w:rPr>
          <w:rFonts w:asciiTheme="majorHAnsi" w:hAnsiTheme="majorHAnsi"/>
          <w:sz w:val="16"/>
          <w:szCs w:val="16"/>
          <w:lang w:val="es-US"/>
        </w:rPr>
        <w:t xml:space="preserve"> OEA/Ser.L/V/II.164 Doc. 147. 7 septiembre 2017, párr. 153.</w:t>
      </w:r>
    </w:p>
  </w:footnote>
  <w:footnote w:id="51">
    <w:p w14:paraId="4675D2CB" w14:textId="77777777" w:rsidR="005B3F8C" w:rsidRPr="00D93236" w:rsidRDefault="005B3F8C" w:rsidP="00A86CFA">
      <w:pPr>
        <w:pStyle w:val="FootnoteText"/>
        <w:jc w:val="both"/>
        <w:rPr>
          <w:rFonts w:ascii="Cambria" w:hAnsi="Cambria"/>
          <w:sz w:val="16"/>
          <w:szCs w:val="16"/>
          <w:lang w:val="es-ES"/>
        </w:rPr>
      </w:pPr>
      <w:r w:rsidRPr="00D93236">
        <w:rPr>
          <w:rStyle w:val="FootnoteReference"/>
          <w:rFonts w:ascii="Cambria" w:hAnsi="Cambria"/>
          <w:sz w:val="16"/>
          <w:szCs w:val="16"/>
        </w:rPr>
        <w:footnoteRef/>
      </w:r>
      <w:r w:rsidRPr="00D93236">
        <w:rPr>
          <w:rFonts w:ascii="Cambria" w:hAnsi="Cambria"/>
          <w:sz w:val="16"/>
          <w:szCs w:val="16"/>
          <w:lang w:val="es-US"/>
        </w:rPr>
        <w:t xml:space="preserve"> </w:t>
      </w:r>
      <w:r w:rsidRPr="00D93236">
        <w:rPr>
          <w:rFonts w:ascii="Cambria" w:hAnsi="Cambria"/>
          <w:sz w:val="16"/>
          <w:szCs w:val="16"/>
          <w:lang w:val="es-ES"/>
        </w:rPr>
        <w:t xml:space="preserve">CIDH, Informe de Fondo No. 85/10. Caso 12.361. Gretel Artavia Murillo y otros (Fecundación </w:t>
      </w:r>
      <w:r w:rsidRPr="00D93236">
        <w:rPr>
          <w:rFonts w:ascii="Cambria" w:hAnsi="Cambria"/>
          <w:i/>
          <w:iCs/>
          <w:sz w:val="16"/>
          <w:szCs w:val="16"/>
          <w:lang w:val="es-ES"/>
        </w:rPr>
        <w:t>in vitro</w:t>
      </w:r>
      <w:r w:rsidRPr="00D93236">
        <w:rPr>
          <w:rFonts w:ascii="Cambria" w:hAnsi="Cambria"/>
          <w:sz w:val="16"/>
          <w:szCs w:val="16"/>
          <w:lang w:val="es-ES"/>
        </w:rPr>
        <w:t xml:space="preserve">) contra Costa Rica. Párr. 125. </w:t>
      </w:r>
    </w:p>
  </w:footnote>
  <w:footnote w:id="52">
    <w:p w14:paraId="312487CB" w14:textId="77777777" w:rsidR="005B3F8C" w:rsidRPr="00D93236" w:rsidRDefault="005B3F8C" w:rsidP="00A86CFA">
      <w:pPr>
        <w:pStyle w:val="FootnoteText"/>
        <w:jc w:val="both"/>
        <w:rPr>
          <w:rFonts w:ascii="Cambria" w:hAnsi="Cambria"/>
          <w:sz w:val="16"/>
          <w:szCs w:val="16"/>
          <w:lang w:val="es-US"/>
        </w:rPr>
      </w:pPr>
      <w:r w:rsidRPr="00D93236">
        <w:rPr>
          <w:rStyle w:val="FootnoteReference"/>
          <w:rFonts w:ascii="Cambria" w:hAnsi="Cambria"/>
          <w:sz w:val="16"/>
          <w:szCs w:val="16"/>
        </w:rPr>
        <w:footnoteRef/>
      </w:r>
      <w:r w:rsidRPr="00D93236">
        <w:rPr>
          <w:rFonts w:ascii="Cambria" w:hAnsi="Cambria"/>
          <w:sz w:val="16"/>
          <w:szCs w:val="16"/>
          <w:lang w:val="es-US"/>
        </w:rPr>
        <w:t xml:space="preserve"> Corte IDH. Caso Nadege Dorzema y otros Vs. República Dominicana. Fondo Reparaciones y Costas. Sentencia de 24 de octubre de 2012. Serie C No. 251. Párra. 234. Caso de personas dominicanas y haitianas expulsadas Vs. República Dominicana. Excepciones Preliminares, Fondo, Reparaciones y Costas. Sentencia de 28 de agosto de 2014. Serie C No. 282, párr. 263.</w:t>
      </w:r>
    </w:p>
  </w:footnote>
  <w:footnote w:id="53">
    <w:p w14:paraId="617A4C9D"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Corte IDH. </w:t>
      </w:r>
      <w:r w:rsidRPr="00D93236">
        <w:rPr>
          <w:rFonts w:asciiTheme="majorHAnsi" w:hAnsiTheme="majorHAnsi"/>
          <w:i/>
          <w:sz w:val="16"/>
          <w:szCs w:val="16"/>
          <w:lang w:val="es-US"/>
        </w:rPr>
        <w:t>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w:t>
      </w:r>
      <w:r w:rsidRPr="00D93236">
        <w:rPr>
          <w:rFonts w:asciiTheme="majorHAnsi" w:hAnsiTheme="majorHAnsi"/>
          <w:sz w:val="16"/>
          <w:szCs w:val="16"/>
          <w:lang w:val="es-US"/>
        </w:rPr>
        <w:t>). Opinión Consultiva OC-24/17 de 24 de noviembre de 2017. Serie A No. 24, Párr. 63.</w:t>
      </w:r>
    </w:p>
  </w:footnote>
  <w:footnote w:id="54">
    <w:p w14:paraId="2BDA0305" w14:textId="77777777" w:rsidR="005B3F8C" w:rsidRPr="004C30C7" w:rsidRDefault="005B3F8C" w:rsidP="00E27260">
      <w:pPr>
        <w:pStyle w:val="FootnoteText"/>
        <w:jc w:val="both"/>
        <w:rPr>
          <w:rFonts w:ascii="Cambria" w:hAnsi="Cambria"/>
          <w:sz w:val="16"/>
          <w:szCs w:val="16"/>
          <w:lang w:val="es-US"/>
        </w:rPr>
      </w:pPr>
      <w:r w:rsidRPr="004C30C7">
        <w:rPr>
          <w:rStyle w:val="FootnoteReference"/>
          <w:rFonts w:ascii="Cambria" w:hAnsi="Cambria"/>
          <w:sz w:val="16"/>
          <w:szCs w:val="16"/>
        </w:rPr>
        <w:footnoteRef/>
      </w:r>
      <w:r w:rsidRPr="004C30C7">
        <w:rPr>
          <w:rFonts w:ascii="Cambria" w:hAnsi="Cambria"/>
          <w:sz w:val="16"/>
          <w:szCs w:val="16"/>
          <w:lang w:val="es-US"/>
        </w:rPr>
        <w:t xml:space="preserve"> Corte IDH. </w:t>
      </w:r>
      <w:r w:rsidRPr="004C30C7">
        <w:rPr>
          <w:rFonts w:ascii="Cambria" w:hAnsi="Cambria"/>
          <w:i/>
          <w:sz w:val="16"/>
          <w:szCs w:val="16"/>
          <w:lang w:val="es-US"/>
        </w:rPr>
        <w:t>Caso de personas dominicanas y haitianas expulsadas Vs. República Dominicana</w:t>
      </w:r>
      <w:r w:rsidRPr="004C30C7">
        <w:rPr>
          <w:rFonts w:ascii="Cambria" w:hAnsi="Cambria"/>
          <w:sz w:val="16"/>
          <w:szCs w:val="16"/>
          <w:lang w:val="es-US"/>
        </w:rPr>
        <w:t>. Excepciones Preliminares, Fondo, Reparaciones y Costas. Sentencia de 28 de agosto de 2014. Serie C No. 282. Párr. 262.</w:t>
      </w:r>
    </w:p>
  </w:footnote>
  <w:footnote w:id="55">
    <w:p w14:paraId="65B2A471" w14:textId="77777777" w:rsidR="005B3F8C" w:rsidRPr="004C30C7" w:rsidRDefault="005B3F8C" w:rsidP="00E27260">
      <w:pPr>
        <w:pStyle w:val="FootnoteText"/>
        <w:jc w:val="both"/>
        <w:rPr>
          <w:rFonts w:ascii="Cambria" w:hAnsi="Cambria"/>
          <w:sz w:val="16"/>
          <w:szCs w:val="16"/>
          <w:lang w:val="es-US"/>
        </w:rPr>
      </w:pPr>
      <w:r w:rsidRPr="004C30C7">
        <w:rPr>
          <w:rStyle w:val="FootnoteReference"/>
          <w:rFonts w:ascii="Cambria" w:hAnsi="Cambria"/>
          <w:sz w:val="16"/>
          <w:szCs w:val="16"/>
        </w:rPr>
        <w:footnoteRef/>
      </w:r>
      <w:r w:rsidRPr="004C30C7">
        <w:rPr>
          <w:rFonts w:ascii="Cambria" w:hAnsi="Cambria"/>
          <w:sz w:val="16"/>
          <w:szCs w:val="16"/>
          <w:lang w:val="es-US"/>
        </w:rPr>
        <w:t xml:space="preserve"> Asamblea General de la OEA, Convención Interamericana contra el Terrorismo, 3 de junio de 2002.</w:t>
      </w:r>
    </w:p>
  </w:footnote>
  <w:footnote w:id="56">
    <w:p w14:paraId="115B63C9" w14:textId="77777777" w:rsidR="005B3F8C" w:rsidRPr="004C30C7" w:rsidRDefault="005B3F8C" w:rsidP="00E27260">
      <w:pPr>
        <w:jc w:val="both"/>
        <w:rPr>
          <w:rFonts w:ascii="Cambria" w:hAnsi="Cambria"/>
          <w:sz w:val="16"/>
          <w:szCs w:val="16"/>
          <w:lang w:val="es-ES"/>
        </w:rPr>
      </w:pPr>
      <w:r w:rsidRPr="004C30C7">
        <w:rPr>
          <w:rStyle w:val="FootnoteReference"/>
          <w:rFonts w:ascii="Cambria" w:hAnsi="Cambria"/>
          <w:sz w:val="16"/>
          <w:szCs w:val="16"/>
          <w:lang w:val="es-ES"/>
        </w:rPr>
        <w:footnoteRef/>
      </w:r>
      <w:r w:rsidRPr="004C30C7">
        <w:rPr>
          <w:rFonts w:ascii="Cambria" w:hAnsi="Cambria"/>
          <w:sz w:val="16"/>
          <w:szCs w:val="16"/>
          <w:lang w:val="es-ES"/>
        </w:rPr>
        <w:t xml:space="preserve"> Organización de las Naciones Unidas. Consejo de Seguridad Nacional. Comité contra el Terrorismo. Ver: </w:t>
      </w:r>
      <w:hyperlink r:id="rId3" w:history="1">
        <w:r w:rsidRPr="004C30C7">
          <w:rPr>
            <w:rStyle w:val="Hyperlink"/>
            <w:rFonts w:ascii="Cambria" w:hAnsi="Cambria"/>
            <w:sz w:val="16"/>
            <w:szCs w:val="16"/>
            <w:lang w:val="es-ES"/>
          </w:rPr>
          <w:t>https://www.un.org/sc/ctc/resources/international-legal-instruments/</w:t>
        </w:r>
      </w:hyperlink>
    </w:p>
  </w:footnote>
  <w:footnote w:id="57">
    <w:p w14:paraId="7A0FDC99" w14:textId="77777777" w:rsidR="005B3F8C" w:rsidRPr="004C30C7" w:rsidRDefault="005B3F8C" w:rsidP="00E27260">
      <w:pPr>
        <w:jc w:val="both"/>
        <w:rPr>
          <w:rFonts w:ascii="Cambria" w:hAnsi="Cambria"/>
          <w:sz w:val="16"/>
          <w:szCs w:val="16"/>
          <w:lang w:val="es-US"/>
        </w:rPr>
      </w:pPr>
      <w:r w:rsidRPr="004C30C7">
        <w:rPr>
          <w:rStyle w:val="FootnoteReference"/>
          <w:rFonts w:ascii="Cambria" w:hAnsi="Cambria"/>
          <w:sz w:val="16"/>
          <w:szCs w:val="16"/>
        </w:rPr>
        <w:footnoteRef/>
      </w:r>
      <w:r w:rsidRPr="004C30C7">
        <w:rPr>
          <w:rFonts w:ascii="Cambria" w:hAnsi="Cambria"/>
          <w:sz w:val="16"/>
          <w:szCs w:val="16"/>
          <w:lang w:val="es-US"/>
        </w:rPr>
        <w:t xml:space="preserve"> CIDH, Informe sobre Terrorismo y Derechos Humanos. </w:t>
      </w:r>
      <w:r w:rsidRPr="004C30C7">
        <w:rPr>
          <w:rFonts w:ascii="Cambria" w:hAnsi="Cambria"/>
          <w:color w:val="000000"/>
          <w:sz w:val="16"/>
          <w:szCs w:val="16"/>
          <w:lang w:val="es-US"/>
        </w:rPr>
        <w:t xml:space="preserve">22 octubre 2002. Capítulo II A </w:t>
      </w:r>
      <w:r w:rsidRPr="004C30C7">
        <w:rPr>
          <w:rFonts w:ascii="Cambria" w:hAnsi="Cambria"/>
          <w:sz w:val="16"/>
          <w:szCs w:val="16"/>
          <w:lang w:val="es-ES"/>
        </w:rPr>
        <w:t xml:space="preserve">Párr. 33. </w:t>
      </w:r>
    </w:p>
  </w:footnote>
  <w:footnote w:id="58">
    <w:p w14:paraId="4D8EDDD4" w14:textId="77777777" w:rsidR="005B3F8C" w:rsidRPr="004C30C7" w:rsidRDefault="005B3F8C" w:rsidP="00E27260">
      <w:pPr>
        <w:pStyle w:val="FootnoteText"/>
        <w:jc w:val="both"/>
        <w:rPr>
          <w:rFonts w:ascii="Cambria" w:hAnsi="Cambria"/>
          <w:sz w:val="16"/>
          <w:szCs w:val="16"/>
          <w:lang w:val="es-ES"/>
        </w:rPr>
      </w:pPr>
      <w:r w:rsidRPr="004C30C7">
        <w:rPr>
          <w:rStyle w:val="FootnoteReference"/>
          <w:rFonts w:ascii="Cambria" w:hAnsi="Cambria"/>
          <w:sz w:val="16"/>
          <w:szCs w:val="16"/>
        </w:rPr>
        <w:footnoteRef/>
      </w:r>
      <w:r w:rsidRPr="004C30C7">
        <w:rPr>
          <w:rFonts w:ascii="Cambria" w:hAnsi="Cambria"/>
          <w:sz w:val="16"/>
          <w:szCs w:val="16"/>
          <w:lang w:val="es-US"/>
        </w:rPr>
        <w:t xml:space="preserve"> Naciones Unidas. Asamblea General. Medidas para eliminar el terrorismo internacional. </w:t>
      </w:r>
      <w:hyperlink r:id="rId4" w:history="1">
        <w:r w:rsidRPr="004C30C7">
          <w:rPr>
            <w:rStyle w:val="Hyperlink"/>
            <w:rFonts w:ascii="Cambria" w:hAnsi="Cambria"/>
            <w:sz w:val="16"/>
            <w:szCs w:val="16"/>
            <w:lang w:val="es-US"/>
          </w:rPr>
          <w:t>A/RES/49/60</w:t>
        </w:r>
      </w:hyperlink>
      <w:r w:rsidRPr="004C30C7">
        <w:rPr>
          <w:rFonts w:ascii="Cambria" w:hAnsi="Cambria"/>
          <w:sz w:val="16"/>
          <w:szCs w:val="16"/>
          <w:lang w:val="es-US"/>
        </w:rPr>
        <w:t xml:space="preserve"> 17 de febrero de 1995; y </w:t>
      </w:r>
      <w:hyperlink r:id="rId5" w:history="1">
        <w:r w:rsidRPr="004C30C7">
          <w:rPr>
            <w:rStyle w:val="Hyperlink"/>
            <w:rFonts w:ascii="Cambria" w:hAnsi="Cambria"/>
            <w:sz w:val="16"/>
            <w:szCs w:val="16"/>
            <w:lang w:val="es-US"/>
          </w:rPr>
          <w:t>A/RES/51/210</w:t>
        </w:r>
      </w:hyperlink>
      <w:r w:rsidRPr="004C30C7">
        <w:rPr>
          <w:rFonts w:ascii="Cambria" w:hAnsi="Cambria"/>
          <w:sz w:val="16"/>
          <w:szCs w:val="16"/>
          <w:lang w:val="es-US"/>
        </w:rPr>
        <w:t xml:space="preserve"> de 16 de enero de 1997. </w:t>
      </w:r>
    </w:p>
  </w:footnote>
  <w:footnote w:id="59">
    <w:p w14:paraId="7CE0FEC8" w14:textId="77777777" w:rsidR="005B3F8C" w:rsidRPr="004C30C7" w:rsidRDefault="005B3F8C" w:rsidP="00E27260">
      <w:pPr>
        <w:pStyle w:val="FootnoteText"/>
        <w:jc w:val="both"/>
        <w:rPr>
          <w:rFonts w:ascii="Cambria" w:hAnsi="Cambria"/>
          <w:sz w:val="16"/>
          <w:szCs w:val="16"/>
          <w:lang w:val="es-ES"/>
        </w:rPr>
      </w:pPr>
      <w:r w:rsidRPr="004C30C7">
        <w:rPr>
          <w:rStyle w:val="FootnoteReference"/>
          <w:rFonts w:ascii="Cambria" w:hAnsi="Cambria"/>
          <w:sz w:val="16"/>
          <w:szCs w:val="16"/>
        </w:rPr>
        <w:footnoteRef/>
      </w:r>
      <w:r w:rsidRPr="004C30C7">
        <w:rPr>
          <w:rFonts w:ascii="Cambria" w:hAnsi="Cambria"/>
          <w:sz w:val="16"/>
          <w:szCs w:val="16"/>
          <w:lang w:val="es-US"/>
        </w:rPr>
        <w:t xml:space="preserve"> Naciones Unidas. Asamblea General. Medidas para eliminar el terrorismo internacional. </w:t>
      </w:r>
      <w:hyperlink r:id="rId6" w:history="1">
        <w:r w:rsidRPr="004C30C7">
          <w:rPr>
            <w:rStyle w:val="Hyperlink"/>
            <w:rFonts w:ascii="Cambria" w:hAnsi="Cambria"/>
            <w:sz w:val="16"/>
            <w:szCs w:val="16"/>
            <w:lang w:val="es-US"/>
          </w:rPr>
          <w:t>A/RES/51/210</w:t>
        </w:r>
      </w:hyperlink>
      <w:r w:rsidRPr="004C30C7">
        <w:rPr>
          <w:rFonts w:ascii="Cambria" w:hAnsi="Cambria"/>
          <w:sz w:val="16"/>
          <w:szCs w:val="16"/>
          <w:lang w:val="es-US"/>
        </w:rPr>
        <w:t xml:space="preserve"> de de 16 de enero de 1997.</w:t>
      </w:r>
    </w:p>
  </w:footnote>
  <w:footnote w:id="60">
    <w:p w14:paraId="5E9B26A8" w14:textId="77777777" w:rsidR="005B3F8C" w:rsidRPr="00D93236" w:rsidRDefault="005B3F8C" w:rsidP="00E27260">
      <w:pPr>
        <w:jc w:val="both"/>
        <w:rPr>
          <w:rFonts w:asciiTheme="majorHAnsi" w:hAnsiTheme="majorHAnsi"/>
          <w:sz w:val="16"/>
          <w:szCs w:val="16"/>
          <w:lang w:val="es-US"/>
        </w:rPr>
      </w:pPr>
      <w:r w:rsidRPr="004C30C7">
        <w:rPr>
          <w:rStyle w:val="FootnoteReference"/>
          <w:rFonts w:ascii="Cambria" w:hAnsi="Cambria"/>
          <w:sz w:val="16"/>
          <w:szCs w:val="16"/>
        </w:rPr>
        <w:footnoteRef/>
      </w:r>
      <w:r w:rsidRPr="004C30C7">
        <w:rPr>
          <w:rFonts w:ascii="Cambria" w:hAnsi="Cambria"/>
          <w:sz w:val="16"/>
          <w:szCs w:val="16"/>
          <w:lang w:val="es-US"/>
        </w:rPr>
        <w:t xml:space="preserve"> </w:t>
      </w:r>
      <w:r w:rsidRPr="004C30C7">
        <w:rPr>
          <w:rFonts w:ascii="Cambria" w:eastAsia="Times New Roman" w:hAnsi="Cambria"/>
          <w:sz w:val="16"/>
          <w:szCs w:val="16"/>
          <w:lang w:val="es-ES" w:eastAsia="es-ES_tradnl"/>
        </w:rPr>
        <w:t>La Estrategia inicia señalando medidas generales para hacer frente a las condiciones que propician la propagación del terrorismo. Luego refiere medidas para prevenir y combatir el terrorismo, dentro de las que se encuentran, entre otras: “</w:t>
      </w:r>
      <w:r w:rsidRPr="004C30C7">
        <w:rPr>
          <w:rFonts w:ascii="Cambria" w:hAnsi="Cambria"/>
          <w:sz w:val="16"/>
          <w:szCs w:val="16"/>
          <w:lang w:val="es-ES"/>
        </w:rPr>
        <w:t>[a]</w:t>
      </w:r>
      <w:r w:rsidRPr="004C30C7">
        <w:rPr>
          <w:rFonts w:ascii="Cambria" w:eastAsia="Times New Roman" w:hAnsi="Cambria"/>
          <w:sz w:val="16"/>
          <w:szCs w:val="16"/>
          <w:lang w:val="es-ES" w:eastAsia="es-ES_tradnl"/>
        </w:rPr>
        <w:t>segurar que los autores de actos terroristas sean detenidos y enjuiciados o extraditados, de conformidad con las disposiciones pertinentes del derecho nacional e internacional, en particular las normas de derechos humanos, el derecho relativo a los refugiados y el derecho internacional humanitario”</w:t>
      </w:r>
      <w:r w:rsidRPr="004C30C7">
        <w:rPr>
          <w:rFonts w:ascii="Cambria" w:hAnsi="Cambria"/>
          <w:sz w:val="16"/>
          <w:szCs w:val="16"/>
          <w:lang w:val="es-ES"/>
        </w:rPr>
        <w:t>;</w:t>
      </w:r>
      <w:r w:rsidRPr="004C30C7">
        <w:rPr>
          <w:rFonts w:ascii="Cambria" w:eastAsia="Times New Roman" w:hAnsi="Cambria"/>
          <w:sz w:val="16"/>
          <w:szCs w:val="16"/>
          <w:lang w:val="es-ES" w:eastAsia="es-ES_tradnl"/>
        </w:rPr>
        <w:t xml:space="preserve"> “</w:t>
      </w:r>
      <w:r w:rsidRPr="004C30C7">
        <w:rPr>
          <w:rFonts w:ascii="Cambria" w:hAnsi="Cambria"/>
          <w:sz w:val="16"/>
          <w:szCs w:val="16"/>
          <w:lang w:val="es-ES"/>
        </w:rPr>
        <w:t>[i]</w:t>
      </w:r>
      <w:r w:rsidRPr="004C30C7">
        <w:rPr>
          <w:rFonts w:ascii="Cambria" w:eastAsia="Times New Roman" w:hAnsi="Cambria"/>
          <w:sz w:val="16"/>
          <w:szCs w:val="16"/>
          <w:lang w:val="es-ES" w:eastAsia="es-ES_tradnl"/>
        </w:rPr>
        <w:t>ntensificar los esfuerzos a nivel nacional y la cooperación bilateral, subregional, regional e internacional, según proceda, para mejorar los controles fronterizos y aduaneros a fin de prevenir y detectar el desplazamiento de terroristas y prevenir y detectar el tráfico ilícito de,</w:t>
      </w:r>
      <w:r w:rsidRPr="00D93236">
        <w:rPr>
          <w:rFonts w:asciiTheme="majorHAnsi" w:eastAsia="Times New Roman" w:hAnsiTheme="majorHAnsi"/>
          <w:sz w:val="16"/>
          <w:szCs w:val="16"/>
          <w:lang w:val="es-ES" w:eastAsia="es-ES_tradnl"/>
        </w:rPr>
        <w:t xml:space="preserve"> entre otras cosas, armas pequeñas y armas ligeras, municiones y explosivos convencionales, y armas y materiales nucleares, químicos, biológicos o radiológicos […]”, así como “</w:t>
      </w:r>
      <w:r w:rsidRPr="00D93236">
        <w:rPr>
          <w:rFonts w:asciiTheme="majorHAnsi" w:hAnsiTheme="majorHAnsi"/>
          <w:sz w:val="16"/>
          <w:szCs w:val="16"/>
          <w:lang w:val="es-ES"/>
        </w:rPr>
        <w:t>[i]</w:t>
      </w:r>
      <w:r w:rsidRPr="00D93236">
        <w:rPr>
          <w:rFonts w:asciiTheme="majorHAnsi" w:eastAsia="Times New Roman" w:hAnsiTheme="majorHAnsi"/>
          <w:sz w:val="16"/>
          <w:szCs w:val="16"/>
          <w:lang w:val="es-ES" w:eastAsia="es-ES_tradnl"/>
        </w:rPr>
        <w:t xml:space="preserve">ntensificar las actividades y la cooperación a todos los niveles, según proceda, para mejorar la seguridad de la fabricación y expedición de documentos de identidad y de viaje, y prevenir y detectar su alteración o uso fraudulento, reconociendo al mismo tiempo que los Estados tal vez necesiten asistencia para ello”. Además, </w:t>
      </w:r>
      <w:r w:rsidRPr="00D93236">
        <w:rPr>
          <w:rFonts w:asciiTheme="majorHAnsi" w:hAnsiTheme="majorHAnsi"/>
          <w:sz w:val="16"/>
          <w:szCs w:val="16"/>
          <w:lang w:val="es-ES"/>
        </w:rPr>
        <w:t>incluye</w:t>
      </w:r>
      <w:r w:rsidRPr="00D93236">
        <w:rPr>
          <w:rFonts w:asciiTheme="majorHAnsi" w:eastAsia="Times New Roman" w:hAnsiTheme="majorHAnsi"/>
          <w:sz w:val="16"/>
          <w:szCs w:val="16"/>
          <w:lang w:val="es-ES" w:eastAsia="es-ES_tradnl"/>
        </w:rPr>
        <w:t xml:space="preserve"> “</w:t>
      </w:r>
      <w:r w:rsidRPr="00D93236">
        <w:rPr>
          <w:rFonts w:asciiTheme="majorHAnsi" w:hAnsiTheme="majorHAnsi"/>
          <w:sz w:val="16"/>
          <w:szCs w:val="16"/>
          <w:lang w:val="es-ES"/>
        </w:rPr>
        <w:t>[i]</w:t>
      </w:r>
      <w:r w:rsidRPr="00D93236">
        <w:rPr>
          <w:rFonts w:asciiTheme="majorHAnsi" w:eastAsia="Times New Roman" w:hAnsiTheme="majorHAnsi"/>
          <w:sz w:val="16"/>
          <w:szCs w:val="16"/>
          <w:lang w:val="es-ES" w:eastAsia="es-ES_tradnl"/>
        </w:rPr>
        <w:t xml:space="preserve">ntensificar todas las actividades tendientes a mejorar la seguridad y la protección de objetivos particularmente vulnerables, como infraestructura y lugares públicos, así como la respuesta a atentados terroristas y otros desastres, en particular en la esfera de la protección civil, reconociendo al mismo tiempo que los Estados tal vez necesiten asistencia a esos efectos”. </w:t>
      </w:r>
      <w:r w:rsidRPr="00D93236">
        <w:rPr>
          <w:rFonts w:asciiTheme="majorHAnsi" w:hAnsiTheme="majorHAnsi"/>
          <w:sz w:val="16"/>
          <w:szCs w:val="16"/>
          <w:lang w:val="es-US"/>
        </w:rPr>
        <w:t xml:space="preserve">Naciones Unidas. Asamblea General. Estrategia global de las Naciones Unidas contra el terrorismo. Resolución aprobada el 8 de septiembre de 2006. </w:t>
      </w:r>
      <w:hyperlink r:id="rId7" w:history="1">
        <w:r w:rsidRPr="00D93236">
          <w:rPr>
            <w:rStyle w:val="Hyperlink"/>
            <w:rFonts w:asciiTheme="majorHAnsi" w:hAnsiTheme="majorHAnsi"/>
            <w:sz w:val="16"/>
            <w:szCs w:val="16"/>
            <w:lang w:val="es-US"/>
          </w:rPr>
          <w:t>A/RES/60/288</w:t>
        </w:r>
      </w:hyperlink>
      <w:r w:rsidRPr="00D93236">
        <w:rPr>
          <w:rFonts w:asciiTheme="majorHAnsi" w:hAnsiTheme="majorHAnsi"/>
          <w:sz w:val="16"/>
          <w:szCs w:val="16"/>
          <w:lang w:val="es-US"/>
        </w:rPr>
        <w:t xml:space="preserve"> </w:t>
      </w:r>
    </w:p>
  </w:footnote>
  <w:footnote w:id="61">
    <w:p w14:paraId="0126D95F" w14:textId="77777777" w:rsidR="005B3F8C" w:rsidRPr="00D93236" w:rsidRDefault="005B3F8C" w:rsidP="00E27260">
      <w:pPr>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Naciones Unidas. Informe del Relator Especial sobre la promoción y la protección de los derechos humanos y las libertades fundamentales en la lucha contra el terrorismo, Ben Emmerson Principios marco para asegurar los derechos humanos de las víctimas del terrorismo*. 4 de junio de 2012. </w:t>
      </w:r>
      <w:hyperlink r:id="rId8" w:history="1">
        <w:r w:rsidRPr="00D93236">
          <w:rPr>
            <w:rStyle w:val="Hyperlink"/>
            <w:rFonts w:asciiTheme="majorHAnsi" w:hAnsiTheme="majorHAnsi"/>
            <w:sz w:val="16"/>
            <w:szCs w:val="16"/>
            <w:lang w:val="es-ES"/>
          </w:rPr>
          <w:t>A/HRC/20/14</w:t>
        </w:r>
      </w:hyperlink>
      <w:r w:rsidRPr="00D93236">
        <w:rPr>
          <w:rFonts w:asciiTheme="majorHAnsi" w:hAnsiTheme="majorHAnsi"/>
          <w:sz w:val="16"/>
          <w:szCs w:val="16"/>
          <w:lang w:val="es-ES"/>
        </w:rPr>
        <w:t xml:space="preserve">, Párr. 18. </w:t>
      </w:r>
    </w:p>
  </w:footnote>
  <w:footnote w:id="62">
    <w:p w14:paraId="4A6DB8EC"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OEA, </w:t>
      </w:r>
      <w:hyperlink r:id="rId9" w:history="1">
        <w:r w:rsidRPr="00D93236">
          <w:rPr>
            <w:rStyle w:val="Hyperlink"/>
            <w:rFonts w:asciiTheme="majorHAnsi" w:hAnsiTheme="majorHAnsi" w:cs="Tahoma"/>
            <w:i/>
            <w:iCs/>
            <w:sz w:val="16"/>
            <w:szCs w:val="16"/>
            <w:lang w:val="es-ES"/>
          </w:rPr>
          <w:t>Convención para prevenir y sancionar los actos de terrorismo configurados en delitos contra las personas y la extorsión conexa cuando estos tengan trascendencia internacional</w:t>
        </w:r>
      </w:hyperlink>
      <w:r w:rsidRPr="00D93236">
        <w:rPr>
          <w:rStyle w:val="Strong"/>
          <w:rFonts w:asciiTheme="majorHAnsi" w:hAnsiTheme="majorHAnsi" w:cs="Tahoma"/>
          <w:b w:val="0"/>
          <w:bCs w:val="0"/>
          <w:sz w:val="16"/>
          <w:szCs w:val="16"/>
          <w:lang w:val="es-ES"/>
        </w:rPr>
        <w:t>, 2 de febrero de 1971.</w:t>
      </w:r>
      <w:r w:rsidRPr="00D93236">
        <w:rPr>
          <w:rStyle w:val="Strong"/>
          <w:rFonts w:asciiTheme="majorHAnsi" w:hAnsiTheme="majorHAnsi" w:cs="Tahoma"/>
          <w:b w:val="0"/>
          <w:bCs w:val="0"/>
          <w:i/>
          <w:iCs/>
          <w:sz w:val="16"/>
          <w:szCs w:val="16"/>
          <w:lang w:val="es-ES"/>
        </w:rPr>
        <w:t xml:space="preserve"> </w:t>
      </w:r>
      <w:r w:rsidRPr="00D93236">
        <w:rPr>
          <w:rFonts w:asciiTheme="majorHAnsi" w:hAnsiTheme="majorHAnsi"/>
          <w:sz w:val="16"/>
          <w:szCs w:val="16"/>
          <w:lang w:val="es-US"/>
        </w:rPr>
        <w:t xml:space="preserve"> </w:t>
      </w:r>
    </w:p>
  </w:footnote>
  <w:footnote w:id="63">
    <w:p w14:paraId="6E5C2467"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OEA, </w:t>
      </w:r>
      <w:hyperlink r:id="rId10" w:history="1">
        <w:r w:rsidRPr="00D93236">
          <w:rPr>
            <w:rStyle w:val="Hyperlink"/>
            <w:rFonts w:asciiTheme="majorHAnsi" w:hAnsiTheme="majorHAnsi"/>
            <w:sz w:val="16"/>
            <w:szCs w:val="16"/>
            <w:lang w:val="es-ES"/>
          </w:rPr>
          <w:t>Declaración de Lima para prevenir, combatir y eliminar el terrorismo</w:t>
        </w:r>
      </w:hyperlink>
      <w:r w:rsidRPr="00D93236">
        <w:rPr>
          <w:rFonts w:asciiTheme="majorHAnsi" w:hAnsiTheme="majorHAnsi"/>
          <w:sz w:val="16"/>
          <w:szCs w:val="16"/>
          <w:lang w:val="es-ES"/>
        </w:rPr>
        <w:t xml:space="preserve">. </w:t>
      </w:r>
    </w:p>
  </w:footnote>
  <w:footnote w:id="64">
    <w:p w14:paraId="5FED7396" w14:textId="77777777" w:rsidR="005B3F8C" w:rsidRPr="00D93236" w:rsidRDefault="005B3F8C" w:rsidP="00E27260">
      <w:pPr>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OEA, Convención Interamericana contra el Terrorismo. 3 de junio de 2002.  </w:t>
      </w:r>
    </w:p>
  </w:footnote>
  <w:footnote w:id="65">
    <w:p w14:paraId="3378182F"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93236">
        <w:rPr>
          <w:rFonts w:asciiTheme="majorHAnsi" w:eastAsia="Times New Roman" w:hAnsiTheme="majorHAnsi" w:cs="Times New Roman"/>
          <w:sz w:val="16"/>
          <w:szCs w:val="16"/>
          <w:lang w:val="es-ES" w:eastAsia="es-ES_tradnl"/>
        </w:rPr>
        <w:t xml:space="preserve">Dicha Convención fue adoptada con posterioridad al atentado a la AMIA por lo que su contenido presentado en este Informe no se tendrá en cuenta como fuente de obligaciones directas para el Estado argentino sin perjuicio de lo cual se considera pertinente referir a modo ilustrativo en vista de que representa el consenso de los Estados Americanos sobre la materia y la consagración de obligaciones pre existentes en un mismo tratado. </w:t>
      </w:r>
    </w:p>
  </w:footnote>
  <w:footnote w:id="66">
    <w:p w14:paraId="2144A2FC" w14:textId="77777777" w:rsidR="005B3F8C" w:rsidRPr="00D93236" w:rsidRDefault="005B3F8C" w:rsidP="00E27260">
      <w:pPr>
        <w:pStyle w:val="FootnoteText"/>
        <w:jc w:val="both"/>
        <w:rPr>
          <w:rFonts w:asciiTheme="majorHAnsi" w:hAnsiTheme="majorHAnsi"/>
          <w:sz w:val="16"/>
          <w:szCs w:val="16"/>
          <w:lang w:val="pt-BR"/>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CIDH, Informe sobre Terrorismo y Derechos Humanos. </w:t>
      </w:r>
      <w:r w:rsidRPr="00D93236">
        <w:rPr>
          <w:rFonts w:asciiTheme="majorHAnsi" w:hAnsiTheme="majorHAnsi"/>
          <w:sz w:val="16"/>
          <w:szCs w:val="16"/>
          <w:lang w:val="pt-BR"/>
        </w:rPr>
        <w:t>22 octubre 2002. Capítulo II A Párr. 33. Capítulo I A, Párr. 3.</w:t>
      </w:r>
    </w:p>
  </w:footnote>
  <w:footnote w:id="67">
    <w:p w14:paraId="612D6434"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CIDH, Informe sobre Terrorismo y Derechos Humanos. 22 octubre 2002. Capítulo II A Párr. 33. Capítulo II A Párr. 22.</w:t>
      </w:r>
    </w:p>
  </w:footnote>
  <w:footnote w:id="68">
    <w:p w14:paraId="256A03BF" w14:textId="77777777" w:rsidR="005B3F8C" w:rsidRPr="00D93236" w:rsidRDefault="005B3F8C" w:rsidP="00E27260">
      <w:pPr>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93236">
        <w:rPr>
          <w:rFonts w:asciiTheme="majorHAnsi" w:hAnsiTheme="majorHAnsi"/>
          <w:color w:val="000000"/>
          <w:sz w:val="16"/>
          <w:szCs w:val="16"/>
          <w:lang w:val="es-UY"/>
        </w:rPr>
        <w:t>Convención Interamericana contra el Terrorismo, nota 8,</w:t>
      </w:r>
      <w:r w:rsidRPr="00D93236">
        <w:rPr>
          <w:rStyle w:val="apple-converted-space"/>
          <w:rFonts w:asciiTheme="majorHAnsi" w:hAnsiTheme="majorHAnsi"/>
          <w:sz w:val="16"/>
          <w:szCs w:val="16"/>
          <w:lang w:val="es-UY"/>
        </w:rPr>
        <w:t> </w:t>
      </w:r>
      <w:r w:rsidRPr="00D93236">
        <w:rPr>
          <w:rFonts w:asciiTheme="majorHAnsi" w:hAnsiTheme="majorHAnsi"/>
          <w:i/>
          <w:iCs/>
          <w:color w:val="000000"/>
          <w:sz w:val="16"/>
          <w:szCs w:val="16"/>
          <w:lang w:val="es-UY"/>
        </w:rPr>
        <w:t>supra</w:t>
      </w:r>
      <w:r w:rsidRPr="00D93236">
        <w:rPr>
          <w:rFonts w:asciiTheme="majorHAnsi" w:hAnsiTheme="majorHAnsi"/>
          <w:color w:val="000000"/>
          <w:sz w:val="16"/>
          <w:szCs w:val="16"/>
          <w:lang w:val="es-UY"/>
        </w:rPr>
        <w:t>, artículo 2 (1) que estipula: “</w:t>
      </w:r>
      <w:r w:rsidRPr="00D93236">
        <w:rPr>
          <w:rFonts w:asciiTheme="majorHAnsi" w:hAnsiTheme="majorHAnsi"/>
          <w:color w:val="000000"/>
          <w:sz w:val="16"/>
          <w:szCs w:val="16"/>
          <w:lang w:val="es-ES"/>
        </w:rPr>
        <w:t>1. Para los propósitos de esta Convención, se entiende por</w:t>
      </w:r>
      <w:r w:rsidRPr="00D93236">
        <w:rPr>
          <w:rStyle w:val="apple-converted-space"/>
          <w:rFonts w:asciiTheme="majorHAnsi" w:hAnsiTheme="majorHAnsi"/>
          <w:sz w:val="16"/>
          <w:szCs w:val="16"/>
          <w:lang w:val="es-ES"/>
        </w:rPr>
        <w:t> </w:t>
      </w:r>
      <w:r w:rsidRPr="00D93236">
        <w:rPr>
          <w:rFonts w:asciiTheme="majorHAnsi" w:hAnsiTheme="majorHAnsi"/>
          <w:color w:val="000000"/>
          <w:sz w:val="16"/>
          <w:szCs w:val="16"/>
          <w:lang w:val="es-US"/>
        </w:rPr>
        <w:t>‘</w:t>
      </w:r>
      <w:r w:rsidRPr="00D93236">
        <w:rPr>
          <w:rFonts w:asciiTheme="majorHAnsi" w:hAnsiTheme="majorHAnsi"/>
          <w:color w:val="000000"/>
          <w:sz w:val="16"/>
          <w:szCs w:val="16"/>
          <w:lang w:val="es-ES"/>
        </w:rPr>
        <w:t>delito’ aquellos establecidos en los instrumentos internacionales que se indican a continuación: a. Convenio para la represión del apoderamiento ilícito de aeronaves, firmado en La Haya el 16 de diciembre de 1970. b. Convenio para la represión de actos ilícitos contra la seguridad de la aviación civil, firmado en Montreal el 23 de septiembre de 1971. c. Convención sobre la prevención y el castigo de delitos contra personas internacionalmente protegidas, inclusive los agentes diplomáticos, aprobada por la Asamblea General de las Naciones Unidas el 14 de diciembre de 1973. d. Convención Internacional contra la toma de rehenes, aprobada por la Asamblea General de las Naciones Unidas el 17 de diciembre de 1979. e.  Convenio sobre la protección física de los materiales nucleares, firmado en Viena el 3 de marzo de 1980. f. Protocolo para la represión de actos ilícitos de violencia en los aeropuertos que prestan servicios a la aviación civil internacional, complementario del Convenio para la represión de actos ilícitos contra la seguridad de la aviación civil, firmado en Montreal el 24 de febrero de 1988. g.  Convenio para la represión de actos ilícitos contra la seguridad de la navegación marítima, hecho en Roma el 10 de marzo de 1988. h. Protocolo para la represión de actos ilícitos contra la seguridad de las plataformas fijas emplazadas en la plataforma continental, </w:t>
      </w:r>
      <w:r w:rsidRPr="00D93236">
        <w:rPr>
          <w:rStyle w:val="apple-converted-space"/>
          <w:rFonts w:asciiTheme="majorHAnsi" w:hAnsiTheme="majorHAnsi"/>
          <w:sz w:val="16"/>
          <w:szCs w:val="16"/>
          <w:lang w:val="es-ES"/>
        </w:rPr>
        <w:t>hecho</w:t>
      </w:r>
      <w:r w:rsidRPr="00D93236">
        <w:rPr>
          <w:rFonts w:asciiTheme="majorHAnsi" w:hAnsiTheme="majorHAnsi"/>
          <w:color w:val="000000"/>
          <w:sz w:val="16"/>
          <w:szCs w:val="16"/>
          <w:lang w:val="es-ES"/>
        </w:rPr>
        <w:t xml:space="preserve"> en Roma el 10 de marzo de 1988. i. Convenio Internacional para la represión de los atentados terroristas cometidos con bombas, aprobado por la Asamblea General de las Naciones Unidas el 15 de diciembre de 1997. J. Convenio Internacional para la represión de la financiación del terrorismo, aprobado por la Asamblea General de las Naciones Unidas el 9 de diciembre de 1999. </w:t>
      </w:r>
      <w:r w:rsidRPr="00D93236">
        <w:rPr>
          <w:rStyle w:val="apple-converted-space"/>
          <w:rFonts w:asciiTheme="majorHAnsi" w:hAnsiTheme="majorHAnsi"/>
          <w:sz w:val="16"/>
          <w:szCs w:val="16"/>
          <w:lang w:val="es-ES"/>
        </w:rPr>
        <w:t> </w:t>
      </w:r>
      <w:r w:rsidRPr="00D93236">
        <w:rPr>
          <w:rFonts w:asciiTheme="majorHAnsi" w:hAnsiTheme="majorHAnsi"/>
          <w:color w:val="000000"/>
          <w:sz w:val="16"/>
          <w:szCs w:val="16"/>
          <w:lang w:val="es-ES"/>
        </w:rPr>
        <w:t>2. Al depositar su instrumento de ratificación a la presente Convención, el Estado que no sea parte de uno o más de los instrumentos internacionales enumerados en el párrafo 1 de este artículo podrá declarar que, en la aplicación de esta Convención a ese Estado Parte, ese instrumento no se considerará incluido en el referido párrafo. La declaración cesará en sus efectos cuando dicho instrumento entre en vigor para ese Estado Parte, el cual notificará al depositario de este hecho. 3. Cuando un Estado Parte deje de ser parte de uno de los instrumentos internacionales enumerados en el párrafo 1 de este artículo, podrá hacer una declaración con respecto a ese instrumento, tal como se dispone en el párrafo 2 de este artículo”.</w:t>
      </w:r>
    </w:p>
  </w:footnote>
  <w:footnote w:id="69">
    <w:p w14:paraId="6F1E7C98"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CIDH, Informe sobre Terrorismo y Derechos Humanos. 22 octubre 2002. Capítulo II A </w:t>
      </w:r>
      <w:r w:rsidRPr="00D93236">
        <w:rPr>
          <w:rFonts w:asciiTheme="majorHAnsi" w:hAnsiTheme="majorHAnsi"/>
          <w:sz w:val="16"/>
          <w:szCs w:val="16"/>
          <w:lang w:val="es-ES"/>
        </w:rPr>
        <w:t>Párr. 33. Capítulo II A Párr. 22.</w:t>
      </w:r>
    </w:p>
  </w:footnote>
  <w:footnote w:id="70">
    <w:p w14:paraId="7F9EB49F"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Naciones Unidas. Informe del Relator Especial sobre la promoción y la protección de los derechos humanos y las libertades fundamentales en la lucha contra el terrorismo, Ben Emmerson Principios marco para asegurar los derechos humanos de las víctimas del terrorismo*. 4 de junio de 2012. </w:t>
      </w:r>
      <w:hyperlink r:id="rId11" w:history="1">
        <w:r w:rsidRPr="00D93236">
          <w:rPr>
            <w:rStyle w:val="Hyperlink"/>
            <w:rFonts w:asciiTheme="majorHAnsi" w:hAnsiTheme="majorHAnsi"/>
            <w:sz w:val="16"/>
            <w:szCs w:val="16"/>
            <w:lang w:val="es-ES"/>
          </w:rPr>
          <w:t>A/HRC/20/14</w:t>
        </w:r>
      </w:hyperlink>
      <w:r w:rsidRPr="00D93236">
        <w:rPr>
          <w:rFonts w:asciiTheme="majorHAnsi" w:hAnsiTheme="majorHAnsi"/>
          <w:sz w:val="16"/>
          <w:szCs w:val="16"/>
          <w:lang w:val="es-ES"/>
        </w:rPr>
        <w:t>, Párr. 20.</w:t>
      </w:r>
    </w:p>
  </w:footnote>
  <w:footnote w:id="71">
    <w:p w14:paraId="06843D10"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Naciones Unidas. </w:t>
      </w:r>
      <w:r w:rsidRPr="00D93236">
        <w:rPr>
          <w:rFonts w:asciiTheme="majorHAnsi" w:eastAsia="Times New Roman" w:hAnsiTheme="majorHAnsi" w:cs="Times New Roman"/>
          <w:sz w:val="16"/>
          <w:szCs w:val="16"/>
          <w:lang w:val="es-ES" w:eastAsia="es-ES_tradnl"/>
        </w:rPr>
        <w:t xml:space="preserve">Informe del Relator Especial sobre la promoción y la protección de los derechos humanos y las libertades fundamentales en la lucha contra el terrorismo, Ben Emmerson Principios marco para asegurar los derechos humanos de las víctimas del terrorismo*. 4 de junio de 2012. </w:t>
      </w:r>
      <w:hyperlink r:id="rId12" w:history="1">
        <w:r w:rsidRPr="00D93236">
          <w:rPr>
            <w:rStyle w:val="Hyperlink"/>
            <w:rFonts w:asciiTheme="majorHAnsi" w:eastAsia="Times New Roman" w:hAnsiTheme="majorHAnsi" w:cs="Times New Roman"/>
            <w:sz w:val="16"/>
            <w:szCs w:val="16"/>
            <w:lang w:val="es-ES" w:eastAsia="es-ES_tradnl"/>
          </w:rPr>
          <w:t>A/HRC/20/14</w:t>
        </w:r>
      </w:hyperlink>
      <w:r w:rsidRPr="00D93236">
        <w:rPr>
          <w:rFonts w:asciiTheme="majorHAnsi" w:eastAsia="Times New Roman" w:hAnsiTheme="majorHAnsi" w:cs="Times New Roman"/>
          <w:sz w:val="16"/>
          <w:szCs w:val="16"/>
          <w:lang w:val="es-ES" w:eastAsia="es-ES_tradnl"/>
        </w:rPr>
        <w:t>, Párr. 20.</w:t>
      </w:r>
    </w:p>
  </w:footnote>
  <w:footnote w:id="72">
    <w:p w14:paraId="1A2747B0"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Naciones Unidas. </w:t>
      </w:r>
      <w:r w:rsidRPr="00D93236">
        <w:rPr>
          <w:rFonts w:asciiTheme="majorHAnsi" w:eastAsia="Times New Roman" w:hAnsiTheme="majorHAnsi" w:cs="Times New Roman"/>
          <w:sz w:val="16"/>
          <w:szCs w:val="16"/>
          <w:lang w:val="es-ES" w:eastAsia="es-ES_tradnl"/>
        </w:rPr>
        <w:t xml:space="preserve">Informe del Relator Especial sobre la promoción y la protección de los derechos humanos y las libertades fundamentales en la lucha contra el terrorismo, Ben Emmerson Principios marco para asegurar los derechos humanos de las víctimas del terrorismo*. 4 de junio de 2012. </w:t>
      </w:r>
      <w:hyperlink r:id="rId13" w:history="1">
        <w:r w:rsidRPr="00D93236">
          <w:rPr>
            <w:rStyle w:val="Hyperlink"/>
            <w:rFonts w:asciiTheme="majorHAnsi" w:eastAsia="Times New Roman" w:hAnsiTheme="majorHAnsi" w:cs="Times New Roman"/>
            <w:sz w:val="16"/>
            <w:szCs w:val="16"/>
            <w:lang w:val="es-ES" w:eastAsia="es-ES_tradnl"/>
          </w:rPr>
          <w:t>A/HRC/20/14</w:t>
        </w:r>
      </w:hyperlink>
      <w:r w:rsidRPr="00D93236">
        <w:rPr>
          <w:rFonts w:asciiTheme="majorHAnsi" w:eastAsia="Times New Roman" w:hAnsiTheme="majorHAnsi" w:cs="Times New Roman"/>
          <w:sz w:val="16"/>
          <w:szCs w:val="16"/>
          <w:lang w:val="es-ES" w:eastAsia="es-ES_tradnl"/>
        </w:rPr>
        <w:t>, Párr. 21.</w:t>
      </w:r>
    </w:p>
  </w:footnote>
  <w:footnote w:id="73">
    <w:p w14:paraId="6FF5D93E"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Naciones Unidas. </w:t>
      </w:r>
      <w:r w:rsidRPr="00D93236">
        <w:rPr>
          <w:rFonts w:asciiTheme="majorHAnsi" w:eastAsia="Times New Roman" w:hAnsiTheme="majorHAnsi" w:cs="Times New Roman"/>
          <w:sz w:val="16"/>
          <w:szCs w:val="16"/>
          <w:lang w:val="es-ES" w:eastAsia="es-ES_tradnl"/>
        </w:rPr>
        <w:t xml:space="preserve">Informe del Relator Especial sobre la promoción y la protección de los derechos humanos y las libertades fundamentales en la lucha contra el terrorismo, Ben Emmerson Principios marco para asegurar los derechos humanos de las víctimas del terrorismo*. 4 de junio de 2012. </w:t>
      </w:r>
      <w:hyperlink r:id="rId14" w:history="1">
        <w:r w:rsidRPr="00D93236">
          <w:rPr>
            <w:rStyle w:val="Hyperlink"/>
            <w:rFonts w:asciiTheme="majorHAnsi" w:eastAsia="Times New Roman" w:hAnsiTheme="majorHAnsi" w:cs="Times New Roman"/>
            <w:sz w:val="16"/>
            <w:szCs w:val="16"/>
            <w:lang w:val="es-ES" w:eastAsia="es-ES_tradnl"/>
          </w:rPr>
          <w:t>A/HRC/20/14</w:t>
        </w:r>
      </w:hyperlink>
      <w:r w:rsidRPr="00D93236">
        <w:rPr>
          <w:rFonts w:asciiTheme="majorHAnsi" w:eastAsia="Times New Roman" w:hAnsiTheme="majorHAnsi" w:cs="Times New Roman"/>
          <w:sz w:val="16"/>
          <w:szCs w:val="16"/>
          <w:lang w:val="es-ES" w:eastAsia="es-ES_tradnl"/>
        </w:rPr>
        <w:t>, Párr. 22.</w:t>
      </w:r>
    </w:p>
  </w:footnote>
  <w:footnote w:id="74">
    <w:p w14:paraId="459C031A"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Corte Suprema de la Justicia de la Nación. Comunicado “</w:t>
      </w:r>
      <w:hyperlink r:id="rId15" w:history="1">
        <w:r w:rsidRPr="00D93236">
          <w:rPr>
            <w:rStyle w:val="Hyperlink"/>
            <w:rFonts w:asciiTheme="majorHAnsi" w:hAnsiTheme="majorHAnsi"/>
            <w:sz w:val="16"/>
            <w:szCs w:val="16"/>
            <w:lang w:val="es-US"/>
          </w:rPr>
          <w:t>Informe sobre el estado de la causa relativa al atentado de la Embajada de Israel</w:t>
        </w:r>
      </w:hyperlink>
      <w:r w:rsidRPr="00D93236">
        <w:rPr>
          <w:rStyle w:val="Hyperlink"/>
          <w:rFonts w:asciiTheme="majorHAnsi" w:hAnsiTheme="majorHAnsi"/>
          <w:sz w:val="16"/>
          <w:szCs w:val="16"/>
          <w:lang w:val="es-US"/>
        </w:rPr>
        <w:t>”</w:t>
      </w:r>
      <w:r w:rsidRPr="00D93236">
        <w:rPr>
          <w:rFonts w:asciiTheme="majorHAnsi" w:hAnsiTheme="majorHAnsi"/>
          <w:sz w:val="16"/>
          <w:szCs w:val="16"/>
          <w:lang w:val="es-US"/>
        </w:rPr>
        <w:t xml:space="preserve">. 4 de marzo de 2015. </w:t>
      </w:r>
    </w:p>
  </w:footnote>
  <w:footnote w:id="75">
    <w:p w14:paraId="0D2FE5B9"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Corte Suprema de la Justicia de la Nación. Comunicado “</w:t>
      </w:r>
      <w:hyperlink r:id="rId16" w:history="1">
        <w:r w:rsidRPr="00D93236">
          <w:rPr>
            <w:rStyle w:val="Hyperlink"/>
            <w:rFonts w:asciiTheme="majorHAnsi" w:hAnsiTheme="majorHAnsi"/>
            <w:sz w:val="16"/>
            <w:szCs w:val="16"/>
            <w:lang w:val="es-US"/>
          </w:rPr>
          <w:t>Informe sobre el estado de la causa relativa al atentado de la Embajada de Israel</w:t>
        </w:r>
      </w:hyperlink>
      <w:r w:rsidRPr="00D93236">
        <w:rPr>
          <w:rStyle w:val="Hyperlink"/>
          <w:rFonts w:asciiTheme="majorHAnsi" w:hAnsiTheme="majorHAnsi"/>
          <w:sz w:val="16"/>
          <w:szCs w:val="16"/>
          <w:lang w:val="es-US"/>
        </w:rPr>
        <w:t>”</w:t>
      </w:r>
      <w:r w:rsidRPr="00D93236">
        <w:rPr>
          <w:rFonts w:asciiTheme="majorHAnsi" w:hAnsiTheme="majorHAnsi"/>
          <w:sz w:val="16"/>
          <w:szCs w:val="16"/>
          <w:lang w:val="es-US"/>
        </w:rPr>
        <w:t>. 4 de marzo de 2015.</w:t>
      </w:r>
    </w:p>
  </w:footnote>
  <w:footnote w:id="76">
    <w:p w14:paraId="018CA58E" w14:textId="77777777" w:rsidR="005B3F8C" w:rsidRPr="00D93236" w:rsidRDefault="005B3F8C" w:rsidP="00E27260">
      <w:pPr>
        <w:pStyle w:val="Default"/>
        <w:jc w:val="both"/>
        <w:rPr>
          <w:rFonts w:asciiTheme="majorHAnsi" w:hAnsiTheme="majorHAnsi"/>
          <w:sz w:val="16"/>
          <w:szCs w:val="16"/>
          <w:lang w:val="es-US"/>
        </w:rPr>
      </w:pPr>
      <w:r w:rsidRPr="00D93236">
        <w:rPr>
          <w:rStyle w:val="FootnoteReference"/>
          <w:rFonts w:asciiTheme="majorHAnsi" w:eastAsia="Trebuchet MS" w:hAnsiTheme="majorHAnsi"/>
          <w:sz w:val="16"/>
          <w:szCs w:val="16"/>
        </w:rPr>
        <w:footnoteRef/>
      </w:r>
      <w:r w:rsidRPr="00D93236">
        <w:rPr>
          <w:rFonts w:asciiTheme="majorHAnsi" w:hAnsiTheme="majorHAnsi"/>
          <w:sz w:val="16"/>
          <w:szCs w:val="16"/>
          <w:lang w:val="es-US"/>
        </w:rPr>
        <w:t xml:space="preserve"> Al respecto la sentencia del TOF 3 explica “El deslinde entre las jurisdicciones de las comisarías 5ª y 7ª era, precisamente, la calle Pasteur, abarcando desde la línea de edificación hacia los fondos a la primera, mientras que la calle y la vereda se hallaban en la órbita de la segunda. Por tal motivo, la dotación del móvil estaba compuesta por policías de ambas dependencias; el chofer del móvil pertenecía a la comisaría 7ª mientras que el suboficial a cargo de la unidad revistaba en la otra dependencia”.</w:t>
      </w:r>
      <w:r>
        <w:rPr>
          <w:rFonts w:asciiTheme="majorHAnsi" w:hAnsiTheme="majorHAnsi"/>
          <w:sz w:val="16"/>
          <w:szCs w:val="16"/>
          <w:lang w:val="es-US"/>
        </w:rPr>
        <w:t xml:space="preserve"> Anexo 2.</w:t>
      </w:r>
      <w:r w:rsidRPr="00D93236">
        <w:rPr>
          <w:rFonts w:asciiTheme="majorHAnsi" w:hAnsiTheme="majorHAnsi"/>
          <w:sz w:val="16"/>
          <w:szCs w:val="16"/>
          <w:lang w:val="es-US"/>
        </w:rPr>
        <w:t xml:space="preserve"> </w:t>
      </w:r>
      <w:r w:rsidRPr="00D93236">
        <w:rPr>
          <w:rFonts w:asciiTheme="majorHAnsi" w:hAnsiTheme="majorHAnsi"/>
          <w:sz w:val="16"/>
          <w:szCs w:val="16"/>
          <w:lang w:val="es-AR"/>
        </w:rPr>
        <w:t>Sentencia del TOF 3. Capitulo V.A. pag 2358. Anexo 1 a la comunicación de la parte peticionaria de fecha 11 de noviembre de 2019.</w:t>
      </w:r>
    </w:p>
  </w:footnote>
  <w:footnote w:id="77">
    <w:p w14:paraId="0BB7E6AC" w14:textId="77777777" w:rsidR="005B3F8C" w:rsidRPr="00D93236" w:rsidRDefault="005B3F8C" w:rsidP="00B07258">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Pr>
          <w:rFonts w:asciiTheme="majorHAnsi" w:hAnsiTheme="majorHAnsi"/>
          <w:sz w:val="16"/>
          <w:szCs w:val="16"/>
          <w:lang w:val="es-AR"/>
        </w:rPr>
        <w:t xml:space="preserve">Anexo 2. </w:t>
      </w:r>
      <w:r w:rsidRPr="00D93236">
        <w:rPr>
          <w:rFonts w:asciiTheme="majorHAnsi" w:hAnsiTheme="majorHAnsi"/>
          <w:sz w:val="16"/>
          <w:szCs w:val="16"/>
          <w:lang w:val="es-AR"/>
        </w:rPr>
        <w:t>Sent</w:t>
      </w:r>
      <w:r>
        <w:rPr>
          <w:rFonts w:asciiTheme="majorHAnsi" w:hAnsiTheme="majorHAnsi"/>
          <w:sz w:val="16"/>
          <w:szCs w:val="16"/>
          <w:lang w:val="es-AR"/>
        </w:rPr>
        <w:t>encia del TOF 3. Capítulo V.A. P</w:t>
      </w:r>
      <w:r w:rsidRPr="00D93236">
        <w:rPr>
          <w:rFonts w:asciiTheme="majorHAnsi" w:hAnsiTheme="majorHAnsi"/>
          <w:sz w:val="16"/>
          <w:szCs w:val="16"/>
          <w:lang w:val="es-AR"/>
        </w:rPr>
        <w:t>ág. 2359. Anexo 1 a la comunicación de la parte peticionaria de fecha 11 de noviembre de 2019.</w:t>
      </w:r>
    </w:p>
  </w:footnote>
  <w:footnote w:id="78">
    <w:p w14:paraId="2918FCCC" w14:textId="77777777" w:rsidR="005B3F8C" w:rsidRPr="00D93236" w:rsidRDefault="005B3F8C" w:rsidP="008B6848">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Pr>
          <w:rFonts w:asciiTheme="majorHAnsi" w:hAnsiTheme="majorHAnsi"/>
          <w:sz w:val="16"/>
          <w:szCs w:val="16"/>
          <w:lang w:val="es-AR"/>
        </w:rPr>
        <w:t xml:space="preserve">Anexo 2. </w:t>
      </w:r>
      <w:r w:rsidRPr="00D93236">
        <w:rPr>
          <w:rFonts w:asciiTheme="majorHAnsi" w:hAnsiTheme="majorHAnsi"/>
          <w:sz w:val="16"/>
          <w:szCs w:val="16"/>
          <w:lang w:val="es-AR"/>
        </w:rPr>
        <w:t>Sentencia del TOF 3. Capítulo XIV</w:t>
      </w:r>
      <w:r>
        <w:rPr>
          <w:rFonts w:asciiTheme="majorHAnsi" w:hAnsiTheme="majorHAnsi"/>
          <w:sz w:val="16"/>
          <w:szCs w:val="16"/>
          <w:lang w:val="es-AR"/>
        </w:rPr>
        <w:t>. P</w:t>
      </w:r>
      <w:r w:rsidRPr="00D93236">
        <w:rPr>
          <w:rFonts w:asciiTheme="majorHAnsi" w:hAnsiTheme="majorHAnsi"/>
          <w:sz w:val="16"/>
          <w:szCs w:val="16"/>
          <w:lang w:val="es-AR"/>
        </w:rPr>
        <w:t>ág. 4593. Anexo 1 a la comunicación de la parte peticionaria de fecha 11 de noviembre de 2019.</w:t>
      </w:r>
    </w:p>
  </w:footnote>
  <w:footnote w:id="79">
    <w:p w14:paraId="3EA6F8CF" w14:textId="77777777" w:rsidR="005B3F8C" w:rsidRPr="00D93236" w:rsidRDefault="005B3F8C" w:rsidP="008B6848">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Pr>
          <w:rFonts w:asciiTheme="majorHAnsi" w:hAnsiTheme="majorHAnsi"/>
          <w:sz w:val="16"/>
          <w:szCs w:val="16"/>
          <w:lang w:val="es-US"/>
        </w:rPr>
        <w:t xml:space="preserve">Anexo 2. </w:t>
      </w:r>
      <w:r w:rsidRPr="00D93236">
        <w:rPr>
          <w:rFonts w:asciiTheme="majorHAnsi" w:hAnsiTheme="majorHAnsi"/>
          <w:sz w:val="16"/>
          <w:szCs w:val="16"/>
          <w:lang w:val="es-AR"/>
        </w:rPr>
        <w:t>Sentencia del TOF 3. Capítu</w:t>
      </w:r>
      <w:r>
        <w:rPr>
          <w:rFonts w:asciiTheme="majorHAnsi" w:hAnsiTheme="majorHAnsi"/>
          <w:sz w:val="16"/>
          <w:szCs w:val="16"/>
          <w:lang w:val="es-AR"/>
        </w:rPr>
        <w:t>lo XIV. P</w:t>
      </w:r>
      <w:r w:rsidRPr="00D93236">
        <w:rPr>
          <w:rFonts w:asciiTheme="majorHAnsi" w:hAnsiTheme="majorHAnsi"/>
          <w:sz w:val="16"/>
          <w:szCs w:val="16"/>
          <w:lang w:val="es-AR"/>
        </w:rPr>
        <w:t>ág. 4593. Anexo 1 a la comunicación de la parte peticionaria de fecha 11 de noviembre de 2019.</w:t>
      </w:r>
    </w:p>
  </w:footnote>
  <w:footnote w:id="80">
    <w:p w14:paraId="26A40577" w14:textId="77777777" w:rsidR="005B3F8C" w:rsidRPr="00D93236" w:rsidRDefault="005B3F8C" w:rsidP="008B6848">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Pr>
          <w:rFonts w:asciiTheme="majorHAnsi" w:hAnsiTheme="majorHAnsi"/>
          <w:sz w:val="16"/>
          <w:szCs w:val="16"/>
          <w:lang w:val="es-US"/>
        </w:rPr>
        <w:t xml:space="preserve">Anexo 2. </w:t>
      </w:r>
      <w:r w:rsidRPr="00D93236">
        <w:rPr>
          <w:rFonts w:asciiTheme="majorHAnsi" w:hAnsiTheme="majorHAnsi"/>
          <w:sz w:val="16"/>
          <w:szCs w:val="16"/>
          <w:lang w:val="es-AR"/>
        </w:rPr>
        <w:t>Sentencia del TOF 3. Capítulo VI, pag 2642. Anexo 1 a la comunicación de la parte peticionaria de fecha 11 de noviembre de 2019.</w:t>
      </w:r>
    </w:p>
  </w:footnote>
  <w:footnote w:id="81">
    <w:p w14:paraId="7D72635E" w14:textId="77777777" w:rsidR="005B3F8C" w:rsidRPr="00D93236" w:rsidRDefault="005B3F8C" w:rsidP="008B6848">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Pr>
          <w:rFonts w:asciiTheme="majorHAnsi" w:hAnsiTheme="majorHAnsi"/>
          <w:sz w:val="16"/>
          <w:szCs w:val="16"/>
          <w:lang w:val="es-US"/>
        </w:rPr>
        <w:t xml:space="preserve">Anexo 2. </w:t>
      </w:r>
      <w:r w:rsidRPr="00D93236">
        <w:rPr>
          <w:rFonts w:asciiTheme="majorHAnsi" w:hAnsiTheme="majorHAnsi"/>
          <w:sz w:val="16"/>
          <w:szCs w:val="16"/>
          <w:lang w:val="es-AR"/>
        </w:rPr>
        <w:t>Sentencia del TOF 3. Capítulo VI, pag 2648. Anexo 1 a la comunicación de la parte peticionaria de fecha 11 de noviembre de 2019.</w:t>
      </w:r>
    </w:p>
  </w:footnote>
  <w:footnote w:id="82">
    <w:p w14:paraId="285B15BF" w14:textId="77777777" w:rsidR="005B3F8C" w:rsidRPr="00D93236" w:rsidRDefault="005B3F8C" w:rsidP="008B6848">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Pr>
          <w:rFonts w:asciiTheme="majorHAnsi" w:hAnsiTheme="majorHAnsi"/>
          <w:sz w:val="16"/>
          <w:szCs w:val="16"/>
          <w:lang w:val="es-US"/>
        </w:rPr>
        <w:t xml:space="preserve">Anexo 2. </w:t>
      </w:r>
      <w:r w:rsidRPr="00D93236">
        <w:rPr>
          <w:rFonts w:asciiTheme="majorHAnsi" w:hAnsiTheme="majorHAnsi"/>
          <w:sz w:val="16"/>
          <w:szCs w:val="16"/>
          <w:lang w:val="es-AR"/>
        </w:rPr>
        <w:t>Sentencia del TOF 3. Capítulo V.A, pag 2360 y 2361. Anexo 1 a la comunicación de la parte peticionaria de fecha 11 de noviembre de 2019.</w:t>
      </w:r>
    </w:p>
  </w:footnote>
  <w:footnote w:id="83">
    <w:p w14:paraId="495DF8F5" w14:textId="77777777" w:rsidR="005B3F8C" w:rsidRPr="00D93236" w:rsidRDefault="005B3F8C" w:rsidP="008B6848">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Pr>
          <w:rFonts w:asciiTheme="majorHAnsi" w:hAnsiTheme="majorHAnsi"/>
          <w:sz w:val="16"/>
          <w:szCs w:val="16"/>
          <w:lang w:val="es-US"/>
        </w:rPr>
        <w:t xml:space="preserve">Anexo 1. </w:t>
      </w:r>
      <w:r w:rsidRPr="00D93236">
        <w:rPr>
          <w:rFonts w:asciiTheme="majorHAnsi" w:hAnsiTheme="majorHAnsi"/>
          <w:sz w:val="16"/>
          <w:szCs w:val="16"/>
          <w:lang w:val="es-AR"/>
        </w:rPr>
        <w:t>Informe Grossman. Págs. 3. Anexo 5 a la comunicación de la parte peticionaria de fecha 11 de noviembre de 2019.</w:t>
      </w:r>
    </w:p>
  </w:footnote>
  <w:footnote w:id="84">
    <w:p w14:paraId="3524AE2A" w14:textId="77777777" w:rsidR="005B3F8C" w:rsidRPr="00D93236" w:rsidRDefault="005B3F8C" w:rsidP="008B6848">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Pr>
          <w:rFonts w:asciiTheme="majorHAnsi" w:hAnsiTheme="majorHAnsi"/>
          <w:sz w:val="16"/>
          <w:szCs w:val="16"/>
          <w:lang w:val="es-AR"/>
        </w:rPr>
        <w:t xml:space="preserve">Anexo 1. </w:t>
      </w:r>
      <w:r w:rsidRPr="00D93236">
        <w:rPr>
          <w:rFonts w:asciiTheme="majorHAnsi" w:hAnsiTheme="majorHAnsi"/>
          <w:sz w:val="16"/>
          <w:szCs w:val="16"/>
          <w:lang w:val="es-AR"/>
        </w:rPr>
        <w:t>Informe Grossman. Págs. 3. Anexo 5 a la comunicación de la parte peticionaria de fecha 11 de noviembre de 2019.</w:t>
      </w:r>
    </w:p>
  </w:footnote>
  <w:footnote w:id="85">
    <w:p w14:paraId="5B3A4EF5" w14:textId="77777777" w:rsidR="005B3F8C" w:rsidRPr="00D93236" w:rsidRDefault="005B3F8C" w:rsidP="008B6848">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Pr>
          <w:rFonts w:asciiTheme="majorHAnsi" w:hAnsiTheme="majorHAnsi"/>
          <w:sz w:val="16"/>
          <w:szCs w:val="16"/>
          <w:lang w:val="es-US"/>
        </w:rPr>
        <w:t xml:space="preserve">Comunicación de la parte peticionaria de fecha </w:t>
      </w:r>
      <w:r w:rsidRPr="00D93236">
        <w:rPr>
          <w:rFonts w:asciiTheme="majorHAnsi" w:hAnsiTheme="majorHAnsi"/>
          <w:sz w:val="16"/>
          <w:szCs w:val="16"/>
          <w:lang w:val="es-US"/>
        </w:rPr>
        <w:t>11 de noviembre de 2019. Página 105.</w:t>
      </w:r>
    </w:p>
  </w:footnote>
  <w:footnote w:id="86">
    <w:p w14:paraId="66F3F4B4" w14:textId="77777777" w:rsidR="005B3F8C" w:rsidRPr="00D93236" w:rsidRDefault="005B3F8C" w:rsidP="008B6848">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Pr>
          <w:rFonts w:asciiTheme="majorHAnsi" w:hAnsiTheme="majorHAnsi"/>
          <w:sz w:val="16"/>
          <w:szCs w:val="16"/>
          <w:lang w:val="es-US"/>
        </w:rPr>
        <w:t xml:space="preserve"> Comunicación de la parte peticionaria de fecha</w:t>
      </w:r>
      <w:r w:rsidRPr="00D93236">
        <w:rPr>
          <w:rFonts w:asciiTheme="majorHAnsi" w:hAnsiTheme="majorHAnsi"/>
          <w:sz w:val="16"/>
          <w:szCs w:val="16"/>
          <w:lang w:val="es-US"/>
        </w:rPr>
        <w:t xml:space="preserve"> 11 de noviembre de 2019. Página 105.</w:t>
      </w:r>
    </w:p>
  </w:footnote>
  <w:footnote w:id="87">
    <w:p w14:paraId="37FF8637" w14:textId="77777777" w:rsidR="005B3F8C" w:rsidRPr="00D93236" w:rsidRDefault="005B3F8C" w:rsidP="00E27260">
      <w:pPr>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Naciones Unidas. Informe del Relator Especial sobre la promoción y la protección de los derechos humanos y las libertades fundamentales en la lucha contra el terrorismo, Ben Emmerson Principios marco para asegurar los derechos humanos de las víctimas del terrorismo*. 4 de junio de 2012. </w:t>
      </w:r>
      <w:hyperlink r:id="rId17" w:history="1">
        <w:r w:rsidRPr="00D93236">
          <w:rPr>
            <w:rStyle w:val="Hyperlink"/>
            <w:rFonts w:asciiTheme="majorHAnsi" w:hAnsiTheme="majorHAnsi"/>
            <w:sz w:val="16"/>
            <w:szCs w:val="16"/>
            <w:lang w:val="es-ES"/>
          </w:rPr>
          <w:t>A/HRC/20/14</w:t>
        </w:r>
      </w:hyperlink>
      <w:r w:rsidRPr="00D93236">
        <w:rPr>
          <w:rFonts w:asciiTheme="majorHAnsi" w:hAnsiTheme="majorHAnsi"/>
          <w:sz w:val="16"/>
          <w:szCs w:val="16"/>
          <w:lang w:val="es-ES"/>
        </w:rPr>
        <w:t xml:space="preserve">, Párr. 18. </w:t>
      </w:r>
    </w:p>
  </w:footnote>
  <w:footnote w:id="88">
    <w:p w14:paraId="60CCCA3D"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Pr>
          <w:rFonts w:asciiTheme="majorHAnsi" w:hAnsiTheme="majorHAnsi"/>
          <w:sz w:val="16"/>
          <w:szCs w:val="16"/>
          <w:lang w:val="es-US"/>
        </w:rPr>
        <w:t xml:space="preserve">Anexo 2. </w:t>
      </w:r>
      <w:r w:rsidRPr="00D93236">
        <w:rPr>
          <w:rFonts w:asciiTheme="majorHAnsi" w:hAnsiTheme="majorHAnsi"/>
          <w:sz w:val="16"/>
          <w:szCs w:val="16"/>
          <w:lang w:val="es-AR"/>
        </w:rPr>
        <w:t>Sentencia del TOF 3. Capítulo XV pag 4599. Anexo 1 a la comunicación de la parte peticionaria de fecha 11 de noviembre de 2019.</w:t>
      </w:r>
    </w:p>
  </w:footnote>
  <w:footnote w:id="89">
    <w:p w14:paraId="2B777355"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Pr>
          <w:rFonts w:asciiTheme="majorHAnsi" w:hAnsiTheme="majorHAnsi"/>
          <w:sz w:val="16"/>
          <w:szCs w:val="16"/>
          <w:lang w:val="es-US"/>
        </w:rPr>
        <w:t xml:space="preserve">Anexo 2. </w:t>
      </w:r>
      <w:r w:rsidRPr="00D93236">
        <w:rPr>
          <w:rFonts w:asciiTheme="majorHAnsi" w:hAnsiTheme="majorHAnsi"/>
          <w:sz w:val="16"/>
          <w:szCs w:val="16"/>
          <w:lang w:val="es-AR"/>
        </w:rPr>
        <w:t>Sentencia del TOF 3. Capítulo XV, pag 4598. Anexo 1 a la comunicación de la parte peticionaria de fecha 11 de noviembre de 2019.</w:t>
      </w:r>
    </w:p>
  </w:footnote>
  <w:footnote w:id="90">
    <w:p w14:paraId="2090504F"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Pr>
          <w:rFonts w:asciiTheme="majorHAnsi" w:hAnsiTheme="majorHAnsi"/>
          <w:sz w:val="16"/>
          <w:szCs w:val="16"/>
          <w:lang w:val="es-US"/>
        </w:rPr>
        <w:t xml:space="preserve"> Anexo 2.</w:t>
      </w:r>
      <w:r w:rsidRPr="00D93236">
        <w:rPr>
          <w:rFonts w:asciiTheme="majorHAnsi" w:hAnsiTheme="majorHAnsi"/>
          <w:sz w:val="16"/>
          <w:szCs w:val="16"/>
          <w:lang w:val="es-US"/>
        </w:rPr>
        <w:t xml:space="preserve"> </w:t>
      </w:r>
      <w:r w:rsidRPr="00D93236">
        <w:rPr>
          <w:rFonts w:asciiTheme="majorHAnsi" w:hAnsiTheme="majorHAnsi"/>
          <w:sz w:val="16"/>
          <w:szCs w:val="16"/>
          <w:lang w:val="es-AR"/>
        </w:rPr>
        <w:t>Sentencia del TOF 3. Cap V, pag 2356. Anexo 1 a la comunicación de la parte peticionaria de fecha 11 de noviembre de 2019.</w:t>
      </w:r>
    </w:p>
  </w:footnote>
  <w:footnote w:id="91">
    <w:p w14:paraId="5B65A4AA"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Pr>
          <w:rFonts w:asciiTheme="majorHAnsi" w:hAnsiTheme="majorHAnsi"/>
          <w:sz w:val="16"/>
          <w:szCs w:val="16"/>
          <w:lang w:val="es-US"/>
        </w:rPr>
        <w:t xml:space="preserve">Anexo 2. </w:t>
      </w:r>
      <w:r w:rsidRPr="00D93236">
        <w:rPr>
          <w:rFonts w:asciiTheme="majorHAnsi" w:hAnsiTheme="majorHAnsi"/>
          <w:sz w:val="16"/>
          <w:szCs w:val="16"/>
          <w:lang w:val="es-AR"/>
        </w:rPr>
        <w:t>Sentencia del TOF 3. Capítulo XIV, pag 4596. Anexo 1 a la comunicación de la parte peticionaria de fecha 11 de noviembre de 2019.</w:t>
      </w:r>
    </w:p>
  </w:footnote>
  <w:footnote w:id="92">
    <w:p w14:paraId="656AEFE9"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Pr>
          <w:rFonts w:asciiTheme="majorHAnsi" w:hAnsiTheme="majorHAnsi"/>
          <w:sz w:val="16"/>
          <w:szCs w:val="16"/>
          <w:lang w:val="es-US"/>
        </w:rPr>
        <w:t xml:space="preserve">Anexo 2. </w:t>
      </w:r>
      <w:r w:rsidRPr="00D93236">
        <w:rPr>
          <w:rFonts w:asciiTheme="majorHAnsi" w:hAnsiTheme="majorHAnsi"/>
          <w:sz w:val="16"/>
          <w:szCs w:val="16"/>
          <w:lang w:val="es-AR"/>
        </w:rPr>
        <w:t>Sentencia del TOF 3. Capítulo VI, pag 2650. Anexo 1 a la comunicación de la parte peticionaria de fecha 11 de noviembre de 2019.</w:t>
      </w:r>
    </w:p>
  </w:footnote>
  <w:footnote w:id="93">
    <w:p w14:paraId="5282BBE6" w14:textId="77777777" w:rsidR="005B3F8C" w:rsidRPr="00D93236" w:rsidRDefault="005B3F8C" w:rsidP="00E27260">
      <w:pPr>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AMIA Comunidad Judía. Al respecto ver: </w:t>
      </w:r>
      <w:hyperlink r:id="rId18" w:history="1">
        <w:r w:rsidRPr="00D93236">
          <w:rPr>
            <w:rStyle w:val="Hyperlink"/>
            <w:rFonts w:asciiTheme="majorHAnsi" w:hAnsiTheme="majorHAnsi"/>
            <w:sz w:val="16"/>
            <w:szCs w:val="16"/>
            <w:lang w:val="es-US"/>
          </w:rPr>
          <w:t>https://www.amia.org.ar/mision-vision-y-valores/</w:t>
        </w:r>
      </w:hyperlink>
    </w:p>
  </w:footnote>
  <w:footnote w:id="94">
    <w:p w14:paraId="7C6F42DD" w14:textId="77777777" w:rsidR="005B3F8C" w:rsidRPr="00D93236" w:rsidRDefault="005B3F8C" w:rsidP="00E27260">
      <w:pPr>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Delegación de Asociaciones Israelitas Argentinas. Al respecto, ver: </w:t>
      </w:r>
      <w:hyperlink r:id="rId19" w:history="1">
        <w:r w:rsidRPr="00D93236">
          <w:rPr>
            <w:rStyle w:val="Hyperlink"/>
            <w:rFonts w:asciiTheme="majorHAnsi" w:hAnsiTheme="majorHAnsi"/>
            <w:sz w:val="16"/>
            <w:szCs w:val="16"/>
            <w:lang w:val="es-US"/>
          </w:rPr>
          <w:t>http://www.daia.org.ar/la-daia/</w:t>
        </w:r>
      </w:hyperlink>
    </w:p>
  </w:footnote>
  <w:footnote w:id="95">
    <w:p w14:paraId="53651018"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Corte IDH. </w:t>
      </w:r>
      <w:r w:rsidRPr="00D93236">
        <w:rPr>
          <w:rFonts w:asciiTheme="majorHAnsi" w:hAnsiTheme="majorHAnsi"/>
          <w:i/>
          <w:sz w:val="16"/>
          <w:szCs w:val="16"/>
          <w:lang w:val="es-US"/>
        </w:rPr>
        <w:t>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w:t>
      </w:r>
      <w:r w:rsidRPr="00D93236">
        <w:rPr>
          <w:rFonts w:asciiTheme="majorHAnsi" w:hAnsiTheme="majorHAnsi"/>
          <w:sz w:val="16"/>
          <w:szCs w:val="16"/>
          <w:lang w:val="es-US"/>
        </w:rPr>
        <w:t xml:space="preserve"> Opinión Consultiva OC-24/17 de 24 de noviembre de 2017. Serie A No. 24. Párr. 62. </w:t>
      </w:r>
    </w:p>
  </w:footnote>
  <w:footnote w:id="96">
    <w:p w14:paraId="672753A4"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CIDH. Informe No. 112/12. Caso 12.828. Fondo</w:t>
      </w:r>
      <w:r w:rsidRPr="00D93236">
        <w:rPr>
          <w:rFonts w:asciiTheme="majorHAnsi" w:hAnsiTheme="majorHAnsi"/>
          <w:i/>
          <w:sz w:val="16"/>
          <w:szCs w:val="16"/>
          <w:lang w:val="es-US"/>
        </w:rPr>
        <w:t>. Marcel Granier y otros</w:t>
      </w:r>
      <w:r w:rsidRPr="00D93236">
        <w:rPr>
          <w:rFonts w:asciiTheme="majorHAnsi" w:hAnsiTheme="majorHAnsi"/>
          <w:sz w:val="16"/>
          <w:szCs w:val="16"/>
          <w:lang w:val="es-US"/>
        </w:rPr>
        <w:t xml:space="preserve">. Venezuela. 9 de noviembre de 2012, párr. 160; y CIDH. Informe No. 75/15. Caso 12.923. Fondo. </w:t>
      </w:r>
      <w:r w:rsidRPr="00D93236">
        <w:rPr>
          <w:rFonts w:asciiTheme="majorHAnsi" w:hAnsiTheme="majorHAnsi"/>
          <w:i/>
          <w:sz w:val="16"/>
          <w:szCs w:val="16"/>
          <w:lang w:val="es-US"/>
        </w:rPr>
        <w:t>Rocío San Miguel Sosa y otras. Venezuela</w:t>
      </w:r>
      <w:r w:rsidRPr="00D93236">
        <w:rPr>
          <w:rFonts w:asciiTheme="majorHAnsi" w:hAnsiTheme="majorHAnsi"/>
          <w:sz w:val="16"/>
          <w:szCs w:val="16"/>
          <w:lang w:val="es-US"/>
        </w:rPr>
        <w:t xml:space="preserve">. 28 de octubre de 2015, párr. 171. CIDH. </w:t>
      </w:r>
      <w:r w:rsidRPr="00D93236">
        <w:rPr>
          <w:rFonts w:asciiTheme="majorHAnsi" w:hAnsiTheme="majorHAnsi"/>
          <w:i/>
          <w:sz w:val="16"/>
          <w:szCs w:val="16"/>
          <w:lang w:val="es-US"/>
        </w:rPr>
        <w:t>Informe sobre pobreza y derechos humanos en las Américas.</w:t>
      </w:r>
      <w:r w:rsidRPr="00D93236">
        <w:rPr>
          <w:rFonts w:asciiTheme="majorHAnsi" w:hAnsiTheme="majorHAnsi"/>
          <w:sz w:val="16"/>
          <w:szCs w:val="16"/>
          <w:lang w:val="es-US"/>
        </w:rPr>
        <w:t xml:space="preserve"> OEA/Ser.L/V/II.164 Doc. 147. 7 septiembre 2017, párr. 153.</w:t>
      </w:r>
    </w:p>
  </w:footnote>
  <w:footnote w:id="97">
    <w:p w14:paraId="6AC09C22"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Corte IDH. </w:t>
      </w:r>
      <w:r w:rsidRPr="00D93236">
        <w:rPr>
          <w:rFonts w:asciiTheme="majorHAnsi" w:hAnsiTheme="majorHAnsi"/>
          <w:i/>
          <w:sz w:val="16"/>
          <w:szCs w:val="16"/>
          <w:lang w:val="es-AR"/>
        </w:rPr>
        <w:t>Caso Rodríguez Vera y otros (Desaparecidos del Palacio de Justicia) vs. Colombia</w:t>
      </w:r>
      <w:r w:rsidRPr="00D93236">
        <w:rPr>
          <w:rFonts w:asciiTheme="majorHAnsi" w:hAnsiTheme="majorHAnsi"/>
          <w:sz w:val="16"/>
          <w:szCs w:val="16"/>
          <w:lang w:val="es-AR"/>
        </w:rPr>
        <w:t>. Excepciones Preliminares, Fondo, Reparaciones y Costas. Sentencia de 14 de noviembre de 2014. Serie C No. 287, párr. 435</w:t>
      </w:r>
    </w:p>
  </w:footnote>
  <w:footnote w:id="98">
    <w:p w14:paraId="7A32B138" w14:textId="77777777" w:rsidR="005B3F8C" w:rsidRPr="00D93236" w:rsidRDefault="005B3F8C" w:rsidP="00E27260">
      <w:pPr>
        <w:pStyle w:val="FootnoteText"/>
        <w:jc w:val="both"/>
        <w:rPr>
          <w:rFonts w:asciiTheme="majorHAnsi" w:hAnsiTheme="majorHAnsi"/>
          <w:b/>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García Lucero y otras Vs. Chile</w:t>
      </w:r>
      <w:r w:rsidRPr="00D93236">
        <w:rPr>
          <w:rStyle w:val="Strong"/>
          <w:rFonts w:asciiTheme="majorHAnsi" w:hAnsiTheme="majorHAnsi"/>
          <w:b w:val="0"/>
          <w:sz w:val="16"/>
          <w:szCs w:val="16"/>
          <w:shd w:val="clear" w:color="auto" w:fill="FFFFFF"/>
          <w:lang w:val="es-AR"/>
        </w:rPr>
        <w:t>. Excepción Preliminar, Fondo y Reparaciones. Sentencia de 28 de agosto de 2013. Serie C No. 267. Párr. 161.</w:t>
      </w:r>
    </w:p>
  </w:footnote>
  <w:footnote w:id="99">
    <w:p w14:paraId="05C5AEA1"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Style w:val="Strong"/>
          <w:rFonts w:asciiTheme="majorHAnsi" w:hAnsiTheme="majorHAnsi"/>
          <w:b w:val="0"/>
          <w:sz w:val="16"/>
          <w:szCs w:val="16"/>
          <w:shd w:val="clear" w:color="auto" w:fill="FFFFFF"/>
          <w:lang w:val="es-AR"/>
        </w:rPr>
        <w:t xml:space="preserve"> Corte IDH. </w:t>
      </w:r>
      <w:r w:rsidRPr="00D93236">
        <w:rPr>
          <w:rStyle w:val="Strong"/>
          <w:rFonts w:asciiTheme="majorHAnsi" w:hAnsiTheme="majorHAnsi"/>
          <w:b w:val="0"/>
          <w:i/>
          <w:sz w:val="16"/>
          <w:szCs w:val="16"/>
          <w:shd w:val="clear" w:color="auto" w:fill="FFFFFF"/>
          <w:lang w:val="es-AR"/>
        </w:rPr>
        <w:t>Caso Cruz Sánchez y otros Vs. Perú</w:t>
      </w:r>
      <w:r w:rsidRPr="00D93236">
        <w:rPr>
          <w:rStyle w:val="Strong"/>
          <w:rFonts w:asciiTheme="majorHAnsi" w:hAnsiTheme="majorHAnsi"/>
          <w:b w:val="0"/>
          <w:sz w:val="16"/>
          <w:szCs w:val="16"/>
          <w:shd w:val="clear" w:color="auto" w:fill="FFFFFF"/>
          <w:lang w:val="es-AR"/>
        </w:rPr>
        <w:t>. Excepciones Preliminares, Fondo, Reparaciones y Costas. Sentencia de 17 de abril de 2015. Serie C No. 292</w:t>
      </w:r>
      <w:r w:rsidRPr="00D93236">
        <w:rPr>
          <w:rFonts w:asciiTheme="majorHAnsi" w:hAnsiTheme="majorHAnsi"/>
          <w:b/>
          <w:sz w:val="16"/>
          <w:szCs w:val="16"/>
          <w:lang w:val="es-AR"/>
        </w:rPr>
        <w:t>;</w:t>
      </w:r>
      <w:r w:rsidRPr="00D93236">
        <w:rPr>
          <w:rFonts w:asciiTheme="majorHAnsi" w:hAnsiTheme="majorHAnsi"/>
          <w:sz w:val="16"/>
          <w:szCs w:val="16"/>
          <w:lang w:val="es-AR"/>
        </w:rPr>
        <w:t xml:space="preserve"> Corte IDH. </w:t>
      </w:r>
      <w:r w:rsidRPr="00D93236">
        <w:rPr>
          <w:rFonts w:asciiTheme="majorHAnsi" w:hAnsiTheme="majorHAnsi"/>
          <w:i/>
          <w:sz w:val="16"/>
          <w:szCs w:val="16"/>
          <w:lang w:val="es-AR"/>
        </w:rPr>
        <w:t>Caso de los Hermanos Gómez Paquiyauri Vs. Perú</w:t>
      </w:r>
      <w:r w:rsidRPr="00D93236">
        <w:rPr>
          <w:rFonts w:asciiTheme="majorHAnsi" w:hAnsiTheme="majorHAnsi"/>
          <w:sz w:val="16"/>
          <w:szCs w:val="16"/>
          <w:lang w:val="es-AR"/>
        </w:rPr>
        <w:t xml:space="preserve">. Fondo, Reparaciones y Costas. Sentencia de 8 de julio de 2004. Serie C No. 110. Párr. 73; Corte IDH. </w:t>
      </w:r>
      <w:r w:rsidRPr="00D93236">
        <w:rPr>
          <w:rFonts w:asciiTheme="majorHAnsi" w:hAnsiTheme="majorHAnsi"/>
          <w:i/>
          <w:sz w:val="16"/>
          <w:szCs w:val="16"/>
          <w:lang w:val="es-AR"/>
        </w:rPr>
        <w:t>Caso “Cinco Pensionistas” Vs. Perú</w:t>
      </w:r>
      <w:r w:rsidRPr="00D93236">
        <w:rPr>
          <w:rFonts w:asciiTheme="majorHAnsi" w:hAnsiTheme="majorHAnsi"/>
          <w:sz w:val="16"/>
          <w:szCs w:val="16"/>
          <w:lang w:val="es-AR"/>
        </w:rPr>
        <w:t>. Sentencia de 28 de febrero de 2003. Serie C No. 98. Párr. 163</w:t>
      </w:r>
    </w:p>
  </w:footnote>
  <w:footnote w:id="100">
    <w:p w14:paraId="0BC8FE94" w14:textId="77777777" w:rsidR="005B3F8C" w:rsidRPr="00D93236" w:rsidRDefault="005B3F8C" w:rsidP="00E27260">
      <w:pPr>
        <w:pStyle w:val="FootnoteText"/>
        <w:jc w:val="both"/>
        <w:rPr>
          <w:rFonts w:asciiTheme="majorHAnsi" w:hAnsiTheme="majorHAnsi"/>
          <w:b/>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Tenorio Roca y otros Vs. Perú</w:t>
      </w:r>
      <w:r w:rsidRPr="00D93236">
        <w:rPr>
          <w:rStyle w:val="Strong"/>
          <w:rFonts w:asciiTheme="majorHAnsi" w:hAnsiTheme="majorHAnsi"/>
          <w:b w:val="0"/>
          <w:sz w:val="16"/>
          <w:szCs w:val="16"/>
          <w:shd w:val="clear" w:color="auto" w:fill="FFFFFF"/>
          <w:lang w:val="es-AR"/>
        </w:rPr>
        <w:t xml:space="preserve">. Excepciones Preliminares, Fondo, Reparaciones y Costas. Sentencia de 22 de junio de 2016. Serie C No. 314. Párr. 167; Corte IDH. </w:t>
      </w:r>
      <w:r w:rsidRPr="00D93236">
        <w:rPr>
          <w:rStyle w:val="Strong"/>
          <w:rFonts w:asciiTheme="majorHAnsi" w:hAnsiTheme="majorHAnsi"/>
          <w:b w:val="0"/>
          <w:i/>
          <w:sz w:val="16"/>
          <w:szCs w:val="16"/>
          <w:shd w:val="clear" w:color="auto" w:fill="FFFFFF"/>
          <w:lang w:val="es-AR"/>
        </w:rPr>
        <w:t>Caso Huilca Tecse Vs. Perú</w:t>
      </w:r>
      <w:r w:rsidRPr="00D93236">
        <w:rPr>
          <w:rStyle w:val="Strong"/>
          <w:rFonts w:asciiTheme="majorHAnsi" w:hAnsiTheme="majorHAnsi"/>
          <w:b w:val="0"/>
          <w:sz w:val="16"/>
          <w:szCs w:val="16"/>
          <w:shd w:val="clear" w:color="auto" w:fill="FFFFFF"/>
          <w:lang w:val="es-AR"/>
        </w:rPr>
        <w:t xml:space="preserve">. Fondo, Reparaciones y Costas. Sentencia de 3 de marzo de 2005. Serie C No. 121. Párr. 105; Corte IDH. </w:t>
      </w:r>
      <w:r w:rsidRPr="00D93236">
        <w:rPr>
          <w:rStyle w:val="Strong"/>
          <w:rFonts w:asciiTheme="majorHAnsi" w:hAnsiTheme="majorHAnsi"/>
          <w:b w:val="0"/>
          <w:i/>
          <w:sz w:val="16"/>
          <w:szCs w:val="16"/>
          <w:shd w:val="clear" w:color="auto" w:fill="FFFFFF"/>
          <w:lang w:val="es-AR"/>
        </w:rPr>
        <w:t>Caso Gudiel Álvarez y otros ("Diario Militar") Vs. Guatemala</w:t>
      </w:r>
      <w:r w:rsidRPr="00D93236">
        <w:rPr>
          <w:rStyle w:val="Strong"/>
          <w:rFonts w:asciiTheme="majorHAnsi" w:hAnsiTheme="majorHAnsi"/>
          <w:b w:val="0"/>
          <w:sz w:val="16"/>
          <w:szCs w:val="16"/>
          <w:shd w:val="clear" w:color="auto" w:fill="FFFFFF"/>
          <w:lang w:val="es-AR"/>
        </w:rPr>
        <w:t xml:space="preserve">. Fondo, Reparaciones y Costas. Sentencia de 20 noviembre de 2012. Serie C No. 253. </w:t>
      </w:r>
      <w:r w:rsidRPr="00D93236">
        <w:rPr>
          <w:rStyle w:val="Strong"/>
          <w:rFonts w:asciiTheme="majorHAnsi" w:hAnsiTheme="majorHAnsi"/>
          <w:b w:val="0"/>
          <w:sz w:val="16"/>
          <w:szCs w:val="16"/>
          <w:shd w:val="clear" w:color="auto" w:fill="FFFFFF"/>
          <w:lang w:val="es-US"/>
        </w:rPr>
        <w:t xml:space="preserve">Párr. 230 a 232. </w:t>
      </w:r>
    </w:p>
  </w:footnote>
  <w:footnote w:id="101">
    <w:p w14:paraId="38DB2E10" w14:textId="77777777" w:rsidR="005B3F8C" w:rsidRPr="00D93236" w:rsidRDefault="005B3F8C" w:rsidP="0000060F">
      <w:pPr>
        <w:pStyle w:val="FootnoteText"/>
        <w:tabs>
          <w:tab w:val="left" w:pos="360"/>
          <w:tab w:val="left" w:pos="720"/>
          <w:tab w:val="left" w:pos="900"/>
          <w:tab w:val="left" w:pos="1080"/>
        </w:tabs>
        <w:jc w:val="both"/>
        <w:rPr>
          <w:rFonts w:asciiTheme="majorHAnsi" w:hAnsiTheme="majorHAnsi"/>
          <w:i/>
          <w:color w:val="auto"/>
          <w:sz w:val="16"/>
          <w:szCs w:val="16"/>
          <w:lang w:val="es-ES_tradnl"/>
        </w:rPr>
      </w:pPr>
      <w:r w:rsidRPr="00D93236">
        <w:rPr>
          <w:rStyle w:val="FootnoteReference"/>
          <w:rFonts w:asciiTheme="majorHAnsi" w:hAnsiTheme="majorHAnsi"/>
          <w:color w:val="auto"/>
          <w:sz w:val="16"/>
          <w:szCs w:val="16"/>
        </w:rPr>
        <w:footnoteRef/>
      </w:r>
      <w:r w:rsidRPr="00D93236">
        <w:rPr>
          <w:rFonts w:asciiTheme="majorHAnsi" w:hAnsiTheme="majorHAnsi"/>
          <w:color w:val="auto"/>
          <w:sz w:val="16"/>
          <w:szCs w:val="16"/>
          <w:lang w:val="es-ES_tradnl"/>
        </w:rPr>
        <w:t xml:space="preserve"> Corte IDH. </w:t>
      </w:r>
      <w:r w:rsidRPr="00D93236">
        <w:rPr>
          <w:rFonts w:asciiTheme="majorHAnsi" w:hAnsiTheme="majorHAnsi"/>
          <w:bCs/>
          <w:i/>
          <w:color w:val="auto"/>
          <w:sz w:val="16"/>
          <w:szCs w:val="16"/>
          <w:lang w:val="es-ES_tradnl"/>
        </w:rPr>
        <w:t>Caso García Prieto y otros Vs. El Salvador.</w:t>
      </w:r>
      <w:r w:rsidRPr="00D93236">
        <w:rPr>
          <w:rFonts w:asciiTheme="majorHAnsi" w:hAnsiTheme="majorHAnsi"/>
          <w:bCs/>
          <w:color w:val="auto"/>
          <w:sz w:val="16"/>
          <w:szCs w:val="16"/>
          <w:lang w:val="es-ES_tradnl"/>
        </w:rPr>
        <w:t xml:space="preserve"> </w:t>
      </w:r>
      <w:r w:rsidRPr="00D93236">
        <w:rPr>
          <w:rFonts w:asciiTheme="majorHAnsi" w:hAnsiTheme="majorHAnsi"/>
          <w:color w:val="auto"/>
          <w:sz w:val="16"/>
          <w:szCs w:val="16"/>
          <w:lang w:val="es-ES_tradnl"/>
        </w:rPr>
        <w:t xml:space="preserve">Excepción Preliminar, Fondo, Reparaciones y Costas. Sentencia de 20 de noviembre de 2007. Serie C No. 168. Párr. 103; Corte IDH., </w:t>
      </w:r>
      <w:r w:rsidRPr="00D93236">
        <w:rPr>
          <w:rFonts w:asciiTheme="majorHAnsi" w:hAnsiTheme="majorHAnsi"/>
          <w:i/>
          <w:color w:val="auto"/>
          <w:sz w:val="16"/>
          <w:szCs w:val="16"/>
          <w:lang w:val="es-ES_tradnl"/>
        </w:rPr>
        <w:t>Caso Bulacio Vs. Argentina</w:t>
      </w:r>
      <w:r w:rsidRPr="00D93236">
        <w:rPr>
          <w:rFonts w:asciiTheme="majorHAnsi" w:hAnsiTheme="majorHAnsi"/>
          <w:color w:val="auto"/>
          <w:sz w:val="16"/>
          <w:szCs w:val="16"/>
          <w:lang w:val="es-ES_tradnl"/>
        </w:rPr>
        <w:t xml:space="preserve">. </w:t>
      </w:r>
      <w:r w:rsidRPr="00D93236">
        <w:rPr>
          <w:rFonts w:asciiTheme="majorHAnsi" w:hAnsiTheme="majorHAnsi"/>
          <w:i/>
          <w:color w:val="auto"/>
          <w:sz w:val="16"/>
          <w:szCs w:val="16"/>
          <w:lang w:val="es-ES_tradnl"/>
        </w:rPr>
        <w:t>Excepciones Preliminares, Fondo, Reparaciones y Costas.</w:t>
      </w:r>
      <w:r w:rsidRPr="00D93236">
        <w:rPr>
          <w:rFonts w:asciiTheme="majorHAnsi" w:hAnsiTheme="majorHAnsi"/>
          <w:color w:val="auto"/>
          <w:sz w:val="16"/>
          <w:szCs w:val="16"/>
          <w:lang w:val="es-ES_tradnl"/>
        </w:rPr>
        <w:t xml:space="preserve"> Sentencia de 18 de Septiembre de 2003. Serie C No. 100, Párr. 114; y </w:t>
      </w:r>
      <w:r w:rsidRPr="00D93236">
        <w:rPr>
          <w:rFonts w:asciiTheme="majorHAnsi" w:hAnsiTheme="majorHAnsi"/>
          <w:color w:val="auto"/>
          <w:sz w:val="16"/>
          <w:szCs w:val="16"/>
          <w:lang w:val="es-ES"/>
        </w:rPr>
        <w:t xml:space="preserve">Corte IDH. </w:t>
      </w:r>
      <w:r w:rsidRPr="00D93236">
        <w:rPr>
          <w:rFonts w:asciiTheme="majorHAnsi" w:hAnsiTheme="majorHAnsi"/>
          <w:bCs/>
          <w:i/>
          <w:color w:val="auto"/>
          <w:sz w:val="16"/>
          <w:szCs w:val="16"/>
          <w:lang w:val="es-ES_tradnl"/>
        </w:rPr>
        <w:t>Caso del Penal Miguel Castro Castro Vs. Perú</w:t>
      </w:r>
      <w:r w:rsidRPr="00D93236">
        <w:rPr>
          <w:rFonts w:asciiTheme="majorHAnsi" w:hAnsiTheme="majorHAnsi"/>
          <w:bCs/>
          <w:color w:val="auto"/>
          <w:sz w:val="16"/>
          <w:szCs w:val="16"/>
          <w:lang w:val="es-ES_tradnl"/>
        </w:rPr>
        <w:t xml:space="preserve">. </w:t>
      </w:r>
      <w:r w:rsidRPr="00D93236">
        <w:rPr>
          <w:rFonts w:asciiTheme="majorHAnsi" w:hAnsiTheme="majorHAnsi"/>
          <w:color w:val="auto"/>
          <w:sz w:val="16"/>
          <w:szCs w:val="16"/>
          <w:lang w:val="es-ES_tradnl"/>
        </w:rPr>
        <w:t>Sentencia de 25 de noviembre de 2006. Serie C No. 160. P</w:t>
      </w:r>
      <w:r w:rsidRPr="00D93236">
        <w:rPr>
          <w:rFonts w:asciiTheme="majorHAnsi" w:hAnsiTheme="majorHAnsi"/>
          <w:color w:val="auto"/>
          <w:sz w:val="16"/>
          <w:szCs w:val="16"/>
          <w:lang w:val="es-ES"/>
        </w:rPr>
        <w:t xml:space="preserve">árr. </w:t>
      </w:r>
      <w:r w:rsidRPr="00D93236">
        <w:rPr>
          <w:rFonts w:asciiTheme="majorHAnsi" w:hAnsiTheme="majorHAnsi"/>
          <w:color w:val="auto"/>
          <w:sz w:val="16"/>
          <w:szCs w:val="16"/>
          <w:lang w:val="es-ES_tradnl"/>
        </w:rPr>
        <w:t>382.</w:t>
      </w:r>
    </w:p>
  </w:footnote>
  <w:footnote w:id="102">
    <w:p w14:paraId="4B82DB6D" w14:textId="77777777" w:rsidR="005B3F8C" w:rsidRPr="00D93236" w:rsidRDefault="005B3F8C" w:rsidP="0000060F">
      <w:pPr>
        <w:pStyle w:val="FootnoteText"/>
        <w:tabs>
          <w:tab w:val="left" w:pos="0"/>
        </w:tabs>
        <w:jc w:val="both"/>
        <w:rPr>
          <w:rFonts w:asciiTheme="majorHAnsi" w:hAnsiTheme="majorHAnsi"/>
          <w:color w:val="auto"/>
          <w:sz w:val="16"/>
          <w:szCs w:val="16"/>
          <w:lang w:val="es-ES_tradnl"/>
        </w:rPr>
      </w:pPr>
      <w:r w:rsidRPr="00D93236">
        <w:rPr>
          <w:rStyle w:val="FootnoteReference"/>
          <w:rFonts w:asciiTheme="majorHAnsi" w:hAnsiTheme="majorHAnsi"/>
          <w:color w:val="auto"/>
          <w:sz w:val="16"/>
          <w:szCs w:val="16"/>
        </w:rPr>
        <w:footnoteRef/>
      </w:r>
      <w:r w:rsidRPr="00D93236">
        <w:rPr>
          <w:rFonts w:asciiTheme="majorHAnsi" w:hAnsiTheme="majorHAnsi"/>
          <w:color w:val="auto"/>
          <w:sz w:val="16"/>
          <w:szCs w:val="16"/>
          <w:lang w:val="es-ES_tradnl"/>
        </w:rPr>
        <w:t xml:space="preserve"> Corte IDH., </w:t>
      </w:r>
      <w:r w:rsidRPr="00D93236">
        <w:rPr>
          <w:rFonts w:asciiTheme="majorHAnsi" w:hAnsiTheme="majorHAnsi"/>
          <w:bCs/>
          <w:i/>
          <w:color w:val="auto"/>
          <w:sz w:val="16"/>
          <w:szCs w:val="16"/>
          <w:lang w:val="es-ES_tradnl"/>
        </w:rPr>
        <w:t>Caso Cantoral Huamaní y García Santa Cruz Vs. Perú.</w:t>
      </w:r>
      <w:r w:rsidRPr="00D93236">
        <w:rPr>
          <w:rFonts w:asciiTheme="majorHAnsi" w:hAnsiTheme="majorHAnsi"/>
          <w:bCs/>
          <w:color w:val="auto"/>
          <w:sz w:val="16"/>
          <w:szCs w:val="16"/>
          <w:lang w:val="es-ES_tradnl"/>
        </w:rPr>
        <w:t xml:space="preserve"> </w:t>
      </w:r>
      <w:r w:rsidRPr="00D93236">
        <w:rPr>
          <w:rFonts w:asciiTheme="majorHAnsi" w:hAnsiTheme="majorHAnsi"/>
          <w:color w:val="auto"/>
          <w:sz w:val="16"/>
          <w:szCs w:val="16"/>
          <w:lang w:val="es-ES_tradnl"/>
        </w:rPr>
        <w:t xml:space="preserve">Excepción Preliminar, Fondo, Reparaciones y Costas. Sentencia de 10 de julio de 2007. Serie C No. 167. </w:t>
      </w:r>
      <w:r w:rsidRPr="00D93236">
        <w:rPr>
          <w:rFonts w:asciiTheme="majorHAnsi" w:hAnsiTheme="majorHAnsi"/>
          <w:color w:val="auto"/>
          <w:sz w:val="16"/>
          <w:szCs w:val="16"/>
          <w:lang w:val="es-ES"/>
        </w:rPr>
        <w:t xml:space="preserve">Párr. </w:t>
      </w:r>
      <w:r w:rsidRPr="00D93236">
        <w:rPr>
          <w:rFonts w:asciiTheme="majorHAnsi" w:hAnsiTheme="majorHAnsi"/>
          <w:color w:val="auto"/>
          <w:sz w:val="16"/>
          <w:szCs w:val="16"/>
          <w:lang w:val="es-ES_tradnl"/>
        </w:rPr>
        <w:t>100.</w:t>
      </w:r>
    </w:p>
  </w:footnote>
  <w:footnote w:id="103">
    <w:p w14:paraId="7628C69A" w14:textId="77777777" w:rsidR="005B3F8C" w:rsidRPr="00D93236" w:rsidRDefault="005B3F8C" w:rsidP="0000060F">
      <w:pPr>
        <w:tabs>
          <w:tab w:val="left" w:pos="0"/>
        </w:tabs>
        <w:jc w:val="both"/>
        <w:rPr>
          <w:rFonts w:asciiTheme="majorHAnsi" w:hAnsiTheme="majorHAnsi"/>
          <w:sz w:val="16"/>
          <w:szCs w:val="16"/>
          <w:lang w:val="es-MX"/>
        </w:rPr>
      </w:pPr>
      <w:r w:rsidRPr="00D93236">
        <w:rPr>
          <w:rStyle w:val="FootnoteReference"/>
          <w:rFonts w:asciiTheme="majorHAnsi" w:hAnsiTheme="majorHAnsi"/>
          <w:sz w:val="16"/>
          <w:szCs w:val="16"/>
        </w:rPr>
        <w:footnoteRef/>
      </w:r>
      <w:r w:rsidRPr="00D93236">
        <w:rPr>
          <w:rFonts w:asciiTheme="majorHAnsi" w:hAnsiTheme="majorHAnsi"/>
          <w:sz w:val="16"/>
          <w:szCs w:val="16"/>
          <w:lang w:val="es-MX"/>
        </w:rPr>
        <w:t xml:space="preserve"> Corte IDH. </w:t>
      </w:r>
      <w:r w:rsidRPr="00D93236">
        <w:rPr>
          <w:rFonts w:asciiTheme="majorHAnsi" w:hAnsiTheme="majorHAnsi"/>
          <w:bCs/>
          <w:i/>
          <w:sz w:val="16"/>
          <w:szCs w:val="16"/>
          <w:lang w:val="es-MX"/>
        </w:rPr>
        <w:t>Caso García Prieto y otros Vs. El Salvador.</w:t>
      </w:r>
      <w:r w:rsidRPr="00D93236">
        <w:rPr>
          <w:rFonts w:asciiTheme="majorHAnsi" w:hAnsiTheme="majorHAnsi"/>
          <w:bCs/>
          <w:sz w:val="16"/>
          <w:szCs w:val="16"/>
          <w:lang w:val="es-MX"/>
        </w:rPr>
        <w:t xml:space="preserve"> </w:t>
      </w:r>
      <w:r w:rsidRPr="00D93236">
        <w:rPr>
          <w:rFonts w:asciiTheme="majorHAnsi" w:hAnsiTheme="majorHAnsi"/>
          <w:sz w:val="16"/>
          <w:szCs w:val="16"/>
          <w:lang w:val="es-MX"/>
        </w:rPr>
        <w:t xml:space="preserve">Excepción Preliminar, Fondo, Reparaciones y Costas. Sentencia de 20 de noviembre de 2007. Serie C No. 168. Párr. 101; Corte IDH. </w:t>
      </w:r>
      <w:r w:rsidRPr="00D93236">
        <w:rPr>
          <w:rFonts w:asciiTheme="majorHAnsi" w:hAnsiTheme="majorHAnsi"/>
          <w:i/>
          <w:sz w:val="16"/>
          <w:szCs w:val="16"/>
          <w:lang w:val="es-MX"/>
        </w:rPr>
        <w:t>Caso de los Hermanos Gómez Paquiyauri Vs Perú</w:t>
      </w:r>
      <w:r w:rsidRPr="00D93236">
        <w:rPr>
          <w:rFonts w:asciiTheme="majorHAnsi" w:hAnsiTheme="majorHAnsi"/>
          <w:sz w:val="16"/>
          <w:szCs w:val="16"/>
          <w:lang w:val="es-MX"/>
        </w:rPr>
        <w:t xml:space="preserve">. Sentencia de 8 de julio de 2004. Serie C No. 110. Párrs. 146; Corte IDH. </w:t>
      </w:r>
      <w:r w:rsidRPr="00D93236">
        <w:rPr>
          <w:rFonts w:asciiTheme="majorHAnsi" w:hAnsiTheme="majorHAnsi"/>
          <w:bCs/>
          <w:i/>
          <w:sz w:val="16"/>
          <w:szCs w:val="16"/>
          <w:lang w:val="es-MX"/>
        </w:rPr>
        <w:t>Caso Cantoral Huamaní y García Santa Cruz Vs. Perú,</w:t>
      </w:r>
      <w:r w:rsidRPr="00D93236">
        <w:rPr>
          <w:rFonts w:asciiTheme="majorHAnsi" w:hAnsiTheme="majorHAnsi"/>
          <w:bCs/>
          <w:sz w:val="16"/>
          <w:szCs w:val="16"/>
          <w:lang w:val="es-MX"/>
        </w:rPr>
        <w:t xml:space="preserve"> </w:t>
      </w:r>
      <w:r w:rsidRPr="00D93236">
        <w:rPr>
          <w:rFonts w:asciiTheme="majorHAnsi" w:hAnsiTheme="majorHAnsi"/>
          <w:sz w:val="16"/>
          <w:szCs w:val="16"/>
          <w:lang w:val="es-MX"/>
        </w:rPr>
        <w:t xml:space="preserve">Excepción Preliminar, Fondo, Reparaciones y Costas. Sentencia de 10 de julio de 2007. Serie C No. 167. </w:t>
      </w:r>
      <w:r w:rsidRPr="00D93236">
        <w:rPr>
          <w:rFonts w:asciiTheme="majorHAnsi" w:hAnsiTheme="majorHAnsi"/>
          <w:sz w:val="16"/>
          <w:szCs w:val="16"/>
          <w:lang w:val="es-ES"/>
        </w:rPr>
        <w:t xml:space="preserve">Párr. </w:t>
      </w:r>
      <w:r w:rsidRPr="00D93236">
        <w:rPr>
          <w:rFonts w:asciiTheme="majorHAnsi" w:hAnsiTheme="majorHAnsi"/>
          <w:sz w:val="16"/>
          <w:szCs w:val="16"/>
          <w:lang w:val="es-MX"/>
        </w:rPr>
        <w:t xml:space="preserve">130. </w:t>
      </w:r>
      <w:r w:rsidRPr="00D93236">
        <w:rPr>
          <w:rFonts w:asciiTheme="majorHAnsi" w:hAnsiTheme="majorHAnsi"/>
          <w:i/>
          <w:sz w:val="16"/>
          <w:szCs w:val="16"/>
          <w:lang w:val="es-MX"/>
        </w:rPr>
        <w:t xml:space="preserve"> </w:t>
      </w:r>
    </w:p>
  </w:footnote>
  <w:footnote w:id="104">
    <w:p w14:paraId="1557F244" w14:textId="77777777" w:rsidR="005B3F8C" w:rsidRPr="00D93236" w:rsidRDefault="005B3F8C" w:rsidP="0000060F">
      <w:pPr>
        <w:tabs>
          <w:tab w:val="left" w:pos="0"/>
        </w:tabs>
        <w:jc w:val="both"/>
        <w:rPr>
          <w:rFonts w:asciiTheme="majorHAnsi" w:hAnsiTheme="majorHAnsi"/>
          <w:sz w:val="16"/>
          <w:szCs w:val="16"/>
          <w:lang w:val="es-MX"/>
        </w:rPr>
      </w:pPr>
      <w:r w:rsidRPr="00D93236">
        <w:rPr>
          <w:rStyle w:val="FootnoteReference"/>
          <w:rFonts w:asciiTheme="majorHAnsi" w:hAnsiTheme="majorHAnsi"/>
          <w:sz w:val="16"/>
          <w:szCs w:val="16"/>
        </w:rPr>
        <w:footnoteRef/>
      </w:r>
      <w:r w:rsidRPr="00D93236">
        <w:rPr>
          <w:rFonts w:asciiTheme="majorHAnsi" w:hAnsiTheme="majorHAnsi"/>
          <w:sz w:val="16"/>
          <w:szCs w:val="16"/>
          <w:lang w:val="es-MX"/>
        </w:rPr>
        <w:t xml:space="preserve"> Corte IDH. </w:t>
      </w:r>
      <w:r w:rsidRPr="00D93236">
        <w:rPr>
          <w:rFonts w:asciiTheme="majorHAnsi" w:hAnsiTheme="majorHAnsi"/>
          <w:i/>
          <w:sz w:val="16"/>
          <w:szCs w:val="16"/>
          <w:lang w:val="es-MX"/>
        </w:rPr>
        <w:t>Caso Bulacio Vs. Argentina</w:t>
      </w:r>
      <w:r w:rsidRPr="00D93236">
        <w:rPr>
          <w:rFonts w:asciiTheme="majorHAnsi" w:hAnsiTheme="majorHAnsi"/>
          <w:sz w:val="16"/>
          <w:szCs w:val="16"/>
          <w:lang w:val="es-MX"/>
        </w:rPr>
        <w:t xml:space="preserve">. Sentencia de 18 de septiembre de 2003. Serie C No. 100. Párr. 114; Corte IDH. </w:t>
      </w:r>
      <w:r w:rsidRPr="00D93236">
        <w:rPr>
          <w:rFonts w:asciiTheme="majorHAnsi" w:hAnsiTheme="majorHAnsi"/>
          <w:i/>
          <w:sz w:val="16"/>
          <w:szCs w:val="16"/>
          <w:lang w:val="es-MX"/>
        </w:rPr>
        <w:t>Caso de la Masacre de la Rochela Vs. Colombia</w:t>
      </w:r>
      <w:r w:rsidRPr="00D93236">
        <w:rPr>
          <w:rFonts w:asciiTheme="majorHAnsi" w:hAnsiTheme="majorHAnsi"/>
          <w:sz w:val="16"/>
          <w:szCs w:val="16"/>
          <w:lang w:val="es-MX"/>
        </w:rPr>
        <w:t xml:space="preserve">. Sentencia de 11 de mayo de 2007.  Serie C. No. 163.Párr. 146; </w:t>
      </w:r>
      <w:r w:rsidRPr="00D93236">
        <w:rPr>
          <w:rFonts w:asciiTheme="majorHAnsi" w:hAnsiTheme="majorHAnsi"/>
          <w:sz w:val="16"/>
          <w:szCs w:val="16"/>
          <w:lang w:val="es-ES"/>
        </w:rPr>
        <w:t xml:space="preserve">Corte IDH. </w:t>
      </w:r>
      <w:r w:rsidRPr="00D93236">
        <w:rPr>
          <w:rFonts w:asciiTheme="majorHAnsi" w:hAnsiTheme="majorHAnsi"/>
          <w:bCs/>
          <w:i/>
          <w:sz w:val="16"/>
          <w:szCs w:val="16"/>
          <w:lang w:val="es-MX"/>
        </w:rPr>
        <w:t>Caso del Penal Miguel Castro Castro Vs. Perú</w:t>
      </w:r>
      <w:r w:rsidRPr="00D93236">
        <w:rPr>
          <w:rFonts w:asciiTheme="majorHAnsi" w:hAnsiTheme="majorHAnsi"/>
          <w:bCs/>
          <w:sz w:val="16"/>
          <w:szCs w:val="16"/>
          <w:lang w:val="es-MX"/>
        </w:rPr>
        <w:t xml:space="preserve">. </w:t>
      </w:r>
      <w:r w:rsidRPr="00D93236">
        <w:rPr>
          <w:rFonts w:asciiTheme="majorHAnsi" w:hAnsiTheme="majorHAnsi"/>
          <w:sz w:val="16"/>
          <w:szCs w:val="16"/>
          <w:lang w:val="es-MX"/>
        </w:rPr>
        <w:t>Sentencia de 25 de noviembre de 2006. Serie C No. 160. Párr. 382.</w:t>
      </w:r>
    </w:p>
  </w:footnote>
  <w:footnote w:id="105">
    <w:p w14:paraId="69F5D8F7" w14:textId="77777777" w:rsidR="005B3F8C" w:rsidRPr="00D93236" w:rsidRDefault="005B3F8C" w:rsidP="0000060F">
      <w:pPr>
        <w:jc w:val="both"/>
        <w:rPr>
          <w:rFonts w:asciiTheme="majorHAnsi" w:hAnsiTheme="majorHAnsi"/>
          <w:sz w:val="16"/>
          <w:szCs w:val="16"/>
          <w:lang w:val="es-ES" w:eastAsia="es-ES"/>
        </w:rPr>
      </w:pPr>
      <w:r w:rsidRPr="00D93236">
        <w:rPr>
          <w:rStyle w:val="FootnoteReference"/>
          <w:rFonts w:asciiTheme="majorHAnsi" w:hAnsiTheme="majorHAnsi"/>
          <w:sz w:val="16"/>
          <w:szCs w:val="16"/>
        </w:rPr>
        <w:footnoteRef/>
      </w:r>
      <w:r w:rsidRPr="00D93236">
        <w:rPr>
          <w:rFonts w:asciiTheme="majorHAnsi" w:hAnsiTheme="majorHAnsi"/>
          <w:sz w:val="16"/>
          <w:szCs w:val="16"/>
          <w:lang w:val="es-CO"/>
        </w:rPr>
        <w:t xml:space="preserve"> </w:t>
      </w:r>
      <w:r w:rsidRPr="00D93236">
        <w:rPr>
          <w:rFonts w:asciiTheme="majorHAnsi" w:hAnsiTheme="majorHAnsi"/>
          <w:sz w:val="16"/>
          <w:szCs w:val="16"/>
          <w:lang w:val="es-ES" w:eastAsia="es-ES"/>
        </w:rPr>
        <w:t>CIDH, Informe No. 37/00, Caso 11.481, Monseñor Oscar Arnulfo Romero y Galdámez, El Salvador, 13 de abril de 2000, párr. 80.</w:t>
      </w:r>
    </w:p>
  </w:footnote>
  <w:footnote w:id="106">
    <w:p w14:paraId="179179C3" w14:textId="77777777" w:rsidR="005B3F8C" w:rsidRPr="00D93236" w:rsidRDefault="005B3F8C" w:rsidP="0000060F">
      <w:pPr>
        <w:tabs>
          <w:tab w:val="left" w:pos="0"/>
        </w:tabs>
        <w:jc w:val="both"/>
        <w:rPr>
          <w:rFonts w:asciiTheme="majorHAnsi" w:hAnsiTheme="majorHAnsi"/>
          <w:sz w:val="16"/>
          <w:szCs w:val="16"/>
          <w:lang w:val="es-MX"/>
        </w:rPr>
      </w:pPr>
      <w:r w:rsidRPr="00D93236">
        <w:rPr>
          <w:rStyle w:val="FootnoteReference"/>
          <w:rFonts w:asciiTheme="majorHAnsi" w:hAnsiTheme="majorHAnsi"/>
          <w:sz w:val="16"/>
          <w:szCs w:val="16"/>
        </w:rPr>
        <w:footnoteRef/>
      </w:r>
      <w:r w:rsidRPr="00D93236">
        <w:rPr>
          <w:rFonts w:asciiTheme="majorHAnsi" w:hAnsiTheme="majorHAnsi"/>
          <w:sz w:val="16"/>
          <w:szCs w:val="16"/>
          <w:lang w:val="es-MX"/>
        </w:rPr>
        <w:t xml:space="preserve"> Corte IDH. </w:t>
      </w:r>
      <w:r w:rsidRPr="00D93236">
        <w:rPr>
          <w:rFonts w:asciiTheme="majorHAnsi" w:hAnsiTheme="majorHAnsi"/>
          <w:bCs/>
          <w:i/>
          <w:sz w:val="16"/>
          <w:szCs w:val="16"/>
          <w:lang w:val="es-MX"/>
        </w:rPr>
        <w:t>Caso García Prieto y otros Vs. El Salvador.</w:t>
      </w:r>
      <w:r w:rsidRPr="00D93236">
        <w:rPr>
          <w:rFonts w:asciiTheme="majorHAnsi" w:hAnsiTheme="majorHAnsi"/>
          <w:bCs/>
          <w:sz w:val="16"/>
          <w:szCs w:val="16"/>
          <w:lang w:val="es-MX"/>
        </w:rPr>
        <w:t xml:space="preserve"> </w:t>
      </w:r>
      <w:r w:rsidRPr="00D93236">
        <w:rPr>
          <w:rFonts w:asciiTheme="majorHAnsi" w:hAnsiTheme="majorHAnsi"/>
          <w:sz w:val="16"/>
          <w:szCs w:val="16"/>
          <w:lang w:val="es-MX"/>
        </w:rPr>
        <w:t xml:space="preserve">Excepción Preliminar, Fondo, Reparaciones y Costas. Sentencia de 20 de noviembre de 2007. Serie C No. 168. Párr. 101. </w:t>
      </w:r>
      <w:r w:rsidRPr="00D93236">
        <w:rPr>
          <w:rFonts w:asciiTheme="majorHAnsi" w:hAnsiTheme="majorHAnsi"/>
          <w:i/>
          <w:sz w:val="16"/>
          <w:szCs w:val="16"/>
          <w:lang w:val="es-MX"/>
        </w:rPr>
        <w:t xml:space="preserve"> </w:t>
      </w:r>
    </w:p>
  </w:footnote>
  <w:footnote w:id="107">
    <w:p w14:paraId="42F8F53F" w14:textId="77777777" w:rsidR="005B3F8C" w:rsidRPr="00D93236" w:rsidRDefault="005B3F8C" w:rsidP="0000060F">
      <w:pPr>
        <w:jc w:val="both"/>
        <w:rPr>
          <w:rFonts w:asciiTheme="majorHAnsi" w:hAnsiTheme="majorHAnsi"/>
          <w:sz w:val="16"/>
          <w:szCs w:val="16"/>
          <w:lang w:val="es-MX"/>
        </w:rPr>
      </w:pPr>
      <w:r w:rsidRPr="00D93236">
        <w:rPr>
          <w:rStyle w:val="FootnoteReference"/>
          <w:rFonts w:asciiTheme="majorHAnsi" w:hAnsiTheme="majorHAnsi"/>
          <w:sz w:val="16"/>
          <w:szCs w:val="16"/>
        </w:rPr>
        <w:footnoteRef/>
      </w:r>
      <w:r w:rsidRPr="00D93236">
        <w:rPr>
          <w:rFonts w:asciiTheme="majorHAnsi" w:hAnsiTheme="majorHAnsi"/>
          <w:sz w:val="16"/>
          <w:szCs w:val="16"/>
          <w:lang w:val="es-MX"/>
        </w:rPr>
        <w:t xml:space="preserve"> Corte IDH. </w:t>
      </w:r>
      <w:r w:rsidRPr="00D93236">
        <w:rPr>
          <w:rFonts w:asciiTheme="majorHAnsi" w:hAnsiTheme="majorHAnsi"/>
          <w:i/>
          <w:sz w:val="16"/>
          <w:szCs w:val="16"/>
          <w:lang w:val="es-MX"/>
        </w:rPr>
        <w:t>Caso Bulacio Vs. Argentina</w:t>
      </w:r>
      <w:r w:rsidRPr="00D93236">
        <w:rPr>
          <w:rFonts w:asciiTheme="majorHAnsi" w:hAnsiTheme="majorHAnsi"/>
          <w:sz w:val="16"/>
          <w:szCs w:val="16"/>
          <w:lang w:val="es-MX"/>
        </w:rPr>
        <w:t xml:space="preserve">. Sentencia de 18 de septiembre de 2003. Serie C No. 100. Párr. 114; Corte IDH. </w:t>
      </w:r>
      <w:r w:rsidRPr="00D93236">
        <w:rPr>
          <w:rFonts w:asciiTheme="majorHAnsi" w:hAnsiTheme="majorHAnsi"/>
          <w:i/>
          <w:sz w:val="16"/>
          <w:szCs w:val="16"/>
          <w:lang w:val="es-MX"/>
        </w:rPr>
        <w:t>Caso de la Masacre de la Rochela Vs. Colombia</w:t>
      </w:r>
      <w:r w:rsidRPr="00D93236">
        <w:rPr>
          <w:rFonts w:asciiTheme="majorHAnsi" w:hAnsiTheme="majorHAnsi"/>
          <w:sz w:val="16"/>
          <w:szCs w:val="16"/>
          <w:lang w:val="es-MX"/>
        </w:rPr>
        <w:t xml:space="preserve">. Sentencia de 11 de mayo de 2007. Serie C. No. 163. Párr. 146; </w:t>
      </w:r>
      <w:r w:rsidRPr="00D93236">
        <w:rPr>
          <w:rFonts w:asciiTheme="majorHAnsi" w:hAnsiTheme="majorHAnsi"/>
          <w:sz w:val="16"/>
          <w:szCs w:val="16"/>
          <w:lang w:val="es-ES"/>
        </w:rPr>
        <w:t xml:space="preserve">Corte IDH. </w:t>
      </w:r>
      <w:r w:rsidRPr="00D93236">
        <w:rPr>
          <w:rFonts w:asciiTheme="majorHAnsi" w:hAnsiTheme="majorHAnsi"/>
          <w:bCs/>
          <w:i/>
          <w:sz w:val="16"/>
          <w:szCs w:val="16"/>
          <w:lang w:val="es-MX"/>
        </w:rPr>
        <w:t>Caso del Penal Miguel Castro Castro Vs. Perú</w:t>
      </w:r>
      <w:r w:rsidRPr="00D93236">
        <w:rPr>
          <w:rFonts w:asciiTheme="majorHAnsi" w:hAnsiTheme="majorHAnsi"/>
          <w:bCs/>
          <w:sz w:val="16"/>
          <w:szCs w:val="16"/>
          <w:lang w:val="es-MX"/>
        </w:rPr>
        <w:t xml:space="preserve">. </w:t>
      </w:r>
      <w:r w:rsidRPr="00D93236">
        <w:rPr>
          <w:rFonts w:asciiTheme="majorHAnsi" w:hAnsiTheme="majorHAnsi"/>
          <w:sz w:val="16"/>
          <w:szCs w:val="16"/>
          <w:lang w:val="es-MX"/>
        </w:rPr>
        <w:t>Sentencia de 25 de noviembre de 2006. Serie C No. 160. Párr. 382.</w:t>
      </w:r>
    </w:p>
  </w:footnote>
  <w:footnote w:id="108">
    <w:p w14:paraId="63E54FB2" w14:textId="77777777" w:rsidR="005B3F8C" w:rsidRPr="00D93236" w:rsidRDefault="005B3F8C" w:rsidP="0000060F">
      <w:pPr>
        <w:tabs>
          <w:tab w:val="left" w:pos="0"/>
        </w:tabs>
        <w:jc w:val="both"/>
        <w:rPr>
          <w:rFonts w:asciiTheme="majorHAnsi" w:hAnsiTheme="majorHAnsi"/>
          <w:sz w:val="16"/>
          <w:szCs w:val="16"/>
          <w:lang w:val="it-IT"/>
        </w:rPr>
      </w:pPr>
      <w:r w:rsidRPr="00D93236">
        <w:rPr>
          <w:rStyle w:val="FootnoteReference"/>
          <w:rFonts w:asciiTheme="majorHAnsi" w:hAnsiTheme="majorHAnsi"/>
          <w:sz w:val="16"/>
          <w:szCs w:val="16"/>
        </w:rPr>
        <w:footnoteRef/>
      </w:r>
      <w:r w:rsidRPr="00D93236">
        <w:rPr>
          <w:rFonts w:asciiTheme="majorHAnsi" w:hAnsiTheme="majorHAnsi"/>
          <w:sz w:val="16"/>
          <w:szCs w:val="16"/>
          <w:lang w:val="es-MX"/>
        </w:rPr>
        <w:t xml:space="preserve"> Corte IDH. </w:t>
      </w:r>
      <w:r w:rsidRPr="00D93236">
        <w:rPr>
          <w:rFonts w:asciiTheme="majorHAnsi" w:hAnsiTheme="majorHAnsi"/>
          <w:bCs/>
          <w:i/>
          <w:sz w:val="16"/>
          <w:szCs w:val="16"/>
          <w:lang w:val="es-MX"/>
        </w:rPr>
        <w:t>Caso Cantoral Huamaní y García Santa Cruz Vs. Perú.</w:t>
      </w:r>
      <w:r w:rsidRPr="00D93236">
        <w:rPr>
          <w:rFonts w:asciiTheme="majorHAnsi" w:hAnsiTheme="majorHAnsi"/>
          <w:bCs/>
          <w:sz w:val="16"/>
          <w:szCs w:val="16"/>
          <w:lang w:val="es-MX"/>
        </w:rPr>
        <w:t xml:space="preserve"> </w:t>
      </w:r>
      <w:r w:rsidRPr="00D93236">
        <w:rPr>
          <w:rFonts w:asciiTheme="majorHAnsi" w:hAnsiTheme="majorHAnsi"/>
          <w:sz w:val="16"/>
          <w:szCs w:val="16"/>
          <w:lang w:val="es-MX"/>
        </w:rPr>
        <w:t xml:space="preserve">Excepción Preliminar, Fondo, Reparaciones y Costas. Sentencia de 10 de julio de 2007. Serie C No. 167. </w:t>
      </w:r>
      <w:r w:rsidRPr="00D93236">
        <w:rPr>
          <w:rFonts w:asciiTheme="majorHAnsi" w:hAnsiTheme="majorHAnsi"/>
          <w:sz w:val="16"/>
          <w:szCs w:val="16"/>
          <w:lang w:val="es-ES"/>
        </w:rPr>
        <w:t>Párr.</w:t>
      </w:r>
      <w:r w:rsidRPr="00D93236">
        <w:rPr>
          <w:rFonts w:asciiTheme="majorHAnsi" w:hAnsiTheme="majorHAnsi"/>
          <w:sz w:val="16"/>
          <w:szCs w:val="16"/>
          <w:lang w:val="es-MX"/>
        </w:rPr>
        <w:t xml:space="preserve"> 130; Corte IDH. </w:t>
      </w:r>
      <w:r w:rsidRPr="00D93236">
        <w:rPr>
          <w:rFonts w:asciiTheme="majorHAnsi" w:hAnsiTheme="majorHAnsi"/>
          <w:i/>
          <w:sz w:val="16"/>
          <w:szCs w:val="16"/>
          <w:lang w:val="es-MX"/>
        </w:rPr>
        <w:t>Caso</w:t>
      </w:r>
      <w:r w:rsidRPr="00D93236">
        <w:rPr>
          <w:rFonts w:asciiTheme="majorHAnsi" w:hAnsiTheme="majorHAnsi"/>
          <w:sz w:val="16"/>
          <w:szCs w:val="16"/>
          <w:lang w:val="es-MX"/>
        </w:rPr>
        <w:t xml:space="preserve"> </w:t>
      </w:r>
      <w:r w:rsidRPr="00D93236">
        <w:rPr>
          <w:rFonts w:asciiTheme="majorHAnsi" w:hAnsiTheme="majorHAnsi"/>
          <w:i/>
          <w:sz w:val="16"/>
          <w:szCs w:val="16"/>
          <w:lang w:val="es-MX"/>
        </w:rPr>
        <w:t>de la Masacre de Pueblo Bello Vs. Colombia</w:t>
      </w:r>
      <w:r w:rsidRPr="00D93236">
        <w:rPr>
          <w:rFonts w:asciiTheme="majorHAnsi" w:hAnsiTheme="majorHAnsi"/>
          <w:sz w:val="16"/>
          <w:szCs w:val="16"/>
          <w:lang w:val="es-MX"/>
        </w:rPr>
        <w:t xml:space="preserve">. Sentencia de 31 de enero de 2006. </w:t>
      </w:r>
      <w:r w:rsidRPr="00D93236">
        <w:rPr>
          <w:rFonts w:asciiTheme="majorHAnsi" w:hAnsiTheme="majorHAnsi"/>
          <w:sz w:val="16"/>
          <w:szCs w:val="16"/>
          <w:lang w:val="it-IT"/>
        </w:rPr>
        <w:t>Serie C No. 140. P</w:t>
      </w:r>
      <w:r w:rsidRPr="00D93236">
        <w:rPr>
          <w:rFonts w:asciiTheme="majorHAnsi" w:hAnsiTheme="majorHAnsi"/>
          <w:sz w:val="16"/>
          <w:szCs w:val="16"/>
          <w:lang w:val="es-MX"/>
        </w:rPr>
        <w:t xml:space="preserve">árr. 120; y Corte IDH. </w:t>
      </w:r>
      <w:r w:rsidRPr="00D93236">
        <w:rPr>
          <w:rFonts w:asciiTheme="majorHAnsi" w:hAnsiTheme="majorHAnsi"/>
          <w:i/>
          <w:sz w:val="16"/>
          <w:szCs w:val="16"/>
          <w:lang w:val="es-MX"/>
        </w:rPr>
        <w:t>Caso Huilca Tecse Vs. Perú</w:t>
      </w:r>
      <w:r w:rsidRPr="00D93236">
        <w:rPr>
          <w:rFonts w:asciiTheme="majorHAnsi" w:hAnsiTheme="majorHAnsi"/>
          <w:sz w:val="16"/>
          <w:szCs w:val="16"/>
          <w:lang w:val="es-MX"/>
        </w:rPr>
        <w:t>. Sentencia de 3 de marzo de 2005. Serie C No. 121, Párr. 66.</w:t>
      </w:r>
    </w:p>
  </w:footnote>
  <w:footnote w:id="109">
    <w:p w14:paraId="6F2F4963" w14:textId="77777777" w:rsidR="005B3F8C" w:rsidRPr="00D93236" w:rsidRDefault="005B3F8C" w:rsidP="0000060F">
      <w:pPr>
        <w:pStyle w:val="BodyTextIndent"/>
        <w:ind w:left="0" w:firstLine="0"/>
        <w:jc w:val="both"/>
        <w:rPr>
          <w:rFonts w:asciiTheme="majorHAnsi" w:hAnsiTheme="majorHAnsi"/>
          <w:color w:val="auto"/>
          <w:sz w:val="16"/>
          <w:szCs w:val="16"/>
          <w:lang w:val="es-CL"/>
        </w:rPr>
      </w:pPr>
      <w:r w:rsidRPr="00D93236">
        <w:rPr>
          <w:rStyle w:val="FootnoteReference"/>
          <w:rFonts w:asciiTheme="majorHAnsi" w:hAnsiTheme="majorHAnsi"/>
          <w:color w:val="auto"/>
          <w:sz w:val="16"/>
          <w:szCs w:val="16"/>
        </w:rPr>
        <w:footnoteRef/>
      </w:r>
      <w:r w:rsidRPr="00D93236">
        <w:rPr>
          <w:rFonts w:asciiTheme="majorHAnsi" w:hAnsiTheme="majorHAnsi"/>
          <w:color w:val="auto"/>
          <w:sz w:val="16"/>
          <w:szCs w:val="16"/>
          <w:lang w:val="es-CL"/>
        </w:rPr>
        <w:t xml:space="preserve"> CIDH, </w:t>
      </w:r>
      <w:r w:rsidRPr="00D93236">
        <w:rPr>
          <w:rFonts w:asciiTheme="majorHAnsi" w:hAnsiTheme="majorHAnsi"/>
          <w:i/>
          <w:color w:val="auto"/>
          <w:sz w:val="16"/>
          <w:szCs w:val="16"/>
          <w:lang w:val="es-CL"/>
        </w:rPr>
        <w:t>Informe sobre la Situación de las Defensoras y Defensores de los Derechos Humanos en las Américas</w:t>
      </w:r>
      <w:r w:rsidRPr="00D93236">
        <w:rPr>
          <w:rFonts w:asciiTheme="majorHAnsi" w:hAnsiTheme="majorHAnsi"/>
          <w:color w:val="auto"/>
          <w:sz w:val="16"/>
          <w:szCs w:val="16"/>
          <w:lang w:val="es-CL"/>
        </w:rPr>
        <w:t xml:space="preserve"> OEA/Ser.L/V/II.124. Doc. 5 rev.1, 7 de marzo de 2006, párr. 109.</w:t>
      </w:r>
    </w:p>
  </w:footnote>
  <w:footnote w:id="110">
    <w:p w14:paraId="041F401F" w14:textId="77777777" w:rsidR="005B3F8C" w:rsidRPr="00D93236" w:rsidRDefault="005B3F8C" w:rsidP="0000060F">
      <w:pPr>
        <w:pStyle w:val="FootnoteText"/>
        <w:tabs>
          <w:tab w:val="left" w:pos="360"/>
          <w:tab w:val="left" w:pos="900"/>
          <w:tab w:val="left" w:pos="1080"/>
        </w:tabs>
        <w:jc w:val="both"/>
        <w:rPr>
          <w:rFonts w:asciiTheme="majorHAnsi" w:hAnsiTheme="majorHAnsi"/>
          <w:color w:val="auto"/>
          <w:sz w:val="16"/>
          <w:szCs w:val="16"/>
          <w:lang w:val="es-ES_tradnl"/>
        </w:rPr>
      </w:pPr>
      <w:r w:rsidRPr="00D93236">
        <w:rPr>
          <w:rStyle w:val="FootnoteReference"/>
          <w:rFonts w:asciiTheme="majorHAnsi" w:hAnsiTheme="majorHAnsi"/>
          <w:color w:val="auto"/>
          <w:sz w:val="16"/>
          <w:szCs w:val="16"/>
        </w:rPr>
        <w:footnoteRef/>
      </w:r>
      <w:r w:rsidRPr="00D93236">
        <w:rPr>
          <w:rFonts w:asciiTheme="majorHAnsi" w:hAnsiTheme="majorHAnsi"/>
          <w:color w:val="auto"/>
          <w:sz w:val="16"/>
          <w:szCs w:val="16"/>
          <w:lang w:val="es-ES_tradnl"/>
        </w:rPr>
        <w:t xml:space="preserve"> Corte IDH. </w:t>
      </w:r>
      <w:r w:rsidRPr="00D93236">
        <w:rPr>
          <w:rFonts w:asciiTheme="majorHAnsi" w:hAnsiTheme="majorHAnsi"/>
          <w:bCs/>
          <w:i/>
          <w:color w:val="auto"/>
          <w:sz w:val="16"/>
          <w:szCs w:val="16"/>
          <w:lang w:val="es-ES_tradnl"/>
        </w:rPr>
        <w:t>Caso Zambrano Vélez y otros.</w:t>
      </w:r>
      <w:r w:rsidRPr="00D93236">
        <w:rPr>
          <w:rFonts w:asciiTheme="majorHAnsi" w:hAnsiTheme="majorHAnsi"/>
          <w:bCs/>
          <w:color w:val="auto"/>
          <w:sz w:val="16"/>
          <w:szCs w:val="16"/>
          <w:lang w:val="es-ES_tradnl"/>
        </w:rPr>
        <w:t xml:space="preserve"> </w:t>
      </w:r>
      <w:r w:rsidRPr="00D93236">
        <w:rPr>
          <w:rFonts w:asciiTheme="majorHAnsi" w:hAnsiTheme="majorHAnsi"/>
          <w:color w:val="auto"/>
          <w:sz w:val="16"/>
          <w:szCs w:val="16"/>
          <w:lang w:val="es-ES_tradnl"/>
        </w:rPr>
        <w:t>Fondo, Reparaciones y Costas. Sentencia de 4 de julio de 2007. Serie C No. 166. Párr. 122.</w:t>
      </w:r>
    </w:p>
  </w:footnote>
  <w:footnote w:id="111">
    <w:p w14:paraId="3DEBA121" w14:textId="77777777" w:rsidR="005B3F8C" w:rsidRPr="00D93236" w:rsidRDefault="005B3F8C" w:rsidP="0000060F">
      <w:pPr>
        <w:pStyle w:val="FootnoteText"/>
        <w:jc w:val="both"/>
        <w:rPr>
          <w:rFonts w:asciiTheme="majorHAnsi" w:hAnsiTheme="majorHAnsi"/>
          <w:b/>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b/>
          <w:sz w:val="16"/>
          <w:szCs w:val="16"/>
          <w:lang w:val="es-AR"/>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Myrna Mack Chang Vs. Guatemala</w:t>
      </w:r>
      <w:r w:rsidRPr="00D93236">
        <w:rPr>
          <w:rStyle w:val="Strong"/>
          <w:rFonts w:asciiTheme="majorHAnsi" w:hAnsiTheme="majorHAnsi"/>
          <w:b w:val="0"/>
          <w:sz w:val="16"/>
          <w:szCs w:val="16"/>
          <w:shd w:val="clear" w:color="auto" w:fill="FFFFFF"/>
          <w:lang w:val="es-AR"/>
        </w:rPr>
        <w:t xml:space="preserve">. Fondo, Reparaciones y Costas. Sentencia de 25 de noviembre de 2003. Serie C No. 101. Párr. 217; Corte IDH. </w:t>
      </w:r>
      <w:r w:rsidRPr="00D93236">
        <w:rPr>
          <w:rStyle w:val="Strong"/>
          <w:rFonts w:asciiTheme="majorHAnsi" w:hAnsiTheme="majorHAnsi"/>
          <w:b w:val="0"/>
          <w:i/>
          <w:sz w:val="16"/>
          <w:szCs w:val="16"/>
          <w:shd w:val="clear" w:color="auto" w:fill="FFFFFF"/>
          <w:lang w:val="es-AR"/>
        </w:rPr>
        <w:t>Caso de las Hermanas Serrano Cruz Vs. El Salvador</w:t>
      </w:r>
      <w:r w:rsidRPr="00D93236">
        <w:rPr>
          <w:rStyle w:val="Strong"/>
          <w:rFonts w:asciiTheme="majorHAnsi" w:hAnsiTheme="majorHAnsi"/>
          <w:b w:val="0"/>
          <w:sz w:val="16"/>
          <w:szCs w:val="16"/>
          <w:shd w:val="clear" w:color="auto" w:fill="FFFFFF"/>
          <w:lang w:val="es-AR"/>
        </w:rPr>
        <w:t xml:space="preserve">. Fondo, Reparaciones y Costas. Sentencia de 1 de marzo de 2005. Serie C No. 120. Párr. 83; Corte IDH. </w:t>
      </w:r>
      <w:r w:rsidRPr="00D93236">
        <w:rPr>
          <w:rStyle w:val="Strong"/>
          <w:rFonts w:asciiTheme="majorHAnsi" w:hAnsiTheme="majorHAnsi"/>
          <w:b w:val="0"/>
          <w:i/>
          <w:sz w:val="16"/>
          <w:szCs w:val="16"/>
          <w:shd w:val="clear" w:color="auto" w:fill="FFFFFF"/>
          <w:lang w:val="es-AR"/>
        </w:rPr>
        <w:t>Caso Coc Max y otros (Masacre de Xamán) Vs. Guatemala</w:t>
      </w:r>
      <w:r w:rsidRPr="00D93236">
        <w:rPr>
          <w:rStyle w:val="Strong"/>
          <w:rFonts w:asciiTheme="majorHAnsi" w:hAnsiTheme="majorHAnsi"/>
          <w:b w:val="0"/>
          <w:sz w:val="16"/>
          <w:szCs w:val="16"/>
          <w:shd w:val="clear" w:color="auto" w:fill="FFFFFF"/>
          <w:lang w:val="es-AR"/>
        </w:rPr>
        <w:t xml:space="preserve">. Fondo, Reparaciones y Costas. Sentencia de 22 de agosto de 2018. Serie C No. 356. Párr. 81. </w:t>
      </w:r>
    </w:p>
  </w:footnote>
  <w:footnote w:id="112">
    <w:p w14:paraId="13914DDA" w14:textId="77777777" w:rsidR="005B3F8C" w:rsidRPr="00D93236" w:rsidRDefault="005B3F8C" w:rsidP="00E27260">
      <w:pPr>
        <w:pStyle w:val="FootnoteText"/>
        <w:jc w:val="both"/>
        <w:rPr>
          <w:rFonts w:asciiTheme="majorHAnsi" w:hAnsiTheme="majorHAnsi"/>
          <w:b/>
          <w:sz w:val="16"/>
          <w:szCs w:val="16"/>
          <w:lang w:val="es-AR"/>
        </w:rPr>
      </w:pPr>
      <w:r w:rsidRPr="00D93236">
        <w:rPr>
          <w:rStyle w:val="FootnoteReference"/>
          <w:rFonts w:asciiTheme="majorHAnsi" w:hAnsiTheme="majorHAnsi"/>
          <w:sz w:val="16"/>
          <w:szCs w:val="16"/>
        </w:rPr>
        <w:footnoteRef/>
      </w:r>
      <w:r w:rsidRPr="00D93236">
        <w:rPr>
          <w:rStyle w:val="Strong"/>
          <w:rFonts w:asciiTheme="majorHAnsi" w:hAnsiTheme="majorHAnsi"/>
          <w:sz w:val="16"/>
          <w:szCs w:val="16"/>
          <w:shd w:val="clear" w:color="auto" w:fill="FFFFFF"/>
          <w:lang w:val="es-AR"/>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Bulacio Vs. Argentina</w:t>
      </w:r>
      <w:r w:rsidRPr="00D93236">
        <w:rPr>
          <w:rStyle w:val="Strong"/>
          <w:rFonts w:asciiTheme="majorHAnsi" w:hAnsiTheme="majorHAnsi"/>
          <w:b w:val="0"/>
          <w:sz w:val="16"/>
          <w:szCs w:val="16"/>
          <w:shd w:val="clear" w:color="auto" w:fill="FFFFFF"/>
          <w:lang w:val="es-AR"/>
        </w:rPr>
        <w:t xml:space="preserve">. Fondo, Reparaciones y Costas. Sentencia de 18 de septiembre de 2003. Serie C No. 100. Párrs. 114 a 116; Corte IDH. </w:t>
      </w:r>
      <w:r w:rsidRPr="00D93236">
        <w:rPr>
          <w:rStyle w:val="Strong"/>
          <w:rFonts w:asciiTheme="majorHAnsi" w:hAnsiTheme="majorHAnsi"/>
          <w:b w:val="0"/>
          <w:i/>
          <w:sz w:val="16"/>
          <w:szCs w:val="16"/>
          <w:shd w:val="clear" w:color="auto" w:fill="FFFFFF"/>
          <w:lang w:val="es-AR"/>
        </w:rPr>
        <w:t>Caso García Ibarra y otros Vs. Ecuador</w:t>
      </w:r>
      <w:r w:rsidRPr="00D93236">
        <w:rPr>
          <w:rStyle w:val="Strong"/>
          <w:rFonts w:asciiTheme="majorHAnsi" w:hAnsiTheme="majorHAnsi"/>
          <w:b w:val="0"/>
          <w:sz w:val="16"/>
          <w:szCs w:val="16"/>
          <w:shd w:val="clear" w:color="auto" w:fill="FFFFFF"/>
          <w:lang w:val="es-AR"/>
        </w:rPr>
        <w:t xml:space="preserve">. Excepciones Preliminares, Fondo, Reparaciones y Costas. Sentencia de 17 de noviembre de 2015. Serie C No. 306. Párr.  132. </w:t>
      </w:r>
    </w:p>
  </w:footnote>
  <w:footnote w:id="113">
    <w:p w14:paraId="48645606"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93236">
        <w:rPr>
          <w:rFonts w:asciiTheme="majorHAnsi" w:eastAsia="Times New Roman" w:hAnsiTheme="majorHAnsi"/>
          <w:bCs/>
          <w:sz w:val="16"/>
          <w:szCs w:val="16"/>
          <w:shd w:val="clear" w:color="auto" w:fill="FFFFFF"/>
          <w:lang w:val="es-ES"/>
        </w:rPr>
        <w:t xml:space="preserve">Corte IDH. </w:t>
      </w:r>
      <w:r w:rsidRPr="00D93236">
        <w:rPr>
          <w:rFonts w:asciiTheme="majorHAnsi" w:eastAsia="Times New Roman" w:hAnsiTheme="majorHAnsi"/>
          <w:bCs/>
          <w:i/>
          <w:sz w:val="16"/>
          <w:szCs w:val="16"/>
          <w:shd w:val="clear" w:color="auto" w:fill="FFFFFF"/>
          <w:lang w:val="es-ES"/>
        </w:rPr>
        <w:t>Caso Rodríguez Vera y otros (Desaparecidos del Palacio de Justicia) Vs. Colombia</w:t>
      </w:r>
      <w:r w:rsidRPr="00D93236">
        <w:rPr>
          <w:rFonts w:asciiTheme="majorHAnsi" w:eastAsia="Times New Roman" w:hAnsiTheme="majorHAnsi"/>
          <w:bCs/>
          <w:sz w:val="16"/>
          <w:szCs w:val="16"/>
          <w:shd w:val="clear" w:color="auto" w:fill="FFFFFF"/>
          <w:lang w:val="es-ES"/>
        </w:rPr>
        <w:t>. Excepciones Preliminares, Fondo, Reparaciones y Costas. Sentencia de 14 de noviembre de 2014. Serie C No. 287. Párr. 500.</w:t>
      </w:r>
    </w:p>
  </w:footnote>
  <w:footnote w:id="114">
    <w:p w14:paraId="4C44F600" w14:textId="77777777" w:rsidR="005B3F8C" w:rsidRPr="00D93236" w:rsidRDefault="005B3F8C" w:rsidP="00E27260">
      <w:pPr>
        <w:pStyle w:val="FootnoteText"/>
        <w:jc w:val="both"/>
        <w:rPr>
          <w:rFonts w:asciiTheme="majorHAnsi" w:hAnsiTheme="majorHAnsi"/>
          <w:b/>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93236">
        <w:rPr>
          <w:rStyle w:val="Strong"/>
          <w:rFonts w:asciiTheme="majorHAnsi" w:hAnsiTheme="majorHAnsi"/>
          <w:b w:val="0"/>
          <w:sz w:val="16"/>
          <w:szCs w:val="16"/>
          <w:shd w:val="clear" w:color="auto" w:fill="FFFFFF"/>
          <w:lang w:val="es-US"/>
        </w:rPr>
        <w:t xml:space="preserve">Corte IDH. </w:t>
      </w:r>
      <w:r w:rsidRPr="00D93236">
        <w:rPr>
          <w:rStyle w:val="Strong"/>
          <w:rFonts w:asciiTheme="majorHAnsi" w:hAnsiTheme="majorHAnsi"/>
          <w:b w:val="0"/>
          <w:i/>
          <w:sz w:val="16"/>
          <w:szCs w:val="16"/>
          <w:shd w:val="clear" w:color="auto" w:fill="FFFFFF"/>
          <w:lang w:val="es-US"/>
        </w:rPr>
        <w:t>Caso Herrera Ulloa Vs. Costa Rica</w:t>
      </w:r>
      <w:r w:rsidRPr="00D93236">
        <w:rPr>
          <w:rStyle w:val="Strong"/>
          <w:rFonts w:asciiTheme="majorHAnsi" w:hAnsiTheme="majorHAnsi"/>
          <w:b w:val="0"/>
          <w:sz w:val="16"/>
          <w:szCs w:val="16"/>
          <w:shd w:val="clear" w:color="auto" w:fill="FFFFFF"/>
          <w:lang w:val="es-US"/>
        </w:rPr>
        <w:t xml:space="preserve">. </w:t>
      </w:r>
      <w:r w:rsidRPr="00D93236">
        <w:rPr>
          <w:rStyle w:val="Strong"/>
          <w:rFonts w:asciiTheme="majorHAnsi" w:hAnsiTheme="majorHAnsi"/>
          <w:b w:val="0"/>
          <w:sz w:val="16"/>
          <w:szCs w:val="16"/>
          <w:shd w:val="clear" w:color="auto" w:fill="FFFFFF"/>
          <w:lang w:val="es-AR"/>
        </w:rPr>
        <w:t>Excepciones Preliminares, Fondo, Reparaciones y Costas. Sentencia de 2 de julio de 2004. Serie C No. 107. Párrs 169 a 171.</w:t>
      </w:r>
    </w:p>
  </w:footnote>
  <w:footnote w:id="115">
    <w:p w14:paraId="0C9E4554" w14:textId="77777777" w:rsidR="005B3F8C" w:rsidRPr="00386E47" w:rsidRDefault="005B3F8C" w:rsidP="00A57D5E">
      <w:pPr>
        <w:pStyle w:val="FootnoteText"/>
        <w:jc w:val="both"/>
        <w:rPr>
          <w:rFonts w:asciiTheme="majorHAnsi" w:hAnsiTheme="majorHAnsi"/>
          <w:sz w:val="16"/>
          <w:szCs w:val="16"/>
          <w:lang w:val="pt-BR"/>
        </w:rPr>
      </w:pPr>
      <w:r w:rsidRPr="00D93236">
        <w:rPr>
          <w:rStyle w:val="FootnoteReference"/>
          <w:rFonts w:asciiTheme="majorHAnsi" w:hAnsiTheme="majorHAnsi"/>
          <w:sz w:val="16"/>
          <w:szCs w:val="16"/>
          <w:lang w:val="es-ES"/>
        </w:rPr>
        <w:footnoteRef/>
      </w:r>
      <w:r w:rsidRPr="00386E47">
        <w:rPr>
          <w:rFonts w:asciiTheme="majorHAnsi" w:hAnsiTheme="majorHAnsi" w:cs="Verdana-Bold"/>
          <w:bCs/>
          <w:i/>
          <w:sz w:val="16"/>
          <w:szCs w:val="16"/>
          <w:lang w:val="es-AR" w:bidi="en-US"/>
        </w:rPr>
        <w:t xml:space="preserve"> </w:t>
      </w:r>
      <w:r w:rsidRPr="00386E47">
        <w:rPr>
          <w:rFonts w:asciiTheme="majorHAnsi" w:hAnsiTheme="majorHAnsi" w:cs="Verdana-Bold"/>
          <w:bCs/>
          <w:sz w:val="16"/>
          <w:szCs w:val="16"/>
          <w:lang w:val="es-AR" w:bidi="en-US"/>
        </w:rPr>
        <w:t xml:space="preserve">Corte IDH. </w:t>
      </w:r>
      <w:r w:rsidRPr="00386E47">
        <w:rPr>
          <w:rFonts w:asciiTheme="majorHAnsi" w:hAnsiTheme="majorHAnsi" w:cs="Verdana-Bold"/>
          <w:bCs/>
          <w:i/>
          <w:sz w:val="16"/>
          <w:szCs w:val="16"/>
          <w:lang w:val="es-AR" w:bidi="en-US"/>
        </w:rPr>
        <w:t xml:space="preserve">Caso Nogueira de Carvalho y otro Vs. </w:t>
      </w:r>
      <w:r w:rsidRPr="00D93236">
        <w:rPr>
          <w:rFonts w:asciiTheme="majorHAnsi" w:hAnsiTheme="majorHAnsi" w:cs="Verdana-Bold"/>
          <w:bCs/>
          <w:i/>
          <w:sz w:val="16"/>
          <w:szCs w:val="16"/>
          <w:lang w:val="es-ES" w:bidi="en-US"/>
        </w:rPr>
        <w:t xml:space="preserve">Brasil. </w:t>
      </w:r>
      <w:r w:rsidRPr="00D93236">
        <w:rPr>
          <w:rFonts w:asciiTheme="majorHAnsi" w:hAnsiTheme="majorHAnsi" w:cs="Verdana"/>
          <w:sz w:val="16"/>
          <w:szCs w:val="16"/>
          <w:lang w:val="es-ES" w:bidi="en-US"/>
        </w:rPr>
        <w:t xml:space="preserve">Excepciones Preliminares y Fondo. Sentencia de 28 de Noviembre de 2006. </w:t>
      </w:r>
      <w:r w:rsidRPr="00386E47">
        <w:rPr>
          <w:rFonts w:asciiTheme="majorHAnsi" w:hAnsiTheme="majorHAnsi" w:cs="Verdana"/>
          <w:sz w:val="16"/>
          <w:szCs w:val="16"/>
          <w:lang w:val="pt-BR" w:bidi="en-US"/>
        </w:rPr>
        <w:t>Serie C No. 161</w:t>
      </w:r>
      <w:r w:rsidRPr="00386E47">
        <w:rPr>
          <w:rFonts w:asciiTheme="majorHAnsi" w:hAnsiTheme="majorHAnsi"/>
          <w:sz w:val="16"/>
          <w:szCs w:val="16"/>
          <w:lang w:val="pt-BR"/>
        </w:rPr>
        <w:t xml:space="preserve">, </w:t>
      </w:r>
      <w:r w:rsidRPr="00386E47">
        <w:rPr>
          <w:rFonts w:asciiTheme="majorHAnsi" w:hAnsiTheme="majorHAnsi" w:cs="Verdana"/>
          <w:sz w:val="16"/>
          <w:szCs w:val="16"/>
          <w:lang w:val="pt-BR"/>
        </w:rPr>
        <w:t>párr. 80.</w:t>
      </w:r>
      <w:r w:rsidRPr="00386E47">
        <w:rPr>
          <w:rFonts w:asciiTheme="majorHAnsi" w:hAnsiTheme="majorHAnsi"/>
          <w:sz w:val="16"/>
          <w:szCs w:val="16"/>
          <w:lang w:val="pt-BR"/>
        </w:rPr>
        <w:t xml:space="preserve"> </w:t>
      </w:r>
    </w:p>
  </w:footnote>
  <w:footnote w:id="116">
    <w:p w14:paraId="2ED66D80" w14:textId="77777777" w:rsidR="005B3F8C" w:rsidRPr="00D93236" w:rsidRDefault="005B3F8C" w:rsidP="00A57D5E">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386E47">
        <w:rPr>
          <w:rFonts w:asciiTheme="majorHAnsi" w:hAnsiTheme="majorHAnsi"/>
          <w:sz w:val="16"/>
          <w:szCs w:val="16"/>
          <w:lang w:val="pt-BR"/>
        </w:rPr>
        <w:t xml:space="preserve"> Corte IDH., </w:t>
      </w:r>
      <w:r w:rsidRPr="00386E47">
        <w:rPr>
          <w:rFonts w:asciiTheme="majorHAnsi" w:hAnsiTheme="majorHAnsi"/>
          <w:i/>
          <w:sz w:val="16"/>
          <w:szCs w:val="16"/>
          <w:lang w:val="pt-BR"/>
        </w:rPr>
        <w:t xml:space="preserve">Caso Kawas Fernández Vs. </w:t>
      </w:r>
      <w:r w:rsidRPr="00D93236">
        <w:rPr>
          <w:rFonts w:asciiTheme="majorHAnsi" w:hAnsiTheme="majorHAnsi"/>
          <w:i/>
          <w:sz w:val="16"/>
          <w:szCs w:val="16"/>
          <w:lang w:val="es-ES"/>
        </w:rPr>
        <w:t>Honduras</w:t>
      </w:r>
      <w:r w:rsidRPr="00D93236">
        <w:rPr>
          <w:rFonts w:asciiTheme="majorHAnsi" w:hAnsiTheme="majorHAnsi"/>
          <w:sz w:val="16"/>
          <w:szCs w:val="16"/>
          <w:lang w:val="es-ES"/>
        </w:rPr>
        <w:t xml:space="preserve">. Fondo, Reparaciones y Costas. Sentencia de 3 de abril de 2009. Serie C No. 196, párr.112.  </w:t>
      </w:r>
    </w:p>
  </w:footnote>
  <w:footnote w:id="117">
    <w:p w14:paraId="73339400" w14:textId="77777777" w:rsidR="005B3F8C" w:rsidRPr="00D93236" w:rsidRDefault="005B3F8C" w:rsidP="00A57D5E">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Corte IDH. </w:t>
      </w:r>
      <w:r w:rsidRPr="00D93236">
        <w:rPr>
          <w:rFonts w:asciiTheme="majorHAnsi" w:hAnsiTheme="majorHAnsi" w:cs="Univers,Italic"/>
          <w:i/>
          <w:iCs/>
          <w:sz w:val="16"/>
          <w:szCs w:val="16"/>
          <w:lang w:val="es-ES"/>
        </w:rPr>
        <w:t xml:space="preserve">Caso Tiu Tojín Vs. Guatemala. </w:t>
      </w:r>
      <w:r w:rsidRPr="00D93236">
        <w:rPr>
          <w:rFonts w:asciiTheme="majorHAnsi" w:hAnsiTheme="majorHAnsi"/>
          <w:sz w:val="16"/>
          <w:szCs w:val="16"/>
          <w:lang w:val="es-ES"/>
        </w:rPr>
        <w:t xml:space="preserve">Fondo, Reparaciones y Costas. Sentencia de 26 de noviembre de 2008. Serie C No. 190, párr. 77. </w:t>
      </w:r>
    </w:p>
  </w:footnote>
  <w:footnote w:id="118">
    <w:p w14:paraId="1CC1AF4D" w14:textId="77777777" w:rsidR="005B3F8C" w:rsidRPr="00D93236" w:rsidRDefault="005B3F8C" w:rsidP="00A57D5E">
      <w:pPr>
        <w:jc w:val="both"/>
        <w:rPr>
          <w:rFonts w:asciiTheme="majorHAnsi" w:hAnsiTheme="majorHAnsi" w:cs="Arial"/>
          <w:sz w:val="16"/>
          <w:szCs w:val="16"/>
          <w:lang w:val="pt-BR"/>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CIDH, Informe de Fondo, N˚ 55/97, </w:t>
      </w:r>
      <w:r w:rsidRPr="00D93236">
        <w:rPr>
          <w:rFonts w:asciiTheme="majorHAnsi" w:hAnsiTheme="majorHAnsi"/>
          <w:i/>
          <w:sz w:val="16"/>
          <w:szCs w:val="16"/>
          <w:lang w:val="es-ES"/>
        </w:rPr>
        <w:t xml:space="preserve">Juan Carlos Abella y Otros </w:t>
      </w:r>
      <w:r w:rsidRPr="00D93236">
        <w:rPr>
          <w:rFonts w:asciiTheme="majorHAnsi" w:hAnsiTheme="majorHAnsi"/>
          <w:sz w:val="16"/>
          <w:szCs w:val="16"/>
          <w:lang w:val="es-ES"/>
        </w:rPr>
        <w:t>(Argentina)</w:t>
      </w:r>
      <w:r w:rsidRPr="00D93236">
        <w:rPr>
          <w:rFonts w:asciiTheme="majorHAnsi" w:hAnsiTheme="majorHAnsi"/>
          <w:i/>
          <w:sz w:val="16"/>
          <w:szCs w:val="16"/>
          <w:lang w:val="es-ES"/>
        </w:rPr>
        <w:t xml:space="preserve">, </w:t>
      </w:r>
      <w:r w:rsidRPr="00D93236">
        <w:rPr>
          <w:rFonts w:asciiTheme="majorHAnsi" w:hAnsiTheme="majorHAnsi"/>
          <w:sz w:val="16"/>
          <w:szCs w:val="16"/>
          <w:lang w:val="es-ES"/>
        </w:rPr>
        <w:t xml:space="preserve">18 de noviembre de 1997, párr. </w:t>
      </w:r>
      <w:r w:rsidRPr="00D93236">
        <w:rPr>
          <w:rFonts w:asciiTheme="majorHAnsi" w:hAnsiTheme="majorHAnsi"/>
          <w:sz w:val="16"/>
          <w:szCs w:val="16"/>
          <w:lang w:val="pt-BR"/>
        </w:rPr>
        <w:t>412.</w:t>
      </w:r>
    </w:p>
  </w:footnote>
  <w:footnote w:id="119">
    <w:p w14:paraId="4D6ED4A5" w14:textId="77777777" w:rsidR="005B3F8C" w:rsidRPr="00D93236" w:rsidRDefault="005B3F8C" w:rsidP="00A57D5E">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pt-BR"/>
        </w:rPr>
        <w:t xml:space="preserve"> CIDH, Informe No. 25/09 Fondo. Sebastião Camargo Filho. </w:t>
      </w:r>
      <w:r w:rsidRPr="003E67F8">
        <w:rPr>
          <w:rFonts w:asciiTheme="majorHAnsi" w:hAnsiTheme="majorHAnsi"/>
          <w:sz w:val="16"/>
          <w:szCs w:val="16"/>
          <w:lang w:val="pt-BR"/>
        </w:rPr>
        <w:t xml:space="preserve">Brasil, 19 de marzo de 2009, párr. </w:t>
      </w:r>
      <w:r w:rsidRPr="00D93236">
        <w:rPr>
          <w:rFonts w:asciiTheme="majorHAnsi" w:hAnsiTheme="majorHAnsi"/>
          <w:sz w:val="16"/>
          <w:szCs w:val="16"/>
          <w:lang w:val="es-ES"/>
        </w:rPr>
        <w:t xml:space="preserve">109. Ver también, CIDH, </w:t>
      </w:r>
      <w:r w:rsidRPr="00D93236">
        <w:rPr>
          <w:rFonts w:asciiTheme="majorHAnsi" w:hAnsiTheme="majorHAnsi"/>
          <w:i/>
          <w:sz w:val="16"/>
          <w:szCs w:val="16"/>
          <w:lang w:val="es-ES"/>
        </w:rPr>
        <w:t>Acceso a la Justicia para las Mujeres Víctimas de Violencia en las Américas</w:t>
      </w:r>
      <w:r w:rsidRPr="00D93236">
        <w:rPr>
          <w:rFonts w:asciiTheme="majorHAnsi" w:hAnsiTheme="majorHAnsi"/>
          <w:sz w:val="16"/>
          <w:szCs w:val="16"/>
          <w:lang w:val="es-ES"/>
        </w:rPr>
        <w:t>, OEA/Ser. L/V/II. doc.68, 20 de enero de 2007, párr. 41.</w:t>
      </w:r>
    </w:p>
  </w:footnote>
  <w:footnote w:id="120">
    <w:p w14:paraId="2FE09635" w14:textId="77777777" w:rsidR="005B3F8C" w:rsidRPr="00D93236" w:rsidRDefault="005B3F8C" w:rsidP="00A57D5E">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Corte IDH., </w:t>
      </w:r>
      <w:r w:rsidRPr="00D93236">
        <w:rPr>
          <w:rFonts w:asciiTheme="majorHAnsi" w:hAnsiTheme="majorHAnsi"/>
          <w:i/>
          <w:iCs/>
          <w:sz w:val="16"/>
          <w:szCs w:val="16"/>
          <w:lang w:val="es-ES"/>
        </w:rPr>
        <w:t>Caso de los “Niños de la Calle” (Villagrán Morales y otros) Vs. Guatemala.</w:t>
      </w:r>
      <w:r w:rsidRPr="00D93236">
        <w:rPr>
          <w:rFonts w:asciiTheme="majorHAnsi" w:hAnsiTheme="majorHAnsi"/>
          <w:sz w:val="16"/>
          <w:szCs w:val="16"/>
          <w:lang w:val="es-ES"/>
        </w:rPr>
        <w:t xml:space="preserve"> Sentencia de 19 de noviembre de 1999. Serie C No. 63, párr. 230. Ver también, CIDH, </w:t>
      </w:r>
      <w:r w:rsidRPr="00D93236">
        <w:rPr>
          <w:rFonts w:asciiTheme="majorHAnsi" w:hAnsiTheme="majorHAnsi"/>
          <w:i/>
          <w:sz w:val="16"/>
          <w:szCs w:val="16"/>
          <w:lang w:val="es-ES"/>
        </w:rPr>
        <w:t>Acceso a la Justicia para las Mujeres Víctimas de Violencia en las Américas</w:t>
      </w:r>
      <w:r w:rsidRPr="00D93236">
        <w:rPr>
          <w:rFonts w:asciiTheme="majorHAnsi" w:hAnsiTheme="majorHAnsi"/>
          <w:sz w:val="16"/>
          <w:szCs w:val="16"/>
          <w:lang w:val="es-ES"/>
        </w:rPr>
        <w:t>, OEA/Ser. L/V/II. doc.68, 20 de enero de 2007, párr. 41.</w:t>
      </w:r>
    </w:p>
  </w:footnote>
  <w:footnote w:id="121">
    <w:p w14:paraId="55EF480B"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lang w:val="es-ES"/>
        </w:rPr>
        <w:footnoteRef/>
      </w:r>
      <w:r w:rsidRPr="00D93236">
        <w:rPr>
          <w:rFonts w:asciiTheme="majorHAnsi" w:hAnsiTheme="majorHAnsi"/>
          <w:b/>
          <w:sz w:val="16"/>
          <w:szCs w:val="16"/>
          <w:lang w:val="es-AR"/>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ES"/>
        </w:rPr>
        <w:t>Caso del Caracazo Vs. Venezuela</w:t>
      </w:r>
      <w:r w:rsidRPr="00D93236">
        <w:rPr>
          <w:rStyle w:val="Strong"/>
          <w:rFonts w:asciiTheme="majorHAnsi" w:hAnsiTheme="majorHAnsi"/>
          <w:b w:val="0"/>
          <w:sz w:val="16"/>
          <w:szCs w:val="16"/>
          <w:shd w:val="clear" w:color="auto" w:fill="FFFFFF"/>
          <w:lang w:val="es-ES"/>
        </w:rPr>
        <w:t xml:space="preserve">. Reparaciones y Costas. Sentencia de 29 de agosto de 2002. Serie C No. 95. </w:t>
      </w:r>
      <w:r w:rsidRPr="00D93236">
        <w:rPr>
          <w:rStyle w:val="Strong"/>
          <w:rFonts w:asciiTheme="majorHAnsi" w:hAnsiTheme="majorHAnsi"/>
          <w:b w:val="0"/>
          <w:sz w:val="16"/>
          <w:szCs w:val="16"/>
          <w:shd w:val="clear" w:color="auto" w:fill="FFFFFF"/>
          <w:lang w:val="pt-BR"/>
        </w:rPr>
        <w:t xml:space="preserve">Párr. </w:t>
      </w:r>
      <w:r w:rsidRPr="00D93236">
        <w:rPr>
          <w:rFonts w:asciiTheme="majorHAnsi" w:hAnsiTheme="majorHAnsi"/>
          <w:sz w:val="16"/>
          <w:szCs w:val="16"/>
          <w:lang w:val="pt-BR"/>
        </w:rPr>
        <w:t>119;</w:t>
      </w:r>
      <w:r w:rsidRPr="00D93236">
        <w:rPr>
          <w:rFonts w:asciiTheme="majorHAnsi" w:hAnsiTheme="majorHAnsi"/>
          <w:b/>
          <w:sz w:val="16"/>
          <w:szCs w:val="16"/>
          <w:lang w:val="pt-BR"/>
        </w:rPr>
        <w:t xml:space="preserve"> </w:t>
      </w:r>
      <w:r w:rsidRPr="00D93236">
        <w:rPr>
          <w:rStyle w:val="Strong"/>
          <w:rFonts w:asciiTheme="majorHAnsi" w:hAnsiTheme="majorHAnsi"/>
          <w:b w:val="0"/>
          <w:sz w:val="16"/>
          <w:szCs w:val="16"/>
          <w:shd w:val="clear" w:color="auto" w:fill="FFFFFF"/>
          <w:lang w:val="pt-BR"/>
        </w:rPr>
        <w:t xml:space="preserve">Corte IDH. </w:t>
      </w:r>
      <w:r w:rsidRPr="00D93236">
        <w:rPr>
          <w:rStyle w:val="Strong"/>
          <w:rFonts w:asciiTheme="majorHAnsi" w:hAnsiTheme="majorHAnsi"/>
          <w:b w:val="0"/>
          <w:i/>
          <w:sz w:val="16"/>
          <w:szCs w:val="16"/>
          <w:shd w:val="clear" w:color="auto" w:fill="FFFFFF"/>
          <w:lang w:val="pt-BR"/>
        </w:rPr>
        <w:t>Caso Masacres de Río Negro Vs. Guatemala</w:t>
      </w:r>
      <w:r w:rsidRPr="00D93236">
        <w:rPr>
          <w:rStyle w:val="Strong"/>
          <w:rFonts w:asciiTheme="majorHAnsi" w:hAnsiTheme="majorHAnsi"/>
          <w:b w:val="0"/>
          <w:sz w:val="16"/>
          <w:szCs w:val="16"/>
          <w:shd w:val="clear" w:color="auto" w:fill="FFFFFF"/>
          <w:lang w:val="pt-BR"/>
        </w:rPr>
        <w:t xml:space="preserve">. </w:t>
      </w:r>
      <w:r w:rsidRPr="00D93236">
        <w:rPr>
          <w:rStyle w:val="Strong"/>
          <w:rFonts w:asciiTheme="majorHAnsi" w:hAnsiTheme="majorHAnsi"/>
          <w:b w:val="0"/>
          <w:sz w:val="16"/>
          <w:szCs w:val="16"/>
          <w:shd w:val="clear" w:color="auto" w:fill="FFFFFF"/>
          <w:lang w:val="es-AR"/>
        </w:rPr>
        <w:t>Excepción Preliminar, Fondo, Reparaciones y Costas. Sentencia de 4 de septiembre de 2012. Serie C No. 250. Parr 257.</w:t>
      </w:r>
      <w:r w:rsidRPr="00D93236">
        <w:rPr>
          <w:rStyle w:val="Strong"/>
          <w:rFonts w:asciiTheme="majorHAnsi" w:hAnsiTheme="majorHAnsi"/>
          <w:sz w:val="16"/>
          <w:szCs w:val="16"/>
          <w:shd w:val="clear" w:color="auto" w:fill="FFFFFF"/>
          <w:lang w:val="es-AR"/>
        </w:rPr>
        <w:t xml:space="preserve"> </w:t>
      </w:r>
    </w:p>
  </w:footnote>
  <w:footnote w:id="122">
    <w:p w14:paraId="57ABB133" w14:textId="77777777" w:rsidR="005B3F8C" w:rsidRPr="00D93236" w:rsidRDefault="005B3F8C" w:rsidP="00E27260">
      <w:pPr>
        <w:pStyle w:val="FootnoteText"/>
        <w:jc w:val="both"/>
        <w:rPr>
          <w:rFonts w:asciiTheme="majorHAnsi" w:hAnsiTheme="majorHAnsi"/>
          <w:b/>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González Medina y familiares Vs. República Dominicana</w:t>
      </w:r>
      <w:r w:rsidRPr="00D93236">
        <w:rPr>
          <w:rStyle w:val="Strong"/>
          <w:rFonts w:asciiTheme="majorHAnsi" w:hAnsiTheme="majorHAnsi"/>
          <w:b w:val="0"/>
          <w:sz w:val="16"/>
          <w:szCs w:val="16"/>
          <w:shd w:val="clear" w:color="auto" w:fill="FFFFFF"/>
          <w:lang w:val="es-AR"/>
        </w:rPr>
        <w:t xml:space="preserve">. Excepciones Preliminares, Fondo, Reparaciones y Costas. Sentencia de 27 de febrero de 2012. Serie C No. 240. Párr. 251. Ver también: CIDH. </w:t>
      </w:r>
      <w:r w:rsidRPr="00D93236">
        <w:rPr>
          <w:rStyle w:val="Strong"/>
          <w:rFonts w:asciiTheme="majorHAnsi" w:hAnsiTheme="majorHAnsi"/>
          <w:b w:val="0"/>
          <w:i/>
          <w:sz w:val="16"/>
          <w:szCs w:val="16"/>
          <w:shd w:val="clear" w:color="auto" w:fill="FFFFFF"/>
          <w:lang w:val="es-AR"/>
        </w:rPr>
        <w:t>Derecho a la Verdad en las Américas</w:t>
      </w:r>
      <w:r w:rsidRPr="00D93236">
        <w:rPr>
          <w:rStyle w:val="Strong"/>
          <w:rFonts w:asciiTheme="majorHAnsi" w:hAnsiTheme="majorHAnsi"/>
          <w:b w:val="0"/>
          <w:sz w:val="16"/>
          <w:szCs w:val="16"/>
          <w:shd w:val="clear" w:color="auto" w:fill="FFFFFF"/>
          <w:lang w:val="es-AR"/>
        </w:rPr>
        <w:t xml:space="preserve">. </w:t>
      </w:r>
      <w:r w:rsidRPr="00D93236">
        <w:rPr>
          <w:rFonts w:asciiTheme="majorHAnsi" w:hAnsiTheme="majorHAnsi"/>
          <w:sz w:val="16"/>
          <w:szCs w:val="16"/>
          <w:lang w:val="es-AR"/>
        </w:rPr>
        <w:t>OEA/Ser.L/V/II.152 Doc. 2. 13 agosto 2014 Original: español. Párr. 80.</w:t>
      </w:r>
      <w:r w:rsidRPr="00D93236">
        <w:rPr>
          <w:rFonts w:asciiTheme="majorHAnsi" w:hAnsiTheme="majorHAnsi"/>
          <w:b/>
          <w:sz w:val="16"/>
          <w:szCs w:val="16"/>
          <w:lang w:val="es-AR"/>
        </w:rPr>
        <w:t xml:space="preserve"> </w:t>
      </w:r>
    </w:p>
  </w:footnote>
  <w:footnote w:id="123">
    <w:p w14:paraId="70B9DE3F" w14:textId="77777777" w:rsidR="005B3F8C" w:rsidRPr="00D93236" w:rsidRDefault="005B3F8C" w:rsidP="00E27260">
      <w:pPr>
        <w:pStyle w:val="FootnoteText"/>
        <w:jc w:val="both"/>
        <w:rPr>
          <w:rFonts w:asciiTheme="majorHAnsi" w:hAnsiTheme="majorHAnsi"/>
          <w:b/>
          <w:sz w:val="16"/>
          <w:szCs w:val="16"/>
          <w:lang w:val="es-AR"/>
        </w:rPr>
      </w:pPr>
      <w:r w:rsidRPr="00D93236">
        <w:rPr>
          <w:rStyle w:val="FootnoteReference"/>
          <w:rFonts w:asciiTheme="majorHAnsi" w:hAnsiTheme="majorHAnsi"/>
          <w:sz w:val="16"/>
          <w:szCs w:val="16"/>
        </w:rPr>
        <w:footnoteRef/>
      </w:r>
      <w:r w:rsidRPr="00D93236">
        <w:rPr>
          <w:rStyle w:val="Strong"/>
          <w:rFonts w:asciiTheme="majorHAnsi" w:hAnsiTheme="majorHAnsi"/>
          <w:sz w:val="16"/>
          <w:szCs w:val="16"/>
          <w:shd w:val="clear" w:color="auto" w:fill="FFFFFF"/>
          <w:lang w:val="es-AR"/>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Radilla Pacheco Vs. México</w:t>
      </w:r>
      <w:r w:rsidRPr="00D93236">
        <w:rPr>
          <w:rStyle w:val="Strong"/>
          <w:rFonts w:asciiTheme="majorHAnsi" w:hAnsiTheme="majorHAnsi"/>
          <w:b w:val="0"/>
          <w:sz w:val="16"/>
          <w:szCs w:val="16"/>
          <w:shd w:val="clear" w:color="auto" w:fill="FFFFFF"/>
          <w:lang w:val="es-AR"/>
        </w:rPr>
        <w:t xml:space="preserve">. Excepciones Preliminares, Fondo, Reparaciones y Costas. Sentencia de 23 de noviembre de 2009. Serie C No. 209. Parr 252. </w:t>
      </w:r>
    </w:p>
  </w:footnote>
  <w:footnote w:id="124">
    <w:p w14:paraId="2590063B" w14:textId="77777777" w:rsidR="005B3F8C" w:rsidRPr="00D93236" w:rsidRDefault="005B3F8C" w:rsidP="00E27260">
      <w:pPr>
        <w:pStyle w:val="FootnoteText"/>
        <w:jc w:val="both"/>
        <w:rPr>
          <w:rFonts w:asciiTheme="majorHAnsi" w:hAnsiTheme="majorHAnsi"/>
          <w:b/>
          <w:sz w:val="16"/>
          <w:szCs w:val="16"/>
          <w:lang w:val="es-AR"/>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Contreras y otros Vs. El Salvador</w:t>
      </w:r>
      <w:r w:rsidRPr="00D93236">
        <w:rPr>
          <w:rStyle w:val="Strong"/>
          <w:rFonts w:asciiTheme="majorHAnsi" w:hAnsiTheme="majorHAnsi"/>
          <w:b w:val="0"/>
          <w:sz w:val="16"/>
          <w:szCs w:val="16"/>
          <w:shd w:val="clear" w:color="auto" w:fill="FFFFFF"/>
          <w:lang w:val="es-AR"/>
        </w:rPr>
        <w:t xml:space="preserve">. Fondo, Reparaciones y Costas. Sentencia de 31 de agosto de 2011. Serie C No. 232. Párr. 145. </w:t>
      </w:r>
    </w:p>
  </w:footnote>
  <w:footnote w:id="125">
    <w:p w14:paraId="214BDC47" w14:textId="77777777" w:rsidR="005B3F8C" w:rsidRPr="00D93236" w:rsidRDefault="005B3F8C" w:rsidP="00E27260">
      <w:pPr>
        <w:pStyle w:val="FootnoteText"/>
        <w:jc w:val="both"/>
        <w:rPr>
          <w:rFonts w:asciiTheme="majorHAnsi" w:hAnsiTheme="majorHAnsi"/>
          <w:b/>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b/>
          <w:sz w:val="16"/>
          <w:szCs w:val="16"/>
          <w:lang w:val="es-AR"/>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de las Hermanas Serrano Cruz Vs. El Salvador</w:t>
      </w:r>
      <w:r w:rsidRPr="00D93236">
        <w:rPr>
          <w:rStyle w:val="Strong"/>
          <w:rFonts w:asciiTheme="majorHAnsi" w:hAnsiTheme="majorHAnsi"/>
          <w:b w:val="0"/>
          <w:sz w:val="16"/>
          <w:szCs w:val="16"/>
          <w:shd w:val="clear" w:color="auto" w:fill="FFFFFF"/>
          <w:lang w:val="es-AR"/>
        </w:rPr>
        <w:t xml:space="preserve">. Fondo, Reparaciones y Costas. Sentencia de 1 de marzo de 2005. Serie C No. 120. Párr. 66. </w:t>
      </w:r>
    </w:p>
  </w:footnote>
  <w:footnote w:id="126">
    <w:p w14:paraId="764E5746" w14:textId="77777777" w:rsidR="005B3F8C" w:rsidRPr="00D93236" w:rsidRDefault="005B3F8C" w:rsidP="00E27260">
      <w:pPr>
        <w:pStyle w:val="FootnoteText"/>
        <w:jc w:val="both"/>
        <w:rPr>
          <w:rFonts w:asciiTheme="majorHAnsi" w:hAnsiTheme="majorHAnsi"/>
          <w:b/>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b/>
          <w:sz w:val="16"/>
          <w:szCs w:val="16"/>
          <w:lang w:val="es-ES"/>
        </w:rPr>
        <w:t xml:space="preserve"> </w:t>
      </w:r>
      <w:r w:rsidRPr="00D93236">
        <w:rPr>
          <w:rStyle w:val="Strong"/>
          <w:rFonts w:asciiTheme="majorHAnsi" w:hAnsiTheme="majorHAnsi"/>
          <w:b w:val="0"/>
          <w:sz w:val="16"/>
          <w:szCs w:val="16"/>
          <w:shd w:val="clear" w:color="auto" w:fill="FFFFFF"/>
          <w:lang w:val="es-ES"/>
        </w:rPr>
        <w:t xml:space="preserve">Corte IDH. </w:t>
      </w:r>
      <w:r w:rsidRPr="00D93236">
        <w:rPr>
          <w:rStyle w:val="Strong"/>
          <w:rFonts w:asciiTheme="majorHAnsi" w:hAnsiTheme="majorHAnsi"/>
          <w:b w:val="0"/>
          <w:i/>
          <w:sz w:val="16"/>
          <w:szCs w:val="16"/>
          <w:shd w:val="clear" w:color="auto" w:fill="FFFFFF"/>
          <w:lang w:val="es-ES"/>
        </w:rPr>
        <w:t>Caso de las Hermanas Serrano Cruz Vs. El Salvador</w:t>
      </w:r>
      <w:r w:rsidRPr="00D93236">
        <w:rPr>
          <w:rStyle w:val="Strong"/>
          <w:rFonts w:asciiTheme="majorHAnsi" w:hAnsiTheme="majorHAnsi"/>
          <w:b w:val="0"/>
          <w:sz w:val="16"/>
          <w:szCs w:val="16"/>
          <w:shd w:val="clear" w:color="auto" w:fill="FFFFFF"/>
          <w:lang w:val="es-ES"/>
        </w:rPr>
        <w:t>. Fondo, Reparaciones y Costas. Sentencia de 1 de marzo de 2005. Serie C No. 120. Párr. 65.</w:t>
      </w:r>
      <w:r w:rsidRPr="00D93236">
        <w:rPr>
          <w:rStyle w:val="Strong"/>
          <w:rFonts w:asciiTheme="majorHAnsi" w:hAnsiTheme="majorHAnsi"/>
          <w:sz w:val="16"/>
          <w:szCs w:val="16"/>
          <w:shd w:val="clear" w:color="auto" w:fill="FFFFFF"/>
          <w:lang w:val="es-ES"/>
        </w:rPr>
        <w:t xml:space="preserve"> </w:t>
      </w:r>
    </w:p>
  </w:footnote>
  <w:footnote w:id="127">
    <w:p w14:paraId="3676FD36" w14:textId="77777777" w:rsidR="005B3F8C" w:rsidRPr="00D93236" w:rsidRDefault="005B3F8C" w:rsidP="00E27260">
      <w:pPr>
        <w:jc w:val="both"/>
        <w:rPr>
          <w:rFonts w:asciiTheme="majorHAnsi" w:eastAsia="Times New Roman" w:hAnsiTheme="majorHAnsi"/>
          <w:b/>
          <w:sz w:val="16"/>
          <w:szCs w:val="16"/>
          <w:lang w:val="es-AR"/>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D93236">
        <w:rPr>
          <w:rFonts w:asciiTheme="majorHAnsi" w:eastAsia="Times New Roman" w:hAnsiTheme="majorHAnsi"/>
          <w:sz w:val="16"/>
          <w:szCs w:val="16"/>
          <w:lang w:val="es-ES"/>
        </w:rPr>
        <w:t xml:space="preserve">CIDH. Informe de Fondo No. 77/02, </w:t>
      </w:r>
      <w:r w:rsidRPr="00D93236">
        <w:rPr>
          <w:rFonts w:asciiTheme="majorHAnsi" w:eastAsia="Times New Roman" w:hAnsiTheme="majorHAnsi"/>
          <w:i/>
          <w:sz w:val="16"/>
          <w:szCs w:val="16"/>
          <w:lang w:val="es-ES"/>
        </w:rPr>
        <w:t>Waldemar Gerónimo Pinheiro y José Víctor dos Santos</w:t>
      </w:r>
      <w:r w:rsidRPr="00D93236">
        <w:rPr>
          <w:rFonts w:asciiTheme="majorHAnsi" w:eastAsia="Times New Roman" w:hAnsiTheme="majorHAnsi"/>
          <w:sz w:val="16"/>
          <w:szCs w:val="16"/>
          <w:lang w:val="es-ES"/>
        </w:rPr>
        <w:t xml:space="preserve"> (Caso 11.506), 27 de diciembre de 2002, párr. 76. Ver también </w:t>
      </w:r>
      <w:r w:rsidRPr="00D93236">
        <w:rPr>
          <w:rStyle w:val="Strong"/>
          <w:rFonts w:asciiTheme="majorHAnsi" w:hAnsiTheme="majorHAnsi"/>
          <w:b w:val="0"/>
          <w:color w:val="000000"/>
          <w:sz w:val="16"/>
          <w:szCs w:val="16"/>
          <w:shd w:val="clear" w:color="auto" w:fill="FFFFFF"/>
          <w:lang w:val="es-AR"/>
        </w:rPr>
        <w:t xml:space="preserve">Corte IDH. </w:t>
      </w:r>
      <w:r w:rsidRPr="00D93236">
        <w:rPr>
          <w:rStyle w:val="Strong"/>
          <w:rFonts w:asciiTheme="majorHAnsi" w:hAnsiTheme="majorHAnsi"/>
          <w:b w:val="0"/>
          <w:i/>
          <w:color w:val="000000"/>
          <w:sz w:val="16"/>
          <w:szCs w:val="16"/>
          <w:shd w:val="clear" w:color="auto" w:fill="FFFFFF"/>
          <w:lang w:val="es-AR"/>
        </w:rPr>
        <w:t>Caso López Álvarez Vs. Honduras</w:t>
      </w:r>
      <w:r w:rsidRPr="00D93236">
        <w:rPr>
          <w:rStyle w:val="Strong"/>
          <w:rFonts w:asciiTheme="majorHAnsi" w:hAnsiTheme="majorHAnsi"/>
          <w:b w:val="0"/>
          <w:color w:val="000000"/>
          <w:sz w:val="16"/>
          <w:szCs w:val="16"/>
          <w:shd w:val="clear" w:color="auto" w:fill="FFFFFF"/>
          <w:lang w:val="es-AR"/>
        </w:rPr>
        <w:t>. Fondo, Reparaciones y Costas. Sentencia de 1 de febrero de 2006. Serie C No. 141. Párr. 132;</w:t>
      </w:r>
      <w:r w:rsidRPr="00D93236">
        <w:rPr>
          <w:rFonts w:asciiTheme="majorHAnsi" w:eastAsia="Times New Roman" w:hAnsiTheme="majorHAnsi"/>
          <w:b/>
          <w:sz w:val="16"/>
          <w:szCs w:val="16"/>
          <w:lang w:val="es-ES"/>
        </w:rPr>
        <w:t xml:space="preserve"> </w:t>
      </w:r>
      <w:r w:rsidRPr="00D93236">
        <w:rPr>
          <w:rStyle w:val="Strong"/>
          <w:rFonts w:asciiTheme="majorHAnsi" w:hAnsiTheme="majorHAnsi"/>
          <w:b w:val="0"/>
          <w:color w:val="000000"/>
          <w:sz w:val="16"/>
          <w:szCs w:val="16"/>
          <w:shd w:val="clear" w:color="auto" w:fill="FFFFFF"/>
          <w:lang w:val="es-AR"/>
        </w:rPr>
        <w:t xml:space="preserve">Corte IDH. </w:t>
      </w:r>
      <w:r w:rsidRPr="00D93236">
        <w:rPr>
          <w:rStyle w:val="Strong"/>
          <w:rFonts w:asciiTheme="majorHAnsi" w:hAnsiTheme="majorHAnsi"/>
          <w:b w:val="0"/>
          <w:i/>
          <w:color w:val="000000"/>
          <w:sz w:val="16"/>
          <w:szCs w:val="16"/>
          <w:shd w:val="clear" w:color="auto" w:fill="FFFFFF"/>
          <w:lang w:val="es-AR"/>
        </w:rPr>
        <w:t>Caso Acosta Calderón Vs. Ecuador</w:t>
      </w:r>
      <w:r w:rsidRPr="00D93236">
        <w:rPr>
          <w:rStyle w:val="Strong"/>
          <w:rFonts w:asciiTheme="majorHAnsi" w:hAnsiTheme="majorHAnsi"/>
          <w:b w:val="0"/>
          <w:color w:val="000000"/>
          <w:sz w:val="16"/>
          <w:szCs w:val="16"/>
          <w:shd w:val="clear" w:color="auto" w:fill="FFFFFF"/>
          <w:lang w:val="es-AR"/>
        </w:rPr>
        <w:t xml:space="preserve">. Fondo, Reparaciones y Costas. Sentencia de 24 de junio de 2005. Serie C No. 129. Párr. 105. </w:t>
      </w:r>
    </w:p>
  </w:footnote>
  <w:footnote w:id="128">
    <w:p w14:paraId="0DDCBFEF" w14:textId="77777777" w:rsidR="005B3F8C" w:rsidRPr="00D93236" w:rsidRDefault="005B3F8C" w:rsidP="00E27260">
      <w:pPr>
        <w:jc w:val="both"/>
        <w:rPr>
          <w:rFonts w:asciiTheme="majorHAnsi" w:eastAsia="Times New Roman"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D93236">
        <w:rPr>
          <w:rFonts w:asciiTheme="majorHAnsi" w:eastAsia="Times New Roman" w:hAnsiTheme="majorHAnsi"/>
          <w:sz w:val="16"/>
          <w:szCs w:val="16"/>
          <w:lang w:val="es-ES"/>
        </w:rPr>
        <w:t xml:space="preserve">Corte IDH. </w:t>
      </w:r>
      <w:r w:rsidRPr="00D93236">
        <w:rPr>
          <w:rFonts w:asciiTheme="majorHAnsi" w:eastAsia="Times New Roman" w:hAnsiTheme="majorHAnsi"/>
          <w:i/>
          <w:sz w:val="16"/>
          <w:szCs w:val="16"/>
          <w:lang w:val="es-ES"/>
        </w:rPr>
        <w:t>Caso Andrade Salmón Vs. Bolivia</w:t>
      </w:r>
      <w:r w:rsidRPr="00D93236">
        <w:rPr>
          <w:rFonts w:asciiTheme="majorHAnsi" w:eastAsia="Times New Roman" w:hAnsiTheme="majorHAnsi"/>
          <w:sz w:val="16"/>
          <w:szCs w:val="16"/>
          <w:lang w:val="es-ES"/>
        </w:rPr>
        <w:t>. Fondo, Reparaciones y Costas. Sentencia de 1 de diciembre de 2016. Serie C No. 330. Párr. 200.</w:t>
      </w:r>
    </w:p>
  </w:footnote>
  <w:footnote w:id="129">
    <w:p w14:paraId="68BBF9F4" w14:textId="77777777" w:rsidR="005B3F8C" w:rsidRPr="00D93236" w:rsidRDefault="005B3F8C" w:rsidP="00473F91">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Corte IDH. </w:t>
      </w:r>
      <w:r w:rsidRPr="00D93236">
        <w:rPr>
          <w:rFonts w:asciiTheme="majorHAnsi" w:hAnsiTheme="majorHAnsi"/>
          <w:i/>
          <w:sz w:val="16"/>
          <w:szCs w:val="16"/>
          <w:lang w:val="es-AR"/>
        </w:rPr>
        <w:t>Caso Valle Jaramillo y otros Vs. Colombia</w:t>
      </w:r>
      <w:r w:rsidRPr="00D93236">
        <w:rPr>
          <w:rFonts w:asciiTheme="majorHAnsi" w:hAnsiTheme="majorHAnsi"/>
          <w:sz w:val="16"/>
          <w:szCs w:val="16"/>
          <w:lang w:val="es-AR"/>
        </w:rPr>
        <w:t xml:space="preserve">. Fondo, Reparaciones y Costas. Sentencia de 27 de noviembre de 2008. Serie C No. 192, párr. 155. Véase, asimismo, Corte IDH. </w:t>
      </w:r>
      <w:r w:rsidRPr="00D93236">
        <w:rPr>
          <w:rFonts w:asciiTheme="majorHAnsi" w:hAnsiTheme="majorHAnsi"/>
          <w:i/>
          <w:sz w:val="16"/>
          <w:szCs w:val="16"/>
          <w:lang w:val="es-AR"/>
        </w:rPr>
        <w:t>Caso Kawas Fernández Vs. Honduras</w:t>
      </w:r>
      <w:r w:rsidRPr="00D93236">
        <w:rPr>
          <w:rFonts w:asciiTheme="majorHAnsi" w:hAnsiTheme="majorHAnsi"/>
          <w:sz w:val="16"/>
          <w:szCs w:val="16"/>
          <w:lang w:val="es-AR"/>
        </w:rPr>
        <w:t xml:space="preserve">. Fondo, Reparaciones y Costas. Sentencia de 3 de abril de 2009 Serie C No. 196, párrs. 112 y 115; Corte IDH, </w:t>
      </w:r>
      <w:r w:rsidRPr="00D93236">
        <w:rPr>
          <w:rFonts w:asciiTheme="majorHAnsi" w:hAnsiTheme="majorHAnsi"/>
          <w:i/>
          <w:sz w:val="16"/>
          <w:szCs w:val="16"/>
          <w:lang w:val="es-AR"/>
        </w:rPr>
        <w:t>Caso Anzualdo Castro Vs. Perú</w:t>
      </w:r>
      <w:r w:rsidRPr="00D93236">
        <w:rPr>
          <w:rFonts w:asciiTheme="majorHAnsi" w:hAnsiTheme="majorHAnsi"/>
          <w:sz w:val="16"/>
          <w:szCs w:val="16"/>
          <w:lang w:val="es-AR"/>
        </w:rPr>
        <w:t>. Excepción Preliminar, Fondo, Reparaciones y Costas. Sentencia de 22 de septiembre de 2009. Serie C No. 202, párr. 156</w:t>
      </w:r>
    </w:p>
  </w:footnote>
  <w:footnote w:id="130">
    <w:p w14:paraId="0E710672" w14:textId="77777777" w:rsidR="005B3F8C" w:rsidRPr="00D93236" w:rsidRDefault="005B3F8C" w:rsidP="00473F91">
      <w:pPr>
        <w:jc w:val="both"/>
        <w:rPr>
          <w:rFonts w:asciiTheme="majorHAnsi" w:eastAsia="Times New Roman"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D93236">
        <w:rPr>
          <w:rFonts w:asciiTheme="majorHAnsi" w:eastAsia="Times New Roman" w:hAnsiTheme="majorHAnsi"/>
          <w:sz w:val="16"/>
          <w:szCs w:val="16"/>
          <w:lang w:val="es-ES"/>
        </w:rPr>
        <w:t xml:space="preserve">CIDH. Informe No. 3/16. Caso 12.916. Fondo. </w:t>
      </w:r>
      <w:r w:rsidRPr="00D93236">
        <w:rPr>
          <w:rFonts w:asciiTheme="majorHAnsi" w:eastAsia="Times New Roman" w:hAnsiTheme="majorHAnsi"/>
          <w:i/>
          <w:sz w:val="16"/>
          <w:szCs w:val="16"/>
          <w:lang w:val="es-ES"/>
        </w:rPr>
        <w:t>Nitza Paola Alvarado Espinoza, Rocío Irene Alvarado Reyes, José Angel Alvarado Herrera y otros</w:t>
      </w:r>
      <w:r w:rsidRPr="00D93236">
        <w:rPr>
          <w:rFonts w:asciiTheme="majorHAnsi" w:eastAsia="Times New Roman" w:hAnsiTheme="majorHAnsi"/>
          <w:sz w:val="16"/>
          <w:szCs w:val="16"/>
          <w:lang w:val="es-ES"/>
        </w:rPr>
        <w:t>. México. 13 de abril de 2016. Párr. 271</w:t>
      </w:r>
    </w:p>
  </w:footnote>
  <w:footnote w:id="131">
    <w:p w14:paraId="2111001C" w14:textId="77777777" w:rsidR="005B3F8C" w:rsidRPr="00D93236" w:rsidRDefault="005B3F8C" w:rsidP="00473F91">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Tenorio Roca y otros Vs. Perú</w:t>
      </w:r>
      <w:r w:rsidRPr="00D93236">
        <w:rPr>
          <w:rStyle w:val="Strong"/>
          <w:rFonts w:asciiTheme="majorHAnsi" w:hAnsiTheme="majorHAnsi"/>
          <w:b w:val="0"/>
          <w:sz w:val="16"/>
          <w:szCs w:val="16"/>
          <w:shd w:val="clear" w:color="auto" w:fill="FFFFFF"/>
          <w:lang w:val="es-AR"/>
        </w:rPr>
        <w:t xml:space="preserve">. Excepciones Preliminares, Fondo, Reparaciones y Costas. Sentencia de 22 de junio de </w:t>
      </w:r>
      <w:r w:rsidRPr="00D93236">
        <w:rPr>
          <w:rStyle w:val="Strong"/>
          <w:rFonts w:asciiTheme="majorHAnsi" w:hAnsiTheme="majorHAnsi"/>
          <w:b w:val="0"/>
          <w:sz w:val="16"/>
          <w:szCs w:val="16"/>
          <w:shd w:val="clear" w:color="auto" w:fill="FFFFFF"/>
          <w:lang w:val="es-ES"/>
        </w:rPr>
        <w:t>2016. Serie C No. 314. Párr. 239.</w:t>
      </w:r>
      <w:r w:rsidRPr="00D93236">
        <w:rPr>
          <w:rStyle w:val="Strong"/>
          <w:rFonts w:asciiTheme="majorHAnsi" w:hAnsiTheme="majorHAnsi"/>
          <w:sz w:val="16"/>
          <w:szCs w:val="16"/>
          <w:shd w:val="clear" w:color="auto" w:fill="FFFFFF"/>
          <w:lang w:val="es-ES"/>
        </w:rPr>
        <w:t xml:space="preserve"> </w:t>
      </w:r>
    </w:p>
  </w:footnote>
  <w:footnote w:id="132">
    <w:p w14:paraId="243DEA98" w14:textId="77777777" w:rsidR="005B3F8C" w:rsidRPr="00D93236" w:rsidRDefault="005B3F8C" w:rsidP="00473F91">
      <w:pPr>
        <w:pStyle w:val="FootnoteText"/>
        <w:jc w:val="both"/>
        <w:rPr>
          <w:lang w:val="es-U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Convención Interamericana contra el Terrorismo. Aprobada por la Asamblea General de la Organización de los Estados Americanos en la primea sesión plenaria celebrada el 3 de junio de 2002. AG/RES. 1840 (XXXII-0/02) art 1.</w:t>
      </w:r>
      <w:r w:rsidRPr="00D93236">
        <w:rPr>
          <w:lang w:val="es-US"/>
        </w:rPr>
        <w:t xml:space="preserve"> </w:t>
      </w:r>
    </w:p>
  </w:footnote>
  <w:footnote w:id="133">
    <w:p w14:paraId="765D9A70" w14:textId="77777777" w:rsidR="005B3F8C" w:rsidRPr="00D93236" w:rsidRDefault="005B3F8C" w:rsidP="00473F91">
      <w:pPr>
        <w:pStyle w:val="FootnoteText"/>
        <w:jc w:val="both"/>
        <w:rPr>
          <w:rFonts w:asciiTheme="majorHAnsi" w:hAnsiTheme="majorHAnsi"/>
          <w:sz w:val="16"/>
          <w:szCs w:val="16"/>
          <w:lang w:val="pt-BR"/>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93236">
        <w:rPr>
          <w:rFonts w:asciiTheme="majorHAnsi" w:hAnsiTheme="majorHAnsi"/>
          <w:sz w:val="16"/>
          <w:szCs w:val="16"/>
          <w:lang w:val="es-ES"/>
        </w:rPr>
        <w:t xml:space="preserve">CIDH, Informe sobre Terrorismo y Derechos Humanos. </w:t>
      </w:r>
      <w:r w:rsidRPr="00D93236">
        <w:rPr>
          <w:rFonts w:asciiTheme="majorHAnsi" w:hAnsiTheme="majorHAnsi"/>
          <w:sz w:val="16"/>
          <w:szCs w:val="16"/>
          <w:lang w:val="pt-BR"/>
        </w:rPr>
        <w:t>22 octubre 2002. Capítulo II A Párr. 33. Capítulo I A, Párr. 3.</w:t>
      </w:r>
    </w:p>
  </w:footnote>
  <w:footnote w:id="134">
    <w:p w14:paraId="7FFAB6FD" w14:textId="77777777" w:rsidR="005B3F8C" w:rsidRPr="00D93236" w:rsidRDefault="005B3F8C" w:rsidP="00473F91">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Asamblea General de las Naciones Unidas, Consejo de Derechos Humanos, Informe del </w:t>
      </w:r>
      <w:r w:rsidRPr="00D93236">
        <w:rPr>
          <w:rFonts w:asciiTheme="majorHAnsi" w:hAnsiTheme="majorHAnsi"/>
          <w:sz w:val="16"/>
          <w:szCs w:val="16"/>
          <w:lang w:val="es-ES_tradnl"/>
        </w:rPr>
        <w:t>Relator Especial sobre la promoción y la protección de los derechos humanos y las libertades fundamentales en la lucha contra el terrorismo, Ben Emmerson, A/HRC/20/14, 4 de junio de 2012.</w:t>
      </w:r>
    </w:p>
  </w:footnote>
  <w:footnote w:id="135">
    <w:p w14:paraId="504B154D"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C05C6">
        <w:rPr>
          <w:rFonts w:asciiTheme="majorHAnsi" w:hAnsiTheme="majorHAnsi"/>
          <w:sz w:val="16"/>
          <w:szCs w:val="16"/>
          <w:lang w:val="es-AR"/>
        </w:rPr>
        <w:t>Anexo 2.</w:t>
      </w:r>
      <w:r w:rsidRPr="00D93236">
        <w:rPr>
          <w:rFonts w:asciiTheme="majorHAnsi" w:hAnsiTheme="majorHAnsi"/>
          <w:sz w:val="16"/>
          <w:szCs w:val="16"/>
          <w:lang w:val="es-AR"/>
        </w:rPr>
        <w:t xml:space="preserve"> Sentencia del TOF 3. Capítulo V.B “Nulidades”, pág. 2696. Anexo 1 a la comunicación de la parte peticionaria de fecha 11 de noviembre de 2019</w:t>
      </w:r>
    </w:p>
  </w:footnote>
  <w:footnote w:id="136">
    <w:p w14:paraId="6B7CFB85"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Pr>
          <w:rFonts w:asciiTheme="majorHAnsi" w:hAnsiTheme="majorHAnsi"/>
          <w:sz w:val="16"/>
          <w:szCs w:val="16"/>
          <w:lang w:val="es-US"/>
        </w:rPr>
        <w:t>Anexo</w:t>
      </w:r>
      <w:r w:rsidRPr="00DC05C6">
        <w:rPr>
          <w:rFonts w:asciiTheme="majorHAnsi" w:hAnsiTheme="majorHAnsi"/>
          <w:sz w:val="16"/>
          <w:szCs w:val="16"/>
          <w:lang w:val="es-US"/>
        </w:rPr>
        <w:t xml:space="preserve"> 3.</w:t>
      </w:r>
      <w:r w:rsidRPr="00D93236">
        <w:rPr>
          <w:rFonts w:asciiTheme="majorHAnsi" w:hAnsiTheme="majorHAnsi"/>
          <w:sz w:val="16"/>
          <w:szCs w:val="16"/>
          <w:lang w:val="es-US"/>
        </w:rPr>
        <w:t xml:space="preserve"> Sentencia de la Sala II de la Cámara Nacional de Casación Penal de fecha 19 de mayo de 2006, pág. 271. Anexo 7 a la comunicación de la parte peticionaria de fecha 11 de noviembre de 2019. </w:t>
      </w:r>
    </w:p>
  </w:footnote>
  <w:footnote w:id="137">
    <w:p w14:paraId="34CA0146"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C05C6">
        <w:rPr>
          <w:rFonts w:asciiTheme="majorHAnsi" w:hAnsiTheme="majorHAnsi"/>
          <w:sz w:val="16"/>
          <w:szCs w:val="16"/>
          <w:lang w:val="es-US"/>
        </w:rPr>
        <w:t>Anexo 3.</w:t>
      </w:r>
      <w:r w:rsidRPr="00D93236">
        <w:rPr>
          <w:rFonts w:asciiTheme="majorHAnsi" w:hAnsiTheme="majorHAnsi"/>
          <w:sz w:val="16"/>
          <w:szCs w:val="16"/>
          <w:lang w:val="es-US"/>
        </w:rPr>
        <w:t xml:space="preserve"> Sentencia de la Sala II de la Cámara Nacional de Casación Penal de fecha 19 de mayo de 2006, pág. 277. Anexo 7 a la comunicación de la parte peticionaria de fecha 11 de noviembre de 2019.</w:t>
      </w:r>
    </w:p>
  </w:footnote>
  <w:footnote w:id="138">
    <w:p w14:paraId="449F99E5"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C05C6">
        <w:rPr>
          <w:rFonts w:asciiTheme="majorHAnsi" w:hAnsiTheme="majorHAnsi"/>
          <w:sz w:val="16"/>
          <w:szCs w:val="16"/>
          <w:lang w:val="es-AR"/>
        </w:rPr>
        <w:t>Anexo 2.</w:t>
      </w:r>
      <w:r w:rsidRPr="00D93236">
        <w:rPr>
          <w:rFonts w:asciiTheme="majorHAnsi" w:hAnsiTheme="majorHAnsi"/>
          <w:sz w:val="16"/>
          <w:szCs w:val="16"/>
          <w:lang w:val="es-AR"/>
        </w:rPr>
        <w:t xml:space="preserve"> Sentencia del TOF 3. Capítulo V.B “Nulidades”, pág. 2670. Anexo 1 a la comunicación de la parte peticionaria de fecha 11 de noviembre de 2019. Para un desarrollo de los diversos testimonios brindados por aquellos que suscribieron el acta de secuestro, ver:  </w:t>
      </w:r>
      <w:r w:rsidRPr="00DC05C6">
        <w:rPr>
          <w:rFonts w:asciiTheme="majorHAnsi" w:hAnsiTheme="majorHAnsi"/>
          <w:sz w:val="16"/>
          <w:szCs w:val="16"/>
          <w:lang w:val="es-AR"/>
        </w:rPr>
        <w:t>Anexo 2</w:t>
      </w:r>
      <w:r w:rsidRPr="00D93236">
        <w:rPr>
          <w:rFonts w:asciiTheme="majorHAnsi" w:hAnsiTheme="majorHAnsi"/>
          <w:b/>
          <w:sz w:val="16"/>
          <w:szCs w:val="16"/>
          <w:lang w:val="es-AR"/>
        </w:rPr>
        <w:t>.</w:t>
      </w:r>
      <w:r w:rsidRPr="00D93236">
        <w:rPr>
          <w:rFonts w:asciiTheme="majorHAnsi" w:hAnsiTheme="majorHAnsi"/>
          <w:sz w:val="16"/>
          <w:szCs w:val="16"/>
          <w:lang w:val="es-AR"/>
        </w:rPr>
        <w:t xml:space="preserve"> Sentencia del TOF 3. Capítulo V.B “Nulidades”, pág. 2650-2672. Anexo 1 a la comunicación de la parte peticionaria de fecha 11 de noviembre de 2019</w:t>
      </w:r>
    </w:p>
  </w:footnote>
  <w:footnote w:id="139">
    <w:p w14:paraId="39DFBA43"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C05C6">
        <w:rPr>
          <w:rFonts w:asciiTheme="majorHAnsi" w:hAnsiTheme="majorHAnsi"/>
          <w:sz w:val="16"/>
          <w:szCs w:val="16"/>
          <w:lang w:val="es-AR"/>
        </w:rPr>
        <w:t>Anexo 2</w:t>
      </w:r>
      <w:r w:rsidRPr="00D93236">
        <w:rPr>
          <w:rFonts w:asciiTheme="majorHAnsi" w:hAnsiTheme="majorHAnsi"/>
          <w:b/>
          <w:sz w:val="16"/>
          <w:szCs w:val="16"/>
          <w:lang w:val="es-AR"/>
        </w:rPr>
        <w:t>.</w:t>
      </w:r>
      <w:r w:rsidRPr="00D93236">
        <w:rPr>
          <w:rFonts w:asciiTheme="majorHAnsi" w:hAnsiTheme="majorHAnsi"/>
          <w:sz w:val="16"/>
          <w:szCs w:val="16"/>
          <w:lang w:val="es-AR"/>
        </w:rPr>
        <w:t xml:space="preserve"> Sentencia del TOF 3. Capítulo V.B “Nulidades”, pág. 2676-77. Anexo 1 a la comunicación de la parte peticionaria de fecha 11 de noviembre de 2019</w:t>
      </w:r>
    </w:p>
  </w:footnote>
  <w:footnote w:id="140">
    <w:p w14:paraId="56F96E89"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C05C6">
        <w:rPr>
          <w:rFonts w:asciiTheme="majorHAnsi" w:hAnsiTheme="majorHAnsi"/>
          <w:sz w:val="16"/>
          <w:szCs w:val="16"/>
          <w:lang w:val="es-AR"/>
        </w:rPr>
        <w:t>Anexo 2.</w:t>
      </w:r>
      <w:r w:rsidRPr="00D93236">
        <w:rPr>
          <w:rFonts w:asciiTheme="majorHAnsi" w:hAnsiTheme="majorHAnsi"/>
          <w:sz w:val="16"/>
          <w:szCs w:val="16"/>
          <w:lang w:val="es-AR"/>
        </w:rPr>
        <w:t xml:space="preserve"> Sentencia del TOF 3. Capítulo V.B “Nulidades”, pág. 2677. Anexo 1 a la comunicación de la parte peticionaria de fecha 11 de noviembre de 2019</w:t>
      </w:r>
    </w:p>
  </w:footnote>
  <w:footnote w:id="141">
    <w:p w14:paraId="3A126193"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Para un relato del derrotero que condujo a los agentes de la SIDE desde Messin S.R.L hasta el domicilio de Telleldin, pasando por “Automotores Alejandro”, ver: </w:t>
      </w:r>
      <w:r w:rsidRPr="00DC05C6">
        <w:rPr>
          <w:rFonts w:asciiTheme="majorHAnsi" w:hAnsiTheme="majorHAnsi"/>
          <w:sz w:val="16"/>
          <w:szCs w:val="16"/>
          <w:lang w:val="es-AR"/>
        </w:rPr>
        <w:t>Anexo 2.</w:t>
      </w:r>
      <w:r w:rsidRPr="00D93236">
        <w:rPr>
          <w:rFonts w:asciiTheme="majorHAnsi" w:hAnsiTheme="majorHAnsi"/>
          <w:sz w:val="16"/>
          <w:szCs w:val="16"/>
          <w:lang w:val="es-AR"/>
        </w:rPr>
        <w:t xml:space="preserve"> Sentencia del TOF 3. Capítulo IX, pág. 3678 a 3679. Anexo 1 a la comunicación de la parte peticionaria de fecha 11 de noviembre de 2019</w:t>
      </w:r>
    </w:p>
  </w:footnote>
  <w:footnote w:id="142">
    <w:p w14:paraId="6E361C24" w14:textId="77777777" w:rsidR="005B3F8C" w:rsidRPr="001F5F81"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1F5F81">
        <w:rPr>
          <w:rFonts w:asciiTheme="majorHAnsi" w:hAnsiTheme="majorHAnsi"/>
          <w:sz w:val="16"/>
          <w:szCs w:val="16"/>
          <w:lang w:val="es-US"/>
        </w:rPr>
        <w:t xml:space="preserve"> ver </w:t>
      </w:r>
      <w:r w:rsidRPr="001F5F81">
        <w:rPr>
          <w:rFonts w:asciiTheme="majorHAnsi" w:hAnsiTheme="majorHAnsi"/>
          <w:i/>
          <w:sz w:val="16"/>
          <w:szCs w:val="16"/>
          <w:lang w:val="es-US"/>
        </w:rPr>
        <w:t xml:space="preserve">infra </w:t>
      </w:r>
      <w:r w:rsidRPr="001F5F81">
        <w:rPr>
          <w:rFonts w:asciiTheme="majorHAnsi" w:hAnsiTheme="majorHAnsi"/>
          <w:sz w:val="16"/>
          <w:szCs w:val="16"/>
          <w:lang w:val="es-US"/>
        </w:rPr>
        <w:t>parr 57</w:t>
      </w:r>
    </w:p>
  </w:footnote>
  <w:footnote w:id="143">
    <w:p w14:paraId="2CE285D1"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1F5F81">
        <w:rPr>
          <w:rFonts w:asciiTheme="majorHAnsi" w:hAnsiTheme="majorHAnsi"/>
          <w:sz w:val="16"/>
          <w:szCs w:val="16"/>
          <w:lang w:val="es-US"/>
        </w:rPr>
        <w:t xml:space="preserve"> Anexo 2. </w:t>
      </w:r>
      <w:r w:rsidRPr="00D93236">
        <w:rPr>
          <w:rFonts w:asciiTheme="majorHAnsi" w:hAnsiTheme="majorHAnsi"/>
          <w:sz w:val="16"/>
          <w:szCs w:val="16"/>
          <w:lang w:val="es-AR"/>
        </w:rPr>
        <w:t>Sentencia del TOF 3. Capítulo IX, pág. 3730. Anexo 1 a la comunicación de la parte peticionaria de fecha 11 de noviembre de 2019</w:t>
      </w:r>
    </w:p>
  </w:footnote>
  <w:footnote w:id="144">
    <w:p w14:paraId="09347CC5"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Pr>
          <w:rFonts w:asciiTheme="majorHAnsi" w:hAnsiTheme="majorHAnsi"/>
          <w:b/>
          <w:sz w:val="16"/>
          <w:szCs w:val="16"/>
          <w:lang w:val="es-AR"/>
        </w:rPr>
        <w:t xml:space="preserve"> </w:t>
      </w:r>
      <w:r w:rsidRPr="00DC05C6">
        <w:rPr>
          <w:rFonts w:asciiTheme="majorHAnsi" w:hAnsiTheme="majorHAnsi"/>
          <w:sz w:val="16"/>
          <w:szCs w:val="16"/>
          <w:lang w:val="es-AR"/>
        </w:rPr>
        <w:t>Anexo 2</w:t>
      </w:r>
      <w:r w:rsidRPr="00D93236">
        <w:rPr>
          <w:rFonts w:asciiTheme="majorHAnsi" w:hAnsiTheme="majorHAnsi"/>
          <w:sz w:val="16"/>
          <w:szCs w:val="16"/>
          <w:lang w:val="es-AR"/>
        </w:rPr>
        <w:t>. Sentencia del TOF 3. Capítulo IX, pág. 3726. Anexo 1 a la comunicación de la parte peticionaria de fecha 11 de noviembre de 2019</w:t>
      </w:r>
    </w:p>
  </w:footnote>
  <w:footnote w:id="145">
    <w:p w14:paraId="3DA33CE0"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C05C6">
        <w:rPr>
          <w:rFonts w:asciiTheme="majorHAnsi" w:hAnsiTheme="majorHAnsi"/>
          <w:sz w:val="16"/>
          <w:szCs w:val="16"/>
          <w:lang w:val="es-AR"/>
        </w:rPr>
        <w:t>Anexo 2</w:t>
      </w:r>
      <w:r>
        <w:rPr>
          <w:rFonts w:asciiTheme="majorHAnsi" w:hAnsiTheme="majorHAnsi"/>
          <w:sz w:val="16"/>
          <w:szCs w:val="16"/>
          <w:lang w:val="es-AR"/>
        </w:rPr>
        <w:t xml:space="preserve">. </w:t>
      </w:r>
      <w:r w:rsidRPr="00D93236">
        <w:rPr>
          <w:rFonts w:asciiTheme="majorHAnsi" w:hAnsiTheme="majorHAnsi"/>
          <w:sz w:val="16"/>
          <w:szCs w:val="16"/>
          <w:lang w:val="es-AR"/>
        </w:rPr>
        <w:t>Sentencia del TOF 3. Capítulo IX, pág. 3706. Anexo 1 a la comunicación de la parte peticionaria de fecha 11 de noviembre de 2019</w:t>
      </w:r>
    </w:p>
  </w:footnote>
  <w:footnote w:id="146">
    <w:p w14:paraId="3A6336C4"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C05C6">
        <w:rPr>
          <w:rFonts w:asciiTheme="majorHAnsi" w:hAnsiTheme="majorHAnsi"/>
          <w:sz w:val="16"/>
          <w:szCs w:val="16"/>
          <w:lang w:val="es-AR"/>
        </w:rPr>
        <w:t>Anexo 2</w:t>
      </w:r>
      <w:r>
        <w:rPr>
          <w:rFonts w:asciiTheme="majorHAnsi" w:hAnsiTheme="majorHAnsi"/>
          <w:sz w:val="16"/>
          <w:szCs w:val="16"/>
          <w:lang w:val="es-AR"/>
        </w:rPr>
        <w:t xml:space="preserve">. </w:t>
      </w:r>
      <w:r w:rsidRPr="00D93236">
        <w:rPr>
          <w:rFonts w:asciiTheme="majorHAnsi" w:hAnsiTheme="majorHAnsi"/>
          <w:sz w:val="16"/>
          <w:szCs w:val="16"/>
          <w:lang w:val="es-AR"/>
        </w:rPr>
        <w:t>Sentencia del TOF 3. Capítulo IX, pág. 3707. Anexo 1 a la comunicación de la parte peticionaria de fecha 11 de noviembre de 2019</w:t>
      </w:r>
    </w:p>
  </w:footnote>
  <w:footnote w:id="147">
    <w:p w14:paraId="0B38CB6F"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C05C6">
        <w:rPr>
          <w:rFonts w:asciiTheme="majorHAnsi" w:hAnsiTheme="majorHAnsi"/>
          <w:sz w:val="16"/>
          <w:szCs w:val="16"/>
          <w:lang w:val="es-AR"/>
        </w:rPr>
        <w:t>Anexo 2</w:t>
      </w:r>
      <w:r>
        <w:rPr>
          <w:rFonts w:asciiTheme="majorHAnsi" w:hAnsiTheme="majorHAnsi"/>
          <w:sz w:val="16"/>
          <w:szCs w:val="16"/>
          <w:lang w:val="es-AR"/>
        </w:rPr>
        <w:t xml:space="preserve">. </w:t>
      </w:r>
      <w:r w:rsidRPr="00D93236">
        <w:rPr>
          <w:rFonts w:asciiTheme="majorHAnsi" w:hAnsiTheme="majorHAnsi"/>
          <w:sz w:val="16"/>
          <w:szCs w:val="16"/>
          <w:lang w:val="es-AR"/>
        </w:rPr>
        <w:t xml:space="preserve">Sentencia del TOF 3. Capítulo IX, pág. 3699. Anexo 1 a la comunicación de la parte peticionaria de fecha 11 de noviembre de 2019 </w:t>
      </w:r>
    </w:p>
  </w:footnote>
  <w:footnote w:id="148">
    <w:p w14:paraId="1CE106B7"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C05C6">
        <w:rPr>
          <w:rFonts w:asciiTheme="majorHAnsi" w:hAnsiTheme="majorHAnsi"/>
          <w:sz w:val="16"/>
          <w:szCs w:val="16"/>
          <w:lang w:val="es-AR"/>
        </w:rPr>
        <w:t>Anexo 2</w:t>
      </w:r>
      <w:r>
        <w:rPr>
          <w:rFonts w:asciiTheme="majorHAnsi" w:hAnsiTheme="majorHAnsi"/>
          <w:sz w:val="16"/>
          <w:szCs w:val="16"/>
          <w:lang w:val="es-AR"/>
        </w:rPr>
        <w:t xml:space="preserve">. </w:t>
      </w:r>
      <w:r w:rsidRPr="00D93236">
        <w:rPr>
          <w:rFonts w:asciiTheme="majorHAnsi" w:hAnsiTheme="majorHAnsi"/>
          <w:sz w:val="16"/>
          <w:szCs w:val="16"/>
          <w:lang w:val="es-AR"/>
        </w:rPr>
        <w:t xml:space="preserve">Sentencia del TOF 3. Capítulo IX, pág. 3676. Anexo 1 a la comunicación de la parte peticionaria de fecha 11 de noviembre de 2019 </w:t>
      </w:r>
    </w:p>
  </w:footnote>
  <w:footnote w:id="149">
    <w:p w14:paraId="7FCB6674"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C05C6">
        <w:rPr>
          <w:rFonts w:asciiTheme="majorHAnsi" w:hAnsiTheme="majorHAnsi"/>
          <w:sz w:val="16"/>
          <w:szCs w:val="16"/>
          <w:lang w:val="es-AR"/>
        </w:rPr>
        <w:t>Anexo 2</w:t>
      </w:r>
      <w:r>
        <w:rPr>
          <w:rFonts w:asciiTheme="majorHAnsi" w:hAnsiTheme="majorHAnsi"/>
          <w:sz w:val="16"/>
          <w:szCs w:val="16"/>
          <w:lang w:val="es-AR"/>
        </w:rPr>
        <w:t xml:space="preserve">. </w:t>
      </w:r>
      <w:r w:rsidRPr="00D93236">
        <w:rPr>
          <w:rFonts w:asciiTheme="majorHAnsi" w:hAnsiTheme="majorHAnsi"/>
          <w:sz w:val="16"/>
          <w:szCs w:val="16"/>
          <w:lang w:val="es-AR"/>
        </w:rPr>
        <w:t xml:space="preserve">Sentencia del TOF 3. Capítulo IX, pág. 3731. Anexo 1 a la comunicación de la parte peticionaria de fecha 11 de noviembre de 2019 </w:t>
      </w:r>
    </w:p>
  </w:footnote>
  <w:footnote w:id="150">
    <w:p w14:paraId="39267763"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C05C6">
        <w:rPr>
          <w:rFonts w:asciiTheme="majorHAnsi" w:hAnsiTheme="majorHAnsi"/>
          <w:sz w:val="16"/>
          <w:szCs w:val="16"/>
          <w:lang w:val="es-AR"/>
        </w:rPr>
        <w:t>Anexo 2</w:t>
      </w:r>
      <w:r>
        <w:rPr>
          <w:rFonts w:asciiTheme="majorHAnsi" w:hAnsiTheme="majorHAnsi"/>
          <w:sz w:val="16"/>
          <w:szCs w:val="16"/>
          <w:lang w:val="es-AR"/>
        </w:rPr>
        <w:t xml:space="preserve">. </w:t>
      </w:r>
      <w:r w:rsidRPr="00D93236">
        <w:rPr>
          <w:rFonts w:asciiTheme="majorHAnsi" w:hAnsiTheme="majorHAnsi"/>
          <w:sz w:val="16"/>
          <w:szCs w:val="16"/>
          <w:lang w:val="es-AR"/>
        </w:rPr>
        <w:t>Sentencia del TOF 3. Capítulo IX, pág. 3732. Anexo 1 a la comunicación de la parte peticionaria de fecha 11 de noviembre de 2019</w:t>
      </w:r>
    </w:p>
  </w:footnote>
  <w:footnote w:id="151">
    <w:p w14:paraId="13BEE590"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b/>
          <w:sz w:val="16"/>
          <w:szCs w:val="16"/>
          <w:lang w:val="es-AR"/>
        </w:rPr>
        <w:t xml:space="preserve"> </w:t>
      </w:r>
      <w:r w:rsidRPr="00DC05C6">
        <w:rPr>
          <w:rFonts w:asciiTheme="majorHAnsi" w:hAnsiTheme="majorHAnsi"/>
          <w:sz w:val="16"/>
          <w:szCs w:val="16"/>
          <w:lang w:val="es-AR"/>
        </w:rPr>
        <w:t>Anexo 2</w:t>
      </w:r>
      <w:r>
        <w:rPr>
          <w:rFonts w:asciiTheme="majorHAnsi" w:hAnsiTheme="majorHAnsi"/>
          <w:sz w:val="16"/>
          <w:szCs w:val="16"/>
          <w:lang w:val="es-AR"/>
        </w:rPr>
        <w:t xml:space="preserve">. </w:t>
      </w:r>
      <w:r w:rsidRPr="00D93236">
        <w:rPr>
          <w:rFonts w:asciiTheme="majorHAnsi" w:hAnsiTheme="majorHAnsi"/>
          <w:sz w:val="16"/>
          <w:szCs w:val="16"/>
          <w:lang w:val="es-AR"/>
        </w:rPr>
        <w:t xml:space="preserve">Sentencia del TOF 3. Capítulo IX, pág. 3736 y 3737. Anexo 1 a la comunicación de la parte peticionaria de fecha 11 de noviembre de 2019 </w:t>
      </w:r>
    </w:p>
  </w:footnote>
  <w:footnote w:id="152">
    <w:p w14:paraId="1D797B90"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C05C6">
        <w:rPr>
          <w:rFonts w:asciiTheme="majorHAnsi" w:hAnsiTheme="majorHAnsi"/>
          <w:sz w:val="16"/>
          <w:szCs w:val="16"/>
          <w:lang w:val="es-AR"/>
        </w:rPr>
        <w:t>Anexo 2</w:t>
      </w:r>
      <w:r>
        <w:rPr>
          <w:rFonts w:asciiTheme="majorHAnsi" w:hAnsiTheme="majorHAnsi"/>
          <w:sz w:val="16"/>
          <w:szCs w:val="16"/>
          <w:lang w:val="es-AR"/>
        </w:rPr>
        <w:t xml:space="preserve">. </w:t>
      </w:r>
      <w:r w:rsidRPr="00D93236">
        <w:rPr>
          <w:rFonts w:asciiTheme="majorHAnsi" w:hAnsiTheme="majorHAnsi"/>
          <w:sz w:val="16"/>
          <w:szCs w:val="16"/>
          <w:lang w:val="es-AR"/>
        </w:rPr>
        <w:t xml:space="preserve">Sentencia del TOF 3. Capitulo V.B. </w:t>
      </w:r>
      <w:r w:rsidRPr="00D93236">
        <w:rPr>
          <w:rFonts w:asciiTheme="majorHAnsi" w:hAnsiTheme="majorHAnsi"/>
          <w:sz w:val="16"/>
          <w:szCs w:val="16"/>
          <w:lang w:val="es-US"/>
        </w:rPr>
        <w:t xml:space="preserve">Pág. 2696. </w:t>
      </w:r>
      <w:r w:rsidRPr="00D93236">
        <w:rPr>
          <w:rFonts w:asciiTheme="majorHAnsi" w:hAnsiTheme="majorHAnsi"/>
          <w:sz w:val="16"/>
          <w:szCs w:val="16"/>
          <w:lang w:val="es-AR"/>
        </w:rPr>
        <w:t xml:space="preserve">Anexo 1 a la comunicación de la parte peticionaria de fecha 11 de noviembre de 2019; </w:t>
      </w:r>
      <w:r w:rsidRPr="00DC05C6">
        <w:rPr>
          <w:rFonts w:asciiTheme="majorHAnsi" w:hAnsiTheme="majorHAnsi"/>
          <w:sz w:val="16"/>
          <w:szCs w:val="16"/>
          <w:lang w:val="es-AR"/>
        </w:rPr>
        <w:t>Anexo 3</w:t>
      </w:r>
      <w:r w:rsidRPr="00DC05C6">
        <w:rPr>
          <w:rFonts w:asciiTheme="majorHAnsi" w:hAnsiTheme="majorHAnsi"/>
          <w:sz w:val="16"/>
          <w:szCs w:val="16"/>
          <w:lang w:val="es-US"/>
        </w:rPr>
        <w:t>.</w:t>
      </w:r>
      <w:r w:rsidRPr="00D93236">
        <w:rPr>
          <w:rFonts w:asciiTheme="majorHAnsi" w:hAnsiTheme="majorHAnsi"/>
          <w:sz w:val="16"/>
          <w:szCs w:val="16"/>
          <w:lang w:val="es-US"/>
        </w:rPr>
        <w:t xml:space="preserve"> Sentencia de la Sala II de la Cámara Nacional de Casación Penal de fecha 19 de mayo de 2006, págs. 271 a 277. Anexo 7 a la comunicación de la parte peticionaria de fecha 11 de noviembre de 2019.</w:t>
      </w:r>
    </w:p>
  </w:footnote>
  <w:footnote w:id="153">
    <w:p w14:paraId="58860A45"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Velásquez Paiz y otros Vs. Guatemala</w:t>
      </w:r>
      <w:r w:rsidRPr="00D93236">
        <w:rPr>
          <w:rStyle w:val="Strong"/>
          <w:rFonts w:asciiTheme="majorHAnsi" w:hAnsiTheme="majorHAnsi"/>
          <w:b w:val="0"/>
          <w:sz w:val="16"/>
          <w:szCs w:val="16"/>
          <w:shd w:val="clear" w:color="auto" w:fill="FFFFFF"/>
          <w:lang w:val="es-AR"/>
        </w:rPr>
        <w:t>. Excepciones Preliminares, Fondo, Reparaciones y Costas. Sentencia de 19 de noviembre de 2015. Serie C No. 307. Párr. 152</w:t>
      </w:r>
      <w:r w:rsidRPr="00D93236">
        <w:rPr>
          <w:rFonts w:asciiTheme="majorHAnsi" w:hAnsiTheme="majorHAnsi"/>
          <w:sz w:val="16"/>
          <w:szCs w:val="16"/>
          <w:lang w:val="es-AR"/>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de los “Niños de la Calle” (Villagrán Morales y otros) Vs. Guatemala</w:t>
      </w:r>
      <w:r w:rsidRPr="00D93236">
        <w:rPr>
          <w:rStyle w:val="Strong"/>
          <w:rFonts w:asciiTheme="majorHAnsi" w:hAnsiTheme="majorHAnsi"/>
          <w:b w:val="0"/>
          <w:sz w:val="16"/>
          <w:szCs w:val="16"/>
          <w:shd w:val="clear" w:color="auto" w:fill="FFFFFF"/>
          <w:lang w:val="es-AR"/>
        </w:rPr>
        <w:t>. Fondo. Sentencia de 19 de noviembre de 1999. Serie C No. 63. Párr. 231 a 233.</w:t>
      </w:r>
    </w:p>
  </w:footnote>
  <w:footnote w:id="154">
    <w:p w14:paraId="2944D36E"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Corte IDH. </w:t>
      </w:r>
      <w:r w:rsidRPr="00D93236">
        <w:rPr>
          <w:rFonts w:asciiTheme="majorHAnsi" w:hAnsiTheme="majorHAnsi"/>
          <w:i/>
          <w:sz w:val="16"/>
          <w:szCs w:val="16"/>
          <w:lang w:val="es-AR"/>
        </w:rPr>
        <w:t>Caso González y otras (“Campo Algodonero”) Vs. México</w:t>
      </w:r>
      <w:r w:rsidRPr="00D93236">
        <w:rPr>
          <w:rFonts w:asciiTheme="majorHAnsi" w:hAnsiTheme="majorHAnsi"/>
          <w:sz w:val="16"/>
          <w:szCs w:val="16"/>
          <w:lang w:val="es-AR"/>
        </w:rPr>
        <w:t>. Excepción Preliminar, Fondo, Reparaciones y Costas. Sentencia de 16 de noviembre de 2009. Serie C No. 205, párr. 305. Ver, asimismo: ONU. Oficina del Alto Comisionado de las Naciones Unidas para los Derechos Humanos. Protocolo de Minnesota sobre la Investigación de Muertes Potencialmente Ilícitas (2016) Párr. 65: “</w:t>
      </w:r>
      <w:r w:rsidRPr="00D93236">
        <w:rPr>
          <w:rFonts w:asciiTheme="majorHAnsi" w:hAnsiTheme="majorHAnsi"/>
          <w:i/>
          <w:sz w:val="16"/>
          <w:szCs w:val="16"/>
          <w:lang w:val="es-AR"/>
        </w:rPr>
        <w:t>Debe dejarse constancia de cada una de las etapas de recuperación, almacenamiento, transporte y análisis forense de las pruebas, desde el lugar del delito, pasando por el tribunal y hasta el final del proceso judicial, para asegurar la integridad de las pruebas. Esto se suele denominar la “cadena de pruebas” o “cadena de custodia”. La cadena de custodia es un concepto jurídico relativo a las pruebas, por el que se exige que todo potencial elemento probatorio se documente de forma concluyente para que pueda ser admitido como prueba en un procedimiento judicial. Eso incluye la identidad y la secuencia de todas las personas que hayan tenido en su poder ese objeto desde que las autoridades lo obtuvieron hasta que se presentó ante el tribunal. Cualquier interrupción de esa cadena de posesión o de custodia puede impedir la presentación del objeto como prueba contra un acusado en un proceso penal. El material probatorio debe transportarse de forma que esté protegido contra la manipulación, la degradación y la contaminación cruzada con otras pruebas</w:t>
      </w:r>
      <w:r w:rsidRPr="00D93236">
        <w:rPr>
          <w:rFonts w:asciiTheme="majorHAnsi" w:hAnsiTheme="majorHAnsi"/>
          <w:sz w:val="16"/>
          <w:szCs w:val="16"/>
          <w:lang w:val="es-AR"/>
        </w:rPr>
        <w:t xml:space="preserve">”. </w:t>
      </w:r>
    </w:p>
  </w:footnote>
  <w:footnote w:id="155">
    <w:p w14:paraId="506FFF0C" w14:textId="77777777" w:rsidR="005B3F8C" w:rsidRPr="00D93236" w:rsidRDefault="005B3F8C" w:rsidP="00E27260">
      <w:pPr>
        <w:pStyle w:val="FootnoteText"/>
        <w:jc w:val="both"/>
        <w:rPr>
          <w:rFonts w:asciiTheme="majorHAnsi" w:hAnsiTheme="majorHAnsi" w:cs="Arial"/>
          <w:sz w:val="16"/>
          <w:szCs w:val="16"/>
          <w:lang w:val="es-AR"/>
        </w:rPr>
      </w:pPr>
      <w:r w:rsidRPr="00D93236">
        <w:rPr>
          <w:rStyle w:val="FootnoteReference"/>
          <w:rFonts w:asciiTheme="majorHAnsi" w:hAnsiTheme="majorHAnsi" w:cs="Arial"/>
          <w:sz w:val="16"/>
          <w:szCs w:val="16"/>
        </w:rPr>
        <w:footnoteRef/>
      </w:r>
      <w:r w:rsidRPr="00D93236">
        <w:rPr>
          <w:rFonts w:asciiTheme="majorHAnsi" w:hAnsiTheme="majorHAnsi" w:cs="Arial"/>
          <w:sz w:val="16"/>
          <w:szCs w:val="16"/>
          <w:lang w:val="es-AR"/>
        </w:rPr>
        <w:t xml:space="preserve"> Ver, entre otros: </w:t>
      </w:r>
      <w:r w:rsidRPr="00D93236">
        <w:rPr>
          <w:rStyle w:val="Strong"/>
          <w:rFonts w:asciiTheme="majorHAnsi" w:hAnsiTheme="majorHAnsi" w:cs="Arial"/>
          <w:b w:val="0"/>
          <w:sz w:val="16"/>
          <w:szCs w:val="16"/>
          <w:shd w:val="clear" w:color="auto" w:fill="FFFFFF"/>
          <w:lang w:val="es-AR"/>
        </w:rPr>
        <w:t xml:space="preserve">Corte IDH. </w:t>
      </w:r>
      <w:r w:rsidRPr="00D93236">
        <w:rPr>
          <w:rStyle w:val="Strong"/>
          <w:rFonts w:asciiTheme="majorHAnsi" w:hAnsiTheme="majorHAnsi" w:cs="Arial"/>
          <w:b w:val="0"/>
          <w:i/>
          <w:sz w:val="16"/>
          <w:szCs w:val="16"/>
          <w:shd w:val="clear" w:color="auto" w:fill="FFFFFF"/>
          <w:lang w:val="es-AR"/>
        </w:rPr>
        <w:t>Caso Ximenes Lopes Vs. Brasil</w:t>
      </w:r>
      <w:r w:rsidRPr="00D93236">
        <w:rPr>
          <w:rStyle w:val="Strong"/>
          <w:rFonts w:asciiTheme="majorHAnsi" w:hAnsiTheme="majorHAnsi" w:cs="Arial"/>
          <w:b w:val="0"/>
          <w:sz w:val="16"/>
          <w:szCs w:val="16"/>
          <w:shd w:val="clear" w:color="auto" w:fill="FFFFFF"/>
          <w:lang w:val="es-AR"/>
        </w:rPr>
        <w:t xml:space="preserve">. Sentencia de 4 de julio de 2006. Serie C No. 149. Párr. 189;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García Prieto y otro Vs. El Salvador</w:t>
      </w:r>
      <w:r w:rsidRPr="00D93236">
        <w:rPr>
          <w:rStyle w:val="Strong"/>
          <w:rFonts w:asciiTheme="majorHAnsi" w:hAnsiTheme="majorHAnsi"/>
          <w:b w:val="0"/>
          <w:sz w:val="16"/>
          <w:szCs w:val="16"/>
          <w:shd w:val="clear" w:color="auto" w:fill="FFFFFF"/>
          <w:lang w:val="es-AR"/>
        </w:rPr>
        <w:t>. Excepciones Preliminares, Fondo, Reparaciones y Costas. Sentencia de 20 de noviembre de 2007. Serie C No. 168. Parrs 112 y 113</w:t>
      </w:r>
      <w:r w:rsidRPr="00D93236">
        <w:rPr>
          <w:rStyle w:val="Strong"/>
          <w:rFonts w:asciiTheme="majorHAnsi" w:hAnsiTheme="majorHAnsi"/>
          <w:sz w:val="16"/>
          <w:szCs w:val="16"/>
          <w:shd w:val="clear" w:color="auto" w:fill="FFFFFF"/>
          <w:lang w:val="es-AR"/>
        </w:rPr>
        <w:t xml:space="preserve">; </w:t>
      </w:r>
      <w:r w:rsidRPr="00D93236">
        <w:rPr>
          <w:rStyle w:val="Strong"/>
          <w:rFonts w:asciiTheme="majorHAnsi" w:hAnsiTheme="majorHAnsi"/>
          <w:b w:val="0"/>
          <w:sz w:val="16"/>
          <w:szCs w:val="16"/>
          <w:shd w:val="clear" w:color="auto" w:fill="FFFFFF"/>
          <w:lang w:val="es-AR"/>
        </w:rPr>
        <w:t xml:space="preserve">Corte IDH. </w:t>
      </w:r>
      <w:r w:rsidRPr="00D93236">
        <w:rPr>
          <w:rStyle w:val="Strong"/>
          <w:rFonts w:asciiTheme="majorHAnsi" w:hAnsiTheme="majorHAnsi"/>
          <w:b w:val="0"/>
          <w:i/>
          <w:sz w:val="16"/>
          <w:szCs w:val="16"/>
          <w:shd w:val="clear" w:color="auto" w:fill="FFFFFF"/>
          <w:lang w:val="es-AR"/>
        </w:rPr>
        <w:t>Caso Myrna Mack Chang Vs. Guatemala</w:t>
      </w:r>
      <w:r w:rsidRPr="00D93236">
        <w:rPr>
          <w:rStyle w:val="Strong"/>
          <w:rFonts w:asciiTheme="majorHAnsi" w:hAnsiTheme="majorHAnsi"/>
          <w:b w:val="0"/>
          <w:sz w:val="16"/>
          <w:szCs w:val="16"/>
          <w:shd w:val="clear" w:color="auto" w:fill="FFFFFF"/>
          <w:lang w:val="es-AR"/>
        </w:rPr>
        <w:t xml:space="preserve">. Fondo, Reparaciones y Costas. Sentencia de 25 de noviembre de 2003. Serie C No. 101. Párrs. 173 y 174. </w:t>
      </w:r>
    </w:p>
  </w:footnote>
  <w:footnote w:id="156">
    <w:p w14:paraId="73985243"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C05C6">
        <w:rPr>
          <w:rFonts w:asciiTheme="majorHAnsi" w:hAnsiTheme="majorHAnsi"/>
          <w:sz w:val="16"/>
          <w:szCs w:val="16"/>
          <w:lang w:val="es-AR"/>
        </w:rPr>
        <w:t>Anexo 2.</w:t>
      </w:r>
      <w:r w:rsidRPr="00D93236">
        <w:rPr>
          <w:rFonts w:asciiTheme="majorHAnsi" w:hAnsiTheme="majorHAnsi"/>
          <w:b/>
          <w:sz w:val="16"/>
          <w:szCs w:val="16"/>
          <w:lang w:val="es-AR"/>
        </w:rPr>
        <w:t xml:space="preserve"> </w:t>
      </w:r>
      <w:r w:rsidRPr="00D93236">
        <w:rPr>
          <w:rFonts w:asciiTheme="majorHAnsi" w:hAnsiTheme="majorHAnsi"/>
          <w:sz w:val="16"/>
          <w:szCs w:val="16"/>
          <w:lang w:val="es-AR"/>
        </w:rPr>
        <w:t>Sentencia del TOF 3. Capítulo X</w:t>
      </w:r>
      <w:r>
        <w:rPr>
          <w:rFonts w:asciiTheme="majorHAnsi" w:hAnsiTheme="majorHAnsi"/>
          <w:sz w:val="16"/>
          <w:szCs w:val="16"/>
          <w:lang w:val="es-AR"/>
        </w:rPr>
        <w:t>.B,</w:t>
      </w:r>
      <w:r w:rsidRPr="00D93236">
        <w:rPr>
          <w:rFonts w:asciiTheme="majorHAnsi" w:hAnsiTheme="majorHAnsi"/>
          <w:sz w:val="16"/>
          <w:szCs w:val="16"/>
          <w:lang w:val="es-AR"/>
        </w:rPr>
        <w:t xml:space="preserve"> pág 3846. Anexo 1 a la comunicación de la parte peticionaria de fecha 11 de noviembre de 2019</w:t>
      </w:r>
    </w:p>
  </w:footnote>
  <w:footnote w:id="157">
    <w:p w14:paraId="3598CB8D"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D1075">
        <w:rPr>
          <w:rFonts w:asciiTheme="majorHAnsi" w:hAnsiTheme="majorHAnsi"/>
          <w:sz w:val="16"/>
          <w:szCs w:val="16"/>
          <w:lang w:val="es-AR"/>
        </w:rPr>
        <w:t>Anexo 12</w:t>
      </w:r>
      <w:r w:rsidRPr="00D93236">
        <w:rPr>
          <w:rFonts w:asciiTheme="majorHAnsi" w:hAnsiTheme="majorHAnsi"/>
          <w:b/>
          <w:sz w:val="16"/>
          <w:szCs w:val="16"/>
          <w:lang w:val="es-AR"/>
        </w:rPr>
        <w:t xml:space="preserve">. </w:t>
      </w:r>
      <w:r w:rsidRPr="00D93236">
        <w:rPr>
          <w:rFonts w:asciiTheme="majorHAnsi" w:hAnsiTheme="majorHAnsi"/>
          <w:sz w:val="16"/>
          <w:szCs w:val="16"/>
          <w:lang w:val="es-AR"/>
        </w:rPr>
        <w:t>Sentencia del Tribunal Oral en lo Criminal Federal Nro. 2 de fecha 3 de mayo de 2019, pág. 345. Anexo 2 a la comunicación de la parte peticionaria de fecha 11 de noviembre de 2019.</w:t>
      </w:r>
    </w:p>
  </w:footnote>
  <w:footnote w:id="158">
    <w:p w14:paraId="41C5B9C3"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D1075">
        <w:rPr>
          <w:rFonts w:asciiTheme="majorHAnsi" w:hAnsiTheme="majorHAnsi"/>
          <w:sz w:val="16"/>
          <w:szCs w:val="16"/>
          <w:lang w:val="es-AR"/>
        </w:rPr>
        <w:t>Anexo 12.</w:t>
      </w:r>
      <w:r w:rsidRPr="00D93236">
        <w:rPr>
          <w:rFonts w:asciiTheme="majorHAnsi" w:hAnsiTheme="majorHAnsi"/>
          <w:b/>
          <w:sz w:val="16"/>
          <w:szCs w:val="16"/>
          <w:lang w:val="es-AR"/>
        </w:rPr>
        <w:t xml:space="preserve"> </w:t>
      </w:r>
      <w:r w:rsidRPr="00D93236">
        <w:rPr>
          <w:rFonts w:asciiTheme="majorHAnsi" w:hAnsiTheme="majorHAnsi"/>
          <w:sz w:val="16"/>
          <w:szCs w:val="16"/>
          <w:lang w:val="es-AR"/>
        </w:rPr>
        <w:t>Sentencia del Tribunal Oral en lo Criminal Federal Nro. 2 de fecha 3 de mayo de 2019, pág. 354. Anexo 2 a la comunicación de la parte peticionaria de fecha 11 de noviembre de 2019.</w:t>
      </w:r>
    </w:p>
  </w:footnote>
  <w:footnote w:id="159">
    <w:p w14:paraId="59744A00"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D1075">
        <w:rPr>
          <w:rFonts w:asciiTheme="majorHAnsi" w:hAnsiTheme="majorHAnsi"/>
          <w:sz w:val="16"/>
          <w:szCs w:val="16"/>
          <w:lang w:val="es-AR"/>
        </w:rPr>
        <w:t>Anexo 12.</w:t>
      </w:r>
      <w:r>
        <w:rPr>
          <w:rFonts w:asciiTheme="majorHAnsi" w:hAnsiTheme="majorHAnsi"/>
          <w:b/>
          <w:sz w:val="16"/>
          <w:szCs w:val="16"/>
          <w:lang w:val="es-AR"/>
        </w:rPr>
        <w:t xml:space="preserve"> </w:t>
      </w:r>
      <w:r w:rsidRPr="00D93236">
        <w:rPr>
          <w:rFonts w:asciiTheme="majorHAnsi" w:hAnsiTheme="majorHAnsi"/>
          <w:sz w:val="16"/>
          <w:szCs w:val="16"/>
          <w:lang w:val="es-AR"/>
        </w:rPr>
        <w:t>Sentencia del Tribunal Oral en lo Criminal Federal Nro. 2 de fecha 3 de mayo de 2019, pág. 335. Anexo 2 a la comunicación de la parte peticionaria de fecha 11 de noviembre de 2019.</w:t>
      </w:r>
    </w:p>
  </w:footnote>
  <w:footnote w:id="160">
    <w:p w14:paraId="5D47CBDF"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Pr>
          <w:rFonts w:asciiTheme="majorHAnsi" w:hAnsiTheme="majorHAnsi"/>
          <w:b/>
          <w:sz w:val="16"/>
          <w:szCs w:val="16"/>
          <w:lang w:val="es-AR"/>
        </w:rPr>
        <w:t xml:space="preserve"> </w:t>
      </w:r>
      <w:r w:rsidRPr="00DD1075">
        <w:rPr>
          <w:rFonts w:asciiTheme="majorHAnsi" w:hAnsiTheme="majorHAnsi"/>
          <w:sz w:val="16"/>
          <w:szCs w:val="16"/>
          <w:lang w:val="es-AR"/>
        </w:rPr>
        <w:t>Anexo 12</w:t>
      </w:r>
      <w:r>
        <w:rPr>
          <w:rFonts w:asciiTheme="majorHAnsi" w:hAnsiTheme="majorHAnsi"/>
          <w:b/>
          <w:sz w:val="16"/>
          <w:szCs w:val="16"/>
          <w:lang w:val="es-AR"/>
        </w:rPr>
        <w:t xml:space="preserve">. </w:t>
      </w:r>
      <w:r w:rsidRPr="00D93236">
        <w:rPr>
          <w:rFonts w:asciiTheme="majorHAnsi" w:hAnsiTheme="majorHAnsi"/>
          <w:sz w:val="16"/>
          <w:szCs w:val="16"/>
          <w:lang w:val="es-AR"/>
        </w:rPr>
        <w:t>Sentencia del Tribunal Oral en lo Criminal Federal Nro. 2 de fecha 3 de mayo de 2019, pág. 373. Anexo 2 a la comunicación de la parte peticionaria de fecha 11 de noviembre de 2019.</w:t>
      </w:r>
    </w:p>
  </w:footnote>
  <w:footnote w:id="161">
    <w:p w14:paraId="26651D1A"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D1075">
        <w:rPr>
          <w:rFonts w:asciiTheme="majorHAnsi" w:hAnsiTheme="majorHAnsi"/>
          <w:sz w:val="16"/>
          <w:szCs w:val="16"/>
          <w:lang w:val="es-AR"/>
        </w:rPr>
        <w:t>Anexo 12.</w:t>
      </w:r>
      <w:r>
        <w:rPr>
          <w:rFonts w:asciiTheme="majorHAnsi" w:hAnsiTheme="majorHAnsi"/>
          <w:b/>
          <w:sz w:val="16"/>
          <w:szCs w:val="16"/>
          <w:lang w:val="es-AR"/>
        </w:rPr>
        <w:t xml:space="preserve"> </w:t>
      </w:r>
      <w:r w:rsidRPr="00D93236">
        <w:rPr>
          <w:rFonts w:asciiTheme="majorHAnsi" w:hAnsiTheme="majorHAnsi"/>
          <w:sz w:val="16"/>
          <w:szCs w:val="16"/>
          <w:lang w:val="es-AR"/>
        </w:rPr>
        <w:t>Sentencia del Tribunal Oral en lo Criminal Federal Nro. 2 de fecha 3 de mayo de 2019, pág. 374. Anexo 2 a la comunicación de la parte peticionaria de fecha 11 de noviembre de 2019.</w:t>
      </w:r>
    </w:p>
  </w:footnote>
  <w:footnote w:id="162">
    <w:p w14:paraId="101A484A"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D1075">
        <w:rPr>
          <w:rFonts w:asciiTheme="majorHAnsi" w:hAnsiTheme="majorHAnsi"/>
          <w:sz w:val="16"/>
          <w:szCs w:val="16"/>
          <w:lang w:val="es-AR"/>
        </w:rPr>
        <w:t>Anexo 12.</w:t>
      </w:r>
      <w:r>
        <w:rPr>
          <w:rFonts w:asciiTheme="majorHAnsi" w:hAnsiTheme="majorHAnsi"/>
          <w:b/>
          <w:sz w:val="16"/>
          <w:szCs w:val="16"/>
          <w:lang w:val="es-AR"/>
        </w:rPr>
        <w:t xml:space="preserve"> </w:t>
      </w:r>
      <w:r w:rsidRPr="00D93236">
        <w:rPr>
          <w:rFonts w:asciiTheme="majorHAnsi" w:hAnsiTheme="majorHAnsi"/>
          <w:sz w:val="16"/>
          <w:szCs w:val="16"/>
          <w:lang w:val="es-AR"/>
        </w:rPr>
        <w:t>Sentencia del Tribunal Oral en lo Criminal Federal Nro. 2 de fecha 3 de mayo de 2019, pág. 376. Anexo 2 a la comunicación de la parte peticionaria de fecha 11 de noviembre de 2019.</w:t>
      </w:r>
    </w:p>
  </w:footnote>
  <w:footnote w:id="163">
    <w:p w14:paraId="5B53EA31"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C05C6">
        <w:rPr>
          <w:rFonts w:asciiTheme="majorHAnsi" w:hAnsiTheme="majorHAnsi"/>
          <w:sz w:val="16"/>
          <w:szCs w:val="16"/>
          <w:lang w:val="es-AR"/>
        </w:rPr>
        <w:t xml:space="preserve">Anexo </w:t>
      </w:r>
      <w:r>
        <w:rPr>
          <w:rFonts w:asciiTheme="majorHAnsi" w:hAnsiTheme="majorHAnsi"/>
          <w:sz w:val="16"/>
          <w:szCs w:val="16"/>
          <w:lang w:val="es-AR"/>
        </w:rPr>
        <w:t>1</w:t>
      </w:r>
      <w:r w:rsidRPr="00DC05C6">
        <w:rPr>
          <w:rFonts w:asciiTheme="majorHAnsi" w:hAnsiTheme="majorHAnsi"/>
          <w:sz w:val="16"/>
          <w:szCs w:val="16"/>
          <w:lang w:val="es-AR"/>
        </w:rPr>
        <w:t>2.</w:t>
      </w:r>
      <w:r w:rsidRPr="00D93236">
        <w:rPr>
          <w:rFonts w:asciiTheme="majorHAnsi" w:hAnsiTheme="majorHAnsi"/>
          <w:sz w:val="16"/>
          <w:szCs w:val="16"/>
          <w:lang w:val="es-AR"/>
        </w:rPr>
        <w:t xml:space="preserve"> Sentencia del Tribunal Oral en lo Criminal Federal Nro. 2 de fecha 3 de mayo de 2019. Págs 336 Y 337. Anexo 2 a la comunicación de la parte peticionaria de fecha 11 de noviembre de 2019</w:t>
      </w:r>
    </w:p>
  </w:footnote>
  <w:footnote w:id="164">
    <w:p w14:paraId="3D4C3331"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Decreto 1801/92 de fecha 29 de septiembre de 1992. Accesible en: </w:t>
      </w:r>
      <w:r w:rsidRPr="00D93236">
        <w:rPr>
          <w:rFonts w:asciiTheme="majorHAnsi" w:eastAsia="Arial Unicode MS" w:hAnsiTheme="majorHAnsi" w:cs="Times New Roman"/>
          <w:color w:val="0000FF"/>
          <w:sz w:val="16"/>
          <w:szCs w:val="16"/>
          <w:u w:val="single"/>
          <w:lang w:val="es-AR" w:eastAsia="en-US"/>
        </w:rPr>
        <w:t>http://mepriv.mecon.gov.ar/Normas/1801-92.htm</w:t>
      </w:r>
      <w:r w:rsidRPr="00D93236">
        <w:rPr>
          <w:rFonts w:asciiTheme="majorHAnsi" w:eastAsia="Arial Unicode MS" w:hAnsiTheme="majorHAnsi" w:cs="Times New Roman"/>
          <w:color w:val="auto"/>
          <w:sz w:val="16"/>
          <w:szCs w:val="16"/>
          <w:lang w:val="es-AR" w:eastAsia="en-US"/>
        </w:rPr>
        <w:t xml:space="preserve"> </w:t>
      </w:r>
    </w:p>
  </w:footnote>
  <w:footnote w:id="165">
    <w:p w14:paraId="2F54AD07"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Ver, por ejemplo, oficio de la Secretaria de Inteligencia del Estado dirigido al juez Galeano de fecha 8 de agosto de 1994, transcripto en: </w:t>
      </w:r>
      <w:r w:rsidRPr="001C71C9">
        <w:rPr>
          <w:rFonts w:asciiTheme="majorHAnsi" w:hAnsiTheme="majorHAnsi"/>
          <w:sz w:val="16"/>
          <w:szCs w:val="16"/>
          <w:lang w:val="es-AR"/>
        </w:rPr>
        <w:t xml:space="preserve">Anexo </w:t>
      </w:r>
      <w:r>
        <w:rPr>
          <w:rFonts w:asciiTheme="majorHAnsi" w:hAnsiTheme="majorHAnsi"/>
          <w:sz w:val="16"/>
          <w:szCs w:val="16"/>
          <w:lang w:val="es-AR"/>
        </w:rPr>
        <w:t>1</w:t>
      </w:r>
      <w:r w:rsidRPr="001C71C9">
        <w:rPr>
          <w:rFonts w:asciiTheme="majorHAnsi" w:hAnsiTheme="majorHAnsi"/>
          <w:sz w:val="16"/>
          <w:szCs w:val="16"/>
          <w:lang w:val="es-AR"/>
        </w:rPr>
        <w:t>2.</w:t>
      </w:r>
      <w:r w:rsidRPr="00D93236">
        <w:rPr>
          <w:rFonts w:asciiTheme="majorHAnsi" w:hAnsiTheme="majorHAnsi"/>
          <w:sz w:val="16"/>
          <w:szCs w:val="16"/>
          <w:lang w:val="es-AR"/>
        </w:rPr>
        <w:t xml:space="preserve"> Sentencia del Tribunal Oral en lo Criminal Federal Nro. 2 de fecha 3 de mayo de 2019, pág. 381. Anexo 2 a la comunicación de la parte peticionaria de fecha 11 de noviembre de 2019.</w:t>
      </w:r>
    </w:p>
  </w:footnote>
  <w:footnote w:id="166">
    <w:p w14:paraId="5E7EB14B"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Respecto a la línea del abonado 449-4706, ver: </w:t>
      </w:r>
      <w:r w:rsidRPr="001C71C9">
        <w:rPr>
          <w:rFonts w:asciiTheme="majorHAnsi" w:hAnsiTheme="majorHAnsi"/>
          <w:sz w:val="16"/>
          <w:szCs w:val="16"/>
          <w:lang w:val="es-AR"/>
        </w:rPr>
        <w:t>Anexo 12</w:t>
      </w:r>
      <w:r w:rsidRPr="00D93236">
        <w:rPr>
          <w:rFonts w:asciiTheme="majorHAnsi" w:hAnsiTheme="majorHAnsi"/>
          <w:b/>
          <w:sz w:val="16"/>
          <w:szCs w:val="16"/>
          <w:lang w:val="es-AR"/>
        </w:rPr>
        <w:t>.</w:t>
      </w:r>
      <w:r w:rsidRPr="00D93236">
        <w:rPr>
          <w:rFonts w:asciiTheme="majorHAnsi" w:hAnsiTheme="majorHAnsi"/>
          <w:sz w:val="16"/>
          <w:szCs w:val="16"/>
          <w:lang w:val="es-AR"/>
        </w:rPr>
        <w:t xml:space="preserve"> Sentencia del Tribunal Oral en lo Criminal Federal Nro. 2 de fecha 3 de mayo de 2019, pág. 381. Anexo 2 a la comunicación de la parte peticionaria de fecha 11 de noviembre de 2019. Con respecto a la línea perteneciente al abonado 942-9181, ver: </w:t>
      </w:r>
      <w:r w:rsidRPr="001C71C9">
        <w:rPr>
          <w:rFonts w:asciiTheme="majorHAnsi" w:hAnsiTheme="majorHAnsi"/>
          <w:sz w:val="16"/>
          <w:szCs w:val="16"/>
          <w:lang w:val="es-AR"/>
        </w:rPr>
        <w:t>Anexo 12</w:t>
      </w:r>
      <w:r w:rsidRPr="00D93236">
        <w:rPr>
          <w:rFonts w:asciiTheme="majorHAnsi" w:hAnsiTheme="majorHAnsi"/>
          <w:b/>
          <w:sz w:val="16"/>
          <w:szCs w:val="16"/>
          <w:lang w:val="es-AR"/>
        </w:rPr>
        <w:t>.</w:t>
      </w:r>
      <w:r w:rsidRPr="00D93236">
        <w:rPr>
          <w:rFonts w:asciiTheme="majorHAnsi" w:hAnsiTheme="majorHAnsi"/>
          <w:sz w:val="16"/>
          <w:szCs w:val="16"/>
          <w:lang w:val="es-AR"/>
        </w:rPr>
        <w:t xml:space="preserve"> Sentencia del Tribunal Oral en lo Criminal Federal Nro. 2 de fecha 3 de mayo de 2019, pág. 388. Anexo 2 a la comunicación de la parte peticionaria de fecha 11 de noviembre de 2019; </w:t>
      </w:r>
    </w:p>
  </w:footnote>
  <w:footnote w:id="167">
    <w:p w14:paraId="3D647C96"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C71C9">
        <w:rPr>
          <w:rFonts w:asciiTheme="majorHAnsi" w:hAnsiTheme="majorHAnsi"/>
          <w:sz w:val="16"/>
          <w:szCs w:val="16"/>
          <w:lang w:val="es-AR"/>
        </w:rPr>
        <w:t>Anexo 12</w:t>
      </w:r>
      <w:r w:rsidRPr="00D93236">
        <w:rPr>
          <w:rFonts w:asciiTheme="majorHAnsi" w:hAnsiTheme="majorHAnsi"/>
          <w:b/>
          <w:sz w:val="16"/>
          <w:szCs w:val="16"/>
          <w:lang w:val="es-AR"/>
        </w:rPr>
        <w:t>.</w:t>
      </w:r>
      <w:r w:rsidRPr="00D93236">
        <w:rPr>
          <w:rFonts w:asciiTheme="majorHAnsi" w:hAnsiTheme="majorHAnsi"/>
          <w:sz w:val="16"/>
          <w:szCs w:val="16"/>
          <w:lang w:val="es-AR"/>
        </w:rPr>
        <w:t xml:space="preserve"> Sentencia del Tribunal Oral en lo Criminal Federal Nro. 2 de fecha 3 de mayo de 2019, pág. 394. Anexo 2 a la comunicación de la parte peticionaria de fecha 11 de noviembre de 2019.</w:t>
      </w:r>
    </w:p>
  </w:footnote>
  <w:footnote w:id="168">
    <w:p w14:paraId="530C6760"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C71C9">
        <w:rPr>
          <w:rFonts w:asciiTheme="majorHAnsi" w:hAnsiTheme="majorHAnsi"/>
          <w:sz w:val="16"/>
          <w:szCs w:val="16"/>
          <w:lang w:val="es-AR"/>
        </w:rPr>
        <w:t>Anexo 12</w:t>
      </w:r>
      <w:r>
        <w:rPr>
          <w:rFonts w:asciiTheme="majorHAnsi" w:hAnsiTheme="majorHAnsi"/>
          <w:b/>
          <w:sz w:val="16"/>
          <w:szCs w:val="16"/>
          <w:lang w:val="es-AR"/>
        </w:rPr>
        <w:t>.</w:t>
      </w:r>
      <w:r w:rsidRPr="00D93236">
        <w:rPr>
          <w:rFonts w:asciiTheme="majorHAnsi" w:hAnsiTheme="majorHAnsi"/>
          <w:sz w:val="16"/>
          <w:szCs w:val="16"/>
          <w:lang w:val="es-AR"/>
        </w:rPr>
        <w:t xml:space="preserve"> Sentencia del Tribunal Oral en lo Criminal Federal Nro. 2 de fecha 3 de mayo de 2019, pág. 402 a 411. Anexo 2 a la comunicación de la parte peticionaria de fecha 11 de noviembre de 2019.</w:t>
      </w:r>
    </w:p>
  </w:footnote>
  <w:footnote w:id="169">
    <w:p w14:paraId="1DE6A266"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1C71C9">
        <w:rPr>
          <w:rFonts w:asciiTheme="majorHAnsi" w:hAnsiTheme="majorHAnsi"/>
          <w:sz w:val="16"/>
          <w:szCs w:val="16"/>
          <w:lang w:val="es-AR"/>
        </w:rPr>
        <w:t>Anexo 12</w:t>
      </w:r>
      <w:r>
        <w:rPr>
          <w:rFonts w:asciiTheme="majorHAnsi" w:hAnsiTheme="majorHAnsi"/>
          <w:sz w:val="16"/>
          <w:szCs w:val="16"/>
          <w:lang w:val="es-AR"/>
        </w:rPr>
        <w:t xml:space="preserve">. </w:t>
      </w:r>
      <w:r w:rsidRPr="00D93236">
        <w:rPr>
          <w:rFonts w:asciiTheme="majorHAnsi" w:hAnsiTheme="majorHAnsi"/>
          <w:sz w:val="16"/>
          <w:szCs w:val="16"/>
          <w:lang w:val="es-AR"/>
        </w:rPr>
        <w:t>Sentencia del Tribunal Oral en lo Criminal Federal Nro. 2 de fecha 3 de mayo de 2019, pág. 401. Anexo 2 a la comunicación de la parte peticionaria de fecha 11 de noviembre de 2019.</w:t>
      </w:r>
    </w:p>
  </w:footnote>
  <w:footnote w:id="170">
    <w:p w14:paraId="33F0D256"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1C71C9">
        <w:rPr>
          <w:rFonts w:asciiTheme="majorHAnsi" w:hAnsiTheme="majorHAnsi"/>
          <w:sz w:val="16"/>
          <w:szCs w:val="16"/>
          <w:lang w:val="es-AR"/>
        </w:rPr>
        <w:t>Anexo 12.</w:t>
      </w:r>
      <w:r w:rsidRPr="00D93236">
        <w:rPr>
          <w:rFonts w:asciiTheme="majorHAnsi" w:hAnsiTheme="majorHAnsi"/>
          <w:sz w:val="16"/>
          <w:szCs w:val="16"/>
          <w:lang w:val="es-AR"/>
        </w:rPr>
        <w:t xml:space="preserve"> Sentencia del Tribunal Oral en lo Criminal Federal Nro. 2 de fecha 3 de mayo de 2019, pág. 412. Anexo 2 a la comunicación de la parte peticionaria de fecha 11 de noviembre de 2019.</w:t>
      </w:r>
    </w:p>
  </w:footnote>
  <w:footnote w:id="171">
    <w:p w14:paraId="38C1F852"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12</w:t>
      </w:r>
      <w:r w:rsidRPr="00D93236">
        <w:rPr>
          <w:rFonts w:asciiTheme="majorHAnsi" w:hAnsiTheme="majorHAnsi"/>
          <w:sz w:val="16"/>
          <w:szCs w:val="16"/>
          <w:lang w:val="es-AR"/>
        </w:rPr>
        <w:t xml:space="preserve">. Sentencia del </w:t>
      </w:r>
      <w:r>
        <w:rPr>
          <w:rFonts w:asciiTheme="majorHAnsi" w:hAnsiTheme="majorHAnsi"/>
          <w:sz w:val="16"/>
          <w:szCs w:val="16"/>
          <w:lang w:val="es-AR"/>
        </w:rPr>
        <w:t>Tribunal Oral en lo Criminal Federal Nro. 2</w:t>
      </w:r>
      <w:r w:rsidRPr="00D93236">
        <w:rPr>
          <w:rFonts w:asciiTheme="majorHAnsi" w:hAnsiTheme="majorHAnsi"/>
          <w:sz w:val="16"/>
          <w:szCs w:val="16"/>
          <w:lang w:val="es-AR"/>
        </w:rPr>
        <w:t>. Pág. 354. Anexo 2 a la comunicación de la parte peticionaria de fecha 11 de noviembre de 2019.</w:t>
      </w:r>
    </w:p>
  </w:footnote>
  <w:footnote w:id="172">
    <w:p w14:paraId="04603BC8"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Corte IDH. </w:t>
      </w:r>
      <w:r w:rsidRPr="00D93236">
        <w:rPr>
          <w:rFonts w:asciiTheme="majorHAnsi" w:hAnsiTheme="majorHAnsi"/>
          <w:i/>
          <w:sz w:val="16"/>
          <w:szCs w:val="16"/>
          <w:lang w:val="es-AR"/>
        </w:rPr>
        <w:t>Caso de los “Niños de la Calle” (Villagrán Morales y otros)</w:t>
      </w:r>
      <w:r w:rsidRPr="00D93236">
        <w:rPr>
          <w:rFonts w:asciiTheme="majorHAnsi" w:hAnsiTheme="majorHAnsi"/>
          <w:sz w:val="16"/>
          <w:szCs w:val="16"/>
          <w:lang w:val="es-AR"/>
        </w:rPr>
        <w:t xml:space="preserve">. Sentencia de 19 de noviembre de 1999. Serie C No. 63, párr. 230; Corte IDH, </w:t>
      </w:r>
      <w:r w:rsidRPr="00D93236">
        <w:rPr>
          <w:rFonts w:asciiTheme="majorHAnsi" w:hAnsiTheme="majorHAnsi"/>
          <w:i/>
          <w:sz w:val="16"/>
          <w:szCs w:val="16"/>
          <w:lang w:val="es-AR"/>
        </w:rPr>
        <w:t>Caso J. vs. Perú</w:t>
      </w:r>
      <w:r w:rsidRPr="00D93236">
        <w:rPr>
          <w:rFonts w:asciiTheme="majorHAnsi" w:hAnsiTheme="majorHAnsi"/>
          <w:sz w:val="16"/>
          <w:szCs w:val="16"/>
          <w:lang w:val="es-AR"/>
        </w:rPr>
        <w:t xml:space="preserve">. Excepción preliminar, Fondo, Reparaciones y Costas. Sentencia de 27 de noviembre de 2013. Serie C No. 275, párr. 344, citando Corte IDH. </w:t>
      </w:r>
      <w:r w:rsidRPr="00D93236">
        <w:rPr>
          <w:rFonts w:asciiTheme="majorHAnsi" w:hAnsiTheme="majorHAnsi"/>
          <w:i/>
          <w:sz w:val="16"/>
          <w:szCs w:val="16"/>
          <w:lang w:val="es-AR"/>
        </w:rPr>
        <w:t>Juan Humberto Sánchez vs. Honduras</w:t>
      </w:r>
      <w:r w:rsidRPr="00D93236">
        <w:rPr>
          <w:rFonts w:asciiTheme="majorHAnsi" w:hAnsiTheme="majorHAnsi"/>
          <w:sz w:val="16"/>
          <w:szCs w:val="16"/>
          <w:lang w:val="es-AR"/>
        </w:rPr>
        <w:t xml:space="preserve">. Excepción Preliminar, Fondo, Reparaciones y Costas. Sentencia de 7 de junio de 2003. Serie C. No. 99, párr. 128. Ver asimismo CIDH. Informe No. 33/16, Caso 12.797. Fondo. </w:t>
      </w:r>
      <w:r w:rsidRPr="00D93236">
        <w:rPr>
          <w:rFonts w:asciiTheme="majorHAnsi" w:hAnsiTheme="majorHAnsi"/>
          <w:i/>
          <w:sz w:val="16"/>
          <w:szCs w:val="16"/>
          <w:lang w:val="es-AR"/>
        </w:rPr>
        <w:t>Linda Loaiza López Soto y familiares</w:t>
      </w:r>
      <w:r w:rsidRPr="00D93236">
        <w:rPr>
          <w:rFonts w:asciiTheme="majorHAnsi" w:hAnsiTheme="majorHAnsi"/>
          <w:sz w:val="16"/>
          <w:szCs w:val="16"/>
          <w:lang w:val="es-AR"/>
        </w:rPr>
        <w:t>. Venezuela. 29 de Julio de 2016</w:t>
      </w:r>
    </w:p>
  </w:footnote>
  <w:footnote w:id="173">
    <w:p w14:paraId="7AE220E6"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Pr>
          <w:rFonts w:asciiTheme="majorHAnsi" w:hAnsiTheme="majorHAnsi"/>
          <w:sz w:val="16"/>
          <w:szCs w:val="16"/>
          <w:lang w:val="es-US"/>
        </w:rPr>
        <w:t xml:space="preserve"> V</w:t>
      </w:r>
      <w:r w:rsidRPr="00D93236">
        <w:rPr>
          <w:rFonts w:asciiTheme="majorHAnsi" w:hAnsiTheme="majorHAnsi"/>
          <w:sz w:val="16"/>
          <w:szCs w:val="16"/>
          <w:lang w:val="es-US"/>
        </w:rPr>
        <w:t xml:space="preserve">er </w:t>
      </w:r>
      <w:r w:rsidRPr="00D93236">
        <w:rPr>
          <w:rFonts w:asciiTheme="majorHAnsi" w:hAnsiTheme="majorHAnsi"/>
          <w:i/>
          <w:sz w:val="16"/>
          <w:szCs w:val="16"/>
          <w:lang w:val="es-US"/>
        </w:rPr>
        <w:t>infra</w:t>
      </w:r>
      <w:r w:rsidRPr="00D93236">
        <w:rPr>
          <w:rFonts w:asciiTheme="majorHAnsi" w:hAnsiTheme="majorHAnsi"/>
          <w:sz w:val="16"/>
          <w:szCs w:val="16"/>
          <w:lang w:val="es-US"/>
        </w:rPr>
        <w:t xml:space="preserve"> parr 61 y 62</w:t>
      </w:r>
    </w:p>
  </w:footnote>
  <w:footnote w:id="174">
    <w:p w14:paraId="50150F11"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2.</w:t>
      </w:r>
      <w:r w:rsidRPr="00D93236">
        <w:rPr>
          <w:rFonts w:asciiTheme="majorHAnsi" w:hAnsiTheme="majorHAnsi"/>
          <w:sz w:val="16"/>
          <w:szCs w:val="16"/>
          <w:lang w:val="es-AR"/>
        </w:rPr>
        <w:t xml:space="preserve"> Sentencia del TOF 3. </w:t>
      </w:r>
      <w:r w:rsidRPr="00D93236">
        <w:rPr>
          <w:rFonts w:asciiTheme="majorHAnsi" w:hAnsiTheme="majorHAnsi"/>
          <w:sz w:val="16"/>
          <w:szCs w:val="16"/>
          <w:lang w:val="es-US"/>
        </w:rPr>
        <w:t>Capítulo VIII.C.</w:t>
      </w:r>
      <w:r w:rsidRPr="00D93236">
        <w:rPr>
          <w:rFonts w:asciiTheme="majorHAnsi" w:hAnsiTheme="majorHAnsi"/>
          <w:sz w:val="16"/>
          <w:szCs w:val="16"/>
          <w:lang w:val="es-AR"/>
        </w:rPr>
        <w:t xml:space="preserve"> Págs. 2995 a 3023. Anexo 1 a la comunicación de la parte peticionaria de fecha 11 de noviembre de 2019.</w:t>
      </w:r>
    </w:p>
  </w:footnote>
  <w:footnote w:id="175">
    <w:p w14:paraId="52EFCE39"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F80736">
        <w:rPr>
          <w:rFonts w:asciiTheme="majorHAnsi" w:hAnsiTheme="majorHAnsi"/>
          <w:sz w:val="16"/>
          <w:szCs w:val="16"/>
          <w:lang w:val="es-ES"/>
        </w:rPr>
        <w:t>Anexo 2.</w:t>
      </w:r>
      <w:r w:rsidRPr="00D93236">
        <w:rPr>
          <w:rFonts w:asciiTheme="majorHAnsi" w:hAnsiTheme="majorHAnsi"/>
          <w:sz w:val="16"/>
          <w:szCs w:val="16"/>
          <w:lang w:val="es-ES"/>
        </w:rPr>
        <w:t xml:space="preserve"> Sentencia del TOF 3. </w:t>
      </w:r>
      <w:r w:rsidRPr="001F5F81">
        <w:rPr>
          <w:rFonts w:asciiTheme="majorHAnsi" w:hAnsiTheme="majorHAnsi"/>
          <w:sz w:val="16"/>
          <w:szCs w:val="16"/>
          <w:lang w:val="es-US"/>
        </w:rPr>
        <w:t xml:space="preserve">Capítulo VIII.C. </w:t>
      </w:r>
      <w:r w:rsidRPr="00D93236">
        <w:rPr>
          <w:rFonts w:asciiTheme="majorHAnsi" w:hAnsiTheme="majorHAnsi"/>
          <w:sz w:val="16"/>
          <w:szCs w:val="16"/>
          <w:lang w:val="es-ES"/>
        </w:rPr>
        <w:t>Pág. 3004. Anexo 1 a la comunicación de la parte peticionaria de fecha 11 de noviembre de 2019.</w:t>
      </w:r>
    </w:p>
  </w:footnote>
  <w:footnote w:id="176">
    <w:p w14:paraId="54C752BF"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F80736">
        <w:rPr>
          <w:rFonts w:asciiTheme="majorHAnsi" w:hAnsiTheme="majorHAnsi"/>
          <w:sz w:val="16"/>
          <w:szCs w:val="16"/>
          <w:lang w:val="es-ES"/>
        </w:rPr>
        <w:t>Anexo 2.</w:t>
      </w:r>
      <w:r w:rsidRPr="00D93236">
        <w:rPr>
          <w:rFonts w:asciiTheme="majorHAnsi" w:hAnsiTheme="majorHAnsi"/>
          <w:sz w:val="16"/>
          <w:szCs w:val="16"/>
          <w:lang w:val="es-ES"/>
        </w:rPr>
        <w:t xml:space="preserve"> Sentencia del TOF 3. </w:t>
      </w:r>
      <w:r w:rsidRPr="001F5F81">
        <w:rPr>
          <w:rFonts w:asciiTheme="majorHAnsi" w:hAnsiTheme="majorHAnsi"/>
          <w:sz w:val="16"/>
          <w:szCs w:val="16"/>
          <w:lang w:val="es-US"/>
        </w:rPr>
        <w:t xml:space="preserve">Capítulo VIII.C. </w:t>
      </w:r>
      <w:r w:rsidRPr="00D93236">
        <w:rPr>
          <w:rFonts w:asciiTheme="majorHAnsi" w:hAnsiTheme="majorHAnsi"/>
          <w:sz w:val="16"/>
          <w:szCs w:val="16"/>
          <w:lang w:val="es-ES"/>
        </w:rPr>
        <w:t>Págs. 3008 y 3009. Anexo 1 a la comunicación de la parte peticionaria de fecha 11 de noviembre de 2019.</w:t>
      </w:r>
    </w:p>
  </w:footnote>
  <w:footnote w:id="177">
    <w:p w14:paraId="7DBE54C1"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F80736">
        <w:rPr>
          <w:rFonts w:asciiTheme="majorHAnsi" w:hAnsiTheme="majorHAnsi"/>
          <w:sz w:val="16"/>
          <w:szCs w:val="16"/>
          <w:lang w:val="es-ES"/>
        </w:rPr>
        <w:t>Anexo 2.</w:t>
      </w:r>
      <w:r w:rsidRPr="00D93236">
        <w:rPr>
          <w:rFonts w:asciiTheme="majorHAnsi" w:hAnsiTheme="majorHAnsi"/>
          <w:sz w:val="16"/>
          <w:szCs w:val="16"/>
          <w:lang w:val="es-ES"/>
        </w:rPr>
        <w:t xml:space="preserve"> Sentencia del TOF 3. </w:t>
      </w:r>
      <w:r w:rsidRPr="001F5F81">
        <w:rPr>
          <w:rFonts w:asciiTheme="majorHAnsi" w:hAnsiTheme="majorHAnsi"/>
          <w:sz w:val="16"/>
          <w:szCs w:val="16"/>
          <w:lang w:val="es-US"/>
        </w:rPr>
        <w:t>Capítulo VIII.C.</w:t>
      </w:r>
      <w:r w:rsidRPr="00D93236">
        <w:rPr>
          <w:rFonts w:asciiTheme="majorHAnsi" w:hAnsiTheme="majorHAnsi"/>
          <w:sz w:val="16"/>
          <w:szCs w:val="16"/>
          <w:lang w:val="es-ES"/>
        </w:rPr>
        <w:t xml:space="preserve"> Pág. 3002. Anexo 1 a la comunicación de la parte peticionaria de fecha 11 de noviembre de 2019.</w:t>
      </w:r>
    </w:p>
  </w:footnote>
  <w:footnote w:id="178">
    <w:p w14:paraId="09C67B7C"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F80736">
        <w:rPr>
          <w:rFonts w:asciiTheme="majorHAnsi" w:hAnsiTheme="majorHAnsi"/>
          <w:sz w:val="16"/>
          <w:szCs w:val="16"/>
          <w:lang w:val="es-ES"/>
        </w:rPr>
        <w:t>Anexo 2.</w:t>
      </w:r>
      <w:r w:rsidRPr="00D93236">
        <w:rPr>
          <w:rFonts w:asciiTheme="majorHAnsi" w:hAnsiTheme="majorHAnsi"/>
          <w:sz w:val="16"/>
          <w:szCs w:val="16"/>
          <w:lang w:val="es-ES"/>
        </w:rPr>
        <w:t xml:space="preserve"> Sentencia del TOF 3. </w:t>
      </w:r>
      <w:r w:rsidRPr="001F5F81">
        <w:rPr>
          <w:rFonts w:asciiTheme="majorHAnsi" w:hAnsiTheme="majorHAnsi"/>
          <w:sz w:val="16"/>
          <w:szCs w:val="16"/>
          <w:lang w:val="es-US"/>
        </w:rPr>
        <w:t xml:space="preserve">Capítulo VIII.C. </w:t>
      </w:r>
      <w:r w:rsidRPr="00D93236">
        <w:rPr>
          <w:rFonts w:asciiTheme="majorHAnsi" w:hAnsiTheme="majorHAnsi"/>
          <w:sz w:val="16"/>
          <w:szCs w:val="16"/>
          <w:lang w:val="es-ES"/>
        </w:rPr>
        <w:t xml:space="preserve">Pág. 3014. Anexo 1 a la comunicación de la parte peticionaria de fecha 11 de noviembre de 2019; </w:t>
      </w:r>
      <w:r w:rsidRPr="00F80736">
        <w:rPr>
          <w:rFonts w:asciiTheme="majorHAnsi" w:hAnsiTheme="majorHAnsi"/>
          <w:sz w:val="16"/>
          <w:szCs w:val="16"/>
          <w:lang w:val="es-ES"/>
        </w:rPr>
        <w:t>Anexo 12</w:t>
      </w:r>
      <w:r w:rsidRPr="00D93236">
        <w:rPr>
          <w:rFonts w:asciiTheme="majorHAnsi" w:hAnsiTheme="majorHAnsi"/>
          <w:b/>
          <w:sz w:val="16"/>
          <w:szCs w:val="16"/>
          <w:lang w:val="es-ES"/>
        </w:rPr>
        <w:t>.</w:t>
      </w:r>
      <w:r w:rsidRPr="00D93236">
        <w:rPr>
          <w:rFonts w:asciiTheme="majorHAnsi" w:hAnsiTheme="majorHAnsi"/>
          <w:sz w:val="16"/>
          <w:szCs w:val="16"/>
          <w:lang w:val="es-ES"/>
        </w:rPr>
        <w:t xml:space="preserve"> Sentencia del</w:t>
      </w:r>
      <w:r>
        <w:rPr>
          <w:rFonts w:asciiTheme="majorHAnsi" w:hAnsiTheme="majorHAnsi"/>
          <w:sz w:val="16"/>
          <w:szCs w:val="16"/>
          <w:lang w:val="es-ES"/>
        </w:rPr>
        <w:t xml:space="preserve"> Tribunal Oral en lo Criminal Federal Nro. 2. </w:t>
      </w:r>
      <w:r w:rsidRPr="00D93236">
        <w:rPr>
          <w:rFonts w:asciiTheme="majorHAnsi" w:hAnsiTheme="majorHAnsi"/>
          <w:sz w:val="16"/>
          <w:szCs w:val="16"/>
          <w:lang w:val="es-ES"/>
        </w:rPr>
        <w:t>Pág. 583. Anexo 2 a la comunicación de la parte peticionaria de fecha 11 de noviembre de 2019</w:t>
      </w:r>
      <w:r w:rsidRPr="00D93236">
        <w:rPr>
          <w:rFonts w:asciiTheme="majorHAnsi" w:hAnsiTheme="majorHAnsi"/>
          <w:sz w:val="16"/>
          <w:szCs w:val="16"/>
          <w:lang w:val="es-AR"/>
        </w:rPr>
        <w:t>.</w:t>
      </w:r>
    </w:p>
  </w:footnote>
  <w:footnote w:id="179">
    <w:p w14:paraId="1E7BF1D5"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2.</w:t>
      </w:r>
      <w:r w:rsidRPr="00D93236">
        <w:rPr>
          <w:rFonts w:asciiTheme="majorHAnsi" w:hAnsiTheme="majorHAnsi"/>
          <w:sz w:val="16"/>
          <w:szCs w:val="16"/>
          <w:lang w:val="es-AR"/>
        </w:rPr>
        <w:t xml:space="preserve"> Sente</w:t>
      </w:r>
      <w:r>
        <w:rPr>
          <w:rFonts w:asciiTheme="majorHAnsi" w:hAnsiTheme="majorHAnsi"/>
          <w:sz w:val="16"/>
          <w:szCs w:val="16"/>
          <w:lang w:val="es-AR"/>
        </w:rPr>
        <w:t>ncia del TOF 3. Capítulo VIII.E</w:t>
      </w:r>
      <w:r w:rsidRPr="00D93236">
        <w:rPr>
          <w:rFonts w:asciiTheme="majorHAnsi" w:hAnsiTheme="majorHAnsi"/>
          <w:sz w:val="16"/>
          <w:szCs w:val="16"/>
          <w:lang w:val="es-AR"/>
        </w:rPr>
        <w:t>. Pág. 3036 a 3046. Anexo 2 a la comunicación de la parte peticionaria de fecha 11 de noviembre de 2019.</w:t>
      </w:r>
    </w:p>
  </w:footnote>
  <w:footnote w:id="180">
    <w:p w14:paraId="13F92B2F"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2.</w:t>
      </w:r>
      <w:r w:rsidRPr="00D93236">
        <w:rPr>
          <w:rFonts w:asciiTheme="majorHAnsi" w:hAnsiTheme="majorHAnsi"/>
          <w:sz w:val="16"/>
          <w:szCs w:val="16"/>
          <w:lang w:val="es-AR"/>
        </w:rPr>
        <w:t xml:space="preserve"> Sentencia del TOF 3. Capítulo VIII.E. Págs. 3038 a 3046. Anexo 1 a la comunicación de la parte peticionaria de fecha 11 de noviembre de 2019; </w:t>
      </w:r>
    </w:p>
  </w:footnote>
  <w:footnote w:id="181">
    <w:p w14:paraId="58FA6365"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 xml:space="preserve">Anexo </w:t>
      </w:r>
      <w:r>
        <w:rPr>
          <w:rFonts w:asciiTheme="majorHAnsi" w:hAnsiTheme="majorHAnsi"/>
          <w:sz w:val="16"/>
          <w:szCs w:val="16"/>
          <w:lang w:val="es-AR"/>
        </w:rPr>
        <w:t>1</w:t>
      </w:r>
      <w:r w:rsidRPr="00F80736">
        <w:rPr>
          <w:rFonts w:asciiTheme="majorHAnsi" w:hAnsiTheme="majorHAnsi"/>
          <w:sz w:val="16"/>
          <w:szCs w:val="16"/>
          <w:lang w:val="es-AR"/>
        </w:rPr>
        <w:t>2</w:t>
      </w:r>
      <w:r>
        <w:rPr>
          <w:rFonts w:asciiTheme="majorHAnsi" w:hAnsiTheme="majorHAnsi"/>
          <w:sz w:val="16"/>
          <w:szCs w:val="16"/>
          <w:lang w:val="es-AR"/>
        </w:rPr>
        <w:t>. Sentencia del Tribunal Oral en lo Criminal Federal Nro.</w:t>
      </w:r>
      <w:r w:rsidRPr="00D93236">
        <w:rPr>
          <w:rFonts w:asciiTheme="majorHAnsi" w:hAnsiTheme="majorHAnsi"/>
          <w:sz w:val="16"/>
          <w:szCs w:val="16"/>
          <w:lang w:val="es-AR"/>
        </w:rPr>
        <w:t xml:space="preserve"> 2. Pág. 590. Anexo 2 a la comunicación de la parte peticionaria de fecha 11 de noviembre de 2019.</w:t>
      </w:r>
    </w:p>
  </w:footnote>
  <w:footnote w:id="182">
    <w:p w14:paraId="18C3F1CF"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2.</w:t>
      </w:r>
      <w:r w:rsidRPr="00D93236">
        <w:rPr>
          <w:rFonts w:asciiTheme="majorHAnsi" w:hAnsiTheme="majorHAnsi"/>
          <w:sz w:val="16"/>
          <w:szCs w:val="16"/>
          <w:lang w:val="es-AR"/>
        </w:rPr>
        <w:t xml:space="preserve"> Sentencia del TOF 3. Capítulo VIII.E. Págs. 3039 a 3040. Anexo 1 a la comunicación de la parte peticionaria de fecha 11 de noviembre de 2019</w:t>
      </w:r>
    </w:p>
  </w:footnote>
  <w:footnote w:id="183">
    <w:p w14:paraId="30205D0E"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2</w:t>
      </w:r>
      <w:r w:rsidRPr="00D93236">
        <w:rPr>
          <w:rFonts w:asciiTheme="majorHAnsi" w:hAnsiTheme="majorHAnsi"/>
          <w:sz w:val="16"/>
          <w:szCs w:val="16"/>
          <w:lang w:val="es-AR"/>
        </w:rPr>
        <w:t>. Senten</w:t>
      </w:r>
      <w:r>
        <w:rPr>
          <w:rFonts w:asciiTheme="majorHAnsi" w:hAnsiTheme="majorHAnsi"/>
          <w:sz w:val="16"/>
          <w:szCs w:val="16"/>
          <w:lang w:val="es-AR"/>
        </w:rPr>
        <w:t xml:space="preserve">cia del TOF 3. Capítulo X.C. </w:t>
      </w:r>
      <w:r w:rsidRPr="00D93236">
        <w:rPr>
          <w:rFonts w:asciiTheme="majorHAnsi" w:hAnsiTheme="majorHAnsi"/>
          <w:sz w:val="16"/>
          <w:szCs w:val="16"/>
          <w:lang w:val="es-AR"/>
        </w:rPr>
        <w:t xml:space="preserve">Pág. 4212. Anexo 1 a la comunicación de la parte peticionaria de fecha 11 de noviembre de 2019; </w:t>
      </w:r>
      <w:r w:rsidRPr="00F80736">
        <w:rPr>
          <w:rFonts w:asciiTheme="majorHAnsi" w:hAnsiTheme="majorHAnsi"/>
          <w:sz w:val="16"/>
          <w:szCs w:val="16"/>
          <w:lang w:val="es-AR"/>
        </w:rPr>
        <w:t>Anexo 12</w:t>
      </w:r>
      <w:r w:rsidRPr="00D93236">
        <w:rPr>
          <w:rFonts w:asciiTheme="majorHAnsi" w:hAnsiTheme="majorHAnsi"/>
          <w:sz w:val="16"/>
          <w:szCs w:val="16"/>
          <w:lang w:val="es-AR"/>
        </w:rPr>
        <w:t xml:space="preserve"> Sentencia del </w:t>
      </w:r>
      <w:r>
        <w:rPr>
          <w:rFonts w:asciiTheme="majorHAnsi" w:hAnsiTheme="majorHAnsi"/>
          <w:sz w:val="16"/>
          <w:szCs w:val="16"/>
          <w:lang w:val="es-AR"/>
        </w:rPr>
        <w:t>Tribunal Oral en lo Criminal Federal Nro.</w:t>
      </w:r>
      <w:r w:rsidRPr="00D93236">
        <w:rPr>
          <w:rFonts w:asciiTheme="majorHAnsi" w:hAnsiTheme="majorHAnsi"/>
          <w:sz w:val="16"/>
          <w:szCs w:val="16"/>
          <w:lang w:val="es-AR"/>
        </w:rPr>
        <w:t xml:space="preserve"> 2. Pág. 590. Anexo 2 a la comunicación de la parte peticionaria de fecha 11 de noviembre de 2019, pág. 677. </w:t>
      </w:r>
    </w:p>
  </w:footnote>
  <w:footnote w:id="184">
    <w:p w14:paraId="649EA72B"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2</w:t>
      </w:r>
      <w:r w:rsidRPr="00D93236">
        <w:rPr>
          <w:rFonts w:asciiTheme="majorHAnsi" w:hAnsiTheme="majorHAnsi"/>
          <w:sz w:val="16"/>
          <w:szCs w:val="16"/>
          <w:lang w:val="es-AR"/>
        </w:rPr>
        <w:t xml:space="preserve"> Sentencia del TOF 3. Capítulo VIII.E. Pág. 3036. Anexo 1 a la comunicación de la parte peticionaria de fecha 11 de noviembre de 2019</w:t>
      </w:r>
    </w:p>
  </w:footnote>
  <w:footnote w:id="185">
    <w:p w14:paraId="35800898" w14:textId="77777777" w:rsidR="005B3F8C" w:rsidRPr="001F5F81"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1F5F81">
        <w:rPr>
          <w:rFonts w:asciiTheme="majorHAnsi" w:hAnsiTheme="majorHAnsi"/>
          <w:sz w:val="16"/>
          <w:szCs w:val="16"/>
          <w:lang w:val="es-US"/>
        </w:rPr>
        <w:t xml:space="preserve"> Ver </w:t>
      </w:r>
      <w:r w:rsidRPr="001F5F81">
        <w:rPr>
          <w:rFonts w:asciiTheme="majorHAnsi" w:hAnsiTheme="majorHAnsi"/>
          <w:i/>
          <w:sz w:val="16"/>
          <w:szCs w:val="16"/>
          <w:lang w:val="es-US"/>
        </w:rPr>
        <w:t>infra</w:t>
      </w:r>
      <w:r w:rsidRPr="001F5F81">
        <w:rPr>
          <w:rFonts w:asciiTheme="majorHAnsi" w:hAnsiTheme="majorHAnsi"/>
          <w:sz w:val="16"/>
          <w:szCs w:val="16"/>
          <w:lang w:val="es-US"/>
        </w:rPr>
        <w:t xml:space="preserve"> parr 138. </w:t>
      </w:r>
    </w:p>
  </w:footnote>
  <w:footnote w:id="186">
    <w:p w14:paraId="0BD67F3F"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1F5F81">
        <w:rPr>
          <w:rFonts w:asciiTheme="majorHAnsi" w:hAnsiTheme="majorHAnsi"/>
          <w:sz w:val="16"/>
          <w:szCs w:val="16"/>
          <w:lang w:val="es-US"/>
        </w:rPr>
        <w:t xml:space="preserve"> Anexo 2. </w:t>
      </w:r>
      <w:r w:rsidRPr="00D93236">
        <w:rPr>
          <w:rFonts w:asciiTheme="majorHAnsi" w:hAnsiTheme="majorHAnsi"/>
          <w:sz w:val="16"/>
          <w:szCs w:val="16"/>
          <w:lang w:val="es-AR"/>
        </w:rPr>
        <w:t>Senten</w:t>
      </w:r>
      <w:r>
        <w:rPr>
          <w:rFonts w:asciiTheme="majorHAnsi" w:hAnsiTheme="majorHAnsi"/>
          <w:sz w:val="16"/>
          <w:szCs w:val="16"/>
          <w:lang w:val="es-AR"/>
        </w:rPr>
        <w:t xml:space="preserve">cia del TOF 3. Capítulo VIII.E. </w:t>
      </w:r>
      <w:r w:rsidRPr="00D93236">
        <w:rPr>
          <w:rFonts w:asciiTheme="majorHAnsi" w:hAnsiTheme="majorHAnsi"/>
          <w:sz w:val="16"/>
          <w:szCs w:val="16"/>
          <w:lang w:val="es-AR"/>
        </w:rPr>
        <w:t>Pág. 3060 a 3061. Anexo 1 a la comunicación de la parte peticionaria de fecha 11 de noviembre de 2019.</w:t>
      </w:r>
    </w:p>
  </w:footnote>
  <w:footnote w:id="187">
    <w:p w14:paraId="3EDC4710"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F80736">
        <w:rPr>
          <w:rFonts w:asciiTheme="majorHAnsi" w:hAnsiTheme="majorHAnsi"/>
          <w:sz w:val="16"/>
          <w:szCs w:val="16"/>
          <w:lang w:val="es-AR"/>
        </w:rPr>
        <w:t>Anexo 2. Sentencia</w:t>
      </w:r>
      <w:r w:rsidRPr="00D93236">
        <w:rPr>
          <w:rFonts w:asciiTheme="majorHAnsi" w:hAnsiTheme="majorHAnsi"/>
          <w:sz w:val="16"/>
          <w:szCs w:val="16"/>
          <w:lang w:val="es-AR"/>
        </w:rPr>
        <w:t xml:space="preserve"> del TOF 3. Capítulo VIII.G. Pág. 3096. Anexo 1 a la comunicación de la parte peticionaria de fecha 11 de noviembre de 2019.</w:t>
      </w:r>
    </w:p>
  </w:footnote>
  <w:footnote w:id="188">
    <w:p w14:paraId="239F0CFA"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F80736">
        <w:rPr>
          <w:rFonts w:asciiTheme="majorHAnsi" w:hAnsiTheme="majorHAnsi"/>
          <w:sz w:val="16"/>
          <w:szCs w:val="16"/>
          <w:lang w:val="es-AR"/>
        </w:rPr>
        <w:t>Anexo 2.</w:t>
      </w:r>
      <w:r w:rsidRPr="00D93236">
        <w:rPr>
          <w:rFonts w:asciiTheme="majorHAnsi" w:hAnsiTheme="majorHAnsi"/>
          <w:sz w:val="16"/>
          <w:szCs w:val="16"/>
          <w:lang w:val="es-AR"/>
        </w:rPr>
        <w:t xml:space="preserve"> Sentencia del TOF 3. Capítulo VIII.G. Pág. 3096 y 3097. Anexo 1 a la comunicación de la parte peticionaria de fecha 11 de noviembre de 2019.</w:t>
      </w:r>
    </w:p>
  </w:footnote>
  <w:footnote w:id="189">
    <w:p w14:paraId="27C19655"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2.</w:t>
      </w:r>
      <w:r w:rsidRPr="00D93236">
        <w:rPr>
          <w:rFonts w:asciiTheme="majorHAnsi" w:hAnsiTheme="majorHAnsi"/>
          <w:sz w:val="16"/>
          <w:szCs w:val="16"/>
          <w:lang w:val="es-AR"/>
        </w:rPr>
        <w:t xml:space="preserve"> Sentencia del TOF 3. </w:t>
      </w:r>
      <w:r w:rsidRPr="001F5F81">
        <w:rPr>
          <w:rFonts w:asciiTheme="majorHAnsi" w:hAnsiTheme="majorHAnsi"/>
          <w:sz w:val="16"/>
          <w:szCs w:val="16"/>
          <w:lang w:val="es-US"/>
        </w:rPr>
        <w:t xml:space="preserve">Título II. Capítulo II. Pág. 4746. </w:t>
      </w:r>
      <w:r w:rsidRPr="00D93236">
        <w:rPr>
          <w:rFonts w:asciiTheme="majorHAnsi" w:hAnsiTheme="majorHAnsi"/>
          <w:sz w:val="16"/>
          <w:szCs w:val="16"/>
          <w:lang w:val="es-AR"/>
        </w:rPr>
        <w:t>Anexo 1 a la comunicación de la parte peticionaria de fecha 11 de noviembre de 2019.</w:t>
      </w:r>
    </w:p>
  </w:footnote>
  <w:footnote w:id="190">
    <w:p w14:paraId="48B1079B"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2.</w:t>
      </w:r>
      <w:r w:rsidRPr="00D93236">
        <w:rPr>
          <w:rFonts w:asciiTheme="majorHAnsi" w:hAnsiTheme="majorHAnsi"/>
          <w:sz w:val="16"/>
          <w:szCs w:val="16"/>
          <w:lang w:val="es-AR"/>
        </w:rPr>
        <w:t xml:space="preserve"> Sentencia del TOF 3. Capítulo VIII.G.. Pág.3099. Anexo 1 a la comunicación de la parte peticionaria de fecha 11 de noviembre de 2019.</w:t>
      </w:r>
    </w:p>
  </w:footnote>
  <w:footnote w:id="191">
    <w:p w14:paraId="4A7D9F26"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2</w:t>
      </w:r>
      <w:r w:rsidRPr="00D93236">
        <w:rPr>
          <w:rFonts w:asciiTheme="majorHAnsi" w:hAnsiTheme="majorHAnsi"/>
          <w:sz w:val="16"/>
          <w:szCs w:val="16"/>
          <w:lang w:val="es-AR"/>
        </w:rPr>
        <w:t>. Sente</w:t>
      </w:r>
      <w:r>
        <w:rPr>
          <w:rFonts w:asciiTheme="majorHAnsi" w:hAnsiTheme="majorHAnsi"/>
          <w:sz w:val="16"/>
          <w:szCs w:val="16"/>
          <w:lang w:val="es-AR"/>
        </w:rPr>
        <w:t>ncia del TOF 3. Capítulo VIII.G</w:t>
      </w:r>
      <w:r w:rsidRPr="00D93236">
        <w:rPr>
          <w:rFonts w:asciiTheme="majorHAnsi" w:hAnsiTheme="majorHAnsi"/>
          <w:sz w:val="16"/>
          <w:szCs w:val="16"/>
          <w:lang w:val="es-AR"/>
        </w:rPr>
        <w:t>. Pág.3132. Anexo 1 a la comunicación de la parte peticionaria de fecha 11 de noviembre de 2019.</w:t>
      </w:r>
    </w:p>
  </w:footnote>
  <w:footnote w:id="192">
    <w:p w14:paraId="504F467A"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2.</w:t>
      </w:r>
      <w:r w:rsidRPr="00D93236">
        <w:rPr>
          <w:rFonts w:asciiTheme="majorHAnsi" w:hAnsiTheme="majorHAnsi"/>
          <w:sz w:val="16"/>
          <w:szCs w:val="16"/>
          <w:lang w:val="es-AR"/>
        </w:rPr>
        <w:t xml:space="preserve"> Sente</w:t>
      </w:r>
      <w:r>
        <w:rPr>
          <w:rFonts w:asciiTheme="majorHAnsi" w:hAnsiTheme="majorHAnsi"/>
          <w:sz w:val="16"/>
          <w:szCs w:val="16"/>
          <w:lang w:val="es-AR"/>
        </w:rPr>
        <w:t>ncia del TOF 3. Capítulo VIII.G</w:t>
      </w:r>
      <w:r w:rsidRPr="00D93236">
        <w:rPr>
          <w:rFonts w:asciiTheme="majorHAnsi" w:hAnsiTheme="majorHAnsi"/>
          <w:sz w:val="16"/>
          <w:szCs w:val="16"/>
          <w:lang w:val="es-AR"/>
        </w:rPr>
        <w:t>. Pág.3132. Anexo 1 a la comunicación de la parte peticionaria de fecha 11 de noviembre de 2019.</w:t>
      </w:r>
    </w:p>
  </w:footnote>
  <w:footnote w:id="193">
    <w:p w14:paraId="0C4F8FB7"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Con respecto a la manera en que se efectivizó el pago a la pareja de Telleldin, véase las declaraciones de los agentes de la SIDE Isaac Eduardo Garcia, Juan Carlos Legascue, Héctor Salvador Maiolo, Alejandro Alberto Brousson, Patricio Miguel Finnen, Rodrigo Toranzo, Daniel Alberto Fernandez, Carlos Aníbal Molina Quiroga y Luis Nelson Gonzalez, reseñadas en </w:t>
      </w:r>
      <w:r w:rsidRPr="00F80736">
        <w:rPr>
          <w:rFonts w:asciiTheme="majorHAnsi" w:hAnsiTheme="majorHAnsi"/>
          <w:sz w:val="16"/>
          <w:szCs w:val="16"/>
          <w:lang w:val="es-US"/>
        </w:rPr>
        <w:t>Anexo 2</w:t>
      </w:r>
      <w:r w:rsidRPr="00D93236">
        <w:rPr>
          <w:rFonts w:asciiTheme="majorHAnsi" w:hAnsiTheme="majorHAnsi"/>
          <w:b/>
          <w:sz w:val="16"/>
          <w:szCs w:val="16"/>
          <w:lang w:val="es-US"/>
        </w:rPr>
        <w:t>.</w:t>
      </w:r>
      <w:r w:rsidRPr="00D93236">
        <w:rPr>
          <w:rFonts w:asciiTheme="majorHAnsi" w:hAnsiTheme="majorHAnsi"/>
          <w:sz w:val="16"/>
          <w:szCs w:val="16"/>
          <w:lang w:val="es-US"/>
        </w:rPr>
        <w:t xml:space="preserve"> </w:t>
      </w:r>
      <w:r w:rsidRPr="00D93236">
        <w:rPr>
          <w:rFonts w:asciiTheme="majorHAnsi" w:hAnsiTheme="majorHAnsi"/>
          <w:sz w:val="16"/>
          <w:szCs w:val="16"/>
          <w:lang w:val="es-AR"/>
        </w:rPr>
        <w:t>Sente</w:t>
      </w:r>
      <w:r>
        <w:rPr>
          <w:rFonts w:asciiTheme="majorHAnsi" w:hAnsiTheme="majorHAnsi"/>
          <w:sz w:val="16"/>
          <w:szCs w:val="16"/>
          <w:lang w:val="es-AR"/>
        </w:rPr>
        <w:t>ncia del TOF 3. Capítulo VIII.G</w:t>
      </w:r>
      <w:r w:rsidRPr="00D93236">
        <w:rPr>
          <w:rFonts w:asciiTheme="majorHAnsi" w:hAnsiTheme="majorHAnsi"/>
          <w:sz w:val="16"/>
          <w:szCs w:val="16"/>
          <w:lang w:val="es-AR"/>
        </w:rPr>
        <w:t>. Anexo 1 a la comunicación de la parte peticionaria de fecha 11 de noviembre de 2019.</w:t>
      </w:r>
      <w:r w:rsidRPr="00D93236">
        <w:rPr>
          <w:rFonts w:asciiTheme="majorHAnsi" w:hAnsiTheme="majorHAnsi"/>
          <w:sz w:val="16"/>
          <w:szCs w:val="16"/>
          <w:lang w:val="es-US"/>
        </w:rPr>
        <w:t xml:space="preserve"> pág. 3110 a 3142. </w:t>
      </w:r>
    </w:p>
  </w:footnote>
  <w:footnote w:id="194">
    <w:p w14:paraId="63490757"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12</w:t>
      </w:r>
      <w:r>
        <w:rPr>
          <w:rFonts w:asciiTheme="majorHAnsi" w:hAnsiTheme="majorHAnsi"/>
          <w:sz w:val="16"/>
          <w:szCs w:val="16"/>
          <w:lang w:val="es-AR"/>
        </w:rPr>
        <w:t xml:space="preserve">. Sentencia del Tribunal Oral en lo Criminal Federal Nro. </w:t>
      </w:r>
      <w:r w:rsidRPr="00D93236">
        <w:rPr>
          <w:rFonts w:asciiTheme="majorHAnsi" w:hAnsiTheme="majorHAnsi"/>
          <w:sz w:val="16"/>
          <w:szCs w:val="16"/>
          <w:lang w:val="es-AR"/>
        </w:rPr>
        <w:t>2. Pág. 574. Anexo 2 a la comunicación de la parte peticionaria de fecha 11 de noviembre de 2019.</w:t>
      </w:r>
    </w:p>
  </w:footnote>
  <w:footnote w:id="195">
    <w:p w14:paraId="03AB86BA"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AR"/>
        </w:rPr>
        <w:t>Anexo 12</w:t>
      </w:r>
      <w:r>
        <w:rPr>
          <w:rFonts w:asciiTheme="majorHAnsi" w:hAnsiTheme="majorHAnsi"/>
          <w:b/>
          <w:sz w:val="16"/>
          <w:szCs w:val="16"/>
          <w:lang w:val="es-AR"/>
        </w:rPr>
        <w:t>.</w:t>
      </w:r>
      <w:r>
        <w:rPr>
          <w:rFonts w:asciiTheme="majorHAnsi" w:hAnsiTheme="majorHAnsi"/>
          <w:sz w:val="16"/>
          <w:szCs w:val="16"/>
          <w:lang w:val="es-AR"/>
        </w:rPr>
        <w:t xml:space="preserve"> Sentencia del Tribunal Oral en lo Criminal Federal Nro.</w:t>
      </w:r>
      <w:r w:rsidRPr="00D93236">
        <w:rPr>
          <w:rFonts w:asciiTheme="majorHAnsi" w:hAnsiTheme="majorHAnsi"/>
          <w:sz w:val="16"/>
          <w:szCs w:val="16"/>
          <w:lang w:val="es-AR"/>
        </w:rPr>
        <w:t xml:space="preserve"> 2. Pág. 644. Anexo 2 a la comunicación de la parte peticionaria de fecha 11 de noviembre de 2019.</w:t>
      </w:r>
    </w:p>
  </w:footnote>
  <w:footnote w:id="196">
    <w:p w14:paraId="665C332F"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US"/>
        </w:rPr>
        <w:t>Anexo 2.</w:t>
      </w:r>
      <w:r w:rsidRPr="00D93236">
        <w:rPr>
          <w:rFonts w:asciiTheme="majorHAnsi" w:hAnsiTheme="majorHAnsi"/>
          <w:sz w:val="16"/>
          <w:szCs w:val="16"/>
          <w:lang w:val="es-US"/>
        </w:rPr>
        <w:t xml:space="preserve"> </w:t>
      </w:r>
      <w:r w:rsidRPr="00D93236">
        <w:rPr>
          <w:rFonts w:asciiTheme="majorHAnsi" w:hAnsiTheme="majorHAnsi"/>
          <w:sz w:val="16"/>
          <w:szCs w:val="16"/>
          <w:lang w:val="es-AR"/>
        </w:rPr>
        <w:t xml:space="preserve">Sentencia del TOF 3. Capítulo XVI. B Conclusión. </w:t>
      </w:r>
      <w:r w:rsidRPr="00D93236">
        <w:rPr>
          <w:rFonts w:asciiTheme="majorHAnsi" w:hAnsiTheme="majorHAnsi"/>
          <w:sz w:val="16"/>
          <w:szCs w:val="16"/>
          <w:lang w:val="es-US"/>
        </w:rPr>
        <w:t xml:space="preserve">Págs. 4696 a 4705. </w:t>
      </w:r>
      <w:r w:rsidRPr="00D93236">
        <w:rPr>
          <w:rFonts w:asciiTheme="majorHAnsi" w:hAnsiTheme="majorHAnsi"/>
          <w:sz w:val="16"/>
          <w:szCs w:val="16"/>
          <w:lang w:val="es-AR"/>
        </w:rPr>
        <w:t>Anexo 1 a la comunicación de la parte peticionaria de fecha 11 de noviembre de 2019.</w:t>
      </w:r>
      <w:r w:rsidRPr="00D93236">
        <w:rPr>
          <w:rFonts w:asciiTheme="majorHAnsi" w:hAnsiTheme="majorHAnsi"/>
          <w:sz w:val="16"/>
          <w:szCs w:val="16"/>
          <w:lang w:val="es-US"/>
        </w:rPr>
        <w:t xml:space="preserve"> </w:t>
      </w:r>
    </w:p>
  </w:footnote>
  <w:footnote w:id="197">
    <w:p w14:paraId="7A2472F4"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F80736">
        <w:rPr>
          <w:rFonts w:asciiTheme="majorHAnsi" w:hAnsiTheme="majorHAnsi"/>
          <w:sz w:val="16"/>
          <w:szCs w:val="16"/>
          <w:lang w:val="es-US"/>
        </w:rPr>
        <w:t>Anexo 2.</w:t>
      </w:r>
      <w:r w:rsidRPr="00D93236">
        <w:rPr>
          <w:rFonts w:asciiTheme="majorHAnsi" w:hAnsiTheme="majorHAnsi"/>
          <w:sz w:val="16"/>
          <w:szCs w:val="16"/>
          <w:lang w:val="es-US"/>
        </w:rPr>
        <w:t xml:space="preserve"> </w:t>
      </w:r>
      <w:r w:rsidRPr="00D93236">
        <w:rPr>
          <w:rFonts w:asciiTheme="majorHAnsi" w:hAnsiTheme="majorHAnsi"/>
          <w:sz w:val="16"/>
          <w:szCs w:val="16"/>
          <w:lang w:val="es-AR"/>
        </w:rPr>
        <w:t xml:space="preserve">Sentencia del TOF 3. Capítulo X.A. Derecho a la Verdad. </w:t>
      </w:r>
      <w:r w:rsidRPr="00D93236">
        <w:rPr>
          <w:rFonts w:asciiTheme="majorHAnsi" w:hAnsiTheme="majorHAnsi"/>
          <w:sz w:val="16"/>
          <w:szCs w:val="16"/>
          <w:lang w:val="es-US"/>
        </w:rPr>
        <w:t xml:space="preserve">Pág. 3751. </w:t>
      </w:r>
      <w:r w:rsidRPr="00D93236">
        <w:rPr>
          <w:rFonts w:asciiTheme="majorHAnsi" w:hAnsiTheme="majorHAnsi"/>
          <w:sz w:val="16"/>
          <w:szCs w:val="16"/>
          <w:lang w:val="es-AR"/>
        </w:rPr>
        <w:t>Anexo 1 a la comunicación de la parte peticionaria de fecha 11 de noviembre de 2019.</w:t>
      </w:r>
      <w:r w:rsidRPr="00D93236">
        <w:rPr>
          <w:rFonts w:asciiTheme="majorHAnsi" w:hAnsiTheme="majorHAnsi"/>
          <w:sz w:val="16"/>
          <w:szCs w:val="16"/>
          <w:lang w:val="es-US"/>
        </w:rPr>
        <w:t xml:space="preserve"> </w:t>
      </w:r>
    </w:p>
  </w:footnote>
  <w:footnote w:id="198">
    <w:p w14:paraId="635AF585"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US"/>
        </w:rPr>
        <w:t>Anexo 2.</w:t>
      </w:r>
      <w:r w:rsidRPr="00D93236">
        <w:rPr>
          <w:rFonts w:asciiTheme="majorHAnsi" w:hAnsiTheme="majorHAnsi"/>
          <w:sz w:val="16"/>
          <w:szCs w:val="16"/>
          <w:lang w:val="es-US"/>
        </w:rPr>
        <w:t xml:space="preserve"> </w:t>
      </w:r>
      <w:r w:rsidRPr="00D93236">
        <w:rPr>
          <w:rFonts w:asciiTheme="majorHAnsi" w:hAnsiTheme="majorHAnsi"/>
          <w:sz w:val="16"/>
          <w:szCs w:val="16"/>
          <w:lang w:val="es-AR"/>
        </w:rPr>
        <w:t xml:space="preserve">Sentencia del TOF 3. Capítulo X. C. </w:t>
      </w:r>
      <w:r w:rsidRPr="00D93236">
        <w:rPr>
          <w:rFonts w:asciiTheme="majorHAnsi" w:hAnsiTheme="majorHAnsi"/>
          <w:sz w:val="16"/>
          <w:szCs w:val="16"/>
          <w:lang w:val="es-US"/>
        </w:rPr>
        <w:t xml:space="preserve">Pág. 4546. </w:t>
      </w:r>
      <w:r w:rsidRPr="00D93236">
        <w:rPr>
          <w:rFonts w:asciiTheme="majorHAnsi" w:hAnsiTheme="majorHAnsi"/>
          <w:sz w:val="16"/>
          <w:szCs w:val="16"/>
          <w:lang w:val="es-AR"/>
        </w:rPr>
        <w:t>Anexo 1 a la comunicación de la parte peticionaria de fecha 11 de noviembre de 2019.</w:t>
      </w:r>
    </w:p>
  </w:footnote>
  <w:footnote w:id="199">
    <w:p w14:paraId="3389EB53"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US"/>
        </w:rPr>
        <w:t>Anexo 2.</w:t>
      </w:r>
      <w:r w:rsidRPr="00D93236">
        <w:rPr>
          <w:rFonts w:asciiTheme="majorHAnsi" w:hAnsiTheme="majorHAnsi"/>
          <w:sz w:val="16"/>
          <w:szCs w:val="16"/>
          <w:lang w:val="es-US"/>
        </w:rPr>
        <w:t xml:space="preserve"> </w:t>
      </w:r>
      <w:r w:rsidRPr="00D93236">
        <w:rPr>
          <w:rFonts w:asciiTheme="majorHAnsi" w:hAnsiTheme="majorHAnsi"/>
          <w:sz w:val="16"/>
          <w:szCs w:val="16"/>
          <w:lang w:val="es-AR"/>
        </w:rPr>
        <w:t xml:space="preserve">Sentencia del TOF 3. Capítulo X. C. </w:t>
      </w:r>
      <w:r w:rsidRPr="00D93236">
        <w:rPr>
          <w:rFonts w:asciiTheme="majorHAnsi" w:hAnsiTheme="majorHAnsi"/>
          <w:sz w:val="16"/>
          <w:szCs w:val="16"/>
          <w:lang w:val="es-US"/>
        </w:rPr>
        <w:t xml:space="preserve">Pág. 4547. </w:t>
      </w:r>
      <w:r w:rsidRPr="00D93236">
        <w:rPr>
          <w:rFonts w:asciiTheme="majorHAnsi" w:hAnsiTheme="majorHAnsi"/>
          <w:sz w:val="16"/>
          <w:szCs w:val="16"/>
          <w:lang w:val="es-AR"/>
        </w:rPr>
        <w:t>Anexo 1 a la comunicación de la parte peticionaria de fecha 11 de noviembre de 2019.</w:t>
      </w:r>
    </w:p>
  </w:footnote>
  <w:footnote w:id="200">
    <w:p w14:paraId="4D159A3B" w14:textId="77777777" w:rsidR="005B3F8C" w:rsidRPr="00D93236" w:rsidRDefault="005B3F8C" w:rsidP="00E27260">
      <w:pPr>
        <w:pStyle w:val="FootnoteText"/>
        <w:jc w:val="both"/>
        <w:rPr>
          <w:rFonts w:asciiTheme="majorHAnsi" w:hAnsiTheme="majorHAnsi"/>
          <w:sz w:val="16"/>
          <w:szCs w:val="16"/>
          <w:lang w:val="pt-BR"/>
        </w:rPr>
      </w:pPr>
      <w:r w:rsidRPr="00D93236">
        <w:rPr>
          <w:rStyle w:val="FootnoteReference"/>
          <w:rFonts w:asciiTheme="majorHAnsi" w:hAnsiTheme="majorHAnsi"/>
          <w:sz w:val="16"/>
          <w:szCs w:val="16"/>
        </w:rPr>
        <w:footnoteRef/>
      </w:r>
      <w:r w:rsidRPr="00D93236">
        <w:rPr>
          <w:rFonts w:asciiTheme="majorHAnsi" w:hAnsiTheme="majorHAnsi"/>
          <w:sz w:val="16"/>
          <w:szCs w:val="16"/>
          <w:lang w:val="pt-BR"/>
        </w:rPr>
        <w:t xml:space="preserve"> Ver </w:t>
      </w:r>
      <w:r w:rsidRPr="00D93236">
        <w:rPr>
          <w:rFonts w:asciiTheme="majorHAnsi" w:hAnsiTheme="majorHAnsi"/>
          <w:i/>
          <w:sz w:val="16"/>
          <w:szCs w:val="16"/>
          <w:lang w:val="pt-BR"/>
        </w:rPr>
        <w:t xml:space="preserve">supra </w:t>
      </w:r>
      <w:r w:rsidRPr="00D93236">
        <w:rPr>
          <w:rFonts w:asciiTheme="majorHAnsi" w:hAnsiTheme="majorHAnsi"/>
          <w:sz w:val="16"/>
          <w:szCs w:val="16"/>
          <w:lang w:val="pt-BR"/>
        </w:rPr>
        <w:t xml:space="preserve">parr 130 a 136. </w:t>
      </w:r>
    </w:p>
  </w:footnote>
  <w:footnote w:id="201">
    <w:p w14:paraId="50CAA36C"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1F5F81">
        <w:rPr>
          <w:rFonts w:asciiTheme="majorHAnsi" w:hAnsiTheme="majorHAnsi"/>
          <w:sz w:val="16"/>
          <w:szCs w:val="16"/>
          <w:lang w:val="pt-BR"/>
        </w:rPr>
        <w:t>Anexo 2</w:t>
      </w:r>
      <w:r w:rsidRPr="001F5F81">
        <w:rPr>
          <w:rFonts w:asciiTheme="majorHAnsi" w:hAnsiTheme="majorHAnsi"/>
          <w:b/>
          <w:sz w:val="16"/>
          <w:szCs w:val="16"/>
          <w:lang w:val="pt-BR"/>
        </w:rPr>
        <w:t>.</w:t>
      </w:r>
      <w:r w:rsidRPr="001F5F81">
        <w:rPr>
          <w:rFonts w:asciiTheme="majorHAnsi" w:hAnsiTheme="majorHAnsi"/>
          <w:sz w:val="16"/>
          <w:szCs w:val="16"/>
          <w:lang w:val="pt-BR"/>
        </w:rPr>
        <w:t xml:space="preserve"> </w:t>
      </w:r>
      <w:r w:rsidRPr="00D93236">
        <w:rPr>
          <w:rFonts w:asciiTheme="majorHAnsi" w:hAnsiTheme="majorHAnsi"/>
          <w:sz w:val="16"/>
          <w:szCs w:val="16"/>
          <w:lang w:val="es-AR"/>
        </w:rPr>
        <w:t>Sente</w:t>
      </w:r>
      <w:r>
        <w:rPr>
          <w:rFonts w:asciiTheme="majorHAnsi" w:hAnsiTheme="majorHAnsi"/>
          <w:sz w:val="16"/>
          <w:szCs w:val="16"/>
          <w:lang w:val="es-AR"/>
        </w:rPr>
        <w:t>ncia del TOF 3. Capitulo VIII.E</w:t>
      </w:r>
      <w:r w:rsidRPr="00D93236">
        <w:rPr>
          <w:rFonts w:asciiTheme="majorHAnsi" w:hAnsiTheme="majorHAnsi"/>
          <w:sz w:val="16"/>
          <w:szCs w:val="16"/>
          <w:lang w:val="es-AR"/>
        </w:rPr>
        <w:t xml:space="preserve">. </w:t>
      </w:r>
      <w:r w:rsidRPr="00D93236">
        <w:rPr>
          <w:rFonts w:asciiTheme="majorHAnsi" w:hAnsiTheme="majorHAnsi"/>
          <w:sz w:val="16"/>
          <w:szCs w:val="16"/>
          <w:lang w:val="es-US"/>
        </w:rPr>
        <w:t xml:space="preserve">Págs. 3046 a 3048. </w:t>
      </w:r>
      <w:r w:rsidRPr="00D93236">
        <w:rPr>
          <w:rFonts w:asciiTheme="majorHAnsi" w:hAnsiTheme="majorHAnsi"/>
          <w:sz w:val="16"/>
          <w:szCs w:val="16"/>
          <w:lang w:val="es-AR"/>
        </w:rPr>
        <w:t xml:space="preserve">Anexo 1 a la comunicación de la parte peticionaria de fecha 11 de noviembre de 2019 </w:t>
      </w:r>
    </w:p>
  </w:footnote>
  <w:footnote w:id="202">
    <w:p w14:paraId="08EC45D9" w14:textId="77777777" w:rsidR="005B3F8C" w:rsidRPr="00D93236" w:rsidRDefault="005B3F8C" w:rsidP="00BF041B">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AR"/>
        </w:rPr>
        <w:t>Anexo 1.</w:t>
      </w:r>
      <w:r w:rsidRPr="00D93236">
        <w:rPr>
          <w:rFonts w:asciiTheme="majorHAnsi" w:hAnsiTheme="majorHAnsi"/>
          <w:sz w:val="16"/>
          <w:szCs w:val="16"/>
          <w:lang w:val="es-AR"/>
        </w:rPr>
        <w:t xml:space="preserve"> “Informe Grossman”, pág. 76 a 78. Anexo 5 a la comunicación de la parte peticionaria de fecha 11 de noviembre de 2019</w:t>
      </w:r>
    </w:p>
  </w:footnote>
  <w:footnote w:id="203">
    <w:p w14:paraId="6B40409D" w14:textId="77777777" w:rsidR="005B3F8C" w:rsidRPr="00D93236" w:rsidRDefault="005B3F8C" w:rsidP="00BF041B">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263B86">
        <w:rPr>
          <w:rFonts w:asciiTheme="majorHAnsi" w:hAnsiTheme="majorHAnsi"/>
          <w:sz w:val="16"/>
          <w:szCs w:val="16"/>
          <w:lang w:val="es-AR"/>
        </w:rPr>
        <w:t xml:space="preserve"> Anexo 1</w:t>
      </w:r>
      <w:r w:rsidRPr="00263B86">
        <w:rPr>
          <w:rFonts w:asciiTheme="majorHAnsi" w:hAnsiTheme="majorHAnsi"/>
          <w:b/>
          <w:sz w:val="16"/>
          <w:szCs w:val="16"/>
          <w:lang w:val="es-AR"/>
        </w:rPr>
        <w:t>.</w:t>
      </w:r>
      <w:r w:rsidRPr="00263B86">
        <w:rPr>
          <w:rFonts w:asciiTheme="majorHAnsi" w:hAnsiTheme="majorHAnsi"/>
          <w:sz w:val="16"/>
          <w:szCs w:val="16"/>
          <w:lang w:val="es-AR"/>
        </w:rPr>
        <w:t xml:space="preserve"> Informe Grossman”, pag 73.  </w:t>
      </w:r>
      <w:r w:rsidRPr="00D93236">
        <w:rPr>
          <w:rFonts w:asciiTheme="majorHAnsi" w:hAnsiTheme="majorHAnsi"/>
          <w:sz w:val="16"/>
          <w:szCs w:val="16"/>
          <w:lang w:val="es-AR"/>
        </w:rPr>
        <w:t>Anexo 5 a la comunicación de la parte peticionaria de fecha 11 de noviembre de 2019</w:t>
      </w:r>
    </w:p>
  </w:footnote>
  <w:footnote w:id="204">
    <w:p w14:paraId="1AFBBC60" w14:textId="77777777" w:rsidR="005B3F8C" w:rsidRPr="00D93236" w:rsidRDefault="005B3F8C" w:rsidP="00BF041B">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Ley 20.195, art 8. Accesible en:  </w:t>
      </w:r>
      <w:r w:rsidRPr="00D93236">
        <w:rPr>
          <w:rFonts w:asciiTheme="majorHAnsi" w:eastAsia="Arial Unicode MS" w:hAnsiTheme="majorHAnsi" w:cs="Times New Roman"/>
          <w:color w:val="0000FF"/>
          <w:sz w:val="16"/>
          <w:szCs w:val="16"/>
          <w:u w:val="single"/>
          <w:lang w:val="es-AR" w:eastAsia="en-US"/>
        </w:rPr>
        <w:t>http://servicios.infoleg.gob.ar/infolegInternet/anexos/115000-119999/119720/norma.htm</w:t>
      </w:r>
    </w:p>
  </w:footnote>
  <w:footnote w:id="205">
    <w:p w14:paraId="467673BC" w14:textId="77777777" w:rsidR="005B3F8C" w:rsidRPr="00D93236" w:rsidRDefault="005B3F8C" w:rsidP="00BF041B">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Ver, por ejemplo, declaración testimonial del Director de Finanzas de la Secretaria de Inteligencia del Estado durante la gestión de Hugo Anzorreguy, identificado como testigo de identidad reservada nro. 5: “</w:t>
      </w:r>
      <w:r w:rsidRPr="00D93236">
        <w:rPr>
          <w:rFonts w:asciiTheme="majorHAnsi" w:hAnsiTheme="majorHAnsi"/>
          <w:i/>
          <w:sz w:val="16"/>
          <w:szCs w:val="16"/>
          <w:lang w:val="es-AR"/>
        </w:rPr>
        <w:t>hubo una operación de 200 mil dólares que estaba como operación especial del señor secretario de inteligencia, por eso de eso no había documentación. Lo único que había es un acta secreta…, ‘en virtud del decreto 5315 se da por rendida la suma de 200 mil dólares</w:t>
      </w:r>
      <w:r w:rsidRPr="00D93236">
        <w:rPr>
          <w:rFonts w:asciiTheme="majorHAnsi" w:hAnsiTheme="majorHAnsi"/>
          <w:sz w:val="16"/>
          <w:szCs w:val="16"/>
          <w:lang w:val="es-AR"/>
        </w:rPr>
        <w:t xml:space="preserve">’”.  </w:t>
      </w:r>
      <w:r w:rsidRPr="001978D3">
        <w:rPr>
          <w:rFonts w:asciiTheme="majorHAnsi" w:hAnsiTheme="majorHAnsi"/>
          <w:sz w:val="16"/>
          <w:szCs w:val="16"/>
          <w:lang w:val="es-AR"/>
        </w:rPr>
        <w:t>Anexo 12.</w:t>
      </w:r>
      <w:r>
        <w:rPr>
          <w:rFonts w:asciiTheme="majorHAnsi" w:hAnsiTheme="majorHAnsi"/>
          <w:sz w:val="16"/>
          <w:szCs w:val="16"/>
          <w:lang w:val="es-AR"/>
        </w:rPr>
        <w:t xml:space="preserve"> Sentencia del Tribunal Oral en lo Criminal Federal Nro.</w:t>
      </w:r>
      <w:r w:rsidRPr="00D93236">
        <w:rPr>
          <w:rFonts w:asciiTheme="majorHAnsi" w:hAnsiTheme="majorHAnsi"/>
          <w:sz w:val="16"/>
          <w:szCs w:val="16"/>
          <w:lang w:val="es-AR"/>
        </w:rPr>
        <w:t xml:space="preserve"> 2. Pág. 640. Anexo 2 a la comunicación de la parte peticionaria de fecha 11 de noviembre de 2019.</w:t>
      </w:r>
    </w:p>
  </w:footnote>
  <w:footnote w:id="206">
    <w:p w14:paraId="4942CA5D" w14:textId="77777777" w:rsidR="005B3F8C" w:rsidRPr="00D93236" w:rsidRDefault="005B3F8C" w:rsidP="00BF041B">
      <w:pPr>
        <w:jc w:val="both"/>
        <w:rPr>
          <w:rFonts w:asciiTheme="majorHAnsi" w:eastAsia="Times New Roman" w:hAnsiTheme="majorHAnsi"/>
          <w:sz w:val="16"/>
          <w:szCs w:val="16"/>
          <w:lang w:val="es-E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93236">
        <w:rPr>
          <w:rFonts w:asciiTheme="majorHAnsi" w:hAnsiTheme="majorHAnsi"/>
          <w:sz w:val="16"/>
          <w:szCs w:val="16"/>
          <w:lang w:val="es-ES"/>
        </w:rPr>
        <w:t xml:space="preserve">Ley 20.195 de fecha 28 de febrero de 1973. Accesible en: </w:t>
      </w:r>
      <w:r w:rsidRPr="00D93236">
        <w:rPr>
          <w:rFonts w:asciiTheme="majorHAnsi" w:eastAsia="Times New Roman" w:hAnsiTheme="majorHAnsi"/>
          <w:color w:val="0000FF"/>
          <w:sz w:val="16"/>
          <w:szCs w:val="16"/>
          <w:u w:val="single"/>
          <w:lang w:val="es-ES"/>
        </w:rPr>
        <w:t>http://servicios.infoleg.gob.ar/infolegInternet/verNorma.do?id=119720</w:t>
      </w:r>
    </w:p>
  </w:footnote>
  <w:footnote w:id="207">
    <w:p w14:paraId="225A2E2D" w14:textId="77777777" w:rsidR="005B3F8C" w:rsidRPr="00D93236" w:rsidRDefault="005B3F8C" w:rsidP="00BF041B">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93236">
        <w:rPr>
          <w:rFonts w:asciiTheme="majorHAnsi" w:hAnsiTheme="majorHAnsi"/>
          <w:sz w:val="16"/>
          <w:szCs w:val="16"/>
          <w:lang w:val="es-US"/>
        </w:rPr>
        <w:t xml:space="preserve">Para un relato de las solicitudes cursadas por el TOF 3 a partir de septiembre de 2001 y de las respuestas negativas proporcionadas por las entonces autoridades de la SIDE, ver: </w:t>
      </w:r>
      <w:r w:rsidRPr="001978D3">
        <w:rPr>
          <w:rFonts w:asciiTheme="majorHAnsi" w:hAnsiTheme="majorHAnsi"/>
          <w:sz w:val="16"/>
          <w:szCs w:val="16"/>
          <w:lang w:val="es-US"/>
        </w:rPr>
        <w:t>Anexo 2.</w:t>
      </w:r>
      <w:r w:rsidRPr="00D93236">
        <w:rPr>
          <w:rFonts w:asciiTheme="majorHAnsi" w:hAnsiTheme="majorHAnsi"/>
          <w:sz w:val="16"/>
          <w:szCs w:val="16"/>
          <w:lang w:val="es-US"/>
        </w:rPr>
        <w:t xml:space="preserve"> </w:t>
      </w:r>
      <w:r w:rsidRPr="00D93236">
        <w:rPr>
          <w:rFonts w:asciiTheme="majorHAnsi" w:hAnsiTheme="majorHAnsi"/>
          <w:sz w:val="16"/>
          <w:szCs w:val="16"/>
          <w:lang w:val="es-AR"/>
        </w:rPr>
        <w:t xml:space="preserve">Sentencia del TOF 3. Capitulo VIII.V. </w:t>
      </w:r>
      <w:r w:rsidRPr="00D93236">
        <w:rPr>
          <w:rFonts w:asciiTheme="majorHAnsi" w:hAnsiTheme="majorHAnsi"/>
          <w:sz w:val="16"/>
          <w:szCs w:val="16"/>
          <w:lang w:val="es-US"/>
        </w:rPr>
        <w:t xml:space="preserve">Págs. 3588 a 3610. </w:t>
      </w:r>
      <w:r w:rsidRPr="00D93236">
        <w:rPr>
          <w:rFonts w:asciiTheme="majorHAnsi" w:hAnsiTheme="majorHAnsi"/>
          <w:sz w:val="16"/>
          <w:szCs w:val="16"/>
          <w:lang w:val="es-AR"/>
        </w:rPr>
        <w:t>Anexo 1 a la comunicación de la parte peticionaria de fecha 11 de noviembre de 2019.</w:t>
      </w:r>
    </w:p>
  </w:footnote>
  <w:footnote w:id="208">
    <w:p w14:paraId="78AA2666" w14:textId="77777777" w:rsidR="005B3F8C" w:rsidRPr="00D93236" w:rsidRDefault="005B3F8C" w:rsidP="00BF041B">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US"/>
        </w:rPr>
        <w:t>Anexo 2</w:t>
      </w:r>
      <w:r>
        <w:rPr>
          <w:rFonts w:asciiTheme="majorHAnsi" w:hAnsiTheme="majorHAnsi"/>
          <w:b/>
          <w:sz w:val="16"/>
          <w:szCs w:val="16"/>
          <w:lang w:val="es-US"/>
        </w:rPr>
        <w:t>.</w:t>
      </w:r>
      <w:r w:rsidRPr="00D93236">
        <w:rPr>
          <w:rFonts w:asciiTheme="majorHAnsi" w:hAnsiTheme="majorHAnsi"/>
          <w:sz w:val="16"/>
          <w:szCs w:val="16"/>
          <w:lang w:val="es-US"/>
        </w:rPr>
        <w:t xml:space="preserve"> </w:t>
      </w:r>
      <w:r w:rsidRPr="00D93236">
        <w:rPr>
          <w:rFonts w:asciiTheme="majorHAnsi" w:hAnsiTheme="majorHAnsi"/>
          <w:sz w:val="16"/>
          <w:szCs w:val="16"/>
          <w:lang w:val="es-AR"/>
        </w:rPr>
        <w:t xml:space="preserve">Sentencia del TOF 3. Capitulo VIII.B. </w:t>
      </w:r>
      <w:r w:rsidRPr="00D93236">
        <w:rPr>
          <w:rFonts w:asciiTheme="majorHAnsi" w:hAnsiTheme="majorHAnsi"/>
          <w:sz w:val="16"/>
          <w:szCs w:val="16"/>
          <w:lang w:val="es-US"/>
        </w:rPr>
        <w:t xml:space="preserve">Págs 2979 y 2980. </w:t>
      </w:r>
      <w:r w:rsidRPr="00D93236">
        <w:rPr>
          <w:rFonts w:asciiTheme="majorHAnsi" w:hAnsiTheme="majorHAnsi"/>
          <w:sz w:val="16"/>
          <w:szCs w:val="16"/>
          <w:lang w:val="es-AR"/>
        </w:rPr>
        <w:t>Anexo 1 a la comunicación de la parte peticionaria de fecha 11 de noviembre de 2019.</w:t>
      </w:r>
    </w:p>
  </w:footnote>
  <w:footnote w:id="209">
    <w:p w14:paraId="328FFDC8"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rPr>
        <w:t xml:space="preserve"> United Nations. Human Rights Council. </w:t>
      </w:r>
      <w:r w:rsidRPr="00D93236">
        <w:rPr>
          <w:rFonts w:asciiTheme="majorHAnsi" w:hAnsiTheme="majorHAnsi"/>
          <w:i/>
          <w:sz w:val="16"/>
          <w:szCs w:val="16"/>
        </w:rPr>
        <w:t>Report of the Special Rapporteur on the promotion and protection of human rights and fundamental freedoms while countering terrorism, Martin Scheinin</w:t>
      </w:r>
      <w:r w:rsidRPr="00D93236">
        <w:rPr>
          <w:rFonts w:asciiTheme="majorHAnsi" w:hAnsiTheme="majorHAnsi"/>
          <w:sz w:val="16"/>
          <w:szCs w:val="16"/>
        </w:rPr>
        <w:t xml:space="preserve">. </w:t>
      </w:r>
      <w:r w:rsidRPr="00D93236">
        <w:rPr>
          <w:rFonts w:asciiTheme="majorHAnsi" w:hAnsiTheme="majorHAnsi"/>
          <w:sz w:val="16"/>
          <w:szCs w:val="16"/>
          <w:lang w:val="es-AR"/>
        </w:rPr>
        <w:t xml:space="preserve">A/HRC/10/3. 4 February 2009. Párr. 26. Accesible en: </w:t>
      </w:r>
      <w:r w:rsidRPr="00D93236">
        <w:rPr>
          <w:rFonts w:asciiTheme="majorHAnsi" w:eastAsia="Arial Unicode MS" w:hAnsiTheme="majorHAnsi" w:cs="Times New Roman"/>
          <w:color w:val="0000FF"/>
          <w:sz w:val="16"/>
          <w:szCs w:val="16"/>
          <w:u w:val="single"/>
          <w:lang w:val="es-AR" w:eastAsia="en-US"/>
        </w:rPr>
        <w:t>https://documents-dds-ny.un.org/doc/UNDOC/GEN/G09/106/25/PDF/G0910625.pdf?OpenElement</w:t>
      </w:r>
      <w:r w:rsidRPr="00D93236">
        <w:rPr>
          <w:rFonts w:asciiTheme="majorHAnsi" w:eastAsia="Arial Unicode MS" w:hAnsiTheme="majorHAnsi" w:cs="Times New Roman"/>
          <w:color w:val="auto"/>
          <w:sz w:val="16"/>
          <w:szCs w:val="16"/>
          <w:lang w:val="es-AR" w:eastAsia="en-US"/>
        </w:rPr>
        <w:t xml:space="preserve"> </w:t>
      </w:r>
    </w:p>
  </w:footnote>
  <w:footnote w:id="210">
    <w:p w14:paraId="5907BCB1" w14:textId="77777777" w:rsidR="005B3F8C" w:rsidRPr="00EB6CB8" w:rsidRDefault="005B3F8C" w:rsidP="00E27260">
      <w:pPr>
        <w:pStyle w:val="FootnoteText"/>
        <w:jc w:val="both"/>
        <w:rPr>
          <w:rFonts w:ascii="Cambria" w:hAnsi="Cambria"/>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Naciones Unidas. Consejo de Derechos Humanos. Informe de Martin Scheinin, Relator Especial sobre la promoción y la protección de los derechos humanos y las libertades fundamentales en la lucha contra el terrorismo. </w:t>
      </w:r>
      <w:r w:rsidRPr="00D93236">
        <w:rPr>
          <w:rFonts w:asciiTheme="majorHAnsi" w:hAnsiTheme="majorHAnsi"/>
          <w:i/>
          <w:sz w:val="16"/>
          <w:szCs w:val="16"/>
          <w:lang w:val="es-AR"/>
        </w:rPr>
        <w:t xml:space="preserve">Recopilación de buenas prácticas relacionadas con los marcos y las medidas de carácter jurídico e institucional que permitan garantizar el respeto de los derechos humanos por los servicios de </w:t>
      </w:r>
      <w:r w:rsidRPr="00EB6CB8">
        <w:rPr>
          <w:rFonts w:ascii="Cambria" w:hAnsi="Cambria"/>
          <w:i/>
          <w:sz w:val="16"/>
          <w:szCs w:val="16"/>
          <w:lang w:val="es-AR"/>
        </w:rPr>
        <w:t>inteligencia en la lucha contra el terrorismo, particularmente en lo que respecta a su supervisión.</w:t>
      </w:r>
      <w:r w:rsidRPr="00EB6CB8">
        <w:rPr>
          <w:rFonts w:ascii="Cambria" w:hAnsi="Cambria"/>
          <w:sz w:val="16"/>
          <w:szCs w:val="16"/>
          <w:lang w:val="es-AR"/>
        </w:rPr>
        <w:t xml:space="preserve"> A/HRC/14/46. 17 de mayo de 2010. Párr. 41. Accesible en </w:t>
      </w:r>
      <w:r w:rsidRPr="00EB6CB8">
        <w:rPr>
          <w:rFonts w:ascii="Cambria" w:eastAsia="Arial Unicode MS" w:hAnsi="Cambria" w:cs="Times New Roman"/>
          <w:color w:val="0000FF"/>
          <w:sz w:val="16"/>
          <w:szCs w:val="16"/>
          <w:u w:val="single"/>
          <w:lang w:val="es-US" w:eastAsia="en-US"/>
        </w:rPr>
        <w:t>https://documents-dds-ny.un.org/doc/UNDOC/GEN/G10/134/13/PDF/G1013413.pdf?OpenElement</w:t>
      </w:r>
    </w:p>
  </w:footnote>
  <w:footnote w:id="211">
    <w:p w14:paraId="18DEC6BE" w14:textId="77777777" w:rsidR="005B3F8C" w:rsidRPr="00EB6CB8" w:rsidRDefault="005B3F8C">
      <w:pPr>
        <w:pStyle w:val="FootnoteText"/>
        <w:rPr>
          <w:lang w:val="es-AR"/>
        </w:rPr>
      </w:pPr>
      <w:r w:rsidRPr="00EB6CB8">
        <w:rPr>
          <w:rStyle w:val="FootnoteReference"/>
          <w:rFonts w:ascii="Cambria" w:hAnsi="Cambria"/>
          <w:sz w:val="16"/>
          <w:szCs w:val="16"/>
        </w:rPr>
        <w:footnoteRef/>
      </w:r>
      <w:r w:rsidRPr="00EB6CB8">
        <w:rPr>
          <w:rFonts w:ascii="Cambria" w:hAnsi="Cambria"/>
          <w:sz w:val="16"/>
          <w:szCs w:val="16"/>
          <w:lang w:val="es-AR"/>
        </w:rPr>
        <w:t xml:space="preserve"> CIDH, Informe No. 22/15, Caso 12.792. Fondo. María Luisa Acosta y otros. Nicaragua. March 26, 2015. Parr 92.</w:t>
      </w:r>
      <w:r>
        <w:rPr>
          <w:lang w:val="es-AR"/>
        </w:rPr>
        <w:t xml:space="preserve"> </w:t>
      </w:r>
    </w:p>
  </w:footnote>
  <w:footnote w:id="212">
    <w:p w14:paraId="357B24D7"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US"/>
        </w:rPr>
        <w:t xml:space="preserve"> </w:t>
      </w:r>
      <w:r w:rsidRPr="001978D3">
        <w:rPr>
          <w:rFonts w:asciiTheme="majorHAnsi" w:hAnsiTheme="majorHAnsi"/>
          <w:sz w:val="16"/>
          <w:szCs w:val="16"/>
          <w:lang w:val="es-US"/>
        </w:rPr>
        <w:t>Anexo 2.</w:t>
      </w:r>
      <w:r w:rsidRPr="00D93236">
        <w:rPr>
          <w:rFonts w:asciiTheme="majorHAnsi" w:hAnsiTheme="majorHAnsi"/>
          <w:sz w:val="16"/>
          <w:szCs w:val="16"/>
          <w:lang w:val="es-US"/>
        </w:rPr>
        <w:t xml:space="preserve"> </w:t>
      </w:r>
      <w:r w:rsidRPr="00D93236">
        <w:rPr>
          <w:rFonts w:asciiTheme="majorHAnsi" w:hAnsiTheme="majorHAnsi"/>
          <w:sz w:val="16"/>
          <w:szCs w:val="16"/>
          <w:lang w:val="es-ES"/>
        </w:rPr>
        <w:t>Sentencia del TOF 3. Capítulo VIII.B. Págs 2974 y 2995. Anexo 1 a la comunicación</w:t>
      </w:r>
      <w:r w:rsidRPr="00D93236">
        <w:rPr>
          <w:rFonts w:asciiTheme="majorHAnsi" w:hAnsiTheme="majorHAnsi"/>
          <w:sz w:val="16"/>
          <w:szCs w:val="16"/>
          <w:lang w:val="es-AR"/>
        </w:rPr>
        <w:t xml:space="preserve"> de la parte peticionaria de fecha 11 de noviembre de 2019</w:t>
      </w:r>
    </w:p>
  </w:footnote>
  <w:footnote w:id="213">
    <w:p w14:paraId="50412053"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Ver al respecto: </w:t>
      </w:r>
      <w:r w:rsidRPr="001978D3">
        <w:rPr>
          <w:rFonts w:asciiTheme="majorHAnsi" w:hAnsiTheme="majorHAnsi"/>
          <w:sz w:val="16"/>
          <w:szCs w:val="16"/>
          <w:lang w:val="es-AR"/>
        </w:rPr>
        <w:t>Anexo 11</w:t>
      </w:r>
      <w:r w:rsidRPr="00D93236">
        <w:rPr>
          <w:rFonts w:asciiTheme="majorHAnsi" w:hAnsiTheme="majorHAnsi"/>
          <w:b/>
          <w:sz w:val="16"/>
          <w:szCs w:val="16"/>
          <w:lang w:val="es-AR"/>
        </w:rPr>
        <w:t>.</w:t>
      </w:r>
      <w:r>
        <w:rPr>
          <w:rFonts w:asciiTheme="majorHAnsi" w:hAnsiTheme="majorHAnsi"/>
          <w:sz w:val="16"/>
          <w:szCs w:val="16"/>
          <w:lang w:val="es-AR"/>
        </w:rPr>
        <w:t xml:space="preserve"> </w:t>
      </w:r>
      <w:r w:rsidRPr="00D93236">
        <w:rPr>
          <w:rFonts w:asciiTheme="majorHAnsi" w:hAnsiTheme="majorHAnsi"/>
          <w:sz w:val="16"/>
          <w:szCs w:val="16"/>
          <w:lang w:val="es-AR"/>
        </w:rPr>
        <w:t xml:space="preserve">Informe de Gestión de la UFI AMIA Julio 2016. Introducción. Anexo 13 a la comunicación de la parte peticionaria de fecha 11 de noviembre de 2019. </w:t>
      </w:r>
    </w:p>
  </w:footnote>
  <w:footnote w:id="214">
    <w:p w14:paraId="6D81F048"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AR"/>
        </w:rPr>
        <w:t>Anexo 5.</w:t>
      </w:r>
      <w:r>
        <w:rPr>
          <w:rFonts w:asciiTheme="majorHAnsi" w:hAnsiTheme="majorHAnsi"/>
          <w:sz w:val="16"/>
          <w:szCs w:val="16"/>
          <w:lang w:val="es-AR"/>
        </w:rPr>
        <w:t xml:space="preserve"> Dictamen UFI AMIA 2006. </w:t>
      </w:r>
      <w:r w:rsidRPr="00D93236">
        <w:rPr>
          <w:rFonts w:asciiTheme="majorHAnsi" w:hAnsiTheme="majorHAnsi"/>
          <w:sz w:val="16"/>
          <w:szCs w:val="16"/>
          <w:lang w:val="es-AR"/>
        </w:rPr>
        <w:t xml:space="preserve">Pág. 781. Anexo 12 a la comunicación de la parte peticionaria de fecha 11 de noviembre de 2019.  </w:t>
      </w:r>
    </w:p>
  </w:footnote>
  <w:footnote w:id="215">
    <w:p w14:paraId="2CEBFC15"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AR"/>
        </w:rPr>
        <w:t>Anexo 5</w:t>
      </w:r>
      <w:r w:rsidRPr="00D93236">
        <w:rPr>
          <w:rFonts w:asciiTheme="majorHAnsi" w:hAnsiTheme="majorHAnsi"/>
          <w:b/>
          <w:sz w:val="16"/>
          <w:szCs w:val="16"/>
          <w:lang w:val="es-AR"/>
        </w:rPr>
        <w:t>.</w:t>
      </w:r>
      <w:r w:rsidRPr="00D93236">
        <w:rPr>
          <w:rFonts w:asciiTheme="majorHAnsi" w:hAnsiTheme="majorHAnsi"/>
          <w:sz w:val="16"/>
          <w:szCs w:val="16"/>
          <w:lang w:val="es-AR"/>
        </w:rPr>
        <w:t xml:space="preserve"> </w:t>
      </w:r>
      <w:r>
        <w:rPr>
          <w:rFonts w:asciiTheme="majorHAnsi" w:hAnsiTheme="majorHAnsi"/>
          <w:sz w:val="16"/>
          <w:szCs w:val="16"/>
          <w:lang w:val="es-AR"/>
        </w:rPr>
        <w:t xml:space="preserve">Dictamen UFI AMIA 2006. </w:t>
      </w:r>
      <w:r w:rsidRPr="00D93236">
        <w:rPr>
          <w:rFonts w:asciiTheme="majorHAnsi" w:hAnsiTheme="majorHAnsi"/>
          <w:sz w:val="16"/>
          <w:szCs w:val="16"/>
          <w:lang w:val="es-AR"/>
        </w:rPr>
        <w:t xml:space="preserve">Pág 692.  Anexo 12 a la comunicación de la parte peticionaria de fecha 11 de noviembre de 2019.  </w:t>
      </w:r>
    </w:p>
  </w:footnote>
  <w:footnote w:id="216">
    <w:p w14:paraId="74328A44"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AR"/>
        </w:rPr>
        <w:t>Anexo 5</w:t>
      </w:r>
      <w:r>
        <w:rPr>
          <w:rFonts w:asciiTheme="majorHAnsi" w:hAnsiTheme="majorHAnsi"/>
          <w:b/>
          <w:sz w:val="16"/>
          <w:szCs w:val="16"/>
          <w:lang w:val="es-AR"/>
        </w:rPr>
        <w:t>.</w:t>
      </w:r>
      <w:r w:rsidRPr="00D93236">
        <w:rPr>
          <w:rFonts w:asciiTheme="majorHAnsi" w:hAnsiTheme="majorHAnsi"/>
          <w:sz w:val="16"/>
          <w:szCs w:val="16"/>
          <w:lang w:val="es-AR"/>
        </w:rPr>
        <w:t xml:space="preserve"> Dictamen UFI AMIA 2006 págs. 699 a 706. Anexo 12 a la comunicación de la parte peticionaria de fecha 11 de noviembre de 2019. </w:t>
      </w:r>
    </w:p>
  </w:footnote>
  <w:footnote w:id="217">
    <w:p w14:paraId="51EF4E56"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AR"/>
        </w:rPr>
        <w:t>Anexo 11</w:t>
      </w:r>
      <w:r>
        <w:rPr>
          <w:rFonts w:asciiTheme="majorHAnsi" w:hAnsiTheme="majorHAnsi"/>
          <w:b/>
          <w:sz w:val="16"/>
          <w:szCs w:val="16"/>
          <w:lang w:val="es-AR"/>
        </w:rPr>
        <w:t>.</w:t>
      </w:r>
      <w:r w:rsidRPr="00D93236">
        <w:rPr>
          <w:rFonts w:asciiTheme="majorHAnsi" w:hAnsiTheme="majorHAnsi"/>
          <w:sz w:val="16"/>
          <w:szCs w:val="16"/>
          <w:lang w:val="es-AR"/>
        </w:rPr>
        <w:t xml:space="preserve"> Informe de Gestión de la UFI AMIA Julio 2016. Pág. 7. Anexo 13 a la comunicación de la parte peticionaria de fecha 11 de noviembre de 2019.</w:t>
      </w:r>
    </w:p>
  </w:footnote>
  <w:footnote w:id="218">
    <w:p w14:paraId="649D07FD"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AR"/>
        </w:rPr>
        <w:t>Anexo 8.</w:t>
      </w:r>
      <w:r w:rsidRPr="00D93236">
        <w:rPr>
          <w:rFonts w:asciiTheme="majorHAnsi" w:hAnsiTheme="majorHAnsi"/>
          <w:sz w:val="16"/>
          <w:szCs w:val="16"/>
          <w:lang w:val="es-AR"/>
        </w:rPr>
        <w:t xml:space="preserve"> Informe de Gestió</w:t>
      </w:r>
      <w:r>
        <w:rPr>
          <w:rFonts w:asciiTheme="majorHAnsi" w:hAnsiTheme="majorHAnsi"/>
          <w:sz w:val="16"/>
          <w:szCs w:val="16"/>
          <w:lang w:val="es-AR"/>
        </w:rPr>
        <w:t>n de la UFI AMIA Diciembre 2016. P</w:t>
      </w:r>
      <w:r w:rsidRPr="00D93236">
        <w:rPr>
          <w:rFonts w:asciiTheme="majorHAnsi" w:hAnsiTheme="majorHAnsi"/>
          <w:sz w:val="16"/>
          <w:szCs w:val="16"/>
          <w:lang w:val="es-AR"/>
        </w:rPr>
        <w:t>ág. 18. Anexo 13 a la comunicación de la parte peticionaria de fecha 11 de noviembre de 2019.</w:t>
      </w:r>
    </w:p>
  </w:footnote>
  <w:footnote w:id="219">
    <w:p w14:paraId="77487170"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AR"/>
        </w:rPr>
        <w:t>Anexo 9.</w:t>
      </w:r>
      <w:r w:rsidRPr="00D93236">
        <w:rPr>
          <w:rFonts w:asciiTheme="majorHAnsi" w:hAnsiTheme="majorHAnsi"/>
          <w:sz w:val="16"/>
          <w:szCs w:val="16"/>
          <w:lang w:val="es-AR"/>
        </w:rPr>
        <w:t xml:space="preserve"> </w:t>
      </w:r>
      <w:r>
        <w:rPr>
          <w:rFonts w:asciiTheme="majorHAnsi" w:hAnsiTheme="majorHAnsi"/>
          <w:sz w:val="16"/>
          <w:szCs w:val="16"/>
          <w:lang w:val="es-AR"/>
        </w:rPr>
        <w:t xml:space="preserve">Dictamen UFI AMIA 2009. Pág. 4. </w:t>
      </w:r>
      <w:r w:rsidRPr="00D93236">
        <w:rPr>
          <w:rFonts w:asciiTheme="majorHAnsi" w:hAnsiTheme="majorHAnsi"/>
          <w:sz w:val="16"/>
          <w:szCs w:val="16"/>
          <w:lang w:val="es-AR"/>
        </w:rPr>
        <w:t xml:space="preserve">Anexo 16 a la comunicación de la parte peticionaria de fecha 11 de noviembre de 2019, </w:t>
      </w:r>
    </w:p>
  </w:footnote>
  <w:footnote w:id="220">
    <w:p w14:paraId="3134D18C"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AR"/>
        </w:rPr>
        <w:t>Anexo 8.</w:t>
      </w:r>
      <w:r w:rsidRPr="00D93236">
        <w:rPr>
          <w:rFonts w:asciiTheme="majorHAnsi" w:hAnsiTheme="majorHAnsi"/>
          <w:sz w:val="16"/>
          <w:szCs w:val="16"/>
          <w:lang w:val="es-AR"/>
        </w:rPr>
        <w:t xml:space="preserve"> Informe de Gestión de la UFI AMIA Diciembre 2016. Pág. 15. Anexo 11 a la comunicación de la parte peticionaria de fecha 11 de noviembre de 2019.</w:t>
      </w:r>
    </w:p>
  </w:footnote>
  <w:footnote w:id="221">
    <w:p w14:paraId="5257A513"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AR"/>
        </w:rPr>
        <w:t>Anexo 11.</w:t>
      </w:r>
      <w:r w:rsidRPr="00D93236">
        <w:rPr>
          <w:rFonts w:asciiTheme="majorHAnsi" w:hAnsiTheme="majorHAnsi"/>
          <w:sz w:val="16"/>
          <w:szCs w:val="16"/>
          <w:lang w:val="es-AR"/>
        </w:rPr>
        <w:t xml:space="preserve"> Informe de Gestión de la UFI AMIA Julio 2016, pág. 6. Anexo 13 a la comunicación de la parte peticionaria de fecha 11 de noviembre de 2019.</w:t>
      </w:r>
    </w:p>
  </w:footnote>
  <w:footnote w:id="222">
    <w:p w14:paraId="0764B31B"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1978D3">
        <w:rPr>
          <w:rFonts w:asciiTheme="majorHAnsi" w:hAnsiTheme="majorHAnsi"/>
          <w:sz w:val="16"/>
          <w:szCs w:val="16"/>
          <w:lang w:val="es-AR"/>
        </w:rPr>
        <w:t>Anexo 11.</w:t>
      </w:r>
      <w:r w:rsidRPr="00D93236">
        <w:rPr>
          <w:rFonts w:asciiTheme="majorHAnsi" w:hAnsiTheme="majorHAnsi"/>
          <w:sz w:val="16"/>
          <w:szCs w:val="16"/>
          <w:lang w:val="es-AR"/>
        </w:rPr>
        <w:t xml:space="preserve"> Informe de Gestión de la UFI AMIA Julio 2016, pág. 9. Anexo 13 a la comunicación de la parte peticionaria de fecha 11 de noviembre de 2019.</w:t>
      </w:r>
    </w:p>
  </w:footnote>
  <w:footnote w:id="223">
    <w:p w14:paraId="3D37C72F"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1978D3">
        <w:rPr>
          <w:rFonts w:asciiTheme="majorHAnsi" w:hAnsiTheme="majorHAnsi"/>
          <w:sz w:val="16"/>
          <w:szCs w:val="16"/>
          <w:lang w:val="es-ES"/>
        </w:rPr>
        <w:t>Anexo 11.</w:t>
      </w:r>
      <w:r w:rsidRPr="00D93236">
        <w:rPr>
          <w:rFonts w:asciiTheme="majorHAnsi" w:hAnsiTheme="majorHAnsi"/>
          <w:sz w:val="16"/>
          <w:szCs w:val="16"/>
          <w:lang w:val="es-ES"/>
        </w:rPr>
        <w:t xml:space="preserve"> Informe de Gestión de la UFI AMIA Julio 2016, pág. 10. Anexo 13 a la comunicación de la parte peticionaria de fecha 11 de noviembre de 2019.</w:t>
      </w:r>
    </w:p>
  </w:footnote>
  <w:footnote w:id="224">
    <w:p w14:paraId="1FE12EA4"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Ver, de manera general: </w:t>
      </w:r>
      <w:r w:rsidRPr="00D74C9C">
        <w:rPr>
          <w:rFonts w:asciiTheme="majorHAnsi" w:hAnsiTheme="majorHAnsi"/>
          <w:sz w:val="16"/>
          <w:szCs w:val="16"/>
          <w:lang w:val="es-ES"/>
        </w:rPr>
        <w:t>Anexo 11</w:t>
      </w:r>
      <w:r w:rsidRPr="00D93236">
        <w:rPr>
          <w:rFonts w:asciiTheme="majorHAnsi" w:hAnsiTheme="majorHAnsi"/>
          <w:b/>
          <w:sz w:val="16"/>
          <w:szCs w:val="16"/>
          <w:lang w:val="es-ES"/>
        </w:rPr>
        <w:t>.</w:t>
      </w:r>
      <w:r w:rsidRPr="00D93236">
        <w:rPr>
          <w:rFonts w:asciiTheme="majorHAnsi" w:hAnsiTheme="majorHAnsi"/>
          <w:sz w:val="16"/>
          <w:szCs w:val="16"/>
          <w:lang w:val="es-ES"/>
        </w:rPr>
        <w:t xml:space="preserve"> Informe de Gestión de la UFI AMIA Julio 2016, págs. 11 a 25. Anexo 13 a la comunicación de la parte peticionaria de fecha 11 de noviembre de 2019.</w:t>
      </w:r>
    </w:p>
  </w:footnote>
  <w:footnote w:id="225">
    <w:p w14:paraId="1CC717E1"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Comunicación de la parte peticionaria de fecha 11 de noviembre de 2019, págs. 35 y 36</w:t>
      </w:r>
    </w:p>
  </w:footnote>
  <w:footnote w:id="226">
    <w:p w14:paraId="1CEBE576" w14:textId="77777777" w:rsidR="005B3F8C" w:rsidRPr="00D93236" w:rsidRDefault="005B3F8C" w:rsidP="00E27260">
      <w:pPr>
        <w:pStyle w:val="FootnoteText"/>
        <w:jc w:val="both"/>
        <w:rPr>
          <w:rFonts w:asciiTheme="majorHAnsi" w:hAnsiTheme="majorHAnsi"/>
          <w:b/>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74C9C">
        <w:rPr>
          <w:rFonts w:asciiTheme="majorHAnsi" w:hAnsiTheme="majorHAnsi"/>
          <w:sz w:val="16"/>
          <w:szCs w:val="16"/>
          <w:lang w:val="es-AR"/>
        </w:rPr>
        <w:t>Anexo 11.</w:t>
      </w:r>
      <w:r w:rsidRPr="00D93236">
        <w:rPr>
          <w:rFonts w:asciiTheme="majorHAnsi" w:hAnsiTheme="majorHAnsi"/>
          <w:sz w:val="16"/>
          <w:szCs w:val="16"/>
          <w:lang w:val="es-AR"/>
        </w:rPr>
        <w:t xml:space="preserve"> Informe de Gestión de la UFI AMIA Julio 2016, pág. 9. Anexo 13 a la comunicación de la parte peticionaria de fecha 11 de noviembre de 2019.</w:t>
      </w:r>
    </w:p>
  </w:footnote>
  <w:footnote w:id="227">
    <w:p w14:paraId="20CEA7BA"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74C9C">
        <w:rPr>
          <w:rFonts w:asciiTheme="majorHAnsi" w:hAnsiTheme="majorHAnsi"/>
          <w:sz w:val="16"/>
          <w:szCs w:val="16"/>
          <w:lang w:val="es-AR"/>
        </w:rPr>
        <w:t>Anexo 11</w:t>
      </w:r>
      <w:r w:rsidRPr="00D93236">
        <w:rPr>
          <w:rFonts w:asciiTheme="majorHAnsi" w:hAnsiTheme="majorHAnsi"/>
          <w:b/>
          <w:sz w:val="16"/>
          <w:szCs w:val="16"/>
          <w:lang w:val="es-AR"/>
        </w:rPr>
        <w:t>.</w:t>
      </w:r>
      <w:r w:rsidRPr="00D93236">
        <w:rPr>
          <w:rFonts w:asciiTheme="majorHAnsi" w:hAnsiTheme="majorHAnsi"/>
          <w:sz w:val="16"/>
          <w:szCs w:val="16"/>
          <w:lang w:val="es-AR"/>
        </w:rPr>
        <w:t xml:space="preserve"> Informe de Gestión de la UFI AMIA Julio 2016, pág. 8 a 10. Anexo 13 a la comunicación de la parte peticionaria de fecha 11 de noviembre de 2019.</w:t>
      </w:r>
    </w:p>
  </w:footnote>
  <w:footnote w:id="228">
    <w:p w14:paraId="33054577"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74C9C">
        <w:rPr>
          <w:rFonts w:asciiTheme="majorHAnsi" w:hAnsiTheme="majorHAnsi"/>
          <w:color w:val="auto"/>
          <w:sz w:val="16"/>
          <w:szCs w:val="16"/>
          <w:lang w:val="es-AR"/>
        </w:rPr>
        <w:t>Anexo 8.</w:t>
      </w:r>
      <w:r w:rsidRPr="00D93236">
        <w:rPr>
          <w:rFonts w:asciiTheme="majorHAnsi" w:hAnsiTheme="majorHAnsi"/>
          <w:sz w:val="16"/>
          <w:szCs w:val="16"/>
          <w:lang w:val="es-AR"/>
        </w:rPr>
        <w:t xml:space="preserve"> Informe de Gestión de la UFI AMIA Diciembre 2016, pág. 11. Anexo 17 a la comunicación de la parte peticionaria de fecha 11 de noviembre de 2019.</w:t>
      </w:r>
    </w:p>
  </w:footnote>
  <w:footnote w:id="229">
    <w:p w14:paraId="6C46B73A"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Organización de las Naciones Unidas. Oficina del Alto Comisionado para los Derechos Humanos. </w:t>
      </w:r>
      <w:r w:rsidRPr="00D93236">
        <w:rPr>
          <w:rFonts w:asciiTheme="majorHAnsi" w:hAnsiTheme="majorHAnsi"/>
          <w:i/>
          <w:sz w:val="16"/>
          <w:szCs w:val="16"/>
          <w:lang w:val="es-AR"/>
        </w:rPr>
        <w:t>Protocolo de Minnesota sobre la Investigación de Muertes Potencialmente Ilícitas (2016)</w:t>
      </w:r>
      <w:r w:rsidRPr="00D93236">
        <w:rPr>
          <w:rFonts w:asciiTheme="majorHAnsi" w:hAnsiTheme="majorHAnsi"/>
          <w:sz w:val="16"/>
          <w:szCs w:val="16"/>
          <w:lang w:val="es-AR"/>
        </w:rPr>
        <w:t xml:space="preserve">. </w:t>
      </w:r>
      <w:r w:rsidRPr="00D93236">
        <w:rPr>
          <w:rFonts w:asciiTheme="majorHAnsi" w:hAnsiTheme="majorHAnsi"/>
          <w:i/>
          <w:sz w:val="16"/>
          <w:szCs w:val="16"/>
          <w:lang w:val="es-AR"/>
        </w:rPr>
        <w:t>Versión revisada del Manual de las Naciones Unidas sobre la Prevención e Investigación Eficaces de las Ejecuciones Extralegales, Arbitrarias o Sumarias</w:t>
      </w:r>
      <w:r w:rsidRPr="00D93236">
        <w:rPr>
          <w:rFonts w:asciiTheme="majorHAnsi" w:hAnsiTheme="majorHAnsi"/>
          <w:sz w:val="16"/>
          <w:szCs w:val="16"/>
          <w:lang w:val="es-AR"/>
        </w:rPr>
        <w:t>. Ver en particular su capítulo IV.B “</w:t>
      </w:r>
      <w:r w:rsidRPr="00D93236">
        <w:rPr>
          <w:rFonts w:asciiTheme="majorHAnsi" w:hAnsiTheme="majorHAnsi"/>
          <w:i/>
          <w:sz w:val="16"/>
          <w:szCs w:val="16"/>
          <w:lang w:val="es-AR"/>
        </w:rPr>
        <w:t>El proceso de investigación</w:t>
      </w:r>
      <w:r w:rsidRPr="00D93236">
        <w:rPr>
          <w:rFonts w:asciiTheme="majorHAnsi" w:hAnsiTheme="majorHAnsi"/>
          <w:sz w:val="16"/>
          <w:szCs w:val="16"/>
          <w:lang w:val="es-AR"/>
        </w:rPr>
        <w:t>”, Párrs. 50 a 66</w:t>
      </w:r>
    </w:p>
  </w:footnote>
  <w:footnote w:id="230">
    <w:p w14:paraId="6FF01378"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Organización de las Naciones Unidas. Oficina del Alto Comisionado para los Derechos Humanos. </w:t>
      </w:r>
      <w:r w:rsidRPr="00D93236">
        <w:rPr>
          <w:rFonts w:asciiTheme="majorHAnsi" w:hAnsiTheme="majorHAnsi"/>
          <w:i/>
          <w:sz w:val="16"/>
          <w:szCs w:val="16"/>
          <w:lang w:val="es-AR"/>
        </w:rPr>
        <w:t>Protocolo Modelo para la Investigación Forense de Muertes Sospechosas de Haberse Producido por Violación de los Derechos Humanos</w:t>
      </w:r>
      <w:r w:rsidRPr="00D93236">
        <w:rPr>
          <w:rFonts w:asciiTheme="majorHAnsi" w:hAnsiTheme="majorHAnsi"/>
          <w:sz w:val="16"/>
          <w:szCs w:val="16"/>
          <w:lang w:val="es-AR"/>
        </w:rPr>
        <w:t>. De especial importancia para est</w:t>
      </w:r>
      <w:r>
        <w:rPr>
          <w:rFonts w:asciiTheme="majorHAnsi" w:hAnsiTheme="majorHAnsi"/>
          <w:sz w:val="16"/>
          <w:szCs w:val="16"/>
          <w:lang w:val="es-AR"/>
        </w:rPr>
        <w:t>e</w:t>
      </w:r>
      <w:r w:rsidRPr="00D93236">
        <w:rPr>
          <w:rFonts w:asciiTheme="majorHAnsi" w:hAnsiTheme="majorHAnsi"/>
          <w:sz w:val="16"/>
          <w:szCs w:val="16"/>
          <w:lang w:val="es-AR"/>
        </w:rPr>
        <w:t xml:space="preserve"> informe resulta: Parte I Investigación Forense sobre Cadáveres Frescos. Capitulo C.6 </w:t>
      </w:r>
      <w:r w:rsidRPr="00D93236">
        <w:rPr>
          <w:rFonts w:asciiTheme="majorHAnsi" w:hAnsiTheme="majorHAnsi"/>
          <w:i/>
          <w:sz w:val="16"/>
          <w:szCs w:val="16"/>
          <w:lang w:val="es-AR"/>
        </w:rPr>
        <w:t>Examen de genética forense</w:t>
      </w:r>
      <w:r w:rsidRPr="00D93236">
        <w:rPr>
          <w:rFonts w:asciiTheme="majorHAnsi" w:hAnsiTheme="majorHAnsi"/>
          <w:sz w:val="16"/>
          <w:szCs w:val="16"/>
          <w:lang w:val="es-AR"/>
        </w:rPr>
        <w:t>, pag 33 y Parte II Investigación Forense sobre Cadáveres en Descomposición o Esqueletizados. Capitulo B.9</w:t>
      </w:r>
      <w:r w:rsidRPr="00D93236">
        <w:rPr>
          <w:rFonts w:asciiTheme="majorHAnsi" w:hAnsiTheme="majorHAnsi"/>
          <w:i/>
          <w:sz w:val="16"/>
          <w:szCs w:val="16"/>
          <w:lang w:val="es-AR"/>
        </w:rPr>
        <w:t xml:space="preserve"> Identificación por medio de marcadores genéticos</w:t>
      </w:r>
      <w:r w:rsidRPr="00D93236">
        <w:rPr>
          <w:rFonts w:asciiTheme="majorHAnsi" w:hAnsiTheme="majorHAnsi"/>
          <w:sz w:val="16"/>
          <w:szCs w:val="16"/>
          <w:lang w:val="es-AR"/>
        </w:rPr>
        <w:t xml:space="preserve">.  </w:t>
      </w:r>
    </w:p>
  </w:footnote>
  <w:footnote w:id="231">
    <w:p w14:paraId="6827D5E8"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74C9C">
        <w:rPr>
          <w:rFonts w:asciiTheme="majorHAnsi" w:hAnsiTheme="majorHAnsi"/>
          <w:sz w:val="16"/>
          <w:szCs w:val="16"/>
          <w:lang w:val="es-US"/>
        </w:rPr>
        <w:t>Anexo 2.</w:t>
      </w:r>
      <w:r w:rsidRPr="00D93236">
        <w:rPr>
          <w:rFonts w:asciiTheme="majorHAnsi" w:hAnsiTheme="majorHAnsi"/>
          <w:sz w:val="16"/>
          <w:szCs w:val="16"/>
          <w:lang w:val="es-US"/>
        </w:rPr>
        <w:t xml:space="preserve"> </w:t>
      </w:r>
      <w:r w:rsidRPr="00D93236">
        <w:rPr>
          <w:rFonts w:asciiTheme="majorHAnsi" w:hAnsiTheme="majorHAnsi"/>
          <w:sz w:val="16"/>
          <w:szCs w:val="16"/>
          <w:lang w:val="es-AR"/>
        </w:rPr>
        <w:t>Sentencia del TOF 3. Capitulo</w:t>
      </w:r>
      <w:r>
        <w:rPr>
          <w:rFonts w:asciiTheme="majorHAnsi" w:hAnsiTheme="majorHAnsi"/>
          <w:sz w:val="16"/>
          <w:szCs w:val="16"/>
          <w:lang w:val="es-US"/>
        </w:rPr>
        <w:t>. V</w:t>
      </w:r>
      <w:r w:rsidRPr="00D93236">
        <w:rPr>
          <w:rFonts w:asciiTheme="majorHAnsi" w:hAnsiTheme="majorHAnsi"/>
          <w:sz w:val="16"/>
          <w:szCs w:val="16"/>
          <w:lang w:val="es-US"/>
        </w:rPr>
        <w:t>. Pag 2434</w:t>
      </w:r>
      <w:r>
        <w:rPr>
          <w:rFonts w:asciiTheme="majorHAnsi" w:hAnsiTheme="majorHAnsi"/>
          <w:sz w:val="16"/>
          <w:szCs w:val="16"/>
          <w:lang w:val="es-US"/>
        </w:rPr>
        <w:t>.</w:t>
      </w:r>
      <w:r w:rsidRPr="00D93236">
        <w:rPr>
          <w:rFonts w:asciiTheme="majorHAnsi" w:hAnsiTheme="majorHAnsi"/>
          <w:sz w:val="16"/>
          <w:szCs w:val="16"/>
          <w:lang w:val="es-US"/>
        </w:rPr>
        <w:t xml:space="preserve"> Anexo</w:t>
      </w:r>
      <w:r w:rsidRPr="00D93236">
        <w:rPr>
          <w:rFonts w:asciiTheme="majorHAnsi" w:hAnsiTheme="majorHAnsi"/>
          <w:sz w:val="16"/>
          <w:szCs w:val="16"/>
          <w:lang w:val="es-AR"/>
        </w:rPr>
        <w:t xml:space="preserve"> 1 a la comunicación de la parte peticionaria de fecha 11 de noviembre de 2019</w:t>
      </w:r>
    </w:p>
  </w:footnote>
  <w:footnote w:id="232">
    <w:p w14:paraId="5B461419"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74C9C">
        <w:rPr>
          <w:rFonts w:asciiTheme="majorHAnsi" w:hAnsiTheme="majorHAnsi"/>
          <w:sz w:val="16"/>
          <w:szCs w:val="16"/>
          <w:lang w:val="es-AR"/>
        </w:rPr>
        <w:t>Anexo 5.</w:t>
      </w:r>
      <w:r w:rsidRPr="00D93236">
        <w:rPr>
          <w:rFonts w:asciiTheme="majorHAnsi" w:hAnsiTheme="majorHAnsi"/>
          <w:sz w:val="16"/>
          <w:szCs w:val="16"/>
          <w:lang w:val="es-AR"/>
        </w:rPr>
        <w:t xml:space="preserve"> Dictamen UFI AMIA 2006 pág. 694. Anexo 12 a la comunicación de la parte peticionaria de fecha 11 de noviembre de 2019. </w:t>
      </w:r>
    </w:p>
  </w:footnote>
  <w:footnote w:id="233">
    <w:p w14:paraId="2A7DF5B9" w14:textId="77777777" w:rsidR="005B3F8C" w:rsidRPr="00D93236" w:rsidRDefault="005B3F8C">
      <w:pPr>
        <w:pStyle w:val="FootnoteText"/>
        <w:rPr>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74C9C">
        <w:rPr>
          <w:rFonts w:asciiTheme="majorHAnsi" w:hAnsiTheme="majorHAnsi"/>
          <w:sz w:val="16"/>
          <w:szCs w:val="16"/>
          <w:lang w:val="es-AR"/>
        </w:rPr>
        <w:t>Anexo 5.</w:t>
      </w:r>
      <w:r w:rsidRPr="00D93236">
        <w:rPr>
          <w:rFonts w:asciiTheme="majorHAnsi" w:hAnsiTheme="majorHAnsi"/>
          <w:sz w:val="16"/>
          <w:szCs w:val="16"/>
          <w:lang w:val="es-AR"/>
        </w:rPr>
        <w:t xml:space="preserve"> Dictamen UFI AMIA 2006 pág. 696. Anexo 12 a la comunicación de la parte peticionaria de fecha 11 de noviembre de 2019</w:t>
      </w:r>
    </w:p>
  </w:footnote>
  <w:footnote w:id="234">
    <w:p w14:paraId="3D48909A"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74C9C">
        <w:rPr>
          <w:rFonts w:asciiTheme="majorHAnsi" w:hAnsiTheme="majorHAnsi"/>
          <w:sz w:val="16"/>
          <w:szCs w:val="16"/>
          <w:lang w:val="es-AR"/>
        </w:rPr>
        <w:t>Anexo 5.</w:t>
      </w:r>
      <w:r w:rsidRPr="00D93236">
        <w:rPr>
          <w:rFonts w:asciiTheme="majorHAnsi" w:hAnsiTheme="majorHAnsi"/>
          <w:sz w:val="16"/>
          <w:szCs w:val="16"/>
          <w:lang w:val="es-AR"/>
        </w:rPr>
        <w:t xml:space="preserve"> Dictamen UFI AMIA 2006. Anexo 12 de la comunicación de la parte peticionaria de fecha 11 de noviembre de 2019. Ver, por ejemplo y entre muchos otros: págs. 698 y 699 sobre la identidad de Abu Mohamad Yassin, “</w:t>
      </w:r>
      <w:r w:rsidRPr="00D93236">
        <w:rPr>
          <w:rFonts w:asciiTheme="majorHAnsi" w:hAnsiTheme="majorHAnsi"/>
          <w:b/>
          <w:i/>
          <w:sz w:val="16"/>
          <w:szCs w:val="16"/>
          <w:lang w:val="es-AR"/>
        </w:rPr>
        <w:t>La información proporcionada oportunamente por la Secretaria de Inteligencia</w:t>
      </w:r>
      <w:r w:rsidRPr="00D93236">
        <w:rPr>
          <w:rFonts w:asciiTheme="majorHAnsi" w:hAnsiTheme="majorHAnsi"/>
          <w:i/>
          <w:sz w:val="16"/>
          <w:szCs w:val="16"/>
          <w:lang w:val="es-AR"/>
        </w:rPr>
        <w:t xml:space="preserve"> en la que se señala a Abu Mohamad Yassin como ‘un miembro importante de Hezbollah…</w:t>
      </w:r>
      <w:r w:rsidRPr="00D93236">
        <w:rPr>
          <w:rFonts w:asciiTheme="majorHAnsi" w:hAnsiTheme="majorHAnsi"/>
          <w:sz w:val="16"/>
          <w:szCs w:val="16"/>
          <w:lang w:val="es-AR"/>
        </w:rPr>
        <w:t>’;  pág. 702 sobre el viaje de Berro desde el Líbano hacia el continente americano: “</w:t>
      </w:r>
      <w:r w:rsidRPr="00D93236">
        <w:rPr>
          <w:rFonts w:asciiTheme="majorHAnsi" w:hAnsiTheme="majorHAnsi"/>
          <w:b/>
          <w:i/>
          <w:sz w:val="16"/>
          <w:szCs w:val="16"/>
          <w:lang w:val="es-AR"/>
        </w:rPr>
        <w:t>Otra fuente de la Secretaria de Inteligencia</w:t>
      </w:r>
      <w:r w:rsidRPr="00D93236">
        <w:rPr>
          <w:rFonts w:asciiTheme="majorHAnsi" w:hAnsiTheme="majorHAnsi"/>
          <w:i/>
          <w:sz w:val="16"/>
          <w:szCs w:val="16"/>
          <w:lang w:val="es-AR"/>
        </w:rPr>
        <w:t xml:space="preserve"> […] da cuenta de que ‘dos o tres elementos partieron desde El Líbano – vía Europa – hacia la Triple Frontera, con pasaportes europeos y con identidades de ciudadanos de esos países y no libanesa. Uno de ellos sería Hijad Hussein Brru…</w:t>
      </w:r>
      <w:r w:rsidRPr="00D93236">
        <w:rPr>
          <w:rFonts w:asciiTheme="majorHAnsi" w:hAnsiTheme="majorHAnsi"/>
          <w:sz w:val="16"/>
          <w:szCs w:val="16"/>
          <w:lang w:val="es-AR"/>
        </w:rPr>
        <w:t xml:space="preserve">’; pag 733; sobre la alegada afinidad de la familia Berro con grupos terroristas, ver pag 733. (resaltado no pertenece al original) </w:t>
      </w:r>
    </w:p>
  </w:footnote>
  <w:footnote w:id="235">
    <w:p w14:paraId="23E027FB"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74C9C">
        <w:rPr>
          <w:rFonts w:asciiTheme="majorHAnsi" w:hAnsiTheme="majorHAnsi"/>
          <w:sz w:val="16"/>
          <w:szCs w:val="16"/>
          <w:lang w:val="es-AR"/>
        </w:rPr>
        <w:t>Anexo 5.</w:t>
      </w:r>
      <w:r w:rsidRPr="00D93236">
        <w:rPr>
          <w:rFonts w:asciiTheme="majorHAnsi" w:hAnsiTheme="majorHAnsi"/>
          <w:b/>
          <w:sz w:val="16"/>
          <w:szCs w:val="16"/>
          <w:lang w:val="es-AR"/>
        </w:rPr>
        <w:t xml:space="preserve"> </w:t>
      </w:r>
      <w:r w:rsidRPr="00D93236">
        <w:rPr>
          <w:rFonts w:asciiTheme="majorHAnsi" w:hAnsiTheme="majorHAnsi"/>
          <w:sz w:val="16"/>
          <w:szCs w:val="16"/>
          <w:lang w:val="es-AR"/>
        </w:rPr>
        <w:t>Dictamen UFI AMIA 2006. Anexo 12 de la comunicación de la parte peticionaria de fecha 11 de noviembre de 2019. Ver, por ejemplo: pág. 699, sobre la presencia de Ibrahim Berro en la zona de la Triple Frontera: “</w:t>
      </w:r>
      <w:r w:rsidRPr="00D93236">
        <w:rPr>
          <w:rFonts w:asciiTheme="majorHAnsi" w:hAnsiTheme="majorHAnsi"/>
          <w:b/>
          <w:i/>
          <w:sz w:val="16"/>
          <w:szCs w:val="16"/>
          <w:lang w:val="es-AR"/>
        </w:rPr>
        <w:t>un informe proporcionado por un ‘servicio colateral’ de la Secretaria de Inteligencia</w:t>
      </w:r>
      <w:r w:rsidRPr="00D93236">
        <w:rPr>
          <w:rFonts w:asciiTheme="majorHAnsi" w:hAnsiTheme="majorHAnsi"/>
          <w:i/>
          <w:sz w:val="16"/>
          <w:szCs w:val="16"/>
          <w:lang w:val="es-AR"/>
        </w:rPr>
        <w:t xml:space="preserve"> que determinó que el nombrado viajó desde el Líbano a la zona de la ‘triple frontera unos días antes de la fecha elegida para la ejecución del atentado a la sede de la AMIA</w:t>
      </w:r>
      <w:r w:rsidRPr="00D93236">
        <w:rPr>
          <w:rFonts w:asciiTheme="majorHAnsi" w:hAnsiTheme="majorHAnsi"/>
          <w:sz w:val="16"/>
          <w:szCs w:val="16"/>
          <w:lang w:val="es-AR"/>
        </w:rPr>
        <w:t xml:space="preserve">’ (resaltado no pertenece al original); Sobre los supuestos anfitriones de Berro en la triple frontera, ver pág. 704 </w:t>
      </w:r>
    </w:p>
  </w:footnote>
  <w:footnote w:id="236">
    <w:p w14:paraId="696A9F53" w14:textId="77777777" w:rsidR="005B3F8C" w:rsidRPr="00D74C9C"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74C9C">
        <w:rPr>
          <w:rFonts w:asciiTheme="majorHAnsi" w:hAnsiTheme="majorHAnsi"/>
          <w:sz w:val="16"/>
          <w:szCs w:val="16"/>
          <w:lang w:val="es-AR"/>
        </w:rPr>
        <w:t xml:space="preserve">Anexo 5. Dictamen UFI AMIA 2006. Anexo 12 de la comunicación de la parte peticionaria de fecha 11 de noviembre de 2019. Pág. 704. </w:t>
      </w:r>
    </w:p>
  </w:footnote>
  <w:footnote w:id="237">
    <w:p w14:paraId="3A6F1682" w14:textId="77777777" w:rsidR="005B3F8C" w:rsidRPr="00D74C9C" w:rsidRDefault="005B3F8C" w:rsidP="00E27260">
      <w:pPr>
        <w:pStyle w:val="FootnoteText"/>
        <w:jc w:val="both"/>
        <w:rPr>
          <w:rFonts w:asciiTheme="majorHAnsi" w:hAnsiTheme="majorHAnsi"/>
          <w:sz w:val="16"/>
          <w:szCs w:val="16"/>
          <w:lang w:val="es-AR"/>
        </w:rPr>
      </w:pPr>
      <w:r w:rsidRPr="00D74C9C">
        <w:rPr>
          <w:rStyle w:val="FootnoteReference"/>
          <w:rFonts w:asciiTheme="majorHAnsi" w:hAnsiTheme="majorHAnsi"/>
          <w:sz w:val="16"/>
          <w:szCs w:val="16"/>
        </w:rPr>
        <w:footnoteRef/>
      </w:r>
      <w:r w:rsidRPr="00D74C9C">
        <w:rPr>
          <w:rFonts w:asciiTheme="majorHAnsi" w:hAnsiTheme="majorHAnsi"/>
          <w:sz w:val="16"/>
          <w:szCs w:val="16"/>
          <w:lang w:val="es-AR"/>
        </w:rPr>
        <w:t xml:space="preserve"> Anexo 5. Dictamen UFI AMIA 2006 pág. 714. Anexo 12 a la comunicación de la parte peticionaria de fecha 11 de noviembre de 2019.</w:t>
      </w:r>
    </w:p>
  </w:footnote>
  <w:footnote w:id="238">
    <w:p w14:paraId="52BF4D85" w14:textId="77777777" w:rsidR="005B3F8C" w:rsidRPr="00D74C9C" w:rsidRDefault="005B3F8C" w:rsidP="00E27260">
      <w:pPr>
        <w:pStyle w:val="FootnoteText"/>
        <w:jc w:val="both"/>
        <w:rPr>
          <w:rFonts w:asciiTheme="majorHAnsi" w:hAnsiTheme="majorHAnsi"/>
          <w:sz w:val="16"/>
          <w:szCs w:val="16"/>
          <w:lang w:val="es-AR"/>
        </w:rPr>
      </w:pPr>
      <w:r w:rsidRPr="00D74C9C">
        <w:rPr>
          <w:rStyle w:val="FootnoteReference"/>
          <w:rFonts w:asciiTheme="majorHAnsi" w:hAnsiTheme="majorHAnsi"/>
          <w:sz w:val="16"/>
          <w:szCs w:val="16"/>
        </w:rPr>
        <w:footnoteRef/>
      </w:r>
      <w:r w:rsidRPr="00D74C9C">
        <w:rPr>
          <w:rFonts w:asciiTheme="majorHAnsi" w:hAnsiTheme="majorHAnsi"/>
          <w:sz w:val="16"/>
          <w:szCs w:val="16"/>
          <w:lang w:val="es-AR"/>
        </w:rPr>
        <w:t xml:space="preserve"> Anexo 5. Dictamen UFI AMIA 2006 pág. 714. Anexo 12 a la comunicación de la parte peticionaria de fecha 11 de noviembre de 2019.</w:t>
      </w:r>
    </w:p>
  </w:footnote>
  <w:footnote w:id="239">
    <w:p w14:paraId="100DCE6C" w14:textId="77777777" w:rsidR="005B3F8C" w:rsidRPr="00D74C9C" w:rsidRDefault="005B3F8C" w:rsidP="00E27260">
      <w:pPr>
        <w:pStyle w:val="FootnoteText"/>
        <w:jc w:val="both"/>
        <w:rPr>
          <w:rFonts w:asciiTheme="majorHAnsi" w:hAnsiTheme="majorHAnsi"/>
          <w:sz w:val="16"/>
          <w:szCs w:val="16"/>
          <w:lang w:val="es-US"/>
        </w:rPr>
      </w:pPr>
      <w:r w:rsidRPr="00D74C9C">
        <w:rPr>
          <w:rStyle w:val="FootnoteReference"/>
          <w:rFonts w:asciiTheme="majorHAnsi" w:hAnsiTheme="majorHAnsi"/>
          <w:sz w:val="16"/>
          <w:szCs w:val="16"/>
        </w:rPr>
        <w:footnoteRef/>
      </w:r>
      <w:r w:rsidRPr="00D74C9C">
        <w:rPr>
          <w:rFonts w:asciiTheme="majorHAnsi" w:hAnsiTheme="majorHAnsi"/>
          <w:sz w:val="16"/>
          <w:szCs w:val="16"/>
          <w:lang w:val="es-US"/>
        </w:rPr>
        <w:t xml:space="preserve"> </w:t>
      </w:r>
      <w:r w:rsidRPr="00D74C9C">
        <w:rPr>
          <w:rFonts w:asciiTheme="majorHAnsi" w:hAnsiTheme="majorHAnsi"/>
          <w:sz w:val="16"/>
          <w:szCs w:val="16"/>
          <w:lang w:val="es-AR"/>
        </w:rPr>
        <w:t>Anexo 5. Dictamen UFI AMIA 2006 pág. 768. Anexo 12 a la comunicación de la parte peticionaria de fecha 11 de noviembre de 2019.</w:t>
      </w:r>
    </w:p>
  </w:footnote>
  <w:footnote w:id="240">
    <w:p w14:paraId="7CB4B64F" w14:textId="77777777" w:rsidR="005B3F8C" w:rsidRPr="00D74C9C" w:rsidRDefault="005B3F8C" w:rsidP="00E27260">
      <w:pPr>
        <w:pStyle w:val="FootnoteText"/>
        <w:jc w:val="both"/>
        <w:rPr>
          <w:rFonts w:asciiTheme="majorHAnsi" w:hAnsiTheme="majorHAnsi"/>
          <w:sz w:val="16"/>
          <w:szCs w:val="16"/>
          <w:lang w:val="es-AR"/>
        </w:rPr>
      </w:pPr>
      <w:r w:rsidRPr="00D74C9C">
        <w:rPr>
          <w:rStyle w:val="FootnoteReference"/>
          <w:rFonts w:asciiTheme="majorHAnsi" w:hAnsiTheme="majorHAnsi"/>
          <w:sz w:val="16"/>
          <w:szCs w:val="16"/>
        </w:rPr>
        <w:footnoteRef/>
      </w:r>
      <w:r w:rsidRPr="00D74C9C">
        <w:rPr>
          <w:rFonts w:asciiTheme="majorHAnsi" w:hAnsiTheme="majorHAnsi"/>
          <w:sz w:val="16"/>
          <w:szCs w:val="16"/>
          <w:lang w:val="es-US"/>
        </w:rPr>
        <w:t xml:space="preserve"> </w:t>
      </w:r>
      <w:r w:rsidRPr="00D74C9C">
        <w:rPr>
          <w:rFonts w:asciiTheme="majorHAnsi" w:hAnsiTheme="majorHAnsi"/>
          <w:sz w:val="16"/>
          <w:szCs w:val="16"/>
          <w:lang w:val="es-AR"/>
        </w:rPr>
        <w:t>Anexo 5. Dictamen UFI AMIA 2006 pág. 768. Anexo 12 a la comunicación de la parte peticionaria de fecha 11 de noviembre de 2019.</w:t>
      </w:r>
    </w:p>
  </w:footnote>
  <w:footnote w:id="241">
    <w:p w14:paraId="3BC2F3EE" w14:textId="77777777" w:rsidR="005B3F8C" w:rsidRPr="00D93236" w:rsidRDefault="005B3F8C" w:rsidP="00E27260">
      <w:pPr>
        <w:pStyle w:val="FootnoteText"/>
        <w:jc w:val="both"/>
        <w:rPr>
          <w:rFonts w:asciiTheme="majorHAnsi" w:hAnsiTheme="majorHAnsi"/>
          <w:sz w:val="16"/>
          <w:szCs w:val="16"/>
          <w:lang w:val="es-US"/>
        </w:rPr>
      </w:pPr>
      <w:r w:rsidRPr="00D74C9C">
        <w:rPr>
          <w:rStyle w:val="FootnoteReference"/>
          <w:rFonts w:asciiTheme="majorHAnsi" w:hAnsiTheme="majorHAnsi"/>
          <w:sz w:val="16"/>
          <w:szCs w:val="16"/>
        </w:rPr>
        <w:footnoteRef/>
      </w:r>
      <w:r w:rsidRPr="00D74C9C">
        <w:rPr>
          <w:rFonts w:asciiTheme="majorHAnsi" w:hAnsiTheme="majorHAnsi"/>
          <w:sz w:val="16"/>
          <w:szCs w:val="16"/>
          <w:lang w:val="es-US"/>
        </w:rPr>
        <w:t>Anexo 13. Informe</w:t>
      </w:r>
      <w:r w:rsidRPr="00D93236">
        <w:rPr>
          <w:rFonts w:asciiTheme="majorHAnsi" w:hAnsiTheme="majorHAnsi"/>
          <w:sz w:val="16"/>
          <w:szCs w:val="16"/>
          <w:lang w:val="es-US"/>
        </w:rPr>
        <w:t xml:space="preserve"> de Gestión de la UFI AMIA. Julio 2017, pág. 8. Anexo 19 a la comunicación de la parte peticionaria de fecha 11 de noviembre de 2019.  </w:t>
      </w:r>
    </w:p>
  </w:footnote>
  <w:footnote w:id="242">
    <w:p w14:paraId="4114B56C"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74C9C">
        <w:rPr>
          <w:rFonts w:asciiTheme="majorHAnsi" w:hAnsiTheme="majorHAnsi"/>
          <w:sz w:val="16"/>
          <w:szCs w:val="16"/>
          <w:lang w:val="es-AR"/>
        </w:rPr>
        <w:t>Anexo 11.</w:t>
      </w:r>
      <w:r w:rsidRPr="00D93236">
        <w:rPr>
          <w:rFonts w:asciiTheme="majorHAnsi" w:hAnsiTheme="majorHAnsi"/>
          <w:sz w:val="16"/>
          <w:szCs w:val="16"/>
          <w:lang w:val="es-AR"/>
        </w:rPr>
        <w:t xml:space="preserve"> Informe de Gestión de la UFI AMIA Julio 2016, pág. 12. Anexo 13 a la comunicación de la parte peticionaria de fecha 11 de noviembre de 2019.</w:t>
      </w:r>
    </w:p>
  </w:footnote>
  <w:footnote w:id="243">
    <w:p w14:paraId="5280C068"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93236">
        <w:rPr>
          <w:rFonts w:asciiTheme="majorHAnsi" w:hAnsiTheme="majorHAnsi"/>
          <w:sz w:val="16"/>
          <w:szCs w:val="16"/>
          <w:lang w:val="es-AR"/>
        </w:rPr>
        <w:t xml:space="preserve">Corte IDH. </w:t>
      </w:r>
      <w:r w:rsidRPr="00D93236">
        <w:rPr>
          <w:rFonts w:asciiTheme="majorHAnsi" w:hAnsiTheme="majorHAnsi"/>
          <w:i/>
          <w:sz w:val="16"/>
          <w:szCs w:val="16"/>
          <w:lang w:val="es-AR"/>
        </w:rPr>
        <w:t>Caso Norín Catrimán y otros (Dirigentes, miembros y activista del Pueblo Indígena Mapuche) Vs. Chile</w:t>
      </w:r>
      <w:r w:rsidRPr="00D93236">
        <w:rPr>
          <w:rFonts w:asciiTheme="majorHAnsi" w:hAnsiTheme="majorHAnsi"/>
          <w:sz w:val="16"/>
          <w:szCs w:val="16"/>
          <w:lang w:val="es-AR"/>
        </w:rPr>
        <w:t xml:space="preserve">. Fondo, Reparaciones y Costas. Sentencia de 29 de mayo de 2014. Serie C No. 279, párr.  243. </w:t>
      </w:r>
    </w:p>
  </w:footnote>
  <w:footnote w:id="244">
    <w:p w14:paraId="30623D42" w14:textId="77777777" w:rsidR="005B3F8C" w:rsidRPr="00D93236" w:rsidRDefault="005B3F8C" w:rsidP="00E27260">
      <w:pPr>
        <w:tabs>
          <w:tab w:val="left" w:pos="567"/>
        </w:tabs>
        <w:jc w:val="both"/>
        <w:rPr>
          <w:rFonts w:asciiTheme="majorHAnsi" w:eastAsia="Calibri" w:hAnsiTheme="majorHAnsi"/>
          <w:b/>
          <w:i/>
          <w:sz w:val="16"/>
          <w:szCs w:val="16"/>
          <w:lang w:val="es-ES"/>
        </w:rPr>
      </w:pPr>
      <w:r w:rsidRPr="00D93236">
        <w:rPr>
          <w:rStyle w:val="FootnoteReference"/>
          <w:rFonts w:asciiTheme="majorHAnsi" w:hAnsiTheme="majorHAnsi"/>
          <w:sz w:val="16"/>
          <w:szCs w:val="16"/>
        </w:rPr>
        <w:footnoteRef/>
      </w:r>
      <w:r w:rsidRPr="00D93236">
        <w:rPr>
          <w:rFonts w:asciiTheme="majorHAnsi" w:eastAsia="Calibri" w:hAnsiTheme="majorHAnsi"/>
          <w:sz w:val="16"/>
          <w:szCs w:val="16"/>
          <w:lang w:val="es-ES"/>
        </w:rPr>
        <w:t>La Comisión observa que, por ejemplo, la Corte Constitucional colombiana,</w:t>
      </w:r>
      <w:r w:rsidRPr="00D93236">
        <w:rPr>
          <w:rFonts w:asciiTheme="majorHAnsi" w:eastAsia="Calibri" w:hAnsiTheme="majorHAnsi"/>
          <w:b/>
          <w:sz w:val="16"/>
          <w:szCs w:val="16"/>
          <w:lang w:val="es-ES"/>
        </w:rPr>
        <w:t xml:space="preserve"> </w:t>
      </w:r>
      <w:r w:rsidRPr="00D93236">
        <w:rPr>
          <w:rFonts w:asciiTheme="majorHAnsi" w:eastAsia="Calibri" w:hAnsiTheme="majorHAnsi"/>
          <w:sz w:val="16"/>
          <w:szCs w:val="16"/>
          <w:lang w:val="es-ES"/>
        </w:rPr>
        <w:t>ha afirmado que “los informes de inteligencia se soportan en el procesamiento preventivo de un conjunto de operaciones objetivas -reflejan métodos y acciones llevadas a cabo-, que trabajan sobre un margen de conjeturas o hipótesis sobre numerosa información que viene a terminar en unas conclusiones de la labor de inteligencia”. En ese sentido, ha establecido que</w:t>
      </w:r>
      <w:r>
        <w:rPr>
          <w:rFonts w:asciiTheme="majorHAnsi" w:eastAsia="Calibri" w:hAnsiTheme="majorHAnsi"/>
          <w:sz w:val="16"/>
          <w:szCs w:val="16"/>
          <w:lang w:val="es-ES"/>
        </w:rPr>
        <w:t xml:space="preserve"> ”</w:t>
      </w:r>
      <w:r w:rsidRPr="00D93236">
        <w:rPr>
          <w:rFonts w:asciiTheme="majorHAnsi" w:eastAsia="Calibri" w:hAnsiTheme="majorHAnsi"/>
          <w:sz w:val="16"/>
          <w:szCs w:val="16"/>
          <w:lang w:val="es-ES"/>
        </w:rPr>
        <w:t xml:space="preserve">[a]l existir un amplio margen de dudas sobre la información por no estar comprobada suficientemente, es completamente válido a la luz de la Constitución que el legislador no le hubiere otorgado efecto jurídico de prueba dentro de los procesos disciplinarios y judiciales. Pero ello no significa que pasen desapercibidas en un todo, porque el contenido de tales informes podrá constituir un criterio orientador durante la indagación, lo cual atiende el deber del Estado, en virtud de la política criminal, de investigar con fundamento en la </w:t>
      </w:r>
      <w:r w:rsidRPr="00D93236">
        <w:rPr>
          <w:rFonts w:asciiTheme="majorHAnsi" w:eastAsia="Calibri" w:hAnsiTheme="majorHAnsi"/>
          <w:i/>
          <w:sz w:val="16"/>
          <w:szCs w:val="16"/>
          <w:lang w:val="es-ES"/>
        </w:rPr>
        <w:t>notitia criminis</w:t>
      </w:r>
      <w:r w:rsidRPr="00D93236">
        <w:rPr>
          <w:rFonts w:asciiTheme="majorHAnsi" w:eastAsia="Calibri" w:hAnsiTheme="majorHAnsi"/>
          <w:sz w:val="16"/>
          <w:szCs w:val="16"/>
          <w:lang w:val="es-ES"/>
        </w:rPr>
        <w:t xml:space="preserve">”. Ver, </w:t>
      </w:r>
      <w:r w:rsidRPr="00D93236">
        <w:rPr>
          <w:rFonts w:asciiTheme="majorHAnsi" w:hAnsiTheme="majorHAnsi"/>
          <w:sz w:val="16"/>
          <w:szCs w:val="16"/>
          <w:lang w:val="es-US"/>
        </w:rPr>
        <w:t xml:space="preserve">Corte Constitucional de Colombia, C-540/12.  </w:t>
      </w:r>
    </w:p>
  </w:footnote>
  <w:footnote w:id="245">
    <w:p w14:paraId="43D4E0E5"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Sobre el valor indiciario otorgado por la jurisprudencia y la legislación nacional de diversos países del continente europeo de la denominada “prueba pericial de inteligencia”, ver: Tribunal Supremo de España, Sala Segunda de lo Penal STS 2084/2001 de fecha 13 de Diciembre de 2001; Ley de Enjuiciamiento Criminal alemana (S</w:t>
      </w:r>
      <w:r w:rsidRPr="00D93236">
        <w:rPr>
          <w:rFonts w:asciiTheme="majorHAnsi" w:hAnsiTheme="majorHAnsi"/>
          <w:i/>
          <w:sz w:val="16"/>
          <w:szCs w:val="16"/>
          <w:lang w:val="es-ES"/>
        </w:rPr>
        <w:t>t</w:t>
      </w:r>
      <w:r w:rsidRPr="00D93236">
        <w:rPr>
          <w:rFonts w:asciiTheme="majorHAnsi" w:hAnsiTheme="majorHAnsi"/>
          <w:sz w:val="16"/>
          <w:szCs w:val="16"/>
          <w:lang w:val="es-ES"/>
        </w:rPr>
        <w:t xml:space="preserve">PO) § 161. </w:t>
      </w:r>
    </w:p>
  </w:footnote>
  <w:footnote w:id="246">
    <w:p w14:paraId="58C49BD0" w14:textId="77777777" w:rsidR="005B3F8C" w:rsidRPr="00D93236" w:rsidRDefault="005B3F8C" w:rsidP="00E27260">
      <w:pPr>
        <w:tabs>
          <w:tab w:val="left" w:pos="567"/>
        </w:tabs>
        <w:jc w:val="both"/>
        <w:rPr>
          <w:rFonts w:asciiTheme="majorHAnsi" w:hAnsiTheme="majorHAnsi"/>
          <w:b/>
          <w:i/>
          <w:sz w:val="16"/>
          <w:szCs w:val="16"/>
          <w:lang w:val="es-E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93236">
        <w:rPr>
          <w:rFonts w:asciiTheme="majorHAnsi" w:eastAsia="Calibri" w:hAnsiTheme="majorHAnsi"/>
          <w:sz w:val="16"/>
          <w:szCs w:val="16"/>
          <w:lang w:val="es-AR"/>
        </w:rPr>
        <w:t>Al respecto,</w:t>
      </w:r>
      <w:r w:rsidRPr="00D93236">
        <w:rPr>
          <w:rFonts w:asciiTheme="majorHAnsi" w:eastAsia="Calibri" w:hAnsiTheme="majorHAnsi"/>
          <w:sz w:val="16"/>
          <w:szCs w:val="16"/>
          <w:lang w:val="es-ES"/>
        </w:rPr>
        <w:t xml:space="preserve"> Martin Scheinin, Relator Especial sobre la</w:t>
      </w:r>
      <w:r w:rsidRPr="00D93236">
        <w:rPr>
          <w:rFonts w:asciiTheme="majorHAnsi" w:eastAsia="Calibri" w:hAnsiTheme="majorHAnsi"/>
          <w:b/>
          <w:i/>
          <w:sz w:val="16"/>
          <w:szCs w:val="16"/>
          <w:lang w:val="es-ES"/>
        </w:rPr>
        <w:t xml:space="preserve"> </w:t>
      </w:r>
      <w:r w:rsidRPr="00D93236">
        <w:rPr>
          <w:rFonts w:asciiTheme="majorHAnsi" w:eastAsia="Calibri" w:hAnsiTheme="majorHAnsi"/>
          <w:sz w:val="16"/>
          <w:szCs w:val="16"/>
          <w:lang w:val="es-ES"/>
        </w:rPr>
        <w:t>promoción y la protección de los derechos humanos</w:t>
      </w:r>
      <w:r w:rsidRPr="00D93236">
        <w:rPr>
          <w:rFonts w:asciiTheme="majorHAnsi" w:eastAsia="Calibri" w:hAnsiTheme="majorHAnsi"/>
          <w:b/>
          <w:i/>
          <w:sz w:val="16"/>
          <w:szCs w:val="16"/>
          <w:lang w:val="es-ES"/>
        </w:rPr>
        <w:t xml:space="preserve"> </w:t>
      </w:r>
      <w:r w:rsidRPr="00D93236">
        <w:rPr>
          <w:rFonts w:asciiTheme="majorHAnsi" w:eastAsia="Calibri" w:hAnsiTheme="majorHAnsi"/>
          <w:sz w:val="16"/>
          <w:szCs w:val="16"/>
          <w:lang w:val="es-ES"/>
        </w:rPr>
        <w:t>y las libertades fundamentales en la lucha contra</w:t>
      </w:r>
      <w:r w:rsidRPr="00D93236">
        <w:rPr>
          <w:rFonts w:asciiTheme="majorHAnsi" w:eastAsia="Calibri" w:hAnsiTheme="majorHAnsi"/>
          <w:b/>
          <w:i/>
          <w:sz w:val="16"/>
          <w:szCs w:val="16"/>
          <w:lang w:val="es-ES"/>
        </w:rPr>
        <w:t xml:space="preserve"> </w:t>
      </w:r>
      <w:r w:rsidRPr="00D93236">
        <w:rPr>
          <w:rFonts w:asciiTheme="majorHAnsi" w:eastAsia="Calibri" w:hAnsiTheme="majorHAnsi"/>
          <w:sz w:val="16"/>
          <w:szCs w:val="16"/>
          <w:lang w:val="es-ES"/>
        </w:rPr>
        <w:t>el terrorismo, ha afirmado que: “[a] unque los servicios de inteligencia están obligados de ordinario a suprimir los datos que dejen de ser pertinentes para su mandato, es importante que esto no vaya en detrimento de la labor de los organismos de supervisión o de las posibles actuaciones judiciales. La información en poder de los servicios de inteligencia puede constituir una prueba en las actuaciones judiciales, con importantes consecuencias para las personas afectadas; además, la disponibilidad de este material puede ser importante para la garantía de los derechos procesales. Por lo tanto, es de buena práctica que los servicios de inteligencia estén obligados a retener todos los registros (incluidas las transcripciones originales y las notas operativas) cuando pueda haber lugar a actuaciones judiciales, y que la supresión de estas informaciones sea supervisada por una institución externa”</w:t>
      </w:r>
      <w:r w:rsidRPr="00D93236">
        <w:rPr>
          <w:rFonts w:asciiTheme="majorHAnsi" w:hAnsiTheme="majorHAnsi"/>
          <w:sz w:val="16"/>
          <w:szCs w:val="16"/>
          <w:lang w:val="es-ES"/>
        </w:rPr>
        <w:t xml:space="preserve">. </w:t>
      </w:r>
      <w:r w:rsidRPr="00D93236">
        <w:rPr>
          <w:rFonts w:asciiTheme="majorHAnsi" w:hAnsiTheme="majorHAnsi"/>
          <w:sz w:val="16"/>
          <w:szCs w:val="16"/>
          <w:lang w:val="es-US"/>
        </w:rPr>
        <w:t>Asamblea General de las Naciones Unidas, Consejo de Derechos Humanos, Informe de Martin Scheinin, Relator Especial sobre la promoción y la protección de los derechos humanos y las libertades fundamentales en la lucha contra el terrorismo, A/HRC/14/46, 17 de mayo de 2010.</w:t>
      </w:r>
    </w:p>
  </w:footnote>
  <w:footnote w:id="247">
    <w:p w14:paraId="099A669D" w14:textId="77777777" w:rsidR="005B3F8C" w:rsidRPr="00D93236" w:rsidRDefault="005B3F8C" w:rsidP="002A3811">
      <w:pPr>
        <w:jc w:val="both"/>
        <w:rPr>
          <w:rFonts w:asciiTheme="majorHAnsi" w:eastAsia="Times New Roman" w:hAnsiTheme="majorHAnsi"/>
          <w:sz w:val="16"/>
          <w:szCs w:val="16"/>
          <w:lang w:val="es-US" w:eastAsia="en-U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Organización de las Naciones Unidas. Consejo de Seguridad. Resolución 1373 (2001), art. 2.f; Asamblea General de la Organización de los Estados Americanos. Convención Interamericana contra el Terrorismo. AG/RES. 1840 (XXXII-O/02), art 4.c.  </w:t>
      </w:r>
      <w:r w:rsidRPr="00D93236">
        <w:rPr>
          <w:rFonts w:asciiTheme="majorHAnsi" w:eastAsia="Calibri" w:hAnsiTheme="majorHAnsi"/>
          <w:sz w:val="16"/>
          <w:szCs w:val="16"/>
          <w:lang w:val="es-AR"/>
        </w:rPr>
        <w:t>La Corte Interamericana ha señalado que “la definición de conductas que se considera afectan valores o bienes trascendentales de la comunidad internacional, […] hacen necesaria la activación de medios, instrumentos y mecanismos nacionales e internacionales para la persecución efectiva de tales conductas y la sanción de sus autores, con el fin de prevenirlas y evitar que queden en la impunidad.</w:t>
      </w:r>
      <w:r w:rsidRPr="00D93236">
        <w:rPr>
          <w:rFonts w:asciiTheme="majorHAnsi" w:hAnsiTheme="majorHAnsi"/>
          <w:sz w:val="16"/>
          <w:szCs w:val="16"/>
          <w:lang w:val="es-ES"/>
        </w:rPr>
        <w:t xml:space="preserve"> Corte IDH </w:t>
      </w:r>
      <w:r w:rsidRPr="00D93236">
        <w:rPr>
          <w:rFonts w:asciiTheme="majorHAnsi" w:eastAsia="Times New Roman" w:hAnsiTheme="majorHAnsi"/>
          <w:bCs/>
          <w:color w:val="000000"/>
          <w:sz w:val="16"/>
          <w:szCs w:val="16"/>
          <w:shd w:val="clear" w:color="auto" w:fill="FFFFFF"/>
          <w:lang w:val="es-US" w:eastAsia="en-US"/>
        </w:rPr>
        <w:t xml:space="preserve">Caso Goiburú y otros Vs. Paraguay. Fondo, Reparaciones y Costas. Sentencia de 22 de septiembre de 2006. Serie C No. 153. Parr 130. </w:t>
      </w:r>
    </w:p>
  </w:footnote>
  <w:footnote w:id="248">
    <w:p w14:paraId="035F45AB" w14:textId="77777777" w:rsidR="005B3F8C" w:rsidRPr="00D93236" w:rsidRDefault="005B3F8C" w:rsidP="002A3811">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La Comisión ha sido informada respecto de la firma de un “Memorándum de entendimiento entre el Gobierno de la República Argentina y el Gobierno de la República Islámica de Irán sobre los temas vinculados con el ataque terrorista a la sede de la AMIA en Buenos Aires el 18 de julio de 1994”, firmado el 27 de enero de 2013 en la ciudad de Adis Abeba, Etiopia. Dicho memorándum fue aprobado por el Congreso argentino mediante Ley 26.843 de fecha 27 de febrero de 2013. La Comisión no cuenta con información respecto al proceso de ratificación del memorándum por parte de la República Islámica de Irán. De acuerdo con la información proporcionada por los peticionarios y por los representantes del Estado argentino, la Ley 26.843 fue declarada inconstitucional por la Cámara Federal de Casación penal en diciembre de 2015 y sus cláusulas nunca surtieron efectos jurídicos. En consecuencia, la Comisión se abstendrá de valorarlo en este informe. </w:t>
      </w:r>
    </w:p>
  </w:footnote>
  <w:footnote w:id="249">
    <w:p w14:paraId="7900602C" w14:textId="77777777" w:rsidR="005B3F8C" w:rsidRPr="00D93236" w:rsidRDefault="005B3F8C" w:rsidP="005A27AF">
      <w:pPr>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La Corte ha establecido en su jurisprudencia que a efectos de cumplir con la obligación de investigar “conforme [a lo establecido en] artículo 1.1 de la Convención, el Estado de[be] adopt[ar] de oficio y de forma inmediata medidas suficientes de protección integral e investigación frente a todo acto de coacción, intimidaciones y amenazas a testigos e investigadores”. Ver al respecto, entre otros: </w:t>
      </w:r>
      <w:r w:rsidRPr="00D93236">
        <w:rPr>
          <w:rFonts w:asciiTheme="majorHAnsi" w:hAnsiTheme="majorHAnsi"/>
          <w:sz w:val="16"/>
          <w:szCs w:val="16"/>
          <w:lang w:val="es-US"/>
        </w:rPr>
        <w:t xml:space="preserve">Corte IDH, </w:t>
      </w:r>
      <w:r w:rsidRPr="00D93236">
        <w:rPr>
          <w:rFonts w:asciiTheme="majorHAnsi" w:hAnsiTheme="majorHAnsi"/>
          <w:i/>
          <w:sz w:val="16"/>
          <w:szCs w:val="16"/>
          <w:lang w:val="es-US"/>
        </w:rPr>
        <w:t xml:space="preserve">Caso Kawas Fernández Vs. </w:t>
      </w:r>
      <w:r w:rsidRPr="00D93236">
        <w:rPr>
          <w:rFonts w:asciiTheme="majorHAnsi" w:hAnsiTheme="majorHAnsi"/>
          <w:i/>
          <w:sz w:val="16"/>
          <w:szCs w:val="16"/>
          <w:lang w:val="es-ES"/>
        </w:rPr>
        <w:t>Honduras</w:t>
      </w:r>
      <w:r w:rsidRPr="00D93236">
        <w:rPr>
          <w:rFonts w:asciiTheme="majorHAnsi" w:hAnsiTheme="majorHAnsi"/>
          <w:sz w:val="16"/>
          <w:szCs w:val="16"/>
          <w:lang w:val="es-ES"/>
        </w:rPr>
        <w:t>. Fondo, Reparaciones y Costas. Sentencia de 3 de abril de 2009. Serie C No. 196, párr.107.</w:t>
      </w:r>
    </w:p>
  </w:footnote>
  <w:footnote w:id="250">
    <w:p w14:paraId="1E767AE3" w14:textId="77777777" w:rsidR="005B3F8C" w:rsidRPr="00D93236" w:rsidRDefault="005B3F8C" w:rsidP="005A27AF">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0B57A1">
        <w:rPr>
          <w:rFonts w:asciiTheme="majorHAnsi" w:hAnsiTheme="majorHAnsi"/>
          <w:sz w:val="16"/>
          <w:szCs w:val="16"/>
          <w:lang w:val="es-US"/>
        </w:rPr>
        <w:t>Anexo 2.</w:t>
      </w:r>
      <w:r w:rsidRPr="00D93236">
        <w:rPr>
          <w:rFonts w:asciiTheme="majorHAnsi" w:hAnsiTheme="majorHAnsi"/>
          <w:sz w:val="16"/>
          <w:szCs w:val="16"/>
          <w:lang w:val="es-US"/>
        </w:rPr>
        <w:t xml:space="preserve"> </w:t>
      </w:r>
      <w:r w:rsidRPr="00D93236">
        <w:rPr>
          <w:rFonts w:asciiTheme="majorHAnsi" w:hAnsiTheme="majorHAnsi"/>
          <w:sz w:val="16"/>
          <w:szCs w:val="16"/>
          <w:lang w:val="es-AR"/>
        </w:rPr>
        <w:t>Sentencia del TOF 3. Capitulo</w:t>
      </w:r>
      <w:r w:rsidRPr="00D93236">
        <w:rPr>
          <w:rFonts w:asciiTheme="majorHAnsi" w:hAnsiTheme="majorHAnsi"/>
          <w:sz w:val="16"/>
          <w:szCs w:val="16"/>
          <w:lang w:val="es-US"/>
        </w:rPr>
        <w:t xml:space="preserve"> V.A, pág. 2371 y 2372. </w:t>
      </w:r>
      <w:r w:rsidRPr="00D93236">
        <w:rPr>
          <w:rFonts w:asciiTheme="majorHAnsi" w:hAnsiTheme="majorHAnsi"/>
          <w:sz w:val="16"/>
          <w:szCs w:val="16"/>
          <w:lang w:val="es-AR"/>
        </w:rPr>
        <w:t>Anexo 1 a la comunicación de la parte peticionaria de fecha 11 de noviembre de 2019</w:t>
      </w:r>
    </w:p>
  </w:footnote>
  <w:footnote w:id="251">
    <w:p w14:paraId="42551687" w14:textId="77777777" w:rsidR="005B3F8C" w:rsidRPr="00D93236" w:rsidRDefault="005B3F8C" w:rsidP="005A27AF">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0B57A1">
        <w:rPr>
          <w:rFonts w:asciiTheme="majorHAnsi" w:hAnsiTheme="majorHAnsi"/>
          <w:sz w:val="16"/>
          <w:szCs w:val="16"/>
          <w:lang w:val="es-AR"/>
        </w:rPr>
        <w:t>Anexo 8</w:t>
      </w:r>
      <w:r w:rsidRPr="00D93236">
        <w:rPr>
          <w:rFonts w:asciiTheme="majorHAnsi" w:hAnsiTheme="majorHAnsi"/>
          <w:b/>
          <w:sz w:val="16"/>
          <w:szCs w:val="16"/>
          <w:lang w:val="es-AR"/>
        </w:rPr>
        <w:t>.</w:t>
      </w:r>
      <w:r w:rsidRPr="00D93236">
        <w:rPr>
          <w:rFonts w:asciiTheme="majorHAnsi" w:hAnsiTheme="majorHAnsi"/>
          <w:sz w:val="16"/>
          <w:szCs w:val="16"/>
          <w:lang w:val="es-AR"/>
        </w:rPr>
        <w:t xml:space="preserve"> Informe de Gestión de la UFI AMIA Diciembre 2016, pág. 9. Anexo 12 a la comunicación de la parte peticionaria de fecha 11 de noviembre de 2019.</w:t>
      </w:r>
    </w:p>
  </w:footnote>
  <w:footnote w:id="252">
    <w:p w14:paraId="554E1E7F" w14:textId="77777777" w:rsidR="005B3F8C" w:rsidRPr="00D93236" w:rsidRDefault="005B3F8C" w:rsidP="005A27AF">
      <w:pPr>
        <w:pStyle w:val="FootnoteText"/>
        <w:jc w:val="both"/>
        <w:rPr>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0B57A1">
        <w:rPr>
          <w:rFonts w:asciiTheme="majorHAnsi" w:hAnsiTheme="majorHAnsi"/>
          <w:sz w:val="16"/>
          <w:szCs w:val="16"/>
          <w:lang w:val="es-AR"/>
        </w:rPr>
        <w:t>Anexo 8.</w:t>
      </w:r>
      <w:r w:rsidRPr="00D93236">
        <w:rPr>
          <w:rFonts w:asciiTheme="majorHAnsi" w:hAnsiTheme="majorHAnsi"/>
          <w:sz w:val="16"/>
          <w:szCs w:val="16"/>
          <w:lang w:val="es-AR"/>
        </w:rPr>
        <w:t xml:space="preserve"> Informe de Gestión de la UFI AMIA Diciembre 2016, pág. 9 y 10. Anexo 12 a la comunicación de la parte peticionaria de fecha 11 de noviembre de 2019.</w:t>
      </w:r>
    </w:p>
  </w:footnote>
  <w:footnote w:id="253">
    <w:p w14:paraId="30F4C5BB" w14:textId="77777777" w:rsidR="005B3F8C" w:rsidRPr="00E51A1E" w:rsidRDefault="005B3F8C" w:rsidP="00E51A1E">
      <w:pPr>
        <w:pStyle w:val="FootnoteText"/>
        <w:jc w:val="both"/>
        <w:rPr>
          <w:rFonts w:ascii="Cambria" w:hAnsi="Cambria"/>
          <w:sz w:val="16"/>
          <w:szCs w:val="16"/>
          <w:lang w:val="es-AR"/>
        </w:rPr>
      </w:pPr>
      <w:r w:rsidRPr="00E51A1E">
        <w:rPr>
          <w:rStyle w:val="FootnoteReference"/>
          <w:rFonts w:ascii="Cambria" w:hAnsi="Cambria"/>
          <w:sz w:val="16"/>
          <w:szCs w:val="16"/>
          <w:lang w:val="es-AR"/>
        </w:rPr>
        <w:footnoteRef/>
      </w:r>
      <w:r w:rsidRPr="00E51A1E">
        <w:rPr>
          <w:rFonts w:ascii="Cambria" w:hAnsi="Cambria"/>
          <w:sz w:val="16"/>
          <w:szCs w:val="16"/>
          <w:lang w:val="es-AR"/>
        </w:rPr>
        <w:t xml:space="preserve"> CIDH. Derecho a la Verdad en las Américas. OEA/Ser.L/V/II.152 Doc. 2 13 agosto 2014 Original: español. Párr. 13 a 16; Corte IDH. Caso Comunidad Campesina de Santa Bárbara Vs. Perú. Excepciones Preliminares, Fondo, Reparaciones y Costas. Sentencia de 1 de septiembre de 2015. Serie C No. 299. Párr. 262 a 265; Organización de las Naciones Unidas. Comisión de Derechos Humanos. Conjunto de Principios Actualizados para la protección y la promoción de los derechos humanos mediante la lucha contra la impunidad. E/CN.4/2005/102/Add.1 8 de febrero de 2005. Principios 2 a 5.  </w:t>
      </w:r>
    </w:p>
  </w:footnote>
  <w:footnote w:id="254">
    <w:p w14:paraId="3952575F" w14:textId="77777777" w:rsidR="005B3F8C" w:rsidRPr="000B57A1"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386E47">
        <w:rPr>
          <w:rFonts w:asciiTheme="majorHAnsi" w:hAnsiTheme="majorHAnsi"/>
          <w:sz w:val="16"/>
          <w:szCs w:val="16"/>
          <w:lang w:val="es-US"/>
        </w:rPr>
        <w:t xml:space="preserve"> Anexo 1 Informe Grossman, pas 94 y 95. </w:t>
      </w:r>
      <w:r w:rsidRPr="000B57A1">
        <w:rPr>
          <w:rFonts w:asciiTheme="majorHAnsi" w:hAnsiTheme="majorHAnsi"/>
          <w:sz w:val="16"/>
          <w:szCs w:val="16"/>
          <w:lang w:val="es-AR"/>
        </w:rPr>
        <w:t xml:space="preserve">Anexo 5 a la comunicación de la parte peticionaria de fecha 11 de noviembre de 2019. </w:t>
      </w:r>
    </w:p>
  </w:footnote>
  <w:footnote w:id="255">
    <w:p w14:paraId="26EEB972" w14:textId="77777777" w:rsidR="005B3F8C" w:rsidRPr="00D93236" w:rsidRDefault="005B3F8C" w:rsidP="00E27260">
      <w:pPr>
        <w:pStyle w:val="FootnoteText"/>
        <w:jc w:val="both"/>
        <w:rPr>
          <w:rFonts w:asciiTheme="majorHAnsi" w:hAnsiTheme="majorHAnsi"/>
          <w:sz w:val="16"/>
          <w:szCs w:val="16"/>
          <w:lang w:val="es-AR"/>
        </w:rPr>
      </w:pPr>
      <w:r w:rsidRPr="000B57A1">
        <w:rPr>
          <w:rStyle w:val="FootnoteReference"/>
          <w:rFonts w:asciiTheme="majorHAnsi" w:hAnsiTheme="majorHAnsi"/>
          <w:sz w:val="16"/>
          <w:szCs w:val="16"/>
        </w:rPr>
        <w:footnoteRef/>
      </w:r>
      <w:r w:rsidRPr="000B57A1">
        <w:rPr>
          <w:rFonts w:asciiTheme="majorHAnsi" w:hAnsiTheme="majorHAnsi"/>
          <w:sz w:val="16"/>
          <w:szCs w:val="16"/>
          <w:lang w:val="es-AR"/>
        </w:rPr>
        <w:t xml:space="preserve"> </w:t>
      </w:r>
      <w:r w:rsidRPr="000B57A1">
        <w:rPr>
          <w:rFonts w:asciiTheme="majorHAnsi" w:hAnsiTheme="majorHAnsi"/>
          <w:sz w:val="16"/>
          <w:szCs w:val="16"/>
          <w:lang w:val="es-US"/>
        </w:rPr>
        <w:t>Anexo 2.</w:t>
      </w:r>
      <w:r w:rsidRPr="00D93236">
        <w:rPr>
          <w:rFonts w:asciiTheme="majorHAnsi" w:hAnsiTheme="majorHAnsi"/>
          <w:sz w:val="16"/>
          <w:szCs w:val="16"/>
          <w:lang w:val="es-US"/>
        </w:rPr>
        <w:t xml:space="preserve"> </w:t>
      </w:r>
      <w:r w:rsidRPr="00D93236">
        <w:rPr>
          <w:rFonts w:asciiTheme="majorHAnsi" w:hAnsiTheme="majorHAnsi"/>
          <w:sz w:val="16"/>
          <w:szCs w:val="16"/>
          <w:lang w:val="es-AR"/>
        </w:rPr>
        <w:t>Sentencia del TOF 3. Título II. Capítulo V</w:t>
      </w:r>
      <w:r w:rsidRPr="00D93236">
        <w:rPr>
          <w:rFonts w:asciiTheme="majorHAnsi" w:hAnsiTheme="majorHAnsi"/>
          <w:sz w:val="16"/>
          <w:szCs w:val="16"/>
          <w:lang w:val="es-US"/>
        </w:rPr>
        <w:t xml:space="preserve">. Pags 4810 a 4819. </w:t>
      </w:r>
      <w:r w:rsidRPr="00D93236">
        <w:rPr>
          <w:rFonts w:asciiTheme="majorHAnsi" w:hAnsiTheme="majorHAnsi"/>
          <w:sz w:val="16"/>
          <w:szCs w:val="16"/>
          <w:lang w:val="es-AR"/>
        </w:rPr>
        <w:t>Anexo 1 a la comunicación de la parte peticionaria de fecha 11 de noviembre de 2019</w:t>
      </w:r>
    </w:p>
  </w:footnote>
  <w:footnote w:id="256">
    <w:p w14:paraId="2F4D0D67"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0B57A1">
        <w:rPr>
          <w:rFonts w:asciiTheme="majorHAnsi" w:hAnsiTheme="majorHAnsi"/>
          <w:sz w:val="16"/>
          <w:szCs w:val="16"/>
          <w:lang w:val="es-AR"/>
        </w:rPr>
        <w:t>Anexo 14.</w:t>
      </w:r>
      <w:r w:rsidRPr="00D93236">
        <w:rPr>
          <w:rFonts w:asciiTheme="majorHAnsi" w:hAnsiTheme="majorHAnsi"/>
          <w:sz w:val="16"/>
          <w:szCs w:val="16"/>
          <w:lang w:val="es-AR"/>
        </w:rPr>
        <w:t xml:space="preserve"> Auto de procesamiento dictado por el Juzgado de Instrucción en lo Criminal Federal Nro. 4 de fecha 19 de septiembre de 2006. Anexo 5 a la comunicación de la parte peticionaria de fecha 31 de octubre de 2014.  </w:t>
      </w:r>
    </w:p>
  </w:footnote>
  <w:footnote w:id="257">
    <w:p w14:paraId="3A07EABB"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0B57A1">
        <w:rPr>
          <w:rFonts w:asciiTheme="majorHAnsi" w:hAnsiTheme="majorHAnsi"/>
          <w:sz w:val="16"/>
          <w:szCs w:val="16"/>
          <w:lang w:val="es-AR"/>
        </w:rPr>
        <w:t>Anexo 15.</w:t>
      </w:r>
      <w:r w:rsidRPr="00D93236">
        <w:rPr>
          <w:rFonts w:asciiTheme="majorHAnsi" w:hAnsiTheme="majorHAnsi"/>
          <w:sz w:val="16"/>
          <w:szCs w:val="16"/>
          <w:lang w:val="es-AR"/>
        </w:rPr>
        <w:t xml:space="preserve"> Resolución de la Sala II de la Cámara Federal de Casación Penal de fecha 14 de agosto de 2013. Anexo 20 a la comunicación de la parte peticionaria de fecha 11 de noviembre de 2019. </w:t>
      </w:r>
    </w:p>
  </w:footnote>
  <w:footnote w:id="258">
    <w:p w14:paraId="5CC4D841"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0B57A1">
        <w:rPr>
          <w:rFonts w:asciiTheme="majorHAnsi" w:hAnsiTheme="majorHAnsi"/>
          <w:sz w:val="16"/>
          <w:szCs w:val="16"/>
          <w:lang w:val="es-AR"/>
        </w:rPr>
        <w:t>Anexo 16.</w:t>
      </w:r>
      <w:r w:rsidRPr="00D93236">
        <w:rPr>
          <w:rFonts w:asciiTheme="majorHAnsi" w:hAnsiTheme="majorHAnsi"/>
          <w:sz w:val="16"/>
          <w:szCs w:val="16"/>
          <w:lang w:val="es-AR"/>
        </w:rPr>
        <w:t xml:space="preserve"> Auto de elevación a juicio oral dictado por el Juzgado de Instrucción en lo Criminal Federal Nro. 4 de fecha 30 de marzo de 2012. Anexo 19b a la comunicación de la parte peticionaria de fecha 31 de octubre de 2014. </w:t>
      </w:r>
    </w:p>
  </w:footnote>
  <w:footnote w:id="259">
    <w:p w14:paraId="06A92B08"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Comunicación de la parte peticionaria de fecha 11 de noviembre de 2019, pags 63 a 66. </w:t>
      </w:r>
    </w:p>
  </w:footnote>
  <w:footnote w:id="260">
    <w:p w14:paraId="22E47739" w14:textId="77777777" w:rsidR="005B3F8C" w:rsidRPr="00065C62" w:rsidRDefault="005B3F8C" w:rsidP="00065C62">
      <w:pPr>
        <w:rPr>
          <w:rFonts w:asciiTheme="majorHAnsi" w:hAnsiTheme="majorHAnsi"/>
          <w:sz w:val="16"/>
          <w:szCs w:val="16"/>
          <w:lang w:val="es-AR" w:eastAsia="en-U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Pr>
          <w:rFonts w:asciiTheme="majorHAnsi" w:hAnsiTheme="majorHAnsi"/>
          <w:sz w:val="16"/>
          <w:szCs w:val="16"/>
          <w:lang w:val="es-AR"/>
        </w:rPr>
        <w:t xml:space="preserve">Ver: </w:t>
      </w:r>
      <w:r w:rsidRPr="00DD1075">
        <w:rPr>
          <w:rFonts w:asciiTheme="majorHAnsi" w:hAnsiTheme="majorHAnsi"/>
          <w:sz w:val="16"/>
          <w:szCs w:val="16"/>
          <w:lang w:val="es-AR"/>
        </w:rPr>
        <w:t>https://www.cij.gov.ar/nota-30647-Se-realiz--una-audiencia-oral-y-p-blica-ante-la-C-mara-Federal-de-Casaci-n-Penal-en-la-causa-por-la-denuncia-de-Nisman-por-el-memor-ndum-con-Ir-n.html</w:t>
      </w:r>
      <w:r w:rsidRPr="00D93236">
        <w:rPr>
          <w:rFonts w:asciiTheme="majorHAnsi" w:hAnsiTheme="majorHAnsi"/>
          <w:sz w:val="16"/>
          <w:szCs w:val="16"/>
          <w:lang w:val="es-AR"/>
        </w:rPr>
        <w:t xml:space="preserve">. </w:t>
      </w:r>
    </w:p>
  </w:footnote>
  <w:footnote w:id="261">
    <w:p w14:paraId="31BE8AB8" w14:textId="77777777" w:rsidR="005B3F8C" w:rsidRPr="00D93236" w:rsidRDefault="005B3F8C" w:rsidP="00E27260">
      <w:pPr>
        <w:jc w:val="both"/>
        <w:rPr>
          <w:rFonts w:asciiTheme="majorHAnsi" w:eastAsia="Times New Roman"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D93236">
        <w:rPr>
          <w:rFonts w:asciiTheme="majorHAnsi" w:eastAsia="Times New Roman" w:hAnsiTheme="majorHAnsi"/>
          <w:bCs/>
          <w:color w:val="000000"/>
          <w:sz w:val="16"/>
          <w:szCs w:val="16"/>
          <w:shd w:val="clear" w:color="auto" w:fill="FFFFFF"/>
          <w:lang w:val="es-ES"/>
        </w:rPr>
        <w:t xml:space="preserve">Corte IDH. </w:t>
      </w:r>
      <w:r w:rsidRPr="00D93236">
        <w:rPr>
          <w:rFonts w:asciiTheme="majorHAnsi" w:eastAsia="Times New Roman" w:hAnsiTheme="majorHAnsi"/>
          <w:bCs/>
          <w:i/>
          <w:color w:val="000000"/>
          <w:sz w:val="16"/>
          <w:szCs w:val="16"/>
          <w:shd w:val="clear" w:color="auto" w:fill="FFFFFF"/>
          <w:lang w:val="es-ES"/>
        </w:rPr>
        <w:t>Caso Rodríguez Vera y otros (Desaparecidos del Palacio de Justicia) Vs. Colombia</w:t>
      </w:r>
      <w:r w:rsidRPr="00D93236">
        <w:rPr>
          <w:rFonts w:asciiTheme="majorHAnsi" w:eastAsia="Times New Roman" w:hAnsiTheme="majorHAnsi"/>
          <w:bCs/>
          <w:color w:val="000000"/>
          <w:sz w:val="16"/>
          <w:szCs w:val="16"/>
          <w:shd w:val="clear" w:color="auto" w:fill="FFFFFF"/>
          <w:lang w:val="es-ES"/>
        </w:rPr>
        <w:t xml:space="preserve">. Excepciones Preliminares, Fondo, Reparaciones y Costas. Sentencia de 14 de noviembre de 2014. Serie C No. 287. Párr. 499. </w:t>
      </w:r>
    </w:p>
  </w:footnote>
  <w:footnote w:id="262">
    <w:p w14:paraId="75DC737B"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DD1075">
        <w:rPr>
          <w:rFonts w:asciiTheme="majorHAnsi" w:hAnsiTheme="majorHAnsi"/>
          <w:sz w:val="16"/>
          <w:szCs w:val="16"/>
          <w:lang w:val="es-AR"/>
        </w:rPr>
        <w:t>Anexo 14.</w:t>
      </w:r>
      <w:r w:rsidRPr="00D93236">
        <w:rPr>
          <w:rFonts w:asciiTheme="majorHAnsi" w:hAnsiTheme="majorHAnsi"/>
          <w:sz w:val="16"/>
          <w:szCs w:val="16"/>
          <w:lang w:val="es-AR"/>
        </w:rPr>
        <w:t xml:space="preserve"> Auto de procesamiento dictado por el Juzgado Federal en lo Criminal y Correccional Nro. 4 de la Capital Federal de fecha 19 de septiembre de 2006. Anexo 5 a la comunicación del peticionario de fecha 31 de octubre de 2014.</w:t>
      </w:r>
    </w:p>
  </w:footnote>
  <w:footnote w:id="263">
    <w:p w14:paraId="25473031"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DD1075">
        <w:rPr>
          <w:rFonts w:asciiTheme="majorHAnsi" w:hAnsiTheme="majorHAnsi"/>
          <w:sz w:val="16"/>
          <w:szCs w:val="16"/>
          <w:lang w:val="es-ES"/>
        </w:rPr>
        <w:t>Anexo 12.</w:t>
      </w:r>
      <w:r>
        <w:rPr>
          <w:rFonts w:asciiTheme="majorHAnsi" w:hAnsiTheme="majorHAnsi"/>
          <w:sz w:val="16"/>
          <w:szCs w:val="16"/>
          <w:lang w:val="es-ES"/>
        </w:rPr>
        <w:t xml:space="preserve"> Sentencia del Tribunal Oral en lo Criminal Federal Nro.</w:t>
      </w:r>
      <w:r w:rsidRPr="00D93236">
        <w:rPr>
          <w:rFonts w:asciiTheme="majorHAnsi" w:hAnsiTheme="majorHAnsi"/>
          <w:sz w:val="16"/>
          <w:szCs w:val="16"/>
          <w:lang w:val="es-ES"/>
        </w:rPr>
        <w:t xml:space="preserve"> 2. Pág. 533 a 534. Anexo 2 a la comunicación de la parte peticionaria de fecha 11 de noviembre de 2019.</w:t>
      </w:r>
    </w:p>
  </w:footnote>
  <w:footnote w:id="264">
    <w:p w14:paraId="3710A10B"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DD1075">
        <w:rPr>
          <w:rFonts w:asciiTheme="majorHAnsi" w:hAnsiTheme="majorHAnsi"/>
          <w:sz w:val="16"/>
          <w:szCs w:val="16"/>
          <w:lang w:val="es-ES"/>
        </w:rPr>
        <w:t>Anexo 12.</w:t>
      </w:r>
      <w:r w:rsidRPr="00D93236">
        <w:rPr>
          <w:rFonts w:asciiTheme="majorHAnsi" w:hAnsiTheme="majorHAnsi"/>
          <w:sz w:val="16"/>
          <w:szCs w:val="16"/>
          <w:lang w:val="es-ES"/>
        </w:rPr>
        <w:t xml:space="preserve"> Sentencia del T</w:t>
      </w:r>
      <w:r>
        <w:rPr>
          <w:rFonts w:asciiTheme="majorHAnsi" w:hAnsiTheme="majorHAnsi"/>
          <w:sz w:val="16"/>
          <w:szCs w:val="16"/>
          <w:lang w:val="es-ES"/>
        </w:rPr>
        <w:t xml:space="preserve">ribunal </w:t>
      </w:r>
      <w:r w:rsidRPr="00D93236">
        <w:rPr>
          <w:rFonts w:asciiTheme="majorHAnsi" w:hAnsiTheme="majorHAnsi"/>
          <w:sz w:val="16"/>
          <w:szCs w:val="16"/>
          <w:lang w:val="es-ES"/>
        </w:rPr>
        <w:t>O</w:t>
      </w:r>
      <w:r>
        <w:rPr>
          <w:rFonts w:asciiTheme="majorHAnsi" w:hAnsiTheme="majorHAnsi"/>
          <w:sz w:val="16"/>
          <w:szCs w:val="16"/>
          <w:lang w:val="es-ES"/>
        </w:rPr>
        <w:t>ral en lo Criminal Federal Nro. 2</w:t>
      </w:r>
      <w:r w:rsidRPr="00D93236">
        <w:rPr>
          <w:rFonts w:asciiTheme="majorHAnsi" w:hAnsiTheme="majorHAnsi"/>
          <w:sz w:val="16"/>
          <w:szCs w:val="16"/>
          <w:lang w:val="es-ES"/>
        </w:rPr>
        <w:t>. Pág. 375. Anexo 2 a la comunicación de la parte peticionaria de fecha 11 de noviembre de 2019.</w:t>
      </w:r>
    </w:p>
  </w:footnote>
  <w:footnote w:id="265">
    <w:p w14:paraId="13FEE34A"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Comunicación de la parte peticionaria de fecha 11 de noviembre de 2019, págs. 46 a 50.</w:t>
      </w:r>
      <w:r w:rsidRPr="00D93236">
        <w:rPr>
          <w:rFonts w:asciiTheme="majorHAnsi" w:hAnsiTheme="majorHAnsi"/>
          <w:sz w:val="16"/>
          <w:szCs w:val="16"/>
          <w:lang w:val="es-US"/>
        </w:rPr>
        <w:t xml:space="preserve"> </w:t>
      </w:r>
    </w:p>
  </w:footnote>
  <w:footnote w:id="266">
    <w:p w14:paraId="34623B84"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49320C">
        <w:rPr>
          <w:rFonts w:asciiTheme="majorHAnsi" w:hAnsiTheme="majorHAnsi"/>
          <w:sz w:val="16"/>
          <w:szCs w:val="16"/>
          <w:lang w:val="es-ES"/>
        </w:rPr>
        <w:t>Anexo 15.</w:t>
      </w:r>
      <w:r w:rsidRPr="00D93236">
        <w:rPr>
          <w:rFonts w:asciiTheme="majorHAnsi" w:hAnsiTheme="majorHAnsi"/>
          <w:sz w:val="16"/>
          <w:szCs w:val="16"/>
          <w:lang w:val="es-ES"/>
        </w:rPr>
        <w:t xml:space="preserve"> Resolución de la Sala II de la Cámara Federal de Casación Penal de fecha 14 de agosto de 2013, pág. 2 a 4. Anexo 20 de la comunicación de la parte peticionaria de fecha 11 de noviembre de 2019. </w:t>
      </w:r>
    </w:p>
  </w:footnote>
  <w:footnote w:id="267">
    <w:p w14:paraId="3792022F"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49320C">
        <w:rPr>
          <w:rFonts w:asciiTheme="majorHAnsi" w:hAnsiTheme="majorHAnsi"/>
          <w:sz w:val="16"/>
          <w:szCs w:val="16"/>
          <w:lang w:val="es-US"/>
        </w:rPr>
        <w:t>Anexo 16.</w:t>
      </w:r>
      <w:r w:rsidRPr="00D93236">
        <w:rPr>
          <w:rFonts w:asciiTheme="majorHAnsi" w:hAnsiTheme="majorHAnsi"/>
          <w:sz w:val="16"/>
          <w:szCs w:val="16"/>
          <w:lang w:val="es-US"/>
        </w:rPr>
        <w:t xml:space="preserve"> Auto de clausura de la instrucción y elevación a juicio oral dictado por el Juzgado en lo Criminal y Correccional Federal Nro. 4 de fecha 30 de marzo de 2012. Anexo 19.b de la comunicación de la parte peticionaria de fecha 31 de octubre de 2014. </w:t>
      </w:r>
    </w:p>
  </w:footnote>
  <w:footnote w:id="268">
    <w:p w14:paraId="776A86A2"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Comunicación de la parte peticionaria de fecha 11 de noviembre de 2019, pág. 47. </w:t>
      </w:r>
    </w:p>
  </w:footnote>
  <w:footnote w:id="269">
    <w:p w14:paraId="4CBBF295"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49320C">
        <w:rPr>
          <w:rFonts w:asciiTheme="majorHAnsi" w:hAnsiTheme="majorHAnsi"/>
          <w:sz w:val="16"/>
          <w:szCs w:val="16"/>
          <w:lang w:val="es-ES"/>
        </w:rPr>
        <w:t>Anexo 12.</w:t>
      </w:r>
      <w:r w:rsidRPr="00D93236">
        <w:rPr>
          <w:rFonts w:asciiTheme="majorHAnsi" w:hAnsiTheme="majorHAnsi"/>
          <w:sz w:val="16"/>
          <w:szCs w:val="16"/>
          <w:lang w:val="es-ES"/>
        </w:rPr>
        <w:t xml:space="preserve"> Sentencia del T</w:t>
      </w:r>
      <w:r>
        <w:rPr>
          <w:rFonts w:asciiTheme="majorHAnsi" w:hAnsiTheme="majorHAnsi"/>
          <w:sz w:val="16"/>
          <w:szCs w:val="16"/>
          <w:lang w:val="es-ES"/>
        </w:rPr>
        <w:t xml:space="preserve">ribunal </w:t>
      </w:r>
      <w:r w:rsidRPr="00D93236">
        <w:rPr>
          <w:rFonts w:asciiTheme="majorHAnsi" w:hAnsiTheme="majorHAnsi"/>
          <w:sz w:val="16"/>
          <w:szCs w:val="16"/>
          <w:lang w:val="es-ES"/>
        </w:rPr>
        <w:t>O</w:t>
      </w:r>
      <w:r>
        <w:rPr>
          <w:rFonts w:asciiTheme="majorHAnsi" w:hAnsiTheme="majorHAnsi"/>
          <w:sz w:val="16"/>
          <w:szCs w:val="16"/>
          <w:lang w:val="es-ES"/>
        </w:rPr>
        <w:t xml:space="preserve">ral en lo Criminal </w:t>
      </w:r>
      <w:r w:rsidRPr="00D93236">
        <w:rPr>
          <w:rFonts w:asciiTheme="majorHAnsi" w:hAnsiTheme="majorHAnsi"/>
          <w:sz w:val="16"/>
          <w:szCs w:val="16"/>
          <w:lang w:val="es-ES"/>
        </w:rPr>
        <w:t>F</w:t>
      </w:r>
      <w:r>
        <w:rPr>
          <w:rFonts w:asciiTheme="majorHAnsi" w:hAnsiTheme="majorHAnsi"/>
          <w:sz w:val="16"/>
          <w:szCs w:val="16"/>
          <w:lang w:val="es-ES"/>
        </w:rPr>
        <w:t>ederal Nro.</w:t>
      </w:r>
      <w:r w:rsidRPr="00D93236">
        <w:rPr>
          <w:rFonts w:asciiTheme="majorHAnsi" w:hAnsiTheme="majorHAnsi"/>
          <w:sz w:val="16"/>
          <w:szCs w:val="16"/>
          <w:lang w:val="es-ES"/>
        </w:rPr>
        <w:t xml:space="preserve"> 2. Pág. 1. Anexo 2 a la comunicación de la parte peticionaria de fecha 11 de noviembre de 2019.</w:t>
      </w:r>
    </w:p>
  </w:footnote>
  <w:footnote w:id="270">
    <w:p w14:paraId="6156102C"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49320C">
        <w:rPr>
          <w:rFonts w:asciiTheme="majorHAnsi" w:hAnsiTheme="majorHAnsi"/>
          <w:sz w:val="16"/>
          <w:szCs w:val="16"/>
          <w:lang w:val="es-ES"/>
        </w:rPr>
        <w:t>Anexo 12.</w:t>
      </w:r>
      <w:r w:rsidRPr="00D93236">
        <w:rPr>
          <w:rFonts w:asciiTheme="majorHAnsi" w:hAnsiTheme="majorHAnsi"/>
          <w:sz w:val="16"/>
          <w:szCs w:val="16"/>
          <w:lang w:val="es-ES"/>
        </w:rPr>
        <w:t xml:space="preserve"> Sentencia del T</w:t>
      </w:r>
      <w:r>
        <w:rPr>
          <w:rFonts w:asciiTheme="majorHAnsi" w:hAnsiTheme="majorHAnsi"/>
          <w:sz w:val="16"/>
          <w:szCs w:val="16"/>
          <w:lang w:val="es-ES"/>
        </w:rPr>
        <w:t xml:space="preserve">ribunal </w:t>
      </w:r>
      <w:r w:rsidRPr="00D93236">
        <w:rPr>
          <w:rFonts w:asciiTheme="majorHAnsi" w:hAnsiTheme="majorHAnsi"/>
          <w:sz w:val="16"/>
          <w:szCs w:val="16"/>
          <w:lang w:val="es-ES"/>
        </w:rPr>
        <w:t>O</w:t>
      </w:r>
      <w:r>
        <w:rPr>
          <w:rFonts w:asciiTheme="majorHAnsi" w:hAnsiTheme="majorHAnsi"/>
          <w:sz w:val="16"/>
          <w:szCs w:val="16"/>
          <w:lang w:val="es-ES"/>
        </w:rPr>
        <w:t xml:space="preserve">ral en lo Criminal </w:t>
      </w:r>
      <w:r w:rsidRPr="00D93236">
        <w:rPr>
          <w:rFonts w:asciiTheme="majorHAnsi" w:hAnsiTheme="majorHAnsi"/>
          <w:sz w:val="16"/>
          <w:szCs w:val="16"/>
          <w:lang w:val="es-ES"/>
        </w:rPr>
        <w:t>F</w:t>
      </w:r>
      <w:r>
        <w:rPr>
          <w:rFonts w:asciiTheme="majorHAnsi" w:hAnsiTheme="majorHAnsi"/>
          <w:sz w:val="16"/>
          <w:szCs w:val="16"/>
          <w:lang w:val="es-ES"/>
        </w:rPr>
        <w:t>ederal Nro.</w:t>
      </w:r>
      <w:r w:rsidRPr="00D93236">
        <w:rPr>
          <w:rFonts w:asciiTheme="majorHAnsi" w:hAnsiTheme="majorHAnsi"/>
          <w:sz w:val="16"/>
          <w:szCs w:val="16"/>
          <w:lang w:val="es-ES"/>
        </w:rPr>
        <w:t xml:space="preserve"> 2. Pág. 54 a 57. Anexo 2 a la comunicación de la parte peticionaria de fecha 11 de noviembre de 2019.</w:t>
      </w:r>
    </w:p>
  </w:footnote>
  <w:footnote w:id="271">
    <w:p w14:paraId="3DB76437" w14:textId="77777777" w:rsidR="005B3F8C" w:rsidRPr="00EE68C8"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EE68C8">
        <w:rPr>
          <w:rFonts w:asciiTheme="majorHAnsi" w:hAnsiTheme="majorHAnsi"/>
          <w:sz w:val="16"/>
          <w:szCs w:val="16"/>
          <w:lang w:val="es-US"/>
        </w:rPr>
        <w:t>Anexo 17.</w:t>
      </w:r>
      <w:r>
        <w:rPr>
          <w:rFonts w:asciiTheme="majorHAnsi" w:hAnsiTheme="majorHAnsi"/>
          <w:sz w:val="16"/>
          <w:szCs w:val="16"/>
          <w:lang w:val="es-US"/>
        </w:rPr>
        <w:t xml:space="preserve"> </w:t>
      </w:r>
      <w:r w:rsidRPr="00EE68C8">
        <w:rPr>
          <w:rFonts w:asciiTheme="majorHAnsi" w:hAnsiTheme="majorHAnsi"/>
          <w:sz w:val="16"/>
          <w:szCs w:val="16"/>
          <w:lang w:val="es-US"/>
        </w:rPr>
        <w:t xml:space="preserve">Resolución de la Sala I de la Cámara Federal en lo Criminal y Correccional de fecha 17 de mayo de 2016 en el marco del expediente CFR 3446/2012. Anexo 26 a la comunicación de la parte peticionaria de fecha 11 de noviembre de 2019. </w:t>
      </w:r>
    </w:p>
  </w:footnote>
  <w:footnote w:id="272">
    <w:p w14:paraId="3F8C71F7" w14:textId="77777777" w:rsidR="005B3F8C" w:rsidRPr="00EE68C8" w:rsidRDefault="005B3F8C" w:rsidP="00E27260">
      <w:pPr>
        <w:pStyle w:val="FootnoteText"/>
        <w:jc w:val="both"/>
        <w:rPr>
          <w:rFonts w:asciiTheme="majorHAnsi" w:hAnsiTheme="majorHAnsi"/>
          <w:sz w:val="16"/>
          <w:szCs w:val="16"/>
          <w:lang w:val="es-AR"/>
        </w:rPr>
      </w:pPr>
      <w:r w:rsidRPr="00EE68C8">
        <w:rPr>
          <w:rStyle w:val="FootnoteReference"/>
          <w:rFonts w:asciiTheme="majorHAnsi" w:hAnsiTheme="majorHAnsi"/>
          <w:sz w:val="16"/>
          <w:szCs w:val="16"/>
        </w:rPr>
        <w:footnoteRef/>
      </w:r>
      <w:r w:rsidRPr="00EE68C8">
        <w:rPr>
          <w:rFonts w:asciiTheme="majorHAnsi" w:hAnsiTheme="majorHAnsi"/>
          <w:sz w:val="16"/>
          <w:szCs w:val="16"/>
          <w:lang w:val="es-AR"/>
        </w:rPr>
        <w:t xml:space="preserve"> Anexo 18. Auto de elevación a juicio oral de fecha 23 de marzo de 2017 dictado por el Juzgado en lo Criminal y Correccional Federal Nro. 2 en el marco de la causa Nro. 2925/1998. Anexo 23 a la comunicación de la parte peticionaria de fecha 11 de noviembre de 2019. </w:t>
      </w:r>
    </w:p>
  </w:footnote>
  <w:footnote w:id="273">
    <w:p w14:paraId="09FCDE5C" w14:textId="77777777" w:rsidR="005B3F8C" w:rsidRPr="00D93236" w:rsidRDefault="005B3F8C" w:rsidP="00E27260">
      <w:pPr>
        <w:pStyle w:val="FootnoteText"/>
        <w:jc w:val="both"/>
        <w:rPr>
          <w:rFonts w:asciiTheme="majorHAnsi" w:hAnsiTheme="majorHAnsi"/>
          <w:sz w:val="16"/>
          <w:szCs w:val="16"/>
          <w:lang w:val="es-US"/>
        </w:rPr>
      </w:pPr>
      <w:r w:rsidRPr="00EE68C8">
        <w:rPr>
          <w:rStyle w:val="FootnoteReference"/>
          <w:rFonts w:asciiTheme="majorHAnsi" w:hAnsiTheme="majorHAnsi"/>
          <w:sz w:val="16"/>
          <w:szCs w:val="16"/>
        </w:rPr>
        <w:footnoteRef/>
      </w:r>
      <w:r w:rsidRPr="00EE68C8">
        <w:rPr>
          <w:rFonts w:asciiTheme="majorHAnsi" w:hAnsiTheme="majorHAnsi"/>
          <w:sz w:val="16"/>
          <w:szCs w:val="16"/>
          <w:lang w:val="es-AR"/>
        </w:rPr>
        <w:t xml:space="preserve"> Anexo 19. Nota dirigida a la Procuradora General de la Nación de fecha 30 de mayo de 2013. </w:t>
      </w:r>
      <w:r w:rsidRPr="00EE68C8">
        <w:rPr>
          <w:rFonts w:asciiTheme="majorHAnsi" w:hAnsiTheme="majorHAnsi"/>
          <w:sz w:val="16"/>
          <w:szCs w:val="16"/>
          <w:lang w:val="es-US"/>
        </w:rPr>
        <w:t>Anexo 15 a la comunicación de la parte peticionaria de fecha 31 de octubre de 2014.</w:t>
      </w:r>
    </w:p>
  </w:footnote>
  <w:footnote w:id="274">
    <w:p w14:paraId="44EB29CB"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Corte IDH. </w:t>
      </w:r>
      <w:r w:rsidRPr="00D93236">
        <w:rPr>
          <w:rFonts w:asciiTheme="majorHAnsi" w:hAnsiTheme="majorHAnsi"/>
          <w:i/>
          <w:sz w:val="16"/>
          <w:szCs w:val="16"/>
          <w:lang w:val="es-AR"/>
        </w:rPr>
        <w:t>Caso Rodríguez Vera y otros (Desaparecidos del Palacio de Justicia) vs. Colombia</w:t>
      </w:r>
      <w:r w:rsidRPr="00D93236">
        <w:rPr>
          <w:rFonts w:asciiTheme="majorHAnsi" w:hAnsiTheme="majorHAnsi"/>
          <w:sz w:val="16"/>
          <w:szCs w:val="16"/>
          <w:lang w:val="es-AR"/>
        </w:rPr>
        <w:t>. Excepciones Preliminares, Fondo, Reparaciones y Costas. Sentencia de 14 de noviembre de 2014. Serie C No. 287, párr. 509.</w:t>
      </w:r>
    </w:p>
  </w:footnote>
  <w:footnote w:id="275">
    <w:p w14:paraId="0CAF1755"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AR"/>
        </w:rPr>
        <w:footnoteRef/>
      </w:r>
      <w:r w:rsidRPr="00D93236">
        <w:rPr>
          <w:rFonts w:asciiTheme="majorHAnsi" w:hAnsiTheme="majorHAnsi"/>
          <w:sz w:val="16"/>
          <w:szCs w:val="16"/>
          <w:lang w:val="es-AR"/>
        </w:rPr>
        <w:t xml:space="preserve"> Corte IDH. </w:t>
      </w:r>
      <w:r w:rsidRPr="00D93236">
        <w:rPr>
          <w:rFonts w:asciiTheme="majorHAnsi" w:hAnsiTheme="majorHAnsi"/>
          <w:i/>
          <w:sz w:val="16"/>
          <w:szCs w:val="16"/>
          <w:lang w:val="es-AR"/>
        </w:rPr>
        <w:t xml:space="preserve">La colegiación obligatoria de periodistas (Arts. 13 y 29 Convención Americana sobre Derechos Humanos). </w:t>
      </w:r>
      <w:r w:rsidRPr="00D93236">
        <w:rPr>
          <w:rFonts w:asciiTheme="majorHAnsi" w:hAnsiTheme="majorHAnsi"/>
          <w:sz w:val="16"/>
          <w:szCs w:val="16"/>
          <w:lang w:val="es-AR"/>
        </w:rPr>
        <w:t>Opinión Consultiva OC-</w:t>
      </w:r>
      <w:r w:rsidRPr="00D93236">
        <w:rPr>
          <w:rFonts w:asciiTheme="majorHAnsi" w:hAnsiTheme="majorHAnsi"/>
          <w:sz w:val="16"/>
          <w:szCs w:val="16"/>
          <w:lang w:val="es-ES"/>
        </w:rPr>
        <w:t>5/85 de 13 de noviembre de 1985. Serie A No. 5</w:t>
      </w:r>
    </w:p>
  </w:footnote>
  <w:footnote w:id="276">
    <w:p w14:paraId="341ECF67"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Corte IDH. </w:t>
      </w:r>
      <w:r w:rsidRPr="00D93236">
        <w:rPr>
          <w:rFonts w:asciiTheme="majorHAnsi" w:hAnsiTheme="majorHAnsi"/>
          <w:i/>
          <w:sz w:val="16"/>
          <w:szCs w:val="16"/>
          <w:lang w:val="es-ES"/>
        </w:rPr>
        <w:t>Caso San Miguel Sosa y otras Vs. Venezuela</w:t>
      </w:r>
      <w:r w:rsidRPr="00D93236">
        <w:rPr>
          <w:rFonts w:asciiTheme="majorHAnsi" w:hAnsiTheme="majorHAnsi"/>
          <w:sz w:val="16"/>
          <w:szCs w:val="16"/>
          <w:lang w:val="es-ES"/>
        </w:rPr>
        <w:t xml:space="preserve">. Fondo, Reparaciones y Costas. Sentencia de 8 de febrero de 2018. Serie C No. 348. Párr. 154 a 157. </w:t>
      </w:r>
    </w:p>
  </w:footnote>
  <w:footnote w:id="277">
    <w:p w14:paraId="1D076CC0" w14:textId="77777777" w:rsidR="005B3F8C" w:rsidRPr="00D93236" w:rsidRDefault="005B3F8C" w:rsidP="00E27260">
      <w:pPr>
        <w:jc w:val="both"/>
        <w:rPr>
          <w:rFonts w:asciiTheme="majorHAnsi" w:eastAsia="Times New Roman"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w:t>
      </w:r>
      <w:r w:rsidRPr="00D93236">
        <w:rPr>
          <w:rFonts w:asciiTheme="majorHAnsi" w:eastAsia="Times New Roman" w:hAnsiTheme="majorHAnsi"/>
          <w:bCs/>
          <w:color w:val="000000"/>
          <w:sz w:val="16"/>
          <w:szCs w:val="16"/>
          <w:shd w:val="clear" w:color="auto" w:fill="FFFFFF"/>
          <w:lang w:val="es-ES"/>
        </w:rPr>
        <w:t xml:space="preserve">Corte IDH. </w:t>
      </w:r>
      <w:r w:rsidRPr="00D93236">
        <w:rPr>
          <w:rFonts w:asciiTheme="majorHAnsi" w:eastAsia="Times New Roman" w:hAnsiTheme="majorHAnsi"/>
          <w:bCs/>
          <w:i/>
          <w:color w:val="000000"/>
          <w:sz w:val="16"/>
          <w:szCs w:val="16"/>
          <w:shd w:val="clear" w:color="auto" w:fill="FFFFFF"/>
          <w:lang w:val="es-ES"/>
        </w:rPr>
        <w:t>Caso Claude Reyes y otros Vs. Chile</w:t>
      </w:r>
      <w:r w:rsidRPr="00D93236">
        <w:rPr>
          <w:rFonts w:asciiTheme="majorHAnsi" w:eastAsia="Times New Roman" w:hAnsiTheme="majorHAnsi"/>
          <w:bCs/>
          <w:color w:val="000000"/>
          <w:sz w:val="16"/>
          <w:szCs w:val="16"/>
          <w:shd w:val="clear" w:color="auto" w:fill="FFFFFF"/>
          <w:lang w:val="es-ES"/>
        </w:rPr>
        <w:t>. Fondo, Reparaciones y Costas. Sentencia de 19 de septiembre de 2006. Serie C No. 151.</w:t>
      </w:r>
      <w:r w:rsidRPr="00D93236">
        <w:rPr>
          <w:rFonts w:asciiTheme="majorHAnsi" w:eastAsia="Times New Roman" w:hAnsiTheme="majorHAnsi"/>
          <w:sz w:val="16"/>
          <w:szCs w:val="16"/>
          <w:lang w:val="es-ES"/>
        </w:rPr>
        <w:t xml:space="preserve"> Párr. 92. </w:t>
      </w:r>
    </w:p>
  </w:footnote>
  <w:footnote w:id="278">
    <w:p w14:paraId="40E3BC6B"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CIDH, Derecho a la Verdad en las Américas, OEA/Ser.L/V/II.152, Doc. 2, 13 agosto 2014, párr. 107 y ss; CIDH, Relatoría Especial para la Libertad de Expresión, El derecho de acceso a la información en el marco jurídico interamericano (segunda edición). Párr.77; CIDH, Relatoría Especial para la Libertad de Expresión, Informe Anual (2010), Capítulo III, Acceso a la información sobre violaciones de derechos humanos.</w:t>
      </w:r>
      <w:r w:rsidRPr="00D93236">
        <w:rPr>
          <w:rFonts w:asciiTheme="majorHAnsi" w:hAnsiTheme="majorHAnsi"/>
          <w:sz w:val="16"/>
          <w:szCs w:val="16"/>
          <w:lang w:val="es-AR"/>
        </w:rPr>
        <w:t xml:space="preserve"> </w:t>
      </w:r>
    </w:p>
  </w:footnote>
  <w:footnote w:id="279">
    <w:p w14:paraId="7BC03753"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CIDH, Informe No. 60/18, Caso 12.709. Fondo. </w:t>
      </w:r>
      <w:r w:rsidRPr="00D93236">
        <w:rPr>
          <w:rFonts w:asciiTheme="majorHAnsi" w:hAnsiTheme="majorHAnsi"/>
          <w:i/>
          <w:sz w:val="16"/>
          <w:szCs w:val="16"/>
          <w:lang w:val="es-AR"/>
        </w:rPr>
        <w:t>Juan Carlos Flores Bedregal y familiares</w:t>
      </w:r>
      <w:r w:rsidRPr="00D93236">
        <w:rPr>
          <w:rFonts w:asciiTheme="majorHAnsi" w:hAnsiTheme="majorHAnsi"/>
          <w:sz w:val="16"/>
          <w:szCs w:val="16"/>
          <w:lang w:val="es-AR"/>
        </w:rPr>
        <w:t xml:space="preserve">. Bolivia. 8 de mayo de 2018. Párr. 102. </w:t>
      </w:r>
    </w:p>
  </w:footnote>
  <w:footnote w:id="280">
    <w:p w14:paraId="18175EEB"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CIDH, Derecho a la Verdad en las Américas, OEA/Ser.L/V/II.152, Doc. 2, 13 agosto 2014, párr. </w:t>
      </w:r>
      <w:r w:rsidRPr="00D93236">
        <w:rPr>
          <w:rFonts w:asciiTheme="majorHAnsi" w:hAnsiTheme="majorHAnsi"/>
          <w:sz w:val="16"/>
          <w:szCs w:val="16"/>
          <w:lang w:val="es-US"/>
        </w:rPr>
        <w:t>118.</w:t>
      </w:r>
    </w:p>
  </w:footnote>
  <w:footnote w:id="281">
    <w:p w14:paraId="53A12946" w14:textId="77777777" w:rsidR="005B3F8C" w:rsidRPr="00540E60" w:rsidRDefault="005B3F8C" w:rsidP="002F3E4D">
      <w:pPr>
        <w:jc w:val="both"/>
        <w:rPr>
          <w:rFonts w:asciiTheme="majorHAnsi" w:hAnsiTheme="majorHAnsi"/>
          <w:sz w:val="16"/>
          <w:szCs w:val="16"/>
          <w:lang w:val="es-US" w:eastAsia="en-US"/>
        </w:rPr>
      </w:pPr>
      <w:r w:rsidRPr="002F3E4D">
        <w:rPr>
          <w:rStyle w:val="FootnoteReference"/>
          <w:rFonts w:asciiTheme="majorHAnsi" w:hAnsiTheme="majorHAnsi"/>
          <w:sz w:val="16"/>
          <w:szCs w:val="16"/>
          <w:lang w:val="es-ES"/>
        </w:rPr>
        <w:footnoteRef/>
      </w:r>
      <w:r w:rsidRPr="002F3E4D">
        <w:rPr>
          <w:rFonts w:asciiTheme="majorHAnsi" w:hAnsiTheme="majorHAnsi"/>
          <w:sz w:val="16"/>
          <w:szCs w:val="16"/>
          <w:lang w:val="es-ES"/>
        </w:rPr>
        <w:t xml:space="preserve"> Principios globales sobre seguridad nacional y el derecho a la información (“Principios de Tshwane”). 12 de julio de 2013. Accesible en: </w:t>
      </w:r>
      <w:r w:rsidRPr="00DD1075">
        <w:rPr>
          <w:rFonts w:asciiTheme="majorHAnsi" w:hAnsiTheme="majorHAnsi"/>
          <w:sz w:val="16"/>
          <w:szCs w:val="16"/>
          <w:lang w:val="es-US"/>
        </w:rPr>
        <w:t>https://www.oas.org/es/sla/ddi/docs/acceso_informacion_Taller_Alto_Nivel_Paraguay_2018_documentos_referencia_Principios_Tshwane.pdf</w:t>
      </w:r>
      <w:r w:rsidRPr="00B05379">
        <w:rPr>
          <w:rFonts w:asciiTheme="majorHAnsi" w:hAnsiTheme="majorHAnsi"/>
          <w:sz w:val="16"/>
          <w:szCs w:val="16"/>
          <w:lang w:val="es-AR"/>
        </w:rPr>
        <w:t xml:space="preserve">. </w:t>
      </w:r>
      <w:r w:rsidRPr="00DD1075">
        <w:rPr>
          <w:rFonts w:asciiTheme="majorHAnsi" w:hAnsiTheme="majorHAnsi"/>
          <w:sz w:val="16"/>
          <w:szCs w:val="16"/>
          <w:lang w:val="es-AR"/>
        </w:rPr>
        <w:t xml:space="preserve">Ver asimismo, entre otros pronunciamientos: United Nations. </w:t>
      </w:r>
      <w:r w:rsidRPr="002F3E4D">
        <w:rPr>
          <w:rFonts w:asciiTheme="majorHAnsi" w:hAnsiTheme="majorHAnsi"/>
          <w:sz w:val="16"/>
          <w:szCs w:val="16"/>
          <w:lang w:val="en-US"/>
        </w:rPr>
        <w:t xml:space="preserve">Commission on Human Rights. Report of the Special Rapporteur on the promotion and protection of the right to freedom of opinion and expression, Mr. Abid Hussain, submitted in accordance with Commission resolution 1999/36. </w:t>
      </w:r>
      <w:r w:rsidRPr="00540E60">
        <w:rPr>
          <w:rFonts w:asciiTheme="majorHAnsi" w:hAnsiTheme="majorHAnsi"/>
          <w:sz w:val="16"/>
          <w:szCs w:val="16"/>
          <w:lang w:val="es-US"/>
        </w:rPr>
        <w:t xml:space="preserve">E/CN.4/2000/63. 18 January 2000. Párrs 42-45.  </w:t>
      </w:r>
    </w:p>
  </w:footnote>
  <w:footnote w:id="282">
    <w:p w14:paraId="68B93C57" w14:textId="77777777" w:rsidR="005B3F8C" w:rsidRPr="002F3E4D" w:rsidRDefault="005B3F8C" w:rsidP="002F3E4D">
      <w:pPr>
        <w:pStyle w:val="FootnoteText"/>
        <w:jc w:val="both"/>
        <w:rPr>
          <w:rFonts w:asciiTheme="majorHAnsi" w:hAnsiTheme="majorHAnsi"/>
          <w:sz w:val="16"/>
          <w:szCs w:val="16"/>
          <w:lang w:val="es-AR"/>
        </w:rPr>
      </w:pPr>
      <w:r w:rsidRPr="002F3E4D">
        <w:rPr>
          <w:rStyle w:val="FootnoteReference"/>
          <w:rFonts w:asciiTheme="majorHAnsi" w:hAnsiTheme="majorHAnsi"/>
          <w:sz w:val="16"/>
          <w:szCs w:val="16"/>
        </w:rPr>
        <w:footnoteRef/>
      </w:r>
      <w:r w:rsidRPr="002F3E4D">
        <w:rPr>
          <w:rFonts w:asciiTheme="majorHAnsi" w:hAnsiTheme="majorHAnsi"/>
          <w:sz w:val="16"/>
          <w:szCs w:val="16"/>
          <w:lang w:val="es-AR"/>
        </w:rPr>
        <w:t xml:space="preserve"> </w:t>
      </w:r>
      <w:r w:rsidRPr="00EE68C8">
        <w:rPr>
          <w:rFonts w:asciiTheme="majorHAnsi" w:hAnsiTheme="majorHAnsi"/>
          <w:sz w:val="16"/>
          <w:szCs w:val="16"/>
          <w:lang w:val="es-AR"/>
        </w:rPr>
        <w:t>Anexo 20.</w:t>
      </w:r>
      <w:r w:rsidRPr="002F3E4D">
        <w:rPr>
          <w:rFonts w:asciiTheme="majorHAnsi" w:hAnsiTheme="majorHAnsi"/>
          <w:sz w:val="16"/>
          <w:szCs w:val="16"/>
          <w:lang w:val="es-AR"/>
        </w:rPr>
        <w:t xml:space="preserve"> </w:t>
      </w:r>
      <w:r>
        <w:rPr>
          <w:rFonts w:asciiTheme="majorHAnsi" w:hAnsiTheme="majorHAnsi"/>
          <w:sz w:val="16"/>
          <w:szCs w:val="16"/>
          <w:lang w:val="es-AR"/>
        </w:rPr>
        <w:t xml:space="preserve">Informe </w:t>
      </w:r>
      <w:r w:rsidRPr="002F3E4D">
        <w:rPr>
          <w:rFonts w:asciiTheme="majorHAnsi" w:hAnsiTheme="majorHAnsi"/>
          <w:sz w:val="16"/>
          <w:szCs w:val="16"/>
          <w:lang w:val="es-AR"/>
        </w:rPr>
        <w:t xml:space="preserve">UFI AMIA. </w:t>
      </w:r>
      <w:r w:rsidRPr="00EE68C8">
        <w:rPr>
          <w:rFonts w:asciiTheme="majorHAnsi" w:hAnsiTheme="majorHAnsi"/>
          <w:sz w:val="16"/>
          <w:szCs w:val="16"/>
          <w:lang w:val="es-AR"/>
        </w:rPr>
        <w:t>“El proceso de desclasificación de información reservada o secreta sobre el atentado y su encubrimiento”</w:t>
      </w:r>
      <w:r w:rsidRPr="002F3E4D">
        <w:rPr>
          <w:rFonts w:asciiTheme="majorHAnsi" w:hAnsiTheme="majorHAnsi"/>
          <w:sz w:val="16"/>
          <w:szCs w:val="16"/>
          <w:lang w:val="es-AR"/>
        </w:rPr>
        <w:t xml:space="preserve"> Págs. 14 y 15. Anexo 27 a la comunicación de la parte peticionaria de fecha 11 de noviembre de 2019. La UFI AMIA informó que “la cantidad aproximada de documentación en poder de la AFI y sujeta a este proceso es de 1893 metros lineales”.   </w:t>
      </w:r>
    </w:p>
  </w:footnote>
  <w:footnote w:id="283">
    <w:p w14:paraId="254CD49C" w14:textId="77777777" w:rsidR="005B3F8C" w:rsidRPr="00D93236" w:rsidRDefault="005B3F8C" w:rsidP="002F3E4D">
      <w:pPr>
        <w:pStyle w:val="FootnoteText"/>
        <w:jc w:val="both"/>
        <w:rPr>
          <w:rFonts w:asciiTheme="majorHAnsi" w:hAnsiTheme="majorHAnsi"/>
          <w:sz w:val="16"/>
          <w:szCs w:val="16"/>
          <w:lang w:val="es-AR"/>
        </w:rPr>
      </w:pPr>
      <w:r w:rsidRPr="002F3E4D">
        <w:rPr>
          <w:rStyle w:val="FootnoteReference"/>
          <w:rFonts w:asciiTheme="majorHAnsi" w:hAnsiTheme="majorHAnsi"/>
          <w:sz w:val="16"/>
          <w:szCs w:val="16"/>
        </w:rPr>
        <w:footnoteRef/>
      </w:r>
      <w:r w:rsidRPr="002F3E4D">
        <w:rPr>
          <w:rFonts w:asciiTheme="majorHAnsi" w:hAnsiTheme="majorHAnsi"/>
          <w:sz w:val="16"/>
          <w:szCs w:val="16"/>
          <w:lang w:val="es-AR"/>
        </w:rPr>
        <w:t xml:space="preserve"> Ver en particular el relato del proceso de clasificación como secreto del documento titulado “Temática AMIA. La Conexión Internacional. El Esclarecimiento del Atentado Terrorista y la individualización de sus Autores” presentado por la SIDE a la UFI AMIA en enero de 2003 que consta en: </w:t>
      </w:r>
      <w:r w:rsidRPr="00EE68C8">
        <w:rPr>
          <w:rFonts w:asciiTheme="majorHAnsi" w:hAnsiTheme="majorHAnsi"/>
          <w:sz w:val="16"/>
          <w:szCs w:val="16"/>
          <w:lang w:val="es-AR"/>
        </w:rPr>
        <w:t>Anexo 20.</w:t>
      </w:r>
      <w:r w:rsidRPr="002F3E4D">
        <w:rPr>
          <w:rFonts w:asciiTheme="majorHAnsi" w:hAnsiTheme="majorHAnsi"/>
          <w:sz w:val="16"/>
          <w:szCs w:val="16"/>
          <w:lang w:val="es-AR"/>
        </w:rPr>
        <w:t xml:space="preserve"> UFI AMIA. El Proceso de desclasificación de información reservada o secreta sobre el atentado de 1994 y su encub</w:t>
      </w:r>
      <w:r>
        <w:rPr>
          <w:rFonts w:asciiTheme="majorHAnsi" w:hAnsiTheme="majorHAnsi"/>
          <w:sz w:val="16"/>
          <w:szCs w:val="16"/>
          <w:lang w:val="es-AR"/>
        </w:rPr>
        <w:t>rimiento, pág. 16 y 17. Anexo 27</w:t>
      </w:r>
      <w:r w:rsidRPr="002F3E4D">
        <w:rPr>
          <w:rFonts w:asciiTheme="majorHAnsi" w:hAnsiTheme="majorHAnsi"/>
          <w:sz w:val="16"/>
          <w:szCs w:val="16"/>
          <w:lang w:val="es-AR"/>
        </w:rPr>
        <w:t xml:space="preserve"> a la comunicación de la parte peticionaria de fecha </w:t>
      </w:r>
      <w:r>
        <w:rPr>
          <w:rFonts w:asciiTheme="majorHAnsi" w:hAnsiTheme="majorHAnsi"/>
          <w:sz w:val="16"/>
          <w:szCs w:val="16"/>
          <w:lang w:val="es-AR"/>
        </w:rPr>
        <w:t>11 de noviembre</w:t>
      </w:r>
      <w:r w:rsidRPr="002F3E4D">
        <w:rPr>
          <w:rFonts w:asciiTheme="majorHAnsi" w:hAnsiTheme="majorHAnsi"/>
          <w:sz w:val="16"/>
          <w:szCs w:val="16"/>
          <w:lang w:val="es-AR"/>
        </w:rPr>
        <w:t xml:space="preserve"> de 2019.</w:t>
      </w:r>
      <w:r w:rsidRPr="00D93236">
        <w:rPr>
          <w:rFonts w:asciiTheme="majorHAnsi" w:hAnsiTheme="majorHAnsi"/>
          <w:sz w:val="16"/>
          <w:szCs w:val="16"/>
          <w:lang w:val="es-AR"/>
        </w:rPr>
        <w:t xml:space="preserve"> </w:t>
      </w:r>
    </w:p>
  </w:footnote>
  <w:footnote w:id="284">
    <w:p w14:paraId="0F8539F2"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Naciones Unidas. Consejo de Derechos Humanos. Informe de Martin Scheinin, Relator Especial sobre la promoción y la protección de los derechos humanos y las libertades fundamentales en la lucha contra el terrorismo. </w:t>
      </w:r>
      <w:r w:rsidRPr="00D93236">
        <w:rPr>
          <w:rFonts w:asciiTheme="majorHAnsi" w:hAnsiTheme="majorHAnsi"/>
          <w:i/>
          <w:sz w:val="16"/>
          <w:szCs w:val="16"/>
          <w:lang w:val="es-AR"/>
        </w:rPr>
        <w:t>Recopilación de buenas prácticas relacionadas con los marcos y las medidas de carácter jurídico e institucional que permitan garantizar el respeto de los derechos humanos por los servicios de inteligencia en la lucha contra el terrorismo, particularmente en lo que respecta a su supervisión.</w:t>
      </w:r>
      <w:r w:rsidRPr="00D93236">
        <w:rPr>
          <w:rFonts w:asciiTheme="majorHAnsi" w:hAnsiTheme="majorHAnsi"/>
          <w:sz w:val="16"/>
          <w:szCs w:val="16"/>
          <w:lang w:val="es-AR"/>
        </w:rPr>
        <w:t xml:space="preserve"> A/HRC/14/46. 17 de mayo de 2010. Párr. 12. Accesible en </w:t>
      </w:r>
      <w:r w:rsidRPr="00D93236">
        <w:rPr>
          <w:rFonts w:asciiTheme="majorHAnsi" w:eastAsia="Arial Unicode MS" w:hAnsiTheme="majorHAnsi" w:cs="Times New Roman"/>
          <w:color w:val="0000FF"/>
          <w:sz w:val="16"/>
          <w:szCs w:val="16"/>
          <w:u w:val="single"/>
          <w:lang w:val="es-US" w:eastAsia="en-US"/>
        </w:rPr>
        <w:t>https://documents-dds-ny.un.org/doc/UNDOC/GEN/G10/134/13/PDF/G1013413.pdf?OpenElement</w:t>
      </w:r>
    </w:p>
  </w:footnote>
  <w:footnote w:id="285">
    <w:p w14:paraId="050CA128" w14:textId="77777777" w:rsidR="005B3F8C" w:rsidRPr="00D93236" w:rsidRDefault="005B3F8C" w:rsidP="00E27260">
      <w:pPr>
        <w:jc w:val="both"/>
        <w:rPr>
          <w:rFonts w:asciiTheme="majorHAnsi" w:eastAsia="Times New Roman" w:hAnsiTheme="majorHAnsi"/>
          <w:sz w:val="16"/>
          <w:szCs w:val="16"/>
          <w:lang w:val="pt-BR"/>
        </w:rPr>
      </w:pPr>
      <w:r w:rsidRPr="00D93236">
        <w:rPr>
          <w:rStyle w:val="FootnoteReference"/>
          <w:rFonts w:asciiTheme="majorHAnsi" w:hAnsiTheme="majorHAnsi"/>
          <w:sz w:val="16"/>
          <w:szCs w:val="16"/>
          <w:lang w:val="es-ES"/>
        </w:rPr>
        <w:footnoteRef/>
      </w:r>
      <w:r w:rsidRPr="00D93236">
        <w:rPr>
          <w:rFonts w:asciiTheme="majorHAnsi" w:hAnsiTheme="majorHAnsi"/>
          <w:b/>
          <w:sz w:val="16"/>
          <w:szCs w:val="16"/>
          <w:lang w:val="es-ES"/>
        </w:rPr>
        <w:t xml:space="preserve"> </w:t>
      </w:r>
      <w:r w:rsidRPr="00D93236">
        <w:rPr>
          <w:rStyle w:val="Strong"/>
          <w:rFonts w:asciiTheme="majorHAnsi" w:eastAsia="Times New Roman" w:hAnsiTheme="majorHAnsi"/>
          <w:b w:val="0"/>
          <w:color w:val="000000"/>
          <w:sz w:val="16"/>
          <w:szCs w:val="16"/>
          <w:shd w:val="clear" w:color="auto" w:fill="FFFFFF"/>
          <w:lang w:val="es-ES"/>
        </w:rPr>
        <w:t xml:space="preserve">Corte IDH. </w:t>
      </w:r>
      <w:r w:rsidRPr="00D93236">
        <w:rPr>
          <w:rStyle w:val="Strong"/>
          <w:rFonts w:asciiTheme="majorHAnsi" w:eastAsia="Times New Roman" w:hAnsiTheme="majorHAnsi"/>
          <w:b w:val="0"/>
          <w:i/>
          <w:color w:val="000000"/>
          <w:sz w:val="16"/>
          <w:szCs w:val="16"/>
          <w:shd w:val="clear" w:color="auto" w:fill="FFFFFF"/>
          <w:lang w:val="es-ES"/>
        </w:rPr>
        <w:t>Caso Myrna Mack Chang Vs. Guatemala</w:t>
      </w:r>
      <w:r w:rsidRPr="00D93236">
        <w:rPr>
          <w:rStyle w:val="Strong"/>
          <w:rFonts w:asciiTheme="majorHAnsi" w:eastAsia="Times New Roman" w:hAnsiTheme="majorHAnsi"/>
          <w:b w:val="0"/>
          <w:color w:val="000000"/>
          <w:sz w:val="16"/>
          <w:szCs w:val="16"/>
          <w:shd w:val="clear" w:color="auto" w:fill="FFFFFF"/>
          <w:lang w:val="es-ES"/>
        </w:rPr>
        <w:t xml:space="preserve">. Fondo, Reparaciones y Costas. </w:t>
      </w:r>
      <w:r w:rsidRPr="003E67F8">
        <w:rPr>
          <w:rStyle w:val="Strong"/>
          <w:rFonts w:asciiTheme="majorHAnsi" w:eastAsia="Times New Roman" w:hAnsiTheme="majorHAnsi"/>
          <w:b w:val="0"/>
          <w:color w:val="000000"/>
          <w:sz w:val="16"/>
          <w:szCs w:val="16"/>
          <w:shd w:val="clear" w:color="auto" w:fill="FFFFFF"/>
          <w:lang w:val="pt-BR"/>
        </w:rPr>
        <w:t xml:space="preserve">Sentencia de 25 de noviembre de 2003. </w:t>
      </w:r>
      <w:r w:rsidRPr="00D93236">
        <w:rPr>
          <w:rStyle w:val="Strong"/>
          <w:rFonts w:asciiTheme="majorHAnsi" w:eastAsia="Times New Roman" w:hAnsiTheme="majorHAnsi"/>
          <w:b w:val="0"/>
          <w:color w:val="000000"/>
          <w:sz w:val="16"/>
          <w:szCs w:val="16"/>
          <w:shd w:val="clear" w:color="auto" w:fill="FFFFFF"/>
          <w:lang w:val="pt-BR"/>
        </w:rPr>
        <w:t xml:space="preserve">Serie C No. 101.Parr 451; Corte IDH. </w:t>
      </w:r>
      <w:r w:rsidRPr="00D93236">
        <w:rPr>
          <w:rStyle w:val="Strong"/>
          <w:rFonts w:asciiTheme="majorHAnsi" w:eastAsia="Times New Roman" w:hAnsiTheme="majorHAnsi"/>
          <w:b w:val="0"/>
          <w:i/>
          <w:color w:val="000000"/>
          <w:sz w:val="16"/>
          <w:szCs w:val="16"/>
          <w:shd w:val="clear" w:color="auto" w:fill="FFFFFF"/>
          <w:lang w:val="pt-BR"/>
        </w:rPr>
        <w:t xml:space="preserve">Caso Gomes Lund y otros ("Guerrilha do Araguaia") Vs. </w:t>
      </w:r>
      <w:r w:rsidRPr="00D93236">
        <w:rPr>
          <w:rStyle w:val="Strong"/>
          <w:rFonts w:asciiTheme="majorHAnsi" w:eastAsia="Times New Roman" w:hAnsiTheme="majorHAnsi"/>
          <w:b w:val="0"/>
          <w:i/>
          <w:color w:val="000000"/>
          <w:sz w:val="16"/>
          <w:szCs w:val="16"/>
          <w:shd w:val="clear" w:color="auto" w:fill="FFFFFF"/>
          <w:lang w:val="es-US"/>
        </w:rPr>
        <w:t>Brasil</w:t>
      </w:r>
      <w:r w:rsidRPr="00D93236">
        <w:rPr>
          <w:rStyle w:val="Strong"/>
          <w:rFonts w:asciiTheme="majorHAnsi" w:eastAsia="Times New Roman" w:hAnsiTheme="majorHAnsi"/>
          <w:b w:val="0"/>
          <w:color w:val="000000"/>
          <w:sz w:val="16"/>
          <w:szCs w:val="16"/>
          <w:shd w:val="clear" w:color="auto" w:fill="FFFFFF"/>
          <w:lang w:val="es-US"/>
        </w:rPr>
        <w:t xml:space="preserve">. Excepciones Preliminares, Fondo, Reparaciones y Costas. Sentencia de 24 de noviembre de 2010. </w:t>
      </w:r>
      <w:r w:rsidRPr="00D93236">
        <w:rPr>
          <w:rStyle w:val="Strong"/>
          <w:rFonts w:asciiTheme="majorHAnsi" w:eastAsia="Times New Roman" w:hAnsiTheme="majorHAnsi"/>
          <w:b w:val="0"/>
          <w:color w:val="000000"/>
          <w:sz w:val="16"/>
          <w:szCs w:val="16"/>
          <w:shd w:val="clear" w:color="auto" w:fill="FFFFFF"/>
          <w:lang w:val="pt-BR"/>
        </w:rPr>
        <w:t xml:space="preserve">Serie C No. 219. Parr 202. </w:t>
      </w:r>
    </w:p>
  </w:footnote>
  <w:footnote w:id="286">
    <w:p w14:paraId="508F1D66"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pt-BR"/>
        </w:rPr>
        <w:t xml:space="preserve"> </w:t>
      </w:r>
      <w:r w:rsidRPr="00D93236">
        <w:rPr>
          <w:rStyle w:val="Strong"/>
          <w:rFonts w:asciiTheme="majorHAnsi" w:eastAsia="Times New Roman" w:hAnsiTheme="majorHAnsi"/>
          <w:b w:val="0"/>
          <w:sz w:val="16"/>
          <w:szCs w:val="16"/>
          <w:shd w:val="clear" w:color="auto" w:fill="FFFFFF"/>
          <w:lang w:val="pt-BR"/>
        </w:rPr>
        <w:t xml:space="preserve">Corte IDH. </w:t>
      </w:r>
      <w:r w:rsidRPr="00D93236">
        <w:rPr>
          <w:rStyle w:val="Strong"/>
          <w:rFonts w:asciiTheme="majorHAnsi" w:eastAsia="Times New Roman" w:hAnsiTheme="majorHAnsi"/>
          <w:b w:val="0"/>
          <w:i/>
          <w:sz w:val="16"/>
          <w:szCs w:val="16"/>
          <w:shd w:val="clear" w:color="auto" w:fill="FFFFFF"/>
          <w:lang w:val="pt-BR"/>
        </w:rPr>
        <w:t xml:space="preserve">Caso Gomes Lund y otros ("Guerrilha do Araguaia") Vs. </w:t>
      </w:r>
      <w:r w:rsidRPr="00D93236">
        <w:rPr>
          <w:rStyle w:val="Strong"/>
          <w:rFonts w:asciiTheme="majorHAnsi" w:eastAsia="Times New Roman" w:hAnsiTheme="majorHAnsi"/>
          <w:b w:val="0"/>
          <w:i/>
          <w:sz w:val="16"/>
          <w:szCs w:val="16"/>
          <w:shd w:val="clear" w:color="auto" w:fill="FFFFFF"/>
          <w:lang w:val="es-US"/>
        </w:rPr>
        <w:t>Brasil</w:t>
      </w:r>
      <w:r w:rsidRPr="00D93236">
        <w:rPr>
          <w:rStyle w:val="Strong"/>
          <w:rFonts w:asciiTheme="majorHAnsi" w:eastAsia="Times New Roman" w:hAnsiTheme="majorHAnsi"/>
          <w:b w:val="0"/>
          <w:sz w:val="16"/>
          <w:szCs w:val="16"/>
          <w:shd w:val="clear" w:color="auto" w:fill="FFFFFF"/>
          <w:lang w:val="es-US"/>
        </w:rPr>
        <w:t xml:space="preserve">. Excepciones Preliminares, Fondo, Reparaciones y Costas. Sentencia de 24 de noviembre de 2010. Serie C No. 219. Parr 202; </w:t>
      </w:r>
      <w:r w:rsidRPr="00D93236">
        <w:rPr>
          <w:rFonts w:asciiTheme="majorHAnsi" w:eastAsia="Times New Roman" w:hAnsiTheme="majorHAnsi"/>
          <w:bCs/>
          <w:sz w:val="16"/>
          <w:szCs w:val="16"/>
          <w:bdr w:val="none" w:sz="0" w:space="0" w:color="auto"/>
          <w:shd w:val="clear" w:color="auto" w:fill="FFFFFF"/>
          <w:lang w:val="es-ES" w:eastAsia="en-GB"/>
        </w:rPr>
        <w:t xml:space="preserve">Corte IDH. </w:t>
      </w:r>
      <w:r w:rsidRPr="00D93236">
        <w:rPr>
          <w:rFonts w:asciiTheme="majorHAnsi" w:eastAsia="Times New Roman" w:hAnsiTheme="majorHAnsi"/>
          <w:bCs/>
          <w:i/>
          <w:sz w:val="16"/>
          <w:szCs w:val="16"/>
          <w:bdr w:val="none" w:sz="0" w:space="0" w:color="auto"/>
          <w:shd w:val="clear" w:color="auto" w:fill="FFFFFF"/>
          <w:lang w:val="es-ES" w:eastAsia="en-GB"/>
        </w:rPr>
        <w:t>Caso Claude Reyes y otros Vs. Chile</w:t>
      </w:r>
      <w:r w:rsidRPr="00D93236">
        <w:rPr>
          <w:rFonts w:asciiTheme="majorHAnsi" w:eastAsia="Times New Roman" w:hAnsiTheme="majorHAnsi"/>
          <w:bCs/>
          <w:sz w:val="16"/>
          <w:szCs w:val="16"/>
          <w:bdr w:val="none" w:sz="0" w:space="0" w:color="auto"/>
          <w:shd w:val="clear" w:color="auto" w:fill="FFFFFF"/>
          <w:lang w:val="es-ES" w:eastAsia="en-GB"/>
        </w:rPr>
        <w:t>. Fondo, Reparaciones y Costas. Sentencia de 19 de septiembre de 2006. Serie C No. 151.</w:t>
      </w:r>
      <w:r w:rsidRPr="00D93236">
        <w:rPr>
          <w:rFonts w:asciiTheme="majorHAnsi" w:eastAsia="Times New Roman" w:hAnsiTheme="majorHAnsi"/>
          <w:sz w:val="16"/>
          <w:szCs w:val="16"/>
          <w:bdr w:val="none" w:sz="0" w:space="0" w:color="auto"/>
          <w:lang w:val="es-ES" w:eastAsia="en-GB"/>
        </w:rPr>
        <w:t xml:space="preserve"> Párr. 92.</w:t>
      </w:r>
    </w:p>
  </w:footnote>
  <w:footnote w:id="287">
    <w:p w14:paraId="1D67AFCB" w14:textId="77777777" w:rsidR="005B3F8C" w:rsidRPr="00D93236" w:rsidRDefault="005B3F8C" w:rsidP="00E27260">
      <w:pPr>
        <w:jc w:val="both"/>
        <w:rPr>
          <w:rFonts w:asciiTheme="majorHAnsi" w:eastAsia="Times New Roman"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Ley 20.195 de fecha 28 de febrero de 1973. Accesible en:</w:t>
      </w:r>
      <w:r w:rsidRPr="00DD1075">
        <w:rPr>
          <w:rFonts w:asciiTheme="majorHAnsi" w:hAnsiTheme="majorHAnsi"/>
          <w:sz w:val="16"/>
          <w:szCs w:val="16"/>
          <w:lang w:val="es-ES"/>
        </w:rPr>
        <w:t xml:space="preserve"> </w:t>
      </w:r>
      <w:r w:rsidRPr="00DD1075">
        <w:rPr>
          <w:rFonts w:asciiTheme="majorHAnsi" w:eastAsia="Times New Roman" w:hAnsiTheme="majorHAnsi"/>
          <w:sz w:val="16"/>
          <w:szCs w:val="16"/>
          <w:u w:val="single"/>
          <w:lang w:val="es-ES"/>
        </w:rPr>
        <w:t>http://servicios.infoleg.gob.ar/infolegInternet/verNorma.do?id=119720</w:t>
      </w:r>
    </w:p>
  </w:footnote>
  <w:footnote w:id="288">
    <w:p w14:paraId="2DCFBB24" w14:textId="77777777" w:rsidR="005B3F8C" w:rsidRPr="00D93236" w:rsidRDefault="005B3F8C" w:rsidP="00E27260">
      <w:pPr>
        <w:jc w:val="both"/>
        <w:rPr>
          <w:rFonts w:asciiTheme="majorHAnsi" w:eastAsia="Times New Roman" w:hAnsiTheme="majorHAnsi"/>
          <w:sz w:val="16"/>
          <w:szCs w:val="16"/>
          <w:lang w:val="es-U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Ley 25.520 de fecha 3 de diciembre de 2001, arts. 16 a 18. Accesible en: </w:t>
      </w:r>
      <w:r w:rsidRPr="00D93236">
        <w:rPr>
          <w:rFonts w:asciiTheme="majorHAnsi" w:eastAsia="Times New Roman" w:hAnsiTheme="majorHAnsi"/>
          <w:sz w:val="16"/>
          <w:szCs w:val="16"/>
          <w:lang w:val="es-ES"/>
        </w:rPr>
        <w:t>http://servicios.infoleg.gob.ar/infolegInternet/anexos/70000-74999/70496/norma.htm</w:t>
      </w:r>
    </w:p>
  </w:footnote>
  <w:footnote w:id="289">
    <w:p w14:paraId="154B16FE"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EE68C8">
        <w:rPr>
          <w:rFonts w:asciiTheme="majorHAnsi" w:hAnsiTheme="majorHAnsi"/>
          <w:sz w:val="16"/>
          <w:szCs w:val="16"/>
          <w:lang w:val="es-US"/>
        </w:rPr>
        <w:t>Anexo 2.</w:t>
      </w:r>
      <w:r w:rsidRPr="00D93236">
        <w:rPr>
          <w:rFonts w:asciiTheme="majorHAnsi" w:hAnsiTheme="majorHAnsi"/>
          <w:sz w:val="16"/>
          <w:szCs w:val="16"/>
          <w:lang w:val="es-US"/>
        </w:rPr>
        <w:t xml:space="preserve"> </w:t>
      </w:r>
      <w:r w:rsidRPr="00D93236">
        <w:rPr>
          <w:rFonts w:asciiTheme="majorHAnsi" w:hAnsiTheme="majorHAnsi"/>
          <w:sz w:val="16"/>
          <w:szCs w:val="16"/>
          <w:lang w:val="es-AR"/>
        </w:rPr>
        <w:t>Sentencia del TOF 3. Título II. Capitulo VIII</w:t>
      </w:r>
      <w:r>
        <w:rPr>
          <w:rFonts w:asciiTheme="majorHAnsi" w:hAnsiTheme="majorHAnsi"/>
          <w:sz w:val="16"/>
          <w:szCs w:val="16"/>
          <w:lang w:val="es-US"/>
        </w:rPr>
        <w:t xml:space="preserve">. </w:t>
      </w:r>
      <w:r w:rsidRPr="00D93236">
        <w:rPr>
          <w:rFonts w:asciiTheme="majorHAnsi" w:hAnsiTheme="majorHAnsi"/>
          <w:sz w:val="16"/>
          <w:szCs w:val="16"/>
          <w:lang w:val="es-US"/>
        </w:rPr>
        <w:t xml:space="preserve">Págs. 3585 a 3611. </w:t>
      </w:r>
      <w:r w:rsidRPr="00D93236">
        <w:rPr>
          <w:rFonts w:asciiTheme="majorHAnsi" w:hAnsiTheme="majorHAnsi"/>
          <w:sz w:val="16"/>
          <w:szCs w:val="16"/>
          <w:lang w:val="es-AR"/>
        </w:rPr>
        <w:t>Anexo 1 a la comunicación de la parte peticionaria de fecha 11 de noviembre de 2019</w:t>
      </w:r>
      <w:r w:rsidRPr="00D93236">
        <w:rPr>
          <w:rFonts w:asciiTheme="majorHAnsi" w:hAnsiTheme="majorHAnsi"/>
          <w:sz w:val="16"/>
          <w:szCs w:val="16"/>
          <w:lang w:val="es-US"/>
        </w:rPr>
        <w:t xml:space="preserve"> </w:t>
      </w:r>
    </w:p>
  </w:footnote>
  <w:footnote w:id="290">
    <w:p w14:paraId="7CBDC99D" w14:textId="77777777" w:rsidR="005B3F8C" w:rsidRPr="00D93236" w:rsidRDefault="005B3F8C" w:rsidP="00E27260">
      <w:pPr>
        <w:jc w:val="both"/>
        <w:rPr>
          <w:rFonts w:asciiTheme="majorHAnsi" w:eastAsia="Times New Roman"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Decreto 249/03 de fecha 26 de junio de 2003. Accesible en: </w:t>
      </w:r>
      <w:r w:rsidRPr="00D93236">
        <w:rPr>
          <w:rFonts w:asciiTheme="majorHAnsi" w:eastAsia="Times New Roman" w:hAnsiTheme="majorHAnsi"/>
          <w:sz w:val="16"/>
          <w:szCs w:val="16"/>
          <w:lang w:val="es-ES"/>
        </w:rPr>
        <w:t>http://servicios.infoleg.gob.ar/infolegInternet/verNorma.do?id=86364; Decreto 291/03 de fecha 1 de julio de 2003. Accesible en: http://servicios.infoleg.gob.ar/infolegInternet/anexos/85000-89999/86451/texact.htm y Decreto 785/03 de fecha 18 de septiembre de 2003. Accesible en: http://servicios.infoleg.gob.ar/infolegInternet/verNorma.do?id=88545</w:t>
      </w:r>
    </w:p>
  </w:footnote>
  <w:footnote w:id="291">
    <w:p w14:paraId="17EC86D8"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ES"/>
        </w:rPr>
        <w:t xml:space="preserve"> </w:t>
      </w:r>
      <w:r w:rsidRPr="00D93236">
        <w:rPr>
          <w:rStyle w:val="Strong"/>
          <w:rFonts w:asciiTheme="majorHAnsi" w:eastAsia="Times New Roman" w:hAnsiTheme="majorHAnsi"/>
          <w:b w:val="0"/>
          <w:sz w:val="16"/>
          <w:szCs w:val="16"/>
          <w:shd w:val="clear" w:color="auto" w:fill="FFFFFF"/>
          <w:lang w:val="es-ES"/>
        </w:rPr>
        <w:t xml:space="preserve">Corte IDH. </w:t>
      </w:r>
      <w:r w:rsidRPr="00D93236">
        <w:rPr>
          <w:rStyle w:val="Strong"/>
          <w:rFonts w:asciiTheme="majorHAnsi" w:eastAsia="Times New Roman" w:hAnsiTheme="majorHAnsi"/>
          <w:b w:val="0"/>
          <w:i/>
          <w:sz w:val="16"/>
          <w:szCs w:val="16"/>
          <w:shd w:val="clear" w:color="auto" w:fill="FFFFFF"/>
          <w:lang w:val="es-ES"/>
        </w:rPr>
        <w:t xml:space="preserve">Caso Gomes Lund y otros ("Guerrilha do Araguaia") Vs. </w:t>
      </w:r>
      <w:r w:rsidRPr="00D93236">
        <w:rPr>
          <w:rStyle w:val="Strong"/>
          <w:rFonts w:asciiTheme="majorHAnsi" w:eastAsia="Times New Roman" w:hAnsiTheme="majorHAnsi"/>
          <w:b w:val="0"/>
          <w:i/>
          <w:sz w:val="16"/>
          <w:szCs w:val="16"/>
          <w:shd w:val="clear" w:color="auto" w:fill="FFFFFF"/>
          <w:lang w:val="es-US"/>
        </w:rPr>
        <w:t>Brasil</w:t>
      </w:r>
      <w:r w:rsidRPr="00D93236">
        <w:rPr>
          <w:rStyle w:val="Strong"/>
          <w:rFonts w:asciiTheme="majorHAnsi" w:eastAsia="Times New Roman" w:hAnsiTheme="majorHAnsi"/>
          <w:b w:val="0"/>
          <w:sz w:val="16"/>
          <w:szCs w:val="16"/>
          <w:shd w:val="clear" w:color="auto" w:fill="FFFFFF"/>
          <w:lang w:val="es-US"/>
        </w:rPr>
        <w:t>. Excepciones Preliminares, Fondo, Reparaciones y Costas. Sentencia de 24 de noviembre de 2010. Serie C No. 219. Parr 202</w:t>
      </w:r>
    </w:p>
  </w:footnote>
  <w:footnote w:id="292">
    <w:p w14:paraId="67FDDB37"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93236">
        <w:rPr>
          <w:rStyle w:val="Strong"/>
          <w:rFonts w:asciiTheme="majorHAnsi" w:eastAsia="Times New Roman" w:hAnsiTheme="majorHAnsi"/>
          <w:b w:val="0"/>
          <w:sz w:val="16"/>
          <w:szCs w:val="16"/>
          <w:shd w:val="clear" w:color="auto" w:fill="FFFFFF"/>
          <w:lang w:val="es-ES"/>
        </w:rPr>
        <w:t xml:space="preserve">Corte IDH. Caso Myrna Mack Chang Vs. Guatemala. Fondo, Reparaciones y Costas. Sentencia de 25 de noviembre de 2003. Serie C No. 101.Parr 181. </w:t>
      </w:r>
    </w:p>
  </w:footnote>
  <w:footnote w:id="293">
    <w:p w14:paraId="10CFC984" w14:textId="77777777" w:rsidR="005B3F8C" w:rsidRPr="00D93236" w:rsidRDefault="005B3F8C" w:rsidP="00E27260">
      <w:pPr>
        <w:jc w:val="both"/>
        <w:rPr>
          <w:rFonts w:asciiTheme="majorHAnsi" w:eastAsia="Times New Roman"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hAnsiTheme="majorHAnsi"/>
          <w:sz w:val="16"/>
          <w:szCs w:val="16"/>
          <w:lang w:val="es-ES"/>
        </w:rPr>
        <w:t xml:space="preserve"> Decreto 786/03 de fecha 18 de septiembre de 2003. Accesible en: </w:t>
      </w:r>
      <w:r w:rsidRPr="00D93236">
        <w:rPr>
          <w:rFonts w:asciiTheme="majorHAnsi" w:eastAsia="Times New Roman" w:hAnsiTheme="majorHAnsi"/>
          <w:sz w:val="16"/>
          <w:szCs w:val="16"/>
          <w:lang w:val="es-ES"/>
        </w:rPr>
        <w:t>http://servicios.infoleg.gob.ar/infolegInternet/anexos/85000-89999/88546/norma.htm; Decreto 787/03 de fecha 18 de septiembre de 2003. Accesible en: http://servicios.infoleg.gob.ar/infolegInternet/anexos/85000-89999/88547/norma.htm</w:t>
      </w:r>
    </w:p>
  </w:footnote>
  <w:footnote w:id="294">
    <w:p w14:paraId="0E727C16"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w:t>
      </w:r>
      <w:r w:rsidRPr="00EE68C8">
        <w:rPr>
          <w:rFonts w:asciiTheme="majorHAnsi" w:hAnsiTheme="majorHAnsi"/>
          <w:sz w:val="16"/>
          <w:szCs w:val="16"/>
          <w:lang w:val="es-AR"/>
        </w:rPr>
        <w:t>Anexo 20.</w:t>
      </w:r>
      <w:r w:rsidRPr="00D93236">
        <w:rPr>
          <w:rFonts w:asciiTheme="majorHAnsi" w:hAnsiTheme="majorHAnsi"/>
          <w:sz w:val="16"/>
          <w:szCs w:val="16"/>
          <w:lang w:val="es-AR"/>
        </w:rPr>
        <w:t xml:space="preserve"> UFI AMIA. “</w:t>
      </w:r>
      <w:r w:rsidRPr="00D93236">
        <w:rPr>
          <w:rFonts w:asciiTheme="majorHAnsi" w:hAnsiTheme="majorHAnsi"/>
          <w:i/>
          <w:sz w:val="16"/>
          <w:szCs w:val="16"/>
          <w:lang w:val="es-AR"/>
        </w:rPr>
        <w:t>El proceso de desclasificación de información reservada o secreta sobre el atentado y su encubrimiento</w:t>
      </w:r>
      <w:r w:rsidRPr="00D93236">
        <w:rPr>
          <w:rFonts w:asciiTheme="majorHAnsi" w:hAnsiTheme="majorHAnsi"/>
          <w:sz w:val="16"/>
          <w:szCs w:val="16"/>
          <w:lang w:val="es-AR"/>
        </w:rPr>
        <w:t>” Pág. 11. Anexo 27 a la comunicación de la parte peticionaria de fecha 11 de noviembre de 2019.</w:t>
      </w:r>
    </w:p>
  </w:footnote>
  <w:footnote w:id="295">
    <w:p w14:paraId="590F1522" w14:textId="77777777" w:rsidR="005B3F8C" w:rsidRPr="00D93236" w:rsidRDefault="005B3F8C" w:rsidP="00E27260">
      <w:pPr>
        <w:jc w:val="both"/>
        <w:rPr>
          <w:rFonts w:asciiTheme="majorHAnsi" w:eastAsia="Times New Roman" w:hAnsiTheme="majorHAnsi"/>
          <w:sz w:val="16"/>
          <w:szCs w:val="16"/>
          <w:lang w:val="es-ES"/>
        </w:rPr>
      </w:pPr>
      <w:r w:rsidRPr="00D93236">
        <w:rPr>
          <w:rStyle w:val="FootnoteReference"/>
          <w:rFonts w:asciiTheme="majorHAnsi" w:hAnsiTheme="majorHAnsi"/>
          <w:sz w:val="16"/>
          <w:szCs w:val="16"/>
          <w:lang w:val="es-ES"/>
        </w:rPr>
        <w:footnoteRef/>
      </w:r>
      <w:r w:rsidRPr="00D93236">
        <w:rPr>
          <w:rFonts w:asciiTheme="majorHAnsi" w:eastAsia="Times New Roman" w:hAnsiTheme="majorHAnsi"/>
          <w:bCs/>
          <w:color w:val="000000"/>
          <w:sz w:val="16"/>
          <w:szCs w:val="16"/>
          <w:shd w:val="clear" w:color="auto" w:fill="FFFFFF"/>
          <w:lang w:val="es-ES"/>
        </w:rPr>
        <w:t xml:space="preserve"> Corte IDH. </w:t>
      </w:r>
      <w:r w:rsidRPr="00D93236">
        <w:rPr>
          <w:rFonts w:asciiTheme="majorHAnsi" w:eastAsia="Times New Roman" w:hAnsiTheme="majorHAnsi"/>
          <w:bCs/>
          <w:i/>
          <w:color w:val="000000"/>
          <w:sz w:val="16"/>
          <w:szCs w:val="16"/>
          <w:shd w:val="clear" w:color="auto" w:fill="FFFFFF"/>
          <w:lang w:val="es-ES"/>
        </w:rPr>
        <w:t>Caso Gudiel Álvarez y otros ("Diario Militar") Vs. Guatemala</w:t>
      </w:r>
      <w:r w:rsidRPr="00D93236">
        <w:rPr>
          <w:rFonts w:asciiTheme="majorHAnsi" w:eastAsia="Times New Roman" w:hAnsiTheme="majorHAnsi"/>
          <w:bCs/>
          <w:color w:val="000000"/>
          <w:sz w:val="16"/>
          <w:szCs w:val="16"/>
          <w:shd w:val="clear" w:color="auto" w:fill="FFFFFF"/>
          <w:lang w:val="es-ES"/>
        </w:rPr>
        <w:t xml:space="preserve">. Interpretación de la Sentencia de Fondo, Reparaciones y Costas. Sentencia de 19 de agosto de 2013. Serie C No. 262. Párr. 450; Corte IDH. </w:t>
      </w:r>
      <w:r w:rsidRPr="00D93236">
        <w:rPr>
          <w:rFonts w:asciiTheme="majorHAnsi" w:eastAsia="Times New Roman" w:hAnsiTheme="majorHAnsi"/>
          <w:bCs/>
          <w:i/>
          <w:color w:val="000000"/>
          <w:sz w:val="16"/>
          <w:szCs w:val="16"/>
          <w:shd w:val="clear" w:color="auto" w:fill="FFFFFF"/>
          <w:lang w:val="es-ES"/>
        </w:rPr>
        <w:t>Caso Myrna Mack Chang Vs. Guatemala</w:t>
      </w:r>
      <w:r w:rsidRPr="00D93236">
        <w:rPr>
          <w:rFonts w:asciiTheme="majorHAnsi" w:eastAsia="Times New Roman" w:hAnsiTheme="majorHAnsi"/>
          <w:bCs/>
          <w:color w:val="000000"/>
          <w:sz w:val="16"/>
          <w:szCs w:val="16"/>
          <w:shd w:val="clear" w:color="auto" w:fill="FFFFFF"/>
          <w:lang w:val="es-ES"/>
        </w:rPr>
        <w:t xml:space="preserve">. Fondo, Reparaciones y Costas. Sentencia de 25 de noviembre de 2003. Serie C No. 101.Parr 180. </w:t>
      </w:r>
      <w:r w:rsidRPr="00D93236">
        <w:rPr>
          <w:rFonts w:asciiTheme="majorHAnsi" w:hAnsiTheme="majorHAnsi"/>
          <w:sz w:val="16"/>
          <w:szCs w:val="16"/>
          <w:lang w:val="es-AR"/>
        </w:rPr>
        <w:t xml:space="preserve"> </w:t>
      </w:r>
    </w:p>
  </w:footnote>
  <w:footnote w:id="296">
    <w:p w14:paraId="32AA9B95" w14:textId="77777777" w:rsidR="005B3F8C" w:rsidRPr="00EE68C8" w:rsidRDefault="005B3F8C" w:rsidP="00E27260">
      <w:pPr>
        <w:jc w:val="both"/>
        <w:rPr>
          <w:rFonts w:ascii="Cambria" w:eastAsia="Times New Roman" w:hAnsi="Cambria"/>
          <w:sz w:val="16"/>
          <w:szCs w:val="16"/>
          <w:lang w:val="es-US"/>
        </w:rPr>
      </w:pPr>
      <w:r w:rsidRPr="00EE68C8">
        <w:rPr>
          <w:rStyle w:val="FootnoteReference"/>
          <w:rFonts w:ascii="Cambria" w:hAnsi="Cambria"/>
          <w:sz w:val="16"/>
          <w:szCs w:val="16"/>
        </w:rPr>
        <w:footnoteRef/>
      </w:r>
      <w:r w:rsidRPr="000F00CB">
        <w:rPr>
          <w:rFonts w:ascii="Cambria" w:hAnsi="Cambria"/>
          <w:sz w:val="16"/>
          <w:szCs w:val="16"/>
          <w:lang w:val="en-US"/>
        </w:rPr>
        <w:t xml:space="preserve"> UNESCO. </w:t>
      </w:r>
      <w:r w:rsidRPr="00EE68C8">
        <w:rPr>
          <w:rFonts w:ascii="Cambria" w:hAnsi="Cambria"/>
          <w:sz w:val="16"/>
          <w:szCs w:val="16"/>
        </w:rPr>
        <w:t>Universal Declaration on archives. Declaration adopted by the 36</w:t>
      </w:r>
      <w:r w:rsidRPr="00EE68C8">
        <w:rPr>
          <w:rFonts w:ascii="Cambria" w:hAnsi="Cambria"/>
          <w:sz w:val="16"/>
          <w:szCs w:val="16"/>
          <w:vertAlign w:val="superscript"/>
        </w:rPr>
        <w:t>th</w:t>
      </w:r>
      <w:r w:rsidRPr="00EE68C8">
        <w:rPr>
          <w:rFonts w:ascii="Cambria" w:hAnsi="Cambria"/>
          <w:sz w:val="16"/>
          <w:szCs w:val="16"/>
        </w:rPr>
        <w:t xml:space="preserve"> session of the General Conference of UNESCO. </w:t>
      </w:r>
      <w:r w:rsidRPr="00EE68C8">
        <w:rPr>
          <w:rFonts w:ascii="Cambria" w:hAnsi="Cambria"/>
          <w:sz w:val="16"/>
          <w:szCs w:val="16"/>
          <w:lang w:val="en-US"/>
        </w:rPr>
        <w:t xml:space="preserve">Paris. November 2011. </w:t>
      </w:r>
      <w:r w:rsidRPr="00263B86">
        <w:rPr>
          <w:rFonts w:ascii="Cambria" w:hAnsi="Cambria"/>
          <w:sz w:val="16"/>
          <w:szCs w:val="16"/>
          <w:lang w:val="en-US"/>
        </w:rPr>
        <w:t>Accesible en</w:t>
      </w:r>
      <w:r w:rsidRPr="00EE68C8">
        <w:rPr>
          <w:rFonts w:ascii="Cambria" w:hAnsi="Cambria"/>
          <w:sz w:val="16"/>
          <w:szCs w:val="16"/>
          <w:lang w:val="en-US"/>
        </w:rPr>
        <w:t xml:space="preserve">: </w:t>
      </w:r>
      <w:hyperlink r:id="rId20" w:history="1">
        <w:r w:rsidRPr="00EE68C8">
          <w:rPr>
            <w:rFonts w:ascii="Cambria" w:eastAsia="Times New Roman" w:hAnsi="Cambria"/>
            <w:color w:val="0000FF"/>
            <w:sz w:val="16"/>
            <w:szCs w:val="16"/>
            <w:u w:val="single"/>
            <w:lang w:val="en-US"/>
          </w:rPr>
          <w:t>https://www.ica.org/en/universal-declaration-archives</w:t>
        </w:r>
      </w:hyperlink>
      <w:r w:rsidRPr="00EE68C8">
        <w:rPr>
          <w:rFonts w:ascii="Cambria" w:eastAsia="Times New Roman" w:hAnsi="Cambria"/>
          <w:sz w:val="16"/>
          <w:szCs w:val="16"/>
          <w:lang w:val="en-US"/>
        </w:rPr>
        <w:t xml:space="preserve">; UNESCO. </w:t>
      </w:r>
      <w:r w:rsidRPr="00EE68C8">
        <w:rPr>
          <w:rFonts w:ascii="Cambria" w:eastAsia="Times New Roman" w:hAnsi="Cambria"/>
          <w:sz w:val="16"/>
          <w:szCs w:val="16"/>
        </w:rPr>
        <w:t xml:space="preserve">Guide to the archives of intergovernmental organizations. </w:t>
      </w:r>
      <w:r w:rsidRPr="00EE68C8">
        <w:rPr>
          <w:rFonts w:ascii="Cambria" w:eastAsia="Times New Roman" w:hAnsi="Cambria"/>
          <w:sz w:val="16"/>
          <w:szCs w:val="16"/>
          <w:lang w:val="es-US"/>
        </w:rPr>
        <w:t xml:space="preserve">CII-99/WS/2. Paris, April 1999. </w:t>
      </w:r>
    </w:p>
  </w:footnote>
  <w:footnote w:id="297">
    <w:p w14:paraId="561F81FD" w14:textId="77777777" w:rsidR="005B3F8C" w:rsidRPr="00EE68C8" w:rsidRDefault="005B3F8C" w:rsidP="00E27260">
      <w:pPr>
        <w:pStyle w:val="FootnoteText"/>
        <w:jc w:val="both"/>
        <w:rPr>
          <w:rFonts w:ascii="Cambria" w:hAnsi="Cambria"/>
          <w:sz w:val="16"/>
          <w:szCs w:val="16"/>
          <w:lang w:val="es-AR"/>
        </w:rPr>
      </w:pPr>
      <w:r w:rsidRPr="00EE68C8">
        <w:rPr>
          <w:rStyle w:val="FootnoteReference"/>
          <w:rFonts w:ascii="Cambria" w:hAnsi="Cambria"/>
          <w:sz w:val="16"/>
          <w:szCs w:val="16"/>
        </w:rPr>
        <w:footnoteRef/>
      </w:r>
      <w:r w:rsidRPr="00EE68C8">
        <w:rPr>
          <w:rFonts w:ascii="Cambria" w:hAnsi="Cambria"/>
          <w:sz w:val="16"/>
          <w:szCs w:val="16"/>
          <w:lang w:val="es-AR"/>
        </w:rPr>
        <w:t xml:space="preserve"> Anexo 20. UFI AMIA. “</w:t>
      </w:r>
      <w:r w:rsidRPr="00EE68C8">
        <w:rPr>
          <w:rFonts w:ascii="Cambria" w:hAnsi="Cambria"/>
          <w:i/>
          <w:sz w:val="16"/>
          <w:szCs w:val="16"/>
          <w:lang w:val="es-AR"/>
        </w:rPr>
        <w:t>El proceso de desclasificación de información reservada o secreta sobre el atentado y su encubrimiento</w:t>
      </w:r>
      <w:r w:rsidRPr="00EE68C8">
        <w:rPr>
          <w:rFonts w:ascii="Cambria" w:hAnsi="Cambria"/>
          <w:sz w:val="16"/>
          <w:szCs w:val="16"/>
          <w:lang w:val="es-AR"/>
        </w:rPr>
        <w:t xml:space="preserve">” Págs. 14 y 15. Anexo 27 a la comunicación de la parte peticionaria de fecha 11 de noviembre de 2019. </w:t>
      </w:r>
    </w:p>
  </w:footnote>
  <w:footnote w:id="298">
    <w:p w14:paraId="11CA9F1B" w14:textId="77777777" w:rsidR="005B3F8C" w:rsidRPr="00EE68C8" w:rsidRDefault="005B3F8C" w:rsidP="00E27260">
      <w:pPr>
        <w:jc w:val="both"/>
        <w:rPr>
          <w:rFonts w:ascii="Cambria" w:eastAsia="Times New Roman" w:hAnsi="Cambria"/>
          <w:sz w:val="16"/>
          <w:szCs w:val="16"/>
          <w:lang w:val="es-US"/>
        </w:rPr>
      </w:pPr>
      <w:r w:rsidRPr="00EE68C8">
        <w:rPr>
          <w:rStyle w:val="FootnoteReference"/>
          <w:rFonts w:ascii="Cambria" w:hAnsi="Cambria"/>
          <w:sz w:val="16"/>
          <w:szCs w:val="16"/>
        </w:rPr>
        <w:footnoteRef/>
      </w:r>
      <w:r w:rsidRPr="00EE68C8">
        <w:rPr>
          <w:rFonts w:ascii="Cambria" w:hAnsi="Cambria"/>
          <w:sz w:val="16"/>
          <w:szCs w:val="16"/>
          <w:lang w:val="es-AR"/>
        </w:rPr>
        <w:t xml:space="preserve"> Ver: Decreto 812/2005. Accesible en: </w:t>
      </w:r>
      <w:r w:rsidRPr="00EE68C8">
        <w:rPr>
          <w:rFonts w:ascii="Cambria" w:eastAsia="Times New Roman" w:hAnsi="Cambria"/>
          <w:sz w:val="16"/>
          <w:szCs w:val="16"/>
          <w:lang w:val="es-US"/>
        </w:rPr>
        <w:t>http://servicios.infoleg.gob.ar/infolegInternet/anexos/105000-109999/107751/norma.htm</w:t>
      </w:r>
    </w:p>
  </w:footnote>
  <w:footnote w:id="299">
    <w:p w14:paraId="25467A45" w14:textId="77777777" w:rsidR="005B3F8C" w:rsidRPr="00EE68C8" w:rsidRDefault="005B3F8C" w:rsidP="00E27260">
      <w:pPr>
        <w:pStyle w:val="FootnoteText"/>
        <w:jc w:val="both"/>
        <w:rPr>
          <w:rFonts w:ascii="Cambria" w:hAnsi="Cambria"/>
          <w:sz w:val="16"/>
          <w:szCs w:val="16"/>
          <w:lang w:val="es-AR"/>
        </w:rPr>
      </w:pPr>
      <w:r w:rsidRPr="00EE68C8">
        <w:rPr>
          <w:rStyle w:val="FootnoteReference"/>
          <w:rFonts w:ascii="Cambria" w:hAnsi="Cambria"/>
          <w:sz w:val="16"/>
          <w:szCs w:val="16"/>
        </w:rPr>
        <w:footnoteRef/>
      </w:r>
      <w:r w:rsidRPr="00EE68C8">
        <w:rPr>
          <w:rFonts w:ascii="Cambria" w:hAnsi="Cambria"/>
          <w:sz w:val="16"/>
          <w:szCs w:val="16"/>
          <w:lang w:val="es-AR"/>
        </w:rPr>
        <w:t xml:space="preserve"> Anexo 21. Acta suscripta por Vanina L. Capurro, Escribana Adscripta de la Escribanía General del Gobierno de fecha 16 de marzo de 2015. Anexo 2 a la comunicación de la parte peticionaria de fecha 17 de noviembre de 2017.</w:t>
      </w:r>
    </w:p>
  </w:footnote>
  <w:footnote w:id="300">
    <w:p w14:paraId="1BCD6A08" w14:textId="77777777" w:rsidR="005B3F8C" w:rsidRPr="00EE68C8" w:rsidRDefault="005B3F8C" w:rsidP="00E27260">
      <w:pPr>
        <w:pStyle w:val="FootnoteText"/>
        <w:jc w:val="both"/>
        <w:rPr>
          <w:rFonts w:ascii="Cambria" w:hAnsi="Cambria"/>
          <w:sz w:val="16"/>
          <w:szCs w:val="16"/>
          <w:lang w:val="es-AR"/>
        </w:rPr>
      </w:pPr>
      <w:r w:rsidRPr="00EE68C8">
        <w:rPr>
          <w:rStyle w:val="FootnoteReference"/>
          <w:rFonts w:ascii="Cambria" w:hAnsi="Cambria"/>
          <w:sz w:val="16"/>
          <w:szCs w:val="16"/>
        </w:rPr>
        <w:footnoteRef/>
      </w:r>
      <w:r w:rsidRPr="00EE68C8">
        <w:rPr>
          <w:rFonts w:ascii="Cambria" w:hAnsi="Cambria"/>
          <w:sz w:val="16"/>
          <w:szCs w:val="16"/>
          <w:lang w:val="es-AR"/>
        </w:rPr>
        <w:t xml:space="preserve"> Anexo 11. UFI AMIA Informe de Gestión Julio 2016, pág. 13. Anexo 13 a la comunicación de la parte peticionaria de fecha 11 de noviembre de 2019. </w:t>
      </w:r>
    </w:p>
  </w:footnote>
  <w:footnote w:id="301">
    <w:p w14:paraId="32697AE4" w14:textId="77777777" w:rsidR="005B3F8C" w:rsidRPr="00D93236" w:rsidRDefault="005B3F8C" w:rsidP="00E27260">
      <w:pPr>
        <w:pStyle w:val="FootnoteText"/>
        <w:jc w:val="both"/>
        <w:rPr>
          <w:rFonts w:asciiTheme="majorHAnsi" w:hAnsiTheme="majorHAnsi"/>
          <w:sz w:val="16"/>
          <w:szCs w:val="16"/>
          <w:lang w:val="es-AR"/>
        </w:rPr>
      </w:pPr>
      <w:r w:rsidRPr="00EE68C8">
        <w:rPr>
          <w:rStyle w:val="FootnoteReference"/>
          <w:rFonts w:ascii="Cambria" w:hAnsi="Cambria"/>
          <w:sz w:val="16"/>
          <w:szCs w:val="16"/>
        </w:rPr>
        <w:footnoteRef/>
      </w:r>
      <w:r w:rsidRPr="00EE68C8">
        <w:rPr>
          <w:rFonts w:ascii="Cambria" w:hAnsi="Cambria"/>
          <w:sz w:val="16"/>
          <w:szCs w:val="16"/>
          <w:lang w:val="es-AR"/>
        </w:rPr>
        <w:t xml:space="preserve"> Anexo 8. UFI AMIA, Informe de Gestión diciembre 2016, pág. 23. Anexo 19 a la comunicación de la parte peticionaria de fecha 11 de noviembre de 2019.</w:t>
      </w:r>
      <w:r w:rsidRPr="00D93236">
        <w:rPr>
          <w:rFonts w:asciiTheme="majorHAnsi" w:hAnsiTheme="majorHAnsi"/>
          <w:sz w:val="16"/>
          <w:szCs w:val="16"/>
          <w:lang w:val="es-AR"/>
        </w:rPr>
        <w:t xml:space="preserve"> </w:t>
      </w:r>
    </w:p>
  </w:footnote>
  <w:footnote w:id="302">
    <w:p w14:paraId="139C4955" w14:textId="77777777" w:rsidR="005B3F8C" w:rsidRPr="00D93236" w:rsidRDefault="005B3F8C" w:rsidP="00E27260">
      <w:pPr>
        <w:pStyle w:val="FootnoteText"/>
        <w:jc w:val="both"/>
        <w:rPr>
          <w:rFonts w:asciiTheme="majorHAnsi" w:hAnsiTheme="majorHAnsi"/>
          <w:sz w:val="16"/>
          <w:szCs w:val="16"/>
          <w:lang w:val="es-AR"/>
        </w:rPr>
      </w:pPr>
      <w:r w:rsidRPr="00D93236">
        <w:rPr>
          <w:rStyle w:val="FootnoteReference"/>
          <w:rFonts w:asciiTheme="majorHAnsi" w:hAnsiTheme="majorHAnsi"/>
          <w:sz w:val="16"/>
          <w:szCs w:val="16"/>
        </w:rPr>
        <w:footnoteRef/>
      </w:r>
      <w:r w:rsidRPr="00D93236">
        <w:rPr>
          <w:rFonts w:asciiTheme="majorHAnsi" w:hAnsiTheme="majorHAnsi"/>
          <w:sz w:val="16"/>
          <w:szCs w:val="16"/>
          <w:lang w:val="es-AR"/>
        </w:rPr>
        <w:t xml:space="preserve"> CIDH, Derecho a la Verdad en las Américas, OEA/Ser.L/V/II.152, Doc. 2, 13 agosto 2014, párr. </w:t>
      </w:r>
      <w:r w:rsidRPr="00D93236">
        <w:rPr>
          <w:rFonts w:asciiTheme="majorHAnsi" w:hAnsiTheme="majorHAnsi"/>
          <w:sz w:val="16"/>
          <w:szCs w:val="16"/>
          <w:lang w:val="es-US"/>
        </w:rPr>
        <w:t>118.</w:t>
      </w:r>
    </w:p>
  </w:footnote>
  <w:footnote w:id="303">
    <w:p w14:paraId="6DB606CF"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Corte IDH. </w:t>
      </w:r>
      <w:r w:rsidRPr="00D93236">
        <w:rPr>
          <w:rFonts w:asciiTheme="majorHAnsi" w:hAnsiTheme="majorHAnsi"/>
          <w:i/>
          <w:sz w:val="16"/>
          <w:szCs w:val="16"/>
          <w:lang w:val="es-US"/>
        </w:rPr>
        <w:t>Caso de la Masacre de Las Dos Erres Vs. Guatemala</w:t>
      </w:r>
      <w:r w:rsidRPr="00D93236">
        <w:rPr>
          <w:rFonts w:asciiTheme="majorHAnsi" w:hAnsiTheme="majorHAnsi"/>
          <w:sz w:val="16"/>
          <w:szCs w:val="16"/>
          <w:lang w:val="es-US"/>
        </w:rPr>
        <w:t>. Excepción Preliminar, Fondo, Reparaciones y Costas. Sentencia de 24 de noviembre de 2009. Serie C No. 211, (</w:t>
      </w:r>
      <w:r w:rsidRPr="00D93236">
        <w:rPr>
          <w:rFonts w:asciiTheme="majorHAnsi" w:hAnsiTheme="majorHAnsi"/>
          <w:sz w:val="16"/>
          <w:szCs w:val="16"/>
          <w:lang w:val="es-ES"/>
        </w:rPr>
        <w:t xml:space="preserve">Sentencia </w:t>
      </w:r>
      <w:r w:rsidRPr="00D93236">
        <w:rPr>
          <w:rFonts w:asciiTheme="majorHAnsi" w:hAnsiTheme="majorHAnsi"/>
          <w:i/>
          <w:sz w:val="16"/>
          <w:szCs w:val="16"/>
          <w:lang w:val="es-ES"/>
        </w:rPr>
        <w:t>Masacre de las Dos Erres</w:t>
      </w:r>
      <w:r w:rsidRPr="00D93236">
        <w:rPr>
          <w:rFonts w:asciiTheme="majorHAnsi" w:hAnsiTheme="majorHAnsi"/>
          <w:sz w:val="16"/>
          <w:szCs w:val="16"/>
          <w:lang w:val="es-ES"/>
        </w:rPr>
        <w:t>), párr. 206.</w:t>
      </w:r>
    </w:p>
  </w:footnote>
  <w:footnote w:id="304">
    <w:p w14:paraId="7B303798"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Corte IDH. Sentencia </w:t>
      </w:r>
      <w:r w:rsidRPr="00D93236">
        <w:rPr>
          <w:rFonts w:asciiTheme="majorHAnsi" w:hAnsiTheme="majorHAnsi"/>
          <w:i/>
          <w:sz w:val="16"/>
          <w:szCs w:val="16"/>
          <w:lang w:val="es-US"/>
        </w:rPr>
        <w:t>Masacre de las Dos Erres</w:t>
      </w:r>
      <w:r w:rsidRPr="00D93236">
        <w:rPr>
          <w:rFonts w:asciiTheme="majorHAnsi" w:hAnsiTheme="majorHAnsi"/>
          <w:sz w:val="16"/>
          <w:szCs w:val="16"/>
          <w:lang w:val="es-US"/>
        </w:rPr>
        <w:t xml:space="preserve">, párr. 206. </w:t>
      </w:r>
    </w:p>
  </w:footnote>
  <w:footnote w:id="305">
    <w:p w14:paraId="03D1C0ED" w14:textId="77777777" w:rsidR="005B3F8C" w:rsidRPr="00D93236" w:rsidRDefault="005B3F8C" w:rsidP="00E27260">
      <w:pPr>
        <w:pStyle w:val="FootnoteText"/>
        <w:jc w:val="both"/>
        <w:rPr>
          <w:rFonts w:asciiTheme="majorHAnsi" w:hAnsiTheme="majorHAnsi"/>
          <w:sz w:val="16"/>
          <w:szCs w:val="16"/>
          <w:lang w:val="es-ES_tradnl"/>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w:t>
      </w:r>
      <w:r w:rsidRPr="00D93236">
        <w:rPr>
          <w:rFonts w:asciiTheme="majorHAnsi" w:hAnsiTheme="majorHAnsi"/>
          <w:noProof/>
          <w:sz w:val="16"/>
          <w:szCs w:val="16"/>
          <w:lang w:val="es-US"/>
        </w:rPr>
        <w:t xml:space="preserve">Corte IDH. Sentencia </w:t>
      </w:r>
      <w:r w:rsidRPr="00D93236">
        <w:rPr>
          <w:rFonts w:asciiTheme="majorHAnsi" w:hAnsiTheme="majorHAnsi"/>
          <w:i/>
          <w:noProof/>
          <w:sz w:val="16"/>
          <w:szCs w:val="16"/>
          <w:lang w:val="es-US"/>
        </w:rPr>
        <w:t>Valle Jaramillo</w:t>
      </w:r>
      <w:r w:rsidRPr="00D93236">
        <w:rPr>
          <w:rFonts w:asciiTheme="majorHAnsi" w:hAnsiTheme="majorHAnsi"/>
          <w:noProof/>
          <w:sz w:val="16"/>
          <w:szCs w:val="16"/>
          <w:lang w:val="es-US"/>
        </w:rPr>
        <w:t>, párr.</w:t>
      </w:r>
      <w:r w:rsidRPr="00D93236">
        <w:rPr>
          <w:rFonts w:asciiTheme="majorHAnsi" w:hAnsiTheme="majorHAnsi"/>
          <w:sz w:val="16"/>
          <w:szCs w:val="16"/>
          <w:lang w:val="es-US"/>
        </w:rPr>
        <w:t xml:space="preserve"> 102. Ver también:</w:t>
      </w:r>
      <w:r w:rsidRPr="00D93236">
        <w:rPr>
          <w:rFonts w:asciiTheme="majorHAnsi" w:eastAsia="Arial Unicode MS" w:hAnsiTheme="majorHAnsi" w:cs="Times New Roman"/>
          <w:sz w:val="16"/>
          <w:szCs w:val="16"/>
          <w:lang w:val="es-US"/>
        </w:rPr>
        <w:t xml:space="preserve"> Corte IDH. </w:t>
      </w:r>
      <w:r w:rsidRPr="00D93236">
        <w:rPr>
          <w:rFonts w:asciiTheme="majorHAnsi" w:eastAsia="Arial Unicode MS" w:hAnsiTheme="majorHAnsi" w:cs="Times New Roman"/>
          <w:i/>
          <w:sz w:val="16"/>
          <w:szCs w:val="16"/>
          <w:lang w:val="es-US"/>
        </w:rPr>
        <w:t xml:space="preserve">Caso de las Masacres de Ituango Vs. </w:t>
      </w:r>
      <w:r w:rsidRPr="00D93236">
        <w:rPr>
          <w:rFonts w:asciiTheme="majorHAnsi" w:eastAsia="Arial Unicode MS" w:hAnsiTheme="majorHAnsi" w:cs="Times New Roman"/>
          <w:i/>
          <w:sz w:val="16"/>
          <w:szCs w:val="16"/>
          <w:lang w:val="es-ES"/>
        </w:rPr>
        <w:t>Colombia</w:t>
      </w:r>
      <w:r w:rsidRPr="00D93236">
        <w:rPr>
          <w:rFonts w:asciiTheme="majorHAnsi" w:eastAsia="Arial Unicode MS" w:hAnsiTheme="majorHAnsi" w:cs="Times New Roman"/>
          <w:sz w:val="16"/>
          <w:szCs w:val="16"/>
          <w:lang w:val="es-ES"/>
        </w:rPr>
        <w:t>. Sentencia de 1 de julio de 2006. Serie C No. 148</w:t>
      </w:r>
      <w:r w:rsidRPr="00D93236">
        <w:rPr>
          <w:rFonts w:asciiTheme="majorHAnsi" w:hAnsiTheme="majorHAnsi"/>
          <w:sz w:val="16"/>
          <w:szCs w:val="16"/>
          <w:lang w:val="es-ES"/>
        </w:rPr>
        <w:t xml:space="preserve">, párr. 261; </w:t>
      </w:r>
      <w:r w:rsidRPr="00D93236">
        <w:rPr>
          <w:rFonts w:asciiTheme="majorHAnsi" w:hAnsiTheme="majorHAnsi"/>
          <w:i/>
          <w:sz w:val="16"/>
          <w:szCs w:val="16"/>
          <w:lang w:val="es-ES"/>
        </w:rPr>
        <w:t>Caso de la "Masacre de Mapiripán" Vs. Colombia</w:t>
      </w:r>
      <w:r w:rsidRPr="00D93236">
        <w:rPr>
          <w:rFonts w:asciiTheme="majorHAnsi" w:hAnsiTheme="majorHAnsi"/>
          <w:sz w:val="16"/>
          <w:szCs w:val="16"/>
          <w:lang w:val="es-ES"/>
        </w:rPr>
        <w:t>. Sentencia de 15 de septiembre de 2005. Serie C No. 134, párr.</w:t>
      </w:r>
      <w:r w:rsidRPr="00D93236">
        <w:rPr>
          <w:rFonts w:asciiTheme="majorHAnsi" w:hAnsiTheme="majorHAnsi"/>
          <w:sz w:val="16"/>
          <w:szCs w:val="16"/>
          <w:lang w:val="es-US"/>
        </w:rPr>
        <w:t xml:space="preserve"> 145.</w:t>
      </w:r>
    </w:p>
  </w:footnote>
  <w:footnote w:id="306">
    <w:p w14:paraId="20E2FD92" w14:textId="77777777" w:rsidR="005B3F8C" w:rsidRPr="00D93236" w:rsidRDefault="005B3F8C" w:rsidP="00E27260">
      <w:pPr>
        <w:pStyle w:val="FootnoteText"/>
        <w:jc w:val="both"/>
        <w:rPr>
          <w:rFonts w:asciiTheme="majorHAnsi" w:hAnsiTheme="majorHAnsi"/>
          <w:sz w:val="16"/>
          <w:szCs w:val="16"/>
          <w:lang w:val="es-E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Naciones Unidas. Informe del Relator Especial sobre la promoción y la protección de los derechos humanos y las libertades fundamentales en la lucha contra el terrorismo, Ben Emmerson Principios marco para asegurar los derechos humanos de las víctimas del terrorismo*. 4 de junio de 2012. </w:t>
      </w:r>
      <w:hyperlink r:id="rId21" w:history="1">
        <w:r w:rsidRPr="00D93236">
          <w:rPr>
            <w:rStyle w:val="Hyperlink"/>
            <w:rFonts w:asciiTheme="majorHAnsi" w:hAnsiTheme="majorHAnsi"/>
            <w:sz w:val="16"/>
            <w:szCs w:val="16"/>
            <w:lang w:val="es-US"/>
          </w:rPr>
          <w:t>A/HRC/20/14</w:t>
        </w:r>
      </w:hyperlink>
      <w:r w:rsidRPr="00D93236">
        <w:rPr>
          <w:rFonts w:asciiTheme="majorHAnsi" w:hAnsiTheme="majorHAnsi"/>
          <w:sz w:val="16"/>
          <w:szCs w:val="16"/>
          <w:lang w:val="es-US"/>
        </w:rPr>
        <w:t>, Capítulo C- Párr. 48.</w:t>
      </w:r>
    </w:p>
  </w:footnote>
  <w:footnote w:id="307">
    <w:p w14:paraId="3F2689BA"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Comunicación de los representantes del 30 de diciembre de 2016.</w:t>
      </w:r>
      <w:r>
        <w:rPr>
          <w:rFonts w:asciiTheme="majorHAnsi" w:hAnsiTheme="majorHAnsi"/>
          <w:sz w:val="16"/>
          <w:szCs w:val="16"/>
          <w:lang w:val="es-US"/>
        </w:rPr>
        <w:t xml:space="preserve"> Ver notas al pie Nros 7 z 8. </w:t>
      </w:r>
    </w:p>
  </w:footnote>
  <w:footnote w:id="308">
    <w:p w14:paraId="447E8D8B" w14:textId="77777777" w:rsidR="005B3F8C" w:rsidRPr="00D93236"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En su comunicación del 11 de noviembre de 2019, los peticionarios indicaron que Jorge Lew falleció el 24 de julio de 2019. </w:t>
      </w:r>
    </w:p>
  </w:footnote>
  <w:footnote w:id="309">
    <w:p w14:paraId="4608F9B1" w14:textId="77777777" w:rsidR="005B3F8C" w:rsidRPr="00E27260" w:rsidRDefault="005B3F8C" w:rsidP="00E27260">
      <w:pPr>
        <w:pStyle w:val="FootnoteText"/>
        <w:jc w:val="both"/>
        <w:rPr>
          <w:rFonts w:asciiTheme="majorHAnsi" w:hAnsiTheme="majorHAnsi"/>
          <w:sz w:val="16"/>
          <w:szCs w:val="16"/>
          <w:lang w:val="es-US"/>
        </w:rPr>
      </w:pPr>
      <w:r w:rsidRPr="00D93236">
        <w:rPr>
          <w:rStyle w:val="FootnoteReference"/>
          <w:rFonts w:asciiTheme="majorHAnsi" w:hAnsiTheme="majorHAnsi"/>
          <w:sz w:val="16"/>
          <w:szCs w:val="16"/>
        </w:rPr>
        <w:footnoteRef/>
      </w:r>
      <w:r w:rsidRPr="00D93236">
        <w:rPr>
          <w:rFonts w:asciiTheme="majorHAnsi" w:hAnsiTheme="majorHAnsi"/>
          <w:sz w:val="16"/>
          <w:szCs w:val="16"/>
          <w:lang w:val="es-US"/>
        </w:rPr>
        <w:t xml:space="preserve"> En su comunicación del 11 de noviembre de 2019, los peticionarios indicaron que Raquel Lew falleció en febrero de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7585" w14:textId="77777777" w:rsidR="005B3F8C" w:rsidRDefault="005B3F8C" w:rsidP="009F70E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112F01" w14:textId="77777777" w:rsidR="005B3F8C" w:rsidRDefault="005B3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2970" w14:textId="77777777" w:rsidR="005B3F8C" w:rsidRDefault="005B3F8C" w:rsidP="00A50FCF">
    <w:pPr>
      <w:pStyle w:val="Header"/>
      <w:tabs>
        <w:tab w:val="clear" w:pos="4320"/>
        <w:tab w:val="clear" w:pos="8640"/>
      </w:tabs>
      <w:jc w:val="center"/>
      <w:rPr>
        <w:sz w:val="22"/>
        <w:szCs w:val="22"/>
      </w:rPr>
    </w:pPr>
    <w:r>
      <w:rPr>
        <w:noProof/>
        <w:sz w:val="22"/>
        <w:szCs w:val="22"/>
      </w:rPr>
      <w:drawing>
        <wp:inline distT="0" distB="0" distL="0" distR="0" wp14:anchorId="65006D93" wp14:editId="5C789956">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D99929D" w14:textId="77777777" w:rsidR="005B3F8C" w:rsidRPr="00EC7D62" w:rsidRDefault="00E72266" w:rsidP="00A50FCF">
    <w:pPr>
      <w:pStyle w:val="Header"/>
      <w:tabs>
        <w:tab w:val="clear" w:pos="4320"/>
        <w:tab w:val="clear" w:pos="8640"/>
      </w:tabs>
      <w:jc w:val="center"/>
      <w:rPr>
        <w:sz w:val="22"/>
        <w:szCs w:val="22"/>
      </w:rPr>
    </w:pPr>
    <w:r>
      <w:rPr>
        <w:noProof/>
        <w:sz w:val="22"/>
        <w:szCs w:val="22"/>
        <w:bdr w:val="nil"/>
      </w:rPr>
      <w:pict w14:anchorId="199F588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E5E"/>
    <w:multiLevelType w:val="hybridMultilevel"/>
    <w:tmpl w:val="7B7E062A"/>
    <w:lvl w:ilvl="0" w:tplc="DB8AEFBA">
      <w:numFmt w:val="bullet"/>
      <w:lvlText w:val="-"/>
      <w:lvlJc w:val="left"/>
      <w:pPr>
        <w:ind w:left="720" w:hanging="360"/>
      </w:pPr>
      <w:rPr>
        <w:rFonts w:ascii="Cambria" w:eastAsia="Arial Unicode MS" w:hAnsi="Cambri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5996D6D"/>
    <w:multiLevelType w:val="multilevel"/>
    <w:tmpl w:val="B4EEC5CC"/>
    <w:styleLink w:val="List16"/>
    <w:lvl w:ilvl="0">
      <w:start w:val="1"/>
      <w:numFmt w:val="decimal"/>
      <w:lvlText w:val="%1."/>
      <w:lvlJc w:val="left"/>
      <w:pPr>
        <w:ind w:left="360" w:hanging="360"/>
      </w:pPr>
      <w:rPr>
        <w:rFonts w:hint="default"/>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120420"/>
    <w:multiLevelType w:val="hybridMultilevel"/>
    <w:tmpl w:val="28F6AEAE"/>
    <w:lvl w:ilvl="0" w:tplc="D04478C6">
      <w:start w:val="1"/>
      <w:numFmt w:val="lowerRoman"/>
      <w:pStyle w:val="Heading5"/>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D3B3FD0"/>
    <w:multiLevelType w:val="hybridMultilevel"/>
    <w:tmpl w:val="92A08D88"/>
    <w:lvl w:ilvl="0" w:tplc="C5D8AC78">
      <w:start w:val="1"/>
      <w:numFmt w:val="decimal"/>
      <w:lvlText w:val="%1."/>
      <w:lvlJc w:val="left"/>
      <w:pPr>
        <w:ind w:left="3330" w:hanging="360"/>
      </w:pPr>
      <w:rPr>
        <w:rFonts w:ascii="Cambria" w:hAnsi="Cambria" w:hint="default"/>
        <w:b w:val="0"/>
        <w:i w:val="0"/>
        <w:sz w:val="20"/>
      </w:rPr>
    </w:lvl>
    <w:lvl w:ilvl="1" w:tplc="F5C4EC74">
      <w:start w:val="1"/>
      <w:numFmt w:val="lowerLetter"/>
      <w:lvlText w:val="%2)"/>
      <w:lvlJc w:val="left"/>
      <w:pPr>
        <w:ind w:left="2074" w:hanging="360"/>
      </w:pPr>
      <w:rPr>
        <w:rFonts w:hint="default"/>
      </w:r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80061CF"/>
    <w:multiLevelType w:val="hybridMultilevel"/>
    <w:tmpl w:val="3F4E1D40"/>
    <w:lvl w:ilvl="0" w:tplc="EB5E0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483B63"/>
    <w:multiLevelType w:val="hybridMultilevel"/>
    <w:tmpl w:val="E9FAD368"/>
    <w:lvl w:ilvl="0" w:tplc="0E3435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C74461"/>
    <w:multiLevelType w:val="hybridMultilevel"/>
    <w:tmpl w:val="5FC20EC0"/>
    <w:lvl w:ilvl="0" w:tplc="5400EE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E180FF0"/>
    <w:multiLevelType w:val="hybridMultilevel"/>
    <w:tmpl w:val="87625762"/>
    <w:lvl w:ilvl="0" w:tplc="D1183292">
      <w:start w:val="1"/>
      <w:numFmt w:val="lowerLetter"/>
      <w:pStyle w:val="Heading4"/>
      <w:lvlText w:val="%1."/>
      <w:lvlJc w:val="left"/>
      <w:pPr>
        <w:ind w:left="927" w:hanging="360"/>
      </w:pPr>
      <w:rPr>
        <w:rFonts w:hint="default"/>
        <w:b/>
        <w:bCs/>
        <w:sz w:val="20"/>
        <w:szCs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C86D5F"/>
    <w:multiLevelType w:val="hybridMultilevel"/>
    <w:tmpl w:val="4B428C04"/>
    <w:lvl w:ilvl="0" w:tplc="D828EF5E">
      <w:numFmt w:val="bullet"/>
      <w:lvlText w:val="-"/>
      <w:lvlJc w:val="left"/>
      <w:pPr>
        <w:ind w:left="720" w:hanging="360"/>
      </w:pPr>
      <w:rPr>
        <w:rFonts w:ascii="Cambria" w:eastAsia="Calibri" w:hAnsi="Cambria"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DFA2ACC"/>
    <w:multiLevelType w:val="hybridMultilevel"/>
    <w:tmpl w:val="5FC20EC0"/>
    <w:lvl w:ilvl="0" w:tplc="5400EE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F320096"/>
    <w:multiLevelType w:val="hybridMultilevel"/>
    <w:tmpl w:val="CB6213C2"/>
    <w:lvl w:ilvl="0" w:tplc="50B20BBE">
      <w:start w:val="1"/>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45" w15:restartNumberingAfterBreak="0">
    <w:nsid w:val="4F5E0A7B"/>
    <w:multiLevelType w:val="hybridMultilevel"/>
    <w:tmpl w:val="15966FF4"/>
    <w:lvl w:ilvl="0" w:tplc="5400EE7A">
      <w:start w:val="1"/>
      <w:numFmt w:val="upperLetter"/>
      <w:lvlText w:val="%1."/>
      <w:lvlJc w:val="left"/>
      <w:pPr>
        <w:ind w:left="1440" w:hanging="360"/>
      </w:pPr>
      <w:rPr>
        <w:rFonts w:hint="default"/>
      </w:rPr>
    </w:lvl>
    <w:lvl w:ilvl="1" w:tplc="876254B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4D3434E"/>
    <w:multiLevelType w:val="hybridMultilevel"/>
    <w:tmpl w:val="941ED596"/>
    <w:lvl w:ilvl="0" w:tplc="81D403A8">
      <w:start w:val="1"/>
      <w:numFmt w:val="decimal"/>
      <w:pStyle w:val="NoSpacing1"/>
      <w:lvlText w:val="%1."/>
      <w:lvlJc w:val="left"/>
      <w:pPr>
        <w:ind w:left="360" w:hanging="360"/>
      </w:pPr>
      <w:rPr>
        <w:rFonts w:ascii="Cambria" w:hAnsi="Cambria"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lang w:val="es-A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C0A0019" w:tentative="1">
      <w:start w:val="1"/>
      <w:numFmt w:val="lowerLetter"/>
      <w:lvlText w:val="%2."/>
      <w:lvlJc w:val="left"/>
      <w:pPr>
        <w:ind w:left="1710" w:hanging="360"/>
      </w:pPr>
    </w:lvl>
    <w:lvl w:ilvl="2" w:tplc="2C0A001B" w:tentative="1">
      <w:start w:val="1"/>
      <w:numFmt w:val="lowerRoman"/>
      <w:lvlText w:val="%3."/>
      <w:lvlJc w:val="right"/>
      <w:pPr>
        <w:ind w:left="2430" w:hanging="180"/>
      </w:pPr>
    </w:lvl>
    <w:lvl w:ilvl="3" w:tplc="2C0A000F" w:tentative="1">
      <w:start w:val="1"/>
      <w:numFmt w:val="decimal"/>
      <w:lvlText w:val="%4."/>
      <w:lvlJc w:val="left"/>
      <w:pPr>
        <w:ind w:left="3150" w:hanging="360"/>
      </w:pPr>
    </w:lvl>
    <w:lvl w:ilvl="4" w:tplc="2C0A0019" w:tentative="1">
      <w:start w:val="1"/>
      <w:numFmt w:val="lowerLetter"/>
      <w:lvlText w:val="%5."/>
      <w:lvlJc w:val="left"/>
      <w:pPr>
        <w:ind w:left="3870" w:hanging="360"/>
      </w:pPr>
    </w:lvl>
    <w:lvl w:ilvl="5" w:tplc="2C0A001B" w:tentative="1">
      <w:start w:val="1"/>
      <w:numFmt w:val="lowerRoman"/>
      <w:lvlText w:val="%6."/>
      <w:lvlJc w:val="right"/>
      <w:pPr>
        <w:ind w:left="4590" w:hanging="180"/>
      </w:pPr>
    </w:lvl>
    <w:lvl w:ilvl="6" w:tplc="2C0A000F" w:tentative="1">
      <w:start w:val="1"/>
      <w:numFmt w:val="decimal"/>
      <w:lvlText w:val="%7."/>
      <w:lvlJc w:val="left"/>
      <w:pPr>
        <w:ind w:left="5310" w:hanging="360"/>
      </w:pPr>
    </w:lvl>
    <w:lvl w:ilvl="7" w:tplc="2C0A0019" w:tentative="1">
      <w:start w:val="1"/>
      <w:numFmt w:val="lowerLetter"/>
      <w:lvlText w:val="%8."/>
      <w:lvlJc w:val="left"/>
      <w:pPr>
        <w:ind w:left="6030" w:hanging="360"/>
      </w:pPr>
    </w:lvl>
    <w:lvl w:ilvl="8" w:tplc="2C0A001B" w:tentative="1">
      <w:start w:val="1"/>
      <w:numFmt w:val="lowerRoman"/>
      <w:lvlText w:val="%9."/>
      <w:lvlJc w:val="right"/>
      <w:pPr>
        <w:ind w:left="675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70C0E4A"/>
    <w:multiLevelType w:val="hybridMultilevel"/>
    <w:tmpl w:val="36748DBC"/>
    <w:lvl w:ilvl="0" w:tplc="F06ADAA6">
      <w:start w:val="1"/>
      <w:numFmt w:val="upperRoman"/>
      <w:pStyle w:val="Heading1"/>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DB44423"/>
    <w:multiLevelType w:val="hybridMultilevel"/>
    <w:tmpl w:val="A8843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60"/>
  </w:num>
  <w:num w:numId="4">
    <w:abstractNumId w:val="26"/>
  </w:num>
  <w:num w:numId="5">
    <w:abstractNumId w:val="54"/>
  </w:num>
  <w:num w:numId="6">
    <w:abstractNumId w:val="31"/>
  </w:num>
  <w:num w:numId="7">
    <w:abstractNumId w:val="9"/>
  </w:num>
  <w:num w:numId="8">
    <w:abstractNumId w:val="21"/>
  </w:num>
  <w:num w:numId="9">
    <w:abstractNumId w:val="49"/>
  </w:num>
  <w:num w:numId="10">
    <w:abstractNumId w:val="1"/>
  </w:num>
  <w:num w:numId="11">
    <w:abstractNumId w:val="41"/>
  </w:num>
  <w:num w:numId="12">
    <w:abstractNumId w:val="42"/>
  </w:num>
  <w:num w:numId="13">
    <w:abstractNumId w:val="50"/>
  </w:num>
  <w:num w:numId="14">
    <w:abstractNumId w:val="2"/>
  </w:num>
  <w:num w:numId="15">
    <w:abstractNumId w:val="4"/>
  </w:num>
  <w:num w:numId="16">
    <w:abstractNumId w:val="10"/>
  </w:num>
  <w:num w:numId="17">
    <w:abstractNumId w:val="11"/>
  </w:num>
  <w:num w:numId="18">
    <w:abstractNumId w:val="12"/>
  </w:num>
  <w:num w:numId="19">
    <w:abstractNumId w:val="13"/>
  </w:num>
  <w:num w:numId="20">
    <w:abstractNumId w:val="15"/>
  </w:num>
  <w:num w:numId="21">
    <w:abstractNumId w:val="16"/>
  </w:num>
  <w:num w:numId="22">
    <w:abstractNumId w:val="17"/>
  </w:num>
  <w:num w:numId="23">
    <w:abstractNumId w:val="18"/>
  </w:num>
  <w:num w:numId="24">
    <w:abstractNumId w:val="19"/>
  </w:num>
  <w:num w:numId="25">
    <w:abstractNumId w:val="22"/>
  </w:num>
  <w:num w:numId="26">
    <w:abstractNumId w:val="23"/>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40"/>
  </w:num>
  <w:num w:numId="39">
    <w:abstractNumId w:val="46"/>
  </w:num>
  <w:num w:numId="40">
    <w:abstractNumId w:val="47"/>
  </w:num>
  <w:num w:numId="41">
    <w:abstractNumId w:val="52"/>
  </w:num>
  <w:num w:numId="42">
    <w:abstractNumId w:val="56"/>
  </w:num>
  <w:num w:numId="43">
    <w:abstractNumId w:val="57"/>
  </w:num>
  <w:num w:numId="44">
    <w:abstractNumId w:val="58"/>
  </w:num>
  <w:num w:numId="45">
    <w:abstractNumId w:val="59"/>
  </w:num>
  <w:num w:numId="46">
    <w:abstractNumId w:val="61"/>
  </w:num>
  <w:num w:numId="47">
    <w:abstractNumId w:val="62"/>
  </w:num>
  <w:num w:numId="48">
    <w:abstractNumId w:val="63"/>
  </w:num>
  <w:num w:numId="49">
    <w:abstractNumId w:val="65"/>
  </w:num>
  <w:num w:numId="50">
    <w:abstractNumId w:val="66"/>
  </w:num>
  <w:num w:numId="51">
    <w:abstractNumId w:val="25"/>
  </w:num>
  <w:num w:numId="52">
    <w:abstractNumId w:val="48"/>
  </w:num>
  <w:num w:numId="53">
    <w:abstractNumId w:val="51"/>
  </w:num>
  <w:num w:numId="54">
    <w:abstractNumId w:val="53"/>
  </w:num>
  <w:num w:numId="55">
    <w:abstractNumId w:val="5"/>
  </w:num>
  <w:num w:numId="56">
    <w:abstractNumId w:val="64"/>
  </w:num>
  <w:num w:numId="57">
    <w:abstractNumId w:val="55"/>
  </w:num>
  <w:num w:numId="58">
    <w:abstractNumId w:val="39"/>
  </w:num>
  <w:num w:numId="59">
    <w:abstractNumId w:val="8"/>
  </w:num>
  <w:num w:numId="60">
    <w:abstractNumId w:val="24"/>
  </w:num>
  <w:num w:numId="61">
    <w:abstractNumId w:val="14"/>
  </w:num>
  <w:num w:numId="62">
    <w:abstractNumId w:val="44"/>
  </w:num>
  <w:num w:numId="63">
    <w:abstractNumId w:val="3"/>
  </w:num>
  <w:num w:numId="64">
    <w:abstractNumId w:val="43"/>
  </w:num>
  <w:num w:numId="65">
    <w:abstractNumId w:val="0"/>
  </w:num>
  <w:num w:numId="66">
    <w:abstractNumId w:val="3"/>
    <w:lvlOverride w:ilvl="0">
      <w:startOverride w:val="1"/>
    </w:lvlOverride>
  </w:num>
  <w:num w:numId="67">
    <w:abstractNumId w:val="20"/>
  </w:num>
  <w:num w:numId="68">
    <w:abstractNumId w:val="45"/>
  </w:num>
  <w:num w:numId="69">
    <w:abstractNumId w:val="3"/>
    <w:lvlOverride w:ilvl="0">
      <w:startOverride w:val="1"/>
    </w:lvlOverride>
  </w:num>
  <w:num w:numId="70">
    <w:abstractNumId w:val="3"/>
  </w:num>
  <w:num w:numId="71">
    <w:abstractNumId w:val="5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505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1D6"/>
    <w:rsid w:val="0000036F"/>
    <w:rsid w:val="0000060F"/>
    <w:rsid w:val="00000CDA"/>
    <w:rsid w:val="00005B11"/>
    <w:rsid w:val="00006E1F"/>
    <w:rsid w:val="000070D7"/>
    <w:rsid w:val="00010155"/>
    <w:rsid w:val="00010DF5"/>
    <w:rsid w:val="0001484F"/>
    <w:rsid w:val="00015BCE"/>
    <w:rsid w:val="00017459"/>
    <w:rsid w:val="00017822"/>
    <w:rsid w:val="0001788C"/>
    <w:rsid w:val="00021B5D"/>
    <w:rsid w:val="00027391"/>
    <w:rsid w:val="00030F8D"/>
    <w:rsid w:val="00031128"/>
    <w:rsid w:val="0003393A"/>
    <w:rsid w:val="00035423"/>
    <w:rsid w:val="00040C3A"/>
    <w:rsid w:val="00041323"/>
    <w:rsid w:val="00041810"/>
    <w:rsid w:val="00043289"/>
    <w:rsid w:val="0005428C"/>
    <w:rsid w:val="0005458C"/>
    <w:rsid w:val="00055252"/>
    <w:rsid w:val="000559AB"/>
    <w:rsid w:val="000606B7"/>
    <w:rsid w:val="00063507"/>
    <w:rsid w:val="000645DE"/>
    <w:rsid w:val="00064E26"/>
    <w:rsid w:val="0006550A"/>
    <w:rsid w:val="00065C62"/>
    <w:rsid w:val="00070209"/>
    <w:rsid w:val="000716C5"/>
    <w:rsid w:val="00071CFE"/>
    <w:rsid w:val="00071F87"/>
    <w:rsid w:val="000727BA"/>
    <w:rsid w:val="00072B9D"/>
    <w:rsid w:val="00075E23"/>
    <w:rsid w:val="00075EEE"/>
    <w:rsid w:val="00077999"/>
    <w:rsid w:val="00082C0F"/>
    <w:rsid w:val="00083E5B"/>
    <w:rsid w:val="00084399"/>
    <w:rsid w:val="00084D3B"/>
    <w:rsid w:val="000853E5"/>
    <w:rsid w:val="00086E86"/>
    <w:rsid w:val="00086ECC"/>
    <w:rsid w:val="0008734C"/>
    <w:rsid w:val="00092937"/>
    <w:rsid w:val="0009344A"/>
    <w:rsid w:val="00095CC4"/>
    <w:rsid w:val="0009670E"/>
    <w:rsid w:val="00096FA6"/>
    <w:rsid w:val="000975D1"/>
    <w:rsid w:val="000A392E"/>
    <w:rsid w:val="000A4616"/>
    <w:rsid w:val="000A575F"/>
    <w:rsid w:val="000A6511"/>
    <w:rsid w:val="000B23D0"/>
    <w:rsid w:val="000B3023"/>
    <w:rsid w:val="000B57A1"/>
    <w:rsid w:val="000B687B"/>
    <w:rsid w:val="000B7B84"/>
    <w:rsid w:val="000C1D6A"/>
    <w:rsid w:val="000C29AD"/>
    <w:rsid w:val="000C2B42"/>
    <w:rsid w:val="000C2EF9"/>
    <w:rsid w:val="000C3711"/>
    <w:rsid w:val="000C4CB7"/>
    <w:rsid w:val="000C4D90"/>
    <w:rsid w:val="000C5645"/>
    <w:rsid w:val="000C72F9"/>
    <w:rsid w:val="000D10DB"/>
    <w:rsid w:val="000D5297"/>
    <w:rsid w:val="000E0C69"/>
    <w:rsid w:val="000E35A2"/>
    <w:rsid w:val="000E5EB5"/>
    <w:rsid w:val="000E6B91"/>
    <w:rsid w:val="000F00CB"/>
    <w:rsid w:val="000F11D6"/>
    <w:rsid w:val="000F144D"/>
    <w:rsid w:val="000F208E"/>
    <w:rsid w:val="000F35ED"/>
    <w:rsid w:val="000F646C"/>
    <w:rsid w:val="000F71CD"/>
    <w:rsid w:val="00101629"/>
    <w:rsid w:val="00107131"/>
    <w:rsid w:val="0010736F"/>
    <w:rsid w:val="0010765F"/>
    <w:rsid w:val="0011261B"/>
    <w:rsid w:val="001128D5"/>
    <w:rsid w:val="00113F73"/>
    <w:rsid w:val="00114741"/>
    <w:rsid w:val="00115216"/>
    <w:rsid w:val="00117B28"/>
    <w:rsid w:val="00121CC2"/>
    <w:rsid w:val="00121E33"/>
    <w:rsid w:val="00124D62"/>
    <w:rsid w:val="001263D6"/>
    <w:rsid w:val="001278E1"/>
    <w:rsid w:val="00127C65"/>
    <w:rsid w:val="00131D6E"/>
    <w:rsid w:val="00133EE5"/>
    <w:rsid w:val="00136E68"/>
    <w:rsid w:val="00137B1C"/>
    <w:rsid w:val="00144113"/>
    <w:rsid w:val="0014695A"/>
    <w:rsid w:val="00156EE3"/>
    <w:rsid w:val="0015748C"/>
    <w:rsid w:val="001607E9"/>
    <w:rsid w:val="001616D2"/>
    <w:rsid w:val="00162518"/>
    <w:rsid w:val="00162FAB"/>
    <w:rsid w:val="00165AA8"/>
    <w:rsid w:val="00166157"/>
    <w:rsid w:val="0016691B"/>
    <w:rsid w:val="00167A34"/>
    <w:rsid w:val="00170D9A"/>
    <w:rsid w:val="00171D37"/>
    <w:rsid w:val="00175072"/>
    <w:rsid w:val="00176475"/>
    <w:rsid w:val="00180502"/>
    <w:rsid w:val="00181BFA"/>
    <w:rsid w:val="00183973"/>
    <w:rsid w:val="00183DC0"/>
    <w:rsid w:val="00183E63"/>
    <w:rsid w:val="001840B7"/>
    <w:rsid w:val="00184159"/>
    <w:rsid w:val="00190921"/>
    <w:rsid w:val="00196814"/>
    <w:rsid w:val="001978D3"/>
    <w:rsid w:val="001A09BF"/>
    <w:rsid w:val="001A0C21"/>
    <w:rsid w:val="001A12B0"/>
    <w:rsid w:val="001A1402"/>
    <w:rsid w:val="001A370E"/>
    <w:rsid w:val="001A7870"/>
    <w:rsid w:val="001B29B3"/>
    <w:rsid w:val="001B3781"/>
    <w:rsid w:val="001B39B5"/>
    <w:rsid w:val="001B61F0"/>
    <w:rsid w:val="001B7DE5"/>
    <w:rsid w:val="001C1B41"/>
    <w:rsid w:val="001C201C"/>
    <w:rsid w:val="001C6536"/>
    <w:rsid w:val="001C71C9"/>
    <w:rsid w:val="001C7EBD"/>
    <w:rsid w:val="001D18A3"/>
    <w:rsid w:val="001D4ABD"/>
    <w:rsid w:val="001D4F51"/>
    <w:rsid w:val="001D5C04"/>
    <w:rsid w:val="001D65EF"/>
    <w:rsid w:val="001D7891"/>
    <w:rsid w:val="001D78F2"/>
    <w:rsid w:val="001E0A2A"/>
    <w:rsid w:val="001E21D6"/>
    <w:rsid w:val="001E2205"/>
    <w:rsid w:val="001E233D"/>
    <w:rsid w:val="001E28A4"/>
    <w:rsid w:val="001F52EB"/>
    <w:rsid w:val="001F5F81"/>
    <w:rsid w:val="001F619B"/>
    <w:rsid w:val="001F6E96"/>
    <w:rsid w:val="00201202"/>
    <w:rsid w:val="00203A2C"/>
    <w:rsid w:val="002066EB"/>
    <w:rsid w:val="00207892"/>
    <w:rsid w:val="00213B03"/>
    <w:rsid w:val="002142AE"/>
    <w:rsid w:val="0021533C"/>
    <w:rsid w:val="00215F21"/>
    <w:rsid w:val="00217A75"/>
    <w:rsid w:val="0022132A"/>
    <w:rsid w:val="0022165B"/>
    <w:rsid w:val="00223175"/>
    <w:rsid w:val="002250A3"/>
    <w:rsid w:val="00226BD0"/>
    <w:rsid w:val="0023330E"/>
    <w:rsid w:val="00235217"/>
    <w:rsid w:val="00236D5F"/>
    <w:rsid w:val="002372AF"/>
    <w:rsid w:val="002409D9"/>
    <w:rsid w:val="00243228"/>
    <w:rsid w:val="00243C44"/>
    <w:rsid w:val="002457E7"/>
    <w:rsid w:val="00245A1A"/>
    <w:rsid w:val="00246D1F"/>
    <w:rsid w:val="00247403"/>
    <w:rsid w:val="00247542"/>
    <w:rsid w:val="002516D0"/>
    <w:rsid w:val="00252527"/>
    <w:rsid w:val="0025275E"/>
    <w:rsid w:val="002529BA"/>
    <w:rsid w:val="00252DA5"/>
    <w:rsid w:val="0025324D"/>
    <w:rsid w:val="002533E3"/>
    <w:rsid w:val="0025385C"/>
    <w:rsid w:val="00253A93"/>
    <w:rsid w:val="0025516D"/>
    <w:rsid w:val="0025691F"/>
    <w:rsid w:val="002575B0"/>
    <w:rsid w:val="0026139E"/>
    <w:rsid w:val="0026152F"/>
    <w:rsid w:val="00261DC1"/>
    <w:rsid w:val="00262778"/>
    <w:rsid w:val="00263865"/>
    <w:rsid w:val="00263B86"/>
    <w:rsid w:val="002657EC"/>
    <w:rsid w:val="00266B61"/>
    <w:rsid w:val="0026712A"/>
    <w:rsid w:val="002704DB"/>
    <w:rsid w:val="002740B6"/>
    <w:rsid w:val="002753E8"/>
    <w:rsid w:val="002755A8"/>
    <w:rsid w:val="00277158"/>
    <w:rsid w:val="002778A1"/>
    <w:rsid w:val="00280A1E"/>
    <w:rsid w:val="00281918"/>
    <w:rsid w:val="002847DD"/>
    <w:rsid w:val="00286994"/>
    <w:rsid w:val="00287555"/>
    <w:rsid w:val="00287767"/>
    <w:rsid w:val="002913F6"/>
    <w:rsid w:val="002958BB"/>
    <w:rsid w:val="00296B5B"/>
    <w:rsid w:val="00296F29"/>
    <w:rsid w:val="002A0011"/>
    <w:rsid w:val="002A0AAE"/>
    <w:rsid w:val="002A1184"/>
    <w:rsid w:val="002A2CA3"/>
    <w:rsid w:val="002A3811"/>
    <w:rsid w:val="002A5820"/>
    <w:rsid w:val="002B48A7"/>
    <w:rsid w:val="002B61E0"/>
    <w:rsid w:val="002B631F"/>
    <w:rsid w:val="002B6A9B"/>
    <w:rsid w:val="002B6FC5"/>
    <w:rsid w:val="002B76AA"/>
    <w:rsid w:val="002C22A1"/>
    <w:rsid w:val="002C25B5"/>
    <w:rsid w:val="002C5E68"/>
    <w:rsid w:val="002D1E3D"/>
    <w:rsid w:val="002D2B26"/>
    <w:rsid w:val="002D4B06"/>
    <w:rsid w:val="002D4E73"/>
    <w:rsid w:val="002D58E4"/>
    <w:rsid w:val="002D603D"/>
    <w:rsid w:val="002D6C92"/>
    <w:rsid w:val="002D7022"/>
    <w:rsid w:val="002D7EA2"/>
    <w:rsid w:val="002E187C"/>
    <w:rsid w:val="002E23FD"/>
    <w:rsid w:val="002E3813"/>
    <w:rsid w:val="002E387C"/>
    <w:rsid w:val="002F0727"/>
    <w:rsid w:val="002F273E"/>
    <w:rsid w:val="002F3E4D"/>
    <w:rsid w:val="002F417B"/>
    <w:rsid w:val="002F50D7"/>
    <w:rsid w:val="002F65C5"/>
    <w:rsid w:val="002F6B67"/>
    <w:rsid w:val="002F79ED"/>
    <w:rsid w:val="003023CC"/>
    <w:rsid w:val="00302613"/>
    <w:rsid w:val="00302733"/>
    <w:rsid w:val="003070F1"/>
    <w:rsid w:val="00307D0A"/>
    <w:rsid w:val="00314078"/>
    <w:rsid w:val="003148C4"/>
    <w:rsid w:val="0031535D"/>
    <w:rsid w:val="003173A4"/>
    <w:rsid w:val="00324884"/>
    <w:rsid w:val="00324CE3"/>
    <w:rsid w:val="003306C0"/>
    <w:rsid w:val="0033169F"/>
    <w:rsid w:val="00335B7F"/>
    <w:rsid w:val="00340607"/>
    <w:rsid w:val="0034073A"/>
    <w:rsid w:val="00343765"/>
    <w:rsid w:val="00346C95"/>
    <w:rsid w:val="00347DFB"/>
    <w:rsid w:val="003524B8"/>
    <w:rsid w:val="0035384B"/>
    <w:rsid w:val="00356185"/>
    <w:rsid w:val="0035709B"/>
    <w:rsid w:val="00360380"/>
    <w:rsid w:val="00362B3C"/>
    <w:rsid w:val="00365006"/>
    <w:rsid w:val="00365B97"/>
    <w:rsid w:val="003676A3"/>
    <w:rsid w:val="003678F0"/>
    <w:rsid w:val="00370440"/>
    <w:rsid w:val="00371A2A"/>
    <w:rsid w:val="00373B0D"/>
    <w:rsid w:val="00374D27"/>
    <w:rsid w:val="0037519E"/>
    <w:rsid w:val="00380264"/>
    <w:rsid w:val="00384A58"/>
    <w:rsid w:val="00385B7B"/>
    <w:rsid w:val="00386243"/>
    <w:rsid w:val="0038685F"/>
    <w:rsid w:val="00386CF0"/>
    <w:rsid w:val="00386E47"/>
    <w:rsid w:val="00392335"/>
    <w:rsid w:val="00396DC4"/>
    <w:rsid w:val="00397A09"/>
    <w:rsid w:val="00397D76"/>
    <w:rsid w:val="003A03EB"/>
    <w:rsid w:val="003A29A1"/>
    <w:rsid w:val="003A4943"/>
    <w:rsid w:val="003A5860"/>
    <w:rsid w:val="003A5A1C"/>
    <w:rsid w:val="003A5ACC"/>
    <w:rsid w:val="003A6A1C"/>
    <w:rsid w:val="003A77AE"/>
    <w:rsid w:val="003B4C5B"/>
    <w:rsid w:val="003B5D03"/>
    <w:rsid w:val="003B7C1C"/>
    <w:rsid w:val="003C1378"/>
    <w:rsid w:val="003C1E63"/>
    <w:rsid w:val="003C20E3"/>
    <w:rsid w:val="003C2510"/>
    <w:rsid w:val="003C676B"/>
    <w:rsid w:val="003C7EA3"/>
    <w:rsid w:val="003D1B09"/>
    <w:rsid w:val="003D23F8"/>
    <w:rsid w:val="003D3BC2"/>
    <w:rsid w:val="003D3D83"/>
    <w:rsid w:val="003D4AE0"/>
    <w:rsid w:val="003D4BC0"/>
    <w:rsid w:val="003D55E1"/>
    <w:rsid w:val="003D7176"/>
    <w:rsid w:val="003E2177"/>
    <w:rsid w:val="003E67F8"/>
    <w:rsid w:val="003E6CA1"/>
    <w:rsid w:val="003F0020"/>
    <w:rsid w:val="003F1151"/>
    <w:rsid w:val="003F1B50"/>
    <w:rsid w:val="003F1BAA"/>
    <w:rsid w:val="003F4393"/>
    <w:rsid w:val="00400177"/>
    <w:rsid w:val="00400AD7"/>
    <w:rsid w:val="00402A9D"/>
    <w:rsid w:val="00402D44"/>
    <w:rsid w:val="0040323D"/>
    <w:rsid w:val="00403250"/>
    <w:rsid w:val="004032FB"/>
    <w:rsid w:val="00405E3A"/>
    <w:rsid w:val="004106E0"/>
    <w:rsid w:val="0041144C"/>
    <w:rsid w:val="00413F60"/>
    <w:rsid w:val="00414369"/>
    <w:rsid w:val="004165C2"/>
    <w:rsid w:val="0042231B"/>
    <w:rsid w:val="00422C77"/>
    <w:rsid w:val="004231AB"/>
    <w:rsid w:val="00423389"/>
    <w:rsid w:val="004274FA"/>
    <w:rsid w:val="004301F7"/>
    <w:rsid w:val="00430A40"/>
    <w:rsid w:val="00430CA7"/>
    <w:rsid w:val="00434A46"/>
    <w:rsid w:val="0043628D"/>
    <w:rsid w:val="00441ECB"/>
    <w:rsid w:val="004432A5"/>
    <w:rsid w:val="00444CA1"/>
    <w:rsid w:val="0045048C"/>
    <w:rsid w:val="00451B75"/>
    <w:rsid w:val="004537E3"/>
    <w:rsid w:val="00462681"/>
    <w:rsid w:val="004662AF"/>
    <w:rsid w:val="00467B7E"/>
    <w:rsid w:val="00473B54"/>
    <w:rsid w:val="00473CD5"/>
    <w:rsid w:val="00473F91"/>
    <w:rsid w:val="0047546B"/>
    <w:rsid w:val="00477317"/>
    <w:rsid w:val="00477592"/>
    <w:rsid w:val="004778D9"/>
    <w:rsid w:val="00481C31"/>
    <w:rsid w:val="004828B2"/>
    <w:rsid w:val="004868C9"/>
    <w:rsid w:val="0048693B"/>
    <w:rsid w:val="00486F1C"/>
    <w:rsid w:val="0049320C"/>
    <w:rsid w:val="0049331D"/>
    <w:rsid w:val="0049419D"/>
    <w:rsid w:val="00495DB1"/>
    <w:rsid w:val="0049683A"/>
    <w:rsid w:val="00497058"/>
    <w:rsid w:val="004A09E0"/>
    <w:rsid w:val="004A3C4C"/>
    <w:rsid w:val="004A5A19"/>
    <w:rsid w:val="004B0F57"/>
    <w:rsid w:val="004B1571"/>
    <w:rsid w:val="004B36B6"/>
    <w:rsid w:val="004B5173"/>
    <w:rsid w:val="004B548A"/>
    <w:rsid w:val="004B70E4"/>
    <w:rsid w:val="004B7DD9"/>
    <w:rsid w:val="004C20D2"/>
    <w:rsid w:val="004C30C7"/>
    <w:rsid w:val="004C42C7"/>
    <w:rsid w:val="004C4B62"/>
    <w:rsid w:val="004C54C9"/>
    <w:rsid w:val="004C6C64"/>
    <w:rsid w:val="004C7D54"/>
    <w:rsid w:val="004D22AC"/>
    <w:rsid w:val="004D6025"/>
    <w:rsid w:val="004E2649"/>
    <w:rsid w:val="004E2EA6"/>
    <w:rsid w:val="004E5DC8"/>
    <w:rsid w:val="004E70D0"/>
    <w:rsid w:val="004F019B"/>
    <w:rsid w:val="004F16B0"/>
    <w:rsid w:val="004F59D9"/>
    <w:rsid w:val="00501399"/>
    <w:rsid w:val="005022A8"/>
    <w:rsid w:val="00503BB1"/>
    <w:rsid w:val="005055B9"/>
    <w:rsid w:val="005062B1"/>
    <w:rsid w:val="0050633D"/>
    <w:rsid w:val="00507BC4"/>
    <w:rsid w:val="00510BB1"/>
    <w:rsid w:val="005120EA"/>
    <w:rsid w:val="005128E4"/>
    <w:rsid w:val="005133DB"/>
    <w:rsid w:val="00515B83"/>
    <w:rsid w:val="00516422"/>
    <w:rsid w:val="00521BC4"/>
    <w:rsid w:val="005228B5"/>
    <w:rsid w:val="00524888"/>
    <w:rsid w:val="00525560"/>
    <w:rsid w:val="0053105B"/>
    <w:rsid w:val="0053441A"/>
    <w:rsid w:val="005345F1"/>
    <w:rsid w:val="00534D79"/>
    <w:rsid w:val="005365ED"/>
    <w:rsid w:val="00536704"/>
    <w:rsid w:val="00540E60"/>
    <w:rsid w:val="00544816"/>
    <w:rsid w:val="00544C49"/>
    <w:rsid w:val="00550220"/>
    <w:rsid w:val="00550CA0"/>
    <w:rsid w:val="005516A1"/>
    <w:rsid w:val="00553B08"/>
    <w:rsid w:val="00556032"/>
    <w:rsid w:val="00561200"/>
    <w:rsid w:val="005634D2"/>
    <w:rsid w:val="0056350A"/>
    <w:rsid w:val="00567949"/>
    <w:rsid w:val="00571172"/>
    <w:rsid w:val="00571F65"/>
    <w:rsid w:val="00572A62"/>
    <w:rsid w:val="005735CD"/>
    <w:rsid w:val="0057402A"/>
    <w:rsid w:val="00574033"/>
    <w:rsid w:val="005757AE"/>
    <w:rsid w:val="005771D0"/>
    <w:rsid w:val="005817B1"/>
    <w:rsid w:val="00584B30"/>
    <w:rsid w:val="0059191A"/>
    <w:rsid w:val="005921FF"/>
    <w:rsid w:val="00593C52"/>
    <w:rsid w:val="00594429"/>
    <w:rsid w:val="00595085"/>
    <w:rsid w:val="005950E4"/>
    <w:rsid w:val="0059511A"/>
    <w:rsid w:val="005A0FC7"/>
    <w:rsid w:val="005A16DA"/>
    <w:rsid w:val="005A1AFD"/>
    <w:rsid w:val="005A1B36"/>
    <w:rsid w:val="005A271C"/>
    <w:rsid w:val="005A27AF"/>
    <w:rsid w:val="005A29A3"/>
    <w:rsid w:val="005A5C09"/>
    <w:rsid w:val="005A658D"/>
    <w:rsid w:val="005A65DD"/>
    <w:rsid w:val="005A6D0E"/>
    <w:rsid w:val="005A7A71"/>
    <w:rsid w:val="005B270C"/>
    <w:rsid w:val="005B3502"/>
    <w:rsid w:val="005B3F8C"/>
    <w:rsid w:val="005B52B0"/>
    <w:rsid w:val="005B671B"/>
    <w:rsid w:val="005B6806"/>
    <w:rsid w:val="005C15B1"/>
    <w:rsid w:val="005C4225"/>
    <w:rsid w:val="005C5085"/>
    <w:rsid w:val="005C61E6"/>
    <w:rsid w:val="005C7C9D"/>
    <w:rsid w:val="005E046D"/>
    <w:rsid w:val="005E09EA"/>
    <w:rsid w:val="005E2337"/>
    <w:rsid w:val="005E2491"/>
    <w:rsid w:val="005E54E1"/>
    <w:rsid w:val="005E5F25"/>
    <w:rsid w:val="005F0ACA"/>
    <w:rsid w:val="005F0DAD"/>
    <w:rsid w:val="005F0F33"/>
    <w:rsid w:val="005F4AB9"/>
    <w:rsid w:val="005F74D2"/>
    <w:rsid w:val="00600DEB"/>
    <w:rsid w:val="00600E77"/>
    <w:rsid w:val="006013BC"/>
    <w:rsid w:val="00601936"/>
    <w:rsid w:val="00602E99"/>
    <w:rsid w:val="0060659B"/>
    <w:rsid w:val="00607623"/>
    <w:rsid w:val="0061209E"/>
    <w:rsid w:val="00615A1C"/>
    <w:rsid w:val="0062190F"/>
    <w:rsid w:val="006246FE"/>
    <w:rsid w:val="0062498A"/>
    <w:rsid w:val="00626E71"/>
    <w:rsid w:val="0062716C"/>
    <w:rsid w:val="00627C9F"/>
    <w:rsid w:val="00630449"/>
    <w:rsid w:val="006311E9"/>
    <w:rsid w:val="00632354"/>
    <w:rsid w:val="00633B9B"/>
    <w:rsid w:val="00636925"/>
    <w:rsid w:val="00640EFC"/>
    <w:rsid w:val="006427CC"/>
    <w:rsid w:val="00642810"/>
    <w:rsid w:val="00644B93"/>
    <w:rsid w:val="006463F9"/>
    <w:rsid w:val="00647300"/>
    <w:rsid w:val="00652333"/>
    <w:rsid w:val="00652D6D"/>
    <w:rsid w:val="006532AC"/>
    <w:rsid w:val="006533F1"/>
    <w:rsid w:val="006535CE"/>
    <w:rsid w:val="00657C60"/>
    <w:rsid w:val="0066097F"/>
    <w:rsid w:val="00661C64"/>
    <w:rsid w:val="00664CCF"/>
    <w:rsid w:val="00666C4E"/>
    <w:rsid w:val="00667ABA"/>
    <w:rsid w:val="00667DDF"/>
    <w:rsid w:val="00671D5A"/>
    <w:rsid w:val="00672356"/>
    <w:rsid w:val="00672ABF"/>
    <w:rsid w:val="00677F63"/>
    <w:rsid w:val="0068009E"/>
    <w:rsid w:val="006812DA"/>
    <w:rsid w:val="00682AF2"/>
    <w:rsid w:val="00683038"/>
    <w:rsid w:val="0068310D"/>
    <w:rsid w:val="0068449F"/>
    <w:rsid w:val="006845EA"/>
    <w:rsid w:val="00690253"/>
    <w:rsid w:val="00692219"/>
    <w:rsid w:val="006928A0"/>
    <w:rsid w:val="0069541F"/>
    <w:rsid w:val="00695A4E"/>
    <w:rsid w:val="00696B8D"/>
    <w:rsid w:val="006A02D9"/>
    <w:rsid w:val="006A0C6A"/>
    <w:rsid w:val="006A0C6C"/>
    <w:rsid w:val="006A10F8"/>
    <w:rsid w:val="006A17D2"/>
    <w:rsid w:val="006A1A41"/>
    <w:rsid w:val="006A1FC1"/>
    <w:rsid w:val="006A4C9A"/>
    <w:rsid w:val="006A73E6"/>
    <w:rsid w:val="006B2D5C"/>
    <w:rsid w:val="006B795B"/>
    <w:rsid w:val="006C0095"/>
    <w:rsid w:val="006C4EB1"/>
    <w:rsid w:val="006C5BDC"/>
    <w:rsid w:val="006C5D77"/>
    <w:rsid w:val="006D2761"/>
    <w:rsid w:val="006D3C3A"/>
    <w:rsid w:val="006D66B1"/>
    <w:rsid w:val="006E0166"/>
    <w:rsid w:val="006E271B"/>
    <w:rsid w:val="006E5444"/>
    <w:rsid w:val="006E7B34"/>
    <w:rsid w:val="006F14A5"/>
    <w:rsid w:val="006F24CF"/>
    <w:rsid w:val="006F3658"/>
    <w:rsid w:val="006F44B1"/>
    <w:rsid w:val="006F63DE"/>
    <w:rsid w:val="00701B67"/>
    <w:rsid w:val="007039E1"/>
    <w:rsid w:val="00703BC3"/>
    <w:rsid w:val="00706394"/>
    <w:rsid w:val="0070697F"/>
    <w:rsid w:val="007119B5"/>
    <w:rsid w:val="007124F3"/>
    <w:rsid w:val="00713782"/>
    <w:rsid w:val="007146CB"/>
    <w:rsid w:val="0071718D"/>
    <w:rsid w:val="0072036C"/>
    <w:rsid w:val="0072199C"/>
    <w:rsid w:val="007229D9"/>
    <w:rsid w:val="00722A4B"/>
    <w:rsid w:val="00722C9F"/>
    <w:rsid w:val="007232EB"/>
    <w:rsid w:val="007253B8"/>
    <w:rsid w:val="00727833"/>
    <w:rsid w:val="00731B60"/>
    <w:rsid w:val="00736DDE"/>
    <w:rsid w:val="0073741F"/>
    <w:rsid w:val="0074128B"/>
    <w:rsid w:val="00743025"/>
    <w:rsid w:val="007465AE"/>
    <w:rsid w:val="007511E3"/>
    <w:rsid w:val="007603F5"/>
    <w:rsid w:val="007614EA"/>
    <w:rsid w:val="00764BCB"/>
    <w:rsid w:val="0076643F"/>
    <w:rsid w:val="0076793C"/>
    <w:rsid w:val="00770388"/>
    <w:rsid w:val="00771C0C"/>
    <w:rsid w:val="00776266"/>
    <w:rsid w:val="00776895"/>
    <w:rsid w:val="00777F63"/>
    <w:rsid w:val="00787972"/>
    <w:rsid w:val="00790369"/>
    <w:rsid w:val="007907EB"/>
    <w:rsid w:val="007917A2"/>
    <w:rsid w:val="00797C76"/>
    <w:rsid w:val="007A0537"/>
    <w:rsid w:val="007A42D9"/>
    <w:rsid w:val="007A4ED3"/>
    <w:rsid w:val="007A5817"/>
    <w:rsid w:val="007A6186"/>
    <w:rsid w:val="007B3D41"/>
    <w:rsid w:val="007B60E9"/>
    <w:rsid w:val="007B61D4"/>
    <w:rsid w:val="007B69A0"/>
    <w:rsid w:val="007B6CC3"/>
    <w:rsid w:val="007C3334"/>
    <w:rsid w:val="007C4B9E"/>
    <w:rsid w:val="007C5348"/>
    <w:rsid w:val="007C7C02"/>
    <w:rsid w:val="007D1821"/>
    <w:rsid w:val="007D2B98"/>
    <w:rsid w:val="007D322F"/>
    <w:rsid w:val="007D7A14"/>
    <w:rsid w:val="007E21BC"/>
    <w:rsid w:val="007E2E66"/>
    <w:rsid w:val="007E5792"/>
    <w:rsid w:val="007E68F9"/>
    <w:rsid w:val="007F1678"/>
    <w:rsid w:val="007F48A5"/>
    <w:rsid w:val="007F4EFD"/>
    <w:rsid w:val="007F5FBE"/>
    <w:rsid w:val="007F64D0"/>
    <w:rsid w:val="00800619"/>
    <w:rsid w:val="008016CF"/>
    <w:rsid w:val="008026D7"/>
    <w:rsid w:val="00803F1C"/>
    <w:rsid w:val="00804A4B"/>
    <w:rsid w:val="00804DA9"/>
    <w:rsid w:val="0080600E"/>
    <w:rsid w:val="00812868"/>
    <w:rsid w:val="008156EC"/>
    <w:rsid w:val="00817612"/>
    <w:rsid w:val="008264BE"/>
    <w:rsid w:val="00826A3B"/>
    <w:rsid w:val="008278E8"/>
    <w:rsid w:val="00831270"/>
    <w:rsid w:val="008338A4"/>
    <w:rsid w:val="00834681"/>
    <w:rsid w:val="00835406"/>
    <w:rsid w:val="00836319"/>
    <w:rsid w:val="00837C45"/>
    <w:rsid w:val="0084011B"/>
    <w:rsid w:val="00840D8A"/>
    <w:rsid w:val="0084315D"/>
    <w:rsid w:val="00844730"/>
    <w:rsid w:val="008457C2"/>
    <w:rsid w:val="00845CE0"/>
    <w:rsid w:val="0084645E"/>
    <w:rsid w:val="00846B28"/>
    <w:rsid w:val="00847C9C"/>
    <w:rsid w:val="00853C49"/>
    <w:rsid w:val="00857A82"/>
    <w:rsid w:val="00861975"/>
    <w:rsid w:val="008656EB"/>
    <w:rsid w:val="00867035"/>
    <w:rsid w:val="00871850"/>
    <w:rsid w:val="00873836"/>
    <w:rsid w:val="0087609A"/>
    <w:rsid w:val="00880A60"/>
    <w:rsid w:val="00880AC9"/>
    <w:rsid w:val="00880D4C"/>
    <w:rsid w:val="00881EBF"/>
    <w:rsid w:val="0088408E"/>
    <w:rsid w:val="00885737"/>
    <w:rsid w:val="00887819"/>
    <w:rsid w:val="00890650"/>
    <w:rsid w:val="00890900"/>
    <w:rsid w:val="00891749"/>
    <w:rsid w:val="00895133"/>
    <w:rsid w:val="00895D1C"/>
    <w:rsid w:val="00896552"/>
    <w:rsid w:val="008966B9"/>
    <w:rsid w:val="0089684A"/>
    <w:rsid w:val="00897E12"/>
    <w:rsid w:val="008A03A7"/>
    <w:rsid w:val="008A2DCD"/>
    <w:rsid w:val="008A40D3"/>
    <w:rsid w:val="008A7E0F"/>
    <w:rsid w:val="008A7E2A"/>
    <w:rsid w:val="008B12F5"/>
    <w:rsid w:val="008B2429"/>
    <w:rsid w:val="008B43FD"/>
    <w:rsid w:val="008B50E6"/>
    <w:rsid w:val="008B5505"/>
    <w:rsid w:val="008B6848"/>
    <w:rsid w:val="008C0F93"/>
    <w:rsid w:val="008C380A"/>
    <w:rsid w:val="008D1506"/>
    <w:rsid w:val="008D768D"/>
    <w:rsid w:val="008D7849"/>
    <w:rsid w:val="008E32C4"/>
    <w:rsid w:val="008E3759"/>
    <w:rsid w:val="008E399E"/>
    <w:rsid w:val="008E3C0E"/>
    <w:rsid w:val="008E6933"/>
    <w:rsid w:val="008E716B"/>
    <w:rsid w:val="008F1912"/>
    <w:rsid w:val="008F1A30"/>
    <w:rsid w:val="008F206A"/>
    <w:rsid w:val="008F2D2C"/>
    <w:rsid w:val="008F3277"/>
    <w:rsid w:val="008F545D"/>
    <w:rsid w:val="0090028B"/>
    <w:rsid w:val="009017AE"/>
    <w:rsid w:val="0090270B"/>
    <w:rsid w:val="009041DC"/>
    <w:rsid w:val="00904564"/>
    <w:rsid w:val="00905FE1"/>
    <w:rsid w:val="00911690"/>
    <w:rsid w:val="009146F2"/>
    <w:rsid w:val="0091493E"/>
    <w:rsid w:val="009176F1"/>
    <w:rsid w:val="00917B5A"/>
    <w:rsid w:val="0092045B"/>
    <w:rsid w:val="00920A58"/>
    <w:rsid w:val="00920A8C"/>
    <w:rsid w:val="00920BA9"/>
    <w:rsid w:val="00922097"/>
    <w:rsid w:val="009230D9"/>
    <w:rsid w:val="0092651C"/>
    <w:rsid w:val="00934A2C"/>
    <w:rsid w:val="009370C2"/>
    <w:rsid w:val="00945190"/>
    <w:rsid w:val="00947BAE"/>
    <w:rsid w:val="00950063"/>
    <w:rsid w:val="00953702"/>
    <w:rsid w:val="0095421C"/>
    <w:rsid w:val="00954D8F"/>
    <w:rsid w:val="009558F8"/>
    <w:rsid w:val="009600B8"/>
    <w:rsid w:val="00960AD0"/>
    <w:rsid w:val="009631D7"/>
    <w:rsid w:val="009634A2"/>
    <w:rsid w:val="0096706E"/>
    <w:rsid w:val="0097207E"/>
    <w:rsid w:val="00974A7E"/>
    <w:rsid w:val="00975C4E"/>
    <w:rsid w:val="00977D46"/>
    <w:rsid w:val="009819AF"/>
    <w:rsid w:val="00981FBA"/>
    <w:rsid w:val="00983687"/>
    <w:rsid w:val="0098796A"/>
    <w:rsid w:val="009916B4"/>
    <w:rsid w:val="00994E77"/>
    <w:rsid w:val="00997162"/>
    <w:rsid w:val="00997BC5"/>
    <w:rsid w:val="009A0110"/>
    <w:rsid w:val="009A4F41"/>
    <w:rsid w:val="009A5B18"/>
    <w:rsid w:val="009B15BC"/>
    <w:rsid w:val="009B1AAD"/>
    <w:rsid w:val="009B347B"/>
    <w:rsid w:val="009B361E"/>
    <w:rsid w:val="009B381B"/>
    <w:rsid w:val="009B4FC3"/>
    <w:rsid w:val="009C2C14"/>
    <w:rsid w:val="009C463D"/>
    <w:rsid w:val="009C7DDD"/>
    <w:rsid w:val="009D1527"/>
    <w:rsid w:val="009D1753"/>
    <w:rsid w:val="009D338B"/>
    <w:rsid w:val="009D3B0D"/>
    <w:rsid w:val="009D3D49"/>
    <w:rsid w:val="009D7611"/>
    <w:rsid w:val="009E0B26"/>
    <w:rsid w:val="009E0B61"/>
    <w:rsid w:val="009E1D55"/>
    <w:rsid w:val="009E48F1"/>
    <w:rsid w:val="009E53DE"/>
    <w:rsid w:val="009E57A1"/>
    <w:rsid w:val="009F1E7B"/>
    <w:rsid w:val="009F45E4"/>
    <w:rsid w:val="009F5F7E"/>
    <w:rsid w:val="009F6B1B"/>
    <w:rsid w:val="009F70EA"/>
    <w:rsid w:val="00A006B7"/>
    <w:rsid w:val="00A02D28"/>
    <w:rsid w:val="00A10010"/>
    <w:rsid w:val="00A13497"/>
    <w:rsid w:val="00A14C28"/>
    <w:rsid w:val="00A170B6"/>
    <w:rsid w:val="00A20875"/>
    <w:rsid w:val="00A20BFC"/>
    <w:rsid w:val="00A22593"/>
    <w:rsid w:val="00A311A0"/>
    <w:rsid w:val="00A328B3"/>
    <w:rsid w:val="00A33088"/>
    <w:rsid w:val="00A34097"/>
    <w:rsid w:val="00A341A6"/>
    <w:rsid w:val="00A34570"/>
    <w:rsid w:val="00A37283"/>
    <w:rsid w:val="00A410DA"/>
    <w:rsid w:val="00A444F8"/>
    <w:rsid w:val="00A47BCE"/>
    <w:rsid w:val="00A5097A"/>
    <w:rsid w:val="00A50FCF"/>
    <w:rsid w:val="00A528D1"/>
    <w:rsid w:val="00A5477D"/>
    <w:rsid w:val="00A55441"/>
    <w:rsid w:val="00A55879"/>
    <w:rsid w:val="00A55AE0"/>
    <w:rsid w:val="00A574EB"/>
    <w:rsid w:val="00A57D5E"/>
    <w:rsid w:val="00A610CD"/>
    <w:rsid w:val="00A62052"/>
    <w:rsid w:val="00A64689"/>
    <w:rsid w:val="00A65787"/>
    <w:rsid w:val="00A658F8"/>
    <w:rsid w:val="00A67BED"/>
    <w:rsid w:val="00A81AB8"/>
    <w:rsid w:val="00A8406C"/>
    <w:rsid w:val="00A85EE4"/>
    <w:rsid w:val="00A86CFA"/>
    <w:rsid w:val="00A926CA"/>
    <w:rsid w:val="00A969ED"/>
    <w:rsid w:val="00AA00D4"/>
    <w:rsid w:val="00AA09A2"/>
    <w:rsid w:val="00AA4012"/>
    <w:rsid w:val="00AA7996"/>
    <w:rsid w:val="00AB017F"/>
    <w:rsid w:val="00AB3DBE"/>
    <w:rsid w:val="00AB4743"/>
    <w:rsid w:val="00AC0549"/>
    <w:rsid w:val="00AC14FE"/>
    <w:rsid w:val="00AC19CB"/>
    <w:rsid w:val="00AC396E"/>
    <w:rsid w:val="00AC5A78"/>
    <w:rsid w:val="00AC6566"/>
    <w:rsid w:val="00AC686F"/>
    <w:rsid w:val="00AC739E"/>
    <w:rsid w:val="00AD06D7"/>
    <w:rsid w:val="00AD0991"/>
    <w:rsid w:val="00AD1C9A"/>
    <w:rsid w:val="00AD270D"/>
    <w:rsid w:val="00AD6467"/>
    <w:rsid w:val="00AD708E"/>
    <w:rsid w:val="00AE280D"/>
    <w:rsid w:val="00AE2CE1"/>
    <w:rsid w:val="00AE5488"/>
    <w:rsid w:val="00AE6272"/>
    <w:rsid w:val="00AE6888"/>
    <w:rsid w:val="00AE6F91"/>
    <w:rsid w:val="00AE72A2"/>
    <w:rsid w:val="00AF1A26"/>
    <w:rsid w:val="00AF5571"/>
    <w:rsid w:val="00B0077C"/>
    <w:rsid w:val="00B03D16"/>
    <w:rsid w:val="00B04794"/>
    <w:rsid w:val="00B05379"/>
    <w:rsid w:val="00B07258"/>
    <w:rsid w:val="00B07341"/>
    <w:rsid w:val="00B13716"/>
    <w:rsid w:val="00B2508A"/>
    <w:rsid w:val="00B30539"/>
    <w:rsid w:val="00B314DB"/>
    <w:rsid w:val="00B31684"/>
    <w:rsid w:val="00B361F2"/>
    <w:rsid w:val="00B3718B"/>
    <w:rsid w:val="00B37FDA"/>
    <w:rsid w:val="00B42B90"/>
    <w:rsid w:val="00B4632A"/>
    <w:rsid w:val="00B46B72"/>
    <w:rsid w:val="00B46F73"/>
    <w:rsid w:val="00B528BF"/>
    <w:rsid w:val="00B52E89"/>
    <w:rsid w:val="00B530F1"/>
    <w:rsid w:val="00B6064B"/>
    <w:rsid w:val="00B645B7"/>
    <w:rsid w:val="00B65277"/>
    <w:rsid w:val="00B66402"/>
    <w:rsid w:val="00B70198"/>
    <w:rsid w:val="00B71EC5"/>
    <w:rsid w:val="00B74FDA"/>
    <w:rsid w:val="00B816C5"/>
    <w:rsid w:val="00B82E70"/>
    <w:rsid w:val="00B8409B"/>
    <w:rsid w:val="00B848B2"/>
    <w:rsid w:val="00B851A6"/>
    <w:rsid w:val="00B901C7"/>
    <w:rsid w:val="00B90321"/>
    <w:rsid w:val="00B91FD3"/>
    <w:rsid w:val="00B9281A"/>
    <w:rsid w:val="00B9793D"/>
    <w:rsid w:val="00BA1CB3"/>
    <w:rsid w:val="00BA276C"/>
    <w:rsid w:val="00BA49A4"/>
    <w:rsid w:val="00BB0C99"/>
    <w:rsid w:val="00BB147E"/>
    <w:rsid w:val="00BB2305"/>
    <w:rsid w:val="00BB306F"/>
    <w:rsid w:val="00BB32AB"/>
    <w:rsid w:val="00BB418A"/>
    <w:rsid w:val="00BB64B6"/>
    <w:rsid w:val="00BC199D"/>
    <w:rsid w:val="00BC5C5C"/>
    <w:rsid w:val="00BD03A2"/>
    <w:rsid w:val="00BD0673"/>
    <w:rsid w:val="00BD144A"/>
    <w:rsid w:val="00BD1879"/>
    <w:rsid w:val="00BD2D59"/>
    <w:rsid w:val="00BD4B89"/>
    <w:rsid w:val="00BD549E"/>
    <w:rsid w:val="00BD566D"/>
    <w:rsid w:val="00BD587F"/>
    <w:rsid w:val="00BD5FFE"/>
    <w:rsid w:val="00BE262E"/>
    <w:rsid w:val="00BE43D8"/>
    <w:rsid w:val="00BE6274"/>
    <w:rsid w:val="00BE6B27"/>
    <w:rsid w:val="00BE7759"/>
    <w:rsid w:val="00BF02CB"/>
    <w:rsid w:val="00BF041B"/>
    <w:rsid w:val="00BF0A59"/>
    <w:rsid w:val="00BF6FD8"/>
    <w:rsid w:val="00BF7F14"/>
    <w:rsid w:val="00C03680"/>
    <w:rsid w:val="00C04D75"/>
    <w:rsid w:val="00C054DF"/>
    <w:rsid w:val="00C065DA"/>
    <w:rsid w:val="00C1134D"/>
    <w:rsid w:val="00C11B38"/>
    <w:rsid w:val="00C125BA"/>
    <w:rsid w:val="00C13F8D"/>
    <w:rsid w:val="00C14CE2"/>
    <w:rsid w:val="00C173B1"/>
    <w:rsid w:val="00C21134"/>
    <w:rsid w:val="00C21762"/>
    <w:rsid w:val="00C22760"/>
    <w:rsid w:val="00C24543"/>
    <w:rsid w:val="00C24E89"/>
    <w:rsid w:val="00C256A2"/>
    <w:rsid w:val="00C2740C"/>
    <w:rsid w:val="00C3095B"/>
    <w:rsid w:val="00C37F51"/>
    <w:rsid w:val="00C408A8"/>
    <w:rsid w:val="00C41057"/>
    <w:rsid w:val="00C4207C"/>
    <w:rsid w:val="00C423FB"/>
    <w:rsid w:val="00C45069"/>
    <w:rsid w:val="00C45F4B"/>
    <w:rsid w:val="00C46758"/>
    <w:rsid w:val="00C46AD4"/>
    <w:rsid w:val="00C50FAF"/>
    <w:rsid w:val="00C51515"/>
    <w:rsid w:val="00C516A9"/>
    <w:rsid w:val="00C5180C"/>
    <w:rsid w:val="00C52895"/>
    <w:rsid w:val="00C5660B"/>
    <w:rsid w:val="00C56BCD"/>
    <w:rsid w:val="00C570CA"/>
    <w:rsid w:val="00C66B72"/>
    <w:rsid w:val="00C66D54"/>
    <w:rsid w:val="00C71E03"/>
    <w:rsid w:val="00C73588"/>
    <w:rsid w:val="00C74476"/>
    <w:rsid w:val="00C74910"/>
    <w:rsid w:val="00C76FF1"/>
    <w:rsid w:val="00C77B23"/>
    <w:rsid w:val="00C80AA5"/>
    <w:rsid w:val="00C80B58"/>
    <w:rsid w:val="00C82D5F"/>
    <w:rsid w:val="00C835DC"/>
    <w:rsid w:val="00C85918"/>
    <w:rsid w:val="00C87214"/>
    <w:rsid w:val="00C9256D"/>
    <w:rsid w:val="00C929D4"/>
    <w:rsid w:val="00C939A3"/>
    <w:rsid w:val="00C93CB2"/>
    <w:rsid w:val="00C95355"/>
    <w:rsid w:val="00C9567A"/>
    <w:rsid w:val="00C96BE6"/>
    <w:rsid w:val="00CA2516"/>
    <w:rsid w:val="00CA372A"/>
    <w:rsid w:val="00CA38A4"/>
    <w:rsid w:val="00CA6ACF"/>
    <w:rsid w:val="00CB1F3E"/>
    <w:rsid w:val="00CB212D"/>
    <w:rsid w:val="00CB2660"/>
    <w:rsid w:val="00CB276A"/>
    <w:rsid w:val="00CB308A"/>
    <w:rsid w:val="00CB38A2"/>
    <w:rsid w:val="00CB544A"/>
    <w:rsid w:val="00CC09BF"/>
    <w:rsid w:val="00CC158C"/>
    <w:rsid w:val="00CC4D5C"/>
    <w:rsid w:val="00CC5E90"/>
    <w:rsid w:val="00CC69DE"/>
    <w:rsid w:val="00CD046C"/>
    <w:rsid w:val="00CD3C12"/>
    <w:rsid w:val="00CD3CEC"/>
    <w:rsid w:val="00CD6F1B"/>
    <w:rsid w:val="00CD7C7D"/>
    <w:rsid w:val="00CE076C"/>
    <w:rsid w:val="00CE097E"/>
    <w:rsid w:val="00CE1C2C"/>
    <w:rsid w:val="00CE50A8"/>
    <w:rsid w:val="00CE50DF"/>
    <w:rsid w:val="00CE5199"/>
    <w:rsid w:val="00CE5266"/>
    <w:rsid w:val="00CE66D5"/>
    <w:rsid w:val="00CE75D5"/>
    <w:rsid w:val="00CE774A"/>
    <w:rsid w:val="00CF0367"/>
    <w:rsid w:val="00CF0A8A"/>
    <w:rsid w:val="00CF1513"/>
    <w:rsid w:val="00CF637A"/>
    <w:rsid w:val="00D01A46"/>
    <w:rsid w:val="00D059DE"/>
    <w:rsid w:val="00D108DE"/>
    <w:rsid w:val="00D13FCE"/>
    <w:rsid w:val="00D1522B"/>
    <w:rsid w:val="00D162C3"/>
    <w:rsid w:val="00D16446"/>
    <w:rsid w:val="00D166AF"/>
    <w:rsid w:val="00D17068"/>
    <w:rsid w:val="00D21AC4"/>
    <w:rsid w:val="00D2232D"/>
    <w:rsid w:val="00D2465A"/>
    <w:rsid w:val="00D249FF"/>
    <w:rsid w:val="00D27EA6"/>
    <w:rsid w:val="00D306D1"/>
    <w:rsid w:val="00D3264D"/>
    <w:rsid w:val="00D335C8"/>
    <w:rsid w:val="00D34786"/>
    <w:rsid w:val="00D3708D"/>
    <w:rsid w:val="00D37BFC"/>
    <w:rsid w:val="00D42C89"/>
    <w:rsid w:val="00D45988"/>
    <w:rsid w:val="00D45F47"/>
    <w:rsid w:val="00D47A8E"/>
    <w:rsid w:val="00D52D14"/>
    <w:rsid w:val="00D53723"/>
    <w:rsid w:val="00D5426A"/>
    <w:rsid w:val="00D54921"/>
    <w:rsid w:val="00D549B0"/>
    <w:rsid w:val="00D559BA"/>
    <w:rsid w:val="00D60F39"/>
    <w:rsid w:val="00D61961"/>
    <w:rsid w:val="00D62291"/>
    <w:rsid w:val="00D628E9"/>
    <w:rsid w:val="00D65713"/>
    <w:rsid w:val="00D664A5"/>
    <w:rsid w:val="00D66DE3"/>
    <w:rsid w:val="00D670C0"/>
    <w:rsid w:val="00D70180"/>
    <w:rsid w:val="00D703DF"/>
    <w:rsid w:val="00D712D3"/>
    <w:rsid w:val="00D71422"/>
    <w:rsid w:val="00D72113"/>
    <w:rsid w:val="00D72DC6"/>
    <w:rsid w:val="00D72FCF"/>
    <w:rsid w:val="00D73730"/>
    <w:rsid w:val="00D7399C"/>
    <w:rsid w:val="00D74092"/>
    <w:rsid w:val="00D74C9C"/>
    <w:rsid w:val="00D7558D"/>
    <w:rsid w:val="00D76661"/>
    <w:rsid w:val="00D81D92"/>
    <w:rsid w:val="00D82ADC"/>
    <w:rsid w:val="00D85E80"/>
    <w:rsid w:val="00D86575"/>
    <w:rsid w:val="00D90B05"/>
    <w:rsid w:val="00D93236"/>
    <w:rsid w:val="00D95C63"/>
    <w:rsid w:val="00D967EC"/>
    <w:rsid w:val="00D96DFC"/>
    <w:rsid w:val="00D97D36"/>
    <w:rsid w:val="00D97F4B"/>
    <w:rsid w:val="00DA09D6"/>
    <w:rsid w:val="00DA203B"/>
    <w:rsid w:val="00DA4C0D"/>
    <w:rsid w:val="00DA54AF"/>
    <w:rsid w:val="00DA6390"/>
    <w:rsid w:val="00DA7B5F"/>
    <w:rsid w:val="00DB0B54"/>
    <w:rsid w:val="00DB16FB"/>
    <w:rsid w:val="00DB3D43"/>
    <w:rsid w:val="00DB5909"/>
    <w:rsid w:val="00DB6627"/>
    <w:rsid w:val="00DB6A2C"/>
    <w:rsid w:val="00DC05C6"/>
    <w:rsid w:val="00DC11E7"/>
    <w:rsid w:val="00DC138B"/>
    <w:rsid w:val="00DC183D"/>
    <w:rsid w:val="00DC34AB"/>
    <w:rsid w:val="00DC3723"/>
    <w:rsid w:val="00DC5040"/>
    <w:rsid w:val="00DC5D30"/>
    <w:rsid w:val="00DC6EDE"/>
    <w:rsid w:val="00DC7023"/>
    <w:rsid w:val="00DC769A"/>
    <w:rsid w:val="00DC7793"/>
    <w:rsid w:val="00DD02EA"/>
    <w:rsid w:val="00DD1075"/>
    <w:rsid w:val="00DD3D86"/>
    <w:rsid w:val="00DD541A"/>
    <w:rsid w:val="00DD6087"/>
    <w:rsid w:val="00DD6993"/>
    <w:rsid w:val="00DE04D1"/>
    <w:rsid w:val="00DE196E"/>
    <w:rsid w:val="00DE6775"/>
    <w:rsid w:val="00DE6A18"/>
    <w:rsid w:val="00DF1EC4"/>
    <w:rsid w:val="00DF22F5"/>
    <w:rsid w:val="00DF45EF"/>
    <w:rsid w:val="00DF58A5"/>
    <w:rsid w:val="00DF7A10"/>
    <w:rsid w:val="00E0340B"/>
    <w:rsid w:val="00E04584"/>
    <w:rsid w:val="00E04A90"/>
    <w:rsid w:val="00E05F14"/>
    <w:rsid w:val="00E11640"/>
    <w:rsid w:val="00E169C5"/>
    <w:rsid w:val="00E17901"/>
    <w:rsid w:val="00E17E1D"/>
    <w:rsid w:val="00E21071"/>
    <w:rsid w:val="00E219C7"/>
    <w:rsid w:val="00E232EE"/>
    <w:rsid w:val="00E23B44"/>
    <w:rsid w:val="00E24A0F"/>
    <w:rsid w:val="00E27260"/>
    <w:rsid w:val="00E30114"/>
    <w:rsid w:val="00E31B79"/>
    <w:rsid w:val="00E339F6"/>
    <w:rsid w:val="00E43157"/>
    <w:rsid w:val="00E43E9F"/>
    <w:rsid w:val="00E4421E"/>
    <w:rsid w:val="00E44264"/>
    <w:rsid w:val="00E443A5"/>
    <w:rsid w:val="00E461CE"/>
    <w:rsid w:val="00E46C67"/>
    <w:rsid w:val="00E51A1E"/>
    <w:rsid w:val="00E51C4F"/>
    <w:rsid w:val="00E52D27"/>
    <w:rsid w:val="00E552C5"/>
    <w:rsid w:val="00E570C3"/>
    <w:rsid w:val="00E63CEC"/>
    <w:rsid w:val="00E65B0D"/>
    <w:rsid w:val="00E67BEC"/>
    <w:rsid w:val="00E715E8"/>
    <w:rsid w:val="00E720CA"/>
    <w:rsid w:val="00E72266"/>
    <w:rsid w:val="00E76DD2"/>
    <w:rsid w:val="00E77E69"/>
    <w:rsid w:val="00E80709"/>
    <w:rsid w:val="00E82359"/>
    <w:rsid w:val="00E830BE"/>
    <w:rsid w:val="00E83758"/>
    <w:rsid w:val="00E84EB5"/>
    <w:rsid w:val="00E84ED4"/>
    <w:rsid w:val="00E85082"/>
    <w:rsid w:val="00E851F9"/>
    <w:rsid w:val="00E85351"/>
    <w:rsid w:val="00E85662"/>
    <w:rsid w:val="00E87276"/>
    <w:rsid w:val="00E8789F"/>
    <w:rsid w:val="00E92433"/>
    <w:rsid w:val="00E9249A"/>
    <w:rsid w:val="00E92EE0"/>
    <w:rsid w:val="00E93D21"/>
    <w:rsid w:val="00E95F94"/>
    <w:rsid w:val="00E9688C"/>
    <w:rsid w:val="00E97B71"/>
    <w:rsid w:val="00EA0222"/>
    <w:rsid w:val="00EA1125"/>
    <w:rsid w:val="00EA15CB"/>
    <w:rsid w:val="00EA3D34"/>
    <w:rsid w:val="00EA5E58"/>
    <w:rsid w:val="00EB0900"/>
    <w:rsid w:val="00EB221C"/>
    <w:rsid w:val="00EB3BB7"/>
    <w:rsid w:val="00EB454D"/>
    <w:rsid w:val="00EB6CB8"/>
    <w:rsid w:val="00EC07A3"/>
    <w:rsid w:val="00EC1B2D"/>
    <w:rsid w:val="00EC2557"/>
    <w:rsid w:val="00EC27BF"/>
    <w:rsid w:val="00EC2E34"/>
    <w:rsid w:val="00EC461B"/>
    <w:rsid w:val="00EC5A9D"/>
    <w:rsid w:val="00EC744E"/>
    <w:rsid w:val="00ED290A"/>
    <w:rsid w:val="00ED4CCC"/>
    <w:rsid w:val="00ED52FE"/>
    <w:rsid w:val="00ED76BE"/>
    <w:rsid w:val="00EE5269"/>
    <w:rsid w:val="00EE68C8"/>
    <w:rsid w:val="00EE721A"/>
    <w:rsid w:val="00EE7D5A"/>
    <w:rsid w:val="00EF0CA9"/>
    <w:rsid w:val="00EF4DB1"/>
    <w:rsid w:val="00EF619B"/>
    <w:rsid w:val="00F00715"/>
    <w:rsid w:val="00F00725"/>
    <w:rsid w:val="00F00941"/>
    <w:rsid w:val="00F00B55"/>
    <w:rsid w:val="00F010C2"/>
    <w:rsid w:val="00F02AD1"/>
    <w:rsid w:val="00F034C0"/>
    <w:rsid w:val="00F04D2F"/>
    <w:rsid w:val="00F050CD"/>
    <w:rsid w:val="00F0624D"/>
    <w:rsid w:val="00F063CB"/>
    <w:rsid w:val="00F06B1C"/>
    <w:rsid w:val="00F07144"/>
    <w:rsid w:val="00F0749E"/>
    <w:rsid w:val="00F10421"/>
    <w:rsid w:val="00F15801"/>
    <w:rsid w:val="00F16CF6"/>
    <w:rsid w:val="00F231C5"/>
    <w:rsid w:val="00F24C61"/>
    <w:rsid w:val="00F253CC"/>
    <w:rsid w:val="00F32899"/>
    <w:rsid w:val="00F361B0"/>
    <w:rsid w:val="00F36213"/>
    <w:rsid w:val="00F36609"/>
    <w:rsid w:val="00F36DEE"/>
    <w:rsid w:val="00F37106"/>
    <w:rsid w:val="00F40018"/>
    <w:rsid w:val="00F449B5"/>
    <w:rsid w:val="00F46E95"/>
    <w:rsid w:val="00F5008C"/>
    <w:rsid w:val="00F51009"/>
    <w:rsid w:val="00F519CF"/>
    <w:rsid w:val="00F5207D"/>
    <w:rsid w:val="00F52893"/>
    <w:rsid w:val="00F533FB"/>
    <w:rsid w:val="00F54071"/>
    <w:rsid w:val="00F55D99"/>
    <w:rsid w:val="00F56A47"/>
    <w:rsid w:val="00F56BA5"/>
    <w:rsid w:val="00F60E22"/>
    <w:rsid w:val="00F65623"/>
    <w:rsid w:val="00F673E3"/>
    <w:rsid w:val="00F67DC5"/>
    <w:rsid w:val="00F70C76"/>
    <w:rsid w:val="00F71061"/>
    <w:rsid w:val="00F72F3E"/>
    <w:rsid w:val="00F744D9"/>
    <w:rsid w:val="00F761B7"/>
    <w:rsid w:val="00F76BEA"/>
    <w:rsid w:val="00F80736"/>
    <w:rsid w:val="00F81395"/>
    <w:rsid w:val="00F824BE"/>
    <w:rsid w:val="00F85B68"/>
    <w:rsid w:val="00F85EB6"/>
    <w:rsid w:val="00F861C8"/>
    <w:rsid w:val="00F9080A"/>
    <w:rsid w:val="00F90CF3"/>
    <w:rsid w:val="00F917D1"/>
    <w:rsid w:val="00F91C95"/>
    <w:rsid w:val="00F91E20"/>
    <w:rsid w:val="00F930C0"/>
    <w:rsid w:val="00F9366D"/>
    <w:rsid w:val="00F938D2"/>
    <w:rsid w:val="00F93DC4"/>
    <w:rsid w:val="00F948C5"/>
    <w:rsid w:val="00F9653B"/>
    <w:rsid w:val="00F9773C"/>
    <w:rsid w:val="00FA4729"/>
    <w:rsid w:val="00FA506E"/>
    <w:rsid w:val="00FB007C"/>
    <w:rsid w:val="00FB0FCD"/>
    <w:rsid w:val="00FB1535"/>
    <w:rsid w:val="00FB2296"/>
    <w:rsid w:val="00FB4FA6"/>
    <w:rsid w:val="00FB61E0"/>
    <w:rsid w:val="00FB62CF"/>
    <w:rsid w:val="00FC22BD"/>
    <w:rsid w:val="00FC41E9"/>
    <w:rsid w:val="00FC5763"/>
    <w:rsid w:val="00FC5D42"/>
    <w:rsid w:val="00FD3161"/>
    <w:rsid w:val="00FD3C3B"/>
    <w:rsid w:val="00FD6F41"/>
    <w:rsid w:val="00FD7F66"/>
    <w:rsid w:val="00FE07DD"/>
    <w:rsid w:val="00FE1F59"/>
    <w:rsid w:val="00FE2360"/>
    <w:rsid w:val="00FE2D00"/>
    <w:rsid w:val="00FE6B45"/>
    <w:rsid w:val="00FF067D"/>
    <w:rsid w:val="00FF429D"/>
    <w:rsid w:val="00FF456B"/>
    <w:rsid w:val="00FF50CB"/>
    <w:rsid w:val="00FF55F3"/>
    <w:rsid w:val="00FF5851"/>
    <w:rsid w:val="00FF6211"/>
    <w:rsid w:val="00FF64B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8"/>
    <o:shapelayout v:ext="edit">
      <o:idmap v:ext="edit" data="1"/>
    </o:shapelayout>
  </w:shapeDefaults>
  <w:decimalSymbol w:val="."/>
  <w:listSeparator w:val=","/>
  <w14:docId w14:val="45BE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28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GB" w:eastAsia="en-GB"/>
    </w:rPr>
  </w:style>
  <w:style w:type="paragraph" w:styleId="Heading1">
    <w:name w:val="heading 1"/>
    <w:basedOn w:val="ListParagraph"/>
    <w:next w:val="Normal"/>
    <w:link w:val="Heading1Char"/>
    <w:uiPriority w:val="9"/>
    <w:qFormat/>
    <w:rsid w:val="004F16B0"/>
    <w:pPr>
      <w:keepNext/>
      <w:keepLines/>
      <w:numPr>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outlineLvl w:val="0"/>
    </w:pPr>
    <w:rPr>
      <w:rFonts w:eastAsia="Calibri"/>
      <w:b/>
      <w:sz w:val="20"/>
      <w:szCs w:val="20"/>
      <w:bdr w:val="none" w:sz="0" w:space="0" w:color="auto"/>
      <w:lang w:val="es-ES_tradnl"/>
    </w:rPr>
  </w:style>
  <w:style w:type="paragraph" w:styleId="Heading2">
    <w:name w:val="heading 2"/>
    <w:basedOn w:val="Heading1"/>
    <w:next w:val="Normal"/>
    <w:link w:val="Heading2Char"/>
    <w:qFormat/>
    <w:rsid w:val="00365006"/>
    <w:pPr>
      <w:numPr>
        <w:numId w:val="0"/>
      </w:numPr>
      <w:tabs>
        <w:tab w:val="left" w:pos="360"/>
      </w:tabs>
      <w:spacing w:after="0" w:line="240" w:lineRule="auto"/>
      <w:ind w:left="1080"/>
      <w:outlineLvl w:val="1"/>
    </w:pPr>
  </w:style>
  <w:style w:type="paragraph" w:styleId="Heading3">
    <w:name w:val="heading 3"/>
    <w:basedOn w:val="Normal"/>
    <w:next w:val="Normal"/>
    <w:link w:val="Heading3Char"/>
    <w:qFormat/>
    <w:rsid w:val="003C1378"/>
    <w:pPr>
      <w:spacing w:after="160" w:line="259" w:lineRule="auto"/>
      <w:jc w:val="both"/>
      <w:outlineLvl w:val="2"/>
    </w:pPr>
    <w:rPr>
      <w:rFonts w:ascii="Cambria" w:eastAsia="Calibri" w:hAnsi="Cambria"/>
      <w:b/>
      <w:sz w:val="20"/>
      <w:szCs w:val="20"/>
      <w:lang w:val="es-AR" w:eastAsia="en-US"/>
    </w:rPr>
  </w:style>
  <w:style w:type="paragraph" w:styleId="Heading4">
    <w:name w:val="heading 4"/>
    <w:basedOn w:val="ListParagraph"/>
    <w:next w:val="Normal"/>
    <w:link w:val="Heading4Char"/>
    <w:uiPriority w:val="9"/>
    <w:unhideWhenUsed/>
    <w:qFormat/>
    <w:rsid w:val="00F54071"/>
    <w:pPr>
      <w:numPr>
        <w:numId w:val="60"/>
      </w:numPr>
      <w:tabs>
        <w:tab w:val="left" w:pos="567"/>
      </w:tabs>
      <w:contextualSpacing/>
      <w:jc w:val="both"/>
      <w:outlineLvl w:val="3"/>
    </w:pPr>
    <w:rPr>
      <w:rFonts w:asciiTheme="majorHAnsi" w:hAnsiTheme="majorHAnsi"/>
      <w:b/>
      <w:sz w:val="20"/>
      <w:szCs w:val="20"/>
      <w:lang w:val="es-US"/>
    </w:rPr>
  </w:style>
  <w:style w:type="paragraph" w:styleId="Heading5">
    <w:name w:val="heading 5"/>
    <w:basedOn w:val="ListParagraph"/>
    <w:next w:val="Normal"/>
    <w:link w:val="Heading5Char"/>
    <w:uiPriority w:val="9"/>
    <w:unhideWhenUsed/>
    <w:qFormat/>
    <w:rsid w:val="00F54071"/>
    <w:pPr>
      <w:numPr>
        <w:numId w:val="63"/>
      </w:numPr>
      <w:contextualSpacing/>
      <w:jc w:val="both"/>
      <w:outlineLvl w:val="4"/>
    </w:pPr>
    <w:rPr>
      <w:rFonts w:asciiTheme="majorHAnsi" w:eastAsia="Calibri" w:hAnsiTheme="majorHAnsi"/>
      <w:b/>
      <w:sz w:val="20"/>
      <w:szCs w:val="20"/>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hAnsi="Tahoma" w:cs="Tahoma"/>
      <w:sz w:val="16"/>
      <w:szCs w:val="16"/>
      <w:bdr w:val="nil"/>
      <w:lang w:val="en-US" w:eastAsia="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lang w:val="en-US" w:eastAsia="en-US"/>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4F16B0"/>
    <w:rPr>
      <w:rFonts w:ascii="Cambria" w:eastAsia="Calibri" w:hAnsi="Cambria" w:cs="Cambria"/>
      <w:b/>
      <w:color w:val="000000"/>
      <w:u w:color="000000"/>
      <w:bdr w:val="none" w:sz="0" w:space="0" w:color="auto"/>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672356"/>
    <w:pPr>
      <w:pBdr>
        <w:top w:val="nil"/>
        <w:left w:val="nil"/>
        <w:bottom w:val="nil"/>
        <w:right w:val="nil"/>
        <w:between w:val="nil"/>
        <w:bar w:val="nil"/>
      </w:pBdr>
      <w:tabs>
        <w:tab w:val="left" w:pos="1134"/>
        <w:tab w:val="right" w:leader="dot" w:pos="8931"/>
      </w:tabs>
      <w:spacing w:line="360" w:lineRule="auto"/>
      <w:ind w:left="709" w:right="686" w:firstLine="11"/>
      <w:jc w:val="both"/>
    </w:pPr>
    <w:rPr>
      <w:bdr w:val="nil"/>
      <w:lang w:val="en-US" w:eastAsia="en-US"/>
    </w:rPr>
  </w:style>
  <w:style w:type="paragraph" w:styleId="TOC1">
    <w:name w:val="toc 1"/>
    <w:basedOn w:val="Normal"/>
    <w:next w:val="Normal"/>
    <w:autoRedefine/>
    <w:uiPriority w:val="39"/>
    <w:unhideWhenUsed/>
    <w:rsid w:val="003F1B50"/>
    <w:pPr>
      <w:pBdr>
        <w:top w:val="nil"/>
        <w:left w:val="nil"/>
        <w:bottom w:val="nil"/>
        <w:right w:val="nil"/>
        <w:between w:val="nil"/>
        <w:bar w:val="nil"/>
      </w:pBdr>
      <w:tabs>
        <w:tab w:val="left" w:pos="567"/>
        <w:tab w:val="left" w:pos="8910"/>
      </w:tabs>
      <w:spacing w:after="100"/>
      <w:ind w:right="707"/>
      <w:jc w:val="both"/>
    </w:pPr>
    <w:rPr>
      <w:rFonts w:ascii="Cambria" w:hAnsi="Cambria"/>
      <w:b/>
      <w:noProof/>
      <w:sz w:val="20"/>
      <w:szCs w:val="20"/>
      <w:bdr w:val="nil"/>
      <w:lang w:val="en-US" w:eastAsia="en-US"/>
    </w:rPr>
  </w:style>
  <w:style w:type="paragraph" w:styleId="TOC3">
    <w:name w:val="toc 3"/>
    <w:basedOn w:val="Normal"/>
    <w:next w:val="Normal"/>
    <w:autoRedefine/>
    <w:uiPriority w:val="39"/>
    <w:unhideWhenUsed/>
    <w:rsid w:val="002B61E0"/>
    <w:pPr>
      <w:pBdr>
        <w:top w:val="nil"/>
        <w:left w:val="nil"/>
        <w:bottom w:val="nil"/>
        <w:right w:val="nil"/>
        <w:between w:val="nil"/>
        <w:bar w:val="nil"/>
      </w:pBdr>
      <w:tabs>
        <w:tab w:val="left" w:pos="880"/>
        <w:tab w:val="left" w:pos="2160"/>
        <w:tab w:val="right" w:leader="dot" w:pos="9356"/>
      </w:tabs>
      <w:spacing w:after="100"/>
      <w:ind w:left="2160" w:hanging="720"/>
      <w:jc w:val="both"/>
    </w:pPr>
    <w:rPr>
      <w:bdr w:val="nil"/>
      <w:lang w:val="en-US" w:eastAsia="en-US"/>
    </w:rPr>
  </w:style>
  <w:style w:type="paragraph" w:styleId="TOC4">
    <w:name w:val="toc 4"/>
    <w:basedOn w:val="Normal"/>
    <w:next w:val="Normal"/>
    <w:autoRedefine/>
    <w:uiPriority w:val="39"/>
    <w:unhideWhenUsed/>
    <w:rsid w:val="004537E3"/>
    <w:pPr>
      <w:pBdr>
        <w:top w:val="nil"/>
        <w:left w:val="nil"/>
        <w:bottom w:val="nil"/>
        <w:right w:val="nil"/>
        <w:between w:val="nil"/>
        <w:bar w:val="nil"/>
      </w:pBdr>
      <w:tabs>
        <w:tab w:val="left" w:pos="2127"/>
        <w:tab w:val="right" w:leader="dot" w:pos="9350"/>
      </w:tabs>
      <w:spacing w:line="360" w:lineRule="auto"/>
      <w:ind w:left="1843"/>
      <w:jc w:val="both"/>
    </w:pPr>
    <w:rPr>
      <w:bdr w:val="nil"/>
      <w:lang w:val="en-US" w:eastAsia="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11,Ref. de nota al"/>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365006"/>
    <w:rPr>
      <w:rFonts w:ascii="Cambria" w:eastAsia="Calibri" w:hAnsi="Cambria" w:cs="Cambria"/>
      <w:b/>
      <w:color w:val="000000"/>
      <w:u w:color="000000"/>
      <w:bdr w:val="none" w:sz="0" w:space="0" w:color="auto"/>
      <w:lang w:val="es-ES_tradnl"/>
    </w:rPr>
  </w:style>
  <w:style w:type="character" w:customStyle="1" w:styleId="Heading3Char">
    <w:name w:val="Heading 3 Char"/>
    <w:basedOn w:val="DefaultParagraphFont"/>
    <w:link w:val="Heading3"/>
    <w:uiPriority w:val="9"/>
    <w:rsid w:val="003C1378"/>
    <w:rPr>
      <w:rFonts w:ascii="Cambria" w:eastAsia="Calibri" w:hAnsi="Cambria"/>
      <w:b/>
      <w:bdr w:val="none" w:sz="0" w:space="0" w:color="auto"/>
      <w:lang w:val="es-AR"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rFonts w:eastAsia="Times New Roman"/>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uiPriority w:val="9"/>
    <w:rsid w:val="00F54071"/>
    <w:rPr>
      <w:rFonts w:asciiTheme="majorHAnsi" w:eastAsia="Cambria" w:hAnsiTheme="majorHAnsi" w:cs="Cambria"/>
      <w:b/>
      <w:color w:val="000000"/>
      <w:u w:color="000000"/>
      <w:lang w:val="es-US"/>
    </w:rPr>
  </w:style>
  <w:style w:type="numbering" w:customStyle="1" w:styleId="NoList1">
    <w:name w:val="No List1"/>
    <w:next w:val="NoList"/>
    <w:uiPriority w:val="99"/>
    <w:semiHidden/>
    <w:unhideWhenUsed/>
    <w:rsid w:val="009F70EA"/>
  </w:style>
  <w:style w:type="character" w:styleId="CommentReference">
    <w:name w:val="annotation reference"/>
    <w:basedOn w:val="DefaultParagraphFont"/>
    <w:uiPriority w:val="99"/>
    <w:semiHidden/>
    <w:unhideWhenUsed/>
    <w:rsid w:val="009F70EA"/>
    <w:rPr>
      <w:sz w:val="16"/>
      <w:szCs w:val="16"/>
    </w:rPr>
  </w:style>
  <w:style w:type="paragraph" w:customStyle="1" w:styleId="CommentText1">
    <w:name w:val="Comment Text1"/>
    <w:basedOn w:val="Normal"/>
    <w:next w:val="CommentText"/>
    <w:link w:val="CommentTextChar"/>
    <w:uiPriority w:val="99"/>
    <w:semiHidden/>
    <w:unhideWhenUsed/>
    <w:rsid w:val="009F70EA"/>
    <w:pPr>
      <w:spacing w:after="160"/>
    </w:pPr>
    <w:rPr>
      <w:sz w:val="20"/>
      <w:szCs w:val="20"/>
      <w:bdr w:val="nil"/>
      <w:lang w:val="es-ES" w:eastAsia="es-ES"/>
    </w:rPr>
  </w:style>
  <w:style w:type="character" w:customStyle="1" w:styleId="CommentTextChar">
    <w:name w:val="Comment Text Char"/>
    <w:basedOn w:val="DefaultParagraphFont"/>
    <w:link w:val="CommentText1"/>
    <w:uiPriority w:val="99"/>
    <w:semiHidden/>
    <w:rsid w:val="009F70EA"/>
    <w:rPr>
      <w:sz w:val="20"/>
      <w:szCs w:val="20"/>
    </w:rPr>
  </w:style>
  <w:style w:type="character" w:styleId="Strong">
    <w:name w:val="Strong"/>
    <w:basedOn w:val="DefaultParagraphFont"/>
    <w:uiPriority w:val="22"/>
    <w:qFormat/>
    <w:rsid w:val="009F70EA"/>
    <w:rPr>
      <w:b/>
      <w:bC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F70EA"/>
    <w:pPr>
      <w:spacing w:after="160" w:line="240" w:lineRule="exact"/>
    </w:pPr>
    <w:rPr>
      <w:sz w:val="20"/>
      <w:szCs w:val="20"/>
      <w:bdr w:val="nil"/>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9F70EA"/>
    <w:rPr>
      <w:rFonts w:ascii="Cambria" w:eastAsia="Cambria" w:hAnsi="Cambria" w:cs="Cambria"/>
      <w:color w:val="000000"/>
      <w:sz w:val="24"/>
      <w:szCs w:val="24"/>
      <w:u w:color="000000"/>
      <w:lang w:val="en-US"/>
    </w:rPr>
  </w:style>
  <w:style w:type="paragraph" w:customStyle="1" w:styleId="CommentSubject1">
    <w:name w:val="Comment Subject1"/>
    <w:basedOn w:val="CommentText"/>
    <w:next w:val="CommentText"/>
    <w:uiPriority w:val="99"/>
    <w:semiHidden/>
    <w:unhideWhenUsed/>
    <w:rsid w:val="009F70EA"/>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Calibri" w:eastAsia="Calibri" w:hAnsi="Calibri"/>
      <w:b/>
      <w:bCs/>
      <w:bdr w:val="none" w:sz="0" w:space="0" w:color="auto"/>
    </w:rPr>
  </w:style>
  <w:style w:type="character" w:customStyle="1" w:styleId="CommentSubjectChar">
    <w:name w:val="Comment Subject Char"/>
    <w:basedOn w:val="CommentTextChar"/>
    <w:link w:val="CommentSubject"/>
    <w:uiPriority w:val="99"/>
    <w:semiHidden/>
    <w:rsid w:val="009F70EA"/>
    <w:rPr>
      <w:b/>
      <w:bCs/>
      <w:sz w:val="20"/>
      <w:szCs w:val="20"/>
    </w:rPr>
  </w:style>
  <w:style w:type="character" w:customStyle="1" w:styleId="FollowedHyperlink1">
    <w:name w:val="FollowedHyperlink1"/>
    <w:basedOn w:val="DefaultParagraphFont"/>
    <w:uiPriority w:val="99"/>
    <w:semiHidden/>
    <w:unhideWhenUsed/>
    <w:rsid w:val="009F70EA"/>
    <w:rPr>
      <w:color w:val="954F72"/>
      <w:u w:val="single"/>
    </w:rPr>
  </w:style>
  <w:style w:type="paragraph" w:customStyle="1" w:styleId="NoSpacing1">
    <w:name w:val="No Spacing1"/>
    <w:basedOn w:val="Normal"/>
    <w:next w:val="NoSpacing"/>
    <w:uiPriority w:val="1"/>
    <w:qFormat/>
    <w:rsid w:val="00AC6566"/>
    <w:pPr>
      <w:numPr>
        <w:numId w:val="54"/>
      </w:numPr>
      <w:spacing w:after="160" w:line="259" w:lineRule="auto"/>
      <w:ind w:left="0" w:firstLine="0"/>
      <w:jc w:val="both"/>
      <w:outlineLvl w:val="1"/>
    </w:pPr>
    <w:rPr>
      <w:rFonts w:ascii="Cambria" w:eastAsia="Calibri" w:hAnsi="Cambria"/>
      <w:sz w:val="20"/>
      <w:szCs w:val="20"/>
      <w:lang w:val="es-AR" w:eastAsia="en-US"/>
    </w:rPr>
  </w:style>
  <w:style w:type="paragraph" w:styleId="NormalWeb">
    <w:name w:val="Normal (Web)"/>
    <w:basedOn w:val="Normal"/>
    <w:uiPriority w:val="99"/>
    <w:unhideWhenUsed/>
    <w:rsid w:val="009F70EA"/>
    <w:pPr>
      <w:spacing w:before="100" w:beforeAutospacing="1" w:after="100" w:afterAutospacing="1"/>
    </w:pPr>
    <w:rPr>
      <w:rFonts w:eastAsia="Times New Roman"/>
      <w:lang w:val="en-US" w:eastAsia="en-US"/>
    </w:rPr>
  </w:style>
  <w:style w:type="paragraph" w:styleId="Quote">
    <w:name w:val="Quote"/>
    <w:basedOn w:val="Normal"/>
    <w:next w:val="Normal"/>
    <w:link w:val="QuoteChar"/>
    <w:autoRedefine/>
    <w:uiPriority w:val="29"/>
    <w:qFormat/>
    <w:rsid w:val="003676A3"/>
    <w:pPr>
      <w:ind w:left="567" w:right="855"/>
      <w:jc w:val="both"/>
    </w:pPr>
    <w:rPr>
      <w:rFonts w:ascii="Cambria" w:eastAsia="Times New Roman" w:hAnsi="Cambria"/>
      <w:iCs/>
      <w:sz w:val="18"/>
      <w:szCs w:val="20"/>
      <w:lang w:val="es-ES" w:eastAsia="en-US"/>
    </w:rPr>
  </w:style>
  <w:style w:type="character" w:customStyle="1" w:styleId="QuoteChar">
    <w:name w:val="Quote Char"/>
    <w:basedOn w:val="DefaultParagraphFont"/>
    <w:link w:val="Quote"/>
    <w:uiPriority w:val="29"/>
    <w:rsid w:val="003676A3"/>
    <w:rPr>
      <w:rFonts w:ascii="Cambria" w:eastAsia="Times New Roman" w:hAnsi="Cambria"/>
      <w:iCs/>
      <w:sz w:val="18"/>
      <w:bdr w:val="none" w:sz="0" w:space="0" w:color="auto"/>
      <w:lang w:eastAsia="en-US"/>
    </w:rPr>
  </w:style>
  <w:style w:type="paragraph" w:styleId="CommentText">
    <w:name w:val="annotation text"/>
    <w:basedOn w:val="Normal"/>
    <w:link w:val="CommentTextChar1"/>
    <w:uiPriority w:val="99"/>
    <w:semiHidden/>
    <w:unhideWhenUsed/>
    <w:rsid w:val="009F70EA"/>
    <w:pPr>
      <w:pBdr>
        <w:top w:val="nil"/>
        <w:left w:val="nil"/>
        <w:bottom w:val="nil"/>
        <w:right w:val="nil"/>
        <w:between w:val="nil"/>
        <w:bar w:val="nil"/>
      </w:pBdr>
    </w:pPr>
    <w:rPr>
      <w:sz w:val="20"/>
      <w:szCs w:val="20"/>
      <w:bdr w:val="nil"/>
      <w:lang w:val="en-US" w:eastAsia="en-US"/>
    </w:rPr>
  </w:style>
  <w:style w:type="character" w:customStyle="1" w:styleId="CommentTextChar1">
    <w:name w:val="Comment Text Char1"/>
    <w:basedOn w:val="DefaultParagraphFont"/>
    <w:link w:val="CommentText"/>
    <w:uiPriority w:val="99"/>
    <w:semiHidden/>
    <w:rsid w:val="009F70EA"/>
    <w:rPr>
      <w:lang w:val="en-US" w:eastAsia="en-US"/>
    </w:rPr>
  </w:style>
  <w:style w:type="paragraph" w:styleId="CommentSubject">
    <w:name w:val="annotation subject"/>
    <w:basedOn w:val="CommentText"/>
    <w:next w:val="CommentText"/>
    <w:link w:val="CommentSubjectChar"/>
    <w:uiPriority w:val="99"/>
    <w:semiHidden/>
    <w:unhideWhenUsed/>
    <w:rsid w:val="009F70EA"/>
    <w:rPr>
      <w:b/>
      <w:bCs/>
      <w:lang w:val="es-ES" w:eastAsia="es-ES"/>
    </w:rPr>
  </w:style>
  <w:style w:type="character" w:customStyle="1" w:styleId="CommentSubjectChar1">
    <w:name w:val="Comment Subject Char1"/>
    <w:basedOn w:val="CommentTextChar1"/>
    <w:uiPriority w:val="99"/>
    <w:semiHidden/>
    <w:rsid w:val="009F70EA"/>
    <w:rPr>
      <w:b/>
      <w:bCs/>
      <w:lang w:val="en-US" w:eastAsia="en-US"/>
    </w:rPr>
  </w:style>
  <w:style w:type="character" w:styleId="FollowedHyperlink">
    <w:name w:val="FollowedHyperlink"/>
    <w:basedOn w:val="DefaultParagraphFont"/>
    <w:uiPriority w:val="99"/>
    <w:semiHidden/>
    <w:unhideWhenUsed/>
    <w:rsid w:val="009F70EA"/>
    <w:rPr>
      <w:color w:val="800080" w:themeColor="followedHyperlink"/>
      <w:u w:val="single"/>
    </w:rPr>
  </w:style>
  <w:style w:type="paragraph" w:styleId="NoSpacing">
    <w:name w:val="No Spacing"/>
    <w:uiPriority w:val="1"/>
    <w:qFormat/>
    <w:rsid w:val="009F70EA"/>
    <w:rPr>
      <w:sz w:val="24"/>
      <w:szCs w:val="24"/>
      <w:lang w:val="en-US" w:eastAsia="en-US"/>
    </w:rPr>
  </w:style>
  <w:style w:type="character" w:customStyle="1" w:styleId="Heading5Char">
    <w:name w:val="Heading 5 Char"/>
    <w:basedOn w:val="DefaultParagraphFont"/>
    <w:link w:val="Heading5"/>
    <w:uiPriority w:val="9"/>
    <w:rsid w:val="00F54071"/>
    <w:rPr>
      <w:rFonts w:asciiTheme="majorHAnsi" w:eastAsia="Calibri" w:hAnsiTheme="majorHAnsi" w:cs="Cambria"/>
      <w:b/>
      <w:color w:val="000000"/>
      <w:u w:color="000000"/>
      <w:lang w:val="es-AR"/>
    </w:rPr>
  </w:style>
  <w:style w:type="paragraph" w:styleId="Subtitle">
    <w:name w:val="Subtitle"/>
    <w:basedOn w:val="Normal"/>
    <w:link w:val="SubtitleChar"/>
    <w:qFormat/>
    <w:rsid w:val="00BE7759"/>
    <w:pPr>
      <w:spacing w:after="60"/>
      <w:jc w:val="center"/>
      <w:outlineLvl w:val="1"/>
    </w:pPr>
    <w:rPr>
      <w:rFonts w:ascii="Arial" w:eastAsia="MS Mincho" w:hAnsi="Arial" w:cs="Arial"/>
      <w:lang w:val="es-ES_tradnl" w:eastAsia="en-US"/>
    </w:rPr>
  </w:style>
  <w:style w:type="character" w:customStyle="1" w:styleId="SubtitleChar">
    <w:name w:val="Subtitle Char"/>
    <w:basedOn w:val="DefaultParagraphFont"/>
    <w:link w:val="Subtitle"/>
    <w:rsid w:val="00BE7759"/>
    <w:rPr>
      <w:rFonts w:ascii="Arial" w:eastAsia="MS Mincho" w:hAnsi="Arial" w:cs="Arial"/>
      <w:sz w:val="24"/>
      <w:szCs w:val="24"/>
      <w:bdr w:val="none" w:sz="0" w:space="0" w:color="auto"/>
      <w:lang w:val="es-ES_tradnl" w:eastAsia="en-US"/>
    </w:rPr>
  </w:style>
  <w:style w:type="paragraph" w:customStyle="1" w:styleId="parrafos">
    <w:name w:val="parrafos"/>
    <w:basedOn w:val="Normal"/>
    <w:link w:val="parrafosChar"/>
    <w:qFormat/>
    <w:rsid w:val="00055252"/>
    <w:pPr>
      <w:tabs>
        <w:tab w:val="left" w:pos="360"/>
      </w:tabs>
      <w:jc w:val="both"/>
    </w:pPr>
    <w:rPr>
      <w:rFonts w:asciiTheme="majorHAnsi" w:hAnsiTheme="majorHAnsi"/>
      <w:color w:val="000000" w:themeColor="text1"/>
      <w:sz w:val="20"/>
      <w:szCs w:val="20"/>
      <w:bdr w:val="nil"/>
      <w:lang w:val="es-VE" w:eastAsia="en-US"/>
    </w:rPr>
  </w:style>
  <w:style w:type="character" w:customStyle="1" w:styleId="parrafosChar">
    <w:name w:val="parrafos Char"/>
    <w:basedOn w:val="DefaultParagraphFont"/>
    <w:link w:val="parrafos"/>
    <w:rsid w:val="00055252"/>
    <w:rPr>
      <w:rFonts w:asciiTheme="majorHAnsi" w:hAnsiTheme="majorHAnsi"/>
      <w:color w:val="000000" w:themeColor="text1"/>
      <w:lang w:val="es-VE" w:eastAsia="en-US"/>
    </w:rPr>
  </w:style>
  <w:style w:type="paragraph" w:styleId="Revision">
    <w:name w:val="Revision"/>
    <w:hidden/>
    <w:uiPriority w:val="99"/>
    <w:semiHidden/>
    <w:rsid w:val="002F417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apple-converted-space">
    <w:name w:val="apple-converted-space"/>
    <w:basedOn w:val="DefaultParagraphFont"/>
    <w:rsid w:val="00FB1535"/>
  </w:style>
  <w:style w:type="character" w:customStyle="1" w:styleId="BodyTextIndentChar">
    <w:name w:val="Body Text Indent Char"/>
    <w:link w:val="BodyTextIndent"/>
    <w:locked/>
    <w:rsid w:val="00DC6EDE"/>
    <w:rPr>
      <w:rFonts w:eastAsia="Times New Roman"/>
      <w:color w:val="000000"/>
      <w:sz w:val="24"/>
      <w:szCs w:val="24"/>
      <w:u w:color="000000"/>
      <w:lang w:val="es-ES_tradnl"/>
    </w:rPr>
  </w:style>
  <w:style w:type="paragraph" w:customStyle="1" w:styleId="Prrafodelista2">
    <w:name w:val="Párrafo de lista2"/>
    <w:basedOn w:val="Normal"/>
    <w:uiPriority w:val="34"/>
    <w:qFormat/>
    <w:rsid w:val="0098796A"/>
    <w:pPr>
      <w:ind w:left="708"/>
    </w:pPr>
    <w:rPr>
      <w:rFonts w:eastAsia="Times New Roman"/>
      <w:sz w:val="20"/>
      <w:szCs w:val="20"/>
      <w:lang w:val="es-SV" w:eastAsia="en-US"/>
    </w:rPr>
  </w:style>
  <w:style w:type="character" w:customStyle="1" w:styleId="UnresolvedMention1">
    <w:name w:val="Unresolved Mention1"/>
    <w:basedOn w:val="DefaultParagraphFont"/>
    <w:uiPriority w:val="99"/>
    <w:semiHidden/>
    <w:unhideWhenUsed/>
    <w:rsid w:val="00495DB1"/>
    <w:rPr>
      <w:color w:val="605E5C"/>
      <w:shd w:val="clear" w:color="auto" w:fill="E1DFDD"/>
    </w:rPr>
  </w:style>
  <w:style w:type="paragraph" w:styleId="TOCHeading">
    <w:name w:val="TOC Heading"/>
    <w:basedOn w:val="Heading1"/>
    <w:next w:val="Normal"/>
    <w:uiPriority w:val="39"/>
    <w:unhideWhenUsed/>
    <w:qFormat/>
    <w:rsid w:val="00C87214"/>
    <w:pPr>
      <w:numPr>
        <w:numId w:val="0"/>
      </w:numPr>
      <w:spacing w:before="240" w:after="0"/>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5">
    <w:name w:val="toc 5"/>
    <w:basedOn w:val="Normal"/>
    <w:next w:val="Normal"/>
    <w:autoRedefine/>
    <w:uiPriority w:val="39"/>
    <w:unhideWhenUsed/>
    <w:rsid w:val="000B23D0"/>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5080">
      <w:bodyDiv w:val="1"/>
      <w:marLeft w:val="0"/>
      <w:marRight w:val="0"/>
      <w:marTop w:val="0"/>
      <w:marBottom w:val="0"/>
      <w:divBdr>
        <w:top w:val="none" w:sz="0" w:space="0" w:color="auto"/>
        <w:left w:val="none" w:sz="0" w:space="0" w:color="auto"/>
        <w:bottom w:val="none" w:sz="0" w:space="0" w:color="auto"/>
        <w:right w:val="none" w:sz="0" w:space="0" w:color="auto"/>
      </w:divBdr>
    </w:div>
    <w:div w:id="243154003">
      <w:bodyDiv w:val="1"/>
      <w:marLeft w:val="0"/>
      <w:marRight w:val="0"/>
      <w:marTop w:val="0"/>
      <w:marBottom w:val="0"/>
      <w:divBdr>
        <w:top w:val="none" w:sz="0" w:space="0" w:color="auto"/>
        <w:left w:val="none" w:sz="0" w:space="0" w:color="auto"/>
        <w:bottom w:val="none" w:sz="0" w:space="0" w:color="auto"/>
        <w:right w:val="none" w:sz="0" w:space="0" w:color="auto"/>
      </w:divBdr>
    </w:div>
    <w:div w:id="465902948">
      <w:bodyDiv w:val="1"/>
      <w:marLeft w:val="0"/>
      <w:marRight w:val="0"/>
      <w:marTop w:val="0"/>
      <w:marBottom w:val="0"/>
      <w:divBdr>
        <w:top w:val="none" w:sz="0" w:space="0" w:color="auto"/>
        <w:left w:val="none" w:sz="0" w:space="0" w:color="auto"/>
        <w:bottom w:val="none" w:sz="0" w:space="0" w:color="auto"/>
        <w:right w:val="none" w:sz="0" w:space="0" w:color="auto"/>
      </w:divBdr>
    </w:div>
    <w:div w:id="538860302">
      <w:bodyDiv w:val="1"/>
      <w:marLeft w:val="0"/>
      <w:marRight w:val="0"/>
      <w:marTop w:val="0"/>
      <w:marBottom w:val="0"/>
      <w:divBdr>
        <w:top w:val="none" w:sz="0" w:space="0" w:color="auto"/>
        <w:left w:val="none" w:sz="0" w:space="0" w:color="auto"/>
        <w:bottom w:val="none" w:sz="0" w:space="0" w:color="auto"/>
        <w:right w:val="none" w:sz="0" w:space="0" w:color="auto"/>
      </w:divBdr>
    </w:div>
    <w:div w:id="568616037">
      <w:bodyDiv w:val="1"/>
      <w:marLeft w:val="0"/>
      <w:marRight w:val="0"/>
      <w:marTop w:val="0"/>
      <w:marBottom w:val="0"/>
      <w:divBdr>
        <w:top w:val="none" w:sz="0" w:space="0" w:color="auto"/>
        <w:left w:val="none" w:sz="0" w:space="0" w:color="auto"/>
        <w:bottom w:val="none" w:sz="0" w:space="0" w:color="auto"/>
        <w:right w:val="none" w:sz="0" w:space="0" w:color="auto"/>
      </w:divBdr>
    </w:div>
    <w:div w:id="619073317">
      <w:bodyDiv w:val="1"/>
      <w:marLeft w:val="0"/>
      <w:marRight w:val="0"/>
      <w:marTop w:val="0"/>
      <w:marBottom w:val="0"/>
      <w:divBdr>
        <w:top w:val="none" w:sz="0" w:space="0" w:color="auto"/>
        <w:left w:val="none" w:sz="0" w:space="0" w:color="auto"/>
        <w:bottom w:val="none" w:sz="0" w:space="0" w:color="auto"/>
        <w:right w:val="none" w:sz="0" w:space="0" w:color="auto"/>
      </w:divBdr>
    </w:div>
    <w:div w:id="686061938">
      <w:bodyDiv w:val="1"/>
      <w:marLeft w:val="0"/>
      <w:marRight w:val="0"/>
      <w:marTop w:val="0"/>
      <w:marBottom w:val="0"/>
      <w:divBdr>
        <w:top w:val="none" w:sz="0" w:space="0" w:color="auto"/>
        <w:left w:val="none" w:sz="0" w:space="0" w:color="auto"/>
        <w:bottom w:val="none" w:sz="0" w:space="0" w:color="auto"/>
        <w:right w:val="none" w:sz="0" w:space="0" w:color="auto"/>
      </w:divBdr>
    </w:div>
    <w:div w:id="775908067">
      <w:bodyDiv w:val="1"/>
      <w:marLeft w:val="0"/>
      <w:marRight w:val="0"/>
      <w:marTop w:val="0"/>
      <w:marBottom w:val="0"/>
      <w:divBdr>
        <w:top w:val="none" w:sz="0" w:space="0" w:color="auto"/>
        <w:left w:val="none" w:sz="0" w:space="0" w:color="auto"/>
        <w:bottom w:val="none" w:sz="0" w:space="0" w:color="auto"/>
        <w:right w:val="none" w:sz="0" w:space="0" w:color="auto"/>
      </w:divBdr>
    </w:div>
    <w:div w:id="822088008">
      <w:bodyDiv w:val="1"/>
      <w:marLeft w:val="0"/>
      <w:marRight w:val="0"/>
      <w:marTop w:val="0"/>
      <w:marBottom w:val="0"/>
      <w:divBdr>
        <w:top w:val="none" w:sz="0" w:space="0" w:color="auto"/>
        <w:left w:val="none" w:sz="0" w:space="0" w:color="auto"/>
        <w:bottom w:val="none" w:sz="0" w:space="0" w:color="auto"/>
        <w:right w:val="none" w:sz="0" w:space="0" w:color="auto"/>
      </w:divBdr>
    </w:div>
    <w:div w:id="834146538">
      <w:bodyDiv w:val="1"/>
      <w:marLeft w:val="0"/>
      <w:marRight w:val="0"/>
      <w:marTop w:val="0"/>
      <w:marBottom w:val="0"/>
      <w:divBdr>
        <w:top w:val="none" w:sz="0" w:space="0" w:color="auto"/>
        <w:left w:val="none" w:sz="0" w:space="0" w:color="auto"/>
        <w:bottom w:val="none" w:sz="0" w:space="0" w:color="auto"/>
        <w:right w:val="none" w:sz="0" w:space="0" w:color="auto"/>
      </w:divBdr>
    </w:div>
    <w:div w:id="851995475">
      <w:bodyDiv w:val="1"/>
      <w:marLeft w:val="0"/>
      <w:marRight w:val="0"/>
      <w:marTop w:val="0"/>
      <w:marBottom w:val="0"/>
      <w:divBdr>
        <w:top w:val="none" w:sz="0" w:space="0" w:color="auto"/>
        <w:left w:val="none" w:sz="0" w:space="0" w:color="auto"/>
        <w:bottom w:val="none" w:sz="0" w:space="0" w:color="auto"/>
        <w:right w:val="none" w:sz="0" w:space="0" w:color="auto"/>
      </w:divBdr>
    </w:div>
    <w:div w:id="885410069">
      <w:bodyDiv w:val="1"/>
      <w:marLeft w:val="0"/>
      <w:marRight w:val="0"/>
      <w:marTop w:val="0"/>
      <w:marBottom w:val="0"/>
      <w:divBdr>
        <w:top w:val="none" w:sz="0" w:space="0" w:color="auto"/>
        <w:left w:val="none" w:sz="0" w:space="0" w:color="auto"/>
        <w:bottom w:val="none" w:sz="0" w:space="0" w:color="auto"/>
        <w:right w:val="none" w:sz="0" w:space="0" w:color="auto"/>
      </w:divBdr>
    </w:div>
    <w:div w:id="1058163635">
      <w:bodyDiv w:val="1"/>
      <w:marLeft w:val="0"/>
      <w:marRight w:val="0"/>
      <w:marTop w:val="0"/>
      <w:marBottom w:val="0"/>
      <w:divBdr>
        <w:top w:val="none" w:sz="0" w:space="0" w:color="auto"/>
        <w:left w:val="none" w:sz="0" w:space="0" w:color="auto"/>
        <w:bottom w:val="none" w:sz="0" w:space="0" w:color="auto"/>
        <w:right w:val="none" w:sz="0" w:space="0" w:color="auto"/>
      </w:divBdr>
    </w:div>
    <w:div w:id="1059597041">
      <w:bodyDiv w:val="1"/>
      <w:marLeft w:val="0"/>
      <w:marRight w:val="0"/>
      <w:marTop w:val="0"/>
      <w:marBottom w:val="0"/>
      <w:divBdr>
        <w:top w:val="none" w:sz="0" w:space="0" w:color="auto"/>
        <w:left w:val="none" w:sz="0" w:space="0" w:color="auto"/>
        <w:bottom w:val="none" w:sz="0" w:space="0" w:color="auto"/>
        <w:right w:val="none" w:sz="0" w:space="0" w:color="auto"/>
      </w:divBdr>
    </w:div>
    <w:div w:id="1108506864">
      <w:bodyDiv w:val="1"/>
      <w:marLeft w:val="0"/>
      <w:marRight w:val="0"/>
      <w:marTop w:val="0"/>
      <w:marBottom w:val="0"/>
      <w:divBdr>
        <w:top w:val="none" w:sz="0" w:space="0" w:color="auto"/>
        <w:left w:val="none" w:sz="0" w:space="0" w:color="auto"/>
        <w:bottom w:val="none" w:sz="0" w:space="0" w:color="auto"/>
        <w:right w:val="none" w:sz="0" w:space="0" w:color="auto"/>
      </w:divBdr>
    </w:div>
    <w:div w:id="1118378477">
      <w:bodyDiv w:val="1"/>
      <w:marLeft w:val="0"/>
      <w:marRight w:val="0"/>
      <w:marTop w:val="0"/>
      <w:marBottom w:val="0"/>
      <w:divBdr>
        <w:top w:val="none" w:sz="0" w:space="0" w:color="auto"/>
        <w:left w:val="none" w:sz="0" w:space="0" w:color="auto"/>
        <w:bottom w:val="none" w:sz="0" w:space="0" w:color="auto"/>
        <w:right w:val="none" w:sz="0" w:space="0" w:color="auto"/>
      </w:divBdr>
    </w:div>
    <w:div w:id="1130170700">
      <w:bodyDiv w:val="1"/>
      <w:marLeft w:val="0"/>
      <w:marRight w:val="0"/>
      <w:marTop w:val="0"/>
      <w:marBottom w:val="0"/>
      <w:divBdr>
        <w:top w:val="none" w:sz="0" w:space="0" w:color="auto"/>
        <w:left w:val="none" w:sz="0" w:space="0" w:color="auto"/>
        <w:bottom w:val="none" w:sz="0" w:space="0" w:color="auto"/>
        <w:right w:val="none" w:sz="0" w:space="0" w:color="auto"/>
      </w:divBdr>
    </w:div>
    <w:div w:id="1229147516">
      <w:bodyDiv w:val="1"/>
      <w:marLeft w:val="0"/>
      <w:marRight w:val="0"/>
      <w:marTop w:val="0"/>
      <w:marBottom w:val="0"/>
      <w:divBdr>
        <w:top w:val="none" w:sz="0" w:space="0" w:color="auto"/>
        <w:left w:val="none" w:sz="0" w:space="0" w:color="auto"/>
        <w:bottom w:val="none" w:sz="0" w:space="0" w:color="auto"/>
        <w:right w:val="none" w:sz="0" w:space="0" w:color="auto"/>
      </w:divBdr>
    </w:div>
    <w:div w:id="1274050785">
      <w:bodyDiv w:val="1"/>
      <w:marLeft w:val="0"/>
      <w:marRight w:val="0"/>
      <w:marTop w:val="0"/>
      <w:marBottom w:val="0"/>
      <w:divBdr>
        <w:top w:val="none" w:sz="0" w:space="0" w:color="auto"/>
        <w:left w:val="none" w:sz="0" w:space="0" w:color="auto"/>
        <w:bottom w:val="none" w:sz="0" w:space="0" w:color="auto"/>
        <w:right w:val="none" w:sz="0" w:space="0" w:color="auto"/>
      </w:divBdr>
    </w:div>
    <w:div w:id="1368332212">
      <w:bodyDiv w:val="1"/>
      <w:marLeft w:val="0"/>
      <w:marRight w:val="0"/>
      <w:marTop w:val="0"/>
      <w:marBottom w:val="0"/>
      <w:divBdr>
        <w:top w:val="none" w:sz="0" w:space="0" w:color="auto"/>
        <w:left w:val="none" w:sz="0" w:space="0" w:color="auto"/>
        <w:bottom w:val="none" w:sz="0" w:space="0" w:color="auto"/>
        <w:right w:val="none" w:sz="0" w:space="0" w:color="auto"/>
      </w:divBdr>
    </w:div>
    <w:div w:id="1406755232">
      <w:bodyDiv w:val="1"/>
      <w:marLeft w:val="0"/>
      <w:marRight w:val="0"/>
      <w:marTop w:val="0"/>
      <w:marBottom w:val="0"/>
      <w:divBdr>
        <w:top w:val="none" w:sz="0" w:space="0" w:color="auto"/>
        <w:left w:val="none" w:sz="0" w:space="0" w:color="auto"/>
        <w:bottom w:val="none" w:sz="0" w:space="0" w:color="auto"/>
        <w:right w:val="none" w:sz="0" w:space="0" w:color="auto"/>
      </w:divBdr>
    </w:div>
    <w:div w:id="165474853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85693969">
      <w:bodyDiv w:val="1"/>
      <w:marLeft w:val="0"/>
      <w:marRight w:val="0"/>
      <w:marTop w:val="0"/>
      <w:marBottom w:val="0"/>
      <w:divBdr>
        <w:top w:val="none" w:sz="0" w:space="0" w:color="auto"/>
        <w:left w:val="none" w:sz="0" w:space="0" w:color="auto"/>
        <w:bottom w:val="none" w:sz="0" w:space="0" w:color="auto"/>
        <w:right w:val="none" w:sz="0" w:space="0" w:color="auto"/>
      </w:divBdr>
    </w:div>
    <w:div w:id="2028821797">
      <w:bodyDiv w:val="1"/>
      <w:marLeft w:val="0"/>
      <w:marRight w:val="0"/>
      <w:marTop w:val="0"/>
      <w:marBottom w:val="0"/>
      <w:divBdr>
        <w:top w:val="none" w:sz="0" w:space="0" w:color="auto"/>
        <w:left w:val="none" w:sz="0" w:space="0" w:color="auto"/>
        <w:bottom w:val="none" w:sz="0" w:space="0" w:color="auto"/>
        <w:right w:val="none" w:sz="0" w:space="0" w:color="auto"/>
      </w:divBdr>
    </w:div>
    <w:div w:id="2124381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8" Type="http://schemas.openxmlformats.org/officeDocument/2006/relationships/hyperlink" Target="https://undocs.org/es/A/HRC/20/14" TargetMode="External"/><Relationship Id="rId13" Type="http://schemas.openxmlformats.org/officeDocument/2006/relationships/hyperlink" Target="https://undocs.org/es/A/HRC/20/14" TargetMode="External"/><Relationship Id="rId18" Type="http://schemas.openxmlformats.org/officeDocument/2006/relationships/hyperlink" Target="https://www.amia.org.ar/mision-vision-y-valores/" TargetMode="External"/><Relationship Id="rId3" Type="http://schemas.openxmlformats.org/officeDocument/2006/relationships/hyperlink" Target="https://www.un.org/sc/ctc/resources/international-legal-instruments/" TargetMode="External"/><Relationship Id="rId21" Type="http://schemas.openxmlformats.org/officeDocument/2006/relationships/hyperlink" Target="https://undocs.org/es/A/HRC/20/14" TargetMode="External"/><Relationship Id="rId7" Type="http://schemas.openxmlformats.org/officeDocument/2006/relationships/hyperlink" Target="https://undocs.org/pdf?symbol=es/A/RES/60/288" TargetMode="External"/><Relationship Id="rId12" Type="http://schemas.openxmlformats.org/officeDocument/2006/relationships/hyperlink" Target="https://undocs.org/es/A/HRC/20/14" TargetMode="External"/><Relationship Id="rId17" Type="http://schemas.openxmlformats.org/officeDocument/2006/relationships/hyperlink" Target="https://undocs.org/es/A/HRC/20/14" TargetMode="External"/><Relationship Id="rId2" Type="http://schemas.openxmlformats.org/officeDocument/2006/relationships/hyperlink" Target="https://www.oas.org/es/centro_noticias/comunicado_prensa.asp?sCodigo=CIDH-5-S" TargetMode="External"/><Relationship Id="rId16" Type="http://schemas.openxmlformats.org/officeDocument/2006/relationships/hyperlink" Target="https://www.cij.gov.ar/nota-15040-Informe-sobre-el-estado-de-la-causa-relativa-al-atentado-a-la-Embajada-de-Israel.-Informe-de-la-Secretar-a-Judicial-N--3.-Dr-Canevari.html" TargetMode="External"/><Relationship Id="rId20" Type="http://schemas.openxmlformats.org/officeDocument/2006/relationships/hyperlink" Target="https://www.ica.org/en/universal-declaration-archives" TargetMode="External"/><Relationship Id="rId1" Type="http://schemas.openxmlformats.org/officeDocument/2006/relationships/hyperlink" Target="https://www.youtube.com/watch?v=EyTmlo6Anos" TargetMode="External"/><Relationship Id="rId6" Type="http://schemas.openxmlformats.org/officeDocument/2006/relationships/hyperlink" Target="https://undocs.org/pdf?symbol=es/A/RES/51/210" TargetMode="External"/><Relationship Id="rId11" Type="http://schemas.openxmlformats.org/officeDocument/2006/relationships/hyperlink" Target="https://undocs.org/es/A/HRC/20/14" TargetMode="External"/><Relationship Id="rId5" Type="http://schemas.openxmlformats.org/officeDocument/2006/relationships/hyperlink" Target="https://undocs.org/pdf?symbol=es/A/RES/51/210" TargetMode="External"/><Relationship Id="rId15" Type="http://schemas.openxmlformats.org/officeDocument/2006/relationships/hyperlink" Target="https://www.cij.gov.ar/nota-15040-Informe-sobre-el-estado-de-la-causa-relativa-al-atentado-a-la-Embajada-de-Israel.-Informe-de-la-Secretar-a-Judicial-N--3.-Dr-Canevari.html" TargetMode="External"/><Relationship Id="rId10" Type="http://schemas.openxmlformats.org/officeDocument/2006/relationships/hyperlink" Target="http://www.oas.org/juridico/spanish/Terro2.htm" TargetMode="External"/><Relationship Id="rId19" Type="http://schemas.openxmlformats.org/officeDocument/2006/relationships/hyperlink" Target="http://www.daia.org.ar/la-daia/" TargetMode="External"/><Relationship Id="rId4" Type="http://schemas.openxmlformats.org/officeDocument/2006/relationships/hyperlink" Target="https://undocs.org/es/A/RES/49/60" TargetMode="External"/><Relationship Id="rId9" Type="http://schemas.openxmlformats.org/officeDocument/2006/relationships/hyperlink" Target="https://www.oas.org/juridico/spanish/tratados/a-49.html" TargetMode="External"/><Relationship Id="rId14" Type="http://schemas.openxmlformats.org/officeDocument/2006/relationships/hyperlink" Target="https://undocs.org/es/A/HRC/20/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E721D-002D-4991-8A05-8CBF8A81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36516</Words>
  <Characters>208146</Characters>
  <Application>Microsoft Office Word</Application>
  <DocSecurity>0</DocSecurity>
  <Lines>1734</Lines>
  <Paragraphs>488</Paragraphs>
  <ScaleCrop>false</ScaleCrop>
  <Company/>
  <LinksUpToDate>false</LinksUpToDate>
  <CharactersWithSpaces>244174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2021-05-19T16:39:00Z</dcterms:created>
  <dcterms:modified xsi:type="dcterms:W3CDTF">2021-05-19T16:39:00Z</dcterms:modified>
</cp:coreProperties>
</file>