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547E3" w14:textId="77777777" w:rsidR="00040C3A" w:rsidRPr="00E019A9" w:rsidRDefault="00D306D1" w:rsidP="00627C9F">
      <w:pPr>
        <w:jc w:val="both"/>
        <w:rPr>
          <w:rFonts w:asciiTheme="majorHAnsi" w:hAnsiTheme="majorHAnsi" w:cs="Univers"/>
          <w:b/>
          <w:bCs/>
          <w:sz w:val="20"/>
          <w:szCs w:val="20"/>
          <w:lang w:val="es-ES_tradnl"/>
        </w:rPr>
      </w:pPr>
      <w:r w:rsidRPr="00E019A9">
        <w:rPr>
          <w:rFonts w:asciiTheme="majorHAnsi" w:hAnsiTheme="majorHAnsi"/>
          <w:noProof/>
          <w:sz w:val="20"/>
          <w:szCs w:val="20"/>
          <w:lang w:val="es-US" w:eastAsia="es-US"/>
        </w:rPr>
        <mc:AlternateContent>
          <mc:Choice Requires="wps">
            <w:drawing>
              <wp:anchor distT="0" distB="0" distL="114300" distR="114300" simplePos="0" relativeHeight="251661311" behindDoc="0" locked="0" layoutInCell="1" allowOverlap="1" wp14:anchorId="2BC8C230" wp14:editId="4FCE711F">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5622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019A9">
        <w:rPr>
          <w:rFonts w:asciiTheme="majorHAnsi" w:hAnsiTheme="majorHAnsi"/>
          <w:noProof/>
          <w:sz w:val="20"/>
          <w:szCs w:val="20"/>
          <w:lang w:val="es-US" w:eastAsia="es-US"/>
        </w:rPr>
        <mc:AlternateContent>
          <mc:Choice Requires="wps">
            <w:drawing>
              <wp:anchor distT="0" distB="0" distL="114300" distR="114300" simplePos="0" relativeHeight="251673600" behindDoc="0" locked="0" layoutInCell="1" allowOverlap="1" wp14:anchorId="3DD68941" wp14:editId="6A5C580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0C33B9" w14:textId="77777777" w:rsidR="00323FC1" w:rsidRDefault="00323FC1" w:rsidP="00AE5488">
                            <w:r>
                              <w:rPr>
                                <w:noProof/>
                                <w:lang w:val="es-US" w:eastAsia="es-US"/>
                              </w:rPr>
                              <w:drawing>
                                <wp:inline distT="0" distB="0" distL="0" distR="0" wp14:anchorId="244393D6" wp14:editId="4F8B4F2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D68941"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2A0C33B9" w14:textId="77777777" w:rsidR="00323FC1" w:rsidRDefault="00323FC1" w:rsidP="00AE5488">
                      <w:r>
                        <w:rPr>
                          <w:noProof/>
                          <w:lang w:val="es-US" w:eastAsia="es-US"/>
                        </w:rPr>
                        <w:drawing>
                          <wp:inline distT="0" distB="0" distL="0" distR="0" wp14:anchorId="244393D6" wp14:editId="4F8B4F2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41396CC" w14:textId="77777777" w:rsidR="00040C3A" w:rsidRPr="00E019A9" w:rsidRDefault="00040C3A" w:rsidP="00040C3A">
      <w:pPr>
        <w:tabs>
          <w:tab w:val="center" w:pos="5400"/>
        </w:tabs>
        <w:suppressAutoHyphens/>
        <w:jc w:val="both"/>
        <w:rPr>
          <w:rFonts w:asciiTheme="majorHAnsi" w:hAnsiTheme="majorHAnsi"/>
          <w:sz w:val="20"/>
          <w:szCs w:val="20"/>
          <w:lang w:val="es-ES"/>
        </w:rPr>
      </w:pPr>
    </w:p>
    <w:p w14:paraId="3E8CE6F4" w14:textId="77777777" w:rsidR="00040C3A" w:rsidRPr="00E019A9" w:rsidRDefault="00040C3A" w:rsidP="00040C3A">
      <w:pPr>
        <w:tabs>
          <w:tab w:val="center" w:pos="5400"/>
        </w:tabs>
        <w:suppressAutoHyphens/>
        <w:jc w:val="both"/>
        <w:rPr>
          <w:rFonts w:asciiTheme="majorHAnsi" w:hAnsiTheme="majorHAnsi"/>
          <w:sz w:val="20"/>
          <w:szCs w:val="20"/>
          <w:lang w:val="es-ES"/>
        </w:rPr>
      </w:pPr>
    </w:p>
    <w:p w14:paraId="3E84E61F" w14:textId="77777777" w:rsidR="005128E4" w:rsidRPr="00E019A9" w:rsidRDefault="005128E4" w:rsidP="00040C3A">
      <w:pPr>
        <w:tabs>
          <w:tab w:val="center" w:pos="5400"/>
        </w:tabs>
        <w:suppressAutoHyphens/>
        <w:rPr>
          <w:rFonts w:asciiTheme="majorHAnsi" w:hAnsiTheme="majorHAnsi"/>
          <w:sz w:val="20"/>
          <w:szCs w:val="20"/>
          <w:lang w:val="es-ES_tradnl"/>
        </w:rPr>
      </w:pPr>
    </w:p>
    <w:p w14:paraId="0B7D180B" w14:textId="77777777" w:rsidR="005128E4" w:rsidRPr="00E019A9" w:rsidRDefault="005128E4" w:rsidP="00040C3A">
      <w:pPr>
        <w:tabs>
          <w:tab w:val="center" w:pos="5400"/>
        </w:tabs>
        <w:suppressAutoHyphens/>
        <w:rPr>
          <w:rFonts w:asciiTheme="majorHAnsi" w:hAnsiTheme="majorHAnsi"/>
          <w:sz w:val="20"/>
          <w:szCs w:val="20"/>
          <w:lang w:val="es-ES_tradnl"/>
        </w:rPr>
      </w:pPr>
    </w:p>
    <w:p w14:paraId="59101D3C" w14:textId="77777777" w:rsidR="005128E4" w:rsidRPr="00E019A9" w:rsidRDefault="005128E4" w:rsidP="00040C3A">
      <w:pPr>
        <w:tabs>
          <w:tab w:val="center" w:pos="5400"/>
        </w:tabs>
        <w:suppressAutoHyphens/>
        <w:rPr>
          <w:rFonts w:asciiTheme="majorHAnsi" w:hAnsiTheme="majorHAnsi"/>
          <w:sz w:val="20"/>
          <w:szCs w:val="20"/>
          <w:lang w:val="es-ES_tradnl"/>
        </w:rPr>
      </w:pPr>
    </w:p>
    <w:p w14:paraId="5A3E6C53" w14:textId="77777777" w:rsidR="00040C3A" w:rsidRPr="00E019A9" w:rsidRDefault="00040C3A" w:rsidP="005128E4">
      <w:pPr>
        <w:tabs>
          <w:tab w:val="center" w:pos="5400"/>
        </w:tabs>
        <w:suppressAutoHyphens/>
        <w:jc w:val="center"/>
        <w:rPr>
          <w:rFonts w:asciiTheme="majorHAnsi" w:hAnsiTheme="majorHAnsi"/>
          <w:sz w:val="20"/>
          <w:szCs w:val="20"/>
          <w:lang w:val="es-ES_tradnl"/>
        </w:rPr>
      </w:pPr>
    </w:p>
    <w:p w14:paraId="27CE8AB7" w14:textId="77777777" w:rsidR="00040C3A" w:rsidRPr="00E019A9" w:rsidRDefault="00040C3A" w:rsidP="005128E4">
      <w:pPr>
        <w:tabs>
          <w:tab w:val="center" w:pos="5400"/>
        </w:tabs>
        <w:suppressAutoHyphens/>
        <w:jc w:val="center"/>
        <w:rPr>
          <w:rFonts w:asciiTheme="majorHAnsi" w:hAnsiTheme="majorHAnsi"/>
          <w:sz w:val="20"/>
          <w:szCs w:val="20"/>
          <w:lang w:val="es-ES_tradnl"/>
        </w:rPr>
      </w:pPr>
    </w:p>
    <w:p w14:paraId="39AC4ACC" w14:textId="77777777" w:rsidR="005B52B0" w:rsidRPr="00E019A9" w:rsidRDefault="005B52B0" w:rsidP="005128E4">
      <w:pPr>
        <w:tabs>
          <w:tab w:val="center" w:pos="5400"/>
        </w:tabs>
        <w:suppressAutoHyphens/>
        <w:jc w:val="center"/>
        <w:rPr>
          <w:rFonts w:asciiTheme="majorHAnsi" w:hAnsiTheme="majorHAnsi"/>
          <w:sz w:val="20"/>
          <w:szCs w:val="20"/>
          <w:lang w:val="es-ES_tradnl"/>
        </w:rPr>
      </w:pPr>
    </w:p>
    <w:p w14:paraId="21BE566B" w14:textId="77777777" w:rsidR="005B52B0" w:rsidRPr="00E019A9" w:rsidRDefault="005B52B0" w:rsidP="005128E4">
      <w:pPr>
        <w:tabs>
          <w:tab w:val="center" w:pos="5400"/>
        </w:tabs>
        <w:suppressAutoHyphens/>
        <w:jc w:val="center"/>
        <w:rPr>
          <w:rFonts w:asciiTheme="majorHAnsi" w:hAnsiTheme="majorHAnsi"/>
          <w:sz w:val="20"/>
          <w:szCs w:val="20"/>
          <w:lang w:val="es-ES_tradnl"/>
        </w:rPr>
      </w:pPr>
    </w:p>
    <w:p w14:paraId="1E060656" w14:textId="77777777" w:rsidR="005B52B0" w:rsidRPr="00E019A9" w:rsidRDefault="005B52B0" w:rsidP="005128E4">
      <w:pPr>
        <w:tabs>
          <w:tab w:val="center" w:pos="5400"/>
        </w:tabs>
        <w:suppressAutoHyphens/>
        <w:jc w:val="center"/>
        <w:rPr>
          <w:rFonts w:asciiTheme="majorHAnsi" w:hAnsiTheme="majorHAnsi"/>
          <w:sz w:val="20"/>
          <w:szCs w:val="20"/>
          <w:lang w:val="es-ES_tradnl"/>
        </w:rPr>
      </w:pPr>
    </w:p>
    <w:p w14:paraId="682DE54F" w14:textId="77777777" w:rsidR="00040C3A" w:rsidRPr="00E019A9" w:rsidRDefault="00040C3A" w:rsidP="00040C3A">
      <w:pPr>
        <w:tabs>
          <w:tab w:val="center" w:pos="5400"/>
        </w:tabs>
        <w:suppressAutoHyphens/>
        <w:jc w:val="center"/>
        <w:rPr>
          <w:rFonts w:asciiTheme="majorHAnsi" w:hAnsiTheme="majorHAnsi"/>
          <w:sz w:val="20"/>
          <w:szCs w:val="20"/>
          <w:lang w:val="es-ES_tradnl"/>
        </w:rPr>
      </w:pPr>
    </w:p>
    <w:p w14:paraId="43C30042" w14:textId="77777777" w:rsidR="00040C3A" w:rsidRPr="00E019A9" w:rsidRDefault="00040C3A" w:rsidP="00040C3A">
      <w:pPr>
        <w:tabs>
          <w:tab w:val="center" w:pos="5400"/>
        </w:tabs>
        <w:suppressAutoHyphens/>
        <w:jc w:val="center"/>
        <w:rPr>
          <w:rFonts w:asciiTheme="majorHAnsi" w:hAnsiTheme="majorHAnsi"/>
          <w:sz w:val="20"/>
          <w:szCs w:val="20"/>
          <w:lang w:val="es-ES_tradnl"/>
        </w:rPr>
      </w:pPr>
    </w:p>
    <w:p w14:paraId="2AEDC7C8" w14:textId="77777777" w:rsidR="00040C3A" w:rsidRPr="00E019A9" w:rsidRDefault="003D3BC2" w:rsidP="00040C3A">
      <w:pPr>
        <w:tabs>
          <w:tab w:val="center" w:pos="5400"/>
        </w:tabs>
        <w:suppressAutoHyphens/>
        <w:jc w:val="center"/>
        <w:rPr>
          <w:rFonts w:asciiTheme="majorHAnsi" w:hAnsiTheme="majorHAnsi"/>
          <w:sz w:val="20"/>
          <w:szCs w:val="20"/>
          <w:lang w:val="es-ES_tradnl"/>
        </w:rPr>
      </w:pPr>
      <w:r w:rsidRPr="00E019A9">
        <w:rPr>
          <w:rFonts w:asciiTheme="majorHAnsi" w:hAnsiTheme="majorHAnsi"/>
          <w:noProof/>
          <w:sz w:val="20"/>
          <w:szCs w:val="20"/>
          <w:lang w:val="es-US" w:eastAsia="es-US"/>
        </w:rPr>
        <mc:AlternateContent>
          <mc:Choice Requires="wps">
            <w:drawing>
              <wp:anchor distT="0" distB="0" distL="114300" distR="114300" simplePos="0" relativeHeight="251669504" behindDoc="0" locked="0" layoutInCell="1" allowOverlap="1" wp14:anchorId="73AA0771" wp14:editId="5CEC6067">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07BC01" w14:textId="78EAD27C" w:rsidR="00323FC1" w:rsidRPr="004E2649" w:rsidRDefault="00323FC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Pr>
                                <w:rFonts w:asciiTheme="majorHAnsi" w:hAnsiTheme="majorHAnsi" w:cs="Arial"/>
                                <w:b/>
                                <w:bCs/>
                                <w:color w:val="0D0D0D" w:themeColor="text1" w:themeTint="F2"/>
                                <w:sz w:val="36"/>
                                <w:szCs w:val="22"/>
                                <w:lang w:val="es-ES_tradnl"/>
                              </w:rPr>
                              <w:t>72</w:t>
                            </w:r>
                            <w:r w:rsidRPr="004E2649">
                              <w:rPr>
                                <w:rFonts w:asciiTheme="majorHAnsi" w:hAnsiTheme="majorHAnsi" w:cs="Arial"/>
                                <w:b/>
                                <w:bCs/>
                                <w:color w:val="0D0D0D" w:themeColor="text1" w:themeTint="F2"/>
                                <w:sz w:val="36"/>
                                <w:szCs w:val="22"/>
                                <w:lang w:val="es-ES_tradnl"/>
                              </w:rPr>
                              <w:t>/</w:t>
                            </w:r>
                            <w:r>
                              <w:rPr>
                                <w:rFonts w:asciiTheme="majorHAnsi" w:hAnsiTheme="majorHAnsi" w:cs="Arial"/>
                                <w:b/>
                                <w:bCs/>
                                <w:color w:val="0D0D0D" w:themeColor="text1" w:themeTint="F2"/>
                                <w:sz w:val="36"/>
                                <w:szCs w:val="22"/>
                                <w:lang w:val="es-ES_tradnl"/>
                              </w:rPr>
                              <w:t>21</w:t>
                            </w:r>
                          </w:p>
                          <w:p w14:paraId="7CC43978" w14:textId="77777777" w:rsidR="00323FC1" w:rsidRPr="004E2649" w:rsidRDefault="00323FC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13.054</w:t>
                            </w:r>
                          </w:p>
                          <w:p w14:paraId="0EDD98E6" w14:textId="77777777" w:rsidR="00323FC1" w:rsidRPr="0010736F" w:rsidRDefault="00323FC1"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FONDO</w:t>
                            </w:r>
                          </w:p>
                          <w:p w14:paraId="663F5D09" w14:textId="77777777" w:rsidR="00323FC1" w:rsidRPr="0010736F" w:rsidRDefault="00323FC1" w:rsidP="00997BC5">
                            <w:pPr>
                              <w:spacing w:line="276" w:lineRule="auto"/>
                              <w:rPr>
                                <w:rFonts w:asciiTheme="majorHAnsi" w:hAnsiTheme="majorHAnsi" w:cs="Arial"/>
                                <w:color w:val="0D0D0D" w:themeColor="text1" w:themeTint="F2"/>
                                <w:szCs w:val="22"/>
                                <w:lang w:val="es-ES_tradnl"/>
                              </w:rPr>
                            </w:pPr>
                            <w:bookmarkStart w:id="0" w:name="_ftnref1"/>
                          </w:p>
                          <w:p w14:paraId="27E105ED" w14:textId="77777777" w:rsidR="00323FC1" w:rsidRDefault="00323FC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ARTURO BENITO VEGA GONZÁLEZ Y OTROS</w:t>
                            </w:r>
                          </w:p>
                          <w:p w14:paraId="7EAD1EE6" w14:textId="77777777" w:rsidR="00323FC1" w:rsidRPr="0010736F" w:rsidRDefault="00323FC1" w:rsidP="00997BC5">
                            <w:pPr>
                              <w:spacing w:line="276" w:lineRule="auto"/>
                              <w:rPr>
                                <w:rFonts w:asciiTheme="majorHAnsi" w:hAnsiTheme="majorHAnsi" w:cs="Arial"/>
                                <w:color w:val="0D0D0D" w:themeColor="text1" w:themeTint="F2"/>
                                <w:szCs w:val="22"/>
                                <w:lang w:val="es-ES_tradnl"/>
                              </w:rPr>
                            </w:pPr>
                          </w:p>
                          <w:bookmarkEnd w:id="0"/>
                          <w:p w14:paraId="52875A89" w14:textId="77777777" w:rsidR="00323FC1" w:rsidRPr="0010736F" w:rsidRDefault="00323FC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2DA912B6" w14:textId="77777777" w:rsidR="00323FC1" w:rsidRPr="00AE5488" w:rsidRDefault="00323FC1"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A0771"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0D07BC01" w14:textId="78EAD27C" w:rsidR="00323FC1" w:rsidRPr="004E2649" w:rsidRDefault="00323FC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Pr>
                          <w:rFonts w:asciiTheme="majorHAnsi" w:hAnsiTheme="majorHAnsi" w:cs="Arial"/>
                          <w:b/>
                          <w:bCs/>
                          <w:color w:val="0D0D0D" w:themeColor="text1" w:themeTint="F2"/>
                          <w:sz w:val="36"/>
                          <w:szCs w:val="22"/>
                          <w:lang w:val="es-ES_tradnl"/>
                        </w:rPr>
                        <w:t>72</w:t>
                      </w:r>
                      <w:r w:rsidRPr="004E2649">
                        <w:rPr>
                          <w:rFonts w:asciiTheme="majorHAnsi" w:hAnsiTheme="majorHAnsi" w:cs="Arial"/>
                          <w:b/>
                          <w:bCs/>
                          <w:color w:val="0D0D0D" w:themeColor="text1" w:themeTint="F2"/>
                          <w:sz w:val="36"/>
                          <w:szCs w:val="22"/>
                          <w:lang w:val="es-ES_tradnl"/>
                        </w:rPr>
                        <w:t>/</w:t>
                      </w:r>
                      <w:r>
                        <w:rPr>
                          <w:rFonts w:asciiTheme="majorHAnsi" w:hAnsiTheme="majorHAnsi" w:cs="Arial"/>
                          <w:b/>
                          <w:bCs/>
                          <w:color w:val="0D0D0D" w:themeColor="text1" w:themeTint="F2"/>
                          <w:sz w:val="36"/>
                          <w:szCs w:val="22"/>
                          <w:lang w:val="es-ES_tradnl"/>
                        </w:rPr>
                        <w:t>21</w:t>
                      </w:r>
                    </w:p>
                    <w:p w14:paraId="7CC43978" w14:textId="77777777" w:rsidR="00323FC1" w:rsidRPr="004E2649" w:rsidRDefault="00323FC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13.054</w:t>
                      </w:r>
                    </w:p>
                    <w:p w14:paraId="0EDD98E6" w14:textId="77777777" w:rsidR="00323FC1" w:rsidRPr="0010736F" w:rsidRDefault="00323FC1"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FONDO</w:t>
                      </w:r>
                    </w:p>
                    <w:p w14:paraId="663F5D09" w14:textId="77777777" w:rsidR="00323FC1" w:rsidRPr="0010736F" w:rsidRDefault="00323FC1" w:rsidP="00997BC5">
                      <w:pPr>
                        <w:spacing w:line="276" w:lineRule="auto"/>
                        <w:rPr>
                          <w:rFonts w:asciiTheme="majorHAnsi" w:hAnsiTheme="majorHAnsi" w:cs="Arial"/>
                          <w:color w:val="0D0D0D" w:themeColor="text1" w:themeTint="F2"/>
                          <w:szCs w:val="22"/>
                          <w:lang w:val="es-ES_tradnl"/>
                        </w:rPr>
                      </w:pPr>
                      <w:bookmarkStart w:id="1" w:name="_ftnref1"/>
                    </w:p>
                    <w:p w14:paraId="27E105ED" w14:textId="77777777" w:rsidR="00323FC1" w:rsidRDefault="00323FC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ARTURO BENITO VEGA GONZÁLEZ Y OTROS</w:t>
                      </w:r>
                    </w:p>
                    <w:p w14:paraId="7EAD1EE6" w14:textId="77777777" w:rsidR="00323FC1" w:rsidRPr="0010736F" w:rsidRDefault="00323FC1" w:rsidP="00997BC5">
                      <w:pPr>
                        <w:spacing w:line="276" w:lineRule="auto"/>
                        <w:rPr>
                          <w:rFonts w:asciiTheme="majorHAnsi" w:hAnsiTheme="majorHAnsi" w:cs="Arial"/>
                          <w:color w:val="0D0D0D" w:themeColor="text1" w:themeTint="F2"/>
                          <w:szCs w:val="22"/>
                          <w:lang w:val="es-ES_tradnl"/>
                        </w:rPr>
                      </w:pPr>
                    </w:p>
                    <w:bookmarkEnd w:id="1"/>
                    <w:p w14:paraId="52875A89" w14:textId="77777777" w:rsidR="00323FC1" w:rsidRPr="0010736F" w:rsidRDefault="00323FC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2DA912B6" w14:textId="77777777" w:rsidR="00323FC1" w:rsidRPr="00AE5488" w:rsidRDefault="00323FC1" w:rsidP="007A5817">
                      <w:pPr>
                        <w:rPr>
                          <w:color w:val="0D0D0D" w:themeColor="text1" w:themeTint="F2"/>
                          <w:lang w:val="es-ES_tradnl"/>
                        </w:rPr>
                      </w:pPr>
                    </w:p>
                  </w:txbxContent>
                </v:textbox>
              </v:shape>
            </w:pict>
          </mc:Fallback>
        </mc:AlternateContent>
      </w:r>
      <w:r w:rsidR="004E2649" w:rsidRPr="00E019A9">
        <w:rPr>
          <w:rFonts w:asciiTheme="majorHAnsi" w:hAnsiTheme="majorHAnsi"/>
          <w:noProof/>
          <w:sz w:val="20"/>
          <w:szCs w:val="20"/>
          <w:lang w:val="es-US" w:eastAsia="es-US"/>
        </w:rPr>
        <mc:AlternateContent>
          <mc:Choice Requires="wps">
            <w:drawing>
              <wp:anchor distT="0" distB="0" distL="114300" distR="114300" simplePos="0" relativeHeight="251671552" behindDoc="0" locked="0" layoutInCell="1" allowOverlap="1" wp14:anchorId="733B2E0D" wp14:editId="4062925F">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2627AD" w14:textId="648E2139" w:rsidR="00323FC1" w:rsidRPr="004E2649" w:rsidRDefault="00323FC1"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14:paraId="23CCBB37" w14:textId="5476835A" w:rsidR="00323FC1" w:rsidRPr="004E2649" w:rsidRDefault="00323FC1"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77</w:t>
                            </w:r>
                          </w:p>
                          <w:p w14:paraId="0036FCA2" w14:textId="39933091" w:rsidR="00323FC1" w:rsidRPr="00384A58" w:rsidRDefault="00323FC1"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16 de abril de 2021</w:t>
                            </w:r>
                          </w:p>
                          <w:p w14:paraId="5886898C" w14:textId="77777777" w:rsidR="00323FC1" w:rsidRPr="00384A58" w:rsidRDefault="00323FC1" w:rsidP="007A5817">
                            <w:pPr>
                              <w:spacing w:line="276" w:lineRule="auto"/>
                              <w:jc w:val="right"/>
                              <w:rPr>
                                <w:rFonts w:asciiTheme="minorHAnsi" w:hAnsiTheme="minorHAnsi"/>
                                <w:color w:val="FFFFFF" w:themeColor="background1"/>
                                <w:sz w:val="22"/>
                                <w:lang w:val="es-AR"/>
                              </w:rPr>
                            </w:pPr>
                            <w:r w:rsidRPr="00384A58">
                              <w:rPr>
                                <w:rFonts w:asciiTheme="minorHAnsi" w:hAnsiTheme="minorHAnsi"/>
                                <w:color w:val="FFFFFF" w:themeColor="background1"/>
                                <w:sz w:val="22"/>
                                <w:lang w:val="es-AR"/>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B2E0D"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052627AD" w14:textId="648E2139" w:rsidR="00323FC1" w:rsidRPr="004E2649" w:rsidRDefault="00323FC1"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14:paraId="23CCBB37" w14:textId="5476835A" w:rsidR="00323FC1" w:rsidRPr="004E2649" w:rsidRDefault="00323FC1"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77</w:t>
                      </w:r>
                    </w:p>
                    <w:p w14:paraId="0036FCA2" w14:textId="39933091" w:rsidR="00323FC1" w:rsidRPr="00384A58" w:rsidRDefault="00323FC1"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16 de abril de 2021</w:t>
                      </w:r>
                    </w:p>
                    <w:p w14:paraId="5886898C" w14:textId="77777777" w:rsidR="00323FC1" w:rsidRPr="00384A58" w:rsidRDefault="00323FC1" w:rsidP="007A5817">
                      <w:pPr>
                        <w:spacing w:line="276" w:lineRule="auto"/>
                        <w:jc w:val="right"/>
                        <w:rPr>
                          <w:rFonts w:asciiTheme="minorHAnsi" w:hAnsiTheme="minorHAnsi"/>
                          <w:color w:val="FFFFFF" w:themeColor="background1"/>
                          <w:sz w:val="22"/>
                          <w:lang w:val="es-AR"/>
                        </w:rPr>
                      </w:pPr>
                      <w:r w:rsidRPr="00384A58">
                        <w:rPr>
                          <w:rFonts w:asciiTheme="minorHAnsi" w:hAnsiTheme="minorHAnsi"/>
                          <w:color w:val="FFFFFF" w:themeColor="background1"/>
                          <w:sz w:val="22"/>
                          <w:lang w:val="es-AR"/>
                        </w:rPr>
                        <w:t>Original: español</w:t>
                      </w:r>
                    </w:p>
                  </w:txbxContent>
                </v:textbox>
              </v:shape>
            </w:pict>
          </mc:Fallback>
        </mc:AlternateContent>
      </w:r>
    </w:p>
    <w:p w14:paraId="7F161B65" w14:textId="77777777" w:rsidR="00040C3A" w:rsidRPr="00E019A9" w:rsidRDefault="00040C3A" w:rsidP="00040C3A">
      <w:pPr>
        <w:tabs>
          <w:tab w:val="center" w:pos="5400"/>
        </w:tabs>
        <w:suppressAutoHyphens/>
        <w:jc w:val="center"/>
        <w:rPr>
          <w:rFonts w:asciiTheme="majorHAnsi" w:hAnsiTheme="majorHAnsi"/>
          <w:sz w:val="20"/>
          <w:szCs w:val="20"/>
          <w:lang w:val="es-ES_tradnl"/>
        </w:rPr>
      </w:pPr>
    </w:p>
    <w:p w14:paraId="0E25E66F" w14:textId="77777777" w:rsidR="00040C3A" w:rsidRPr="00E019A9" w:rsidRDefault="00040C3A" w:rsidP="00040C3A">
      <w:pPr>
        <w:tabs>
          <w:tab w:val="center" w:pos="5400"/>
        </w:tabs>
        <w:suppressAutoHyphens/>
        <w:jc w:val="center"/>
        <w:rPr>
          <w:rFonts w:asciiTheme="majorHAnsi" w:hAnsiTheme="majorHAnsi"/>
          <w:sz w:val="20"/>
          <w:szCs w:val="20"/>
          <w:lang w:val="es-ES_tradnl"/>
        </w:rPr>
      </w:pPr>
    </w:p>
    <w:p w14:paraId="5F05E3CC" w14:textId="77777777" w:rsidR="00040C3A" w:rsidRPr="00E019A9" w:rsidRDefault="00040C3A" w:rsidP="00040C3A">
      <w:pPr>
        <w:tabs>
          <w:tab w:val="center" w:pos="5400"/>
        </w:tabs>
        <w:suppressAutoHyphens/>
        <w:jc w:val="center"/>
        <w:rPr>
          <w:rFonts w:asciiTheme="majorHAnsi" w:hAnsiTheme="majorHAnsi" w:cs="Arial"/>
          <w:sz w:val="20"/>
          <w:szCs w:val="20"/>
          <w:lang w:val="es-ES_tradnl"/>
        </w:rPr>
      </w:pPr>
    </w:p>
    <w:p w14:paraId="00010126" w14:textId="77777777" w:rsidR="00040C3A" w:rsidRPr="00E019A9" w:rsidRDefault="00040C3A" w:rsidP="00040C3A">
      <w:pPr>
        <w:tabs>
          <w:tab w:val="center" w:pos="5400"/>
        </w:tabs>
        <w:suppressAutoHyphens/>
        <w:jc w:val="center"/>
        <w:rPr>
          <w:rFonts w:asciiTheme="majorHAnsi" w:hAnsiTheme="majorHAnsi"/>
          <w:sz w:val="20"/>
          <w:szCs w:val="20"/>
          <w:lang w:val="es-ES_tradnl"/>
        </w:rPr>
      </w:pPr>
    </w:p>
    <w:p w14:paraId="4195C1D5" w14:textId="77777777" w:rsidR="00040C3A" w:rsidRPr="00E019A9" w:rsidRDefault="00040C3A" w:rsidP="00040C3A">
      <w:pPr>
        <w:tabs>
          <w:tab w:val="center" w:pos="5400"/>
        </w:tabs>
        <w:suppressAutoHyphens/>
        <w:jc w:val="center"/>
        <w:rPr>
          <w:rFonts w:asciiTheme="majorHAnsi" w:hAnsiTheme="majorHAnsi"/>
          <w:sz w:val="20"/>
          <w:szCs w:val="20"/>
          <w:lang w:val="es-ES_tradnl"/>
        </w:rPr>
      </w:pPr>
    </w:p>
    <w:p w14:paraId="2939D69B" w14:textId="77777777" w:rsidR="00040C3A" w:rsidRPr="00E019A9" w:rsidRDefault="00040C3A" w:rsidP="00040C3A">
      <w:pPr>
        <w:tabs>
          <w:tab w:val="center" w:pos="5400"/>
        </w:tabs>
        <w:suppressAutoHyphens/>
        <w:jc w:val="center"/>
        <w:rPr>
          <w:rFonts w:asciiTheme="majorHAnsi" w:hAnsiTheme="majorHAnsi"/>
          <w:sz w:val="20"/>
          <w:szCs w:val="20"/>
          <w:lang w:val="es-ES_tradnl"/>
        </w:rPr>
      </w:pPr>
    </w:p>
    <w:p w14:paraId="2AEAD1ED" w14:textId="77777777" w:rsidR="00040C3A" w:rsidRPr="00E019A9" w:rsidRDefault="00040C3A" w:rsidP="00040C3A">
      <w:pPr>
        <w:tabs>
          <w:tab w:val="center" w:pos="5400"/>
        </w:tabs>
        <w:suppressAutoHyphens/>
        <w:jc w:val="center"/>
        <w:rPr>
          <w:rFonts w:asciiTheme="majorHAnsi" w:hAnsiTheme="majorHAnsi"/>
          <w:sz w:val="20"/>
          <w:szCs w:val="20"/>
          <w:lang w:val="es-ES_tradnl"/>
        </w:rPr>
      </w:pPr>
    </w:p>
    <w:p w14:paraId="0D842DDE" w14:textId="77777777" w:rsidR="005128E4" w:rsidRPr="00E019A9" w:rsidRDefault="005128E4" w:rsidP="00040C3A">
      <w:pPr>
        <w:tabs>
          <w:tab w:val="center" w:pos="5400"/>
        </w:tabs>
        <w:suppressAutoHyphens/>
        <w:jc w:val="center"/>
        <w:rPr>
          <w:rFonts w:asciiTheme="majorHAnsi" w:hAnsiTheme="majorHAnsi"/>
          <w:sz w:val="20"/>
          <w:szCs w:val="20"/>
          <w:lang w:val="es-ES_tradnl"/>
        </w:rPr>
      </w:pPr>
    </w:p>
    <w:p w14:paraId="22E05D0A" w14:textId="77777777" w:rsidR="00040C3A" w:rsidRPr="00E019A9" w:rsidRDefault="00040C3A" w:rsidP="00040C3A">
      <w:pPr>
        <w:tabs>
          <w:tab w:val="center" w:pos="5400"/>
        </w:tabs>
        <w:suppressAutoHyphens/>
        <w:jc w:val="center"/>
        <w:rPr>
          <w:rFonts w:asciiTheme="majorHAnsi" w:hAnsiTheme="majorHAnsi"/>
          <w:sz w:val="20"/>
          <w:szCs w:val="20"/>
          <w:lang w:val="es-ES_tradnl"/>
        </w:rPr>
      </w:pPr>
    </w:p>
    <w:p w14:paraId="145E15BD" w14:textId="77777777" w:rsidR="005128E4" w:rsidRPr="00E019A9" w:rsidRDefault="005128E4" w:rsidP="00040C3A">
      <w:pPr>
        <w:tabs>
          <w:tab w:val="center" w:pos="5400"/>
        </w:tabs>
        <w:suppressAutoHyphens/>
        <w:jc w:val="center"/>
        <w:rPr>
          <w:rFonts w:asciiTheme="majorHAnsi" w:hAnsiTheme="majorHAnsi"/>
          <w:sz w:val="20"/>
          <w:szCs w:val="20"/>
          <w:lang w:val="es-ES_tradnl"/>
        </w:rPr>
      </w:pPr>
    </w:p>
    <w:p w14:paraId="7874A39C" w14:textId="77777777" w:rsidR="005128E4" w:rsidRPr="00E019A9" w:rsidRDefault="005128E4" w:rsidP="00040C3A">
      <w:pPr>
        <w:tabs>
          <w:tab w:val="center" w:pos="5400"/>
        </w:tabs>
        <w:suppressAutoHyphens/>
        <w:jc w:val="center"/>
        <w:rPr>
          <w:rFonts w:asciiTheme="majorHAnsi" w:hAnsiTheme="majorHAnsi"/>
          <w:sz w:val="20"/>
          <w:szCs w:val="20"/>
          <w:lang w:val="es-ES_tradnl"/>
        </w:rPr>
      </w:pPr>
    </w:p>
    <w:p w14:paraId="2DB5A177" w14:textId="77777777" w:rsidR="005128E4" w:rsidRPr="00E019A9" w:rsidRDefault="005128E4" w:rsidP="00040C3A">
      <w:pPr>
        <w:tabs>
          <w:tab w:val="center" w:pos="5400"/>
        </w:tabs>
        <w:suppressAutoHyphens/>
        <w:jc w:val="center"/>
        <w:rPr>
          <w:rFonts w:asciiTheme="majorHAnsi" w:hAnsiTheme="majorHAnsi"/>
          <w:sz w:val="20"/>
          <w:szCs w:val="20"/>
          <w:lang w:val="es-ES_tradnl"/>
        </w:rPr>
      </w:pPr>
    </w:p>
    <w:p w14:paraId="2C002D92" w14:textId="77777777" w:rsidR="00040C3A" w:rsidRPr="00E019A9" w:rsidRDefault="00040C3A" w:rsidP="00040C3A">
      <w:pPr>
        <w:tabs>
          <w:tab w:val="center" w:pos="5400"/>
        </w:tabs>
        <w:suppressAutoHyphens/>
        <w:jc w:val="center"/>
        <w:rPr>
          <w:rFonts w:asciiTheme="majorHAnsi" w:hAnsiTheme="majorHAnsi"/>
          <w:sz w:val="20"/>
          <w:szCs w:val="20"/>
          <w:lang w:val="es-ES_tradnl"/>
        </w:rPr>
      </w:pPr>
    </w:p>
    <w:p w14:paraId="1DE0FDA0" w14:textId="77777777" w:rsidR="00040C3A" w:rsidRPr="00E019A9" w:rsidRDefault="00040C3A" w:rsidP="00040C3A">
      <w:pPr>
        <w:tabs>
          <w:tab w:val="center" w:pos="5400"/>
        </w:tabs>
        <w:suppressAutoHyphens/>
        <w:jc w:val="center"/>
        <w:rPr>
          <w:rFonts w:asciiTheme="majorHAnsi" w:hAnsiTheme="majorHAnsi"/>
          <w:sz w:val="20"/>
          <w:szCs w:val="20"/>
          <w:lang w:val="es-ES_tradnl"/>
        </w:rPr>
      </w:pPr>
    </w:p>
    <w:p w14:paraId="5B6EB6D2" w14:textId="77777777" w:rsidR="00A50FCF" w:rsidRPr="00E019A9" w:rsidRDefault="00A50FCF" w:rsidP="00040C3A">
      <w:pPr>
        <w:tabs>
          <w:tab w:val="center" w:pos="5400"/>
        </w:tabs>
        <w:suppressAutoHyphens/>
        <w:jc w:val="center"/>
        <w:rPr>
          <w:rFonts w:asciiTheme="majorHAnsi" w:hAnsiTheme="majorHAnsi"/>
          <w:sz w:val="20"/>
          <w:szCs w:val="20"/>
          <w:lang w:val="es-ES_tradnl"/>
        </w:rPr>
      </w:pPr>
    </w:p>
    <w:p w14:paraId="41686C02" w14:textId="77777777" w:rsidR="00A50FCF" w:rsidRPr="00E019A9" w:rsidRDefault="00A50FCF" w:rsidP="00040C3A">
      <w:pPr>
        <w:tabs>
          <w:tab w:val="center" w:pos="5400"/>
        </w:tabs>
        <w:suppressAutoHyphens/>
        <w:jc w:val="center"/>
        <w:rPr>
          <w:rFonts w:asciiTheme="majorHAnsi" w:hAnsiTheme="majorHAnsi"/>
          <w:sz w:val="20"/>
          <w:szCs w:val="20"/>
          <w:lang w:val="es-ES_tradnl"/>
        </w:rPr>
      </w:pPr>
    </w:p>
    <w:p w14:paraId="5E045AC6" w14:textId="77777777" w:rsidR="00A50FCF" w:rsidRPr="00E019A9" w:rsidRDefault="00A50FCF" w:rsidP="00040C3A">
      <w:pPr>
        <w:tabs>
          <w:tab w:val="center" w:pos="5400"/>
        </w:tabs>
        <w:suppressAutoHyphens/>
        <w:jc w:val="center"/>
        <w:rPr>
          <w:rFonts w:asciiTheme="majorHAnsi" w:hAnsiTheme="majorHAnsi"/>
          <w:sz w:val="20"/>
          <w:szCs w:val="20"/>
          <w:lang w:val="es-ES_tradnl"/>
        </w:rPr>
      </w:pPr>
    </w:p>
    <w:p w14:paraId="681B33CC" w14:textId="77777777" w:rsidR="00A50FCF" w:rsidRPr="00E019A9" w:rsidRDefault="00A50FCF" w:rsidP="00040C3A">
      <w:pPr>
        <w:tabs>
          <w:tab w:val="center" w:pos="5400"/>
        </w:tabs>
        <w:suppressAutoHyphens/>
        <w:jc w:val="center"/>
        <w:rPr>
          <w:rFonts w:asciiTheme="majorHAnsi" w:hAnsiTheme="majorHAnsi"/>
          <w:sz w:val="20"/>
          <w:szCs w:val="20"/>
          <w:lang w:val="es-ES_tradnl"/>
        </w:rPr>
      </w:pPr>
    </w:p>
    <w:p w14:paraId="769EF917" w14:textId="77777777" w:rsidR="00A50FCF" w:rsidRPr="00E019A9" w:rsidRDefault="00A50FCF" w:rsidP="00040C3A">
      <w:pPr>
        <w:tabs>
          <w:tab w:val="center" w:pos="5400"/>
        </w:tabs>
        <w:suppressAutoHyphens/>
        <w:jc w:val="center"/>
        <w:rPr>
          <w:rFonts w:asciiTheme="majorHAnsi" w:hAnsiTheme="majorHAnsi"/>
          <w:sz w:val="20"/>
          <w:szCs w:val="20"/>
          <w:lang w:val="es-ES_tradnl"/>
        </w:rPr>
      </w:pPr>
    </w:p>
    <w:p w14:paraId="4BC6DB58" w14:textId="77777777" w:rsidR="00A50FCF" w:rsidRPr="00E019A9" w:rsidRDefault="00A50FCF" w:rsidP="00040C3A">
      <w:pPr>
        <w:tabs>
          <w:tab w:val="center" w:pos="5400"/>
        </w:tabs>
        <w:suppressAutoHyphens/>
        <w:jc w:val="center"/>
        <w:rPr>
          <w:rFonts w:asciiTheme="majorHAnsi" w:hAnsiTheme="majorHAnsi"/>
          <w:sz w:val="20"/>
          <w:szCs w:val="20"/>
          <w:lang w:val="es-ES_tradnl"/>
        </w:rPr>
      </w:pPr>
    </w:p>
    <w:p w14:paraId="26D99FB4" w14:textId="77777777" w:rsidR="00A50FCF" w:rsidRPr="00E019A9" w:rsidRDefault="00A50FCF" w:rsidP="00040C3A">
      <w:pPr>
        <w:tabs>
          <w:tab w:val="center" w:pos="5400"/>
        </w:tabs>
        <w:suppressAutoHyphens/>
        <w:jc w:val="center"/>
        <w:rPr>
          <w:rFonts w:asciiTheme="majorHAnsi" w:hAnsiTheme="majorHAnsi"/>
          <w:sz w:val="20"/>
          <w:szCs w:val="20"/>
          <w:lang w:val="es-ES_tradnl"/>
        </w:rPr>
      </w:pPr>
    </w:p>
    <w:p w14:paraId="05D082FA" w14:textId="77777777" w:rsidR="00A50FCF" w:rsidRPr="00E019A9" w:rsidRDefault="00A50FCF" w:rsidP="00040C3A">
      <w:pPr>
        <w:tabs>
          <w:tab w:val="center" w:pos="5400"/>
        </w:tabs>
        <w:suppressAutoHyphens/>
        <w:jc w:val="center"/>
        <w:rPr>
          <w:rFonts w:asciiTheme="majorHAnsi" w:hAnsiTheme="majorHAnsi"/>
          <w:sz w:val="20"/>
          <w:szCs w:val="20"/>
          <w:lang w:val="es-ES_tradnl"/>
        </w:rPr>
      </w:pPr>
    </w:p>
    <w:p w14:paraId="2B3D6858" w14:textId="77777777" w:rsidR="00A50FCF" w:rsidRPr="00E019A9" w:rsidRDefault="00A50FCF" w:rsidP="00040C3A">
      <w:pPr>
        <w:tabs>
          <w:tab w:val="center" w:pos="5400"/>
        </w:tabs>
        <w:suppressAutoHyphens/>
        <w:jc w:val="center"/>
        <w:rPr>
          <w:rFonts w:asciiTheme="majorHAnsi" w:hAnsiTheme="majorHAnsi"/>
          <w:sz w:val="20"/>
          <w:szCs w:val="20"/>
          <w:lang w:val="es-ES_tradnl"/>
        </w:rPr>
      </w:pPr>
    </w:p>
    <w:p w14:paraId="6DD8C24C" w14:textId="77777777" w:rsidR="00A50FCF" w:rsidRPr="00E019A9" w:rsidRDefault="00A50FCF" w:rsidP="00040C3A">
      <w:pPr>
        <w:tabs>
          <w:tab w:val="center" w:pos="5400"/>
        </w:tabs>
        <w:suppressAutoHyphens/>
        <w:jc w:val="center"/>
        <w:rPr>
          <w:rFonts w:asciiTheme="majorHAnsi" w:hAnsiTheme="majorHAnsi"/>
          <w:sz w:val="20"/>
          <w:szCs w:val="20"/>
          <w:lang w:val="es-ES_tradnl"/>
        </w:rPr>
      </w:pPr>
    </w:p>
    <w:p w14:paraId="2FA2BEA5" w14:textId="77777777" w:rsidR="00A50FCF" w:rsidRPr="00E019A9" w:rsidRDefault="00A50FCF" w:rsidP="00040C3A">
      <w:pPr>
        <w:tabs>
          <w:tab w:val="center" w:pos="5400"/>
        </w:tabs>
        <w:suppressAutoHyphens/>
        <w:jc w:val="center"/>
        <w:rPr>
          <w:rFonts w:asciiTheme="majorHAnsi" w:hAnsiTheme="majorHAnsi"/>
          <w:sz w:val="20"/>
          <w:szCs w:val="20"/>
          <w:lang w:val="es-ES_tradnl"/>
        </w:rPr>
      </w:pPr>
    </w:p>
    <w:p w14:paraId="11787C1D" w14:textId="77777777" w:rsidR="00A50FCF" w:rsidRPr="00E019A9" w:rsidRDefault="00A50FCF" w:rsidP="00040C3A">
      <w:pPr>
        <w:tabs>
          <w:tab w:val="center" w:pos="5400"/>
        </w:tabs>
        <w:suppressAutoHyphens/>
        <w:jc w:val="center"/>
        <w:rPr>
          <w:rFonts w:asciiTheme="majorHAnsi" w:hAnsiTheme="majorHAnsi"/>
          <w:sz w:val="20"/>
          <w:szCs w:val="20"/>
          <w:lang w:val="es-ES_tradnl"/>
        </w:rPr>
      </w:pPr>
    </w:p>
    <w:p w14:paraId="563E128A" w14:textId="77777777" w:rsidR="00A50FCF" w:rsidRPr="00E019A9" w:rsidRDefault="00A50FCF" w:rsidP="00040C3A">
      <w:pPr>
        <w:tabs>
          <w:tab w:val="center" w:pos="5400"/>
        </w:tabs>
        <w:suppressAutoHyphens/>
        <w:jc w:val="center"/>
        <w:rPr>
          <w:rFonts w:asciiTheme="majorHAnsi" w:hAnsiTheme="majorHAnsi"/>
          <w:sz w:val="20"/>
          <w:szCs w:val="20"/>
          <w:lang w:val="es-ES_tradnl"/>
        </w:rPr>
      </w:pPr>
    </w:p>
    <w:p w14:paraId="265A2634" w14:textId="77777777" w:rsidR="00A50FCF" w:rsidRPr="00E019A9" w:rsidRDefault="00A50FCF" w:rsidP="00040C3A">
      <w:pPr>
        <w:tabs>
          <w:tab w:val="center" w:pos="5400"/>
        </w:tabs>
        <w:suppressAutoHyphens/>
        <w:jc w:val="center"/>
        <w:rPr>
          <w:rFonts w:asciiTheme="majorHAnsi" w:hAnsiTheme="majorHAnsi"/>
          <w:sz w:val="20"/>
          <w:szCs w:val="20"/>
          <w:lang w:val="es-ES_tradnl"/>
        </w:rPr>
      </w:pPr>
    </w:p>
    <w:p w14:paraId="6B786C35" w14:textId="77777777" w:rsidR="00A50FCF" w:rsidRPr="00E019A9" w:rsidRDefault="0090270B" w:rsidP="00040C3A">
      <w:pPr>
        <w:tabs>
          <w:tab w:val="center" w:pos="5400"/>
        </w:tabs>
        <w:suppressAutoHyphens/>
        <w:jc w:val="center"/>
        <w:rPr>
          <w:rFonts w:asciiTheme="majorHAnsi" w:hAnsiTheme="majorHAnsi"/>
          <w:sz w:val="20"/>
          <w:szCs w:val="20"/>
          <w:lang w:val="es-ES_tradnl"/>
        </w:rPr>
      </w:pPr>
      <w:r w:rsidRPr="00E019A9">
        <w:rPr>
          <w:rFonts w:asciiTheme="majorHAnsi" w:hAnsiTheme="majorHAnsi"/>
          <w:noProof/>
          <w:sz w:val="20"/>
          <w:szCs w:val="20"/>
          <w:lang w:val="es-US" w:eastAsia="es-US"/>
        </w:rPr>
        <mc:AlternateContent>
          <mc:Choice Requires="wps">
            <w:drawing>
              <wp:anchor distT="0" distB="0" distL="114300" distR="114300" simplePos="0" relativeHeight="251670528" behindDoc="0" locked="0" layoutInCell="1" allowOverlap="1" wp14:anchorId="209624D9" wp14:editId="3B10669C">
                <wp:simplePos x="0" y="0"/>
                <wp:positionH relativeFrom="column">
                  <wp:posOffset>1339702</wp:posOffset>
                </wp:positionH>
                <wp:positionV relativeFrom="paragraph">
                  <wp:posOffset>24100</wp:posOffset>
                </wp:positionV>
                <wp:extent cx="4933950" cy="499731"/>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4997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F4DB21" w14:textId="2001A60B" w:rsidR="00323FC1" w:rsidRDefault="00323FC1"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por la Comisión en su </w:t>
                            </w:r>
                            <w:r w:rsidR="008C257A">
                              <w:rPr>
                                <w:rFonts w:asciiTheme="majorHAnsi" w:hAnsiTheme="majorHAnsi"/>
                                <w:color w:val="0D0D0D" w:themeColor="text1" w:themeTint="F2"/>
                                <w:sz w:val="18"/>
                                <w:szCs w:val="20"/>
                                <w:lang w:val="es-ES"/>
                              </w:rPr>
                              <w:t>S</w:t>
                            </w:r>
                            <w:r w:rsidRPr="00890650">
                              <w:rPr>
                                <w:rFonts w:asciiTheme="majorHAnsi" w:hAnsiTheme="majorHAnsi"/>
                                <w:color w:val="0D0D0D" w:themeColor="text1" w:themeTint="F2"/>
                                <w:sz w:val="18"/>
                                <w:szCs w:val="20"/>
                                <w:lang w:val="es-ES"/>
                              </w:rPr>
                              <w:t>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Pr>
                                <w:rFonts w:asciiTheme="majorHAnsi" w:hAnsiTheme="majorHAnsi"/>
                                <w:color w:val="0D0D0D" w:themeColor="text1" w:themeTint="F2"/>
                                <w:sz w:val="18"/>
                                <w:szCs w:val="20"/>
                                <w:lang w:val="es-ES"/>
                              </w:rPr>
                              <w:t>2210</w:t>
                            </w:r>
                            <w:r w:rsidRPr="00890650">
                              <w:rPr>
                                <w:rFonts w:asciiTheme="majorHAnsi" w:hAnsiTheme="majorHAnsi"/>
                                <w:color w:val="0D0D0D" w:themeColor="text1" w:themeTint="F2"/>
                                <w:sz w:val="18"/>
                                <w:szCs w:val="20"/>
                                <w:lang w:val="es-ES"/>
                              </w:rPr>
                              <w:t xml:space="preserve"> celebrada el </w:t>
                            </w:r>
                            <w:r>
                              <w:rPr>
                                <w:rFonts w:asciiTheme="majorHAnsi" w:hAnsiTheme="majorHAnsi"/>
                                <w:color w:val="0D0D0D" w:themeColor="text1" w:themeTint="F2"/>
                                <w:sz w:val="18"/>
                                <w:szCs w:val="20"/>
                                <w:lang w:val="es-ES"/>
                              </w:rPr>
                              <w:t>16 de abril de 2021</w:t>
                            </w:r>
                            <w:r w:rsidRPr="00890650">
                              <w:rPr>
                                <w:rFonts w:asciiTheme="majorHAnsi" w:hAnsiTheme="majorHAnsi"/>
                                <w:color w:val="0D0D0D" w:themeColor="text1" w:themeTint="F2"/>
                                <w:sz w:val="18"/>
                                <w:szCs w:val="20"/>
                                <w:lang w:val="es-ES"/>
                              </w:rPr>
                              <w:t xml:space="preserve"> </w:t>
                            </w:r>
                          </w:p>
                          <w:p w14:paraId="52CB53BE" w14:textId="77777777" w:rsidR="00323FC1" w:rsidRPr="007A5817" w:rsidRDefault="00323FC1" w:rsidP="00247403">
                            <w:pPr>
                              <w:tabs>
                                <w:tab w:val="center" w:pos="5400"/>
                              </w:tabs>
                              <w:suppressAutoHyphens/>
                              <w:spacing w:before="60"/>
                              <w:rPr>
                                <w:rFonts w:asciiTheme="minorHAnsi" w:hAnsiTheme="minorHAnsi" w:cs="Univers"/>
                                <w:color w:val="0D0D0D" w:themeColor="text1" w:themeTint="F2"/>
                                <w:sz w:val="20"/>
                                <w:szCs w:val="20"/>
                                <w:lang w:val="es-ES"/>
                              </w:rPr>
                            </w:pPr>
                          </w:p>
                          <w:p w14:paraId="2C875D27" w14:textId="77777777" w:rsidR="00323FC1" w:rsidRPr="00167A34" w:rsidRDefault="00323FC1"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624D9" id="Text Box 7" o:spid="_x0000_s1029" type="#_x0000_t202" style="position:absolute;left:0;text-align:left;margin-left:105.5pt;margin-top:1.9pt;width:388.5pt;height:3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" filled="f" stroked="f" strokeweight=".5pt">
                <v:textbox>
                  <w:txbxContent>
                    <w:p w14:paraId="60F4DB21" w14:textId="2001A60B" w:rsidR="00323FC1" w:rsidRDefault="00323FC1"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por la Comisión en su </w:t>
                      </w:r>
                      <w:r w:rsidR="008C257A">
                        <w:rPr>
                          <w:rFonts w:asciiTheme="majorHAnsi" w:hAnsiTheme="majorHAnsi"/>
                          <w:color w:val="0D0D0D" w:themeColor="text1" w:themeTint="F2"/>
                          <w:sz w:val="18"/>
                          <w:szCs w:val="20"/>
                          <w:lang w:val="es-ES"/>
                        </w:rPr>
                        <w:t>S</w:t>
                      </w:r>
                      <w:r w:rsidRPr="00890650">
                        <w:rPr>
                          <w:rFonts w:asciiTheme="majorHAnsi" w:hAnsiTheme="majorHAnsi"/>
                          <w:color w:val="0D0D0D" w:themeColor="text1" w:themeTint="F2"/>
                          <w:sz w:val="18"/>
                          <w:szCs w:val="20"/>
                          <w:lang w:val="es-ES"/>
                        </w:rPr>
                        <w:t>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Pr>
                          <w:rFonts w:asciiTheme="majorHAnsi" w:hAnsiTheme="majorHAnsi"/>
                          <w:color w:val="0D0D0D" w:themeColor="text1" w:themeTint="F2"/>
                          <w:sz w:val="18"/>
                          <w:szCs w:val="20"/>
                          <w:lang w:val="es-ES"/>
                        </w:rPr>
                        <w:t>2210</w:t>
                      </w:r>
                      <w:r w:rsidRPr="00890650">
                        <w:rPr>
                          <w:rFonts w:asciiTheme="majorHAnsi" w:hAnsiTheme="majorHAnsi"/>
                          <w:color w:val="0D0D0D" w:themeColor="text1" w:themeTint="F2"/>
                          <w:sz w:val="18"/>
                          <w:szCs w:val="20"/>
                          <w:lang w:val="es-ES"/>
                        </w:rPr>
                        <w:t xml:space="preserve"> celebrada el </w:t>
                      </w:r>
                      <w:r>
                        <w:rPr>
                          <w:rFonts w:asciiTheme="majorHAnsi" w:hAnsiTheme="majorHAnsi"/>
                          <w:color w:val="0D0D0D" w:themeColor="text1" w:themeTint="F2"/>
                          <w:sz w:val="18"/>
                          <w:szCs w:val="20"/>
                          <w:lang w:val="es-ES"/>
                        </w:rPr>
                        <w:t>16 de abril de 2021</w:t>
                      </w:r>
                      <w:r w:rsidRPr="00890650">
                        <w:rPr>
                          <w:rFonts w:asciiTheme="majorHAnsi" w:hAnsiTheme="majorHAnsi"/>
                          <w:color w:val="0D0D0D" w:themeColor="text1" w:themeTint="F2"/>
                          <w:sz w:val="18"/>
                          <w:szCs w:val="20"/>
                          <w:lang w:val="es-ES"/>
                        </w:rPr>
                        <w:t xml:space="preserve"> </w:t>
                      </w:r>
                    </w:p>
                    <w:p w14:paraId="52CB53BE" w14:textId="77777777" w:rsidR="00323FC1" w:rsidRPr="007A5817" w:rsidRDefault="00323FC1" w:rsidP="00247403">
                      <w:pPr>
                        <w:tabs>
                          <w:tab w:val="center" w:pos="5400"/>
                        </w:tabs>
                        <w:suppressAutoHyphens/>
                        <w:spacing w:before="60"/>
                        <w:rPr>
                          <w:rFonts w:asciiTheme="minorHAnsi" w:hAnsiTheme="minorHAnsi" w:cs="Univers"/>
                          <w:color w:val="0D0D0D" w:themeColor="text1" w:themeTint="F2"/>
                          <w:sz w:val="20"/>
                          <w:szCs w:val="20"/>
                          <w:lang w:val="es-ES"/>
                        </w:rPr>
                      </w:pPr>
                    </w:p>
                    <w:p w14:paraId="2C875D27" w14:textId="77777777" w:rsidR="00323FC1" w:rsidRPr="00167A34" w:rsidRDefault="00323FC1"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5DC2CDC" w14:textId="77777777" w:rsidR="00A50FCF" w:rsidRPr="00E019A9" w:rsidRDefault="00A50FCF" w:rsidP="00040C3A">
      <w:pPr>
        <w:tabs>
          <w:tab w:val="center" w:pos="5400"/>
        </w:tabs>
        <w:suppressAutoHyphens/>
        <w:jc w:val="center"/>
        <w:rPr>
          <w:rFonts w:asciiTheme="majorHAnsi" w:hAnsiTheme="majorHAnsi"/>
          <w:sz w:val="20"/>
          <w:szCs w:val="20"/>
          <w:lang w:val="es-ES_tradnl"/>
        </w:rPr>
      </w:pPr>
    </w:p>
    <w:p w14:paraId="6AB1B448" w14:textId="77777777" w:rsidR="00A50FCF" w:rsidRPr="00E019A9" w:rsidRDefault="00A50FCF" w:rsidP="00040C3A">
      <w:pPr>
        <w:tabs>
          <w:tab w:val="center" w:pos="5400"/>
        </w:tabs>
        <w:suppressAutoHyphens/>
        <w:jc w:val="center"/>
        <w:rPr>
          <w:rFonts w:asciiTheme="majorHAnsi" w:hAnsiTheme="majorHAnsi"/>
          <w:sz w:val="20"/>
          <w:szCs w:val="20"/>
          <w:lang w:val="es-ES_tradnl"/>
        </w:rPr>
      </w:pPr>
    </w:p>
    <w:p w14:paraId="3E5E2F7C" w14:textId="77777777" w:rsidR="00A50FCF" w:rsidRPr="00E019A9" w:rsidRDefault="00A50FCF" w:rsidP="00040C3A">
      <w:pPr>
        <w:tabs>
          <w:tab w:val="center" w:pos="5400"/>
        </w:tabs>
        <w:suppressAutoHyphens/>
        <w:jc w:val="center"/>
        <w:rPr>
          <w:rFonts w:asciiTheme="majorHAnsi" w:hAnsiTheme="majorHAnsi"/>
          <w:sz w:val="20"/>
          <w:szCs w:val="20"/>
          <w:lang w:val="es-ES_tradnl"/>
        </w:rPr>
      </w:pPr>
    </w:p>
    <w:p w14:paraId="3E506F27" w14:textId="77777777" w:rsidR="00A50FCF" w:rsidRPr="00E019A9" w:rsidRDefault="00A50FCF" w:rsidP="00040C3A">
      <w:pPr>
        <w:tabs>
          <w:tab w:val="center" w:pos="5400"/>
        </w:tabs>
        <w:suppressAutoHyphens/>
        <w:jc w:val="center"/>
        <w:rPr>
          <w:rFonts w:asciiTheme="majorHAnsi" w:hAnsiTheme="majorHAnsi"/>
          <w:sz w:val="20"/>
          <w:szCs w:val="20"/>
          <w:lang w:val="es-ES_tradnl"/>
        </w:rPr>
      </w:pPr>
    </w:p>
    <w:p w14:paraId="2EC51378" w14:textId="77777777" w:rsidR="00A50FCF" w:rsidRPr="00E019A9" w:rsidRDefault="0090270B" w:rsidP="00040C3A">
      <w:pPr>
        <w:tabs>
          <w:tab w:val="center" w:pos="5400"/>
        </w:tabs>
        <w:suppressAutoHyphens/>
        <w:jc w:val="center"/>
        <w:rPr>
          <w:rFonts w:asciiTheme="majorHAnsi" w:hAnsiTheme="majorHAnsi"/>
          <w:sz w:val="20"/>
          <w:szCs w:val="20"/>
          <w:lang w:val="es-ES_tradnl"/>
        </w:rPr>
      </w:pPr>
      <w:r w:rsidRPr="00E019A9">
        <w:rPr>
          <w:rFonts w:asciiTheme="majorHAnsi" w:hAnsiTheme="majorHAnsi"/>
          <w:noProof/>
          <w:sz w:val="20"/>
          <w:szCs w:val="20"/>
          <w:lang w:val="es-US" w:eastAsia="es-US"/>
        </w:rPr>
        <mc:AlternateContent>
          <mc:Choice Requires="wps">
            <w:drawing>
              <wp:anchor distT="0" distB="0" distL="114300" distR="114300" simplePos="0" relativeHeight="251678720" behindDoc="0" locked="0" layoutInCell="1" allowOverlap="1" wp14:anchorId="7F3D36F9" wp14:editId="6A72F98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DC33EF" w14:textId="5620D47D" w:rsidR="00323FC1" w:rsidRPr="00F824BE" w:rsidRDefault="00323FC1" w:rsidP="00113F73">
                            <w:pPr>
                              <w:spacing w:line="276" w:lineRule="auto"/>
                              <w:rPr>
                                <w:rFonts w:asciiTheme="majorHAnsi" w:hAnsiTheme="majorHAnsi"/>
                                <w:color w:val="595959" w:themeColor="text1" w:themeTint="A6"/>
                                <w:sz w:val="18"/>
                                <w:szCs w:val="18"/>
                                <w:lang w:val="es-A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Pr>
                                <w:rFonts w:asciiTheme="majorHAnsi" w:hAnsiTheme="majorHAnsi"/>
                                <w:color w:val="595959" w:themeColor="text1" w:themeTint="A6"/>
                                <w:sz w:val="18"/>
                                <w:szCs w:val="18"/>
                                <w:lang w:val="es-ES_tradnl"/>
                              </w:rPr>
                              <w:t>72/21</w:t>
                            </w:r>
                            <w:r w:rsidRPr="00890650">
                              <w:rPr>
                                <w:rFonts w:asciiTheme="majorHAnsi" w:hAnsiTheme="majorHAnsi"/>
                                <w:color w:val="595959" w:themeColor="text1" w:themeTint="A6"/>
                                <w:sz w:val="18"/>
                                <w:szCs w:val="18"/>
                                <w:lang w:val="es-ES_tradnl"/>
                              </w:rPr>
                              <w:t xml:space="preserve">, Caso </w:t>
                            </w:r>
                            <w:r>
                              <w:rPr>
                                <w:rFonts w:asciiTheme="majorHAnsi" w:hAnsiTheme="majorHAnsi"/>
                                <w:color w:val="595959" w:themeColor="text1" w:themeTint="A6"/>
                                <w:sz w:val="18"/>
                                <w:szCs w:val="18"/>
                                <w:lang w:val="es-ES_tradnl"/>
                              </w:rPr>
                              <w:t xml:space="preserve">13.054. Informe de Fondo. Arturo Benito Vega González y otros. Chile.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D36F9"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CDC33EF" w14:textId="5620D47D" w:rsidR="00323FC1" w:rsidRPr="00F824BE" w:rsidRDefault="00323FC1" w:rsidP="00113F73">
                      <w:pPr>
                        <w:spacing w:line="276" w:lineRule="auto"/>
                        <w:rPr>
                          <w:rFonts w:asciiTheme="majorHAnsi" w:hAnsiTheme="majorHAnsi"/>
                          <w:color w:val="595959" w:themeColor="text1" w:themeTint="A6"/>
                          <w:sz w:val="18"/>
                          <w:szCs w:val="18"/>
                          <w:lang w:val="es-A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Pr>
                          <w:rFonts w:asciiTheme="majorHAnsi" w:hAnsiTheme="majorHAnsi"/>
                          <w:color w:val="595959" w:themeColor="text1" w:themeTint="A6"/>
                          <w:sz w:val="18"/>
                          <w:szCs w:val="18"/>
                          <w:lang w:val="es-ES_tradnl"/>
                        </w:rPr>
                        <w:t>72/21</w:t>
                      </w:r>
                      <w:r w:rsidRPr="00890650">
                        <w:rPr>
                          <w:rFonts w:asciiTheme="majorHAnsi" w:hAnsiTheme="majorHAnsi"/>
                          <w:color w:val="595959" w:themeColor="text1" w:themeTint="A6"/>
                          <w:sz w:val="18"/>
                          <w:szCs w:val="18"/>
                          <w:lang w:val="es-ES_tradnl"/>
                        </w:rPr>
                        <w:t xml:space="preserve">, Caso </w:t>
                      </w:r>
                      <w:r>
                        <w:rPr>
                          <w:rFonts w:asciiTheme="majorHAnsi" w:hAnsiTheme="majorHAnsi"/>
                          <w:color w:val="595959" w:themeColor="text1" w:themeTint="A6"/>
                          <w:sz w:val="18"/>
                          <w:szCs w:val="18"/>
                          <w:lang w:val="es-ES_tradnl"/>
                        </w:rPr>
                        <w:t xml:space="preserve">13.054. Informe de Fondo. Arturo Benito Vega González y otros. Chile. </w:t>
                      </w:r>
                    </w:p>
                  </w:txbxContent>
                </v:textbox>
              </v:shape>
            </w:pict>
          </mc:Fallback>
        </mc:AlternateContent>
      </w:r>
    </w:p>
    <w:p w14:paraId="5988B670" w14:textId="77777777" w:rsidR="00A50FCF" w:rsidRPr="00E019A9" w:rsidRDefault="00A50FCF" w:rsidP="00040C3A">
      <w:pPr>
        <w:tabs>
          <w:tab w:val="center" w:pos="5400"/>
        </w:tabs>
        <w:suppressAutoHyphens/>
        <w:jc w:val="center"/>
        <w:rPr>
          <w:rFonts w:asciiTheme="majorHAnsi" w:hAnsiTheme="majorHAnsi"/>
          <w:sz w:val="20"/>
          <w:szCs w:val="20"/>
          <w:lang w:val="es-ES_tradnl"/>
        </w:rPr>
      </w:pPr>
    </w:p>
    <w:p w14:paraId="6CCBCA57" w14:textId="77777777" w:rsidR="0090270B" w:rsidRPr="00E019A9" w:rsidRDefault="00D306D1" w:rsidP="005516A1">
      <w:pPr>
        <w:tabs>
          <w:tab w:val="center" w:pos="5400"/>
        </w:tabs>
        <w:suppressAutoHyphens/>
        <w:jc w:val="center"/>
        <w:rPr>
          <w:rFonts w:asciiTheme="majorHAnsi" w:hAnsiTheme="majorHAnsi"/>
          <w:b/>
          <w:sz w:val="20"/>
          <w:szCs w:val="20"/>
          <w:lang w:val="es-ES_tradnl"/>
        </w:rPr>
      </w:pPr>
      <w:r w:rsidRPr="00E019A9">
        <w:rPr>
          <w:rFonts w:asciiTheme="majorHAnsi" w:hAnsiTheme="majorHAnsi"/>
          <w:noProof/>
          <w:sz w:val="20"/>
          <w:szCs w:val="20"/>
          <w:lang w:val="es-US" w:eastAsia="es-US"/>
        </w:rPr>
        <mc:AlternateContent>
          <mc:Choice Requires="wps">
            <w:drawing>
              <wp:anchor distT="0" distB="0" distL="114300" distR="114300" simplePos="0" relativeHeight="251680768" behindDoc="0" locked="0" layoutInCell="1" allowOverlap="1" wp14:anchorId="57DB6850" wp14:editId="173DAEB7">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AD64A" w14:textId="77777777" w:rsidR="00323FC1" w:rsidRPr="00D72DC6" w:rsidRDefault="00323FC1" w:rsidP="00F02AD1">
                            <w:pPr>
                              <w:rPr>
                                <w:color w:val="FFFFFF" w:themeColor="background1"/>
                                <w14:textFill>
                                  <w14:noFill/>
                                </w14:textFill>
                              </w:rPr>
                            </w:pPr>
                            <w:r w:rsidRPr="00E96989">
                              <w:rPr>
                                <w:noProof/>
                                <w:color w:val="FFFFFF" w:themeColor="background1"/>
                                <w:lang w:val="es-US" w:eastAsia="es-US"/>
                              </w:rPr>
                              <w:drawing>
                                <wp:inline distT="0" distB="0" distL="0" distR="0" wp14:anchorId="2E67B5C0" wp14:editId="5BB45DE4">
                                  <wp:extent cx="1838960" cy="469265"/>
                                  <wp:effectExtent l="0" t="0" r="254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38960"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B6850"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625AD64A" w14:textId="77777777" w:rsidR="00323FC1" w:rsidRPr="00D72DC6" w:rsidRDefault="00323FC1" w:rsidP="00F02AD1">
                      <w:pPr>
                        <w:rPr>
                          <w:color w:val="FFFFFF" w:themeColor="background1"/>
                          <w14:textFill>
                            <w14:noFill/>
                          </w14:textFill>
                        </w:rPr>
                      </w:pPr>
                      <w:r w:rsidRPr="00E96989">
                        <w:rPr>
                          <w:noProof/>
                          <w:color w:val="FFFFFF" w:themeColor="background1"/>
                          <w:lang w:val="es-US" w:eastAsia="es-US"/>
                        </w:rPr>
                        <w:drawing>
                          <wp:inline distT="0" distB="0" distL="0" distR="0" wp14:anchorId="2E67B5C0" wp14:editId="5BB45DE4">
                            <wp:extent cx="1838960" cy="469265"/>
                            <wp:effectExtent l="0" t="0" r="254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38960" cy="469265"/>
                                    </a:xfrm>
                                    <a:prstGeom prst="rect">
                                      <a:avLst/>
                                    </a:prstGeom>
                                  </pic:spPr>
                                </pic:pic>
                              </a:graphicData>
                            </a:graphic>
                          </wp:inline>
                        </w:drawing>
                      </w:r>
                    </w:p>
                  </w:txbxContent>
                </v:textbox>
              </v:shape>
            </w:pict>
          </mc:Fallback>
        </mc:AlternateContent>
      </w:r>
      <w:r w:rsidRPr="00E019A9">
        <w:rPr>
          <w:rFonts w:asciiTheme="majorHAnsi" w:hAnsiTheme="majorHAnsi"/>
          <w:noProof/>
          <w:sz w:val="20"/>
          <w:szCs w:val="20"/>
          <w:lang w:val="es-US" w:eastAsia="es-US"/>
        </w:rPr>
        <mc:AlternateContent>
          <mc:Choice Requires="wps">
            <w:drawing>
              <wp:anchor distT="0" distB="0" distL="114300" distR="114300" simplePos="0" relativeHeight="251682816" behindDoc="0" locked="0" layoutInCell="1" allowOverlap="1" wp14:anchorId="34645A4E" wp14:editId="08E9222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C4D5A0" w14:textId="77777777" w:rsidR="00323FC1" w:rsidRPr="004B7EB6" w:rsidRDefault="00323FC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45A4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4C4D5A0" w14:textId="77777777" w:rsidR="00323FC1" w:rsidRPr="004B7EB6" w:rsidRDefault="00323FC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1E5BC5" w14:textId="77777777" w:rsidR="0070697F" w:rsidRPr="00E019A9" w:rsidRDefault="0070697F" w:rsidP="005516A1">
      <w:pPr>
        <w:tabs>
          <w:tab w:val="center" w:pos="5400"/>
        </w:tabs>
        <w:suppressAutoHyphens/>
        <w:jc w:val="center"/>
        <w:rPr>
          <w:rFonts w:asciiTheme="majorHAnsi" w:hAnsiTheme="majorHAnsi"/>
          <w:b/>
          <w:sz w:val="20"/>
          <w:szCs w:val="20"/>
          <w:lang w:val="es-ES_tradnl"/>
        </w:rPr>
        <w:sectPr w:rsidR="0070697F" w:rsidRPr="00E019A9" w:rsidSect="00C054DF">
          <w:headerReference w:type="even" r:id="rId10"/>
          <w:headerReference w:type="default" r:id="rId11"/>
          <w:footerReference w:type="first" r:id="rId12"/>
          <w:type w:val="oddPage"/>
          <w:pgSz w:w="12240" w:h="15840"/>
          <w:pgMar w:top="1440" w:right="1440" w:bottom="1440" w:left="1440" w:header="720" w:footer="720" w:gutter="0"/>
          <w:pgNumType w:start="0"/>
          <w:cols w:space="720"/>
          <w:titlePg/>
          <w:docGrid w:linePitch="326"/>
        </w:sectPr>
      </w:pPr>
    </w:p>
    <w:p w14:paraId="64B3919F" w14:textId="78E2ADD1" w:rsidR="00722C9F" w:rsidRPr="00AE67CD" w:rsidRDefault="00722C9F" w:rsidP="00722C9F">
      <w:pPr>
        <w:tabs>
          <w:tab w:val="center" w:pos="5400"/>
        </w:tabs>
        <w:suppressAutoHyphens/>
        <w:spacing w:line="276" w:lineRule="auto"/>
        <w:jc w:val="center"/>
        <w:rPr>
          <w:rFonts w:asciiTheme="majorHAnsi" w:hAnsiTheme="majorHAnsi"/>
          <w:b/>
          <w:lang w:val="es-ES_tradnl"/>
        </w:rPr>
      </w:pPr>
      <w:r w:rsidRPr="00AE67CD">
        <w:rPr>
          <w:rFonts w:asciiTheme="majorHAnsi" w:hAnsiTheme="majorHAnsi"/>
          <w:b/>
          <w:lang w:val="es-ES_tradnl"/>
        </w:rPr>
        <w:lastRenderedPageBreak/>
        <w:t xml:space="preserve">INFORME No. </w:t>
      </w:r>
      <w:r w:rsidR="00323FC1" w:rsidRPr="00AE67CD">
        <w:rPr>
          <w:rFonts w:asciiTheme="majorHAnsi" w:hAnsiTheme="majorHAnsi"/>
          <w:b/>
          <w:lang w:val="es-ES_tradnl"/>
        </w:rPr>
        <w:t>72</w:t>
      </w:r>
      <w:r w:rsidRPr="00AE67CD">
        <w:rPr>
          <w:rFonts w:asciiTheme="majorHAnsi" w:hAnsiTheme="majorHAnsi"/>
          <w:b/>
          <w:lang w:val="es-ES_tradnl"/>
        </w:rPr>
        <w:t>/</w:t>
      </w:r>
      <w:r w:rsidR="00323FC1" w:rsidRPr="00AE67CD">
        <w:rPr>
          <w:rFonts w:asciiTheme="majorHAnsi" w:hAnsiTheme="majorHAnsi"/>
          <w:b/>
          <w:lang w:val="es-ES_tradnl"/>
        </w:rPr>
        <w:t>21</w:t>
      </w:r>
    </w:p>
    <w:p w14:paraId="57E660AB" w14:textId="77777777" w:rsidR="00722C9F" w:rsidRPr="00AE67CD" w:rsidRDefault="00722C9F" w:rsidP="00722C9F">
      <w:pPr>
        <w:tabs>
          <w:tab w:val="center" w:pos="5400"/>
        </w:tabs>
        <w:suppressAutoHyphens/>
        <w:spacing w:line="276" w:lineRule="auto"/>
        <w:jc w:val="center"/>
        <w:rPr>
          <w:rFonts w:asciiTheme="majorHAnsi" w:hAnsiTheme="majorHAnsi"/>
          <w:b/>
          <w:lang w:val="es-ES_tradnl"/>
        </w:rPr>
      </w:pPr>
      <w:r w:rsidRPr="00AE67CD">
        <w:rPr>
          <w:rFonts w:asciiTheme="majorHAnsi" w:hAnsiTheme="majorHAnsi"/>
          <w:b/>
          <w:lang w:val="es-ES_tradnl"/>
        </w:rPr>
        <w:t xml:space="preserve">CASO </w:t>
      </w:r>
      <w:r w:rsidR="00134A6A" w:rsidRPr="00AE67CD">
        <w:rPr>
          <w:rFonts w:asciiTheme="majorHAnsi" w:hAnsiTheme="majorHAnsi"/>
          <w:b/>
          <w:lang w:val="es-ES_tradnl"/>
        </w:rPr>
        <w:t>13.</w:t>
      </w:r>
      <w:r w:rsidR="00611061" w:rsidRPr="00AE67CD">
        <w:rPr>
          <w:rFonts w:asciiTheme="majorHAnsi" w:hAnsiTheme="majorHAnsi"/>
          <w:b/>
          <w:lang w:val="es-ES_tradnl"/>
        </w:rPr>
        <w:t>054</w:t>
      </w:r>
    </w:p>
    <w:p w14:paraId="3C176D24" w14:textId="77777777" w:rsidR="00722C9F" w:rsidRPr="00AE67CD" w:rsidRDefault="00722C9F" w:rsidP="00722C9F">
      <w:pPr>
        <w:tabs>
          <w:tab w:val="center" w:pos="5400"/>
        </w:tabs>
        <w:suppressAutoHyphens/>
        <w:spacing w:line="276" w:lineRule="auto"/>
        <w:jc w:val="center"/>
        <w:rPr>
          <w:rFonts w:asciiTheme="majorHAnsi" w:hAnsiTheme="majorHAnsi"/>
          <w:lang w:val="es-ES_tradnl"/>
        </w:rPr>
      </w:pPr>
      <w:r w:rsidRPr="00AE67CD">
        <w:rPr>
          <w:rFonts w:asciiTheme="majorHAnsi" w:hAnsiTheme="majorHAnsi"/>
          <w:lang w:val="es-ES_tradnl"/>
        </w:rPr>
        <w:t xml:space="preserve">INFORME DE </w:t>
      </w:r>
      <w:r w:rsidR="00134A6A" w:rsidRPr="00AE67CD">
        <w:rPr>
          <w:rFonts w:asciiTheme="majorHAnsi" w:hAnsiTheme="majorHAnsi"/>
          <w:lang w:val="es-ES_tradnl"/>
        </w:rPr>
        <w:t>FONDO</w:t>
      </w:r>
    </w:p>
    <w:p w14:paraId="69C2E2EE" w14:textId="77777777" w:rsidR="00722C9F" w:rsidRPr="00AE67CD" w:rsidRDefault="00611061" w:rsidP="00722C9F">
      <w:pPr>
        <w:tabs>
          <w:tab w:val="center" w:pos="5400"/>
        </w:tabs>
        <w:suppressAutoHyphens/>
        <w:spacing w:line="276" w:lineRule="auto"/>
        <w:jc w:val="center"/>
        <w:rPr>
          <w:rFonts w:asciiTheme="majorHAnsi" w:hAnsiTheme="majorHAnsi"/>
          <w:lang w:val="es-ES_tradnl"/>
        </w:rPr>
      </w:pPr>
      <w:r w:rsidRPr="00AE67CD">
        <w:rPr>
          <w:rFonts w:asciiTheme="majorHAnsi" w:hAnsiTheme="majorHAnsi"/>
          <w:lang w:val="es-ES_tradnl"/>
        </w:rPr>
        <w:t>ARTURO BENITO VEGA G</w:t>
      </w:r>
      <w:r w:rsidR="002027C7" w:rsidRPr="00AE67CD">
        <w:rPr>
          <w:rFonts w:asciiTheme="majorHAnsi" w:hAnsiTheme="majorHAnsi"/>
          <w:lang w:val="es-ES_tradnl"/>
        </w:rPr>
        <w:t xml:space="preserve">ONZALEZ </w:t>
      </w:r>
      <w:r w:rsidRPr="00AE67CD">
        <w:rPr>
          <w:rFonts w:asciiTheme="majorHAnsi" w:hAnsiTheme="majorHAnsi"/>
          <w:lang w:val="es-ES_tradnl"/>
        </w:rPr>
        <w:t>Y OTROS</w:t>
      </w:r>
    </w:p>
    <w:p w14:paraId="7488B107" w14:textId="77777777" w:rsidR="0070697F" w:rsidRPr="00AE67CD" w:rsidRDefault="00611061" w:rsidP="00722C9F">
      <w:pPr>
        <w:tabs>
          <w:tab w:val="center" w:pos="5400"/>
        </w:tabs>
        <w:suppressAutoHyphens/>
        <w:spacing w:line="276" w:lineRule="auto"/>
        <w:jc w:val="center"/>
        <w:rPr>
          <w:rFonts w:asciiTheme="majorHAnsi" w:hAnsiTheme="majorHAnsi"/>
        </w:rPr>
      </w:pPr>
      <w:r w:rsidRPr="00AE67CD">
        <w:rPr>
          <w:rFonts w:asciiTheme="majorHAnsi" w:hAnsiTheme="majorHAnsi"/>
        </w:rPr>
        <w:t>CHILE</w:t>
      </w:r>
    </w:p>
    <w:p w14:paraId="3AFC6150" w14:textId="7B3C56DD" w:rsidR="00722C9F" w:rsidRPr="00AE67CD" w:rsidRDefault="00323FC1" w:rsidP="00722C9F">
      <w:pPr>
        <w:tabs>
          <w:tab w:val="center" w:pos="5400"/>
        </w:tabs>
        <w:suppressAutoHyphens/>
        <w:spacing w:line="276" w:lineRule="auto"/>
        <w:jc w:val="center"/>
        <w:rPr>
          <w:rFonts w:asciiTheme="majorHAnsi" w:hAnsiTheme="majorHAnsi"/>
        </w:rPr>
      </w:pPr>
      <w:r w:rsidRPr="00AE67CD">
        <w:rPr>
          <w:rFonts w:asciiTheme="majorHAnsi" w:hAnsiTheme="majorHAnsi"/>
        </w:rPr>
        <w:t>16 ABRIL 2021</w:t>
      </w:r>
    </w:p>
    <w:p w14:paraId="7F2E18FE" w14:textId="77777777" w:rsidR="00722C9F" w:rsidRPr="00AE67CD" w:rsidRDefault="00722C9F" w:rsidP="00722C9F">
      <w:pPr>
        <w:tabs>
          <w:tab w:val="center" w:pos="5400"/>
        </w:tabs>
        <w:suppressAutoHyphens/>
        <w:spacing w:line="276" w:lineRule="auto"/>
        <w:jc w:val="center"/>
        <w:rPr>
          <w:rFonts w:asciiTheme="majorHAnsi" w:hAnsiTheme="majorHAnsi"/>
        </w:rPr>
      </w:pPr>
    </w:p>
    <w:p w14:paraId="2681CDCC" w14:textId="4EA72093" w:rsidR="00722C9F" w:rsidRPr="00AE67CD" w:rsidRDefault="00722C9F" w:rsidP="00722C9F">
      <w:pPr>
        <w:tabs>
          <w:tab w:val="center" w:pos="5400"/>
        </w:tabs>
        <w:suppressAutoHyphens/>
        <w:spacing w:line="276" w:lineRule="auto"/>
        <w:jc w:val="center"/>
        <w:rPr>
          <w:rFonts w:asciiTheme="majorHAnsi" w:hAnsiTheme="majorHAnsi"/>
          <w:b/>
        </w:rPr>
      </w:pPr>
      <w:r w:rsidRPr="00AE67CD">
        <w:rPr>
          <w:rFonts w:asciiTheme="majorHAnsi" w:hAnsiTheme="majorHAnsi"/>
          <w:b/>
        </w:rPr>
        <w:t>ÍNDICE</w:t>
      </w:r>
    </w:p>
    <w:p w14:paraId="7C99971E" w14:textId="77777777" w:rsidR="00323FC1" w:rsidRPr="00AE67CD" w:rsidRDefault="00323FC1" w:rsidP="00722C9F">
      <w:pPr>
        <w:tabs>
          <w:tab w:val="center" w:pos="5400"/>
        </w:tabs>
        <w:suppressAutoHyphens/>
        <w:spacing w:line="276" w:lineRule="auto"/>
        <w:jc w:val="center"/>
        <w:rPr>
          <w:rFonts w:ascii="Cambria" w:hAnsi="Cambria"/>
          <w:b/>
        </w:rPr>
      </w:pPr>
    </w:p>
    <w:p w14:paraId="66020EFD" w14:textId="0B0C6883" w:rsidR="00323FC1" w:rsidRPr="00AE67CD" w:rsidRDefault="00323FC1" w:rsidP="00323FC1">
      <w:pPr>
        <w:pStyle w:val="TOC1"/>
        <w:rPr>
          <w:rFonts w:ascii="Cambria" w:hAnsi="Cambria"/>
          <w:sz w:val="24"/>
          <w:szCs w:val="24"/>
        </w:rPr>
      </w:pPr>
      <w:r w:rsidRPr="00AE67CD">
        <w:rPr>
          <w:rFonts w:ascii="Cambria" w:hAnsi="Cambria"/>
          <w:sz w:val="24"/>
          <w:szCs w:val="24"/>
        </w:rPr>
        <w:fldChar w:fldCharType="begin"/>
      </w:r>
      <w:r w:rsidRPr="00AE67CD">
        <w:rPr>
          <w:rFonts w:ascii="Cambria" w:hAnsi="Cambria"/>
          <w:sz w:val="24"/>
          <w:szCs w:val="24"/>
        </w:rPr>
        <w:instrText xml:space="preserve"> TOC \o "1-2" \h \z \u </w:instrText>
      </w:r>
      <w:r w:rsidRPr="00AE67CD">
        <w:rPr>
          <w:rFonts w:ascii="Cambria" w:hAnsi="Cambria"/>
          <w:sz w:val="24"/>
          <w:szCs w:val="24"/>
        </w:rPr>
        <w:fldChar w:fldCharType="separate"/>
      </w:r>
      <w:hyperlink w:anchor="_Toc70440256" w:history="1">
        <w:r w:rsidRPr="00AE67CD">
          <w:rPr>
            <w:rFonts w:ascii="Cambria" w:hAnsi="Cambria"/>
            <w:sz w:val="24"/>
            <w:szCs w:val="24"/>
          </w:rPr>
          <w:t>I.</w:t>
        </w:r>
        <w:r w:rsidRPr="00AE67CD">
          <w:rPr>
            <w:rFonts w:ascii="Cambria" w:hAnsi="Cambria"/>
            <w:sz w:val="24"/>
            <w:szCs w:val="24"/>
          </w:rPr>
          <w:tab/>
          <w:t>INTRODUCCIÓN Y TRÁMITE DEL CASO</w:t>
        </w:r>
        <w:r w:rsidRPr="00AE67CD">
          <w:rPr>
            <w:rFonts w:ascii="Cambria" w:hAnsi="Cambria"/>
            <w:webHidden/>
            <w:sz w:val="24"/>
            <w:szCs w:val="24"/>
          </w:rPr>
          <w:tab/>
        </w:r>
        <w:r w:rsidRPr="00AE67CD">
          <w:rPr>
            <w:rFonts w:ascii="Cambria" w:hAnsi="Cambria"/>
            <w:webHidden/>
            <w:sz w:val="24"/>
            <w:szCs w:val="24"/>
          </w:rPr>
          <w:fldChar w:fldCharType="begin"/>
        </w:r>
        <w:r w:rsidRPr="00AE67CD">
          <w:rPr>
            <w:rFonts w:ascii="Cambria" w:hAnsi="Cambria"/>
            <w:webHidden/>
            <w:sz w:val="24"/>
            <w:szCs w:val="24"/>
          </w:rPr>
          <w:instrText xml:space="preserve"> PAGEREF _Toc70440256 \h </w:instrText>
        </w:r>
        <w:r w:rsidRPr="00AE67CD">
          <w:rPr>
            <w:rFonts w:ascii="Cambria" w:hAnsi="Cambria"/>
            <w:webHidden/>
            <w:sz w:val="24"/>
            <w:szCs w:val="24"/>
          </w:rPr>
        </w:r>
        <w:r w:rsidRPr="00AE67CD">
          <w:rPr>
            <w:rFonts w:ascii="Cambria" w:hAnsi="Cambria"/>
            <w:webHidden/>
            <w:sz w:val="24"/>
            <w:szCs w:val="24"/>
          </w:rPr>
          <w:fldChar w:fldCharType="separate"/>
        </w:r>
        <w:r w:rsidR="00AC10C2">
          <w:rPr>
            <w:rFonts w:ascii="Cambria" w:hAnsi="Cambria"/>
            <w:noProof/>
            <w:webHidden/>
            <w:sz w:val="24"/>
            <w:szCs w:val="24"/>
          </w:rPr>
          <w:t>1</w:t>
        </w:r>
        <w:r w:rsidRPr="00AE67CD">
          <w:rPr>
            <w:rFonts w:ascii="Cambria" w:hAnsi="Cambria"/>
            <w:webHidden/>
            <w:sz w:val="24"/>
            <w:szCs w:val="24"/>
          </w:rPr>
          <w:fldChar w:fldCharType="end"/>
        </w:r>
      </w:hyperlink>
    </w:p>
    <w:p w14:paraId="004EF9B2" w14:textId="451994BF" w:rsidR="00323FC1" w:rsidRPr="00AE67CD" w:rsidRDefault="00323FC1" w:rsidP="00323FC1">
      <w:pPr>
        <w:rPr>
          <w:rFonts w:ascii="Cambria" w:eastAsiaTheme="minorEastAsia" w:hAnsi="Cambria"/>
          <w:b/>
          <w:bCs/>
        </w:rPr>
      </w:pPr>
    </w:p>
    <w:p w14:paraId="7805DED7" w14:textId="1349DA83" w:rsidR="00323FC1" w:rsidRPr="00AE67CD" w:rsidRDefault="00AC10C2" w:rsidP="00323FC1">
      <w:pPr>
        <w:pStyle w:val="TOC1"/>
        <w:rPr>
          <w:rFonts w:ascii="Cambria" w:hAnsi="Cambria"/>
          <w:sz w:val="24"/>
          <w:szCs w:val="24"/>
        </w:rPr>
      </w:pPr>
      <w:hyperlink w:anchor="_Toc70440257" w:history="1">
        <w:r w:rsidR="00323FC1" w:rsidRPr="00AE67CD">
          <w:rPr>
            <w:rFonts w:ascii="Cambria" w:hAnsi="Cambria"/>
            <w:sz w:val="24"/>
            <w:szCs w:val="24"/>
          </w:rPr>
          <w:t>II.</w:t>
        </w:r>
        <w:r w:rsidR="00323FC1" w:rsidRPr="00AE67CD">
          <w:rPr>
            <w:rFonts w:ascii="Cambria" w:hAnsi="Cambria"/>
            <w:sz w:val="24"/>
            <w:szCs w:val="24"/>
          </w:rPr>
          <w:tab/>
          <w:t>POSICIONES DE LAS PARTES</w:t>
        </w:r>
        <w:r w:rsidR="00323FC1" w:rsidRPr="00AE67CD">
          <w:rPr>
            <w:rFonts w:ascii="Cambria" w:hAnsi="Cambria"/>
            <w:webHidden/>
            <w:sz w:val="24"/>
            <w:szCs w:val="24"/>
          </w:rPr>
          <w:tab/>
        </w:r>
        <w:r w:rsidR="00323FC1" w:rsidRPr="00AE67CD">
          <w:rPr>
            <w:rFonts w:ascii="Cambria" w:hAnsi="Cambria"/>
            <w:webHidden/>
            <w:sz w:val="24"/>
            <w:szCs w:val="24"/>
          </w:rPr>
          <w:fldChar w:fldCharType="begin"/>
        </w:r>
        <w:r w:rsidR="00323FC1" w:rsidRPr="00AE67CD">
          <w:rPr>
            <w:rFonts w:ascii="Cambria" w:hAnsi="Cambria"/>
            <w:webHidden/>
            <w:sz w:val="24"/>
            <w:szCs w:val="24"/>
          </w:rPr>
          <w:instrText xml:space="preserve"> PAGEREF _Toc70440257 \h </w:instrText>
        </w:r>
        <w:r w:rsidR="00323FC1" w:rsidRPr="00AE67CD">
          <w:rPr>
            <w:rFonts w:ascii="Cambria" w:hAnsi="Cambria"/>
            <w:webHidden/>
            <w:sz w:val="24"/>
            <w:szCs w:val="24"/>
          </w:rPr>
        </w:r>
        <w:r w:rsidR="00323FC1" w:rsidRPr="00AE67CD">
          <w:rPr>
            <w:rFonts w:ascii="Cambria" w:hAnsi="Cambria"/>
            <w:webHidden/>
            <w:sz w:val="24"/>
            <w:szCs w:val="24"/>
          </w:rPr>
          <w:fldChar w:fldCharType="separate"/>
        </w:r>
        <w:r>
          <w:rPr>
            <w:rFonts w:ascii="Cambria" w:hAnsi="Cambria"/>
            <w:noProof/>
            <w:webHidden/>
            <w:sz w:val="24"/>
            <w:szCs w:val="24"/>
          </w:rPr>
          <w:t>3</w:t>
        </w:r>
        <w:r w:rsidR="00323FC1" w:rsidRPr="00AE67CD">
          <w:rPr>
            <w:rFonts w:ascii="Cambria" w:hAnsi="Cambria"/>
            <w:webHidden/>
            <w:sz w:val="24"/>
            <w:szCs w:val="24"/>
          </w:rPr>
          <w:fldChar w:fldCharType="end"/>
        </w:r>
      </w:hyperlink>
    </w:p>
    <w:p w14:paraId="1442E3A1" w14:textId="147CBBCA" w:rsidR="00323FC1" w:rsidRPr="00AE67CD" w:rsidRDefault="00AC10C2" w:rsidP="00323FC1">
      <w:pPr>
        <w:pStyle w:val="TOC2"/>
        <w:jc w:val="both"/>
        <w:rPr>
          <w:rFonts w:ascii="Cambria" w:eastAsia="Times New Roman" w:hAnsi="Cambria"/>
          <w:bdr w:val="none" w:sz="0" w:space="0" w:color="auto"/>
        </w:rPr>
      </w:pPr>
      <w:hyperlink w:anchor="_Toc70440258" w:history="1">
        <w:r w:rsidR="00323FC1" w:rsidRPr="00AE67CD">
          <w:rPr>
            <w:rFonts w:ascii="Cambria" w:eastAsia="Times New Roman" w:hAnsi="Cambria"/>
            <w:bdr w:val="none" w:sz="0" w:space="0" w:color="auto"/>
          </w:rPr>
          <w:t>A.</w:t>
        </w:r>
        <w:r w:rsidR="00323FC1" w:rsidRPr="00AE67CD">
          <w:rPr>
            <w:rFonts w:ascii="Cambria" w:eastAsia="Times New Roman" w:hAnsi="Cambria"/>
            <w:bdr w:val="none" w:sz="0" w:space="0" w:color="auto"/>
          </w:rPr>
          <w:tab/>
          <w:t>Parte Peticionaria</w:t>
        </w:r>
        <w:r w:rsidR="00323FC1" w:rsidRPr="00AE67CD">
          <w:rPr>
            <w:rFonts w:ascii="Cambria" w:eastAsia="Times New Roman" w:hAnsi="Cambria"/>
            <w:webHidden/>
            <w:bdr w:val="none" w:sz="0" w:space="0" w:color="auto"/>
          </w:rPr>
          <w:tab/>
        </w:r>
        <w:r w:rsidR="00323FC1" w:rsidRPr="00AE67CD">
          <w:rPr>
            <w:rFonts w:ascii="Cambria" w:eastAsia="Times New Roman" w:hAnsi="Cambria"/>
            <w:webHidden/>
            <w:bdr w:val="none" w:sz="0" w:space="0" w:color="auto"/>
          </w:rPr>
          <w:fldChar w:fldCharType="begin"/>
        </w:r>
        <w:r w:rsidR="00323FC1" w:rsidRPr="00AE67CD">
          <w:rPr>
            <w:rFonts w:ascii="Cambria" w:eastAsia="Times New Roman" w:hAnsi="Cambria"/>
            <w:webHidden/>
            <w:bdr w:val="none" w:sz="0" w:space="0" w:color="auto"/>
          </w:rPr>
          <w:instrText xml:space="preserve"> PAGEREF _Toc70440258 \h </w:instrText>
        </w:r>
        <w:r w:rsidR="00323FC1" w:rsidRPr="00AE67CD">
          <w:rPr>
            <w:rFonts w:ascii="Cambria" w:eastAsia="Times New Roman" w:hAnsi="Cambria"/>
            <w:webHidden/>
            <w:bdr w:val="none" w:sz="0" w:space="0" w:color="auto"/>
          </w:rPr>
        </w:r>
        <w:r w:rsidR="00323FC1" w:rsidRPr="00AE67CD">
          <w:rPr>
            <w:rFonts w:ascii="Cambria" w:eastAsia="Times New Roman" w:hAnsi="Cambria"/>
            <w:webHidden/>
            <w:bdr w:val="none" w:sz="0" w:space="0" w:color="auto"/>
          </w:rPr>
          <w:fldChar w:fldCharType="separate"/>
        </w:r>
        <w:r>
          <w:rPr>
            <w:rFonts w:ascii="Cambria" w:eastAsia="Times New Roman" w:hAnsi="Cambria"/>
            <w:noProof/>
            <w:webHidden/>
            <w:bdr w:val="none" w:sz="0" w:space="0" w:color="auto"/>
          </w:rPr>
          <w:t>3</w:t>
        </w:r>
        <w:r w:rsidR="00323FC1" w:rsidRPr="00AE67CD">
          <w:rPr>
            <w:rFonts w:ascii="Cambria" w:eastAsia="Times New Roman" w:hAnsi="Cambria"/>
            <w:webHidden/>
            <w:bdr w:val="none" w:sz="0" w:space="0" w:color="auto"/>
          </w:rPr>
          <w:fldChar w:fldCharType="end"/>
        </w:r>
      </w:hyperlink>
    </w:p>
    <w:p w14:paraId="65236556" w14:textId="0C63CB6A" w:rsidR="00323FC1" w:rsidRPr="00AE67CD" w:rsidRDefault="00AC10C2" w:rsidP="00323FC1">
      <w:pPr>
        <w:pStyle w:val="TOC2"/>
        <w:jc w:val="both"/>
        <w:rPr>
          <w:rFonts w:ascii="Cambria" w:eastAsia="Times New Roman" w:hAnsi="Cambria"/>
          <w:bdr w:val="none" w:sz="0" w:space="0" w:color="auto"/>
        </w:rPr>
      </w:pPr>
      <w:hyperlink w:anchor="_Toc70440259" w:history="1">
        <w:r w:rsidR="00323FC1" w:rsidRPr="00AE67CD">
          <w:rPr>
            <w:rFonts w:ascii="Cambria" w:eastAsia="Times New Roman" w:hAnsi="Cambria"/>
            <w:bdr w:val="none" w:sz="0" w:space="0" w:color="auto"/>
          </w:rPr>
          <w:t>B.</w:t>
        </w:r>
        <w:r w:rsidR="00323FC1" w:rsidRPr="00AE67CD">
          <w:rPr>
            <w:rFonts w:ascii="Cambria" w:eastAsia="Times New Roman" w:hAnsi="Cambria"/>
            <w:bdr w:val="none" w:sz="0" w:space="0" w:color="auto"/>
          </w:rPr>
          <w:tab/>
          <w:t>El Estado de Chile</w:t>
        </w:r>
        <w:r w:rsidR="00323FC1" w:rsidRPr="00AE67CD">
          <w:rPr>
            <w:rFonts w:ascii="Cambria" w:eastAsia="Times New Roman" w:hAnsi="Cambria"/>
            <w:webHidden/>
            <w:bdr w:val="none" w:sz="0" w:space="0" w:color="auto"/>
          </w:rPr>
          <w:tab/>
        </w:r>
        <w:r w:rsidR="00323FC1" w:rsidRPr="00AE67CD">
          <w:rPr>
            <w:rFonts w:ascii="Cambria" w:eastAsia="Times New Roman" w:hAnsi="Cambria"/>
            <w:webHidden/>
            <w:bdr w:val="none" w:sz="0" w:space="0" w:color="auto"/>
          </w:rPr>
          <w:fldChar w:fldCharType="begin"/>
        </w:r>
        <w:r w:rsidR="00323FC1" w:rsidRPr="00AE67CD">
          <w:rPr>
            <w:rFonts w:ascii="Cambria" w:eastAsia="Times New Roman" w:hAnsi="Cambria"/>
            <w:webHidden/>
            <w:bdr w:val="none" w:sz="0" w:space="0" w:color="auto"/>
          </w:rPr>
          <w:instrText xml:space="preserve"> PAGEREF _Toc70440259 \h </w:instrText>
        </w:r>
        <w:r w:rsidR="00323FC1" w:rsidRPr="00AE67CD">
          <w:rPr>
            <w:rFonts w:ascii="Cambria" w:eastAsia="Times New Roman" w:hAnsi="Cambria"/>
            <w:webHidden/>
            <w:bdr w:val="none" w:sz="0" w:space="0" w:color="auto"/>
          </w:rPr>
        </w:r>
        <w:r w:rsidR="00323FC1" w:rsidRPr="00AE67CD">
          <w:rPr>
            <w:rFonts w:ascii="Cambria" w:eastAsia="Times New Roman" w:hAnsi="Cambria"/>
            <w:webHidden/>
            <w:bdr w:val="none" w:sz="0" w:space="0" w:color="auto"/>
          </w:rPr>
          <w:fldChar w:fldCharType="separate"/>
        </w:r>
        <w:r>
          <w:rPr>
            <w:rFonts w:ascii="Cambria" w:eastAsia="Times New Roman" w:hAnsi="Cambria"/>
            <w:noProof/>
            <w:webHidden/>
            <w:bdr w:val="none" w:sz="0" w:space="0" w:color="auto"/>
          </w:rPr>
          <w:t>13</w:t>
        </w:r>
        <w:r w:rsidR="00323FC1" w:rsidRPr="00AE67CD">
          <w:rPr>
            <w:rFonts w:ascii="Cambria" w:eastAsia="Times New Roman" w:hAnsi="Cambria"/>
            <w:webHidden/>
            <w:bdr w:val="none" w:sz="0" w:space="0" w:color="auto"/>
          </w:rPr>
          <w:fldChar w:fldCharType="end"/>
        </w:r>
      </w:hyperlink>
    </w:p>
    <w:p w14:paraId="1450BE68" w14:textId="77777777" w:rsidR="00323FC1" w:rsidRPr="00AE67CD" w:rsidRDefault="00323FC1" w:rsidP="00323FC1">
      <w:pPr>
        <w:rPr>
          <w:rFonts w:ascii="Cambria" w:eastAsiaTheme="minorEastAsia" w:hAnsi="Cambria"/>
        </w:rPr>
      </w:pPr>
    </w:p>
    <w:p w14:paraId="19F389E2" w14:textId="10FFE14C" w:rsidR="00323FC1" w:rsidRPr="00AE67CD" w:rsidRDefault="00AC10C2" w:rsidP="00323FC1">
      <w:pPr>
        <w:pStyle w:val="TOC1"/>
        <w:rPr>
          <w:rFonts w:ascii="Cambria" w:hAnsi="Cambria"/>
          <w:sz w:val="24"/>
          <w:szCs w:val="24"/>
        </w:rPr>
      </w:pPr>
      <w:hyperlink w:anchor="_Toc70440260" w:history="1">
        <w:r w:rsidR="00323FC1" w:rsidRPr="00AE67CD">
          <w:rPr>
            <w:rFonts w:ascii="Cambria" w:hAnsi="Cambria"/>
            <w:sz w:val="24"/>
            <w:szCs w:val="24"/>
          </w:rPr>
          <w:t>III.</w:t>
        </w:r>
        <w:r w:rsidR="00323FC1" w:rsidRPr="00AE67CD">
          <w:rPr>
            <w:rFonts w:ascii="Cambria" w:hAnsi="Cambria"/>
            <w:sz w:val="24"/>
            <w:szCs w:val="24"/>
          </w:rPr>
          <w:tab/>
          <w:t>DETERMINACIONES DE HECHO</w:t>
        </w:r>
        <w:r w:rsidR="00323FC1" w:rsidRPr="00AE67CD">
          <w:rPr>
            <w:rFonts w:ascii="Cambria" w:hAnsi="Cambria"/>
            <w:webHidden/>
            <w:sz w:val="24"/>
            <w:szCs w:val="24"/>
          </w:rPr>
          <w:tab/>
        </w:r>
        <w:r w:rsidR="00323FC1" w:rsidRPr="00AE67CD">
          <w:rPr>
            <w:rFonts w:ascii="Cambria" w:hAnsi="Cambria"/>
            <w:webHidden/>
            <w:sz w:val="24"/>
            <w:szCs w:val="24"/>
          </w:rPr>
          <w:fldChar w:fldCharType="begin"/>
        </w:r>
        <w:r w:rsidR="00323FC1" w:rsidRPr="00AE67CD">
          <w:rPr>
            <w:rFonts w:ascii="Cambria" w:hAnsi="Cambria"/>
            <w:webHidden/>
            <w:sz w:val="24"/>
            <w:szCs w:val="24"/>
          </w:rPr>
          <w:instrText xml:space="preserve"> PAGEREF _Toc70440260 \h </w:instrText>
        </w:r>
        <w:r w:rsidR="00323FC1" w:rsidRPr="00AE67CD">
          <w:rPr>
            <w:rFonts w:ascii="Cambria" w:hAnsi="Cambria"/>
            <w:webHidden/>
            <w:sz w:val="24"/>
            <w:szCs w:val="24"/>
          </w:rPr>
        </w:r>
        <w:r w:rsidR="00323FC1" w:rsidRPr="00AE67CD">
          <w:rPr>
            <w:rFonts w:ascii="Cambria" w:hAnsi="Cambria"/>
            <w:webHidden/>
            <w:sz w:val="24"/>
            <w:szCs w:val="24"/>
          </w:rPr>
          <w:fldChar w:fldCharType="separate"/>
        </w:r>
        <w:r>
          <w:rPr>
            <w:rFonts w:ascii="Cambria" w:hAnsi="Cambria"/>
            <w:noProof/>
            <w:webHidden/>
            <w:sz w:val="24"/>
            <w:szCs w:val="24"/>
          </w:rPr>
          <w:t>15</w:t>
        </w:r>
        <w:r w:rsidR="00323FC1" w:rsidRPr="00AE67CD">
          <w:rPr>
            <w:rFonts w:ascii="Cambria" w:hAnsi="Cambria"/>
            <w:webHidden/>
            <w:sz w:val="24"/>
            <w:szCs w:val="24"/>
          </w:rPr>
          <w:fldChar w:fldCharType="end"/>
        </w:r>
      </w:hyperlink>
    </w:p>
    <w:p w14:paraId="2EFD5D52" w14:textId="27EB99E8" w:rsidR="00323FC1" w:rsidRPr="00AE67CD" w:rsidRDefault="00AC10C2" w:rsidP="00323FC1">
      <w:pPr>
        <w:pStyle w:val="TOC2"/>
        <w:jc w:val="both"/>
        <w:rPr>
          <w:rFonts w:ascii="Cambria" w:eastAsia="Times New Roman" w:hAnsi="Cambria"/>
          <w:bdr w:val="none" w:sz="0" w:space="0" w:color="auto"/>
        </w:rPr>
      </w:pPr>
      <w:hyperlink w:anchor="_Toc70440261" w:history="1">
        <w:r w:rsidR="00323FC1" w:rsidRPr="00AE67CD">
          <w:rPr>
            <w:rFonts w:ascii="Cambria" w:eastAsia="Times New Roman" w:hAnsi="Cambria"/>
            <w:bdr w:val="none" w:sz="0" w:space="0" w:color="auto"/>
          </w:rPr>
          <w:t>A.</w:t>
        </w:r>
        <w:r w:rsidR="00323FC1" w:rsidRPr="00AE67CD">
          <w:rPr>
            <w:rFonts w:ascii="Cambria" w:eastAsia="Times New Roman" w:hAnsi="Cambria"/>
            <w:bdr w:val="none" w:sz="0" w:space="0" w:color="auto"/>
          </w:rPr>
          <w:tab/>
          <w:t>Análisis de Contexto</w:t>
        </w:r>
        <w:r w:rsidR="00323FC1" w:rsidRPr="00AE67CD">
          <w:rPr>
            <w:rFonts w:ascii="Cambria" w:eastAsia="Times New Roman" w:hAnsi="Cambria"/>
            <w:webHidden/>
            <w:bdr w:val="none" w:sz="0" w:space="0" w:color="auto"/>
          </w:rPr>
          <w:tab/>
        </w:r>
        <w:r w:rsidR="00323FC1" w:rsidRPr="00AE67CD">
          <w:rPr>
            <w:rFonts w:ascii="Cambria" w:eastAsia="Times New Roman" w:hAnsi="Cambria"/>
            <w:webHidden/>
            <w:bdr w:val="none" w:sz="0" w:space="0" w:color="auto"/>
          </w:rPr>
          <w:fldChar w:fldCharType="begin"/>
        </w:r>
        <w:r w:rsidR="00323FC1" w:rsidRPr="00AE67CD">
          <w:rPr>
            <w:rFonts w:ascii="Cambria" w:eastAsia="Times New Roman" w:hAnsi="Cambria"/>
            <w:webHidden/>
            <w:bdr w:val="none" w:sz="0" w:space="0" w:color="auto"/>
          </w:rPr>
          <w:instrText xml:space="preserve"> PAGEREF _Toc70440261 \h </w:instrText>
        </w:r>
        <w:r w:rsidR="00323FC1" w:rsidRPr="00AE67CD">
          <w:rPr>
            <w:rFonts w:ascii="Cambria" w:eastAsia="Times New Roman" w:hAnsi="Cambria"/>
            <w:webHidden/>
            <w:bdr w:val="none" w:sz="0" w:space="0" w:color="auto"/>
          </w:rPr>
        </w:r>
        <w:r w:rsidR="00323FC1" w:rsidRPr="00AE67CD">
          <w:rPr>
            <w:rFonts w:ascii="Cambria" w:eastAsia="Times New Roman" w:hAnsi="Cambria"/>
            <w:webHidden/>
            <w:bdr w:val="none" w:sz="0" w:space="0" w:color="auto"/>
          </w:rPr>
          <w:fldChar w:fldCharType="separate"/>
        </w:r>
        <w:r>
          <w:rPr>
            <w:rFonts w:ascii="Cambria" w:eastAsia="Times New Roman" w:hAnsi="Cambria"/>
            <w:noProof/>
            <w:webHidden/>
            <w:bdr w:val="none" w:sz="0" w:space="0" w:color="auto"/>
          </w:rPr>
          <w:t>15</w:t>
        </w:r>
        <w:r w:rsidR="00323FC1" w:rsidRPr="00AE67CD">
          <w:rPr>
            <w:rFonts w:ascii="Cambria" w:eastAsia="Times New Roman" w:hAnsi="Cambria"/>
            <w:webHidden/>
            <w:bdr w:val="none" w:sz="0" w:space="0" w:color="auto"/>
          </w:rPr>
          <w:fldChar w:fldCharType="end"/>
        </w:r>
      </w:hyperlink>
    </w:p>
    <w:p w14:paraId="48F1F1CC" w14:textId="79215C31" w:rsidR="00323FC1" w:rsidRPr="00AE67CD" w:rsidRDefault="00AC10C2" w:rsidP="00323FC1">
      <w:pPr>
        <w:pStyle w:val="TOC2"/>
        <w:jc w:val="both"/>
        <w:rPr>
          <w:rFonts w:ascii="Cambria" w:eastAsia="Times New Roman" w:hAnsi="Cambria"/>
          <w:bdr w:val="none" w:sz="0" w:space="0" w:color="auto"/>
        </w:rPr>
      </w:pPr>
      <w:hyperlink w:anchor="_Toc70440262" w:history="1">
        <w:r w:rsidR="00323FC1" w:rsidRPr="00AE67CD">
          <w:rPr>
            <w:rFonts w:ascii="Cambria" w:eastAsia="Times New Roman" w:hAnsi="Cambria"/>
            <w:bdr w:val="none" w:sz="0" w:space="0" w:color="auto"/>
          </w:rPr>
          <w:t>B.</w:t>
        </w:r>
        <w:r w:rsidR="00323FC1" w:rsidRPr="00AE67CD">
          <w:rPr>
            <w:rFonts w:ascii="Cambria" w:eastAsia="Times New Roman" w:hAnsi="Cambria"/>
            <w:bdr w:val="none" w:sz="0" w:space="0" w:color="auto"/>
          </w:rPr>
          <w:tab/>
          <w:t>Sobre los procesos penales tramitados en sede interna</w:t>
        </w:r>
        <w:r w:rsidR="00323FC1" w:rsidRPr="00AE67CD">
          <w:rPr>
            <w:rFonts w:ascii="Cambria" w:eastAsia="Times New Roman" w:hAnsi="Cambria"/>
            <w:webHidden/>
            <w:bdr w:val="none" w:sz="0" w:space="0" w:color="auto"/>
          </w:rPr>
          <w:tab/>
        </w:r>
        <w:r w:rsidR="00323FC1" w:rsidRPr="00AE67CD">
          <w:rPr>
            <w:rFonts w:ascii="Cambria" w:eastAsia="Times New Roman" w:hAnsi="Cambria"/>
            <w:webHidden/>
            <w:bdr w:val="none" w:sz="0" w:space="0" w:color="auto"/>
          </w:rPr>
          <w:fldChar w:fldCharType="begin"/>
        </w:r>
        <w:r w:rsidR="00323FC1" w:rsidRPr="00AE67CD">
          <w:rPr>
            <w:rFonts w:ascii="Cambria" w:eastAsia="Times New Roman" w:hAnsi="Cambria"/>
            <w:webHidden/>
            <w:bdr w:val="none" w:sz="0" w:space="0" w:color="auto"/>
          </w:rPr>
          <w:instrText xml:space="preserve"> PAGEREF _Toc70440262 \h </w:instrText>
        </w:r>
        <w:r w:rsidR="00323FC1" w:rsidRPr="00AE67CD">
          <w:rPr>
            <w:rFonts w:ascii="Cambria" w:eastAsia="Times New Roman" w:hAnsi="Cambria"/>
            <w:webHidden/>
            <w:bdr w:val="none" w:sz="0" w:space="0" w:color="auto"/>
          </w:rPr>
        </w:r>
        <w:r w:rsidR="00323FC1" w:rsidRPr="00AE67CD">
          <w:rPr>
            <w:rFonts w:ascii="Cambria" w:eastAsia="Times New Roman" w:hAnsi="Cambria"/>
            <w:webHidden/>
            <w:bdr w:val="none" w:sz="0" w:space="0" w:color="auto"/>
          </w:rPr>
          <w:fldChar w:fldCharType="separate"/>
        </w:r>
        <w:r>
          <w:rPr>
            <w:rFonts w:ascii="Cambria" w:eastAsia="Times New Roman" w:hAnsi="Cambria"/>
            <w:noProof/>
            <w:webHidden/>
            <w:bdr w:val="none" w:sz="0" w:space="0" w:color="auto"/>
          </w:rPr>
          <w:t>18</w:t>
        </w:r>
        <w:r w:rsidR="00323FC1" w:rsidRPr="00AE67CD">
          <w:rPr>
            <w:rFonts w:ascii="Cambria" w:eastAsia="Times New Roman" w:hAnsi="Cambria"/>
            <w:webHidden/>
            <w:bdr w:val="none" w:sz="0" w:space="0" w:color="auto"/>
          </w:rPr>
          <w:fldChar w:fldCharType="end"/>
        </w:r>
      </w:hyperlink>
    </w:p>
    <w:p w14:paraId="7A7F35E5" w14:textId="77777777" w:rsidR="00323FC1" w:rsidRPr="00AE67CD" w:rsidRDefault="00323FC1" w:rsidP="00323FC1">
      <w:pPr>
        <w:rPr>
          <w:rFonts w:ascii="Cambria" w:eastAsiaTheme="minorEastAsia" w:hAnsi="Cambria"/>
        </w:rPr>
      </w:pPr>
    </w:p>
    <w:p w14:paraId="04D6053E" w14:textId="575623D5" w:rsidR="00323FC1" w:rsidRPr="00AE67CD" w:rsidRDefault="00AC10C2" w:rsidP="00323FC1">
      <w:pPr>
        <w:pStyle w:val="TOC1"/>
        <w:rPr>
          <w:rFonts w:ascii="Cambria" w:hAnsi="Cambria"/>
          <w:sz w:val="24"/>
          <w:szCs w:val="24"/>
        </w:rPr>
      </w:pPr>
      <w:hyperlink w:anchor="_Toc70440263" w:history="1">
        <w:r w:rsidR="00323FC1" w:rsidRPr="00AE67CD">
          <w:rPr>
            <w:rFonts w:ascii="Cambria" w:hAnsi="Cambria"/>
            <w:sz w:val="24"/>
            <w:szCs w:val="24"/>
          </w:rPr>
          <w:t>IV.</w:t>
        </w:r>
        <w:r w:rsidR="00323FC1" w:rsidRPr="00AE67CD">
          <w:rPr>
            <w:rFonts w:ascii="Cambria" w:hAnsi="Cambria"/>
            <w:sz w:val="24"/>
            <w:szCs w:val="24"/>
          </w:rPr>
          <w:tab/>
          <w:t>ANALISIS DE DERECHO</w:t>
        </w:r>
        <w:r w:rsidR="00323FC1" w:rsidRPr="00AE67CD">
          <w:rPr>
            <w:rFonts w:ascii="Cambria" w:hAnsi="Cambria"/>
            <w:webHidden/>
            <w:sz w:val="24"/>
            <w:szCs w:val="24"/>
          </w:rPr>
          <w:tab/>
        </w:r>
        <w:r w:rsidR="00323FC1" w:rsidRPr="00AE67CD">
          <w:rPr>
            <w:rFonts w:ascii="Cambria" w:hAnsi="Cambria"/>
            <w:webHidden/>
            <w:sz w:val="24"/>
            <w:szCs w:val="24"/>
          </w:rPr>
          <w:fldChar w:fldCharType="begin"/>
        </w:r>
        <w:r w:rsidR="00323FC1" w:rsidRPr="00AE67CD">
          <w:rPr>
            <w:rFonts w:ascii="Cambria" w:hAnsi="Cambria"/>
            <w:webHidden/>
            <w:sz w:val="24"/>
            <w:szCs w:val="24"/>
          </w:rPr>
          <w:instrText xml:space="preserve"> PAGEREF _Toc70440263 \h </w:instrText>
        </w:r>
        <w:r w:rsidR="00323FC1" w:rsidRPr="00AE67CD">
          <w:rPr>
            <w:rFonts w:ascii="Cambria" w:hAnsi="Cambria"/>
            <w:webHidden/>
            <w:sz w:val="24"/>
            <w:szCs w:val="24"/>
          </w:rPr>
        </w:r>
        <w:r w:rsidR="00323FC1" w:rsidRPr="00AE67CD">
          <w:rPr>
            <w:rFonts w:ascii="Cambria" w:hAnsi="Cambria"/>
            <w:webHidden/>
            <w:sz w:val="24"/>
            <w:szCs w:val="24"/>
          </w:rPr>
          <w:fldChar w:fldCharType="separate"/>
        </w:r>
        <w:r>
          <w:rPr>
            <w:rFonts w:ascii="Cambria" w:hAnsi="Cambria"/>
            <w:noProof/>
            <w:webHidden/>
            <w:sz w:val="24"/>
            <w:szCs w:val="24"/>
          </w:rPr>
          <w:t>45</w:t>
        </w:r>
        <w:r w:rsidR="00323FC1" w:rsidRPr="00AE67CD">
          <w:rPr>
            <w:rFonts w:ascii="Cambria" w:hAnsi="Cambria"/>
            <w:webHidden/>
            <w:sz w:val="24"/>
            <w:szCs w:val="24"/>
          </w:rPr>
          <w:fldChar w:fldCharType="end"/>
        </w:r>
      </w:hyperlink>
    </w:p>
    <w:p w14:paraId="2193BEBE" w14:textId="68C14E7C" w:rsidR="00323FC1" w:rsidRPr="00AE67CD" w:rsidRDefault="00AC10C2" w:rsidP="00323FC1">
      <w:pPr>
        <w:pStyle w:val="TOC2"/>
        <w:jc w:val="both"/>
        <w:rPr>
          <w:rFonts w:ascii="Cambria" w:eastAsia="Times New Roman" w:hAnsi="Cambria"/>
          <w:bdr w:val="none" w:sz="0" w:space="0" w:color="auto"/>
        </w:rPr>
      </w:pPr>
      <w:hyperlink w:anchor="_Toc70440264" w:history="1">
        <w:r w:rsidR="00323FC1" w:rsidRPr="00AE67CD">
          <w:rPr>
            <w:rFonts w:ascii="Cambria" w:eastAsia="Times New Roman" w:hAnsi="Cambria"/>
            <w:bdr w:val="none" w:sz="0" w:space="0" w:color="auto"/>
          </w:rPr>
          <w:t>A.</w:t>
        </w:r>
        <w:r w:rsidR="00323FC1" w:rsidRPr="00AE67CD">
          <w:rPr>
            <w:rFonts w:ascii="Cambria" w:eastAsia="Times New Roman" w:hAnsi="Cambria"/>
            <w:bdr w:val="none" w:sz="0" w:space="0" w:color="auto"/>
          </w:rPr>
          <w:tab/>
          <w:t>Derechos a las garantías judiciales, a la protección judicial (artículos 8.1 y 25.1 de la Convención Americana sobre Derechos Humanos en relación con sus artículos 1.1 y 2) y obligación de sancionar la desaparición forzada de personas (artículos 1.b y 3 de la Convención Interamericana sobre Desaparición Forzada de Personas)</w:t>
        </w:r>
        <w:r w:rsidR="00323FC1" w:rsidRPr="00AE67CD">
          <w:rPr>
            <w:rFonts w:ascii="Cambria" w:eastAsia="Times New Roman" w:hAnsi="Cambria"/>
            <w:webHidden/>
            <w:bdr w:val="none" w:sz="0" w:space="0" w:color="auto"/>
          </w:rPr>
          <w:tab/>
        </w:r>
        <w:r w:rsidR="00323FC1" w:rsidRPr="00AE67CD">
          <w:rPr>
            <w:rFonts w:ascii="Cambria" w:eastAsia="Times New Roman" w:hAnsi="Cambria"/>
            <w:webHidden/>
            <w:bdr w:val="none" w:sz="0" w:space="0" w:color="auto"/>
          </w:rPr>
          <w:fldChar w:fldCharType="begin"/>
        </w:r>
        <w:r w:rsidR="00323FC1" w:rsidRPr="00AE67CD">
          <w:rPr>
            <w:rFonts w:ascii="Cambria" w:eastAsia="Times New Roman" w:hAnsi="Cambria"/>
            <w:webHidden/>
            <w:bdr w:val="none" w:sz="0" w:space="0" w:color="auto"/>
          </w:rPr>
          <w:instrText xml:space="preserve"> PAGEREF _Toc70440264 \h </w:instrText>
        </w:r>
        <w:r w:rsidR="00323FC1" w:rsidRPr="00AE67CD">
          <w:rPr>
            <w:rFonts w:ascii="Cambria" w:eastAsia="Times New Roman" w:hAnsi="Cambria"/>
            <w:webHidden/>
            <w:bdr w:val="none" w:sz="0" w:space="0" w:color="auto"/>
          </w:rPr>
        </w:r>
        <w:r w:rsidR="00323FC1" w:rsidRPr="00AE67CD">
          <w:rPr>
            <w:rFonts w:ascii="Cambria" w:eastAsia="Times New Roman" w:hAnsi="Cambria"/>
            <w:webHidden/>
            <w:bdr w:val="none" w:sz="0" w:space="0" w:color="auto"/>
          </w:rPr>
          <w:fldChar w:fldCharType="separate"/>
        </w:r>
        <w:r>
          <w:rPr>
            <w:rFonts w:ascii="Cambria" w:eastAsia="Times New Roman" w:hAnsi="Cambria"/>
            <w:noProof/>
            <w:webHidden/>
            <w:bdr w:val="none" w:sz="0" w:space="0" w:color="auto"/>
          </w:rPr>
          <w:t>45</w:t>
        </w:r>
        <w:r w:rsidR="00323FC1" w:rsidRPr="00AE67CD">
          <w:rPr>
            <w:rFonts w:ascii="Cambria" w:eastAsia="Times New Roman" w:hAnsi="Cambria"/>
            <w:webHidden/>
            <w:bdr w:val="none" w:sz="0" w:space="0" w:color="auto"/>
          </w:rPr>
          <w:fldChar w:fldCharType="end"/>
        </w:r>
      </w:hyperlink>
    </w:p>
    <w:p w14:paraId="20F5A53D" w14:textId="77777777" w:rsidR="00323FC1" w:rsidRPr="00AE67CD" w:rsidRDefault="00323FC1" w:rsidP="00323FC1">
      <w:pPr>
        <w:rPr>
          <w:rFonts w:ascii="Cambria" w:eastAsiaTheme="minorEastAsia" w:hAnsi="Cambria"/>
        </w:rPr>
      </w:pPr>
    </w:p>
    <w:p w14:paraId="3C0940BC" w14:textId="4CB3B750" w:rsidR="00323FC1" w:rsidRPr="00AE67CD" w:rsidRDefault="00AC10C2" w:rsidP="00323FC1">
      <w:pPr>
        <w:pStyle w:val="TOC1"/>
        <w:rPr>
          <w:rFonts w:ascii="Cambria" w:hAnsi="Cambria"/>
          <w:sz w:val="24"/>
          <w:szCs w:val="24"/>
        </w:rPr>
      </w:pPr>
      <w:hyperlink w:anchor="_Toc70440265" w:history="1">
        <w:r w:rsidR="00323FC1" w:rsidRPr="00AE67CD">
          <w:rPr>
            <w:rFonts w:ascii="Cambria" w:hAnsi="Cambria"/>
            <w:sz w:val="24"/>
            <w:szCs w:val="24"/>
          </w:rPr>
          <w:t>V.</w:t>
        </w:r>
        <w:r w:rsidR="00323FC1" w:rsidRPr="00AE67CD">
          <w:rPr>
            <w:rFonts w:ascii="Cambria" w:hAnsi="Cambria"/>
            <w:sz w:val="24"/>
            <w:szCs w:val="24"/>
          </w:rPr>
          <w:tab/>
          <w:t>CONCLUSIONES Y RECOMENDACIONES</w:t>
        </w:r>
        <w:r w:rsidR="00323FC1" w:rsidRPr="00AE67CD">
          <w:rPr>
            <w:rFonts w:ascii="Cambria" w:hAnsi="Cambria"/>
            <w:webHidden/>
            <w:sz w:val="24"/>
            <w:szCs w:val="24"/>
          </w:rPr>
          <w:tab/>
        </w:r>
        <w:r w:rsidR="00323FC1" w:rsidRPr="00AE67CD">
          <w:rPr>
            <w:rFonts w:ascii="Cambria" w:hAnsi="Cambria"/>
            <w:webHidden/>
            <w:sz w:val="24"/>
            <w:szCs w:val="24"/>
          </w:rPr>
          <w:fldChar w:fldCharType="begin"/>
        </w:r>
        <w:r w:rsidR="00323FC1" w:rsidRPr="00AE67CD">
          <w:rPr>
            <w:rFonts w:ascii="Cambria" w:hAnsi="Cambria"/>
            <w:webHidden/>
            <w:sz w:val="24"/>
            <w:szCs w:val="24"/>
          </w:rPr>
          <w:instrText xml:space="preserve"> PAGEREF _Toc70440265 \h </w:instrText>
        </w:r>
        <w:r w:rsidR="00323FC1" w:rsidRPr="00AE67CD">
          <w:rPr>
            <w:rFonts w:ascii="Cambria" w:hAnsi="Cambria"/>
            <w:webHidden/>
            <w:sz w:val="24"/>
            <w:szCs w:val="24"/>
          </w:rPr>
        </w:r>
        <w:r w:rsidR="00323FC1" w:rsidRPr="00AE67CD">
          <w:rPr>
            <w:rFonts w:ascii="Cambria" w:hAnsi="Cambria"/>
            <w:webHidden/>
            <w:sz w:val="24"/>
            <w:szCs w:val="24"/>
          </w:rPr>
          <w:fldChar w:fldCharType="separate"/>
        </w:r>
        <w:r>
          <w:rPr>
            <w:rFonts w:ascii="Cambria" w:hAnsi="Cambria"/>
            <w:noProof/>
            <w:webHidden/>
            <w:sz w:val="24"/>
            <w:szCs w:val="24"/>
          </w:rPr>
          <w:t>52</w:t>
        </w:r>
        <w:r w:rsidR="00323FC1" w:rsidRPr="00AE67CD">
          <w:rPr>
            <w:rFonts w:ascii="Cambria" w:hAnsi="Cambria"/>
            <w:webHidden/>
            <w:sz w:val="24"/>
            <w:szCs w:val="24"/>
          </w:rPr>
          <w:fldChar w:fldCharType="end"/>
        </w:r>
      </w:hyperlink>
    </w:p>
    <w:p w14:paraId="5CC0D8F5" w14:textId="4A05519A" w:rsidR="0070697F" w:rsidRPr="00B14751" w:rsidRDefault="00323FC1" w:rsidP="00323FC1">
      <w:pPr>
        <w:tabs>
          <w:tab w:val="center" w:pos="5400"/>
        </w:tabs>
        <w:suppressAutoHyphens/>
        <w:spacing w:line="276" w:lineRule="auto"/>
        <w:jc w:val="both"/>
        <w:rPr>
          <w:rFonts w:asciiTheme="majorHAnsi" w:hAnsiTheme="majorHAnsi"/>
          <w:sz w:val="20"/>
          <w:szCs w:val="20"/>
        </w:rPr>
      </w:pPr>
      <w:r w:rsidRPr="00AE67CD">
        <w:rPr>
          <w:rFonts w:ascii="Cambria" w:hAnsi="Cambria"/>
        </w:rPr>
        <w:fldChar w:fldCharType="end"/>
      </w:r>
    </w:p>
    <w:p w14:paraId="6D5024A4" w14:textId="77777777" w:rsidR="008D768D" w:rsidRPr="00B14751" w:rsidRDefault="008D768D" w:rsidP="001D65EF">
      <w:pPr>
        <w:tabs>
          <w:tab w:val="center" w:pos="5400"/>
        </w:tabs>
        <w:suppressAutoHyphens/>
        <w:spacing w:line="276" w:lineRule="auto"/>
        <w:rPr>
          <w:rFonts w:asciiTheme="majorHAnsi" w:hAnsiTheme="majorHAnsi"/>
          <w:sz w:val="20"/>
          <w:szCs w:val="20"/>
        </w:rPr>
      </w:pPr>
    </w:p>
    <w:p w14:paraId="369A8829" w14:textId="77777777" w:rsidR="008D768D" w:rsidRPr="00E019A9" w:rsidRDefault="008D768D" w:rsidP="001D65EF">
      <w:pPr>
        <w:tabs>
          <w:tab w:val="center" w:pos="5400"/>
        </w:tabs>
        <w:suppressAutoHyphens/>
        <w:spacing w:line="276" w:lineRule="auto"/>
        <w:rPr>
          <w:rFonts w:asciiTheme="majorHAnsi" w:hAnsiTheme="majorHAnsi"/>
          <w:sz w:val="20"/>
          <w:szCs w:val="20"/>
          <w:lang w:val="es-ES_tradnl"/>
        </w:rPr>
      </w:pPr>
    </w:p>
    <w:p w14:paraId="61666BFA" w14:textId="77777777" w:rsidR="008D768D" w:rsidRPr="00E019A9" w:rsidRDefault="008D768D" w:rsidP="001D65EF">
      <w:pPr>
        <w:tabs>
          <w:tab w:val="center" w:pos="5400"/>
        </w:tabs>
        <w:suppressAutoHyphens/>
        <w:spacing w:line="276" w:lineRule="auto"/>
        <w:rPr>
          <w:rFonts w:asciiTheme="majorHAnsi" w:hAnsiTheme="majorHAnsi"/>
          <w:sz w:val="20"/>
          <w:szCs w:val="20"/>
          <w:lang w:val="es-ES_tradnl"/>
        </w:rPr>
      </w:pPr>
    </w:p>
    <w:p w14:paraId="0CA7D248" w14:textId="1D3ACDA1" w:rsidR="006A251D" w:rsidRPr="006A251D" w:rsidRDefault="00722C9F" w:rsidP="006A251D">
      <w:pPr>
        <w:rPr>
          <w:rFonts w:ascii="Cambria" w:hAnsi="Cambria" w:cs="Calibri"/>
          <w:sz w:val="20"/>
          <w:szCs w:val="20"/>
          <w:lang w:val="es-ES"/>
        </w:rPr>
        <w:sectPr w:rsidR="006A251D" w:rsidRPr="006A251D" w:rsidSect="00934A2C">
          <w:type w:val="oddPage"/>
          <w:pgSz w:w="12240" w:h="15840"/>
          <w:pgMar w:top="1440" w:right="1440" w:bottom="1440" w:left="1440" w:header="720" w:footer="720" w:gutter="0"/>
          <w:pgNumType w:start="1"/>
          <w:cols w:space="720"/>
          <w:docGrid w:linePitch="326"/>
        </w:sectPr>
      </w:pPr>
      <w:r w:rsidRPr="00E019A9">
        <w:rPr>
          <w:rFonts w:ascii="Cambria" w:hAnsi="Cambria" w:cs="Calibri"/>
          <w:sz w:val="20"/>
          <w:szCs w:val="20"/>
          <w:lang w:val="es-ES"/>
        </w:rPr>
        <w:br w:type="page"/>
      </w:r>
    </w:p>
    <w:p w14:paraId="6298F6D4" w14:textId="7F0562AF" w:rsidR="00F2549D" w:rsidRPr="00E019A9" w:rsidRDefault="00F2549D" w:rsidP="00F2549D">
      <w:pPr>
        <w:tabs>
          <w:tab w:val="center" w:pos="5400"/>
        </w:tabs>
        <w:suppressAutoHyphens/>
        <w:spacing w:line="276" w:lineRule="auto"/>
        <w:rPr>
          <w:rFonts w:asciiTheme="majorHAnsi" w:hAnsiTheme="majorHAnsi"/>
          <w:sz w:val="20"/>
          <w:szCs w:val="20"/>
          <w:lang w:val="es-ES_tradnl"/>
        </w:rPr>
      </w:pPr>
    </w:p>
    <w:p w14:paraId="21420B78" w14:textId="77777777" w:rsidR="00F2549D" w:rsidRPr="00E019A9" w:rsidRDefault="00F2549D" w:rsidP="00F2549D">
      <w:pPr>
        <w:pStyle w:val="Heading1"/>
      </w:pPr>
      <w:bookmarkStart w:id="2" w:name="_Toc70440256"/>
      <w:r w:rsidRPr="00E019A9">
        <w:t>INTRODUCCI</w:t>
      </w:r>
      <w:r w:rsidR="00AD2BB2" w:rsidRPr="00E019A9">
        <w:t>Ó</w:t>
      </w:r>
      <w:r w:rsidRPr="00E019A9">
        <w:t xml:space="preserve">N </w:t>
      </w:r>
      <w:r w:rsidR="00675BB5" w:rsidRPr="00E019A9">
        <w:t>Y TR</w:t>
      </w:r>
      <w:r w:rsidR="00AD2BB2" w:rsidRPr="00E019A9">
        <w:t>Á</w:t>
      </w:r>
      <w:r w:rsidR="00675BB5" w:rsidRPr="00E019A9">
        <w:t>MITE DEL CASO</w:t>
      </w:r>
      <w:bookmarkEnd w:id="2"/>
      <w:r w:rsidR="00675BB5" w:rsidRPr="00E019A9">
        <w:t xml:space="preserve"> </w:t>
      </w:r>
    </w:p>
    <w:p w14:paraId="7DBEB602" w14:textId="77777777" w:rsidR="00191A77" w:rsidRPr="00E019A9" w:rsidRDefault="00191A77" w:rsidP="00191A77">
      <w:pPr>
        <w:rPr>
          <w:rFonts w:ascii="Cambria" w:hAnsi="Cambria"/>
          <w:sz w:val="20"/>
          <w:szCs w:val="20"/>
          <w:lang w:val="es-ES_tradnl" w:eastAsia="es-ES"/>
        </w:rPr>
      </w:pPr>
    </w:p>
    <w:p w14:paraId="18596C81" w14:textId="77777777" w:rsidR="007D06BA" w:rsidRPr="00E019A9" w:rsidRDefault="00E23F72" w:rsidP="00BB60A6">
      <w:pPr>
        <w:pStyle w:val="NormalWeb"/>
        <w:numPr>
          <w:ilvl w:val="0"/>
          <w:numId w:val="57"/>
        </w:numPr>
        <w:tabs>
          <w:tab w:val="left" w:pos="567"/>
        </w:tabs>
        <w:spacing w:before="0" w:beforeAutospacing="0" w:after="0" w:afterAutospacing="0"/>
        <w:ind w:left="0" w:firstLine="0"/>
        <w:jc w:val="both"/>
        <w:rPr>
          <w:rFonts w:ascii="Cambria" w:hAnsi="Cambria"/>
          <w:sz w:val="20"/>
          <w:szCs w:val="20"/>
          <w:lang w:val="es-ES"/>
        </w:rPr>
      </w:pPr>
      <w:r w:rsidRPr="00E019A9">
        <w:rPr>
          <w:rFonts w:ascii="Cambria" w:hAnsi="Cambria"/>
          <w:sz w:val="20"/>
          <w:szCs w:val="20"/>
          <w:lang w:val="es-ES"/>
        </w:rPr>
        <w:t xml:space="preserve">El 28 de enero de 2008 la </w:t>
      </w:r>
      <w:r w:rsidR="00191A77" w:rsidRPr="00E019A9">
        <w:rPr>
          <w:rFonts w:ascii="Cambria" w:hAnsi="Cambria"/>
          <w:sz w:val="20"/>
          <w:szCs w:val="20"/>
          <w:lang w:val="es-ES"/>
        </w:rPr>
        <w:t>Comisión</w:t>
      </w:r>
      <w:r w:rsidRPr="00E019A9">
        <w:rPr>
          <w:rFonts w:ascii="Cambria" w:hAnsi="Cambria"/>
          <w:sz w:val="20"/>
          <w:szCs w:val="20"/>
          <w:lang w:val="es-ES"/>
        </w:rPr>
        <w:t xml:space="preserve"> Interamericana de Derechos Humanos </w:t>
      </w:r>
      <w:r w:rsidR="00191A77" w:rsidRPr="00E019A9">
        <w:rPr>
          <w:rFonts w:ascii="Cambria" w:hAnsi="Cambria"/>
          <w:sz w:val="20"/>
          <w:szCs w:val="20"/>
          <w:lang w:val="es-ES"/>
        </w:rPr>
        <w:t xml:space="preserve">(en adelante, “la Comisión Interamericana”, “la Comisión” o “la CIDH”) recibió́ una </w:t>
      </w:r>
      <w:r w:rsidR="00C26B03" w:rsidRPr="00E019A9">
        <w:rPr>
          <w:rFonts w:ascii="Cambria" w:hAnsi="Cambria"/>
          <w:sz w:val="20"/>
          <w:szCs w:val="20"/>
          <w:lang w:val="es-ES"/>
        </w:rPr>
        <w:t>denuncia</w:t>
      </w:r>
      <w:r w:rsidR="004047B7" w:rsidRPr="00E019A9">
        <w:rPr>
          <w:rFonts w:ascii="Cambria" w:hAnsi="Cambria"/>
          <w:sz w:val="20"/>
          <w:szCs w:val="20"/>
          <w:lang w:val="es-ES"/>
        </w:rPr>
        <w:t xml:space="preserve"> </w:t>
      </w:r>
      <w:r w:rsidR="00DE0588" w:rsidRPr="00E019A9">
        <w:rPr>
          <w:rFonts w:ascii="Cambria" w:hAnsi="Cambria"/>
          <w:sz w:val="20"/>
          <w:szCs w:val="20"/>
          <w:lang w:val="es-ES"/>
        </w:rPr>
        <w:t>suscripta</w:t>
      </w:r>
      <w:r w:rsidR="00191A77" w:rsidRPr="00E019A9">
        <w:rPr>
          <w:rFonts w:ascii="Cambria" w:hAnsi="Cambria"/>
          <w:sz w:val="20"/>
          <w:szCs w:val="20"/>
          <w:lang w:val="es-ES"/>
        </w:rPr>
        <w:t xml:space="preserve"> por</w:t>
      </w:r>
      <w:r w:rsidR="00DE0588" w:rsidRPr="00E019A9">
        <w:rPr>
          <w:rFonts w:ascii="Cambria" w:hAnsi="Cambria"/>
          <w:sz w:val="20"/>
          <w:szCs w:val="20"/>
          <w:lang w:val="es-ES"/>
        </w:rPr>
        <w:t xml:space="preserve"> un grupo de personas naturales</w:t>
      </w:r>
      <w:r w:rsidR="00DE0588" w:rsidRPr="00E019A9">
        <w:rPr>
          <w:rStyle w:val="FootnoteReference"/>
          <w:rFonts w:ascii="Cambria" w:hAnsi="Cambria"/>
          <w:sz w:val="20"/>
          <w:szCs w:val="20"/>
          <w:lang w:val="es-ES"/>
        </w:rPr>
        <w:footnoteReference w:id="2"/>
      </w:r>
      <w:r w:rsidR="00DE0588" w:rsidRPr="00E019A9">
        <w:rPr>
          <w:rFonts w:ascii="Cambria" w:hAnsi="Cambria"/>
          <w:sz w:val="20"/>
          <w:szCs w:val="20"/>
          <w:lang w:val="es-ES"/>
        </w:rPr>
        <w:t xml:space="preserve"> y por la Corporación Agrupación de Familiares de Detenidos Desaparecidos</w:t>
      </w:r>
      <w:r w:rsidR="003E6257" w:rsidRPr="00E019A9">
        <w:rPr>
          <w:rStyle w:val="FootnoteReference"/>
          <w:rFonts w:ascii="Cambria" w:hAnsi="Cambria"/>
          <w:sz w:val="20"/>
          <w:szCs w:val="20"/>
          <w:lang w:val="es-ES"/>
        </w:rPr>
        <w:footnoteReference w:id="3"/>
      </w:r>
      <w:r w:rsidR="003E6257" w:rsidRPr="00E019A9">
        <w:rPr>
          <w:rFonts w:ascii="Cambria" w:hAnsi="Cambria"/>
          <w:sz w:val="20"/>
          <w:szCs w:val="20"/>
          <w:lang w:val="es-ES"/>
        </w:rPr>
        <w:t xml:space="preserve"> </w:t>
      </w:r>
      <w:r w:rsidR="00DE0588" w:rsidRPr="00E019A9">
        <w:rPr>
          <w:rFonts w:ascii="Cambria" w:hAnsi="Cambria"/>
          <w:sz w:val="20"/>
          <w:szCs w:val="20"/>
          <w:lang w:val="es-ES"/>
        </w:rPr>
        <w:t xml:space="preserve"> (AFDD)</w:t>
      </w:r>
      <w:r w:rsidR="000C6D38" w:rsidRPr="00E019A9">
        <w:rPr>
          <w:rFonts w:ascii="Cambria" w:hAnsi="Cambria"/>
          <w:sz w:val="20"/>
          <w:szCs w:val="20"/>
          <w:lang w:val="es-ES"/>
        </w:rPr>
        <w:t xml:space="preserve"> </w:t>
      </w:r>
      <w:r w:rsidR="00A2624F" w:rsidRPr="00E019A9">
        <w:rPr>
          <w:rFonts w:ascii="Cambria" w:hAnsi="Cambria"/>
          <w:sz w:val="20"/>
          <w:szCs w:val="20"/>
          <w:lang w:val="es-ES"/>
        </w:rPr>
        <w:t xml:space="preserve">en </w:t>
      </w:r>
      <w:r w:rsidR="000C6D38" w:rsidRPr="00E019A9">
        <w:rPr>
          <w:rFonts w:ascii="Cambria" w:hAnsi="Cambria"/>
          <w:sz w:val="20"/>
          <w:szCs w:val="20"/>
          <w:lang w:val="es-ES"/>
        </w:rPr>
        <w:t xml:space="preserve">favor del Sr. Juan Luis Rivera Matus y </w:t>
      </w:r>
      <w:r w:rsidR="00F46BB9" w:rsidRPr="00E019A9">
        <w:rPr>
          <w:rFonts w:ascii="Cambria" w:hAnsi="Cambria"/>
          <w:sz w:val="20"/>
          <w:szCs w:val="20"/>
          <w:lang w:val="es-ES"/>
        </w:rPr>
        <w:t xml:space="preserve">de </w:t>
      </w:r>
      <w:r w:rsidR="000C6D38" w:rsidRPr="00E019A9">
        <w:rPr>
          <w:rFonts w:ascii="Cambria" w:hAnsi="Cambria"/>
          <w:sz w:val="20"/>
          <w:szCs w:val="20"/>
          <w:lang w:val="es-ES"/>
        </w:rPr>
        <w:t>sus siete hijos</w:t>
      </w:r>
      <w:r w:rsidR="000C6D38" w:rsidRPr="00E019A9">
        <w:rPr>
          <w:rStyle w:val="FootnoteReference"/>
          <w:rFonts w:ascii="Cambria" w:hAnsi="Cambria"/>
          <w:sz w:val="20"/>
          <w:szCs w:val="20"/>
          <w:lang w:val="es-ES"/>
        </w:rPr>
        <w:footnoteReference w:id="4"/>
      </w:r>
      <w:r w:rsidR="000C6D38" w:rsidRPr="00E019A9">
        <w:rPr>
          <w:rFonts w:ascii="Cambria" w:hAnsi="Cambria"/>
          <w:sz w:val="20"/>
          <w:szCs w:val="20"/>
          <w:lang w:val="es-ES"/>
        </w:rPr>
        <w:t xml:space="preserve">. </w:t>
      </w:r>
    </w:p>
    <w:p w14:paraId="39A45B6B" w14:textId="77777777" w:rsidR="007D06BA" w:rsidRPr="00E019A9" w:rsidRDefault="007D06BA" w:rsidP="00AC1CA8">
      <w:pPr>
        <w:pStyle w:val="NormalWeb"/>
        <w:tabs>
          <w:tab w:val="left" w:pos="567"/>
        </w:tabs>
        <w:spacing w:before="0" w:beforeAutospacing="0" w:after="0" w:afterAutospacing="0"/>
        <w:jc w:val="both"/>
        <w:rPr>
          <w:rFonts w:ascii="Cambria" w:hAnsi="Cambria"/>
          <w:sz w:val="20"/>
          <w:szCs w:val="20"/>
          <w:lang w:val="es-ES"/>
        </w:rPr>
      </w:pPr>
    </w:p>
    <w:p w14:paraId="7153E771" w14:textId="01FE097B" w:rsidR="007D06BA" w:rsidRPr="00E019A9" w:rsidRDefault="002F579A" w:rsidP="00BB60A6">
      <w:pPr>
        <w:pStyle w:val="NormalWeb"/>
        <w:numPr>
          <w:ilvl w:val="0"/>
          <w:numId w:val="57"/>
        </w:numPr>
        <w:tabs>
          <w:tab w:val="left" w:pos="567"/>
        </w:tabs>
        <w:spacing w:before="0" w:beforeAutospacing="0" w:after="0" w:afterAutospacing="0"/>
        <w:ind w:left="0" w:firstLine="0"/>
        <w:jc w:val="both"/>
        <w:rPr>
          <w:rFonts w:ascii="Cambria" w:hAnsi="Cambria"/>
          <w:sz w:val="20"/>
          <w:szCs w:val="20"/>
          <w:lang w:val="es-ES"/>
        </w:rPr>
      </w:pPr>
      <w:r w:rsidRPr="00E019A9">
        <w:rPr>
          <w:rFonts w:ascii="Cambria" w:hAnsi="Cambria"/>
          <w:sz w:val="20"/>
          <w:szCs w:val="20"/>
          <w:lang w:val="es-ES"/>
        </w:rPr>
        <w:t>L</w:t>
      </w:r>
      <w:r w:rsidR="00952987" w:rsidRPr="00E019A9">
        <w:rPr>
          <w:rFonts w:ascii="Cambria" w:hAnsi="Cambria"/>
          <w:sz w:val="20"/>
          <w:szCs w:val="20"/>
          <w:lang w:val="es-ES"/>
        </w:rPr>
        <w:t>os peticionarios alegaron</w:t>
      </w:r>
      <w:r w:rsidR="009A46C0" w:rsidRPr="00E019A9">
        <w:rPr>
          <w:rFonts w:ascii="Cambria" w:hAnsi="Cambria"/>
          <w:sz w:val="20"/>
          <w:szCs w:val="20"/>
          <w:lang w:val="es-ES"/>
        </w:rPr>
        <w:t xml:space="preserve"> </w:t>
      </w:r>
      <w:r w:rsidR="00952987" w:rsidRPr="00E019A9">
        <w:rPr>
          <w:rFonts w:ascii="Cambria" w:hAnsi="Cambria"/>
          <w:sz w:val="20"/>
          <w:szCs w:val="20"/>
          <w:lang w:val="es-ES"/>
        </w:rPr>
        <w:t xml:space="preserve">que el Estado de Chile resulta responsable a nivel internacional por la violación de los derechos consagrados en los artículos 8 (garantías judiciales) y 25 (protección judicial) de la Convención Americana sobre Derechos Humanos, en relación con </w:t>
      </w:r>
      <w:r w:rsidR="008624C5" w:rsidRPr="00E019A9">
        <w:rPr>
          <w:rFonts w:ascii="Cambria" w:hAnsi="Cambria"/>
          <w:sz w:val="20"/>
          <w:szCs w:val="20"/>
          <w:lang w:val="es-ES"/>
        </w:rPr>
        <w:t>el</w:t>
      </w:r>
      <w:r w:rsidR="00952987" w:rsidRPr="00E019A9">
        <w:rPr>
          <w:rFonts w:ascii="Cambria" w:hAnsi="Cambria"/>
          <w:sz w:val="20"/>
          <w:szCs w:val="20"/>
          <w:lang w:val="es-ES"/>
        </w:rPr>
        <w:t xml:space="preserve"> articulo 1</w:t>
      </w:r>
      <w:r w:rsidR="003E6257" w:rsidRPr="00E019A9">
        <w:rPr>
          <w:rFonts w:ascii="Cambria" w:hAnsi="Cambria"/>
          <w:sz w:val="20"/>
          <w:szCs w:val="20"/>
          <w:lang w:val="es-ES"/>
        </w:rPr>
        <w:t>.1</w:t>
      </w:r>
      <w:r w:rsidR="00952987" w:rsidRPr="00E019A9">
        <w:rPr>
          <w:rFonts w:ascii="Cambria" w:hAnsi="Cambria"/>
          <w:sz w:val="20"/>
          <w:szCs w:val="20"/>
          <w:lang w:val="es-ES"/>
        </w:rPr>
        <w:t xml:space="preserve"> (obligación de respetar los derechos)</w:t>
      </w:r>
      <w:r w:rsidRPr="00E019A9">
        <w:rPr>
          <w:rFonts w:ascii="Cambria" w:hAnsi="Cambria"/>
          <w:sz w:val="20"/>
          <w:szCs w:val="20"/>
          <w:lang w:val="es-ES"/>
        </w:rPr>
        <w:t xml:space="preserve">. </w:t>
      </w:r>
      <w:r w:rsidR="00A84D80">
        <w:rPr>
          <w:rFonts w:ascii="Cambria" w:hAnsi="Cambria"/>
          <w:sz w:val="20"/>
          <w:szCs w:val="20"/>
          <w:lang w:val="es-ES"/>
        </w:rPr>
        <w:t>En este sentido, manifestaron</w:t>
      </w:r>
      <w:r w:rsidR="00C26B03" w:rsidRPr="00E019A9">
        <w:rPr>
          <w:rFonts w:ascii="Cambria" w:hAnsi="Cambria"/>
          <w:sz w:val="20"/>
          <w:szCs w:val="20"/>
          <w:lang w:val="es-ES"/>
        </w:rPr>
        <w:t xml:space="preserve"> </w:t>
      </w:r>
      <w:r w:rsidR="00A84D80">
        <w:rPr>
          <w:rFonts w:ascii="Cambria" w:hAnsi="Cambria"/>
          <w:sz w:val="20"/>
          <w:szCs w:val="20"/>
          <w:lang w:val="es-ES"/>
        </w:rPr>
        <w:t>q</w:t>
      </w:r>
      <w:r w:rsidR="00952987" w:rsidRPr="00E019A9">
        <w:rPr>
          <w:rFonts w:ascii="Cambria" w:hAnsi="Cambria"/>
          <w:sz w:val="20"/>
          <w:szCs w:val="20"/>
          <w:lang w:val="es-ES"/>
        </w:rPr>
        <w:t xml:space="preserve">ue la responsabilidad internacional del Estado se </w:t>
      </w:r>
      <w:r w:rsidR="00F46BB9" w:rsidRPr="00E019A9">
        <w:rPr>
          <w:rFonts w:ascii="Cambria" w:hAnsi="Cambria"/>
          <w:sz w:val="20"/>
          <w:szCs w:val="20"/>
          <w:lang w:val="es-ES"/>
        </w:rPr>
        <w:t xml:space="preserve">habría generado </w:t>
      </w:r>
      <w:r w:rsidR="00952987" w:rsidRPr="00E019A9">
        <w:rPr>
          <w:rFonts w:ascii="Cambria" w:hAnsi="Cambria"/>
          <w:sz w:val="20"/>
          <w:szCs w:val="20"/>
          <w:lang w:val="es-ES"/>
        </w:rPr>
        <w:t>a partir del dictado de una sentencia de la Corte Suprema</w:t>
      </w:r>
      <w:r w:rsidR="00C26B03" w:rsidRPr="00E019A9">
        <w:rPr>
          <w:rFonts w:ascii="Cambria" w:hAnsi="Cambria"/>
          <w:sz w:val="20"/>
          <w:szCs w:val="20"/>
          <w:lang w:val="es-ES"/>
        </w:rPr>
        <w:t xml:space="preserve">, </w:t>
      </w:r>
      <w:r w:rsidR="00546335" w:rsidRPr="00E019A9">
        <w:rPr>
          <w:rFonts w:ascii="Cambria" w:hAnsi="Cambria"/>
          <w:sz w:val="20"/>
          <w:szCs w:val="20"/>
          <w:lang w:val="es-ES"/>
        </w:rPr>
        <w:t>en su carácter de tribunal de alzada en materia penal</w:t>
      </w:r>
      <w:r w:rsidR="00C26B03" w:rsidRPr="00E019A9">
        <w:rPr>
          <w:rFonts w:ascii="Cambria" w:hAnsi="Cambria"/>
          <w:sz w:val="20"/>
          <w:szCs w:val="20"/>
          <w:lang w:val="es-ES"/>
        </w:rPr>
        <w:t xml:space="preserve">, </w:t>
      </w:r>
      <w:r w:rsidR="00546335" w:rsidRPr="00E019A9">
        <w:rPr>
          <w:rFonts w:ascii="Cambria" w:hAnsi="Cambria"/>
          <w:sz w:val="20"/>
          <w:szCs w:val="20"/>
          <w:lang w:val="es-ES"/>
        </w:rPr>
        <w:t xml:space="preserve">que redujo </w:t>
      </w:r>
      <w:r w:rsidR="00C26B03" w:rsidRPr="00E019A9">
        <w:rPr>
          <w:rFonts w:ascii="Cambria" w:hAnsi="Cambria"/>
          <w:sz w:val="20"/>
          <w:szCs w:val="20"/>
          <w:lang w:val="es-ES"/>
        </w:rPr>
        <w:t>de manera considerable</w:t>
      </w:r>
      <w:r w:rsidR="00546335" w:rsidRPr="00E019A9">
        <w:rPr>
          <w:rFonts w:ascii="Cambria" w:hAnsi="Cambria"/>
          <w:sz w:val="20"/>
          <w:szCs w:val="20"/>
          <w:lang w:val="es-ES"/>
        </w:rPr>
        <w:t xml:space="preserve"> el monto de la pena de prisión impuesta a los autores del delito </w:t>
      </w:r>
      <w:r w:rsidR="00F46BB9" w:rsidRPr="00E019A9">
        <w:rPr>
          <w:rFonts w:ascii="Cambria" w:hAnsi="Cambria"/>
          <w:sz w:val="20"/>
          <w:szCs w:val="20"/>
          <w:lang w:val="es-ES"/>
        </w:rPr>
        <w:t>cometido en perjuicio del</w:t>
      </w:r>
      <w:r w:rsidR="00546335" w:rsidRPr="00E019A9">
        <w:rPr>
          <w:rFonts w:ascii="Cambria" w:hAnsi="Cambria"/>
          <w:sz w:val="20"/>
          <w:szCs w:val="20"/>
          <w:lang w:val="es-ES"/>
        </w:rPr>
        <w:t xml:space="preserve"> Sr. Rivera Matus</w:t>
      </w:r>
      <w:r w:rsidR="000E2184" w:rsidRPr="00E019A9">
        <w:rPr>
          <w:rFonts w:ascii="Cambria" w:hAnsi="Cambria"/>
          <w:sz w:val="20"/>
          <w:szCs w:val="20"/>
          <w:lang w:val="es-ES"/>
        </w:rPr>
        <w:t>. Dicha decisión</w:t>
      </w:r>
      <w:r w:rsidR="00C26B03" w:rsidRPr="00E019A9">
        <w:rPr>
          <w:rFonts w:ascii="Cambria" w:hAnsi="Cambria"/>
          <w:sz w:val="20"/>
          <w:szCs w:val="20"/>
          <w:lang w:val="es-ES"/>
        </w:rPr>
        <w:t xml:space="preserve"> - </w:t>
      </w:r>
      <w:r w:rsidR="000E2184" w:rsidRPr="00E019A9">
        <w:rPr>
          <w:rFonts w:ascii="Cambria" w:hAnsi="Cambria"/>
          <w:sz w:val="20"/>
          <w:szCs w:val="20"/>
          <w:lang w:val="es-ES"/>
        </w:rPr>
        <w:t>fundada en el artículo 103 del Código Penal</w:t>
      </w:r>
      <w:r w:rsidR="000E2184" w:rsidRPr="00E019A9">
        <w:rPr>
          <w:rStyle w:val="FootnoteReference"/>
          <w:rFonts w:ascii="Cambria" w:hAnsi="Cambria"/>
          <w:sz w:val="20"/>
          <w:szCs w:val="20"/>
          <w:lang w:val="es-ES"/>
        </w:rPr>
        <w:footnoteReference w:id="5"/>
      </w:r>
      <w:r w:rsidR="000E2184" w:rsidRPr="00E019A9">
        <w:rPr>
          <w:rFonts w:ascii="Cambria" w:hAnsi="Cambria"/>
          <w:sz w:val="20"/>
          <w:szCs w:val="20"/>
          <w:lang w:val="es-ES"/>
        </w:rPr>
        <w:t xml:space="preserve"> que consagra la figura legal de la “media prescripción” o “prescripción gradual” de la pena y de la acción penal</w:t>
      </w:r>
      <w:r w:rsidR="00C26B03" w:rsidRPr="00E019A9">
        <w:rPr>
          <w:rFonts w:ascii="Cambria" w:hAnsi="Cambria"/>
          <w:sz w:val="20"/>
          <w:szCs w:val="20"/>
          <w:lang w:val="es-ES"/>
        </w:rPr>
        <w:t xml:space="preserve"> </w:t>
      </w:r>
      <w:r w:rsidR="00492E0B" w:rsidRPr="00E019A9">
        <w:rPr>
          <w:rFonts w:ascii="Cambria" w:hAnsi="Cambria"/>
          <w:sz w:val="20"/>
          <w:szCs w:val="20"/>
          <w:lang w:val="es-ES"/>
        </w:rPr>
        <w:t>-</w:t>
      </w:r>
      <w:r w:rsidR="00C26B03" w:rsidRPr="00E019A9">
        <w:rPr>
          <w:rFonts w:ascii="Cambria" w:hAnsi="Cambria"/>
          <w:sz w:val="20"/>
          <w:szCs w:val="20"/>
          <w:lang w:val="es-ES"/>
        </w:rPr>
        <w:t xml:space="preserve"> representó, a criterio de los peticionarios, </w:t>
      </w:r>
      <w:r w:rsidR="000E2184" w:rsidRPr="00E019A9">
        <w:rPr>
          <w:rFonts w:ascii="Cambria" w:hAnsi="Cambria"/>
          <w:sz w:val="20"/>
          <w:szCs w:val="20"/>
          <w:lang w:val="es-ES"/>
        </w:rPr>
        <w:t xml:space="preserve">una afectación a los principios de proporcionalidad y pertinencia de la pena y </w:t>
      </w:r>
      <w:r w:rsidR="00C26B03" w:rsidRPr="00E019A9">
        <w:rPr>
          <w:rFonts w:ascii="Cambria" w:hAnsi="Cambria"/>
          <w:sz w:val="20"/>
          <w:szCs w:val="20"/>
          <w:lang w:val="es-ES"/>
        </w:rPr>
        <w:t xml:space="preserve">equivaldría a </w:t>
      </w:r>
      <w:r w:rsidR="000E2184" w:rsidRPr="00E019A9">
        <w:rPr>
          <w:rFonts w:ascii="Cambria" w:hAnsi="Cambria"/>
          <w:sz w:val="20"/>
          <w:szCs w:val="20"/>
          <w:lang w:val="es-ES"/>
        </w:rPr>
        <w:t xml:space="preserve">dejar en la impunidad hechos </w:t>
      </w:r>
      <w:r w:rsidR="00C26B03" w:rsidRPr="00E019A9">
        <w:rPr>
          <w:rFonts w:ascii="Cambria" w:hAnsi="Cambria"/>
          <w:sz w:val="20"/>
          <w:szCs w:val="20"/>
          <w:lang w:val="es-ES"/>
        </w:rPr>
        <w:t xml:space="preserve">delictivos que constituyen </w:t>
      </w:r>
      <w:r w:rsidR="000E2184" w:rsidRPr="00E019A9">
        <w:rPr>
          <w:rFonts w:ascii="Cambria" w:hAnsi="Cambria"/>
          <w:sz w:val="20"/>
          <w:szCs w:val="20"/>
          <w:lang w:val="es-ES"/>
        </w:rPr>
        <w:t>crímenes de lesa humanidad</w:t>
      </w:r>
      <w:r w:rsidR="00546335" w:rsidRPr="00E019A9">
        <w:rPr>
          <w:rFonts w:ascii="Cambria" w:hAnsi="Cambria"/>
          <w:sz w:val="20"/>
          <w:szCs w:val="20"/>
          <w:lang w:val="es-ES"/>
        </w:rPr>
        <w:t>.</w:t>
      </w:r>
      <w:r w:rsidR="007D06BA" w:rsidRPr="00E019A9">
        <w:rPr>
          <w:rFonts w:ascii="Cambria" w:hAnsi="Cambria"/>
          <w:sz w:val="20"/>
          <w:szCs w:val="20"/>
          <w:lang w:val="es-ES"/>
        </w:rPr>
        <w:t xml:space="preserve"> </w:t>
      </w:r>
      <w:r w:rsidR="00A73DB2" w:rsidRPr="00E019A9">
        <w:rPr>
          <w:rFonts w:ascii="Cambria" w:hAnsi="Cambria"/>
          <w:sz w:val="20"/>
          <w:szCs w:val="20"/>
          <w:lang w:val="es-ES"/>
        </w:rPr>
        <w:t xml:space="preserve">La Comisión le </w:t>
      </w:r>
      <w:r w:rsidR="006224DA" w:rsidRPr="00E019A9">
        <w:rPr>
          <w:rFonts w:ascii="Cambria" w:hAnsi="Cambria"/>
          <w:sz w:val="20"/>
          <w:szCs w:val="20"/>
          <w:lang w:val="es-ES"/>
        </w:rPr>
        <w:t>asignó</w:t>
      </w:r>
      <w:r w:rsidR="00A73DB2" w:rsidRPr="00E019A9">
        <w:rPr>
          <w:rFonts w:ascii="Cambria" w:hAnsi="Cambria"/>
          <w:sz w:val="20"/>
          <w:szCs w:val="20"/>
          <w:lang w:val="es-ES"/>
        </w:rPr>
        <w:t xml:space="preserve"> a esta petición el </w:t>
      </w:r>
      <w:r w:rsidR="006224DA" w:rsidRPr="00E019A9">
        <w:rPr>
          <w:rFonts w:ascii="Cambria" w:hAnsi="Cambria"/>
          <w:sz w:val="20"/>
          <w:szCs w:val="20"/>
          <w:lang w:val="es-ES"/>
        </w:rPr>
        <w:t>número</w:t>
      </w:r>
      <w:r w:rsidR="00A73DB2" w:rsidRPr="00E019A9">
        <w:rPr>
          <w:rFonts w:ascii="Cambria" w:hAnsi="Cambria"/>
          <w:sz w:val="20"/>
          <w:szCs w:val="20"/>
          <w:lang w:val="es-ES"/>
        </w:rPr>
        <w:t xml:space="preserve"> P-102-08.</w:t>
      </w:r>
    </w:p>
    <w:p w14:paraId="3AE2D682" w14:textId="77777777" w:rsidR="007D06BA" w:rsidRPr="00E019A9" w:rsidRDefault="007D06BA" w:rsidP="00AC1CA8">
      <w:pPr>
        <w:pStyle w:val="ListParagraph"/>
        <w:tabs>
          <w:tab w:val="left" w:pos="567"/>
        </w:tabs>
        <w:rPr>
          <w:sz w:val="20"/>
          <w:szCs w:val="20"/>
          <w:lang w:val="es-ES"/>
        </w:rPr>
      </w:pPr>
    </w:p>
    <w:p w14:paraId="2B4C07D4" w14:textId="77777777" w:rsidR="006A57F6" w:rsidRPr="00E019A9" w:rsidRDefault="00F80322" w:rsidP="00BB60A6">
      <w:pPr>
        <w:pStyle w:val="NormalWeb"/>
        <w:numPr>
          <w:ilvl w:val="0"/>
          <w:numId w:val="57"/>
        </w:numPr>
        <w:tabs>
          <w:tab w:val="left" w:pos="567"/>
        </w:tabs>
        <w:spacing w:before="0" w:beforeAutospacing="0" w:after="0" w:afterAutospacing="0"/>
        <w:ind w:left="0" w:firstLine="0"/>
        <w:jc w:val="both"/>
        <w:rPr>
          <w:rFonts w:ascii="Cambria" w:hAnsi="Cambria"/>
          <w:sz w:val="20"/>
          <w:szCs w:val="20"/>
          <w:lang w:val="es-ES"/>
        </w:rPr>
      </w:pPr>
      <w:r w:rsidRPr="00E019A9">
        <w:rPr>
          <w:rFonts w:ascii="Cambria" w:hAnsi="Cambria"/>
          <w:sz w:val="20"/>
          <w:szCs w:val="20"/>
          <w:lang w:val="es-ES"/>
        </w:rPr>
        <w:t xml:space="preserve">En comunicaciones posteriores dirigidas a la </w:t>
      </w:r>
      <w:r w:rsidR="00A73DB2" w:rsidRPr="00E019A9">
        <w:rPr>
          <w:rFonts w:ascii="Cambria" w:hAnsi="Cambria"/>
          <w:sz w:val="20"/>
          <w:szCs w:val="20"/>
          <w:lang w:val="es-ES"/>
        </w:rPr>
        <w:t>Comisión</w:t>
      </w:r>
      <w:r w:rsidRPr="00E019A9">
        <w:rPr>
          <w:rFonts w:ascii="Cambria" w:hAnsi="Cambria"/>
          <w:sz w:val="20"/>
          <w:szCs w:val="20"/>
          <w:lang w:val="es-ES"/>
        </w:rPr>
        <w:t xml:space="preserve">, </w:t>
      </w:r>
      <w:r w:rsidR="00A73DB2" w:rsidRPr="00E019A9">
        <w:rPr>
          <w:rFonts w:ascii="Cambria" w:hAnsi="Cambria"/>
          <w:sz w:val="20"/>
          <w:szCs w:val="20"/>
          <w:lang w:val="es-ES"/>
        </w:rPr>
        <w:t>la AFDD</w:t>
      </w:r>
      <w:r w:rsidR="00B12675" w:rsidRPr="00E019A9">
        <w:rPr>
          <w:rFonts w:ascii="Cambria" w:hAnsi="Cambria"/>
          <w:sz w:val="20"/>
          <w:szCs w:val="20"/>
          <w:lang w:val="es-ES"/>
        </w:rPr>
        <w:t xml:space="preserve"> junto con otras personas físicas y organizaciones de derechos humanos </w:t>
      </w:r>
      <w:r w:rsidRPr="00E019A9">
        <w:rPr>
          <w:rFonts w:ascii="Cambria" w:hAnsi="Cambria"/>
          <w:sz w:val="20"/>
          <w:szCs w:val="20"/>
          <w:lang w:val="es-ES"/>
        </w:rPr>
        <w:t>present</w:t>
      </w:r>
      <w:r w:rsidR="00B12675" w:rsidRPr="00E019A9">
        <w:rPr>
          <w:rFonts w:ascii="Cambria" w:hAnsi="Cambria"/>
          <w:sz w:val="20"/>
          <w:szCs w:val="20"/>
          <w:lang w:val="es-ES"/>
        </w:rPr>
        <w:t>aron</w:t>
      </w:r>
      <w:r w:rsidRPr="00E019A9">
        <w:rPr>
          <w:rFonts w:ascii="Cambria" w:hAnsi="Cambria"/>
          <w:sz w:val="20"/>
          <w:szCs w:val="20"/>
          <w:lang w:val="es-ES"/>
        </w:rPr>
        <w:t xml:space="preserve"> 13 nuevas peticiones en representación de distintas presuntas </w:t>
      </w:r>
      <w:r w:rsidR="00A84D80" w:rsidRPr="00E019A9">
        <w:rPr>
          <w:rFonts w:ascii="Cambria" w:hAnsi="Cambria"/>
          <w:sz w:val="20"/>
          <w:szCs w:val="20"/>
          <w:lang w:val="es-ES"/>
        </w:rPr>
        <w:t>víctimas</w:t>
      </w:r>
      <w:r w:rsidR="00A73DB2" w:rsidRPr="00E019A9">
        <w:rPr>
          <w:rFonts w:ascii="Cambria" w:hAnsi="Cambria"/>
          <w:sz w:val="20"/>
          <w:szCs w:val="20"/>
          <w:lang w:val="es-ES"/>
        </w:rPr>
        <w:t xml:space="preserve">. </w:t>
      </w:r>
      <w:r w:rsidR="00B12675" w:rsidRPr="00E019A9">
        <w:rPr>
          <w:rFonts w:ascii="Cambria" w:hAnsi="Cambria"/>
          <w:sz w:val="20"/>
          <w:szCs w:val="20"/>
          <w:lang w:val="es-ES"/>
        </w:rPr>
        <w:t xml:space="preserve">Dichas peticiones fueron </w:t>
      </w:r>
      <w:r w:rsidR="000A21AE" w:rsidRPr="00E019A9">
        <w:rPr>
          <w:rFonts w:ascii="Cambria" w:hAnsi="Cambria"/>
          <w:sz w:val="20"/>
          <w:szCs w:val="20"/>
          <w:lang w:val="es-ES"/>
        </w:rPr>
        <w:t>remitidas a la Comisión los</w:t>
      </w:r>
      <w:r w:rsidR="007D06BA" w:rsidRPr="00E019A9">
        <w:rPr>
          <w:rFonts w:ascii="Cambria" w:hAnsi="Cambria"/>
          <w:sz w:val="20"/>
          <w:szCs w:val="20"/>
          <w:lang w:val="es-ES"/>
        </w:rPr>
        <w:t xml:space="preserve"> días</w:t>
      </w:r>
      <w:r w:rsidR="00B12675" w:rsidRPr="00E019A9">
        <w:rPr>
          <w:rFonts w:ascii="Cambria" w:hAnsi="Cambria"/>
          <w:sz w:val="20"/>
          <w:szCs w:val="20"/>
          <w:lang w:val="es-ES"/>
        </w:rPr>
        <w:t xml:space="preserve"> 3 de ma</w:t>
      </w:r>
      <w:r w:rsidR="00FF2BDE" w:rsidRPr="00E019A9">
        <w:rPr>
          <w:rFonts w:ascii="Cambria" w:hAnsi="Cambria"/>
          <w:sz w:val="20"/>
          <w:szCs w:val="20"/>
          <w:lang w:val="es-ES"/>
        </w:rPr>
        <w:t>r</w:t>
      </w:r>
      <w:r w:rsidR="00B12675" w:rsidRPr="00E019A9">
        <w:rPr>
          <w:rFonts w:ascii="Cambria" w:hAnsi="Cambria"/>
          <w:sz w:val="20"/>
          <w:szCs w:val="20"/>
          <w:lang w:val="es-ES"/>
        </w:rPr>
        <w:t>zo de 2008</w:t>
      </w:r>
      <w:r w:rsidR="00FF2BDE" w:rsidRPr="00E019A9">
        <w:rPr>
          <w:rStyle w:val="FootnoteReference"/>
          <w:rFonts w:ascii="Cambria" w:hAnsi="Cambria"/>
          <w:sz w:val="20"/>
          <w:szCs w:val="20"/>
          <w:lang w:val="es-ES"/>
        </w:rPr>
        <w:footnoteReference w:id="6"/>
      </w:r>
      <w:r w:rsidR="00B12675" w:rsidRPr="00E019A9">
        <w:rPr>
          <w:rFonts w:ascii="Cambria" w:hAnsi="Cambria"/>
          <w:sz w:val="20"/>
          <w:szCs w:val="20"/>
          <w:lang w:val="es-ES"/>
        </w:rPr>
        <w:t xml:space="preserve">, 26 de junio </w:t>
      </w:r>
      <w:r w:rsidR="00B12675" w:rsidRPr="00E019A9">
        <w:rPr>
          <w:rFonts w:ascii="Cambria" w:hAnsi="Cambria"/>
          <w:sz w:val="20"/>
          <w:szCs w:val="20"/>
          <w:lang w:val="es-ES"/>
        </w:rPr>
        <w:lastRenderedPageBreak/>
        <w:t>de 2008</w:t>
      </w:r>
      <w:r w:rsidR="00FF2BDE" w:rsidRPr="00E019A9">
        <w:rPr>
          <w:rStyle w:val="FootnoteReference"/>
          <w:rFonts w:ascii="Cambria" w:hAnsi="Cambria"/>
          <w:sz w:val="20"/>
          <w:szCs w:val="20"/>
          <w:lang w:val="es-ES"/>
        </w:rPr>
        <w:footnoteReference w:id="7"/>
      </w:r>
      <w:r w:rsidR="00B12675" w:rsidRPr="00E019A9">
        <w:rPr>
          <w:rFonts w:ascii="Cambria" w:hAnsi="Cambria"/>
          <w:sz w:val="20"/>
          <w:szCs w:val="20"/>
          <w:lang w:val="es-ES"/>
        </w:rPr>
        <w:t>, 10 de junio de 2009</w:t>
      </w:r>
      <w:r w:rsidR="00FF2BDE" w:rsidRPr="00E019A9">
        <w:rPr>
          <w:rStyle w:val="FootnoteReference"/>
          <w:rFonts w:ascii="Cambria" w:hAnsi="Cambria"/>
          <w:sz w:val="20"/>
          <w:szCs w:val="20"/>
          <w:lang w:val="es-ES"/>
        </w:rPr>
        <w:footnoteReference w:id="8"/>
      </w:r>
      <w:r w:rsidR="00B12675" w:rsidRPr="00E019A9">
        <w:rPr>
          <w:rFonts w:ascii="Cambria" w:hAnsi="Cambria"/>
          <w:sz w:val="20"/>
          <w:szCs w:val="20"/>
          <w:lang w:val="es-ES"/>
        </w:rPr>
        <w:t>, 24 de junio de 2009</w:t>
      </w:r>
      <w:r w:rsidR="0041250F" w:rsidRPr="00E019A9">
        <w:rPr>
          <w:rStyle w:val="FootnoteReference"/>
          <w:rFonts w:ascii="Cambria" w:hAnsi="Cambria"/>
          <w:sz w:val="20"/>
          <w:szCs w:val="20"/>
          <w:lang w:val="es-ES"/>
        </w:rPr>
        <w:footnoteReference w:id="9"/>
      </w:r>
      <w:r w:rsidR="00B12675" w:rsidRPr="00E019A9">
        <w:rPr>
          <w:rFonts w:ascii="Cambria" w:hAnsi="Cambria"/>
          <w:sz w:val="20"/>
          <w:szCs w:val="20"/>
          <w:lang w:val="es-ES"/>
        </w:rPr>
        <w:t xml:space="preserve">, </w:t>
      </w:r>
      <w:r w:rsidR="006C3D5E" w:rsidRPr="00E019A9">
        <w:rPr>
          <w:rFonts w:ascii="Cambria" w:hAnsi="Cambria"/>
          <w:sz w:val="20"/>
          <w:szCs w:val="20"/>
          <w:lang w:val="es-ES"/>
        </w:rPr>
        <w:t>20 de enero de 2010</w:t>
      </w:r>
      <w:r w:rsidR="000964A1" w:rsidRPr="00E019A9">
        <w:rPr>
          <w:rStyle w:val="FootnoteReference"/>
          <w:rFonts w:ascii="Cambria" w:hAnsi="Cambria"/>
          <w:sz w:val="20"/>
          <w:szCs w:val="20"/>
          <w:lang w:val="es-ES"/>
        </w:rPr>
        <w:footnoteReference w:id="10"/>
      </w:r>
      <w:r w:rsidR="006C3D5E" w:rsidRPr="00E019A9">
        <w:rPr>
          <w:rFonts w:ascii="Cambria" w:hAnsi="Cambria"/>
          <w:sz w:val="20"/>
          <w:szCs w:val="20"/>
          <w:lang w:val="es-ES"/>
        </w:rPr>
        <w:t>, 12 de febrero de 2010</w:t>
      </w:r>
      <w:r w:rsidR="00D963FB" w:rsidRPr="00E019A9">
        <w:rPr>
          <w:rStyle w:val="FootnoteReference"/>
          <w:rFonts w:ascii="Cambria" w:hAnsi="Cambria"/>
          <w:sz w:val="20"/>
          <w:szCs w:val="20"/>
          <w:lang w:val="es-ES"/>
        </w:rPr>
        <w:footnoteReference w:id="11"/>
      </w:r>
      <w:r w:rsidR="006C3D5E" w:rsidRPr="00E019A9">
        <w:rPr>
          <w:rFonts w:ascii="Cambria" w:hAnsi="Cambria"/>
          <w:sz w:val="20"/>
          <w:szCs w:val="20"/>
          <w:lang w:val="es-ES"/>
        </w:rPr>
        <w:t xml:space="preserve">, </w:t>
      </w:r>
      <w:r w:rsidR="00B12675" w:rsidRPr="00E019A9">
        <w:rPr>
          <w:rFonts w:ascii="Cambria" w:hAnsi="Cambria"/>
          <w:sz w:val="20"/>
          <w:szCs w:val="20"/>
          <w:lang w:val="es-ES"/>
        </w:rPr>
        <w:t>4 de marzo de 2010</w:t>
      </w:r>
      <w:r w:rsidR="006C3D5E" w:rsidRPr="00E019A9">
        <w:rPr>
          <w:rStyle w:val="FootnoteReference"/>
          <w:rFonts w:ascii="Cambria" w:hAnsi="Cambria"/>
          <w:sz w:val="20"/>
          <w:szCs w:val="20"/>
          <w:lang w:val="es-ES"/>
        </w:rPr>
        <w:footnoteReference w:id="12"/>
      </w:r>
      <w:r w:rsidR="00B12675" w:rsidRPr="00E019A9">
        <w:rPr>
          <w:rFonts w:ascii="Cambria" w:hAnsi="Cambria"/>
          <w:sz w:val="20"/>
          <w:szCs w:val="20"/>
          <w:lang w:val="es-ES"/>
        </w:rPr>
        <w:t xml:space="preserve">, </w:t>
      </w:r>
      <w:r w:rsidR="00FF2BDE" w:rsidRPr="00E019A9">
        <w:rPr>
          <w:rFonts w:ascii="Cambria" w:hAnsi="Cambria"/>
          <w:sz w:val="20"/>
          <w:szCs w:val="20"/>
          <w:lang w:val="es-ES"/>
        </w:rPr>
        <w:t xml:space="preserve"> 25 de marzo de 2010</w:t>
      </w:r>
      <w:r w:rsidR="0041250F" w:rsidRPr="00E019A9">
        <w:rPr>
          <w:rStyle w:val="FootnoteReference"/>
          <w:rFonts w:ascii="Cambria" w:hAnsi="Cambria"/>
          <w:sz w:val="20"/>
          <w:szCs w:val="20"/>
          <w:lang w:val="es-ES"/>
        </w:rPr>
        <w:footnoteReference w:id="13"/>
      </w:r>
      <w:r w:rsidR="00FF2BDE" w:rsidRPr="00E019A9">
        <w:rPr>
          <w:rFonts w:ascii="Cambria" w:hAnsi="Cambria"/>
          <w:sz w:val="20"/>
          <w:szCs w:val="20"/>
          <w:lang w:val="es-ES"/>
        </w:rPr>
        <w:t>, 1 de junio de 2010</w:t>
      </w:r>
      <w:r w:rsidR="0041250F" w:rsidRPr="00E019A9">
        <w:rPr>
          <w:rStyle w:val="FootnoteReference"/>
          <w:rFonts w:ascii="Cambria" w:hAnsi="Cambria"/>
          <w:sz w:val="20"/>
          <w:szCs w:val="20"/>
          <w:lang w:val="es-ES"/>
        </w:rPr>
        <w:footnoteReference w:id="14"/>
      </w:r>
      <w:r w:rsidR="00FF2BDE" w:rsidRPr="00E019A9">
        <w:rPr>
          <w:rFonts w:ascii="Cambria" w:hAnsi="Cambria"/>
          <w:sz w:val="20"/>
          <w:szCs w:val="20"/>
          <w:lang w:val="es-ES"/>
        </w:rPr>
        <w:t>, 23 de junio de 2010</w:t>
      </w:r>
      <w:r w:rsidR="0041250F" w:rsidRPr="00E019A9">
        <w:rPr>
          <w:rStyle w:val="FootnoteReference"/>
          <w:rFonts w:ascii="Cambria" w:hAnsi="Cambria"/>
          <w:sz w:val="20"/>
          <w:szCs w:val="20"/>
          <w:lang w:val="es-ES"/>
        </w:rPr>
        <w:footnoteReference w:id="15"/>
      </w:r>
      <w:r w:rsidR="00FF2BDE" w:rsidRPr="00E019A9">
        <w:rPr>
          <w:rFonts w:ascii="Cambria" w:hAnsi="Cambria"/>
          <w:sz w:val="20"/>
          <w:szCs w:val="20"/>
          <w:lang w:val="es-ES"/>
        </w:rPr>
        <w:t>, 20 de julio de 2010</w:t>
      </w:r>
      <w:r w:rsidR="0041250F" w:rsidRPr="00E019A9">
        <w:rPr>
          <w:rStyle w:val="FootnoteReference"/>
          <w:rFonts w:ascii="Cambria" w:hAnsi="Cambria"/>
          <w:sz w:val="20"/>
          <w:szCs w:val="20"/>
          <w:lang w:val="es-ES"/>
        </w:rPr>
        <w:footnoteReference w:id="16"/>
      </w:r>
      <w:r w:rsidR="00FF2BDE" w:rsidRPr="00E019A9">
        <w:rPr>
          <w:rFonts w:ascii="Cambria" w:hAnsi="Cambria"/>
          <w:sz w:val="20"/>
          <w:szCs w:val="20"/>
          <w:lang w:val="es-ES"/>
        </w:rPr>
        <w:t xml:space="preserve"> y 16 de agosto de 2010</w:t>
      </w:r>
      <w:r w:rsidR="00D963FB" w:rsidRPr="00E019A9">
        <w:rPr>
          <w:rStyle w:val="FootnoteReference"/>
          <w:rFonts w:ascii="Cambria" w:hAnsi="Cambria"/>
          <w:sz w:val="20"/>
          <w:szCs w:val="20"/>
          <w:lang w:val="es-ES"/>
        </w:rPr>
        <w:footnoteReference w:id="17"/>
      </w:r>
      <w:r w:rsidR="00FF2BDE" w:rsidRPr="00E019A9">
        <w:rPr>
          <w:rFonts w:ascii="Cambria" w:hAnsi="Cambria"/>
          <w:sz w:val="20"/>
          <w:szCs w:val="20"/>
          <w:lang w:val="es-ES"/>
        </w:rPr>
        <w:t xml:space="preserve">. </w:t>
      </w:r>
      <w:r w:rsidR="006A57F6" w:rsidRPr="00E019A9">
        <w:rPr>
          <w:rFonts w:ascii="Cambria" w:hAnsi="Cambria"/>
          <w:sz w:val="20"/>
          <w:szCs w:val="20"/>
          <w:lang w:val="es-ES"/>
        </w:rPr>
        <w:t xml:space="preserve">En todos los casos los peticionarios describieron </w:t>
      </w:r>
      <w:r w:rsidR="004C1A0F" w:rsidRPr="00E019A9">
        <w:rPr>
          <w:rFonts w:ascii="Cambria" w:hAnsi="Cambria"/>
          <w:sz w:val="20"/>
          <w:szCs w:val="20"/>
          <w:lang w:val="es-ES"/>
        </w:rPr>
        <w:t xml:space="preserve">de manera general hechos </w:t>
      </w:r>
      <w:r w:rsidR="00035B24" w:rsidRPr="00E019A9">
        <w:rPr>
          <w:rFonts w:ascii="Cambria" w:hAnsi="Cambria"/>
          <w:sz w:val="20"/>
          <w:szCs w:val="20"/>
          <w:lang w:val="es-ES"/>
        </w:rPr>
        <w:t>similares a</w:t>
      </w:r>
      <w:r w:rsidR="006A57F6" w:rsidRPr="00E019A9">
        <w:rPr>
          <w:rFonts w:ascii="Cambria" w:hAnsi="Cambria"/>
          <w:sz w:val="20"/>
          <w:szCs w:val="20"/>
          <w:lang w:val="es-ES"/>
        </w:rPr>
        <w:t xml:space="preserve"> l</w:t>
      </w:r>
      <w:r w:rsidR="004C1A0F" w:rsidRPr="00E019A9">
        <w:rPr>
          <w:rFonts w:ascii="Cambria" w:hAnsi="Cambria"/>
          <w:sz w:val="20"/>
          <w:szCs w:val="20"/>
          <w:lang w:val="es-ES"/>
        </w:rPr>
        <w:t>os</w:t>
      </w:r>
      <w:r w:rsidR="006A57F6" w:rsidRPr="00E019A9">
        <w:rPr>
          <w:rFonts w:ascii="Cambria" w:hAnsi="Cambria"/>
          <w:sz w:val="20"/>
          <w:szCs w:val="20"/>
          <w:lang w:val="es-ES"/>
        </w:rPr>
        <w:t xml:space="preserve"> platead</w:t>
      </w:r>
      <w:r w:rsidR="004C1A0F" w:rsidRPr="00E019A9">
        <w:rPr>
          <w:rFonts w:ascii="Cambria" w:hAnsi="Cambria"/>
          <w:sz w:val="20"/>
          <w:szCs w:val="20"/>
          <w:lang w:val="es-ES"/>
        </w:rPr>
        <w:t xml:space="preserve">os </w:t>
      </w:r>
      <w:r w:rsidR="006A57F6" w:rsidRPr="00E019A9">
        <w:rPr>
          <w:rFonts w:ascii="Cambria" w:hAnsi="Cambria"/>
          <w:sz w:val="20"/>
          <w:szCs w:val="20"/>
          <w:lang w:val="es-ES"/>
        </w:rPr>
        <w:t xml:space="preserve">en la petición P 102-08 presentada en representación del Sr. Rivera Matus y su familia y expresaron idénticos argumentos en torno a la violación de derechos convencionales en virtud de la aplicación de la denominada “prescripción gradual” o “media prescripción”. </w:t>
      </w:r>
    </w:p>
    <w:p w14:paraId="1ED51840" w14:textId="77777777" w:rsidR="006A57F6" w:rsidRPr="00E019A9" w:rsidRDefault="006A57F6" w:rsidP="00AC1CA8">
      <w:pPr>
        <w:pStyle w:val="ListParagraph"/>
        <w:tabs>
          <w:tab w:val="left" w:pos="567"/>
        </w:tabs>
        <w:rPr>
          <w:sz w:val="20"/>
          <w:szCs w:val="20"/>
          <w:lang w:val="es-ES"/>
        </w:rPr>
      </w:pPr>
    </w:p>
    <w:p w14:paraId="7010069F" w14:textId="696E5738" w:rsidR="00414FCB" w:rsidRPr="00E019A9" w:rsidRDefault="006A57F6" w:rsidP="00BB60A6">
      <w:pPr>
        <w:pStyle w:val="NormalWeb"/>
        <w:numPr>
          <w:ilvl w:val="0"/>
          <w:numId w:val="57"/>
        </w:numPr>
        <w:tabs>
          <w:tab w:val="left" w:pos="567"/>
        </w:tabs>
        <w:spacing w:before="0" w:beforeAutospacing="0" w:after="0" w:afterAutospacing="0"/>
        <w:ind w:left="0" w:firstLine="0"/>
        <w:jc w:val="both"/>
        <w:rPr>
          <w:rFonts w:ascii="Cambria" w:hAnsi="Cambria"/>
          <w:sz w:val="20"/>
          <w:szCs w:val="20"/>
          <w:lang w:val="es-ES"/>
        </w:rPr>
      </w:pPr>
      <w:r w:rsidRPr="00E019A9">
        <w:rPr>
          <w:rFonts w:ascii="Cambria" w:hAnsi="Cambria"/>
          <w:sz w:val="20"/>
          <w:szCs w:val="20"/>
          <w:lang w:val="es-ES"/>
        </w:rPr>
        <w:t>El 10 de noviembre de 2009 los peticionarios solicitaron la acumulación de todas las peticiones presentadas hasta esa fecha a la petición P 102-08 que habían interpuesto el 28 de enero de 2008, respecto de</w:t>
      </w:r>
      <w:r w:rsidR="00414FCB" w:rsidRPr="00E019A9">
        <w:rPr>
          <w:rFonts w:ascii="Cambria" w:hAnsi="Cambria"/>
          <w:sz w:val="20"/>
          <w:szCs w:val="20"/>
          <w:lang w:val="es-ES"/>
        </w:rPr>
        <w:t xml:space="preserve">l Sr. </w:t>
      </w:r>
      <w:r w:rsidRPr="00E019A9">
        <w:rPr>
          <w:rFonts w:ascii="Cambria" w:hAnsi="Cambria"/>
          <w:sz w:val="20"/>
          <w:szCs w:val="20"/>
          <w:lang w:val="es-ES"/>
        </w:rPr>
        <w:t xml:space="preserve"> Juan Luis Rivera Matus. El 17 de noviembre de ese mismo año la Secretaria Ejecutiva de la CIDH accedió a dicha solicitud y comunicó su decisión a los peticionarios y al Estado chileno. El 15 de abril de 2010, la Comisión notificó a los peticionarios que la petición presentada por la AFDD y sus acumuladas (P-102-08) </w:t>
      </w:r>
      <w:r w:rsidR="006224DA" w:rsidRPr="00E019A9">
        <w:rPr>
          <w:rFonts w:ascii="Cambria" w:hAnsi="Cambria"/>
          <w:sz w:val="20"/>
          <w:szCs w:val="20"/>
          <w:lang w:val="es-ES"/>
        </w:rPr>
        <w:t>serían</w:t>
      </w:r>
      <w:r w:rsidRPr="00E019A9">
        <w:rPr>
          <w:rFonts w:ascii="Cambria" w:hAnsi="Cambria"/>
          <w:sz w:val="20"/>
          <w:szCs w:val="20"/>
          <w:lang w:val="es-ES"/>
        </w:rPr>
        <w:t xml:space="preserve"> </w:t>
      </w:r>
      <w:r w:rsidRPr="00E019A9">
        <w:rPr>
          <w:rFonts w:ascii="Cambria" w:hAnsi="Cambria"/>
          <w:sz w:val="20"/>
          <w:szCs w:val="20"/>
          <w:lang w:val="es-ES"/>
        </w:rPr>
        <w:lastRenderedPageBreak/>
        <w:t>acumuladas a su vez a una petición presentada el 26 de noviembre de 2004 por el Sr. Adil Brkovic en favor de</w:t>
      </w:r>
      <w:r w:rsidR="00414FCB" w:rsidRPr="00E019A9">
        <w:rPr>
          <w:rFonts w:ascii="Cambria" w:hAnsi="Cambria"/>
          <w:sz w:val="20"/>
          <w:szCs w:val="20"/>
          <w:lang w:val="es-ES"/>
        </w:rPr>
        <w:t xml:space="preserve">l Sr. </w:t>
      </w:r>
      <w:r w:rsidRPr="00E019A9">
        <w:rPr>
          <w:rFonts w:ascii="Cambria" w:hAnsi="Cambria"/>
          <w:sz w:val="20"/>
          <w:szCs w:val="20"/>
          <w:lang w:val="es-ES"/>
        </w:rPr>
        <w:t>Juan Luis Rivera Matus y sus familiares, identificada con el número P</w:t>
      </w:r>
      <w:r w:rsidR="00515755" w:rsidRPr="00E019A9">
        <w:rPr>
          <w:rFonts w:ascii="Cambria" w:hAnsi="Cambria"/>
          <w:sz w:val="20"/>
          <w:szCs w:val="20"/>
          <w:lang w:val="es-ES"/>
        </w:rPr>
        <w:t xml:space="preserve"> </w:t>
      </w:r>
      <w:r w:rsidRPr="00E019A9">
        <w:rPr>
          <w:rFonts w:ascii="Cambria" w:hAnsi="Cambria"/>
          <w:sz w:val="20"/>
          <w:szCs w:val="20"/>
          <w:lang w:val="es-ES"/>
        </w:rPr>
        <w:t xml:space="preserve">1275-04. </w:t>
      </w:r>
    </w:p>
    <w:p w14:paraId="31DAE485" w14:textId="77777777" w:rsidR="00414FCB" w:rsidRPr="00E019A9" w:rsidRDefault="00414FCB" w:rsidP="00AC1CA8">
      <w:pPr>
        <w:pStyle w:val="ListParagraph"/>
        <w:tabs>
          <w:tab w:val="left" w:pos="567"/>
        </w:tabs>
        <w:ind w:left="0"/>
        <w:rPr>
          <w:sz w:val="20"/>
          <w:szCs w:val="20"/>
          <w:lang w:val="es-ES"/>
        </w:rPr>
      </w:pPr>
    </w:p>
    <w:p w14:paraId="357D8561" w14:textId="77777777" w:rsidR="00414FCB" w:rsidRPr="00E019A9" w:rsidRDefault="00414FCB" w:rsidP="00BB60A6">
      <w:pPr>
        <w:pStyle w:val="NormalWeb"/>
        <w:numPr>
          <w:ilvl w:val="0"/>
          <w:numId w:val="57"/>
        </w:numPr>
        <w:tabs>
          <w:tab w:val="left" w:pos="567"/>
        </w:tabs>
        <w:spacing w:before="0" w:beforeAutospacing="0" w:after="0" w:afterAutospacing="0"/>
        <w:ind w:left="0" w:firstLine="0"/>
        <w:jc w:val="both"/>
        <w:rPr>
          <w:rFonts w:ascii="Cambria" w:hAnsi="Cambria"/>
          <w:sz w:val="20"/>
          <w:szCs w:val="20"/>
          <w:lang w:val="es-ES"/>
        </w:rPr>
      </w:pPr>
      <w:r w:rsidRPr="00E019A9">
        <w:rPr>
          <w:rFonts w:ascii="Cambria" w:hAnsi="Cambria"/>
          <w:sz w:val="20"/>
          <w:szCs w:val="20"/>
          <w:lang w:val="es-ES"/>
        </w:rPr>
        <w:t xml:space="preserve">El 27 de abril de 2011 la CIDH transmitió́ copia de las partes pertinentes </w:t>
      </w:r>
      <w:r w:rsidR="00850C7C" w:rsidRPr="00E019A9">
        <w:rPr>
          <w:rFonts w:ascii="Cambria" w:hAnsi="Cambria"/>
          <w:sz w:val="20"/>
          <w:szCs w:val="20"/>
          <w:lang w:val="es-ES"/>
        </w:rPr>
        <w:t xml:space="preserve">de las </w:t>
      </w:r>
      <w:r w:rsidR="00ED0B01" w:rsidRPr="00E019A9">
        <w:rPr>
          <w:rFonts w:ascii="Cambria" w:hAnsi="Cambria"/>
          <w:sz w:val="20"/>
          <w:szCs w:val="20"/>
          <w:lang w:val="es-ES"/>
        </w:rPr>
        <w:t xml:space="preserve">peticiones recibidas </w:t>
      </w:r>
      <w:r w:rsidRPr="00E019A9">
        <w:rPr>
          <w:rFonts w:ascii="Cambria" w:hAnsi="Cambria"/>
          <w:sz w:val="20"/>
          <w:szCs w:val="20"/>
          <w:lang w:val="es-ES"/>
        </w:rPr>
        <w:t xml:space="preserve">al Estado otorgándole un plazo de dos meses para someter sus observaciones, con base en el </w:t>
      </w:r>
      <w:r w:rsidR="00A84D80" w:rsidRPr="00E019A9">
        <w:rPr>
          <w:rFonts w:ascii="Cambria" w:hAnsi="Cambria"/>
          <w:sz w:val="20"/>
          <w:szCs w:val="20"/>
          <w:lang w:val="es-ES"/>
        </w:rPr>
        <w:t>artículo</w:t>
      </w:r>
      <w:r w:rsidRPr="00E019A9">
        <w:rPr>
          <w:rFonts w:ascii="Cambria" w:hAnsi="Cambria"/>
          <w:sz w:val="20"/>
          <w:szCs w:val="20"/>
          <w:lang w:val="es-ES"/>
        </w:rPr>
        <w:t xml:space="preserve"> 30.3 de su Reglamento entonces en vigor. El 7 de julio de 2011 la Comisión </w:t>
      </w:r>
      <w:r w:rsidR="00515755" w:rsidRPr="00E019A9">
        <w:rPr>
          <w:rFonts w:ascii="Cambria" w:hAnsi="Cambria"/>
          <w:sz w:val="20"/>
          <w:szCs w:val="20"/>
          <w:lang w:val="es-ES"/>
        </w:rPr>
        <w:t>extendió</w:t>
      </w:r>
      <w:r w:rsidRPr="00E019A9">
        <w:rPr>
          <w:rFonts w:ascii="Cambria" w:hAnsi="Cambria"/>
          <w:sz w:val="20"/>
          <w:szCs w:val="20"/>
          <w:lang w:val="es-ES"/>
        </w:rPr>
        <w:t xml:space="preserve"> una prórroga a dicho plazo a solicitud del Estado. El 6 de diciembre de 2012, la CIDH remitió́ al Estado informaciones adicionales y solicitó sus observaciones en el plazo de un mes. El 6 de agosto de 2013 la Comisión reiteró al Estado la solicitud de observaciones. El 5 de mayo de 2014 se recibió́ la respuesta del Estado, la cual fue trasladada a los peticionarios el 18 de junio de 2014.</w:t>
      </w:r>
    </w:p>
    <w:p w14:paraId="2B72A385" w14:textId="77777777" w:rsidR="00414FCB" w:rsidRPr="00E019A9" w:rsidRDefault="00414FCB" w:rsidP="00AC1CA8">
      <w:pPr>
        <w:pStyle w:val="ListParagraph"/>
        <w:tabs>
          <w:tab w:val="left" w:pos="567"/>
        </w:tabs>
        <w:ind w:left="0"/>
        <w:rPr>
          <w:sz w:val="20"/>
          <w:szCs w:val="20"/>
          <w:lang w:val="es-ES"/>
        </w:rPr>
      </w:pPr>
    </w:p>
    <w:p w14:paraId="67F7F184" w14:textId="77777777" w:rsidR="00515755" w:rsidRPr="00E019A9" w:rsidRDefault="00414FCB" w:rsidP="00BB60A6">
      <w:pPr>
        <w:pStyle w:val="NormalWeb"/>
        <w:numPr>
          <w:ilvl w:val="0"/>
          <w:numId w:val="57"/>
        </w:numPr>
        <w:tabs>
          <w:tab w:val="left" w:pos="567"/>
        </w:tabs>
        <w:spacing w:before="0" w:beforeAutospacing="0" w:after="0" w:afterAutospacing="0"/>
        <w:ind w:left="0" w:firstLine="0"/>
        <w:jc w:val="both"/>
        <w:rPr>
          <w:rFonts w:ascii="Cambria" w:hAnsi="Cambria"/>
          <w:sz w:val="20"/>
          <w:szCs w:val="20"/>
          <w:lang w:val="es-ES"/>
        </w:rPr>
      </w:pPr>
      <w:r w:rsidRPr="00E019A9">
        <w:rPr>
          <w:rFonts w:ascii="Cambria" w:hAnsi="Cambria"/>
          <w:sz w:val="20"/>
          <w:szCs w:val="20"/>
          <w:lang w:val="es-ES"/>
        </w:rPr>
        <w:t xml:space="preserve">El 9 de octubre de 2015 la </w:t>
      </w:r>
      <w:r w:rsidR="00515755" w:rsidRPr="00E019A9">
        <w:rPr>
          <w:rFonts w:ascii="Cambria" w:hAnsi="Cambria"/>
          <w:sz w:val="20"/>
          <w:szCs w:val="20"/>
          <w:lang w:val="es-ES"/>
        </w:rPr>
        <w:t>Secretaría</w:t>
      </w:r>
      <w:r w:rsidRPr="00E019A9">
        <w:rPr>
          <w:rFonts w:ascii="Cambria" w:hAnsi="Cambria"/>
          <w:sz w:val="20"/>
          <w:szCs w:val="20"/>
          <w:lang w:val="es-ES"/>
        </w:rPr>
        <w:t xml:space="preserve"> Ejecutiva de la CIDH notificó a las partes su </w:t>
      </w:r>
      <w:r w:rsidR="00515755" w:rsidRPr="00E019A9">
        <w:rPr>
          <w:rFonts w:ascii="Cambria" w:hAnsi="Cambria"/>
          <w:sz w:val="20"/>
          <w:szCs w:val="20"/>
          <w:lang w:val="es-ES"/>
        </w:rPr>
        <w:t>decisión</w:t>
      </w:r>
      <w:r w:rsidRPr="00E019A9">
        <w:rPr>
          <w:rFonts w:ascii="Cambria" w:hAnsi="Cambria"/>
          <w:sz w:val="20"/>
          <w:szCs w:val="20"/>
          <w:lang w:val="es-ES"/>
        </w:rPr>
        <w:t xml:space="preserve"> de desacumular las peticiones que no guardaban </w:t>
      </w:r>
      <w:r w:rsidR="00515755" w:rsidRPr="00E019A9">
        <w:rPr>
          <w:rFonts w:ascii="Cambria" w:hAnsi="Cambria"/>
          <w:sz w:val="20"/>
          <w:szCs w:val="20"/>
          <w:lang w:val="es-ES"/>
        </w:rPr>
        <w:t>relación</w:t>
      </w:r>
      <w:r w:rsidRPr="00E019A9">
        <w:rPr>
          <w:rFonts w:ascii="Cambria" w:hAnsi="Cambria"/>
          <w:sz w:val="20"/>
          <w:szCs w:val="20"/>
          <w:lang w:val="es-ES"/>
        </w:rPr>
        <w:t xml:space="preserve"> con</w:t>
      </w:r>
      <w:r w:rsidR="00515755" w:rsidRPr="00E019A9">
        <w:rPr>
          <w:rFonts w:ascii="Cambria" w:hAnsi="Cambria"/>
          <w:sz w:val="20"/>
          <w:szCs w:val="20"/>
          <w:lang w:val="es-ES"/>
        </w:rPr>
        <w:t xml:space="preserve"> la del Sr.</w:t>
      </w:r>
      <w:r w:rsidRPr="00E019A9">
        <w:rPr>
          <w:rFonts w:ascii="Cambria" w:hAnsi="Cambria"/>
          <w:sz w:val="20"/>
          <w:szCs w:val="20"/>
          <w:lang w:val="es-ES"/>
        </w:rPr>
        <w:t xml:space="preserve"> Juan Luis Rivera Matus, de conformidad</w:t>
      </w:r>
      <w:r w:rsidR="00850C7C" w:rsidRPr="00E019A9">
        <w:rPr>
          <w:rFonts w:ascii="Cambria" w:hAnsi="Cambria"/>
          <w:sz w:val="20"/>
          <w:szCs w:val="20"/>
          <w:lang w:val="es-ES"/>
        </w:rPr>
        <w:t xml:space="preserve"> </w:t>
      </w:r>
      <w:r w:rsidRPr="00E019A9">
        <w:rPr>
          <w:rFonts w:ascii="Cambria" w:hAnsi="Cambria"/>
          <w:sz w:val="20"/>
          <w:szCs w:val="20"/>
          <w:lang w:val="es-ES"/>
        </w:rPr>
        <w:t xml:space="preserve">con lo establecido por el </w:t>
      </w:r>
      <w:r w:rsidR="00515755" w:rsidRPr="00E019A9">
        <w:rPr>
          <w:rFonts w:ascii="Cambria" w:hAnsi="Cambria"/>
          <w:sz w:val="20"/>
          <w:szCs w:val="20"/>
          <w:lang w:val="es-ES"/>
        </w:rPr>
        <w:t>artículo</w:t>
      </w:r>
      <w:r w:rsidRPr="00E019A9">
        <w:rPr>
          <w:rFonts w:ascii="Cambria" w:hAnsi="Cambria"/>
          <w:sz w:val="20"/>
          <w:szCs w:val="20"/>
          <w:lang w:val="es-ES"/>
        </w:rPr>
        <w:t xml:space="preserve"> 29.4 del Reglamento de la </w:t>
      </w:r>
      <w:r w:rsidR="00515755" w:rsidRPr="00E019A9">
        <w:rPr>
          <w:rFonts w:ascii="Cambria" w:hAnsi="Cambria"/>
          <w:sz w:val="20"/>
          <w:szCs w:val="20"/>
          <w:lang w:val="es-ES"/>
        </w:rPr>
        <w:t>Comisión</w:t>
      </w:r>
      <w:r w:rsidR="00850C7C" w:rsidRPr="00E019A9">
        <w:rPr>
          <w:rFonts w:ascii="Cambria" w:hAnsi="Cambria"/>
          <w:sz w:val="20"/>
          <w:szCs w:val="20"/>
          <w:lang w:val="es-ES"/>
        </w:rPr>
        <w:t xml:space="preserve">, </w:t>
      </w:r>
      <w:r w:rsidR="00515755" w:rsidRPr="00E019A9">
        <w:rPr>
          <w:rFonts w:ascii="Cambria" w:hAnsi="Cambria"/>
          <w:sz w:val="20"/>
          <w:szCs w:val="20"/>
          <w:lang w:val="es-ES"/>
        </w:rPr>
        <w:t xml:space="preserve">toda vez que la petición P 1275-04 se refiere principalmente a hechos relacionados con aspectos </w:t>
      </w:r>
      <w:r w:rsidR="00ED0B01" w:rsidRPr="00E019A9">
        <w:rPr>
          <w:rFonts w:ascii="Cambria" w:hAnsi="Cambria"/>
          <w:sz w:val="20"/>
          <w:szCs w:val="20"/>
          <w:lang w:val="es-ES"/>
        </w:rPr>
        <w:t>vinculados a la reparación civil</w:t>
      </w:r>
      <w:r w:rsidR="00515755" w:rsidRPr="00E019A9">
        <w:rPr>
          <w:rFonts w:ascii="Cambria" w:hAnsi="Cambria"/>
          <w:sz w:val="20"/>
          <w:szCs w:val="20"/>
          <w:lang w:val="es-ES"/>
        </w:rPr>
        <w:t xml:space="preserve"> por los delitos a los que habría sido </w:t>
      </w:r>
      <w:r w:rsidR="00A84D80" w:rsidRPr="00E019A9">
        <w:rPr>
          <w:rFonts w:ascii="Cambria" w:hAnsi="Cambria"/>
          <w:sz w:val="20"/>
          <w:szCs w:val="20"/>
          <w:lang w:val="es-ES"/>
        </w:rPr>
        <w:t>víctima</w:t>
      </w:r>
      <w:r w:rsidR="00ED0B01" w:rsidRPr="00E019A9">
        <w:rPr>
          <w:rFonts w:ascii="Cambria" w:hAnsi="Cambria"/>
          <w:sz w:val="20"/>
          <w:szCs w:val="20"/>
          <w:lang w:val="es-ES"/>
        </w:rPr>
        <w:t xml:space="preserve"> el Sr. Rivera Matus</w:t>
      </w:r>
      <w:r w:rsidR="00850C7C" w:rsidRPr="00E019A9">
        <w:rPr>
          <w:rFonts w:ascii="Cambria" w:hAnsi="Cambria"/>
          <w:sz w:val="20"/>
          <w:szCs w:val="20"/>
          <w:lang w:val="es-ES"/>
        </w:rPr>
        <w:t>. En consecuencia, se asign</w:t>
      </w:r>
      <w:r w:rsidR="00ED0B01" w:rsidRPr="00E019A9">
        <w:rPr>
          <w:rFonts w:ascii="Cambria" w:hAnsi="Cambria"/>
          <w:sz w:val="20"/>
          <w:szCs w:val="20"/>
          <w:lang w:val="es-ES"/>
        </w:rPr>
        <w:t>ó</w:t>
      </w:r>
      <w:r w:rsidR="00850C7C" w:rsidRPr="00E019A9">
        <w:rPr>
          <w:rFonts w:ascii="Cambria" w:hAnsi="Cambria"/>
          <w:sz w:val="20"/>
          <w:szCs w:val="20"/>
          <w:lang w:val="es-ES"/>
        </w:rPr>
        <w:t xml:space="preserve"> el número P 1566-08 a las 13 peticiones recibidas a partir del </w:t>
      </w:r>
      <w:r w:rsidR="00ED0B01" w:rsidRPr="00E019A9">
        <w:rPr>
          <w:rFonts w:ascii="Cambria" w:hAnsi="Cambria"/>
          <w:sz w:val="20"/>
          <w:szCs w:val="20"/>
          <w:lang w:val="es-ES"/>
        </w:rPr>
        <w:t>día</w:t>
      </w:r>
      <w:r w:rsidR="00850C7C" w:rsidRPr="00E019A9">
        <w:rPr>
          <w:rFonts w:ascii="Cambria" w:hAnsi="Cambria"/>
          <w:sz w:val="20"/>
          <w:szCs w:val="20"/>
          <w:lang w:val="es-ES"/>
        </w:rPr>
        <w:t xml:space="preserve"> 3 de marzo de 2008</w:t>
      </w:r>
      <w:r w:rsidR="00ED0B01" w:rsidRPr="00E019A9">
        <w:rPr>
          <w:rFonts w:ascii="Cambria" w:hAnsi="Cambria"/>
          <w:sz w:val="20"/>
          <w:szCs w:val="20"/>
          <w:lang w:val="es-ES"/>
        </w:rPr>
        <w:t xml:space="preserve"> </w:t>
      </w:r>
      <w:r w:rsidR="00FF1BB4" w:rsidRPr="00E019A9">
        <w:rPr>
          <w:rFonts w:ascii="Cambria" w:hAnsi="Cambria"/>
          <w:sz w:val="20"/>
          <w:szCs w:val="20"/>
          <w:lang w:val="es-ES"/>
        </w:rPr>
        <w:t>vinculadas</w:t>
      </w:r>
      <w:r w:rsidR="00ED0B01" w:rsidRPr="00E019A9">
        <w:rPr>
          <w:rFonts w:ascii="Cambria" w:hAnsi="Cambria"/>
          <w:sz w:val="20"/>
          <w:szCs w:val="20"/>
          <w:lang w:val="es-ES"/>
        </w:rPr>
        <w:t xml:space="preserve"> exclusivamente a la aplicación de la regla de la media prescripción en materia penal y se decidió mantener todos los asuntos </w:t>
      </w:r>
      <w:r w:rsidR="00FF1BB4" w:rsidRPr="00E019A9">
        <w:rPr>
          <w:rFonts w:ascii="Cambria" w:hAnsi="Cambria"/>
          <w:sz w:val="20"/>
          <w:szCs w:val="20"/>
          <w:lang w:val="es-ES"/>
        </w:rPr>
        <w:t xml:space="preserve">relativos </w:t>
      </w:r>
      <w:r w:rsidR="00ED0B01" w:rsidRPr="00E019A9">
        <w:rPr>
          <w:rFonts w:ascii="Cambria" w:hAnsi="Cambria"/>
          <w:sz w:val="20"/>
          <w:szCs w:val="20"/>
          <w:lang w:val="es-ES"/>
        </w:rPr>
        <w:t xml:space="preserve">al Sr. Rivera Matus bajo el numero P 1275-04. </w:t>
      </w:r>
    </w:p>
    <w:p w14:paraId="2DF94ABE" w14:textId="77777777" w:rsidR="00414FCB" w:rsidRPr="00E019A9" w:rsidRDefault="00414FCB" w:rsidP="00AC1CA8">
      <w:pPr>
        <w:pStyle w:val="NormalWeb"/>
        <w:tabs>
          <w:tab w:val="left" w:pos="567"/>
        </w:tabs>
        <w:spacing w:before="0" w:beforeAutospacing="0" w:after="0" w:afterAutospacing="0"/>
        <w:jc w:val="both"/>
        <w:rPr>
          <w:rFonts w:ascii="Cambria" w:hAnsi="Cambria"/>
          <w:sz w:val="20"/>
          <w:szCs w:val="20"/>
          <w:lang w:val="es-ES"/>
        </w:rPr>
      </w:pPr>
    </w:p>
    <w:p w14:paraId="4FB5232E" w14:textId="77777777" w:rsidR="006A57F6" w:rsidRPr="00E019A9" w:rsidRDefault="00FF1BB4" w:rsidP="00BB60A6">
      <w:pPr>
        <w:pStyle w:val="NormalWeb"/>
        <w:numPr>
          <w:ilvl w:val="0"/>
          <w:numId w:val="57"/>
        </w:numPr>
        <w:tabs>
          <w:tab w:val="left" w:pos="567"/>
        </w:tabs>
        <w:spacing w:before="0" w:beforeAutospacing="0" w:after="0" w:afterAutospacing="0"/>
        <w:ind w:left="0" w:firstLine="0"/>
        <w:jc w:val="both"/>
        <w:rPr>
          <w:rFonts w:ascii="Cambria" w:hAnsi="Cambria"/>
          <w:sz w:val="20"/>
          <w:szCs w:val="20"/>
          <w:lang w:val="es-ES"/>
        </w:rPr>
      </w:pPr>
      <w:r w:rsidRPr="00E019A9">
        <w:rPr>
          <w:rFonts w:ascii="Cambria" w:hAnsi="Cambria"/>
          <w:sz w:val="20"/>
          <w:szCs w:val="20"/>
          <w:lang w:val="es-ES"/>
        </w:rPr>
        <w:t xml:space="preserve">Finalmente, el 27 de julio de 2016 - y en virtud de haber constatado la disponibilidad expresada por las partes para iniciar un procedimiento de solución amistosa circunscripto exclusivamente a la cuestión de la declaración judicial de prescripción de la acción civil relativa al caso del Sr. Rivera Matus – la </w:t>
      </w:r>
      <w:r w:rsidR="00C429A1" w:rsidRPr="00E019A9">
        <w:rPr>
          <w:rFonts w:ascii="Cambria" w:hAnsi="Cambria"/>
          <w:sz w:val="20"/>
          <w:szCs w:val="20"/>
          <w:lang w:val="es-ES"/>
        </w:rPr>
        <w:t>Comisión</w:t>
      </w:r>
      <w:r w:rsidRPr="00E019A9">
        <w:rPr>
          <w:rFonts w:ascii="Cambria" w:hAnsi="Cambria"/>
          <w:sz w:val="20"/>
          <w:szCs w:val="20"/>
          <w:lang w:val="es-ES"/>
        </w:rPr>
        <w:t xml:space="preserve"> </w:t>
      </w:r>
      <w:r w:rsidR="008631DA" w:rsidRPr="00E019A9">
        <w:rPr>
          <w:rFonts w:ascii="Cambria" w:hAnsi="Cambria"/>
          <w:sz w:val="20"/>
          <w:szCs w:val="20"/>
          <w:lang w:val="es-ES"/>
        </w:rPr>
        <w:t>decidió</w:t>
      </w:r>
      <w:r w:rsidRPr="00E019A9">
        <w:rPr>
          <w:rFonts w:ascii="Cambria" w:hAnsi="Cambria"/>
          <w:sz w:val="20"/>
          <w:szCs w:val="20"/>
          <w:lang w:val="es-ES"/>
        </w:rPr>
        <w:t xml:space="preserve"> iniciar el </w:t>
      </w:r>
      <w:r w:rsidR="00A84D80" w:rsidRPr="00E019A9">
        <w:rPr>
          <w:rFonts w:ascii="Cambria" w:hAnsi="Cambria"/>
          <w:sz w:val="20"/>
          <w:szCs w:val="20"/>
          <w:lang w:val="es-ES"/>
        </w:rPr>
        <w:t>trámite</w:t>
      </w:r>
      <w:r w:rsidRPr="00E019A9">
        <w:rPr>
          <w:rFonts w:ascii="Cambria" w:hAnsi="Cambria"/>
          <w:sz w:val="20"/>
          <w:szCs w:val="20"/>
          <w:lang w:val="es-ES"/>
        </w:rPr>
        <w:t xml:space="preserve"> del proceso de solución amistosa bajo el </w:t>
      </w:r>
      <w:r w:rsidR="00A84D80" w:rsidRPr="00E019A9">
        <w:rPr>
          <w:rFonts w:ascii="Cambria" w:hAnsi="Cambria"/>
          <w:sz w:val="20"/>
          <w:szCs w:val="20"/>
          <w:lang w:val="es-ES"/>
        </w:rPr>
        <w:t>número</w:t>
      </w:r>
      <w:r w:rsidRPr="00E019A9">
        <w:rPr>
          <w:rFonts w:ascii="Cambria" w:hAnsi="Cambria"/>
          <w:sz w:val="20"/>
          <w:szCs w:val="20"/>
          <w:lang w:val="es-ES"/>
        </w:rPr>
        <w:t xml:space="preserve"> de petición P</w:t>
      </w:r>
      <w:r w:rsidR="00BF1968" w:rsidRPr="00E019A9">
        <w:rPr>
          <w:rFonts w:ascii="Cambria" w:hAnsi="Cambria"/>
          <w:sz w:val="20"/>
          <w:szCs w:val="20"/>
          <w:lang w:val="es-ES"/>
        </w:rPr>
        <w:t xml:space="preserve"> </w:t>
      </w:r>
      <w:r w:rsidRPr="00E019A9">
        <w:rPr>
          <w:rFonts w:ascii="Cambria" w:hAnsi="Cambria"/>
          <w:sz w:val="20"/>
          <w:szCs w:val="20"/>
          <w:lang w:val="es-ES"/>
        </w:rPr>
        <w:t>1275-04</w:t>
      </w:r>
      <w:r w:rsidR="00C429A1" w:rsidRPr="00E019A9">
        <w:rPr>
          <w:rFonts w:ascii="Cambria" w:hAnsi="Cambria"/>
          <w:sz w:val="20"/>
          <w:szCs w:val="20"/>
          <w:lang w:val="es-ES"/>
        </w:rPr>
        <w:t>-A,</w:t>
      </w:r>
      <w:r w:rsidRPr="00E019A9">
        <w:rPr>
          <w:rFonts w:ascii="Cambria" w:hAnsi="Cambria"/>
          <w:sz w:val="20"/>
          <w:szCs w:val="20"/>
          <w:lang w:val="es-ES"/>
        </w:rPr>
        <w:t xml:space="preserve"> identificar los asuntos </w:t>
      </w:r>
      <w:r w:rsidR="00C429A1" w:rsidRPr="00E019A9">
        <w:rPr>
          <w:rFonts w:ascii="Cambria" w:hAnsi="Cambria"/>
          <w:sz w:val="20"/>
          <w:szCs w:val="20"/>
          <w:lang w:val="es-ES"/>
        </w:rPr>
        <w:t xml:space="preserve">vinculados a la aplicación de la llamada media prescripción o prescripción gradual en el proceso penal seguido por el secuestro y la desaparición forzada del Sr. Rivera Matus bajo el </w:t>
      </w:r>
      <w:r w:rsidR="008631DA" w:rsidRPr="00E019A9">
        <w:rPr>
          <w:rFonts w:ascii="Cambria" w:hAnsi="Cambria"/>
          <w:sz w:val="20"/>
          <w:szCs w:val="20"/>
          <w:lang w:val="es-ES"/>
        </w:rPr>
        <w:t>num</w:t>
      </w:r>
      <w:r w:rsidR="00C429A1" w:rsidRPr="00E019A9">
        <w:rPr>
          <w:rFonts w:ascii="Cambria" w:hAnsi="Cambria"/>
          <w:sz w:val="20"/>
          <w:szCs w:val="20"/>
          <w:lang w:val="es-ES"/>
        </w:rPr>
        <w:t xml:space="preserve">ero P 1275-04-B y continuar con el análisis de admisibilidad y fondo </w:t>
      </w:r>
      <w:r w:rsidR="008631DA" w:rsidRPr="00E019A9">
        <w:rPr>
          <w:rFonts w:ascii="Cambria" w:hAnsi="Cambria"/>
          <w:sz w:val="20"/>
          <w:szCs w:val="20"/>
          <w:lang w:val="es-ES"/>
        </w:rPr>
        <w:t xml:space="preserve">de esta ultima de manera conjunta con las 13 peticiones acumuladas en el </w:t>
      </w:r>
      <w:r w:rsidR="00A84D80" w:rsidRPr="00E019A9">
        <w:rPr>
          <w:rFonts w:ascii="Cambria" w:hAnsi="Cambria"/>
          <w:sz w:val="20"/>
          <w:szCs w:val="20"/>
          <w:lang w:val="es-ES"/>
        </w:rPr>
        <w:t>número</w:t>
      </w:r>
      <w:r w:rsidR="008631DA" w:rsidRPr="00E019A9">
        <w:rPr>
          <w:rFonts w:ascii="Cambria" w:hAnsi="Cambria"/>
          <w:sz w:val="20"/>
          <w:szCs w:val="20"/>
          <w:lang w:val="es-ES"/>
        </w:rPr>
        <w:t xml:space="preserve"> 1566-08. </w:t>
      </w:r>
    </w:p>
    <w:p w14:paraId="7313727A" w14:textId="77777777" w:rsidR="008631DA" w:rsidRPr="00E019A9" w:rsidRDefault="008631DA" w:rsidP="00AC1CA8">
      <w:pPr>
        <w:pStyle w:val="NormalWeb"/>
        <w:tabs>
          <w:tab w:val="left" w:pos="567"/>
        </w:tabs>
        <w:spacing w:before="0" w:beforeAutospacing="0" w:after="0" w:afterAutospacing="0"/>
        <w:jc w:val="both"/>
        <w:rPr>
          <w:rFonts w:ascii="Cambria" w:hAnsi="Cambria"/>
          <w:sz w:val="20"/>
          <w:szCs w:val="20"/>
          <w:lang w:val="es-ES"/>
        </w:rPr>
      </w:pPr>
    </w:p>
    <w:p w14:paraId="4C1B9932" w14:textId="77777777" w:rsidR="008631DA" w:rsidRPr="00E019A9" w:rsidRDefault="008631DA" w:rsidP="00BB60A6">
      <w:pPr>
        <w:pStyle w:val="NormalWeb"/>
        <w:numPr>
          <w:ilvl w:val="0"/>
          <w:numId w:val="57"/>
        </w:numPr>
        <w:tabs>
          <w:tab w:val="left" w:pos="567"/>
        </w:tabs>
        <w:spacing w:before="0" w:beforeAutospacing="0" w:after="0" w:afterAutospacing="0"/>
        <w:ind w:left="0" w:firstLine="0"/>
        <w:jc w:val="both"/>
        <w:rPr>
          <w:rFonts w:ascii="Cambria" w:hAnsi="Cambria"/>
          <w:sz w:val="20"/>
          <w:szCs w:val="20"/>
          <w:lang w:val="es-ES"/>
        </w:rPr>
      </w:pPr>
      <w:r w:rsidRPr="00E019A9">
        <w:rPr>
          <w:rFonts w:ascii="Cambria" w:hAnsi="Cambria"/>
          <w:sz w:val="20"/>
          <w:szCs w:val="20"/>
          <w:lang w:val="es-ES"/>
        </w:rPr>
        <w:t xml:space="preserve">El 6 de diciembre de 2016 la Comisión aprobó el Informe de </w:t>
      </w:r>
      <w:r w:rsidR="004C1A0F" w:rsidRPr="00E019A9">
        <w:rPr>
          <w:rFonts w:ascii="Cambria" w:hAnsi="Cambria"/>
          <w:sz w:val="20"/>
          <w:szCs w:val="20"/>
          <w:lang w:val="es-ES"/>
        </w:rPr>
        <w:t>A</w:t>
      </w:r>
      <w:r w:rsidRPr="00E019A9">
        <w:rPr>
          <w:rFonts w:ascii="Cambria" w:hAnsi="Cambria"/>
          <w:sz w:val="20"/>
          <w:szCs w:val="20"/>
          <w:lang w:val="es-ES"/>
        </w:rPr>
        <w:t>dmisibilidad Nro. 58/16 por medio del cual declaró admisibles las peticiones 1275-04 B y 1566-08 respecto de los derechos consagrados en los artículos 5. 8 y 25 de la Convención Americana sobre Derechos Humanos en relación con sus artículos 1.1 y 2</w:t>
      </w:r>
      <w:r w:rsidR="00A21723" w:rsidRPr="00E019A9">
        <w:rPr>
          <w:rStyle w:val="FootnoteReference"/>
          <w:rFonts w:ascii="Cambria" w:hAnsi="Cambria"/>
          <w:sz w:val="20"/>
          <w:szCs w:val="20"/>
          <w:lang w:val="es-ES"/>
        </w:rPr>
        <w:footnoteReference w:id="18"/>
      </w:r>
      <w:r w:rsidRPr="00E019A9">
        <w:rPr>
          <w:rFonts w:ascii="Cambria" w:hAnsi="Cambria"/>
          <w:sz w:val="20"/>
          <w:szCs w:val="20"/>
          <w:lang w:val="es-ES"/>
        </w:rPr>
        <w:t xml:space="preserve">. La </w:t>
      </w:r>
      <w:r w:rsidR="00877F3E" w:rsidRPr="00E019A9">
        <w:rPr>
          <w:rFonts w:ascii="Cambria" w:hAnsi="Cambria"/>
          <w:sz w:val="20"/>
          <w:szCs w:val="20"/>
          <w:lang w:val="es-ES"/>
        </w:rPr>
        <w:t>Comisión</w:t>
      </w:r>
      <w:r w:rsidRPr="00E019A9">
        <w:rPr>
          <w:rFonts w:ascii="Cambria" w:hAnsi="Cambria"/>
          <w:sz w:val="20"/>
          <w:szCs w:val="20"/>
          <w:lang w:val="es-ES"/>
        </w:rPr>
        <w:t xml:space="preserve"> </w:t>
      </w:r>
      <w:r w:rsidR="00877F3E" w:rsidRPr="00E019A9">
        <w:rPr>
          <w:rFonts w:ascii="Cambria" w:hAnsi="Cambria"/>
          <w:sz w:val="20"/>
          <w:szCs w:val="20"/>
          <w:lang w:val="es-ES"/>
        </w:rPr>
        <w:t xml:space="preserve">registró las dos peticiones declaradas admisibles bajo el </w:t>
      </w:r>
      <w:r w:rsidR="00A84D80" w:rsidRPr="00E019A9">
        <w:rPr>
          <w:rFonts w:ascii="Cambria" w:hAnsi="Cambria"/>
          <w:sz w:val="20"/>
          <w:szCs w:val="20"/>
          <w:lang w:val="es-ES"/>
        </w:rPr>
        <w:t>número</w:t>
      </w:r>
      <w:r w:rsidR="00877F3E" w:rsidRPr="00E019A9">
        <w:rPr>
          <w:rFonts w:ascii="Cambria" w:hAnsi="Cambria"/>
          <w:sz w:val="20"/>
          <w:szCs w:val="20"/>
          <w:lang w:val="es-ES"/>
        </w:rPr>
        <w:t xml:space="preserve"> de caso 13.054. </w:t>
      </w:r>
    </w:p>
    <w:p w14:paraId="59D0FC23" w14:textId="77777777" w:rsidR="0014496A" w:rsidRPr="00E019A9" w:rsidRDefault="0014496A" w:rsidP="00AC1CA8">
      <w:pPr>
        <w:pStyle w:val="NormalWeb"/>
        <w:tabs>
          <w:tab w:val="left" w:pos="567"/>
        </w:tabs>
        <w:spacing w:before="0" w:beforeAutospacing="0" w:after="0" w:afterAutospacing="0"/>
        <w:jc w:val="both"/>
        <w:rPr>
          <w:rFonts w:ascii="Cambria" w:hAnsi="Cambria"/>
          <w:sz w:val="20"/>
          <w:szCs w:val="20"/>
          <w:lang w:val="es-ES"/>
        </w:rPr>
      </w:pPr>
    </w:p>
    <w:p w14:paraId="4165B6E9" w14:textId="77777777" w:rsidR="0014496A" w:rsidRPr="00E019A9" w:rsidRDefault="0014496A" w:rsidP="00BB60A6">
      <w:pPr>
        <w:pStyle w:val="NormalWeb"/>
        <w:numPr>
          <w:ilvl w:val="0"/>
          <w:numId w:val="57"/>
        </w:numPr>
        <w:tabs>
          <w:tab w:val="left" w:pos="567"/>
        </w:tabs>
        <w:spacing w:before="0" w:beforeAutospacing="0" w:after="0" w:afterAutospacing="0"/>
        <w:ind w:left="0" w:firstLine="0"/>
        <w:jc w:val="both"/>
        <w:rPr>
          <w:rFonts w:ascii="Cambria" w:hAnsi="Cambria"/>
          <w:sz w:val="20"/>
          <w:szCs w:val="20"/>
          <w:lang w:val="es-ES"/>
        </w:rPr>
      </w:pPr>
      <w:r w:rsidRPr="00E019A9">
        <w:rPr>
          <w:rFonts w:ascii="Cambria" w:hAnsi="Cambria"/>
          <w:sz w:val="20"/>
          <w:szCs w:val="20"/>
          <w:lang w:val="es-ES"/>
        </w:rPr>
        <w:t xml:space="preserve">El </w:t>
      </w:r>
      <w:r w:rsidR="00AE0AA9" w:rsidRPr="00E019A9">
        <w:rPr>
          <w:rFonts w:ascii="Cambria" w:hAnsi="Cambria"/>
          <w:sz w:val="20"/>
          <w:szCs w:val="20"/>
          <w:lang w:val="es-ES"/>
        </w:rPr>
        <w:t xml:space="preserve">12 de abril de 2017 los peticionarios presentaron </w:t>
      </w:r>
      <w:r w:rsidR="002F579A" w:rsidRPr="00E019A9">
        <w:rPr>
          <w:rFonts w:ascii="Cambria" w:hAnsi="Cambria"/>
          <w:sz w:val="20"/>
          <w:szCs w:val="20"/>
          <w:lang w:val="es-ES"/>
        </w:rPr>
        <w:t xml:space="preserve">sus </w:t>
      </w:r>
      <w:r w:rsidR="00AE0AA9" w:rsidRPr="00E019A9">
        <w:rPr>
          <w:rFonts w:ascii="Cambria" w:hAnsi="Cambria"/>
          <w:sz w:val="20"/>
          <w:szCs w:val="20"/>
          <w:lang w:val="es-ES"/>
        </w:rPr>
        <w:t>observaciones adicionales sobre el fondo y el 24 de abril del mismo año la Comisión lo transmitió al Estado de acuerdo con el artículo 37</w:t>
      </w:r>
      <w:r w:rsidR="006D533A" w:rsidRPr="00E019A9">
        <w:rPr>
          <w:rFonts w:ascii="Cambria" w:hAnsi="Cambria"/>
          <w:sz w:val="20"/>
          <w:szCs w:val="20"/>
          <w:lang w:val="es-ES"/>
        </w:rPr>
        <w:t xml:space="preserve"> </w:t>
      </w:r>
      <w:r w:rsidR="00AE0AA9" w:rsidRPr="00E019A9">
        <w:rPr>
          <w:rFonts w:ascii="Cambria" w:hAnsi="Cambria"/>
          <w:sz w:val="20"/>
          <w:szCs w:val="20"/>
          <w:lang w:val="es-ES"/>
        </w:rPr>
        <w:t>(1) del reglamento de la CIDH. El 26 de octubre de 2017 el Estado chileno remitió su</w:t>
      </w:r>
      <w:r w:rsidR="002F579A" w:rsidRPr="00E019A9">
        <w:rPr>
          <w:rFonts w:ascii="Cambria" w:hAnsi="Cambria"/>
          <w:sz w:val="20"/>
          <w:szCs w:val="20"/>
          <w:lang w:val="es-ES"/>
        </w:rPr>
        <w:t>s</w:t>
      </w:r>
      <w:r w:rsidR="00AE0AA9" w:rsidRPr="00E019A9">
        <w:rPr>
          <w:rFonts w:ascii="Cambria" w:hAnsi="Cambria"/>
          <w:sz w:val="20"/>
          <w:szCs w:val="20"/>
          <w:lang w:val="es-ES"/>
        </w:rPr>
        <w:t xml:space="preserve"> observaciones adicionales. </w:t>
      </w:r>
      <w:r w:rsidR="00A21723" w:rsidRPr="00E019A9">
        <w:rPr>
          <w:rFonts w:ascii="Cambria" w:hAnsi="Cambria"/>
          <w:sz w:val="20"/>
          <w:szCs w:val="20"/>
          <w:lang w:val="es-ES"/>
        </w:rPr>
        <w:t xml:space="preserve">Todas las comunicaciones fueron debidamente trasladadas entre las partes. </w:t>
      </w:r>
    </w:p>
    <w:p w14:paraId="7626ED92" w14:textId="77777777" w:rsidR="00611061" w:rsidRPr="00E019A9" w:rsidRDefault="00611061" w:rsidP="00AE0AA9">
      <w:pPr>
        <w:rPr>
          <w:sz w:val="20"/>
          <w:szCs w:val="20"/>
          <w:lang w:val="es-ES_tradnl"/>
        </w:rPr>
      </w:pPr>
    </w:p>
    <w:p w14:paraId="4E74ED94" w14:textId="77777777" w:rsidR="00611061" w:rsidRPr="00E019A9" w:rsidRDefault="00611061" w:rsidP="00AD2BB2">
      <w:pPr>
        <w:pStyle w:val="Heading1"/>
        <w:ind w:left="1134"/>
      </w:pPr>
      <w:bookmarkStart w:id="3" w:name="_Toc70440257"/>
      <w:r w:rsidRPr="00E019A9">
        <w:t>POSICIONES DE LAS PARTES</w:t>
      </w:r>
      <w:bookmarkEnd w:id="3"/>
      <w:r w:rsidRPr="00E019A9">
        <w:t xml:space="preserve"> </w:t>
      </w:r>
    </w:p>
    <w:p w14:paraId="76CB2433" w14:textId="77777777" w:rsidR="00B95AA9" w:rsidRPr="00E019A9" w:rsidRDefault="00B95AA9" w:rsidP="00B95AA9">
      <w:pPr>
        <w:rPr>
          <w:rFonts w:ascii="Cambria" w:hAnsi="Cambria"/>
          <w:sz w:val="20"/>
          <w:szCs w:val="20"/>
          <w:lang w:val="es-ES_tradnl" w:eastAsia="es-ES"/>
        </w:rPr>
      </w:pPr>
    </w:p>
    <w:p w14:paraId="6A38A5C5" w14:textId="77777777" w:rsidR="00B95AA9" w:rsidRPr="00E019A9" w:rsidRDefault="00B95AA9" w:rsidP="00B95AA9">
      <w:pPr>
        <w:pStyle w:val="Heading2"/>
      </w:pPr>
      <w:bookmarkStart w:id="4" w:name="_Toc70440258"/>
      <w:r w:rsidRPr="00E019A9">
        <w:t>Parte Peticionaria</w:t>
      </w:r>
      <w:bookmarkEnd w:id="4"/>
      <w:r w:rsidRPr="00E019A9">
        <w:t xml:space="preserve"> </w:t>
      </w:r>
    </w:p>
    <w:p w14:paraId="1A3C707A" w14:textId="77777777" w:rsidR="00837650" w:rsidRPr="00E019A9" w:rsidRDefault="00837650" w:rsidP="00837650">
      <w:pPr>
        <w:rPr>
          <w:sz w:val="20"/>
          <w:szCs w:val="20"/>
          <w:lang w:val="es-ES_tradnl" w:eastAsia="es-ES"/>
        </w:rPr>
      </w:pPr>
    </w:p>
    <w:p w14:paraId="1BB3C01B" w14:textId="77777777" w:rsidR="00B95AA9" w:rsidRPr="00E019A9" w:rsidRDefault="00837650" w:rsidP="00AD2BB2">
      <w:pPr>
        <w:ind w:left="709"/>
        <w:rPr>
          <w:rFonts w:ascii="Cambria" w:hAnsi="Cambria"/>
          <w:b/>
          <w:sz w:val="20"/>
          <w:szCs w:val="20"/>
          <w:lang w:val="es-ES_tradnl" w:eastAsia="es-ES"/>
        </w:rPr>
      </w:pPr>
      <w:r w:rsidRPr="00E019A9">
        <w:rPr>
          <w:rFonts w:ascii="Cambria" w:hAnsi="Cambria"/>
          <w:b/>
          <w:sz w:val="20"/>
          <w:szCs w:val="20"/>
          <w:lang w:val="es-ES_tradnl" w:eastAsia="es-ES"/>
        </w:rPr>
        <w:t xml:space="preserve">Alegatos comunes a todas las peticiones </w:t>
      </w:r>
    </w:p>
    <w:p w14:paraId="59DD7FBC" w14:textId="77777777" w:rsidR="00837650" w:rsidRPr="00E019A9" w:rsidRDefault="00837650" w:rsidP="00837650">
      <w:pPr>
        <w:ind w:left="709"/>
        <w:rPr>
          <w:rFonts w:ascii="Cambria" w:hAnsi="Cambria"/>
          <w:b/>
          <w:sz w:val="20"/>
          <w:szCs w:val="20"/>
          <w:lang w:val="es-ES_tradnl" w:eastAsia="es-ES"/>
        </w:rPr>
      </w:pPr>
    </w:p>
    <w:p w14:paraId="217A246B" w14:textId="77777777" w:rsidR="00837650" w:rsidRPr="00E019A9" w:rsidRDefault="002F579A" w:rsidP="00BB60A6">
      <w:pPr>
        <w:pStyle w:val="ListParagraph"/>
        <w:numPr>
          <w:ilvl w:val="0"/>
          <w:numId w:val="57"/>
        </w:numPr>
        <w:tabs>
          <w:tab w:val="left" w:pos="567"/>
        </w:tabs>
        <w:ind w:left="0" w:firstLine="0"/>
        <w:jc w:val="both"/>
        <w:rPr>
          <w:sz w:val="20"/>
          <w:szCs w:val="20"/>
          <w:lang w:val="es-ES_tradnl"/>
        </w:rPr>
      </w:pPr>
      <w:r w:rsidRPr="00E019A9">
        <w:rPr>
          <w:sz w:val="20"/>
          <w:szCs w:val="20"/>
          <w:lang w:val="es-ES_tradnl"/>
        </w:rPr>
        <w:t>L</w:t>
      </w:r>
      <w:r w:rsidR="00837650" w:rsidRPr="00E019A9">
        <w:rPr>
          <w:sz w:val="20"/>
          <w:szCs w:val="20"/>
          <w:lang w:val="es-ES_tradnl"/>
        </w:rPr>
        <w:t>os peticionarios señala</w:t>
      </w:r>
      <w:r w:rsidR="000F6A1D" w:rsidRPr="00E019A9">
        <w:rPr>
          <w:sz w:val="20"/>
          <w:szCs w:val="20"/>
          <w:lang w:val="es-ES_tradnl"/>
        </w:rPr>
        <w:t>n</w:t>
      </w:r>
      <w:r w:rsidR="00837650" w:rsidRPr="00E019A9">
        <w:rPr>
          <w:sz w:val="20"/>
          <w:szCs w:val="20"/>
          <w:lang w:val="es-ES_tradnl"/>
        </w:rPr>
        <w:t xml:space="preserve"> que, en los días posteriores al golpe de estado del 11 de septiembre de 1973, las autoridades de facto</w:t>
      </w:r>
      <w:r w:rsidR="00837650" w:rsidRPr="00E019A9">
        <w:rPr>
          <w:i/>
          <w:sz w:val="20"/>
          <w:szCs w:val="20"/>
          <w:lang w:val="es-ES_tradnl"/>
        </w:rPr>
        <w:t xml:space="preserve"> </w:t>
      </w:r>
      <w:r w:rsidR="00837650" w:rsidRPr="00E019A9">
        <w:rPr>
          <w:sz w:val="20"/>
          <w:szCs w:val="20"/>
          <w:lang w:val="es-ES_tradnl"/>
        </w:rPr>
        <w:t xml:space="preserve">comenzaron a ejecutar una campaña de represión ilegal y persecución contra todos aquellos vinculados o simpatizantes del gobierno constitucional depuesto, iniciándose de esta manera un largo periodo de sistemáticas y graves violaciones a los derechos humanos. </w:t>
      </w:r>
    </w:p>
    <w:p w14:paraId="65D3DD88" w14:textId="77777777" w:rsidR="000F6A1D" w:rsidRPr="00E019A9" w:rsidRDefault="000F6A1D" w:rsidP="003E6257">
      <w:pPr>
        <w:pStyle w:val="ListParagraph"/>
        <w:tabs>
          <w:tab w:val="left" w:pos="567"/>
        </w:tabs>
        <w:ind w:left="0"/>
        <w:jc w:val="both"/>
        <w:rPr>
          <w:sz w:val="20"/>
          <w:szCs w:val="20"/>
          <w:lang w:val="es-ES_tradnl"/>
        </w:rPr>
      </w:pPr>
    </w:p>
    <w:p w14:paraId="0BE6A13F" w14:textId="57F6B6FE" w:rsidR="00837650" w:rsidRPr="00E019A9" w:rsidRDefault="002F579A" w:rsidP="00BB60A6">
      <w:pPr>
        <w:pStyle w:val="ListParagraph"/>
        <w:numPr>
          <w:ilvl w:val="0"/>
          <w:numId w:val="57"/>
        </w:numPr>
        <w:tabs>
          <w:tab w:val="left" w:pos="567"/>
        </w:tabs>
        <w:ind w:left="0" w:firstLine="0"/>
        <w:jc w:val="both"/>
        <w:rPr>
          <w:sz w:val="20"/>
          <w:szCs w:val="20"/>
          <w:lang w:val="es-ES_tradnl"/>
        </w:rPr>
      </w:pPr>
      <w:r w:rsidRPr="00E019A9">
        <w:rPr>
          <w:sz w:val="20"/>
          <w:szCs w:val="20"/>
          <w:lang w:val="es-ES_tradnl"/>
        </w:rPr>
        <w:t>Indicaron que en e</w:t>
      </w:r>
      <w:r w:rsidR="00837650" w:rsidRPr="00E019A9">
        <w:rPr>
          <w:sz w:val="20"/>
          <w:szCs w:val="20"/>
          <w:lang w:val="es-ES_tradnl"/>
        </w:rPr>
        <w:t xml:space="preserve">l marco de dicha </w:t>
      </w:r>
      <w:r w:rsidR="000F6A1D" w:rsidRPr="00E019A9">
        <w:rPr>
          <w:sz w:val="20"/>
          <w:szCs w:val="20"/>
          <w:lang w:val="es-ES_tradnl"/>
        </w:rPr>
        <w:t>política</w:t>
      </w:r>
      <w:r w:rsidR="00837650" w:rsidRPr="00E019A9">
        <w:rPr>
          <w:sz w:val="20"/>
          <w:szCs w:val="20"/>
          <w:lang w:val="es-ES_tradnl"/>
        </w:rPr>
        <w:t xml:space="preserve"> represiva</w:t>
      </w:r>
      <w:r w:rsidR="00DB676B" w:rsidRPr="00E019A9">
        <w:rPr>
          <w:sz w:val="20"/>
          <w:szCs w:val="20"/>
          <w:lang w:val="es-ES_tradnl"/>
        </w:rPr>
        <w:t xml:space="preserve"> </w:t>
      </w:r>
      <w:r w:rsidR="00837650" w:rsidRPr="00E019A9">
        <w:rPr>
          <w:sz w:val="20"/>
          <w:szCs w:val="20"/>
          <w:lang w:val="es-ES_tradnl"/>
        </w:rPr>
        <w:t xml:space="preserve">miles de </w:t>
      </w:r>
      <w:r w:rsidR="00A84D80" w:rsidRPr="00E019A9">
        <w:rPr>
          <w:sz w:val="20"/>
          <w:szCs w:val="20"/>
          <w:lang w:val="es-ES_tradnl"/>
        </w:rPr>
        <w:t>víctimas</w:t>
      </w:r>
      <w:r w:rsidR="00837650" w:rsidRPr="00E019A9">
        <w:rPr>
          <w:sz w:val="20"/>
          <w:szCs w:val="20"/>
          <w:lang w:val="es-ES_tradnl"/>
        </w:rPr>
        <w:t xml:space="preserve"> fueron arrestadas, torturadas, ejecutadas extrajudicialmente y hechas desaparecer</w:t>
      </w:r>
      <w:r w:rsidR="000F6A1D" w:rsidRPr="00E019A9">
        <w:rPr>
          <w:sz w:val="20"/>
          <w:szCs w:val="20"/>
          <w:lang w:val="es-ES_tradnl"/>
        </w:rPr>
        <w:t xml:space="preserve">, tanto en las grandes ciudades como en las zonas rurales </w:t>
      </w:r>
      <w:r w:rsidR="000F6A1D" w:rsidRPr="00E019A9">
        <w:rPr>
          <w:sz w:val="20"/>
          <w:szCs w:val="20"/>
          <w:lang w:val="es-ES_tradnl"/>
        </w:rPr>
        <w:lastRenderedPageBreak/>
        <w:t xml:space="preserve">y pequeñas localidades del país. Los peticionarios sostienen que se encuentra comprobado que estos hechos </w:t>
      </w:r>
      <w:r w:rsidR="00BE4746" w:rsidRPr="00E019A9">
        <w:rPr>
          <w:sz w:val="20"/>
          <w:szCs w:val="20"/>
          <w:lang w:val="es-ES_tradnl"/>
        </w:rPr>
        <w:t>fueron</w:t>
      </w:r>
      <w:r w:rsidR="000F6A1D" w:rsidRPr="00E019A9">
        <w:rPr>
          <w:sz w:val="20"/>
          <w:szCs w:val="20"/>
          <w:lang w:val="es-ES_tradnl"/>
        </w:rPr>
        <w:t xml:space="preserve"> perpetrados por agentes estatales </w:t>
      </w:r>
      <w:r w:rsidR="00BE4746" w:rsidRPr="00E019A9">
        <w:rPr>
          <w:sz w:val="20"/>
          <w:szCs w:val="20"/>
          <w:lang w:val="es-ES_tradnl"/>
        </w:rPr>
        <w:t>que revistaban en las</w:t>
      </w:r>
      <w:r w:rsidR="000F6A1D" w:rsidRPr="00E019A9">
        <w:rPr>
          <w:sz w:val="20"/>
          <w:szCs w:val="20"/>
          <w:lang w:val="es-ES_tradnl"/>
        </w:rPr>
        <w:t xml:space="preserve"> fuerzas armadas y de </w:t>
      </w:r>
      <w:r w:rsidR="006224DA" w:rsidRPr="00E019A9">
        <w:rPr>
          <w:sz w:val="20"/>
          <w:szCs w:val="20"/>
          <w:lang w:val="es-ES_tradnl"/>
        </w:rPr>
        <w:t>seguridad chilena</w:t>
      </w:r>
      <w:r w:rsidR="00BE4746" w:rsidRPr="00E019A9">
        <w:rPr>
          <w:sz w:val="20"/>
          <w:szCs w:val="20"/>
          <w:lang w:val="es-ES_tradnl"/>
        </w:rPr>
        <w:t xml:space="preserve"> </w:t>
      </w:r>
      <w:r w:rsidR="000F6A1D" w:rsidRPr="00E019A9">
        <w:rPr>
          <w:sz w:val="20"/>
          <w:szCs w:val="20"/>
          <w:lang w:val="es-ES_tradnl"/>
        </w:rPr>
        <w:t xml:space="preserve">y por civiles que actuaban bajo </w:t>
      </w:r>
      <w:r w:rsidR="008E05A8" w:rsidRPr="00E019A9">
        <w:rPr>
          <w:sz w:val="20"/>
          <w:szCs w:val="20"/>
          <w:lang w:val="es-ES_tradnl"/>
        </w:rPr>
        <w:t>la</w:t>
      </w:r>
      <w:r w:rsidR="000F6A1D" w:rsidRPr="00E019A9">
        <w:rPr>
          <w:sz w:val="20"/>
          <w:szCs w:val="20"/>
          <w:lang w:val="es-ES_tradnl"/>
        </w:rPr>
        <w:t xml:space="preserve"> coordinación o con la aquiescencia de los órganos estatales. </w:t>
      </w:r>
    </w:p>
    <w:p w14:paraId="29C4A483" w14:textId="77777777" w:rsidR="000F6A1D" w:rsidRPr="00E019A9" w:rsidRDefault="000F6A1D" w:rsidP="003E6257">
      <w:pPr>
        <w:pStyle w:val="ListParagraph"/>
        <w:rPr>
          <w:sz w:val="20"/>
          <w:szCs w:val="20"/>
          <w:lang w:val="es-ES_tradnl"/>
        </w:rPr>
      </w:pPr>
    </w:p>
    <w:p w14:paraId="77E7F906" w14:textId="77777777" w:rsidR="00654EAC" w:rsidRPr="00E019A9" w:rsidRDefault="002F579A" w:rsidP="00BB60A6">
      <w:pPr>
        <w:pStyle w:val="ListParagraph"/>
        <w:numPr>
          <w:ilvl w:val="0"/>
          <w:numId w:val="57"/>
        </w:numPr>
        <w:tabs>
          <w:tab w:val="left" w:pos="567"/>
        </w:tabs>
        <w:ind w:left="0" w:firstLine="0"/>
        <w:jc w:val="both"/>
        <w:rPr>
          <w:sz w:val="20"/>
          <w:szCs w:val="20"/>
          <w:lang w:val="es-ES_tradnl"/>
        </w:rPr>
      </w:pPr>
      <w:r w:rsidRPr="00E019A9">
        <w:rPr>
          <w:sz w:val="20"/>
          <w:szCs w:val="20"/>
          <w:lang w:val="es-ES_tradnl"/>
        </w:rPr>
        <w:t>R</w:t>
      </w:r>
      <w:r w:rsidR="000F6A1D" w:rsidRPr="00E019A9">
        <w:rPr>
          <w:sz w:val="20"/>
          <w:szCs w:val="20"/>
          <w:lang w:val="es-ES_tradnl"/>
        </w:rPr>
        <w:t xml:space="preserve">elatan que las denuncias que los familiares interpusieron al momento de conocer la privación de la libertad o la desaparición de sus seres queridos </w:t>
      </w:r>
      <w:r w:rsidR="00654EAC" w:rsidRPr="00E019A9">
        <w:rPr>
          <w:sz w:val="20"/>
          <w:szCs w:val="20"/>
          <w:lang w:val="es-ES_tradnl"/>
        </w:rPr>
        <w:t xml:space="preserve">no fueron debidamente investigadas y que los </w:t>
      </w:r>
      <w:r w:rsidR="007C1CAD" w:rsidRPr="00E019A9">
        <w:rPr>
          <w:sz w:val="20"/>
          <w:szCs w:val="20"/>
          <w:lang w:val="es-ES_tradnl"/>
        </w:rPr>
        <w:t>recursos de amparo</w:t>
      </w:r>
      <w:r w:rsidR="00654EAC" w:rsidRPr="00E019A9">
        <w:rPr>
          <w:sz w:val="20"/>
          <w:szCs w:val="20"/>
          <w:lang w:val="es-ES_tradnl"/>
        </w:rPr>
        <w:t xml:space="preserve"> presentados</w:t>
      </w:r>
      <w:r w:rsidR="007C1CAD" w:rsidRPr="00E019A9">
        <w:rPr>
          <w:sz w:val="20"/>
          <w:szCs w:val="20"/>
          <w:lang w:val="es-ES_tradnl"/>
        </w:rPr>
        <w:t xml:space="preserve"> no</w:t>
      </w:r>
      <w:r w:rsidR="00654EAC" w:rsidRPr="00E019A9">
        <w:rPr>
          <w:sz w:val="20"/>
          <w:szCs w:val="20"/>
          <w:lang w:val="es-ES_tradnl"/>
        </w:rPr>
        <w:t xml:space="preserve"> arrojaron resultados favorables. En este sentido, los peticionarios en </w:t>
      </w:r>
      <w:r w:rsidR="007C1CAD" w:rsidRPr="00E019A9">
        <w:rPr>
          <w:sz w:val="20"/>
          <w:szCs w:val="20"/>
          <w:lang w:val="es-ES_tradnl"/>
        </w:rPr>
        <w:t xml:space="preserve">reiteradas </w:t>
      </w:r>
      <w:r w:rsidR="00654EAC" w:rsidRPr="00E019A9">
        <w:rPr>
          <w:sz w:val="20"/>
          <w:szCs w:val="20"/>
          <w:lang w:val="es-ES_tradnl"/>
        </w:rPr>
        <w:t xml:space="preserve">oportunidades reseñan que las autoridades </w:t>
      </w:r>
      <w:r w:rsidR="00BC235F" w:rsidRPr="00E019A9">
        <w:rPr>
          <w:sz w:val="20"/>
          <w:szCs w:val="20"/>
          <w:lang w:val="es-ES_tradnl"/>
        </w:rPr>
        <w:t>públicas</w:t>
      </w:r>
      <w:r w:rsidR="00654EAC" w:rsidRPr="00E019A9">
        <w:rPr>
          <w:sz w:val="20"/>
          <w:szCs w:val="20"/>
          <w:lang w:val="es-ES_tradnl"/>
        </w:rPr>
        <w:t xml:space="preserve">, y en particular el Ministerio del Interior y la </w:t>
      </w:r>
      <w:r w:rsidR="007C1CAD" w:rsidRPr="00E019A9">
        <w:rPr>
          <w:sz w:val="20"/>
          <w:szCs w:val="20"/>
          <w:lang w:val="es-ES_tradnl"/>
        </w:rPr>
        <w:t>Dirección de Inteligencia Nacional (</w:t>
      </w:r>
      <w:r w:rsidR="00654EAC" w:rsidRPr="00E019A9">
        <w:rPr>
          <w:sz w:val="20"/>
          <w:szCs w:val="20"/>
          <w:lang w:val="es-ES_tradnl"/>
        </w:rPr>
        <w:t>DINA</w:t>
      </w:r>
      <w:r w:rsidR="007C1CAD" w:rsidRPr="00E019A9">
        <w:rPr>
          <w:sz w:val="20"/>
          <w:szCs w:val="20"/>
          <w:lang w:val="es-ES_tradnl"/>
        </w:rPr>
        <w:t>)</w:t>
      </w:r>
      <w:r w:rsidR="00654EAC" w:rsidRPr="00E019A9">
        <w:rPr>
          <w:sz w:val="20"/>
          <w:szCs w:val="20"/>
          <w:lang w:val="es-ES_tradnl"/>
        </w:rPr>
        <w:t xml:space="preserve"> negaron</w:t>
      </w:r>
      <w:r w:rsidR="00756544" w:rsidRPr="00E019A9">
        <w:rPr>
          <w:sz w:val="20"/>
          <w:szCs w:val="20"/>
          <w:lang w:val="es-ES_tradnl"/>
        </w:rPr>
        <w:t xml:space="preserve"> - ante los diversos requerimientos judiciales recibidos </w:t>
      </w:r>
      <w:r w:rsidR="0069237F" w:rsidRPr="00E019A9">
        <w:rPr>
          <w:sz w:val="20"/>
          <w:szCs w:val="20"/>
          <w:lang w:val="es-ES_tradnl"/>
        </w:rPr>
        <w:t>–</w:t>
      </w:r>
      <w:r w:rsidR="00756544" w:rsidRPr="00E019A9">
        <w:rPr>
          <w:sz w:val="20"/>
          <w:szCs w:val="20"/>
          <w:lang w:val="es-ES_tradnl"/>
        </w:rPr>
        <w:t xml:space="preserve"> </w:t>
      </w:r>
      <w:r w:rsidR="0069237F" w:rsidRPr="00E019A9">
        <w:rPr>
          <w:sz w:val="20"/>
          <w:szCs w:val="20"/>
          <w:lang w:val="es-ES_tradnl"/>
        </w:rPr>
        <w:t xml:space="preserve">de manera </w:t>
      </w:r>
      <w:r w:rsidR="00654EAC" w:rsidRPr="00E019A9">
        <w:rPr>
          <w:sz w:val="20"/>
          <w:szCs w:val="20"/>
          <w:lang w:val="es-ES_tradnl"/>
        </w:rPr>
        <w:t xml:space="preserve">expresa tener conocimiento de la privación de la libertad de las </w:t>
      </w:r>
      <w:r w:rsidR="007C1CAD" w:rsidRPr="00E019A9">
        <w:rPr>
          <w:sz w:val="20"/>
          <w:szCs w:val="20"/>
          <w:lang w:val="es-ES_tradnl"/>
        </w:rPr>
        <w:t xml:space="preserve">víctimas. </w:t>
      </w:r>
    </w:p>
    <w:p w14:paraId="1949474E" w14:textId="77777777" w:rsidR="00116CDE" w:rsidRPr="00E019A9" w:rsidRDefault="00116CDE" w:rsidP="003E6257">
      <w:pPr>
        <w:pStyle w:val="ListParagraph"/>
        <w:rPr>
          <w:sz w:val="20"/>
          <w:szCs w:val="20"/>
          <w:lang w:val="es-ES_tradnl"/>
        </w:rPr>
      </w:pPr>
    </w:p>
    <w:p w14:paraId="2B413302" w14:textId="77777777" w:rsidR="004F1FAA" w:rsidRPr="00E019A9" w:rsidRDefault="002F579A" w:rsidP="00BB60A6">
      <w:pPr>
        <w:pStyle w:val="ListParagraph"/>
        <w:numPr>
          <w:ilvl w:val="0"/>
          <w:numId w:val="57"/>
        </w:numPr>
        <w:tabs>
          <w:tab w:val="left" w:pos="567"/>
        </w:tabs>
        <w:ind w:left="0" w:firstLine="0"/>
        <w:jc w:val="both"/>
        <w:rPr>
          <w:sz w:val="20"/>
          <w:szCs w:val="20"/>
          <w:lang w:val="es-ES_tradnl"/>
        </w:rPr>
      </w:pPr>
      <w:r w:rsidRPr="00E019A9">
        <w:rPr>
          <w:sz w:val="20"/>
          <w:szCs w:val="20"/>
          <w:lang w:val="es-ES_tradnl"/>
        </w:rPr>
        <w:t>I</w:t>
      </w:r>
      <w:r w:rsidR="00116CDE" w:rsidRPr="00E019A9">
        <w:rPr>
          <w:sz w:val="20"/>
          <w:szCs w:val="20"/>
          <w:lang w:val="es-ES_tradnl"/>
        </w:rPr>
        <w:t>nformaron que, hacia fines de los años 90 y principios de siglo, las investigaciones criminales fueron reactivadas y</w:t>
      </w:r>
      <w:r w:rsidR="00B3040B" w:rsidRPr="00E019A9">
        <w:rPr>
          <w:sz w:val="20"/>
          <w:szCs w:val="20"/>
          <w:lang w:val="es-ES_tradnl"/>
        </w:rPr>
        <w:t xml:space="preserve"> que</w:t>
      </w:r>
      <w:r w:rsidR="00116CDE" w:rsidRPr="00E019A9">
        <w:rPr>
          <w:sz w:val="20"/>
          <w:szCs w:val="20"/>
          <w:lang w:val="es-ES_tradnl"/>
        </w:rPr>
        <w:t xml:space="preserve">, tanto en primera instancia como en la etapa de apelación, se dictaron diversas condenas a prisión contra funcionarios militares, de carabineros y civiles por los delitos de homicidio calificado y secuestro calificado. </w:t>
      </w:r>
      <w:r w:rsidRPr="00E019A9">
        <w:rPr>
          <w:sz w:val="20"/>
          <w:szCs w:val="20"/>
          <w:lang w:val="es-ES_tradnl"/>
        </w:rPr>
        <w:t xml:space="preserve"> </w:t>
      </w:r>
      <w:r w:rsidR="00116CDE" w:rsidRPr="00E019A9">
        <w:rPr>
          <w:sz w:val="20"/>
          <w:szCs w:val="20"/>
          <w:lang w:val="es-ES_tradnl"/>
        </w:rPr>
        <w:t xml:space="preserve">Sin embargo, </w:t>
      </w:r>
      <w:r w:rsidR="00B3040B" w:rsidRPr="00E019A9">
        <w:rPr>
          <w:sz w:val="20"/>
          <w:szCs w:val="20"/>
          <w:lang w:val="es-ES_tradnl"/>
        </w:rPr>
        <w:t>en todos los casos presentados por ellos ante la Comisión,</w:t>
      </w:r>
      <w:r w:rsidR="00116CDE" w:rsidRPr="00E019A9">
        <w:rPr>
          <w:sz w:val="20"/>
          <w:szCs w:val="20"/>
          <w:lang w:val="es-ES_tradnl"/>
        </w:rPr>
        <w:t xml:space="preserve"> la Corte Suprema de Justicia </w:t>
      </w:r>
      <w:r w:rsidR="00DB676B" w:rsidRPr="00E019A9">
        <w:rPr>
          <w:sz w:val="20"/>
          <w:szCs w:val="20"/>
          <w:lang w:val="es-ES_tradnl"/>
        </w:rPr>
        <w:t xml:space="preserve">decidió </w:t>
      </w:r>
      <w:r w:rsidR="00B3040B" w:rsidRPr="00E019A9">
        <w:rPr>
          <w:sz w:val="20"/>
          <w:szCs w:val="20"/>
          <w:lang w:val="es-ES_tradnl"/>
        </w:rPr>
        <w:t>anul</w:t>
      </w:r>
      <w:r w:rsidR="00DB676B" w:rsidRPr="00E019A9">
        <w:rPr>
          <w:sz w:val="20"/>
          <w:szCs w:val="20"/>
          <w:lang w:val="es-ES_tradnl"/>
        </w:rPr>
        <w:t>ar</w:t>
      </w:r>
      <w:r w:rsidR="00B3040B" w:rsidRPr="00E019A9">
        <w:rPr>
          <w:sz w:val="20"/>
          <w:szCs w:val="20"/>
          <w:lang w:val="es-ES_tradnl"/>
        </w:rPr>
        <w:t xml:space="preserve"> las sentencias traídas a su conocimiento a causa de </w:t>
      </w:r>
      <w:r w:rsidR="00756544" w:rsidRPr="00E019A9">
        <w:rPr>
          <w:sz w:val="20"/>
          <w:szCs w:val="20"/>
          <w:lang w:val="es-ES_tradnl"/>
        </w:rPr>
        <w:t>alegados defectos</w:t>
      </w:r>
      <w:r w:rsidR="00B3040B" w:rsidRPr="00E019A9">
        <w:rPr>
          <w:sz w:val="20"/>
          <w:szCs w:val="20"/>
          <w:lang w:val="es-ES_tradnl"/>
        </w:rPr>
        <w:t xml:space="preserve"> formales y </w:t>
      </w:r>
      <w:r w:rsidR="00DB676B" w:rsidRPr="00E019A9">
        <w:rPr>
          <w:sz w:val="20"/>
          <w:szCs w:val="20"/>
          <w:lang w:val="es-ES_tradnl"/>
        </w:rPr>
        <w:t>en consecuencia dictar</w:t>
      </w:r>
      <w:r w:rsidR="00B3040B" w:rsidRPr="00E019A9">
        <w:rPr>
          <w:sz w:val="20"/>
          <w:szCs w:val="20"/>
          <w:lang w:val="es-ES_tradnl"/>
        </w:rPr>
        <w:t xml:space="preserve"> nuevas sentencias de reemplazo, las cuales disminuyeron sensiblemente el monto de la pena de prisión impuesta a cada uno de los condenados por los hechos. </w:t>
      </w:r>
    </w:p>
    <w:p w14:paraId="7F4EABFD" w14:textId="77777777" w:rsidR="004F1FAA" w:rsidRPr="00E019A9" w:rsidRDefault="004F1FAA" w:rsidP="00A0538D">
      <w:pPr>
        <w:pStyle w:val="ListParagraph"/>
        <w:tabs>
          <w:tab w:val="left" w:pos="567"/>
        </w:tabs>
        <w:rPr>
          <w:sz w:val="20"/>
          <w:szCs w:val="20"/>
          <w:lang w:val="es-ES_tradnl"/>
        </w:rPr>
      </w:pPr>
    </w:p>
    <w:p w14:paraId="08290811" w14:textId="77777777" w:rsidR="004F1FAA" w:rsidRPr="00E019A9" w:rsidRDefault="002F579A" w:rsidP="00BB60A6">
      <w:pPr>
        <w:pStyle w:val="ListParagraph"/>
        <w:numPr>
          <w:ilvl w:val="0"/>
          <w:numId w:val="57"/>
        </w:numPr>
        <w:tabs>
          <w:tab w:val="left" w:pos="567"/>
        </w:tabs>
        <w:ind w:left="0" w:firstLine="0"/>
        <w:jc w:val="both"/>
        <w:rPr>
          <w:sz w:val="20"/>
          <w:szCs w:val="20"/>
          <w:lang w:val="es-ES_tradnl"/>
        </w:rPr>
      </w:pPr>
      <w:r w:rsidRPr="00E019A9">
        <w:rPr>
          <w:sz w:val="20"/>
          <w:szCs w:val="20"/>
          <w:lang w:val="es-ES_tradnl"/>
        </w:rPr>
        <w:t>I</w:t>
      </w:r>
      <w:r w:rsidR="004F1FAA" w:rsidRPr="00E019A9">
        <w:rPr>
          <w:sz w:val="20"/>
          <w:szCs w:val="20"/>
          <w:lang w:val="es-ES_tradnl"/>
        </w:rPr>
        <w:t xml:space="preserve">nformaron que el mecanismo normativo utilizado por la Corte Suprema para adoptar las decisiones reseñadas en el párrafo anterior fue la llamada “media </w:t>
      </w:r>
      <w:r w:rsidR="00CA74F2" w:rsidRPr="00E019A9">
        <w:rPr>
          <w:sz w:val="20"/>
          <w:szCs w:val="20"/>
          <w:lang w:val="es-ES_tradnl"/>
        </w:rPr>
        <w:t>prescripción</w:t>
      </w:r>
      <w:r w:rsidR="004F1FAA" w:rsidRPr="00E019A9">
        <w:rPr>
          <w:sz w:val="20"/>
          <w:szCs w:val="20"/>
          <w:lang w:val="es-ES_tradnl"/>
        </w:rPr>
        <w:t xml:space="preserve">” o </w:t>
      </w:r>
      <w:r w:rsidR="00CA74F2" w:rsidRPr="00E019A9">
        <w:rPr>
          <w:sz w:val="20"/>
          <w:szCs w:val="20"/>
          <w:lang w:val="es-ES_tradnl"/>
        </w:rPr>
        <w:t>“</w:t>
      </w:r>
      <w:r w:rsidR="004F1FAA" w:rsidRPr="00E019A9">
        <w:rPr>
          <w:sz w:val="20"/>
          <w:szCs w:val="20"/>
          <w:lang w:val="es-ES_tradnl"/>
        </w:rPr>
        <w:t>prescripción gradual” consagrad</w:t>
      </w:r>
      <w:r w:rsidRPr="00E019A9">
        <w:rPr>
          <w:sz w:val="20"/>
          <w:szCs w:val="20"/>
          <w:lang w:val="es-ES_tradnl"/>
        </w:rPr>
        <w:t>a</w:t>
      </w:r>
      <w:r w:rsidR="004F1FAA" w:rsidRPr="00E019A9">
        <w:rPr>
          <w:sz w:val="20"/>
          <w:szCs w:val="20"/>
          <w:lang w:val="es-ES_tradnl"/>
        </w:rPr>
        <w:t xml:space="preserve"> en el </w:t>
      </w:r>
      <w:r w:rsidR="00BC235F" w:rsidRPr="00E019A9">
        <w:rPr>
          <w:sz w:val="20"/>
          <w:szCs w:val="20"/>
          <w:lang w:val="es-ES_tradnl"/>
        </w:rPr>
        <w:t>artículo</w:t>
      </w:r>
      <w:r w:rsidR="004F1FAA" w:rsidRPr="00E019A9">
        <w:rPr>
          <w:sz w:val="20"/>
          <w:szCs w:val="20"/>
          <w:lang w:val="es-ES_tradnl"/>
        </w:rPr>
        <w:t xml:space="preserve"> 103 del </w:t>
      </w:r>
      <w:r w:rsidR="00CA74F2" w:rsidRPr="00E019A9">
        <w:rPr>
          <w:sz w:val="20"/>
          <w:szCs w:val="20"/>
          <w:lang w:val="es-ES_tradnl"/>
        </w:rPr>
        <w:t>Código</w:t>
      </w:r>
      <w:r w:rsidR="004F1FAA" w:rsidRPr="00E019A9">
        <w:rPr>
          <w:sz w:val="20"/>
          <w:szCs w:val="20"/>
          <w:lang w:val="es-ES_tradnl"/>
        </w:rPr>
        <w:t xml:space="preserve"> Penal, el cual establece que “si el inculpado se presentare o fuere habido antes de completar el t</w:t>
      </w:r>
      <w:r w:rsidRPr="00E019A9">
        <w:rPr>
          <w:sz w:val="20"/>
          <w:szCs w:val="20"/>
          <w:lang w:val="es-ES_tradnl"/>
        </w:rPr>
        <w:t>é</w:t>
      </w:r>
      <w:r w:rsidR="004F1FAA" w:rsidRPr="00E019A9">
        <w:rPr>
          <w:sz w:val="20"/>
          <w:szCs w:val="20"/>
          <w:lang w:val="es-ES_tradnl"/>
        </w:rPr>
        <w:t xml:space="preserve">rmino de la prescripción de la acción penal o de la pena, pero habiendo ya transcurrido la mitad del que se exige, en sus respectivos casos, para tales prescripciones, </w:t>
      </w:r>
      <w:r w:rsidR="00CA74F2" w:rsidRPr="00E019A9">
        <w:rPr>
          <w:sz w:val="20"/>
          <w:szCs w:val="20"/>
          <w:lang w:val="es-ES_tradnl"/>
        </w:rPr>
        <w:t>deberá</w:t>
      </w:r>
      <w:r w:rsidR="004F1FAA" w:rsidRPr="00E019A9">
        <w:rPr>
          <w:sz w:val="20"/>
          <w:szCs w:val="20"/>
          <w:lang w:val="es-ES_tradnl"/>
        </w:rPr>
        <w:t xml:space="preserve"> el tribunal considerar el hecho como revestido de dos o </w:t>
      </w:r>
      <w:r w:rsidR="00BC235F" w:rsidRPr="00E019A9">
        <w:rPr>
          <w:sz w:val="20"/>
          <w:szCs w:val="20"/>
          <w:lang w:val="es-ES_tradnl"/>
        </w:rPr>
        <w:t>más</w:t>
      </w:r>
      <w:r w:rsidR="004F1FAA" w:rsidRPr="00E019A9">
        <w:rPr>
          <w:sz w:val="20"/>
          <w:szCs w:val="20"/>
          <w:lang w:val="es-ES_tradnl"/>
        </w:rPr>
        <w:t xml:space="preserve"> circunstancias atenuantes muy calificadas y de ninguna agravante y aplicar las reglas de los artículos 65, 66</w:t>
      </w:r>
      <w:r w:rsidR="00CA74F2" w:rsidRPr="00E019A9">
        <w:rPr>
          <w:sz w:val="20"/>
          <w:szCs w:val="20"/>
          <w:lang w:val="es-ES_tradnl"/>
        </w:rPr>
        <w:t>,</w:t>
      </w:r>
      <w:r w:rsidR="004F1FAA" w:rsidRPr="00E019A9">
        <w:rPr>
          <w:sz w:val="20"/>
          <w:szCs w:val="20"/>
          <w:lang w:val="es-ES_tradnl"/>
        </w:rPr>
        <w:t xml:space="preserve"> 67 y 68, sea en la imposición de la pena, sea para disminuir la ya impuesta”.  </w:t>
      </w:r>
    </w:p>
    <w:p w14:paraId="29273118" w14:textId="77777777" w:rsidR="004F1FAA" w:rsidRPr="00E019A9" w:rsidRDefault="004F1FAA" w:rsidP="00A0538D">
      <w:pPr>
        <w:pStyle w:val="ListParagraph"/>
        <w:tabs>
          <w:tab w:val="left" w:pos="567"/>
        </w:tabs>
        <w:rPr>
          <w:sz w:val="20"/>
          <w:szCs w:val="20"/>
          <w:lang w:val="es-ES_tradnl"/>
        </w:rPr>
      </w:pPr>
    </w:p>
    <w:p w14:paraId="5F93330B" w14:textId="77777777" w:rsidR="004F1FAA" w:rsidRPr="00E019A9" w:rsidRDefault="00CA74F2" w:rsidP="00BB60A6">
      <w:pPr>
        <w:pStyle w:val="ListParagraph"/>
        <w:numPr>
          <w:ilvl w:val="0"/>
          <w:numId w:val="57"/>
        </w:numPr>
        <w:tabs>
          <w:tab w:val="left" w:pos="567"/>
        </w:tabs>
        <w:ind w:left="0" w:firstLine="0"/>
        <w:jc w:val="both"/>
        <w:rPr>
          <w:sz w:val="20"/>
          <w:szCs w:val="20"/>
          <w:lang w:val="es-ES_tradnl"/>
        </w:rPr>
      </w:pPr>
      <w:r w:rsidRPr="00E019A9">
        <w:rPr>
          <w:sz w:val="20"/>
          <w:szCs w:val="20"/>
          <w:lang w:val="es-ES_tradnl"/>
        </w:rPr>
        <w:t xml:space="preserve">De acuerdo con los peticionarios, </w:t>
      </w:r>
      <w:r w:rsidR="00CC689C" w:rsidRPr="00E019A9">
        <w:rPr>
          <w:sz w:val="20"/>
          <w:szCs w:val="20"/>
          <w:lang w:val="es-ES_tradnl"/>
        </w:rPr>
        <w:t xml:space="preserve">la aplicación por parte </w:t>
      </w:r>
      <w:r w:rsidRPr="00E019A9">
        <w:rPr>
          <w:sz w:val="20"/>
          <w:szCs w:val="20"/>
          <w:lang w:val="es-ES_tradnl"/>
        </w:rPr>
        <w:t xml:space="preserve">de la Corte Suprema </w:t>
      </w:r>
      <w:r w:rsidR="00CC689C" w:rsidRPr="00E019A9">
        <w:rPr>
          <w:sz w:val="20"/>
          <w:szCs w:val="20"/>
          <w:lang w:val="es-ES_tradnl"/>
        </w:rPr>
        <w:t>del</w:t>
      </w:r>
      <w:r w:rsidRPr="00E019A9">
        <w:rPr>
          <w:sz w:val="20"/>
          <w:szCs w:val="20"/>
          <w:lang w:val="es-ES_tradnl"/>
        </w:rPr>
        <w:t xml:space="preserve"> instituto de la “media </w:t>
      </w:r>
      <w:r w:rsidR="00CC689C" w:rsidRPr="00E019A9">
        <w:rPr>
          <w:sz w:val="20"/>
          <w:szCs w:val="20"/>
          <w:lang w:val="es-ES_tradnl"/>
        </w:rPr>
        <w:t>prescripción</w:t>
      </w:r>
      <w:r w:rsidRPr="00E019A9">
        <w:rPr>
          <w:sz w:val="20"/>
          <w:szCs w:val="20"/>
          <w:lang w:val="es-ES_tradnl"/>
        </w:rPr>
        <w:t>” en los casos que forman parte de este informe</w:t>
      </w:r>
      <w:r w:rsidR="00CC689C" w:rsidRPr="00E019A9">
        <w:rPr>
          <w:sz w:val="20"/>
          <w:szCs w:val="20"/>
          <w:lang w:val="es-ES_tradnl"/>
        </w:rPr>
        <w:t xml:space="preserve"> implica </w:t>
      </w:r>
      <w:r w:rsidR="00215865" w:rsidRPr="00E019A9">
        <w:rPr>
          <w:sz w:val="20"/>
          <w:szCs w:val="20"/>
          <w:lang w:val="es-ES_tradnl"/>
        </w:rPr>
        <w:t xml:space="preserve">que el Estado chileno incurrió en responsabilidad internacional por la violación de su obligación de respetar y garantizar el libre y pleno ejercicio de los derechos reconocidos en la Convención Americana y, en particular, de su deber de investigar y sancionar a los responsables de crímenes de lesa humanidad. </w:t>
      </w:r>
    </w:p>
    <w:p w14:paraId="2D1A1838" w14:textId="77777777" w:rsidR="000C22BD" w:rsidRPr="00E019A9" w:rsidRDefault="000C22BD" w:rsidP="000C22BD">
      <w:pPr>
        <w:pStyle w:val="ListParagraph"/>
        <w:rPr>
          <w:sz w:val="20"/>
          <w:szCs w:val="20"/>
          <w:lang w:val="es-ES_tradnl"/>
        </w:rPr>
      </w:pPr>
    </w:p>
    <w:p w14:paraId="5D1FF369" w14:textId="77777777" w:rsidR="000C22BD" w:rsidRPr="00E019A9" w:rsidRDefault="000C22BD" w:rsidP="00DB676B">
      <w:pPr>
        <w:ind w:left="709" w:right="288"/>
        <w:rPr>
          <w:rFonts w:ascii="Cambria" w:hAnsi="Cambria"/>
          <w:b/>
          <w:sz w:val="20"/>
          <w:szCs w:val="20"/>
          <w:lang w:val="es-ES_tradnl" w:eastAsia="es-ES"/>
        </w:rPr>
      </w:pPr>
      <w:r w:rsidRPr="00E019A9">
        <w:rPr>
          <w:rFonts w:ascii="Cambria" w:hAnsi="Cambria"/>
          <w:b/>
          <w:sz w:val="20"/>
          <w:szCs w:val="20"/>
          <w:lang w:val="es-ES_tradnl" w:eastAsia="es-ES"/>
        </w:rPr>
        <w:t>Alegatos presentados por los peticionarios de la petición originalmente registrada como</w:t>
      </w:r>
      <w:r w:rsidR="00DB676B" w:rsidRPr="00E019A9">
        <w:rPr>
          <w:rFonts w:ascii="Cambria" w:hAnsi="Cambria"/>
          <w:b/>
          <w:sz w:val="20"/>
          <w:szCs w:val="20"/>
          <w:lang w:val="es-ES_tradnl" w:eastAsia="es-ES"/>
        </w:rPr>
        <w:t xml:space="preserve"> </w:t>
      </w:r>
      <w:r w:rsidRPr="00E019A9">
        <w:rPr>
          <w:rFonts w:ascii="Cambria" w:hAnsi="Cambria"/>
          <w:b/>
          <w:sz w:val="20"/>
          <w:szCs w:val="20"/>
          <w:lang w:val="es-ES_tradnl" w:eastAsia="es-ES"/>
        </w:rPr>
        <w:t>P</w:t>
      </w:r>
      <w:r w:rsidR="00DB676B" w:rsidRPr="00E019A9">
        <w:rPr>
          <w:rFonts w:ascii="Cambria" w:hAnsi="Cambria"/>
          <w:b/>
          <w:sz w:val="20"/>
          <w:szCs w:val="20"/>
          <w:lang w:val="es-ES_tradnl" w:eastAsia="es-ES"/>
        </w:rPr>
        <w:t xml:space="preserve"> </w:t>
      </w:r>
      <w:r w:rsidRPr="00E019A9">
        <w:rPr>
          <w:rFonts w:ascii="Cambria" w:hAnsi="Cambria"/>
          <w:b/>
          <w:sz w:val="20"/>
          <w:szCs w:val="20"/>
          <w:lang w:val="es-ES_tradnl" w:eastAsia="es-ES"/>
        </w:rPr>
        <w:t xml:space="preserve">1275-04-B Juan Luis Rivera Matus y familiares </w:t>
      </w:r>
    </w:p>
    <w:p w14:paraId="2DC9DF88" w14:textId="77777777" w:rsidR="00D04A6C" w:rsidRPr="00E019A9" w:rsidRDefault="00D04A6C" w:rsidP="00D8238B">
      <w:pPr>
        <w:tabs>
          <w:tab w:val="left" w:pos="567"/>
        </w:tabs>
        <w:rPr>
          <w:rFonts w:asciiTheme="majorHAnsi" w:hAnsiTheme="majorHAnsi"/>
          <w:b/>
          <w:sz w:val="20"/>
          <w:szCs w:val="20"/>
          <w:lang w:val="es-ES_tradnl" w:eastAsia="es-ES"/>
        </w:rPr>
      </w:pPr>
    </w:p>
    <w:p w14:paraId="34913CD3" w14:textId="77777777" w:rsidR="00D04A6C" w:rsidRPr="00E019A9" w:rsidRDefault="00D04A6C"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ES_tradnl"/>
        </w:rPr>
      </w:pPr>
      <w:r w:rsidRPr="00E019A9">
        <w:rPr>
          <w:sz w:val="20"/>
          <w:szCs w:val="20"/>
          <w:lang w:val="es-ES_tradnl"/>
        </w:rPr>
        <w:t>La parte peticionaria aleg</w:t>
      </w:r>
      <w:r w:rsidR="00A04417" w:rsidRPr="00E019A9">
        <w:rPr>
          <w:sz w:val="20"/>
          <w:szCs w:val="20"/>
          <w:lang w:val="es-ES_tradnl"/>
        </w:rPr>
        <w:t>ó</w:t>
      </w:r>
      <w:r w:rsidRPr="00E019A9">
        <w:rPr>
          <w:sz w:val="20"/>
          <w:szCs w:val="20"/>
          <w:lang w:val="es-ES_tradnl"/>
        </w:rPr>
        <w:t xml:space="preserve"> que </w:t>
      </w:r>
      <w:r w:rsidR="00A0538D" w:rsidRPr="00E019A9">
        <w:rPr>
          <w:sz w:val="20"/>
          <w:szCs w:val="20"/>
          <w:lang w:val="es-ES_tradnl"/>
        </w:rPr>
        <w:t>a las 10:30 horas d</w:t>
      </w:r>
      <w:r w:rsidRPr="00E019A9">
        <w:rPr>
          <w:sz w:val="20"/>
          <w:szCs w:val="20"/>
          <w:lang w:val="es-ES_tradnl"/>
        </w:rPr>
        <w:t>el día 6 de noviembre de 1975</w:t>
      </w:r>
      <w:r w:rsidR="00A0538D" w:rsidRPr="00E019A9">
        <w:rPr>
          <w:sz w:val="20"/>
          <w:szCs w:val="20"/>
          <w:lang w:val="es-ES_tradnl"/>
        </w:rPr>
        <w:t xml:space="preserve"> </w:t>
      </w:r>
      <w:r w:rsidRPr="00E019A9">
        <w:rPr>
          <w:sz w:val="20"/>
          <w:szCs w:val="20"/>
          <w:lang w:val="es-ES_tradnl"/>
        </w:rPr>
        <w:t xml:space="preserve">el </w:t>
      </w:r>
      <w:r w:rsidR="00A0538D" w:rsidRPr="00E019A9">
        <w:rPr>
          <w:sz w:val="20"/>
          <w:szCs w:val="20"/>
          <w:lang w:val="es-ES_tradnl"/>
        </w:rPr>
        <w:t>Sr.</w:t>
      </w:r>
      <w:r w:rsidRPr="00E019A9">
        <w:rPr>
          <w:sz w:val="20"/>
          <w:szCs w:val="20"/>
          <w:lang w:val="es-ES_tradnl"/>
        </w:rPr>
        <w:t xml:space="preserve"> Juan Rivera Matus</w:t>
      </w:r>
      <w:r w:rsidR="00A0538D" w:rsidRPr="00E019A9">
        <w:rPr>
          <w:sz w:val="20"/>
          <w:szCs w:val="20"/>
          <w:lang w:val="es-ES_tradnl"/>
        </w:rPr>
        <w:t xml:space="preserve"> fue detenido a la salida de su lugar de trabajo ubicado en el centro de la ciudad de</w:t>
      </w:r>
      <w:r w:rsidRPr="00E019A9">
        <w:rPr>
          <w:sz w:val="20"/>
          <w:szCs w:val="20"/>
          <w:lang w:val="es-ES_tradnl"/>
        </w:rPr>
        <w:t xml:space="preserve"> </w:t>
      </w:r>
      <w:r w:rsidR="00A0538D" w:rsidRPr="00E019A9">
        <w:rPr>
          <w:sz w:val="20"/>
          <w:szCs w:val="20"/>
          <w:lang w:val="es-ES_tradnl"/>
        </w:rPr>
        <w:t>Santiago de Chile por</w:t>
      </w:r>
      <w:r w:rsidRPr="00E019A9">
        <w:rPr>
          <w:sz w:val="20"/>
          <w:szCs w:val="20"/>
          <w:lang w:val="es-ES_tradnl"/>
        </w:rPr>
        <w:t xml:space="preserve"> tres o cuatro </w:t>
      </w:r>
      <w:r w:rsidR="00A0538D" w:rsidRPr="00E019A9">
        <w:rPr>
          <w:sz w:val="20"/>
          <w:szCs w:val="20"/>
          <w:lang w:val="es-ES_tradnl"/>
        </w:rPr>
        <w:t xml:space="preserve">agentes estatales y </w:t>
      </w:r>
      <w:r w:rsidRPr="00E019A9">
        <w:rPr>
          <w:sz w:val="20"/>
          <w:szCs w:val="20"/>
          <w:lang w:val="es-ES_tradnl"/>
        </w:rPr>
        <w:t>obligado a subir a un vehículo marca Peugeot, blanco y sin patentes,</w:t>
      </w:r>
      <w:r w:rsidR="00A0538D" w:rsidRPr="00E019A9">
        <w:rPr>
          <w:sz w:val="20"/>
          <w:szCs w:val="20"/>
          <w:lang w:val="es-ES_tradnl"/>
        </w:rPr>
        <w:t xml:space="preserve"> el cual emprendió marcha</w:t>
      </w:r>
      <w:r w:rsidRPr="00E019A9">
        <w:rPr>
          <w:sz w:val="20"/>
          <w:szCs w:val="20"/>
          <w:lang w:val="es-ES_tradnl"/>
        </w:rPr>
        <w:t xml:space="preserve"> con dirección hacia</w:t>
      </w:r>
      <w:r w:rsidR="00A0538D" w:rsidRPr="00E019A9">
        <w:rPr>
          <w:sz w:val="20"/>
          <w:szCs w:val="20"/>
          <w:lang w:val="es-ES_tradnl"/>
        </w:rPr>
        <w:t xml:space="preserve"> el</w:t>
      </w:r>
      <w:r w:rsidRPr="00E019A9">
        <w:rPr>
          <w:sz w:val="20"/>
          <w:szCs w:val="20"/>
          <w:lang w:val="es-ES_tradnl"/>
        </w:rPr>
        <w:t xml:space="preserve"> cerro Santa Lucía. </w:t>
      </w:r>
      <w:r w:rsidR="00A0538D" w:rsidRPr="00E019A9">
        <w:rPr>
          <w:sz w:val="20"/>
          <w:szCs w:val="20"/>
          <w:lang w:val="es-ES_tradnl"/>
        </w:rPr>
        <w:t>Acto seguido, relata</w:t>
      </w:r>
      <w:r w:rsidR="00A04417" w:rsidRPr="00E019A9">
        <w:rPr>
          <w:sz w:val="20"/>
          <w:szCs w:val="20"/>
          <w:lang w:val="es-ES_tradnl"/>
        </w:rPr>
        <w:t>ron</w:t>
      </w:r>
      <w:r w:rsidR="00A0538D" w:rsidRPr="00E019A9">
        <w:rPr>
          <w:sz w:val="20"/>
          <w:szCs w:val="20"/>
          <w:lang w:val="es-ES_tradnl"/>
        </w:rPr>
        <w:t>, el Sr. Rivera Matus fue</w:t>
      </w:r>
      <w:r w:rsidRPr="00E019A9">
        <w:rPr>
          <w:sz w:val="20"/>
          <w:szCs w:val="20"/>
          <w:lang w:val="es-ES_tradnl"/>
        </w:rPr>
        <w:t xml:space="preserve"> conducido al Interior del Regimiento de Artillería Antiaérea de Colina, dependiente de la Fuerza Aérea de Chile, </w:t>
      </w:r>
      <w:r w:rsidR="00A0538D" w:rsidRPr="00E019A9">
        <w:rPr>
          <w:sz w:val="20"/>
          <w:szCs w:val="20"/>
          <w:lang w:val="es-ES_tradnl"/>
        </w:rPr>
        <w:t xml:space="preserve">el cual resultaba ser </w:t>
      </w:r>
      <w:r w:rsidRPr="00E019A9">
        <w:rPr>
          <w:sz w:val="20"/>
          <w:szCs w:val="20"/>
          <w:lang w:val="es-ES_tradnl"/>
        </w:rPr>
        <w:t>un lugar de detención secreta denominad</w:t>
      </w:r>
      <w:r w:rsidR="00A0538D" w:rsidRPr="00E019A9">
        <w:rPr>
          <w:sz w:val="20"/>
          <w:szCs w:val="20"/>
          <w:lang w:val="es-ES_tradnl"/>
        </w:rPr>
        <w:t>o</w:t>
      </w:r>
      <w:r w:rsidRPr="00E019A9">
        <w:rPr>
          <w:sz w:val="20"/>
          <w:szCs w:val="20"/>
          <w:lang w:val="es-ES_tradnl"/>
        </w:rPr>
        <w:t xml:space="preserve"> “Remo Cero”.</w:t>
      </w:r>
    </w:p>
    <w:p w14:paraId="42D72B04" w14:textId="77777777" w:rsidR="00D04A6C" w:rsidRPr="00E019A9" w:rsidRDefault="00D04A6C" w:rsidP="00AC1CA8">
      <w:pPr>
        <w:pStyle w:val="ListParagraph"/>
        <w:tabs>
          <w:tab w:val="left" w:pos="567"/>
        </w:tabs>
        <w:jc w:val="both"/>
        <w:rPr>
          <w:rFonts w:asciiTheme="majorHAnsi" w:hAnsiTheme="majorHAnsi"/>
          <w:sz w:val="20"/>
          <w:szCs w:val="20"/>
          <w:lang w:val="es-ES_tradnl"/>
        </w:rPr>
      </w:pPr>
    </w:p>
    <w:p w14:paraId="539A136A" w14:textId="09E377C6" w:rsidR="00D04A6C" w:rsidRPr="00E019A9" w:rsidRDefault="00B307CB"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rFonts w:asciiTheme="majorHAnsi" w:hAnsiTheme="majorHAnsi"/>
          <w:sz w:val="20"/>
          <w:szCs w:val="20"/>
          <w:lang w:val="es-ES_tradnl"/>
        </w:rPr>
      </w:pPr>
      <w:r w:rsidRPr="00E019A9">
        <w:rPr>
          <w:rFonts w:asciiTheme="majorHAnsi" w:hAnsiTheme="majorHAnsi"/>
          <w:sz w:val="20"/>
          <w:szCs w:val="20"/>
          <w:lang w:val="es-ES_tradnl"/>
        </w:rPr>
        <w:t>Indicó que</w:t>
      </w:r>
      <w:r w:rsidR="00A0538D" w:rsidRPr="00E019A9">
        <w:rPr>
          <w:rFonts w:asciiTheme="majorHAnsi" w:hAnsiTheme="majorHAnsi"/>
          <w:sz w:val="20"/>
          <w:szCs w:val="20"/>
          <w:lang w:val="es-ES_tradnl"/>
        </w:rPr>
        <w:t xml:space="preserve"> tres</w:t>
      </w:r>
      <w:r w:rsidR="00D04A6C" w:rsidRPr="00E019A9">
        <w:rPr>
          <w:rFonts w:asciiTheme="majorHAnsi" w:hAnsiTheme="majorHAnsi"/>
          <w:sz w:val="20"/>
          <w:szCs w:val="20"/>
          <w:lang w:val="es-ES_tradnl"/>
        </w:rPr>
        <w:t xml:space="preserve"> sujetos que se identifica</w:t>
      </w:r>
      <w:r w:rsidR="00A0538D" w:rsidRPr="00E019A9">
        <w:rPr>
          <w:rFonts w:asciiTheme="majorHAnsi" w:hAnsiTheme="majorHAnsi"/>
          <w:sz w:val="20"/>
          <w:szCs w:val="20"/>
          <w:lang w:val="es-ES_tradnl"/>
        </w:rPr>
        <w:t>ron</w:t>
      </w:r>
      <w:r w:rsidR="00D04A6C" w:rsidRPr="00E019A9">
        <w:rPr>
          <w:rFonts w:asciiTheme="majorHAnsi" w:hAnsiTheme="majorHAnsi"/>
          <w:sz w:val="20"/>
          <w:szCs w:val="20"/>
          <w:lang w:val="es-ES_tradnl"/>
        </w:rPr>
        <w:t xml:space="preserve"> como funcionarios del </w:t>
      </w:r>
      <w:r w:rsidR="006224DA" w:rsidRPr="00E019A9">
        <w:rPr>
          <w:rFonts w:asciiTheme="majorHAnsi" w:hAnsiTheme="majorHAnsi"/>
          <w:sz w:val="20"/>
          <w:szCs w:val="20"/>
          <w:lang w:val="es-ES_tradnl"/>
        </w:rPr>
        <w:t>Ejército</w:t>
      </w:r>
      <w:r w:rsidR="00A0538D" w:rsidRPr="00E019A9">
        <w:rPr>
          <w:rFonts w:asciiTheme="majorHAnsi" w:hAnsiTheme="majorHAnsi"/>
          <w:sz w:val="20"/>
          <w:szCs w:val="20"/>
          <w:lang w:val="es-ES_tradnl"/>
        </w:rPr>
        <w:t xml:space="preserve"> procedieron a interrogar al Sr. Rivera Matus al mismo tiempo que le aplicaban</w:t>
      </w:r>
      <w:r w:rsidR="00D04A6C" w:rsidRPr="00E019A9">
        <w:rPr>
          <w:rFonts w:asciiTheme="majorHAnsi" w:hAnsiTheme="majorHAnsi"/>
          <w:sz w:val="20"/>
          <w:szCs w:val="20"/>
          <w:lang w:val="es-ES_tradnl"/>
        </w:rPr>
        <w:t xml:space="preserve"> corriente eléctrica y otros tormentos</w:t>
      </w:r>
      <w:r w:rsidR="00A0538D" w:rsidRPr="00E019A9">
        <w:rPr>
          <w:rFonts w:asciiTheme="majorHAnsi" w:hAnsiTheme="majorHAnsi"/>
          <w:sz w:val="20"/>
          <w:szCs w:val="20"/>
          <w:lang w:val="es-ES_tradnl"/>
        </w:rPr>
        <w:t xml:space="preserve">, los cuales </w:t>
      </w:r>
      <w:r w:rsidR="00D04A6C" w:rsidRPr="00E019A9">
        <w:rPr>
          <w:rFonts w:asciiTheme="majorHAnsi" w:hAnsiTheme="majorHAnsi"/>
          <w:sz w:val="20"/>
          <w:szCs w:val="20"/>
          <w:lang w:val="es-ES_tradnl"/>
        </w:rPr>
        <w:t xml:space="preserve">le causaron la muerte. Al día siguiente, los mismos funcionarios </w:t>
      </w:r>
      <w:r w:rsidR="00035B24" w:rsidRPr="00E019A9">
        <w:rPr>
          <w:rFonts w:asciiTheme="majorHAnsi" w:hAnsiTheme="majorHAnsi"/>
          <w:sz w:val="20"/>
          <w:szCs w:val="20"/>
          <w:lang w:val="es-ES_tradnl"/>
        </w:rPr>
        <w:t>del Ejército</w:t>
      </w:r>
      <w:r w:rsidR="00D04A6C" w:rsidRPr="00E019A9">
        <w:rPr>
          <w:rFonts w:asciiTheme="majorHAnsi" w:hAnsiTheme="majorHAnsi"/>
          <w:sz w:val="20"/>
          <w:szCs w:val="20"/>
          <w:lang w:val="es-ES_tradnl"/>
        </w:rPr>
        <w:t xml:space="preserve"> concurrieron al lugar para retirar el cadáver. Los restos mortales del señor Rivera Matus</w:t>
      </w:r>
      <w:r w:rsidR="00D6633F" w:rsidRPr="00E019A9">
        <w:rPr>
          <w:rFonts w:asciiTheme="majorHAnsi" w:hAnsiTheme="majorHAnsi"/>
          <w:sz w:val="20"/>
          <w:szCs w:val="20"/>
          <w:lang w:val="es-ES_tradnl"/>
        </w:rPr>
        <w:t xml:space="preserve"> </w:t>
      </w:r>
      <w:r w:rsidR="00D04A6C" w:rsidRPr="00E019A9">
        <w:rPr>
          <w:rFonts w:asciiTheme="majorHAnsi" w:hAnsiTheme="majorHAnsi"/>
          <w:sz w:val="20"/>
          <w:szCs w:val="20"/>
          <w:lang w:val="es-ES_tradnl"/>
        </w:rPr>
        <w:t>fueron encontrados el 13 de marzo de 2001 con motivo de excavaciones que se realizaron</w:t>
      </w:r>
      <w:r w:rsidR="00D6633F" w:rsidRPr="00E019A9">
        <w:rPr>
          <w:rFonts w:asciiTheme="majorHAnsi" w:hAnsiTheme="majorHAnsi"/>
          <w:sz w:val="20"/>
          <w:szCs w:val="20"/>
          <w:lang w:val="es-ES_tradnl"/>
        </w:rPr>
        <w:t xml:space="preserve"> </w:t>
      </w:r>
      <w:r w:rsidR="00D04A6C" w:rsidRPr="00E019A9">
        <w:rPr>
          <w:rFonts w:asciiTheme="majorHAnsi" w:hAnsiTheme="majorHAnsi"/>
          <w:sz w:val="20"/>
          <w:szCs w:val="20"/>
          <w:lang w:val="es-ES_tradnl"/>
        </w:rPr>
        <w:t xml:space="preserve">al </w:t>
      </w:r>
      <w:r w:rsidR="00A0538D" w:rsidRPr="00E019A9">
        <w:rPr>
          <w:rFonts w:asciiTheme="majorHAnsi" w:hAnsiTheme="majorHAnsi"/>
          <w:sz w:val="20"/>
          <w:szCs w:val="20"/>
          <w:lang w:val="es-ES_tradnl"/>
        </w:rPr>
        <w:t>i</w:t>
      </w:r>
      <w:r w:rsidR="00D04A6C" w:rsidRPr="00E019A9">
        <w:rPr>
          <w:rFonts w:asciiTheme="majorHAnsi" w:hAnsiTheme="majorHAnsi"/>
          <w:sz w:val="20"/>
          <w:szCs w:val="20"/>
          <w:lang w:val="es-ES_tradnl"/>
        </w:rPr>
        <w:t>nterior del Fuerte Arteaga del Ejército</w:t>
      </w:r>
      <w:r w:rsidR="00A0538D" w:rsidRPr="00E019A9">
        <w:rPr>
          <w:rFonts w:asciiTheme="majorHAnsi" w:hAnsiTheme="majorHAnsi"/>
          <w:sz w:val="20"/>
          <w:szCs w:val="20"/>
          <w:lang w:val="es-ES_tradnl"/>
        </w:rPr>
        <w:t xml:space="preserve"> ubicado en la</w:t>
      </w:r>
      <w:r w:rsidR="00D04A6C" w:rsidRPr="00E019A9">
        <w:rPr>
          <w:rFonts w:asciiTheme="majorHAnsi" w:hAnsiTheme="majorHAnsi"/>
          <w:sz w:val="20"/>
          <w:szCs w:val="20"/>
          <w:lang w:val="es-ES_tradnl"/>
        </w:rPr>
        <w:t xml:space="preserve"> Región Metropolitana.</w:t>
      </w:r>
    </w:p>
    <w:p w14:paraId="58E7B6FA" w14:textId="77777777" w:rsidR="00D04A6C" w:rsidRPr="00E019A9" w:rsidRDefault="00D04A6C" w:rsidP="00AC1CA8">
      <w:pPr>
        <w:pStyle w:val="ListParagraph"/>
        <w:tabs>
          <w:tab w:val="left" w:pos="567"/>
        </w:tabs>
        <w:rPr>
          <w:rFonts w:asciiTheme="majorHAnsi" w:hAnsiTheme="majorHAnsi"/>
          <w:sz w:val="20"/>
          <w:szCs w:val="20"/>
          <w:lang w:val="es-ES_tradnl"/>
        </w:rPr>
      </w:pPr>
    </w:p>
    <w:p w14:paraId="4C637D1F" w14:textId="77777777" w:rsidR="00D8238B" w:rsidRPr="00E019A9" w:rsidRDefault="00D04A6C"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rFonts w:asciiTheme="majorHAnsi" w:hAnsiTheme="majorHAnsi"/>
          <w:sz w:val="20"/>
          <w:szCs w:val="20"/>
          <w:lang w:val="es-ES_tradnl"/>
        </w:rPr>
      </w:pPr>
      <w:r w:rsidRPr="00E019A9">
        <w:rPr>
          <w:rFonts w:asciiTheme="majorHAnsi" w:hAnsiTheme="majorHAnsi"/>
          <w:sz w:val="20"/>
          <w:szCs w:val="20"/>
          <w:lang w:val="es-ES_tradnl"/>
        </w:rPr>
        <w:t>Según refi</w:t>
      </w:r>
      <w:r w:rsidR="00A04417" w:rsidRPr="00E019A9">
        <w:rPr>
          <w:rFonts w:asciiTheme="majorHAnsi" w:hAnsiTheme="majorHAnsi"/>
          <w:sz w:val="20"/>
          <w:szCs w:val="20"/>
          <w:lang w:val="es-ES_tradnl"/>
        </w:rPr>
        <w:t>rió</w:t>
      </w:r>
      <w:r w:rsidRPr="00E019A9">
        <w:rPr>
          <w:rFonts w:asciiTheme="majorHAnsi" w:hAnsiTheme="majorHAnsi"/>
          <w:sz w:val="20"/>
          <w:szCs w:val="20"/>
          <w:lang w:val="es-ES_tradnl"/>
        </w:rPr>
        <w:t xml:space="preserve"> la peticionaria, </w:t>
      </w:r>
      <w:r w:rsidR="00D6633F" w:rsidRPr="00E019A9">
        <w:rPr>
          <w:rFonts w:asciiTheme="majorHAnsi" w:hAnsiTheme="majorHAnsi"/>
          <w:sz w:val="20"/>
          <w:szCs w:val="20"/>
          <w:lang w:val="es-ES_tradnl"/>
        </w:rPr>
        <w:t>las</w:t>
      </w:r>
      <w:r w:rsidRPr="00E019A9">
        <w:rPr>
          <w:rFonts w:asciiTheme="majorHAnsi" w:hAnsiTheme="majorHAnsi"/>
          <w:sz w:val="20"/>
          <w:szCs w:val="20"/>
          <w:lang w:val="es-ES_tradnl"/>
        </w:rPr>
        <w:t xml:space="preserve"> diversas gestiones judiciales </w:t>
      </w:r>
      <w:r w:rsidR="00D6633F" w:rsidRPr="00E019A9">
        <w:rPr>
          <w:rFonts w:asciiTheme="majorHAnsi" w:hAnsiTheme="majorHAnsi"/>
          <w:sz w:val="20"/>
          <w:szCs w:val="20"/>
          <w:lang w:val="es-ES_tradnl"/>
        </w:rPr>
        <w:t xml:space="preserve">realizadas </w:t>
      </w:r>
      <w:r w:rsidR="00D8238B" w:rsidRPr="00E019A9">
        <w:rPr>
          <w:rFonts w:asciiTheme="majorHAnsi" w:hAnsiTheme="majorHAnsi"/>
          <w:sz w:val="20"/>
          <w:szCs w:val="20"/>
          <w:lang w:val="es-ES_tradnl"/>
        </w:rPr>
        <w:t xml:space="preserve">en los días posteriores al secuestro del Sr. Rivera Matus </w:t>
      </w:r>
      <w:r w:rsidR="00D6633F" w:rsidRPr="00E019A9">
        <w:rPr>
          <w:rFonts w:asciiTheme="majorHAnsi" w:hAnsiTheme="majorHAnsi"/>
          <w:sz w:val="20"/>
          <w:szCs w:val="20"/>
          <w:lang w:val="es-ES_tradnl"/>
        </w:rPr>
        <w:t>por</w:t>
      </w:r>
      <w:r w:rsidRPr="00E019A9">
        <w:rPr>
          <w:rFonts w:asciiTheme="majorHAnsi" w:hAnsiTheme="majorHAnsi"/>
          <w:sz w:val="20"/>
          <w:szCs w:val="20"/>
          <w:lang w:val="es-ES_tradnl"/>
        </w:rPr>
        <w:t xml:space="preserve"> </w:t>
      </w:r>
      <w:r w:rsidR="00D8238B" w:rsidRPr="00E019A9">
        <w:rPr>
          <w:rFonts w:asciiTheme="majorHAnsi" w:hAnsiTheme="majorHAnsi"/>
          <w:sz w:val="20"/>
          <w:szCs w:val="20"/>
          <w:lang w:val="es-ES_tradnl"/>
        </w:rPr>
        <w:t>su</w:t>
      </w:r>
      <w:r w:rsidRPr="00E019A9">
        <w:rPr>
          <w:rFonts w:asciiTheme="majorHAnsi" w:hAnsiTheme="majorHAnsi"/>
          <w:sz w:val="20"/>
          <w:szCs w:val="20"/>
          <w:lang w:val="es-ES_tradnl"/>
        </w:rPr>
        <w:t xml:space="preserve"> esposa</w:t>
      </w:r>
      <w:r w:rsidR="00D8238B" w:rsidRPr="00E019A9">
        <w:rPr>
          <w:rFonts w:asciiTheme="majorHAnsi" w:hAnsiTheme="majorHAnsi"/>
          <w:sz w:val="20"/>
          <w:szCs w:val="20"/>
          <w:lang w:val="es-ES_tradnl"/>
        </w:rPr>
        <w:t xml:space="preserve"> </w:t>
      </w:r>
      <w:r w:rsidRPr="00E019A9">
        <w:rPr>
          <w:rFonts w:asciiTheme="majorHAnsi" w:hAnsiTheme="majorHAnsi"/>
          <w:sz w:val="20"/>
          <w:szCs w:val="20"/>
          <w:lang w:val="es-ES_tradnl"/>
        </w:rPr>
        <w:t>culminaron en el sobreseimiento de la causa</w:t>
      </w:r>
      <w:r w:rsidR="00D8238B" w:rsidRPr="00E019A9">
        <w:rPr>
          <w:rFonts w:asciiTheme="majorHAnsi" w:hAnsiTheme="majorHAnsi"/>
          <w:sz w:val="20"/>
          <w:szCs w:val="20"/>
          <w:lang w:val="es-ES_tradnl"/>
        </w:rPr>
        <w:t xml:space="preserve">. Posteriormente, </w:t>
      </w:r>
      <w:r w:rsidRPr="00E019A9">
        <w:rPr>
          <w:rFonts w:asciiTheme="majorHAnsi" w:hAnsiTheme="majorHAnsi"/>
          <w:sz w:val="20"/>
          <w:szCs w:val="20"/>
          <w:lang w:val="es-ES_tradnl"/>
        </w:rPr>
        <w:t xml:space="preserve">el </w:t>
      </w:r>
      <w:r w:rsidR="00035B24" w:rsidRPr="00E019A9">
        <w:rPr>
          <w:rFonts w:asciiTheme="majorHAnsi" w:hAnsiTheme="majorHAnsi"/>
          <w:sz w:val="20"/>
          <w:szCs w:val="20"/>
          <w:lang w:val="es-ES_tradnl"/>
        </w:rPr>
        <w:t>28 de</w:t>
      </w:r>
      <w:r w:rsidRPr="00E019A9">
        <w:rPr>
          <w:rFonts w:asciiTheme="majorHAnsi" w:hAnsiTheme="majorHAnsi"/>
          <w:sz w:val="20"/>
          <w:szCs w:val="20"/>
          <w:lang w:val="es-ES_tradnl"/>
        </w:rPr>
        <w:t xml:space="preserve"> </w:t>
      </w:r>
      <w:r w:rsidR="00035B24" w:rsidRPr="00E019A9">
        <w:rPr>
          <w:rFonts w:asciiTheme="majorHAnsi" w:hAnsiTheme="majorHAnsi"/>
          <w:sz w:val="20"/>
          <w:szCs w:val="20"/>
          <w:lang w:val="es-ES_tradnl"/>
        </w:rPr>
        <w:t>junio</w:t>
      </w:r>
      <w:r w:rsidRPr="00E019A9">
        <w:rPr>
          <w:rFonts w:asciiTheme="majorHAnsi" w:hAnsiTheme="majorHAnsi"/>
          <w:sz w:val="20"/>
          <w:szCs w:val="20"/>
          <w:lang w:val="es-ES_tradnl"/>
        </w:rPr>
        <w:t xml:space="preserve"> de 1996 la Corporación Nacional de Reparación y Reconciliación solicitó la reapertura del sumario</w:t>
      </w:r>
      <w:r w:rsidR="00D8238B" w:rsidRPr="00E019A9">
        <w:rPr>
          <w:rFonts w:asciiTheme="majorHAnsi" w:hAnsiTheme="majorHAnsi"/>
          <w:sz w:val="20"/>
          <w:szCs w:val="20"/>
          <w:lang w:val="es-ES_tradnl"/>
        </w:rPr>
        <w:t xml:space="preserve"> y el 4 de mayo de 2004 cuatro individuos fueron condenados a penas de entre quince años y seiscientos días de presidio.</w:t>
      </w:r>
    </w:p>
    <w:p w14:paraId="1FC3E21C" w14:textId="77777777" w:rsidR="00D04A6C" w:rsidRPr="00E019A9" w:rsidRDefault="00D04A6C" w:rsidP="00AC1CA8">
      <w:pPr>
        <w:tabs>
          <w:tab w:val="left" w:pos="567"/>
        </w:tabs>
        <w:rPr>
          <w:rFonts w:asciiTheme="majorHAnsi" w:hAnsiTheme="majorHAnsi"/>
          <w:sz w:val="20"/>
          <w:szCs w:val="20"/>
          <w:lang w:val="es-ES_tradnl"/>
        </w:rPr>
      </w:pPr>
    </w:p>
    <w:p w14:paraId="38C60977" w14:textId="77777777" w:rsidR="00D04A6C" w:rsidRPr="00E019A9" w:rsidRDefault="00B307CB"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rFonts w:asciiTheme="majorHAnsi" w:hAnsiTheme="majorHAnsi"/>
          <w:sz w:val="20"/>
          <w:szCs w:val="20"/>
          <w:lang w:val="es-ES_tradnl"/>
        </w:rPr>
      </w:pPr>
      <w:r w:rsidRPr="00E019A9">
        <w:rPr>
          <w:rFonts w:asciiTheme="majorHAnsi" w:hAnsiTheme="majorHAnsi"/>
          <w:sz w:val="20"/>
          <w:szCs w:val="20"/>
          <w:lang w:val="es-ES_tradnl"/>
        </w:rPr>
        <w:lastRenderedPageBreak/>
        <w:t>I</w:t>
      </w:r>
      <w:r w:rsidR="00D8238B" w:rsidRPr="00E019A9">
        <w:rPr>
          <w:rFonts w:asciiTheme="majorHAnsi" w:hAnsiTheme="majorHAnsi"/>
          <w:sz w:val="20"/>
          <w:szCs w:val="20"/>
          <w:lang w:val="es-ES_tradnl"/>
        </w:rPr>
        <w:t xml:space="preserve">nformó </w:t>
      </w:r>
      <w:r w:rsidR="00035B24" w:rsidRPr="00E019A9">
        <w:rPr>
          <w:rFonts w:asciiTheme="majorHAnsi" w:hAnsiTheme="majorHAnsi"/>
          <w:sz w:val="20"/>
          <w:szCs w:val="20"/>
          <w:lang w:val="es-ES_tradnl"/>
        </w:rPr>
        <w:t>que una</w:t>
      </w:r>
      <w:r w:rsidR="00D04A6C" w:rsidRPr="00E019A9">
        <w:rPr>
          <w:rFonts w:asciiTheme="majorHAnsi" w:hAnsiTheme="majorHAnsi"/>
          <w:sz w:val="20"/>
          <w:szCs w:val="20"/>
          <w:lang w:val="es-ES_tradnl"/>
        </w:rPr>
        <w:t xml:space="preserve"> de las salas de la Corte de Apelaciones rechazó los recursos de casación interpuestos por dos de los funcionarios condenados</w:t>
      </w:r>
      <w:r w:rsidR="00D8238B" w:rsidRPr="00E019A9">
        <w:rPr>
          <w:rFonts w:asciiTheme="majorHAnsi" w:hAnsiTheme="majorHAnsi"/>
          <w:sz w:val="20"/>
          <w:szCs w:val="20"/>
          <w:lang w:val="es-ES_tradnl"/>
        </w:rPr>
        <w:t xml:space="preserve"> y confirmó</w:t>
      </w:r>
      <w:r w:rsidR="00D04A6C" w:rsidRPr="00E019A9">
        <w:rPr>
          <w:rFonts w:asciiTheme="majorHAnsi" w:hAnsiTheme="majorHAnsi"/>
          <w:sz w:val="20"/>
          <w:szCs w:val="20"/>
          <w:lang w:val="es-ES_tradnl"/>
        </w:rPr>
        <w:t xml:space="preserve"> el fallo en primera instancia. Posteriormente, por un supuesto error de carácter formal</w:t>
      </w:r>
      <w:r w:rsidR="00D8238B" w:rsidRPr="00E019A9">
        <w:rPr>
          <w:rFonts w:asciiTheme="majorHAnsi" w:hAnsiTheme="majorHAnsi"/>
          <w:sz w:val="20"/>
          <w:szCs w:val="20"/>
          <w:lang w:val="es-ES_tradnl"/>
        </w:rPr>
        <w:t xml:space="preserve">, </w:t>
      </w:r>
      <w:r w:rsidR="00D04A6C" w:rsidRPr="00E019A9">
        <w:rPr>
          <w:rFonts w:asciiTheme="majorHAnsi" w:hAnsiTheme="majorHAnsi"/>
          <w:sz w:val="20"/>
          <w:szCs w:val="20"/>
          <w:lang w:val="es-ES_tradnl"/>
        </w:rPr>
        <w:t>la Segunda Sala de la Corte Suprema</w:t>
      </w:r>
      <w:r w:rsidR="00D8238B" w:rsidRPr="00E019A9">
        <w:rPr>
          <w:rFonts w:asciiTheme="majorHAnsi" w:hAnsiTheme="majorHAnsi"/>
          <w:sz w:val="20"/>
          <w:szCs w:val="20"/>
          <w:lang w:val="es-ES_tradnl"/>
        </w:rPr>
        <w:t xml:space="preserve"> mediante sentencia de </w:t>
      </w:r>
      <w:r w:rsidR="00035B24" w:rsidRPr="00E019A9">
        <w:rPr>
          <w:rFonts w:asciiTheme="majorHAnsi" w:hAnsiTheme="majorHAnsi"/>
          <w:sz w:val="20"/>
          <w:szCs w:val="20"/>
          <w:lang w:val="es-ES_tradnl"/>
        </w:rPr>
        <w:t>fecha 30</w:t>
      </w:r>
      <w:r w:rsidR="00D8238B" w:rsidRPr="00E019A9">
        <w:rPr>
          <w:rFonts w:asciiTheme="majorHAnsi" w:hAnsiTheme="majorHAnsi"/>
          <w:sz w:val="20"/>
          <w:szCs w:val="20"/>
          <w:lang w:val="es-ES_tradnl"/>
        </w:rPr>
        <w:t xml:space="preserve"> de julio de 2007 </w:t>
      </w:r>
      <w:r w:rsidR="00D04A6C" w:rsidRPr="00E019A9">
        <w:rPr>
          <w:rFonts w:asciiTheme="majorHAnsi" w:hAnsiTheme="majorHAnsi"/>
          <w:sz w:val="20"/>
          <w:szCs w:val="20"/>
          <w:lang w:val="es-ES_tradnl"/>
        </w:rPr>
        <w:t xml:space="preserve">anuló </w:t>
      </w:r>
      <w:r w:rsidR="00D8238B" w:rsidRPr="00E019A9">
        <w:rPr>
          <w:rFonts w:asciiTheme="majorHAnsi" w:hAnsiTheme="majorHAnsi"/>
          <w:sz w:val="20"/>
          <w:szCs w:val="20"/>
          <w:lang w:val="es-ES_tradnl"/>
        </w:rPr>
        <w:t xml:space="preserve">de oficio las condenas </w:t>
      </w:r>
      <w:r w:rsidR="00D04A6C" w:rsidRPr="00E019A9">
        <w:rPr>
          <w:rFonts w:asciiTheme="majorHAnsi" w:hAnsiTheme="majorHAnsi"/>
          <w:sz w:val="20"/>
          <w:szCs w:val="20"/>
          <w:lang w:val="es-ES_tradnl"/>
        </w:rPr>
        <w:t>y dictó sentencia</w:t>
      </w:r>
      <w:r w:rsidR="00D8238B" w:rsidRPr="00E019A9">
        <w:rPr>
          <w:rFonts w:asciiTheme="majorHAnsi" w:hAnsiTheme="majorHAnsi"/>
          <w:sz w:val="20"/>
          <w:szCs w:val="20"/>
          <w:lang w:val="es-ES_tradnl"/>
        </w:rPr>
        <w:t xml:space="preserve"> de reemplazo fijando en un máximo de 4 años</w:t>
      </w:r>
      <w:r w:rsidR="00D04A6C" w:rsidRPr="00E019A9">
        <w:rPr>
          <w:rFonts w:asciiTheme="majorHAnsi" w:hAnsiTheme="majorHAnsi"/>
          <w:sz w:val="20"/>
          <w:szCs w:val="20"/>
          <w:lang w:val="es-ES_tradnl"/>
        </w:rPr>
        <w:t xml:space="preserve"> las penas </w:t>
      </w:r>
      <w:r w:rsidR="00D8238B" w:rsidRPr="00E019A9">
        <w:rPr>
          <w:rFonts w:asciiTheme="majorHAnsi" w:hAnsiTheme="majorHAnsi"/>
          <w:sz w:val="20"/>
          <w:szCs w:val="20"/>
          <w:lang w:val="es-ES_tradnl"/>
        </w:rPr>
        <w:t xml:space="preserve">impuestas a los condenados y otorgando la libertad vigilada a tres de ellos.   </w:t>
      </w:r>
    </w:p>
    <w:p w14:paraId="2065E409" w14:textId="77777777" w:rsidR="00D04A6C" w:rsidRPr="00E019A9" w:rsidRDefault="00D04A6C" w:rsidP="00AC1CA8">
      <w:pPr>
        <w:pStyle w:val="ListParagraph"/>
        <w:tabs>
          <w:tab w:val="left" w:pos="567"/>
        </w:tabs>
        <w:rPr>
          <w:rFonts w:asciiTheme="majorHAnsi" w:hAnsiTheme="majorHAnsi"/>
          <w:sz w:val="20"/>
          <w:szCs w:val="20"/>
          <w:lang w:val="es-ES_tradnl"/>
        </w:rPr>
      </w:pPr>
    </w:p>
    <w:p w14:paraId="7FEA03E2" w14:textId="77777777" w:rsidR="00D04A6C" w:rsidRPr="00E019A9" w:rsidRDefault="00192D58"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rFonts w:asciiTheme="majorHAnsi" w:hAnsiTheme="majorHAnsi"/>
          <w:sz w:val="20"/>
          <w:szCs w:val="20"/>
          <w:lang w:val="es-ES_tradnl"/>
        </w:rPr>
      </w:pPr>
      <w:r w:rsidRPr="00E019A9">
        <w:rPr>
          <w:rFonts w:asciiTheme="majorHAnsi" w:hAnsiTheme="majorHAnsi"/>
          <w:sz w:val="20"/>
          <w:szCs w:val="20"/>
          <w:lang w:val="es-ES_tradnl"/>
        </w:rPr>
        <w:t>L</w:t>
      </w:r>
      <w:r w:rsidR="00D04A6C" w:rsidRPr="00E019A9">
        <w:rPr>
          <w:rFonts w:asciiTheme="majorHAnsi" w:hAnsiTheme="majorHAnsi"/>
          <w:sz w:val="20"/>
          <w:szCs w:val="20"/>
          <w:lang w:val="es-ES_tradnl"/>
        </w:rPr>
        <w:t>a parte peticionaria</w:t>
      </w:r>
      <w:r w:rsidRPr="00E019A9">
        <w:rPr>
          <w:rFonts w:asciiTheme="majorHAnsi" w:hAnsiTheme="majorHAnsi"/>
          <w:sz w:val="20"/>
          <w:szCs w:val="20"/>
          <w:lang w:val="es-ES_tradnl"/>
        </w:rPr>
        <w:t xml:space="preserve"> </w:t>
      </w:r>
      <w:r w:rsidR="00D04A6C" w:rsidRPr="00E019A9">
        <w:rPr>
          <w:rFonts w:asciiTheme="majorHAnsi" w:hAnsiTheme="majorHAnsi"/>
          <w:sz w:val="20"/>
          <w:szCs w:val="20"/>
          <w:lang w:val="es-ES_tradnl"/>
        </w:rPr>
        <w:t xml:space="preserve">alegó </w:t>
      </w:r>
      <w:r w:rsidR="00D8238B" w:rsidRPr="00E019A9">
        <w:rPr>
          <w:rFonts w:asciiTheme="majorHAnsi" w:hAnsiTheme="majorHAnsi"/>
          <w:sz w:val="20"/>
          <w:szCs w:val="20"/>
          <w:lang w:val="es-ES_tradnl"/>
        </w:rPr>
        <w:t xml:space="preserve">que esta </w:t>
      </w:r>
      <w:r w:rsidRPr="00E019A9">
        <w:rPr>
          <w:rFonts w:asciiTheme="majorHAnsi" w:hAnsiTheme="majorHAnsi"/>
          <w:sz w:val="20"/>
          <w:szCs w:val="20"/>
          <w:lang w:val="es-ES_tradnl"/>
        </w:rPr>
        <w:t>ú</w:t>
      </w:r>
      <w:r w:rsidR="00D8238B" w:rsidRPr="00E019A9">
        <w:rPr>
          <w:rFonts w:asciiTheme="majorHAnsi" w:hAnsiTheme="majorHAnsi"/>
          <w:sz w:val="20"/>
          <w:szCs w:val="20"/>
          <w:lang w:val="es-ES_tradnl"/>
        </w:rPr>
        <w:t>ltima decisión constituye una violación</w:t>
      </w:r>
      <w:r w:rsidR="00D04A6C" w:rsidRPr="00E019A9">
        <w:rPr>
          <w:rFonts w:asciiTheme="majorHAnsi" w:hAnsiTheme="majorHAnsi"/>
          <w:sz w:val="20"/>
          <w:szCs w:val="20"/>
          <w:lang w:val="es-ES_tradnl"/>
        </w:rPr>
        <w:t xml:space="preserve"> a los derechos a las garantías judiciales y protección judicial en lo que se refiere al principio del juez natural y competente, debido a que, según </w:t>
      </w:r>
      <w:r w:rsidRPr="00E019A9">
        <w:rPr>
          <w:rFonts w:asciiTheme="majorHAnsi" w:hAnsiTheme="majorHAnsi"/>
          <w:sz w:val="20"/>
          <w:szCs w:val="20"/>
          <w:lang w:val="es-ES_tradnl"/>
        </w:rPr>
        <w:t>sostuvo</w:t>
      </w:r>
      <w:r w:rsidR="00D04A6C" w:rsidRPr="00E019A9">
        <w:rPr>
          <w:rFonts w:asciiTheme="majorHAnsi" w:hAnsiTheme="majorHAnsi"/>
          <w:sz w:val="20"/>
          <w:szCs w:val="20"/>
          <w:lang w:val="es-ES_tradnl"/>
        </w:rPr>
        <w:t xml:space="preserve">, la Corte Suprema de Chile solo </w:t>
      </w:r>
      <w:r w:rsidRPr="00E019A9">
        <w:rPr>
          <w:rFonts w:asciiTheme="majorHAnsi" w:hAnsiTheme="majorHAnsi"/>
          <w:sz w:val="20"/>
          <w:szCs w:val="20"/>
          <w:lang w:val="es-ES_tradnl"/>
        </w:rPr>
        <w:t>tendría</w:t>
      </w:r>
      <w:r w:rsidR="00D04A6C" w:rsidRPr="00E019A9">
        <w:rPr>
          <w:rFonts w:asciiTheme="majorHAnsi" w:hAnsiTheme="majorHAnsi"/>
          <w:sz w:val="20"/>
          <w:szCs w:val="20"/>
          <w:lang w:val="es-ES_tradnl"/>
        </w:rPr>
        <w:t xml:space="preserve"> facultades para conocer de errores de derecho pero que</w:t>
      </w:r>
      <w:r w:rsidRPr="00E019A9">
        <w:rPr>
          <w:rFonts w:asciiTheme="majorHAnsi" w:hAnsiTheme="majorHAnsi"/>
          <w:sz w:val="20"/>
          <w:szCs w:val="20"/>
          <w:lang w:val="es-ES_tradnl"/>
        </w:rPr>
        <w:t xml:space="preserve">, </w:t>
      </w:r>
      <w:r w:rsidR="00D04A6C" w:rsidRPr="00E019A9">
        <w:rPr>
          <w:rFonts w:asciiTheme="majorHAnsi" w:hAnsiTheme="majorHAnsi"/>
          <w:sz w:val="20"/>
          <w:szCs w:val="20"/>
          <w:lang w:val="es-ES_tradnl"/>
        </w:rPr>
        <w:t xml:space="preserve">al conocer también </w:t>
      </w:r>
      <w:r w:rsidRPr="00E019A9">
        <w:rPr>
          <w:rFonts w:asciiTheme="majorHAnsi" w:hAnsiTheme="majorHAnsi"/>
          <w:sz w:val="20"/>
          <w:szCs w:val="20"/>
          <w:lang w:val="es-ES_tradnl"/>
        </w:rPr>
        <w:t>en cuestiones de índole fácticas, se habría convertido en la pr</w:t>
      </w:r>
      <w:r w:rsidR="003B0EB7" w:rsidRPr="00E019A9">
        <w:rPr>
          <w:rFonts w:asciiTheme="majorHAnsi" w:hAnsiTheme="majorHAnsi"/>
          <w:sz w:val="20"/>
          <w:szCs w:val="20"/>
          <w:lang w:val="es-ES_tradnl"/>
        </w:rPr>
        <w:t>á</w:t>
      </w:r>
      <w:r w:rsidRPr="00E019A9">
        <w:rPr>
          <w:rFonts w:asciiTheme="majorHAnsi" w:hAnsiTheme="majorHAnsi"/>
          <w:sz w:val="20"/>
          <w:szCs w:val="20"/>
          <w:lang w:val="es-ES_tradnl"/>
        </w:rPr>
        <w:t xml:space="preserve">ctica en </w:t>
      </w:r>
      <w:r w:rsidR="00D04A6C" w:rsidRPr="00E019A9">
        <w:rPr>
          <w:rFonts w:asciiTheme="majorHAnsi" w:hAnsiTheme="majorHAnsi"/>
          <w:sz w:val="20"/>
          <w:szCs w:val="20"/>
          <w:lang w:val="es-ES_tradnl"/>
        </w:rPr>
        <w:t xml:space="preserve">un tribunal de segunda instancia, </w:t>
      </w:r>
      <w:r w:rsidRPr="00E019A9">
        <w:rPr>
          <w:rFonts w:asciiTheme="majorHAnsi" w:hAnsiTheme="majorHAnsi"/>
          <w:sz w:val="20"/>
          <w:szCs w:val="20"/>
          <w:lang w:val="es-ES_tradnl"/>
        </w:rPr>
        <w:t>para lo cual es incompetente según la legislación interna</w:t>
      </w:r>
      <w:r w:rsidR="00D04A6C" w:rsidRPr="00E019A9">
        <w:rPr>
          <w:rFonts w:asciiTheme="majorHAnsi" w:hAnsiTheme="majorHAnsi"/>
          <w:sz w:val="20"/>
          <w:szCs w:val="20"/>
          <w:lang w:val="es-ES_tradnl"/>
        </w:rPr>
        <w:t xml:space="preserve">. </w:t>
      </w:r>
    </w:p>
    <w:p w14:paraId="4FA3F467" w14:textId="77777777" w:rsidR="00D04A6C" w:rsidRPr="00E019A9" w:rsidRDefault="00D04A6C" w:rsidP="00AC1CA8">
      <w:pPr>
        <w:pStyle w:val="ListParagraph"/>
        <w:tabs>
          <w:tab w:val="left" w:pos="567"/>
        </w:tabs>
        <w:rPr>
          <w:rFonts w:asciiTheme="majorHAnsi" w:hAnsiTheme="majorHAnsi"/>
          <w:sz w:val="20"/>
          <w:szCs w:val="20"/>
          <w:lang w:val="es-ES_tradnl"/>
        </w:rPr>
      </w:pPr>
    </w:p>
    <w:p w14:paraId="5FE404A2" w14:textId="77777777" w:rsidR="00192D58" w:rsidRPr="00E019A9" w:rsidRDefault="00D04A6C"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rFonts w:asciiTheme="majorHAnsi" w:hAnsiTheme="majorHAnsi"/>
          <w:sz w:val="20"/>
          <w:szCs w:val="20"/>
          <w:lang w:val="es-ES_tradnl"/>
        </w:rPr>
      </w:pPr>
      <w:r w:rsidRPr="00E019A9">
        <w:rPr>
          <w:rFonts w:asciiTheme="majorHAnsi" w:hAnsiTheme="majorHAnsi"/>
          <w:sz w:val="20"/>
          <w:szCs w:val="20"/>
          <w:lang w:val="es-ES_tradnl"/>
        </w:rPr>
        <w:t>En cuanto a la</w:t>
      </w:r>
      <w:r w:rsidR="00192D58" w:rsidRPr="00E019A9">
        <w:rPr>
          <w:rFonts w:asciiTheme="majorHAnsi" w:hAnsiTheme="majorHAnsi"/>
          <w:sz w:val="20"/>
          <w:szCs w:val="20"/>
          <w:lang w:val="es-ES_tradnl"/>
        </w:rPr>
        <w:t xml:space="preserve"> cuestión de la aplicación por parte de los magistrados de la Corte Suprema de la figura de la media prescripción, los peticionarios argumentaron que ello representa una violación por parte del Estado de su deber de prevenir, investigar y sancionar las violaciones a los derechos protegidos por la Convención toda vez que se impusieron a los responsables de la muerte del Sr. Rivera Matus penas que no son proporcionales a la gravedad de los hechos ni pertinentes.</w:t>
      </w:r>
      <w:r w:rsidR="00BF1D10" w:rsidRPr="00E019A9">
        <w:rPr>
          <w:rFonts w:asciiTheme="majorHAnsi" w:hAnsiTheme="majorHAnsi"/>
          <w:sz w:val="20"/>
          <w:szCs w:val="20"/>
          <w:lang w:val="es-ES_tradnl"/>
        </w:rPr>
        <w:t xml:space="preserve"> </w:t>
      </w:r>
      <w:r w:rsidR="00192D58" w:rsidRPr="00E019A9">
        <w:rPr>
          <w:rFonts w:asciiTheme="majorHAnsi" w:hAnsiTheme="majorHAnsi"/>
          <w:sz w:val="20"/>
          <w:szCs w:val="20"/>
          <w:lang w:val="es-ES_tradnl"/>
        </w:rPr>
        <w:t xml:space="preserve">Esta situación, sostuvieron los peticionarios, representa una violación de los artículos 8.1 y 25 de la Convención. </w:t>
      </w:r>
    </w:p>
    <w:p w14:paraId="4992A64C" w14:textId="77777777" w:rsidR="00192D58" w:rsidRPr="00E019A9" w:rsidRDefault="00192D58" w:rsidP="00192D58">
      <w:pPr>
        <w:pStyle w:val="ListParagraph"/>
        <w:rPr>
          <w:rFonts w:asciiTheme="majorHAnsi" w:hAnsiTheme="majorHAnsi"/>
          <w:sz w:val="20"/>
          <w:szCs w:val="20"/>
          <w:lang w:val="es-ES_tradnl"/>
        </w:rPr>
      </w:pPr>
    </w:p>
    <w:p w14:paraId="1A029D95" w14:textId="4C0F7847" w:rsidR="00192D58" w:rsidRPr="00E019A9" w:rsidRDefault="00192D58" w:rsidP="00DB676B">
      <w:pPr>
        <w:ind w:left="709" w:right="571"/>
        <w:jc w:val="both"/>
        <w:rPr>
          <w:rFonts w:ascii="Cambria" w:hAnsi="Cambria"/>
          <w:b/>
          <w:sz w:val="20"/>
          <w:szCs w:val="20"/>
          <w:lang w:val="es-ES_tradnl" w:eastAsia="es-ES"/>
        </w:rPr>
      </w:pPr>
      <w:r w:rsidRPr="00E019A9">
        <w:rPr>
          <w:rFonts w:ascii="Cambria" w:hAnsi="Cambria"/>
          <w:b/>
          <w:sz w:val="20"/>
          <w:szCs w:val="20"/>
          <w:lang w:val="es-ES_tradnl" w:eastAsia="es-ES"/>
        </w:rPr>
        <w:t xml:space="preserve">Alegatos presentados por los peticionarios de la </w:t>
      </w:r>
      <w:r w:rsidR="00580A34" w:rsidRPr="00E019A9">
        <w:rPr>
          <w:rFonts w:ascii="Cambria" w:hAnsi="Cambria"/>
          <w:b/>
          <w:sz w:val="20"/>
          <w:szCs w:val="20"/>
          <w:lang w:val="es-ES_tradnl" w:eastAsia="es-ES"/>
        </w:rPr>
        <w:t>petición</w:t>
      </w:r>
      <w:r w:rsidRPr="00E019A9">
        <w:rPr>
          <w:rFonts w:ascii="Cambria" w:hAnsi="Cambria"/>
          <w:b/>
          <w:sz w:val="20"/>
          <w:szCs w:val="20"/>
          <w:lang w:val="es-ES_tradnl" w:eastAsia="es-ES"/>
        </w:rPr>
        <w:t xml:space="preserve"> interpuesta en representación de </w:t>
      </w:r>
      <w:r w:rsidR="00323FC1" w:rsidRPr="00E019A9">
        <w:rPr>
          <w:rFonts w:ascii="Cambria" w:hAnsi="Cambria"/>
          <w:b/>
          <w:sz w:val="20"/>
          <w:szCs w:val="20"/>
          <w:lang w:val="es-ES_tradnl" w:eastAsia="es-ES"/>
        </w:rPr>
        <w:t>Arturo Benito Vega González</w:t>
      </w:r>
      <w:r w:rsidR="00323FC1">
        <w:rPr>
          <w:rFonts w:ascii="Cambria" w:hAnsi="Cambria"/>
          <w:b/>
          <w:sz w:val="20"/>
          <w:szCs w:val="20"/>
          <w:lang w:val="es-ES_tradnl" w:eastAsia="es-ES"/>
        </w:rPr>
        <w:t xml:space="preserve">, </w:t>
      </w:r>
      <w:r w:rsidRPr="00E019A9">
        <w:rPr>
          <w:rFonts w:ascii="Cambria" w:hAnsi="Cambria"/>
          <w:b/>
          <w:sz w:val="20"/>
          <w:szCs w:val="20"/>
          <w:lang w:val="es-ES_tradnl" w:eastAsia="es-ES"/>
        </w:rPr>
        <w:t>Cardenio Ancacura Manquián, Teófilo Zaragozo González Calfulef</w:t>
      </w:r>
      <w:r w:rsidR="00323FC1">
        <w:rPr>
          <w:rFonts w:ascii="Cambria" w:hAnsi="Cambria"/>
          <w:b/>
          <w:sz w:val="20"/>
          <w:szCs w:val="20"/>
          <w:lang w:val="es-ES_tradnl" w:eastAsia="es-ES"/>
        </w:rPr>
        <w:t>,</w:t>
      </w:r>
      <w:r w:rsidRPr="00E019A9">
        <w:rPr>
          <w:rFonts w:ascii="Cambria" w:hAnsi="Cambria"/>
          <w:b/>
          <w:sz w:val="20"/>
          <w:szCs w:val="20"/>
          <w:lang w:val="es-ES_tradnl" w:eastAsia="es-ES"/>
        </w:rPr>
        <w:t xml:space="preserve"> Manuel Hernández Inostroza, y sus respectivos familiares y registrada inicialmente como P 308-08</w:t>
      </w:r>
    </w:p>
    <w:p w14:paraId="71642D26" w14:textId="77777777" w:rsidR="00192D58" w:rsidRPr="00E019A9" w:rsidRDefault="00192D58" w:rsidP="00192D58">
      <w:pPr>
        <w:jc w:val="both"/>
        <w:rPr>
          <w:rFonts w:ascii="Cambria" w:hAnsi="Cambria"/>
          <w:b/>
          <w:sz w:val="20"/>
          <w:szCs w:val="20"/>
          <w:lang w:val="es-US" w:eastAsia="es-ES"/>
        </w:rPr>
      </w:pPr>
    </w:p>
    <w:p w14:paraId="2B250AB5" w14:textId="77777777" w:rsidR="00A04417" w:rsidRPr="00E019A9" w:rsidRDefault="00192D58"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US"/>
        </w:rPr>
      </w:pPr>
      <w:r w:rsidRPr="00E019A9">
        <w:rPr>
          <w:sz w:val="20"/>
          <w:szCs w:val="20"/>
          <w:lang w:val="es-US"/>
        </w:rPr>
        <w:t xml:space="preserve">La parte peticionaria </w:t>
      </w:r>
      <w:r w:rsidR="00BF1D10" w:rsidRPr="00E019A9">
        <w:rPr>
          <w:sz w:val="20"/>
          <w:szCs w:val="20"/>
          <w:lang w:val="es-US"/>
        </w:rPr>
        <w:t xml:space="preserve">expresó </w:t>
      </w:r>
      <w:r w:rsidRPr="00E019A9">
        <w:rPr>
          <w:sz w:val="20"/>
          <w:szCs w:val="20"/>
          <w:lang w:val="es-US"/>
        </w:rPr>
        <w:t>que</w:t>
      </w:r>
      <w:r w:rsidR="00A04417" w:rsidRPr="00E019A9">
        <w:rPr>
          <w:sz w:val="20"/>
          <w:szCs w:val="20"/>
          <w:lang w:val="es-US"/>
        </w:rPr>
        <w:t>,</w:t>
      </w:r>
      <w:r w:rsidRPr="00E019A9">
        <w:rPr>
          <w:sz w:val="20"/>
          <w:szCs w:val="20"/>
          <w:lang w:val="es-US"/>
        </w:rPr>
        <w:t xml:space="preserve"> e</w:t>
      </w:r>
      <w:r w:rsidR="00BF1D10" w:rsidRPr="00E019A9">
        <w:rPr>
          <w:sz w:val="20"/>
          <w:szCs w:val="20"/>
          <w:lang w:val="es-US"/>
        </w:rPr>
        <w:t>n horas de la madrugada del</w:t>
      </w:r>
      <w:r w:rsidRPr="00E019A9">
        <w:rPr>
          <w:sz w:val="20"/>
          <w:szCs w:val="20"/>
          <w:lang w:val="es-US"/>
        </w:rPr>
        <w:t xml:space="preserve"> 16 de octubre de 1973,</w:t>
      </w:r>
      <w:r w:rsidR="00BF1D10" w:rsidRPr="00E019A9">
        <w:rPr>
          <w:sz w:val="20"/>
          <w:szCs w:val="20"/>
          <w:lang w:val="es-US"/>
        </w:rPr>
        <w:t xml:space="preserve"> oficiales de la Armada de Chile en conjunto con individuos calificados como paramilitares </w:t>
      </w:r>
      <w:r w:rsidR="00A04417" w:rsidRPr="00E019A9">
        <w:rPr>
          <w:sz w:val="20"/>
          <w:szCs w:val="20"/>
          <w:lang w:val="es-US"/>
        </w:rPr>
        <w:t xml:space="preserve">pertenecientes al grupo “Patria y Libertad” </w:t>
      </w:r>
      <w:r w:rsidR="00BF1D10" w:rsidRPr="00E019A9">
        <w:rPr>
          <w:sz w:val="20"/>
          <w:szCs w:val="20"/>
          <w:lang w:val="es-US"/>
        </w:rPr>
        <w:t>realizaron una serie de detenciones de ciudadanos residentes en el poblado de Lago Ranco</w:t>
      </w:r>
      <w:r w:rsidR="006D533A" w:rsidRPr="00E019A9">
        <w:rPr>
          <w:sz w:val="20"/>
          <w:szCs w:val="20"/>
          <w:lang w:val="es-US"/>
        </w:rPr>
        <w:t xml:space="preserve"> </w:t>
      </w:r>
      <w:r w:rsidR="00BF1D10" w:rsidRPr="00E019A9">
        <w:rPr>
          <w:sz w:val="20"/>
          <w:szCs w:val="20"/>
          <w:lang w:val="es-US"/>
        </w:rPr>
        <w:t>entre los que se encontraban los Sres.</w:t>
      </w:r>
      <w:r w:rsidR="00A04417" w:rsidRPr="00E019A9">
        <w:rPr>
          <w:sz w:val="20"/>
          <w:szCs w:val="20"/>
          <w:lang w:val="es-US"/>
        </w:rPr>
        <w:t xml:space="preserve"> </w:t>
      </w:r>
      <w:r w:rsidR="00BF1D10" w:rsidRPr="00E019A9">
        <w:rPr>
          <w:sz w:val="20"/>
          <w:szCs w:val="20"/>
          <w:lang w:val="es-US"/>
        </w:rPr>
        <w:t xml:space="preserve">Cardenio Ancacura Manquián, Teófilo Zaragozo González Calfulef, Manuel Hernández Inostroza y Arturo Benito Vega González. De acuerdo con el relato efectuado por los peticionarios, las </w:t>
      </w:r>
      <w:r w:rsidR="00B307CB" w:rsidRPr="00E019A9">
        <w:rPr>
          <w:sz w:val="20"/>
          <w:szCs w:val="20"/>
          <w:lang w:val="es-US"/>
        </w:rPr>
        <w:t>víctimas</w:t>
      </w:r>
      <w:r w:rsidR="00BF1D10" w:rsidRPr="00E019A9">
        <w:rPr>
          <w:sz w:val="20"/>
          <w:szCs w:val="20"/>
          <w:lang w:val="es-US"/>
        </w:rPr>
        <w:t xml:space="preserve"> </w:t>
      </w:r>
      <w:r w:rsidR="00B307CB" w:rsidRPr="00E019A9">
        <w:rPr>
          <w:sz w:val="20"/>
          <w:szCs w:val="20"/>
          <w:lang w:val="es-US"/>
        </w:rPr>
        <w:t>habrían</w:t>
      </w:r>
      <w:r w:rsidR="00BF1D10" w:rsidRPr="00E019A9">
        <w:rPr>
          <w:sz w:val="20"/>
          <w:szCs w:val="20"/>
          <w:lang w:val="es-US"/>
        </w:rPr>
        <w:t xml:space="preserve"> sido alojad</w:t>
      </w:r>
      <w:r w:rsidR="006D533A" w:rsidRPr="00E019A9">
        <w:rPr>
          <w:sz w:val="20"/>
          <w:szCs w:val="20"/>
          <w:lang w:val="es-US"/>
        </w:rPr>
        <w:t>a</w:t>
      </w:r>
      <w:r w:rsidR="00BF1D10" w:rsidRPr="00E019A9">
        <w:rPr>
          <w:sz w:val="20"/>
          <w:szCs w:val="20"/>
          <w:lang w:val="es-US"/>
        </w:rPr>
        <w:t xml:space="preserve">s en un primer momento en el </w:t>
      </w:r>
      <w:r w:rsidR="006D533A" w:rsidRPr="00E019A9">
        <w:rPr>
          <w:sz w:val="20"/>
          <w:szCs w:val="20"/>
          <w:lang w:val="es-US"/>
        </w:rPr>
        <w:t>r</w:t>
      </w:r>
      <w:r w:rsidR="00BF1D10" w:rsidRPr="00E019A9">
        <w:rPr>
          <w:sz w:val="20"/>
          <w:szCs w:val="20"/>
          <w:lang w:val="es-US"/>
        </w:rPr>
        <w:t>et</w:t>
      </w:r>
      <w:r w:rsidR="006D533A" w:rsidRPr="00E019A9">
        <w:rPr>
          <w:sz w:val="20"/>
          <w:szCs w:val="20"/>
          <w:lang w:val="es-US"/>
        </w:rPr>
        <w:t>é</w:t>
      </w:r>
      <w:r w:rsidR="00BF1D10" w:rsidRPr="00E019A9">
        <w:rPr>
          <w:sz w:val="20"/>
          <w:szCs w:val="20"/>
          <w:lang w:val="es-US"/>
        </w:rPr>
        <w:t>n policial de Lago Ranco</w:t>
      </w:r>
      <w:r w:rsidR="006D533A" w:rsidRPr="00E019A9">
        <w:rPr>
          <w:sz w:val="20"/>
          <w:szCs w:val="20"/>
          <w:lang w:val="es-US"/>
        </w:rPr>
        <w:t>,</w:t>
      </w:r>
      <w:r w:rsidR="00BF1D10" w:rsidRPr="00E019A9">
        <w:rPr>
          <w:sz w:val="20"/>
          <w:szCs w:val="20"/>
          <w:lang w:val="es-US"/>
        </w:rPr>
        <w:t xml:space="preserve"> donde fueron torturados</w:t>
      </w:r>
      <w:r w:rsidR="006D533A" w:rsidRPr="00E019A9">
        <w:rPr>
          <w:sz w:val="20"/>
          <w:szCs w:val="20"/>
          <w:lang w:val="es-US"/>
        </w:rPr>
        <w:t>,</w:t>
      </w:r>
      <w:r w:rsidR="00BF1D10" w:rsidRPr="00E019A9">
        <w:rPr>
          <w:sz w:val="20"/>
          <w:szCs w:val="20"/>
          <w:lang w:val="es-US"/>
        </w:rPr>
        <w:t xml:space="preserve"> y posteriormente subidos al vapor “Valdivia”, el cual se hallaba atracado en el Lago Ranco, sin que hasta la fecha se tenga conocimiento de sus respectivos paraderos.</w:t>
      </w:r>
    </w:p>
    <w:p w14:paraId="47189DFE" w14:textId="77777777" w:rsidR="00A04417" w:rsidRPr="00E019A9" w:rsidRDefault="00A04417" w:rsidP="00AC1CA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contextualSpacing/>
        <w:jc w:val="both"/>
        <w:rPr>
          <w:sz w:val="20"/>
          <w:szCs w:val="20"/>
          <w:lang w:val="es-US"/>
        </w:rPr>
      </w:pPr>
    </w:p>
    <w:p w14:paraId="1671E3C1" w14:textId="77777777" w:rsidR="00A04417" w:rsidRPr="00E019A9" w:rsidRDefault="00385B67"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US"/>
        </w:rPr>
      </w:pPr>
      <w:r w:rsidRPr="00E019A9">
        <w:rPr>
          <w:sz w:val="20"/>
          <w:szCs w:val="20"/>
          <w:lang w:val="es-US"/>
        </w:rPr>
        <w:t xml:space="preserve">Indicaron </w:t>
      </w:r>
      <w:r w:rsidR="00BC235F" w:rsidRPr="00E019A9">
        <w:rPr>
          <w:sz w:val="20"/>
          <w:szCs w:val="20"/>
          <w:lang w:val="es-US"/>
        </w:rPr>
        <w:t xml:space="preserve">que </w:t>
      </w:r>
      <w:r w:rsidR="00BC235F" w:rsidRPr="00E019A9">
        <w:rPr>
          <w:sz w:val="20"/>
          <w:szCs w:val="20"/>
          <w:lang w:val="es-ES_tradnl"/>
        </w:rPr>
        <w:t>en</w:t>
      </w:r>
      <w:r w:rsidR="00192D58" w:rsidRPr="00E019A9">
        <w:rPr>
          <w:sz w:val="20"/>
          <w:szCs w:val="20"/>
          <w:lang w:val="es-ES_tradnl"/>
        </w:rPr>
        <w:t xml:space="preserve"> abril de 2001 se interpuso una querella criminal por la comisión del delito de secuestro calificado y otros crímenes. </w:t>
      </w:r>
      <w:r w:rsidR="00A04417" w:rsidRPr="00E019A9">
        <w:rPr>
          <w:sz w:val="20"/>
          <w:szCs w:val="20"/>
          <w:lang w:val="es-ES_tradnl"/>
        </w:rPr>
        <w:t>El</w:t>
      </w:r>
      <w:r w:rsidR="00192D58" w:rsidRPr="00E019A9">
        <w:rPr>
          <w:sz w:val="20"/>
          <w:szCs w:val="20"/>
          <w:lang w:val="es-ES_tradnl"/>
        </w:rPr>
        <w:t xml:space="preserve"> 25 de junio de 2002, el </w:t>
      </w:r>
      <w:r w:rsidR="00A04417" w:rsidRPr="00E019A9">
        <w:rPr>
          <w:sz w:val="20"/>
          <w:szCs w:val="20"/>
          <w:lang w:val="es-ES_tradnl"/>
        </w:rPr>
        <w:t xml:space="preserve">magistrado de primera instancia impuso la pena de 5 años de prisión a un ex oficial de la Armada de Chile y sobreseyó a otros cuatro paramilitares por la causal de obediencia debida. </w:t>
      </w:r>
    </w:p>
    <w:p w14:paraId="2A3B2BB8" w14:textId="77777777" w:rsidR="00192D58" w:rsidRPr="00E019A9" w:rsidRDefault="00192D58" w:rsidP="00AC1CA8">
      <w:pPr>
        <w:pStyle w:val="ListParagraph"/>
        <w:tabs>
          <w:tab w:val="left" w:pos="567"/>
        </w:tabs>
        <w:rPr>
          <w:sz w:val="20"/>
          <w:szCs w:val="20"/>
          <w:lang w:val="es-ES_tradnl"/>
        </w:rPr>
      </w:pPr>
    </w:p>
    <w:p w14:paraId="3B090C0F" w14:textId="77777777" w:rsidR="00A04417" w:rsidRPr="00E019A9" w:rsidRDefault="00385B67"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ES_tradnl"/>
        </w:rPr>
      </w:pPr>
      <w:r w:rsidRPr="00E019A9">
        <w:rPr>
          <w:sz w:val="20"/>
          <w:szCs w:val="20"/>
          <w:lang w:val="es-ES_tradnl"/>
        </w:rPr>
        <w:t>E</w:t>
      </w:r>
      <w:r w:rsidR="00A04417" w:rsidRPr="00E019A9">
        <w:rPr>
          <w:sz w:val="20"/>
          <w:szCs w:val="20"/>
          <w:lang w:val="es-ES_tradnl"/>
        </w:rPr>
        <w:t>xpresaron</w:t>
      </w:r>
      <w:r w:rsidR="00192D58" w:rsidRPr="00E019A9">
        <w:rPr>
          <w:sz w:val="20"/>
          <w:szCs w:val="20"/>
          <w:lang w:val="es-ES_tradnl"/>
        </w:rPr>
        <w:t xml:space="preserve"> que </w:t>
      </w:r>
      <w:r w:rsidR="00035B24" w:rsidRPr="00E019A9">
        <w:rPr>
          <w:sz w:val="20"/>
          <w:szCs w:val="20"/>
          <w:lang w:val="es-ES_tradnl"/>
        </w:rPr>
        <w:t>el 8</w:t>
      </w:r>
      <w:r w:rsidR="00192D58" w:rsidRPr="00E019A9">
        <w:rPr>
          <w:sz w:val="20"/>
          <w:szCs w:val="20"/>
          <w:lang w:val="es-ES_tradnl"/>
        </w:rPr>
        <w:t xml:space="preserve"> de noviembre de 2006 una de las salas de la Corte de Apelaciones de Santiago </w:t>
      </w:r>
      <w:r w:rsidR="00A04417" w:rsidRPr="00E019A9">
        <w:rPr>
          <w:sz w:val="20"/>
          <w:szCs w:val="20"/>
          <w:lang w:val="es-ES_tradnl"/>
        </w:rPr>
        <w:t>aument</w:t>
      </w:r>
      <w:r w:rsidR="00C415BB" w:rsidRPr="00E019A9">
        <w:rPr>
          <w:sz w:val="20"/>
          <w:szCs w:val="20"/>
          <w:lang w:val="es-ES_tradnl"/>
        </w:rPr>
        <w:t>ó</w:t>
      </w:r>
      <w:r w:rsidR="00A04417" w:rsidRPr="00E019A9">
        <w:rPr>
          <w:sz w:val="20"/>
          <w:szCs w:val="20"/>
          <w:lang w:val="es-ES_tradnl"/>
        </w:rPr>
        <w:t xml:space="preserve"> a 15 años de prisión</w:t>
      </w:r>
      <w:r w:rsidR="00192D58" w:rsidRPr="00E019A9">
        <w:rPr>
          <w:sz w:val="20"/>
          <w:szCs w:val="20"/>
          <w:lang w:val="es-ES_tradnl"/>
        </w:rPr>
        <w:t xml:space="preserve"> la condena </w:t>
      </w:r>
      <w:r w:rsidR="00A04417" w:rsidRPr="00E019A9">
        <w:rPr>
          <w:sz w:val="20"/>
          <w:szCs w:val="20"/>
          <w:lang w:val="es-ES_tradnl"/>
        </w:rPr>
        <w:t>impuesta al ex integrante de la Armada y orden</w:t>
      </w:r>
      <w:r w:rsidR="00C415BB" w:rsidRPr="00E019A9">
        <w:rPr>
          <w:sz w:val="20"/>
          <w:szCs w:val="20"/>
          <w:lang w:val="es-ES_tradnl"/>
        </w:rPr>
        <w:t>ó</w:t>
      </w:r>
      <w:r w:rsidR="00A04417" w:rsidRPr="00E019A9">
        <w:rPr>
          <w:sz w:val="20"/>
          <w:szCs w:val="20"/>
          <w:lang w:val="es-ES_tradnl"/>
        </w:rPr>
        <w:t xml:space="preserve"> la reapertura del sumario respecto de los otros cuatro co-acusados. Sin embargo, agregaron, en septiembre de 2007 la Corte Suprema de oficio anuló los pronunciamientos previos y dictó una sentencia de reemplazo</w:t>
      </w:r>
      <w:r w:rsidR="00C415BB" w:rsidRPr="00E019A9">
        <w:rPr>
          <w:sz w:val="20"/>
          <w:szCs w:val="20"/>
          <w:lang w:val="es-ES_tradnl"/>
        </w:rPr>
        <w:t xml:space="preserve"> en la cual recalificó los hechos a homicidio calificado y, tras aplicar la figura de la prescripción gradual, redujo a 5 años la pena impuesta al condenado</w:t>
      </w:r>
      <w:r w:rsidR="00A04417" w:rsidRPr="00E019A9">
        <w:rPr>
          <w:sz w:val="20"/>
          <w:szCs w:val="20"/>
          <w:lang w:val="es-ES_tradnl"/>
        </w:rPr>
        <w:t xml:space="preserve">. </w:t>
      </w:r>
      <w:r w:rsidR="00C415BB" w:rsidRPr="00E019A9">
        <w:rPr>
          <w:rFonts w:asciiTheme="majorHAnsi" w:hAnsiTheme="majorHAnsi"/>
          <w:sz w:val="20"/>
          <w:szCs w:val="20"/>
          <w:lang w:val="es-ES_tradnl"/>
        </w:rPr>
        <w:t>Además, sobreseyó definitivamente a los otros acusados dejándolos en plena libertad.</w:t>
      </w:r>
    </w:p>
    <w:p w14:paraId="65206999" w14:textId="77777777" w:rsidR="00C415BB" w:rsidRPr="00E019A9" w:rsidRDefault="00C415BB" w:rsidP="00AC1CA8">
      <w:pPr>
        <w:pStyle w:val="ListParagraph"/>
        <w:tabs>
          <w:tab w:val="left" w:pos="567"/>
        </w:tabs>
        <w:rPr>
          <w:sz w:val="20"/>
          <w:szCs w:val="20"/>
          <w:lang w:val="es-ES_tradnl"/>
        </w:rPr>
      </w:pPr>
    </w:p>
    <w:p w14:paraId="277FFDBB" w14:textId="77777777" w:rsidR="00C415BB" w:rsidRPr="00E019A9" w:rsidRDefault="00C415BB"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ES_tradnl"/>
        </w:rPr>
      </w:pPr>
      <w:r w:rsidRPr="00E019A9">
        <w:rPr>
          <w:sz w:val="20"/>
          <w:szCs w:val="20"/>
          <w:lang w:val="es-ES_tradnl"/>
        </w:rPr>
        <w:t xml:space="preserve">La parte peticionaria alegó que la decisión de la Corte Suprema de Justicia representa una </w:t>
      </w:r>
      <w:r w:rsidR="00D4501D" w:rsidRPr="00E019A9">
        <w:rPr>
          <w:rFonts w:asciiTheme="majorHAnsi" w:hAnsiTheme="majorHAnsi"/>
          <w:sz w:val="20"/>
          <w:szCs w:val="20"/>
          <w:lang w:val="es-ES_tradnl"/>
        </w:rPr>
        <w:t>violación</w:t>
      </w:r>
      <w:r w:rsidRPr="00E019A9">
        <w:rPr>
          <w:rFonts w:asciiTheme="majorHAnsi" w:hAnsiTheme="majorHAnsi"/>
          <w:sz w:val="20"/>
          <w:szCs w:val="20"/>
          <w:lang w:val="es-ES_tradnl"/>
        </w:rPr>
        <w:t xml:space="preserve"> a los derechos a las garantías judiciales y protección judicial en lo que se refiere al principio del juez natural y competente, debido a que el tribunal solo </w:t>
      </w:r>
      <w:r w:rsidR="00245F06" w:rsidRPr="00E019A9">
        <w:rPr>
          <w:rFonts w:asciiTheme="majorHAnsi" w:hAnsiTheme="majorHAnsi"/>
          <w:sz w:val="20"/>
          <w:szCs w:val="20"/>
          <w:lang w:val="es-ES_tradnl"/>
        </w:rPr>
        <w:t>tenía</w:t>
      </w:r>
      <w:r w:rsidRPr="00E019A9">
        <w:rPr>
          <w:rFonts w:asciiTheme="majorHAnsi" w:hAnsiTheme="majorHAnsi"/>
          <w:sz w:val="20"/>
          <w:szCs w:val="20"/>
          <w:lang w:val="es-ES_tradnl"/>
        </w:rPr>
        <w:t xml:space="preserve"> facultades para conocer eventuales errores de derecho y no estaba habilitada para recalificar el tipo penal </w:t>
      </w:r>
      <w:r w:rsidR="00D4501D" w:rsidRPr="00E019A9">
        <w:rPr>
          <w:rFonts w:asciiTheme="majorHAnsi" w:hAnsiTheme="majorHAnsi"/>
          <w:sz w:val="20"/>
          <w:szCs w:val="20"/>
          <w:lang w:val="es-ES_tradnl"/>
        </w:rPr>
        <w:t xml:space="preserve">infringido </w:t>
      </w:r>
      <w:r w:rsidRPr="00E019A9">
        <w:rPr>
          <w:rFonts w:asciiTheme="majorHAnsi" w:hAnsiTheme="majorHAnsi"/>
          <w:sz w:val="20"/>
          <w:szCs w:val="20"/>
          <w:lang w:val="es-ES_tradnl"/>
        </w:rPr>
        <w:t>ni</w:t>
      </w:r>
      <w:r w:rsidR="00D4501D" w:rsidRPr="00E019A9">
        <w:rPr>
          <w:rFonts w:asciiTheme="majorHAnsi" w:hAnsiTheme="majorHAnsi"/>
          <w:sz w:val="20"/>
          <w:szCs w:val="20"/>
          <w:lang w:val="es-ES_tradnl"/>
        </w:rPr>
        <w:t xml:space="preserve"> para</w:t>
      </w:r>
      <w:r w:rsidRPr="00E019A9">
        <w:rPr>
          <w:rFonts w:asciiTheme="majorHAnsi" w:hAnsiTheme="majorHAnsi"/>
          <w:sz w:val="20"/>
          <w:szCs w:val="20"/>
          <w:lang w:val="es-ES_tradnl"/>
        </w:rPr>
        <w:t xml:space="preserve"> resolver </w:t>
      </w:r>
      <w:r w:rsidR="00D4501D" w:rsidRPr="00E019A9">
        <w:rPr>
          <w:rFonts w:asciiTheme="majorHAnsi" w:hAnsiTheme="majorHAnsi"/>
          <w:sz w:val="20"/>
          <w:szCs w:val="20"/>
          <w:lang w:val="es-ES_tradnl"/>
        </w:rPr>
        <w:t>el</w:t>
      </w:r>
      <w:r w:rsidRPr="00E019A9">
        <w:rPr>
          <w:rFonts w:asciiTheme="majorHAnsi" w:hAnsiTheme="majorHAnsi"/>
          <w:sz w:val="20"/>
          <w:szCs w:val="20"/>
          <w:lang w:val="es-ES_tradnl"/>
        </w:rPr>
        <w:t xml:space="preserve"> sobreseimiento de los otros cuatro acusados</w:t>
      </w:r>
      <w:r w:rsidR="00D4501D" w:rsidRPr="00E019A9">
        <w:rPr>
          <w:rFonts w:asciiTheme="majorHAnsi" w:hAnsiTheme="majorHAnsi"/>
          <w:sz w:val="20"/>
          <w:szCs w:val="20"/>
          <w:lang w:val="es-ES_tradnl"/>
        </w:rPr>
        <w:t xml:space="preserve">. </w:t>
      </w:r>
    </w:p>
    <w:p w14:paraId="7435BF07" w14:textId="77777777" w:rsidR="00D4501D" w:rsidRPr="00E019A9" w:rsidRDefault="00D4501D" w:rsidP="00AC1CA8">
      <w:pPr>
        <w:pStyle w:val="ListParagraph"/>
        <w:tabs>
          <w:tab w:val="left" w:pos="567"/>
        </w:tabs>
        <w:rPr>
          <w:sz w:val="20"/>
          <w:szCs w:val="20"/>
          <w:lang w:val="es-ES_tradnl"/>
        </w:rPr>
      </w:pPr>
    </w:p>
    <w:p w14:paraId="4CEE766A" w14:textId="77777777" w:rsidR="00192D58" w:rsidRPr="00E019A9" w:rsidRDefault="00D4501D"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ES_tradnl"/>
        </w:rPr>
      </w:pPr>
      <w:r w:rsidRPr="00E019A9">
        <w:rPr>
          <w:sz w:val="20"/>
          <w:szCs w:val="20"/>
          <w:lang w:val="es-ES_tradnl"/>
        </w:rPr>
        <w:t>Por otra parte, los peticionarios manifestaron que</w:t>
      </w:r>
      <w:r w:rsidRPr="00E019A9">
        <w:rPr>
          <w:rFonts w:asciiTheme="majorHAnsi" w:hAnsiTheme="majorHAnsi"/>
          <w:sz w:val="20"/>
          <w:szCs w:val="20"/>
          <w:lang w:val="es-ES_tradnl"/>
        </w:rPr>
        <w:t xml:space="preserve"> la Corte Suprema, al aplicar la figura de la “prescripción gradual”, le otorgó al condenado un beneficio que no debe ser tenido en cuenta ya que en la especia se trata de delitos de lesa humanidad, los cuales son imprescriptibles. Asimismo, argumentaron que la recalificación del tipo penal, la aplicación de atenuantes y el sobreseimiento de los otros cuatro acusados, </w:t>
      </w:r>
      <w:r w:rsidRPr="00E019A9">
        <w:rPr>
          <w:rFonts w:asciiTheme="majorHAnsi" w:hAnsiTheme="majorHAnsi"/>
          <w:sz w:val="20"/>
          <w:szCs w:val="20"/>
          <w:lang w:val="es-ES_tradnl"/>
        </w:rPr>
        <w:lastRenderedPageBreak/>
        <w:t>decididos por la Corte Suprema arroj</w:t>
      </w:r>
      <w:r w:rsidR="009207F2" w:rsidRPr="00E019A9">
        <w:rPr>
          <w:rFonts w:asciiTheme="majorHAnsi" w:hAnsiTheme="majorHAnsi"/>
          <w:sz w:val="20"/>
          <w:szCs w:val="20"/>
          <w:lang w:val="es-ES_tradnl"/>
        </w:rPr>
        <w:t>aron</w:t>
      </w:r>
      <w:r w:rsidRPr="00E019A9">
        <w:rPr>
          <w:rFonts w:asciiTheme="majorHAnsi" w:hAnsiTheme="majorHAnsi"/>
          <w:sz w:val="20"/>
          <w:szCs w:val="20"/>
          <w:lang w:val="es-ES_tradnl"/>
        </w:rPr>
        <w:t xml:space="preserve"> como consecuencia que el </w:t>
      </w:r>
      <w:r w:rsidR="009207F2" w:rsidRPr="00E019A9">
        <w:rPr>
          <w:rFonts w:asciiTheme="majorHAnsi" w:hAnsiTheme="majorHAnsi"/>
          <w:sz w:val="20"/>
          <w:szCs w:val="20"/>
          <w:lang w:val="es-ES_tradnl"/>
        </w:rPr>
        <w:t>incumplimiento del Estado chileno de su</w:t>
      </w:r>
      <w:r w:rsidRPr="00E019A9">
        <w:rPr>
          <w:rFonts w:asciiTheme="majorHAnsi" w:hAnsiTheme="majorHAnsi"/>
          <w:sz w:val="20"/>
          <w:szCs w:val="20"/>
          <w:lang w:val="es-ES_tradnl"/>
        </w:rPr>
        <w:t xml:space="preserve"> deber de prevenir, investigar y sancionar las violaciones </w:t>
      </w:r>
      <w:r w:rsidR="009207F2" w:rsidRPr="00E019A9">
        <w:rPr>
          <w:rFonts w:asciiTheme="majorHAnsi" w:hAnsiTheme="majorHAnsi"/>
          <w:sz w:val="20"/>
          <w:szCs w:val="20"/>
          <w:lang w:val="es-ES_tradnl"/>
        </w:rPr>
        <w:t xml:space="preserve">a los derechos humanos sufridas por las </w:t>
      </w:r>
      <w:r w:rsidR="002A4062" w:rsidRPr="00E019A9">
        <w:rPr>
          <w:rFonts w:asciiTheme="majorHAnsi" w:hAnsiTheme="majorHAnsi"/>
          <w:sz w:val="20"/>
          <w:szCs w:val="20"/>
          <w:lang w:val="es-ES_tradnl"/>
        </w:rPr>
        <w:t>víctimas</w:t>
      </w:r>
      <w:r w:rsidRPr="00E019A9">
        <w:rPr>
          <w:rFonts w:asciiTheme="majorHAnsi" w:hAnsiTheme="majorHAnsi"/>
          <w:sz w:val="20"/>
          <w:szCs w:val="20"/>
          <w:lang w:val="es-ES_tradnl"/>
        </w:rPr>
        <w:t xml:space="preserve"> y representa una violación a los artículos 8.1 y 25 de la Convención.</w:t>
      </w:r>
    </w:p>
    <w:p w14:paraId="7341988C" w14:textId="77777777" w:rsidR="00192D58" w:rsidRPr="00E019A9" w:rsidRDefault="00192D58" w:rsidP="00192D58">
      <w:pPr>
        <w:tabs>
          <w:tab w:val="left" w:pos="567"/>
        </w:tabs>
        <w:contextualSpacing/>
        <w:jc w:val="both"/>
        <w:rPr>
          <w:rFonts w:asciiTheme="majorHAnsi" w:hAnsiTheme="majorHAnsi"/>
          <w:sz w:val="20"/>
          <w:szCs w:val="20"/>
          <w:lang w:val="es-US"/>
        </w:rPr>
      </w:pPr>
    </w:p>
    <w:p w14:paraId="36861D1C" w14:textId="77777777" w:rsidR="00D4501D" w:rsidRPr="00E019A9" w:rsidRDefault="00D4501D" w:rsidP="00DB676B">
      <w:pPr>
        <w:ind w:left="709" w:right="288"/>
        <w:jc w:val="both"/>
        <w:rPr>
          <w:rFonts w:ascii="Cambria" w:hAnsi="Cambria"/>
          <w:b/>
          <w:sz w:val="20"/>
          <w:szCs w:val="20"/>
          <w:lang w:val="es-ES_tradnl" w:eastAsia="es-ES"/>
        </w:rPr>
      </w:pPr>
      <w:r w:rsidRPr="00E019A9">
        <w:rPr>
          <w:rFonts w:ascii="Cambria" w:hAnsi="Cambria"/>
          <w:b/>
          <w:sz w:val="20"/>
          <w:szCs w:val="20"/>
          <w:lang w:val="es-ES_tradnl" w:eastAsia="es-ES"/>
        </w:rPr>
        <w:t>Alegatos presentados por los peticionarios de la petición interpuesta en representación de Luis Evangelista Aguayo Fernández, Manuel Eduardo Bascuñan Aravena, José́ Ignacio Bustos Fuentes, Enrique Ángel Carreño González, Rafael Alonso Díaz Meza, Rolando Antonio Ibarra Ortega (López), Aroldo Vivian Laurie Luengo, Ireneo Alberto Méndez Hernández, Armando Edelmiro Morales Morales, José́ Luis Morales Ruiz, Aurelio Clodomiro Peñailillo Sepúlveda, Luis Alcides Pereira Hernández, Armando Aroldo Pereira Meriño, Oscar Abdón Retamal Pérez, Luis Enrique Rivera Cofré, José́ Hernán Riveros Chávez, Roberto del Carmen Romero Muñoz, Oscar Eladio Saldías Daza, Hernán Sarmiento Sabater, Hugo Enrique Soto Campos, Ruperto Oriol Torres Aravena, Edelmiro Antonio Valdez Sepúlveda, Víctor Julio Vivanco Vásquez, Claudio Jesús Escanilla Escobar y sus respectivos familiares y registrada inicialmente bajo el número P 759-08.</w:t>
      </w:r>
    </w:p>
    <w:p w14:paraId="52178487" w14:textId="77777777" w:rsidR="00D4501D" w:rsidRPr="00E019A9" w:rsidRDefault="00D4501D" w:rsidP="00D4501D">
      <w:pPr>
        <w:jc w:val="both"/>
        <w:rPr>
          <w:rFonts w:asciiTheme="majorHAnsi" w:hAnsiTheme="majorHAnsi" w:cs="Calibri"/>
          <w:b/>
          <w:bCs/>
          <w:sz w:val="20"/>
          <w:szCs w:val="20"/>
          <w:lang w:val="es-US"/>
        </w:rPr>
      </w:pPr>
    </w:p>
    <w:p w14:paraId="6B440236" w14:textId="77777777" w:rsidR="00D4501D" w:rsidRPr="00E019A9" w:rsidRDefault="00D4501D"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VE"/>
        </w:rPr>
      </w:pPr>
      <w:r w:rsidRPr="00E019A9">
        <w:rPr>
          <w:sz w:val="20"/>
          <w:szCs w:val="20"/>
          <w:lang w:val="es-VE"/>
        </w:rPr>
        <w:t xml:space="preserve">La parte peticionaria alegó que, con posterioridad al golpe de estado del 11 de septiembre de 1973, en la Séptima Región del Maule se sucedieron </w:t>
      </w:r>
      <w:r w:rsidR="00BC235F" w:rsidRPr="00E019A9">
        <w:rPr>
          <w:sz w:val="20"/>
          <w:szCs w:val="20"/>
          <w:lang w:val="es-VE"/>
        </w:rPr>
        <w:t>más</w:t>
      </w:r>
      <w:r w:rsidRPr="00E019A9">
        <w:rPr>
          <w:sz w:val="20"/>
          <w:szCs w:val="20"/>
          <w:lang w:val="es-VE"/>
        </w:rPr>
        <w:t xml:space="preserve"> de 60 casos de graves violaciones a los derechos humanos por parte de agentes estatales pertenecientes al Ejercito, a Carabineros y a la </w:t>
      </w:r>
      <w:r w:rsidR="00BC235F" w:rsidRPr="00E019A9">
        <w:rPr>
          <w:sz w:val="20"/>
          <w:szCs w:val="20"/>
          <w:lang w:val="es-VE"/>
        </w:rPr>
        <w:t>Policía</w:t>
      </w:r>
      <w:r w:rsidRPr="00E019A9">
        <w:rPr>
          <w:sz w:val="20"/>
          <w:szCs w:val="20"/>
          <w:lang w:val="es-VE"/>
        </w:rPr>
        <w:t xml:space="preserve"> de Investigaciones. </w:t>
      </w:r>
    </w:p>
    <w:p w14:paraId="2B15C349" w14:textId="77777777" w:rsidR="00D4501D" w:rsidRPr="00E019A9" w:rsidRDefault="00D4501D" w:rsidP="00AC1CA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contextualSpacing/>
        <w:jc w:val="both"/>
        <w:rPr>
          <w:sz w:val="20"/>
          <w:szCs w:val="20"/>
          <w:lang w:val="es-VE"/>
        </w:rPr>
      </w:pPr>
    </w:p>
    <w:p w14:paraId="7CF1901F" w14:textId="77777777" w:rsidR="009207F2" w:rsidRPr="00E019A9" w:rsidRDefault="007615B9"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VE"/>
        </w:rPr>
      </w:pPr>
      <w:r w:rsidRPr="00E019A9">
        <w:rPr>
          <w:sz w:val="20"/>
          <w:szCs w:val="20"/>
          <w:lang w:val="es-VE"/>
        </w:rPr>
        <w:t>D</w:t>
      </w:r>
      <w:r w:rsidR="00D4501D" w:rsidRPr="00E019A9">
        <w:rPr>
          <w:sz w:val="20"/>
          <w:szCs w:val="20"/>
          <w:lang w:val="es-VE"/>
        </w:rPr>
        <w:t xml:space="preserve">enunciaron </w:t>
      </w:r>
      <w:r w:rsidRPr="00E019A9">
        <w:rPr>
          <w:sz w:val="20"/>
          <w:szCs w:val="20"/>
          <w:lang w:val="es-VE"/>
        </w:rPr>
        <w:t>que</w:t>
      </w:r>
      <w:r w:rsidR="00D4501D" w:rsidRPr="00E019A9">
        <w:rPr>
          <w:sz w:val="20"/>
          <w:szCs w:val="20"/>
          <w:lang w:val="es-VE"/>
        </w:rPr>
        <w:t xml:space="preserve"> las 23 personas que se identifican como </w:t>
      </w:r>
      <w:r w:rsidR="00BC235F" w:rsidRPr="00E019A9">
        <w:rPr>
          <w:sz w:val="20"/>
          <w:szCs w:val="20"/>
          <w:lang w:val="es-VE"/>
        </w:rPr>
        <w:t>víctimas</w:t>
      </w:r>
      <w:r w:rsidR="00D4501D" w:rsidRPr="00E019A9">
        <w:rPr>
          <w:sz w:val="20"/>
          <w:szCs w:val="20"/>
          <w:lang w:val="es-VE"/>
        </w:rPr>
        <w:t xml:space="preserve"> en esta </w:t>
      </w:r>
      <w:r w:rsidR="00BC235F" w:rsidRPr="00E019A9">
        <w:rPr>
          <w:sz w:val="20"/>
          <w:szCs w:val="20"/>
          <w:lang w:val="es-VE"/>
        </w:rPr>
        <w:t>petición</w:t>
      </w:r>
      <w:r w:rsidR="00D4501D" w:rsidRPr="00E019A9">
        <w:rPr>
          <w:sz w:val="20"/>
          <w:szCs w:val="20"/>
          <w:lang w:val="es-VE"/>
        </w:rPr>
        <w:t xml:space="preserve">, fueron arrestadas sin orden judicial por efectivos del </w:t>
      </w:r>
      <w:r w:rsidR="00BC235F" w:rsidRPr="00E019A9">
        <w:rPr>
          <w:sz w:val="20"/>
          <w:szCs w:val="20"/>
          <w:lang w:val="es-VE"/>
        </w:rPr>
        <w:t>Ejército</w:t>
      </w:r>
      <w:r w:rsidR="00D4501D" w:rsidRPr="00E019A9">
        <w:rPr>
          <w:sz w:val="20"/>
          <w:szCs w:val="20"/>
          <w:lang w:val="es-VE"/>
        </w:rPr>
        <w:t xml:space="preserve"> y Carabineros entre los meses de septiembre de 1973 y octubre de 1974 y alojados en todos los casos en la C</w:t>
      </w:r>
      <w:r w:rsidR="009207F2" w:rsidRPr="00E019A9">
        <w:rPr>
          <w:sz w:val="20"/>
          <w:szCs w:val="20"/>
          <w:lang w:val="es-VE"/>
        </w:rPr>
        <w:t>á</w:t>
      </w:r>
      <w:r w:rsidR="00D4501D" w:rsidRPr="00E019A9">
        <w:rPr>
          <w:sz w:val="20"/>
          <w:szCs w:val="20"/>
          <w:lang w:val="es-VE"/>
        </w:rPr>
        <w:t>rcel P</w:t>
      </w:r>
      <w:r w:rsidR="009207F2" w:rsidRPr="00E019A9">
        <w:rPr>
          <w:sz w:val="20"/>
          <w:szCs w:val="20"/>
          <w:lang w:val="es-VE"/>
        </w:rPr>
        <w:t>ú</w:t>
      </w:r>
      <w:r w:rsidR="00D4501D" w:rsidRPr="00E019A9">
        <w:rPr>
          <w:sz w:val="20"/>
          <w:szCs w:val="20"/>
          <w:lang w:val="es-VE"/>
        </w:rPr>
        <w:t xml:space="preserve">blica de la ciudad de Parral o en la Comisaria de la misma localidad.  </w:t>
      </w:r>
      <w:r w:rsidR="009207F2" w:rsidRPr="00E019A9">
        <w:rPr>
          <w:sz w:val="20"/>
          <w:szCs w:val="20"/>
          <w:lang w:val="es-VE"/>
        </w:rPr>
        <w:t>En todos los casos, las presuntas v</w:t>
      </w:r>
      <w:r w:rsidRPr="00E019A9">
        <w:rPr>
          <w:sz w:val="20"/>
          <w:szCs w:val="20"/>
          <w:lang w:val="es-VE"/>
        </w:rPr>
        <w:t>í</w:t>
      </w:r>
      <w:r w:rsidR="009207F2" w:rsidRPr="00E019A9">
        <w:rPr>
          <w:sz w:val="20"/>
          <w:szCs w:val="20"/>
          <w:lang w:val="es-VE"/>
        </w:rPr>
        <w:t>ct</w:t>
      </w:r>
      <w:r w:rsidRPr="00E019A9">
        <w:rPr>
          <w:sz w:val="20"/>
          <w:szCs w:val="20"/>
          <w:lang w:val="es-VE"/>
        </w:rPr>
        <w:t>i</w:t>
      </w:r>
      <w:r w:rsidR="009207F2" w:rsidRPr="00E019A9">
        <w:rPr>
          <w:sz w:val="20"/>
          <w:szCs w:val="20"/>
          <w:lang w:val="es-VE"/>
        </w:rPr>
        <w:t xml:space="preserve">mas </w:t>
      </w:r>
      <w:r w:rsidR="00BC235F" w:rsidRPr="00E019A9">
        <w:rPr>
          <w:sz w:val="20"/>
          <w:szCs w:val="20"/>
          <w:lang w:val="es-VE"/>
        </w:rPr>
        <w:t>permanecen</w:t>
      </w:r>
      <w:r w:rsidR="009207F2" w:rsidRPr="00E019A9">
        <w:rPr>
          <w:sz w:val="20"/>
          <w:szCs w:val="20"/>
          <w:lang w:val="es-VE"/>
        </w:rPr>
        <w:t xml:space="preserve"> en calidad de desaparecidos. </w:t>
      </w:r>
    </w:p>
    <w:p w14:paraId="5A32F5D6" w14:textId="77777777" w:rsidR="009207F2" w:rsidRPr="00E019A9" w:rsidRDefault="009207F2" w:rsidP="00AC1CA8">
      <w:pPr>
        <w:pStyle w:val="ListParagraph"/>
        <w:tabs>
          <w:tab w:val="left" w:pos="567"/>
        </w:tabs>
        <w:rPr>
          <w:rFonts w:asciiTheme="majorHAnsi" w:hAnsiTheme="majorHAnsi"/>
          <w:sz w:val="20"/>
          <w:szCs w:val="20"/>
          <w:lang w:val="es-VE"/>
        </w:rPr>
      </w:pPr>
    </w:p>
    <w:p w14:paraId="700E0741" w14:textId="77777777" w:rsidR="009207F2" w:rsidRPr="00E019A9" w:rsidRDefault="00D4501D"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VE"/>
        </w:rPr>
      </w:pPr>
      <w:r w:rsidRPr="00E019A9">
        <w:rPr>
          <w:rFonts w:asciiTheme="majorHAnsi" w:hAnsiTheme="majorHAnsi"/>
          <w:sz w:val="20"/>
          <w:szCs w:val="20"/>
          <w:lang w:val="es-VE"/>
        </w:rPr>
        <w:t xml:space="preserve">La parte peticionaria </w:t>
      </w:r>
      <w:r w:rsidR="00BC235F" w:rsidRPr="00E019A9">
        <w:rPr>
          <w:rFonts w:asciiTheme="majorHAnsi" w:hAnsiTheme="majorHAnsi"/>
          <w:sz w:val="20"/>
          <w:szCs w:val="20"/>
          <w:lang w:val="es-VE"/>
        </w:rPr>
        <w:t>manifestó</w:t>
      </w:r>
      <w:r w:rsidRPr="00E019A9">
        <w:rPr>
          <w:rFonts w:asciiTheme="majorHAnsi" w:hAnsiTheme="majorHAnsi"/>
          <w:sz w:val="20"/>
          <w:szCs w:val="20"/>
          <w:lang w:val="es-VE"/>
        </w:rPr>
        <w:t xml:space="preserve"> qu</w:t>
      </w:r>
      <w:r w:rsidR="007E4849" w:rsidRPr="00E019A9">
        <w:rPr>
          <w:rFonts w:asciiTheme="majorHAnsi" w:hAnsiTheme="majorHAnsi"/>
          <w:sz w:val="20"/>
          <w:szCs w:val="20"/>
          <w:lang w:val="es-VE"/>
        </w:rPr>
        <w:t>e los familiares de las v</w:t>
      </w:r>
      <w:r w:rsidR="007615B9" w:rsidRPr="00E019A9">
        <w:rPr>
          <w:rFonts w:asciiTheme="majorHAnsi" w:hAnsiTheme="majorHAnsi"/>
          <w:sz w:val="20"/>
          <w:szCs w:val="20"/>
          <w:lang w:val="es-VE"/>
        </w:rPr>
        <w:t>íc</w:t>
      </w:r>
      <w:r w:rsidR="007E4849" w:rsidRPr="00E019A9">
        <w:rPr>
          <w:rFonts w:asciiTheme="majorHAnsi" w:hAnsiTheme="majorHAnsi"/>
          <w:sz w:val="20"/>
          <w:szCs w:val="20"/>
          <w:lang w:val="es-VE"/>
        </w:rPr>
        <w:t>t</w:t>
      </w:r>
      <w:r w:rsidR="007615B9" w:rsidRPr="00E019A9">
        <w:rPr>
          <w:rFonts w:asciiTheme="majorHAnsi" w:hAnsiTheme="majorHAnsi"/>
          <w:sz w:val="20"/>
          <w:szCs w:val="20"/>
          <w:lang w:val="es-VE"/>
        </w:rPr>
        <w:t>i</w:t>
      </w:r>
      <w:r w:rsidR="007E4849" w:rsidRPr="00E019A9">
        <w:rPr>
          <w:rFonts w:asciiTheme="majorHAnsi" w:hAnsiTheme="majorHAnsi"/>
          <w:sz w:val="20"/>
          <w:szCs w:val="20"/>
          <w:lang w:val="es-VE"/>
        </w:rPr>
        <w:t xml:space="preserve">mas presentaron numerosas denuncias ante el Juzgado de Letras de Parral que fueron todas </w:t>
      </w:r>
      <w:r w:rsidR="00BC235F" w:rsidRPr="00E019A9">
        <w:rPr>
          <w:rFonts w:asciiTheme="majorHAnsi" w:hAnsiTheme="majorHAnsi"/>
          <w:sz w:val="20"/>
          <w:szCs w:val="20"/>
          <w:lang w:val="es-VE"/>
        </w:rPr>
        <w:t>sobreseídas</w:t>
      </w:r>
      <w:r w:rsidR="007E4849" w:rsidRPr="00E019A9">
        <w:rPr>
          <w:rFonts w:asciiTheme="majorHAnsi" w:hAnsiTheme="majorHAnsi"/>
          <w:sz w:val="20"/>
          <w:szCs w:val="20"/>
          <w:lang w:val="es-VE"/>
        </w:rPr>
        <w:t xml:space="preserve">. Posteriormente, y luego de varias querellas interpuestas por los familiares, en agosto de 2003 </w:t>
      </w:r>
      <w:r w:rsidR="009207F2" w:rsidRPr="00E019A9">
        <w:rPr>
          <w:rFonts w:asciiTheme="majorHAnsi" w:hAnsiTheme="majorHAnsi"/>
          <w:sz w:val="20"/>
          <w:szCs w:val="20"/>
          <w:lang w:val="es-VE"/>
        </w:rPr>
        <w:t xml:space="preserve">se dictó sentencia </w:t>
      </w:r>
      <w:r w:rsidR="007E4849" w:rsidRPr="00E019A9">
        <w:rPr>
          <w:rFonts w:asciiTheme="majorHAnsi" w:hAnsiTheme="majorHAnsi"/>
          <w:sz w:val="20"/>
          <w:szCs w:val="20"/>
          <w:lang w:val="es-VE"/>
        </w:rPr>
        <w:t xml:space="preserve">de </w:t>
      </w:r>
      <w:r w:rsidR="009207F2" w:rsidRPr="00E019A9">
        <w:rPr>
          <w:rFonts w:asciiTheme="majorHAnsi" w:hAnsiTheme="majorHAnsi"/>
          <w:sz w:val="20"/>
          <w:szCs w:val="20"/>
          <w:lang w:val="es-VE"/>
        </w:rPr>
        <w:t>primera instancia condenando a diversos miembros del Ej</w:t>
      </w:r>
      <w:r w:rsidR="000F62F0" w:rsidRPr="00E019A9">
        <w:rPr>
          <w:rFonts w:asciiTheme="majorHAnsi" w:hAnsiTheme="majorHAnsi"/>
          <w:sz w:val="20"/>
          <w:szCs w:val="20"/>
          <w:lang w:val="es-VE"/>
        </w:rPr>
        <w:t>é</w:t>
      </w:r>
      <w:r w:rsidR="009207F2" w:rsidRPr="00E019A9">
        <w:rPr>
          <w:rFonts w:asciiTheme="majorHAnsi" w:hAnsiTheme="majorHAnsi"/>
          <w:sz w:val="20"/>
          <w:szCs w:val="20"/>
          <w:lang w:val="es-VE"/>
        </w:rPr>
        <w:t>rcito y de Carabineros a penas de prisi</w:t>
      </w:r>
      <w:r w:rsidR="007E4849" w:rsidRPr="00E019A9">
        <w:rPr>
          <w:rFonts w:asciiTheme="majorHAnsi" w:hAnsiTheme="majorHAnsi"/>
          <w:sz w:val="20"/>
          <w:szCs w:val="20"/>
          <w:lang w:val="es-VE"/>
        </w:rPr>
        <w:t>ó</w:t>
      </w:r>
      <w:r w:rsidR="009207F2" w:rsidRPr="00E019A9">
        <w:rPr>
          <w:rFonts w:asciiTheme="majorHAnsi" w:hAnsiTheme="majorHAnsi"/>
          <w:sz w:val="20"/>
          <w:szCs w:val="20"/>
          <w:lang w:val="es-VE"/>
        </w:rPr>
        <w:t xml:space="preserve">n de 17 años, 10 años y 1 </w:t>
      </w:r>
      <w:r w:rsidR="00BC235F" w:rsidRPr="00E019A9">
        <w:rPr>
          <w:rFonts w:asciiTheme="majorHAnsi" w:hAnsiTheme="majorHAnsi"/>
          <w:sz w:val="20"/>
          <w:szCs w:val="20"/>
          <w:lang w:val="es-VE"/>
        </w:rPr>
        <w:t>día</w:t>
      </w:r>
      <w:r w:rsidR="009207F2" w:rsidRPr="00E019A9">
        <w:rPr>
          <w:rFonts w:asciiTheme="majorHAnsi" w:hAnsiTheme="majorHAnsi"/>
          <w:sz w:val="20"/>
          <w:szCs w:val="20"/>
          <w:lang w:val="es-VE"/>
        </w:rPr>
        <w:t xml:space="preserve"> y 7 años por la </w:t>
      </w:r>
      <w:r w:rsidR="00BC235F" w:rsidRPr="00E019A9">
        <w:rPr>
          <w:rFonts w:asciiTheme="majorHAnsi" w:hAnsiTheme="majorHAnsi"/>
          <w:sz w:val="20"/>
          <w:szCs w:val="20"/>
          <w:lang w:val="es-VE"/>
        </w:rPr>
        <w:t>participación</w:t>
      </w:r>
      <w:r w:rsidR="009207F2" w:rsidRPr="00E019A9">
        <w:rPr>
          <w:rFonts w:asciiTheme="majorHAnsi" w:hAnsiTheme="majorHAnsi"/>
          <w:sz w:val="20"/>
          <w:szCs w:val="20"/>
          <w:lang w:val="es-VE"/>
        </w:rPr>
        <w:t xml:space="preserve"> que tuvieron en los secuestros calificados de las presuntas </w:t>
      </w:r>
      <w:r w:rsidR="00BC235F" w:rsidRPr="00E019A9">
        <w:rPr>
          <w:rFonts w:asciiTheme="majorHAnsi" w:hAnsiTheme="majorHAnsi"/>
          <w:sz w:val="20"/>
          <w:szCs w:val="20"/>
          <w:lang w:val="es-VE"/>
        </w:rPr>
        <w:t>víctimas</w:t>
      </w:r>
      <w:r w:rsidR="009207F2" w:rsidRPr="00E019A9">
        <w:rPr>
          <w:rFonts w:asciiTheme="majorHAnsi" w:hAnsiTheme="majorHAnsi"/>
          <w:sz w:val="20"/>
          <w:szCs w:val="20"/>
          <w:lang w:val="es-VE"/>
        </w:rPr>
        <w:t xml:space="preserve">. </w:t>
      </w:r>
    </w:p>
    <w:p w14:paraId="653933C2" w14:textId="77777777" w:rsidR="009207F2" w:rsidRPr="00E019A9" w:rsidRDefault="009207F2" w:rsidP="00AC1CA8">
      <w:pPr>
        <w:pStyle w:val="ListParagraph"/>
        <w:tabs>
          <w:tab w:val="left" w:pos="567"/>
        </w:tabs>
        <w:rPr>
          <w:sz w:val="20"/>
          <w:szCs w:val="20"/>
          <w:lang w:val="es-VE"/>
        </w:rPr>
      </w:pPr>
    </w:p>
    <w:p w14:paraId="5E839016" w14:textId="77777777" w:rsidR="009207F2" w:rsidRPr="00E019A9" w:rsidRDefault="009207F2"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VE"/>
        </w:rPr>
      </w:pPr>
      <w:r w:rsidRPr="00E019A9">
        <w:rPr>
          <w:sz w:val="20"/>
          <w:szCs w:val="20"/>
          <w:lang w:val="es-VE"/>
        </w:rPr>
        <w:t>Acto seguido, l</w:t>
      </w:r>
      <w:r w:rsidR="007E4849" w:rsidRPr="00E019A9">
        <w:rPr>
          <w:sz w:val="20"/>
          <w:szCs w:val="20"/>
          <w:lang w:val="es-VE"/>
        </w:rPr>
        <w:t xml:space="preserve">os peticionarios consignaron </w:t>
      </w:r>
      <w:r w:rsidRPr="00E019A9">
        <w:rPr>
          <w:sz w:val="20"/>
          <w:szCs w:val="20"/>
          <w:lang w:val="es-VE"/>
        </w:rPr>
        <w:t>que</w:t>
      </w:r>
      <w:r w:rsidR="007E4849" w:rsidRPr="00E019A9">
        <w:rPr>
          <w:sz w:val="20"/>
          <w:szCs w:val="20"/>
          <w:lang w:val="es-VE"/>
        </w:rPr>
        <w:t>,</w:t>
      </w:r>
      <w:r w:rsidRPr="00E019A9">
        <w:rPr>
          <w:sz w:val="20"/>
          <w:szCs w:val="20"/>
          <w:lang w:val="es-VE"/>
        </w:rPr>
        <w:t xml:space="preserve"> en junio de 2005</w:t>
      </w:r>
      <w:r w:rsidR="007E4849" w:rsidRPr="00E019A9">
        <w:rPr>
          <w:sz w:val="20"/>
          <w:szCs w:val="20"/>
          <w:lang w:val="es-VE"/>
        </w:rPr>
        <w:t>,</w:t>
      </w:r>
      <w:r w:rsidRPr="00E019A9">
        <w:rPr>
          <w:sz w:val="20"/>
          <w:szCs w:val="20"/>
          <w:lang w:val="es-VE"/>
        </w:rPr>
        <w:t xml:space="preserve"> </w:t>
      </w:r>
      <w:r w:rsidRPr="00E019A9">
        <w:rPr>
          <w:rFonts w:asciiTheme="majorHAnsi" w:hAnsiTheme="majorHAnsi"/>
          <w:sz w:val="20"/>
          <w:szCs w:val="20"/>
          <w:lang w:val="es-VE"/>
        </w:rPr>
        <w:t>la Corte de Apelaciones de Santiago confirmó la sentencia apelada</w:t>
      </w:r>
      <w:r w:rsidR="007E4849" w:rsidRPr="00E019A9">
        <w:rPr>
          <w:rFonts w:asciiTheme="majorHAnsi" w:hAnsiTheme="majorHAnsi"/>
          <w:sz w:val="20"/>
          <w:szCs w:val="20"/>
          <w:lang w:val="es-VE"/>
        </w:rPr>
        <w:t>, pero modificó</w:t>
      </w:r>
      <w:r w:rsidRPr="00E019A9">
        <w:rPr>
          <w:rFonts w:asciiTheme="majorHAnsi" w:hAnsiTheme="majorHAnsi"/>
          <w:sz w:val="20"/>
          <w:szCs w:val="20"/>
          <w:lang w:val="es-VE"/>
        </w:rPr>
        <w:t xml:space="preserve"> </w:t>
      </w:r>
      <w:r w:rsidR="007E4849" w:rsidRPr="00E019A9">
        <w:rPr>
          <w:rFonts w:asciiTheme="majorHAnsi" w:hAnsiTheme="majorHAnsi"/>
          <w:sz w:val="20"/>
          <w:szCs w:val="20"/>
          <w:lang w:val="es-VE"/>
        </w:rPr>
        <w:t xml:space="preserve">el monto de algunas de las penas impuestas. Finalmente, los peticionarios informaron que en diciembre de 2007 la Corte Suprema de Justicia invalidó de oficio la sentencia de segunda instancia por considerar que </w:t>
      </w:r>
      <w:r w:rsidR="00BC235F" w:rsidRPr="00E019A9">
        <w:rPr>
          <w:rFonts w:asciiTheme="majorHAnsi" w:hAnsiTheme="majorHAnsi"/>
          <w:sz w:val="20"/>
          <w:szCs w:val="20"/>
          <w:lang w:val="es-VE"/>
        </w:rPr>
        <w:t>adolecía</w:t>
      </w:r>
      <w:r w:rsidR="007E4849" w:rsidRPr="00E019A9">
        <w:rPr>
          <w:rFonts w:asciiTheme="majorHAnsi" w:hAnsiTheme="majorHAnsi"/>
          <w:sz w:val="20"/>
          <w:szCs w:val="20"/>
          <w:lang w:val="es-VE"/>
        </w:rPr>
        <w:t xml:space="preserve"> de vicios formales y dictó una nueva en su reemplazo. En esta nueva sentencia, las penas impuestas por los delitos cometidos fueron de 5 y 4 años de </w:t>
      </w:r>
      <w:r w:rsidR="00BC235F" w:rsidRPr="00E019A9">
        <w:rPr>
          <w:rFonts w:asciiTheme="majorHAnsi" w:hAnsiTheme="majorHAnsi"/>
          <w:sz w:val="20"/>
          <w:szCs w:val="20"/>
          <w:lang w:val="es-VE"/>
        </w:rPr>
        <w:t>prisión</w:t>
      </w:r>
      <w:r w:rsidR="007E4849" w:rsidRPr="00E019A9">
        <w:rPr>
          <w:rFonts w:asciiTheme="majorHAnsi" w:hAnsiTheme="majorHAnsi"/>
          <w:sz w:val="20"/>
          <w:szCs w:val="20"/>
          <w:lang w:val="es-VE"/>
        </w:rPr>
        <w:t xml:space="preserve">. </w:t>
      </w:r>
    </w:p>
    <w:p w14:paraId="783B8A6F" w14:textId="77777777" w:rsidR="007E4849" w:rsidRPr="00E019A9" w:rsidRDefault="007E4849" w:rsidP="00AC1CA8">
      <w:pPr>
        <w:pStyle w:val="ListParagraph"/>
        <w:tabs>
          <w:tab w:val="left" w:pos="567"/>
        </w:tabs>
        <w:rPr>
          <w:sz w:val="20"/>
          <w:szCs w:val="20"/>
          <w:lang w:val="es-VE"/>
        </w:rPr>
      </w:pPr>
    </w:p>
    <w:p w14:paraId="1F3ABA7D" w14:textId="77777777" w:rsidR="007E4849" w:rsidRPr="00E019A9" w:rsidRDefault="007E4849"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VE"/>
        </w:rPr>
      </w:pPr>
      <w:r w:rsidRPr="00E019A9">
        <w:rPr>
          <w:sz w:val="20"/>
          <w:szCs w:val="20"/>
          <w:lang w:val="es-VE"/>
        </w:rPr>
        <w:t xml:space="preserve">Los peticionarios afirmaron que la </w:t>
      </w:r>
      <w:r w:rsidR="000F62F0" w:rsidRPr="00E019A9">
        <w:rPr>
          <w:sz w:val="20"/>
          <w:szCs w:val="20"/>
          <w:lang w:val="es-VE"/>
        </w:rPr>
        <w:t>sentencia</w:t>
      </w:r>
      <w:r w:rsidRPr="00E019A9">
        <w:rPr>
          <w:sz w:val="20"/>
          <w:szCs w:val="20"/>
          <w:lang w:val="es-VE"/>
        </w:rPr>
        <w:t xml:space="preserve"> de la Corte Suprema representa una violaci</w:t>
      </w:r>
      <w:r w:rsidR="007615B9" w:rsidRPr="00E019A9">
        <w:rPr>
          <w:sz w:val="20"/>
          <w:szCs w:val="20"/>
          <w:lang w:val="es-VE"/>
        </w:rPr>
        <w:t>ó</w:t>
      </w:r>
      <w:r w:rsidRPr="00E019A9">
        <w:rPr>
          <w:sz w:val="20"/>
          <w:szCs w:val="20"/>
          <w:lang w:val="es-VE"/>
        </w:rPr>
        <w:t xml:space="preserve">n a los </w:t>
      </w:r>
      <w:r w:rsidRPr="00E019A9">
        <w:rPr>
          <w:rFonts w:asciiTheme="majorHAnsi" w:hAnsiTheme="majorHAnsi"/>
          <w:sz w:val="20"/>
          <w:szCs w:val="20"/>
          <w:lang w:val="es-VE"/>
        </w:rPr>
        <w:t xml:space="preserve">derechos a las garantías judiciales y protección judicial del artículo 8 y 25 de la Convención y, concretamente, del deber del Estado chileno de investigar, perseguir y sancionar adecuadamente a los responsables de </w:t>
      </w:r>
      <w:r w:rsidR="00BC235F" w:rsidRPr="00E019A9">
        <w:rPr>
          <w:rFonts w:asciiTheme="majorHAnsi" w:hAnsiTheme="majorHAnsi"/>
          <w:sz w:val="20"/>
          <w:szCs w:val="20"/>
          <w:lang w:val="es-VE"/>
        </w:rPr>
        <w:t>crímenes</w:t>
      </w:r>
      <w:r w:rsidRPr="00E019A9">
        <w:rPr>
          <w:rFonts w:asciiTheme="majorHAnsi" w:hAnsiTheme="majorHAnsi"/>
          <w:sz w:val="20"/>
          <w:szCs w:val="20"/>
          <w:lang w:val="es-VE"/>
        </w:rPr>
        <w:t xml:space="preserve"> de lesa humanidad</w:t>
      </w:r>
      <w:r w:rsidR="000F62F0" w:rsidRPr="00E019A9">
        <w:rPr>
          <w:rFonts w:asciiTheme="majorHAnsi" w:hAnsiTheme="majorHAnsi"/>
          <w:sz w:val="20"/>
          <w:szCs w:val="20"/>
          <w:lang w:val="es-VE"/>
        </w:rPr>
        <w:t xml:space="preserve">. Asimismo, los peticionarios sostuvieron que la </w:t>
      </w:r>
      <w:r w:rsidR="00BC235F" w:rsidRPr="00E019A9">
        <w:rPr>
          <w:rFonts w:asciiTheme="majorHAnsi" w:hAnsiTheme="majorHAnsi"/>
          <w:sz w:val="20"/>
          <w:szCs w:val="20"/>
          <w:lang w:val="es-VE"/>
        </w:rPr>
        <w:t>decisión</w:t>
      </w:r>
      <w:r w:rsidR="000F62F0" w:rsidRPr="00E019A9">
        <w:rPr>
          <w:rFonts w:asciiTheme="majorHAnsi" w:hAnsiTheme="majorHAnsi"/>
          <w:sz w:val="20"/>
          <w:szCs w:val="20"/>
          <w:lang w:val="es-VE"/>
        </w:rPr>
        <w:t xml:space="preserve"> de la Corte Suprema vulneró el derecho de las v</w:t>
      </w:r>
      <w:r w:rsidR="007615B9" w:rsidRPr="00E019A9">
        <w:rPr>
          <w:rFonts w:asciiTheme="majorHAnsi" w:hAnsiTheme="majorHAnsi"/>
          <w:sz w:val="20"/>
          <w:szCs w:val="20"/>
          <w:lang w:val="es-VE"/>
        </w:rPr>
        <w:t>í</w:t>
      </w:r>
      <w:r w:rsidR="000F62F0" w:rsidRPr="00E019A9">
        <w:rPr>
          <w:rFonts w:asciiTheme="majorHAnsi" w:hAnsiTheme="majorHAnsi"/>
          <w:sz w:val="20"/>
          <w:szCs w:val="20"/>
          <w:lang w:val="es-VE"/>
        </w:rPr>
        <w:t>ct</w:t>
      </w:r>
      <w:r w:rsidR="007615B9" w:rsidRPr="00E019A9">
        <w:rPr>
          <w:rFonts w:asciiTheme="majorHAnsi" w:hAnsiTheme="majorHAnsi"/>
          <w:sz w:val="20"/>
          <w:szCs w:val="20"/>
          <w:lang w:val="es-VE"/>
        </w:rPr>
        <w:t>i</w:t>
      </w:r>
      <w:r w:rsidR="000F62F0" w:rsidRPr="00E019A9">
        <w:rPr>
          <w:rFonts w:asciiTheme="majorHAnsi" w:hAnsiTheme="majorHAnsi"/>
          <w:sz w:val="20"/>
          <w:szCs w:val="20"/>
          <w:lang w:val="es-VE"/>
        </w:rPr>
        <w:t xml:space="preserve">mas a obtener una resolución motivada. </w:t>
      </w:r>
    </w:p>
    <w:p w14:paraId="2B11121F" w14:textId="77777777" w:rsidR="000F62F0" w:rsidRPr="00E019A9" w:rsidRDefault="000F62F0" w:rsidP="000F62F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contextualSpacing/>
        <w:jc w:val="both"/>
        <w:rPr>
          <w:sz w:val="20"/>
          <w:szCs w:val="20"/>
          <w:lang w:val="es-VE"/>
        </w:rPr>
      </w:pPr>
    </w:p>
    <w:p w14:paraId="48F0F864" w14:textId="77777777" w:rsidR="000F62F0" w:rsidRPr="00E019A9" w:rsidRDefault="000F62F0" w:rsidP="00DB676B">
      <w:pPr>
        <w:ind w:left="709" w:right="288"/>
        <w:jc w:val="both"/>
        <w:rPr>
          <w:rFonts w:asciiTheme="majorHAnsi" w:hAnsiTheme="majorHAnsi" w:cs="Calibri"/>
          <w:b/>
          <w:bCs/>
          <w:sz w:val="20"/>
          <w:szCs w:val="20"/>
          <w:lang w:val="es-US"/>
        </w:rPr>
      </w:pPr>
      <w:r w:rsidRPr="00E019A9">
        <w:rPr>
          <w:rFonts w:asciiTheme="majorHAnsi" w:hAnsiTheme="majorHAnsi" w:cs="Calibri"/>
          <w:b/>
          <w:bCs/>
          <w:sz w:val="20"/>
          <w:szCs w:val="20"/>
          <w:lang w:val="es-US"/>
        </w:rPr>
        <w:t xml:space="preserve">Alegatos presentados por los </w:t>
      </w:r>
      <w:r w:rsidR="00BC235F" w:rsidRPr="00E019A9">
        <w:rPr>
          <w:rFonts w:asciiTheme="majorHAnsi" w:hAnsiTheme="majorHAnsi" w:cs="Calibri"/>
          <w:b/>
          <w:bCs/>
          <w:sz w:val="20"/>
          <w:szCs w:val="20"/>
          <w:lang w:val="es-US"/>
        </w:rPr>
        <w:t>peticionarios</w:t>
      </w:r>
      <w:r w:rsidRPr="00E019A9">
        <w:rPr>
          <w:rFonts w:asciiTheme="majorHAnsi" w:hAnsiTheme="majorHAnsi" w:cs="Calibri"/>
          <w:b/>
          <w:bCs/>
          <w:sz w:val="20"/>
          <w:szCs w:val="20"/>
          <w:lang w:val="es-US"/>
        </w:rPr>
        <w:t xml:space="preserve"> de la petición interpuesta en representación de Nelson Almendras Almendras, José́ Ricardo López López, Juan de la Cruz Briones Pérez, Victoriano Lagos Lagos y sus respectivos familiares y registrada inicialmente por la Comisión bajo el número P 707-09</w:t>
      </w:r>
    </w:p>
    <w:p w14:paraId="5F75F8F5" w14:textId="77777777" w:rsidR="000F62F0" w:rsidRPr="00E019A9" w:rsidRDefault="000F62F0" w:rsidP="008659AD">
      <w:pPr>
        <w:jc w:val="both"/>
        <w:rPr>
          <w:rFonts w:asciiTheme="majorHAnsi" w:hAnsiTheme="majorHAnsi" w:cs="Calibri"/>
          <w:b/>
          <w:bCs/>
          <w:sz w:val="20"/>
          <w:szCs w:val="20"/>
          <w:lang w:val="es-US"/>
        </w:rPr>
      </w:pPr>
    </w:p>
    <w:p w14:paraId="4BDCA6AB" w14:textId="77777777" w:rsidR="000F62F0" w:rsidRPr="00E019A9" w:rsidRDefault="000F62F0"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US"/>
        </w:rPr>
      </w:pPr>
      <w:r w:rsidRPr="00E019A9">
        <w:rPr>
          <w:sz w:val="20"/>
          <w:szCs w:val="20"/>
          <w:lang w:val="es-ES_tradnl"/>
        </w:rPr>
        <w:t>La parte peticionaria denunció que el día 17 de septiembre de 1973 en la comuna de Quilleco, provincia de Bio Bio, un grupo de Carabineros de Chile</w:t>
      </w:r>
      <w:r w:rsidR="006469AC" w:rsidRPr="00E019A9">
        <w:rPr>
          <w:sz w:val="20"/>
          <w:szCs w:val="20"/>
          <w:lang w:val="es-ES_tradnl"/>
        </w:rPr>
        <w:t xml:space="preserve"> </w:t>
      </w:r>
      <w:r w:rsidRPr="00E019A9">
        <w:rPr>
          <w:sz w:val="20"/>
          <w:szCs w:val="20"/>
          <w:lang w:val="es-ES_tradnl"/>
        </w:rPr>
        <w:t xml:space="preserve">detuvieron sin mediar orden judicial a los </w:t>
      </w:r>
      <w:r w:rsidR="00F12C4A" w:rsidRPr="00E019A9">
        <w:rPr>
          <w:sz w:val="20"/>
          <w:szCs w:val="20"/>
          <w:lang w:val="es-ES_tradnl"/>
        </w:rPr>
        <w:t>Sres.</w:t>
      </w:r>
      <w:r w:rsidRPr="00E019A9">
        <w:rPr>
          <w:sz w:val="20"/>
          <w:szCs w:val="20"/>
          <w:lang w:val="es-ES_tradnl"/>
        </w:rPr>
        <w:t xml:space="preserve"> Nelson Almendras Almendras, José́ Ricardo López López, Juan de la Cruz Briones Pérez y Victoriano Lagos Lagos. </w:t>
      </w:r>
      <w:r w:rsidR="00035B24" w:rsidRPr="00E019A9">
        <w:rPr>
          <w:sz w:val="20"/>
          <w:szCs w:val="20"/>
          <w:lang w:val="es-ES_tradnl"/>
        </w:rPr>
        <w:t>Asimismo,</w:t>
      </w:r>
      <w:r w:rsidRPr="00E019A9">
        <w:rPr>
          <w:sz w:val="20"/>
          <w:szCs w:val="20"/>
          <w:lang w:val="es-ES_tradnl"/>
        </w:rPr>
        <w:t xml:space="preserve"> </w:t>
      </w:r>
      <w:r w:rsidR="006469AC" w:rsidRPr="00E019A9">
        <w:rPr>
          <w:sz w:val="20"/>
          <w:szCs w:val="20"/>
          <w:lang w:val="es-ES_tradnl"/>
        </w:rPr>
        <w:t>consignaron</w:t>
      </w:r>
      <w:r w:rsidRPr="00E019A9">
        <w:rPr>
          <w:sz w:val="20"/>
          <w:szCs w:val="20"/>
          <w:lang w:val="es-ES_tradnl"/>
        </w:rPr>
        <w:t xml:space="preserve"> que testigos presenciales indicaron haber visto a las presuntas </w:t>
      </w:r>
      <w:r w:rsidR="00046C34" w:rsidRPr="00E019A9">
        <w:rPr>
          <w:sz w:val="20"/>
          <w:szCs w:val="20"/>
          <w:lang w:val="es-ES_tradnl"/>
        </w:rPr>
        <w:t>v</w:t>
      </w:r>
      <w:r w:rsidR="007615B9" w:rsidRPr="00E019A9">
        <w:rPr>
          <w:sz w:val="20"/>
          <w:szCs w:val="20"/>
          <w:lang w:val="es-ES_tradnl"/>
        </w:rPr>
        <w:t>í</w:t>
      </w:r>
      <w:r w:rsidR="00046C34" w:rsidRPr="00E019A9">
        <w:rPr>
          <w:sz w:val="20"/>
          <w:szCs w:val="20"/>
          <w:lang w:val="es-ES_tradnl"/>
        </w:rPr>
        <w:t>ctimas</w:t>
      </w:r>
      <w:r w:rsidRPr="00E019A9">
        <w:rPr>
          <w:sz w:val="20"/>
          <w:szCs w:val="20"/>
          <w:lang w:val="es-ES_tradnl"/>
        </w:rPr>
        <w:t xml:space="preserve"> dentro de un vehículo jeep color verde oscuro, perteneciente al Servicio Agrícola y Ganadero</w:t>
      </w:r>
      <w:r w:rsidR="006469AC" w:rsidRPr="00E019A9">
        <w:rPr>
          <w:sz w:val="20"/>
          <w:szCs w:val="20"/>
          <w:lang w:val="es-ES_tradnl"/>
        </w:rPr>
        <w:t xml:space="preserve">. </w:t>
      </w:r>
      <w:r w:rsidRPr="00E019A9">
        <w:rPr>
          <w:sz w:val="20"/>
          <w:szCs w:val="20"/>
          <w:lang w:val="es-ES_tradnl"/>
        </w:rPr>
        <w:t>A la fecha, agregaron</w:t>
      </w:r>
      <w:r w:rsidR="006469AC" w:rsidRPr="00E019A9">
        <w:rPr>
          <w:sz w:val="20"/>
          <w:szCs w:val="20"/>
          <w:lang w:val="es-ES_tradnl"/>
        </w:rPr>
        <w:t xml:space="preserve"> los peticionarios</w:t>
      </w:r>
      <w:r w:rsidRPr="00E019A9">
        <w:rPr>
          <w:sz w:val="20"/>
          <w:szCs w:val="20"/>
          <w:lang w:val="es-ES_tradnl"/>
        </w:rPr>
        <w:t xml:space="preserve">, </w:t>
      </w:r>
      <w:r w:rsidR="00F12C4A" w:rsidRPr="00E019A9">
        <w:rPr>
          <w:sz w:val="20"/>
          <w:szCs w:val="20"/>
          <w:lang w:val="es-ES_tradnl"/>
        </w:rPr>
        <w:t xml:space="preserve">las presuntas </w:t>
      </w:r>
      <w:r w:rsidR="00BC235F" w:rsidRPr="00E019A9">
        <w:rPr>
          <w:sz w:val="20"/>
          <w:szCs w:val="20"/>
          <w:lang w:val="es-ES_tradnl"/>
        </w:rPr>
        <w:t>víctimas</w:t>
      </w:r>
      <w:r w:rsidR="00F12C4A" w:rsidRPr="00E019A9">
        <w:rPr>
          <w:sz w:val="20"/>
          <w:szCs w:val="20"/>
          <w:lang w:val="es-ES_tradnl"/>
        </w:rPr>
        <w:t xml:space="preserve"> permanecen en calidad de detenidos-desaparecidos. </w:t>
      </w:r>
      <w:r w:rsidRPr="00E019A9">
        <w:rPr>
          <w:sz w:val="20"/>
          <w:szCs w:val="20"/>
          <w:lang w:val="es-ES_tradnl"/>
        </w:rPr>
        <w:t xml:space="preserve"> </w:t>
      </w:r>
    </w:p>
    <w:p w14:paraId="6AF2DBE4" w14:textId="77777777" w:rsidR="000F62F0" w:rsidRPr="00E019A9" w:rsidRDefault="000F62F0" w:rsidP="00AC1CA8">
      <w:pPr>
        <w:tabs>
          <w:tab w:val="left" w:pos="567"/>
        </w:tabs>
        <w:ind w:left="360"/>
        <w:rPr>
          <w:rFonts w:ascii="Cambria" w:hAnsi="Cambria"/>
          <w:sz w:val="20"/>
          <w:szCs w:val="20"/>
          <w:lang w:val="es-ES_tradnl" w:eastAsia="es-ES"/>
        </w:rPr>
      </w:pPr>
    </w:p>
    <w:p w14:paraId="01EA97A4" w14:textId="77777777" w:rsidR="006469AC" w:rsidRPr="00E019A9" w:rsidRDefault="007615B9"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US"/>
        </w:rPr>
      </w:pPr>
      <w:r w:rsidRPr="00E019A9">
        <w:rPr>
          <w:sz w:val="20"/>
          <w:szCs w:val="20"/>
          <w:lang w:val="es-ES_tradnl"/>
        </w:rPr>
        <w:lastRenderedPageBreak/>
        <w:t>Indicaron que</w:t>
      </w:r>
      <w:r w:rsidR="000F62F0" w:rsidRPr="00E019A9">
        <w:rPr>
          <w:sz w:val="20"/>
          <w:szCs w:val="20"/>
          <w:lang w:val="es-ES_tradnl"/>
        </w:rPr>
        <w:t xml:space="preserve"> </w:t>
      </w:r>
      <w:r w:rsidR="006469AC" w:rsidRPr="00E019A9">
        <w:rPr>
          <w:sz w:val="20"/>
          <w:szCs w:val="20"/>
          <w:lang w:val="es-ES_tradnl"/>
        </w:rPr>
        <w:t>los familiares de las v</w:t>
      </w:r>
      <w:r w:rsidRPr="00E019A9">
        <w:rPr>
          <w:sz w:val="20"/>
          <w:szCs w:val="20"/>
          <w:lang w:val="es-ES_tradnl"/>
        </w:rPr>
        <w:t>í</w:t>
      </w:r>
      <w:r w:rsidR="006469AC" w:rsidRPr="00E019A9">
        <w:rPr>
          <w:sz w:val="20"/>
          <w:szCs w:val="20"/>
          <w:lang w:val="es-ES_tradnl"/>
        </w:rPr>
        <w:t xml:space="preserve">ctimas realizaron diversas gestiones judiciales en las semanas posteriores al secuestro de sus seres queridos, las cuales fueron archivadas. En mayo de 1996 la Corporación Nacional de Reparación y Reconciliación interpuso denuncia criminal. Sin embargo, con fecha 28 de mayo de 1998, el Tercer Juzgado Militar de la Concepción dictó el sobreseimiento </w:t>
      </w:r>
      <w:r w:rsidR="00035B24" w:rsidRPr="00E019A9">
        <w:rPr>
          <w:sz w:val="20"/>
          <w:szCs w:val="20"/>
          <w:lang w:val="es-ES_tradnl"/>
        </w:rPr>
        <w:t>total, decisión</w:t>
      </w:r>
      <w:r w:rsidR="006469AC" w:rsidRPr="00E019A9">
        <w:rPr>
          <w:sz w:val="20"/>
          <w:szCs w:val="20"/>
          <w:lang w:val="es-ES_tradnl"/>
        </w:rPr>
        <w:t xml:space="preserve"> que fue confirmada por la Corte Marcial en octubre de 2001. Ante esta decisión</w:t>
      </w:r>
      <w:r w:rsidR="00DB676B" w:rsidRPr="00E019A9">
        <w:rPr>
          <w:sz w:val="20"/>
          <w:szCs w:val="20"/>
          <w:lang w:val="es-ES_tradnl"/>
        </w:rPr>
        <w:t>,</w:t>
      </w:r>
      <w:r w:rsidR="006469AC" w:rsidRPr="00E019A9">
        <w:rPr>
          <w:sz w:val="20"/>
          <w:szCs w:val="20"/>
          <w:lang w:val="es-ES_tradnl"/>
        </w:rPr>
        <w:t xml:space="preserve"> la cónyuge del Sr. Almendras Almendras interpuso recurso de casación, el cual fue acogido por la Corte Suprema, que, en consecuencia, ordenó la reapertura de la investigación y la remisión de los antecedentes al Tercer Juzgado del </w:t>
      </w:r>
      <w:r w:rsidR="00DB676B" w:rsidRPr="00E019A9">
        <w:rPr>
          <w:sz w:val="20"/>
          <w:szCs w:val="20"/>
          <w:lang w:val="es-ES_tradnl"/>
        </w:rPr>
        <w:t>Crimen</w:t>
      </w:r>
      <w:r w:rsidR="006469AC" w:rsidRPr="00E019A9">
        <w:rPr>
          <w:sz w:val="20"/>
          <w:szCs w:val="20"/>
          <w:lang w:val="es-ES_tradnl"/>
        </w:rPr>
        <w:t xml:space="preserve"> de Los Ángeles.</w:t>
      </w:r>
    </w:p>
    <w:p w14:paraId="1FC831F1" w14:textId="77777777" w:rsidR="006469AC" w:rsidRPr="00E019A9" w:rsidRDefault="006469AC" w:rsidP="00AC1CA8">
      <w:pPr>
        <w:pStyle w:val="ListParagraph"/>
        <w:tabs>
          <w:tab w:val="left" w:pos="567"/>
        </w:tabs>
        <w:rPr>
          <w:sz w:val="20"/>
          <w:szCs w:val="20"/>
          <w:lang w:val="es-US"/>
        </w:rPr>
      </w:pPr>
    </w:p>
    <w:p w14:paraId="5E30A957" w14:textId="77777777" w:rsidR="006469AC" w:rsidRPr="00E019A9" w:rsidRDefault="007615B9"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US"/>
        </w:rPr>
      </w:pPr>
      <w:r w:rsidRPr="00E019A9">
        <w:rPr>
          <w:sz w:val="20"/>
          <w:szCs w:val="20"/>
          <w:lang w:val="es-US"/>
        </w:rPr>
        <w:t xml:space="preserve">Informaron </w:t>
      </w:r>
      <w:r w:rsidR="006469AC" w:rsidRPr="00E019A9">
        <w:rPr>
          <w:sz w:val="20"/>
          <w:szCs w:val="20"/>
          <w:lang w:val="es-US"/>
        </w:rPr>
        <w:t xml:space="preserve">que en octubre de 2006 el magistrado instructor dictó sentencia condenando a un ex integrante de Carabineros de Chile a la pena de 10 años de presidio accesorias y sin concederle beneficio alguno por su </w:t>
      </w:r>
      <w:r w:rsidRPr="00E019A9">
        <w:rPr>
          <w:sz w:val="20"/>
          <w:szCs w:val="20"/>
          <w:lang w:val="es-US"/>
        </w:rPr>
        <w:t>participación</w:t>
      </w:r>
      <w:r w:rsidR="006469AC" w:rsidRPr="00E019A9">
        <w:rPr>
          <w:sz w:val="20"/>
          <w:szCs w:val="20"/>
          <w:lang w:val="es-US"/>
        </w:rPr>
        <w:t xml:space="preserve"> en el secuestro calificado de las presuntas </w:t>
      </w:r>
      <w:r w:rsidRPr="00E019A9">
        <w:rPr>
          <w:sz w:val="20"/>
          <w:szCs w:val="20"/>
          <w:lang w:val="es-US"/>
        </w:rPr>
        <w:t>víctimas</w:t>
      </w:r>
      <w:r w:rsidR="006469AC" w:rsidRPr="00E019A9">
        <w:rPr>
          <w:sz w:val="20"/>
          <w:szCs w:val="20"/>
          <w:lang w:val="es-US"/>
        </w:rPr>
        <w:t xml:space="preserve"> de esta </w:t>
      </w:r>
      <w:r w:rsidRPr="00E019A9">
        <w:rPr>
          <w:sz w:val="20"/>
          <w:szCs w:val="20"/>
          <w:lang w:val="es-US"/>
        </w:rPr>
        <w:t>petición</w:t>
      </w:r>
      <w:r w:rsidR="006469AC" w:rsidRPr="00E019A9">
        <w:rPr>
          <w:sz w:val="20"/>
          <w:szCs w:val="20"/>
          <w:lang w:val="es-US"/>
        </w:rPr>
        <w:t xml:space="preserve">. Posteriormente, el fallo fue confirmado por la Corte de Apelaciones de Concepción. </w:t>
      </w:r>
    </w:p>
    <w:p w14:paraId="0BDD67B1" w14:textId="77777777" w:rsidR="006469AC" w:rsidRPr="00E019A9" w:rsidRDefault="006469AC" w:rsidP="00AC1CA8">
      <w:pPr>
        <w:pStyle w:val="ListParagraph"/>
        <w:tabs>
          <w:tab w:val="left" w:pos="567"/>
        </w:tabs>
        <w:rPr>
          <w:sz w:val="20"/>
          <w:szCs w:val="20"/>
          <w:lang w:val="es-US"/>
        </w:rPr>
      </w:pPr>
    </w:p>
    <w:p w14:paraId="47DFB928" w14:textId="77777777" w:rsidR="006469AC" w:rsidRPr="00E019A9" w:rsidRDefault="007615B9"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US"/>
        </w:rPr>
      </w:pPr>
      <w:r w:rsidRPr="00E019A9">
        <w:rPr>
          <w:sz w:val="20"/>
          <w:szCs w:val="20"/>
          <w:lang w:val="es-US"/>
        </w:rPr>
        <w:t xml:space="preserve">Indicaron </w:t>
      </w:r>
      <w:r w:rsidR="00BC235F" w:rsidRPr="00E019A9">
        <w:rPr>
          <w:sz w:val="20"/>
          <w:szCs w:val="20"/>
          <w:lang w:val="es-US"/>
        </w:rPr>
        <w:t>que,</w:t>
      </w:r>
      <w:r w:rsidRPr="00E019A9">
        <w:rPr>
          <w:sz w:val="20"/>
          <w:szCs w:val="20"/>
          <w:lang w:val="es-US"/>
        </w:rPr>
        <w:t xml:space="preserve"> frente </w:t>
      </w:r>
      <w:r w:rsidR="006469AC" w:rsidRPr="00E019A9">
        <w:rPr>
          <w:sz w:val="20"/>
          <w:szCs w:val="20"/>
          <w:lang w:val="es-US"/>
        </w:rPr>
        <w:t xml:space="preserve">a esta </w:t>
      </w:r>
      <w:r w:rsidR="00BC235F" w:rsidRPr="00E019A9">
        <w:rPr>
          <w:sz w:val="20"/>
          <w:szCs w:val="20"/>
          <w:lang w:val="es-US"/>
        </w:rPr>
        <w:t>última</w:t>
      </w:r>
      <w:r w:rsidR="006469AC" w:rsidRPr="00E019A9">
        <w:rPr>
          <w:sz w:val="20"/>
          <w:szCs w:val="20"/>
          <w:lang w:val="es-US"/>
        </w:rPr>
        <w:t xml:space="preserve"> </w:t>
      </w:r>
      <w:r w:rsidRPr="00E019A9">
        <w:rPr>
          <w:sz w:val="20"/>
          <w:szCs w:val="20"/>
          <w:lang w:val="es-US"/>
        </w:rPr>
        <w:t>decisión,</w:t>
      </w:r>
      <w:r w:rsidR="006469AC" w:rsidRPr="00E019A9">
        <w:rPr>
          <w:sz w:val="20"/>
          <w:szCs w:val="20"/>
          <w:lang w:val="es-US"/>
        </w:rPr>
        <w:t xml:space="preserve"> </w:t>
      </w:r>
      <w:r w:rsidR="000F62F0" w:rsidRPr="00E019A9">
        <w:rPr>
          <w:sz w:val="20"/>
          <w:szCs w:val="20"/>
          <w:lang w:val="es-US"/>
        </w:rPr>
        <w:t>la representación del condenado interpuso recurso de casación</w:t>
      </w:r>
      <w:r w:rsidR="006469AC" w:rsidRPr="00E019A9">
        <w:rPr>
          <w:sz w:val="20"/>
          <w:szCs w:val="20"/>
          <w:lang w:val="es-US"/>
        </w:rPr>
        <w:t xml:space="preserve">, el cual </w:t>
      </w:r>
      <w:r w:rsidR="000F62F0" w:rsidRPr="00E019A9">
        <w:rPr>
          <w:sz w:val="20"/>
          <w:szCs w:val="20"/>
          <w:lang w:val="es-US"/>
        </w:rPr>
        <w:t xml:space="preserve">que fue acogido </w:t>
      </w:r>
      <w:r w:rsidR="006469AC" w:rsidRPr="00E019A9">
        <w:rPr>
          <w:sz w:val="20"/>
          <w:szCs w:val="20"/>
          <w:lang w:val="es-US"/>
        </w:rPr>
        <w:t xml:space="preserve">favorablemente </w:t>
      </w:r>
      <w:r w:rsidR="000F62F0" w:rsidRPr="00E019A9">
        <w:rPr>
          <w:sz w:val="20"/>
          <w:szCs w:val="20"/>
          <w:lang w:val="es-US"/>
        </w:rPr>
        <w:t>por la Corte Suprema</w:t>
      </w:r>
      <w:r w:rsidR="006469AC" w:rsidRPr="00E019A9">
        <w:rPr>
          <w:sz w:val="20"/>
          <w:szCs w:val="20"/>
          <w:lang w:val="es-US"/>
        </w:rPr>
        <w:t xml:space="preserve"> mediante sentencia de fecha 11 de diciembre de 2008. </w:t>
      </w:r>
      <w:r w:rsidR="00DB676B" w:rsidRPr="00E019A9">
        <w:rPr>
          <w:sz w:val="20"/>
          <w:szCs w:val="20"/>
          <w:lang w:val="es-US"/>
        </w:rPr>
        <w:t xml:space="preserve">En el fallo de reemplazo, consignaron, la Corte Suprema decidió aplicar la figura de la media </w:t>
      </w:r>
      <w:r w:rsidR="00035B24" w:rsidRPr="00E019A9">
        <w:rPr>
          <w:sz w:val="20"/>
          <w:szCs w:val="20"/>
          <w:lang w:val="es-US"/>
        </w:rPr>
        <w:t>prescripción y</w:t>
      </w:r>
      <w:r w:rsidR="00DB676B" w:rsidRPr="00E019A9">
        <w:rPr>
          <w:sz w:val="20"/>
          <w:szCs w:val="20"/>
          <w:lang w:val="es-US"/>
        </w:rPr>
        <w:t xml:space="preserve"> en consecuencia fijó en 4 años </w:t>
      </w:r>
      <w:r w:rsidR="00BC235F" w:rsidRPr="00E019A9">
        <w:rPr>
          <w:sz w:val="20"/>
          <w:szCs w:val="20"/>
          <w:lang w:val="es-US"/>
        </w:rPr>
        <w:t>más</w:t>
      </w:r>
      <w:r w:rsidR="00DB676B" w:rsidRPr="00E019A9">
        <w:rPr>
          <w:sz w:val="20"/>
          <w:szCs w:val="20"/>
          <w:lang w:val="es-US"/>
        </w:rPr>
        <w:t xml:space="preserve"> accesorias la pena impuesta al condenado. </w:t>
      </w:r>
    </w:p>
    <w:p w14:paraId="6CCF14C9" w14:textId="77777777" w:rsidR="00DB676B" w:rsidRPr="00E019A9" w:rsidRDefault="00DB676B" w:rsidP="00AC1CA8">
      <w:pPr>
        <w:pStyle w:val="ListParagraph"/>
        <w:tabs>
          <w:tab w:val="left" w:pos="567"/>
        </w:tabs>
        <w:rPr>
          <w:sz w:val="20"/>
          <w:szCs w:val="20"/>
          <w:lang w:val="es-US"/>
        </w:rPr>
      </w:pPr>
    </w:p>
    <w:p w14:paraId="5F5D5A61" w14:textId="77777777" w:rsidR="00DB676B" w:rsidRPr="00E019A9" w:rsidRDefault="00DB676B"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US"/>
        </w:rPr>
      </w:pPr>
      <w:r w:rsidRPr="00E019A9">
        <w:rPr>
          <w:sz w:val="20"/>
          <w:szCs w:val="20"/>
          <w:lang w:val="es-US"/>
        </w:rPr>
        <w:t xml:space="preserve">Los peticionarios sostuvieron que esta </w:t>
      </w:r>
      <w:r w:rsidR="007615B9" w:rsidRPr="00E019A9">
        <w:rPr>
          <w:sz w:val="20"/>
          <w:szCs w:val="20"/>
          <w:lang w:val="es-US"/>
        </w:rPr>
        <w:t>decisión</w:t>
      </w:r>
      <w:r w:rsidRPr="00E019A9">
        <w:rPr>
          <w:sz w:val="20"/>
          <w:szCs w:val="20"/>
          <w:lang w:val="es-US"/>
        </w:rPr>
        <w:t xml:space="preserve"> de la Corte Suprema es violatoria del </w:t>
      </w:r>
      <w:r w:rsidRPr="00E019A9">
        <w:rPr>
          <w:sz w:val="20"/>
          <w:szCs w:val="20"/>
          <w:lang w:val="es-ES_tradnl"/>
        </w:rPr>
        <w:t>artículo 8.1 de la Convención en lo que se refiere al principio del juez natural y competente debido a que el mencionado tribunal solo tendría facultades para conocer eventuales errores de derecho cometidos por los tribunales inferiores y no para conocer respecto de los hechos. Asimismo, alegaron que la aplicación de la figura de la media prescripción y la consiguiente rebaja en el monto de la pena impuesta al único</w:t>
      </w:r>
      <w:r w:rsidR="005D76A8" w:rsidRPr="00E019A9">
        <w:rPr>
          <w:sz w:val="20"/>
          <w:szCs w:val="20"/>
          <w:lang w:val="es-ES_tradnl"/>
        </w:rPr>
        <w:t xml:space="preserve"> </w:t>
      </w:r>
      <w:r w:rsidRPr="00E019A9">
        <w:rPr>
          <w:sz w:val="20"/>
          <w:szCs w:val="20"/>
          <w:lang w:val="es-ES_tradnl"/>
        </w:rPr>
        <w:t>condenado</w:t>
      </w:r>
      <w:r w:rsidR="005D76A8" w:rsidRPr="00E019A9">
        <w:rPr>
          <w:sz w:val="20"/>
          <w:szCs w:val="20"/>
          <w:lang w:val="es-ES_tradnl"/>
        </w:rPr>
        <w:t xml:space="preserve"> </w:t>
      </w:r>
      <w:r w:rsidRPr="00E019A9">
        <w:rPr>
          <w:sz w:val="20"/>
          <w:szCs w:val="20"/>
          <w:lang w:val="es-ES_tradnl"/>
        </w:rPr>
        <w:t xml:space="preserve">generó la responsabilidad internacional del Estado por violación de su deber de prevenir, investigar y sancionar adecuadamente los delitos de lesa humanidad cometidos en contra de las </w:t>
      </w:r>
      <w:r w:rsidR="00BC235F" w:rsidRPr="00E019A9">
        <w:rPr>
          <w:sz w:val="20"/>
          <w:szCs w:val="20"/>
          <w:lang w:val="es-ES_tradnl"/>
        </w:rPr>
        <w:t>víctimas</w:t>
      </w:r>
      <w:r w:rsidRPr="00E019A9">
        <w:rPr>
          <w:sz w:val="20"/>
          <w:szCs w:val="20"/>
          <w:lang w:val="es-ES_tradnl"/>
        </w:rPr>
        <w:t xml:space="preserve">. </w:t>
      </w:r>
    </w:p>
    <w:p w14:paraId="1B6122B8" w14:textId="77777777" w:rsidR="005D76A8" w:rsidRPr="00E019A9" w:rsidRDefault="005D76A8" w:rsidP="005D76A8">
      <w:pPr>
        <w:pStyle w:val="ListParagraph"/>
        <w:rPr>
          <w:sz w:val="20"/>
          <w:szCs w:val="20"/>
          <w:lang w:val="es-US"/>
        </w:rPr>
      </w:pPr>
    </w:p>
    <w:p w14:paraId="787D9A66" w14:textId="77777777" w:rsidR="005D76A8" w:rsidRPr="00E019A9" w:rsidRDefault="005D76A8" w:rsidP="005D76A8">
      <w:pPr>
        <w:ind w:left="709" w:right="288"/>
        <w:jc w:val="both"/>
        <w:rPr>
          <w:rFonts w:asciiTheme="majorHAnsi" w:hAnsiTheme="majorHAnsi" w:cs="Calibri"/>
          <w:b/>
          <w:bCs/>
          <w:sz w:val="20"/>
          <w:szCs w:val="20"/>
          <w:lang w:val="es-US"/>
        </w:rPr>
      </w:pPr>
      <w:r w:rsidRPr="00E019A9">
        <w:rPr>
          <w:rFonts w:asciiTheme="majorHAnsi" w:hAnsiTheme="majorHAnsi" w:cs="Calibri"/>
          <w:b/>
          <w:bCs/>
          <w:sz w:val="20"/>
          <w:szCs w:val="20"/>
          <w:lang w:val="es-US"/>
        </w:rPr>
        <w:t>Alega</w:t>
      </w:r>
      <w:r w:rsidR="007615B9" w:rsidRPr="00E019A9">
        <w:rPr>
          <w:rFonts w:asciiTheme="majorHAnsi" w:hAnsiTheme="majorHAnsi" w:cs="Calibri"/>
          <w:b/>
          <w:bCs/>
          <w:sz w:val="20"/>
          <w:szCs w:val="20"/>
          <w:lang w:val="es-US"/>
        </w:rPr>
        <w:t>t</w:t>
      </w:r>
      <w:r w:rsidRPr="00E019A9">
        <w:rPr>
          <w:rFonts w:asciiTheme="majorHAnsi" w:hAnsiTheme="majorHAnsi" w:cs="Calibri"/>
          <w:b/>
          <w:bCs/>
          <w:sz w:val="20"/>
          <w:szCs w:val="20"/>
          <w:lang w:val="es-US"/>
        </w:rPr>
        <w:t xml:space="preserve">os presentados por los peticionarios de la </w:t>
      </w:r>
      <w:r w:rsidR="007615B9" w:rsidRPr="00E019A9">
        <w:rPr>
          <w:rFonts w:asciiTheme="majorHAnsi" w:hAnsiTheme="majorHAnsi" w:cs="Calibri"/>
          <w:b/>
          <w:bCs/>
          <w:sz w:val="20"/>
          <w:szCs w:val="20"/>
          <w:lang w:val="es-US"/>
        </w:rPr>
        <w:t>petición</w:t>
      </w:r>
      <w:r w:rsidRPr="00E019A9">
        <w:rPr>
          <w:rFonts w:asciiTheme="majorHAnsi" w:hAnsiTheme="majorHAnsi" w:cs="Calibri"/>
          <w:b/>
          <w:bCs/>
          <w:sz w:val="20"/>
          <w:szCs w:val="20"/>
          <w:lang w:val="es-US"/>
        </w:rPr>
        <w:t xml:space="preserve"> interpuesta en representación de Eugenio Iván Montti Cordero y Carmen Margarita Díaz Darricarrere, y sus respectivos familiares y registrada inicialmente por la </w:t>
      </w:r>
      <w:r w:rsidR="00035B24" w:rsidRPr="00E019A9">
        <w:rPr>
          <w:rFonts w:asciiTheme="majorHAnsi" w:hAnsiTheme="majorHAnsi" w:cs="Calibri"/>
          <w:b/>
          <w:bCs/>
          <w:sz w:val="20"/>
          <w:szCs w:val="20"/>
          <w:lang w:val="es-US"/>
        </w:rPr>
        <w:t>Comisión bajo</w:t>
      </w:r>
      <w:r w:rsidRPr="00E019A9">
        <w:rPr>
          <w:rFonts w:asciiTheme="majorHAnsi" w:hAnsiTheme="majorHAnsi" w:cs="Calibri"/>
          <w:b/>
          <w:bCs/>
          <w:sz w:val="20"/>
          <w:szCs w:val="20"/>
          <w:lang w:val="es-US"/>
        </w:rPr>
        <w:t xml:space="preserve"> el número P 798-09.</w:t>
      </w:r>
    </w:p>
    <w:p w14:paraId="059925AE" w14:textId="77777777" w:rsidR="005D76A8" w:rsidRPr="00E019A9" w:rsidRDefault="005D76A8" w:rsidP="00AC1CA8">
      <w:pPr>
        <w:tabs>
          <w:tab w:val="left" w:pos="567"/>
        </w:tabs>
        <w:jc w:val="both"/>
        <w:rPr>
          <w:rFonts w:asciiTheme="majorHAnsi" w:hAnsiTheme="majorHAnsi" w:cs="Calibri"/>
          <w:b/>
          <w:bCs/>
          <w:sz w:val="20"/>
          <w:szCs w:val="20"/>
          <w:lang w:val="es-US"/>
        </w:rPr>
      </w:pPr>
    </w:p>
    <w:p w14:paraId="5F4749F8" w14:textId="77777777" w:rsidR="005D76A8" w:rsidRPr="00E019A9" w:rsidRDefault="005D76A8"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rFonts w:asciiTheme="majorHAnsi" w:hAnsiTheme="majorHAnsi" w:cs="Calibri"/>
          <w:bCs/>
          <w:sz w:val="20"/>
          <w:szCs w:val="20"/>
          <w:lang w:val="es-US"/>
        </w:rPr>
      </w:pPr>
      <w:r w:rsidRPr="00E019A9">
        <w:rPr>
          <w:rFonts w:asciiTheme="majorHAnsi" w:hAnsiTheme="majorHAnsi" w:cs="Calibri"/>
          <w:bCs/>
          <w:sz w:val="20"/>
          <w:szCs w:val="20"/>
          <w:lang w:val="es-US"/>
        </w:rPr>
        <w:t xml:space="preserve">Los peticionarios relataron que en horas de la mañana del 13 de febrero de 1975 Eugenio Iván Montti Cordero y Carmen Margarita Díaz Darricarrere fueron detenidos en plena vía pública por miembros de la Dirección de Inteligencia Nacional (DINA) sin orden judicial. Acto seguido, fueron trasladados al recinto secreto de detención y tortura de Villa Grimaldi ubicado en la comuna de Peñalolén, Región Metropolitana de Santiago. Los peticionarios agregaron que entre el 27 y 28 de febrero, los detenidos fueron sacados de Villa Grimaldi sin que hasta la fecha se tenga conocimiento de sus paraderos. </w:t>
      </w:r>
      <w:r w:rsidRPr="00E019A9">
        <w:rPr>
          <w:rFonts w:asciiTheme="majorHAnsi" w:hAnsiTheme="majorHAnsi"/>
          <w:sz w:val="20"/>
          <w:szCs w:val="20"/>
          <w:lang w:val="es-US"/>
        </w:rPr>
        <w:t>Según expresaron los peticionarios, la detención fue producto de la</w:t>
      </w:r>
      <w:r w:rsidR="008659AD" w:rsidRPr="00E019A9">
        <w:rPr>
          <w:rFonts w:asciiTheme="majorHAnsi" w:hAnsiTheme="majorHAnsi"/>
          <w:sz w:val="20"/>
          <w:szCs w:val="20"/>
          <w:lang w:val="es-US"/>
        </w:rPr>
        <w:t xml:space="preserve"> </w:t>
      </w:r>
      <w:r w:rsidR="00035B24" w:rsidRPr="00E019A9">
        <w:rPr>
          <w:rFonts w:asciiTheme="majorHAnsi" w:hAnsiTheme="majorHAnsi"/>
          <w:sz w:val="20"/>
          <w:szCs w:val="20"/>
          <w:lang w:val="es-US"/>
        </w:rPr>
        <w:t>persecución</w:t>
      </w:r>
      <w:r w:rsidR="008659AD" w:rsidRPr="00E019A9">
        <w:rPr>
          <w:rFonts w:asciiTheme="majorHAnsi" w:hAnsiTheme="majorHAnsi"/>
          <w:sz w:val="20"/>
          <w:szCs w:val="20"/>
          <w:lang w:val="es-US"/>
        </w:rPr>
        <w:t xml:space="preserve"> </w:t>
      </w:r>
      <w:r w:rsidR="00035B24" w:rsidRPr="00E019A9">
        <w:rPr>
          <w:rFonts w:asciiTheme="majorHAnsi" w:hAnsiTheme="majorHAnsi"/>
          <w:sz w:val="20"/>
          <w:szCs w:val="20"/>
          <w:lang w:val="es-US"/>
        </w:rPr>
        <w:t>realizada en</w:t>
      </w:r>
      <w:r w:rsidRPr="00E019A9">
        <w:rPr>
          <w:rFonts w:asciiTheme="majorHAnsi" w:hAnsiTheme="majorHAnsi"/>
          <w:sz w:val="20"/>
          <w:szCs w:val="20"/>
          <w:lang w:val="es-US"/>
        </w:rPr>
        <w:t xml:space="preserve"> contra de los miembros del Movimiento Izquierda Revolucionaria </w:t>
      </w:r>
      <w:r w:rsidR="008659AD" w:rsidRPr="00E019A9">
        <w:rPr>
          <w:rFonts w:asciiTheme="majorHAnsi" w:hAnsiTheme="majorHAnsi"/>
          <w:sz w:val="20"/>
          <w:szCs w:val="20"/>
          <w:lang w:val="es-US"/>
        </w:rPr>
        <w:t xml:space="preserve">al que </w:t>
      </w:r>
      <w:r w:rsidR="007615B9" w:rsidRPr="00E019A9">
        <w:rPr>
          <w:rFonts w:asciiTheme="majorHAnsi" w:hAnsiTheme="majorHAnsi"/>
          <w:sz w:val="20"/>
          <w:szCs w:val="20"/>
          <w:lang w:val="es-US"/>
        </w:rPr>
        <w:t>pertenecían</w:t>
      </w:r>
      <w:r w:rsidR="008659AD" w:rsidRPr="00E019A9">
        <w:rPr>
          <w:rFonts w:asciiTheme="majorHAnsi" w:hAnsiTheme="majorHAnsi"/>
          <w:sz w:val="20"/>
          <w:szCs w:val="20"/>
          <w:lang w:val="es-US"/>
        </w:rPr>
        <w:t xml:space="preserve"> </w:t>
      </w:r>
      <w:r w:rsidRPr="00E019A9">
        <w:rPr>
          <w:rFonts w:asciiTheme="majorHAnsi" w:hAnsiTheme="majorHAnsi"/>
          <w:sz w:val="20"/>
          <w:szCs w:val="20"/>
          <w:lang w:val="es-US"/>
        </w:rPr>
        <w:t xml:space="preserve">los detenidos. </w:t>
      </w:r>
    </w:p>
    <w:p w14:paraId="4CED8D0E" w14:textId="77777777" w:rsidR="005D76A8" w:rsidRPr="00E019A9" w:rsidRDefault="005D76A8" w:rsidP="00AC1CA8">
      <w:pPr>
        <w:pStyle w:val="ListParagraph"/>
        <w:tabs>
          <w:tab w:val="left" w:pos="567"/>
        </w:tabs>
        <w:jc w:val="both"/>
        <w:rPr>
          <w:rFonts w:asciiTheme="majorHAnsi" w:hAnsiTheme="majorHAnsi" w:cs="Calibri"/>
          <w:bCs/>
          <w:sz w:val="20"/>
          <w:szCs w:val="20"/>
          <w:lang w:val="es-US"/>
        </w:rPr>
      </w:pPr>
    </w:p>
    <w:p w14:paraId="50492362" w14:textId="77777777" w:rsidR="005D76A8" w:rsidRPr="00E019A9" w:rsidRDefault="007615B9"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rFonts w:asciiTheme="majorHAnsi" w:hAnsiTheme="majorHAnsi" w:cs="Calibri"/>
          <w:bCs/>
          <w:sz w:val="20"/>
          <w:szCs w:val="20"/>
          <w:lang w:val="es-US"/>
        </w:rPr>
      </w:pPr>
      <w:r w:rsidRPr="00E019A9">
        <w:rPr>
          <w:rFonts w:asciiTheme="majorHAnsi" w:hAnsiTheme="majorHAnsi"/>
          <w:sz w:val="20"/>
          <w:szCs w:val="20"/>
          <w:lang w:val="es-ES_tradnl"/>
        </w:rPr>
        <w:t>Indicaron que</w:t>
      </w:r>
      <w:r w:rsidR="005D76A8" w:rsidRPr="00E019A9">
        <w:rPr>
          <w:rFonts w:asciiTheme="majorHAnsi" w:hAnsiTheme="majorHAnsi"/>
          <w:sz w:val="20"/>
          <w:szCs w:val="20"/>
          <w:lang w:val="es-ES_tradnl"/>
        </w:rPr>
        <w:t xml:space="preserve"> </w:t>
      </w:r>
      <w:r w:rsidR="008659AD" w:rsidRPr="00E019A9">
        <w:rPr>
          <w:rFonts w:asciiTheme="majorHAnsi" w:hAnsiTheme="majorHAnsi"/>
          <w:sz w:val="20"/>
          <w:szCs w:val="20"/>
          <w:lang w:val="es-ES_tradnl"/>
        </w:rPr>
        <w:t>las</w:t>
      </w:r>
      <w:r w:rsidR="005D76A8" w:rsidRPr="00E019A9">
        <w:rPr>
          <w:rFonts w:asciiTheme="majorHAnsi" w:hAnsiTheme="majorHAnsi"/>
          <w:sz w:val="20"/>
          <w:szCs w:val="20"/>
          <w:lang w:val="es-ES_tradnl"/>
        </w:rPr>
        <w:t xml:space="preserve"> diversas gestiones judiciales </w:t>
      </w:r>
      <w:r w:rsidR="008659AD" w:rsidRPr="00E019A9">
        <w:rPr>
          <w:rFonts w:asciiTheme="majorHAnsi" w:hAnsiTheme="majorHAnsi"/>
          <w:sz w:val="20"/>
          <w:szCs w:val="20"/>
          <w:lang w:val="es-ES_tradnl"/>
        </w:rPr>
        <w:t xml:space="preserve">iniciadas </w:t>
      </w:r>
      <w:r w:rsidR="005D76A8" w:rsidRPr="00E019A9">
        <w:rPr>
          <w:rFonts w:asciiTheme="majorHAnsi" w:hAnsiTheme="majorHAnsi"/>
          <w:sz w:val="20"/>
          <w:szCs w:val="20"/>
          <w:lang w:val="es-ES_tradnl"/>
        </w:rPr>
        <w:t xml:space="preserve">por parte de los familiares de </w:t>
      </w:r>
      <w:r w:rsidR="008659AD" w:rsidRPr="00E019A9">
        <w:rPr>
          <w:rFonts w:asciiTheme="majorHAnsi" w:hAnsiTheme="majorHAnsi"/>
          <w:sz w:val="20"/>
          <w:szCs w:val="20"/>
          <w:lang w:val="es-ES_tradnl"/>
        </w:rPr>
        <w:t xml:space="preserve">las </w:t>
      </w:r>
      <w:r w:rsidR="00035B24" w:rsidRPr="00E019A9">
        <w:rPr>
          <w:rFonts w:asciiTheme="majorHAnsi" w:hAnsiTheme="majorHAnsi"/>
          <w:sz w:val="20"/>
          <w:szCs w:val="20"/>
          <w:lang w:val="es-ES_tradnl"/>
        </w:rPr>
        <w:t>víctimas en</w:t>
      </w:r>
      <w:r w:rsidR="008659AD" w:rsidRPr="00E019A9">
        <w:rPr>
          <w:rFonts w:asciiTheme="majorHAnsi" w:hAnsiTheme="majorHAnsi"/>
          <w:sz w:val="20"/>
          <w:szCs w:val="20"/>
          <w:lang w:val="es-ES_tradnl"/>
        </w:rPr>
        <w:t xml:space="preserve"> los días posteriores al secuestro </w:t>
      </w:r>
      <w:r w:rsidR="005D76A8" w:rsidRPr="00E019A9">
        <w:rPr>
          <w:rFonts w:asciiTheme="majorHAnsi" w:hAnsiTheme="majorHAnsi"/>
          <w:sz w:val="20"/>
          <w:szCs w:val="20"/>
          <w:lang w:val="es-ES_tradnl"/>
        </w:rPr>
        <w:t xml:space="preserve">culminaron </w:t>
      </w:r>
      <w:r w:rsidR="008659AD" w:rsidRPr="00E019A9">
        <w:rPr>
          <w:rFonts w:asciiTheme="majorHAnsi" w:hAnsiTheme="majorHAnsi"/>
          <w:sz w:val="20"/>
          <w:szCs w:val="20"/>
          <w:lang w:val="es-ES_tradnl"/>
        </w:rPr>
        <w:t xml:space="preserve">con una decisión de </w:t>
      </w:r>
      <w:r w:rsidR="005D76A8" w:rsidRPr="00E019A9">
        <w:rPr>
          <w:rFonts w:asciiTheme="majorHAnsi" w:hAnsiTheme="majorHAnsi"/>
          <w:sz w:val="20"/>
          <w:szCs w:val="20"/>
          <w:lang w:val="es-ES_tradnl"/>
        </w:rPr>
        <w:t>sobreseimiento de las causas</w:t>
      </w:r>
      <w:r w:rsidR="008659AD" w:rsidRPr="00E019A9">
        <w:rPr>
          <w:rFonts w:asciiTheme="majorHAnsi" w:hAnsiTheme="majorHAnsi"/>
          <w:sz w:val="20"/>
          <w:szCs w:val="20"/>
          <w:lang w:val="es-ES_tradnl"/>
        </w:rPr>
        <w:t xml:space="preserve">. Recién en enero de 1998, prosiguieron su relato, se abrió una investigación judicial y en noviembre de 2003 se vinculó a proceso a algunos ex miembros de la DINA. En diciembre de 2006, informaron, se dictó sentencia condenatoria de primera instancia. </w:t>
      </w:r>
    </w:p>
    <w:p w14:paraId="20DF4384" w14:textId="77777777" w:rsidR="008659AD" w:rsidRPr="00E019A9" w:rsidRDefault="008659AD" w:rsidP="00AC1CA8">
      <w:pPr>
        <w:pStyle w:val="ListParagraph"/>
        <w:tabs>
          <w:tab w:val="left" w:pos="567"/>
        </w:tabs>
        <w:rPr>
          <w:rFonts w:asciiTheme="majorHAnsi" w:hAnsiTheme="majorHAnsi" w:cs="Calibri"/>
          <w:bCs/>
          <w:sz w:val="20"/>
          <w:szCs w:val="20"/>
          <w:lang w:val="es-US"/>
        </w:rPr>
      </w:pPr>
    </w:p>
    <w:p w14:paraId="302DDB6C" w14:textId="77777777" w:rsidR="008659AD" w:rsidRPr="00E019A9" w:rsidRDefault="00D74A50"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rFonts w:asciiTheme="majorHAnsi" w:hAnsiTheme="majorHAnsi" w:cs="Calibri"/>
          <w:bCs/>
          <w:sz w:val="20"/>
          <w:szCs w:val="20"/>
          <w:lang w:val="es-US"/>
        </w:rPr>
      </w:pPr>
      <w:r w:rsidRPr="00E019A9">
        <w:rPr>
          <w:rFonts w:asciiTheme="majorHAnsi" w:hAnsiTheme="majorHAnsi" w:cs="Calibri"/>
          <w:bCs/>
          <w:sz w:val="20"/>
          <w:szCs w:val="20"/>
          <w:lang w:val="es-US"/>
        </w:rPr>
        <w:t>R</w:t>
      </w:r>
      <w:r w:rsidR="008659AD" w:rsidRPr="00E019A9">
        <w:rPr>
          <w:rFonts w:asciiTheme="majorHAnsi" w:hAnsiTheme="majorHAnsi" w:cs="Calibri"/>
          <w:bCs/>
          <w:sz w:val="20"/>
          <w:szCs w:val="20"/>
          <w:lang w:val="es-US"/>
        </w:rPr>
        <w:t xml:space="preserve">efirieron que en enero de 2008 la Corte de Apelaciones de Santiago rechazo los recursos de </w:t>
      </w:r>
      <w:r w:rsidR="007615B9" w:rsidRPr="00E019A9">
        <w:rPr>
          <w:rFonts w:asciiTheme="majorHAnsi" w:hAnsiTheme="majorHAnsi" w:cs="Calibri"/>
          <w:bCs/>
          <w:sz w:val="20"/>
          <w:szCs w:val="20"/>
          <w:lang w:val="es-US"/>
        </w:rPr>
        <w:t>apelación</w:t>
      </w:r>
      <w:r w:rsidR="008659AD" w:rsidRPr="00E019A9">
        <w:rPr>
          <w:rFonts w:asciiTheme="majorHAnsi" w:hAnsiTheme="majorHAnsi" w:cs="Calibri"/>
          <w:bCs/>
          <w:sz w:val="20"/>
          <w:szCs w:val="20"/>
          <w:lang w:val="es-US"/>
        </w:rPr>
        <w:t xml:space="preserve"> interpuestos por los condenados, pero que, en diciembre de 2008, la Corte Suprema acogió favorablemente los recursos de </w:t>
      </w:r>
      <w:r w:rsidR="007615B9" w:rsidRPr="00E019A9">
        <w:rPr>
          <w:rFonts w:asciiTheme="majorHAnsi" w:hAnsiTheme="majorHAnsi" w:cs="Calibri"/>
          <w:bCs/>
          <w:sz w:val="20"/>
          <w:szCs w:val="20"/>
          <w:lang w:val="es-US"/>
        </w:rPr>
        <w:t>casación</w:t>
      </w:r>
      <w:r w:rsidR="008659AD" w:rsidRPr="00E019A9">
        <w:rPr>
          <w:rFonts w:asciiTheme="majorHAnsi" w:hAnsiTheme="majorHAnsi" w:cs="Calibri"/>
          <w:bCs/>
          <w:sz w:val="20"/>
          <w:szCs w:val="20"/>
          <w:lang w:val="es-US"/>
        </w:rPr>
        <w:t xml:space="preserve"> y anuló de oficio los pronunciamientos de los tribunales inferiores. En esta </w:t>
      </w:r>
      <w:r w:rsidR="00245F06" w:rsidRPr="00E019A9">
        <w:rPr>
          <w:rFonts w:asciiTheme="majorHAnsi" w:hAnsiTheme="majorHAnsi" w:cs="Calibri"/>
          <w:bCs/>
          <w:sz w:val="20"/>
          <w:szCs w:val="20"/>
          <w:lang w:val="es-US"/>
        </w:rPr>
        <w:t>última</w:t>
      </w:r>
      <w:r w:rsidR="008659AD" w:rsidRPr="00E019A9">
        <w:rPr>
          <w:rFonts w:asciiTheme="majorHAnsi" w:hAnsiTheme="majorHAnsi" w:cs="Calibri"/>
          <w:bCs/>
          <w:sz w:val="20"/>
          <w:szCs w:val="20"/>
          <w:lang w:val="es-US"/>
        </w:rPr>
        <w:t xml:space="preserve"> sentencia, agregaron, la Corte Suprema redujo el monto de pena impuesto a los condenados por la aplicación de la figura de la </w:t>
      </w:r>
      <w:r w:rsidR="007615B9" w:rsidRPr="00E019A9">
        <w:rPr>
          <w:rFonts w:asciiTheme="majorHAnsi" w:hAnsiTheme="majorHAnsi" w:cs="Calibri"/>
          <w:bCs/>
          <w:sz w:val="20"/>
          <w:szCs w:val="20"/>
          <w:lang w:val="es-US"/>
        </w:rPr>
        <w:t>prescripción</w:t>
      </w:r>
      <w:r w:rsidR="008659AD" w:rsidRPr="00E019A9">
        <w:rPr>
          <w:rFonts w:asciiTheme="majorHAnsi" w:hAnsiTheme="majorHAnsi" w:cs="Calibri"/>
          <w:bCs/>
          <w:sz w:val="20"/>
          <w:szCs w:val="20"/>
          <w:lang w:val="es-US"/>
        </w:rPr>
        <w:t xml:space="preserve"> gradual y les otorg</w:t>
      </w:r>
      <w:r w:rsidR="007615B9" w:rsidRPr="00E019A9">
        <w:rPr>
          <w:rFonts w:asciiTheme="majorHAnsi" w:hAnsiTheme="majorHAnsi" w:cs="Calibri"/>
          <w:bCs/>
          <w:sz w:val="20"/>
          <w:szCs w:val="20"/>
          <w:lang w:val="es-US"/>
        </w:rPr>
        <w:t>ó</w:t>
      </w:r>
      <w:r w:rsidR="008659AD" w:rsidRPr="00E019A9">
        <w:rPr>
          <w:rFonts w:asciiTheme="majorHAnsi" w:hAnsiTheme="majorHAnsi" w:cs="Calibri"/>
          <w:bCs/>
          <w:sz w:val="20"/>
          <w:szCs w:val="20"/>
          <w:lang w:val="es-US"/>
        </w:rPr>
        <w:t xml:space="preserve"> los beneficios de </w:t>
      </w:r>
      <w:r w:rsidR="007615B9" w:rsidRPr="00E019A9">
        <w:rPr>
          <w:rFonts w:asciiTheme="majorHAnsi" w:hAnsiTheme="majorHAnsi" w:cs="Calibri"/>
          <w:bCs/>
          <w:sz w:val="20"/>
          <w:szCs w:val="20"/>
          <w:lang w:val="es-US"/>
        </w:rPr>
        <w:t>remisión</w:t>
      </w:r>
      <w:r w:rsidR="008659AD" w:rsidRPr="00E019A9">
        <w:rPr>
          <w:rFonts w:asciiTheme="majorHAnsi" w:hAnsiTheme="majorHAnsi" w:cs="Calibri"/>
          <w:bCs/>
          <w:sz w:val="20"/>
          <w:szCs w:val="20"/>
          <w:lang w:val="es-US"/>
        </w:rPr>
        <w:t xml:space="preserve"> condicional de la pena y de libertad vigilada. </w:t>
      </w:r>
    </w:p>
    <w:p w14:paraId="6A47881D" w14:textId="77777777" w:rsidR="008F4659" w:rsidRPr="00E019A9" w:rsidRDefault="008F4659" w:rsidP="00AC1CA8">
      <w:pPr>
        <w:pStyle w:val="ListParagraph"/>
        <w:tabs>
          <w:tab w:val="left" w:pos="567"/>
        </w:tabs>
        <w:rPr>
          <w:rFonts w:asciiTheme="majorHAnsi" w:hAnsiTheme="majorHAnsi" w:cs="Calibri"/>
          <w:bCs/>
          <w:sz w:val="20"/>
          <w:szCs w:val="20"/>
          <w:lang w:val="es-US"/>
        </w:rPr>
      </w:pPr>
    </w:p>
    <w:p w14:paraId="553D9E1F" w14:textId="77777777" w:rsidR="008F4659" w:rsidRPr="00E019A9" w:rsidRDefault="00D74A50"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rFonts w:asciiTheme="majorHAnsi" w:hAnsiTheme="majorHAnsi" w:cs="Calibri"/>
          <w:bCs/>
          <w:sz w:val="20"/>
          <w:szCs w:val="20"/>
          <w:lang w:val="es-US"/>
        </w:rPr>
      </w:pPr>
      <w:r w:rsidRPr="00E019A9">
        <w:rPr>
          <w:rFonts w:asciiTheme="majorHAnsi" w:hAnsiTheme="majorHAnsi" w:cs="Calibri"/>
          <w:bCs/>
          <w:sz w:val="20"/>
          <w:szCs w:val="20"/>
          <w:lang w:val="es-US"/>
        </w:rPr>
        <w:t>S</w:t>
      </w:r>
      <w:r w:rsidR="008F4659" w:rsidRPr="00E019A9">
        <w:rPr>
          <w:rFonts w:asciiTheme="majorHAnsi" w:hAnsiTheme="majorHAnsi" w:cs="Calibri"/>
          <w:bCs/>
          <w:sz w:val="20"/>
          <w:szCs w:val="20"/>
          <w:lang w:val="es-US"/>
        </w:rPr>
        <w:t xml:space="preserve">ostuvieron que esta </w:t>
      </w:r>
      <w:r w:rsidR="007615B9" w:rsidRPr="00E019A9">
        <w:rPr>
          <w:rFonts w:asciiTheme="majorHAnsi" w:hAnsiTheme="majorHAnsi" w:cs="Calibri"/>
          <w:bCs/>
          <w:sz w:val="20"/>
          <w:szCs w:val="20"/>
          <w:lang w:val="es-US"/>
        </w:rPr>
        <w:t>decisión</w:t>
      </w:r>
      <w:r w:rsidR="008F4659" w:rsidRPr="00E019A9">
        <w:rPr>
          <w:rFonts w:asciiTheme="majorHAnsi" w:hAnsiTheme="majorHAnsi" w:cs="Calibri"/>
          <w:bCs/>
          <w:sz w:val="20"/>
          <w:szCs w:val="20"/>
          <w:lang w:val="es-US"/>
        </w:rPr>
        <w:t xml:space="preserve"> de la Corte Suprema representa una </w:t>
      </w:r>
      <w:r w:rsidR="007615B9" w:rsidRPr="00E019A9">
        <w:rPr>
          <w:rFonts w:asciiTheme="majorHAnsi" w:hAnsiTheme="majorHAnsi" w:cs="Calibri"/>
          <w:bCs/>
          <w:sz w:val="20"/>
          <w:szCs w:val="20"/>
          <w:lang w:val="es-US"/>
        </w:rPr>
        <w:t>violación</w:t>
      </w:r>
      <w:r w:rsidR="008F4659" w:rsidRPr="00E019A9">
        <w:rPr>
          <w:rFonts w:asciiTheme="majorHAnsi" w:hAnsiTheme="majorHAnsi" w:cs="Calibri"/>
          <w:bCs/>
          <w:sz w:val="20"/>
          <w:szCs w:val="20"/>
          <w:lang w:val="es-US"/>
        </w:rPr>
        <w:t xml:space="preserve"> del deber del Estado chileno de sancionar adecuadamente los delitos de lesa humanidad cometidos por sus agentes, el cual se deriva de los </w:t>
      </w:r>
      <w:r w:rsidR="007615B9" w:rsidRPr="00E019A9">
        <w:rPr>
          <w:rFonts w:asciiTheme="majorHAnsi" w:hAnsiTheme="majorHAnsi" w:cs="Calibri"/>
          <w:bCs/>
          <w:sz w:val="20"/>
          <w:szCs w:val="20"/>
          <w:lang w:val="es-US"/>
        </w:rPr>
        <w:t>artículos</w:t>
      </w:r>
      <w:r w:rsidR="008F4659" w:rsidRPr="00E019A9">
        <w:rPr>
          <w:rFonts w:asciiTheme="majorHAnsi" w:hAnsiTheme="majorHAnsi" w:cs="Calibri"/>
          <w:bCs/>
          <w:sz w:val="20"/>
          <w:szCs w:val="20"/>
          <w:lang w:val="es-US"/>
        </w:rPr>
        <w:t xml:space="preserve"> 1.1 y 8 de la </w:t>
      </w:r>
      <w:r w:rsidR="007615B9" w:rsidRPr="00E019A9">
        <w:rPr>
          <w:rFonts w:asciiTheme="majorHAnsi" w:hAnsiTheme="majorHAnsi" w:cs="Calibri"/>
          <w:bCs/>
          <w:sz w:val="20"/>
          <w:szCs w:val="20"/>
          <w:lang w:val="es-US"/>
        </w:rPr>
        <w:t>Convención</w:t>
      </w:r>
      <w:r w:rsidR="008F4659" w:rsidRPr="00E019A9">
        <w:rPr>
          <w:rFonts w:asciiTheme="majorHAnsi" w:hAnsiTheme="majorHAnsi" w:cs="Calibri"/>
          <w:bCs/>
          <w:sz w:val="20"/>
          <w:szCs w:val="20"/>
          <w:lang w:val="es-US"/>
        </w:rPr>
        <w:t xml:space="preserve">.  En este sentido, los peticionarios afirmaron que el delito del que fueron </w:t>
      </w:r>
      <w:r w:rsidR="00BC235F" w:rsidRPr="00E019A9">
        <w:rPr>
          <w:rFonts w:asciiTheme="majorHAnsi" w:hAnsiTheme="majorHAnsi" w:cs="Calibri"/>
          <w:bCs/>
          <w:sz w:val="20"/>
          <w:szCs w:val="20"/>
          <w:lang w:val="es-US"/>
        </w:rPr>
        <w:lastRenderedPageBreak/>
        <w:t>víctimas</w:t>
      </w:r>
      <w:r w:rsidR="008F4659" w:rsidRPr="00E019A9">
        <w:rPr>
          <w:rFonts w:asciiTheme="majorHAnsi" w:hAnsiTheme="majorHAnsi" w:cs="Calibri"/>
          <w:bCs/>
          <w:sz w:val="20"/>
          <w:szCs w:val="20"/>
          <w:lang w:val="es-US"/>
        </w:rPr>
        <w:t xml:space="preserve"> el Sr. Montti Cordero y la Sra. Díaz Darricarrere resulta de carácter permanente por lo que resulta imposible fijar el inicio del plazo de </w:t>
      </w:r>
      <w:r w:rsidR="007615B9" w:rsidRPr="00E019A9">
        <w:rPr>
          <w:rFonts w:asciiTheme="majorHAnsi" w:hAnsiTheme="majorHAnsi" w:cs="Calibri"/>
          <w:bCs/>
          <w:sz w:val="20"/>
          <w:szCs w:val="20"/>
          <w:lang w:val="es-US"/>
        </w:rPr>
        <w:t>prescripción</w:t>
      </w:r>
      <w:r w:rsidR="008F4659" w:rsidRPr="00E019A9">
        <w:rPr>
          <w:rFonts w:asciiTheme="majorHAnsi" w:hAnsiTheme="majorHAnsi" w:cs="Calibri"/>
          <w:bCs/>
          <w:sz w:val="20"/>
          <w:szCs w:val="20"/>
          <w:lang w:val="es-US"/>
        </w:rPr>
        <w:t>.</w:t>
      </w:r>
      <w:r w:rsidR="008F4659" w:rsidRPr="00E019A9">
        <w:rPr>
          <w:rFonts w:asciiTheme="majorHAnsi" w:hAnsiTheme="majorHAnsi" w:cs="Calibri"/>
          <w:b/>
          <w:bCs/>
          <w:sz w:val="20"/>
          <w:szCs w:val="20"/>
          <w:lang w:val="es-US"/>
        </w:rPr>
        <w:t xml:space="preserve"> </w:t>
      </w:r>
    </w:p>
    <w:p w14:paraId="37E7E015" w14:textId="77777777" w:rsidR="008F4659" w:rsidRPr="00E019A9" w:rsidRDefault="008F4659" w:rsidP="00AC1CA8">
      <w:pPr>
        <w:pStyle w:val="ListParagraph"/>
        <w:tabs>
          <w:tab w:val="left" w:pos="567"/>
        </w:tabs>
        <w:rPr>
          <w:rFonts w:asciiTheme="majorHAnsi" w:hAnsiTheme="majorHAnsi" w:cs="Calibri"/>
          <w:bCs/>
          <w:sz w:val="20"/>
          <w:szCs w:val="20"/>
          <w:lang w:val="es-US"/>
        </w:rPr>
      </w:pPr>
    </w:p>
    <w:p w14:paraId="558C50C8" w14:textId="77777777" w:rsidR="008F4659" w:rsidRPr="00E019A9" w:rsidRDefault="008F4659"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rFonts w:asciiTheme="majorHAnsi" w:hAnsiTheme="majorHAnsi" w:cs="Calibri"/>
          <w:bCs/>
          <w:sz w:val="20"/>
          <w:szCs w:val="20"/>
          <w:lang w:val="es-US"/>
        </w:rPr>
      </w:pPr>
      <w:r w:rsidRPr="00E019A9">
        <w:rPr>
          <w:rFonts w:asciiTheme="majorHAnsi" w:hAnsiTheme="majorHAnsi" w:cs="Calibri"/>
          <w:bCs/>
          <w:sz w:val="20"/>
          <w:szCs w:val="20"/>
          <w:lang w:val="es-US"/>
        </w:rPr>
        <w:t xml:space="preserve">Por otra parte, afirmaron que la Corte Suprema era incompetente para decidir de la manera en que lo hizo y que su </w:t>
      </w:r>
      <w:r w:rsidR="007615B9" w:rsidRPr="00E019A9">
        <w:rPr>
          <w:rFonts w:asciiTheme="majorHAnsi" w:hAnsiTheme="majorHAnsi" w:cs="Calibri"/>
          <w:bCs/>
          <w:sz w:val="20"/>
          <w:szCs w:val="20"/>
          <w:lang w:val="es-US"/>
        </w:rPr>
        <w:t>decisión</w:t>
      </w:r>
      <w:r w:rsidRPr="00E019A9">
        <w:rPr>
          <w:rFonts w:asciiTheme="majorHAnsi" w:hAnsiTheme="majorHAnsi" w:cs="Calibri"/>
          <w:bCs/>
          <w:sz w:val="20"/>
          <w:szCs w:val="20"/>
          <w:lang w:val="es-US"/>
        </w:rPr>
        <w:t xml:space="preserve"> careci</w:t>
      </w:r>
      <w:r w:rsidR="00FB0354" w:rsidRPr="00E019A9">
        <w:rPr>
          <w:rFonts w:asciiTheme="majorHAnsi" w:hAnsiTheme="majorHAnsi" w:cs="Calibri"/>
          <w:bCs/>
          <w:sz w:val="20"/>
          <w:szCs w:val="20"/>
          <w:lang w:val="es-US"/>
        </w:rPr>
        <w:t>ó</w:t>
      </w:r>
      <w:r w:rsidRPr="00E019A9">
        <w:rPr>
          <w:rFonts w:asciiTheme="majorHAnsi" w:hAnsiTheme="majorHAnsi" w:cs="Calibri"/>
          <w:bCs/>
          <w:sz w:val="20"/>
          <w:szCs w:val="20"/>
          <w:lang w:val="es-US"/>
        </w:rPr>
        <w:t xml:space="preserve"> de la motivaci</w:t>
      </w:r>
      <w:r w:rsidR="00FB0354" w:rsidRPr="00E019A9">
        <w:rPr>
          <w:rFonts w:asciiTheme="majorHAnsi" w:hAnsiTheme="majorHAnsi" w:cs="Calibri"/>
          <w:bCs/>
          <w:sz w:val="20"/>
          <w:szCs w:val="20"/>
          <w:lang w:val="es-US"/>
        </w:rPr>
        <w:t>ó</w:t>
      </w:r>
      <w:r w:rsidRPr="00E019A9">
        <w:rPr>
          <w:rFonts w:asciiTheme="majorHAnsi" w:hAnsiTheme="majorHAnsi" w:cs="Calibri"/>
          <w:bCs/>
          <w:sz w:val="20"/>
          <w:szCs w:val="20"/>
          <w:lang w:val="es-US"/>
        </w:rPr>
        <w:t>n suficiente como para ser considerada como un acto jurisdiccional v</w:t>
      </w:r>
      <w:r w:rsidR="00FB0354" w:rsidRPr="00E019A9">
        <w:rPr>
          <w:rFonts w:asciiTheme="majorHAnsi" w:hAnsiTheme="majorHAnsi" w:cs="Calibri"/>
          <w:bCs/>
          <w:sz w:val="20"/>
          <w:szCs w:val="20"/>
          <w:lang w:val="es-US"/>
        </w:rPr>
        <w:t>á</w:t>
      </w:r>
      <w:r w:rsidRPr="00E019A9">
        <w:rPr>
          <w:rFonts w:asciiTheme="majorHAnsi" w:hAnsiTheme="majorHAnsi" w:cs="Calibri"/>
          <w:bCs/>
          <w:sz w:val="20"/>
          <w:szCs w:val="20"/>
          <w:lang w:val="es-US"/>
        </w:rPr>
        <w:t xml:space="preserve">lido. Finalmente, sostuvieron que las penas leves que fueron impuestas se encuentran en </w:t>
      </w:r>
      <w:r w:rsidR="00D74A50" w:rsidRPr="00E019A9">
        <w:rPr>
          <w:rFonts w:asciiTheme="majorHAnsi" w:hAnsiTheme="majorHAnsi" w:cs="Calibri"/>
          <w:bCs/>
          <w:sz w:val="20"/>
          <w:szCs w:val="20"/>
          <w:lang w:val="es-US"/>
        </w:rPr>
        <w:t>contradicción</w:t>
      </w:r>
      <w:r w:rsidRPr="00E019A9">
        <w:rPr>
          <w:rFonts w:asciiTheme="majorHAnsi" w:hAnsiTheme="majorHAnsi" w:cs="Calibri"/>
          <w:bCs/>
          <w:sz w:val="20"/>
          <w:szCs w:val="20"/>
          <w:lang w:val="es-US"/>
        </w:rPr>
        <w:t xml:space="preserve"> con los principios de proporcionalidad y pertinencia del castigo penal y con la finalidad de la pena. </w:t>
      </w:r>
    </w:p>
    <w:p w14:paraId="0303E99E" w14:textId="77777777" w:rsidR="005D76A8" w:rsidRPr="00E019A9" w:rsidRDefault="005D76A8" w:rsidP="005D76A8">
      <w:pPr>
        <w:pStyle w:val="ListParagraph"/>
        <w:rPr>
          <w:rFonts w:asciiTheme="majorHAnsi" w:hAnsiTheme="majorHAnsi" w:cs="Calibri"/>
          <w:bCs/>
          <w:sz w:val="20"/>
          <w:szCs w:val="20"/>
          <w:lang w:val="es-US"/>
        </w:rPr>
      </w:pPr>
    </w:p>
    <w:p w14:paraId="48260786" w14:textId="77777777" w:rsidR="008F4659" w:rsidRPr="00E019A9" w:rsidRDefault="008F4659" w:rsidP="008F4659">
      <w:pPr>
        <w:ind w:left="709" w:right="288"/>
        <w:jc w:val="both"/>
        <w:rPr>
          <w:rFonts w:asciiTheme="majorHAnsi" w:hAnsiTheme="majorHAnsi" w:cs="Calibri"/>
          <w:b/>
          <w:bCs/>
          <w:sz w:val="20"/>
          <w:szCs w:val="20"/>
          <w:lang w:val="es-US"/>
        </w:rPr>
      </w:pPr>
      <w:r w:rsidRPr="00E019A9">
        <w:rPr>
          <w:rFonts w:asciiTheme="majorHAnsi" w:hAnsiTheme="majorHAnsi" w:cs="Calibri"/>
          <w:b/>
          <w:bCs/>
          <w:sz w:val="20"/>
          <w:szCs w:val="20"/>
          <w:lang w:val="es-US"/>
        </w:rPr>
        <w:t>Alegatos presentados por los peticionarios de la petición interpuesta en representación de Luciano Aedo Hidalgo y sus familiares y registrada inicialmente por la Comisión bajo el número P-102-08.</w:t>
      </w:r>
    </w:p>
    <w:p w14:paraId="75FB7133" w14:textId="77777777" w:rsidR="008F4659" w:rsidRPr="00E019A9" w:rsidRDefault="008F4659" w:rsidP="008F4659">
      <w:pPr>
        <w:jc w:val="both"/>
        <w:rPr>
          <w:rFonts w:asciiTheme="majorHAnsi" w:hAnsiTheme="majorHAnsi" w:cs="Calibri"/>
          <w:b/>
          <w:bCs/>
          <w:sz w:val="20"/>
          <w:szCs w:val="20"/>
          <w:lang w:val="es-US"/>
        </w:rPr>
      </w:pPr>
    </w:p>
    <w:p w14:paraId="4A32BA59" w14:textId="77777777" w:rsidR="008F4659" w:rsidRPr="00E019A9" w:rsidRDefault="008F4659"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US"/>
        </w:rPr>
      </w:pPr>
      <w:r w:rsidRPr="00E019A9">
        <w:rPr>
          <w:sz w:val="20"/>
          <w:szCs w:val="20"/>
          <w:lang w:val="es-US"/>
        </w:rPr>
        <w:t>Según refiere la parte peticionaria, el 11 de septiembre de 1973, en horas de la madrugada, una patrulla de la Tenencia de Cunco que se movilizaba en un furgón policial, concurrió hasta el domicilio del Sr. Luciano Aedo Hidalgo</w:t>
      </w:r>
      <w:r w:rsidR="00BD36F0" w:rsidRPr="00E019A9">
        <w:rPr>
          <w:sz w:val="20"/>
          <w:szCs w:val="20"/>
          <w:lang w:val="es-US"/>
        </w:rPr>
        <w:t xml:space="preserve"> </w:t>
      </w:r>
      <w:r w:rsidRPr="00E019A9">
        <w:rPr>
          <w:sz w:val="20"/>
          <w:szCs w:val="20"/>
          <w:lang w:val="es-US"/>
        </w:rPr>
        <w:t>y lo llevaron detenido sin ninguna orden judicial hasta un sitio desconocido, sin que a la fecha se tenga conocimiento de su paradero.</w:t>
      </w:r>
    </w:p>
    <w:p w14:paraId="1723B5E3" w14:textId="77777777" w:rsidR="008F4659" w:rsidRPr="00E019A9" w:rsidRDefault="008F4659" w:rsidP="00AC1CA8">
      <w:pPr>
        <w:pStyle w:val="ListParagraph"/>
        <w:tabs>
          <w:tab w:val="left" w:pos="567"/>
        </w:tabs>
        <w:ind w:left="0"/>
        <w:jc w:val="both"/>
        <w:rPr>
          <w:sz w:val="20"/>
          <w:szCs w:val="20"/>
          <w:lang w:val="es-US"/>
        </w:rPr>
      </w:pPr>
    </w:p>
    <w:p w14:paraId="500578DD" w14:textId="77777777" w:rsidR="00412099" w:rsidRPr="00E019A9" w:rsidRDefault="00D74A50"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US"/>
        </w:rPr>
      </w:pPr>
      <w:r w:rsidRPr="00E019A9">
        <w:rPr>
          <w:sz w:val="20"/>
          <w:szCs w:val="20"/>
          <w:lang w:val="es-US"/>
        </w:rPr>
        <w:t>I</w:t>
      </w:r>
      <w:r w:rsidR="00412099" w:rsidRPr="00E019A9">
        <w:rPr>
          <w:sz w:val="20"/>
          <w:szCs w:val="20"/>
          <w:lang w:val="es-US"/>
        </w:rPr>
        <w:t>ndicaron</w:t>
      </w:r>
      <w:r w:rsidR="008F4659" w:rsidRPr="00E019A9">
        <w:rPr>
          <w:sz w:val="20"/>
          <w:szCs w:val="20"/>
          <w:lang w:val="es-US"/>
        </w:rPr>
        <w:t xml:space="preserve"> que luego de diversas gestiones judiciales</w:t>
      </w:r>
      <w:r w:rsidR="00BD36F0" w:rsidRPr="00E019A9">
        <w:rPr>
          <w:sz w:val="20"/>
          <w:szCs w:val="20"/>
          <w:lang w:val="es-US"/>
        </w:rPr>
        <w:t xml:space="preserve"> realizadas</w:t>
      </w:r>
      <w:r w:rsidR="008F4659" w:rsidRPr="00E019A9">
        <w:rPr>
          <w:sz w:val="20"/>
          <w:szCs w:val="20"/>
          <w:lang w:val="es-US"/>
        </w:rPr>
        <w:t xml:space="preserve"> por parte de la </w:t>
      </w:r>
      <w:r w:rsidR="00BD36F0" w:rsidRPr="00E019A9">
        <w:rPr>
          <w:sz w:val="20"/>
          <w:szCs w:val="20"/>
          <w:lang w:val="es-US"/>
        </w:rPr>
        <w:t>esposa del Sr. Aedo Hidalgo, en</w:t>
      </w:r>
      <w:r w:rsidR="008F4659" w:rsidRPr="00E019A9">
        <w:rPr>
          <w:sz w:val="20"/>
          <w:szCs w:val="20"/>
          <w:lang w:val="es-US"/>
        </w:rPr>
        <w:t xml:space="preserve"> octubre de 1980</w:t>
      </w:r>
      <w:r w:rsidR="00BD36F0" w:rsidRPr="00E019A9">
        <w:rPr>
          <w:sz w:val="20"/>
          <w:szCs w:val="20"/>
          <w:lang w:val="es-US"/>
        </w:rPr>
        <w:t xml:space="preserve"> </w:t>
      </w:r>
      <w:r w:rsidR="008F4659" w:rsidRPr="00E019A9">
        <w:rPr>
          <w:sz w:val="20"/>
          <w:szCs w:val="20"/>
          <w:lang w:val="es-US"/>
        </w:rPr>
        <w:t>el IV Juzgado Militar sobreseyó total y definitivamente y por aplicación de la Ley de Amnistía de 1978</w:t>
      </w:r>
      <w:r w:rsidR="00412099" w:rsidRPr="00E019A9">
        <w:rPr>
          <w:sz w:val="20"/>
          <w:szCs w:val="20"/>
          <w:lang w:val="es-US"/>
        </w:rPr>
        <w:t xml:space="preserve"> al personal </w:t>
      </w:r>
      <w:r w:rsidRPr="00E019A9">
        <w:rPr>
          <w:sz w:val="20"/>
          <w:szCs w:val="20"/>
          <w:lang w:val="es-US"/>
        </w:rPr>
        <w:t>militar</w:t>
      </w:r>
      <w:r w:rsidR="00412099" w:rsidRPr="00E019A9">
        <w:rPr>
          <w:sz w:val="20"/>
          <w:szCs w:val="20"/>
          <w:lang w:val="es-US"/>
        </w:rPr>
        <w:t xml:space="preserve"> acusado de participar en el secuestro de la presunta </w:t>
      </w:r>
      <w:r w:rsidR="00BC235F" w:rsidRPr="00E019A9">
        <w:rPr>
          <w:sz w:val="20"/>
          <w:szCs w:val="20"/>
          <w:lang w:val="es-US"/>
        </w:rPr>
        <w:t>víctima</w:t>
      </w:r>
      <w:r w:rsidR="00412099" w:rsidRPr="00E019A9">
        <w:rPr>
          <w:sz w:val="20"/>
          <w:szCs w:val="20"/>
          <w:lang w:val="es-US"/>
        </w:rPr>
        <w:t xml:space="preserve">. </w:t>
      </w:r>
      <w:r w:rsidR="00C16186" w:rsidRPr="00E019A9">
        <w:rPr>
          <w:sz w:val="20"/>
          <w:szCs w:val="20"/>
          <w:lang w:val="es-US"/>
        </w:rPr>
        <w:t xml:space="preserve">Posteriormente, informaron, las investigaciones fueron reabiertas y en junio de 2008 se dictó sentencia de </w:t>
      </w:r>
      <w:r w:rsidRPr="00E019A9">
        <w:rPr>
          <w:sz w:val="20"/>
          <w:szCs w:val="20"/>
          <w:lang w:val="es-US"/>
        </w:rPr>
        <w:t>primera</w:t>
      </w:r>
      <w:r w:rsidR="00C16186" w:rsidRPr="00E019A9">
        <w:rPr>
          <w:sz w:val="20"/>
          <w:szCs w:val="20"/>
          <w:lang w:val="es-US"/>
        </w:rPr>
        <w:t xml:space="preserve"> instancia condenando a un ex integrante de Carabineros de Chile a la pena de siete años de </w:t>
      </w:r>
      <w:r w:rsidRPr="00E019A9">
        <w:rPr>
          <w:sz w:val="20"/>
          <w:szCs w:val="20"/>
          <w:lang w:val="es-US"/>
        </w:rPr>
        <w:t>prisión</w:t>
      </w:r>
      <w:r w:rsidR="00C16186" w:rsidRPr="00E019A9">
        <w:rPr>
          <w:sz w:val="20"/>
          <w:szCs w:val="20"/>
          <w:lang w:val="es-US"/>
        </w:rPr>
        <w:t xml:space="preserve"> por el delito de secuestro calificado, decisión que fue confirmada en su totalidad por la Corte de Apelaciones de Temuco. </w:t>
      </w:r>
    </w:p>
    <w:p w14:paraId="7CFAA759" w14:textId="77777777" w:rsidR="00C16186" w:rsidRPr="00E019A9" w:rsidRDefault="00C16186" w:rsidP="00AC1CA8">
      <w:pPr>
        <w:pStyle w:val="ListParagraph"/>
        <w:tabs>
          <w:tab w:val="left" w:pos="567"/>
        </w:tabs>
        <w:rPr>
          <w:sz w:val="20"/>
          <w:szCs w:val="20"/>
          <w:lang w:val="es-US"/>
        </w:rPr>
      </w:pPr>
    </w:p>
    <w:p w14:paraId="36F30535" w14:textId="77777777" w:rsidR="00C16186" w:rsidRPr="00E019A9" w:rsidRDefault="00D74A50"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US"/>
        </w:rPr>
      </w:pPr>
      <w:r w:rsidRPr="00E019A9">
        <w:rPr>
          <w:sz w:val="20"/>
          <w:szCs w:val="20"/>
          <w:lang w:val="es-US"/>
        </w:rPr>
        <w:t>C</w:t>
      </w:r>
      <w:r w:rsidR="00C16186" w:rsidRPr="00E019A9">
        <w:rPr>
          <w:sz w:val="20"/>
          <w:szCs w:val="20"/>
          <w:lang w:val="es-US"/>
        </w:rPr>
        <w:t>onsignaron que en julio de 2009 la Corte Suprema decidió invalidar de oficio la sentencia de segunda instancia y dictar un fallo de reemplazo. En esta oportunidad, añadier</w:t>
      </w:r>
      <w:r w:rsidR="004C7FEA" w:rsidRPr="00E019A9">
        <w:rPr>
          <w:sz w:val="20"/>
          <w:szCs w:val="20"/>
          <w:lang w:val="es-US"/>
        </w:rPr>
        <w:t>o</w:t>
      </w:r>
      <w:r w:rsidR="00C16186" w:rsidRPr="00E019A9">
        <w:rPr>
          <w:sz w:val="20"/>
          <w:szCs w:val="20"/>
          <w:lang w:val="es-US"/>
        </w:rPr>
        <w:t xml:space="preserve">n, el tribunal redujo a 3 años de prisión la pena impuesta al único condenado por la aplicación de aplicar la figura de la “prescripción gradual” y </w:t>
      </w:r>
      <w:r w:rsidRPr="00E019A9">
        <w:rPr>
          <w:sz w:val="20"/>
          <w:szCs w:val="20"/>
          <w:lang w:val="es-US"/>
        </w:rPr>
        <w:t>decidió</w:t>
      </w:r>
      <w:r w:rsidR="00C16186" w:rsidRPr="00E019A9">
        <w:rPr>
          <w:sz w:val="20"/>
          <w:szCs w:val="20"/>
          <w:lang w:val="es-US"/>
        </w:rPr>
        <w:t xml:space="preserve"> concederle la medida alternativa de remisión condicional de la pena. </w:t>
      </w:r>
    </w:p>
    <w:p w14:paraId="241B901B" w14:textId="77777777" w:rsidR="00C16186" w:rsidRPr="00E019A9" w:rsidRDefault="00C16186" w:rsidP="00AC1CA8">
      <w:pPr>
        <w:pStyle w:val="ListParagraph"/>
        <w:tabs>
          <w:tab w:val="left" w:pos="567"/>
        </w:tabs>
        <w:rPr>
          <w:sz w:val="20"/>
          <w:szCs w:val="20"/>
          <w:lang w:val="es-US"/>
        </w:rPr>
      </w:pPr>
    </w:p>
    <w:p w14:paraId="50742B15" w14:textId="77777777" w:rsidR="00C16186" w:rsidRPr="00E019A9" w:rsidRDefault="00D74A50"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US"/>
        </w:rPr>
      </w:pPr>
      <w:r w:rsidRPr="00E019A9">
        <w:rPr>
          <w:sz w:val="20"/>
          <w:szCs w:val="20"/>
          <w:lang w:val="es-US"/>
        </w:rPr>
        <w:t>A</w:t>
      </w:r>
      <w:r w:rsidR="00252761" w:rsidRPr="00E019A9">
        <w:rPr>
          <w:sz w:val="20"/>
          <w:szCs w:val="20"/>
          <w:lang w:val="es-US"/>
        </w:rPr>
        <w:t xml:space="preserve">seguraron que esta </w:t>
      </w:r>
      <w:r w:rsidR="00BC235F" w:rsidRPr="00E019A9">
        <w:rPr>
          <w:sz w:val="20"/>
          <w:szCs w:val="20"/>
          <w:lang w:val="es-US"/>
        </w:rPr>
        <w:t>última</w:t>
      </w:r>
      <w:r w:rsidR="00252761" w:rsidRPr="00E019A9">
        <w:rPr>
          <w:sz w:val="20"/>
          <w:szCs w:val="20"/>
          <w:lang w:val="es-US"/>
        </w:rPr>
        <w:t xml:space="preserve"> </w:t>
      </w:r>
      <w:r w:rsidRPr="00E019A9">
        <w:rPr>
          <w:sz w:val="20"/>
          <w:szCs w:val="20"/>
          <w:lang w:val="es-US"/>
        </w:rPr>
        <w:t>decisión</w:t>
      </w:r>
      <w:r w:rsidR="00252761" w:rsidRPr="00E019A9">
        <w:rPr>
          <w:sz w:val="20"/>
          <w:szCs w:val="20"/>
          <w:lang w:val="es-US"/>
        </w:rPr>
        <w:t xml:space="preserve"> de la Corte Suprema representó una </w:t>
      </w:r>
      <w:r w:rsidR="00252761" w:rsidRPr="00E019A9">
        <w:rPr>
          <w:sz w:val="20"/>
          <w:szCs w:val="20"/>
          <w:lang w:val="es-ES_tradnl"/>
        </w:rPr>
        <w:t>violación a los derechos a las garantías judiciales y protección judicial y expres</w:t>
      </w:r>
      <w:r w:rsidR="00FB0354" w:rsidRPr="00E019A9">
        <w:rPr>
          <w:sz w:val="20"/>
          <w:szCs w:val="20"/>
          <w:lang w:val="es-ES_tradnl"/>
        </w:rPr>
        <w:t>aron</w:t>
      </w:r>
      <w:r w:rsidR="00252761" w:rsidRPr="00E019A9">
        <w:rPr>
          <w:sz w:val="20"/>
          <w:szCs w:val="20"/>
          <w:lang w:val="es-ES_tradnl"/>
        </w:rPr>
        <w:t xml:space="preserve"> </w:t>
      </w:r>
      <w:r w:rsidR="00FB0354" w:rsidRPr="00E019A9">
        <w:rPr>
          <w:sz w:val="20"/>
          <w:szCs w:val="20"/>
          <w:lang w:val="es-ES_tradnl"/>
        </w:rPr>
        <w:t xml:space="preserve">que </w:t>
      </w:r>
      <w:r w:rsidR="00252761" w:rsidRPr="00E019A9">
        <w:rPr>
          <w:sz w:val="20"/>
          <w:szCs w:val="20"/>
          <w:lang w:val="es-ES_tradnl"/>
        </w:rPr>
        <w:t xml:space="preserve">la petición comparte los mismos fundamentos que los plasmados en las peticiones previas que se acumularon en el caso 13.054, remitiéndose a sus comunicaciones previas.  </w:t>
      </w:r>
    </w:p>
    <w:p w14:paraId="13A5A537" w14:textId="77777777" w:rsidR="00D4501D" w:rsidRPr="00E019A9" w:rsidRDefault="00D4501D" w:rsidP="00D4501D">
      <w:pPr>
        <w:jc w:val="both"/>
        <w:rPr>
          <w:rFonts w:asciiTheme="majorHAnsi" w:hAnsiTheme="majorHAnsi"/>
          <w:sz w:val="20"/>
          <w:szCs w:val="20"/>
          <w:lang w:val="es-US"/>
        </w:rPr>
      </w:pPr>
    </w:p>
    <w:p w14:paraId="54BFE7A0" w14:textId="77777777" w:rsidR="00252761" w:rsidRPr="00E019A9" w:rsidRDefault="00252761" w:rsidP="00252761">
      <w:pPr>
        <w:ind w:left="709" w:right="288"/>
        <w:jc w:val="both"/>
        <w:rPr>
          <w:rFonts w:asciiTheme="majorHAnsi" w:hAnsiTheme="majorHAnsi" w:cs="Calibri"/>
          <w:b/>
          <w:bCs/>
          <w:sz w:val="20"/>
          <w:szCs w:val="20"/>
          <w:lang w:val="es-US"/>
        </w:rPr>
      </w:pPr>
      <w:r w:rsidRPr="00E019A9">
        <w:rPr>
          <w:rFonts w:asciiTheme="majorHAnsi" w:hAnsiTheme="majorHAnsi" w:cs="Calibri"/>
          <w:b/>
          <w:bCs/>
          <w:sz w:val="20"/>
          <w:szCs w:val="20"/>
          <w:lang w:val="es-US"/>
        </w:rPr>
        <w:t xml:space="preserve">Alegatos presentados por los peticionarios </w:t>
      </w:r>
      <w:r w:rsidR="00E82A08" w:rsidRPr="00E019A9">
        <w:rPr>
          <w:rFonts w:asciiTheme="majorHAnsi" w:hAnsiTheme="majorHAnsi" w:cs="Calibri"/>
          <w:b/>
          <w:bCs/>
          <w:sz w:val="20"/>
          <w:szCs w:val="20"/>
          <w:lang w:val="es-US"/>
        </w:rPr>
        <w:t>de</w:t>
      </w:r>
      <w:r w:rsidRPr="00E019A9">
        <w:rPr>
          <w:rFonts w:asciiTheme="majorHAnsi" w:hAnsiTheme="majorHAnsi" w:cs="Calibri"/>
          <w:b/>
          <w:bCs/>
          <w:sz w:val="20"/>
          <w:szCs w:val="20"/>
          <w:lang w:val="es-US"/>
        </w:rPr>
        <w:t xml:space="preserve"> la petición interpuesta en representación de Félix Santiago de la Jara Goyeneche y sus familiares y registrada inicialmente por la Comisión bajo el número P 665-11.</w:t>
      </w:r>
    </w:p>
    <w:p w14:paraId="6125CB40" w14:textId="77777777" w:rsidR="00252761" w:rsidRPr="00E019A9" w:rsidRDefault="00252761" w:rsidP="00252761">
      <w:pPr>
        <w:jc w:val="both"/>
        <w:rPr>
          <w:rFonts w:asciiTheme="majorHAnsi" w:hAnsiTheme="majorHAnsi"/>
          <w:sz w:val="20"/>
          <w:szCs w:val="20"/>
          <w:lang w:val="es-ES_tradnl"/>
        </w:rPr>
      </w:pPr>
    </w:p>
    <w:p w14:paraId="01F34632" w14:textId="77777777" w:rsidR="00FA4224" w:rsidRPr="00E019A9" w:rsidRDefault="007C331B"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ES_tradnl"/>
        </w:rPr>
      </w:pPr>
      <w:r w:rsidRPr="00E019A9">
        <w:rPr>
          <w:sz w:val="20"/>
          <w:szCs w:val="20"/>
          <w:lang w:val="es-ES_tradnl"/>
        </w:rPr>
        <w:t xml:space="preserve">La parte peticionaria </w:t>
      </w:r>
      <w:r w:rsidR="00686C38" w:rsidRPr="00E019A9">
        <w:rPr>
          <w:sz w:val="20"/>
          <w:szCs w:val="20"/>
          <w:lang w:val="es-ES_tradnl"/>
        </w:rPr>
        <w:t xml:space="preserve">indicó </w:t>
      </w:r>
      <w:r w:rsidR="00FA4224" w:rsidRPr="00E019A9">
        <w:rPr>
          <w:sz w:val="20"/>
          <w:szCs w:val="20"/>
          <w:lang w:val="es-ES_tradnl"/>
        </w:rPr>
        <w:t xml:space="preserve">que en la mañana </w:t>
      </w:r>
      <w:r w:rsidR="00035B24" w:rsidRPr="00E019A9">
        <w:rPr>
          <w:sz w:val="20"/>
          <w:szCs w:val="20"/>
          <w:lang w:val="es-ES_tradnl"/>
        </w:rPr>
        <w:t>del 27</w:t>
      </w:r>
      <w:r w:rsidR="00FA4224" w:rsidRPr="00E019A9">
        <w:rPr>
          <w:sz w:val="20"/>
          <w:szCs w:val="20"/>
          <w:lang w:val="es-ES_tradnl"/>
        </w:rPr>
        <w:t xml:space="preserve"> de noviembre de 1974 el Sr. Félix Santiago de la Jara Goyeneche fue detenido en la vía pública en la ciudad de Santiago de Chile por un comando de la DINA y trasladado a un </w:t>
      </w:r>
      <w:r w:rsidR="00FA4224" w:rsidRPr="00E019A9">
        <w:rPr>
          <w:rFonts w:asciiTheme="majorHAnsi" w:hAnsiTheme="majorHAnsi"/>
          <w:sz w:val="20"/>
          <w:szCs w:val="20"/>
          <w:lang w:val="es-ES_tradnl"/>
        </w:rPr>
        <w:t>centro clandestino de detención y tortura ubicado en la comuna de Macul. Finalmente, en algún momento entre los días 18 y 24 de diciembre de 1974 el Sr. de la Jara Goyeneche fue retirado por sus captores destino indeterminado, sin conocerse hasta la fecha su paradero.</w:t>
      </w:r>
    </w:p>
    <w:p w14:paraId="6CD8ADE0" w14:textId="77777777" w:rsidR="00FA4224" w:rsidRPr="00E019A9" w:rsidRDefault="00FA4224" w:rsidP="00AC1CA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contextualSpacing/>
        <w:jc w:val="both"/>
        <w:rPr>
          <w:sz w:val="20"/>
          <w:szCs w:val="20"/>
          <w:lang w:val="es-ES_tradnl"/>
        </w:rPr>
      </w:pPr>
    </w:p>
    <w:p w14:paraId="4F934FAE" w14:textId="77777777" w:rsidR="001E5078" w:rsidRPr="00E019A9" w:rsidRDefault="00686C38"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ES_tradnl"/>
        </w:rPr>
      </w:pPr>
      <w:r w:rsidRPr="00E019A9">
        <w:rPr>
          <w:sz w:val="20"/>
          <w:szCs w:val="20"/>
          <w:lang w:val="es-ES_tradnl"/>
        </w:rPr>
        <w:t>Refirieron</w:t>
      </w:r>
      <w:r w:rsidR="00FA4224" w:rsidRPr="00E019A9">
        <w:rPr>
          <w:sz w:val="20"/>
          <w:szCs w:val="20"/>
          <w:lang w:val="es-ES_tradnl"/>
        </w:rPr>
        <w:t xml:space="preserve"> diversas diligencias judiciales iniciadas durante los primeros días de la privación de la libertad del Sr. de la Jara Goyeneche y afirmaron que el expediente iniciado ante el </w:t>
      </w:r>
      <w:r w:rsidR="00FA4224" w:rsidRPr="00E019A9">
        <w:rPr>
          <w:rFonts w:asciiTheme="majorHAnsi" w:hAnsiTheme="majorHAnsi"/>
          <w:sz w:val="20"/>
          <w:szCs w:val="20"/>
          <w:lang w:val="es-ES_tradnl"/>
        </w:rPr>
        <w:t xml:space="preserve">Juzgado del Crimen competente fue cerrado luego de una breve tramitación. </w:t>
      </w:r>
      <w:r w:rsidRPr="00E019A9">
        <w:rPr>
          <w:sz w:val="20"/>
          <w:szCs w:val="20"/>
          <w:lang w:val="es-ES_tradnl"/>
        </w:rPr>
        <w:t>I</w:t>
      </w:r>
      <w:r w:rsidR="001E5078" w:rsidRPr="00E019A9">
        <w:rPr>
          <w:sz w:val="20"/>
          <w:szCs w:val="20"/>
          <w:lang w:val="es-ES_tradnl"/>
        </w:rPr>
        <w:t xml:space="preserve">nformaron que en julio de 1996 </w:t>
      </w:r>
      <w:r w:rsidR="001E5078" w:rsidRPr="00E019A9">
        <w:rPr>
          <w:rFonts w:asciiTheme="majorHAnsi" w:hAnsiTheme="majorHAnsi"/>
          <w:sz w:val="20"/>
          <w:szCs w:val="20"/>
          <w:lang w:val="es-ES_tradnl"/>
        </w:rPr>
        <w:t xml:space="preserve">la Corporación Nacional de Reparación y Reconciliación solicitó la reapertura de la causa y que, en abril de 2007 </w:t>
      </w:r>
      <w:r w:rsidR="008F79EA" w:rsidRPr="00E019A9">
        <w:rPr>
          <w:rFonts w:asciiTheme="majorHAnsi" w:hAnsiTheme="majorHAnsi"/>
          <w:sz w:val="20"/>
          <w:szCs w:val="20"/>
          <w:lang w:val="es-ES_tradnl"/>
        </w:rPr>
        <w:t>la Corte Suprema de Justicia confirmó la sentencia de primera instancia oportunamente dictada y condenó</w:t>
      </w:r>
      <w:r w:rsidR="001E5078" w:rsidRPr="00E019A9">
        <w:rPr>
          <w:rFonts w:asciiTheme="majorHAnsi" w:hAnsiTheme="majorHAnsi"/>
          <w:sz w:val="20"/>
          <w:szCs w:val="20"/>
          <w:lang w:val="es-ES_tradnl"/>
        </w:rPr>
        <w:t xml:space="preserve"> </w:t>
      </w:r>
      <w:r w:rsidR="008F79EA" w:rsidRPr="00E019A9">
        <w:rPr>
          <w:rFonts w:asciiTheme="majorHAnsi" w:hAnsiTheme="majorHAnsi"/>
          <w:sz w:val="20"/>
          <w:szCs w:val="20"/>
          <w:lang w:val="es-ES_tradnl"/>
        </w:rPr>
        <w:t xml:space="preserve">a una serie de ex integrantes de la DINA a penas de </w:t>
      </w:r>
      <w:r w:rsidR="00035B24" w:rsidRPr="00E019A9">
        <w:rPr>
          <w:rFonts w:asciiTheme="majorHAnsi" w:hAnsiTheme="majorHAnsi"/>
          <w:sz w:val="20"/>
          <w:szCs w:val="20"/>
          <w:lang w:val="es-ES_tradnl"/>
        </w:rPr>
        <w:t>entre 5</w:t>
      </w:r>
      <w:r w:rsidR="008F79EA" w:rsidRPr="00E019A9">
        <w:rPr>
          <w:rFonts w:asciiTheme="majorHAnsi" w:hAnsiTheme="majorHAnsi"/>
          <w:sz w:val="20"/>
          <w:szCs w:val="20"/>
          <w:lang w:val="es-ES_tradnl"/>
        </w:rPr>
        <w:t xml:space="preserve"> años y 1 </w:t>
      </w:r>
      <w:r w:rsidR="00577AB8" w:rsidRPr="00E019A9">
        <w:rPr>
          <w:rFonts w:asciiTheme="majorHAnsi" w:hAnsiTheme="majorHAnsi"/>
          <w:sz w:val="20"/>
          <w:szCs w:val="20"/>
          <w:lang w:val="es-ES_tradnl"/>
        </w:rPr>
        <w:t>día</w:t>
      </w:r>
      <w:r w:rsidR="008F79EA" w:rsidRPr="00E019A9">
        <w:rPr>
          <w:rFonts w:asciiTheme="majorHAnsi" w:hAnsiTheme="majorHAnsi"/>
          <w:sz w:val="20"/>
          <w:szCs w:val="20"/>
          <w:lang w:val="es-ES_tradnl"/>
        </w:rPr>
        <w:t xml:space="preserve"> de prisión a 3 años por el delito de secuestro calificado. </w:t>
      </w:r>
      <w:r w:rsidRPr="00E019A9">
        <w:rPr>
          <w:rFonts w:asciiTheme="majorHAnsi" w:hAnsiTheme="majorHAnsi"/>
          <w:sz w:val="20"/>
          <w:szCs w:val="20"/>
          <w:lang w:val="es-ES_tradnl"/>
        </w:rPr>
        <w:t>E</w:t>
      </w:r>
      <w:r w:rsidR="008F79EA" w:rsidRPr="00E019A9">
        <w:rPr>
          <w:rFonts w:asciiTheme="majorHAnsi" w:hAnsiTheme="majorHAnsi"/>
          <w:sz w:val="20"/>
          <w:szCs w:val="20"/>
          <w:lang w:val="es-ES_tradnl"/>
        </w:rPr>
        <w:t xml:space="preserve">n ningún caso los condenados fueron privados de la libertad, toda vez que fueron beneficiados por </w:t>
      </w:r>
      <w:r w:rsidR="00035B24" w:rsidRPr="00E019A9">
        <w:rPr>
          <w:rFonts w:asciiTheme="majorHAnsi" w:hAnsiTheme="majorHAnsi"/>
          <w:sz w:val="20"/>
          <w:szCs w:val="20"/>
          <w:lang w:val="es-ES_tradnl"/>
        </w:rPr>
        <w:t>las medidas alternativas</w:t>
      </w:r>
      <w:r w:rsidR="008F79EA" w:rsidRPr="00E019A9">
        <w:rPr>
          <w:rFonts w:asciiTheme="majorHAnsi" w:hAnsiTheme="majorHAnsi"/>
          <w:sz w:val="20"/>
          <w:szCs w:val="20"/>
          <w:lang w:val="es-ES_tradnl"/>
        </w:rPr>
        <w:t xml:space="preserve"> de libertad vigilada y remisión condicional de la pena</w:t>
      </w:r>
      <w:r w:rsidRPr="00E019A9">
        <w:rPr>
          <w:rFonts w:asciiTheme="majorHAnsi" w:hAnsiTheme="majorHAnsi"/>
          <w:sz w:val="20"/>
          <w:szCs w:val="20"/>
          <w:lang w:val="es-ES_tradnl"/>
        </w:rPr>
        <w:t>.</w:t>
      </w:r>
    </w:p>
    <w:p w14:paraId="6164A6F1" w14:textId="77777777" w:rsidR="00FA4224" w:rsidRPr="00E019A9" w:rsidRDefault="008F79EA" w:rsidP="00AC1CA8">
      <w:pPr>
        <w:pStyle w:val="ListParagraph"/>
        <w:tabs>
          <w:tab w:val="left" w:pos="567"/>
        </w:tabs>
        <w:ind w:left="0"/>
        <w:rPr>
          <w:sz w:val="20"/>
          <w:szCs w:val="20"/>
          <w:lang w:val="es-ES_tradnl"/>
        </w:rPr>
      </w:pPr>
      <w:r w:rsidRPr="00E019A9">
        <w:rPr>
          <w:sz w:val="20"/>
          <w:szCs w:val="20"/>
          <w:lang w:val="es-ES_tradnl"/>
        </w:rPr>
        <w:t xml:space="preserve"> </w:t>
      </w:r>
    </w:p>
    <w:p w14:paraId="6D65587E" w14:textId="77777777" w:rsidR="00FA4224" w:rsidRPr="00E019A9" w:rsidRDefault="00686C38"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ES_tradnl"/>
        </w:rPr>
      </w:pPr>
      <w:r w:rsidRPr="00E019A9">
        <w:rPr>
          <w:sz w:val="20"/>
          <w:szCs w:val="20"/>
          <w:lang w:val="es-ES_tradnl"/>
        </w:rPr>
        <w:lastRenderedPageBreak/>
        <w:t>S</w:t>
      </w:r>
      <w:r w:rsidR="008F79EA" w:rsidRPr="00E019A9">
        <w:rPr>
          <w:sz w:val="20"/>
          <w:szCs w:val="20"/>
          <w:lang w:val="es-ES_tradnl"/>
        </w:rPr>
        <w:t xml:space="preserve">eñalaron que la sentencia de la Corte Suprema concedió a todos los acusados el beneficio de la media prescripción o prescripción gradual de la pena contenido en el </w:t>
      </w:r>
      <w:r w:rsidR="00BC235F" w:rsidRPr="00E019A9">
        <w:rPr>
          <w:sz w:val="20"/>
          <w:szCs w:val="20"/>
          <w:lang w:val="es-ES_tradnl"/>
        </w:rPr>
        <w:t>artículo</w:t>
      </w:r>
      <w:r w:rsidR="008F79EA" w:rsidRPr="00E019A9">
        <w:rPr>
          <w:sz w:val="20"/>
          <w:szCs w:val="20"/>
          <w:lang w:val="es-ES_tradnl"/>
        </w:rPr>
        <w:t xml:space="preserve"> 103 del Código Penal, a pesar de que se trataba en la especie de un caso en el que se debía castigar el crimen de lesa humanidad de desaparición forzada.  </w:t>
      </w:r>
    </w:p>
    <w:p w14:paraId="6400DE05" w14:textId="77777777" w:rsidR="00FB0354" w:rsidRPr="00E019A9" w:rsidRDefault="00FB0354" w:rsidP="00AC1CA8">
      <w:pPr>
        <w:pStyle w:val="ListParagraph"/>
        <w:tabs>
          <w:tab w:val="left" w:pos="567"/>
        </w:tabs>
        <w:rPr>
          <w:sz w:val="20"/>
          <w:szCs w:val="20"/>
          <w:lang w:val="es-ES_tradnl"/>
        </w:rPr>
      </w:pPr>
    </w:p>
    <w:p w14:paraId="10525696" w14:textId="77777777" w:rsidR="00FB0354" w:rsidRPr="006A251D" w:rsidRDefault="00686C38"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US"/>
        </w:rPr>
      </w:pPr>
      <w:r w:rsidRPr="00E019A9">
        <w:rPr>
          <w:rFonts w:asciiTheme="majorHAnsi" w:hAnsiTheme="majorHAnsi"/>
          <w:sz w:val="20"/>
          <w:szCs w:val="20"/>
          <w:lang w:val="es-US"/>
        </w:rPr>
        <w:t>A</w:t>
      </w:r>
      <w:r w:rsidR="00FB0354" w:rsidRPr="00E019A9">
        <w:rPr>
          <w:rFonts w:asciiTheme="majorHAnsi" w:hAnsiTheme="majorHAnsi"/>
          <w:sz w:val="20"/>
          <w:szCs w:val="20"/>
          <w:lang w:val="es-US"/>
        </w:rPr>
        <w:t xml:space="preserve">seguraron que esta </w:t>
      </w:r>
      <w:r w:rsidRPr="00E019A9">
        <w:rPr>
          <w:rFonts w:asciiTheme="majorHAnsi" w:hAnsiTheme="majorHAnsi"/>
          <w:sz w:val="20"/>
          <w:szCs w:val="20"/>
          <w:lang w:val="es-US"/>
        </w:rPr>
        <w:t>ú</w:t>
      </w:r>
      <w:r w:rsidR="00FB0354" w:rsidRPr="00E019A9">
        <w:rPr>
          <w:rFonts w:asciiTheme="majorHAnsi" w:hAnsiTheme="majorHAnsi"/>
          <w:sz w:val="20"/>
          <w:szCs w:val="20"/>
          <w:lang w:val="es-US"/>
        </w:rPr>
        <w:t xml:space="preserve">ltima </w:t>
      </w:r>
      <w:r w:rsidRPr="00E019A9">
        <w:rPr>
          <w:rFonts w:asciiTheme="majorHAnsi" w:hAnsiTheme="majorHAnsi"/>
          <w:sz w:val="20"/>
          <w:szCs w:val="20"/>
          <w:lang w:val="es-US"/>
        </w:rPr>
        <w:t>decisión</w:t>
      </w:r>
      <w:r w:rsidR="00FB0354" w:rsidRPr="00E019A9">
        <w:rPr>
          <w:rFonts w:asciiTheme="majorHAnsi" w:hAnsiTheme="majorHAnsi"/>
          <w:sz w:val="20"/>
          <w:szCs w:val="20"/>
          <w:lang w:val="es-US"/>
        </w:rPr>
        <w:t xml:space="preserve"> de la Corte Suprema representó una </w:t>
      </w:r>
      <w:r w:rsidR="00FB0354" w:rsidRPr="00E019A9">
        <w:rPr>
          <w:rFonts w:asciiTheme="majorHAnsi" w:hAnsiTheme="majorHAnsi"/>
          <w:sz w:val="20"/>
          <w:szCs w:val="20"/>
          <w:lang w:val="es-ES_tradnl"/>
        </w:rPr>
        <w:t xml:space="preserve">violación a los derechos a las garantías judiciales y protección judicial y expresaron que la petición comparte los mismos fundamentos que </w:t>
      </w:r>
      <w:r w:rsidR="00FB0354" w:rsidRPr="006A251D">
        <w:rPr>
          <w:sz w:val="20"/>
          <w:szCs w:val="20"/>
          <w:lang w:val="es-ES_tradnl"/>
        </w:rPr>
        <w:t xml:space="preserve">los plasmados en las peticiones previas que se acumularon en el caso 13.054, remitiéndose a sus comunicaciones previas.  </w:t>
      </w:r>
    </w:p>
    <w:p w14:paraId="41D07A21" w14:textId="77777777" w:rsidR="00FB0354" w:rsidRPr="006A251D" w:rsidRDefault="00FB0354" w:rsidP="00FB035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contextualSpacing/>
        <w:jc w:val="both"/>
        <w:rPr>
          <w:sz w:val="20"/>
          <w:szCs w:val="20"/>
          <w:lang w:val="es-US"/>
        </w:rPr>
      </w:pPr>
    </w:p>
    <w:p w14:paraId="75EA2252" w14:textId="77777777" w:rsidR="00FB0354" w:rsidRPr="006A251D" w:rsidRDefault="00FB0354" w:rsidP="00FB0354">
      <w:pPr>
        <w:ind w:left="709" w:right="288"/>
        <w:jc w:val="both"/>
        <w:rPr>
          <w:rFonts w:ascii="Cambria" w:hAnsi="Cambria" w:cs="Calibri"/>
          <w:b/>
          <w:bCs/>
          <w:sz w:val="20"/>
          <w:szCs w:val="20"/>
          <w:lang w:val="es-US"/>
        </w:rPr>
      </w:pPr>
      <w:r w:rsidRPr="006A251D">
        <w:rPr>
          <w:rFonts w:ascii="Cambria" w:hAnsi="Cambria" w:cs="Calibri"/>
          <w:b/>
          <w:bCs/>
          <w:sz w:val="20"/>
          <w:szCs w:val="20"/>
          <w:lang w:val="es-US"/>
        </w:rPr>
        <w:t xml:space="preserve">Alegatos presentados por los peticionarios </w:t>
      </w:r>
      <w:r w:rsidR="00E82A08" w:rsidRPr="006A251D">
        <w:rPr>
          <w:rFonts w:ascii="Cambria" w:hAnsi="Cambria" w:cs="Calibri"/>
          <w:b/>
          <w:bCs/>
          <w:sz w:val="20"/>
          <w:szCs w:val="20"/>
          <w:lang w:val="es-US"/>
        </w:rPr>
        <w:t>de</w:t>
      </w:r>
      <w:r w:rsidRPr="006A251D">
        <w:rPr>
          <w:rFonts w:ascii="Cambria" w:hAnsi="Cambria" w:cs="Calibri"/>
          <w:b/>
          <w:bCs/>
          <w:sz w:val="20"/>
          <w:szCs w:val="20"/>
          <w:lang w:val="es-US"/>
        </w:rPr>
        <w:t xml:space="preserve"> la </w:t>
      </w:r>
      <w:r w:rsidR="00076984" w:rsidRPr="006A251D">
        <w:rPr>
          <w:rFonts w:ascii="Cambria" w:hAnsi="Cambria" w:cs="Calibri"/>
          <w:b/>
          <w:bCs/>
          <w:sz w:val="20"/>
          <w:szCs w:val="20"/>
          <w:lang w:val="es-US"/>
        </w:rPr>
        <w:t>petición</w:t>
      </w:r>
      <w:r w:rsidRPr="006A251D">
        <w:rPr>
          <w:rFonts w:ascii="Cambria" w:hAnsi="Cambria" w:cs="Calibri"/>
          <w:b/>
          <w:bCs/>
          <w:sz w:val="20"/>
          <w:szCs w:val="20"/>
          <w:lang w:val="es-US"/>
        </w:rPr>
        <w:t xml:space="preserve"> interpuesta en representación de Cecilia Miguelina Bojanic Abad y Flavio Arquímedes Oyarzun Soto y sus respectivos familiares y registrada inicialmente por la Comisión bajo el número 674-11</w:t>
      </w:r>
    </w:p>
    <w:p w14:paraId="323397EE" w14:textId="77777777" w:rsidR="00FB0354" w:rsidRPr="006A251D" w:rsidRDefault="00FB0354" w:rsidP="00FB0354">
      <w:pPr>
        <w:jc w:val="both"/>
        <w:rPr>
          <w:rFonts w:ascii="Cambria" w:hAnsi="Cambria" w:cs="Calibri"/>
          <w:b/>
          <w:bCs/>
          <w:sz w:val="20"/>
          <w:szCs w:val="20"/>
          <w:lang w:val="es-US"/>
        </w:rPr>
      </w:pPr>
    </w:p>
    <w:p w14:paraId="00584DEC" w14:textId="77777777" w:rsidR="00FB0354" w:rsidRPr="006A251D" w:rsidRDefault="00FB0354"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ind w:left="0" w:firstLine="0"/>
        <w:contextualSpacing/>
        <w:jc w:val="both"/>
        <w:rPr>
          <w:sz w:val="20"/>
          <w:szCs w:val="20"/>
          <w:lang w:val="es-US"/>
        </w:rPr>
      </w:pPr>
      <w:r w:rsidRPr="006A251D">
        <w:rPr>
          <w:sz w:val="20"/>
          <w:szCs w:val="20"/>
          <w:lang w:val="es-US"/>
        </w:rPr>
        <w:t>De acuerdo con la comunicación inicial de la peticionaria, el 2 de octubre de 1974 la Sra. Cecilia Miguelina Bojanic Abad, embarazada de cuatro meses</w:t>
      </w:r>
      <w:r w:rsidR="00BE7B05" w:rsidRPr="006A251D">
        <w:rPr>
          <w:sz w:val="20"/>
          <w:szCs w:val="20"/>
          <w:lang w:val="es-US"/>
        </w:rPr>
        <w:t xml:space="preserve"> al momento de los hechos</w:t>
      </w:r>
      <w:r w:rsidRPr="006A251D">
        <w:rPr>
          <w:sz w:val="20"/>
          <w:szCs w:val="20"/>
          <w:lang w:val="es-US"/>
        </w:rPr>
        <w:t xml:space="preserve">, fue detenida en su domicilio por agentes de la DINA. Su esposo, el Sr. Flavio Arquímedes Oyarzun Soto, </w:t>
      </w:r>
      <w:r w:rsidR="00686C38" w:rsidRPr="006A251D">
        <w:rPr>
          <w:sz w:val="20"/>
          <w:szCs w:val="20"/>
          <w:lang w:val="es-US"/>
        </w:rPr>
        <w:t>también</w:t>
      </w:r>
      <w:r w:rsidRPr="006A251D">
        <w:rPr>
          <w:sz w:val="20"/>
          <w:szCs w:val="20"/>
          <w:lang w:val="es-US"/>
        </w:rPr>
        <w:t xml:space="preserve"> fue detenido </w:t>
      </w:r>
      <w:r w:rsidR="00BE7B05" w:rsidRPr="006A251D">
        <w:rPr>
          <w:sz w:val="20"/>
          <w:szCs w:val="20"/>
          <w:lang w:val="es-US"/>
        </w:rPr>
        <w:t>en esa fecha en otro lugar de la ciudad y ambos fueron conducidos al centro de detención clandestino y de tortura conocido como Ollahue o José Domingo Cañas. Posteriormente, continua el relato de los pet</w:t>
      </w:r>
      <w:r w:rsidR="00076984" w:rsidRPr="006A251D">
        <w:rPr>
          <w:sz w:val="20"/>
          <w:szCs w:val="20"/>
          <w:lang w:val="es-US"/>
        </w:rPr>
        <w:t xml:space="preserve">icionarios, los esposos fueron </w:t>
      </w:r>
      <w:r w:rsidR="00BE7B05" w:rsidRPr="006A251D">
        <w:rPr>
          <w:sz w:val="20"/>
          <w:szCs w:val="20"/>
          <w:lang w:val="es-US"/>
        </w:rPr>
        <w:t xml:space="preserve">trasladados al centro de </w:t>
      </w:r>
      <w:r w:rsidR="00686C38" w:rsidRPr="006A251D">
        <w:rPr>
          <w:sz w:val="20"/>
          <w:szCs w:val="20"/>
          <w:lang w:val="es-US"/>
        </w:rPr>
        <w:t>detención</w:t>
      </w:r>
      <w:r w:rsidR="00BE7B05" w:rsidRPr="006A251D">
        <w:rPr>
          <w:sz w:val="20"/>
          <w:szCs w:val="20"/>
          <w:lang w:val="es-US"/>
        </w:rPr>
        <w:t xml:space="preserve"> denominado Cuatro </w:t>
      </w:r>
      <w:r w:rsidR="00BC235F" w:rsidRPr="006A251D">
        <w:rPr>
          <w:sz w:val="20"/>
          <w:szCs w:val="20"/>
          <w:lang w:val="es-US"/>
        </w:rPr>
        <w:t>Álamos</w:t>
      </w:r>
      <w:r w:rsidR="00BE7B05" w:rsidRPr="006A251D">
        <w:rPr>
          <w:sz w:val="20"/>
          <w:szCs w:val="20"/>
          <w:lang w:val="es-US"/>
        </w:rPr>
        <w:t>, sin que hasta la fecha se tenga conocimiento de su</w:t>
      </w:r>
      <w:r w:rsidR="00577AB8" w:rsidRPr="006A251D">
        <w:rPr>
          <w:sz w:val="20"/>
          <w:szCs w:val="20"/>
          <w:lang w:val="es-US"/>
        </w:rPr>
        <w:t>s respectivos</w:t>
      </w:r>
      <w:r w:rsidR="00BE7B05" w:rsidRPr="006A251D">
        <w:rPr>
          <w:sz w:val="20"/>
          <w:szCs w:val="20"/>
          <w:lang w:val="es-US"/>
        </w:rPr>
        <w:t xml:space="preserve"> paradero</w:t>
      </w:r>
      <w:r w:rsidR="00577AB8" w:rsidRPr="006A251D">
        <w:rPr>
          <w:sz w:val="20"/>
          <w:szCs w:val="20"/>
          <w:lang w:val="es-US"/>
        </w:rPr>
        <w:t>s</w:t>
      </w:r>
      <w:r w:rsidR="00BE7B05" w:rsidRPr="006A251D">
        <w:rPr>
          <w:sz w:val="20"/>
          <w:szCs w:val="20"/>
          <w:lang w:val="es-US"/>
        </w:rPr>
        <w:t xml:space="preserve">. </w:t>
      </w:r>
    </w:p>
    <w:p w14:paraId="56B1FCA6" w14:textId="77777777" w:rsidR="00577AB8" w:rsidRPr="006A251D" w:rsidRDefault="00577AB8" w:rsidP="00AC1CA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ind w:left="0"/>
        <w:contextualSpacing/>
        <w:jc w:val="both"/>
        <w:rPr>
          <w:sz w:val="20"/>
          <w:szCs w:val="20"/>
          <w:lang w:val="es-US"/>
        </w:rPr>
      </w:pPr>
    </w:p>
    <w:p w14:paraId="053642B4" w14:textId="77777777" w:rsidR="00577AB8" w:rsidRPr="006A251D" w:rsidRDefault="00686C38"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ind w:left="0" w:firstLine="0"/>
        <w:contextualSpacing/>
        <w:jc w:val="both"/>
        <w:rPr>
          <w:sz w:val="20"/>
          <w:szCs w:val="20"/>
          <w:lang w:val="es-US"/>
        </w:rPr>
      </w:pPr>
      <w:r w:rsidRPr="006A251D">
        <w:rPr>
          <w:sz w:val="20"/>
          <w:szCs w:val="20"/>
          <w:lang w:val="es-US"/>
        </w:rPr>
        <w:t>I</w:t>
      </w:r>
      <w:r w:rsidR="00577AB8" w:rsidRPr="006A251D">
        <w:rPr>
          <w:sz w:val="20"/>
          <w:szCs w:val="20"/>
          <w:lang w:val="es-US"/>
        </w:rPr>
        <w:t xml:space="preserve">nformaron que los recursos de amparo y denuncias penales interpuestas por los familiares de las presuntas </w:t>
      </w:r>
      <w:r w:rsidR="00BC235F" w:rsidRPr="006A251D">
        <w:rPr>
          <w:sz w:val="20"/>
          <w:szCs w:val="20"/>
          <w:lang w:val="es-US"/>
        </w:rPr>
        <w:t>víctimas</w:t>
      </w:r>
      <w:r w:rsidR="00577AB8" w:rsidRPr="006A251D">
        <w:rPr>
          <w:sz w:val="20"/>
          <w:szCs w:val="20"/>
          <w:lang w:val="es-US"/>
        </w:rPr>
        <w:t xml:space="preserve"> no arrojaron resultado alguno y que todos los expedientes fueron </w:t>
      </w:r>
      <w:r w:rsidRPr="006A251D">
        <w:rPr>
          <w:sz w:val="20"/>
          <w:szCs w:val="20"/>
          <w:lang w:val="es-US"/>
        </w:rPr>
        <w:t>sobreseídos</w:t>
      </w:r>
      <w:r w:rsidR="00577AB8" w:rsidRPr="006A251D">
        <w:rPr>
          <w:sz w:val="20"/>
          <w:szCs w:val="20"/>
          <w:lang w:val="es-US"/>
        </w:rPr>
        <w:t xml:space="preserve"> y archivados. </w:t>
      </w:r>
      <w:r w:rsidRPr="006A251D">
        <w:rPr>
          <w:sz w:val="20"/>
          <w:szCs w:val="20"/>
          <w:lang w:val="es-US"/>
        </w:rPr>
        <w:t>Recién</w:t>
      </w:r>
      <w:r w:rsidR="00577AB8" w:rsidRPr="006A251D">
        <w:rPr>
          <w:sz w:val="20"/>
          <w:szCs w:val="20"/>
          <w:lang w:val="es-US"/>
        </w:rPr>
        <w:t xml:space="preserve"> en mayo de 2005, prosiguieron su relato, la Corte Suprema designó un ministro en visita extraordinaria para conocer en la </w:t>
      </w:r>
      <w:r w:rsidRPr="006A251D">
        <w:rPr>
          <w:sz w:val="20"/>
          <w:szCs w:val="20"/>
          <w:lang w:val="es-US"/>
        </w:rPr>
        <w:t>investigación</w:t>
      </w:r>
      <w:r w:rsidR="00577AB8" w:rsidRPr="006A251D">
        <w:rPr>
          <w:sz w:val="20"/>
          <w:szCs w:val="20"/>
          <w:lang w:val="es-US"/>
        </w:rPr>
        <w:t xml:space="preserve"> por lo sucedido con el matrimonio. En diciembre de 2006, el magistrado dictó sentencia imponiendo penas de </w:t>
      </w:r>
      <w:r w:rsidRPr="006A251D">
        <w:rPr>
          <w:sz w:val="20"/>
          <w:szCs w:val="20"/>
          <w:lang w:val="es-US"/>
        </w:rPr>
        <w:t>prisión</w:t>
      </w:r>
      <w:r w:rsidR="00577AB8" w:rsidRPr="006A251D">
        <w:rPr>
          <w:sz w:val="20"/>
          <w:szCs w:val="20"/>
          <w:lang w:val="es-US"/>
        </w:rPr>
        <w:t xml:space="preserve"> que fueron de entre 1</w:t>
      </w:r>
      <w:r w:rsidR="00A710EB" w:rsidRPr="006A251D">
        <w:rPr>
          <w:sz w:val="20"/>
          <w:szCs w:val="20"/>
          <w:lang w:val="es-US"/>
        </w:rPr>
        <w:t xml:space="preserve">0 años y tres años a siete ex integrantes de la DINA, </w:t>
      </w:r>
      <w:r w:rsidRPr="006A251D">
        <w:rPr>
          <w:sz w:val="20"/>
          <w:szCs w:val="20"/>
          <w:lang w:val="es-US"/>
        </w:rPr>
        <w:t>decisión</w:t>
      </w:r>
      <w:r w:rsidR="00A710EB" w:rsidRPr="006A251D">
        <w:rPr>
          <w:sz w:val="20"/>
          <w:szCs w:val="20"/>
          <w:lang w:val="es-US"/>
        </w:rPr>
        <w:t xml:space="preserve"> que fue confirmada por la Corte de Apelaciones.  </w:t>
      </w:r>
    </w:p>
    <w:p w14:paraId="0DA99F74" w14:textId="77777777" w:rsidR="00A710EB" w:rsidRPr="006A251D" w:rsidRDefault="00A710EB" w:rsidP="00AC1CA8">
      <w:pPr>
        <w:pStyle w:val="ListParagraph"/>
        <w:tabs>
          <w:tab w:val="left" w:pos="567"/>
        </w:tabs>
        <w:rPr>
          <w:sz w:val="20"/>
          <w:szCs w:val="20"/>
          <w:lang w:val="es-US"/>
        </w:rPr>
      </w:pPr>
    </w:p>
    <w:p w14:paraId="3F56D120" w14:textId="77777777" w:rsidR="00A710EB" w:rsidRPr="006A251D" w:rsidRDefault="00686C38"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ind w:left="0" w:firstLine="0"/>
        <w:contextualSpacing/>
        <w:jc w:val="both"/>
        <w:rPr>
          <w:sz w:val="20"/>
          <w:szCs w:val="20"/>
          <w:lang w:val="es-US"/>
        </w:rPr>
      </w:pPr>
      <w:r w:rsidRPr="006A251D">
        <w:rPr>
          <w:sz w:val="20"/>
          <w:szCs w:val="20"/>
          <w:lang w:val="es-US"/>
        </w:rPr>
        <w:t>Afirmaron que</w:t>
      </w:r>
      <w:r w:rsidR="00A710EB" w:rsidRPr="006A251D">
        <w:rPr>
          <w:sz w:val="20"/>
          <w:szCs w:val="20"/>
          <w:lang w:val="es-US"/>
        </w:rPr>
        <w:t xml:space="preserve"> la Corte Suprema mediante fallo de fecha 29 de septiembre de 2009 </w:t>
      </w:r>
      <w:r w:rsidR="00A710EB" w:rsidRPr="006A251D">
        <w:rPr>
          <w:sz w:val="20"/>
          <w:szCs w:val="20"/>
          <w:lang w:val="es-ES_tradnl"/>
        </w:rPr>
        <w:t>invalidó de oficio el fallo de la Corte de Apelaciones y procedió a dictar sentencia de reemplazo en la cual aplic</w:t>
      </w:r>
      <w:r w:rsidRPr="006A251D">
        <w:rPr>
          <w:sz w:val="20"/>
          <w:szCs w:val="20"/>
          <w:lang w:val="es-ES_tradnl"/>
        </w:rPr>
        <w:t>ó</w:t>
      </w:r>
      <w:r w:rsidR="00A710EB" w:rsidRPr="006A251D">
        <w:rPr>
          <w:sz w:val="20"/>
          <w:szCs w:val="20"/>
          <w:lang w:val="es-ES_tradnl"/>
        </w:rPr>
        <w:t xml:space="preserve"> a todos los condenados la figura de la prescripción gradual. En </w:t>
      </w:r>
      <w:r w:rsidR="00035B24" w:rsidRPr="006A251D">
        <w:rPr>
          <w:sz w:val="20"/>
          <w:szCs w:val="20"/>
          <w:lang w:val="es-ES_tradnl"/>
        </w:rPr>
        <w:t>consecuencia,</w:t>
      </w:r>
      <w:r w:rsidR="00A710EB" w:rsidRPr="006A251D">
        <w:rPr>
          <w:sz w:val="20"/>
          <w:szCs w:val="20"/>
          <w:lang w:val="es-ES_tradnl"/>
        </w:rPr>
        <w:t xml:space="preserve"> las penas de prisión impuestas a los condenados sufrieron una sensible disminución y en todos los casos salvo en uno, los magistrados decidieron conceder a los condenados medidas alternativas a la prisión. </w:t>
      </w:r>
    </w:p>
    <w:p w14:paraId="00A18402" w14:textId="77777777" w:rsidR="00A710EB" w:rsidRPr="006A251D" w:rsidRDefault="00A710EB" w:rsidP="00AC1CA8">
      <w:pPr>
        <w:pStyle w:val="ListParagraph"/>
        <w:tabs>
          <w:tab w:val="left" w:pos="567"/>
        </w:tabs>
        <w:rPr>
          <w:sz w:val="20"/>
          <w:szCs w:val="20"/>
          <w:lang w:val="es-ES_tradnl"/>
        </w:rPr>
      </w:pPr>
    </w:p>
    <w:p w14:paraId="4F51E9DD" w14:textId="77777777" w:rsidR="00A710EB" w:rsidRPr="006A251D" w:rsidRDefault="00686C38"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ind w:left="0" w:firstLine="0"/>
        <w:contextualSpacing/>
        <w:jc w:val="both"/>
        <w:rPr>
          <w:sz w:val="20"/>
          <w:szCs w:val="20"/>
          <w:lang w:val="es-US"/>
        </w:rPr>
      </w:pPr>
      <w:r w:rsidRPr="006A251D">
        <w:rPr>
          <w:sz w:val="20"/>
          <w:szCs w:val="20"/>
          <w:lang w:val="es-ES_tradnl"/>
        </w:rPr>
        <w:t>S</w:t>
      </w:r>
      <w:r w:rsidR="00A710EB" w:rsidRPr="006A251D">
        <w:rPr>
          <w:sz w:val="20"/>
          <w:szCs w:val="20"/>
          <w:lang w:val="es-ES_tradnl"/>
        </w:rPr>
        <w:t>ostuvieron que esta decisión de la Corte Suprema dej</w:t>
      </w:r>
      <w:r w:rsidRPr="006A251D">
        <w:rPr>
          <w:sz w:val="20"/>
          <w:szCs w:val="20"/>
          <w:lang w:val="es-ES_tradnl"/>
        </w:rPr>
        <w:t>ó</w:t>
      </w:r>
      <w:r w:rsidR="00A710EB" w:rsidRPr="006A251D">
        <w:rPr>
          <w:sz w:val="20"/>
          <w:szCs w:val="20"/>
          <w:lang w:val="es-ES_tradnl"/>
        </w:rPr>
        <w:t xml:space="preserve"> en gran medida impune, de manera encubierta, los graves delitos cometidos y consider</w:t>
      </w:r>
      <w:r w:rsidRPr="006A251D">
        <w:rPr>
          <w:sz w:val="20"/>
          <w:szCs w:val="20"/>
          <w:lang w:val="es-ES_tradnl"/>
        </w:rPr>
        <w:t>ó</w:t>
      </w:r>
      <w:r w:rsidR="00A710EB" w:rsidRPr="006A251D">
        <w:rPr>
          <w:sz w:val="20"/>
          <w:szCs w:val="20"/>
          <w:lang w:val="es-ES_tradnl"/>
        </w:rPr>
        <w:t xml:space="preserve"> que ello resulta en una violación al deber del Estado de juzgar y sancionar adecuadamente graves violaciones a los derechos humanos y los delitos de lesa humanidad. Finalmente, los </w:t>
      </w:r>
      <w:r w:rsidR="00035B24" w:rsidRPr="006A251D">
        <w:rPr>
          <w:sz w:val="20"/>
          <w:szCs w:val="20"/>
          <w:lang w:val="es-ES_tradnl"/>
        </w:rPr>
        <w:t>peticionarios expresaron</w:t>
      </w:r>
      <w:r w:rsidR="00A710EB" w:rsidRPr="006A251D">
        <w:rPr>
          <w:sz w:val="20"/>
          <w:szCs w:val="20"/>
          <w:lang w:val="es-ES_tradnl"/>
        </w:rPr>
        <w:t xml:space="preserve"> que la petición comparte los mismos fundamentos que los plasmados en las peticiones previas que se acumularon en el caso 13.054, remitiéndose a sus comunicaciones previas.  </w:t>
      </w:r>
    </w:p>
    <w:p w14:paraId="1485926A" w14:textId="77777777" w:rsidR="00FB0354" w:rsidRPr="006A251D" w:rsidRDefault="00FB0354" w:rsidP="00FB035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contextualSpacing/>
        <w:jc w:val="both"/>
        <w:rPr>
          <w:sz w:val="20"/>
          <w:szCs w:val="20"/>
          <w:lang w:val="es-ES_tradnl"/>
        </w:rPr>
      </w:pPr>
    </w:p>
    <w:p w14:paraId="634EA441" w14:textId="77777777" w:rsidR="00A710EB" w:rsidRPr="006A251D" w:rsidRDefault="00A710EB" w:rsidP="00A710EB">
      <w:pPr>
        <w:ind w:left="709" w:right="288"/>
        <w:jc w:val="both"/>
        <w:rPr>
          <w:rFonts w:ascii="Cambria" w:hAnsi="Cambria" w:cs="Calibri"/>
          <w:b/>
          <w:bCs/>
          <w:sz w:val="20"/>
          <w:szCs w:val="20"/>
          <w:lang w:val="es-US"/>
        </w:rPr>
      </w:pPr>
      <w:r w:rsidRPr="006A251D">
        <w:rPr>
          <w:rFonts w:ascii="Cambria" w:hAnsi="Cambria" w:cs="Calibri"/>
          <w:b/>
          <w:bCs/>
          <w:sz w:val="20"/>
          <w:szCs w:val="20"/>
          <w:lang w:val="es-US"/>
        </w:rPr>
        <w:t xml:space="preserve">Alegatos presentados por los peticionarios </w:t>
      </w:r>
      <w:r w:rsidR="00E82A08" w:rsidRPr="006A251D">
        <w:rPr>
          <w:rFonts w:ascii="Cambria" w:hAnsi="Cambria" w:cs="Calibri"/>
          <w:b/>
          <w:bCs/>
          <w:sz w:val="20"/>
          <w:szCs w:val="20"/>
          <w:lang w:val="es-US"/>
        </w:rPr>
        <w:t>de</w:t>
      </w:r>
      <w:r w:rsidRPr="006A251D">
        <w:rPr>
          <w:rFonts w:ascii="Cambria" w:hAnsi="Cambria" w:cs="Calibri"/>
          <w:b/>
          <w:bCs/>
          <w:sz w:val="20"/>
          <w:szCs w:val="20"/>
          <w:lang w:val="es-US"/>
        </w:rPr>
        <w:t xml:space="preserve"> la petición interpuesta en representación de los familiares de Felipe Segundo Rivera Gajardo, Gastón Fernando Vidaurrázaga Manríquez, José́ Humberto Carrasco Tapia y Abraham Muskatblit Eidelstein y registrada inicialmente por la Comisión bajo el número P 676-11.</w:t>
      </w:r>
    </w:p>
    <w:p w14:paraId="5B0030D9" w14:textId="77777777" w:rsidR="00A710EB" w:rsidRPr="006A251D" w:rsidRDefault="00A710EB" w:rsidP="00A710EB">
      <w:pPr>
        <w:jc w:val="both"/>
        <w:rPr>
          <w:rFonts w:ascii="Cambria" w:hAnsi="Cambria"/>
          <w:b/>
          <w:sz w:val="20"/>
          <w:szCs w:val="20"/>
          <w:lang w:val="es-ES_tradnl"/>
        </w:rPr>
      </w:pPr>
    </w:p>
    <w:p w14:paraId="315EC981" w14:textId="77777777" w:rsidR="00A710EB" w:rsidRPr="006A251D" w:rsidRDefault="0069237F" w:rsidP="00BB60A6">
      <w:pPr>
        <w:pStyle w:val="ListParagraph"/>
        <w:numPr>
          <w:ilvl w:val="0"/>
          <w:numId w:val="57"/>
        </w:numPr>
        <w:tabs>
          <w:tab w:val="left" w:pos="567"/>
        </w:tabs>
        <w:ind w:left="0" w:firstLine="0"/>
        <w:contextualSpacing/>
        <w:jc w:val="both"/>
        <w:rPr>
          <w:sz w:val="20"/>
          <w:szCs w:val="20"/>
          <w:lang w:val="es-VE"/>
        </w:rPr>
      </w:pPr>
      <w:r w:rsidRPr="006A251D">
        <w:rPr>
          <w:sz w:val="20"/>
          <w:szCs w:val="20"/>
          <w:lang w:val="es-VE"/>
        </w:rPr>
        <w:t>Los peticionarios sost</w:t>
      </w:r>
      <w:r w:rsidR="00686C38" w:rsidRPr="006A251D">
        <w:rPr>
          <w:sz w:val="20"/>
          <w:szCs w:val="20"/>
          <w:lang w:val="es-VE"/>
        </w:rPr>
        <w:t>i</w:t>
      </w:r>
      <w:r w:rsidRPr="006A251D">
        <w:rPr>
          <w:sz w:val="20"/>
          <w:szCs w:val="20"/>
          <w:lang w:val="es-VE"/>
        </w:rPr>
        <w:t xml:space="preserve">enen que las </w:t>
      </w:r>
      <w:r w:rsidR="00686C38" w:rsidRPr="006A251D">
        <w:rPr>
          <w:sz w:val="20"/>
          <w:szCs w:val="20"/>
          <w:lang w:val="es-VE"/>
        </w:rPr>
        <w:t xml:space="preserve">presuntas </w:t>
      </w:r>
      <w:r w:rsidRPr="006A251D">
        <w:rPr>
          <w:sz w:val="20"/>
          <w:szCs w:val="20"/>
          <w:lang w:val="es-VE"/>
        </w:rPr>
        <w:t>v</w:t>
      </w:r>
      <w:r w:rsidR="00686C38" w:rsidRPr="006A251D">
        <w:rPr>
          <w:sz w:val="20"/>
          <w:szCs w:val="20"/>
          <w:lang w:val="es-VE"/>
        </w:rPr>
        <w:t>íc</w:t>
      </w:r>
      <w:r w:rsidRPr="006A251D">
        <w:rPr>
          <w:sz w:val="20"/>
          <w:szCs w:val="20"/>
          <w:lang w:val="es-VE"/>
        </w:rPr>
        <w:t>t</w:t>
      </w:r>
      <w:r w:rsidR="00686C38" w:rsidRPr="006A251D">
        <w:rPr>
          <w:sz w:val="20"/>
          <w:szCs w:val="20"/>
          <w:lang w:val="es-VE"/>
        </w:rPr>
        <w:t>i</w:t>
      </w:r>
      <w:r w:rsidRPr="006A251D">
        <w:rPr>
          <w:sz w:val="20"/>
          <w:szCs w:val="20"/>
          <w:lang w:val="es-VE"/>
        </w:rPr>
        <w:t xml:space="preserve">mas fueron arrestadas sin orden judicial y posteriormente asesinadas por agentes de la Central Nacional de Informaciones (CNI) durante la madrugada de los </w:t>
      </w:r>
      <w:r w:rsidR="00BC235F" w:rsidRPr="006A251D">
        <w:rPr>
          <w:sz w:val="20"/>
          <w:szCs w:val="20"/>
          <w:lang w:val="es-VE"/>
        </w:rPr>
        <w:t>días</w:t>
      </w:r>
      <w:r w:rsidRPr="006A251D">
        <w:rPr>
          <w:sz w:val="20"/>
          <w:szCs w:val="20"/>
          <w:lang w:val="es-VE"/>
        </w:rPr>
        <w:t xml:space="preserve"> 8 y 9 de septiembre de 198</w:t>
      </w:r>
      <w:r w:rsidR="00B5224D" w:rsidRPr="006A251D">
        <w:rPr>
          <w:sz w:val="20"/>
          <w:szCs w:val="20"/>
          <w:lang w:val="es-VE"/>
        </w:rPr>
        <w:t>6</w:t>
      </w:r>
      <w:r w:rsidRPr="006A251D">
        <w:rPr>
          <w:sz w:val="20"/>
          <w:szCs w:val="20"/>
          <w:lang w:val="es-VE"/>
        </w:rPr>
        <w:t xml:space="preserve"> como represalia por el atentado frustrado sufrido </w:t>
      </w:r>
      <w:r w:rsidR="00DB49A4" w:rsidRPr="006A251D">
        <w:rPr>
          <w:sz w:val="20"/>
          <w:szCs w:val="20"/>
          <w:lang w:val="es-VE"/>
        </w:rPr>
        <w:t xml:space="preserve">el </w:t>
      </w:r>
      <w:r w:rsidR="00BC235F" w:rsidRPr="006A251D">
        <w:rPr>
          <w:sz w:val="20"/>
          <w:szCs w:val="20"/>
          <w:lang w:val="es-VE"/>
        </w:rPr>
        <w:t>día</w:t>
      </w:r>
      <w:r w:rsidR="00DB49A4" w:rsidRPr="006A251D">
        <w:rPr>
          <w:sz w:val="20"/>
          <w:szCs w:val="20"/>
          <w:lang w:val="es-VE"/>
        </w:rPr>
        <w:t xml:space="preserve"> anterior </w:t>
      </w:r>
      <w:r w:rsidRPr="006A251D">
        <w:rPr>
          <w:sz w:val="20"/>
          <w:szCs w:val="20"/>
          <w:lang w:val="es-VE"/>
        </w:rPr>
        <w:t xml:space="preserve">por el dictador Augusto Pinochet Ugarte. </w:t>
      </w:r>
    </w:p>
    <w:p w14:paraId="1C651715" w14:textId="77777777" w:rsidR="00B5224D" w:rsidRPr="006A251D" w:rsidRDefault="00B5224D" w:rsidP="00AC1CA8">
      <w:pPr>
        <w:pStyle w:val="ListParagraph"/>
        <w:tabs>
          <w:tab w:val="left" w:pos="567"/>
        </w:tabs>
        <w:ind w:left="0"/>
        <w:contextualSpacing/>
        <w:jc w:val="both"/>
        <w:rPr>
          <w:sz w:val="20"/>
          <w:szCs w:val="20"/>
          <w:lang w:val="es-VE"/>
        </w:rPr>
      </w:pPr>
    </w:p>
    <w:p w14:paraId="6D334376" w14:textId="77777777" w:rsidR="005D24C6" w:rsidRPr="006A251D" w:rsidRDefault="00686C38" w:rsidP="00BB60A6">
      <w:pPr>
        <w:pStyle w:val="ListParagraph"/>
        <w:numPr>
          <w:ilvl w:val="0"/>
          <w:numId w:val="57"/>
        </w:numPr>
        <w:tabs>
          <w:tab w:val="left" w:pos="567"/>
        </w:tabs>
        <w:ind w:left="0" w:firstLine="0"/>
        <w:contextualSpacing/>
        <w:jc w:val="both"/>
        <w:rPr>
          <w:sz w:val="20"/>
          <w:szCs w:val="20"/>
          <w:lang w:val="es-VE"/>
        </w:rPr>
      </w:pPr>
      <w:r w:rsidRPr="006A251D">
        <w:rPr>
          <w:sz w:val="20"/>
          <w:szCs w:val="20"/>
          <w:lang w:val="es-VE"/>
        </w:rPr>
        <w:t>I</w:t>
      </w:r>
      <w:r w:rsidR="00B5224D" w:rsidRPr="006A251D">
        <w:rPr>
          <w:sz w:val="20"/>
          <w:szCs w:val="20"/>
          <w:lang w:val="es-VE"/>
        </w:rPr>
        <w:t>nformaron que las diversas querellas y denuncias presentadas por los familiares de las v</w:t>
      </w:r>
      <w:r w:rsidRPr="006A251D">
        <w:rPr>
          <w:sz w:val="20"/>
          <w:szCs w:val="20"/>
          <w:lang w:val="es-VE"/>
        </w:rPr>
        <w:t>íc</w:t>
      </w:r>
      <w:r w:rsidR="00B5224D" w:rsidRPr="006A251D">
        <w:rPr>
          <w:sz w:val="20"/>
          <w:szCs w:val="20"/>
          <w:lang w:val="es-VE"/>
        </w:rPr>
        <w:t>t</w:t>
      </w:r>
      <w:r w:rsidRPr="006A251D">
        <w:rPr>
          <w:sz w:val="20"/>
          <w:szCs w:val="20"/>
          <w:lang w:val="es-VE"/>
        </w:rPr>
        <w:t>i</w:t>
      </w:r>
      <w:r w:rsidR="00B5224D" w:rsidRPr="006A251D">
        <w:rPr>
          <w:sz w:val="20"/>
          <w:szCs w:val="20"/>
          <w:lang w:val="es-VE"/>
        </w:rPr>
        <w:t xml:space="preserve">mas se acumularon en una sola investigación y que en diciembre de 2006 se dictó sentencia de primera instancia por medio de la cual se condenó a 11 ex funcionarios de la CNI a penas de entre quince años a cinco años y un día de presidio más accesorias. Esta </w:t>
      </w:r>
      <w:r w:rsidR="00BC235F" w:rsidRPr="006A251D">
        <w:rPr>
          <w:sz w:val="20"/>
          <w:szCs w:val="20"/>
          <w:lang w:val="es-VE"/>
        </w:rPr>
        <w:t>decisión</w:t>
      </w:r>
      <w:r w:rsidR="00B5224D" w:rsidRPr="006A251D">
        <w:rPr>
          <w:sz w:val="20"/>
          <w:szCs w:val="20"/>
          <w:lang w:val="es-VE"/>
        </w:rPr>
        <w:t xml:space="preserve"> fue confirmada por la Corte de Apelaciones de Santiago. </w:t>
      </w:r>
    </w:p>
    <w:p w14:paraId="62B006F8" w14:textId="77777777" w:rsidR="00B5224D" w:rsidRPr="006A251D" w:rsidRDefault="00B5224D" w:rsidP="00AC1CA8">
      <w:pPr>
        <w:pStyle w:val="ListParagraph"/>
        <w:tabs>
          <w:tab w:val="left" w:pos="567"/>
        </w:tabs>
        <w:rPr>
          <w:sz w:val="20"/>
          <w:szCs w:val="20"/>
          <w:lang w:val="es-VE"/>
        </w:rPr>
      </w:pPr>
    </w:p>
    <w:p w14:paraId="160830BD" w14:textId="77777777" w:rsidR="00B5224D" w:rsidRPr="006A251D" w:rsidRDefault="00686C38" w:rsidP="00BB60A6">
      <w:pPr>
        <w:pStyle w:val="ListParagraph"/>
        <w:numPr>
          <w:ilvl w:val="0"/>
          <w:numId w:val="57"/>
        </w:numPr>
        <w:tabs>
          <w:tab w:val="left" w:pos="567"/>
        </w:tabs>
        <w:ind w:left="0" w:firstLine="0"/>
        <w:contextualSpacing/>
        <w:jc w:val="both"/>
        <w:rPr>
          <w:sz w:val="20"/>
          <w:szCs w:val="20"/>
          <w:lang w:val="es-VE"/>
        </w:rPr>
      </w:pPr>
      <w:r w:rsidRPr="006A251D">
        <w:rPr>
          <w:sz w:val="20"/>
          <w:szCs w:val="20"/>
          <w:lang w:val="es-VE"/>
        </w:rPr>
        <w:lastRenderedPageBreak/>
        <w:t>A</w:t>
      </w:r>
      <w:r w:rsidR="00B5224D" w:rsidRPr="006A251D">
        <w:rPr>
          <w:sz w:val="20"/>
          <w:szCs w:val="20"/>
          <w:lang w:val="es-VE"/>
        </w:rPr>
        <w:t xml:space="preserve">ñadieron </w:t>
      </w:r>
      <w:r w:rsidRPr="006A251D">
        <w:rPr>
          <w:sz w:val="20"/>
          <w:szCs w:val="20"/>
          <w:lang w:val="es-VE"/>
        </w:rPr>
        <w:t>que</w:t>
      </w:r>
      <w:r w:rsidR="00B5224D" w:rsidRPr="006A251D">
        <w:rPr>
          <w:sz w:val="20"/>
          <w:szCs w:val="20"/>
          <w:lang w:val="es-VE"/>
        </w:rPr>
        <w:t xml:space="preserve">, en agosto de 2009 la Corte Suprema de Justicia, en ocasión de conocer los recursos de </w:t>
      </w:r>
      <w:r w:rsidR="00BC235F" w:rsidRPr="006A251D">
        <w:rPr>
          <w:sz w:val="20"/>
          <w:szCs w:val="20"/>
          <w:lang w:val="es-VE"/>
        </w:rPr>
        <w:t>casación</w:t>
      </w:r>
      <w:r w:rsidR="00B5224D" w:rsidRPr="006A251D">
        <w:rPr>
          <w:sz w:val="20"/>
          <w:szCs w:val="20"/>
          <w:lang w:val="es-VE"/>
        </w:rPr>
        <w:t xml:space="preserve"> interpuestos por las defensas de los condenados, decidió anular de oficio las sentencias de los tribunales inferiores y dictó una nueva de reemplazo sin nueva vista. En esta nueva sentencia, las penas impuestas a los condenados se vieron disminuidas por la aplicación de las atenuantes de irreprochable conducta previa y </w:t>
      </w:r>
      <w:r w:rsidR="00BC235F" w:rsidRPr="006A251D">
        <w:rPr>
          <w:sz w:val="20"/>
          <w:szCs w:val="20"/>
          <w:lang w:val="es-VE"/>
        </w:rPr>
        <w:t>prescripción</w:t>
      </w:r>
      <w:r w:rsidR="00B5224D" w:rsidRPr="006A251D">
        <w:rPr>
          <w:sz w:val="20"/>
          <w:szCs w:val="20"/>
          <w:lang w:val="es-VE"/>
        </w:rPr>
        <w:t xml:space="preserve"> gradual. Ello ocasion</w:t>
      </w:r>
      <w:r w:rsidR="000F0891" w:rsidRPr="006A251D">
        <w:rPr>
          <w:sz w:val="20"/>
          <w:szCs w:val="20"/>
          <w:lang w:val="es-VE"/>
        </w:rPr>
        <w:t>ó que once de los condenados se vieran beneficiados con medidas alternativas a la prisi</w:t>
      </w:r>
      <w:r w:rsidR="00EE0B6C" w:rsidRPr="006A251D">
        <w:rPr>
          <w:sz w:val="20"/>
          <w:szCs w:val="20"/>
          <w:lang w:val="es-VE"/>
        </w:rPr>
        <w:t>ó</w:t>
      </w:r>
      <w:r w:rsidR="000F0891" w:rsidRPr="006A251D">
        <w:rPr>
          <w:sz w:val="20"/>
          <w:szCs w:val="20"/>
          <w:lang w:val="es-VE"/>
        </w:rPr>
        <w:t xml:space="preserve">n. </w:t>
      </w:r>
    </w:p>
    <w:p w14:paraId="53427190" w14:textId="77777777" w:rsidR="000F0891" w:rsidRPr="006A251D" w:rsidRDefault="000F0891" w:rsidP="00AC1CA8">
      <w:pPr>
        <w:pStyle w:val="ListParagraph"/>
        <w:tabs>
          <w:tab w:val="left" w:pos="567"/>
        </w:tabs>
        <w:rPr>
          <w:sz w:val="20"/>
          <w:szCs w:val="20"/>
          <w:lang w:val="es-VE"/>
        </w:rPr>
      </w:pPr>
    </w:p>
    <w:p w14:paraId="370B9647" w14:textId="77777777" w:rsidR="000F0891" w:rsidRPr="006A251D" w:rsidRDefault="00686C38"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ind w:left="0" w:firstLine="0"/>
        <w:contextualSpacing/>
        <w:jc w:val="both"/>
        <w:rPr>
          <w:sz w:val="20"/>
          <w:szCs w:val="20"/>
          <w:lang w:val="es-US"/>
        </w:rPr>
      </w:pPr>
      <w:r w:rsidRPr="006A251D">
        <w:rPr>
          <w:sz w:val="20"/>
          <w:szCs w:val="20"/>
          <w:lang w:val="es-VE"/>
        </w:rPr>
        <w:t>A</w:t>
      </w:r>
      <w:r w:rsidR="000F0891" w:rsidRPr="006A251D">
        <w:rPr>
          <w:sz w:val="20"/>
          <w:szCs w:val="20"/>
          <w:lang w:val="es-VE"/>
        </w:rPr>
        <w:t>legaron que la decisi</w:t>
      </w:r>
      <w:r w:rsidR="0039344B" w:rsidRPr="006A251D">
        <w:rPr>
          <w:sz w:val="20"/>
          <w:szCs w:val="20"/>
          <w:lang w:val="es-VE"/>
        </w:rPr>
        <w:t>ó</w:t>
      </w:r>
      <w:r w:rsidR="000F0891" w:rsidRPr="006A251D">
        <w:rPr>
          <w:sz w:val="20"/>
          <w:szCs w:val="20"/>
          <w:lang w:val="es-VE"/>
        </w:rPr>
        <w:t>n de la Corte Suprema desconoci</w:t>
      </w:r>
      <w:r w:rsidR="00EE0B6C" w:rsidRPr="006A251D">
        <w:rPr>
          <w:sz w:val="20"/>
          <w:szCs w:val="20"/>
          <w:lang w:val="es-VE"/>
        </w:rPr>
        <w:t>ó</w:t>
      </w:r>
      <w:r w:rsidR="000F0891" w:rsidRPr="006A251D">
        <w:rPr>
          <w:sz w:val="20"/>
          <w:szCs w:val="20"/>
          <w:lang w:val="es-VE"/>
        </w:rPr>
        <w:t xml:space="preserve"> las </w:t>
      </w:r>
      <w:r w:rsidR="00BC235F" w:rsidRPr="006A251D">
        <w:rPr>
          <w:sz w:val="20"/>
          <w:szCs w:val="20"/>
          <w:lang w:val="es-VE"/>
        </w:rPr>
        <w:t>obligaciones que</w:t>
      </w:r>
      <w:r w:rsidR="000F0891" w:rsidRPr="006A251D">
        <w:rPr>
          <w:sz w:val="20"/>
          <w:szCs w:val="20"/>
          <w:lang w:val="es-VE"/>
        </w:rPr>
        <w:t xml:space="preserve"> en protecci</w:t>
      </w:r>
      <w:r w:rsidR="00EE0B6C" w:rsidRPr="006A251D">
        <w:rPr>
          <w:sz w:val="20"/>
          <w:szCs w:val="20"/>
          <w:lang w:val="es-VE"/>
        </w:rPr>
        <w:t>ó</w:t>
      </w:r>
      <w:r w:rsidR="000F0891" w:rsidRPr="006A251D">
        <w:rPr>
          <w:sz w:val="20"/>
          <w:szCs w:val="20"/>
          <w:lang w:val="es-VE"/>
        </w:rPr>
        <w:t xml:space="preserve">n de los derechos fundamentales ordenan a los Estados sancionar a los responsables con penas proporcionales y pertinentes con el fin de que </w:t>
      </w:r>
      <w:r w:rsidR="00BC235F" w:rsidRPr="006A251D">
        <w:rPr>
          <w:sz w:val="20"/>
          <w:szCs w:val="20"/>
          <w:lang w:val="es-VE"/>
        </w:rPr>
        <w:t>crímenes</w:t>
      </w:r>
      <w:r w:rsidR="000F0891" w:rsidRPr="006A251D">
        <w:rPr>
          <w:sz w:val="20"/>
          <w:szCs w:val="20"/>
          <w:lang w:val="es-VE"/>
        </w:rPr>
        <w:t xml:space="preserve"> como los sufridos por las </w:t>
      </w:r>
      <w:r w:rsidR="00BC235F" w:rsidRPr="006A251D">
        <w:rPr>
          <w:sz w:val="20"/>
          <w:szCs w:val="20"/>
          <w:lang w:val="es-VE"/>
        </w:rPr>
        <w:t>víctimas</w:t>
      </w:r>
      <w:r w:rsidR="000F0891" w:rsidRPr="006A251D">
        <w:rPr>
          <w:sz w:val="20"/>
          <w:szCs w:val="20"/>
          <w:lang w:val="es-VE"/>
        </w:rPr>
        <w:t xml:space="preserve"> no vuelvan a cometerse. Finalmente, los peticionarios </w:t>
      </w:r>
      <w:r w:rsidR="000F0891" w:rsidRPr="006A251D">
        <w:rPr>
          <w:sz w:val="20"/>
          <w:szCs w:val="20"/>
          <w:lang w:val="es-ES_tradnl"/>
        </w:rPr>
        <w:t xml:space="preserve">expresaron que la petición comparte los mismos fundamentos que </w:t>
      </w:r>
      <w:r w:rsidR="00A03581" w:rsidRPr="006A251D">
        <w:rPr>
          <w:sz w:val="20"/>
          <w:szCs w:val="20"/>
          <w:lang w:val="es-ES_tradnl"/>
        </w:rPr>
        <w:t>aquellos</w:t>
      </w:r>
      <w:r w:rsidR="000F0891" w:rsidRPr="006A251D">
        <w:rPr>
          <w:sz w:val="20"/>
          <w:szCs w:val="20"/>
          <w:lang w:val="es-ES_tradnl"/>
        </w:rPr>
        <w:t xml:space="preserve"> plasmados en las peticiones previas que se acumularon en el caso 13.054, remitiéndose a sus comunicaciones previas.  </w:t>
      </w:r>
    </w:p>
    <w:p w14:paraId="5290EA06" w14:textId="77777777" w:rsidR="000F0891" w:rsidRPr="006A251D" w:rsidRDefault="000F0891" w:rsidP="000F0891">
      <w:pPr>
        <w:pStyle w:val="ListParagraph"/>
        <w:rPr>
          <w:sz w:val="20"/>
          <w:szCs w:val="20"/>
          <w:lang w:val="es-US"/>
        </w:rPr>
      </w:pPr>
    </w:p>
    <w:p w14:paraId="1C6EC5EB" w14:textId="77777777" w:rsidR="00EE0B6C" w:rsidRPr="006A251D" w:rsidRDefault="00EE0B6C" w:rsidP="00EE0B6C">
      <w:pPr>
        <w:ind w:left="709" w:right="288"/>
        <w:jc w:val="both"/>
        <w:rPr>
          <w:rFonts w:ascii="Cambria" w:hAnsi="Cambria" w:cs="Calibri"/>
          <w:b/>
          <w:bCs/>
          <w:sz w:val="20"/>
          <w:szCs w:val="20"/>
          <w:lang w:val="es-US"/>
        </w:rPr>
      </w:pPr>
      <w:r w:rsidRPr="006A251D">
        <w:rPr>
          <w:rFonts w:ascii="Cambria" w:hAnsi="Cambria" w:cs="Calibri"/>
          <w:b/>
          <w:bCs/>
          <w:sz w:val="20"/>
          <w:szCs w:val="20"/>
          <w:lang w:val="es-US"/>
        </w:rPr>
        <w:t xml:space="preserve">Alegatos presentados por los peticionarios </w:t>
      </w:r>
      <w:r w:rsidR="00E82A08" w:rsidRPr="006A251D">
        <w:rPr>
          <w:rFonts w:ascii="Cambria" w:hAnsi="Cambria" w:cs="Calibri"/>
          <w:b/>
          <w:bCs/>
          <w:sz w:val="20"/>
          <w:szCs w:val="20"/>
          <w:lang w:val="es-US"/>
        </w:rPr>
        <w:t>de</w:t>
      </w:r>
      <w:r w:rsidRPr="006A251D">
        <w:rPr>
          <w:rFonts w:ascii="Cambria" w:hAnsi="Cambria" w:cs="Calibri"/>
          <w:b/>
          <w:bCs/>
          <w:sz w:val="20"/>
          <w:szCs w:val="20"/>
          <w:lang w:val="es-US"/>
        </w:rPr>
        <w:t xml:space="preserve"> la </w:t>
      </w:r>
      <w:r w:rsidR="00076984" w:rsidRPr="006A251D">
        <w:rPr>
          <w:rFonts w:ascii="Cambria" w:hAnsi="Cambria" w:cs="Calibri"/>
          <w:b/>
          <w:bCs/>
          <w:sz w:val="20"/>
          <w:szCs w:val="20"/>
          <w:lang w:val="es-US"/>
        </w:rPr>
        <w:t>petición</w:t>
      </w:r>
      <w:r w:rsidRPr="006A251D">
        <w:rPr>
          <w:rFonts w:ascii="Cambria" w:hAnsi="Cambria" w:cs="Calibri"/>
          <w:b/>
          <w:bCs/>
          <w:sz w:val="20"/>
          <w:szCs w:val="20"/>
          <w:lang w:val="es-US"/>
        </w:rPr>
        <w:t xml:space="preserve"> interpuesta en representación de José́ Félix García Franco y sus familiares y registrada inicialmente por la Comisión bajo el n</w:t>
      </w:r>
      <w:r w:rsidR="00565008" w:rsidRPr="006A251D">
        <w:rPr>
          <w:rFonts w:ascii="Cambria" w:hAnsi="Cambria" w:cs="Calibri"/>
          <w:b/>
          <w:bCs/>
          <w:sz w:val="20"/>
          <w:szCs w:val="20"/>
          <w:lang w:val="es-US"/>
        </w:rPr>
        <w:t>ú</w:t>
      </w:r>
      <w:r w:rsidRPr="006A251D">
        <w:rPr>
          <w:rFonts w:ascii="Cambria" w:hAnsi="Cambria" w:cs="Calibri"/>
          <w:b/>
          <w:bCs/>
          <w:sz w:val="20"/>
          <w:szCs w:val="20"/>
          <w:lang w:val="es-US"/>
        </w:rPr>
        <w:t>mero P 1275-04</w:t>
      </w:r>
    </w:p>
    <w:p w14:paraId="60AB84C3" w14:textId="77777777" w:rsidR="00EE0B6C" w:rsidRPr="006A251D" w:rsidRDefault="00EE0B6C" w:rsidP="00EE0B6C">
      <w:pPr>
        <w:jc w:val="both"/>
        <w:rPr>
          <w:rFonts w:ascii="Cambria" w:hAnsi="Cambria"/>
          <w:b/>
          <w:sz w:val="20"/>
          <w:szCs w:val="20"/>
          <w:lang w:val="es-VE"/>
        </w:rPr>
      </w:pPr>
    </w:p>
    <w:p w14:paraId="2F11161E" w14:textId="77777777" w:rsidR="00385064" w:rsidRPr="006A251D" w:rsidRDefault="00385064"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VE"/>
        </w:rPr>
      </w:pPr>
      <w:r w:rsidRPr="006A251D">
        <w:rPr>
          <w:sz w:val="20"/>
          <w:szCs w:val="20"/>
          <w:lang w:val="es-VE"/>
        </w:rPr>
        <w:t>Los peticionarios relataron que el 13 de septiembre de 1973 el Sr. Jose F</w:t>
      </w:r>
      <w:r w:rsidR="00ED4193" w:rsidRPr="006A251D">
        <w:rPr>
          <w:sz w:val="20"/>
          <w:szCs w:val="20"/>
          <w:lang w:val="es-VE"/>
        </w:rPr>
        <w:t>é</w:t>
      </w:r>
      <w:r w:rsidRPr="006A251D">
        <w:rPr>
          <w:sz w:val="20"/>
          <w:szCs w:val="20"/>
          <w:lang w:val="es-VE"/>
        </w:rPr>
        <w:t xml:space="preserve">lix </w:t>
      </w:r>
      <w:r w:rsidR="002A4062" w:rsidRPr="006A251D">
        <w:rPr>
          <w:sz w:val="20"/>
          <w:szCs w:val="20"/>
          <w:lang w:val="es-VE"/>
        </w:rPr>
        <w:t>García</w:t>
      </w:r>
      <w:r w:rsidRPr="006A251D">
        <w:rPr>
          <w:sz w:val="20"/>
          <w:szCs w:val="20"/>
          <w:lang w:val="es-VE"/>
        </w:rPr>
        <w:t xml:space="preserve"> Franco se presentó de manera voluntaria en una unidad de Carabineros ante la requ</w:t>
      </w:r>
      <w:r w:rsidR="0026261D" w:rsidRPr="006A251D">
        <w:rPr>
          <w:sz w:val="20"/>
          <w:szCs w:val="20"/>
          <w:lang w:val="es-VE"/>
        </w:rPr>
        <w:t>i</w:t>
      </w:r>
      <w:r w:rsidRPr="006A251D">
        <w:rPr>
          <w:sz w:val="20"/>
          <w:szCs w:val="20"/>
          <w:lang w:val="es-VE"/>
        </w:rPr>
        <w:t xml:space="preserve">sitoria efectuada por medio de un bando militar transmitido por radio. Acto seguido, el Sr. </w:t>
      </w:r>
      <w:r w:rsidR="002A4062" w:rsidRPr="006A251D">
        <w:rPr>
          <w:sz w:val="20"/>
          <w:szCs w:val="20"/>
          <w:lang w:val="es-VE"/>
        </w:rPr>
        <w:t>García</w:t>
      </w:r>
      <w:r w:rsidRPr="006A251D">
        <w:rPr>
          <w:sz w:val="20"/>
          <w:szCs w:val="20"/>
          <w:lang w:val="es-VE"/>
        </w:rPr>
        <w:t xml:space="preserve"> Franco fue conducido a la Segunda Comisaria de Carabineros de Temuco donde eran llevados los detenidos </w:t>
      </w:r>
      <w:r w:rsidR="002A4062" w:rsidRPr="006A251D">
        <w:rPr>
          <w:sz w:val="20"/>
          <w:szCs w:val="20"/>
          <w:lang w:val="es-VE"/>
        </w:rPr>
        <w:t>políticos</w:t>
      </w:r>
      <w:r w:rsidRPr="006A251D">
        <w:rPr>
          <w:sz w:val="20"/>
          <w:szCs w:val="20"/>
          <w:lang w:val="es-VE"/>
        </w:rPr>
        <w:t xml:space="preserve"> de la zona y añadieron que 19 de septiembre su esposa fue informada por funcionarios de Carabineros que el Sr. </w:t>
      </w:r>
      <w:r w:rsidR="002A4062" w:rsidRPr="006A251D">
        <w:rPr>
          <w:sz w:val="20"/>
          <w:szCs w:val="20"/>
          <w:lang w:val="es-VE"/>
        </w:rPr>
        <w:t>García</w:t>
      </w:r>
      <w:r w:rsidRPr="006A251D">
        <w:rPr>
          <w:sz w:val="20"/>
          <w:szCs w:val="20"/>
          <w:lang w:val="es-VE"/>
        </w:rPr>
        <w:t xml:space="preserve"> Franco hab</w:t>
      </w:r>
      <w:r w:rsidR="0026261D" w:rsidRPr="006A251D">
        <w:rPr>
          <w:sz w:val="20"/>
          <w:szCs w:val="20"/>
          <w:lang w:val="es-VE"/>
        </w:rPr>
        <w:t>í</w:t>
      </w:r>
      <w:r w:rsidRPr="006A251D">
        <w:rPr>
          <w:sz w:val="20"/>
          <w:szCs w:val="20"/>
          <w:lang w:val="es-VE"/>
        </w:rPr>
        <w:t xml:space="preserve">a sido dejado en libertad en un paso fronterizo. Los peticionarios agregaron que, desde esa fecha, el Sr. </w:t>
      </w:r>
      <w:r w:rsidR="002A4062" w:rsidRPr="006A251D">
        <w:rPr>
          <w:sz w:val="20"/>
          <w:szCs w:val="20"/>
          <w:lang w:val="es-VE"/>
        </w:rPr>
        <w:t>García</w:t>
      </w:r>
      <w:r w:rsidRPr="006A251D">
        <w:rPr>
          <w:sz w:val="20"/>
          <w:szCs w:val="20"/>
          <w:lang w:val="es-VE"/>
        </w:rPr>
        <w:t xml:space="preserve"> Franco permanece en calidad de desaparecido. </w:t>
      </w:r>
    </w:p>
    <w:p w14:paraId="3D8A383E" w14:textId="77777777" w:rsidR="00CF4535" w:rsidRPr="006A251D" w:rsidRDefault="00CF4535" w:rsidP="00AC1CA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contextualSpacing/>
        <w:jc w:val="both"/>
        <w:rPr>
          <w:sz w:val="20"/>
          <w:szCs w:val="20"/>
          <w:lang w:val="es-VE"/>
        </w:rPr>
      </w:pPr>
    </w:p>
    <w:p w14:paraId="7A9C76F7" w14:textId="77777777" w:rsidR="00CF4535" w:rsidRPr="006A251D" w:rsidRDefault="0026261D"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VE"/>
        </w:rPr>
      </w:pPr>
      <w:r w:rsidRPr="006A251D">
        <w:rPr>
          <w:sz w:val="20"/>
          <w:szCs w:val="20"/>
          <w:lang w:val="es-VE"/>
        </w:rPr>
        <w:t>Afirmaron</w:t>
      </w:r>
      <w:r w:rsidR="00CF4535" w:rsidRPr="006A251D">
        <w:rPr>
          <w:sz w:val="20"/>
          <w:szCs w:val="20"/>
          <w:lang w:val="es-VE"/>
        </w:rPr>
        <w:t xml:space="preserve"> que la esposa del Sr. </w:t>
      </w:r>
      <w:r w:rsidR="002A4062" w:rsidRPr="006A251D">
        <w:rPr>
          <w:sz w:val="20"/>
          <w:szCs w:val="20"/>
          <w:lang w:val="es-VE"/>
        </w:rPr>
        <w:t>García</w:t>
      </w:r>
      <w:r w:rsidR="00CF4535" w:rsidRPr="006A251D">
        <w:rPr>
          <w:sz w:val="20"/>
          <w:szCs w:val="20"/>
          <w:lang w:val="es-VE"/>
        </w:rPr>
        <w:t xml:space="preserve"> Franco interpuso una denuncia en 1978 ante el 1 Juzgado del Crimen de Temuco pero que el magistrado se declaró incompetente y </w:t>
      </w:r>
      <w:r w:rsidR="00DB49A4" w:rsidRPr="006A251D">
        <w:rPr>
          <w:sz w:val="20"/>
          <w:szCs w:val="20"/>
          <w:lang w:val="es-VE"/>
        </w:rPr>
        <w:t>remitió el expediente a la justicia militar.</w:t>
      </w:r>
      <w:r w:rsidR="00825793" w:rsidRPr="006A251D">
        <w:rPr>
          <w:sz w:val="20"/>
          <w:szCs w:val="20"/>
          <w:lang w:val="es-VE"/>
        </w:rPr>
        <w:t xml:space="preserve"> </w:t>
      </w:r>
      <w:r w:rsidR="00DB49A4" w:rsidRPr="006A251D">
        <w:rPr>
          <w:sz w:val="20"/>
          <w:szCs w:val="20"/>
          <w:lang w:val="es-VE"/>
        </w:rPr>
        <w:t xml:space="preserve">En octubre de 1980, añadieron los peticionarios, el juez militar sobreseyó total y definitivamente la causa por aplicación de la ley de </w:t>
      </w:r>
      <w:r w:rsidR="002A4062" w:rsidRPr="006A251D">
        <w:rPr>
          <w:sz w:val="20"/>
          <w:szCs w:val="20"/>
          <w:lang w:val="es-VE"/>
        </w:rPr>
        <w:t>amnistía</w:t>
      </w:r>
      <w:r w:rsidR="00DB49A4" w:rsidRPr="006A251D">
        <w:rPr>
          <w:sz w:val="20"/>
          <w:szCs w:val="20"/>
          <w:lang w:val="es-VE"/>
        </w:rPr>
        <w:t xml:space="preserve">. </w:t>
      </w:r>
    </w:p>
    <w:p w14:paraId="5F8CD6C4" w14:textId="77777777" w:rsidR="00DB49A4" w:rsidRPr="006A251D" w:rsidRDefault="00DB49A4" w:rsidP="00AC1CA8">
      <w:pPr>
        <w:pStyle w:val="ListParagraph"/>
        <w:tabs>
          <w:tab w:val="left" w:pos="567"/>
        </w:tabs>
        <w:rPr>
          <w:sz w:val="20"/>
          <w:szCs w:val="20"/>
          <w:lang w:val="es-VE"/>
        </w:rPr>
      </w:pPr>
    </w:p>
    <w:p w14:paraId="391812EB" w14:textId="77777777" w:rsidR="00DB49A4" w:rsidRPr="006A251D" w:rsidRDefault="0026261D"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VE"/>
        </w:rPr>
      </w:pPr>
      <w:r w:rsidRPr="006A251D">
        <w:rPr>
          <w:sz w:val="20"/>
          <w:szCs w:val="20"/>
          <w:lang w:val="es-VE"/>
        </w:rPr>
        <w:t>I</w:t>
      </w:r>
      <w:r w:rsidR="00DB49A4" w:rsidRPr="006A251D">
        <w:rPr>
          <w:sz w:val="20"/>
          <w:szCs w:val="20"/>
          <w:lang w:val="es-VE"/>
        </w:rPr>
        <w:t>nformaron que en el año 2000 se interpusieron una nueva serie de querellas criminales con el fin de que se investigue y sancione a los responsables por el secuestro y desaparici</w:t>
      </w:r>
      <w:r w:rsidR="00F908C0" w:rsidRPr="006A251D">
        <w:rPr>
          <w:sz w:val="20"/>
          <w:szCs w:val="20"/>
          <w:lang w:val="es-VE"/>
        </w:rPr>
        <w:t>ó</w:t>
      </w:r>
      <w:r w:rsidR="00DB49A4" w:rsidRPr="006A251D">
        <w:rPr>
          <w:sz w:val="20"/>
          <w:szCs w:val="20"/>
          <w:lang w:val="es-VE"/>
        </w:rPr>
        <w:t xml:space="preserve">n del Sr. </w:t>
      </w:r>
      <w:r w:rsidR="002A4062" w:rsidRPr="006A251D">
        <w:rPr>
          <w:sz w:val="20"/>
          <w:szCs w:val="20"/>
          <w:lang w:val="es-VE"/>
        </w:rPr>
        <w:t>García</w:t>
      </w:r>
      <w:r w:rsidR="00DB49A4" w:rsidRPr="006A251D">
        <w:rPr>
          <w:sz w:val="20"/>
          <w:szCs w:val="20"/>
          <w:lang w:val="es-VE"/>
        </w:rPr>
        <w:t xml:space="preserve"> Franco. En enero de 2008 se dictó sentencia de primera instancia condenando a tres ex funcionarios de Carabineros de Chile</w:t>
      </w:r>
      <w:r w:rsidR="00825793" w:rsidRPr="006A251D">
        <w:rPr>
          <w:sz w:val="20"/>
          <w:szCs w:val="20"/>
          <w:lang w:val="es-VE"/>
        </w:rPr>
        <w:t xml:space="preserve"> </w:t>
      </w:r>
      <w:r w:rsidR="00DB49A4" w:rsidRPr="006A251D">
        <w:rPr>
          <w:sz w:val="20"/>
          <w:szCs w:val="20"/>
          <w:lang w:val="es-VE"/>
        </w:rPr>
        <w:t xml:space="preserve">a penas de </w:t>
      </w:r>
      <w:r w:rsidR="002A4062" w:rsidRPr="006A251D">
        <w:rPr>
          <w:sz w:val="20"/>
          <w:szCs w:val="20"/>
          <w:lang w:val="es-VE"/>
        </w:rPr>
        <w:t>prisión</w:t>
      </w:r>
      <w:r w:rsidR="00DB49A4" w:rsidRPr="006A251D">
        <w:rPr>
          <w:sz w:val="20"/>
          <w:szCs w:val="20"/>
          <w:lang w:val="es-VE"/>
        </w:rPr>
        <w:t xml:space="preserve"> de entre 10 años y 1 d</w:t>
      </w:r>
      <w:r w:rsidR="00825793" w:rsidRPr="006A251D">
        <w:rPr>
          <w:sz w:val="20"/>
          <w:szCs w:val="20"/>
          <w:lang w:val="es-VE"/>
        </w:rPr>
        <w:t>í</w:t>
      </w:r>
      <w:r w:rsidR="00DB49A4" w:rsidRPr="006A251D">
        <w:rPr>
          <w:sz w:val="20"/>
          <w:szCs w:val="20"/>
          <w:lang w:val="es-VE"/>
        </w:rPr>
        <w:t xml:space="preserve">a y 8 años. En segunda instancia, los condenados vieron rebajada su pena a 5 años y 1 </w:t>
      </w:r>
      <w:r w:rsidR="002A4062" w:rsidRPr="006A251D">
        <w:rPr>
          <w:sz w:val="20"/>
          <w:szCs w:val="20"/>
          <w:lang w:val="es-VE"/>
        </w:rPr>
        <w:t>día</w:t>
      </w:r>
      <w:r w:rsidR="00DB49A4" w:rsidRPr="006A251D">
        <w:rPr>
          <w:sz w:val="20"/>
          <w:szCs w:val="20"/>
          <w:lang w:val="es-VE"/>
        </w:rPr>
        <w:t xml:space="preserve"> de presidio por aplicación de la circunstancia atenuante de irreprochable conducta anterior.</w:t>
      </w:r>
    </w:p>
    <w:p w14:paraId="6B9A828E" w14:textId="77777777" w:rsidR="00DB49A4" w:rsidRPr="006A251D" w:rsidRDefault="00DB49A4" w:rsidP="00AC1CA8">
      <w:pPr>
        <w:pStyle w:val="ListParagraph"/>
        <w:tabs>
          <w:tab w:val="left" w:pos="567"/>
        </w:tabs>
        <w:rPr>
          <w:sz w:val="20"/>
          <w:szCs w:val="20"/>
          <w:lang w:val="es-VE"/>
        </w:rPr>
      </w:pPr>
    </w:p>
    <w:p w14:paraId="218F82D7" w14:textId="77777777" w:rsidR="00DB49A4" w:rsidRPr="006A251D" w:rsidRDefault="0026261D"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VE"/>
        </w:rPr>
      </w:pPr>
      <w:r w:rsidRPr="006A251D">
        <w:rPr>
          <w:sz w:val="20"/>
          <w:szCs w:val="20"/>
          <w:lang w:val="es-VE"/>
        </w:rPr>
        <w:t>S</w:t>
      </w:r>
      <w:r w:rsidR="00DB49A4" w:rsidRPr="006A251D">
        <w:rPr>
          <w:sz w:val="20"/>
          <w:szCs w:val="20"/>
          <w:lang w:val="es-VE"/>
        </w:rPr>
        <w:t xml:space="preserve">eñalaron que, con motivo de las apelaciones efectuadas por las defensas de los condenados, </w:t>
      </w:r>
      <w:r w:rsidR="00825793" w:rsidRPr="006A251D">
        <w:rPr>
          <w:sz w:val="20"/>
          <w:szCs w:val="20"/>
          <w:lang w:val="es-VE"/>
        </w:rPr>
        <w:t xml:space="preserve">en diciembre de 2009 la Corte Suprema invalidó de oficio la sentencia de segunda instancia por considerar que adolecía de vicios formales en cuestiones relacionadas con la </w:t>
      </w:r>
      <w:r w:rsidR="002A4062" w:rsidRPr="006A251D">
        <w:rPr>
          <w:sz w:val="20"/>
          <w:szCs w:val="20"/>
          <w:lang w:val="es-VE"/>
        </w:rPr>
        <w:t>indemnización</w:t>
      </w:r>
      <w:r w:rsidR="00825793" w:rsidRPr="006A251D">
        <w:rPr>
          <w:sz w:val="20"/>
          <w:szCs w:val="20"/>
          <w:lang w:val="es-VE"/>
        </w:rPr>
        <w:t xml:space="preserve"> por daño civil dictada por el juez de primera instancia y emitió una nueva sentencia en su reemplazo sin conferir vista a las partes. En esta sentencia de reemplazo, añadieron, la Corte Suprema decidi</w:t>
      </w:r>
      <w:r w:rsidRPr="006A251D">
        <w:rPr>
          <w:sz w:val="20"/>
          <w:szCs w:val="20"/>
          <w:lang w:val="es-VE"/>
        </w:rPr>
        <w:t>ó</w:t>
      </w:r>
      <w:r w:rsidR="00825793" w:rsidRPr="006A251D">
        <w:rPr>
          <w:sz w:val="20"/>
          <w:szCs w:val="20"/>
          <w:lang w:val="es-VE"/>
        </w:rPr>
        <w:t xml:space="preserve"> que los condenados resultaban beneficiados por la circunstancia atenuante de </w:t>
      </w:r>
      <w:r w:rsidR="002A4062" w:rsidRPr="006A251D">
        <w:rPr>
          <w:sz w:val="20"/>
          <w:szCs w:val="20"/>
          <w:lang w:val="es-VE"/>
        </w:rPr>
        <w:t>prescripción</w:t>
      </w:r>
      <w:r w:rsidR="00825793" w:rsidRPr="006A251D">
        <w:rPr>
          <w:sz w:val="20"/>
          <w:szCs w:val="20"/>
          <w:lang w:val="es-VE"/>
        </w:rPr>
        <w:t xml:space="preserve"> gradual y, en consecuencia, rebajó a cuatro años de presidio menor la pena impuesta a cada uno de ellos.</w:t>
      </w:r>
    </w:p>
    <w:p w14:paraId="199B3252" w14:textId="77777777" w:rsidR="00825793" w:rsidRPr="006A251D" w:rsidRDefault="00825793" w:rsidP="00AC1CA8">
      <w:pPr>
        <w:pStyle w:val="ListParagraph"/>
        <w:tabs>
          <w:tab w:val="left" w:pos="567"/>
        </w:tabs>
        <w:rPr>
          <w:sz w:val="20"/>
          <w:szCs w:val="20"/>
          <w:lang w:val="es-VE"/>
        </w:rPr>
      </w:pPr>
    </w:p>
    <w:p w14:paraId="71E640D0" w14:textId="77777777" w:rsidR="00825793" w:rsidRPr="006A251D" w:rsidRDefault="0026261D"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VE"/>
        </w:rPr>
      </w:pPr>
      <w:r w:rsidRPr="006A251D">
        <w:rPr>
          <w:sz w:val="20"/>
          <w:szCs w:val="20"/>
          <w:lang w:val="es-VE"/>
        </w:rPr>
        <w:t>Indicaron</w:t>
      </w:r>
      <w:r w:rsidR="00825793" w:rsidRPr="006A251D">
        <w:rPr>
          <w:sz w:val="20"/>
          <w:szCs w:val="20"/>
          <w:lang w:val="es-VE"/>
        </w:rPr>
        <w:t xml:space="preserve"> que esta </w:t>
      </w:r>
      <w:r w:rsidR="00E82A08" w:rsidRPr="006A251D">
        <w:rPr>
          <w:sz w:val="20"/>
          <w:szCs w:val="20"/>
          <w:lang w:val="es-VE"/>
        </w:rPr>
        <w:t>ú</w:t>
      </w:r>
      <w:r w:rsidR="00825793" w:rsidRPr="006A251D">
        <w:rPr>
          <w:sz w:val="20"/>
          <w:szCs w:val="20"/>
          <w:lang w:val="es-VE"/>
        </w:rPr>
        <w:t>ltima decisi</w:t>
      </w:r>
      <w:r w:rsidR="00E82A08" w:rsidRPr="006A251D">
        <w:rPr>
          <w:sz w:val="20"/>
          <w:szCs w:val="20"/>
          <w:lang w:val="es-VE"/>
        </w:rPr>
        <w:t>ó</w:t>
      </w:r>
      <w:r w:rsidR="00825793" w:rsidRPr="006A251D">
        <w:rPr>
          <w:sz w:val="20"/>
          <w:szCs w:val="20"/>
          <w:lang w:val="es-VE"/>
        </w:rPr>
        <w:t xml:space="preserve">n de la Corte Suprema contravino </w:t>
      </w:r>
      <w:r w:rsidR="00A03581" w:rsidRPr="006A251D">
        <w:rPr>
          <w:sz w:val="20"/>
          <w:szCs w:val="20"/>
          <w:lang w:val="es-VE"/>
        </w:rPr>
        <w:t xml:space="preserve">los propios </w:t>
      </w:r>
      <w:r w:rsidR="002A4062" w:rsidRPr="006A251D">
        <w:rPr>
          <w:sz w:val="20"/>
          <w:szCs w:val="20"/>
          <w:lang w:val="es-VE"/>
        </w:rPr>
        <w:t>estándares</w:t>
      </w:r>
      <w:r w:rsidR="00A03581" w:rsidRPr="006A251D">
        <w:rPr>
          <w:sz w:val="20"/>
          <w:szCs w:val="20"/>
          <w:lang w:val="es-VE"/>
        </w:rPr>
        <w:t xml:space="preserve"> de dicho tribunal en lo que tiene que ver con la </w:t>
      </w:r>
      <w:r w:rsidR="002A4062" w:rsidRPr="006A251D">
        <w:rPr>
          <w:sz w:val="20"/>
          <w:szCs w:val="20"/>
          <w:lang w:val="es-VE"/>
        </w:rPr>
        <w:t>imposibilidad</w:t>
      </w:r>
      <w:r w:rsidR="00A03581" w:rsidRPr="006A251D">
        <w:rPr>
          <w:sz w:val="20"/>
          <w:szCs w:val="20"/>
          <w:lang w:val="es-VE"/>
        </w:rPr>
        <w:t xml:space="preserve"> de fijar una fecha de inicio para el c</w:t>
      </w:r>
      <w:r w:rsidRPr="006A251D">
        <w:rPr>
          <w:sz w:val="20"/>
          <w:szCs w:val="20"/>
          <w:lang w:val="es-VE"/>
        </w:rPr>
        <w:t>ó</w:t>
      </w:r>
      <w:r w:rsidR="00A03581" w:rsidRPr="006A251D">
        <w:rPr>
          <w:sz w:val="20"/>
          <w:szCs w:val="20"/>
          <w:lang w:val="es-VE"/>
        </w:rPr>
        <w:t>mputo de la prescr</w:t>
      </w:r>
      <w:r w:rsidRPr="006A251D">
        <w:rPr>
          <w:sz w:val="20"/>
          <w:szCs w:val="20"/>
          <w:lang w:val="es-VE"/>
        </w:rPr>
        <w:t>i</w:t>
      </w:r>
      <w:r w:rsidR="00A03581" w:rsidRPr="006A251D">
        <w:rPr>
          <w:sz w:val="20"/>
          <w:szCs w:val="20"/>
          <w:lang w:val="es-VE"/>
        </w:rPr>
        <w:t xml:space="preserve">pción en los delitos de carácter permanente como lo es el de secuestro calificado. </w:t>
      </w:r>
      <w:r w:rsidRPr="006A251D">
        <w:rPr>
          <w:sz w:val="20"/>
          <w:szCs w:val="20"/>
          <w:lang w:val="es-VE"/>
        </w:rPr>
        <w:t>A</w:t>
      </w:r>
      <w:r w:rsidR="00A03581" w:rsidRPr="006A251D">
        <w:rPr>
          <w:sz w:val="20"/>
          <w:szCs w:val="20"/>
          <w:lang w:val="es-VE"/>
        </w:rPr>
        <w:t xml:space="preserve">firmaron que, a pesar de tratarse de un delito de </w:t>
      </w:r>
      <w:r w:rsidR="002A4062" w:rsidRPr="006A251D">
        <w:rPr>
          <w:sz w:val="20"/>
          <w:szCs w:val="20"/>
          <w:lang w:val="es-VE"/>
        </w:rPr>
        <w:t>desaparición</w:t>
      </w:r>
      <w:r w:rsidR="00A03581" w:rsidRPr="006A251D">
        <w:rPr>
          <w:sz w:val="20"/>
          <w:szCs w:val="20"/>
          <w:lang w:val="es-VE"/>
        </w:rPr>
        <w:t xml:space="preserve"> forzada que constituyó un crimen de lesa humanidad, los condenados fueron beneficiados con penas leves por el paso del tiempo. Finalmente, </w:t>
      </w:r>
      <w:r w:rsidR="00A03581" w:rsidRPr="006A251D">
        <w:rPr>
          <w:sz w:val="20"/>
          <w:szCs w:val="20"/>
          <w:lang w:val="es-ES_tradnl"/>
        </w:rPr>
        <w:t xml:space="preserve">expresaron que la petición comparte los mismos fundamentos que aquellos plasmados en las peticiones previas que se acumularon en el caso 13.054, remitiéndose a sus comunicaciones previas.  </w:t>
      </w:r>
    </w:p>
    <w:p w14:paraId="29516147" w14:textId="77777777" w:rsidR="00252761" w:rsidRPr="006A251D" w:rsidRDefault="00385064" w:rsidP="00A03581">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lang w:val="es-VE"/>
        </w:rPr>
      </w:pPr>
      <w:r w:rsidRPr="006A251D">
        <w:rPr>
          <w:sz w:val="20"/>
          <w:szCs w:val="20"/>
          <w:lang w:val="es-VE"/>
        </w:rPr>
        <w:t xml:space="preserve"> </w:t>
      </w:r>
    </w:p>
    <w:p w14:paraId="320DA20F" w14:textId="77777777" w:rsidR="00A03581" w:rsidRPr="006A251D" w:rsidRDefault="00A03581" w:rsidP="00A03581">
      <w:pPr>
        <w:ind w:left="709" w:right="288"/>
        <w:jc w:val="both"/>
        <w:rPr>
          <w:rFonts w:ascii="Cambria" w:hAnsi="Cambria" w:cs="Calibri"/>
          <w:b/>
          <w:bCs/>
          <w:sz w:val="20"/>
          <w:szCs w:val="20"/>
          <w:lang w:val="es-US"/>
        </w:rPr>
      </w:pPr>
      <w:r w:rsidRPr="006A251D">
        <w:rPr>
          <w:rFonts w:ascii="Cambria" w:hAnsi="Cambria" w:cs="Calibri"/>
          <w:b/>
          <w:bCs/>
          <w:sz w:val="20"/>
          <w:szCs w:val="20"/>
          <w:lang w:val="es-US"/>
        </w:rPr>
        <w:lastRenderedPageBreak/>
        <w:t>Alegatos presentados por los peticionarios de la petición interpuesta en representación de María Arriagada Jerez, Jorge Aillón Lara, y sus respectivos familiares y registrada inicialmente por la Comisión bajo el n</w:t>
      </w:r>
      <w:r w:rsidR="00664E82" w:rsidRPr="006A251D">
        <w:rPr>
          <w:rFonts w:ascii="Cambria" w:hAnsi="Cambria" w:cs="Calibri"/>
          <w:b/>
          <w:bCs/>
          <w:sz w:val="20"/>
          <w:szCs w:val="20"/>
          <w:lang w:val="es-US"/>
        </w:rPr>
        <w:t>ú</w:t>
      </w:r>
      <w:r w:rsidRPr="006A251D">
        <w:rPr>
          <w:rFonts w:ascii="Cambria" w:hAnsi="Cambria" w:cs="Calibri"/>
          <w:b/>
          <w:bCs/>
          <w:sz w:val="20"/>
          <w:szCs w:val="20"/>
          <w:lang w:val="es-US"/>
        </w:rPr>
        <w:t>mero P 675-11.</w:t>
      </w:r>
    </w:p>
    <w:p w14:paraId="500ED4F1" w14:textId="77777777" w:rsidR="00A03581" w:rsidRPr="006A251D" w:rsidRDefault="00A03581" w:rsidP="00A03581">
      <w:pPr>
        <w:jc w:val="both"/>
        <w:rPr>
          <w:rFonts w:ascii="Cambria" w:hAnsi="Cambria"/>
          <w:b/>
          <w:sz w:val="20"/>
          <w:szCs w:val="20"/>
          <w:lang w:val="es-VE"/>
        </w:rPr>
      </w:pPr>
    </w:p>
    <w:p w14:paraId="640C03EE" w14:textId="77777777" w:rsidR="00994FD4" w:rsidRPr="006A251D" w:rsidRDefault="00A03581"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VE"/>
        </w:rPr>
      </w:pPr>
      <w:r w:rsidRPr="006A251D">
        <w:rPr>
          <w:sz w:val="20"/>
          <w:szCs w:val="20"/>
          <w:lang w:val="es-VE"/>
        </w:rPr>
        <w:t>Los peticionarios alegaron que el</w:t>
      </w:r>
      <w:r w:rsidR="00994FD4" w:rsidRPr="006A251D">
        <w:rPr>
          <w:sz w:val="20"/>
          <w:szCs w:val="20"/>
          <w:lang w:val="es-VE"/>
        </w:rPr>
        <w:t xml:space="preserve"> 27 de septiembre de 1973 el Sr. Jorge Aillón Lara y la Sra. María Arriagada Jerez fueron detenidos por personal de las fuerzas armadas en operativos distintos realizados en inmediaciones de la ciudad de Lonquimay y trasladados en un primer momento a la Comisaría de Carabineros de Curacautín y posteriormente a la Base A</w:t>
      </w:r>
      <w:r w:rsidR="00E82A08" w:rsidRPr="006A251D">
        <w:rPr>
          <w:sz w:val="20"/>
          <w:szCs w:val="20"/>
          <w:lang w:val="es-VE"/>
        </w:rPr>
        <w:t>é</w:t>
      </w:r>
      <w:r w:rsidR="00994FD4" w:rsidRPr="006A251D">
        <w:rPr>
          <w:sz w:val="20"/>
          <w:szCs w:val="20"/>
          <w:lang w:val="es-VE"/>
        </w:rPr>
        <w:t xml:space="preserve">rea Maquehue ubicada en Temuco, lugar donde fueron vistos con vida por última vez. </w:t>
      </w:r>
    </w:p>
    <w:p w14:paraId="3BFFAE42" w14:textId="77777777" w:rsidR="00E82A08" w:rsidRPr="006A251D" w:rsidRDefault="00E82A08" w:rsidP="00AC1CA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contextualSpacing/>
        <w:jc w:val="both"/>
        <w:rPr>
          <w:sz w:val="20"/>
          <w:szCs w:val="20"/>
          <w:lang w:val="es-VE"/>
        </w:rPr>
      </w:pPr>
    </w:p>
    <w:p w14:paraId="5ACCE9EC" w14:textId="77777777" w:rsidR="00E82A08" w:rsidRPr="006A251D" w:rsidRDefault="0026261D"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VE"/>
        </w:rPr>
      </w:pPr>
      <w:r w:rsidRPr="006A251D">
        <w:rPr>
          <w:sz w:val="20"/>
          <w:szCs w:val="20"/>
          <w:lang w:val="es-VE"/>
        </w:rPr>
        <w:t>R</w:t>
      </w:r>
      <w:r w:rsidR="00E82A08" w:rsidRPr="006A251D">
        <w:rPr>
          <w:sz w:val="20"/>
          <w:szCs w:val="20"/>
          <w:lang w:val="es-VE"/>
        </w:rPr>
        <w:t>efirieron que, de manera inmediata a la desaparici</w:t>
      </w:r>
      <w:r w:rsidRPr="006A251D">
        <w:rPr>
          <w:sz w:val="20"/>
          <w:szCs w:val="20"/>
          <w:lang w:val="es-VE"/>
        </w:rPr>
        <w:t>ó</w:t>
      </w:r>
      <w:r w:rsidR="00E82A08" w:rsidRPr="006A251D">
        <w:rPr>
          <w:sz w:val="20"/>
          <w:szCs w:val="20"/>
          <w:lang w:val="es-VE"/>
        </w:rPr>
        <w:t>n de las presuntas v</w:t>
      </w:r>
      <w:r w:rsidRPr="006A251D">
        <w:rPr>
          <w:sz w:val="20"/>
          <w:szCs w:val="20"/>
          <w:lang w:val="es-VE"/>
        </w:rPr>
        <w:t>í</w:t>
      </w:r>
      <w:r w:rsidR="00E82A08" w:rsidRPr="006A251D">
        <w:rPr>
          <w:sz w:val="20"/>
          <w:szCs w:val="20"/>
          <w:lang w:val="es-VE"/>
        </w:rPr>
        <w:t xml:space="preserve">ctimas, sus familiares iniciaron diversas gestiones ante funcionarios y autoridades de la </w:t>
      </w:r>
      <w:r w:rsidR="002A4062" w:rsidRPr="006A251D">
        <w:rPr>
          <w:sz w:val="20"/>
          <w:szCs w:val="20"/>
          <w:lang w:val="es-VE"/>
        </w:rPr>
        <w:t>época</w:t>
      </w:r>
      <w:r w:rsidR="00E82A08" w:rsidRPr="006A251D">
        <w:rPr>
          <w:sz w:val="20"/>
          <w:szCs w:val="20"/>
          <w:lang w:val="es-VE"/>
        </w:rPr>
        <w:t xml:space="preserve"> para establecer lo sucedido, las cuales no arrojaron resultados positivos. </w:t>
      </w:r>
      <w:r w:rsidRPr="006A251D">
        <w:rPr>
          <w:sz w:val="20"/>
          <w:szCs w:val="20"/>
          <w:lang w:val="es-VE"/>
        </w:rPr>
        <w:t>Alegaron que l</w:t>
      </w:r>
      <w:r w:rsidR="00E82A08" w:rsidRPr="006A251D">
        <w:rPr>
          <w:sz w:val="20"/>
          <w:szCs w:val="20"/>
          <w:lang w:val="es-VE"/>
        </w:rPr>
        <w:t xml:space="preserve">a </w:t>
      </w:r>
      <w:r w:rsidR="002A4062" w:rsidRPr="006A251D">
        <w:rPr>
          <w:sz w:val="20"/>
          <w:szCs w:val="20"/>
          <w:lang w:val="es-VE"/>
        </w:rPr>
        <w:t>investigación</w:t>
      </w:r>
      <w:r w:rsidR="00E82A08" w:rsidRPr="006A251D">
        <w:rPr>
          <w:sz w:val="20"/>
          <w:szCs w:val="20"/>
          <w:lang w:val="es-VE"/>
        </w:rPr>
        <w:t xml:space="preserve"> abierta en el juzgado de Curacau</w:t>
      </w:r>
      <w:r w:rsidR="00F35F45" w:rsidRPr="006A251D">
        <w:rPr>
          <w:sz w:val="20"/>
          <w:szCs w:val="20"/>
          <w:lang w:val="es-VE"/>
        </w:rPr>
        <w:t>t</w:t>
      </w:r>
      <w:r w:rsidR="002A4062" w:rsidRPr="006A251D">
        <w:rPr>
          <w:sz w:val="20"/>
          <w:szCs w:val="20"/>
          <w:lang w:val="es-VE"/>
        </w:rPr>
        <w:t>í</w:t>
      </w:r>
      <w:r w:rsidR="00E82A08" w:rsidRPr="006A251D">
        <w:rPr>
          <w:sz w:val="20"/>
          <w:szCs w:val="20"/>
          <w:lang w:val="es-VE"/>
        </w:rPr>
        <w:t xml:space="preserve">n fue </w:t>
      </w:r>
      <w:r w:rsidR="002A4062" w:rsidRPr="006A251D">
        <w:rPr>
          <w:sz w:val="20"/>
          <w:szCs w:val="20"/>
          <w:lang w:val="es-VE"/>
        </w:rPr>
        <w:t>sobreseída</w:t>
      </w:r>
      <w:r w:rsidR="00E82A08" w:rsidRPr="006A251D">
        <w:rPr>
          <w:sz w:val="20"/>
          <w:szCs w:val="20"/>
          <w:lang w:val="es-VE"/>
        </w:rPr>
        <w:t xml:space="preserve"> en octubre de 1979 con el fundament</w:t>
      </w:r>
      <w:r w:rsidR="00F35F45" w:rsidRPr="006A251D">
        <w:rPr>
          <w:sz w:val="20"/>
          <w:szCs w:val="20"/>
          <w:lang w:val="es-VE"/>
        </w:rPr>
        <w:t>o</w:t>
      </w:r>
      <w:r w:rsidR="00E82A08" w:rsidRPr="006A251D">
        <w:rPr>
          <w:sz w:val="20"/>
          <w:szCs w:val="20"/>
          <w:lang w:val="es-VE"/>
        </w:rPr>
        <w:t xml:space="preserve"> que de los antecedentes reunidos no resulta justificada la </w:t>
      </w:r>
      <w:r w:rsidR="002A4062" w:rsidRPr="006A251D">
        <w:rPr>
          <w:sz w:val="20"/>
          <w:szCs w:val="20"/>
          <w:lang w:val="es-VE"/>
        </w:rPr>
        <w:t>perpetración</w:t>
      </w:r>
      <w:r w:rsidR="00E82A08" w:rsidRPr="006A251D">
        <w:rPr>
          <w:sz w:val="20"/>
          <w:szCs w:val="20"/>
          <w:lang w:val="es-VE"/>
        </w:rPr>
        <w:t xml:space="preserve"> de un delito, decisi</w:t>
      </w:r>
      <w:r w:rsidR="00F35F45" w:rsidRPr="006A251D">
        <w:rPr>
          <w:sz w:val="20"/>
          <w:szCs w:val="20"/>
          <w:lang w:val="es-VE"/>
        </w:rPr>
        <w:t>ó</w:t>
      </w:r>
      <w:r w:rsidR="00E82A08" w:rsidRPr="006A251D">
        <w:rPr>
          <w:sz w:val="20"/>
          <w:szCs w:val="20"/>
          <w:lang w:val="es-VE"/>
        </w:rPr>
        <w:t>n que fue confirmada</w:t>
      </w:r>
      <w:r w:rsidR="00F35F45" w:rsidRPr="006A251D">
        <w:rPr>
          <w:sz w:val="20"/>
          <w:szCs w:val="20"/>
          <w:lang w:val="es-VE"/>
        </w:rPr>
        <w:t xml:space="preserve"> </w:t>
      </w:r>
      <w:r w:rsidR="00E82A08" w:rsidRPr="006A251D">
        <w:rPr>
          <w:sz w:val="20"/>
          <w:szCs w:val="20"/>
          <w:lang w:val="es-VE"/>
        </w:rPr>
        <w:t xml:space="preserve">por la Corte de Apelaciones de Temuco en noviembre del mismo año. </w:t>
      </w:r>
    </w:p>
    <w:p w14:paraId="0236FBAC" w14:textId="77777777" w:rsidR="00E82A08" w:rsidRPr="006A251D" w:rsidRDefault="00E82A08" w:rsidP="00AC1CA8">
      <w:pPr>
        <w:pStyle w:val="ListParagraph"/>
        <w:tabs>
          <w:tab w:val="left" w:pos="567"/>
        </w:tabs>
        <w:rPr>
          <w:sz w:val="20"/>
          <w:szCs w:val="20"/>
          <w:lang w:val="es-VE"/>
        </w:rPr>
      </w:pPr>
    </w:p>
    <w:p w14:paraId="1261AF68" w14:textId="77777777" w:rsidR="00E82A08" w:rsidRPr="006A251D" w:rsidRDefault="0026261D"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VE"/>
        </w:rPr>
      </w:pPr>
      <w:r w:rsidRPr="006A251D">
        <w:rPr>
          <w:sz w:val="20"/>
          <w:szCs w:val="20"/>
          <w:lang w:val="es-VE"/>
        </w:rPr>
        <w:t>A</w:t>
      </w:r>
      <w:r w:rsidR="00E82A08" w:rsidRPr="006A251D">
        <w:rPr>
          <w:sz w:val="20"/>
          <w:szCs w:val="20"/>
          <w:lang w:val="es-VE"/>
        </w:rPr>
        <w:t xml:space="preserve">gregaron </w:t>
      </w:r>
      <w:r w:rsidRPr="006A251D">
        <w:rPr>
          <w:sz w:val="20"/>
          <w:szCs w:val="20"/>
          <w:lang w:val="es-VE"/>
        </w:rPr>
        <w:t>que</w:t>
      </w:r>
      <w:r w:rsidR="00E82A08" w:rsidRPr="006A251D">
        <w:rPr>
          <w:sz w:val="20"/>
          <w:szCs w:val="20"/>
          <w:lang w:val="es-VE"/>
        </w:rPr>
        <w:t xml:space="preserve"> se inició una </w:t>
      </w:r>
      <w:r w:rsidR="002A4062" w:rsidRPr="006A251D">
        <w:rPr>
          <w:sz w:val="20"/>
          <w:szCs w:val="20"/>
          <w:lang w:val="es-VE"/>
        </w:rPr>
        <w:t>investigación</w:t>
      </w:r>
      <w:r w:rsidR="00E82A08" w:rsidRPr="006A251D">
        <w:rPr>
          <w:sz w:val="20"/>
          <w:szCs w:val="20"/>
          <w:lang w:val="es-VE"/>
        </w:rPr>
        <w:t xml:space="preserve"> bajo la instrucción de un Ministro en Visita Extraordinaria de la Corte de Apelaciones de Temuco y, </w:t>
      </w:r>
      <w:r w:rsidR="002A4062" w:rsidRPr="006A251D">
        <w:rPr>
          <w:sz w:val="20"/>
          <w:szCs w:val="20"/>
          <w:lang w:val="es-VE"/>
        </w:rPr>
        <w:t>culminada</w:t>
      </w:r>
      <w:r w:rsidR="00E82A08" w:rsidRPr="006A251D">
        <w:rPr>
          <w:sz w:val="20"/>
          <w:szCs w:val="20"/>
          <w:lang w:val="es-VE"/>
        </w:rPr>
        <w:t xml:space="preserve"> dicha instrucción, en mayo de 2008 </w:t>
      </w:r>
      <w:r w:rsidRPr="006A251D">
        <w:rPr>
          <w:sz w:val="20"/>
          <w:szCs w:val="20"/>
          <w:lang w:val="es-VE"/>
        </w:rPr>
        <w:t xml:space="preserve">se </w:t>
      </w:r>
      <w:r w:rsidR="00E82A08" w:rsidRPr="006A251D">
        <w:rPr>
          <w:sz w:val="20"/>
          <w:szCs w:val="20"/>
          <w:lang w:val="es-VE"/>
        </w:rPr>
        <w:t xml:space="preserve">dictó sentencia condenando a siete procesados a la pena de 8 años de </w:t>
      </w:r>
      <w:r w:rsidR="002A4062" w:rsidRPr="006A251D">
        <w:rPr>
          <w:sz w:val="20"/>
          <w:szCs w:val="20"/>
          <w:lang w:val="es-VE"/>
        </w:rPr>
        <w:t>prisión</w:t>
      </w:r>
      <w:r w:rsidR="00E82A08" w:rsidRPr="006A251D">
        <w:rPr>
          <w:sz w:val="20"/>
          <w:szCs w:val="20"/>
          <w:lang w:val="es-VE"/>
        </w:rPr>
        <w:t xml:space="preserve"> cada uno por resultar responsables del delito de secuestro calificado. </w:t>
      </w:r>
      <w:r w:rsidRPr="006A251D">
        <w:rPr>
          <w:sz w:val="20"/>
          <w:szCs w:val="20"/>
          <w:lang w:val="es-VE"/>
        </w:rPr>
        <w:t>I</w:t>
      </w:r>
      <w:r w:rsidR="00E82A08" w:rsidRPr="006A251D">
        <w:rPr>
          <w:sz w:val="20"/>
          <w:szCs w:val="20"/>
          <w:lang w:val="es-VE"/>
        </w:rPr>
        <w:t xml:space="preserve">nformaron que, con fecha 19 de agosto de 2008, la Corte de Apelaciones de Temuco confirmó en todos sus extremos la sentencia de primera instancia. </w:t>
      </w:r>
    </w:p>
    <w:p w14:paraId="4892EBEB" w14:textId="77777777" w:rsidR="00E82A08" w:rsidRPr="006A251D" w:rsidRDefault="00E82A08" w:rsidP="00AC1CA8">
      <w:pPr>
        <w:pStyle w:val="ListParagraph"/>
        <w:tabs>
          <w:tab w:val="left" w:pos="567"/>
        </w:tabs>
        <w:rPr>
          <w:sz w:val="20"/>
          <w:szCs w:val="20"/>
          <w:lang w:val="es-VE"/>
        </w:rPr>
      </w:pPr>
    </w:p>
    <w:p w14:paraId="47717D9F" w14:textId="77777777" w:rsidR="00E82A08" w:rsidRPr="006A251D" w:rsidRDefault="0026261D"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VE"/>
        </w:rPr>
      </w:pPr>
      <w:r w:rsidRPr="006A251D">
        <w:rPr>
          <w:sz w:val="20"/>
          <w:szCs w:val="20"/>
          <w:lang w:val="es-VE"/>
        </w:rPr>
        <w:t xml:space="preserve">Agregó </w:t>
      </w:r>
      <w:r w:rsidR="002A4062" w:rsidRPr="006A251D">
        <w:rPr>
          <w:sz w:val="20"/>
          <w:szCs w:val="20"/>
          <w:lang w:val="es-VE"/>
        </w:rPr>
        <w:t>que,</w:t>
      </w:r>
      <w:r w:rsidR="00E82A08" w:rsidRPr="006A251D">
        <w:rPr>
          <w:sz w:val="20"/>
          <w:szCs w:val="20"/>
          <w:lang w:val="es-VE"/>
        </w:rPr>
        <w:t xml:space="preserve"> en diciembre de 2009, la Corte Suprema de Justicia, en ocasión de conocer los recursos de casaci</w:t>
      </w:r>
      <w:r w:rsidR="0039344B" w:rsidRPr="006A251D">
        <w:rPr>
          <w:sz w:val="20"/>
          <w:szCs w:val="20"/>
          <w:lang w:val="es-VE"/>
        </w:rPr>
        <w:t>ó</w:t>
      </w:r>
      <w:r w:rsidR="00E82A08" w:rsidRPr="006A251D">
        <w:rPr>
          <w:sz w:val="20"/>
          <w:szCs w:val="20"/>
          <w:lang w:val="es-VE"/>
        </w:rPr>
        <w:t>n interpuestos por las defensas de los condenados, decidi</w:t>
      </w:r>
      <w:r w:rsidR="00F35F45" w:rsidRPr="006A251D">
        <w:rPr>
          <w:sz w:val="20"/>
          <w:szCs w:val="20"/>
          <w:lang w:val="es-VE"/>
        </w:rPr>
        <w:t>ó</w:t>
      </w:r>
      <w:r w:rsidR="00E82A08" w:rsidRPr="006A251D">
        <w:rPr>
          <w:sz w:val="20"/>
          <w:szCs w:val="20"/>
          <w:lang w:val="es-VE"/>
        </w:rPr>
        <w:t xml:space="preserve"> invalidar de oficio la sentencia condenatoria por la existencia de vicios formales en la argumentaci</w:t>
      </w:r>
      <w:r w:rsidR="00F35F45" w:rsidRPr="006A251D">
        <w:rPr>
          <w:sz w:val="20"/>
          <w:szCs w:val="20"/>
          <w:lang w:val="es-VE"/>
        </w:rPr>
        <w:t>ó</w:t>
      </w:r>
      <w:r w:rsidR="00E82A08" w:rsidRPr="006A251D">
        <w:rPr>
          <w:sz w:val="20"/>
          <w:szCs w:val="20"/>
          <w:lang w:val="es-VE"/>
        </w:rPr>
        <w:t>n y dictar una nueva en su reemplazo</w:t>
      </w:r>
      <w:r w:rsidR="00F35F45" w:rsidRPr="006A251D">
        <w:rPr>
          <w:sz w:val="20"/>
          <w:szCs w:val="20"/>
          <w:lang w:val="es-VE"/>
        </w:rPr>
        <w:t xml:space="preserve"> sin nueva vista</w:t>
      </w:r>
      <w:r w:rsidR="00E82A08" w:rsidRPr="006A251D">
        <w:rPr>
          <w:sz w:val="20"/>
          <w:szCs w:val="20"/>
          <w:lang w:val="es-VE"/>
        </w:rPr>
        <w:t xml:space="preserve">. </w:t>
      </w:r>
      <w:r w:rsidR="00F35F45" w:rsidRPr="006A251D">
        <w:rPr>
          <w:sz w:val="20"/>
          <w:szCs w:val="20"/>
          <w:lang w:val="es-VE"/>
        </w:rPr>
        <w:t xml:space="preserve">En esta nueva sentencia, el tribunal considero que </w:t>
      </w:r>
      <w:r w:rsidR="00035B24" w:rsidRPr="006A251D">
        <w:rPr>
          <w:sz w:val="20"/>
          <w:szCs w:val="20"/>
          <w:lang w:val="es-VE"/>
        </w:rPr>
        <w:t>los condenados resultaban</w:t>
      </w:r>
      <w:r w:rsidR="00F35F45" w:rsidRPr="006A251D">
        <w:rPr>
          <w:sz w:val="20"/>
          <w:szCs w:val="20"/>
          <w:lang w:val="es-VE"/>
        </w:rPr>
        <w:t xml:space="preserve"> beneficiados por las </w:t>
      </w:r>
      <w:r w:rsidR="002A4062" w:rsidRPr="006A251D">
        <w:rPr>
          <w:sz w:val="20"/>
          <w:szCs w:val="20"/>
          <w:lang w:val="es-VE"/>
        </w:rPr>
        <w:t>circunstancias</w:t>
      </w:r>
      <w:r w:rsidR="00F35F45" w:rsidRPr="006A251D">
        <w:rPr>
          <w:sz w:val="20"/>
          <w:szCs w:val="20"/>
          <w:lang w:val="es-VE"/>
        </w:rPr>
        <w:t xml:space="preserve"> atenuantes de irreprochable conducta anterior al delito y media </w:t>
      </w:r>
      <w:r w:rsidR="002A4062" w:rsidRPr="006A251D">
        <w:rPr>
          <w:sz w:val="20"/>
          <w:szCs w:val="20"/>
          <w:lang w:val="es-VE"/>
        </w:rPr>
        <w:t>prescripción</w:t>
      </w:r>
      <w:r w:rsidR="00F35F45" w:rsidRPr="006A251D">
        <w:rPr>
          <w:sz w:val="20"/>
          <w:szCs w:val="20"/>
          <w:lang w:val="es-VE"/>
        </w:rPr>
        <w:t xml:space="preserve"> y, en </w:t>
      </w:r>
      <w:r w:rsidR="002A4062" w:rsidRPr="006A251D">
        <w:rPr>
          <w:sz w:val="20"/>
          <w:szCs w:val="20"/>
          <w:lang w:val="es-VE"/>
        </w:rPr>
        <w:t>consecuencia</w:t>
      </w:r>
      <w:r w:rsidR="00F35F45" w:rsidRPr="006A251D">
        <w:rPr>
          <w:sz w:val="20"/>
          <w:szCs w:val="20"/>
          <w:lang w:val="es-VE"/>
        </w:rPr>
        <w:t xml:space="preserve">, fijó la pena impuesta a cada uno de ellos en tres años y un </w:t>
      </w:r>
      <w:r w:rsidR="002A4062" w:rsidRPr="006A251D">
        <w:rPr>
          <w:sz w:val="20"/>
          <w:szCs w:val="20"/>
          <w:lang w:val="es-VE"/>
        </w:rPr>
        <w:t>día</w:t>
      </w:r>
      <w:r w:rsidR="00F35F45" w:rsidRPr="006A251D">
        <w:rPr>
          <w:sz w:val="20"/>
          <w:szCs w:val="20"/>
          <w:lang w:val="es-VE"/>
        </w:rPr>
        <w:t xml:space="preserve"> de presidio en su grado </w:t>
      </w:r>
      <w:r w:rsidR="002A4062" w:rsidRPr="006A251D">
        <w:rPr>
          <w:sz w:val="20"/>
          <w:szCs w:val="20"/>
          <w:lang w:val="es-VE"/>
        </w:rPr>
        <w:t>máximo</w:t>
      </w:r>
      <w:r w:rsidR="00F35F45" w:rsidRPr="006A251D">
        <w:rPr>
          <w:sz w:val="20"/>
          <w:szCs w:val="20"/>
          <w:lang w:val="es-VE"/>
        </w:rPr>
        <w:t xml:space="preserve">. </w:t>
      </w:r>
    </w:p>
    <w:p w14:paraId="67ED2223" w14:textId="77777777" w:rsidR="00F35F45" w:rsidRPr="006A251D" w:rsidRDefault="00F35F45" w:rsidP="00AC1CA8">
      <w:pPr>
        <w:pStyle w:val="ListParagraph"/>
        <w:tabs>
          <w:tab w:val="left" w:pos="567"/>
        </w:tabs>
        <w:rPr>
          <w:sz w:val="20"/>
          <w:szCs w:val="20"/>
          <w:lang w:val="es-VE"/>
        </w:rPr>
      </w:pPr>
    </w:p>
    <w:p w14:paraId="0F438FB4" w14:textId="77777777" w:rsidR="00F35F45" w:rsidRPr="006A251D" w:rsidRDefault="0026261D"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VE"/>
        </w:rPr>
      </w:pPr>
      <w:r w:rsidRPr="006A251D">
        <w:rPr>
          <w:sz w:val="20"/>
          <w:szCs w:val="20"/>
          <w:lang w:val="es-VE"/>
        </w:rPr>
        <w:t>A</w:t>
      </w:r>
      <w:r w:rsidR="00F35F45" w:rsidRPr="006A251D">
        <w:rPr>
          <w:sz w:val="20"/>
          <w:szCs w:val="20"/>
          <w:lang w:val="es-VE"/>
        </w:rPr>
        <w:t>firmaron que la decisi</w:t>
      </w:r>
      <w:r w:rsidR="0039344B" w:rsidRPr="006A251D">
        <w:rPr>
          <w:sz w:val="20"/>
          <w:szCs w:val="20"/>
          <w:lang w:val="es-VE"/>
        </w:rPr>
        <w:t>ó</w:t>
      </w:r>
      <w:r w:rsidR="00F35F45" w:rsidRPr="006A251D">
        <w:rPr>
          <w:sz w:val="20"/>
          <w:szCs w:val="20"/>
          <w:lang w:val="es-VE"/>
        </w:rPr>
        <w:t xml:space="preserve">n de la Corte Suprema desconoció las obligaciones internacionales asumidas por el Estado chileno que le imponen el deber de sancionar a los responsables de delitos de lesa humanidad como </w:t>
      </w:r>
      <w:r w:rsidR="0039344B" w:rsidRPr="006A251D">
        <w:rPr>
          <w:sz w:val="20"/>
          <w:szCs w:val="20"/>
          <w:lang w:val="es-VE"/>
        </w:rPr>
        <w:t>los</w:t>
      </w:r>
      <w:r w:rsidR="00F35F45" w:rsidRPr="006A251D">
        <w:rPr>
          <w:sz w:val="20"/>
          <w:szCs w:val="20"/>
          <w:lang w:val="es-VE"/>
        </w:rPr>
        <w:t xml:space="preserve"> sufrido</w:t>
      </w:r>
      <w:r w:rsidR="0039344B" w:rsidRPr="006A251D">
        <w:rPr>
          <w:sz w:val="20"/>
          <w:szCs w:val="20"/>
          <w:lang w:val="es-VE"/>
        </w:rPr>
        <w:t>s</w:t>
      </w:r>
      <w:r w:rsidR="00F35F45" w:rsidRPr="006A251D">
        <w:rPr>
          <w:sz w:val="20"/>
          <w:szCs w:val="20"/>
          <w:lang w:val="es-VE"/>
        </w:rPr>
        <w:t xml:space="preserve"> por las v</w:t>
      </w:r>
      <w:r w:rsidRPr="006A251D">
        <w:rPr>
          <w:sz w:val="20"/>
          <w:szCs w:val="20"/>
          <w:lang w:val="es-VE"/>
        </w:rPr>
        <w:t>í</w:t>
      </w:r>
      <w:r w:rsidR="00F35F45" w:rsidRPr="006A251D">
        <w:rPr>
          <w:sz w:val="20"/>
          <w:szCs w:val="20"/>
          <w:lang w:val="es-VE"/>
        </w:rPr>
        <w:t xml:space="preserve">ctimas con penas proporcionales y pertinentes. </w:t>
      </w:r>
      <w:r w:rsidR="0039344B" w:rsidRPr="006A251D">
        <w:rPr>
          <w:sz w:val="20"/>
          <w:szCs w:val="20"/>
          <w:lang w:val="es-VE"/>
        </w:rPr>
        <w:t xml:space="preserve">En este sentido, resaltaron que, con la finalidad de aplicar los efectos de la </w:t>
      </w:r>
      <w:r w:rsidR="002A4062" w:rsidRPr="006A251D">
        <w:rPr>
          <w:sz w:val="20"/>
          <w:szCs w:val="20"/>
          <w:lang w:val="es-VE"/>
        </w:rPr>
        <w:t>prescripción</w:t>
      </w:r>
      <w:r w:rsidR="0039344B" w:rsidRPr="006A251D">
        <w:rPr>
          <w:sz w:val="20"/>
          <w:szCs w:val="20"/>
          <w:lang w:val="es-VE"/>
        </w:rPr>
        <w:t xml:space="preserve"> gradual, el fallo de la Corte Suprema afirma que se debe contar el plazo fijado por el </w:t>
      </w:r>
      <w:r w:rsidR="002A4062" w:rsidRPr="006A251D">
        <w:rPr>
          <w:sz w:val="20"/>
          <w:szCs w:val="20"/>
          <w:lang w:val="es-VE"/>
        </w:rPr>
        <w:t>artículo</w:t>
      </w:r>
      <w:r w:rsidR="0039344B" w:rsidRPr="006A251D">
        <w:rPr>
          <w:sz w:val="20"/>
          <w:szCs w:val="20"/>
          <w:lang w:val="es-VE"/>
        </w:rPr>
        <w:t xml:space="preserve"> 103 del </w:t>
      </w:r>
      <w:r w:rsidR="002A4062" w:rsidRPr="006A251D">
        <w:rPr>
          <w:sz w:val="20"/>
          <w:szCs w:val="20"/>
          <w:lang w:val="es-VE"/>
        </w:rPr>
        <w:t>Código</w:t>
      </w:r>
      <w:r w:rsidR="0039344B" w:rsidRPr="006A251D">
        <w:rPr>
          <w:sz w:val="20"/>
          <w:szCs w:val="20"/>
          <w:lang w:val="es-VE"/>
        </w:rPr>
        <w:t xml:space="preserve"> Penal desde la fecha de comisi</w:t>
      </w:r>
      <w:r w:rsidRPr="006A251D">
        <w:rPr>
          <w:sz w:val="20"/>
          <w:szCs w:val="20"/>
          <w:lang w:val="es-VE"/>
        </w:rPr>
        <w:t>ó</w:t>
      </w:r>
      <w:r w:rsidR="0039344B" w:rsidRPr="006A251D">
        <w:rPr>
          <w:sz w:val="20"/>
          <w:szCs w:val="20"/>
          <w:lang w:val="es-VE"/>
        </w:rPr>
        <w:t xml:space="preserve">n del delito, sin considerar que se trataba de un delito de carácter permanente y que, por ser un delito de lesa humanidad, resultaba imprescriptible. Finalmente, </w:t>
      </w:r>
      <w:r w:rsidR="0039344B" w:rsidRPr="006A251D">
        <w:rPr>
          <w:sz w:val="20"/>
          <w:szCs w:val="20"/>
          <w:lang w:val="es-ES_tradnl"/>
        </w:rPr>
        <w:t xml:space="preserve">expresaron que la petición comparte los mismos fundamentos plasmados en las peticiones previas que se acumularon en el caso 13.054, remitiéndose a sus comunicaciones previas.  </w:t>
      </w:r>
    </w:p>
    <w:p w14:paraId="2DECB0F4" w14:textId="77777777" w:rsidR="00994FD4" w:rsidRPr="006A251D" w:rsidRDefault="00994FD4" w:rsidP="00994FD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contextualSpacing/>
        <w:jc w:val="both"/>
        <w:rPr>
          <w:sz w:val="20"/>
          <w:szCs w:val="20"/>
          <w:lang w:val="es-VE"/>
        </w:rPr>
      </w:pPr>
    </w:p>
    <w:p w14:paraId="6C4D3BD5" w14:textId="77777777" w:rsidR="0039344B" w:rsidRPr="006A251D" w:rsidRDefault="00035B24" w:rsidP="0039344B">
      <w:pPr>
        <w:ind w:left="709" w:right="288"/>
        <w:jc w:val="both"/>
        <w:rPr>
          <w:rFonts w:ascii="Cambria" w:hAnsi="Cambria" w:cs="Calibri"/>
          <w:b/>
          <w:bCs/>
          <w:sz w:val="20"/>
          <w:szCs w:val="20"/>
          <w:lang w:val="es-US"/>
        </w:rPr>
      </w:pPr>
      <w:r w:rsidRPr="006A251D">
        <w:rPr>
          <w:rFonts w:ascii="Cambria" w:hAnsi="Cambria" w:cs="Calibri"/>
          <w:b/>
          <w:bCs/>
          <w:sz w:val="20"/>
          <w:szCs w:val="20"/>
          <w:lang w:val="es-US"/>
        </w:rPr>
        <w:t>Alegatos presentados</w:t>
      </w:r>
      <w:r w:rsidR="0039344B" w:rsidRPr="006A251D">
        <w:rPr>
          <w:rFonts w:ascii="Cambria" w:hAnsi="Cambria" w:cs="Calibri"/>
          <w:b/>
          <w:bCs/>
          <w:sz w:val="20"/>
          <w:szCs w:val="20"/>
          <w:lang w:val="es-US"/>
        </w:rPr>
        <w:t xml:space="preserve"> por los peticionarios de la </w:t>
      </w:r>
      <w:r w:rsidR="00076984" w:rsidRPr="006A251D">
        <w:rPr>
          <w:rFonts w:ascii="Cambria" w:hAnsi="Cambria" w:cs="Calibri"/>
          <w:b/>
          <w:bCs/>
          <w:sz w:val="20"/>
          <w:szCs w:val="20"/>
          <w:lang w:val="es-US"/>
        </w:rPr>
        <w:t>petición</w:t>
      </w:r>
      <w:r w:rsidR="0039344B" w:rsidRPr="006A251D">
        <w:rPr>
          <w:rFonts w:ascii="Cambria" w:hAnsi="Cambria" w:cs="Calibri"/>
          <w:b/>
          <w:bCs/>
          <w:sz w:val="20"/>
          <w:szCs w:val="20"/>
          <w:lang w:val="es-US"/>
        </w:rPr>
        <w:t xml:space="preserve"> interpuesta en representación de Marcelo Eduardo Salinas Eytel y sus familiares y registrada inicialmente por la Comisión bajo el n</w:t>
      </w:r>
      <w:r w:rsidR="00565008" w:rsidRPr="006A251D">
        <w:rPr>
          <w:rFonts w:ascii="Cambria" w:hAnsi="Cambria" w:cs="Calibri"/>
          <w:b/>
          <w:bCs/>
          <w:sz w:val="20"/>
          <w:szCs w:val="20"/>
          <w:lang w:val="es-US"/>
        </w:rPr>
        <w:t>ú</w:t>
      </w:r>
      <w:r w:rsidR="0039344B" w:rsidRPr="006A251D">
        <w:rPr>
          <w:rFonts w:ascii="Cambria" w:hAnsi="Cambria" w:cs="Calibri"/>
          <w:b/>
          <w:bCs/>
          <w:sz w:val="20"/>
          <w:szCs w:val="20"/>
          <w:lang w:val="es-US"/>
        </w:rPr>
        <w:t>mero P 1051-11.</w:t>
      </w:r>
    </w:p>
    <w:p w14:paraId="69FD473F" w14:textId="77777777" w:rsidR="0039344B" w:rsidRPr="006A251D" w:rsidRDefault="0039344B" w:rsidP="0039344B">
      <w:pPr>
        <w:ind w:right="288"/>
        <w:jc w:val="both"/>
        <w:rPr>
          <w:rFonts w:ascii="Cambria" w:hAnsi="Cambria" w:cs="Calibri"/>
          <w:b/>
          <w:bCs/>
          <w:sz w:val="20"/>
          <w:szCs w:val="20"/>
          <w:lang w:val="es-US"/>
        </w:rPr>
      </w:pPr>
    </w:p>
    <w:p w14:paraId="34A3393E" w14:textId="77777777" w:rsidR="00565008" w:rsidRPr="006A251D" w:rsidRDefault="00565008"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US"/>
        </w:rPr>
      </w:pPr>
      <w:r w:rsidRPr="006A251D">
        <w:rPr>
          <w:sz w:val="20"/>
          <w:szCs w:val="20"/>
          <w:lang w:val="es-US"/>
        </w:rPr>
        <w:t xml:space="preserve">Los peticionarios alegaron que en la madrugada del 31 de octubre de 1974 el Sr. Marcelo Eduardo Salinas Eytel fue arrestado en la </w:t>
      </w:r>
      <w:r w:rsidR="0026261D" w:rsidRPr="006A251D">
        <w:rPr>
          <w:sz w:val="20"/>
          <w:szCs w:val="20"/>
          <w:lang w:val="es-US"/>
        </w:rPr>
        <w:t>vía</w:t>
      </w:r>
      <w:r w:rsidRPr="006A251D">
        <w:rPr>
          <w:sz w:val="20"/>
          <w:szCs w:val="20"/>
          <w:lang w:val="es-US"/>
        </w:rPr>
        <w:t xml:space="preserve"> </w:t>
      </w:r>
      <w:r w:rsidR="002A4062" w:rsidRPr="006A251D">
        <w:rPr>
          <w:sz w:val="20"/>
          <w:szCs w:val="20"/>
          <w:lang w:val="es-US"/>
        </w:rPr>
        <w:t>pública</w:t>
      </w:r>
      <w:r w:rsidRPr="006A251D">
        <w:rPr>
          <w:sz w:val="20"/>
          <w:szCs w:val="20"/>
          <w:lang w:val="es-US"/>
        </w:rPr>
        <w:t xml:space="preserve"> por agentes de seguridad del Estado, quienes lo introdujeron en una camioneta y lo condujeron en primer t</w:t>
      </w:r>
      <w:r w:rsidR="00FD248D" w:rsidRPr="006A251D">
        <w:rPr>
          <w:sz w:val="20"/>
          <w:szCs w:val="20"/>
          <w:lang w:val="es-US"/>
        </w:rPr>
        <w:t>é</w:t>
      </w:r>
      <w:r w:rsidRPr="006A251D">
        <w:rPr>
          <w:sz w:val="20"/>
          <w:szCs w:val="20"/>
          <w:lang w:val="es-US"/>
        </w:rPr>
        <w:t>rmino a un recinto de la Dirección Inteligencia Nacional (DINA) conocido como “José Domingo Cañas” u “Ollahue” y luego a</w:t>
      </w:r>
      <w:r w:rsidR="00FD248D" w:rsidRPr="006A251D">
        <w:rPr>
          <w:sz w:val="20"/>
          <w:szCs w:val="20"/>
          <w:lang w:val="es-US"/>
        </w:rPr>
        <w:t xml:space="preserve">l </w:t>
      </w:r>
      <w:r w:rsidR="00035B24" w:rsidRPr="006A251D">
        <w:rPr>
          <w:sz w:val="20"/>
          <w:szCs w:val="20"/>
          <w:lang w:val="es-US"/>
        </w:rPr>
        <w:t>denominado “</w:t>
      </w:r>
      <w:r w:rsidRPr="006A251D">
        <w:rPr>
          <w:sz w:val="20"/>
          <w:szCs w:val="20"/>
          <w:lang w:val="es-US"/>
        </w:rPr>
        <w:t xml:space="preserve">Villa Grimaldi”. </w:t>
      </w:r>
      <w:r w:rsidR="0026261D" w:rsidRPr="006A251D">
        <w:rPr>
          <w:sz w:val="20"/>
          <w:szCs w:val="20"/>
          <w:lang w:val="es-US"/>
        </w:rPr>
        <w:t>A</w:t>
      </w:r>
      <w:r w:rsidRPr="006A251D">
        <w:rPr>
          <w:sz w:val="20"/>
          <w:szCs w:val="20"/>
          <w:lang w:val="es-US"/>
        </w:rPr>
        <w:t xml:space="preserve">gregaron que el Sr. Salinas Eytel fue visto con vida por </w:t>
      </w:r>
      <w:r w:rsidR="002A4062" w:rsidRPr="006A251D">
        <w:rPr>
          <w:sz w:val="20"/>
          <w:szCs w:val="20"/>
          <w:lang w:val="es-US"/>
        </w:rPr>
        <w:t>última</w:t>
      </w:r>
      <w:r w:rsidRPr="006A251D">
        <w:rPr>
          <w:sz w:val="20"/>
          <w:szCs w:val="20"/>
          <w:lang w:val="es-US"/>
        </w:rPr>
        <w:t xml:space="preserve"> vez en el centro clandestino de </w:t>
      </w:r>
      <w:r w:rsidR="0026261D" w:rsidRPr="006A251D">
        <w:rPr>
          <w:sz w:val="20"/>
          <w:szCs w:val="20"/>
          <w:lang w:val="es-US"/>
        </w:rPr>
        <w:t>detención</w:t>
      </w:r>
      <w:r w:rsidRPr="006A251D">
        <w:rPr>
          <w:sz w:val="20"/>
          <w:szCs w:val="20"/>
          <w:lang w:val="es-US"/>
        </w:rPr>
        <w:t xml:space="preserve"> “Cuatro </w:t>
      </w:r>
      <w:r w:rsidR="00076984" w:rsidRPr="006A251D">
        <w:rPr>
          <w:sz w:val="20"/>
          <w:szCs w:val="20"/>
          <w:lang w:val="es-US"/>
        </w:rPr>
        <w:t>Álamos</w:t>
      </w:r>
      <w:r w:rsidRPr="006A251D">
        <w:rPr>
          <w:sz w:val="20"/>
          <w:szCs w:val="20"/>
          <w:lang w:val="es-US"/>
        </w:rPr>
        <w:t>”</w:t>
      </w:r>
      <w:r w:rsidR="00FD248D" w:rsidRPr="006A251D">
        <w:rPr>
          <w:sz w:val="20"/>
          <w:szCs w:val="20"/>
          <w:lang w:val="es-US"/>
        </w:rPr>
        <w:t xml:space="preserve"> y que</w:t>
      </w:r>
      <w:r w:rsidRPr="006A251D">
        <w:rPr>
          <w:sz w:val="20"/>
          <w:szCs w:val="20"/>
          <w:lang w:val="es-US"/>
        </w:rPr>
        <w:t xml:space="preserve"> </w:t>
      </w:r>
      <w:r w:rsidR="00FD248D" w:rsidRPr="006A251D">
        <w:rPr>
          <w:sz w:val="20"/>
          <w:szCs w:val="20"/>
          <w:lang w:val="es-US"/>
        </w:rPr>
        <w:t>a</w:t>
      </w:r>
      <w:r w:rsidRPr="006A251D">
        <w:rPr>
          <w:sz w:val="20"/>
          <w:szCs w:val="20"/>
          <w:lang w:val="es-US"/>
        </w:rPr>
        <w:t xml:space="preserve"> la fecha no se tiene conocimiento de su paradero. </w:t>
      </w:r>
    </w:p>
    <w:p w14:paraId="74D7D4F0" w14:textId="77777777" w:rsidR="001F41C9" w:rsidRPr="006A251D" w:rsidRDefault="001F41C9" w:rsidP="00AC1CA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contextualSpacing/>
        <w:jc w:val="both"/>
        <w:rPr>
          <w:sz w:val="20"/>
          <w:szCs w:val="20"/>
          <w:lang w:val="es-US"/>
        </w:rPr>
      </w:pPr>
    </w:p>
    <w:p w14:paraId="1710FE17" w14:textId="77777777" w:rsidR="001F41C9" w:rsidRPr="006A251D" w:rsidRDefault="0026261D"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US"/>
        </w:rPr>
      </w:pPr>
      <w:r w:rsidRPr="006A251D">
        <w:rPr>
          <w:sz w:val="20"/>
          <w:szCs w:val="20"/>
          <w:lang w:val="es-US"/>
        </w:rPr>
        <w:t>I</w:t>
      </w:r>
      <w:r w:rsidR="001F41C9" w:rsidRPr="006A251D">
        <w:rPr>
          <w:sz w:val="20"/>
          <w:szCs w:val="20"/>
          <w:lang w:val="es-US"/>
        </w:rPr>
        <w:t xml:space="preserve">nformaron que de manera inmediata los familiares del Sr. Salinas Eytel interpusieron un recurso de amparo ante la Corte de Apelaciones de Santiago, el cual fue rechazado en marzo de 1975. Adicionalmente, añadieron que una </w:t>
      </w:r>
      <w:r w:rsidRPr="006A251D">
        <w:rPr>
          <w:sz w:val="20"/>
          <w:szCs w:val="20"/>
          <w:lang w:val="es-US"/>
        </w:rPr>
        <w:t>investigación</w:t>
      </w:r>
      <w:r w:rsidR="001F41C9" w:rsidRPr="006A251D">
        <w:rPr>
          <w:sz w:val="20"/>
          <w:szCs w:val="20"/>
          <w:lang w:val="es-US"/>
        </w:rPr>
        <w:t xml:space="preserve"> criminal abierta en el Sexto Juzgado del Crimen de Santiago fue </w:t>
      </w:r>
      <w:r w:rsidRPr="006A251D">
        <w:rPr>
          <w:sz w:val="20"/>
          <w:szCs w:val="20"/>
          <w:lang w:val="es-US"/>
        </w:rPr>
        <w:t>sobreseída</w:t>
      </w:r>
      <w:r w:rsidR="001F41C9" w:rsidRPr="006A251D">
        <w:rPr>
          <w:sz w:val="20"/>
          <w:szCs w:val="20"/>
          <w:lang w:val="es-US"/>
        </w:rPr>
        <w:t xml:space="preserve"> de manera definitiva en julio de 1975 por falta de pruebas.  </w:t>
      </w:r>
    </w:p>
    <w:p w14:paraId="01F0786C" w14:textId="77777777" w:rsidR="001F41C9" w:rsidRPr="006A251D" w:rsidRDefault="001F41C9" w:rsidP="00AC1CA8">
      <w:pPr>
        <w:pStyle w:val="ListParagraph"/>
        <w:tabs>
          <w:tab w:val="left" w:pos="567"/>
        </w:tabs>
        <w:rPr>
          <w:sz w:val="20"/>
          <w:szCs w:val="20"/>
          <w:lang w:val="es-US"/>
        </w:rPr>
      </w:pPr>
    </w:p>
    <w:p w14:paraId="01488654" w14:textId="77777777" w:rsidR="001F41C9" w:rsidRPr="006A251D" w:rsidRDefault="0026261D"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US"/>
        </w:rPr>
      </w:pPr>
      <w:r w:rsidRPr="006A251D">
        <w:rPr>
          <w:sz w:val="20"/>
          <w:szCs w:val="20"/>
          <w:lang w:val="es-US"/>
        </w:rPr>
        <w:lastRenderedPageBreak/>
        <w:t>Agregaron que</w:t>
      </w:r>
      <w:r w:rsidR="001F41C9" w:rsidRPr="006A251D">
        <w:rPr>
          <w:sz w:val="20"/>
          <w:szCs w:val="20"/>
          <w:lang w:val="es-US"/>
        </w:rPr>
        <w:t xml:space="preserve"> el sumario fue reabierto a instancias de la </w:t>
      </w:r>
      <w:r w:rsidRPr="006A251D">
        <w:rPr>
          <w:sz w:val="20"/>
          <w:szCs w:val="20"/>
          <w:lang w:val="es-US"/>
        </w:rPr>
        <w:t>Corporación</w:t>
      </w:r>
      <w:r w:rsidR="001F41C9" w:rsidRPr="006A251D">
        <w:rPr>
          <w:sz w:val="20"/>
          <w:szCs w:val="20"/>
          <w:lang w:val="es-US"/>
        </w:rPr>
        <w:t xml:space="preserve"> </w:t>
      </w:r>
      <w:r w:rsidR="001F41C9" w:rsidRPr="006A251D">
        <w:rPr>
          <w:sz w:val="20"/>
          <w:szCs w:val="20"/>
          <w:lang w:val="es-ES_tradnl"/>
        </w:rPr>
        <w:t xml:space="preserve">Nacional de Reparación y Reconciliación y, en abril de 2008, el Ministro de Fuero, Alejandro Solís Muñoz, resolvió en primera instancia condenar a cinco ex oficiales de alto rango del </w:t>
      </w:r>
      <w:r w:rsidR="002A4062" w:rsidRPr="006A251D">
        <w:rPr>
          <w:sz w:val="20"/>
          <w:szCs w:val="20"/>
          <w:lang w:val="es-ES_tradnl"/>
        </w:rPr>
        <w:t>Ejército</w:t>
      </w:r>
      <w:r w:rsidR="001F41C9" w:rsidRPr="006A251D">
        <w:rPr>
          <w:sz w:val="20"/>
          <w:szCs w:val="20"/>
          <w:lang w:val="es-ES_tradnl"/>
        </w:rPr>
        <w:t xml:space="preserve"> y la DINA a penas de entre 15 y 10 años de prisión por el delito de secuestro calificado en perjuicio del Sr. Salinas Eytel. </w:t>
      </w:r>
      <w:r w:rsidR="00D97F92" w:rsidRPr="006A251D">
        <w:rPr>
          <w:sz w:val="20"/>
          <w:szCs w:val="20"/>
          <w:lang w:val="es-ES_tradnl"/>
        </w:rPr>
        <w:t xml:space="preserve">En enero de 2009, añadieron, la </w:t>
      </w:r>
      <w:r w:rsidR="00D97F92" w:rsidRPr="006A251D">
        <w:rPr>
          <w:sz w:val="20"/>
          <w:szCs w:val="20"/>
          <w:lang w:val="es-US"/>
        </w:rPr>
        <w:t xml:space="preserve">Corte de Apelaciones de Santiago confirmó la sentencia de primera instancia. </w:t>
      </w:r>
    </w:p>
    <w:p w14:paraId="5655F5BF" w14:textId="77777777" w:rsidR="00D97F92" w:rsidRPr="006A251D" w:rsidRDefault="00D97F92" w:rsidP="00AC1CA8">
      <w:pPr>
        <w:pStyle w:val="ListParagraph"/>
        <w:tabs>
          <w:tab w:val="left" w:pos="567"/>
        </w:tabs>
        <w:rPr>
          <w:sz w:val="20"/>
          <w:szCs w:val="20"/>
          <w:lang w:val="es-US"/>
        </w:rPr>
      </w:pPr>
    </w:p>
    <w:p w14:paraId="3AC177D3" w14:textId="77777777" w:rsidR="00D97F92" w:rsidRPr="006A251D" w:rsidRDefault="0026261D"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US"/>
        </w:rPr>
      </w:pPr>
      <w:r w:rsidRPr="006A251D">
        <w:rPr>
          <w:sz w:val="20"/>
          <w:szCs w:val="20"/>
          <w:lang w:val="es-US"/>
        </w:rPr>
        <w:t>Indicaron que</w:t>
      </w:r>
      <w:r w:rsidR="00D97F92" w:rsidRPr="006A251D">
        <w:rPr>
          <w:sz w:val="20"/>
          <w:szCs w:val="20"/>
          <w:lang w:val="es-US"/>
        </w:rPr>
        <w:t xml:space="preserve"> en enero de 2010 la Corte S</w:t>
      </w:r>
      <w:r w:rsidR="00D97F92" w:rsidRPr="006A251D">
        <w:rPr>
          <w:rFonts w:cs="Calibri"/>
          <w:bCs/>
          <w:sz w:val="20"/>
          <w:szCs w:val="20"/>
          <w:lang w:val="es-US"/>
        </w:rPr>
        <w:t xml:space="preserve">uprema, en ocasión de conocer los recursos de </w:t>
      </w:r>
      <w:r w:rsidRPr="006A251D">
        <w:rPr>
          <w:rFonts w:cs="Calibri"/>
          <w:bCs/>
          <w:sz w:val="20"/>
          <w:szCs w:val="20"/>
          <w:lang w:val="es-US"/>
        </w:rPr>
        <w:t>casación</w:t>
      </w:r>
      <w:r w:rsidR="00D97F92" w:rsidRPr="006A251D">
        <w:rPr>
          <w:rFonts w:cs="Calibri"/>
          <w:bCs/>
          <w:sz w:val="20"/>
          <w:szCs w:val="20"/>
          <w:lang w:val="es-US"/>
        </w:rPr>
        <w:t xml:space="preserve"> decidió anular las sentencias </w:t>
      </w:r>
      <w:r w:rsidRPr="006A251D">
        <w:rPr>
          <w:rFonts w:cs="Calibri"/>
          <w:bCs/>
          <w:sz w:val="20"/>
          <w:szCs w:val="20"/>
          <w:lang w:val="es-US"/>
        </w:rPr>
        <w:t>impugnadas</w:t>
      </w:r>
      <w:r w:rsidR="00D97F92" w:rsidRPr="006A251D">
        <w:rPr>
          <w:rFonts w:cs="Calibri"/>
          <w:bCs/>
          <w:sz w:val="20"/>
          <w:szCs w:val="20"/>
          <w:lang w:val="es-US"/>
        </w:rPr>
        <w:t xml:space="preserve"> y dictar una de reemplazo. En esta nueva sentencia, los jueces decidieron aplicar las circunstancias atenuantes de irreprochable conducta anterior y media </w:t>
      </w:r>
      <w:r w:rsidRPr="006A251D">
        <w:rPr>
          <w:rFonts w:cs="Calibri"/>
          <w:bCs/>
          <w:sz w:val="20"/>
          <w:szCs w:val="20"/>
          <w:lang w:val="es-US"/>
        </w:rPr>
        <w:t>prescripción</w:t>
      </w:r>
      <w:r w:rsidR="00D97F92" w:rsidRPr="006A251D">
        <w:rPr>
          <w:rFonts w:cs="Calibri"/>
          <w:bCs/>
          <w:sz w:val="20"/>
          <w:szCs w:val="20"/>
          <w:lang w:val="es-US"/>
        </w:rPr>
        <w:t xml:space="preserve"> y, en </w:t>
      </w:r>
      <w:r w:rsidR="00035B24" w:rsidRPr="006A251D">
        <w:rPr>
          <w:rFonts w:cs="Calibri"/>
          <w:bCs/>
          <w:sz w:val="20"/>
          <w:szCs w:val="20"/>
          <w:lang w:val="es-US"/>
        </w:rPr>
        <w:t>consecuencia,</w:t>
      </w:r>
      <w:r w:rsidR="00D97F92" w:rsidRPr="006A251D">
        <w:rPr>
          <w:rFonts w:cs="Calibri"/>
          <w:bCs/>
          <w:sz w:val="20"/>
          <w:szCs w:val="20"/>
          <w:lang w:val="es-US"/>
        </w:rPr>
        <w:t xml:space="preserve"> redujeron a 5 años y a 3 años</w:t>
      </w:r>
      <w:r w:rsidR="00DF7447" w:rsidRPr="006A251D">
        <w:rPr>
          <w:rFonts w:cs="Calibri"/>
          <w:bCs/>
          <w:sz w:val="20"/>
          <w:szCs w:val="20"/>
          <w:lang w:val="es-US"/>
        </w:rPr>
        <w:t xml:space="preserve"> </w:t>
      </w:r>
      <w:r w:rsidR="00D97F92" w:rsidRPr="006A251D">
        <w:rPr>
          <w:rFonts w:cs="Calibri"/>
          <w:bCs/>
          <w:sz w:val="20"/>
          <w:szCs w:val="20"/>
          <w:lang w:val="es-US"/>
        </w:rPr>
        <w:t xml:space="preserve">respectivamente las penas impuestas en primera instancia. </w:t>
      </w:r>
      <w:r w:rsidRPr="006A251D">
        <w:rPr>
          <w:rFonts w:cs="Calibri"/>
          <w:bCs/>
          <w:sz w:val="20"/>
          <w:szCs w:val="20"/>
          <w:lang w:val="es-US"/>
        </w:rPr>
        <w:t>A</w:t>
      </w:r>
      <w:r w:rsidR="00D97F92" w:rsidRPr="006A251D">
        <w:rPr>
          <w:rFonts w:cs="Calibri"/>
          <w:bCs/>
          <w:sz w:val="20"/>
          <w:szCs w:val="20"/>
          <w:lang w:val="es-US"/>
        </w:rPr>
        <w:t>gregaron</w:t>
      </w:r>
      <w:r w:rsidRPr="006A251D">
        <w:rPr>
          <w:rFonts w:cs="Calibri"/>
          <w:bCs/>
          <w:sz w:val="20"/>
          <w:szCs w:val="20"/>
          <w:lang w:val="es-US"/>
        </w:rPr>
        <w:t xml:space="preserve"> que</w:t>
      </w:r>
      <w:r w:rsidR="00D97F92" w:rsidRPr="006A251D">
        <w:rPr>
          <w:rFonts w:cs="Calibri"/>
          <w:bCs/>
          <w:sz w:val="20"/>
          <w:szCs w:val="20"/>
          <w:lang w:val="es-US"/>
        </w:rPr>
        <w:t xml:space="preserve"> los jueces concedieron a todos los condenados el beneficio de la libertad vigilada, por lo que no fueron privados de la libertad por el delito cometido contra el Sr. Salinas Eytel. </w:t>
      </w:r>
    </w:p>
    <w:p w14:paraId="2B1E9F6A" w14:textId="77777777" w:rsidR="00D97F92" w:rsidRPr="006A251D" w:rsidRDefault="00D97F92" w:rsidP="00AC1CA8">
      <w:pPr>
        <w:pStyle w:val="ListParagraph"/>
        <w:tabs>
          <w:tab w:val="left" w:pos="567"/>
        </w:tabs>
        <w:rPr>
          <w:sz w:val="20"/>
          <w:szCs w:val="20"/>
          <w:lang w:val="es-US"/>
        </w:rPr>
      </w:pPr>
    </w:p>
    <w:p w14:paraId="50D65D1B" w14:textId="77777777" w:rsidR="00D97F92" w:rsidRPr="006A251D" w:rsidRDefault="0026261D"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US"/>
        </w:rPr>
      </w:pPr>
      <w:r w:rsidRPr="006A251D">
        <w:rPr>
          <w:sz w:val="20"/>
          <w:szCs w:val="20"/>
          <w:lang w:val="es-US"/>
        </w:rPr>
        <w:t>S</w:t>
      </w:r>
      <w:r w:rsidR="00D97F92" w:rsidRPr="006A251D">
        <w:rPr>
          <w:sz w:val="20"/>
          <w:szCs w:val="20"/>
          <w:lang w:val="es-US"/>
        </w:rPr>
        <w:t>o</w:t>
      </w:r>
      <w:r w:rsidRPr="006A251D">
        <w:rPr>
          <w:sz w:val="20"/>
          <w:szCs w:val="20"/>
          <w:lang w:val="es-US"/>
        </w:rPr>
        <w:t>s</w:t>
      </w:r>
      <w:r w:rsidR="00D97F92" w:rsidRPr="006A251D">
        <w:rPr>
          <w:sz w:val="20"/>
          <w:szCs w:val="20"/>
          <w:lang w:val="es-US"/>
        </w:rPr>
        <w:t xml:space="preserve">tuvieron que la </w:t>
      </w:r>
      <w:r w:rsidRPr="006A251D">
        <w:rPr>
          <w:sz w:val="20"/>
          <w:szCs w:val="20"/>
          <w:lang w:val="es-US"/>
        </w:rPr>
        <w:t>decisión</w:t>
      </w:r>
      <w:r w:rsidR="00D97F92" w:rsidRPr="006A251D">
        <w:rPr>
          <w:sz w:val="20"/>
          <w:szCs w:val="20"/>
          <w:lang w:val="es-US"/>
        </w:rPr>
        <w:t xml:space="preserve"> de la Corte Suprema de aplicar la atenuante de la media </w:t>
      </w:r>
      <w:r w:rsidRPr="006A251D">
        <w:rPr>
          <w:sz w:val="20"/>
          <w:szCs w:val="20"/>
          <w:lang w:val="es-US"/>
        </w:rPr>
        <w:t>prescripción</w:t>
      </w:r>
      <w:r w:rsidR="00D97F92" w:rsidRPr="006A251D">
        <w:rPr>
          <w:sz w:val="20"/>
          <w:szCs w:val="20"/>
          <w:lang w:val="es-US"/>
        </w:rPr>
        <w:t xml:space="preserve"> a los condenados por el crimen de lesa humanidad de </w:t>
      </w:r>
      <w:r w:rsidRPr="006A251D">
        <w:rPr>
          <w:sz w:val="20"/>
          <w:szCs w:val="20"/>
          <w:lang w:val="es-US"/>
        </w:rPr>
        <w:t>desaparición</w:t>
      </w:r>
      <w:r w:rsidR="00D97F92" w:rsidRPr="006A251D">
        <w:rPr>
          <w:sz w:val="20"/>
          <w:szCs w:val="20"/>
          <w:lang w:val="es-US"/>
        </w:rPr>
        <w:t xml:space="preserve"> forzada perpetrado en perjuicio del Sr. Salinas Eytel no observ</w:t>
      </w:r>
      <w:r w:rsidRPr="006A251D">
        <w:rPr>
          <w:sz w:val="20"/>
          <w:szCs w:val="20"/>
          <w:lang w:val="es-US"/>
        </w:rPr>
        <w:t>ó</w:t>
      </w:r>
      <w:r w:rsidR="00D97F92" w:rsidRPr="006A251D">
        <w:rPr>
          <w:sz w:val="20"/>
          <w:szCs w:val="20"/>
          <w:lang w:val="es-US"/>
        </w:rPr>
        <w:t xml:space="preserve"> los elementos que regulan este tipo de delitos conforme a su naturaleza y envergadura del daño ocasionado. </w:t>
      </w:r>
      <w:r w:rsidR="00D97F92" w:rsidRPr="006A251D">
        <w:rPr>
          <w:sz w:val="20"/>
          <w:szCs w:val="20"/>
          <w:lang w:val="es-VE"/>
        </w:rPr>
        <w:t xml:space="preserve">Finalmente, los peticionarios </w:t>
      </w:r>
      <w:r w:rsidR="00D97F92" w:rsidRPr="006A251D">
        <w:rPr>
          <w:sz w:val="20"/>
          <w:szCs w:val="20"/>
          <w:lang w:val="es-ES_tradnl"/>
        </w:rPr>
        <w:t xml:space="preserve">expresaron que la petición comparte los mismos fundamentos que aquellos plasmados en las peticiones previas que se acumularon en el caso 13.054, remitiéndose a sus comunicaciones previas.  </w:t>
      </w:r>
    </w:p>
    <w:p w14:paraId="4ABEA61B" w14:textId="77777777" w:rsidR="00D97F92" w:rsidRPr="006A251D" w:rsidRDefault="00D97F92" w:rsidP="00D97F92">
      <w:pPr>
        <w:pStyle w:val="ListParagraph"/>
        <w:jc w:val="both"/>
        <w:rPr>
          <w:sz w:val="20"/>
          <w:szCs w:val="20"/>
          <w:lang w:val="es-US"/>
        </w:rPr>
      </w:pPr>
    </w:p>
    <w:p w14:paraId="0EF736B9" w14:textId="77777777" w:rsidR="00D97F92" w:rsidRPr="006A251D" w:rsidRDefault="00D97F92" w:rsidP="00D97F92">
      <w:pPr>
        <w:ind w:left="709" w:right="288"/>
        <w:jc w:val="both"/>
        <w:rPr>
          <w:rFonts w:ascii="Cambria" w:hAnsi="Cambria" w:cs="Calibri"/>
          <w:b/>
          <w:bCs/>
          <w:sz w:val="20"/>
          <w:szCs w:val="20"/>
          <w:lang w:val="es-US"/>
        </w:rPr>
      </w:pPr>
      <w:r w:rsidRPr="006A251D">
        <w:rPr>
          <w:rFonts w:ascii="Cambria" w:hAnsi="Cambria" w:cs="Calibri"/>
          <w:b/>
          <w:bCs/>
          <w:sz w:val="20"/>
          <w:szCs w:val="20"/>
          <w:lang w:val="es-US"/>
        </w:rPr>
        <w:t>Alegatos presentados por los peticionarios de la petición interpuesta en representación de Gerardo Antonio Encina Pérez y sus respectivos familiares y registrada inicialmente por la Comisión bajo el número P 1211-10.</w:t>
      </w:r>
    </w:p>
    <w:p w14:paraId="3CFB13AD" w14:textId="77777777" w:rsidR="00D97F92" w:rsidRPr="006A251D" w:rsidRDefault="00D97F92" w:rsidP="00D97F92">
      <w:pPr>
        <w:ind w:left="360"/>
        <w:jc w:val="both"/>
        <w:rPr>
          <w:rFonts w:ascii="Cambria" w:hAnsi="Cambria"/>
          <w:b/>
          <w:sz w:val="20"/>
          <w:szCs w:val="20"/>
          <w:lang w:val="es-US"/>
        </w:rPr>
      </w:pPr>
    </w:p>
    <w:p w14:paraId="072E9DBB" w14:textId="77777777" w:rsidR="003C4D3A" w:rsidRPr="006A251D" w:rsidRDefault="003C4D3A"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US"/>
        </w:rPr>
      </w:pPr>
      <w:r w:rsidRPr="006A251D">
        <w:rPr>
          <w:sz w:val="20"/>
          <w:szCs w:val="20"/>
          <w:lang w:val="es-US"/>
        </w:rPr>
        <w:t xml:space="preserve">Los peticionarios </w:t>
      </w:r>
      <w:r w:rsidR="003F3055" w:rsidRPr="006A251D">
        <w:rPr>
          <w:sz w:val="20"/>
          <w:szCs w:val="20"/>
          <w:lang w:val="es-US"/>
        </w:rPr>
        <w:t xml:space="preserve">afirmaron que </w:t>
      </w:r>
      <w:r w:rsidR="00C56230" w:rsidRPr="006A251D">
        <w:rPr>
          <w:sz w:val="20"/>
          <w:szCs w:val="20"/>
          <w:lang w:val="es-US"/>
        </w:rPr>
        <w:t xml:space="preserve">el Sr. Encina </w:t>
      </w:r>
      <w:r w:rsidR="0026261D" w:rsidRPr="006A251D">
        <w:rPr>
          <w:sz w:val="20"/>
          <w:szCs w:val="20"/>
          <w:lang w:val="es-US"/>
        </w:rPr>
        <w:t>Pérez</w:t>
      </w:r>
      <w:r w:rsidR="00C56230" w:rsidRPr="006A251D">
        <w:rPr>
          <w:sz w:val="20"/>
          <w:szCs w:val="20"/>
          <w:lang w:val="es-US"/>
        </w:rPr>
        <w:t xml:space="preserve"> fue detenido por oficiales de Carabineros de Chile y alojado en la 5° Comisaria de Carabineros de San Javier, VII Región del Maule. </w:t>
      </w:r>
      <w:r w:rsidR="0026261D" w:rsidRPr="006A251D">
        <w:rPr>
          <w:sz w:val="20"/>
          <w:szCs w:val="20"/>
          <w:lang w:val="es-US"/>
        </w:rPr>
        <w:t>D</w:t>
      </w:r>
      <w:r w:rsidR="00C56230" w:rsidRPr="006A251D">
        <w:rPr>
          <w:sz w:val="20"/>
          <w:szCs w:val="20"/>
          <w:lang w:val="es-US"/>
        </w:rPr>
        <w:t xml:space="preserve">iez o quince </w:t>
      </w:r>
      <w:r w:rsidR="0026261D" w:rsidRPr="006A251D">
        <w:rPr>
          <w:sz w:val="20"/>
          <w:szCs w:val="20"/>
          <w:lang w:val="es-US"/>
        </w:rPr>
        <w:t>días</w:t>
      </w:r>
      <w:r w:rsidR="00C56230" w:rsidRPr="006A251D">
        <w:rPr>
          <w:sz w:val="20"/>
          <w:szCs w:val="20"/>
          <w:lang w:val="es-US"/>
        </w:rPr>
        <w:t xml:space="preserve"> de producida la detención familiares de otros detenidos desparecidos de la zona hallaron en el lecho del Rio Loncomilla el cuerpo sin vida del Sr. Encina </w:t>
      </w:r>
      <w:r w:rsidR="0026261D" w:rsidRPr="006A251D">
        <w:rPr>
          <w:sz w:val="20"/>
          <w:szCs w:val="20"/>
          <w:lang w:val="es-US"/>
        </w:rPr>
        <w:t>Pérez</w:t>
      </w:r>
      <w:r w:rsidR="00C56230" w:rsidRPr="006A251D">
        <w:rPr>
          <w:sz w:val="20"/>
          <w:szCs w:val="20"/>
          <w:lang w:val="es-US"/>
        </w:rPr>
        <w:t xml:space="preserve"> con huellas de disparos de armas de fuego en tórax y espalda.  </w:t>
      </w:r>
    </w:p>
    <w:p w14:paraId="2265C628" w14:textId="77777777" w:rsidR="00C56230" w:rsidRPr="006A251D" w:rsidRDefault="00C56230" w:rsidP="00AC1CA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contextualSpacing/>
        <w:jc w:val="both"/>
        <w:rPr>
          <w:sz w:val="20"/>
          <w:szCs w:val="20"/>
          <w:lang w:val="es-US"/>
        </w:rPr>
      </w:pPr>
    </w:p>
    <w:p w14:paraId="356FC15A" w14:textId="77777777" w:rsidR="00C56230" w:rsidRPr="006A251D" w:rsidRDefault="0026261D"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US"/>
        </w:rPr>
      </w:pPr>
      <w:r w:rsidRPr="006A251D">
        <w:rPr>
          <w:sz w:val="20"/>
          <w:szCs w:val="20"/>
          <w:lang w:val="es-US"/>
        </w:rPr>
        <w:t>I</w:t>
      </w:r>
      <w:r w:rsidR="00C56230" w:rsidRPr="006A251D">
        <w:rPr>
          <w:sz w:val="20"/>
          <w:szCs w:val="20"/>
          <w:lang w:val="es-US"/>
        </w:rPr>
        <w:t xml:space="preserve">nformaron que la Sra. </w:t>
      </w:r>
      <w:r w:rsidRPr="006A251D">
        <w:rPr>
          <w:sz w:val="20"/>
          <w:szCs w:val="20"/>
          <w:lang w:val="es-US"/>
        </w:rPr>
        <w:t>María</w:t>
      </w:r>
      <w:r w:rsidR="00C56230" w:rsidRPr="006A251D">
        <w:rPr>
          <w:sz w:val="20"/>
          <w:szCs w:val="20"/>
          <w:lang w:val="es-US"/>
        </w:rPr>
        <w:t xml:space="preserve"> </w:t>
      </w:r>
      <w:r w:rsidRPr="006A251D">
        <w:rPr>
          <w:sz w:val="20"/>
          <w:szCs w:val="20"/>
          <w:lang w:val="es-US"/>
        </w:rPr>
        <w:t>Inés</w:t>
      </w:r>
      <w:r w:rsidR="00C56230" w:rsidRPr="006A251D">
        <w:rPr>
          <w:sz w:val="20"/>
          <w:szCs w:val="20"/>
          <w:lang w:val="es-US"/>
        </w:rPr>
        <w:t xml:space="preserve"> Samur Garrido, esposa del Sr. Encina </w:t>
      </w:r>
      <w:r w:rsidRPr="006A251D">
        <w:rPr>
          <w:sz w:val="20"/>
          <w:szCs w:val="20"/>
          <w:lang w:val="es-US"/>
        </w:rPr>
        <w:t>Pérez</w:t>
      </w:r>
      <w:r w:rsidR="00C56230" w:rsidRPr="006A251D">
        <w:rPr>
          <w:sz w:val="20"/>
          <w:szCs w:val="20"/>
          <w:lang w:val="es-US"/>
        </w:rPr>
        <w:t>, inicio de inmediato diversas gestiones ante el Fiscal militar y el Gobernador de la zona para establecer lo sucedido, pero que ellas no dieron resultados positivos. En 1990 la Sra. Samur Garrido brind</w:t>
      </w:r>
      <w:r w:rsidRPr="006A251D">
        <w:rPr>
          <w:sz w:val="20"/>
          <w:szCs w:val="20"/>
          <w:lang w:val="es-US"/>
        </w:rPr>
        <w:t xml:space="preserve">ó </w:t>
      </w:r>
      <w:r w:rsidR="00C56230" w:rsidRPr="006A251D">
        <w:rPr>
          <w:sz w:val="20"/>
          <w:szCs w:val="20"/>
          <w:lang w:val="es-US"/>
        </w:rPr>
        <w:t xml:space="preserve">su testimonio ante la </w:t>
      </w:r>
      <w:r w:rsidRPr="006A251D">
        <w:rPr>
          <w:sz w:val="20"/>
          <w:szCs w:val="20"/>
          <w:lang w:val="es-US"/>
        </w:rPr>
        <w:t>Comisión</w:t>
      </w:r>
      <w:r w:rsidR="00C56230" w:rsidRPr="006A251D">
        <w:rPr>
          <w:sz w:val="20"/>
          <w:szCs w:val="20"/>
          <w:lang w:val="es-US"/>
        </w:rPr>
        <w:t xml:space="preserve"> </w:t>
      </w:r>
      <w:r w:rsidR="00EE57CE" w:rsidRPr="006A251D">
        <w:rPr>
          <w:sz w:val="20"/>
          <w:szCs w:val="20"/>
          <w:lang w:val="es-US"/>
        </w:rPr>
        <w:t>Nacional de</w:t>
      </w:r>
      <w:r w:rsidR="00C56230" w:rsidRPr="006A251D">
        <w:rPr>
          <w:sz w:val="20"/>
          <w:szCs w:val="20"/>
          <w:lang w:val="es-US"/>
        </w:rPr>
        <w:t xml:space="preserve"> Verdad y </w:t>
      </w:r>
      <w:r w:rsidRPr="006A251D">
        <w:rPr>
          <w:sz w:val="20"/>
          <w:szCs w:val="20"/>
          <w:lang w:val="es-US"/>
        </w:rPr>
        <w:t>Reconciliación</w:t>
      </w:r>
      <w:r w:rsidR="00C56230" w:rsidRPr="006A251D">
        <w:rPr>
          <w:sz w:val="20"/>
          <w:szCs w:val="20"/>
          <w:lang w:val="es-US"/>
        </w:rPr>
        <w:t>, quien calific</w:t>
      </w:r>
      <w:r w:rsidRPr="006A251D">
        <w:rPr>
          <w:sz w:val="20"/>
          <w:szCs w:val="20"/>
          <w:lang w:val="es-US"/>
        </w:rPr>
        <w:t xml:space="preserve">ó </w:t>
      </w:r>
      <w:r w:rsidR="00C56230" w:rsidRPr="006A251D">
        <w:rPr>
          <w:sz w:val="20"/>
          <w:szCs w:val="20"/>
          <w:lang w:val="es-US"/>
        </w:rPr>
        <w:t xml:space="preserve">al Sr. Encina </w:t>
      </w:r>
      <w:r w:rsidRPr="006A251D">
        <w:rPr>
          <w:sz w:val="20"/>
          <w:szCs w:val="20"/>
          <w:lang w:val="es-US"/>
        </w:rPr>
        <w:t>Pérez</w:t>
      </w:r>
      <w:r w:rsidR="00C56230" w:rsidRPr="006A251D">
        <w:rPr>
          <w:sz w:val="20"/>
          <w:szCs w:val="20"/>
          <w:lang w:val="es-US"/>
        </w:rPr>
        <w:t xml:space="preserve"> como una v</w:t>
      </w:r>
      <w:r w:rsidRPr="006A251D">
        <w:rPr>
          <w:sz w:val="20"/>
          <w:szCs w:val="20"/>
          <w:lang w:val="es-US"/>
        </w:rPr>
        <w:t>í</w:t>
      </w:r>
      <w:r w:rsidR="00C56230" w:rsidRPr="006A251D">
        <w:rPr>
          <w:sz w:val="20"/>
          <w:szCs w:val="20"/>
          <w:lang w:val="es-US"/>
        </w:rPr>
        <w:t xml:space="preserve">ctima de </w:t>
      </w:r>
      <w:r w:rsidRPr="006A251D">
        <w:rPr>
          <w:sz w:val="20"/>
          <w:szCs w:val="20"/>
          <w:lang w:val="es-US"/>
        </w:rPr>
        <w:t>violación</w:t>
      </w:r>
      <w:r w:rsidR="00C56230" w:rsidRPr="006A251D">
        <w:rPr>
          <w:sz w:val="20"/>
          <w:szCs w:val="20"/>
          <w:lang w:val="es-US"/>
        </w:rPr>
        <w:t xml:space="preserve"> de los derechos humanos en calidad de detenido desaparecido. Asimismo, añadieron los peticionarios, la CVR </w:t>
      </w:r>
      <w:r w:rsidRPr="006A251D">
        <w:rPr>
          <w:sz w:val="20"/>
          <w:szCs w:val="20"/>
          <w:lang w:val="es-US"/>
        </w:rPr>
        <w:t>remitió</w:t>
      </w:r>
      <w:r w:rsidR="00C56230" w:rsidRPr="006A251D">
        <w:rPr>
          <w:sz w:val="20"/>
          <w:szCs w:val="20"/>
          <w:lang w:val="es-US"/>
        </w:rPr>
        <w:t xml:space="preserve"> al Juzgado de Letras de San Javier copia del testimonio de la Sra. Samur Garrido a fin de que se investigue lo acontecido con su </w:t>
      </w:r>
      <w:r w:rsidRPr="006A251D">
        <w:rPr>
          <w:sz w:val="20"/>
          <w:szCs w:val="20"/>
          <w:lang w:val="es-US"/>
        </w:rPr>
        <w:t>cónyuge</w:t>
      </w:r>
      <w:r w:rsidR="00C56230" w:rsidRPr="006A251D">
        <w:rPr>
          <w:sz w:val="20"/>
          <w:szCs w:val="20"/>
          <w:lang w:val="es-US"/>
        </w:rPr>
        <w:t xml:space="preserve"> pero que, tras una deficiente </w:t>
      </w:r>
      <w:r w:rsidRPr="006A251D">
        <w:rPr>
          <w:sz w:val="20"/>
          <w:szCs w:val="20"/>
          <w:lang w:val="es-US"/>
        </w:rPr>
        <w:t>investigación</w:t>
      </w:r>
      <w:r w:rsidR="00C56230" w:rsidRPr="006A251D">
        <w:rPr>
          <w:sz w:val="20"/>
          <w:szCs w:val="20"/>
          <w:lang w:val="es-US"/>
        </w:rPr>
        <w:t xml:space="preserve">, la causa fue </w:t>
      </w:r>
      <w:r w:rsidRPr="006A251D">
        <w:rPr>
          <w:sz w:val="20"/>
          <w:szCs w:val="20"/>
          <w:lang w:val="es-US"/>
        </w:rPr>
        <w:t>sobreseída</w:t>
      </w:r>
      <w:r w:rsidR="00C56230" w:rsidRPr="006A251D">
        <w:rPr>
          <w:sz w:val="20"/>
          <w:szCs w:val="20"/>
          <w:lang w:val="es-US"/>
        </w:rPr>
        <w:t xml:space="preserve"> en 1994. </w:t>
      </w:r>
    </w:p>
    <w:p w14:paraId="1B5964DA" w14:textId="77777777" w:rsidR="005E3DB2" w:rsidRPr="006A251D" w:rsidRDefault="005E3DB2" w:rsidP="00AC1CA8">
      <w:pPr>
        <w:pStyle w:val="ListParagraph"/>
        <w:tabs>
          <w:tab w:val="left" w:pos="567"/>
        </w:tabs>
        <w:rPr>
          <w:sz w:val="20"/>
          <w:szCs w:val="20"/>
          <w:lang w:val="es-US"/>
        </w:rPr>
      </w:pPr>
    </w:p>
    <w:p w14:paraId="4F7EB9CA" w14:textId="77777777" w:rsidR="005E3DB2" w:rsidRPr="006A251D" w:rsidRDefault="0026261D"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US"/>
        </w:rPr>
      </w:pPr>
      <w:r w:rsidRPr="006A251D">
        <w:rPr>
          <w:sz w:val="20"/>
          <w:szCs w:val="20"/>
          <w:lang w:val="es-US"/>
        </w:rPr>
        <w:t>S</w:t>
      </w:r>
      <w:r w:rsidR="005E3DB2" w:rsidRPr="006A251D">
        <w:rPr>
          <w:sz w:val="20"/>
          <w:szCs w:val="20"/>
          <w:lang w:val="es-US"/>
        </w:rPr>
        <w:t xml:space="preserve">eñalaron que en agosto de 2003 el magistrado instructor sometió a proceso a una serie de ex oficiales del Ejército y Carabineros por su </w:t>
      </w:r>
      <w:r w:rsidRPr="006A251D">
        <w:rPr>
          <w:sz w:val="20"/>
          <w:szCs w:val="20"/>
          <w:lang w:val="es-US"/>
        </w:rPr>
        <w:t>participación</w:t>
      </w:r>
      <w:r w:rsidR="005E3DB2" w:rsidRPr="006A251D">
        <w:rPr>
          <w:sz w:val="20"/>
          <w:szCs w:val="20"/>
          <w:lang w:val="es-US"/>
        </w:rPr>
        <w:t xml:space="preserve"> en calidad de autores del secuestro del Sr. Encina </w:t>
      </w:r>
      <w:r w:rsidRPr="006A251D">
        <w:rPr>
          <w:sz w:val="20"/>
          <w:szCs w:val="20"/>
          <w:lang w:val="es-US"/>
        </w:rPr>
        <w:t>Pérez</w:t>
      </w:r>
      <w:r w:rsidR="005E3DB2" w:rsidRPr="006A251D">
        <w:rPr>
          <w:sz w:val="20"/>
          <w:szCs w:val="20"/>
          <w:lang w:val="es-US"/>
        </w:rPr>
        <w:t xml:space="preserve">. Los peticionarios informaron que en agosto de 2008 la Ministra de la Corte de Apelaciones de Talca dictó sentencia de primera instancia absolviendo a dos de los procesados y dicto el sobreseimiento por </w:t>
      </w:r>
      <w:r w:rsidRPr="006A251D">
        <w:rPr>
          <w:sz w:val="20"/>
          <w:szCs w:val="20"/>
          <w:lang w:val="es-US"/>
        </w:rPr>
        <w:t>defunción</w:t>
      </w:r>
      <w:r w:rsidR="005E3DB2" w:rsidRPr="006A251D">
        <w:rPr>
          <w:sz w:val="20"/>
          <w:szCs w:val="20"/>
          <w:lang w:val="es-US"/>
        </w:rPr>
        <w:t xml:space="preserve"> de otro de ellos. Sin embargo, la Corte de Apelaciones revocó el fallo de primera instancia y condenó a uno de los acusados a la pena de 5 años y 1 </w:t>
      </w:r>
      <w:r w:rsidRPr="006A251D">
        <w:rPr>
          <w:sz w:val="20"/>
          <w:szCs w:val="20"/>
          <w:lang w:val="es-US"/>
        </w:rPr>
        <w:t>día</w:t>
      </w:r>
      <w:r w:rsidR="005E3DB2" w:rsidRPr="006A251D">
        <w:rPr>
          <w:sz w:val="20"/>
          <w:szCs w:val="20"/>
          <w:lang w:val="es-US"/>
        </w:rPr>
        <w:t xml:space="preserve"> de presidio. </w:t>
      </w:r>
    </w:p>
    <w:p w14:paraId="4BAA55DF" w14:textId="77777777" w:rsidR="005E3DB2" w:rsidRPr="006A251D" w:rsidRDefault="005E3DB2" w:rsidP="00AC1CA8">
      <w:pPr>
        <w:pStyle w:val="ListParagraph"/>
        <w:tabs>
          <w:tab w:val="left" w:pos="567"/>
        </w:tabs>
        <w:rPr>
          <w:sz w:val="20"/>
          <w:szCs w:val="20"/>
          <w:lang w:val="es-US"/>
        </w:rPr>
      </w:pPr>
    </w:p>
    <w:p w14:paraId="60AD1D88" w14:textId="77777777" w:rsidR="005E3DB2" w:rsidRPr="006A251D" w:rsidRDefault="0026261D"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US"/>
        </w:rPr>
      </w:pPr>
      <w:r w:rsidRPr="006A251D">
        <w:rPr>
          <w:sz w:val="20"/>
          <w:szCs w:val="20"/>
          <w:lang w:val="es-US"/>
        </w:rPr>
        <w:t>I</w:t>
      </w:r>
      <w:r w:rsidR="005E3DB2" w:rsidRPr="006A251D">
        <w:rPr>
          <w:sz w:val="20"/>
          <w:szCs w:val="20"/>
          <w:lang w:val="es-US"/>
        </w:rPr>
        <w:t xml:space="preserve">nformaron que esta </w:t>
      </w:r>
      <w:r w:rsidR="002A4062" w:rsidRPr="006A251D">
        <w:rPr>
          <w:sz w:val="20"/>
          <w:szCs w:val="20"/>
          <w:lang w:val="es-US"/>
        </w:rPr>
        <w:t>última</w:t>
      </w:r>
      <w:r w:rsidR="005E3DB2" w:rsidRPr="006A251D">
        <w:rPr>
          <w:sz w:val="20"/>
          <w:szCs w:val="20"/>
          <w:lang w:val="es-US"/>
        </w:rPr>
        <w:t xml:space="preserve"> </w:t>
      </w:r>
      <w:r w:rsidRPr="006A251D">
        <w:rPr>
          <w:sz w:val="20"/>
          <w:szCs w:val="20"/>
          <w:lang w:val="es-US"/>
        </w:rPr>
        <w:t>resolución</w:t>
      </w:r>
      <w:r w:rsidR="005E3DB2" w:rsidRPr="006A251D">
        <w:rPr>
          <w:sz w:val="20"/>
          <w:szCs w:val="20"/>
          <w:lang w:val="es-US"/>
        </w:rPr>
        <w:t xml:space="preserve"> judicial fue invalidada por la Corte Suprema de Justicia en abril de 2010 por considerar que </w:t>
      </w:r>
      <w:r w:rsidRPr="006A251D">
        <w:rPr>
          <w:sz w:val="20"/>
          <w:szCs w:val="20"/>
          <w:lang w:val="es-US"/>
        </w:rPr>
        <w:t>adolecía</w:t>
      </w:r>
      <w:r w:rsidR="005E3DB2" w:rsidRPr="006A251D">
        <w:rPr>
          <w:sz w:val="20"/>
          <w:szCs w:val="20"/>
          <w:lang w:val="es-US"/>
        </w:rPr>
        <w:t xml:space="preserve"> de vicios formales y </w:t>
      </w:r>
      <w:r w:rsidRPr="006A251D">
        <w:rPr>
          <w:sz w:val="20"/>
          <w:szCs w:val="20"/>
          <w:lang w:val="es-US"/>
        </w:rPr>
        <w:t>procedió</w:t>
      </w:r>
      <w:r w:rsidR="005E3DB2" w:rsidRPr="006A251D">
        <w:rPr>
          <w:sz w:val="20"/>
          <w:szCs w:val="20"/>
          <w:lang w:val="es-US"/>
        </w:rPr>
        <w:t xml:space="preserve"> a dictar una nueva en su reemplazo. En esta nueva sentencia, consignaron los peticionarios, la Corte Suprema </w:t>
      </w:r>
      <w:r w:rsidRPr="006A251D">
        <w:rPr>
          <w:sz w:val="20"/>
          <w:szCs w:val="20"/>
          <w:lang w:val="es-US"/>
        </w:rPr>
        <w:t>entendió</w:t>
      </w:r>
      <w:r w:rsidR="005E3DB2" w:rsidRPr="006A251D">
        <w:rPr>
          <w:sz w:val="20"/>
          <w:szCs w:val="20"/>
          <w:lang w:val="es-US"/>
        </w:rPr>
        <w:t xml:space="preserve"> que el </w:t>
      </w:r>
      <w:r w:rsidRPr="006A251D">
        <w:rPr>
          <w:sz w:val="20"/>
          <w:szCs w:val="20"/>
          <w:lang w:val="es-US"/>
        </w:rPr>
        <w:t>único</w:t>
      </w:r>
      <w:r w:rsidR="005E3DB2" w:rsidRPr="006A251D">
        <w:rPr>
          <w:sz w:val="20"/>
          <w:szCs w:val="20"/>
          <w:lang w:val="es-US"/>
        </w:rPr>
        <w:t xml:space="preserve"> condenado por los hechos resultaba beneficiado por las atenuantes de irreprochable conducta anterior y media </w:t>
      </w:r>
      <w:r w:rsidRPr="006A251D">
        <w:rPr>
          <w:sz w:val="20"/>
          <w:szCs w:val="20"/>
          <w:lang w:val="es-US"/>
        </w:rPr>
        <w:t>prescripción</w:t>
      </w:r>
      <w:r w:rsidR="005E3DB2" w:rsidRPr="006A251D">
        <w:rPr>
          <w:sz w:val="20"/>
          <w:szCs w:val="20"/>
          <w:lang w:val="es-US"/>
        </w:rPr>
        <w:t>, por lo que fij</w:t>
      </w:r>
      <w:r w:rsidRPr="006A251D">
        <w:rPr>
          <w:sz w:val="20"/>
          <w:szCs w:val="20"/>
          <w:lang w:val="es-US"/>
        </w:rPr>
        <w:t>ó</w:t>
      </w:r>
      <w:r w:rsidR="005E3DB2" w:rsidRPr="006A251D">
        <w:rPr>
          <w:sz w:val="20"/>
          <w:szCs w:val="20"/>
          <w:lang w:val="es-US"/>
        </w:rPr>
        <w:t xml:space="preserve"> la pena en cinco años de presidio mayor en su grado mínimo y, en </w:t>
      </w:r>
      <w:r w:rsidRPr="006A251D">
        <w:rPr>
          <w:sz w:val="20"/>
          <w:szCs w:val="20"/>
          <w:lang w:val="es-US"/>
        </w:rPr>
        <w:t>atención</w:t>
      </w:r>
      <w:r w:rsidR="005E3DB2" w:rsidRPr="006A251D">
        <w:rPr>
          <w:sz w:val="20"/>
          <w:szCs w:val="20"/>
          <w:lang w:val="es-US"/>
        </w:rPr>
        <w:t xml:space="preserve"> a la pena impuesta, se le concedi</w:t>
      </w:r>
      <w:r w:rsidR="00745061" w:rsidRPr="006A251D">
        <w:rPr>
          <w:sz w:val="20"/>
          <w:szCs w:val="20"/>
          <w:lang w:val="es-US"/>
        </w:rPr>
        <w:t>ó</w:t>
      </w:r>
      <w:r w:rsidR="005E3DB2" w:rsidRPr="006A251D">
        <w:rPr>
          <w:sz w:val="20"/>
          <w:szCs w:val="20"/>
          <w:lang w:val="es-US"/>
        </w:rPr>
        <w:t xml:space="preserve"> la medida alternativa de libertad vigilada. </w:t>
      </w:r>
    </w:p>
    <w:p w14:paraId="6C52DC38" w14:textId="77777777" w:rsidR="005E3DB2" w:rsidRPr="006A251D" w:rsidRDefault="005E3DB2" w:rsidP="00AC1CA8">
      <w:pPr>
        <w:pStyle w:val="ListParagraph"/>
        <w:tabs>
          <w:tab w:val="left" w:pos="567"/>
        </w:tabs>
        <w:rPr>
          <w:sz w:val="20"/>
          <w:szCs w:val="20"/>
          <w:lang w:val="es-US"/>
        </w:rPr>
      </w:pPr>
    </w:p>
    <w:p w14:paraId="41D74D2D" w14:textId="77777777" w:rsidR="005E3DB2" w:rsidRPr="006A251D" w:rsidRDefault="0026261D" w:rsidP="00BB60A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contextualSpacing/>
        <w:jc w:val="both"/>
        <w:rPr>
          <w:sz w:val="20"/>
          <w:szCs w:val="20"/>
          <w:lang w:val="es-US"/>
        </w:rPr>
      </w:pPr>
      <w:r w:rsidRPr="006A251D">
        <w:rPr>
          <w:sz w:val="20"/>
          <w:szCs w:val="20"/>
          <w:lang w:val="es-US"/>
        </w:rPr>
        <w:t>A</w:t>
      </w:r>
      <w:r w:rsidR="005E3DB2" w:rsidRPr="006A251D">
        <w:rPr>
          <w:sz w:val="20"/>
          <w:szCs w:val="20"/>
          <w:lang w:val="es-US"/>
        </w:rPr>
        <w:t xml:space="preserve">legaron que esta </w:t>
      </w:r>
      <w:r w:rsidRPr="006A251D">
        <w:rPr>
          <w:sz w:val="20"/>
          <w:szCs w:val="20"/>
          <w:lang w:val="es-US"/>
        </w:rPr>
        <w:t>ú</w:t>
      </w:r>
      <w:r w:rsidR="005E3DB2" w:rsidRPr="006A251D">
        <w:rPr>
          <w:sz w:val="20"/>
          <w:szCs w:val="20"/>
          <w:lang w:val="es-US"/>
        </w:rPr>
        <w:t xml:space="preserve">ltima </w:t>
      </w:r>
      <w:r w:rsidRPr="006A251D">
        <w:rPr>
          <w:sz w:val="20"/>
          <w:szCs w:val="20"/>
          <w:lang w:val="es-US"/>
        </w:rPr>
        <w:t>decisión</w:t>
      </w:r>
      <w:r w:rsidR="005E3DB2" w:rsidRPr="006A251D">
        <w:rPr>
          <w:sz w:val="20"/>
          <w:szCs w:val="20"/>
          <w:lang w:val="es-US"/>
        </w:rPr>
        <w:t xml:space="preserve"> de la Corte Suprema dej</w:t>
      </w:r>
      <w:r w:rsidRPr="006A251D">
        <w:rPr>
          <w:sz w:val="20"/>
          <w:szCs w:val="20"/>
          <w:lang w:val="es-US"/>
        </w:rPr>
        <w:t>ó</w:t>
      </w:r>
      <w:r w:rsidR="005E3DB2" w:rsidRPr="006A251D">
        <w:rPr>
          <w:sz w:val="20"/>
          <w:szCs w:val="20"/>
          <w:lang w:val="es-US"/>
        </w:rPr>
        <w:t xml:space="preserve"> en gran medida impune el de</w:t>
      </w:r>
      <w:r w:rsidRPr="006A251D">
        <w:rPr>
          <w:sz w:val="20"/>
          <w:szCs w:val="20"/>
          <w:lang w:val="es-US"/>
        </w:rPr>
        <w:t>lito de</w:t>
      </w:r>
      <w:r w:rsidR="005E3DB2" w:rsidRPr="006A251D">
        <w:rPr>
          <w:sz w:val="20"/>
          <w:szCs w:val="20"/>
          <w:lang w:val="es-US"/>
        </w:rPr>
        <w:t xml:space="preserve"> lesa humanidad de </w:t>
      </w:r>
      <w:r w:rsidRPr="006A251D">
        <w:rPr>
          <w:sz w:val="20"/>
          <w:szCs w:val="20"/>
          <w:lang w:val="es-US"/>
        </w:rPr>
        <w:t>ejecución</w:t>
      </w:r>
      <w:r w:rsidR="005E3DB2" w:rsidRPr="006A251D">
        <w:rPr>
          <w:sz w:val="20"/>
          <w:szCs w:val="20"/>
          <w:lang w:val="es-US"/>
        </w:rPr>
        <w:t xml:space="preserve"> sumaria cometido contra el Sr. Encina </w:t>
      </w:r>
      <w:r w:rsidRPr="006A251D">
        <w:rPr>
          <w:sz w:val="20"/>
          <w:szCs w:val="20"/>
          <w:lang w:val="es-US"/>
        </w:rPr>
        <w:t>Pérez</w:t>
      </w:r>
      <w:r w:rsidR="005E3DB2" w:rsidRPr="006A251D">
        <w:rPr>
          <w:sz w:val="20"/>
          <w:szCs w:val="20"/>
          <w:lang w:val="es-US"/>
        </w:rPr>
        <w:t xml:space="preserve"> al </w:t>
      </w:r>
      <w:r w:rsidRPr="006A251D">
        <w:rPr>
          <w:sz w:val="20"/>
          <w:szCs w:val="20"/>
          <w:lang w:val="es-US"/>
        </w:rPr>
        <w:t>otorgarle</w:t>
      </w:r>
      <w:r w:rsidR="005E3DB2" w:rsidRPr="006A251D">
        <w:rPr>
          <w:sz w:val="20"/>
          <w:szCs w:val="20"/>
          <w:lang w:val="es-US"/>
        </w:rPr>
        <w:t xml:space="preserve"> el beneficio de la media </w:t>
      </w:r>
      <w:r w:rsidRPr="006A251D">
        <w:rPr>
          <w:sz w:val="20"/>
          <w:szCs w:val="20"/>
          <w:lang w:val="es-US"/>
        </w:rPr>
        <w:t>prescripción</w:t>
      </w:r>
      <w:r w:rsidR="005E3DB2" w:rsidRPr="006A251D">
        <w:rPr>
          <w:sz w:val="20"/>
          <w:szCs w:val="20"/>
          <w:lang w:val="es-US"/>
        </w:rPr>
        <w:t xml:space="preserve"> al </w:t>
      </w:r>
      <w:r w:rsidRPr="006A251D">
        <w:rPr>
          <w:sz w:val="20"/>
          <w:szCs w:val="20"/>
          <w:lang w:val="es-US"/>
        </w:rPr>
        <w:t>único</w:t>
      </w:r>
      <w:r w:rsidR="005E3DB2" w:rsidRPr="006A251D">
        <w:rPr>
          <w:sz w:val="20"/>
          <w:szCs w:val="20"/>
          <w:lang w:val="es-US"/>
        </w:rPr>
        <w:t xml:space="preserve"> condenado, sin tomar en </w:t>
      </w:r>
      <w:r w:rsidRPr="006A251D">
        <w:rPr>
          <w:sz w:val="20"/>
          <w:szCs w:val="20"/>
          <w:lang w:val="es-US"/>
        </w:rPr>
        <w:t>consideración</w:t>
      </w:r>
      <w:r w:rsidR="005E3DB2" w:rsidRPr="006A251D">
        <w:rPr>
          <w:sz w:val="20"/>
          <w:szCs w:val="20"/>
          <w:lang w:val="es-US"/>
        </w:rPr>
        <w:t xml:space="preserve"> la gravedad del delito </w:t>
      </w:r>
      <w:r w:rsidRPr="006A251D">
        <w:rPr>
          <w:sz w:val="20"/>
          <w:szCs w:val="20"/>
          <w:lang w:val="es-US"/>
        </w:rPr>
        <w:t>cometido</w:t>
      </w:r>
      <w:r w:rsidR="005E3DB2" w:rsidRPr="006A251D">
        <w:rPr>
          <w:sz w:val="20"/>
          <w:szCs w:val="20"/>
          <w:lang w:val="es-US"/>
        </w:rPr>
        <w:t xml:space="preserve"> y las obligaciones del Estado chileno de juzgarlos y sancionarlos.</w:t>
      </w:r>
      <w:r w:rsidR="00356B60" w:rsidRPr="006A251D">
        <w:rPr>
          <w:sz w:val="20"/>
          <w:szCs w:val="20"/>
          <w:lang w:val="es-US"/>
        </w:rPr>
        <w:t xml:space="preserve"> </w:t>
      </w:r>
      <w:r w:rsidR="005E3DB2" w:rsidRPr="006A251D">
        <w:rPr>
          <w:sz w:val="20"/>
          <w:szCs w:val="20"/>
          <w:lang w:val="es-VE"/>
        </w:rPr>
        <w:t xml:space="preserve">Finalmente, los peticionarios </w:t>
      </w:r>
      <w:r w:rsidR="005E3DB2" w:rsidRPr="006A251D">
        <w:rPr>
          <w:sz w:val="20"/>
          <w:szCs w:val="20"/>
          <w:lang w:val="es-ES_tradnl"/>
        </w:rPr>
        <w:t xml:space="preserve">expresaron que la petición </w:t>
      </w:r>
      <w:r w:rsidR="005E3DB2" w:rsidRPr="006A251D">
        <w:rPr>
          <w:sz w:val="20"/>
          <w:szCs w:val="20"/>
          <w:lang w:val="es-ES_tradnl"/>
        </w:rPr>
        <w:lastRenderedPageBreak/>
        <w:t xml:space="preserve">comparte los mismos fundamentos que aquellos plasmados en las peticiones previas identificadas con los números 102-08 y 1275-04, por lo que se remitieron a las observaciones allí realizadas.   </w:t>
      </w:r>
    </w:p>
    <w:p w14:paraId="7BB8827F" w14:textId="77777777" w:rsidR="00D97F92" w:rsidRPr="006A251D" w:rsidRDefault="00D97F92" w:rsidP="005E3DB2">
      <w:pPr>
        <w:rPr>
          <w:rFonts w:ascii="Cambria" w:hAnsi="Cambria"/>
          <w:sz w:val="20"/>
          <w:szCs w:val="20"/>
          <w:lang w:val="es-US"/>
        </w:rPr>
      </w:pPr>
    </w:p>
    <w:p w14:paraId="70734974" w14:textId="77777777" w:rsidR="00C56230" w:rsidRPr="006A251D" w:rsidRDefault="00C56230" w:rsidP="00356B60">
      <w:pPr>
        <w:ind w:left="709" w:right="288"/>
        <w:jc w:val="both"/>
        <w:rPr>
          <w:rFonts w:ascii="Cambria" w:hAnsi="Cambria" w:cs="Calibri"/>
          <w:b/>
          <w:bCs/>
          <w:sz w:val="20"/>
          <w:szCs w:val="20"/>
          <w:lang w:val="es-US"/>
        </w:rPr>
      </w:pPr>
      <w:r w:rsidRPr="006A251D">
        <w:rPr>
          <w:rFonts w:ascii="Cambria" w:hAnsi="Cambria" w:cs="Calibri"/>
          <w:b/>
          <w:bCs/>
          <w:sz w:val="20"/>
          <w:szCs w:val="20"/>
          <w:lang w:val="es-US"/>
        </w:rPr>
        <w:t xml:space="preserve">Alegatos presentados por los peticionarios de la petición interpuesta en representación de Miguel Antonio Figueroa Mercado y sus respectivos familiares </w:t>
      </w:r>
      <w:r w:rsidR="00035B24" w:rsidRPr="006A251D">
        <w:rPr>
          <w:rFonts w:ascii="Cambria" w:hAnsi="Cambria" w:cs="Calibri"/>
          <w:b/>
          <w:bCs/>
          <w:sz w:val="20"/>
          <w:szCs w:val="20"/>
          <w:lang w:val="es-US"/>
        </w:rPr>
        <w:t>y registrada</w:t>
      </w:r>
      <w:r w:rsidRPr="006A251D">
        <w:rPr>
          <w:rFonts w:ascii="Cambria" w:hAnsi="Cambria" w:cs="Calibri"/>
          <w:b/>
          <w:bCs/>
          <w:sz w:val="20"/>
          <w:szCs w:val="20"/>
          <w:lang w:val="es-US"/>
        </w:rPr>
        <w:t xml:space="preserve"> inicialmente por la Comisión bajo el número P 1457-10.</w:t>
      </w:r>
    </w:p>
    <w:p w14:paraId="11D5E925" w14:textId="77777777" w:rsidR="00DF7447" w:rsidRPr="006A251D" w:rsidRDefault="00DF7447" w:rsidP="00356B60">
      <w:pPr>
        <w:ind w:right="288"/>
        <w:jc w:val="both"/>
        <w:rPr>
          <w:rFonts w:ascii="Cambria" w:hAnsi="Cambria" w:cs="Calibri"/>
          <w:b/>
          <w:bCs/>
          <w:sz w:val="20"/>
          <w:szCs w:val="20"/>
          <w:lang w:val="es-US"/>
        </w:rPr>
      </w:pPr>
    </w:p>
    <w:p w14:paraId="565DE99C" w14:textId="77777777" w:rsidR="00EE57CE" w:rsidRPr="006A251D" w:rsidRDefault="00DF7447" w:rsidP="00BB60A6">
      <w:pPr>
        <w:pStyle w:val="ListParagraph"/>
        <w:numPr>
          <w:ilvl w:val="0"/>
          <w:numId w:val="57"/>
        </w:numPr>
        <w:tabs>
          <w:tab w:val="left" w:pos="567"/>
        </w:tabs>
        <w:ind w:left="0" w:firstLine="0"/>
        <w:contextualSpacing/>
        <w:jc w:val="both"/>
        <w:rPr>
          <w:sz w:val="20"/>
          <w:szCs w:val="20"/>
          <w:lang w:val="es-US"/>
        </w:rPr>
      </w:pPr>
      <w:r w:rsidRPr="006A251D">
        <w:rPr>
          <w:sz w:val="20"/>
          <w:szCs w:val="20"/>
          <w:lang w:val="es-US"/>
        </w:rPr>
        <w:t xml:space="preserve">Los peticionarios </w:t>
      </w:r>
      <w:r w:rsidR="00EE57CE" w:rsidRPr="006A251D">
        <w:rPr>
          <w:sz w:val="20"/>
          <w:szCs w:val="20"/>
          <w:lang w:val="es-US"/>
        </w:rPr>
        <w:t xml:space="preserve">señalaron que el Sr. Miguel Antonio Figueroa Mercado fue arrestado en la noche del 29 de </w:t>
      </w:r>
      <w:r w:rsidR="0026261D" w:rsidRPr="006A251D">
        <w:rPr>
          <w:sz w:val="20"/>
          <w:szCs w:val="20"/>
          <w:lang w:val="es-US"/>
        </w:rPr>
        <w:t>septiembre</w:t>
      </w:r>
      <w:r w:rsidR="00EE57CE" w:rsidRPr="006A251D">
        <w:rPr>
          <w:sz w:val="20"/>
          <w:szCs w:val="20"/>
          <w:lang w:val="es-US"/>
        </w:rPr>
        <w:t xml:space="preserve"> de 1973 por efectivos de las fuerzas armadas y carabineros quienes irrumpieron en su domicilio ubicado en el Fundo Peñuelas, Comuna de Villa Alegre y se lo llevaron con rumbo desconocido. Desde esa fecha, agregaron, el Sr. Figueroa Mercado se encuentra en calidad de detenido desaparecido. </w:t>
      </w:r>
    </w:p>
    <w:p w14:paraId="6BD7F636" w14:textId="77777777" w:rsidR="00EE57CE" w:rsidRPr="006A251D" w:rsidRDefault="00EE57CE" w:rsidP="00AC1CA8">
      <w:pPr>
        <w:pStyle w:val="ListParagraph"/>
        <w:tabs>
          <w:tab w:val="left" w:pos="567"/>
        </w:tabs>
        <w:ind w:left="0"/>
        <w:contextualSpacing/>
        <w:jc w:val="both"/>
        <w:rPr>
          <w:sz w:val="20"/>
          <w:szCs w:val="20"/>
          <w:lang w:val="es-US"/>
        </w:rPr>
      </w:pPr>
    </w:p>
    <w:p w14:paraId="570D6F13" w14:textId="77777777" w:rsidR="00A03581" w:rsidRPr="006A251D" w:rsidRDefault="00EE57CE" w:rsidP="00BB60A6">
      <w:pPr>
        <w:pStyle w:val="ListParagraph"/>
        <w:numPr>
          <w:ilvl w:val="0"/>
          <w:numId w:val="57"/>
        </w:numPr>
        <w:tabs>
          <w:tab w:val="left" w:pos="567"/>
        </w:tabs>
        <w:ind w:left="0" w:firstLine="0"/>
        <w:contextualSpacing/>
        <w:jc w:val="both"/>
        <w:rPr>
          <w:sz w:val="20"/>
          <w:szCs w:val="20"/>
          <w:lang w:val="es-US"/>
        </w:rPr>
      </w:pPr>
      <w:r w:rsidRPr="006A251D">
        <w:rPr>
          <w:sz w:val="20"/>
          <w:szCs w:val="20"/>
          <w:lang w:val="es-US"/>
        </w:rPr>
        <w:t xml:space="preserve"> </w:t>
      </w:r>
      <w:r w:rsidR="0026261D" w:rsidRPr="006A251D">
        <w:rPr>
          <w:sz w:val="20"/>
          <w:szCs w:val="20"/>
          <w:lang w:val="es-US"/>
        </w:rPr>
        <w:t>I</w:t>
      </w:r>
      <w:r w:rsidRPr="006A251D">
        <w:rPr>
          <w:sz w:val="20"/>
          <w:szCs w:val="20"/>
          <w:lang w:val="es-US"/>
        </w:rPr>
        <w:t xml:space="preserve">nformaron que la conviviente del Sr. Figueroa Mercado inicio de inmediato su </w:t>
      </w:r>
      <w:r w:rsidR="0026261D" w:rsidRPr="006A251D">
        <w:rPr>
          <w:sz w:val="20"/>
          <w:szCs w:val="20"/>
          <w:lang w:val="es-US"/>
        </w:rPr>
        <w:t>búsqueda</w:t>
      </w:r>
      <w:r w:rsidRPr="006A251D">
        <w:rPr>
          <w:sz w:val="20"/>
          <w:szCs w:val="20"/>
          <w:lang w:val="es-US"/>
        </w:rPr>
        <w:t xml:space="preserve"> por diversas dependencias militares, hospitales y unidades policiales, sin obtener noticias de su paradero. En 1990, informaron, la Comisión Nacional de Verdad y </w:t>
      </w:r>
      <w:r w:rsidR="007808BC" w:rsidRPr="006A251D">
        <w:rPr>
          <w:sz w:val="20"/>
          <w:szCs w:val="20"/>
          <w:lang w:val="es-US"/>
        </w:rPr>
        <w:t>Reconciliación</w:t>
      </w:r>
      <w:r w:rsidRPr="006A251D">
        <w:rPr>
          <w:sz w:val="20"/>
          <w:szCs w:val="20"/>
          <w:lang w:val="es-US"/>
        </w:rPr>
        <w:t xml:space="preserve"> calific</w:t>
      </w:r>
      <w:r w:rsidR="007808BC" w:rsidRPr="006A251D">
        <w:rPr>
          <w:sz w:val="20"/>
          <w:szCs w:val="20"/>
          <w:lang w:val="es-US"/>
        </w:rPr>
        <w:t>ó</w:t>
      </w:r>
      <w:r w:rsidRPr="006A251D">
        <w:rPr>
          <w:sz w:val="20"/>
          <w:szCs w:val="20"/>
          <w:lang w:val="es-US"/>
        </w:rPr>
        <w:t xml:space="preserve"> al Sr. Figueroa Mercado como v</w:t>
      </w:r>
      <w:r w:rsidR="007808BC" w:rsidRPr="006A251D">
        <w:rPr>
          <w:sz w:val="20"/>
          <w:szCs w:val="20"/>
          <w:lang w:val="es-US"/>
        </w:rPr>
        <w:t>í</w:t>
      </w:r>
      <w:r w:rsidRPr="006A251D">
        <w:rPr>
          <w:sz w:val="20"/>
          <w:szCs w:val="20"/>
          <w:lang w:val="es-US"/>
        </w:rPr>
        <w:t xml:space="preserve">ctima de </w:t>
      </w:r>
      <w:r w:rsidR="007808BC" w:rsidRPr="006A251D">
        <w:rPr>
          <w:sz w:val="20"/>
          <w:szCs w:val="20"/>
          <w:lang w:val="es-US"/>
        </w:rPr>
        <w:t>violación</w:t>
      </w:r>
      <w:r w:rsidRPr="006A251D">
        <w:rPr>
          <w:sz w:val="20"/>
          <w:szCs w:val="20"/>
          <w:lang w:val="es-US"/>
        </w:rPr>
        <w:t xml:space="preserve"> a los derechos humanos y en 1994 la </w:t>
      </w:r>
      <w:r w:rsidR="007808BC" w:rsidRPr="006A251D">
        <w:rPr>
          <w:sz w:val="20"/>
          <w:szCs w:val="20"/>
          <w:lang w:val="es-US"/>
        </w:rPr>
        <w:t>Corporación</w:t>
      </w:r>
      <w:r w:rsidRPr="006A251D">
        <w:rPr>
          <w:sz w:val="20"/>
          <w:szCs w:val="20"/>
          <w:lang w:val="es-US"/>
        </w:rPr>
        <w:t xml:space="preserve"> Nacional de </w:t>
      </w:r>
      <w:r w:rsidR="007808BC" w:rsidRPr="006A251D">
        <w:rPr>
          <w:sz w:val="20"/>
          <w:szCs w:val="20"/>
          <w:lang w:val="es-US"/>
        </w:rPr>
        <w:t>Reparación</w:t>
      </w:r>
      <w:r w:rsidRPr="006A251D">
        <w:rPr>
          <w:sz w:val="20"/>
          <w:szCs w:val="20"/>
          <w:lang w:val="es-US"/>
        </w:rPr>
        <w:t xml:space="preserve"> y </w:t>
      </w:r>
      <w:r w:rsidR="007808BC" w:rsidRPr="006A251D">
        <w:rPr>
          <w:sz w:val="20"/>
          <w:szCs w:val="20"/>
          <w:lang w:val="es-US"/>
        </w:rPr>
        <w:t>Reconciliación</w:t>
      </w:r>
      <w:r w:rsidRPr="006A251D">
        <w:rPr>
          <w:sz w:val="20"/>
          <w:szCs w:val="20"/>
          <w:lang w:val="es-US"/>
        </w:rPr>
        <w:t xml:space="preserve"> interpuso denuncia </w:t>
      </w:r>
      <w:r w:rsidR="00035B24" w:rsidRPr="006A251D">
        <w:rPr>
          <w:sz w:val="20"/>
          <w:szCs w:val="20"/>
          <w:lang w:val="es-US"/>
        </w:rPr>
        <w:t>ante el</w:t>
      </w:r>
      <w:r w:rsidRPr="006A251D">
        <w:rPr>
          <w:sz w:val="20"/>
          <w:szCs w:val="20"/>
          <w:lang w:val="es-US"/>
        </w:rPr>
        <w:t xml:space="preserve"> Primer Juzgado de Letras de la ciudad de Linares. Sin embargo, añadieron los peticionarios, en septiembre de 1996 y luego de una insuficiente </w:t>
      </w:r>
      <w:r w:rsidR="007808BC" w:rsidRPr="006A251D">
        <w:rPr>
          <w:sz w:val="20"/>
          <w:szCs w:val="20"/>
          <w:lang w:val="es-US"/>
        </w:rPr>
        <w:t>investigación</w:t>
      </w:r>
      <w:r w:rsidRPr="006A251D">
        <w:rPr>
          <w:sz w:val="20"/>
          <w:szCs w:val="20"/>
          <w:lang w:val="es-US"/>
        </w:rPr>
        <w:t xml:space="preserve"> se </w:t>
      </w:r>
      <w:r w:rsidR="007808BC" w:rsidRPr="006A251D">
        <w:rPr>
          <w:sz w:val="20"/>
          <w:szCs w:val="20"/>
          <w:lang w:val="es-US"/>
        </w:rPr>
        <w:t>sobreseyó</w:t>
      </w:r>
      <w:r w:rsidRPr="006A251D">
        <w:rPr>
          <w:sz w:val="20"/>
          <w:szCs w:val="20"/>
          <w:lang w:val="es-US"/>
        </w:rPr>
        <w:t xml:space="preserve"> temporalmente la causa por estimarse que no se encontraba acreditada la </w:t>
      </w:r>
      <w:r w:rsidR="007808BC" w:rsidRPr="006A251D">
        <w:rPr>
          <w:sz w:val="20"/>
          <w:szCs w:val="20"/>
          <w:lang w:val="es-US"/>
        </w:rPr>
        <w:t>perpetración</w:t>
      </w:r>
      <w:r w:rsidRPr="006A251D">
        <w:rPr>
          <w:sz w:val="20"/>
          <w:szCs w:val="20"/>
          <w:lang w:val="es-US"/>
        </w:rPr>
        <w:t xml:space="preserve"> de </w:t>
      </w:r>
      <w:r w:rsidR="007808BC" w:rsidRPr="006A251D">
        <w:rPr>
          <w:sz w:val="20"/>
          <w:szCs w:val="20"/>
          <w:lang w:val="es-US"/>
        </w:rPr>
        <w:t>algún</w:t>
      </w:r>
      <w:r w:rsidRPr="006A251D">
        <w:rPr>
          <w:sz w:val="20"/>
          <w:szCs w:val="20"/>
          <w:lang w:val="es-US"/>
        </w:rPr>
        <w:t xml:space="preserve"> delito. </w:t>
      </w:r>
    </w:p>
    <w:p w14:paraId="396B16AD" w14:textId="77777777" w:rsidR="00EE57CE" w:rsidRPr="006A251D" w:rsidRDefault="00EE57CE" w:rsidP="00AC1CA8">
      <w:pPr>
        <w:pStyle w:val="ListParagraph"/>
        <w:tabs>
          <w:tab w:val="left" w:pos="567"/>
        </w:tabs>
        <w:rPr>
          <w:sz w:val="20"/>
          <w:szCs w:val="20"/>
          <w:lang w:val="es-US"/>
        </w:rPr>
      </w:pPr>
    </w:p>
    <w:p w14:paraId="5C51BE77" w14:textId="77777777" w:rsidR="00EE57CE" w:rsidRPr="006A251D" w:rsidRDefault="00EE57CE" w:rsidP="00BB60A6">
      <w:pPr>
        <w:pStyle w:val="ListParagraph"/>
        <w:numPr>
          <w:ilvl w:val="0"/>
          <w:numId w:val="57"/>
        </w:numPr>
        <w:tabs>
          <w:tab w:val="left" w:pos="567"/>
        </w:tabs>
        <w:ind w:left="0" w:firstLine="0"/>
        <w:contextualSpacing/>
        <w:jc w:val="both"/>
        <w:rPr>
          <w:sz w:val="20"/>
          <w:szCs w:val="20"/>
          <w:lang w:val="es-US"/>
        </w:rPr>
      </w:pPr>
      <w:r w:rsidRPr="006A251D">
        <w:rPr>
          <w:sz w:val="20"/>
          <w:szCs w:val="20"/>
          <w:lang w:val="es-US"/>
        </w:rPr>
        <w:t xml:space="preserve">En septiembre de 2003, informaron los peticionarios, luego de que la Corte de Apelaciones de Talca decidiera nombrar jueces con </w:t>
      </w:r>
      <w:r w:rsidR="007808BC" w:rsidRPr="006A251D">
        <w:rPr>
          <w:sz w:val="20"/>
          <w:szCs w:val="20"/>
          <w:lang w:val="es-US"/>
        </w:rPr>
        <w:t>dedicación</w:t>
      </w:r>
      <w:r w:rsidRPr="006A251D">
        <w:rPr>
          <w:sz w:val="20"/>
          <w:szCs w:val="20"/>
          <w:lang w:val="es-US"/>
        </w:rPr>
        <w:t xml:space="preserve"> exclusiva para conocer las causas por violaciones a los derechos</w:t>
      </w:r>
      <w:r w:rsidR="007808BC" w:rsidRPr="006A251D">
        <w:rPr>
          <w:sz w:val="20"/>
          <w:szCs w:val="20"/>
          <w:lang w:val="es-US"/>
        </w:rPr>
        <w:t xml:space="preserve"> </w:t>
      </w:r>
      <w:r w:rsidRPr="006A251D">
        <w:rPr>
          <w:sz w:val="20"/>
          <w:szCs w:val="20"/>
          <w:lang w:val="es-US"/>
        </w:rPr>
        <w:t xml:space="preserve">humanos y de la </w:t>
      </w:r>
      <w:r w:rsidR="007808BC" w:rsidRPr="006A251D">
        <w:rPr>
          <w:sz w:val="20"/>
          <w:szCs w:val="20"/>
          <w:lang w:val="es-US"/>
        </w:rPr>
        <w:t>presentación</w:t>
      </w:r>
      <w:r w:rsidRPr="006A251D">
        <w:rPr>
          <w:sz w:val="20"/>
          <w:szCs w:val="20"/>
          <w:lang w:val="es-US"/>
        </w:rPr>
        <w:t xml:space="preserve"> como parte </w:t>
      </w:r>
      <w:r w:rsidR="007808BC" w:rsidRPr="006A251D">
        <w:rPr>
          <w:sz w:val="20"/>
          <w:szCs w:val="20"/>
          <w:lang w:val="es-US"/>
        </w:rPr>
        <w:t>coadyuvante</w:t>
      </w:r>
      <w:r w:rsidRPr="006A251D">
        <w:rPr>
          <w:sz w:val="20"/>
          <w:szCs w:val="20"/>
          <w:lang w:val="es-US"/>
        </w:rPr>
        <w:t xml:space="preserve"> del Programa </w:t>
      </w:r>
      <w:r w:rsidR="007808BC" w:rsidRPr="006A251D">
        <w:rPr>
          <w:sz w:val="20"/>
          <w:szCs w:val="20"/>
          <w:lang w:val="es-US"/>
        </w:rPr>
        <w:t>Continuación</w:t>
      </w:r>
      <w:r w:rsidRPr="006A251D">
        <w:rPr>
          <w:sz w:val="20"/>
          <w:szCs w:val="20"/>
          <w:lang w:val="es-US"/>
        </w:rPr>
        <w:t xml:space="preserve"> Ley N° 19.123 del Ministerio del Interior, el </w:t>
      </w:r>
      <w:r w:rsidR="00076984" w:rsidRPr="006A251D">
        <w:rPr>
          <w:sz w:val="20"/>
          <w:szCs w:val="20"/>
          <w:lang w:val="es-US"/>
        </w:rPr>
        <w:t>magistrado</w:t>
      </w:r>
      <w:r w:rsidRPr="006A251D">
        <w:rPr>
          <w:sz w:val="20"/>
          <w:szCs w:val="20"/>
          <w:lang w:val="es-US"/>
        </w:rPr>
        <w:t xml:space="preserve"> </w:t>
      </w:r>
      <w:r w:rsidR="007808BC" w:rsidRPr="006A251D">
        <w:rPr>
          <w:sz w:val="20"/>
          <w:szCs w:val="20"/>
          <w:lang w:val="es-US"/>
        </w:rPr>
        <w:t>sometió</w:t>
      </w:r>
      <w:r w:rsidRPr="006A251D">
        <w:rPr>
          <w:sz w:val="20"/>
          <w:szCs w:val="20"/>
          <w:lang w:val="es-US"/>
        </w:rPr>
        <w:t xml:space="preserve"> a proceso por el delito de secuestro calificado a un oficial del Ejército en </w:t>
      </w:r>
      <w:r w:rsidR="007808BC" w:rsidRPr="006A251D">
        <w:rPr>
          <w:sz w:val="20"/>
          <w:szCs w:val="20"/>
          <w:lang w:val="es-US"/>
        </w:rPr>
        <w:t>situación</w:t>
      </w:r>
      <w:r w:rsidRPr="006A251D">
        <w:rPr>
          <w:sz w:val="20"/>
          <w:szCs w:val="20"/>
          <w:lang w:val="es-US"/>
        </w:rPr>
        <w:t xml:space="preserve"> de retiro. Posteriormente, en julio de 2008 el magistrado instructor </w:t>
      </w:r>
      <w:r w:rsidR="007808BC" w:rsidRPr="006A251D">
        <w:rPr>
          <w:sz w:val="20"/>
          <w:szCs w:val="20"/>
          <w:lang w:val="es-US"/>
        </w:rPr>
        <w:t>decidió</w:t>
      </w:r>
      <w:r w:rsidRPr="006A251D">
        <w:rPr>
          <w:sz w:val="20"/>
          <w:szCs w:val="20"/>
          <w:lang w:val="es-US"/>
        </w:rPr>
        <w:t xml:space="preserve"> sobreseer al acusado por considerar que la </w:t>
      </w:r>
      <w:r w:rsidR="007808BC" w:rsidRPr="006A251D">
        <w:rPr>
          <w:sz w:val="20"/>
          <w:szCs w:val="20"/>
          <w:lang w:val="es-US"/>
        </w:rPr>
        <w:t>acción</w:t>
      </w:r>
      <w:r w:rsidRPr="006A251D">
        <w:rPr>
          <w:sz w:val="20"/>
          <w:szCs w:val="20"/>
          <w:lang w:val="es-US"/>
        </w:rPr>
        <w:t xml:space="preserve"> penal se hallaba prescrita. </w:t>
      </w:r>
    </w:p>
    <w:p w14:paraId="4704D058" w14:textId="77777777" w:rsidR="00EE57CE" w:rsidRPr="006A251D" w:rsidRDefault="00EE57CE" w:rsidP="00AC1CA8">
      <w:pPr>
        <w:pStyle w:val="ListParagraph"/>
        <w:tabs>
          <w:tab w:val="left" w:pos="567"/>
        </w:tabs>
        <w:rPr>
          <w:sz w:val="20"/>
          <w:szCs w:val="20"/>
          <w:lang w:val="es-US"/>
        </w:rPr>
      </w:pPr>
    </w:p>
    <w:p w14:paraId="1EB99623" w14:textId="77777777" w:rsidR="00EE57CE" w:rsidRPr="006A251D" w:rsidRDefault="00EE57CE" w:rsidP="00BB60A6">
      <w:pPr>
        <w:pStyle w:val="ListParagraph"/>
        <w:numPr>
          <w:ilvl w:val="0"/>
          <w:numId w:val="57"/>
        </w:numPr>
        <w:tabs>
          <w:tab w:val="left" w:pos="567"/>
        </w:tabs>
        <w:ind w:left="0" w:firstLine="0"/>
        <w:contextualSpacing/>
        <w:jc w:val="both"/>
        <w:rPr>
          <w:sz w:val="20"/>
          <w:szCs w:val="20"/>
          <w:lang w:val="es-US"/>
        </w:rPr>
      </w:pPr>
      <w:r w:rsidRPr="006A251D">
        <w:rPr>
          <w:sz w:val="20"/>
          <w:szCs w:val="20"/>
          <w:lang w:val="es-US"/>
        </w:rPr>
        <w:t xml:space="preserve">Los peticionarios consignaron que el Programa </w:t>
      </w:r>
      <w:r w:rsidR="00076984" w:rsidRPr="006A251D">
        <w:rPr>
          <w:sz w:val="20"/>
          <w:szCs w:val="20"/>
          <w:lang w:val="es-US"/>
        </w:rPr>
        <w:t>Continuación</w:t>
      </w:r>
      <w:r w:rsidRPr="006A251D">
        <w:rPr>
          <w:sz w:val="20"/>
          <w:szCs w:val="20"/>
          <w:lang w:val="es-US"/>
        </w:rPr>
        <w:t xml:space="preserve"> </w:t>
      </w:r>
      <w:r w:rsidR="005E628A" w:rsidRPr="006A251D">
        <w:rPr>
          <w:sz w:val="20"/>
          <w:szCs w:val="20"/>
          <w:lang w:val="es-US"/>
        </w:rPr>
        <w:t>L</w:t>
      </w:r>
      <w:r w:rsidRPr="006A251D">
        <w:rPr>
          <w:sz w:val="20"/>
          <w:szCs w:val="20"/>
          <w:lang w:val="es-US"/>
        </w:rPr>
        <w:t xml:space="preserve">ey N° 19.123 </w:t>
      </w:r>
      <w:r w:rsidR="005E628A" w:rsidRPr="006A251D">
        <w:rPr>
          <w:sz w:val="20"/>
          <w:szCs w:val="20"/>
          <w:lang w:val="es-US"/>
        </w:rPr>
        <w:t>apel</w:t>
      </w:r>
      <w:r w:rsidR="007808BC" w:rsidRPr="006A251D">
        <w:rPr>
          <w:sz w:val="20"/>
          <w:szCs w:val="20"/>
          <w:lang w:val="es-US"/>
        </w:rPr>
        <w:t>ó</w:t>
      </w:r>
      <w:r w:rsidR="005E628A" w:rsidRPr="006A251D">
        <w:rPr>
          <w:sz w:val="20"/>
          <w:szCs w:val="20"/>
          <w:lang w:val="es-US"/>
        </w:rPr>
        <w:t xml:space="preserve"> esta sentencia y que en abril de 2009 la Corte de Apelaciones de Talca </w:t>
      </w:r>
      <w:r w:rsidR="007808BC" w:rsidRPr="006A251D">
        <w:rPr>
          <w:sz w:val="20"/>
          <w:szCs w:val="20"/>
          <w:lang w:val="es-US"/>
        </w:rPr>
        <w:t>decidió</w:t>
      </w:r>
      <w:r w:rsidR="005E628A" w:rsidRPr="006A251D">
        <w:rPr>
          <w:sz w:val="20"/>
          <w:szCs w:val="20"/>
          <w:lang w:val="es-US"/>
        </w:rPr>
        <w:t xml:space="preserve"> su </w:t>
      </w:r>
      <w:r w:rsidR="007808BC" w:rsidRPr="006A251D">
        <w:rPr>
          <w:sz w:val="20"/>
          <w:szCs w:val="20"/>
          <w:lang w:val="es-US"/>
        </w:rPr>
        <w:t>revocación</w:t>
      </w:r>
      <w:r w:rsidR="005E628A" w:rsidRPr="006A251D">
        <w:rPr>
          <w:sz w:val="20"/>
          <w:szCs w:val="20"/>
          <w:lang w:val="es-US"/>
        </w:rPr>
        <w:t xml:space="preserve">, y condenó al acusado a la pena de 540 </w:t>
      </w:r>
      <w:r w:rsidR="007808BC" w:rsidRPr="006A251D">
        <w:rPr>
          <w:sz w:val="20"/>
          <w:szCs w:val="20"/>
          <w:lang w:val="es-US"/>
        </w:rPr>
        <w:t>días</w:t>
      </w:r>
      <w:r w:rsidR="005E628A" w:rsidRPr="006A251D">
        <w:rPr>
          <w:sz w:val="20"/>
          <w:szCs w:val="20"/>
          <w:lang w:val="es-US"/>
        </w:rPr>
        <w:t xml:space="preserve"> de </w:t>
      </w:r>
      <w:r w:rsidR="007808BC" w:rsidRPr="006A251D">
        <w:rPr>
          <w:sz w:val="20"/>
          <w:szCs w:val="20"/>
          <w:lang w:val="es-US"/>
        </w:rPr>
        <w:t>reclusión</w:t>
      </w:r>
      <w:r w:rsidR="005E628A" w:rsidRPr="006A251D">
        <w:rPr>
          <w:sz w:val="20"/>
          <w:szCs w:val="20"/>
          <w:lang w:val="es-US"/>
        </w:rPr>
        <w:t xml:space="preserve"> menor en su grado </w:t>
      </w:r>
      <w:r w:rsidR="007808BC" w:rsidRPr="006A251D">
        <w:rPr>
          <w:sz w:val="20"/>
          <w:szCs w:val="20"/>
          <w:lang w:val="es-US"/>
        </w:rPr>
        <w:t>mínimo</w:t>
      </w:r>
      <w:r w:rsidR="005E628A" w:rsidRPr="006A251D">
        <w:rPr>
          <w:sz w:val="20"/>
          <w:szCs w:val="20"/>
          <w:lang w:val="es-US"/>
        </w:rPr>
        <w:t xml:space="preserve"> por el delito de </w:t>
      </w:r>
      <w:r w:rsidR="007808BC" w:rsidRPr="006A251D">
        <w:rPr>
          <w:sz w:val="20"/>
          <w:szCs w:val="20"/>
          <w:lang w:val="es-US"/>
        </w:rPr>
        <w:t>detención</w:t>
      </w:r>
      <w:r w:rsidR="005E628A" w:rsidRPr="006A251D">
        <w:rPr>
          <w:sz w:val="20"/>
          <w:szCs w:val="20"/>
          <w:lang w:val="es-US"/>
        </w:rPr>
        <w:t xml:space="preserve"> ilegal y arbitraria sancionado en el art</w:t>
      </w:r>
      <w:r w:rsidR="007808BC" w:rsidRPr="006A251D">
        <w:rPr>
          <w:sz w:val="20"/>
          <w:szCs w:val="20"/>
          <w:lang w:val="es-US"/>
        </w:rPr>
        <w:t>í</w:t>
      </w:r>
      <w:r w:rsidR="005E628A" w:rsidRPr="006A251D">
        <w:rPr>
          <w:sz w:val="20"/>
          <w:szCs w:val="20"/>
          <w:lang w:val="es-US"/>
        </w:rPr>
        <w:t xml:space="preserve">culo 148 del </w:t>
      </w:r>
      <w:r w:rsidR="007808BC" w:rsidRPr="006A251D">
        <w:rPr>
          <w:sz w:val="20"/>
          <w:szCs w:val="20"/>
          <w:lang w:val="es-US"/>
        </w:rPr>
        <w:t>Código</w:t>
      </w:r>
      <w:r w:rsidR="005E628A" w:rsidRPr="006A251D">
        <w:rPr>
          <w:sz w:val="20"/>
          <w:szCs w:val="20"/>
          <w:lang w:val="es-US"/>
        </w:rPr>
        <w:t xml:space="preserve"> Penal. Esta resolución, afirmaron, fue apelada por el Programa </w:t>
      </w:r>
      <w:r w:rsidR="007808BC" w:rsidRPr="006A251D">
        <w:rPr>
          <w:sz w:val="20"/>
          <w:szCs w:val="20"/>
          <w:lang w:val="es-US"/>
        </w:rPr>
        <w:t>Continuación</w:t>
      </w:r>
      <w:r w:rsidR="005E628A" w:rsidRPr="006A251D">
        <w:rPr>
          <w:sz w:val="20"/>
          <w:szCs w:val="20"/>
          <w:lang w:val="es-US"/>
        </w:rPr>
        <w:t xml:space="preserve"> Ley N° 19.123 ante la Corte Suprema de Justicia, quien en fallo de fecha 18 de mayo de 2010 invalidó la </w:t>
      </w:r>
      <w:r w:rsidR="00035B24" w:rsidRPr="006A251D">
        <w:rPr>
          <w:sz w:val="20"/>
          <w:szCs w:val="20"/>
          <w:lang w:val="es-US"/>
        </w:rPr>
        <w:t>sentencia y</w:t>
      </w:r>
      <w:r w:rsidR="005E628A" w:rsidRPr="006A251D">
        <w:rPr>
          <w:sz w:val="20"/>
          <w:szCs w:val="20"/>
          <w:lang w:val="es-US"/>
        </w:rPr>
        <w:t xml:space="preserve"> </w:t>
      </w:r>
      <w:r w:rsidR="007808BC" w:rsidRPr="006A251D">
        <w:rPr>
          <w:sz w:val="20"/>
          <w:szCs w:val="20"/>
          <w:lang w:val="es-US"/>
        </w:rPr>
        <w:t>condenó</w:t>
      </w:r>
      <w:r w:rsidR="005E628A" w:rsidRPr="006A251D">
        <w:rPr>
          <w:sz w:val="20"/>
          <w:szCs w:val="20"/>
          <w:lang w:val="es-US"/>
        </w:rPr>
        <w:t xml:space="preserve"> al acusado a la pena de tres años de presidio menor en su grado medio y accesorias por resultar autor del delito de secuestro calificado del Sr. Figueroa Mercado. Los peticionarios agregaron que en esta </w:t>
      </w:r>
      <w:r w:rsidR="002A4062" w:rsidRPr="006A251D">
        <w:rPr>
          <w:sz w:val="20"/>
          <w:szCs w:val="20"/>
          <w:lang w:val="es-US"/>
        </w:rPr>
        <w:t>última</w:t>
      </w:r>
      <w:r w:rsidR="005E628A" w:rsidRPr="006A251D">
        <w:rPr>
          <w:sz w:val="20"/>
          <w:szCs w:val="20"/>
          <w:lang w:val="es-US"/>
        </w:rPr>
        <w:t xml:space="preserve"> </w:t>
      </w:r>
      <w:r w:rsidR="007808BC" w:rsidRPr="006A251D">
        <w:rPr>
          <w:sz w:val="20"/>
          <w:szCs w:val="20"/>
          <w:lang w:val="es-US"/>
        </w:rPr>
        <w:t>decisión</w:t>
      </w:r>
      <w:r w:rsidR="005E628A" w:rsidRPr="006A251D">
        <w:rPr>
          <w:sz w:val="20"/>
          <w:szCs w:val="20"/>
          <w:lang w:val="es-US"/>
        </w:rPr>
        <w:t xml:space="preserve"> la Corte Suprema consideró que el acusado resultaba beneficiado por la</w:t>
      </w:r>
      <w:r w:rsidR="00356B60" w:rsidRPr="006A251D">
        <w:rPr>
          <w:sz w:val="20"/>
          <w:szCs w:val="20"/>
          <w:lang w:val="es-US"/>
        </w:rPr>
        <w:t xml:space="preserve">s atenuantes de irreprochable conducta anterior y la denominada media </w:t>
      </w:r>
      <w:r w:rsidR="007808BC" w:rsidRPr="006A251D">
        <w:rPr>
          <w:sz w:val="20"/>
          <w:szCs w:val="20"/>
          <w:lang w:val="es-US"/>
        </w:rPr>
        <w:t>prescripción</w:t>
      </w:r>
      <w:r w:rsidR="00356B60" w:rsidRPr="006A251D">
        <w:rPr>
          <w:sz w:val="20"/>
          <w:szCs w:val="20"/>
          <w:lang w:val="es-US"/>
        </w:rPr>
        <w:t xml:space="preserve"> y que, atento al monto de pena impuesto, le fue con</w:t>
      </w:r>
      <w:r w:rsidR="007808BC" w:rsidRPr="006A251D">
        <w:rPr>
          <w:sz w:val="20"/>
          <w:szCs w:val="20"/>
          <w:lang w:val="es-US"/>
        </w:rPr>
        <w:t>c</w:t>
      </w:r>
      <w:r w:rsidR="00356B60" w:rsidRPr="006A251D">
        <w:rPr>
          <w:sz w:val="20"/>
          <w:szCs w:val="20"/>
          <w:lang w:val="es-US"/>
        </w:rPr>
        <w:t>ed</w:t>
      </w:r>
      <w:r w:rsidR="007808BC" w:rsidRPr="006A251D">
        <w:rPr>
          <w:sz w:val="20"/>
          <w:szCs w:val="20"/>
          <w:lang w:val="es-US"/>
        </w:rPr>
        <w:t>id</w:t>
      </w:r>
      <w:r w:rsidR="00356B60" w:rsidRPr="006A251D">
        <w:rPr>
          <w:sz w:val="20"/>
          <w:szCs w:val="20"/>
          <w:lang w:val="es-US"/>
        </w:rPr>
        <w:t xml:space="preserve">o el beneficio de la </w:t>
      </w:r>
      <w:r w:rsidR="007808BC" w:rsidRPr="006A251D">
        <w:rPr>
          <w:sz w:val="20"/>
          <w:szCs w:val="20"/>
          <w:lang w:val="es-US"/>
        </w:rPr>
        <w:t>remisión</w:t>
      </w:r>
      <w:r w:rsidR="00356B60" w:rsidRPr="006A251D">
        <w:rPr>
          <w:sz w:val="20"/>
          <w:szCs w:val="20"/>
          <w:lang w:val="es-US"/>
        </w:rPr>
        <w:t xml:space="preserve"> condicional de la pena, por lo que el condenado no fue privado de la libertad como consecuencia de este fallo.</w:t>
      </w:r>
    </w:p>
    <w:p w14:paraId="50C19235" w14:textId="77777777" w:rsidR="00356B60" w:rsidRPr="006A251D" w:rsidRDefault="00356B60" w:rsidP="00AC1CA8">
      <w:pPr>
        <w:pStyle w:val="ListParagraph"/>
        <w:tabs>
          <w:tab w:val="left" w:pos="567"/>
        </w:tabs>
        <w:rPr>
          <w:sz w:val="20"/>
          <w:szCs w:val="20"/>
          <w:lang w:val="es-US"/>
        </w:rPr>
      </w:pPr>
    </w:p>
    <w:p w14:paraId="2D12DEC3" w14:textId="77777777" w:rsidR="00356B60" w:rsidRPr="006A251D" w:rsidRDefault="007808BC" w:rsidP="00BB60A6">
      <w:pPr>
        <w:pStyle w:val="ListParagraph"/>
        <w:numPr>
          <w:ilvl w:val="0"/>
          <w:numId w:val="57"/>
        </w:numPr>
        <w:tabs>
          <w:tab w:val="left" w:pos="567"/>
        </w:tabs>
        <w:ind w:left="0" w:firstLine="0"/>
        <w:contextualSpacing/>
        <w:jc w:val="both"/>
        <w:rPr>
          <w:sz w:val="20"/>
          <w:szCs w:val="20"/>
          <w:lang w:val="es-US"/>
        </w:rPr>
      </w:pPr>
      <w:r w:rsidRPr="006A251D">
        <w:rPr>
          <w:sz w:val="20"/>
          <w:szCs w:val="20"/>
          <w:lang w:val="es-US"/>
        </w:rPr>
        <w:t>S</w:t>
      </w:r>
      <w:r w:rsidR="00356B60" w:rsidRPr="006A251D">
        <w:rPr>
          <w:sz w:val="20"/>
          <w:szCs w:val="20"/>
          <w:lang w:val="es-US"/>
        </w:rPr>
        <w:t xml:space="preserve">eñalaron que la media </w:t>
      </w:r>
      <w:r w:rsidRPr="006A251D">
        <w:rPr>
          <w:sz w:val="20"/>
          <w:szCs w:val="20"/>
          <w:lang w:val="es-US"/>
        </w:rPr>
        <w:t>prescripción</w:t>
      </w:r>
      <w:r w:rsidR="00356B60" w:rsidRPr="006A251D">
        <w:rPr>
          <w:sz w:val="20"/>
          <w:szCs w:val="20"/>
          <w:lang w:val="es-US"/>
        </w:rPr>
        <w:t xml:space="preserve"> es una atenuante muy calificada cuyo principal fundamento es el </w:t>
      </w:r>
      <w:r w:rsidRPr="006A251D">
        <w:rPr>
          <w:sz w:val="20"/>
          <w:szCs w:val="20"/>
          <w:lang w:val="es-US"/>
        </w:rPr>
        <w:t>transcurso</w:t>
      </w:r>
      <w:r w:rsidR="00356B60" w:rsidRPr="006A251D">
        <w:rPr>
          <w:sz w:val="20"/>
          <w:szCs w:val="20"/>
          <w:lang w:val="es-US"/>
        </w:rPr>
        <w:t xml:space="preserve"> del tiempo desde la </w:t>
      </w:r>
      <w:r w:rsidRPr="006A251D">
        <w:rPr>
          <w:sz w:val="20"/>
          <w:szCs w:val="20"/>
          <w:lang w:val="es-US"/>
        </w:rPr>
        <w:t>comisión</w:t>
      </w:r>
      <w:r w:rsidR="00356B60" w:rsidRPr="006A251D">
        <w:rPr>
          <w:sz w:val="20"/>
          <w:szCs w:val="20"/>
          <w:lang w:val="es-US"/>
        </w:rPr>
        <w:t xml:space="preserve"> de los </w:t>
      </w:r>
      <w:r w:rsidRPr="006A251D">
        <w:rPr>
          <w:sz w:val="20"/>
          <w:szCs w:val="20"/>
          <w:lang w:val="es-US"/>
        </w:rPr>
        <w:t>ilícitos</w:t>
      </w:r>
      <w:r w:rsidR="00356B60" w:rsidRPr="006A251D">
        <w:rPr>
          <w:sz w:val="20"/>
          <w:szCs w:val="20"/>
          <w:lang w:val="es-US"/>
        </w:rPr>
        <w:t xml:space="preserve"> y que la Corte Suprema la aplic</w:t>
      </w:r>
      <w:r w:rsidRPr="006A251D">
        <w:rPr>
          <w:sz w:val="20"/>
          <w:szCs w:val="20"/>
          <w:lang w:val="es-US"/>
        </w:rPr>
        <w:t>ó</w:t>
      </w:r>
      <w:r w:rsidR="00356B60" w:rsidRPr="006A251D">
        <w:rPr>
          <w:sz w:val="20"/>
          <w:szCs w:val="20"/>
          <w:lang w:val="es-US"/>
        </w:rPr>
        <w:t xml:space="preserve"> en el caso del secuestro calificado del Sr. Figueroa Mercado a pesar de que se trataba de un crimen de lesa humanidad. De esta manera,</w:t>
      </w:r>
      <w:r w:rsidRPr="006A251D">
        <w:rPr>
          <w:sz w:val="20"/>
          <w:szCs w:val="20"/>
          <w:lang w:val="es-US"/>
        </w:rPr>
        <w:t xml:space="preserve"> </w:t>
      </w:r>
      <w:r w:rsidR="00356B60" w:rsidRPr="006A251D">
        <w:rPr>
          <w:sz w:val="20"/>
          <w:szCs w:val="20"/>
          <w:lang w:val="es-US"/>
        </w:rPr>
        <w:t>el fallo de la Corte Suprema dej</w:t>
      </w:r>
      <w:r w:rsidRPr="006A251D">
        <w:rPr>
          <w:sz w:val="20"/>
          <w:szCs w:val="20"/>
          <w:lang w:val="es-US"/>
        </w:rPr>
        <w:t>ó</w:t>
      </w:r>
      <w:r w:rsidR="00356B60" w:rsidRPr="006A251D">
        <w:rPr>
          <w:sz w:val="20"/>
          <w:szCs w:val="20"/>
          <w:lang w:val="es-US"/>
        </w:rPr>
        <w:t xml:space="preserve"> en gran medida impune los </w:t>
      </w:r>
      <w:r w:rsidRPr="006A251D">
        <w:rPr>
          <w:sz w:val="20"/>
          <w:szCs w:val="20"/>
          <w:lang w:val="es-US"/>
        </w:rPr>
        <w:t>crímenes</w:t>
      </w:r>
      <w:r w:rsidR="00356B60" w:rsidRPr="006A251D">
        <w:rPr>
          <w:sz w:val="20"/>
          <w:szCs w:val="20"/>
          <w:lang w:val="es-US"/>
        </w:rPr>
        <w:t xml:space="preserve"> cometidos. </w:t>
      </w:r>
      <w:r w:rsidR="00356B60" w:rsidRPr="006A251D">
        <w:rPr>
          <w:sz w:val="20"/>
          <w:szCs w:val="20"/>
          <w:lang w:val="es-VE"/>
        </w:rPr>
        <w:t xml:space="preserve">Finalmente, los peticionarios </w:t>
      </w:r>
      <w:r w:rsidR="00356B60" w:rsidRPr="006A251D">
        <w:rPr>
          <w:sz w:val="20"/>
          <w:szCs w:val="20"/>
          <w:lang w:val="es-ES_tradnl"/>
        </w:rPr>
        <w:t xml:space="preserve">expresaron que la petición comparte los mismos fundamentos que aquellos plasmados en las peticiones previas identificadas con los números 102-08 y 1275-04, por lo que se remitieron a las observaciones allí realizadas.   </w:t>
      </w:r>
    </w:p>
    <w:p w14:paraId="47F89AB5" w14:textId="77777777" w:rsidR="000F6A1D" w:rsidRPr="006A251D" w:rsidRDefault="000F6A1D" w:rsidP="000F6A1D">
      <w:pPr>
        <w:pStyle w:val="ListParagraph"/>
        <w:tabs>
          <w:tab w:val="left" w:pos="567"/>
        </w:tabs>
        <w:ind w:left="0"/>
        <w:jc w:val="both"/>
        <w:rPr>
          <w:sz w:val="20"/>
          <w:szCs w:val="20"/>
          <w:lang w:val="es-US"/>
        </w:rPr>
      </w:pPr>
    </w:p>
    <w:p w14:paraId="2753F09D" w14:textId="77777777" w:rsidR="00B95AA9" w:rsidRPr="006A251D" w:rsidRDefault="005A5831" w:rsidP="00B95AA9">
      <w:pPr>
        <w:pStyle w:val="Heading2"/>
      </w:pPr>
      <w:bookmarkStart w:id="5" w:name="_Toc70440259"/>
      <w:r w:rsidRPr="006A251D">
        <w:t xml:space="preserve">El </w:t>
      </w:r>
      <w:r w:rsidR="00B95AA9" w:rsidRPr="006A251D">
        <w:t>Estado</w:t>
      </w:r>
      <w:r w:rsidRPr="006A251D">
        <w:t xml:space="preserve"> de Chile</w:t>
      </w:r>
      <w:bookmarkEnd w:id="5"/>
    </w:p>
    <w:p w14:paraId="5A428F39" w14:textId="77777777" w:rsidR="00BF1D3B" w:rsidRPr="006A251D" w:rsidRDefault="00BF1D3B" w:rsidP="00BF1D3B">
      <w:pPr>
        <w:rPr>
          <w:rFonts w:ascii="Cambria" w:hAnsi="Cambria"/>
          <w:sz w:val="20"/>
          <w:szCs w:val="20"/>
          <w:lang w:val="es-ES_tradnl" w:eastAsia="es-ES"/>
        </w:rPr>
      </w:pPr>
    </w:p>
    <w:p w14:paraId="467D75E4" w14:textId="77777777" w:rsidR="005A5831" w:rsidRPr="006A251D" w:rsidRDefault="005A5831" w:rsidP="00BB60A6">
      <w:pPr>
        <w:pStyle w:val="NoSpacing"/>
        <w:numPr>
          <w:ilvl w:val="0"/>
          <w:numId w:val="57"/>
        </w:numPr>
        <w:tabs>
          <w:tab w:val="left" w:pos="567"/>
        </w:tabs>
        <w:ind w:left="0" w:firstLine="0"/>
        <w:jc w:val="both"/>
        <w:rPr>
          <w:rFonts w:ascii="Cambria" w:hAnsi="Cambria"/>
          <w:b/>
          <w:sz w:val="20"/>
          <w:szCs w:val="20"/>
          <w:lang w:val="es-ES"/>
        </w:rPr>
      </w:pPr>
      <w:r w:rsidRPr="006A251D">
        <w:rPr>
          <w:rFonts w:ascii="Cambria" w:hAnsi="Cambria"/>
          <w:sz w:val="20"/>
          <w:szCs w:val="20"/>
          <w:lang w:val="es-ES"/>
        </w:rPr>
        <w:t>En primer t</w:t>
      </w:r>
      <w:r w:rsidR="003E6257" w:rsidRPr="006A251D">
        <w:rPr>
          <w:rFonts w:ascii="Cambria" w:hAnsi="Cambria"/>
          <w:sz w:val="20"/>
          <w:szCs w:val="20"/>
          <w:lang w:val="es-ES"/>
        </w:rPr>
        <w:t>é</w:t>
      </w:r>
      <w:r w:rsidRPr="006A251D">
        <w:rPr>
          <w:rFonts w:ascii="Cambria" w:hAnsi="Cambria"/>
          <w:sz w:val="20"/>
          <w:szCs w:val="20"/>
          <w:lang w:val="es-ES"/>
        </w:rPr>
        <w:t>rmino, el Estado chileno consignó que desde el retorno de la democracia asumió de manera seria y responsable sus obligaciones internacionales en materia de derechos humanos y, en especial, en lo relativo a las masivas, sistemáticas e institucionalizadas violaciones a los derechos humanos cometidas durante la dictadura militar.</w:t>
      </w:r>
    </w:p>
    <w:p w14:paraId="56209327" w14:textId="77777777" w:rsidR="005A5831" w:rsidRPr="006A251D" w:rsidRDefault="005A5831" w:rsidP="00AC1CA8">
      <w:pPr>
        <w:tabs>
          <w:tab w:val="left" w:pos="567"/>
        </w:tabs>
        <w:jc w:val="both"/>
        <w:rPr>
          <w:rFonts w:ascii="Cambria" w:hAnsi="Cambria"/>
          <w:sz w:val="20"/>
          <w:szCs w:val="20"/>
          <w:lang w:val="es-ES_tradnl" w:eastAsia="es-ES"/>
        </w:rPr>
      </w:pPr>
    </w:p>
    <w:p w14:paraId="3ABA2B84" w14:textId="77777777" w:rsidR="005A5831" w:rsidRPr="006A251D" w:rsidRDefault="005A5831" w:rsidP="00BB60A6">
      <w:pPr>
        <w:pStyle w:val="ListParagraph"/>
        <w:numPr>
          <w:ilvl w:val="0"/>
          <w:numId w:val="57"/>
        </w:numPr>
        <w:tabs>
          <w:tab w:val="left" w:pos="567"/>
        </w:tabs>
        <w:ind w:left="0" w:firstLine="0"/>
        <w:jc w:val="both"/>
        <w:rPr>
          <w:sz w:val="20"/>
          <w:szCs w:val="20"/>
          <w:lang w:val="es-ES_tradnl"/>
        </w:rPr>
      </w:pPr>
      <w:r w:rsidRPr="006A251D">
        <w:rPr>
          <w:sz w:val="20"/>
          <w:szCs w:val="20"/>
          <w:lang w:val="es-ES_tradnl"/>
        </w:rPr>
        <w:t>Entre las medidas adoptadas para cumplir con su responsabilidad, el Estado enumeró la instalación de las diversas comisiones de la verdad creadas con el objetivo de asegurar el derecho a la verdad de las v</w:t>
      </w:r>
      <w:r w:rsidR="007808BC" w:rsidRPr="006A251D">
        <w:rPr>
          <w:sz w:val="20"/>
          <w:szCs w:val="20"/>
          <w:lang w:val="es-ES_tradnl"/>
        </w:rPr>
        <w:t>í</w:t>
      </w:r>
      <w:r w:rsidRPr="006A251D">
        <w:rPr>
          <w:sz w:val="20"/>
          <w:szCs w:val="20"/>
          <w:lang w:val="es-ES_tradnl"/>
        </w:rPr>
        <w:t xml:space="preserve">ctimas </w:t>
      </w:r>
      <w:r w:rsidRPr="006A251D">
        <w:rPr>
          <w:sz w:val="20"/>
          <w:szCs w:val="20"/>
          <w:lang w:val="es-ES_tradnl"/>
        </w:rPr>
        <w:lastRenderedPageBreak/>
        <w:t xml:space="preserve">y de la sociedad; la creación del Programa </w:t>
      </w:r>
      <w:r w:rsidR="003E6257" w:rsidRPr="006A251D">
        <w:rPr>
          <w:sz w:val="20"/>
          <w:szCs w:val="20"/>
          <w:lang w:val="es-ES_tradnl"/>
        </w:rPr>
        <w:t>Continuación</w:t>
      </w:r>
      <w:r w:rsidRPr="006A251D">
        <w:rPr>
          <w:sz w:val="20"/>
          <w:szCs w:val="20"/>
          <w:lang w:val="es-ES_tradnl"/>
        </w:rPr>
        <w:t xml:space="preserve"> Ley N° 19.123 con el mandato de prestar asistencia social y legal a los familiares de las v</w:t>
      </w:r>
      <w:r w:rsidR="007808BC" w:rsidRPr="006A251D">
        <w:rPr>
          <w:sz w:val="20"/>
          <w:szCs w:val="20"/>
          <w:lang w:val="es-ES_tradnl"/>
        </w:rPr>
        <w:t>í</w:t>
      </w:r>
      <w:r w:rsidRPr="006A251D">
        <w:rPr>
          <w:sz w:val="20"/>
          <w:szCs w:val="20"/>
          <w:lang w:val="es-ES_tradnl"/>
        </w:rPr>
        <w:t>ctimas</w:t>
      </w:r>
      <w:r w:rsidR="00795043" w:rsidRPr="006A251D">
        <w:rPr>
          <w:sz w:val="20"/>
          <w:szCs w:val="20"/>
          <w:lang w:val="es-ES_tradnl"/>
        </w:rPr>
        <w:t xml:space="preserve">; las políticas en materia de búsqueda </w:t>
      </w:r>
      <w:r w:rsidR="00DB3EF2" w:rsidRPr="006A251D">
        <w:rPr>
          <w:sz w:val="20"/>
          <w:szCs w:val="20"/>
          <w:lang w:val="es-ES_tradnl"/>
        </w:rPr>
        <w:t xml:space="preserve">de </w:t>
      </w:r>
      <w:r w:rsidR="007808BC" w:rsidRPr="006A251D">
        <w:rPr>
          <w:sz w:val="20"/>
          <w:szCs w:val="20"/>
          <w:lang w:val="es-ES_tradnl"/>
        </w:rPr>
        <w:t>personas desaparecidas</w:t>
      </w:r>
      <w:r w:rsidR="00DB3EF2" w:rsidRPr="006A251D">
        <w:rPr>
          <w:sz w:val="20"/>
          <w:szCs w:val="20"/>
          <w:lang w:val="es-ES_tradnl"/>
        </w:rPr>
        <w:t xml:space="preserve"> forzada</w:t>
      </w:r>
      <w:r w:rsidR="007808BC" w:rsidRPr="006A251D">
        <w:rPr>
          <w:sz w:val="20"/>
          <w:szCs w:val="20"/>
          <w:lang w:val="es-ES_tradnl"/>
        </w:rPr>
        <w:t>mente</w:t>
      </w:r>
      <w:r w:rsidR="00A44E81" w:rsidRPr="006A251D">
        <w:rPr>
          <w:sz w:val="20"/>
          <w:szCs w:val="20"/>
          <w:lang w:val="es-ES_tradnl"/>
        </w:rPr>
        <w:t xml:space="preserve"> </w:t>
      </w:r>
      <w:r w:rsidRPr="006A251D">
        <w:rPr>
          <w:sz w:val="20"/>
          <w:szCs w:val="20"/>
          <w:lang w:val="es-ES_tradnl"/>
        </w:rPr>
        <w:t>y los esfuerzos realizados en el ámbito del Poder Judicial para a</w:t>
      </w:r>
      <w:r w:rsidR="003E6257" w:rsidRPr="006A251D">
        <w:rPr>
          <w:sz w:val="20"/>
          <w:szCs w:val="20"/>
          <w:lang w:val="es-ES_tradnl"/>
        </w:rPr>
        <w:t xml:space="preserve">gilizar la tramitación de los procesos penales por violación a los derechos humanos que hayan tenido lugar entre el 11 de septiembre de 1973 y el 10 de marzo de 1990. </w:t>
      </w:r>
      <w:r w:rsidRPr="006A251D">
        <w:rPr>
          <w:sz w:val="20"/>
          <w:szCs w:val="20"/>
          <w:lang w:val="es-ES_tradnl"/>
        </w:rPr>
        <w:t xml:space="preserve"> </w:t>
      </w:r>
      <w:r w:rsidR="003E6257" w:rsidRPr="006A251D">
        <w:rPr>
          <w:sz w:val="20"/>
          <w:szCs w:val="20"/>
          <w:lang w:val="es-ES_tradnl"/>
        </w:rPr>
        <w:t xml:space="preserve">Respecto a este </w:t>
      </w:r>
      <w:r w:rsidR="002A4062" w:rsidRPr="006A251D">
        <w:rPr>
          <w:sz w:val="20"/>
          <w:szCs w:val="20"/>
          <w:lang w:val="es-ES_tradnl"/>
        </w:rPr>
        <w:t>último</w:t>
      </w:r>
      <w:r w:rsidR="003E6257" w:rsidRPr="006A251D">
        <w:rPr>
          <w:sz w:val="20"/>
          <w:szCs w:val="20"/>
          <w:lang w:val="es-ES_tradnl"/>
        </w:rPr>
        <w:t xml:space="preserve"> punto, el Estado compartió una serie de estadísticas en la que da cuenta del </w:t>
      </w:r>
      <w:r w:rsidR="002A4062" w:rsidRPr="006A251D">
        <w:rPr>
          <w:sz w:val="20"/>
          <w:szCs w:val="20"/>
          <w:lang w:val="es-ES_tradnl"/>
        </w:rPr>
        <w:t>número</w:t>
      </w:r>
      <w:r w:rsidR="003E6257" w:rsidRPr="006A251D">
        <w:rPr>
          <w:sz w:val="20"/>
          <w:szCs w:val="20"/>
          <w:lang w:val="es-ES_tradnl"/>
        </w:rPr>
        <w:t xml:space="preserve"> de procesos judiciales y su situación procesal. </w:t>
      </w:r>
    </w:p>
    <w:p w14:paraId="13243375" w14:textId="77777777" w:rsidR="00DB3EF2" w:rsidRPr="006A251D" w:rsidRDefault="00DB3EF2" w:rsidP="00AC1CA8">
      <w:pPr>
        <w:pStyle w:val="ListParagraph"/>
        <w:tabs>
          <w:tab w:val="left" w:pos="567"/>
        </w:tabs>
        <w:jc w:val="both"/>
        <w:rPr>
          <w:sz w:val="20"/>
          <w:szCs w:val="20"/>
          <w:lang w:val="es-ES_tradnl"/>
        </w:rPr>
      </w:pPr>
    </w:p>
    <w:p w14:paraId="6ED6D46F" w14:textId="77777777" w:rsidR="00DB3EF2" w:rsidRPr="006A251D" w:rsidRDefault="007808BC" w:rsidP="00BB60A6">
      <w:pPr>
        <w:pStyle w:val="ListParagraph"/>
        <w:numPr>
          <w:ilvl w:val="0"/>
          <w:numId w:val="57"/>
        </w:numPr>
        <w:tabs>
          <w:tab w:val="left" w:pos="567"/>
        </w:tabs>
        <w:ind w:left="0" w:firstLine="0"/>
        <w:jc w:val="both"/>
        <w:rPr>
          <w:sz w:val="20"/>
          <w:szCs w:val="20"/>
          <w:lang w:val="es-ES_tradnl"/>
        </w:rPr>
      </w:pPr>
      <w:r w:rsidRPr="006A251D">
        <w:rPr>
          <w:sz w:val="20"/>
          <w:szCs w:val="20"/>
          <w:lang w:val="es-ES_tradnl"/>
        </w:rPr>
        <w:t>S</w:t>
      </w:r>
      <w:r w:rsidR="00A44E81" w:rsidRPr="006A251D">
        <w:rPr>
          <w:sz w:val="20"/>
          <w:szCs w:val="20"/>
          <w:lang w:val="es-ES_tradnl"/>
        </w:rPr>
        <w:t>ost</w:t>
      </w:r>
      <w:r w:rsidR="005E3CEB" w:rsidRPr="006A251D">
        <w:rPr>
          <w:sz w:val="20"/>
          <w:szCs w:val="20"/>
          <w:lang w:val="es-ES_tradnl"/>
        </w:rPr>
        <w:t>uvo</w:t>
      </w:r>
      <w:r w:rsidR="00A44E81" w:rsidRPr="006A251D">
        <w:rPr>
          <w:sz w:val="20"/>
          <w:szCs w:val="20"/>
          <w:lang w:val="es-ES_tradnl"/>
        </w:rPr>
        <w:t xml:space="preserve"> en primer lugar que el núcleo esencial del derecho a la verdad se encuentra en la obligación de investigar los hechos y juzgar a los responsables, dado que el esclarecimiento de los hechos y la identidad de los responsables se constata con la emisión de la sentencia judicial. En este sentido, </w:t>
      </w:r>
      <w:r w:rsidR="00E00A4F" w:rsidRPr="006A251D">
        <w:rPr>
          <w:sz w:val="20"/>
          <w:szCs w:val="20"/>
          <w:lang w:val="es-ES_tradnl"/>
        </w:rPr>
        <w:t>el Estado invit</w:t>
      </w:r>
      <w:r w:rsidR="005E3CEB" w:rsidRPr="006A251D">
        <w:rPr>
          <w:sz w:val="20"/>
          <w:szCs w:val="20"/>
          <w:lang w:val="es-ES_tradnl"/>
        </w:rPr>
        <w:t>ó</w:t>
      </w:r>
      <w:r w:rsidR="00E00A4F" w:rsidRPr="006A251D">
        <w:rPr>
          <w:sz w:val="20"/>
          <w:szCs w:val="20"/>
          <w:lang w:val="es-ES_tradnl"/>
        </w:rPr>
        <w:t xml:space="preserve"> a la Comisión a valorar positivamente el contenido de las sentencias emitidas ya que constituyen una medida de reparación </w:t>
      </w:r>
      <w:r w:rsidR="00E00A4F" w:rsidRPr="006A251D">
        <w:rPr>
          <w:i/>
          <w:sz w:val="20"/>
          <w:szCs w:val="20"/>
          <w:lang w:val="es-ES_tradnl"/>
        </w:rPr>
        <w:t>per se</w:t>
      </w:r>
      <w:r w:rsidR="00E00A4F" w:rsidRPr="006A251D">
        <w:rPr>
          <w:sz w:val="20"/>
          <w:szCs w:val="20"/>
          <w:lang w:val="es-ES_tradnl"/>
        </w:rPr>
        <w:t xml:space="preserve"> y son una fuente de verdad judicial.</w:t>
      </w:r>
    </w:p>
    <w:p w14:paraId="42A0AAB9" w14:textId="77777777" w:rsidR="00E00A4F" w:rsidRPr="006A251D" w:rsidRDefault="00E00A4F" w:rsidP="00AC1CA8">
      <w:pPr>
        <w:pStyle w:val="ListParagraph"/>
        <w:tabs>
          <w:tab w:val="left" w:pos="567"/>
        </w:tabs>
        <w:rPr>
          <w:sz w:val="20"/>
          <w:szCs w:val="20"/>
          <w:lang w:val="es-ES_tradnl"/>
        </w:rPr>
      </w:pPr>
    </w:p>
    <w:p w14:paraId="28C2538D" w14:textId="77777777" w:rsidR="00E00A4F" w:rsidRPr="006A251D" w:rsidRDefault="00E00A4F" w:rsidP="00BB60A6">
      <w:pPr>
        <w:pStyle w:val="ListParagraph"/>
        <w:numPr>
          <w:ilvl w:val="0"/>
          <w:numId w:val="57"/>
        </w:numPr>
        <w:tabs>
          <w:tab w:val="left" w:pos="567"/>
        </w:tabs>
        <w:ind w:left="0" w:firstLine="0"/>
        <w:jc w:val="both"/>
        <w:rPr>
          <w:sz w:val="20"/>
          <w:szCs w:val="20"/>
          <w:lang w:val="es-ES_tradnl"/>
        </w:rPr>
      </w:pPr>
      <w:r w:rsidRPr="006A251D">
        <w:rPr>
          <w:sz w:val="20"/>
          <w:szCs w:val="20"/>
          <w:lang w:val="es-ES_tradnl"/>
        </w:rPr>
        <w:t>En segundo t</w:t>
      </w:r>
      <w:r w:rsidR="007808BC" w:rsidRPr="006A251D">
        <w:rPr>
          <w:sz w:val="20"/>
          <w:szCs w:val="20"/>
          <w:lang w:val="es-ES_tradnl"/>
        </w:rPr>
        <w:t>é</w:t>
      </w:r>
      <w:r w:rsidRPr="006A251D">
        <w:rPr>
          <w:sz w:val="20"/>
          <w:szCs w:val="20"/>
          <w:lang w:val="es-ES_tradnl"/>
        </w:rPr>
        <w:t>rmino, el Estado expres</w:t>
      </w:r>
      <w:r w:rsidR="005E3CEB" w:rsidRPr="006A251D">
        <w:rPr>
          <w:sz w:val="20"/>
          <w:szCs w:val="20"/>
          <w:lang w:val="es-ES_tradnl"/>
        </w:rPr>
        <w:t>ó</w:t>
      </w:r>
      <w:r w:rsidRPr="006A251D">
        <w:rPr>
          <w:sz w:val="20"/>
          <w:szCs w:val="20"/>
          <w:lang w:val="es-ES_tradnl"/>
        </w:rPr>
        <w:t xml:space="preserve"> su coincidencia con la representación de la parte peticionaria respecto de la relevancia de los crímenes de lesa humanidad y la necesidad de que deban ser investigados y sancionados independientemente del tiempo en que se hayan cometidos, incluyendo aquellos delitos graves, sistemáticos y masivos ocurridos durante la dictadura militar. Asimismo, ase</w:t>
      </w:r>
      <w:r w:rsidR="005E3CEB" w:rsidRPr="006A251D">
        <w:rPr>
          <w:sz w:val="20"/>
          <w:szCs w:val="20"/>
          <w:lang w:val="es-ES_tradnl"/>
        </w:rPr>
        <w:t>guró que el paso del tiempo no puede ser un obstáculo ni una excusa que impida iniciar los procedimientos penales pertinentes con el objeto de investigar y sancionar a aquellos responsables de las violaciones masivas, sistemáticas e institucionalizadas cometidas durante la dictadura y que, en consecuencia, la media prescripción o prescripción gradual del art 103 del Código Pena</w:t>
      </w:r>
      <w:r w:rsidR="00571EFA" w:rsidRPr="006A251D">
        <w:rPr>
          <w:sz w:val="20"/>
          <w:szCs w:val="20"/>
          <w:lang w:val="es-ES_tradnl"/>
        </w:rPr>
        <w:t>l</w:t>
      </w:r>
      <w:r w:rsidR="005E3CEB" w:rsidRPr="006A251D">
        <w:rPr>
          <w:sz w:val="20"/>
          <w:szCs w:val="20"/>
          <w:lang w:val="es-ES_tradnl"/>
        </w:rPr>
        <w:t xml:space="preserve"> no se debe aplicar a los crímenes de lesa humanidad.  </w:t>
      </w:r>
      <w:r w:rsidR="00571EFA" w:rsidRPr="006A251D">
        <w:rPr>
          <w:sz w:val="20"/>
          <w:szCs w:val="20"/>
          <w:lang w:val="es-ES_tradnl"/>
        </w:rPr>
        <w:t xml:space="preserve">Sin embargo, el Estado aclaró que los efectos de la prescripción gradual no son los mismos que de la prescripción de la acción penal ya que la prescripción gradual no impide al Estado investigar los delitos de lesa humanidad ni extingue la responsabilidad penal de quienes hayan cometidos los hechos. </w:t>
      </w:r>
    </w:p>
    <w:p w14:paraId="420C019E" w14:textId="77777777" w:rsidR="005E3CEB" w:rsidRPr="006A251D" w:rsidRDefault="005E3CEB" w:rsidP="00AC1CA8">
      <w:pPr>
        <w:pStyle w:val="ListParagraph"/>
        <w:tabs>
          <w:tab w:val="left" w:pos="567"/>
        </w:tabs>
        <w:rPr>
          <w:sz w:val="20"/>
          <w:szCs w:val="20"/>
          <w:lang w:val="es-ES_tradnl"/>
        </w:rPr>
      </w:pPr>
    </w:p>
    <w:p w14:paraId="61A6E97B" w14:textId="77777777" w:rsidR="005E3CEB" w:rsidRPr="006A251D" w:rsidRDefault="00571EFA" w:rsidP="00BB60A6">
      <w:pPr>
        <w:pStyle w:val="ListParagraph"/>
        <w:numPr>
          <w:ilvl w:val="0"/>
          <w:numId w:val="57"/>
        </w:numPr>
        <w:tabs>
          <w:tab w:val="left" w:pos="567"/>
        </w:tabs>
        <w:ind w:left="0" w:firstLine="0"/>
        <w:jc w:val="both"/>
        <w:rPr>
          <w:sz w:val="20"/>
          <w:szCs w:val="20"/>
          <w:lang w:val="es-ES_tradnl"/>
        </w:rPr>
      </w:pPr>
      <w:r w:rsidRPr="006A251D">
        <w:rPr>
          <w:sz w:val="20"/>
          <w:szCs w:val="20"/>
          <w:lang w:val="es-ES_tradnl"/>
        </w:rPr>
        <w:t>En tercer lugar, el Estado reconoc</w:t>
      </w:r>
      <w:r w:rsidR="006F63E7" w:rsidRPr="006A251D">
        <w:rPr>
          <w:sz w:val="20"/>
          <w:szCs w:val="20"/>
          <w:lang w:val="es-ES_tradnl"/>
        </w:rPr>
        <w:t>ió</w:t>
      </w:r>
      <w:r w:rsidRPr="006A251D">
        <w:rPr>
          <w:sz w:val="20"/>
          <w:szCs w:val="20"/>
          <w:lang w:val="es-ES_tradnl"/>
        </w:rPr>
        <w:t xml:space="preserve"> que la aplicación de la figura de la media prescripción afect</w:t>
      </w:r>
      <w:r w:rsidR="006F63E7" w:rsidRPr="006A251D">
        <w:rPr>
          <w:sz w:val="20"/>
          <w:szCs w:val="20"/>
          <w:lang w:val="es-ES_tradnl"/>
        </w:rPr>
        <w:t>ó</w:t>
      </w:r>
      <w:r w:rsidRPr="006A251D">
        <w:rPr>
          <w:sz w:val="20"/>
          <w:szCs w:val="20"/>
          <w:lang w:val="es-ES_tradnl"/>
        </w:rPr>
        <w:t xml:space="preserve"> el principio de proporcionalidad de la pena y que las sentencias de reemplazo que fueron dictadas por la Corte Suprema no se ajustaron al estándar de racionalidad y proporcionalidad que debe conducir la conducta del Estado en el ejercicio de su poder punitivo </w:t>
      </w:r>
      <w:r w:rsidR="00F95BF1" w:rsidRPr="006A251D">
        <w:rPr>
          <w:sz w:val="20"/>
          <w:szCs w:val="20"/>
          <w:lang w:val="es-ES_tradnl"/>
        </w:rPr>
        <w:t xml:space="preserve">frente </w:t>
      </w:r>
      <w:r w:rsidR="00035B24" w:rsidRPr="006A251D">
        <w:rPr>
          <w:sz w:val="20"/>
          <w:szCs w:val="20"/>
          <w:lang w:val="es-ES_tradnl"/>
        </w:rPr>
        <w:t>a crímenes</w:t>
      </w:r>
      <w:r w:rsidRPr="006A251D">
        <w:rPr>
          <w:sz w:val="20"/>
          <w:szCs w:val="20"/>
          <w:lang w:val="es-ES_tradnl"/>
        </w:rPr>
        <w:t xml:space="preserve"> de lesa humanidad. </w:t>
      </w:r>
      <w:r w:rsidR="006F63E7" w:rsidRPr="006A251D">
        <w:rPr>
          <w:sz w:val="20"/>
          <w:szCs w:val="20"/>
          <w:lang w:val="es-ES_tradnl"/>
        </w:rPr>
        <w:t xml:space="preserve">Esta </w:t>
      </w:r>
      <w:r w:rsidR="000C4347" w:rsidRPr="006A251D">
        <w:rPr>
          <w:sz w:val="20"/>
          <w:szCs w:val="20"/>
          <w:lang w:val="es-ES_tradnl"/>
        </w:rPr>
        <w:t>pr</w:t>
      </w:r>
      <w:r w:rsidR="007808BC" w:rsidRPr="006A251D">
        <w:rPr>
          <w:sz w:val="20"/>
          <w:szCs w:val="20"/>
          <w:lang w:val="es-ES_tradnl"/>
        </w:rPr>
        <w:t>á</w:t>
      </w:r>
      <w:r w:rsidR="000C4347" w:rsidRPr="006A251D">
        <w:rPr>
          <w:sz w:val="20"/>
          <w:szCs w:val="20"/>
          <w:lang w:val="es-ES_tradnl"/>
        </w:rPr>
        <w:t xml:space="preserve">ctica </w:t>
      </w:r>
      <w:r w:rsidR="006F63E7" w:rsidRPr="006A251D">
        <w:rPr>
          <w:sz w:val="20"/>
          <w:szCs w:val="20"/>
          <w:lang w:val="es-ES_tradnl"/>
        </w:rPr>
        <w:t xml:space="preserve">judicial, añadió el Estado, es </w:t>
      </w:r>
      <w:r w:rsidR="00F95BF1" w:rsidRPr="006A251D">
        <w:rPr>
          <w:sz w:val="20"/>
          <w:szCs w:val="20"/>
          <w:lang w:val="es-ES_tradnl"/>
        </w:rPr>
        <w:t xml:space="preserve">frente al estándar internacional </w:t>
      </w:r>
      <w:r w:rsidR="006F63E7" w:rsidRPr="006A251D">
        <w:rPr>
          <w:sz w:val="20"/>
          <w:szCs w:val="20"/>
          <w:lang w:val="es-ES_tradnl"/>
        </w:rPr>
        <w:t xml:space="preserve">una forma de impunidad de facto y una medida que aparentó satisfacer las exigencias formales de justicia. </w:t>
      </w:r>
    </w:p>
    <w:p w14:paraId="5B5800C7" w14:textId="77777777" w:rsidR="00F95BF1" w:rsidRPr="006A251D" w:rsidRDefault="00F95BF1" w:rsidP="00F95BF1">
      <w:pPr>
        <w:pStyle w:val="ListParagraph"/>
        <w:rPr>
          <w:sz w:val="20"/>
          <w:szCs w:val="20"/>
          <w:lang w:val="es-ES_tradnl"/>
        </w:rPr>
      </w:pPr>
    </w:p>
    <w:p w14:paraId="5A22BE1D" w14:textId="77777777" w:rsidR="00F95BF1" w:rsidRPr="006A251D" w:rsidRDefault="00F95BF1" w:rsidP="00BB60A6">
      <w:pPr>
        <w:pStyle w:val="ListParagraph"/>
        <w:numPr>
          <w:ilvl w:val="0"/>
          <w:numId w:val="57"/>
        </w:numPr>
        <w:tabs>
          <w:tab w:val="left" w:pos="567"/>
        </w:tabs>
        <w:ind w:left="0" w:firstLine="0"/>
        <w:jc w:val="both"/>
        <w:rPr>
          <w:sz w:val="20"/>
          <w:szCs w:val="20"/>
          <w:lang w:val="es-ES_tradnl"/>
        </w:rPr>
      </w:pPr>
      <w:r w:rsidRPr="006A251D">
        <w:rPr>
          <w:sz w:val="20"/>
          <w:szCs w:val="20"/>
          <w:lang w:val="es-ES_tradnl"/>
        </w:rPr>
        <w:t xml:space="preserve">Finalmente, el Estado consignó que el sistema judicial chileno ha tenido la posibilidad de modificar paulatinamente esta errónea interpretación judicial y afirmó que de 196 causas conocidas por la Corte Suprema entre los años 2007 a 2016, en 107 de ellas se aplicó la media prescripción, mientras que en 89 causas concentradas principalmente a partir de 2011 el tribunal rechazó su aplicación. </w:t>
      </w:r>
    </w:p>
    <w:p w14:paraId="01E446FD" w14:textId="77777777" w:rsidR="00F95BF1" w:rsidRPr="006A251D" w:rsidRDefault="00F95BF1" w:rsidP="00AC1CA8">
      <w:pPr>
        <w:pStyle w:val="ListParagraph"/>
        <w:tabs>
          <w:tab w:val="left" w:pos="567"/>
        </w:tabs>
        <w:rPr>
          <w:sz w:val="20"/>
          <w:szCs w:val="20"/>
          <w:lang w:val="es-ES_tradnl"/>
        </w:rPr>
      </w:pPr>
    </w:p>
    <w:p w14:paraId="2D841354" w14:textId="77777777" w:rsidR="00BF1D3B" w:rsidRPr="006A251D" w:rsidRDefault="00F95BF1" w:rsidP="00BB60A6">
      <w:pPr>
        <w:pStyle w:val="ListParagraph"/>
        <w:numPr>
          <w:ilvl w:val="0"/>
          <w:numId w:val="57"/>
        </w:numPr>
        <w:tabs>
          <w:tab w:val="left" w:pos="567"/>
        </w:tabs>
        <w:ind w:left="0" w:firstLine="0"/>
        <w:jc w:val="both"/>
        <w:rPr>
          <w:sz w:val="20"/>
          <w:szCs w:val="20"/>
          <w:lang w:val="es-ES_tradnl"/>
        </w:rPr>
      </w:pPr>
      <w:r w:rsidRPr="006A251D">
        <w:rPr>
          <w:sz w:val="20"/>
          <w:szCs w:val="20"/>
          <w:lang w:val="es-ES_tradnl"/>
        </w:rPr>
        <w:t>En cuanto al derecho de las peticionarias para recurrir ante una instancia judicial superior, el Estado aleg</w:t>
      </w:r>
      <w:r w:rsidR="00BC01AD" w:rsidRPr="006A251D">
        <w:rPr>
          <w:sz w:val="20"/>
          <w:szCs w:val="20"/>
          <w:lang w:val="es-ES_tradnl"/>
        </w:rPr>
        <w:t>ó</w:t>
      </w:r>
      <w:r w:rsidRPr="006A251D">
        <w:rPr>
          <w:sz w:val="20"/>
          <w:szCs w:val="20"/>
          <w:lang w:val="es-ES_tradnl"/>
        </w:rPr>
        <w:t xml:space="preserve"> que no existió vulneración a dicho derecho toda vez que </w:t>
      </w:r>
      <w:r w:rsidR="00BC01AD" w:rsidRPr="006A251D">
        <w:rPr>
          <w:sz w:val="20"/>
          <w:szCs w:val="20"/>
          <w:lang w:val="es-ES_tradnl"/>
        </w:rPr>
        <w:t>los representantes de los peticionarios</w:t>
      </w:r>
      <w:r w:rsidRPr="006A251D">
        <w:rPr>
          <w:sz w:val="20"/>
          <w:szCs w:val="20"/>
          <w:lang w:val="es-ES_tradnl"/>
        </w:rPr>
        <w:t xml:space="preserve"> pudieron ejercer las acciones legales </w:t>
      </w:r>
      <w:r w:rsidR="00BC01AD" w:rsidRPr="006A251D">
        <w:rPr>
          <w:sz w:val="20"/>
          <w:szCs w:val="20"/>
          <w:lang w:val="es-ES_tradnl"/>
        </w:rPr>
        <w:t xml:space="preserve">previstas por el ordenamiento jurídico nacional ante </w:t>
      </w:r>
      <w:r w:rsidRPr="006A251D">
        <w:rPr>
          <w:sz w:val="20"/>
          <w:szCs w:val="20"/>
          <w:lang w:val="es-ES_tradnl"/>
        </w:rPr>
        <w:t>cada una de las instancias judiciales</w:t>
      </w:r>
      <w:r w:rsidR="007808BC" w:rsidRPr="006A251D">
        <w:rPr>
          <w:sz w:val="20"/>
          <w:szCs w:val="20"/>
          <w:lang w:val="es-ES_tradnl"/>
        </w:rPr>
        <w:t>.</w:t>
      </w:r>
    </w:p>
    <w:p w14:paraId="3EE658EE" w14:textId="77777777" w:rsidR="00BC01AD" w:rsidRPr="006A251D" w:rsidRDefault="00BC01AD" w:rsidP="00AC1CA8">
      <w:pPr>
        <w:pStyle w:val="ListParagraph"/>
        <w:tabs>
          <w:tab w:val="left" w:pos="567"/>
        </w:tabs>
        <w:rPr>
          <w:sz w:val="20"/>
          <w:szCs w:val="20"/>
          <w:lang w:val="es-ES_tradnl"/>
        </w:rPr>
      </w:pPr>
    </w:p>
    <w:p w14:paraId="25EE8405" w14:textId="77777777" w:rsidR="00BC01AD" w:rsidRPr="006A251D" w:rsidRDefault="00BC01AD" w:rsidP="00BB60A6">
      <w:pPr>
        <w:pStyle w:val="ListParagraph"/>
        <w:numPr>
          <w:ilvl w:val="0"/>
          <w:numId w:val="57"/>
        </w:numPr>
        <w:tabs>
          <w:tab w:val="left" w:pos="567"/>
        </w:tabs>
        <w:ind w:left="0" w:firstLine="0"/>
        <w:jc w:val="both"/>
        <w:rPr>
          <w:sz w:val="20"/>
          <w:szCs w:val="20"/>
          <w:lang w:val="es-ES_tradnl"/>
        </w:rPr>
      </w:pPr>
      <w:r w:rsidRPr="006A251D">
        <w:rPr>
          <w:sz w:val="20"/>
          <w:szCs w:val="20"/>
          <w:lang w:val="es-ES_tradnl"/>
        </w:rPr>
        <w:t xml:space="preserve">En lo que respecta a la garantía de la imparcialidad del juzgador, el Estado afirmó que las alegaciones efectuadas por los peticionarios no contienen una argumentación que demuestre una afectación a la faz objetiva o subjetiva de dicha garantía. En esta línea, y con cita del caso Atala Riffo y niñas vs. Chile, el Estado </w:t>
      </w:r>
      <w:r w:rsidR="00427E6D" w:rsidRPr="006A251D">
        <w:rPr>
          <w:sz w:val="20"/>
          <w:szCs w:val="20"/>
          <w:lang w:val="es-ES_tradnl"/>
        </w:rPr>
        <w:t>consignó</w:t>
      </w:r>
      <w:r w:rsidRPr="006A251D">
        <w:rPr>
          <w:sz w:val="20"/>
          <w:szCs w:val="20"/>
          <w:lang w:val="es-ES_tradnl"/>
        </w:rPr>
        <w:t xml:space="preserve"> que para </w:t>
      </w:r>
      <w:r w:rsidR="00427E6D" w:rsidRPr="006A251D">
        <w:rPr>
          <w:sz w:val="20"/>
          <w:szCs w:val="20"/>
          <w:lang w:val="es-ES_tradnl"/>
        </w:rPr>
        <w:t>dar por</w:t>
      </w:r>
      <w:r w:rsidRPr="006A251D">
        <w:rPr>
          <w:sz w:val="20"/>
          <w:szCs w:val="20"/>
          <w:lang w:val="es-ES_tradnl"/>
        </w:rPr>
        <w:t xml:space="preserve"> probada la afectación a la imparcialidad se debe demostrar por quien lo alega que los jueces se han dejado influenciar por aspectos o </w:t>
      </w:r>
      <w:r w:rsidR="00427E6D" w:rsidRPr="006A251D">
        <w:rPr>
          <w:sz w:val="20"/>
          <w:szCs w:val="20"/>
          <w:lang w:val="es-ES_tradnl"/>
        </w:rPr>
        <w:t>criterios</w:t>
      </w:r>
      <w:r w:rsidRPr="006A251D">
        <w:rPr>
          <w:sz w:val="20"/>
          <w:szCs w:val="20"/>
          <w:lang w:val="es-ES_tradnl"/>
        </w:rPr>
        <w:t xml:space="preserve"> ajenos. Finalmente, y con respecto a la </w:t>
      </w:r>
      <w:r w:rsidR="00427E6D" w:rsidRPr="006A251D">
        <w:rPr>
          <w:sz w:val="20"/>
          <w:szCs w:val="20"/>
          <w:lang w:val="es-ES_tradnl"/>
        </w:rPr>
        <w:t xml:space="preserve">faz objetiva de la imparcialidad, el Estado sostuvo que la Corte Suprema actuó ejerciendo el rol de tribunal de casación de derecho que le asigna los artículos 541 y 544 del Código de Procedimientos y no revisó el marco factico. </w:t>
      </w:r>
      <w:r w:rsidRPr="006A251D">
        <w:rPr>
          <w:sz w:val="20"/>
          <w:szCs w:val="20"/>
          <w:lang w:val="es-ES_tradnl"/>
        </w:rPr>
        <w:t xml:space="preserve"> </w:t>
      </w:r>
    </w:p>
    <w:p w14:paraId="4A4B7A53" w14:textId="77777777" w:rsidR="00427E6D" w:rsidRPr="006A251D" w:rsidRDefault="00427E6D" w:rsidP="00AC1CA8">
      <w:pPr>
        <w:pStyle w:val="ListParagraph"/>
        <w:tabs>
          <w:tab w:val="left" w:pos="567"/>
        </w:tabs>
        <w:rPr>
          <w:sz w:val="20"/>
          <w:szCs w:val="20"/>
          <w:lang w:val="es-ES_tradnl"/>
        </w:rPr>
      </w:pPr>
    </w:p>
    <w:p w14:paraId="4CA09912" w14:textId="77777777" w:rsidR="00427E6D" w:rsidRPr="006A251D" w:rsidRDefault="00427E6D" w:rsidP="00BB60A6">
      <w:pPr>
        <w:pStyle w:val="ListParagraph"/>
        <w:numPr>
          <w:ilvl w:val="0"/>
          <w:numId w:val="57"/>
        </w:numPr>
        <w:tabs>
          <w:tab w:val="left" w:pos="567"/>
        </w:tabs>
        <w:ind w:left="0" w:firstLine="0"/>
        <w:jc w:val="both"/>
        <w:rPr>
          <w:sz w:val="20"/>
          <w:szCs w:val="20"/>
          <w:lang w:val="es-ES_tradnl"/>
        </w:rPr>
      </w:pPr>
      <w:r w:rsidRPr="006A251D">
        <w:rPr>
          <w:sz w:val="20"/>
          <w:szCs w:val="20"/>
          <w:lang w:val="es-ES_tradnl"/>
        </w:rPr>
        <w:t xml:space="preserve">Con respecto al derecho a </w:t>
      </w:r>
      <w:r w:rsidR="00035B24" w:rsidRPr="006A251D">
        <w:rPr>
          <w:sz w:val="20"/>
          <w:szCs w:val="20"/>
          <w:lang w:val="es-ES_tradnl"/>
        </w:rPr>
        <w:t>obtener una</w:t>
      </w:r>
      <w:r w:rsidRPr="006A251D">
        <w:rPr>
          <w:sz w:val="20"/>
          <w:szCs w:val="20"/>
          <w:lang w:val="es-ES_tradnl"/>
        </w:rPr>
        <w:t xml:space="preserve"> resolución fundada, el Estado, con mención del estándar fijado por la Corte IDH en el caso Apitz Barbera y otros Vs. Venezuela, afirmó que lo señalado por la parte peticionaria no implica una afectación del deber de fundar las decisiones judiciales, toda vez que su argumentación indica una disconformidad con la interpretación realizada por los magistrados y no una ausencia de fundamentación de las decisiones adoptadas por la Corte Suprema. </w:t>
      </w:r>
    </w:p>
    <w:p w14:paraId="481D15FD" w14:textId="77777777" w:rsidR="00427E6D" w:rsidRPr="00E019A9" w:rsidRDefault="00427E6D" w:rsidP="00AC1CA8">
      <w:pPr>
        <w:pStyle w:val="ListParagraph"/>
        <w:tabs>
          <w:tab w:val="left" w:pos="567"/>
        </w:tabs>
        <w:rPr>
          <w:sz w:val="20"/>
          <w:szCs w:val="20"/>
          <w:lang w:val="es-ES_tradnl"/>
        </w:rPr>
      </w:pPr>
    </w:p>
    <w:p w14:paraId="1EE16B92" w14:textId="77777777" w:rsidR="00427E6D" w:rsidRPr="00E019A9" w:rsidRDefault="00427E6D" w:rsidP="00BB60A6">
      <w:pPr>
        <w:pStyle w:val="ListParagraph"/>
        <w:numPr>
          <w:ilvl w:val="0"/>
          <w:numId w:val="57"/>
        </w:numPr>
        <w:tabs>
          <w:tab w:val="left" w:pos="567"/>
        </w:tabs>
        <w:ind w:left="0" w:firstLine="0"/>
        <w:jc w:val="both"/>
        <w:rPr>
          <w:sz w:val="20"/>
          <w:szCs w:val="20"/>
          <w:lang w:val="es-ES_tradnl"/>
        </w:rPr>
      </w:pPr>
      <w:r w:rsidRPr="00E019A9">
        <w:rPr>
          <w:sz w:val="20"/>
          <w:szCs w:val="20"/>
          <w:lang w:val="es-ES_tradnl"/>
        </w:rPr>
        <w:t xml:space="preserve">Por </w:t>
      </w:r>
      <w:r w:rsidR="00144445" w:rsidRPr="00E019A9">
        <w:rPr>
          <w:sz w:val="20"/>
          <w:szCs w:val="20"/>
          <w:lang w:val="es-ES_tradnl"/>
        </w:rPr>
        <w:t>ú</w:t>
      </w:r>
      <w:r w:rsidRPr="00E019A9">
        <w:rPr>
          <w:sz w:val="20"/>
          <w:szCs w:val="20"/>
          <w:lang w:val="es-ES_tradnl"/>
        </w:rPr>
        <w:t>ltimo, el Estado rechazó que exista una violación al derecho de las presuntas v</w:t>
      </w:r>
      <w:r w:rsidR="007808BC" w:rsidRPr="00E019A9">
        <w:rPr>
          <w:sz w:val="20"/>
          <w:szCs w:val="20"/>
          <w:lang w:val="es-ES_tradnl"/>
        </w:rPr>
        <w:t>í</w:t>
      </w:r>
      <w:r w:rsidRPr="00E019A9">
        <w:rPr>
          <w:sz w:val="20"/>
          <w:szCs w:val="20"/>
          <w:lang w:val="es-ES_tradnl"/>
        </w:rPr>
        <w:t xml:space="preserve">ctimas a ser </w:t>
      </w:r>
      <w:r w:rsidR="00E51D82" w:rsidRPr="00E019A9">
        <w:rPr>
          <w:sz w:val="20"/>
          <w:szCs w:val="20"/>
          <w:lang w:val="es-ES_tradnl"/>
        </w:rPr>
        <w:t xml:space="preserve">oídas en virtud de las sentencias dictadas por la Corte Suprema ante los recursos de casación interpuestos por los acusados, </w:t>
      </w:r>
      <w:r w:rsidRPr="00E019A9">
        <w:rPr>
          <w:sz w:val="20"/>
          <w:szCs w:val="20"/>
          <w:lang w:val="es-ES_tradnl"/>
        </w:rPr>
        <w:t>ya que</w:t>
      </w:r>
      <w:r w:rsidR="00E51D82" w:rsidRPr="00E019A9">
        <w:rPr>
          <w:sz w:val="20"/>
          <w:szCs w:val="20"/>
          <w:lang w:val="es-ES_tradnl"/>
        </w:rPr>
        <w:t xml:space="preserve"> existieron diversas instancias judiciales donde los querellantes participaron en diversas actividades procesales. En esta línea, el Estado argumentó que el proceso judicial debe ser analizado de manera sistemática como un todo dentro del cual se debe evaluar si el derecho a la participación de las v</w:t>
      </w:r>
      <w:r w:rsidR="007808BC" w:rsidRPr="00E019A9">
        <w:rPr>
          <w:sz w:val="20"/>
          <w:szCs w:val="20"/>
          <w:lang w:val="es-ES_tradnl"/>
        </w:rPr>
        <w:t>í</w:t>
      </w:r>
      <w:r w:rsidR="00E51D82" w:rsidRPr="00E019A9">
        <w:rPr>
          <w:sz w:val="20"/>
          <w:szCs w:val="20"/>
          <w:lang w:val="es-ES_tradnl"/>
        </w:rPr>
        <w:t xml:space="preserve">ctimas fue o no respetado.  </w:t>
      </w:r>
    </w:p>
    <w:p w14:paraId="48E87FA7" w14:textId="77777777" w:rsidR="00144445" w:rsidRPr="00E019A9" w:rsidRDefault="00144445" w:rsidP="00AC1CA8">
      <w:pPr>
        <w:pStyle w:val="ListParagraph"/>
        <w:tabs>
          <w:tab w:val="left" w:pos="567"/>
        </w:tabs>
        <w:rPr>
          <w:sz w:val="20"/>
          <w:szCs w:val="20"/>
          <w:lang w:val="es-ES_tradnl"/>
        </w:rPr>
      </w:pPr>
    </w:p>
    <w:p w14:paraId="1A760BAD" w14:textId="77777777" w:rsidR="00144445" w:rsidRPr="00E019A9" w:rsidRDefault="000A640F" w:rsidP="00BB60A6">
      <w:pPr>
        <w:pStyle w:val="ListParagraph"/>
        <w:numPr>
          <w:ilvl w:val="0"/>
          <w:numId w:val="57"/>
        </w:numPr>
        <w:tabs>
          <w:tab w:val="left" w:pos="567"/>
        </w:tabs>
        <w:ind w:left="0" w:firstLine="0"/>
        <w:jc w:val="both"/>
        <w:rPr>
          <w:sz w:val="20"/>
          <w:szCs w:val="20"/>
          <w:lang w:val="es-ES_tradnl"/>
        </w:rPr>
      </w:pPr>
      <w:r w:rsidRPr="00E019A9">
        <w:rPr>
          <w:sz w:val="20"/>
          <w:szCs w:val="20"/>
          <w:lang w:val="es-ES_tradnl"/>
        </w:rPr>
        <w:t>Finalmente, con respecto a la alegada violación de los artículos 8 y 25 de la Convención en relación con su art</w:t>
      </w:r>
      <w:r w:rsidR="00DE492C" w:rsidRPr="00E019A9">
        <w:rPr>
          <w:sz w:val="20"/>
          <w:szCs w:val="20"/>
          <w:lang w:val="es-ES_tradnl"/>
        </w:rPr>
        <w:t>í</w:t>
      </w:r>
      <w:r w:rsidRPr="00E019A9">
        <w:rPr>
          <w:sz w:val="20"/>
          <w:szCs w:val="20"/>
          <w:lang w:val="es-ES_tradnl"/>
        </w:rPr>
        <w:t xml:space="preserve">culo 2 por la supuesta ausencia de medidas para derogar la </w:t>
      </w:r>
      <w:r w:rsidR="007808BC" w:rsidRPr="00E019A9">
        <w:rPr>
          <w:sz w:val="20"/>
          <w:szCs w:val="20"/>
          <w:lang w:val="es-ES_tradnl"/>
        </w:rPr>
        <w:t>auto amnistía</w:t>
      </w:r>
      <w:r w:rsidRPr="00E019A9">
        <w:rPr>
          <w:sz w:val="20"/>
          <w:szCs w:val="20"/>
          <w:lang w:val="es-ES_tradnl"/>
        </w:rPr>
        <w:t xml:space="preserve"> dictada por el Decreto Ley 2191  y la omisión de reformas normativas destinadas a proteger los derechos de las víctimas, el Estado afirmó en primer </w:t>
      </w:r>
      <w:r w:rsidR="002A4062" w:rsidRPr="00E019A9">
        <w:rPr>
          <w:sz w:val="20"/>
          <w:szCs w:val="20"/>
          <w:lang w:val="es-ES_tradnl"/>
        </w:rPr>
        <w:t>término</w:t>
      </w:r>
      <w:r w:rsidRPr="00E019A9">
        <w:rPr>
          <w:sz w:val="20"/>
          <w:szCs w:val="20"/>
          <w:lang w:val="es-ES_tradnl"/>
        </w:rPr>
        <w:t xml:space="preserve"> que desde 1998 los tribunales chilenos no aplican el mencionado Decreto Ley y que, a la fecha  se encontraban a consideración del parlamento un proyecto de ley para adecuar la legislación interna a lo dispuesto por la Corte IDH en el caso Almonacid Arellano Vs. Chile. Asimismo, el Estado añadió que la cuestión de la vigencia del Decreto Ley 2191 no tiene influencia con el marco fáctico planteado por los peticionarios. Por </w:t>
      </w:r>
      <w:r w:rsidR="002A4062" w:rsidRPr="00E019A9">
        <w:rPr>
          <w:sz w:val="20"/>
          <w:szCs w:val="20"/>
          <w:lang w:val="es-ES_tradnl"/>
        </w:rPr>
        <w:t>último</w:t>
      </w:r>
      <w:r w:rsidRPr="00E019A9">
        <w:rPr>
          <w:sz w:val="20"/>
          <w:szCs w:val="20"/>
          <w:lang w:val="es-ES_tradnl"/>
        </w:rPr>
        <w:t xml:space="preserve">, el Estado </w:t>
      </w:r>
      <w:r w:rsidR="00B92AD7" w:rsidRPr="00E019A9">
        <w:rPr>
          <w:sz w:val="20"/>
          <w:szCs w:val="20"/>
          <w:lang w:val="es-ES_tradnl"/>
        </w:rPr>
        <w:t>describió una serie de iniciativas y políticas destinadas a la tipificación y sanción de los delitos de lesa humanidad, crímenes de guerra y tortura</w:t>
      </w:r>
      <w:r w:rsidR="00DF7447" w:rsidRPr="00E019A9">
        <w:rPr>
          <w:sz w:val="20"/>
          <w:szCs w:val="20"/>
          <w:lang w:val="es-ES_tradnl"/>
        </w:rPr>
        <w:t>s</w:t>
      </w:r>
      <w:r w:rsidR="00B92AD7" w:rsidRPr="00E019A9">
        <w:rPr>
          <w:sz w:val="20"/>
          <w:szCs w:val="20"/>
          <w:lang w:val="es-ES_tradnl"/>
        </w:rPr>
        <w:t xml:space="preserve">.  </w:t>
      </w:r>
    </w:p>
    <w:p w14:paraId="3DAAB5CD" w14:textId="77777777" w:rsidR="00611061" w:rsidRPr="00E019A9" w:rsidRDefault="00611061" w:rsidP="00611061">
      <w:pPr>
        <w:rPr>
          <w:sz w:val="20"/>
          <w:szCs w:val="20"/>
          <w:lang w:val="es-ES_tradnl" w:eastAsia="es-ES"/>
        </w:rPr>
      </w:pPr>
    </w:p>
    <w:p w14:paraId="590D5E06" w14:textId="77777777" w:rsidR="00680DED" w:rsidRPr="00E019A9" w:rsidRDefault="00611061" w:rsidP="00680DED">
      <w:pPr>
        <w:pStyle w:val="Heading1"/>
      </w:pPr>
      <w:bookmarkStart w:id="6" w:name="_Toc70440260"/>
      <w:r w:rsidRPr="00E019A9">
        <w:t>DETERMINACIONES DE HECHO</w:t>
      </w:r>
      <w:bookmarkEnd w:id="6"/>
    </w:p>
    <w:p w14:paraId="70DD033D" w14:textId="77777777" w:rsidR="008142C0" w:rsidRPr="00E019A9" w:rsidRDefault="008142C0" w:rsidP="008142C0">
      <w:pPr>
        <w:rPr>
          <w:sz w:val="20"/>
          <w:szCs w:val="20"/>
          <w:lang w:val="es-ES_tradnl" w:eastAsia="es-ES"/>
        </w:rPr>
      </w:pPr>
    </w:p>
    <w:p w14:paraId="69D22D0D" w14:textId="77777777" w:rsidR="008142C0" w:rsidRPr="00E019A9" w:rsidRDefault="008142C0" w:rsidP="00BB60A6">
      <w:pPr>
        <w:pStyle w:val="Heading2"/>
        <w:numPr>
          <w:ilvl w:val="0"/>
          <w:numId w:val="60"/>
        </w:numPr>
      </w:pPr>
      <w:bookmarkStart w:id="7" w:name="_Toc70440261"/>
      <w:r w:rsidRPr="00E019A9">
        <w:t>Análisis de Contexto</w:t>
      </w:r>
      <w:bookmarkEnd w:id="7"/>
    </w:p>
    <w:p w14:paraId="3F172929" w14:textId="77777777" w:rsidR="00A43B01" w:rsidRPr="00E019A9" w:rsidRDefault="00A43B01" w:rsidP="00975DEE">
      <w:pPr>
        <w:tabs>
          <w:tab w:val="left" w:pos="567"/>
        </w:tabs>
        <w:rPr>
          <w:sz w:val="20"/>
          <w:szCs w:val="20"/>
          <w:lang w:val="es-ES_tradnl" w:eastAsia="es-ES"/>
        </w:rPr>
      </w:pPr>
    </w:p>
    <w:p w14:paraId="7692D0C6" w14:textId="77777777" w:rsidR="00ED5E77" w:rsidRPr="00E019A9" w:rsidRDefault="00295E09" w:rsidP="00BB60A6">
      <w:pPr>
        <w:pStyle w:val="ListParagraph"/>
        <w:numPr>
          <w:ilvl w:val="0"/>
          <w:numId w:val="57"/>
        </w:numPr>
        <w:tabs>
          <w:tab w:val="left" w:pos="567"/>
        </w:tabs>
        <w:ind w:left="0" w:firstLine="0"/>
        <w:jc w:val="both"/>
        <w:rPr>
          <w:sz w:val="20"/>
          <w:szCs w:val="20"/>
          <w:lang w:val="es-ES"/>
        </w:rPr>
      </w:pPr>
      <w:r w:rsidRPr="00E019A9">
        <w:rPr>
          <w:sz w:val="20"/>
          <w:szCs w:val="20"/>
          <w:lang w:val="es-ES"/>
        </w:rPr>
        <w:t xml:space="preserve">El 11 de septiembre de 1973 las </w:t>
      </w:r>
      <w:r w:rsidR="00271BC6" w:rsidRPr="00E019A9">
        <w:rPr>
          <w:sz w:val="20"/>
          <w:szCs w:val="20"/>
          <w:lang w:val="es-ES"/>
        </w:rPr>
        <w:t>F</w:t>
      </w:r>
      <w:r w:rsidRPr="00E019A9">
        <w:rPr>
          <w:sz w:val="20"/>
          <w:szCs w:val="20"/>
          <w:lang w:val="es-ES"/>
        </w:rPr>
        <w:t xml:space="preserve">uerzas </w:t>
      </w:r>
      <w:r w:rsidR="00271BC6" w:rsidRPr="00E019A9">
        <w:rPr>
          <w:sz w:val="20"/>
          <w:szCs w:val="20"/>
          <w:lang w:val="es-ES"/>
        </w:rPr>
        <w:t>A</w:t>
      </w:r>
      <w:r w:rsidRPr="00E019A9">
        <w:rPr>
          <w:sz w:val="20"/>
          <w:szCs w:val="20"/>
          <w:lang w:val="es-ES"/>
        </w:rPr>
        <w:t xml:space="preserve">rmadas y de </w:t>
      </w:r>
      <w:r w:rsidR="00271BC6" w:rsidRPr="00E019A9">
        <w:rPr>
          <w:sz w:val="20"/>
          <w:szCs w:val="20"/>
          <w:lang w:val="es-ES"/>
        </w:rPr>
        <w:t>O</w:t>
      </w:r>
      <w:r w:rsidRPr="00E019A9">
        <w:rPr>
          <w:sz w:val="20"/>
          <w:szCs w:val="20"/>
          <w:lang w:val="es-ES"/>
        </w:rPr>
        <w:t xml:space="preserve">rden </w:t>
      </w:r>
      <w:r w:rsidR="00271BC6" w:rsidRPr="00E019A9">
        <w:rPr>
          <w:sz w:val="20"/>
          <w:szCs w:val="20"/>
          <w:lang w:val="es-ES"/>
        </w:rPr>
        <w:t xml:space="preserve">del Estado Chileno ejecutaron un golpe de estado que culminó con el derrocamiento del gobierno constitucional </w:t>
      </w:r>
      <w:r w:rsidR="00BE7B05" w:rsidRPr="00E019A9">
        <w:rPr>
          <w:sz w:val="20"/>
          <w:szCs w:val="20"/>
          <w:lang w:val="es-ES"/>
        </w:rPr>
        <w:t>dirigido</w:t>
      </w:r>
      <w:r w:rsidR="00271BC6" w:rsidRPr="00E019A9">
        <w:rPr>
          <w:sz w:val="20"/>
          <w:szCs w:val="20"/>
          <w:lang w:val="es-ES"/>
        </w:rPr>
        <w:t xml:space="preserve"> por el Presidente Salvador Allende. Mediante </w:t>
      </w:r>
      <w:r w:rsidR="005E51E8" w:rsidRPr="00E019A9">
        <w:rPr>
          <w:sz w:val="20"/>
          <w:szCs w:val="20"/>
          <w:lang w:val="es-ES"/>
        </w:rPr>
        <w:t>el Decreto Ley N°1 los entonces Comandantes del Ej</w:t>
      </w:r>
      <w:r w:rsidR="00046C34" w:rsidRPr="00E019A9">
        <w:rPr>
          <w:sz w:val="20"/>
          <w:szCs w:val="20"/>
          <w:lang w:val="es-ES"/>
        </w:rPr>
        <w:t>é</w:t>
      </w:r>
      <w:r w:rsidR="005E51E8" w:rsidRPr="00E019A9">
        <w:rPr>
          <w:sz w:val="20"/>
          <w:szCs w:val="20"/>
          <w:lang w:val="es-ES"/>
        </w:rPr>
        <w:t>rcito</w:t>
      </w:r>
      <w:r w:rsidR="000F34A0" w:rsidRPr="00E019A9">
        <w:rPr>
          <w:sz w:val="20"/>
          <w:szCs w:val="20"/>
          <w:lang w:val="es-ES"/>
        </w:rPr>
        <w:t xml:space="preserve">, de la Armada, de la Fuerza Aérea y el Director General de Carabineros se constituyeron en </w:t>
      </w:r>
      <w:r w:rsidR="007632A8" w:rsidRPr="00E019A9">
        <w:rPr>
          <w:sz w:val="20"/>
          <w:szCs w:val="20"/>
          <w:lang w:val="es-ES"/>
        </w:rPr>
        <w:t>Junta de Gobierno y asumieron “el Mando Supremo de la Nación”</w:t>
      </w:r>
      <w:r w:rsidR="00177E93" w:rsidRPr="00E019A9">
        <w:rPr>
          <w:rStyle w:val="FootnoteReference"/>
          <w:sz w:val="20"/>
          <w:szCs w:val="20"/>
          <w:lang w:val="es-ES"/>
        </w:rPr>
        <w:footnoteReference w:id="19"/>
      </w:r>
      <w:r w:rsidR="007218C8" w:rsidRPr="00E019A9">
        <w:rPr>
          <w:sz w:val="20"/>
          <w:szCs w:val="20"/>
          <w:lang w:val="es-ES"/>
        </w:rPr>
        <w:t>. Posteriormente, la Junta de Gobierno</w:t>
      </w:r>
      <w:r w:rsidR="007D4EDA" w:rsidRPr="00E019A9">
        <w:rPr>
          <w:sz w:val="20"/>
          <w:szCs w:val="20"/>
          <w:lang w:val="es-ES"/>
        </w:rPr>
        <w:t xml:space="preserve"> disolvió el Congreso Nacional</w:t>
      </w:r>
      <w:r w:rsidR="007D4EDA" w:rsidRPr="00E019A9">
        <w:rPr>
          <w:rStyle w:val="FootnoteReference"/>
          <w:sz w:val="20"/>
          <w:szCs w:val="20"/>
          <w:lang w:val="es-ES"/>
        </w:rPr>
        <w:footnoteReference w:id="20"/>
      </w:r>
      <w:r w:rsidR="007D4EDA" w:rsidRPr="00E019A9">
        <w:rPr>
          <w:sz w:val="20"/>
          <w:szCs w:val="20"/>
          <w:lang w:val="es-ES"/>
        </w:rPr>
        <w:t xml:space="preserve"> y, </w:t>
      </w:r>
      <w:r w:rsidR="007218C8" w:rsidRPr="00E019A9">
        <w:rPr>
          <w:sz w:val="20"/>
          <w:szCs w:val="20"/>
          <w:lang w:val="es-ES"/>
        </w:rPr>
        <w:t>a través de la sanción del Decreto Ley</w:t>
      </w:r>
      <w:r w:rsidR="00046C34" w:rsidRPr="00E019A9">
        <w:rPr>
          <w:sz w:val="20"/>
          <w:szCs w:val="20"/>
          <w:lang w:val="es-ES"/>
        </w:rPr>
        <w:t xml:space="preserve"> N°</w:t>
      </w:r>
      <w:r w:rsidR="007218C8" w:rsidRPr="00E019A9">
        <w:rPr>
          <w:sz w:val="20"/>
          <w:szCs w:val="20"/>
          <w:lang w:val="es-ES"/>
        </w:rPr>
        <w:t xml:space="preserve"> 128</w:t>
      </w:r>
      <w:r w:rsidR="00BE7B05" w:rsidRPr="00E019A9">
        <w:rPr>
          <w:sz w:val="20"/>
          <w:szCs w:val="20"/>
          <w:lang w:val="es-ES"/>
        </w:rPr>
        <w:t>,</w:t>
      </w:r>
      <w:r w:rsidR="007218C8" w:rsidRPr="00E019A9">
        <w:rPr>
          <w:sz w:val="20"/>
          <w:szCs w:val="20"/>
          <w:lang w:val="es-ES"/>
        </w:rPr>
        <w:t xml:space="preserve"> se arrogó el ejercicio de los poderes constituyente, legislativo y ejecutivo</w:t>
      </w:r>
      <w:r w:rsidR="00577AB8" w:rsidRPr="00E019A9">
        <w:rPr>
          <w:sz w:val="20"/>
          <w:szCs w:val="20"/>
          <w:lang w:val="es-ES"/>
        </w:rPr>
        <w:t xml:space="preserve"> de la nación</w:t>
      </w:r>
      <w:r w:rsidR="007218C8" w:rsidRPr="00E019A9">
        <w:rPr>
          <w:rStyle w:val="FootnoteReference"/>
          <w:sz w:val="20"/>
          <w:szCs w:val="20"/>
          <w:lang w:val="es-ES"/>
        </w:rPr>
        <w:footnoteReference w:id="21"/>
      </w:r>
      <w:r w:rsidR="007218C8" w:rsidRPr="00E019A9">
        <w:rPr>
          <w:sz w:val="20"/>
          <w:szCs w:val="20"/>
          <w:lang w:val="es-ES"/>
        </w:rPr>
        <w:t xml:space="preserve">.  </w:t>
      </w:r>
    </w:p>
    <w:p w14:paraId="796035AF" w14:textId="77777777" w:rsidR="00ED5E77" w:rsidRPr="00E019A9" w:rsidRDefault="00ED5E77" w:rsidP="00AC1CA8">
      <w:pPr>
        <w:pStyle w:val="ListParagraph"/>
        <w:tabs>
          <w:tab w:val="left" w:pos="567"/>
        </w:tabs>
        <w:ind w:left="0"/>
        <w:jc w:val="both"/>
        <w:rPr>
          <w:sz w:val="20"/>
          <w:szCs w:val="20"/>
          <w:lang w:val="es-ES"/>
        </w:rPr>
      </w:pPr>
    </w:p>
    <w:p w14:paraId="7AF88138" w14:textId="77777777" w:rsidR="00ED5E77" w:rsidRPr="00E019A9" w:rsidRDefault="003E6257" w:rsidP="00BB60A6">
      <w:pPr>
        <w:pStyle w:val="ListParagraph"/>
        <w:numPr>
          <w:ilvl w:val="0"/>
          <w:numId w:val="57"/>
        </w:numPr>
        <w:tabs>
          <w:tab w:val="left" w:pos="567"/>
        </w:tabs>
        <w:ind w:left="0" w:firstLine="0"/>
        <w:jc w:val="both"/>
        <w:rPr>
          <w:sz w:val="20"/>
          <w:szCs w:val="20"/>
          <w:lang w:val="es-ES"/>
        </w:rPr>
      </w:pPr>
      <w:r w:rsidRPr="00E019A9">
        <w:rPr>
          <w:sz w:val="20"/>
          <w:szCs w:val="20"/>
          <w:lang w:val="es-ES_tradnl"/>
        </w:rPr>
        <w:t xml:space="preserve">El golpe de Estado del 11 de septiembre constituyó el punto de partida de una de las </w:t>
      </w:r>
      <w:r w:rsidR="002A4062" w:rsidRPr="00E019A9">
        <w:rPr>
          <w:sz w:val="20"/>
          <w:szCs w:val="20"/>
          <w:lang w:val="es-ES_tradnl"/>
        </w:rPr>
        <w:t>más</w:t>
      </w:r>
      <w:r w:rsidRPr="00E019A9">
        <w:rPr>
          <w:sz w:val="20"/>
          <w:szCs w:val="20"/>
          <w:lang w:val="es-ES_tradnl"/>
        </w:rPr>
        <w:t xml:space="preserve"> graves crisis de derechos humanos </w:t>
      </w:r>
      <w:r w:rsidR="00B543B8" w:rsidRPr="00E019A9">
        <w:rPr>
          <w:sz w:val="20"/>
          <w:szCs w:val="20"/>
          <w:lang w:val="es-ES_tradnl"/>
        </w:rPr>
        <w:t>en</w:t>
      </w:r>
      <w:r w:rsidR="00046C34" w:rsidRPr="00E019A9">
        <w:rPr>
          <w:sz w:val="20"/>
          <w:szCs w:val="20"/>
          <w:lang w:val="es-ES_tradnl"/>
        </w:rPr>
        <w:t xml:space="preserve"> la historia del</w:t>
      </w:r>
      <w:r w:rsidRPr="00E019A9">
        <w:rPr>
          <w:sz w:val="20"/>
          <w:szCs w:val="20"/>
          <w:lang w:val="es-ES_tradnl"/>
        </w:rPr>
        <w:t xml:space="preserve"> continente americano. Conforme los hallazgos documentados por la </w:t>
      </w:r>
      <w:r w:rsidR="00046C34" w:rsidRPr="00E019A9">
        <w:rPr>
          <w:sz w:val="20"/>
          <w:szCs w:val="20"/>
          <w:lang w:val="es-ES_tradnl"/>
        </w:rPr>
        <w:t>Comisión</w:t>
      </w:r>
      <w:r w:rsidRPr="00E019A9">
        <w:rPr>
          <w:sz w:val="20"/>
          <w:szCs w:val="20"/>
          <w:lang w:val="es-ES_tradnl"/>
        </w:rPr>
        <w:t xml:space="preserve"> Nacional  </w:t>
      </w:r>
      <w:r w:rsidR="00B543B8" w:rsidRPr="00E019A9">
        <w:rPr>
          <w:sz w:val="20"/>
          <w:szCs w:val="20"/>
          <w:lang w:val="es-ES_tradnl"/>
        </w:rPr>
        <w:t>sobre Prisión Política y Tortura</w:t>
      </w:r>
      <w:r w:rsidRPr="00E019A9">
        <w:rPr>
          <w:sz w:val="20"/>
          <w:szCs w:val="20"/>
          <w:lang w:val="es-ES_tradnl"/>
        </w:rPr>
        <w:t xml:space="preserve"> (en adelante</w:t>
      </w:r>
      <w:r w:rsidR="00046C34" w:rsidRPr="00E019A9">
        <w:rPr>
          <w:sz w:val="20"/>
          <w:szCs w:val="20"/>
          <w:lang w:val="es-ES_tradnl"/>
        </w:rPr>
        <w:t>:</w:t>
      </w:r>
      <w:r w:rsidRPr="00E019A9">
        <w:rPr>
          <w:sz w:val="20"/>
          <w:szCs w:val="20"/>
          <w:lang w:val="es-ES_tradnl"/>
        </w:rPr>
        <w:t xml:space="preserve"> “</w:t>
      </w:r>
      <w:r w:rsidR="00046C34" w:rsidRPr="00E019A9">
        <w:rPr>
          <w:sz w:val="20"/>
          <w:szCs w:val="20"/>
          <w:lang w:val="es-ES_tradnl"/>
        </w:rPr>
        <w:t>Comisión</w:t>
      </w:r>
      <w:r w:rsidRPr="00E019A9">
        <w:rPr>
          <w:sz w:val="20"/>
          <w:szCs w:val="20"/>
          <w:lang w:val="es-ES_tradnl"/>
        </w:rPr>
        <w:t xml:space="preserve"> </w:t>
      </w:r>
      <w:r w:rsidR="00B543B8" w:rsidRPr="00E019A9">
        <w:rPr>
          <w:sz w:val="20"/>
          <w:szCs w:val="20"/>
          <w:lang w:val="es-ES_tradnl"/>
        </w:rPr>
        <w:t>Valech</w:t>
      </w:r>
      <w:r w:rsidRPr="00E019A9">
        <w:rPr>
          <w:sz w:val="20"/>
          <w:szCs w:val="20"/>
          <w:lang w:val="es-ES_tradnl"/>
        </w:rPr>
        <w:t xml:space="preserve">”) </w:t>
      </w:r>
      <w:r w:rsidR="00B543B8" w:rsidRPr="00E019A9">
        <w:rPr>
          <w:sz w:val="20"/>
          <w:szCs w:val="20"/>
          <w:lang w:val="es-ES_tradnl"/>
        </w:rPr>
        <w:t>la represión política operó desde el mismo 11 de septiembre de 1973 y hasta el fin del gobierno militar y consistió en “fusilamientos sumarios, tortura sistemática, privación arbitraria de la libertad en recintos al margen del escrutinio de la ley y conculcación de derechos humanos fundamentales”</w:t>
      </w:r>
      <w:r w:rsidR="00073941" w:rsidRPr="00E019A9">
        <w:rPr>
          <w:sz w:val="20"/>
          <w:szCs w:val="20"/>
          <w:lang w:val="es-ES_tradnl"/>
        </w:rPr>
        <w:t>.</w:t>
      </w:r>
      <w:r w:rsidR="00B543B8" w:rsidRPr="00E019A9">
        <w:rPr>
          <w:rStyle w:val="FootnoteReference"/>
          <w:sz w:val="20"/>
          <w:szCs w:val="20"/>
          <w:lang w:val="es-ES_tradnl"/>
        </w:rPr>
        <w:footnoteReference w:id="22"/>
      </w:r>
      <w:r w:rsidR="00B543B8" w:rsidRPr="00E019A9">
        <w:rPr>
          <w:sz w:val="20"/>
          <w:szCs w:val="20"/>
          <w:lang w:val="es-ES_tradnl"/>
        </w:rPr>
        <w:t xml:space="preserve"> </w:t>
      </w:r>
    </w:p>
    <w:p w14:paraId="2A822AEB" w14:textId="77777777" w:rsidR="00ED5E77" w:rsidRPr="00E019A9" w:rsidRDefault="00ED5E77" w:rsidP="00AC1CA8">
      <w:pPr>
        <w:pStyle w:val="ListParagraph"/>
        <w:tabs>
          <w:tab w:val="left" w:pos="567"/>
        </w:tabs>
        <w:ind w:left="0"/>
        <w:rPr>
          <w:sz w:val="20"/>
          <w:szCs w:val="20"/>
          <w:lang w:val="es-ES_tradnl"/>
        </w:rPr>
      </w:pPr>
    </w:p>
    <w:p w14:paraId="5EB550A9" w14:textId="77777777" w:rsidR="00975DEE" w:rsidRPr="00E019A9" w:rsidRDefault="00637166" w:rsidP="00BB60A6">
      <w:pPr>
        <w:pStyle w:val="ListParagraph"/>
        <w:numPr>
          <w:ilvl w:val="0"/>
          <w:numId w:val="57"/>
        </w:numPr>
        <w:tabs>
          <w:tab w:val="left" w:pos="567"/>
        </w:tabs>
        <w:ind w:left="0" w:firstLine="0"/>
        <w:jc w:val="both"/>
        <w:rPr>
          <w:sz w:val="20"/>
          <w:szCs w:val="20"/>
          <w:lang w:val="es-ES"/>
        </w:rPr>
      </w:pPr>
      <w:r w:rsidRPr="00E019A9">
        <w:rPr>
          <w:sz w:val="20"/>
          <w:szCs w:val="20"/>
          <w:lang w:val="es-ES_tradnl"/>
        </w:rPr>
        <w:t>A</w:t>
      </w:r>
      <w:r w:rsidR="00594890" w:rsidRPr="00E019A9">
        <w:rPr>
          <w:sz w:val="20"/>
          <w:szCs w:val="20"/>
          <w:lang w:val="es-ES_tradnl"/>
        </w:rPr>
        <w:t xml:space="preserve"> los</w:t>
      </w:r>
      <w:r w:rsidRPr="00E019A9">
        <w:rPr>
          <w:sz w:val="20"/>
          <w:szCs w:val="20"/>
          <w:lang w:val="es-ES_tradnl"/>
        </w:rPr>
        <w:t xml:space="preserve"> pocos días de haberse p</w:t>
      </w:r>
      <w:r w:rsidR="00594890" w:rsidRPr="00E019A9">
        <w:rPr>
          <w:sz w:val="20"/>
          <w:szCs w:val="20"/>
          <w:lang w:val="es-ES_tradnl"/>
        </w:rPr>
        <w:t>roducido</w:t>
      </w:r>
      <w:r w:rsidRPr="00E019A9">
        <w:rPr>
          <w:sz w:val="20"/>
          <w:szCs w:val="20"/>
          <w:lang w:val="es-ES_tradnl"/>
        </w:rPr>
        <w:t xml:space="preserve"> el golpe de estado, la CIDH envió a las autoridades del gob</w:t>
      </w:r>
      <w:r w:rsidR="00594890" w:rsidRPr="00E019A9">
        <w:rPr>
          <w:sz w:val="20"/>
          <w:szCs w:val="20"/>
          <w:lang w:val="es-ES_tradnl"/>
        </w:rPr>
        <w:t>ierno</w:t>
      </w:r>
      <w:r w:rsidRPr="00E019A9">
        <w:rPr>
          <w:sz w:val="20"/>
          <w:szCs w:val="20"/>
          <w:lang w:val="es-ES_tradnl"/>
        </w:rPr>
        <w:t xml:space="preserve"> de facto una serie de telegramas en los que dejó constancia de su preocupación por las denuncias</w:t>
      </w:r>
      <w:r w:rsidR="00046C34" w:rsidRPr="00E019A9">
        <w:rPr>
          <w:sz w:val="20"/>
          <w:szCs w:val="20"/>
          <w:lang w:val="es-ES_tradnl"/>
        </w:rPr>
        <w:t xml:space="preserve"> recibidas </w:t>
      </w:r>
      <w:r w:rsidR="00594890" w:rsidRPr="00E019A9">
        <w:rPr>
          <w:sz w:val="20"/>
          <w:szCs w:val="20"/>
          <w:lang w:val="es-ES_tradnl"/>
        </w:rPr>
        <w:t xml:space="preserve">relativas </w:t>
      </w:r>
      <w:r w:rsidR="00073941" w:rsidRPr="00E019A9">
        <w:rPr>
          <w:sz w:val="20"/>
          <w:szCs w:val="20"/>
          <w:lang w:val="es-ES_tradnl"/>
        </w:rPr>
        <w:t>con arrestos</w:t>
      </w:r>
      <w:r w:rsidRPr="00E019A9">
        <w:rPr>
          <w:sz w:val="20"/>
          <w:szCs w:val="20"/>
          <w:lang w:val="es-ES_tradnl"/>
        </w:rPr>
        <w:t xml:space="preserve"> e</w:t>
      </w:r>
      <w:r w:rsidR="00046C34" w:rsidRPr="00E019A9">
        <w:rPr>
          <w:sz w:val="20"/>
          <w:szCs w:val="20"/>
          <w:lang w:val="es-ES_tradnl"/>
        </w:rPr>
        <w:t>n</w:t>
      </w:r>
      <w:r w:rsidRPr="00E019A9">
        <w:rPr>
          <w:sz w:val="20"/>
          <w:szCs w:val="20"/>
          <w:lang w:val="es-ES_tradnl"/>
        </w:rPr>
        <w:t xml:space="preserve"> masa y ejecuciones sumarias de opositores políticos al régimen militar</w:t>
      </w:r>
      <w:r w:rsidRPr="00E019A9">
        <w:rPr>
          <w:rStyle w:val="FootnoteReference"/>
          <w:sz w:val="20"/>
          <w:szCs w:val="20"/>
          <w:lang w:val="es-ES_tradnl"/>
        </w:rPr>
        <w:footnoteReference w:id="23"/>
      </w:r>
      <w:r w:rsidRPr="00E019A9">
        <w:rPr>
          <w:sz w:val="20"/>
          <w:szCs w:val="20"/>
          <w:lang w:val="es-ES_tradnl"/>
        </w:rPr>
        <w:t xml:space="preserve">. Durante los días 12 a 17 de octubre de 1973 el entonces Secretario Ejecutivo de la CIDH visitó </w:t>
      </w:r>
      <w:r w:rsidR="0043724D" w:rsidRPr="00E019A9">
        <w:rPr>
          <w:sz w:val="20"/>
          <w:szCs w:val="20"/>
          <w:lang w:val="es-ES_tradnl"/>
        </w:rPr>
        <w:t>la ciudad de Santiago de Chile</w:t>
      </w:r>
      <w:r w:rsidR="00594890" w:rsidRPr="00E019A9">
        <w:rPr>
          <w:sz w:val="20"/>
          <w:szCs w:val="20"/>
          <w:lang w:val="es-ES_tradnl"/>
        </w:rPr>
        <w:t xml:space="preserve">, </w:t>
      </w:r>
      <w:r w:rsidR="0043724D" w:rsidRPr="00E019A9">
        <w:rPr>
          <w:sz w:val="20"/>
          <w:szCs w:val="20"/>
          <w:lang w:val="es-ES_tradnl"/>
        </w:rPr>
        <w:t xml:space="preserve">se entrevistó con diversas autoridades </w:t>
      </w:r>
      <w:r w:rsidR="00594890" w:rsidRPr="00E019A9">
        <w:rPr>
          <w:sz w:val="20"/>
          <w:szCs w:val="20"/>
          <w:lang w:val="es-ES_tradnl"/>
        </w:rPr>
        <w:t xml:space="preserve">políticas </w:t>
      </w:r>
      <w:r w:rsidR="0043724D" w:rsidRPr="00E019A9">
        <w:rPr>
          <w:sz w:val="20"/>
          <w:szCs w:val="20"/>
          <w:lang w:val="es-ES_tradnl"/>
        </w:rPr>
        <w:t xml:space="preserve">y </w:t>
      </w:r>
      <w:r w:rsidR="00594890" w:rsidRPr="00E019A9">
        <w:rPr>
          <w:sz w:val="20"/>
          <w:szCs w:val="20"/>
          <w:lang w:val="es-ES_tradnl"/>
        </w:rPr>
        <w:t xml:space="preserve">con </w:t>
      </w:r>
      <w:r w:rsidR="0043724D" w:rsidRPr="00E019A9">
        <w:rPr>
          <w:sz w:val="20"/>
          <w:szCs w:val="20"/>
          <w:lang w:val="es-ES_tradnl"/>
        </w:rPr>
        <w:t xml:space="preserve">denunciantes y </w:t>
      </w:r>
      <w:r w:rsidR="00594890" w:rsidRPr="00E019A9">
        <w:rPr>
          <w:sz w:val="20"/>
          <w:szCs w:val="20"/>
          <w:lang w:val="es-ES_tradnl"/>
        </w:rPr>
        <w:t xml:space="preserve">pudo </w:t>
      </w:r>
      <w:r w:rsidR="00046C34" w:rsidRPr="00E019A9">
        <w:rPr>
          <w:sz w:val="20"/>
          <w:szCs w:val="20"/>
          <w:lang w:val="es-ES_tradnl"/>
        </w:rPr>
        <w:t>concur</w:t>
      </w:r>
      <w:r w:rsidR="00594890" w:rsidRPr="00E019A9">
        <w:rPr>
          <w:sz w:val="20"/>
          <w:szCs w:val="20"/>
          <w:lang w:val="es-ES_tradnl"/>
        </w:rPr>
        <w:t>rir</w:t>
      </w:r>
      <w:r w:rsidR="00046C34" w:rsidRPr="00E019A9">
        <w:rPr>
          <w:sz w:val="20"/>
          <w:szCs w:val="20"/>
          <w:lang w:val="es-ES_tradnl"/>
        </w:rPr>
        <w:t xml:space="preserve"> a algunos</w:t>
      </w:r>
      <w:r w:rsidR="0043724D" w:rsidRPr="00E019A9">
        <w:rPr>
          <w:sz w:val="20"/>
          <w:szCs w:val="20"/>
          <w:lang w:val="es-ES_tradnl"/>
        </w:rPr>
        <w:t xml:space="preserve"> centros de detención, entre ellos el Estadio Nacional, principal sitio de reclusión</w:t>
      </w:r>
      <w:r w:rsidR="00046C34" w:rsidRPr="00E019A9">
        <w:rPr>
          <w:sz w:val="20"/>
          <w:szCs w:val="20"/>
          <w:lang w:val="es-ES_tradnl"/>
        </w:rPr>
        <w:t xml:space="preserve"> </w:t>
      </w:r>
      <w:r w:rsidR="0043724D" w:rsidRPr="00E019A9">
        <w:rPr>
          <w:sz w:val="20"/>
          <w:szCs w:val="20"/>
          <w:lang w:val="es-ES_tradnl"/>
        </w:rPr>
        <w:t>de prisioneros políticos</w:t>
      </w:r>
      <w:r w:rsidR="00594890" w:rsidRPr="00E019A9">
        <w:rPr>
          <w:sz w:val="20"/>
          <w:szCs w:val="20"/>
          <w:lang w:val="es-ES_tradnl"/>
        </w:rPr>
        <w:t xml:space="preserve"> en los primeros días del régimen militar</w:t>
      </w:r>
      <w:r w:rsidR="0043724D" w:rsidRPr="00E019A9">
        <w:rPr>
          <w:sz w:val="20"/>
          <w:szCs w:val="20"/>
          <w:lang w:val="es-ES_tradnl"/>
        </w:rPr>
        <w:t>. En sus observaciones generales transmitidas al pleno de la Comisi</w:t>
      </w:r>
      <w:r w:rsidR="00680DED" w:rsidRPr="00E019A9">
        <w:rPr>
          <w:sz w:val="20"/>
          <w:szCs w:val="20"/>
          <w:lang w:val="es-ES_tradnl"/>
        </w:rPr>
        <w:t>ó</w:t>
      </w:r>
      <w:r w:rsidR="0043724D" w:rsidRPr="00E019A9">
        <w:rPr>
          <w:sz w:val="20"/>
          <w:szCs w:val="20"/>
          <w:lang w:val="es-ES_tradnl"/>
        </w:rPr>
        <w:t xml:space="preserve">n, el Secretario Ejecutivo </w:t>
      </w:r>
      <w:r w:rsidR="00680DED" w:rsidRPr="00E019A9">
        <w:rPr>
          <w:sz w:val="20"/>
          <w:szCs w:val="20"/>
          <w:lang w:val="es-ES_tradnl"/>
        </w:rPr>
        <w:t xml:space="preserve">consignó que un buen número de detenidos </w:t>
      </w:r>
      <w:r w:rsidR="00DB49A4" w:rsidRPr="00E019A9">
        <w:rPr>
          <w:sz w:val="20"/>
          <w:szCs w:val="20"/>
          <w:lang w:val="es-ES_tradnl"/>
        </w:rPr>
        <w:t xml:space="preserve">habían sido </w:t>
      </w:r>
      <w:r w:rsidR="00680DED" w:rsidRPr="00E019A9">
        <w:rPr>
          <w:sz w:val="20"/>
          <w:szCs w:val="20"/>
          <w:lang w:val="es-ES_tradnl"/>
        </w:rPr>
        <w:t xml:space="preserve">“objeto de vejaciones, ultrajes y </w:t>
      </w:r>
      <w:r w:rsidR="00680DED" w:rsidRPr="00E019A9">
        <w:rPr>
          <w:sz w:val="20"/>
          <w:szCs w:val="20"/>
          <w:lang w:val="es-ES_tradnl"/>
        </w:rPr>
        <w:lastRenderedPageBreak/>
        <w:t>malos tratos y, en algunos casos, de torturas”</w:t>
      </w:r>
      <w:r w:rsidR="00680DED" w:rsidRPr="00E019A9">
        <w:rPr>
          <w:rStyle w:val="FootnoteReference"/>
          <w:sz w:val="20"/>
          <w:szCs w:val="20"/>
          <w:lang w:val="es-ES_tradnl"/>
        </w:rPr>
        <w:footnoteReference w:id="24"/>
      </w:r>
      <w:r w:rsidR="00680DED" w:rsidRPr="00E019A9">
        <w:rPr>
          <w:sz w:val="20"/>
          <w:szCs w:val="20"/>
          <w:lang w:val="es-ES_tradnl"/>
        </w:rPr>
        <w:t xml:space="preserve"> y documentó una serie de denuncias de fusilamientos y ejecuciones extrajudiciales</w:t>
      </w:r>
      <w:r w:rsidR="002A4AA8" w:rsidRPr="00E019A9">
        <w:rPr>
          <w:rStyle w:val="FootnoteReference"/>
          <w:sz w:val="20"/>
          <w:szCs w:val="20"/>
          <w:lang w:val="es-ES_tradnl"/>
        </w:rPr>
        <w:footnoteReference w:id="25"/>
      </w:r>
      <w:r w:rsidR="00680DED" w:rsidRPr="00E019A9">
        <w:rPr>
          <w:sz w:val="20"/>
          <w:szCs w:val="20"/>
          <w:lang w:val="es-ES_tradnl"/>
        </w:rPr>
        <w:t>.</w:t>
      </w:r>
    </w:p>
    <w:p w14:paraId="6CE454AF" w14:textId="77777777" w:rsidR="00975DEE" w:rsidRPr="00E019A9" w:rsidRDefault="00975DEE" w:rsidP="00AC1CA8">
      <w:pPr>
        <w:pStyle w:val="ListParagraph"/>
        <w:tabs>
          <w:tab w:val="left" w:pos="567"/>
        </w:tabs>
        <w:ind w:left="0"/>
        <w:rPr>
          <w:sz w:val="20"/>
          <w:szCs w:val="20"/>
          <w:lang w:val="es-ES_tradnl"/>
        </w:rPr>
      </w:pPr>
    </w:p>
    <w:p w14:paraId="0E91AFFE" w14:textId="77777777" w:rsidR="00975DEE" w:rsidRPr="00E019A9" w:rsidRDefault="004D7F44" w:rsidP="00BB60A6">
      <w:pPr>
        <w:pStyle w:val="ListParagraph"/>
        <w:numPr>
          <w:ilvl w:val="0"/>
          <w:numId w:val="57"/>
        </w:numPr>
        <w:tabs>
          <w:tab w:val="left" w:pos="567"/>
        </w:tabs>
        <w:ind w:left="0" w:firstLine="0"/>
        <w:jc w:val="both"/>
        <w:rPr>
          <w:sz w:val="20"/>
          <w:szCs w:val="20"/>
          <w:lang w:val="es-ES"/>
        </w:rPr>
      </w:pPr>
      <w:r w:rsidRPr="00E019A9">
        <w:rPr>
          <w:sz w:val="20"/>
          <w:szCs w:val="20"/>
          <w:lang w:val="es-ES_tradnl"/>
        </w:rPr>
        <w:t xml:space="preserve">Como resultado de la visita </w:t>
      </w:r>
      <w:r w:rsidRPr="00E019A9">
        <w:rPr>
          <w:i/>
          <w:sz w:val="20"/>
          <w:szCs w:val="20"/>
          <w:lang w:val="es-ES_tradnl"/>
        </w:rPr>
        <w:t>in loco</w:t>
      </w:r>
      <w:r w:rsidRPr="00E019A9">
        <w:rPr>
          <w:sz w:val="20"/>
          <w:szCs w:val="20"/>
          <w:lang w:val="es-ES_tradnl"/>
        </w:rPr>
        <w:t xml:space="preserve"> realizada durante el mes de junio de 1974, la Comisión reunió y documentó suficientes elementos de juicio para asegurar que, en diversos puntos del territorio chileno y a partir del 11 de septiembre de 1973</w:t>
      </w:r>
      <w:r w:rsidR="00594890" w:rsidRPr="00E019A9">
        <w:rPr>
          <w:sz w:val="20"/>
          <w:szCs w:val="20"/>
          <w:lang w:val="es-ES_tradnl"/>
        </w:rPr>
        <w:t>,</w:t>
      </w:r>
      <w:r w:rsidRPr="00E019A9">
        <w:rPr>
          <w:sz w:val="20"/>
          <w:szCs w:val="20"/>
          <w:lang w:val="es-ES_tradnl"/>
        </w:rPr>
        <w:t xml:space="preserve">  “por acción u omisión de su actual gobierno” </w:t>
      </w:r>
      <w:r w:rsidR="00BF47E7" w:rsidRPr="00E019A9">
        <w:rPr>
          <w:sz w:val="20"/>
          <w:szCs w:val="20"/>
          <w:lang w:val="es-ES_tradnl"/>
        </w:rPr>
        <w:t xml:space="preserve">en Chile se </w:t>
      </w:r>
      <w:r w:rsidRPr="00E019A9">
        <w:rPr>
          <w:sz w:val="20"/>
          <w:szCs w:val="20"/>
          <w:lang w:val="es-ES_tradnl"/>
        </w:rPr>
        <w:t xml:space="preserve">habían </w:t>
      </w:r>
      <w:r w:rsidR="00BF47E7" w:rsidRPr="00E019A9">
        <w:rPr>
          <w:sz w:val="20"/>
          <w:szCs w:val="20"/>
          <w:lang w:val="es-ES_tradnl"/>
        </w:rPr>
        <w:t>cometid</w:t>
      </w:r>
      <w:r w:rsidRPr="00E019A9">
        <w:rPr>
          <w:sz w:val="20"/>
          <w:szCs w:val="20"/>
          <w:lang w:val="es-ES_tradnl"/>
        </w:rPr>
        <w:t>o muy graves atentados contra los derechos a la vida, a la integridad personal, a la libertad personal y a las garantías del debido proceso, entre otros</w:t>
      </w:r>
      <w:r w:rsidRPr="00E019A9">
        <w:rPr>
          <w:rStyle w:val="FootnoteReference"/>
          <w:sz w:val="20"/>
          <w:szCs w:val="20"/>
          <w:lang w:val="es-ES_tradnl"/>
        </w:rPr>
        <w:footnoteReference w:id="26"/>
      </w:r>
      <w:r w:rsidRPr="00E019A9">
        <w:rPr>
          <w:sz w:val="20"/>
          <w:szCs w:val="20"/>
          <w:lang w:val="es-ES_tradnl"/>
        </w:rPr>
        <w:t xml:space="preserve">. </w:t>
      </w:r>
      <w:r w:rsidR="00BF47E7" w:rsidRPr="00E019A9">
        <w:rPr>
          <w:sz w:val="20"/>
          <w:szCs w:val="20"/>
          <w:lang w:val="es-ES_tradnl"/>
        </w:rPr>
        <w:t xml:space="preserve">Cabe señalar  que la Comisión manifestó su preocupación por los procedimientos cuasi judiciales realizados ante los tribunales de justicia militar, por la inefectividad absoluta  de los recursos de amparo y habeas corpus y por el elevado </w:t>
      </w:r>
      <w:r w:rsidR="002A4062" w:rsidRPr="00E019A9">
        <w:rPr>
          <w:sz w:val="20"/>
          <w:szCs w:val="20"/>
          <w:lang w:val="es-ES_tradnl"/>
        </w:rPr>
        <w:t>número</w:t>
      </w:r>
      <w:r w:rsidR="00BF47E7" w:rsidRPr="00E019A9">
        <w:rPr>
          <w:sz w:val="20"/>
          <w:szCs w:val="20"/>
          <w:lang w:val="es-ES_tradnl"/>
        </w:rPr>
        <w:t xml:space="preserve"> de personas que </w:t>
      </w:r>
      <w:r w:rsidR="00594890" w:rsidRPr="00E019A9">
        <w:rPr>
          <w:sz w:val="20"/>
          <w:szCs w:val="20"/>
          <w:lang w:val="es-ES_tradnl"/>
        </w:rPr>
        <w:t xml:space="preserve">permanecían </w:t>
      </w:r>
      <w:r w:rsidR="00BF47E7" w:rsidRPr="00E019A9">
        <w:rPr>
          <w:sz w:val="20"/>
          <w:szCs w:val="20"/>
          <w:lang w:val="es-ES_tradnl"/>
        </w:rPr>
        <w:t>en carácter de desaparecidas</w:t>
      </w:r>
      <w:r w:rsidR="00BF47E7" w:rsidRPr="00E019A9">
        <w:rPr>
          <w:rStyle w:val="FootnoteReference"/>
          <w:sz w:val="20"/>
          <w:szCs w:val="20"/>
          <w:lang w:val="es-ES_tradnl"/>
        </w:rPr>
        <w:footnoteReference w:id="27"/>
      </w:r>
      <w:r w:rsidR="00BF47E7" w:rsidRPr="00E019A9">
        <w:rPr>
          <w:sz w:val="20"/>
          <w:szCs w:val="20"/>
          <w:lang w:val="es-ES_tradnl"/>
        </w:rPr>
        <w:t xml:space="preserve">. </w:t>
      </w:r>
    </w:p>
    <w:p w14:paraId="061964D7" w14:textId="77777777" w:rsidR="00975DEE" w:rsidRPr="00E019A9" w:rsidRDefault="00975DEE" w:rsidP="00AC1CA8">
      <w:pPr>
        <w:pStyle w:val="ListParagraph"/>
        <w:tabs>
          <w:tab w:val="left" w:pos="567"/>
        </w:tabs>
        <w:ind w:left="0"/>
        <w:rPr>
          <w:sz w:val="20"/>
          <w:szCs w:val="20"/>
          <w:lang w:val="es-ES_tradnl"/>
        </w:rPr>
      </w:pPr>
    </w:p>
    <w:p w14:paraId="173E3D1D" w14:textId="77777777" w:rsidR="00975DEE" w:rsidRPr="00E019A9" w:rsidRDefault="00F44E9F" w:rsidP="00BB60A6">
      <w:pPr>
        <w:pStyle w:val="ListParagraph"/>
        <w:numPr>
          <w:ilvl w:val="0"/>
          <w:numId w:val="57"/>
        </w:numPr>
        <w:tabs>
          <w:tab w:val="left" w:pos="567"/>
        </w:tabs>
        <w:ind w:left="0" w:firstLine="0"/>
        <w:jc w:val="both"/>
        <w:rPr>
          <w:sz w:val="20"/>
          <w:szCs w:val="20"/>
          <w:lang w:val="es-ES"/>
        </w:rPr>
      </w:pPr>
      <w:r w:rsidRPr="00E019A9">
        <w:rPr>
          <w:sz w:val="20"/>
          <w:szCs w:val="20"/>
          <w:lang w:val="es-ES_tradnl"/>
        </w:rPr>
        <w:t>La Comisión mantuvo vigente durante</w:t>
      </w:r>
      <w:r w:rsidR="00CD757C" w:rsidRPr="00E019A9">
        <w:rPr>
          <w:sz w:val="20"/>
          <w:szCs w:val="20"/>
          <w:lang w:val="es-ES_tradnl"/>
        </w:rPr>
        <w:t xml:space="preserve"> </w:t>
      </w:r>
      <w:r w:rsidR="00035B24" w:rsidRPr="00E019A9">
        <w:rPr>
          <w:sz w:val="20"/>
          <w:szCs w:val="20"/>
          <w:lang w:val="es-ES_tradnl"/>
        </w:rPr>
        <w:t>todo</w:t>
      </w:r>
      <w:r w:rsidR="00853BA3" w:rsidRPr="00E019A9">
        <w:rPr>
          <w:sz w:val="20"/>
          <w:szCs w:val="20"/>
          <w:lang w:val="es-ES_tradnl"/>
        </w:rPr>
        <w:t xml:space="preserve"> el régimen militar </w:t>
      </w:r>
      <w:r w:rsidR="00535DFA" w:rsidRPr="00E019A9">
        <w:rPr>
          <w:sz w:val="20"/>
          <w:szCs w:val="20"/>
          <w:lang w:val="es-ES_tradnl"/>
        </w:rPr>
        <w:t xml:space="preserve">un especial foco </w:t>
      </w:r>
      <w:r w:rsidR="00CD757C" w:rsidRPr="00E019A9">
        <w:rPr>
          <w:sz w:val="20"/>
          <w:szCs w:val="20"/>
          <w:lang w:val="es-ES_tradnl"/>
        </w:rPr>
        <w:t>en la</w:t>
      </w:r>
      <w:r w:rsidRPr="00E019A9">
        <w:rPr>
          <w:sz w:val="20"/>
          <w:szCs w:val="20"/>
          <w:lang w:val="es-ES_tradnl"/>
        </w:rPr>
        <w:t xml:space="preserve"> promoción y </w:t>
      </w:r>
      <w:r w:rsidR="00CD757C" w:rsidRPr="00E019A9">
        <w:rPr>
          <w:sz w:val="20"/>
          <w:szCs w:val="20"/>
          <w:lang w:val="es-ES_tradnl"/>
        </w:rPr>
        <w:t xml:space="preserve">la </w:t>
      </w:r>
      <w:r w:rsidRPr="00E019A9">
        <w:rPr>
          <w:sz w:val="20"/>
          <w:szCs w:val="20"/>
          <w:lang w:val="es-ES_tradnl"/>
        </w:rPr>
        <w:t xml:space="preserve">defensa de los derechos humanos en Chile. El informe publicado en ocasión de la visita </w:t>
      </w:r>
      <w:r w:rsidRPr="00E019A9">
        <w:rPr>
          <w:i/>
          <w:sz w:val="20"/>
          <w:szCs w:val="20"/>
          <w:lang w:val="es-ES_tradnl"/>
        </w:rPr>
        <w:t>in loco</w:t>
      </w:r>
      <w:r w:rsidRPr="00E019A9">
        <w:rPr>
          <w:sz w:val="20"/>
          <w:szCs w:val="20"/>
          <w:lang w:val="es-ES_tradnl"/>
        </w:rPr>
        <w:t xml:space="preserve"> de julio de 1974 fue sucedido por otros tres informes especiales redactados en los años 1976</w:t>
      </w:r>
      <w:r w:rsidR="00ED5E77" w:rsidRPr="00E019A9">
        <w:rPr>
          <w:rStyle w:val="FootnoteReference"/>
          <w:sz w:val="20"/>
          <w:szCs w:val="20"/>
          <w:lang w:val="es-ES_tradnl"/>
        </w:rPr>
        <w:footnoteReference w:id="28"/>
      </w:r>
      <w:r w:rsidRPr="00E019A9">
        <w:rPr>
          <w:sz w:val="20"/>
          <w:szCs w:val="20"/>
          <w:lang w:val="es-ES_tradnl"/>
        </w:rPr>
        <w:t>, 1977</w:t>
      </w:r>
      <w:r w:rsidR="00ED5E77" w:rsidRPr="00E019A9">
        <w:rPr>
          <w:rStyle w:val="FootnoteReference"/>
          <w:sz w:val="20"/>
          <w:szCs w:val="20"/>
          <w:lang w:val="es-ES_tradnl"/>
        </w:rPr>
        <w:footnoteReference w:id="29"/>
      </w:r>
      <w:r w:rsidRPr="00E019A9">
        <w:rPr>
          <w:sz w:val="20"/>
          <w:szCs w:val="20"/>
          <w:lang w:val="es-ES_tradnl"/>
        </w:rPr>
        <w:t xml:space="preserve"> y 1985</w:t>
      </w:r>
      <w:r w:rsidR="00ED5E77" w:rsidRPr="00E019A9">
        <w:rPr>
          <w:rStyle w:val="FootnoteReference"/>
          <w:sz w:val="20"/>
          <w:szCs w:val="20"/>
          <w:lang w:val="es-ES_tradnl"/>
        </w:rPr>
        <w:footnoteReference w:id="30"/>
      </w:r>
      <w:r w:rsidRPr="00E019A9">
        <w:rPr>
          <w:sz w:val="20"/>
          <w:szCs w:val="20"/>
          <w:lang w:val="es-ES_tradnl"/>
        </w:rPr>
        <w:t xml:space="preserve"> y por la inclusión de la situación en el país dentro del </w:t>
      </w:r>
      <w:r w:rsidR="002A4062" w:rsidRPr="00E019A9">
        <w:rPr>
          <w:sz w:val="20"/>
          <w:szCs w:val="20"/>
          <w:lang w:val="es-ES_tradnl"/>
        </w:rPr>
        <w:t>Capítulo</w:t>
      </w:r>
      <w:r w:rsidRPr="00E019A9">
        <w:rPr>
          <w:sz w:val="20"/>
          <w:szCs w:val="20"/>
          <w:lang w:val="es-ES_tradnl"/>
        </w:rPr>
        <w:t xml:space="preserve"> IV de los informes anuales de la CIDH correspondientes a los años 1986</w:t>
      </w:r>
      <w:r w:rsidR="00BA6B08" w:rsidRPr="00E019A9">
        <w:rPr>
          <w:sz w:val="20"/>
          <w:szCs w:val="20"/>
          <w:lang w:val="es-ES_tradnl"/>
        </w:rPr>
        <w:t>-1987</w:t>
      </w:r>
      <w:r w:rsidR="00ED5E77" w:rsidRPr="00E019A9">
        <w:rPr>
          <w:rStyle w:val="FootnoteReference"/>
          <w:sz w:val="20"/>
          <w:szCs w:val="20"/>
          <w:lang w:val="es-ES_tradnl"/>
        </w:rPr>
        <w:footnoteReference w:id="31"/>
      </w:r>
      <w:r w:rsidRPr="00E019A9">
        <w:rPr>
          <w:sz w:val="20"/>
          <w:szCs w:val="20"/>
          <w:lang w:val="es-ES_tradnl"/>
        </w:rPr>
        <w:t>, 1987</w:t>
      </w:r>
      <w:r w:rsidR="00843E09" w:rsidRPr="00E019A9">
        <w:rPr>
          <w:sz w:val="20"/>
          <w:szCs w:val="20"/>
          <w:lang w:val="es-ES_tradnl"/>
        </w:rPr>
        <w:t>-1988</w:t>
      </w:r>
      <w:r w:rsidR="00ED5E77" w:rsidRPr="00E019A9">
        <w:rPr>
          <w:rStyle w:val="FootnoteReference"/>
          <w:sz w:val="20"/>
          <w:szCs w:val="20"/>
          <w:lang w:val="es-ES_tradnl"/>
        </w:rPr>
        <w:footnoteReference w:id="32"/>
      </w:r>
      <w:r w:rsidRPr="00E019A9">
        <w:rPr>
          <w:sz w:val="20"/>
          <w:szCs w:val="20"/>
          <w:lang w:val="es-ES_tradnl"/>
        </w:rPr>
        <w:t>, 1988</w:t>
      </w:r>
      <w:r w:rsidR="00843E09" w:rsidRPr="00E019A9">
        <w:rPr>
          <w:sz w:val="20"/>
          <w:szCs w:val="20"/>
          <w:lang w:val="es-ES_tradnl"/>
        </w:rPr>
        <w:t>-1989</w:t>
      </w:r>
      <w:r w:rsidR="00ED5E77" w:rsidRPr="00E019A9">
        <w:rPr>
          <w:rStyle w:val="FootnoteReference"/>
          <w:sz w:val="20"/>
          <w:szCs w:val="20"/>
          <w:lang w:val="es-ES_tradnl"/>
        </w:rPr>
        <w:footnoteReference w:id="33"/>
      </w:r>
      <w:r w:rsidRPr="00E019A9">
        <w:rPr>
          <w:sz w:val="20"/>
          <w:szCs w:val="20"/>
          <w:lang w:val="es-ES_tradnl"/>
        </w:rPr>
        <w:t xml:space="preserve"> y 1989</w:t>
      </w:r>
      <w:r w:rsidR="00843E09" w:rsidRPr="00E019A9">
        <w:rPr>
          <w:sz w:val="20"/>
          <w:szCs w:val="20"/>
          <w:lang w:val="es-ES_tradnl"/>
        </w:rPr>
        <w:t>-1990</w:t>
      </w:r>
      <w:r w:rsidR="00ED5E77" w:rsidRPr="00E019A9">
        <w:rPr>
          <w:rStyle w:val="FootnoteReference"/>
          <w:sz w:val="20"/>
          <w:szCs w:val="20"/>
          <w:lang w:val="es-ES_tradnl"/>
        </w:rPr>
        <w:footnoteReference w:id="34"/>
      </w:r>
      <w:r w:rsidRPr="00E019A9">
        <w:rPr>
          <w:sz w:val="20"/>
          <w:szCs w:val="20"/>
          <w:lang w:val="es-ES_tradnl"/>
        </w:rPr>
        <w:t>.</w:t>
      </w:r>
      <w:r w:rsidR="00535DFA" w:rsidRPr="00E019A9">
        <w:rPr>
          <w:sz w:val="20"/>
          <w:szCs w:val="20"/>
          <w:lang w:val="es-ES_tradnl"/>
        </w:rPr>
        <w:t xml:space="preserve"> </w:t>
      </w:r>
    </w:p>
    <w:p w14:paraId="49BB2D11" w14:textId="77777777" w:rsidR="00975DEE" w:rsidRPr="00E019A9" w:rsidRDefault="00975DEE" w:rsidP="00AC1CA8">
      <w:pPr>
        <w:pStyle w:val="ListParagraph"/>
        <w:tabs>
          <w:tab w:val="left" w:pos="567"/>
        </w:tabs>
        <w:ind w:left="0"/>
        <w:rPr>
          <w:sz w:val="20"/>
          <w:szCs w:val="20"/>
          <w:lang w:val="es-ES_tradnl"/>
        </w:rPr>
      </w:pPr>
    </w:p>
    <w:p w14:paraId="2CBCD379" w14:textId="77777777" w:rsidR="00975DEE" w:rsidRPr="00E019A9" w:rsidRDefault="00535DFA" w:rsidP="00BB60A6">
      <w:pPr>
        <w:pStyle w:val="ListParagraph"/>
        <w:numPr>
          <w:ilvl w:val="0"/>
          <w:numId w:val="57"/>
        </w:numPr>
        <w:tabs>
          <w:tab w:val="left" w:pos="567"/>
        </w:tabs>
        <w:ind w:left="0" w:firstLine="0"/>
        <w:jc w:val="both"/>
        <w:rPr>
          <w:sz w:val="20"/>
          <w:szCs w:val="20"/>
          <w:lang w:val="es-ES"/>
        </w:rPr>
      </w:pPr>
      <w:r w:rsidRPr="00E019A9">
        <w:rPr>
          <w:sz w:val="20"/>
          <w:szCs w:val="20"/>
          <w:lang w:val="es-ES_tradnl"/>
        </w:rPr>
        <w:t>En el informe especial publicado en el año 1985</w:t>
      </w:r>
      <w:r w:rsidR="00843E09" w:rsidRPr="00E019A9">
        <w:rPr>
          <w:sz w:val="20"/>
          <w:szCs w:val="20"/>
          <w:lang w:val="es-ES_tradnl"/>
        </w:rPr>
        <w:t xml:space="preserve"> </w:t>
      </w:r>
      <w:r w:rsidRPr="00E019A9">
        <w:rPr>
          <w:sz w:val="20"/>
          <w:szCs w:val="20"/>
          <w:lang w:val="es-ES_tradnl"/>
        </w:rPr>
        <w:t>la Comisión realiz</w:t>
      </w:r>
      <w:r w:rsidR="00346A66" w:rsidRPr="00E019A9">
        <w:rPr>
          <w:sz w:val="20"/>
          <w:szCs w:val="20"/>
          <w:lang w:val="es-ES_tradnl"/>
        </w:rPr>
        <w:t>ó</w:t>
      </w:r>
      <w:r w:rsidRPr="00E019A9">
        <w:rPr>
          <w:sz w:val="20"/>
          <w:szCs w:val="20"/>
          <w:lang w:val="es-ES_tradnl"/>
        </w:rPr>
        <w:t xml:space="preserve"> un amplio análisis de la situación de los derechos humanos en Chile </w:t>
      </w:r>
      <w:r w:rsidR="00843E09" w:rsidRPr="00E019A9">
        <w:rPr>
          <w:sz w:val="20"/>
          <w:szCs w:val="20"/>
          <w:lang w:val="es-ES_tradnl"/>
        </w:rPr>
        <w:t xml:space="preserve">en función de lo acontecido desde el </w:t>
      </w:r>
      <w:r w:rsidR="00346A66" w:rsidRPr="00E019A9">
        <w:rPr>
          <w:sz w:val="20"/>
          <w:szCs w:val="20"/>
          <w:lang w:val="es-ES_tradnl"/>
        </w:rPr>
        <w:t>11 de septiembre de 1973</w:t>
      </w:r>
      <w:r w:rsidRPr="00E019A9">
        <w:rPr>
          <w:sz w:val="20"/>
          <w:szCs w:val="20"/>
          <w:lang w:val="es-ES_tradnl"/>
        </w:rPr>
        <w:t xml:space="preserve">. </w:t>
      </w:r>
      <w:r w:rsidR="00CA0650" w:rsidRPr="00E019A9">
        <w:rPr>
          <w:sz w:val="20"/>
          <w:szCs w:val="20"/>
          <w:lang w:val="es-ES_tradnl"/>
        </w:rPr>
        <w:t xml:space="preserve">La CIDH sostuvo que </w:t>
      </w:r>
      <w:r w:rsidR="00594890" w:rsidRPr="00E019A9">
        <w:rPr>
          <w:sz w:val="20"/>
          <w:szCs w:val="20"/>
          <w:lang w:val="es-ES_tradnl"/>
        </w:rPr>
        <w:t xml:space="preserve">tanto </w:t>
      </w:r>
      <w:r w:rsidRPr="00E019A9">
        <w:rPr>
          <w:sz w:val="20"/>
          <w:szCs w:val="20"/>
          <w:lang w:val="es-ES_tradnl"/>
        </w:rPr>
        <w:t>el proceso de concentración de poder en la Junta de Gobierno y, en especial</w:t>
      </w:r>
      <w:r w:rsidR="00CA0650" w:rsidRPr="00E019A9">
        <w:rPr>
          <w:sz w:val="20"/>
          <w:szCs w:val="20"/>
          <w:lang w:val="es-ES_tradnl"/>
        </w:rPr>
        <w:t>,</w:t>
      </w:r>
      <w:r w:rsidRPr="00E019A9">
        <w:rPr>
          <w:sz w:val="20"/>
          <w:szCs w:val="20"/>
          <w:lang w:val="es-ES_tradnl"/>
        </w:rPr>
        <w:t xml:space="preserve"> en </w:t>
      </w:r>
      <w:r w:rsidR="00CA0650" w:rsidRPr="00E019A9">
        <w:rPr>
          <w:sz w:val="20"/>
          <w:szCs w:val="20"/>
          <w:lang w:val="es-ES_tradnl"/>
        </w:rPr>
        <w:t>manos</w:t>
      </w:r>
      <w:r w:rsidRPr="00E019A9">
        <w:rPr>
          <w:sz w:val="20"/>
          <w:szCs w:val="20"/>
          <w:lang w:val="es-ES_tradnl"/>
        </w:rPr>
        <w:t xml:space="preserve"> del Presidente de la Rep</w:t>
      </w:r>
      <w:r w:rsidR="00073941" w:rsidRPr="00E019A9">
        <w:rPr>
          <w:sz w:val="20"/>
          <w:szCs w:val="20"/>
          <w:lang w:val="es-ES_tradnl"/>
        </w:rPr>
        <w:t>ú</w:t>
      </w:r>
      <w:r w:rsidRPr="00E019A9">
        <w:rPr>
          <w:sz w:val="20"/>
          <w:szCs w:val="20"/>
          <w:lang w:val="es-ES_tradnl"/>
        </w:rPr>
        <w:t>blica</w:t>
      </w:r>
      <w:r w:rsidR="00594890" w:rsidRPr="00E019A9">
        <w:rPr>
          <w:sz w:val="20"/>
          <w:szCs w:val="20"/>
          <w:lang w:val="es-ES_tradnl"/>
        </w:rPr>
        <w:t xml:space="preserve"> como</w:t>
      </w:r>
      <w:r w:rsidRPr="00E019A9">
        <w:rPr>
          <w:sz w:val="20"/>
          <w:szCs w:val="20"/>
          <w:lang w:val="es-ES_tradnl"/>
        </w:rPr>
        <w:t xml:space="preserve"> las restricciones a los derechos humanos durante la vigencia ininterrumpida del estado de excepción constituciona</w:t>
      </w:r>
      <w:r w:rsidR="00594890" w:rsidRPr="00E019A9">
        <w:rPr>
          <w:sz w:val="20"/>
          <w:szCs w:val="20"/>
          <w:lang w:val="es-ES_tradnl"/>
        </w:rPr>
        <w:t xml:space="preserve">l, </w:t>
      </w:r>
      <w:r w:rsidRPr="00E019A9">
        <w:rPr>
          <w:sz w:val="20"/>
          <w:szCs w:val="20"/>
          <w:lang w:val="es-ES_tradnl"/>
        </w:rPr>
        <w:t>la vulneración del derecho a la justicia y al proceso regular y la falta de sanción a los responsables de las violaciones a los derechos humanos</w:t>
      </w:r>
      <w:r w:rsidR="00CA0650" w:rsidRPr="00E019A9">
        <w:rPr>
          <w:sz w:val="20"/>
          <w:szCs w:val="20"/>
          <w:lang w:val="es-ES_tradnl"/>
        </w:rPr>
        <w:t xml:space="preserve"> constituían factores que </w:t>
      </w:r>
      <w:r w:rsidRPr="00E019A9">
        <w:rPr>
          <w:sz w:val="20"/>
          <w:szCs w:val="20"/>
          <w:lang w:val="es-ES_tradnl"/>
        </w:rPr>
        <w:t>conducían a sostener</w:t>
      </w:r>
      <w:r w:rsidR="00CA0650" w:rsidRPr="00E019A9">
        <w:rPr>
          <w:sz w:val="20"/>
          <w:szCs w:val="20"/>
          <w:lang w:val="es-ES_tradnl"/>
        </w:rPr>
        <w:t xml:space="preserve"> que</w:t>
      </w:r>
      <w:r w:rsidRPr="00E019A9">
        <w:rPr>
          <w:sz w:val="20"/>
          <w:szCs w:val="20"/>
          <w:lang w:val="es-ES_tradnl"/>
        </w:rPr>
        <w:t xml:space="preserve"> el Estado de Derecho no existía en Chile y que </w:t>
      </w:r>
      <w:r w:rsidR="00CA0650" w:rsidRPr="00E019A9">
        <w:rPr>
          <w:sz w:val="20"/>
          <w:szCs w:val="20"/>
          <w:lang w:val="es-ES_tradnl"/>
        </w:rPr>
        <w:t>“ello es lo que ha permitido que ocurrieran, durante todo el lapso de tiempo cubierto por el presente Informe, graves y sistemáticas violaciones</w:t>
      </w:r>
      <w:r w:rsidR="00594890" w:rsidRPr="00E019A9">
        <w:rPr>
          <w:sz w:val="20"/>
          <w:szCs w:val="20"/>
          <w:lang w:val="es-ES_tradnl"/>
        </w:rPr>
        <w:t>” a los derechos humanos</w:t>
      </w:r>
      <w:r w:rsidR="00CA0650" w:rsidRPr="00E019A9">
        <w:rPr>
          <w:rStyle w:val="FootnoteReference"/>
          <w:sz w:val="20"/>
          <w:szCs w:val="20"/>
          <w:lang w:val="es-ES_tradnl"/>
        </w:rPr>
        <w:footnoteReference w:id="35"/>
      </w:r>
      <w:r w:rsidR="00CA0650" w:rsidRPr="00E019A9">
        <w:rPr>
          <w:sz w:val="20"/>
          <w:szCs w:val="20"/>
          <w:lang w:val="es-ES_tradnl"/>
        </w:rPr>
        <w:t xml:space="preserve">. </w:t>
      </w:r>
    </w:p>
    <w:p w14:paraId="63098AD1" w14:textId="77777777" w:rsidR="00975DEE" w:rsidRPr="00E019A9" w:rsidRDefault="00975DEE" w:rsidP="00AC1CA8">
      <w:pPr>
        <w:pStyle w:val="ListParagraph"/>
        <w:tabs>
          <w:tab w:val="left" w:pos="567"/>
        </w:tabs>
        <w:ind w:left="0"/>
        <w:rPr>
          <w:sz w:val="20"/>
          <w:szCs w:val="20"/>
          <w:lang w:val="es-ES_tradnl"/>
        </w:rPr>
      </w:pPr>
    </w:p>
    <w:p w14:paraId="001F672B" w14:textId="77777777" w:rsidR="00F44E9F" w:rsidRPr="00E019A9" w:rsidRDefault="00CA0650" w:rsidP="00BB60A6">
      <w:pPr>
        <w:pStyle w:val="ListParagraph"/>
        <w:numPr>
          <w:ilvl w:val="0"/>
          <w:numId w:val="57"/>
        </w:numPr>
        <w:tabs>
          <w:tab w:val="left" w:pos="567"/>
        </w:tabs>
        <w:ind w:left="0" w:firstLine="0"/>
        <w:jc w:val="both"/>
        <w:rPr>
          <w:sz w:val="20"/>
          <w:szCs w:val="20"/>
          <w:lang w:val="es-ES"/>
        </w:rPr>
      </w:pPr>
      <w:r w:rsidRPr="00E019A9">
        <w:rPr>
          <w:sz w:val="20"/>
          <w:szCs w:val="20"/>
          <w:lang w:val="es-ES_tradnl"/>
        </w:rPr>
        <w:t xml:space="preserve">En lo que tiene que ver de manera </w:t>
      </w:r>
      <w:r w:rsidR="002A4062" w:rsidRPr="00E019A9">
        <w:rPr>
          <w:sz w:val="20"/>
          <w:szCs w:val="20"/>
          <w:lang w:val="es-ES_tradnl"/>
        </w:rPr>
        <w:t>específica</w:t>
      </w:r>
      <w:r w:rsidRPr="00E019A9">
        <w:rPr>
          <w:sz w:val="20"/>
          <w:szCs w:val="20"/>
          <w:lang w:val="es-ES_tradnl"/>
        </w:rPr>
        <w:t xml:space="preserve"> con el derecho a la vida, la Comisión </w:t>
      </w:r>
      <w:r w:rsidR="00073941" w:rsidRPr="00E019A9">
        <w:rPr>
          <w:sz w:val="20"/>
          <w:szCs w:val="20"/>
          <w:lang w:val="es-ES_tradnl"/>
        </w:rPr>
        <w:t xml:space="preserve">estableció </w:t>
      </w:r>
      <w:r w:rsidRPr="00E019A9">
        <w:rPr>
          <w:sz w:val="20"/>
          <w:szCs w:val="20"/>
          <w:lang w:val="es-ES_tradnl"/>
        </w:rPr>
        <w:t xml:space="preserve">que las violaciones a ese derecho se </w:t>
      </w:r>
      <w:r w:rsidR="00594890" w:rsidRPr="00E019A9">
        <w:rPr>
          <w:sz w:val="20"/>
          <w:szCs w:val="20"/>
          <w:lang w:val="es-ES_tradnl"/>
        </w:rPr>
        <w:t>caracterizaron por tener</w:t>
      </w:r>
      <w:r w:rsidRPr="00E019A9">
        <w:rPr>
          <w:sz w:val="20"/>
          <w:szCs w:val="20"/>
          <w:lang w:val="es-ES_tradnl"/>
        </w:rPr>
        <w:t xml:space="preserve"> una clara intencionalidad política y que las autoridades de gobierno emplearon “prácticamente la totalidad de métodos conocidos para la eliminación física de los disidentes entre otros: desapariciones, ejecuciones sumarias de individuos y de grupos, ejecuciones decretadas </w:t>
      </w:r>
      <w:r w:rsidRPr="00E019A9">
        <w:rPr>
          <w:sz w:val="20"/>
          <w:szCs w:val="20"/>
          <w:lang w:val="es-ES_tradnl"/>
        </w:rPr>
        <w:lastRenderedPageBreak/>
        <w:t>en procesos sin garantías judiciales y torturas”</w:t>
      </w:r>
      <w:r w:rsidR="00ED5E77" w:rsidRPr="00E019A9">
        <w:rPr>
          <w:rStyle w:val="FootnoteReference"/>
          <w:sz w:val="20"/>
          <w:szCs w:val="20"/>
          <w:lang w:val="es-ES_tradnl"/>
        </w:rPr>
        <w:footnoteReference w:id="36"/>
      </w:r>
      <w:r w:rsidRPr="00E019A9">
        <w:rPr>
          <w:sz w:val="20"/>
          <w:szCs w:val="20"/>
          <w:lang w:val="es-ES_tradnl"/>
        </w:rPr>
        <w:t>. Finalmente, en lo que respecta al derecho a la integridad personal, el informe asegura que “la s</w:t>
      </w:r>
      <w:r w:rsidR="00073941" w:rsidRPr="00E019A9">
        <w:rPr>
          <w:sz w:val="20"/>
          <w:szCs w:val="20"/>
          <w:lang w:val="es-ES_tradnl"/>
        </w:rPr>
        <w:t>ó</w:t>
      </w:r>
      <w:r w:rsidRPr="00E019A9">
        <w:rPr>
          <w:sz w:val="20"/>
          <w:szCs w:val="20"/>
          <w:lang w:val="es-ES_tradnl"/>
        </w:rPr>
        <w:t xml:space="preserve">lida evidencia recogida por la CIDH </w:t>
      </w:r>
      <w:r w:rsidRPr="00E019A9">
        <w:rPr>
          <w:sz w:val="20"/>
          <w:szCs w:val="20"/>
          <w:lang w:val="es-ES_tradnl"/>
        </w:rPr>
        <w:sym w:font="Symbol" w:char="F05B"/>
      </w:r>
      <w:r w:rsidRPr="00E019A9">
        <w:rPr>
          <w:sz w:val="20"/>
          <w:szCs w:val="20"/>
          <w:lang w:val="es-ES_tradnl"/>
        </w:rPr>
        <w:t>…</w:t>
      </w:r>
      <w:r w:rsidRPr="00E019A9">
        <w:rPr>
          <w:sz w:val="20"/>
          <w:szCs w:val="20"/>
          <w:lang w:val="es-ES_tradnl"/>
        </w:rPr>
        <w:sym w:font="Symbol" w:char="F05D"/>
      </w:r>
      <w:r w:rsidRPr="00E019A9">
        <w:rPr>
          <w:sz w:val="20"/>
          <w:szCs w:val="20"/>
          <w:lang w:val="es-ES_tradnl"/>
        </w:rPr>
        <w:t xml:space="preserve"> le permite afirmar que la tortura ha sido una </w:t>
      </w:r>
      <w:r w:rsidR="002A4062" w:rsidRPr="00E019A9">
        <w:rPr>
          <w:sz w:val="20"/>
          <w:szCs w:val="20"/>
          <w:lang w:val="es-ES_tradnl"/>
        </w:rPr>
        <w:t>práctica</w:t>
      </w:r>
      <w:r w:rsidRPr="00E019A9">
        <w:rPr>
          <w:sz w:val="20"/>
          <w:szCs w:val="20"/>
          <w:lang w:val="es-ES_tradnl"/>
        </w:rPr>
        <w:t xml:space="preserve"> continua, deliberada y sistemática durante todo el periodo que se inicia en 1973”</w:t>
      </w:r>
      <w:r w:rsidR="00ED5E77" w:rsidRPr="00E019A9">
        <w:rPr>
          <w:rStyle w:val="FootnoteReference"/>
          <w:sz w:val="20"/>
          <w:szCs w:val="20"/>
          <w:lang w:val="es-ES_tradnl"/>
        </w:rPr>
        <w:footnoteReference w:id="37"/>
      </w:r>
      <w:r w:rsidRPr="00E019A9">
        <w:rPr>
          <w:sz w:val="20"/>
          <w:szCs w:val="20"/>
          <w:lang w:val="es-ES_tradnl"/>
        </w:rPr>
        <w:t xml:space="preserve">. </w:t>
      </w:r>
    </w:p>
    <w:p w14:paraId="4FC59E08" w14:textId="77777777" w:rsidR="00E102DC" w:rsidRPr="00E019A9" w:rsidRDefault="00E102DC" w:rsidP="00AC1CA8">
      <w:pPr>
        <w:pStyle w:val="ListParagraph"/>
        <w:tabs>
          <w:tab w:val="left" w:pos="567"/>
        </w:tabs>
        <w:rPr>
          <w:sz w:val="20"/>
          <w:szCs w:val="20"/>
          <w:lang w:val="es-ES"/>
        </w:rPr>
      </w:pPr>
    </w:p>
    <w:p w14:paraId="6B4C88B3" w14:textId="77777777" w:rsidR="008B578A" w:rsidRPr="00E019A9" w:rsidRDefault="00E102DC" w:rsidP="00BB60A6">
      <w:pPr>
        <w:pStyle w:val="ListParagraph"/>
        <w:numPr>
          <w:ilvl w:val="0"/>
          <w:numId w:val="57"/>
        </w:numPr>
        <w:tabs>
          <w:tab w:val="left" w:pos="567"/>
        </w:tabs>
        <w:ind w:left="0" w:firstLine="0"/>
        <w:jc w:val="both"/>
        <w:rPr>
          <w:sz w:val="20"/>
          <w:szCs w:val="20"/>
          <w:lang w:val="es-ES"/>
        </w:rPr>
      </w:pPr>
      <w:r w:rsidRPr="00E019A9">
        <w:rPr>
          <w:sz w:val="20"/>
          <w:szCs w:val="20"/>
          <w:lang w:val="es-ES"/>
        </w:rPr>
        <w:t xml:space="preserve">De igual manera, la </w:t>
      </w:r>
      <w:r w:rsidR="00073941" w:rsidRPr="00E019A9">
        <w:rPr>
          <w:sz w:val="20"/>
          <w:szCs w:val="20"/>
          <w:lang w:val="es-ES"/>
        </w:rPr>
        <w:t>Corte Interamericana</w:t>
      </w:r>
      <w:r w:rsidRPr="00E019A9">
        <w:rPr>
          <w:sz w:val="20"/>
          <w:szCs w:val="20"/>
          <w:lang w:val="es-ES"/>
        </w:rPr>
        <w:t xml:space="preserve">, en ocasión de decidir dos casos contenciosos relativos a Chile, tuvo por acreditado que la represión generalizada iniciada por </w:t>
      </w:r>
      <w:r w:rsidR="00BF4660" w:rsidRPr="00E019A9">
        <w:rPr>
          <w:sz w:val="20"/>
          <w:szCs w:val="20"/>
          <w:lang w:val="es-ES"/>
        </w:rPr>
        <w:t xml:space="preserve">los agentes de </w:t>
      </w:r>
      <w:r w:rsidRPr="00E019A9">
        <w:rPr>
          <w:sz w:val="20"/>
          <w:szCs w:val="20"/>
          <w:lang w:val="es-ES"/>
        </w:rPr>
        <w:t>la dictadura militar a parti</w:t>
      </w:r>
      <w:r w:rsidR="00076984" w:rsidRPr="00E019A9">
        <w:rPr>
          <w:sz w:val="20"/>
          <w:szCs w:val="20"/>
          <w:lang w:val="es-ES"/>
        </w:rPr>
        <w:t xml:space="preserve">r del 11 de septiembre de 1973 </w:t>
      </w:r>
      <w:r w:rsidRPr="00E019A9">
        <w:rPr>
          <w:sz w:val="20"/>
          <w:szCs w:val="20"/>
          <w:lang w:val="es-ES"/>
        </w:rPr>
        <w:t xml:space="preserve">“estuvo caracterizada por una </w:t>
      </w:r>
      <w:r w:rsidR="002A4062" w:rsidRPr="00E019A9">
        <w:rPr>
          <w:sz w:val="20"/>
          <w:szCs w:val="20"/>
          <w:lang w:val="es-ES"/>
        </w:rPr>
        <w:t>práctica</w:t>
      </w:r>
      <w:r w:rsidRPr="00E019A9">
        <w:rPr>
          <w:sz w:val="20"/>
          <w:szCs w:val="20"/>
          <w:lang w:val="es-ES"/>
        </w:rPr>
        <w:t xml:space="preserve"> masiva y </w:t>
      </w:r>
      <w:r w:rsidR="003C7367" w:rsidRPr="00E019A9">
        <w:rPr>
          <w:sz w:val="20"/>
          <w:szCs w:val="20"/>
          <w:lang w:val="es-ES"/>
        </w:rPr>
        <w:t>sistemática</w:t>
      </w:r>
      <w:r w:rsidRPr="00E019A9">
        <w:rPr>
          <w:sz w:val="20"/>
          <w:szCs w:val="20"/>
          <w:lang w:val="es-ES"/>
        </w:rPr>
        <w:t xml:space="preserve"> de fusilamientos y ejecuciones sumarias, torturas (incluso la violación sexual, principalmente de mujeres), privaciones arbitrarias de la libertad en recintos al margen del escrutinio de la ley, desapariciones forzadas y demás violaciones a los derechos humanos</w:t>
      </w:r>
      <w:r w:rsidR="00BF4660" w:rsidRPr="00E019A9">
        <w:rPr>
          <w:sz w:val="20"/>
          <w:szCs w:val="20"/>
          <w:lang w:val="es-ES"/>
        </w:rPr>
        <w:t>”</w:t>
      </w:r>
      <w:r w:rsidR="00BF4660" w:rsidRPr="00E019A9">
        <w:rPr>
          <w:rStyle w:val="FootnoteReference"/>
          <w:sz w:val="20"/>
          <w:szCs w:val="20"/>
          <w:lang w:val="es-ES"/>
        </w:rPr>
        <w:footnoteReference w:id="38"/>
      </w:r>
    </w:p>
    <w:p w14:paraId="7225238D" w14:textId="77777777" w:rsidR="008B578A" w:rsidRPr="00E019A9" w:rsidRDefault="008B578A" w:rsidP="00AC1CA8">
      <w:pPr>
        <w:pStyle w:val="ListParagraph"/>
        <w:tabs>
          <w:tab w:val="left" w:pos="567"/>
        </w:tabs>
        <w:rPr>
          <w:sz w:val="20"/>
          <w:szCs w:val="20"/>
          <w:lang w:val="es-ES_tradnl"/>
        </w:rPr>
      </w:pPr>
    </w:p>
    <w:p w14:paraId="15D1C10D" w14:textId="77777777" w:rsidR="00F44E9F" w:rsidRPr="00E019A9" w:rsidRDefault="008C5F03" w:rsidP="00BB60A6">
      <w:pPr>
        <w:pStyle w:val="ListParagraph"/>
        <w:numPr>
          <w:ilvl w:val="0"/>
          <w:numId w:val="57"/>
        </w:numPr>
        <w:tabs>
          <w:tab w:val="left" w:pos="567"/>
        </w:tabs>
        <w:ind w:left="0" w:firstLine="0"/>
        <w:jc w:val="both"/>
        <w:rPr>
          <w:sz w:val="20"/>
          <w:szCs w:val="20"/>
          <w:lang w:val="es-ES"/>
        </w:rPr>
      </w:pPr>
      <w:r w:rsidRPr="00E019A9">
        <w:rPr>
          <w:sz w:val="20"/>
          <w:szCs w:val="20"/>
          <w:lang w:val="es-ES_tradnl"/>
        </w:rPr>
        <w:t>En el ámbito de la</w:t>
      </w:r>
      <w:r w:rsidR="007200B5" w:rsidRPr="00E019A9">
        <w:rPr>
          <w:sz w:val="20"/>
          <w:szCs w:val="20"/>
          <w:lang w:val="es-ES_tradnl"/>
        </w:rPr>
        <w:t xml:space="preserve"> Organización de las </w:t>
      </w:r>
      <w:r w:rsidRPr="00E019A9">
        <w:rPr>
          <w:sz w:val="20"/>
          <w:szCs w:val="20"/>
          <w:lang w:val="es-ES_tradnl"/>
        </w:rPr>
        <w:t>Naciones Unidas</w:t>
      </w:r>
      <w:r w:rsidR="007200B5" w:rsidRPr="00E019A9">
        <w:rPr>
          <w:sz w:val="20"/>
          <w:szCs w:val="20"/>
          <w:lang w:val="es-ES_tradnl"/>
        </w:rPr>
        <w:t>,</w:t>
      </w:r>
      <w:r w:rsidR="00346A66" w:rsidRPr="00E019A9">
        <w:rPr>
          <w:sz w:val="20"/>
          <w:szCs w:val="20"/>
          <w:lang w:val="es-ES_tradnl"/>
        </w:rPr>
        <w:t xml:space="preserve"> durante los años setenta y ochenta </w:t>
      </w:r>
      <w:r w:rsidRPr="00E019A9">
        <w:rPr>
          <w:sz w:val="20"/>
          <w:szCs w:val="20"/>
          <w:lang w:val="es-ES_tradnl"/>
        </w:rPr>
        <w:t>su</w:t>
      </w:r>
      <w:r w:rsidR="00F44E9F" w:rsidRPr="00E019A9">
        <w:rPr>
          <w:sz w:val="20"/>
          <w:szCs w:val="20"/>
          <w:lang w:val="es-ES_tradnl"/>
        </w:rPr>
        <w:t xml:space="preserve"> Asamblea General aprobó una serie de resoluciones </w:t>
      </w:r>
      <w:r w:rsidR="00CD757C" w:rsidRPr="00E019A9">
        <w:rPr>
          <w:sz w:val="20"/>
          <w:szCs w:val="20"/>
          <w:lang w:val="es-ES_tradnl"/>
        </w:rPr>
        <w:t xml:space="preserve">sobre la protección de los derechos humanos en Chile </w:t>
      </w:r>
      <w:r w:rsidR="00F44E9F" w:rsidRPr="00E019A9">
        <w:rPr>
          <w:sz w:val="20"/>
          <w:szCs w:val="20"/>
          <w:lang w:val="es-ES_tradnl"/>
        </w:rPr>
        <w:t xml:space="preserve">en las que </w:t>
      </w:r>
      <w:r w:rsidR="00CD757C" w:rsidRPr="00E019A9">
        <w:rPr>
          <w:sz w:val="20"/>
          <w:szCs w:val="20"/>
          <w:lang w:val="es-ES_tradnl"/>
        </w:rPr>
        <w:t xml:space="preserve">manifestó su “profunda preocupación por el hecho </w:t>
      </w:r>
      <w:r w:rsidRPr="00E019A9">
        <w:rPr>
          <w:sz w:val="20"/>
          <w:szCs w:val="20"/>
          <w:lang w:val="es-ES_tradnl"/>
        </w:rPr>
        <w:t>de que se siga recibiendo información sobre constantes y abiertas violaciones de los derechos humanos básicos  y las libertades fundamentales” en el país e instó a las autoridades a que “tomen todas las medidas necesarias para reestablecer y salvaguardar los derechos humanos básicos y las libertades fundamentales, en especial en los casos en que entrañen una amenaza a la vida y a la libertad humanas…”</w:t>
      </w:r>
      <w:r w:rsidRPr="00E019A9">
        <w:rPr>
          <w:rStyle w:val="FootnoteReference"/>
          <w:sz w:val="20"/>
          <w:szCs w:val="20"/>
          <w:lang w:val="es-ES_tradnl"/>
        </w:rPr>
        <w:footnoteReference w:id="39"/>
      </w:r>
      <w:r w:rsidR="00CC655D" w:rsidRPr="00E019A9">
        <w:rPr>
          <w:sz w:val="20"/>
          <w:szCs w:val="20"/>
          <w:lang w:val="es-ES_tradnl"/>
        </w:rPr>
        <w:t xml:space="preserve">. </w:t>
      </w:r>
    </w:p>
    <w:p w14:paraId="2AE7C7B2" w14:textId="77777777" w:rsidR="00CC655D" w:rsidRPr="00E019A9" w:rsidRDefault="00CC655D" w:rsidP="00CC655D">
      <w:pPr>
        <w:pStyle w:val="ListParagraph"/>
        <w:rPr>
          <w:sz w:val="20"/>
          <w:szCs w:val="20"/>
          <w:lang w:val="es-ES"/>
        </w:rPr>
      </w:pPr>
    </w:p>
    <w:p w14:paraId="18E4C571" w14:textId="77777777" w:rsidR="00F21B62" w:rsidRPr="00E019A9" w:rsidRDefault="00CC655D" w:rsidP="00BB60A6">
      <w:pPr>
        <w:pStyle w:val="ListParagraph"/>
        <w:numPr>
          <w:ilvl w:val="0"/>
          <w:numId w:val="57"/>
        </w:numPr>
        <w:tabs>
          <w:tab w:val="left" w:pos="567"/>
        </w:tabs>
        <w:ind w:left="0" w:firstLine="0"/>
        <w:jc w:val="both"/>
        <w:rPr>
          <w:sz w:val="20"/>
          <w:szCs w:val="20"/>
          <w:lang w:val="es-ES"/>
        </w:rPr>
      </w:pPr>
      <w:r w:rsidRPr="00E019A9">
        <w:rPr>
          <w:sz w:val="20"/>
          <w:szCs w:val="20"/>
          <w:lang w:val="es-ES"/>
        </w:rPr>
        <w:t xml:space="preserve">El carácter sistemático de las gravísimas violaciones a los derechos humanos acontecidas durante la vigencia de la dictadura militar en Chile fue </w:t>
      </w:r>
      <w:r w:rsidR="009D2686" w:rsidRPr="00E019A9">
        <w:rPr>
          <w:sz w:val="20"/>
          <w:szCs w:val="20"/>
          <w:lang w:val="es-ES"/>
        </w:rPr>
        <w:t>también</w:t>
      </w:r>
      <w:r w:rsidRPr="00E019A9">
        <w:rPr>
          <w:sz w:val="20"/>
          <w:szCs w:val="20"/>
          <w:lang w:val="es-ES"/>
        </w:rPr>
        <w:t xml:space="preserve"> profusamente documentad</w:t>
      </w:r>
      <w:r w:rsidR="009D2686" w:rsidRPr="00E019A9">
        <w:rPr>
          <w:sz w:val="20"/>
          <w:szCs w:val="20"/>
          <w:lang w:val="es-ES"/>
        </w:rPr>
        <w:t>o</w:t>
      </w:r>
      <w:r w:rsidRPr="00E019A9">
        <w:rPr>
          <w:sz w:val="20"/>
          <w:szCs w:val="20"/>
          <w:lang w:val="es-ES"/>
        </w:rPr>
        <w:t xml:space="preserve"> por las diversas comisiones de la verdad que se establecieron una vez restaurada la democracia y el estado de derecho en el país. </w:t>
      </w:r>
      <w:r w:rsidR="00F21B62" w:rsidRPr="00E019A9">
        <w:rPr>
          <w:sz w:val="20"/>
          <w:szCs w:val="20"/>
          <w:lang w:val="es-ES"/>
        </w:rPr>
        <w:t>Por ejemplo</w:t>
      </w:r>
      <w:r w:rsidR="009D2686" w:rsidRPr="00E019A9">
        <w:rPr>
          <w:sz w:val="20"/>
          <w:szCs w:val="20"/>
          <w:lang w:val="es-ES"/>
        </w:rPr>
        <w:t xml:space="preserve">, la </w:t>
      </w:r>
      <w:r w:rsidR="005D4D96" w:rsidRPr="00E019A9">
        <w:rPr>
          <w:sz w:val="20"/>
          <w:szCs w:val="20"/>
          <w:lang w:val="es-ES"/>
        </w:rPr>
        <w:t>Comisión</w:t>
      </w:r>
      <w:r w:rsidR="009D2686" w:rsidRPr="00E019A9">
        <w:rPr>
          <w:sz w:val="20"/>
          <w:szCs w:val="20"/>
          <w:lang w:val="es-ES"/>
        </w:rPr>
        <w:t xml:space="preserve"> de Verdad y </w:t>
      </w:r>
      <w:r w:rsidR="005D4D96" w:rsidRPr="00E019A9">
        <w:rPr>
          <w:sz w:val="20"/>
          <w:szCs w:val="20"/>
          <w:lang w:val="es-ES"/>
        </w:rPr>
        <w:t>Reconciliación</w:t>
      </w:r>
      <w:r w:rsidR="009D2686" w:rsidRPr="00E019A9">
        <w:rPr>
          <w:sz w:val="20"/>
          <w:szCs w:val="20"/>
          <w:lang w:val="es-ES"/>
        </w:rPr>
        <w:t xml:space="preserve"> </w:t>
      </w:r>
      <w:r w:rsidR="005D4D96" w:rsidRPr="00E019A9">
        <w:rPr>
          <w:sz w:val="20"/>
          <w:szCs w:val="20"/>
          <w:lang w:val="es-ES"/>
        </w:rPr>
        <w:t xml:space="preserve">en su informe </w:t>
      </w:r>
      <w:r w:rsidR="009D2686" w:rsidRPr="00E019A9">
        <w:rPr>
          <w:sz w:val="20"/>
          <w:szCs w:val="20"/>
          <w:lang w:val="es-ES"/>
        </w:rPr>
        <w:t>publicado en febrero de 1991</w:t>
      </w:r>
      <w:r w:rsidR="005D4D96" w:rsidRPr="00E019A9">
        <w:rPr>
          <w:sz w:val="20"/>
          <w:szCs w:val="20"/>
          <w:lang w:val="es-ES"/>
        </w:rPr>
        <w:t xml:space="preserve"> (en adelante “</w:t>
      </w:r>
      <w:r w:rsidR="00164BAB" w:rsidRPr="00E019A9">
        <w:rPr>
          <w:sz w:val="20"/>
          <w:szCs w:val="20"/>
          <w:lang w:val="es-ES"/>
        </w:rPr>
        <w:t>I</w:t>
      </w:r>
      <w:r w:rsidR="005D4D96" w:rsidRPr="00E019A9">
        <w:rPr>
          <w:sz w:val="20"/>
          <w:szCs w:val="20"/>
          <w:lang w:val="es-ES"/>
        </w:rPr>
        <w:t>nforme Rettig”) identificó a 2279 personas que</w:t>
      </w:r>
      <w:r w:rsidR="00F21B62" w:rsidRPr="00E019A9">
        <w:rPr>
          <w:sz w:val="20"/>
          <w:szCs w:val="20"/>
          <w:lang w:val="es-ES"/>
        </w:rPr>
        <w:t>, según las averiguaciones realizadas en ese entonces,</w:t>
      </w:r>
      <w:r w:rsidR="005D4D96" w:rsidRPr="00E019A9">
        <w:rPr>
          <w:sz w:val="20"/>
          <w:szCs w:val="20"/>
          <w:lang w:val="es-ES"/>
        </w:rPr>
        <w:t xml:space="preserve"> “murieron o desaparecieron </w:t>
      </w:r>
      <w:r w:rsidR="002A4062" w:rsidRPr="00E019A9">
        <w:rPr>
          <w:sz w:val="20"/>
          <w:szCs w:val="20"/>
          <w:lang w:val="es-ES"/>
        </w:rPr>
        <w:t>víctimas</w:t>
      </w:r>
      <w:r w:rsidR="005D4D96" w:rsidRPr="00E019A9">
        <w:rPr>
          <w:sz w:val="20"/>
          <w:szCs w:val="20"/>
          <w:lang w:val="es-ES"/>
        </w:rPr>
        <w:t xml:space="preserve"> de violación a sus derechos humanos o que fallecieron como consecuencia de la violencia política existente entre el 11 de septiembre de 1973 y el 11 de marzo de 1990”</w:t>
      </w:r>
      <w:r w:rsidR="005D4D96" w:rsidRPr="00E019A9">
        <w:rPr>
          <w:rStyle w:val="FootnoteReference"/>
          <w:sz w:val="20"/>
          <w:szCs w:val="20"/>
          <w:lang w:val="es-ES"/>
        </w:rPr>
        <w:footnoteReference w:id="40"/>
      </w:r>
      <w:r w:rsidR="005D4D96" w:rsidRPr="00E019A9">
        <w:rPr>
          <w:sz w:val="20"/>
          <w:szCs w:val="20"/>
          <w:lang w:val="es-ES"/>
        </w:rPr>
        <w:t xml:space="preserve">. </w:t>
      </w:r>
    </w:p>
    <w:p w14:paraId="1B77485C" w14:textId="77777777" w:rsidR="00F21B62" w:rsidRPr="00E019A9" w:rsidRDefault="00F21B62" w:rsidP="00AC1CA8">
      <w:pPr>
        <w:pStyle w:val="ListParagraph"/>
        <w:tabs>
          <w:tab w:val="left" w:pos="567"/>
        </w:tabs>
        <w:rPr>
          <w:sz w:val="20"/>
          <w:szCs w:val="20"/>
          <w:lang w:val="es-ES"/>
        </w:rPr>
      </w:pPr>
    </w:p>
    <w:p w14:paraId="4A1FAFC3" w14:textId="77777777" w:rsidR="00164BAB" w:rsidRPr="00E019A9" w:rsidRDefault="00F21B62" w:rsidP="00BB60A6">
      <w:pPr>
        <w:pStyle w:val="ListParagraph"/>
        <w:numPr>
          <w:ilvl w:val="0"/>
          <w:numId w:val="57"/>
        </w:numPr>
        <w:tabs>
          <w:tab w:val="left" w:pos="567"/>
        </w:tabs>
        <w:ind w:left="0" w:firstLine="0"/>
        <w:jc w:val="both"/>
        <w:rPr>
          <w:sz w:val="20"/>
          <w:szCs w:val="20"/>
          <w:lang w:val="es-ES"/>
        </w:rPr>
      </w:pPr>
      <w:r w:rsidRPr="00E019A9">
        <w:rPr>
          <w:sz w:val="20"/>
          <w:szCs w:val="20"/>
          <w:lang w:val="es-ES"/>
        </w:rPr>
        <w:t>Refiriéndose de manera particular a lo acontecido durante los años 1974 a 1977 - lapso de tiempo en el que se concentran la mayoría de los hechos que afectaron a los peticionarios incluidos en este pronunciamiento sobre el fondo - el Informe Rettig manifestó que “los casos de detenidos-desaparecidos del periodo 1974-1977 responden a un patrón de planificación previa y coordinación central que revelan, en su conjunto, una voluntad de exterminio de determinadas categorías de personas: aquellas a quienes se atribuía un alto grado de peligrosidad política”</w:t>
      </w:r>
      <w:r w:rsidR="00164BAB" w:rsidRPr="00E019A9">
        <w:rPr>
          <w:rStyle w:val="FootnoteReference"/>
          <w:sz w:val="20"/>
          <w:szCs w:val="20"/>
          <w:lang w:val="es-ES"/>
        </w:rPr>
        <w:footnoteReference w:id="41"/>
      </w:r>
      <w:r w:rsidRPr="00E019A9">
        <w:rPr>
          <w:sz w:val="20"/>
          <w:szCs w:val="20"/>
          <w:lang w:val="es-ES"/>
        </w:rPr>
        <w:t xml:space="preserve">. El Informe Rettig atribuyó a los organismos de inteligencia del Estado chileno, en particular a la </w:t>
      </w:r>
      <w:r w:rsidR="00164BAB" w:rsidRPr="00E019A9">
        <w:rPr>
          <w:sz w:val="20"/>
          <w:szCs w:val="20"/>
          <w:lang w:val="es-ES"/>
        </w:rPr>
        <w:t>Dirección</w:t>
      </w:r>
      <w:r w:rsidRPr="00E019A9">
        <w:rPr>
          <w:sz w:val="20"/>
          <w:szCs w:val="20"/>
          <w:lang w:val="es-ES"/>
        </w:rPr>
        <w:t xml:space="preserve"> </w:t>
      </w:r>
      <w:r w:rsidR="00164BAB" w:rsidRPr="00E019A9">
        <w:rPr>
          <w:sz w:val="20"/>
          <w:szCs w:val="20"/>
          <w:lang w:val="es-ES"/>
        </w:rPr>
        <w:t>de Inteligencia Nacional (DINA), a su organismo sucesor la Central Nacional de Inteligencia (CNI), al denominado “Comando Conjunto” integrado mayoritariamente por funcionarios de inteligencia de la Fuerza Aérea y a los servicios de inteligencia de las tres fuerzas armadas y de Carabineros un rol fundamental en la detención arbitraria de personas percibidas como opositores políticos del régimen, en la imposición de torturas a los detenidos y la posterior desaparición forzada de muchos de ellos</w:t>
      </w:r>
      <w:r w:rsidR="00164BAB" w:rsidRPr="00E019A9">
        <w:rPr>
          <w:rStyle w:val="FootnoteReference"/>
          <w:sz w:val="20"/>
          <w:szCs w:val="20"/>
          <w:lang w:val="es-ES"/>
        </w:rPr>
        <w:footnoteReference w:id="42"/>
      </w:r>
      <w:r w:rsidR="00164BAB" w:rsidRPr="00E019A9">
        <w:rPr>
          <w:sz w:val="20"/>
          <w:szCs w:val="20"/>
          <w:lang w:val="es-ES"/>
        </w:rPr>
        <w:t xml:space="preserve">.  </w:t>
      </w:r>
    </w:p>
    <w:p w14:paraId="3CA6AA7A" w14:textId="77777777" w:rsidR="00164BAB" w:rsidRPr="00E019A9" w:rsidRDefault="00164BAB" w:rsidP="00AC1CA8">
      <w:pPr>
        <w:pStyle w:val="ListParagraph"/>
        <w:tabs>
          <w:tab w:val="left" w:pos="567"/>
        </w:tabs>
        <w:ind w:left="0"/>
        <w:jc w:val="both"/>
        <w:rPr>
          <w:sz w:val="20"/>
          <w:szCs w:val="20"/>
          <w:lang w:val="es-ES"/>
        </w:rPr>
      </w:pPr>
    </w:p>
    <w:p w14:paraId="60E6CD9B" w14:textId="77777777" w:rsidR="00BE26E6" w:rsidRPr="00E019A9" w:rsidRDefault="00164BAB" w:rsidP="00BB60A6">
      <w:pPr>
        <w:pStyle w:val="ListParagraph"/>
        <w:numPr>
          <w:ilvl w:val="0"/>
          <w:numId w:val="57"/>
        </w:numPr>
        <w:tabs>
          <w:tab w:val="left" w:pos="567"/>
        </w:tabs>
        <w:ind w:left="0" w:firstLine="0"/>
        <w:jc w:val="both"/>
        <w:rPr>
          <w:sz w:val="20"/>
          <w:szCs w:val="20"/>
          <w:lang w:val="es-ES"/>
        </w:rPr>
      </w:pPr>
      <w:r w:rsidRPr="00E019A9">
        <w:rPr>
          <w:sz w:val="20"/>
          <w:szCs w:val="20"/>
          <w:lang w:val="es-ES_tradnl"/>
        </w:rPr>
        <w:lastRenderedPageBreak/>
        <w:t xml:space="preserve">Por otro lado, la CIDH </w:t>
      </w:r>
      <w:r w:rsidR="005A35F0" w:rsidRPr="00E019A9">
        <w:rPr>
          <w:sz w:val="20"/>
          <w:szCs w:val="20"/>
          <w:lang w:val="es-ES_tradnl"/>
        </w:rPr>
        <w:t>resalta</w:t>
      </w:r>
      <w:r w:rsidRPr="00E019A9">
        <w:rPr>
          <w:sz w:val="20"/>
          <w:szCs w:val="20"/>
          <w:lang w:val="es-ES_tradnl"/>
        </w:rPr>
        <w:t xml:space="preserve"> que</w:t>
      </w:r>
      <w:r w:rsidR="0011147C" w:rsidRPr="00E019A9">
        <w:rPr>
          <w:sz w:val="20"/>
          <w:szCs w:val="20"/>
          <w:lang w:val="es-ES_tradnl"/>
        </w:rPr>
        <w:t>,</w:t>
      </w:r>
      <w:r w:rsidRPr="00E019A9">
        <w:rPr>
          <w:sz w:val="20"/>
          <w:szCs w:val="20"/>
          <w:lang w:val="es-ES_tradnl"/>
        </w:rPr>
        <w:t xml:space="preserve"> en lo que respecta </w:t>
      </w:r>
      <w:r w:rsidR="00BE26E6" w:rsidRPr="00E019A9">
        <w:rPr>
          <w:sz w:val="20"/>
          <w:szCs w:val="20"/>
          <w:lang w:val="es-ES_tradnl"/>
        </w:rPr>
        <w:t xml:space="preserve">a la </w:t>
      </w:r>
      <w:r w:rsidR="007C0964" w:rsidRPr="00E019A9">
        <w:rPr>
          <w:sz w:val="20"/>
          <w:szCs w:val="20"/>
          <w:lang w:val="es-ES_tradnl"/>
        </w:rPr>
        <w:t>actuación</w:t>
      </w:r>
      <w:r w:rsidR="00BE26E6" w:rsidRPr="00E019A9">
        <w:rPr>
          <w:sz w:val="20"/>
          <w:szCs w:val="20"/>
          <w:lang w:val="es-ES_tradnl"/>
        </w:rPr>
        <w:t xml:space="preserve"> de los tribunales de justicia durante el régimen militar, el “Informe Rettig” consignó que el Poder Judicial “no reaccion</w:t>
      </w:r>
      <w:r w:rsidR="0011147C" w:rsidRPr="00E019A9">
        <w:rPr>
          <w:sz w:val="20"/>
          <w:szCs w:val="20"/>
          <w:lang w:val="es-ES_tradnl"/>
        </w:rPr>
        <w:t>ó</w:t>
      </w:r>
      <w:r w:rsidR="00BE26E6" w:rsidRPr="00E019A9">
        <w:rPr>
          <w:sz w:val="20"/>
          <w:szCs w:val="20"/>
          <w:lang w:val="es-ES_tradnl"/>
        </w:rPr>
        <w:t xml:space="preserve"> con la suficiente energía frente a las violaciones de derechos humanos” y </w:t>
      </w:r>
      <w:r w:rsidR="00D11E7B" w:rsidRPr="00E019A9">
        <w:rPr>
          <w:sz w:val="20"/>
          <w:szCs w:val="20"/>
          <w:lang w:val="es-ES_tradnl"/>
        </w:rPr>
        <w:t>tampoco</w:t>
      </w:r>
      <w:r w:rsidR="00BE26E6" w:rsidRPr="00E019A9">
        <w:rPr>
          <w:sz w:val="20"/>
          <w:szCs w:val="20"/>
          <w:lang w:val="es-ES_tradnl"/>
        </w:rPr>
        <w:t xml:space="preserve"> </w:t>
      </w:r>
      <w:r w:rsidR="007C0964" w:rsidRPr="00E019A9">
        <w:rPr>
          <w:sz w:val="20"/>
          <w:szCs w:val="20"/>
          <w:lang w:val="es-ES_tradnl"/>
        </w:rPr>
        <w:t>ejerció</w:t>
      </w:r>
      <w:r w:rsidR="00BE26E6" w:rsidRPr="00E019A9">
        <w:rPr>
          <w:sz w:val="20"/>
          <w:szCs w:val="20"/>
          <w:lang w:val="es-ES_tradnl"/>
        </w:rPr>
        <w:t xml:space="preserve"> “una labor efectiva de</w:t>
      </w:r>
      <w:r w:rsidR="007C0964" w:rsidRPr="00E019A9">
        <w:rPr>
          <w:sz w:val="20"/>
          <w:szCs w:val="20"/>
          <w:lang w:val="es-ES_tradnl"/>
        </w:rPr>
        <w:t xml:space="preserve"> protección</w:t>
      </w:r>
      <w:r w:rsidR="00BE26E6" w:rsidRPr="00E019A9">
        <w:rPr>
          <w:sz w:val="20"/>
          <w:szCs w:val="20"/>
          <w:lang w:val="es-ES_tradnl"/>
        </w:rPr>
        <w:t xml:space="preserve"> de los derechos </w:t>
      </w:r>
      <w:r w:rsidR="007C0964" w:rsidRPr="00E019A9">
        <w:rPr>
          <w:sz w:val="20"/>
          <w:szCs w:val="20"/>
          <w:lang w:val="es-ES_tradnl"/>
        </w:rPr>
        <w:t>esenciales</w:t>
      </w:r>
      <w:r w:rsidR="00BE26E6" w:rsidRPr="00E019A9">
        <w:rPr>
          <w:sz w:val="20"/>
          <w:szCs w:val="20"/>
          <w:lang w:val="es-ES_tradnl"/>
        </w:rPr>
        <w:t xml:space="preserve"> de las personas cuando estos fueron perturbados o </w:t>
      </w:r>
      <w:r w:rsidR="007C0964" w:rsidRPr="00E019A9">
        <w:rPr>
          <w:sz w:val="20"/>
          <w:szCs w:val="20"/>
          <w:lang w:val="es-ES_tradnl"/>
        </w:rPr>
        <w:t>conculcados</w:t>
      </w:r>
      <w:r w:rsidR="00BE26E6" w:rsidRPr="00E019A9">
        <w:rPr>
          <w:sz w:val="20"/>
          <w:szCs w:val="20"/>
          <w:lang w:val="es-ES_tradnl"/>
        </w:rPr>
        <w:t xml:space="preserve"> por autoridades, o por particulares con la complicidad o tolerancia de aquellas”</w:t>
      </w:r>
      <w:r w:rsidR="007C0964" w:rsidRPr="00E019A9">
        <w:rPr>
          <w:rStyle w:val="FootnoteReference"/>
          <w:sz w:val="20"/>
          <w:szCs w:val="20"/>
          <w:lang w:val="es-ES_tradnl"/>
        </w:rPr>
        <w:footnoteReference w:id="43"/>
      </w:r>
      <w:r w:rsidR="00D11E7B" w:rsidRPr="00E019A9">
        <w:rPr>
          <w:sz w:val="20"/>
          <w:szCs w:val="20"/>
          <w:lang w:val="es-ES_tradnl"/>
        </w:rPr>
        <w:t xml:space="preserve">. En tal sentido, </w:t>
      </w:r>
      <w:r w:rsidR="007C0964" w:rsidRPr="00E019A9">
        <w:rPr>
          <w:sz w:val="20"/>
          <w:szCs w:val="20"/>
          <w:lang w:val="es-ES_tradnl"/>
        </w:rPr>
        <w:t xml:space="preserve">el Informe Rettig señalo que </w:t>
      </w:r>
      <w:r w:rsidR="00D11E7B" w:rsidRPr="00E019A9">
        <w:rPr>
          <w:sz w:val="20"/>
          <w:szCs w:val="20"/>
          <w:lang w:val="es-ES_tradnl"/>
        </w:rPr>
        <w:t xml:space="preserve">los tribunales no solo no investigaron ni sancionaron a los agentes del estado responsables de las violaciones a los derechos humanos cometidas en perjuicio de </w:t>
      </w:r>
      <w:r w:rsidR="002A4062" w:rsidRPr="00E019A9">
        <w:rPr>
          <w:sz w:val="20"/>
          <w:szCs w:val="20"/>
          <w:lang w:val="es-ES_tradnl"/>
        </w:rPr>
        <w:t>más</w:t>
      </w:r>
      <w:r w:rsidR="00D11E7B" w:rsidRPr="00E019A9">
        <w:rPr>
          <w:sz w:val="20"/>
          <w:szCs w:val="20"/>
          <w:lang w:val="es-ES_tradnl"/>
        </w:rPr>
        <w:t xml:space="preserve"> de 2000 v</w:t>
      </w:r>
      <w:r w:rsidR="00073941" w:rsidRPr="00E019A9">
        <w:rPr>
          <w:sz w:val="20"/>
          <w:szCs w:val="20"/>
          <w:lang w:val="es-ES_tradnl"/>
        </w:rPr>
        <w:t>í</w:t>
      </w:r>
      <w:r w:rsidR="00D11E7B" w:rsidRPr="00E019A9">
        <w:rPr>
          <w:sz w:val="20"/>
          <w:szCs w:val="20"/>
          <w:lang w:val="es-ES_tradnl"/>
        </w:rPr>
        <w:t>ctimas fatales sino que tampoco garantizaron la eficacia del recurso de amparo o de habeas corpus en un contexto caracterizado por la existencia de masivas detenciones arbitrarias e ilegales</w:t>
      </w:r>
      <w:r w:rsidR="00E916AD" w:rsidRPr="00E019A9">
        <w:rPr>
          <w:rStyle w:val="FootnoteReference"/>
          <w:sz w:val="20"/>
          <w:szCs w:val="20"/>
          <w:lang w:val="es-ES_tradnl"/>
        </w:rPr>
        <w:footnoteReference w:id="44"/>
      </w:r>
      <w:r w:rsidR="00D11E7B" w:rsidRPr="00E019A9">
        <w:rPr>
          <w:sz w:val="20"/>
          <w:szCs w:val="20"/>
          <w:lang w:val="es-ES_tradnl"/>
        </w:rPr>
        <w:t>.</w:t>
      </w:r>
      <w:r w:rsidRPr="00E019A9">
        <w:rPr>
          <w:sz w:val="20"/>
          <w:szCs w:val="20"/>
          <w:lang w:val="es-ES_tradnl"/>
        </w:rPr>
        <w:t xml:space="preserve"> </w:t>
      </w:r>
      <w:r w:rsidR="00D11E7B" w:rsidRPr="00E019A9">
        <w:rPr>
          <w:sz w:val="20"/>
          <w:szCs w:val="20"/>
          <w:lang w:val="es-ES_tradnl"/>
        </w:rPr>
        <w:t>Finalmente, el informe docume</w:t>
      </w:r>
      <w:r w:rsidR="004F2319" w:rsidRPr="00E019A9">
        <w:rPr>
          <w:sz w:val="20"/>
          <w:szCs w:val="20"/>
          <w:lang w:val="es-ES_tradnl"/>
        </w:rPr>
        <w:t>n</w:t>
      </w:r>
      <w:r w:rsidR="00D11E7B" w:rsidRPr="00E019A9">
        <w:rPr>
          <w:sz w:val="20"/>
          <w:szCs w:val="20"/>
          <w:lang w:val="es-ES_tradnl"/>
        </w:rPr>
        <w:t>ta que</w:t>
      </w:r>
      <w:r w:rsidR="004F2319" w:rsidRPr="00E019A9">
        <w:rPr>
          <w:sz w:val="20"/>
          <w:szCs w:val="20"/>
          <w:lang w:val="es-ES_tradnl"/>
        </w:rPr>
        <w:t xml:space="preserve"> </w:t>
      </w:r>
      <w:r w:rsidR="00D11E7B" w:rsidRPr="00E019A9">
        <w:rPr>
          <w:sz w:val="20"/>
          <w:szCs w:val="20"/>
          <w:lang w:val="es-ES_tradnl"/>
        </w:rPr>
        <w:t xml:space="preserve">las </w:t>
      </w:r>
      <w:r w:rsidR="005A35F0" w:rsidRPr="00E019A9">
        <w:rPr>
          <w:sz w:val="20"/>
          <w:szCs w:val="20"/>
          <w:lang w:val="es-ES_tradnl"/>
        </w:rPr>
        <w:t>escasas</w:t>
      </w:r>
      <w:r w:rsidR="00D11E7B" w:rsidRPr="00E019A9">
        <w:rPr>
          <w:sz w:val="20"/>
          <w:szCs w:val="20"/>
          <w:lang w:val="es-ES_tradnl"/>
        </w:rPr>
        <w:t xml:space="preserve"> investigaciones judiciales abiertas hacia fines de los años 70 en virtud del hallazgo de osamentas </w:t>
      </w:r>
      <w:r w:rsidR="004F2319" w:rsidRPr="00E019A9">
        <w:rPr>
          <w:sz w:val="20"/>
          <w:szCs w:val="20"/>
          <w:lang w:val="es-ES_tradnl"/>
        </w:rPr>
        <w:t>terminaron en poder de la justicia militar y fueron posteriormente archivadas</w:t>
      </w:r>
      <w:r w:rsidR="00E916AD" w:rsidRPr="00E019A9">
        <w:rPr>
          <w:rStyle w:val="FootnoteReference"/>
          <w:sz w:val="20"/>
          <w:szCs w:val="20"/>
          <w:lang w:val="es-ES_tradnl"/>
        </w:rPr>
        <w:footnoteReference w:id="45"/>
      </w:r>
      <w:r w:rsidR="004F2319" w:rsidRPr="00E019A9">
        <w:rPr>
          <w:sz w:val="20"/>
          <w:szCs w:val="20"/>
          <w:lang w:val="es-ES_tradnl"/>
        </w:rPr>
        <w:t xml:space="preserve">.  </w:t>
      </w:r>
    </w:p>
    <w:p w14:paraId="116A917F" w14:textId="77777777" w:rsidR="007514E2" w:rsidRPr="00E019A9" w:rsidRDefault="007514E2" w:rsidP="00AC1CA8">
      <w:pPr>
        <w:pStyle w:val="ListParagraph"/>
        <w:tabs>
          <w:tab w:val="left" w:pos="567"/>
        </w:tabs>
        <w:ind w:left="0"/>
        <w:jc w:val="both"/>
        <w:rPr>
          <w:sz w:val="20"/>
          <w:szCs w:val="20"/>
          <w:lang w:val="es-ES"/>
        </w:rPr>
      </w:pPr>
    </w:p>
    <w:p w14:paraId="405C74FA" w14:textId="77777777" w:rsidR="0011147C" w:rsidRPr="00E019A9" w:rsidRDefault="007514E2" w:rsidP="00BB60A6">
      <w:pPr>
        <w:pStyle w:val="ListParagraph"/>
        <w:numPr>
          <w:ilvl w:val="0"/>
          <w:numId w:val="57"/>
        </w:numPr>
        <w:tabs>
          <w:tab w:val="left" w:pos="567"/>
        </w:tabs>
        <w:ind w:left="0" w:firstLine="0"/>
        <w:jc w:val="both"/>
        <w:rPr>
          <w:sz w:val="20"/>
          <w:szCs w:val="20"/>
          <w:lang w:val="es-ES"/>
        </w:rPr>
      </w:pPr>
      <w:r w:rsidRPr="00E019A9">
        <w:rPr>
          <w:sz w:val="20"/>
          <w:szCs w:val="20"/>
          <w:lang w:val="es-ES"/>
        </w:rPr>
        <w:t xml:space="preserve">En este mismo sentido, la </w:t>
      </w:r>
      <w:r w:rsidR="00E94215" w:rsidRPr="00E019A9">
        <w:rPr>
          <w:sz w:val="20"/>
          <w:szCs w:val="20"/>
          <w:lang w:val="es-ES"/>
        </w:rPr>
        <w:t>Comisión</w:t>
      </w:r>
      <w:r w:rsidRPr="00E019A9">
        <w:rPr>
          <w:sz w:val="20"/>
          <w:szCs w:val="20"/>
          <w:lang w:val="es-ES"/>
        </w:rPr>
        <w:t xml:space="preserve"> Valech en su informe </w:t>
      </w:r>
      <w:r w:rsidR="00E94215" w:rsidRPr="00E019A9">
        <w:rPr>
          <w:sz w:val="20"/>
          <w:szCs w:val="20"/>
          <w:lang w:val="es-ES"/>
        </w:rPr>
        <w:t xml:space="preserve">sobre prisión política y tortura </w:t>
      </w:r>
      <w:r w:rsidRPr="00E019A9">
        <w:rPr>
          <w:sz w:val="20"/>
          <w:szCs w:val="20"/>
          <w:lang w:val="es-ES"/>
        </w:rPr>
        <w:t xml:space="preserve">dado a conocer en noviembre de 2004 </w:t>
      </w:r>
      <w:r w:rsidR="00E94215" w:rsidRPr="00E019A9">
        <w:rPr>
          <w:sz w:val="20"/>
          <w:szCs w:val="20"/>
          <w:lang w:val="es-ES"/>
        </w:rPr>
        <w:t>identificó a 27.255 personas como v</w:t>
      </w:r>
      <w:r w:rsidR="00073941" w:rsidRPr="00E019A9">
        <w:rPr>
          <w:sz w:val="20"/>
          <w:szCs w:val="20"/>
          <w:lang w:val="es-ES"/>
        </w:rPr>
        <w:t>í</w:t>
      </w:r>
      <w:r w:rsidR="00E94215" w:rsidRPr="00E019A9">
        <w:rPr>
          <w:sz w:val="20"/>
          <w:szCs w:val="20"/>
          <w:lang w:val="es-ES"/>
        </w:rPr>
        <w:t>ctimas de privación arbitraria de la libertad por razones políticas en el periodo 1973-1990</w:t>
      </w:r>
      <w:r w:rsidR="00E94215" w:rsidRPr="00E019A9">
        <w:rPr>
          <w:rStyle w:val="FootnoteReference"/>
          <w:sz w:val="20"/>
          <w:szCs w:val="20"/>
          <w:lang w:val="es-ES"/>
        </w:rPr>
        <w:footnoteReference w:id="46"/>
      </w:r>
      <w:r w:rsidR="00E94215" w:rsidRPr="00E019A9">
        <w:rPr>
          <w:sz w:val="20"/>
          <w:szCs w:val="20"/>
          <w:lang w:val="es-ES"/>
        </w:rPr>
        <w:t>.</w:t>
      </w:r>
      <w:r w:rsidR="002F17A9" w:rsidRPr="00E019A9">
        <w:rPr>
          <w:sz w:val="20"/>
          <w:szCs w:val="20"/>
          <w:lang w:val="es-ES"/>
        </w:rPr>
        <w:t xml:space="preserve"> </w:t>
      </w:r>
      <w:r w:rsidR="00E94215" w:rsidRPr="00E019A9">
        <w:rPr>
          <w:sz w:val="20"/>
          <w:szCs w:val="20"/>
          <w:lang w:val="es-ES"/>
        </w:rPr>
        <w:t>Los trabajos de investigación y recepción de denuncias permitieron a la Comisión Valech concluir que “la prisión política y la tortura constituyeron una política de Estado del régimen militar, definida e impulsada por las autoridades políticas de la época, el que para su diseño y ejecución movilizó personal y recursos de diversos organismos públicos, y dict</w:t>
      </w:r>
      <w:r w:rsidR="005A35F0" w:rsidRPr="00E019A9">
        <w:rPr>
          <w:sz w:val="20"/>
          <w:szCs w:val="20"/>
          <w:lang w:val="es-ES"/>
        </w:rPr>
        <w:t>ó</w:t>
      </w:r>
      <w:r w:rsidR="00E94215" w:rsidRPr="00E019A9">
        <w:rPr>
          <w:sz w:val="20"/>
          <w:szCs w:val="20"/>
          <w:lang w:val="es-ES"/>
        </w:rPr>
        <w:t xml:space="preserve"> decretos leyes y luego leyes que ampararon tales conductas represivas. Y en esto cont</w:t>
      </w:r>
      <w:r w:rsidR="003D1DD0" w:rsidRPr="00E019A9">
        <w:rPr>
          <w:sz w:val="20"/>
          <w:szCs w:val="20"/>
          <w:lang w:val="es-ES"/>
        </w:rPr>
        <w:t>ó</w:t>
      </w:r>
      <w:r w:rsidR="00E94215" w:rsidRPr="00E019A9">
        <w:rPr>
          <w:sz w:val="20"/>
          <w:szCs w:val="20"/>
          <w:lang w:val="es-ES"/>
        </w:rPr>
        <w:t xml:space="preserve"> con el apoyo, expl</w:t>
      </w:r>
      <w:r w:rsidR="00073941" w:rsidRPr="00E019A9">
        <w:rPr>
          <w:sz w:val="20"/>
          <w:szCs w:val="20"/>
          <w:lang w:val="es-ES"/>
        </w:rPr>
        <w:t>í</w:t>
      </w:r>
      <w:r w:rsidR="00E94215" w:rsidRPr="00E019A9">
        <w:rPr>
          <w:sz w:val="20"/>
          <w:szCs w:val="20"/>
          <w:lang w:val="es-ES"/>
        </w:rPr>
        <w:t>cito algunas veces y casi siempre implícito, del único poder del Estado que no fue parte integrante de ese régimen: la judicatura</w:t>
      </w:r>
      <w:r w:rsidR="005A35F0" w:rsidRPr="00E019A9">
        <w:rPr>
          <w:rStyle w:val="FootnoteReference"/>
          <w:sz w:val="20"/>
          <w:szCs w:val="20"/>
          <w:lang w:val="es-ES"/>
        </w:rPr>
        <w:footnoteReference w:id="47"/>
      </w:r>
      <w:r w:rsidR="00E94215" w:rsidRPr="00E019A9">
        <w:rPr>
          <w:sz w:val="20"/>
          <w:szCs w:val="20"/>
          <w:lang w:val="es-ES"/>
        </w:rPr>
        <w:t xml:space="preserve">.    </w:t>
      </w:r>
    </w:p>
    <w:p w14:paraId="36006B5F" w14:textId="77777777" w:rsidR="005A35F0" w:rsidRPr="00E019A9" w:rsidRDefault="005A35F0" w:rsidP="00AC1CA8">
      <w:pPr>
        <w:pStyle w:val="ListParagraph"/>
        <w:tabs>
          <w:tab w:val="left" w:pos="567"/>
        </w:tabs>
        <w:rPr>
          <w:sz w:val="20"/>
          <w:szCs w:val="20"/>
          <w:lang w:val="es-ES"/>
        </w:rPr>
      </w:pPr>
    </w:p>
    <w:p w14:paraId="4923D91A" w14:textId="77777777" w:rsidR="003D1DD0" w:rsidRPr="00E019A9" w:rsidRDefault="005A35F0" w:rsidP="00BB60A6">
      <w:pPr>
        <w:pStyle w:val="ListParagraph"/>
        <w:numPr>
          <w:ilvl w:val="0"/>
          <w:numId w:val="57"/>
        </w:numPr>
        <w:tabs>
          <w:tab w:val="left" w:pos="567"/>
        </w:tabs>
        <w:ind w:left="0" w:firstLine="0"/>
        <w:jc w:val="both"/>
        <w:rPr>
          <w:sz w:val="20"/>
          <w:szCs w:val="20"/>
          <w:lang w:val="es-ES"/>
        </w:rPr>
      </w:pPr>
      <w:r w:rsidRPr="00E019A9">
        <w:rPr>
          <w:sz w:val="20"/>
          <w:szCs w:val="20"/>
          <w:lang w:val="es-ES"/>
        </w:rPr>
        <w:t xml:space="preserve">Por </w:t>
      </w:r>
      <w:r w:rsidR="004C7FEA" w:rsidRPr="00E019A9">
        <w:rPr>
          <w:sz w:val="20"/>
          <w:szCs w:val="20"/>
          <w:lang w:val="es-ES"/>
        </w:rPr>
        <w:t>ú</w:t>
      </w:r>
      <w:r w:rsidRPr="00E019A9">
        <w:rPr>
          <w:sz w:val="20"/>
          <w:szCs w:val="20"/>
          <w:lang w:val="es-ES"/>
        </w:rPr>
        <w:t xml:space="preserve">ltimo, la Comisión considera </w:t>
      </w:r>
      <w:r w:rsidR="004C7FEA" w:rsidRPr="00E019A9">
        <w:rPr>
          <w:sz w:val="20"/>
          <w:szCs w:val="20"/>
          <w:lang w:val="es-ES"/>
        </w:rPr>
        <w:t xml:space="preserve">oportuno </w:t>
      </w:r>
      <w:r w:rsidRPr="00E019A9">
        <w:rPr>
          <w:sz w:val="20"/>
          <w:szCs w:val="20"/>
          <w:lang w:val="es-ES"/>
        </w:rPr>
        <w:t xml:space="preserve">remarcar </w:t>
      </w:r>
      <w:r w:rsidR="00035B24" w:rsidRPr="00E019A9">
        <w:rPr>
          <w:sz w:val="20"/>
          <w:szCs w:val="20"/>
          <w:lang w:val="es-ES"/>
        </w:rPr>
        <w:t>que el</w:t>
      </w:r>
      <w:r w:rsidRPr="00E019A9">
        <w:rPr>
          <w:sz w:val="20"/>
          <w:szCs w:val="20"/>
          <w:lang w:val="es-ES"/>
        </w:rPr>
        <w:t xml:space="preserve"> carácter de lesa humanidad de los crímenes cometidos por el régimen militar que </w:t>
      </w:r>
      <w:r w:rsidR="004C7FEA" w:rsidRPr="00E019A9">
        <w:rPr>
          <w:sz w:val="20"/>
          <w:szCs w:val="20"/>
          <w:lang w:val="es-ES"/>
        </w:rPr>
        <w:t>usurpó los poderes públicos</w:t>
      </w:r>
      <w:r w:rsidRPr="00E019A9">
        <w:rPr>
          <w:sz w:val="20"/>
          <w:szCs w:val="20"/>
          <w:lang w:val="es-ES"/>
        </w:rPr>
        <w:t xml:space="preserve"> en Chile a partir del 11 de septiembre de 1973 fue reconocido </w:t>
      </w:r>
      <w:r w:rsidR="004C7FEA" w:rsidRPr="00E019A9">
        <w:rPr>
          <w:sz w:val="20"/>
          <w:szCs w:val="20"/>
          <w:lang w:val="es-ES"/>
        </w:rPr>
        <w:t>en una serie de</w:t>
      </w:r>
      <w:r w:rsidRPr="00E019A9">
        <w:rPr>
          <w:sz w:val="20"/>
          <w:szCs w:val="20"/>
          <w:lang w:val="es-ES"/>
        </w:rPr>
        <w:t xml:space="preserve"> pronunciamientos judiciales realizados por tribunales nacionales de diversas instancias. En efecto, y a mero </w:t>
      </w:r>
      <w:r w:rsidR="00035B24" w:rsidRPr="00E019A9">
        <w:rPr>
          <w:sz w:val="20"/>
          <w:szCs w:val="20"/>
          <w:lang w:val="es-ES"/>
        </w:rPr>
        <w:t>título</w:t>
      </w:r>
      <w:r w:rsidRPr="00E019A9">
        <w:rPr>
          <w:sz w:val="20"/>
          <w:szCs w:val="20"/>
          <w:lang w:val="es-ES"/>
        </w:rPr>
        <w:t xml:space="preserve"> e</w:t>
      </w:r>
      <w:r w:rsidR="004C7FEA" w:rsidRPr="00E019A9">
        <w:rPr>
          <w:sz w:val="20"/>
          <w:szCs w:val="20"/>
          <w:lang w:val="es-ES"/>
        </w:rPr>
        <w:t>jemplificativ</w:t>
      </w:r>
      <w:r w:rsidRPr="00E019A9">
        <w:rPr>
          <w:sz w:val="20"/>
          <w:szCs w:val="20"/>
          <w:lang w:val="es-ES"/>
        </w:rPr>
        <w:t xml:space="preserve">o, la Comisión resalta que la Corte Suprema de Justicia, </w:t>
      </w:r>
      <w:r w:rsidR="004C7FEA" w:rsidRPr="00E019A9">
        <w:rPr>
          <w:sz w:val="20"/>
          <w:szCs w:val="20"/>
          <w:lang w:val="es-ES"/>
        </w:rPr>
        <w:t xml:space="preserve">en su carácter de </w:t>
      </w:r>
      <w:r w:rsidR="003D1DD0" w:rsidRPr="00E019A9">
        <w:rPr>
          <w:sz w:val="20"/>
          <w:szCs w:val="20"/>
          <w:lang w:val="es-ES"/>
        </w:rPr>
        <w:t xml:space="preserve">máximo </w:t>
      </w:r>
      <w:r w:rsidR="004C7FEA" w:rsidRPr="00E019A9">
        <w:rPr>
          <w:sz w:val="20"/>
          <w:szCs w:val="20"/>
          <w:lang w:val="es-ES"/>
        </w:rPr>
        <w:t xml:space="preserve">órgano jurisdiccional del país y </w:t>
      </w:r>
      <w:r w:rsidRPr="00E019A9">
        <w:rPr>
          <w:sz w:val="20"/>
          <w:szCs w:val="20"/>
          <w:lang w:val="es-ES"/>
        </w:rPr>
        <w:t xml:space="preserve">en ocasión de intervenir en </w:t>
      </w:r>
      <w:r w:rsidR="0024017D" w:rsidRPr="00E019A9">
        <w:rPr>
          <w:sz w:val="20"/>
          <w:szCs w:val="20"/>
          <w:lang w:val="es-ES"/>
        </w:rPr>
        <w:t>el</w:t>
      </w:r>
      <w:r w:rsidRPr="00E019A9">
        <w:rPr>
          <w:sz w:val="20"/>
          <w:szCs w:val="20"/>
          <w:lang w:val="es-ES"/>
        </w:rPr>
        <w:t xml:space="preserve"> proceso</w:t>
      </w:r>
      <w:r w:rsidR="003D1DD0" w:rsidRPr="00E019A9">
        <w:rPr>
          <w:sz w:val="20"/>
          <w:szCs w:val="20"/>
          <w:lang w:val="es-ES"/>
        </w:rPr>
        <w:t xml:space="preserve"> </w:t>
      </w:r>
      <w:r w:rsidRPr="00E019A9">
        <w:rPr>
          <w:sz w:val="20"/>
          <w:szCs w:val="20"/>
          <w:lang w:val="es-ES"/>
        </w:rPr>
        <w:t>criminal sustanciado</w:t>
      </w:r>
      <w:r w:rsidR="003D1DD0" w:rsidRPr="00E019A9">
        <w:rPr>
          <w:sz w:val="20"/>
          <w:szCs w:val="20"/>
          <w:lang w:val="es-ES"/>
        </w:rPr>
        <w:t xml:space="preserve"> contra ex agentes de la DINA</w:t>
      </w:r>
      <w:r w:rsidRPr="00E019A9">
        <w:rPr>
          <w:sz w:val="20"/>
          <w:szCs w:val="20"/>
          <w:lang w:val="es-ES"/>
        </w:rPr>
        <w:t xml:space="preserve"> </w:t>
      </w:r>
      <w:r w:rsidR="0024017D" w:rsidRPr="00E019A9">
        <w:rPr>
          <w:sz w:val="20"/>
          <w:szCs w:val="20"/>
          <w:lang w:val="es-ES"/>
        </w:rPr>
        <w:t>por la desaparición forzada de</w:t>
      </w:r>
      <w:r w:rsidR="003D1DD0" w:rsidRPr="00E019A9">
        <w:rPr>
          <w:sz w:val="20"/>
          <w:szCs w:val="20"/>
          <w:lang w:val="es-AR"/>
        </w:rPr>
        <w:t xml:space="preserve"> Cecilia Miguelina Bojanic Abad y. Flavio Arquímedes Oyarzun Soto (ver </w:t>
      </w:r>
      <w:r w:rsidR="003D1DD0" w:rsidRPr="00E019A9">
        <w:rPr>
          <w:i/>
          <w:sz w:val="20"/>
          <w:szCs w:val="20"/>
          <w:lang w:val="es-ES"/>
        </w:rPr>
        <w:t>infra</w:t>
      </w:r>
      <w:r w:rsidR="003D1DD0" w:rsidRPr="00E019A9">
        <w:rPr>
          <w:sz w:val="20"/>
          <w:szCs w:val="20"/>
          <w:lang w:val="es-ES"/>
        </w:rPr>
        <w:t xml:space="preserve"> </w:t>
      </w:r>
      <w:r w:rsidR="00035B24" w:rsidRPr="00E019A9">
        <w:rPr>
          <w:sz w:val="20"/>
          <w:szCs w:val="20"/>
          <w:lang w:val="es-ES"/>
        </w:rPr>
        <w:t xml:space="preserve">Párrs 185 a 189) </w:t>
      </w:r>
      <w:r w:rsidR="003D1DD0" w:rsidRPr="00E019A9">
        <w:rPr>
          <w:sz w:val="20"/>
          <w:szCs w:val="20"/>
          <w:lang w:val="es-ES"/>
        </w:rPr>
        <w:t xml:space="preserve">aseguró que “atendida la naturaleza de los hechos pesquisados y con arreglo a los antecedentes reunidos durante la indagación, resulta procedente concluir que se </w:t>
      </w:r>
      <w:r w:rsidR="00035B24" w:rsidRPr="00E019A9">
        <w:rPr>
          <w:sz w:val="20"/>
          <w:szCs w:val="20"/>
          <w:lang w:val="es-ES"/>
        </w:rPr>
        <w:t>está</w:t>
      </w:r>
      <w:r w:rsidR="003D1DD0" w:rsidRPr="00E019A9">
        <w:rPr>
          <w:sz w:val="20"/>
          <w:szCs w:val="20"/>
          <w:lang w:val="es-ES"/>
        </w:rPr>
        <w:t xml:space="preserve"> en presencia de lo que la conciencia jurídica ha dado en denominar delitos contra la humanidad…“ y agregó que “en la actualidad no cabe duda alguna que los ilícitos materia del presente juzgamiento, se efectuaron en un contexto de violaciones a los derechos humanos, graves, masivas y sistemáticas, verificadas por agentes del Estado, constituyendo las victimas un instrumento dentro de una política a escala general de exclusión, hostigamiento, persecución o exterminio de un grupo numeroso de compatriotas…”</w:t>
      </w:r>
      <w:r w:rsidR="003D1DD0" w:rsidRPr="00E019A9">
        <w:rPr>
          <w:rStyle w:val="FootnoteReference"/>
          <w:sz w:val="20"/>
          <w:szCs w:val="20"/>
          <w:lang w:val="es-ES"/>
        </w:rPr>
        <w:footnoteReference w:id="48"/>
      </w:r>
    </w:p>
    <w:p w14:paraId="7F4CA01F" w14:textId="77777777" w:rsidR="000C22BD" w:rsidRPr="00E019A9" w:rsidRDefault="000C22BD" w:rsidP="000C22BD">
      <w:pPr>
        <w:rPr>
          <w:sz w:val="20"/>
          <w:szCs w:val="20"/>
          <w:lang w:val="es-ES_tradnl" w:eastAsia="es-ES"/>
        </w:rPr>
      </w:pPr>
    </w:p>
    <w:p w14:paraId="39A7B1C2" w14:textId="77777777" w:rsidR="007146D0" w:rsidRPr="00E019A9" w:rsidRDefault="00B95AA9" w:rsidP="00BB60A6">
      <w:pPr>
        <w:pStyle w:val="Heading2"/>
        <w:numPr>
          <w:ilvl w:val="0"/>
          <w:numId w:val="59"/>
        </w:numPr>
      </w:pPr>
      <w:bookmarkStart w:id="8" w:name="_Toc70440262"/>
      <w:r w:rsidRPr="00E019A9">
        <w:t>Sobre los procesos penales</w:t>
      </w:r>
      <w:r w:rsidR="00A51456" w:rsidRPr="00E019A9">
        <w:t xml:space="preserve"> tramitados en sede interna</w:t>
      </w:r>
      <w:bookmarkEnd w:id="8"/>
    </w:p>
    <w:p w14:paraId="715B39EA" w14:textId="77777777" w:rsidR="007146D0" w:rsidRPr="00E019A9" w:rsidRDefault="007146D0" w:rsidP="007146D0">
      <w:pPr>
        <w:rPr>
          <w:sz w:val="20"/>
          <w:szCs w:val="20"/>
          <w:lang w:val="es-ES_tradnl" w:eastAsia="es-ES"/>
        </w:rPr>
      </w:pPr>
    </w:p>
    <w:p w14:paraId="53C9A910" w14:textId="77777777" w:rsidR="00A51456" w:rsidRPr="00E019A9" w:rsidRDefault="007146D0" w:rsidP="00BB60A6">
      <w:pPr>
        <w:pStyle w:val="Heading3"/>
        <w:numPr>
          <w:ilvl w:val="1"/>
          <w:numId w:val="59"/>
        </w:numPr>
        <w:tabs>
          <w:tab w:val="left" w:pos="567"/>
          <w:tab w:val="left" w:pos="1134"/>
        </w:tabs>
        <w:ind w:left="567" w:firstLine="0"/>
        <w:jc w:val="both"/>
      </w:pPr>
      <w:r w:rsidRPr="00E019A9">
        <w:t xml:space="preserve">Respecto de la petición </w:t>
      </w:r>
      <w:r w:rsidR="005B0935" w:rsidRPr="00E019A9">
        <w:t xml:space="preserve">originalmente </w:t>
      </w:r>
      <w:r w:rsidR="00121E55" w:rsidRPr="00E019A9">
        <w:t xml:space="preserve">registrada como </w:t>
      </w:r>
      <w:r w:rsidRPr="00E019A9">
        <w:t>P</w:t>
      </w:r>
      <w:r w:rsidR="00E220A5" w:rsidRPr="00E019A9">
        <w:t xml:space="preserve"> </w:t>
      </w:r>
      <w:r w:rsidRPr="00E019A9">
        <w:t>1275-04</w:t>
      </w:r>
      <w:r w:rsidR="00CF6FB4" w:rsidRPr="00E019A9">
        <w:t>-</w:t>
      </w:r>
      <w:r w:rsidRPr="00E019A9">
        <w:t>B Juan Luis Rivera Matus</w:t>
      </w:r>
      <w:r w:rsidR="008F5912" w:rsidRPr="00E019A9">
        <w:t xml:space="preserve"> y familiares </w:t>
      </w:r>
    </w:p>
    <w:p w14:paraId="7A67A9BE" w14:textId="77777777" w:rsidR="009E7FCA" w:rsidRPr="00E019A9" w:rsidRDefault="009E7FCA" w:rsidP="008142C0">
      <w:pPr>
        <w:tabs>
          <w:tab w:val="left" w:pos="567"/>
        </w:tabs>
        <w:rPr>
          <w:rFonts w:ascii="Cambria" w:hAnsi="Cambria"/>
          <w:sz w:val="20"/>
          <w:szCs w:val="20"/>
          <w:lang w:val="es-ES_tradnl" w:eastAsia="es-ES"/>
        </w:rPr>
      </w:pPr>
    </w:p>
    <w:p w14:paraId="75E7E38B" w14:textId="77777777" w:rsidR="008142C0" w:rsidRPr="00E019A9" w:rsidRDefault="007146D0" w:rsidP="00BB60A6">
      <w:pPr>
        <w:pStyle w:val="ListParagraph"/>
        <w:numPr>
          <w:ilvl w:val="0"/>
          <w:numId w:val="57"/>
        </w:numPr>
        <w:tabs>
          <w:tab w:val="left" w:pos="567"/>
        </w:tabs>
        <w:ind w:left="0" w:firstLine="0"/>
        <w:jc w:val="both"/>
        <w:rPr>
          <w:sz w:val="20"/>
          <w:szCs w:val="20"/>
          <w:lang w:val="es-ES_tradnl"/>
        </w:rPr>
      </w:pPr>
      <w:r w:rsidRPr="00E019A9">
        <w:rPr>
          <w:sz w:val="20"/>
          <w:szCs w:val="20"/>
          <w:lang w:val="es-ES_tradnl"/>
        </w:rPr>
        <w:lastRenderedPageBreak/>
        <w:t>De acuerdo con la información existente en el expediente, el día 6 de noviembre de 197</w:t>
      </w:r>
      <w:r w:rsidR="005679BA" w:rsidRPr="00E019A9">
        <w:rPr>
          <w:sz w:val="20"/>
          <w:szCs w:val="20"/>
          <w:lang w:val="es-ES_tradnl"/>
        </w:rPr>
        <w:t>5</w:t>
      </w:r>
      <w:r w:rsidRPr="00E019A9">
        <w:rPr>
          <w:sz w:val="20"/>
          <w:szCs w:val="20"/>
          <w:lang w:val="es-ES_tradnl"/>
        </w:rPr>
        <w:t xml:space="preserve"> el Sr. Juan Luis Rivera Matus fue privado de su libertad </w:t>
      </w:r>
      <w:r w:rsidR="00DF7447" w:rsidRPr="00E019A9">
        <w:rPr>
          <w:sz w:val="20"/>
          <w:szCs w:val="20"/>
          <w:lang w:val="es-ES_tradnl"/>
        </w:rPr>
        <w:t xml:space="preserve">por tres personas jóvenes </w:t>
      </w:r>
      <w:r w:rsidRPr="00E019A9">
        <w:rPr>
          <w:sz w:val="20"/>
          <w:szCs w:val="20"/>
          <w:lang w:val="es-ES_tradnl"/>
        </w:rPr>
        <w:t>en la intersección de las calles San Antonio y Compañía</w:t>
      </w:r>
      <w:r w:rsidR="00385321" w:rsidRPr="00E019A9">
        <w:rPr>
          <w:sz w:val="20"/>
          <w:szCs w:val="20"/>
          <w:lang w:val="es-ES_tradnl"/>
        </w:rPr>
        <w:t xml:space="preserve"> de la </w:t>
      </w:r>
      <w:r w:rsidRPr="00E019A9">
        <w:rPr>
          <w:sz w:val="20"/>
          <w:szCs w:val="20"/>
          <w:lang w:val="es-ES_tradnl"/>
        </w:rPr>
        <w:t>Comuna de Santiago</w:t>
      </w:r>
      <w:r w:rsidR="00DF7447" w:rsidRPr="00E019A9">
        <w:rPr>
          <w:sz w:val="20"/>
          <w:szCs w:val="20"/>
          <w:lang w:val="es-ES_tradnl"/>
        </w:rPr>
        <w:t xml:space="preserve"> </w:t>
      </w:r>
      <w:r w:rsidRPr="00E019A9">
        <w:rPr>
          <w:sz w:val="20"/>
          <w:szCs w:val="20"/>
          <w:lang w:val="es-ES_tradnl"/>
        </w:rPr>
        <w:t xml:space="preserve">quienes lo introdujeron dentro de un automóvil Peugeot blanco sin </w:t>
      </w:r>
      <w:r w:rsidR="00555F7F" w:rsidRPr="00E019A9">
        <w:rPr>
          <w:sz w:val="20"/>
          <w:szCs w:val="20"/>
          <w:lang w:val="es-ES_tradnl"/>
        </w:rPr>
        <w:t>chapas identificatorias</w:t>
      </w:r>
      <w:r w:rsidR="00BD4BD7" w:rsidRPr="00E019A9">
        <w:rPr>
          <w:sz w:val="20"/>
          <w:szCs w:val="20"/>
          <w:lang w:val="es-ES_tradnl"/>
        </w:rPr>
        <w:t xml:space="preserve">. </w:t>
      </w:r>
      <w:r w:rsidRPr="00E019A9">
        <w:rPr>
          <w:sz w:val="20"/>
          <w:szCs w:val="20"/>
          <w:lang w:val="es-ES_tradnl"/>
        </w:rPr>
        <w:t xml:space="preserve"> </w:t>
      </w:r>
      <w:r w:rsidR="005679BA" w:rsidRPr="00E019A9">
        <w:rPr>
          <w:sz w:val="20"/>
          <w:szCs w:val="20"/>
          <w:lang w:val="es-ES_tradnl"/>
        </w:rPr>
        <w:t xml:space="preserve">Se encuentra </w:t>
      </w:r>
      <w:r w:rsidR="00385321" w:rsidRPr="00E019A9">
        <w:rPr>
          <w:sz w:val="20"/>
          <w:szCs w:val="20"/>
          <w:lang w:val="es-ES_tradnl"/>
        </w:rPr>
        <w:t xml:space="preserve">asimismo </w:t>
      </w:r>
      <w:r w:rsidR="005679BA" w:rsidRPr="00E019A9">
        <w:rPr>
          <w:sz w:val="20"/>
          <w:szCs w:val="20"/>
          <w:lang w:val="es-ES_tradnl"/>
        </w:rPr>
        <w:t>documentado que</w:t>
      </w:r>
      <w:r w:rsidR="00385321" w:rsidRPr="00E019A9">
        <w:rPr>
          <w:sz w:val="20"/>
          <w:szCs w:val="20"/>
          <w:lang w:val="es-ES_tradnl"/>
        </w:rPr>
        <w:t xml:space="preserve">, </w:t>
      </w:r>
      <w:r w:rsidR="005679BA" w:rsidRPr="00E019A9">
        <w:rPr>
          <w:sz w:val="20"/>
          <w:szCs w:val="20"/>
          <w:lang w:val="es-ES_tradnl"/>
        </w:rPr>
        <w:t xml:space="preserve">el mismo </w:t>
      </w:r>
      <w:r w:rsidR="00896D4A" w:rsidRPr="00E019A9">
        <w:rPr>
          <w:sz w:val="20"/>
          <w:szCs w:val="20"/>
          <w:lang w:val="es-ES_tradnl"/>
        </w:rPr>
        <w:t>día</w:t>
      </w:r>
      <w:r w:rsidR="005679BA" w:rsidRPr="00E019A9">
        <w:rPr>
          <w:sz w:val="20"/>
          <w:szCs w:val="20"/>
          <w:lang w:val="es-ES_tradnl"/>
        </w:rPr>
        <w:t xml:space="preserve"> de los hechos</w:t>
      </w:r>
      <w:r w:rsidR="00385321" w:rsidRPr="00E019A9">
        <w:rPr>
          <w:sz w:val="20"/>
          <w:szCs w:val="20"/>
          <w:lang w:val="es-ES_tradnl"/>
        </w:rPr>
        <w:t>,</w:t>
      </w:r>
      <w:r w:rsidR="005679BA" w:rsidRPr="00E019A9">
        <w:rPr>
          <w:sz w:val="20"/>
          <w:szCs w:val="20"/>
          <w:lang w:val="es-ES_tradnl"/>
        </w:rPr>
        <w:t xml:space="preserve"> la Sra. Olga </w:t>
      </w:r>
      <w:r w:rsidR="00896D4A" w:rsidRPr="00E019A9">
        <w:rPr>
          <w:sz w:val="20"/>
          <w:szCs w:val="20"/>
          <w:lang w:val="es-ES_tradnl"/>
        </w:rPr>
        <w:t>Sánchez</w:t>
      </w:r>
      <w:r w:rsidR="005679BA" w:rsidRPr="00E019A9">
        <w:rPr>
          <w:sz w:val="20"/>
          <w:szCs w:val="20"/>
          <w:lang w:val="es-ES_tradnl"/>
        </w:rPr>
        <w:t xml:space="preserve"> Rivas, </w:t>
      </w:r>
      <w:r w:rsidR="00896D4A" w:rsidRPr="00E019A9">
        <w:rPr>
          <w:sz w:val="20"/>
          <w:szCs w:val="20"/>
          <w:lang w:val="es-ES_tradnl"/>
        </w:rPr>
        <w:t>cónyuge</w:t>
      </w:r>
      <w:r w:rsidR="005679BA" w:rsidRPr="00E019A9">
        <w:rPr>
          <w:sz w:val="20"/>
          <w:szCs w:val="20"/>
          <w:lang w:val="es-ES_tradnl"/>
        </w:rPr>
        <w:t xml:space="preserve"> del Sr.</w:t>
      </w:r>
      <w:r w:rsidR="00385321" w:rsidRPr="00E019A9">
        <w:rPr>
          <w:sz w:val="20"/>
          <w:szCs w:val="20"/>
          <w:lang w:val="es-ES_tradnl"/>
        </w:rPr>
        <w:t xml:space="preserve"> </w:t>
      </w:r>
      <w:r w:rsidR="005679BA" w:rsidRPr="00E019A9">
        <w:rPr>
          <w:sz w:val="20"/>
          <w:szCs w:val="20"/>
          <w:lang w:val="es-ES_tradnl"/>
        </w:rPr>
        <w:t>Rivera Matus, interpuso denuncia policial por el presunto delito de detención arbitraria</w:t>
      </w:r>
      <w:r w:rsidR="00385321" w:rsidRPr="00E019A9">
        <w:rPr>
          <w:sz w:val="20"/>
          <w:szCs w:val="20"/>
          <w:lang w:val="es-ES_tradnl"/>
        </w:rPr>
        <w:t xml:space="preserve">. </w:t>
      </w:r>
      <w:r w:rsidR="005679BA" w:rsidRPr="00E019A9">
        <w:rPr>
          <w:sz w:val="20"/>
          <w:szCs w:val="20"/>
          <w:lang w:val="es-ES_tradnl"/>
        </w:rPr>
        <w:t xml:space="preserve"> </w:t>
      </w:r>
      <w:r w:rsidR="00385321" w:rsidRPr="00E019A9">
        <w:rPr>
          <w:sz w:val="20"/>
          <w:szCs w:val="20"/>
          <w:lang w:val="es-ES_tradnl"/>
        </w:rPr>
        <w:t>P</w:t>
      </w:r>
      <w:r w:rsidR="00467084" w:rsidRPr="00E019A9">
        <w:rPr>
          <w:sz w:val="20"/>
          <w:szCs w:val="20"/>
          <w:lang w:val="es-ES_tradnl"/>
        </w:rPr>
        <w:t>osteriormente</w:t>
      </w:r>
      <w:r w:rsidR="00385321" w:rsidRPr="00E019A9">
        <w:rPr>
          <w:sz w:val="20"/>
          <w:szCs w:val="20"/>
          <w:lang w:val="es-ES_tradnl"/>
        </w:rPr>
        <w:t>, la Sra. Sánchez Rivas</w:t>
      </w:r>
      <w:r w:rsidR="00467084" w:rsidRPr="00E019A9">
        <w:rPr>
          <w:sz w:val="20"/>
          <w:szCs w:val="20"/>
          <w:lang w:val="es-ES_tradnl"/>
        </w:rPr>
        <w:t xml:space="preserve"> </w:t>
      </w:r>
      <w:r w:rsidR="005679BA" w:rsidRPr="00E019A9">
        <w:rPr>
          <w:sz w:val="20"/>
          <w:szCs w:val="20"/>
          <w:lang w:val="es-ES_tradnl"/>
        </w:rPr>
        <w:t>presentó un recurso de amparo ante la Corte de Apelaciones de Santiago por la detención ilegal de su marido.</w:t>
      </w:r>
      <w:r w:rsidR="00896D4A" w:rsidRPr="00E019A9">
        <w:rPr>
          <w:sz w:val="20"/>
          <w:szCs w:val="20"/>
          <w:lang w:val="es-ES_tradnl"/>
        </w:rPr>
        <w:t xml:space="preserve"> En el marco de este proceso, tanto el Ministerio del Interior como la Dirección de Inteligencia Nacional (DINA) negaron</w:t>
      </w:r>
      <w:r w:rsidR="00467084" w:rsidRPr="00E019A9">
        <w:rPr>
          <w:sz w:val="20"/>
          <w:szCs w:val="20"/>
          <w:lang w:val="es-ES_tradnl"/>
        </w:rPr>
        <w:t>, mediante certificados de fecha 25 y 26 de noviembre de 1975,</w:t>
      </w:r>
      <w:r w:rsidR="00896D4A" w:rsidRPr="00E019A9">
        <w:rPr>
          <w:sz w:val="20"/>
          <w:szCs w:val="20"/>
          <w:lang w:val="es-ES_tradnl"/>
        </w:rPr>
        <w:t xml:space="preserve"> que el Sr. Rivera Matus haya sido detenido o</w:t>
      </w:r>
      <w:r w:rsidR="00467084" w:rsidRPr="00E019A9">
        <w:rPr>
          <w:sz w:val="20"/>
          <w:szCs w:val="20"/>
          <w:lang w:val="es-ES_tradnl"/>
        </w:rPr>
        <w:t xml:space="preserve"> que</w:t>
      </w:r>
      <w:r w:rsidR="00896D4A" w:rsidRPr="00E019A9">
        <w:rPr>
          <w:sz w:val="20"/>
          <w:szCs w:val="20"/>
          <w:lang w:val="es-ES_tradnl"/>
        </w:rPr>
        <w:t xml:space="preserve"> se encuentre a disposición de </w:t>
      </w:r>
      <w:r w:rsidR="0047497B" w:rsidRPr="00E019A9">
        <w:rPr>
          <w:sz w:val="20"/>
          <w:szCs w:val="20"/>
          <w:lang w:val="es-ES_tradnl"/>
        </w:rPr>
        <w:t xml:space="preserve">esos </w:t>
      </w:r>
      <w:r w:rsidR="00896D4A" w:rsidRPr="00E019A9">
        <w:rPr>
          <w:sz w:val="20"/>
          <w:szCs w:val="20"/>
          <w:lang w:val="es-ES_tradnl"/>
        </w:rPr>
        <w:t>órganos</w:t>
      </w:r>
      <w:r w:rsidR="00073941" w:rsidRPr="00E019A9">
        <w:rPr>
          <w:rStyle w:val="FootnoteReference"/>
          <w:sz w:val="20"/>
          <w:szCs w:val="20"/>
          <w:lang w:val="es-ES_tradnl"/>
        </w:rPr>
        <w:footnoteReference w:id="49"/>
      </w:r>
      <w:r w:rsidR="00896D4A" w:rsidRPr="00E019A9">
        <w:rPr>
          <w:sz w:val="20"/>
          <w:szCs w:val="20"/>
          <w:lang w:val="es-ES_tradnl"/>
        </w:rPr>
        <w:t xml:space="preserve">. </w:t>
      </w:r>
    </w:p>
    <w:p w14:paraId="5C113FB5" w14:textId="77777777" w:rsidR="008142C0" w:rsidRPr="00E019A9" w:rsidRDefault="008142C0" w:rsidP="00AC1CA8">
      <w:pPr>
        <w:pStyle w:val="ListParagraph"/>
        <w:tabs>
          <w:tab w:val="left" w:pos="567"/>
        </w:tabs>
        <w:rPr>
          <w:sz w:val="20"/>
          <w:szCs w:val="20"/>
          <w:lang w:val="es-ES_tradnl"/>
        </w:rPr>
      </w:pPr>
    </w:p>
    <w:p w14:paraId="1CC5F878" w14:textId="77777777" w:rsidR="008142C0" w:rsidRPr="00E019A9" w:rsidRDefault="000E274E" w:rsidP="00BB60A6">
      <w:pPr>
        <w:pStyle w:val="ListParagraph"/>
        <w:numPr>
          <w:ilvl w:val="0"/>
          <w:numId w:val="57"/>
        </w:numPr>
        <w:tabs>
          <w:tab w:val="left" w:pos="567"/>
        </w:tabs>
        <w:ind w:left="0" w:firstLine="0"/>
        <w:jc w:val="both"/>
        <w:rPr>
          <w:sz w:val="20"/>
          <w:szCs w:val="20"/>
          <w:lang w:val="es-ES_tradnl"/>
        </w:rPr>
      </w:pPr>
      <w:r w:rsidRPr="00E019A9">
        <w:rPr>
          <w:sz w:val="20"/>
          <w:szCs w:val="20"/>
          <w:lang w:val="es-ES_tradnl"/>
        </w:rPr>
        <w:t xml:space="preserve">Según se desprende de </w:t>
      </w:r>
      <w:r w:rsidR="00A67A60" w:rsidRPr="00E019A9">
        <w:rPr>
          <w:sz w:val="20"/>
          <w:szCs w:val="20"/>
          <w:lang w:val="es-ES_tradnl"/>
        </w:rPr>
        <w:t xml:space="preserve">la sentencia </w:t>
      </w:r>
      <w:r w:rsidR="00385321" w:rsidRPr="00E019A9">
        <w:rPr>
          <w:sz w:val="20"/>
          <w:szCs w:val="20"/>
          <w:lang w:val="es-ES_tradnl"/>
        </w:rPr>
        <w:t xml:space="preserve">Nro. 107.716-E </w:t>
      </w:r>
      <w:r w:rsidR="00A67A60" w:rsidRPr="00E019A9">
        <w:rPr>
          <w:sz w:val="20"/>
          <w:szCs w:val="20"/>
          <w:lang w:val="es-ES_tradnl"/>
        </w:rPr>
        <w:t>de fecha 4 de mayo de 200</w:t>
      </w:r>
      <w:r w:rsidR="00385321" w:rsidRPr="00E019A9">
        <w:rPr>
          <w:sz w:val="20"/>
          <w:szCs w:val="20"/>
          <w:lang w:val="es-ES_tradnl"/>
        </w:rPr>
        <w:t>4</w:t>
      </w:r>
      <w:r w:rsidR="00642799" w:rsidRPr="00E019A9">
        <w:rPr>
          <w:sz w:val="20"/>
          <w:szCs w:val="20"/>
          <w:lang w:val="es-ES_tradnl"/>
        </w:rPr>
        <w:t xml:space="preserve">, </w:t>
      </w:r>
      <w:r w:rsidR="00A67A60" w:rsidRPr="00E019A9">
        <w:rPr>
          <w:sz w:val="20"/>
          <w:szCs w:val="20"/>
          <w:lang w:val="es-ES_tradnl"/>
        </w:rPr>
        <w:t xml:space="preserve">el Sr. Rivera Matus fue trasladado desde el sitio de su arresto hacia el recinto del Regimiento de </w:t>
      </w:r>
      <w:r w:rsidR="00385321" w:rsidRPr="00E019A9">
        <w:rPr>
          <w:sz w:val="20"/>
          <w:szCs w:val="20"/>
          <w:lang w:val="es-ES_tradnl"/>
        </w:rPr>
        <w:t>Artillería</w:t>
      </w:r>
      <w:r w:rsidR="00A67A60" w:rsidRPr="00E019A9">
        <w:rPr>
          <w:sz w:val="20"/>
          <w:szCs w:val="20"/>
          <w:lang w:val="es-ES_tradnl"/>
        </w:rPr>
        <w:t xml:space="preserve"> </w:t>
      </w:r>
      <w:r w:rsidR="00385321" w:rsidRPr="00E019A9">
        <w:rPr>
          <w:sz w:val="20"/>
          <w:szCs w:val="20"/>
          <w:lang w:val="es-ES_tradnl"/>
        </w:rPr>
        <w:t>Antiaérea</w:t>
      </w:r>
      <w:r w:rsidR="00A67A60" w:rsidRPr="00E019A9">
        <w:rPr>
          <w:sz w:val="20"/>
          <w:szCs w:val="20"/>
          <w:lang w:val="es-ES_tradnl"/>
        </w:rPr>
        <w:t xml:space="preserve"> de Colina,</w:t>
      </w:r>
      <w:r w:rsidR="00E75F66" w:rsidRPr="00E019A9">
        <w:rPr>
          <w:sz w:val="20"/>
          <w:szCs w:val="20"/>
          <w:lang w:val="es-ES_tradnl"/>
        </w:rPr>
        <w:t xml:space="preserve"> perteneciente a</w:t>
      </w:r>
      <w:r w:rsidR="00A67A60" w:rsidRPr="00E019A9">
        <w:rPr>
          <w:sz w:val="20"/>
          <w:szCs w:val="20"/>
          <w:lang w:val="es-ES_tradnl"/>
        </w:rPr>
        <w:t xml:space="preserve"> la Fuerza </w:t>
      </w:r>
      <w:r w:rsidR="00E75F66" w:rsidRPr="00E019A9">
        <w:rPr>
          <w:sz w:val="20"/>
          <w:szCs w:val="20"/>
          <w:lang w:val="es-ES_tradnl"/>
        </w:rPr>
        <w:t>Aérea</w:t>
      </w:r>
      <w:r w:rsidR="00A67A60" w:rsidRPr="00E019A9">
        <w:rPr>
          <w:sz w:val="20"/>
          <w:szCs w:val="20"/>
          <w:lang w:val="es-ES_tradnl"/>
        </w:rPr>
        <w:t xml:space="preserve"> de Chile</w:t>
      </w:r>
      <w:r w:rsidR="00385321" w:rsidRPr="00E019A9">
        <w:rPr>
          <w:sz w:val="20"/>
          <w:szCs w:val="20"/>
          <w:lang w:val="es-ES_tradnl"/>
        </w:rPr>
        <w:t>, también conocido como “Remo Cero”, donde fue privado de su libertad sin orden administrativa o judicial que la justificare</w:t>
      </w:r>
      <w:r w:rsidR="00C56916" w:rsidRPr="00E019A9">
        <w:rPr>
          <w:rStyle w:val="FootnoteReference"/>
          <w:sz w:val="20"/>
          <w:szCs w:val="20"/>
          <w:lang w:val="es-ES_tradnl"/>
        </w:rPr>
        <w:footnoteReference w:id="50"/>
      </w:r>
      <w:r w:rsidR="00385321" w:rsidRPr="00E019A9">
        <w:rPr>
          <w:sz w:val="20"/>
          <w:szCs w:val="20"/>
          <w:lang w:val="es-ES_tradnl"/>
        </w:rPr>
        <w:t xml:space="preserve">. </w:t>
      </w:r>
      <w:r w:rsidR="00C56916" w:rsidRPr="00E019A9">
        <w:rPr>
          <w:sz w:val="20"/>
          <w:szCs w:val="20"/>
          <w:lang w:val="es-ES_tradnl"/>
        </w:rPr>
        <w:t xml:space="preserve">Asimismo, se encuentra probado que el Sr. Rivera Matus fue interrogado por tres sujetos que se identificaron como funcionarios del Ejercito, para luego hacer abandono del lugar, concurriendo al día siguiente al mismo recinto para trasladar a la </w:t>
      </w:r>
      <w:r w:rsidR="002A4062" w:rsidRPr="00E019A9">
        <w:rPr>
          <w:sz w:val="20"/>
          <w:szCs w:val="20"/>
          <w:lang w:val="es-ES_tradnl"/>
        </w:rPr>
        <w:t>víctima</w:t>
      </w:r>
      <w:r w:rsidR="00C56916" w:rsidRPr="00E019A9">
        <w:rPr>
          <w:sz w:val="20"/>
          <w:szCs w:val="20"/>
          <w:lang w:val="es-ES_tradnl"/>
        </w:rPr>
        <w:t xml:space="preserve"> en el interior del portamaletas del vehículo en el cual se movilizaban a un lugar desconocido</w:t>
      </w:r>
      <w:r w:rsidR="00073941" w:rsidRPr="00E019A9">
        <w:rPr>
          <w:rStyle w:val="FootnoteReference"/>
          <w:sz w:val="20"/>
          <w:szCs w:val="20"/>
          <w:lang w:val="es-ES_tradnl"/>
        </w:rPr>
        <w:footnoteReference w:id="51"/>
      </w:r>
      <w:r w:rsidR="00C56916" w:rsidRPr="00E019A9">
        <w:rPr>
          <w:sz w:val="20"/>
          <w:szCs w:val="20"/>
          <w:lang w:val="es-ES_tradnl"/>
        </w:rPr>
        <w:t xml:space="preserve">. </w:t>
      </w:r>
    </w:p>
    <w:p w14:paraId="71D9D4C7" w14:textId="77777777" w:rsidR="008142C0" w:rsidRPr="00E019A9" w:rsidRDefault="008142C0" w:rsidP="00AC1CA8">
      <w:pPr>
        <w:pStyle w:val="ListParagraph"/>
        <w:tabs>
          <w:tab w:val="left" w:pos="567"/>
        </w:tabs>
        <w:rPr>
          <w:sz w:val="20"/>
          <w:szCs w:val="20"/>
          <w:lang w:val="es-ES_tradnl"/>
        </w:rPr>
      </w:pPr>
    </w:p>
    <w:p w14:paraId="4CC4D78B" w14:textId="77777777" w:rsidR="008142C0" w:rsidRPr="00E019A9" w:rsidRDefault="0047497B" w:rsidP="00BB60A6">
      <w:pPr>
        <w:pStyle w:val="ListParagraph"/>
        <w:numPr>
          <w:ilvl w:val="0"/>
          <w:numId w:val="57"/>
        </w:numPr>
        <w:tabs>
          <w:tab w:val="left" w:pos="567"/>
        </w:tabs>
        <w:ind w:left="0" w:firstLine="0"/>
        <w:jc w:val="both"/>
        <w:rPr>
          <w:sz w:val="20"/>
          <w:szCs w:val="20"/>
          <w:lang w:val="es-ES_tradnl"/>
        </w:rPr>
      </w:pPr>
      <w:r w:rsidRPr="00E019A9">
        <w:rPr>
          <w:sz w:val="20"/>
          <w:szCs w:val="20"/>
          <w:lang w:val="es-ES_tradnl"/>
        </w:rPr>
        <w:t>El Sr. Rivera Matus permaneció en condición de desaparecido hasta</w:t>
      </w:r>
      <w:r w:rsidR="00642799" w:rsidRPr="00E019A9">
        <w:rPr>
          <w:sz w:val="20"/>
          <w:szCs w:val="20"/>
          <w:lang w:val="es-ES_tradnl"/>
        </w:rPr>
        <w:t xml:space="preserve"> </w:t>
      </w:r>
      <w:r w:rsidRPr="00E019A9">
        <w:rPr>
          <w:sz w:val="20"/>
          <w:szCs w:val="20"/>
          <w:lang w:val="es-ES_tradnl"/>
        </w:rPr>
        <w:t>el</w:t>
      </w:r>
      <w:r w:rsidR="00642799" w:rsidRPr="00E019A9">
        <w:rPr>
          <w:sz w:val="20"/>
          <w:szCs w:val="20"/>
          <w:lang w:val="es-ES_tradnl"/>
        </w:rPr>
        <w:t xml:space="preserve"> día</w:t>
      </w:r>
      <w:r w:rsidRPr="00E019A9">
        <w:rPr>
          <w:sz w:val="20"/>
          <w:szCs w:val="20"/>
          <w:lang w:val="es-ES_tradnl"/>
        </w:rPr>
        <w:t xml:space="preserve"> 13 de marzo de 2001</w:t>
      </w:r>
      <w:r w:rsidR="00642799" w:rsidRPr="00E019A9">
        <w:rPr>
          <w:sz w:val="20"/>
          <w:szCs w:val="20"/>
          <w:lang w:val="es-ES_tradnl"/>
        </w:rPr>
        <w:t xml:space="preserve"> cuando</w:t>
      </w:r>
      <w:r w:rsidRPr="00E019A9">
        <w:rPr>
          <w:sz w:val="20"/>
          <w:szCs w:val="20"/>
          <w:lang w:val="es-ES_tradnl"/>
        </w:rPr>
        <w:t xml:space="preserve"> su cuerpo fue encontrado en el interior del Recinto Militar “Fuerte Arteaga”, ubicado en la Comuna de Colina</w:t>
      </w:r>
      <w:r w:rsidR="00642799" w:rsidRPr="00E019A9">
        <w:rPr>
          <w:sz w:val="20"/>
          <w:szCs w:val="20"/>
          <w:lang w:val="es-ES_tradnl"/>
        </w:rPr>
        <w:t>, fijándose esta fecha como la de su fallecimiento</w:t>
      </w:r>
      <w:r w:rsidR="00FA3BFE" w:rsidRPr="00E019A9">
        <w:rPr>
          <w:rStyle w:val="FootnoteReference"/>
          <w:sz w:val="20"/>
          <w:szCs w:val="20"/>
          <w:lang w:val="es-ES_tradnl"/>
        </w:rPr>
        <w:footnoteReference w:id="52"/>
      </w:r>
      <w:r w:rsidRPr="00E019A9">
        <w:rPr>
          <w:sz w:val="20"/>
          <w:szCs w:val="20"/>
          <w:lang w:val="es-ES_tradnl"/>
        </w:rPr>
        <w:t xml:space="preserve">. </w:t>
      </w:r>
    </w:p>
    <w:p w14:paraId="368DD613" w14:textId="77777777" w:rsidR="008142C0" w:rsidRPr="00E019A9" w:rsidRDefault="008142C0" w:rsidP="00AC1CA8">
      <w:pPr>
        <w:pStyle w:val="ListParagraph"/>
        <w:tabs>
          <w:tab w:val="left" w:pos="567"/>
        </w:tabs>
        <w:rPr>
          <w:sz w:val="20"/>
          <w:szCs w:val="20"/>
          <w:lang w:val="es-ES_tradnl"/>
        </w:rPr>
      </w:pPr>
    </w:p>
    <w:p w14:paraId="7A5A63ED" w14:textId="77777777" w:rsidR="008142C0" w:rsidRPr="00E019A9" w:rsidRDefault="00642799" w:rsidP="00BB60A6">
      <w:pPr>
        <w:pStyle w:val="ListParagraph"/>
        <w:numPr>
          <w:ilvl w:val="0"/>
          <w:numId w:val="57"/>
        </w:numPr>
        <w:tabs>
          <w:tab w:val="left" w:pos="567"/>
        </w:tabs>
        <w:ind w:left="0" w:firstLine="0"/>
        <w:jc w:val="both"/>
        <w:rPr>
          <w:sz w:val="20"/>
          <w:szCs w:val="20"/>
          <w:lang w:val="es-ES_tradnl"/>
        </w:rPr>
      </w:pPr>
      <w:r w:rsidRPr="00E019A9">
        <w:rPr>
          <w:sz w:val="20"/>
          <w:szCs w:val="20"/>
          <w:lang w:val="es-ES_tradnl"/>
        </w:rPr>
        <w:t>De acuerdo con la mencionada sentencia 107.716-E, se encuentr</w:t>
      </w:r>
      <w:r w:rsidR="00DA00BD" w:rsidRPr="00E019A9">
        <w:rPr>
          <w:sz w:val="20"/>
          <w:szCs w:val="20"/>
          <w:lang w:val="es-ES_tradnl"/>
        </w:rPr>
        <w:t>a</w:t>
      </w:r>
      <w:r w:rsidRPr="00E019A9">
        <w:rPr>
          <w:sz w:val="20"/>
          <w:szCs w:val="20"/>
          <w:lang w:val="es-ES_tradnl"/>
        </w:rPr>
        <w:t xml:space="preserve"> </w:t>
      </w:r>
      <w:r w:rsidR="007A03A5" w:rsidRPr="00E019A9">
        <w:rPr>
          <w:sz w:val="20"/>
          <w:szCs w:val="20"/>
          <w:lang w:val="es-ES_tradnl"/>
        </w:rPr>
        <w:t>probada</w:t>
      </w:r>
      <w:r w:rsidRPr="00E019A9">
        <w:rPr>
          <w:sz w:val="20"/>
          <w:szCs w:val="20"/>
          <w:lang w:val="es-ES_tradnl"/>
        </w:rPr>
        <w:t xml:space="preserve"> la participación criminal de una </w:t>
      </w:r>
      <w:r w:rsidR="00DA00BD" w:rsidRPr="00E019A9">
        <w:rPr>
          <w:sz w:val="20"/>
          <w:szCs w:val="20"/>
          <w:lang w:val="es-ES_tradnl"/>
        </w:rPr>
        <w:t xml:space="preserve">serie de funcionarios estatales en </w:t>
      </w:r>
      <w:r w:rsidR="00FA3BFE" w:rsidRPr="00E019A9">
        <w:rPr>
          <w:sz w:val="20"/>
          <w:szCs w:val="20"/>
          <w:lang w:val="es-ES_tradnl"/>
        </w:rPr>
        <w:t xml:space="preserve">la privación de la libertad y la desaparición forzada </w:t>
      </w:r>
      <w:r w:rsidR="00DA00BD" w:rsidRPr="00E019A9">
        <w:rPr>
          <w:sz w:val="20"/>
          <w:szCs w:val="20"/>
          <w:lang w:val="es-ES_tradnl"/>
        </w:rPr>
        <w:t>del Sr. Rivera Matus.</w:t>
      </w:r>
      <w:r w:rsidR="00A84A4D" w:rsidRPr="00E019A9">
        <w:rPr>
          <w:sz w:val="20"/>
          <w:szCs w:val="20"/>
          <w:lang w:val="es-ES_tradnl"/>
        </w:rPr>
        <w:t xml:space="preserve"> En consecuencia, el juez</w:t>
      </w:r>
      <w:r w:rsidR="00DA00BD" w:rsidRPr="00E019A9">
        <w:rPr>
          <w:sz w:val="20"/>
          <w:szCs w:val="20"/>
          <w:lang w:val="es-ES_tradnl"/>
        </w:rPr>
        <w:t xml:space="preserve"> con</w:t>
      </w:r>
      <w:r w:rsidR="0076676C" w:rsidRPr="00E019A9">
        <w:rPr>
          <w:sz w:val="20"/>
          <w:szCs w:val="20"/>
          <w:lang w:val="es-ES_tradnl"/>
        </w:rPr>
        <w:t>den</w:t>
      </w:r>
      <w:r w:rsidR="00DA00BD" w:rsidRPr="00E019A9">
        <w:rPr>
          <w:sz w:val="20"/>
          <w:szCs w:val="20"/>
          <w:lang w:val="es-ES_tradnl"/>
        </w:rPr>
        <w:t xml:space="preserve">ó a </w:t>
      </w:r>
      <w:r w:rsidR="00A84A4D" w:rsidRPr="00E019A9">
        <w:rPr>
          <w:sz w:val="20"/>
          <w:szCs w:val="20"/>
          <w:lang w:val="es-ES_tradnl"/>
        </w:rPr>
        <w:t xml:space="preserve">Álvaro Julio Federico Corbalán Castilla y a Sergio Antonio Díaz López, entonces oficiales de la Dirección de Inteligencia del </w:t>
      </w:r>
      <w:r w:rsidR="002A4062" w:rsidRPr="00E019A9">
        <w:rPr>
          <w:sz w:val="20"/>
          <w:szCs w:val="20"/>
          <w:lang w:val="es-ES_tradnl"/>
        </w:rPr>
        <w:t>Ejército</w:t>
      </w:r>
      <w:r w:rsidR="00A84A4D" w:rsidRPr="00E019A9">
        <w:rPr>
          <w:sz w:val="20"/>
          <w:szCs w:val="20"/>
          <w:lang w:val="es-ES_tradnl"/>
        </w:rPr>
        <w:t xml:space="preserve"> (DINE), a la pena de 15 años de presidio mayor en su grado medio y 10 años de presidio mayor en su grado mínimo, respectivamente,</w:t>
      </w:r>
      <w:r w:rsidR="00DF1B21" w:rsidRPr="00E019A9">
        <w:rPr>
          <w:sz w:val="20"/>
          <w:szCs w:val="20"/>
          <w:lang w:val="es-ES_tradnl"/>
        </w:rPr>
        <w:t xml:space="preserve"> por el delito de secuestro calificado,</w:t>
      </w:r>
      <w:r w:rsidR="00A84A4D" w:rsidRPr="00E019A9">
        <w:rPr>
          <w:sz w:val="20"/>
          <w:szCs w:val="20"/>
          <w:lang w:val="es-ES_tradnl"/>
        </w:rPr>
        <w:t xml:space="preserve"> mas accesoria de inhabilitación absoluta perpetua para cargos y oficios públicos</w:t>
      </w:r>
      <w:r w:rsidR="00FA3BFE" w:rsidRPr="00E019A9">
        <w:rPr>
          <w:rStyle w:val="FootnoteReference"/>
          <w:sz w:val="20"/>
          <w:szCs w:val="20"/>
          <w:lang w:val="es-ES_tradnl"/>
        </w:rPr>
        <w:footnoteReference w:id="53"/>
      </w:r>
      <w:r w:rsidR="00DF1B21" w:rsidRPr="00E019A9">
        <w:rPr>
          <w:sz w:val="20"/>
          <w:szCs w:val="20"/>
          <w:lang w:val="es-ES_tradnl"/>
        </w:rPr>
        <w:t xml:space="preserve">. </w:t>
      </w:r>
    </w:p>
    <w:p w14:paraId="78B870CF" w14:textId="77777777" w:rsidR="008142C0" w:rsidRPr="00E019A9" w:rsidRDefault="008142C0" w:rsidP="00AC1CA8">
      <w:pPr>
        <w:pStyle w:val="ListParagraph"/>
        <w:tabs>
          <w:tab w:val="left" w:pos="567"/>
        </w:tabs>
        <w:rPr>
          <w:sz w:val="20"/>
          <w:szCs w:val="20"/>
          <w:lang w:val="es-ES_tradnl"/>
        </w:rPr>
      </w:pPr>
    </w:p>
    <w:p w14:paraId="56CC9CD3" w14:textId="77777777" w:rsidR="008142C0" w:rsidRPr="00E019A9" w:rsidRDefault="00DF1B21" w:rsidP="00BB60A6">
      <w:pPr>
        <w:pStyle w:val="ListParagraph"/>
        <w:numPr>
          <w:ilvl w:val="0"/>
          <w:numId w:val="57"/>
        </w:numPr>
        <w:tabs>
          <w:tab w:val="left" w:pos="567"/>
        </w:tabs>
        <w:ind w:left="0" w:firstLine="0"/>
        <w:jc w:val="both"/>
        <w:rPr>
          <w:sz w:val="20"/>
          <w:szCs w:val="20"/>
          <w:lang w:val="es-ES_tradnl"/>
        </w:rPr>
      </w:pPr>
      <w:r w:rsidRPr="00E019A9">
        <w:rPr>
          <w:sz w:val="20"/>
          <w:szCs w:val="20"/>
          <w:lang w:val="es-ES_tradnl"/>
        </w:rPr>
        <w:t xml:space="preserve">Asimismo, el juez dictó sentencia condenatoria contra Freddy Enrique Ruiz Bunger, ex Director de Inteligencia de la Fuerza </w:t>
      </w:r>
      <w:r w:rsidR="00FA3BFE" w:rsidRPr="00E019A9">
        <w:rPr>
          <w:sz w:val="20"/>
          <w:szCs w:val="20"/>
          <w:lang w:val="es-ES_tradnl"/>
        </w:rPr>
        <w:t>Aérea</w:t>
      </w:r>
      <w:r w:rsidRPr="00E019A9">
        <w:rPr>
          <w:sz w:val="20"/>
          <w:szCs w:val="20"/>
          <w:lang w:val="es-ES_tradnl"/>
        </w:rPr>
        <w:t xml:space="preserve">, y Carlos Arturo Madrid Hayden, </w:t>
      </w:r>
      <w:r w:rsidR="007C39A4" w:rsidRPr="00E019A9">
        <w:rPr>
          <w:sz w:val="20"/>
          <w:szCs w:val="20"/>
          <w:lang w:val="es-ES_tradnl"/>
        </w:rPr>
        <w:t xml:space="preserve">ex Segundo Comandante de la Base </w:t>
      </w:r>
      <w:r w:rsidR="00FA3BFE" w:rsidRPr="00E019A9">
        <w:rPr>
          <w:sz w:val="20"/>
          <w:szCs w:val="20"/>
          <w:lang w:val="es-ES_tradnl"/>
        </w:rPr>
        <w:t>Aérea</w:t>
      </w:r>
      <w:r w:rsidR="007C39A4" w:rsidRPr="00E019A9">
        <w:rPr>
          <w:sz w:val="20"/>
          <w:szCs w:val="20"/>
          <w:lang w:val="es-ES_tradnl"/>
        </w:rPr>
        <w:t xml:space="preserve"> de Colina, </w:t>
      </w:r>
      <w:r w:rsidR="00FA3BFE" w:rsidRPr="00E019A9">
        <w:rPr>
          <w:sz w:val="20"/>
          <w:szCs w:val="20"/>
          <w:lang w:val="es-ES_tradnl"/>
        </w:rPr>
        <w:t>por</w:t>
      </w:r>
      <w:r w:rsidR="00BD4BD7" w:rsidRPr="00E019A9">
        <w:rPr>
          <w:sz w:val="20"/>
          <w:szCs w:val="20"/>
          <w:lang w:val="es-ES_tradnl"/>
        </w:rPr>
        <w:t xml:space="preserve"> el</w:t>
      </w:r>
      <w:r w:rsidR="00FA3BFE" w:rsidRPr="00E019A9">
        <w:rPr>
          <w:sz w:val="20"/>
          <w:szCs w:val="20"/>
          <w:lang w:val="es-ES_tradnl"/>
        </w:rPr>
        <w:t xml:space="preserve"> delito de encubrimiento de secuestro calificado y les impuso la pena de</w:t>
      </w:r>
      <w:r w:rsidR="007C39A4" w:rsidRPr="00E019A9">
        <w:rPr>
          <w:sz w:val="20"/>
          <w:szCs w:val="20"/>
          <w:lang w:val="es-ES_tradnl"/>
        </w:rPr>
        <w:t xml:space="preserve"> 600 </w:t>
      </w:r>
      <w:r w:rsidR="00FA3BFE" w:rsidRPr="00E019A9">
        <w:rPr>
          <w:sz w:val="20"/>
          <w:szCs w:val="20"/>
          <w:lang w:val="es-ES_tradnl"/>
        </w:rPr>
        <w:t>días</w:t>
      </w:r>
      <w:r w:rsidR="007C39A4" w:rsidRPr="00E019A9">
        <w:rPr>
          <w:sz w:val="20"/>
          <w:szCs w:val="20"/>
          <w:lang w:val="es-ES_tradnl"/>
        </w:rPr>
        <w:t xml:space="preserve"> de </w:t>
      </w:r>
      <w:r w:rsidR="00035B24" w:rsidRPr="00E019A9">
        <w:rPr>
          <w:sz w:val="20"/>
          <w:szCs w:val="20"/>
          <w:lang w:val="es-ES_tradnl"/>
        </w:rPr>
        <w:t>presidio menor</w:t>
      </w:r>
      <w:r w:rsidR="00FA3BFE" w:rsidRPr="00E019A9">
        <w:rPr>
          <w:sz w:val="20"/>
          <w:szCs w:val="20"/>
          <w:lang w:val="es-ES_tradnl"/>
        </w:rPr>
        <w:t xml:space="preserve"> en su grado medio y accesoria de suspensión de cargos u oficios públicos durante el tiempo de la condena. En ambos casos se concedió a los sentenciados el beneficio de la remisión condicional de la pena contemplado en  los artículos 3 y 4 de la ley 18.216</w:t>
      </w:r>
      <w:r w:rsidR="00FA3BFE" w:rsidRPr="00E019A9">
        <w:rPr>
          <w:rStyle w:val="FootnoteReference"/>
          <w:sz w:val="20"/>
          <w:szCs w:val="20"/>
          <w:lang w:val="es-ES_tradnl"/>
        </w:rPr>
        <w:footnoteReference w:id="54"/>
      </w:r>
      <w:r w:rsidR="00FA3BFE" w:rsidRPr="00E019A9">
        <w:rPr>
          <w:sz w:val="20"/>
          <w:szCs w:val="20"/>
          <w:lang w:val="es-ES_tradnl"/>
        </w:rPr>
        <w:t xml:space="preserve">. </w:t>
      </w:r>
    </w:p>
    <w:p w14:paraId="02A92C96" w14:textId="77777777" w:rsidR="008142C0" w:rsidRPr="00E019A9" w:rsidRDefault="008142C0" w:rsidP="00AC1CA8">
      <w:pPr>
        <w:pStyle w:val="ListParagraph"/>
        <w:tabs>
          <w:tab w:val="left" w:pos="567"/>
        </w:tabs>
        <w:rPr>
          <w:sz w:val="20"/>
          <w:szCs w:val="20"/>
          <w:lang w:val="es-ES_tradnl"/>
        </w:rPr>
      </w:pPr>
    </w:p>
    <w:p w14:paraId="2F20397B" w14:textId="77777777" w:rsidR="008142C0" w:rsidRPr="00E019A9" w:rsidRDefault="00BD4BD7" w:rsidP="00BB60A6">
      <w:pPr>
        <w:pStyle w:val="ListParagraph"/>
        <w:numPr>
          <w:ilvl w:val="0"/>
          <w:numId w:val="57"/>
        </w:numPr>
        <w:tabs>
          <w:tab w:val="left" w:pos="567"/>
        </w:tabs>
        <w:ind w:left="0" w:firstLine="0"/>
        <w:jc w:val="both"/>
        <w:rPr>
          <w:sz w:val="20"/>
          <w:szCs w:val="20"/>
          <w:lang w:val="es-ES_tradnl"/>
        </w:rPr>
      </w:pPr>
      <w:r w:rsidRPr="00E019A9">
        <w:rPr>
          <w:sz w:val="20"/>
          <w:szCs w:val="20"/>
          <w:lang w:val="es-ES_tradnl"/>
        </w:rPr>
        <w:t xml:space="preserve">En ocasión de intervenir ante los recursos de apelación interpuestos por las defensas de los sentenciados, la </w:t>
      </w:r>
      <w:r w:rsidR="00376248" w:rsidRPr="00E019A9">
        <w:rPr>
          <w:sz w:val="20"/>
          <w:szCs w:val="20"/>
          <w:lang w:val="es-ES_tradnl"/>
        </w:rPr>
        <w:t>Séptima</w:t>
      </w:r>
      <w:r w:rsidRPr="00E019A9">
        <w:rPr>
          <w:sz w:val="20"/>
          <w:szCs w:val="20"/>
          <w:lang w:val="es-ES_tradnl"/>
        </w:rPr>
        <w:t xml:space="preserve"> Sala de la Corte de Apelaciones </w:t>
      </w:r>
      <w:r w:rsidR="00376248" w:rsidRPr="00E019A9">
        <w:rPr>
          <w:sz w:val="20"/>
          <w:szCs w:val="20"/>
          <w:lang w:val="es-ES_tradnl"/>
        </w:rPr>
        <w:t xml:space="preserve">también consideró </w:t>
      </w:r>
      <w:r w:rsidRPr="00E019A9">
        <w:rPr>
          <w:sz w:val="20"/>
          <w:szCs w:val="20"/>
          <w:lang w:val="es-ES_tradnl"/>
        </w:rPr>
        <w:t xml:space="preserve">que se encuentra acreditado que “el </w:t>
      </w:r>
      <w:r w:rsidR="00376248" w:rsidRPr="00E019A9">
        <w:rPr>
          <w:sz w:val="20"/>
          <w:szCs w:val="20"/>
          <w:lang w:val="es-ES_tradnl"/>
        </w:rPr>
        <w:t>día</w:t>
      </w:r>
      <w:r w:rsidRPr="00E019A9">
        <w:rPr>
          <w:sz w:val="20"/>
          <w:szCs w:val="20"/>
          <w:lang w:val="es-ES_tradnl"/>
        </w:rPr>
        <w:t xml:space="preserve"> 6 de noviembre de 1975, cuando Juan Rivera Matus salía de las oficinas de Chilectra ubicadas en calle Santo </w:t>
      </w:r>
      <w:r w:rsidR="00376248" w:rsidRPr="00E019A9">
        <w:rPr>
          <w:sz w:val="20"/>
          <w:szCs w:val="20"/>
          <w:lang w:val="es-ES_tradnl"/>
        </w:rPr>
        <w:t>Domingo</w:t>
      </w:r>
      <w:r w:rsidRPr="00E019A9">
        <w:rPr>
          <w:sz w:val="20"/>
          <w:szCs w:val="20"/>
          <w:lang w:val="es-ES_tradnl"/>
        </w:rPr>
        <w:t xml:space="preserve">, empresa para la cual trabajaba y a la que había concurrido a solucionar un problema por unos permisos que se le habían otorgado, tres o cuatro sujetos lo detuvieron en la </w:t>
      </w:r>
      <w:r w:rsidR="00376248" w:rsidRPr="00E019A9">
        <w:rPr>
          <w:sz w:val="20"/>
          <w:szCs w:val="20"/>
          <w:lang w:val="es-ES_tradnl"/>
        </w:rPr>
        <w:t>vía</w:t>
      </w:r>
      <w:r w:rsidRPr="00E019A9">
        <w:rPr>
          <w:sz w:val="20"/>
          <w:szCs w:val="20"/>
          <w:lang w:val="es-ES_tradnl"/>
        </w:rPr>
        <w:t xml:space="preserve"> </w:t>
      </w:r>
      <w:r w:rsidR="002A4062" w:rsidRPr="00E019A9">
        <w:rPr>
          <w:sz w:val="20"/>
          <w:szCs w:val="20"/>
          <w:lang w:val="es-ES_tradnl"/>
        </w:rPr>
        <w:t>pública</w:t>
      </w:r>
      <w:r w:rsidRPr="00E019A9">
        <w:rPr>
          <w:sz w:val="20"/>
          <w:szCs w:val="20"/>
          <w:lang w:val="es-ES_tradnl"/>
        </w:rPr>
        <w:t xml:space="preserve"> y lo obligaron a subir a un </w:t>
      </w:r>
      <w:r w:rsidR="00376248" w:rsidRPr="00E019A9">
        <w:rPr>
          <w:sz w:val="20"/>
          <w:szCs w:val="20"/>
          <w:lang w:val="es-ES_tradnl"/>
        </w:rPr>
        <w:t>vehículo</w:t>
      </w:r>
      <w:r w:rsidRPr="00E019A9">
        <w:rPr>
          <w:sz w:val="20"/>
          <w:szCs w:val="20"/>
          <w:lang w:val="es-ES_tradnl"/>
        </w:rPr>
        <w:t xml:space="preserve"> marca Peugeot, blando, sin patente, el que por calle Santo Domingo </w:t>
      </w:r>
      <w:r w:rsidR="00376248" w:rsidRPr="00E019A9">
        <w:rPr>
          <w:sz w:val="20"/>
          <w:szCs w:val="20"/>
          <w:lang w:val="es-ES_tradnl"/>
        </w:rPr>
        <w:t>salió</w:t>
      </w:r>
      <w:r w:rsidRPr="00E019A9">
        <w:rPr>
          <w:sz w:val="20"/>
          <w:szCs w:val="20"/>
          <w:lang w:val="es-ES_tradnl"/>
        </w:rPr>
        <w:t xml:space="preserve"> en dirección al cerro </w:t>
      </w:r>
      <w:r w:rsidRPr="00E019A9">
        <w:rPr>
          <w:sz w:val="20"/>
          <w:szCs w:val="20"/>
          <w:lang w:val="es-ES_tradnl"/>
        </w:rPr>
        <w:lastRenderedPageBreak/>
        <w:t>Santa Luc</w:t>
      </w:r>
      <w:r w:rsidR="004B5744" w:rsidRPr="00E019A9">
        <w:rPr>
          <w:sz w:val="20"/>
          <w:szCs w:val="20"/>
          <w:lang w:val="es-ES_tradnl"/>
        </w:rPr>
        <w:t>í</w:t>
      </w:r>
      <w:r w:rsidRPr="00E019A9">
        <w:rPr>
          <w:sz w:val="20"/>
          <w:szCs w:val="20"/>
          <w:lang w:val="es-ES_tradnl"/>
        </w:rPr>
        <w:t xml:space="preserve">a” y que el Sr. Rivera Matus “fue trasladado a un lugar denominado Remo Cero o La </w:t>
      </w:r>
      <w:r w:rsidR="00376248" w:rsidRPr="00E019A9">
        <w:rPr>
          <w:sz w:val="20"/>
          <w:szCs w:val="20"/>
          <w:lang w:val="es-ES_tradnl"/>
        </w:rPr>
        <w:t>Prevención</w:t>
      </w:r>
      <w:r w:rsidRPr="00E019A9">
        <w:rPr>
          <w:sz w:val="20"/>
          <w:szCs w:val="20"/>
          <w:lang w:val="es-ES_tradnl"/>
        </w:rPr>
        <w:t xml:space="preserve">, ubicado al interior de la Base </w:t>
      </w:r>
      <w:r w:rsidR="00376248" w:rsidRPr="00E019A9">
        <w:rPr>
          <w:sz w:val="20"/>
          <w:szCs w:val="20"/>
          <w:lang w:val="es-ES_tradnl"/>
        </w:rPr>
        <w:t>Aérea</w:t>
      </w:r>
      <w:r w:rsidRPr="00E019A9">
        <w:rPr>
          <w:sz w:val="20"/>
          <w:szCs w:val="20"/>
          <w:lang w:val="es-ES_tradnl"/>
        </w:rPr>
        <w:t xml:space="preserve"> de Colina, donde </w:t>
      </w:r>
      <w:r w:rsidR="00376248" w:rsidRPr="00E019A9">
        <w:rPr>
          <w:sz w:val="20"/>
          <w:szCs w:val="20"/>
          <w:lang w:val="es-ES_tradnl"/>
        </w:rPr>
        <w:t>después</w:t>
      </w:r>
      <w:r w:rsidRPr="00E019A9">
        <w:rPr>
          <w:sz w:val="20"/>
          <w:szCs w:val="20"/>
          <w:lang w:val="es-ES_tradnl"/>
        </w:rPr>
        <w:t xml:space="preserve"> de interrogarlo mediante tortura, fallece”.</w:t>
      </w:r>
      <w:r w:rsidR="00376248" w:rsidRPr="00E019A9">
        <w:rPr>
          <w:rStyle w:val="FootnoteReference"/>
          <w:sz w:val="20"/>
          <w:szCs w:val="20"/>
          <w:lang w:val="es-ES_tradnl"/>
        </w:rPr>
        <w:footnoteReference w:id="55"/>
      </w:r>
      <w:r w:rsidRPr="00E019A9">
        <w:rPr>
          <w:sz w:val="20"/>
          <w:szCs w:val="20"/>
          <w:lang w:val="es-ES_tradnl"/>
        </w:rPr>
        <w:t xml:space="preserve"> </w:t>
      </w:r>
    </w:p>
    <w:p w14:paraId="0249E600" w14:textId="77777777" w:rsidR="008142C0" w:rsidRPr="00E019A9" w:rsidRDefault="008142C0" w:rsidP="00AC1CA8">
      <w:pPr>
        <w:pStyle w:val="ListParagraph"/>
        <w:tabs>
          <w:tab w:val="left" w:pos="567"/>
        </w:tabs>
        <w:rPr>
          <w:sz w:val="20"/>
          <w:szCs w:val="20"/>
          <w:lang w:val="es-ES_tradnl"/>
        </w:rPr>
      </w:pPr>
    </w:p>
    <w:p w14:paraId="68094EF6" w14:textId="77777777" w:rsidR="008142C0" w:rsidRPr="00E019A9" w:rsidRDefault="00376248" w:rsidP="00BB60A6">
      <w:pPr>
        <w:pStyle w:val="ListParagraph"/>
        <w:numPr>
          <w:ilvl w:val="0"/>
          <w:numId w:val="57"/>
        </w:numPr>
        <w:tabs>
          <w:tab w:val="left" w:pos="567"/>
        </w:tabs>
        <w:ind w:left="0" w:firstLine="0"/>
        <w:jc w:val="both"/>
        <w:rPr>
          <w:sz w:val="20"/>
          <w:szCs w:val="20"/>
          <w:lang w:val="es-ES_tradnl"/>
        </w:rPr>
      </w:pPr>
      <w:r w:rsidRPr="00E019A9">
        <w:rPr>
          <w:sz w:val="20"/>
          <w:szCs w:val="20"/>
          <w:lang w:val="es-ES_tradnl"/>
        </w:rPr>
        <w:t xml:space="preserve">La Séptima Sala de la Corte de Apelaciones decidió conformar la sentencia de primera instancia, pero decidió modificar la calificación penal y la sanción impuesta a los responsables del </w:t>
      </w:r>
      <w:r w:rsidR="00035B24" w:rsidRPr="00E019A9">
        <w:rPr>
          <w:sz w:val="20"/>
          <w:szCs w:val="20"/>
          <w:lang w:val="es-ES_tradnl"/>
        </w:rPr>
        <w:t>hecho.</w:t>
      </w:r>
      <w:r w:rsidRPr="00E019A9">
        <w:rPr>
          <w:sz w:val="20"/>
          <w:szCs w:val="20"/>
          <w:lang w:val="es-ES_tradnl"/>
        </w:rPr>
        <w:t xml:space="preserve"> En consecuencia, Freddy Ruiz Bunger, Carlos Arturo Madrid Hayden, Julio Federico Corvalán Castilla y Sergio Antonio Díaz López fueron todos condenados a la pena de 10 a</w:t>
      </w:r>
      <w:r w:rsidR="007F6CD4" w:rsidRPr="00E019A9">
        <w:rPr>
          <w:sz w:val="20"/>
          <w:szCs w:val="20"/>
          <w:lang w:val="es-ES_tradnl"/>
        </w:rPr>
        <w:t>ñ</w:t>
      </w:r>
      <w:r w:rsidRPr="00E019A9">
        <w:rPr>
          <w:sz w:val="20"/>
          <w:szCs w:val="20"/>
          <w:lang w:val="es-ES_tradnl"/>
        </w:rPr>
        <w:t xml:space="preserve">os de presidio mayor en su grado mínimo, </w:t>
      </w:r>
      <w:r w:rsidR="002A4062" w:rsidRPr="00E019A9">
        <w:rPr>
          <w:sz w:val="20"/>
          <w:szCs w:val="20"/>
          <w:lang w:val="es-ES_tradnl"/>
        </w:rPr>
        <w:t>más</w:t>
      </w:r>
      <w:r w:rsidRPr="00E019A9">
        <w:rPr>
          <w:sz w:val="20"/>
          <w:szCs w:val="20"/>
          <w:lang w:val="es-ES_tradnl"/>
        </w:rPr>
        <w:t xml:space="preserve"> las accesorias de inhabilitación absoluta y perpetua pata cargos públicos por resultar autores del delito de secuestro con resultado de grave daño (muerte), cometido el 6 de noviembre de 1975 en la persona de Juan Luis Rivera Matus</w:t>
      </w:r>
      <w:r w:rsidRPr="00E019A9">
        <w:rPr>
          <w:rStyle w:val="FootnoteReference"/>
          <w:sz w:val="20"/>
          <w:szCs w:val="20"/>
          <w:lang w:val="es-ES_tradnl"/>
        </w:rPr>
        <w:footnoteReference w:id="56"/>
      </w:r>
      <w:r w:rsidRPr="00E019A9">
        <w:rPr>
          <w:sz w:val="20"/>
          <w:szCs w:val="20"/>
          <w:lang w:val="es-ES_tradnl"/>
        </w:rPr>
        <w:t xml:space="preserve">. </w:t>
      </w:r>
    </w:p>
    <w:p w14:paraId="48271FB7" w14:textId="77777777" w:rsidR="008142C0" w:rsidRPr="00E019A9" w:rsidRDefault="008142C0" w:rsidP="00AC1CA8">
      <w:pPr>
        <w:pStyle w:val="ListParagraph"/>
        <w:tabs>
          <w:tab w:val="left" w:pos="567"/>
        </w:tabs>
        <w:rPr>
          <w:sz w:val="20"/>
          <w:szCs w:val="20"/>
          <w:lang w:val="es-ES_tradnl"/>
        </w:rPr>
      </w:pPr>
    </w:p>
    <w:p w14:paraId="1FF892FD" w14:textId="77777777" w:rsidR="008142C0" w:rsidRPr="00E019A9" w:rsidRDefault="00376248" w:rsidP="00BB60A6">
      <w:pPr>
        <w:pStyle w:val="ListParagraph"/>
        <w:numPr>
          <w:ilvl w:val="0"/>
          <w:numId w:val="57"/>
        </w:numPr>
        <w:tabs>
          <w:tab w:val="left" w:pos="567"/>
        </w:tabs>
        <w:ind w:left="0" w:firstLine="0"/>
        <w:jc w:val="both"/>
        <w:rPr>
          <w:sz w:val="20"/>
          <w:szCs w:val="20"/>
          <w:lang w:val="es-ES_tradnl"/>
        </w:rPr>
      </w:pPr>
      <w:r w:rsidRPr="00E019A9">
        <w:rPr>
          <w:sz w:val="20"/>
          <w:szCs w:val="20"/>
          <w:lang w:val="es-ES_tradnl"/>
        </w:rPr>
        <w:t xml:space="preserve">Por </w:t>
      </w:r>
      <w:r w:rsidR="002A4062" w:rsidRPr="00E019A9">
        <w:rPr>
          <w:sz w:val="20"/>
          <w:szCs w:val="20"/>
          <w:lang w:val="es-ES_tradnl"/>
        </w:rPr>
        <w:t>último</w:t>
      </w:r>
      <w:r w:rsidRPr="00E019A9">
        <w:rPr>
          <w:sz w:val="20"/>
          <w:szCs w:val="20"/>
          <w:lang w:val="es-ES_tradnl"/>
        </w:rPr>
        <w:t>, el 30 de julio de 2007 la Corte Suprema, conociendo de los recursos de casación interpuestos por los condenados, decidió invalida</w:t>
      </w:r>
      <w:r w:rsidR="00EF141E" w:rsidRPr="00E019A9">
        <w:rPr>
          <w:sz w:val="20"/>
          <w:szCs w:val="20"/>
          <w:lang w:val="es-ES_tradnl"/>
        </w:rPr>
        <w:t>r</w:t>
      </w:r>
      <w:r w:rsidRPr="00E019A9">
        <w:rPr>
          <w:sz w:val="20"/>
          <w:szCs w:val="20"/>
          <w:lang w:val="es-ES_tradnl"/>
        </w:rPr>
        <w:t xml:space="preserve"> la sentencia d</w:t>
      </w:r>
      <w:r w:rsidR="006169B5" w:rsidRPr="00E019A9">
        <w:rPr>
          <w:sz w:val="20"/>
          <w:szCs w:val="20"/>
          <w:lang w:val="es-ES_tradnl"/>
        </w:rPr>
        <w:t>ictada por la Séptima Sala de la Corte de Apelaciones</w:t>
      </w:r>
      <w:r w:rsidR="0020507E" w:rsidRPr="00E019A9">
        <w:rPr>
          <w:sz w:val="20"/>
          <w:szCs w:val="20"/>
          <w:lang w:val="es-ES_tradnl"/>
        </w:rPr>
        <w:t xml:space="preserve"> ya qu</w:t>
      </w:r>
      <w:r w:rsidR="00CE0295" w:rsidRPr="00E019A9">
        <w:rPr>
          <w:sz w:val="20"/>
          <w:szCs w:val="20"/>
          <w:lang w:val="es-ES_tradnl"/>
        </w:rPr>
        <w:t xml:space="preserve">e, según su </w:t>
      </w:r>
      <w:r w:rsidR="0020507E" w:rsidRPr="00E019A9">
        <w:rPr>
          <w:sz w:val="20"/>
          <w:szCs w:val="20"/>
          <w:lang w:val="es-ES_tradnl"/>
        </w:rPr>
        <w:t>criterio</w:t>
      </w:r>
      <w:r w:rsidR="00CE0295" w:rsidRPr="00E019A9">
        <w:rPr>
          <w:sz w:val="20"/>
          <w:szCs w:val="20"/>
          <w:lang w:val="es-ES_tradnl"/>
        </w:rPr>
        <w:t xml:space="preserve">, los jueces del </w:t>
      </w:r>
      <w:r w:rsidR="0020507E" w:rsidRPr="00E019A9">
        <w:rPr>
          <w:sz w:val="20"/>
          <w:szCs w:val="20"/>
          <w:lang w:val="es-ES_tradnl"/>
        </w:rPr>
        <w:t xml:space="preserve"> tribunal inferior</w:t>
      </w:r>
      <w:r w:rsidR="00CE0295" w:rsidRPr="00E019A9">
        <w:rPr>
          <w:sz w:val="20"/>
          <w:szCs w:val="20"/>
          <w:lang w:val="es-ES_tradnl"/>
        </w:rPr>
        <w:t>, en la valoración de la</w:t>
      </w:r>
      <w:r w:rsidR="0020507E" w:rsidRPr="00E019A9">
        <w:rPr>
          <w:sz w:val="20"/>
          <w:szCs w:val="20"/>
          <w:lang w:val="es-ES_tradnl"/>
        </w:rPr>
        <w:t xml:space="preserve"> situación del acusado Ruiz Bunger</w:t>
      </w:r>
      <w:r w:rsidR="00CE0295" w:rsidRPr="00E019A9">
        <w:rPr>
          <w:sz w:val="20"/>
          <w:szCs w:val="20"/>
          <w:lang w:val="es-ES_tradnl"/>
        </w:rPr>
        <w:t>,</w:t>
      </w:r>
      <w:r w:rsidR="0020507E" w:rsidRPr="00E019A9">
        <w:rPr>
          <w:sz w:val="20"/>
          <w:szCs w:val="20"/>
          <w:lang w:val="es-ES_tradnl"/>
        </w:rPr>
        <w:t xml:space="preserve"> no había</w:t>
      </w:r>
      <w:r w:rsidR="00CE0295" w:rsidRPr="00E019A9">
        <w:rPr>
          <w:sz w:val="20"/>
          <w:szCs w:val="20"/>
          <w:lang w:val="es-ES_tradnl"/>
        </w:rPr>
        <w:t>n</w:t>
      </w:r>
      <w:r w:rsidR="0020507E" w:rsidRPr="00E019A9">
        <w:rPr>
          <w:sz w:val="20"/>
          <w:szCs w:val="20"/>
          <w:lang w:val="es-ES_tradnl"/>
        </w:rPr>
        <w:t xml:space="preserve"> atendido “a las exigencias que en la extensión de las sentencias les impone el </w:t>
      </w:r>
      <w:r w:rsidR="002A4062" w:rsidRPr="00E019A9">
        <w:rPr>
          <w:sz w:val="20"/>
          <w:szCs w:val="20"/>
          <w:lang w:val="es-ES_tradnl"/>
        </w:rPr>
        <w:t>artículo</w:t>
      </w:r>
      <w:r w:rsidR="0020507E" w:rsidRPr="00E019A9">
        <w:rPr>
          <w:sz w:val="20"/>
          <w:szCs w:val="20"/>
          <w:lang w:val="es-ES_tradnl"/>
        </w:rPr>
        <w:t xml:space="preserve"> 500 del </w:t>
      </w:r>
      <w:r w:rsidR="000655EE" w:rsidRPr="00E019A9">
        <w:rPr>
          <w:sz w:val="20"/>
          <w:szCs w:val="20"/>
          <w:lang w:val="es-ES_tradnl"/>
        </w:rPr>
        <w:t>Código</w:t>
      </w:r>
      <w:r w:rsidR="0020507E" w:rsidRPr="00E019A9">
        <w:rPr>
          <w:sz w:val="20"/>
          <w:szCs w:val="20"/>
          <w:lang w:val="es-ES_tradnl"/>
        </w:rPr>
        <w:t xml:space="preserve"> de Procedimiento Penal en su ordinal cuarto, toda vez que no consignaron las consideraciones en cuya virtud dieron por probados los hechos atribuidos al referido acusado”</w:t>
      </w:r>
      <w:r w:rsidR="000655EE" w:rsidRPr="00E019A9">
        <w:rPr>
          <w:rStyle w:val="FootnoteReference"/>
          <w:sz w:val="20"/>
          <w:szCs w:val="20"/>
          <w:lang w:val="es-ES_tradnl"/>
        </w:rPr>
        <w:footnoteReference w:id="57"/>
      </w:r>
      <w:r w:rsidR="0020507E" w:rsidRPr="00E019A9">
        <w:rPr>
          <w:sz w:val="20"/>
          <w:szCs w:val="20"/>
          <w:lang w:val="es-ES_tradnl"/>
        </w:rPr>
        <w:t xml:space="preserve">. </w:t>
      </w:r>
    </w:p>
    <w:p w14:paraId="1E2BAFC8" w14:textId="77777777" w:rsidR="008142C0" w:rsidRPr="00E019A9" w:rsidRDefault="008142C0" w:rsidP="00AC1CA8">
      <w:pPr>
        <w:pStyle w:val="ListParagraph"/>
        <w:tabs>
          <w:tab w:val="left" w:pos="567"/>
        </w:tabs>
        <w:rPr>
          <w:sz w:val="20"/>
          <w:szCs w:val="20"/>
          <w:lang w:val="es-ES_tradnl"/>
        </w:rPr>
      </w:pPr>
    </w:p>
    <w:p w14:paraId="0D034428" w14:textId="77777777" w:rsidR="008142C0" w:rsidRPr="00E019A9" w:rsidRDefault="0020507E" w:rsidP="00BB60A6">
      <w:pPr>
        <w:pStyle w:val="ListParagraph"/>
        <w:numPr>
          <w:ilvl w:val="0"/>
          <w:numId w:val="57"/>
        </w:numPr>
        <w:tabs>
          <w:tab w:val="left" w:pos="567"/>
        </w:tabs>
        <w:ind w:left="0" w:firstLine="0"/>
        <w:jc w:val="both"/>
        <w:rPr>
          <w:sz w:val="20"/>
          <w:szCs w:val="20"/>
          <w:lang w:val="es-ES_tradnl"/>
        </w:rPr>
      </w:pPr>
      <w:r w:rsidRPr="00E019A9">
        <w:rPr>
          <w:sz w:val="20"/>
          <w:szCs w:val="20"/>
          <w:lang w:val="es-ES_tradnl"/>
        </w:rPr>
        <w:t>En consecuencia, la Corte Suprema dictó una sentencia de reemplazo por medio de la cual</w:t>
      </w:r>
      <w:r w:rsidR="000655EE" w:rsidRPr="00E019A9">
        <w:rPr>
          <w:sz w:val="20"/>
          <w:szCs w:val="20"/>
          <w:lang w:val="es-ES_tradnl"/>
        </w:rPr>
        <w:t xml:space="preserve"> -</w:t>
      </w:r>
      <w:r w:rsidRPr="00E019A9">
        <w:rPr>
          <w:sz w:val="20"/>
          <w:szCs w:val="20"/>
          <w:lang w:val="es-ES_tradnl"/>
        </w:rPr>
        <w:t xml:space="preserve"> </w:t>
      </w:r>
      <w:r w:rsidR="000655EE" w:rsidRPr="00E019A9">
        <w:rPr>
          <w:sz w:val="20"/>
          <w:szCs w:val="20"/>
          <w:lang w:val="es-ES_tradnl"/>
        </w:rPr>
        <w:t xml:space="preserve">si bien </w:t>
      </w:r>
      <w:r w:rsidR="00636664" w:rsidRPr="00E019A9">
        <w:rPr>
          <w:sz w:val="20"/>
          <w:szCs w:val="20"/>
          <w:lang w:val="es-ES_tradnl"/>
        </w:rPr>
        <w:t>confirmó</w:t>
      </w:r>
      <w:r w:rsidRPr="00E019A9">
        <w:rPr>
          <w:sz w:val="20"/>
          <w:szCs w:val="20"/>
          <w:lang w:val="es-ES_tradnl"/>
        </w:rPr>
        <w:t xml:space="preserve"> la </w:t>
      </w:r>
      <w:r w:rsidR="007F6CD4" w:rsidRPr="00E019A9">
        <w:rPr>
          <w:sz w:val="20"/>
          <w:szCs w:val="20"/>
          <w:lang w:val="es-ES_tradnl"/>
        </w:rPr>
        <w:t>plataforma fáctica del caso tal como había sido narrada por los tribunales de primera y segunda instancia</w:t>
      </w:r>
      <w:r w:rsidR="000655EE" w:rsidRPr="00E019A9">
        <w:rPr>
          <w:sz w:val="20"/>
          <w:szCs w:val="20"/>
          <w:lang w:val="es-ES_tradnl"/>
        </w:rPr>
        <w:t xml:space="preserve"> - </w:t>
      </w:r>
      <w:r w:rsidR="007F6CD4" w:rsidRPr="00E019A9">
        <w:rPr>
          <w:sz w:val="20"/>
          <w:szCs w:val="20"/>
          <w:lang w:val="es-ES_tradnl"/>
        </w:rPr>
        <w:t xml:space="preserve"> </w:t>
      </w:r>
      <w:r w:rsidR="000655EE" w:rsidRPr="00E019A9">
        <w:rPr>
          <w:sz w:val="20"/>
          <w:szCs w:val="20"/>
          <w:lang w:val="es-ES_tradnl"/>
        </w:rPr>
        <w:t xml:space="preserve">decidió modificar </w:t>
      </w:r>
      <w:r w:rsidR="007F6CD4" w:rsidRPr="00E019A9">
        <w:rPr>
          <w:sz w:val="20"/>
          <w:szCs w:val="20"/>
          <w:lang w:val="es-ES_tradnl"/>
        </w:rPr>
        <w:t>la calificación jurídica de los hechos de secuestro con resultado de grave daño por la de homicidio calificado por alevosía</w:t>
      </w:r>
      <w:r w:rsidR="00636664" w:rsidRPr="00E019A9">
        <w:rPr>
          <w:sz w:val="20"/>
          <w:szCs w:val="20"/>
          <w:lang w:val="es-ES_tradnl"/>
        </w:rPr>
        <w:t xml:space="preserve"> y </w:t>
      </w:r>
      <w:r w:rsidR="000655EE" w:rsidRPr="00E019A9">
        <w:rPr>
          <w:sz w:val="20"/>
          <w:szCs w:val="20"/>
          <w:lang w:val="es-ES_tradnl"/>
        </w:rPr>
        <w:t>disminuir</w:t>
      </w:r>
      <w:r w:rsidR="00636664" w:rsidRPr="00E019A9">
        <w:rPr>
          <w:sz w:val="20"/>
          <w:szCs w:val="20"/>
          <w:lang w:val="es-ES_tradnl"/>
        </w:rPr>
        <w:t xml:space="preserve"> la pena impuesta a los responsables</w:t>
      </w:r>
      <w:r w:rsidR="007F6CD4" w:rsidRPr="00E019A9">
        <w:rPr>
          <w:sz w:val="20"/>
          <w:szCs w:val="20"/>
          <w:lang w:val="es-ES_tradnl"/>
        </w:rPr>
        <w:t xml:space="preserve">. </w:t>
      </w:r>
      <w:r w:rsidR="00636664" w:rsidRPr="00E019A9">
        <w:rPr>
          <w:sz w:val="20"/>
          <w:szCs w:val="20"/>
          <w:lang w:val="es-ES_tradnl"/>
        </w:rPr>
        <w:t>En efecto</w:t>
      </w:r>
      <w:r w:rsidR="008D71AE" w:rsidRPr="00E019A9">
        <w:rPr>
          <w:sz w:val="20"/>
          <w:szCs w:val="20"/>
          <w:lang w:val="es-ES_tradnl"/>
        </w:rPr>
        <w:t>, la Corte Suprema señaló que</w:t>
      </w:r>
      <w:r w:rsidR="000655EE" w:rsidRPr="00E019A9">
        <w:rPr>
          <w:sz w:val="20"/>
          <w:szCs w:val="20"/>
          <w:lang w:val="es-ES_tradnl"/>
        </w:rPr>
        <w:t xml:space="preserve">, visto que la causa judicial estuvo paralizada por </w:t>
      </w:r>
      <w:r w:rsidR="00BC235F" w:rsidRPr="00E019A9">
        <w:rPr>
          <w:sz w:val="20"/>
          <w:szCs w:val="20"/>
          <w:lang w:val="es-ES_tradnl"/>
        </w:rPr>
        <w:t>más</w:t>
      </w:r>
      <w:r w:rsidR="000655EE" w:rsidRPr="00E019A9">
        <w:rPr>
          <w:sz w:val="20"/>
          <w:szCs w:val="20"/>
          <w:lang w:val="es-ES_tradnl"/>
        </w:rPr>
        <w:t xml:space="preserve"> de tres años y lo dispuesto en el </w:t>
      </w:r>
      <w:r w:rsidR="00BC235F" w:rsidRPr="00E019A9">
        <w:rPr>
          <w:sz w:val="20"/>
          <w:szCs w:val="20"/>
          <w:lang w:val="es-ES_tradnl"/>
        </w:rPr>
        <w:t>artículo</w:t>
      </w:r>
      <w:r w:rsidR="000655EE" w:rsidRPr="00E019A9">
        <w:rPr>
          <w:sz w:val="20"/>
          <w:szCs w:val="20"/>
          <w:lang w:val="es-ES_tradnl"/>
        </w:rPr>
        <w:t xml:space="preserve"> 96 del Código Penal</w:t>
      </w:r>
      <w:r w:rsidR="000655EE" w:rsidRPr="00E019A9">
        <w:rPr>
          <w:rStyle w:val="FootnoteReference"/>
          <w:sz w:val="20"/>
          <w:szCs w:val="20"/>
          <w:lang w:val="es-ES_tradnl"/>
        </w:rPr>
        <w:footnoteReference w:id="58"/>
      </w:r>
      <w:r w:rsidR="000655EE" w:rsidRPr="00E019A9">
        <w:rPr>
          <w:sz w:val="20"/>
          <w:szCs w:val="20"/>
          <w:lang w:val="es-ES_tradnl"/>
        </w:rPr>
        <w:t xml:space="preserve">, el plazo de la prescripción debía continuar como si no se hubiese interrumpido y, por consiguiente, concluyó se encontrarían cumplidos los supuestos de hecho que autorizarían a aplicar la atenuante especial de la media prescripción contenida en el </w:t>
      </w:r>
      <w:r w:rsidR="00BC235F" w:rsidRPr="00E019A9">
        <w:rPr>
          <w:sz w:val="20"/>
          <w:szCs w:val="20"/>
          <w:lang w:val="es-ES_tradnl"/>
        </w:rPr>
        <w:t>artículo</w:t>
      </w:r>
      <w:r w:rsidR="000655EE" w:rsidRPr="00E019A9">
        <w:rPr>
          <w:sz w:val="20"/>
          <w:szCs w:val="20"/>
          <w:lang w:val="es-ES_tradnl"/>
        </w:rPr>
        <w:t xml:space="preserve"> 103 del Código Penal a favor de los encausados</w:t>
      </w:r>
      <w:r w:rsidR="000655EE" w:rsidRPr="00E019A9">
        <w:rPr>
          <w:rStyle w:val="FootnoteReference"/>
          <w:sz w:val="20"/>
          <w:szCs w:val="20"/>
          <w:lang w:val="es-ES_tradnl"/>
        </w:rPr>
        <w:footnoteReference w:id="59"/>
      </w:r>
      <w:r w:rsidR="000655EE" w:rsidRPr="00E019A9">
        <w:rPr>
          <w:sz w:val="20"/>
          <w:szCs w:val="20"/>
          <w:lang w:val="es-ES_tradnl"/>
        </w:rPr>
        <w:t>.</w:t>
      </w:r>
    </w:p>
    <w:p w14:paraId="515A645C" w14:textId="77777777" w:rsidR="008142C0" w:rsidRPr="00E019A9" w:rsidRDefault="008142C0" w:rsidP="00AC1CA8">
      <w:pPr>
        <w:pStyle w:val="ListParagraph"/>
        <w:tabs>
          <w:tab w:val="left" w:pos="567"/>
        </w:tabs>
        <w:rPr>
          <w:sz w:val="20"/>
          <w:szCs w:val="20"/>
          <w:lang w:val="es-ES_tradnl"/>
        </w:rPr>
      </w:pPr>
    </w:p>
    <w:p w14:paraId="13C8EF3F" w14:textId="77777777" w:rsidR="00636664" w:rsidRPr="00E019A9" w:rsidRDefault="00636664" w:rsidP="00BB60A6">
      <w:pPr>
        <w:pStyle w:val="ListParagraph"/>
        <w:numPr>
          <w:ilvl w:val="0"/>
          <w:numId w:val="57"/>
        </w:numPr>
        <w:tabs>
          <w:tab w:val="left" w:pos="567"/>
        </w:tabs>
        <w:ind w:left="0" w:firstLine="0"/>
        <w:jc w:val="both"/>
        <w:rPr>
          <w:sz w:val="20"/>
          <w:szCs w:val="20"/>
          <w:lang w:val="es-ES_tradnl"/>
        </w:rPr>
      </w:pPr>
      <w:r w:rsidRPr="00E019A9">
        <w:rPr>
          <w:sz w:val="20"/>
          <w:szCs w:val="20"/>
          <w:lang w:val="es-ES_tradnl"/>
        </w:rPr>
        <w:t xml:space="preserve">Por lo tanto, el tribunal decidió rebajar en tres grados la escala penal para el delito de homicidio calificado respecto de Ruiz Bunger y Madrid Hayden y les impuso la condena 3 años de presidio menor en grado medio. </w:t>
      </w:r>
      <w:r w:rsidR="00035B24" w:rsidRPr="00E019A9">
        <w:rPr>
          <w:sz w:val="20"/>
          <w:szCs w:val="20"/>
          <w:lang w:val="es-ES_tradnl"/>
        </w:rPr>
        <w:t>Con respecto</w:t>
      </w:r>
      <w:r w:rsidRPr="00E019A9">
        <w:rPr>
          <w:sz w:val="20"/>
          <w:szCs w:val="20"/>
          <w:lang w:val="es-ES_tradnl"/>
        </w:rPr>
        <w:t xml:space="preserve"> a la situación de Corvalán Castilla y Díaz López, la Corte Suprema </w:t>
      </w:r>
      <w:r w:rsidR="00035B24" w:rsidRPr="00E019A9">
        <w:rPr>
          <w:sz w:val="20"/>
          <w:szCs w:val="20"/>
          <w:lang w:val="es-ES_tradnl"/>
        </w:rPr>
        <w:t>disminuyó en</w:t>
      </w:r>
      <w:r w:rsidRPr="00E019A9">
        <w:rPr>
          <w:sz w:val="20"/>
          <w:szCs w:val="20"/>
          <w:lang w:val="es-ES_tradnl"/>
        </w:rPr>
        <w:t xml:space="preserve"> dos grados la escala penal y los condeno a la pena de 4 a</w:t>
      </w:r>
      <w:r w:rsidR="000655EE" w:rsidRPr="00E019A9">
        <w:rPr>
          <w:sz w:val="20"/>
          <w:szCs w:val="20"/>
          <w:lang w:val="es-ES_tradnl"/>
        </w:rPr>
        <w:t>ñ</w:t>
      </w:r>
      <w:r w:rsidRPr="00E019A9">
        <w:rPr>
          <w:sz w:val="20"/>
          <w:szCs w:val="20"/>
          <w:lang w:val="es-ES_tradnl"/>
        </w:rPr>
        <w:t xml:space="preserve">os de presidio menor en su grado máximo. </w:t>
      </w:r>
      <w:r w:rsidR="00DC2045" w:rsidRPr="00E019A9">
        <w:rPr>
          <w:sz w:val="20"/>
          <w:szCs w:val="20"/>
          <w:lang w:val="es-ES_tradnl"/>
        </w:rPr>
        <w:t xml:space="preserve">En todos los casos, salvo en lo que respecta a </w:t>
      </w:r>
      <w:r w:rsidR="007D7FC4" w:rsidRPr="00E019A9">
        <w:rPr>
          <w:sz w:val="20"/>
          <w:szCs w:val="20"/>
          <w:lang w:val="es-ES_tradnl"/>
        </w:rPr>
        <w:t>Corvalán</w:t>
      </w:r>
      <w:r w:rsidR="00DC2045" w:rsidRPr="00E019A9">
        <w:rPr>
          <w:sz w:val="20"/>
          <w:szCs w:val="20"/>
          <w:lang w:val="es-ES_tradnl"/>
        </w:rPr>
        <w:t xml:space="preserve"> Castilla, el tribunal dispuso conceder a los condenados la medida alternativa de libertad vigilada</w:t>
      </w:r>
      <w:r w:rsidR="000655EE" w:rsidRPr="00E019A9">
        <w:rPr>
          <w:rStyle w:val="FootnoteReference"/>
          <w:sz w:val="20"/>
          <w:szCs w:val="20"/>
          <w:lang w:val="es-ES_tradnl"/>
        </w:rPr>
        <w:footnoteReference w:id="60"/>
      </w:r>
      <w:r w:rsidR="00DC2045" w:rsidRPr="00E019A9">
        <w:rPr>
          <w:sz w:val="20"/>
          <w:szCs w:val="20"/>
          <w:lang w:val="es-ES_tradnl"/>
        </w:rPr>
        <w:t xml:space="preserve">. </w:t>
      </w:r>
    </w:p>
    <w:p w14:paraId="1E8F04DA" w14:textId="77777777" w:rsidR="00121E55" w:rsidRPr="00E019A9" w:rsidRDefault="00121E55" w:rsidP="00121E55">
      <w:pPr>
        <w:rPr>
          <w:sz w:val="20"/>
          <w:szCs w:val="20"/>
          <w:lang w:val="es-ES_tradnl"/>
        </w:rPr>
      </w:pPr>
    </w:p>
    <w:p w14:paraId="6FB9E52D" w14:textId="77777777" w:rsidR="00121E55" w:rsidRPr="00E019A9" w:rsidRDefault="00121E55" w:rsidP="00BB60A6">
      <w:pPr>
        <w:pStyle w:val="Heading3"/>
        <w:numPr>
          <w:ilvl w:val="1"/>
          <w:numId w:val="59"/>
        </w:numPr>
        <w:tabs>
          <w:tab w:val="left" w:pos="567"/>
          <w:tab w:val="left" w:pos="1134"/>
        </w:tabs>
        <w:ind w:left="567" w:firstLine="0"/>
        <w:jc w:val="both"/>
      </w:pPr>
      <w:r w:rsidRPr="00E019A9">
        <w:t xml:space="preserve">Respecto de la petición presentada en representación de Cardenio Ancacura Manquián, </w:t>
      </w:r>
      <w:r w:rsidR="004B5744" w:rsidRPr="00E019A9">
        <w:t>Teófilo</w:t>
      </w:r>
      <w:r w:rsidRPr="00E019A9">
        <w:t xml:space="preserve"> Zaragozo </w:t>
      </w:r>
      <w:r w:rsidR="004B5744" w:rsidRPr="00E019A9">
        <w:t>González</w:t>
      </w:r>
      <w:r w:rsidRPr="00E019A9">
        <w:t xml:space="preserve"> Calfulef, Manuel </w:t>
      </w:r>
      <w:r w:rsidR="00B14751" w:rsidRPr="00E019A9">
        <w:t>Hernández</w:t>
      </w:r>
      <w:r w:rsidRPr="00E019A9">
        <w:t xml:space="preserve"> Inostroza,</w:t>
      </w:r>
      <w:r w:rsidR="00E220A5" w:rsidRPr="00E019A9">
        <w:t xml:space="preserve"> </w:t>
      </w:r>
      <w:r w:rsidRPr="00E019A9">
        <w:t xml:space="preserve">Arturo Benito Vega González y sus respectivos </w:t>
      </w:r>
      <w:r w:rsidR="00035B24" w:rsidRPr="00E019A9">
        <w:t>familiares y</w:t>
      </w:r>
      <w:r w:rsidRPr="00E019A9">
        <w:t xml:space="preserve"> registrada inicialmente como P</w:t>
      </w:r>
      <w:r w:rsidR="00CF6FB4" w:rsidRPr="00E019A9">
        <w:t xml:space="preserve"> </w:t>
      </w:r>
      <w:r w:rsidRPr="00E019A9">
        <w:t>308-0</w:t>
      </w:r>
      <w:r w:rsidR="00884B43" w:rsidRPr="00E019A9">
        <w:t>8</w:t>
      </w:r>
    </w:p>
    <w:p w14:paraId="4999E236" w14:textId="77777777" w:rsidR="00884B43" w:rsidRPr="00E019A9" w:rsidRDefault="00884B43" w:rsidP="00884B43">
      <w:pPr>
        <w:rPr>
          <w:sz w:val="20"/>
          <w:szCs w:val="20"/>
          <w:lang w:val="es-ES_tradnl" w:eastAsia="es-ES"/>
        </w:rPr>
      </w:pPr>
    </w:p>
    <w:p w14:paraId="2F881CFE" w14:textId="77777777" w:rsidR="008142C0" w:rsidRPr="00E019A9" w:rsidRDefault="00884B43" w:rsidP="00BB60A6">
      <w:pPr>
        <w:pStyle w:val="ListParagraph"/>
        <w:numPr>
          <w:ilvl w:val="0"/>
          <w:numId w:val="57"/>
        </w:numPr>
        <w:tabs>
          <w:tab w:val="left" w:pos="567"/>
        </w:tabs>
        <w:ind w:left="0" w:firstLine="0"/>
        <w:jc w:val="both"/>
        <w:rPr>
          <w:sz w:val="20"/>
          <w:szCs w:val="20"/>
          <w:lang w:val="es-ES_tradnl"/>
        </w:rPr>
      </w:pPr>
      <w:r w:rsidRPr="00E019A9">
        <w:rPr>
          <w:sz w:val="20"/>
          <w:szCs w:val="20"/>
          <w:lang w:val="es-ES_tradnl"/>
        </w:rPr>
        <w:t xml:space="preserve">Conforme </w:t>
      </w:r>
      <w:r w:rsidR="00ED4FEE" w:rsidRPr="00E019A9">
        <w:rPr>
          <w:sz w:val="20"/>
          <w:szCs w:val="20"/>
          <w:lang w:val="es-ES_tradnl"/>
        </w:rPr>
        <w:t>ha sido probado por diversas instancias judiciales chilenas</w:t>
      </w:r>
      <w:r w:rsidRPr="00E019A9">
        <w:rPr>
          <w:sz w:val="20"/>
          <w:szCs w:val="20"/>
          <w:lang w:val="es-ES_tradnl"/>
        </w:rPr>
        <w:t xml:space="preserve">, </w:t>
      </w:r>
      <w:r w:rsidR="00F85044" w:rsidRPr="00E019A9">
        <w:rPr>
          <w:sz w:val="20"/>
          <w:szCs w:val="20"/>
          <w:lang w:val="es-ES_tradnl"/>
        </w:rPr>
        <w:t xml:space="preserve">el día 16 de octubre de 1973 los </w:t>
      </w:r>
      <w:r w:rsidR="00A21723" w:rsidRPr="00E019A9">
        <w:rPr>
          <w:sz w:val="20"/>
          <w:szCs w:val="20"/>
          <w:lang w:val="es-ES_tradnl"/>
        </w:rPr>
        <w:t xml:space="preserve">Sres. </w:t>
      </w:r>
      <w:r w:rsidR="00F85044" w:rsidRPr="00E019A9">
        <w:rPr>
          <w:sz w:val="20"/>
          <w:szCs w:val="20"/>
          <w:lang w:val="es-ES_tradnl"/>
        </w:rPr>
        <w:t xml:space="preserve">Cardenio Anacura Manquián, Manuel Jesús Hernández Inostroza, </w:t>
      </w:r>
      <w:r w:rsidR="004B5744" w:rsidRPr="00E019A9">
        <w:rPr>
          <w:sz w:val="20"/>
          <w:szCs w:val="20"/>
          <w:lang w:val="es-ES_tradnl"/>
        </w:rPr>
        <w:t>Teófilo</w:t>
      </w:r>
      <w:r w:rsidR="00F85044" w:rsidRPr="00E019A9">
        <w:rPr>
          <w:sz w:val="20"/>
          <w:szCs w:val="20"/>
          <w:lang w:val="es-ES_tradnl"/>
        </w:rPr>
        <w:t xml:space="preserve"> </w:t>
      </w:r>
      <w:r w:rsidR="004B5744" w:rsidRPr="00E019A9">
        <w:rPr>
          <w:sz w:val="20"/>
          <w:szCs w:val="20"/>
          <w:lang w:val="es-ES_tradnl"/>
        </w:rPr>
        <w:t>González</w:t>
      </w:r>
      <w:r w:rsidR="00F85044" w:rsidRPr="00E019A9">
        <w:rPr>
          <w:sz w:val="20"/>
          <w:szCs w:val="20"/>
          <w:lang w:val="es-ES_tradnl"/>
        </w:rPr>
        <w:t xml:space="preserve"> Calfulef y Arturo Vega González fueron detenidos en sus respectivos domicilios </w:t>
      </w:r>
      <w:r w:rsidR="00A21723" w:rsidRPr="00E019A9">
        <w:rPr>
          <w:sz w:val="20"/>
          <w:szCs w:val="20"/>
          <w:lang w:val="es-ES_tradnl"/>
        </w:rPr>
        <w:t xml:space="preserve">situados </w:t>
      </w:r>
      <w:r w:rsidR="00F85044" w:rsidRPr="00E019A9">
        <w:rPr>
          <w:sz w:val="20"/>
          <w:szCs w:val="20"/>
          <w:lang w:val="es-ES_tradnl"/>
        </w:rPr>
        <w:t xml:space="preserve">en el pueblo de Lago Ranco, X </w:t>
      </w:r>
      <w:r w:rsidR="007D6D83" w:rsidRPr="00E019A9">
        <w:rPr>
          <w:sz w:val="20"/>
          <w:szCs w:val="20"/>
          <w:lang w:val="es-ES_tradnl"/>
        </w:rPr>
        <w:t>Región</w:t>
      </w:r>
      <w:r w:rsidR="00F85044" w:rsidRPr="00E019A9">
        <w:rPr>
          <w:sz w:val="20"/>
          <w:szCs w:val="20"/>
          <w:lang w:val="es-ES_tradnl"/>
        </w:rPr>
        <w:t xml:space="preserve"> de los </w:t>
      </w:r>
      <w:r w:rsidR="00F85044" w:rsidRPr="00E019A9">
        <w:rPr>
          <w:sz w:val="20"/>
          <w:szCs w:val="20"/>
          <w:lang w:val="es-ES_tradnl"/>
        </w:rPr>
        <w:lastRenderedPageBreak/>
        <w:t>Lagos, por un grupo de efectivos de la Armada de Chile pertenecientes a la Gobernación Marítima de Valdivia</w:t>
      </w:r>
      <w:r w:rsidR="00391E4D" w:rsidRPr="00E019A9">
        <w:rPr>
          <w:sz w:val="20"/>
          <w:szCs w:val="20"/>
          <w:lang w:val="es-ES_tradnl"/>
        </w:rPr>
        <w:t xml:space="preserve">, quienes fueron </w:t>
      </w:r>
      <w:r w:rsidR="00F85044" w:rsidRPr="00E019A9">
        <w:rPr>
          <w:sz w:val="20"/>
          <w:szCs w:val="20"/>
          <w:lang w:val="es-ES_tradnl"/>
        </w:rPr>
        <w:t>asistidos por miembros del cuerpo de Carabineros de Chile</w:t>
      </w:r>
      <w:r w:rsidR="00926955" w:rsidRPr="00E019A9">
        <w:rPr>
          <w:rStyle w:val="FootnoteReference"/>
          <w:sz w:val="20"/>
          <w:szCs w:val="20"/>
          <w:lang w:val="es-ES_tradnl"/>
        </w:rPr>
        <w:footnoteReference w:id="61"/>
      </w:r>
      <w:r w:rsidR="00F85044" w:rsidRPr="00E019A9">
        <w:rPr>
          <w:sz w:val="20"/>
          <w:szCs w:val="20"/>
          <w:lang w:val="es-ES_tradnl"/>
        </w:rPr>
        <w:t xml:space="preserve">. </w:t>
      </w:r>
    </w:p>
    <w:p w14:paraId="13CCFAEB" w14:textId="77777777" w:rsidR="008142C0" w:rsidRPr="00E019A9" w:rsidRDefault="008142C0" w:rsidP="00AC1CA8">
      <w:pPr>
        <w:pStyle w:val="ListParagraph"/>
        <w:tabs>
          <w:tab w:val="left" w:pos="567"/>
        </w:tabs>
        <w:ind w:left="0"/>
        <w:jc w:val="both"/>
        <w:rPr>
          <w:sz w:val="20"/>
          <w:szCs w:val="20"/>
          <w:lang w:val="es-ES_tradnl"/>
        </w:rPr>
      </w:pPr>
    </w:p>
    <w:p w14:paraId="39C2B727" w14:textId="77777777" w:rsidR="008142C0" w:rsidRPr="00E019A9" w:rsidRDefault="00F85044" w:rsidP="00BB60A6">
      <w:pPr>
        <w:pStyle w:val="ListParagraph"/>
        <w:numPr>
          <w:ilvl w:val="0"/>
          <w:numId w:val="57"/>
        </w:numPr>
        <w:tabs>
          <w:tab w:val="left" w:pos="567"/>
        </w:tabs>
        <w:ind w:left="0" w:firstLine="0"/>
        <w:jc w:val="both"/>
        <w:rPr>
          <w:sz w:val="20"/>
          <w:szCs w:val="20"/>
          <w:lang w:val="es-ES_tradnl"/>
        </w:rPr>
      </w:pPr>
      <w:r w:rsidRPr="00E019A9">
        <w:rPr>
          <w:sz w:val="20"/>
          <w:szCs w:val="20"/>
          <w:lang w:val="es-ES_tradnl"/>
        </w:rPr>
        <w:t>A continuación, los detenidos fueron trasladad</w:t>
      </w:r>
      <w:r w:rsidR="00391E4D" w:rsidRPr="00E019A9">
        <w:rPr>
          <w:sz w:val="20"/>
          <w:szCs w:val="20"/>
          <w:lang w:val="es-ES_tradnl"/>
        </w:rPr>
        <w:t>o</w:t>
      </w:r>
      <w:r w:rsidRPr="00E019A9">
        <w:rPr>
          <w:sz w:val="20"/>
          <w:szCs w:val="20"/>
          <w:lang w:val="es-ES_tradnl"/>
        </w:rPr>
        <w:t xml:space="preserve">s a la Tenencia de Carabineros de Lago Ranco, donde fueron </w:t>
      </w:r>
      <w:r w:rsidR="00035B24" w:rsidRPr="00E019A9">
        <w:rPr>
          <w:sz w:val="20"/>
          <w:szCs w:val="20"/>
          <w:lang w:val="es-ES_tradnl"/>
        </w:rPr>
        <w:t>víctimas</w:t>
      </w:r>
      <w:r w:rsidR="00391E4D" w:rsidRPr="00E019A9">
        <w:rPr>
          <w:sz w:val="20"/>
          <w:szCs w:val="20"/>
          <w:lang w:val="es-ES_tradnl"/>
        </w:rPr>
        <w:t xml:space="preserve"> de</w:t>
      </w:r>
      <w:r w:rsidRPr="00E019A9">
        <w:rPr>
          <w:sz w:val="20"/>
          <w:szCs w:val="20"/>
          <w:lang w:val="es-ES_tradnl"/>
        </w:rPr>
        <w:t xml:space="preserve"> </w:t>
      </w:r>
      <w:r w:rsidR="00A21723" w:rsidRPr="00E019A9">
        <w:rPr>
          <w:sz w:val="20"/>
          <w:szCs w:val="20"/>
          <w:lang w:val="es-ES_tradnl"/>
        </w:rPr>
        <w:t>torturas</w:t>
      </w:r>
      <w:r w:rsidR="00391E4D" w:rsidRPr="00E019A9">
        <w:rPr>
          <w:sz w:val="20"/>
          <w:szCs w:val="20"/>
          <w:lang w:val="es-ES_tradnl"/>
        </w:rPr>
        <w:t xml:space="preserve"> durante los interrogatorios a los que fueron sometidos</w:t>
      </w:r>
      <w:r w:rsidRPr="00E019A9">
        <w:rPr>
          <w:sz w:val="20"/>
          <w:szCs w:val="20"/>
          <w:lang w:val="es-ES_tradnl"/>
        </w:rPr>
        <w:t xml:space="preserve">. En la noche del 16 de </w:t>
      </w:r>
      <w:r w:rsidR="00035B24" w:rsidRPr="00E019A9">
        <w:rPr>
          <w:sz w:val="20"/>
          <w:szCs w:val="20"/>
          <w:lang w:val="es-ES_tradnl"/>
        </w:rPr>
        <w:t>octubre, efectivos</w:t>
      </w:r>
      <w:r w:rsidRPr="00E019A9">
        <w:rPr>
          <w:sz w:val="20"/>
          <w:szCs w:val="20"/>
          <w:lang w:val="es-ES_tradnl"/>
        </w:rPr>
        <w:t xml:space="preserve"> de la Armada </w:t>
      </w:r>
      <w:r w:rsidR="00A21723" w:rsidRPr="00E019A9">
        <w:rPr>
          <w:sz w:val="20"/>
          <w:szCs w:val="20"/>
          <w:lang w:val="es-ES_tradnl"/>
        </w:rPr>
        <w:t xml:space="preserve">retiraron </w:t>
      </w:r>
      <w:r w:rsidR="00391E4D" w:rsidRPr="00E019A9">
        <w:rPr>
          <w:sz w:val="20"/>
          <w:szCs w:val="20"/>
          <w:lang w:val="es-ES_tradnl"/>
        </w:rPr>
        <w:t xml:space="preserve">de la unidad policial a los Sres. Anacura Manquilán, </w:t>
      </w:r>
      <w:r w:rsidR="00D85EB5" w:rsidRPr="00E019A9">
        <w:rPr>
          <w:sz w:val="20"/>
          <w:szCs w:val="20"/>
          <w:lang w:val="es-ES_tradnl"/>
        </w:rPr>
        <w:t>González</w:t>
      </w:r>
      <w:r w:rsidR="00391E4D" w:rsidRPr="00E019A9">
        <w:rPr>
          <w:sz w:val="20"/>
          <w:szCs w:val="20"/>
          <w:lang w:val="es-ES_tradnl"/>
        </w:rPr>
        <w:t xml:space="preserve"> Calfulef, </w:t>
      </w:r>
      <w:r w:rsidR="004B3CC4" w:rsidRPr="00E019A9">
        <w:rPr>
          <w:sz w:val="20"/>
          <w:szCs w:val="20"/>
          <w:lang w:val="es-ES_tradnl"/>
        </w:rPr>
        <w:t>Hernández</w:t>
      </w:r>
      <w:r w:rsidR="00391E4D" w:rsidRPr="00E019A9">
        <w:rPr>
          <w:sz w:val="20"/>
          <w:szCs w:val="20"/>
          <w:lang w:val="es-ES_tradnl"/>
        </w:rPr>
        <w:t xml:space="preserve"> Inostroza y Vega González - quienes para ese entonces se encontraban maniatados y con los ojos vendados - </w:t>
      </w:r>
      <w:r w:rsidR="00A21723" w:rsidRPr="00E019A9">
        <w:rPr>
          <w:sz w:val="20"/>
          <w:szCs w:val="20"/>
          <w:lang w:val="es-ES_tradnl"/>
        </w:rPr>
        <w:t xml:space="preserve"> y </w:t>
      </w:r>
      <w:r w:rsidR="00391E4D" w:rsidRPr="00E019A9">
        <w:rPr>
          <w:sz w:val="20"/>
          <w:szCs w:val="20"/>
          <w:lang w:val="es-ES_tradnl"/>
        </w:rPr>
        <w:t xml:space="preserve">los trasladaron a bordo de una embarcación </w:t>
      </w:r>
      <w:r w:rsidR="006B603E" w:rsidRPr="00E019A9">
        <w:rPr>
          <w:sz w:val="20"/>
          <w:szCs w:val="20"/>
          <w:lang w:val="es-ES_tradnl"/>
        </w:rPr>
        <w:t>fondeada en las orillas del Lago Ra</w:t>
      </w:r>
      <w:r w:rsidR="007D6D83" w:rsidRPr="00E019A9">
        <w:rPr>
          <w:sz w:val="20"/>
          <w:szCs w:val="20"/>
          <w:lang w:val="es-ES_tradnl"/>
        </w:rPr>
        <w:t>n</w:t>
      </w:r>
      <w:r w:rsidR="006B603E" w:rsidRPr="00E019A9">
        <w:rPr>
          <w:sz w:val="20"/>
          <w:szCs w:val="20"/>
          <w:lang w:val="es-ES_tradnl"/>
        </w:rPr>
        <w:t xml:space="preserve">co. </w:t>
      </w:r>
    </w:p>
    <w:p w14:paraId="7DF92C54" w14:textId="77777777" w:rsidR="008142C0" w:rsidRPr="00E019A9" w:rsidRDefault="008142C0" w:rsidP="00AC1CA8">
      <w:pPr>
        <w:pStyle w:val="ListParagraph"/>
        <w:tabs>
          <w:tab w:val="left" w:pos="567"/>
        </w:tabs>
        <w:rPr>
          <w:sz w:val="20"/>
          <w:szCs w:val="20"/>
          <w:lang w:val="es-ES_tradnl"/>
        </w:rPr>
      </w:pPr>
    </w:p>
    <w:p w14:paraId="5B269890" w14:textId="77777777" w:rsidR="008142C0" w:rsidRPr="00E019A9" w:rsidRDefault="006B603E" w:rsidP="00BB60A6">
      <w:pPr>
        <w:pStyle w:val="ListParagraph"/>
        <w:numPr>
          <w:ilvl w:val="0"/>
          <w:numId w:val="57"/>
        </w:numPr>
        <w:tabs>
          <w:tab w:val="left" w:pos="567"/>
        </w:tabs>
        <w:ind w:left="0" w:firstLine="0"/>
        <w:jc w:val="both"/>
        <w:rPr>
          <w:sz w:val="20"/>
          <w:szCs w:val="20"/>
          <w:lang w:val="es-ES_tradnl"/>
        </w:rPr>
      </w:pPr>
      <w:r w:rsidRPr="00E019A9">
        <w:rPr>
          <w:sz w:val="20"/>
          <w:szCs w:val="20"/>
          <w:lang w:val="es-ES_tradnl"/>
        </w:rPr>
        <w:t xml:space="preserve">Alrededor de </w:t>
      </w:r>
      <w:r w:rsidR="00391E4D" w:rsidRPr="00E019A9">
        <w:rPr>
          <w:sz w:val="20"/>
          <w:szCs w:val="20"/>
          <w:lang w:val="es-ES_tradnl"/>
        </w:rPr>
        <w:t xml:space="preserve">las 2 de la madrugada del </w:t>
      </w:r>
      <w:r w:rsidRPr="00E019A9">
        <w:rPr>
          <w:sz w:val="20"/>
          <w:szCs w:val="20"/>
          <w:lang w:val="es-ES_tradnl"/>
        </w:rPr>
        <w:t>día</w:t>
      </w:r>
      <w:r w:rsidR="00391E4D" w:rsidRPr="00E019A9">
        <w:rPr>
          <w:sz w:val="20"/>
          <w:szCs w:val="20"/>
          <w:lang w:val="es-ES_tradnl"/>
        </w:rPr>
        <w:t xml:space="preserve"> 17 de octubre</w:t>
      </w:r>
      <w:r w:rsidRPr="00E019A9">
        <w:rPr>
          <w:sz w:val="20"/>
          <w:szCs w:val="20"/>
          <w:lang w:val="es-ES_tradnl"/>
        </w:rPr>
        <w:t>,</w:t>
      </w:r>
      <w:r w:rsidR="00391E4D" w:rsidRPr="00E019A9">
        <w:rPr>
          <w:sz w:val="20"/>
          <w:szCs w:val="20"/>
          <w:lang w:val="es-ES_tradnl"/>
        </w:rPr>
        <w:t xml:space="preserve"> y luego de haber avanzado una distancia aproximada de 2 </w:t>
      </w:r>
      <w:r w:rsidRPr="00E019A9">
        <w:rPr>
          <w:sz w:val="20"/>
          <w:szCs w:val="20"/>
          <w:lang w:val="es-ES_tradnl"/>
        </w:rPr>
        <w:t>kilómetros</w:t>
      </w:r>
      <w:r w:rsidR="00391E4D" w:rsidRPr="00E019A9">
        <w:rPr>
          <w:sz w:val="20"/>
          <w:szCs w:val="20"/>
          <w:lang w:val="es-ES_tradnl"/>
        </w:rPr>
        <w:t xml:space="preserve"> lago adentro, los efectivos militares ordenaron detener la embarcación.</w:t>
      </w:r>
      <w:r w:rsidR="009B1EBC" w:rsidRPr="00E019A9">
        <w:rPr>
          <w:sz w:val="20"/>
          <w:szCs w:val="20"/>
          <w:lang w:val="es-ES_tradnl"/>
        </w:rPr>
        <w:t xml:space="preserve"> </w:t>
      </w:r>
      <w:r w:rsidR="00391E4D" w:rsidRPr="00E019A9">
        <w:rPr>
          <w:sz w:val="20"/>
          <w:szCs w:val="20"/>
          <w:lang w:val="es-ES_tradnl"/>
        </w:rPr>
        <w:t xml:space="preserve">Acto seguido, alinearon a los detenidos en la popa y, </w:t>
      </w:r>
      <w:r w:rsidRPr="00E019A9">
        <w:rPr>
          <w:sz w:val="20"/>
          <w:szCs w:val="20"/>
          <w:lang w:val="es-ES_tradnl"/>
        </w:rPr>
        <w:t xml:space="preserve">ante </w:t>
      </w:r>
      <w:r w:rsidR="00391E4D" w:rsidRPr="00E019A9">
        <w:rPr>
          <w:sz w:val="20"/>
          <w:szCs w:val="20"/>
          <w:lang w:val="es-ES_tradnl"/>
        </w:rPr>
        <w:t xml:space="preserve">una orden </w:t>
      </w:r>
      <w:r w:rsidRPr="00E019A9">
        <w:rPr>
          <w:sz w:val="20"/>
          <w:szCs w:val="20"/>
          <w:lang w:val="es-ES_tradnl"/>
        </w:rPr>
        <w:t>pronunciada</w:t>
      </w:r>
      <w:r w:rsidR="00391E4D" w:rsidRPr="00E019A9">
        <w:rPr>
          <w:sz w:val="20"/>
          <w:szCs w:val="20"/>
          <w:lang w:val="es-ES_tradnl"/>
        </w:rPr>
        <w:t xml:space="preserve"> por el Teniente</w:t>
      </w:r>
      <w:r w:rsidRPr="00E019A9">
        <w:rPr>
          <w:sz w:val="20"/>
          <w:szCs w:val="20"/>
          <w:lang w:val="es-ES_tradnl"/>
        </w:rPr>
        <w:t xml:space="preserve"> </w:t>
      </w:r>
      <w:r w:rsidR="00D931E9" w:rsidRPr="00E019A9">
        <w:rPr>
          <w:sz w:val="20"/>
          <w:szCs w:val="20"/>
          <w:lang w:val="es-ES_tradnl"/>
        </w:rPr>
        <w:t>Héctor</w:t>
      </w:r>
      <w:r w:rsidRPr="00E019A9">
        <w:rPr>
          <w:sz w:val="20"/>
          <w:szCs w:val="20"/>
          <w:lang w:val="es-ES_tradnl"/>
        </w:rPr>
        <w:t xml:space="preserve"> Sergio Rivera Bozzo</w:t>
      </w:r>
      <w:r w:rsidR="00391E4D" w:rsidRPr="00E019A9">
        <w:rPr>
          <w:sz w:val="20"/>
          <w:szCs w:val="20"/>
          <w:lang w:val="es-ES_tradnl"/>
        </w:rPr>
        <w:t xml:space="preserve">, los cadetes Javier </w:t>
      </w:r>
      <w:r w:rsidRPr="00E019A9">
        <w:rPr>
          <w:sz w:val="20"/>
          <w:szCs w:val="20"/>
          <w:lang w:val="es-ES_tradnl"/>
        </w:rPr>
        <w:t>Vera Junemann, Rodolfo Mondión Romo, Christian B</w:t>
      </w:r>
      <w:r w:rsidR="00E53C80" w:rsidRPr="00E019A9">
        <w:rPr>
          <w:sz w:val="20"/>
          <w:szCs w:val="20"/>
          <w:lang w:val="es-ES_tradnl"/>
        </w:rPr>
        <w:t>ó</w:t>
      </w:r>
      <w:r w:rsidRPr="00E019A9">
        <w:rPr>
          <w:sz w:val="20"/>
          <w:szCs w:val="20"/>
          <w:lang w:val="es-ES_tradnl"/>
        </w:rPr>
        <w:t xml:space="preserve">rquez Bernucci y Julio Vera Arrigada procedieron a </w:t>
      </w:r>
      <w:r w:rsidR="00A21723" w:rsidRPr="00E019A9">
        <w:rPr>
          <w:sz w:val="20"/>
          <w:szCs w:val="20"/>
          <w:lang w:val="es-ES_tradnl"/>
        </w:rPr>
        <w:t>disparar con sus fusiles</w:t>
      </w:r>
      <w:r w:rsidRPr="00E019A9">
        <w:rPr>
          <w:sz w:val="20"/>
          <w:szCs w:val="20"/>
          <w:lang w:val="es-ES_tradnl"/>
        </w:rPr>
        <w:t xml:space="preserve"> contra los cuerpos de los detenidos, los cuales cayeron al agua, sin que hasta la fecha se conozca el actual paradero de las v</w:t>
      </w:r>
      <w:r w:rsidR="00926164" w:rsidRPr="00E019A9">
        <w:rPr>
          <w:sz w:val="20"/>
          <w:szCs w:val="20"/>
          <w:lang w:val="es-ES_tradnl"/>
        </w:rPr>
        <w:t>í</w:t>
      </w:r>
      <w:r w:rsidRPr="00E019A9">
        <w:rPr>
          <w:sz w:val="20"/>
          <w:szCs w:val="20"/>
          <w:lang w:val="es-ES_tradnl"/>
        </w:rPr>
        <w:t xml:space="preserve">ctimas. </w:t>
      </w:r>
    </w:p>
    <w:p w14:paraId="72B7A480" w14:textId="77777777" w:rsidR="008142C0" w:rsidRPr="00E019A9" w:rsidRDefault="008142C0" w:rsidP="00AC1CA8">
      <w:pPr>
        <w:pStyle w:val="ListParagraph"/>
        <w:tabs>
          <w:tab w:val="left" w:pos="567"/>
        </w:tabs>
        <w:rPr>
          <w:sz w:val="20"/>
          <w:szCs w:val="20"/>
          <w:lang w:val="es-ES_tradnl"/>
        </w:rPr>
      </w:pPr>
    </w:p>
    <w:p w14:paraId="0A2EBAB0" w14:textId="77777777" w:rsidR="008142C0" w:rsidRPr="00E019A9" w:rsidRDefault="00FD294B" w:rsidP="00BB60A6">
      <w:pPr>
        <w:pStyle w:val="ListParagraph"/>
        <w:numPr>
          <w:ilvl w:val="0"/>
          <w:numId w:val="57"/>
        </w:numPr>
        <w:tabs>
          <w:tab w:val="left" w:pos="567"/>
        </w:tabs>
        <w:ind w:left="0" w:firstLine="0"/>
        <w:jc w:val="both"/>
        <w:rPr>
          <w:sz w:val="20"/>
          <w:szCs w:val="20"/>
          <w:lang w:val="es-ES_tradnl"/>
        </w:rPr>
      </w:pPr>
      <w:r w:rsidRPr="00E019A9">
        <w:rPr>
          <w:sz w:val="20"/>
          <w:szCs w:val="20"/>
          <w:lang w:val="es-ES_tradnl"/>
        </w:rPr>
        <w:t>En abril de 2001 los familiares de algunos de las v</w:t>
      </w:r>
      <w:r w:rsidR="00926164" w:rsidRPr="00E019A9">
        <w:rPr>
          <w:sz w:val="20"/>
          <w:szCs w:val="20"/>
          <w:lang w:val="es-ES_tradnl"/>
        </w:rPr>
        <w:t>í</w:t>
      </w:r>
      <w:r w:rsidRPr="00E019A9">
        <w:rPr>
          <w:sz w:val="20"/>
          <w:szCs w:val="20"/>
          <w:lang w:val="es-ES_tradnl"/>
        </w:rPr>
        <w:t>ctimas interpusieron querella criminal contra los responsables. El 25 de junio de 2002 la Corte de Apelaciones resolvió sobreseer definitivamente a los Sres. Vera Junemann,</w:t>
      </w:r>
      <w:r w:rsidR="00B34AAB" w:rsidRPr="00E019A9">
        <w:rPr>
          <w:sz w:val="20"/>
          <w:szCs w:val="20"/>
          <w:lang w:val="es-ES_tradnl"/>
        </w:rPr>
        <w:t xml:space="preserve"> </w:t>
      </w:r>
      <w:r w:rsidRPr="00E019A9">
        <w:rPr>
          <w:sz w:val="20"/>
          <w:szCs w:val="20"/>
          <w:lang w:val="es-ES_tradnl"/>
        </w:rPr>
        <w:t>Mondión Romo, Bórquez Bernucci y Vera Arrigada por encontrarse su actuación “sujeta a la circunstancia eximente de obediencia debida, que contempla el articulo 10 N° 10 del Código Penal”</w:t>
      </w:r>
      <w:r w:rsidRPr="00E019A9">
        <w:rPr>
          <w:rStyle w:val="FootnoteReference"/>
          <w:sz w:val="20"/>
          <w:szCs w:val="20"/>
          <w:lang w:val="es-ES_tradnl"/>
        </w:rPr>
        <w:footnoteReference w:id="62"/>
      </w:r>
      <w:r w:rsidRPr="00E019A9">
        <w:rPr>
          <w:sz w:val="20"/>
          <w:szCs w:val="20"/>
          <w:lang w:val="es-ES_tradnl"/>
        </w:rPr>
        <w:t xml:space="preserve">. </w:t>
      </w:r>
    </w:p>
    <w:p w14:paraId="3DBCB2E7" w14:textId="77777777" w:rsidR="008142C0" w:rsidRPr="00E019A9" w:rsidRDefault="008142C0" w:rsidP="00AC1CA8">
      <w:pPr>
        <w:pStyle w:val="ListParagraph"/>
        <w:tabs>
          <w:tab w:val="left" w:pos="567"/>
        </w:tabs>
        <w:rPr>
          <w:sz w:val="20"/>
          <w:szCs w:val="20"/>
          <w:lang w:val="es-ES_tradnl"/>
        </w:rPr>
      </w:pPr>
    </w:p>
    <w:p w14:paraId="0B280DE8" w14:textId="77777777" w:rsidR="008142C0" w:rsidRPr="00E019A9" w:rsidRDefault="00D931E9" w:rsidP="00BB60A6">
      <w:pPr>
        <w:pStyle w:val="ListParagraph"/>
        <w:numPr>
          <w:ilvl w:val="0"/>
          <w:numId w:val="57"/>
        </w:numPr>
        <w:tabs>
          <w:tab w:val="left" w:pos="567"/>
        </w:tabs>
        <w:ind w:left="0" w:firstLine="0"/>
        <w:jc w:val="both"/>
        <w:rPr>
          <w:sz w:val="20"/>
          <w:szCs w:val="20"/>
          <w:lang w:val="es-ES_tradnl"/>
        </w:rPr>
      </w:pPr>
      <w:r w:rsidRPr="00E019A9">
        <w:rPr>
          <w:sz w:val="20"/>
          <w:szCs w:val="20"/>
          <w:lang w:val="es-ES_tradnl"/>
        </w:rPr>
        <w:t xml:space="preserve">El 7 de febrero de 2006 la Corte de Apelaciones de Santiago </w:t>
      </w:r>
      <w:r w:rsidR="00ED4FEE" w:rsidRPr="00E019A9">
        <w:rPr>
          <w:sz w:val="20"/>
          <w:szCs w:val="20"/>
          <w:lang w:val="es-ES_tradnl"/>
        </w:rPr>
        <w:t>condenó al</w:t>
      </w:r>
      <w:r w:rsidRPr="00E019A9">
        <w:rPr>
          <w:sz w:val="20"/>
          <w:szCs w:val="20"/>
          <w:lang w:val="es-ES_tradnl"/>
        </w:rPr>
        <w:t xml:space="preserve"> Sr. </w:t>
      </w:r>
      <w:r w:rsidR="006F23DF" w:rsidRPr="00E019A9">
        <w:rPr>
          <w:sz w:val="20"/>
          <w:szCs w:val="20"/>
          <w:lang w:val="es-ES_tradnl"/>
        </w:rPr>
        <w:t>Héctor</w:t>
      </w:r>
      <w:r w:rsidRPr="00E019A9">
        <w:rPr>
          <w:sz w:val="20"/>
          <w:szCs w:val="20"/>
          <w:lang w:val="es-ES_tradnl"/>
        </w:rPr>
        <w:t xml:space="preserve"> Rivera Bozzo </w:t>
      </w:r>
      <w:r w:rsidR="00ED4FEE" w:rsidRPr="00E019A9">
        <w:rPr>
          <w:sz w:val="20"/>
          <w:szCs w:val="20"/>
          <w:lang w:val="es-ES_tradnl"/>
        </w:rPr>
        <w:t>a la pena de 5 años de presidio menor en su grado máximo, accesoria de inhabilitación perpetua para derechos políticos y la inhabilitación absoluta para cargos y oficios públicos por hallarlo penalmente responsable del delito de homicidio calificado en calidad de autor en perjuicio de los Sres.</w:t>
      </w:r>
      <w:r w:rsidR="006F23DF" w:rsidRPr="00E019A9">
        <w:rPr>
          <w:sz w:val="20"/>
          <w:szCs w:val="20"/>
          <w:lang w:val="es-ES_tradnl"/>
        </w:rPr>
        <w:t xml:space="preserve"> </w:t>
      </w:r>
      <w:r w:rsidR="00ED4FEE" w:rsidRPr="00E019A9">
        <w:rPr>
          <w:sz w:val="20"/>
          <w:szCs w:val="20"/>
          <w:lang w:val="es-ES_tradnl"/>
        </w:rPr>
        <w:t xml:space="preserve">Anacura Manquilán, </w:t>
      </w:r>
      <w:r w:rsidR="00D85EB5" w:rsidRPr="00E019A9">
        <w:rPr>
          <w:sz w:val="20"/>
          <w:szCs w:val="20"/>
          <w:lang w:val="es-ES_tradnl"/>
        </w:rPr>
        <w:t>González</w:t>
      </w:r>
      <w:r w:rsidR="00ED4FEE" w:rsidRPr="00E019A9">
        <w:rPr>
          <w:sz w:val="20"/>
          <w:szCs w:val="20"/>
          <w:lang w:val="es-ES_tradnl"/>
        </w:rPr>
        <w:t xml:space="preserve"> Calfulef, </w:t>
      </w:r>
      <w:r w:rsidR="004B3CC4" w:rsidRPr="00E019A9">
        <w:rPr>
          <w:sz w:val="20"/>
          <w:szCs w:val="20"/>
          <w:lang w:val="es-ES_tradnl"/>
        </w:rPr>
        <w:t>Hernández</w:t>
      </w:r>
      <w:r w:rsidR="00ED4FEE" w:rsidRPr="00E019A9">
        <w:rPr>
          <w:sz w:val="20"/>
          <w:szCs w:val="20"/>
          <w:lang w:val="es-ES_tradnl"/>
        </w:rPr>
        <w:t xml:space="preserve"> Inostroza y Vega González. En lo relativo a la determinación del monto de pena a imponer, el tribunal considero procedente la solicitud de la defensa del sentenciado de considerar en su favor la atenuante de la media prescripción contemplada en el </w:t>
      </w:r>
      <w:r w:rsidR="00BC235F" w:rsidRPr="00E019A9">
        <w:rPr>
          <w:sz w:val="20"/>
          <w:szCs w:val="20"/>
          <w:lang w:val="es-ES_tradnl"/>
        </w:rPr>
        <w:t>artículo</w:t>
      </w:r>
      <w:r w:rsidR="00ED4FEE" w:rsidRPr="00E019A9">
        <w:rPr>
          <w:sz w:val="20"/>
          <w:szCs w:val="20"/>
          <w:lang w:val="es-ES_tradnl"/>
        </w:rPr>
        <w:t xml:space="preserve"> 103 del Código Penal, toda vez que “desde la fecha de comisión del delito, esto es 16 de octubre de 1973 y la fecha en que la prescripción fue interrumpida el 17 de octubre de 198</w:t>
      </w:r>
      <w:r w:rsidR="00580A34" w:rsidRPr="00E019A9">
        <w:rPr>
          <w:sz w:val="20"/>
          <w:szCs w:val="20"/>
          <w:lang w:val="es-ES_tradnl"/>
        </w:rPr>
        <w:t>5</w:t>
      </w:r>
      <w:r w:rsidR="00ED4FEE" w:rsidRPr="00E019A9">
        <w:rPr>
          <w:sz w:val="20"/>
          <w:szCs w:val="20"/>
          <w:lang w:val="es-ES_tradnl"/>
        </w:rPr>
        <w:t xml:space="preserve"> han transcurrido en exceso el plazo que la ley exige” para aplicarla</w:t>
      </w:r>
      <w:r w:rsidR="00ED4FEE" w:rsidRPr="00E019A9">
        <w:rPr>
          <w:rStyle w:val="FootnoteReference"/>
          <w:sz w:val="20"/>
          <w:szCs w:val="20"/>
          <w:lang w:val="es-ES_tradnl"/>
        </w:rPr>
        <w:footnoteReference w:id="63"/>
      </w:r>
      <w:r w:rsidR="00ED4FEE" w:rsidRPr="00E019A9">
        <w:rPr>
          <w:sz w:val="20"/>
          <w:szCs w:val="20"/>
          <w:lang w:val="es-ES_tradnl"/>
        </w:rPr>
        <w:t xml:space="preserve">. </w:t>
      </w:r>
    </w:p>
    <w:p w14:paraId="1AAA236C" w14:textId="77777777" w:rsidR="008142C0" w:rsidRPr="00E019A9" w:rsidRDefault="008142C0" w:rsidP="00AC1CA8">
      <w:pPr>
        <w:pStyle w:val="ListParagraph"/>
        <w:tabs>
          <w:tab w:val="left" w:pos="567"/>
        </w:tabs>
        <w:rPr>
          <w:sz w:val="20"/>
          <w:szCs w:val="20"/>
          <w:lang w:val="es-ES_tradnl"/>
        </w:rPr>
      </w:pPr>
    </w:p>
    <w:p w14:paraId="0C1DAB2C" w14:textId="77777777" w:rsidR="008142C0" w:rsidRPr="00E019A9" w:rsidRDefault="00D317A4" w:rsidP="00BB60A6">
      <w:pPr>
        <w:pStyle w:val="ListParagraph"/>
        <w:numPr>
          <w:ilvl w:val="0"/>
          <w:numId w:val="57"/>
        </w:numPr>
        <w:tabs>
          <w:tab w:val="left" w:pos="567"/>
        </w:tabs>
        <w:ind w:left="0" w:firstLine="0"/>
        <w:jc w:val="both"/>
        <w:rPr>
          <w:sz w:val="20"/>
          <w:szCs w:val="20"/>
          <w:lang w:val="es-ES_tradnl"/>
        </w:rPr>
      </w:pPr>
      <w:r w:rsidRPr="00E019A9">
        <w:rPr>
          <w:sz w:val="20"/>
          <w:szCs w:val="20"/>
          <w:lang w:val="es-ES_tradnl"/>
        </w:rPr>
        <w:t>En respuesta a la</w:t>
      </w:r>
      <w:r w:rsidR="00572322" w:rsidRPr="00E019A9">
        <w:rPr>
          <w:sz w:val="20"/>
          <w:szCs w:val="20"/>
          <w:lang w:val="es-ES_tradnl"/>
        </w:rPr>
        <w:t>s</w:t>
      </w:r>
      <w:r w:rsidRPr="00E019A9">
        <w:rPr>
          <w:sz w:val="20"/>
          <w:szCs w:val="20"/>
          <w:lang w:val="es-ES_tradnl"/>
        </w:rPr>
        <w:t xml:space="preserve"> apelaci</w:t>
      </w:r>
      <w:r w:rsidR="00572322" w:rsidRPr="00E019A9">
        <w:rPr>
          <w:sz w:val="20"/>
          <w:szCs w:val="20"/>
          <w:lang w:val="es-ES_tradnl"/>
        </w:rPr>
        <w:t>ones</w:t>
      </w:r>
      <w:r w:rsidRPr="00E019A9">
        <w:rPr>
          <w:sz w:val="20"/>
          <w:szCs w:val="20"/>
          <w:lang w:val="es-ES_tradnl"/>
        </w:rPr>
        <w:t xml:space="preserve"> interpuesta</w:t>
      </w:r>
      <w:r w:rsidR="00572322" w:rsidRPr="00E019A9">
        <w:rPr>
          <w:sz w:val="20"/>
          <w:szCs w:val="20"/>
          <w:lang w:val="es-ES_tradnl"/>
        </w:rPr>
        <w:t>s</w:t>
      </w:r>
      <w:r w:rsidRPr="00E019A9">
        <w:rPr>
          <w:sz w:val="20"/>
          <w:szCs w:val="20"/>
          <w:lang w:val="es-ES_tradnl"/>
        </w:rPr>
        <w:t xml:space="preserve"> por </w:t>
      </w:r>
      <w:r w:rsidR="00572322" w:rsidRPr="00E019A9">
        <w:rPr>
          <w:sz w:val="20"/>
          <w:szCs w:val="20"/>
          <w:lang w:val="es-ES_tradnl"/>
        </w:rPr>
        <w:t xml:space="preserve">las partes, la Tercera Sala de la Corte de Apelaciones de Santiago decidió con fecha </w:t>
      </w:r>
      <w:r w:rsidR="00B34AAB" w:rsidRPr="00E019A9">
        <w:rPr>
          <w:sz w:val="20"/>
          <w:szCs w:val="20"/>
          <w:lang w:val="es-ES_tradnl"/>
        </w:rPr>
        <w:t>8</w:t>
      </w:r>
      <w:r w:rsidR="00F32FCE" w:rsidRPr="00E019A9">
        <w:rPr>
          <w:sz w:val="20"/>
          <w:szCs w:val="20"/>
          <w:lang w:val="es-ES_tradnl"/>
        </w:rPr>
        <w:t xml:space="preserve"> de noviembre de 2006 </w:t>
      </w:r>
      <w:r w:rsidR="00572322" w:rsidRPr="00E019A9">
        <w:rPr>
          <w:sz w:val="20"/>
          <w:szCs w:val="20"/>
          <w:lang w:val="es-ES_tradnl"/>
        </w:rPr>
        <w:t xml:space="preserve">confirmar la sentencia de primera instancia, pero </w:t>
      </w:r>
      <w:r w:rsidR="005F48FF" w:rsidRPr="00E019A9">
        <w:rPr>
          <w:sz w:val="20"/>
          <w:szCs w:val="20"/>
          <w:lang w:val="es-ES_tradnl"/>
        </w:rPr>
        <w:t xml:space="preserve">incrementó </w:t>
      </w:r>
      <w:r w:rsidR="00572322" w:rsidRPr="00E019A9">
        <w:rPr>
          <w:sz w:val="20"/>
          <w:szCs w:val="20"/>
          <w:lang w:val="es-ES_tradnl"/>
        </w:rPr>
        <w:t xml:space="preserve">el monto de pena de prisión impuesto al Sr. Rivera Bozzo a 15 años y 1 día de presidio mayor en su grado máximo. Para fallar de ese modo, el tribunal consideró que, en aplicación de la regla </w:t>
      </w:r>
      <w:r w:rsidR="005F48FF" w:rsidRPr="00E019A9">
        <w:rPr>
          <w:sz w:val="20"/>
          <w:szCs w:val="20"/>
          <w:lang w:val="es-ES_tradnl"/>
        </w:rPr>
        <w:t>c</w:t>
      </w:r>
      <w:r w:rsidR="00F32FCE" w:rsidRPr="00E019A9">
        <w:rPr>
          <w:sz w:val="20"/>
          <w:szCs w:val="20"/>
          <w:lang w:val="es-ES_tradnl"/>
        </w:rPr>
        <w:t xml:space="preserve">onsagrada en el </w:t>
      </w:r>
      <w:r w:rsidR="00BC235F" w:rsidRPr="00E019A9">
        <w:rPr>
          <w:sz w:val="20"/>
          <w:szCs w:val="20"/>
          <w:lang w:val="es-ES_tradnl"/>
        </w:rPr>
        <w:t>artículo</w:t>
      </w:r>
      <w:r w:rsidR="00F32FCE" w:rsidRPr="00E019A9">
        <w:rPr>
          <w:sz w:val="20"/>
          <w:szCs w:val="20"/>
          <w:lang w:val="es-ES_tradnl"/>
        </w:rPr>
        <w:t xml:space="preserve"> 509, inciso 2° del Código de Procedimiento Penal entonces vigente</w:t>
      </w:r>
      <w:r w:rsidR="00F32FCE" w:rsidRPr="00E019A9">
        <w:rPr>
          <w:rStyle w:val="FootnoteReference"/>
          <w:sz w:val="20"/>
          <w:szCs w:val="20"/>
          <w:lang w:val="es-ES_tradnl"/>
        </w:rPr>
        <w:footnoteReference w:id="64"/>
      </w:r>
      <w:r w:rsidR="00F32FCE" w:rsidRPr="00E019A9">
        <w:rPr>
          <w:sz w:val="20"/>
          <w:szCs w:val="20"/>
          <w:lang w:val="es-ES_tradnl"/>
        </w:rPr>
        <w:t xml:space="preserve">, resultaba </w:t>
      </w:r>
      <w:r w:rsidR="00572322" w:rsidRPr="00E019A9">
        <w:rPr>
          <w:sz w:val="20"/>
          <w:szCs w:val="20"/>
          <w:lang w:val="es-ES_tradnl"/>
        </w:rPr>
        <w:t xml:space="preserve">necesario aumentar en dos grados la sanción prevista por el </w:t>
      </w:r>
      <w:r w:rsidR="00BC235F" w:rsidRPr="00E019A9">
        <w:rPr>
          <w:sz w:val="20"/>
          <w:szCs w:val="20"/>
          <w:lang w:val="es-ES_tradnl"/>
        </w:rPr>
        <w:t>artículo</w:t>
      </w:r>
      <w:r w:rsidR="00572322" w:rsidRPr="00E019A9">
        <w:rPr>
          <w:sz w:val="20"/>
          <w:szCs w:val="20"/>
          <w:lang w:val="es-ES_tradnl"/>
        </w:rPr>
        <w:t xml:space="preserve"> 141 del </w:t>
      </w:r>
      <w:r w:rsidR="00F32FCE" w:rsidRPr="00E019A9">
        <w:rPr>
          <w:sz w:val="20"/>
          <w:szCs w:val="20"/>
          <w:lang w:val="es-ES_tradnl"/>
        </w:rPr>
        <w:t>Código</w:t>
      </w:r>
      <w:r w:rsidR="00572322" w:rsidRPr="00E019A9">
        <w:rPr>
          <w:sz w:val="20"/>
          <w:szCs w:val="20"/>
          <w:lang w:val="es-ES_tradnl"/>
        </w:rPr>
        <w:t xml:space="preserve"> Penal</w:t>
      </w:r>
      <w:r w:rsidR="005F48FF" w:rsidRPr="00E019A9">
        <w:rPr>
          <w:rStyle w:val="FootnoteReference"/>
          <w:sz w:val="20"/>
          <w:szCs w:val="20"/>
          <w:lang w:val="es-ES_tradnl"/>
        </w:rPr>
        <w:footnoteReference w:id="65"/>
      </w:r>
      <w:r w:rsidR="00572322" w:rsidRPr="00E019A9">
        <w:rPr>
          <w:sz w:val="20"/>
          <w:szCs w:val="20"/>
          <w:lang w:val="es-ES_tradnl"/>
        </w:rPr>
        <w:t xml:space="preserve"> vigente al momento de los hechos</w:t>
      </w:r>
      <w:r w:rsidR="00F32FCE" w:rsidRPr="00E019A9">
        <w:rPr>
          <w:sz w:val="20"/>
          <w:szCs w:val="20"/>
          <w:lang w:val="es-ES_tradnl"/>
        </w:rPr>
        <w:t xml:space="preserve">. </w:t>
      </w:r>
      <w:r w:rsidR="00572322" w:rsidRPr="00E019A9">
        <w:rPr>
          <w:sz w:val="20"/>
          <w:szCs w:val="20"/>
          <w:lang w:val="es-ES_tradnl"/>
        </w:rPr>
        <w:t xml:space="preserve"> </w:t>
      </w:r>
      <w:r w:rsidR="00585BD6" w:rsidRPr="00E019A9">
        <w:rPr>
          <w:sz w:val="20"/>
          <w:szCs w:val="20"/>
          <w:lang w:val="es-ES_tradnl"/>
        </w:rPr>
        <w:t>Asimismo</w:t>
      </w:r>
      <w:r w:rsidR="005F48FF" w:rsidRPr="00E019A9">
        <w:rPr>
          <w:sz w:val="20"/>
          <w:szCs w:val="20"/>
          <w:lang w:val="es-ES_tradnl"/>
        </w:rPr>
        <w:t xml:space="preserve">, la Tercera Sala resolvió </w:t>
      </w:r>
      <w:r w:rsidR="00B34AAB" w:rsidRPr="00E019A9">
        <w:rPr>
          <w:sz w:val="20"/>
          <w:szCs w:val="20"/>
          <w:lang w:val="es-ES_tradnl"/>
        </w:rPr>
        <w:t>revocar la decisión de fecha 25 de junio de 2002 que sobreseyó a los Sres. Javier Vera Junemann, Rodolfo Mondión Romo, Christian Bórquez Bernucci y Julio Vera Arrigada por encontrarse inco</w:t>
      </w:r>
      <w:r w:rsidR="00035B24" w:rsidRPr="00E019A9">
        <w:rPr>
          <w:sz w:val="20"/>
          <w:szCs w:val="20"/>
          <w:lang w:val="es-ES_tradnl"/>
        </w:rPr>
        <w:t>mpleta la investigación y ordenó</w:t>
      </w:r>
      <w:r w:rsidR="00B34AAB" w:rsidRPr="00E019A9">
        <w:rPr>
          <w:sz w:val="20"/>
          <w:szCs w:val="20"/>
          <w:lang w:val="es-ES_tradnl"/>
        </w:rPr>
        <w:t xml:space="preserve"> que “el señor Ministro de Fuero dicte las resoluciones </w:t>
      </w:r>
      <w:r w:rsidR="00B34AAB" w:rsidRPr="00E019A9">
        <w:rPr>
          <w:sz w:val="20"/>
          <w:szCs w:val="20"/>
          <w:lang w:val="es-ES_tradnl"/>
        </w:rPr>
        <w:lastRenderedPageBreak/>
        <w:t>correspondientes, conducentes a hacer efectiva la responsabilidad criminal que a dichos inculpados cabe en los hechos investigados en el proceso”</w:t>
      </w:r>
      <w:r w:rsidR="00B34AAB" w:rsidRPr="00E019A9">
        <w:rPr>
          <w:rStyle w:val="FootnoteReference"/>
          <w:sz w:val="20"/>
          <w:szCs w:val="20"/>
          <w:lang w:val="es-ES_tradnl"/>
        </w:rPr>
        <w:footnoteReference w:id="66"/>
      </w:r>
      <w:r w:rsidR="00B34AAB" w:rsidRPr="00E019A9">
        <w:rPr>
          <w:sz w:val="20"/>
          <w:szCs w:val="20"/>
          <w:lang w:val="es-ES_tradnl"/>
        </w:rPr>
        <w:t xml:space="preserve">. </w:t>
      </w:r>
    </w:p>
    <w:p w14:paraId="693C6EA7" w14:textId="77777777" w:rsidR="008142C0" w:rsidRPr="00E019A9" w:rsidRDefault="008142C0" w:rsidP="00AC1CA8">
      <w:pPr>
        <w:pStyle w:val="ListParagraph"/>
        <w:tabs>
          <w:tab w:val="left" w:pos="567"/>
        </w:tabs>
        <w:rPr>
          <w:sz w:val="20"/>
          <w:szCs w:val="20"/>
          <w:lang w:val="es-ES_tradnl"/>
        </w:rPr>
      </w:pPr>
    </w:p>
    <w:p w14:paraId="4E6DFB4C" w14:textId="77777777" w:rsidR="008142C0" w:rsidRPr="00E019A9" w:rsidRDefault="00B34AAB" w:rsidP="00BB60A6">
      <w:pPr>
        <w:pStyle w:val="ListParagraph"/>
        <w:numPr>
          <w:ilvl w:val="0"/>
          <w:numId w:val="57"/>
        </w:numPr>
        <w:tabs>
          <w:tab w:val="left" w:pos="567"/>
        </w:tabs>
        <w:ind w:left="0" w:firstLine="0"/>
        <w:jc w:val="both"/>
        <w:rPr>
          <w:sz w:val="20"/>
          <w:szCs w:val="20"/>
          <w:lang w:val="es-ES_tradnl"/>
        </w:rPr>
      </w:pPr>
      <w:r w:rsidRPr="00E019A9">
        <w:rPr>
          <w:sz w:val="20"/>
          <w:szCs w:val="20"/>
          <w:lang w:val="es-ES_tradnl"/>
        </w:rPr>
        <w:t xml:space="preserve">Por </w:t>
      </w:r>
      <w:r w:rsidR="00BC235F" w:rsidRPr="00E019A9">
        <w:rPr>
          <w:sz w:val="20"/>
          <w:szCs w:val="20"/>
          <w:lang w:val="es-ES_tradnl"/>
        </w:rPr>
        <w:t>último</w:t>
      </w:r>
      <w:r w:rsidRPr="00E019A9">
        <w:rPr>
          <w:sz w:val="20"/>
          <w:szCs w:val="20"/>
          <w:lang w:val="es-ES_tradnl"/>
        </w:rPr>
        <w:t xml:space="preserve">, el 5 de septiembre de 2007 la Segunda Sala de la Corte Suprema de Justicia </w:t>
      </w:r>
      <w:r w:rsidR="007A783D" w:rsidRPr="00E019A9">
        <w:rPr>
          <w:sz w:val="20"/>
          <w:szCs w:val="20"/>
          <w:lang w:val="es-ES_tradnl"/>
        </w:rPr>
        <w:t>decidió</w:t>
      </w:r>
      <w:r w:rsidRPr="00E019A9">
        <w:rPr>
          <w:sz w:val="20"/>
          <w:szCs w:val="20"/>
          <w:lang w:val="es-ES_tradnl"/>
        </w:rPr>
        <w:t xml:space="preserve"> aceptar el recurso de casación interpuesto por la defensa del Sr. Rivera Bozzo e invalid</w:t>
      </w:r>
      <w:r w:rsidR="00CB5945" w:rsidRPr="00E019A9">
        <w:rPr>
          <w:sz w:val="20"/>
          <w:szCs w:val="20"/>
          <w:lang w:val="es-ES_tradnl"/>
        </w:rPr>
        <w:t>ó</w:t>
      </w:r>
      <w:r w:rsidRPr="00E019A9">
        <w:rPr>
          <w:sz w:val="20"/>
          <w:szCs w:val="20"/>
          <w:lang w:val="es-ES_tradnl"/>
        </w:rPr>
        <w:t xml:space="preserve"> de oficio la sentencia dictada por la Corte de Apelaciones de Santiago de fecha 8 de noviembre de 2008.</w:t>
      </w:r>
      <w:r w:rsidR="00CB5945" w:rsidRPr="00E019A9">
        <w:rPr>
          <w:sz w:val="20"/>
          <w:szCs w:val="20"/>
          <w:lang w:val="es-ES_tradnl"/>
        </w:rPr>
        <w:t xml:space="preserve"> Para </w:t>
      </w:r>
      <w:r w:rsidR="007A783D" w:rsidRPr="00E019A9">
        <w:rPr>
          <w:sz w:val="20"/>
          <w:szCs w:val="20"/>
          <w:lang w:val="es-ES_tradnl"/>
        </w:rPr>
        <w:t xml:space="preserve">resolver </w:t>
      </w:r>
      <w:r w:rsidR="00CB5945" w:rsidRPr="00E019A9">
        <w:rPr>
          <w:sz w:val="20"/>
          <w:szCs w:val="20"/>
          <w:lang w:val="es-ES_tradnl"/>
        </w:rPr>
        <w:t>de este modo, la Corte Suprema consignó que “la sentencia impugnada, al modificar el fallo de primer grado, no se pronunció respecto de la petición efectuada por la defensa de Rivera Bozzo en cuanto a que se le reconociera la institución de la media prescripción, que si había sido acogida por el sentenciador de primer grado”</w:t>
      </w:r>
      <w:r w:rsidR="00CB5945" w:rsidRPr="00E019A9">
        <w:rPr>
          <w:rStyle w:val="FootnoteReference"/>
          <w:sz w:val="20"/>
          <w:szCs w:val="20"/>
          <w:lang w:val="es-ES_tradnl"/>
        </w:rPr>
        <w:footnoteReference w:id="67"/>
      </w:r>
      <w:r w:rsidR="00CB5945" w:rsidRPr="00E019A9">
        <w:rPr>
          <w:sz w:val="20"/>
          <w:szCs w:val="20"/>
          <w:lang w:val="es-ES_tradnl"/>
        </w:rPr>
        <w:t xml:space="preserve">. </w:t>
      </w:r>
    </w:p>
    <w:p w14:paraId="6C4E6B66" w14:textId="77777777" w:rsidR="008142C0" w:rsidRPr="00E019A9" w:rsidRDefault="008142C0" w:rsidP="00AC1CA8">
      <w:pPr>
        <w:pStyle w:val="ListParagraph"/>
        <w:tabs>
          <w:tab w:val="left" w:pos="567"/>
        </w:tabs>
        <w:rPr>
          <w:sz w:val="20"/>
          <w:szCs w:val="20"/>
          <w:lang w:val="es-ES_tradnl"/>
        </w:rPr>
      </w:pPr>
    </w:p>
    <w:p w14:paraId="177B0B43" w14:textId="77777777" w:rsidR="008142C0" w:rsidRPr="00E019A9" w:rsidRDefault="00CB5945" w:rsidP="00BB60A6">
      <w:pPr>
        <w:pStyle w:val="ListParagraph"/>
        <w:numPr>
          <w:ilvl w:val="0"/>
          <w:numId w:val="57"/>
        </w:numPr>
        <w:tabs>
          <w:tab w:val="left" w:pos="567"/>
        </w:tabs>
        <w:ind w:left="0" w:firstLine="0"/>
        <w:jc w:val="both"/>
        <w:rPr>
          <w:sz w:val="20"/>
          <w:szCs w:val="20"/>
          <w:lang w:val="es-ES_tradnl"/>
        </w:rPr>
      </w:pPr>
      <w:r w:rsidRPr="00E019A9">
        <w:rPr>
          <w:sz w:val="20"/>
          <w:szCs w:val="20"/>
          <w:lang w:val="es-ES_tradnl"/>
        </w:rPr>
        <w:t xml:space="preserve">En consecuencia, y en el mismo acto, la Corte Suprema dictó una sentencia de reemplazo. En </w:t>
      </w:r>
      <w:r w:rsidR="0023320F" w:rsidRPr="00E019A9">
        <w:rPr>
          <w:sz w:val="20"/>
          <w:szCs w:val="20"/>
          <w:lang w:val="es-ES_tradnl"/>
        </w:rPr>
        <w:t xml:space="preserve">dicha </w:t>
      </w:r>
      <w:r w:rsidRPr="00E019A9">
        <w:rPr>
          <w:sz w:val="20"/>
          <w:szCs w:val="20"/>
          <w:lang w:val="es-ES_tradnl"/>
        </w:rPr>
        <w:t>resolución, el tribunal señal</w:t>
      </w:r>
      <w:r w:rsidR="0023320F" w:rsidRPr="00E019A9">
        <w:rPr>
          <w:sz w:val="20"/>
          <w:szCs w:val="20"/>
          <w:lang w:val="es-ES_tradnl"/>
        </w:rPr>
        <w:t>ó</w:t>
      </w:r>
      <w:r w:rsidRPr="00E019A9">
        <w:rPr>
          <w:sz w:val="20"/>
          <w:szCs w:val="20"/>
          <w:lang w:val="es-ES_tradnl"/>
        </w:rPr>
        <w:t xml:space="preserve"> </w:t>
      </w:r>
      <w:r w:rsidR="0023320F" w:rsidRPr="00E019A9">
        <w:rPr>
          <w:sz w:val="20"/>
          <w:szCs w:val="20"/>
          <w:lang w:val="es-ES_tradnl"/>
        </w:rPr>
        <w:t xml:space="preserve">en primer </w:t>
      </w:r>
      <w:r w:rsidR="00BC235F" w:rsidRPr="00E019A9">
        <w:rPr>
          <w:sz w:val="20"/>
          <w:szCs w:val="20"/>
          <w:lang w:val="es-ES_tradnl"/>
        </w:rPr>
        <w:t>término</w:t>
      </w:r>
      <w:r w:rsidR="0023320F" w:rsidRPr="00E019A9">
        <w:rPr>
          <w:sz w:val="20"/>
          <w:szCs w:val="20"/>
          <w:lang w:val="es-ES_tradnl"/>
        </w:rPr>
        <w:t xml:space="preserve"> </w:t>
      </w:r>
      <w:r w:rsidRPr="00E019A9">
        <w:rPr>
          <w:sz w:val="20"/>
          <w:szCs w:val="20"/>
          <w:lang w:val="es-ES_tradnl"/>
        </w:rPr>
        <w:t>que</w:t>
      </w:r>
      <w:r w:rsidR="0023320F" w:rsidRPr="00E019A9">
        <w:rPr>
          <w:sz w:val="20"/>
          <w:szCs w:val="20"/>
          <w:lang w:val="es-ES_tradnl"/>
        </w:rPr>
        <w:t xml:space="preserve">, </w:t>
      </w:r>
      <w:r w:rsidRPr="00E019A9">
        <w:rPr>
          <w:sz w:val="20"/>
          <w:szCs w:val="20"/>
          <w:lang w:val="es-ES_tradnl"/>
        </w:rPr>
        <w:t>según consta en sus antecedentes</w:t>
      </w:r>
      <w:r w:rsidR="0023320F" w:rsidRPr="00E019A9">
        <w:rPr>
          <w:sz w:val="20"/>
          <w:szCs w:val="20"/>
          <w:lang w:val="es-ES_tradnl"/>
        </w:rPr>
        <w:t xml:space="preserve"> personales</w:t>
      </w:r>
      <w:r w:rsidRPr="00E019A9">
        <w:rPr>
          <w:sz w:val="20"/>
          <w:szCs w:val="20"/>
          <w:lang w:val="es-ES_tradnl"/>
        </w:rPr>
        <w:t xml:space="preserve">, el </w:t>
      </w:r>
      <w:r w:rsidR="0023320F" w:rsidRPr="00E019A9">
        <w:rPr>
          <w:sz w:val="20"/>
          <w:szCs w:val="20"/>
          <w:lang w:val="es-ES_tradnl"/>
        </w:rPr>
        <w:t xml:space="preserve">6 de abril de 1979 el </w:t>
      </w:r>
      <w:r w:rsidRPr="00E019A9">
        <w:rPr>
          <w:sz w:val="20"/>
          <w:szCs w:val="20"/>
          <w:lang w:val="es-ES_tradnl"/>
        </w:rPr>
        <w:t>Sr. Rivera Bozzo</w:t>
      </w:r>
      <w:r w:rsidR="0023320F" w:rsidRPr="00E019A9">
        <w:rPr>
          <w:sz w:val="20"/>
          <w:szCs w:val="20"/>
          <w:lang w:val="es-ES_tradnl"/>
        </w:rPr>
        <w:t xml:space="preserve"> cometió el delito de fraude al fisco, por el cual fue condenado a pena de prisión y multa el 17 de octubre de 1985. Por lo tanto, el computo de la prescripción “se ha interrumpido el 6 de abril de 1979, perdiéndose el tiempo hasta allí transcurrido, el que ha de reiniciarse a contar desde esa data”</w:t>
      </w:r>
      <w:r w:rsidR="0023320F" w:rsidRPr="00E019A9">
        <w:rPr>
          <w:rStyle w:val="FootnoteReference"/>
          <w:sz w:val="20"/>
          <w:szCs w:val="20"/>
          <w:lang w:val="es-ES_tradnl"/>
        </w:rPr>
        <w:footnoteReference w:id="68"/>
      </w:r>
      <w:r w:rsidR="0023320F" w:rsidRPr="00E019A9">
        <w:rPr>
          <w:sz w:val="20"/>
          <w:szCs w:val="20"/>
          <w:lang w:val="es-ES_tradnl"/>
        </w:rPr>
        <w:t>. Acto seguido, el tribunal afirmó que “contado el p</w:t>
      </w:r>
      <w:r w:rsidR="000034DD" w:rsidRPr="00E019A9">
        <w:rPr>
          <w:sz w:val="20"/>
          <w:szCs w:val="20"/>
          <w:lang w:val="es-ES_tradnl"/>
        </w:rPr>
        <w:t>l</w:t>
      </w:r>
      <w:r w:rsidR="0023320F" w:rsidRPr="00E019A9">
        <w:rPr>
          <w:sz w:val="20"/>
          <w:szCs w:val="20"/>
          <w:lang w:val="es-ES_tradnl"/>
        </w:rPr>
        <w:t xml:space="preserve">azo desde esa </w:t>
      </w:r>
      <w:r w:rsidR="000034DD" w:rsidRPr="00E019A9">
        <w:rPr>
          <w:sz w:val="20"/>
          <w:szCs w:val="20"/>
          <w:lang w:val="es-ES_tradnl"/>
        </w:rPr>
        <w:t>interrupción</w:t>
      </w:r>
      <w:r w:rsidR="0023320F" w:rsidRPr="00E019A9">
        <w:rPr>
          <w:sz w:val="20"/>
          <w:szCs w:val="20"/>
          <w:lang w:val="es-ES_tradnl"/>
        </w:rPr>
        <w:t xml:space="preserve">, hasta la fecha de presentación de la querella – 10 de abril de 2001 – </w:t>
      </w:r>
      <w:r w:rsidR="000034DD" w:rsidRPr="00E019A9">
        <w:rPr>
          <w:sz w:val="20"/>
          <w:szCs w:val="20"/>
          <w:lang w:val="es-ES_tradnl"/>
        </w:rPr>
        <w:t>transcurrió</w:t>
      </w:r>
      <w:r w:rsidR="0023320F" w:rsidRPr="00E019A9">
        <w:rPr>
          <w:sz w:val="20"/>
          <w:szCs w:val="20"/>
          <w:lang w:val="es-ES_tradnl"/>
        </w:rPr>
        <w:t xml:space="preserve"> en exceso el periodo de prescripción de 15 a</w:t>
      </w:r>
      <w:r w:rsidR="000034DD" w:rsidRPr="00E019A9">
        <w:rPr>
          <w:sz w:val="20"/>
          <w:szCs w:val="20"/>
          <w:lang w:val="es-ES_tradnl"/>
        </w:rPr>
        <w:t>ñ</w:t>
      </w:r>
      <w:r w:rsidR="0023320F" w:rsidRPr="00E019A9">
        <w:rPr>
          <w:sz w:val="20"/>
          <w:szCs w:val="20"/>
          <w:lang w:val="es-ES_tradnl"/>
        </w:rPr>
        <w:t xml:space="preserve">os establecida por la ley </w:t>
      </w:r>
      <w:r w:rsidR="000034DD" w:rsidRPr="00E019A9">
        <w:rPr>
          <w:sz w:val="20"/>
          <w:szCs w:val="20"/>
          <w:lang w:val="es-ES_tradnl"/>
        </w:rPr>
        <w:sym w:font="Symbol" w:char="F05B"/>
      </w:r>
      <w:r w:rsidR="000034DD" w:rsidRPr="00E019A9">
        <w:rPr>
          <w:sz w:val="20"/>
          <w:szCs w:val="20"/>
          <w:lang w:val="es-ES_tradnl"/>
        </w:rPr>
        <w:t>…</w:t>
      </w:r>
      <w:r w:rsidR="000034DD" w:rsidRPr="00E019A9">
        <w:rPr>
          <w:sz w:val="20"/>
          <w:szCs w:val="20"/>
          <w:lang w:val="es-ES_tradnl"/>
        </w:rPr>
        <w:sym w:font="Symbol" w:char="F05D"/>
      </w:r>
      <w:r w:rsidR="000034DD" w:rsidRPr="00E019A9">
        <w:rPr>
          <w:sz w:val="20"/>
          <w:szCs w:val="20"/>
          <w:lang w:val="es-ES_tradnl"/>
        </w:rPr>
        <w:t xml:space="preserve"> por lo que </w:t>
      </w:r>
      <w:r w:rsidR="000034DD" w:rsidRPr="00E019A9">
        <w:rPr>
          <w:sz w:val="20"/>
          <w:szCs w:val="20"/>
          <w:lang w:val="es-ES_tradnl"/>
        </w:rPr>
        <w:sym w:font="Symbol" w:char="F05B"/>
      </w:r>
      <w:r w:rsidR="000034DD" w:rsidRPr="00E019A9">
        <w:rPr>
          <w:sz w:val="20"/>
          <w:szCs w:val="20"/>
          <w:lang w:val="es-ES_tradnl"/>
        </w:rPr>
        <w:t>…</w:t>
      </w:r>
      <w:r w:rsidR="000034DD" w:rsidRPr="00E019A9">
        <w:rPr>
          <w:sz w:val="20"/>
          <w:szCs w:val="20"/>
          <w:lang w:val="es-ES_tradnl"/>
        </w:rPr>
        <w:sym w:font="Symbol" w:char="F05D"/>
      </w:r>
      <w:r w:rsidR="000034DD" w:rsidRPr="00E019A9">
        <w:rPr>
          <w:sz w:val="20"/>
          <w:szCs w:val="20"/>
          <w:lang w:val="es-ES_tradnl"/>
        </w:rPr>
        <w:t xml:space="preserve"> corresponde acoger la prescripción gradual o media prescripción y considerar el hecho como revestido de dos o </w:t>
      </w:r>
      <w:r w:rsidR="00BC235F" w:rsidRPr="00E019A9">
        <w:rPr>
          <w:sz w:val="20"/>
          <w:szCs w:val="20"/>
          <w:lang w:val="es-ES_tradnl"/>
        </w:rPr>
        <w:t>más</w:t>
      </w:r>
      <w:r w:rsidR="000034DD" w:rsidRPr="00E019A9">
        <w:rPr>
          <w:sz w:val="20"/>
          <w:szCs w:val="20"/>
          <w:lang w:val="es-ES_tradnl"/>
        </w:rPr>
        <w:t xml:space="preserve"> circunstancias atenuantes muy calificadas y de ninguna agravante, lo que permite reducir la pena, lo que se hará en dos grados”</w:t>
      </w:r>
      <w:r w:rsidR="00D85EB5" w:rsidRPr="00E019A9">
        <w:rPr>
          <w:rStyle w:val="FootnoteReference"/>
          <w:sz w:val="20"/>
          <w:szCs w:val="20"/>
          <w:lang w:val="es-ES_tradnl"/>
        </w:rPr>
        <w:footnoteReference w:id="69"/>
      </w:r>
      <w:r w:rsidR="000034DD" w:rsidRPr="00E019A9">
        <w:rPr>
          <w:sz w:val="20"/>
          <w:szCs w:val="20"/>
          <w:lang w:val="es-ES_tradnl"/>
        </w:rPr>
        <w:t xml:space="preserve">. </w:t>
      </w:r>
    </w:p>
    <w:p w14:paraId="666BCFB2" w14:textId="77777777" w:rsidR="008142C0" w:rsidRPr="00E019A9" w:rsidRDefault="008142C0" w:rsidP="00AC1CA8">
      <w:pPr>
        <w:pStyle w:val="ListParagraph"/>
        <w:tabs>
          <w:tab w:val="left" w:pos="567"/>
        </w:tabs>
        <w:rPr>
          <w:sz w:val="20"/>
          <w:szCs w:val="20"/>
          <w:lang w:val="es-ES_tradnl"/>
        </w:rPr>
      </w:pPr>
    </w:p>
    <w:p w14:paraId="510BCF02" w14:textId="77777777" w:rsidR="000034DD" w:rsidRPr="00E019A9" w:rsidRDefault="000034DD" w:rsidP="00BB60A6">
      <w:pPr>
        <w:pStyle w:val="ListParagraph"/>
        <w:numPr>
          <w:ilvl w:val="0"/>
          <w:numId w:val="57"/>
        </w:numPr>
        <w:tabs>
          <w:tab w:val="left" w:pos="567"/>
        </w:tabs>
        <w:ind w:left="0" w:firstLine="0"/>
        <w:jc w:val="both"/>
        <w:rPr>
          <w:sz w:val="20"/>
          <w:szCs w:val="20"/>
          <w:lang w:val="es-ES_tradnl"/>
        </w:rPr>
      </w:pPr>
      <w:r w:rsidRPr="00E019A9">
        <w:rPr>
          <w:sz w:val="20"/>
          <w:szCs w:val="20"/>
          <w:lang w:val="es-ES_tradnl"/>
        </w:rPr>
        <w:t>Finalmente, la Corte Suprema modific</w:t>
      </w:r>
      <w:r w:rsidR="00704E9A" w:rsidRPr="00E019A9">
        <w:rPr>
          <w:sz w:val="20"/>
          <w:szCs w:val="20"/>
          <w:lang w:val="es-ES_tradnl"/>
        </w:rPr>
        <w:t>ó</w:t>
      </w:r>
      <w:r w:rsidRPr="00E019A9">
        <w:rPr>
          <w:sz w:val="20"/>
          <w:szCs w:val="20"/>
          <w:lang w:val="es-ES_tradnl"/>
        </w:rPr>
        <w:t xml:space="preserve"> la </w:t>
      </w:r>
      <w:r w:rsidR="00703671" w:rsidRPr="00E019A9">
        <w:rPr>
          <w:sz w:val="20"/>
          <w:szCs w:val="20"/>
          <w:lang w:val="es-ES_tradnl"/>
        </w:rPr>
        <w:t>calificación</w:t>
      </w:r>
      <w:r w:rsidRPr="00E019A9">
        <w:rPr>
          <w:sz w:val="20"/>
          <w:szCs w:val="20"/>
          <w:lang w:val="es-ES_tradnl"/>
        </w:rPr>
        <w:t xml:space="preserve"> legal asignada a los hechos por los tribunales inferiores </w:t>
      </w:r>
      <w:r w:rsidR="00703671" w:rsidRPr="00E019A9">
        <w:rPr>
          <w:sz w:val="20"/>
          <w:szCs w:val="20"/>
          <w:lang w:val="es-ES_tradnl"/>
        </w:rPr>
        <w:t xml:space="preserve">toda vez </w:t>
      </w:r>
      <w:r w:rsidR="00035B24" w:rsidRPr="00E019A9">
        <w:rPr>
          <w:sz w:val="20"/>
          <w:szCs w:val="20"/>
          <w:lang w:val="es-ES_tradnl"/>
        </w:rPr>
        <w:t>que consideró</w:t>
      </w:r>
      <w:r w:rsidRPr="00E019A9">
        <w:rPr>
          <w:sz w:val="20"/>
          <w:szCs w:val="20"/>
          <w:lang w:val="es-ES_tradnl"/>
        </w:rPr>
        <w:t xml:space="preserve"> que </w:t>
      </w:r>
      <w:r w:rsidR="00AB0044" w:rsidRPr="00E019A9">
        <w:rPr>
          <w:sz w:val="20"/>
          <w:szCs w:val="20"/>
          <w:lang w:val="es-ES_tradnl"/>
        </w:rPr>
        <w:t>debían subsumirse bajo el tipo penal de homicidio calificado por alevosía y premeditación (</w:t>
      </w:r>
      <w:r w:rsidR="00E27009" w:rsidRPr="00E019A9">
        <w:rPr>
          <w:sz w:val="20"/>
          <w:szCs w:val="20"/>
          <w:lang w:val="es-ES_tradnl"/>
        </w:rPr>
        <w:t>arts.</w:t>
      </w:r>
      <w:r w:rsidR="00AB0044" w:rsidRPr="00E019A9">
        <w:rPr>
          <w:sz w:val="20"/>
          <w:szCs w:val="20"/>
          <w:lang w:val="es-ES_tradnl"/>
        </w:rPr>
        <w:t xml:space="preserve"> 391 numerales 1 y 5</w:t>
      </w:r>
      <w:r w:rsidR="00703671" w:rsidRPr="00E019A9">
        <w:rPr>
          <w:sz w:val="20"/>
          <w:szCs w:val="20"/>
          <w:lang w:val="es-ES_tradnl"/>
        </w:rPr>
        <w:t xml:space="preserve"> del </w:t>
      </w:r>
      <w:r w:rsidR="007A783D" w:rsidRPr="00E019A9">
        <w:rPr>
          <w:sz w:val="20"/>
          <w:szCs w:val="20"/>
          <w:lang w:val="es-ES_tradnl"/>
        </w:rPr>
        <w:t>Código</w:t>
      </w:r>
      <w:r w:rsidR="00703671" w:rsidRPr="00E019A9">
        <w:rPr>
          <w:sz w:val="20"/>
          <w:szCs w:val="20"/>
          <w:lang w:val="es-ES_tradnl"/>
        </w:rPr>
        <w:t xml:space="preserve"> Penal</w:t>
      </w:r>
      <w:r w:rsidR="00AB0044" w:rsidRPr="00E019A9">
        <w:rPr>
          <w:sz w:val="20"/>
          <w:szCs w:val="20"/>
          <w:lang w:val="es-ES_tradnl"/>
        </w:rPr>
        <w:t>)</w:t>
      </w:r>
      <w:r w:rsidR="00D85EB5" w:rsidRPr="00E019A9">
        <w:rPr>
          <w:sz w:val="20"/>
          <w:szCs w:val="20"/>
          <w:lang w:val="es-ES_tradnl"/>
        </w:rPr>
        <w:t xml:space="preserve"> </w:t>
      </w:r>
      <w:r w:rsidR="007A783D" w:rsidRPr="00E019A9">
        <w:rPr>
          <w:sz w:val="20"/>
          <w:szCs w:val="20"/>
          <w:lang w:val="es-ES_tradnl"/>
        </w:rPr>
        <w:t>y fijó en 5 años y un día de presidio mayor en su grado mínimo la pena de prisión impuesta al Sr. Rivera Bozzo</w:t>
      </w:r>
      <w:r w:rsidR="00704E9A" w:rsidRPr="00E019A9">
        <w:rPr>
          <w:sz w:val="20"/>
          <w:szCs w:val="20"/>
          <w:lang w:val="es-ES_tradnl"/>
        </w:rPr>
        <w:t xml:space="preserve">. </w:t>
      </w:r>
      <w:r w:rsidR="007A783D" w:rsidRPr="00E019A9">
        <w:rPr>
          <w:sz w:val="20"/>
          <w:szCs w:val="20"/>
          <w:lang w:val="es-ES_tradnl"/>
        </w:rPr>
        <w:t>Para decidir de este modo, l</w:t>
      </w:r>
      <w:r w:rsidR="00704E9A" w:rsidRPr="00E019A9">
        <w:rPr>
          <w:sz w:val="20"/>
          <w:szCs w:val="20"/>
          <w:lang w:val="es-ES_tradnl"/>
        </w:rPr>
        <w:t xml:space="preserve">a Corte Suprema entendió que se debía elevar la </w:t>
      </w:r>
      <w:r w:rsidR="007A783D" w:rsidRPr="00E019A9">
        <w:rPr>
          <w:sz w:val="20"/>
          <w:szCs w:val="20"/>
          <w:lang w:val="es-ES_tradnl"/>
        </w:rPr>
        <w:t xml:space="preserve">escala </w:t>
      </w:r>
      <w:r w:rsidR="00704E9A" w:rsidRPr="00E019A9">
        <w:rPr>
          <w:sz w:val="20"/>
          <w:szCs w:val="20"/>
          <w:lang w:val="es-ES_tradnl"/>
        </w:rPr>
        <w:t>pena</w:t>
      </w:r>
      <w:r w:rsidR="007A783D" w:rsidRPr="00E019A9">
        <w:rPr>
          <w:sz w:val="20"/>
          <w:szCs w:val="20"/>
          <w:lang w:val="es-ES_tradnl"/>
        </w:rPr>
        <w:t>l</w:t>
      </w:r>
      <w:r w:rsidR="00704E9A" w:rsidRPr="00E019A9">
        <w:rPr>
          <w:sz w:val="20"/>
          <w:szCs w:val="20"/>
          <w:lang w:val="es-ES_tradnl"/>
        </w:rPr>
        <w:t xml:space="preserve"> en un grado por aplicación del </w:t>
      </w:r>
      <w:r w:rsidR="00BC235F" w:rsidRPr="00E019A9">
        <w:rPr>
          <w:sz w:val="20"/>
          <w:szCs w:val="20"/>
          <w:lang w:val="es-ES_tradnl"/>
        </w:rPr>
        <w:t>artículo</w:t>
      </w:r>
      <w:r w:rsidR="00704E9A" w:rsidRPr="00E019A9">
        <w:rPr>
          <w:sz w:val="20"/>
          <w:szCs w:val="20"/>
          <w:lang w:val="es-ES_tradnl"/>
        </w:rPr>
        <w:t xml:space="preserve"> 509 del </w:t>
      </w:r>
      <w:r w:rsidR="007A783D" w:rsidRPr="00E019A9">
        <w:rPr>
          <w:sz w:val="20"/>
          <w:szCs w:val="20"/>
          <w:lang w:val="es-ES_tradnl"/>
        </w:rPr>
        <w:t>Código</w:t>
      </w:r>
      <w:r w:rsidR="00704E9A" w:rsidRPr="00E019A9">
        <w:rPr>
          <w:sz w:val="20"/>
          <w:szCs w:val="20"/>
          <w:lang w:val="es-ES_tradnl"/>
        </w:rPr>
        <w:t xml:space="preserve"> de Procedimiento Penal</w:t>
      </w:r>
      <w:r w:rsidR="007A783D" w:rsidRPr="00E019A9">
        <w:rPr>
          <w:rStyle w:val="FootnoteReference"/>
          <w:sz w:val="20"/>
          <w:szCs w:val="20"/>
          <w:lang w:val="es-ES_tradnl"/>
        </w:rPr>
        <w:footnoteReference w:id="70"/>
      </w:r>
      <w:r w:rsidR="00704E9A" w:rsidRPr="00E019A9">
        <w:rPr>
          <w:sz w:val="20"/>
          <w:szCs w:val="20"/>
          <w:lang w:val="es-ES_tradnl"/>
        </w:rPr>
        <w:t xml:space="preserve"> y luego disminuirla en dos grados como consecuencia de la aplicación de la regla de la media prescripción, quedando</w:t>
      </w:r>
      <w:r w:rsidR="007A783D" w:rsidRPr="00E019A9">
        <w:rPr>
          <w:sz w:val="20"/>
          <w:szCs w:val="20"/>
          <w:lang w:val="es-ES_tradnl"/>
        </w:rPr>
        <w:t xml:space="preserve"> </w:t>
      </w:r>
      <w:r w:rsidR="00704E9A" w:rsidRPr="00E019A9">
        <w:rPr>
          <w:sz w:val="20"/>
          <w:szCs w:val="20"/>
          <w:lang w:val="es-ES_tradnl"/>
        </w:rPr>
        <w:t xml:space="preserve">en definitiva </w:t>
      </w:r>
      <w:r w:rsidR="007A783D" w:rsidRPr="00E019A9">
        <w:rPr>
          <w:sz w:val="20"/>
          <w:szCs w:val="20"/>
          <w:lang w:val="es-ES_tradnl"/>
        </w:rPr>
        <w:t>como escala aplicable la de presidio mayor en su grado mínimo</w:t>
      </w:r>
      <w:r w:rsidR="007A783D" w:rsidRPr="00E019A9">
        <w:rPr>
          <w:rStyle w:val="FootnoteReference"/>
          <w:sz w:val="20"/>
          <w:szCs w:val="20"/>
          <w:lang w:val="es-ES_tradnl"/>
        </w:rPr>
        <w:footnoteReference w:id="71"/>
      </w:r>
      <w:r w:rsidR="007A783D" w:rsidRPr="00E019A9">
        <w:rPr>
          <w:sz w:val="20"/>
          <w:szCs w:val="20"/>
          <w:lang w:val="es-ES_tradnl"/>
        </w:rPr>
        <w:t xml:space="preserve">. </w:t>
      </w:r>
    </w:p>
    <w:p w14:paraId="4D11566B" w14:textId="77777777" w:rsidR="000B3AF2" w:rsidRPr="00E019A9" w:rsidRDefault="000B3AF2" w:rsidP="000B3AF2">
      <w:pPr>
        <w:rPr>
          <w:sz w:val="20"/>
          <w:szCs w:val="20"/>
          <w:lang w:val="es-ES_tradnl" w:eastAsia="es-ES"/>
        </w:rPr>
      </w:pPr>
    </w:p>
    <w:p w14:paraId="2D2D26C8" w14:textId="77777777" w:rsidR="00725751" w:rsidRPr="00E019A9" w:rsidRDefault="00584A54" w:rsidP="00BB60A6">
      <w:pPr>
        <w:pStyle w:val="Heading3"/>
        <w:numPr>
          <w:ilvl w:val="1"/>
          <w:numId w:val="59"/>
        </w:numPr>
        <w:tabs>
          <w:tab w:val="left" w:pos="567"/>
          <w:tab w:val="left" w:pos="1134"/>
        </w:tabs>
        <w:ind w:left="567" w:firstLine="0"/>
        <w:jc w:val="both"/>
      </w:pPr>
      <w:r w:rsidRPr="00E019A9">
        <w:t xml:space="preserve">Respecto de la petición presentada en representación de Luis Evangelista Aguayo Fernández, Manuel Eduardo Bascuñan Aravena, José́ Ignacio Bustos Fuentes, Enrique Ángel Carreño González, Rafael Alonso Díaz Meza, Rolando Antonio Ibarra Ortega (López), Aroldo Vivian Laurie Luengo, Ireneo Alberto Méndez Hernández, Armando Edelmiro Morales Morales, José́ Luis Morales Ruiz, Aurelio Clodomiro Peñailillo </w:t>
      </w:r>
      <w:r w:rsidR="00AF00B9" w:rsidRPr="00E019A9">
        <w:t>Sepúlveda</w:t>
      </w:r>
      <w:r w:rsidRPr="00E019A9">
        <w:t xml:space="preserve">, Luis Alcides Pereira Hernández, Armando Aroldo Pereira Meriño, Oscar </w:t>
      </w:r>
      <w:r w:rsidR="00AF00B9" w:rsidRPr="00E019A9">
        <w:t>Abdón</w:t>
      </w:r>
      <w:r w:rsidRPr="00E019A9">
        <w:t xml:space="preserve"> Retamal </w:t>
      </w:r>
      <w:r w:rsidR="00AF00B9" w:rsidRPr="00E019A9">
        <w:t>Pérez</w:t>
      </w:r>
      <w:r w:rsidRPr="00E019A9">
        <w:t>, Luis Enrique Rivera Cofré, José́ Hernán Riveros Chávez, Roberto del Carmen R</w:t>
      </w:r>
      <w:r w:rsidR="00970313" w:rsidRPr="00E019A9">
        <w:t>omero</w:t>
      </w:r>
      <w:r w:rsidRPr="00E019A9">
        <w:t xml:space="preserve"> </w:t>
      </w:r>
      <w:r w:rsidR="00AF00B9" w:rsidRPr="00E019A9">
        <w:t>Muñoz</w:t>
      </w:r>
      <w:r w:rsidRPr="00E019A9">
        <w:t>, Oscar Eladio Saldías Daza, Hernán Sarmiento Sabater, Hugo Enrique Soto Campos, Ruperto Oriol Torres Aravena, Edelm</w:t>
      </w:r>
      <w:r w:rsidR="00725751" w:rsidRPr="00E019A9">
        <w:t>i</w:t>
      </w:r>
      <w:r w:rsidRPr="00E019A9">
        <w:t>ro An</w:t>
      </w:r>
      <w:r w:rsidR="00725751" w:rsidRPr="00E019A9">
        <w:t>t</w:t>
      </w:r>
      <w:r w:rsidRPr="00E019A9">
        <w:t xml:space="preserve">onio Valdez Sepúlveda, Víctor Julio Vivanco </w:t>
      </w:r>
      <w:r w:rsidR="00725751" w:rsidRPr="00E019A9">
        <w:t>Vásquez</w:t>
      </w:r>
      <w:r w:rsidRPr="00E019A9">
        <w:t xml:space="preserve">, Claudio </w:t>
      </w:r>
      <w:r w:rsidR="00725751" w:rsidRPr="00E019A9">
        <w:t>Jesús</w:t>
      </w:r>
      <w:r w:rsidRPr="00E019A9">
        <w:t xml:space="preserve"> Escanilla Escobar y sus respectivos familiares y registrada inicialmente bajo el numero P</w:t>
      </w:r>
      <w:r w:rsidR="00725751" w:rsidRPr="00E019A9">
        <w:t xml:space="preserve"> </w:t>
      </w:r>
      <w:r w:rsidRPr="00E019A9">
        <w:t xml:space="preserve">759-08. </w:t>
      </w:r>
    </w:p>
    <w:p w14:paraId="38358D50" w14:textId="77777777" w:rsidR="00E27009" w:rsidRPr="00E019A9" w:rsidRDefault="00E27009" w:rsidP="00E27009">
      <w:pPr>
        <w:rPr>
          <w:rFonts w:ascii="Cambria" w:hAnsi="Cambria"/>
          <w:sz w:val="20"/>
          <w:szCs w:val="20"/>
          <w:lang w:val="es-ES_tradnl" w:eastAsia="es-ES"/>
        </w:rPr>
      </w:pPr>
    </w:p>
    <w:p w14:paraId="797B1AEA" w14:textId="77777777" w:rsidR="008142C0" w:rsidRPr="00E019A9" w:rsidRDefault="00E27009" w:rsidP="00BB60A6">
      <w:pPr>
        <w:pStyle w:val="ListParagraph"/>
        <w:numPr>
          <w:ilvl w:val="0"/>
          <w:numId w:val="57"/>
        </w:numPr>
        <w:tabs>
          <w:tab w:val="left" w:pos="567"/>
        </w:tabs>
        <w:ind w:left="0" w:firstLine="0"/>
        <w:jc w:val="both"/>
        <w:rPr>
          <w:sz w:val="20"/>
          <w:szCs w:val="20"/>
          <w:lang w:val="es-ES_tradnl"/>
        </w:rPr>
      </w:pPr>
      <w:r w:rsidRPr="00E019A9">
        <w:rPr>
          <w:sz w:val="20"/>
          <w:szCs w:val="20"/>
          <w:lang w:val="es-ES_tradnl"/>
        </w:rPr>
        <w:t xml:space="preserve">De acuerdo </w:t>
      </w:r>
      <w:r w:rsidR="004B4A7D" w:rsidRPr="00E019A9">
        <w:rPr>
          <w:sz w:val="20"/>
          <w:szCs w:val="20"/>
          <w:lang w:val="es-ES_tradnl"/>
        </w:rPr>
        <w:t>con</w:t>
      </w:r>
      <w:r w:rsidRPr="00E019A9">
        <w:rPr>
          <w:sz w:val="20"/>
          <w:szCs w:val="20"/>
          <w:lang w:val="es-ES_tradnl"/>
        </w:rPr>
        <w:t xml:space="preserve"> la información </w:t>
      </w:r>
      <w:r w:rsidR="00AD2BB2" w:rsidRPr="00E019A9">
        <w:rPr>
          <w:sz w:val="20"/>
          <w:szCs w:val="20"/>
          <w:lang w:val="es-ES_tradnl"/>
        </w:rPr>
        <w:t xml:space="preserve">consignada en el </w:t>
      </w:r>
      <w:r w:rsidR="00F564F3" w:rsidRPr="00E019A9">
        <w:rPr>
          <w:sz w:val="20"/>
          <w:szCs w:val="20"/>
          <w:lang w:val="es-ES_tradnl"/>
        </w:rPr>
        <w:t>Informe de la Comisión Nacional de Verdad y Reconciliación y</w:t>
      </w:r>
      <w:r w:rsidR="00AD2BB2" w:rsidRPr="00E019A9">
        <w:rPr>
          <w:sz w:val="20"/>
          <w:szCs w:val="20"/>
          <w:lang w:val="es-ES_tradnl"/>
        </w:rPr>
        <w:t xml:space="preserve"> la que se desprende</w:t>
      </w:r>
      <w:r w:rsidR="00F564F3" w:rsidRPr="00E019A9">
        <w:rPr>
          <w:sz w:val="20"/>
          <w:szCs w:val="20"/>
          <w:lang w:val="es-ES_tradnl"/>
        </w:rPr>
        <w:t xml:space="preserve"> de las investigaciones judiciales realizadas</w:t>
      </w:r>
      <w:r w:rsidR="004B4A7D" w:rsidRPr="00E019A9">
        <w:rPr>
          <w:sz w:val="20"/>
          <w:szCs w:val="20"/>
          <w:lang w:val="es-ES_tradnl"/>
        </w:rPr>
        <w:t xml:space="preserve">, </w:t>
      </w:r>
      <w:r w:rsidRPr="00E019A9">
        <w:rPr>
          <w:sz w:val="20"/>
          <w:szCs w:val="20"/>
          <w:lang w:val="es-ES_tradnl"/>
        </w:rPr>
        <w:t xml:space="preserve">se encuentra acreditado que </w:t>
      </w:r>
      <w:r w:rsidR="00060017" w:rsidRPr="00E019A9">
        <w:rPr>
          <w:sz w:val="20"/>
          <w:szCs w:val="20"/>
          <w:lang w:val="es-ES_tradnl"/>
        </w:rPr>
        <w:t>las</w:t>
      </w:r>
      <w:r w:rsidR="004B4A7D" w:rsidRPr="00E019A9">
        <w:rPr>
          <w:sz w:val="20"/>
          <w:szCs w:val="20"/>
          <w:lang w:val="es-ES_tradnl"/>
        </w:rPr>
        <w:t xml:space="preserve"> 24 </w:t>
      </w:r>
      <w:r w:rsidR="00060017" w:rsidRPr="00E019A9">
        <w:rPr>
          <w:sz w:val="20"/>
          <w:szCs w:val="20"/>
          <w:lang w:val="es-ES_tradnl"/>
        </w:rPr>
        <w:t>presuntas v</w:t>
      </w:r>
      <w:r w:rsidR="00926164" w:rsidRPr="00E019A9">
        <w:rPr>
          <w:sz w:val="20"/>
          <w:szCs w:val="20"/>
          <w:lang w:val="es-ES_tradnl"/>
        </w:rPr>
        <w:t>í</w:t>
      </w:r>
      <w:r w:rsidR="00060017" w:rsidRPr="00E019A9">
        <w:rPr>
          <w:sz w:val="20"/>
          <w:szCs w:val="20"/>
          <w:lang w:val="es-ES_tradnl"/>
        </w:rPr>
        <w:t xml:space="preserve">ctimas incluidas en la petición anteriormente identificada bajo el número P 759-08 fueron </w:t>
      </w:r>
      <w:r w:rsidR="00276BF9" w:rsidRPr="00E019A9">
        <w:rPr>
          <w:sz w:val="20"/>
          <w:szCs w:val="20"/>
          <w:lang w:val="es-ES_tradnl"/>
        </w:rPr>
        <w:t xml:space="preserve">privadas de su libertad </w:t>
      </w:r>
      <w:r w:rsidR="004B4A7D" w:rsidRPr="00E019A9">
        <w:rPr>
          <w:sz w:val="20"/>
          <w:szCs w:val="20"/>
          <w:lang w:val="es-ES_tradnl"/>
        </w:rPr>
        <w:t xml:space="preserve">en los meses posteriores a septiembre de 1973 por </w:t>
      </w:r>
      <w:r w:rsidR="00276BF9" w:rsidRPr="00E019A9">
        <w:rPr>
          <w:sz w:val="20"/>
          <w:szCs w:val="20"/>
          <w:lang w:val="es-ES_tradnl"/>
        </w:rPr>
        <w:t xml:space="preserve">agentes estatales </w:t>
      </w:r>
      <w:r w:rsidR="00F564F3" w:rsidRPr="00E019A9">
        <w:rPr>
          <w:sz w:val="20"/>
          <w:szCs w:val="20"/>
          <w:lang w:val="es-ES_tradnl"/>
        </w:rPr>
        <w:t xml:space="preserve">que operaban </w:t>
      </w:r>
      <w:r w:rsidR="00276BF9" w:rsidRPr="00E019A9">
        <w:rPr>
          <w:sz w:val="20"/>
          <w:szCs w:val="20"/>
          <w:lang w:val="es-ES_tradnl"/>
        </w:rPr>
        <w:t xml:space="preserve">en </w:t>
      </w:r>
      <w:r w:rsidR="004B4A7D" w:rsidRPr="00E019A9">
        <w:rPr>
          <w:sz w:val="20"/>
          <w:szCs w:val="20"/>
          <w:lang w:val="es-ES_tradnl"/>
        </w:rPr>
        <w:lastRenderedPageBreak/>
        <w:t>la ciudad de Parral, VII Región del Maule</w:t>
      </w:r>
      <w:r w:rsidR="00276BF9" w:rsidRPr="00E019A9">
        <w:rPr>
          <w:sz w:val="20"/>
          <w:szCs w:val="20"/>
          <w:lang w:val="es-ES_tradnl"/>
        </w:rPr>
        <w:t xml:space="preserve"> y sus inmediaciones</w:t>
      </w:r>
      <w:r w:rsidR="004B4A7D" w:rsidRPr="00E019A9">
        <w:rPr>
          <w:sz w:val="20"/>
          <w:szCs w:val="20"/>
          <w:lang w:val="es-ES_tradnl"/>
        </w:rPr>
        <w:t xml:space="preserve">. </w:t>
      </w:r>
      <w:r w:rsidR="00AD2BB2" w:rsidRPr="00E019A9">
        <w:rPr>
          <w:sz w:val="20"/>
          <w:szCs w:val="20"/>
          <w:lang w:val="es-ES_tradnl"/>
        </w:rPr>
        <w:t xml:space="preserve">En todos los casos, las presuntas víctimas </w:t>
      </w:r>
      <w:r w:rsidR="004B4A7D" w:rsidRPr="00E019A9">
        <w:rPr>
          <w:sz w:val="20"/>
          <w:szCs w:val="20"/>
          <w:lang w:val="es-ES_tradnl"/>
        </w:rPr>
        <w:t xml:space="preserve"> fueron vistas por </w:t>
      </w:r>
      <w:r w:rsidR="002A4062" w:rsidRPr="00E019A9">
        <w:rPr>
          <w:sz w:val="20"/>
          <w:szCs w:val="20"/>
          <w:lang w:val="es-ES_tradnl"/>
        </w:rPr>
        <w:t>última</w:t>
      </w:r>
      <w:r w:rsidR="004B4A7D" w:rsidRPr="00E019A9">
        <w:rPr>
          <w:sz w:val="20"/>
          <w:szCs w:val="20"/>
          <w:lang w:val="es-ES_tradnl"/>
        </w:rPr>
        <w:t xml:space="preserve"> vez con vida en la Comisaria de Carabineros ubicada en Parral o en la cárcel p</w:t>
      </w:r>
      <w:r w:rsidR="00AD2BB2" w:rsidRPr="00E019A9">
        <w:rPr>
          <w:sz w:val="20"/>
          <w:szCs w:val="20"/>
          <w:lang w:val="es-ES_tradnl"/>
        </w:rPr>
        <w:t>ú</w:t>
      </w:r>
      <w:r w:rsidR="004B4A7D" w:rsidRPr="00E019A9">
        <w:rPr>
          <w:sz w:val="20"/>
          <w:szCs w:val="20"/>
          <w:lang w:val="es-ES_tradnl"/>
        </w:rPr>
        <w:t>blica de la ciudad</w:t>
      </w:r>
      <w:r w:rsidR="00276BF9" w:rsidRPr="00E019A9">
        <w:rPr>
          <w:sz w:val="20"/>
          <w:szCs w:val="20"/>
          <w:lang w:val="es-ES_tradnl"/>
        </w:rPr>
        <w:t xml:space="preserve"> y a la fecha se desconoce su paradero</w:t>
      </w:r>
      <w:r w:rsidR="004B4A7D" w:rsidRPr="00E019A9">
        <w:rPr>
          <w:rStyle w:val="FootnoteReference"/>
          <w:sz w:val="20"/>
          <w:szCs w:val="20"/>
          <w:lang w:val="es-ES_tradnl"/>
        </w:rPr>
        <w:footnoteReference w:id="72"/>
      </w:r>
      <w:r w:rsidR="004B4A7D" w:rsidRPr="00E019A9">
        <w:rPr>
          <w:sz w:val="20"/>
          <w:szCs w:val="20"/>
          <w:lang w:val="es-ES_tradnl"/>
        </w:rPr>
        <w:t>.</w:t>
      </w:r>
    </w:p>
    <w:p w14:paraId="02C46F95" w14:textId="77777777" w:rsidR="008142C0" w:rsidRPr="00E019A9" w:rsidRDefault="008142C0" w:rsidP="00AC1CA8">
      <w:pPr>
        <w:pStyle w:val="ListParagraph"/>
        <w:tabs>
          <w:tab w:val="left" w:pos="567"/>
        </w:tabs>
        <w:ind w:left="0"/>
        <w:jc w:val="both"/>
        <w:rPr>
          <w:sz w:val="20"/>
          <w:szCs w:val="20"/>
          <w:lang w:val="es-ES_tradnl"/>
        </w:rPr>
      </w:pPr>
    </w:p>
    <w:p w14:paraId="44F9623F" w14:textId="77777777" w:rsidR="008142C0" w:rsidRPr="00E019A9" w:rsidRDefault="000F7BF8" w:rsidP="00BB60A6">
      <w:pPr>
        <w:pStyle w:val="ListParagraph"/>
        <w:numPr>
          <w:ilvl w:val="0"/>
          <w:numId w:val="57"/>
        </w:numPr>
        <w:tabs>
          <w:tab w:val="left" w:pos="567"/>
        </w:tabs>
        <w:ind w:left="0" w:firstLine="0"/>
        <w:jc w:val="both"/>
        <w:rPr>
          <w:sz w:val="20"/>
          <w:szCs w:val="20"/>
          <w:lang w:val="es-ES_tradnl"/>
        </w:rPr>
      </w:pPr>
      <w:r w:rsidRPr="00E019A9">
        <w:rPr>
          <w:sz w:val="20"/>
          <w:szCs w:val="20"/>
          <w:lang w:val="es-ES_tradnl"/>
        </w:rPr>
        <w:t xml:space="preserve">La </w:t>
      </w:r>
      <w:r w:rsidR="00850D15" w:rsidRPr="00E019A9">
        <w:rPr>
          <w:sz w:val="20"/>
          <w:szCs w:val="20"/>
          <w:lang w:val="es-ES_tradnl"/>
        </w:rPr>
        <w:t>Comisión</w:t>
      </w:r>
      <w:r w:rsidRPr="00E019A9">
        <w:rPr>
          <w:sz w:val="20"/>
          <w:szCs w:val="20"/>
          <w:lang w:val="es-ES_tradnl"/>
        </w:rPr>
        <w:t xml:space="preserve"> tiene con</w:t>
      </w:r>
      <w:r w:rsidR="00850D15" w:rsidRPr="00E019A9">
        <w:rPr>
          <w:sz w:val="20"/>
          <w:szCs w:val="20"/>
          <w:lang w:val="es-ES_tradnl"/>
        </w:rPr>
        <w:t xml:space="preserve">ocimiento </w:t>
      </w:r>
      <w:r w:rsidRPr="00E019A9">
        <w:rPr>
          <w:sz w:val="20"/>
          <w:szCs w:val="20"/>
          <w:lang w:val="es-ES_tradnl"/>
        </w:rPr>
        <w:t>que</w:t>
      </w:r>
      <w:r w:rsidR="00850D15" w:rsidRPr="00E019A9">
        <w:rPr>
          <w:sz w:val="20"/>
          <w:szCs w:val="20"/>
          <w:lang w:val="es-ES_tradnl"/>
        </w:rPr>
        <w:t xml:space="preserve">, por conducto del Ministro de Fuero </w:t>
      </w:r>
      <w:r w:rsidR="00890691" w:rsidRPr="00E019A9">
        <w:rPr>
          <w:sz w:val="20"/>
          <w:szCs w:val="20"/>
          <w:lang w:val="es-ES_tradnl"/>
        </w:rPr>
        <w:t>Solís</w:t>
      </w:r>
      <w:r w:rsidR="00850D15" w:rsidRPr="00E019A9">
        <w:rPr>
          <w:sz w:val="20"/>
          <w:szCs w:val="20"/>
          <w:lang w:val="es-ES_tradnl"/>
        </w:rPr>
        <w:t xml:space="preserve"> Muñoz se instruy</w:t>
      </w:r>
      <w:r w:rsidR="000F7BEC" w:rsidRPr="00E019A9">
        <w:rPr>
          <w:sz w:val="20"/>
          <w:szCs w:val="20"/>
          <w:lang w:val="es-ES_tradnl"/>
        </w:rPr>
        <w:t>ó</w:t>
      </w:r>
      <w:r w:rsidR="00850D15" w:rsidRPr="00E019A9">
        <w:rPr>
          <w:sz w:val="20"/>
          <w:szCs w:val="20"/>
          <w:lang w:val="es-ES_tradnl"/>
        </w:rPr>
        <w:t xml:space="preserve"> la causa Rol N° 2.182-98 denominada </w:t>
      </w:r>
      <w:r w:rsidR="004174F3" w:rsidRPr="00E019A9">
        <w:rPr>
          <w:sz w:val="20"/>
          <w:szCs w:val="20"/>
          <w:lang w:val="es-ES_tradnl"/>
        </w:rPr>
        <w:t>“episodio</w:t>
      </w:r>
      <w:r w:rsidR="00850D15" w:rsidRPr="00E019A9">
        <w:rPr>
          <w:sz w:val="20"/>
          <w:szCs w:val="20"/>
          <w:lang w:val="es-ES_tradnl"/>
        </w:rPr>
        <w:t xml:space="preserve"> Parral” y destinada a investigar y establecer responsabilidades penales por los secuestros y homicidios ocurridos en dicha ciudad. </w:t>
      </w:r>
      <w:r w:rsidR="00B536FE" w:rsidRPr="00E019A9">
        <w:rPr>
          <w:sz w:val="20"/>
          <w:szCs w:val="20"/>
          <w:lang w:val="es-ES_tradnl"/>
        </w:rPr>
        <w:t xml:space="preserve">El 4 de agosto de 2003 </w:t>
      </w:r>
      <w:r w:rsidR="00850D15" w:rsidRPr="00E019A9">
        <w:rPr>
          <w:sz w:val="20"/>
          <w:szCs w:val="20"/>
          <w:lang w:val="es-ES_tradnl"/>
        </w:rPr>
        <w:t>el Ministro de Fuero emitió sentencia de primera instancia condenando a un grupo de agentes estatales a penas de prisión</w:t>
      </w:r>
      <w:r w:rsidR="00890691" w:rsidRPr="00E019A9">
        <w:rPr>
          <w:rStyle w:val="FootnoteReference"/>
          <w:sz w:val="20"/>
          <w:szCs w:val="20"/>
          <w:lang w:val="es-ES_tradnl"/>
        </w:rPr>
        <w:footnoteReference w:id="73"/>
      </w:r>
      <w:r w:rsidR="00850D15" w:rsidRPr="00E019A9">
        <w:rPr>
          <w:sz w:val="20"/>
          <w:szCs w:val="20"/>
          <w:lang w:val="es-ES_tradnl"/>
        </w:rPr>
        <w:t xml:space="preserve">. </w:t>
      </w:r>
    </w:p>
    <w:p w14:paraId="2E3AF0CB" w14:textId="77777777" w:rsidR="008142C0" w:rsidRPr="00E019A9" w:rsidRDefault="008142C0" w:rsidP="00AC1CA8">
      <w:pPr>
        <w:pStyle w:val="ListParagraph"/>
        <w:tabs>
          <w:tab w:val="left" w:pos="567"/>
        </w:tabs>
        <w:rPr>
          <w:sz w:val="20"/>
          <w:szCs w:val="20"/>
          <w:lang w:val="es-ES_tradnl"/>
        </w:rPr>
      </w:pPr>
    </w:p>
    <w:p w14:paraId="2634676D" w14:textId="77777777" w:rsidR="008142C0" w:rsidRPr="00E019A9" w:rsidRDefault="00850D15" w:rsidP="00BB60A6">
      <w:pPr>
        <w:pStyle w:val="ListParagraph"/>
        <w:numPr>
          <w:ilvl w:val="0"/>
          <w:numId w:val="57"/>
        </w:numPr>
        <w:tabs>
          <w:tab w:val="left" w:pos="567"/>
        </w:tabs>
        <w:ind w:left="0" w:firstLine="0"/>
        <w:jc w:val="both"/>
        <w:rPr>
          <w:sz w:val="20"/>
          <w:szCs w:val="20"/>
          <w:lang w:val="es-ES_tradnl"/>
        </w:rPr>
      </w:pPr>
      <w:r w:rsidRPr="00E019A9">
        <w:rPr>
          <w:sz w:val="20"/>
          <w:szCs w:val="20"/>
          <w:lang w:val="es-ES_tradnl"/>
        </w:rPr>
        <w:t xml:space="preserve">De manera concreta, el </w:t>
      </w:r>
      <w:r w:rsidR="00890691" w:rsidRPr="00E019A9">
        <w:rPr>
          <w:sz w:val="20"/>
          <w:szCs w:val="20"/>
          <w:lang w:val="es-ES_tradnl"/>
        </w:rPr>
        <w:t xml:space="preserve">Coronel (R) del Ejercito </w:t>
      </w:r>
      <w:r w:rsidRPr="00E019A9">
        <w:rPr>
          <w:sz w:val="20"/>
          <w:szCs w:val="20"/>
          <w:lang w:val="es-ES_tradnl"/>
        </w:rPr>
        <w:t xml:space="preserve">Hugo Alfredo Cardemil Valenzuela fue condenado a la pena de 17 años de presidio mayor en su grado máximo </w:t>
      </w:r>
      <w:r w:rsidR="00BC235F" w:rsidRPr="00E019A9">
        <w:rPr>
          <w:sz w:val="20"/>
          <w:szCs w:val="20"/>
          <w:lang w:val="es-ES_tradnl"/>
        </w:rPr>
        <w:t>más</w:t>
      </w:r>
      <w:r w:rsidRPr="00E019A9">
        <w:rPr>
          <w:sz w:val="20"/>
          <w:szCs w:val="20"/>
          <w:lang w:val="es-ES_tradnl"/>
        </w:rPr>
        <w:t xml:space="preserve"> accesorias de inhabilitación y costas por ser responsable del delito de sustracción de menor de edad en perjuicio de Claudio </w:t>
      </w:r>
      <w:r w:rsidR="00890691" w:rsidRPr="00E019A9">
        <w:rPr>
          <w:sz w:val="20"/>
          <w:szCs w:val="20"/>
          <w:lang w:val="es-ES_tradnl"/>
        </w:rPr>
        <w:t>Jesús</w:t>
      </w:r>
      <w:r w:rsidRPr="00E019A9">
        <w:rPr>
          <w:sz w:val="20"/>
          <w:szCs w:val="20"/>
          <w:lang w:val="es-ES_tradnl"/>
        </w:rPr>
        <w:t xml:space="preserve"> Escanilla Escobar y de 16 delitos de secuestro calificado</w:t>
      </w:r>
      <w:r w:rsidR="00890691" w:rsidRPr="00E019A9">
        <w:rPr>
          <w:sz w:val="20"/>
          <w:szCs w:val="20"/>
          <w:lang w:val="es-ES_tradnl"/>
        </w:rPr>
        <w:t>. El Coronel de Carabineros (R) Pablo Rodney Caulier Grant fue condenado a la pena de 10 años y 1 día de presidio mayor en su grado máximo, accesorias de inhabilitación y costas por ser responsable de 8 delitos de secuestro calificado.</w:t>
      </w:r>
      <w:r w:rsidR="00A5660F" w:rsidRPr="00E019A9">
        <w:rPr>
          <w:sz w:val="20"/>
          <w:szCs w:val="20"/>
          <w:lang w:val="es-ES_tradnl"/>
        </w:rPr>
        <w:t xml:space="preserve"> </w:t>
      </w:r>
    </w:p>
    <w:p w14:paraId="4370859B" w14:textId="77777777" w:rsidR="008142C0" w:rsidRPr="00E019A9" w:rsidRDefault="008142C0" w:rsidP="00AC1CA8">
      <w:pPr>
        <w:pStyle w:val="ListParagraph"/>
        <w:tabs>
          <w:tab w:val="left" w:pos="567"/>
        </w:tabs>
        <w:rPr>
          <w:sz w:val="20"/>
          <w:szCs w:val="20"/>
          <w:lang w:val="es-ES_tradnl"/>
        </w:rPr>
      </w:pPr>
    </w:p>
    <w:p w14:paraId="4EC27050" w14:textId="77777777" w:rsidR="008142C0" w:rsidRPr="00E019A9" w:rsidRDefault="00890691" w:rsidP="00BB60A6">
      <w:pPr>
        <w:pStyle w:val="ListParagraph"/>
        <w:numPr>
          <w:ilvl w:val="0"/>
          <w:numId w:val="57"/>
        </w:numPr>
        <w:tabs>
          <w:tab w:val="left" w:pos="567"/>
        </w:tabs>
        <w:ind w:left="0" w:firstLine="0"/>
        <w:jc w:val="both"/>
        <w:rPr>
          <w:sz w:val="20"/>
          <w:szCs w:val="20"/>
          <w:lang w:val="es-ES_tradnl"/>
        </w:rPr>
      </w:pPr>
      <w:r w:rsidRPr="00E019A9">
        <w:rPr>
          <w:sz w:val="20"/>
          <w:szCs w:val="20"/>
          <w:lang w:val="es-ES_tradnl"/>
        </w:rPr>
        <w:t xml:space="preserve"> </w:t>
      </w:r>
      <w:r w:rsidR="00047D78" w:rsidRPr="00E019A9">
        <w:rPr>
          <w:sz w:val="20"/>
          <w:szCs w:val="20"/>
          <w:lang w:val="es-ES_tradnl"/>
        </w:rPr>
        <w:t>Asimismo,</w:t>
      </w:r>
      <w:r w:rsidRPr="00E019A9">
        <w:rPr>
          <w:sz w:val="20"/>
          <w:szCs w:val="20"/>
          <w:lang w:val="es-ES_tradnl"/>
        </w:rPr>
        <w:t xml:space="preserve"> el Suboficial de Carabineros (R) Luis Alberto Hidalgo fue condenado como responsable de los delitos de sustracción de menor y secuestro calificado (reiterado en 19 ocasiones) a la pena de 7 años de presidio mayor en su grado mínimo, accesorias de inhabilitación y costas. La </w:t>
      </w:r>
      <w:r w:rsidR="00047D78" w:rsidRPr="00E019A9">
        <w:rPr>
          <w:sz w:val="20"/>
          <w:szCs w:val="20"/>
          <w:lang w:val="es-ES_tradnl"/>
        </w:rPr>
        <w:t>Comisión</w:t>
      </w:r>
      <w:r w:rsidRPr="00E019A9">
        <w:rPr>
          <w:sz w:val="20"/>
          <w:szCs w:val="20"/>
          <w:lang w:val="es-ES_tradnl"/>
        </w:rPr>
        <w:t xml:space="preserve"> destaca que</w:t>
      </w:r>
      <w:r w:rsidR="005D53FC" w:rsidRPr="00E019A9">
        <w:rPr>
          <w:sz w:val="20"/>
          <w:szCs w:val="20"/>
          <w:lang w:val="es-ES_tradnl"/>
        </w:rPr>
        <w:t>,</w:t>
      </w:r>
      <w:r w:rsidRPr="00E019A9">
        <w:rPr>
          <w:sz w:val="20"/>
          <w:szCs w:val="20"/>
          <w:lang w:val="es-ES_tradnl"/>
        </w:rPr>
        <w:t xml:space="preserve"> en el caso del Suboficial Hidalgo, el juez </w:t>
      </w:r>
      <w:r w:rsidR="005D53FC" w:rsidRPr="00E019A9">
        <w:rPr>
          <w:sz w:val="20"/>
          <w:szCs w:val="20"/>
          <w:lang w:val="es-ES_tradnl"/>
        </w:rPr>
        <w:t>entendió</w:t>
      </w:r>
      <w:r w:rsidRPr="00E019A9">
        <w:rPr>
          <w:sz w:val="20"/>
          <w:szCs w:val="20"/>
          <w:lang w:val="es-ES_tradnl"/>
        </w:rPr>
        <w:t xml:space="preserve"> que e</w:t>
      </w:r>
      <w:r w:rsidR="005D53FC" w:rsidRPr="00E019A9">
        <w:rPr>
          <w:sz w:val="20"/>
          <w:szCs w:val="20"/>
          <w:lang w:val="es-ES_tradnl"/>
        </w:rPr>
        <w:t xml:space="preserve">se encontraban presentes las atenuantes de los artículos 11.6 del </w:t>
      </w:r>
      <w:r w:rsidR="00047D78" w:rsidRPr="00E019A9">
        <w:rPr>
          <w:sz w:val="20"/>
          <w:szCs w:val="20"/>
          <w:lang w:val="es-ES_tradnl"/>
        </w:rPr>
        <w:t>Código</w:t>
      </w:r>
      <w:r w:rsidR="005D53FC" w:rsidRPr="00E019A9">
        <w:rPr>
          <w:sz w:val="20"/>
          <w:szCs w:val="20"/>
          <w:lang w:val="es-ES_tradnl"/>
        </w:rPr>
        <w:t xml:space="preserve"> Penal (conducta anterior irreprochable)</w:t>
      </w:r>
      <w:r w:rsidR="0016078B" w:rsidRPr="00E019A9">
        <w:rPr>
          <w:rStyle w:val="FootnoteReference"/>
          <w:sz w:val="20"/>
          <w:szCs w:val="20"/>
          <w:lang w:val="es-ES_tradnl"/>
        </w:rPr>
        <w:footnoteReference w:id="74"/>
      </w:r>
      <w:r w:rsidR="005D53FC" w:rsidRPr="00E019A9">
        <w:rPr>
          <w:sz w:val="20"/>
          <w:szCs w:val="20"/>
          <w:lang w:val="es-ES_tradnl"/>
        </w:rPr>
        <w:t xml:space="preserve"> y 211 del </w:t>
      </w:r>
      <w:r w:rsidR="00047D78" w:rsidRPr="00E019A9">
        <w:rPr>
          <w:sz w:val="20"/>
          <w:szCs w:val="20"/>
          <w:lang w:val="es-ES_tradnl"/>
        </w:rPr>
        <w:t>Código</w:t>
      </w:r>
      <w:r w:rsidR="005D53FC" w:rsidRPr="00E019A9">
        <w:rPr>
          <w:sz w:val="20"/>
          <w:szCs w:val="20"/>
          <w:lang w:val="es-ES_tradnl"/>
        </w:rPr>
        <w:t xml:space="preserve"> de Justicia Militar (</w:t>
      </w:r>
      <w:r w:rsidR="00047D78" w:rsidRPr="00E019A9">
        <w:rPr>
          <w:sz w:val="20"/>
          <w:szCs w:val="20"/>
          <w:lang w:val="es-ES_tradnl"/>
        </w:rPr>
        <w:t>haber actuado en cumplimiento de una orden del servicio</w:t>
      </w:r>
      <w:r w:rsidR="005D53FC" w:rsidRPr="00E019A9">
        <w:rPr>
          <w:sz w:val="20"/>
          <w:szCs w:val="20"/>
          <w:lang w:val="es-ES_tradnl"/>
        </w:rPr>
        <w:t>)</w:t>
      </w:r>
      <w:r w:rsidR="0016078B" w:rsidRPr="00E019A9">
        <w:rPr>
          <w:rStyle w:val="FootnoteReference"/>
          <w:sz w:val="20"/>
          <w:szCs w:val="20"/>
          <w:lang w:val="es-ES_tradnl"/>
        </w:rPr>
        <w:footnoteReference w:id="75"/>
      </w:r>
      <w:r w:rsidR="005D53FC" w:rsidRPr="00E019A9">
        <w:rPr>
          <w:sz w:val="20"/>
          <w:szCs w:val="20"/>
          <w:lang w:val="es-ES_tradnl"/>
        </w:rPr>
        <w:t xml:space="preserve"> y que s</w:t>
      </w:r>
      <w:r w:rsidR="00047D78" w:rsidRPr="00E019A9">
        <w:rPr>
          <w:sz w:val="20"/>
          <w:szCs w:val="20"/>
          <w:lang w:val="es-ES_tradnl"/>
        </w:rPr>
        <w:t>u situación encuadraba dentro d</w:t>
      </w:r>
      <w:r w:rsidR="005D53FC" w:rsidRPr="00E019A9">
        <w:rPr>
          <w:sz w:val="20"/>
          <w:szCs w:val="20"/>
          <w:lang w:val="es-ES_tradnl"/>
        </w:rPr>
        <w:t xml:space="preserve">el </w:t>
      </w:r>
      <w:r w:rsidR="00BC235F" w:rsidRPr="00E019A9">
        <w:rPr>
          <w:sz w:val="20"/>
          <w:szCs w:val="20"/>
          <w:lang w:val="es-ES_tradnl"/>
        </w:rPr>
        <w:t>artículo</w:t>
      </w:r>
      <w:r w:rsidR="005D53FC" w:rsidRPr="00E019A9">
        <w:rPr>
          <w:sz w:val="20"/>
          <w:szCs w:val="20"/>
          <w:lang w:val="es-ES_tradnl"/>
        </w:rPr>
        <w:t xml:space="preserve"> 6</w:t>
      </w:r>
      <w:r w:rsidR="00A5660F" w:rsidRPr="00E019A9">
        <w:rPr>
          <w:sz w:val="20"/>
          <w:szCs w:val="20"/>
          <w:lang w:val="es-ES_tradnl"/>
        </w:rPr>
        <w:t>8.3 del Código Penal</w:t>
      </w:r>
      <w:r w:rsidR="00047D78" w:rsidRPr="00E019A9">
        <w:rPr>
          <w:sz w:val="20"/>
          <w:szCs w:val="20"/>
          <w:lang w:val="es-ES_tradnl"/>
        </w:rPr>
        <w:t>, el cual</w:t>
      </w:r>
      <w:r w:rsidR="00A5660F" w:rsidRPr="00E019A9">
        <w:rPr>
          <w:sz w:val="20"/>
          <w:szCs w:val="20"/>
          <w:lang w:val="es-ES_tradnl"/>
        </w:rPr>
        <w:t xml:space="preserve"> permite rebajar en un grado la sanción aplicable</w:t>
      </w:r>
      <w:r w:rsidR="00A5660F" w:rsidRPr="00E019A9">
        <w:rPr>
          <w:rStyle w:val="FootnoteReference"/>
          <w:sz w:val="20"/>
          <w:szCs w:val="20"/>
          <w:lang w:val="es-ES_tradnl"/>
        </w:rPr>
        <w:footnoteReference w:id="76"/>
      </w:r>
    </w:p>
    <w:p w14:paraId="145B8136" w14:textId="77777777" w:rsidR="008142C0" w:rsidRPr="00E019A9" w:rsidRDefault="008142C0" w:rsidP="00AC1CA8">
      <w:pPr>
        <w:pStyle w:val="ListParagraph"/>
        <w:tabs>
          <w:tab w:val="left" w:pos="567"/>
        </w:tabs>
        <w:rPr>
          <w:sz w:val="20"/>
          <w:szCs w:val="20"/>
          <w:lang w:val="es-ES_tradnl"/>
        </w:rPr>
      </w:pPr>
    </w:p>
    <w:p w14:paraId="1578A76C" w14:textId="77777777" w:rsidR="008142C0" w:rsidRPr="00E019A9" w:rsidRDefault="00AC2AAC" w:rsidP="00BB60A6">
      <w:pPr>
        <w:pStyle w:val="ListParagraph"/>
        <w:numPr>
          <w:ilvl w:val="0"/>
          <w:numId w:val="57"/>
        </w:numPr>
        <w:tabs>
          <w:tab w:val="left" w:pos="567"/>
        </w:tabs>
        <w:ind w:left="0" w:firstLine="0"/>
        <w:jc w:val="both"/>
        <w:rPr>
          <w:sz w:val="20"/>
          <w:szCs w:val="20"/>
          <w:lang w:val="es-ES_tradnl"/>
        </w:rPr>
      </w:pPr>
      <w:r w:rsidRPr="00E019A9">
        <w:rPr>
          <w:sz w:val="20"/>
          <w:szCs w:val="20"/>
          <w:lang w:val="es-ES_tradnl"/>
        </w:rPr>
        <w:t xml:space="preserve">Consta en el expediente ante la Comisión que </w:t>
      </w:r>
      <w:r w:rsidR="00047D78" w:rsidRPr="00E019A9">
        <w:rPr>
          <w:sz w:val="20"/>
          <w:szCs w:val="20"/>
          <w:lang w:val="es-ES_tradnl"/>
        </w:rPr>
        <w:t xml:space="preserve">el </w:t>
      </w:r>
      <w:r w:rsidRPr="00E019A9">
        <w:rPr>
          <w:sz w:val="20"/>
          <w:szCs w:val="20"/>
          <w:lang w:val="es-ES_tradnl"/>
        </w:rPr>
        <w:t xml:space="preserve">15 de julio de 2005 la Corte de Apelaciones de Santiago resolvió un recurso de casación interpuesto por los peticionarios. En dicha resolución </w:t>
      </w:r>
      <w:r w:rsidR="003A13CB" w:rsidRPr="00E019A9">
        <w:rPr>
          <w:sz w:val="20"/>
          <w:szCs w:val="20"/>
          <w:lang w:val="es-ES_tradnl"/>
        </w:rPr>
        <w:t>el tribunal</w:t>
      </w:r>
      <w:r w:rsidRPr="00E019A9">
        <w:rPr>
          <w:sz w:val="20"/>
          <w:szCs w:val="20"/>
          <w:lang w:val="es-ES_tradnl"/>
        </w:rPr>
        <w:t xml:space="preserve"> </w:t>
      </w:r>
      <w:r w:rsidR="003A13CB" w:rsidRPr="00E019A9">
        <w:rPr>
          <w:sz w:val="20"/>
          <w:szCs w:val="20"/>
          <w:lang w:val="es-ES_tradnl"/>
        </w:rPr>
        <w:t>decidió</w:t>
      </w:r>
      <w:r w:rsidRPr="00E019A9">
        <w:rPr>
          <w:sz w:val="20"/>
          <w:szCs w:val="20"/>
          <w:lang w:val="es-ES_tradnl"/>
        </w:rPr>
        <w:t xml:space="preserve"> rechazar la existencia de la atenuante de cumplimiento de </w:t>
      </w:r>
      <w:r w:rsidR="00097252" w:rsidRPr="00E019A9">
        <w:rPr>
          <w:sz w:val="20"/>
          <w:szCs w:val="20"/>
          <w:lang w:val="es-ES_tradnl"/>
        </w:rPr>
        <w:t>ó</w:t>
      </w:r>
      <w:r w:rsidRPr="00E019A9">
        <w:rPr>
          <w:sz w:val="20"/>
          <w:szCs w:val="20"/>
          <w:lang w:val="es-ES_tradnl"/>
        </w:rPr>
        <w:t xml:space="preserve">rdenes superiores que había beneficiado al condenado Hidalgo y en consecuencia elevó la pena impuesta a 10 años y </w:t>
      </w:r>
      <w:r w:rsidR="003A13CB" w:rsidRPr="00E019A9">
        <w:rPr>
          <w:sz w:val="20"/>
          <w:szCs w:val="20"/>
          <w:lang w:val="es-ES_tradnl"/>
        </w:rPr>
        <w:t>1</w:t>
      </w:r>
      <w:r w:rsidRPr="00E019A9">
        <w:rPr>
          <w:sz w:val="20"/>
          <w:szCs w:val="20"/>
          <w:lang w:val="es-ES_tradnl"/>
        </w:rPr>
        <w:t xml:space="preserve"> día de presidio mayor en su grado medio, costas y accesorias. Por otra parte,  y con respecto a la situación de</w:t>
      </w:r>
      <w:r w:rsidR="003A13CB" w:rsidRPr="00E019A9">
        <w:rPr>
          <w:sz w:val="20"/>
          <w:szCs w:val="20"/>
          <w:lang w:val="es-ES_tradnl"/>
        </w:rPr>
        <w:t xml:space="preserve">l sentenciado Cardemil Valenzuela, el mencionado tribunal de alzada consideró que “aparece justificado – atendida a la facultad que confiere la ley al juzgador – reducir la pena impuesta </w:t>
      </w:r>
      <w:r w:rsidR="003A13CB" w:rsidRPr="00E019A9">
        <w:rPr>
          <w:sz w:val="20"/>
          <w:szCs w:val="20"/>
          <w:lang w:val="es-ES_tradnl"/>
        </w:rPr>
        <w:sym w:font="Symbol" w:char="F05B"/>
      </w:r>
      <w:r w:rsidR="003A13CB" w:rsidRPr="00E019A9">
        <w:rPr>
          <w:sz w:val="20"/>
          <w:szCs w:val="20"/>
          <w:lang w:val="es-ES_tradnl"/>
        </w:rPr>
        <w:t>…</w:t>
      </w:r>
      <w:r w:rsidR="003A13CB" w:rsidRPr="00E019A9">
        <w:rPr>
          <w:sz w:val="20"/>
          <w:szCs w:val="20"/>
          <w:lang w:val="es-ES_tradnl"/>
        </w:rPr>
        <w:sym w:font="Symbol" w:char="F05D"/>
      </w:r>
      <w:r w:rsidR="003A13CB" w:rsidRPr="00E019A9">
        <w:rPr>
          <w:sz w:val="20"/>
          <w:szCs w:val="20"/>
          <w:lang w:val="es-ES_tradnl"/>
        </w:rPr>
        <w:t xml:space="preserve"> la que se mantendrá dentro de los limites señalados por el tribunal </w:t>
      </w:r>
      <w:r w:rsidR="003A13CB" w:rsidRPr="00E019A9">
        <w:rPr>
          <w:i/>
          <w:iCs/>
          <w:sz w:val="20"/>
          <w:szCs w:val="20"/>
          <w:lang w:val="es-ES_tradnl"/>
        </w:rPr>
        <w:t>a quo,</w:t>
      </w:r>
      <w:r w:rsidR="003A13CB" w:rsidRPr="00E019A9">
        <w:rPr>
          <w:sz w:val="20"/>
          <w:szCs w:val="20"/>
          <w:lang w:val="es-ES_tradnl"/>
        </w:rPr>
        <w:t xml:space="preserve"> pero, disminuyéndola en el extremo inferior de este”. En consecuencia, la Corte de Apelaciones impuso al Sr. Cardemil Valenzuela la pena de 15 años y 1 día de presidio mayor en su grado medio, accesorias de inhabilitación y costas</w:t>
      </w:r>
      <w:r w:rsidR="003A13CB" w:rsidRPr="00E019A9">
        <w:rPr>
          <w:rStyle w:val="FootnoteReference"/>
          <w:sz w:val="20"/>
          <w:szCs w:val="20"/>
          <w:lang w:val="es-ES_tradnl"/>
        </w:rPr>
        <w:footnoteReference w:id="77"/>
      </w:r>
      <w:r w:rsidR="003A13CB" w:rsidRPr="00E019A9">
        <w:rPr>
          <w:sz w:val="20"/>
          <w:szCs w:val="20"/>
          <w:lang w:val="es-ES_tradnl"/>
        </w:rPr>
        <w:t xml:space="preserve">. </w:t>
      </w:r>
    </w:p>
    <w:p w14:paraId="50BB938E" w14:textId="77777777" w:rsidR="008142C0" w:rsidRPr="00E019A9" w:rsidRDefault="008142C0" w:rsidP="00AC1CA8">
      <w:pPr>
        <w:pStyle w:val="ListParagraph"/>
        <w:tabs>
          <w:tab w:val="left" w:pos="567"/>
        </w:tabs>
        <w:rPr>
          <w:sz w:val="20"/>
          <w:szCs w:val="20"/>
          <w:lang w:val="es-ES_tradnl"/>
        </w:rPr>
      </w:pPr>
    </w:p>
    <w:p w14:paraId="471886B4" w14:textId="77777777" w:rsidR="008142C0" w:rsidRPr="00E019A9" w:rsidRDefault="003A13CB" w:rsidP="00BB60A6">
      <w:pPr>
        <w:pStyle w:val="ListParagraph"/>
        <w:numPr>
          <w:ilvl w:val="0"/>
          <w:numId w:val="57"/>
        </w:numPr>
        <w:tabs>
          <w:tab w:val="left" w:pos="567"/>
        </w:tabs>
        <w:ind w:left="0" w:firstLine="0"/>
        <w:jc w:val="both"/>
        <w:rPr>
          <w:sz w:val="20"/>
          <w:szCs w:val="20"/>
          <w:lang w:val="es-ES_tradnl"/>
        </w:rPr>
      </w:pPr>
      <w:r w:rsidRPr="00E019A9">
        <w:rPr>
          <w:sz w:val="20"/>
          <w:szCs w:val="20"/>
          <w:lang w:val="es-ES_tradnl"/>
        </w:rPr>
        <w:lastRenderedPageBreak/>
        <w:t xml:space="preserve">Finalmente, el 27 de diciembre de 2007 la Corte Suprema </w:t>
      </w:r>
      <w:r w:rsidR="00464E97" w:rsidRPr="00E019A9">
        <w:rPr>
          <w:sz w:val="20"/>
          <w:szCs w:val="20"/>
          <w:lang w:val="es-ES_tradnl"/>
        </w:rPr>
        <w:t xml:space="preserve">de Justicia, en ocasión de resolver los recursos de casación interpuestos por los condenados, concluyó que el juez de primera instancia “omitió describir” los hechos que fundan </w:t>
      </w:r>
      <w:r w:rsidR="00926164" w:rsidRPr="00E019A9">
        <w:rPr>
          <w:sz w:val="20"/>
          <w:szCs w:val="20"/>
          <w:lang w:val="es-ES_tradnl"/>
        </w:rPr>
        <w:t>la participación</w:t>
      </w:r>
      <w:r w:rsidR="00464E97" w:rsidRPr="00E019A9">
        <w:rPr>
          <w:sz w:val="20"/>
          <w:szCs w:val="20"/>
          <w:lang w:val="es-ES_tradnl"/>
        </w:rPr>
        <w:t xml:space="preserve"> criminal de cada uno de ellos y, en consecuencia, anuló de oficio la sentencia y dictó una nueva en su reemplazo</w:t>
      </w:r>
      <w:r w:rsidR="007A2B3B" w:rsidRPr="00E019A9">
        <w:rPr>
          <w:rStyle w:val="FootnoteReference"/>
          <w:sz w:val="20"/>
          <w:szCs w:val="20"/>
          <w:lang w:val="es-ES_tradnl"/>
        </w:rPr>
        <w:footnoteReference w:id="78"/>
      </w:r>
      <w:r w:rsidR="00464E97" w:rsidRPr="00E019A9">
        <w:rPr>
          <w:sz w:val="20"/>
          <w:szCs w:val="20"/>
          <w:lang w:val="es-ES_tradnl"/>
        </w:rPr>
        <w:t xml:space="preserve">.  </w:t>
      </w:r>
    </w:p>
    <w:p w14:paraId="12F4723F" w14:textId="77777777" w:rsidR="008142C0" w:rsidRPr="00E019A9" w:rsidRDefault="008142C0" w:rsidP="00AC1CA8">
      <w:pPr>
        <w:pStyle w:val="ListParagraph"/>
        <w:tabs>
          <w:tab w:val="left" w:pos="567"/>
        </w:tabs>
        <w:rPr>
          <w:sz w:val="20"/>
          <w:szCs w:val="20"/>
          <w:lang w:val="es-ES_tradnl"/>
        </w:rPr>
      </w:pPr>
    </w:p>
    <w:p w14:paraId="46CF9FF8" w14:textId="77777777" w:rsidR="008142C0" w:rsidRPr="00E019A9" w:rsidRDefault="00947779" w:rsidP="00BB60A6">
      <w:pPr>
        <w:pStyle w:val="ListParagraph"/>
        <w:numPr>
          <w:ilvl w:val="0"/>
          <w:numId w:val="57"/>
        </w:numPr>
        <w:tabs>
          <w:tab w:val="left" w:pos="567"/>
        </w:tabs>
        <w:ind w:left="0" w:firstLine="0"/>
        <w:jc w:val="both"/>
        <w:rPr>
          <w:sz w:val="20"/>
          <w:szCs w:val="20"/>
          <w:lang w:val="es-ES_tradnl"/>
        </w:rPr>
      </w:pPr>
      <w:r w:rsidRPr="00E019A9">
        <w:rPr>
          <w:sz w:val="20"/>
          <w:szCs w:val="20"/>
          <w:lang w:val="es-ES_tradnl"/>
        </w:rPr>
        <w:t xml:space="preserve">En esta sentencia de reemplazo, la Corte Suprema </w:t>
      </w:r>
      <w:r w:rsidR="00FB7C60" w:rsidRPr="00E019A9">
        <w:rPr>
          <w:sz w:val="20"/>
          <w:szCs w:val="20"/>
          <w:lang w:val="es-ES_tradnl"/>
        </w:rPr>
        <w:t xml:space="preserve">en primer </w:t>
      </w:r>
      <w:r w:rsidR="00C266C8" w:rsidRPr="00E019A9">
        <w:rPr>
          <w:sz w:val="20"/>
          <w:szCs w:val="20"/>
          <w:lang w:val="es-ES_tradnl"/>
        </w:rPr>
        <w:t>término</w:t>
      </w:r>
      <w:r w:rsidR="00FB7C60" w:rsidRPr="00E019A9">
        <w:rPr>
          <w:sz w:val="20"/>
          <w:szCs w:val="20"/>
          <w:lang w:val="es-ES_tradnl"/>
        </w:rPr>
        <w:t xml:space="preserve"> </w:t>
      </w:r>
      <w:r w:rsidRPr="00E019A9">
        <w:rPr>
          <w:sz w:val="20"/>
          <w:szCs w:val="20"/>
          <w:lang w:val="es-ES_tradnl"/>
        </w:rPr>
        <w:t>reafirmó</w:t>
      </w:r>
      <w:r w:rsidR="00FB7C60" w:rsidRPr="00E019A9">
        <w:rPr>
          <w:sz w:val="20"/>
          <w:szCs w:val="20"/>
          <w:lang w:val="es-ES_tradnl"/>
        </w:rPr>
        <w:t xml:space="preserve"> que los Sres. Cardemil Valenzuela y Caulier Grant resulta</w:t>
      </w:r>
      <w:r w:rsidR="0082236E" w:rsidRPr="00E019A9">
        <w:rPr>
          <w:sz w:val="20"/>
          <w:szCs w:val="20"/>
          <w:lang w:val="es-ES_tradnl"/>
        </w:rPr>
        <w:t>ban</w:t>
      </w:r>
      <w:r w:rsidR="00FB7C60" w:rsidRPr="00E019A9">
        <w:rPr>
          <w:sz w:val="20"/>
          <w:szCs w:val="20"/>
          <w:lang w:val="es-ES_tradnl"/>
        </w:rPr>
        <w:t xml:space="preserve"> penalmente responsables en calidad de autores por los delitos de secuestros calificados y sustracción de menores por los cuales habían sido condenados en primera y segunda instancia. </w:t>
      </w:r>
      <w:r w:rsidRPr="00E019A9">
        <w:rPr>
          <w:sz w:val="20"/>
          <w:szCs w:val="20"/>
          <w:lang w:val="es-ES_tradnl"/>
        </w:rPr>
        <w:t xml:space="preserve">Acto seguido, el tribunal realizó diversas consideraciones respecto al carácter permanente de los delitos </w:t>
      </w:r>
      <w:r w:rsidR="00FB7C60" w:rsidRPr="00E019A9">
        <w:rPr>
          <w:sz w:val="20"/>
          <w:szCs w:val="20"/>
          <w:lang w:val="es-ES_tradnl"/>
        </w:rPr>
        <w:t xml:space="preserve">cometidos por los condenados y </w:t>
      </w:r>
      <w:r w:rsidR="0082236E" w:rsidRPr="00E019A9">
        <w:rPr>
          <w:sz w:val="20"/>
          <w:szCs w:val="20"/>
          <w:lang w:val="es-ES_tradnl"/>
        </w:rPr>
        <w:t xml:space="preserve">expuso los motivos por los cuales era aplicable en el caso </w:t>
      </w:r>
      <w:r w:rsidR="00FB7C60" w:rsidRPr="00E019A9">
        <w:rPr>
          <w:sz w:val="20"/>
          <w:szCs w:val="20"/>
          <w:lang w:val="es-ES_tradnl"/>
        </w:rPr>
        <w:t>la figura de la “media prescripción” o “prescripción gradual”</w:t>
      </w:r>
      <w:r w:rsidR="007A2B3B" w:rsidRPr="00E019A9">
        <w:rPr>
          <w:sz w:val="20"/>
          <w:szCs w:val="20"/>
          <w:lang w:val="es-ES_tradnl"/>
        </w:rPr>
        <w:t>, a la cual le asignó la naturaleza jurídica de ser una circunstancia atenuante de la responsabilidad penal</w:t>
      </w:r>
      <w:r w:rsidR="007A2B3B" w:rsidRPr="00E019A9">
        <w:rPr>
          <w:rStyle w:val="FootnoteReference"/>
          <w:sz w:val="20"/>
          <w:szCs w:val="20"/>
          <w:lang w:val="es-ES_tradnl"/>
        </w:rPr>
        <w:footnoteReference w:id="79"/>
      </w:r>
      <w:r w:rsidR="0082236E" w:rsidRPr="00E019A9">
        <w:rPr>
          <w:sz w:val="20"/>
          <w:szCs w:val="20"/>
          <w:lang w:val="es-ES_tradnl"/>
        </w:rPr>
        <w:t>.</w:t>
      </w:r>
    </w:p>
    <w:p w14:paraId="2638D911" w14:textId="77777777" w:rsidR="008142C0" w:rsidRPr="00E019A9" w:rsidRDefault="008142C0" w:rsidP="00AC1CA8">
      <w:pPr>
        <w:pStyle w:val="ListParagraph"/>
        <w:tabs>
          <w:tab w:val="left" w:pos="567"/>
        </w:tabs>
        <w:rPr>
          <w:sz w:val="20"/>
          <w:szCs w:val="20"/>
          <w:lang w:val="es-ES_tradnl"/>
        </w:rPr>
      </w:pPr>
    </w:p>
    <w:p w14:paraId="6DEC3132" w14:textId="77777777" w:rsidR="008142C0" w:rsidRPr="00E019A9" w:rsidRDefault="0082236E" w:rsidP="00BB60A6">
      <w:pPr>
        <w:pStyle w:val="ListParagraph"/>
        <w:numPr>
          <w:ilvl w:val="0"/>
          <w:numId w:val="57"/>
        </w:numPr>
        <w:tabs>
          <w:tab w:val="left" w:pos="567"/>
        </w:tabs>
        <w:ind w:left="0" w:firstLine="0"/>
        <w:jc w:val="both"/>
        <w:rPr>
          <w:sz w:val="20"/>
          <w:szCs w:val="20"/>
          <w:lang w:val="es-ES_tradnl"/>
        </w:rPr>
      </w:pPr>
      <w:r w:rsidRPr="00E019A9">
        <w:rPr>
          <w:sz w:val="20"/>
          <w:szCs w:val="20"/>
          <w:lang w:val="es-ES_tradnl"/>
        </w:rPr>
        <w:t xml:space="preserve"> A efectos de determinar el inicio del plazo de prescripción,  e</w:t>
      </w:r>
      <w:r w:rsidR="00FB7C60" w:rsidRPr="00E019A9">
        <w:rPr>
          <w:sz w:val="20"/>
          <w:szCs w:val="20"/>
          <w:lang w:val="es-ES_tradnl"/>
        </w:rPr>
        <w:t xml:space="preserve">l tribunal </w:t>
      </w:r>
      <w:r w:rsidRPr="00E019A9">
        <w:rPr>
          <w:sz w:val="20"/>
          <w:szCs w:val="20"/>
          <w:lang w:val="es-ES_tradnl"/>
        </w:rPr>
        <w:t>afirm</w:t>
      </w:r>
      <w:r w:rsidR="00FB7C60" w:rsidRPr="00E019A9">
        <w:rPr>
          <w:sz w:val="20"/>
          <w:szCs w:val="20"/>
          <w:lang w:val="es-ES_tradnl"/>
        </w:rPr>
        <w:t xml:space="preserve">ó que “es posible estimar a efectos especiales de atenuación, que la consumación se ha producido al prolongarse el encierro o la detención por </w:t>
      </w:r>
      <w:r w:rsidR="00C266C8" w:rsidRPr="00E019A9">
        <w:rPr>
          <w:sz w:val="20"/>
          <w:szCs w:val="20"/>
          <w:lang w:val="es-ES_tradnl"/>
        </w:rPr>
        <w:t>más</w:t>
      </w:r>
      <w:r w:rsidR="00FB7C60" w:rsidRPr="00E019A9">
        <w:rPr>
          <w:sz w:val="20"/>
          <w:szCs w:val="20"/>
          <w:lang w:val="es-ES_tradnl"/>
        </w:rPr>
        <w:t xml:space="preserve"> de noventa días, </w:t>
      </w:r>
      <w:r w:rsidRPr="00E019A9">
        <w:rPr>
          <w:sz w:val="20"/>
          <w:szCs w:val="20"/>
          <w:lang w:val="es-ES_tradnl"/>
        </w:rPr>
        <w:t>pudiendo</w:t>
      </w:r>
      <w:r w:rsidR="00FB7C60" w:rsidRPr="00E019A9">
        <w:rPr>
          <w:sz w:val="20"/>
          <w:szCs w:val="20"/>
          <w:lang w:val="es-ES_tradnl"/>
        </w:rPr>
        <w:t xml:space="preserve"> iniciarse el computo de la media </w:t>
      </w:r>
      <w:r w:rsidRPr="00E019A9">
        <w:rPr>
          <w:sz w:val="20"/>
          <w:szCs w:val="20"/>
          <w:lang w:val="es-ES_tradnl"/>
        </w:rPr>
        <w:t>prescripción</w:t>
      </w:r>
      <w:r w:rsidR="00FB7C60" w:rsidRPr="00E019A9">
        <w:rPr>
          <w:sz w:val="20"/>
          <w:szCs w:val="20"/>
          <w:lang w:val="es-ES_tradnl"/>
        </w:rPr>
        <w:t xml:space="preserve"> a partir de esa fecha </w:t>
      </w:r>
      <w:r w:rsidRPr="00E019A9">
        <w:rPr>
          <w:sz w:val="20"/>
          <w:szCs w:val="20"/>
          <w:lang w:val="es-ES_tradnl"/>
        </w:rPr>
        <w:sym w:font="Symbol" w:char="F05B"/>
      </w:r>
      <w:r w:rsidRPr="00E019A9">
        <w:rPr>
          <w:sz w:val="20"/>
          <w:szCs w:val="20"/>
          <w:lang w:val="es-ES_tradnl"/>
        </w:rPr>
        <w:t>…</w:t>
      </w:r>
      <w:r w:rsidRPr="00E019A9">
        <w:rPr>
          <w:sz w:val="20"/>
          <w:szCs w:val="20"/>
          <w:lang w:val="es-ES_tradnl"/>
        </w:rPr>
        <w:sym w:font="Symbol" w:char="F05D"/>
      </w:r>
      <w:r w:rsidRPr="00E019A9">
        <w:rPr>
          <w:sz w:val="20"/>
          <w:szCs w:val="20"/>
          <w:lang w:val="es-ES_tradnl"/>
        </w:rPr>
        <w:t xml:space="preserve"> teniendo en cuenta para ello que, aun en su prolongación en el tiempo </w:t>
      </w:r>
      <w:r w:rsidRPr="00E019A9">
        <w:rPr>
          <w:sz w:val="20"/>
          <w:szCs w:val="20"/>
          <w:lang w:val="es-ES_tradnl"/>
        </w:rPr>
        <w:sym w:font="Symbol" w:char="F05B"/>
      </w:r>
      <w:r w:rsidRPr="00E019A9">
        <w:rPr>
          <w:sz w:val="20"/>
          <w:szCs w:val="20"/>
          <w:lang w:val="es-ES_tradnl"/>
        </w:rPr>
        <w:t>…</w:t>
      </w:r>
      <w:r w:rsidRPr="00E019A9">
        <w:rPr>
          <w:sz w:val="20"/>
          <w:szCs w:val="20"/>
          <w:lang w:val="es-ES_tradnl"/>
        </w:rPr>
        <w:sym w:font="Symbol" w:char="F05D"/>
      </w:r>
      <w:r w:rsidRPr="00E019A9">
        <w:rPr>
          <w:sz w:val="20"/>
          <w:szCs w:val="20"/>
          <w:lang w:val="es-ES_tradnl"/>
        </w:rPr>
        <w:t xml:space="preserve"> la pena determinada por este tipo calificado es siempre la misma: la de presidio mayor en cualquiera de sus grados, sin alteración de su disvalor”</w:t>
      </w:r>
      <w:r w:rsidR="007A2B3B" w:rsidRPr="00E019A9">
        <w:rPr>
          <w:rStyle w:val="FootnoteReference"/>
          <w:sz w:val="20"/>
          <w:szCs w:val="20"/>
          <w:lang w:val="es-ES_tradnl"/>
        </w:rPr>
        <w:footnoteReference w:id="80"/>
      </w:r>
      <w:r w:rsidRPr="00E019A9">
        <w:rPr>
          <w:sz w:val="20"/>
          <w:szCs w:val="20"/>
          <w:lang w:val="es-ES_tradnl"/>
        </w:rPr>
        <w:t xml:space="preserve">. </w:t>
      </w:r>
    </w:p>
    <w:p w14:paraId="19284B12" w14:textId="77777777" w:rsidR="008142C0" w:rsidRPr="00E019A9" w:rsidRDefault="008142C0" w:rsidP="00AC1CA8">
      <w:pPr>
        <w:pStyle w:val="ListParagraph"/>
        <w:tabs>
          <w:tab w:val="left" w:pos="567"/>
        </w:tabs>
        <w:rPr>
          <w:sz w:val="20"/>
          <w:szCs w:val="20"/>
          <w:lang w:val="es-ES_tradnl"/>
        </w:rPr>
      </w:pPr>
    </w:p>
    <w:p w14:paraId="39D4A76A" w14:textId="77777777" w:rsidR="004B4A7D" w:rsidRPr="00E019A9" w:rsidRDefault="0082236E" w:rsidP="00BB60A6">
      <w:pPr>
        <w:pStyle w:val="ListParagraph"/>
        <w:numPr>
          <w:ilvl w:val="0"/>
          <w:numId w:val="57"/>
        </w:numPr>
        <w:tabs>
          <w:tab w:val="left" w:pos="567"/>
        </w:tabs>
        <w:ind w:left="0" w:firstLine="0"/>
        <w:jc w:val="both"/>
        <w:rPr>
          <w:sz w:val="20"/>
          <w:szCs w:val="20"/>
          <w:lang w:val="es-ES_tradnl"/>
        </w:rPr>
      </w:pPr>
      <w:r w:rsidRPr="00E019A9">
        <w:rPr>
          <w:sz w:val="20"/>
          <w:szCs w:val="20"/>
          <w:lang w:val="es-ES_tradnl"/>
        </w:rPr>
        <w:t xml:space="preserve">Finalmente, y </w:t>
      </w:r>
      <w:r w:rsidR="006727EC" w:rsidRPr="00E019A9">
        <w:rPr>
          <w:sz w:val="20"/>
          <w:szCs w:val="20"/>
          <w:lang w:val="es-ES_tradnl"/>
        </w:rPr>
        <w:t>en torno</w:t>
      </w:r>
      <w:r w:rsidRPr="00E019A9">
        <w:rPr>
          <w:sz w:val="20"/>
          <w:szCs w:val="20"/>
          <w:lang w:val="es-ES_tradnl"/>
        </w:rPr>
        <w:t xml:space="preserve"> a la escala penal a imponer, la Corte Suprema </w:t>
      </w:r>
      <w:r w:rsidR="007A2B3B" w:rsidRPr="00E019A9">
        <w:rPr>
          <w:sz w:val="20"/>
          <w:szCs w:val="20"/>
          <w:lang w:val="es-ES_tradnl"/>
        </w:rPr>
        <w:t>consignó</w:t>
      </w:r>
      <w:r w:rsidR="006727EC" w:rsidRPr="00E019A9">
        <w:rPr>
          <w:sz w:val="20"/>
          <w:szCs w:val="20"/>
          <w:lang w:val="es-ES_tradnl"/>
        </w:rPr>
        <w:t xml:space="preserve"> que, en el caso del Sr. Cardemil Valenzuela, correspondía condenarlo por secuestros calificados reiterados y sustracción de menor de edad a la pena de presidio mayor en su grado máximo y que, por aplicación de la figura de la “media prescripción” y la atenuante del </w:t>
      </w:r>
      <w:r w:rsidR="00C266C8" w:rsidRPr="00E019A9">
        <w:rPr>
          <w:sz w:val="20"/>
          <w:szCs w:val="20"/>
          <w:lang w:val="es-ES_tradnl"/>
        </w:rPr>
        <w:t>artículo</w:t>
      </w:r>
      <w:r w:rsidR="006727EC" w:rsidRPr="00E019A9">
        <w:rPr>
          <w:sz w:val="20"/>
          <w:szCs w:val="20"/>
          <w:lang w:val="es-ES_tradnl"/>
        </w:rPr>
        <w:t xml:space="preserve"> 11.6 del </w:t>
      </w:r>
      <w:r w:rsidR="007A2B3B" w:rsidRPr="00E019A9">
        <w:rPr>
          <w:sz w:val="20"/>
          <w:szCs w:val="20"/>
          <w:lang w:val="es-ES_tradnl"/>
        </w:rPr>
        <w:t>Código</w:t>
      </w:r>
      <w:r w:rsidR="006727EC" w:rsidRPr="00E019A9">
        <w:rPr>
          <w:sz w:val="20"/>
          <w:szCs w:val="20"/>
          <w:lang w:val="es-ES_tradnl"/>
        </w:rPr>
        <w:t xml:space="preserve"> Penal, se debía rebajar en tres grados dicha penalidad, “quedando en presidio menor en su grado máximo, en el quantum de cinco años”</w:t>
      </w:r>
      <w:r w:rsidR="00B72091" w:rsidRPr="00E019A9">
        <w:rPr>
          <w:rStyle w:val="FootnoteReference"/>
          <w:sz w:val="20"/>
          <w:szCs w:val="20"/>
          <w:lang w:val="es-ES_tradnl"/>
        </w:rPr>
        <w:footnoteReference w:id="81"/>
      </w:r>
      <w:r w:rsidR="006727EC" w:rsidRPr="00E019A9">
        <w:rPr>
          <w:sz w:val="20"/>
          <w:szCs w:val="20"/>
          <w:lang w:val="es-ES_tradnl"/>
        </w:rPr>
        <w:t xml:space="preserve">. Con respecto a la situación del Sr. Caulier Grant, el tribunal </w:t>
      </w:r>
      <w:r w:rsidR="007A2B3B" w:rsidRPr="00E019A9">
        <w:rPr>
          <w:sz w:val="20"/>
          <w:szCs w:val="20"/>
          <w:lang w:val="es-ES_tradnl"/>
        </w:rPr>
        <w:t>decidió</w:t>
      </w:r>
      <w:r w:rsidR="006727EC" w:rsidRPr="00E019A9">
        <w:rPr>
          <w:sz w:val="20"/>
          <w:szCs w:val="20"/>
          <w:lang w:val="es-ES_tradnl"/>
        </w:rPr>
        <w:t xml:space="preserve"> que la pena base por los delitos de secuestros calificados </w:t>
      </w:r>
      <w:r w:rsidR="007A2B3B" w:rsidRPr="00E019A9">
        <w:rPr>
          <w:sz w:val="20"/>
          <w:szCs w:val="20"/>
          <w:lang w:val="es-ES_tradnl"/>
        </w:rPr>
        <w:t>reiterados</w:t>
      </w:r>
      <w:r w:rsidR="006727EC" w:rsidRPr="00E019A9">
        <w:rPr>
          <w:sz w:val="20"/>
          <w:szCs w:val="20"/>
          <w:lang w:val="es-ES_tradnl"/>
        </w:rPr>
        <w:t xml:space="preserve"> era la de presidio mayor en su grado medio y</w:t>
      </w:r>
      <w:r w:rsidR="007A2B3B" w:rsidRPr="00E019A9">
        <w:rPr>
          <w:sz w:val="20"/>
          <w:szCs w:val="20"/>
          <w:lang w:val="es-ES_tradnl"/>
        </w:rPr>
        <w:t xml:space="preserve"> consigno que</w:t>
      </w:r>
      <w:r w:rsidR="006727EC" w:rsidRPr="00E019A9">
        <w:rPr>
          <w:sz w:val="20"/>
          <w:szCs w:val="20"/>
          <w:lang w:val="es-ES_tradnl"/>
        </w:rPr>
        <w:t xml:space="preserve"> “dado que le benefician las dos ate</w:t>
      </w:r>
      <w:r w:rsidR="007A2B3B" w:rsidRPr="00E019A9">
        <w:rPr>
          <w:sz w:val="20"/>
          <w:szCs w:val="20"/>
          <w:lang w:val="es-ES_tradnl"/>
        </w:rPr>
        <w:t>nuantes antes mencionadas, sin que le perjudique agravante alguna, se rebajara en dos grados dicha penalidad, quedando en presidio menor en su grado máximo en el quantum de cuatro años”</w:t>
      </w:r>
      <w:r w:rsidR="007A2B3B" w:rsidRPr="00E019A9">
        <w:rPr>
          <w:rStyle w:val="FootnoteReference"/>
          <w:sz w:val="20"/>
          <w:szCs w:val="20"/>
          <w:lang w:val="es-ES_tradnl"/>
        </w:rPr>
        <w:footnoteReference w:id="82"/>
      </w:r>
      <w:r w:rsidR="007A2B3B" w:rsidRPr="00E019A9">
        <w:rPr>
          <w:sz w:val="20"/>
          <w:szCs w:val="20"/>
          <w:lang w:val="es-ES_tradnl"/>
        </w:rPr>
        <w:t>.</w:t>
      </w:r>
      <w:r w:rsidR="00B72091" w:rsidRPr="00E019A9">
        <w:rPr>
          <w:sz w:val="20"/>
          <w:szCs w:val="20"/>
          <w:lang w:val="es-ES_tradnl"/>
        </w:rPr>
        <w:t xml:space="preserve"> </w:t>
      </w:r>
      <w:r w:rsidR="007A2B3B" w:rsidRPr="00E019A9">
        <w:rPr>
          <w:sz w:val="20"/>
          <w:szCs w:val="20"/>
          <w:lang w:val="es-ES_tradnl"/>
        </w:rPr>
        <w:t xml:space="preserve">A ambos condenados se les </w:t>
      </w:r>
      <w:r w:rsidR="00B72091" w:rsidRPr="00E019A9">
        <w:rPr>
          <w:sz w:val="20"/>
          <w:szCs w:val="20"/>
          <w:lang w:val="es-ES_tradnl"/>
        </w:rPr>
        <w:t>concedió</w:t>
      </w:r>
      <w:r w:rsidR="007A2B3B" w:rsidRPr="00E019A9">
        <w:rPr>
          <w:sz w:val="20"/>
          <w:szCs w:val="20"/>
          <w:lang w:val="es-ES_tradnl"/>
        </w:rPr>
        <w:t xml:space="preserve"> en el mismo acto la medida alternativa de la libertad vigilada. Finalmente, </w:t>
      </w:r>
      <w:r w:rsidR="00B72091" w:rsidRPr="00E019A9">
        <w:rPr>
          <w:sz w:val="20"/>
          <w:szCs w:val="20"/>
          <w:lang w:val="es-ES_tradnl"/>
        </w:rPr>
        <w:t xml:space="preserve">el tribunal omitió pronunciarse respecto de la situación del Sr. Hidalgo por haberse dictado su sobreseimiento por fallecimiento. </w:t>
      </w:r>
    </w:p>
    <w:p w14:paraId="2E2757FD" w14:textId="77777777" w:rsidR="00AC54D8" w:rsidRPr="00E019A9" w:rsidRDefault="00AC54D8" w:rsidP="00AC54D8">
      <w:pPr>
        <w:rPr>
          <w:sz w:val="20"/>
          <w:szCs w:val="20"/>
          <w:lang w:val="es-ES_tradnl" w:eastAsia="es-ES"/>
        </w:rPr>
      </w:pPr>
    </w:p>
    <w:p w14:paraId="36674D84" w14:textId="77777777" w:rsidR="00150211" w:rsidRPr="00E019A9" w:rsidRDefault="00725751" w:rsidP="00BB60A6">
      <w:pPr>
        <w:pStyle w:val="Heading3"/>
        <w:numPr>
          <w:ilvl w:val="1"/>
          <w:numId w:val="59"/>
        </w:numPr>
        <w:tabs>
          <w:tab w:val="left" w:pos="567"/>
          <w:tab w:val="left" w:pos="1134"/>
        </w:tabs>
        <w:ind w:left="567" w:firstLine="0"/>
        <w:jc w:val="both"/>
      </w:pPr>
      <w:r w:rsidRPr="00E019A9">
        <w:t xml:space="preserve">Respecto de la petición presentada en representación de Nelson Almendras Almendras, José́ Ricardo </w:t>
      </w:r>
      <w:r w:rsidR="005B0935" w:rsidRPr="00E019A9">
        <w:t>López</w:t>
      </w:r>
      <w:r w:rsidRPr="00E019A9">
        <w:t xml:space="preserve"> </w:t>
      </w:r>
      <w:r w:rsidR="005B0935" w:rsidRPr="00E019A9">
        <w:t>López</w:t>
      </w:r>
      <w:r w:rsidRPr="00E019A9">
        <w:t>, Juan de la Cruz Briones Pérez, Victoriano Lagos Lagos y sus respectivos familiares</w:t>
      </w:r>
      <w:r w:rsidR="00A77BD5" w:rsidRPr="00E019A9">
        <w:t xml:space="preserve"> y registrada</w:t>
      </w:r>
      <w:r w:rsidRPr="00E019A9">
        <w:t xml:space="preserve"> inicialmente </w:t>
      </w:r>
      <w:r w:rsidR="00A77BD5" w:rsidRPr="00E019A9">
        <w:t xml:space="preserve">por la Comisión </w:t>
      </w:r>
      <w:r w:rsidRPr="00E019A9">
        <w:t xml:space="preserve">bajo el número P 707-09. </w:t>
      </w:r>
    </w:p>
    <w:p w14:paraId="34159B2B" w14:textId="77777777" w:rsidR="00150211" w:rsidRPr="00E019A9" w:rsidRDefault="00150211" w:rsidP="00150211">
      <w:pPr>
        <w:rPr>
          <w:sz w:val="20"/>
          <w:szCs w:val="20"/>
          <w:lang w:val="es-ES_tradnl" w:eastAsia="es-ES"/>
        </w:rPr>
      </w:pPr>
    </w:p>
    <w:p w14:paraId="3BEE8EC6" w14:textId="77777777" w:rsidR="00150211" w:rsidRPr="00E019A9" w:rsidRDefault="00150211" w:rsidP="00BB60A6">
      <w:pPr>
        <w:pStyle w:val="NormalWeb"/>
        <w:numPr>
          <w:ilvl w:val="0"/>
          <w:numId w:val="57"/>
        </w:numPr>
        <w:tabs>
          <w:tab w:val="left" w:pos="567"/>
        </w:tabs>
        <w:spacing w:before="0" w:beforeAutospacing="0" w:after="0" w:afterAutospacing="0"/>
        <w:ind w:left="0" w:firstLine="0"/>
        <w:jc w:val="both"/>
        <w:rPr>
          <w:rFonts w:ascii="Cambria" w:hAnsi="Cambria"/>
          <w:sz w:val="20"/>
          <w:szCs w:val="20"/>
          <w:lang w:val="es-ES"/>
        </w:rPr>
      </w:pPr>
      <w:r w:rsidRPr="00E019A9">
        <w:rPr>
          <w:rFonts w:ascii="Cambria" w:hAnsi="Cambria"/>
          <w:sz w:val="20"/>
          <w:szCs w:val="20"/>
          <w:lang w:val="es-ES_tradnl"/>
        </w:rPr>
        <w:t>De acuerdo con la información existente en el expediente, la Comisión entiende que se encuentra probado que el día 17 de septiembre de 1973 en la localidad de Canteras, comuna de Quilleco, Provincia del B</w:t>
      </w:r>
      <w:r w:rsidR="00A46D85" w:rsidRPr="00E019A9">
        <w:rPr>
          <w:rFonts w:ascii="Cambria" w:hAnsi="Cambria"/>
          <w:sz w:val="20"/>
          <w:szCs w:val="20"/>
          <w:lang w:val="es-ES_tradnl"/>
        </w:rPr>
        <w:t>i</w:t>
      </w:r>
      <w:r w:rsidRPr="00E019A9">
        <w:rPr>
          <w:rFonts w:ascii="Cambria" w:hAnsi="Cambria"/>
          <w:sz w:val="20"/>
          <w:szCs w:val="20"/>
          <w:lang w:val="es-ES_tradnl"/>
        </w:rPr>
        <w:t>o</w:t>
      </w:r>
      <w:r w:rsidR="00A46D85" w:rsidRPr="00E019A9">
        <w:rPr>
          <w:rFonts w:ascii="Cambria" w:hAnsi="Cambria"/>
          <w:sz w:val="20"/>
          <w:szCs w:val="20"/>
          <w:lang w:val="es-ES_tradnl"/>
        </w:rPr>
        <w:t>b</w:t>
      </w:r>
      <w:r w:rsidRPr="00E019A9">
        <w:rPr>
          <w:rFonts w:ascii="Cambria" w:hAnsi="Cambria"/>
          <w:sz w:val="20"/>
          <w:szCs w:val="20"/>
          <w:lang w:val="es-ES_tradnl"/>
        </w:rPr>
        <w:t xml:space="preserve">ío, los señores </w:t>
      </w:r>
      <w:r w:rsidRPr="00E019A9">
        <w:rPr>
          <w:rFonts w:ascii="Cambria" w:hAnsi="Cambria"/>
          <w:sz w:val="20"/>
          <w:szCs w:val="20"/>
          <w:lang w:val="es-ES"/>
        </w:rPr>
        <w:t xml:space="preserve">Nelson Cristián Almendras Almendras, José Ricardo López López, Juan de la Cruz Briones Pérez y Victoriano Lagos Lagos </w:t>
      </w:r>
      <w:r w:rsidRPr="00E019A9">
        <w:rPr>
          <w:rFonts w:ascii="Cambria" w:hAnsi="Cambria"/>
          <w:sz w:val="20"/>
          <w:szCs w:val="20"/>
          <w:lang w:val="es-ES_tradnl"/>
        </w:rPr>
        <w:t>fueron privados de su libertad por miembros del cuerpo de Carabineros de Chile, quienes en ningún momento exhibieron una orden de detención,</w:t>
      </w:r>
      <w:r w:rsidRPr="00E019A9">
        <w:rPr>
          <w:rStyle w:val="FootnoteReference"/>
          <w:rFonts w:ascii="Cambria" w:hAnsi="Cambria"/>
          <w:sz w:val="20"/>
          <w:szCs w:val="20"/>
          <w:lang w:val="es-ES_tradnl"/>
        </w:rPr>
        <w:footnoteReference w:id="83"/>
      </w:r>
      <w:r w:rsidRPr="00E019A9">
        <w:rPr>
          <w:rFonts w:ascii="Cambria" w:hAnsi="Cambria"/>
          <w:sz w:val="20"/>
          <w:szCs w:val="20"/>
          <w:lang w:val="es-ES_tradnl"/>
        </w:rPr>
        <w:t xml:space="preserve">. Una vez producido el arresto, las </w:t>
      </w:r>
      <w:r w:rsidR="00C266C8" w:rsidRPr="00E019A9">
        <w:rPr>
          <w:rFonts w:ascii="Cambria" w:hAnsi="Cambria"/>
          <w:sz w:val="20"/>
          <w:szCs w:val="20"/>
          <w:lang w:val="es-ES_tradnl"/>
        </w:rPr>
        <w:t>víctimas</w:t>
      </w:r>
      <w:r w:rsidRPr="00E019A9">
        <w:rPr>
          <w:rFonts w:ascii="Cambria" w:hAnsi="Cambria"/>
          <w:sz w:val="20"/>
          <w:szCs w:val="20"/>
          <w:lang w:val="es-ES_tradnl"/>
        </w:rPr>
        <w:t xml:space="preserve"> fueron subidas a un vehículo y fueron conducidos por un grupo de Carabineros premunidos de armas de fuego a un sitio desconocido, sin que hasta la fecha se tengan noticias sobre sus respectivos paraderos</w:t>
      </w:r>
      <w:r w:rsidRPr="00E019A9">
        <w:rPr>
          <w:rStyle w:val="FootnoteReference"/>
          <w:rFonts w:ascii="Cambria" w:hAnsi="Cambria"/>
          <w:sz w:val="20"/>
          <w:szCs w:val="20"/>
          <w:lang w:val="es-ES_tradnl"/>
        </w:rPr>
        <w:footnoteReference w:id="84"/>
      </w:r>
      <w:r w:rsidRPr="00E019A9">
        <w:rPr>
          <w:rFonts w:ascii="Cambria" w:hAnsi="Cambria"/>
          <w:sz w:val="20"/>
          <w:szCs w:val="20"/>
          <w:lang w:val="es-ES_tradnl"/>
        </w:rPr>
        <w:t>.</w:t>
      </w:r>
    </w:p>
    <w:p w14:paraId="49E806B7" w14:textId="77777777" w:rsidR="00150211" w:rsidRPr="00E019A9" w:rsidRDefault="00150211" w:rsidP="00AC1CA8">
      <w:pPr>
        <w:pStyle w:val="NormalWeb"/>
        <w:tabs>
          <w:tab w:val="left" w:pos="567"/>
        </w:tabs>
        <w:spacing w:before="0" w:beforeAutospacing="0" w:after="0" w:afterAutospacing="0"/>
        <w:jc w:val="both"/>
        <w:rPr>
          <w:rFonts w:ascii="Cambria" w:hAnsi="Cambria"/>
          <w:sz w:val="20"/>
          <w:szCs w:val="20"/>
          <w:lang w:val="es-ES"/>
        </w:rPr>
      </w:pPr>
    </w:p>
    <w:p w14:paraId="65566A94" w14:textId="77777777" w:rsidR="00150211" w:rsidRPr="00E019A9" w:rsidRDefault="00150211" w:rsidP="00BB60A6">
      <w:pPr>
        <w:pStyle w:val="NormalWeb"/>
        <w:numPr>
          <w:ilvl w:val="0"/>
          <w:numId w:val="58"/>
        </w:numPr>
        <w:tabs>
          <w:tab w:val="num" w:pos="360"/>
          <w:tab w:val="left" w:pos="567"/>
        </w:tabs>
        <w:spacing w:before="0" w:beforeAutospacing="0" w:after="0" w:afterAutospacing="0"/>
        <w:ind w:left="0" w:firstLine="0"/>
        <w:jc w:val="both"/>
        <w:rPr>
          <w:rFonts w:ascii="Cambria" w:hAnsi="Cambria"/>
          <w:sz w:val="20"/>
          <w:szCs w:val="20"/>
          <w:lang w:val="es-ES_tradnl"/>
        </w:rPr>
      </w:pPr>
      <w:r w:rsidRPr="00E019A9">
        <w:rPr>
          <w:rFonts w:ascii="Cambria" w:hAnsi="Cambria"/>
          <w:sz w:val="20"/>
          <w:szCs w:val="20"/>
          <w:lang w:val="es-ES_tradnl"/>
        </w:rPr>
        <w:t xml:space="preserve">  Se encuentra asimismo documentado  que los familiares de los Sres. Almendras Almendras, Briones Pérez y Lagos Lagos, interpusieron recursos de amparo, los cuales fueron rechazados por no existir antecedentes que los amparados se encontraban detenidos o que existiera orden de aprehensión en su contra</w:t>
      </w:r>
      <w:r w:rsidRPr="00E019A9">
        <w:rPr>
          <w:rStyle w:val="FootnoteReference"/>
          <w:rFonts w:ascii="Cambria" w:hAnsi="Cambria"/>
          <w:sz w:val="20"/>
          <w:szCs w:val="20"/>
          <w:lang w:val="es-ES_tradnl"/>
        </w:rPr>
        <w:footnoteReference w:id="85"/>
      </w:r>
      <w:r w:rsidRPr="00E019A9">
        <w:rPr>
          <w:rFonts w:ascii="Cambria" w:hAnsi="Cambria"/>
          <w:sz w:val="20"/>
          <w:szCs w:val="20"/>
          <w:lang w:val="es-ES_tradnl"/>
        </w:rPr>
        <w:t>.</w:t>
      </w:r>
    </w:p>
    <w:p w14:paraId="3F439046" w14:textId="77777777" w:rsidR="00150211" w:rsidRPr="00E019A9" w:rsidRDefault="00150211" w:rsidP="00AC1CA8">
      <w:pPr>
        <w:pStyle w:val="NormalWeb"/>
        <w:tabs>
          <w:tab w:val="left" w:pos="567"/>
        </w:tabs>
        <w:spacing w:before="0" w:beforeAutospacing="0" w:after="0" w:afterAutospacing="0"/>
        <w:jc w:val="both"/>
        <w:rPr>
          <w:rFonts w:ascii="Cambria" w:hAnsi="Cambria"/>
          <w:sz w:val="20"/>
          <w:szCs w:val="20"/>
          <w:lang w:val="es-ES_tradnl"/>
        </w:rPr>
      </w:pPr>
    </w:p>
    <w:p w14:paraId="1E02A579" w14:textId="77777777" w:rsidR="00150211" w:rsidRPr="00E019A9" w:rsidRDefault="00150211" w:rsidP="00BB60A6">
      <w:pPr>
        <w:pStyle w:val="NormalWeb"/>
        <w:numPr>
          <w:ilvl w:val="0"/>
          <w:numId w:val="58"/>
        </w:numPr>
        <w:tabs>
          <w:tab w:val="num" w:pos="360"/>
          <w:tab w:val="left" w:pos="567"/>
        </w:tabs>
        <w:spacing w:before="0" w:beforeAutospacing="0" w:after="0" w:afterAutospacing="0"/>
        <w:ind w:left="0" w:firstLine="0"/>
        <w:jc w:val="both"/>
        <w:rPr>
          <w:rFonts w:ascii="Cambria" w:hAnsi="Cambria"/>
          <w:sz w:val="20"/>
          <w:szCs w:val="20"/>
          <w:lang w:val="es-ES_tradnl"/>
        </w:rPr>
      </w:pPr>
      <w:r w:rsidRPr="00E019A9">
        <w:rPr>
          <w:rFonts w:ascii="Cambria" w:hAnsi="Cambria"/>
          <w:sz w:val="20"/>
          <w:szCs w:val="20"/>
          <w:lang w:val="es-ES_tradnl"/>
        </w:rPr>
        <w:t>Según se desprende de la sentencia de primera instancia Nro. 13.713 dictada el 30 de octubre de 2006, se encuentra probada la participación criminal por los hechos investigados de Oscar Humberto Medina, quién a la fecha de los sucesos se encontraba a cargo del retén de Carabineros de Canteras. En consecuencia, el juez condenó al Sr. Medina a la pena de 10 años y un día de presidio mayor en su grado medio, por el delito de secuestro calificado más la accesoria de inhabilitación absoluta perpetua para cargos y oficios públicos y derechos políticos y la inhabilitación absoluta para profesiones titulares mientras dure la condena y al pago de las costas de la causa</w:t>
      </w:r>
      <w:r w:rsidRPr="00E019A9">
        <w:rPr>
          <w:rStyle w:val="FootnoteReference"/>
          <w:rFonts w:ascii="Cambria" w:hAnsi="Cambria"/>
          <w:sz w:val="20"/>
          <w:szCs w:val="20"/>
          <w:lang w:val="es-ES_tradnl"/>
        </w:rPr>
        <w:footnoteReference w:id="86"/>
      </w:r>
      <w:r w:rsidRPr="00E019A9">
        <w:rPr>
          <w:rFonts w:ascii="Cambria" w:hAnsi="Cambria"/>
          <w:sz w:val="20"/>
          <w:szCs w:val="20"/>
          <w:lang w:val="es-ES_tradnl"/>
        </w:rPr>
        <w:t xml:space="preserve">.  </w:t>
      </w:r>
    </w:p>
    <w:p w14:paraId="6692D6D7" w14:textId="77777777" w:rsidR="00150211" w:rsidRPr="00E019A9" w:rsidRDefault="00150211" w:rsidP="00AC1CA8">
      <w:pPr>
        <w:pStyle w:val="ListParagraph"/>
        <w:tabs>
          <w:tab w:val="left" w:pos="567"/>
        </w:tabs>
        <w:jc w:val="both"/>
        <w:rPr>
          <w:sz w:val="20"/>
          <w:szCs w:val="20"/>
          <w:lang w:val="es-ES_tradnl"/>
        </w:rPr>
      </w:pPr>
    </w:p>
    <w:p w14:paraId="2A48E5AD" w14:textId="77777777" w:rsidR="00150211" w:rsidRPr="00E019A9" w:rsidRDefault="00150211" w:rsidP="00BB60A6">
      <w:pPr>
        <w:pStyle w:val="NormalWeb"/>
        <w:numPr>
          <w:ilvl w:val="0"/>
          <w:numId w:val="58"/>
        </w:numPr>
        <w:tabs>
          <w:tab w:val="num" w:pos="360"/>
          <w:tab w:val="left" w:pos="567"/>
        </w:tabs>
        <w:spacing w:before="0" w:beforeAutospacing="0" w:after="0" w:afterAutospacing="0"/>
        <w:ind w:left="0" w:firstLine="0"/>
        <w:jc w:val="both"/>
        <w:rPr>
          <w:rFonts w:ascii="Cambria" w:hAnsi="Cambria"/>
          <w:sz w:val="20"/>
          <w:szCs w:val="20"/>
          <w:lang w:val="es-ES_tradnl"/>
        </w:rPr>
      </w:pPr>
      <w:r w:rsidRPr="00E019A9">
        <w:rPr>
          <w:rFonts w:ascii="Cambria" w:hAnsi="Cambria"/>
          <w:sz w:val="20"/>
          <w:szCs w:val="20"/>
          <w:lang w:val="es-ES_tradnl"/>
        </w:rPr>
        <w:t>En ocasión de intervenir ante los recursos de apelación interpuestos por la defensa del sentenciado, la Corte de Apelaciones de Concepción, considero que se encontraban probados los hechos contenidos en la sentencia apelada y la responsabilidad penal del Sr. Medina y, por consiguiente confirmó la condena impuesta</w:t>
      </w:r>
      <w:r w:rsidRPr="00E019A9">
        <w:rPr>
          <w:rStyle w:val="FootnoteReference"/>
          <w:rFonts w:ascii="Cambria" w:hAnsi="Cambria"/>
          <w:sz w:val="20"/>
          <w:szCs w:val="20"/>
          <w:lang w:val="es-ES_tradnl"/>
        </w:rPr>
        <w:footnoteReference w:id="87"/>
      </w:r>
      <w:r w:rsidRPr="00E019A9">
        <w:rPr>
          <w:rFonts w:ascii="Cambria" w:hAnsi="Cambria"/>
          <w:sz w:val="20"/>
          <w:szCs w:val="20"/>
          <w:lang w:val="es-ES_tradnl"/>
        </w:rPr>
        <w:t xml:space="preserve">. </w:t>
      </w:r>
    </w:p>
    <w:p w14:paraId="499FE315" w14:textId="77777777" w:rsidR="00150211" w:rsidRPr="00E019A9" w:rsidRDefault="00150211" w:rsidP="00AC1CA8">
      <w:pPr>
        <w:pStyle w:val="ListParagraph"/>
        <w:tabs>
          <w:tab w:val="left" w:pos="567"/>
        </w:tabs>
        <w:jc w:val="both"/>
        <w:rPr>
          <w:sz w:val="20"/>
          <w:szCs w:val="20"/>
          <w:lang w:val="es-ES_tradnl"/>
        </w:rPr>
      </w:pPr>
    </w:p>
    <w:p w14:paraId="15D7702D" w14:textId="77777777" w:rsidR="00150211" w:rsidRPr="00E019A9" w:rsidRDefault="00150211" w:rsidP="00BB60A6">
      <w:pPr>
        <w:pStyle w:val="NormalWeb"/>
        <w:numPr>
          <w:ilvl w:val="0"/>
          <w:numId w:val="58"/>
        </w:numPr>
        <w:tabs>
          <w:tab w:val="num" w:pos="360"/>
          <w:tab w:val="left" w:pos="567"/>
        </w:tabs>
        <w:spacing w:before="0" w:beforeAutospacing="0" w:after="0" w:afterAutospacing="0"/>
        <w:ind w:left="0" w:firstLine="0"/>
        <w:jc w:val="both"/>
        <w:rPr>
          <w:rFonts w:ascii="Cambria" w:hAnsi="Cambria"/>
          <w:sz w:val="20"/>
          <w:szCs w:val="20"/>
          <w:lang w:val="es-ES_tradnl"/>
        </w:rPr>
      </w:pPr>
      <w:r w:rsidRPr="00E019A9">
        <w:rPr>
          <w:rFonts w:ascii="Cambria" w:hAnsi="Cambria"/>
          <w:sz w:val="20"/>
          <w:szCs w:val="20"/>
          <w:lang w:val="es-ES_tradnl"/>
        </w:rPr>
        <w:t xml:space="preserve">Sin embargo, el 11 de diciembre de 2008 la Segunda Sala de la Corte Suprema, en ocasión de conocer el recurso de casación interpuesto por la defensa del Sr. Medina, decidió invalidar la sentencia dictada por la Corte de Apelaciones de Concepción ya que, según su criterio, los tribunales inferiores, no estimaron ni ponderaron la circunstancia atenuante de la “media prescripción o prescripción gradual” consagrada en el </w:t>
      </w:r>
      <w:r w:rsidR="002A4062" w:rsidRPr="00E019A9">
        <w:rPr>
          <w:rFonts w:ascii="Cambria" w:hAnsi="Cambria"/>
          <w:sz w:val="20"/>
          <w:szCs w:val="20"/>
          <w:lang w:val="es-ES_tradnl"/>
        </w:rPr>
        <w:t>artículo</w:t>
      </w:r>
      <w:r w:rsidRPr="00E019A9">
        <w:rPr>
          <w:rFonts w:ascii="Cambria" w:hAnsi="Cambria"/>
          <w:sz w:val="20"/>
          <w:szCs w:val="20"/>
          <w:lang w:val="es-ES_tradnl"/>
        </w:rPr>
        <w:t xml:space="preserve"> 103 del Código Penal, teniendo la obligación de considerarla de oficio</w:t>
      </w:r>
      <w:r w:rsidRPr="00E019A9">
        <w:rPr>
          <w:rStyle w:val="FootnoteReference"/>
          <w:rFonts w:ascii="Cambria" w:hAnsi="Cambria"/>
          <w:sz w:val="20"/>
          <w:szCs w:val="20"/>
          <w:lang w:val="es-ES_tradnl"/>
        </w:rPr>
        <w:footnoteReference w:id="88"/>
      </w:r>
      <w:r w:rsidRPr="00E019A9">
        <w:rPr>
          <w:rFonts w:ascii="Cambria" w:hAnsi="Cambria"/>
          <w:sz w:val="20"/>
          <w:szCs w:val="20"/>
          <w:lang w:val="es-ES_tradnl"/>
        </w:rPr>
        <w:t xml:space="preserve">. </w:t>
      </w:r>
    </w:p>
    <w:p w14:paraId="04F73622" w14:textId="77777777" w:rsidR="00150211" w:rsidRPr="00E019A9" w:rsidRDefault="00150211" w:rsidP="00AC1CA8">
      <w:pPr>
        <w:pStyle w:val="ListParagraph"/>
        <w:tabs>
          <w:tab w:val="left" w:pos="567"/>
        </w:tabs>
        <w:jc w:val="both"/>
        <w:rPr>
          <w:sz w:val="20"/>
          <w:szCs w:val="20"/>
          <w:lang w:val="es-ES_tradnl"/>
        </w:rPr>
      </w:pPr>
    </w:p>
    <w:p w14:paraId="1AE46A48" w14:textId="77777777" w:rsidR="00150211" w:rsidRPr="00E019A9" w:rsidRDefault="00150211" w:rsidP="00BB60A6">
      <w:pPr>
        <w:pStyle w:val="NormalWeb"/>
        <w:numPr>
          <w:ilvl w:val="0"/>
          <w:numId w:val="58"/>
        </w:numPr>
        <w:tabs>
          <w:tab w:val="num" w:pos="360"/>
          <w:tab w:val="left" w:pos="567"/>
        </w:tabs>
        <w:spacing w:before="0" w:beforeAutospacing="0" w:after="0" w:afterAutospacing="0"/>
        <w:ind w:left="0" w:firstLine="0"/>
        <w:jc w:val="both"/>
        <w:rPr>
          <w:rFonts w:ascii="Cambria" w:hAnsi="Cambria"/>
          <w:sz w:val="20"/>
          <w:szCs w:val="20"/>
          <w:lang w:val="es-ES_tradnl"/>
        </w:rPr>
      </w:pPr>
      <w:r w:rsidRPr="00E019A9">
        <w:rPr>
          <w:rFonts w:ascii="Cambria" w:hAnsi="Cambria"/>
          <w:sz w:val="20"/>
          <w:szCs w:val="20"/>
          <w:lang w:val="es-ES_tradnl"/>
        </w:rPr>
        <w:t xml:space="preserve">Acto seguido, la Corte Suprema dictó una sentencia de reemplazo por medio de la cual - si bien confirmó la plataforma fáctica del caso y la calificación legal de los hechos - decidió, en aplicación de la figura de la media prescripción del </w:t>
      </w:r>
      <w:r w:rsidR="00C266C8" w:rsidRPr="00E019A9">
        <w:rPr>
          <w:rFonts w:ascii="Cambria" w:hAnsi="Cambria"/>
          <w:sz w:val="20"/>
          <w:szCs w:val="20"/>
          <w:lang w:val="es-ES_tradnl"/>
        </w:rPr>
        <w:t>artículo</w:t>
      </w:r>
      <w:r w:rsidRPr="00E019A9">
        <w:rPr>
          <w:rFonts w:ascii="Cambria" w:hAnsi="Cambria"/>
          <w:sz w:val="20"/>
          <w:szCs w:val="20"/>
          <w:lang w:val="es-ES_tradnl"/>
        </w:rPr>
        <w:t xml:space="preserve"> 103 del Código Penal, reducir la pena impuesta al Sr. Medina a cuatro años de presidio menor en su grado máximo y accesorias legales y concederle la medida alternativa de libertad vigilada</w:t>
      </w:r>
      <w:r w:rsidRPr="00E019A9">
        <w:rPr>
          <w:rStyle w:val="FootnoteReference"/>
          <w:rFonts w:ascii="Cambria" w:hAnsi="Cambria"/>
          <w:sz w:val="20"/>
          <w:szCs w:val="20"/>
          <w:lang w:val="es-ES_tradnl"/>
        </w:rPr>
        <w:footnoteReference w:id="89"/>
      </w:r>
      <w:r w:rsidRPr="00E019A9">
        <w:rPr>
          <w:rFonts w:ascii="Cambria" w:hAnsi="Cambria"/>
          <w:sz w:val="20"/>
          <w:szCs w:val="20"/>
          <w:lang w:val="es-ES_tradnl"/>
        </w:rPr>
        <w:t xml:space="preserve">.  </w:t>
      </w:r>
    </w:p>
    <w:p w14:paraId="47CDFAE9" w14:textId="77777777" w:rsidR="00150211" w:rsidRPr="00E019A9" w:rsidRDefault="00150211" w:rsidP="00AC1CA8">
      <w:pPr>
        <w:pStyle w:val="ListParagraph"/>
        <w:tabs>
          <w:tab w:val="left" w:pos="567"/>
        </w:tabs>
        <w:jc w:val="both"/>
        <w:rPr>
          <w:sz w:val="20"/>
          <w:szCs w:val="20"/>
          <w:lang w:val="es-ES_tradnl"/>
        </w:rPr>
      </w:pPr>
    </w:p>
    <w:p w14:paraId="441FA3AC" w14:textId="77777777" w:rsidR="00150211" w:rsidRPr="00E019A9" w:rsidRDefault="00150211" w:rsidP="00BB60A6">
      <w:pPr>
        <w:pStyle w:val="NormalWeb"/>
        <w:numPr>
          <w:ilvl w:val="0"/>
          <w:numId w:val="58"/>
        </w:numPr>
        <w:tabs>
          <w:tab w:val="num" w:pos="360"/>
          <w:tab w:val="left" w:pos="567"/>
        </w:tabs>
        <w:spacing w:before="0" w:beforeAutospacing="0" w:after="0" w:afterAutospacing="0"/>
        <w:ind w:left="0" w:firstLine="0"/>
        <w:jc w:val="both"/>
        <w:rPr>
          <w:rFonts w:ascii="Cambria" w:hAnsi="Cambria"/>
          <w:sz w:val="20"/>
          <w:szCs w:val="20"/>
          <w:lang w:val="es-ES_tradnl"/>
        </w:rPr>
      </w:pPr>
      <w:r w:rsidRPr="00E019A9">
        <w:rPr>
          <w:rFonts w:ascii="Cambria" w:hAnsi="Cambria"/>
          <w:sz w:val="20"/>
          <w:szCs w:val="20"/>
          <w:lang w:val="es-ES_tradnl"/>
        </w:rPr>
        <w:t>Para decidir de este modo, el tribunal fij</w:t>
      </w:r>
      <w:r w:rsidR="00557504" w:rsidRPr="00E019A9">
        <w:rPr>
          <w:rFonts w:ascii="Cambria" w:hAnsi="Cambria"/>
          <w:sz w:val="20"/>
          <w:szCs w:val="20"/>
          <w:lang w:val="es-ES_tradnl"/>
        </w:rPr>
        <w:t>ó</w:t>
      </w:r>
      <w:r w:rsidRPr="00E019A9">
        <w:rPr>
          <w:rFonts w:ascii="Cambria" w:hAnsi="Cambria"/>
          <w:sz w:val="20"/>
          <w:szCs w:val="20"/>
          <w:lang w:val="es-ES_tradnl"/>
        </w:rPr>
        <w:t xml:space="preserve"> el día 17 de marzo de 1976, fecha en la que se concedió al Sr. Medina el retiro de Carabineros, como el punto de partida para el computo de la media prescripción toda vez que a partir de ese momento no se puede acreditar que “exista ejercicio de voluntad sobre los encierros o detenciones” por parte del condenado.  </w:t>
      </w:r>
    </w:p>
    <w:p w14:paraId="0CD6CDF6" w14:textId="77777777" w:rsidR="00150211" w:rsidRPr="00E019A9" w:rsidRDefault="00150211" w:rsidP="00AC1CA8">
      <w:pPr>
        <w:pStyle w:val="ListParagraph"/>
        <w:tabs>
          <w:tab w:val="left" w:pos="567"/>
        </w:tabs>
        <w:jc w:val="both"/>
        <w:rPr>
          <w:sz w:val="20"/>
          <w:szCs w:val="20"/>
          <w:lang w:val="es-ES_tradnl"/>
        </w:rPr>
      </w:pPr>
    </w:p>
    <w:p w14:paraId="27A80CFE" w14:textId="77777777" w:rsidR="00150211" w:rsidRPr="00E019A9" w:rsidRDefault="00150211" w:rsidP="00BB60A6">
      <w:pPr>
        <w:pStyle w:val="NormalWeb"/>
        <w:numPr>
          <w:ilvl w:val="0"/>
          <w:numId w:val="58"/>
        </w:numPr>
        <w:tabs>
          <w:tab w:val="num" w:pos="360"/>
          <w:tab w:val="left" w:pos="567"/>
        </w:tabs>
        <w:spacing w:before="0" w:beforeAutospacing="0" w:after="0" w:afterAutospacing="0"/>
        <w:ind w:left="0" w:firstLine="0"/>
        <w:jc w:val="both"/>
        <w:rPr>
          <w:rFonts w:ascii="Cambria" w:hAnsi="Cambria"/>
          <w:sz w:val="20"/>
          <w:szCs w:val="20"/>
          <w:lang w:val="es-ES_tradnl"/>
        </w:rPr>
      </w:pPr>
      <w:r w:rsidRPr="00E019A9">
        <w:rPr>
          <w:rFonts w:ascii="Cambria" w:hAnsi="Cambria"/>
          <w:sz w:val="20"/>
          <w:szCs w:val="20"/>
          <w:lang w:val="es-ES_tradnl"/>
        </w:rPr>
        <w:t>En esta misma línea, el tribunal consignó que, desde el 17 de marzo de 1976 y hasta el 22 de mayo de 1996, fecha en que la Corporación Nacional de Reparación y Reconciliación presentó la denuncia que dio inicio al proceso, ya se habían cumplido con creces los 5 años que exigidos para la procedencia de la figura de la “media prescripción”, considerando que el delito de secuestro calificado al momento de los hechos era penado con presidio mayor en cualquiera de sus grados. La Corte Suprema añadió que este plazo de 5 años también se encontraba cumplido si se considera como punto de inicio “la fecha en que el país retornó a su esencia y cauce democrático institucional en los inicios de 1.990”</w:t>
      </w:r>
      <w:r w:rsidRPr="00E019A9">
        <w:rPr>
          <w:rStyle w:val="FootnoteReference"/>
          <w:rFonts w:ascii="Cambria" w:hAnsi="Cambria"/>
          <w:sz w:val="20"/>
          <w:szCs w:val="20"/>
          <w:lang w:val="es-ES_tradnl"/>
        </w:rPr>
        <w:footnoteReference w:id="90"/>
      </w:r>
    </w:p>
    <w:p w14:paraId="75072FB5" w14:textId="77777777" w:rsidR="00A41369" w:rsidRPr="00E019A9" w:rsidRDefault="00A41369" w:rsidP="005B0935">
      <w:pPr>
        <w:rPr>
          <w:rFonts w:ascii="Cambria" w:hAnsi="Cambria"/>
          <w:b/>
          <w:sz w:val="20"/>
          <w:szCs w:val="20"/>
          <w:lang w:val="es-ES_tradnl" w:eastAsia="es-ES"/>
        </w:rPr>
      </w:pPr>
    </w:p>
    <w:p w14:paraId="2FBE1EE0" w14:textId="77777777" w:rsidR="00A46D85" w:rsidRPr="00E019A9" w:rsidRDefault="005B0935" w:rsidP="00BB60A6">
      <w:pPr>
        <w:pStyle w:val="Heading3"/>
        <w:numPr>
          <w:ilvl w:val="1"/>
          <w:numId w:val="59"/>
        </w:numPr>
        <w:tabs>
          <w:tab w:val="left" w:pos="567"/>
          <w:tab w:val="left" w:pos="1134"/>
        </w:tabs>
        <w:ind w:left="567" w:firstLine="0"/>
        <w:jc w:val="both"/>
      </w:pPr>
      <w:r w:rsidRPr="00E019A9">
        <w:t xml:space="preserve">Respecto de la petición presentada en representación de Eugenio </w:t>
      </w:r>
      <w:r w:rsidR="00975A6D" w:rsidRPr="00E019A9">
        <w:t>Iván</w:t>
      </w:r>
      <w:r w:rsidRPr="00E019A9">
        <w:t xml:space="preserve"> Montti Cordero y Carmen Margarita </w:t>
      </w:r>
      <w:r w:rsidR="00975A6D" w:rsidRPr="00E019A9">
        <w:t>Díaz</w:t>
      </w:r>
      <w:r w:rsidRPr="00E019A9">
        <w:t xml:space="preserve"> Darricarrere, y sus respectivos familiares</w:t>
      </w:r>
      <w:r w:rsidR="00A77BD5" w:rsidRPr="00E019A9">
        <w:t xml:space="preserve"> y registrada </w:t>
      </w:r>
      <w:r w:rsidRPr="00E019A9">
        <w:t xml:space="preserve">inicialmente </w:t>
      </w:r>
      <w:r w:rsidR="00A77BD5" w:rsidRPr="00E019A9">
        <w:t xml:space="preserve">por la </w:t>
      </w:r>
      <w:r w:rsidR="004174F3" w:rsidRPr="00E019A9">
        <w:t>Comisión bajo</w:t>
      </w:r>
      <w:r w:rsidRPr="00E019A9">
        <w:t xml:space="preserve"> el número P 798-09. </w:t>
      </w:r>
    </w:p>
    <w:p w14:paraId="2BB35569" w14:textId="77777777" w:rsidR="00A46D85" w:rsidRPr="00E019A9" w:rsidRDefault="00A46D85" w:rsidP="008142C0">
      <w:pPr>
        <w:rPr>
          <w:rFonts w:ascii="Cambria" w:hAnsi="Cambria"/>
          <w:sz w:val="20"/>
          <w:szCs w:val="20"/>
          <w:lang w:val="es-ES_tradnl" w:eastAsia="es-ES"/>
        </w:rPr>
      </w:pPr>
    </w:p>
    <w:p w14:paraId="19E0756A" w14:textId="77777777" w:rsidR="00975DEE" w:rsidRPr="00E019A9" w:rsidRDefault="00A46D85" w:rsidP="00BB60A6">
      <w:pPr>
        <w:pStyle w:val="ListParagraph"/>
        <w:numPr>
          <w:ilvl w:val="0"/>
          <w:numId w:val="58"/>
        </w:numPr>
        <w:tabs>
          <w:tab w:val="left" w:pos="567"/>
        </w:tabs>
        <w:ind w:left="0" w:firstLine="0"/>
        <w:jc w:val="both"/>
        <w:rPr>
          <w:sz w:val="20"/>
          <w:szCs w:val="20"/>
          <w:lang w:val="es-ES"/>
        </w:rPr>
      </w:pPr>
      <w:r w:rsidRPr="00E019A9">
        <w:rPr>
          <w:sz w:val="20"/>
          <w:szCs w:val="20"/>
          <w:lang w:val="es-ES"/>
        </w:rPr>
        <w:t xml:space="preserve">De acuerdo con las constancias obrantes en el expediente, se encuentra acreditado que el día 13 de febrero de 1975 un grupo de agentes pertenecientes a la Dirección de Inteligencia Nacional (DINA) </w:t>
      </w:r>
      <w:r w:rsidR="00E70581" w:rsidRPr="00E019A9">
        <w:rPr>
          <w:sz w:val="20"/>
          <w:szCs w:val="20"/>
          <w:lang w:val="es-ES"/>
        </w:rPr>
        <w:t xml:space="preserve">detuvieron - </w:t>
      </w:r>
      <w:r w:rsidRPr="00E019A9">
        <w:rPr>
          <w:sz w:val="20"/>
          <w:szCs w:val="20"/>
          <w:lang w:val="es-ES"/>
        </w:rPr>
        <w:t xml:space="preserve">en la vía </w:t>
      </w:r>
      <w:r w:rsidR="00C266C8" w:rsidRPr="00E019A9">
        <w:rPr>
          <w:sz w:val="20"/>
          <w:szCs w:val="20"/>
          <w:lang w:val="es-ES"/>
        </w:rPr>
        <w:t>pública</w:t>
      </w:r>
      <w:r w:rsidRPr="00E019A9">
        <w:rPr>
          <w:sz w:val="20"/>
          <w:szCs w:val="20"/>
          <w:lang w:val="es-ES"/>
        </w:rPr>
        <w:t xml:space="preserve"> y sin orden judicial</w:t>
      </w:r>
      <w:r w:rsidR="00E70581" w:rsidRPr="00E019A9">
        <w:rPr>
          <w:sz w:val="20"/>
          <w:szCs w:val="20"/>
          <w:lang w:val="es-ES"/>
        </w:rPr>
        <w:t xml:space="preserve"> - </w:t>
      </w:r>
      <w:r w:rsidRPr="00E019A9">
        <w:rPr>
          <w:sz w:val="20"/>
          <w:szCs w:val="20"/>
          <w:lang w:val="es-ES"/>
        </w:rPr>
        <w:t>a Carmen Margarita Díaz Darricarrere, Eugenio Iván Montti Cordero y a</w:t>
      </w:r>
      <w:r w:rsidR="00E4797F" w:rsidRPr="00E019A9">
        <w:rPr>
          <w:sz w:val="20"/>
          <w:szCs w:val="20"/>
          <w:lang w:val="es-ES"/>
        </w:rPr>
        <w:t xml:space="preserve"> Iván Eugenio Montti Araya, hijo del Sr. Montti Cordero, quien contaba con </w:t>
      </w:r>
      <w:r w:rsidRPr="00E019A9">
        <w:rPr>
          <w:sz w:val="20"/>
          <w:szCs w:val="20"/>
          <w:lang w:val="es-ES"/>
        </w:rPr>
        <w:t>5 años de edad</w:t>
      </w:r>
      <w:r w:rsidR="00E4797F" w:rsidRPr="00E019A9">
        <w:rPr>
          <w:sz w:val="20"/>
          <w:szCs w:val="20"/>
          <w:lang w:val="es-ES"/>
        </w:rPr>
        <w:t xml:space="preserve"> al momento de los hechos</w:t>
      </w:r>
      <w:r w:rsidRPr="00E019A9">
        <w:rPr>
          <w:rStyle w:val="FootnoteReference"/>
          <w:sz w:val="20"/>
          <w:szCs w:val="20"/>
        </w:rPr>
        <w:footnoteReference w:id="91"/>
      </w:r>
      <w:r w:rsidRPr="00E019A9">
        <w:rPr>
          <w:rStyle w:val="FootnoteReference"/>
          <w:sz w:val="20"/>
          <w:szCs w:val="20"/>
          <w:lang w:val="es-ES"/>
        </w:rPr>
        <w:t>.</w:t>
      </w:r>
      <w:r w:rsidRPr="00E019A9">
        <w:rPr>
          <w:sz w:val="20"/>
          <w:szCs w:val="20"/>
          <w:lang w:val="es-ES"/>
        </w:rPr>
        <w:t xml:space="preserve"> </w:t>
      </w:r>
    </w:p>
    <w:p w14:paraId="530515EF" w14:textId="77777777" w:rsidR="00975DEE" w:rsidRPr="00E019A9" w:rsidRDefault="00975DEE" w:rsidP="00AC1CA8">
      <w:pPr>
        <w:pStyle w:val="ListParagraph"/>
        <w:tabs>
          <w:tab w:val="left" w:pos="567"/>
        </w:tabs>
        <w:ind w:left="0"/>
        <w:jc w:val="both"/>
        <w:rPr>
          <w:sz w:val="20"/>
          <w:szCs w:val="20"/>
          <w:lang w:val="es-ES"/>
        </w:rPr>
      </w:pPr>
    </w:p>
    <w:p w14:paraId="05275508" w14:textId="77777777" w:rsidR="00975DEE" w:rsidRPr="00E019A9" w:rsidRDefault="00E70581" w:rsidP="00BB60A6">
      <w:pPr>
        <w:pStyle w:val="ListParagraph"/>
        <w:numPr>
          <w:ilvl w:val="0"/>
          <w:numId w:val="58"/>
        </w:numPr>
        <w:tabs>
          <w:tab w:val="left" w:pos="567"/>
        </w:tabs>
        <w:ind w:left="0" w:firstLine="0"/>
        <w:jc w:val="both"/>
        <w:rPr>
          <w:sz w:val="20"/>
          <w:szCs w:val="20"/>
          <w:lang w:val="es-ES"/>
        </w:rPr>
      </w:pPr>
      <w:r w:rsidRPr="00E019A9">
        <w:rPr>
          <w:sz w:val="20"/>
          <w:szCs w:val="20"/>
          <w:lang w:val="es-ES"/>
        </w:rPr>
        <w:t xml:space="preserve">Se encuentra asimismo probado que el Sr. Montti Cordero y la Sra. Díaz Darricarrere fueron trasladados hasta el centro clandestino de detención y torturas conocido como “Villa Grimaldi”, ubicado en la Comuna de </w:t>
      </w:r>
      <w:r w:rsidR="00E4797F" w:rsidRPr="00E019A9">
        <w:rPr>
          <w:sz w:val="20"/>
          <w:szCs w:val="20"/>
          <w:lang w:val="es-ES"/>
        </w:rPr>
        <w:t>Peñalolén</w:t>
      </w:r>
      <w:r w:rsidRPr="00E019A9">
        <w:rPr>
          <w:sz w:val="20"/>
          <w:szCs w:val="20"/>
          <w:lang w:val="es-ES"/>
        </w:rPr>
        <w:t xml:space="preserve">, </w:t>
      </w:r>
      <w:r w:rsidR="00E4797F" w:rsidRPr="00E019A9">
        <w:rPr>
          <w:sz w:val="20"/>
          <w:szCs w:val="20"/>
          <w:lang w:val="es-ES"/>
        </w:rPr>
        <w:t>Región</w:t>
      </w:r>
      <w:r w:rsidRPr="00E019A9">
        <w:rPr>
          <w:sz w:val="20"/>
          <w:szCs w:val="20"/>
          <w:lang w:val="es-ES"/>
        </w:rPr>
        <w:t xml:space="preserve"> Metropolitana de Santiago. En dicho recinto, ambas v</w:t>
      </w:r>
      <w:r w:rsidR="00A635B6" w:rsidRPr="00E019A9">
        <w:rPr>
          <w:sz w:val="20"/>
          <w:szCs w:val="20"/>
          <w:lang w:val="es-ES"/>
        </w:rPr>
        <w:t>í</w:t>
      </w:r>
      <w:r w:rsidRPr="00E019A9">
        <w:rPr>
          <w:sz w:val="20"/>
          <w:szCs w:val="20"/>
          <w:lang w:val="es-ES"/>
        </w:rPr>
        <w:t xml:space="preserve">ctimas fueron encerradas en celdas situadas en un espacio conocido como “La Torre”, el cual se trataba de una construcción que sustentaba un depósito de agua y que en su interior tenía 10 cubículos de unos 70 x 70 centímetros con una puerta pequeña a través de la cual sólo se podía ingresar de rodillas. </w:t>
      </w:r>
      <w:r w:rsidRPr="00E019A9">
        <w:rPr>
          <w:rStyle w:val="FootnoteReference"/>
          <w:sz w:val="20"/>
          <w:szCs w:val="20"/>
          <w:lang w:val="es-ES"/>
        </w:rPr>
        <w:footnoteReference w:id="92"/>
      </w:r>
    </w:p>
    <w:p w14:paraId="50F5DA43" w14:textId="77777777" w:rsidR="00975DEE" w:rsidRPr="00E019A9" w:rsidRDefault="00975DEE" w:rsidP="00AC1CA8">
      <w:pPr>
        <w:pStyle w:val="ListParagraph"/>
        <w:tabs>
          <w:tab w:val="left" w:pos="567"/>
        </w:tabs>
        <w:ind w:left="0"/>
        <w:jc w:val="both"/>
        <w:rPr>
          <w:sz w:val="20"/>
          <w:szCs w:val="20"/>
          <w:lang w:val="es-ES"/>
        </w:rPr>
      </w:pPr>
    </w:p>
    <w:p w14:paraId="02C32BB0" w14:textId="77777777" w:rsidR="00975DEE" w:rsidRPr="00E019A9" w:rsidRDefault="00E70581" w:rsidP="00BB60A6">
      <w:pPr>
        <w:pStyle w:val="ListParagraph"/>
        <w:numPr>
          <w:ilvl w:val="0"/>
          <w:numId w:val="58"/>
        </w:numPr>
        <w:tabs>
          <w:tab w:val="left" w:pos="567"/>
        </w:tabs>
        <w:ind w:left="0" w:firstLine="0"/>
        <w:jc w:val="both"/>
        <w:rPr>
          <w:sz w:val="20"/>
          <w:szCs w:val="20"/>
          <w:lang w:val="es-ES"/>
        </w:rPr>
      </w:pPr>
      <w:r w:rsidRPr="00E019A9">
        <w:rPr>
          <w:sz w:val="20"/>
          <w:szCs w:val="20"/>
          <w:lang w:val="es-ES"/>
        </w:rPr>
        <w:t xml:space="preserve">Con respecto al Sr. Montti Cordero, los tribunales nacionales han tenido por probado que, a fines de febrero, un grupo de personas entre las que se hallaba la </w:t>
      </w:r>
      <w:r w:rsidR="00A635B6" w:rsidRPr="00E019A9">
        <w:rPr>
          <w:sz w:val="20"/>
          <w:szCs w:val="20"/>
          <w:lang w:val="es-ES"/>
        </w:rPr>
        <w:t xml:space="preserve">presunta </w:t>
      </w:r>
      <w:r w:rsidRPr="00E019A9">
        <w:rPr>
          <w:sz w:val="20"/>
          <w:szCs w:val="20"/>
          <w:lang w:val="es-ES"/>
        </w:rPr>
        <w:t>v</w:t>
      </w:r>
      <w:r w:rsidR="00A635B6" w:rsidRPr="00E019A9">
        <w:rPr>
          <w:sz w:val="20"/>
          <w:szCs w:val="20"/>
          <w:lang w:val="es-ES"/>
        </w:rPr>
        <w:t>í</w:t>
      </w:r>
      <w:r w:rsidRPr="00E019A9">
        <w:rPr>
          <w:sz w:val="20"/>
          <w:szCs w:val="20"/>
          <w:lang w:val="es-ES"/>
        </w:rPr>
        <w:t>ctima fueron sacados de las instalaciones de “Villa Grimaldi” con rumbo desconocido y que</w:t>
      </w:r>
      <w:r w:rsidR="00FE3135" w:rsidRPr="00E019A9">
        <w:rPr>
          <w:sz w:val="20"/>
          <w:szCs w:val="20"/>
          <w:lang w:val="es-ES"/>
        </w:rPr>
        <w:t>, a partir de esa fecha, se desconoce su paradero. De igual manera, se tiene por acreditado que la Sra. Díaz Darricarrere fue sacada de “Villa Grimaldi” el día 27 o 28 de febrero de 1975 junto con otro grupo de prisioneros, no volviéndose a saber de su paradero</w:t>
      </w:r>
      <w:r w:rsidR="00FE3135" w:rsidRPr="00E019A9">
        <w:rPr>
          <w:rStyle w:val="FootnoteReference"/>
          <w:sz w:val="20"/>
          <w:szCs w:val="20"/>
          <w:lang w:val="es-ES"/>
        </w:rPr>
        <w:footnoteReference w:id="93"/>
      </w:r>
      <w:r w:rsidR="00FE3135" w:rsidRPr="00E019A9">
        <w:rPr>
          <w:sz w:val="20"/>
          <w:szCs w:val="20"/>
          <w:lang w:val="es-ES"/>
        </w:rPr>
        <w:t xml:space="preserve">. </w:t>
      </w:r>
    </w:p>
    <w:p w14:paraId="146FAF45" w14:textId="77777777" w:rsidR="00975DEE" w:rsidRPr="00E019A9" w:rsidRDefault="00975DEE" w:rsidP="00975DEE">
      <w:pPr>
        <w:pStyle w:val="ListParagraph"/>
        <w:ind w:left="0"/>
        <w:jc w:val="both"/>
        <w:rPr>
          <w:sz w:val="20"/>
          <w:szCs w:val="20"/>
          <w:lang w:val="es-ES"/>
        </w:rPr>
      </w:pPr>
    </w:p>
    <w:p w14:paraId="1BA3A39E" w14:textId="77777777" w:rsidR="00975DEE" w:rsidRPr="00E019A9" w:rsidRDefault="00E70581" w:rsidP="00BB60A6">
      <w:pPr>
        <w:pStyle w:val="ListParagraph"/>
        <w:numPr>
          <w:ilvl w:val="0"/>
          <w:numId w:val="58"/>
        </w:numPr>
        <w:tabs>
          <w:tab w:val="left" w:pos="567"/>
        </w:tabs>
        <w:ind w:left="0" w:firstLine="0"/>
        <w:jc w:val="both"/>
        <w:rPr>
          <w:sz w:val="20"/>
          <w:szCs w:val="20"/>
          <w:lang w:val="es-ES"/>
        </w:rPr>
      </w:pPr>
      <w:r w:rsidRPr="00E019A9">
        <w:rPr>
          <w:sz w:val="20"/>
          <w:szCs w:val="20"/>
          <w:lang w:val="es-ES"/>
        </w:rPr>
        <w:t>El niño Iván Montti Araya, en tanto, también fue trasladado en un primer momento a “Villa Grimaldi” y posteriormente fue alojado en un hogar de niños perteneciente a Carabineros de Chile, donde permaneció hasta el mes de marzo de 1975, fecha en que fue encontrado por un pariente</w:t>
      </w:r>
      <w:r w:rsidRPr="00E019A9">
        <w:rPr>
          <w:rStyle w:val="FootnoteReference"/>
          <w:sz w:val="20"/>
          <w:szCs w:val="20"/>
          <w:lang w:val="es-ES"/>
        </w:rPr>
        <w:footnoteReference w:id="94"/>
      </w:r>
      <w:r w:rsidRPr="00E019A9">
        <w:rPr>
          <w:sz w:val="20"/>
          <w:szCs w:val="20"/>
          <w:lang w:val="es-ES"/>
        </w:rPr>
        <w:t>.</w:t>
      </w:r>
    </w:p>
    <w:p w14:paraId="6FC89BB1" w14:textId="77777777" w:rsidR="00975DEE" w:rsidRPr="00E019A9" w:rsidRDefault="00975DEE" w:rsidP="00AC1CA8">
      <w:pPr>
        <w:pStyle w:val="ListParagraph"/>
        <w:tabs>
          <w:tab w:val="left" w:pos="567"/>
        </w:tabs>
        <w:ind w:left="0"/>
        <w:jc w:val="both"/>
        <w:rPr>
          <w:sz w:val="20"/>
          <w:szCs w:val="20"/>
          <w:lang w:val="es-ES"/>
        </w:rPr>
      </w:pPr>
    </w:p>
    <w:p w14:paraId="7E09D773" w14:textId="77777777" w:rsidR="00975DEE" w:rsidRPr="00E019A9" w:rsidRDefault="00FE3135" w:rsidP="00BB60A6">
      <w:pPr>
        <w:pStyle w:val="ListParagraph"/>
        <w:numPr>
          <w:ilvl w:val="0"/>
          <w:numId w:val="58"/>
        </w:numPr>
        <w:tabs>
          <w:tab w:val="left" w:pos="567"/>
        </w:tabs>
        <w:ind w:left="0" w:firstLine="0"/>
        <w:jc w:val="both"/>
        <w:rPr>
          <w:sz w:val="20"/>
          <w:szCs w:val="20"/>
          <w:lang w:val="es-ES"/>
        </w:rPr>
      </w:pPr>
      <w:r w:rsidRPr="00E019A9">
        <w:rPr>
          <w:sz w:val="20"/>
          <w:szCs w:val="20"/>
          <w:lang w:val="es-ES"/>
        </w:rPr>
        <w:t xml:space="preserve">Según consta en las decisiones judiciales adoptadas en sede interna, el día 7 de marzo de 1975, la Sra. Marietta Italia Montti Cordero, hermana del Sr. Montti, interpuso un recurso de amparo ante la Corte de Apelaciones de Santiago por la detención ilegal de su hermano y de su sobrino. En el caso de la Sra. Díaz Darricarrere, su hermano Rodrigo Díaz Darricarrere, interpuso una querella el 20 de julio de 1979 por el presunto delito de secuestro. </w:t>
      </w:r>
      <w:r w:rsidR="00430B5E" w:rsidRPr="00E019A9">
        <w:rPr>
          <w:sz w:val="20"/>
          <w:szCs w:val="20"/>
          <w:lang w:val="es-ES"/>
        </w:rPr>
        <w:t xml:space="preserve">Ambos procesos fueron archivados sin arrojar resultados. </w:t>
      </w:r>
    </w:p>
    <w:p w14:paraId="5A9B443F" w14:textId="77777777" w:rsidR="00975DEE" w:rsidRPr="00E019A9" w:rsidRDefault="00975DEE" w:rsidP="00AC1CA8">
      <w:pPr>
        <w:pStyle w:val="ListParagraph"/>
        <w:tabs>
          <w:tab w:val="left" w:pos="567"/>
        </w:tabs>
        <w:ind w:left="0"/>
        <w:jc w:val="both"/>
        <w:rPr>
          <w:sz w:val="20"/>
          <w:szCs w:val="20"/>
          <w:lang w:val="es-ES"/>
        </w:rPr>
      </w:pPr>
    </w:p>
    <w:p w14:paraId="11960D44" w14:textId="77777777" w:rsidR="00975DEE" w:rsidRPr="00E019A9" w:rsidRDefault="00233D28" w:rsidP="00BB60A6">
      <w:pPr>
        <w:pStyle w:val="ListParagraph"/>
        <w:numPr>
          <w:ilvl w:val="0"/>
          <w:numId w:val="58"/>
        </w:numPr>
        <w:tabs>
          <w:tab w:val="left" w:pos="567"/>
        </w:tabs>
        <w:ind w:left="0" w:firstLine="0"/>
        <w:jc w:val="both"/>
        <w:rPr>
          <w:sz w:val="20"/>
          <w:szCs w:val="20"/>
          <w:lang w:val="es-ES"/>
        </w:rPr>
      </w:pPr>
      <w:r w:rsidRPr="00E019A9">
        <w:rPr>
          <w:sz w:val="20"/>
          <w:szCs w:val="20"/>
          <w:lang w:val="es-ES"/>
        </w:rPr>
        <w:t>Posteriormente, y p</w:t>
      </w:r>
      <w:r w:rsidR="00430B5E" w:rsidRPr="00E019A9">
        <w:rPr>
          <w:sz w:val="20"/>
          <w:szCs w:val="20"/>
          <w:lang w:val="es-ES"/>
        </w:rPr>
        <w:t xml:space="preserve">or medio de resoluciones de fecha 10 de noviembre de 2003, 1º de febrero de 2004 y 27 de febrero de 2006 se sometió a proceso a una serie de ex funcionarios de la DINA acusados del secuestro calificado de las </w:t>
      </w:r>
      <w:r w:rsidR="00C266C8" w:rsidRPr="00E019A9">
        <w:rPr>
          <w:sz w:val="20"/>
          <w:szCs w:val="20"/>
          <w:lang w:val="es-ES"/>
        </w:rPr>
        <w:t>víctimas</w:t>
      </w:r>
      <w:r w:rsidR="00430B5E" w:rsidRPr="00E019A9">
        <w:rPr>
          <w:rStyle w:val="FootnoteReference"/>
          <w:sz w:val="20"/>
          <w:szCs w:val="20"/>
          <w:lang w:val="es-ES"/>
        </w:rPr>
        <w:footnoteReference w:id="95"/>
      </w:r>
      <w:r w:rsidR="00430B5E" w:rsidRPr="00E019A9">
        <w:rPr>
          <w:sz w:val="20"/>
          <w:szCs w:val="20"/>
          <w:lang w:val="es-ES"/>
        </w:rPr>
        <w:t xml:space="preserve">.  </w:t>
      </w:r>
    </w:p>
    <w:p w14:paraId="44879E27" w14:textId="77777777" w:rsidR="00975DEE" w:rsidRPr="00E019A9" w:rsidRDefault="00975DEE" w:rsidP="00AC1CA8">
      <w:pPr>
        <w:pStyle w:val="ListParagraph"/>
        <w:tabs>
          <w:tab w:val="left" w:pos="567"/>
        </w:tabs>
        <w:ind w:left="0"/>
        <w:jc w:val="both"/>
        <w:rPr>
          <w:sz w:val="20"/>
          <w:szCs w:val="20"/>
          <w:lang w:val="es-ES"/>
        </w:rPr>
      </w:pPr>
    </w:p>
    <w:p w14:paraId="21CB1DB4" w14:textId="77777777" w:rsidR="00975DEE" w:rsidRPr="00E019A9" w:rsidRDefault="00430B5E" w:rsidP="00BB60A6">
      <w:pPr>
        <w:pStyle w:val="ListParagraph"/>
        <w:numPr>
          <w:ilvl w:val="0"/>
          <w:numId w:val="58"/>
        </w:numPr>
        <w:tabs>
          <w:tab w:val="left" w:pos="567"/>
        </w:tabs>
        <w:ind w:left="0" w:firstLine="0"/>
        <w:jc w:val="both"/>
        <w:rPr>
          <w:sz w:val="20"/>
          <w:szCs w:val="20"/>
          <w:lang w:val="es-ES"/>
        </w:rPr>
      </w:pPr>
      <w:r w:rsidRPr="00E019A9">
        <w:rPr>
          <w:sz w:val="20"/>
          <w:szCs w:val="20"/>
          <w:lang w:val="es-ES"/>
        </w:rPr>
        <w:t xml:space="preserve">El 4 de diciembre de 2006 el </w:t>
      </w:r>
      <w:r w:rsidR="00A635B6" w:rsidRPr="00E019A9">
        <w:rPr>
          <w:sz w:val="20"/>
          <w:szCs w:val="20"/>
          <w:lang w:val="es-ES"/>
        </w:rPr>
        <w:t>ministro</w:t>
      </w:r>
      <w:r w:rsidRPr="00E019A9">
        <w:rPr>
          <w:sz w:val="20"/>
          <w:szCs w:val="20"/>
          <w:lang w:val="es-ES"/>
        </w:rPr>
        <w:t xml:space="preserve"> en visita Alejandro Solís Muñoz suscribió la sentencia Nro. 2.182 por medio de la cual condenó a</w:t>
      </w:r>
      <w:r w:rsidR="00B01623" w:rsidRPr="00E019A9">
        <w:rPr>
          <w:sz w:val="20"/>
          <w:szCs w:val="20"/>
          <w:lang w:val="es-ES"/>
        </w:rPr>
        <w:t xml:space="preserve">l entonces Director Ejecutivo de la DINA, </w:t>
      </w:r>
      <w:r w:rsidRPr="00E019A9">
        <w:rPr>
          <w:sz w:val="20"/>
          <w:szCs w:val="20"/>
          <w:lang w:val="es-ES"/>
        </w:rPr>
        <w:t xml:space="preserve">Juan Manuel Guillermo Contreras Sepúlveda, </w:t>
      </w:r>
      <w:r w:rsidR="00B01623" w:rsidRPr="00E019A9">
        <w:rPr>
          <w:sz w:val="20"/>
          <w:szCs w:val="20"/>
          <w:lang w:val="es-ES"/>
        </w:rPr>
        <w:t>a</w:t>
      </w:r>
      <w:r w:rsidRPr="00E019A9">
        <w:rPr>
          <w:sz w:val="20"/>
          <w:szCs w:val="20"/>
          <w:lang w:val="es-ES"/>
        </w:rPr>
        <w:t xml:space="preserve"> la pena de 15 años de presidio mayor en su grado medio por resultar responsable en calidad de autor del delito de secuestro calificado en perjuicio de la Sra. Díaz Darricarrere y el Sr. Montti Cordero. Los ex agentes de la DINA Marcelo Luis Manuel Moren Brito y Rolf Gonzalo Wenderoth Pozo fueron condenados a la pena de 10 años y 1 día de presidio mayor en su grado medio por su participación como autores del delito de secuestro calificado en perjuicio de ambas </w:t>
      </w:r>
      <w:r w:rsidR="00C266C8" w:rsidRPr="00E019A9">
        <w:rPr>
          <w:sz w:val="20"/>
          <w:szCs w:val="20"/>
          <w:lang w:val="es-ES"/>
        </w:rPr>
        <w:t>víctimas</w:t>
      </w:r>
      <w:r w:rsidRPr="00E019A9">
        <w:rPr>
          <w:sz w:val="20"/>
          <w:szCs w:val="20"/>
          <w:lang w:val="es-ES"/>
        </w:rPr>
        <w:t xml:space="preserve">, en tanto que Osvaldo Enrique Romo Mena fue condenado a 5 años y 1 día de presidio mayor en su grado mínimo por el secuestro calificado que tuvo como </w:t>
      </w:r>
      <w:r w:rsidR="00C266C8" w:rsidRPr="00E019A9">
        <w:rPr>
          <w:sz w:val="20"/>
          <w:szCs w:val="20"/>
          <w:lang w:val="es-ES"/>
        </w:rPr>
        <w:t>víctima</w:t>
      </w:r>
      <w:r w:rsidRPr="00E019A9">
        <w:rPr>
          <w:sz w:val="20"/>
          <w:szCs w:val="20"/>
          <w:lang w:val="es-ES"/>
        </w:rPr>
        <w:t xml:space="preserve"> al Sr. Montti Cordero. Finalmente, los ex agentes de la DINA Miguel Krassnoff Martchenko y Basclay Humberto Zapata Reyes fueron condenados a 5 años y 1 día de presidio mayor en su grado mínimo por ser cómplices del </w:t>
      </w:r>
      <w:r w:rsidRPr="00E019A9">
        <w:rPr>
          <w:sz w:val="20"/>
          <w:szCs w:val="20"/>
          <w:lang w:val="es-ES"/>
        </w:rPr>
        <w:lastRenderedPageBreak/>
        <w:t xml:space="preserve">delito de secuestro calificado de ambas </w:t>
      </w:r>
      <w:r w:rsidR="00C266C8" w:rsidRPr="00E019A9">
        <w:rPr>
          <w:sz w:val="20"/>
          <w:szCs w:val="20"/>
          <w:lang w:val="es-ES"/>
        </w:rPr>
        <w:t>víctimas</w:t>
      </w:r>
      <w:r w:rsidRPr="00E019A9">
        <w:rPr>
          <w:sz w:val="20"/>
          <w:szCs w:val="20"/>
          <w:lang w:val="es-ES"/>
        </w:rPr>
        <w:t xml:space="preserve"> y los acusados Fernando Eduardo Laureani Maturana y Gerardo Ernesto Godoy García resultaron absueltos.</w:t>
      </w:r>
      <w:r w:rsidRPr="00E019A9">
        <w:rPr>
          <w:rStyle w:val="FootnoteReference"/>
          <w:sz w:val="20"/>
          <w:szCs w:val="20"/>
          <w:lang w:val="es-ES"/>
        </w:rPr>
        <w:footnoteReference w:id="96"/>
      </w:r>
    </w:p>
    <w:p w14:paraId="083F4C93" w14:textId="77777777" w:rsidR="00975DEE" w:rsidRPr="00E019A9" w:rsidRDefault="00975DEE" w:rsidP="00AC1CA8">
      <w:pPr>
        <w:pStyle w:val="ListParagraph"/>
        <w:tabs>
          <w:tab w:val="left" w:pos="567"/>
        </w:tabs>
        <w:ind w:left="0"/>
        <w:jc w:val="both"/>
        <w:rPr>
          <w:sz w:val="20"/>
          <w:szCs w:val="20"/>
          <w:lang w:val="es-ES"/>
        </w:rPr>
      </w:pPr>
    </w:p>
    <w:p w14:paraId="7F695022" w14:textId="77777777" w:rsidR="00975DEE" w:rsidRPr="00E019A9" w:rsidRDefault="004965DA" w:rsidP="00BB60A6">
      <w:pPr>
        <w:pStyle w:val="ListParagraph"/>
        <w:numPr>
          <w:ilvl w:val="0"/>
          <w:numId w:val="58"/>
        </w:numPr>
        <w:tabs>
          <w:tab w:val="left" w:pos="567"/>
        </w:tabs>
        <w:ind w:left="0" w:firstLine="0"/>
        <w:jc w:val="both"/>
        <w:rPr>
          <w:sz w:val="20"/>
          <w:szCs w:val="20"/>
          <w:lang w:val="es-ES"/>
        </w:rPr>
      </w:pPr>
      <w:r w:rsidRPr="00E019A9">
        <w:rPr>
          <w:sz w:val="20"/>
          <w:szCs w:val="20"/>
          <w:lang w:val="es-ES"/>
        </w:rPr>
        <w:t xml:space="preserve">En ocasión de intervenir ante los recursos de apelación interpuestos por las defensas de los sentenciados, la Cuarta Sala de la Corte de Apelaciones de Santiago, en su resolución de fecha 21 de enero de 2008, tuvo por probados los hechos expuestos en la sentencia de primera instancia y confirmó las condenas impuestas en dicha oportunidad con excepción de la situación del condenado Osvaldo Enrique Romo Mena, a quién se le dictó su sobreseimiento definitivo a causa de su fallecimiento </w:t>
      </w:r>
      <w:r w:rsidRPr="00E019A9">
        <w:rPr>
          <w:rStyle w:val="FootnoteReference"/>
          <w:sz w:val="20"/>
          <w:szCs w:val="20"/>
          <w:lang w:val="es-ES"/>
        </w:rPr>
        <w:footnoteReference w:id="97"/>
      </w:r>
      <w:r w:rsidRPr="00E019A9">
        <w:rPr>
          <w:sz w:val="20"/>
          <w:szCs w:val="20"/>
          <w:lang w:val="es-ES"/>
        </w:rPr>
        <w:t xml:space="preserve">. </w:t>
      </w:r>
    </w:p>
    <w:p w14:paraId="0634130E" w14:textId="77777777" w:rsidR="00975DEE" w:rsidRPr="00E019A9" w:rsidRDefault="00975DEE" w:rsidP="00AC1CA8">
      <w:pPr>
        <w:pStyle w:val="ListParagraph"/>
        <w:tabs>
          <w:tab w:val="left" w:pos="567"/>
        </w:tabs>
        <w:ind w:left="0"/>
        <w:jc w:val="both"/>
        <w:rPr>
          <w:sz w:val="20"/>
          <w:szCs w:val="20"/>
          <w:lang w:val="es-ES"/>
        </w:rPr>
      </w:pPr>
    </w:p>
    <w:p w14:paraId="16CBA661" w14:textId="77777777" w:rsidR="00975DEE" w:rsidRPr="00E019A9" w:rsidRDefault="004965DA" w:rsidP="00BB60A6">
      <w:pPr>
        <w:pStyle w:val="ListParagraph"/>
        <w:numPr>
          <w:ilvl w:val="0"/>
          <w:numId w:val="58"/>
        </w:numPr>
        <w:tabs>
          <w:tab w:val="left" w:pos="567"/>
        </w:tabs>
        <w:ind w:left="0" w:firstLine="0"/>
        <w:jc w:val="both"/>
        <w:rPr>
          <w:sz w:val="20"/>
          <w:szCs w:val="20"/>
          <w:lang w:val="es-ES"/>
        </w:rPr>
      </w:pPr>
      <w:r w:rsidRPr="00E019A9">
        <w:rPr>
          <w:sz w:val="20"/>
          <w:szCs w:val="20"/>
          <w:lang w:val="es-ES"/>
        </w:rPr>
        <w:t xml:space="preserve">Finalmente, el 24 de diciembre de 2008 la Corte Suprema de Justicia, en ocasión de conocer los recursos de casación interpuestos por algunos de los condenados, </w:t>
      </w:r>
      <w:r w:rsidR="00950675" w:rsidRPr="00E019A9">
        <w:rPr>
          <w:sz w:val="20"/>
          <w:szCs w:val="20"/>
          <w:lang w:val="es-ES"/>
        </w:rPr>
        <w:t xml:space="preserve">decidió invalidar de oficio las sentencias recurridas </w:t>
      </w:r>
      <w:r w:rsidR="004174F3" w:rsidRPr="00E019A9">
        <w:rPr>
          <w:sz w:val="20"/>
          <w:szCs w:val="20"/>
          <w:lang w:val="es-ES"/>
        </w:rPr>
        <w:t>y dictar</w:t>
      </w:r>
      <w:r w:rsidR="00950675" w:rsidRPr="00E019A9">
        <w:rPr>
          <w:sz w:val="20"/>
          <w:szCs w:val="20"/>
          <w:lang w:val="es-ES"/>
        </w:rPr>
        <w:t xml:space="preserve"> una sentencia de reemplazo. Para decidir de esta manera, la Corte Suprema argumentó que las sentencias de primer y segundo grado no emitieron un pronunciamiento directo respecto de la pretensión de algunos de los condenados de que se aplique la figura de la prescripción gradual o media prescripción consagrada en el </w:t>
      </w:r>
      <w:r w:rsidR="00C266C8" w:rsidRPr="00E019A9">
        <w:rPr>
          <w:sz w:val="20"/>
          <w:szCs w:val="20"/>
          <w:lang w:val="es-ES"/>
        </w:rPr>
        <w:t>artículo</w:t>
      </w:r>
      <w:r w:rsidR="00950675" w:rsidRPr="00E019A9">
        <w:rPr>
          <w:sz w:val="20"/>
          <w:szCs w:val="20"/>
          <w:lang w:val="es-ES"/>
        </w:rPr>
        <w:t xml:space="preserve"> 103 del Código Penal. Esta omisión, concluy</w:t>
      </w:r>
      <w:r w:rsidR="00904FE2" w:rsidRPr="00E019A9">
        <w:rPr>
          <w:sz w:val="20"/>
          <w:szCs w:val="20"/>
          <w:lang w:val="es-ES"/>
        </w:rPr>
        <w:t>ó</w:t>
      </w:r>
      <w:r w:rsidR="00950675" w:rsidRPr="00E019A9">
        <w:rPr>
          <w:sz w:val="20"/>
          <w:szCs w:val="20"/>
          <w:lang w:val="es-ES"/>
        </w:rPr>
        <w:t xml:space="preserve"> el tribunal, constituy</w:t>
      </w:r>
      <w:r w:rsidR="006C78AC" w:rsidRPr="00E019A9">
        <w:rPr>
          <w:sz w:val="20"/>
          <w:szCs w:val="20"/>
          <w:lang w:val="es-ES"/>
        </w:rPr>
        <w:t>ó</w:t>
      </w:r>
      <w:r w:rsidR="00950675" w:rsidRPr="00E019A9">
        <w:rPr>
          <w:sz w:val="20"/>
          <w:szCs w:val="20"/>
          <w:lang w:val="es-ES"/>
        </w:rPr>
        <w:t xml:space="preserve"> una deficiencia que no puede subsanarse sino con la anulación del fallo conforme lo dispuesto por el articulo 541 numeral 9 del Código de Procedimientos Penales</w:t>
      </w:r>
      <w:r w:rsidR="00950675" w:rsidRPr="00E019A9">
        <w:rPr>
          <w:rStyle w:val="FootnoteReference"/>
          <w:sz w:val="20"/>
          <w:szCs w:val="20"/>
          <w:lang w:val="es-ES"/>
        </w:rPr>
        <w:footnoteReference w:id="98"/>
      </w:r>
      <w:r w:rsidR="00950675" w:rsidRPr="00E019A9">
        <w:rPr>
          <w:sz w:val="20"/>
          <w:szCs w:val="20"/>
          <w:lang w:val="es-ES"/>
        </w:rPr>
        <w:t xml:space="preserve">. </w:t>
      </w:r>
    </w:p>
    <w:p w14:paraId="1DBA83C0" w14:textId="77777777" w:rsidR="00975DEE" w:rsidRPr="00E019A9" w:rsidRDefault="00975DEE" w:rsidP="00AC1CA8">
      <w:pPr>
        <w:pStyle w:val="ListParagraph"/>
        <w:tabs>
          <w:tab w:val="left" w:pos="567"/>
        </w:tabs>
        <w:ind w:left="0"/>
        <w:jc w:val="both"/>
        <w:rPr>
          <w:sz w:val="20"/>
          <w:szCs w:val="20"/>
          <w:lang w:val="es-ES"/>
        </w:rPr>
      </w:pPr>
    </w:p>
    <w:p w14:paraId="175D0C2F" w14:textId="77777777" w:rsidR="00975DEE" w:rsidRPr="00E019A9" w:rsidRDefault="00950675" w:rsidP="00BB60A6">
      <w:pPr>
        <w:pStyle w:val="ListParagraph"/>
        <w:numPr>
          <w:ilvl w:val="0"/>
          <w:numId w:val="58"/>
        </w:numPr>
        <w:tabs>
          <w:tab w:val="left" w:pos="567"/>
        </w:tabs>
        <w:ind w:left="0" w:firstLine="0"/>
        <w:jc w:val="both"/>
        <w:rPr>
          <w:sz w:val="20"/>
          <w:szCs w:val="20"/>
          <w:lang w:val="es-ES"/>
        </w:rPr>
      </w:pPr>
      <w:r w:rsidRPr="00E019A9">
        <w:rPr>
          <w:sz w:val="20"/>
          <w:szCs w:val="20"/>
          <w:lang w:val="es-ES"/>
        </w:rPr>
        <w:t>En su sentencia de reemplazo,</w:t>
      </w:r>
      <w:r w:rsidR="006C78AC" w:rsidRPr="00E019A9">
        <w:rPr>
          <w:sz w:val="20"/>
          <w:szCs w:val="20"/>
          <w:lang w:val="es-ES"/>
        </w:rPr>
        <w:t xml:space="preserve"> en primer </w:t>
      </w:r>
      <w:r w:rsidR="004174F3" w:rsidRPr="00E019A9">
        <w:rPr>
          <w:sz w:val="20"/>
          <w:szCs w:val="20"/>
          <w:lang w:val="es-ES"/>
        </w:rPr>
        <w:t>lugar,</w:t>
      </w:r>
      <w:r w:rsidRPr="00E019A9">
        <w:rPr>
          <w:sz w:val="20"/>
          <w:szCs w:val="20"/>
          <w:lang w:val="es-ES"/>
        </w:rPr>
        <w:t xml:space="preserve"> la Corte Suprema de Justicia </w:t>
      </w:r>
      <w:r w:rsidR="006C78AC" w:rsidRPr="00E019A9">
        <w:rPr>
          <w:sz w:val="20"/>
          <w:szCs w:val="20"/>
          <w:lang w:val="es-ES"/>
        </w:rPr>
        <w:t xml:space="preserve">mantuvo incólume la plataforma fáctica de los hechos tal como fueron considerados por los tribunales inferiores. Acto seguido, la sentencia aclara que la imposibilidad de aplicar la institución de la prescripción de la acción penal en este caso no alcanza a la figura de la media prescripción o prescripción gradual ya que ella es un motivo de atenuación de la pena y no una causal de extinción de la responsabilidad criminal. </w:t>
      </w:r>
      <w:r w:rsidR="00FD3EE5" w:rsidRPr="00E019A9">
        <w:rPr>
          <w:sz w:val="20"/>
          <w:szCs w:val="20"/>
          <w:lang w:val="es-ES"/>
        </w:rPr>
        <w:t>Asimismo, la Corte Suprema sostuvo que la prescripción gradual constituye una atenuante muy calificada cuyas consecuencias inciden solo en el rigor del castigo y que encuentra su razón de ser “en lo insensato que resulta una pena muy alta para hechos ocurridos largo tiempo atrás”</w:t>
      </w:r>
      <w:r w:rsidR="008E0155" w:rsidRPr="00E019A9">
        <w:rPr>
          <w:rStyle w:val="FootnoteReference"/>
          <w:sz w:val="20"/>
          <w:szCs w:val="20"/>
          <w:lang w:val="es-ES"/>
        </w:rPr>
        <w:t xml:space="preserve"> </w:t>
      </w:r>
      <w:r w:rsidR="008E0155" w:rsidRPr="00E019A9">
        <w:rPr>
          <w:rStyle w:val="FootnoteReference"/>
          <w:sz w:val="20"/>
          <w:szCs w:val="20"/>
          <w:lang w:val="es-ES"/>
        </w:rPr>
        <w:footnoteReference w:id="99"/>
      </w:r>
      <w:r w:rsidR="00FD3EE5" w:rsidRPr="00E019A9">
        <w:rPr>
          <w:sz w:val="20"/>
          <w:szCs w:val="20"/>
          <w:lang w:val="es-ES"/>
        </w:rPr>
        <w:t xml:space="preserve">. </w:t>
      </w:r>
    </w:p>
    <w:p w14:paraId="67A919B9" w14:textId="77777777" w:rsidR="00975DEE" w:rsidRPr="00E019A9" w:rsidRDefault="00975DEE" w:rsidP="00AC1CA8">
      <w:pPr>
        <w:pStyle w:val="ListParagraph"/>
        <w:tabs>
          <w:tab w:val="left" w:pos="567"/>
        </w:tabs>
        <w:ind w:left="0"/>
        <w:jc w:val="both"/>
        <w:rPr>
          <w:sz w:val="20"/>
          <w:szCs w:val="20"/>
          <w:lang w:val="es-ES"/>
        </w:rPr>
      </w:pPr>
    </w:p>
    <w:p w14:paraId="5D4CC651" w14:textId="77777777" w:rsidR="00975DEE" w:rsidRPr="00E019A9" w:rsidRDefault="00BF5DF0" w:rsidP="00BB60A6">
      <w:pPr>
        <w:pStyle w:val="ListParagraph"/>
        <w:numPr>
          <w:ilvl w:val="0"/>
          <w:numId w:val="58"/>
        </w:numPr>
        <w:tabs>
          <w:tab w:val="left" w:pos="567"/>
        </w:tabs>
        <w:ind w:left="0" w:firstLine="0"/>
        <w:jc w:val="both"/>
        <w:rPr>
          <w:sz w:val="20"/>
          <w:szCs w:val="20"/>
          <w:lang w:val="es-ES"/>
        </w:rPr>
      </w:pPr>
      <w:r w:rsidRPr="00E019A9">
        <w:rPr>
          <w:sz w:val="20"/>
          <w:szCs w:val="20"/>
          <w:lang w:val="es-ES"/>
        </w:rPr>
        <w:t>Con respecto a los hechos del caso, la Corte Suprema señaló en primer lugar que, conforme los artículos 94 y 95 del Código Penal, la acción penal prescribe a los 10 años de haberse cometido el delito y que el art</w:t>
      </w:r>
      <w:r w:rsidR="00A635B6" w:rsidRPr="00E019A9">
        <w:rPr>
          <w:sz w:val="20"/>
          <w:szCs w:val="20"/>
          <w:lang w:val="es-ES"/>
        </w:rPr>
        <w:t>í</w:t>
      </w:r>
      <w:r w:rsidRPr="00E019A9">
        <w:rPr>
          <w:sz w:val="20"/>
          <w:szCs w:val="20"/>
          <w:lang w:val="es-ES"/>
        </w:rPr>
        <w:t xml:space="preserve">culo 103 del mismo texto </w:t>
      </w:r>
      <w:r w:rsidR="004174F3" w:rsidRPr="00E019A9">
        <w:rPr>
          <w:sz w:val="20"/>
          <w:szCs w:val="20"/>
          <w:lang w:val="es-ES"/>
        </w:rPr>
        <w:t>requiere, para</w:t>
      </w:r>
      <w:r w:rsidRPr="00E019A9">
        <w:rPr>
          <w:sz w:val="20"/>
          <w:szCs w:val="20"/>
          <w:lang w:val="es-ES"/>
        </w:rPr>
        <w:t xml:space="preserve"> que la figura de la </w:t>
      </w:r>
      <w:r w:rsidR="001E4B7D" w:rsidRPr="00E019A9">
        <w:rPr>
          <w:sz w:val="20"/>
          <w:szCs w:val="20"/>
          <w:lang w:val="es-ES"/>
        </w:rPr>
        <w:t>prescripción</w:t>
      </w:r>
      <w:r w:rsidRPr="00E019A9">
        <w:rPr>
          <w:sz w:val="20"/>
          <w:szCs w:val="20"/>
          <w:lang w:val="es-ES"/>
        </w:rPr>
        <w:t xml:space="preserve"> gradual sea aplicable, que haya transcurrido la mitad del plazo de la prescripción, es decir, </w:t>
      </w:r>
      <w:r w:rsidR="001E4B7D" w:rsidRPr="00E019A9">
        <w:rPr>
          <w:sz w:val="20"/>
          <w:szCs w:val="20"/>
          <w:lang w:val="es-ES"/>
        </w:rPr>
        <w:t xml:space="preserve">5 años. </w:t>
      </w:r>
      <w:r w:rsidRPr="00E019A9">
        <w:rPr>
          <w:sz w:val="20"/>
          <w:szCs w:val="20"/>
          <w:lang w:val="es-ES"/>
        </w:rPr>
        <w:t xml:space="preserve">  </w:t>
      </w:r>
    </w:p>
    <w:p w14:paraId="6560F1C8" w14:textId="77777777" w:rsidR="00975DEE" w:rsidRPr="00E019A9" w:rsidRDefault="00975DEE" w:rsidP="00AC1CA8">
      <w:pPr>
        <w:pStyle w:val="ListParagraph"/>
        <w:tabs>
          <w:tab w:val="left" w:pos="567"/>
        </w:tabs>
        <w:ind w:left="0"/>
        <w:jc w:val="both"/>
        <w:rPr>
          <w:sz w:val="20"/>
          <w:szCs w:val="20"/>
          <w:lang w:val="es-ES"/>
        </w:rPr>
      </w:pPr>
    </w:p>
    <w:p w14:paraId="5328761F" w14:textId="77777777" w:rsidR="00975DEE" w:rsidRPr="00E019A9" w:rsidRDefault="001E4B7D" w:rsidP="00BB60A6">
      <w:pPr>
        <w:pStyle w:val="ListParagraph"/>
        <w:numPr>
          <w:ilvl w:val="0"/>
          <w:numId w:val="58"/>
        </w:numPr>
        <w:tabs>
          <w:tab w:val="left" w:pos="567"/>
        </w:tabs>
        <w:ind w:left="0" w:firstLine="0"/>
        <w:jc w:val="both"/>
        <w:rPr>
          <w:sz w:val="20"/>
          <w:szCs w:val="20"/>
          <w:lang w:val="es-ES"/>
        </w:rPr>
      </w:pPr>
      <w:r w:rsidRPr="00E019A9">
        <w:rPr>
          <w:sz w:val="20"/>
          <w:szCs w:val="20"/>
          <w:lang w:val="es-ES"/>
        </w:rPr>
        <w:t xml:space="preserve">En esta línea, la Corte Suprema consignó que el procedimiento destinado a investigar el secuestro del Sr. Montti Cordero se paralizó el 2 de septiembre de 1987 a raíz de un auto de sobreseimiento dictado por la Corte Marcial y que </w:t>
      </w:r>
      <w:r w:rsidR="00492E0B" w:rsidRPr="00E019A9">
        <w:rPr>
          <w:sz w:val="20"/>
          <w:szCs w:val="20"/>
          <w:lang w:val="es-ES"/>
        </w:rPr>
        <w:t>fue reanudado</w:t>
      </w:r>
      <w:r w:rsidRPr="00E019A9">
        <w:rPr>
          <w:sz w:val="20"/>
          <w:szCs w:val="20"/>
          <w:lang w:val="es-ES"/>
        </w:rPr>
        <w:t xml:space="preserve"> el 26 de enero de 2001 gracias a la querella interpuesta por </w:t>
      </w:r>
      <w:r w:rsidR="00492E0B" w:rsidRPr="00E019A9">
        <w:rPr>
          <w:sz w:val="20"/>
          <w:szCs w:val="20"/>
          <w:lang w:val="es-ES"/>
        </w:rPr>
        <w:t>la</w:t>
      </w:r>
      <w:r w:rsidRPr="00E019A9">
        <w:rPr>
          <w:sz w:val="20"/>
          <w:szCs w:val="20"/>
          <w:lang w:val="es-ES"/>
        </w:rPr>
        <w:t xml:space="preserve"> hermana</w:t>
      </w:r>
      <w:r w:rsidR="00492E0B" w:rsidRPr="00E019A9">
        <w:rPr>
          <w:sz w:val="20"/>
          <w:szCs w:val="20"/>
          <w:lang w:val="es-ES"/>
        </w:rPr>
        <w:t xml:space="preserve"> de la víctima</w:t>
      </w:r>
      <w:r w:rsidRPr="00E019A9">
        <w:rPr>
          <w:sz w:val="20"/>
          <w:szCs w:val="20"/>
          <w:lang w:val="es-ES"/>
        </w:rPr>
        <w:t xml:space="preserve">. </w:t>
      </w:r>
      <w:r w:rsidR="00492E0B" w:rsidRPr="00E019A9">
        <w:rPr>
          <w:sz w:val="20"/>
          <w:szCs w:val="20"/>
          <w:lang w:val="es-ES"/>
        </w:rPr>
        <w:t>C</w:t>
      </w:r>
      <w:r w:rsidRPr="00E019A9">
        <w:rPr>
          <w:sz w:val="20"/>
          <w:szCs w:val="20"/>
          <w:lang w:val="es-ES"/>
        </w:rPr>
        <w:t>on respecto a los hechos que tuvieron como v</w:t>
      </w:r>
      <w:r w:rsidR="00A635B6" w:rsidRPr="00E019A9">
        <w:rPr>
          <w:sz w:val="20"/>
          <w:szCs w:val="20"/>
          <w:lang w:val="es-ES"/>
        </w:rPr>
        <w:t>í</w:t>
      </w:r>
      <w:r w:rsidRPr="00E019A9">
        <w:rPr>
          <w:sz w:val="20"/>
          <w:szCs w:val="20"/>
          <w:lang w:val="es-ES"/>
        </w:rPr>
        <w:t xml:space="preserve">ctima a la Sra. </w:t>
      </w:r>
      <w:r w:rsidR="006C22C8" w:rsidRPr="00E019A9">
        <w:rPr>
          <w:sz w:val="20"/>
          <w:szCs w:val="20"/>
          <w:lang w:val="es-ES"/>
        </w:rPr>
        <w:t>Díaz</w:t>
      </w:r>
      <w:r w:rsidRPr="00E019A9">
        <w:rPr>
          <w:sz w:val="20"/>
          <w:szCs w:val="20"/>
          <w:lang w:val="es-ES"/>
        </w:rPr>
        <w:t xml:space="preserve"> Darricarrere, la Corte Suprema señalo que el 8 de noviembre de 1985 se dictó sobreseimiento temporal en la causa, reabriéndose el sumario el día 9 de enero de 1997. En ambos casos, concluyó el tribunal, transcurrieron </w:t>
      </w:r>
      <w:r w:rsidR="002A4062" w:rsidRPr="00E019A9">
        <w:rPr>
          <w:sz w:val="20"/>
          <w:szCs w:val="20"/>
          <w:lang w:val="es-ES"/>
        </w:rPr>
        <w:t>más</w:t>
      </w:r>
      <w:r w:rsidRPr="00E019A9">
        <w:rPr>
          <w:sz w:val="20"/>
          <w:szCs w:val="20"/>
          <w:lang w:val="es-ES"/>
        </w:rPr>
        <w:t xml:space="preserve"> de 20 años entre la comisión de los hechos delictivos y la reanudación del proceso que culminó con la condena de los </w:t>
      </w:r>
      <w:r w:rsidR="00492E0B" w:rsidRPr="00E019A9">
        <w:rPr>
          <w:sz w:val="20"/>
          <w:szCs w:val="20"/>
          <w:lang w:val="es-ES"/>
        </w:rPr>
        <w:t xml:space="preserve">acusados, por lo que </w:t>
      </w:r>
      <w:r w:rsidR="008E0155" w:rsidRPr="00E019A9">
        <w:rPr>
          <w:sz w:val="20"/>
          <w:szCs w:val="20"/>
          <w:lang w:val="es-ES"/>
        </w:rPr>
        <w:t>correspondía</w:t>
      </w:r>
      <w:r w:rsidR="00492E0B" w:rsidRPr="00E019A9">
        <w:rPr>
          <w:sz w:val="20"/>
          <w:szCs w:val="20"/>
          <w:lang w:val="es-ES"/>
        </w:rPr>
        <w:t xml:space="preserve"> para todos los acusados la aplicación de la figura de la prescripción gradual</w:t>
      </w:r>
      <w:r w:rsidR="008E0155" w:rsidRPr="00E019A9">
        <w:rPr>
          <w:rStyle w:val="FootnoteReference"/>
          <w:sz w:val="20"/>
          <w:szCs w:val="20"/>
          <w:lang w:val="es-ES"/>
        </w:rPr>
        <w:footnoteReference w:id="100"/>
      </w:r>
      <w:r w:rsidR="00492E0B" w:rsidRPr="00E019A9">
        <w:rPr>
          <w:sz w:val="20"/>
          <w:szCs w:val="20"/>
          <w:lang w:val="es-ES"/>
        </w:rPr>
        <w:t xml:space="preserve">. </w:t>
      </w:r>
    </w:p>
    <w:p w14:paraId="524875C0" w14:textId="77777777" w:rsidR="00975DEE" w:rsidRPr="00E019A9" w:rsidRDefault="00975DEE" w:rsidP="00AC1CA8">
      <w:pPr>
        <w:pStyle w:val="ListParagraph"/>
        <w:tabs>
          <w:tab w:val="left" w:pos="567"/>
        </w:tabs>
        <w:ind w:left="0"/>
        <w:jc w:val="both"/>
        <w:rPr>
          <w:sz w:val="20"/>
          <w:szCs w:val="20"/>
          <w:lang w:val="es-ES"/>
        </w:rPr>
      </w:pPr>
    </w:p>
    <w:p w14:paraId="40DA3592" w14:textId="77777777" w:rsidR="00DD7F36" w:rsidRPr="00E019A9" w:rsidRDefault="00492E0B" w:rsidP="00BB60A6">
      <w:pPr>
        <w:pStyle w:val="ListParagraph"/>
        <w:numPr>
          <w:ilvl w:val="0"/>
          <w:numId w:val="58"/>
        </w:numPr>
        <w:tabs>
          <w:tab w:val="left" w:pos="567"/>
        </w:tabs>
        <w:ind w:left="0" w:firstLine="0"/>
        <w:jc w:val="both"/>
        <w:rPr>
          <w:sz w:val="20"/>
          <w:szCs w:val="20"/>
          <w:lang w:val="es-ES"/>
        </w:rPr>
      </w:pPr>
      <w:r w:rsidRPr="00E019A9">
        <w:rPr>
          <w:sz w:val="20"/>
          <w:szCs w:val="20"/>
          <w:lang w:val="es-ES"/>
        </w:rPr>
        <w:t xml:space="preserve">En consecuencia, la Corte Suprema </w:t>
      </w:r>
      <w:r w:rsidR="00DD7F36" w:rsidRPr="00E019A9">
        <w:rPr>
          <w:sz w:val="20"/>
          <w:szCs w:val="20"/>
          <w:lang w:val="es-ES"/>
        </w:rPr>
        <w:t xml:space="preserve">decidió condenar a Juan Manuel Guillermo Contreras Sepúlveda a la pena de siete años de presidio mayor en su grado mínimo y a Marcelo Luis Manuel Moren Brito y Rolf Gonzalo Wenderoth Pozo a la pena de 4 años de presidio menor en su grado máximo por su responsabilidad en calidad de autores en los secuestros calificados de la Sra. Díaz Darricarrere y del Sr. Montti Cordero. En segundo </w:t>
      </w:r>
      <w:r w:rsidR="00C266C8" w:rsidRPr="00E019A9">
        <w:rPr>
          <w:sz w:val="20"/>
          <w:szCs w:val="20"/>
          <w:lang w:val="es-ES"/>
        </w:rPr>
        <w:t>término</w:t>
      </w:r>
      <w:r w:rsidR="00DD7F36" w:rsidRPr="00E019A9">
        <w:rPr>
          <w:sz w:val="20"/>
          <w:szCs w:val="20"/>
          <w:lang w:val="es-ES"/>
        </w:rPr>
        <w:t xml:space="preserve">, los acusados Miguel Krassnoff Martchenko y Basclay Humberto Zapata Reyes fueron condenados a la </w:t>
      </w:r>
      <w:r w:rsidR="00DD7F36" w:rsidRPr="00E019A9">
        <w:rPr>
          <w:sz w:val="20"/>
          <w:szCs w:val="20"/>
          <w:lang w:val="es-ES"/>
        </w:rPr>
        <w:lastRenderedPageBreak/>
        <w:t xml:space="preserve">pena de 540 </w:t>
      </w:r>
      <w:r w:rsidR="008E0155" w:rsidRPr="00E019A9">
        <w:rPr>
          <w:sz w:val="20"/>
          <w:szCs w:val="20"/>
          <w:lang w:val="es-ES"/>
        </w:rPr>
        <w:t>días</w:t>
      </w:r>
      <w:r w:rsidR="00DD7F36" w:rsidRPr="00E019A9">
        <w:rPr>
          <w:sz w:val="20"/>
          <w:szCs w:val="20"/>
          <w:lang w:val="es-ES"/>
        </w:rPr>
        <w:t xml:space="preserve"> de presidio menor </w:t>
      </w:r>
      <w:r w:rsidR="008E0155" w:rsidRPr="00E019A9">
        <w:rPr>
          <w:sz w:val="20"/>
          <w:szCs w:val="20"/>
          <w:lang w:val="es-ES"/>
        </w:rPr>
        <w:t>mínimo</w:t>
      </w:r>
      <w:r w:rsidR="00DD7F36" w:rsidRPr="00E019A9">
        <w:rPr>
          <w:sz w:val="20"/>
          <w:szCs w:val="20"/>
          <w:lang w:val="es-ES"/>
        </w:rPr>
        <w:t xml:space="preserve"> </w:t>
      </w:r>
      <w:r w:rsidR="008E0155" w:rsidRPr="00E019A9">
        <w:rPr>
          <w:sz w:val="20"/>
          <w:szCs w:val="20"/>
          <w:lang w:val="es-ES"/>
        </w:rPr>
        <w:t>por su participación en calidad de cómplices de ambos secuestros calificados. Estos últimos condenados fueron beneficiados con la medida alternativa de remisión condicional de la pena contemplada en la ley 18.216</w:t>
      </w:r>
      <w:r w:rsidR="008E0155" w:rsidRPr="00E019A9">
        <w:rPr>
          <w:rStyle w:val="FootnoteReference"/>
          <w:sz w:val="20"/>
          <w:szCs w:val="20"/>
          <w:lang w:val="es-ES"/>
        </w:rPr>
        <w:footnoteReference w:id="101"/>
      </w:r>
      <w:r w:rsidR="008E0155" w:rsidRPr="00E019A9">
        <w:rPr>
          <w:sz w:val="20"/>
          <w:szCs w:val="20"/>
          <w:lang w:val="es-ES"/>
        </w:rPr>
        <w:t xml:space="preserve">. </w:t>
      </w:r>
    </w:p>
    <w:p w14:paraId="0E45EE52" w14:textId="77777777" w:rsidR="006778CC" w:rsidRPr="00E019A9" w:rsidRDefault="006778CC" w:rsidP="00A46D85">
      <w:pPr>
        <w:rPr>
          <w:rFonts w:ascii="Cambria" w:hAnsi="Cambria"/>
          <w:b/>
          <w:sz w:val="20"/>
          <w:szCs w:val="20"/>
          <w:lang w:val="es-ES_tradnl" w:eastAsia="es-ES"/>
        </w:rPr>
      </w:pPr>
    </w:p>
    <w:p w14:paraId="2BD46FD2" w14:textId="77777777" w:rsidR="006C1B06" w:rsidRPr="00E019A9" w:rsidRDefault="005D4A6D" w:rsidP="00BB60A6">
      <w:pPr>
        <w:pStyle w:val="Heading3"/>
        <w:numPr>
          <w:ilvl w:val="1"/>
          <w:numId w:val="59"/>
        </w:numPr>
        <w:tabs>
          <w:tab w:val="left" w:pos="567"/>
          <w:tab w:val="left" w:pos="1134"/>
        </w:tabs>
        <w:ind w:left="567" w:firstLine="0"/>
        <w:jc w:val="both"/>
      </w:pPr>
      <w:r w:rsidRPr="00E019A9">
        <w:t xml:space="preserve">Respecto de la petición presentada en representación de Luciano Aedo Hidalgo y sus familiares y </w:t>
      </w:r>
      <w:r w:rsidR="00975A6D" w:rsidRPr="00E019A9">
        <w:t>registrada</w:t>
      </w:r>
      <w:r w:rsidRPr="00E019A9">
        <w:t xml:space="preserve"> inicialmente por la </w:t>
      </w:r>
      <w:r w:rsidR="00975A6D" w:rsidRPr="00E019A9">
        <w:t>Comisión</w:t>
      </w:r>
      <w:r w:rsidRPr="00E019A9">
        <w:t xml:space="preserve"> bajo el numero P-102-08. </w:t>
      </w:r>
    </w:p>
    <w:p w14:paraId="0FD28F54" w14:textId="77777777" w:rsidR="00233D28" w:rsidRPr="00E019A9" w:rsidRDefault="00233D28" w:rsidP="00233D28">
      <w:pPr>
        <w:rPr>
          <w:rFonts w:ascii="Cambria" w:hAnsi="Cambria"/>
          <w:sz w:val="20"/>
          <w:szCs w:val="20"/>
          <w:lang w:val="es-ES_tradnl" w:eastAsia="es-ES"/>
        </w:rPr>
      </w:pPr>
    </w:p>
    <w:p w14:paraId="1BD13A4C" w14:textId="77777777" w:rsidR="00A843D3" w:rsidRPr="00E019A9" w:rsidRDefault="00233D28"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 xml:space="preserve">De acuerdo con la información en poder de la </w:t>
      </w:r>
      <w:r w:rsidR="00584C38" w:rsidRPr="00E019A9">
        <w:rPr>
          <w:sz w:val="20"/>
          <w:szCs w:val="20"/>
          <w:lang w:val="es-ES_tradnl"/>
        </w:rPr>
        <w:t>Comisión</w:t>
      </w:r>
      <w:r w:rsidRPr="00E019A9">
        <w:rPr>
          <w:sz w:val="20"/>
          <w:szCs w:val="20"/>
          <w:lang w:val="es-ES_tradnl"/>
        </w:rPr>
        <w:t xml:space="preserve">, </w:t>
      </w:r>
      <w:r w:rsidR="00A843D3" w:rsidRPr="00E019A9">
        <w:rPr>
          <w:sz w:val="20"/>
          <w:szCs w:val="20"/>
          <w:lang w:val="es-ES_tradnl"/>
        </w:rPr>
        <w:t xml:space="preserve">el Sr. Luciano Aedo Hidalgo fue detenido en su domicilio en horas de la madrugada del 11 de octubre de 1973 por una patrulla perteneciente a la Tenencia de Cunco del cuerpo de Carabineros de Chile y </w:t>
      </w:r>
      <w:r w:rsidR="00A43299" w:rsidRPr="00E019A9">
        <w:rPr>
          <w:sz w:val="20"/>
          <w:szCs w:val="20"/>
          <w:lang w:val="es-ES_tradnl"/>
        </w:rPr>
        <w:t xml:space="preserve">fue </w:t>
      </w:r>
      <w:r w:rsidR="00A843D3" w:rsidRPr="00E019A9">
        <w:rPr>
          <w:sz w:val="20"/>
          <w:szCs w:val="20"/>
          <w:lang w:val="es-ES_tradnl"/>
        </w:rPr>
        <w:t>trasladado en un furgón policial con rumbo indeterminado, desconociéndose a la fecha su paradero</w:t>
      </w:r>
      <w:r w:rsidR="00A843D3" w:rsidRPr="00E019A9">
        <w:rPr>
          <w:rStyle w:val="FootnoteReference"/>
          <w:sz w:val="20"/>
          <w:szCs w:val="20"/>
          <w:lang w:val="es-ES_tradnl"/>
        </w:rPr>
        <w:footnoteReference w:id="102"/>
      </w:r>
      <w:r w:rsidR="00A843D3" w:rsidRPr="00E019A9">
        <w:rPr>
          <w:sz w:val="20"/>
          <w:szCs w:val="20"/>
          <w:lang w:val="es-ES_tradnl"/>
        </w:rPr>
        <w:t>.</w:t>
      </w:r>
    </w:p>
    <w:p w14:paraId="44B6329A" w14:textId="77777777" w:rsidR="00A843D3" w:rsidRPr="00E019A9" w:rsidRDefault="00A843D3" w:rsidP="00A843D3">
      <w:pPr>
        <w:pStyle w:val="ListParagraph"/>
        <w:tabs>
          <w:tab w:val="left" w:pos="567"/>
        </w:tabs>
        <w:ind w:left="0"/>
        <w:jc w:val="both"/>
        <w:rPr>
          <w:sz w:val="20"/>
          <w:szCs w:val="20"/>
          <w:lang w:val="es-ES_tradnl"/>
        </w:rPr>
      </w:pPr>
    </w:p>
    <w:p w14:paraId="1CC0123E" w14:textId="77777777" w:rsidR="00A843D3" w:rsidRPr="00E019A9" w:rsidRDefault="00D06F3E"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 xml:space="preserve">El 30 de junio de 2008 el </w:t>
      </w:r>
      <w:r w:rsidR="00CD1B3A" w:rsidRPr="00E019A9">
        <w:rPr>
          <w:sz w:val="20"/>
          <w:szCs w:val="20"/>
          <w:lang w:val="es-ES_tradnl"/>
        </w:rPr>
        <w:t xml:space="preserve">Primer Juzgado del Crimen de Temuco </w:t>
      </w:r>
      <w:r w:rsidRPr="00E019A9">
        <w:rPr>
          <w:sz w:val="20"/>
          <w:szCs w:val="20"/>
          <w:lang w:val="es-ES_tradnl"/>
        </w:rPr>
        <w:t xml:space="preserve">dictó sentencia condenando al ex miembro del Cuerpo de Carabineros de Chile Gamaliel Soto Segura a la pena de </w:t>
      </w:r>
      <w:r w:rsidR="00CD1B3A" w:rsidRPr="00E019A9">
        <w:rPr>
          <w:sz w:val="20"/>
          <w:szCs w:val="20"/>
          <w:lang w:val="es-ES_tradnl"/>
        </w:rPr>
        <w:t>siete años de presidio mayor en su grado mínimo</w:t>
      </w:r>
      <w:r w:rsidRPr="00E019A9">
        <w:rPr>
          <w:sz w:val="20"/>
          <w:szCs w:val="20"/>
          <w:lang w:val="es-ES_tradnl"/>
        </w:rPr>
        <w:t xml:space="preserve"> por considerarlo autor del delito de secuestro calificado en perjuicio del Sr. Aedo Hidalgo</w:t>
      </w:r>
      <w:r w:rsidR="00CD1B3A" w:rsidRPr="00E019A9">
        <w:rPr>
          <w:sz w:val="20"/>
          <w:szCs w:val="20"/>
          <w:lang w:val="es-ES_tradnl"/>
        </w:rPr>
        <w:t xml:space="preserve"> y accesorias</w:t>
      </w:r>
      <w:r w:rsidRPr="00E019A9">
        <w:rPr>
          <w:sz w:val="20"/>
          <w:szCs w:val="20"/>
          <w:lang w:val="es-ES_tradnl"/>
        </w:rPr>
        <w:t xml:space="preserve">. A efectos de fijar </w:t>
      </w:r>
      <w:r w:rsidR="00CD1B3A" w:rsidRPr="00E019A9">
        <w:rPr>
          <w:sz w:val="20"/>
          <w:szCs w:val="20"/>
          <w:lang w:val="es-ES_tradnl"/>
        </w:rPr>
        <w:t>el grado</w:t>
      </w:r>
      <w:r w:rsidRPr="00E019A9">
        <w:rPr>
          <w:sz w:val="20"/>
          <w:szCs w:val="20"/>
          <w:lang w:val="es-ES_tradnl"/>
        </w:rPr>
        <w:t xml:space="preserve"> de la pena, el </w:t>
      </w:r>
      <w:r w:rsidR="00CD1B3A" w:rsidRPr="00E019A9">
        <w:rPr>
          <w:sz w:val="20"/>
          <w:szCs w:val="20"/>
          <w:lang w:val="es-ES_tradnl"/>
        </w:rPr>
        <w:t xml:space="preserve">magistrado instructor consideró que se encontraba presente en el caso del acusado la atenuante de conducta previa irreprochable consagrada en el </w:t>
      </w:r>
      <w:r w:rsidR="002A4062" w:rsidRPr="00E019A9">
        <w:rPr>
          <w:sz w:val="20"/>
          <w:szCs w:val="20"/>
          <w:lang w:val="es-ES_tradnl"/>
        </w:rPr>
        <w:t>artículo</w:t>
      </w:r>
      <w:r w:rsidR="00CD1B3A" w:rsidRPr="00E019A9">
        <w:rPr>
          <w:sz w:val="20"/>
          <w:szCs w:val="20"/>
          <w:lang w:val="es-ES_tradnl"/>
        </w:rPr>
        <w:t xml:space="preserve"> 11.6 del Código Penal. Asimismo, el juez decidió absolver a los procesados Hugo Bornand Cruces, José Segundo Pérez Retamal, Israel Pascual </w:t>
      </w:r>
      <w:r w:rsidR="00397249" w:rsidRPr="00E019A9">
        <w:rPr>
          <w:sz w:val="20"/>
          <w:szCs w:val="20"/>
          <w:lang w:val="es-ES_tradnl"/>
        </w:rPr>
        <w:t>Hernández</w:t>
      </w:r>
      <w:r w:rsidR="00CD1B3A" w:rsidRPr="00E019A9">
        <w:rPr>
          <w:sz w:val="20"/>
          <w:szCs w:val="20"/>
          <w:lang w:val="es-ES_tradnl"/>
        </w:rPr>
        <w:t xml:space="preserve"> Ulloa y Juan Carlos Padilla Millanao de la acusación que pendía sobre ellos por el delito de secuestro calificado en perjuicio del Sr. Aedo Hidalgo</w:t>
      </w:r>
      <w:r w:rsidR="00CD1B3A" w:rsidRPr="00E019A9">
        <w:rPr>
          <w:rStyle w:val="FootnoteReference"/>
          <w:sz w:val="20"/>
          <w:szCs w:val="20"/>
          <w:lang w:val="es-ES_tradnl"/>
        </w:rPr>
        <w:footnoteReference w:id="103"/>
      </w:r>
      <w:r w:rsidR="00CD1B3A" w:rsidRPr="00E019A9">
        <w:rPr>
          <w:sz w:val="20"/>
          <w:szCs w:val="20"/>
          <w:lang w:val="es-ES_tradnl"/>
        </w:rPr>
        <w:t xml:space="preserve">. </w:t>
      </w:r>
    </w:p>
    <w:p w14:paraId="0F889544" w14:textId="77777777" w:rsidR="00CD1B3A" w:rsidRPr="00E019A9" w:rsidRDefault="00CD1B3A" w:rsidP="00CD1B3A">
      <w:pPr>
        <w:pStyle w:val="ListParagraph"/>
        <w:tabs>
          <w:tab w:val="left" w:pos="567"/>
        </w:tabs>
        <w:ind w:left="0"/>
        <w:jc w:val="both"/>
        <w:rPr>
          <w:sz w:val="20"/>
          <w:szCs w:val="20"/>
          <w:lang w:val="es-ES_tradnl"/>
        </w:rPr>
      </w:pPr>
    </w:p>
    <w:p w14:paraId="05D302C9" w14:textId="77777777" w:rsidR="00A843D3" w:rsidRPr="00E019A9" w:rsidRDefault="00CD1B3A"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El 22 de septiembre de 2008 la Corte de Apelaciones de Temuco desestimó el recurso de apelación presentado por la defensa del Sr. Soto Segura y confirm</w:t>
      </w:r>
      <w:r w:rsidR="00397249" w:rsidRPr="00E019A9">
        <w:rPr>
          <w:sz w:val="20"/>
          <w:szCs w:val="20"/>
          <w:lang w:val="es-ES_tradnl"/>
        </w:rPr>
        <w:t>ó</w:t>
      </w:r>
      <w:r w:rsidRPr="00E019A9">
        <w:rPr>
          <w:sz w:val="20"/>
          <w:szCs w:val="20"/>
          <w:lang w:val="es-ES_tradnl"/>
        </w:rPr>
        <w:t xml:space="preserve"> la sentencia de primera instancia</w:t>
      </w:r>
      <w:r w:rsidR="00397249" w:rsidRPr="00E019A9">
        <w:rPr>
          <w:rStyle w:val="FootnoteReference"/>
          <w:sz w:val="20"/>
          <w:szCs w:val="20"/>
          <w:lang w:val="es-ES_tradnl"/>
        </w:rPr>
        <w:footnoteReference w:id="104"/>
      </w:r>
      <w:r w:rsidRPr="00E019A9">
        <w:rPr>
          <w:sz w:val="20"/>
          <w:szCs w:val="20"/>
          <w:lang w:val="es-ES_tradnl"/>
        </w:rPr>
        <w:t>. Frente a esta última decisión, la defensa interpuso recurso de casación ante la Corte Suprema de Justicia</w:t>
      </w:r>
      <w:r w:rsidR="00397249" w:rsidRPr="00E019A9">
        <w:rPr>
          <w:sz w:val="20"/>
          <w:szCs w:val="20"/>
          <w:lang w:val="es-ES_tradnl"/>
        </w:rPr>
        <w:t xml:space="preserve">. El 23 de julio de 2009 la Corte Suprema de Justicia decidió invalidar de oficio la sentencia apelada por no haber emitido un pronunciamiento directo respecto de la pretensión de la defensa de la aplicación de la figura de la media prescripción consagrada en el </w:t>
      </w:r>
      <w:r w:rsidR="00C266C8" w:rsidRPr="00E019A9">
        <w:rPr>
          <w:sz w:val="20"/>
          <w:szCs w:val="20"/>
          <w:lang w:val="es-ES_tradnl"/>
        </w:rPr>
        <w:t>artículo</w:t>
      </w:r>
      <w:r w:rsidR="00397249" w:rsidRPr="00E019A9">
        <w:rPr>
          <w:sz w:val="20"/>
          <w:szCs w:val="20"/>
          <w:lang w:val="es-ES_tradnl"/>
        </w:rPr>
        <w:t xml:space="preserve"> 103 del Código Penal</w:t>
      </w:r>
      <w:r w:rsidR="006B4E59" w:rsidRPr="00E019A9">
        <w:rPr>
          <w:sz w:val="20"/>
          <w:szCs w:val="20"/>
          <w:lang w:val="es-ES_tradnl"/>
        </w:rPr>
        <w:t xml:space="preserve"> y aprobar una sentencia de reemplazo</w:t>
      </w:r>
      <w:r w:rsidR="006B4E59" w:rsidRPr="00E019A9">
        <w:rPr>
          <w:rStyle w:val="FootnoteReference"/>
          <w:sz w:val="20"/>
          <w:szCs w:val="20"/>
          <w:lang w:val="es-ES_tradnl"/>
        </w:rPr>
        <w:footnoteReference w:id="105"/>
      </w:r>
      <w:r w:rsidR="006B4E59" w:rsidRPr="00E019A9">
        <w:rPr>
          <w:sz w:val="20"/>
          <w:szCs w:val="20"/>
          <w:lang w:val="es-ES_tradnl"/>
        </w:rPr>
        <w:t xml:space="preserve">. </w:t>
      </w:r>
      <w:r w:rsidR="00397249" w:rsidRPr="00E019A9">
        <w:rPr>
          <w:sz w:val="20"/>
          <w:szCs w:val="20"/>
          <w:lang w:val="es-ES_tradnl"/>
        </w:rPr>
        <w:t xml:space="preserve"> </w:t>
      </w:r>
    </w:p>
    <w:p w14:paraId="0B1E8B86" w14:textId="77777777" w:rsidR="006B4E59" w:rsidRPr="00E019A9" w:rsidRDefault="006B4E59" w:rsidP="006B4E59">
      <w:pPr>
        <w:pStyle w:val="ListParagraph"/>
        <w:rPr>
          <w:sz w:val="20"/>
          <w:szCs w:val="20"/>
          <w:lang w:val="es-ES_tradnl"/>
        </w:rPr>
      </w:pPr>
    </w:p>
    <w:p w14:paraId="2DDB577E" w14:textId="77777777" w:rsidR="00315556" w:rsidRPr="00E019A9" w:rsidRDefault="006B4E59"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 xml:space="preserve">En dicha sentencia de reemplazo, la Corte Suprema no modificó la plataforma fáctica tal como había sido probada por los tribunales de las instancias inferiores. </w:t>
      </w:r>
      <w:r w:rsidR="00072AD0" w:rsidRPr="00E019A9">
        <w:rPr>
          <w:sz w:val="20"/>
          <w:szCs w:val="20"/>
          <w:lang w:val="es-ES_tradnl"/>
        </w:rPr>
        <w:t xml:space="preserve">Sin embargo, el tribunal </w:t>
      </w:r>
      <w:r w:rsidRPr="00E019A9">
        <w:rPr>
          <w:sz w:val="20"/>
          <w:szCs w:val="20"/>
          <w:lang w:val="es-ES_tradnl"/>
        </w:rPr>
        <w:t>aseguró que la imposibilidad de aplicar la institución de la prescripción de la acción penal en los delitos de lesa humanidad no alcanza a la denominada media prescripción o prescripción gradual de la pena, la cual es un motivo de atenuación de la sanción penal.</w:t>
      </w:r>
      <w:r w:rsidR="00315556" w:rsidRPr="00E019A9">
        <w:rPr>
          <w:sz w:val="20"/>
          <w:szCs w:val="20"/>
          <w:lang w:val="es-ES_tradnl"/>
        </w:rPr>
        <w:t xml:space="preserve"> En la misma línea, </w:t>
      </w:r>
      <w:r w:rsidR="00880199" w:rsidRPr="00E019A9">
        <w:rPr>
          <w:sz w:val="20"/>
          <w:szCs w:val="20"/>
          <w:lang w:val="es-ES_tradnl"/>
        </w:rPr>
        <w:t>la Corte Suprema</w:t>
      </w:r>
      <w:r w:rsidR="00315556" w:rsidRPr="00E019A9">
        <w:rPr>
          <w:sz w:val="20"/>
          <w:szCs w:val="20"/>
          <w:lang w:val="es-ES_tradnl"/>
        </w:rPr>
        <w:t xml:space="preserve"> sostuvo que el carácter de orden p</w:t>
      </w:r>
      <w:r w:rsidR="00866AB2" w:rsidRPr="00E019A9">
        <w:rPr>
          <w:sz w:val="20"/>
          <w:szCs w:val="20"/>
          <w:lang w:val="es-ES_tradnl"/>
        </w:rPr>
        <w:t>ú</w:t>
      </w:r>
      <w:r w:rsidR="00315556" w:rsidRPr="00E019A9">
        <w:rPr>
          <w:sz w:val="20"/>
          <w:szCs w:val="20"/>
          <w:lang w:val="es-ES_tradnl"/>
        </w:rPr>
        <w:t xml:space="preserve">blico del </w:t>
      </w:r>
      <w:r w:rsidR="00C266C8" w:rsidRPr="00E019A9">
        <w:rPr>
          <w:sz w:val="20"/>
          <w:szCs w:val="20"/>
          <w:lang w:val="es-ES_tradnl"/>
        </w:rPr>
        <w:t>artículo</w:t>
      </w:r>
      <w:r w:rsidR="00315556" w:rsidRPr="00E019A9">
        <w:rPr>
          <w:sz w:val="20"/>
          <w:szCs w:val="20"/>
          <w:lang w:val="es-ES_tradnl"/>
        </w:rPr>
        <w:t xml:space="preserve"> 103 del Código Penal que consagra la media prescripción genera que su aplicación es imperativa para los jueces</w:t>
      </w:r>
      <w:r w:rsidR="00530147" w:rsidRPr="00E019A9">
        <w:rPr>
          <w:rStyle w:val="FootnoteReference"/>
          <w:sz w:val="20"/>
          <w:szCs w:val="20"/>
          <w:lang w:val="es-ES_tradnl"/>
        </w:rPr>
        <w:footnoteReference w:id="106"/>
      </w:r>
      <w:r w:rsidR="00315556" w:rsidRPr="00E019A9">
        <w:rPr>
          <w:sz w:val="20"/>
          <w:szCs w:val="20"/>
          <w:lang w:val="es-ES_tradnl"/>
        </w:rPr>
        <w:t xml:space="preserve">. </w:t>
      </w:r>
    </w:p>
    <w:p w14:paraId="52B83F02" w14:textId="77777777" w:rsidR="00315556" w:rsidRPr="00E019A9" w:rsidRDefault="00315556" w:rsidP="00866AB2">
      <w:pPr>
        <w:pStyle w:val="ListParagraph"/>
        <w:tabs>
          <w:tab w:val="left" w:pos="567"/>
        </w:tabs>
        <w:rPr>
          <w:sz w:val="20"/>
          <w:szCs w:val="20"/>
          <w:lang w:val="es-ES_tradnl"/>
        </w:rPr>
      </w:pPr>
    </w:p>
    <w:p w14:paraId="01561F73" w14:textId="77777777" w:rsidR="006B4E59" w:rsidRPr="00E019A9" w:rsidRDefault="00315556"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 xml:space="preserve">En lo que respecta al caso concreto del proceso seguido para esclarecer las responsabilidades por la desaparición forzada del Sr. Aedo Hidalgo, la Corte Suprema </w:t>
      </w:r>
      <w:r w:rsidR="00880199" w:rsidRPr="00E019A9">
        <w:rPr>
          <w:sz w:val="20"/>
          <w:szCs w:val="20"/>
          <w:lang w:val="es-ES_tradnl"/>
        </w:rPr>
        <w:t xml:space="preserve">considero que el delito comenzó a perpetrarse el </w:t>
      </w:r>
      <w:r w:rsidR="00E7774B" w:rsidRPr="00E019A9">
        <w:rPr>
          <w:sz w:val="20"/>
          <w:szCs w:val="20"/>
          <w:lang w:val="es-ES_tradnl"/>
        </w:rPr>
        <w:t>día</w:t>
      </w:r>
      <w:r w:rsidR="00880199" w:rsidRPr="00E019A9">
        <w:rPr>
          <w:sz w:val="20"/>
          <w:szCs w:val="20"/>
          <w:lang w:val="es-ES_tradnl"/>
        </w:rPr>
        <w:t xml:space="preserve"> 11 de octubre de 1973 – fecha de la detención de la </w:t>
      </w:r>
      <w:r w:rsidR="00C266C8" w:rsidRPr="00E019A9">
        <w:rPr>
          <w:sz w:val="20"/>
          <w:szCs w:val="20"/>
          <w:lang w:val="es-ES_tradnl"/>
        </w:rPr>
        <w:t>víctima</w:t>
      </w:r>
      <w:r w:rsidR="00880199" w:rsidRPr="00E019A9">
        <w:rPr>
          <w:sz w:val="20"/>
          <w:szCs w:val="20"/>
          <w:lang w:val="es-ES_tradnl"/>
        </w:rPr>
        <w:t xml:space="preserve"> – y que se</w:t>
      </w:r>
      <w:r w:rsidR="00866AB2" w:rsidRPr="00E019A9">
        <w:rPr>
          <w:sz w:val="20"/>
          <w:szCs w:val="20"/>
          <w:lang w:val="es-ES_tradnl"/>
        </w:rPr>
        <w:t xml:space="preserve"> consumó </w:t>
      </w:r>
      <w:r w:rsidR="00880199" w:rsidRPr="00E019A9">
        <w:rPr>
          <w:sz w:val="20"/>
          <w:szCs w:val="20"/>
          <w:lang w:val="es-ES_tradnl"/>
        </w:rPr>
        <w:t>“al momento en que lleg</w:t>
      </w:r>
      <w:r w:rsidR="00E7774B" w:rsidRPr="00E019A9">
        <w:rPr>
          <w:sz w:val="20"/>
          <w:szCs w:val="20"/>
          <w:lang w:val="es-ES_tradnl"/>
        </w:rPr>
        <w:t>ó</w:t>
      </w:r>
      <w:r w:rsidR="00880199" w:rsidRPr="00E019A9">
        <w:rPr>
          <w:sz w:val="20"/>
          <w:szCs w:val="20"/>
          <w:lang w:val="es-ES_tradnl"/>
        </w:rPr>
        <w:t xml:space="preserve"> el </w:t>
      </w:r>
      <w:r w:rsidR="00E7774B" w:rsidRPr="00E019A9">
        <w:rPr>
          <w:sz w:val="20"/>
          <w:szCs w:val="20"/>
          <w:lang w:val="es-ES_tradnl"/>
        </w:rPr>
        <w:t>día</w:t>
      </w:r>
      <w:r w:rsidR="00880199" w:rsidRPr="00E019A9">
        <w:rPr>
          <w:sz w:val="20"/>
          <w:szCs w:val="20"/>
          <w:lang w:val="es-ES_tradnl"/>
        </w:rPr>
        <w:t xml:space="preserve"> noventa y uno de encierro de la v</w:t>
      </w:r>
      <w:r w:rsidR="00E7774B" w:rsidRPr="00E019A9">
        <w:rPr>
          <w:sz w:val="20"/>
          <w:szCs w:val="20"/>
          <w:lang w:val="es-ES_tradnl"/>
        </w:rPr>
        <w:t>í</w:t>
      </w:r>
      <w:r w:rsidR="00880199" w:rsidRPr="00E019A9">
        <w:rPr>
          <w:sz w:val="20"/>
          <w:szCs w:val="20"/>
          <w:lang w:val="es-ES_tradnl"/>
        </w:rPr>
        <w:t>ctima, en el caso de autos, el 9 de enero de 1974</w:t>
      </w:r>
      <w:r w:rsidR="00866AB2" w:rsidRPr="00E019A9">
        <w:rPr>
          <w:sz w:val="20"/>
          <w:szCs w:val="20"/>
          <w:lang w:val="es-ES_tradnl"/>
        </w:rPr>
        <w:t>”</w:t>
      </w:r>
      <w:r w:rsidR="00880199" w:rsidRPr="00E019A9">
        <w:rPr>
          <w:sz w:val="20"/>
          <w:szCs w:val="20"/>
          <w:lang w:val="es-ES_tradnl"/>
        </w:rPr>
        <w:t>. En consecuencia, prosiguió el tribunal</w:t>
      </w:r>
      <w:r w:rsidR="00866AB2" w:rsidRPr="00E019A9">
        <w:rPr>
          <w:sz w:val="20"/>
          <w:szCs w:val="20"/>
          <w:lang w:val="es-ES_tradnl"/>
        </w:rPr>
        <w:t xml:space="preserve">, dado que </w:t>
      </w:r>
      <w:r w:rsidR="00880199" w:rsidRPr="00E019A9">
        <w:rPr>
          <w:sz w:val="20"/>
          <w:szCs w:val="20"/>
          <w:lang w:val="es-ES_tradnl"/>
        </w:rPr>
        <w:t xml:space="preserve">transcurrieron </w:t>
      </w:r>
      <w:r w:rsidR="00C266C8" w:rsidRPr="00E019A9">
        <w:rPr>
          <w:sz w:val="20"/>
          <w:szCs w:val="20"/>
          <w:lang w:val="es-ES_tradnl"/>
        </w:rPr>
        <w:t>más</w:t>
      </w:r>
      <w:r w:rsidR="00880199" w:rsidRPr="00E019A9">
        <w:rPr>
          <w:sz w:val="20"/>
          <w:szCs w:val="20"/>
          <w:lang w:val="es-ES_tradnl"/>
        </w:rPr>
        <w:t xml:space="preserve"> de 30 años </w:t>
      </w:r>
      <w:r w:rsidR="00866AB2" w:rsidRPr="00E019A9">
        <w:rPr>
          <w:sz w:val="20"/>
          <w:szCs w:val="20"/>
          <w:lang w:val="es-ES_tradnl"/>
        </w:rPr>
        <w:t>entre</w:t>
      </w:r>
      <w:r w:rsidR="00880199" w:rsidRPr="00E019A9">
        <w:rPr>
          <w:sz w:val="20"/>
          <w:szCs w:val="20"/>
          <w:lang w:val="es-ES_tradnl"/>
        </w:rPr>
        <w:t xml:space="preserve"> la fecha de consumación del delito y el sometimiento a proceso que culmin</w:t>
      </w:r>
      <w:r w:rsidR="00866AB2" w:rsidRPr="00E019A9">
        <w:rPr>
          <w:sz w:val="20"/>
          <w:szCs w:val="20"/>
          <w:lang w:val="es-ES_tradnl"/>
        </w:rPr>
        <w:t>ó</w:t>
      </w:r>
      <w:r w:rsidR="00880199" w:rsidRPr="00E019A9">
        <w:rPr>
          <w:sz w:val="20"/>
          <w:szCs w:val="20"/>
          <w:lang w:val="es-ES_tradnl"/>
        </w:rPr>
        <w:t xml:space="preserve"> con la condena del acusado</w:t>
      </w:r>
      <w:r w:rsidR="00866AB2" w:rsidRPr="00E019A9">
        <w:rPr>
          <w:sz w:val="20"/>
          <w:szCs w:val="20"/>
          <w:lang w:val="es-ES_tradnl"/>
        </w:rPr>
        <w:t>, correspondía aplicar la causal de mitigación de la pena de la media prescripción</w:t>
      </w:r>
      <w:r w:rsidR="00866AB2" w:rsidRPr="00E019A9">
        <w:rPr>
          <w:rStyle w:val="FootnoteReference"/>
          <w:sz w:val="20"/>
          <w:szCs w:val="20"/>
          <w:lang w:val="es-ES_tradnl"/>
        </w:rPr>
        <w:footnoteReference w:id="107"/>
      </w:r>
      <w:r w:rsidR="00880199" w:rsidRPr="00E019A9">
        <w:rPr>
          <w:sz w:val="20"/>
          <w:szCs w:val="20"/>
          <w:lang w:val="es-ES_tradnl"/>
        </w:rPr>
        <w:t xml:space="preserve">.  </w:t>
      </w:r>
    </w:p>
    <w:p w14:paraId="60012B95" w14:textId="77777777" w:rsidR="00866AB2" w:rsidRPr="00E019A9" w:rsidRDefault="00866AB2" w:rsidP="00866AB2">
      <w:pPr>
        <w:pStyle w:val="ListParagraph"/>
        <w:rPr>
          <w:sz w:val="20"/>
          <w:szCs w:val="20"/>
          <w:lang w:val="es-ES_tradnl"/>
        </w:rPr>
      </w:pPr>
    </w:p>
    <w:p w14:paraId="27F1E4CC" w14:textId="77777777" w:rsidR="00866AB2" w:rsidRPr="00E019A9" w:rsidRDefault="00866AB2"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lastRenderedPageBreak/>
        <w:t>Por consiguiente, la Corte Suprema consideró que, respecto del sentenciado Gamaliel Soto Segura, se encontraban</w:t>
      </w:r>
      <w:r w:rsidR="00530147" w:rsidRPr="00E019A9">
        <w:rPr>
          <w:sz w:val="20"/>
          <w:szCs w:val="20"/>
          <w:lang w:val="es-ES_tradnl"/>
        </w:rPr>
        <w:t xml:space="preserve"> </w:t>
      </w:r>
      <w:r w:rsidRPr="00E019A9">
        <w:rPr>
          <w:sz w:val="20"/>
          <w:szCs w:val="20"/>
          <w:lang w:val="es-ES_tradnl"/>
        </w:rPr>
        <w:t>presentes</w:t>
      </w:r>
      <w:r w:rsidR="00530147" w:rsidRPr="00E019A9">
        <w:rPr>
          <w:sz w:val="20"/>
          <w:szCs w:val="20"/>
          <w:lang w:val="es-ES_tradnl"/>
        </w:rPr>
        <w:t xml:space="preserve"> </w:t>
      </w:r>
      <w:r w:rsidRPr="00E019A9">
        <w:rPr>
          <w:sz w:val="20"/>
          <w:szCs w:val="20"/>
          <w:lang w:val="es-ES_tradnl"/>
        </w:rPr>
        <w:t>las circunstancias atenuantes de conducta previa irreprochable y</w:t>
      </w:r>
      <w:r w:rsidR="00530147" w:rsidRPr="00E019A9">
        <w:rPr>
          <w:sz w:val="20"/>
          <w:szCs w:val="20"/>
          <w:lang w:val="es-ES_tradnl"/>
        </w:rPr>
        <w:t xml:space="preserve"> </w:t>
      </w:r>
      <w:r w:rsidRPr="00E019A9">
        <w:rPr>
          <w:sz w:val="20"/>
          <w:szCs w:val="20"/>
          <w:lang w:val="es-ES_tradnl"/>
        </w:rPr>
        <w:t>de</w:t>
      </w:r>
      <w:r w:rsidR="00530147" w:rsidRPr="00E019A9">
        <w:rPr>
          <w:sz w:val="20"/>
          <w:szCs w:val="20"/>
          <w:lang w:val="es-ES_tradnl"/>
        </w:rPr>
        <w:t xml:space="preserve"> </w:t>
      </w:r>
      <w:r w:rsidRPr="00E019A9">
        <w:rPr>
          <w:sz w:val="20"/>
          <w:szCs w:val="20"/>
          <w:lang w:val="es-ES_tradnl"/>
        </w:rPr>
        <w:t xml:space="preserve">media </w:t>
      </w:r>
      <w:r w:rsidR="00530147" w:rsidRPr="00E019A9">
        <w:rPr>
          <w:sz w:val="20"/>
          <w:szCs w:val="20"/>
          <w:lang w:val="es-ES_tradnl"/>
        </w:rPr>
        <w:t>prescripción</w:t>
      </w:r>
      <w:r w:rsidRPr="00E019A9">
        <w:rPr>
          <w:sz w:val="20"/>
          <w:szCs w:val="20"/>
          <w:lang w:val="es-ES_tradnl"/>
        </w:rPr>
        <w:t>, por lo que se le rebaj</w:t>
      </w:r>
      <w:r w:rsidR="00530147" w:rsidRPr="00E019A9">
        <w:rPr>
          <w:sz w:val="20"/>
          <w:szCs w:val="20"/>
          <w:lang w:val="es-ES_tradnl"/>
        </w:rPr>
        <w:t>ó</w:t>
      </w:r>
      <w:r w:rsidRPr="00E019A9">
        <w:rPr>
          <w:sz w:val="20"/>
          <w:szCs w:val="20"/>
          <w:lang w:val="es-ES_tradnl"/>
        </w:rPr>
        <w:t xml:space="preserve"> en dos grados la penalidad, imponiéndole la condena a tres años de presidio menor en su grado medio y accesorias por su participación en calidad de autor del delito de secuestro calificado en perjuicio del Sr. Aedo Hidalgo. </w:t>
      </w:r>
      <w:r w:rsidR="00530147" w:rsidRPr="00E019A9">
        <w:rPr>
          <w:sz w:val="20"/>
          <w:szCs w:val="20"/>
          <w:lang w:val="es-ES_tradnl"/>
        </w:rPr>
        <w:t>Finalmente, y por hallarse incurso dentro de los supuestos del art 4 de la ley 18.216, la Corte Suprema dispuso conceder al sentenciado la medida alternativa de la remisión condicional de la pena</w:t>
      </w:r>
      <w:r w:rsidR="00530147" w:rsidRPr="00E019A9">
        <w:rPr>
          <w:rStyle w:val="FootnoteReference"/>
          <w:sz w:val="20"/>
          <w:szCs w:val="20"/>
          <w:lang w:val="es-ES_tradnl"/>
        </w:rPr>
        <w:footnoteReference w:id="108"/>
      </w:r>
      <w:r w:rsidR="00530147" w:rsidRPr="00E019A9">
        <w:rPr>
          <w:sz w:val="20"/>
          <w:szCs w:val="20"/>
          <w:lang w:val="es-ES_tradnl"/>
        </w:rPr>
        <w:t xml:space="preserve">. </w:t>
      </w:r>
    </w:p>
    <w:p w14:paraId="05E33A1C" w14:textId="77777777" w:rsidR="005E39AE" w:rsidRPr="00E019A9" w:rsidRDefault="005E39AE" w:rsidP="00A46D85">
      <w:pPr>
        <w:rPr>
          <w:rFonts w:ascii="Cambria" w:hAnsi="Cambria"/>
          <w:b/>
          <w:sz w:val="20"/>
          <w:szCs w:val="20"/>
          <w:lang w:val="es-ES_tradnl" w:eastAsia="es-ES"/>
        </w:rPr>
      </w:pPr>
    </w:p>
    <w:p w14:paraId="7938E909" w14:textId="77777777" w:rsidR="005D4A6D" w:rsidRPr="00E019A9" w:rsidRDefault="005D4A6D" w:rsidP="00BB60A6">
      <w:pPr>
        <w:pStyle w:val="Heading3"/>
        <w:numPr>
          <w:ilvl w:val="1"/>
          <w:numId w:val="59"/>
        </w:numPr>
        <w:tabs>
          <w:tab w:val="left" w:pos="567"/>
          <w:tab w:val="left" w:pos="1134"/>
        </w:tabs>
        <w:ind w:left="567" w:firstLine="0"/>
        <w:jc w:val="both"/>
      </w:pPr>
      <w:r w:rsidRPr="00E019A9">
        <w:t>Respecto de la petición presentada en representación de Félix Santiago de la Jara Goyeneche y sus familiares y registrada inicialmente por la Comisión bajo el número P 665-11.</w:t>
      </w:r>
    </w:p>
    <w:p w14:paraId="1750E633" w14:textId="77777777" w:rsidR="008071D2" w:rsidRPr="00E019A9" w:rsidRDefault="008071D2" w:rsidP="008071D2">
      <w:pPr>
        <w:rPr>
          <w:sz w:val="20"/>
          <w:szCs w:val="20"/>
          <w:lang w:val="es-ES_tradnl" w:eastAsia="es-ES"/>
        </w:rPr>
      </w:pPr>
    </w:p>
    <w:p w14:paraId="159BE39C" w14:textId="77777777" w:rsidR="00DE6F62" w:rsidRPr="00E019A9" w:rsidRDefault="008071D2"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Conforme la información existente en el expediente, se encuentra probado que</w:t>
      </w:r>
      <w:r w:rsidR="00DE6F62" w:rsidRPr="00E019A9">
        <w:rPr>
          <w:sz w:val="20"/>
          <w:szCs w:val="20"/>
          <w:lang w:val="es-ES_tradnl"/>
        </w:rPr>
        <w:t>,</w:t>
      </w:r>
      <w:r w:rsidRPr="00E019A9">
        <w:rPr>
          <w:sz w:val="20"/>
          <w:szCs w:val="20"/>
          <w:lang w:val="es-ES_tradnl"/>
        </w:rPr>
        <w:t xml:space="preserve"> en horas de la madrugada del </w:t>
      </w:r>
      <w:r w:rsidR="00DE6F62" w:rsidRPr="00E019A9">
        <w:rPr>
          <w:sz w:val="20"/>
          <w:szCs w:val="20"/>
          <w:lang w:val="es-ES_tradnl"/>
        </w:rPr>
        <w:t>día</w:t>
      </w:r>
      <w:r w:rsidRPr="00E019A9">
        <w:rPr>
          <w:sz w:val="20"/>
          <w:szCs w:val="20"/>
          <w:lang w:val="es-ES_tradnl"/>
        </w:rPr>
        <w:t xml:space="preserve"> 27 de noviembre de 1974</w:t>
      </w:r>
      <w:r w:rsidR="00DE6F62" w:rsidRPr="00E019A9">
        <w:rPr>
          <w:sz w:val="20"/>
          <w:szCs w:val="20"/>
          <w:lang w:val="es-ES_tradnl"/>
        </w:rPr>
        <w:t>, personas desconocidas vestidas de civil, sin identificarse ni exhibir orden de autoridad competente, detuvieron en las cercanías de la Avenida Independencia con Calle los Olivos, comuna de Independencia, a Félix Santiago de la Jara Goyeneche</w:t>
      </w:r>
      <w:r w:rsidR="00A635B6" w:rsidRPr="00E019A9">
        <w:rPr>
          <w:sz w:val="20"/>
          <w:szCs w:val="20"/>
          <w:lang w:val="es-ES_tradnl"/>
        </w:rPr>
        <w:t xml:space="preserve"> quien fue trasladado </w:t>
      </w:r>
      <w:r w:rsidR="00DE6F62" w:rsidRPr="00E019A9">
        <w:rPr>
          <w:sz w:val="20"/>
          <w:szCs w:val="20"/>
          <w:lang w:val="es-ES_tradnl"/>
        </w:rPr>
        <w:t>al recinto clandestino de detención de la DINA conocido como “Venda Sexy” o “Discoteque” ubicado en la calle Irán 3037 de la Comuna de Macul</w:t>
      </w:r>
      <w:r w:rsidR="00DE6F62" w:rsidRPr="00E019A9">
        <w:rPr>
          <w:rStyle w:val="FootnoteReference"/>
          <w:sz w:val="20"/>
          <w:szCs w:val="20"/>
          <w:lang w:val="es-ES_tradnl"/>
        </w:rPr>
        <w:footnoteReference w:id="109"/>
      </w:r>
      <w:r w:rsidR="00DE6F62" w:rsidRPr="00E019A9">
        <w:rPr>
          <w:sz w:val="20"/>
          <w:szCs w:val="20"/>
          <w:lang w:val="es-ES_tradnl"/>
        </w:rPr>
        <w:t xml:space="preserve">. </w:t>
      </w:r>
    </w:p>
    <w:p w14:paraId="18778A2D" w14:textId="77777777" w:rsidR="00DE6F62" w:rsidRPr="00E019A9" w:rsidRDefault="00DE6F62" w:rsidP="00A55F36">
      <w:pPr>
        <w:pStyle w:val="ListParagraph"/>
        <w:tabs>
          <w:tab w:val="left" w:pos="567"/>
        </w:tabs>
        <w:ind w:left="0"/>
        <w:jc w:val="both"/>
        <w:rPr>
          <w:sz w:val="20"/>
          <w:szCs w:val="20"/>
          <w:lang w:val="es-ES_tradnl"/>
        </w:rPr>
      </w:pPr>
    </w:p>
    <w:p w14:paraId="3CFCA429" w14:textId="77777777" w:rsidR="00DE6F62" w:rsidRPr="00E019A9" w:rsidRDefault="00DE6F62"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 xml:space="preserve">Se encuentra </w:t>
      </w:r>
      <w:r w:rsidR="00307B70" w:rsidRPr="00E019A9">
        <w:rPr>
          <w:sz w:val="20"/>
          <w:szCs w:val="20"/>
          <w:lang w:val="es-ES_tradnl"/>
        </w:rPr>
        <w:t xml:space="preserve">también </w:t>
      </w:r>
      <w:r w:rsidRPr="00E019A9">
        <w:rPr>
          <w:sz w:val="20"/>
          <w:szCs w:val="20"/>
          <w:lang w:val="es-ES_tradnl"/>
        </w:rPr>
        <w:t xml:space="preserve">probado que en dicho recinto el Sr. de la Jara Goyeneche fue sometido a interrogatorios bajo apremios físicos y que, posteriormente, fue sacado de su lugar de detención por agentes de la DINA, desconociéndose al presente su paradero. </w:t>
      </w:r>
      <w:r w:rsidR="00307B70" w:rsidRPr="00E019A9">
        <w:rPr>
          <w:sz w:val="20"/>
          <w:szCs w:val="20"/>
          <w:lang w:val="es-ES_tradnl"/>
        </w:rPr>
        <w:t xml:space="preserve">Cabe destacar asimismo que, frente a un recurso de amparo </w:t>
      </w:r>
      <w:r w:rsidR="00C73C2A" w:rsidRPr="00E019A9">
        <w:rPr>
          <w:sz w:val="20"/>
          <w:szCs w:val="20"/>
          <w:lang w:val="es-ES_tradnl"/>
        </w:rPr>
        <w:t>interpuesto</w:t>
      </w:r>
      <w:r w:rsidR="00307B70" w:rsidRPr="00E019A9">
        <w:rPr>
          <w:sz w:val="20"/>
          <w:szCs w:val="20"/>
          <w:lang w:val="es-ES_tradnl"/>
        </w:rPr>
        <w:t xml:space="preserve">  por la madre de la </w:t>
      </w:r>
      <w:r w:rsidR="00C266C8" w:rsidRPr="00E019A9">
        <w:rPr>
          <w:sz w:val="20"/>
          <w:szCs w:val="20"/>
          <w:lang w:val="es-ES_tradnl"/>
        </w:rPr>
        <w:t>víctima</w:t>
      </w:r>
      <w:r w:rsidR="00307B70" w:rsidRPr="00E019A9">
        <w:rPr>
          <w:sz w:val="20"/>
          <w:szCs w:val="20"/>
          <w:lang w:val="es-ES_tradnl"/>
        </w:rPr>
        <w:t xml:space="preserve">, </w:t>
      </w:r>
      <w:r w:rsidR="00C73C2A" w:rsidRPr="00E019A9">
        <w:rPr>
          <w:sz w:val="20"/>
          <w:szCs w:val="20"/>
          <w:lang w:val="es-ES_tradnl"/>
        </w:rPr>
        <w:t xml:space="preserve">tanto </w:t>
      </w:r>
      <w:r w:rsidR="00307B70" w:rsidRPr="00E019A9">
        <w:rPr>
          <w:sz w:val="20"/>
          <w:szCs w:val="20"/>
          <w:lang w:val="es-ES_tradnl"/>
        </w:rPr>
        <w:t xml:space="preserve">el </w:t>
      </w:r>
      <w:r w:rsidR="00C73C2A" w:rsidRPr="00E019A9">
        <w:rPr>
          <w:sz w:val="20"/>
          <w:szCs w:val="20"/>
          <w:lang w:val="es-ES_tradnl"/>
        </w:rPr>
        <w:t xml:space="preserve">Ministerio del Interior - mediante oficio de fecha 4 de febrero de 1975 - como la Secretaria Ejecutiva  Nacional de Detenidos del Ministerio de Defensa Nacional, por medio de una comunicación fechada el 21 de septiembre de 1975, negaron poseer antecedentes relacionados con el Sr. Jara Goyeneche o que la </w:t>
      </w:r>
      <w:r w:rsidR="00C266C8" w:rsidRPr="00E019A9">
        <w:rPr>
          <w:sz w:val="20"/>
          <w:szCs w:val="20"/>
          <w:lang w:val="es-ES_tradnl"/>
        </w:rPr>
        <w:t>víctima</w:t>
      </w:r>
      <w:r w:rsidR="00C73C2A" w:rsidRPr="00E019A9">
        <w:rPr>
          <w:sz w:val="20"/>
          <w:szCs w:val="20"/>
          <w:lang w:val="es-ES_tradnl"/>
        </w:rPr>
        <w:t xml:space="preserve"> estuviera detenido a disposición de dichas entidades</w:t>
      </w:r>
      <w:r w:rsidR="00C73C2A" w:rsidRPr="00E019A9">
        <w:rPr>
          <w:rStyle w:val="FootnoteReference"/>
          <w:sz w:val="20"/>
          <w:szCs w:val="20"/>
          <w:lang w:val="es-ES_tradnl"/>
        </w:rPr>
        <w:footnoteReference w:id="110"/>
      </w:r>
      <w:r w:rsidR="00C73C2A" w:rsidRPr="00E019A9">
        <w:rPr>
          <w:sz w:val="20"/>
          <w:szCs w:val="20"/>
          <w:lang w:val="es-ES_tradnl"/>
        </w:rPr>
        <w:t xml:space="preserve">. </w:t>
      </w:r>
    </w:p>
    <w:p w14:paraId="43327B22" w14:textId="77777777" w:rsidR="00307B70" w:rsidRPr="00E019A9" w:rsidRDefault="00307B70" w:rsidP="00A55F36">
      <w:pPr>
        <w:pStyle w:val="ListParagraph"/>
        <w:tabs>
          <w:tab w:val="left" w:pos="567"/>
        </w:tabs>
        <w:rPr>
          <w:sz w:val="20"/>
          <w:szCs w:val="20"/>
          <w:lang w:val="es-ES_tradnl"/>
        </w:rPr>
      </w:pPr>
    </w:p>
    <w:p w14:paraId="02AA90B6" w14:textId="77777777" w:rsidR="00307B70" w:rsidRPr="00E019A9" w:rsidRDefault="00B76372"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 xml:space="preserve">El </w:t>
      </w:r>
      <w:r w:rsidR="004825F9" w:rsidRPr="00E019A9">
        <w:rPr>
          <w:sz w:val="20"/>
          <w:szCs w:val="20"/>
          <w:lang w:val="es-ES_tradnl"/>
        </w:rPr>
        <w:t xml:space="preserve">2 de abril de 2007 el </w:t>
      </w:r>
      <w:r w:rsidR="00D03166" w:rsidRPr="00E019A9">
        <w:rPr>
          <w:sz w:val="20"/>
          <w:szCs w:val="20"/>
          <w:lang w:val="es-ES_tradnl"/>
        </w:rPr>
        <w:t xml:space="preserve">Ministro en Visita Extraordinaria </w:t>
      </w:r>
      <w:r w:rsidR="00EE1790" w:rsidRPr="00E019A9">
        <w:rPr>
          <w:sz w:val="20"/>
          <w:szCs w:val="20"/>
          <w:lang w:val="es-ES_tradnl"/>
        </w:rPr>
        <w:t>Fuentes Belmar</w:t>
      </w:r>
      <w:r w:rsidR="00702036" w:rsidRPr="00E019A9">
        <w:rPr>
          <w:sz w:val="20"/>
          <w:szCs w:val="20"/>
          <w:lang w:val="es-ES_tradnl"/>
        </w:rPr>
        <w:t xml:space="preserve"> </w:t>
      </w:r>
      <w:r w:rsidR="00EE1790" w:rsidRPr="00E019A9">
        <w:rPr>
          <w:sz w:val="20"/>
          <w:szCs w:val="20"/>
          <w:lang w:val="es-ES_tradnl"/>
        </w:rPr>
        <w:t>condenó a</w:t>
      </w:r>
      <w:r w:rsidR="009F2C47" w:rsidRPr="00E019A9">
        <w:rPr>
          <w:sz w:val="20"/>
          <w:szCs w:val="20"/>
          <w:lang w:val="es-ES_tradnl"/>
        </w:rPr>
        <w:t xml:space="preserve">l ex Director Ejecutivo de la DINA </w:t>
      </w:r>
      <w:r w:rsidR="00EE1790" w:rsidRPr="00E019A9">
        <w:rPr>
          <w:sz w:val="20"/>
          <w:szCs w:val="20"/>
          <w:lang w:val="es-ES_tradnl"/>
        </w:rPr>
        <w:t xml:space="preserve"> Juan Manuel Guillermo Contreras Sepúlveda a la pena de 5 años y 1 día de presidio mayor en su grado mínimo y accesorias por considerarlo autor responsable del delito de secuestro calificado en perjuicio de Feliz Santiago de la Jara Goyeneche</w:t>
      </w:r>
      <w:r w:rsidR="00013CFD" w:rsidRPr="00E019A9">
        <w:rPr>
          <w:rStyle w:val="FootnoteReference"/>
          <w:sz w:val="20"/>
          <w:szCs w:val="20"/>
          <w:lang w:val="es-ES_tradnl"/>
        </w:rPr>
        <w:footnoteReference w:id="111"/>
      </w:r>
      <w:r w:rsidR="00EE1790" w:rsidRPr="00E019A9">
        <w:rPr>
          <w:sz w:val="20"/>
          <w:szCs w:val="20"/>
          <w:lang w:val="es-ES_tradnl"/>
        </w:rPr>
        <w:t>. Para decidir el monto de la pena, el magistrado consideró que el condenado Contreras Sepúlveda debía ser beneficiado por la circunstancia atenuante de irreprochable conducta anterior (</w:t>
      </w:r>
      <w:r w:rsidR="004174F3" w:rsidRPr="00E019A9">
        <w:rPr>
          <w:sz w:val="20"/>
          <w:szCs w:val="20"/>
          <w:lang w:val="es-ES_tradnl"/>
        </w:rPr>
        <w:t>art 11.6</w:t>
      </w:r>
      <w:r w:rsidR="00EE1790" w:rsidRPr="00E019A9">
        <w:rPr>
          <w:sz w:val="20"/>
          <w:szCs w:val="20"/>
          <w:lang w:val="es-ES_tradnl"/>
        </w:rPr>
        <w:t xml:space="preserve"> del Código Penal) </w:t>
      </w:r>
    </w:p>
    <w:p w14:paraId="647E42EC" w14:textId="77777777" w:rsidR="00EE1790" w:rsidRPr="00E019A9" w:rsidRDefault="00EE1790" w:rsidP="00A55F36">
      <w:pPr>
        <w:pStyle w:val="ListParagraph"/>
        <w:tabs>
          <w:tab w:val="left" w:pos="567"/>
        </w:tabs>
        <w:rPr>
          <w:sz w:val="20"/>
          <w:szCs w:val="20"/>
          <w:lang w:val="es-ES_tradnl"/>
        </w:rPr>
      </w:pPr>
    </w:p>
    <w:p w14:paraId="5ADA4967" w14:textId="77777777" w:rsidR="00EE1790" w:rsidRPr="00E019A9" w:rsidRDefault="00EE1790"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 xml:space="preserve">Por otra parte, el </w:t>
      </w:r>
      <w:r w:rsidR="009F2C47" w:rsidRPr="00E019A9">
        <w:rPr>
          <w:sz w:val="20"/>
          <w:szCs w:val="20"/>
          <w:lang w:val="es-ES_tradnl"/>
        </w:rPr>
        <w:t>juez decidió imponer a los ex agentes de la DINA Raúl Eduardo Iturriaga Neumann, Manuel Andrés Carevic Cubillos y Risere del Prado Altez España la pena de tres años de presidio menor en su grado medio y accesorias, concediéndoles a todos ellos el beneficio alternativo de la remisión condicional de la pena, conforme el art 4 de la ley 18.216</w:t>
      </w:r>
      <w:r w:rsidR="00013CFD" w:rsidRPr="00E019A9">
        <w:rPr>
          <w:rStyle w:val="FootnoteReference"/>
          <w:sz w:val="20"/>
          <w:szCs w:val="20"/>
          <w:lang w:val="es-ES_tradnl"/>
        </w:rPr>
        <w:footnoteReference w:id="112"/>
      </w:r>
      <w:r w:rsidR="009F2C47" w:rsidRPr="00E019A9">
        <w:rPr>
          <w:sz w:val="20"/>
          <w:szCs w:val="20"/>
          <w:lang w:val="es-ES_tradnl"/>
        </w:rPr>
        <w:t xml:space="preserve">. Para fallar de este modo, el magistrado consideró que en el caso de estos tres condenados se les debía imponer la pena inferior en dos grados al </w:t>
      </w:r>
      <w:r w:rsidR="00013CFD" w:rsidRPr="00E019A9">
        <w:rPr>
          <w:sz w:val="20"/>
          <w:szCs w:val="20"/>
          <w:lang w:val="es-ES_tradnl"/>
        </w:rPr>
        <w:t>mínimo</w:t>
      </w:r>
      <w:r w:rsidR="009F2C47" w:rsidRPr="00E019A9">
        <w:rPr>
          <w:sz w:val="20"/>
          <w:szCs w:val="20"/>
          <w:lang w:val="es-ES_tradnl"/>
        </w:rPr>
        <w:t xml:space="preserve"> de lo señalado por la ley para el delito que se les imputaba ya que se encontraban presentes las atenuantes de irreprochable conducta anterior (art 11.6 Código Penal) y </w:t>
      </w:r>
      <w:r w:rsidR="00013CFD" w:rsidRPr="00E019A9">
        <w:rPr>
          <w:sz w:val="20"/>
          <w:szCs w:val="20"/>
          <w:lang w:val="es-ES_tradnl"/>
        </w:rPr>
        <w:t>de cumplimiento de órdenes recibidas de un superior jerárquico</w:t>
      </w:r>
      <w:r w:rsidR="00013CFD" w:rsidRPr="00E019A9">
        <w:rPr>
          <w:rStyle w:val="FootnoteReference"/>
          <w:sz w:val="20"/>
          <w:szCs w:val="20"/>
          <w:lang w:val="es-ES_tradnl"/>
        </w:rPr>
        <w:footnoteReference w:id="113"/>
      </w:r>
      <w:r w:rsidR="00013CFD" w:rsidRPr="00E019A9">
        <w:rPr>
          <w:sz w:val="20"/>
          <w:szCs w:val="20"/>
          <w:lang w:val="es-ES_tradnl"/>
        </w:rPr>
        <w:t xml:space="preserve">. </w:t>
      </w:r>
    </w:p>
    <w:p w14:paraId="033ED3F5" w14:textId="77777777" w:rsidR="00013CFD" w:rsidRPr="00E019A9" w:rsidRDefault="00013CFD" w:rsidP="00A55F36">
      <w:pPr>
        <w:pStyle w:val="ListParagraph"/>
        <w:tabs>
          <w:tab w:val="left" w:pos="567"/>
        </w:tabs>
        <w:rPr>
          <w:sz w:val="20"/>
          <w:szCs w:val="20"/>
          <w:lang w:val="es-ES_tradnl"/>
        </w:rPr>
      </w:pPr>
    </w:p>
    <w:p w14:paraId="1C5601D2" w14:textId="77777777" w:rsidR="00A55F36" w:rsidRPr="00E019A9" w:rsidRDefault="00C536F9"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lastRenderedPageBreak/>
        <w:t>El 31 de julio de 2008 la Séptima Sala de la Corte de Apelaciones de Santiago confirmó en todos sus aspectos la sentencia condenatoria de primera instancia de fecha 2 de abril de 2007</w:t>
      </w:r>
      <w:r w:rsidRPr="00E019A9">
        <w:rPr>
          <w:rStyle w:val="FootnoteReference"/>
          <w:sz w:val="20"/>
          <w:szCs w:val="20"/>
          <w:lang w:val="es-ES_tradnl"/>
        </w:rPr>
        <w:footnoteReference w:id="114"/>
      </w:r>
      <w:r w:rsidRPr="00E019A9">
        <w:rPr>
          <w:sz w:val="20"/>
          <w:szCs w:val="20"/>
          <w:lang w:val="es-ES_tradnl"/>
        </w:rPr>
        <w:t>. En contra de esta sentencia, la</w:t>
      </w:r>
      <w:r w:rsidR="00A55F36" w:rsidRPr="00E019A9">
        <w:rPr>
          <w:sz w:val="20"/>
          <w:szCs w:val="20"/>
          <w:lang w:val="es-ES_tradnl"/>
        </w:rPr>
        <w:t>s</w:t>
      </w:r>
      <w:r w:rsidRPr="00E019A9">
        <w:rPr>
          <w:sz w:val="20"/>
          <w:szCs w:val="20"/>
          <w:lang w:val="es-ES_tradnl"/>
        </w:rPr>
        <w:t xml:space="preserve"> parte</w:t>
      </w:r>
      <w:r w:rsidR="00A55F36" w:rsidRPr="00E019A9">
        <w:rPr>
          <w:sz w:val="20"/>
          <w:szCs w:val="20"/>
          <w:lang w:val="es-ES_tradnl"/>
        </w:rPr>
        <w:t>s</w:t>
      </w:r>
      <w:r w:rsidRPr="00E019A9">
        <w:rPr>
          <w:sz w:val="20"/>
          <w:szCs w:val="20"/>
          <w:lang w:val="es-ES_tradnl"/>
        </w:rPr>
        <w:t xml:space="preserve"> querellante</w:t>
      </w:r>
      <w:r w:rsidR="00A55F36" w:rsidRPr="00E019A9">
        <w:rPr>
          <w:sz w:val="20"/>
          <w:szCs w:val="20"/>
          <w:lang w:val="es-ES_tradnl"/>
        </w:rPr>
        <w:t>s</w:t>
      </w:r>
      <w:r w:rsidRPr="00E019A9">
        <w:rPr>
          <w:sz w:val="20"/>
          <w:szCs w:val="20"/>
          <w:lang w:val="es-ES_tradnl"/>
        </w:rPr>
        <w:t xml:space="preserve"> interpus</w:t>
      </w:r>
      <w:r w:rsidR="00A55F36" w:rsidRPr="00E019A9">
        <w:rPr>
          <w:sz w:val="20"/>
          <w:szCs w:val="20"/>
          <w:lang w:val="es-ES_tradnl"/>
        </w:rPr>
        <w:t xml:space="preserve">ieron sendos recursos de casación, los cuales fueron declarados admisibles por la Corte Suprema de Justicia. </w:t>
      </w:r>
    </w:p>
    <w:p w14:paraId="2A90A863" w14:textId="77777777" w:rsidR="00A55F36" w:rsidRPr="00E019A9" w:rsidRDefault="00A55F36" w:rsidP="00A55F36">
      <w:pPr>
        <w:pStyle w:val="ListParagraph"/>
        <w:tabs>
          <w:tab w:val="left" w:pos="567"/>
        </w:tabs>
        <w:rPr>
          <w:sz w:val="20"/>
          <w:szCs w:val="20"/>
          <w:lang w:val="es-ES_tradnl"/>
        </w:rPr>
      </w:pPr>
    </w:p>
    <w:p w14:paraId="0A98B94E" w14:textId="77777777" w:rsidR="00013CFD" w:rsidRPr="00E019A9" w:rsidRDefault="00A635B6"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E</w:t>
      </w:r>
      <w:r w:rsidR="00A55F36" w:rsidRPr="00E019A9">
        <w:rPr>
          <w:sz w:val="20"/>
          <w:szCs w:val="20"/>
          <w:lang w:val="es-ES_tradnl"/>
        </w:rPr>
        <w:t xml:space="preserve">n su sentencia de fecha 10 de septiembre de 2009 la Segunda Sala de la Corte Suprema de Justicia decidió declarar de oficio la nulidad de la sentencia apelada y dictar una nueva en su reemplazo. Para decidir de este modo, el tribunal señaló que, ante los alegatos de los procesados al momento de contestar la acusación sobre la concurrencia de la circunstancia atenuante de la media prescripción consagrada en el art 103 del </w:t>
      </w:r>
      <w:r w:rsidR="00F80798" w:rsidRPr="00E019A9">
        <w:rPr>
          <w:sz w:val="20"/>
          <w:szCs w:val="20"/>
          <w:lang w:val="es-ES_tradnl"/>
        </w:rPr>
        <w:t>Código</w:t>
      </w:r>
      <w:r w:rsidR="00A55F36" w:rsidRPr="00E019A9">
        <w:rPr>
          <w:sz w:val="20"/>
          <w:szCs w:val="20"/>
          <w:lang w:val="es-ES_tradnl"/>
        </w:rPr>
        <w:t xml:space="preserve"> Penal, los magistrados de los tribunales inferiores </w:t>
      </w:r>
      <w:r w:rsidR="00F80798" w:rsidRPr="00E019A9">
        <w:rPr>
          <w:sz w:val="20"/>
          <w:szCs w:val="20"/>
          <w:lang w:val="es-ES_tradnl"/>
        </w:rPr>
        <w:t xml:space="preserve">habían esgrimido los mismos argumentos para denegar su aplicación que aquellos utilizados para denegar la excepción de prescripción de la acción penal.  </w:t>
      </w:r>
      <w:r w:rsidR="00A55F36" w:rsidRPr="00E019A9">
        <w:rPr>
          <w:sz w:val="20"/>
          <w:szCs w:val="20"/>
          <w:lang w:val="es-ES_tradnl"/>
        </w:rPr>
        <w:t xml:space="preserve"> </w:t>
      </w:r>
      <w:r w:rsidR="00F80798" w:rsidRPr="00E019A9">
        <w:rPr>
          <w:sz w:val="20"/>
          <w:szCs w:val="20"/>
          <w:lang w:val="es-ES_tradnl"/>
        </w:rPr>
        <w:t xml:space="preserve">En este sentido, el tribunal sostuvo que “siendo la prescripción de la acción penal una causal extintiva de la responsabilidad penal, claramente distinguible de la denominada ‘prescripción gradual’ o ‘media prescripción’, que produce efectos penales totalmente distintos, ya que solo puede conducir a una rebaja de la sanción, los razonamientos dirigidos a rechazar una y otra no pueden ser los mismos” </w:t>
      </w:r>
      <w:r w:rsidR="00F80798" w:rsidRPr="00E019A9">
        <w:rPr>
          <w:rStyle w:val="FootnoteReference"/>
          <w:sz w:val="20"/>
          <w:szCs w:val="20"/>
          <w:lang w:val="es-ES_tradnl"/>
        </w:rPr>
        <w:footnoteReference w:id="115"/>
      </w:r>
      <w:r w:rsidR="00F80798" w:rsidRPr="00E019A9">
        <w:rPr>
          <w:sz w:val="20"/>
          <w:szCs w:val="20"/>
          <w:lang w:val="es-ES_tradnl"/>
        </w:rPr>
        <w:t xml:space="preserve">. </w:t>
      </w:r>
    </w:p>
    <w:p w14:paraId="2009A8EC" w14:textId="77777777" w:rsidR="00F80798" w:rsidRPr="00E019A9" w:rsidRDefault="00F80798" w:rsidP="00F80798">
      <w:pPr>
        <w:pStyle w:val="ListParagraph"/>
        <w:rPr>
          <w:sz w:val="20"/>
          <w:szCs w:val="20"/>
          <w:lang w:val="es-ES_tradnl"/>
        </w:rPr>
      </w:pPr>
    </w:p>
    <w:p w14:paraId="2DA2396E" w14:textId="77777777" w:rsidR="00F80798" w:rsidRPr="00E019A9" w:rsidRDefault="00F80798"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 xml:space="preserve">En su sentencia de reemplazo dictada el mismo 10 de septiembre de 2009, la Corte Suprema de Justicia </w:t>
      </w:r>
      <w:r w:rsidR="006A464A" w:rsidRPr="00E019A9">
        <w:rPr>
          <w:sz w:val="20"/>
          <w:szCs w:val="20"/>
          <w:lang w:val="es-ES_tradnl"/>
        </w:rPr>
        <w:t>señaló, en primer término, que la imposibilidad de aplicar en casos de esta índole la prescripción de la acción penal no alcanza a la denominada media prescripción o prescripción gradual consagrada en el art 103 del Código Penal toda vez que se tratan de institutos jurídicos distintos cuyos efectos también son diversos. En segundo t</w:t>
      </w:r>
      <w:r w:rsidR="008A4D59" w:rsidRPr="00E019A9">
        <w:rPr>
          <w:sz w:val="20"/>
          <w:szCs w:val="20"/>
          <w:lang w:val="es-ES_tradnl"/>
        </w:rPr>
        <w:t>é</w:t>
      </w:r>
      <w:r w:rsidR="006A464A" w:rsidRPr="00E019A9">
        <w:rPr>
          <w:sz w:val="20"/>
          <w:szCs w:val="20"/>
          <w:lang w:val="es-ES_tradnl"/>
        </w:rPr>
        <w:t>rmino, el tribunal afirmó que dicho art 103 es una norma de orden p</w:t>
      </w:r>
      <w:r w:rsidR="006D461D" w:rsidRPr="00E019A9">
        <w:rPr>
          <w:sz w:val="20"/>
          <w:szCs w:val="20"/>
          <w:lang w:val="es-ES_tradnl"/>
        </w:rPr>
        <w:t>ú</w:t>
      </w:r>
      <w:r w:rsidR="006A464A" w:rsidRPr="00E019A9">
        <w:rPr>
          <w:sz w:val="20"/>
          <w:szCs w:val="20"/>
          <w:lang w:val="es-ES_tradnl"/>
        </w:rPr>
        <w:t>blico cuya aplicación es imperativa para los jueces</w:t>
      </w:r>
      <w:r w:rsidR="006D461D" w:rsidRPr="00E019A9">
        <w:rPr>
          <w:rStyle w:val="FootnoteReference"/>
          <w:sz w:val="20"/>
          <w:szCs w:val="20"/>
          <w:lang w:val="es-ES_tradnl"/>
        </w:rPr>
        <w:footnoteReference w:id="116"/>
      </w:r>
      <w:r w:rsidR="006A464A" w:rsidRPr="00E019A9">
        <w:rPr>
          <w:sz w:val="20"/>
          <w:szCs w:val="20"/>
          <w:lang w:val="es-ES_tradnl"/>
        </w:rPr>
        <w:t xml:space="preserve">. </w:t>
      </w:r>
    </w:p>
    <w:p w14:paraId="438206AE" w14:textId="77777777" w:rsidR="006A464A" w:rsidRPr="00E019A9" w:rsidRDefault="006A464A" w:rsidP="00A210F8">
      <w:pPr>
        <w:pStyle w:val="ListParagraph"/>
        <w:rPr>
          <w:sz w:val="20"/>
          <w:szCs w:val="20"/>
          <w:lang w:val="es-ES_tradnl"/>
        </w:rPr>
      </w:pPr>
    </w:p>
    <w:p w14:paraId="6E471341" w14:textId="77777777" w:rsidR="006D461D" w:rsidRPr="00E019A9" w:rsidRDefault="006A464A"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 xml:space="preserve">Con respecto a la aplicación de las reglas de la media prescripción al caso concreto de la desaparición forzada del Sr. de la Jara Goyeneche, el </w:t>
      </w:r>
      <w:r w:rsidR="00392A0C" w:rsidRPr="00E019A9">
        <w:rPr>
          <w:sz w:val="20"/>
          <w:szCs w:val="20"/>
          <w:lang w:val="es-ES_tradnl"/>
        </w:rPr>
        <w:t xml:space="preserve">tribunal </w:t>
      </w:r>
      <w:r w:rsidR="00BF6F8F" w:rsidRPr="00E019A9">
        <w:rPr>
          <w:sz w:val="20"/>
          <w:szCs w:val="20"/>
          <w:lang w:val="es-ES_tradnl"/>
        </w:rPr>
        <w:t>recordó que, conforme lo establecido por los arts. 94 y 95 del Código Penal, la acción penal prescribe, en el caso de los crímenes, en el plazo de 15 y 10 años según la gravedad de los mismos, contados desde el momento en que se hubiere cometido el delito y que el art 103 exige para la aplicación de la media prescripción que al menos la mitad de dicho plazo haya transcurrido. En consecuencia, prosiguió su razonamiento el tribunal, siendo que el secuestro del Sr. de la Jara Goyeneche se inició el 27 de septiembre de 1974 y que el 20 de septiembre de 2005 se dictó auto de procesamiento contra los encartados,  la condición temporal exigida para la aplicación del  art 103 del Código Penal se encuentra cumplida</w:t>
      </w:r>
      <w:r w:rsidR="006D461D" w:rsidRPr="00E019A9">
        <w:rPr>
          <w:rStyle w:val="FootnoteReference"/>
          <w:sz w:val="20"/>
          <w:szCs w:val="20"/>
          <w:lang w:val="es-ES_tradnl"/>
        </w:rPr>
        <w:footnoteReference w:id="117"/>
      </w:r>
      <w:r w:rsidR="00BF6F8F" w:rsidRPr="00E019A9">
        <w:rPr>
          <w:sz w:val="20"/>
          <w:szCs w:val="20"/>
          <w:lang w:val="es-ES_tradnl"/>
        </w:rPr>
        <w:t>.</w:t>
      </w:r>
    </w:p>
    <w:p w14:paraId="37BAA0D8" w14:textId="77777777" w:rsidR="006D461D" w:rsidRPr="00E019A9" w:rsidRDefault="006D461D" w:rsidP="00A210F8">
      <w:pPr>
        <w:pStyle w:val="ListParagraph"/>
        <w:rPr>
          <w:sz w:val="20"/>
          <w:szCs w:val="20"/>
          <w:lang w:val="es-ES_tradnl"/>
        </w:rPr>
      </w:pPr>
    </w:p>
    <w:p w14:paraId="0DB95E9B" w14:textId="77777777" w:rsidR="00C536F9" w:rsidRPr="00E019A9" w:rsidRDefault="006D461D"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En lo que tiene que ver con el agravio planteado por los querellantes relacionado con la aplicación a los condenados de la circunstancia atenuante de obediencia debida, la Corte Suprema afirmó que</w:t>
      </w:r>
      <w:r w:rsidR="00BF6F8F" w:rsidRPr="00E019A9">
        <w:rPr>
          <w:sz w:val="20"/>
          <w:szCs w:val="20"/>
          <w:lang w:val="es-ES_tradnl"/>
        </w:rPr>
        <w:t xml:space="preserve"> </w:t>
      </w:r>
      <w:r w:rsidRPr="00E019A9">
        <w:rPr>
          <w:sz w:val="20"/>
          <w:szCs w:val="20"/>
          <w:lang w:val="es-ES_tradnl"/>
        </w:rPr>
        <w:t xml:space="preserve">“como </w:t>
      </w:r>
      <w:r w:rsidR="004174F3" w:rsidRPr="00E019A9">
        <w:rPr>
          <w:sz w:val="20"/>
          <w:szCs w:val="20"/>
          <w:lang w:val="es-ES_tradnl"/>
        </w:rPr>
        <w:t>los sentenciados Iturriaga, Care</w:t>
      </w:r>
      <w:r w:rsidRPr="00E019A9">
        <w:rPr>
          <w:sz w:val="20"/>
          <w:szCs w:val="20"/>
          <w:lang w:val="es-ES_tradnl"/>
        </w:rPr>
        <w:t xml:space="preserve">vic y Altez niegan toda participación en los hechos delictivos materia de la imputación, y ni siquiera insinúan que las conductas ilícitas acreditadas a su respecto fueron ejecutadas en obedecimiento a </w:t>
      </w:r>
      <w:r w:rsidR="00C266C8" w:rsidRPr="00E019A9">
        <w:rPr>
          <w:sz w:val="20"/>
          <w:szCs w:val="20"/>
          <w:lang w:val="es-ES_tradnl"/>
        </w:rPr>
        <w:t>órdenes</w:t>
      </w:r>
      <w:r w:rsidRPr="00E019A9">
        <w:rPr>
          <w:sz w:val="20"/>
          <w:szCs w:val="20"/>
          <w:lang w:val="es-ES_tradnl"/>
        </w:rPr>
        <w:t xml:space="preserve"> de superiores jerárquicos, procede desechar la atenuante en cuestión”</w:t>
      </w:r>
      <w:r w:rsidRPr="00E019A9">
        <w:rPr>
          <w:rStyle w:val="FootnoteReference"/>
          <w:sz w:val="20"/>
          <w:szCs w:val="20"/>
          <w:lang w:val="es-ES_tradnl"/>
        </w:rPr>
        <w:footnoteReference w:id="118"/>
      </w:r>
      <w:r w:rsidRPr="00E019A9">
        <w:rPr>
          <w:sz w:val="20"/>
          <w:szCs w:val="20"/>
          <w:lang w:val="es-ES_tradnl"/>
        </w:rPr>
        <w:t xml:space="preserve">. </w:t>
      </w:r>
    </w:p>
    <w:p w14:paraId="1B6F1583" w14:textId="77777777" w:rsidR="006D461D" w:rsidRPr="00E019A9" w:rsidRDefault="006D461D" w:rsidP="00A210F8">
      <w:pPr>
        <w:pStyle w:val="ListParagraph"/>
        <w:rPr>
          <w:sz w:val="20"/>
          <w:szCs w:val="20"/>
          <w:lang w:val="es-ES_tradnl"/>
        </w:rPr>
      </w:pPr>
    </w:p>
    <w:p w14:paraId="0F98F4B8" w14:textId="77777777" w:rsidR="00A210F8" w:rsidRPr="00E019A9" w:rsidRDefault="004174F3"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A efectos</w:t>
      </w:r>
      <w:r w:rsidR="006D461D" w:rsidRPr="00E019A9">
        <w:rPr>
          <w:sz w:val="20"/>
          <w:szCs w:val="20"/>
          <w:lang w:val="es-ES_tradnl"/>
        </w:rPr>
        <w:t xml:space="preserve"> de la determinación de la pena, la Corte Suprema concluyó que los condenados Contreras </w:t>
      </w:r>
      <w:r w:rsidR="00A210F8" w:rsidRPr="00E019A9">
        <w:rPr>
          <w:sz w:val="20"/>
          <w:szCs w:val="20"/>
          <w:lang w:val="es-ES_tradnl"/>
        </w:rPr>
        <w:t>Sepúlveda</w:t>
      </w:r>
      <w:r w:rsidR="006D461D" w:rsidRPr="00E019A9">
        <w:rPr>
          <w:sz w:val="20"/>
          <w:szCs w:val="20"/>
          <w:lang w:val="es-ES_tradnl"/>
        </w:rPr>
        <w:t xml:space="preserve">, Iturriaga Neuman, Carevic Cubillos y Altez España resultaban favorecidos por las circunstancias atenuantes de irreprochable conducta anterior (art 11.6 Código Penal) y media </w:t>
      </w:r>
      <w:r w:rsidR="00A210F8" w:rsidRPr="00E019A9">
        <w:rPr>
          <w:sz w:val="20"/>
          <w:szCs w:val="20"/>
          <w:lang w:val="es-ES_tradnl"/>
        </w:rPr>
        <w:t>prescripción</w:t>
      </w:r>
      <w:r w:rsidR="006D461D" w:rsidRPr="00E019A9">
        <w:rPr>
          <w:sz w:val="20"/>
          <w:szCs w:val="20"/>
          <w:lang w:val="es-ES_tradnl"/>
        </w:rPr>
        <w:t xml:space="preserve"> (art 103 </w:t>
      </w:r>
      <w:r w:rsidR="00A210F8" w:rsidRPr="00E019A9">
        <w:rPr>
          <w:sz w:val="20"/>
          <w:szCs w:val="20"/>
          <w:lang w:val="es-ES_tradnl"/>
        </w:rPr>
        <w:t>Código</w:t>
      </w:r>
      <w:r w:rsidR="006D461D" w:rsidRPr="00E019A9">
        <w:rPr>
          <w:sz w:val="20"/>
          <w:szCs w:val="20"/>
          <w:lang w:val="es-ES_tradnl"/>
        </w:rPr>
        <w:t xml:space="preserve"> Penal)</w:t>
      </w:r>
      <w:r w:rsidR="00A210F8" w:rsidRPr="00E019A9">
        <w:rPr>
          <w:sz w:val="20"/>
          <w:szCs w:val="20"/>
          <w:lang w:val="es-ES_tradnl"/>
        </w:rPr>
        <w:t xml:space="preserve">. En consecuencia, el tribunal rebajó en un grado la penalidad impuesta a Contreras Sepúlveda, fijó en 5 años de presidio menor en su grado máximo su sanción penal </w:t>
      </w:r>
      <w:r w:rsidR="00C266C8" w:rsidRPr="00E019A9">
        <w:rPr>
          <w:sz w:val="20"/>
          <w:szCs w:val="20"/>
          <w:lang w:val="es-ES_tradnl"/>
        </w:rPr>
        <w:t>más</w:t>
      </w:r>
      <w:r w:rsidR="00A210F8" w:rsidRPr="00E019A9">
        <w:rPr>
          <w:sz w:val="20"/>
          <w:szCs w:val="20"/>
          <w:lang w:val="es-ES_tradnl"/>
        </w:rPr>
        <w:t xml:space="preserve"> accesorias y le concedió la medida alternativa de libertad vigilada. Finalmente, con respecto a los otros tres sentenciados, la Corte Suprema dispuso que sean condenados a la pena de 3 años de presidio menor en su grado medio </w:t>
      </w:r>
      <w:r w:rsidR="00C266C8" w:rsidRPr="00E019A9">
        <w:rPr>
          <w:sz w:val="20"/>
          <w:szCs w:val="20"/>
          <w:lang w:val="es-ES_tradnl"/>
        </w:rPr>
        <w:t>más</w:t>
      </w:r>
      <w:r w:rsidR="00A210F8" w:rsidRPr="00E019A9">
        <w:rPr>
          <w:sz w:val="20"/>
          <w:szCs w:val="20"/>
          <w:lang w:val="es-ES_tradnl"/>
        </w:rPr>
        <w:t xml:space="preserve"> accesorias y les </w:t>
      </w:r>
      <w:r w:rsidR="00A210F8" w:rsidRPr="00E019A9">
        <w:rPr>
          <w:sz w:val="20"/>
          <w:szCs w:val="20"/>
          <w:lang w:val="es-ES_tradnl"/>
        </w:rPr>
        <w:lastRenderedPageBreak/>
        <w:t>ratificó la medida alternativa de remisión condicional de la pena concedida a todos ellos por el juez de primera instancia</w:t>
      </w:r>
      <w:r w:rsidR="00A210F8" w:rsidRPr="00E019A9">
        <w:rPr>
          <w:rStyle w:val="FootnoteReference"/>
          <w:sz w:val="20"/>
          <w:szCs w:val="20"/>
          <w:lang w:val="es-ES_tradnl"/>
        </w:rPr>
        <w:footnoteReference w:id="119"/>
      </w:r>
      <w:r w:rsidR="00A210F8" w:rsidRPr="00E019A9">
        <w:rPr>
          <w:sz w:val="20"/>
          <w:szCs w:val="20"/>
          <w:lang w:val="es-ES_tradnl"/>
        </w:rPr>
        <w:t xml:space="preserve">.  </w:t>
      </w:r>
    </w:p>
    <w:p w14:paraId="79F0FE2C" w14:textId="77777777" w:rsidR="00A210F8" w:rsidRPr="00E019A9" w:rsidRDefault="00A210F8" w:rsidP="00A210F8">
      <w:pPr>
        <w:rPr>
          <w:sz w:val="20"/>
          <w:szCs w:val="20"/>
          <w:lang w:val="es-ES_tradnl" w:eastAsia="es-ES"/>
        </w:rPr>
      </w:pPr>
    </w:p>
    <w:p w14:paraId="2D53DB31" w14:textId="77777777" w:rsidR="0065186E" w:rsidRPr="00E019A9" w:rsidRDefault="0065186E" w:rsidP="00BB60A6">
      <w:pPr>
        <w:pStyle w:val="Heading3"/>
        <w:numPr>
          <w:ilvl w:val="1"/>
          <w:numId w:val="59"/>
        </w:numPr>
        <w:tabs>
          <w:tab w:val="left" w:pos="567"/>
          <w:tab w:val="left" w:pos="1134"/>
        </w:tabs>
        <w:ind w:left="567" w:firstLine="0"/>
        <w:jc w:val="both"/>
      </w:pPr>
      <w:r w:rsidRPr="00E019A9">
        <w:t xml:space="preserve">Respecto de la petición presentada en representación de Cecilia Miguelina Bojanic Abad y Flavio Arquímedes Oyarzun Soto y sus respectivos familiares y registrada inicialmente por la Comisión bajo el número 674-11. </w:t>
      </w:r>
    </w:p>
    <w:p w14:paraId="050CAE5C" w14:textId="77777777" w:rsidR="0065186E" w:rsidRPr="00E019A9" w:rsidRDefault="0065186E" w:rsidP="00A46D85">
      <w:pPr>
        <w:jc w:val="both"/>
        <w:rPr>
          <w:rFonts w:ascii="Cambria" w:hAnsi="Cambria"/>
          <w:b/>
          <w:color w:val="000000" w:themeColor="text1"/>
          <w:sz w:val="20"/>
          <w:szCs w:val="20"/>
          <w:lang w:val="es-ES_tradnl" w:eastAsia="es-ES"/>
        </w:rPr>
      </w:pPr>
    </w:p>
    <w:p w14:paraId="5289C4CE" w14:textId="77777777" w:rsidR="00363733" w:rsidRPr="00E019A9" w:rsidRDefault="00363733" w:rsidP="00BB60A6">
      <w:pPr>
        <w:pStyle w:val="ListParagraph"/>
        <w:numPr>
          <w:ilvl w:val="0"/>
          <w:numId w:val="58"/>
        </w:numPr>
        <w:tabs>
          <w:tab w:val="left" w:pos="0"/>
          <w:tab w:val="left" w:pos="567"/>
        </w:tabs>
        <w:ind w:left="0" w:firstLine="0"/>
        <w:jc w:val="both"/>
        <w:rPr>
          <w:color w:val="000000" w:themeColor="text1"/>
          <w:sz w:val="20"/>
          <w:szCs w:val="20"/>
          <w:lang w:val="es-ES_tradnl"/>
        </w:rPr>
      </w:pPr>
      <w:r w:rsidRPr="00E019A9">
        <w:rPr>
          <w:color w:val="000000" w:themeColor="text1"/>
          <w:sz w:val="20"/>
          <w:szCs w:val="20"/>
          <w:lang w:val="es-ES_tradnl"/>
        </w:rPr>
        <w:t>Conforme a la información en poder de la Comisión</w:t>
      </w:r>
      <w:r w:rsidRPr="00E019A9">
        <w:rPr>
          <w:b/>
          <w:color w:val="000000" w:themeColor="text1"/>
          <w:sz w:val="20"/>
          <w:szCs w:val="20"/>
          <w:lang w:val="es-ES_tradnl"/>
        </w:rPr>
        <w:t xml:space="preserve">, </w:t>
      </w:r>
      <w:r w:rsidR="001E61EF" w:rsidRPr="00E019A9">
        <w:rPr>
          <w:color w:val="000000" w:themeColor="text1"/>
          <w:sz w:val="20"/>
          <w:szCs w:val="20"/>
          <w:lang w:val="es-ES_tradnl"/>
        </w:rPr>
        <w:t>se encuentra</w:t>
      </w:r>
      <w:r w:rsidRPr="00E019A9">
        <w:rPr>
          <w:color w:val="000000" w:themeColor="text1"/>
          <w:sz w:val="20"/>
          <w:szCs w:val="20"/>
          <w:lang w:val="es-ES_tradnl"/>
        </w:rPr>
        <w:t xml:space="preserve"> acreditado que</w:t>
      </w:r>
      <w:r w:rsidR="001E61EF" w:rsidRPr="00E019A9">
        <w:rPr>
          <w:color w:val="000000" w:themeColor="text1"/>
          <w:sz w:val="20"/>
          <w:szCs w:val="20"/>
          <w:lang w:val="es-ES_tradnl"/>
        </w:rPr>
        <w:t xml:space="preserve"> el 2 de octubre de 1974 agentes pertenecientes a la DINA vestidos de civil irrumpieron en un domicilio de la calle Paraguay 1156</w:t>
      </w:r>
      <w:r w:rsidR="003D6793" w:rsidRPr="00E019A9">
        <w:rPr>
          <w:color w:val="000000" w:themeColor="text1"/>
          <w:sz w:val="20"/>
          <w:szCs w:val="20"/>
          <w:lang w:val="es-ES_tradnl"/>
        </w:rPr>
        <w:t>, comuna de La Granja</w:t>
      </w:r>
      <w:r w:rsidR="00322327" w:rsidRPr="00E019A9">
        <w:rPr>
          <w:color w:val="000000" w:themeColor="text1"/>
          <w:sz w:val="20"/>
          <w:szCs w:val="20"/>
          <w:lang w:val="es-ES_tradnl"/>
        </w:rPr>
        <w:t>, Región Metropolitana de Santiago</w:t>
      </w:r>
      <w:r w:rsidR="003D6793" w:rsidRPr="00E019A9">
        <w:rPr>
          <w:color w:val="000000" w:themeColor="text1"/>
          <w:sz w:val="20"/>
          <w:szCs w:val="20"/>
          <w:lang w:val="es-ES_tradnl"/>
        </w:rPr>
        <w:t xml:space="preserve"> y procedieron a privar de su libertad a Cecilia Miguelina Bojanic Abad - quien se encontraba embarazada de aproximadamente cuatro meses - y a su hijo Leonardo Oyarzun Bojanic de un año y medio de edad</w:t>
      </w:r>
      <w:r w:rsidR="00F52A8E" w:rsidRPr="00E019A9">
        <w:rPr>
          <w:rStyle w:val="FootnoteReference"/>
          <w:color w:val="000000" w:themeColor="text1"/>
          <w:sz w:val="20"/>
          <w:szCs w:val="20"/>
          <w:lang w:val="es-ES_tradnl"/>
        </w:rPr>
        <w:footnoteReference w:id="120"/>
      </w:r>
      <w:r w:rsidR="003D6793" w:rsidRPr="00E019A9">
        <w:rPr>
          <w:color w:val="000000" w:themeColor="text1"/>
          <w:sz w:val="20"/>
          <w:szCs w:val="20"/>
          <w:lang w:val="es-ES_tradnl"/>
        </w:rPr>
        <w:t xml:space="preserve">. </w:t>
      </w:r>
      <w:r w:rsidR="001E61EF" w:rsidRPr="00E019A9">
        <w:rPr>
          <w:color w:val="000000" w:themeColor="text1"/>
          <w:sz w:val="20"/>
          <w:szCs w:val="20"/>
          <w:lang w:val="es-ES_tradnl"/>
        </w:rPr>
        <w:t xml:space="preserve">  </w:t>
      </w:r>
    </w:p>
    <w:p w14:paraId="0A4FF452" w14:textId="77777777" w:rsidR="00322327" w:rsidRPr="00E019A9" w:rsidRDefault="00322327" w:rsidP="00322327">
      <w:pPr>
        <w:pStyle w:val="ListParagraph"/>
        <w:tabs>
          <w:tab w:val="left" w:pos="567"/>
        </w:tabs>
        <w:ind w:left="0"/>
        <w:jc w:val="both"/>
        <w:rPr>
          <w:color w:val="000000" w:themeColor="text1"/>
          <w:sz w:val="20"/>
          <w:szCs w:val="20"/>
          <w:lang w:val="es-ES_tradnl"/>
        </w:rPr>
      </w:pPr>
    </w:p>
    <w:p w14:paraId="385CAD54" w14:textId="77777777" w:rsidR="003D6793" w:rsidRPr="00E019A9" w:rsidRDefault="00E220A5" w:rsidP="00BB60A6">
      <w:pPr>
        <w:pStyle w:val="ListParagraph"/>
        <w:numPr>
          <w:ilvl w:val="0"/>
          <w:numId w:val="58"/>
        </w:numPr>
        <w:tabs>
          <w:tab w:val="left" w:pos="567"/>
        </w:tabs>
        <w:ind w:left="0" w:firstLine="0"/>
        <w:jc w:val="both"/>
        <w:rPr>
          <w:color w:val="000000" w:themeColor="text1"/>
          <w:sz w:val="20"/>
          <w:szCs w:val="20"/>
          <w:lang w:val="es-ES_tradnl"/>
        </w:rPr>
      </w:pPr>
      <w:r w:rsidRPr="00E019A9">
        <w:rPr>
          <w:color w:val="000000" w:themeColor="text1"/>
          <w:sz w:val="20"/>
          <w:szCs w:val="20"/>
          <w:lang w:val="es-ES_tradnl"/>
        </w:rPr>
        <w:t>La</w:t>
      </w:r>
      <w:r w:rsidR="003D6793" w:rsidRPr="00E019A9">
        <w:rPr>
          <w:color w:val="000000" w:themeColor="text1"/>
          <w:sz w:val="20"/>
          <w:szCs w:val="20"/>
          <w:lang w:val="es-ES_tradnl"/>
        </w:rPr>
        <w:t xml:space="preserve"> Sra. Bojanic Abad y su hijo fueron trasladados a otro in</w:t>
      </w:r>
      <w:r w:rsidR="00322327" w:rsidRPr="00E019A9">
        <w:rPr>
          <w:color w:val="000000" w:themeColor="text1"/>
          <w:sz w:val="20"/>
          <w:szCs w:val="20"/>
          <w:lang w:val="es-ES_tradnl"/>
        </w:rPr>
        <w:t xml:space="preserve">mueble ubicado en la calle Sanfuentes 252 de la Comuna de Las Condes, </w:t>
      </w:r>
      <w:r w:rsidR="00910B94" w:rsidRPr="00E019A9">
        <w:rPr>
          <w:color w:val="000000" w:themeColor="text1"/>
          <w:sz w:val="20"/>
          <w:szCs w:val="20"/>
          <w:lang w:val="es-ES_tradnl"/>
        </w:rPr>
        <w:t>Región</w:t>
      </w:r>
      <w:r w:rsidR="00322327" w:rsidRPr="00E019A9">
        <w:rPr>
          <w:color w:val="000000" w:themeColor="text1"/>
          <w:sz w:val="20"/>
          <w:szCs w:val="20"/>
          <w:lang w:val="es-ES_tradnl"/>
        </w:rPr>
        <w:t xml:space="preserve"> Metropolitana de Santiago, </w:t>
      </w:r>
      <w:r w:rsidR="00A35DD2" w:rsidRPr="00E019A9">
        <w:rPr>
          <w:color w:val="000000" w:themeColor="text1"/>
          <w:sz w:val="20"/>
          <w:szCs w:val="20"/>
          <w:lang w:val="es-ES_tradnl"/>
        </w:rPr>
        <w:t xml:space="preserve">propiedad de una de sus hermanas, </w:t>
      </w:r>
      <w:r w:rsidR="00322327" w:rsidRPr="00E019A9">
        <w:rPr>
          <w:color w:val="000000" w:themeColor="text1"/>
          <w:sz w:val="20"/>
          <w:szCs w:val="20"/>
          <w:lang w:val="es-ES_tradnl"/>
        </w:rPr>
        <w:t xml:space="preserve">donde se hallaba su </w:t>
      </w:r>
      <w:r w:rsidR="00910B94" w:rsidRPr="00E019A9">
        <w:rPr>
          <w:color w:val="000000" w:themeColor="text1"/>
          <w:sz w:val="20"/>
          <w:szCs w:val="20"/>
          <w:lang w:val="es-ES_tradnl"/>
        </w:rPr>
        <w:t>cónyuge</w:t>
      </w:r>
      <w:r w:rsidR="00322327" w:rsidRPr="00E019A9">
        <w:rPr>
          <w:color w:val="000000" w:themeColor="text1"/>
          <w:sz w:val="20"/>
          <w:szCs w:val="20"/>
          <w:lang w:val="es-ES_tradnl"/>
        </w:rPr>
        <w:t xml:space="preserve"> </w:t>
      </w:r>
      <w:r w:rsidR="00910B94" w:rsidRPr="00E019A9">
        <w:rPr>
          <w:color w:val="000000" w:themeColor="text1"/>
          <w:sz w:val="20"/>
          <w:szCs w:val="20"/>
          <w:lang w:val="es-ES_tradnl"/>
        </w:rPr>
        <w:t xml:space="preserve">Flavio Arquímedes Oyarzun Soto, quien </w:t>
      </w:r>
      <w:r w:rsidR="00A35DD2" w:rsidRPr="00E019A9">
        <w:rPr>
          <w:color w:val="000000" w:themeColor="text1"/>
          <w:sz w:val="20"/>
          <w:szCs w:val="20"/>
          <w:lang w:val="es-ES_tradnl"/>
        </w:rPr>
        <w:t>también</w:t>
      </w:r>
      <w:r w:rsidR="00910B94" w:rsidRPr="00E019A9">
        <w:rPr>
          <w:color w:val="000000" w:themeColor="text1"/>
          <w:sz w:val="20"/>
          <w:szCs w:val="20"/>
          <w:lang w:val="es-ES_tradnl"/>
        </w:rPr>
        <w:t xml:space="preserve"> fue arrestado por los agentes que conducían el operativo. </w:t>
      </w:r>
      <w:r w:rsidR="00A35DD2" w:rsidRPr="00E019A9">
        <w:rPr>
          <w:color w:val="000000" w:themeColor="text1"/>
          <w:sz w:val="20"/>
          <w:szCs w:val="20"/>
          <w:lang w:val="es-ES_tradnl"/>
        </w:rPr>
        <w:t>El hijo de la pareja fue dejado por los agentes de la DINA al cuidado de la hermana de la Sra. Bojanic</w:t>
      </w:r>
      <w:r w:rsidR="004874D2" w:rsidRPr="00E019A9">
        <w:rPr>
          <w:color w:val="000000" w:themeColor="text1"/>
          <w:sz w:val="20"/>
          <w:szCs w:val="20"/>
          <w:lang w:val="es-ES_tradnl"/>
        </w:rPr>
        <w:t xml:space="preserve"> </w:t>
      </w:r>
      <w:r w:rsidR="00A35DD2" w:rsidRPr="00E019A9">
        <w:rPr>
          <w:color w:val="000000" w:themeColor="text1"/>
          <w:sz w:val="20"/>
          <w:szCs w:val="20"/>
          <w:lang w:val="es-ES_tradnl"/>
        </w:rPr>
        <w:t>Abad</w:t>
      </w:r>
      <w:r w:rsidR="00F52A8E" w:rsidRPr="00E019A9">
        <w:rPr>
          <w:rStyle w:val="FootnoteReference"/>
          <w:color w:val="000000" w:themeColor="text1"/>
          <w:sz w:val="20"/>
          <w:szCs w:val="20"/>
          <w:lang w:val="es-ES_tradnl"/>
        </w:rPr>
        <w:footnoteReference w:id="121"/>
      </w:r>
      <w:r w:rsidR="00A35DD2" w:rsidRPr="00E019A9">
        <w:rPr>
          <w:color w:val="000000" w:themeColor="text1"/>
          <w:sz w:val="20"/>
          <w:szCs w:val="20"/>
          <w:lang w:val="es-ES_tradnl"/>
        </w:rPr>
        <w:t xml:space="preserve">. </w:t>
      </w:r>
    </w:p>
    <w:p w14:paraId="56724A8D" w14:textId="77777777" w:rsidR="00A35DD2" w:rsidRPr="00E019A9" w:rsidRDefault="00A35DD2" w:rsidP="00A35DD2">
      <w:pPr>
        <w:pStyle w:val="ListParagraph"/>
        <w:rPr>
          <w:color w:val="000000" w:themeColor="text1"/>
          <w:sz w:val="20"/>
          <w:szCs w:val="20"/>
          <w:lang w:val="es-ES_tradnl"/>
        </w:rPr>
      </w:pPr>
    </w:p>
    <w:p w14:paraId="79A2F7A8" w14:textId="77777777" w:rsidR="00E220A5" w:rsidRPr="00E019A9" w:rsidRDefault="00A35DD2" w:rsidP="00BB60A6">
      <w:pPr>
        <w:pStyle w:val="ListParagraph"/>
        <w:numPr>
          <w:ilvl w:val="0"/>
          <w:numId w:val="58"/>
        </w:numPr>
        <w:tabs>
          <w:tab w:val="left" w:pos="567"/>
        </w:tabs>
        <w:ind w:left="0" w:firstLine="0"/>
        <w:jc w:val="both"/>
        <w:rPr>
          <w:color w:val="000000" w:themeColor="text1"/>
          <w:sz w:val="20"/>
          <w:szCs w:val="20"/>
          <w:lang w:val="es-ES_tradnl"/>
        </w:rPr>
      </w:pPr>
      <w:r w:rsidRPr="00E019A9">
        <w:rPr>
          <w:color w:val="000000" w:themeColor="text1"/>
          <w:sz w:val="20"/>
          <w:szCs w:val="20"/>
          <w:lang w:val="es-ES_tradnl"/>
        </w:rPr>
        <w:t xml:space="preserve">A continuación, el matrimonio Oyarzun-Bojanic fue conducido a un inmueble ubicado en el </w:t>
      </w:r>
      <w:r w:rsidR="00C266C8" w:rsidRPr="00E019A9">
        <w:rPr>
          <w:color w:val="000000" w:themeColor="text1"/>
          <w:sz w:val="20"/>
          <w:szCs w:val="20"/>
          <w:lang w:val="es-ES_tradnl"/>
        </w:rPr>
        <w:t>número</w:t>
      </w:r>
      <w:r w:rsidRPr="00E019A9">
        <w:rPr>
          <w:color w:val="000000" w:themeColor="text1"/>
          <w:sz w:val="20"/>
          <w:szCs w:val="20"/>
          <w:lang w:val="es-ES_tradnl"/>
        </w:rPr>
        <w:t xml:space="preserve"> 1367 de la calle José Domingo Cañas, Comuna de Nuñoa, el cual era utilizado por la DINA como un centro de detención clandestino. </w:t>
      </w:r>
      <w:r w:rsidR="00F52A8E" w:rsidRPr="00E019A9">
        <w:rPr>
          <w:color w:val="000000" w:themeColor="text1"/>
          <w:sz w:val="20"/>
          <w:szCs w:val="20"/>
          <w:lang w:val="es-ES_tradnl"/>
        </w:rPr>
        <w:t xml:space="preserve">Tanto </w:t>
      </w:r>
      <w:r w:rsidR="00480B9A" w:rsidRPr="00E019A9">
        <w:rPr>
          <w:color w:val="000000" w:themeColor="text1"/>
          <w:sz w:val="20"/>
          <w:szCs w:val="20"/>
          <w:lang w:val="es-ES_tradnl"/>
        </w:rPr>
        <w:t xml:space="preserve">el Informe de la Comisión de la Verdad y Reconciliación como los </w:t>
      </w:r>
      <w:r w:rsidR="00E220A5" w:rsidRPr="00E019A9">
        <w:rPr>
          <w:color w:val="000000" w:themeColor="text1"/>
          <w:sz w:val="20"/>
          <w:szCs w:val="20"/>
          <w:lang w:val="es-ES_tradnl"/>
        </w:rPr>
        <w:t xml:space="preserve">diversos pronunciamientos </w:t>
      </w:r>
      <w:r w:rsidR="00480B9A" w:rsidRPr="00E019A9">
        <w:rPr>
          <w:color w:val="000000" w:themeColor="text1"/>
          <w:sz w:val="20"/>
          <w:szCs w:val="20"/>
          <w:lang w:val="es-ES_tradnl"/>
        </w:rPr>
        <w:t>emitidos por</w:t>
      </w:r>
      <w:r w:rsidR="00F52A8E" w:rsidRPr="00E019A9">
        <w:rPr>
          <w:color w:val="000000" w:themeColor="text1"/>
          <w:sz w:val="20"/>
          <w:szCs w:val="20"/>
          <w:lang w:val="es-ES_tradnl"/>
        </w:rPr>
        <w:t xml:space="preserve"> los tribunales </w:t>
      </w:r>
      <w:r w:rsidR="008A4D59" w:rsidRPr="00E019A9">
        <w:rPr>
          <w:color w:val="000000" w:themeColor="text1"/>
          <w:sz w:val="20"/>
          <w:szCs w:val="20"/>
          <w:lang w:val="es-ES_tradnl"/>
        </w:rPr>
        <w:t>nacionales han</w:t>
      </w:r>
      <w:r w:rsidR="00F52A8E" w:rsidRPr="00E019A9">
        <w:rPr>
          <w:color w:val="000000" w:themeColor="text1"/>
          <w:sz w:val="20"/>
          <w:szCs w:val="20"/>
          <w:lang w:val="es-ES_tradnl"/>
        </w:rPr>
        <w:t xml:space="preserve"> establecido que </w:t>
      </w:r>
      <w:r w:rsidR="00480B9A" w:rsidRPr="00E019A9">
        <w:rPr>
          <w:color w:val="000000" w:themeColor="text1"/>
          <w:sz w:val="20"/>
          <w:szCs w:val="20"/>
          <w:lang w:val="es-ES_tradnl"/>
        </w:rPr>
        <w:t>en dicho inmueble funcionó</w:t>
      </w:r>
      <w:r w:rsidR="00F52A8E" w:rsidRPr="00E019A9">
        <w:rPr>
          <w:color w:val="000000" w:themeColor="text1"/>
          <w:sz w:val="20"/>
          <w:szCs w:val="20"/>
          <w:lang w:val="es-ES_tradnl"/>
        </w:rPr>
        <w:t xml:space="preserve"> una de las bases operativas de la DINA</w:t>
      </w:r>
      <w:r w:rsidR="00480B9A" w:rsidRPr="00E019A9">
        <w:rPr>
          <w:color w:val="000000" w:themeColor="text1"/>
          <w:sz w:val="20"/>
          <w:szCs w:val="20"/>
          <w:lang w:val="es-ES_tradnl"/>
        </w:rPr>
        <w:t xml:space="preserve">, </w:t>
      </w:r>
      <w:r w:rsidR="00E220A5" w:rsidRPr="00E019A9">
        <w:rPr>
          <w:color w:val="000000" w:themeColor="text1"/>
          <w:sz w:val="20"/>
          <w:szCs w:val="20"/>
          <w:lang w:val="es-ES_tradnl"/>
        </w:rPr>
        <w:t>destinada a</w:t>
      </w:r>
      <w:r w:rsidR="00F52A8E" w:rsidRPr="00E019A9">
        <w:rPr>
          <w:color w:val="000000" w:themeColor="text1"/>
          <w:sz w:val="20"/>
          <w:szCs w:val="20"/>
          <w:lang w:val="es-ES_tradnl"/>
        </w:rPr>
        <w:t xml:space="preserve"> mantener privados de su libertad a personas sospechadas de pertenecer al Movimiento de Izquierda Revolucionaria (MIR), quienes eran sometidos a diversos actos de tortura física y psicológica con el fin de obtener información que condujera a nuevas detenciones</w:t>
      </w:r>
      <w:r w:rsidR="00F52A8E" w:rsidRPr="00E019A9">
        <w:rPr>
          <w:rStyle w:val="FootnoteReference"/>
          <w:color w:val="000000" w:themeColor="text1"/>
          <w:sz w:val="20"/>
          <w:szCs w:val="20"/>
          <w:lang w:val="es-ES_tradnl"/>
        </w:rPr>
        <w:footnoteReference w:id="122"/>
      </w:r>
      <w:r w:rsidR="00F52A8E" w:rsidRPr="00E019A9">
        <w:rPr>
          <w:color w:val="000000" w:themeColor="text1"/>
          <w:sz w:val="20"/>
          <w:szCs w:val="20"/>
          <w:lang w:val="es-ES_tradnl"/>
        </w:rPr>
        <w:t xml:space="preserve">. De acuerdo con las declaraciones testimoniales de otros detenidos, el matrimonio Oyarzun-Bojanic </w:t>
      </w:r>
      <w:r w:rsidR="00E220A5" w:rsidRPr="00E019A9">
        <w:rPr>
          <w:color w:val="000000" w:themeColor="text1"/>
          <w:sz w:val="20"/>
          <w:szCs w:val="20"/>
          <w:lang w:val="es-ES_tradnl"/>
        </w:rPr>
        <w:t xml:space="preserve">fue torturado </w:t>
      </w:r>
      <w:r w:rsidR="00480B9A" w:rsidRPr="00E019A9">
        <w:rPr>
          <w:color w:val="000000" w:themeColor="text1"/>
          <w:sz w:val="20"/>
          <w:szCs w:val="20"/>
          <w:lang w:val="es-ES_tradnl"/>
        </w:rPr>
        <w:t xml:space="preserve">en dicho recinto </w:t>
      </w:r>
      <w:r w:rsidR="00E220A5" w:rsidRPr="00E019A9">
        <w:rPr>
          <w:color w:val="000000" w:themeColor="text1"/>
          <w:sz w:val="20"/>
          <w:szCs w:val="20"/>
          <w:lang w:val="es-ES_tradnl"/>
        </w:rPr>
        <w:t>en diversas oportunidades</w:t>
      </w:r>
      <w:r w:rsidR="00E220A5" w:rsidRPr="00E019A9">
        <w:rPr>
          <w:rStyle w:val="FootnoteReference"/>
          <w:color w:val="000000" w:themeColor="text1"/>
          <w:sz w:val="20"/>
          <w:szCs w:val="20"/>
          <w:lang w:val="es-ES_tradnl"/>
        </w:rPr>
        <w:footnoteReference w:id="123"/>
      </w:r>
      <w:r w:rsidR="00E220A5" w:rsidRPr="00E019A9">
        <w:rPr>
          <w:color w:val="000000" w:themeColor="text1"/>
          <w:sz w:val="20"/>
          <w:szCs w:val="20"/>
          <w:lang w:val="es-ES_tradnl"/>
        </w:rPr>
        <w:t xml:space="preserve">. </w:t>
      </w:r>
    </w:p>
    <w:p w14:paraId="7C03F292" w14:textId="77777777" w:rsidR="00E220A5" w:rsidRPr="00E019A9" w:rsidRDefault="00E220A5" w:rsidP="00E220A5">
      <w:pPr>
        <w:pStyle w:val="ListParagraph"/>
        <w:rPr>
          <w:color w:val="000000" w:themeColor="text1"/>
          <w:sz w:val="20"/>
          <w:szCs w:val="20"/>
          <w:lang w:val="es-ES_tradnl"/>
        </w:rPr>
      </w:pPr>
    </w:p>
    <w:p w14:paraId="3E7DC5B2" w14:textId="77777777" w:rsidR="000B57DD" w:rsidRPr="00E019A9" w:rsidRDefault="00E220A5" w:rsidP="00BB60A6">
      <w:pPr>
        <w:pStyle w:val="ListParagraph"/>
        <w:numPr>
          <w:ilvl w:val="0"/>
          <w:numId w:val="58"/>
        </w:numPr>
        <w:tabs>
          <w:tab w:val="left" w:pos="567"/>
        </w:tabs>
        <w:ind w:left="0" w:firstLine="0"/>
        <w:jc w:val="both"/>
        <w:rPr>
          <w:color w:val="000000" w:themeColor="text1"/>
          <w:sz w:val="20"/>
          <w:szCs w:val="20"/>
          <w:lang w:val="es-ES_tradnl"/>
        </w:rPr>
      </w:pPr>
      <w:r w:rsidRPr="00E019A9">
        <w:rPr>
          <w:color w:val="000000" w:themeColor="text1"/>
          <w:sz w:val="20"/>
          <w:szCs w:val="20"/>
          <w:lang w:val="es-ES_tradnl"/>
        </w:rPr>
        <w:t>En octubre de 1974 ambas v</w:t>
      </w:r>
      <w:r w:rsidR="008A4D59" w:rsidRPr="00E019A9">
        <w:rPr>
          <w:color w:val="000000" w:themeColor="text1"/>
          <w:sz w:val="20"/>
          <w:szCs w:val="20"/>
          <w:lang w:val="es-ES_tradnl"/>
        </w:rPr>
        <w:t>í</w:t>
      </w:r>
      <w:r w:rsidRPr="00E019A9">
        <w:rPr>
          <w:color w:val="000000" w:themeColor="text1"/>
          <w:sz w:val="20"/>
          <w:szCs w:val="20"/>
          <w:lang w:val="es-ES_tradnl"/>
        </w:rPr>
        <w:t>ctimas fueron trasladadas al centro</w:t>
      </w:r>
      <w:r w:rsidR="00354871" w:rsidRPr="00E019A9">
        <w:rPr>
          <w:color w:val="000000" w:themeColor="text1"/>
          <w:sz w:val="20"/>
          <w:szCs w:val="20"/>
          <w:lang w:val="es-ES_tradnl"/>
        </w:rPr>
        <w:t xml:space="preserve"> clandestino</w:t>
      </w:r>
      <w:r w:rsidRPr="00E019A9">
        <w:rPr>
          <w:color w:val="000000" w:themeColor="text1"/>
          <w:sz w:val="20"/>
          <w:szCs w:val="20"/>
          <w:lang w:val="es-ES_tradnl"/>
        </w:rPr>
        <w:t xml:space="preserve"> de detención “</w:t>
      </w:r>
      <w:r w:rsidR="00354871" w:rsidRPr="00E019A9">
        <w:rPr>
          <w:color w:val="000000" w:themeColor="text1"/>
          <w:sz w:val="20"/>
          <w:szCs w:val="20"/>
          <w:lang w:val="es-ES_tradnl"/>
        </w:rPr>
        <w:t xml:space="preserve">Cuatro </w:t>
      </w:r>
      <w:r w:rsidR="00985695" w:rsidRPr="00E019A9">
        <w:rPr>
          <w:color w:val="000000" w:themeColor="text1"/>
          <w:sz w:val="20"/>
          <w:szCs w:val="20"/>
          <w:lang w:val="es-ES_tradnl"/>
        </w:rPr>
        <w:t>Álamos</w:t>
      </w:r>
      <w:r w:rsidRPr="00E019A9">
        <w:rPr>
          <w:color w:val="000000" w:themeColor="text1"/>
          <w:sz w:val="20"/>
          <w:szCs w:val="20"/>
          <w:lang w:val="es-ES_tradnl"/>
        </w:rPr>
        <w:t xml:space="preserve">”. Este recinto se encontraba bajo el mando de un oficial de la </w:t>
      </w:r>
      <w:r w:rsidR="00985695" w:rsidRPr="00E019A9">
        <w:rPr>
          <w:color w:val="000000" w:themeColor="text1"/>
          <w:sz w:val="20"/>
          <w:szCs w:val="20"/>
          <w:lang w:val="es-ES_tradnl"/>
        </w:rPr>
        <w:t>Gendarmería</w:t>
      </w:r>
      <w:r w:rsidRPr="00E019A9">
        <w:rPr>
          <w:color w:val="000000" w:themeColor="text1"/>
          <w:sz w:val="20"/>
          <w:szCs w:val="20"/>
          <w:lang w:val="es-ES_tradnl"/>
        </w:rPr>
        <w:t xml:space="preserve"> de Chile, quien se hallaba agregado en comisión de servicio a la DINA. Los prisioneros </w:t>
      </w:r>
      <w:r w:rsidR="00985695" w:rsidRPr="00E019A9">
        <w:rPr>
          <w:color w:val="000000" w:themeColor="text1"/>
          <w:sz w:val="20"/>
          <w:szCs w:val="20"/>
          <w:lang w:val="es-ES_tradnl"/>
        </w:rPr>
        <w:t>allí</w:t>
      </w:r>
      <w:r w:rsidRPr="00E019A9">
        <w:rPr>
          <w:color w:val="000000" w:themeColor="text1"/>
          <w:sz w:val="20"/>
          <w:szCs w:val="20"/>
          <w:lang w:val="es-ES_tradnl"/>
        </w:rPr>
        <w:t xml:space="preserve"> alojados eran frecuentemente </w:t>
      </w:r>
      <w:r w:rsidR="000B57DD" w:rsidRPr="00E019A9">
        <w:rPr>
          <w:color w:val="000000" w:themeColor="text1"/>
          <w:sz w:val="20"/>
          <w:szCs w:val="20"/>
          <w:lang w:val="es-ES_tradnl"/>
        </w:rPr>
        <w:t>trasladados</w:t>
      </w:r>
      <w:r w:rsidRPr="00E019A9">
        <w:rPr>
          <w:color w:val="000000" w:themeColor="text1"/>
          <w:sz w:val="20"/>
          <w:szCs w:val="20"/>
          <w:lang w:val="es-ES_tradnl"/>
        </w:rPr>
        <w:t xml:space="preserve"> a otros inmuebles pertenecientes a la DINA para ser interrogados</w:t>
      </w:r>
      <w:r w:rsidR="000B57DD" w:rsidRPr="00E019A9">
        <w:rPr>
          <w:color w:val="000000" w:themeColor="text1"/>
          <w:sz w:val="20"/>
          <w:szCs w:val="20"/>
          <w:lang w:val="es-ES_tradnl"/>
        </w:rPr>
        <w:t>, transportados por los agentes de la DINA para participar en otros operativos de detención o desaparecidos.</w:t>
      </w:r>
      <w:r w:rsidRPr="00E019A9">
        <w:rPr>
          <w:color w:val="000000" w:themeColor="text1"/>
          <w:sz w:val="20"/>
          <w:szCs w:val="20"/>
          <w:lang w:val="es-ES_tradnl"/>
        </w:rPr>
        <w:t xml:space="preserve"> Conforme se desprende de los </w:t>
      </w:r>
      <w:r w:rsidR="00985695" w:rsidRPr="00E019A9">
        <w:rPr>
          <w:color w:val="000000" w:themeColor="text1"/>
          <w:sz w:val="20"/>
          <w:szCs w:val="20"/>
          <w:lang w:val="es-ES_tradnl"/>
        </w:rPr>
        <w:t>testimonios</w:t>
      </w:r>
      <w:r w:rsidRPr="00E019A9">
        <w:rPr>
          <w:color w:val="000000" w:themeColor="text1"/>
          <w:sz w:val="20"/>
          <w:szCs w:val="20"/>
          <w:lang w:val="es-ES_tradnl"/>
        </w:rPr>
        <w:t xml:space="preserve"> recibidos en sede judicial, hacia fines de octubre de 1974 el matrimonio </w:t>
      </w:r>
      <w:r w:rsidR="00985695" w:rsidRPr="00E019A9">
        <w:rPr>
          <w:color w:val="000000" w:themeColor="text1"/>
          <w:sz w:val="20"/>
          <w:szCs w:val="20"/>
          <w:lang w:val="es-ES_tradnl"/>
        </w:rPr>
        <w:t>Oyarzun-Bojanic fue sacado de “</w:t>
      </w:r>
      <w:r w:rsidR="00354871" w:rsidRPr="00E019A9">
        <w:rPr>
          <w:color w:val="000000" w:themeColor="text1"/>
          <w:sz w:val="20"/>
          <w:szCs w:val="20"/>
          <w:lang w:val="es-ES_tradnl"/>
        </w:rPr>
        <w:t xml:space="preserve">Cuatro </w:t>
      </w:r>
      <w:r w:rsidR="00985695" w:rsidRPr="00E019A9">
        <w:rPr>
          <w:color w:val="000000" w:themeColor="text1"/>
          <w:sz w:val="20"/>
          <w:szCs w:val="20"/>
          <w:lang w:val="es-ES_tradnl"/>
        </w:rPr>
        <w:t>Álamos” con rumbo desconocido</w:t>
      </w:r>
      <w:r w:rsidR="000B57DD" w:rsidRPr="00E019A9">
        <w:rPr>
          <w:rStyle w:val="FootnoteReference"/>
          <w:color w:val="000000" w:themeColor="text1"/>
          <w:sz w:val="20"/>
          <w:szCs w:val="20"/>
          <w:lang w:val="es-ES_tradnl"/>
        </w:rPr>
        <w:footnoteReference w:id="124"/>
      </w:r>
      <w:r w:rsidR="000B57DD" w:rsidRPr="00E019A9">
        <w:rPr>
          <w:color w:val="000000" w:themeColor="text1"/>
          <w:sz w:val="20"/>
          <w:szCs w:val="20"/>
          <w:lang w:val="es-ES_tradnl"/>
        </w:rPr>
        <w:t>.</w:t>
      </w:r>
      <w:r w:rsidR="00985695" w:rsidRPr="00E019A9">
        <w:rPr>
          <w:color w:val="000000" w:themeColor="text1"/>
          <w:sz w:val="20"/>
          <w:szCs w:val="20"/>
          <w:lang w:val="es-ES_tradnl"/>
        </w:rPr>
        <w:t xml:space="preserve"> </w:t>
      </w:r>
    </w:p>
    <w:p w14:paraId="7A1624D6" w14:textId="77777777" w:rsidR="000B57DD" w:rsidRPr="00E019A9" w:rsidRDefault="000B57DD" w:rsidP="000B57DD">
      <w:pPr>
        <w:pStyle w:val="ListParagraph"/>
        <w:rPr>
          <w:color w:val="000000" w:themeColor="text1"/>
          <w:sz w:val="20"/>
          <w:szCs w:val="20"/>
          <w:lang w:val="es-ES_tradnl"/>
        </w:rPr>
      </w:pPr>
    </w:p>
    <w:p w14:paraId="3E902A84" w14:textId="77777777" w:rsidR="00F52A8E" w:rsidRPr="00E019A9" w:rsidRDefault="00985695" w:rsidP="00BB60A6">
      <w:pPr>
        <w:pStyle w:val="ListParagraph"/>
        <w:numPr>
          <w:ilvl w:val="0"/>
          <w:numId w:val="58"/>
        </w:numPr>
        <w:tabs>
          <w:tab w:val="left" w:pos="567"/>
        </w:tabs>
        <w:ind w:left="0" w:firstLine="0"/>
        <w:jc w:val="both"/>
        <w:rPr>
          <w:color w:val="000000" w:themeColor="text1"/>
          <w:sz w:val="20"/>
          <w:szCs w:val="20"/>
          <w:lang w:val="es-ES_tradnl"/>
        </w:rPr>
      </w:pPr>
      <w:r w:rsidRPr="00E019A9">
        <w:rPr>
          <w:color w:val="000000" w:themeColor="text1"/>
          <w:sz w:val="20"/>
          <w:szCs w:val="20"/>
          <w:lang w:val="es-ES_tradnl"/>
        </w:rPr>
        <w:lastRenderedPageBreak/>
        <w:t xml:space="preserve">Tanto la Sra. Bojanic Abad como el Sr. Oyarzun Soto permanecen a la fecha </w:t>
      </w:r>
      <w:r w:rsidR="009F474E" w:rsidRPr="00E019A9">
        <w:rPr>
          <w:color w:val="000000" w:themeColor="text1"/>
          <w:sz w:val="20"/>
          <w:szCs w:val="20"/>
          <w:lang w:val="es-ES_tradnl"/>
        </w:rPr>
        <w:t xml:space="preserve">en condición de </w:t>
      </w:r>
      <w:r w:rsidRPr="00E019A9">
        <w:rPr>
          <w:color w:val="000000" w:themeColor="text1"/>
          <w:sz w:val="20"/>
          <w:szCs w:val="20"/>
          <w:lang w:val="es-ES_tradnl"/>
        </w:rPr>
        <w:t>desaparecidos</w:t>
      </w:r>
      <w:r w:rsidRPr="00E019A9">
        <w:rPr>
          <w:rStyle w:val="FootnoteReference"/>
          <w:color w:val="000000" w:themeColor="text1"/>
          <w:sz w:val="20"/>
          <w:szCs w:val="20"/>
          <w:lang w:val="es-ES_tradnl"/>
        </w:rPr>
        <w:footnoteReference w:id="125"/>
      </w:r>
      <w:r w:rsidRPr="00E019A9">
        <w:rPr>
          <w:color w:val="000000" w:themeColor="text1"/>
          <w:sz w:val="20"/>
          <w:szCs w:val="20"/>
          <w:lang w:val="es-ES_tradnl"/>
        </w:rPr>
        <w:t xml:space="preserve">. </w:t>
      </w:r>
      <w:r w:rsidR="000B57DD" w:rsidRPr="00E019A9">
        <w:rPr>
          <w:color w:val="000000" w:themeColor="text1"/>
          <w:sz w:val="20"/>
          <w:szCs w:val="20"/>
          <w:lang w:val="es-ES_tradnl"/>
        </w:rPr>
        <w:t>Las denuncias</w:t>
      </w:r>
      <w:r w:rsidR="009F474E" w:rsidRPr="00E019A9">
        <w:rPr>
          <w:color w:val="000000" w:themeColor="text1"/>
          <w:sz w:val="20"/>
          <w:szCs w:val="20"/>
          <w:lang w:val="es-ES_tradnl"/>
        </w:rPr>
        <w:t xml:space="preserve"> </w:t>
      </w:r>
      <w:r w:rsidR="00E66823" w:rsidRPr="00E019A9">
        <w:rPr>
          <w:color w:val="000000" w:themeColor="text1"/>
          <w:sz w:val="20"/>
          <w:szCs w:val="20"/>
          <w:lang w:val="es-ES_tradnl"/>
        </w:rPr>
        <w:t xml:space="preserve">y los recursos de amparo </w:t>
      </w:r>
      <w:r w:rsidR="009F474E" w:rsidRPr="00E019A9">
        <w:rPr>
          <w:color w:val="000000" w:themeColor="text1"/>
          <w:sz w:val="20"/>
          <w:szCs w:val="20"/>
          <w:lang w:val="es-ES_tradnl"/>
        </w:rPr>
        <w:t xml:space="preserve">destinados a esclarecer el paradero de las </w:t>
      </w:r>
      <w:r w:rsidR="00035B24" w:rsidRPr="00E019A9">
        <w:rPr>
          <w:color w:val="000000" w:themeColor="text1"/>
          <w:sz w:val="20"/>
          <w:szCs w:val="20"/>
          <w:lang w:val="es-ES_tradnl"/>
        </w:rPr>
        <w:t>victimas interpuestos</w:t>
      </w:r>
      <w:r w:rsidR="00E66823" w:rsidRPr="00E019A9">
        <w:rPr>
          <w:color w:val="000000" w:themeColor="text1"/>
          <w:sz w:val="20"/>
          <w:szCs w:val="20"/>
          <w:lang w:val="es-ES_tradnl"/>
        </w:rPr>
        <w:t xml:space="preserve"> por los familiares </w:t>
      </w:r>
      <w:r w:rsidR="009F474E" w:rsidRPr="00E019A9">
        <w:rPr>
          <w:color w:val="000000" w:themeColor="text1"/>
          <w:sz w:val="20"/>
          <w:szCs w:val="20"/>
          <w:lang w:val="es-ES_tradnl"/>
        </w:rPr>
        <w:t xml:space="preserve">en las semanas posteriores a las detenciones no arrojaron resultados positivos. Las entidades estatales a las que se les cursaron pedidos de informes - entre ellos el Ministerio del Interior y la DINA - negaron la privación de la libertad del matrimonio Oyarzun-Bojanic y la existencia misma de los centros clandestinos de detención </w:t>
      </w:r>
      <w:r w:rsidR="00C90611" w:rsidRPr="00E019A9">
        <w:rPr>
          <w:color w:val="000000" w:themeColor="text1"/>
          <w:sz w:val="20"/>
          <w:szCs w:val="20"/>
          <w:lang w:val="es-ES_tradnl"/>
        </w:rPr>
        <w:t>José</w:t>
      </w:r>
      <w:r w:rsidR="009F474E" w:rsidRPr="00E019A9">
        <w:rPr>
          <w:color w:val="000000" w:themeColor="text1"/>
          <w:sz w:val="20"/>
          <w:szCs w:val="20"/>
          <w:lang w:val="es-ES_tradnl"/>
        </w:rPr>
        <w:t xml:space="preserve"> Domingo Cañas y Tres </w:t>
      </w:r>
      <w:r w:rsidR="00C90611" w:rsidRPr="00E019A9">
        <w:rPr>
          <w:color w:val="000000" w:themeColor="text1"/>
          <w:sz w:val="20"/>
          <w:szCs w:val="20"/>
          <w:lang w:val="es-ES_tradnl"/>
        </w:rPr>
        <w:t>Álamos</w:t>
      </w:r>
      <w:r w:rsidR="009F474E" w:rsidRPr="00E019A9">
        <w:rPr>
          <w:rStyle w:val="FootnoteReference"/>
          <w:color w:val="000000" w:themeColor="text1"/>
          <w:sz w:val="20"/>
          <w:szCs w:val="20"/>
          <w:lang w:val="es-ES_tradnl"/>
        </w:rPr>
        <w:footnoteReference w:id="126"/>
      </w:r>
      <w:r w:rsidR="009F474E" w:rsidRPr="00E019A9">
        <w:rPr>
          <w:color w:val="000000" w:themeColor="text1"/>
          <w:sz w:val="20"/>
          <w:szCs w:val="20"/>
          <w:lang w:val="es-ES_tradnl"/>
        </w:rPr>
        <w:t>.</w:t>
      </w:r>
    </w:p>
    <w:p w14:paraId="3BBBDEB3" w14:textId="77777777" w:rsidR="000B57DD" w:rsidRPr="00E019A9" w:rsidRDefault="000B57DD" w:rsidP="000B57DD">
      <w:pPr>
        <w:pStyle w:val="ListParagraph"/>
        <w:rPr>
          <w:color w:val="000000" w:themeColor="text1"/>
          <w:sz w:val="20"/>
          <w:szCs w:val="20"/>
          <w:lang w:val="es-ES_tradnl"/>
        </w:rPr>
      </w:pPr>
    </w:p>
    <w:p w14:paraId="315B3D37" w14:textId="77777777" w:rsidR="00B720FA" w:rsidRPr="00E019A9" w:rsidRDefault="00C90611" w:rsidP="00BB60A6">
      <w:pPr>
        <w:pStyle w:val="ListParagraph"/>
        <w:numPr>
          <w:ilvl w:val="0"/>
          <w:numId w:val="58"/>
        </w:numPr>
        <w:tabs>
          <w:tab w:val="left" w:pos="567"/>
        </w:tabs>
        <w:ind w:left="0" w:firstLine="0"/>
        <w:jc w:val="both"/>
        <w:rPr>
          <w:color w:val="000000" w:themeColor="text1"/>
          <w:sz w:val="20"/>
          <w:szCs w:val="20"/>
          <w:lang w:val="es-ES_tradnl"/>
        </w:rPr>
      </w:pPr>
      <w:r w:rsidRPr="00E019A9">
        <w:rPr>
          <w:color w:val="000000" w:themeColor="text1"/>
          <w:sz w:val="20"/>
          <w:szCs w:val="20"/>
          <w:lang w:val="es-ES_tradnl"/>
        </w:rPr>
        <w:t xml:space="preserve">El 18 de diciembre de 2006 el </w:t>
      </w:r>
      <w:r w:rsidR="00801F14" w:rsidRPr="00E019A9">
        <w:rPr>
          <w:color w:val="000000" w:themeColor="text1"/>
          <w:sz w:val="20"/>
          <w:szCs w:val="20"/>
          <w:lang w:val="es-ES_tradnl"/>
        </w:rPr>
        <w:t xml:space="preserve">Ministro de Fuero Juan Eduardo </w:t>
      </w:r>
      <w:r w:rsidR="00B720FA" w:rsidRPr="00E019A9">
        <w:rPr>
          <w:color w:val="000000" w:themeColor="text1"/>
          <w:sz w:val="20"/>
          <w:szCs w:val="20"/>
          <w:lang w:val="es-ES_tradnl"/>
        </w:rPr>
        <w:t>F</w:t>
      </w:r>
      <w:r w:rsidR="00801F14" w:rsidRPr="00E019A9">
        <w:rPr>
          <w:color w:val="000000" w:themeColor="text1"/>
          <w:sz w:val="20"/>
          <w:szCs w:val="20"/>
          <w:lang w:val="es-ES_tradnl"/>
        </w:rPr>
        <w:t>uentes Belmar dictó sentencia condenando a</w:t>
      </w:r>
      <w:r w:rsidR="00B720FA" w:rsidRPr="00E019A9">
        <w:rPr>
          <w:color w:val="000000" w:themeColor="text1"/>
          <w:sz w:val="20"/>
          <w:szCs w:val="20"/>
          <w:lang w:val="es-ES_tradnl"/>
        </w:rPr>
        <w:t xml:space="preserve"> </w:t>
      </w:r>
      <w:r w:rsidR="00801F14" w:rsidRPr="00E019A9">
        <w:rPr>
          <w:color w:val="000000" w:themeColor="text1"/>
          <w:sz w:val="20"/>
          <w:szCs w:val="20"/>
          <w:lang w:val="es-ES_tradnl"/>
        </w:rPr>
        <w:t>Juan Manuel Guillermo Contreras Sepúlveda</w:t>
      </w:r>
      <w:r w:rsidR="00B720FA" w:rsidRPr="00E019A9">
        <w:rPr>
          <w:color w:val="000000" w:themeColor="text1"/>
          <w:sz w:val="20"/>
          <w:szCs w:val="20"/>
          <w:lang w:val="es-ES_tradnl"/>
        </w:rPr>
        <w:t xml:space="preserve"> y a Osvaldo Enrique Romo Mena </w:t>
      </w:r>
      <w:r w:rsidR="00801F14" w:rsidRPr="00E019A9">
        <w:rPr>
          <w:color w:val="000000" w:themeColor="text1"/>
          <w:sz w:val="20"/>
          <w:szCs w:val="20"/>
          <w:lang w:val="es-ES_tradnl"/>
        </w:rPr>
        <w:t xml:space="preserve">a la pena de 10 años y 1 </w:t>
      </w:r>
      <w:r w:rsidR="00B720FA" w:rsidRPr="00E019A9">
        <w:rPr>
          <w:color w:val="000000" w:themeColor="text1"/>
          <w:sz w:val="20"/>
          <w:szCs w:val="20"/>
          <w:lang w:val="es-ES_tradnl"/>
        </w:rPr>
        <w:t>día</w:t>
      </w:r>
      <w:r w:rsidR="00801F14" w:rsidRPr="00E019A9">
        <w:rPr>
          <w:color w:val="000000" w:themeColor="text1"/>
          <w:sz w:val="20"/>
          <w:szCs w:val="20"/>
          <w:lang w:val="es-ES_tradnl"/>
        </w:rPr>
        <w:t xml:space="preserve"> de presidio mayor en su grado medio </w:t>
      </w:r>
      <w:r w:rsidR="00C266C8" w:rsidRPr="00E019A9">
        <w:rPr>
          <w:color w:val="000000" w:themeColor="text1"/>
          <w:sz w:val="20"/>
          <w:szCs w:val="20"/>
          <w:lang w:val="es-ES_tradnl"/>
        </w:rPr>
        <w:t>más</w:t>
      </w:r>
      <w:r w:rsidR="00B720FA" w:rsidRPr="00E019A9">
        <w:rPr>
          <w:color w:val="000000" w:themeColor="text1"/>
          <w:sz w:val="20"/>
          <w:szCs w:val="20"/>
          <w:lang w:val="es-ES_tradnl"/>
        </w:rPr>
        <w:t xml:space="preserve"> accesorias</w:t>
      </w:r>
      <w:r w:rsidR="002F34A2" w:rsidRPr="00E019A9">
        <w:rPr>
          <w:color w:val="000000" w:themeColor="text1"/>
          <w:sz w:val="20"/>
          <w:szCs w:val="20"/>
          <w:lang w:val="es-ES_tradnl"/>
        </w:rPr>
        <w:t xml:space="preserve"> </w:t>
      </w:r>
      <w:r w:rsidR="00B720FA" w:rsidRPr="00E019A9">
        <w:rPr>
          <w:color w:val="000000" w:themeColor="text1"/>
          <w:sz w:val="20"/>
          <w:szCs w:val="20"/>
          <w:lang w:val="es-ES_tradnl"/>
        </w:rPr>
        <w:t>por su participación en calidad de autores del secuestro calificado de Cecilia Miguelina Bojanic Abad y Flavio Arquímedes Oyarzún Soto. Asimismo, el magistrado impuso a Marcelo Luis Manuel Moren Brito, Miguel Krassnoff Martchenko, Fernando Eduardo Laurian</w:t>
      </w:r>
      <w:r w:rsidR="00097252" w:rsidRPr="00E019A9">
        <w:rPr>
          <w:color w:val="000000" w:themeColor="text1"/>
          <w:sz w:val="20"/>
          <w:szCs w:val="20"/>
          <w:lang w:val="es-ES_tradnl"/>
        </w:rPr>
        <w:t>i</w:t>
      </w:r>
      <w:r w:rsidR="00B720FA" w:rsidRPr="00E019A9">
        <w:rPr>
          <w:color w:val="000000" w:themeColor="text1"/>
          <w:sz w:val="20"/>
          <w:szCs w:val="20"/>
          <w:lang w:val="es-ES_tradnl"/>
        </w:rPr>
        <w:t xml:space="preserve"> Maturana y Francisco Maximiliano Ferrer Lima la pena de 4 años de presidio menor en su grado máximo y accesorias por resultar autores de los secuestros calificados de las </w:t>
      </w:r>
      <w:r w:rsidR="00C266C8" w:rsidRPr="00E019A9">
        <w:rPr>
          <w:color w:val="000000" w:themeColor="text1"/>
          <w:sz w:val="20"/>
          <w:szCs w:val="20"/>
          <w:lang w:val="es-ES_tradnl"/>
        </w:rPr>
        <w:t>víctimas</w:t>
      </w:r>
      <w:r w:rsidR="00B720FA" w:rsidRPr="00E019A9">
        <w:rPr>
          <w:color w:val="000000" w:themeColor="text1"/>
          <w:sz w:val="20"/>
          <w:szCs w:val="20"/>
          <w:lang w:val="es-ES_tradnl"/>
        </w:rPr>
        <w:t>, en tanto que Orlando José Manzo Durán recibió la pena de 3 años de presidio menor en su grado medio y accesorias por su participación en calidad de cómplice</w:t>
      </w:r>
      <w:r w:rsidR="00B720FA" w:rsidRPr="00E019A9">
        <w:rPr>
          <w:rStyle w:val="FootnoteReference"/>
          <w:color w:val="000000" w:themeColor="text1"/>
          <w:sz w:val="20"/>
          <w:szCs w:val="20"/>
          <w:lang w:val="es-ES_tradnl"/>
        </w:rPr>
        <w:footnoteReference w:id="127"/>
      </w:r>
      <w:r w:rsidR="00B720FA" w:rsidRPr="00E019A9">
        <w:rPr>
          <w:color w:val="000000" w:themeColor="text1"/>
          <w:sz w:val="20"/>
          <w:szCs w:val="20"/>
          <w:lang w:val="es-ES_tradnl"/>
        </w:rPr>
        <w:t xml:space="preserve">. </w:t>
      </w:r>
    </w:p>
    <w:p w14:paraId="144825B3" w14:textId="77777777" w:rsidR="00B720FA" w:rsidRPr="00E019A9" w:rsidRDefault="00B720FA" w:rsidP="00B720FA">
      <w:pPr>
        <w:pStyle w:val="ListParagraph"/>
        <w:rPr>
          <w:color w:val="000000" w:themeColor="text1"/>
          <w:sz w:val="20"/>
          <w:szCs w:val="20"/>
          <w:lang w:val="es-ES_tradnl"/>
        </w:rPr>
      </w:pPr>
    </w:p>
    <w:p w14:paraId="2EDAF8C7" w14:textId="77777777" w:rsidR="00B720FA" w:rsidRPr="00E019A9" w:rsidRDefault="002F34A2" w:rsidP="00BB60A6">
      <w:pPr>
        <w:pStyle w:val="ListParagraph"/>
        <w:numPr>
          <w:ilvl w:val="0"/>
          <w:numId w:val="58"/>
        </w:numPr>
        <w:tabs>
          <w:tab w:val="left" w:pos="567"/>
        </w:tabs>
        <w:ind w:left="0" w:firstLine="0"/>
        <w:jc w:val="both"/>
        <w:rPr>
          <w:color w:val="000000" w:themeColor="text1"/>
          <w:sz w:val="20"/>
          <w:szCs w:val="20"/>
          <w:lang w:val="es-ES_tradnl"/>
        </w:rPr>
      </w:pPr>
      <w:r w:rsidRPr="00E019A9">
        <w:rPr>
          <w:color w:val="000000" w:themeColor="text1"/>
          <w:sz w:val="20"/>
          <w:szCs w:val="20"/>
          <w:lang w:val="es-ES_tradnl"/>
        </w:rPr>
        <w:t>A efectos de la determinación del monto de las condenas</w:t>
      </w:r>
      <w:r w:rsidR="00B720FA" w:rsidRPr="00E019A9">
        <w:rPr>
          <w:color w:val="000000" w:themeColor="text1"/>
          <w:sz w:val="20"/>
          <w:szCs w:val="20"/>
          <w:lang w:val="es-ES_tradnl"/>
        </w:rPr>
        <w:t xml:space="preserve">, </w:t>
      </w:r>
      <w:r w:rsidRPr="00E019A9">
        <w:rPr>
          <w:color w:val="000000" w:themeColor="text1"/>
          <w:sz w:val="20"/>
          <w:szCs w:val="20"/>
          <w:lang w:val="es-ES_tradnl"/>
        </w:rPr>
        <w:t>el magistrado consideró</w:t>
      </w:r>
      <w:r w:rsidR="00097252" w:rsidRPr="00E019A9">
        <w:rPr>
          <w:color w:val="000000" w:themeColor="text1"/>
          <w:sz w:val="20"/>
          <w:szCs w:val="20"/>
          <w:lang w:val="es-ES_tradnl"/>
        </w:rPr>
        <w:t xml:space="preserve"> </w:t>
      </w:r>
      <w:r w:rsidRPr="00E019A9">
        <w:rPr>
          <w:color w:val="000000" w:themeColor="text1"/>
          <w:sz w:val="20"/>
          <w:szCs w:val="20"/>
          <w:lang w:val="es-ES_tradnl"/>
        </w:rPr>
        <w:t xml:space="preserve">que a favor de los condenados Contreras Sepúlveda y Romo Mena concurría la circunstancia atenuante de responsabilidad penal de irreprochable conducta anterior (art 11.6 Código Penal) </w:t>
      </w:r>
      <w:r w:rsidR="00097252" w:rsidRPr="00E019A9">
        <w:rPr>
          <w:color w:val="000000" w:themeColor="text1"/>
          <w:sz w:val="20"/>
          <w:szCs w:val="20"/>
          <w:lang w:val="es-ES_tradnl"/>
        </w:rPr>
        <w:t>mientras que respecto de la situación de los condenados Manzo Duran, Ferrer Lima, Krassnoff Martchenko,</w:t>
      </w:r>
      <w:r w:rsidR="00E53C80" w:rsidRPr="00E019A9">
        <w:rPr>
          <w:color w:val="000000" w:themeColor="text1"/>
          <w:sz w:val="20"/>
          <w:szCs w:val="20"/>
          <w:lang w:val="es-ES_tradnl"/>
        </w:rPr>
        <w:t xml:space="preserve"> </w:t>
      </w:r>
      <w:r w:rsidR="00097252" w:rsidRPr="00E019A9">
        <w:rPr>
          <w:color w:val="000000" w:themeColor="text1"/>
          <w:sz w:val="20"/>
          <w:szCs w:val="20"/>
          <w:lang w:val="es-ES_tradnl"/>
        </w:rPr>
        <w:t>Lauriani Maturana y Moren</w:t>
      </w:r>
      <w:r w:rsidR="00A27814" w:rsidRPr="00E019A9">
        <w:rPr>
          <w:color w:val="000000" w:themeColor="text1"/>
          <w:sz w:val="20"/>
          <w:szCs w:val="20"/>
          <w:lang w:val="es-ES_tradnl"/>
        </w:rPr>
        <w:t xml:space="preserve"> </w:t>
      </w:r>
      <w:r w:rsidR="00097252" w:rsidRPr="00E019A9">
        <w:rPr>
          <w:color w:val="000000" w:themeColor="text1"/>
          <w:sz w:val="20"/>
          <w:szCs w:val="20"/>
          <w:lang w:val="es-ES_tradnl"/>
        </w:rPr>
        <w:t xml:space="preserve">Brito se encontraban presentes la mencionada atenuante de irreprochable conducta anterior y la de cumplimiento de </w:t>
      </w:r>
      <w:r w:rsidR="00C266C8" w:rsidRPr="00E019A9">
        <w:rPr>
          <w:color w:val="000000" w:themeColor="text1"/>
          <w:sz w:val="20"/>
          <w:szCs w:val="20"/>
          <w:lang w:val="es-ES_tradnl"/>
        </w:rPr>
        <w:t>órdenes</w:t>
      </w:r>
      <w:r w:rsidR="00097252" w:rsidRPr="00E019A9">
        <w:rPr>
          <w:color w:val="000000" w:themeColor="text1"/>
          <w:sz w:val="20"/>
          <w:szCs w:val="20"/>
          <w:lang w:val="es-ES_tradnl"/>
        </w:rPr>
        <w:t xml:space="preserve"> recibidas por un superior jerárquico (art 211 Código de Justicia Militar)</w:t>
      </w:r>
      <w:r w:rsidR="00A27814" w:rsidRPr="00E019A9">
        <w:rPr>
          <w:rStyle w:val="FootnoteReference"/>
          <w:color w:val="000000" w:themeColor="text1"/>
          <w:sz w:val="20"/>
          <w:szCs w:val="20"/>
          <w:lang w:val="es-ES_tradnl"/>
        </w:rPr>
        <w:footnoteReference w:id="128"/>
      </w:r>
      <w:r w:rsidR="00097252" w:rsidRPr="00E019A9">
        <w:rPr>
          <w:color w:val="000000" w:themeColor="text1"/>
          <w:sz w:val="20"/>
          <w:szCs w:val="20"/>
          <w:lang w:val="es-ES_tradnl"/>
        </w:rPr>
        <w:t xml:space="preserve">.  </w:t>
      </w:r>
    </w:p>
    <w:p w14:paraId="2186BF57" w14:textId="77777777" w:rsidR="00A27814" w:rsidRPr="00E019A9" w:rsidRDefault="00A27814" w:rsidP="00A27814">
      <w:pPr>
        <w:pStyle w:val="ListParagraph"/>
        <w:rPr>
          <w:color w:val="000000" w:themeColor="text1"/>
          <w:sz w:val="20"/>
          <w:szCs w:val="20"/>
          <w:lang w:val="es-ES_tradnl"/>
        </w:rPr>
      </w:pPr>
    </w:p>
    <w:p w14:paraId="4967264D" w14:textId="77777777" w:rsidR="00A27814" w:rsidRPr="00E019A9" w:rsidRDefault="00404F4A" w:rsidP="00BB60A6">
      <w:pPr>
        <w:pStyle w:val="ListParagraph"/>
        <w:numPr>
          <w:ilvl w:val="0"/>
          <w:numId w:val="58"/>
        </w:numPr>
        <w:tabs>
          <w:tab w:val="left" w:pos="567"/>
        </w:tabs>
        <w:ind w:left="0" w:firstLine="0"/>
        <w:jc w:val="both"/>
        <w:rPr>
          <w:color w:val="000000" w:themeColor="text1"/>
          <w:sz w:val="20"/>
          <w:szCs w:val="20"/>
          <w:lang w:val="es-ES_tradnl"/>
        </w:rPr>
      </w:pPr>
      <w:r w:rsidRPr="00E019A9">
        <w:rPr>
          <w:color w:val="000000" w:themeColor="text1"/>
          <w:sz w:val="20"/>
          <w:szCs w:val="20"/>
          <w:lang w:val="es-ES_tradnl"/>
        </w:rPr>
        <w:t>Frente a los recursos de apelación interpuestos por las partes, la Novena Sala de la Corte de Apelaciones de Santiago, por medio de sentencia de fecha 12 de marzo de 2009, decidió confirmar el pronunciamiento de primera instancia, salvo en lo referente al sentenciado Osvaldo Enrique Romo Mena, quien falleció con posterioridad a la expedición del fallo de primera instancia</w:t>
      </w:r>
      <w:r w:rsidRPr="00E019A9">
        <w:rPr>
          <w:rStyle w:val="FootnoteReference"/>
          <w:color w:val="000000" w:themeColor="text1"/>
          <w:sz w:val="20"/>
          <w:szCs w:val="20"/>
          <w:lang w:val="es-ES_tradnl"/>
        </w:rPr>
        <w:footnoteReference w:id="129"/>
      </w:r>
      <w:r w:rsidRPr="00E019A9">
        <w:rPr>
          <w:color w:val="000000" w:themeColor="text1"/>
          <w:sz w:val="20"/>
          <w:szCs w:val="20"/>
          <w:lang w:val="es-ES_tradnl"/>
        </w:rPr>
        <w:t xml:space="preserve">. </w:t>
      </w:r>
    </w:p>
    <w:p w14:paraId="15352C92" w14:textId="77777777" w:rsidR="00F14CDA" w:rsidRPr="00E019A9" w:rsidRDefault="00F14CDA" w:rsidP="00F14CDA">
      <w:pPr>
        <w:pStyle w:val="ListParagraph"/>
        <w:rPr>
          <w:color w:val="000000" w:themeColor="text1"/>
          <w:sz w:val="20"/>
          <w:szCs w:val="20"/>
          <w:lang w:val="es-ES_tradnl"/>
        </w:rPr>
      </w:pPr>
    </w:p>
    <w:p w14:paraId="33FB934A" w14:textId="77777777" w:rsidR="00F14CDA" w:rsidRPr="00E019A9" w:rsidRDefault="00F14CDA" w:rsidP="00BB60A6">
      <w:pPr>
        <w:pStyle w:val="ListParagraph"/>
        <w:numPr>
          <w:ilvl w:val="0"/>
          <w:numId w:val="58"/>
        </w:numPr>
        <w:tabs>
          <w:tab w:val="left" w:pos="567"/>
        </w:tabs>
        <w:ind w:left="0" w:firstLine="0"/>
        <w:jc w:val="both"/>
        <w:rPr>
          <w:color w:val="000000" w:themeColor="text1"/>
          <w:sz w:val="20"/>
          <w:szCs w:val="20"/>
          <w:lang w:val="es-ES_tradnl"/>
        </w:rPr>
      </w:pPr>
      <w:r w:rsidRPr="00E019A9">
        <w:rPr>
          <w:color w:val="000000" w:themeColor="text1"/>
          <w:sz w:val="20"/>
          <w:szCs w:val="20"/>
          <w:lang w:val="es-ES_tradnl"/>
        </w:rPr>
        <w:t xml:space="preserve">Finalmente, el 29 de septiembre de 2009 la Corte Suprema de Justicia decidió invalidar de oficio la sentencia condenatoria de primera instancia y dictar una nueva en su reemplazo. Para </w:t>
      </w:r>
      <w:r w:rsidR="00B363D9" w:rsidRPr="00E019A9">
        <w:rPr>
          <w:color w:val="000000" w:themeColor="text1"/>
          <w:sz w:val="20"/>
          <w:szCs w:val="20"/>
          <w:lang w:val="es-ES_tradnl"/>
        </w:rPr>
        <w:t>decidir</w:t>
      </w:r>
      <w:r w:rsidRPr="00E019A9">
        <w:rPr>
          <w:color w:val="000000" w:themeColor="text1"/>
          <w:sz w:val="20"/>
          <w:szCs w:val="20"/>
          <w:lang w:val="es-ES_tradnl"/>
        </w:rPr>
        <w:t xml:space="preserve"> de ese modo, </w:t>
      </w:r>
      <w:r w:rsidR="00621D4F" w:rsidRPr="00E019A9">
        <w:rPr>
          <w:color w:val="000000" w:themeColor="text1"/>
          <w:sz w:val="20"/>
          <w:szCs w:val="20"/>
          <w:lang w:val="es-ES_tradnl"/>
        </w:rPr>
        <w:t xml:space="preserve">el tribunal argumentó que la sentencia de primer grado no había emitido “un pronunciamiento particular para justificar el rechazo de la aplicación” de la atenuante de la “media prescripción” o “prescripción gradual de la pena” consagrada en el art 103 del </w:t>
      </w:r>
      <w:r w:rsidR="00B363D9" w:rsidRPr="00E019A9">
        <w:rPr>
          <w:color w:val="000000" w:themeColor="text1"/>
          <w:sz w:val="20"/>
          <w:szCs w:val="20"/>
          <w:lang w:val="es-ES_tradnl"/>
        </w:rPr>
        <w:t>Código</w:t>
      </w:r>
      <w:r w:rsidR="00621D4F" w:rsidRPr="00E019A9">
        <w:rPr>
          <w:color w:val="000000" w:themeColor="text1"/>
          <w:sz w:val="20"/>
          <w:szCs w:val="20"/>
          <w:lang w:val="es-ES_tradnl"/>
        </w:rPr>
        <w:t xml:space="preserve"> Penal</w:t>
      </w:r>
      <w:r w:rsidR="00706776" w:rsidRPr="00E019A9">
        <w:rPr>
          <w:rStyle w:val="FootnoteReference"/>
          <w:color w:val="000000" w:themeColor="text1"/>
          <w:sz w:val="20"/>
          <w:szCs w:val="20"/>
          <w:lang w:val="es-ES_tradnl"/>
        </w:rPr>
        <w:footnoteReference w:id="130"/>
      </w:r>
      <w:r w:rsidR="00621D4F" w:rsidRPr="00E019A9">
        <w:rPr>
          <w:color w:val="000000" w:themeColor="text1"/>
          <w:sz w:val="20"/>
          <w:szCs w:val="20"/>
          <w:lang w:val="es-ES_tradnl"/>
        </w:rPr>
        <w:t xml:space="preserve">. </w:t>
      </w:r>
    </w:p>
    <w:p w14:paraId="554E44D7" w14:textId="77777777" w:rsidR="00706776" w:rsidRPr="00E019A9" w:rsidRDefault="00706776" w:rsidP="00706776">
      <w:pPr>
        <w:pStyle w:val="ListParagraph"/>
        <w:rPr>
          <w:color w:val="000000" w:themeColor="text1"/>
          <w:sz w:val="20"/>
          <w:szCs w:val="20"/>
          <w:lang w:val="es-ES_tradnl"/>
        </w:rPr>
      </w:pPr>
    </w:p>
    <w:p w14:paraId="36B3C678" w14:textId="77777777" w:rsidR="00706776" w:rsidRPr="00E019A9" w:rsidRDefault="00706776" w:rsidP="00BB60A6">
      <w:pPr>
        <w:pStyle w:val="ListParagraph"/>
        <w:numPr>
          <w:ilvl w:val="0"/>
          <w:numId w:val="58"/>
        </w:numPr>
        <w:tabs>
          <w:tab w:val="left" w:pos="567"/>
        </w:tabs>
        <w:ind w:left="0" w:firstLine="0"/>
        <w:jc w:val="both"/>
        <w:rPr>
          <w:color w:val="000000" w:themeColor="text1"/>
          <w:sz w:val="20"/>
          <w:szCs w:val="20"/>
          <w:lang w:val="es-ES_tradnl"/>
        </w:rPr>
      </w:pPr>
      <w:r w:rsidRPr="00E019A9">
        <w:rPr>
          <w:color w:val="000000" w:themeColor="text1"/>
          <w:sz w:val="20"/>
          <w:szCs w:val="20"/>
          <w:lang w:val="es-ES_tradnl"/>
        </w:rPr>
        <w:t>En su sentencia de reempla</w:t>
      </w:r>
      <w:r w:rsidR="00D0197B" w:rsidRPr="00E019A9">
        <w:rPr>
          <w:color w:val="000000" w:themeColor="text1"/>
          <w:sz w:val="20"/>
          <w:szCs w:val="20"/>
          <w:lang w:val="es-ES_tradnl"/>
        </w:rPr>
        <w:t xml:space="preserve">zo, la Corte Suprema comenzó por tener por acreditados los hechos tal como fueron narrados por la sentencia de primera instancia y los encuadró dentro del tipo penal de secuestro calificado. En segundo </w:t>
      </w:r>
      <w:r w:rsidR="00C266C8" w:rsidRPr="00E019A9">
        <w:rPr>
          <w:color w:val="000000" w:themeColor="text1"/>
          <w:sz w:val="20"/>
          <w:szCs w:val="20"/>
          <w:lang w:val="es-ES_tradnl"/>
        </w:rPr>
        <w:t>término</w:t>
      </w:r>
      <w:r w:rsidR="00D0197B" w:rsidRPr="00E019A9">
        <w:rPr>
          <w:color w:val="000000" w:themeColor="text1"/>
          <w:sz w:val="20"/>
          <w:szCs w:val="20"/>
          <w:lang w:val="es-ES_tradnl"/>
        </w:rPr>
        <w:t xml:space="preserve">, el tribunal descartó la pretensión de las defensas de aplicar las previsiones del Decreto Ley 2191/78 de amnistía </w:t>
      </w:r>
      <w:r w:rsidR="002C793D" w:rsidRPr="00E019A9">
        <w:rPr>
          <w:color w:val="000000" w:themeColor="text1"/>
          <w:sz w:val="20"/>
          <w:szCs w:val="20"/>
          <w:lang w:val="es-ES_tradnl"/>
        </w:rPr>
        <w:t xml:space="preserve">toda vez </w:t>
      </w:r>
      <w:r w:rsidR="00D0197B" w:rsidRPr="00E019A9">
        <w:rPr>
          <w:color w:val="000000" w:themeColor="text1"/>
          <w:sz w:val="20"/>
          <w:szCs w:val="20"/>
          <w:lang w:val="es-ES_tradnl"/>
        </w:rPr>
        <w:t xml:space="preserve"> que </w:t>
      </w:r>
      <w:r w:rsidR="002C793D" w:rsidRPr="00E019A9">
        <w:rPr>
          <w:color w:val="000000" w:themeColor="text1"/>
          <w:sz w:val="20"/>
          <w:szCs w:val="20"/>
          <w:lang w:val="es-ES_tradnl"/>
        </w:rPr>
        <w:t xml:space="preserve">“en la época de los hechos - 2 de octubre de 1974 - nuestra nación se encontraba en un estado de guerra interna, que impedía al Estado de Chile, en virtud de las obligaciones internacionales asumidas por éste, a exonerar penalmente a los responsables de las violaciones a </w:t>
      </w:r>
      <w:r w:rsidR="002C793D" w:rsidRPr="00E019A9">
        <w:rPr>
          <w:color w:val="000000" w:themeColor="text1"/>
          <w:sz w:val="20"/>
          <w:szCs w:val="20"/>
          <w:lang w:val="es-ES_tradnl"/>
        </w:rPr>
        <w:lastRenderedPageBreak/>
        <w:t>los derechos humanos cometidas en dicho periodo…”</w:t>
      </w:r>
      <w:r w:rsidR="002C793D" w:rsidRPr="00E019A9">
        <w:rPr>
          <w:rStyle w:val="FootnoteReference"/>
          <w:color w:val="000000" w:themeColor="text1"/>
          <w:sz w:val="20"/>
          <w:szCs w:val="20"/>
          <w:lang w:val="es-ES_tradnl"/>
        </w:rPr>
        <w:footnoteReference w:id="131"/>
      </w:r>
      <w:r w:rsidR="002C793D" w:rsidRPr="00E019A9">
        <w:rPr>
          <w:color w:val="000000" w:themeColor="text1"/>
          <w:sz w:val="20"/>
          <w:szCs w:val="20"/>
          <w:lang w:val="es-ES_tradnl"/>
        </w:rPr>
        <w:t xml:space="preserve">. En esta misma línea, la Corte Suprema aseguró que los hechos del caso constituían crímenes de lesa humanidad y que “entre las características que distinguen este tipo de transgresiones se destacan la imprescriptibilidad, la imposibilidad de amnistiarlos y de consagrar excluyentes de responsabilidad que pretendan impedir la investigación y </w:t>
      </w:r>
      <w:r w:rsidR="00FE3D34" w:rsidRPr="00E019A9">
        <w:rPr>
          <w:color w:val="000000" w:themeColor="text1"/>
          <w:sz w:val="20"/>
          <w:szCs w:val="20"/>
          <w:lang w:val="es-ES_tradnl"/>
        </w:rPr>
        <w:t>sanción</w:t>
      </w:r>
      <w:r w:rsidR="002C793D" w:rsidRPr="00E019A9">
        <w:rPr>
          <w:color w:val="000000" w:themeColor="text1"/>
          <w:sz w:val="20"/>
          <w:szCs w:val="20"/>
          <w:lang w:val="es-ES_tradnl"/>
        </w:rPr>
        <w:t xml:space="preserve"> de los responsables…”</w:t>
      </w:r>
      <w:r w:rsidR="002C793D" w:rsidRPr="00E019A9">
        <w:rPr>
          <w:rStyle w:val="FootnoteReference"/>
          <w:color w:val="000000" w:themeColor="text1"/>
          <w:sz w:val="20"/>
          <w:szCs w:val="20"/>
          <w:lang w:val="es-ES_tradnl"/>
        </w:rPr>
        <w:footnoteReference w:id="132"/>
      </w:r>
      <w:r w:rsidR="00FE3D34" w:rsidRPr="00E019A9">
        <w:rPr>
          <w:color w:val="000000" w:themeColor="text1"/>
          <w:sz w:val="20"/>
          <w:szCs w:val="20"/>
          <w:lang w:val="es-ES_tradnl"/>
        </w:rPr>
        <w:t xml:space="preserve">. </w:t>
      </w:r>
      <w:r w:rsidR="002C793D" w:rsidRPr="00E019A9">
        <w:rPr>
          <w:color w:val="000000" w:themeColor="text1"/>
          <w:sz w:val="20"/>
          <w:szCs w:val="20"/>
          <w:lang w:val="es-ES_tradnl"/>
        </w:rPr>
        <w:t xml:space="preserve"> </w:t>
      </w:r>
    </w:p>
    <w:p w14:paraId="29D1C5AF" w14:textId="77777777" w:rsidR="00FE3D34" w:rsidRPr="00E019A9" w:rsidRDefault="00FE3D34" w:rsidP="00FE3D34">
      <w:pPr>
        <w:pStyle w:val="ListParagraph"/>
        <w:rPr>
          <w:color w:val="000000" w:themeColor="text1"/>
          <w:sz w:val="20"/>
          <w:szCs w:val="20"/>
          <w:lang w:val="es-ES_tradnl"/>
        </w:rPr>
      </w:pPr>
    </w:p>
    <w:p w14:paraId="6F99871D" w14:textId="77777777" w:rsidR="00FE3D34" w:rsidRPr="00E019A9" w:rsidRDefault="00FE3D34" w:rsidP="00BB60A6">
      <w:pPr>
        <w:pStyle w:val="ListParagraph"/>
        <w:numPr>
          <w:ilvl w:val="0"/>
          <w:numId w:val="58"/>
        </w:numPr>
        <w:tabs>
          <w:tab w:val="left" w:pos="567"/>
        </w:tabs>
        <w:ind w:left="0" w:firstLine="0"/>
        <w:jc w:val="both"/>
        <w:rPr>
          <w:color w:val="000000" w:themeColor="text1"/>
          <w:sz w:val="20"/>
          <w:szCs w:val="20"/>
          <w:lang w:val="es-ES_tradnl"/>
        </w:rPr>
      </w:pPr>
      <w:r w:rsidRPr="00E019A9">
        <w:rPr>
          <w:color w:val="000000" w:themeColor="text1"/>
          <w:sz w:val="20"/>
          <w:szCs w:val="20"/>
          <w:lang w:val="es-ES_tradnl"/>
        </w:rPr>
        <w:t xml:space="preserve">Por otra parte, la Corte Suprema afirmó que “la imposibilidad de aplicar la prescripción de la acción penal como causal de extinción de la responsabilidad criminal, no impide otorgar la regla de atenuación de la pena, denominada media prescripción (…) que se encuentra consagrada en el </w:t>
      </w:r>
      <w:r w:rsidR="00C266C8" w:rsidRPr="00E019A9">
        <w:rPr>
          <w:color w:val="000000" w:themeColor="text1"/>
          <w:sz w:val="20"/>
          <w:szCs w:val="20"/>
          <w:lang w:val="es-ES_tradnl"/>
        </w:rPr>
        <w:t>artículo</w:t>
      </w:r>
      <w:r w:rsidRPr="00E019A9">
        <w:rPr>
          <w:color w:val="000000" w:themeColor="text1"/>
          <w:sz w:val="20"/>
          <w:szCs w:val="20"/>
          <w:lang w:val="es-ES_tradnl"/>
        </w:rPr>
        <w:t xml:space="preserve"> 103 del Código Penal”</w:t>
      </w:r>
      <w:r w:rsidRPr="00E019A9">
        <w:rPr>
          <w:rStyle w:val="FootnoteReference"/>
          <w:color w:val="000000" w:themeColor="text1"/>
          <w:sz w:val="20"/>
          <w:szCs w:val="20"/>
          <w:lang w:val="es-ES_tradnl"/>
        </w:rPr>
        <w:footnoteReference w:id="133"/>
      </w:r>
      <w:r w:rsidRPr="00E019A9">
        <w:rPr>
          <w:color w:val="000000" w:themeColor="text1"/>
          <w:sz w:val="20"/>
          <w:szCs w:val="20"/>
          <w:lang w:val="es-ES_tradnl"/>
        </w:rPr>
        <w:t xml:space="preserve">. </w:t>
      </w:r>
      <w:r w:rsidR="00D12017" w:rsidRPr="00E019A9">
        <w:rPr>
          <w:color w:val="000000" w:themeColor="text1"/>
          <w:sz w:val="20"/>
          <w:szCs w:val="20"/>
          <w:lang w:val="es-ES_tradnl"/>
        </w:rPr>
        <w:t>Para decidir de este modo, el tribunal argumentó que la figura de la media prescripción “constituye una minorante calificada de responsabilidad criminal, cuyos efectos inciden en la determinación del quantum de la sanción, la que subsiste y por tanto, la hacen independiente de la prescripción”</w:t>
      </w:r>
      <w:r w:rsidR="00D12017" w:rsidRPr="00E019A9">
        <w:rPr>
          <w:rStyle w:val="FootnoteReference"/>
          <w:color w:val="000000" w:themeColor="text1"/>
          <w:sz w:val="20"/>
          <w:szCs w:val="20"/>
          <w:lang w:val="es-ES_tradnl"/>
        </w:rPr>
        <w:footnoteReference w:id="134"/>
      </w:r>
      <w:r w:rsidR="00D12017" w:rsidRPr="00E019A9">
        <w:rPr>
          <w:color w:val="000000" w:themeColor="text1"/>
          <w:sz w:val="20"/>
          <w:szCs w:val="20"/>
          <w:lang w:val="es-ES_tradnl"/>
        </w:rPr>
        <w:t xml:space="preserve">. </w:t>
      </w:r>
    </w:p>
    <w:p w14:paraId="6FE15ABE" w14:textId="77777777" w:rsidR="00D12017" w:rsidRPr="00E019A9" w:rsidRDefault="00D12017" w:rsidP="00D12017">
      <w:pPr>
        <w:pStyle w:val="ListParagraph"/>
        <w:rPr>
          <w:color w:val="000000" w:themeColor="text1"/>
          <w:sz w:val="20"/>
          <w:szCs w:val="20"/>
          <w:lang w:val="es-ES_tradnl"/>
        </w:rPr>
      </w:pPr>
    </w:p>
    <w:p w14:paraId="33632AED" w14:textId="77777777" w:rsidR="00D12017" w:rsidRPr="00E019A9" w:rsidRDefault="00D12017" w:rsidP="00BB60A6">
      <w:pPr>
        <w:pStyle w:val="ListParagraph"/>
        <w:numPr>
          <w:ilvl w:val="0"/>
          <w:numId w:val="58"/>
        </w:numPr>
        <w:tabs>
          <w:tab w:val="left" w:pos="567"/>
        </w:tabs>
        <w:ind w:left="0" w:firstLine="0"/>
        <w:jc w:val="both"/>
        <w:rPr>
          <w:color w:val="000000" w:themeColor="text1"/>
          <w:sz w:val="20"/>
          <w:szCs w:val="20"/>
          <w:lang w:val="es-ES_tradnl"/>
        </w:rPr>
      </w:pPr>
      <w:r w:rsidRPr="00E019A9">
        <w:rPr>
          <w:color w:val="000000" w:themeColor="text1"/>
          <w:sz w:val="20"/>
          <w:szCs w:val="20"/>
          <w:lang w:val="es-ES_tradnl"/>
        </w:rPr>
        <w:t>En el caso concreto del secuestro calificado del matrimonio Oyarzun-Bojanic, la Corte Suprema señaló que el proceso criminal “estuvo paralizado por casi veinte años, entre el 24 de octubre de 1977, cunando quedó ejecutoriado el sobreseimiento temporal de la causa y el 6 de diciembre de 1996, cuando se reabrió el sumario”</w:t>
      </w:r>
      <w:r w:rsidRPr="00E019A9">
        <w:rPr>
          <w:rStyle w:val="FootnoteReference"/>
          <w:color w:val="000000" w:themeColor="text1"/>
          <w:sz w:val="20"/>
          <w:szCs w:val="20"/>
          <w:lang w:val="es-ES_tradnl"/>
        </w:rPr>
        <w:footnoteReference w:id="135"/>
      </w:r>
      <w:r w:rsidRPr="00E019A9">
        <w:rPr>
          <w:color w:val="000000" w:themeColor="text1"/>
          <w:sz w:val="20"/>
          <w:szCs w:val="20"/>
          <w:lang w:val="es-ES_tradnl"/>
        </w:rPr>
        <w:t>.</w:t>
      </w:r>
      <w:r w:rsidR="00592F48" w:rsidRPr="00E019A9">
        <w:rPr>
          <w:color w:val="000000" w:themeColor="text1"/>
          <w:sz w:val="20"/>
          <w:szCs w:val="20"/>
          <w:lang w:val="es-ES_tradnl"/>
        </w:rPr>
        <w:t xml:space="preserve"> En consecuencia, el tribunal concluy</w:t>
      </w:r>
      <w:r w:rsidR="009A2435" w:rsidRPr="00E019A9">
        <w:rPr>
          <w:color w:val="000000" w:themeColor="text1"/>
          <w:sz w:val="20"/>
          <w:szCs w:val="20"/>
          <w:lang w:val="es-ES_tradnl"/>
        </w:rPr>
        <w:t>ó</w:t>
      </w:r>
      <w:r w:rsidR="00592F48" w:rsidRPr="00E019A9">
        <w:rPr>
          <w:color w:val="000000" w:themeColor="text1"/>
          <w:sz w:val="20"/>
          <w:szCs w:val="20"/>
          <w:lang w:val="es-ES_tradnl"/>
        </w:rPr>
        <w:t xml:space="preserve"> que la figura de la media prescripción debía beneficiar a todos las personas sujetas a proceso en esta causa</w:t>
      </w:r>
      <w:r w:rsidR="00592F48" w:rsidRPr="00E019A9">
        <w:rPr>
          <w:rStyle w:val="FootnoteReference"/>
          <w:color w:val="000000" w:themeColor="text1"/>
          <w:sz w:val="20"/>
          <w:szCs w:val="20"/>
          <w:lang w:val="es-ES_tradnl"/>
        </w:rPr>
        <w:footnoteReference w:id="136"/>
      </w:r>
      <w:r w:rsidR="00592F48" w:rsidRPr="00E019A9">
        <w:rPr>
          <w:color w:val="000000" w:themeColor="text1"/>
          <w:sz w:val="20"/>
          <w:szCs w:val="20"/>
          <w:lang w:val="es-ES_tradnl"/>
        </w:rPr>
        <w:t xml:space="preserve">. </w:t>
      </w:r>
      <w:r w:rsidR="009A2435" w:rsidRPr="00E019A9">
        <w:rPr>
          <w:color w:val="000000" w:themeColor="text1"/>
          <w:sz w:val="20"/>
          <w:szCs w:val="20"/>
          <w:lang w:val="es-ES_tradnl"/>
        </w:rPr>
        <w:t xml:space="preserve">Asimismo, los jueces descartaron que concurra en el caso la circunstancia atenuante de cumplimiento de </w:t>
      </w:r>
      <w:r w:rsidR="00C266C8" w:rsidRPr="00E019A9">
        <w:rPr>
          <w:color w:val="000000" w:themeColor="text1"/>
          <w:sz w:val="20"/>
          <w:szCs w:val="20"/>
          <w:lang w:val="es-ES_tradnl"/>
        </w:rPr>
        <w:t>órdenes</w:t>
      </w:r>
      <w:r w:rsidR="009A2435" w:rsidRPr="00E019A9">
        <w:rPr>
          <w:color w:val="000000" w:themeColor="text1"/>
          <w:sz w:val="20"/>
          <w:szCs w:val="20"/>
          <w:lang w:val="es-ES_tradnl"/>
        </w:rPr>
        <w:t xml:space="preserve"> superiores y reafirmaron la aplicación de la atenuante de irreprochable conducta anterior. </w:t>
      </w:r>
    </w:p>
    <w:p w14:paraId="7E72A255" w14:textId="77777777" w:rsidR="009A2435" w:rsidRPr="00E019A9" w:rsidRDefault="009A2435" w:rsidP="009A2435">
      <w:pPr>
        <w:pStyle w:val="ListParagraph"/>
        <w:rPr>
          <w:color w:val="000000" w:themeColor="text1"/>
          <w:sz w:val="20"/>
          <w:szCs w:val="20"/>
          <w:lang w:val="es-ES_tradnl"/>
        </w:rPr>
      </w:pPr>
    </w:p>
    <w:p w14:paraId="0ECA87B9" w14:textId="77777777" w:rsidR="00363733" w:rsidRPr="00E019A9" w:rsidRDefault="009A2435" w:rsidP="00BB60A6">
      <w:pPr>
        <w:pStyle w:val="ListParagraph"/>
        <w:numPr>
          <w:ilvl w:val="0"/>
          <w:numId w:val="58"/>
        </w:numPr>
        <w:tabs>
          <w:tab w:val="left" w:pos="567"/>
        </w:tabs>
        <w:ind w:left="0" w:firstLine="0"/>
        <w:jc w:val="both"/>
        <w:rPr>
          <w:color w:val="000000" w:themeColor="text1"/>
          <w:sz w:val="20"/>
          <w:szCs w:val="20"/>
          <w:lang w:val="es-ES_tradnl"/>
        </w:rPr>
      </w:pPr>
      <w:r w:rsidRPr="00E019A9">
        <w:rPr>
          <w:color w:val="000000" w:themeColor="text1"/>
          <w:sz w:val="20"/>
          <w:szCs w:val="20"/>
          <w:lang w:val="es-ES_tradnl"/>
        </w:rPr>
        <w:t xml:space="preserve">En consecuencia, </w:t>
      </w:r>
      <w:r w:rsidR="00924128" w:rsidRPr="00E019A9">
        <w:rPr>
          <w:color w:val="000000" w:themeColor="text1"/>
          <w:sz w:val="20"/>
          <w:szCs w:val="20"/>
          <w:lang w:val="es-ES_tradnl"/>
        </w:rPr>
        <w:t xml:space="preserve">la Corte Suprema de Justicia resolvió imponerle a Juan Manuel Guillermo Contreras Sepúlveda la pena de 10 años de presidio mayor en su grado mínimo, mas accesorias, por su participación en calidad de coautor de dos delitos de secuestro calificado que tuvo como </w:t>
      </w:r>
      <w:r w:rsidR="00035B24" w:rsidRPr="00E019A9">
        <w:rPr>
          <w:color w:val="000000" w:themeColor="text1"/>
          <w:sz w:val="20"/>
          <w:szCs w:val="20"/>
          <w:lang w:val="es-ES_tradnl"/>
        </w:rPr>
        <w:t>víctimas</w:t>
      </w:r>
      <w:r w:rsidR="00924128" w:rsidRPr="00E019A9">
        <w:rPr>
          <w:color w:val="000000" w:themeColor="text1"/>
          <w:sz w:val="20"/>
          <w:szCs w:val="20"/>
          <w:lang w:val="es-ES_tradnl"/>
        </w:rPr>
        <w:t xml:space="preserve"> a Cecilia Bojanic Abad y Flavio Oyarzún Soto. Por otro lado, Marcelo Luis Manuel Moren Brito, Miguel Krassnoff Martchenko, Fernando Eduardo Laurani Maturana y Francisco Maximiliano Ferrer Lima fueron condenados a la pena de 4 años de presidio menor en su grado máximo, mas accesorias, por haber tomado parte en calidad de coautores de dos delitos de secuestro calificado en perjuicio de Cecilia Bojanic Abad y Flavio Oyarzun Soto. Finalmente, el procesado Orlando José Manzo Duran fue condenado a la pena de 3 años de presidio menor en su grado medio, mas accesorias, por su participación en calidad de cómplice del secuestro calificado del matrimonio Oyarzun-Bojanic. Los magistrados acordaron otorgarles a todos los condenados – salvo a Contreras Sepúlveda – la medida alternativa de libertad vigilada</w:t>
      </w:r>
      <w:r w:rsidR="00924128" w:rsidRPr="00E019A9">
        <w:rPr>
          <w:rStyle w:val="FootnoteReference"/>
          <w:color w:val="000000" w:themeColor="text1"/>
          <w:sz w:val="20"/>
          <w:szCs w:val="20"/>
          <w:lang w:val="es-ES_tradnl"/>
        </w:rPr>
        <w:footnoteReference w:id="137"/>
      </w:r>
      <w:r w:rsidR="00924128" w:rsidRPr="00E019A9">
        <w:rPr>
          <w:color w:val="000000" w:themeColor="text1"/>
          <w:sz w:val="20"/>
          <w:szCs w:val="20"/>
          <w:lang w:val="es-ES_tradnl"/>
        </w:rPr>
        <w:t xml:space="preserve">. </w:t>
      </w:r>
    </w:p>
    <w:p w14:paraId="0AC58CF7" w14:textId="77777777" w:rsidR="00363733" w:rsidRPr="00E019A9" w:rsidRDefault="00363733" w:rsidP="00A46D85">
      <w:pPr>
        <w:jc w:val="both"/>
        <w:rPr>
          <w:rFonts w:ascii="Cambria" w:hAnsi="Cambria"/>
          <w:b/>
          <w:color w:val="000000" w:themeColor="text1"/>
          <w:sz w:val="20"/>
          <w:szCs w:val="20"/>
          <w:lang w:val="es-ES_tradnl" w:eastAsia="es-ES"/>
        </w:rPr>
      </w:pPr>
    </w:p>
    <w:p w14:paraId="57BDA184" w14:textId="77777777" w:rsidR="005B0935" w:rsidRPr="00E019A9" w:rsidRDefault="00AC54D8" w:rsidP="00BB60A6">
      <w:pPr>
        <w:pStyle w:val="Heading3"/>
        <w:numPr>
          <w:ilvl w:val="1"/>
          <w:numId w:val="59"/>
        </w:numPr>
        <w:tabs>
          <w:tab w:val="left" w:pos="567"/>
          <w:tab w:val="left" w:pos="1134"/>
        </w:tabs>
        <w:ind w:left="567" w:firstLine="0"/>
        <w:jc w:val="both"/>
      </w:pPr>
      <w:r w:rsidRPr="00E019A9">
        <w:t>Respecto de la petición presentada en representación de</w:t>
      </w:r>
      <w:r w:rsidR="00E5253C" w:rsidRPr="00E019A9">
        <w:t xml:space="preserve"> los familiares de</w:t>
      </w:r>
      <w:r w:rsidRPr="00E019A9">
        <w:t xml:space="preserve"> Felipe Segundo Rivera Gajardo, </w:t>
      </w:r>
      <w:r w:rsidR="006C1B06" w:rsidRPr="00E019A9">
        <w:t>Gastón</w:t>
      </w:r>
      <w:r w:rsidRPr="00E019A9">
        <w:t xml:space="preserve"> Fernando Vidaurrázaga </w:t>
      </w:r>
      <w:r w:rsidR="006C1B06" w:rsidRPr="00E019A9">
        <w:t>Manríquez</w:t>
      </w:r>
      <w:r w:rsidRPr="00E019A9">
        <w:t xml:space="preserve">, </w:t>
      </w:r>
      <w:r w:rsidR="006C1B06" w:rsidRPr="00E019A9">
        <w:t>José</w:t>
      </w:r>
      <w:r w:rsidRPr="00E019A9">
        <w:t>́ Humberto</w:t>
      </w:r>
      <w:r w:rsidR="00321AF5" w:rsidRPr="00E019A9">
        <w:t xml:space="preserve"> </w:t>
      </w:r>
      <w:r w:rsidRPr="00E019A9">
        <w:t>Carrasco Tapia</w:t>
      </w:r>
      <w:r w:rsidR="00321AF5" w:rsidRPr="00E019A9">
        <w:t xml:space="preserve"> y</w:t>
      </w:r>
      <w:r w:rsidRPr="00E019A9">
        <w:t xml:space="preserve"> Abraham Muskatblit Eidelstein</w:t>
      </w:r>
      <w:r w:rsidR="00E5253C" w:rsidRPr="00E019A9">
        <w:t xml:space="preserve"> y </w:t>
      </w:r>
      <w:r w:rsidRPr="00E019A9">
        <w:t>registrada inicialmente por la Comisión bajo el número P 676-11.</w:t>
      </w:r>
    </w:p>
    <w:p w14:paraId="20EA313A" w14:textId="77777777" w:rsidR="001B5AEC" w:rsidRPr="00E019A9" w:rsidRDefault="001B5AEC" w:rsidP="00A46D85">
      <w:pPr>
        <w:rPr>
          <w:sz w:val="20"/>
          <w:szCs w:val="20"/>
          <w:lang w:val="es-ES_tradnl" w:eastAsia="es-ES"/>
        </w:rPr>
      </w:pPr>
    </w:p>
    <w:p w14:paraId="536F439A" w14:textId="77777777" w:rsidR="00BA4B05" w:rsidRPr="00E019A9" w:rsidRDefault="00573A1D"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 xml:space="preserve">De acuerdo con la información </w:t>
      </w:r>
      <w:r w:rsidR="00BA4B05" w:rsidRPr="00E019A9">
        <w:rPr>
          <w:sz w:val="20"/>
          <w:szCs w:val="20"/>
          <w:lang w:val="es-ES_tradnl"/>
        </w:rPr>
        <w:t xml:space="preserve">contenida en diversos pronunciamientos judiciales se tiene por probado que el día </w:t>
      </w:r>
      <w:r w:rsidR="007B3373" w:rsidRPr="00E019A9">
        <w:rPr>
          <w:sz w:val="20"/>
          <w:szCs w:val="20"/>
          <w:lang w:val="es-ES_tradnl"/>
        </w:rPr>
        <w:t>7</w:t>
      </w:r>
      <w:r w:rsidR="00BA4B05" w:rsidRPr="00E019A9">
        <w:rPr>
          <w:sz w:val="20"/>
          <w:szCs w:val="20"/>
          <w:lang w:val="es-ES_tradnl"/>
        </w:rPr>
        <w:t xml:space="preserve"> de septiembre de 1986 se celebró en dependencias de la Central Nacional de Inteligencia (CNI) una reunión entre el jefe de esa repartición, General Humberto Gordon Rubio, y los comandantes de la </w:t>
      </w:r>
      <w:r w:rsidR="00713616" w:rsidRPr="00E019A9">
        <w:rPr>
          <w:sz w:val="20"/>
          <w:szCs w:val="20"/>
          <w:lang w:val="es-ES_tradnl"/>
        </w:rPr>
        <w:t>División</w:t>
      </w:r>
      <w:r w:rsidR="00BA4B05" w:rsidRPr="00E019A9">
        <w:rPr>
          <w:sz w:val="20"/>
          <w:szCs w:val="20"/>
          <w:lang w:val="es-ES_tradnl"/>
        </w:rPr>
        <w:t xml:space="preserve"> Antisubversiva Bernardo O’Higgins de la </w:t>
      </w:r>
      <w:r w:rsidR="007B3373" w:rsidRPr="00E019A9">
        <w:rPr>
          <w:sz w:val="20"/>
          <w:szCs w:val="20"/>
          <w:lang w:val="es-ES_tradnl"/>
        </w:rPr>
        <w:t>Región</w:t>
      </w:r>
      <w:r w:rsidR="00BA4B05" w:rsidRPr="00E019A9">
        <w:rPr>
          <w:sz w:val="20"/>
          <w:szCs w:val="20"/>
          <w:lang w:val="es-ES_tradnl"/>
        </w:rPr>
        <w:t xml:space="preserve"> </w:t>
      </w:r>
      <w:r w:rsidR="007B3373" w:rsidRPr="00E019A9">
        <w:rPr>
          <w:sz w:val="20"/>
          <w:szCs w:val="20"/>
          <w:lang w:val="es-ES_tradnl"/>
        </w:rPr>
        <w:t>Metropolitana</w:t>
      </w:r>
      <w:r w:rsidR="00BA4B05" w:rsidRPr="00E019A9">
        <w:rPr>
          <w:sz w:val="20"/>
          <w:szCs w:val="20"/>
          <w:lang w:val="es-ES_tradnl"/>
        </w:rPr>
        <w:t xml:space="preserve">, Mayor </w:t>
      </w:r>
      <w:r w:rsidR="004965DA" w:rsidRPr="00E019A9">
        <w:rPr>
          <w:sz w:val="20"/>
          <w:szCs w:val="20"/>
          <w:lang w:val="es-ES_tradnl"/>
        </w:rPr>
        <w:t>Álvaro</w:t>
      </w:r>
      <w:r w:rsidR="00BA4B05" w:rsidRPr="00E019A9">
        <w:rPr>
          <w:sz w:val="20"/>
          <w:szCs w:val="20"/>
          <w:lang w:val="es-ES_tradnl"/>
        </w:rPr>
        <w:t xml:space="preserve"> Julio </w:t>
      </w:r>
      <w:r w:rsidR="00A46D85" w:rsidRPr="00E019A9">
        <w:rPr>
          <w:sz w:val="20"/>
          <w:szCs w:val="20"/>
          <w:lang w:val="es-ES_tradnl"/>
        </w:rPr>
        <w:t>Corbalán</w:t>
      </w:r>
      <w:r w:rsidR="00BA4B05" w:rsidRPr="00E019A9">
        <w:rPr>
          <w:sz w:val="20"/>
          <w:szCs w:val="20"/>
          <w:lang w:val="es-ES_tradnl"/>
        </w:rPr>
        <w:t xml:space="preserve"> Castilla</w:t>
      </w:r>
      <w:r w:rsidR="00713616" w:rsidRPr="00E019A9">
        <w:rPr>
          <w:sz w:val="20"/>
          <w:szCs w:val="20"/>
          <w:lang w:val="es-ES_tradnl"/>
        </w:rPr>
        <w:t>,</w:t>
      </w:r>
      <w:r w:rsidR="00BA4B05" w:rsidRPr="00E019A9">
        <w:rPr>
          <w:sz w:val="20"/>
          <w:szCs w:val="20"/>
          <w:lang w:val="es-ES_tradnl"/>
        </w:rPr>
        <w:t xml:space="preserve"> y de la </w:t>
      </w:r>
      <w:r w:rsidR="007B3373" w:rsidRPr="00E019A9">
        <w:rPr>
          <w:sz w:val="20"/>
          <w:szCs w:val="20"/>
          <w:lang w:val="es-ES_tradnl"/>
        </w:rPr>
        <w:lastRenderedPageBreak/>
        <w:t>División</w:t>
      </w:r>
      <w:r w:rsidR="00BA4B05" w:rsidRPr="00E019A9">
        <w:rPr>
          <w:sz w:val="20"/>
          <w:szCs w:val="20"/>
          <w:lang w:val="es-ES_tradnl"/>
        </w:rPr>
        <w:t xml:space="preserve"> Metropolitana</w:t>
      </w:r>
      <w:r w:rsidR="006227C8" w:rsidRPr="00E019A9">
        <w:rPr>
          <w:sz w:val="20"/>
          <w:szCs w:val="20"/>
          <w:lang w:val="es-ES_tradnl"/>
        </w:rPr>
        <w:t xml:space="preserve"> de la CNI</w:t>
      </w:r>
      <w:r w:rsidR="00BA4B05" w:rsidRPr="00E019A9">
        <w:rPr>
          <w:sz w:val="20"/>
          <w:szCs w:val="20"/>
          <w:lang w:val="es-ES_tradnl"/>
        </w:rPr>
        <w:t xml:space="preserve">, </w:t>
      </w:r>
      <w:r w:rsidR="007B3373" w:rsidRPr="00E019A9">
        <w:rPr>
          <w:sz w:val="20"/>
          <w:szCs w:val="20"/>
          <w:lang w:val="es-ES_tradnl"/>
        </w:rPr>
        <w:t>Brigadie</w:t>
      </w:r>
      <w:r w:rsidR="00BA4B05" w:rsidRPr="00E019A9">
        <w:rPr>
          <w:sz w:val="20"/>
          <w:szCs w:val="20"/>
          <w:lang w:val="es-ES_tradnl"/>
        </w:rPr>
        <w:t>r Manuel Provis Carrasco</w:t>
      </w:r>
      <w:r w:rsidR="006227C8" w:rsidRPr="00E019A9">
        <w:rPr>
          <w:rStyle w:val="FootnoteReference"/>
          <w:sz w:val="20"/>
          <w:szCs w:val="20"/>
          <w:lang w:val="es-ES_tradnl"/>
        </w:rPr>
        <w:footnoteReference w:id="138"/>
      </w:r>
      <w:r w:rsidR="00BA4B05" w:rsidRPr="00E019A9">
        <w:rPr>
          <w:sz w:val="20"/>
          <w:szCs w:val="20"/>
          <w:lang w:val="es-ES_tradnl"/>
        </w:rPr>
        <w:t xml:space="preserve">. En dicho encuentro, el General Gordon Rubio ordenó a sus subordinados que </w:t>
      </w:r>
      <w:r w:rsidR="00713616" w:rsidRPr="00E019A9">
        <w:rPr>
          <w:sz w:val="20"/>
          <w:szCs w:val="20"/>
          <w:lang w:val="es-ES_tradnl"/>
        </w:rPr>
        <w:t xml:space="preserve">personal </w:t>
      </w:r>
      <w:r w:rsidR="00BA4B05" w:rsidRPr="00E019A9">
        <w:rPr>
          <w:sz w:val="20"/>
          <w:szCs w:val="20"/>
          <w:lang w:val="es-ES_tradnl"/>
        </w:rPr>
        <w:t xml:space="preserve">de su dependencia debía </w:t>
      </w:r>
      <w:r w:rsidR="007B3373" w:rsidRPr="00E019A9">
        <w:rPr>
          <w:sz w:val="20"/>
          <w:szCs w:val="20"/>
          <w:lang w:val="es-ES_tradnl"/>
        </w:rPr>
        <w:t xml:space="preserve">vengar la muerte de cinco escoltas fallecidos en ocasión del frustrado atentado del </w:t>
      </w:r>
      <w:r w:rsidR="006227C8" w:rsidRPr="00E019A9">
        <w:rPr>
          <w:sz w:val="20"/>
          <w:szCs w:val="20"/>
          <w:lang w:val="es-ES_tradnl"/>
        </w:rPr>
        <w:t>día</w:t>
      </w:r>
      <w:r w:rsidR="007B3373" w:rsidRPr="00E019A9">
        <w:rPr>
          <w:sz w:val="20"/>
          <w:szCs w:val="20"/>
          <w:lang w:val="es-ES_tradnl"/>
        </w:rPr>
        <w:t xml:space="preserve"> 6 de septiembre de 1986</w:t>
      </w:r>
      <w:r w:rsidR="00904FE2" w:rsidRPr="00E019A9">
        <w:rPr>
          <w:sz w:val="20"/>
          <w:szCs w:val="20"/>
          <w:lang w:val="es-ES_tradnl"/>
        </w:rPr>
        <w:t xml:space="preserve"> </w:t>
      </w:r>
      <w:r w:rsidR="007B3373" w:rsidRPr="00E019A9">
        <w:rPr>
          <w:sz w:val="20"/>
          <w:szCs w:val="20"/>
          <w:lang w:val="es-ES_tradnl"/>
        </w:rPr>
        <w:t xml:space="preserve">contra la caravana en la que se trasladaba el General </w:t>
      </w:r>
      <w:r w:rsidR="00713616" w:rsidRPr="00E019A9">
        <w:rPr>
          <w:sz w:val="20"/>
          <w:szCs w:val="20"/>
          <w:lang w:val="es-ES_tradnl"/>
        </w:rPr>
        <w:t xml:space="preserve">Augusto </w:t>
      </w:r>
      <w:r w:rsidR="007B3373" w:rsidRPr="00E019A9">
        <w:rPr>
          <w:sz w:val="20"/>
          <w:szCs w:val="20"/>
          <w:lang w:val="es-ES_tradnl"/>
        </w:rPr>
        <w:t xml:space="preserve">Pinochet, quien por ese entonces ostentaba la titularidad de la junta de gobierno. </w:t>
      </w:r>
    </w:p>
    <w:p w14:paraId="6E815A5C" w14:textId="77777777" w:rsidR="007B3373" w:rsidRPr="00E019A9" w:rsidRDefault="007B3373" w:rsidP="00B569C3">
      <w:pPr>
        <w:pStyle w:val="ListParagraph"/>
        <w:tabs>
          <w:tab w:val="left" w:pos="567"/>
        </w:tabs>
        <w:rPr>
          <w:sz w:val="20"/>
          <w:szCs w:val="20"/>
          <w:lang w:val="es-ES_tradnl"/>
        </w:rPr>
      </w:pPr>
    </w:p>
    <w:p w14:paraId="73747F71" w14:textId="77777777" w:rsidR="00E061F2" w:rsidRPr="00E019A9" w:rsidRDefault="007B3373"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Los tribunales nacionales han también acreditado que</w:t>
      </w:r>
      <w:r w:rsidR="00E061F2" w:rsidRPr="00E019A9">
        <w:rPr>
          <w:sz w:val="20"/>
          <w:szCs w:val="20"/>
          <w:lang w:val="es-ES_tradnl"/>
        </w:rPr>
        <w:t xml:space="preserve">, </w:t>
      </w:r>
      <w:r w:rsidRPr="00E019A9">
        <w:rPr>
          <w:sz w:val="20"/>
          <w:szCs w:val="20"/>
          <w:lang w:val="es-ES_tradnl"/>
        </w:rPr>
        <w:t xml:space="preserve">a las 2 de la madrugada del </w:t>
      </w:r>
      <w:r w:rsidR="006227C8" w:rsidRPr="00E019A9">
        <w:rPr>
          <w:sz w:val="20"/>
          <w:szCs w:val="20"/>
          <w:lang w:val="es-ES_tradnl"/>
        </w:rPr>
        <w:t>8 de septiembre de 1986</w:t>
      </w:r>
      <w:r w:rsidR="00E061F2" w:rsidRPr="00E019A9">
        <w:rPr>
          <w:sz w:val="20"/>
          <w:szCs w:val="20"/>
          <w:lang w:val="es-ES_tradnl"/>
        </w:rPr>
        <w:t xml:space="preserve">, </w:t>
      </w:r>
      <w:r w:rsidR="006227C8" w:rsidRPr="00E019A9">
        <w:rPr>
          <w:sz w:val="20"/>
          <w:szCs w:val="20"/>
          <w:lang w:val="es-ES_tradnl"/>
        </w:rPr>
        <w:t xml:space="preserve">un grupo operativo perteneciente a la CNI irrumpió - empleando fuerza y violencia - en el domicilio </w:t>
      </w:r>
      <w:r w:rsidR="00E061F2" w:rsidRPr="00E019A9">
        <w:rPr>
          <w:sz w:val="20"/>
          <w:szCs w:val="20"/>
          <w:lang w:val="es-ES_tradnl"/>
        </w:rPr>
        <w:t>de</w:t>
      </w:r>
      <w:r w:rsidR="006227C8" w:rsidRPr="00E019A9">
        <w:rPr>
          <w:sz w:val="20"/>
          <w:szCs w:val="20"/>
          <w:lang w:val="es-ES_tradnl"/>
        </w:rPr>
        <w:t xml:space="preserve"> la calle Diagonal Las Torres N° 6678, comuna de Cerro Navia, privaron de su libertad a Felipe Segundo Rivera Gajardo y lo introdujeron a uno</w:t>
      </w:r>
      <w:r w:rsidR="00E061F2" w:rsidRPr="00E019A9">
        <w:rPr>
          <w:sz w:val="20"/>
          <w:szCs w:val="20"/>
          <w:lang w:val="es-ES_tradnl"/>
        </w:rPr>
        <w:t xml:space="preserve"> de los vehículos en los que se transportaban</w:t>
      </w:r>
      <w:r w:rsidR="006227C8" w:rsidRPr="00E019A9">
        <w:rPr>
          <w:sz w:val="20"/>
          <w:szCs w:val="20"/>
          <w:lang w:val="es-ES_tradnl"/>
        </w:rPr>
        <w:t>. Acto seguido, el Sr. Rivera Gajardo fue conducido a la Ruta Cinco Sur, sector Américo Vespucio, frente a la Planta Toyota, donde fue asesinado mediante seis disparos de arma de fuego calibre 9mm que impactaron en la región torácica y extremidades superiores</w:t>
      </w:r>
      <w:r w:rsidR="00E061F2" w:rsidRPr="00E019A9">
        <w:rPr>
          <w:sz w:val="20"/>
          <w:szCs w:val="20"/>
          <w:lang w:val="es-ES_tradnl"/>
        </w:rPr>
        <w:t xml:space="preserve"> de la </w:t>
      </w:r>
      <w:r w:rsidR="00546FBC" w:rsidRPr="00E019A9">
        <w:rPr>
          <w:sz w:val="20"/>
          <w:szCs w:val="20"/>
          <w:lang w:val="es-ES_tradnl"/>
        </w:rPr>
        <w:t>víctima</w:t>
      </w:r>
      <w:r w:rsidR="006227C8" w:rsidRPr="00E019A9">
        <w:rPr>
          <w:rStyle w:val="FootnoteReference"/>
          <w:sz w:val="20"/>
          <w:szCs w:val="20"/>
          <w:lang w:val="es-ES_tradnl"/>
        </w:rPr>
        <w:footnoteReference w:id="139"/>
      </w:r>
      <w:r w:rsidR="006227C8" w:rsidRPr="00E019A9">
        <w:rPr>
          <w:sz w:val="20"/>
          <w:szCs w:val="20"/>
          <w:lang w:val="es-ES_tradnl"/>
        </w:rPr>
        <w:t>.</w:t>
      </w:r>
    </w:p>
    <w:p w14:paraId="574A145A" w14:textId="77777777" w:rsidR="00E061F2" w:rsidRPr="00E019A9" w:rsidRDefault="00E061F2" w:rsidP="00B569C3">
      <w:pPr>
        <w:pStyle w:val="ListParagraph"/>
        <w:tabs>
          <w:tab w:val="left" w:pos="567"/>
        </w:tabs>
        <w:rPr>
          <w:sz w:val="20"/>
          <w:szCs w:val="20"/>
          <w:lang w:val="es-ES_tradnl"/>
        </w:rPr>
      </w:pPr>
    </w:p>
    <w:p w14:paraId="4FFB95BD" w14:textId="77777777" w:rsidR="007B3373" w:rsidRPr="00E019A9" w:rsidRDefault="00E061F2"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 xml:space="preserve">Por otra parte, se tiene por probado que alrededor de las 4 de la madrugada del 8 de septiembre de 1986 varias personas armadas pertenecientes a CNI ingresaron mediante el uso de la fuerza en el domicilio de calle Fidel Angulo 1109 de la Comuna de San Bernardo, propiedad de Gastón Fernando Vidaurrázaga Manríquez. El Sr.  Vidaurrázaga Manríquez fue privado de su libertad y conducido hasta la Ruta 5 Sur, altura del </w:t>
      </w:r>
      <w:r w:rsidR="00C266C8" w:rsidRPr="00E019A9">
        <w:rPr>
          <w:sz w:val="20"/>
          <w:szCs w:val="20"/>
          <w:lang w:val="es-ES_tradnl"/>
        </w:rPr>
        <w:t>kilómetro</w:t>
      </w:r>
      <w:r w:rsidRPr="00E019A9">
        <w:rPr>
          <w:sz w:val="20"/>
          <w:szCs w:val="20"/>
          <w:lang w:val="es-ES_tradnl"/>
        </w:rPr>
        <w:t xml:space="preserve"> 16, lugar donde se le dio muerte mediante </w:t>
      </w:r>
      <w:r w:rsidR="00186AA1" w:rsidRPr="00E019A9">
        <w:rPr>
          <w:sz w:val="20"/>
          <w:szCs w:val="20"/>
          <w:lang w:val="es-ES_tradnl"/>
        </w:rPr>
        <w:t>múltiples</w:t>
      </w:r>
      <w:r w:rsidRPr="00E019A9">
        <w:rPr>
          <w:sz w:val="20"/>
          <w:szCs w:val="20"/>
          <w:lang w:val="es-ES_tradnl"/>
        </w:rPr>
        <w:t xml:space="preserve"> heridas de bala torácicas y abdominales</w:t>
      </w:r>
      <w:r w:rsidR="002804DB" w:rsidRPr="00E019A9">
        <w:rPr>
          <w:rStyle w:val="FootnoteReference"/>
          <w:sz w:val="20"/>
          <w:szCs w:val="20"/>
          <w:lang w:val="es-ES_tradnl"/>
        </w:rPr>
        <w:footnoteReference w:id="140"/>
      </w:r>
      <w:r w:rsidRPr="00E019A9">
        <w:rPr>
          <w:sz w:val="20"/>
          <w:szCs w:val="20"/>
          <w:lang w:val="es-ES_tradnl"/>
        </w:rPr>
        <w:t xml:space="preserve">. </w:t>
      </w:r>
    </w:p>
    <w:p w14:paraId="01AC53B9" w14:textId="77777777" w:rsidR="00E061F2" w:rsidRPr="00E019A9" w:rsidRDefault="00E061F2" w:rsidP="00B569C3">
      <w:pPr>
        <w:pStyle w:val="ListParagraph"/>
        <w:tabs>
          <w:tab w:val="left" w:pos="567"/>
        </w:tabs>
        <w:rPr>
          <w:sz w:val="20"/>
          <w:szCs w:val="20"/>
          <w:lang w:val="es-ES_tradnl"/>
        </w:rPr>
      </w:pPr>
    </w:p>
    <w:p w14:paraId="4B148E70" w14:textId="77777777" w:rsidR="00E061F2" w:rsidRPr="00E019A9" w:rsidRDefault="00E061F2"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 xml:space="preserve">Se tiene asimismo por probado que aproximadamente a las 5 horas del 8 de septiembre de 1986, funcionarios armados </w:t>
      </w:r>
      <w:r w:rsidR="00186AA1" w:rsidRPr="00E019A9">
        <w:rPr>
          <w:sz w:val="20"/>
          <w:szCs w:val="20"/>
          <w:lang w:val="es-ES_tradnl"/>
        </w:rPr>
        <w:t>que pertenecían a</w:t>
      </w:r>
      <w:r w:rsidRPr="00E019A9">
        <w:rPr>
          <w:sz w:val="20"/>
          <w:szCs w:val="20"/>
          <w:lang w:val="es-ES_tradnl"/>
        </w:rPr>
        <w:t xml:space="preserve"> un grupo </w:t>
      </w:r>
      <w:r w:rsidR="00186AA1" w:rsidRPr="00E019A9">
        <w:rPr>
          <w:sz w:val="20"/>
          <w:szCs w:val="20"/>
          <w:lang w:val="es-ES_tradnl"/>
        </w:rPr>
        <w:t>operativo</w:t>
      </w:r>
      <w:r w:rsidRPr="00E019A9">
        <w:rPr>
          <w:sz w:val="20"/>
          <w:szCs w:val="20"/>
          <w:lang w:val="es-ES_tradnl"/>
        </w:rPr>
        <w:t xml:space="preserve"> de la </w:t>
      </w:r>
      <w:r w:rsidR="00186AA1" w:rsidRPr="00E019A9">
        <w:rPr>
          <w:sz w:val="20"/>
          <w:szCs w:val="20"/>
          <w:lang w:val="es-ES_tradnl"/>
        </w:rPr>
        <w:t>División</w:t>
      </w:r>
      <w:r w:rsidRPr="00E019A9">
        <w:rPr>
          <w:sz w:val="20"/>
          <w:szCs w:val="20"/>
          <w:lang w:val="es-ES_tradnl"/>
        </w:rPr>
        <w:t xml:space="preserve"> Antisubversiva Bernardo O’Higgins ingresaron por la fuerza en el </w:t>
      </w:r>
      <w:r w:rsidR="00186AA1" w:rsidRPr="00E019A9">
        <w:rPr>
          <w:sz w:val="20"/>
          <w:szCs w:val="20"/>
          <w:lang w:val="es-ES_tradnl"/>
        </w:rPr>
        <w:t>domicilio de la calle Santa Filomena 111, Departamento 209 de la Comuna de Recoleta y</w:t>
      </w:r>
      <w:r w:rsidR="00546FBC" w:rsidRPr="00E019A9">
        <w:rPr>
          <w:sz w:val="20"/>
          <w:szCs w:val="20"/>
          <w:lang w:val="es-ES_tradnl"/>
        </w:rPr>
        <w:t>, frente a su familia,</w:t>
      </w:r>
      <w:r w:rsidR="00186AA1" w:rsidRPr="00E019A9">
        <w:rPr>
          <w:sz w:val="20"/>
          <w:szCs w:val="20"/>
          <w:lang w:val="es-ES_tradnl"/>
        </w:rPr>
        <w:t xml:space="preserve"> procedieron a privar de su libertad a </w:t>
      </w:r>
      <w:r w:rsidR="00546FBC" w:rsidRPr="00E019A9">
        <w:rPr>
          <w:sz w:val="20"/>
          <w:szCs w:val="20"/>
          <w:lang w:val="es-ES_tradnl"/>
        </w:rPr>
        <w:t>José</w:t>
      </w:r>
      <w:r w:rsidR="00186AA1" w:rsidRPr="00E019A9">
        <w:rPr>
          <w:sz w:val="20"/>
          <w:szCs w:val="20"/>
          <w:lang w:val="es-ES_tradnl"/>
        </w:rPr>
        <w:t xml:space="preserve"> Humberto Carrasco Tapia, periodista y dirigente sindical</w:t>
      </w:r>
      <w:r w:rsidR="00546FBC" w:rsidRPr="00E019A9">
        <w:rPr>
          <w:sz w:val="20"/>
          <w:szCs w:val="20"/>
          <w:lang w:val="es-ES_tradnl"/>
        </w:rPr>
        <w:t xml:space="preserve"> vinculado al Movimiento de Izquierda Revolucionaria (MIR).</w:t>
      </w:r>
      <w:r w:rsidR="00186AA1" w:rsidRPr="00E019A9">
        <w:rPr>
          <w:sz w:val="20"/>
          <w:szCs w:val="20"/>
          <w:lang w:val="es-ES_tradnl"/>
        </w:rPr>
        <w:t xml:space="preserve"> El Sr. Carrasco Tapia fue inmediatamente trasladado hasta la Avenida </w:t>
      </w:r>
      <w:r w:rsidR="00546FBC" w:rsidRPr="00E019A9">
        <w:rPr>
          <w:sz w:val="20"/>
          <w:szCs w:val="20"/>
          <w:lang w:val="es-ES_tradnl"/>
        </w:rPr>
        <w:t>Américo</w:t>
      </w:r>
      <w:r w:rsidR="00186AA1" w:rsidRPr="00E019A9">
        <w:rPr>
          <w:sz w:val="20"/>
          <w:szCs w:val="20"/>
          <w:lang w:val="es-ES_tradnl"/>
        </w:rPr>
        <w:t xml:space="preserve"> Vespucio, costado norte del Cementerio Parque del Recuerdo, donde fue asesinado de varios disparos de arma de fuego</w:t>
      </w:r>
      <w:r w:rsidR="00546FBC" w:rsidRPr="00E019A9">
        <w:rPr>
          <w:rStyle w:val="FootnoteReference"/>
          <w:sz w:val="20"/>
          <w:szCs w:val="20"/>
          <w:lang w:val="es-ES_tradnl"/>
        </w:rPr>
        <w:footnoteReference w:id="141"/>
      </w:r>
      <w:r w:rsidR="00186AA1" w:rsidRPr="00E019A9">
        <w:rPr>
          <w:sz w:val="20"/>
          <w:szCs w:val="20"/>
          <w:lang w:val="es-ES_tradnl"/>
        </w:rPr>
        <w:t xml:space="preserve">.  </w:t>
      </w:r>
    </w:p>
    <w:p w14:paraId="6EA93B4C" w14:textId="77777777" w:rsidR="00186AA1" w:rsidRPr="00E019A9" w:rsidRDefault="00186AA1" w:rsidP="00B569C3">
      <w:pPr>
        <w:pStyle w:val="ListParagraph"/>
        <w:tabs>
          <w:tab w:val="left" w:pos="567"/>
        </w:tabs>
        <w:rPr>
          <w:sz w:val="20"/>
          <w:szCs w:val="20"/>
          <w:lang w:val="es-ES_tradnl"/>
        </w:rPr>
      </w:pPr>
    </w:p>
    <w:p w14:paraId="6D54D6EE" w14:textId="77777777" w:rsidR="00186AA1" w:rsidRPr="00E019A9" w:rsidRDefault="00546FBC"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 xml:space="preserve">Por </w:t>
      </w:r>
      <w:r w:rsidR="00C266C8" w:rsidRPr="00E019A9">
        <w:rPr>
          <w:sz w:val="20"/>
          <w:szCs w:val="20"/>
          <w:lang w:val="es-ES_tradnl"/>
        </w:rPr>
        <w:t>último</w:t>
      </w:r>
      <w:r w:rsidRPr="00E019A9">
        <w:rPr>
          <w:sz w:val="20"/>
          <w:szCs w:val="20"/>
          <w:lang w:val="es-ES_tradnl"/>
        </w:rPr>
        <w:t xml:space="preserve">, las investigaciones judiciales también dieron por probado que a las 2:15 horas del día 9 de septiembre de 1986 funcionarios armados de la División Antisubversiva Bernardo O’Higgins forzaron la puerta del inmueble ubicado en el </w:t>
      </w:r>
      <w:r w:rsidR="00C266C8" w:rsidRPr="00E019A9">
        <w:rPr>
          <w:sz w:val="20"/>
          <w:szCs w:val="20"/>
          <w:lang w:val="es-ES_tradnl"/>
        </w:rPr>
        <w:t>número</w:t>
      </w:r>
      <w:r w:rsidRPr="00E019A9">
        <w:rPr>
          <w:sz w:val="20"/>
          <w:szCs w:val="20"/>
          <w:lang w:val="es-ES_tradnl"/>
        </w:rPr>
        <w:t xml:space="preserve"> 423 de la calle 27 de Septiembre, Población Casas Viejas de Puente Alto</w:t>
      </w:r>
      <w:r w:rsidR="00E5253C" w:rsidRPr="00E019A9">
        <w:rPr>
          <w:sz w:val="20"/>
          <w:szCs w:val="20"/>
          <w:lang w:val="es-ES_tradnl"/>
        </w:rPr>
        <w:t>,</w:t>
      </w:r>
      <w:r w:rsidRPr="00E019A9">
        <w:rPr>
          <w:sz w:val="20"/>
          <w:szCs w:val="20"/>
          <w:lang w:val="es-ES_tradnl"/>
        </w:rPr>
        <w:t xml:space="preserve"> y, ante la presencia de miembros de su familia, procedieron a detener a Abraham Muskatblit Eidelstein, </w:t>
      </w:r>
      <w:r w:rsidR="00E5253C" w:rsidRPr="00E019A9">
        <w:rPr>
          <w:sz w:val="20"/>
          <w:szCs w:val="20"/>
          <w:lang w:val="es-ES_tradnl"/>
        </w:rPr>
        <w:t xml:space="preserve">quien se desempeñaba laboralmente como </w:t>
      </w:r>
      <w:r w:rsidRPr="00E019A9">
        <w:rPr>
          <w:sz w:val="20"/>
          <w:szCs w:val="20"/>
          <w:lang w:val="es-ES_tradnl"/>
        </w:rPr>
        <w:t xml:space="preserve">Gerente de Ventas de la Editorial Cono Sur </w:t>
      </w:r>
      <w:r w:rsidR="00E5253C" w:rsidRPr="00E019A9">
        <w:rPr>
          <w:sz w:val="20"/>
          <w:szCs w:val="20"/>
          <w:lang w:val="es-ES_tradnl"/>
        </w:rPr>
        <w:t>y era</w:t>
      </w:r>
      <w:r w:rsidRPr="00E019A9">
        <w:rPr>
          <w:sz w:val="20"/>
          <w:szCs w:val="20"/>
          <w:lang w:val="es-ES_tradnl"/>
        </w:rPr>
        <w:t xml:space="preserve"> integrante del Partido Comunista. El Sr. Muskatblit Eidelstein fue inmediatamente introducido en uno de los vehículos del grupo armado </w:t>
      </w:r>
      <w:r w:rsidR="00E5253C" w:rsidRPr="00E019A9">
        <w:rPr>
          <w:sz w:val="20"/>
          <w:szCs w:val="20"/>
          <w:lang w:val="es-ES_tradnl"/>
        </w:rPr>
        <w:t>y fue</w:t>
      </w:r>
      <w:r w:rsidRPr="00E019A9">
        <w:rPr>
          <w:sz w:val="20"/>
          <w:szCs w:val="20"/>
          <w:lang w:val="es-ES_tradnl"/>
        </w:rPr>
        <w:t xml:space="preserve"> conducido al Camino</w:t>
      </w:r>
      <w:r w:rsidR="00E5253C" w:rsidRPr="00E019A9">
        <w:rPr>
          <w:sz w:val="20"/>
          <w:szCs w:val="20"/>
          <w:lang w:val="es-ES_tradnl"/>
        </w:rPr>
        <w:t xml:space="preserve"> a</w:t>
      </w:r>
      <w:r w:rsidRPr="00E019A9">
        <w:rPr>
          <w:sz w:val="20"/>
          <w:szCs w:val="20"/>
          <w:lang w:val="es-ES_tradnl"/>
        </w:rPr>
        <w:t xml:space="preserve"> Lonquén, altura del N° 2360, lugar donde se </w:t>
      </w:r>
      <w:r w:rsidR="00E5253C" w:rsidRPr="00E019A9">
        <w:rPr>
          <w:sz w:val="20"/>
          <w:szCs w:val="20"/>
          <w:lang w:val="es-ES_tradnl"/>
        </w:rPr>
        <w:t>fue asesinado</w:t>
      </w:r>
      <w:r w:rsidRPr="00E019A9">
        <w:rPr>
          <w:sz w:val="20"/>
          <w:szCs w:val="20"/>
          <w:lang w:val="es-ES_tradnl"/>
        </w:rPr>
        <w:t xml:space="preserve"> mediante numerosos disparos con arma de fuego</w:t>
      </w:r>
      <w:r w:rsidRPr="00E019A9">
        <w:rPr>
          <w:rStyle w:val="FootnoteReference"/>
          <w:sz w:val="20"/>
          <w:szCs w:val="20"/>
          <w:lang w:val="es-ES_tradnl"/>
        </w:rPr>
        <w:footnoteReference w:id="142"/>
      </w:r>
      <w:r w:rsidRPr="00E019A9">
        <w:rPr>
          <w:sz w:val="20"/>
          <w:szCs w:val="20"/>
          <w:lang w:val="es-ES_tradnl"/>
        </w:rPr>
        <w:t xml:space="preserve">. </w:t>
      </w:r>
    </w:p>
    <w:p w14:paraId="6AC66045" w14:textId="77777777" w:rsidR="00713616" w:rsidRPr="00E019A9" w:rsidRDefault="00713616" w:rsidP="00B569C3">
      <w:pPr>
        <w:pStyle w:val="ListParagraph"/>
        <w:tabs>
          <w:tab w:val="left" w:pos="567"/>
        </w:tabs>
        <w:rPr>
          <w:sz w:val="20"/>
          <w:szCs w:val="20"/>
          <w:lang w:val="es-ES_tradnl"/>
        </w:rPr>
      </w:pPr>
    </w:p>
    <w:p w14:paraId="576821FD" w14:textId="77777777" w:rsidR="00662991" w:rsidRPr="00E019A9" w:rsidRDefault="00713616"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 xml:space="preserve">En lo que respecta a las </w:t>
      </w:r>
      <w:r w:rsidR="008A115F" w:rsidRPr="00E019A9">
        <w:rPr>
          <w:sz w:val="20"/>
          <w:szCs w:val="20"/>
          <w:lang w:val="es-ES_tradnl"/>
        </w:rPr>
        <w:t>sentencias judiciales pronunciadas</w:t>
      </w:r>
      <w:r w:rsidRPr="00E019A9">
        <w:rPr>
          <w:sz w:val="20"/>
          <w:szCs w:val="20"/>
          <w:lang w:val="es-ES_tradnl"/>
        </w:rPr>
        <w:t xml:space="preserve"> por estos delitos, la </w:t>
      </w:r>
      <w:r w:rsidR="00985B8C" w:rsidRPr="00E019A9">
        <w:rPr>
          <w:sz w:val="20"/>
          <w:szCs w:val="20"/>
          <w:lang w:val="es-ES_tradnl"/>
        </w:rPr>
        <w:t>Comisión</w:t>
      </w:r>
      <w:r w:rsidRPr="00E019A9">
        <w:rPr>
          <w:sz w:val="20"/>
          <w:szCs w:val="20"/>
          <w:lang w:val="es-ES_tradnl"/>
        </w:rPr>
        <w:t xml:space="preserve"> ha verificado que</w:t>
      </w:r>
      <w:r w:rsidR="008A115F" w:rsidRPr="00E019A9">
        <w:rPr>
          <w:sz w:val="20"/>
          <w:szCs w:val="20"/>
          <w:lang w:val="es-ES_tradnl"/>
        </w:rPr>
        <w:t xml:space="preserve">, </w:t>
      </w:r>
      <w:r w:rsidRPr="00E019A9">
        <w:rPr>
          <w:sz w:val="20"/>
          <w:szCs w:val="20"/>
          <w:lang w:val="es-ES_tradnl"/>
        </w:rPr>
        <w:t xml:space="preserve">con fecha </w:t>
      </w:r>
      <w:r w:rsidR="008A115F" w:rsidRPr="00E019A9">
        <w:rPr>
          <w:sz w:val="20"/>
          <w:szCs w:val="20"/>
          <w:lang w:val="es-ES_tradnl"/>
        </w:rPr>
        <w:t xml:space="preserve">29 de diciembre de 2006, el ministro en visita extraordinaria de la Corte de Apelaciones de Santiago </w:t>
      </w:r>
      <w:r w:rsidR="005B62AD" w:rsidRPr="00E019A9">
        <w:rPr>
          <w:sz w:val="20"/>
          <w:szCs w:val="20"/>
          <w:lang w:val="es-ES_tradnl"/>
        </w:rPr>
        <w:t>condenó a</w:t>
      </w:r>
      <w:r w:rsidR="00662991" w:rsidRPr="00E019A9">
        <w:rPr>
          <w:sz w:val="20"/>
          <w:szCs w:val="20"/>
          <w:lang w:val="es-ES_tradnl"/>
        </w:rPr>
        <w:t xml:space="preserve">l ex oficial de la CNI </w:t>
      </w:r>
      <w:r w:rsidR="00985B8C" w:rsidRPr="00E019A9">
        <w:rPr>
          <w:sz w:val="20"/>
          <w:szCs w:val="20"/>
          <w:lang w:val="es-ES_tradnl"/>
        </w:rPr>
        <w:t>Álvaro</w:t>
      </w:r>
      <w:r w:rsidR="00662991" w:rsidRPr="00E019A9">
        <w:rPr>
          <w:sz w:val="20"/>
          <w:szCs w:val="20"/>
          <w:lang w:val="es-ES_tradnl"/>
        </w:rPr>
        <w:t xml:space="preserve"> Julio Federico </w:t>
      </w:r>
      <w:r w:rsidR="00985B8C" w:rsidRPr="00E019A9">
        <w:rPr>
          <w:sz w:val="20"/>
          <w:szCs w:val="20"/>
          <w:lang w:val="es-ES_tradnl"/>
        </w:rPr>
        <w:t>Cor</w:t>
      </w:r>
      <w:r w:rsidR="002804DB" w:rsidRPr="00E019A9">
        <w:rPr>
          <w:sz w:val="20"/>
          <w:szCs w:val="20"/>
          <w:lang w:val="es-ES_tradnl"/>
        </w:rPr>
        <w:t>b</w:t>
      </w:r>
      <w:r w:rsidR="00985B8C" w:rsidRPr="00E019A9">
        <w:rPr>
          <w:sz w:val="20"/>
          <w:szCs w:val="20"/>
          <w:lang w:val="es-ES_tradnl"/>
        </w:rPr>
        <w:t>alán</w:t>
      </w:r>
      <w:r w:rsidR="00662991" w:rsidRPr="00E019A9">
        <w:rPr>
          <w:sz w:val="20"/>
          <w:szCs w:val="20"/>
          <w:lang w:val="es-ES_tradnl"/>
        </w:rPr>
        <w:t xml:space="preserve"> Castilla a la pena de 18 años de presidio mayor en su grado máximo por ser penalmente responsable de los delitos de homicidio calificado cometidos en perjuicio de Felipe Rivera Fajardo, Gastón Vidaurrázaga Manríquez, José Carrasco Tapia y Abraham Muskatblit Eidelstein</w:t>
      </w:r>
      <w:r w:rsidR="00985B8C" w:rsidRPr="00E019A9">
        <w:rPr>
          <w:sz w:val="20"/>
          <w:szCs w:val="20"/>
          <w:lang w:val="es-ES_tradnl"/>
        </w:rPr>
        <w:t>.</w:t>
      </w:r>
      <w:r w:rsidR="0093032C" w:rsidRPr="00E019A9">
        <w:rPr>
          <w:sz w:val="20"/>
          <w:szCs w:val="20"/>
          <w:lang w:val="es-ES_tradnl"/>
        </w:rPr>
        <w:t xml:space="preserve"> Asimismo,</w:t>
      </w:r>
      <w:r w:rsidR="00985B8C" w:rsidRPr="00E019A9">
        <w:rPr>
          <w:sz w:val="20"/>
          <w:szCs w:val="20"/>
          <w:lang w:val="es-ES_tradnl"/>
        </w:rPr>
        <w:t xml:space="preserve"> </w:t>
      </w:r>
      <w:r w:rsidR="0093032C" w:rsidRPr="00E019A9">
        <w:rPr>
          <w:sz w:val="20"/>
          <w:szCs w:val="20"/>
          <w:lang w:val="es-ES_tradnl"/>
        </w:rPr>
        <w:t>e</w:t>
      </w:r>
      <w:r w:rsidR="00985B8C" w:rsidRPr="00E019A9">
        <w:rPr>
          <w:sz w:val="20"/>
          <w:szCs w:val="20"/>
          <w:lang w:val="es-ES_tradnl"/>
        </w:rPr>
        <w:t xml:space="preserve">l magistrado sentenciador consideró que encontraban presentes las </w:t>
      </w:r>
      <w:r w:rsidR="00985B8C" w:rsidRPr="00E019A9">
        <w:rPr>
          <w:sz w:val="20"/>
          <w:szCs w:val="20"/>
          <w:lang w:val="es-ES_tradnl"/>
        </w:rPr>
        <w:lastRenderedPageBreak/>
        <w:t xml:space="preserve">atenuantes de irreprochable conducta anterior al delito y de haber obrado por mandato de superior jerárquico, por lo que rebajó en un grado la pena para luego aumentarla en dos por la reiteración de los delitos conforme lo estipulaba el </w:t>
      </w:r>
      <w:r w:rsidR="00C266C8" w:rsidRPr="00E019A9">
        <w:rPr>
          <w:sz w:val="20"/>
          <w:szCs w:val="20"/>
          <w:lang w:val="es-ES_tradnl"/>
        </w:rPr>
        <w:t>artículo</w:t>
      </w:r>
      <w:r w:rsidR="00985B8C" w:rsidRPr="00E019A9">
        <w:rPr>
          <w:sz w:val="20"/>
          <w:szCs w:val="20"/>
          <w:lang w:val="es-ES_tradnl"/>
        </w:rPr>
        <w:t xml:space="preserve"> 509 del Código de Procedimiento Penal</w:t>
      </w:r>
      <w:r w:rsidR="00985B8C" w:rsidRPr="00E019A9">
        <w:rPr>
          <w:rStyle w:val="FootnoteReference"/>
          <w:sz w:val="20"/>
          <w:szCs w:val="20"/>
          <w:lang w:val="es-ES_tradnl"/>
        </w:rPr>
        <w:footnoteReference w:id="143"/>
      </w:r>
      <w:r w:rsidR="00985B8C" w:rsidRPr="00E019A9">
        <w:rPr>
          <w:sz w:val="20"/>
          <w:szCs w:val="20"/>
          <w:lang w:val="es-ES_tradnl"/>
        </w:rPr>
        <w:t xml:space="preserve"> vigente a la fecha de los hechos</w:t>
      </w:r>
      <w:r w:rsidR="002804DB" w:rsidRPr="00E019A9">
        <w:rPr>
          <w:rStyle w:val="FootnoteReference"/>
          <w:sz w:val="20"/>
          <w:szCs w:val="20"/>
          <w:lang w:val="es-ES_tradnl"/>
        </w:rPr>
        <w:footnoteReference w:id="144"/>
      </w:r>
      <w:r w:rsidR="00985B8C" w:rsidRPr="00E019A9">
        <w:rPr>
          <w:sz w:val="20"/>
          <w:szCs w:val="20"/>
          <w:lang w:val="es-ES_tradnl"/>
        </w:rPr>
        <w:t xml:space="preserve">. </w:t>
      </w:r>
    </w:p>
    <w:p w14:paraId="50ECC88A" w14:textId="77777777" w:rsidR="00662991" w:rsidRPr="00E019A9" w:rsidRDefault="00662991" w:rsidP="00B569C3">
      <w:pPr>
        <w:pStyle w:val="ListParagraph"/>
        <w:tabs>
          <w:tab w:val="left" w:pos="567"/>
        </w:tabs>
        <w:rPr>
          <w:sz w:val="20"/>
          <w:szCs w:val="20"/>
          <w:lang w:val="es-ES_tradnl"/>
        </w:rPr>
      </w:pPr>
    </w:p>
    <w:p w14:paraId="26D649F9" w14:textId="77777777" w:rsidR="00662991" w:rsidRPr="00E019A9" w:rsidRDefault="00321AF5"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Asimismo</w:t>
      </w:r>
      <w:r w:rsidR="00985B8C" w:rsidRPr="00E019A9">
        <w:rPr>
          <w:sz w:val="20"/>
          <w:szCs w:val="20"/>
          <w:lang w:val="es-ES_tradnl"/>
        </w:rPr>
        <w:t xml:space="preserve">, la sentencia de fecha 29 de diciembre de 2006 concluyó que Jorge Octavio Vargas Bories e </w:t>
      </w:r>
      <w:r w:rsidR="0093032C" w:rsidRPr="00E019A9">
        <w:rPr>
          <w:sz w:val="20"/>
          <w:szCs w:val="20"/>
          <w:lang w:val="es-ES_tradnl"/>
        </w:rPr>
        <w:t>Iván</w:t>
      </w:r>
      <w:r w:rsidR="00985B8C" w:rsidRPr="00E019A9">
        <w:rPr>
          <w:sz w:val="20"/>
          <w:szCs w:val="20"/>
          <w:lang w:val="es-ES_tradnl"/>
        </w:rPr>
        <w:t xml:space="preserve"> Belarmino Quiroz Ruiz resulta</w:t>
      </w:r>
      <w:r w:rsidR="0093032C" w:rsidRPr="00E019A9">
        <w:rPr>
          <w:sz w:val="20"/>
          <w:szCs w:val="20"/>
          <w:lang w:val="es-ES_tradnl"/>
        </w:rPr>
        <w:t>n</w:t>
      </w:r>
      <w:r w:rsidR="00985B8C" w:rsidRPr="00E019A9">
        <w:rPr>
          <w:sz w:val="20"/>
          <w:szCs w:val="20"/>
          <w:lang w:val="es-ES_tradnl"/>
        </w:rPr>
        <w:t xml:space="preserve"> autores del delito de homicidio calificado en perjuicio de </w:t>
      </w:r>
      <w:r w:rsidRPr="00E019A9">
        <w:rPr>
          <w:sz w:val="20"/>
          <w:szCs w:val="20"/>
          <w:lang w:val="es-ES_tradnl"/>
        </w:rPr>
        <w:t>José</w:t>
      </w:r>
      <w:r w:rsidR="00985B8C" w:rsidRPr="00E019A9">
        <w:rPr>
          <w:sz w:val="20"/>
          <w:szCs w:val="20"/>
          <w:lang w:val="es-ES_tradnl"/>
        </w:rPr>
        <w:t xml:space="preserve"> Carrasco Tapia y Abraham Muskatblit Eidelstein y, en consecuencia, </w:t>
      </w:r>
      <w:r w:rsidR="0093032C" w:rsidRPr="00E019A9">
        <w:rPr>
          <w:sz w:val="20"/>
          <w:szCs w:val="20"/>
          <w:lang w:val="es-ES_tradnl"/>
        </w:rPr>
        <w:t>les impuso</w:t>
      </w:r>
      <w:r w:rsidR="00985B8C" w:rsidRPr="00E019A9">
        <w:rPr>
          <w:sz w:val="20"/>
          <w:szCs w:val="20"/>
          <w:lang w:val="es-ES_tradnl"/>
        </w:rPr>
        <w:t xml:space="preserve"> la pena de 13 años de presidio mayor en su grado máximo. </w:t>
      </w:r>
      <w:r w:rsidR="0093032C" w:rsidRPr="00E019A9">
        <w:rPr>
          <w:sz w:val="20"/>
          <w:szCs w:val="20"/>
          <w:lang w:val="es-ES_tradnl"/>
        </w:rPr>
        <w:t xml:space="preserve">El magistrado señaló que a los sentenciados Vargas Bories y Quiroz Ruiz les eran aplicables las circunstancias atenuantes de irreprochable conducta anterior al delito y de haber obrado por mandato de superior jerárquico y la regla del </w:t>
      </w:r>
      <w:r w:rsidR="00C266C8" w:rsidRPr="00E019A9">
        <w:rPr>
          <w:sz w:val="20"/>
          <w:szCs w:val="20"/>
          <w:lang w:val="es-ES_tradnl"/>
        </w:rPr>
        <w:t>artículo</w:t>
      </w:r>
      <w:r w:rsidR="0093032C" w:rsidRPr="00E019A9">
        <w:rPr>
          <w:sz w:val="20"/>
          <w:szCs w:val="20"/>
          <w:lang w:val="es-ES_tradnl"/>
        </w:rPr>
        <w:t xml:space="preserve"> 509 del Código de Procedimiento Penal, por lo que la pena debía fijarse en el grado de presidio mayor medio</w:t>
      </w:r>
      <w:r w:rsidR="002804DB" w:rsidRPr="00E019A9">
        <w:rPr>
          <w:rStyle w:val="FootnoteReference"/>
          <w:sz w:val="20"/>
          <w:szCs w:val="20"/>
          <w:lang w:val="es-ES_tradnl"/>
        </w:rPr>
        <w:footnoteReference w:id="145"/>
      </w:r>
      <w:r w:rsidR="0093032C" w:rsidRPr="00E019A9">
        <w:rPr>
          <w:sz w:val="20"/>
          <w:szCs w:val="20"/>
          <w:lang w:val="es-ES_tradnl"/>
        </w:rPr>
        <w:t xml:space="preserve">.  </w:t>
      </w:r>
    </w:p>
    <w:p w14:paraId="05E0A842" w14:textId="77777777" w:rsidR="00662991" w:rsidRPr="00E019A9" w:rsidRDefault="00662991" w:rsidP="00B569C3">
      <w:pPr>
        <w:pStyle w:val="ListParagraph"/>
        <w:tabs>
          <w:tab w:val="left" w:pos="567"/>
        </w:tabs>
        <w:rPr>
          <w:sz w:val="20"/>
          <w:szCs w:val="20"/>
          <w:lang w:val="es-ES_tradnl"/>
        </w:rPr>
      </w:pPr>
    </w:p>
    <w:p w14:paraId="16A39471" w14:textId="77777777" w:rsidR="005B62AD" w:rsidRPr="00E019A9" w:rsidRDefault="0093032C"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Por otra parte,</w:t>
      </w:r>
      <w:r w:rsidR="005B62AD" w:rsidRPr="00E019A9">
        <w:rPr>
          <w:sz w:val="20"/>
          <w:szCs w:val="20"/>
          <w:lang w:val="es-ES_tradnl"/>
        </w:rPr>
        <w:t xml:space="preserve"> los ex agentes de la CNI Pedro Javier </w:t>
      </w:r>
      <w:r w:rsidR="00C41391" w:rsidRPr="00E019A9">
        <w:rPr>
          <w:sz w:val="20"/>
          <w:szCs w:val="20"/>
          <w:lang w:val="es-ES_tradnl"/>
        </w:rPr>
        <w:t>Guzmán</w:t>
      </w:r>
      <w:r w:rsidR="005B62AD" w:rsidRPr="00E019A9">
        <w:rPr>
          <w:sz w:val="20"/>
          <w:szCs w:val="20"/>
          <w:lang w:val="es-ES_tradnl"/>
        </w:rPr>
        <w:t xml:space="preserve"> Olivares y Gonzalo Fernando Maass del Valle </w:t>
      </w:r>
      <w:r w:rsidR="00822A77">
        <w:rPr>
          <w:sz w:val="20"/>
          <w:szCs w:val="20"/>
          <w:lang w:val="es-ES_tradnl"/>
        </w:rPr>
        <w:t xml:space="preserve">fueron condenados </w:t>
      </w:r>
      <w:r w:rsidR="005B62AD" w:rsidRPr="00E019A9">
        <w:rPr>
          <w:sz w:val="20"/>
          <w:szCs w:val="20"/>
          <w:lang w:val="es-ES_tradnl"/>
        </w:rPr>
        <w:t xml:space="preserve">a la pena de 8 años de presidio mayor en su grado </w:t>
      </w:r>
      <w:r w:rsidR="00C41391" w:rsidRPr="00E019A9">
        <w:rPr>
          <w:sz w:val="20"/>
          <w:szCs w:val="20"/>
          <w:lang w:val="es-ES_tradnl"/>
        </w:rPr>
        <w:t>mínimo</w:t>
      </w:r>
      <w:r w:rsidR="005B62AD" w:rsidRPr="00E019A9">
        <w:rPr>
          <w:sz w:val="20"/>
          <w:szCs w:val="20"/>
          <w:lang w:val="es-ES_tradnl"/>
        </w:rPr>
        <w:t xml:space="preserve"> y a </w:t>
      </w:r>
      <w:r w:rsidR="00C41391" w:rsidRPr="00E019A9">
        <w:rPr>
          <w:sz w:val="20"/>
          <w:szCs w:val="20"/>
          <w:lang w:val="es-ES_tradnl"/>
        </w:rPr>
        <w:t>Víctor</w:t>
      </w:r>
      <w:r w:rsidR="005B62AD" w:rsidRPr="00E019A9">
        <w:rPr>
          <w:sz w:val="20"/>
          <w:szCs w:val="20"/>
          <w:lang w:val="es-ES_tradnl"/>
        </w:rPr>
        <w:t xml:space="preserve"> Hugo Lara Cataldo y Ren</w:t>
      </w:r>
      <w:r w:rsidR="00534686" w:rsidRPr="00E019A9">
        <w:rPr>
          <w:sz w:val="20"/>
          <w:szCs w:val="20"/>
          <w:lang w:val="es-ES_tradnl"/>
        </w:rPr>
        <w:t>é</w:t>
      </w:r>
      <w:r w:rsidR="005B62AD" w:rsidRPr="00E019A9">
        <w:rPr>
          <w:sz w:val="20"/>
          <w:szCs w:val="20"/>
          <w:lang w:val="es-ES_tradnl"/>
        </w:rPr>
        <w:t xml:space="preserve"> Armando Valdovinos Morales a la pena de 5 años y 1 </w:t>
      </w:r>
      <w:r w:rsidR="00321AF5" w:rsidRPr="00E019A9">
        <w:rPr>
          <w:sz w:val="20"/>
          <w:szCs w:val="20"/>
          <w:lang w:val="es-ES_tradnl"/>
        </w:rPr>
        <w:t>día</w:t>
      </w:r>
      <w:r w:rsidR="005B62AD" w:rsidRPr="00E019A9">
        <w:rPr>
          <w:sz w:val="20"/>
          <w:szCs w:val="20"/>
          <w:lang w:val="es-ES_tradnl"/>
        </w:rPr>
        <w:t xml:space="preserve"> de presidio mayor en su grado </w:t>
      </w:r>
      <w:r w:rsidR="00C41391" w:rsidRPr="00E019A9">
        <w:rPr>
          <w:sz w:val="20"/>
          <w:szCs w:val="20"/>
          <w:lang w:val="es-ES_tradnl"/>
        </w:rPr>
        <w:t>mínimo</w:t>
      </w:r>
      <w:r w:rsidR="005B62AD" w:rsidRPr="00E019A9">
        <w:rPr>
          <w:sz w:val="20"/>
          <w:szCs w:val="20"/>
          <w:lang w:val="es-ES_tradnl"/>
        </w:rPr>
        <w:t xml:space="preserve"> por ser autores del delito de homicidio calificado en perjuicio de Felipe Rivera Gajardo. En todos los casos, el magistrado entendió que a los sentenciados les </w:t>
      </w:r>
      <w:r w:rsidR="00321AF5" w:rsidRPr="00E019A9">
        <w:rPr>
          <w:sz w:val="20"/>
          <w:szCs w:val="20"/>
          <w:lang w:val="es-ES_tradnl"/>
        </w:rPr>
        <w:t>favorecían</w:t>
      </w:r>
      <w:r w:rsidR="005B62AD" w:rsidRPr="00E019A9">
        <w:rPr>
          <w:sz w:val="20"/>
          <w:szCs w:val="20"/>
          <w:lang w:val="es-ES_tradnl"/>
        </w:rPr>
        <w:t xml:space="preserve"> las circunstancias atenuantes de irreprochable conducta anterior y de haber delinquido habiendo mediado orden emanada de superior </w:t>
      </w:r>
      <w:r w:rsidR="00321AF5" w:rsidRPr="00E019A9">
        <w:rPr>
          <w:sz w:val="20"/>
          <w:szCs w:val="20"/>
          <w:lang w:val="es-ES_tradnl"/>
        </w:rPr>
        <w:t>jerárquico</w:t>
      </w:r>
      <w:r w:rsidR="005B62AD" w:rsidRPr="00E019A9">
        <w:rPr>
          <w:sz w:val="20"/>
          <w:szCs w:val="20"/>
          <w:lang w:val="es-ES_tradnl"/>
        </w:rPr>
        <w:t xml:space="preserve">, por lo que redujo en un grado la pena estipulada en el </w:t>
      </w:r>
      <w:r w:rsidR="00321AF5" w:rsidRPr="00E019A9">
        <w:rPr>
          <w:sz w:val="20"/>
          <w:szCs w:val="20"/>
          <w:lang w:val="es-ES_tradnl"/>
        </w:rPr>
        <w:t>Código</w:t>
      </w:r>
      <w:r w:rsidR="005B62AD" w:rsidRPr="00E019A9">
        <w:rPr>
          <w:sz w:val="20"/>
          <w:szCs w:val="20"/>
          <w:lang w:val="es-ES_tradnl"/>
        </w:rPr>
        <w:t xml:space="preserve"> Penal para el delito de homicidio calificado</w:t>
      </w:r>
      <w:r w:rsidR="002804DB" w:rsidRPr="00E019A9">
        <w:rPr>
          <w:rStyle w:val="FootnoteReference"/>
          <w:sz w:val="20"/>
          <w:szCs w:val="20"/>
          <w:lang w:val="es-ES_tradnl"/>
        </w:rPr>
        <w:footnoteReference w:id="146"/>
      </w:r>
      <w:r w:rsidR="005B62AD" w:rsidRPr="00E019A9">
        <w:rPr>
          <w:sz w:val="20"/>
          <w:szCs w:val="20"/>
          <w:lang w:val="es-ES_tradnl"/>
        </w:rPr>
        <w:t xml:space="preserve">. </w:t>
      </w:r>
    </w:p>
    <w:p w14:paraId="1C8269D3" w14:textId="77777777" w:rsidR="00C41391" w:rsidRPr="00E019A9" w:rsidRDefault="00C41391" w:rsidP="00B569C3">
      <w:pPr>
        <w:pStyle w:val="ListParagraph"/>
        <w:tabs>
          <w:tab w:val="left" w:pos="567"/>
        </w:tabs>
        <w:rPr>
          <w:sz w:val="20"/>
          <w:szCs w:val="20"/>
          <w:lang w:val="es-ES_tradnl"/>
        </w:rPr>
      </w:pPr>
    </w:p>
    <w:p w14:paraId="52229506" w14:textId="77777777" w:rsidR="00C41391" w:rsidRPr="00E019A9" w:rsidRDefault="0093032C"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De igual forma</w:t>
      </w:r>
      <w:r w:rsidR="00C41391" w:rsidRPr="00E019A9">
        <w:rPr>
          <w:sz w:val="20"/>
          <w:szCs w:val="20"/>
          <w:lang w:val="es-ES_tradnl"/>
        </w:rPr>
        <w:t xml:space="preserve">, el magistrado </w:t>
      </w:r>
      <w:r w:rsidR="0022457B" w:rsidRPr="00E019A9">
        <w:rPr>
          <w:sz w:val="20"/>
          <w:szCs w:val="20"/>
          <w:lang w:val="es-ES_tradnl"/>
        </w:rPr>
        <w:t xml:space="preserve">interviniente </w:t>
      </w:r>
      <w:r w:rsidR="00C41391" w:rsidRPr="00E019A9">
        <w:rPr>
          <w:sz w:val="20"/>
          <w:szCs w:val="20"/>
          <w:lang w:val="es-ES_tradnl"/>
        </w:rPr>
        <w:t xml:space="preserve">condenó a los ex agentes Krantz Johhans Bauer Donoso, Jorge Enrique Jofre Rojas y Juan Alejandro Jorquera Abarzua a la pena de 8 años de presidio mayor en su grado </w:t>
      </w:r>
      <w:r w:rsidR="00522518" w:rsidRPr="00E019A9">
        <w:rPr>
          <w:sz w:val="20"/>
          <w:szCs w:val="20"/>
          <w:lang w:val="es-ES_tradnl"/>
        </w:rPr>
        <w:t>mínimo</w:t>
      </w:r>
      <w:r w:rsidR="00C41391" w:rsidRPr="00E019A9">
        <w:rPr>
          <w:sz w:val="20"/>
          <w:szCs w:val="20"/>
          <w:lang w:val="es-ES_tradnl"/>
        </w:rPr>
        <w:t xml:space="preserve"> y a </w:t>
      </w:r>
      <w:r w:rsidR="00522518" w:rsidRPr="00E019A9">
        <w:rPr>
          <w:sz w:val="20"/>
          <w:szCs w:val="20"/>
          <w:lang w:val="es-ES_tradnl"/>
        </w:rPr>
        <w:t>Víctor</w:t>
      </w:r>
      <w:r w:rsidR="00C41391" w:rsidRPr="00E019A9">
        <w:rPr>
          <w:sz w:val="20"/>
          <w:szCs w:val="20"/>
          <w:lang w:val="es-ES_tradnl"/>
        </w:rPr>
        <w:t xml:space="preserve"> Manuel Muñoz Orellana y Eduardo Martin </w:t>
      </w:r>
      <w:r w:rsidR="00522518" w:rsidRPr="00E019A9">
        <w:rPr>
          <w:sz w:val="20"/>
          <w:szCs w:val="20"/>
          <w:lang w:val="es-ES_tradnl"/>
        </w:rPr>
        <w:t>Chávez</w:t>
      </w:r>
      <w:r w:rsidR="00C41391" w:rsidRPr="00E019A9">
        <w:rPr>
          <w:sz w:val="20"/>
          <w:szCs w:val="20"/>
          <w:lang w:val="es-ES_tradnl"/>
        </w:rPr>
        <w:t xml:space="preserve"> Baeza a la pena de 5 años y 1 </w:t>
      </w:r>
      <w:r w:rsidR="002804DB" w:rsidRPr="00E019A9">
        <w:rPr>
          <w:sz w:val="20"/>
          <w:szCs w:val="20"/>
          <w:lang w:val="es-ES_tradnl"/>
        </w:rPr>
        <w:t>día</w:t>
      </w:r>
      <w:r w:rsidR="00C41391" w:rsidRPr="00E019A9">
        <w:rPr>
          <w:sz w:val="20"/>
          <w:szCs w:val="20"/>
          <w:lang w:val="es-ES_tradnl"/>
        </w:rPr>
        <w:t xml:space="preserve"> de presidio mayor en su grado </w:t>
      </w:r>
      <w:r w:rsidR="00522518" w:rsidRPr="00E019A9">
        <w:rPr>
          <w:sz w:val="20"/>
          <w:szCs w:val="20"/>
          <w:lang w:val="es-ES_tradnl"/>
        </w:rPr>
        <w:t>mínimo</w:t>
      </w:r>
      <w:r w:rsidR="00C41391" w:rsidRPr="00E019A9">
        <w:rPr>
          <w:sz w:val="20"/>
          <w:szCs w:val="20"/>
          <w:lang w:val="es-ES_tradnl"/>
        </w:rPr>
        <w:t xml:space="preserve"> por ser responsables del delito de homicidio calificado cometido en perjuicio de </w:t>
      </w:r>
      <w:r w:rsidR="00662991" w:rsidRPr="00E019A9">
        <w:rPr>
          <w:sz w:val="20"/>
          <w:szCs w:val="20"/>
          <w:lang w:val="es-ES_tradnl"/>
        </w:rPr>
        <w:t>Gastón</w:t>
      </w:r>
      <w:r w:rsidR="00C41391" w:rsidRPr="00E019A9">
        <w:rPr>
          <w:sz w:val="20"/>
          <w:szCs w:val="20"/>
          <w:lang w:val="es-ES_tradnl"/>
        </w:rPr>
        <w:t xml:space="preserve"> Vidaurrázaga </w:t>
      </w:r>
      <w:r w:rsidR="00662991" w:rsidRPr="00E019A9">
        <w:rPr>
          <w:sz w:val="20"/>
          <w:szCs w:val="20"/>
          <w:lang w:val="es-ES_tradnl"/>
        </w:rPr>
        <w:t>Manríquez</w:t>
      </w:r>
      <w:r w:rsidR="00C41391" w:rsidRPr="00E019A9">
        <w:rPr>
          <w:sz w:val="20"/>
          <w:szCs w:val="20"/>
          <w:lang w:val="es-ES_tradnl"/>
        </w:rPr>
        <w:t xml:space="preserve">. </w:t>
      </w:r>
      <w:r w:rsidRPr="00E019A9">
        <w:rPr>
          <w:sz w:val="20"/>
          <w:szCs w:val="20"/>
          <w:lang w:val="es-ES_tradnl"/>
        </w:rPr>
        <w:t xml:space="preserve">El </w:t>
      </w:r>
      <w:r w:rsidR="00662991" w:rsidRPr="00E019A9">
        <w:rPr>
          <w:sz w:val="20"/>
          <w:szCs w:val="20"/>
          <w:lang w:val="es-ES_tradnl"/>
        </w:rPr>
        <w:t xml:space="preserve">juez consideró que se encontraban presentes las circunstancias atenuantes de irreprochable conducta anterior y de haber </w:t>
      </w:r>
      <w:r w:rsidR="00534686" w:rsidRPr="00E019A9">
        <w:rPr>
          <w:sz w:val="20"/>
          <w:szCs w:val="20"/>
          <w:lang w:val="es-ES_tradnl"/>
        </w:rPr>
        <w:t xml:space="preserve">actuado en función de </w:t>
      </w:r>
      <w:r w:rsidR="008A4D59" w:rsidRPr="00E019A9">
        <w:rPr>
          <w:sz w:val="20"/>
          <w:szCs w:val="20"/>
          <w:lang w:val="es-ES_tradnl"/>
        </w:rPr>
        <w:t>una orden</w:t>
      </w:r>
      <w:r w:rsidR="00662991" w:rsidRPr="00E019A9">
        <w:rPr>
          <w:sz w:val="20"/>
          <w:szCs w:val="20"/>
          <w:lang w:val="es-ES_tradnl"/>
        </w:rPr>
        <w:t xml:space="preserve"> emanada de superior </w:t>
      </w:r>
      <w:r w:rsidR="00522518" w:rsidRPr="00E019A9">
        <w:rPr>
          <w:sz w:val="20"/>
          <w:szCs w:val="20"/>
          <w:lang w:val="es-ES_tradnl"/>
        </w:rPr>
        <w:t>jerárquico</w:t>
      </w:r>
      <w:r w:rsidR="00662991" w:rsidRPr="00E019A9">
        <w:rPr>
          <w:sz w:val="20"/>
          <w:szCs w:val="20"/>
          <w:lang w:val="es-ES_tradnl"/>
        </w:rPr>
        <w:t>, por lo que redujo en un grado la pena en expectativa para el delito de homicidio calificado</w:t>
      </w:r>
      <w:r w:rsidR="002804DB" w:rsidRPr="00E019A9">
        <w:rPr>
          <w:rStyle w:val="FootnoteReference"/>
          <w:sz w:val="20"/>
          <w:szCs w:val="20"/>
          <w:lang w:val="es-ES_tradnl"/>
        </w:rPr>
        <w:footnoteReference w:id="147"/>
      </w:r>
      <w:r w:rsidR="00662991" w:rsidRPr="00E019A9">
        <w:rPr>
          <w:sz w:val="20"/>
          <w:szCs w:val="20"/>
          <w:lang w:val="es-ES_tradnl"/>
        </w:rPr>
        <w:t xml:space="preserve">. </w:t>
      </w:r>
    </w:p>
    <w:p w14:paraId="13BBEB10" w14:textId="77777777" w:rsidR="00662991" w:rsidRPr="00E019A9" w:rsidRDefault="00662991" w:rsidP="00B569C3">
      <w:pPr>
        <w:pStyle w:val="ListParagraph"/>
        <w:tabs>
          <w:tab w:val="left" w:pos="567"/>
        </w:tabs>
        <w:rPr>
          <w:sz w:val="20"/>
          <w:szCs w:val="20"/>
          <w:lang w:val="es-ES_tradnl"/>
        </w:rPr>
      </w:pPr>
    </w:p>
    <w:p w14:paraId="2B357D29" w14:textId="77777777" w:rsidR="00662991" w:rsidRPr="00E019A9" w:rsidRDefault="004F62C2"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 xml:space="preserve">Finalmente, el juez sentenció a Carlos Alberto Fachinetti </w:t>
      </w:r>
      <w:r w:rsidR="00522518" w:rsidRPr="00E019A9">
        <w:rPr>
          <w:sz w:val="20"/>
          <w:szCs w:val="20"/>
          <w:lang w:val="es-ES_tradnl"/>
        </w:rPr>
        <w:t>López</w:t>
      </w:r>
      <w:r w:rsidRPr="00E019A9">
        <w:rPr>
          <w:sz w:val="20"/>
          <w:szCs w:val="20"/>
          <w:lang w:val="es-ES_tradnl"/>
        </w:rPr>
        <w:t xml:space="preserve"> a la pena de 5 años y 1 </w:t>
      </w:r>
      <w:r w:rsidR="00522518" w:rsidRPr="00E019A9">
        <w:rPr>
          <w:sz w:val="20"/>
          <w:szCs w:val="20"/>
          <w:lang w:val="es-ES_tradnl"/>
        </w:rPr>
        <w:t>día</w:t>
      </w:r>
      <w:r w:rsidRPr="00E019A9">
        <w:rPr>
          <w:sz w:val="20"/>
          <w:szCs w:val="20"/>
          <w:lang w:val="es-ES_tradnl"/>
        </w:rPr>
        <w:t xml:space="preserve"> de presidio mayor en su grado </w:t>
      </w:r>
      <w:r w:rsidR="004174F3" w:rsidRPr="00E019A9">
        <w:rPr>
          <w:sz w:val="20"/>
          <w:szCs w:val="20"/>
          <w:lang w:val="es-ES_tradnl"/>
        </w:rPr>
        <w:t>mínimo por</w:t>
      </w:r>
      <w:r w:rsidRPr="00E019A9">
        <w:rPr>
          <w:sz w:val="20"/>
          <w:szCs w:val="20"/>
          <w:lang w:val="es-ES_tradnl"/>
        </w:rPr>
        <w:t xml:space="preserve"> ser autor del homicidio calificado de </w:t>
      </w:r>
      <w:r w:rsidR="00522518" w:rsidRPr="00E019A9">
        <w:rPr>
          <w:sz w:val="20"/>
          <w:szCs w:val="20"/>
          <w:lang w:val="es-ES_tradnl"/>
        </w:rPr>
        <w:t>José</w:t>
      </w:r>
      <w:r w:rsidRPr="00E019A9">
        <w:rPr>
          <w:sz w:val="20"/>
          <w:szCs w:val="20"/>
          <w:lang w:val="es-ES_tradnl"/>
        </w:rPr>
        <w:t xml:space="preserve"> Carrasco Tapia y a </w:t>
      </w:r>
      <w:r w:rsidR="00522518" w:rsidRPr="00E019A9">
        <w:rPr>
          <w:sz w:val="20"/>
          <w:szCs w:val="20"/>
          <w:lang w:val="es-ES_tradnl"/>
        </w:rPr>
        <w:t>José</w:t>
      </w:r>
      <w:r w:rsidRPr="00E019A9">
        <w:rPr>
          <w:sz w:val="20"/>
          <w:szCs w:val="20"/>
          <w:lang w:val="es-ES_tradnl"/>
        </w:rPr>
        <w:t xml:space="preserve"> </w:t>
      </w:r>
      <w:r w:rsidR="00522518" w:rsidRPr="00E019A9">
        <w:rPr>
          <w:sz w:val="20"/>
          <w:szCs w:val="20"/>
          <w:lang w:val="es-ES_tradnl"/>
        </w:rPr>
        <w:t>Ramón</w:t>
      </w:r>
      <w:r w:rsidRPr="00E019A9">
        <w:rPr>
          <w:sz w:val="20"/>
          <w:szCs w:val="20"/>
          <w:lang w:val="es-ES_tradnl"/>
        </w:rPr>
        <w:t xml:space="preserve"> Meneses Arcauz a la misma pena por ser autor del homicidio calificado de Abraham Muskatblit Eidelstein. En ambos casos el magistrado consider</w:t>
      </w:r>
      <w:r w:rsidR="00321AF5" w:rsidRPr="00E019A9">
        <w:rPr>
          <w:sz w:val="20"/>
          <w:szCs w:val="20"/>
          <w:lang w:val="es-ES_tradnl"/>
        </w:rPr>
        <w:t>ó</w:t>
      </w:r>
      <w:r w:rsidRPr="00E019A9">
        <w:rPr>
          <w:sz w:val="20"/>
          <w:szCs w:val="20"/>
          <w:lang w:val="es-ES_tradnl"/>
        </w:rPr>
        <w:t xml:space="preserve"> que </w:t>
      </w:r>
      <w:r w:rsidR="00522518" w:rsidRPr="00E019A9">
        <w:rPr>
          <w:sz w:val="20"/>
          <w:szCs w:val="20"/>
          <w:lang w:val="es-ES_tradnl"/>
        </w:rPr>
        <w:t xml:space="preserve">eran aplicables las circunstancias atenuantes de irreprochable conducta anterior y de haber delinquido habiendo mediado orden emanada de superior jerárquico, por lo que cabía rebajar la pena en un grado a presidio mayor en su grado mínimo.  </w:t>
      </w:r>
    </w:p>
    <w:p w14:paraId="3E0F5826" w14:textId="77777777" w:rsidR="00321AF5" w:rsidRPr="00E019A9" w:rsidRDefault="00321AF5" w:rsidP="00B569C3">
      <w:pPr>
        <w:pStyle w:val="ListParagraph"/>
        <w:tabs>
          <w:tab w:val="left" w:pos="567"/>
        </w:tabs>
        <w:rPr>
          <w:sz w:val="20"/>
          <w:szCs w:val="20"/>
          <w:lang w:val="es-ES_tradnl"/>
        </w:rPr>
      </w:pPr>
    </w:p>
    <w:p w14:paraId="6DB583DE" w14:textId="77777777" w:rsidR="002628DD" w:rsidRPr="00E019A9" w:rsidRDefault="00321AF5"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lastRenderedPageBreak/>
        <w:t>Ante los recursos</w:t>
      </w:r>
      <w:r w:rsidR="002628DD" w:rsidRPr="00E019A9">
        <w:rPr>
          <w:sz w:val="20"/>
          <w:szCs w:val="20"/>
          <w:lang w:val="es-ES_tradnl"/>
        </w:rPr>
        <w:t xml:space="preserve"> interpuestos por los condenados, la Novena Sala de la Corte de Apelaciones de Santiago confirmó la sentencia apelada por medio de resolución de fecha 27 de diciembre de 2007. La única modificación que dispuso el tribunal fue respecto de la situación de los condenados Jorge Octavio Vargas Bories e Iván Belarmino Quiroz Ruiz, cuyas</w:t>
      </w:r>
      <w:r w:rsidR="00DD3340" w:rsidRPr="00E019A9">
        <w:rPr>
          <w:sz w:val="20"/>
          <w:szCs w:val="20"/>
          <w:lang w:val="es-ES_tradnl"/>
        </w:rPr>
        <w:t xml:space="preserve"> respectivas</w:t>
      </w:r>
      <w:r w:rsidR="002628DD" w:rsidRPr="00E019A9">
        <w:rPr>
          <w:sz w:val="20"/>
          <w:szCs w:val="20"/>
          <w:lang w:val="es-ES_tradnl"/>
        </w:rPr>
        <w:t xml:space="preserve"> penas a 13 años de presidio mayor en su grado máximo fueron sustituidas por la</w:t>
      </w:r>
      <w:r w:rsidR="00DD3340" w:rsidRPr="00E019A9">
        <w:rPr>
          <w:sz w:val="20"/>
          <w:szCs w:val="20"/>
          <w:lang w:val="es-ES_tradnl"/>
        </w:rPr>
        <w:t>s</w:t>
      </w:r>
      <w:r w:rsidR="002628DD" w:rsidRPr="00E019A9">
        <w:rPr>
          <w:sz w:val="20"/>
          <w:szCs w:val="20"/>
          <w:lang w:val="es-ES_tradnl"/>
        </w:rPr>
        <w:t xml:space="preserve"> de 13 años de presidio mayor en su grado medio</w:t>
      </w:r>
      <w:r w:rsidR="002628DD" w:rsidRPr="00E019A9">
        <w:rPr>
          <w:rStyle w:val="FootnoteReference"/>
          <w:sz w:val="20"/>
          <w:szCs w:val="20"/>
          <w:lang w:val="es-ES_tradnl"/>
        </w:rPr>
        <w:footnoteReference w:id="148"/>
      </w:r>
      <w:r w:rsidR="002628DD" w:rsidRPr="00E019A9">
        <w:rPr>
          <w:sz w:val="20"/>
          <w:szCs w:val="20"/>
          <w:lang w:val="es-ES_tradnl"/>
        </w:rPr>
        <w:t xml:space="preserve">. </w:t>
      </w:r>
    </w:p>
    <w:p w14:paraId="6790C239" w14:textId="77777777" w:rsidR="0022457B" w:rsidRPr="00E019A9" w:rsidRDefault="0022457B" w:rsidP="00B569C3">
      <w:pPr>
        <w:pStyle w:val="ListParagraph"/>
        <w:tabs>
          <w:tab w:val="left" w:pos="567"/>
        </w:tabs>
        <w:rPr>
          <w:sz w:val="20"/>
          <w:szCs w:val="20"/>
          <w:lang w:val="es-ES_tradnl"/>
        </w:rPr>
      </w:pPr>
    </w:p>
    <w:p w14:paraId="3777F82C" w14:textId="77777777" w:rsidR="005B62AD" w:rsidRPr="00E019A9" w:rsidRDefault="0022457B"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 xml:space="preserve">Por </w:t>
      </w:r>
      <w:r w:rsidR="00C266C8" w:rsidRPr="00E019A9">
        <w:rPr>
          <w:sz w:val="20"/>
          <w:szCs w:val="20"/>
          <w:lang w:val="es-ES_tradnl"/>
        </w:rPr>
        <w:t>último</w:t>
      </w:r>
      <w:r w:rsidRPr="00E019A9">
        <w:rPr>
          <w:sz w:val="20"/>
          <w:szCs w:val="20"/>
          <w:lang w:val="es-ES_tradnl"/>
        </w:rPr>
        <w:t xml:space="preserve">, el 13 de agosto de 2009 </w:t>
      </w:r>
      <w:r w:rsidR="00DD3340" w:rsidRPr="00E019A9">
        <w:rPr>
          <w:sz w:val="20"/>
          <w:szCs w:val="20"/>
          <w:lang w:val="es-ES_tradnl"/>
        </w:rPr>
        <w:t>la</w:t>
      </w:r>
      <w:r w:rsidR="00534686" w:rsidRPr="00E019A9">
        <w:rPr>
          <w:sz w:val="20"/>
          <w:szCs w:val="20"/>
          <w:lang w:val="es-ES_tradnl"/>
        </w:rPr>
        <w:t xml:space="preserve"> Segunda Sala de la</w:t>
      </w:r>
      <w:r w:rsidR="00DD3340" w:rsidRPr="00E019A9">
        <w:rPr>
          <w:sz w:val="20"/>
          <w:szCs w:val="20"/>
          <w:lang w:val="es-ES_tradnl"/>
        </w:rPr>
        <w:t xml:space="preserve"> Corte Suprema de Justicia, en ocasión de conocer los recursos de casación interpuestos por los condenados</w:t>
      </w:r>
      <w:r w:rsidR="00FA132A" w:rsidRPr="00E019A9">
        <w:rPr>
          <w:sz w:val="20"/>
          <w:szCs w:val="20"/>
          <w:lang w:val="es-ES_tradnl"/>
        </w:rPr>
        <w:t xml:space="preserve"> y los querellantes</w:t>
      </w:r>
      <w:r w:rsidR="00DD3340" w:rsidRPr="00E019A9">
        <w:rPr>
          <w:sz w:val="20"/>
          <w:szCs w:val="20"/>
          <w:lang w:val="es-ES_tradnl"/>
        </w:rPr>
        <w:t xml:space="preserve">, decidió </w:t>
      </w:r>
      <w:r w:rsidR="00FA132A" w:rsidRPr="00E019A9">
        <w:rPr>
          <w:sz w:val="20"/>
          <w:szCs w:val="20"/>
          <w:lang w:val="es-ES_tradnl"/>
        </w:rPr>
        <w:t>invalidar de oficio</w:t>
      </w:r>
      <w:r w:rsidR="00DD3340" w:rsidRPr="00E019A9">
        <w:rPr>
          <w:sz w:val="20"/>
          <w:szCs w:val="20"/>
          <w:lang w:val="es-ES_tradnl"/>
        </w:rPr>
        <w:t xml:space="preserve"> las sentencias de primera instancia y segunda instancia por considerar que no dieron respuesta a la pretensión de las defensas de los acusados de aplicar la circunstancia atenuante de responsabilidad de la “media prescripción” consagrada en el </w:t>
      </w:r>
      <w:r w:rsidR="00C266C8" w:rsidRPr="00E019A9">
        <w:rPr>
          <w:sz w:val="20"/>
          <w:szCs w:val="20"/>
          <w:lang w:val="es-ES_tradnl"/>
        </w:rPr>
        <w:t>artículo</w:t>
      </w:r>
      <w:r w:rsidR="00DD3340" w:rsidRPr="00E019A9">
        <w:rPr>
          <w:sz w:val="20"/>
          <w:szCs w:val="20"/>
          <w:lang w:val="es-ES_tradnl"/>
        </w:rPr>
        <w:t xml:space="preserve"> 103 del Código Penal</w:t>
      </w:r>
      <w:r w:rsidR="00FA132A" w:rsidRPr="00E019A9">
        <w:rPr>
          <w:sz w:val="20"/>
          <w:szCs w:val="20"/>
          <w:lang w:val="es-ES_tradnl"/>
        </w:rPr>
        <w:t xml:space="preserve"> y, en consecuencia, dictó una sentencia de reemplazo</w:t>
      </w:r>
      <w:r w:rsidR="00FA132A" w:rsidRPr="00E019A9">
        <w:rPr>
          <w:rStyle w:val="FootnoteReference"/>
          <w:sz w:val="20"/>
          <w:szCs w:val="20"/>
          <w:lang w:val="es-ES_tradnl"/>
        </w:rPr>
        <w:footnoteReference w:id="149"/>
      </w:r>
      <w:r w:rsidR="00FA132A" w:rsidRPr="00E019A9">
        <w:rPr>
          <w:sz w:val="20"/>
          <w:szCs w:val="20"/>
          <w:lang w:val="es-ES_tradnl"/>
        </w:rPr>
        <w:t xml:space="preserve">. </w:t>
      </w:r>
    </w:p>
    <w:p w14:paraId="1078864E" w14:textId="77777777" w:rsidR="00FA132A" w:rsidRPr="00E019A9" w:rsidRDefault="00FA132A" w:rsidP="00B569C3">
      <w:pPr>
        <w:pStyle w:val="ListParagraph"/>
        <w:tabs>
          <w:tab w:val="left" w:pos="567"/>
        </w:tabs>
        <w:rPr>
          <w:sz w:val="20"/>
          <w:szCs w:val="20"/>
          <w:lang w:val="es-ES_tradnl"/>
        </w:rPr>
      </w:pPr>
    </w:p>
    <w:p w14:paraId="7AC51B66" w14:textId="77777777" w:rsidR="00FA132A" w:rsidRPr="00E019A9" w:rsidRDefault="00FA132A"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 xml:space="preserve">En dicha sentencia de reemplazo, la Corte Suprema </w:t>
      </w:r>
      <w:r w:rsidR="001C3F20" w:rsidRPr="00E019A9">
        <w:rPr>
          <w:sz w:val="20"/>
          <w:szCs w:val="20"/>
          <w:lang w:val="es-ES_tradnl"/>
        </w:rPr>
        <w:t xml:space="preserve">dejó </w:t>
      </w:r>
      <w:r w:rsidR="00534686" w:rsidRPr="00E019A9">
        <w:rPr>
          <w:sz w:val="20"/>
          <w:szCs w:val="20"/>
          <w:lang w:val="es-ES_tradnl"/>
        </w:rPr>
        <w:t>incólume</w:t>
      </w:r>
      <w:r w:rsidR="001C3F20" w:rsidRPr="00E019A9">
        <w:rPr>
          <w:sz w:val="20"/>
          <w:szCs w:val="20"/>
          <w:lang w:val="es-ES_tradnl"/>
        </w:rPr>
        <w:t xml:space="preserve"> la plataforma fáctica tenida por probada por los jueces de los tribunales inferiores. Acto seguido, sostuvo </w:t>
      </w:r>
      <w:r w:rsidRPr="00E019A9">
        <w:rPr>
          <w:sz w:val="20"/>
          <w:szCs w:val="20"/>
          <w:lang w:val="es-ES_tradnl"/>
        </w:rPr>
        <w:t xml:space="preserve">que la imposibilidad de aplicar la prescripción de la acción penal en los delitos de lesa humanidad “no alcanza a la denominada media prescripción </w:t>
      </w:r>
      <w:r w:rsidRPr="00E019A9">
        <w:rPr>
          <w:sz w:val="20"/>
          <w:szCs w:val="20"/>
          <w:lang w:val="es-ES_tradnl"/>
        </w:rPr>
        <w:sym w:font="Symbol" w:char="F05B"/>
      </w:r>
      <w:r w:rsidRPr="00E019A9">
        <w:rPr>
          <w:sz w:val="20"/>
          <w:szCs w:val="20"/>
          <w:lang w:val="es-ES_tradnl"/>
        </w:rPr>
        <w:t>ya que</w:t>
      </w:r>
      <w:r w:rsidRPr="00E019A9">
        <w:rPr>
          <w:sz w:val="20"/>
          <w:szCs w:val="20"/>
          <w:lang w:val="es-ES_tradnl"/>
        </w:rPr>
        <w:sym w:font="Symbol" w:char="F05D"/>
      </w:r>
      <w:r w:rsidRPr="00E019A9">
        <w:rPr>
          <w:sz w:val="20"/>
          <w:szCs w:val="20"/>
          <w:lang w:val="es-ES_tradnl"/>
        </w:rPr>
        <w:t xml:space="preserve"> constituye una minorante calificada de responsabilidad criminal cuyos efectos inciden en la determinación del quantum de la sanción, independiente de la prescripción, con fundamentos y consecuencias diversas”</w:t>
      </w:r>
      <w:r w:rsidR="00534686" w:rsidRPr="00E019A9">
        <w:rPr>
          <w:rStyle w:val="FootnoteReference"/>
          <w:sz w:val="20"/>
          <w:szCs w:val="20"/>
          <w:lang w:val="es-ES_tradnl"/>
        </w:rPr>
        <w:footnoteReference w:id="150"/>
      </w:r>
      <w:r w:rsidRPr="00E019A9">
        <w:rPr>
          <w:sz w:val="20"/>
          <w:szCs w:val="20"/>
          <w:lang w:val="es-ES_tradnl"/>
        </w:rPr>
        <w:t xml:space="preserve">. </w:t>
      </w:r>
    </w:p>
    <w:p w14:paraId="76B919AD" w14:textId="77777777" w:rsidR="001802AC" w:rsidRPr="00E019A9" w:rsidRDefault="001802AC" w:rsidP="00B569C3">
      <w:pPr>
        <w:pStyle w:val="ListParagraph"/>
        <w:tabs>
          <w:tab w:val="left" w:pos="567"/>
        </w:tabs>
        <w:rPr>
          <w:sz w:val="20"/>
          <w:szCs w:val="20"/>
          <w:lang w:val="es-ES_tradnl"/>
        </w:rPr>
      </w:pPr>
    </w:p>
    <w:p w14:paraId="361B0B58" w14:textId="77777777" w:rsidR="001802AC" w:rsidRPr="00E019A9" w:rsidRDefault="001C3F20"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Asimismo</w:t>
      </w:r>
      <w:r w:rsidR="001802AC" w:rsidRPr="00E019A9">
        <w:rPr>
          <w:sz w:val="20"/>
          <w:szCs w:val="20"/>
          <w:lang w:val="es-ES_tradnl"/>
        </w:rPr>
        <w:t xml:space="preserve">, la Corte Suprema </w:t>
      </w:r>
      <w:r w:rsidRPr="00E019A9">
        <w:rPr>
          <w:sz w:val="20"/>
          <w:szCs w:val="20"/>
          <w:lang w:val="es-ES_tradnl"/>
        </w:rPr>
        <w:t>consideró que, siendo que los hechos delictivos habían tenido lugar en los días 8 y 9 de septiembre de 1986 y que el primer auto de procesamiento contra algunos de los condenados se dictó el 30 de noviembre de 1999, habían transcurrido “</w:t>
      </w:r>
      <w:r w:rsidR="00C266C8" w:rsidRPr="00E019A9">
        <w:rPr>
          <w:sz w:val="20"/>
          <w:szCs w:val="20"/>
          <w:lang w:val="es-ES_tradnl"/>
        </w:rPr>
        <w:t>más</w:t>
      </w:r>
      <w:r w:rsidRPr="00E019A9">
        <w:rPr>
          <w:sz w:val="20"/>
          <w:szCs w:val="20"/>
          <w:lang w:val="es-ES_tradnl"/>
        </w:rPr>
        <w:t xml:space="preserve"> de 13 años entre la comisión de los ilícitos y el primer sometimiento a proceso que culmin</w:t>
      </w:r>
      <w:r w:rsidR="00876A5E" w:rsidRPr="00E019A9">
        <w:rPr>
          <w:sz w:val="20"/>
          <w:szCs w:val="20"/>
          <w:lang w:val="es-ES_tradnl"/>
        </w:rPr>
        <w:t>ó</w:t>
      </w:r>
      <w:r w:rsidRPr="00E019A9">
        <w:rPr>
          <w:sz w:val="20"/>
          <w:szCs w:val="20"/>
          <w:lang w:val="es-ES_tradnl"/>
        </w:rPr>
        <w:t xml:space="preserve"> con la condena de los encartados, cumpliéndose, de ese modo, la hipótesis temporal” requerida para la aplicación de la figura de la media prescripción</w:t>
      </w:r>
      <w:r w:rsidRPr="00E019A9">
        <w:rPr>
          <w:rStyle w:val="FootnoteReference"/>
          <w:sz w:val="20"/>
          <w:szCs w:val="20"/>
          <w:lang w:val="es-ES_tradnl"/>
        </w:rPr>
        <w:footnoteReference w:id="151"/>
      </w:r>
      <w:r w:rsidRPr="00E019A9">
        <w:rPr>
          <w:sz w:val="20"/>
          <w:szCs w:val="20"/>
          <w:lang w:val="es-ES_tradnl"/>
        </w:rPr>
        <w:t xml:space="preserve">. </w:t>
      </w:r>
    </w:p>
    <w:p w14:paraId="468EEE6F" w14:textId="77777777" w:rsidR="001C3F20" w:rsidRPr="00E019A9" w:rsidRDefault="001C3F20" w:rsidP="00B569C3">
      <w:pPr>
        <w:pStyle w:val="ListParagraph"/>
        <w:tabs>
          <w:tab w:val="left" w:pos="567"/>
        </w:tabs>
        <w:rPr>
          <w:sz w:val="20"/>
          <w:szCs w:val="20"/>
          <w:lang w:val="es-ES_tradnl"/>
        </w:rPr>
      </w:pPr>
    </w:p>
    <w:p w14:paraId="745DEC64" w14:textId="77777777" w:rsidR="001C3F20" w:rsidRPr="00E019A9" w:rsidRDefault="001C3F20"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 xml:space="preserve">Con respecto a la situación particular de cada uno de los condenados, la Corte Suprema decidió, en aplicación de la media prescripción, condenar a </w:t>
      </w:r>
      <w:r w:rsidR="00534686" w:rsidRPr="00E019A9">
        <w:rPr>
          <w:sz w:val="20"/>
          <w:szCs w:val="20"/>
          <w:lang w:val="es-ES_tradnl"/>
        </w:rPr>
        <w:t>Álvaro</w:t>
      </w:r>
      <w:r w:rsidRPr="00E019A9">
        <w:rPr>
          <w:sz w:val="20"/>
          <w:szCs w:val="20"/>
          <w:lang w:val="es-ES_tradnl"/>
        </w:rPr>
        <w:t xml:space="preserve"> </w:t>
      </w:r>
      <w:r w:rsidR="00534686" w:rsidRPr="00E019A9">
        <w:rPr>
          <w:sz w:val="20"/>
          <w:szCs w:val="20"/>
          <w:lang w:val="es-ES_tradnl"/>
        </w:rPr>
        <w:t>Corbalán</w:t>
      </w:r>
      <w:r w:rsidRPr="00E019A9">
        <w:rPr>
          <w:sz w:val="20"/>
          <w:szCs w:val="20"/>
          <w:lang w:val="es-ES_tradnl"/>
        </w:rPr>
        <w:t xml:space="preserve"> Castilla a la pena de 12 años de presidio mayor en su grado medio por cuatro delitos de homicidio calificado; a Jorge Vargas Bories e </w:t>
      </w:r>
      <w:r w:rsidR="00534686" w:rsidRPr="00E019A9">
        <w:rPr>
          <w:sz w:val="20"/>
          <w:szCs w:val="20"/>
          <w:lang w:val="es-ES_tradnl"/>
        </w:rPr>
        <w:t>Iván</w:t>
      </w:r>
      <w:r w:rsidRPr="00E019A9">
        <w:rPr>
          <w:sz w:val="20"/>
          <w:szCs w:val="20"/>
          <w:lang w:val="es-ES_tradnl"/>
        </w:rPr>
        <w:t xml:space="preserve"> Quiroz Ruiz a la pena de 7 años de presidio mayor en su grado </w:t>
      </w:r>
      <w:r w:rsidR="00534686" w:rsidRPr="00E019A9">
        <w:rPr>
          <w:sz w:val="20"/>
          <w:szCs w:val="20"/>
          <w:lang w:val="es-ES_tradnl"/>
        </w:rPr>
        <w:t>mínimo</w:t>
      </w:r>
      <w:r w:rsidRPr="00E019A9">
        <w:rPr>
          <w:sz w:val="20"/>
          <w:szCs w:val="20"/>
          <w:lang w:val="es-ES_tradnl"/>
        </w:rPr>
        <w:t xml:space="preserve"> por dos delitos de homicidio calificado y a Pedro Javier Guzmán Olivares, Gonzalo Fernando Maass del Valle, Krantz Johhans Bauer Donoso, Jorge Enrique Jofré Rojas,  Juan Alejandro Jorquera Abarzua, </w:t>
      </w:r>
      <w:r w:rsidR="00534686" w:rsidRPr="00E019A9">
        <w:rPr>
          <w:sz w:val="20"/>
          <w:szCs w:val="20"/>
          <w:lang w:val="es-ES_tradnl"/>
        </w:rPr>
        <w:t>Víctor</w:t>
      </w:r>
      <w:r w:rsidRPr="00E019A9">
        <w:rPr>
          <w:sz w:val="20"/>
          <w:szCs w:val="20"/>
          <w:lang w:val="es-ES_tradnl"/>
        </w:rPr>
        <w:t xml:space="preserve"> </w:t>
      </w:r>
      <w:r w:rsidR="00534686" w:rsidRPr="00E019A9">
        <w:rPr>
          <w:sz w:val="20"/>
          <w:szCs w:val="20"/>
          <w:lang w:val="es-ES_tradnl"/>
        </w:rPr>
        <w:t xml:space="preserve">Hugo </w:t>
      </w:r>
      <w:r w:rsidRPr="00E019A9">
        <w:rPr>
          <w:sz w:val="20"/>
          <w:szCs w:val="20"/>
          <w:lang w:val="es-ES_tradnl"/>
        </w:rPr>
        <w:t>Lara Cataldo, René</w:t>
      </w:r>
      <w:r w:rsidR="00534686" w:rsidRPr="00E019A9">
        <w:rPr>
          <w:sz w:val="20"/>
          <w:szCs w:val="20"/>
          <w:lang w:val="es-ES_tradnl"/>
        </w:rPr>
        <w:t xml:space="preserve"> Armando</w:t>
      </w:r>
      <w:r w:rsidRPr="00E019A9">
        <w:rPr>
          <w:sz w:val="20"/>
          <w:szCs w:val="20"/>
          <w:lang w:val="es-ES_tradnl"/>
        </w:rPr>
        <w:t xml:space="preserve"> Valdovinos Morales, Víctor Manuel Muñoz Orellana, Eduardo Martin Chávez Baeza, Carlos Alberto Fachinetti López y José Ramón Meneses Arcauz</w:t>
      </w:r>
      <w:r w:rsidR="00534686" w:rsidRPr="00E019A9">
        <w:rPr>
          <w:sz w:val="20"/>
          <w:szCs w:val="20"/>
          <w:lang w:val="es-ES_tradnl"/>
        </w:rPr>
        <w:t xml:space="preserve"> a la pena de 5 años de presidio menor en su grado máximo. En todos los casos la Corte Suprema consideró que, además de la atenuante de la media prescripción, se encontraban presentes las circunstancias atenuantes de irreprochable conducta anterior y de haber delinquido en razón de haber recibido una orden emanada de un superior jerárquico</w:t>
      </w:r>
      <w:r w:rsidR="00534686" w:rsidRPr="00E019A9">
        <w:rPr>
          <w:rStyle w:val="FootnoteReference"/>
          <w:sz w:val="20"/>
          <w:szCs w:val="20"/>
          <w:lang w:val="es-ES_tradnl"/>
        </w:rPr>
        <w:footnoteReference w:id="152"/>
      </w:r>
      <w:r w:rsidR="00534686" w:rsidRPr="00E019A9">
        <w:rPr>
          <w:sz w:val="20"/>
          <w:szCs w:val="20"/>
          <w:lang w:val="es-ES_tradnl"/>
        </w:rPr>
        <w:t xml:space="preserve">. </w:t>
      </w:r>
    </w:p>
    <w:p w14:paraId="5242B0E3" w14:textId="77777777" w:rsidR="006C1B06" w:rsidRPr="00E019A9" w:rsidRDefault="006C1B06" w:rsidP="006C1B06">
      <w:pPr>
        <w:jc w:val="both"/>
        <w:rPr>
          <w:rFonts w:ascii="Cambria" w:hAnsi="Cambria"/>
          <w:sz w:val="20"/>
          <w:szCs w:val="20"/>
          <w:lang w:val="es-ES_tradnl" w:eastAsia="es-ES"/>
        </w:rPr>
      </w:pPr>
    </w:p>
    <w:p w14:paraId="6388D858" w14:textId="77777777" w:rsidR="00A02F4E" w:rsidRPr="00E019A9" w:rsidRDefault="006C1B06" w:rsidP="00BB60A6">
      <w:pPr>
        <w:pStyle w:val="Heading3"/>
        <w:numPr>
          <w:ilvl w:val="1"/>
          <w:numId w:val="59"/>
        </w:numPr>
        <w:tabs>
          <w:tab w:val="left" w:pos="567"/>
          <w:tab w:val="left" w:pos="1134"/>
        </w:tabs>
        <w:ind w:left="567" w:firstLine="0"/>
        <w:jc w:val="both"/>
      </w:pPr>
      <w:r w:rsidRPr="00E019A9">
        <w:t>Respecto de la p</w:t>
      </w:r>
      <w:r w:rsidR="00885C58" w:rsidRPr="00E019A9">
        <w:t xml:space="preserve">etición presentada en representación de José́ Félix García Franco y sus familiares y registrada inicialmente por la Comisión bajo el numero P 1275-04. </w:t>
      </w:r>
    </w:p>
    <w:p w14:paraId="13E086AE" w14:textId="77777777" w:rsidR="004060D4" w:rsidRPr="00E019A9" w:rsidRDefault="004060D4" w:rsidP="004060D4">
      <w:pPr>
        <w:rPr>
          <w:sz w:val="20"/>
          <w:szCs w:val="20"/>
          <w:lang w:val="es-ES_tradnl" w:eastAsia="es-ES"/>
        </w:rPr>
      </w:pPr>
    </w:p>
    <w:p w14:paraId="279B8B77" w14:textId="77777777" w:rsidR="004060D4" w:rsidRPr="00E019A9" w:rsidRDefault="008201E3"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 xml:space="preserve">Conforme a la información en poder de la </w:t>
      </w:r>
      <w:r w:rsidR="00350060" w:rsidRPr="00E019A9">
        <w:rPr>
          <w:sz w:val="20"/>
          <w:szCs w:val="20"/>
          <w:lang w:val="es-ES_tradnl"/>
        </w:rPr>
        <w:t>Comisión</w:t>
      </w:r>
      <w:r w:rsidR="00E96952">
        <w:rPr>
          <w:sz w:val="20"/>
          <w:szCs w:val="20"/>
          <w:lang w:val="es-ES_tradnl"/>
        </w:rPr>
        <w:t>, se encuentra acreditado</w:t>
      </w:r>
      <w:r w:rsidRPr="00E019A9">
        <w:rPr>
          <w:sz w:val="20"/>
          <w:szCs w:val="20"/>
          <w:lang w:val="es-ES_tradnl"/>
        </w:rPr>
        <w:t xml:space="preserve"> que el </w:t>
      </w:r>
      <w:r w:rsidR="00C92A89" w:rsidRPr="00E019A9">
        <w:rPr>
          <w:sz w:val="20"/>
          <w:szCs w:val="20"/>
          <w:lang w:val="es-ES_tradnl"/>
        </w:rPr>
        <w:t xml:space="preserve">13 de septiembre de 1973 dos funcionarios de Carabineros de Chile pertenecientes a la Tenencia Coilaco, dependiente de la Prefectura Cautín se apersonaron en el domicilio del Sr. </w:t>
      </w:r>
      <w:r w:rsidR="00350060" w:rsidRPr="00E019A9">
        <w:rPr>
          <w:sz w:val="20"/>
          <w:szCs w:val="20"/>
          <w:lang w:val="es-ES_tradnl"/>
        </w:rPr>
        <w:t>José</w:t>
      </w:r>
      <w:r w:rsidR="00C92A89" w:rsidRPr="00E019A9">
        <w:rPr>
          <w:sz w:val="20"/>
          <w:szCs w:val="20"/>
          <w:lang w:val="es-ES_tradnl"/>
        </w:rPr>
        <w:t xml:space="preserve"> </w:t>
      </w:r>
      <w:r w:rsidR="00350060" w:rsidRPr="00E019A9">
        <w:rPr>
          <w:sz w:val="20"/>
          <w:szCs w:val="20"/>
          <w:lang w:val="es-ES_tradnl"/>
        </w:rPr>
        <w:t>Félix</w:t>
      </w:r>
      <w:r w:rsidR="00C92A89" w:rsidRPr="00E019A9">
        <w:rPr>
          <w:sz w:val="20"/>
          <w:szCs w:val="20"/>
          <w:lang w:val="es-ES_tradnl"/>
        </w:rPr>
        <w:t xml:space="preserve"> </w:t>
      </w:r>
      <w:r w:rsidR="00350060" w:rsidRPr="00E019A9">
        <w:rPr>
          <w:sz w:val="20"/>
          <w:szCs w:val="20"/>
          <w:lang w:val="es-ES_tradnl"/>
        </w:rPr>
        <w:t>García</w:t>
      </w:r>
      <w:r w:rsidR="00C92A89" w:rsidRPr="00E019A9">
        <w:rPr>
          <w:sz w:val="20"/>
          <w:szCs w:val="20"/>
          <w:lang w:val="es-ES_tradnl"/>
        </w:rPr>
        <w:t xml:space="preserve"> Franco ubicado en la calle Prieto</w:t>
      </w:r>
      <w:r w:rsidR="002D371D" w:rsidRPr="00E019A9">
        <w:rPr>
          <w:sz w:val="20"/>
          <w:szCs w:val="20"/>
          <w:lang w:val="es-ES_tradnl"/>
        </w:rPr>
        <w:t xml:space="preserve"> </w:t>
      </w:r>
      <w:r w:rsidR="00C92A89" w:rsidRPr="00E019A9">
        <w:rPr>
          <w:sz w:val="20"/>
          <w:szCs w:val="20"/>
          <w:lang w:val="es-ES_tradnl"/>
        </w:rPr>
        <w:t xml:space="preserve">10 de la ciudad de Temuco con la finalidad de citarlo </w:t>
      </w:r>
      <w:r w:rsidR="00350060" w:rsidRPr="00E019A9">
        <w:rPr>
          <w:sz w:val="20"/>
          <w:szCs w:val="20"/>
          <w:lang w:val="es-ES_tradnl"/>
        </w:rPr>
        <w:t>verbalmente</w:t>
      </w:r>
      <w:r w:rsidR="00C92A89" w:rsidRPr="00E019A9">
        <w:rPr>
          <w:sz w:val="20"/>
          <w:szCs w:val="20"/>
          <w:lang w:val="es-ES_tradnl"/>
        </w:rPr>
        <w:t xml:space="preserve"> para que concurriera a la unidad policial en la que revistaban. Al no encontrar</w:t>
      </w:r>
      <w:r w:rsidR="00B13A9D" w:rsidRPr="00E019A9">
        <w:rPr>
          <w:sz w:val="20"/>
          <w:szCs w:val="20"/>
          <w:lang w:val="es-ES_tradnl"/>
        </w:rPr>
        <w:t xml:space="preserve">lo </w:t>
      </w:r>
      <w:r w:rsidR="00C92A89" w:rsidRPr="00E019A9">
        <w:rPr>
          <w:sz w:val="20"/>
          <w:szCs w:val="20"/>
          <w:lang w:val="es-ES_tradnl"/>
        </w:rPr>
        <w:t xml:space="preserve">en su hogar, los funcionarios policiales procedieron a registrar el inmueble e </w:t>
      </w:r>
      <w:r w:rsidR="00C92A89" w:rsidRPr="00E019A9">
        <w:rPr>
          <w:sz w:val="20"/>
          <w:szCs w:val="20"/>
          <w:lang w:val="es-ES_tradnl"/>
        </w:rPr>
        <w:lastRenderedPageBreak/>
        <w:t>informar</w:t>
      </w:r>
      <w:r w:rsidR="00350060" w:rsidRPr="00E019A9">
        <w:rPr>
          <w:sz w:val="20"/>
          <w:szCs w:val="20"/>
          <w:lang w:val="es-ES_tradnl"/>
        </w:rPr>
        <w:t>on</w:t>
      </w:r>
      <w:r w:rsidR="00C92A89" w:rsidRPr="00E019A9">
        <w:rPr>
          <w:sz w:val="20"/>
          <w:szCs w:val="20"/>
          <w:lang w:val="es-ES_tradnl"/>
        </w:rPr>
        <w:t xml:space="preserve"> a la Sr. </w:t>
      </w:r>
      <w:r w:rsidR="00B13A9D" w:rsidRPr="00E019A9">
        <w:rPr>
          <w:sz w:val="20"/>
          <w:szCs w:val="20"/>
          <w:lang w:val="es-ES_tradnl"/>
        </w:rPr>
        <w:t>María</w:t>
      </w:r>
      <w:r w:rsidR="00C92A89" w:rsidRPr="00E019A9">
        <w:rPr>
          <w:sz w:val="20"/>
          <w:szCs w:val="20"/>
          <w:lang w:val="es-ES_tradnl"/>
        </w:rPr>
        <w:t xml:space="preserve"> Muñoz Tiznado, </w:t>
      </w:r>
      <w:r w:rsidR="00B13A9D" w:rsidRPr="00E019A9">
        <w:rPr>
          <w:sz w:val="20"/>
          <w:szCs w:val="20"/>
          <w:lang w:val="es-ES_tradnl"/>
        </w:rPr>
        <w:t>cónyuge</w:t>
      </w:r>
      <w:r w:rsidR="00C92A89" w:rsidRPr="00E019A9">
        <w:rPr>
          <w:sz w:val="20"/>
          <w:szCs w:val="20"/>
          <w:lang w:val="es-ES_tradnl"/>
        </w:rPr>
        <w:t xml:space="preserve"> del Sr. </w:t>
      </w:r>
      <w:r w:rsidR="00B13A9D" w:rsidRPr="00E019A9">
        <w:rPr>
          <w:sz w:val="20"/>
          <w:szCs w:val="20"/>
          <w:lang w:val="es-ES_tradnl"/>
        </w:rPr>
        <w:t>García</w:t>
      </w:r>
      <w:r w:rsidR="00C92A89" w:rsidRPr="00E019A9">
        <w:rPr>
          <w:sz w:val="20"/>
          <w:szCs w:val="20"/>
          <w:lang w:val="es-ES_tradnl"/>
        </w:rPr>
        <w:t xml:space="preserve"> Franco</w:t>
      </w:r>
      <w:r w:rsidR="00350060" w:rsidRPr="00E019A9">
        <w:rPr>
          <w:sz w:val="20"/>
          <w:szCs w:val="20"/>
          <w:lang w:val="es-ES_tradnl"/>
        </w:rPr>
        <w:t>, que su esposo debía presentarse en la sede de la Tenencia Coilaco</w:t>
      </w:r>
      <w:r w:rsidR="00F04D0E" w:rsidRPr="00E019A9">
        <w:rPr>
          <w:rStyle w:val="FootnoteReference"/>
          <w:sz w:val="20"/>
          <w:szCs w:val="20"/>
          <w:lang w:val="es-ES_tradnl"/>
        </w:rPr>
        <w:footnoteReference w:id="153"/>
      </w:r>
      <w:r w:rsidR="00B13A9D" w:rsidRPr="00E019A9">
        <w:rPr>
          <w:sz w:val="20"/>
          <w:szCs w:val="20"/>
          <w:lang w:val="es-ES_tradnl"/>
        </w:rPr>
        <w:t xml:space="preserve">. </w:t>
      </w:r>
    </w:p>
    <w:p w14:paraId="15422E4C" w14:textId="77777777" w:rsidR="00F04D0E" w:rsidRPr="00E019A9" w:rsidRDefault="00F04D0E" w:rsidP="00F94E32">
      <w:pPr>
        <w:pStyle w:val="ListParagraph"/>
        <w:tabs>
          <w:tab w:val="left" w:pos="567"/>
        </w:tabs>
        <w:ind w:left="0"/>
        <w:jc w:val="both"/>
        <w:rPr>
          <w:sz w:val="20"/>
          <w:szCs w:val="20"/>
          <w:lang w:val="es-ES_tradnl"/>
        </w:rPr>
      </w:pPr>
    </w:p>
    <w:p w14:paraId="26F6D9D3" w14:textId="77777777" w:rsidR="00B13A9D" w:rsidRPr="00E019A9" w:rsidRDefault="00791BAA"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En cumplimiento de la</w:t>
      </w:r>
      <w:r w:rsidR="00F04D0E" w:rsidRPr="00E019A9">
        <w:rPr>
          <w:sz w:val="20"/>
          <w:szCs w:val="20"/>
          <w:lang w:val="es-ES_tradnl"/>
        </w:rPr>
        <w:t xml:space="preserve"> citación, en horas del mediodía del 13 de septiembre de 1973 el Sr. García Franco concurrió a la mencionada dependencia policial, donde fue privado de su libertad y posteriormente conducido a un calabozo de la Segunda Comisaria de Temuco. El Sr. García Franco permaneció detenido en ese sitio por espacio de 4 a 5 días, en los cuales pudo comunicarse verbalmente con su esposa, quien concurría a diario a la comisaria a dejarle alimentos y ropa. En la noche del 18 de septiembre o en horas de la madrugada del día siguiente un grupo de carabineros sacaron al Sr. García Franco de su calabozo y lo condujeron hacia una dirección desconocida. A la fecha el Sr. García Franco continua en calidad de desaparecido</w:t>
      </w:r>
      <w:r w:rsidR="00F04D0E" w:rsidRPr="00E019A9">
        <w:rPr>
          <w:rStyle w:val="FootnoteReference"/>
          <w:sz w:val="20"/>
          <w:szCs w:val="20"/>
          <w:lang w:val="es-ES_tradnl"/>
        </w:rPr>
        <w:footnoteReference w:id="154"/>
      </w:r>
      <w:r w:rsidR="00F04D0E" w:rsidRPr="00E019A9">
        <w:rPr>
          <w:sz w:val="20"/>
          <w:szCs w:val="20"/>
          <w:lang w:val="es-ES_tradnl"/>
        </w:rPr>
        <w:t xml:space="preserve">. </w:t>
      </w:r>
    </w:p>
    <w:p w14:paraId="670F40AD" w14:textId="77777777" w:rsidR="002D371D" w:rsidRPr="00E019A9" w:rsidRDefault="002D371D" w:rsidP="00F94E32">
      <w:pPr>
        <w:pStyle w:val="ListParagraph"/>
        <w:tabs>
          <w:tab w:val="left" w:pos="567"/>
        </w:tabs>
        <w:jc w:val="both"/>
        <w:rPr>
          <w:sz w:val="20"/>
          <w:szCs w:val="20"/>
          <w:lang w:val="es-ES_tradnl"/>
        </w:rPr>
      </w:pPr>
    </w:p>
    <w:p w14:paraId="4F31228F" w14:textId="77777777" w:rsidR="002D371D" w:rsidRPr="00E019A9" w:rsidRDefault="002D371D"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 xml:space="preserve">El 31 de enero de 2008 el ministro de fuero Joaquín Billard Acuña dictó sentencia condenado al ex funcionario de Carabineros de Chile Hugo Opaz </w:t>
      </w:r>
      <w:r w:rsidR="004174F3" w:rsidRPr="00E019A9">
        <w:rPr>
          <w:sz w:val="20"/>
          <w:szCs w:val="20"/>
          <w:lang w:val="es-ES_tradnl"/>
        </w:rPr>
        <w:t>Inzunza a</w:t>
      </w:r>
      <w:r w:rsidRPr="00E019A9">
        <w:rPr>
          <w:sz w:val="20"/>
          <w:szCs w:val="20"/>
          <w:lang w:val="es-ES_tradnl"/>
        </w:rPr>
        <w:t xml:space="preserve"> la pena de 10 años y 1 </w:t>
      </w:r>
      <w:r w:rsidR="007379A4" w:rsidRPr="00E019A9">
        <w:rPr>
          <w:sz w:val="20"/>
          <w:szCs w:val="20"/>
          <w:lang w:val="es-ES_tradnl"/>
        </w:rPr>
        <w:t>día</w:t>
      </w:r>
      <w:r w:rsidRPr="00E019A9">
        <w:rPr>
          <w:sz w:val="20"/>
          <w:szCs w:val="20"/>
          <w:lang w:val="es-ES_tradnl"/>
        </w:rPr>
        <w:t xml:space="preserve"> de presidio mayor en su grado medio y a los ex </w:t>
      </w:r>
      <w:r w:rsidR="004174F3" w:rsidRPr="00E019A9">
        <w:rPr>
          <w:sz w:val="20"/>
          <w:szCs w:val="20"/>
          <w:lang w:val="es-ES_tradnl"/>
        </w:rPr>
        <w:t>carabineros Juan</w:t>
      </w:r>
      <w:r w:rsidRPr="00E019A9">
        <w:rPr>
          <w:sz w:val="20"/>
          <w:szCs w:val="20"/>
          <w:lang w:val="es-ES_tradnl"/>
        </w:rPr>
        <w:t xml:space="preserve"> Miguel Bustamante </w:t>
      </w:r>
      <w:r w:rsidR="004174F3" w:rsidRPr="00E019A9">
        <w:rPr>
          <w:sz w:val="20"/>
          <w:szCs w:val="20"/>
          <w:lang w:val="es-ES_tradnl"/>
        </w:rPr>
        <w:t>León, Omar</w:t>
      </w:r>
      <w:r w:rsidRPr="00E019A9">
        <w:rPr>
          <w:sz w:val="20"/>
          <w:szCs w:val="20"/>
          <w:lang w:val="es-ES_tradnl"/>
        </w:rPr>
        <w:t xml:space="preserve"> Burgos Dejean y Juan de Dios Frtiz Vega fueron condenados a la pena de 8 años y un </w:t>
      </w:r>
      <w:r w:rsidR="007379A4" w:rsidRPr="00E019A9">
        <w:rPr>
          <w:sz w:val="20"/>
          <w:szCs w:val="20"/>
          <w:lang w:val="es-ES_tradnl"/>
        </w:rPr>
        <w:t>día</w:t>
      </w:r>
      <w:r w:rsidRPr="00E019A9">
        <w:rPr>
          <w:sz w:val="20"/>
          <w:szCs w:val="20"/>
          <w:lang w:val="es-ES_tradnl"/>
        </w:rPr>
        <w:t xml:space="preserve"> de presidio mayor en su grado medio por resultar responsables del delito de secuestro calificado, mas accesorias y costas. En el caso de los últimos tres nombrados, el magistrado, a efectos de fijar la pena de prisión a imponer, </w:t>
      </w:r>
      <w:r w:rsidR="007379A4" w:rsidRPr="00E019A9">
        <w:rPr>
          <w:sz w:val="20"/>
          <w:szCs w:val="20"/>
          <w:lang w:val="es-ES_tradnl"/>
        </w:rPr>
        <w:t>determin</w:t>
      </w:r>
      <w:r w:rsidR="008A4D59" w:rsidRPr="00E019A9">
        <w:rPr>
          <w:sz w:val="20"/>
          <w:szCs w:val="20"/>
          <w:lang w:val="es-ES_tradnl"/>
        </w:rPr>
        <w:t>ó</w:t>
      </w:r>
      <w:r w:rsidR="007379A4" w:rsidRPr="00E019A9">
        <w:rPr>
          <w:sz w:val="20"/>
          <w:szCs w:val="20"/>
          <w:lang w:val="es-ES_tradnl"/>
        </w:rPr>
        <w:t xml:space="preserve"> que se hallaban beneficiados por la circunstancia atenuante de irreprochable conducta anterior (art 11.6 Código Penal). </w:t>
      </w:r>
      <w:r w:rsidR="00461187" w:rsidRPr="00E019A9">
        <w:rPr>
          <w:sz w:val="20"/>
          <w:szCs w:val="20"/>
          <w:lang w:val="es-ES_tradnl"/>
        </w:rPr>
        <w:t>Finalmente, el magistrado acogió la demanda de responsabilidad civil interpuesta por el hermano del Sr. García Franco y e impuso a los condenados y al Fisco de Chile el pago de solidario de $ 30.000.000 en concepto de daño moral</w:t>
      </w:r>
      <w:r w:rsidR="00461187" w:rsidRPr="00E019A9">
        <w:rPr>
          <w:rStyle w:val="FootnoteReference"/>
          <w:sz w:val="20"/>
          <w:szCs w:val="20"/>
          <w:lang w:val="es-ES_tradnl"/>
        </w:rPr>
        <w:footnoteReference w:id="155"/>
      </w:r>
      <w:r w:rsidR="00461187" w:rsidRPr="00E019A9">
        <w:rPr>
          <w:sz w:val="20"/>
          <w:szCs w:val="20"/>
          <w:lang w:val="es-ES_tradnl"/>
        </w:rPr>
        <w:t xml:space="preserve">. </w:t>
      </w:r>
    </w:p>
    <w:p w14:paraId="2B07AF80" w14:textId="77777777" w:rsidR="007379A4" w:rsidRPr="00E019A9" w:rsidRDefault="007379A4" w:rsidP="00F94E32">
      <w:pPr>
        <w:pStyle w:val="ListParagraph"/>
        <w:tabs>
          <w:tab w:val="left" w:pos="567"/>
        </w:tabs>
        <w:rPr>
          <w:sz w:val="20"/>
          <w:szCs w:val="20"/>
          <w:lang w:val="es-ES_tradnl"/>
        </w:rPr>
      </w:pPr>
    </w:p>
    <w:p w14:paraId="60E49C63" w14:textId="77777777" w:rsidR="007379A4" w:rsidRPr="00E019A9" w:rsidRDefault="007379A4"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 xml:space="preserve">Ante esta decisión, las defensas de los condenados interpusieron sendos recursos de casación por la forma y de apelación. En su sentencia de fecha 26 de diciembre de 2008 la Cuarta Sala de la Corte de Apelaciones de Santiago </w:t>
      </w:r>
      <w:r w:rsidR="000C22BD" w:rsidRPr="00E019A9">
        <w:rPr>
          <w:sz w:val="20"/>
          <w:szCs w:val="20"/>
          <w:lang w:val="es-ES_tradnl"/>
        </w:rPr>
        <w:t xml:space="preserve">rechazó los recursos de casación y aceptó parcialmente los de apelación y decidió imponer a Hugo Opaz </w:t>
      </w:r>
      <w:r w:rsidR="004174F3" w:rsidRPr="00E019A9">
        <w:rPr>
          <w:sz w:val="20"/>
          <w:szCs w:val="20"/>
          <w:lang w:val="es-ES_tradnl"/>
        </w:rPr>
        <w:t>Inzunza, Juan</w:t>
      </w:r>
      <w:r w:rsidR="000C22BD" w:rsidRPr="00E019A9">
        <w:rPr>
          <w:sz w:val="20"/>
          <w:szCs w:val="20"/>
          <w:lang w:val="es-ES_tradnl"/>
        </w:rPr>
        <w:t xml:space="preserve"> Miguel Bustamante </w:t>
      </w:r>
      <w:r w:rsidR="004174F3" w:rsidRPr="00E019A9">
        <w:rPr>
          <w:sz w:val="20"/>
          <w:szCs w:val="20"/>
          <w:lang w:val="es-ES_tradnl"/>
        </w:rPr>
        <w:t>León, Omar</w:t>
      </w:r>
      <w:r w:rsidR="000C22BD" w:rsidRPr="00E019A9">
        <w:rPr>
          <w:sz w:val="20"/>
          <w:szCs w:val="20"/>
          <w:lang w:val="es-ES_tradnl"/>
        </w:rPr>
        <w:t xml:space="preserve"> Burgos Dejean y Juan de Dios Frtiz Vega la pena de 5 años y un día de presidio mayor en su grado mínimo y accesorias por su participación como autores del secuestro calificado del Sr. García Franco. Para decidir de este modo, la Corte de Apelaciones entendió que todos los condenados resultaban beneficiados por la atenuante de irreprochable conducta anterior y que ella debía tenerse como “muy calificada” en los términos previstos por el </w:t>
      </w:r>
      <w:r w:rsidR="00C266C8" w:rsidRPr="00E019A9">
        <w:rPr>
          <w:sz w:val="20"/>
          <w:szCs w:val="20"/>
          <w:lang w:val="es-ES_tradnl"/>
        </w:rPr>
        <w:t>artículo</w:t>
      </w:r>
      <w:r w:rsidR="000C22BD" w:rsidRPr="00E019A9">
        <w:rPr>
          <w:sz w:val="20"/>
          <w:szCs w:val="20"/>
          <w:lang w:val="es-ES_tradnl"/>
        </w:rPr>
        <w:t xml:space="preserve"> 68 bis del Código Penal</w:t>
      </w:r>
      <w:r w:rsidR="000C22BD" w:rsidRPr="00E019A9">
        <w:rPr>
          <w:rStyle w:val="FootnoteReference"/>
          <w:sz w:val="20"/>
          <w:szCs w:val="20"/>
          <w:lang w:val="es-ES_tradnl"/>
        </w:rPr>
        <w:footnoteReference w:id="156"/>
      </w:r>
      <w:r w:rsidR="000C22BD" w:rsidRPr="00E019A9">
        <w:rPr>
          <w:sz w:val="20"/>
          <w:szCs w:val="20"/>
          <w:lang w:val="es-ES_tradnl"/>
        </w:rPr>
        <w:t xml:space="preserve">.  </w:t>
      </w:r>
    </w:p>
    <w:p w14:paraId="3D506878" w14:textId="77777777" w:rsidR="00461187" w:rsidRPr="00E019A9" w:rsidRDefault="00461187" w:rsidP="00F94E32">
      <w:pPr>
        <w:pStyle w:val="ListParagraph"/>
        <w:tabs>
          <w:tab w:val="left" w:pos="567"/>
        </w:tabs>
        <w:rPr>
          <w:sz w:val="20"/>
          <w:szCs w:val="20"/>
          <w:lang w:val="es-ES_tradnl"/>
        </w:rPr>
      </w:pPr>
    </w:p>
    <w:p w14:paraId="50C489A7" w14:textId="77777777" w:rsidR="00461187" w:rsidRPr="00E019A9" w:rsidRDefault="00461187"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 xml:space="preserve">Por </w:t>
      </w:r>
      <w:r w:rsidR="00C266C8" w:rsidRPr="00E019A9">
        <w:rPr>
          <w:sz w:val="20"/>
          <w:szCs w:val="20"/>
          <w:lang w:val="es-ES_tradnl"/>
        </w:rPr>
        <w:t>último</w:t>
      </w:r>
      <w:r w:rsidRPr="00E019A9">
        <w:rPr>
          <w:sz w:val="20"/>
          <w:szCs w:val="20"/>
          <w:lang w:val="es-ES_tradnl"/>
        </w:rPr>
        <w:t>, el 2 de diciembre de 2009 la Sala Segunda de la Corte Suprema de Justicia, en ocasión de entender en el recurso de casación en la forma y en el fondo</w:t>
      </w:r>
      <w:r w:rsidR="00923F47" w:rsidRPr="00E019A9">
        <w:rPr>
          <w:sz w:val="20"/>
          <w:szCs w:val="20"/>
          <w:lang w:val="es-ES_tradnl"/>
        </w:rPr>
        <w:t xml:space="preserve"> interpuesto por los condenados</w:t>
      </w:r>
      <w:r w:rsidRPr="00E019A9">
        <w:rPr>
          <w:sz w:val="20"/>
          <w:szCs w:val="20"/>
          <w:lang w:val="es-ES_tradnl"/>
        </w:rPr>
        <w:t xml:space="preserve">, decidió invalidar de oficio la sentencia de la Corte de Apelaciones y dictar una nueva en su reemplazo. Para fallar de este modo, el tribunal sostuvo que </w:t>
      </w:r>
      <w:r w:rsidR="00923F47" w:rsidRPr="00E019A9">
        <w:rPr>
          <w:sz w:val="20"/>
          <w:szCs w:val="20"/>
          <w:lang w:val="es-ES_tradnl"/>
        </w:rPr>
        <w:t xml:space="preserve">“el juez del crimen no es competente para conocer de la demanda civil de indemnización por el daño moral que dice haber sufrido la familia del secuestrado  </w:t>
      </w:r>
      <w:r w:rsidR="00923F47" w:rsidRPr="00E019A9">
        <w:rPr>
          <w:sz w:val="20"/>
          <w:szCs w:val="20"/>
          <w:lang w:val="es-ES_tradnl"/>
        </w:rPr>
        <w:sym w:font="Symbol" w:char="F05B"/>
      </w:r>
      <w:r w:rsidR="00923F47" w:rsidRPr="00E019A9">
        <w:rPr>
          <w:sz w:val="20"/>
          <w:szCs w:val="20"/>
          <w:lang w:val="es-ES_tradnl"/>
        </w:rPr>
        <w:t>…</w:t>
      </w:r>
      <w:r w:rsidR="00923F47" w:rsidRPr="00E019A9">
        <w:rPr>
          <w:sz w:val="20"/>
          <w:szCs w:val="20"/>
          <w:lang w:val="es-ES_tradnl"/>
        </w:rPr>
        <w:sym w:font="Symbol" w:char="F05D"/>
      </w:r>
      <w:r w:rsidR="00923F47" w:rsidRPr="00E019A9">
        <w:rPr>
          <w:sz w:val="20"/>
          <w:szCs w:val="20"/>
          <w:lang w:val="es-ES_tradnl"/>
        </w:rPr>
        <w:t xml:space="preserve"> dirigida en contra del Estado de Chile”</w:t>
      </w:r>
      <w:r w:rsidR="00923F47" w:rsidRPr="00E019A9">
        <w:rPr>
          <w:rStyle w:val="FootnoteReference"/>
          <w:sz w:val="20"/>
          <w:szCs w:val="20"/>
          <w:lang w:val="es-ES_tradnl"/>
        </w:rPr>
        <w:footnoteReference w:id="157"/>
      </w:r>
    </w:p>
    <w:p w14:paraId="1EE19F24" w14:textId="77777777" w:rsidR="00923F47" w:rsidRPr="00E019A9" w:rsidRDefault="00923F47" w:rsidP="00F94E32">
      <w:pPr>
        <w:pStyle w:val="ListParagraph"/>
        <w:tabs>
          <w:tab w:val="left" w:pos="567"/>
        </w:tabs>
        <w:rPr>
          <w:sz w:val="20"/>
          <w:szCs w:val="20"/>
          <w:lang w:val="es-ES_tradnl"/>
        </w:rPr>
      </w:pPr>
    </w:p>
    <w:p w14:paraId="50A2E8E4" w14:textId="77777777" w:rsidR="00923F47" w:rsidRPr="00E019A9" w:rsidRDefault="00923F47"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 xml:space="preserve">En la sentencia de reemplazo, dictada el mismo 2 de diciembre de 2009, la Sala Segunda de la Corte Suprema ratificó la </w:t>
      </w:r>
      <w:r w:rsidR="00DF7F29" w:rsidRPr="00E019A9">
        <w:rPr>
          <w:sz w:val="20"/>
          <w:szCs w:val="20"/>
          <w:lang w:val="es-ES_tradnl"/>
        </w:rPr>
        <w:t xml:space="preserve">plataforma fáctica del caso tal como fue tenida por probada por los tribunales inferiores. Sin embargo, los jueces consideraron que los condenados resultaban beneficiados - además de la atenuante de irreprochable conducta anterior del </w:t>
      </w:r>
      <w:r w:rsidR="00C266C8" w:rsidRPr="00E019A9">
        <w:rPr>
          <w:sz w:val="20"/>
          <w:szCs w:val="20"/>
          <w:lang w:val="es-ES_tradnl"/>
        </w:rPr>
        <w:t>artículo</w:t>
      </w:r>
      <w:r w:rsidR="00DF7F29" w:rsidRPr="00E019A9">
        <w:rPr>
          <w:sz w:val="20"/>
          <w:szCs w:val="20"/>
          <w:lang w:val="es-ES_tradnl"/>
        </w:rPr>
        <w:t xml:space="preserve"> 11.6 del Código Penal -  por la circunstancia atenuante de la media prescripción o prescripción gradual consagrada en el </w:t>
      </w:r>
      <w:r w:rsidR="00C266C8" w:rsidRPr="00E019A9">
        <w:rPr>
          <w:sz w:val="20"/>
          <w:szCs w:val="20"/>
          <w:lang w:val="es-ES_tradnl"/>
        </w:rPr>
        <w:t>artículo</w:t>
      </w:r>
      <w:r w:rsidR="00DF7F29" w:rsidRPr="00E019A9">
        <w:rPr>
          <w:sz w:val="20"/>
          <w:szCs w:val="20"/>
          <w:lang w:val="es-ES_tradnl"/>
        </w:rPr>
        <w:t xml:space="preserve"> 103 del mismo texto legal</w:t>
      </w:r>
      <w:r w:rsidR="008A322A" w:rsidRPr="00E019A9">
        <w:rPr>
          <w:rStyle w:val="FootnoteReference"/>
          <w:sz w:val="20"/>
          <w:szCs w:val="20"/>
          <w:lang w:val="es-ES_tradnl"/>
        </w:rPr>
        <w:footnoteReference w:id="158"/>
      </w:r>
      <w:r w:rsidR="00F55C2B" w:rsidRPr="00E019A9">
        <w:rPr>
          <w:sz w:val="20"/>
          <w:szCs w:val="20"/>
          <w:lang w:val="es-ES_tradnl"/>
        </w:rPr>
        <w:t xml:space="preserve">. </w:t>
      </w:r>
    </w:p>
    <w:p w14:paraId="14CD513E" w14:textId="77777777" w:rsidR="00F55C2B" w:rsidRPr="00E019A9" w:rsidRDefault="00F55C2B" w:rsidP="00F94E32">
      <w:pPr>
        <w:pStyle w:val="ListParagraph"/>
        <w:tabs>
          <w:tab w:val="left" w:pos="567"/>
        </w:tabs>
        <w:rPr>
          <w:sz w:val="20"/>
          <w:szCs w:val="20"/>
          <w:lang w:val="es-ES_tradnl"/>
        </w:rPr>
      </w:pPr>
    </w:p>
    <w:p w14:paraId="23B265E8" w14:textId="77777777" w:rsidR="00F94E32" w:rsidRPr="00E019A9" w:rsidRDefault="00F55C2B"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lastRenderedPageBreak/>
        <w:t>Para tener por aceptada</w:t>
      </w:r>
      <w:r w:rsidR="00F94E32" w:rsidRPr="00E019A9">
        <w:rPr>
          <w:sz w:val="20"/>
          <w:szCs w:val="20"/>
          <w:lang w:val="es-ES_tradnl"/>
        </w:rPr>
        <w:t xml:space="preserve"> </w:t>
      </w:r>
      <w:r w:rsidRPr="00E019A9">
        <w:rPr>
          <w:sz w:val="20"/>
          <w:szCs w:val="20"/>
          <w:lang w:val="es-ES_tradnl"/>
        </w:rPr>
        <w:t xml:space="preserve"> la atenuante de la media prescripción, el tribunal sostuvo que “la improcedencia de la </w:t>
      </w:r>
      <w:r w:rsidR="008A322A" w:rsidRPr="00E019A9">
        <w:rPr>
          <w:sz w:val="20"/>
          <w:szCs w:val="20"/>
          <w:lang w:val="es-ES_tradnl"/>
        </w:rPr>
        <w:t>prescripción</w:t>
      </w:r>
      <w:r w:rsidRPr="00E019A9">
        <w:rPr>
          <w:sz w:val="20"/>
          <w:szCs w:val="20"/>
          <w:lang w:val="es-ES_tradnl"/>
        </w:rPr>
        <w:t xml:space="preserve"> de la acción penal, que constituye una causa de extinción de la responsabilidad criminal, no obsta a la procedencia de la denominada media </w:t>
      </w:r>
      <w:r w:rsidR="008A322A" w:rsidRPr="00E019A9">
        <w:rPr>
          <w:sz w:val="20"/>
          <w:szCs w:val="20"/>
          <w:lang w:val="es-ES_tradnl"/>
        </w:rPr>
        <w:t xml:space="preserve">prescripción, o gradual, parcial o incompleta, como también se la denomina, que es motivo de atenuación de la pena” y concluyó que “la media prescripción difiere de la total y, entre otras circunstancias, a ella no son aplicables los principios y fundamentos que determinan la imprescriptibilidad de la acción penal persecutoria de los delitos de lesa humanidad  </w:t>
      </w:r>
      <w:r w:rsidR="008A322A" w:rsidRPr="00E019A9">
        <w:rPr>
          <w:sz w:val="20"/>
          <w:szCs w:val="20"/>
          <w:lang w:val="es-ES_tradnl"/>
        </w:rPr>
        <w:sym w:font="Symbol" w:char="F05B"/>
      </w:r>
      <w:r w:rsidR="008A322A" w:rsidRPr="00E019A9">
        <w:rPr>
          <w:sz w:val="20"/>
          <w:szCs w:val="20"/>
          <w:lang w:val="es-ES_tradnl"/>
        </w:rPr>
        <w:t>…</w:t>
      </w:r>
      <w:r w:rsidR="008A322A" w:rsidRPr="00E019A9">
        <w:rPr>
          <w:sz w:val="20"/>
          <w:szCs w:val="20"/>
          <w:lang w:val="es-ES_tradnl"/>
        </w:rPr>
        <w:sym w:font="Symbol" w:char="F05D"/>
      </w:r>
      <w:r w:rsidR="008A322A" w:rsidRPr="00E019A9">
        <w:rPr>
          <w:sz w:val="20"/>
          <w:szCs w:val="20"/>
          <w:lang w:val="es-ES_tradnl"/>
        </w:rPr>
        <w:t xml:space="preserve">  desde que se trata de una motivación dirigida únicamente a disminuir la responsabilidad penal emanada del delito, mismo efecto jurídico que producen las circunstancias atenuantes genéricas establecidas en el </w:t>
      </w:r>
      <w:r w:rsidR="00C266C8" w:rsidRPr="00E019A9">
        <w:rPr>
          <w:sz w:val="20"/>
          <w:szCs w:val="20"/>
          <w:lang w:val="es-ES_tradnl"/>
        </w:rPr>
        <w:t>artículo</w:t>
      </w:r>
      <w:r w:rsidR="008A322A" w:rsidRPr="00E019A9">
        <w:rPr>
          <w:sz w:val="20"/>
          <w:szCs w:val="20"/>
          <w:lang w:val="es-ES_tradnl"/>
        </w:rPr>
        <w:t xml:space="preserve"> 11 del Código Penal”</w:t>
      </w:r>
      <w:r w:rsidR="008A322A" w:rsidRPr="00E019A9">
        <w:rPr>
          <w:rStyle w:val="FootnoteReference"/>
          <w:sz w:val="20"/>
          <w:szCs w:val="20"/>
          <w:lang w:val="es-ES_tradnl"/>
        </w:rPr>
        <w:footnoteReference w:id="159"/>
      </w:r>
      <w:r w:rsidR="00F94E32" w:rsidRPr="00E019A9">
        <w:rPr>
          <w:sz w:val="20"/>
          <w:szCs w:val="20"/>
          <w:lang w:val="es-ES_tradnl"/>
        </w:rPr>
        <w:t xml:space="preserve">. </w:t>
      </w:r>
    </w:p>
    <w:p w14:paraId="0DFC3978" w14:textId="77777777" w:rsidR="00F94E32" w:rsidRPr="00E019A9" w:rsidRDefault="00F94E32" w:rsidP="00F94E32">
      <w:pPr>
        <w:pStyle w:val="ListParagraph"/>
        <w:rPr>
          <w:sz w:val="20"/>
          <w:szCs w:val="20"/>
          <w:lang w:val="es-ES_tradnl"/>
        </w:rPr>
      </w:pPr>
    </w:p>
    <w:p w14:paraId="20356F50" w14:textId="77777777" w:rsidR="00F55C2B" w:rsidRPr="00E019A9" w:rsidRDefault="00F94E32"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 xml:space="preserve">Finalmente, en lo que respecta al momento en que comenzó a correr el plazo de cinco años establecido en el </w:t>
      </w:r>
      <w:r w:rsidR="00C266C8" w:rsidRPr="00E019A9">
        <w:rPr>
          <w:sz w:val="20"/>
          <w:szCs w:val="20"/>
          <w:lang w:val="es-ES_tradnl"/>
        </w:rPr>
        <w:t>artículo</w:t>
      </w:r>
      <w:r w:rsidRPr="00E019A9">
        <w:rPr>
          <w:sz w:val="20"/>
          <w:szCs w:val="20"/>
          <w:lang w:val="es-ES_tradnl"/>
        </w:rPr>
        <w:t xml:space="preserve"> 103 del Código Penal para que resulte aplicable la atenuante de media prescripción, el tribunal entendió que el delito de secuestro del que fue </w:t>
      </w:r>
      <w:r w:rsidR="00C266C8" w:rsidRPr="00E019A9">
        <w:rPr>
          <w:sz w:val="20"/>
          <w:szCs w:val="20"/>
          <w:lang w:val="es-ES_tradnl"/>
        </w:rPr>
        <w:t>víctima</w:t>
      </w:r>
      <w:r w:rsidRPr="00E019A9">
        <w:rPr>
          <w:sz w:val="20"/>
          <w:szCs w:val="20"/>
          <w:lang w:val="es-ES_tradnl"/>
        </w:rPr>
        <w:t xml:space="preserve"> el Sr. García Franco “se cometió el diecinueve de septiembre de mil novecientos setenta y tres consumándose al momento en que lleg</w:t>
      </w:r>
      <w:r w:rsidR="00A402D2" w:rsidRPr="00E019A9">
        <w:rPr>
          <w:sz w:val="20"/>
          <w:szCs w:val="20"/>
          <w:lang w:val="es-ES_tradnl"/>
        </w:rPr>
        <w:t>ó</w:t>
      </w:r>
      <w:r w:rsidRPr="00E019A9">
        <w:rPr>
          <w:sz w:val="20"/>
          <w:szCs w:val="20"/>
          <w:lang w:val="es-ES_tradnl"/>
        </w:rPr>
        <w:t xml:space="preserve"> el día noventa y uno de encierro de la </w:t>
      </w:r>
      <w:r w:rsidR="00C266C8" w:rsidRPr="00E019A9">
        <w:rPr>
          <w:sz w:val="20"/>
          <w:szCs w:val="20"/>
          <w:lang w:val="es-ES_tradnl"/>
        </w:rPr>
        <w:t>víctima</w:t>
      </w:r>
      <w:r w:rsidRPr="00E019A9">
        <w:rPr>
          <w:sz w:val="20"/>
          <w:szCs w:val="20"/>
          <w:lang w:val="es-ES_tradnl"/>
        </w:rPr>
        <w:t xml:space="preserve">, data de la que ha de contarse la prescripción gradual en comento, habiéndose dado inicio a la investigación el catorce de abril del año dos mil” </w:t>
      </w:r>
      <w:r w:rsidRPr="00E019A9">
        <w:rPr>
          <w:rStyle w:val="FootnoteReference"/>
          <w:sz w:val="20"/>
          <w:szCs w:val="20"/>
          <w:lang w:val="es-ES_tradnl"/>
        </w:rPr>
        <w:footnoteReference w:id="160"/>
      </w:r>
    </w:p>
    <w:p w14:paraId="3CFC04D0" w14:textId="77777777" w:rsidR="00F94E32" w:rsidRPr="00E019A9" w:rsidRDefault="00F94E32" w:rsidP="00F94E32">
      <w:pPr>
        <w:pStyle w:val="ListParagraph"/>
        <w:rPr>
          <w:sz w:val="20"/>
          <w:szCs w:val="20"/>
          <w:lang w:val="es-ES_tradnl"/>
        </w:rPr>
      </w:pPr>
    </w:p>
    <w:p w14:paraId="2B51749C" w14:textId="77777777" w:rsidR="00F94E32" w:rsidRPr="00E019A9" w:rsidRDefault="00F94E32"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 xml:space="preserve">Por lo tanto, el tribunal decidió reconocer de oficio </w:t>
      </w:r>
      <w:r w:rsidR="00E6652E" w:rsidRPr="00E019A9">
        <w:rPr>
          <w:sz w:val="20"/>
          <w:szCs w:val="20"/>
          <w:lang w:val="es-ES_tradnl"/>
        </w:rPr>
        <w:t xml:space="preserve">que todos los inculpados resultaban beneficiados por las circunstancias atenuantes de irreprochable conducta anterior y media prescripción y fijó la pena impuesta a cada uno de ellos en 4 años de presidio mayor en su grado máximo, accesorias de inhabilitación absoluta perpetua para derechos políticos e inhabilitación absoluta para cargos y oficios públicos durante el tiempo de la condena, </w:t>
      </w:r>
      <w:r w:rsidR="00C266C8" w:rsidRPr="00E019A9">
        <w:rPr>
          <w:sz w:val="20"/>
          <w:szCs w:val="20"/>
          <w:lang w:val="es-ES_tradnl"/>
        </w:rPr>
        <w:t>más</w:t>
      </w:r>
      <w:r w:rsidR="00E6652E" w:rsidRPr="00E019A9">
        <w:rPr>
          <w:sz w:val="20"/>
          <w:szCs w:val="20"/>
          <w:lang w:val="es-ES_tradnl"/>
        </w:rPr>
        <w:t xml:space="preserve"> las costas de la causa. </w:t>
      </w:r>
      <w:r w:rsidR="00A402D2" w:rsidRPr="00E019A9">
        <w:rPr>
          <w:sz w:val="20"/>
          <w:szCs w:val="20"/>
          <w:lang w:val="es-ES_tradnl"/>
        </w:rPr>
        <w:t>Asimismo, y</w:t>
      </w:r>
      <w:r w:rsidR="00E6652E" w:rsidRPr="00E019A9">
        <w:rPr>
          <w:sz w:val="20"/>
          <w:szCs w:val="20"/>
          <w:lang w:val="es-ES_tradnl"/>
        </w:rPr>
        <w:t xml:space="preserve"> en virtud de haber cumplido con los requisitos del </w:t>
      </w:r>
      <w:r w:rsidR="00C266C8" w:rsidRPr="00E019A9">
        <w:rPr>
          <w:sz w:val="20"/>
          <w:szCs w:val="20"/>
          <w:lang w:val="es-ES_tradnl"/>
        </w:rPr>
        <w:t>artículo</w:t>
      </w:r>
      <w:r w:rsidR="00E6652E" w:rsidRPr="00E019A9">
        <w:rPr>
          <w:sz w:val="20"/>
          <w:szCs w:val="20"/>
          <w:lang w:val="es-ES_tradnl"/>
        </w:rPr>
        <w:t xml:space="preserve"> 15 de la ley 18.216, el tribunal decidió concederles a todos los condenados la medida alternativa de libertad vigilada</w:t>
      </w:r>
      <w:r w:rsidR="00E6652E" w:rsidRPr="00E019A9">
        <w:rPr>
          <w:rStyle w:val="FootnoteReference"/>
          <w:sz w:val="20"/>
          <w:szCs w:val="20"/>
          <w:lang w:val="es-ES_tradnl"/>
        </w:rPr>
        <w:footnoteReference w:id="161"/>
      </w:r>
      <w:r w:rsidR="00E6652E" w:rsidRPr="00E019A9">
        <w:rPr>
          <w:sz w:val="20"/>
          <w:szCs w:val="20"/>
          <w:lang w:val="es-ES_tradnl"/>
        </w:rPr>
        <w:t xml:space="preserve">. </w:t>
      </w:r>
    </w:p>
    <w:p w14:paraId="6EF33E5D" w14:textId="77777777" w:rsidR="006C1B06" w:rsidRPr="00E019A9" w:rsidRDefault="006C1B06" w:rsidP="006C1B06">
      <w:pPr>
        <w:jc w:val="both"/>
        <w:rPr>
          <w:rFonts w:ascii="Cambria" w:hAnsi="Cambria"/>
          <w:sz w:val="20"/>
          <w:szCs w:val="20"/>
          <w:lang w:val="es-ES_tradnl" w:eastAsia="es-ES"/>
        </w:rPr>
      </w:pPr>
    </w:p>
    <w:p w14:paraId="04AC70BF" w14:textId="77777777" w:rsidR="00A647C7" w:rsidRPr="00E019A9" w:rsidRDefault="006C1B06" w:rsidP="00BB60A6">
      <w:pPr>
        <w:pStyle w:val="Heading3"/>
        <w:numPr>
          <w:ilvl w:val="1"/>
          <w:numId w:val="59"/>
        </w:numPr>
        <w:tabs>
          <w:tab w:val="left" w:pos="567"/>
          <w:tab w:val="left" w:pos="1134"/>
        </w:tabs>
        <w:ind w:left="567" w:firstLine="0"/>
        <w:jc w:val="both"/>
      </w:pPr>
      <w:r w:rsidRPr="00E019A9">
        <w:t xml:space="preserve">Respecto de la petición </w:t>
      </w:r>
      <w:r w:rsidR="00885C58" w:rsidRPr="00E019A9">
        <w:t>presentada en representación de María Arriagada Jerez, Jorge Aillón Lara, y sus respectivos familiares y registrada inicialmente por la Comisión bajo el numero P 675-11.</w:t>
      </w:r>
    </w:p>
    <w:p w14:paraId="666E05B5" w14:textId="77777777" w:rsidR="006C1B06" w:rsidRPr="00E019A9" w:rsidRDefault="006C1B06" w:rsidP="00F0254C">
      <w:pPr>
        <w:jc w:val="both"/>
        <w:rPr>
          <w:b/>
          <w:sz w:val="20"/>
          <w:szCs w:val="20"/>
          <w:lang w:val="es-ES_tradnl" w:eastAsia="es-ES"/>
        </w:rPr>
      </w:pPr>
    </w:p>
    <w:p w14:paraId="25DDE50B" w14:textId="77777777" w:rsidR="00F16288" w:rsidRPr="00E019A9" w:rsidRDefault="008C197F" w:rsidP="00BB60A6">
      <w:pPr>
        <w:pStyle w:val="ListParagraph"/>
        <w:numPr>
          <w:ilvl w:val="0"/>
          <w:numId w:val="58"/>
        </w:numPr>
        <w:tabs>
          <w:tab w:val="left" w:pos="567"/>
        </w:tabs>
        <w:ind w:left="0" w:firstLine="0"/>
        <w:jc w:val="both"/>
        <w:rPr>
          <w:sz w:val="20"/>
          <w:szCs w:val="20"/>
          <w:lang w:val="es-ES"/>
        </w:rPr>
      </w:pPr>
      <w:r w:rsidRPr="00E019A9">
        <w:rPr>
          <w:sz w:val="20"/>
          <w:szCs w:val="20"/>
          <w:lang w:val="es-ES"/>
        </w:rPr>
        <w:t xml:space="preserve">De acuerdo con la información en poder de la Comisión se encuentra acreditado que el día 27 de septiembre de 1973 personal militar que revistaba en el Regimiento La Concepción </w:t>
      </w:r>
      <w:r w:rsidR="00F16288" w:rsidRPr="00E019A9">
        <w:rPr>
          <w:sz w:val="20"/>
          <w:szCs w:val="20"/>
          <w:lang w:val="es-ES"/>
        </w:rPr>
        <w:t xml:space="preserve">basado en la ciudad de </w:t>
      </w:r>
      <w:r w:rsidRPr="00E019A9">
        <w:rPr>
          <w:sz w:val="20"/>
          <w:szCs w:val="20"/>
          <w:lang w:val="es-ES"/>
        </w:rPr>
        <w:t xml:space="preserve">Lautaro privó de su libertad al Sr. Jorge Aillón Lara </w:t>
      </w:r>
      <w:r w:rsidR="00F16288" w:rsidRPr="00E019A9">
        <w:rPr>
          <w:sz w:val="20"/>
          <w:szCs w:val="20"/>
          <w:lang w:val="es-ES"/>
        </w:rPr>
        <w:t xml:space="preserve">en la estación de ferrocarriles de la Comuna de Lonquimay, Región de la Araucanía. El mismo día, la Sra. María Arriagada Jerez también fue arrestada en su lugar de trabajo en la escuela de Chilpaco por efectivos del Regimiento La Concepción. </w:t>
      </w:r>
      <w:r w:rsidR="00042703" w:rsidRPr="00E019A9">
        <w:rPr>
          <w:sz w:val="20"/>
          <w:szCs w:val="20"/>
          <w:lang w:val="es-ES"/>
        </w:rPr>
        <w:t xml:space="preserve">Ambas </w:t>
      </w:r>
      <w:r w:rsidR="00A402D2" w:rsidRPr="00E019A9">
        <w:rPr>
          <w:sz w:val="20"/>
          <w:szCs w:val="20"/>
          <w:lang w:val="es-ES"/>
        </w:rPr>
        <w:t xml:space="preserve">presuntas </w:t>
      </w:r>
      <w:r w:rsidR="00042703" w:rsidRPr="00E019A9">
        <w:rPr>
          <w:sz w:val="20"/>
          <w:szCs w:val="20"/>
          <w:lang w:val="es-ES"/>
        </w:rPr>
        <w:t>v</w:t>
      </w:r>
      <w:r w:rsidR="00A402D2" w:rsidRPr="00E019A9">
        <w:rPr>
          <w:sz w:val="20"/>
          <w:szCs w:val="20"/>
          <w:lang w:val="es-ES"/>
        </w:rPr>
        <w:t>í</w:t>
      </w:r>
      <w:r w:rsidR="00042703" w:rsidRPr="00E019A9">
        <w:rPr>
          <w:sz w:val="20"/>
          <w:szCs w:val="20"/>
          <w:lang w:val="es-ES"/>
        </w:rPr>
        <w:t xml:space="preserve">ctimas eran militantes del Partido Comunista de Chile. </w:t>
      </w:r>
    </w:p>
    <w:p w14:paraId="4CA8AD3D" w14:textId="77777777" w:rsidR="00F16288" w:rsidRPr="00E019A9" w:rsidRDefault="00F16288" w:rsidP="00702036">
      <w:pPr>
        <w:pStyle w:val="ListParagraph"/>
        <w:tabs>
          <w:tab w:val="left" w:pos="567"/>
        </w:tabs>
        <w:ind w:left="0"/>
        <w:jc w:val="both"/>
        <w:rPr>
          <w:sz w:val="20"/>
          <w:szCs w:val="20"/>
          <w:lang w:val="es-ES"/>
        </w:rPr>
      </w:pPr>
    </w:p>
    <w:p w14:paraId="7E0AD99E" w14:textId="77777777" w:rsidR="00042703" w:rsidRPr="00E019A9" w:rsidRDefault="00F16288" w:rsidP="00BB60A6">
      <w:pPr>
        <w:pStyle w:val="ListParagraph"/>
        <w:numPr>
          <w:ilvl w:val="0"/>
          <w:numId w:val="58"/>
        </w:numPr>
        <w:tabs>
          <w:tab w:val="left" w:pos="567"/>
        </w:tabs>
        <w:ind w:left="0" w:firstLine="0"/>
        <w:jc w:val="both"/>
        <w:rPr>
          <w:sz w:val="20"/>
          <w:szCs w:val="20"/>
          <w:lang w:val="es-ES"/>
        </w:rPr>
      </w:pPr>
      <w:r w:rsidRPr="00E019A9">
        <w:rPr>
          <w:sz w:val="20"/>
          <w:szCs w:val="20"/>
          <w:lang w:val="es-ES"/>
        </w:rPr>
        <w:t>Se encuentra asimismo comprobado que fueron alojadas en un primer momento en la Comis</w:t>
      </w:r>
      <w:r w:rsidR="00734909">
        <w:rPr>
          <w:sz w:val="20"/>
          <w:szCs w:val="20"/>
          <w:lang w:val="es-ES"/>
        </w:rPr>
        <w:t>aria de Carabineros de Curacautí</w:t>
      </w:r>
      <w:r w:rsidRPr="00E019A9">
        <w:rPr>
          <w:sz w:val="20"/>
          <w:szCs w:val="20"/>
          <w:lang w:val="es-ES"/>
        </w:rPr>
        <w:t>n y que,</w:t>
      </w:r>
      <w:r w:rsidR="00042703" w:rsidRPr="00E019A9">
        <w:rPr>
          <w:sz w:val="20"/>
          <w:szCs w:val="20"/>
          <w:lang w:val="es-ES"/>
        </w:rPr>
        <w:t xml:space="preserve"> </w:t>
      </w:r>
      <w:r w:rsidRPr="00E019A9">
        <w:rPr>
          <w:sz w:val="20"/>
          <w:szCs w:val="20"/>
          <w:lang w:val="es-ES"/>
        </w:rPr>
        <w:t>a</w:t>
      </w:r>
      <w:r w:rsidR="00042703" w:rsidRPr="00E019A9">
        <w:rPr>
          <w:sz w:val="20"/>
          <w:szCs w:val="20"/>
          <w:lang w:val="es-ES"/>
        </w:rPr>
        <w:t xml:space="preserve"> </w:t>
      </w:r>
      <w:r w:rsidRPr="00E019A9">
        <w:rPr>
          <w:sz w:val="20"/>
          <w:szCs w:val="20"/>
          <w:lang w:val="es-ES"/>
        </w:rPr>
        <w:t xml:space="preserve">principios de octubre de 1973, fueron trasladadas, junto con otras personas, por vía terrestre hasta </w:t>
      </w:r>
      <w:r w:rsidR="00042703" w:rsidRPr="00E019A9">
        <w:rPr>
          <w:sz w:val="20"/>
          <w:szCs w:val="20"/>
          <w:lang w:val="es-ES"/>
        </w:rPr>
        <w:t>la Base Aérea Maquehue, recinto ubicado en la ciudad de Temuco donde operaba el Grupo Nro. 3 de Helicópteros. En dicho sitio también estaba basada la Sección Segunda de Informaciones e Inteligencia compuesta por una serie de oficiales y suboficiales de la Fuerza Aérea de Chile “quienes se encargaban de detener e interrogar a todas aquellas personas sospechosas de tener ideas contrarias al régimen</w:t>
      </w:r>
      <w:r w:rsidR="00105BFF" w:rsidRPr="00E019A9">
        <w:rPr>
          <w:sz w:val="20"/>
          <w:szCs w:val="20"/>
          <w:lang w:val="es-ES"/>
        </w:rPr>
        <w:t xml:space="preserve"> </w:t>
      </w:r>
      <w:r w:rsidR="00042703" w:rsidRPr="00E019A9">
        <w:rPr>
          <w:sz w:val="20"/>
          <w:szCs w:val="20"/>
          <w:lang w:val="es-ES"/>
        </w:rPr>
        <w:t>imperante, las que eran mantenidas en dependencias especialmente habilitadas al interior de la base aérea”</w:t>
      </w:r>
      <w:r w:rsidR="00042703" w:rsidRPr="00E019A9">
        <w:rPr>
          <w:rStyle w:val="FootnoteReference"/>
          <w:sz w:val="20"/>
          <w:szCs w:val="20"/>
          <w:lang w:val="es-ES"/>
        </w:rPr>
        <w:footnoteReference w:id="162"/>
      </w:r>
      <w:r w:rsidR="001C51D7" w:rsidRPr="00E019A9">
        <w:rPr>
          <w:sz w:val="20"/>
          <w:szCs w:val="20"/>
          <w:lang w:val="es-ES"/>
        </w:rPr>
        <w:t xml:space="preserve">. Las </w:t>
      </w:r>
      <w:r w:rsidR="00C266C8" w:rsidRPr="00E019A9">
        <w:rPr>
          <w:sz w:val="20"/>
          <w:szCs w:val="20"/>
          <w:lang w:val="es-ES"/>
        </w:rPr>
        <w:t>víctimas</w:t>
      </w:r>
      <w:r w:rsidR="001C51D7" w:rsidRPr="00E019A9">
        <w:rPr>
          <w:sz w:val="20"/>
          <w:szCs w:val="20"/>
          <w:lang w:val="es-ES"/>
        </w:rPr>
        <w:t xml:space="preserve"> fueron vistas por </w:t>
      </w:r>
      <w:r w:rsidR="00C266C8" w:rsidRPr="00E019A9">
        <w:rPr>
          <w:sz w:val="20"/>
          <w:szCs w:val="20"/>
          <w:lang w:val="es-ES"/>
        </w:rPr>
        <w:t>última</w:t>
      </w:r>
      <w:r w:rsidR="001C51D7" w:rsidRPr="00E019A9">
        <w:rPr>
          <w:sz w:val="20"/>
          <w:szCs w:val="20"/>
          <w:lang w:val="es-ES"/>
        </w:rPr>
        <w:t xml:space="preserve"> vez en este recinto militar y permanecen a la fecha desaparecidas.  </w:t>
      </w:r>
    </w:p>
    <w:p w14:paraId="014B8826" w14:textId="77777777" w:rsidR="00042703" w:rsidRPr="00E019A9" w:rsidRDefault="00042703" w:rsidP="00702036">
      <w:pPr>
        <w:pStyle w:val="ListParagraph"/>
        <w:tabs>
          <w:tab w:val="left" w:pos="567"/>
        </w:tabs>
        <w:jc w:val="both"/>
        <w:rPr>
          <w:sz w:val="20"/>
          <w:szCs w:val="20"/>
          <w:lang w:val="es-ES"/>
        </w:rPr>
      </w:pPr>
    </w:p>
    <w:p w14:paraId="49B2D61F" w14:textId="77777777" w:rsidR="0015547E" w:rsidRPr="00E019A9" w:rsidRDefault="001C51D7" w:rsidP="00BB60A6">
      <w:pPr>
        <w:pStyle w:val="ListParagraph"/>
        <w:numPr>
          <w:ilvl w:val="0"/>
          <w:numId w:val="58"/>
        </w:numPr>
        <w:tabs>
          <w:tab w:val="left" w:pos="567"/>
        </w:tabs>
        <w:ind w:left="0" w:firstLine="0"/>
        <w:jc w:val="both"/>
        <w:rPr>
          <w:sz w:val="20"/>
          <w:szCs w:val="20"/>
          <w:lang w:val="es-ES"/>
        </w:rPr>
      </w:pPr>
      <w:r w:rsidRPr="00E019A9">
        <w:rPr>
          <w:sz w:val="20"/>
          <w:szCs w:val="20"/>
          <w:lang w:val="es-ES"/>
        </w:rPr>
        <w:t xml:space="preserve">El 30 de marzo de 2008 el </w:t>
      </w:r>
      <w:r w:rsidR="00B55F4F" w:rsidRPr="00E019A9">
        <w:rPr>
          <w:sz w:val="20"/>
          <w:szCs w:val="20"/>
          <w:lang w:val="es-ES"/>
        </w:rPr>
        <w:t xml:space="preserve">Ministro en Visita Extraordinaria de la Corte de Apelaciones de Temuco, Sr. Fernando Carreño Ortega dictó sentencia condenando a los ex oficiales y suboficiales de la Fuerza </w:t>
      </w:r>
      <w:r w:rsidR="0015547E" w:rsidRPr="00E019A9">
        <w:rPr>
          <w:sz w:val="20"/>
          <w:szCs w:val="20"/>
          <w:lang w:val="es-ES"/>
        </w:rPr>
        <w:t>Aérea</w:t>
      </w:r>
      <w:r w:rsidR="00B55F4F" w:rsidRPr="00E019A9">
        <w:rPr>
          <w:sz w:val="20"/>
          <w:szCs w:val="20"/>
          <w:lang w:val="es-ES"/>
        </w:rPr>
        <w:t xml:space="preserve"> de </w:t>
      </w:r>
      <w:r w:rsidR="00B55F4F" w:rsidRPr="00E019A9">
        <w:rPr>
          <w:sz w:val="20"/>
          <w:szCs w:val="20"/>
          <w:lang w:val="es-ES"/>
        </w:rPr>
        <w:lastRenderedPageBreak/>
        <w:t>Chile Leonardo Reyes Herrera, Luis Alberto Soto Pinto, Heriberto Pereira Rojas, Jorge Eduardo Soto Herrera, Luis Osmán Yáñez Silva, Jorge Alirio Valdebenito Isler y Enrique Alberto Rebolledo Sotelo a la pena de 8 años de presidio mayor en su grado mínimo, mas accesorias, por su responsabilidad penal en carácter de co-autores del delito de secuestro calificado en perjuicio de María Arriagada Jerez y Jorge Aillón Lara</w:t>
      </w:r>
      <w:r w:rsidR="00B55F4F" w:rsidRPr="00E019A9">
        <w:rPr>
          <w:rStyle w:val="FootnoteReference"/>
          <w:sz w:val="20"/>
          <w:szCs w:val="20"/>
          <w:lang w:val="es-ES"/>
        </w:rPr>
        <w:footnoteReference w:id="163"/>
      </w:r>
      <w:r w:rsidR="00B55F4F" w:rsidRPr="00E019A9">
        <w:rPr>
          <w:sz w:val="20"/>
          <w:szCs w:val="20"/>
          <w:lang w:val="es-ES"/>
        </w:rPr>
        <w:t>. El magistrado rechazó la pretensión de las defensas de acogerse a la amnistía dispuesta</w:t>
      </w:r>
      <w:r w:rsidR="00557A31" w:rsidRPr="00E019A9">
        <w:rPr>
          <w:sz w:val="20"/>
          <w:szCs w:val="20"/>
          <w:lang w:val="es-ES"/>
        </w:rPr>
        <w:t xml:space="preserve"> </w:t>
      </w:r>
      <w:r w:rsidR="00B55F4F" w:rsidRPr="00E019A9">
        <w:rPr>
          <w:sz w:val="20"/>
          <w:szCs w:val="20"/>
          <w:lang w:val="es-ES"/>
        </w:rPr>
        <w:t xml:space="preserve">por el Decreto Ley 2.191 y que se declare la </w:t>
      </w:r>
      <w:r w:rsidR="0015547E" w:rsidRPr="00E019A9">
        <w:rPr>
          <w:sz w:val="20"/>
          <w:szCs w:val="20"/>
          <w:lang w:val="es-ES"/>
        </w:rPr>
        <w:t>prescripción</w:t>
      </w:r>
      <w:r w:rsidR="00B55F4F" w:rsidRPr="00E019A9">
        <w:rPr>
          <w:sz w:val="20"/>
          <w:szCs w:val="20"/>
          <w:lang w:val="es-ES"/>
        </w:rPr>
        <w:t xml:space="preserve"> de la acción penal o se aplique la media </w:t>
      </w:r>
      <w:r w:rsidR="0015547E" w:rsidRPr="00E019A9">
        <w:rPr>
          <w:sz w:val="20"/>
          <w:szCs w:val="20"/>
          <w:lang w:val="es-ES"/>
        </w:rPr>
        <w:t>prescripción</w:t>
      </w:r>
      <w:r w:rsidR="00B55F4F" w:rsidRPr="00E019A9">
        <w:rPr>
          <w:sz w:val="20"/>
          <w:szCs w:val="20"/>
          <w:lang w:val="es-ES"/>
        </w:rPr>
        <w:t xml:space="preserve"> consagrada en el art 103 del </w:t>
      </w:r>
      <w:r w:rsidR="0015547E" w:rsidRPr="00E019A9">
        <w:rPr>
          <w:sz w:val="20"/>
          <w:szCs w:val="20"/>
          <w:lang w:val="es-ES"/>
        </w:rPr>
        <w:t>Código</w:t>
      </w:r>
      <w:r w:rsidR="00B55F4F" w:rsidRPr="00E019A9">
        <w:rPr>
          <w:sz w:val="20"/>
          <w:szCs w:val="20"/>
          <w:lang w:val="es-ES"/>
        </w:rPr>
        <w:t xml:space="preserve"> Penal. </w:t>
      </w:r>
      <w:r w:rsidR="0015547E" w:rsidRPr="00E019A9">
        <w:rPr>
          <w:sz w:val="20"/>
          <w:szCs w:val="20"/>
          <w:lang w:val="es-ES"/>
        </w:rPr>
        <w:t>Finalmente, el juez consider</w:t>
      </w:r>
      <w:r w:rsidR="00557A31" w:rsidRPr="00E019A9">
        <w:rPr>
          <w:sz w:val="20"/>
          <w:szCs w:val="20"/>
          <w:lang w:val="es-ES"/>
        </w:rPr>
        <w:t>ó</w:t>
      </w:r>
      <w:r w:rsidR="0015547E" w:rsidRPr="00E019A9">
        <w:rPr>
          <w:sz w:val="20"/>
          <w:szCs w:val="20"/>
          <w:lang w:val="es-ES"/>
        </w:rPr>
        <w:t xml:space="preserve"> que para todos los sentenciados resultaba aplicable la circunstancia atenuante de irreprochable conducta anterior (art 11.6 Código Penal)</w:t>
      </w:r>
    </w:p>
    <w:p w14:paraId="6CCD4591" w14:textId="77777777" w:rsidR="0015547E" w:rsidRPr="00E019A9" w:rsidRDefault="0015547E" w:rsidP="00955A6D">
      <w:pPr>
        <w:pStyle w:val="ListParagraph"/>
        <w:tabs>
          <w:tab w:val="left" w:pos="567"/>
        </w:tabs>
        <w:jc w:val="both"/>
        <w:rPr>
          <w:sz w:val="20"/>
          <w:szCs w:val="20"/>
          <w:lang w:val="es-ES"/>
        </w:rPr>
      </w:pPr>
    </w:p>
    <w:p w14:paraId="19F2BCF8" w14:textId="77777777" w:rsidR="008C197F" w:rsidRPr="00E019A9" w:rsidRDefault="0015547E" w:rsidP="00BB60A6">
      <w:pPr>
        <w:pStyle w:val="ListParagraph"/>
        <w:numPr>
          <w:ilvl w:val="0"/>
          <w:numId w:val="58"/>
        </w:numPr>
        <w:tabs>
          <w:tab w:val="left" w:pos="567"/>
        </w:tabs>
        <w:ind w:left="0" w:firstLine="0"/>
        <w:jc w:val="both"/>
        <w:rPr>
          <w:sz w:val="20"/>
          <w:szCs w:val="20"/>
          <w:lang w:val="es-ES"/>
        </w:rPr>
      </w:pPr>
      <w:r w:rsidRPr="00E019A9">
        <w:rPr>
          <w:sz w:val="20"/>
          <w:szCs w:val="20"/>
          <w:lang w:val="es-ES"/>
        </w:rPr>
        <w:t>El 19 de agosto de 2008 la Segunda Sala de la Corte de Apelaciones de Temuco rechazó los recursos de apelación interpuestos por las defensas y confirmó la sentencia condenatoria de primera instancia</w:t>
      </w:r>
      <w:r w:rsidR="00F0254C" w:rsidRPr="00E019A9">
        <w:rPr>
          <w:rStyle w:val="FootnoteReference"/>
          <w:sz w:val="20"/>
          <w:szCs w:val="20"/>
          <w:lang w:val="es-ES"/>
        </w:rPr>
        <w:footnoteReference w:id="164"/>
      </w:r>
      <w:r w:rsidRPr="00E019A9">
        <w:rPr>
          <w:sz w:val="20"/>
          <w:szCs w:val="20"/>
          <w:lang w:val="es-ES"/>
        </w:rPr>
        <w:t xml:space="preserve">. </w:t>
      </w:r>
    </w:p>
    <w:p w14:paraId="10484226" w14:textId="77777777" w:rsidR="00F0254C" w:rsidRPr="00E019A9" w:rsidRDefault="00F0254C" w:rsidP="00955A6D">
      <w:pPr>
        <w:pStyle w:val="ListParagraph"/>
        <w:tabs>
          <w:tab w:val="left" w:pos="567"/>
        </w:tabs>
        <w:rPr>
          <w:sz w:val="20"/>
          <w:szCs w:val="20"/>
          <w:lang w:val="es-ES"/>
        </w:rPr>
      </w:pPr>
    </w:p>
    <w:p w14:paraId="3F1E6D4B" w14:textId="77777777" w:rsidR="00F0254C" w:rsidRPr="00E019A9" w:rsidRDefault="00F0254C" w:rsidP="00BB60A6">
      <w:pPr>
        <w:pStyle w:val="ListParagraph"/>
        <w:numPr>
          <w:ilvl w:val="0"/>
          <w:numId w:val="58"/>
        </w:numPr>
        <w:tabs>
          <w:tab w:val="left" w:pos="567"/>
        </w:tabs>
        <w:ind w:left="0" w:firstLine="0"/>
        <w:jc w:val="both"/>
        <w:rPr>
          <w:sz w:val="20"/>
          <w:szCs w:val="20"/>
          <w:lang w:val="es-ES"/>
        </w:rPr>
      </w:pPr>
      <w:r w:rsidRPr="00E019A9">
        <w:rPr>
          <w:sz w:val="20"/>
          <w:szCs w:val="20"/>
          <w:lang w:val="es-ES"/>
        </w:rPr>
        <w:t xml:space="preserve">Ante estas decisiones, las defensas de los condenados interpusieron sendos recursos de casación. El 23 de diciembre de 2009 la Sala Segunda de la Corte Suprema de Justicia </w:t>
      </w:r>
      <w:r w:rsidR="00702036" w:rsidRPr="00E019A9">
        <w:rPr>
          <w:sz w:val="20"/>
          <w:szCs w:val="20"/>
          <w:lang w:val="es-ES"/>
        </w:rPr>
        <w:t>aprobó</w:t>
      </w:r>
      <w:r w:rsidRPr="00E019A9">
        <w:rPr>
          <w:sz w:val="20"/>
          <w:szCs w:val="20"/>
          <w:lang w:val="es-ES"/>
        </w:rPr>
        <w:t xml:space="preserve"> una </w:t>
      </w:r>
      <w:r w:rsidR="00702036" w:rsidRPr="00E019A9">
        <w:rPr>
          <w:sz w:val="20"/>
          <w:szCs w:val="20"/>
          <w:lang w:val="es-ES"/>
        </w:rPr>
        <w:t>resolución</w:t>
      </w:r>
      <w:r w:rsidRPr="00E019A9">
        <w:rPr>
          <w:sz w:val="20"/>
          <w:szCs w:val="20"/>
          <w:lang w:val="es-ES"/>
        </w:rPr>
        <w:t xml:space="preserve"> a través de la cual invalidó de oficio </w:t>
      </w:r>
      <w:r w:rsidR="00A66C58" w:rsidRPr="00E019A9">
        <w:rPr>
          <w:sz w:val="20"/>
          <w:szCs w:val="20"/>
          <w:lang w:val="es-ES"/>
        </w:rPr>
        <w:t xml:space="preserve">la </w:t>
      </w:r>
      <w:r w:rsidR="00702036" w:rsidRPr="00E019A9">
        <w:rPr>
          <w:sz w:val="20"/>
          <w:szCs w:val="20"/>
          <w:lang w:val="es-ES"/>
        </w:rPr>
        <w:t>sentencia</w:t>
      </w:r>
      <w:r w:rsidR="00A66C58" w:rsidRPr="00E019A9">
        <w:rPr>
          <w:sz w:val="20"/>
          <w:szCs w:val="20"/>
          <w:lang w:val="es-ES"/>
        </w:rPr>
        <w:t xml:space="preserve"> de segunda instancia </w:t>
      </w:r>
      <w:r w:rsidR="00702036" w:rsidRPr="00E019A9">
        <w:rPr>
          <w:sz w:val="20"/>
          <w:szCs w:val="20"/>
          <w:lang w:val="es-ES"/>
        </w:rPr>
        <w:t>y dict</w:t>
      </w:r>
      <w:r w:rsidR="00E653BF" w:rsidRPr="00E019A9">
        <w:rPr>
          <w:sz w:val="20"/>
          <w:szCs w:val="20"/>
          <w:lang w:val="es-ES"/>
        </w:rPr>
        <w:t>ó</w:t>
      </w:r>
      <w:r w:rsidR="00702036" w:rsidRPr="00E019A9">
        <w:rPr>
          <w:sz w:val="20"/>
          <w:szCs w:val="20"/>
          <w:lang w:val="es-ES"/>
        </w:rPr>
        <w:t xml:space="preserve"> una nueva en su reemplazo</w:t>
      </w:r>
      <w:r w:rsidR="00C631B8" w:rsidRPr="00E019A9">
        <w:rPr>
          <w:sz w:val="20"/>
          <w:szCs w:val="20"/>
          <w:lang w:val="es-ES"/>
        </w:rPr>
        <w:t>.</w:t>
      </w:r>
      <w:r w:rsidR="00702036" w:rsidRPr="00E019A9">
        <w:rPr>
          <w:sz w:val="20"/>
          <w:szCs w:val="20"/>
          <w:lang w:val="es-ES"/>
        </w:rPr>
        <w:t xml:space="preserve"> </w:t>
      </w:r>
      <w:r w:rsidR="00E653BF" w:rsidRPr="00E019A9">
        <w:rPr>
          <w:sz w:val="20"/>
          <w:szCs w:val="20"/>
          <w:lang w:val="es-ES"/>
        </w:rPr>
        <w:t xml:space="preserve">Para decidir de este modo, el tribunal </w:t>
      </w:r>
      <w:r w:rsidR="00C631B8" w:rsidRPr="00E019A9">
        <w:rPr>
          <w:sz w:val="20"/>
          <w:szCs w:val="20"/>
          <w:lang w:val="es-ES"/>
        </w:rPr>
        <w:t>manifestó</w:t>
      </w:r>
      <w:r w:rsidR="008126DA" w:rsidRPr="00E019A9">
        <w:rPr>
          <w:sz w:val="20"/>
          <w:szCs w:val="20"/>
          <w:lang w:val="es-ES"/>
        </w:rPr>
        <w:t xml:space="preserve"> que las resoluciones recurridas rechazaron la pretensión de las defensas de que se aplique la circunstancia atenuante de la media prescripción sin expresar los fundamentos de hecho y derecho de dicha decisión. Esta omisión, a criterio de la Corte Suprema, </w:t>
      </w:r>
      <w:r w:rsidR="00C631B8" w:rsidRPr="00E019A9">
        <w:rPr>
          <w:sz w:val="20"/>
          <w:szCs w:val="20"/>
          <w:lang w:val="es-ES"/>
        </w:rPr>
        <w:t>representa una causal de nulidad de la sentencia y conduce a su  invalidación de oficio</w:t>
      </w:r>
      <w:r w:rsidR="00C631B8" w:rsidRPr="00E019A9">
        <w:rPr>
          <w:rStyle w:val="FootnoteReference"/>
          <w:sz w:val="20"/>
          <w:szCs w:val="20"/>
          <w:lang w:val="es-ES"/>
        </w:rPr>
        <w:footnoteReference w:id="165"/>
      </w:r>
      <w:r w:rsidR="00C631B8" w:rsidRPr="00E019A9">
        <w:rPr>
          <w:sz w:val="20"/>
          <w:szCs w:val="20"/>
          <w:lang w:val="es-ES"/>
        </w:rPr>
        <w:t>.</w:t>
      </w:r>
    </w:p>
    <w:p w14:paraId="0D53A6A6" w14:textId="77777777" w:rsidR="00C631B8" w:rsidRPr="00E019A9" w:rsidRDefault="00C631B8" w:rsidP="00955A6D">
      <w:pPr>
        <w:pStyle w:val="ListParagraph"/>
        <w:tabs>
          <w:tab w:val="left" w:pos="567"/>
        </w:tabs>
        <w:rPr>
          <w:sz w:val="20"/>
          <w:szCs w:val="20"/>
          <w:lang w:val="es-ES"/>
        </w:rPr>
      </w:pPr>
    </w:p>
    <w:p w14:paraId="5D2CDDF5" w14:textId="77777777" w:rsidR="00C631B8" w:rsidRPr="00E019A9" w:rsidRDefault="00C631B8" w:rsidP="00BB60A6">
      <w:pPr>
        <w:pStyle w:val="ListParagraph"/>
        <w:numPr>
          <w:ilvl w:val="0"/>
          <w:numId w:val="58"/>
        </w:numPr>
        <w:tabs>
          <w:tab w:val="left" w:pos="567"/>
        </w:tabs>
        <w:ind w:left="0" w:firstLine="0"/>
        <w:jc w:val="both"/>
        <w:rPr>
          <w:sz w:val="20"/>
          <w:szCs w:val="20"/>
          <w:lang w:val="es-ES"/>
        </w:rPr>
      </w:pPr>
      <w:r w:rsidRPr="00E019A9">
        <w:rPr>
          <w:sz w:val="20"/>
          <w:szCs w:val="20"/>
          <w:lang w:val="es-ES"/>
        </w:rPr>
        <w:t>En su sentencia de reemplazo, la Corte Suprema de Justicia decidió en primer término reproducir sin modificaciones el relato de los hechos considerados como probados por los tribunales de primera y segunda instancia</w:t>
      </w:r>
      <w:r w:rsidR="009A7BF3" w:rsidRPr="00E019A9">
        <w:rPr>
          <w:sz w:val="20"/>
          <w:szCs w:val="20"/>
          <w:lang w:val="es-ES"/>
        </w:rPr>
        <w:t xml:space="preserve"> como </w:t>
      </w:r>
      <w:r w:rsidR="00B30371" w:rsidRPr="00E019A9">
        <w:rPr>
          <w:sz w:val="20"/>
          <w:szCs w:val="20"/>
          <w:lang w:val="es-ES"/>
        </w:rPr>
        <w:t>así</w:t>
      </w:r>
      <w:r w:rsidR="009A7BF3" w:rsidRPr="00E019A9">
        <w:rPr>
          <w:sz w:val="20"/>
          <w:szCs w:val="20"/>
          <w:lang w:val="es-ES"/>
        </w:rPr>
        <w:t xml:space="preserve"> </w:t>
      </w:r>
      <w:r w:rsidR="00B30371" w:rsidRPr="00E019A9">
        <w:rPr>
          <w:sz w:val="20"/>
          <w:szCs w:val="20"/>
          <w:lang w:val="es-ES"/>
        </w:rPr>
        <w:t>también</w:t>
      </w:r>
      <w:r w:rsidR="009A7BF3" w:rsidRPr="00E019A9">
        <w:rPr>
          <w:sz w:val="20"/>
          <w:szCs w:val="20"/>
          <w:lang w:val="es-ES"/>
        </w:rPr>
        <w:t xml:space="preserve"> el grado de participación de cada uno de los condenados</w:t>
      </w:r>
      <w:r w:rsidRPr="00E019A9">
        <w:rPr>
          <w:sz w:val="20"/>
          <w:szCs w:val="20"/>
          <w:lang w:val="es-ES"/>
        </w:rPr>
        <w:t xml:space="preserve">. En segundo lugar, </w:t>
      </w:r>
      <w:r w:rsidR="00C41EF4" w:rsidRPr="00E019A9">
        <w:rPr>
          <w:sz w:val="20"/>
          <w:szCs w:val="20"/>
          <w:lang w:val="es-ES"/>
        </w:rPr>
        <w:t>el tribunal afirmó que “examinados los autos, resulta que contado el plazo de prescripción de la acción penal desde la fecha de comisión de los hechos investigados hasta aquella en que se interrumpió, el termino necesario para considerar la atenuante de que se trata, esto es, la mitad del tiempo exigido para la prescripción como extintiva de la responsabilidad, se encuentra cumplido”</w:t>
      </w:r>
      <w:r w:rsidR="00C41EF4" w:rsidRPr="00E019A9">
        <w:rPr>
          <w:rStyle w:val="FootnoteReference"/>
          <w:sz w:val="20"/>
          <w:szCs w:val="20"/>
          <w:lang w:val="es-ES"/>
        </w:rPr>
        <w:footnoteReference w:id="166"/>
      </w:r>
      <w:r w:rsidR="00C41EF4" w:rsidRPr="00E019A9">
        <w:rPr>
          <w:sz w:val="20"/>
          <w:szCs w:val="20"/>
          <w:lang w:val="es-ES"/>
        </w:rPr>
        <w:t xml:space="preserve"> </w:t>
      </w:r>
    </w:p>
    <w:p w14:paraId="1D4BEDED" w14:textId="77777777" w:rsidR="00C41EF4" w:rsidRPr="00E019A9" w:rsidRDefault="00C41EF4" w:rsidP="00955A6D">
      <w:pPr>
        <w:pStyle w:val="ListParagraph"/>
        <w:tabs>
          <w:tab w:val="left" w:pos="567"/>
        </w:tabs>
        <w:rPr>
          <w:sz w:val="20"/>
          <w:szCs w:val="20"/>
          <w:lang w:val="es-ES"/>
        </w:rPr>
      </w:pPr>
    </w:p>
    <w:p w14:paraId="04F3627C" w14:textId="77777777" w:rsidR="00C41EF4" w:rsidRPr="00E019A9" w:rsidRDefault="00C41EF4" w:rsidP="00BB60A6">
      <w:pPr>
        <w:pStyle w:val="ListParagraph"/>
        <w:numPr>
          <w:ilvl w:val="0"/>
          <w:numId w:val="58"/>
        </w:numPr>
        <w:tabs>
          <w:tab w:val="left" w:pos="567"/>
        </w:tabs>
        <w:ind w:left="0" w:firstLine="0"/>
        <w:jc w:val="both"/>
        <w:rPr>
          <w:sz w:val="20"/>
          <w:szCs w:val="20"/>
          <w:lang w:val="es-ES"/>
        </w:rPr>
      </w:pPr>
      <w:r w:rsidRPr="00E019A9">
        <w:rPr>
          <w:sz w:val="20"/>
          <w:szCs w:val="20"/>
          <w:lang w:val="es-ES"/>
        </w:rPr>
        <w:t xml:space="preserve">Por otra parte, la Corte Suprema señaló que la denominada media prescripción representa una circunstancia atenuante </w:t>
      </w:r>
      <w:r w:rsidR="0041604F" w:rsidRPr="00E019A9">
        <w:rPr>
          <w:sz w:val="20"/>
          <w:szCs w:val="20"/>
          <w:lang w:val="es-ES"/>
        </w:rPr>
        <w:t xml:space="preserve">cuyo efecto es el de introducir una </w:t>
      </w:r>
      <w:r w:rsidR="009A7BF3" w:rsidRPr="00E019A9">
        <w:rPr>
          <w:sz w:val="20"/>
          <w:szCs w:val="20"/>
          <w:lang w:val="es-ES"/>
        </w:rPr>
        <w:t>rebaja al monto de pena correspondiente y no puede asimilarse jurídicamente a la prescripción</w:t>
      </w:r>
      <w:r w:rsidR="000A7991" w:rsidRPr="00E019A9">
        <w:rPr>
          <w:sz w:val="20"/>
          <w:szCs w:val="20"/>
          <w:lang w:val="es-ES"/>
        </w:rPr>
        <w:t xml:space="preserve"> </w:t>
      </w:r>
      <w:r w:rsidR="009A7BF3" w:rsidRPr="00E019A9">
        <w:rPr>
          <w:sz w:val="20"/>
          <w:szCs w:val="20"/>
          <w:lang w:val="es-ES"/>
        </w:rPr>
        <w:t>que</w:t>
      </w:r>
      <w:r w:rsidR="000A7991" w:rsidRPr="00E019A9">
        <w:rPr>
          <w:sz w:val="20"/>
          <w:szCs w:val="20"/>
          <w:lang w:val="es-ES"/>
        </w:rPr>
        <w:t xml:space="preserve"> </w:t>
      </w:r>
      <w:r w:rsidR="009A7BF3" w:rsidRPr="00E019A9">
        <w:rPr>
          <w:sz w:val="20"/>
          <w:szCs w:val="20"/>
          <w:lang w:val="es-ES"/>
        </w:rPr>
        <w:t>“extingue la responsabilidad penal ya nacida e impide la aplicación de toda sanción punitiva”</w:t>
      </w:r>
      <w:r w:rsidR="009A7BF3" w:rsidRPr="00E019A9">
        <w:rPr>
          <w:rStyle w:val="FootnoteReference"/>
          <w:sz w:val="20"/>
          <w:szCs w:val="20"/>
          <w:lang w:val="es-ES"/>
        </w:rPr>
        <w:footnoteReference w:id="167"/>
      </w:r>
      <w:r w:rsidR="009A7BF3" w:rsidRPr="00E019A9">
        <w:rPr>
          <w:sz w:val="20"/>
          <w:szCs w:val="20"/>
          <w:lang w:val="es-ES"/>
        </w:rPr>
        <w:t xml:space="preserve">. </w:t>
      </w:r>
    </w:p>
    <w:p w14:paraId="0815EA2B" w14:textId="77777777" w:rsidR="009A7BF3" w:rsidRPr="00E019A9" w:rsidRDefault="009A7BF3" w:rsidP="00955A6D">
      <w:pPr>
        <w:pStyle w:val="ListParagraph"/>
        <w:tabs>
          <w:tab w:val="left" w:pos="567"/>
        </w:tabs>
        <w:rPr>
          <w:sz w:val="20"/>
          <w:szCs w:val="20"/>
          <w:lang w:val="es-ES"/>
        </w:rPr>
      </w:pPr>
    </w:p>
    <w:p w14:paraId="4BC53329" w14:textId="77777777" w:rsidR="009A7BF3" w:rsidRPr="00E019A9" w:rsidRDefault="009A7BF3" w:rsidP="00BB60A6">
      <w:pPr>
        <w:pStyle w:val="ListParagraph"/>
        <w:numPr>
          <w:ilvl w:val="0"/>
          <w:numId w:val="58"/>
        </w:numPr>
        <w:tabs>
          <w:tab w:val="left" w:pos="567"/>
        </w:tabs>
        <w:ind w:left="0" w:firstLine="0"/>
        <w:jc w:val="both"/>
        <w:rPr>
          <w:sz w:val="20"/>
          <w:szCs w:val="20"/>
          <w:lang w:val="es-ES"/>
        </w:rPr>
      </w:pPr>
      <w:r w:rsidRPr="00E019A9">
        <w:rPr>
          <w:sz w:val="20"/>
          <w:szCs w:val="20"/>
          <w:lang w:val="es-ES"/>
        </w:rPr>
        <w:t xml:space="preserve">Finalmente, y en lo que respecta a la determinación del monto de pena, la Corte Suprema sostuvo </w:t>
      </w:r>
      <w:r w:rsidR="004174F3" w:rsidRPr="00E019A9">
        <w:rPr>
          <w:sz w:val="20"/>
          <w:szCs w:val="20"/>
          <w:lang w:val="es-ES"/>
        </w:rPr>
        <w:t>que los</w:t>
      </w:r>
      <w:r w:rsidR="00B30371" w:rsidRPr="00E019A9">
        <w:rPr>
          <w:sz w:val="20"/>
          <w:szCs w:val="20"/>
          <w:lang w:val="es-ES"/>
        </w:rPr>
        <w:t xml:space="preserve"> acusados Leonardo Reyes Herrera, Luis Soto Pinto, Heriberto Pereira Rojas, Jorge Soto Herrera, Luis Osm</w:t>
      </w:r>
      <w:r w:rsidR="000A7991" w:rsidRPr="00E019A9">
        <w:rPr>
          <w:sz w:val="20"/>
          <w:szCs w:val="20"/>
          <w:lang w:val="es-ES"/>
        </w:rPr>
        <w:t>á</w:t>
      </w:r>
      <w:r w:rsidR="00B30371" w:rsidRPr="00E019A9">
        <w:rPr>
          <w:sz w:val="20"/>
          <w:szCs w:val="20"/>
          <w:lang w:val="es-ES"/>
        </w:rPr>
        <w:t>n Y</w:t>
      </w:r>
      <w:r w:rsidR="00F25B5F" w:rsidRPr="00E019A9">
        <w:rPr>
          <w:sz w:val="20"/>
          <w:szCs w:val="20"/>
          <w:lang w:val="es-ES"/>
        </w:rPr>
        <w:t>á</w:t>
      </w:r>
      <w:r w:rsidR="00B30371" w:rsidRPr="00E019A9">
        <w:rPr>
          <w:sz w:val="20"/>
          <w:szCs w:val="20"/>
          <w:lang w:val="es-ES"/>
        </w:rPr>
        <w:t>ñez Silva, Jorge Valdebenito Isler y Enrique Rebolledo Sotelo resultaban favorecidos por la atenuante de irreprochable conducta anterior (art 11.6 Código Penal) y la de media prescripción, por lo que se debía rebajar en dos grados la pena tomando como base el mínimo legal establecido. Asimismo, el tribunal sostuvo que se debía subir un grado la penalidad a raíz de la reiteración delictiva, quedando en definitiva la pena fijada para todos ellos en tres años y un día de presidio menor en su grado máximo</w:t>
      </w:r>
      <w:r w:rsidR="00B30371" w:rsidRPr="00E019A9">
        <w:rPr>
          <w:rStyle w:val="FootnoteReference"/>
          <w:sz w:val="20"/>
          <w:szCs w:val="20"/>
          <w:lang w:val="es-ES"/>
        </w:rPr>
        <w:footnoteReference w:id="168"/>
      </w:r>
      <w:r w:rsidR="00B30371" w:rsidRPr="00E019A9">
        <w:rPr>
          <w:sz w:val="20"/>
          <w:szCs w:val="20"/>
          <w:lang w:val="es-ES"/>
        </w:rPr>
        <w:t xml:space="preserve">. </w:t>
      </w:r>
      <w:r w:rsidR="006933DE" w:rsidRPr="00E019A9">
        <w:rPr>
          <w:sz w:val="20"/>
          <w:szCs w:val="20"/>
          <w:lang w:val="es-ES"/>
        </w:rPr>
        <w:t xml:space="preserve">En todos los casos el tribunal concedió a los condenados el beneficio de la libertad vigilada contemplado en el </w:t>
      </w:r>
      <w:r w:rsidR="00C266C8" w:rsidRPr="00E019A9">
        <w:rPr>
          <w:sz w:val="20"/>
          <w:szCs w:val="20"/>
          <w:lang w:val="es-ES"/>
        </w:rPr>
        <w:t>artículo</w:t>
      </w:r>
      <w:r w:rsidR="006933DE" w:rsidRPr="00E019A9">
        <w:rPr>
          <w:sz w:val="20"/>
          <w:szCs w:val="20"/>
          <w:lang w:val="es-ES"/>
        </w:rPr>
        <w:t xml:space="preserve"> 15 de la ley 18.216. </w:t>
      </w:r>
    </w:p>
    <w:p w14:paraId="674886EE" w14:textId="77777777" w:rsidR="008C197F" w:rsidRPr="00E019A9" w:rsidRDefault="008C197F" w:rsidP="008C197F">
      <w:pPr>
        <w:jc w:val="both"/>
        <w:rPr>
          <w:sz w:val="20"/>
          <w:szCs w:val="20"/>
          <w:lang w:val="es-ES_tradnl"/>
        </w:rPr>
      </w:pPr>
    </w:p>
    <w:p w14:paraId="646D4CE6" w14:textId="77777777" w:rsidR="00AC54D8" w:rsidRPr="00E019A9" w:rsidRDefault="006C1B06" w:rsidP="00BB60A6">
      <w:pPr>
        <w:pStyle w:val="Heading3"/>
        <w:numPr>
          <w:ilvl w:val="1"/>
          <w:numId w:val="59"/>
        </w:numPr>
        <w:tabs>
          <w:tab w:val="left" w:pos="567"/>
          <w:tab w:val="left" w:pos="1134"/>
        </w:tabs>
        <w:ind w:left="567" w:firstLine="0"/>
        <w:jc w:val="both"/>
      </w:pPr>
      <w:r w:rsidRPr="00E019A9">
        <w:t>Respecto de la p</w:t>
      </w:r>
      <w:r w:rsidR="00A00774" w:rsidRPr="00E019A9">
        <w:t xml:space="preserve">etición presentada en representación de Marcelo Eduardo Salinas Eytel y sus familiares y registrada inicialmente por la Comisión bajo el numero P 1051-11. </w:t>
      </w:r>
    </w:p>
    <w:p w14:paraId="502BF7BC" w14:textId="77777777" w:rsidR="00955A6D" w:rsidRPr="00E019A9" w:rsidRDefault="00955A6D" w:rsidP="00955A6D">
      <w:pPr>
        <w:rPr>
          <w:sz w:val="20"/>
          <w:szCs w:val="20"/>
          <w:lang w:val="es-ES_tradnl" w:eastAsia="es-ES"/>
        </w:rPr>
      </w:pPr>
    </w:p>
    <w:p w14:paraId="41CBBB84" w14:textId="77777777" w:rsidR="0038797F" w:rsidRPr="00E019A9" w:rsidRDefault="00741FFB" w:rsidP="00BB60A6">
      <w:pPr>
        <w:pStyle w:val="ListParagraph"/>
        <w:numPr>
          <w:ilvl w:val="0"/>
          <w:numId w:val="58"/>
        </w:numPr>
        <w:tabs>
          <w:tab w:val="left" w:pos="567"/>
        </w:tabs>
        <w:ind w:left="0" w:firstLine="0"/>
        <w:jc w:val="both"/>
        <w:rPr>
          <w:sz w:val="20"/>
          <w:szCs w:val="20"/>
          <w:lang w:val="es-AR"/>
        </w:rPr>
      </w:pPr>
      <w:r w:rsidRPr="00E019A9">
        <w:rPr>
          <w:sz w:val="20"/>
          <w:szCs w:val="20"/>
          <w:lang w:val="es-ES_tradnl"/>
        </w:rPr>
        <w:t>Con</w:t>
      </w:r>
      <w:r w:rsidR="006E2C84" w:rsidRPr="00E019A9">
        <w:rPr>
          <w:sz w:val="20"/>
          <w:szCs w:val="20"/>
          <w:lang w:val="es-ES_tradnl"/>
        </w:rPr>
        <w:t>f</w:t>
      </w:r>
      <w:r w:rsidRPr="00E019A9">
        <w:rPr>
          <w:sz w:val="20"/>
          <w:szCs w:val="20"/>
          <w:lang w:val="es-ES_tradnl"/>
        </w:rPr>
        <w:t xml:space="preserve">orme a la información disponible en poder de la </w:t>
      </w:r>
      <w:r w:rsidR="00E543D8" w:rsidRPr="00E019A9">
        <w:rPr>
          <w:sz w:val="20"/>
          <w:szCs w:val="20"/>
          <w:lang w:val="es-ES_tradnl"/>
        </w:rPr>
        <w:t>Comisión</w:t>
      </w:r>
      <w:r w:rsidRPr="00E019A9">
        <w:rPr>
          <w:sz w:val="20"/>
          <w:szCs w:val="20"/>
          <w:lang w:val="es-ES_tradnl"/>
        </w:rPr>
        <w:t>, se encuentra acreditado que</w:t>
      </w:r>
      <w:r w:rsidR="003C4389" w:rsidRPr="00E019A9">
        <w:rPr>
          <w:sz w:val="20"/>
          <w:szCs w:val="20"/>
          <w:lang w:val="es-ES_tradnl"/>
        </w:rPr>
        <w:t>,</w:t>
      </w:r>
      <w:r w:rsidRPr="00E019A9">
        <w:rPr>
          <w:sz w:val="20"/>
          <w:szCs w:val="20"/>
          <w:lang w:val="es-ES_tradnl"/>
        </w:rPr>
        <w:t xml:space="preserve"> </w:t>
      </w:r>
      <w:r w:rsidR="006E2C84" w:rsidRPr="00E019A9">
        <w:rPr>
          <w:sz w:val="20"/>
          <w:szCs w:val="20"/>
          <w:lang w:val="es-ES_tradnl"/>
        </w:rPr>
        <w:t>en la noche del 30 de octubre de 1974</w:t>
      </w:r>
      <w:r w:rsidR="003C4389" w:rsidRPr="00E019A9">
        <w:rPr>
          <w:sz w:val="20"/>
          <w:szCs w:val="20"/>
          <w:lang w:val="es-ES_tradnl"/>
        </w:rPr>
        <w:t>,</w:t>
      </w:r>
      <w:r w:rsidR="006E2C84" w:rsidRPr="00E019A9">
        <w:rPr>
          <w:sz w:val="20"/>
          <w:szCs w:val="20"/>
          <w:lang w:val="es-ES_tradnl"/>
        </w:rPr>
        <w:t xml:space="preserve"> </w:t>
      </w:r>
      <w:r w:rsidR="00541667" w:rsidRPr="00E019A9">
        <w:rPr>
          <w:sz w:val="20"/>
          <w:szCs w:val="20"/>
          <w:lang w:val="es-ES_tradnl"/>
        </w:rPr>
        <w:t>un grupo co</w:t>
      </w:r>
      <w:r w:rsidR="00D46ED0" w:rsidRPr="00E019A9">
        <w:rPr>
          <w:sz w:val="20"/>
          <w:szCs w:val="20"/>
          <w:lang w:val="es-ES_tradnl"/>
        </w:rPr>
        <w:t>nformado</w:t>
      </w:r>
      <w:r w:rsidR="00541667" w:rsidRPr="00E019A9">
        <w:rPr>
          <w:sz w:val="20"/>
          <w:szCs w:val="20"/>
          <w:lang w:val="es-ES_tradnl"/>
        </w:rPr>
        <w:t xml:space="preserve"> por alrededor de</w:t>
      </w:r>
      <w:r w:rsidR="006E2C84" w:rsidRPr="00E019A9">
        <w:rPr>
          <w:sz w:val="20"/>
          <w:szCs w:val="20"/>
          <w:lang w:val="es-ES_tradnl"/>
        </w:rPr>
        <w:t xml:space="preserve"> </w:t>
      </w:r>
      <w:r w:rsidR="00541667" w:rsidRPr="00E019A9">
        <w:rPr>
          <w:sz w:val="20"/>
          <w:szCs w:val="20"/>
          <w:lang w:val="es-ES_tradnl"/>
        </w:rPr>
        <w:t>ocho</w:t>
      </w:r>
      <w:r w:rsidR="006E2C84" w:rsidRPr="00E019A9">
        <w:rPr>
          <w:sz w:val="20"/>
          <w:szCs w:val="20"/>
          <w:lang w:val="es-ES_tradnl"/>
        </w:rPr>
        <w:t xml:space="preserve"> individuos vestidos con ropas de civil </w:t>
      </w:r>
      <w:r w:rsidR="00541667" w:rsidRPr="00E019A9">
        <w:rPr>
          <w:sz w:val="20"/>
          <w:szCs w:val="20"/>
          <w:lang w:val="es-ES_tradnl"/>
        </w:rPr>
        <w:t>armados con fusiles y ametralladoras</w:t>
      </w:r>
      <w:r w:rsidR="0038797F" w:rsidRPr="00E019A9">
        <w:rPr>
          <w:sz w:val="20"/>
          <w:szCs w:val="20"/>
          <w:lang w:val="es-ES_tradnl"/>
        </w:rPr>
        <w:t xml:space="preserve"> </w:t>
      </w:r>
      <w:r w:rsidR="006E2C84" w:rsidRPr="00E019A9">
        <w:rPr>
          <w:sz w:val="20"/>
          <w:szCs w:val="20"/>
          <w:lang w:val="es-ES_tradnl"/>
        </w:rPr>
        <w:t xml:space="preserve">irrumpieron en un domicilio ubicado en el inmueble de la calle Alberto Decombe 1191 de la Comuna de Providencia, </w:t>
      </w:r>
      <w:r w:rsidR="00541667" w:rsidRPr="00E019A9">
        <w:rPr>
          <w:sz w:val="20"/>
          <w:szCs w:val="20"/>
          <w:lang w:val="es-ES_tradnl"/>
        </w:rPr>
        <w:t>Región</w:t>
      </w:r>
      <w:r w:rsidR="006E2C84" w:rsidRPr="00E019A9">
        <w:rPr>
          <w:sz w:val="20"/>
          <w:szCs w:val="20"/>
          <w:lang w:val="es-ES_tradnl"/>
        </w:rPr>
        <w:t xml:space="preserve"> Metropolitana de Santiago. </w:t>
      </w:r>
      <w:r w:rsidR="00CC41A4" w:rsidRPr="00E019A9">
        <w:rPr>
          <w:sz w:val="20"/>
          <w:szCs w:val="20"/>
          <w:lang w:val="es-ES_tradnl"/>
        </w:rPr>
        <w:t>Estos individuos</w:t>
      </w:r>
      <w:r w:rsidR="00541667" w:rsidRPr="00E019A9">
        <w:rPr>
          <w:sz w:val="20"/>
          <w:szCs w:val="20"/>
          <w:lang w:val="es-ES_tradnl"/>
        </w:rPr>
        <w:t>, quienes</w:t>
      </w:r>
      <w:r w:rsidR="0038797F" w:rsidRPr="00E019A9">
        <w:rPr>
          <w:sz w:val="20"/>
          <w:szCs w:val="20"/>
          <w:lang w:val="es-ES_tradnl"/>
        </w:rPr>
        <w:t xml:space="preserve"> se identificaron como agentes de la DINA, </w:t>
      </w:r>
      <w:r w:rsidR="006E2C84" w:rsidRPr="00E019A9">
        <w:rPr>
          <w:sz w:val="20"/>
          <w:szCs w:val="20"/>
          <w:lang w:val="es-ES_tradnl"/>
        </w:rPr>
        <w:t xml:space="preserve">procedieron </w:t>
      </w:r>
      <w:r w:rsidR="00D46ED0" w:rsidRPr="00E019A9">
        <w:rPr>
          <w:sz w:val="20"/>
          <w:szCs w:val="20"/>
          <w:lang w:val="es-ES_tradnl"/>
        </w:rPr>
        <w:t xml:space="preserve">a privar de su libertad a las Sras. </w:t>
      </w:r>
      <w:r w:rsidR="00573863" w:rsidRPr="00E019A9">
        <w:rPr>
          <w:sz w:val="20"/>
          <w:szCs w:val="20"/>
          <w:lang w:val="es-ES_tradnl"/>
        </w:rPr>
        <w:t>María</w:t>
      </w:r>
      <w:r w:rsidR="00D46ED0" w:rsidRPr="00E019A9">
        <w:rPr>
          <w:sz w:val="20"/>
          <w:szCs w:val="20"/>
          <w:lang w:val="es-ES_tradnl"/>
        </w:rPr>
        <w:t xml:space="preserve"> Luz Varela Arias  y Jacqueline </w:t>
      </w:r>
      <w:r w:rsidR="00D46ED0" w:rsidRPr="00E019A9">
        <w:rPr>
          <w:rFonts w:cs="Arial"/>
          <w:bCs/>
          <w:color w:val="202122"/>
          <w:sz w:val="20"/>
          <w:szCs w:val="20"/>
          <w:shd w:val="clear" w:color="auto" w:fill="FFFFFF"/>
          <w:lang w:val="es-AR"/>
        </w:rPr>
        <w:t xml:space="preserve">Paulette Drouilly Yurich y </w:t>
      </w:r>
      <w:r w:rsidR="006E2C84" w:rsidRPr="00E019A9">
        <w:rPr>
          <w:sz w:val="20"/>
          <w:szCs w:val="20"/>
          <w:lang w:val="es-ES_tradnl"/>
        </w:rPr>
        <w:t xml:space="preserve">a </w:t>
      </w:r>
      <w:r w:rsidR="00D46ED0" w:rsidRPr="00E019A9">
        <w:rPr>
          <w:sz w:val="20"/>
          <w:szCs w:val="20"/>
          <w:lang w:val="es-ES_tradnl"/>
        </w:rPr>
        <w:t>registrar las diversas habitaciones del inmueble sin exhibir orden judicial alguna</w:t>
      </w:r>
      <w:r w:rsidR="00CC41A4" w:rsidRPr="00E019A9">
        <w:rPr>
          <w:rStyle w:val="FootnoteReference"/>
          <w:sz w:val="20"/>
          <w:szCs w:val="20"/>
          <w:lang w:val="es-ES_tradnl"/>
        </w:rPr>
        <w:footnoteReference w:id="169"/>
      </w:r>
      <w:r w:rsidR="00D46ED0" w:rsidRPr="00E019A9">
        <w:rPr>
          <w:sz w:val="20"/>
          <w:szCs w:val="20"/>
          <w:lang w:val="es-ES_tradnl"/>
        </w:rPr>
        <w:t xml:space="preserve">. </w:t>
      </w:r>
      <w:r w:rsidR="0038797F" w:rsidRPr="00E019A9">
        <w:rPr>
          <w:sz w:val="20"/>
          <w:szCs w:val="20"/>
          <w:lang w:val="es-ES_tradnl"/>
        </w:rPr>
        <w:t xml:space="preserve"> </w:t>
      </w:r>
    </w:p>
    <w:p w14:paraId="3FE59716" w14:textId="77777777" w:rsidR="00D46ED0" w:rsidRPr="00E019A9" w:rsidRDefault="00D46ED0" w:rsidP="003C4389">
      <w:pPr>
        <w:pStyle w:val="ListParagraph"/>
        <w:tabs>
          <w:tab w:val="left" w:pos="567"/>
        </w:tabs>
        <w:ind w:left="0"/>
        <w:jc w:val="both"/>
        <w:rPr>
          <w:sz w:val="20"/>
          <w:szCs w:val="20"/>
          <w:lang w:val="es-ES"/>
        </w:rPr>
      </w:pPr>
    </w:p>
    <w:p w14:paraId="65E2028D" w14:textId="77777777" w:rsidR="00541667" w:rsidRPr="00E019A9" w:rsidRDefault="0038797F" w:rsidP="00BB60A6">
      <w:pPr>
        <w:pStyle w:val="ListParagraph"/>
        <w:numPr>
          <w:ilvl w:val="0"/>
          <w:numId w:val="58"/>
        </w:numPr>
        <w:tabs>
          <w:tab w:val="left" w:pos="567"/>
        </w:tabs>
        <w:ind w:left="0" w:firstLine="0"/>
        <w:jc w:val="both"/>
        <w:rPr>
          <w:sz w:val="20"/>
          <w:szCs w:val="20"/>
          <w:lang w:val="es-ES"/>
        </w:rPr>
      </w:pPr>
      <w:r w:rsidRPr="00E019A9">
        <w:rPr>
          <w:rFonts w:cs="Arial"/>
          <w:bCs/>
          <w:color w:val="202122"/>
          <w:sz w:val="20"/>
          <w:szCs w:val="20"/>
          <w:shd w:val="clear" w:color="auto" w:fill="FFFFFF"/>
          <w:lang w:val="es-ES"/>
        </w:rPr>
        <w:t xml:space="preserve">Poco tiempo </w:t>
      </w:r>
      <w:r w:rsidR="00CC41A4" w:rsidRPr="00E019A9">
        <w:rPr>
          <w:rFonts w:cs="Arial"/>
          <w:bCs/>
          <w:color w:val="202122"/>
          <w:sz w:val="20"/>
          <w:szCs w:val="20"/>
          <w:shd w:val="clear" w:color="auto" w:fill="FFFFFF"/>
          <w:lang w:val="es-ES"/>
        </w:rPr>
        <w:t>después</w:t>
      </w:r>
      <w:r w:rsidRPr="00E019A9">
        <w:rPr>
          <w:rFonts w:cs="Arial"/>
          <w:bCs/>
          <w:color w:val="202122"/>
          <w:sz w:val="20"/>
          <w:szCs w:val="20"/>
          <w:shd w:val="clear" w:color="auto" w:fill="FFFFFF"/>
          <w:lang w:val="es-ES"/>
        </w:rPr>
        <w:t xml:space="preserve">, algunos de los agentes de la DINA se retiraron </w:t>
      </w:r>
      <w:r w:rsidR="00D46ED0" w:rsidRPr="00E019A9">
        <w:rPr>
          <w:rFonts w:cs="Arial"/>
          <w:bCs/>
          <w:color w:val="202122"/>
          <w:sz w:val="20"/>
          <w:szCs w:val="20"/>
          <w:shd w:val="clear" w:color="auto" w:fill="FFFFFF"/>
          <w:lang w:val="es-ES"/>
        </w:rPr>
        <w:t xml:space="preserve">de la casa </w:t>
      </w:r>
      <w:r w:rsidR="00CC41A4" w:rsidRPr="00E019A9">
        <w:rPr>
          <w:rFonts w:cs="Arial"/>
          <w:bCs/>
          <w:color w:val="202122"/>
          <w:sz w:val="20"/>
          <w:szCs w:val="20"/>
          <w:shd w:val="clear" w:color="auto" w:fill="FFFFFF"/>
          <w:lang w:val="es-ES"/>
        </w:rPr>
        <w:t>llevándose</w:t>
      </w:r>
      <w:r w:rsidR="00D46ED0" w:rsidRPr="00E019A9">
        <w:rPr>
          <w:rFonts w:cs="Arial"/>
          <w:bCs/>
          <w:color w:val="202122"/>
          <w:sz w:val="20"/>
          <w:szCs w:val="20"/>
          <w:shd w:val="clear" w:color="auto" w:fill="FFFFFF"/>
          <w:lang w:val="es-ES"/>
        </w:rPr>
        <w:t xml:space="preserve"> detenida a la Sra. Drouilly Yurich con destino desconocido. Al momento de </w:t>
      </w:r>
      <w:r w:rsidR="00573863" w:rsidRPr="00E019A9">
        <w:rPr>
          <w:rFonts w:cs="Arial"/>
          <w:bCs/>
          <w:color w:val="202122"/>
          <w:sz w:val="20"/>
          <w:szCs w:val="20"/>
          <w:shd w:val="clear" w:color="auto" w:fill="FFFFFF"/>
          <w:lang w:val="es-ES"/>
        </w:rPr>
        <w:t>su detención</w:t>
      </w:r>
      <w:r w:rsidR="00D46ED0" w:rsidRPr="00E019A9">
        <w:rPr>
          <w:rFonts w:cs="Arial"/>
          <w:bCs/>
          <w:color w:val="202122"/>
          <w:sz w:val="20"/>
          <w:szCs w:val="20"/>
          <w:shd w:val="clear" w:color="auto" w:fill="FFFFFF"/>
          <w:lang w:val="es-ES"/>
        </w:rPr>
        <w:t>, la Sra. Drouilly Yurich</w:t>
      </w:r>
      <w:r w:rsidR="00CC41A4" w:rsidRPr="00E019A9">
        <w:rPr>
          <w:rFonts w:cs="Arial"/>
          <w:bCs/>
          <w:color w:val="202122"/>
          <w:sz w:val="20"/>
          <w:szCs w:val="20"/>
          <w:shd w:val="clear" w:color="auto" w:fill="FFFFFF"/>
          <w:lang w:val="es-ES"/>
        </w:rPr>
        <w:t xml:space="preserve"> - </w:t>
      </w:r>
      <w:r w:rsidR="00D46ED0" w:rsidRPr="00E019A9">
        <w:rPr>
          <w:rFonts w:cs="Arial"/>
          <w:bCs/>
          <w:color w:val="202122"/>
          <w:sz w:val="20"/>
          <w:szCs w:val="20"/>
          <w:shd w:val="clear" w:color="auto" w:fill="FFFFFF"/>
          <w:lang w:val="es-ES"/>
        </w:rPr>
        <w:t>esposa del Sr. Marcelo Eduardo Salinas Eytel</w:t>
      </w:r>
      <w:r w:rsidR="00CC41A4" w:rsidRPr="00E019A9">
        <w:rPr>
          <w:rFonts w:cs="Arial"/>
          <w:bCs/>
          <w:color w:val="202122"/>
          <w:sz w:val="20"/>
          <w:szCs w:val="20"/>
          <w:shd w:val="clear" w:color="auto" w:fill="FFFFFF"/>
          <w:lang w:val="es-ES"/>
        </w:rPr>
        <w:t xml:space="preserve"> - </w:t>
      </w:r>
      <w:r w:rsidR="00D46ED0" w:rsidRPr="00E019A9">
        <w:rPr>
          <w:rFonts w:cs="Arial"/>
          <w:bCs/>
          <w:color w:val="202122"/>
          <w:sz w:val="20"/>
          <w:szCs w:val="20"/>
          <w:shd w:val="clear" w:color="auto" w:fill="FFFFFF"/>
          <w:lang w:val="es-ES"/>
        </w:rPr>
        <w:t>se encontraba embarazada de 5 meses.</w:t>
      </w:r>
      <w:r w:rsidR="00573863" w:rsidRPr="00E019A9">
        <w:rPr>
          <w:rFonts w:cs="Arial"/>
          <w:bCs/>
          <w:color w:val="202122"/>
          <w:sz w:val="20"/>
          <w:szCs w:val="20"/>
          <w:shd w:val="clear" w:color="auto" w:fill="FFFFFF"/>
          <w:lang w:val="es-ES"/>
        </w:rPr>
        <w:t xml:space="preserve"> A la fecha, permanece en calidad de detenida-desparecida.</w:t>
      </w:r>
      <w:r w:rsidR="00D46ED0" w:rsidRPr="00E019A9">
        <w:rPr>
          <w:rFonts w:cs="Arial"/>
          <w:bCs/>
          <w:color w:val="202122"/>
          <w:sz w:val="20"/>
          <w:szCs w:val="20"/>
          <w:shd w:val="clear" w:color="auto" w:fill="FFFFFF"/>
          <w:lang w:val="es-ES"/>
        </w:rPr>
        <w:t xml:space="preserve"> Otro grupo de agentes, en </w:t>
      </w:r>
      <w:r w:rsidR="004174F3" w:rsidRPr="00E019A9">
        <w:rPr>
          <w:rFonts w:cs="Arial"/>
          <w:bCs/>
          <w:color w:val="202122"/>
          <w:sz w:val="20"/>
          <w:szCs w:val="20"/>
          <w:shd w:val="clear" w:color="auto" w:fill="FFFFFF"/>
          <w:lang w:val="es-ES"/>
        </w:rPr>
        <w:t>tanto, permaneció</w:t>
      </w:r>
      <w:r w:rsidR="00D46ED0" w:rsidRPr="00E019A9">
        <w:rPr>
          <w:rFonts w:cs="Arial"/>
          <w:bCs/>
          <w:color w:val="202122"/>
          <w:sz w:val="20"/>
          <w:szCs w:val="20"/>
          <w:shd w:val="clear" w:color="auto" w:fill="FFFFFF"/>
          <w:lang w:val="es-ES"/>
        </w:rPr>
        <w:t xml:space="preserve"> en el inmueble de la calle Alberto Decombe custodiando a la Sra. Varela Arias. Aproximadamente a las 7:00 hs</w:t>
      </w:r>
      <w:r w:rsidR="00CC41A4" w:rsidRPr="00E019A9">
        <w:rPr>
          <w:rFonts w:cs="Arial"/>
          <w:bCs/>
          <w:color w:val="202122"/>
          <w:sz w:val="20"/>
          <w:szCs w:val="20"/>
          <w:shd w:val="clear" w:color="auto" w:fill="FFFFFF"/>
          <w:lang w:val="es-ES"/>
        </w:rPr>
        <w:t>.</w:t>
      </w:r>
      <w:r w:rsidR="00D46ED0" w:rsidRPr="00E019A9">
        <w:rPr>
          <w:rFonts w:cs="Arial"/>
          <w:bCs/>
          <w:color w:val="202122"/>
          <w:sz w:val="20"/>
          <w:szCs w:val="20"/>
          <w:shd w:val="clear" w:color="auto" w:fill="FFFFFF"/>
          <w:lang w:val="es-ES"/>
        </w:rPr>
        <w:t xml:space="preserve"> del </w:t>
      </w:r>
      <w:r w:rsidR="00CC41A4" w:rsidRPr="00E019A9">
        <w:rPr>
          <w:rFonts w:cs="Arial"/>
          <w:bCs/>
          <w:color w:val="202122"/>
          <w:sz w:val="20"/>
          <w:szCs w:val="20"/>
          <w:shd w:val="clear" w:color="auto" w:fill="FFFFFF"/>
          <w:lang w:val="es-ES"/>
        </w:rPr>
        <w:t>día</w:t>
      </w:r>
      <w:r w:rsidR="00D46ED0" w:rsidRPr="00E019A9">
        <w:rPr>
          <w:rFonts w:cs="Arial"/>
          <w:bCs/>
          <w:color w:val="202122"/>
          <w:sz w:val="20"/>
          <w:szCs w:val="20"/>
          <w:shd w:val="clear" w:color="auto" w:fill="FFFFFF"/>
          <w:lang w:val="es-ES"/>
        </w:rPr>
        <w:t xml:space="preserve"> 31 de octubre </w:t>
      </w:r>
      <w:r w:rsidR="003B53C1" w:rsidRPr="00E019A9">
        <w:rPr>
          <w:rFonts w:cs="Arial"/>
          <w:bCs/>
          <w:color w:val="202122"/>
          <w:sz w:val="20"/>
          <w:szCs w:val="20"/>
          <w:shd w:val="clear" w:color="auto" w:fill="FFFFFF"/>
          <w:lang w:val="es-ES"/>
        </w:rPr>
        <w:t>el Sr. Salinas Eytel inició una comunicación telefónica con el abonado instalado en la casa ocupada por los agentes de la DINA</w:t>
      </w:r>
      <w:r w:rsidR="00CC41A4" w:rsidRPr="00E019A9">
        <w:rPr>
          <w:rFonts w:cs="Arial"/>
          <w:bCs/>
          <w:color w:val="202122"/>
          <w:sz w:val="20"/>
          <w:szCs w:val="20"/>
          <w:shd w:val="clear" w:color="auto" w:fill="FFFFFF"/>
          <w:lang w:val="es-ES"/>
        </w:rPr>
        <w:t xml:space="preserve">, los cuales </w:t>
      </w:r>
      <w:r w:rsidR="003B53C1" w:rsidRPr="00E019A9">
        <w:rPr>
          <w:rFonts w:cs="Arial"/>
          <w:bCs/>
          <w:color w:val="202122"/>
          <w:sz w:val="20"/>
          <w:szCs w:val="20"/>
          <w:shd w:val="clear" w:color="auto" w:fill="FFFFFF"/>
          <w:lang w:val="es-ES"/>
        </w:rPr>
        <w:t xml:space="preserve">obligaron a la Sra. Varela Arias a atender el llamado e informarle al Sr. Salinas Eytel que su esposa se hallaba en el baño. Pocos minutos </w:t>
      </w:r>
      <w:r w:rsidR="00CC41A4" w:rsidRPr="00E019A9">
        <w:rPr>
          <w:rFonts w:cs="Arial"/>
          <w:bCs/>
          <w:color w:val="202122"/>
          <w:sz w:val="20"/>
          <w:szCs w:val="20"/>
          <w:shd w:val="clear" w:color="auto" w:fill="FFFFFF"/>
          <w:lang w:val="es-ES"/>
        </w:rPr>
        <w:t>después</w:t>
      </w:r>
      <w:r w:rsidR="003B53C1" w:rsidRPr="00E019A9">
        <w:rPr>
          <w:rFonts w:cs="Arial"/>
          <w:bCs/>
          <w:color w:val="202122"/>
          <w:sz w:val="20"/>
          <w:szCs w:val="20"/>
          <w:shd w:val="clear" w:color="auto" w:fill="FFFFFF"/>
          <w:lang w:val="es-ES"/>
        </w:rPr>
        <w:t>, el Sr. Salinas Eytel se aproxim</w:t>
      </w:r>
      <w:r w:rsidR="00573863" w:rsidRPr="00E019A9">
        <w:rPr>
          <w:rFonts w:cs="Arial"/>
          <w:bCs/>
          <w:color w:val="202122"/>
          <w:sz w:val="20"/>
          <w:szCs w:val="20"/>
          <w:shd w:val="clear" w:color="auto" w:fill="FFFFFF"/>
          <w:lang w:val="es-ES"/>
        </w:rPr>
        <w:t>ó</w:t>
      </w:r>
      <w:r w:rsidR="003B53C1" w:rsidRPr="00E019A9">
        <w:rPr>
          <w:rFonts w:cs="Arial"/>
          <w:bCs/>
          <w:color w:val="202122"/>
          <w:sz w:val="20"/>
          <w:szCs w:val="20"/>
          <w:shd w:val="clear" w:color="auto" w:fill="FFFFFF"/>
          <w:lang w:val="es-ES"/>
        </w:rPr>
        <w:t xml:space="preserve"> a las inmediaciones de la casa a bordo de un taxi, pero, al observar movimientos extraños, le ordenó al conductor </w:t>
      </w:r>
      <w:r w:rsidR="00CC41A4" w:rsidRPr="00E019A9">
        <w:rPr>
          <w:rFonts w:cs="Arial"/>
          <w:bCs/>
          <w:color w:val="202122"/>
          <w:sz w:val="20"/>
          <w:szCs w:val="20"/>
          <w:shd w:val="clear" w:color="auto" w:fill="FFFFFF"/>
          <w:lang w:val="es-ES"/>
        </w:rPr>
        <w:t xml:space="preserve">proseguir su marcha. </w:t>
      </w:r>
      <w:r w:rsidR="003B53C1" w:rsidRPr="00E019A9">
        <w:rPr>
          <w:rFonts w:cs="Arial"/>
          <w:bCs/>
          <w:color w:val="202122"/>
          <w:sz w:val="20"/>
          <w:szCs w:val="20"/>
          <w:shd w:val="clear" w:color="auto" w:fill="FFFFFF"/>
          <w:lang w:val="es-ES"/>
        </w:rPr>
        <w:t>En ese momento, los agentes de la DINA egresaron del inmueble y dispararon contra las ruedas del taxi, concretando la aprehensión del Sr. Salinas Eytel</w:t>
      </w:r>
      <w:r w:rsidR="00CC41A4" w:rsidRPr="00E019A9">
        <w:rPr>
          <w:rStyle w:val="FootnoteReference"/>
          <w:rFonts w:cs="Arial"/>
          <w:bCs/>
          <w:color w:val="202122"/>
          <w:sz w:val="20"/>
          <w:szCs w:val="20"/>
          <w:shd w:val="clear" w:color="auto" w:fill="FFFFFF"/>
          <w:lang w:val="es-ES"/>
        </w:rPr>
        <w:footnoteReference w:id="170"/>
      </w:r>
      <w:r w:rsidR="00CC41A4" w:rsidRPr="00E019A9">
        <w:rPr>
          <w:rFonts w:cs="Arial"/>
          <w:bCs/>
          <w:color w:val="202122"/>
          <w:sz w:val="20"/>
          <w:szCs w:val="20"/>
          <w:shd w:val="clear" w:color="auto" w:fill="FFFFFF"/>
          <w:lang w:val="es-ES"/>
        </w:rPr>
        <w:t xml:space="preserve">. </w:t>
      </w:r>
    </w:p>
    <w:p w14:paraId="2A88DA14" w14:textId="77777777" w:rsidR="00CC41A4" w:rsidRPr="00E019A9" w:rsidRDefault="00CC41A4" w:rsidP="00CC41A4">
      <w:pPr>
        <w:pStyle w:val="ListParagraph"/>
        <w:rPr>
          <w:sz w:val="20"/>
          <w:szCs w:val="20"/>
          <w:lang w:val="es-ES"/>
        </w:rPr>
      </w:pPr>
    </w:p>
    <w:p w14:paraId="5F22F899" w14:textId="77777777" w:rsidR="00CC41A4" w:rsidRPr="00E019A9" w:rsidRDefault="00CC41A4" w:rsidP="00BB60A6">
      <w:pPr>
        <w:pStyle w:val="ListParagraph"/>
        <w:numPr>
          <w:ilvl w:val="0"/>
          <w:numId w:val="58"/>
        </w:numPr>
        <w:tabs>
          <w:tab w:val="left" w:pos="567"/>
        </w:tabs>
        <w:ind w:left="0" w:firstLine="0"/>
        <w:jc w:val="both"/>
        <w:rPr>
          <w:sz w:val="20"/>
          <w:szCs w:val="20"/>
          <w:lang w:val="es-ES"/>
        </w:rPr>
      </w:pPr>
      <w:r w:rsidRPr="00E019A9">
        <w:rPr>
          <w:sz w:val="20"/>
          <w:szCs w:val="20"/>
          <w:lang w:val="es-ES"/>
        </w:rPr>
        <w:t xml:space="preserve">Se encuentra asimismo comprobado que </w:t>
      </w:r>
      <w:r w:rsidR="00573863" w:rsidRPr="00E019A9">
        <w:rPr>
          <w:sz w:val="20"/>
          <w:szCs w:val="20"/>
          <w:lang w:val="es-ES"/>
        </w:rPr>
        <w:t xml:space="preserve">el Sr. Salinas Eytel fue trasladado en un primer momento al centro de detención de la DINA denominado “José Domingo Cañas” (ver </w:t>
      </w:r>
      <w:r w:rsidR="008142C0" w:rsidRPr="00E019A9">
        <w:rPr>
          <w:i/>
          <w:sz w:val="20"/>
          <w:szCs w:val="20"/>
          <w:lang w:val="es-ES"/>
        </w:rPr>
        <w:t xml:space="preserve">supra </w:t>
      </w:r>
      <w:r w:rsidR="008142C0" w:rsidRPr="00E019A9">
        <w:rPr>
          <w:sz w:val="20"/>
          <w:szCs w:val="20"/>
          <w:lang w:val="es-ES"/>
        </w:rPr>
        <w:t>párr. 179</w:t>
      </w:r>
      <w:r w:rsidR="00573863" w:rsidRPr="00E019A9">
        <w:rPr>
          <w:sz w:val="20"/>
          <w:szCs w:val="20"/>
          <w:lang w:val="es-ES"/>
        </w:rPr>
        <w:t>) para posteriormente ser llevado a</w:t>
      </w:r>
      <w:r w:rsidR="0071214D" w:rsidRPr="00E019A9">
        <w:rPr>
          <w:sz w:val="20"/>
          <w:szCs w:val="20"/>
          <w:lang w:val="es-ES"/>
        </w:rPr>
        <w:t>l centro clandestino de detención</w:t>
      </w:r>
      <w:r w:rsidR="00573863" w:rsidRPr="00E019A9">
        <w:rPr>
          <w:sz w:val="20"/>
          <w:szCs w:val="20"/>
          <w:lang w:val="es-ES"/>
        </w:rPr>
        <w:t xml:space="preserve"> </w:t>
      </w:r>
      <w:r w:rsidR="0071214D" w:rsidRPr="00E019A9">
        <w:rPr>
          <w:sz w:val="20"/>
          <w:szCs w:val="20"/>
          <w:lang w:val="es-ES"/>
        </w:rPr>
        <w:t xml:space="preserve">“Villa Grimaldi”, donde fue sometido a diversas sesiones de torturas e interrogatorios coactivos. </w:t>
      </w:r>
      <w:r w:rsidR="00A574C9" w:rsidRPr="00E019A9">
        <w:rPr>
          <w:sz w:val="20"/>
          <w:szCs w:val="20"/>
          <w:lang w:val="es-ES"/>
        </w:rPr>
        <w:t xml:space="preserve">Por último, el Sr. Salinas Eytel y su esposa fueron vistos por otros detenidos en el centro de detención “Cuatro </w:t>
      </w:r>
      <w:r w:rsidR="002B4F98" w:rsidRPr="00E019A9">
        <w:rPr>
          <w:sz w:val="20"/>
          <w:szCs w:val="20"/>
          <w:lang w:val="es-ES"/>
        </w:rPr>
        <w:t>Álamos</w:t>
      </w:r>
      <w:r w:rsidR="00A574C9" w:rsidRPr="00E019A9">
        <w:rPr>
          <w:sz w:val="20"/>
          <w:szCs w:val="20"/>
          <w:lang w:val="es-ES"/>
        </w:rPr>
        <w:t xml:space="preserve">”, lugar desde donde se pierde todo rastro de su paradero. </w:t>
      </w:r>
    </w:p>
    <w:p w14:paraId="5BA7DC6C" w14:textId="77777777" w:rsidR="00E41AB8" w:rsidRPr="00E019A9" w:rsidRDefault="00E41AB8" w:rsidP="00E41AB8">
      <w:pPr>
        <w:pStyle w:val="ListParagraph"/>
        <w:rPr>
          <w:sz w:val="20"/>
          <w:szCs w:val="20"/>
          <w:lang w:val="es-ES"/>
        </w:rPr>
      </w:pPr>
    </w:p>
    <w:p w14:paraId="51C00914" w14:textId="77777777" w:rsidR="00681D98" w:rsidRPr="00E019A9" w:rsidRDefault="00E41AB8" w:rsidP="00BB60A6">
      <w:pPr>
        <w:pStyle w:val="ListParagraph"/>
        <w:numPr>
          <w:ilvl w:val="0"/>
          <w:numId w:val="58"/>
        </w:numPr>
        <w:tabs>
          <w:tab w:val="left" w:pos="567"/>
        </w:tabs>
        <w:ind w:left="0" w:firstLine="0"/>
        <w:jc w:val="both"/>
        <w:rPr>
          <w:sz w:val="20"/>
          <w:szCs w:val="20"/>
          <w:lang w:val="es-ES"/>
        </w:rPr>
      </w:pPr>
      <w:r w:rsidRPr="00E019A9">
        <w:rPr>
          <w:sz w:val="20"/>
          <w:szCs w:val="20"/>
          <w:lang w:val="es-ES"/>
        </w:rPr>
        <w:t xml:space="preserve">De acuerdo con la información aportada por la parte peticionaria, el 19 de noviembre de 1974 familiares del Sr. Salinas Eytel presentaron un recurso de amparo ante la Corte de Apelaciones de Santiago, el cual fue rechazado el 5 de marzo de 1975. </w:t>
      </w:r>
      <w:r w:rsidR="00681D98" w:rsidRPr="00E019A9">
        <w:rPr>
          <w:sz w:val="20"/>
          <w:szCs w:val="20"/>
          <w:lang w:val="es-ES"/>
        </w:rPr>
        <w:t xml:space="preserve">De igual manera, la suegra de la </w:t>
      </w:r>
      <w:r w:rsidR="00C266C8" w:rsidRPr="00E019A9">
        <w:rPr>
          <w:sz w:val="20"/>
          <w:szCs w:val="20"/>
          <w:lang w:val="es-ES"/>
        </w:rPr>
        <w:t>víctima</w:t>
      </w:r>
      <w:r w:rsidR="00681D98" w:rsidRPr="00E019A9">
        <w:rPr>
          <w:sz w:val="20"/>
          <w:szCs w:val="20"/>
          <w:lang w:val="es-ES"/>
        </w:rPr>
        <w:t xml:space="preserve"> presentó una </w:t>
      </w:r>
      <w:r w:rsidR="004174F3" w:rsidRPr="00E019A9">
        <w:rPr>
          <w:sz w:val="20"/>
          <w:szCs w:val="20"/>
          <w:lang w:val="es-ES"/>
        </w:rPr>
        <w:t>denuncia por</w:t>
      </w:r>
      <w:r w:rsidR="00681D98" w:rsidRPr="00E019A9">
        <w:rPr>
          <w:sz w:val="20"/>
          <w:szCs w:val="20"/>
          <w:lang w:val="es-ES"/>
        </w:rPr>
        <w:t xml:space="preserve"> el delito de secuestro en perjuicio del Sr. Salinas Eytel y la Sra.</w:t>
      </w:r>
      <w:r w:rsidR="006D7334" w:rsidRPr="00E019A9">
        <w:rPr>
          <w:sz w:val="20"/>
          <w:szCs w:val="20"/>
          <w:lang w:val="es-ES"/>
        </w:rPr>
        <w:t xml:space="preserve"> </w:t>
      </w:r>
      <w:r w:rsidR="00681D98" w:rsidRPr="00E019A9">
        <w:rPr>
          <w:rFonts w:cs="Arial"/>
          <w:bCs/>
          <w:color w:val="202122"/>
          <w:sz w:val="20"/>
          <w:szCs w:val="20"/>
          <w:shd w:val="clear" w:color="auto" w:fill="FFFFFF"/>
          <w:lang w:val="es-ES"/>
        </w:rPr>
        <w:t>Drouilly Yurich. El 18 de junio de 1976 la Corte de Apelaciones de Santiago aprobó el sobreseimiento temporal dictado por el juzgado instructor por no haberse acreditado la existencia de los delitos denunciados</w:t>
      </w:r>
      <w:r w:rsidR="00681D98" w:rsidRPr="00E019A9">
        <w:rPr>
          <w:rStyle w:val="FootnoteReference"/>
          <w:rFonts w:cs="Arial"/>
          <w:bCs/>
          <w:color w:val="202122"/>
          <w:sz w:val="20"/>
          <w:szCs w:val="20"/>
          <w:shd w:val="clear" w:color="auto" w:fill="FFFFFF"/>
          <w:lang w:val="es-ES"/>
        </w:rPr>
        <w:footnoteReference w:id="171"/>
      </w:r>
      <w:r w:rsidR="00681D98" w:rsidRPr="00E019A9">
        <w:rPr>
          <w:rFonts w:cs="Arial"/>
          <w:bCs/>
          <w:color w:val="202122"/>
          <w:sz w:val="20"/>
          <w:szCs w:val="20"/>
          <w:shd w:val="clear" w:color="auto" w:fill="FFFFFF"/>
          <w:lang w:val="es-ES"/>
        </w:rPr>
        <w:t xml:space="preserve">. </w:t>
      </w:r>
    </w:p>
    <w:p w14:paraId="4F29290B" w14:textId="77777777" w:rsidR="00604680" w:rsidRPr="00E019A9" w:rsidRDefault="00604680" w:rsidP="00681D98">
      <w:pPr>
        <w:rPr>
          <w:sz w:val="20"/>
          <w:szCs w:val="20"/>
          <w:lang w:val="es-ES"/>
        </w:rPr>
      </w:pPr>
    </w:p>
    <w:p w14:paraId="79187098" w14:textId="77777777" w:rsidR="00604680" w:rsidRPr="00E019A9" w:rsidRDefault="00681D98" w:rsidP="00BB60A6">
      <w:pPr>
        <w:pStyle w:val="ListParagraph"/>
        <w:numPr>
          <w:ilvl w:val="0"/>
          <w:numId w:val="58"/>
        </w:numPr>
        <w:tabs>
          <w:tab w:val="left" w:pos="567"/>
        </w:tabs>
        <w:ind w:left="0" w:firstLine="0"/>
        <w:jc w:val="both"/>
        <w:rPr>
          <w:sz w:val="20"/>
          <w:szCs w:val="20"/>
          <w:lang w:val="es-ES"/>
        </w:rPr>
      </w:pPr>
      <w:r w:rsidRPr="00E019A9">
        <w:rPr>
          <w:sz w:val="20"/>
          <w:szCs w:val="20"/>
          <w:lang w:val="es-ES"/>
        </w:rPr>
        <w:t>Años después, y ante una solicitud de</w:t>
      </w:r>
      <w:r w:rsidR="00FD0754" w:rsidRPr="00E019A9">
        <w:rPr>
          <w:sz w:val="20"/>
          <w:szCs w:val="20"/>
          <w:lang w:val="es-ES"/>
        </w:rPr>
        <w:t xml:space="preserve"> </w:t>
      </w:r>
      <w:r w:rsidRPr="00E019A9">
        <w:rPr>
          <w:sz w:val="20"/>
          <w:szCs w:val="20"/>
          <w:lang w:val="es-ES"/>
        </w:rPr>
        <w:t xml:space="preserve">la Corporación Nacional de Reparación y Reconciliación, se reabrió el sumario. </w:t>
      </w:r>
      <w:r w:rsidR="00C443F0" w:rsidRPr="00E019A9">
        <w:rPr>
          <w:sz w:val="20"/>
          <w:szCs w:val="20"/>
          <w:lang w:val="es-ES"/>
        </w:rPr>
        <w:t xml:space="preserve">17 de abril de </w:t>
      </w:r>
      <w:r w:rsidR="009E4914" w:rsidRPr="00E019A9">
        <w:rPr>
          <w:sz w:val="20"/>
          <w:szCs w:val="20"/>
          <w:lang w:val="es-ES"/>
        </w:rPr>
        <w:t>20</w:t>
      </w:r>
      <w:r w:rsidRPr="00E019A9">
        <w:rPr>
          <w:sz w:val="20"/>
          <w:szCs w:val="20"/>
          <w:lang w:val="es-ES"/>
        </w:rPr>
        <w:t>08</w:t>
      </w:r>
      <w:r w:rsidR="009E4914" w:rsidRPr="00E019A9">
        <w:rPr>
          <w:sz w:val="20"/>
          <w:szCs w:val="20"/>
          <w:lang w:val="es-ES"/>
        </w:rPr>
        <w:t xml:space="preserve"> el Ministro de Fuero Alejandro Solís Muñoz dictó sentencia condenando al ex Director Ejecutivo de la DINA Juan Manuel Guillermo Contreras Sepúlveda a la pena de 15 años de presidio mayor en su grado medio </w:t>
      </w:r>
      <w:r w:rsidR="00C266C8" w:rsidRPr="00E019A9">
        <w:rPr>
          <w:sz w:val="20"/>
          <w:szCs w:val="20"/>
          <w:lang w:val="es-ES"/>
        </w:rPr>
        <w:t>más</w:t>
      </w:r>
      <w:r w:rsidR="009E4914" w:rsidRPr="00E019A9">
        <w:rPr>
          <w:sz w:val="20"/>
          <w:szCs w:val="20"/>
          <w:lang w:val="es-ES"/>
        </w:rPr>
        <w:t xml:space="preserve"> accesorias por resultar autor penalmente responsable del delito de secuestro calificado en perjuicio de Marcelo Eduardo Salinas Eytel. Adicionalmente, los ex agentes de la DINA Cesar Manríquez Bravo, Pedro Octavio Espinoza Bravo, Francisco Maximiliano Ferrer Lima y Miguel Krassnoff Martc</w:t>
      </w:r>
      <w:r w:rsidR="009934C4" w:rsidRPr="00E019A9">
        <w:rPr>
          <w:sz w:val="20"/>
          <w:szCs w:val="20"/>
          <w:lang w:val="es-ES"/>
        </w:rPr>
        <w:t>h</w:t>
      </w:r>
      <w:r w:rsidR="009E4914" w:rsidRPr="00E019A9">
        <w:rPr>
          <w:sz w:val="20"/>
          <w:szCs w:val="20"/>
          <w:lang w:val="es-ES"/>
        </w:rPr>
        <w:t xml:space="preserve">enko fueron condenados a la pena de 10 años y 1 día de presidio mayor en su grado medio </w:t>
      </w:r>
      <w:r w:rsidR="00C266C8" w:rsidRPr="00E019A9">
        <w:rPr>
          <w:sz w:val="20"/>
          <w:szCs w:val="20"/>
          <w:lang w:val="es-ES"/>
        </w:rPr>
        <w:t>más</w:t>
      </w:r>
      <w:r w:rsidR="009E4914" w:rsidRPr="00E019A9">
        <w:rPr>
          <w:sz w:val="20"/>
          <w:szCs w:val="20"/>
          <w:lang w:val="es-ES"/>
        </w:rPr>
        <w:t xml:space="preserve"> accesorias</w:t>
      </w:r>
      <w:r w:rsidR="00284ADE" w:rsidRPr="00E019A9">
        <w:rPr>
          <w:sz w:val="20"/>
          <w:szCs w:val="20"/>
          <w:lang w:val="es-ES"/>
        </w:rPr>
        <w:t xml:space="preserve"> por sus respectivas participaciones en calidad de coautores del secuestro calificado del Sr. Salinas Eytel</w:t>
      </w:r>
      <w:r w:rsidR="005E7CEB" w:rsidRPr="00E019A9">
        <w:rPr>
          <w:sz w:val="20"/>
          <w:szCs w:val="20"/>
          <w:lang w:val="es-ES"/>
        </w:rPr>
        <w:t>, en tanto que José Orlando Manzo Duran fue absuelto</w:t>
      </w:r>
      <w:r w:rsidR="009934C4" w:rsidRPr="00E019A9">
        <w:rPr>
          <w:rStyle w:val="FootnoteReference"/>
          <w:sz w:val="20"/>
          <w:szCs w:val="20"/>
          <w:lang w:val="es-ES"/>
        </w:rPr>
        <w:footnoteReference w:id="172"/>
      </w:r>
      <w:r w:rsidR="005E7CEB" w:rsidRPr="00E019A9">
        <w:rPr>
          <w:sz w:val="20"/>
          <w:szCs w:val="20"/>
          <w:lang w:val="es-ES"/>
        </w:rPr>
        <w:t xml:space="preserve">. </w:t>
      </w:r>
    </w:p>
    <w:p w14:paraId="39A4831C" w14:textId="77777777" w:rsidR="00284ADE" w:rsidRPr="00E019A9" w:rsidRDefault="00284ADE" w:rsidP="00284ADE">
      <w:pPr>
        <w:pStyle w:val="ListParagraph"/>
        <w:rPr>
          <w:sz w:val="20"/>
          <w:szCs w:val="20"/>
          <w:lang w:val="es-ES"/>
        </w:rPr>
      </w:pPr>
    </w:p>
    <w:p w14:paraId="7746A7CE" w14:textId="77777777" w:rsidR="00284ADE" w:rsidRPr="00E019A9" w:rsidRDefault="00F2457F" w:rsidP="00BB60A6">
      <w:pPr>
        <w:pStyle w:val="ListParagraph"/>
        <w:numPr>
          <w:ilvl w:val="0"/>
          <w:numId w:val="58"/>
        </w:numPr>
        <w:tabs>
          <w:tab w:val="left" w:pos="567"/>
        </w:tabs>
        <w:ind w:left="0" w:firstLine="0"/>
        <w:jc w:val="both"/>
        <w:rPr>
          <w:sz w:val="20"/>
          <w:szCs w:val="20"/>
          <w:lang w:val="es-ES"/>
        </w:rPr>
      </w:pPr>
      <w:r w:rsidRPr="00E019A9">
        <w:rPr>
          <w:sz w:val="20"/>
          <w:szCs w:val="20"/>
          <w:lang w:val="es-ES"/>
        </w:rPr>
        <w:t>El 5 de enero de 2009 la Séptima Sala de la Corte de Apelaciones de Santiago desechó el recurso de casación interpuesto por el abogado de Pedro Espinoza Bravo, confirmó en lo apelado y aprobó en lo consultado la sentencia de primera instancia de fecha 17 de abril de 2010</w:t>
      </w:r>
      <w:r w:rsidRPr="00E019A9">
        <w:rPr>
          <w:rStyle w:val="FootnoteReference"/>
          <w:sz w:val="20"/>
          <w:szCs w:val="20"/>
          <w:lang w:val="es-ES"/>
        </w:rPr>
        <w:footnoteReference w:id="173"/>
      </w:r>
      <w:r w:rsidRPr="00E019A9">
        <w:rPr>
          <w:sz w:val="20"/>
          <w:szCs w:val="20"/>
          <w:lang w:val="es-ES"/>
        </w:rPr>
        <w:t xml:space="preserve">. </w:t>
      </w:r>
    </w:p>
    <w:p w14:paraId="6CA0737C" w14:textId="77777777" w:rsidR="00F2457F" w:rsidRPr="00E019A9" w:rsidRDefault="00F2457F" w:rsidP="00F2457F">
      <w:pPr>
        <w:pStyle w:val="ListParagraph"/>
        <w:rPr>
          <w:sz w:val="20"/>
          <w:szCs w:val="20"/>
          <w:lang w:val="es-ES"/>
        </w:rPr>
      </w:pPr>
    </w:p>
    <w:p w14:paraId="627B3A61" w14:textId="77777777" w:rsidR="00F2457F" w:rsidRPr="00E019A9" w:rsidRDefault="00F2457F" w:rsidP="00BB60A6">
      <w:pPr>
        <w:pStyle w:val="ListParagraph"/>
        <w:numPr>
          <w:ilvl w:val="0"/>
          <w:numId w:val="58"/>
        </w:numPr>
        <w:tabs>
          <w:tab w:val="left" w:pos="567"/>
        </w:tabs>
        <w:ind w:left="0" w:firstLine="0"/>
        <w:jc w:val="both"/>
        <w:rPr>
          <w:sz w:val="20"/>
          <w:szCs w:val="20"/>
          <w:lang w:val="es-ES"/>
        </w:rPr>
      </w:pPr>
      <w:r w:rsidRPr="00E019A9">
        <w:rPr>
          <w:sz w:val="20"/>
          <w:szCs w:val="20"/>
          <w:lang w:val="es-ES"/>
        </w:rPr>
        <w:t xml:space="preserve">Ante estas decisiones, los abogados defensores de los sentenciados Ferrer Lima y Manríquez Bravo presentaron un recurso de casación en el fondo conforme las causales primera y séptima del </w:t>
      </w:r>
      <w:r w:rsidR="00C266C8" w:rsidRPr="00E019A9">
        <w:rPr>
          <w:sz w:val="20"/>
          <w:szCs w:val="20"/>
          <w:lang w:val="es-ES"/>
        </w:rPr>
        <w:t>artículo</w:t>
      </w:r>
      <w:r w:rsidRPr="00E019A9">
        <w:rPr>
          <w:sz w:val="20"/>
          <w:szCs w:val="20"/>
          <w:lang w:val="es-ES"/>
        </w:rPr>
        <w:t xml:space="preserve"> 546 del Código de Procedimiento Penal. El 25 de enero de 2010 la Segunda Sala de la Corte Suprema de Justicia decidió invalidar de oficio la sentencia impugnada y dictar una nueva en su reemplazo</w:t>
      </w:r>
      <w:r w:rsidR="00B71EDD" w:rsidRPr="00E019A9">
        <w:rPr>
          <w:rStyle w:val="FootnoteReference"/>
          <w:sz w:val="20"/>
          <w:szCs w:val="20"/>
          <w:lang w:val="es-ES"/>
        </w:rPr>
        <w:footnoteReference w:id="174"/>
      </w:r>
      <w:r w:rsidRPr="00E019A9">
        <w:rPr>
          <w:sz w:val="20"/>
          <w:szCs w:val="20"/>
          <w:lang w:val="es-ES"/>
        </w:rPr>
        <w:t xml:space="preserve">. </w:t>
      </w:r>
    </w:p>
    <w:p w14:paraId="2C7B8F74" w14:textId="77777777" w:rsidR="00D43B5F" w:rsidRPr="00E019A9" w:rsidRDefault="00D43B5F" w:rsidP="00D43B5F">
      <w:pPr>
        <w:pStyle w:val="ListParagraph"/>
        <w:rPr>
          <w:sz w:val="20"/>
          <w:szCs w:val="20"/>
          <w:lang w:val="es-ES"/>
        </w:rPr>
      </w:pPr>
    </w:p>
    <w:p w14:paraId="1B3B246B" w14:textId="77777777" w:rsidR="00D43B5F" w:rsidRPr="00E019A9" w:rsidRDefault="00D43B5F" w:rsidP="00BB60A6">
      <w:pPr>
        <w:pStyle w:val="ListParagraph"/>
        <w:numPr>
          <w:ilvl w:val="0"/>
          <w:numId w:val="58"/>
        </w:numPr>
        <w:tabs>
          <w:tab w:val="left" w:pos="567"/>
        </w:tabs>
        <w:ind w:left="0" w:firstLine="0"/>
        <w:jc w:val="both"/>
        <w:rPr>
          <w:sz w:val="20"/>
          <w:szCs w:val="20"/>
          <w:lang w:val="es-ES"/>
        </w:rPr>
      </w:pPr>
      <w:r w:rsidRPr="00E019A9">
        <w:rPr>
          <w:sz w:val="20"/>
          <w:szCs w:val="20"/>
          <w:lang w:val="es-ES"/>
        </w:rPr>
        <w:t xml:space="preserve">Para decidir de este modo, la Corte Suprema argumentó que </w:t>
      </w:r>
      <w:r w:rsidR="00E41AB8" w:rsidRPr="00E019A9">
        <w:rPr>
          <w:sz w:val="20"/>
          <w:szCs w:val="20"/>
          <w:lang w:val="es-ES"/>
        </w:rPr>
        <w:t xml:space="preserve">los magistrados de las instancias inferiores, en violación del </w:t>
      </w:r>
      <w:r w:rsidR="00C266C8" w:rsidRPr="00E019A9">
        <w:rPr>
          <w:sz w:val="20"/>
          <w:szCs w:val="20"/>
          <w:lang w:val="es-ES"/>
        </w:rPr>
        <w:t>artículo</w:t>
      </w:r>
      <w:r w:rsidR="00E41AB8" w:rsidRPr="00E019A9">
        <w:rPr>
          <w:sz w:val="20"/>
          <w:szCs w:val="20"/>
          <w:lang w:val="es-ES"/>
        </w:rPr>
        <w:t xml:space="preserve"> 500 del Código de Procedimiento Penal, omitieron “todo razonamiento en torno a los fundamentos de hecho y derecho que hacían procedente acoger o rechazar la petición efectuada por los acusados referente a la media prescripción”</w:t>
      </w:r>
      <w:r w:rsidR="00E41AB8" w:rsidRPr="00E019A9">
        <w:rPr>
          <w:rStyle w:val="FootnoteReference"/>
          <w:sz w:val="20"/>
          <w:szCs w:val="20"/>
          <w:lang w:val="es-ES"/>
        </w:rPr>
        <w:footnoteReference w:id="175"/>
      </w:r>
      <w:r w:rsidR="00E41AB8" w:rsidRPr="00E019A9">
        <w:rPr>
          <w:sz w:val="20"/>
          <w:szCs w:val="20"/>
          <w:lang w:val="es-ES"/>
        </w:rPr>
        <w:t xml:space="preserve">.  </w:t>
      </w:r>
    </w:p>
    <w:p w14:paraId="46F0D717" w14:textId="77777777" w:rsidR="00E41AB8" w:rsidRPr="00E019A9" w:rsidRDefault="00E41AB8" w:rsidP="00E41AB8">
      <w:pPr>
        <w:pStyle w:val="ListParagraph"/>
        <w:rPr>
          <w:sz w:val="20"/>
          <w:szCs w:val="20"/>
          <w:lang w:val="es-ES"/>
        </w:rPr>
      </w:pPr>
    </w:p>
    <w:p w14:paraId="20786C5E" w14:textId="77777777" w:rsidR="00E41AB8" w:rsidRPr="00E019A9" w:rsidRDefault="00E41AB8" w:rsidP="00BB60A6">
      <w:pPr>
        <w:pStyle w:val="ListParagraph"/>
        <w:numPr>
          <w:ilvl w:val="0"/>
          <w:numId w:val="58"/>
        </w:numPr>
        <w:tabs>
          <w:tab w:val="left" w:pos="567"/>
        </w:tabs>
        <w:ind w:left="0" w:firstLine="0"/>
        <w:jc w:val="both"/>
        <w:rPr>
          <w:sz w:val="20"/>
          <w:szCs w:val="20"/>
          <w:lang w:val="es-ES"/>
        </w:rPr>
      </w:pPr>
      <w:r w:rsidRPr="00E019A9">
        <w:rPr>
          <w:sz w:val="20"/>
          <w:szCs w:val="20"/>
          <w:lang w:val="es-ES"/>
        </w:rPr>
        <w:t>En su sentencia de reemplazo</w:t>
      </w:r>
      <w:r w:rsidR="00E53C80" w:rsidRPr="00E019A9">
        <w:rPr>
          <w:sz w:val="20"/>
          <w:szCs w:val="20"/>
          <w:lang w:val="es-ES"/>
        </w:rPr>
        <w:t xml:space="preserve"> </w:t>
      </w:r>
      <w:r w:rsidR="00983290" w:rsidRPr="00E019A9">
        <w:rPr>
          <w:sz w:val="20"/>
          <w:szCs w:val="20"/>
          <w:lang w:val="es-ES"/>
        </w:rPr>
        <w:t>-</w:t>
      </w:r>
      <w:r w:rsidR="00E53C80" w:rsidRPr="00E019A9">
        <w:rPr>
          <w:sz w:val="20"/>
          <w:szCs w:val="20"/>
          <w:lang w:val="es-ES"/>
        </w:rPr>
        <w:t xml:space="preserve"> dictada el mismo 25 de enero de 2010 - los magistrados de la Corte Suprema comenzaron por reproducir en todos los términos las consideraciones realizadas por los tribunales inferiores relacionadas con la materialidad de los hechos y la participación en los mismos de las personas condenadas. </w:t>
      </w:r>
    </w:p>
    <w:p w14:paraId="46E211EA" w14:textId="77777777" w:rsidR="00E53C80" w:rsidRPr="00E019A9" w:rsidRDefault="00E53C80" w:rsidP="00E53C80">
      <w:pPr>
        <w:pStyle w:val="ListParagraph"/>
        <w:rPr>
          <w:sz w:val="20"/>
          <w:szCs w:val="20"/>
          <w:lang w:val="es-ES"/>
        </w:rPr>
      </w:pPr>
    </w:p>
    <w:p w14:paraId="69D60796" w14:textId="77777777" w:rsidR="00E53C80" w:rsidRPr="00E019A9" w:rsidRDefault="00E53C80" w:rsidP="00BB60A6">
      <w:pPr>
        <w:pStyle w:val="ListParagraph"/>
        <w:numPr>
          <w:ilvl w:val="0"/>
          <w:numId w:val="58"/>
        </w:numPr>
        <w:tabs>
          <w:tab w:val="left" w:pos="567"/>
        </w:tabs>
        <w:ind w:left="0" w:firstLine="0"/>
        <w:jc w:val="both"/>
        <w:rPr>
          <w:sz w:val="20"/>
          <w:szCs w:val="20"/>
          <w:lang w:val="es-ES"/>
        </w:rPr>
      </w:pPr>
      <w:r w:rsidRPr="00E019A9">
        <w:rPr>
          <w:sz w:val="20"/>
          <w:szCs w:val="20"/>
          <w:lang w:val="es-ES"/>
        </w:rPr>
        <w:t xml:space="preserve">A continuación, la Corte Suprema afirmó </w:t>
      </w:r>
      <w:r w:rsidR="0097387F" w:rsidRPr="00E019A9">
        <w:rPr>
          <w:sz w:val="20"/>
          <w:szCs w:val="20"/>
          <w:lang w:val="es-ES"/>
        </w:rPr>
        <w:t xml:space="preserve">que “la imposibilidad de aplicar la institución de la </w:t>
      </w:r>
      <w:r w:rsidR="00A67582" w:rsidRPr="00E019A9">
        <w:rPr>
          <w:sz w:val="20"/>
          <w:szCs w:val="20"/>
          <w:lang w:val="es-ES"/>
        </w:rPr>
        <w:t>prescripción</w:t>
      </w:r>
      <w:r w:rsidR="0097387F" w:rsidRPr="00E019A9">
        <w:rPr>
          <w:sz w:val="20"/>
          <w:szCs w:val="20"/>
          <w:lang w:val="es-ES"/>
        </w:rPr>
        <w:t xml:space="preserve"> de la acción penal, que es causal de extinción de la responsabilidad criminal, no alcanza a la denominada media </w:t>
      </w:r>
      <w:r w:rsidR="00A67582" w:rsidRPr="00E019A9">
        <w:rPr>
          <w:sz w:val="20"/>
          <w:szCs w:val="20"/>
          <w:lang w:val="es-ES"/>
        </w:rPr>
        <w:t>prescripción, gradual, parcial o incompleta, como también se le denomina, que es motivo de atenuación de la pena”</w:t>
      </w:r>
      <w:r w:rsidR="00A67582" w:rsidRPr="00E019A9">
        <w:rPr>
          <w:rStyle w:val="FootnoteReference"/>
          <w:sz w:val="20"/>
          <w:szCs w:val="20"/>
          <w:lang w:val="es-ES"/>
        </w:rPr>
        <w:footnoteReference w:id="176"/>
      </w:r>
      <w:r w:rsidR="00A67582" w:rsidRPr="00E019A9">
        <w:rPr>
          <w:sz w:val="20"/>
          <w:szCs w:val="20"/>
          <w:lang w:val="es-ES"/>
        </w:rPr>
        <w:t>. Asimismo, el tribunal sostuvo que el carácter de norma de orden p</w:t>
      </w:r>
      <w:r w:rsidR="00983290" w:rsidRPr="00E019A9">
        <w:rPr>
          <w:sz w:val="20"/>
          <w:szCs w:val="20"/>
          <w:lang w:val="es-ES"/>
        </w:rPr>
        <w:t>ú</w:t>
      </w:r>
      <w:r w:rsidR="00A67582" w:rsidRPr="00E019A9">
        <w:rPr>
          <w:sz w:val="20"/>
          <w:szCs w:val="20"/>
          <w:lang w:val="es-ES"/>
        </w:rPr>
        <w:t xml:space="preserve">blico del </w:t>
      </w:r>
      <w:r w:rsidR="00C266C8" w:rsidRPr="00E019A9">
        <w:rPr>
          <w:sz w:val="20"/>
          <w:szCs w:val="20"/>
          <w:lang w:val="es-ES"/>
        </w:rPr>
        <w:t>artículo</w:t>
      </w:r>
      <w:r w:rsidR="00A67582" w:rsidRPr="00E019A9">
        <w:rPr>
          <w:sz w:val="20"/>
          <w:szCs w:val="20"/>
          <w:lang w:val="es-ES"/>
        </w:rPr>
        <w:t xml:space="preserve"> 103 del </w:t>
      </w:r>
      <w:r w:rsidR="00983290" w:rsidRPr="00E019A9">
        <w:rPr>
          <w:sz w:val="20"/>
          <w:szCs w:val="20"/>
          <w:lang w:val="es-ES"/>
        </w:rPr>
        <w:t>Código</w:t>
      </w:r>
      <w:r w:rsidR="00A67582" w:rsidRPr="00E019A9">
        <w:rPr>
          <w:sz w:val="20"/>
          <w:szCs w:val="20"/>
          <w:lang w:val="es-ES"/>
        </w:rPr>
        <w:t xml:space="preserve"> Penal que consagra la figura de la media prescripción hace que su aplicación sea imperativa para los jueces. </w:t>
      </w:r>
    </w:p>
    <w:p w14:paraId="52EDED91" w14:textId="77777777" w:rsidR="00A67582" w:rsidRPr="00E019A9" w:rsidRDefault="00A67582" w:rsidP="00A67582">
      <w:pPr>
        <w:pStyle w:val="ListParagraph"/>
        <w:rPr>
          <w:sz w:val="20"/>
          <w:szCs w:val="20"/>
          <w:lang w:val="es-ES"/>
        </w:rPr>
      </w:pPr>
    </w:p>
    <w:p w14:paraId="0CBFB8FB" w14:textId="77777777" w:rsidR="00A67582" w:rsidRPr="00E019A9" w:rsidRDefault="00A67582" w:rsidP="00BB60A6">
      <w:pPr>
        <w:pStyle w:val="ListParagraph"/>
        <w:numPr>
          <w:ilvl w:val="0"/>
          <w:numId w:val="58"/>
        </w:numPr>
        <w:tabs>
          <w:tab w:val="left" w:pos="567"/>
        </w:tabs>
        <w:ind w:left="0" w:firstLine="0"/>
        <w:jc w:val="both"/>
        <w:rPr>
          <w:sz w:val="20"/>
          <w:szCs w:val="20"/>
          <w:lang w:val="es-ES"/>
        </w:rPr>
      </w:pPr>
      <w:r w:rsidRPr="00E019A9">
        <w:rPr>
          <w:sz w:val="20"/>
          <w:szCs w:val="20"/>
          <w:lang w:val="es-ES"/>
        </w:rPr>
        <w:t xml:space="preserve">En lo que respecta a la aplicación concreta de la figura de la media </w:t>
      </w:r>
      <w:r w:rsidR="00983290" w:rsidRPr="00E019A9">
        <w:rPr>
          <w:sz w:val="20"/>
          <w:szCs w:val="20"/>
          <w:lang w:val="es-ES"/>
        </w:rPr>
        <w:t>prescripción</w:t>
      </w:r>
      <w:r w:rsidRPr="00E019A9">
        <w:rPr>
          <w:sz w:val="20"/>
          <w:szCs w:val="20"/>
          <w:lang w:val="es-ES"/>
        </w:rPr>
        <w:t xml:space="preserve"> en </w:t>
      </w:r>
      <w:r w:rsidR="00983290" w:rsidRPr="00E019A9">
        <w:rPr>
          <w:sz w:val="20"/>
          <w:szCs w:val="20"/>
          <w:lang w:val="es-ES"/>
        </w:rPr>
        <w:t>este caso</w:t>
      </w:r>
      <w:r w:rsidRPr="00E019A9">
        <w:rPr>
          <w:sz w:val="20"/>
          <w:szCs w:val="20"/>
          <w:lang w:val="es-ES"/>
        </w:rPr>
        <w:t>, la Corte Suprema señaló que</w:t>
      </w:r>
      <w:r w:rsidR="00983290" w:rsidRPr="00E019A9">
        <w:rPr>
          <w:sz w:val="20"/>
          <w:szCs w:val="20"/>
          <w:lang w:val="es-ES"/>
        </w:rPr>
        <w:t xml:space="preserve">, dado que el Sr. Salinas Eytel fue secuestrado el día 31 de octubre de 1974 y que el delito de secuestro calificado - conforme la redacción del </w:t>
      </w:r>
      <w:r w:rsidR="00C266C8" w:rsidRPr="00E019A9">
        <w:rPr>
          <w:sz w:val="20"/>
          <w:szCs w:val="20"/>
          <w:lang w:val="es-ES"/>
        </w:rPr>
        <w:t>artículo</w:t>
      </w:r>
      <w:r w:rsidR="00983290" w:rsidRPr="00E019A9">
        <w:rPr>
          <w:sz w:val="20"/>
          <w:szCs w:val="20"/>
          <w:lang w:val="es-ES"/>
        </w:rPr>
        <w:t xml:space="preserve"> 141 del Código Penal vigente al momento de los hechos - se consuma cuando transcurre el día 91 de privación de la libertad, el plazo de 5 años previsto para la aplicación de la figura de la media prescripción debía comenzar a contarse desde ese </w:t>
      </w:r>
      <w:r w:rsidR="00E05B26" w:rsidRPr="00E019A9">
        <w:rPr>
          <w:sz w:val="20"/>
          <w:szCs w:val="20"/>
          <w:lang w:val="es-ES"/>
        </w:rPr>
        <w:t>día</w:t>
      </w:r>
      <w:r w:rsidR="00983290" w:rsidRPr="00E019A9">
        <w:rPr>
          <w:sz w:val="20"/>
          <w:szCs w:val="20"/>
          <w:lang w:val="es-ES"/>
        </w:rPr>
        <w:t xml:space="preserve">. En esta línea, el tribunal argumentó que transcurrieron </w:t>
      </w:r>
      <w:r w:rsidR="00C266C8" w:rsidRPr="00E019A9">
        <w:rPr>
          <w:sz w:val="20"/>
          <w:szCs w:val="20"/>
          <w:lang w:val="es-ES"/>
        </w:rPr>
        <w:t>más</w:t>
      </w:r>
      <w:r w:rsidR="00983290" w:rsidRPr="00E019A9">
        <w:rPr>
          <w:sz w:val="20"/>
          <w:szCs w:val="20"/>
          <w:lang w:val="es-ES"/>
        </w:rPr>
        <w:t xml:space="preserve"> de treinta años desde el momento de la consumación del </w:t>
      </w:r>
      <w:r w:rsidR="00E05B26" w:rsidRPr="00E019A9">
        <w:rPr>
          <w:sz w:val="20"/>
          <w:szCs w:val="20"/>
          <w:lang w:val="es-ES"/>
        </w:rPr>
        <w:t>d</w:t>
      </w:r>
      <w:r w:rsidR="00983290" w:rsidRPr="00E019A9">
        <w:rPr>
          <w:sz w:val="20"/>
          <w:szCs w:val="20"/>
          <w:lang w:val="es-ES"/>
        </w:rPr>
        <w:t>elito hasta el sometimiento a proceso de los condenados</w:t>
      </w:r>
      <w:r w:rsidR="00DD0DCA" w:rsidRPr="00E019A9">
        <w:rPr>
          <w:sz w:val="20"/>
          <w:szCs w:val="20"/>
          <w:lang w:val="es-ES"/>
        </w:rPr>
        <w:t>, por lo que resultaba aplicable al caso la figura de la media prescripción a favor de todos los condenados</w:t>
      </w:r>
      <w:r w:rsidR="00983290" w:rsidRPr="00E019A9">
        <w:rPr>
          <w:rStyle w:val="FootnoteReference"/>
          <w:sz w:val="20"/>
          <w:szCs w:val="20"/>
          <w:lang w:val="es-ES"/>
        </w:rPr>
        <w:footnoteReference w:id="177"/>
      </w:r>
      <w:r w:rsidR="00983290" w:rsidRPr="00E019A9">
        <w:rPr>
          <w:sz w:val="20"/>
          <w:szCs w:val="20"/>
          <w:lang w:val="es-ES"/>
        </w:rPr>
        <w:t xml:space="preserve">. </w:t>
      </w:r>
    </w:p>
    <w:p w14:paraId="32283ED7" w14:textId="77777777" w:rsidR="00DD0DCA" w:rsidRPr="00E019A9" w:rsidRDefault="00DD0DCA" w:rsidP="00DD0DCA">
      <w:pPr>
        <w:pStyle w:val="ListParagraph"/>
        <w:rPr>
          <w:sz w:val="20"/>
          <w:szCs w:val="20"/>
          <w:lang w:val="es-ES"/>
        </w:rPr>
      </w:pPr>
    </w:p>
    <w:p w14:paraId="4CFF86C9" w14:textId="77777777" w:rsidR="006C1B06" w:rsidRPr="00E019A9" w:rsidRDefault="00DD0DCA"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
        </w:rPr>
        <w:t xml:space="preserve">En consecuencia, el tribunal declaró que los </w:t>
      </w:r>
      <w:r w:rsidR="00384F47" w:rsidRPr="00E019A9">
        <w:rPr>
          <w:sz w:val="20"/>
          <w:szCs w:val="20"/>
          <w:lang w:val="es-ES"/>
        </w:rPr>
        <w:t>acusados</w:t>
      </w:r>
      <w:r w:rsidRPr="00E019A9">
        <w:rPr>
          <w:sz w:val="20"/>
          <w:szCs w:val="20"/>
          <w:lang w:val="es-ES"/>
        </w:rPr>
        <w:t xml:space="preserve"> Miguel Krassnoff Martchenko, César </w:t>
      </w:r>
      <w:r w:rsidR="00B41C85" w:rsidRPr="00E019A9">
        <w:rPr>
          <w:sz w:val="20"/>
          <w:szCs w:val="20"/>
          <w:lang w:val="es-ES"/>
        </w:rPr>
        <w:t>Manríquez</w:t>
      </w:r>
      <w:r w:rsidRPr="00E019A9">
        <w:rPr>
          <w:sz w:val="20"/>
          <w:szCs w:val="20"/>
          <w:lang w:val="es-ES"/>
        </w:rPr>
        <w:t xml:space="preserve">  Bravo y Francisco Maximiliano Ferrer Lima resultaban favorecidos por las atenuantes de irreprochable conducta anterior (art 11.6 del </w:t>
      </w:r>
      <w:r w:rsidR="00384F47" w:rsidRPr="00E019A9">
        <w:rPr>
          <w:sz w:val="20"/>
          <w:szCs w:val="20"/>
          <w:lang w:val="es-ES"/>
        </w:rPr>
        <w:t>Código</w:t>
      </w:r>
      <w:r w:rsidRPr="00E019A9">
        <w:rPr>
          <w:sz w:val="20"/>
          <w:szCs w:val="20"/>
          <w:lang w:val="es-ES"/>
        </w:rPr>
        <w:t xml:space="preserve"> Penal) y </w:t>
      </w:r>
      <w:r w:rsidR="00384F47" w:rsidRPr="00E019A9">
        <w:rPr>
          <w:sz w:val="20"/>
          <w:szCs w:val="20"/>
          <w:lang w:val="es-ES"/>
        </w:rPr>
        <w:t>media prescripción (art 103 Código Penal) En consecuencia, los jueces disminuyeron en un tramo desde el mínimo la penalidad prevista para el delito de secuestro calificado y fijaron la condena  de ellos – y la de Pedro Octavio Espinoza Bravo – en tres años y un día de presidio menor en su grado máximo por resultar coautores del delito de secuestro calificado. Finalmente, el acusado Juan Manuel Guillermo Contreras Sepúlveda fue condenado a la pena de 5 años de presidio mayor máximo por su participación como coautor del secuestro del Sr. Salinas Eytel</w:t>
      </w:r>
      <w:r w:rsidR="00384F47" w:rsidRPr="00E019A9">
        <w:rPr>
          <w:rStyle w:val="FootnoteReference"/>
          <w:sz w:val="20"/>
          <w:szCs w:val="20"/>
          <w:lang w:val="es-ES"/>
        </w:rPr>
        <w:footnoteReference w:id="178"/>
      </w:r>
      <w:r w:rsidR="00384F47" w:rsidRPr="00E019A9">
        <w:rPr>
          <w:sz w:val="20"/>
          <w:szCs w:val="20"/>
          <w:lang w:val="es-ES"/>
        </w:rPr>
        <w:t xml:space="preserve">. </w:t>
      </w:r>
      <w:r w:rsidR="00B41C85" w:rsidRPr="00E019A9">
        <w:rPr>
          <w:sz w:val="20"/>
          <w:szCs w:val="20"/>
          <w:lang w:val="es-ES"/>
        </w:rPr>
        <w:t xml:space="preserve">El tribunal concedió a todos los sentenciados el beneficio alternativo de libertad vigilada contemplado en el </w:t>
      </w:r>
      <w:r w:rsidR="00C266C8" w:rsidRPr="00E019A9">
        <w:rPr>
          <w:sz w:val="20"/>
          <w:szCs w:val="20"/>
          <w:lang w:val="es-ES"/>
        </w:rPr>
        <w:t>artículo</w:t>
      </w:r>
      <w:r w:rsidR="00B41C85" w:rsidRPr="00E019A9">
        <w:rPr>
          <w:sz w:val="20"/>
          <w:szCs w:val="20"/>
          <w:lang w:val="es-ES"/>
        </w:rPr>
        <w:t xml:space="preserve"> 15 de la ley 18.216. </w:t>
      </w:r>
    </w:p>
    <w:p w14:paraId="01E2AE35" w14:textId="77777777" w:rsidR="00B41C85" w:rsidRPr="00E019A9" w:rsidRDefault="00B41C85" w:rsidP="00B41C85">
      <w:pPr>
        <w:pStyle w:val="ListParagraph"/>
        <w:tabs>
          <w:tab w:val="left" w:pos="567"/>
        </w:tabs>
        <w:ind w:left="0"/>
        <w:jc w:val="both"/>
        <w:rPr>
          <w:sz w:val="20"/>
          <w:szCs w:val="20"/>
          <w:lang w:val="es-ES_tradnl"/>
        </w:rPr>
      </w:pPr>
    </w:p>
    <w:p w14:paraId="7041CAEB" w14:textId="77777777" w:rsidR="006C1B06" w:rsidRPr="00E019A9" w:rsidRDefault="006C1B06" w:rsidP="00BB60A6">
      <w:pPr>
        <w:pStyle w:val="Heading3"/>
        <w:numPr>
          <w:ilvl w:val="1"/>
          <w:numId w:val="59"/>
        </w:numPr>
        <w:tabs>
          <w:tab w:val="left" w:pos="567"/>
          <w:tab w:val="left" w:pos="1134"/>
        </w:tabs>
        <w:ind w:left="567" w:firstLine="0"/>
        <w:jc w:val="both"/>
      </w:pPr>
      <w:r w:rsidRPr="00E019A9">
        <w:t>Respecto de la petición presentada en representación de Gerardo Antonio Encina Pérez y sus respectivos familiares y registrada inicialmente por la Comisión bajo el número P 1211-10.</w:t>
      </w:r>
    </w:p>
    <w:p w14:paraId="271284E6" w14:textId="77777777" w:rsidR="006C1B06" w:rsidRPr="00E019A9" w:rsidRDefault="006C1B06" w:rsidP="00F13801">
      <w:pPr>
        <w:tabs>
          <w:tab w:val="left" w:pos="567"/>
        </w:tabs>
        <w:jc w:val="both"/>
        <w:rPr>
          <w:rFonts w:ascii="Cambria" w:hAnsi="Cambria"/>
          <w:sz w:val="20"/>
          <w:szCs w:val="20"/>
          <w:lang w:val="es-ES_tradnl" w:eastAsia="es-ES"/>
        </w:rPr>
      </w:pPr>
    </w:p>
    <w:p w14:paraId="0C8128C6" w14:textId="77777777" w:rsidR="00F13801" w:rsidRPr="00E019A9" w:rsidRDefault="00BB3715"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 xml:space="preserve">De acuerdo con la información </w:t>
      </w:r>
      <w:r w:rsidR="00C500EF" w:rsidRPr="00E019A9">
        <w:rPr>
          <w:sz w:val="20"/>
          <w:szCs w:val="20"/>
          <w:lang w:val="es-ES_tradnl"/>
        </w:rPr>
        <w:t xml:space="preserve">en poder de la </w:t>
      </w:r>
      <w:r w:rsidR="00F40656" w:rsidRPr="00E019A9">
        <w:rPr>
          <w:sz w:val="20"/>
          <w:szCs w:val="20"/>
          <w:lang w:val="es-ES_tradnl"/>
        </w:rPr>
        <w:t>Comisión</w:t>
      </w:r>
      <w:r w:rsidR="00C500EF" w:rsidRPr="00E019A9">
        <w:rPr>
          <w:sz w:val="20"/>
          <w:szCs w:val="20"/>
          <w:lang w:val="es-ES_tradnl"/>
        </w:rPr>
        <w:t xml:space="preserve"> se </w:t>
      </w:r>
      <w:r w:rsidR="00F40656" w:rsidRPr="00E019A9">
        <w:rPr>
          <w:sz w:val="20"/>
          <w:szCs w:val="20"/>
          <w:lang w:val="es-ES_tradnl"/>
        </w:rPr>
        <w:t xml:space="preserve">encuentra </w:t>
      </w:r>
      <w:r w:rsidR="00C500EF" w:rsidRPr="00E019A9">
        <w:rPr>
          <w:sz w:val="20"/>
          <w:szCs w:val="20"/>
          <w:lang w:val="es-ES_tradnl"/>
        </w:rPr>
        <w:t xml:space="preserve">acreditado que el </w:t>
      </w:r>
      <w:r w:rsidR="00BF0E69" w:rsidRPr="00E019A9">
        <w:rPr>
          <w:sz w:val="20"/>
          <w:szCs w:val="20"/>
          <w:lang w:val="es-ES_tradnl"/>
        </w:rPr>
        <w:t>día</w:t>
      </w:r>
      <w:r w:rsidR="00C500EF" w:rsidRPr="00E019A9">
        <w:rPr>
          <w:sz w:val="20"/>
          <w:szCs w:val="20"/>
          <w:lang w:val="es-ES_tradnl"/>
        </w:rPr>
        <w:t xml:space="preserve"> 2 de octubre de 1973 el Sr. Gerardo Antonio Encina </w:t>
      </w:r>
      <w:r w:rsidR="00BF0E69" w:rsidRPr="00E019A9">
        <w:rPr>
          <w:sz w:val="20"/>
          <w:szCs w:val="20"/>
          <w:lang w:val="es-ES_tradnl"/>
        </w:rPr>
        <w:t>Pérez</w:t>
      </w:r>
      <w:r w:rsidR="00F13801" w:rsidRPr="00E019A9">
        <w:rPr>
          <w:sz w:val="20"/>
          <w:szCs w:val="20"/>
          <w:lang w:val="es-ES_tradnl"/>
        </w:rPr>
        <w:t>, militante del Partido Socialista de Chile,</w:t>
      </w:r>
      <w:r w:rsidR="00C500EF" w:rsidRPr="00E019A9">
        <w:rPr>
          <w:sz w:val="20"/>
          <w:szCs w:val="20"/>
          <w:lang w:val="es-ES_tradnl"/>
        </w:rPr>
        <w:t xml:space="preserve"> fue privado de su libertad </w:t>
      </w:r>
      <w:r w:rsidR="006D7334" w:rsidRPr="00E019A9">
        <w:rPr>
          <w:sz w:val="20"/>
          <w:szCs w:val="20"/>
          <w:lang w:val="es-ES_tradnl"/>
        </w:rPr>
        <w:lastRenderedPageBreak/>
        <w:t>luego de haberse</w:t>
      </w:r>
      <w:r w:rsidR="00C500EF" w:rsidRPr="00E019A9">
        <w:rPr>
          <w:sz w:val="20"/>
          <w:szCs w:val="20"/>
          <w:lang w:val="es-ES_tradnl"/>
        </w:rPr>
        <w:t xml:space="preserve"> presenta</w:t>
      </w:r>
      <w:r w:rsidR="006D7334" w:rsidRPr="00E019A9">
        <w:rPr>
          <w:sz w:val="20"/>
          <w:szCs w:val="20"/>
          <w:lang w:val="es-ES_tradnl"/>
        </w:rPr>
        <w:t xml:space="preserve">do de manera voluntaria </w:t>
      </w:r>
      <w:r w:rsidR="00F13801" w:rsidRPr="00E019A9">
        <w:rPr>
          <w:sz w:val="20"/>
          <w:szCs w:val="20"/>
          <w:lang w:val="es-ES_tradnl"/>
        </w:rPr>
        <w:t>en la 5° Comisaria de Carabineros de San Javier de Loncomilla, Región del Maule</w:t>
      </w:r>
      <w:r w:rsidR="006D7334" w:rsidRPr="00E019A9">
        <w:rPr>
          <w:sz w:val="20"/>
          <w:szCs w:val="20"/>
          <w:lang w:val="es-ES_tradnl"/>
        </w:rPr>
        <w:t xml:space="preserve"> ante un citación efectuada por una patrulla policial</w:t>
      </w:r>
      <w:r w:rsidR="006D7334" w:rsidRPr="00E019A9">
        <w:rPr>
          <w:rStyle w:val="FootnoteReference"/>
          <w:sz w:val="20"/>
          <w:szCs w:val="20"/>
          <w:lang w:val="es-ES_tradnl"/>
        </w:rPr>
        <w:footnoteReference w:id="179"/>
      </w:r>
      <w:r w:rsidR="00F13801" w:rsidRPr="00E019A9">
        <w:rPr>
          <w:sz w:val="20"/>
          <w:szCs w:val="20"/>
          <w:lang w:val="es-ES_tradnl"/>
        </w:rPr>
        <w:t xml:space="preserve">. </w:t>
      </w:r>
    </w:p>
    <w:p w14:paraId="5205F6C4" w14:textId="77777777" w:rsidR="00F13801" w:rsidRPr="00E019A9" w:rsidRDefault="00F13801" w:rsidP="0049068A">
      <w:pPr>
        <w:pStyle w:val="ListParagraph"/>
        <w:tabs>
          <w:tab w:val="left" w:pos="567"/>
        </w:tabs>
        <w:ind w:left="0"/>
        <w:jc w:val="both"/>
        <w:rPr>
          <w:sz w:val="20"/>
          <w:szCs w:val="20"/>
          <w:lang w:val="es-ES_tradnl"/>
        </w:rPr>
      </w:pPr>
    </w:p>
    <w:p w14:paraId="49D897F1" w14:textId="77777777" w:rsidR="00BB3715" w:rsidRPr="00E019A9" w:rsidRDefault="006D7334"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 xml:space="preserve">Se encuentra </w:t>
      </w:r>
      <w:r w:rsidR="00FD7C5E" w:rsidRPr="00E019A9">
        <w:rPr>
          <w:sz w:val="20"/>
          <w:szCs w:val="20"/>
          <w:lang w:val="es-ES_tradnl"/>
        </w:rPr>
        <w:t>también</w:t>
      </w:r>
      <w:r w:rsidRPr="00E019A9">
        <w:rPr>
          <w:sz w:val="20"/>
          <w:szCs w:val="20"/>
          <w:lang w:val="es-ES_tradnl"/>
        </w:rPr>
        <w:t xml:space="preserve"> </w:t>
      </w:r>
      <w:r w:rsidR="00FD7C5E" w:rsidRPr="00E019A9">
        <w:rPr>
          <w:sz w:val="20"/>
          <w:szCs w:val="20"/>
          <w:lang w:val="es-ES_tradnl"/>
        </w:rPr>
        <w:t xml:space="preserve">comprobado a nivel judicial </w:t>
      </w:r>
      <w:r w:rsidR="004174F3" w:rsidRPr="00E019A9">
        <w:rPr>
          <w:sz w:val="20"/>
          <w:szCs w:val="20"/>
          <w:lang w:val="es-ES_tradnl"/>
        </w:rPr>
        <w:t>que,</w:t>
      </w:r>
      <w:r w:rsidR="00FD7C5E" w:rsidRPr="00E019A9">
        <w:rPr>
          <w:sz w:val="20"/>
          <w:szCs w:val="20"/>
          <w:lang w:val="es-ES_tradnl"/>
        </w:rPr>
        <w:t xml:space="preserve"> e</w:t>
      </w:r>
      <w:r w:rsidR="00F13801" w:rsidRPr="00E019A9">
        <w:rPr>
          <w:sz w:val="20"/>
          <w:szCs w:val="20"/>
          <w:lang w:val="es-ES_tradnl"/>
        </w:rPr>
        <w:t xml:space="preserve">n los días posteriores, la esposa del Sr. Encina Pérez concurrió a la mencionada dependencia policial sin obtener noticias del paradero de su marido. Aproximadamente diez o quince días después de la detención del Sr. Encina Pérez, </w:t>
      </w:r>
      <w:r w:rsidR="00E35A2D" w:rsidRPr="00E019A9">
        <w:rPr>
          <w:sz w:val="20"/>
          <w:szCs w:val="20"/>
          <w:lang w:val="es-ES_tradnl"/>
        </w:rPr>
        <w:t>un grupo</w:t>
      </w:r>
      <w:r w:rsidR="00F13801" w:rsidRPr="00E019A9">
        <w:rPr>
          <w:sz w:val="20"/>
          <w:szCs w:val="20"/>
          <w:lang w:val="es-ES_tradnl"/>
        </w:rPr>
        <w:t xml:space="preserve"> de familiares de otros detenidos-desaparecidos </w:t>
      </w:r>
      <w:r w:rsidR="00FD7C5E" w:rsidRPr="00E019A9">
        <w:rPr>
          <w:sz w:val="20"/>
          <w:szCs w:val="20"/>
          <w:lang w:val="es-ES_tradnl"/>
        </w:rPr>
        <w:t>residentes en</w:t>
      </w:r>
      <w:r w:rsidR="00F13801" w:rsidRPr="00E019A9">
        <w:rPr>
          <w:sz w:val="20"/>
          <w:szCs w:val="20"/>
          <w:lang w:val="es-ES_tradnl"/>
        </w:rPr>
        <w:t xml:space="preserve"> la zona obtuvieron autorización de las autoridades militares para llevar a cabo un rastrillaje en el rio Loncomilla</w:t>
      </w:r>
      <w:r w:rsidR="00E35A2D" w:rsidRPr="00E019A9">
        <w:rPr>
          <w:sz w:val="20"/>
          <w:szCs w:val="20"/>
          <w:lang w:val="es-ES_tradnl"/>
        </w:rPr>
        <w:t xml:space="preserve"> con el fin de </w:t>
      </w:r>
      <w:r w:rsidR="00AB1DA8" w:rsidRPr="00E019A9">
        <w:rPr>
          <w:sz w:val="20"/>
          <w:szCs w:val="20"/>
          <w:lang w:val="es-ES_tradnl"/>
        </w:rPr>
        <w:t xml:space="preserve">localizar </w:t>
      </w:r>
      <w:r w:rsidR="00FD7C5E" w:rsidRPr="00E019A9">
        <w:rPr>
          <w:sz w:val="20"/>
          <w:szCs w:val="20"/>
          <w:lang w:val="es-ES_tradnl"/>
        </w:rPr>
        <w:t>los cuerpos de sus seres queridos</w:t>
      </w:r>
      <w:r w:rsidR="00AB1DA8" w:rsidRPr="00E019A9">
        <w:rPr>
          <w:sz w:val="20"/>
          <w:szCs w:val="20"/>
          <w:lang w:val="es-ES_tradnl"/>
        </w:rPr>
        <w:t xml:space="preserve"> que se hallarían </w:t>
      </w:r>
      <w:r w:rsidR="00E35A2D" w:rsidRPr="00E019A9">
        <w:rPr>
          <w:sz w:val="20"/>
          <w:szCs w:val="20"/>
          <w:lang w:val="es-ES_tradnl"/>
        </w:rPr>
        <w:t xml:space="preserve">sumergidos </w:t>
      </w:r>
      <w:r w:rsidR="00AB1DA8" w:rsidRPr="00E019A9">
        <w:rPr>
          <w:sz w:val="20"/>
          <w:szCs w:val="20"/>
          <w:lang w:val="es-ES_tradnl"/>
        </w:rPr>
        <w:t xml:space="preserve">en el agua. </w:t>
      </w:r>
      <w:r w:rsidR="00FD7C5E" w:rsidRPr="00E019A9">
        <w:rPr>
          <w:sz w:val="20"/>
          <w:szCs w:val="20"/>
          <w:lang w:val="es-ES_tradnl"/>
        </w:rPr>
        <w:t xml:space="preserve">Durante ese trabajo fue encontrado el cuerpo sin vida del Sr. Encina Pérez, el cual </w:t>
      </w:r>
      <w:r w:rsidR="00C266C8" w:rsidRPr="00E019A9">
        <w:rPr>
          <w:sz w:val="20"/>
          <w:szCs w:val="20"/>
          <w:lang w:val="es-ES_tradnl"/>
        </w:rPr>
        <w:t>tenía</w:t>
      </w:r>
      <w:r w:rsidR="00FD7C5E" w:rsidRPr="00E019A9">
        <w:rPr>
          <w:sz w:val="20"/>
          <w:szCs w:val="20"/>
          <w:lang w:val="es-ES_tradnl"/>
        </w:rPr>
        <w:t xml:space="preserve"> múltiples orificios de impactos de bala en el tórax y espalda. Los familiares que estaban desarrollando esa tarea decidieron devolver el cuerpo de la victima de este caso al agua por temor toda vez que no tenían autorización de las autoridades para su rescate. A la fecha, el Sr. Encina Pérez permanece en calidad de desaparecido</w:t>
      </w:r>
      <w:r w:rsidR="00FD7C5E" w:rsidRPr="00E019A9">
        <w:rPr>
          <w:rStyle w:val="FootnoteReference"/>
          <w:sz w:val="20"/>
          <w:szCs w:val="20"/>
          <w:lang w:val="es-ES_tradnl"/>
        </w:rPr>
        <w:footnoteReference w:id="180"/>
      </w:r>
      <w:r w:rsidR="00FD7C5E" w:rsidRPr="00E019A9">
        <w:rPr>
          <w:sz w:val="20"/>
          <w:szCs w:val="20"/>
          <w:lang w:val="es-ES_tradnl"/>
        </w:rPr>
        <w:t xml:space="preserve">. </w:t>
      </w:r>
    </w:p>
    <w:p w14:paraId="1549D11E" w14:textId="77777777" w:rsidR="00FD7C5E" w:rsidRPr="00E019A9" w:rsidRDefault="00FD7C5E" w:rsidP="0049068A">
      <w:pPr>
        <w:pStyle w:val="ListParagraph"/>
        <w:tabs>
          <w:tab w:val="left" w:pos="567"/>
        </w:tabs>
        <w:rPr>
          <w:sz w:val="20"/>
          <w:szCs w:val="20"/>
          <w:lang w:val="es-ES_tradnl"/>
        </w:rPr>
      </w:pPr>
    </w:p>
    <w:p w14:paraId="4BE83A33" w14:textId="77777777" w:rsidR="00FD7C5E" w:rsidRPr="00E019A9" w:rsidRDefault="00FD7C5E"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E</w:t>
      </w:r>
      <w:r w:rsidR="00B52678" w:rsidRPr="00E019A9">
        <w:rPr>
          <w:sz w:val="20"/>
          <w:szCs w:val="20"/>
          <w:lang w:val="es-ES_tradnl"/>
        </w:rPr>
        <w:t>n agosto de 2003 el juez titular del Juzgado de Letras de San Javier ordenó someter a proceso por el delito de secuestro calificado en perjuicio del Sr. Encina Pérez al Teniente Coronel del Ejército en situación de retiro Claudio Abdón Lecaros Carrasco, al Coronel de Carabineros en situación de retiro Rolando Rivera Tucas y al suboficial del Ejército en situación de retiro José Basilio Muñoz Pozo</w:t>
      </w:r>
      <w:r w:rsidR="00B52678" w:rsidRPr="00E019A9">
        <w:rPr>
          <w:rStyle w:val="FootnoteReference"/>
          <w:sz w:val="20"/>
          <w:szCs w:val="20"/>
          <w:lang w:val="es-ES_tradnl"/>
        </w:rPr>
        <w:footnoteReference w:id="181"/>
      </w:r>
      <w:r w:rsidR="00B52678" w:rsidRPr="00E019A9">
        <w:rPr>
          <w:sz w:val="20"/>
          <w:szCs w:val="20"/>
          <w:lang w:val="es-ES_tradnl"/>
        </w:rPr>
        <w:t xml:space="preserve">. </w:t>
      </w:r>
      <w:r w:rsidR="00691A4E" w:rsidRPr="00E019A9">
        <w:rPr>
          <w:sz w:val="20"/>
          <w:szCs w:val="20"/>
          <w:lang w:val="es-ES_tradnl"/>
        </w:rPr>
        <w:t>Posteriormente, con fecha 29 de mayo de 2008 se dictó el sobreseimiento por fallecimiento del procesado Muñoz Pozo</w:t>
      </w:r>
      <w:r w:rsidR="00691A4E" w:rsidRPr="00E019A9">
        <w:rPr>
          <w:rStyle w:val="FootnoteReference"/>
          <w:sz w:val="20"/>
          <w:szCs w:val="20"/>
          <w:lang w:val="es-ES_tradnl"/>
        </w:rPr>
        <w:footnoteReference w:id="182"/>
      </w:r>
      <w:r w:rsidR="00691A4E" w:rsidRPr="00E019A9">
        <w:rPr>
          <w:sz w:val="20"/>
          <w:szCs w:val="20"/>
          <w:lang w:val="es-ES_tradnl"/>
        </w:rPr>
        <w:t xml:space="preserve">. </w:t>
      </w:r>
    </w:p>
    <w:p w14:paraId="270D8940" w14:textId="77777777" w:rsidR="00B52678" w:rsidRPr="00E019A9" w:rsidRDefault="00B52678" w:rsidP="0049068A">
      <w:pPr>
        <w:pStyle w:val="ListParagraph"/>
        <w:tabs>
          <w:tab w:val="left" w:pos="567"/>
        </w:tabs>
        <w:rPr>
          <w:sz w:val="20"/>
          <w:szCs w:val="20"/>
          <w:lang w:val="es-ES_tradnl"/>
        </w:rPr>
      </w:pPr>
    </w:p>
    <w:p w14:paraId="4D57241B" w14:textId="77777777" w:rsidR="00B52678" w:rsidRPr="00E019A9" w:rsidRDefault="00B52678"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 xml:space="preserve">El 14 de agosto de 2008 la Ministra en Visita Extraordinaria de la Corte de Apelaciones de Talca Juana </w:t>
      </w:r>
      <w:r w:rsidR="00743BF7" w:rsidRPr="00E019A9">
        <w:rPr>
          <w:sz w:val="20"/>
          <w:szCs w:val="20"/>
          <w:lang w:val="es-ES_tradnl"/>
        </w:rPr>
        <w:t>María</w:t>
      </w:r>
      <w:r w:rsidRPr="00E019A9">
        <w:rPr>
          <w:sz w:val="20"/>
          <w:szCs w:val="20"/>
          <w:lang w:val="es-ES_tradnl"/>
        </w:rPr>
        <w:t xml:space="preserve"> Venegas Ilabaca dictó sentencia </w:t>
      </w:r>
      <w:r w:rsidR="00691A4E" w:rsidRPr="00E019A9">
        <w:rPr>
          <w:sz w:val="20"/>
          <w:szCs w:val="20"/>
          <w:lang w:val="es-ES_tradnl"/>
        </w:rPr>
        <w:t xml:space="preserve">absolviendo a </w:t>
      </w:r>
      <w:r w:rsidR="00D4440C" w:rsidRPr="00E019A9">
        <w:rPr>
          <w:sz w:val="20"/>
          <w:szCs w:val="20"/>
          <w:lang w:val="es-ES_tradnl"/>
        </w:rPr>
        <w:t xml:space="preserve">Claudio </w:t>
      </w:r>
      <w:r w:rsidR="006717C6" w:rsidRPr="00E019A9">
        <w:rPr>
          <w:sz w:val="20"/>
          <w:szCs w:val="20"/>
          <w:lang w:val="es-ES_tradnl"/>
        </w:rPr>
        <w:t>Abdón</w:t>
      </w:r>
      <w:r w:rsidR="00D4440C" w:rsidRPr="00E019A9">
        <w:rPr>
          <w:sz w:val="20"/>
          <w:szCs w:val="20"/>
          <w:lang w:val="es-ES_tradnl"/>
        </w:rPr>
        <w:t xml:space="preserve"> Lecaros Carrasco por extinción de la acción penal por prescripción</w:t>
      </w:r>
      <w:r w:rsidR="00D4440C" w:rsidRPr="00E019A9">
        <w:rPr>
          <w:rStyle w:val="FootnoteReference"/>
          <w:sz w:val="20"/>
          <w:szCs w:val="20"/>
          <w:lang w:val="es-ES_tradnl"/>
        </w:rPr>
        <w:footnoteReference w:id="183"/>
      </w:r>
      <w:r w:rsidR="00D4440C" w:rsidRPr="00E019A9">
        <w:rPr>
          <w:sz w:val="20"/>
          <w:szCs w:val="20"/>
          <w:lang w:val="es-ES_tradnl"/>
        </w:rPr>
        <w:t>. De igual forma, la magistrada dispuso la absolución de</w:t>
      </w:r>
      <w:r w:rsidR="00F911C4" w:rsidRPr="00E019A9">
        <w:rPr>
          <w:sz w:val="20"/>
          <w:szCs w:val="20"/>
          <w:lang w:val="es-ES_tradnl"/>
        </w:rPr>
        <w:t>l procesado Rivera Tucas por insuficiencia probatoria</w:t>
      </w:r>
      <w:r w:rsidR="00F911C4" w:rsidRPr="00E019A9">
        <w:rPr>
          <w:rStyle w:val="FootnoteReference"/>
          <w:sz w:val="20"/>
          <w:szCs w:val="20"/>
          <w:lang w:val="es-ES_tradnl"/>
        </w:rPr>
        <w:footnoteReference w:id="184"/>
      </w:r>
      <w:r w:rsidR="00F911C4" w:rsidRPr="00E019A9">
        <w:rPr>
          <w:sz w:val="20"/>
          <w:szCs w:val="20"/>
          <w:lang w:val="es-ES_tradnl"/>
        </w:rPr>
        <w:t xml:space="preserve">. </w:t>
      </w:r>
    </w:p>
    <w:p w14:paraId="23110111" w14:textId="77777777" w:rsidR="006717C6" w:rsidRPr="00E019A9" w:rsidRDefault="006717C6" w:rsidP="0049068A">
      <w:pPr>
        <w:pStyle w:val="ListParagraph"/>
        <w:tabs>
          <w:tab w:val="left" w:pos="567"/>
        </w:tabs>
        <w:rPr>
          <w:sz w:val="20"/>
          <w:szCs w:val="20"/>
          <w:lang w:val="es-ES_tradnl"/>
        </w:rPr>
      </w:pPr>
    </w:p>
    <w:p w14:paraId="5E62BA2C" w14:textId="77777777" w:rsidR="006717C6" w:rsidRPr="00E019A9" w:rsidRDefault="006717C6"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 xml:space="preserve">Ante la apelación interpuesta por las partes querellantes, el 6 de julio de 2009 la Corte de Apelaciones de Talca revocó la sentencia de primera instancia y condenó a Claudio </w:t>
      </w:r>
      <w:r w:rsidR="000233E0" w:rsidRPr="00E019A9">
        <w:rPr>
          <w:sz w:val="20"/>
          <w:szCs w:val="20"/>
          <w:lang w:val="es-ES_tradnl"/>
        </w:rPr>
        <w:t>Abdón</w:t>
      </w:r>
      <w:r w:rsidRPr="00E019A9">
        <w:rPr>
          <w:sz w:val="20"/>
          <w:szCs w:val="20"/>
          <w:lang w:val="es-ES_tradnl"/>
        </w:rPr>
        <w:t xml:space="preserve"> Lecaros Carrasco a la pena de 5 años y un día de presidio mayor en su grado mínimo por resultar responsable en calidad de autor del homicidio calificado del Sr. Encina Pérez. El tribunal dejó constancia que </w:t>
      </w:r>
      <w:r w:rsidR="000233E0" w:rsidRPr="00E019A9">
        <w:rPr>
          <w:sz w:val="20"/>
          <w:szCs w:val="20"/>
          <w:lang w:val="es-ES_tradnl"/>
        </w:rPr>
        <w:t xml:space="preserve">se disminuía un grado en la penalidad impuesta </w:t>
      </w:r>
      <w:r w:rsidRPr="00E019A9">
        <w:rPr>
          <w:sz w:val="20"/>
          <w:szCs w:val="20"/>
          <w:lang w:val="es-ES_tradnl"/>
        </w:rPr>
        <w:t xml:space="preserve">al acusado Lecaros Carrasco </w:t>
      </w:r>
      <w:r w:rsidR="000233E0" w:rsidRPr="00E019A9">
        <w:rPr>
          <w:sz w:val="20"/>
          <w:szCs w:val="20"/>
          <w:lang w:val="es-ES_tradnl"/>
        </w:rPr>
        <w:t xml:space="preserve">toda vez que era beneficiario de la circunstancia atenuante de irreprochable conducta anterior. </w:t>
      </w:r>
      <w:r w:rsidR="004912FF" w:rsidRPr="00E019A9">
        <w:rPr>
          <w:sz w:val="20"/>
          <w:szCs w:val="20"/>
          <w:lang w:val="es-ES_tradnl"/>
        </w:rPr>
        <w:t>La absolución dictada a favor del procesado Rivera Tucas fue confirmada</w:t>
      </w:r>
      <w:r w:rsidR="004912FF" w:rsidRPr="00E019A9">
        <w:rPr>
          <w:rStyle w:val="FootnoteReference"/>
          <w:sz w:val="20"/>
          <w:szCs w:val="20"/>
          <w:lang w:val="es-ES_tradnl"/>
        </w:rPr>
        <w:footnoteReference w:id="185"/>
      </w:r>
      <w:r w:rsidR="004912FF" w:rsidRPr="00E019A9">
        <w:rPr>
          <w:sz w:val="20"/>
          <w:szCs w:val="20"/>
          <w:lang w:val="es-ES_tradnl"/>
        </w:rPr>
        <w:t xml:space="preserve">. </w:t>
      </w:r>
    </w:p>
    <w:p w14:paraId="0C8D1164" w14:textId="77777777" w:rsidR="004912FF" w:rsidRPr="00E019A9" w:rsidRDefault="004912FF" w:rsidP="0049068A">
      <w:pPr>
        <w:pStyle w:val="ListParagraph"/>
        <w:tabs>
          <w:tab w:val="left" w:pos="567"/>
        </w:tabs>
        <w:rPr>
          <w:sz w:val="20"/>
          <w:szCs w:val="20"/>
          <w:lang w:val="es-ES_tradnl"/>
        </w:rPr>
      </w:pPr>
    </w:p>
    <w:p w14:paraId="1AE0CFEB" w14:textId="77777777" w:rsidR="004912FF" w:rsidRPr="00E019A9" w:rsidRDefault="004912FF"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 xml:space="preserve">Para decidir de este modo, los magistrados de la Corte de Apelaciones de Talca sostuvieron que se </w:t>
      </w:r>
      <w:r w:rsidR="000E208D" w:rsidRPr="00E019A9">
        <w:rPr>
          <w:sz w:val="20"/>
          <w:szCs w:val="20"/>
          <w:lang w:val="es-ES_tradnl"/>
        </w:rPr>
        <w:t>encontraban</w:t>
      </w:r>
      <w:r w:rsidRPr="00E019A9">
        <w:rPr>
          <w:sz w:val="20"/>
          <w:szCs w:val="20"/>
          <w:lang w:val="es-ES_tradnl"/>
        </w:rPr>
        <w:t xml:space="preserve"> acreditad</w:t>
      </w:r>
      <w:r w:rsidR="000E208D" w:rsidRPr="00E019A9">
        <w:rPr>
          <w:sz w:val="20"/>
          <w:szCs w:val="20"/>
          <w:lang w:val="es-ES_tradnl"/>
        </w:rPr>
        <w:t>as</w:t>
      </w:r>
      <w:r w:rsidRPr="00E019A9">
        <w:rPr>
          <w:sz w:val="20"/>
          <w:szCs w:val="20"/>
          <w:lang w:val="es-ES_tradnl"/>
        </w:rPr>
        <w:t xml:space="preserve"> las circunstancias en las que tuvo lugar el homicidio calificado sufrido por el Sr. Encina Pérez</w:t>
      </w:r>
      <w:r w:rsidR="002B4145" w:rsidRPr="00E019A9">
        <w:rPr>
          <w:sz w:val="20"/>
          <w:szCs w:val="20"/>
          <w:lang w:val="es-ES_tradnl"/>
        </w:rPr>
        <w:t xml:space="preserve"> y la participación del condenado, conforme había sido descripto por la sentencia de primera instancia</w:t>
      </w:r>
      <w:r w:rsidRPr="00E019A9">
        <w:rPr>
          <w:sz w:val="20"/>
          <w:szCs w:val="20"/>
          <w:lang w:val="es-ES_tradnl"/>
        </w:rPr>
        <w:t xml:space="preserve">. </w:t>
      </w:r>
      <w:r w:rsidR="001D797E" w:rsidRPr="00E019A9">
        <w:rPr>
          <w:sz w:val="20"/>
          <w:szCs w:val="20"/>
          <w:lang w:val="es-ES_tradnl"/>
        </w:rPr>
        <w:t xml:space="preserve">Este hecho, </w:t>
      </w:r>
      <w:r w:rsidR="000E208D" w:rsidRPr="00E019A9">
        <w:rPr>
          <w:sz w:val="20"/>
          <w:szCs w:val="20"/>
          <w:lang w:val="es-ES_tradnl"/>
        </w:rPr>
        <w:t>prosiguió el razonamiento efectuado por</w:t>
      </w:r>
      <w:r w:rsidR="001D797E" w:rsidRPr="00E019A9">
        <w:rPr>
          <w:sz w:val="20"/>
          <w:szCs w:val="20"/>
          <w:lang w:val="es-ES_tradnl"/>
        </w:rPr>
        <w:t xml:space="preserve"> los jueces,</w:t>
      </w:r>
      <w:r w:rsidRPr="00E019A9">
        <w:rPr>
          <w:sz w:val="20"/>
          <w:szCs w:val="20"/>
          <w:lang w:val="es-ES_tradnl"/>
        </w:rPr>
        <w:t xml:space="preserve"> </w:t>
      </w:r>
      <w:r w:rsidR="001D797E" w:rsidRPr="00E019A9">
        <w:rPr>
          <w:sz w:val="20"/>
          <w:szCs w:val="20"/>
          <w:lang w:val="es-ES_tradnl"/>
        </w:rPr>
        <w:t>debía ser entendido como</w:t>
      </w:r>
      <w:r w:rsidRPr="00E019A9">
        <w:rPr>
          <w:sz w:val="20"/>
          <w:szCs w:val="20"/>
          <w:lang w:val="es-ES_tradnl"/>
        </w:rPr>
        <w:t xml:space="preserve"> un delito de lesa humanidad </w:t>
      </w:r>
      <w:r w:rsidR="001D797E" w:rsidRPr="00E019A9">
        <w:rPr>
          <w:sz w:val="20"/>
          <w:szCs w:val="20"/>
          <w:lang w:val="es-ES_tradnl"/>
        </w:rPr>
        <w:t>y en aplicación de diversos instrumentos internacionales sobre derechos humanos, no resultan aplicables  las reglas relativas a la prescripción</w:t>
      </w:r>
      <w:r w:rsidR="001D797E" w:rsidRPr="00E019A9">
        <w:rPr>
          <w:rStyle w:val="FootnoteReference"/>
          <w:sz w:val="20"/>
          <w:szCs w:val="20"/>
          <w:lang w:val="es-ES_tradnl"/>
        </w:rPr>
        <w:footnoteReference w:id="186"/>
      </w:r>
      <w:r w:rsidR="001D797E" w:rsidRPr="00E019A9">
        <w:rPr>
          <w:sz w:val="20"/>
          <w:szCs w:val="20"/>
          <w:lang w:val="es-ES_tradnl"/>
        </w:rPr>
        <w:t xml:space="preserve">. </w:t>
      </w:r>
      <w:r w:rsidRPr="00E019A9">
        <w:rPr>
          <w:sz w:val="20"/>
          <w:szCs w:val="20"/>
          <w:lang w:val="es-ES_tradnl"/>
        </w:rPr>
        <w:t xml:space="preserve"> </w:t>
      </w:r>
    </w:p>
    <w:p w14:paraId="3D9532C1" w14:textId="77777777" w:rsidR="002B4145" w:rsidRPr="00E019A9" w:rsidRDefault="002B4145" w:rsidP="0049068A">
      <w:pPr>
        <w:pStyle w:val="ListParagraph"/>
        <w:tabs>
          <w:tab w:val="left" w:pos="567"/>
        </w:tabs>
        <w:rPr>
          <w:sz w:val="20"/>
          <w:szCs w:val="20"/>
          <w:lang w:val="es-ES_tradnl"/>
        </w:rPr>
      </w:pPr>
    </w:p>
    <w:p w14:paraId="1FC8DB6D" w14:textId="77777777" w:rsidR="002B4145" w:rsidRPr="00E019A9" w:rsidRDefault="00B26D14"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lastRenderedPageBreak/>
        <w:t xml:space="preserve">Ante esta </w:t>
      </w:r>
      <w:r w:rsidR="00C266C8" w:rsidRPr="00E019A9">
        <w:rPr>
          <w:sz w:val="20"/>
          <w:szCs w:val="20"/>
          <w:lang w:val="es-ES_tradnl"/>
        </w:rPr>
        <w:t>última</w:t>
      </w:r>
      <w:r w:rsidRPr="00E019A9">
        <w:rPr>
          <w:sz w:val="20"/>
          <w:szCs w:val="20"/>
          <w:lang w:val="es-ES_tradnl"/>
        </w:rPr>
        <w:t xml:space="preserve"> decisión, </w:t>
      </w:r>
      <w:r w:rsidR="00AC5C48" w:rsidRPr="00E019A9">
        <w:rPr>
          <w:sz w:val="20"/>
          <w:szCs w:val="20"/>
          <w:lang w:val="es-ES_tradnl"/>
        </w:rPr>
        <w:t xml:space="preserve">la defensa del Sr. Lecaros Carrasco interpuso recurso de casación sobre el fondo. </w:t>
      </w:r>
      <w:r w:rsidR="000E208D" w:rsidRPr="00E019A9">
        <w:rPr>
          <w:sz w:val="20"/>
          <w:szCs w:val="20"/>
          <w:lang w:val="es-ES_tradnl"/>
        </w:rPr>
        <w:t>El 14 de abril de 2010 la Segunda Sala de la Corte Suprema decidió invalidar de oficio la sentencia de segunda instancia impugnada</w:t>
      </w:r>
      <w:r w:rsidR="00556009" w:rsidRPr="00E019A9">
        <w:rPr>
          <w:sz w:val="20"/>
          <w:szCs w:val="20"/>
          <w:lang w:val="es-ES_tradnl"/>
        </w:rPr>
        <w:t xml:space="preserve"> por ausencia de fundamentación</w:t>
      </w:r>
      <w:r w:rsidR="000E208D" w:rsidRPr="00E019A9">
        <w:rPr>
          <w:sz w:val="20"/>
          <w:szCs w:val="20"/>
          <w:lang w:val="es-ES_tradnl"/>
        </w:rPr>
        <w:t xml:space="preserve"> y, en el mismo acto, dictar una sentencia de reemplazo. Para decidir de este modo, la Corte Suprema sostuvo que la sentencia condenatoria de segunda instancia no había </w:t>
      </w:r>
      <w:r w:rsidR="00556009" w:rsidRPr="00E019A9">
        <w:rPr>
          <w:sz w:val="20"/>
          <w:szCs w:val="20"/>
          <w:lang w:val="es-ES_tradnl"/>
        </w:rPr>
        <w:t xml:space="preserve">consignado argumento alguno respecto de la aplicación o no aplicación de la figura de la media prescripción contenida en el </w:t>
      </w:r>
      <w:r w:rsidR="00C266C8" w:rsidRPr="00E019A9">
        <w:rPr>
          <w:sz w:val="20"/>
          <w:szCs w:val="20"/>
          <w:lang w:val="es-ES_tradnl"/>
        </w:rPr>
        <w:t>artículo</w:t>
      </w:r>
      <w:r w:rsidR="00556009" w:rsidRPr="00E019A9">
        <w:rPr>
          <w:sz w:val="20"/>
          <w:szCs w:val="20"/>
          <w:lang w:val="es-ES_tradnl"/>
        </w:rPr>
        <w:t xml:space="preserve"> 103 del Código Penal. En este sentido, el tribunal señaló que, si bien la Corte de Apelaciones de Talca había efectuado </w:t>
      </w:r>
      <w:r w:rsidR="001140E9" w:rsidRPr="00E019A9">
        <w:rPr>
          <w:sz w:val="20"/>
          <w:szCs w:val="20"/>
          <w:lang w:val="es-ES_tradnl"/>
        </w:rPr>
        <w:t>algunas consideraciones</w:t>
      </w:r>
      <w:r w:rsidR="00556009" w:rsidRPr="00E019A9">
        <w:rPr>
          <w:sz w:val="20"/>
          <w:szCs w:val="20"/>
          <w:lang w:val="es-ES_tradnl"/>
        </w:rPr>
        <w:t xml:space="preserve"> para descartar la prescripción de la acción penal y de la ley de amnistía por tratarse los hechos materia de juicio crímenes de lesa humanidad, ellos no bastaban para decidir respecto de procedencia o improcedencia de la aplicación de la media prescripción ya que este instituto, a diferencia de la prescripción de la acción penal, conduce a una rebaja de la pena y no a la extinción de la responsabilidad penal</w:t>
      </w:r>
      <w:r w:rsidR="00556009" w:rsidRPr="00E019A9">
        <w:rPr>
          <w:rStyle w:val="FootnoteReference"/>
          <w:sz w:val="20"/>
          <w:szCs w:val="20"/>
          <w:lang w:val="es-ES_tradnl"/>
        </w:rPr>
        <w:footnoteReference w:id="187"/>
      </w:r>
      <w:r w:rsidR="00556009" w:rsidRPr="00E019A9">
        <w:rPr>
          <w:sz w:val="20"/>
          <w:szCs w:val="20"/>
          <w:lang w:val="es-ES_tradnl"/>
        </w:rPr>
        <w:t xml:space="preserve">. </w:t>
      </w:r>
    </w:p>
    <w:p w14:paraId="779698BF" w14:textId="77777777" w:rsidR="00556009" w:rsidRPr="00E019A9" w:rsidRDefault="00556009" w:rsidP="00556009">
      <w:pPr>
        <w:pStyle w:val="ListParagraph"/>
        <w:rPr>
          <w:sz w:val="20"/>
          <w:szCs w:val="20"/>
          <w:lang w:val="es-ES_tradnl"/>
        </w:rPr>
      </w:pPr>
    </w:p>
    <w:p w14:paraId="676EC168" w14:textId="77777777" w:rsidR="00556009" w:rsidRPr="00E019A9" w:rsidRDefault="00FD2FEE"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 xml:space="preserve">En su sentencia de reemplazo la Sala Segunda de la Corte Suprema </w:t>
      </w:r>
      <w:r w:rsidR="001140E9" w:rsidRPr="00E019A9">
        <w:rPr>
          <w:sz w:val="20"/>
          <w:szCs w:val="20"/>
          <w:lang w:val="es-ES_tradnl"/>
        </w:rPr>
        <w:t>reafirmó</w:t>
      </w:r>
      <w:r w:rsidRPr="00E019A9">
        <w:rPr>
          <w:sz w:val="20"/>
          <w:szCs w:val="20"/>
          <w:lang w:val="es-ES_tradnl"/>
        </w:rPr>
        <w:t xml:space="preserve">, en primer </w:t>
      </w:r>
      <w:r w:rsidR="00C266C8" w:rsidRPr="00E019A9">
        <w:rPr>
          <w:sz w:val="20"/>
          <w:szCs w:val="20"/>
          <w:lang w:val="es-ES_tradnl"/>
        </w:rPr>
        <w:t>término</w:t>
      </w:r>
      <w:r w:rsidRPr="00E019A9">
        <w:rPr>
          <w:sz w:val="20"/>
          <w:szCs w:val="20"/>
          <w:lang w:val="es-ES_tradnl"/>
        </w:rPr>
        <w:t xml:space="preserve">, que los hechos del caso resultaban constitutivos del delito de homicidio calificado por alevosía. Acto seguido, el tribunal reiteró su criterio </w:t>
      </w:r>
      <w:r w:rsidR="001140E9" w:rsidRPr="00E019A9">
        <w:rPr>
          <w:sz w:val="20"/>
          <w:szCs w:val="20"/>
          <w:lang w:val="es-ES_tradnl"/>
        </w:rPr>
        <w:t xml:space="preserve">en torno a considerar a la figura de la media prescripción o prescripción gradual de la pena como una atenuante calificada de responsabilidad criminal con efectos en el </w:t>
      </w:r>
      <w:r w:rsidR="001140E9" w:rsidRPr="00E019A9">
        <w:rPr>
          <w:i/>
          <w:sz w:val="20"/>
          <w:szCs w:val="20"/>
          <w:lang w:val="es-ES_tradnl"/>
        </w:rPr>
        <w:t xml:space="preserve">quantum </w:t>
      </w:r>
      <w:r w:rsidR="001140E9" w:rsidRPr="00E019A9">
        <w:rPr>
          <w:sz w:val="20"/>
          <w:szCs w:val="20"/>
          <w:lang w:val="es-ES_tradnl"/>
        </w:rPr>
        <w:t xml:space="preserve">de la pena, independiente y con consecuencia jurídicas diversas a la prescripción de la acción penal. </w:t>
      </w:r>
      <w:r w:rsidR="00D4236E" w:rsidRPr="00E019A9">
        <w:rPr>
          <w:sz w:val="20"/>
          <w:szCs w:val="20"/>
          <w:lang w:val="es-ES_tradnl"/>
        </w:rPr>
        <w:t xml:space="preserve">Asimismo, la Corte Suprema señaló que el </w:t>
      </w:r>
      <w:r w:rsidR="00C266C8" w:rsidRPr="00E019A9">
        <w:rPr>
          <w:sz w:val="20"/>
          <w:szCs w:val="20"/>
          <w:lang w:val="es-ES_tradnl"/>
        </w:rPr>
        <w:t>artículo</w:t>
      </w:r>
      <w:r w:rsidR="00D4236E" w:rsidRPr="00E019A9">
        <w:rPr>
          <w:sz w:val="20"/>
          <w:szCs w:val="20"/>
          <w:lang w:val="es-ES_tradnl"/>
        </w:rPr>
        <w:t xml:space="preserve"> 103 del Código Penal que consagra la figura de la media prescripción tiene el carácter de norma de orden público, por lo que su aplicación es imperativa en todos los casos</w:t>
      </w:r>
      <w:r w:rsidR="00D4236E" w:rsidRPr="00E019A9">
        <w:rPr>
          <w:rStyle w:val="FootnoteReference"/>
          <w:sz w:val="20"/>
          <w:szCs w:val="20"/>
          <w:lang w:val="es-ES_tradnl"/>
        </w:rPr>
        <w:footnoteReference w:id="188"/>
      </w:r>
      <w:r w:rsidR="00D4236E" w:rsidRPr="00E019A9">
        <w:rPr>
          <w:sz w:val="20"/>
          <w:szCs w:val="20"/>
          <w:lang w:val="es-ES_tradnl"/>
        </w:rPr>
        <w:t xml:space="preserve">. </w:t>
      </w:r>
    </w:p>
    <w:p w14:paraId="1EFEB3E3" w14:textId="77777777" w:rsidR="001140E9" w:rsidRPr="00E019A9" w:rsidRDefault="001140E9" w:rsidP="001140E9">
      <w:pPr>
        <w:pStyle w:val="ListParagraph"/>
        <w:rPr>
          <w:sz w:val="20"/>
          <w:szCs w:val="20"/>
          <w:lang w:val="es-ES_tradnl"/>
        </w:rPr>
      </w:pPr>
    </w:p>
    <w:p w14:paraId="2C47BDAB" w14:textId="77777777" w:rsidR="001140E9" w:rsidRPr="00E019A9" w:rsidRDefault="00D4236E"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Con respecto a la aplicación de la figura de la media prescripción ante delitos de lesa humanidad, la Corte Suprema argumentó que “el carácter imprescriptible asignado a los crímenes de lesa humanidad, no suprime a priori y de pl</w:t>
      </w:r>
      <w:r w:rsidR="00D45C26" w:rsidRPr="00E019A9">
        <w:rPr>
          <w:sz w:val="20"/>
          <w:szCs w:val="20"/>
          <w:lang w:val="es-ES_tradnl"/>
        </w:rPr>
        <w:t>e</w:t>
      </w:r>
      <w:r w:rsidRPr="00E019A9">
        <w:rPr>
          <w:sz w:val="20"/>
          <w:szCs w:val="20"/>
          <w:lang w:val="es-ES_tradnl"/>
        </w:rPr>
        <w:t>no derecho la aplicabilidad de la atenuante referida, teniendo los jueces discrecionalidad para determinar en un caso concreto, si ejercen o no la facultad legal y, en caso positivo, la disminución precisa de la pena que concederán”</w:t>
      </w:r>
      <w:r w:rsidRPr="00E019A9">
        <w:rPr>
          <w:rStyle w:val="FootnoteReference"/>
          <w:sz w:val="20"/>
          <w:szCs w:val="20"/>
          <w:lang w:val="es-ES_tradnl"/>
        </w:rPr>
        <w:footnoteReference w:id="189"/>
      </w:r>
      <w:r w:rsidRPr="00E019A9">
        <w:rPr>
          <w:sz w:val="20"/>
          <w:szCs w:val="20"/>
          <w:lang w:val="es-ES_tradnl"/>
        </w:rPr>
        <w:t xml:space="preserve">. </w:t>
      </w:r>
    </w:p>
    <w:p w14:paraId="5744176C" w14:textId="77777777" w:rsidR="00B34F42" w:rsidRPr="00E019A9" w:rsidRDefault="00B34F42" w:rsidP="00B34F42">
      <w:pPr>
        <w:pStyle w:val="ListParagraph"/>
        <w:rPr>
          <w:sz w:val="20"/>
          <w:szCs w:val="20"/>
          <w:lang w:val="es-ES_tradnl"/>
        </w:rPr>
      </w:pPr>
    </w:p>
    <w:p w14:paraId="6A435CF4" w14:textId="77777777" w:rsidR="00491883" w:rsidRPr="00E019A9" w:rsidRDefault="00B34F42"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 xml:space="preserve">Finalmente, en lo que tiene que ver con los efectos de la media prescripción en el caso del homicidio calificado del Sr. Encina Pérez, la Corte Suprema señaló en primer lugar que el delito fue cometido durante los primeros días de octubre de 1973 y que el auto de procesamiento dictado contra el acusado es de fecha 29 de agosto de 2003, por lo que había trascurrido ampliamente el plazo de siete años y medio exigidos por el </w:t>
      </w:r>
      <w:r w:rsidR="00C266C8" w:rsidRPr="00E019A9">
        <w:rPr>
          <w:sz w:val="20"/>
          <w:szCs w:val="20"/>
          <w:lang w:val="es-ES_tradnl"/>
        </w:rPr>
        <w:t>artículo</w:t>
      </w:r>
      <w:r w:rsidRPr="00E019A9">
        <w:rPr>
          <w:sz w:val="20"/>
          <w:szCs w:val="20"/>
          <w:lang w:val="es-ES_tradnl"/>
        </w:rPr>
        <w:t xml:space="preserve"> 103 del Código Penal para la aplicación de la mencionada media prescripción</w:t>
      </w:r>
      <w:r w:rsidR="00ED71E3" w:rsidRPr="00E019A9">
        <w:rPr>
          <w:rStyle w:val="FootnoteReference"/>
          <w:sz w:val="20"/>
          <w:szCs w:val="20"/>
          <w:lang w:val="es-ES_tradnl"/>
        </w:rPr>
        <w:footnoteReference w:id="190"/>
      </w:r>
      <w:r w:rsidRPr="00E019A9">
        <w:rPr>
          <w:sz w:val="20"/>
          <w:szCs w:val="20"/>
          <w:lang w:val="es-ES_tradnl"/>
        </w:rPr>
        <w:t xml:space="preserve">. </w:t>
      </w:r>
    </w:p>
    <w:p w14:paraId="3551EADC" w14:textId="77777777" w:rsidR="00491883" w:rsidRPr="00E019A9" w:rsidRDefault="00491883" w:rsidP="00491883">
      <w:pPr>
        <w:pStyle w:val="ListParagraph"/>
        <w:rPr>
          <w:sz w:val="20"/>
          <w:szCs w:val="20"/>
          <w:lang w:val="es-ES_tradnl"/>
        </w:rPr>
      </w:pPr>
    </w:p>
    <w:p w14:paraId="22ABDB2E" w14:textId="77777777" w:rsidR="00B34F42" w:rsidRPr="00E019A9" w:rsidRDefault="00491883"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 xml:space="preserve">En consecuencia, la Corte Suprema entendió que </w:t>
      </w:r>
      <w:r w:rsidR="00E74F1A" w:rsidRPr="00E019A9">
        <w:rPr>
          <w:sz w:val="20"/>
          <w:szCs w:val="20"/>
          <w:lang w:val="es-ES_tradnl"/>
        </w:rPr>
        <w:t>el</w:t>
      </w:r>
      <w:r w:rsidRPr="00E019A9">
        <w:rPr>
          <w:sz w:val="20"/>
          <w:szCs w:val="20"/>
          <w:lang w:val="es-ES_tradnl"/>
        </w:rPr>
        <w:t xml:space="preserve"> procesado Lecaros Carrasco </w:t>
      </w:r>
      <w:r w:rsidR="00E74F1A" w:rsidRPr="00E019A9">
        <w:rPr>
          <w:sz w:val="20"/>
          <w:szCs w:val="20"/>
          <w:lang w:val="es-ES_tradnl"/>
        </w:rPr>
        <w:t xml:space="preserve">resultaba beneficiados por las circunstancias atenuantes de irreprochable conducta anterior (art 11.6 </w:t>
      </w:r>
      <w:r w:rsidR="00561E99" w:rsidRPr="00E019A9">
        <w:rPr>
          <w:sz w:val="20"/>
          <w:szCs w:val="20"/>
          <w:lang w:val="es-ES_tradnl"/>
        </w:rPr>
        <w:t>Código</w:t>
      </w:r>
      <w:r w:rsidR="00E74F1A" w:rsidRPr="00E019A9">
        <w:rPr>
          <w:sz w:val="20"/>
          <w:szCs w:val="20"/>
          <w:lang w:val="es-ES_tradnl"/>
        </w:rPr>
        <w:t xml:space="preserve"> Penal) y de media </w:t>
      </w:r>
      <w:r w:rsidR="00561E99" w:rsidRPr="00E019A9">
        <w:rPr>
          <w:sz w:val="20"/>
          <w:szCs w:val="20"/>
          <w:lang w:val="es-ES_tradnl"/>
        </w:rPr>
        <w:t>prescripción</w:t>
      </w:r>
      <w:r w:rsidR="00E74F1A" w:rsidRPr="00E019A9">
        <w:rPr>
          <w:sz w:val="20"/>
          <w:szCs w:val="20"/>
          <w:lang w:val="es-ES_tradnl"/>
        </w:rPr>
        <w:t xml:space="preserve"> (art 103 del </w:t>
      </w:r>
      <w:r w:rsidR="00561E99" w:rsidRPr="00E019A9">
        <w:rPr>
          <w:sz w:val="20"/>
          <w:szCs w:val="20"/>
          <w:lang w:val="es-ES_tradnl"/>
        </w:rPr>
        <w:t>Código</w:t>
      </w:r>
      <w:r w:rsidR="00E74F1A" w:rsidRPr="00E019A9">
        <w:rPr>
          <w:sz w:val="20"/>
          <w:szCs w:val="20"/>
          <w:lang w:val="es-ES_tradnl"/>
        </w:rPr>
        <w:t xml:space="preserve"> Penal)</w:t>
      </w:r>
      <w:r w:rsidR="00710A40" w:rsidRPr="00E019A9">
        <w:rPr>
          <w:sz w:val="20"/>
          <w:szCs w:val="20"/>
          <w:lang w:val="es-ES_tradnl"/>
        </w:rPr>
        <w:t>;</w:t>
      </w:r>
      <w:r w:rsidR="00E74F1A" w:rsidRPr="00E019A9">
        <w:rPr>
          <w:sz w:val="20"/>
          <w:szCs w:val="20"/>
          <w:lang w:val="es-ES_tradnl"/>
        </w:rPr>
        <w:t xml:space="preserve"> rebajó en dos grados la pena asignada al delito de homicidio calificado y le impuso la pena de cinco años de presidio menor en su grado máximo, accesorias de inhabilitación y pago de costas. El tribunal </w:t>
      </w:r>
      <w:r w:rsidR="00561E99" w:rsidRPr="00E019A9">
        <w:rPr>
          <w:sz w:val="20"/>
          <w:szCs w:val="20"/>
          <w:lang w:val="es-ES_tradnl"/>
        </w:rPr>
        <w:t>concedió</w:t>
      </w:r>
      <w:r w:rsidR="00E74F1A" w:rsidRPr="00E019A9">
        <w:rPr>
          <w:sz w:val="20"/>
          <w:szCs w:val="20"/>
          <w:lang w:val="es-ES_tradnl"/>
        </w:rPr>
        <w:t xml:space="preserve"> al sentenciado la medida alternativa de libertad vigilada contemplada en el art 15 de la ley 18.216</w:t>
      </w:r>
      <w:r w:rsidR="00ED71E3" w:rsidRPr="00E019A9">
        <w:rPr>
          <w:rStyle w:val="FootnoteReference"/>
          <w:sz w:val="20"/>
          <w:szCs w:val="20"/>
          <w:lang w:val="es-ES_tradnl"/>
        </w:rPr>
        <w:footnoteReference w:id="191"/>
      </w:r>
      <w:r w:rsidR="00E74F1A" w:rsidRPr="00E019A9">
        <w:rPr>
          <w:sz w:val="20"/>
          <w:szCs w:val="20"/>
          <w:lang w:val="es-ES_tradnl"/>
        </w:rPr>
        <w:t xml:space="preserve">.  </w:t>
      </w:r>
    </w:p>
    <w:p w14:paraId="360444B6" w14:textId="77777777" w:rsidR="00C500EF" w:rsidRPr="00E019A9" w:rsidRDefault="00C500EF" w:rsidP="00C500EF">
      <w:pPr>
        <w:pStyle w:val="ListParagraph"/>
        <w:jc w:val="both"/>
        <w:rPr>
          <w:sz w:val="20"/>
          <w:szCs w:val="20"/>
          <w:lang w:val="es-ES_tradnl"/>
        </w:rPr>
      </w:pPr>
    </w:p>
    <w:p w14:paraId="5CCCBB27" w14:textId="77777777" w:rsidR="00710A40" w:rsidRPr="00E019A9" w:rsidRDefault="006C1B06" w:rsidP="00BB60A6">
      <w:pPr>
        <w:pStyle w:val="Heading3"/>
        <w:numPr>
          <w:ilvl w:val="1"/>
          <w:numId w:val="59"/>
        </w:numPr>
        <w:tabs>
          <w:tab w:val="left" w:pos="567"/>
          <w:tab w:val="left" w:pos="1134"/>
        </w:tabs>
        <w:ind w:left="567" w:right="288" w:firstLine="0"/>
        <w:jc w:val="both"/>
      </w:pPr>
      <w:r w:rsidRPr="00E019A9">
        <w:t>Respecto de la petición presentada en representación de Miguel Antonio Figueroa Mercado y sus respectivos familiares</w:t>
      </w:r>
      <w:r w:rsidR="00C847EA" w:rsidRPr="00E019A9">
        <w:t xml:space="preserve"> y</w:t>
      </w:r>
      <w:r w:rsidRPr="00E019A9">
        <w:t xml:space="preserve"> registr</w:t>
      </w:r>
      <w:r w:rsidR="00C847EA" w:rsidRPr="00E019A9">
        <w:t>ada</w:t>
      </w:r>
      <w:r w:rsidRPr="00E019A9">
        <w:t xml:space="preserve"> inicialmente </w:t>
      </w:r>
      <w:r w:rsidR="00C847EA" w:rsidRPr="00E019A9">
        <w:t>por la Comisión</w:t>
      </w:r>
      <w:r w:rsidRPr="00E019A9">
        <w:t xml:space="preserve"> bajo el número P 1457-10.</w:t>
      </w:r>
    </w:p>
    <w:p w14:paraId="3534BA7C" w14:textId="77777777" w:rsidR="00710A40" w:rsidRPr="00E019A9" w:rsidRDefault="00710A40" w:rsidP="00710A40">
      <w:pPr>
        <w:rPr>
          <w:sz w:val="20"/>
          <w:szCs w:val="20"/>
          <w:lang w:val="es-ES_tradnl" w:eastAsia="es-ES"/>
        </w:rPr>
      </w:pPr>
    </w:p>
    <w:p w14:paraId="42E2EF6E" w14:textId="77777777" w:rsidR="006C1B06" w:rsidRPr="00E019A9" w:rsidRDefault="006C22C8"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De acuerdo con la información existente se encuentra acreditado que</w:t>
      </w:r>
      <w:r w:rsidR="00F95593" w:rsidRPr="00E019A9">
        <w:rPr>
          <w:sz w:val="20"/>
          <w:szCs w:val="20"/>
          <w:lang w:val="es-ES_tradnl"/>
        </w:rPr>
        <w:t xml:space="preserve">, </w:t>
      </w:r>
      <w:r w:rsidR="0020748F" w:rsidRPr="00E019A9">
        <w:rPr>
          <w:sz w:val="20"/>
          <w:szCs w:val="20"/>
          <w:lang w:val="es-ES_tradnl"/>
        </w:rPr>
        <w:t>en horas de la noche</w:t>
      </w:r>
      <w:r w:rsidRPr="00E019A9">
        <w:rPr>
          <w:sz w:val="20"/>
          <w:szCs w:val="20"/>
          <w:lang w:val="es-ES_tradnl"/>
        </w:rPr>
        <w:t xml:space="preserve"> </w:t>
      </w:r>
      <w:r w:rsidR="0020748F" w:rsidRPr="00E019A9">
        <w:rPr>
          <w:sz w:val="20"/>
          <w:szCs w:val="20"/>
          <w:lang w:val="es-ES_tradnl"/>
        </w:rPr>
        <w:t>del 29 de septiembre de 1973</w:t>
      </w:r>
      <w:r w:rsidR="00F95593" w:rsidRPr="00E019A9">
        <w:rPr>
          <w:sz w:val="20"/>
          <w:szCs w:val="20"/>
          <w:lang w:val="es-ES_tradnl"/>
        </w:rPr>
        <w:t>,</w:t>
      </w:r>
      <w:r w:rsidR="0020748F" w:rsidRPr="00E019A9">
        <w:rPr>
          <w:sz w:val="20"/>
          <w:szCs w:val="20"/>
          <w:lang w:val="es-ES_tradnl"/>
        </w:rPr>
        <w:t xml:space="preserve"> el </w:t>
      </w:r>
      <w:r w:rsidRPr="00E019A9">
        <w:rPr>
          <w:sz w:val="20"/>
          <w:szCs w:val="20"/>
          <w:lang w:val="es-ES_tradnl"/>
        </w:rPr>
        <w:t xml:space="preserve">Sr. Miguel Antonio </w:t>
      </w:r>
      <w:r w:rsidR="0020748F" w:rsidRPr="00E019A9">
        <w:rPr>
          <w:sz w:val="20"/>
          <w:szCs w:val="20"/>
          <w:lang w:val="es-ES_tradnl"/>
        </w:rPr>
        <w:t xml:space="preserve">Figueroa Mercado, militante comunista y delegado sindical, fue </w:t>
      </w:r>
      <w:r w:rsidR="00F95593" w:rsidRPr="00E019A9">
        <w:rPr>
          <w:sz w:val="20"/>
          <w:szCs w:val="20"/>
          <w:lang w:val="es-ES_tradnl"/>
        </w:rPr>
        <w:t>privado de su libertad</w:t>
      </w:r>
      <w:r w:rsidR="0020748F" w:rsidRPr="00E019A9">
        <w:rPr>
          <w:sz w:val="20"/>
          <w:szCs w:val="20"/>
          <w:lang w:val="es-ES_tradnl"/>
        </w:rPr>
        <w:t xml:space="preserve"> en su domicilio ubicado en el asentamiento instalado en el Fundo Peñuelas, Comuna de </w:t>
      </w:r>
      <w:r w:rsidR="0020748F" w:rsidRPr="00E019A9">
        <w:rPr>
          <w:sz w:val="20"/>
          <w:szCs w:val="20"/>
          <w:lang w:val="es-ES_tradnl"/>
        </w:rPr>
        <w:lastRenderedPageBreak/>
        <w:t>Villa Alegre, Región del Maule, por efectivos pertenecientes al Ej</w:t>
      </w:r>
      <w:r w:rsidR="003151DA" w:rsidRPr="00E019A9">
        <w:rPr>
          <w:sz w:val="20"/>
          <w:szCs w:val="20"/>
          <w:lang w:val="es-ES_tradnl"/>
        </w:rPr>
        <w:t>é</w:t>
      </w:r>
      <w:r w:rsidR="0020748F" w:rsidRPr="00E019A9">
        <w:rPr>
          <w:sz w:val="20"/>
          <w:szCs w:val="20"/>
          <w:lang w:val="es-ES_tradnl"/>
        </w:rPr>
        <w:t>rcito de Chile</w:t>
      </w:r>
      <w:r w:rsidR="003151DA" w:rsidRPr="00E019A9">
        <w:rPr>
          <w:sz w:val="20"/>
          <w:szCs w:val="20"/>
          <w:lang w:val="es-ES_tradnl"/>
        </w:rPr>
        <w:t xml:space="preserve">, </w:t>
      </w:r>
      <w:r w:rsidR="0020748F" w:rsidRPr="00E019A9">
        <w:rPr>
          <w:sz w:val="20"/>
          <w:szCs w:val="20"/>
          <w:lang w:val="es-ES_tradnl"/>
        </w:rPr>
        <w:t xml:space="preserve">sin </w:t>
      </w:r>
      <w:r w:rsidR="003151DA" w:rsidRPr="00E019A9">
        <w:rPr>
          <w:sz w:val="20"/>
          <w:szCs w:val="20"/>
          <w:lang w:val="es-ES_tradnl"/>
        </w:rPr>
        <w:t xml:space="preserve">exhibir </w:t>
      </w:r>
      <w:r w:rsidR="0020748F" w:rsidRPr="00E019A9">
        <w:rPr>
          <w:sz w:val="20"/>
          <w:szCs w:val="20"/>
          <w:lang w:val="es-ES_tradnl"/>
        </w:rPr>
        <w:t xml:space="preserve">orden judicial alguna.  </w:t>
      </w:r>
      <w:r w:rsidR="003151DA" w:rsidRPr="00E019A9">
        <w:rPr>
          <w:sz w:val="20"/>
          <w:szCs w:val="20"/>
          <w:lang w:val="es-ES_tradnl"/>
        </w:rPr>
        <w:t xml:space="preserve">El Sr. Figueroa Mercado fue llevado a un sitio desconocido, a pesar de que los agentes que participaron en su </w:t>
      </w:r>
      <w:r w:rsidR="00230C4B" w:rsidRPr="00E019A9">
        <w:rPr>
          <w:sz w:val="20"/>
          <w:szCs w:val="20"/>
          <w:lang w:val="es-ES_tradnl"/>
        </w:rPr>
        <w:t>detención</w:t>
      </w:r>
      <w:r w:rsidR="003151DA" w:rsidRPr="00E019A9">
        <w:rPr>
          <w:sz w:val="20"/>
          <w:szCs w:val="20"/>
          <w:lang w:val="es-ES_tradnl"/>
        </w:rPr>
        <w:t xml:space="preserve"> le habían informado a su hija que </w:t>
      </w:r>
      <w:r w:rsidR="00C266C8" w:rsidRPr="00E019A9">
        <w:rPr>
          <w:sz w:val="20"/>
          <w:szCs w:val="20"/>
          <w:lang w:val="es-ES_tradnl"/>
        </w:rPr>
        <w:t>sería</w:t>
      </w:r>
      <w:r w:rsidR="003151DA" w:rsidRPr="00E019A9">
        <w:rPr>
          <w:sz w:val="20"/>
          <w:szCs w:val="20"/>
          <w:lang w:val="es-ES_tradnl"/>
        </w:rPr>
        <w:t xml:space="preserve"> trasladado a la ciudad de Linares. A la fecha, el </w:t>
      </w:r>
      <w:r w:rsidR="00230C4B" w:rsidRPr="00E019A9">
        <w:rPr>
          <w:sz w:val="20"/>
          <w:szCs w:val="20"/>
          <w:lang w:val="es-ES_tradnl"/>
        </w:rPr>
        <w:t xml:space="preserve">paradero del </w:t>
      </w:r>
      <w:r w:rsidR="003151DA" w:rsidRPr="00E019A9">
        <w:rPr>
          <w:sz w:val="20"/>
          <w:szCs w:val="20"/>
          <w:lang w:val="es-ES_tradnl"/>
        </w:rPr>
        <w:t xml:space="preserve">Sr. Figueroa Mercado </w:t>
      </w:r>
      <w:r w:rsidR="00230C4B" w:rsidRPr="00E019A9">
        <w:rPr>
          <w:sz w:val="20"/>
          <w:szCs w:val="20"/>
          <w:lang w:val="es-ES_tradnl"/>
        </w:rPr>
        <w:t>es desconocido y permanece en calidad de detenido-desaparecido</w:t>
      </w:r>
      <w:r w:rsidR="00230C4B" w:rsidRPr="00E019A9">
        <w:rPr>
          <w:rStyle w:val="FootnoteReference"/>
          <w:sz w:val="20"/>
          <w:szCs w:val="20"/>
          <w:lang w:val="es-ES_tradnl"/>
        </w:rPr>
        <w:footnoteReference w:id="192"/>
      </w:r>
      <w:r w:rsidR="00230C4B" w:rsidRPr="00E019A9">
        <w:rPr>
          <w:sz w:val="20"/>
          <w:szCs w:val="20"/>
          <w:lang w:val="es-ES_tradnl"/>
        </w:rPr>
        <w:t xml:space="preserve">. </w:t>
      </w:r>
    </w:p>
    <w:p w14:paraId="17081446" w14:textId="77777777" w:rsidR="00FA4254" w:rsidRPr="00E019A9" w:rsidRDefault="00FA4254" w:rsidP="00FA4254">
      <w:pPr>
        <w:pStyle w:val="ListParagraph"/>
        <w:tabs>
          <w:tab w:val="left" w:pos="567"/>
        </w:tabs>
        <w:ind w:left="0"/>
        <w:jc w:val="both"/>
        <w:rPr>
          <w:sz w:val="20"/>
          <w:szCs w:val="20"/>
          <w:lang w:val="es-ES_tradnl"/>
        </w:rPr>
      </w:pPr>
    </w:p>
    <w:p w14:paraId="2BFE7595" w14:textId="77777777" w:rsidR="00555F7F" w:rsidRPr="00E019A9" w:rsidRDefault="00FA4254"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 xml:space="preserve">El </w:t>
      </w:r>
      <w:r w:rsidR="00F84390" w:rsidRPr="00E019A9">
        <w:rPr>
          <w:sz w:val="20"/>
          <w:szCs w:val="20"/>
          <w:lang w:val="es-ES_tradnl"/>
        </w:rPr>
        <w:t>21 de noviembre de</w:t>
      </w:r>
      <w:r w:rsidRPr="00E019A9">
        <w:rPr>
          <w:sz w:val="20"/>
          <w:szCs w:val="20"/>
          <w:lang w:val="es-ES_tradnl"/>
        </w:rPr>
        <w:t xml:space="preserve"> 2003 el Juez del Primer Juzgado de Letras de </w:t>
      </w:r>
      <w:r w:rsidR="00F84390" w:rsidRPr="00E019A9">
        <w:rPr>
          <w:sz w:val="20"/>
          <w:szCs w:val="20"/>
          <w:lang w:val="es-ES_tradnl"/>
        </w:rPr>
        <w:t>San Javier dictó auto acusatorio contra el Teniente Coronel del Ejército en retiro Claudio Abdón Lecaros por su participación en calidad de autor del delito de secuestro calificado del Sr. Figueroa Mercado</w:t>
      </w:r>
      <w:r w:rsidR="00F84390" w:rsidRPr="00E019A9">
        <w:rPr>
          <w:rStyle w:val="FootnoteReference"/>
          <w:sz w:val="20"/>
          <w:szCs w:val="20"/>
          <w:lang w:val="es-ES_tradnl"/>
        </w:rPr>
        <w:footnoteReference w:id="193"/>
      </w:r>
      <w:r w:rsidR="00F84390" w:rsidRPr="00E019A9">
        <w:rPr>
          <w:sz w:val="20"/>
          <w:szCs w:val="20"/>
          <w:lang w:val="es-ES_tradnl"/>
        </w:rPr>
        <w:t xml:space="preserve">. </w:t>
      </w:r>
    </w:p>
    <w:p w14:paraId="5BF198CA" w14:textId="77777777" w:rsidR="00F84390" w:rsidRPr="00E019A9" w:rsidRDefault="00F84390" w:rsidP="00F84390">
      <w:pPr>
        <w:pStyle w:val="ListParagraph"/>
        <w:jc w:val="both"/>
        <w:rPr>
          <w:sz w:val="20"/>
          <w:szCs w:val="20"/>
          <w:lang w:val="es-ES_tradnl"/>
        </w:rPr>
      </w:pPr>
    </w:p>
    <w:p w14:paraId="5E7F580B" w14:textId="77777777" w:rsidR="00710A40" w:rsidRPr="00E019A9" w:rsidRDefault="00F84390"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 xml:space="preserve">El 18 de julio de 2008 la Ministra en visita extraordinaria de la Corte de Apelaciones de Talca </w:t>
      </w:r>
      <w:r w:rsidRPr="00E019A9">
        <w:rPr>
          <w:sz w:val="20"/>
          <w:szCs w:val="20"/>
          <w:lang w:val="es-ES"/>
        </w:rPr>
        <w:t xml:space="preserve">Juana María Venegas Ilabaca dictó sentencia absolviendo al </w:t>
      </w:r>
      <w:r w:rsidR="00AE765D" w:rsidRPr="00E019A9">
        <w:rPr>
          <w:sz w:val="20"/>
          <w:szCs w:val="20"/>
          <w:lang w:val="es-ES"/>
        </w:rPr>
        <w:t xml:space="preserve">procesado Claudio Abdón Lecaros de la acusación que pesaba en su contra por prescripción de la acción penal. Para resolver de esta manera, la magistrada actuante argumentó que el delito del que fue </w:t>
      </w:r>
      <w:r w:rsidR="00C266C8" w:rsidRPr="00E019A9">
        <w:rPr>
          <w:sz w:val="20"/>
          <w:szCs w:val="20"/>
          <w:lang w:val="es-ES"/>
        </w:rPr>
        <w:t>víctima</w:t>
      </w:r>
      <w:r w:rsidR="00AE765D" w:rsidRPr="00E019A9">
        <w:rPr>
          <w:sz w:val="20"/>
          <w:szCs w:val="20"/>
          <w:lang w:val="es-ES"/>
        </w:rPr>
        <w:t xml:space="preserve"> el Sr. Figueroa Macedo fue consumado el 11 de marzo de 1990 y que desde ese entonces debía comenzar a contarse el plazo de prescripción de 10 años de acuerdo con el </w:t>
      </w:r>
      <w:r w:rsidR="00C266C8" w:rsidRPr="00E019A9">
        <w:rPr>
          <w:sz w:val="20"/>
          <w:szCs w:val="20"/>
          <w:lang w:val="es-ES"/>
        </w:rPr>
        <w:t>artículo</w:t>
      </w:r>
      <w:r w:rsidR="00AE765D" w:rsidRPr="00E019A9">
        <w:rPr>
          <w:sz w:val="20"/>
          <w:szCs w:val="20"/>
          <w:lang w:val="es-ES"/>
        </w:rPr>
        <w:t xml:space="preserve"> 95 del Código Penal</w:t>
      </w:r>
      <w:r w:rsidR="00AE765D" w:rsidRPr="00E019A9">
        <w:rPr>
          <w:rStyle w:val="FootnoteReference"/>
          <w:sz w:val="20"/>
          <w:szCs w:val="20"/>
          <w:lang w:val="es-ES"/>
        </w:rPr>
        <w:footnoteReference w:id="194"/>
      </w:r>
      <w:r w:rsidR="00AE765D" w:rsidRPr="00E019A9">
        <w:rPr>
          <w:sz w:val="20"/>
          <w:szCs w:val="20"/>
          <w:lang w:val="es-ES"/>
        </w:rPr>
        <w:t xml:space="preserve">. </w:t>
      </w:r>
    </w:p>
    <w:p w14:paraId="566195F5" w14:textId="77777777" w:rsidR="00AE765D" w:rsidRPr="00E019A9" w:rsidRDefault="00AE765D" w:rsidP="00AE765D">
      <w:pPr>
        <w:pStyle w:val="ListParagraph"/>
        <w:rPr>
          <w:sz w:val="20"/>
          <w:szCs w:val="20"/>
          <w:lang w:val="es-ES_tradnl"/>
        </w:rPr>
      </w:pPr>
    </w:p>
    <w:p w14:paraId="78C2AA6C" w14:textId="77777777" w:rsidR="00BF6472" w:rsidRPr="00E019A9" w:rsidRDefault="00AE765D"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 xml:space="preserve">Ante esta decisión </w:t>
      </w:r>
      <w:r w:rsidR="00BB6BCB" w:rsidRPr="00E019A9">
        <w:rPr>
          <w:sz w:val="20"/>
          <w:szCs w:val="20"/>
          <w:lang w:val="es-ES_tradnl"/>
        </w:rPr>
        <w:t xml:space="preserve">los </w:t>
      </w:r>
      <w:r w:rsidR="003F307B" w:rsidRPr="00E019A9">
        <w:rPr>
          <w:sz w:val="20"/>
          <w:szCs w:val="20"/>
          <w:lang w:val="es-ES_tradnl"/>
        </w:rPr>
        <w:t>querellantes</w:t>
      </w:r>
      <w:r w:rsidR="00BB6BCB" w:rsidRPr="00E019A9">
        <w:rPr>
          <w:sz w:val="20"/>
          <w:szCs w:val="20"/>
          <w:lang w:val="es-ES_tradnl"/>
        </w:rPr>
        <w:t xml:space="preserve"> interpusieron sendos recursos de apelación. El 17 de abril de 2009 la Tercera Sala de la Corte de Apelaciones de Talca</w:t>
      </w:r>
      <w:r w:rsidR="00BF6472" w:rsidRPr="00E019A9">
        <w:rPr>
          <w:sz w:val="20"/>
          <w:szCs w:val="20"/>
          <w:lang w:val="es-ES_tradnl"/>
        </w:rPr>
        <w:t>, por decisión mayoritaria,</w:t>
      </w:r>
      <w:r w:rsidR="00BB6BCB" w:rsidRPr="00E019A9">
        <w:rPr>
          <w:sz w:val="20"/>
          <w:szCs w:val="20"/>
          <w:lang w:val="es-ES_tradnl"/>
        </w:rPr>
        <w:t xml:space="preserve"> revocó la sentencia de primera instancia y condenó a</w:t>
      </w:r>
      <w:r w:rsidR="003D58DD" w:rsidRPr="00E019A9">
        <w:rPr>
          <w:sz w:val="20"/>
          <w:szCs w:val="20"/>
          <w:lang w:val="es-ES_tradnl"/>
        </w:rPr>
        <w:t xml:space="preserve">l acusado Claudio Abdón Lecaros a la pena de quinientos cuarenta días de reclusión menor en su grado </w:t>
      </w:r>
      <w:r w:rsidR="00BF6472" w:rsidRPr="00E019A9">
        <w:rPr>
          <w:sz w:val="20"/>
          <w:szCs w:val="20"/>
          <w:lang w:val="es-ES_tradnl"/>
        </w:rPr>
        <w:t>mínimo</w:t>
      </w:r>
      <w:r w:rsidR="003D58DD" w:rsidRPr="00E019A9">
        <w:rPr>
          <w:sz w:val="20"/>
          <w:szCs w:val="20"/>
          <w:lang w:val="es-ES_tradnl"/>
        </w:rPr>
        <w:t xml:space="preserve"> por resultar responsable del delito de detención ilegal y arbitraria en perjuicio de Miguel Antonio Figueroa Mercado</w:t>
      </w:r>
      <w:r w:rsidR="00BF6472" w:rsidRPr="00E019A9">
        <w:rPr>
          <w:rStyle w:val="FootnoteReference"/>
          <w:sz w:val="20"/>
          <w:szCs w:val="20"/>
          <w:lang w:val="es-ES_tradnl"/>
        </w:rPr>
        <w:footnoteReference w:id="195"/>
      </w:r>
      <w:r w:rsidR="003D58DD" w:rsidRPr="00E019A9">
        <w:rPr>
          <w:sz w:val="20"/>
          <w:szCs w:val="20"/>
          <w:lang w:val="es-ES_tradnl"/>
        </w:rPr>
        <w:t xml:space="preserve">. </w:t>
      </w:r>
      <w:r w:rsidR="00BF6472" w:rsidRPr="00E019A9">
        <w:rPr>
          <w:sz w:val="20"/>
          <w:szCs w:val="20"/>
          <w:lang w:val="es-ES_tradnl"/>
        </w:rPr>
        <w:t xml:space="preserve">El tribunal descartó que la acción penal se hallara prescripta toda vez que el delito perpetrado en perjuicio de la </w:t>
      </w:r>
      <w:r w:rsidR="00C266C8" w:rsidRPr="00E019A9">
        <w:rPr>
          <w:sz w:val="20"/>
          <w:szCs w:val="20"/>
          <w:lang w:val="es-ES_tradnl"/>
        </w:rPr>
        <w:t>víctima</w:t>
      </w:r>
      <w:r w:rsidR="00BF6472" w:rsidRPr="00E019A9">
        <w:rPr>
          <w:sz w:val="20"/>
          <w:szCs w:val="20"/>
          <w:lang w:val="es-ES_tradnl"/>
        </w:rPr>
        <w:t xml:space="preserve"> poseía el carácter de </w:t>
      </w:r>
      <w:r w:rsidR="00282F76" w:rsidRPr="00E019A9">
        <w:rPr>
          <w:sz w:val="20"/>
          <w:szCs w:val="20"/>
          <w:lang w:val="es-ES_tradnl"/>
        </w:rPr>
        <w:t>crimen</w:t>
      </w:r>
      <w:r w:rsidR="00BF6472" w:rsidRPr="00E019A9">
        <w:rPr>
          <w:sz w:val="20"/>
          <w:szCs w:val="20"/>
          <w:lang w:val="es-ES_tradnl"/>
        </w:rPr>
        <w:t xml:space="preserve"> de lesa humanidad</w:t>
      </w:r>
      <w:r w:rsidR="00BF6472" w:rsidRPr="00E019A9">
        <w:rPr>
          <w:rStyle w:val="FootnoteReference"/>
          <w:sz w:val="20"/>
          <w:szCs w:val="20"/>
          <w:lang w:val="es-ES_tradnl"/>
        </w:rPr>
        <w:footnoteReference w:id="196"/>
      </w:r>
      <w:r w:rsidR="00BF6472" w:rsidRPr="00E019A9">
        <w:rPr>
          <w:sz w:val="20"/>
          <w:szCs w:val="20"/>
          <w:lang w:val="es-ES_tradnl"/>
        </w:rPr>
        <w:t xml:space="preserve">.  </w:t>
      </w:r>
    </w:p>
    <w:p w14:paraId="5F10E9F1" w14:textId="77777777" w:rsidR="00BF6472" w:rsidRPr="00E019A9" w:rsidRDefault="00BF6472" w:rsidP="00BF6472">
      <w:pPr>
        <w:pStyle w:val="ListParagraph"/>
        <w:rPr>
          <w:sz w:val="20"/>
          <w:szCs w:val="20"/>
          <w:lang w:val="es-ES_tradnl"/>
        </w:rPr>
      </w:pPr>
    </w:p>
    <w:p w14:paraId="26EBB45E" w14:textId="77777777" w:rsidR="00AE765D" w:rsidRPr="00E019A9" w:rsidRDefault="00BF6472"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L</w:t>
      </w:r>
      <w:r w:rsidR="003D58DD" w:rsidRPr="00E019A9">
        <w:rPr>
          <w:sz w:val="20"/>
          <w:szCs w:val="20"/>
          <w:lang w:val="es-ES_tradnl"/>
        </w:rPr>
        <w:t xml:space="preserve">a Corte de Apelaciones de Talca </w:t>
      </w:r>
      <w:r w:rsidRPr="00E019A9">
        <w:rPr>
          <w:sz w:val="20"/>
          <w:szCs w:val="20"/>
          <w:lang w:val="es-ES_tradnl"/>
        </w:rPr>
        <w:t>coincidió con la magistrada de primera instancia en lo que respecta a las circunstancias de hecho que rodearon el arresto del Sr. Figueroa Mercado y, acto seguido, señaló que “como solo existe certeza acerca de la detención acaecida el día 29 de septiembre, pero no del posterior destino del detenido, no se ha adquirido la convicción legal necesaria para tener por cierto que él estuvo secuestrado, bajo el poder del encausado, de modo permanente”</w:t>
      </w:r>
      <w:r w:rsidRPr="00E019A9">
        <w:rPr>
          <w:rStyle w:val="FootnoteReference"/>
          <w:sz w:val="20"/>
          <w:szCs w:val="20"/>
          <w:lang w:val="es-ES_tradnl"/>
        </w:rPr>
        <w:footnoteReference w:id="197"/>
      </w:r>
      <w:r w:rsidRPr="00E019A9">
        <w:rPr>
          <w:sz w:val="20"/>
          <w:szCs w:val="20"/>
          <w:lang w:val="es-ES_tradnl"/>
        </w:rPr>
        <w:t xml:space="preserve">. </w:t>
      </w:r>
    </w:p>
    <w:p w14:paraId="3B73509E" w14:textId="77777777" w:rsidR="00BF6472" w:rsidRPr="00E019A9" w:rsidRDefault="00BF6472" w:rsidP="00BF6472">
      <w:pPr>
        <w:pStyle w:val="ListParagraph"/>
        <w:rPr>
          <w:sz w:val="20"/>
          <w:szCs w:val="20"/>
          <w:lang w:val="es-ES_tradnl"/>
        </w:rPr>
      </w:pPr>
    </w:p>
    <w:p w14:paraId="51E88867" w14:textId="77777777" w:rsidR="00BF6472" w:rsidRPr="00E019A9" w:rsidRDefault="00F95593"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 xml:space="preserve">Finalmente, el </w:t>
      </w:r>
      <w:r w:rsidR="00283BF0" w:rsidRPr="00E019A9">
        <w:rPr>
          <w:sz w:val="20"/>
          <w:szCs w:val="20"/>
          <w:lang w:val="es-ES_tradnl"/>
        </w:rPr>
        <w:t>18 de mayo de 2010 la Segunda Sala de la Corte Suprema</w:t>
      </w:r>
      <w:r w:rsidR="000E6AB5" w:rsidRPr="00E019A9">
        <w:rPr>
          <w:sz w:val="20"/>
          <w:szCs w:val="20"/>
          <w:lang w:val="es-ES_tradnl"/>
        </w:rPr>
        <w:t xml:space="preserve"> -</w:t>
      </w:r>
      <w:r w:rsidR="00283BF0" w:rsidRPr="00E019A9">
        <w:rPr>
          <w:sz w:val="20"/>
          <w:szCs w:val="20"/>
          <w:lang w:val="es-ES_tradnl"/>
        </w:rPr>
        <w:t xml:space="preserve"> </w:t>
      </w:r>
      <w:r w:rsidR="000E6AB5" w:rsidRPr="00E019A9">
        <w:rPr>
          <w:sz w:val="20"/>
          <w:szCs w:val="20"/>
          <w:lang w:val="es-ES_tradnl"/>
        </w:rPr>
        <w:t>en ocasión de pronunciarse</w:t>
      </w:r>
      <w:r w:rsidR="004E7056" w:rsidRPr="00E019A9">
        <w:rPr>
          <w:sz w:val="20"/>
          <w:szCs w:val="20"/>
          <w:lang w:val="es-ES_tradnl"/>
        </w:rPr>
        <w:t xml:space="preserve"> </w:t>
      </w:r>
      <w:r w:rsidR="000E6AB5" w:rsidRPr="00E019A9">
        <w:rPr>
          <w:sz w:val="20"/>
          <w:szCs w:val="20"/>
          <w:lang w:val="es-ES_tradnl"/>
        </w:rPr>
        <w:t>frente al</w:t>
      </w:r>
      <w:r w:rsidR="004E7056" w:rsidRPr="00E019A9">
        <w:rPr>
          <w:sz w:val="20"/>
          <w:szCs w:val="20"/>
          <w:lang w:val="es-ES_tradnl"/>
        </w:rPr>
        <w:t xml:space="preserve"> recurso de casación interpuesto por la parte querellante</w:t>
      </w:r>
      <w:r w:rsidR="000E6AB5" w:rsidRPr="00E019A9">
        <w:rPr>
          <w:sz w:val="20"/>
          <w:szCs w:val="20"/>
          <w:lang w:val="es-ES_tradnl"/>
        </w:rPr>
        <w:t xml:space="preserve"> -</w:t>
      </w:r>
      <w:r w:rsidR="004E7056" w:rsidRPr="00E019A9">
        <w:rPr>
          <w:sz w:val="20"/>
          <w:szCs w:val="20"/>
          <w:lang w:val="es-ES_tradnl"/>
        </w:rPr>
        <w:t xml:space="preserve"> </w:t>
      </w:r>
      <w:r w:rsidR="00282F76" w:rsidRPr="00E019A9">
        <w:rPr>
          <w:sz w:val="20"/>
          <w:szCs w:val="20"/>
          <w:lang w:val="es-ES_tradnl"/>
        </w:rPr>
        <w:t>resolvió</w:t>
      </w:r>
      <w:r w:rsidR="004E7056" w:rsidRPr="00E019A9">
        <w:rPr>
          <w:sz w:val="20"/>
          <w:szCs w:val="20"/>
          <w:lang w:val="es-ES_tradnl"/>
        </w:rPr>
        <w:t xml:space="preserve"> invalidar la sentencia de fecha 17 de abril de 2009 suscripta por la Corte de </w:t>
      </w:r>
      <w:r w:rsidR="00282F76" w:rsidRPr="00E019A9">
        <w:rPr>
          <w:sz w:val="20"/>
          <w:szCs w:val="20"/>
          <w:lang w:val="es-ES_tradnl"/>
        </w:rPr>
        <w:t>Apelaciones</w:t>
      </w:r>
      <w:r w:rsidR="004E7056" w:rsidRPr="00E019A9">
        <w:rPr>
          <w:sz w:val="20"/>
          <w:szCs w:val="20"/>
          <w:lang w:val="es-ES_tradnl"/>
        </w:rPr>
        <w:t xml:space="preserve"> de Talca y dictar una nueva en su reemplazo. </w:t>
      </w:r>
      <w:r w:rsidR="00282F76" w:rsidRPr="00E019A9">
        <w:rPr>
          <w:sz w:val="20"/>
          <w:szCs w:val="20"/>
          <w:lang w:val="es-ES_tradnl"/>
        </w:rPr>
        <w:t xml:space="preserve">Para decidir de este modo, la Corte Suprema </w:t>
      </w:r>
      <w:r w:rsidR="000E6AB5" w:rsidRPr="00E019A9">
        <w:rPr>
          <w:sz w:val="20"/>
          <w:szCs w:val="20"/>
          <w:lang w:val="es-ES_tradnl"/>
        </w:rPr>
        <w:t>consideró</w:t>
      </w:r>
      <w:r w:rsidR="00282F76" w:rsidRPr="00E019A9">
        <w:rPr>
          <w:sz w:val="20"/>
          <w:szCs w:val="20"/>
          <w:lang w:val="es-ES_tradnl"/>
        </w:rPr>
        <w:t xml:space="preserve"> que los hechos del caso debían subsumirse en el tipo penal de secuestro calificado consagrado en el art 141</w:t>
      </w:r>
      <w:r w:rsidR="000E6AB5" w:rsidRPr="00E019A9">
        <w:rPr>
          <w:sz w:val="20"/>
          <w:szCs w:val="20"/>
          <w:lang w:val="es-ES_tradnl"/>
        </w:rPr>
        <w:t xml:space="preserve"> del Código Penal</w:t>
      </w:r>
      <w:r w:rsidR="00282F76" w:rsidRPr="00E019A9">
        <w:rPr>
          <w:sz w:val="20"/>
          <w:szCs w:val="20"/>
          <w:lang w:val="es-ES_tradnl"/>
        </w:rPr>
        <w:t xml:space="preserve"> y no en el de </w:t>
      </w:r>
      <w:r w:rsidR="000E6AB5" w:rsidRPr="00E019A9">
        <w:rPr>
          <w:sz w:val="20"/>
          <w:szCs w:val="20"/>
          <w:lang w:val="es-ES_tradnl"/>
        </w:rPr>
        <w:t>detención ilegal contenido en el art 148 del mismo texto legal</w:t>
      </w:r>
      <w:r w:rsidR="000E6AB5" w:rsidRPr="00E019A9">
        <w:rPr>
          <w:rStyle w:val="FootnoteReference"/>
          <w:sz w:val="20"/>
          <w:szCs w:val="20"/>
          <w:lang w:val="es-ES_tradnl"/>
        </w:rPr>
        <w:footnoteReference w:id="198"/>
      </w:r>
      <w:r w:rsidR="000E6AB5" w:rsidRPr="00E019A9">
        <w:rPr>
          <w:sz w:val="20"/>
          <w:szCs w:val="20"/>
          <w:lang w:val="es-ES_tradnl"/>
        </w:rPr>
        <w:t xml:space="preserve">. </w:t>
      </w:r>
    </w:p>
    <w:p w14:paraId="60C5AA70" w14:textId="77777777" w:rsidR="000E6AB5" w:rsidRPr="00E019A9" w:rsidRDefault="000E6AB5" w:rsidP="000E6AB5">
      <w:pPr>
        <w:pStyle w:val="ListParagraph"/>
        <w:rPr>
          <w:sz w:val="20"/>
          <w:szCs w:val="20"/>
          <w:lang w:val="es-ES_tradnl"/>
        </w:rPr>
      </w:pPr>
    </w:p>
    <w:p w14:paraId="1A286E6B" w14:textId="77777777" w:rsidR="000E6AB5" w:rsidRPr="00E019A9" w:rsidRDefault="000E6AB5"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 xml:space="preserve">En la sentencia de reemplazo dictada por la Corte Suprema el mismo 18 de mayo de 2010, el tribunal </w:t>
      </w:r>
      <w:r w:rsidR="00A448AC" w:rsidRPr="00E019A9">
        <w:rPr>
          <w:sz w:val="20"/>
          <w:szCs w:val="20"/>
          <w:lang w:val="es-ES_tradnl"/>
        </w:rPr>
        <w:t xml:space="preserve">comenzó por ratificar la plataforma fáctica fijada por los tribunales de las instancias anteriores. Acto seguido, consignó que el delito de secuestro del que fue </w:t>
      </w:r>
      <w:r w:rsidR="00C266C8" w:rsidRPr="00E019A9">
        <w:rPr>
          <w:sz w:val="20"/>
          <w:szCs w:val="20"/>
          <w:lang w:val="es-ES_tradnl"/>
        </w:rPr>
        <w:t>víctima</w:t>
      </w:r>
      <w:r w:rsidR="00A448AC" w:rsidRPr="00E019A9">
        <w:rPr>
          <w:sz w:val="20"/>
          <w:szCs w:val="20"/>
          <w:lang w:val="es-ES_tradnl"/>
        </w:rPr>
        <w:t xml:space="preserve"> el Sr. Figueroa Macedo constituye un crimen de lesa humanidad y, por consiguiente, sus autores no pueden resultar beneficiados por leyes de amnistía o por la prescripción de la acción penal</w:t>
      </w:r>
      <w:r w:rsidR="00A448AC" w:rsidRPr="00E019A9">
        <w:rPr>
          <w:rStyle w:val="FootnoteReference"/>
          <w:sz w:val="20"/>
          <w:szCs w:val="20"/>
          <w:lang w:val="es-ES_tradnl"/>
        </w:rPr>
        <w:footnoteReference w:id="199"/>
      </w:r>
      <w:r w:rsidR="00A448AC" w:rsidRPr="00E019A9">
        <w:rPr>
          <w:sz w:val="20"/>
          <w:szCs w:val="20"/>
          <w:lang w:val="es-ES_tradnl"/>
        </w:rPr>
        <w:t xml:space="preserve">.  </w:t>
      </w:r>
    </w:p>
    <w:p w14:paraId="1C20CFA5" w14:textId="77777777" w:rsidR="00A448AC" w:rsidRPr="00E019A9" w:rsidRDefault="00A448AC" w:rsidP="00A448AC">
      <w:pPr>
        <w:pStyle w:val="ListParagraph"/>
        <w:rPr>
          <w:sz w:val="20"/>
          <w:szCs w:val="20"/>
          <w:lang w:val="es-ES_tradnl"/>
        </w:rPr>
      </w:pPr>
    </w:p>
    <w:p w14:paraId="31CABF70" w14:textId="77777777" w:rsidR="00A448AC" w:rsidRPr="00E019A9" w:rsidRDefault="00A448AC"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lastRenderedPageBreak/>
        <w:t xml:space="preserve">A continuación, la Corte Suprema argumentó que “la imposibilidad de aplicar la institución de la prescripción de la acción penal, que es causal de extinción de la responsabilidad criminal, no alcanza a la denominada media prescripción, o gradual, parcial o incompleta, que es una circunstancia atenuante de la responsabilidad penal” y agregó que el efecto de la aplicación </w:t>
      </w:r>
      <w:r w:rsidR="00A976A9" w:rsidRPr="00E019A9">
        <w:rPr>
          <w:sz w:val="20"/>
          <w:szCs w:val="20"/>
          <w:lang w:val="es-ES_tradnl"/>
        </w:rPr>
        <w:t>de la figura</w:t>
      </w:r>
      <w:r w:rsidRPr="00E019A9">
        <w:rPr>
          <w:sz w:val="20"/>
          <w:szCs w:val="20"/>
          <w:lang w:val="es-ES_tradnl"/>
        </w:rPr>
        <w:t xml:space="preserve"> de la media prescripción es distinto al de la </w:t>
      </w:r>
      <w:r w:rsidR="00A976A9" w:rsidRPr="00E019A9">
        <w:rPr>
          <w:sz w:val="20"/>
          <w:szCs w:val="20"/>
          <w:lang w:val="es-ES_tradnl"/>
        </w:rPr>
        <w:t>prescripción</w:t>
      </w:r>
      <w:r w:rsidRPr="00E019A9">
        <w:rPr>
          <w:sz w:val="20"/>
          <w:szCs w:val="20"/>
          <w:lang w:val="es-ES_tradnl"/>
        </w:rPr>
        <w:t xml:space="preserve"> de la acción penal ya que “solo permite introducir una rebaja a la pena correspondiente”</w:t>
      </w:r>
      <w:r w:rsidR="00A976A9" w:rsidRPr="00E019A9">
        <w:rPr>
          <w:sz w:val="20"/>
          <w:szCs w:val="20"/>
          <w:lang w:val="es-ES_tradnl"/>
        </w:rPr>
        <w:t xml:space="preserve"> y “no extingue la responsabilidad penal”</w:t>
      </w:r>
      <w:r w:rsidR="00A976A9" w:rsidRPr="00E019A9">
        <w:rPr>
          <w:rStyle w:val="FootnoteReference"/>
          <w:sz w:val="20"/>
          <w:szCs w:val="20"/>
          <w:lang w:val="es-ES_tradnl"/>
        </w:rPr>
        <w:footnoteReference w:id="200"/>
      </w:r>
      <w:r w:rsidR="00A976A9" w:rsidRPr="00E019A9">
        <w:rPr>
          <w:sz w:val="20"/>
          <w:szCs w:val="20"/>
          <w:lang w:val="es-ES_tradnl"/>
        </w:rPr>
        <w:t xml:space="preserve">. </w:t>
      </w:r>
    </w:p>
    <w:p w14:paraId="4A1F0500" w14:textId="77777777" w:rsidR="00051DCA" w:rsidRPr="00E019A9" w:rsidRDefault="00051DCA" w:rsidP="00051DCA">
      <w:pPr>
        <w:pStyle w:val="ListParagraph"/>
        <w:rPr>
          <w:sz w:val="20"/>
          <w:szCs w:val="20"/>
          <w:lang w:val="es-ES_tradnl"/>
        </w:rPr>
      </w:pPr>
    </w:p>
    <w:p w14:paraId="230FBE9F" w14:textId="77777777" w:rsidR="00051DCA" w:rsidRPr="00E019A9" w:rsidRDefault="00051DCA"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En lo que respecta a la aplicación al caso concreto del instituto de la media prescripción o prescripción gradual de la pena, la Corte Suprema consignó que “el ilícito se cometió en el mes de septiembre de 1973 y se dio inicio al procedimiento en el año 2002, de modo que transcurrió con creces el termino necesario para el reconocimiento de esta atenuante de responsabilidad”</w:t>
      </w:r>
      <w:r w:rsidR="00865E49" w:rsidRPr="00E019A9">
        <w:rPr>
          <w:rStyle w:val="FootnoteReference"/>
          <w:sz w:val="20"/>
          <w:szCs w:val="20"/>
          <w:lang w:val="es-ES_tradnl"/>
        </w:rPr>
        <w:footnoteReference w:id="201"/>
      </w:r>
      <w:r w:rsidRPr="00E019A9">
        <w:rPr>
          <w:sz w:val="20"/>
          <w:szCs w:val="20"/>
          <w:lang w:val="es-ES_tradnl"/>
        </w:rPr>
        <w:t xml:space="preserve"> </w:t>
      </w:r>
    </w:p>
    <w:p w14:paraId="2E10A9A3" w14:textId="77777777" w:rsidR="00051DCA" w:rsidRPr="00E019A9" w:rsidRDefault="00051DCA" w:rsidP="00051DCA">
      <w:pPr>
        <w:pStyle w:val="ListParagraph"/>
        <w:rPr>
          <w:sz w:val="20"/>
          <w:szCs w:val="20"/>
          <w:lang w:val="es-ES_tradnl"/>
        </w:rPr>
      </w:pPr>
    </w:p>
    <w:p w14:paraId="50489DD1" w14:textId="77777777" w:rsidR="00051DCA" w:rsidRPr="00E019A9" w:rsidRDefault="00865E49"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En virtud de todo lo expuesto</w:t>
      </w:r>
      <w:r w:rsidR="00051DCA" w:rsidRPr="00E019A9">
        <w:rPr>
          <w:sz w:val="20"/>
          <w:szCs w:val="20"/>
          <w:lang w:val="es-ES_tradnl"/>
        </w:rPr>
        <w:t xml:space="preserve">, la Corte Suprema </w:t>
      </w:r>
      <w:r w:rsidRPr="00E019A9">
        <w:rPr>
          <w:sz w:val="20"/>
          <w:szCs w:val="20"/>
          <w:lang w:val="es-ES_tradnl"/>
        </w:rPr>
        <w:t xml:space="preserve">determinó </w:t>
      </w:r>
      <w:r w:rsidR="00051DCA" w:rsidRPr="00E019A9">
        <w:rPr>
          <w:sz w:val="20"/>
          <w:szCs w:val="20"/>
          <w:lang w:val="es-ES_tradnl"/>
        </w:rPr>
        <w:t xml:space="preserve">que el acusado Lecaros Carrasco resultaba beneficiado por las circunstancias atenuantes de irreprochable conducta anterior (art 11.6 Código Penal) </w:t>
      </w:r>
      <w:r w:rsidRPr="00E019A9">
        <w:rPr>
          <w:sz w:val="20"/>
          <w:szCs w:val="20"/>
          <w:lang w:val="es-ES_tradnl"/>
        </w:rPr>
        <w:t xml:space="preserve">y de media prescripción (art 103 Código Penal) y, en consecuencia, decidió apreciar el hecho como revestido de dos circunstancias atenuantes muy calificadas y aplicar el </w:t>
      </w:r>
      <w:r w:rsidR="005A7AD6" w:rsidRPr="00E019A9">
        <w:rPr>
          <w:sz w:val="20"/>
          <w:szCs w:val="20"/>
          <w:lang w:val="es-ES_tradnl"/>
        </w:rPr>
        <w:t>artículo</w:t>
      </w:r>
      <w:r w:rsidRPr="00E019A9">
        <w:rPr>
          <w:sz w:val="20"/>
          <w:szCs w:val="20"/>
          <w:lang w:val="es-ES_tradnl"/>
        </w:rPr>
        <w:t xml:space="preserve"> 68 inciso 3 del Código Penal que  faculta imponer la pena inferior en uno, dos o tres grados al mínimo de los señalados por la ley. En el caso del acusado Lecaros Carrasco, la Corte Suprema decidió rebajar en dos grados al mínimo legal la penalidad contemplada para el delito de secuestro calificado, imponerle la pena de tres años de presidio menor en su grado medio, mas accesorias y concederle el beneficio de la remisión condicional de la pena</w:t>
      </w:r>
      <w:r w:rsidRPr="00E019A9">
        <w:rPr>
          <w:rStyle w:val="FootnoteReference"/>
          <w:sz w:val="20"/>
          <w:szCs w:val="20"/>
          <w:lang w:val="es-ES_tradnl"/>
        </w:rPr>
        <w:footnoteReference w:id="202"/>
      </w:r>
      <w:r w:rsidRPr="00E019A9">
        <w:rPr>
          <w:sz w:val="20"/>
          <w:szCs w:val="20"/>
          <w:lang w:val="es-ES_tradnl"/>
        </w:rPr>
        <w:t xml:space="preserve">. </w:t>
      </w:r>
    </w:p>
    <w:p w14:paraId="0CDB3F55" w14:textId="77777777" w:rsidR="00AE765D" w:rsidRPr="00E019A9" w:rsidRDefault="00AE765D" w:rsidP="00AE765D">
      <w:pPr>
        <w:pStyle w:val="ListParagraph"/>
        <w:tabs>
          <w:tab w:val="left" w:pos="567"/>
        </w:tabs>
        <w:ind w:left="0"/>
        <w:jc w:val="both"/>
        <w:rPr>
          <w:sz w:val="20"/>
          <w:szCs w:val="20"/>
          <w:lang w:val="es-ES_tradnl"/>
        </w:rPr>
      </w:pPr>
    </w:p>
    <w:p w14:paraId="521962A4" w14:textId="77777777" w:rsidR="00611061" w:rsidRPr="00E019A9" w:rsidRDefault="00611061" w:rsidP="00611061">
      <w:pPr>
        <w:pStyle w:val="Heading1"/>
      </w:pPr>
      <w:bookmarkStart w:id="9" w:name="_Toc70440263"/>
      <w:r w:rsidRPr="00E019A9">
        <w:t xml:space="preserve">ANALISIS DE </w:t>
      </w:r>
      <w:r w:rsidR="00B95AA9" w:rsidRPr="00E019A9">
        <w:t>DERECHO</w:t>
      </w:r>
      <w:bookmarkEnd w:id="9"/>
    </w:p>
    <w:p w14:paraId="32EA0159" w14:textId="77777777" w:rsidR="006C1B06" w:rsidRPr="00E019A9" w:rsidRDefault="006C1B06" w:rsidP="006C1B06">
      <w:pPr>
        <w:rPr>
          <w:sz w:val="20"/>
          <w:szCs w:val="20"/>
          <w:lang w:val="es-ES_tradnl" w:eastAsia="es-ES"/>
        </w:rPr>
      </w:pPr>
    </w:p>
    <w:p w14:paraId="56429004" w14:textId="77777777" w:rsidR="00B95AA9" w:rsidRPr="00E019A9" w:rsidRDefault="00B95AA9" w:rsidP="00BB60A6">
      <w:pPr>
        <w:pStyle w:val="Heading2"/>
        <w:numPr>
          <w:ilvl w:val="0"/>
          <w:numId w:val="56"/>
        </w:numPr>
        <w:jc w:val="both"/>
      </w:pPr>
      <w:bookmarkStart w:id="10" w:name="_Toc70440264"/>
      <w:r w:rsidRPr="00E019A9">
        <w:t>Derechos a las garantías judiciales</w:t>
      </w:r>
      <w:r w:rsidR="0036189B" w:rsidRPr="00E019A9">
        <w:t xml:space="preserve">, </w:t>
      </w:r>
      <w:r w:rsidRPr="00E019A9">
        <w:t>a la protección judicial</w:t>
      </w:r>
      <w:r w:rsidR="0036189B" w:rsidRPr="00E019A9">
        <w:t xml:space="preserve"> </w:t>
      </w:r>
      <w:r w:rsidRPr="00E019A9">
        <w:t>(artículos 8</w:t>
      </w:r>
      <w:r w:rsidR="0036189B" w:rsidRPr="00E019A9">
        <w:t>.1</w:t>
      </w:r>
      <w:r w:rsidRPr="00E019A9">
        <w:t xml:space="preserve"> y 25.1 de la </w:t>
      </w:r>
      <w:r w:rsidR="00E23F72" w:rsidRPr="00E019A9">
        <w:t>Convención</w:t>
      </w:r>
      <w:r w:rsidRPr="00E019A9">
        <w:t xml:space="preserve"> Americana </w:t>
      </w:r>
      <w:r w:rsidR="00A30C53" w:rsidRPr="00E019A9">
        <w:t xml:space="preserve">sobre Derechos Humanos </w:t>
      </w:r>
      <w:r w:rsidRPr="00E019A9">
        <w:t>en relación con</w:t>
      </w:r>
      <w:r w:rsidR="00A30C53" w:rsidRPr="00E019A9">
        <w:t xml:space="preserve"> su</w:t>
      </w:r>
      <w:r w:rsidR="0036189B" w:rsidRPr="00E019A9">
        <w:t>s</w:t>
      </w:r>
      <w:r w:rsidR="00A30C53" w:rsidRPr="00E019A9">
        <w:t xml:space="preserve"> artículo</w:t>
      </w:r>
      <w:r w:rsidR="0036189B" w:rsidRPr="00E019A9">
        <w:t>s</w:t>
      </w:r>
      <w:r w:rsidR="00A30C53" w:rsidRPr="00E019A9">
        <w:t xml:space="preserve"> 1.1</w:t>
      </w:r>
      <w:r w:rsidR="0036189B" w:rsidRPr="00E019A9">
        <w:t xml:space="preserve"> y 2)</w:t>
      </w:r>
      <w:r w:rsidR="005B22F1" w:rsidRPr="00E019A9">
        <w:t xml:space="preserve"> y</w:t>
      </w:r>
      <w:r w:rsidR="0029505E" w:rsidRPr="00E019A9">
        <w:t xml:space="preserve"> obligación de sancionar la desaparición forzada</w:t>
      </w:r>
      <w:r w:rsidR="0054064F" w:rsidRPr="00E019A9">
        <w:t xml:space="preserve"> de personas</w:t>
      </w:r>
      <w:r w:rsidR="0029505E" w:rsidRPr="00E019A9">
        <w:t xml:space="preserve"> (artículos 1.b y 3 de la Convención Interamericana sobre Desaparición Forzada de Personas)</w:t>
      </w:r>
      <w:bookmarkEnd w:id="10"/>
      <w:r w:rsidR="0029505E" w:rsidRPr="00E019A9">
        <w:t xml:space="preserve"> </w:t>
      </w:r>
    </w:p>
    <w:p w14:paraId="529BDDBE" w14:textId="77777777" w:rsidR="00AD2A48" w:rsidRPr="00E019A9" w:rsidRDefault="00AD2A48" w:rsidP="00AD2A48">
      <w:pPr>
        <w:rPr>
          <w:sz w:val="20"/>
          <w:szCs w:val="20"/>
          <w:lang w:val="es-ES_tradnl" w:eastAsia="es-ES"/>
        </w:rPr>
      </w:pPr>
    </w:p>
    <w:p w14:paraId="40969844" w14:textId="77777777" w:rsidR="00AD2A48" w:rsidRPr="00E019A9" w:rsidRDefault="00AD2A48" w:rsidP="00BB60A6">
      <w:pPr>
        <w:pStyle w:val="Heading3"/>
        <w:numPr>
          <w:ilvl w:val="1"/>
          <w:numId w:val="59"/>
        </w:numPr>
        <w:tabs>
          <w:tab w:val="left" w:pos="567"/>
          <w:tab w:val="left" w:pos="1134"/>
        </w:tabs>
        <w:ind w:left="567" w:right="288" w:firstLine="0"/>
        <w:jc w:val="both"/>
      </w:pPr>
      <w:r w:rsidRPr="00E019A9">
        <w:t xml:space="preserve"> Estándares </w:t>
      </w:r>
      <w:r w:rsidR="003B45A6" w:rsidRPr="00E019A9">
        <w:t xml:space="preserve">generales </w:t>
      </w:r>
      <w:r w:rsidRPr="00E019A9">
        <w:t xml:space="preserve">sobre la obligación </w:t>
      </w:r>
      <w:r w:rsidR="007F402F" w:rsidRPr="00E019A9">
        <w:t>estatal</w:t>
      </w:r>
      <w:r w:rsidRPr="00E019A9">
        <w:t xml:space="preserve"> de investigar, juzgar y sancionar de manera adecuada</w:t>
      </w:r>
      <w:r w:rsidR="00B17593" w:rsidRPr="00E019A9">
        <w:t xml:space="preserve"> y proporcional</w:t>
      </w:r>
      <w:r w:rsidRPr="00E019A9">
        <w:t xml:space="preserve"> a los responsables </w:t>
      </w:r>
      <w:r w:rsidR="00FA60FC" w:rsidRPr="00E019A9">
        <w:t xml:space="preserve">de crímenes de lesa humanidad y de </w:t>
      </w:r>
      <w:r w:rsidRPr="00E019A9">
        <w:t>graves violaciones a los derechos humanos</w:t>
      </w:r>
    </w:p>
    <w:p w14:paraId="6C5C452A" w14:textId="77777777" w:rsidR="00A91609" w:rsidRPr="00E019A9" w:rsidRDefault="00A91609" w:rsidP="00A91609">
      <w:pPr>
        <w:rPr>
          <w:sz w:val="20"/>
          <w:szCs w:val="20"/>
          <w:lang w:val="es-ES_tradnl" w:eastAsia="es-ES"/>
        </w:rPr>
      </w:pPr>
    </w:p>
    <w:p w14:paraId="2AD63BA5" w14:textId="77777777" w:rsidR="00535187" w:rsidRPr="00E019A9" w:rsidRDefault="0012349A" w:rsidP="00BB60A6">
      <w:pPr>
        <w:pStyle w:val="NormalWeb"/>
        <w:numPr>
          <w:ilvl w:val="0"/>
          <w:numId w:val="58"/>
        </w:numPr>
        <w:tabs>
          <w:tab w:val="left" w:pos="567"/>
        </w:tabs>
        <w:spacing w:before="0" w:beforeAutospacing="0" w:after="0" w:afterAutospacing="0"/>
        <w:ind w:left="0" w:firstLine="0"/>
        <w:jc w:val="both"/>
        <w:rPr>
          <w:rFonts w:ascii="Cambria" w:hAnsi="Cambria"/>
          <w:sz w:val="20"/>
          <w:szCs w:val="20"/>
          <w:lang w:val="es-ES"/>
        </w:rPr>
      </w:pPr>
      <w:r w:rsidRPr="00E019A9">
        <w:rPr>
          <w:rFonts w:ascii="Cambria" w:hAnsi="Cambria"/>
          <w:sz w:val="20"/>
          <w:szCs w:val="20"/>
          <w:lang w:val="es-ES_tradnl"/>
        </w:rPr>
        <w:t>De conformidad con los artículos 8 y 25 de la Convención Americana, los</w:t>
      </w:r>
      <w:r w:rsidR="0054064F" w:rsidRPr="00E019A9">
        <w:rPr>
          <w:rFonts w:ascii="Cambria" w:hAnsi="Cambria"/>
          <w:sz w:val="20"/>
          <w:szCs w:val="20"/>
          <w:lang w:val="es-ES_tradnl"/>
        </w:rPr>
        <w:t xml:space="preserve"> Estados tienen la </w:t>
      </w:r>
      <w:r w:rsidR="006F6FCF" w:rsidRPr="00E019A9">
        <w:rPr>
          <w:rFonts w:ascii="Cambria" w:hAnsi="Cambria"/>
          <w:sz w:val="20"/>
          <w:szCs w:val="20"/>
          <w:lang w:val="es-ES_tradnl"/>
        </w:rPr>
        <w:t xml:space="preserve">obligación </w:t>
      </w:r>
      <w:r w:rsidR="006F6FCF" w:rsidRPr="00E019A9">
        <w:rPr>
          <w:rFonts w:ascii="Cambria" w:hAnsi="Cambria"/>
          <w:sz w:val="20"/>
          <w:szCs w:val="20"/>
          <w:lang w:val="es-ES"/>
        </w:rPr>
        <w:t>de</w:t>
      </w:r>
      <w:r w:rsidRPr="00E019A9">
        <w:rPr>
          <w:rFonts w:ascii="Cambria" w:hAnsi="Cambria"/>
          <w:sz w:val="20"/>
          <w:szCs w:val="20"/>
          <w:lang w:val="es-ES"/>
        </w:rPr>
        <w:t xml:space="preserve"> enjuiciar y castigar a los perpetradores </w:t>
      </w:r>
      <w:r w:rsidR="00364E92" w:rsidRPr="00E019A9">
        <w:rPr>
          <w:rFonts w:ascii="Cambria" w:hAnsi="Cambria"/>
          <w:sz w:val="20"/>
          <w:szCs w:val="20"/>
          <w:lang w:val="es-ES"/>
        </w:rPr>
        <w:t>de</w:t>
      </w:r>
      <w:r w:rsidRPr="00E019A9">
        <w:rPr>
          <w:rFonts w:ascii="Cambria" w:hAnsi="Cambria"/>
          <w:sz w:val="20"/>
          <w:szCs w:val="20"/>
          <w:lang w:val="es-ES"/>
        </w:rPr>
        <w:t xml:space="preserve"> violaciones a los derechos humanos</w:t>
      </w:r>
      <w:r w:rsidR="00F42FCB" w:rsidRPr="00E019A9">
        <w:rPr>
          <w:rFonts w:ascii="Cambria" w:hAnsi="Cambria"/>
          <w:sz w:val="20"/>
          <w:szCs w:val="20"/>
          <w:lang w:val="es-ES"/>
        </w:rPr>
        <w:t>. E</w:t>
      </w:r>
      <w:r w:rsidR="00535187" w:rsidRPr="00E019A9">
        <w:rPr>
          <w:rFonts w:ascii="Cambria" w:hAnsi="Cambria"/>
          <w:sz w:val="20"/>
          <w:szCs w:val="20"/>
          <w:lang w:val="es-ES"/>
        </w:rPr>
        <w:t xml:space="preserve">l juzgamiento y la imposición de una sanción adecuada a los responsables se encuentra </w:t>
      </w:r>
      <w:r w:rsidR="00F42FCB" w:rsidRPr="00E019A9">
        <w:rPr>
          <w:rFonts w:ascii="Cambria" w:hAnsi="Cambria"/>
          <w:sz w:val="20"/>
          <w:szCs w:val="20"/>
          <w:lang w:val="es-ES"/>
        </w:rPr>
        <w:t>protegido por l</w:t>
      </w:r>
      <w:r w:rsidR="006F6FCF" w:rsidRPr="00E019A9">
        <w:rPr>
          <w:rFonts w:ascii="Cambria" w:hAnsi="Cambria"/>
          <w:sz w:val="20"/>
          <w:szCs w:val="20"/>
          <w:lang w:val="es-ES"/>
        </w:rPr>
        <w:t>os anteriores derechos toda vez que forma parte</w:t>
      </w:r>
      <w:r w:rsidR="00535187" w:rsidRPr="00E019A9">
        <w:rPr>
          <w:rFonts w:ascii="Cambria" w:hAnsi="Cambria"/>
          <w:sz w:val="20"/>
          <w:szCs w:val="20"/>
          <w:lang w:val="es-ES"/>
        </w:rPr>
        <w:t xml:space="preserve"> del derecho de acceso a la justicia</w:t>
      </w:r>
      <w:r w:rsidR="00F42FCB" w:rsidRPr="00E019A9">
        <w:rPr>
          <w:rFonts w:ascii="Cambria" w:hAnsi="Cambria"/>
          <w:sz w:val="20"/>
          <w:szCs w:val="20"/>
          <w:lang w:val="es-ES"/>
        </w:rPr>
        <w:t>. P</w:t>
      </w:r>
      <w:r w:rsidR="00535187" w:rsidRPr="00E019A9">
        <w:rPr>
          <w:rFonts w:ascii="Cambria" w:hAnsi="Cambria"/>
          <w:sz w:val="20"/>
          <w:szCs w:val="20"/>
          <w:lang w:val="es-ES"/>
        </w:rPr>
        <w:t>ara cumplir con tal fin, entre otros aspectos, los Estados debe</w:t>
      </w:r>
      <w:r w:rsidR="006F6FCF" w:rsidRPr="00E019A9">
        <w:rPr>
          <w:rFonts w:ascii="Cambria" w:hAnsi="Cambria"/>
          <w:sz w:val="20"/>
          <w:szCs w:val="20"/>
          <w:lang w:val="es-ES"/>
        </w:rPr>
        <w:t xml:space="preserve">n observar el debido proceso y garantizar el </w:t>
      </w:r>
      <w:r w:rsidR="00535187" w:rsidRPr="00E019A9">
        <w:rPr>
          <w:rFonts w:ascii="Cambria" w:hAnsi="Cambria"/>
          <w:sz w:val="20"/>
          <w:szCs w:val="20"/>
          <w:lang w:val="es-ES"/>
        </w:rPr>
        <w:t xml:space="preserve">principio </w:t>
      </w:r>
      <w:r w:rsidR="006F6FCF" w:rsidRPr="00E019A9">
        <w:rPr>
          <w:rFonts w:ascii="Cambria" w:hAnsi="Cambria"/>
          <w:sz w:val="20"/>
          <w:szCs w:val="20"/>
          <w:lang w:val="es-ES"/>
        </w:rPr>
        <w:t xml:space="preserve">de proporcionalidad de la pena </w:t>
      </w:r>
      <w:r w:rsidR="00535187" w:rsidRPr="00E019A9">
        <w:rPr>
          <w:rFonts w:ascii="Cambria" w:hAnsi="Cambria"/>
          <w:sz w:val="20"/>
          <w:szCs w:val="20"/>
          <w:lang w:val="es-ES"/>
        </w:rPr>
        <w:t>y el cumplimiento de la sentencia”</w:t>
      </w:r>
      <w:r w:rsidR="00535187" w:rsidRPr="00E019A9">
        <w:rPr>
          <w:rStyle w:val="FootnoteReference"/>
          <w:rFonts w:ascii="Cambria" w:hAnsi="Cambria"/>
          <w:sz w:val="20"/>
          <w:szCs w:val="20"/>
          <w:lang w:val="es-ES"/>
        </w:rPr>
        <w:footnoteReference w:id="203"/>
      </w:r>
      <w:r w:rsidR="00535187" w:rsidRPr="00E019A9">
        <w:rPr>
          <w:rFonts w:ascii="Cambria" w:hAnsi="Cambria"/>
          <w:sz w:val="20"/>
          <w:szCs w:val="20"/>
          <w:lang w:val="es-ES"/>
        </w:rPr>
        <w:t xml:space="preserve">. </w:t>
      </w:r>
    </w:p>
    <w:p w14:paraId="77BAE541" w14:textId="77777777" w:rsidR="00364E92" w:rsidRPr="00E019A9" w:rsidRDefault="00364E92" w:rsidP="001D321F">
      <w:pPr>
        <w:pStyle w:val="NormalWeb"/>
        <w:tabs>
          <w:tab w:val="left" w:pos="567"/>
        </w:tabs>
        <w:spacing w:before="0" w:beforeAutospacing="0" w:after="0" w:afterAutospacing="0"/>
        <w:jc w:val="both"/>
        <w:rPr>
          <w:rFonts w:ascii="Cambria" w:hAnsi="Cambria"/>
          <w:sz w:val="20"/>
          <w:szCs w:val="20"/>
          <w:lang w:val="es-AR"/>
        </w:rPr>
      </w:pPr>
    </w:p>
    <w:p w14:paraId="57F9F748" w14:textId="77777777" w:rsidR="00A91609" w:rsidRPr="00E019A9" w:rsidRDefault="00A91609" w:rsidP="00BB60A6">
      <w:pPr>
        <w:pStyle w:val="NormalWeb"/>
        <w:numPr>
          <w:ilvl w:val="0"/>
          <w:numId w:val="58"/>
        </w:numPr>
        <w:tabs>
          <w:tab w:val="left" w:pos="567"/>
        </w:tabs>
        <w:spacing w:before="0" w:beforeAutospacing="0" w:after="0" w:afterAutospacing="0"/>
        <w:ind w:left="0" w:firstLine="0"/>
        <w:jc w:val="both"/>
        <w:rPr>
          <w:rFonts w:ascii="Cambria" w:hAnsi="Cambria"/>
          <w:sz w:val="20"/>
          <w:szCs w:val="20"/>
          <w:lang w:val="es-ES"/>
        </w:rPr>
      </w:pPr>
      <w:r w:rsidRPr="00E019A9">
        <w:rPr>
          <w:rFonts w:ascii="Cambria" w:hAnsi="Cambria"/>
          <w:sz w:val="20"/>
          <w:szCs w:val="20"/>
          <w:lang w:val="es-ES"/>
        </w:rPr>
        <w:t xml:space="preserve">La fuente normativa del deber de los </w:t>
      </w:r>
      <w:r w:rsidR="001026E1" w:rsidRPr="00E019A9">
        <w:rPr>
          <w:rFonts w:ascii="Cambria" w:hAnsi="Cambria"/>
          <w:sz w:val="20"/>
          <w:szCs w:val="20"/>
          <w:lang w:val="es-ES"/>
        </w:rPr>
        <w:t>E</w:t>
      </w:r>
      <w:r w:rsidRPr="00E019A9">
        <w:rPr>
          <w:rFonts w:ascii="Cambria" w:hAnsi="Cambria"/>
          <w:sz w:val="20"/>
          <w:szCs w:val="20"/>
          <w:lang w:val="es-ES"/>
        </w:rPr>
        <w:t>stados americanos de sancionar</w:t>
      </w:r>
      <w:r w:rsidR="00E07140" w:rsidRPr="00E019A9">
        <w:rPr>
          <w:rFonts w:ascii="Cambria" w:hAnsi="Cambria"/>
          <w:sz w:val="20"/>
          <w:szCs w:val="20"/>
          <w:lang w:val="es-ES"/>
        </w:rPr>
        <w:t xml:space="preserve"> de manera adecuada</w:t>
      </w:r>
      <w:r w:rsidRPr="00E019A9">
        <w:rPr>
          <w:rFonts w:ascii="Cambria" w:hAnsi="Cambria"/>
          <w:sz w:val="20"/>
          <w:szCs w:val="20"/>
          <w:lang w:val="es-ES"/>
        </w:rPr>
        <w:t xml:space="preserve"> a los autores de violaciones a los derechos humanos no se deriva exclusivamente de la </w:t>
      </w:r>
      <w:r w:rsidR="001026E1" w:rsidRPr="00E019A9">
        <w:rPr>
          <w:rFonts w:ascii="Cambria" w:hAnsi="Cambria"/>
          <w:sz w:val="20"/>
          <w:szCs w:val="20"/>
          <w:lang w:val="es-ES"/>
        </w:rPr>
        <w:t>Convención</w:t>
      </w:r>
      <w:r w:rsidRPr="00E019A9">
        <w:rPr>
          <w:rFonts w:ascii="Cambria" w:hAnsi="Cambria"/>
          <w:sz w:val="20"/>
          <w:szCs w:val="20"/>
          <w:lang w:val="es-ES"/>
        </w:rPr>
        <w:t xml:space="preserve"> </w:t>
      </w:r>
      <w:r w:rsidR="004821D4" w:rsidRPr="00E019A9">
        <w:rPr>
          <w:rFonts w:ascii="Cambria" w:hAnsi="Cambria"/>
          <w:sz w:val="20"/>
          <w:szCs w:val="20"/>
          <w:lang w:val="es-ES"/>
        </w:rPr>
        <w:t>Americana,</w:t>
      </w:r>
      <w:r w:rsidRPr="00E019A9">
        <w:rPr>
          <w:rFonts w:ascii="Cambria" w:hAnsi="Cambria"/>
          <w:sz w:val="20"/>
          <w:szCs w:val="20"/>
          <w:lang w:val="es-ES"/>
        </w:rPr>
        <w:t xml:space="preserve"> sino</w:t>
      </w:r>
      <w:r w:rsidR="001026E1" w:rsidRPr="00E019A9">
        <w:rPr>
          <w:rFonts w:ascii="Cambria" w:hAnsi="Cambria"/>
          <w:sz w:val="20"/>
          <w:szCs w:val="20"/>
          <w:lang w:val="es-ES"/>
        </w:rPr>
        <w:t xml:space="preserve"> que </w:t>
      </w:r>
      <w:r w:rsidRPr="00E019A9">
        <w:rPr>
          <w:rFonts w:ascii="Cambria" w:hAnsi="Cambria"/>
          <w:sz w:val="20"/>
          <w:szCs w:val="20"/>
          <w:lang w:val="es-ES"/>
        </w:rPr>
        <w:t xml:space="preserve">se encuentra </w:t>
      </w:r>
      <w:r w:rsidR="001026E1" w:rsidRPr="00E019A9">
        <w:rPr>
          <w:rFonts w:ascii="Cambria" w:hAnsi="Cambria"/>
          <w:sz w:val="20"/>
          <w:szCs w:val="20"/>
          <w:lang w:val="es-ES"/>
        </w:rPr>
        <w:t>también</w:t>
      </w:r>
      <w:r w:rsidRPr="00E019A9">
        <w:rPr>
          <w:rFonts w:ascii="Cambria" w:hAnsi="Cambria"/>
          <w:sz w:val="20"/>
          <w:szCs w:val="20"/>
          <w:lang w:val="es-ES"/>
        </w:rPr>
        <w:t xml:space="preserve"> en otros </w:t>
      </w:r>
      <w:r w:rsidR="001026E1" w:rsidRPr="00E019A9">
        <w:rPr>
          <w:rFonts w:ascii="Cambria" w:hAnsi="Cambria"/>
          <w:sz w:val="20"/>
          <w:szCs w:val="20"/>
          <w:lang w:val="es-ES"/>
        </w:rPr>
        <w:t>tratados</w:t>
      </w:r>
      <w:r w:rsidRPr="00E019A9">
        <w:rPr>
          <w:rFonts w:ascii="Cambria" w:hAnsi="Cambria"/>
          <w:sz w:val="20"/>
          <w:szCs w:val="20"/>
          <w:lang w:val="es-ES"/>
        </w:rPr>
        <w:t xml:space="preserve"> internacionales</w:t>
      </w:r>
      <w:r w:rsidR="007023AC" w:rsidRPr="00E019A9">
        <w:rPr>
          <w:rFonts w:ascii="Cambria" w:hAnsi="Cambria"/>
          <w:sz w:val="20"/>
          <w:szCs w:val="20"/>
          <w:lang w:val="es-ES"/>
        </w:rPr>
        <w:t xml:space="preserve"> de derechos humanos específicos</w:t>
      </w:r>
      <w:r w:rsidRPr="00E019A9">
        <w:rPr>
          <w:rFonts w:ascii="Cambria" w:hAnsi="Cambria"/>
          <w:sz w:val="20"/>
          <w:szCs w:val="20"/>
          <w:lang w:val="es-ES"/>
        </w:rPr>
        <w:t xml:space="preserve">. </w:t>
      </w:r>
      <w:r w:rsidR="0029505E" w:rsidRPr="00E019A9">
        <w:rPr>
          <w:rFonts w:ascii="Cambria" w:hAnsi="Cambria"/>
          <w:sz w:val="20"/>
          <w:szCs w:val="20"/>
          <w:lang w:val="es-ES"/>
        </w:rPr>
        <w:t>L</w:t>
      </w:r>
      <w:r w:rsidR="001026E1" w:rsidRPr="00E019A9">
        <w:rPr>
          <w:rFonts w:ascii="Cambria" w:hAnsi="Cambria"/>
          <w:sz w:val="20"/>
          <w:szCs w:val="20"/>
          <w:lang w:val="es-ES"/>
        </w:rPr>
        <w:t xml:space="preserve">a Convención Interamericana sobre Desaparición Forzada de Personas consagra en su </w:t>
      </w:r>
      <w:r w:rsidR="005A7AD6" w:rsidRPr="00E019A9">
        <w:rPr>
          <w:rFonts w:ascii="Cambria" w:hAnsi="Cambria"/>
          <w:sz w:val="20"/>
          <w:szCs w:val="20"/>
          <w:lang w:val="es-ES"/>
        </w:rPr>
        <w:t>artículo</w:t>
      </w:r>
      <w:r w:rsidR="001026E1" w:rsidRPr="00E019A9">
        <w:rPr>
          <w:rFonts w:ascii="Cambria" w:hAnsi="Cambria"/>
          <w:sz w:val="20"/>
          <w:szCs w:val="20"/>
          <w:lang w:val="es-ES"/>
        </w:rPr>
        <w:t xml:space="preserve"> I el compromiso de los Estados Partes de “sancionar en el ámbito de su jurisdicción a los autores, cómplices y encubridores del delito de desaparición forzada de personas, así como la tentativa de comisión del mismo”</w:t>
      </w:r>
      <w:r w:rsidR="001026E1" w:rsidRPr="00E019A9">
        <w:rPr>
          <w:rStyle w:val="FootnoteReference"/>
          <w:rFonts w:ascii="Cambria" w:hAnsi="Cambria"/>
          <w:sz w:val="20"/>
          <w:szCs w:val="20"/>
          <w:lang w:val="es-ES"/>
        </w:rPr>
        <w:footnoteReference w:id="204"/>
      </w:r>
      <w:r w:rsidR="001026E1" w:rsidRPr="00E019A9">
        <w:rPr>
          <w:rFonts w:ascii="Cambria" w:hAnsi="Cambria"/>
          <w:sz w:val="20"/>
          <w:szCs w:val="20"/>
          <w:lang w:val="es-ES"/>
        </w:rPr>
        <w:t>.</w:t>
      </w:r>
      <w:r w:rsidR="00E07140" w:rsidRPr="00E019A9">
        <w:rPr>
          <w:rFonts w:ascii="Cambria" w:hAnsi="Cambria"/>
          <w:sz w:val="20"/>
          <w:szCs w:val="20"/>
          <w:lang w:val="es-ES"/>
        </w:rPr>
        <w:t xml:space="preserve"> </w:t>
      </w:r>
      <w:r w:rsidR="0029505E" w:rsidRPr="00E019A9">
        <w:rPr>
          <w:rFonts w:ascii="Cambria" w:hAnsi="Cambria"/>
          <w:sz w:val="20"/>
          <w:szCs w:val="20"/>
          <w:lang w:val="es-ES"/>
        </w:rPr>
        <w:t xml:space="preserve">Asimismo, dicho tratado, </w:t>
      </w:r>
      <w:r w:rsidR="0029505E" w:rsidRPr="00E019A9">
        <w:rPr>
          <w:rFonts w:ascii="Cambria" w:hAnsi="Cambria"/>
          <w:sz w:val="20"/>
          <w:szCs w:val="20"/>
          <w:lang w:val="es-ES"/>
        </w:rPr>
        <w:lastRenderedPageBreak/>
        <w:t>establece en su artículo III que los Estados deben</w:t>
      </w:r>
      <w:r w:rsidR="0029505E" w:rsidRPr="00E019A9">
        <w:rPr>
          <w:rStyle w:val="apple-converted-space"/>
          <w:rFonts w:ascii="Cambria" w:hAnsi="Cambria" w:cs="Tahoma"/>
          <w:color w:val="000000"/>
          <w:sz w:val="20"/>
          <w:szCs w:val="20"/>
          <w:lang w:val="es-US"/>
        </w:rPr>
        <w:t> “</w:t>
      </w:r>
      <w:r w:rsidR="0029505E" w:rsidRPr="00E019A9">
        <w:rPr>
          <w:rFonts w:ascii="Cambria" w:hAnsi="Cambria" w:cs="Tahoma"/>
          <w:sz w:val="20"/>
          <w:szCs w:val="20"/>
          <w:lang w:val="es-US"/>
        </w:rPr>
        <w:t>imponerle [a dicho delito] una pena apropiada que tenga en cuenta su extrema gravedad”.</w:t>
      </w:r>
      <w:r w:rsidR="0029505E" w:rsidRPr="00E019A9">
        <w:rPr>
          <w:rFonts w:ascii="Cambria" w:hAnsi="Cambria"/>
          <w:sz w:val="20"/>
          <w:szCs w:val="20"/>
          <w:lang w:val="es-US"/>
        </w:rPr>
        <w:t xml:space="preserve"> </w:t>
      </w:r>
      <w:r w:rsidR="0029505E" w:rsidRPr="00E019A9">
        <w:rPr>
          <w:rFonts w:ascii="Cambria" w:hAnsi="Cambria"/>
          <w:sz w:val="20"/>
          <w:szCs w:val="20"/>
          <w:lang w:val="es-ES"/>
        </w:rPr>
        <w:t xml:space="preserve"> </w:t>
      </w:r>
    </w:p>
    <w:p w14:paraId="2B906AFC" w14:textId="77777777" w:rsidR="001026E1" w:rsidRPr="00E019A9" w:rsidRDefault="001026E1" w:rsidP="001026E1">
      <w:pPr>
        <w:pStyle w:val="ListParagraph"/>
        <w:rPr>
          <w:sz w:val="20"/>
          <w:szCs w:val="20"/>
          <w:lang w:val="es-ES"/>
        </w:rPr>
      </w:pPr>
    </w:p>
    <w:p w14:paraId="5E65199D" w14:textId="77777777" w:rsidR="006C0312" w:rsidRPr="00E019A9" w:rsidRDefault="00BF62F4" w:rsidP="00BB60A6">
      <w:pPr>
        <w:pStyle w:val="NormalWeb"/>
        <w:numPr>
          <w:ilvl w:val="0"/>
          <w:numId w:val="58"/>
        </w:numPr>
        <w:tabs>
          <w:tab w:val="left" w:pos="567"/>
        </w:tabs>
        <w:spacing w:before="0" w:beforeAutospacing="0" w:after="0" w:afterAutospacing="0"/>
        <w:ind w:left="0" w:firstLine="0"/>
        <w:jc w:val="both"/>
        <w:rPr>
          <w:rFonts w:ascii="Cambria" w:hAnsi="Cambria"/>
          <w:sz w:val="20"/>
          <w:szCs w:val="20"/>
          <w:lang w:val="es-ES"/>
        </w:rPr>
      </w:pPr>
      <w:r w:rsidRPr="00E019A9">
        <w:rPr>
          <w:rFonts w:ascii="Cambria" w:hAnsi="Cambria"/>
          <w:sz w:val="20"/>
          <w:szCs w:val="20"/>
          <w:lang w:val="es-ES"/>
        </w:rPr>
        <w:t xml:space="preserve">En el ámbito del sistema </w:t>
      </w:r>
      <w:r w:rsidR="003B45A6" w:rsidRPr="00E019A9">
        <w:rPr>
          <w:rFonts w:ascii="Cambria" w:hAnsi="Cambria"/>
          <w:sz w:val="20"/>
          <w:szCs w:val="20"/>
          <w:lang w:val="es-ES"/>
        </w:rPr>
        <w:t xml:space="preserve">universal </w:t>
      </w:r>
      <w:r w:rsidRPr="00E019A9">
        <w:rPr>
          <w:rFonts w:ascii="Cambria" w:hAnsi="Cambria"/>
          <w:sz w:val="20"/>
          <w:szCs w:val="20"/>
          <w:lang w:val="es-ES"/>
        </w:rPr>
        <w:t xml:space="preserve">de protección de derechos humanos, existen </w:t>
      </w:r>
      <w:r w:rsidR="004821D4" w:rsidRPr="00E019A9">
        <w:rPr>
          <w:rFonts w:ascii="Cambria" w:hAnsi="Cambria"/>
          <w:sz w:val="20"/>
          <w:szCs w:val="20"/>
          <w:lang w:val="es-ES"/>
        </w:rPr>
        <w:t>numerosos instrumentos</w:t>
      </w:r>
      <w:r w:rsidRPr="00E019A9">
        <w:rPr>
          <w:rFonts w:ascii="Cambria" w:hAnsi="Cambria"/>
          <w:sz w:val="20"/>
          <w:szCs w:val="20"/>
          <w:lang w:val="es-ES"/>
        </w:rPr>
        <w:t xml:space="preserve"> </w:t>
      </w:r>
      <w:r w:rsidR="00077BD9" w:rsidRPr="00E019A9">
        <w:rPr>
          <w:rFonts w:ascii="Cambria" w:hAnsi="Cambria"/>
          <w:sz w:val="20"/>
          <w:szCs w:val="20"/>
          <w:lang w:val="es-ES"/>
        </w:rPr>
        <w:t xml:space="preserve">que imponen a los </w:t>
      </w:r>
      <w:r w:rsidR="006C0312" w:rsidRPr="00E019A9">
        <w:rPr>
          <w:rFonts w:ascii="Cambria" w:hAnsi="Cambria"/>
          <w:sz w:val="20"/>
          <w:szCs w:val="20"/>
          <w:lang w:val="es-ES"/>
        </w:rPr>
        <w:t>E</w:t>
      </w:r>
      <w:r w:rsidR="00077BD9" w:rsidRPr="00E019A9">
        <w:rPr>
          <w:rFonts w:ascii="Cambria" w:hAnsi="Cambria"/>
          <w:sz w:val="20"/>
          <w:szCs w:val="20"/>
          <w:lang w:val="es-ES"/>
        </w:rPr>
        <w:t xml:space="preserve">stados el deber de sancionar </w:t>
      </w:r>
      <w:r w:rsidR="006B14A9" w:rsidRPr="00E019A9">
        <w:rPr>
          <w:rFonts w:ascii="Cambria" w:hAnsi="Cambria"/>
          <w:sz w:val="20"/>
          <w:szCs w:val="20"/>
          <w:lang w:val="es-ES"/>
        </w:rPr>
        <w:t xml:space="preserve">de manera apropiada las </w:t>
      </w:r>
      <w:r w:rsidR="00077BD9" w:rsidRPr="00E019A9">
        <w:rPr>
          <w:rFonts w:ascii="Cambria" w:hAnsi="Cambria"/>
          <w:sz w:val="20"/>
          <w:szCs w:val="20"/>
          <w:lang w:val="es-ES"/>
        </w:rPr>
        <w:t>viola</w:t>
      </w:r>
      <w:r w:rsidR="00B17593" w:rsidRPr="00E019A9">
        <w:rPr>
          <w:rFonts w:ascii="Cambria" w:hAnsi="Cambria"/>
          <w:sz w:val="20"/>
          <w:szCs w:val="20"/>
          <w:lang w:val="es-ES"/>
        </w:rPr>
        <w:t xml:space="preserve">ciones a los derechos humanos. </w:t>
      </w:r>
      <w:r w:rsidR="0036189B" w:rsidRPr="00E019A9">
        <w:rPr>
          <w:rFonts w:ascii="Cambria" w:hAnsi="Cambria"/>
          <w:sz w:val="20"/>
          <w:szCs w:val="20"/>
          <w:lang w:val="es-ES"/>
        </w:rPr>
        <w:t>El Comité de Derechos Humanos de las Naciones Unidas</w:t>
      </w:r>
      <w:r w:rsidR="003B45A6" w:rsidRPr="00E019A9">
        <w:rPr>
          <w:rFonts w:ascii="Cambria" w:hAnsi="Cambria"/>
          <w:sz w:val="20"/>
          <w:szCs w:val="20"/>
          <w:lang w:val="es-ES"/>
        </w:rPr>
        <w:t xml:space="preserve">, órgano de supervisión de la aplicación del Pacto Internacional de Derechos Civiles y Políticos, </w:t>
      </w:r>
      <w:r w:rsidR="0036189B" w:rsidRPr="00E019A9">
        <w:rPr>
          <w:rFonts w:ascii="Cambria" w:hAnsi="Cambria"/>
          <w:sz w:val="20"/>
          <w:szCs w:val="20"/>
          <w:lang w:val="es-ES"/>
        </w:rPr>
        <w:t>ha señalado al respecto que</w:t>
      </w:r>
      <w:r w:rsidR="003B45A6" w:rsidRPr="00E019A9">
        <w:rPr>
          <w:rFonts w:ascii="Cambria" w:hAnsi="Cambria"/>
          <w:color w:val="000000"/>
          <w:sz w:val="20"/>
          <w:szCs w:val="20"/>
          <w:lang w:val="es-ES"/>
        </w:rPr>
        <w:t xml:space="preserve"> “cuando las investigaciones </w:t>
      </w:r>
      <w:r w:rsidR="003B45A6" w:rsidRPr="00E019A9">
        <w:rPr>
          <w:rFonts w:ascii="Cambria" w:hAnsi="Cambria"/>
          <w:color w:val="000000"/>
          <w:sz w:val="20"/>
          <w:szCs w:val="20"/>
          <w:lang w:val="es-ES"/>
        </w:rPr>
        <w:sym w:font="Symbol" w:char="F05B"/>
      </w:r>
      <w:r w:rsidR="003B45A6" w:rsidRPr="00E019A9">
        <w:rPr>
          <w:rFonts w:ascii="Cambria" w:hAnsi="Cambria"/>
          <w:color w:val="000000"/>
          <w:sz w:val="20"/>
          <w:szCs w:val="20"/>
          <w:lang w:val="es-ES"/>
        </w:rPr>
        <w:t>…</w:t>
      </w:r>
      <w:r w:rsidR="003B45A6" w:rsidRPr="00E019A9">
        <w:rPr>
          <w:rFonts w:ascii="Cambria" w:hAnsi="Cambria"/>
          <w:color w:val="000000"/>
          <w:sz w:val="20"/>
          <w:szCs w:val="20"/>
          <w:lang w:val="es-ES"/>
        </w:rPr>
        <w:sym w:font="Symbol" w:char="F05D"/>
      </w:r>
      <w:r w:rsidR="003B45A6" w:rsidRPr="00E019A9">
        <w:rPr>
          <w:rFonts w:ascii="Cambria" w:hAnsi="Cambria"/>
          <w:color w:val="000000"/>
          <w:sz w:val="20"/>
          <w:szCs w:val="20"/>
          <w:lang w:val="es-ES"/>
        </w:rPr>
        <w:t xml:space="preserve"> revelan violaciones de determinados derechos del Pacto, los Estados Partes deben velar por que los responsables sean sometidos a la justicia </w:t>
      </w:r>
      <w:r w:rsidR="003B45A6" w:rsidRPr="00E019A9">
        <w:rPr>
          <w:rFonts w:ascii="Cambria" w:hAnsi="Cambria"/>
          <w:color w:val="000000"/>
          <w:sz w:val="20"/>
          <w:szCs w:val="20"/>
          <w:lang w:val="es-ES"/>
        </w:rPr>
        <w:sym w:font="Symbol" w:char="F05B"/>
      </w:r>
      <w:r w:rsidR="003B45A6" w:rsidRPr="00E019A9">
        <w:rPr>
          <w:rFonts w:ascii="Cambria" w:hAnsi="Cambria"/>
          <w:color w:val="000000"/>
          <w:sz w:val="20"/>
          <w:szCs w:val="20"/>
          <w:lang w:val="es-ES"/>
        </w:rPr>
        <w:t>…</w:t>
      </w:r>
      <w:r w:rsidR="003B45A6" w:rsidRPr="00E019A9">
        <w:rPr>
          <w:rFonts w:ascii="Cambria" w:hAnsi="Cambria"/>
          <w:color w:val="000000"/>
          <w:sz w:val="20"/>
          <w:szCs w:val="20"/>
          <w:lang w:val="es-ES"/>
        </w:rPr>
        <w:sym w:font="Symbol" w:char="F05D"/>
      </w:r>
      <w:r w:rsidR="003B45A6" w:rsidRPr="00E019A9">
        <w:rPr>
          <w:rFonts w:ascii="Cambria" w:hAnsi="Cambria"/>
          <w:color w:val="000000"/>
          <w:sz w:val="20"/>
          <w:szCs w:val="20"/>
          <w:lang w:val="es-ES"/>
        </w:rPr>
        <w:t xml:space="preserve"> Esas obligaciones surgen, en particular, con respecto a las violaciones reconocidas como delictivas con arreglo al derecho interno o al derecho internacional, como la tortura o los tratos crueles, inhumanos o degradantes similares (art. 7), la ejecución sumaria y arbitraria (art. 6) y la desaparición forzosa (artículos 7 y 9 y, frecuentemente, 6)</w:t>
      </w:r>
      <w:r w:rsidR="003B45A6" w:rsidRPr="00E019A9">
        <w:rPr>
          <w:rStyle w:val="FootnoteReference"/>
          <w:rFonts w:ascii="Cambria" w:hAnsi="Cambria"/>
          <w:color w:val="000000"/>
          <w:sz w:val="20"/>
          <w:szCs w:val="20"/>
          <w:lang w:val="es-ES"/>
        </w:rPr>
        <w:footnoteReference w:id="205"/>
      </w:r>
      <w:r w:rsidR="003B45A6" w:rsidRPr="00E019A9">
        <w:rPr>
          <w:rFonts w:ascii="Cambria" w:hAnsi="Cambria"/>
          <w:color w:val="000000"/>
          <w:sz w:val="20"/>
          <w:szCs w:val="20"/>
          <w:lang w:val="es-ES"/>
        </w:rPr>
        <w:t>.</w:t>
      </w:r>
    </w:p>
    <w:p w14:paraId="67949498" w14:textId="77777777" w:rsidR="006C0312" w:rsidRPr="00E019A9" w:rsidRDefault="006C0312" w:rsidP="00911335">
      <w:pPr>
        <w:pStyle w:val="ListParagraph"/>
        <w:tabs>
          <w:tab w:val="left" w:pos="567"/>
        </w:tabs>
        <w:rPr>
          <w:sz w:val="20"/>
          <w:szCs w:val="20"/>
          <w:lang w:val="es-ES"/>
        </w:rPr>
      </w:pPr>
    </w:p>
    <w:p w14:paraId="4A156F06" w14:textId="77777777" w:rsidR="00E07140" w:rsidRPr="00E019A9" w:rsidRDefault="00693933" w:rsidP="00BB60A6">
      <w:pPr>
        <w:pStyle w:val="NormalWeb"/>
        <w:numPr>
          <w:ilvl w:val="0"/>
          <w:numId w:val="58"/>
        </w:numPr>
        <w:tabs>
          <w:tab w:val="left" w:pos="567"/>
        </w:tabs>
        <w:spacing w:before="0" w:beforeAutospacing="0" w:after="0" w:afterAutospacing="0"/>
        <w:ind w:left="0" w:firstLine="0"/>
        <w:jc w:val="both"/>
        <w:rPr>
          <w:rFonts w:ascii="Cambria" w:hAnsi="Cambria"/>
          <w:sz w:val="20"/>
          <w:szCs w:val="20"/>
          <w:lang w:val="es-ES"/>
        </w:rPr>
      </w:pPr>
      <w:r w:rsidRPr="00E019A9">
        <w:rPr>
          <w:rFonts w:ascii="Cambria" w:hAnsi="Cambria"/>
          <w:sz w:val="20"/>
          <w:szCs w:val="20"/>
          <w:lang w:val="es-ES"/>
        </w:rPr>
        <w:t xml:space="preserve">De igual manera, el </w:t>
      </w:r>
      <w:r w:rsidR="006C0312" w:rsidRPr="00E019A9">
        <w:rPr>
          <w:rFonts w:ascii="Cambria" w:hAnsi="Cambria"/>
          <w:sz w:val="20"/>
          <w:szCs w:val="20"/>
          <w:lang w:val="es-ES"/>
        </w:rPr>
        <w:t>C</w:t>
      </w:r>
      <w:r w:rsidRPr="00E019A9">
        <w:rPr>
          <w:rFonts w:ascii="Cambria" w:hAnsi="Cambria"/>
          <w:sz w:val="20"/>
          <w:szCs w:val="20"/>
          <w:lang w:val="es-ES"/>
        </w:rPr>
        <w:t xml:space="preserve">onjunto de </w:t>
      </w:r>
      <w:r w:rsidR="006C0312" w:rsidRPr="00E019A9">
        <w:rPr>
          <w:rFonts w:ascii="Cambria" w:hAnsi="Cambria"/>
          <w:sz w:val="20"/>
          <w:szCs w:val="20"/>
          <w:lang w:val="es-ES"/>
        </w:rPr>
        <w:t>P</w:t>
      </w:r>
      <w:r w:rsidRPr="00E019A9">
        <w:rPr>
          <w:rFonts w:ascii="Cambria" w:hAnsi="Cambria"/>
          <w:sz w:val="20"/>
          <w:szCs w:val="20"/>
          <w:lang w:val="es-ES"/>
        </w:rPr>
        <w:t xml:space="preserve">rincipios para la </w:t>
      </w:r>
      <w:r w:rsidR="006C0312" w:rsidRPr="00E019A9">
        <w:rPr>
          <w:rFonts w:ascii="Cambria" w:hAnsi="Cambria"/>
          <w:sz w:val="20"/>
          <w:szCs w:val="20"/>
          <w:lang w:val="es-ES"/>
        </w:rPr>
        <w:t>P</w:t>
      </w:r>
      <w:r w:rsidRPr="00E019A9">
        <w:rPr>
          <w:rFonts w:ascii="Cambria" w:hAnsi="Cambria"/>
          <w:sz w:val="20"/>
          <w:szCs w:val="20"/>
          <w:lang w:val="es-ES"/>
        </w:rPr>
        <w:t xml:space="preserve">romoción y </w:t>
      </w:r>
      <w:r w:rsidR="006C0312" w:rsidRPr="00E019A9">
        <w:rPr>
          <w:rFonts w:ascii="Cambria" w:hAnsi="Cambria"/>
          <w:sz w:val="20"/>
          <w:szCs w:val="20"/>
          <w:lang w:val="es-ES"/>
        </w:rPr>
        <w:t>P</w:t>
      </w:r>
      <w:r w:rsidRPr="00E019A9">
        <w:rPr>
          <w:rFonts w:ascii="Cambria" w:hAnsi="Cambria"/>
          <w:sz w:val="20"/>
          <w:szCs w:val="20"/>
          <w:lang w:val="es-ES"/>
        </w:rPr>
        <w:t xml:space="preserve">rotección de los </w:t>
      </w:r>
      <w:r w:rsidR="006C0312" w:rsidRPr="00E019A9">
        <w:rPr>
          <w:rFonts w:ascii="Cambria" w:hAnsi="Cambria"/>
          <w:sz w:val="20"/>
          <w:szCs w:val="20"/>
          <w:lang w:val="es-ES"/>
        </w:rPr>
        <w:t>D</w:t>
      </w:r>
      <w:r w:rsidRPr="00E019A9">
        <w:rPr>
          <w:rFonts w:ascii="Cambria" w:hAnsi="Cambria"/>
          <w:sz w:val="20"/>
          <w:szCs w:val="20"/>
          <w:lang w:val="es-ES"/>
        </w:rPr>
        <w:t xml:space="preserve">erechos </w:t>
      </w:r>
      <w:r w:rsidR="006C0312" w:rsidRPr="00E019A9">
        <w:rPr>
          <w:rFonts w:ascii="Cambria" w:hAnsi="Cambria"/>
          <w:sz w:val="20"/>
          <w:szCs w:val="20"/>
          <w:lang w:val="es-ES"/>
        </w:rPr>
        <w:t>H</w:t>
      </w:r>
      <w:r w:rsidRPr="00E019A9">
        <w:rPr>
          <w:rFonts w:ascii="Cambria" w:hAnsi="Cambria"/>
          <w:sz w:val="20"/>
          <w:szCs w:val="20"/>
          <w:lang w:val="es-ES"/>
        </w:rPr>
        <w:t xml:space="preserve">umanos </w:t>
      </w:r>
      <w:r w:rsidR="00E07140" w:rsidRPr="00E019A9">
        <w:rPr>
          <w:rFonts w:ascii="Cambria" w:hAnsi="Cambria"/>
          <w:sz w:val="20"/>
          <w:szCs w:val="20"/>
          <w:lang w:val="es-ES"/>
        </w:rPr>
        <w:t>m</w:t>
      </w:r>
      <w:r w:rsidRPr="00E019A9">
        <w:rPr>
          <w:rFonts w:ascii="Cambria" w:hAnsi="Cambria"/>
          <w:sz w:val="20"/>
          <w:szCs w:val="20"/>
          <w:lang w:val="es-ES"/>
        </w:rPr>
        <w:t xml:space="preserve">ediante la </w:t>
      </w:r>
      <w:r w:rsidR="006C0312" w:rsidRPr="00E019A9">
        <w:rPr>
          <w:rFonts w:ascii="Cambria" w:hAnsi="Cambria"/>
          <w:sz w:val="20"/>
          <w:szCs w:val="20"/>
          <w:lang w:val="es-ES"/>
        </w:rPr>
        <w:t>L</w:t>
      </w:r>
      <w:r w:rsidRPr="00E019A9">
        <w:rPr>
          <w:rFonts w:ascii="Cambria" w:hAnsi="Cambria"/>
          <w:sz w:val="20"/>
          <w:szCs w:val="20"/>
          <w:lang w:val="es-ES"/>
        </w:rPr>
        <w:t xml:space="preserve">ucha contra la </w:t>
      </w:r>
      <w:r w:rsidR="006C0312" w:rsidRPr="00E019A9">
        <w:rPr>
          <w:rFonts w:ascii="Cambria" w:hAnsi="Cambria"/>
          <w:sz w:val="20"/>
          <w:szCs w:val="20"/>
          <w:lang w:val="es-ES"/>
        </w:rPr>
        <w:t>I</w:t>
      </w:r>
      <w:r w:rsidRPr="00E019A9">
        <w:rPr>
          <w:rFonts w:ascii="Cambria" w:hAnsi="Cambria"/>
          <w:sz w:val="20"/>
          <w:szCs w:val="20"/>
          <w:lang w:val="es-ES"/>
        </w:rPr>
        <w:t>mpunidad</w:t>
      </w:r>
      <w:r w:rsidR="006C0312" w:rsidRPr="00E019A9">
        <w:rPr>
          <w:rFonts w:ascii="Cambria" w:hAnsi="Cambria"/>
          <w:sz w:val="20"/>
          <w:szCs w:val="20"/>
          <w:lang w:val="es-ES"/>
        </w:rPr>
        <w:t xml:space="preserve"> (</w:t>
      </w:r>
      <w:r w:rsidR="006C0312" w:rsidRPr="00E019A9">
        <w:rPr>
          <w:rFonts w:ascii="Cambria" w:hAnsi="Cambria"/>
          <w:i/>
          <w:sz w:val="20"/>
          <w:szCs w:val="20"/>
          <w:lang w:val="es-ES"/>
        </w:rPr>
        <w:t>principios Joinet</w:t>
      </w:r>
      <w:r w:rsidR="006C0312" w:rsidRPr="00E019A9">
        <w:rPr>
          <w:rFonts w:ascii="Cambria" w:hAnsi="Cambria"/>
          <w:sz w:val="20"/>
          <w:szCs w:val="20"/>
          <w:lang w:val="es-ES"/>
        </w:rPr>
        <w:t xml:space="preserve">), aprobados por la entonces Comisión de Derechos Humanos de la ONU en su 49° periodo de sesiones, consignó que la impunidad “constituye </w:t>
      </w:r>
      <w:r w:rsidRPr="00E019A9">
        <w:rPr>
          <w:rFonts w:ascii="Cambria" w:hAnsi="Cambria"/>
          <w:sz w:val="20"/>
          <w:szCs w:val="20"/>
          <w:lang w:val="es-ES"/>
        </w:rPr>
        <w:t>una infracción de las obligaciones que tienen los Estados de investigar las violaciones, adoptar medidas apropiadas respecto de sus autores, especialmente en la esfera de la justicia, para que sean procesados, juzgados y condenados a penas apropiadas, de garantizar a las víctimas recursos eficaces y la reparación del perjuicio sufrido y de tomar todas las medidas necesarias para evitar la repetición de dichas violaciones</w:t>
      </w:r>
      <w:r w:rsidR="006C0312" w:rsidRPr="00E019A9">
        <w:rPr>
          <w:rFonts w:ascii="Cambria" w:hAnsi="Cambria"/>
          <w:sz w:val="20"/>
          <w:szCs w:val="20"/>
          <w:lang w:val="es-ES"/>
        </w:rPr>
        <w:t xml:space="preserve">” </w:t>
      </w:r>
      <w:r w:rsidR="006C0312" w:rsidRPr="00E019A9">
        <w:rPr>
          <w:rStyle w:val="FootnoteReference"/>
          <w:rFonts w:ascii="Cambria" w:hAnsi="Cambria"/>
          <w:sz w:val="20"/>
          <w:szCs w:val="20"/>
          <w:lang w:val="es-ES"/>
        </w:rPr>
        <w:footnoteReference w:id="206"/>
      </w:r>
      <w:r w:rsidRPr="00E019A9">
        <w:rPr>
          <w:rFonts w:ascii="Cambria" w:hAnsi="Cambria"/>
          <w:sz w:val="20"/>
          <w:szCs w:val="20"/>
          <w:lang w:val="es-ES"/>
        </w:rPr>
        <w:t>.</w:t>
      </w:r>
    </w:p>
    <w:p w14:paraId="335110EC" w14:textId="77777777" w:rsidR="00F42FCB" w:rsidRPr="00E019A9" w:rsidRDefault="00F42FCB" w:rsidP="001D321F">
      <w:pPr>
        <w:pStyle w:val="ListParagraph"/>
        <w:rPr>
          <w:sz w:val="20"/>
          <w:szCs w:val="20"/>
          <w:lang w:val="es-ES"/>
        </w:rPr>
      </w:pPr>
    </w:p>
    <w:p w14:paraId="4802FC1C" w14:textId="2D5B007D" w:rsidR="00F42FCB" w:rsidRPr="00E019A9" w:rsidRDefault="00F42FCB" w:rsidP="00BB60A6">
      <w:pPr>
        <w:pStyle w:val="NormalWeb"/>
        <w:numPr>
          <w:ilvl w:val="0"/>
          <w:numId w:val="58"/>
        </w:numPr>
        <w:tabs>
          <w:tab w:val="left" w:pos="567"/>
        </w:tabs>
        <w:spacing w:before="0" w:beforeAutospacing="0" w:after="0" w:afterAutospacing="0"/>
        <w:ind w:left="0" w:firstLine="0"/>
        <w:jc w:val="both"/>
        <w:rPr>
          <w:rFonts w:ascii="Cambria" w:hAnsi="Cambria" w:cs="Cambay Devanagari"/>
          <w:sz w:val="20"/>
          <w:szCs w:val="20"/>
          <w:lang w:val="es-US"/>
        </w:rPr>
      </w:pPr>
      <w:r w:rsidRPr="00E019A9">
        <w:rPr>
          <w:rFonts w:ascii="Cambria" w:hAnsi="Cambria"/>
          <w:sz w:val="20"/>
          <w:szCs w:val="20"/>
          <w:lang w:val="es-ES"/>
        </w:rPr>
        <w:t xml:space="preserve">Si </w:t>
      </w:r>
      <w:r w:rsidRPr="00E019A9">
        <w:rPr>
          <w:rFonts w:ascii="Cambria" w:hAnsi="Cambria" w:cs="Cambay Devanagari"/>
          <w:sz w:val="20"/>
          <w:szCs w:val="20"/>
          <w:lang w:val="es-ES"/>
        </w:rPr>
        <w:t>bien el sistema interamericano ha reconocido que “el derecho al acceso a la justicia no es absoluto y, consecuentemente, puede estar sujeto a algunas limitaciones</w:t>
      </w:r>
      <w:r w:rsidR="009B7CBF" w:rsidRPr="00E019A9">
        <w:rPr>
          <w:rFonts w:ascii="Cambria" w:hAnsi="Cambria"/>
          <w:color w:val="000000"/>
          <w:sz w:val="20"/>
          <w:szCs w:val="20"/>
          <w:lang w:val="es-ES"/>
        </w:rPr>
        <w:t xml:space="preserve"> </w:t>
      </w:r>
      <w:r w:rsidR="009B7CBF" w:rsidRPr="00E019A9">
        <w:rPr>
          <w:rFonts w:ascii="Cambria" w:hAnsi="Cambria"/>
          <w:color w:val="000000"/>
          <w:sz w:val="20"/>
          <w:szCs w:val="20"/>
          <w:lang w:val="es-ES"/>
        </w:rPr>
        <w:sym w:font="Symbol" w:char="F05B"/>
      </w:r>
      <w:r w:rsidR="009B7CBF" w:rsidRPr="00E019A9">
        <w:rPr>
          <w:rFonts w:ascii="Cambria" w:hAnsi="Cambria"/>
          <w:color w:val="000000"/>
          <w:sz w:val="20"/>
          <w:szCs w:val="20"/>
          <w:lang w:val="es-ES"/>
        </w:rPr>
        <w:t>…</w:t>
      </w:r>
      <w:r w:rsidR="009B7CBF" w:rsidRPr="00E019A9">
        <w:rPr>
          <w:rFonts w:ascii="Cambria" w:hAnsi="Cambria"/>
          <w:color w:val="000000"/>
          <w:sz w:val="20"/>
          <w:szCs w:val="20"/>
          <w:lang w:val="es-ES"/>
        </w:rPr>
        <w:sym w:font="Symbol" w:char="F05D"/>
      </w:r>
      <w:r w:rsidRPr="00E019A9">
        <w:rPr>
          <w:rFonts w:ascii="Cambria" w:hAnsi="Cambria" w:cs="Cambay Devanagari"/>
          <w:sz w:val="20"/>
          <w:szCs w:val="20"/>
          <w:lang w:val="es-ES"/>
        </w:rPr>
        <w:t xml:space="preserve"> </w:t>
      </w:r>
      <w:r w:rsidR="009B7CBF" w:rsidRPr="00E019A9">
        <w:rPr>
          <w:rFonts w:ascii="Cambria" w:hAnsi="Cambria" w:cs="Cambay Devanagari"/>
          <w:sz w:val="20"/>
          <w:szCs w:val="20"/>
          <w:lang w:val="es-US"/>
        </w:rPr>
        <w:t xml:space="preserve"> </w:t>
      </w:r>
      <w:r w:rsidRPr="00E019A9">
        <w:rPr>
          <w:rFonts w:ascii="Cambria" w:hAnsi="Cambria" w:cs="Cambay Devanagari"/>
          <w:sz w:val="20"/>
          <w:szCs w:val="20"/>
          <w:lang w:val="es-ES"/>
        </w:rPr>
        <w:t xml:space="preserve">por parte del Estado, lo cierto es que éstas deben guardar correspondencia entre el medio empleado y el fin perseguido y, en definitiva, no pueden suponer la negación </w:t>
      </w:r>
      <w:r w:rsidRPr="00E019A9">
        <w:rPr>
          <w:rFonts w:ascii="Cambria" w:hAnsi="Cambria" w:cs="Cambay Devanagari"/>
          <w:sz w:val="20"/>
          <w:szCs w:val="20"/>
          <w:lang w:val="es-US"/>
        </w:rPr>
        <w:t>misma de dicho derecho</w:t>
      </w:r>
      <w:r w:rsidRPr="00E019A9">
        <w:rPr>
          <w:rStyle w:val="FootnoteReference"/>
          <w:rFonts w:ascii="Cambria" w:hAnsi="Cambria" w:cs="Cambay Devanagari"/>
          <w:sz w:val="20"/>
          <w:szCs w:val="20"/>
          <w:lang w:val="es-ES"/>
        </w:rPr>
        <w:footnoteReference w:id="207"/>
      </w:r>
      <w:r w:rsidRPr="00E019A9">
        <w:rPr>
          <w:rFonts w:ascii="Cambria" w:hAnsi="Cambria" w:cs="Cambay Devanagari"/>
          <w:sz w:val="20"/>
          <w:szCs w:val="20"/>
          <w:lang w:val="es-US"/>
        </w:rPr>
        <w:t>”</w:t>
      </w:r>
      <w:r w:rsidRPr="00E019A9">
        <w:rPr>
          <w:rFonts w:ascii="Cambria" w:hAnsi="Cambria" w:cs="Cambay Devanagari"/>
          <w:sz w:val="20"/>
          <w:szCs w:val="20"/>
          <w:lang w:val="es-ES"/>
        </w:rPr>
        <w:t>.</w:t>
      </w:r>
      <w:r w:rsidRPr="00E019A9">
        <w:rPr>
          <w:rFonts w:ascii="Cambria" w:hAnsi="Cambria" w:cs="Cambay Devanagari"/>
          <w:sz w:val="20"/>
          <w:szCs w:val="20"/>
          <w:lang w:val="es-US"/>
        </w:rPr>
        <w:t xml:space="preserve"> </w:t>
      </w:r>
      <w:r w:rsidR="009B7CBF" w:rsidRPr="00E019A9">
        <w:rPr>
          <w:rFonts w:ascii="Cambria" w:hAnsi="Cambria" w:cs="Cambay Devanagari"/>
          <w:sz w:val="20"/>
          <w:szCs w:val="20"/>
          <w:lang w:val="es-ES"/>
        </w:rPr>
        <w:t xml:space="preserve">Tratándose </w:t>
      </w:r>
      <w:r w:rsidR="006F0022" w:rsidRPr="00E019A9">
        <w:rPr>
          <w:rFonts w:ascii="Cambria" w:hAnsi="Cambria" w:cs="Cambay Devanagari"/>
          <w:sz w:val="20"/>
          <w:szCs w:val="20"/>
          <w:lang w:val="es-ES"/>
        </w:rPr>
        <w:t>de graves</w:t>
      </w:r>
      <w:r w:rsidRPr="00E019A9">
        <w:rPr>
          <w:rFonts w:ascii="Cambria" w:hAnsi="Cambria" w:cs="Cambay Devanagari"/>
          <w:sz w:val="20"/>
          <w:szCs w:val="20"/>
          <w:lang w:val="es-ES"/>
        </w:rPr>
        <w:t xml:space="preserve"> violaciones a derechos humanos que se traducen en delitos de lesa humanidad, la Comisión ha resaltado que </w:t>
      </w:r>
      <w:r w:rsidRPr="00E019A9">
        <w:rPr>
          <w:rFonts w:ascii="Cambria" w:hAnsi="Cambria"/>
          <w:sz w:val="20"/>
          <w:szCs w:val="20"/>
          <w:lang w:val="es-ES"/>
        </w:rPr>
        <w:t>“tienen una serie de características diferenciadas del resto de los delitos por los fines y objetivos que persigue</w:t>
      </w:r>
      <w:r w:rsidR="009B7CBF" w:rsidRPr="00E019A9">
        <w:rPr>
          <w:rFonts w:ascii="Cambria" w:hAnsi="Cambria"/>
          <w:sz w:val="20"/>
          <w:szCs w:val="20"/>
          <w:lang w:val="es-ES"/>
        </w:rPr>
        <w:t>n</w:t>
      </w:r>
      <w:r w:rsidRPr="00E019A9">
        <w:rPr>
          <w:rFonts w:ascii="Cambria" w:hAnsi="Cambria"/>
          <w:sz w:val="20"/>
          <w:szCs w:val="20"/>
          <w:lang w:val="es-ES"/>
        </w:rPr>
        <w:t xml:space="preserve">, que es el concepto de la humanidad como víctima” </w:t>
      </w:r>
      <w:r w:rsidRPr="00E019A9">
        <w:rPr>
          <w:rStyle w:val="FootnoteReference"/>
          <w:rFonts w:ascii="Cambria" w:hAnsi="Cambria"/>
          <w:sz w:val="20"/>
          <w:szCs w:val="20"/>
          <w:lang w:val="es-ES"/>
        </w:rPr>
        <w:footnoteReference w:id="208"/>
      </w:r>
      <w:r w:rsidRPr="00E019A9">
        <w:rPr>
          <w:rFonts w:ascii="Cambria" w:hAnsi="Cambria"/>
          <w:sz w:val="20"/>
          <w:szCs w:val="20"/>
          <w:lang w:val="es-ES"/>
        </w:rPr>
        <w:t xml:space="preserve">. Específicamente, en el caso </w:t>
      </w:r>
      <w:r w:rsidRPr="00E019A9">
        <w:rPr>
          <w:rFonts w:ascii="Cambria" w:hAnsi="Cambria"/>
          <w:iCs/>
          <w:sz w:val="20"/>
          <w:szCs w:val="20"/>
          <w:lang w:val="es-ES"/>
        </w:rPr>
        <w:t>Herzog vs. Brasil</w:t>
      </w:r>
      <w:r w:rsidRPr="00E019A9">
        <w:rPr>
          <w:rFonts w:ascii="Cambria" w:hAnsi="Cambria"/>
          <w:sz w:val="20"/>
          <w:szCs w:val="20"/>
          <w:lang w:val="es-ES"/>
        </w:rPr>
        <w:t xml:space="preserve"> la Corte</w:t>
      </w:r>
      <w:r w:rsidR="009B7CBF" w:rsidRPr="00E019A9">
        <w:rPr>
          <w:rFonts w:ascii="Cambria" w:hAnsi="Cambria"/>
          <w:sz w:val="20"/>
          <w:szCs w:val="20"/>
          <w:lang w:val="es-ES"/>
        </w:rPr>
        <w:t xml:space="preserve"> IDH</w:t>
      </w:r>
      <w:r w:rsidRPr="00E019A9">
        <w:rPr>
          <w:rFonts w:ascii="Cambria" w:hAnsi="Cambria"/>
          <w:sz w:val="20"/>
          <w:szCs w:val="20"/>
          <w:lang w:val="es-ES"/>
        </w:rPr>
        <w:t xml:space="preserve"> </w:t>
      </w:r>
      <w:r w:rsidR="00192D1C" w:rsidRPr="00E019A9">
        <w:rPr>
          <w:rFonts w:ascii="Cambria" w:hAnsi="Cambria"/>
          <w:sz w:val="20"/>
          <w:szCs w:val="20"/>
          <w:lang w:val="es-ES"/>
        </w:rPr>
        <w:t>subrayó que tales delitos</w:t>
      </w:r>
      <w:r w:rsidRPr="00E019A9">
        <w:rPr>
          <w:rFonts w:ascii="Cambria" w:hAnsi="Cambria" w:cs="Cambay Devanagari"/>
          <w:sz w:val="20"/>
          <w:szCs w:val="20"/>
          <w:lang w:val="es-US"/>
        </w:rPr>
        <w:t xml:space="preserve"> amenazan la paz y seguridad </w:t>
      </w:r>
      <w:r w:rsidR="009B7CBF" w:rsidRPr="00E019A9">
        <w:rPr>
          <w:rFonts w:ascii="Cambria" w:hAnsi="Cambria" w:cs="Cambay Devanagari"/>
          <w:sz w:val="20"/>
          <w:szCs w:val="20"/>
          <w:lang w:val="es-US"/>
        </w:rPr>
        <w:t xml:space="preserve">de la humanidad. En este sentido, </w:t>
      </w:r>
      <w:r w:rsidRPr="00E019A9">
        <w:rPr>
          <w:rFonts w:ascii="Cambria" w:hAnsi="Cambria" w:cs="Cambay Devanagari"/>
          <w:sz w:val="20"/>
          <w:szCs w:val="20"/>
          <w:lang w:val="es-US"/>
        </w:rPr>
        <w:t>la Corte</w:t>
      </w:r>
      <w:r w:rsidR="009B7CBF" w:rsidRPr="00E019A9">
        <w:rPr>
          <w:rFonts w:ascii="Cambria" w:hAnsi="Cambria" w:cs="Cambay Devanagari"/>
          <w:sz w:val="20"/>
          <w:szCs w:val="20"/>
          <w:lang w:val="es-US"/>
        </w:rPr>
        <w:t xml:space="preserve"> IDH expresó que se “</w:t>
      </w:r>
      <w:r w:rsidRPr="00E019A9">
        <w:rPr>
          <w:rFonts w:ascii="Cambria" w:hAnsi="Cambria" w:cs="Cambay Devanagari"/>
          <w:sz w:val="20"/>
          <w:szCs w:val="20"/>
          <w:lang w:val="es-US"/>
        </w:rPr>
        <w:t xml:space="preserve">trata de </w:t>
      </w:r>
      <w:r w:rsidR="009B7CBF" w:rsidRPr="00E019A9">
        <w:rPr>
          <w:rFonts w:ascii="Cambria" w:hAnsi="Cambria" w:cs="Cambay Devanagari"/>
          <w:sz w:val="20"/>
          <w:szCs w:val="20"/>
          <w:lang w:val="es-US"/>
        </w:rPr>
        <w:t>crímenes</w:t>
      </w:r>
      <w:r w:rsidRPr="00E019A9">
        <w:rPr>
          <w:rFonts w:ascii="Cambria" w:hAnsi="Cambria" w:cs="Cambay Devanagari"/>
          <w:sz w:val="20"/>
          <w:szCs w:val="20"/>
          <w:lang w:val="es-US"/>
        </w:rPr>
        <w:t xml:space="preserve"> de Estado, planificados y parte de una estrategia o </w:t>
      </w:r>
      <w:r w:rsidR="006F6FCF" w:rsidRPr="00E019A9">
        <w:rPr>
          <w:rFonts w:ascii="Cambria" w:hAnsi="Cambria" w:cs="Cambay Devanagari"/>
          <w:sz w:val="20"/>
          <w:szCs w:val="20"/>
          <w:lang w:val="es-US"/>
        </w:rPr>
        <w:t>política</w:t>
      </w:r>
      <w:r w:rsidRPr="00E019A9">
        <w:rPr>
          <w:rFonts w:ascii="Cambria" w:hAnsi="Cambria" w:cs="Cambay Devanagari"/>
          <w:sz w:val="20"/>
          <w:szCs w:val="20"/>
          <w:lang w:val="es-US"/>
        </w:rPr>
        <w:t xml:space="preserve"> manifiesta contra una </w:t>
      </w:r>
      <w:r w:rsidR="009B7CBF" w:rsidRPr="00E019A9">
        <w:rPr>
          <w:rFonts w:ascii="Cambria" w:hAnsi="Cambria" w:cs="Cambay Devanagari"/>
          <w:sz w:val="20"/>
          <w:szCs w:val="20"/>
          <w:lang w:val="es-US"/>
        </w:rPr>
        <w:t>población</w:t>
      </w:r>
      <w:r w:rsidRPr="00E019A9">
        <w:rPr>
          <w:rFonts w:ascii="Cambria" w:hAnsi="Cambria" w:cs="Cambay Devanagari"/>
          <w:sz w:val="20"/>
          <w:szCs w:val="20"/>
          <w:lang w:val="es-US"/>
        </w:rPr>
        <w:t xml:space="preserve"> o grupo de personas. Los perpetradores, </w:t>
      </w:r>
      <w:r w:rsidR="006F6FCF" w:rsidRPr="00E019A9">
        <w:rPr>
          <w:rFonts w:ascii="Cambria" w:hAnsi="Cambria" w:cs="Cambay Devanagari"/>
          <w:sz w:val="20"/>
          <w:szCs w:val="20"/>
          <w:lang w:val="es-US"/>
        </w:rPr>
        <w:t>típicamente</w:t>
      </w:r>
      <w:r w:rsidRPr="00E019A9">
        <w:rPr>
          <w:rFonts w:ascii="Cambria" w:hAnsi="Cambria" w:cs="Cambay Devanagari"/>
          <w:sz w:val="20"/>
          <w:szCs w:val="20"/>
          <w:lang w:val="es-US"/>
        </w:rPr>
        <w:t xml:space="preserve">, deben ser agentes estatales en cumplimiento de dicha </w:t>
      </w:r>
      <w:r w:rsidR="009B7CBF" w:rsidRPr="00E019A9">
        <w:rPr>
          <w:rFonts w:ascii="Cambria" w:hAnsi="Cambria" w:cs="Cambay Devanagari"/>
          <w:sz w:val="20"/>
          <w:szCs w:val="20"/>
          <w:lang w:val="es-US"/>
        </w:rPr>
        <w:t>política</w:t>
      </w:r>
      <w:r w:rsidRPr="00E019A9">
        <w:rPr>
          <w:rFonts w:ascii="Cambria" w:hAnsi="Cambria" w:cs="Cambay Devanagari"/>
          <w:sz w:val="20"/>
          <w:szCs w:val="20"/>
          <w:lang w:val="es-US"/>
        </w:rPr>
        <w:t xml:space="preserve"> o plan, que participan de actos de asesinato, tortura, </w:t>
      </w:r>
      <w:r w:rsidR="009B7CBF" w:rsidRPr="00E019A9">
        <w:rPr>
          <w:rFonts w:ascii="Cambria" w:hAnsi="Cambria" w:cs="Cambay Devanagari"/>
          <w:sz w:val="20"/>
          <w:szCs w:val="20"/>
          <w:lang w:val="es-US"/>
        </w:rPr>
        <w:t>violación</w:t>
      </w:r>
      <w:r w:rsidRPr="00E019A9">
        <w:rPr>
          <w:rFonts w:ascii="Cambria" w:hAnsi="Cambria" w:cs="Cambay Devanagari"/>
          <w:sz w:val="20"/>
          <w:szCs w:val="20"/>
          <w:lang w:val="es-US"/>
        </w:rPr>
        <w:t xml:space="preserve"> y otros actos repudiables contra civiles de manera </w:t>
      </w:r>
      <w:r w:rsidR="009B7CBF" w:rsidRPr="00E019A9">
        <w:rPr>
          <w:rFonts w:ascii="Cambria" w:hAnsi="Cambria" w:cs="Cambay Devanagari"/>
          <w:sz w:val="20"/>
          <w:szCs w:val="20"/>
          <w:lang w:val="es-US"/>
        </w:rPr>
        <w:t>sistemática</w:t>
      </w:r>
      <w:r w:rsidRPr="00E019A9">
        <w:rPr>
          <w:rFonts w:ascii="Cambria" w:hAnsi="Cambria" w:cs="Cambay Devanagari"/>
          <w:sz w:val="20"/>
          <w:szCs w:val="20"/>
          <w:lang w:val="es-US"/>
        </w:rPr>
        <w:t xml:space="preserve"> o generalizada”</w:t>
      </w:r>
      <w:r w:rsidR="00003620" w:rsidRPr="00E019A9">
        <w:rPr>
          <w:rStyle w:val="FootnoteReference"/>
          <w:rFonts w:ascii="Cambria" w:hAnsi="Cambria" w:cs="Cambay Devanagari"/>
          <w:sz w:val="20"/>
          <w:szCs w:val="20"/>
          <w:lang w:val="es-US"/>
        </w:rPr>
        <w:footnoteReference w:id="209"/>
      </w:r>
      <w:r w:rsidRPr="00E019A9">
        <w:rPr>
          <w:rFonts w:ascii="Cambria" w:hAnsi="Cambria" w:cs="Cambay Devanagari"/>
          <w:sz w:val="20"/>
          <w:szCs w:val="20"/>
          <w:lang w:val="es-US"/>
        </w:rPr>
        <w:t xml:space="preserve">. </w:t>
      </w:r>
    </w:p>
    <w:p w14:paraId="358E97DD" w14:textId="77777777" w:rsidR="00F42FCB" w:rsidRPr="00E019A9" w:rsidRDefault="00F42FCB" w:rsidP="001D321F">
      <w:pPr>
        <w:rPr>
          <w:sz w:val="20"/>
          <w:szCs w:val="20"/>
          <w:lang w:val="es-ES"/>
        </w:rPr>
      </w:pPr>
    </w:p>
    <w:p w14:paraId="3A64BD05" w14:textId="13DC860B" w:rsidR="00F42FCB" w:rsidRPr="00E019A9" w:rsidRDefault="00192D1C" w:rsidP="00BB60A6">
      <w:pPr>
        <w:pStyle w:val="NormalWeb"/>
        <w:numPr>
          <w:ilvl w:val="0"/>
          <w:numId w:val="58"/>
        </w:numPr>
        <w:tabs>
          <w:tab w:val="left" w:pos="567"/>
        </w:tabs>
        <w:spacing w:before="0" w:beforeAutospacing="0" w:after="0" w:afterAutospacing="0"/>
        <w:ind w:left="0" w:firstLine="0"/>
        <w:jc w:val="both"/>
        <w:rPr>
          <w:rFonts w:ascii="Cambria" w:hAnsi="Cambria"/>
          <w:sz w:val="20"/>
          <w:szCs w:val="20"/>
          <w:lang w:val="es-ES"/>
        </w:rPr>
      </w:pPr>
      <w:r w:rsidRPr="00E019A9">
        <w:rPr>
          <w:rFonts w:ascii="Cambria" w:hAnsi="Cambria"/>
          <w:sz w:val="20"/>
          <w:szCs w:val="20"/>
          <w:lang w:val="es-ES"/>
        </w:rPr>
        <w:t xml:space="preserve">Teniendo en cuenta lo anterior, </w:t>
      </w:r>
      <w:r w:rsidR="00003620" w:rsidRPr="00E019A9">
        <w:rPr>
          <w:rFonts w:ascii="Cambria" w:hAnsi="Cambria"/>
          <w:sz w:val="20"/>
          <w:szCs w:val="20"/>
          <w:lang w:val="es-ES"/>
        </w:rPr>
        <w:t xml:space="preserve">la jurisprudencia del sistema interamericano ha resaltado que el deber de investigar y sancionar las graves violaciones a derechos humanos </w:t>
      </w:r>
      <w:r w:rsidR="009B7CBF" w:rsidRPr="00E019A9">
        <w:rPr>
          <w:rFonts w:ascii="Cambria" w:hAnsi="Cambria"/>
          <w:sz w:val="20"/>
          <w:szCs w:val="20"/>
          <w:lang w:val="es-ES"/>
        </w:rPr>
        <w:t>tiene</w:t>
      </w:r>
      <w:r w:rsidRPr="00E019A9">
        <w:rPr>
          <w:rFonts w:ascii="Cambria" w:hAnsi="Cambria"/>
          <w:sz w:val="20"/>
          <w:szCs w:val="20"/>
          <w:lang w:val="es-ES"/>
        </w:rPr>
        <w:t xml:space="preserve"> un carácter imprescriptible</w:t>
      </w:r>
      <w:r w:rsidRPr="00E019A9">
        <w:rPr>
          <w:rStyle w:val="FootnoteReference"/>
          <w:rFonts w:ascii="Cambria" w:hAnsi="Cambria"/>
          <w:color w:val="000000"/>
          <w:sz w:val="20"/>
          <w:szCs w:val="20"/>
          <w:lang w:val="es-ES"/>
        </w:rPr>
        <w:footnoteReference w:id="210"/>
      </w:r>
      <w:r w:rsidR="00003620" w:rsidRPr="00E019A9">
        <w:rPr>
          <w:rFonts w:ascii="Cambria" w:hAnsi="Cambria"/>
          <w:sz w:val="20"/>
          <w:szCs w:val="20"/>
          <w:lang w:val="es-ES"/>
        </w:rPr>
        <w:t>. T</w:t>
      </w:r>
      <w:r w:rsidRPr="00E019A9">
        <w:rPr>
          <w:rFonts w:ascii="Cambria" w:hAnsi="Cambria"/>
          <w:sz w:val="20"/>
          <w:szCs w:val="20"/>
          <w:lang w:val="es-ES"/>
        </w:rPr>
        <w:t xml:space="preserve">al y </w:t>
      </w:r>
      <w:r w:rsidRPr="00E019A9">
        <w:rPr>
          <w:rFonts w:ascii="Cambria" w:hAnsi="Cambria"/>
          <w:sz w:val="20"/>
          <w:szCs w:val="20"/>
          <w:lang w:val="es-ES"/>
        </w:rPr>
        <w:lastRenderedPageBreak/>
        <w:t xml:space="preserve">como fue reconocido por la Corte </w:t>
      </w:r>
      <w:r w:rsidR="009B7CBF" w:rsidRPr="00E019A9">
        <w:rPr>
          <w:rFonts w:ascii="Cambria" w:hAnsi="Cambria"/>
          <w:sz w:val="20"/>
          <w:szCs w:val="20"/>
          <w:lang w:val="es-ES"/>
        </w:rPr>
        <w:t xml:space="preserve">IDH </w:t>
      </w:r>
      <w:r w:rsidRPr="00E019A9">
        <w:rPr>
          <w:rFonts w:ascii="Cambria" w:hAnsi="Cambria"/>
          <w:sz w:val="20"/>
          <w:szCs w:val="20"/>
          <w:lang w:val="es-ES"/>
        </w:rPr>
        <w:t xml:space="preserve">en el caso </w:t>
      </w:r>
      <w:r w:rsidRPr="00E019A9">
        <w:rPr>
          <w:rFonts w:ascii="Cambria" w:hAnsi="Cambria"/>
          <w:i/>
          <w:iCs/>
          <w:sz w:val="20"/>
          <w:szCs w:val="20"/>
          <w:lang w:val="es-ES"/>
        </w:rPr>
        <w:t xml:space="preserve">Almonacid Arellano vs Chile </w:t>
      </w:r>
      <w:r w:rsidRPr="00E019A9">
        <w:rPr>
          <w:rFonts w:ascii="Cambria" w:hAnsi="Cambria"/>
          <w:sz w:val="20"/>
          <w:szCs w:val="20"/>
          <w:lang w:val="es-ES"/>
        </w:rPr>
        <w:t>la “</w:t>
      </w:r>
      <w:r w:rsidR="009B7CBF" w:rsidRPr="00E019A9">
        <w:rPr>
          <w:rFonts w:ascii="Cambria" w:hAnsi="Cambria"/>
          <w:sz w:val="20"/>
          <w:szCs w:val="20"/>
          <w:lang w:val="es-ES"/>
        </w:rPr>
        <w:t>prohibición</w:t>
      </w:r>
      <w:r w:rsidRPr="00E019A9">
        <w:rPr>
          <w:rFonts w:ascii="Cambria" w:hAnsi="Cambria"/>
          <w:sz w:val="20"/>
          <w:szCs w:val="20"/>
          <w:lang w:val="es-ES"/>
        </w:rPr>
        <w:t xml:space="preserve"> de cometer </w:t>
      </w:r>
      <w:r w:rsidR="009B7CBF" w:rsidRPr="00E019A9">
        <w:rPr>
          <w:rFonts w:ascii="Cambria" w:hAnsi="Cambria"/>
          <w:sz w:val="20"/>
          <w:szCs w:val="20"/>
          <w:lang w:val="es-ES"/>
        </w:rPr>
        <w:t>crímenes</w:t>
      </w:r>
      <w:r w:rsidRPr="00E019A9">
        <w:rPr>
          <w:rFonts w:ascii="Cambria" w:hAnsi="Cambria"/>
          <w:sz w:val="20"/>
          <w:szCs w:val="20"/>
          <w:lang w:val="es-ES"/>
        </w:rPr>
        <w:t xml:space="preserve"> de lesa humanidad es una norma de</w:t>
      </w:r>
      <w:r w:rsidRPr="00E019A9">
        <w:rPr>
          <w:rFonts w:ascii="Cambria" w:hAnsi="Cambria"/>
          <w:i/>
          <w:iCs/>
          <w:sz w:val="20"/>
          <w:szCs w:val="20"/>
          <w:lang w:val="es-ES"/>
        </w:rPr>
        <w:t xml:space="preserve"> ius cogens</w:t>
      </w:r>
      <w:r w:rsidRPr="00E019A9">
        <w:rPr>
          <w:rFonts w:ascii="Cambria" w:hAnsi="Cambria"/>
          <w:sz w:val="20"/>
          <w:szCs w:val="20"/>
          <w:lang w:val="es-ES"/>
        </w:rPr>
        <w:t xml:space="preserve">, y </w:t>
      </w:r>
      <w:r w:rsidR="00C570C9" w:rsidRPr="00E019A9">
        <w:rPr>
          <w:rFonts w:ascii="Cambria" w:hAnsi="Cambria"/>
          <w:sz w:val="20"/>
          <w:szCs w:val="20"/>
          <w:lang w:val="es-ES"/>
        </w:rPr>
        <w:t>la penalización</w:t>
      </w:r>
      <w:r w:rsidRPr="00E019A9">
        <w:rPr>
          <w:rFonts w:ascii="Cambria" w:hAnsi="Cambria"/>
          <w:sz w:val="20"/>
          <w:szCs w:val="20"/>
          <w:lang w:val="es-ES"/>
        </w:rPr>
        <w:t xml:space="preserve"> de estos crímenes es obligatoria conforme al derecho internacional general”</w:t>
      </w:r>
      <w:r w:rsidRPr="00E019A9">
        <w:rPr>
          <w:rStyle w:val="FootnoteReference"/>
          <w:sz w:val="20"/>
          <w:szCs w:val="20"/>
          <w:lang w:val="es-ES"/>
        </w:rPr>
        <w:t xml:space="preserve"> </w:t>
      </w:r>
      <w:r w:rsidRPr="00E019A9">
        <w:rPr>
          <w:rStyle w:val="FootnoteReference"/>
          <w:sz w:val="20"/>
          <w:szCs w:val="20"/>
          <w:lang w:val="es-ES"/>
        </w:rPr>
        <w:footnoteReference w:id="211"/>
      </w:r>
      <w:r w:rsidR="009B7CBF" w:rsidRPr="00E019A9">
        <w:rPr>
          <w:rFonts w:ascii="Cambria" w:hAnsi="Cambria"/>
          <w:sz w:val="20"/>
          <w:szCs w:val="20"/>
          <w:lang w:val="es-ES"/>
        </w:rPr>
        <w:t xml:space="preserve">.  </w:t>
      </w:r>
      <w:r w:rsidR="00003620" w:rsidRPr="00E019A9">
        <w:rPr>
          <w:rFonts w:ascii="Cambria" w:hAnsi="Cambria"/>
          <w:sz w:val="20"/>
          <w:szCs w:val="20"/>
          <w:lang w:val="es-ES"/>
        </w:rPr>
        <w:t>Así, la Corte I</w:t>
      </w:r>
      <w:r w:rsidR="009B7CBF" w:rsidRPr="00E019A9">
        <w:rPr>
          <w:rFonts w:ascii="Cambria" w:hAnsi="Cambria"/>
          <w:sz w:val="20"/>
          <w:szCs w:val="20"/>
          <w:lang w:val="es-ES"/>
        </w:rPr>
        <w:t>DH</w:t>
      </w:r>
      <w:r w:rsidR="00003620" w:rsidRPr="00E019A9">
        <w:rPr>
          <w:rFonts w:ascii="Cambria" w:hAnsi="Cambria"/>
          <w:sz w:val="20"/>
          <w:szCs w:val="20"/>
          <w:lang w:val="es-ES"/>
        </w:rPr>
        <w:t xml:space="preserve"> resaltó en el caso </w:t>
      </w:r>
      <w:r w:rsidR="009B7CBF" w:rsidRPr="00E019A9">
        <w:rPr>
          <w:rFonts w:ascii="Cambria" w:hAnsi="Cambria"/>
          <w:iCs/>
          <w:sz w:val="20"/>
          <w:szCs w:val="20"/>
          <w:lang w:val="es-ES"/>
        </w:rPr>
        <w:t>Órdenes Guerra</w:t>
      </w:r>
      <w:r w:rsidR="00003620" w:rsidRPr="00E019A9">
        <w:rPr>
          <w:rFonts w:ascii="Cambria" w:hAnsi="Cambria"/>
          <w:iCs/>
          <w:sz w:val="20"/>
          <w:szCs w:val="20"/>
          <w:lang w:val="es-ES"/>
        </w:rPr>
        <w:t xml:space="preserve"> vs. Chile</w:t>
      </w:r>
      <w:r w:rsidR="00003620" w:rsidRPr="00E019A9">
        <w:rPr>
          <w:rFonts w:ascii="Cambria" w:hAnsi="Cambria"/>
          <w:sz w:val="20"/>
          <w:szCs w:val="20"/>
          <w:lang w:val="es-ES"/>
        </w:rPr>
        <w:t xml:space="preserve"> que:</w:t>
      </w:r>
    </w:p>
    <w:p w14:paraId="45B44A73" w14:textId="77777777" w:rsidR="00003620" w:rsidRPr="00E019A9" w:rsidRDefault="00003620" w:rsidP="00003620">
      <w:pPr>
        <w:pStyle w:val="NormalWeb"/>
        <w:spacing w:before="0" w:beforeAutospacing="0" w:after="0" w:afterAutospacing="0"/>
        <w:ind w:left="630" w:right="630"/>
        <w:jc w:val="both"/>
        <w:rPr>
          <w:rFonts w:ascii="Cambria" w:hAnsi="Cambria"/>
          <w:sz w:val="20"/>
          <w:szCs w:val="20"/>
          <w:lang w:val="es-ES"/>
        </w:rPr>
      </w:pPr>
    </w:p>
    <w:p w14:paraId="3098EB41" w14:textId="73FD0357" w:rsidR="00003620" w:rsidRPr="00E019A9" w:rsidRDefault="00003620" w:rsidP="001D321F">
      <w:pPr>
        <w:pStyle w:val="NormalWeb"/>
        <w:spacing w:before="0" w:beforeAutospacing="0" w:after="0" w:afterAutospacing="0"/>
        <w:ind w:left="630" w:right="630"/>
        <w:jc w:val="both"/>
        <w:rPr>
          <w:rFonts w:ascii="Cambria" w:hAnsi="Cambria"/>
          <w:sz w:val="20"/>
          <w:szCs w:val="20"/>
          <w:lang w:val="es-ES"/>
        </w:rPr>
      </w:pPr>
      <w:r w:rsidRPr="00E019A9">
        <w:rPr>
          <w:rFonts w:ascii="Cambria" w:hAnsi="Cambria"/>
          <w:sz w:val="20"/>
          <w:szCs w:val="20"/>
          <w:lang w:val="es-ES"/>
        </w:rPr>
        <w:t xml:space="preserve">[…]en casos de graves violaciones de derechos humanos y de manifiesta </w:t>
      </w:r>
      <w:r w:rsidR="009B7CBF" w:rsidRPr="00E019A9">
        <w:rPr>
          <w:rFonts w:ascii="Cambria" w:hAnsi="Cambria"/>
          <w:sz w:val="20"/>
          <w:szCs w:val="20"/>
          <w:lang w:val="es-ES"/>
        </w:rPr>
        <w:t>obstrucción</w:t>
      </w:r>
      <w:r w:rsidRPr="00E019A9">
        <w:rPr>
          <w:rFonts w:ascii="Cambria" w:hAnsi="Cambria"/>
          <w:sz w:val="20"/>
          <w:szCs w:val="20"/>
          <w:lang w:val="es-ES"/>
        </w:rPr>
        <w:t xml:space="preserve"> de justicia, este Tribunal ha considerado que “en ciertas circunstancias el Derecho Internacional considera inadmisible e inaplicable la </w:t>
      </w:r>
      <w:r w:rsidR="009B7CBF" w:rsidRPr="00E019A9">
        <w:rPr>
          <w:rFonts w:ascii="Cambria" w:hAnsi="Cambria"/>
          <w:sz w:val="20"/>
          <w:szCs w:val="20"/>
          <w:lang w:val="es-ES"/>
        </w:rPr>
        <w:t>prescripción</w:t>
      </w:r>
      <w:r w:rsidRPr="00E019A9">
        <w:rPr>
          <w:rFonts w:ascii="Cambria" w:hAnsi="Cambria"/>
          <w:sz w:val="20"/>
          <w:szCs w:val="20"/>
          <w:lang w:val="es-ES"/>
        </w:rPr>
        <w:t xml:space="preserve">[ penal,] </w:t>
      </w:r>
      <w:r w:rsidR="009B7CBF" w:rsidRPr="00E019A9">
        <w:rPr>
          <w:rFonts w:ascii="Cambria" w:hAnsi="Cambria"/>
          <w:sz w:val="20"/>
          <w:szCs w:val="20"/>
          <w:lang w:val="es-ES"/>
        </w:rPr>
        <w:t>así</w:t>
      </w:r>
      <w:r w:rsidRPr="00E019A9">
        <w:rPr>
          <w:rFonts w:ascii="Cambria" w:hAnsi="Cambria"/>
          <w:sz w:val="20"/>
          <w:szCs w:val="20"/>
          <w:lang w:val="es-ES"/>
        </w:rPr>
        <w:t xml:space="preserve">́ como las disposiciones de </w:t>
      </w:r>
      <w:r w:rsidR="009B7CBF" w:rsidRPr="00E019A9">
        <w:rPr>
          <w:rFonts w:ascii="Cambria" w:hAnsi="Cambria"/>
          <w:sz w:val="20"/>
          <w:szCs w:val="20"/>
          <w:lang w:val="es-ES"/>
        </w:rPr>
        <w:t>amnistía</w:t>
      </w:r>
      <w:r w:rsidRPr="00E019A9">
        <w:rPr>
          <w:rFonts w:ascii="Cambria" w:hAnsi="Cambria"/>
          <w:sz w:val="20"/>
          <w:szCs w:val="20"/>
          <w:lang w:val="es-ES"/>
        </w:rPr>
        <w:t xml:space="preserve"> y el establecimiento de excluyentes de responsabilidad, a fin de mantener vigente en el tiempo el poder punitivo del Estado sobre conductas cuya gravedad hace  necesaria su </w:t>
      </w:r>
      <w:r w:rsidR="009B7CBF" w:rsidRPr="00E019A9">
        <w:rPr>
          <w:rFonts w:ascii="Cambria" w:hAnsi="Cambria"/>
          <w:sz w:val="20"/>
          <w:szCs w:val="20"/>
          <w:lang w:val="es-ES"/>
        </w:rPr>
        <w:t>represión</w:t>
      </w:r>
      <w:r w:rsidRPr="00E019A9">
        <w:rPr>
          <w:rFonts w:ascii="Cambria" w:hAnsi="Cambria"/>
          <w:sz w:val="20"/>
          <w:szCs w:val="20"/>
          <w:lang w:val="es-ES"/>
        </w:rPr>
        <w:t xml:space="preserve"> para evitar que vuelvan a ser cometidas”. Tales institutos </w:t>
      </w:r>
      <w:r w:rsidR="009B7CBF" w:rsidRPr="00E019A9">
        <w:rPr>
          <w:rFonts w:ascii="Cambria" w:hAnsi="Cambria"/>
          <w:sz w:val="20"/>
          <w:szCs w:val="20"/>
          <w:lang w:val="es-ES"/>
        </w:rPr>
        <w:t xml:space="preserve">jurídicos o </w:t>
      </w:r>
      <w:r w:rsidRPr="00E019A9">
        <w:rPr>
          <w:rFonts w:ascii="Cambria" w:hAnsi="Cambria"/>
          <w:sz w:val="20"/>
          <w:szCs w:val="20"/>
          <w:lang w:val="es-ES"/>
        </w:rPr>
        <w:t xml:space="preserve">disposiciones son inadmisibles cuando “pretendan impedir la </w:t>
      </w:r>
      <w:r w:rsidR="009B7CBF" w:rsidRPr="00E019A9">
        <w:rPr>
          <w:rFonts w:ascii="Cambria" w:hAnsi="Cambria"/>
          <w:sz w:val="20"/>
          <w:szCs w:val="20"/>
          <w:lang w:val="es-ES"/>
        </w:rPr>
        <w:t>investigación</w:t>
      </w:r>
      <w:r w:rsidRPr="00E019A9">
        <w:rPr>
          <w:rFonts w:ascii="Cambria" w:hAnsi="Cambria"/>
          <w:sz w:val="20"/>
          <w:szCs w:val="20"/>
          <w:lang w:val="es-ES"/>
        </w:rPr>
        <w:t xml:space="preserve"> y </w:t>
      </w:r>
      <w:r w:rsidR="009B7CBF" w:rsidRPr="00E019A9">
        <w:rPr>
          <w:rFonts w:ascii="Cambria" w:hAnsi="Cambria"/>
          <w:sz w:val="20"/>
          <w:szCs w:val="20"/>
          <w:lang w:val="es-ES"/>
        </w:rPr>
        <w:t>sanción</w:t>
      </w:r>
      <w:r w:rsidRPr="00E019A9">
        <w:rPr>
          <w:rFonts w:ascii="Cambria" w:hAnsi="Cambria"/>
          <w:sz w:val="20"/>
          <w:szCs w:val="20"/>
          <w:lang w:val="es-ES"/>
        </w:rPr>
        <w:t xml:space="preserve"> de </w:t>
      </w:r>
      <w:r w:rsidR="00C570C9" w:rsidRPr="00E019A9">
        <w:rPr>
          <w:rFonts w:ascii="Cambria" w:hAnsi="Cambria"/>
          <w:sz w:val="20"/>
          <w:szCs w:val="20"/>
          <w:lang w:val="es-ES"/>
        </w:rPr>
        <w:t>los responsables</w:t>
      </w:r>
      <w:r w:rsidRPr="00E019A9">
        <w:rPr>
          <w:rFonts w:ascii="Cambria" w:hAnsi="Cambria"/>
          <w:sz w:val="20"/>
          <w:szCs w:val="20"/>
          <w:lang w:val="es-ES"/>
        </w:rPr>
        <w:t xml:space="preserve"> de las violaciones graves de los derechos humanos tales como la tortura, las  ejecuciones sumarias, extralegales o arbitrarias y las desapariciones forzadas, todas ellas  prohibidas por contravenir derechos inderogables reconocidos por el Derecho Internacional de los  Derechos Humanos</w:t>
      </w:r>
      <w:r w:rsidRPr="00E019A9">
        <w:rPr>
          <w:rStyle w:val="FootnoteReference"/>
          <w:rFonts w:ascii="Cambria" w:hAnsi="Cambria"/>
          <w:sz w:val="20"/>
          <w:szCs w:val="20"/>
          <w:lang w:val="es-ES"/>
        </w:rPr>
        <w:footnoteReference w:id="212"/>
      </w:r>
      <w:r w:rsidRPr="00E019A9">
        <w:rPr>
          <w:rFonts w:ascii="Cambria" w:hAnsi="Cambria"/>
          <w:sz w:val="20"/>
          <w:szCs w:val="20"/>
          <w:lang w:val="es-ES"/>
        </w:rPr>
        <w:t>.</w:t>
      </w:r>
      <w:r w:rsidRPr="00E019A9">
        <w:rPr>
          <w:rFonts w:ascii="Verdana" w:hAnsi="Verdana"/>
          <w:sz w:val="20"/>
          <w:szCs w:val="20"/>
          <w:lang w:val="es-US"/>
        </w:rPr>
        <w:t xml:space="preserve"> </w:t>
      </w:r>
    </w:p>
    <w:p w14:paraId="7585EF68" w14:textId="77777777" w:rsidR="00535187" w:rsidRPr="00E019A9" w:rsidRDefault="00535187" w:rsidP="001D321F">
      <w:pPr>
        <w:pStyle w:val="NormalWeb"/>
        <w:tabs>
          <w:tab w:val="left" w:pos="570"/>
        </w:tabs>
        <w:spacing w:before="0" w:beforeAutospacing="0" w:after="0" w:afterAutospacing="0"/>
        <w:rPr>
          <w:lang w:val="es-ES"/>
        </w:rPr>
      </w:pPr>
    </w:p>
    <w:p w14:paraId="2E3E5DF8" w14:textId="77777777" w:rsidR="00FC62A4" w:rsidRPr="00E019A9" w:rsidRDefault="00003620" w:rsidP="00BB60A6">
      <w:pPr>
        <w:pStyle w:val="NormalWeb"/>
        <w:numPr>
          <w:ilvl w:val="0"/>
          <w:numId w:val="58"/>
        </w:numPr>
        <w:tabs>
          <w:tab w:val="left" w:pos="567"/>
        </w:tabs>
        <w:spacing w:before="0" w:beforeAutospacing="0" w:after="0" w:afterAutospacing="0"/>
        <w:ind w:left="0" w:firstLine="0"/>
        <w:jc w:val="both"/>
        <w:rPr>
          <w:rFonts w:ascii="Cambria" w:hAnsi="Cambria"/>
          <w:sz w:val="20"/>
          <w:szCs w:val="20"/>
          <w:lang w:val="es-ES"/>
        </w:rPr>
      </w:pPr>
      <w:r w:rsidRPr="00E019A9">
        <w:rPr>
          <w:rFonts w:ascii="Cambria" w:hAnsi="Cambria"/>
          <w:sz w:val="20"/>
          <w:szCs w:val="20"/>
          <w:lang w:val="es-ES"/>
        </w:rPr>
        <w:t>En relación con la pena a imponer, la Comisión ha resaltado que los Estados</w:t>
      </w:r>
      <w:r w:rsidR="009B7CBF" w:rsidRPr="00E019A9">
        <w:rPr>
          <w:rFonts w:ascii="Cambria" w:hAnsi="Cambria"/>
          <w:sz w:val="20"/>
          <w:szCs w:val="20"/>
          <w:lang w:val="es-ES"/>
        </w:rPr>
        <w:t xml:space="preserve"> tienen</w:t>
      </w:r>
      <w:r w:rsidRPr="00E019A9">
        <w:rPr>
          <w:rFonts w:ascii="Cambria" w:hAnsi="Cambria"/>
          <w:sz w:val="20"/>
          <w:szCs w:val="20"/>
          <w:lang w:val="es-ES"/>
        </w:rPr>
        <w:t xml:space="preserve"> la obligación internacional de no dejar impunes estos crímenes y </w:t>
      </w:r>
      <w:r w:rsidR="009B7CBF" w:rsidRPr="00E019A9">
        <w:rPr>
          <w:rFonts w:ascii="Cambria" w:hAnsi="Cambria"/>
          <w:sz w:val="20"/>
          <w:szCs w:val="20"/>
          <w:lang w:val="es-ES"/>
        </w:rPr>
        <w:t xml:space="preserve">de </w:t>
      </w:r>
      <w:r w:rsidRPr="00E019A9">
        <w:rPr>
          <w:rFonts w:ascii="Cambria" w:hAnsi="Cambria"/>
          <w:sz w:val="20"/>
          <w:szCs w:val="20"/>
          <w:lang w:val="es-ES"/>
        </w:rPr>
        <w:t>asegurar</w:t>
      </w:r>
      <w:r w:rsidR="009B7CBF" w:rsidRPr="00E019A9">
        <w:rPr>
          <w:rFonts w:ascii="Cambria" w:hAnsi="Cambria"/>
          <w:sz w:val="20"/>
          <w:szCs w:val="20"/>
          <w:lang w:val="es-ES"/>
        </w:rPr>
        <w:t xml:space="preserve"> que se respete el principio de</w:t>
      </w:r>
      <w:r w:rsidRPr="00E019A9">
        <w:rPr>
          <w:rFonts w:ascii="Cambria" w:hAnsi="Cambria"/>
          <w:sz w:val="20"/>
          <w:szCs w:val="20"/>
          <w:lang w:val="es-ES"/>
        </w:rPr>
        <w:t xml:space="preserve"> proporcionalidad de la pena</w:t>
      </w:r>
      <w:r w:rsidRPr="00E019A9">
        <w:rPr>
          <w:rStyle w:val="FootnoteReference"/>
          <w:rFonts w:ascii="Cambria" w:hAnsi="Cambria"/>
          <w:sz w:val="20"/>
          <w:szCs w:val="20"/>
          <w:lang w:val="es-ES"/>
        </w:rPr>
        <w:footnoteReference w:id="213"/>
      </w:r>
      <w:r w:rsidRPr="00E019A9">
        <w:rPr>
          <w:rFonts w:ascii="Cambria" w:hAnsi="Cambria"/>
          <w:sz w:val="20"/>
          <w:szCs w:val="20"/>
          <w:lang w:val="es-ES"/>
        </w:rPr>
        <w:t xml:space="preserve">. Por su parte, </w:t>
      </w:r>
      <w:r w:rsidR="000B35B9" w:rsidRPr="00E019A9">
        <w:rPr>
          <w:rFonts w:ascii="Cambria" w:hAnsi="Cambria"/>
          <w:sz w:val="20"/>
          <w:szCs w:val="20"/>
          <w:lang w:val="es-ES"/>
        </w:rPr>
        <w:t>la Corte IDH ha resaltado que “la racionalidad y proporcionalidad deben conducir la conducta del Estado en el desempeño del poder punitivo,</w:t>
      </w:r>
      <w:r w:rsidR="0013617B" w:rsidRPr="00E019A9">
        <w:rPr>
          <w:rFonts w:ascii="Cambria" w:hAnsi="Cambria"/>
          <w:sz w:val="20"/>
          <w:szCs w:val="20"/>
          <w:lang w:val="es-ES"/>
        </w:rPr>
        <w:t xml:space="preserve"> </w:t>
      </w:r>
      <w:r w:rsidR="000B35B9" w:rsidRPr="00E019A9">
        <w:rPr>
          <w:rFonts w:ascii="Cambria" w:hAnsi="Cambria"/>
          <w:sz w:val="20"/>
          <w:szCs w:val="20"/>
          <w:lang w:val="es-ES"/>
        </w:rPr>
        <w:t>evitando tanto la lenidad característica de la impunidad como el exceso y abuso en la determinación de penas”</w:t>
      </w:r>
      <w:r w:rsidR="0013617B" w:rsidRPr="00E019A9">
        <w:rPr>
          <w:rStyle w:val="FootnoteReference"/>
          <w:rFonts w:ascii="Cambria" w:hAnsi="Cambria"/>
          <w:sz w:val="20"/>
          <w:szCs w:val="20"/>
          <w:lang w:val="es-ES"/>
        </w:rPr>
        <w:footnoteReference w:id="214"/>
      </w:r>
      <w:r w:rsidR="0013617B" w:rsidRPr="00E019A9">
        <w:rPr>
          <w:rFonts w:ascii="Cambria" w:hAnsi="Cambria" w:cs="TimesNewRomanPSMT"/>
          <w:sz w:val="20"/>
          <w:szCs w:val="20"/>
          <w:lang w:val="es-ES"/>
        </w:rPr>
        <w:t xml:space="preserve">.  </w:t>
      </w:r>
    </w:p>
    <w:p w14:paraId="29A7D03B" w14:textId="77777777" w:rsidR="00FC62A4" w:rsidRPr="00E019A9" w:rsidRDefault="00FC62A4" w:rsidP="00FC62A4">
      <w:pPr>
        <w:pStyle w:val="ListParagraph"/>
        <w:rPr>
          <w:sz w:val="20"/>
          <w:szCs w:val="20"/>
          <w:lang w:val="es-ES"/>
        </w:rPr>
      </w:pPr>
    </w:p>
    <w:p w14:paraId="25EC38CF" w14:textId="77777777" w:rsidR="006B07DC" w:rsidRPr="00E019A9" w:rsidRDefault="009B7CBF" w:rsidP="00BB60A6">
      <w:pPr>
        <w:pStyle w:val="NormalWeb"/>
        <w:numPr>
          <w:ilvl w:val="0"/>
          <w:numId w:val="58"/>
        </w:numPr>
        <w:tabs>
          <w:tab w:val="left" w:pos="567"/>
        </w:tabs>
        <w:spacing w:before="0" w:beforeAutospacing="0" w:after="0" w:afterAutospacing="0"/>
        <w:ind w:left="0" w:firstLine="0"/>
        <w:jc w:val="both"/>
        <w:rPr>
          <w:rFonts w:ascii="Cambria" w:hAnsi="Cambria"/>
          <w:sz w:val="20"/>
          <w:szCs w:val="20"/>
          <w:lang w:val="es-ES"/>
        </w:rPr>
      </w:pPr>
      <w:r w:rsidRPr="00E019A9">
        <w:rPr>
          <w:rFonts w:ascii="Cambria" w:hAnsi="Cambria"/>
          <w:sz w:val="20"/>
          <w:szCs w:val="20"/>
          <w:lang w:val="es-ES"/>
        </w:rPr>
        <w:t>De manera particular</w:t>
      </w:r>
      <w:r w:rsidR="006B07DC" w:rsidRPr="00E019A9">
        <w:rPr>
          <w:rFonts w:ascii="Cambria" w:hAnsi="Cambria"/>
          <w:sz w:val="20"/>
          <w:szCs w:val="20"/>
          <w:lang w:val="es-ES"/>
        </w:rPr>
        <w:t xml:space="preserve"> respecto del principio de proporcionalidad de la pena,</w:t>
      </w:r>
      <w:r w:rsidRPr="00E019A9">
        <w:rPr>
          <w:rFonts w:ascii="Cambria" w:hAnsi="Cambria"/>
          <w:sz w:val="20"/>
          <w:szCs w:val="20"/>
          <w:lang w:val="es-ES"/>
        </w:rPr>
        <w:t xml:space="preserve"> la Corte IDH ha asegurado que</w:t>
      </w:r>
      <w:r w:rsidR="006B07DC" w:rsidRPr="00E019A9">
        <w:rPr>
          <w:rFonts w:ascii="Cambria" w:hAnsi="Cambria"/>
          <w:sz w:val="20"/>
          <w:szCs w:val="20"/>
          <w:lang w:val="es-ES"/>
        </w:rPr>
        <w:t xml:space="preserve"> “la respuesta que el Estado atribuye a la conducta ilícita del autor de la transgresión debe ser proporcional al bien jurídico afectado y a la culpabilidad con la que actuó el autor, por lo que se debe establecer en función de la diversa natu</w:t>
      </w:r>
      <w:r w:rsidRPr="00E019A9">
        <w:rPr>
          <w:rFonts w:ascii="Cambria" w:hAnsi="Cambria"/>
          <w:sz w:val="20"/>
          <w:szCs w:val="20"/>
          <w:lang w:val="es-ES"/>
        </w:rPr>
        <w:t>raleza y gravedad de los hechos</w:t>
      </w:r>
      <w:r w:rsidR="006B07DC" w:rsidRPr="00E019A9">
        <w:rPr>
          <w:rStyle w:val="FootnoteReference"/>
          <w:rFonts w:ascii="Cambria" w:hAnsi="Cambria"/>
          <w:sz w:val="20"/>
          <w:szCs w:val="20"/>
          <w:lang w:val="es-ES"/>
        </w:rPr>
        <w:footnoteReference w:id="215"/>
      </w:r>
      <w:r w:rsidR="006B07DC" w:rsidRPr="00E019A9">
        <w:rPr>
          <w:rFonts w:ascii="Cambria" w:hAnsi="Cambria"/>
          <w:sz w:val="20"/>
          <w:szCs w:val="20"/>
          <w:lang w:val="es-ES"/>
        </w:rPr>
        <w:t xml:space="preserve">”. </w:t>
      </w:r>
      <w:r w:rsidRPr="00E019A9">
        <w:rPr>
          <w:rFonts w:ascii="Cambria" w:hAnsi="Cambria"/>
          <w:sz w:val="20"/>
          <w:szCs w:val="20"/>
          <w:lang w:val="es-ES"/>
        </w:rPr>
        <w:t xml:space="preserve"> En consecuencia, l</w:t>
      </w:r>
      <w:r w:rsidR="006B07DC" w:rsidRPr="00E019A9">
        <w:rPr>
          <w:rFonts w:ascii="Cambria" w:hAnsi="Cambria"/>
          <w:sz w:val="20"/>
          <w:szCs w:val="20"/>
          <w:lang w:val="es-AR"/>
        </w:rPr>
        <w:t>os Estados deben asegurar, en el ejercicio de su deber de persecución de esas graves violaciones, que las penas impuestas y su ejecución no se constituyan en factores de impunidad</w:t>
      </w:r>
      <w:r w:rsidR="006B07DC" w:rsidRPr="00E019A9">
        <w:rPr>
          <w:rStyle w:val="FootnoteReference"/>
          <w:rFonts w:ascii="Cambria" w:hAnsi="Cambria"/>
          <w:sz w:val="20"/>
          <w:szCs w:val="20"/>
          <w:lang w:val="es-AR"/>
        </w:rPr>
        <w:footnoteReference w:id="216"/>
      </w:r>
      <w:r w:rsidR="00E9417D" w:rsidRPr="00E019A9">
        <w:rPr>
          <w:rFonts w:ascii="Cambria" w:hAnsi="Cambria"/>
          <w:sz w:val="20"/>
          <w:szCs w:val="20"/>
          <w:lang w:val="es-AR"/>
        </w:rPr>
        <w:t>,</w:t>
      </w:r>
      <w:r w:rsidR="006B07DC" w:rsidRPr="00E019A9">
        <w:rPr>
          <w:rFonts w:ascii="Cambria" w:hAnsi="Cambria"/>
          <w:sz w:val="20"/>
          <w:szCs w:val="20"/>
          <w:lang w:val="es-AR"/>
        </w:rPr>
        <w:t xml:space="preserve"> de tal forma que “la imposición de una pena apropiada en función de la gravedad de los hechos, por la autoridad competente y con el debido fundamento, permite verificar que no sea arbitraria y controlar así que no se erija en una forma de impunidad de facto”</w:t>
      </w:r>
      <w:r w:rsidR="006B07DC" w:rsidRPr="00E019A9">
        <w:rPr>
          <w:rStyle w:val="FootnoteReference"/>
          <w:rFonts w:ascii="Cambria" w:hAnsi="Cambria"/>
          <w:sz w:val="20"/>
          <w:szCs w:val="20"/>
          <w:lang w:val="es-AR"/>
        </w:rPr>
        <w:footnoteReference w:id="217"/>
      </w:r>
      <w:r w:rsidR="006B07DC" w:rsidRPr="00E019A9">
        <w:rPr>
          <w:rFonts w:ascii="Cambria" w:hAnsi="Cambria"/>
          <w:sz w:val="20"/>
          <w:szCs w:val="20"/>
          <w:lang w:val="es-AR"/>
        </w:rPr>
        <w:t xml:space="preserve">. </w:t>
      </w:r>
    </w:p>
    <w:p w14:paraId="724C1AB6" w14:textId="77777777" w:rsidR="00E9417D" w:rsidRPr="00E019A9" w:rsidRDefault="00E9417D" w:rsidP="001D321F">
      <w:pPr>
        <w:pStyle w:val="NormalWeb"/>
        <w:tabs>
          <w:tab w:val="left" w:pos="567"/>
        </w:tabs>
        <w:spacing w:before="0" w:beforeAutospacing="0" w:after="0" w:afterAutospacing="0"/>
        <w:jc w:val="both"/>
        <w:rPr>
          <w:rFonts w:ascii="Cambria" w:hAnsi="Cambria"/>
          <w:sz w:val="20"/>
          <w:szCs w:val="20"/>
          <w:lang w:val="es-ES"/>
        </w:rPr>
      </w:pPr>
    </w:p>
    <w:p w14:paraId="6CA9BD30" w14:textId="77777777" w:rsidR="00E9417D" w:rsidRPr="00E019A9" w:rsidRDefault="00E9417D" w:rsidP="00BB60A6">
      <w:pPr>
        <w:pStyle w:val="NormalWeb"/>
        <w:numPr>
          <w:ilvl w:val="0"/>
          <w:numId w:val="58"/>
        </w:numPr>
        <w:tabs>
          <w:tab w:val="left" w:pos="567"/>
        </w:tabs>
        <w:spacing w:before="0" w:beforeAutospacing="0" w:after="0" w:afterAutospacing="0"/>
        <w:ind w:left="0" w:firstLine="0"/>
        <w:jc w:val="both"/>
        <w:rPr>
          <w:rFonts w:ascii="Cambria" w:hAnsi="Cambria"/>
          <w:sz w:val="20"/>
          <w:szCs w:val="20"/>
          <w:lang w:val="es-ES"/>
        </w:rPr>
      </w:pPr>
      <w:r w:rsidRPr="00E019A9">
        <w:rPr>
          <w:rFonts w:ascii="Cambria" w:hAnsi="Cambria"/>
          <w:sz w:val="20"/>
          <w:szCs w:val="20"/>
          <w:lang w:val="es-ES"/>
        </w:rPr>
        <w:lastRenderedPageBreak/>
        <w:t xml:space="preserve">Así, por ejemplo, en Argentina tratándose del cómputo de una pena que permitiría que, luego de transcurridos los dos años de prisión preventiva permitidos por ley, se pudiera computar dos días de prisión por cada día transcurrido en detención sin sentencia definitiva, la Comisión manifestó su preocupación </w:t>
      </w:r>
      <w:r w:rsidR="002A4062">
        <w:rPr>
          <w:rFonts w:ascii="Cambria" w:hAnsi="Cambria"/>
          <w:sz w:val="20"/>
          <w:szCs w:val="20"/>
          <w:lang w:val="es-ES"/>
        </w:rPr>
        <w:t xml:space="preserve">toda vez que </w:t>
      </w:r>
      <w:r w:rsidRPr="00E019A9">
        <w:rPr>
          <w:rFonts w:ascii="Cambria" w:hAnsi="Cambria"/>
          <w:sz w:val="20"/>
          <w:szCs w:val="20"/>
          <w:lang w:val="es-ES"/>
        </w:rPr>
        <w:t>“la aplicación del 2x1 u otros beneficios no deberían servir para desvirtuar la proporcionalidad de la pena para las personas responsables de crímenes de lesa humanidad”. Además, resaltó que “su aplicación tornaría inadecuada la sanción que se impuso, lo cual es contrario a los estándares interamericanos de derechos humanos”</w:t>
      </w:r>
      <w:r w:rsidRPr="00E019A9">
        <w:rPr>
          <w:rStyle w:val="FootnoteReference"/>
          <w:rFonts w:ascii="Cambria" w:hAnsi="Cambria"/>
          <w:sz w:val="20"/>
          <w:szCs w:val="20"/>
          <w:lang w:val="es-ES"/>
        </w:rPr>
        <w:t xml:space="preserve"> </w:t>
      </w:r>
      <w:r w:rsidRPr="00E019A9">
        <w:rPr>
          <w:rStyle w:val="FootnoteReference"/>
          <w:rFonts w:ascii="Cambria" w:hAnsi="Cambria"/>
          <w:sz w:val="20"/>
          <w:szCs w:val="20"/>
          <w:lang w:val="es-ES"/>
        </w:rPr>
        <w:footnoteReference w:id="218"/>
      </w:r>
      <w:r w:rsidRPr="00E019A9">
        <w:rPr>
          <w:rFonts w:ascii="Cambria" w:hAnsi="Cambria"/>
          <w:sz w:val="20"/>
          <w:szCs w:val="20"/>
          <w:lang w:val="es-ES"/>
        </w:rPr>
        <w:t>.</w:t>
      </w:r>
      <w:r w:rsidR="009B7CBF" w:rsidRPr="00E019A9">
        <w:rPr>
          <w:rFonts w:ascii="Cambria" w:hAnsi="Cambria"/>
          <w:sz w:val="20"/>
          <w:szCs w:val="20"/>
          <w:lang w:val="es-ES"/>
        </w:rPr>
        <w:t xml:space="preserve"> </w:t>
      </w:r>
      <w:r w:rsidRPr="00E019A9">
        <w:rPr>
          <w:rFonts w:ascii="Cambria" w:hAnsi="Cambria"/>
          <w:sz w:val="20"/>
          <w:szCs w:val="20"/>
          <w:lang w:val="es-ES"/>
        </w:rPr>
        <w:t xml:space="preserve">Respecto de Colombia, </w:t>
      </w:r>
      <w:r w:rsidRPr="00E019A9">
        <w:rPr>
          <w:rFonts w:ascii="Cambria" w:eastAsia="Calibri" w:hAnsi="Cambria"/>
          <w:sz w:val="20"/>
          <w:szCs w:val="20"/>
          <w:lang w:val="es-ES"/>
        </w:rPr>
        <w:t xml:space="preserve">en su </w:t>
      </w:r>
      <w:r w:rsidRPr="00E019A9">
        <w:rPr>
          <w:rFonts w:ascii="Cambria" w:eastAsia="Calibri" w:hAnsi="Cambria"/>
          <w:i/>
          <w:iCs/>
          <w:sz w:val="20"/>
          <w:szCs w:val="20"/>
          <w:lang w:val="es-ES"/>
        </w:rPr>
        <w:t>Informe sobre Verdad, Justicia y Reparación</w:t>
      </w:r>
      <w:r w:rsidRPr="00E019A9">
        <w:rPr>
          <w:rFonts w:ascii="Cambria" w:eastAsia="Calibri" w:hAnsi="Cambria"/>
          <w:sz w:val="20"/>
          <w:szCs w:val="20"/>
          <w:lang w:val="es-ES"/>
        </w:rPr>
        <w:t xml:space="preserve">, la CIDH recordó sobre la necesidad de </w:t>
      </w:r>
      <w:r w:rsidR="009B7CBF" w:rsidRPr="00E019A9">
        <w:rPr>
          <w:rFonts w:ascii="Cambria" w:eastAsia="Calibri" w:hAnsi="Cambria"/>
          <w:sz w:val="20"/>
          <w:szCs w:val="20"/>
          <w:lang w:val="es-ES"/>
        </w:rPr>
        <w:t xml:space="preserve">que las autoridades del Estado </w:t>
      </w:r>
      <w:r w:rsidRPr="00E019A9">
        <w:rPr>
          <w:rFonts w:ascii="Cambria" w:eastAsia="Calibri" w:hAnsi="Cambria"/>
          <w:sz w:val="20"/>
          <w:szCs w:val="20"/>
          <w:lang w:val="es-ES"/>
        </w:rPr>
        <w:t xml:space="preserve">hicieran cumplir de manera rigurosa los requisitos </w:t>
      </w:r>
      <w:r w:rsidR="009B7CBF" w:rsidRPr="00E019A9">
        <w:rPr>
          <w:rFonts w:ascii="Cambria" w:eastAsia="Calibri" w:hAnsi="Cambria"/>
          <w:sz w:val="20"/>
          <w:szCs w:val="20"/>
          <w:lang w:val="es-ES"/>
        </w:rPr>
        <w:t>que condicionaban el acceso a la imposición de una</w:t>
      </w:r>
      <w:r w:rsidRPr="00E019A9">
        <w:rPr>
          <w:rFonts w:ascii="Cambria" w:eastAsia="Calibri" w:hAnsi="Cambria"/>
          <w:sz w:val="20"/>
          <w:szCs w:val="20"/>
          <w:lang w:val="es-ES"/>
        </w:rPr>
        <w:t xml:space="preserve"> pena atenuada a fin de que la imposición de las sanciones reducidas resultara de la obtención plena de la verdad y no descansara de manera exclusiva en la confesión de los imputados</w:t>
      </w:r>
      <w:r w:rsidRPr="00E019A9">
        <w:rPr>
          <w:rFonts w:ascii="Cambria" w:eastAsia="Calibri" w:hAnsi="Cambria"/>
          <w:sz w:val="20"/>
          <w:szCs w:val="20"/>
          <w:vertAlign w:val="superscript"/>
          <w:lang w:val="es-ES"/>
        </w:rPr>
        <w:footnoteReference w:id="219"/>
      </w:r>
      <w:r w:rsidRPr="00E019A9">
        <w:rPr>
          <w:rFonts w:ascii="Cambria" w:eastAsia="Calibri" w:hAnsi="Cambria"/>
          <w:sz w:val="20"/>
          <w:szCs w:val="20"/>
          <w:lang w:val="es-ES"/>
        </w:rPr>
        <w:t>.</w:t>
      </w:r>
    </w:p>
    <w:p w14:paraId="46CBCB0E" w14:textId="77777777" w:rsidR="00FC62A4" w:rsidRPr="00E019A9" w:rsidRDefault="00FC62A4" w:rsidP="001D321F">
      <w:pPr>
        <w:rPr>
          <w:lang w:val="es-AR"/>
        </w:rPr>
      </w:pPr>
    </w:p>
    <w:p w14:paraId="1339B23A" w14:textId="77777777" w:rsidR="0036189B" w:rsidRPr="00E019A9" w:rsidRDefault="00EF7CF9" w:rsidP="00BB60A6">
      <w:pPr>
        <w:pStyle w:val="Heading3"/>
        <w:numPr>
          <w:ilvl w:val="1"/>
          <w:numId w:val="59"/>
        </w:numPr>
      </w:pPr>
      <w:r w:rsidRPr="00E019A9">
        <w:t>Análisis</w:t>
      </w:r>
      <w:r w:rsidR="00E73DDF" w:rsidRPr="00E019A9">
        <w:t xml:space="preserve"> del caso </w:t>
      </w:r>
    </w:p>
    <w:p w14:paraId="27772241" w14:textId="77777777" w:rsidR="003B45A6" w:rsidRPr="00E019A9" w:rsidRDefault="003B45A6" w:rsidP="0036189B">
      <w:pPr>
        <w:pStyle w:val="ListParagraph"/>
        <w:rPr>
          <w:sz w:val="20"/>
          <w:szCs w:val="20"/>
          <w:lang w:val="es-ES"/>
        </w:rPr>
      </w:pPr>
    </w:p>
    <w:p w14:paraId="2069E085" w14:textId="77777777" w:rsidR="005371A1" w:rsidRPr="00E019A9" w:rsidRDefault="002D55A4" w:rsidP="00BB60A6">
      <w:pPr>
        <w:pStyle w:val="ListParagraph"/>
        <w:numPr>
          <w:ilvl w:val="0"/>
          <w:numId w:val="58"/>
        </w:numPr>
        <w:tabs>
          <w:tab w:val="left" w:pos="567"/>
        </w:tabs>
        <w:ind w:left="0" w:firstLine="0"/>
        <w:jc w:val="both"/>
        <w:rPr>
          <w:sz w:val="20"/>
          <w:szCs w:val="20"/>
          <w:lang w:val="es-ES"/>
        </w:rPr>
      </w:pPr>
      <w:r w:rsidRPr="00E019A9">
        <w:rPr>
          <w:sz w:val="20"/>
          <w:szCs w:val="20"/>
          <w:lang w:val="es-US"/>
        </w:rPr>
        <w:t>A partir del análisis d</w:t>
      </w:r>
      <w:r w:rsidR="005371A1" w:rsidRPr="00E019A9">
        <w:rPr>
          <w:sz w:val="20"/>
          <w:szCs w:val="20"/>
          <w:lang w:val="es-US"/>
        </w:rPr>
        <w:t xml:space="preserve">e los hechos </w:t>
      </w:r>
      <w:r w:rsidRPr="00E019A9">
        <w:rPr>
          <w:sz w:val="20"/>
          <w:szCs w:val="20"/>
          <w:lang w:val="es-US"/>
        </w:rPr>
        <w:t>tenidos por probados</w:t>
      </w:r>
      <w:r w:rsidR="005371A1" w:rsidRPr="00E019A9">
        <w:rPr>
          <w:sz w:val="20"/>
          <w:szCs w:val="20"/>
          <w:lang w:val="es-US"/>
        </w:rPr>
        <w:t xml:space="preserve"> y</w:t>
      </w:r>
      <w:r w:rsidRPr="00E019A9">
        <w:rPr>
          <w:sz w:val="20"/>
          <w:szCs w:val="20"/>
          <w:lang w:val="es-US"/>
        </w:rPr>
        <w:t xml:space="preserve"> de</w:t>
      </w:r>
      <w:r w:rsidR="005371A1" w:rsidRPr="00E019A9">
        <w:rPr>
          <w:sz w:val="20"/>
          <w:szCs w:val="20"/>
          <w:lang w:val="es-US"/>
        </w:rPr>
        <w:t xml:space="preserve"> los alegatos de las partes, la Comisión observa que </w:t>
      </w:r>
      <w:r w:rsidRPr="00E019A9">
        <w:rPr>
          <w:sz w:val="20"/>
          <w:szCs w:val="20"/>
          <w:lang w:val="es-US"/>
        </w:rPr>
        <w:t xml:space="preserve">no se encuentra controvertido </w:t>
      </w:r>
      <w:r w:rsidR="005371A1" w:rsidRPr="00E019A9">
        <w:rPr>
          <w:sz w:val="20"/>
          <w:szCs w:val="20"/>
          <w:lang w:val="es-US"/>
        </w:rPr>
        <w:t>que el Estado individualizó a los responsables de las graves violaciones de las que fueron objeto las presuntas víctimas del presente caso, ni que l</w:t>
      </w:r>
      <w:r w:rsidR="00484DE8" w:rsidRPr="00E019A9">
        <w:rPr>
          <w:sz w:val="20"/>
          <w:szCs w:val="20"/>
          <w:lang w:val="es-US"/>
        </w:rPr>
        <w:t>o</w:t>
      </w:r>
      <w:r w:rsidR="005371A1" w:rsidRPr="00E019A9">
        <w:rPr>
          <w:sz w:val="20"/>
          <w:szCs w:val="20"/>
          <w:lang w:val="es-US"/>
        </w:rPr>
        <w:t>s delitos</w:t>
      </w:r>
      <w:r w:rsidRPr="00E019A9">
        <w:rPr>
          <w:sz w:val="20"/>
          <w:szCs w:val="20"/>
          <w:lang w:val="es-US"/>
        </w:rPr>
        <w:t xml:space="preserve"> cometidos contra ellos deben caracterizarse como crímenes de </w:t>
      </w:r>
      <w:r w:rsidR="005371A1" w:rsidRPr="00E019A9">
        <w:rPr>
          <w:i/>
          <w:iCs/>
          <w:sz w:val="20"/>
          <w:szCs w:val="20"/>
          <w:lang w:val="es-US"/>
        </w:rPr>
        <w:t>lesa humanidad</w:t>
      </w:r>
      <w:r w:rsidR="005371A1" w:rsidRPr="00E019A9">
        <w:rPr>
          <w:sz w:val="20"/>
          <w:szCs w:val="20"/>
          <w:lang w:val="es-US"/>
        </w:rPr>
        <w:t>. La Comisión observa que el aspecto materia de análisis del presente caso se encuentra circunscrito a identificar si el Estado de Chile cumplió con su obligación de sancionar</w:t>
      </w:r>
      <w:r w:rsidRPr="00E019A9">
        <w:rPr>
          <w:sz w:val="20"/>
          <w:szCs w:val="20"/>
          <w:lang w:val="es-US"/>
        </w:rPr>
        <w:t xml:space="preserve"> de manera adecuada y proporcional</w:t>
      </w:r>
      <w:r w:rsidR="005371A1" w:rsidRPr="00E019A9">
        <w:rPr>
          <w:sz w:val="20"/>
          <w:szCs w:val="20"/>
          <w:lang w:val="es-US"/>
        </w:rPr>
        <w:t xml:space="preserve"> a los responsables</w:t>
      </w:r>
      <w:r w:rsidRPr="00E019A9">
        <w:rPr>
          <w:sz w:val="20"/>
          <w:szCs w:val="20"/>
          <w:lang w:val="es-US"/>
        </w:rPr>
        <w:t xml:space="preserve"> de tales hechos en virtud de la aplicación de la figura legal de la </w:t>
      </w:r>
      <w:r w:rsidR="005371A1" w:rsidRPr="00E019A9">
        <w:rPr>
          <w:sz w:val="20"/>
          <w:szCs w:val="20"/>
          <w:lang w:val="es-US"/>
        </w:rPr>
        <w:t>“media prescripción”.</w:t>
      </w:r>
    </w:p>
    <w:p w14:paraId="18D71E0B" w14:textId="77777777" w:rsidR="005371A1" w:rsidRPr="00E019A9" w:rsidRDefault="005371A1" w:rsidP="001D321F">
      <w:pPr>
        <w:pStyle w:val="ListParagraph"/>
        <w:tabs>
          <w:tab w:val="left" w:pos="567"/>
        </w:tabs>
        <w:ind w:left="0"/>
        <w:jc w:val="both"/>
        <w:rPr>
          <w:sz w:val="20"/>
          <w:szCs w:val="20"/>
          <w:lang w:val="es-ES"/>
        </w:rPr>
      </w:pPr>
    </w:p>
    <w:p w14:paraId="0FA849AA" w14:textId="77777777" w:rsidR="002D55A4" w:rsidRPr="00E019A9" w:rsidRDefault="005371A1" w:rsidP="00BB60A6">
      <w:pPr>
        <w:pStyle w:val="ListParagraph"/>
        <w:numPr>
          <w:ilvl w:val="0"/>
          <w:numId w:val="58"/>
        </w:numPr>
        <w:tabs>
          <w:tab w:val="left" w:pos="567"/>
        </w:tabs>
        <w:ind w:left="0" w:firstLine="0"/>
        <w:jc w:val="both"/>
        <w:rPr>
          <w:sz w:val="20"/>
          <w:szCs w:val="20"/>
          <w:lang w:val="es-ES"/>
        </w:rPr>
      </w:pPr>
      <w:r w:rsidRPr="00E019A9">
        <w:rPr>
          <w:sz w:val="20"/>
          <w:szCs w:val="20"/>
          <w:lang w:val="es-ES"/>
        </w:rPr>
        <w:t>Al respecto, la Comisión observa que</w:t>
      </w:r>
      <w:r w:rsidR="0050425D" w:rsidRPr="00E019A9">
        <w:rPr>
          <w:sz w:val="20"/>
          <w:szCs w:val="20"/>
          <w:lang w:val="es-ES"/>
        </w:rPr>
        <w:t xml:space="preserve">, del universo de 14 peticiones que componen este informe, en 11 de ellas </w:t>
      </w:r>
      <w:r w:rsidR="003146D4" w:rsidRPr="00E019A9">
        <w:rPr>
          <w:sz w:val="20"/>
          <w:szCs w:val="20"/>
          <w:lang w:val="es-ES"/>
        </w:rPr>
        <w:t xml:space="preserve">la Corte Suprema de Justicia </w:t>
      </w:r>
      <w:r w:rsidR="0050425D" w:rsidRPr="00E019A9">
        <w:rPr>
          <w:sz w:val="20"/>
          <w:szCs w:val="20"/>
          <w:lang w:val="es-ES"/>
        </w:rPr>
        <w:t>entendi</w:t>
      </w:r>
      <w:r w:rsidR="003146D4" w:rsidRPr="00E019A9">
        <w:rPr>
          <w:sz w:val="20"/>
          <w:szCs w:val="20"/>
          <w:lang w:val="es-ES"/>
        </w:rPr>
        <w:t>ó</w:t>
      </w:r>
      <w:r w:rsidR="0050425D" w:rsidRPr="00E019A9">
        <w:rPr>
          <w:sz w:val="20"/>
          <w:szCs w:val="20"/>
          <w:lang w:val="es-ES"/>
        </w:rPr>
        <w:t xml:space="preserve"> que el tipo penal que </w:t>
      </w:r>
      <w:r w:rsidR="003146D4" w:rsidRPr="00E019A9">
        <w:rPr>
          <w:sz w:val="20"/>
          <w:szCs w:val="20"/>
          <w:lang w:val="es-ES"/>
        </w:rPr>
        <w:t>correspondía</w:t>
      </w:r>
      <w:r w:rsidR="0050425D" w:rsidRPr="00E019A9">
        <w:rPr>
          <w:sz w:val="20"/>
          <w:szCs w:val="20"/>
          <w:lang w:val="es-ES"/>
        </w:rPr>
        <w:t xml:space="preserve"> aplicar a los responsables </w:t>
      </w:r>
      <w:r w:rsidR="003146D4" w:rsidRPr="00E019A9">
        <w:rPr>
          <w:sz w:val="20"/>
          <w:szCs w:val="20"/>
          <w:lang w:val="es-ES"/>
        </w:rPr>
        <w:t xml:space="preserve">de los delitos sufridos por las victimas era el de secuestro calificado </w:t>
      </w:r>
      <w:r w:rsidR="00A31E50" w:rsidRPr="00E019A9">
        <w:rPr>
          <w:sz w:val="20"/>
          <w:szCs w:val="20"/>
          <w:lang w:val="es-ES"/>
        </w:rPr>
        <w:t>tipificado</w:t>
      </w:r>
      <w:r w:rsidR="003146D4" w:rsidRPr="00E019A9">
        <w:rPr>
          <w:sz w:val="20"/>
          <w:szCs w:val="20"/>
          <w:lang w:val="es-ES"/>
        </w:rPr>
        <w:t xml:space="preserve"> en el </w:t>
      </w:r>
      <w:r w:rsidR="002A4062" w:rsidRPr="00E019A9">
        <w:rPr>
          <w:sz w:val="20"/>
          <w:szCs w:val="20"/>
          <w:lang w:val="es-ES"/>
        </w:rPr>
        <w:t>artículo</w:t>
      </w:r>
      <w:r w:rsidR="003146D4" w:rsidRPr="00E019A9">
        <w:rPr>
          <w:sz w:val="20"/>
          <w:szCs w:val="20"/>
          <w:lang w:val="es-ES"/>
        </w:rPr>
        <w:t xml:space="preserve"> 141 del </w:t>
      </w:r>
      <w:r w:rsidR="00500314" w:rsidRPr="00E019A9">
        <w:rPr>
          <w:sz w:val="20"/>
          <w:szCs w:val="20"/>
          <w:lang w:val="es-ES"/>
        </w:rPr>
        <w:t>Código</w:t>
      </w:r>
      <w:r w:rsidR="003146D4" w:rsidRPr="00E019A9">
        <w:rPr>
          <w:sz w:val="20"/>
          <w:szCs w:val="20"/>
          <w:lang w:val="es-ES"/>
        </w:rPr>
        <w:t xml:space="preserve"> Penal</w:t>
      </w:r>
      <w:r w:rsidR="00500314" w:rsidRPr="00E019A9">
        <w:rPr>
          <w:sz w:val="20"/>
          <w:szCs w:val="20"/>
          <w:lang w:val="es-ES"/>
        </w:rPr>
        <w:t>,</w:t>
      </w:r>
      <w:r w:rsidR="003146D4" w:rsidRPr="00E019A9">
        <w:rPr>
          <w:sz w:val="20"/>
          <w:szCs w:val="20"/>
          <w:lang w:val="es-ES"/>
        </w:rPr>
        <w:t xml:space="preserve"> mientras que en las tres restantes peticiones</w:t>
      </w:r>
      <w:r w:rsidR="00500314" w:rsidRPr="00E019A9">
        <w:rPr>
          <w:sz w:val="20"/>
          <w:szCs w:val="20"/>
          <w:lang w:val="es-ES"/>
        </w:rPr>
        <w:t xml:space="preserve"> </w:t>
      </w:r>
      <w:r w:rsidR="003146D4" w:rsidRPr="00E019A9">
        <w:rPr>
          <w:sz w:val="20"/>
          <w:szCs w:val="20"/>
          <w:lang w:val="es-ES"/>
        </w:rPr>
        <w:t xml:space="preserve">las conductas que afectaron a las </w:t>
      </w:r>
      <w:r w:rsidR="008E7C90" w:rsidRPr="00E019A9">
        <w:rPr>
          <w:sz w:val="20"/>
          <w:szCs w:val="20"/>
          <w:lang w:val="es-ES"/>
        </w:rPr>
        <w:t>v</w:t>
      </w:r>
      <w:r w:rsidR="00484DE8" w:rsidRPr="00E019A9">
        <w:rPr>
          <w:sz w:val="20"/>
          <w:szCs w:val="20"/>
          <w:lang w:val="es-ES"/>
        </w:rPr>
        <w:t>í</w:t>
      </w:r>
      <w:r w:rsidR="008E7C90" w:rsidRPr="00E019A9">
        <w:rPr>
          <w:sz w:val="20"/>
          <w:szCs w:val="20"/>
          <w:lang w:val="es-ES"/>
        </w:rPr>
        <w:t>ctimas</w:t>
      </w:r>
      <w:r w:rsidR="003146D4" w:rsidRPr="00E019A9">
        <w:rPr>
          <w:sz w:val="20"/>
          <w:szCs w:val="20"/>
          <w:lang w:val="es-ES"/>
        </w:rPr>
        <w:t xml:space="preserve"> fueron subsumidas en el tipo penal de homicidio calificado </w:t>
      </w:r>
      <w:r w:rsidR="008E7C90" w:rsidRPr="00E019A9">
        <w:rPr>
          <w:sz w:val="20"/>
          <w:szCs w:val="20"/>
          <w:lang w:val="es-ES"/>
        </w:rPr>
        <w:t xml:space="preserve">contemplado en el </w:t>
      </w:r>
      <w:r w:rsidR="002A4062" w:rsidRPr="00E019A9">
        <w:rPr>
          <w:sz w:val="20"/>
          <w:szCs w:val="20"/>
          <w:lang w:val="es-ES"/>
        </w:rPr>
        <w:t>artículo</w:t>
      </w:r>
      <w:r w:rsidR="008E7C90" w:rsidRPr="00E019A9">
        <w:rPr>
          <w:sz w:val="20"/>
          <w:szCs w:val="20"/>
          <w:lang w:val="es-ES"/>
        </w:rPr>
        <w:t xml:space="preserve"> 391 del mismo texto legal</w:t>
      </w:r>
      <w:r w:rsidR="003146D4" w:rsidRPr="00E019A9">
        <w:rPr>
          <w:sz w:val="20"/>
          <w:szCs w:val="20"/>
          <w:lang w:val="es-ES"/>
        </w:rPr>
        <w:t xml:space="preserve">. </w:t>
      </w:r>
      <w:r w:rsidRPr="00E019A9">
        <w:rPr>
          <w:sz w:val="20"/>
          <w:szCs w:val="20"/>
          <w:lang w:val="es-ES"/>
        </w:rPr>
        <w:t>A</w:t>
      </w:r>
      <w:r w:rsidR="008E7C90" w:rsidRPr="00E019A9">
        <w:rPr>
          <w:sz w:val="20"/>
          <w:szCs w:val="20"/>
          <w:lang w:val="es-ES"/>
        </w:rPr>
        <w:t>l momento de</w:t>
      </w:r>
      <w:r w:rsidR="00500314" w:rsidRPr="00E019A9">
        <w:rPr>
          <w:sz w:val="20"/>
          <w:szCs w:val="20"/>
          <w:lang w:val="es-ES"/>
        </w:rPr>
        <w:t xml:space="preserve"> producirse</w:t>
      </w:r>
      <w:r w:rsidR="008E7C90" w:rsidRPr="00E019A9">
        <w:rPr>
          <w:sz w:val="20"/>
          <w:szCs w:val="20"/>
          <w:lang w:val="es-ES"/>
        </w:rPr>
        <w:t xml:space="preserve"> los hechos</w:t>
      </w:r>
      <w:r w:rsidR="00500314" w:rsidRPr="00E019A9">
        <w:rPr>
          <w:sz w:val="20"/>
          <w:szCs w:val="20"/>
          <w:lang w:val="es-ES"/>
        </w:rPr>
        <w:t>,</w:t>
      </w:r>
      <w:r w:rsidR="008E7C90" w:rsidRPr="00E019A9">
        <w:rPr>
          <w:sz w:val="20"/>
          <w:szCs w:val="20"/>
          <w:lang w:val="es-ES"/>
        </w:rPr>
        <w:t xml:space="preserve"> el tipo penal de secuestro calificado contemplaba la pena de “presidio mayor en cualquiera de sus grados”, en tanto que la del homicidio calificado preveía la pena de “presidio mayor en su grado medio a presidio mayor perpetuo”. </w:t>
      </w:r>
    </w:p>
    <w:p w14:paraId="461EC50A" w14:textId="77777777" w:rsidR="007B53E3" w:rsidRPr="00E019A9" w:rsidRDefault="007B53E3" w:rsidP="007B53E3">
      <w:pPr>
        <w:pStyle w:val="ListParagraph"/>
        <w:tabs>
          <w:tab w:val="left" w:pos="567"/>
        </w:tabs>
        <w:ind w:left="0"/>
        <w:jc w:val="both"/>
        <w:rPr>
          <w:sz w:val="20"/>
          <w:szCs w:val="20"/>
          <w:lang w:val="es-ES"/>
        </w:rPr>
      </w:pPr>
    </w:p>
    <w:p w14:paraId="2579F903" w14:textId="4D13FE78" w:rsidR="00500314" w:rsidRPr="00E019A9" w:rsidRDefault="00500314" w:rsidP="00BB60A6">
      <w:pPr>
        <w:pStyle w:val="ListParagraph"/>
        <w:numPr>
          <w:ilvl w:val="0"/>
          <w:numId w:val="58"/>
        </w:numPr>
        <w:tabs>
          <w:tab w:val="left" w:pos="567"/>
        </w:tabs>
        <w:ind w:left="0" w:firstLine="0"/>
        <w:jc w:val="both"/>
        <w:rPr>
          <w:sz w:val="20"/>
          <w:szCs w:val="20"/>
          <w:lang w:val="es-ES"/>
        </w:rPr>
      </w:pPr>
      <w:r w:rsidRPr="00E019A9">
        <w:rPr>
          <w:sz w:val="20"/>
          <w:szCs w:val="20"/>
          <w:lang w:val="es-ES"/>
        </w:rPr>
        <w:t xml:space="preserve">Independientemente del tipo penal empleado por los tribunales nacionales para subsumir la conducta de aquellos hallados responsables de los delitos cometidos contra las </w:t>
      </w:r>
      <w:r w:rsidR="006F0022" w:rsidRPr="00E019A9">
        <w:rPr>
          <w:sz w:val="20"/>
          <w:szCs w:val="20"/>
          <w:lang w:val="es-ES"/>
        </w:rPr>
        <w:t>víctimas</w:t>
      </w:r>
      <w:r w:rsidRPr="00E019A9">
        <w:rPr>
          <w:sz w:val="20"/>
          <w:szCs w:val="20"/>
          <w:lang w:val="es-ES"/>
        </w:rPr>
        <w:t xml:space="preserve"> de estas peticiones, la Comisión nota que</w:t>
      </w:r>
      <w:r w:rsidR="00352CCC" w:rsidRPr="00E019A9">
        <w:rPr>
          <w:sz w:val="20"/>
          <w:szCs w:val="20"/>
          <w:lang w:val="es-ES"/>
        </w:rPr>
        <w:t>,</w:t>
      </w:r>
      <w:r w:rsidRPr="00E019A9">
        <w:rPr>
          <w:sz w:val="20"/>
          <w:szCs w:val="20"/>
          <w:lang w:val="es-ES"/>
        </w:rPr>
        <w:t xml:space="preserve"> en las 14 peticiones que componen este caso, fu</w:t>
      </w:r>
      <w:r w:rsidR="007B53E3" w:rsidRPr="00E019A9">
        <w:rPr>
          <w:sz w:val="20"/>
          <w:szCs w:val="20"/>
          <w:lang w:val="es-ES"/>
        </w:rPr>
        <w:t>e la Corte Suprema de Justicia - máximo tribunal del país -</w:t>
      </w:r>
      <w:r w:rsidRPr="00E019A9">
        <w:rPr>
          <w:sz w:val="20"/>
          <w:szCs w:val="20"/>
          <w:lang w:val="es-ES"/>
        </w:rPr>
        <w:t xml:space="preserve"> </w:t>
      </w:r>
      <w:r w:rsidR="00D20969" w:rsidRPr="00E019A9">
        <w:rPr>
          <w:sz w:val="20"/>
          <w:szCs w:val="20"/>
          <w:lang w:val="es-ES"/>
        </w:rPr>
        <w:t>en ocasión de intervenir</w:t>
      </w:r>
      <w:r w:rsidRPr="00E019A9">
        <w:rPr>
          <w:sz w:val="20"/>
          <w:szCs w:val="20"/>
          <w:lang w:val="es-ES"/>
        </w:rPr>
        <w:t xml:space="preserve"> como tribunal de casación penal, quien decidió aplicar por primera vez en cada uno de los 14 procesos judiciales reseñados en el apartado III.B de este informe la circunstancia atenuante de</w:t>
      </w:r>
      <w:r w:rsidR="00DE45C2" w:rsidRPr="00E019A9">
        <w:rPr>
          <w:sz w:val="20"/>
          <w:szCs w:val="20"/>
          <w:lang w:val="es-ES"/>
        </w:rPr>
        <w:t xml:space="preserve"> </w:t>
      </w:r>
      <w:r w:rsidRPr="00E019A9">
        <w:rPr>
          <w:sz w:val="20"/>
          <w:szCs w:val="20"/>
          <w:lang w:val="es-ES"/>
        </w:rPr>
        <w:t xml:space="preserve">“media prescripción” o “prescripción gradual” consagrada en el </w:t>
      </w:r>
      <w:r w:rsidR="002A4062" w:rsidRPr="00E019A9">
        <w:rPr>
          <w:sz w:val="20"/>
          <w:szCs w:val="20"/>
          <w:lang w:val="es-ES"/>
        </w:rPr>
        <w:t>artículo</w:t>
      </w:r>
      <w:r w:rsidRPr="00E019A9">
        <w:rPr>
          <w:sz w:val="20"/>
          <w:szCs w:val="20"/>
          <w:lang w:val="es-ES"/>
        </w:rPr>
        <w:t xml:space="preserve"> 103 del Código Penal chileno. </w:t>
      </w:r>
      <w:r w:rsidR="005371A1" w:rsidRPr="00E019A9">
        <w:rPr>
          <w:sz w:val="20"/>
          <w:szCs w:val="20"/>
          <w:lang w:val="es-ES"/>
        </w:rPr>
        <w:t>C</w:t>
      </w:r>
      <w:r w:rsidR="00E829CF" w:rsidRPr="00E019A9">
        <w:rPr>
          <w:sz w:val="20"/>
          <w:szCs w:val="20"/>
          <w:lang w:val="es-ES"/>
        </w:rPr>
        <w:t xml:space="preserve">onforme el </w:t>
      </w:r>
      <w:r w:rsidR="002A4062" w:rsidRPr="00E019A9">
        <w:rPr>
          <w:sz w:val="20"/>
          <w:szCs w:val="20"/>
          <w:lang w:val="es-ES"/>
        </w:rPr>
        <w:t>artículo</w:t>
      </w:r>
      <w:r w:rsidR="00E829CF" w:rsidRPr="00E019A9">
        <w:rPr>
          <w:sz w:val="20"/>
          <w:szCs w:val="20"/>
          <w:lang w:val="es-ES"/>
        </w:rPr>
        <w:t xml:space="preserve"> 103, la </w:t>
      </w:r>
      <w:r w:rsidR="00484DE8" w:rsidRPr="00E019A9">
        <w:rPr>
          <w:sz w:val="20"/>
          <w:szCs w:val="20"/>
          <w:lang w:val="es-ES"/>
        </w:rPr>
        <w:t>“</w:t>
      </w:r>
      <w:r w:rsidR="00E829CF" w:rsidRPr="00E019A9">
        <w:rPr>
          <w:sz w:val="20"/>
          <w:szCs w:val="20"/>
          <w:lang w:val="es-ES"/>
        </w:rPr>
        <w:t>media prescripción</w:t>
      </w:r>
      <w:r w:rsidR="00484DE8" w:rsidRPr="00E019A9">
        <w:rPr>
          <w:sz w:val="20"/>
          <w:szCs w:val="20"/>
          <w:lang w:val="es-ES"/>
        </w:rPr>
        <w:t>”</w:t>
      </w:r>
      <w:r w:rsidR="00E829CF" w:rsidRPr="00E019A9">
        <w:rPr>
          <w:sz w:val="20"/>
          <w:szCs w:val="20"/>
          <w:lang w:val="es-ES"/>
        </w:rPr>
        <w:t xml:space="preserve"> resulta aplicable si el responsable del delito se presenta o es hallado luego de haber transcurrido la mitad del tiempo asignado para la prescripción de la acción penal, que, en el caso de los delitos de secuestro calificado y homicidio calificado, era de 5 años y 7 años y medio respectivamente. </w:t>
      </w:r>
    </w:p>
    <w:p w14:paraId="53529C8A" w14:textId="77777777" w:rsidR="00E829CF" w:rsidRPr="00E019A9" w:rsidRDefault="00E829CF" w:rsidP="00E829CF">
      <w:pPr>
        <w:pStyle w:val="ListParagraph"/>
        <w:tabs>
          <w:tab w:val="left" w:pos="567"/>
        </w:tabs>
        <w:ind w:left="0"/>
        <w:jc w:val="both"/>
        <w:rPr>
          <w:sz w:val="20"/>
          <w:szCs w:val="20"/>
          <w:lang w:val="es-ES"/>
        </w:rPr>
      </w:pPr>
    </w:p>
    <w:p w14:paraId="234C39AB" w14:textId="77777777" w:rsidR="00352CCC" w:rsidRPr="00E019A9" w:rsidRDefault="007B53E3" w:rsidP="00BB60A6">
      <w:pPr>
        <w:pStyle w:val="ListParagraph"/>
        <w:numPr>
          <w:ilvl w:val="0"/>
          <w:numId w:val="58"/>
        </w:numPr>
        <w:tabs>
          <w:tab w:val="left" w:pos="567"/>
        </w:tabs>
        <w:ind w:left="0" w:firstLine="0"/>
        <w:jc w:val="both"/>
        <w:rPr>
          <w:sz w:val="20"/>
          <w:szCs w:val="20"/>
          <w:lang w:val="es-ES"/>
        </w:rPr>
      </w:pPr>
      <w:r w:rsidRPr="00E019A9">
        <w:rPr>
          <w:sz w:val="20"/>
          <w:szCs w:val="20"/>
          <w:lang w:val="es-ES"/>
        </w:rPr>
        <w:t>La Comisión entiende que, a</w:t>
      </w:r>
      <w:r w:rsidR="00500314" w:rsidRPr="00E019A9">
        <w:rPr>
          <w:sz w:val="20"/>
          <w:szCs w:val="20"/>
          <w:lang w:val="es-ES"/>
        </w:rPr>
        <w:t xml:space="preserve"> pesar de su denominación y ubicación en el texto </w:t>
      </w:r>
      <w:r w:rsidR="005D2655" w:rsidRPr="00E019A9">
        <w:rPr>
          <w:sz w:val="20"/>
          <w:szCs w:val="20"/>
          <w:lang w:val="es-ES"/>
        </w:rPr>
        <w:t>del Código Penal, la</w:t>
      </w:r>
      <w:r w:rsidR="00DE45C2" w:rsidRPr="00E019A9">
        <w:rPr>
          <w:sz w:val="20"/>
          <w:szCs w:val="20"/>
          <w:lang w:val="es-ES"/>
        </w:rPr>
        <w:t xml:space="preserve"> figura de la</w:t>
      </w:r>
      <w:r w:rsidR="005D2655" w:rsidRPr="00E019A9">
        <w:rPr>
          <w:sz w:val="20"/>
          <w:szCs w:val="20"/>
          <w:lang w:val="es-ES"/>
        </w:rPr>
        <w:t xml:space="preserve"> media prescripción no afecta el ejercicio de la acción penal, sino que constituye una circunstancia atenuante adicional a las previstas en el</w:t>
      </w:r>
      <w:r w:rsidR="00DE45C2" w:rsidRPr="00E019A9">
        <w:rPr>
          <w:sz w:val="20"/>
          <w:szCs w:val="20"/>
          <w:lang w:val="es-ES"/>
        </w:rPr>
        <w:t xml:space="preserve"> </w:t>
      </w:r>
      <w:r w:rsidR="005D2655" w:rsidRPr="00E019A9">
        <w:rPr>
          <w:sz w:val="20"/>
          <w:szCs w:val="20"/>
          <w:lang w:val="es-ES"/>
        </w:rPr>
        <w:t>sistema de determinación de la pena chileno</w:t>
      </w:r>
      <w:r w:rsidR="00DE45C2" w:rsidRPr="00E019A9">
        <w:rPr>
          <w:sz w:val="20"/>
          <w:szCs w:val="20"/>
          <w:lang w:val="es-ES"/>
        </w:rPr>
        <w:t xml:space="preserve">. De modo tal que, como se observó en la totalidad de las sentencias reseñadas en el </w:t>
      </w:r>
      <w:r w:rsidR="002A4062" w:rsidRPr="00E019A9">
        <w:rPr>
          <w:sz w:val="20"/>
          <w:szCs w:val="20"/>
          <w:lang w:val="es-ES"/>
        </w:rPr>
        <w:t>Capítulo</w:t>
      </w:r>
      <w:r w:rsidR="00DE45C2" w:rsidRPr="00E019A9">
        <w:rPr>
          <w:sz w:val="20"/>
          <w:szCs w:val="20"/>
          <w:lang w:val="es-ES"/>
        </w:rPr>
        <w:t xml:space="preserve"> III.B de este informe, la decisión de aplicar en un caso concreto el instituto de la media prescripción tiene como efecto considerar “el hecho como revestido de dos o </w:t>
      </w:r>
      <w:r w:rsidR="002A4062" w:rsidRPr="00E019A9">
        <w:rPr>
          <w:sz w:val="20"/>
          <w:szCs w:val="20"/>
          <w:lang w:val="es-ES"/>
        </w:rPr>
        <w:t>más</w:t>
      </w:r>
      <w:r w:rsidR="00DE45C2" w:rsidRPr="00E019A9">
        <w:rPr>
          <w:sz w:val="20"/>
          <w:szCs w:val="20"/>
          <w:lang w:val="es-ES"/>
        </w:rPr>
        <w:t xml:space="preserve"> circunstancias atenuantes muy calificadas y de ninguna agravante…” (Art 103 CP). </w:t>
      </w:r>
    </w:p>
    <w:p w14:paraId="3E4D1F4D" w14:textId="77777777" w:rsidR="00352CCC" w:rsidRPr="00E019A9" w:rsidRDefault="00352CCC" w:rsidP="00AC1CA8">
      <w:pPr>
        <w:pStyle w:val="ListParagraph"/>
        <w:tabs>
          <w:tab w:val="left" w:pos="567"/>
        </w:tabs>
        <w:rPr>
          <w:sz w:val="20"/>
          <w:szCs w:val="20"/>
          <w:lang w:val="es-ES"/>
        </w:rPr>
      </w:pPr>
    </w:p>
    <w:p w14:paraId="2FB6A012" w14:textId="77777777" w:rsidR="00DE45C2" w:rsidRPr="00E019A9" w:rsidRDefault="005371A1" w:rsidP="00BB60A6">
      <w:pPr>
        <w:pStyle w:val="ListParagraph"/>
        <w:numPr>
          <w:ilvl w:val="0"/>
          <w:numId w:val="58"/>
        </w:numPr>
        <w:tabs>
          <w:tab w:val="left" w:pos="567"/>
        </w:tabs>
        <w:ind w:left="0" w:firstLine="0"/>
        <w:jc w:val="both"/>
        <w:rPr>
          <w:sz w:val="20"/>
          <w:szCs w:val="20"/>
          <w:lang w:val="es-ES"/>
        </w:rPr>
      </w:pPr>
      <w:r w:rsidRPr="00E019A9">
        <w:rPr>
          <w:sz w:val="20"/>
          <w:szCs w:val="20"/>
          <w:lang w:val="es-ES"/>
        </w:rPr>
        <w:lastRenderedPageBreak/>
        <w:t xml:space="preserve">La Comisión observa que </w:t>
      </w:r>
      <w:r w:rsidR="00352CCC" w:rsidRPr="00E019A9">
        <w:rPr>
          <w:sz w:val="20"/>
          <w:szCs w:val="20"/>
          <w:lang w:val="es-ES"/>
        </w:rPr>
        <w:t>las penas privativas de la libertad en el sistema de determinación de la pena chileno se dividen</w:t>
      </w:r>
      <w:r w:rsidR="00DE2C5E" w:rsidRPr="00E019A9">
        <w:rPr>
          <w:sz w:val="20"/>
          <w:szCs w:val="20"/>
          <w:lang w:val="es-ES"/>
        </w:rPr>
        <w:t xml:space="preserve">, según su gravedad, </w:t>
      </w:r>
      <w:r w:rsidR="00352CCC" w:rsidRPr="00E019A9">
        <w:rPr>
          <w:sz w:val="20"/>
          <w:szCs w:val="20"/>
          <w:lang w:val="es-ES"/>
        </w:rPr>
        <w:t>en presidio mayor y menor y que</w:t>
      </w:r>
      <w:r w:rsidR="00DE2C5E" w:rsidRPr="00E019A9">
        <w:rPr>
          <w:sz w:val="20"/>
          <w:szCs w:val="20"/>
          <w:lang w:val="es-ES"/>
        </w:rPr>
        <w:t xml:space="preserve"> ambas</w:t>
      </w:r>
      <w:r w:rsidR="00352CCC" w:rsidRPr="00E019A9">
        <w:rPr>
          <w:sz w:val="20"/>
          <w:szCs w:val="20"/>
          <w:lang w:val="es-ES"/>
        </w:rPr>
        <w:t xml:space="preserve"> se </w:t>
      </w:r>
      <w:r w:rsidR="00DE2C5E" w:rsidRPr="00E019A9">
        <w:rPr>
          <w:sz w:val="20"/>
          <w:szCs w:val="20"/>
          <w:lang w:val="es-ES"/>
        </w:rPr>
        <w:t>pueden</w:t>
      </w:r>
      <w:r w:rsidR="00352CCC" w:rsidRPr="00E019A9">
        <w:rPr>
          <w:sz w:val="20"/>
          <w:szCs w:val="20"/>
          <w:lang w:val="es-ES"/>
        </w:rPr>
        <w:t xml:space="preserve"> imponer en su</w:t>
      </w:r>
      <w:r w:rsidR="00DE2C5E" w:rsidRPr="00E019A9">
        <w:rPr>
          <w:sz w:val="20"/>
          <w:szCs w:val="20"/>
          <w:lang w:val="es-ES"/>
        </w:rPr>
        <w:t>s</w:t>
      </w:r>
      <w:r w:rsidR="00352CCC" w:rsidRPr="00E019A9">
        <w:rPr>
          <w:sz w:val="20"/>
          <w:szCs w:val="20"/>
          <w:lang w:val="es-ES"/>
        </w:rPr>
        <w:t xml:space="preserve"> grado</w:t>
      </w:r>
      <w:r w:rsidR="00DE2C5E" w:rsidRPr="00E019A9">
        <w:rPr>
          <w:sz w:val="20"/>
          <w:szCs w:val="20"/>
          <w:lang w:val="es-ES"/>
        </w:rPr>
        <w:t>s</w:t>
      </w:r>
      <w:r w:rsidR="00352CCC" w:rsidRPr="00E019A9">
        <w:rPr>
          <w:sz w:val="20"/>
          <w:szCs w:val="20"/>
          <w:lang w:val="es-ES"/>
        </w:rPr>
        <w:t xml:space="preserve"> </w:t>
      </w:r>
      <w:r w:rsidR="00DE2C5E" w:rsidRPr="00E019A9">
        <w:rPr>
          <w:sz w:val="20"/>
          <w:szCs w:val="20"/>
          <w:lang w:val="es-ES"/>
        </w:rPr>
        <w:t>máximo, medio o mínimo, dependiendo de la redacción del tipo penal concreto</w:t>
      </w:r>
      <w:r w:rsidR="00352CCC" w:rsidRPr="00E019A9">
        <w:rPr>
          <w:sz w:val="20"/>
          <w:szCs w:val="20"/>
          <w:lang w:val="es-ES"/>
        </w:rPr>
        <w:t xml:space="preserve">. Conforme las reglas de los artículos </w:t>
      </w:r>
      <w:r w:rsidR="00DE2C5E" w:rsidRPr="00E019A9">
        <w:rPr>
          <w:sz w:val="20"/>
          <w:szCs w:val="20"/>
          <w:lang w:val="es-ES"/>
        </w:rPr>
        <w:t xml:space="preserve">65 a 68, la existencia de una circunstancia atenuante como lo es, por ejemplo, la media prescripción, tiene como efecto </w:t>
      </w:r>
      <w:r w:rsidR="00D20969" w:rsidRPr="00E019A9">
        <w:rPr>
          <w:sz w:val="20"/>
          <w:szCs w:val="20"/>
          <w:lang w:val="es-ES"/>
        </w:rPr>
        <w:t>una disminución en los grados de la pena</w:t>
      </w:r>
      <w:r w:rsidR="00DE2C5E" w:rsidRPr="00E019A9">
        <w:rPr>
          <w:sz w:val="20"/>
          <w:szCs w:val="20"/>
          <w:lang w:val="es-ES"/>
        </w:rPr>
        <w:t xml:space="preserve">. Finalmente, una vez </w:t>
      </w:r>
      <w:r w:rsidR="00D20969" w:rsidRPr="00E019A9">
        <w:rPr>
          <w:sz w:val="20"/>
          <w:szCs w:val="20"/>
          <w:lang w:val="es-ES"/>
        </w:rPr>
        <w:t xml:space="preserve">incluidas </w:t>
      </w:r>
      <w:r w:rsidR="00DE2C5E" w:rsidRPr="00E019A9">
        <w:rPr>
          <w:sz w:val="20"/>
          <w:szCs w:val="20"/>
          <w:lang w:val="es-ES"/>
        </w:rPr>
        <w:t xml:space="preserve">todas las circunstancias atenuantes y agravantes </w:t>
      </w:r>
      <w:r w:rsidR="00D20969" w:rsidRPr="00E019A9">
        <w:rPr>
          <w:sz w:val="20"/>
          <w:szCs w:val="20"/>
          <w:lang w:val="es-ES"/>
        </w:rPr>
        <w:t xml:space="preserve">que concurran en el caso </w:t>
      </w:r>
      <w:r w:rsidR="00DE2C5E" w:rsidRPr="00E019A9">
        <w:rPr>
          <w:sz w:val="20"/>
          <w:szCs w:val="20"/>
          <w:lang w:val="es-ES"/>
        </w:rPr>
        <w:t>y que se fij</w:t>
      </w:r>
      <w:r w:rsidR="00D20969" w:rsidRPr="00E019A9">
        <w:rPr>
          <w:sz w:val="20"/>
          <w:szCs w:val="20"/>
          <w:lang w:val="es-ES"/>
        </w:rPr>
        <w:t>a</w:t>
      </w:r>
      <w:r w:rsidR="00DE2C5E" w:rsidRPr="00E019A9">
        <w:rPr>
          <w:sz w:val="20"/>
          <w:szCs w:val="20"/>
          <w:lang w:val="es-ES"/>
        </w:rPr>
        <w:t xml:space="preserve"> la pena y el grado aplicable, el tribunal, de acuerdo con el </w:t>
      </w:r>
      <w:r w:rsidR="002A4062" w:rsidRPr="00E019A9">
        <w:rPr>
          <w:sz w:val="20"/>
          <w:szCs w:val="20"/>
          <w:lang w:val="es-ES"/>
        </w:rPr>
        <w:t>artículo</w:t>
      </w:r>
      <w:r w:rsidR="00DE2C5E" w:rsidRPr="00E019A9">
        <w:rPr>
          <w:sz w:val="20"/>
          <w:szCs w:val="20"/>
          <w:lang w:val="es-ES"/>
        </w:rPr>
        <w:t xml:space="preserve"> 69 del Código Penal, </w:t>
      </w:r>
      <w:r w:rsidR="00D20969" w:rsidRPr="00E019A9">
        <w:rPr>
          <w:sz w:val="20"/>
          <w:szCs w:val="20"/>
          <w:lang w:val="es-ES"/>
        </w:rPr>
        <w:t>individualiza</w:t>
      </w:r>
      <w:r w:rsidR="00DE2C5E" w:rsidRPr="00E019A9">
        <w:rPr>
          <w:sz w:val="20"/>
          <w:szCs w:val="20"/>
          <w:lang w:val="es-ES"/>
        </w:rPr>
        <w:t xml:space="preserve">, dentro de los </w:t>
      </w:r>
      <w:r w:rsidR="002A4062" w:rsidRPr="00E019A9">
        <w:rPr>
          <w:sz w:val="20"/>
          <w:szCs w:val="20"/>
          <w:lang w:val="es-ES"/>
        </w:rPr>
        <w:t>límites</w:t>
      </w:r>
      <w:r w:rsidR="00DE2C5E" w:rsidRPr="00E019A9">
        <w:rPr>
          <w:sz w:val="20"/>
          <w:szCs w:val="20"/>
          <w:lang w:val="es-ES"/>
        </w:rPr>
        <w:t xml:space="preserve"> de cada grado, la cuantía de la </w:t>
      </w:r>
      <w:r w:rsidR="00D20969" w:rsidRPr="00E019A9">
        <w:rPr>
          <w:sz w:val="20"/>
          <w:szCs w:val="20"/>
          <w:lang w:val="es-ES"/>
        </w:rPr>
        <w:t>sanción penal.</w:t>
      </w:r>
      <w:r w:rsidR="00DE2C5E" w:rsidRPr="00E019A9">
        <w:rPr>
          <w:sz w:val="20"/>
          <w:szCs w:val="20"/>
          <w:lang w:val="es-ES"/>
        </w:rPr>
        <w:t xml:space="preserve">   </w:t>
      </w:r>
    </w:p>
    <w:p w14:paraId="0C2796E1" w14:textId="77777777" w:rsidR="00DE2C5E" w:rsidRPr="00E019A9" w:rsidRDefault="00DE2C5E" w:rsidP="00AC1CA8">
      <w:pPr>
        <w:pStyle w:val="ListParagraph"/>
        <w:tabs>
          <w:tab w:val="left" w:pos="567"/>
        </w:tabs>
        <w:rPr>
          <w:sz w:val="20"/>
          <w:szCs w:val="20"/>
          <w:lang w:val="es-ES"/>
        </w:rPr>
      </w:pPr>
    </w:p>
    <w:p w14:paraId="65D3DC06" w14:textId="77777777" w:rsidR="00A77A40" w:rsidRPr="00E019A9" w:rsidRDefault="008F40D8" w:rsidP="00BB60A6">
      <w:pPr>
        <w:pStyle w:val="ListParagraph"/>
        <w:numPr>
          <w:ilvl w:val="0"/>
          <w:numId w:val="58"/>
        </w:numPr>
        <w:tabs>
          <w:tab w:val="left" w:pos="567"/>
        </w:tabs>
        <w:ind w:left="0" w:firstLine="0"/>
        <w:jc w:val="both"/>
        <w:rPr>
          <w:sz w:val="20"/>
          <w:szCs w:val="20"/>
          <w:lang w:val="es-ES"/>
        </w:rPr>
      </w:pPr>
      <w:r w:rsidRPr="00E019A9">
        <w:rPr>
          <w:sz w:val="20"/>
          <w:szCs w:val="20"/>
          <w:lang w:val="es-ES"/>
        </w:rPr>
        <w:t xml:space="preserve">En la totalidad de los casos que componen este informe, </w:t>
      </w:r>
      <w:r w:rsidR="005371A1" w:rsidRPr="00E019A9">
        <w:rPr>
          <w:sz w:val="20"/>
          <w:szCs w:val="20"/>
          <w:lang w:val="es-ES"/>
        </w:rPr>
        <w:t>como resultado de</w:t>
      </w:r>
      <w:r w:rsidRPr="00E019A9">
        <w:rPr>
          <w:sz w:val="20"/>
          <w:szCs w:val="20"/>
          <w:lang w:val="es-ES"/>
        </w:rPr>
        <w:t xml:space="preserve"> la decisión de la Corte Suprema de Justicia de considerar aplicable la media prescripción arrojó como efecto concreto </w:t>
      </w:r>
      <w:r w:rsidR="00FD35DB" w:rsidRPr="00E019A9">
        <w:rPr>
          <w:sz w:val="20"/>
          <w:szCs w:val="20"/>
          <w:lang w:val="es-ES"/>
        </w:rPr>
        <w:t xml:space="preserve">una sensible </w:t>
      </w:r>
      <w:r w:rsidRPr="00E019A9">
        <w:rPr>
          <w:sz w:val="20"/>
          <w:szCs w:val="20"/>
          <w:lang w:val="es-ES"/>
        </w:rPr>
        <w:t xml:space="preserve">disminución en el monto de </w:t>
      </w:r>
      <w:r w:rsidR="00FD35DB" w:rsidRPr="00E019A9">
        <w:rPr>
          <w:sz w:val="20"/>
          <w:szCs w:val="20"/>
          <w:lang w:val="es-ES"/>
        </w:rPr>
        <w:t xml:space="preserve">la </w:t>
      </w:r>
      <w:r w:rsidRPr="00E019A9">
        <w:rPr>
          <w:sz w:val="20"/>
          <w:szCs w:val="20"/>
          <w:lang w:val="es-ES"/>
        </w:rPr>
        <w:t xml:space="preserve">pena de prisión </w:t>
      </w:r>
      <w:r w:rsidR="00AC1F90" w:rsidRPr="00E019A9">
        <w:rPr>
          <w:sz w:val="20"/>
          <w:szCs w:val="20"/>
          <w:lang w:val="es-ES"/>
        </w:rPr>
        <w:t xml:space="preserve">impuesta </w:t>
      </w:r>
      <w:r w:rsidR="00D20969" w:rsidRPr="00E019A9">
        <w:rPr>
          <w:sz w:val="20"/>
          <w:szCs w:val="20"/>
          <w:lang w:val="es-ES"/>
        </w:rPr>
        <w:t xml:space="preserve">a cada uno de los condenados </w:t>
      </w:r>
      <w:r w:rsidR="00FD35DB" w:rsidRPr="00E019A9">
        <w:rPr>
          <w:sz w:val="20"/>
          <w:szCs w:val="20"/>
          <w:lang w:val="es-ES"/>
        </w:rPr>
        <w:t>en las instancias judiciales inferiores</w:t>
      </w:r>
      <w:r w:rsidRPr="00E019A9">
        <w:rPr>
          <w:sz w:val="20"/>
          <w:szCs w:val="20"/>
          <w:lang w:val="es-ES"/>
        </w:rPr>
        <w:t xml:space="preserve">. </w:t>
      </w:r>
    </w:p>
    <w:p w14:paraId="0BACCB6B" w14:textId="77777777" w:rsidR="00A77A40" w:rsidRPr="00E019A9" w:rsidRDefault="00A77A40" w:rsidP="00A77A40">
      <w:pPr>
        <w:pStyle w:val="ListParagraph"/>
        <w:rPr>
          <w:sz w:val="20"/>
          <w:szCs w:val="20"/>
          <w:lang w:val="es-ES"/>
        </w:rPr>
      </w:pPr>
    </w:p>
    <w:p w14:paraId="7F04774C" w14:textId="77777777" w:rsidR="00DE2C5E" w:rsidRPr="00E019A9" w:rsidRDefault="000F7BEC" w:rsidP="00BB60A6">
      <w:pPr>
        <w:pStyle w:val="ListParagraph"/>
        <w:numPr>
          <w:ilvl w:val="0"/>
          <w:numId w:val="58"/>
        </w:numPr>
        <w:tabs>
          <w:tab w:val="left" w:pos="567"/>
        </w:tabs>
        <w:ind w:left="0" w:firstLine="0"/>
        <w:jc w:val="both"/>
        <w:rPr>
          <w:sz w:val="20"/>
          <w:szCs w:val="20"/>
          <w:lang w:val="es-ES"/>
        </w:rPr>
      </w:pPr>
      <w:r w:rsidRPr="00E019A9">
        <w:rPr>
          <w:sz w:val="20"/>
          <w:szCs w:val="20"/>
          <w:lang w:val="es-ES"/>
        </w:rPr>
        <w:t xml:space="preserve">A </w:t>
      </w:r>
      <w:r w:rsidR="002A4062" w:rsidRPr="00E019A9">
        <w:rPr>
          <w:sz w:val="20"/>
          <w:szCs w:val="20"/>
          <w:lang w:val="es-ES"/>
        </w:rPr>
        <w:t>título</w:t>
      </w:r>
      <w:r w:rsidRPr="00E019A9">
        <w:rPr>
          <w:sz w:val="20"/>
          <w:szCs w:val="20"/>
          <w:lang w:val="es-ES"/>
        </w:rPr>
        <w:t xml:space="preserve"> ejemplificativo</w:t>
      </w:r>
      <w:r w:rsidR="008F40D8" w:rsidRPr="00E019A9">
        <w:rPr>
          <w:sz w:val="20"/>
          <w:szCs w:val="20"/>
          <w:lang w:val="es-ES"/>
        </w:rPr>
        <w:t xml:space="preserve">, en la petición </w:t>
      </w:r>
      <w:r w:rsidR="00A77A40" w:rsidRPr="00E019A9">
        <w:rPr>
          <w:sz w:val="20"/>
          <w:szCs w:val="20"/>
          <w:lang w:val="es-ES"/>
        </w:rPr>
        <w:t xml:space="preserve">inicialmente </w:t>
      </w:r>
      <w:r w:rsidR="008F40D8" w:rsidRPr="00E019A9">
        <w:rPr>
          <w:sz w:val="20"/>
          <w:szCs w:val="20"/>
          <w:lang w:val="es-ES"/>
        </w:rPr>
        <w:t xml:space="preserve">identificada con el </w:t>
      </w:r>
      <w:r w:rsidR="002A4062" w:rsidRPr="00E019A9">
        <w:rPr>
          <w:sz w:val="20"/>
          <w:szCs w:val="20"/>
          <w:lang w:val="es-ES"/>
        </w:rPr>
        <w:t>número</w:t>
      </w:r>
      <w:r w:rsidR="008F40D8" w:rsidRPr="00E019A9">
        <w:rPr>
          <w:sz w:val="20"/>
          <w:szCs w:val="20"/>
          <w:lang w:val="es-ES"/>
        </w:rPr>
        <w:t xml:space="preserve"> </w:t>
      </w:r>
      <w:r w:rsidR="00A77A40" w:rsidRPr="00E019A9">
        <w:rPr>
          <w:sz w:val="20"/>
          <w:szCs w:val="20"/>
          <w:lang w:val="es-ES"/>
        </w:rPr>
        <w:t>798-09</w:t>
      </w:r>
      <w:r w:rsidRPr="00E019A9">
        <w:rPr>
          <w:sz w:val="20"/>
          <w:szCs w:val="20"/>
          <w:lang w:val="es-ES"/>
        </w:rPr>
        <w:t xml:space="preserve">, </w:t>
      </w:r>
      <w:r w:rsidR="008F40D8" w:rsidRPr="00E019A9">
        <w:rPr>
          <w:sz w:val="20"/>
          <w:szCs w:val="20"/>
          <w:lang w:val="es-ES"/>
        </w:rPr>
        <w:t xml:space="preserve">la sentencia de primera instancia </w:t>
      </w:r>
      <w:r w:rsidRPr="00E019A9">
        <w:rPr>
          <w:sz w:val="20"/>
          <w:szCs w:val="20"/>
          <w:lang w:val="es-ES"/>
        </w:rPr>
        <w:t xml:space="preserve">impuso al ex Director Ejecutivo de la DINA la pena de 15 años de presidio mayor en su grado medio por el secuestro calificado de las </w:t>
      </w:r>
      <w:r w:rsidR="002A4062" w:rsidRPr="00E019A9">
        <w:rPr>
          <w:sz w:val="20"/>
          <w:szCs w:val="20"/>
          <w:lang w:val="es-ES"/>
        </w:rPr>
        <w:t>víctimas</w:t>
      </w:r>
      <w:r w:rsidRPr="00E019A9">
        <w:rPr>
          <w:sz w:val="20"/>
          <w:szCs w:val="20"/>
          <w:lang w:val="es-ES"/>
        </w:rPr>
        <w:t xml:space="preserve">, pero que, en virtud de la aplicación de la figura de la media prescripción, dicha pena fue disminuida por la Corte Suprema a 7 años de presidio mayor en su grado mínimo. </w:t>
      </w:r>
      <w:r w:rsidR="005E0DA4" w:rsidRPr="00E019A9">
        <w:rPr>
          <w:sz w:val="20"/>
          <w:szCs w:val="20"/>
          <w:lang w:val="es-ES"/>
        </w:rPr>
        <w:t xml:space="preserve">Idéntica </w:t>
      </w:r>
      <w:r w:rsidRPr="00E019A9">
        <w:rPr>
          <w:sz w:val="20"/>
          <w:szCs w:val="20"/>
          <w:lang w:val="es-ES"/>
        </w:rPr>
        <w:t>situación ocurrió con otros sentenciados en esta causa, quienes también vieron</w:t>
      </w:r>
      <w:r w:rsidR="004C75FB" w:rsidRPr="00E019A9">
        <w:rPr>
          <w:sz w:val="20"/>
          <w:szCs w:val="20"/>
          <w:lang w:val="es-ES"/>
        </w:rPr>
        <w:t xml:space="preserve"> que sus sentencias a prisión fueron sensiblemente disminuidas. </w:t>
      </w:r>
      <w:r w:rsidRPr="00E019A9">
        <w:rPr>
          <w:sz w:val="20"/>
          <w:szCs w:val="20"/>
          <w:lang w:val="es-ES"/>
        </w:rPr>
        <w:t xml:space="preserve">(ver </w:t>
      </w:r>
      <w:r w:rsidRPr="00E019A9">
        <w:rPr>
          <w:i/>
          <w:sz w:val="20"/>
          <w:szCs w:val="20"/>
          <w:lang w:val="es-ES"/>
        </w:rPr>
        <w:t xml:space="preserve">supra </w:t>
      </w:r>
      <w:r w:rsidRPr="00E019A9">
        <w:rPr>
          <w:sz w:val="20"/>
          <w:szCs w:val="20"/>
          <w:lang w:val="es-ES"/>
        </w:rPr>
        <w:t>parr</w:t>
      </w:r>
      <w:r w:rsidR="007B53E3" w:rsidRPr="00E019A9">
        <w:rPr>
          <w:sz w:val="20"/>
          <w:szCs w:val="20"/>
          <w:lang w:val="es-ES"/>
        </w:rPr>
        <w:t>s. 152 a 156</w:t>
      </w:r>
      <w:r w:rsidRPr="00E019A9">
        <w:rPr>
          <w:sz w:val="20"/>
          <w:szCs w:val="20"/>
          <w:lang w:val="es-ES"/>
        </w:rPr>
        <w:t xml:space="preserve">)  </w:t>
      </w:r>
    </w:p>
    <w:p w14:paraId="69619DFC" w14:textId="77777777" w:rsidR="00A77A40" w:rsidRPr="00E019A9" w:rsidRDefault="00A77A40" w:rsidP="00A77A40">
      <w:pPr>
        <w:pStyle w:val="ListParagraph"/>
        <w:rPr>
          <w:sz w:val="20"/>
          <w:szCs w:val="20"/>
          <w:lang w:val="es-ES"/>
        </w:rPr>
      </w:pPr>
    </w:p>
    <w:p w14:paraId="60F6C4A8" w14:textId="77777777" w:rsidR="009049E4" w:rsidRPr="00E019A9" w:rsidRDefault="00A77A40" w:rsidP="00BB60A6">
      <w:pPr>
        <w:pStyle w:val="ListParagraph"/>
        <w:numPr>
          <w:ilvl w:val="0"/>
          <w:numId w:val="58"/>
        </w:numPr>
        <w:tabs>
          <w:tab w:val="left" w:pos="567"/>
        </w:tabs>
        <w:ind w:left="0" w:firstLine="0"/>
        <w:jc w:val="both"/>
        <w:rPr>
          <w:sz w:val="20"/>
          <w:szCs w:val="20"/>
          <w:lang w:val="es-ES"/>
        </w:rPr>
      </w:pPr>
      <w:r w:rsidRPr="00E019A9">
        <w:rPr>
          <w:sz w:val="20"/>
          <w:szCs w:val="20"/>
          <w:lang w:val="es-ES"/>
        </w:rPr>
        <w:t xml:space="preserve">Un segundo ejemplo </w:t>
      </w:r>
      <w:r w:rsidR="009049E4" w:rsidRPr="00E019A9">
        <w:rPr>
          <w:sz w:val="20"/>
          <w:szCs w:val="20"/>
          <w:lang w:val="es-ES"/>
        </w:rPr>
        <w:t>es</w:t>
      </w:r>
      <w:r w:rsidRPr="00E019A9">
        <w:rPr>
          <w:sz w:val="20"/>
          <w:szCs w:val="20"/>
          <w:lang w:val="es-ES"/>
        </w:rPr>
        <w:t xml:space="preserve"> la petición inicialmente identificada con el </w:t>
      </w:r>
      <w:r w:rsidR="002A4062" w:rsidRPr="00E019A9">
        <w:rPr>
          <w:sz w:val="20"/>
          <w:szCs w:val="20"/>
          <w:lang w:val="es-ES"/>
        </w:rPr>
        <w:t>número</w:t>
      </w:r>
      <w:r w:rsidRPr="00E019A9">
        <w:rPr>
          <w:sz w:val="20"/>
          <w:szCs w:val="20"/>
          <w:lang w:val="es-ES"/>
        </w:rPr>
        <w:t xml:space="preserve"> 759-08, la cual involucra </w:t>
      </w:r>
      <w:r w:rsidR="003E1315" w:rsidRPr="00E019A9">
        <w:rPr>
          <w:sz w:val="20"/>
          <w:szCs w:val="20"/>
          <w:lang w:val="es-ES"/>
        </w:rPr>
        <w:t>un total de 24 v</w:t>
      </w:r>
      <w:r w:rsidR="009049E4" w:rsidRPr="00E019A9">
        <w:rPr>
          <w:sz w:val="20"/>
          <w:szCs w:val="20"/>
          <w:lang w:val="es-ES"/>
        </w:rPr>
        <w:t>í</w:t>
      </w:r>
      <w:r w:rsidR="003E1315" w:rsidRPr="00E019A9">
        <w:rPr>
          <w:sz w:val="20"/>
          <w:szCs w:val="20"/>
          <w:lang w:val="es-ES"/>
        </w:rPr>
        <w:t>ctimas</w:t>
      </w:r>
      <w:r w:rsidRPr="00E019A9">
        <w:rPr>
          <w:sz w:val="20"/>
          <w:szCs w:val="20"/>
          <w:lang w:val="es-ES"/>
        </w:rPr>
        <w:t>, todas ellas objeto de desaparición forzada en ocasión de la actuación de las Fuerzas Armadas en la localidad de Parral durante los días y semanas posteriores al 11 de septiembre de 1973. En este caso, en la sentencia de primera instancia el</w:t>
      </w:r>
      <w:r w:rsidRPr="00E019A9">
        <w:rPr>
          <w:sz w:val="20"/>
          <w:szCs w:val="20"/>
          <w:lang w:val="es-ES_tradnl"/>
        </w:rPr>
        <w:t xml:space="preserve"> Coronel (R) del Ejercito Hugo Alfredo Cardemil Valenzuela fue condenado a la pena de 17 años de presidio mayor en su grado máximo por un delito de sustracción de menor y 17 delitos de secuestro calificado. </w:t>
      </w:r>
      <w:r w:rsidR="003E1315" w:rsidRPr="00E019A9">
        <w:rPr>
          <w:sz w:val="20"/>
          <w:szCs w:val="20"/>
          <w:lang w:val="es-ES_tradnl"/>
        </w:rPr>
        <w:t xml:space="preserve">Sin embargo, la Corte Suprema decidió considerar aplicable las circunstancias atenuantes de media prescripción e irreprochable conducta previa y fijó en 5 años de presidio menor en su grado máximo la condena. (ver </w:t>
      </w:r>
      <w:r w:rsidR="003E1315" w:rsidRPr="00E019A9">
        <w:rPr>
          <w:i/>
          <w:sz w:val="20"/>
          <w:szCs w:val="20"/>
          <w:lang w:val="es-ES_tradnl"/>
        </w:rPr>
        <w:t>supra</w:t>
      </w:r>
      <w:r w:rsidR="003E1315" w:rsidRPr="00E019A9">
        <w:rPr>
          <w:sz w:val="20"/>
          <w:szCs w:val="20"/>
          <w:lang w:val="es-ES_tradnl"/>
        </w:rPr>
        <w:t xml:space="preserve"> </w:t>
      </w:r>
      <w:r w:rsidR="00580A34" w:rsidRPr="00E019A9">
        <w:rPr>
          <w:sz w:val="20"/>
          <w:szCs w:val="20"/>
          <w:lang w:val="es-ES_tradnl"/>
        </w:rPr>
        <w:t>párr.</w:t>
      </w:r>
      <w:r w:rsidR="007B53E3" w:rsidRPr="00E019A9">
        <w:rPr>
          <w:sz w:val="20"/>
          <w:szCs w:val="20"/>
          <w:lang w:val="es-ES_tradnl"/>
        </w:rPr>
        <w:t xml:space="preserve"> 132 a 135</w:t>
      </w:r>
      <w:r w:rsidR="003E1315" w:rsidRPr="00E019A9">
        <w:rPr>
          <w:sz w:val="20"/>
          <w:szCs w:val="20"/>
          <w:lang w:val="es-ES_tradnl"/>
        </w:rPr>
        <w:t>)</w:t>
      </w:r>
      <w:r w:rsidR="009049E4" w:rsidRPr="00E019A9">
        <w:rPr>
          <w:sz w:val="20"/>
          <w:szCs w:val="20"/>
          <w:lang w:val="es-ES_tradnl"/>
        </w:rPr>
        <w:t>.</w:t>
      </w:r>
    </w:p>
    <w:p w14:paraId="75E34163" w14:textId="77777777" w:rsidR="009049E4" w:rsidRPr="00E019A9" w:rsidRDefault="009049E4" w:rsidP="001D321F">
      <w:pPr>
        <w:pStyle w:val="ListParagraph"/>
        <w:rPr>
          <w:sz w:val="20"/>
          <w:szCs w:val="20"/>
          <w:lang w:val="es-ES_tradnl"/>
        </w:rPr>
      </w:pPr>
    </w:p>
    <w:p w14:paraId="2A50636F" w14:textId="77777777" w:rsidR="00A46581" w:rsidRPr="00E019A9" w:rsidRDefault="00A46581" w:rsidP="00BB60A6">
      <w:pPr>
        <w:pStyle w:val="ListParagraph"/>
        <w:numPr>
          <w:ilvl w:val="0"/>
          <w:numId w:val="58"/>
        </w:numPr>
        <w:tabs>
          <w:tab w:val="left" w:pos="567"/>
        </w:tabs>
        <w:ind w:left="0" w:firstLine="0"/>
        <w:jc w:val="both"/>
        <w:rPr>
          <w:sz w:val="20"/>
          <w:szCs w:val="20"/>
          <w:lang w:val="es-ES"/>
        </w:rPr>
      </w:pPr>
      <w:r w:rsidRPr="00E019A9">
        <w:rPr>
          <w:sz w:val="20"/>
          <w:szCs w:val="20"/>
          <w:lang w:val="es-ES_tradnl"/>
        </w:rPr>
        <w:t xml:space="preserve">La Comisión nota que, conforme la redacción vigente al momento de los hechos, el delito de secuestro calificado era penado con presidio mayor en cualquiera de sus grados, lo cual, conforme la tabla demostrativa del </w:t>
      </w:r>
      <w:r w:rsidR="002A4062" w:rsidRPr="00E019A9">
        <w:rPr>
          <w:sz w:val="20"/>
          <w:szCs w:val="20"/>
          <w:lang w:val="es-ES_tradnl"/>
        </w:rPr>
        <w:t>artículo</w:t>
      </w:r>
      <w:r w:rsidRPr="00E019A9">
        <w:rPr>
          <w:sz w:val="20"/>
          <w:szCs w:val="20"/>
          <w:lang w:val="es-ES_tradnl"/>
        </w:rPr>
        <w:t xml:space="preserve"> 56 del Código Penal, habilitaba a los magistrados a imponer una pena privativa de la libertad que podía ir de 5 años y 1 día a 20 años. Asimismo, en el caso del tipo penal de homicidio calificado, la escala penal al momento de los hechos era de presidio mayor en su grado medio a presidio perpetuo, es decir, de 10 años y un día a prisión perpetua. En ninguno de los casos resueltos por la Corte Suprema y reseñados en el apartado III.B, la pena privativa de la libertad impuesta a los responsables superó el mínimo legal previsto en el Código Penal para los delitos de homicidio calificado y secuestro calificado. Conforme se desprende de las respectivas sentencias, ello se debió al hecho de haber aplicado la circunstancia atenuante de media prescripción, la cual, conforme las reglas de los artículos 68 y 103 del mismo texto, permitió a los magistrados disminuir los grados de la pena. </w:t>
      </w:r>
    </w:p>
    <w:p w14:paraId="69036586" w14:textId="77777777" w:rsidR="00A46581" w:rsidRPr="00E019A9" w:rsidRDefault="00A46581" w:rsidP="001D321F">
      <w:pPr>
        <w:rPr>
          <w:sz w:val="20"/>
          <w:szCs w:val="20"/>
          <w:lang w:val="es-ES_tradnl"/>
        </w:rPr>
      </w:pPr>
    </w:p>
    <w:p w14:paraId="425ABB78" w14:textId="77777777" w:rsidR="009049E4" w:rsidRPr="00E019A9" w:rsidRDefault="009049E4" w:rsidP="00BB60A6">
      <w:pPr>
        <w:pStyle w:val="ListParagraph"/>
        <w:numPr>
          <w:ilvl w:val="0"/>
          <w:numId w:val="58"/>
        </w:numPr>
        <w:tabs>
          <w:tab w:val="left" w:pos="567"/>
        </w:tabs>
        <w:ind w:left="0" w:firstLine="0"/>
        <w:jc w:val="both"/>
        <w:rPr>
          <w:sz w:val="20"/>
          <w:szCs w:val="20"/>
          <w:lang w:val="es-ES"/>
        </w:rPr>
      </w:pPr>
      <w:r w:rsidRPr="00E019A9">
        <w:rPr>
          <w:sz w:val="20"/>
          <w:szCs w:val="20"/>
          <w:lang w:val="es-ES_tradnl"/>
        </w:rPr>
        <w:t xml:space="preserve">La Comisión </w:t>
      </w:r>
      <w:r w:rsidR="001A52A7" w:rsidRPr="00E019A9">
        <w:rPr>
          <w:sz w:val="20"/>
          <w:szCs w:val="20"/>
          <w:lang w:val="es-ES_tradnl"/>
        </w:rPr>
        <w:t>nota,</w:t>
      </w:r>
      <w:r w:rsidRPr="00E019A9">
        <w:rPr>
          <w:sz w:val="20"/>
          <w:szCs w:val="20"/>
          <w:lang w:val="es-ES_tradnl"/>
        </w:rPr>
        <w:t xml:space="preserve"> asimismo, </w:t>
      </w:r>
      <w:r w:rsidR="001A52A7" w:rsidRPr="00E019A9">
        <w:rPr>
          <w:sz w:val="20"/>
          <w:szCs w:val="20"/>
          <w:lang w:val="es-ES_tradnl"/>
        </w:rPr>
        <w:t>que,</w:t>
      </w:r>
      <w:r w:rsidRPr="00E019A9">
        <w:rPr>
          <w:sz w:val="20"/>
          <w:szCs w:val="20"/>
          <w:lang w:val="es-ES_tradnl"/>
        </w:rPr>
        <w:t xml:space="preserve"> como resultado de </w:t>
      </w:r>
      <w:r w:rsidR="001A52A7" w:rsidRPr="00E019A9">
        <w:rPr>
          <w:sz w:val="20"/>
          <w:szCs w:val="20"/>
          <w:lang w:val="es-ES_tradnl"/>
        </w:rPr>
        <w:t>atenuación de la pena por aplicación de la figura de la media prescripción</w:t>
      </w:r>
      <w:r w:rsidRPr="00E019A9">
        <w:rPr>
          <w:sz w:val="20"/>
          <w:szCs w:val="20"/>
          <w:lang w:val="es-ES_tradnl"/>
        </w:rPr>
        <w:t>, la Corte Suprema otorgó en varios casos, los beneficios de remisión condicional de la pena y de libertad vigilada</w:t>
      </w:r>
      <w:r w:rsidR="001A52A7" w:rsidRPr="00E019A9">
        <w:rPr>
          <w:sz w:val="20"/>
          <w:szCs w:val="20"/>
          <w:lang w:val="es-ES_tradnl"/>
        </w:rPr>
        <w:t>, de manera tal que los responsables de los hechos delictivos no fueron encarcelados (</w:t>
      </w:r>
      <w:r w:rsidRPr="00E019A9">
        <w:rPr>
          <w:sz w:val="20"/>
          <w:szCs w:val="20"/>
          <w:lang w:val="es-ES_tradnl"/>
        </w:rPr>
        <w:t xml:space="preserve">ver </w:t>
      </w:r>
      <w:r w:rsidRPr="00E019A9">
        <w:rPr>
          <w:i/>
          <w:sz w:val="20"/>
          <w:szCs w:val="20"/>
          <w:lang w:val="es-ES_tradnl"/>
        </w:rPr>
        <w:t>supra</w:t>
      </w:r>
      <w:r w:rsidRPr="00E019A9">
        <w:rPr>
          <w:sz w:val="20"/>
          <w:szCs w:val="20"/>
          <w:lang w:val="es-ES_tradnl"/>
        </w:rPr>
        <w:t xml:space="preserve"> </w:t>
      </w:r>
      <w:r w:rsidR="001A52A7" w:rsidRPr="00E019A9">
        <w:rPr>
          <w:sz w:val="20"/>
          <w:szCs w:val="20"/>
          <w:lang w:val="es-ES_tradnl"/>
        </w:rPr>
        <w:t>Párrs</w:t>
      </w:r>
      <w:r w:rsidRPr="00E019A9">
        <w:rPr>
          <w:sz w:val="20"/>
          <w:szCs w:val="20"/>
          <w:lang w:val="es-ES_tradnl"/>
        </w:rPr>
        <w:t>.</w:t>
      </w:r>
      <w:r w:rsidR="001A52A7" w:rsidRPr="00E019A9">
        <w:rPr>
          <w:sz w:val="20"/>
          <w:szCs w:val="20"/>
          <w:lang w:val="es-ES_tradnl"/>
        </w:rPr>
        <w:t xml:space="preserve"> 117, 135, 141, 156, 162, 172, 185, 209, 217, 229, 240 y 250) </w:t>
      </w:r>
    </w:p>
    <w:p w14:paraId="2DD6B2C0" w14:textId="77777777" w:rsidR="003E1315" w:rsidRPr="00E019A9" w:rsidRDefault="003E1315" w:rsidP="003E1315">
      <w:pPr>
        <w:pStyle w:val="ListParagraph"/>
        <w:tabs>
          <w:tab w:val="left" w:pos="567"/>
        </w:tabs>
        <w:ind w:left="0"/>
        <w:jc w:val="both"/>
        <w:rPr>
          <w:sz w:val="20"/>
          <w:szCs w:val="20"/>
          <w:lang w:val="es-ES"/>
        </w:rPr>
      </w:pPr>
    </w:p>
    <w:p w14:paraId="20944685" w14:textId="1883553C" w:rsidR="00500314" w:rsidRPr="00E019A9" w:rsidRDefault="003E1315" w:rsidP="00BB60A6">
      <w:pPr>
        <w:pStyle w:val="ListParagraph"/>
        <w:numPr>
          <w:ilvl w:val="0"/>
          <w:numId w:val="58"/>
        </w:numPr>
        <w:tabs>
          <w:tab w:val="left" w:pos="567"/>
        </w:tabs>
        <w:ind w:left="0" w:firstLine="0"/>
        <w:jc w:val="both"/>
        <w:rPr>
          <w:sz w:val="20"/>
          <w:szCs w:val="20"/>
          <w:lang w:val="es-ES"/>
        </w:rPr>
      </w:pPr>
      <w:r w:rsidRPr="00E019A9">
        <w:rPr>
          <w:sz w:val="20"/>
          <w:szCs w:val="20"/>
          <w:lang w:val="es-ES"/>
        </w:rPr>
        <w:t>En función de los hechos reseñados en el apartado III.A de este informe, l</w:t>
      </w:r>
      <w:r w:rsidR="00500314" w:rsidRPr="00E019A9">
        <w:rPr>
          <w:sz w:val="20"/>
          <w:szCs w:val="20"/>
          <w:lang w:val="es-ES"/>
        </w:rPr>
        <w:t>a CIDH entiende que</w:t>
      </w:r>
      <w:r w:rsidR="00A31E50" w:rsidRPr="00E019A9">
        <w:rPr>
          <w:sz w:val="20"/>
          <w:szCs w:val="20"/>
          <w:lang w:val="es-ES"/>
        </w:rPr>
        <w:t xml:space="preserve"> los delitos cometidos contra las v</w:t>
      </w:r>
      <w:r w:rsidR="009049E4" w:rsidRPr="00E019A9">
        <w:rPr>
          <w:sz w:val="20"/>
          <w:szCs w:val="20"/>
          <w:lang w:val="es-ES"/>
        </w:rPr>
        <w:t>í</w:t>
      </w:r>
      <w:r w:rsidR="00A31E50" w:rsidRPr="00E019A9">
        <w:rPr>
          <w:sz w:val="20"/>
          <w:szCs w:val="20"/>
          <w:lang w:val="es-ES"/>
        </w:rPr>
        <w:t xml:space="preserve">ctimas de las </w:t>
      </w:r>
      <w:r w:rsidRPr="00E019A9">
        <w:rPr>
          <w:sz w:val="20"/>
          <w:szCs w:val="20"/>
          <w:lang w:val="es-ES"/>
        </w:rPr>
        <w:t>catorce</w:t>
      </w:r>
      <w:r w:rsidR="00A31E50" w:rsidRPr="00E019A9">
        <w:rPr>
          <w:sz w:val="20"/>
          <w:szCs w:val="20"/>
          <w:lang w:val="es-ES"/>
        </w:rPr>
        <w:t xml:space="preserve"> peticiones acumuladas en este caso constituyen crímenes de lesa humanidad y, como tal, resultan imprescriptibles </w:t>
      </w:r>
      <w:r w:rsidR="00BC6072">
        <w:rPr>
          <w:sz w:val="20"/>
          <w:szCs w:val="20"/>
          <w:lang w:val="es-ES"/>
        </w:rPr>
        <w:t>y sus autores no pueden ser beneficiados por</w:t>
      </w:r>
      <w:r w:rsidR="00A31E50" w:rsidRPr="00E019A9">
        <w:rPr>
          <w:sz w:val="20"/>
          <w:szCs w:val="20"/>
          <w:lang w:val="es-ES"/>
        </w:rPr>
        <w:t xml:space="preserve"> </w:t>
      </w:r>
      <w:r w:rsidR="009049E4" w:rsidRPr="00E019A9">
        <w:rPr>
          <w:sz w:val="20"/>
          <w:szCs w:val="20"/>
          <w:lang w:val="es-ES"/>
        </w:rPr>
        <w:t xml:space="preserve">medidas </w:t>
      </w:r>
      <w:r w:rsidR="00BC6072">
        <w:rPr>
          <w:sz w:val="20"/>
          <w:szCs w:val="20"/>
          <w:lang w:val="es-ES"/>
        </w:rPr>
        <w:t xml:space="preserve">que permitan </w:t>
      </w:r>
      <w:r w:rsidR="0032772E">
        <w:rPr>
          <w:sz w:val="20"/>
          <w:szCs w:val="20"/>
          <w:lang w:val="es-ES"/>
        </w:rPr>
        <w:t>imponer una</w:t>
      </w:r>
      <w:r w:rsidR="00BC6072">
        <w:rPr>
          <w:sz w:val="20"/>
          <w:szCs w:val="20"/>
          <w:lang w:val="es-ES"/>
        </w:rPr>
        <w:t xml:space="preserve"> sanción desproporcionadamente leve e inadecuada </w:t>
      </w:r>
      <w:r w:rsidR="009049E4" w:rsidRPr="00E019A9">
        <w:rPr>
          <w:sz w:val="20"/>
          <w:szCs w:val="20"/>
          <w:lang w:val="es-ES"/>
        </w:rPr>
        <w:t>a la gravedad de tales delitos</w:t>
      </w:r>
      <w:r w:rsidR="00A31E50" w:rsidRPr="00E019A9">
        <w:rPr>
          <w:sz w:val="20"/>
          <w:szCs w:val="20"/>
          <w:lang w:val="es-ES"/>
        </w:rPr>
        <w:t xml:space="preserve">. </w:t>
      </w:r>
    </w:p>
    <w:p w14:paraId="73621CD4" w14:textId="77777777" w:rsidR="00A31E50" w:rsidRPr="00E019A9" w:rsidRDefault="00A31E50" w:rsidP="004503BE">
      <w:pPr>
        <w:pStyle w:val="ListParagraph"/>
        <w:tabs>
          <w:tab w:val="left" w:pos="567"/>
        </w:tabs>
        <w:rPr>
          <w:sz w:val="20"/>
          <w:szCs w:val="20"/>
          <w:lang w:val="es-ES"/>
        </w:rPr>
      </w:pPr>
    </w:p>
    <w:p w14:paraId="15F8D9EB" w14:textId="77777777" w:rsidR="001A52A7" w:rsidRPr="00E019A9" w:rsidRDefault="00AC1F90" w:rsidP="001A52A7">
      <w:pPr>
        <w:pStyle w:val="ListParagraph"/>
        <w:numPr>
          <w:ilvl w:val="0"/>
          <w:numId w:val="58"/>
        </w:numPr>
        <w:tabs>
          <w:tab w:val="left" w:pos="567"/>
        </w:tabs>
        <w:ind w:left="0" w:firstLine="0"/>
        <w:jc w:val="both"/>
        <w:rPr>
          <w:sz w:val="20"/>
          <w:szCs w:val="20"/>
          <w:lang w:val="es-ES"/>
        </w:rPr>
      </w:pPr>
      <w:r w:rsidRPr="00E019A9">
        <w:rPr>
          <w:sz w:val="20"/>
          <w:szCs w:val="20"/>
          <w:lang w:val="es-ES"/>
        </w:rPr>
        <w:t xml:space="preserve">La </w:t>
      </w:r>
      <w:r w:rsidR="00E829CF" w:rsidRPr="00E019A9">
        <w:rPr>
          <w:sz w:val="20"/>
          <w:szCs w:val="20"/>
          <w:lang w:val="es-ES"/>
        </w:rPr>
        <w:t>Comisión</w:t>
      </w:r>
      <w:r w:rsidRPr="00E019A9">
        <w:rPr>
          <w:sz w:val="20"/>
          <w:szCs w:val="20"/>
          <w:lang w:val="es-ES"/>
        </w:rPr>
        <w:t xml:space="preserve"> </w:t>
      </w:r>
      <w:r w:rsidR="009049E4" w:rsidRPr="00E019A9">
        <w:rPr>
          <w:sz w:val="20"/>
          <w:szCs w:val="20"/>
          <w:lang w:val="es-ES"/>
        </w:rPr>
        <w:t xml:space="preserve">observa que el Estado no ha proporcionado una justificación que permita entender la razón por la cual la disminución de la pena sería compatible con la Convención Americana y los estándares </w:t>
      </w:r>
      <w:r w:rsidR="00634FD5" w:rsidRPr="00C570C9">
        <w:rPr>
          <w:iCs/>
          <w:sz w:val="20"/>
          <w:szCs w:val="20"/>
          <w:lang w:val="es-ES"/>
        </w:rPr>
        <w:t>anteriormente descritos</w:t>
      </w:r>
      <w:r w:rsidR="009049E4" w:rsidRPr="00C570C9">
        <w:rPr>
          <w:iCs/>
          <w:sz w:val="20"/>
          <w:szCs w:val="20"/>
          <w:lang w:val="es-ES"/>
        </w:rPr>
        <w:t xml:space="preserve"> en</w:t>
      </w:r>
      <w:r w:rsidR="009049E4" w:rsidRPr="00E019A9">
        <w:rPr>
          <w:sz w:val="20"/>
          <w:szCs w:val="20"/>
          <w:lang w:val="es-ES"/>
        </w:rPr>
        <w:t xml:space="preserve"> relación con la proporcionalidad de las sanciones. </w:t>
      </w:r>
      <w:r w:rsidR="00634FD5" w:rsidRPr="00E019A9">
        <w:rPr>
          <w:sz w:val="20"/>
          <w:szCs w:val="20"/>
          <w:lang w:val="es-ES"/>
        </w:rPr>
        <w:t>Asimismo,</w:t>
      </w:r>
      <w:r w:rsidR="009C39A9" w:rsidRPr="00E019A9">
        <w:rPr>
          <w:sz w:val="20"/>
          <w:szCs w:val="20"/>
          <w:lang w:val="es-ES"/>
        </w:rPr>
        <w:t xml:space="preserve"> la Comisión toma nota </w:t>
      </w:r>
      <w:r w:rsidR="009C39A9" w:rsidRPr="00E019A9">
        <w:rPr>
          <w:sz w:val="20"/>
          <w:szCs w:val="20"/>
          <w:lang w:val="es-ES"/>
        </w:rPr>
        <w:lastRenderedPageBreak/>
        <w:t xml:space="preserve">de la posición expresada </w:t>
      </w:r>
      <w:r w:rsidR="009C39A9" w:rsidRPr="00E019A9">
        <w:rPr>
          <w:sz w:val="20"/>
          <w:szCs w:val="20"/>
          <w:lang w:val="es-ES_tradnl"/>
        </w:rPr>
        <w:t>por el Estado en sus observaciones adi</w:t>
      </w:r>
      <w:r w:rsidR="00634FD5" w:rsidRPr="00E019A9">
        <w:rPr>
          <w:sz w:val="20"/>
          <w:szCs w:val="20"/>
          <w:lang w:val="es-ES_tradnl"/>
        </w:rPr>
        <w:t>cionales sobre el fondo recibida</w:t>
      </w:r>
      <w:r w:rsidR="009C39A9" w:rsidRPr="00E019A9">
        <w:rPr>
          <w:sz w:val="20"/>
          <w:szCs w:val="20"/>
          <w:lang w:val="es-ES_tradnl"/>
        </w:rPr>
        <w:t xml:space="preserve"> por la CIDH el 26 de octubre de 2017</w:t>
      </w:r>
      <w:r w:rsidR="00634FD5" w:rsidRPr="00E019A9">
        <w:rPr>
          <w:sz w:val="20"/>
          <w:szCs w:val="20"/>
          <w:lang w:val="es-ES_tradnl"/>
        </w:rPr>
        <w:t>, oportunidad procesal en</w:t>
      </w:r>
      <w:r w:rsidR="009C39A9" w:rsidRPr="00E019A9">
        <w:rPr>
          <w:sz w:val="20"/>
          <w:szCs w:val="20"/>
          <w:lang w:val="es-ES_tradnl"/>
        </w:rPr>
        <w:t xml:space="preserve"> </w:t>
      </w:r>
      <w:r w:rsidR="00634FD5" w:rsidRPr="00E019A9">
        <w:rPr>
          <w:sz w:val="20"/>
          <w:szCs w:val="20"/>
          <w:lang w:val="es-ES_tradnl"/>
        </w:rPr>
        <w:t>la que reconoció</w:t>
      </w:r>
      <w:r w:rsidR="009C39A9" w:rsidRPr="00E019A9">
        <w:rPr>
          <w:sz w:val="20"/>
          <w:szCs w:val="20"/>
          <w:lang w:val="es-ES_tradnl"/>
        </w:rPr>
        <w:t xml:space="preserve"> que “la aplicación por parte</w:t>
      </w:r>
      <w:r w:rsidR="00634FD5" w:rsidRPr="00E019A9">
        <w:rPr>
          <w:sz w:val="20"/>
          <w:szCs w:val="20"/>
          <w:lang w:val="es-ES_tradnl"/>
        </w:rPr>
        <w:t xml:space="preserve"> de la media prescripción afectó</w:t>
      </w:r>
      <w:r w:rsidR="009C39A9" w:rsidRPr="00E019A9">
        <w:rPr>
          <w:sz w:val="20"/>
          <w:szCs w:val="20"/>
          <w:lang w:val="es-ES_tradnl"/>
        </w:rPr>
        <w:t xml:space="preserve"> el principio de la proporcionalidad de la pena. De este modo, las sentencias que fueron dictadas en su oportunidad por la CS no se ajustaron al estándar de racionalidad y proporcionalidad que debe conducir la conducta del Estado en el desempeño de su poder punitivo en relación con los crímenes de lesa humanidad”</w:t>
      </w:r>
      <w:r w:rsidR="009C39A9" w:rsidRPr="00E019A9">
        <w:rPr>
          <w:rStyle w:val="FootnoteReference"/>
          <w:sz w:val="20"/>
          <w:szCs w:val="20"/>
          <w:lang w:val="es-ES_tradnl"/>
        </w:rPr>
        <w:footnoteReference w:id="220"/>
      </w:r>
      <w:r w:rsidR="009C39A9" w:rsidRPr="00E019A9">
        <w:rPr>
          <w:sz w:val="20"/>
          <w:szCs w:val="20"/>
          <w:lang w:val="es-ES_tradnl"/>
        </w:rPr>
        <w:t xml:space="preserve">. </w:t>
      </w:r>
    </w:p>
    <w:p w14:paraId="06CCCB3D" w14:textId="77777777" w:rsidR="001A52A7" w:rsidRPr="00E019A9" w:rsidRDefault="001A52A7" w:rsidP="001A52A7">
      <w:pPr>
        <w:pStyle w:val="ListParagraph"/>
        <w:tabs>
          <w:tab w:val="left" w:pos="567"/>
        </w:tabs>
        <w:ind w:left="0"/>
        <w:jc w:val="both"/>
        <w:rPr>
          <w:sz w:val="20"/>
          <w:szCs w:val="20"/>
          <w:lang w:val="es-ES"/>
        </w:rPr>
      </w:pPr>
    </w:p>
    <w:p w14:paraId="799DA5D8" w14:textId="471E2C2F" w:rsidR="009C39A9" w:rsidRPr="00E019A9" w:rsidRDefault="009049E4" w:rsidP="001A52A7">
      <w:pPr>
        <w:pStyle w:val="ListParagraph"/>
        <w:numPr>
          <w:ilvl w:val="0"/>
          <w:numId w:val="58"/>
        </w:numPr>
        <w:tabs>
          <w:tab w:val="left" w:pos="567"/>
        </w:tabs>
        <w:ind w:left="0" w:firstLine="0"/>
        <w:jc w:val="both"/>
        <w:rPr>
          <w:sz w:val="20"/>
          <w:szCs w:val="20"/>
          <w:lang w:val="es-ES"/>
        </w:rPr>
      </w:pPr>
      <w:r w:rsidRPr="00E019A9">
        <w:rPr>
          <w:sz w:val="20"/>
          <w:szCs w:val="20"/>
          <w:lang w:val="es-ES"/>
        </w:rPr>
        <w:t>La Comisión</w:t>
      </w:r>
      <w:r w:rsidR="0032772E">
        <w:rPr>
          <w:sz w:val="20"/>
          <w:szCs w:val="20"/>
          <w:lang w:val="es-ES"/>
        </w:rPr>
        <w:t xml:space="preserve"> </w:t>
      </w:r>
      <w:r w:rsidR="0023763B">
        <w:rPr>
          <w:sz w:val="20"/>
          <w:szCs w:val="20"/>
          <w:lang w:val="es-ES"/>
        </w:rPr>
        <w:t xml:space="preserve">también </w:t>
      </w:r>
      <w:r w:rsidR="0023763B" w:rsidRPr="00E019A9">
        <w:rPr>
          <w:sz w:val="20"/>
          <w:szCs w:val="20"/>
          <w:lang w:val="es-ES"/>
        </w:rPr>
        <w:t>ha</w:t>
      </w:r>
      <w:r w:rsidR="0032772E">
        <w:rPr>
          <w:sz w:val="20"/>
          <w:szCs w:val="20"/>
          <w:lang w:val="es-ES"/>
        </w:rPr>
        <w:t xml:space="preserve"> </w:t>
      </w:r>
      <w:r w:rsidR="00254790">
        <w:rPr>
          <w:sz w:val="20"/>
          <w:szCs w:val="20"/>
          <w:lang w:val="es-ES"/>
        </w:rPr>
        <w:t xml:space="preserve">notado </w:t>
      </w:r>
      <w:r w:rsidR="00254790" w:rsidRPr="00E019A9">
        <w:rPr>
          <w:sz w:val="20"/>
          <w:szCs w:val="20"/>
          <w:lang w:val="es-ES"/>
        </w:rPr>
        <w:t>que</w:t>
      </w:r>
      <w:r w:rsidR="00634FD5" w:rsidRPr="00E019A9">
        <w:rPr>
          <w:sz w:val="20"/>
          <w:szCs w:val="20"/>
          <w:lang w:val="es-ES"/>
        </w:rPr>
        <w:t xml:space="preserve">, </w:t>
      </w:r>
      <w:r w:rsidRPr="00E019A9">
        <w:rPr>
          <w:sz w:val="20"/>
          <w:szCs w:val="20"/>
          <w:lang w:val="es-ES"/>
        </w:rPr>
        <w:t>de acuerdo con las</w:t>
      </w:r>
      <w:r w:rsidR="00634FD5" w:rsidRPr="00E019A9">
        <w:rPr>
          <w:sz w:val="20"/>
          <w:szCs w:val="20"/>
          <w:lang w:val="es-ES"/>
        </w:rPr>
        <w:t xml:space="preserve"> sentencias de la Corte Suprema, </w:t>
      </w:r>
      <w:r w:rsidRPr="00E019A9">
        <w:rPr>
          <w:sz w:val="20"/>
          <w:szCs w:val="20"/>
          <w:lang w:val="es-ES"/>
        </w:rPr>
        <w:t>la disminución de la sanción tendría su racionalidad en que</w:t>
      </w:r>
      <w:r w:rsidR="006545DF" w:rsidRPr="00E019A9">
        <w:rPr>
          <w:sz w:val="20"/>
          <w:szCs w:val="20"/>
          <w:lang w:val="es-ES"/>
        </w:rPr>
        <w:t>,</w:t>
      </w:r>
      <w:r w:rsidRPr="00E019A9">
        <w:rPr>
          <w:sz w:val="20"/>
          <w:szCs w:val="20"/>
          <w:lang w:val="es-ES"/>
        </w:rPr>
        <w:t xml:space="preserve"> a mayor paso del tiempo</w:t>
      </w:r>
      <w:r w:rsidR="009C39A9" w:rsidRPr="00E019A9">
        <w:rPr>
          <w:sz w:val="20"/>
          <w:szCs w:val="20"/>
          <w:lang w:val="es-ES"/>
        </w:rPr>
        <w:t xml:space="preserve"> sin haberse impuesto la sanción</w:t>
      </w:r>
      <w:r w:rsidRPr="00E019A9">
        <w:rPr>
          <w:sz w:val="20"/>
          <w:szCs w:val="20"/>
          <w:lang w:val="es-ES"/>
        </w:rPr>
        <w:t xml:space="preserve">, el reproche punitivo del Estado </w:t>
      </w:r>
      <w:r w:rsidR="009C39A9" w:rsidRPr="00E019A9">
        <w:rPr>
          <w:sz w:val="20"/>
          <w:szCs w:val="20"/>
          <w:lang w:val="es-ES"/>
        </w:rPr>
        <w:t xml:space="preserve">tendría que ser menor. Esto fue resaltado en una de las sentencias de la Corte Suprema que justificó la aplicación de dicha sanción indicando que </w:t>
      </w:r>
      <w:r w:rsidRPr="00E019A9">
        <w:rPr>
          <w:sz w:val="20"/>
          <w:szCs w:val="20"/>
          <w:lang w:val="es-ES"/>
        </w:rPr>
        <w:t>“lo insensato que resulta una pena muy alta para hechos ocurridos largo tiempo atrás”</w:t>
      </w:r>
      <w:r w:rsidR="009C39A9" w:rsidRPr="00E019A9">
        <w:rPr>
          <w:sz w:val="20"/>
          <w:szCs w:val="20"/>
          <w:lang w:val="es-ES"/>
        </w:rPr>
        <w:t xml:space="preserve"> (ver supra párr. 153)</w:t>
      </w:r>
      <w:r w:rsidRPr="00E019A9">
        <w:rPr>
          <w:sz w:val="20"/>
          <w:szCs w:val="20"/>
          <w:lang w:val="es-ES"/>
        </w:rPr>
        <w:t>.</w:t>
      </w:r>
    </w:p>
    <w:p w14:paraId="2FF042A3" w14:textId="77777777" w:rsidR="009C39A9" w:rsidRPr="00E019A9" w:rsidRDefault="009C39A9" w:rsidP="001D321F">
      <w:pPr>
        <w:pStyle w:val="ListParagraph"/>
        <w:rPr>
          <w:sz w:val="20"/>
          <w:szCs w:val="20"/>
          <w:lang w:val="es-ES"/>
        </w:rPr>
      </w:pPr>
    </w:p>
    <w:p w14:paraId="2F3921BC" w14:textId="5091C1A9" w:rsidR="00634FD5" w:rsidRPr="00E019A9" w:rsidRDefault="009049E4" w:rsidP="00CF05F5">
      <w:pPr>
        <w:pStyle w:val="ListParagraph"/>
        <w:numPr>
          <w:ilvl w:val="0"/>
          <w:numId w:val="58"/>
        </w:numPr>
        <w:tabs>
          <w:tab w:val="left" w:pos="567"/>
        </w:tabs>
        <w:ind w:left="0" w:firstLine="0"/>
        <w:jc w:val="both"/>
        <w:rPr>
          <w:sz w:val="20"/>
          <w:szCs w:val="20"/>
          <w:lang w:val="es-ES"/>
        </w:rPr>
      </w:pPr>
      <w:r w:rsidRPr="00E019A9">
        <w:rPr>
          <w:sz w:val="20"/>
          <w:szCs w:val="20"/>
          <w:lang w:val="es-ES"/>
        </w:rPr>
        <w:t xml:space="preserve"> </w:t>
      </w:r>
      <w:r w:rsidR="009C39A9" w:rsidRPr="00E019A9">
        <w:rPr>
          <w:sz w:val="20"/>
          <w:szCs w:val="20"/>
          <w:lang w:val="es-ES"/>
        </w:rPr>
        <w:t>Al respecto, la Comisión observa que la idea de</w:t>
      </w:r>
      <w:r w:rsidR="00634FD5" w:rsidRPr="00E019A9">
        <w:rPr>
          <w:sz w:val="20"/>
          <w:szCs w:val="20"/>
          <w:lang w:val="es-ES"/>
        </w:rPr>
        <w:t xml:space="preserve"> una</w:t>
      </w:r>
      <w:r w:rsidR="009C39A9" w:rsidRPr="00E019A9">
        <w:rPr>
          <w:sz w:val="20"/>
          <w:szCs w:val="20"/>
          <w:lang w:val="es-ES"/>
        </w:rPr>
        <w:t xml:space="preserve"> disminución progresiva de la sanción </w:t>
      </w:r>
      <w:r w:rsidR="00634FD5" w:rsidRPr="00E019A9">
        <w:rPr>
          <w:sz w:val="20"/>
          <w:szCs w:val="20"/>
          <w:lang w:val="es-ES"/>
        </w:rPr>
        <w:t xml:space="preserve">penal por </w:t>
      </w:r>
      <w:r w:rsidR="00484DE8" w:rsidRPr="00E019A9">
        <w:rPr>
          <w:sz w:val="20"/>
          <w:szCs w:val="20"/>
          <w:lang w:val="es-ES"/>
        </w:rPr>
        <w:t xml:space="preserve">crímenes de lesa humanidad </w:t>
      </w:r>
      <w:r w:rsidR="009C39A9" w:rsidRPr="00E019A9">
        <w:rPr>
          <w:sz w:val="20"/>
          <w:szCs w:val="20"/>
          <w:lang w:val="es-ES"/>
        </w:rPr>
        <w:t xml:space="preserve">ante el solo paso del tiempo </w:t>
      </w:r>
      <w:r w:rsidR="006545DF" w:rsidRPr="00E019A9">
        <w:rPr>
          <w:sz w:val="20"/>
          <w:szCs w:val="20"/>
          <w:lang w:val="es-ES"/>
        </w:rPr>
        <w:t>y</w:t>
      </w:r>
      <w:r w:rsidR="00634FD5" w:rsidRPr="00E019A9">
        <w:rPr>
          <w:sz w:val="20"/>
          <w:szCs w:val="20"/>
          <w:lang w:val="es-ES"/>
        </w:rPr>
        <w:t xml:space="preserve"> por alegadas razones de</w:t>
      </w:r>
      <w:r w:rsidR="006545DF" w:rsidRPr="00E019A9">
        <w:rPr>
          <w:sz w:val="20"/>
          <w:szCs w:val="20"/>
          <w:lang w:val="es-ES"/>
        </w:rPr>
        <w:t xml:space="preserve"> seguridad jurídica </w:t>
      </w:r>
      <w:r w:rsidR="009C39A9" w:rsidRPr="00E019A9">
        <w:rPr>
          <w:sz w:val="20"/>
          <w:szCs w:val="20"/>
          <w:lang w:val="es-ES"/>
        </w:rPr>
        <w:t>resulta ampliamente incompatible con las obligaciones de sancionar adecuadamente a los responsables de las graves violaciones</w:t>
      </w:r>
      <w:r w:rsidR="00C570C9">
        <w:rPr>
          <w:sz w:val="20"/>
          <w:szCs w:val="20"/>
          <w:lang w:val="es-ES"/>
        </w:rPr>
        <w:t xml:space="preserve"> a los derechos humanos</w:t>
      </w:r>
      <w:r w:rsidR="006545DF" w:rsidRPr="00E019A9">
        <w:rPr>
          <w:sz w:val="20"/>
          <w:szCs w:val="20"/>
          <w:lang w:val="es-ES"/>
        </w:rPr>
        <w:t xml:space="preserve">. </w:t>
      </w:r>
      <w:r w:rsidR="00CF05F5" w:rsidRPr="00E019A9">
        <w:rPr>
          <w:sz w:val="20"/>
          <w:szCs w:val="20"/>
          <w:lang w:val="es-ES"/>
        </w:rPr>
        <w:t xml:space="preserve">En efecto, </w:t>
      </w:r>
      <w:r w:rsidR="00634FD5" w:rsidRPr="00E019A9">
        <w:rPr>
          <w:sz w:val="20"/>
          <w:szCs w:val="20"/>
          <w:lang w:val="es-ES"/>
        </w:rPr>
        <w:t>la figura de la media prescripción</w:t>
      </w:r>
      <w:r w:rsidR="009C39A9" w:rsidRPr="00E019A9">
        <w:rPr>
          <w:sz w:val="20"/>
          <w:szCs w:val="20"/>
          <w:lang w:val="es-ES"/>
        </w:rPr>
        <w:t xml:space="preserve"> </w:t>
      </w:r>
      <w:r w:rsidR="00634FD5" w:rsidRPr="00E019A9">
        <w:rPr>
          <w:sz w:val="20"/>
          <w:szCs w:val="20"/>
          <w:lang w:val="es-ES"/>
        </w:rPr>
        <w:t>n</w:t>
      </w:r>
      <w:r w:rsidR="006545DF" w:rsidRPr="00E019A9">
        <w:rPr>
          <w:sz w:val="20"/>
          <w:szCs w:val="20"/>
          <w:lang w:val="es-ES"/>
        </w:rPr>
        <w:t>o resulta idónea para g</w:t>
      </w:r>
      <w:r w:rsidR="00634FD5" w:rsidRPr="00E019A9">
        <w:rPr>
          <w:sz w:val="20"/>
          <w:szCs w:val="20"/>
          <w:lang w:val="es-ES"/>
        </w:rPr>
        <w:t>arantizar la seguridad jurídica</w:t>
      </w:r>
      <w:r w:rsidR="00634FD5" w:rsidRPr="00E019A9">
        <w:rPr>
          <w:sz w:val="20"/>
          <w:szCs w:val="20"/>
          <w:lang w:val="es-CO"/>
        </w:rPr>
        <w:t>;</w:t>
      </w:r>
      <w:r w:rsidR="00634FD5" w:rsidRPr="00E019A9">
        <w:rPr>
          <w:sz w:val="20"/>
          <w:szCs w:val="20"/>
          <w:lang w:val="es-ES_tradnl"/>
        </w:rPr>
        <w:t xml:space="preserve"> n</w:t>
      </w:r>
      <w:r w:rsidR="006545DF" w:rsidRPr="00E019A9">
        <w:rPr>
          <w:sz w:val="20"/>
          <w:szCs w:val="20"/>
          <w:lang w:val="es-ES"/>
        </w:rPr>
        <w:t xml:space="preserve">o toma en cuenta la gravedad </w:t>
      </w:r>
      <w:r w:rsidR="000724B1" w:rsidRPr="00E019A9">
        <w:rPr>
          <w:sz w:val="20"/>
          <w:szCs w:val="20"/>
          <w:lang w:val="es-ES"/>
        </w:rPr>
        <w:t xml:space="preserve">de los delitos de lesa humanidad, sus </w:t>
      </w:r>
      <w:r w:rsidR="00634FD5" w:rsidRPr="00E019A9">
        <w:rPr>
          <w:sz w:val="20"/>
          <w:szCs w:val="20"/>
          <w:lang w:val="es-ES"/>
        </w:rPr>
        <w:t>múltiples</w:t>
      </w:r>
      <w:r w:rsidR="000724B1" w:rsidRPr="00E019A9">
        <w:rPr>
          <w:sz w:val="20"/>
          <w:szCs w:val="20"/>
          <w:lang w:val="es-ES"/>
        </w:rPr>
        <w:t xml:space="preserve"> efectos y la necesidad de evitar su repetición</w:t>
      </w:r>
      <w:r w:rsidR="00634FD5" w:rsidRPr="00E019A9">
        <w:rPr>
          <w:sz w:val="20"/>
          <w:szCs w:val="20"/>
          <w:lang w:val="es-ES"/>
        </w:rPr>
        <w:t>;</w:t>
      </w:r>
      <w:r w:rsidR="006545DF" w:rsidRPr="00E019A9">
        <w:rPr>
          <w:sz w:val="20"/>
          <w:szCs w:val="20"/>
          <w:lang w:val="es-ES"/>
        </w:rPr>
        <w:t xml:space="preserve"> </w:t>
      </w:r>
      <w:r w:rsidR="00A46581" w:rsidRPr="00E019A9">
        <w:rPr>
          <w:sz w:val="20"/>
          <w:szCs w:val="20"/>
          <w:lang w:val="es-ES"/>
        </w:rPr>
        <w:t>no contribuye en modo alguno a la verdad y esclarecimiento de lo ocurrido, ni</w:t>
      </w:r>
      <w:r w:rsidR="006545DF" w:rsidRPr="00E019A9">
        <w:rPr>
          <w:sz w:val="20"/>
          <w:szCs w:val="20"/>
          <w:lang w:val="es-ES"/>
        </w:rPr>
        <w:t xml:space="preserve"> mucho menos </w:t>
      </w:r>
      <w:r w:rsidR="00A46581" w:rsidRPr="00E019A9">
        <w:rPr>
          <w:sz w:val="20"/>
          <w:szCs w:val="20"/>
          <w:lang w:val="es-ES"/>
        </w:rPr>
        <w:t xml:space="preserve">toma en cuenta </w:t>
      </w:r>
      <w:r w:rsidR="006545DF" w:rsidRPr="00E019A9">
        <w:rPr>
          <w:sz w:val="20"/>
          <w:szCs w:val="20"/>
          <w:lang w:val="es-ES"/>
        </w:rPr>
        <w:t xml:space="preserve">el efecto </w:t>
      </w:r>
      <w:r w:rsidR="000724B1" w:rsidRPr="00E019A9">
        <w:rPr>
          <w:sz w:val="20"/>
          <w:szCs w:val="20"/>
          <w:lang w:val="es-ES"/>
        </w:rPr>
        <w:t xml:space="preserve">desproporcionado </w:t>
      </w:r>
      <w:r w:rsidR="00634FD5" w:rsidRPr="00E019A9">
        <w:rPr>
          <w:sz w:val="20"/>
          <w:szCs w:val="20"/>
          <w:lang w:val="es-ES"/>
        </w:rPr>
        <w:t>que tiene dicha disminución en</w:t>
      </w:r>
      <w:r w:rsidR="006545DF" w:rsidRPr="00E019A9">
        <w:rPr>
          <w:sz w:val="20"/>
          <w:szCs w:val="20"/>
          <w:lang w:val="es-ES"/>
        </w:rPr>
        <w:t xml:space="preserve"> los derechos de las víctimas</w:t>
      </w:r>
      <w:r w:rsidR="00A46581" w:rsidRPr="00E019A9">
        <w:rPr>
          <w:sz w:val="20"/>
          <w:szCs w:val="20"/>
          <w:lang w:val="es-ES"/>
        </w:rPr>
        <w:t xml:space="preserve"> y sus familiares</w:t>
      </w:r>
      <w:r w:rsidR="00634FD5" w:rsidRPr="00E019A9">
        <w:rPr>
          <w:rStyle w:val="FootnoteReference"/>
          <w:sz w:val="20"/>
          <w:szCs w:val="20"/>
          <w:lang w:val="es-CO"/>
        </w:rPr>
        <w:footnoteReference w:id="221"/>
      </w:r>
      <w:r w:rsidR="009C39A9" w:rsidRPr="00E019A9">
        <w:rPr>
          <w:sz w:val="20"/>
          <w:szCs w:val="20"/>
          <w:lang w:val="es-ES"/>
        </w:rPr>
        <w:t xml:space="preserve">. </w:t>
      </w:r>
      <w:r w:rsidR="00634FD5" w:rsidRPr="00E019A9">
        <w:rPr>
          <w:sz w:val="20"/>
          <w:szCs w:val="20"/>
          <w:lang w:val="es-ES"/>
        </w:rPr>
        <w:t xml:space="preserve">En este sentido, la Corte IDH sostuvo </w:t>
      </w:r>
      <w:r w:rsidR="0023763B" w:rsidRPr="00E019A9">
        <w:rPr>
          <w:sz w:val="20"/>
          <w:szCs w:val="20"/>
          <w:lang w:val="es-ES"/>
        </w:rPr>
        <w:t>que,</w:t>
      </w:r>
      <w:r w:rsidR="009C39A9" w:rsidRPr="00E019A9">
        <w:rPr>
          <w:sz w:val="20"/>
          <w:szCs w:val="20"/>
          <w:lang w:val="es-ES"/>
        </w:rPr>
        <w:t xml:space="preserve"> en casos de graves violaciones a derechos humanos, </w:t>
      </w:r>
      <w:r w:rsidR="006545DF" w:rsidRPr="00E019A9">
        <w:rPr>
          <w:sz w:val="20"/>
          <w:szCs w:val="20"/>
          <w:lang w:val="es-ES"/>
        </w:rPr>
        <w:t>“</w:t>
      </w:r>
      <w:r w:rsidR="009C39A9" w:rsidRPr="00E019A9">
        <w:rPr>
          <w:sz w:val="20"/>
          <w:szCs w:val="20"/>
          <w:lang w:val="es-ES"/>
        </w:rPr>
        <w:t xml:space="preserve">el Estado debe mantener vigente en el tiempo el poder punitivo del Estado sobre conductas cuya gravedad </w:t>
      </w:r>
      <w:r w:rsidR="00C570C9" w:rsidRPr="00E019A9">
        <w:rPr>
          <w:sz w:val="20"/>
          <w:szCs w:val="20"/>
          <w:lang w:val="es-ES"/>
        </w:rPr>
        <w:t>hace necesaria</w:t>
      </w:r>
      <w:r w:rsidR="009C39A9" w:rsidRPr="00E019A9">
        <w:rPr>
          <w:sz w:val="20"/>
          <w:szCs w:val="20"/>
          <w:lang w:val="es-ES"/>
        </w:rPr>
        <w:t xml:space="preserve"> su </w:t>
      </w:r>
      <w:r w:rsidR="0047715B" w:rsidRPr="00E019A9">
        <w:rPr>
          <w:sz w:val="20"/>
          <w:szCs w:val="20"/>
          <w:lang w:val="es-ES"/>
        </w:rPr>
        <w:t>represión</w:t>
      </w:r>
      <w:r w:rsidR="009C39A9" w:rsidRPr="00E019A9">
        <w:rPr>
          <w:sz w:val="20"/>
          <w:szCs w:val="20"/>
          <w:lang w:val="es-ES"/>
        </w:rPr>
        <w:t xml:space="preserve"> para evitar que vuelvan a ser cometidas”</w:t>
      </w:r>
      <w:r w:rsidR="009C39A9" w:rsidRPr="00E019A9">
        <w:rPr>
          <w:rStyle w:val="FootnoteReference"/>
          <w:sz w:val="20"/>
          <w:szCs w:val="20"/>
          <w:lang w:val="es-ES"/>
        </w:rPr>
        <w:footnoteReference w:id="222"/>
      </w:r>
      <w:r w:rsidR="009C39A9" w:rsidRPr="00E019A9">
        <w:rPr>
          <w:sz w:val="20"/>
          <w:szCs w:val="20"/>
          <w:lang w:val="es-ES"/>
        </w:rPr>
        <w:t>.</w:t>
      </w:r>
      <w:r w:rsidR="009C39A9" w:rsidRPr="00E019A9">
        <w:rPr>
          <w:rFonts w:ascii="Verdana" w:hAnsi="Verdana"/>
          <w:sz w:val="20"/>
          <w:szCs w:val="20"/>
          <w:lang w:val="es-US"/>
        </w:rPr>
        <w:t xml:space="preserve"> </w:t>
      </w:r>
    </w:p>
    <w:p w14:paraId="3DCFFDD1" w14:textId="77777777" w:rsidR="00634FD5" w:rsidRPr="00E019A9" w:rsidRDefault="00634FD5" w:rsidP="00634FD5">
      <w:pPr>
        <w:pStyle w:val="ListParagraph"/>
        <w:tabs>
          <w:tab w:val="left" w:pos="567"/>
        </w:tabs>
        <w:ind w:left="0"/>
        <w:jc w:val="both"/>
        <w:rPr>
          <w:sz w:val="20"/>
          <w:szCs w:val="20"/>
          <w:lang w:val="es-ES"/>
        </w:rPr>
      </w:pPr>
    </w:p>
    <w:p w14:paraId="6F491091" w14:textId="77777777" w:rsidR="00A46581" w:rsidRPr="00E019A9" w:rsidRDefault="00634FD5" w:rsidP="00BB60A6">
      <w:pPr>
        <w:pStyle w:val="ListParagraph"/>
        <w:numPr>
          <w:ilvl w:val="0"/>
          <w:numId w:val="58"/>
        </w:numPr>
        <w:tabs>
          <w:tab w:val="left" w:pos="567"/>
        </w:tabs>
        <w:ind w:left="0" w:firstLine="0"/>
        <w:jc w:val="both"/>
        <w:rPr>
          <w:sz w:val="20"/>
          <w:szCs w:val="20"/>
          <w:lang w:val="es-ES"/>
        </w:rPr>
      </w:pPr>
      <w:r w:rsidRPr="00E019A9">
        <w:rPr>
          <w:sz w:val="20"/>
          <w:szCs w:val="20"/>
          <w:lang w:val="es-ES"/>
        </w:rPr>
        <w:t xml:space="preserve">En el presente caso, los hechos delictivos que tuvieron como víctimas a los peticionarios de este caso </w:t>
      </w:r>
      <w:r w:rsidR="00A46581" w:rsidRPr="00E019A9">
        <w:rPr>
          <w:sz w:val="20"/>
          <w:szCs w:val="20"/>
          <w:lang w:val="es-ES"/>
        </w:rPr>
        <w:t xml:space="preserve">  </w:t>
      </w:r>
      <w:r w:rsidR="00A46581" w:rsidRPr="00E019A9">
        <w:rPr>
          <w:sz w:val="20"/>
          <w:szCs w:val="20"/>
          <w:lang w:val="es-ES_tradnl"/>
        </w:rPr>
        <w:t xml:space="preserve">afectaron bienes jurídicos del </w:t>
      </w:r>
      <w:r w:rsidRPr="00E019A9">
        <w:rPr>
          <w:sz w:val="20"/>
          <w:szCs w:val="20"/>
          <w:lang w:val="es-ES_tradnl"/>
        </w:rPr>
        <w:t>más</w:t>
      </w:r>
      <w:r w:rsidR="00A46581" w:rsidRPr="00E019A9">
        <w:rPr>
          <w:sz w:val="20"/>
          <w:szCs w:val="20"/>
          <w:lang w:val="es-ES_tradnl"/>
        </w:rPr>
        <w:t xml:space="preserve"> alto valor como lo son la vida, la integridad personal y la libertad personal</w:t>
      </w:r>
      <w:r w:rsidR="00A46581" w:rsidRPr="00E019A9">
        <w:rPr>
          <w:sz w:val="20"/>
          <w:szCs w:val="20"/>
          <w:lang w:val="es-ES"/>
        </w:rPr>
        <w:t xml:space="preserve"> y fueron cometidos por agentes estatales en cumplimiento de un plan deliberado y sistemático de persecución a disidentes políticos, circunstancia que le asigna el carácter de delitos de lesa humanidad y acentúa la gravedad de los hechos y la necesidad de una sanción penal adecuada. </w:t>
      </w:r>
    </w:p>
    <w:p w14:paraId="610D7C1E" w14:textId="77777777" w:rsidR="006545DF" w:rsidRPr="00E019A9" w:rsidRDefault="006545DF" w:rsidP="001D321F">
      <w:pPr>
        <w:rPr>
          <w:sz w:val="20"/>
          <w:szCs w:val="20"/>
          <w:lang w:val="es-ES"/>
        </w:rPr>
      </w:pPr>
    </w:p>
    <w:p w14:paraId="5D5F6509" w14:textId="77777777" w:rsidR="00CF05F5" w:rsidRPr="00E019A9" w:rsidRDefault="00CF05F5" w:rsidP="00CF05F5">
      <w:pPr>
        <w:pStyle w:val="ListParagraph"/>
        <w:numPr>
          <w:ilvl w:val="0"/>
          <w:numId w:val="58"/>
        </w:numPr>
        <w:tabs>
          <w:tab w:val="left" w:pos="567"/>
        </w:tabs>
        <w:ind w:left="0" w:firstLine="0"/>
        <w:jc w:val="both"/>
        <w:rPr>
          <w:sz w:val="20"/>
          <w:szCs w:val="20"/>
          <w:lang w:val="es-ES"/>
        </w:rPr>
      </w:pPr>
      <w:r w:rsidRPr="00E019A9">
        <w:rPr>
          <w:sz w:val="20"/>
          <w:szCs w:val="20"/>
          <w:lang w:val="es-ES"/>
        </w:rPr>
        <w:t>Sumado a lo anterior -</w:t>
      </w:r>
      <w:r w:rsidR="000724B1" w:rsidRPr="00E019A9">
        <w:rPr>
          <w:sz w:val="20"/>
          <w:szCs w:val="20"/>
          <w:lang w:val="es-ES"/>
        </w:rPr>
        <w:t xml:space="preserve"> y </w:t>
      </w:r>
      <w:r w:rsidRPr="00E019A9">
        <w:rPr>
          <w:sz w:val="20"/>
          <w:szCs w:val="20"/>
          <w:lang w:val="es-ES"/>
        </w:rPr>
        <w:t>para acentuar</w:t>
      </w:r>
      <w:r w:rsidR="000724B1" w:rsidRPr="00E019A9">
        <w:rPr>
          <w:sz w:val="20"/>
          <w:szCs w:val="20"/>
          <w:lang w:val="es-ES"/>
        </w:rPr>
        <w:t xml:space="preserve"> </w:t>
      </w:r>
      <w:r w:rsidRPr="00E019A9">
        <w:rPr>
          <w:sz w:val="20"/>
          <w:szCs w:val="20"/>
          <w:lang w:val="es-ES"/>
        </w:rPr>
        <w:t>la gravedad que</w:t>
      </w:r>
      <w:r w:rsidR="000724B1" w:rsidRPr="00E019A9">
        <w:rPr>
          <w:sz w:val="20"/>
          <w:szCs w:val="20"/>
          <w:lang w:val="es-ES"/>
        </w:rPr>
        <w:t xml:space="preserve"> reviste la aplicación de </w:t>
      </w:r>
      <w:r w:rsidRPr="00E019A9">
        <w:rPr>
          <w:sz w:val="20"/>
          <w:szCs w:val="20"/>
          <w:lang w:val="es-ES"/>
        </w:rPr>
        <w:t>la figura de la media prescripción frente a delitos de lesa humanidad -</w:t>
      </w:r>
      <w:r w:rsidR="000724B1" w:rsidRPr="00E019A9">
        <w:rPr>
          <w:sz w:val="20"/>
          <w:szCs w:val="20"/>
          <w:lang w:val="es-ES"/>
        </w:rPr>
        <w:t xml:space="preserve"> l</w:t>
      </w:r>
      <w:r w:rsidR="006545DF" w:rsidRPr="00E019A9">
        <w:rPr>
          <w:sz w:val="20"/>
          <w:szCs w:val="20"/>
          <w:lang w:val="es-ES"/>
        </w:rPr>
        <w:t xml:space="preserve">a Comisión </w:t>
      </w:r>
      <w:r w:rsidR="000724B1" w:rsidRPr="00E019A9">
        <w:rPr>
          <w:sz w:val="20"/>
          <w:szCs w:val="20"/>
          <w:lang w:val="es-ES"/>
        </w:rPr>
        <w:t xml:space="preserve">desea dejar constancia de lo ampliamente problemático </w:t>
      </w:r>
      <w:r w:rsidR="006545DF" w:rsidRPr="00E019A9">
        <w:rPr>
          <w:sz w:val="20"/>
          <w:szCs w:val="20"/>
          <w:lang w:val="es-ES"/>
        </w:rPr>
        <w:t xml:space="preserve">que </w:t>
      </w:r>
      <w:r w:rsidR="000724B1" w:rsidRPr="00E019A9">
        <w:rPr>
          <w:sz w:val="20"/>
          <w:szCs w:val="20"/>
          <w:lang w:val="es-ES"/>
        </w:rPr>
        <w:t xml:space="preserve">resulta que sea </w:t>
      </w:r>
      <w:r w:rsidR="006545DF" w:rsidRPr="00E019A9">
        <w:rPr>
          <w:sz w:val="20"/>
          <w:szCs w:val="20"/>
          <w:lang w:val="es-ES"/>
        </w:rPr>
        <w:t>la</w:t>
      </w:r>
      <w:r w:rsidRPr="00E019A9">
        <w:rPr>
          <w:sz w:val="20"/>
          <w:szCs w:val="20"/>
          <w:lang w:val="es-ES"/>
        </w:rPr>
        <w:t xml:space="preserve"> propia</w:t>
      </w:r>
      <w:r w:rsidR="006545DF" w:rsidRPr="00E019A9">
        <w:rPr>
          <w:sz w:val="20"/>
          <w:szCs w:val="20"/>
          <w:lang w:val="es-ES"/>
        </w:rPr>
        <w:t xml:space="preserve"> inacción del Estado para investigar e individualizar a los responsables</w:t>
      </w:r>
      <w:r w:rsidRPr="00E019A9">
        <w:rPr>
          <w:sz w:val="20"/>
          <w:szCs w:val="20"/>
          <w:lang w:val="es-ES"/>
        </w:rPr>
        <w:t xml:space="preserve"> el factor determinante</w:t>
      </w:r>
      <w:r w:rsidR="000724B1" w:rsidRPr="00E019A9">
        <w:rPr>
          <w:sz w:val="20"/>
          <w:szCs w:val="20"/>
          <w:lang w:val="es-ES"/>
        </w:rPr>
        <w:t xml:space="preserve"> </w:t>
      </w:r>
      <w:r w:rsidRPr="00E019A9">
        <w:rPr>
          <w:sz w:val="20"/>
          <w:szCs w:val="20"/>
          <w:lang w:val="es-ES"/>
        </w:rPr>
        <w:t>para la</w:t>
      </w:r>
      <w:r w:rsidR="006545DF" w:rsidRPr="00E019A9">
        <w:rPr>
          <w:sz w:val="20"/>
          <w:szCs w:val="20"/>
          <w:lang w:val="es-ES"/>
        </w:rPr>
        <w:t xml:space="preserve"> disminución del castigo penal </w:t>
      </w:r>
      <w:r w:rsidRPr="00E019A9">
        <w:rPr>
          <w:sz w:val="20"/>
          <w:szCs w:val="20"/>
          <w:lang w:val="es-ES"/>
        </w:rPr>
        <w:t xml:space="preserve">a los autores de tales hechos. </w:t>
      </w:r>
    </w:p>
    <w:p w14:paraId="2FB3F7D1" w14:textId="77777777" w:rsidR="00CF05F5" w:rsidRPr="00E019A9" w:rsidRDefault="00CF05F5" w:rsidP="00CF05F5">
      <w:pPr>
        <w:pStyle w:val="ListParagraph"/>
        <w:tabs>
          <w:tab w:val="left" w:pos="567"/>
        </w:tabs>
        <w:ind w:left="0"/>
        <w:jc w:val="both"/>
        <w:rPr>
          <w:sz w:val="20"/>
          <w:szCs w:val="20"/>
          <w:lang w:val="es-ES"/>
        </w:rPr>
      </w:pPr>
    </w:p>
    <w:p w14:paraId="2636D5D5" w14:textId="4B5C441B" w:rsidR="006545DF" w:rsidRPr="00E019A9" w:rsidRDefault="000724B1" w:rsidP="00CF05F5">
      <w:pPr>
        <w:pStyle w:val="ListParagraph"/>
        <w:numPr>
          <w:ilvl w:val="0"/>
          <w:numId w:val="58"/>
        </w:numPr>
        <w:tabs>
          <w:tab w:val="left" w:pos="567"/>
        </w:tabs>
        <w:ind w:left="0" w:firstLine="0"/>
        <w:jc w:val="both"/>
        <w:rPr>
          <w:sz w:val="20"/>
          <w:szCs w:val="20"/>
          <w:lang w:val="es-ES"/>
        </w:rPr>
      </w:pPr>
      <w:r w:rsidRPr="00E019A9">
        <w:rPr>
          <w:sz w:val="20"/>
          <w:szCs w:val="20"/>
          <w:lang w:val="es-ES"/>
        </w:rPr>
        <w:t xml:space="preserve"> </w:t>
      </w:r>
      <w:r w:rsidR="00CF05F5" w:rsidRPr="00E019A9">
        <w:rPr>
          <w:sz w:val="20"/>
          <w:szCs w:val="20"/>
          <w:lang w:val="es-ES"/>
        </w:rPr>
        <w:t>En esta línea, la Comisión recuerda que los crímenes cometidos en presente</w:t>
      </w:r>
      <w:r w:rsidRPr="00E019A9">
        <w:rPr>
          <w:sz w:val="20"/>
          <w:szCs w:val="20"/>
          <w:lang w:val="es-ES"/>
        </w:rPr>
        <w:t xml:space="preserve"> caso tuvieron lugar cuando el estado de derecho en Chile había sido suplantado por el gobierno de una junta militar que ejercía gran parte de los poderes públicos sin control alguno. Durante los años del régimen militar </w:t>
      </w:r>
      <w:r w:rsidR="00CF05F5" w:rsidRPr="00E019A9">
        <w:rPr>
          <w:sz w:val="20"/>
          <w:szCs w:val="20"/>
          <w:lang w:val="es-ES"/>
        </w:rPr>
        <w:t>y</w:t>
      </w:r>
      <w:r w:rsidRPr="00E019A9">
        <w:rPr>
          <w:sz w:val="20"/>
          <w:szCs w:val="20"/>
          <w:lang w:val="es-ES"/>
        </w:rPr>
        <w:t xml:space="preserve"> durante los primeros año</w:t>
      </w:r>
      <w:r w:rsidR="00CF05F5" w:rsidRPr="00E019A9">
        <w:rPr>
          <w:sz w:val="20"/>
          <w:szCs w:val="20"/>
          <w:lang w:val="es-ES"/>
        </w:rPr>
        <w:t>s de la transición democrática,</w:t>
      </w:r>
      <w:r w:rsidRPr="00E019A9">
        <w:rPr>
          <w:sz w:val="20"/>
          <w:szCs w:val="20"/>
          <w:lang w:val="es-ES"/>
        </w:rPr>
        <w:t xml:space="preserve"> existió en Chile una situación de completa impunidad ante las violaciones a los derechos humanos cometi</w:t>
      </w:r>
      <w:r w:rsidR="00CF05F5" w:rsidRPr="00E019A9">
        <w:rPr>
          <w:sz w:val="20"/>
          <w:szCs w:val="20"/>
          <w:lang w:val="es-ES"/>
        </w:rPr>
        <w:t>das por agentes de la dictadura. Esta situación de</w:t>
      </w:r>
      <w:r w:rsidRPr="00E019A9">
        <w:rPr>
          <w:sz w:val="20"/>
          <w:szCs w:val="20"/>
          <w:lang w:val="es-ES"/>
        </w:rPr>
        <w:t xml:space="preserve"> impunidad </w:t>
      </w:r>
      <w:r w:rsidR="00CF05F5" w:rsidRPr="00E019A9">
        <w:rPr>
          <w:sz w:val="20"/>
          <w:szCs w:val="20"/>
          <w:lang w:val="es-ES"/>
        </w:rPr>
        <w:t xml:space="preserve">derivaba tanto de una </w:t>
      </w:r>
      <w:r w:rsidR="001A52A7" w:rsidRPr="00E019A9">
        <w:rPr>
          <w:sz w:val="20"/>
          <w:szCs w:val="20"/>
          <w:lang w:val="es-ES"/>
        </w:rPr>
        <w:t>situación</w:t>
      </w:r>
      <w:r w:rsidRPr="00E019A9">
        <w:rPr>
          <w:sz w:val="20"/>
          <w:szCs w:val="20"/>
          <w:lang w:val="es-ES"/>
        </w:rPr>
        <w:t xml:space="preserve"> </w:t>
      </w:r>
      <w:r w:rsidRPr="00E019A9">
        <w:rPr>
          <w:i/>
          <w:sz w:val="20"/>
          <w:szCs w:val="20"/>
          <w:lang w:val="es-ES"/>
        </w:rPr>
        <w:t>de iure -</w:t>
      </w:r>
      <w:r w:rsidRPr="00E019A9">
        <w:rPr>
          <w:sz w:val="20"/>
          <w:szCs w:val="20"/>
          <w:lang w:val="es-ES"/>
        </w:rPr>
        <w:t xml:space="preserve"> en virtud de la vigencia de </w:t>
      </w:r>
      <w:r w:rsidR="00CF05F5" w:rsidRPr="00E019A9">
        <w:rPr>
          <w:sz w:val="20"/>
          <w:szCs w:val="20"/>
          <w:lang w:val="es-ES"/>
        </w:rPr>
        <w:t xml:space="preserve">la </w:t>
      </w:r>
      <w:r w:rsidR="002A4062">
        <w:rPr>
          <w:sz w:val="20"/>
          <w:szCs w:val="20"/>
          <w:lang w:val="es-ES"/>
        </w:rPr>
        <w:t>auto</w:t>
      </w:r>
      <w:r w:rsidR="002A4062" w:rsidRPr="00E019A9">
        <w:rPr>
          <w:sz w:val="20"/>
          <w:szCs w:val="20"/>
          <w:lang w:val="es-ES"/>
        </w:rPr>
        <w:t>amnistía</w:t>
      </w:r>
      <w:r w:rsidRPr="00E019A9">
        <w:rPr>
          <w:sz w:val="20"/>
          <w:szCs w:val="20"/>
          <w:lang w:val="es-ES"/>
        </w:rPr>
        <w:t xml:space="preserve"> decretada por el régimen militar en 1979 </w:t>
      </w:r>
      <w:r w:rsidR="006F0022" w:rsidRPr="00E019A9">
        <w:rPr>
          <w:sz w:val="20"/>
          <w:szCs w:val="20"/>
          <w:lang w:val="es-ES"/>
        </w:rPr>
        <w:t>- como</w:t>
      </w:r>
      <w:r w:rsidRPr="00E019A9">
        <w:rPr>
          <w:sz w:val="20"/>
          <w:szCs w:val="20"/>
          <w:lang w:val="es-ES"/>
        </w:rPr>
        <w:t xml:space="preserve"> </w:t>
      </w:r>
      <w:r w:rsidRPr="00E019A9">
        <w:rPr>
          <w:i/>
          <w:sz w:val="20"/>
          <w:szCs w:val="20"/>
          <w:lang w:val="es-ES"/>
        </w:rPr>
        <w:t>de facto</w:t>
      </w:r>
      <w:r w:rsidRPr="00E019A9">
        <w:rPr>
          <w:sz w:val="20"/>
          <w:szCs w:val="20"/>
          <w:lang w:val="es-ES"/>
        </w:rPr>
        <w:t xml:space="preserve"> debido a la falta de independencia del Poder Judicial y a la inefectividad de las garantías judiciales, aspectos que fueron minuciosamente detallados en los informes Rettig y Valech (ver </w:t>
      </w:r>
      <w:r w:rsidRPr="00E019A9">
        <w:rPr>
          <w:i/>
          <w:sz w:val="20"/>
          <w:szCs w:val="20"/>
          <w:lang w:val="es-ES"/>
        </w:rPr>
        <w:t xml:space="preserve">supra </w:t>
      </w:r>
      <w:r w:rsidRPr="00E019A9">
        <w:rPr>
          <w:sz w:val="20"/>
          <w:szCs w:val="20"/>
          <w:lang w:val="es-ES"/>
        </w:rPr>
        <w:t>parrs. 108 y 109).</w:t>
      </w:r>
    </w:p>
    <w:p w14:paraId="20B61C1B" w14:textId="77777777" w:rsidR="00F5222B" w:rsidRPr="00E019A9" w:rsidRDefault="00F5222B" w:rsidP="001D321F">
      <w:pPr>
        <w:pStyle w:val="ListParagraph"/>
        <w:tabs>
          <w:tab w:val="left" w:pos="567"/>
        </w:tabs>
        <w:ind w:left="0"/>
        <w:jc w:val="both"/>
        <w:rPr>
          <w:lang w:val="es-ES"/>
        </w:rPr>
      </w:pPr>
    </w:p>
    <w:p w14:paraId="0560F57A" w14:textId="5454E9E8" w:rsidR="00F5222B" w:rsidRPr="00E019A9" w:rsidRDefault="00CF05F5" w:rsidP="00BB60A6">
      <w:pPr>
        <w:pStyle w:val="ListParagraph"/>
        <w:numPr>
          <w:ilvl w:val="0"/>
          <w:numId w:val="58"/>
        </w:numPr>
        <w:tabs>
          <w:tab w:val="left" w:pos="567"/>
        </w:tabs>
        <w:ind w:left="0" w:firstLine="0"/>
        <w:jc w:val="both"/>
        <w:rPr>
          <w:sz w:val="20"/>
          <w:szCs w:val="20"/>
          <w:lang w:val="es-ES"/>
        </w:rPr>
      </w:pPr>
      <w:r w:rsidRPr="00E019A9">
        <w:rPr>
          <w:sz w:val="20"/>
          <w:szCs w:val="20"/>
          <w:lang w:val="es-ES"/>
        </w:rPr>
        <w:t>La Comisión subraya asimismo que</w:t>
      </w:r>
      <w:r w:rsidR="000724B1" w:rsidRPr="00E019A9">
        <w:rPr>
          <w:sz w:val="20"/>
          <w:szCs w:val="20"/>
          <w:lang w:val="es-ES"/>
        </w:rPr>
        <w:t xml:space="preserve"> los familiares </w:t>
      </w:r>
      <w:r w:rsidRPr="00E019A9">
        <w:rPr>
          <w:sz w:val="20"/>
          <w:szCs w:val="20"/>
          <w:lang w:val="es-ES"/>
        </w:rPr>
        <w:t>de las victimas realizaron</w:t>
      </w:r>
      <w:r w:rsidR="001D3803" w:rsidRPr="00E019A9">
        <w:rPr>
          <w:sz w:val="20"/>
          <w:szCs w:val="20"/>
          <w:lang w:val="es-ES"/>
        </w:rPr>
        <w:t xml:space="preserve"> diversas gestiones </w:t>
      </w:r>
      <w:r w:rsidR="00634FD5" w:rsidRPr="00E019A9">
        <w:rPr>
          <w:sz w:val="20"/>
          <w:szCs w:val="20"/>
          <w:lang w:val="es-ES"/>
        </w:rPr>
        <w:t>judiciales durante</w:t>
      </w:r>
      <w:r w:rsidR="001D3803" w:rsidRPr="00E019A9">
        <w:rPr>
          <w:sz w:val="20"/>
          <w:szCs w:val="20"/>
          <w:lang w:val="es-ES"/>
        </w:rPr>
        <w:t xml:space="preserve"> los primeros días de la desaparición </w:t>
      </w:r>
      <w:r w:rsidRPr="00E019A9">
        <w:rPr>
          <w:sz w:val="20"/>
          <w:szCs w:val="20"/>
          <w:lang w:val="es-ES"/>
        </w:rPr>
        <w:t xml:space="preserve">de sus seres queridos </w:t>
      </w:r>
      <w:r w:rsidR="001D3803" w:rsidRPr="00E019A9">
        <w:rPr>
          <w:sz w:val="20"/>
          <w:szCs w:val="20"/>
          <w:lang w:val="es-ES"/>
        </w:rPr>
        <w:t xml:space="preserve">o con posterioridad al hallazgo de </w:t>
      </w:r>
      <w:r w:rsidRPr="00E019A9">
        <w:rPr>
          <w:sz w:val="20"/>
          <w:szCs w:val="20"/>
          <w:lang w:val="es-ES"/>
        </w:rPr>
        <w:t>sus</w:t>
      </w:r>
      <w:r w:rsidR="00484DE8" w:rsidRPr="00E019A9">
        <w:rPr>
          <w:sz w:val="20"/>
          <w:szCs w:val="20"/>
          <w:lang w:val="es-ES"/>
        </w:rPr>
        <w:t xml:space="preserve"> </w:t>
      </w:r>
      <w:r w:rsidR="001D3803" w:rsidRPr="00E019A9">
        <w:rPr>
          <w:sz w:val="20"/>
          <w:szCs w:val="20"/>
          <w:lang w:val="es-ES"/>
        </w:rPr>
        <w:t xml:space="preserve">cuerpos. En todos los casos, e independientemente de la </w:t>
      </w:r>
      <w:r w:rsidR="005E0DA4" w:rsidRPr="00E019A9">
        <w:rPr>
          <w:sz w:val="20"/>
          <w:szCs w:val="20"/>
          <w:lang w:val="es-ES"/>
        </w:rPr>
        <w:t>vía</w:t>
      </w:r>
      <w:r w:rsidR="001D3803" w:rsidRPr="00E019A9">
        <w:rPr>
          <w:sz w:val="20"/>
          <w:szCs w:val="20"/>
          <w:lang w:val="es-ES"/>
        </w:rPr>
        <w:t xml:space="preserve"> procesal empleada </w:t>
      </w:r>
      <w:r w:rsidR="006F0022" w:rsidRPr="00E019A9">
        <w:rPr>
          <w:sz w:val="20"/>
          <w:szCs w:val="20"/>
          <w:lang w:val="es-ES"/>
        </w:rPr>
        <w:t>- tanto</w:t>
      </w:r>
      <w:r w:rsidR="001D3803" w:rsidRPr="00E019A9">
        <w:rPr>
          <w:sz w:val="20"/>
          <w:szCs w:val="20"/>
          <w:lang w:val="es-ES"/>
        </w:rPr>
        <w:t xml:space="preserve"> si se trató de la presentación de un recurso de amparo,</w:t>
      </w:r>
      <w:r w:rsidR="008E52E1" w:rsidRPr="00E019A9">
        <w:rPr>
          <w:sz w:val="20"/>
          <w:szCs w:val="20"/>
          <w:lang w:val="es-ES"/>
        </w:rPr>
        <w:t xml:space="preserve"> de</w:t>
      </w:r>
      <w:r w:rsidR="001D3803" w:rsidRPr="00E019A9">
        <w:rPr>
          <w:sz w:val="20"/>
          <w:szCs w:val="20"/>
          <w:lang w:val="es-ES"/>
        </w:rPr>
        <w:t xml:space="preserve"> un h</w:t>
      </w:r>
      <w:r w:rsidR="008E52E1" w:rsidRPr="00E019A9">
        <w:rPr>
          <w:sz w:val="20"/>
          <w:szCs w:val="20"/>
          <w:lang w:val="es-ES"/>
        </w:rPr>
        <w:t>á</w:t>
      </w:r>
      <w:r w:rsidR="001D3803" w:rsidRPr="00E019A9">
        <w:rPr>
          <w:sz w:val="20"/>
          <w:szCs w:val="20"/>
          <w:lang w:val="es-ES"/>
        </w:rPr>
        <w:t xml:space="preserve">beas corpus o de la interposición de una denuncia criminal - los resultados fueron siempre fueron negativos. En ningún caso las autoridades judiciales investigaron diligentemente lo </w:t>
      </w:r>
      <w:r w:rsidR="008E52E1" w:rsidRPr="00E019A9">
        <w:rPr>
          <w:sz w:val="20"/>
          <w:szCs w:val="20"/>
          <w:lang w:val="es-ES"/>
        </w:rPr>
        <w:t xml:space="preserve">acontecido </w:t>
      </w:r>
      <w:r w:rsidR="001D3803" w:rsidRPr="00E019A9">
        <w:rPr>
          <w:sz w:val="20"/>
          <w:szCs w:val="20"/>
          <w:lang w:val="es-ES"/>
        </w:rPr>
        <w:t xml:space="preserve">ni efectuaron reproche penal alguno. </w:t>
      </w:r>
      <w:r w:rsidR="000724B1" w:rsidRPr="00E019A9">
        <w:rPr>
          <w:sz w:val="20"/>
          <w:szCs w:val="20"/>
          <w:lang w:val="es-ES"/>
        </w:rPr>
        <w:t>F</w:t>
      </w:r>
      <w:r w:rsidR="00996901" w:rsidRPr="00E019A9">
        <w:rPr>
          <w:sz w:val="20"/>
          <w:szCs w:val="20"/>
          <w:lang w:val="es-ES"/>
        </w:rPr>
        <w:t xml:space="preserve">ue recién </w:t>
      </w:r>
      <w:r w:rsidR="005E0DA4" w:rsidRPr="00E019A9">
        <w:rPr>
          <w:sz w:val="20"/>
          <w:szCs w:val="20"/>
          <w:lang w:val="es-ES"/>
        </w:rPr>
        <w:t>a partir de finales</w:t>
      </w:r>
      <w:r w:rsidR="00996901" w:rsidRPr="00E019A9">
        <w:rPr>
          <w:sz w:val="20"/>
          <w:szCs w:val="20"/>
          <w:lang w:val="es-ES"/>
        </w:rPr>
        <w:t xml:space="preserve"> de la década </w:t>
      </w:r>
      <w:r w:rsidR="00996901" w:rsidRPr="00E019A9">
        <w:rPr>
          <w:sz w:val="20"/>
          <w:szCs w:val="20"/>
          <w:lang w:val="es-ES"/>
        </w:rPr>
        <w:lastRenderedPageBreak/>
        <w:t>de 1990</w:t>
      </w:r>
      <w:r w:rsidR="00F03624" w:rsidRPr="00E019A9">
        <w:rPr>
          <w:sz w:val="20"/>
          <w:szCs w:val="20"/>
          <w:lang w:val="es-ES"/>
        </w:rPr>
        <w:t xml:space="preserve"> </w:t>
      </w:r>
      <w:r w:rsidR="004503BE" w:rsidRPr="00E019A9">
        <w:rPr>
          <w:sz w:val="20"/>
          <w:szCs w:val="20"/>
          <w:lang w:val="es-ES"/>
        </w:rPr>
        <w:t>–</w:t>
      </w:r>
      <w:r w:rsidR="00F03624" w:rsidRPr="00E019A9">
        <w:rPr>
          <w:sz w:val="20"/>
          <w:szCs w:val="20"/>
          <w:lang w:val="es-ES"/>
        </w:rPr>
        <w:t xml:space="preserve"> </w:t>
      </w:r>
      <w:r w:rsidR="004503BE" w:rsidRPr="00E019A9">
        <w:rPr>
          <w:sz w:val="20"/>
          <w:szCs w:val="20"/>
          <w:lang w:val="es-ES"/>
        </w:rPr>
        <w:t xml:space="preserve">y </w:t>
      </w:r>
      <w:r w:rsidR="00996901" w:rsidRPr="00E019A9">
        <w:rPr>
          <w:sz w:val="20"/>
          <w:szCs w:val="20"/>
          <w:lang w:val="es-ES"/>
        </w:rPr>
        <w:t xml:space="preserve">en gran </w:t>
      </w:r>
      <w:r w:rsidR="00F03624" w:rsidRPr="00E019A9">
        <w:rPr>
          <w:sz w:val="20"/>
          <w:szCs w:val="20"/>
          <w:lang w:val="es-ES"/>
        </w:rPr>
        <w:t>medida</w:t>
      </w:r>
      <w:r w:rsidR="00996901" w:rsidRPr="00E019A9">
        <w:rPr>
          <w:sz w:val="20"/>
          <w:szCs w:val="20"/>
          <w:lang w:val="es-ES"/>
        </w:rPr>
        <w:t xml:space="preserve"> gracias a</w:t>
      </w:r>
      <w:r w:rsidR="000724B1" w:rsidRPr="00E019A9">
        <w:rPr>
          <w:sz w:val="20"/>
          <w:szCs w:val="20"/>
          <w:lang w:val="es-ES"/>
        </w:rPr>
        <w:t xml:space="preserve"> </w:t>
      </w:r>
      <w:r w:rsidR="00996901" w:rsidRPr="00E019A9">
        <w:rPr>
          <w:sz w:val="20"/>
          <w:szCs w:val="20"/>
          <w:lang w:val="es-ES"/>
        </w:rPr>
        <w:t>l</w:t>
      </w:r>
      <w:r w:rsidR="000724B1" w:rsidRPr="00E019A9">
        <w:rPr>
          <w:sz w:val="20"/>
          <w:szCs w:val="20"/>
          <w:lang w:val="es-ES"/>
        </w:rPr>
        <w:t xml:space="preserve">as actuaciones </w:t>
      </w:r>
      <w:r w:rsidR="00996901" w:rsidRPr="00E019A9">
        <w:rPr>
          <w:sz w:val="20"/>
          <w:szCs w:val="20"/>
          <w:lang w:val="es-ES"/>
        </w:rPr>
        <w:t xml:space="preserve">de los familiares de las </w:t>
      </w:r>
      <w:r w:rsidR="002A4062" w:rsidRPr="00E019A9">
        <w:rPr>
          <w:sz w:val="20"/>
          <w:szCs w:val="20"/>
          <w:lang w:val="es-ES"/>
        </w:rPr>
        <w:t>víctimas</w:t>
      </w:r>
      <w:r w:rsidR="00996901" w:rsidRPr="00E019A9">
        <w:rPr>
          <w:sz w:val="20"/>
          <w:szCs w:val="20"/>
          <w:lang w:val="es-ES"/>
        </w:rPr>
        <w:t xml:space="preserve"> y el acompañamiento de instituciones p</w:t>
      </w:r>
      <w:r w:rsidR="00FD35DB" w:rsidRPr="00E019A9">
        <w:rPr>
          <w:sz w:val="20"/>
          <w:szCs w:val="20"/>
          <w:lang w:val="es-ES"/>
        </w:rPr>
        <w:t>ú</w:t>
      </w:r>
      <w:r w:rsidR="00996901" w:rsidRPr="00E019A9">
        <w:rPr>
          <w:sz w:val="20"/>
          <w:szCs w:val="20"/>
          <w:lang w:val="es-ES"/>
        </w:rPr>
        <w:t>blicas recientemente creadas</w:t>
      </w:r>
      <w:r w:rsidR="00F03624" w:rsidRPr="00E019A9">
        <w:rPr>
          <w:sz w:val="20"/>
          <w:szCs w:val="20"/>
          <w:lang w:val="es-ES"/>
        </w:rPr>
        <w:t xml:space="preserve"> -</w:t>
      </w:r>
      <w:r w:rsidR="00996901" w:rsidRPr="00E019A9">
        <w:rPr>
          <w:sz w:val="20"/>
          <w:szCs w:val="20"/>
          <w:lang w:val="es-ES"/>
        </w:rPr>
        <w:t xml:space="preserve"> que </w:t>
      </w:r>
      <w:r w:rsidR="008E52E1" w:rsidRPr="00E019A9">
        <w:rPr>
          <w:sz w:val="20"/>
          <w:szCs w:val="20"/>
          <w:lang w:val="es-ES"/>
        </w:rPr>
        <w:t xml:space="preserve">se iniciaron o reactivaron </w:t>
      </w:r>
      <w:r w:rsidR="00996901" w:rsidRPr="00E019A9">
        <w:rPr>
          <w:sz w:val="20"/>
          <w:szCs w:val="20"/>
          <w:lang w:val="es-ES"/>
        </w:rPr>
        <w:t xml:space="preserve">los procesos criminales por </w:t>
      </w:r>
      <w:r w:rsidRPr="00E019A9">
        <w:rPr>
          <w:sz w:val="20"/>
          <w:szCs w:val="20"/>
          <w:lang w:val="es-ES"/>
        </w:rPr>
        <w:t>delitos de lesa humanidad y recién</w:t>
      </w:r>
      <w:r w:rsidR="00996901" w:rsidRPr="00E019A9">
        <w:rPr>
          <w:sz w:val="20"/>
          <w:szCs w:val="20"/>
          <w:lang w:val="es-ES"/>
        </w:rPr>
        <w:t xml:space="preserve"> a partir del año 2006</w:t>
      </w:r>
      <w:r w:rsidR="00F03624" w:rsidRPr="00E019A9">
        <w:rPr>
          <w:sz w:val="20"/>
          <w:szCs w:val="20"/>
          <w:lang w:val="es-ES"/>
        </w:rPr>
        <w:t xml:space="preserve">, </w:t>
      </w:r>
      <w:r w:rsidR="00996901" w:rsidRPr="00E019A9">
        <w:rPr>
          <w:sz w:val="20"/>
          <w:szCs w:val="20"/>
          <w:lang w:val="es-ES"/>
        </w:rPr>
        <w:t>al menos en lo que respecta a los hechos de este caso</w:t>
      </w:r>
      <w:r w:rsidR="00F03624" w:rsidRPr="00E019A9">
        <w:rPr>
          <w:sz w:val="20"/>
          <w:szCs w:val="20"/>
          <w:lang w:val="es-ES"/>
        </w:rPr>
        <w:t xml:space="preserve">, </w:t>
      </w:r>
      <w:r w:rsidR="005E0DA4" w:rsidRPr="00E019A9">
        <w:rPr>
          <w:sz w:val="20"/>
          <w:szCs w:val="20"/>
          <w:lang w:val="es-ES"/>
        </w:rPr>
        <w:t xml:space="preserve">los tribunales nacionales comenzaron a dictar sentencias condenatorias de primera instancia. </w:t>
      </w:r>
    </w:p>
    <w:p w14:paraId="73B60F9A" w14:textId="77777777" w:rsidR="001D3803" w:rsidRPr="00E019A9" w:rsidRDefault="001D3803" w:rsidP="00AC1CA8">
      <w:pPr>
        <w:pStyle w:val="ListParagraph"/>
        <w:tabs>
          <w:tab w:val="left" w:pos="567"/>
        </w:tabs>
        <w:rPr>
          <w:sz w:val="20"/>
          <w:szCs w:val="20"/>
          <w:lang w:val="es-ES"/>
        </w:rPr>
      </w:pPr>
    </w:p>
    <w:p w14:paraId="2A816F52" w14:textId="77777777" w:rsidR="00BB164C" w:rsidRPr="00E019A9" w:rsidRDefault="000724B1" w:rsidP="00C6581C">
      <w:pPr>
        <w:pStyle w:val="ListParagraph"/>
        <w:numPr>
          <w:ilvl w:val="0"/>
          <w:numId w:val="58"/>
        </w:numPr>
        <w:tabs>
          <w:tab w:val="left" w:pos="567"/>
        </w:tabs>
        <w:ind w:left="0" w:firstLine="0"/>
        <w:jc w:val="both"/>
        <w:rPr>
          <w:sz w:val="20"/>
          <w:szCs w:val="20"/>
          <w:lang w:val="es-ES"/>
        </w:rPr>
      </w:pPr>
      <w:r w:rsidRPr="00E019A9">
        <w:rPr>
          <w:sz w:val="20"/>
          <w:szCs w:val="20"/>
          <w:lang w:val="es-ES"/>
        </w:rPr>
        <w:t xml:space="preserve">Por otra parte, la Comisión también desea </w:t>
      </w:r>
      <w:r w:rsidR="00CF05F5" w:rsidRPr="00E019A9">
        <w:rPr>
          <w:sz w:val="20"/>
          <w:szCs w:val="20"/>
          <w:lang w:val="es-ES"/>
        </w:rPr>
        <w:t>expresar su preocupación por el hecho de que,</w:t>
      </w:r>
      <w:r w:rsidR="001A52A7" w:rsidRPr="00E019A9">
        <w:rPr>
          <w:sz w:val="20"/>
          <w:szCs w:val="20"/>
          <w:lang w:val="es-ES"/>
        </w:rPr>
        <w:t xml:space="preserve"> </w:t>
      </w:r>
      <w:r w:rsidR="008E52E1" w:rsidRPr="00E019A9">
        <w:rPr>
          <w:sz w:val="20"/>
          <w:szCs w:val="20"/>
          <w:lang w:val="es-ES"/>
        </w:rPr>
        <w:t xml:space="preserve">en las sentencias dictadas por </w:t>
      </w:r>
      <w:r w:rsidR="00A46581" w:rsidRPr="00E019A9">
        <w:rPr>
          <w:sz w:val="20"/>
          <w:szCs w:val="20"/>
          <w:lang w:val="es-ES"/>
        </w:rPr>
        <w:t>la Corte Suprema</w:t>
      </w:r>
      <w:r w:rsidR="001A52A7" w:rsidRPr="00E019A9">
        <w:rPr>
          <w:sz w:val="20"/>
          <w:szCs w:val="20"/>
          <w:lang w:val="es-ES"/>
        </w:rPr>
        <w:t xml:space="preserve"> y</w:t>
      </w:r>
      <w:r w:rsidR="00E42BFE" w:rsidRPr="00E019A9">
        <w:rPr>
          <w:sz w:val="20"/>
          <w:szCs w:val="20"/>
          <w:lang w:val="es-ES"/>
        </w:rPr>
        <w:t xml:space="preserve"> ante la necesidad de establecer un momento determinado a partir del cual se comenzara a contar el plazo de tiempo previsto para la aplicación de la figura de la media prescripción, los magistrado</w:t>
      </w:r>
      <w:r w:rsidR="00C6581C" w:rsidRPr="00E019A9">
        <w:rPr>
          <w:sz w:val="20"/>
          <w:szCs w:val="20"/>
          <w:lang w:val="es-ES"/>
        </w:rPr>
        <w:t xml:space="preserve">s intervinientes desconocieron </w:t>
      </w:r>
      <w:r w:rsidR="00E42BFE" w:rsidRPr="00E019A9">
        <w:rPr>
          <w:sz w:val="20"/>
          <w:szCs w:val="20"/>
          <w:lang w:val="es-ES"/>
        </w:rPr>
        <w:t xml:space="preserve">el carácter permanente del delito </w:t>
      </w:r>
      <w:r w:rsidR="00A46581" w:rsidRPr="00E019A9">
        <w:rPr>
          <w:sz w:val="20"/>
          <w:szCs w:val="20"/>
          <w:lang w:val="es-ES"/>
        </w:rPr>
        <w:t>i</w:t>
      </w:r>
      <w:r w:rsidR="00E42BFE" w:rsidRPr="00E019A9">
        <w:rPr>
          <w:sz w:val="20"/>
          <w:szCs w:val="20"/>
          <w:lang w:val="es-ES"/>
        </w:rPr>
        <w:t>nternacional de desaparición forzada</w:t>
      </w:r>
      <w:r w:rsidR="00C6581C" w:rsidRPr="00E019A9">
        <w:rPr>
          <w:sz w:val="20"/>
          <w:szCs w:val="20"/>
          <w:lang w:val="es-ES"/>
        </w:rPr>
        <w:t xml:space="preserve">. </w:t>
      </w:r>
      <w:r w:rsidR="00E42BFE" w:rsidRPr="00E019A9">
        <w:rPr>
          <w:sz w:val="20"/>
          <w:szCs w:val="20"/>
          <w:lang w:val="es-ES"/>
        </w:rPr>
        <w:t xml:space="preserve"> </w:t>
      </w:r>
    </w:p>
    <w:p w14:paraId="429877AD" w14:textId="77777777" w:rsidR="00E42BFE" w:rsidRPr="00E019A9" w:rsidRDefault="00E42BFE" w:rsidP="00E42BFE">
      <w:pPr>
        <w:pStyle w:val="ListParagraph"/>
        <w:rPr>
          <w:sz w:val="20"/>
          <w:szCs w:val="20"/>
          <w:lang w:val="es-ES"/>
        </w:rPr>
      </w:pPr>
    </w:p>
    <w:p w14:paraId="6E340E59" w14:textId="77777777" w:rsidR="009048F8" w:rsidRPr="00E019A9" w:rsidRDefault="003E1315" w:rsidP="00BB60A6">
      <w:pPr>
        <w:pStyle w:val="ListParagraph"/>
        <w:numPr>
          <w:ilvl w:val="0"/>
          <w:numId w:val="58"/>
        </w:numPr>
        <w:tabs>
          <w:tab w:val="left" w:pos="567"/>
        </w:tabs>
        <w:ind w:left="0" w:firstLine="0"/>
        <w:jc w:val="both"/>
        <w:rPr>
          <w:sz w:val="20"/>
          <w:szCs w:val="20"/>
          <w:lang w:val="es-ES_tradnl"/>
        </w:rPr>
      </w:pPr>
      <w:r w:rsidRPr="00E019A9">
        <w:rPr>
          <w:sz w:val="20"/>
          <w:szCs w:val="20"/>
          <w:lang w:val="es-ES"/>
        </w:rPr>
        <w:t xml:space="preserve">A </w:t>
      </w:r>
      <w:r w:rsidR="00E42BFE" w:rsidRPr="00E019A9">
        <w:rPr>
          <w:sz w:val="20"/>
          <w:szCs w:val="20"/>
          <w:lang w:val="es-ES"/>
        </w:rPr>
        <w:t xml:space="preserve">mero </w:t>
      </w:r>
      <w:r w:rsidR="002A4062" w:rsidRPr="00E019A9">
        <w:rPr>
          <w:sz w:val="20"/>
          <w:szCs w:val="20"/>
          <w:lang w:val="es-ES"/>
        </w:rPr>
        <w:t>título</w:t>
      </w:r>
      <w:r w:rsidR="00E42BFE" w:rsidRPr="00E019A9">
        <w:rPr>
          <w:sz w:val="20"/>
          <w:szCs w:val="20"/>
          <w:lang w:val="es-ES"/>
        </w:rPr>
        <w:t xml:space="preserve"> </w:t>
      </w:r>
      <w:r w:rsidRPr="00E019A9">
        <w:rPr>
          <w:sz w:val="20"/>
          <w:szCs w:val="20"/>
          <w:lang w:val="es-ES"/>
        </w:rPr>
        <w:t xml:space="preserve">ejemplificativo, la </w:t>
      </w:r>
      <w:r w:rsidR="0044462F" w:rsidRPr="00E019A9">
        <w:rPr>
          <w:sz w:val="20"/>
          <w:szCs w:val="20"/>
          <w:lang w:val="es-ES"/>
        </w:rPr>
        <w:t>Comisión</w:t>
      </w:r>
      <w:r w:rsidRPr="00E019A9">
        <w:rPr>
          <w:sz w:val="20"/>
          <w:szCs w:val="20"/>
          <w:lang w:val="es-ES"/>
        </w:rPr>
        <w:t xml:space="preserve"> destaca que </w:t>
      </w:r>
      <w:r w:rsidR="001F2661" w:rsidRPr="00E019A9">
        <w:rPr>
          <w:sz w:val="20"/>
          <w:szCs w:val="20"/>
          <w:lang w:val="es-ES"/>
        </w:rPr>
        <w:t>en las peticiones 759-08</w:t>
      </w:r>
      <w:r w:rsidR="001F2661" w:rsidRPr="00E019A9">
        <w:rPr>
          <w:rStyle w:val="FootnoteReference"/>
          <w:sz w:val="20"/>
          <w:szCs w:val="20"/>
          <w:lang w:val="es-ES"/>
        </w:rPr>
        <w:footnoteReference w:id="223"/>
      </w:r>
      <w:r w:rsidR="001F2661" w:rsidRPr="00E019A9">
        <w:rPr>
          <w:sz w:val="20"/>
          <w:szCs w:val="20"/>
          <w:lang w:val="es-ES"/>
        </w:rPr>
        <w:t>, 102-08</w:t>
      </w:r>
      <w:r w:rsidR="001F2661" w:rsidRPr="00E019A9">
        <w:rPr>
          <w:rStyle w:val="FootnoteReference"/>
          <w:sz w:val="20"/>
          <w:szCs w:val="20"/>
          <w:lang w:val="es-ES"/>
        </w:rPr>
        <w:footnoteReference w:id="224"/>
      </w:r>
      <w:r w:rsidR="001F2661" w:rsidRPr="00E019A9">
        <w:rPr>
          <w:sz w:val="20"/>
          <w:szCs w:val="20"/>
          <w:lang w:val="es-ES"/>
        </w:rPr>
        <w:t xml:space="preserve"> y 1575-07</w:t>
      </w:r>
      <w:r w:rsidR="001F2661" w:rsidRPr="00E019A9">
        <w:rPr>
          <w:rStyle w:val="FootnoteReference"/>
          <w:sz w:val="20"/>
          <w:szCs w:val="20"/>
          <w:lang w:val="es-ES"/>
        </w:rPr>
        <w:footnoteReference w:id="225"/>
      </w:r>
      <w:r w:rsidR="00383B1F" w:rsidRPr="00E019A9">
        <w:rPr>
          <w:sz w:val="20"/>
          <w:szCs w:val="20"/>
          <w:lang w:val="es-ES"/>
        </w:rPr>
        <w:t xml:space="preserve"> </w:t>
      </w:r>
      <w:r w:rsidR="001F2661" w:rsidRPr="00E019A9">
        <w:rPr>
          <w:sz w:val="20"/>
          <w:szCs w:val="20"/>
          <w:lang w:val="es-ES"/>
        </w:rPr>
        <w:t xml:space="preserve">la Corte Suprema decidió fijar </w:t>
      </w:r>
      <w:r w:rsidR="00383B1F" w:rsidRPr="00E019A9">
        <w:rPr>
          <w:sz w:val="20"/>
          <w:szCs w:val="20"/>
          <w:lang w:val="es-ES"/>
        </w:rPr>
        <w:t xml:space="preserve">el inicio del plazo para el computo de la media prescripción </w:t>
      </w:r>
      <w:r w:rsidR="001F2661" w:rsidRPr="00E019A9">
        <w:rPr>
          <w:sz w:val="20"/>
          <w:szCs w:val="20"/>
          <w:lang w:val="es-ES"/>
        </w:rPr>
        <w:t xml:space="preserve">en el día 91 de acontecida la privación ilegal de la libertad de las </w:t>
      </w:r>
      <w:r w:rsidR="002A4062" w:rsidRPr="00E019A9">
        <w:rPr>
          <w:sz w:val="20"/>
          <w:szCs w:val="20"/>
          <w:lang w:val="es-ES"/>
        </w:rPr>
        <w:t>víctimas</w:t>
      </w:r>
      <w:r w:rsidR="001F2661" w:rsidRPr="00E019A9">
        <w:rPr>
          <w:sz w:val="20"/>
          <w:szCs w:val="20"/>
          <w:lang w:val="es-ES"/>
        </w:rPr>
        <w:t xml:space="preserve">, ya que era a partir de ese día que el tipo penal básico de secuestro era desplazado por el de secuestro calificado. En otras decisiones, como por ejemplo la de las peticiones </w:t>
      </w:r>
      <w:r w:rsidR="009048F8" w:rsidRPr="00E019A9">
        <w:rPr>
          <w:sz w:val="20"/>
          <w:szCs w:val="20"/>
          <w:lang w:val="es-ES"/>
        </w:rPr>
        <w:t>798-09</w:t>
      </w:r>
      <w:r w:rsidR="009048F8" w:rsidRPr="00E019A9">
        <w:rPr>
          <w:rStyle w:val="FootnoteReference"/>
          <w:sz w:val="20"/>
          <w:szCs w:val="20"/>
          <w:lang w:val="es-ES"/>
        </w:rPr>
        <w:footnoteReference w:id="226"/>
      </w:r>
      <w:r w:rsidR="009048F8" w:rsidRPr="00E019A9">
        <w:rPr>
          <w:sz w:val="20"/>
          <w:szCs w:val="20"/>
          <w:lang w:val="es-ES"/>
        </w:rPr>
        <w:t xml:space="preserve"> y 674-11</w:t>
      </w:r>
      <w:r w:rsidR="009048F8" w:rsidRPr="00E019A9">
        <w:rPr>
          <w:rStyle w:val="FootnoteReference"/>
          <w:sz w:val="20"/>
          <w:szCs w:val="20"/>
          <w:lang w:val="es-ES"/>
        </w:rPr>
        <w:footnoteReference w:id="227"/>
      </w:r>
      <w:r w:rsidR="009048F8" w:rsidRPr="00E019A9">
        <w:rPr>
          <w:sz w:val="20"/>
          <w:szCs w:val="20"/>
          <w:lang w:val="es-ES"/>
        </w:rPr>
        <w:t xml:space="preserve">, los jueces fijaron como fecha de inicio del plazo de la media prescripción el momento en que los órganos de justicia militar decidieron archivar las denuncias interpuestas por los familiares de las </w:t>
      </w:r>
      <w:r w:rsidR="002A4062" w:rsidRPr="00E019A9">
        <w:rPr>
          <w:sz w:val="20"/>
          <w:szCs w:val="20"/>
          <w:lang w:val="es-ES"/>
        </w:rPr>
        <w:t>víctimas</w:t>
      </w:r>
      <w:r w:rsidR="009048F8" w:rsidRPr="00E019A9">
        <w:rPr>
          <w:sz w:val="20"/>
          <w:szCs w:val="20"/>
          <w:lang w:val="es-ES"/>
        </w:rPr>
        <w:t xml:space="preserve">. </w:t>
      </w:r>
    </w:p>
    <w:p w14:paraId="5E1758C0" w14:textId="77777777" w:rsidR="001C14C8" w:rsidRPr="00E019A9" w:rsidRDefault="001C14C8" w:rsidP="001D321F">
      <w:pPr>
        <w:rPr>
          <w:lang w:val="es-ES_tradnl"/>
        </w:rPr>
      </w:pPr>
    </w:p>
    <w:p w14:paraId="40B4B7A9" w14:textId="77777777" w:rsidR="00C6581C" w:rsidRPr="00E019A9" w:rsidRDefault="003E1315" w:rsidP="00C6581C">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 xml:space="preserve">Por todo lo </w:t>
      </w:r>
      <w:r w:rsidR="00D01B32" w:rsidRPr="00E019A9">
        <w:rPr>
          <w:sz w:val="20"/>
          <w:szCs w:val="20"/>
          <w:lang w:val="es-ES_tradnl"/>
        </w:rPr>
        <w:t>expuesto</w:t>
      </w:r>
      <w:r w:rsidRPr="00E019A9">
        <w:rPr>
          <w:sz w:val="20"/>
          <w:szCs w:val="20"/>
          <w:lang w:val="es-ES_tradnl"/>
        </w:rPr>
        <w:t xml:space="preserve"> anteriormente, la </w:t>
      </w:r>
      <w:r w:rsidR="00130AA5" w:rsidRPr="00E019A9">
        <w:rPr>
          <w:sz w:val="20"/>
          <w:szCs w:val="20"/>
          <w:lang w:val="es-ES_tradnl"/>
        </w:rPr>
        <w:t>Comisión</w:t>
      </w:r>
      <w:r w:rsidRPr="00E019A9">
        <w:rPr>
          <w:sz w:val="20"/>
          <w:szCs w:val="20"/>
          <w:lang w:val="es-ES_tradnl"/>
        </w:rPr>
        <w:t xml:space="preserve"> conclu</w:t>
      </w:r>
      <w:r w:rsidR="00A46581" w:rsidRPr="00E019A9">
        <w:rPr>
          <w:sz w:val="20"/>
          <w:szCs w:val="20"/>
          <w:lang w:val="es-ES_tradnl"/>
        </w:rPr>
        <w:t xml:space="preserve">ye </w:t>
      </w:r>
      <w:r w:rsidR="00A75A83" w:rsidRPr="00E019A9">
        <w:rPr>
          <w:sz w:val="20"/>
          <w:szCs w:val="20"/>
          <w:lang w:val="es-ES_tradnl"/>
        </w:rPr>
        <w:t>que</w:t>
      </w:r>
      <w:r w:rsidR="0044462F" w:rsidRPr="00E019A9">
        <w:rPr>
          <w:sz w:val="20"/>
          <w:szCs w:val="20"/>
          <w:lang w:val="es-ES_tradnl"/>
        </w:rPr>
        <w:t xml:space="preserve">, </w:t>
      </w:r>
      <w:r w:rsidR="00D01B32" w:rsidRPr="00E019A9">
        <w:rPr>
          <w:sz w:val="20"/>
          <w:szCs w:val="20"/>
          <w:lang w:val="es-ES_tradnl"/>
        </w:rPr>
        <w:t>respecto de la totalidad de</w:t>
      </w:r>
      <w:r w:rsidRPr="00E019A9">
        <w:rPr>
          <w:sz w:val="20"/>
          <w:szCs w:val="20"/>
          <w:lang w:val="es-ES_tradnl"/>
        </w:rPr>
        <w:t xml:space="preserve"> las peticiones </w:t>
      </w:r>
      <w:r w:rsidR="00A75A83" w:rsidRPr="00E019A9">
        <w:rPr>
          <w:sz w:val="20"/>
          <w:szCs w:val="20"/>
          <w:lang w:val="es-ES_tradnl"/>
        </w:rPr>
        <w:t xml:space="preserve">de este informe, las penas impuestas </w:t>
      </w:r>
      <w:r w:rsidRPr="00E019A9">
        <w:rPr>
          <w:sz w:val="20"/>
          <w:szCs w:val="20"/>
          <w:lang w:val="es-ES_tradnl"/>
        </w:rPr>
        <w:t>por la Corte Suprema de Justicia en sus sentencias de reemplazo resultaron</w:t>
      </w:r>
      <w:r w:rsidR="00A75A83" w:rsidRPr="00E019A9">
        <w:rPr>
          <w:sz w:val="20"/>
          <w:szCs w:val="20"/>
          <w:lang w:val="es-ES_tradnl"/>
        </w:rPr>
        <w:t xml:space="preserve"> </w:t>
      </w:r>
      <w:r w:rsidR="00130AA5" w:rsidRPr="00E019A9">
        <w:rPr>
          <w:sz w:val="20"/>
          <w:szCs w:val="20"/>
          <w:lang w:val="es-ES_tradnl"/>
        </w:rPr>
        <w:t>manifiestamente</w:t>
      </w:r>
      <w:r w:rsidR="00A75A83" w:rsidRPr="00E019A9">
        <w:rPr>
          <w:sz w:val="20"/>
          <w:szCs w:val="20"/>
          <w:lang w:val="es-ES_tradnl"/>
        </w:rPr>
        <w:t xml:space="preserve"> </w:t>
      </w:r>
      <w:r w:rsidR="00130AA5" w:rsidRPr="00E019A9">
        <w:rPr>
          <w:sz w:val="20"/>
          <w:szCs w:val="20"/>
          <w:lang w:val="es-ES_tradnl"/>
        </w:rPr>
        <w:t>inadecuadas</w:t>
      </w:r>
      <w:r w:rsidR="00A75A83" w:rsidRPr="00E019A9">
        <w:rPr>
          <w:sz w:val="20"/>
          <w:szCs w:val="20"/>
          <w:lang w:val="es-ES_tradnl"/>
        </w:rPr>
        <w:t xml:space="preserve"> frente a la gravedad de los delitos</w:t>
      </w:r>
      <w:r w:rsidRPr="00E019A9">
        <w:rPr>
          <w:sz w:val="20"/>
          <w:szCs w:val="20"/>
          <w:lang w:val="es-ES_tradnl"/>
        </w:rPr>
        <w:t xml:space="preserve"> cometidos</w:t>
      </w:r>
      <w:r w:rsidR="00A75A83" w:rsidRPr="00E019A9">
        <w:rPr>
          <w:sz w:val="20"/>
          <w:szCs w:val="20"/>
          <w:lang w:val="es-ES_tradnl"/>
        </w:rPr>
        <w:t xml:space="preserve"> y que la </w:t>
      </w:r>
      <w:r w:rsidR="00130AA5" w:rsidRPr="00E019A9">
        <w:rPr>
          <w:sz w:val="20"/>
          <w:szCs w:val="20"/>
          <w:lang w:val="es-ES_tradnl"/>
        </w:rPr>
        <w:t>aplicación</w:t>
      </w:r>
      <w:r w:rsidR="00A75A83" w:rsidRPr="00E019A9">
        <w:rPr>
          <w:sz w:val="20"/>
          <w:szCs w:val="20"/>
          <w:lang w:val="es-ES_tradnl"/>
        </w:rPr>
        <w:t xml:space="preserve"> de la figura de</w:t>
      </w:r>
      <w:r w:rsidRPr="00E019A9">
        <w:rPr>
          <w:sz w:val="20"/>
          <w:szCs w:val="20"/>
          <w:lang w:val="es-ES_tradnl"/>
        </w:rPr>
        <w:t xml:space="preserve"> </w:t>
      </w:r>
      <w:r w:rsidR="00A75A83" w:rsidRPr="00E019A9">
        <w:rPr>
          <w:sz w:val="20"/>
          <w:szCs w:val="20"/>
          <w:lang w:val="es-ES_tradnl"/>
        </w:rPr>
        <w:t xml:space="preserve">la media </w:t>
      </w:r>
      <w:r w:rsidR="00130AA5" w:rsidRPr="00E019A9">
        <w:rPr>
          <w:sz w:val="20"/>
          <w:szCs w:val="20"/>
          <w:lang w:val="es-ES_tradnl"/>
        </w:rPr>
        <w:t>prescripción</w:t>
      </w:r>
      <w:r w:rsidR="00A75A83" w:rsidRPr="00E019A9">
        <w:rPr>
          <w:sz w:val="20"/>
          <w:szCs w:val="20"/>
          <w:lang w:val="es-ES_tradnl"/>
        </w:rPr>
        <w:t xml:space="preserve"> </w:t>
      </w:r>
      <w:r w:rsidRPr="00E019A9">
        <w:rPr>
          <w:sz w:val="20"/>
          <w:szCs w:val="20"/>
          <w:lang w:val="es-ES_tradnl"/>
        </w:rPr>
        <w:t>vulner</w:t>
      </w:r>
      <w:r w:rsidR="004503BE" w:rsidRPr="00E019A9">
        <w:rPr>
          <w:sz w:val="20"/>
          <w:szCs w:val="20"/>
          <w:lang w:val="es-ES_tradnl"/>
        </w:rPr>
        <w:t>ó</w:t>
      </w:r>
      <w:r w:rsidRPr="00E019A9">
        <w:rPr>
          <w:sz w:val="20"/>
          <w:szCs w:val="20"/>
          <w:lang w:val="es-ES_tradnl"/>
        </w:rPr>
        <w:t xml:space="preserve"> el d</w:t>
      </w:r>
      <w:r w:rsidR="0044462F" w:rsidRPr="00E019A9">
        <w:rPr>
          <w:sz w:val="20"/>
          <w:szCs w:val="20"/>
          <w:lang w:val="es-ES_tradnl"/>
        </w:rPr>
        <w:t xml:space="preserve">eber del Estado de </w:t>
      </w:r>
      <w:r w:rsidR="00267A39" w:rsidRPr="00E019A9">
        <w:rPr>
          <w:sz w:val="20"/>
          <w:szCs w:val="20"/>
          <w:lang w:val="es-ES_tradnl"/>
        </w:rPr>
        <w:t xml:space="preserve">sancionar </w:t>
      </w:r>
      <w:r w:rsidR="0044462F" w:rsidRPr="00E019A9">
        <w:rPr>
          <w:sz w:val="20"/>
          <w:szCs w:val="20"/>
          <w:lang w:val="es-ES_tradnl"/>
        </w:rPr>
        <w:t xml:space="preserve">los delitos de lesa humanidad cometidos </w:t>
      </w:r>
      <w:r w:rsidR="00267A39" w:rsidRPr="00E019A9">
        <w:rPr>
          <w:sz w:val="20"/>
          <w:szCs w:val="20"/>
          <w:lang w:val="es-ES_tradnl"/>
        </w:rPr>
        <w:t>en el presente caso</w:t>
      </w:r>
      <w:r w:rsidR="0044462F" w:rsidRPr="00E019A9">
        <w:rPr>
          <w:sz w:val="20"/>
          <w:szCs w:val="20"/>
          <w:lang w:val="es-ES_tradnl"/>
        </w:rPr>
        <w:t xml:space="preserve">. </w:t>
      </w:r>
      <w:r w:rsidRPr="00E019A9">
        <w:rPr>
          <w:sz w:val="20"/>
          <w:szCs w:val="20"/>
          <w:lang w:val="es-ES_tradnl"/>
        </w:rPr>
        <w:t xml:space="preserve"> </w:t>
      </w:r>
      <w:r w:rsidR="00484DE8" w:rsidRPr="00E019A9">
        <w:rPr>
          <w:sz w:val="20"/>
          <w:szCs w:val="20"/>
          <w:lang w:val="es-ES_tradnl"/>
        </w:rPr>
        <w:t xml:space="preserve">En estas circunstancias, la Comisión observa que el Estado violó los artículos 8 y 25 de la Convención Americana en relación con los artículos 1.1 y 2 del mismo instrumento, en perjuicio de todas las víctimas. </w:t>
      </w:r>
    </w:p>
    <w:p w14:paraId="6FF6962C" w14:textId="77777777" w:rsidR="00C6581C" w:rsidRPr="00E019A9" w:rsidRDefault="00C6581C" w:rsidP="00C6581C">
      <w:pPr>
        <w:pStyle w:val="ListParagraph"/>
        <w:tabs>
          <w:tab w:val="left" w:pos="567"/>
        </w:tabs>
        <w:ind w:left="0"/>
        <w:jc w:val="both"/>
        <w:rPr>
          <w:sz w:val="20"/>
          <w:szCs w:val="20"/>
          <w:lang w:val="es-ES_tradnl"/>
        </w:rPr>
      </w:pPr>
    </w:p>
    <w:p w14:paraId="61EC16A2" w14:textId="77777777" w:rsidR="001A52A7" w:rsidRPr="00E019A9" w:rsidRDefault="00E9417D" w:rsidP="001A52A7">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Asimismo</w:t>
      </w:r>
      <w:r w:rsidR="00267A39" w:rsidRPr="00E019A9">
        <w:rPr>
          <w:sz w:val="20"/>
          <w:szCs w:val="20"/>
          <w:lang w:val="es-ES_tradnl"/>
        </w:rPr>
        <w:t xml:space="preserve">, en aplicación del principio </w:t>
      </w:r>
      <w:r w:rsidR="00267A39" w:rsidRPr="00E019A9">
        <w:rPr>
          <w:i/>
          <w:iCs/>
          <w:sz w:val="20"/>
          <w:szCs w:val="20"/>
          <w:lang w:val="es-ES_tradnl"/>
        </w:rPr>
        <w:t>iura novit curia,</w:t>
      </w:r>
      <w:r w:rsidR="00267A39" w:rsidRPr="00E019A9">
        <w:rPr>
          <w:sz w:val="20"/>
          <w:szCs w:val="20"/>
          <w:lang w:val="es-ES_tradnl"/>
        </w:rPr>
        <w:t xml:space="preserve"> la Comisión concluye que el Estado es responsable por la violación de los </w:t>
      </w:r>
      <w:r w:rsidR="00484DE8" w:rsidRPr="00E019A9">
        <w:rPr>
          <w:sz w:val="20"/>
          <w:szCs w:val="20"/>
          <w:lang w:val="es-ES_tradnl"/>
        </w:rPr>
        <w:t xml:space="preserve">artículos </w:t>
      </w:r>
      <w:r w:rsidR="00267A39" w:rsidRPr="00E019A9">
        <w:rPr>
          <w:sz w:val="20"/>
          <w:szCs w:val="20"/>
          <w:lang w:val="es-ES_tradnl"/>
        </w:rPr>
        <w:t xml:space="preserve">I.b y III </w:t>
      </w:r>
      <w:r w:rsidR="00484DE8" w:rsidRPr="00E019A9">
        <w:rPr>
          <w:sz w:val="20"/>
          <w:szCs w:val="20"/>
          <w:lang w:val="es-ES_tradnl"/>
        </w:rPr>
        <w:t xml:space="preserve">a partir del 26 de enero de 2010, fecha en que el Estado de Chile depositó el instrumento de ratificación de dicho tratado en perjuicio </w:t>
      </w:r>
      <w:r w:rsidR="00C6581C" w:rsidRPr="00E019A9">
        <w:rPr>
          <w:sz w:val="20"/>
          <w:szCs w:val="20"/>
          <w:lang w:val="es-ES_tradnl"/>
        </w:rPr>
        <w:t xml:space="preserve">de </w:t>
      </w:r>
      <w:r w:rsidR="00E019A9" w:rsidRPr="00E019A9">
        <w:rPr>
          <w:sz w:val="20"/>
          <w:szCs w:val="20"/>
          <w:lang w:val="es-ES_tradnl"/>
        </w:rPr>
        <w:t>las presuntas víctimas</w:t>
      </w:r>
      <w:r w:rsidR="00C6581C" w:rsidRPr="00E019A9">
        <w:rPr>
          <w:sz w:val="20"/>
          <w:szCs w:val="20"/>
          <w:lang w:val="es-ES_tradnl"/>
        </w:rPr>
        <w:t xml:space="preserve"> de las peticiones </w:t>
      </w:r>
      <w:r w:rsidR="00C6581C" w:rsidRPr="00E019A9">
        <w:rPr>
          <w:sz w:val="20"/>
          <w:szCs w:val="20"/>
          <w:lang w:val="es-AR"/>
        </w:rPr>
        <w:t xml:space="preserve">P 308-08, P 759-08, P 707-09, P 798-09, P-102-08, P 665-11, 674-11, P 1275-04, P 675-11, P 1051-11, P 1211-10 </w:t>
      </w:r>
      <w:r w:rsidR="001A52A7" w:rsidRPr="00E019A9">
        <w:rPr>
          <w:sz w:val="20"/>
          <w:szCs w:val="20"/>
          <w:lang w:val="es-AR"/>
        </w:rPr>
        <w:t>y P</w:t>
      </w:r>
      <w:r w:rsidR="00C6581C" w:rsidRPr="00E019A9">
        <w:rPr>
          <w:sz w:val="20"/>
          <w:szCs w:val="20"/>
          <w:lang w:val="es-AR"/>
        </w:rPr>
        <w:t xml:space="preserve"> 1457-10. </w:t>
      </w:r>
    </w:p>
    <w:p w14:paraId="392D4069" w14:textId="77777777" w:rsidR="001A52A7" w:rsidRPr="00E019A9" w:rsidRDefault="001A52A7" w:rsidP="001A52A7">
      <w:pPr>
        <w:pStyle w:val="ListParagraph"/>
        <w:tabs>
          <w:tab w:val="left" w:pos="567"/>
        </w:tabs>
        <w:ind w:left="0"/>
        <w:jc w:val="both"/>
        <w:rPr>
          <w:sz w:val="20"/>
          <w:szCs w:val="20"/>
          <w:lang w:val="es-ES_tradnl"/>
        </w:rPr>
      </w:pPr>
    </w:p>
    <w:p w14:paraId="180CC3C7" w14:textId="77777777" w:rsidR="00A46581" w:rsidRPr="00E019A9" w:rsidRDefault="00C6581C" w:rsidP="001A52A7">
      <w:pPr>
        <w:pStyle w:val="ListParagraph"/>
        <w:numPr>
          <w:ilvl w:val="0"/>
          <w:numId w:val="58"/>
        </w:numPr>
        <w:tabs>
          <w:tab w:val="left" w:pos="567"/>
        </w:tabs>
        <w:ind w:left="0" w:firstLine="0"/>
        <w:jc w:val="both"/>
        <w:rPr>
          <w:sz w:val="20"/>
          <w:szCs w:val="20"/>
          <w:lang w:val="es-ES_tradnl"/>
        </w:rPr>
      </w:pPr>
      <w:r w:rsidRPr="00E019A9">
        <w:rPr>
          <w:sz w:val="20"/>
          <w:szCs w:val="20"/>
          <w:lang w:val="es-ES_tradnl"/>
        </w:rPr>
        <w:t>Por último</w:t>
      </w:r>
      <w:r w:rsidR="0044462F" w:rsidRPr="00E019A9">
        <w:rPr>
          <w:sz w:val="20"/>
          <w:szCs w:val="20"/>
          <w:lang w:val="es-ES_tradnl"/>
        </w:rPr>
        <w:t>, l</w:t>
      </w:r>
      <w:r w:rsidR="00571EFA" w:rsidRPr="00E019A9">
        <w:rPr>
          <w:sz w:val="20"/>
          <w:szCs w:val="20"/>
          <w:lang w:val="es-ES_tradnl"/>
        </w:rPr>
        <w:t xml:space="preserve">a </w:t>
      </w:r>
      <w:r w:rsidR="00114BEC" w:rsidRPr="00E019A9">
        <w:rPr>
          <w:sz w:val="20"/>
          <w:szCs w:val="20"/>
          <w:lang w:val="es-ES_tradnl"/>
        </w:rPr>
        <w:t>Comisión</w:t>
      </w:r>
      <w:r w:rsidR="0044462F" w:rsidRPr="00E019A9">
        <w:rPr>
          <w:sz w:val="20"/>
          <w:szCs w:val="20"/>
          <w:lang w:val="es-ES_tradnl"/>
        </w:rPr>
        <w:t xml:space="preserve"> </w:t>
      </w:r>
      <w:r w:rsidRPr="00E019A9">
        <w:rPr>
          <w:sz w:val="20"/>
          <w:szCs w:val="20"/>
          <w:lang w:val="es-ES_tradnl"/>
        </w:rPr>
        <w:t>valora</w:t>
      </w:r>
      <w:r w:rsidR="00571EFA" w:rsidRPr="00E019A9">
        <w:rPr>
          <w:sz w:val="20"/>
          <w:szCs w:val="20"/>
          <w:lang w:val="es-ES_tradnl"/>
        </w:rPr>
        <w:t xml:space="preserve"> la posición del Estado chileno </w:t>
      </w:r>
      <w:r w:rsidR="00046C34" w:rsidRPr="00E019A9">
        <w:rPr>
          <w:sz w:val="20"/>
          <w:szCs w:val="20"/>
          <w:lang w:val="es-ES_tradnl"/>
        </w:rPr>
        <w:t>expresada</w:t>
      </w:r>
      <w:r w:rsidR="00F95BF1" w:rsidRPr="00E019A9">
        <w:rPr>
          <w:sz w:val="20"/>
          <w:szCs w:val="20"/>
          <w:lang w:val="es-ES_tradnl"/>
        </w:rPr>
        <w:t xml:space="preserve"> </w:t>
      </w:r>
      <w:r w:rsidR="00A46581" w:rsidRPr="00E019A9">
        <w:rPr>
          <w:i/>
          <w:iCs/>
          <w:sz w:val="20"/>
          <w:szCs w:val="20"/>
          <w:lang w:val="es-ES_tradnl"/>
        </w:rPr>
        <w:t xml:space="preserve">supra </w:t>
      </w:r>
      <w:r w:rsidR="00F95BF1" w:rsidRPr="00E019A9">
        <w:rPr>
          <w:sz w:val="20"/>
          <w:szCs w:val="20"/>
          <w:lang w:val="es-ES_tradnl"/>
        </w:rPr>
        <w:t>en</w:t>
      </w:r>
      <w:r w:rsidR="00571EFA" w:rsidRPr="00E019A9">
        <w:rPr>
          <w:sz w:val="20"/>
          <w:szCs w:val="20"/>
          <w:lang w:val="es-ES_tradnl"/>
        </w:rPr>
        <w:t xml:space="preserve"> su documento de observaciones adicionales sobre el fondo </w:t>
      </w:r>
      <w:r w:rsidR="0044462F" w:rsidRPr="00E019A9">
        <w:rPr>
          <w:sz w:val="20"/>
          <w:szCs w:val="20"/>
          <w:lang w:val="es-ES_tradnl"/>
        </w:rPr>
        <w:t>recibido por la CIDH el 26 de octubre de 2017</w:t>
      </w:r>
      <w:r w:rsidR="00A46581" w:rsidRPr="00E019A9">
        <w:rPr>
          <w:sz w:val="20"/>
          <w:szCs w:val="20"/>
          <w:lang w:val="es-ES_tradnl"/>
        </w:rPr>
        <w:t>. L</w:t>
      </w:r>
      <w:r w:rsidR="00571EFA" w:rsidRPr="00E019A9">
        <w:rPr>
          <w:sz w:val="20"/>
          <w:szCs w:val="20"/>
          <w:lang w:val="es-ES_tradnl"/>
        </w:rPr>
        <w:t xml:space="preserve">a </w:t>
      </w:r>
      <w:r w:rsidR="00114BEC" w:rsidRPr="00E019A9">
        <w:rPr>
          <w:sz w:val="20"/>
          <w:szCs w:val="20"/>
          <w:lang w:val="es-ES_tradnl"/>
        </w:rPr>
        <w:t>Comisión</w:t>
      </w:r>
      <w:r w:rsidR="00571EFA" w:rsidRPr="00E019A9">
        <w:rPr>
          <w:sz w:val="20"/>
          <w:szCs w:val="20"/>
          <w:lang w:val="es-ES_tradnl"/>
        </w:rPr>
        <w:t xml:space="preserve"> coincide con el Estado</w:t>
      </w:r>
      <w:r w:rsidR="00BB4BE6" w:rsidRPr="00E019A9">
        <w:rPr>
          <w:sz w:val="20"/>
          <w:szCs w:val="20"/>
          <w:lang w:val="es-ES_tradnl"/>
        </w:rPr>
        <w:t xml:space="preserve"> en su apreciación</w:t>
      </w:r>
      <w:r w:rsidR="00571EFA" w:rsidRPr="00E019A9">
        <w:rPr>
          <w:sz w:val="20"/>
          <w:szCs w:val="20"/>
          <w:lang w:val="es-ES_tradnl"/>
        </w:rPr>
        <w:t xml:space="preserve"> respecto</w:t>
      </w:r>
      <w:r w:rsidR="00114BEC" w:rsidRPr="00E019A9">
        <w:rPr>
          <w:sz w:val="20"/>
          <w:szCs w:val="20"/>
          <w:lang w:val="es-ES_tradnl"/>
        </w:rPr>
        <w:t xml:space="preserve"> a que la </w:t>
      </w:r>
      <w:r w:rsidR="004503BE" w:rsidRPr="00E019A9">
        <w:rPr>
          <w:sz w:val="20"/>
          <w:szCs w:val="20"/>
          <w:lang w:val="es-ES_tradnl"/>
        </w:rPr>
        <w:t>practica judicial</w:t>
      </w:r>
      <w:r w:rsidR="00114BEC" w:rsidRPr="00E019A9">
        <w:rPr>
          <w:sz w:val="20"/>
          <w:szCs w:val="20"/>
          <w:lang w:val="es-ES_tradnl"/>
        </w:rPr>
        <w:t xml:space="preserve"> de aplicar </w:t>
      </w:r>
      <w:r w:rsidR="00EF74CB" w:rsidRPr="00E019A9">
        <w:rPr>
          <w:sz w:val="20"/>
          <w:szCs w:val="20"/>
          <w:lang w:val="es-ES_tradnl"/>
        </w:rPr>
        <w:t xml:space="preserve">la </w:t>
      </w:r>
      <w:r w:rsidR="0044462F" w:rsidRPr="00E019A9">
        <w:rPr>
          <w:sz w:val="20"/>
          <w:szCs w:val="20"/>
          <w:lang w:val="es-ES_tradnl"/>
        </w:rPr>
        <w:t xml:space="preserve">media </w:t>
      </w:r>
      <w:r w:rsidR="004503BE" w:rsidRPr="00E019A9">
        <w:rPr>
          <w:sz w:val="20"/>
          <w:szCs w:val="20"/>
          <w:lang w:val="es-ES_tradnl"/>
        </w:rPr>
        <w:t>prescripción</w:t>
      </w:r>
      <w:r w:rsidR="0044462F" w:rsidRPr="00E019A9">
        <w:rPr>
          <w:sz w:val="20"/>
          <w:szCs w:val="20"/>
          <w:lang w:val="es-ES_tradnl"/>
        </w:rPr>
        <w:t xml:space="preserve"> represent</w:t>
      </w:r>
      <w:r w:rsidR="004503BE" w:rsidRPr="00E019A9">
        <w:rPr>
          <w:sz w:val="20"/>
          <w:szCs w:val="20"/>
          <w:lang w:val="es-ES_tradnl"/>
        </w:rPr>
        <w:t>ó “una forma de impunidad de facto y una medida que aparentó satisfacer las exigencias formales de justicia”</w:t>
      </w:r>
      <w:r w:rsidR="004503BE" w:rsidRPr="00E019A9">
        <w:rPr>
          <w:rStyle w:val="FootnoteReference"/>
          <w:sz w:val="20"/>
          <w:szCs w:val="20"/>
          <w:lang w:val="es-ES_tradnl"/>
        </w:rPr>
        <w:footnoteReference w:id="228"/>
      </w:r>
      <w:r w:rsidR="004503BE" w:rsidRPr="00E019A9">
        <w:rPr>
          <w:sz w:val="20"/>
          <w:szCs w:val="20"/>
          <w:lang w:val="es-ES_tradnl"/>
        </w:rPr>
        <w:t xml:space="preserve">. </w:t>
      </w:r>
      <w:r w:rsidR="00A46581" w:rsidRPr="00E019A9">
        <w:rPr>
          <w:sz w:val="20"/>
          <w:szCs w:val="20"/>
          <w:lang w:val="es-ES_tradnl"/>
        </w:rPr>
        <w:t xml:space="preserve">La </w:t>
      </w:r>
      <w:r w:rsidRPr="00E019A9">
        <w:rPr>
          <w:sz w:val="20"/>
          <w:szCs w:val="20"/>
          <w:lang w:val="es-ES_tradnl"/>
        </w:rPr>
        <w:t>CIDH</w:t>
      </w:r>
      <w:r w:rsidR="00A46581" w:rsidRPr="00E019A9">
        <w:rPr>
          <w:sz w:val="20"/>
          <w:szCs w:val="20"/>
          <w:lang w:val="es-ES_tradnl"/>
        </w:rPr>
        <w:t xml:space="preserve"> considera que corresponde dar</w:t>
      </w:r>
      <w:r w:rsidR="00267A39" w:rsidRPr="00E019A9">
        <w:rPr>
          <w:sz w:val="20"/>
          <w:szCs w:val="20"/>
          <w:lang w:val="es-ES_tradnl"/>
        </w:rPr>
        <w:t xml:space="preserve"> </w:t>
      </w:r>
      <w:r w:rsidR="00A46581" w:rsidRPr="00E019A9">
        <w:rPr>
          <w:sz w:val="20"/>
          <w:szCs w:val="20"/>
          <w:lang w:val="es-ES_tradnl"/>
        </w:rPr>
        <w:t>plenos efectos jurídicos a tales afirmaciones</w:t>
      </w:r>
      <w:r w:rsidRPr="00E019A9">
        <w:rPr>
          <w:sz w:val="20"/>
          <w:szCs w:val="20"/>
          <w:lang w:val="es-ES_tradnl"/>
        </w:rPr>
        <w:t xml:space="preserve"> y que, en consecuencia, reafirman la obligación del Estado chileno de reparar a las víctimas del caso y adoptar medidas de no repetición. </w:t>
      </w:r>
    </w:p>
    <w:p w14:paraId="3CBF75A5" w14:textId="77777777" w:rsidR="00C6581C" w:rsidRPr="00E019A9" w:rsidRDefault="00C6581C" w:rsidP="00C6581C">
      <w:pPr>
        <w:pStyle w:val="ListParagraph"/>
        <w:tabs>
          <w:tab w:val="left" w:pos="567"/>
        </w:tabs>
        <w:ind w:left="0"/>
        <w:jc w:val="both"/>
        <w:rPr>
          <w:sz w:val="20"/>
          <w:szCs w:val="20"/>
          <w:lang w:val="es-ES"/>
        </w:rPr>
      </w:pPr>
    </w:p>
    <w:p w14:paraId="1811184E" w14:textId="77777777" w:rsidR="00484DE8" w:rsidRPr="00E019A9" w:rsidRDefault="00267A39" w:rsidP="00BB60A6">
      <w:pPr>
        <w:pStyle w:val="ListParagraph"/>
        <w:numPr>
          <w:ilvl w:val="0"/>
          <w:numId w:val="58"/>
        </w:numPr>
        <w:tabs>
          <w:tab w:val="left" w:pos="567"/>
        </w:tabs>
        <w:ind w:left="0" w:firstLine="0"/>
        <w:jc w:val="both"/>
        <w:rPr>
          <w:sz w:val="20"/>
          <w:szCs w:val="20"/>
          <w:lang w:val="es-ES"/>
        </w:rPr>
      </w:pPr>
      <w:r w:rsidRPr="00E019A9">
        <w:rPr>
          <w:rFonts w:eastAsiaTheme="minorHAnsi" w:cstheme="minorBidi"/>
          <w:sz w:val="20"/>
          <w:szCs w:val="20"/>
          <w:lang w:val="es-AR"/>
        </w:rPr>
        <w:t>Asimismo, l</w:t>
      </w:r>
      <w:r w:rsidR="00130AA5" w:rsidRPr="00E019A9">
        <w:rPr>
          <w:rFonts w:eastAsiaTheme="minorHAnsi"/>
          <w:sz w:val="20"/>
          <w:szCs w:val="20"/>
          <w:lang w:val="es-AR"/>
        </w:rPr>
        <w:t xml:space="preserve">a </w:t>
      </w:r>
      <w:r w:rsidR="002A4062" w:rsidRPr="00E019A9">
        <w:rPr>
          <w:rFonts w:eastAsiaTheme="minorHAnsi"/>
          <w:sz w:val="20"/>
          <w:szCs w:val="20"/>
          <w:lang w:val="es-AR"/>
        </w:rPr>
        <w:t>Comisión</w:t>
      </w:r>
      <w:r w:rsidR="00130AA5" w:rsidRPr="00E019A9">
        <w:rPr>
          <w:rFonts w:eastAsiaTheme="minorHAnsi"/>
          <w:sz w:val="20"/>
          <w:szCs w:val="20"/>
          <w:lang w:val="es-AR"/>
        </w:rPr>
        <w:t xml:space="preserve"> toma nota de la </w:t>
      </w:r>
      <w:r w:rsidR="002A4062" w:rsidRPr="00E019A9">
        <w:rPr>
          <w:rFonts w:eastAsiaTheme="minorHAnsi"/>
          <w:sz w:val="20"/>
          <w:szCs w:val="20"/>
          <w:lang w:val="es-AR"/>
        </w:rPr>
        <w:t>información</w:t>
      </w:r>
      <w:r w:rsidR="00130AA5" w:rsidRPr="00E019A9">
        <w:rPr>
          <w:rFonts w:eastAsiaTheme="minorHAnsi"/>
          <w:sz w:val="20"/>
          <w:szCs w:val="20"/>
          <w:lang w:val="es-AR"/>
        </w:rPr>
        <w:t xml:space="preserve"> brindada por el Estado chileno que </w:t>
      </w:r>
      <w:r w:rsidR="002A4062" w:rsidRPr="00E019A9">
        <w:rPr>
          <w:rFonts w:eastAsiaTheme="minorHAnsi"/>
          <w:sz w:val="20"/>
          <w:szCs w:val="20"/>
          <w:lang w:val="es-AR"/>
        </w:rPr>
        <w:t>daría</w:t>
      </w:r>
      <w:r w:rsidR="00130AA5" w:rsidRPr="00E019A9">
        <w:rPr>
          <w:rFonts w:eastAsiaTheme="minorHAnsi"/>
          <w:sz w:val="20"/>
          <w:szCs w:val="20"/>
          <w:lang w:val="es-AR"/>
        </w:rPr>
        <w:t xml:space="preserve"> cuenta de un cambio en la jurisprudencia de la Corte Suprema</w:t>
      </w:r>
      <w:r w:rsidR="001C14C8" w:rsidRPr="00E019A9">
        <w:rPr>
          <w:rFonts w:eastAsiaTheme="minorHAnsi"/>
          <w:sz w:val="20"/>
          <w:szCs w:val="20"/>
          <w:lang w:val="es-AR"/>
        </w:rPr>
        <w:t xml:space="preserve"> de </w:t>
      </w:r>
      <w:r w:rsidR="00580A34" w:rsidRPr="00E019A9">
        <w:rPr>
          <w:rFonts w:eastAsiaTheme="minorHAnsi"/>
          <w:sz w:val="20"/>
          <w:szCs w:val="20"/>
          <w:lang w:val="es-AR"/>
        </w:rPr>
        <w:t>Justicia caracterizado</w:t>
      </w:r>
      <w:r w:rsidR="00130AA5" w:rsidRPr="00E019A9">
        <w:rPr>
          <w:rFonts w:eastAsiaTheme="minorHAnsi"/>
          <w:sz w:val="20"/>
          <w:szCs w:val="20"/>
          <w:lang w:val="es-AR"/>
        </w:rPr>
        <w:t xml:space="preserve"> por el creciente rechazo a la aplicación de la figura de la media </w:t>
      </w:r>
      <w:r w:rsidR="002A4062" w:rsidRPr="00E019A9">
        <w:rPr>
          <w:rFonts w:eastAsiaTheme="minorHAnsi"/>
          <w:sz w:val="20"/>
          <w:szCs w:val="20"/>
          <w:lang w:val="es-AR"/>
        </w:rPr>
        <w:t>prescripción</w:t>
      </w:r>
      <w:r w:rsidR="00130AA5" w:rsidRPr="00E019A9">
        <w:rPr>
          <w:rFonts w:eastAsiaTheme="minorHAnsi"/>
          <w:sz w:val="20"/>
          <w:szCs w:val="20"/>
          <w:lang w:val="es-AR"/>
        </w:rPr>
        <w:t xml:space="preserve"> en casos de delitos de lesa humanidad cometidos durante la dictadura militar. </w:t>
      </w:r>
      <w:r w:rsidRPr="00E019A9">
        <w:rPr>
          <w:rFonts w:eastAsiaTheme="minorHAnsi"/>
          <w:sz w:val="20"/>
          <w:szCs w:val="20"/>
          <w:lang w:val="es-AR"/>
        </w:rPr>
        <w:t xml:space="preserve">Si bien la Comisión reconoce los pasos dados por el Estado chileno </w:t>
      </w:r>
      <w:r w:rsidR="00C6581C" w:rsidRPr="00E019A9">
        <w:rPr>
          <w:rFonts w:eastAsiaTheme="minorHAnsi"/>
          <w:sz w:val="20"/>
          <w:szCs w:val="20"/>
          <w:lang w:val="es-AR"/>
        </w:rPr>
        <w:t xml:space="preserve">en dicha dirección, observa que, </w:t>
      </w:r>
      <w:r w:rsidR="00130AA5" w:rsidRPr="00E019A9">
        <w:rPr>
          <w:rFonts w:eastAsiaTheme="minorHAnsi"/>
          <w:sz w:val="20"/>
          <w:szCs w:val="20"/>
          <w:lang w:val="es-AR"/>
        </w:rPr>
        <w:t xml:space="preserve">en los 14 casos contenidos en este informe, </w:t>
      </w:r>
      <w:r w:rsidR="001C14C8" w:rsidRPr="00E019A9">
        <w:rPr>
          <w:rFonts w:eastAsiaTheme="minorHAnsi"/>
          <w:sz w:val="20"/>
          <w:szCs w:val="20"/>
          <w:lang w:val="es-AR"/>
        </w:rPr>
        <w:t xml:space="preserve">las decisiones de la Corte Suprema </w:t>
      </w:r>
      <w:r w:rsidRPr="00E019A9">
        <w:rPr>
          <w:rFonts w:eastAsiaTheme="minorHAnsi"/>
          <w:sz w:val="20"/>
          <w:szCs w:val="20"/>
          <w:lang w:val="es-ES"/>
        </w:rPr>
        <w:t>que aplicaron la</w:t>
      </w:r>
      <w:r w:rsidR="001C14C8" w:rsidRPr="00E019A9">
        <w:rPr>
          <w:rFonts w:eastAsiaTheme="minorHAnsi"/>
          <w:sz w:val="20"/>
          <w:szCs w:val="20"/>
          <w:lang w:val="es-ES"/>
        </w:rPr>
        <w:t xml:space="preserve"> figura de la media </w:t>
      </w:r>
      <w:r w:rsidR="00C94DA9" w:rsidRPr="00E019A9">
        <w:rPr>
          <w:rFonts w:eastAsiaTheme="minorHAnsi"/>
          <w:sz w:val="20"/>
          <w:szCs w:val="20"/>
          <w:lang w:val="es-ES"/>
        </w:rPr>
        <w:t>prescripción</w:t>
      </w:r>
      <w:r w:rsidR="001C14C8" w:rsidRPr="00E019A9">
        <w:rPr>
          <w:rFonts w:eastAsiaTheme="minorHAnsi"/>
          <w:sz w:val="20"/>
          <w:szCs w:val="20"/>
          <w:lang w:val="es-ES"/>
        </w:rPr>
        <w:t xml:space="preserve"> mantienen, a la fecha, plenos efectos </w:t>
      </w:r>
      <w:r w:rsidR="00C94DA9" w:rsidRPr="00E019A9">
        <w:rPr>
          <w:rFonts w:eastAsiaTheme="minorHAnsi"/>
          <w:sz w:val="20"/>
          <w:szCs w:val="20"/>
          <w:lang w:val="es-ES"/>
        </w:rPr>
        <w:t>jurídicos</w:t>
      </w:r>
      <w:r w:rsidR="001C14C8" w:rsidRPr="00E019A9">
        <w:rPr>
          <w:rFonts w:eastAsiaTheme="minorHAnsi"/>
          <w:sz w:val="20"/>
          <w:szCs w:val="20"/>
          <w:lang w:val="es-ES"/>
        </w:rPr>
        <w:t xml:space="preserve">. </w:t>
      </w:r>
      <w:r w:rsidR="00A46581" w:rsidRPr="00E019A9">
        <w:rPr>
          <w:rFonts w:eastAsiaTheme="minorHAnsi"/>
          <w:sz w:val="20"/>
          <w:szCs w:val="20"/>
          <w:lang w:val="es-ES"/>
        </w:rPr>
        <w:t xml:space="preserve"> La </w:t>
      </w:r>
      <w:r w:rsidRPr="00E019A9">
        <w:rPr>
          <w:rFonts w:eastAsiaTheme="minorHAnsi"/>
          <w:sz w:val="20"/>
          <w:szCs w:val="20"/>
          <w:lang w:val="es-ES"/>
        </w:rPr>
        <w:t>Comisión</w:t>
      </w:r>
      <w:r w:rsidR="00A46581" w:rsidRPr="00E019A9">
        <w:rPr>
          <w:rFonts w:eastAsiaTheme="minorHAnsi"/>
          <w:sz w:val="20"/>
          <w:szCs w:val="20"/>
          <w:lang w:val="es-ES"/>
        </w:rPr>
        <w:t xml:space="preserve"> no cuenta con información que indique </w:t>
      </w:r>
      <w:r w:rsidR="00C94DA9" w:rsidRPr="00E019A9">
        <w:rPr>
          <w:rFonts w:eastAsiaTheme="minorHAnsi"/>
          <w:sz w:val="20"/>
          <w:szCs w:val="20"/>
          <w:lang w:val="es-ES"/>
        </w:rPr>
        <w:t>la prosecución de algún</w:t>
      </w:r>
      <w:r w:rsidR="001C14C8" w:rsidRPr="00E019A9">
        <w:rPr>
          <w:rFonts w:eastAsiaTheme="minorHAnsi"/>
          <w:sz w:val="20"/>
          <w:szCs w:val="20"/>
          <w:lang w:val="es-ES"/>
        </w:rPr>
        <w:t xml:space="preserve"> curso de </w:t>
      </w:r>
      <w:r w:rsidR="00C94DA9" w:rsidRPr="00E019A9">
        <w:rPr>
          <w:rFonts w:eastAsiaTheme="minorHAnsi"/>
          <w:sz w:val="20"/>
          <w:szCs w:val="20"/>
          <w:lang w:val="es-ES"/>
        </w:rPr>
        <w:t>acción</w:t>
      </w:r>
      <w:r w:rsidR="001C14C8" w:rsidRPr="00E019A9">
        <w:rPr>
          <w:rFonts w:eastAsiaTheme="minorHAnsi"/>
          <w:sz w:val="20"/>
          <w:szCs w:val="20"/>
          <w:lang w:val="es-ES"/>
        </w:rPr>
        <w:t xml:space="preserve"> que permita </w:t>
      </w:r>
      <w:r w:rsidR="00C94DA9" w:rsidRPr="00E019A9">
        <w:rPr>
          <w:rFonts w:eastAsiaTheme="minorHAnsi"/>
          <w:sz w:val="20"/>
          <w:szCs w:val="20"/>
          <w:lang w:val="es-ES"/>
        </w:rPr>
        <w:t xml:space="preserve">reparar de manera integral a las </w:t>
      </w:r>
      <w:r w:rsidR="002A4062" w:rsidRPr="00E019A9">
        <w:rPr>
          <w:rFonts w:eastAsiaTheme="minorHAnsi"/>
          <w:sz w:val="20"/>
          <w:szCs w:val="20"/>
          <w:lang w:val="es-ES"/>
        </w:rPr>
        <w:t>víctimas</w:t>
      </w:r>
      <w:r w:rsidR="00C94DA9" w:rsidRPr="00E019A9">
        <w:rPr>
          <w:rFonts w:eastAsiaTheme="minorHAnsi"/>
          <w:sz w:val="20"/>
          <w:szCs w:val="20"/>
          <w:lang w:val="es-ES"/>
        </w:rPr>
        <w:t xml:space="preserve"> de </w:t>
      </w:r>
      <w:r w:rsidR="00C94DA9" w:rsidRPr="00E019A9">
        <w:rPr>
          <w:rFonts w:eastAsiaTheme="minorHAnsi"/>
          <w:sz w:val="20"/>
          <w:szCs w:val="20"/>
          <w:lang w:val="es-ES"/>
        </w:rPr>
        <w:lastRenderedPageBreak/>
        <w:t xml:space="preserve">este caso. </w:t>
      </w:r>
      <w:r w:rsidRPr="00E019A9">
        <w:rPr>
          <w:rFonts w:eastAsiaTheme="minorHAnsi"/>
          <w:sz w:val="20"/>
          <w:szCs w:val="20"/>
          <w:lang w:val="es-ES"/>
        </w:rPr>
        <w:t>En este sentido, la Comisión observa que el Estado no ha reparado las violaciones ocurridas en el presente caso.</w:t>
      </w:r>
    </w:p>
    <w:p w14:paraId="62DE283F" w14:textId="77777777" w:rsidR="00484DE8" w:rsidRPr="00E019A9" w:rsidRDefault="00484DE8" w:rsidP="001D321F">
      <w:pPr>
        <w:tabs>
          <w:tab w:val="left" w:pos="567"/>
        </w:tabs>
        <w:jc w:val="both"/>
        <w:rPr>
          <w:rFonts w:eastAsia="Cambria"/>
          <w:sz w:val="20"/>
          <w:szCs w:val="20"/>
          <w:lang w:val="es-ES"/>
        </w:rPr>
      </w:pPr>
    </w:p>
    <w:p w14:paraId="7FBAF6C3" w14:textId="77777777" w:rsidR="00B95AA9" w:rsidRPr="00E019A9" w:rsidRDefault="00B95AA9" w:rsidP="00B95AA9">
      <w:pPr>
        <w:pStyle w:val="Heading1"/>
      </w:pPr>
      <w:bookmarkStart w:id="11" w:name="_Toc70440265"/>
      <w:r w:rsidRPr="00E019A9">
        <w:t>CONCLUSIONES Y RECOMENDACIONES</w:t>
      </w:r>
      <w:bookmarkEnd w:id="11"/>
      <w:r w:rsidRPr="00E019A9">
        <w:t xml:space="preserve"> </w:t>
      </w:r>
    </w:p>
    <w:p w14:paraId="42999D09" w14:textId="77777777" w:rsidR="001C77A2" w:rsidRPr="00E019A9" w:rsidRDefault="00D27EA6" w:rsidP="00F2549D">
      <w:pPr>
        <w:suppressAutoHyphens/>
        <w:rPr>
          <w:rFonts w:asciiTheme="majorHAnsi" w:hAnsiTheme="majorHAnsi"/>
          <w:b/>
          <w:sz w:val="20"/>
          <w:szCs w:val="20"/>
          <w:lang w:val="es-ES_tradnl"/>
        </w:rPr>
      </w:pPr>
      <w:r w:rsidRPr="00E019A9">
        <w:rPr>
          <w:rFonts w:asciiTheme="majorHAnsi" w:hAnsiTheme="majorHAnsi"/>
          <w:b/>
          <w:sz w:val="20"/>
          <w:szCs w:val="20"/>
          <w:lang w:val="es-ES_tradnl"/>
        </w:rPr>
        <w:t xml:space="preserve"> </w:t>
      </w:r>
    </w:p>
    <w:p w14:paraId="1A2A4866" w14:textId="77777777" w:rsidR="00E9417D" w:rsidRPr="00E019A9" w:rsidRDefault="00514893" w:rsidP="00BB60A6">
      <w:pPr>
        <w:pStyle w:val="ListParagraph"/>
        <w:numPr>
          <w:ilvl w:val="0"/>
          <w:numId w:val="58"/>
        </w:numPr>
        <w:tabs>
          <w:tab w:val="left" w:pos="567"/>
        </w:tabs>
        <w:ind w:left="0" w:firstLine="0"/>
        <w:jc w:val="both"/>
        <w:rPr>
          <w:sz w:val="20"/>
          <w:szCs w:val="20"/>
          <w:lang w:val="es-AR"/>
        </w:rPr>
      </w:pPr>
      <w:r w:rsidRPr="00E019A9">
        <w:rPr>
          <w:sz w:val="20"/>
          <w:szCs w:val="20"/>
          <w:lang w:val="es-AR"/>
        </w:rPr>
        <w:t>Con base en las consideraciones de hecho y de derecho contenidas en el presente informe, la Comisión concluye que el Estado de Chile es responsable por la violación de los derechos a las garantías judiciales y a la protección judicial, consagrados en los artículos 8.1 y 25.1</w:t>
      </w:r>
      <w:r w:rsidR="00F30A81" w:rsidRPr="00E019A9">
        <w:rPr>
          <w:sz w:val="20"/>
          <w:szCs w:val="20"/>
          <w:lang w:val="es-AR"/>
        </w:rPr>
        <w:t xml:space="preserve"> </w:t>
      </w:r>
      <w:r w:rsidRPr="00E019A9">
        <w:rPr>
          <w:sz w:val="20"/>
          <w:szCs w:val="20"/>
          <w:lang w:val="es-AR"/>
        </w:rPr>
        <w:t>de la Convención Americana, en conexión con la obligación general de respetar los derechos de la Convención Americana y el deber de adoptar disposiciones de derecho interno, establecidas en sus artículos 1.1 y 2 en perjuicio de las víctimas del presente caso</w:t>
      </w:r>
      <w:r w:rsidR="00267A39" w:rsidRPr="00E019A9">
        <w:rPr>
          <w:sz w:val="20"/>
          <w:szCs w:val="20"/>
          <w:lang w:val="es-AR"/>
        </w:rPr>
        <w:t xml:space="preserve"> y sus familiares individualizados en el presente informe</w:t>
      </w:r>
      <w:r w:rsidRPr="00E019A9">
        <w:rPr>
          <w:sz w:val="20"/>
          <w:szCs w:val="20"/>
          <w:lang w:val="es-AR"/>
        </w:rPr>
        <w:t>.</w:t>
      </w:r>
      <w:r w:rsidR="00E9417D" w:rsidRPr="00E019A9">
        <w:rPr>
          <w:sz w:val="20"/>
          <w:szCs w:val="20"/>
          <w:lang w:val="es-AR"/>
        </w:rPr>
        <w:t xml:space="preserve"> </w:t>
      </w:r>
      <w:r w:rsidR="00E9417D" w:rsidRPr="00E019A9">
        <w:rPr>
          <w:sz w:val="20"/>
          <w:szCs w:val="20"/>
          <w:lang w:val="es-ES_tradnl"/>
        </w:rPr>
        <w:t>Asimismo, el Estado es responsable por la violac</w:t>
      </w:r>
      <w:r w:rsidR="00C6581C" w:rsidRPr="00E019A9">
        <w:rPr>
          <w:sz w:val="20"/>
          <w:szCs w:val="20"/>
          <w:lang w:val="es-ES_tradnl"/>
        </w:rPr>
        <w:t xml:space="preserve">ión de los artículos I.b y III de la Convención Interamericana sobre Desaparición Forzada </w:t>
      </w:r>
      <w:r w:rsidR="00E9417D" w:rsidRPr="00E019A9">
        <w:rPr>
          <w:sz w:val="20"/>
          <w:szCs w:val="20"/>
          <w:lang w:val="es-ES_tradnl"/>
        </w:rPr>
        <w:t xml:space="preserve">desde la fecha de depósito del instrumento de </w:t>
      </w:r>
      <w:r w:rsidR="00C6581C" w:rsidRPr="00E019A9">
        <w:rPr>
          <w:sz w:val="20"/>
          <w:szCs w:val="20"/>
          <w:lang w:val="es-ES_tradnl"/>
        </w:rPr>
        <w:t>ratificación de</w:t>
      </w:r>
      <w:r w:rsidR="005B22F1" w:rsidRPr="00E019A9">
        <w:rPr>
          <w:sz w:val="20"/>
          <w:szCs w:val="20"/>
          <w:lang w:val="es-ES_tradnl"/>
        </w:rPr>
        <w:t xml:space="preserve"> dicho tratado</w:t>
      </w:r>
      <w:r w:rsidR="00C6581C" w:rsidRPr="00E019A9">
        <w:rPr>
          <w:sz w:val="20"/>
          <w:szCs w:val="20"/>
          <w:lang w:val="es-ES_tradnl"/>
        </w:rPr>
        <w:t xml:space="preserve"> por parte del Estado chileno</w:t>
      </w:r>
      <w:r w:rsidR="005B22F1" w:rsidRPr="00E019A9">
        <w:rPr>
          <w:sz w:val="20"/>
          <w:szCs w:val="20"/>
          <w:lang w:val="es-ES_tradnl"/>
        </w:rPr>
        <w:t xml:space="preserve"> </w:t>
      </w:r>
      <w:r w:rsidR="00E9417D" w:rsidRPr="00E019A9">
        <w:rPr>
          <w:sz w:val="20"/>
          <w:szCs w:val="20"/>
          <w:lang w:val="es-ES_tradnl"/>
        </w:rPr>
        <w:t xml:space="preserve">en relación con las víctimas individualizadas </w:t>
      </w:r>
      <w:r w:rsidR="005B22F1" w:rsidRPr="00E019A9">
        <w:rPr>
          <w:sz w:val="20"/>
          <w:szCs w:val="20"/>
          <w:lang w:val="es-ES_tradnl"/>
        </w:rPr>
        <w:t xml:space="preserve">en el </w:t>
      </w:r>
      <w:r w:rsidR="00C6581C" w:rsidRPr="00E019A9">
        <w:rPr>
          <w:sz w:val="20"/>
          <w:szCs w:val="20"/>
          <w:lang w:val="es-ES_tradnl"/>
        </w:rPr>
        <w:t>párrafo 281</w:t>
      </w:r>
      <w:r w:rsidR="005B22F1" w:rsidRPr="00E019A9">
        <w:rPr>
          <w:sz w:val="20"/>
          <w:szCs w:val="20"/>
          <w:lang w:val="es-ES_tradnl"/>
        </w:rPr>
        <w:t xml:space="preserve"> del</w:t>
      </w:r>
      <w:r w:rsidR="00E9417D" w:rsidRPr="00E019A9">
        <w:rPr>
          <w:sz w:val="20"/>
          <w:szCs w:val="20"/>
          <w:lang w:val="es-ES_tradnl"/>
        </w:rPr>
        <w:t xml:space="preserve"> presente informe.</w:t>
      </w:r>
    </w:p>
    <w:p w14:paraId="63283AA2" w14:textId="77777777" w:rsidR="00EF7CF9" w:rsidRPr="00E019A9" w:rsidRDefault="00EF7CF9" w:rsidP="00C94DA9">
      <w:pPr>
        <w:tabs>
          <w:tab w:val="left" w:pos="567"/>
        </w:tabs>
        <w:rPr>
          <w:sz w:val="20"/>
          <w:szCs w:val="20"/>
          <w:lang w:val="es-AR"/>
        </w:rPr>
      </w:pPr>
    </w:p>
    <w:p w14:paraId="195E40EE" w14:textId="77777777" w:rsidR="00EF7CF9" w:rsidRPr="00E019A9" w:rsidRDefault="00EF7CF9" w:rsidP="00BB60A6">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7"/>
        </w:tabs>
        <w:ind w:left="0" w:firstLine="0"/>
        <w:contextualSpacing/>
        <w:jc w:val="both"/>
        <w:rPr>
          <w:rFonts w:eastAsiaTheme="minorHAnsi" w:cstheme="minorBidi"/>
          <w:sz w:val="20"/>
          <w:szCs w:val="20"/>
          <w:bdr w:val="none" w:sz="0" w:space="0" w:color="auto"/>
          <w:lang w:val="es-AR"/>
        </w:rPr>
      </w:pPr>
      <w:r w:rsidRPr="00E019A9">
        <w:rPr>
          <w:rFonts w:eastAsiaTheme="minorHAnsi" w:cstheme="minorBidi"/>
          <w:sz w:val="20"/>
          <w:szCs w:val="20"/>
          <w:bdr w:val="none" w:sz="0" w:space="0" w:color="auto"/>
          <w:lang w:val="es-ES_tradnl"/>
        </w:rPr>
        <w:t xml:space="preserve">Con fundamento en el análisis y las conclusiones del presente informe: </w:t>
      </w:r>
    </w:p>
    <w:p w14:paraId="4FEDA966" w14:textId="77777777" w:rsidR="00EF7CF9" w:rsidRPr="00E019A9" w:rsidRDefault="00EF7CF9" w:rsidP="00EF7CF9">
      <w:pPr>
        <w:shd w:val="clear" w:color="auto" w:fill="FFFFFF" w:themeFill="background1"/>
        <w:contextualSpacing/>
        <w:rPr>
          <w:rFonts w:ascii="Cambria" w:eastAsiaTheme="minorHAnsi" w:hAnsi="Cambria" w:cstheme="minorBidi"/>
          <w:sz w:val="20"/>
          <w:szCs w:val="20"/>
          <w:lang w:val="es-ES_tradnl" w:eastAsia="es-ES"/>
        </w:rPr>
      </w:pPr>
    </w:p>
    <w:p w14:paraId="6B889E12" w14:textId="77777777" w:rsidR="00EF7CF9" w:rsidRPr="00E019A9" w:rsidRDefault="00EF7CF9" w:rsidP="00EF7CF9">
      <w:pPr>
        <w:shd w:val="clear" w:color="auto" w:fill="FFFFFF" w:themeFill="background1"/>
        <w:jc w:val="both"/>
        <w:rPr>
          <w:rFonts w:ascii="Cambria" w:eastAsiaTheme="minorHAnsi" w:hAnsi="Cambria" w:cstheme="minorBidi"/>
          <w:b/>
          <w:sz w:val="20"/>
          <w:szCs w:val="20"/>
          <w:lang w:val="es-AR"/>
        </w:rPr>
      </w:pPr>
      <w:r w:rsidRPr="00E019A9">
        <w:rPr>
          <w:rFonts w:ascii="Cambria" w:eastAsiaTheme="minorHAnsi" w:hAnsi="Cambria" w:cstheme="minorBidi"/>
          <w:b/>
          <w:sz w:val="20"/>
          <w:szCs w:val="20"/>
          <w:lang w:val="es-AR"/>
        </w:rPr>
        <w:t xml:space="preserve">LA COMISIÓN INTERAMERICANA DE DERECHOS HUMANOS RECOMIENDA AL ESTADO </w:t>
      </w:r>
      <w:r w:rsidR="00C94DA9" w:rsidRPr="00E019A9">
        <w:rPr>
          <w:rFonts w:ascii="Cambria" w:eastAsiaTheme="minorHAnsi" w:hAnsi="Cambria" w:cstheme="minorBidi"/>
          <w:b/>
          <w:sz w:val="20"/>
          <w:szCs w:val="20"/>
          <w:lang w:val="es-AR"/>
        </w:rPr>
        <w:t>CHILENO</w:t>
      </w:r>
      <w:r w:rsidRPr="00E019A9">
        <w:rPr>
          <w:rFonts w:ascii="Cambria" w:eastAsiaTheme="minorHAnsi" w:hAnsi="Cambria" w:cstheme="minorBidi"/>
          <w:b/>
          <w:sz w:val="20"/>
          <w:szCs w:val="20"/>
          <w:lang w:val="es-AR"/>
        </w:rPr>
        <w:t xml:space="preserve">,  </w:t>
      </w:r>
    </w:p>
    <w:p w14:paraId="73250794" w14:textId="77777777" w:rsidR="00EF7CF9" w:rsidRPr="00E019A9" w:rsidRDefault="00EF7CF9" w:rsidP="00514893">
      <w:pPr>
        <w:rPr>
          <w:sz w:val="20"/>
          <w:szCs w:val="20"/>
          <w:lang w:val="es-AR"/>
        </w:rPr>
      </w:pPr>
    </w:p>
    <w:p w14:paraId="6EA0C075" w14:textId="77777777" w:rsidR="00C94DA9" w:rsidRPr="00E019A9" w:rsidRDefault="00C94DA9" w:rsidP="00BB60A6">
      <w:pPr>
        <w:numPr>
          <w:ilvl w:val="0"/>
          <w:numId w:val="61"/>
        </w:numPr>
        <w:shd w:val="clear" w:color="auto" w:fill="FFFFFF" w:themeFill="background1"/>
        <w:ind w:left="714" w:hanging="357"/>
        <w:contextualSpacing/>
        <w:jc w:val="both"/>
        <w:rPr>
          <w:rFonts w:ascii="Cambria" w:eastAsiaTheme="minorHAnsi" w:hAnsi="Cambria" w:cstheme="minorBidi"/>
          <w:sz w:val="20"/>
          <w:szCs w:val="20"/>
          <w:lang w:val="es-AR" w:eastAsia="es-ES"/>
        </w:rPr>
      </w:pPr>
      <w:r w:rsidRPr="00E019A9">
        <w:rPr>
          <w:rFonts w:ascii="Cambria" w:eastAsiaTheme="minorHAnsi" w:hAnsi="Cambria" w:cstheme="minorBidi"/>
          <w:sz w:val="20"/>
          <w:szCs w:val="20"/>
          <w:lang w:val="es-AR" w:eastAsia="es-ES"/>
        </w:rPr>
        <w:t xml:space="preserve">Reparar </w:t>
      </w:r>
      <w:r w:rsidR="00F30A81" w:rsidRPr="00E019A9">
        <w:rPr>
          <w:rFonts w:ascii="Cambria" w:eastAsiaTheme="minorHAnsi" w:hAnsi="Cambria" w:cstheme="minorBidi"/>
          <w:sz w:val="20"/>
          <w:szCs w:val="20"/>
          <w:lang w:val="es-AR" w:eastAsia="es-ES"/>
        </w:rPr>
        <w:t xml:space="preserve">de manera integral </w:t>
      </w:r>
      <w:r w:rsidRPr="00E019A9">
        <w:rPr>
          <w:rFonts w:ascii="Cambria" w:eastAsiaTheme="minorHAnsi" w:hAnsi="Cambria" w:cstheme="minorBidi"/>
          <w:sz w:val="20"/>
          <w:szCs w:val="20"/>
          <w:lang w:val="es-AR" w:eastAsia="es-ES"/>
        </w:rPr>
        <w:t>a las v</w:t>
      </w:r>
      <w:r w:rsidR="009015D6" w:rsidRPr="00E019A9">
        <w:rPr>
          <w:rFonts w:ascii="Cambria" w:eastAsiaTheme="minorHAnsi" w:hAnsi="Cambria" w:cstheme="minorBidi"/>
          <w:sz w:val="20"/>
          <w:szCs w:val="20"/>
          <w:lang w:val="es-AR" w:eastAsia="es-ES"/>
        </w:rPr>
        <w:t>í</w:t>
      </w:r>
      <w:r w:rsidRPr="00E019A9">
        <w:rPr>
          <w:rFonts w:ascii="Cambria" w:eastAsiaTheme="minorHAnsi" w:hAnsi="Cambria" w:cstheme="minorBidi"/>
          <w:sz w:val="20"/>
          <w:szCs w:val="20"/>
          <w:lang w:val="es-AR" w:eastAsia="es-ES"/>
        </w:rPr>
        <w:t>ctimas</w:t>
      </w:r>
      <w:r w:rsidR="00F30A81" w:rsidRPr="00E019A9">
        <w:rPr>
          <w:rFonts w:ascii="Cambria" w:eastAsiaTheme="minorHAnsi" w:hAnsi="Cambria" w:cstheme="minorBidi"/>
          <w:sz w:val="20"/>
          <w:szCs w:val="20"/>
          <w:lang w:val="es-AR" w:eastAsia="es-ES"/>
        </w:rPr>
        <w:t xml:space="preserve"> de este caso,</w:t>
      </w:r>
      <w:r w:rsidRPr="00E019A9">
        <w:rPr>
          <w:rFonts w:ascii="Cambria" w:eastAsiaTheme="minorHAnsi" w:hAnsi="Cambria" w:cstheme="minorBidi"/>
          <w:sz w:val="20"/>
          <w:szCs w:val="20"/>
          <w:lang w:val="es-AR" w:eastAsia="es-ES"/>
        </w:rPr>
        <w:t xml:space="preserve"> tanto en el aspecto material como moral</w:t>
      </w:r>
      <w:r w:rsidR="00F30A81" w:rsidRPr="00E019A9">
        <w:rPr>
          <w:rFonts w:ascii="Cambria" w:eastAsiaTheme="minorHAnsi" w:hAnsi="Cambria" w:cstheme="minorBidi"/>
          <w:sz w:val="20"/>
          <w:szCs w:val="20"/>
          <w:lang w:val="es-AR" w:eastAsia="es-ES"/>
        </w:rPr>
        <w:t xml:space="preserve">, </w:t>
      </w:r>
      <w:r w:rsidRPr="00E019A9">
        <w:rPr>
          <w:rFonts w:ascii="Cambria" w:eastAsiaTheme="minorHAnsi" w:hAnsi="Cambria" w:cstheme="minorBidi"/>
          <w:sz w:val="20"/>
          <w:szCs w:val="20"/>
          <w:lang w:val="es-AR" w:eastAsia="es-ES"/>
        </w:rPr>
        <w:t>por las violaciones declaradas en el presente informe</w:t>
      </w:r>
      <w:r w:rsidR="009015D6" w:rsidRPr="00E019A9">
        <w:rPr>
          <w:rFonts w:ascii="Cambria" w:eastAsiaTheme="minorHAnsi" w:hAnsi="Cambria" w:cstheme="minorBidi"/>
          <w:sz w:val="20"/>
          <w:szCs w:val="20"/>
          <w:lang w:val="es-AR" w:eastAsia="es-ES"/>
        </w:rPr>
        <w:t>.</w:t>
      </w:r>
    </w:p>
    <w:p w14:paraId="280446E9" w14:textId="77777777" w:rsidR="00F55A6D" w:rsidRPr="00E019A9" w:rsidRDefault="00F55A6D" w:rsidP="00F55A6D">
      <w:pPr>
        <w:shd w:val="clear" w:color="auto" w:fill="FFFFFF" w:themeFill="background1"/>
        <w:ind w:left="714"/>
        <w:contextualSpacing/>
        <w:jc w:val="both"/>
        <w:rPr>
          <w:rFonts w:ascii="Cambria" w:eastAsiaTheme="minorHAnsi" w:hAnsi="Cambria" w:cstheme="minorBidi"/>
          <w:sz w:val="20"/>
          <w:szCs w:val="20"/>
          <w:lang w:val="es-AR" w:eastAsia="es-ES"/>
        </w:rPr>
      </w:pPr>
    </w:p>
    <w:p w14:paraId="47211C9B" w14:textId="77777777" w:rsidR="009015D6" w:rsidRPr="00E019A9" w:rsidRDefault="009015D6" w:rsidP="00BB60A6">
      <w:pPr>
        <w:numPr>
          <w:ilvl w:val="0"/>
          <w:numId w:val="61"/>
        </w:numPr>
        <w:shd w:val="clear" w:color="auto" w:fill="FFFFFF" w:themeFill="background1"/>
        <w:ind w:left="714" w:hanging="357"/>
        <w:contextualSpacing/>
        <w:jc w:val="both"/>
        <w:rPr>
          <w:rFonts w:ascii="Cambria" w:eastAsiaTheme="minorHAnsi" w:hAnsi="Cambria" w:cstheme="minorBidi"/>
          <w:sz w:val="20"/>
          <w:szCs w:val="20"/>
          <w:lang w:val="es-AR" w:eastAsia="es-ES"/>
        </w:rPr>
      </w:pPr>
      <w:r w:rsidRPr="00E019A9">
        <w:rPr>
          <w:rFonts w:ascii="Cambria" w:eastAsiaTheme="minorHAnsi" w:hAnsi="Cambria" w:cstheme="minorBidi"/>
          <w:sz w:val="20"/>
          <w:szCs w:val="20"/>
          <w:lang w:val="es-AR" w:eastAsia="es-ES"/>
        </w:rPr>
        <w:t xml:space="preserve">Adoptar todas las medidas necesarias para </w:t>
      </w:r>
      <w:r w:rsidR="00D94A73">
        <w:rPr>
          <w:rFonts w:ascii="Cambria" w:eastAsiaTheme="minorHAnsi" w:hAnsi="Cambria" w:cstheme="minorBidi"/>
          <w:sz w:val="20"/>
          <w:szCs w:val="20"/>
          <w:lang w:val="es-AR" w:eastAsia="es-ES"/>
        </w:rPr>
        <w:t>dejar sin efectos jurídicos las sentencias de condena dictadas por la Corte Suprema de Justicia del presente caso en las que se ha aplicado la figura de la media prescripción, y</w:t>
      </w:r>
      <w:r w:rsidR="00537175">
        <w:rPr>
          <w:rFonts w:ascii="Cambria" w:eastAsiaTheme="minorHAnsi" w:hAnsi="Cambria" w:cstheme="minorBidi"/>
          <w:sz w:val="20"/>
          <w:szCs w:val="20"/>
          <w:lang w:val="es-AR" w:eastAsia="es-ES"/>
        </w:rPr>
        <w:t>,</w:t>
      </w:r>
      <w:r w:rsidR="00D94A73">
        <w:rPr>
          <w:rFonts w:ascii="Cambria" w:eastAsiaTheme="minorHAnsi" w:hAnsi="Cambria" w:cstheme="minorBidi"/>
          <w:sz w:val="20"/>
          <w:szCs w:val="20"/>
          <w:lang w:val="es-AR" w:eastAsia="es-ES"/>
        </w:rPr>
        <w:t xml:space="preserve"> en consecuencia, dictar una nueva sentencia que asegure </w:t>
      </w:r>
      <w:r w:rsidRPr="00E019A9">
        <w:rPr>
          <w:rFonts w:ascii="Cambria" w:eastAsiaTheme="minorHAnsi" w:hAnsi="Cambria" w:cstheme="minorBidi"/>
          <w:sz w:val="20"/>
          <w:szCs w:val="20"/>
          <w:lang w:val="es-AR" w:eastAsia="es-ES"/>
        </w:rPr>
        <w:t>que las</w:t>
      </w:r>
      <w:r w:rsidR="00267A39" w:rsidRPr="00E019A9">
        <w:rPr>
          <w:rFonts w:ascii="Cambria" w:eastAsiaTheme="minorHAnsi" w:hAnsi="Cambria" w:cstheme="minorBidi"/>
          <w:sz w:val="20"/>
          <w:szCs w:val="20"/>
          <w:lang w:val="es-AR" w:eastAsia="es-ES"/>
        </w:rPr>
        <w:t xml:space="preserve"> </w:t>
      </w:r>
      <w:r w:rsidRPr="00E019A9">
        <w:rPr>
          <w:rFonts w:ascii="Cambria" w:eastAsiaTheme="minorHAnsi" w:hAnsi="Cambria" w:cstheme="minorBidi"/>
          <w:sz w:val="20"/>
          <w:szCs w:val="20"/>
          <w:lang w:val="es-AR" w:eastAsia="es-ES"/>
        </w:rPr>
        <w:t xml:space="preserve">penas impuestas a los responsables de las graves violaciones a derechos humanos materia del presente caso </w:t>
      </w:r>
      <w:r w:rsidR="00D94A73">
        <w:rPr>
          <w:rFonts w:ascii="Cambria" w:eastAsiaTheme="minorHAnsi" w:hAnsi="Cambria" w:cstheme="minorBidi"/>
          <w:sz w:val="20"/>
          <w:szCs w:val="20"/>
          <w:lang w:val="es-AR" w:eastAsia="es-ES"/>
        </w:rPr>
        <w:t xml:space="preserve">no sean afectadas por la aplicación de dicha figura. </w:t>
      </w:r>
      <w:r w:rsidR="00D94A73" w:rsidRPr="00D94A73">
        <w:rPr>
          <w:rFonts w:ascii="Cambria" w:eastAsiaTheme="minorHAnsi" w:hAnsi="Cambria" w:cstheme="minorBidi"/>
          <w:sz w:val="20"/>
          <w:szCs w:val="20"/>
          <w:lang w:val="es-AR" w:eastAsia="es-ES"/>
        </w:rPr>
        <w:t>Tomando en cuenta la gravedad de las violaciones declaradas y los estándares interamericanos al respecto, la Comisión destaca que el Estado no podrá oponer la garantía de non bis in ídem, cosa juzgada o prescripción, para justificar el incumplimiento de esta recomendación</w:t>
      </w:r>
    </w:p>
    <w:p w14:paraId="5C53367B" w14:textId="77777777" w:rsidR="00E9417D" w:rsidRPr="00E019A9" w:rsidRDefault="00E9417D" w:rsidP="001D321F">
      <w:pPr>
        <w:pStyle w:val="ListParagraph"/>
        <w:rPr>
          <w:rFonts w:eastAsiaTheme="minorHAnsi" w:cstheme="minorBidi"/>
          <w:sz w:val="20"/>
          <w:szCs w:val="20"/>
          <w:lang w:val="es-AR"/>
        </w:rPr>
      </w:pPr>
    </w:p>
    <w:p w14:paraId="7F5DF428" w14:textId="634173A9" w:rsidR="00583CE2" w:rsidRPr="00E019A9" w:rsidRDefault="00AE67CD" w:rsidP="00BB60A6">
      <w:pPr>
        <w:numPr>
          <w:ilvl w:val="0"/>
          <w:numId w:val="61"/>
        </w:numPr>
        <w:shd w:val="clear" w:color="auto" w:fill="FFFFFF" w:themeFill="background1"/>
        <w:ind w:left="714" w:hanging="357"/>
        <w:contextualSpacing/>
        <w:jc w:val="both"/>
        <w:rPr>
          <w:rFonts w:ascii="Cambria" w:eastAsiaTheme="minorHAnsi" w:hAnsi="Cambria" w:cstheme="minorBidi"/>
          <w:sz w:val="20"/>
          <w:szCs w:val="20"/>
          <w:lang w:val="es-AR" w:eastAsia="es-ES"/>
        </w:rPr>
      </w:pPr>
      <w:r>
        <w:rPr>
          <w:rFonts w:ascii="Cambria" w:eastAsiaTheme="minorHAnsi" w:hAnsi="Cambria" w:cstheme="minorBidi"/>
          <w:sz w:val="20"/>
          <w:szCs w:val="20"/>
          <w:lang w:val="es-AR" w:eastAsia="es-ES"/>
        </w:rPr>
        <w:t>Adoptar</w:t>
      </w:r>
      <w:r w:rsidR="00C94DA9" w:rsidRPr="00E019A9">
        <w:rPr>
          <w:rFonts w:ascii="Cambria" w:eastAsiaTheme="minorHAnsi" w:hAnsi="Cambria" w:cstheme="minorBidi"/>
          <w:sz w:val="20"/>
          <w:szCs w:val="20"/>
          <w:lang w:val="es-AR" w:eastAsia="es-ES"/>
        </w:rPr>
        <w:t xml:space="preserve"> </w:t>
      </w:r>
      <w:r w:rsidR="00267A39" w:rsidRPr="00E019A9">
        <w:rPr>
          <w:rFonts w:ascii="Cambria" w:eastAsiaTheme="minorHAnsi" w:hAnsi="Cambria" w:cstheme="minorBidi"/>
          <w:sz w:val="20"/>
          <w:szCs w:val="20"/>
          <w:lang w:val="es-AR" w:eastAsia="es-ES"/>
        </w:rPr>
        <w:t xml:space="preserve">todas </w:t>
      </w:r>
      <w:r w:rsidR="00C94DA9" w:rsidRPr="00E019A9">
        <w:rPr>
          <w:rFonts w:ascii="Cambria" w:eastAsiaTheme="minorHAnsi" w:hAnsi="Cambria" w:cstheme="minorBidi"/>
          <w:sz w:val="20"/>
          <w:szCs w:val="20"/>
          <w:lang w:val="es-AR" w:eastAsia="es-ES"/>
        </w:rPr>
        <w:t xml:space="preserve">las medidas legislativas </w:t>
      </w:r>
      <w:r w:rsidR="00267A39" w:rsidRPr="00E019A9">
        <w:rPr>
          <w:rFonts w:ascii="Cambria" w:eastAsiaTheme="minorHAnsi" w:hAnsi="Cambria" w:cstheme="minorBidi"/>
          <w:sz w:val="20"/>
          <w:szCs w:val="20"/>
          <w:lang w:val="es-AR" w:eastAsia="es-ES"/>
        </w:rPr>
        <w:t xml:space="preserve">que sean necesarias </w:t>
      </w:r>
      <w:r w:rsidR="00F30A81" w:rsidRPr="00E019A9">
        <w:rPr>
          <w:rFonts w:ascii="Cambria" w:eastAsiaTheme="minorHAnsi" w:hAnsi="Cambria" w:cstheme="minorBidi"/>
          <w:sz w:val="20"/>
          <w:szCs w:val="20"/>
          <w:lang w:val="es-AR" w:eastAsia="es-ES"/>
        </w:rPr>
        <w:t xml:space="preserve">para garantizar que la </w:t>
      </w:r>
      <w:r w:rsidR="00580A34" w:rsidRPr="00E019A9">
        <w:rPr>
          <w:rFonts w:ascii="Cambria" w:eastAsiaTheme="minorHAnsi" w:hAnsi="Cambria" w:cstheme="minorBidi"/>
          <w:sz w:val="20"/>
          <w:szCs w:val="20"/>
          <w:lang w:val="es-AR" w:eastAsia="es-ES"/>
        </w:rPr>
        <w:t>figura de</w:t>
      </w:r>
      <w:r w:rsidR="00F30A81" w:rsidRPr="00E019A9">
        <w:rPr>
          <w:rFonts w:ascii="Cambria" w:eastAsiaTheme="minorHAnsi" w:hAnsi="Cambria" w:cstheme="minorBidi"/>
          <w:sz w:val="20"/>
          <w:szCs w:val="20"/>
          <w:lang w:val="es-AR" w:eastAsia="es-ES"/>
        </w:rPr>
        <w:t xml:space="preserve"> la media </w:t>
      </w:r>
      <w:r w:rsidR="00580A34" w:rsidRPr="00E019A9">
        <w:rPr>
          <w:rFonts w:ascii="Cambria" w:eastAsiaTheme="minorHAnsi" w:hAnsi="Cambria" w:cstheme="minorBidi"/>
          <w:sz w:val="20"/>
          <w:szCs w:val="20"/>
          <w:lang w:val="es-AR" w:eastAsia="es-ES"/>
        </w:rPr>
        <w:t>prescripción</w:t>
      </w:r>
      <w:r w:rsidR="00F30A81" w:rsidRPr="00E019A9">
        <w:rPr>
          <w:rFonts w:ascii="Cambria" w:eastAsiaTheme="minorHAnsi" w:hAnsi="Cambria" w:cstheme="minorBidi"/>
          <w:sz w:val="20"/>
          <w:szCs w:val="20"/>
          <w:lang w:val="es-AR" w:eastAsia="es-ES"/>
        </w:rPr>
        <w:t xml:space="preserve"> o </w:t>
      </w:r>
      <w:r w:rsidR="002A4062" w:rsidRPr="00E019A9">
        <w:rPr>
          <w:rFonts w:ascii="Cambria" w:eastAsiaTheme="minorHAnsi" w:hAnsi="Cambria" w:cstheme="minorBidi"/>
          <w:sz w:val="20"/>
          <w:szCs w:val="20"/>
          <w:lang w:val="es-AR" w:eastAsia="es-ES"/>
        </w:rPr>
        <w:t>prescripción</w:t>
      </w:r>
      <w:r w:rsidR="00F30A81" w:rsidRPr="00E019A9">
        <w:rPr>
          <w:rFonts w:ascii="Cambria" w:eastAsiaTheme="minorHAnsi" w:hAnsi="Cambria" w:cstheme="minorBidi"/>
          <w:sz w:val="20"/>
          <w:szCs w:val="20"/>
          <w:lang w:val="es-AR" w:eastAsia="es-ES"/>
        </w:rPr>
        <w:t xml:space="preserve"> gradual de la pena consagrada en el </w:t>
      </w:r>
      <w:r w:rsidR="002A4062" w:rsidRPr="00E019A9">
        <w:rPr>
          <w:rFonts w:ascii="Cambria" w:eastAsiaTheme="minorHAnsi" w:hAnsi="Cambria" w:cstheme="minorBidi"/>
          <w:sz w:val="20"/>
          <w:szCs w:val="20"/>
          <w:lang w:val="es-AR" w:eastAsia="es-ES"/>
        </w:rPr>
        <w:t>artículo</w:t>
      </w:r>
      <w:r w:rsidR="00F30A81" w:rsidRPr="00E019A9">
        <w:rPr>
          <w:rFonts w:ascii="Cambria" w:eastAsiaTheme="minorHAnsi" w:hAnsi="Cambria" w:cstheme="minorBidi"/>
          <w:sz w:val="20"/>
          <w:szCs w:val="20"/>
          <w:lang w:val="es-AR" w:eastAsia="es-ES"/>
        </w:rPr>
        <w:t xml:space="preserve"> 103 del </w:t>
      </w:r>
      <w:r w:rsidR="002A4062" w:rsidRPr="00E019A9">
        <w:rPr>
          <w:rFonts w:ascii="Cambria" w:eastAsiaTheme="minorHAnsi" w:hAnsi="Cambria" w:cstheme="minorBidi"/>
          <w:sz w:val="20"/>
          <w:szCs w:val="20"/>
          <w:lang w:val="es-AR" w:eastAsia="es-ES"/>
        </w:rPr>
        <w:t>Código</w:t>
      </w:r>
      <w:r w:rsidR="00F30A81" w:rsidRPr="00E019A9">
        <w:rPr>
          <w:rFonts w:ascii="Cambria" w:eastAsiaTheme="minorHAnsi" w:hAnsi="Cambria" w:cstheme="minorBidi"/>
          <w:sz w:val="20"/>
          <w:szCs w:val="20"/>
          <w:lang w:val="es-AR" w:eastAsia="es-ES"/>
        </w:rPr>
        <w:t xml:space="preserve"> Penal chileno no sea aplicada </w:t>
      </w:r>
      <w:r w:rsidR="00267A39" w:rsidRPr="00E019A9">
        <w:rPr>
          <w:rFonts w:ascii="Cambria" w:eastAsiaTheme="minorHAnsi" w:hAnsi="Cambria" w:cstheme="minorBidi"/>
          <w:sz w:val="20"/>
          <w:szCs w:val="20"/>
          <w:lang w:val="es-AR" w:eastAsia="es-ES"/>
        </w:rPr>
        <w:t>a</w:t>
      </w:r>
      <w:r w:rsidR="00F30A81" w:rsidRPr="00E019A9">
        <w:rPr>
          <w:rFonts w:ascii="Cambria" w:eastAsiaTheme="minorHAnsi" w:hAnsi="Cambria" w:cstheme="minorBidi"/>
          <w:sz w:val="20"/>
          <w:szCs w:val="20"/>
          <w:lang w:val="es-AR" w:eastAsia="es-ES"/>
        </w:rPr>
        <w:t xml:space="preserve"> graves violaciones a los derechos humanos. </w:t>
      </w:r>
      <w:r w:rsidR="00267A39" w:rsidRPr="00E019A9">
        <w:rPr>
          <w:rFonts w:ascii="Cambria" w:eastAsiaTheme="minorHAnsi" w:hAnsi="Cambria" w:cstheme="minorBidi"/>
          <w:sz w:val="20"/>
          <w:szCs w:val="20"/>
          <w:lang w:val="es-AR" w:eastAsia="es-ES"/>
        </w:rPr>
        <w:t xml:space="preserve">Asimismo, mientras se </w:t>
      </w:r>
      <w:r w:rsidR="00E9417D" w:rsidRPr="00E019A9">
        <w:rPr>
          <w:rFonts w:ascii="Cambria" w:eastAsiaTheme="minorHAnsi" w:hAnsi="Cambria" w:cstheme="minorBidi"/>
          <w:sz w:val="20"/>
          <w:szCs w:val="20"/>
          <w:lang w:val="es-AR" w:eastAsia="es-ES"/>
        </w:rPr>
        <w:t>realiza la</w:t>
      </w:r>
      <w:r w:rsidR="00267A39" w:rsidRPr="00E019A9">
        <w:rPr>
          <w:rFonts w:ascii="Cambria" w:eastAsiaTheme="minorHAnsi" w:hAnsi="Cambria" w:cstheme="minorBidi"/>
          <w:sz w:val="20"/>
          <w:szCs w:val="20"/>
          <w:lang w:val="es-AR" w:eastAsia="es-ES"/>
        </w:rPr>
        <w:t xml:space="preserve"> adecuación normativa, asegurar que las autoridades judiciales ejerzan un control de convencionalidad al momento de determinar las sanciones aplicables a tales graves </w:t>
      </w:r>
      <w:r w:rsidR="00E9417D" w:rsidRPr="00E019A9">
        <w:rPr>
          <w:rFonts w:ascii="Cambria" w:eastAsiaTheme="minorHAnsi" w:hAnsi="Cambria" w:cstheme="minorBidi"/>
          <w:sz w:val="20"/>
          <w:szCs w:val="20"/>
          <w:lang w:val="es-AR" w:eastAsia="es-ES"/>
        </w:rPr>
        <w:t xml:space="preserve">violaciones teniendo en cuenta la incompatibilidad que tiene la aplicación de la </w:t>
      </w:r>
      <w:r w:rsidR="000E26BF" w:rsidRPr="00E019A9">
        <w:rPr>
          <w:rFonts w:ascii="Cambria" w:eastAsiaTheme="minorHAnsi" w:hAnsi="Cambria" w:cstheme="minorBidi"/>
          <w:sz w:val="20"/>
          <w:szCs w:val="20"/>
          <w:lang w:val="es-AR" w:eastAsia="es-ES"/>
        </w:rPr>
        <w:t xml:space="preserve">figura de la media prescripción </w:t>
      </w:r>
      <w:r w:rsidR="00E9417D" w:rsidRPr="00E019A9">
        <w:rPr>
          <w:rFonts w:ascii="Cambria" w:eastAsiaTheme="minorHAnsi" w:hAnsi="Cambria" w:cstheme="minorBidi"/>
          <w:sz w:val="20"/>
          <w:szCs w:val="20"/>
          <w:lang w:val="es-AR" w:eastAsia="es-ES"/>
        </w:rPr>
        <w:t>en los términos descritos en el presente informe.</w:t>
      </w:r>
    </w:p>
    <w:p w14:paraId="526C9CD0" w14:textId="00C88997" w:rsidR="00583CE2" w:rsidRPr="008C257A" w:rsidRDefault="00583CE2" w:rsidP="001D321F">
      <w:pPr>
        <w:shd w:val="clear" w:color="auto" w:fill="FFFFFF" w:themeFill="background1"/>
        <w:ind w:left="714"/>
        <w:contextualSpacing/>
        <w:jc w:val="both"/>
        <w:rPr>
          <w:rFonts w:ascii="Cambria" w:eastAsiaTheme="minorHAnsi" w:hAnsi="Cambria" w:cstheme="minorBidi"/>
          <w:sz w:val="20"/>
          <w:szCs w:val="20"/>
          <w:lang w:val="es-AR" w:eastAsia="es-ES"/>
        </w:rPr>
      </w:pPr>
    </w:p>
    <w:p w14:paraId="1A89E58D" w14:textId="4659D906" w:rsidR="008C257A" w:rsidRPr="008C257A" w:rsidRDefault="008C257A" w:rsidP="008C257A">
      <w:pPr>
        <w:ind w:firstLine="720"/>
        <w:jc w:val="both"/>
        <w:rPr>
          <w:rFonts w:ascii="Cambria" w:hAnsi="Cambria" w:cs="Arial"/>
          <w:noProof/>
          <w:spacing w:val="-2"/>
          <w:sz w:val="20"/>
          <w:szCs w:val="20"/>
          <w:lang w:val="es-CL"/>
        </w:rPr>
      </w:pPr>
      <w:r w:rsidRPr="008C257A">
        <w:rPr>
          <w:rFonts w:ascii="Cambria" w:hAnsi="Cambria" w:cs="Arial"/>
          <w:noProof/>
          <w:spacing w:val="-2"/>
          <w:sz w:val="20"/>
          <w:szCs w:val="20"/>
          <w:lang w:val="es-CL"/>
        </w:rPr>
        <w:t>Aprobado por la Comisión Interamericana de Derechos Humanos  a los 16 días del mes de abril de 2021.  (Firmado): Julissa Mantilla Falcón, Primera Vicepresidenta; Flávia Piovesan, Segunda Vicepresidenta; Margarette May Macaulay, Esmeralda E. Arosemena Bernal de Troitiño, Joel Hernández, y Stuardo Ralón Orellana, Miembros de la Comisión.</w:t>
      </w:r>
      <w:r w:rsidRPr="008C257A">
        <w:rPr>
          <w:rFonts w:ascii="Cambria" w:hAnsi="Cambria" w:cs="Arial"/>
          <w:noProof/>
          <w:sz w:val="20"/>
          <w:szCs w:val="20"/>
          <w:lang w:val="es-CL"/>
        </w:rPr>
        <w:t xml:space="preserve"> </w:t>
      </w:r>
    </w:p>
    <w:p w14:paraId="3738144F" w14:textId="77777777" w:rsidR="008C257A" w:rsidRPr="008C257A" w:rsidRDefault="008C257A" w:rsidP="008C257A">
      <w:pPr>
        <w:suppressAutoHyphens/>
        <w:ind w:firstLine="720"/>
        <w:jc w:val="both"/>
        <w:rPr>
          <w:rFonts w:ascii="Cambria" w:hAnsi="Cambria" w:cs="Arial"/>
          <w:noProof/>
          <w:spacing w:val="-2"/>
          <w:sz w:val="20"/>
          <w:szCs w:val="20"/>
          <w:lang w:val="es-CL"/>
        </w:rPr>
      </w:pPr>
    </w:p>
    <w:p w14:paraId="7D6FFC7A" w14:textId="77777777" w:rsidR="008C257A" w:rsidRPr="008C257A" w:rsidRDefault="008C257A" w:rsidP="008C257A">
      <w:pPr>
        <w:ind w:firstLine="720"/>
        <w:jc w:val="both"/>
        <w:rPr>
          <w:rFonts w:ascii="Cambria" w:hAnsi="Cambria" w:cs="Arial"/>
          <w:noProof/>
          <w:sz w:val="20"/>
          <w:szCs w:val="20"/>
          <w:lang w:val="es-CL"/>
        </w:rPr>
      </w:pPr>
      <w:r w:rsidRPr="008C257A">
        <w:rPr>
          <w:rFonts w:ascii="Cambria" w:hAnsi="Cambria" w:cs="Arial"/>
          <w:noProof/>
          <w:sz w:val="20"/>
          <w:szCs w:val="20"/>
          <w:lang w:val="es-CL"/>
        </w:rPr>
        <w:t xml:space="preserve">La que suscribe, </w:t>
      </w:r>
      <w:r w:rsidRPr="008C257A">
        <w:rPr>
          <w:rFonts w:ascii="Cambria" w:hAnsi="Cambria"/>
          <w:spacing w:val="-2"/>
          <w:sz w:val="20"/>
          <w:szCs w:val="20"/>
          <w:lang w:val="es-SV"/>
        </w:rPr>
        <w:t>Marisol Blanchard Vera</w:t>
      </w:r>
      <w:r w:rsidRPr="008C257A">
        <w:rPr>
          <w:rFonts w:ascii="Cambria" w:hAnsi="Cambria" w:cs="Arial"/>
          <w:noProof/>
          <w:sz w:val="20"/>
          <w:szCs w:val="20"/>
          <w:lang w:val="es-CL"/>
        </w:rPr>
        <w:t>, en su carácter de Secretaria Ejecutiva Adjunta de la Comisión Interamericana de Derechos Humanos, de conformidad con el artículo 49 del Reglamento de la Comisión, certifica que es copia fiel del original depositado en los archivos de la Secretaría de la CIDH.</w:t>
      </w:r>
    </w:p>
    <w:p w14:paraId="6F172993" w14:textId="77777777" w:rsidR="008C257A" w:rsidRPr="008C257A" w:rsidRDefault="008C257A" w:rsidP="008C257A">
      <w:pPr>
        <w:jc w:val="center"/>
        <w:rPr>
          <w:rFonts w:ascii="Cambria" w:hAnsi="Cambria"/>
          <w:sz w:val="20"/>
          <w:szCs w:val="20"/>
        </w:rPr>
      </w:pPr>
      <w:r w:rsidRPr="008C257A">
        <w:rPr>
          <w:rFonts w:ascii="Cambria" w:hAnsi="Cambria" w:cs="Calibri"/>
          <w:noProof/>
          <w:sz w:val="20"/>
          <w:szCs w:val="20"/>
        </w:rPr>
        <w:drawing>
          <wp:inline distT="0" distB="0" distL="0" distR="0" wp14:anchorId="199E490E" wp14:editId="68656305">
            <wp:extent cx="1371600" cy="809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0" cy="809625"/>
                    </a:xfrm>
                    <a:prstGeom prst="rect">
                      <a:avLst/>
                    </a:prstGeom>
                    <a:noFill/>
                    <a:ln>
                      <a:noFill/>
                    </a:ln>
                  </pic:spPr>
                </pic:pic>
              </a:graphicData>
            </a:graphic>
          </wp:inline>
        </w:drawing>
      </w:r>
    </w:p>
    <w:p w14:paraId="66A2E569" w14:textId="77777777" w:rsidR="008C257A" w:rsidRPr="008C257A" w:rsidRDefault="008C257A" w:rsidP="008C257A">
      <w:pPr>
        <w:tabs>
          <w:tab w:val="left" w:pos="-720"/>
        </w:tabs>
        <w:jc w:val="center"/>
        <w:rPr>
          <w:rFonts w:ascii="Cambria" w:hAnsi="Cambria" w:cs="Arial"/>
          <w:sz w:val="20"/>
          <w:szCs w:val="20"/>
          <w:lang w:val="es-US"/>
        </w:rPr>
      </w:pPr>
      <w:r w:rsidRPr="008C257A">
        <w:rPr>
          <w:rFonts w:ascii="Cambria" w:hAnsi="Cambria" w:cs="Arial"/>
          <w:sz w:val="20"/>
          <w:szCs w:val="20"/>
          <w:lang w:val="es-US"/>
        </w:rPr>
        <w:t>Marisol Blanchard</w:t>
      </w:r>
    </w:p>
    <w:p w14:paraId="07FD4907" w14:textId="34BCF062" w:rsidR="008C257A" w:rsidRPr="00A37B82" w:rsidRDefault="008C257A" w:rsidP="008C257A">
      <w:pPr>
        <w:tabs>
          <w:tab w:val="left" w:pos="-720"/>
          <w:tab w:val="left" w:pos="5760"/>
        </w:tabs>
        <w:jc w:val="center"/>
        <w:rPr>
          <w:rFonts w:asciiTheme="majorHAnsi" w:hAnsiTheme="majorHAnsi" w:cs="Arial"/>
          <w:noProof/>
          <w:spacing w:val="-2"/>
          <w:sz w:val="20"/>
          <w:szCs w:val="20"/>
          <w:lang w:val="es-CL"/>
        </w:rPr>
      </w:pPr>
      <w:r w:rsidRPr="008C257A">
        <w:rPr>
          <w:rFonts w:ascii="Cambria" w:hAnsi="Cambria" w:cs="Arial"/>
          <w:sz w:val="20"/>
          <w:szCs w:val="20"/>
          <w:lang w:val="es-US"/>
        </w:rPr>
        <w:t>Secretaria Ejecutiva Adjunta</w:t>
      </w:r>
    </w:p>
    <w:sectPr w:rsidR="008C257A" w:rsidRPr="00A37B82" w:rsidSect="006A251D">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74856" w14:textId="77777777" w:rsidR="00323FC1" w:rsidRDefault="00323FC1">
      <w:r>
        <w:separator/>
      </w:r>
    </w:p>
  </w:endnote>
  <w:endnote w:type="continuationSeparator" w:id="0">
    <w:p w14:paraId="534B17A2" w14:textId="77777777" w:rsidR="00323FC1" w:rsidRDefault="0032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ay Devanagari">
    <w:altName w:val="Cambay Devanagari"/>
    <w:charset w:val="4D"/>
    <w:family w:val="auto"/>
    <w:pitch w:val="variable"/>
    <w:sig w:usb0="00008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imesNewRomanPSMT">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2D230" w14:textId="77777777" w:rsidR="00323FC1" w:rsidRPr="00934A2C" w:rsidRDefault="00323FC1">
    <w:pPr>
      <w:pStyle w:val="Footer"/>
      <w:jc w:val="center"/>
      <w:rPr>
        <w:sz w:val="16"/>
        <w:szCs w:val="22"/>
      </w:rPr>
    </w:pPr>
  </w:p>
  <w:p w14:paraId="57566B74" w14:textId="77777777" w:rsidR="00323FC1" w:rsidRDefault="00323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29238" w14:textId="77777777" w:rsidR="00323FC1" w:rsidRPr="000F35ED" w:rsidRDefault="00323FC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2062C3B" w14:textId="77777777" w:rsidR="00323FC1" w:rsidRPr="000F35ED" w:rsidRDefault="00323FC1" w:rsidP="000F35ED">
      <w:pPr>
        <w:rPr>
          <w:rFonts w:asciiTheme="majorHAnsi" w:hAnsiTheme="majorHAnsi"/>
          <w:sz w:val="16"/>
          <w:szCs w:val="16"/>
        </w:rPr>
      </w:pPr>
      <w:r w:rsidRPr="000F35ED">
        <w:rPr>
          <w:rFonts w:asciiTheme="majorHAnsi" w:hAnsiTheme="majorHAnsi"/>
          <w:sz w:val="16"/>
          <w:szCs w:val="16"/>
        </w:rPr>
        <w:separator/>
      </w:r>
    </w:p>
    <w:p w14:paraId="21DBAF00" w14:textId="77777777" w:rsidR="00323FC1" w:rsidRPr="000F35ED" w:rsidRDefault="00323FC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7C9CA52" w14:textId="77777777" w:rsidR="00323FC1" w:rsidRPr="000F35ED" w:rsidRDefault="00323FC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2D27CCE" w14:textId="77777777" w:rsidR="00323FC1" w:rsidRPr="00A84D80" w:rsidRDefault="00323FC1" w:rsidP="00E27FB4">
      <w:pPr>
        <w:pStyle w:val="NormalWeb"/>
        <w:spacing w:before="0" w:beforeAutospacing="0" w:after="0" w:afterAutospacing="0"/>
        <w:jc w:val="both"/>
        <w:rPr>
          <w:rFonts w:ascii="Cambria" w:hAnsi="Cambria"/>
          <w:color w:val="000000" w:themeColor="text1"/>
          <w:sz w:val="16"/>
          <w:szCs w:val="16"/>
          <w:lang w:val="es-419"/>
        </w:rPr>
      </w:pPr>
      <w:r w:rsidRPr="00A84D80">
        <w:rPr>
          <w:rStyle w:val="FootnoteReference"/>
          <w:rFonts w:ascii="Cambria" w:hAnsi="Cambria"/>
          <w:color w:val="000000" w:themeColor="text1"/>
          <w:sz w:val="16"/>
          <w:szCs w:val="16"/>
          <w:lang w:val="es-419"/>
        </w:rPr>
        <w:footnoteRef/>
      </w:r>
      <w:r w:rsidRPr="00A84D80">
        <w:rPr>
          <w:rFonts w:ascii="Cambria" w:hAnsi="Cambria"/>
          <w:color w:val="000000" w:themeColor="text1"/>
          <w:sz w:val="16"/>
          <w:szCs w:val="16"/>
          <w:lang w:val="es-419"/>
        </w:rPr>
        <w:t xml:space="preserve"> Gaby Lucia Rivera Sánchez, en nombre y representación de todos sus hermanos señalados como víctimas: Boris Paredes Bustos, Loreto Meza van den Daele, Karinna Fernández Neira, Cristián Cruz Rivera, Magdalena Garcés Fuentes, José́ Antonio Guerrero Uriarte, Joseph Bereaud Barraza, María Cecilia Noguer Fernández y Luisa Carolina Sanhueza Gómez. </w:t>
      </w:r>
    </w:p>
  </w:footnote>
  <w:footnote w:id="3">
    <w:p w14:paraId="700AC69F" w14:textId="77777777" w:rsidR="00323FC1" w:rsidRPr="00A84D80" w:rsidRDefault="00323FC1" w:rsidP="00E27FB4">
      <w:pPr>
        <w:pStyle w:val="FootnoteText"/>
        <w:jc w:val="both"/>
        <w:rPr>
          <w:rFonts w:ascii="Cambria" w:hAnsi="Cambria"/>
          <w:color w:val="000000" w:themeColor="text1"/>
          <w:sz w:val="16"/>
          <w:szCs w:val="16"/>
          <w:lang w:val="es-419"/>
        </w:rPr>
      </w:pPr>
      <w:r w:rsidRPr="00A84D80">
        <w:rPr>
          <w:rStyle w:val="FootnoteReference"/>
          <w:rFonts w:ascii="Cambria" w:hAnsi="Cambria"/>
          <w:color w:val="000000" w:themeColor="text1"/>
          <w:sz w:val="16"/>
          <w:szCs w:val="16"/>
          <w:lang w:val="es-419"/>
        </w:rPr>
        <w:footnoteRef/>
      </w:r>
      <w:r w:rsidRPr="00A84D80">
        <w:rPr>
          <w:rFonts w:ascii="Cambria" w:hAnsi="Cambria"/>
          <w:color w:val="000000" w:themeColor="text1"/>
          <w:sz w:val="16"/>
          <w:szCs w:val="16"/>
          <w:lang w:val="es-419"/>
        </w:rPr>
        <w:t xml:space="preserve"> Representada por su representante legal Lorena Pizarro Sierra y su directiva compuesta por: Lorena Soledad Gloria Pizarro Sierra, Viviana Elisa Díaz Caro, Gonzalo Eduardo Muñoz Otárola, Gaby Lucía Rivera Sánchez, Marta Adriana Vega Alvarado, Mireya García Ramírez y Gabriela Violeta Zuñiga Figueroa. </w:t>
      </w:r>
    </w:p>
  </w:footnote>
  <w:footnote w:id="4">
    <w:p w14:paraId="6872AF28" w14:textId="77777777" w:rsidR="00323FC1" w:rsidRPr="00A84D80" w:rsidRDefault="00323FC1" w:rsidP="00E27FB4">
      <w:pPr>
        <w:pStyle w:val="FootnoteText"/>
        <w:jc w:val="both"/>
        <w:rPr>
          <w:rFonts w:ascii="Cambria" w:hAnsi="Cambria"/>
          <w:color w:val="000000" w:themeColor="text1"/>
          <w:sz w:val="16"/>
          <w:szCs w:val="16"/>
          <w:lang w:val="es-419"/>
        </w:rPr>
      </w:pPr>
      <w:r w:rsidRPr="00A84D80">
        <w:rPr>
          <w:rStyle w:val="FootnoteReference"/>
          <w:rFonts w:ascii="Cambria" w:hAnsi="Cambria"/>
          <w:color w:val="000000" w:themeColor="text1"/>
          <w:sz w:val="16"/>
          <w:szCs w:val="16"/>
          <w:lang w:val="es-419"/>
        </w:rPr>
        <w:footnoteRef/>
      </w:r>
      <w:r w:rsidRPr="00A84D80">
        <w:rPr>
          <w:rFonts w:ascii="Cambria" w:hAnsi="Cambria"/>
          <w:color w:val="000000" w:themeColor="text1"/>
          <w:sz w:val="16"/>
          <w:szCs w:val="16"/>
          <w:lang w:val="es-419"/>
        </w:rPr>
        <w:t xml:space="preserve"> Gaby Lucia Rivera Sánchez, Maria Angélica Rivera Sánchez, Juan Patricio Rivera Sánchez, Jovina del Carmen Rivera Sánchez, Olga Matilde Rivera Sánchez, Cecilia de las Mercedes Rivera Sánchez y Juan Carlos Rivera Sánchez. </w:t>
      </w:r>
    </w:p>
  </w:footnote>
  <w:footnote w:id="5">
    <w:p w14:paraId="12B672DE" w14:textId="77777777" w:rsidR="00323FC1" w:rsidRPr="00A84D80" w:rsidRDefault="00323FC1" w:rsidP="00E27FB4">
      <w:pPr>
        <w:shd w:val="clear" w:color="auto" w:fill="FFFFFF"/>
        <w:jc w:val="both"/>
        <w:rPr>
          <w:rFonts w:ascii="Cambria" w:hAnsi="Cambria" w:cs="Arial"/>
          <w:color w:val="000000" w:themeColor="text1"/>
          <w:sz w:val="16"/>
          <w:szCs w:val="16"/>
          <w:lang w:val="es-419"/>
        </w:rPr>
      </w:pPr>
      <w:r w:rsidRPr="00A84D80">
        <w:rPr>
          <w:rStyle w:val="FootnoteReference"/>
          <w:rFonts w:ascii="Cambria" w:hAnsi="Cambria"/>
          <w:color w:val="000000" w:themeColor="text1"/>
          <w:sz w:val="16"/>
          <w:szCs w:val="16"/>
          <w:lang w:val="es-419"/>
        </w:rPr>
        <w:footnoteRef/>
      </w:r>
      <w:r w:rsidRPr="00A84D80">
        <w:rPr>
          <w:rFonts w:ascii="Cambria" w:hAnsi="Cambria"/>
          <w:color w:val="000000" w:themeColor="text1"/>
          <w:sz w:val="16"/>
          <w:szCs w:val="16"/>
          <w:lang w:val="es-419"/>
        </w:rPr>
        <w:t xml:space="preserve"> </w:t>
      </w:r>
      <w:r w:rsidRPr="00A84D80">
        <w:rPr>
          <w:rFonts w:ascii="Cambria" w:hAnsi="Cambria" w:cs="Arial"/>
          <w:color w:val="000000" w:themeColor="text1"/>
          <w:sz w:val="16"/>
          <w:szCs w:val="16"/>
          <w:lang w:val="es-419"/>
        </w:rPr>
        <w:t>Código Penal, Articulo 103 : Si el responsable se presentare o fuere habido antes de completar el tiempo de la prescripción de la acción penal o de la pena, pero habiendo ya trascurrido la mitad del que se exige, en sus respectivos casos, para tales prescripciones, deberá el tribunal considerar el hecho como revestido de dos o más circunstancias atenuantes muy calificadas y de ninguna agravante y aplicar las reglas de los arts. 65, 66, 67 y 68, sea en la imposición de la pena, sea para disminuir la ya impuesta.</w:t>
      </w:r>
    </w:p>
    <w:p w14:paraId="7C61603F" w14:textId="77777777" w:rsidR="00323FC1" w:rsidRPr="00A84D80" w:rsidRDefault="00323FC1" w:rsidP="00E27FB4">
      <w:pPr>
        <w:shd w:val="clear" w:color="auto" w:fill="FFFFFF"/>
        <w:jc w:val="both"/>
        <w:rPr>
          <w:rFonts w:ascii="Cambria" w:hAnsi="Cambria" w:cs="Arial"/>
          <w:color w:val="000000" w:themeColor="text1"/>
          <w:sz w:val="16"/>
          <w:szCs w:val="16"/>
          <w:lang w:val="es-419"/>
        </w:rPr>
      </w:pPr>
      <w:r w:rsidRPr="00A84D80">
        <w:rPr>
          <w:rFonts w:ascii="Cambria" w:hAnsi="Cambria" w:cs="Arial"/>
          <w:color w:val="000000" w:themeColor="text1"/>
          <w:sz w:val="16"/>
          <w:szCs w:val="16"/>
          <w:lang w:val="es-419"/>
        </w:rPr>
        <w:t>Esta regla no se aplica a las prescripciones de las faltas y especiales de corto tiempo.</w:t>
      </w:r>
    </w:p>
  </w:footnote>
  <w:footnote w:id="6">
    <w:p w14:paraId="3EB65A88" w14:textId="77777777" w:rsidR="00323FC1" w:rsidRPr="001D321F" w:rsidRDefault="00323FC1" w:rsidP="00E27FB4">
      <w:pPr>
        <w:pStyle w:val="NormalWeb"/>
        <w:spacing w:before="0" w:beforeAutospacing="0" w:after="0" w:afterAutospacing="0"/>
        <w:jc w:val="both"/>
        <w:rPr>
          <w:rFonts w:ascii="Cambria" w:hAnsi="Cambria"/>
          <w:color w:val="000000" w:themeColor="text1"/>
          <w:sz w:val="16"/>
          <w:szCs w:val="16"/>
          <w:lang w:val="es-ES"/>
        </w:rPr>
      </w:pPr>
      <w:r w:rsidRPr="00A84D80">
        <w:rPr>
          <w:rStyle w:val="FootnoteReference"/>
          <w:rFonts w:ascii="Cambria" w:hAnsi="Cambria"/>
          <w:color w:val="000000" w:themeColor="text1"/>
          <w:sz w:val="16"/>
          <w:szCs w:val="16"/>
          <w:lang w:val="es-419"/>
        </w:rPr>
        <w:footnoteRef/>
      </w:r>
      <w:r w:rsidRPr="00A84D80">
        <w:rPr>
          <w:rFonts w:ascii="Cambria" w:hAnsi="Cambria"/>
          <w:color w:val="000000" w:themeColor="text1"/>
          <w:sz w:val="16"/>
          <w:szCs w:val="16"/>
          <w:lang w:val="es-419"/>
        </w:rPr>
        <w:t xml:space="preserve"> Petición suscripta por María Ester Hernández Martínez, Boris Paredes Bustos, Loreto Meza van den Daele,  Karinna Fernández Neira, Cristián Cruz Rivera, Magdalena Garcés Fuentes, José́ Antonio Guerrero Uriarte, Joseph Bereaud Barraza, María Cecilia Noguer Fernández y Luisa Carolina Sanhueza Gómez, la Corporación Agrupación de Familiares de Detenidos Desaparecidos (AFDD) representada por su directiva y la Federación Internacional de los Derechos Humanos (FIDH), representada por Jimena Reyes, presentada en representación de Cardenio Ancacura Manquián, Teófilo Zaragozo Gonzalez Calfulef, Manuel Hernández Inostroza, Arturo Benito Vega González y sus respectivos familiares. La Comisión registró inicialmente dicha denuncia bajo el número P 305-08.</w:t>
      </w:r>
      <w:r w:rsidRPr="001D321F">
        <w:rPr>
          <w:rFonts w:ascii="Cambria" w:hAnsi="Cambria"/>
          <w:color w:val="000000" w:themeColor="text1"/>
          <w:sz w:val="16"/>
          <w:szCs w:val="16"/>
          <w:lang w:val="es-ES"/>
        </w:rPr>
        <w:t xml:space="preserve"> </w:t>
      </w:r>
    </w:p>
  </w:footnote>
  <w:footnote w:id="7">
    <w:p w14:paraId="74BBE0CE" w14:textId="77777777" w:rsidR="00323FC1" w:rsidRPr="001D321F" w:rsidRDefault="00323FC1" w:rsidP="00E27FB4">
      <w:pPr>
        <w:pStyle w:val="NormalWeb"/>
        <w:spacing w:before="0" w:beforeAutospacing="0" w:after="0" w:afterAutospacing="0"/>
        <w:jc w:val="both"/>
        <w:rPr>
          <w:rFonts w:ascii="Cambria" w:hAnsi="Cambria"/>
          <w:color w:val="000000" w:themeColor="text1"/>
          <w:sz w:val="16"/>
          <w:szCs w:val="16"/>
          <w:lang w:val="es-ES"/>
        </w:rPr>
      </w:pPr>
      <w:r w:rsidRPr="001D321F">
        <w:rPr>
          <w:rStyle w:val="FootnoteReference"/>
          <w:rFonts w:ascii="Cambria" w:hAnsi="Cambria"/>
          <w:color w:val="000000" w:themeColor="text1"/>
          <w:sz w:val="16"/>
          <w:szCs w:val="16"/>
          <w:lang w:val="es-ES"/>
        </w:rPr>
        <w:footnoteRef/>
      </w:r>
      <w:r w:rsidRPr="001D321F">
        <w:rPr>
          <w:rFonts w:ascii="Cambria" w:hAnsi="Cambria"/>
          <w:color w:val="000000" w:themeColor="text1"/>
          <w:sz w:val="16"/>
          <w:szCs w:val="16"/>
          <w:lang w:val="es-ES" w:eastAsia="es-ES"/>
        </w:rPr>
        <w:t xml:space="preserve"> Petición interpuesta por María Cristina Escanilla Escobar, Karinna Fernández Neira, Loreto Meza van den Daele, Boris Paredes Bustos, Cristian Cruz Rivera, Magdalena Garcés Fuentes, Joseph Bereaud Barraza, María Cecilia Noguer Fernández, Luisa Carolina Sanhueza Gómez, Claudia Sarmiento Ramírez, la Agrupación de Familiares de Detenidos Desaparecidos de Parral, la AFDD y la FIDH </w:t>
      </w:r>
      <w:r w:rsidRPr="001D321F">
        <w:rPr>
          <w:rFonts w:ascii="Cambria" w:hAnsi="Cambria"/>
          <w:color w:val="000000" w:themeColor="text1"/>
          <w:sz w:val="16"/>
          <w:szCs w:val="16"/>
          <w:lang w:val="es-ES"/>
        </w:rPr>
        <w:t xml:space="preserve">en representación de Luis Evangelista Aguayo Fernández, Manuel Eduardo Bascuñan Aravena, José́ Ignacio Bustos Fuentes, Enrique Ángel Carreño González, Rafael Alonso Díaz Meza, Rolando Antonio Ibarra Ortega (López), Aroldo Vivian Laurie Luengo, Ireneo Alberto Méndez Hernández, Armando Edelmiro Morales Morales, José́ Luis Morales Ruiz, Aurelio Clodomiro Peñailillo Sepúlveda, Luis Alcides Pereira Hernández, Armando Aroldo Pereira Meriño, Oscar Abdón Retamal Pérez, Luis Enrique Rivera Cofré, José́ Hernán Riveros Chávez, Roberto del Carmen Romero Muñoz, Oscar Eladio Saldías Daza, Hernán Sarmiento Sabater, Hugo Enrique Soto Campos, Ruperto Oriol Torres Aravena, Edelmiro Antonio Valdez Sepúlveda, Víctor Julio Vivanco Vásquez, Claudio Jesús Escanilla Escobar y sus respectivos familiares. La Comisión registró inicialmente dicha denuncia bajo el número P 759-08. </w:t>
      </w:r>
    </w:p>
  </w:footnote>
  <w:footnote w:id="8">
    <w:p w14:paraId="66AC3106" w14:textId="77777777" w:rsidR="00323FC1" w:rsidRPr="001D321F" w:rsidRDefault="00323FC1" w:rsidP="00E27FB4">
      <w:pPr>
        <w:pStyle w:val="NormalWeb"/>
        <w:spacing w:before="0" w:beforeAutospacing="0" w:after="0" w:afterAutospacing="0"/>
        <w:jc w:val="both"/>
        <w:rPr>
          <w:rFonts w:ascii="Cambria" w:hAnsi="Cambria"/>
          <w:color w:val="000000" w:themeColor="text1"/>
          <w:sz w:val="16"/>
          <w:szCs w:val="16"/>
          <w:lang w:val="es-ES"/>
        </w:rPr>
      </w:pPr>
      <w:r w:rsidRPr="001D321F">
        <w:rPr>
          <w:rStyle w:val="FootnoteReference"/>
          <w:rFonts w:ascii="Cambria" w:hAnsi="Cambria"/>
          <w:color w:val="000000" w:themeColor="text1"/>
          <w:sz w:val="16"/>
          <w:szCs w:val="16"/>
        </w:rPr>
        <w:footnoteRef/>
      </w:r>
      <w:r w:rsidRPr="001D321F">
        <w:rPr>
          <w:rFonts w:ascii="Cambria" w:hAnsi="Cambria"/>
          <w:color w:val="000000" w:themeColor="text1"/>
          <w:sz w:val="16"/>
          <w:szCs w:val="16"/>
          <w:lang w:val="es-ES"/>
        </w:rPr>
        <w:t xml:space="preserve"> Petición presentada por Cristina del Carmen Lagos Román, </w:t>
      </w:r>
      <w:r w:rsidRPr="001D321F">
        <w:rPr>
          <w:rFonts w:ascii="Cambria" w:hAnsi="Cambria"/>
          <w:color w:val="000000" w:themeColor="text1"/>
          <w:sz w:val="16"/>
          <w:szCs w:val="16"/>
          <w:lang w:val="es-ES" w:eastAsia="es-ES"/>
        </w:rPr>
        <w:t xml:space="preserve">Karinna Fernández Neira, Loreto Meza van den Daele, Boris Paredes Bustos, Cristian Cruz Rivera, Magdalena Garcés Fuentes, Joseph Bereaud Barraza, María Cecilia Noguer Fernández, Luisa Carolina Sanhueza Gómez, Catalina Lagos Tschorne, Patricia Parra Poblete, la AFDD y la FIDH </w:t>
      </w:r>
      <w:r w:rsidRPr="001D321F">
        <w:rPr>
          <w:rFonts w:ascii="Cambria" w:hAnsi="Cambria"/>
          <w:color w:val="000000" w:themeColor="text1"/>
          <w:sz w:val="16"/>
          <w:szCs w:val="16"/>
          <w:lang w:val="es-ES"/>
        </w:rPr>
        <w:t xml:space="preserve">en representación de Nelson Almendras Almendras, José́ Ricardo López López, Juan de la Cruz Briones Pérez, Victoriano Lagos Lagos, y sus familiares. La Comisión registró inicialmente dicha denuncia bajo el número P 707-09. </w:t>
      </w:r>
    </w:p>
  </w:footnote>
  <w:footnote w:id="9">
    <w:p w14:paraId="76E1AC7C" w14:textId="77777777" w:rsidR="00323FC1" w:rsidRPr="001D321F" w:rsidRDefault="00323FC1" w:rsidP="00E27FB4">
      <w:pPr>
        <w:pStyle w:val="FootnoteText"/>
        <w:jc w:val="both"/>
        <w:rPr>
          <w:rFonts w:ascii="Cambria" w:hAnsi="Cambria"/>
          <w:color w:val="000000" w:themeColor="text1"/>
          <w:sz w:val="16"/>
          <w:szCs w:val="16"/>
          <w:lang w:val="es-ES"/>
        </w:rPr>
      </w:pPr>
      <w:r w:rsidRPr="001D321F">
        <w:rPr>
          <w:rStyle w:val="FootnoteReference"/>
          <w:rFonts w:ascii="Cambria" w:hAnsi="Cambria"/>
          <w:color w:val="000000" w:themeColor="text1"/>
          <w:sz w:val="16"/>
          <w:szCs w:val="16"/>
        </w:rPr>
        <w:footnoteRef/>
      </w:r>
      <w:r w:rsidRPr="001D321F">
        <w:rPr>
          <w:rFonts w:ascii="Cambria" w:hAnsi="Cambria"/>
          <w:color w:val="000000" w:themeColor="text1"/>
          <w:sz w:val="16"/>
          <w:szCs w:val="16"/>
          <w:lang w:val="es-ES"/>
        </w:rPr>
        <w:t xml:space="preserve"> Petición presentada por Marietta Italia Montti Cordero, Karinna Fernández Neira, Loreto Meza van den Daele, Boris Paredes Bustos, Cristian Cruz Rivera, Magdalena Garcés Fuentes, Joseph Bereaud Barraza, María Cecilia Noguer Fernández, Luisa Carolina Sanhueza Gómez, Catalina Lagos Tschorne, Hiram Villagra Castro y la AFDD en representación de Eugenio Iván Montti Cordero y Carmen Díaz Darricarre y sus familiares. La Comisión registró inicialmente la petición bajo el numero P 798-09. </w:t>
      </w:r>
    </w:p>
  </w:footnote>
  <w:footnote w:id="10">
    <w:p w14:paraId="4AA3142C" w14:textId="77777777" w:rsidR="00323FC1" w:rsidRPr="001D321F" w:rsidRDefault="00323FC1" w:rsidP="00E27FB4">
      <w:pPr>
        <w:pStyle w:val="FootnoteText"/>
        <w:jc w:val="both"/>
        <w:rPr>
          <w:rFonts w:ascii="Cambria" w:hAnsi="Cambria"/>
          <w:color w:val="000000" w:themeColor="text1"/>
          <w:sz w:val="16"/>
          <w:szCs w:val="16"/>
          <w:lang w:val="es-ES"/>
        </w:rPr>
      </w:pPr>
      <w:r w:rsidRPr="001D321F">
        <w:rPr>
          <w:rStyle w:val="FootnoteReference"/>
          <w:rFonts w:ascii="Cambria" w:hAnsi="Cambria"/>
          <w:color w:val="000000" w:themeColor="text1"/>
          <w:sz w:val="16"/>
          <w:szCs w:val="16"/>
        </w:rPr>
        <w:footnoteRef/>
      </w:r>
      <w:r w:rsidRPr="001D321F">
        <w:rPr>
          <w:rFonts w:ascii="Cambria" w:hAnsi="Cambria"/>
          <w:color w:val="000000" w:themeColor="text1"/>
          <w:sz w:val="16"/>
          <w:szCs w:val="16"/>
          <w:lang w:val="es-ES"/>
        </w:rPr>
        <w:t xml:space="preserve"> Petición presentada por Patricia Sara Aedo Martínez, Karinna Fernández Neira, Loreto Meza van den Daele, Boris Paredes Bustos, Cristian Cruz Rivera, Magdalena Garcés Fuentes, Luisa Carolina Sanhueza Gómez, Catalina Lagos Tschorne, la AFDD y la FIDH en representación de Luciano Aedo Hidalgo. La Comisión registro inicialmente dicha petición bajo el numero P 102-08. </w:t>
      </w:r>
    </w:p>
  </w:footnote>
  <w:footnote w:id="11">
    <w:p w14:paraId="6D49B107" w14:textId="77777777" w:rsidR="00323FC1" w:rsidRPr="001D321F" w:rsidRDefault="00323FC1" w:rsidP="00E27FB4">
      <w:pPr>
        <w:pStyle w:val="NormalWeb"/>
        <w:spacing w:before="0" w:beforeAutospacing="0" w:after="0" w:afterAutospacing="0"/>
        <w:jc w:val="both"/>
        <w:rPr>
          <w:rFonts w:ascii="Cambria" w:hAnsi="Cambria"/>
          <w:color w:val="000000" w:themeColor="text1"/>
          <w:sz w:val="16"/>
          <w:szCs w:val="16"/>
          <w:lang w:val="es-ES"/>
        </w:rPr>
      </w:pPr>
      <w:r w:rsidRPr="001D321F">
        <w:rPr>
          <w:rStyle w:val="FootnoteReference"/>
          <w:rFonts w:ascii="Cambria" w:hAnsi="Cambria"/>
          <w:color w:val="000000" w:themeColor="text1"/>
          <w:sz w:val="16"/>
          <w:szCs w:val="16"/>
          <w:lang w:val="es-ES"/>
        </w:rPr>
        <w:footnoteRef/>
      </w:r>
      <w:r w:rsidRPr="001D321F">
        <w:rPr>
          <w:rFonts w:ascii="Cambria" w:hAnsi="Cambria"/>
          <w:color w:val="000000" w:themeColor="text1"/>
          <w:sz w:val="16"/>
          <w:szCs w:val="16"/>
          <w:lang w:val="es-ES"/>
        </w:rPr>
        <w:t xml:space="preserve"> Petición presentada por Alicia Lira Matus, Iván Carrasco Mora,</w:t>
      </w:r>
      <w:r w:rsidRPr="001D321F">
        <w:rPr>
          <w:rFonts w:ascii="Cambria" w:hAnsi="Cambria"/>
          <w:color w:val="000000" w:themeColor="text1"/>
          <w:sz w:val="16"/>
          <w:szCs w:val="16"/>
          <w:lang w:val="es-ES" w:eastAsia="es-ES"/>
        </w:rPr>
        <w:t xml:space="preserve"> Loreto Meza van den Daele</w:t>
      </w:r>
      <w:r w:rsidRPr="001D321F">
        <w:rPr>
          <w:rFonts w:ascii="Cambria" w:hAnsi="Cambria"/>
          <w:color w:val="000000" w:themeColor="text1"/>
          <w:sz w:val="16"/>
          <w:szCs w:val="16"/>
          <w:lang w:val="es-ES"/>
        </w:rPr>
        <w:t xml:space="preserve">, </w:t>
      </w:r>
      <w:r w:rsidRPr="001D321F">
        <w:rPr>
          <w:rFonts w:ascii="Cambria" w:hAnsi="Cambria"/>
          <w:color w:val="000000" w:themeColor="text1"/>
          <w:sz w:val="16"/>
          <w:szCs w:val="16"/>
          <w:lang w:val="es-ES" w:eastAsia="es-ES"/>
        </w:rPr>
        <w:t>Karinna Fernández Neira,  Boris Paredes Bustos, Cristian Cruz Rivera, Magdalena Garcés Fuentes, Luisa Carolina Sanhuesa Gómez, Hugo Pavez Lazo, Catalina Lagos Tschorne, la Agrupación de Familiares de Ejecutados Políticos (AFEP), la AFDD y la FIDH</w:t>
      </w:r>
      <w:r w:rsidRPr="001D321F">
        <w:rPr>
          <w:rFonts w:ascii="Cambria" w:hAnsi="Cambria"/>
          <w:color w:val="000000" w:themeColor="text1"/>
          <w:sz w:val="16"/>
          <w:szCs w:val="16"/>
          <w:lang w:val="es-ES"/>
        </w:rPr>
        <w:t xml:space="preserve"> en representación de Felipe Segundo Rivera Gajardo, Gastón Fernando Vidaurrázaga Manríquez, José́ Humberto Carrasco Tapia, Abraham Muskatblit Eidelstein, y sus respectivos familiares. La Comisión registró inicialmente dicha denuncia bajo el número P 676-11. </w:t>
      </w:r>
    </w:p>
  </w:footnote>
  <w:footnote w:id="12">
    <w:p w14:paraId="3F19399A" w14:textId="77777777" w:rsidR="00323FC1" w:rsidRPr="001D321F" w:rsidRDefault="00323FC1" w:rsidP="00E27FB4">
      <w:pPr>
        <w:pStyle w:val="FootnoteText"/>
        <w:jc w:val="both"/>
        <w:rPr>
          <w:rFonts w:ascii="Cambria" w:hAnsi="Cambria"/>
          <w:color w:val="000000" w:themeColor="text1"/>
          <w:sz w:val="16"/>
          <w:szCs w:val="16"/>
          <w:lang w:val="es-ES"/>
        </w:rPr>
      </w:pPr>
      <w:r w:rsidRPr="001D321F">
        <w:rPr>
          <w:rStyle w:val="FootnoteReference"/>
          <w:rFonts w:ascii="Cambria" w:hAnsi="Cambria"/>
          <w:color w:val="000000" w:themeColor="text1"/>
          <w:sz w:val="16"/>
          <w:szCs w:val="16"/>
          <w:lang w:val="es-ES"/>
        </w:rPr>
        <w:footnoteRef/>
      </w:r>
      <w:r w:rsidRPr="001D321F">
        <w:rPr>
          <w:rFonts w:ascii="Cambria" w:hAnsi="Cambria"/>
          <w:color w:val="000000" w:themeColor="text1"/>
          <w:sz w:val="16"/>
          <w:szCs w:val="16"/>
          <w:lang w:val="es-ES"/>
        </w:rPr>
        <w:t xml:space="preserve"> Petición presentada por María Eugenia de la Jara Goyeneche, Karinna Fernández Neira, Loreto Meza van den Daele, Boris Paredes Bustos, Cristian Cruz Rivera, Magdalena Garcés Fuentes, Luisa Carolina Sanhueza Gómez, Hugo Pavez Lazo, la AFDD y la FIDH en representación de Félix Santiago de la Jara Goyeneche y sus familiares. La Comisión registró inicialmente la petición bajo el número P 665-11.</w:t>
      </w:r>
    </w:p>
  </w:footnote>
  <w:footnote w:id="13">
    <w:p w14:paraId="45C39DB0" w14:textId="77777777" w:rsidR="00323FC1" w:rsidRPr="001D321F" w:rsidRDefault="00323FC1" w:rsidP="00E27FB4">
      <w:pPr>
        <w:pStyle w:val="NormalWeb"/>
        <w:spacing w:before="0" w:beforeAutospacing="0" w:after="0" w:afterAutospacing="0"/>
        <w:jc w:val="both"/>
        <w:rPr>
          <w:rFonts w:ascii="Cambria" w:hAnsi="Cambria"/>
          <w:color w:val="000000" w:themeColor="text1"/>
          <w:sz w:val="16"/>
          <w:szCs w:val="16"/>
          <w:lang w:val="es-ES" w:eastAsia="es-ES"/>
        </w:rPr>
      </w:pPr>
      <w:r w:rsidRPr="001D321F">
        <w:rPr>
          <w:rStyle w:val="FootnoteReference"/>
          <w:rFonts w:ascii="Cambria" w:hAnsi="Cambria"/>
          <w:color w:val="000000" w:themeColor="text1"/>
          <w:sz w:val="16"/>
          <w:szCs w:val="16"/>
        </w:rPr>
        <w:footnoteRef/>
      </w:r>
      <w:r w:rsidRPr="001D321F">
        <w:rPr>
          <w:rFonts w:ascii="Cambria" w:hAnsi="Cambria"/>
          <w:color w:val="000000" w:themeColor="text1"/>
          <w:sz w:val="16"/>
          <w:szCs w:val="16"/>
          <w:lang w:val="es-ES"/>
        </w:rPr>
        <w:t xml:space="preserve"> Petición presentada por Ximena Carolina Bojanich Abad, Leandro Oyarzún Bojanich, </w:t>
      </w:r>
      <w:r w:rsidRPr="001D321F">
        <w:rPr>
          <w:rFonts w:ascii="Cambria" w:hAnsi="Cambria"/>
          <w:color w:val="000000" w:themeColor="text1"/>
          <w:sz w:val="16"/>
          <w:szCs w:val="16"/>
          <w:lang w:val="es-ES" w:eastAsia="es-ES"/>
        </w:rPr>
        <w:t>Loreto Meza van den Daele</w:t>
      </w:r>
      <w:r w:rsidRPr="001D321F">
        <w:rPr>
          <w:rFonts w:ascii="Cambria" w:hAnsi="Cambria"/>
          <w:color w:val="000000" w:themeColor="text1"/>
          <w:sz w:val="16"/>
          <w:szCs w:val="16"/>
          <w:lang w:val="es-ES"/>
        </w:rPr>
        <w:t xml:space="preserve">, </w:t>
      </w:r>
      <w:r w:rsidRPr="001D321F">
        <w:rPr>
          <w:rFonts w:ascii="Cambria" w:hAnsi="Cambria"/>
          <w:color w:val="000000" w:themeColor="text1"/>
          <w:sz w:val="16"/>
          <w:szCs w:val="16"/>
          <w:lang w:val="es-ES" w:eastAsia="es-ES"/>
        </w:rPr>
        <w:t xml:space="preserve">Karinna Fernández Neira, Boris Paredes Bustos, Cristian Cruz Rivera, Magdalena Garcés Fuentes, Luisa Carolina Sanhuesa Gómez, Hugo Pavez Lazo, </w:t>
      </w:r>
      <w:r w:rsidRPr="001D321F">
        <w:rPr>
          <w:rFonts w:ascii="Cambria" w:hAnsi="Cambria"/>
          <w:color w:val="000000" w:themeColor="text1"/>
          <w:sz w:val="16"/>
          <w:szCs w:val="16"/>
          <w:lang w:val="es-ES"/>
        </w:rPr>
        <w:t>la AFDD y la FIDH en representación de Cecilia Miguelina Bojanic</w:t>
      </w:r>
      <w:r>
        <w:rPr>
          <w:rFonts w:ascii="Cambria" w:hAnsi="Cambria"/>
          <w:color w:val="000000" w:themeColor="text1"/>
          <w:sz w:val="16"/>
          <w:szCs w:val="16"/>
          <w:lang w:val="es-ES"/>
        </w:rPr>
        <w:t>h</w:t>
      </w:r>
      <w:r w:rsidRPr="001D321F">
        <w:rPr>
          <w:rFonts w:ascii="Cambria" w:hAnsi="Cambria"/>
          <w:color w:val="000000" w:themeColor="text1"/>
          <w:sz w:val="16"/>
          <w:szCs w:val="16"/>
          <w:lang w:val="es-ES"/>
        </w:rPr>
        <w:t xml:space="preserve"> Abad y Flavio Arquímedes Oyarzún Soto, y sus respectivos familiares. La Comisión registró inicialmente dicha denuncia bajo el número P 674-11. </w:t>
      </w:r>
    </w:p>
  </w:footnote>
  <w:footnote w:id="14">
    <w:p w14:paraId="7C85537B" w14:textId="77777777" w:rsidR="00323FC1" w:rsidRPr="001D321F" w:rsidRDefault="00323FC1" w:rsidP="00E27FB4">
      <w:pPr>
        <w:pStyle w:val="NormalWeb"/>
        <w:spacing w:before="0" w:beforeAutospacing="0" w:after="0" w:afterAutospacing="0"/>
        <w:rPr>
          <w:rFonts w:ascii="Cambria" w:hAnsi="Cambria"/>
          <w:color w:val="000000" w:themeColor="text1"/>
          <w:sz w:val="16"/>
          <w:szCs w:val="16"/>
          <w:lang w:val="es-ES"/>
        </w:rPr>
      </w:pPr>
      <w:r w:rsidRPr="001D321F">
        <w:rPr>
          <w:rStyle w:val="FootnoteReference"/>
          <w:rFonts w:ascii="Cambria" w:hAnsi="Cambria"/>
          <w:color w:val="000000" w:themeColor="text1"/>
          <w:sz w:val="16"/>
          <w:szCs w:val="16"/>
        </w:rPr>
        <w:footnoteRef/>
      </w:r>
      <w:r w:rsidRPr="001D321F">
        <w:rPr>
          <w:rFonts w:ascii="Cambria" w:hAnsi="Cambria"/>
          <w:color w:val="000000" w:themeColor="text1"/>
          <w:sz w:val="16"/>
          <w:szCs w:val="16"/>
          <w:lang w:val="es-ES"/>
        </w:rPr>
        <w:t xml:space="preserve"> Petición presentada por Félix Alfonso García Franco, Sergio Concha Rodríguez, Magdalena Garcés Fuentes y la AFDD en representación de José́ Félix García Franco y sus familiares. La Comisión registró inicialmente dicha denuncia bajo el número P 1275-04. </w:t>
      </w:r>
    </w:p>
  </w:footnote>
  <w:footnote w:id="15">
    <w:p w14:paraId="21E0A121" w14:textId="77777777" w:rsidR="00323FC1" w:rsidRPr="001D321F" w:rsidRDefault="00323FC1" w:rsidP="00E27FB4">
      <w:pPr>
        <w:pStyle w:val="NormalWeb"/>
        <w:spacing w:before="0" w:beforeAutospacing="0" w:after="0" w:afterAutospacing="0"/>
        <w:jc w:val="both"/>
        <w:rPr>
          <w:rFonts w:ascii="Cambria" w:hAnsi="Cambria"/>
          <w:color w:val="000000" w:themeColor="text1"/>
          <w:sz w:val="16"/>
          <w:szCs w:val="16"/>
          <w:lang w:val="es-ES"/>
        </w:rPr>
      </w:pPr>
      <w:r w:rsidRPr="001D321F">
        <w:rPr>
          <w:rStyle w:val="FootnoteReference"/>
          <w:rFonts w:ascii="Cambria" w:hAnsi="Cambria"/>
          <w:color w:val="000000" w:themeColor="text1"/>
          <w:sz w:val="16"/>
          <w:szCs w:val="16"/>
          <w:lang w:val="es-ES"/>
        </w:rPr>
        <w:footnoteRef/>
      </w:r>
      <w:r w:rsidRPr="001D321F">
        <w:rPr>
          <w:rFonts w:ascii="Cambria" w:hAnsi="Cambria"/>
          <w:color w:val="000000" w:themeColor="text1"/>
          <w:sz w:val="16"/>
          <w:szCs w:val="16"/>
          <w:lang w:val="es-ES"/>
        </w:rPr>
        <w:t xml:space="preserve"> Petición presentada por Daniel Iván Olate Arriagada, </w:t>
      </w:r>
      <w:r w:rsidRPr="001D321F">
        <w:rPr>
          <w:rFonts w:ascii="Cambria" w:hAnsi="Cambria"/>
          <w:color w:val="000000" w:themeColor="text1"/>
          <w:sz w:val="16"/>
          <w:szCs w:val="16"/>
          <w:lang w:val="es-ES" w:eastAsia="es-ES"/>
        </w:rPr>
        <w:t>Karinna Fernández Neira, Loreto Meza van den Daele, Boris Paredes Bustos, Cristian Cruz Rivera, Magdalena Garcés Fuentes</w:t>
      </w:r>
      <w:r w:rsidRPr="001D321F">
        <w:rPr>
          <w:rFonts w:ascii="Cambria" w:hAnsi="Cambria"/>
          <w:color w:val="000000" w:themeColor="text1"/>
          <w:sz w:val="16"/>
          <w:szCs w:val="16"/>
          <w:lang w:val="es-ES"/>
        </w:rPr>
        <w:t xml:space="preserve">, Luisa Carolina Sanhueza Gómez, Hugo Pavez Lazo, Catalina Lagos Tschorne, la AFDD y la FIDH en representación de María Arriagada Jerez, Jorge Aillón Lara, y sus respectivos familiares. La Comisión registró inicialmente la petición bajo el número P 675-11. </w:t>
      </w:r>
    </w:p>
  </w:footnote>
  <w:footnote w:id="16">
    <w:p w14:paraId="419223D0" w14:textId="77777777" w:rsidR="00323FC1" w:rsidRPr="001D321F" w:rsidRDefault="00323FC1" w:rsidP="00E27FB4">
      <w:pPr>
        <w:pStyle w:val="NormalWeb"/>
        <w:spacing w:before="0" w:beforeAutospacing="0" w:after="0" w:afterAutospacing="0"/>
        <w:jc w:val="both"/>
        <w:rPr>
          <w:rFonts w:ascii="Cambria" w:hAnsi="Cambria"/>
          <w:color w:val="000000" w:themeColor="text1"/>
          <w:sz w:val="16"/>
          <w:szCs w:val="16"/>
          <w:lang w:val="es-ES"/>
        </w:rPr>
      </w:pPr>
      <w:r w:rsidRPr="001D321F">
        <w:rPr>
          <w:rStyle w:val="FootnoteReference"/>
          <w:rFonts w:ascii="Cambria" w:hAnsi="Cambria"/>
          <w:color w:val="000000" w:themeColor="text1"/>
          <w:sz w:val="16"/>
          <w:szCs w:val="16"/>
        </w:rPr>
        <w:footnoteRef/>
      </w:r>
      <w:r w:rsidRPr="001D321F">
        <w:rPr>
          <w:rFonts w:ascii="Cambria" w:hAnsi="Cambria"/>
          <w:color w:val="000000" w:themeColor="text1"/>
          <w:sz w:val="16"/>
          <w:szCs w:val="16"/>
          <w:lang w:val="es-ES"/>
        </w:rPr>
        <w:t xml:space="preserve"> Petición presentada por Pedro Alberto Gallegos Eytel, Nicole Françoise Drouilly Yurich,</w:t>
      </w:r>
      <w:r w:rsidRPr="001D321F">
        <w:rPr>
          <w:rFonts w:ascii="Cambria" w:hAnsi="Cambria"/>
          <w:color w:val="000000" w:themeColor="text1"/>
          <w:sz w:val="16"/>
          <w:szCs w:val="16"/>
          <w:lang w:val="es-ES" w:eastAsia="es-ES"/>
        </w:rPr>
        <w:t xml:space="preserve"> Loreto Meza van den Daele, Karinna Fernández Neira, Boris Paredes Bustos, Cristian Cruz Rivera, Magdalena Garcés Fuentes</w:t>
      </w:r>
      <w:r w:rsidRPr="001D321F">
        <w:rPr>
          <w:rFonts w:ascii="Cambria" w:hAnsi="Cambria"/>
          <w:color w:val="000000" w:themeColor="text1"/>
          <w:sz w:val="16"/>
          <w:szCs w:val="16"/>
          <w:lang w:val="es-ES"/>
        </w:rPr>
        <w:t xml:space="preserve">, Luisa Carolina Sanhueza Gómez, Hugo Pavez Lazo, la AFDD y la FIDH en representación de Marcelo Eduardo Salinas Eytel y sus familiares. La Comisión registró inicialmente dicha denuncia bajo el número P 1051-11. </w:t>
      </w:r>
    </w:p>
  </w:footnote>
  <w:footnote w:id="17">
    <w:p w14:paraId="1E74BE94" w14:textId="77777777" w:rsidR="00323FC1" w:rsidRPr="001D321F" w:rsidRDefault="00323FC1" w:rsidP="00E27FB4">
      <w:pPr>
        <w:pStyle w:val="FootnoteText"/>
        <w:jc w:val="both"/>
        <w:rPr>
          <w:rFonts w:ascii="Cambria" w:hAnsi="Cambria"/>
          <w:color w:val="000000" w:themeColor="text1"/>
          <w:sz w:val="16"/>
          <w:szCs w:val="16"/>
          <w:lang w:val="es-ES"/>
        </w:rPr>
      </w:pPr>
      <w:r w:rsidRPr="001D321F">
        <w:rPr>
          <w:rStyle w:val="FootnoteReference"/>
          <w:rFonts w:ascii="Cambria" w:hAnsi="Cambria"/>
          <w:color w:val="000000" w:themeColor="text1"/>
          <w:sz w:val="16"/>
          <w:szCs w:val="16"/>
          <w:lang w:val="es-ES"/>
        </w:rPr>
        <w:footnoteRef/>
      </w:r>
      <w:r w:rsidRPr="001D321F">
        <w:rPr>
          <w:rFonts w:ascii="Cambria" w:hAnsi="Cambria"/>
          <w:color w:val="000000" w:themeColor="text1"/>
          <w:sz w:val="16"/>
          <w:szCs w:val="16"/>
          <w:lang w:val="es-ES"/>
        </w:rPr>
        <w:t xml:space="preserve"> El día 16 de agosto de 2010 la Comisión recibió dos peticiones. La primera de ellas fue suscripta por Ramón de la Cruz Encina Samur, Loreto Meza van den Daele, Karinna Fernández Neira, Boris Paredes Bustos, Cristian Cruz Rivera, Magdalena Garcés Fuentes, Luisa Carolina Sanhueza Gómez, Hugo Pavez Lazo, la AFDD y la FIDH en representación de Gerardo Antonio Encina Pérez y sus respectivos familiares. La Comisión registró inicialmente dicha denuncia bajo el número P 1211-10. La segunda fue suscripta por Carlos Antonio Figueroa Quezada, Loreto Meza van den Daele, Karinna Fernández Neira, Boris Paredes Bustos, Cristian Cruz Rivera, Magdalena Garcés Fuentes, Luisa Carolina Sanhueza Gómez, Hugo Pavez Lazo, la AFDD y la FIDH en representación de Miguel Antonio Figueroa Mercado y de sus familiares. La Comisión registró inicialmente dicha denuncia bajo el número P 1457-10. </w:t>
      </w:r>
    </w:p>
  </w:footnote>
  <w:footnote w:id="18">
    <w:p w14:paraId="7FBFE956" w14:textId="77777777" w:rsidR="00323FC1" w:rsidRPr="001D321F" w:rsidRDefault="00323FC1" w:rsidP="00E27FB4">
      <w:pPr>
        <w:pStyle w:val="FootnoteText"/>
        <w:jc w:val="both"/>
        <w:rPr>
          <w:rFonts w:ascii="Cambria" w:hAnsi="Cambria"/>
          <w:color w:val="000000" w:themeColor="text1"/>
          <w:sz w:val="16"/>
          <w:szCs w:val="16"/>
          <w:lang w:val="es-ES"/>
        </w:rPr>
      </w:pPr>
      <w:r w:rsidRPr="001D321F">
        <w:rPr>
          <w:rStyle w:val="FootnoteReference"/>
          <w:rFonts w:ascii="Cambria" w:hAnsi="Cambria"/>
          <w:color w:val="000000" w:themeColor="text1"/>
          <w:sz w:val="16"/>
          <w:szCs w:val="16"/>
          <w:lang w:val="es-ES"/>
        </w:rPr>
        <w:footnoteRef/>
      </w:r>
      <w:r w:rsidRPr="001D321F">
        <w:rPr>
          <w:rFonts w:ascii="Cambria" w:hAnsi="Cambria"/>
          <w:color w:val="000000" w:themeColor="text1"/>
          <w:sz w:val="16"/>
          <w:szCs w:val="16"/>
          <w:lang w:val="es-ES"/>
        </w:rPr>
        <w:t xml:space="preserve"> CIDH. Informe de Admisibilidad No. 58/16. Peticiones 1275-04 B y 1566-08. Juan Luis Rivera Matus y otros. Chile. OEA/Ser.L/V/II.159 Dco 67. 6 diciembre 2016. Accesible en: http://www.oas.org/es/cidh/decisiones/2016/CHAD1275-04ES.pdf</w:t>
      </w:r>
    </w:p>
  </w:footnote>
  <w:footnote w:id="19">
    <w:p w14:paraId="00678394" w14:textId="77777777" w:rsidR="00323FC1" w:rsidRPr="006A251D" w:rsidRDefault="00323FC1" w:rsidP="00E27FB4">
      <w:pPr>
        <w:pStyle w:val="NoSpacing"/>
        <w:jc w:val="both"/>
        <w:rPr>
          <w:rFonts w:ascii="Cambria" w:hAnsi="Cambria"/>
          <w:color w:val="000000" w:themeColor="text1"/>
          <w:sz w:val="16"/>
          <w:szCs w:val="16"/>
          <w:lang w:val="es-ES"/>
        </w:rPr>
      </w:pPr>
      <w:r w:rsidRPr="006A251D">
        <w:rPr>
          <w:rStyle w:val="FootnoteReference"/>
          <w:rFonts w:ascii="Cambria" w:hAnsi="Cambria"/>
          <w:color w:val="000000" w:themeColor="text1"/>
          <w:sz w:val="16"/>
          <w:szCs w:val="16"/>
          <w:lang w:val="es-ES"/>
        </w:rPr>
        <w:footnoteRef/>
      </w:r>
      <w:r w:rsidRPr="006A251D">
        <w:rPr>
          <w:rFonts w:ascii="Cambria" w:hAnsi="Cambria"/>
          <w:color w:val="000000" w:themeColor="text1"/>
          <w:sz w:val="16"/>
          <w:szCs w:val="16"/>
          <w:lang w:val="es-ES"/>
        </w:rPr>
        <w:t xml:space="preserve"> Decreto Ley 1. Acta de constitución de la Junta de Gobierno. Accesible en: </w:t>
      </w:r>
      <w:hyperlink r:id="rId1" w:history="1">
        <w:r w:rsidRPr="006A251D">
          <w:rPr>
            <w:rStyle w:val="Hyperlink"/>
            <w:rFonts w:ascii="Cambria" w:hAnsi="Cambria"/>
            <w:color w:val="000000" w:themeColor="text1"/>
            <w:sz w:val="16"/>
            <w:szCs w:val="16"/>
            <w:lang w:val="es-ES"/>
          </w:rPr>
          <w:t>http://bcn.cl/2kdt5</w:t>
        </w:r>
      </w:hyperlink>
      <w:r w:rsidRPr="006A251D">
        <w:rPr>
          <w:rFonts w:ascii="Cambria" w:hAnsi="Cambria"/>
          <w:color w:val="000000" w:themeColor="text1"/>
          <w:sz w:val="16"/>
          <w:szCs w:val="16"/>
          <w:lang w:val="es-ES"/>
        </w:rPr>
        <w:t xml:space="preserve"> </w:t>
      </w:r>
    </w:p>
  </w:footnote>
  <w:footnote w:id="20">
    <w:p w14:paraId="1E2F77A5" w14:textId="77777777" w:rsidR="00323FC1" w:rsidRPr="006A251D" w:rsidRDefault="00323FC1" w:rsidP="001D321F">
      <w:pPr>
        <w:pStyle w:val="NoSpacing"/>
        <w:jc w:val="both"/>
        <w:rPr>
          <w:rFonts w:ascii="Cambria" w:hAnsi="Cambria"/>
          <w:color w:val="000000" w:themeColor="text1"/>
          <w:sz w:val="16"/>
          <w:szCs w:val="16"/>
          <w:lang w:val="es-ES"/>
        </w:rPr>
      </w:pPr>
      <w:r w:rsidRPr="006A251D">
        <w:rPr>
          <w:rStyle w:val="FootnoteReference"/>
          <w:rFonts w:ascii="Cambria" w:hAnsi="Cambria"/>
          <w:color w:val="000000" w:themeColor="text1"/>
          <w:sz w:val="16"/>
          <w:szCs w:val="16"/>
          <w:lang w:val="es-ES"/>
        </w:rPr>
        <w:footnoteRef/>
      </w:r>
      <w:r w:rsidRPr="006A251D">
        <w:rPr>
          <w:rFonts w:ascii="Cambria" w:hAnsi="Cambria"/>
          <w:color w:val="000000" w:themeColor="text1"/>
          <w:sz w:val="16"/>
          <w:szCs w:val="16"/>
          <w:lang w:val="es-ES"/>
        </w:rPr>
        <w:t xml:space="preserve"> Decreto Ley 27. Disuelve el Congreso Nacional. Accesible en: </w:t>
      </w:r>
      <w:hyperlink r:id="rId2" w:history="1">
        <w:r w:rsidRPr="006A251D">
          <w:rPr>
            <w:rStyle w:val="Hyperlink"/>
            <w:rFonts w:ascii="Cambria" w:hAnsi="Cambria"/>
            <w:color w:val="000000" w:themeColor="text1"/>
            <w:sz w:val="16"/>
            <w:szCs w:val="16"/>
            <w:lang w:val="es-ES"/>
          </w:rPr>
          <w:t>http://bcn.cl/2lqvx</w:t>
        </w:r>
      </w:hyperlink>
      <w:r w:rsidRPr="006A251D">
        <w:rPr>
          <w:rFonts w:ascii="Cambria" w:hAnsi="Cambria"/>
          <w:color w:val="000000" w:themeColor="text1"/>
          <w:sz w:val="16"/>
          <w:szCs w:val="16"/>
          <w:lang w:val="es-ES"/>
        </w:rPr>
        <w:t xml:space="preserve"> </w:t>
      </w:r>
    </w:p>
  </w:footnote>
  <w:footnote w:id="21">
    <w:p w14:paraId="1E0DB53C" w14:textId="77777777" w:rsidR="00323FC1" w:rsidRPr="006A251D" w:rsidRDefault="00323FC1" w:rsidP="001D321F">
      <w:pPr>
        <w:pStyle w:val="NoSpacing"/>
        <w:jc w:val="both"/>
        <w:rPr>
          <w:rFonts w:ascii="Cambria" w:hAnsi="Cambria"/>
          <w:color w:val="000000" w:themeColor="text1"/>
          <w:sz w:val="16"/>
          <w:szCs w:val="16"/>
          <w:lang w:val="es-ES"/>
        </w:rPr>
      </w:pPr>
      <w:r w:rsidRPr="006A251D">
        <w:rPr>
          <w:rStyle w:val="FootnoteReference"/>
          <w:rFonts w:ascii="Cambria" w:hAnsi="Cambria"/>
          <w:color w:val="000000" w:themeColor="text1"/>
          <w:sz w:val="16"/>
          <w:szCs w:val="16"/>
          <w:lang w:val="es-ES"/>
        </w:rPr>
        <w:footnoteRef/>
      </w:r>
      <w:r w:rsidRPr="006A251D">
        <w:rPr>
          <w:rFonts w:ascii="Cambria" w:hAnsi="Cambria"/>
          <w:color w:val="000000" w:themeColor="text1"/>
          <w:sz w:val="16"/>
          <w:szCs w:val="16"/>
          <w:lang w:val="es-ES"/>
        </w:rPr>
        <w:t xml:space="preserve"> Decreto Ley 128. Aclara el Sentido y alcance del Articulo 1 del Decreto Ley N°1 de 1973. Accesible en: http://bcn.cl/2mh83</w:t>
      </w:r>
    </w:p>
  </w:footnote>
  <w:footnote w:id="22">
    <w:p w14:paraId="0EEE7AD1" w14:textId="77777777" w:rsidR="00323FC1" w:rsidRPr="006A251D" w:rsidRDefault="00323FC1" w:rsidP="001D321F">
      <w:pPr>
        <w:pStyle w:val="NoSpacing"/>
        <w:jc w:val="both"/>
        <w:rPr>
          <w:rFonts w:ascii="Cambria" w:hAnsi="Cambria"/>
          <w:color w:val="000000" w:themeColor="text1"/>
          <w:sz w:val="16"/>
          <w:szCs w:val="16"/>
          <w:lang w:val="es-ES"/>
        </w:rPr>
      </w:pPr>
      <w:r w:rsidRPr="006A251D">
        <w:rPr>
          <w:rStyle w:val="FootnoteReference"/>
          <w:rFonts w:ascii="Cambria" w:hAnsi="Cambria"/>
          <w:color w:val="000000" w:themeColor="text1"/>
          <w:sz w:val="16"/>
          <w:szCs w:val="16"/>
          <w:lang w:val="es-ES"/>
        </w:rPr>
        <w:footnoteRef/>
      </w:r>
      <w:r w:rsidRPr="006A251D">
        <w:rPr>
          <w:rFonts w:ascii="Cambria" w:hAnsi="Cambria"/>
          <w:color w:val="000000" w:themeColor="text1"/>
          <w:sz w:val="16"/>
          <w:szCs w:val="16"/>
          <w:lang w:val="es-ES"/>
        </w:rPr>
        <w:t xml:space="preserve"> Informe de la Comisión Nacional sobre Prisión Política y Tortura, Capitulo III Contexto pág. 178. Accesible en: https://www.indh.cl/bb/wp-content/uploads/2017/01/informe.pdf</w:t>
      </w:r>
    </w:p>
  </w:footnote>
  <w:footnote w:id="23">
    <w:p w14:paraId="6DEA6A5B" w14:textId="77777777" w:rsidR="00323FC1" w:rsidRPr="001D321F" w:rsidRDefault="00323FC1" w:rsidP="001D321F">
      <w:pPr>
        <w:pStyle w:val="NoSpacing"/>
        <w:jc w:val="both"/>
        <w:rPr>
          <w:rFonts w:ascii="Cambria" w:hAnsi="Cambria"/>
          <w:color w:val="000000" w:themeColor="text1"/>
          <w:sz w:val="16"/>
          <w:szCs w:val="16"/>
          <w:lang w:val="es-ES"/>
        </w:rPr>
      </w:pPr>
      <w:r w:rsidRPr="006A251D">
        <w:rPr>
          <w:rStyle w:val="FootnoteReference"/>
          <w:rFonts w:ascii="Cambria" w:hAnsi="Cambria"/>
          <w:color w:val="000000" w:themeColor="text1"/>
          <w:sz w:val="16"/>
          <w:szCs w:val="16"/>
          <w:lang w:val="es-ES"/>
        </w:rPr>
        <w:footnoteRef/>
      </w:r>
      <w:r w:rsidRPr="006A251D">
        <w:rPr>
          <w:rFonts w:ascii="Cambria" w:hAnsi="Cambria"/>
          <w:color w:val="000000" w:themeColor="text1"/>
          <w:sz w:val="16"/>
          <w:szCs w:val="16"/>
          <w:lang w:val="es-ES"/>
        </w:rPr>
        <w:t>CIDH. Informe sobre la Situación de los Derechos Humanos en Chile. OEA/Ser.L/V/II.34</w:t>
      </w:r>
      <w:r w:rsidRPr="006A251D">
        <w:rPr>
          <w:rFonts w:ascii="Cambria" w:hAnsi="Cambria"/>
          <w:color w:val="000000" w:themeColor="text1"/>
          <w:sz w:val="16"/>
          <w:szCs w:val="16"/>
          <w:lang w:val="es-ES"/>
        </w:rPr>
        <w:br/>
        <w:t xml:space="preserve">doc. 21. 25 octubre 1974. Original: español, capitulo II Antecedentes. Accesible en: </w:t>
      </w:r>
      <w:hyperlink r:id="rId3" w:history="1">
        <w:r w:rsidRPr="006A251D">
          <w:rPr>
            <w:rStyle w:val="Hyperlink"/>
            <w:rFonts w:ascii="Cambria" w:hAnsi="Cambria"/>
            <w:color w:val="000000" w:themeColor="text1"/>
            <w:sz w:val="16"/>
            <w:szCs w:val="16"/>
            <w:lang w:val="es-ES"/>
          </w:rPr>
          <w:t>http://www.cidh.org/countryrep/Chile74sp/Indice.htm</w:t>
        </w:r>
      </w:hyperlink>
      <w:r w:rsidRPr="001D321F">
        <w:rPr>
          <w:rFonts w:ascii="Cambria" w:hAnsi="Cambria"/>
          <w:color w:val="000000" w:themeColor="text1"/>
          <w:sz w:val="16"/>
          <w:szCs w:val="16"/>
          <w:lang w:val="es-ES"/>
        </w:rPr>
        <w:t xml:space="preserve"> </w:t>
      </w:r>
    </w:p>
  </w:footnote>
  <w:footnote w:id="24">
    <w:p w14:paraId="54FF1B5F" w14:textId="77777777" w:rsidR="00323FC1" w:rsidRPr="00B14751" w:rsidRDefault="00323FC1" w:rsidP="001D321F">
      <w:pPr>
        <w:pStyle w:val="NoSpacing"/>
        <w:jc w:val="both"/>
        <w:rPr>
          <w:rFonts w:ascii="Cambria" w:hAnsi="Cambria"/>
          <w:color w:val="000000" w:themeColor="text1"/>
          <w:sz w:val="16"/>
          <w:szCs w:val="16"/>
          <w:lang w:val="es-ES"/>
        </w:rPr>
      </w:pPr>
      <w:r w:rsidRPr="00B14751">
        <w:rPr>
          <w:rStyle w:val="FootnoteReference"/>
          <w:rFonts w:ascii="Cambria" w:hAnsi="Cambria"/>
          <w:color w:val="000000" w:themeColor="text1"/>
          <w:sz w:val="16"/>
          <w:szCs w:val="16"/>
          <w:lang w:val="es-ES"/>
        </w:rPr>
        <w:footnoteRef/>
      </w:r>
      <w:r w:rsidRPr="00B14751">
        <w:rPr>
          <w:rFonts w:ascii="Cambria" w:hAnsi="Cambria"/>
          <w:color w:val="000000" w:themeColor="text1"/>
          <w:sz w:val="16"/>
          <w:szCs w:val="16"/>
          <w:lang w:val="es-ES"/>
        </w:rPr>
        <w:t xml:space="preserve"> CIDH. Informe sobre la Situación de los Derechos Humanos en Chile. OEA/Ser.L/V/II.34</w:t>
      </w:r>
      <w:r w:rsidRPr="00B14751">
        <w:rPr>
          <w:rFonts w:ascii="Cambria" w:hAnsi="Cambria"/>
          <w:color w:val="000000" w:themeColor="text1"/>
          <w:sz w:val="16"/>
          <w:szCs w:val="16"/>
          <w:lang w:val="es-ES"/>
        </w:rPr>
        <w:br/>
        <w:t xml:space="preserve">doc. 21. 25 octubre 1974. Original: español, capitulo II Antecedentes. Accesible en: </w:t>
      </w:r>
      <w:hyperlink r:id="rId4" w:history="1">
        <w:r w:rsidRPr="00B14751">
          <w:rPr>
            <w:rStyle w:val="Hyperlink"/>
            <w:rFonts w:ascii="Cambria" w:hAnsi="Cambria"/>
            <w:color w:val="000000" w:themeColor="text1"/>
            <w:sz w:val="16"/>
            <w:szCs w:val="16"/>
            <w:lang w:val="es-ES"/>
          </w:rPr>
          <w:t>http://www.cidh.org/countryrep/Chile74sp/Indice.htm</w:t>
        </w:r>
      </w:hyperlink>
    </w:p>
  </w:footnote>
  <w:footnote w:id="25">
    <w:p w14:paraId="59C9DE28" w14:textId="77777777" w:rsidR="00323FC1" w:rsidRPr="00B14751" w:rsidRDefault="00323FC1" w:rsidP="001D321F">
      <w:pPr>
        <w:pStyle w:val="NoSpacing"/>
        <w:jc w:val="both"/>
        <w:rPr>
          <w:rFonts w:ascii="Cambria" w:hAnsi="Cambria"/>
          <w:color w:val="000000" w:themeColor="text1"/>
          <w:sz w:val="16"/>
          <w:szCs w:val="16"/>
          <w:lang w:val="es-ES"/>
        </w:rPr>
      </w:pPr>
      <w:r w:rsidRPr="00B14751">
        <w:rPr>
          <w:rStyle w:val="FootnoteReference"/>
          <w:rFonts w:ascii="Cambria" w:hAnsi="Cambria"/>
          <w:color w:val="000000" w:themeColor="text1"/>
          <w:sz w:val="16"/>
          <w:szCs w:val="16"/>
          <w:lang w:val="es-ES"/>
        </w:rPr>
        <w:footnoteRef/>
      </w:r>
      <w:r w:rsidRPr="00B14751">
        <w:rPr>
          <w:rFonts w:ascii="Cambria" w:hAnsi="Cambria"/>
          <w:color w:val="000000" w:themeColor="text1"/>
          <w:sz w:val="16"/>
          <w:szCs w:val="16"/>
          <w:lang w:val="es-ES"/>
        </w:rPr>
        <w:t xml:space="preserve"> IDH. Informe sobre la Situación de los Derechos Humanos en Chile. OEA/Ser.L/V/II.34</w:t>
      </w:r>
      <w:r w:rsidRPr="00B14751">
        <w:rPr>
          <w:rFonts w:ascii="Cambria" w:hAnsi="Cambria"/>
          <w:color w:val="000000" w:themeColor="text1"/>
          <w:sz w:val="16"/>
          <w:szCs w:val="16"/>
          <w:lang w:val="es-ES"/>
        </w:rPr>
        <w:br/>
        <w:t xml:space="preserve">doc. 21. 25 octubre 1974. Original: español, capitulo II Antecedentes. Accesible en: </w:t>
      </w:r>
      <w:hyperlink r:id="rId5" w:history="1">
        <w:r w:rsidRPr="00B14751">
          <w:rPr>
            <w:rStyle w:val="Hyperlink"/>
            <w:rFonts w:ascii="Cambria" w:hAnsi="Cambria"/>
            <w:color w:val="000000" w:themeColor="text1"/>
            <w:sz w:val="16"/>
            <w:szCs w:val="16"/>
            <w:lang w:val="es-ES"/>
          </w:rPr>
          <w:t>http://www.cidh.org/countryrep/Chile74sp/Indice.htm</w:t>
        </w:r>
      </w:hyperlink>
    </w:p>
  </w:footnote>
  <w:footnote w:id="26">
    <w:p w14:paraId="305C8BC9" w14:textId="77777777" w:rsidR="00323FC1" w:rsidRPr="00B14751" w:rsidRDefault="00323FC1" w:rsidP="001D321F">
      <w:pPr>
        <w:pStyle w:val="NoSpacing"/>
        <w:jc w:val="both"/>
        <w:rPr>
          <w:rFonts w:ascii="Cambria" w:hAnsi="Cambria"/>
          <w:color w:val="000000" w:themeColor="text1"/>
          <w:sz w:val="16"/>
          <w:szCs w:val="16"/>
          <w:lang w:val="es-ES"/>
        </w:rPr>
      </w:pPr>
      <w:r w:rsidRPr="00B14751">
        <w:rPr>
          <w:rStyle w:val="FootnoteReference"/>
          <w:rFonts w:ascii="Cambria" w:hAnsi="Cambria"/>
          <w:color w:val="000000" w:themeColor="text1"/>
          <w:sz w:val="16"/>
          <w:szCs w:val="16"/>
          <w:lang w:val="es-ES"/>
        </w:rPr>
        <w:footnoteRef/>
      </w:r>
      <w:r w:rsidRPr="00B14751">
        <w:rPr>
          <w:rFonts w:ascii="Cambria" w:hAnsi="Cambria"/>
          <w:color w:val="000000" w:themeColor="text1"/>
          <w:sz w:val="16"/>
          <w:szCs w:val="16"/>
          <w:lang w:val="es-ES"/>
        </w:rPr>
        <w:t xml:space="preserve"> CIDH. Informe sobre la Situación de los Derechos Humanos en Chile. OEA/Ser.L/V/II.34</w:t>
      </w:r>
      <w:r w:rsidRPr="00B14751">
        <w:rPr>
          <w:rFonts w:ascii="Cambria" w:hAnsi="Cambria"/>
          <w:color w:val="000000" w:themeColor="text1"/>
          <w:sz w:val="16"/>
          <w:szCs w:val="16"/>
          <w:lang w:val="es-ES"/>
        </w:rPr>
        <w:br/>
        <w:t xml:space="preserve">doc. 21. 25 octubre 1974. Original: español, capitulo XVI Recomendaciones. Accesible en: </w:t>
      </w:r>
      <w:hyperlink r:id="rId6" w:history="1">
        <w:r w:rsidRPr="00B14751">
          <w:rPr>
            <w:rStyle w:val="Hyperlink"/>
            <w:rFonts w:ascii="Cambria" w:hAnsi="Cambria"/>
            <w:color w:val="000000" w:themeColor="text1"/>
            <w:sz w:val="16"/>
            <w:szCs w:val="16"/>
            <w:lang w:val="es-ES"/>
          </w:rPr>
          <w:t>http://www.cidh.org/countryrep/Chile74sp/Indice.htm</w:t>
        </w:r>
      </w:hyperlink>
    </w:p>
  </w:footnote>
  <w:footnote w:id="27">
    <w:p w14:paraId="696B5D08" w14:textId="77777777" w:rsidR="00323FC1" w:rsidRPr="00B14751" w:rsidRDefault="00323FC1" w:rsidP="001D321F">
      <w:pPr>
        <w:pStyle w:val="NoSpacing"/>
        <w:jc w:val="both"/>
        <w:rPr>
          <w:rFonts w:ascii="Cambria" w:hAnsi="Cambria"/>
          <w:color w:val="000000" w:themeColor="text1"/>
          <w:sz w:val="16"/>
          <w:szCs w:val="16"/>
          <w:lang w:val="es-ES"/>
        </w:rPr>
      </w:pPr>
      <w:r w:rsidRPr="00B14751">
        <w:rPr>
          <w:rStyle w:val="FootnoteReference"/>
          <w:rFonts w:ascii="Cambria" w:hAnsi="Cambria"/>
          <w:color w:val="000000" w:themeColor="text1"/>
          <w:sz w:val="16"/>
          <w:szCs w:val="16"/>
          <w:lang w:val="es-ES"/>
        </w:rPr>
        <w:footnoteRef/>
      </w:r>
      <w:r w:rsidRPr="00B14751">
        <w:rPr>
          <w:rFonts w:ascii="Cambria" w:hAnsi="Cambria"/>
          <w:color w:val="000000" w:themeColor="text1"/>
          <w:sz w:val="16"/>
          <w:szCs w:val="16"/>
          <w:lang w:val="es-ES"/>
        </w:rPr>
        <w:t xml:space="preserve"> CIDH. Informe sobre la Situación de los Derechos Humanos en Chile. OEA/Ser.L/V/II.34</w:t>
      </w:r>
      <w:r w:rsidRPr="00B14751">
        <w:rPr>
          <w:rFonts w:ascii="Cambria" w:hAnsi="Cambria"/>
          <w:color w:val="000000" w:themeColor="text1"/>
          <w:sz w:val="16"/>
          <w:szCs w:val="16"/>
          <w:lang w:val="es-ES"/>
        </w:rPr>
        <w:br/>
        <w:t xml:space="preserve">doc. 21. 25 octubre 1974. Original: español, capítulos VII a X. Accesible en: </w:t>
      </w:r>
      <w:hyperlink r:id="rId7" w:history="1">
        <w:r w:rsidRPr="00B14751">
          <w:rPr>
            <w:rStyle w:val="Hyperlink"/>
            <w:rFonts w:ascii="Cambria" w:hAnsi="Cambria"/>
            <w:color w:val="000000" w:themeColor="text1"/>
            <w:sz w:val="16"/>
            <w:szCs w:val="16"/>
            <w:lang w:val="es-ES"/>
          </w:rPr>
          <w:t>http://www.cidh.org/countryrep/Chile74sp/Indice.htm</w:t>
        </w:r>
      </w:hyperlink>
    </w:p>
  </w:footnote>
  <w:footnote w:id="28">
    <w:p w14:paraId="56DCF2E4" w14:textId="77777777" w:rsidR="00323FC1" w:rsidRPr="00B14751" w:rsidRDefault="00323FC1" w:rsidP="001D321F">
      <w:pPr>
        <w:pStyle w:val="NoSpacing"/>
        <w:jc w:val="both"/>
        <w:rPr>
          <w:rFonts w:ascii="Cambria" w:hAnsi="Cambria"/>
          <w:color w:val="000000" w:themeColor="text1"/>
          <w:sz w:val="16"/>
          <w:szCs w:val="16"/>
          <w:lang w:val="es-ES"/>
        </w:rPr>
      </w:pPr>
      <w:r w:rsidRPr="00B14751">
        <w:rPr>
          <w:rStyle w:val="FootnoteReference"/>
          <w:rFonts w:ascii="Cambria" w:hAnsi="Cambria"/>
          <w:color w:val="000000" w:themeColor="text1"/>
          <w:sz w:val="16"/>
          <w:szCs w:val="16"/>
          <w:lang w:val="es-ES"/>
        </w:rPr>
        <w:footnoteRef/>
      </w:r>
      <w:r w:rsidRPr="00B14751">
        <w:rPr>
          <w:rFonts w:ascii="Cambria" w:hAnsi="Cambria"/>
          <w:color w:val="000000" w:themeColor="text1"/>
          <w:sz w:val="16"/>
          <w:szCs w:val="16"/>
          <w:lang w:val="es-AR"/>
        </w:rPr>
        <w:t xml:space="preserve"> </w:t>
      </w:r>
      <w:r w:rsidRPr="00B14751">
        <w:rPr>
          <w:rFonts w:ascii="Cambria" w:hAnsi="Cambria"/>
          <w:color w:val="000000" w:themeColor="text1"/>
          <w:sz w:val="16"/>
          <w:szCs w:val="16"/>
          <w:lang w:val="es-ES"/>
        </w:rPr>
        <w:t xml:space="preserve">CIDH. Segundo Informe sobre la Situación de los Derechos Humanos en Chile. OEA/Ser.L/V/II.37 doc. 19 corr. 1 28 junio 1976. Original: español. Accesible en: </w:t>
      </w:r>
      <w:hyperlink r:id="rId8" w:history="1">
        <w:r w:rsidRPr="00B14751">
          <w:rPr>
            <w:rStyle w:val="Hyperlink"/>
            <w:rFonts w:ascii="Cambria" w:hAnsi="Cambria"/>
            <w:color w:val="000000" w:themeColor="text1"/>
            <w:sz w:val="16"/>
            <w:szCs w:val="16"/>
            <w:lang w:val="es-ES"/>
          </w:rPr>
          <w:t>http://www.cidh.org/countryrep/Chile76sp/Indice.htm</w:t>
        </w:r>
      </w:hyperlink>
    </w:p>
  </w:footnote>
  <w:footnote w:id="29">
    <w:p w14:paraId="755EFFBF" w14:textId="77777777" w:rsidR="00323FC1" w:rsidRPr="00B14751" w:rsidRDefault="00323FC1" w:rsidP="001D321F">
      <w:pPr>
        <w:pStyle w:val="NoSpacing"/>
        <w:jc w:val="both"/>
        <w:rPr>
          <w:rFonts w:ascii="Cambria" w:hAnsi="Cambria"/>
          <w:color w:val="000000" w:themeColor="text1"/>
          <w:sz w:val="16"/>
          <w:szCs w:val="16"/>
          <w:lang w:val="es-AR"/>
        </w:rPr>
      </w:pPr>
      <w:r w:rsidRPr="00B14751">
        <w:rPr>
          <w:rStyle w:val="FootnoteReference"/>
          <w:rFonts w:ascii="Cambria" w:hAnsi="Cambria"/>
          <w:color w:val="000000" w:themeColor="text1"/>
          <w:sz w:val="16"/>
          <w:szCs w:val="16"/>
        </w:rPr>
        <w:footnoteRef/>
      </w:r>
      <w:r w:rsidRPr="00B14751">
        <w:rPr>
          <w:rFonts w:ascii="Cambria" w:hAnsi="Cambria"/>
          <w:color w:val="000000" w:themeColor="text1"/>
          <w:sz w:val="16"/>
          <w:szCs w:val="16"/>
          <w:lang w:val="es-ES"/>
        </w:rPr>
        <w:t xml:space="preserve"> CIDH. Tercer Informe sobre la Situación de los Derechos Humanos en Chile. OEA/Ser.L/V/II.40</w:t>
      </w:r>
      <w:r w:rsidRPr="00B14751">
        <w:rPr>
          <w:rFonts w:ascii="Cambria" w:hAnsi="Cambria"/>
          <w:color w:val="000000" w:themeColor="text1"/>
          <w:sz w:val="16"/>
          <w:szCs w:val="16"/>
          <w:lang w:val="es-ES"/>
        </w:rPr>
        <w:br/>
        <w:t xml:space="preserve">Doc. 10 11 febrero 1977. Original: español. Accesible en : </w:t>
      </w:r>
      <w:hyperlink r:id="rId9" w:history="1">
        <w:r w:rsidRPr="00B14751">
          <w:rPr>
            <w:rStyle w:val="Hyperlink"/>
            <w:rFonts w:ascii="Cambria" w:hAnsi="Cambria"/>
            <w:color w:val="000000" w:themeColor="text1"/>
            <w:sz w:val="16"/>
            <w:szCs w:val="16"/>
            <w:lang w:val="es-ES"/>
          </w:rPr>
          <w:t>http://www.cidh.org/countryrep/Chile77sp/indice.htm</w:t>
        </w:r>
      </w:hyperlink>
    </w:p>
  </w:footnote>
  <w:footnote w:id="30">
    <w:p w14:paraId="58864A4E" w14:textId="77777777" w:rsidR="00323FC1" w:rsidRPr="00B14751" w:rsidRDefault="00323FC1" w:rsidP="001D321F">
      <w:pPr>
        <w:pStyle w:val="NoSpacing"/>
        <w:jc w:val="both"/>
        <w:rPr>
          <w:rFonts w:ascii="Cambria" w:hAnsi="Cambria"/>
          <w:color w:val="000000" w:themeColor="text1"/>
          <w:sz w:val="16"/>
          <w:szCs w:val="16"/>
          <w:lang w:val="es-AR"/>
        </w:rPr>
      </w:pPr>
      <w:r w:rsidRPr="00B14751">
        <w:rPr>
          <w:rStyle w:val="FootnoteReference"/>
          <w:rFonts w:ascii="Cambria" w:hAnsi="Cambria"/>
          <w:color w:val="000000" w:themeColor="text1"/>
          <w:sz w:val="16"/>
          <w:szCs w:val="16"/>
        </w:rPr>
        <w:footnoteRef/>
      </w:r>
      <w:r w:rsidRPr="00B14751">
        <w:rPr>
          <w:rFonts w:ascii="Cambria" w:hAnsi="Cambria"/>
          <w:color w:val="000000" w:themeColor="text1"/>
          <w:sz w:val="16"/>
          <w:szCs w:val="16"/>
          <w:lang w:val="es-AR"/>
        </w:rPr>
        <w:t xml:space="preserve"> CIDH. Informe sobre la </w:t>
      </w:r>
      <w:r w:rsidRPr="00B14751">
        <w:rPr>
          <w:rFonts w:ascii="Cambria" w:hAnsi="Cambria"/>
          <w:color w:val="000000" w:themeColor="text1"/>
          <w:sz w:val="16"/>
          <w:szCs w:val="16"/>
          <w:lang w:val="es-ES"/>
        </w:rPr>
        <w:t xml:space="preserve">Situación de los Derechos Humanos en Chile. </w:t>
      </w:r>
      <w:r w:rsidRPr="00B14751">
        <w:rPr>
          <w:rFonts w:ascii="Cambria" w:hAnsi="Cambria"/>
          <w:color w:val="000000" w:themeColor="text1"/>
          <w:sz w:val="16"/>
          <w:szCs w:val="16"/>
          <w:lang w:val="es-AR"/>
        </w:rPr>
        <w:t>OEA/Ser.L/V/II.77.rev.1</w:t>
      </w:r>
      <w:r w:rsidRPr="00B14751">
        <w:rPr>
          <w:rFonts w:ascii="Cambria" w:hAnsi="Cambria"/>
          <w:color w:val="000000" w:themeColor="text1"/>
          <w:sz w:val="16"/>
          <w:szCs w:val="16"/>
          <w:lang w:val="es-AR"/>
        </w:rPr>
        <w:br/>
        <w:t>Doc. 18. 8 mayo 1985. Original:  Espa</w:t>
      </w:r>
      <w:r w:rsidRPr="00B14751">
        <w:rPr>
          <w:rFonts w:ascii="Cambria" w:hAnsi="Cambria"/>
          <w:color w:val="000000" w:themeColor="text1"/>
          <w:sz w:val="16"/>
          <w:szCs w:val="16"/>
          <w:lang w:val="es-PE"/>
        </w:rPr>
        <w:t>ñol. Accesible en: http://www.cidh.org/countryrep/Chile85sp/Indice.htm</w:t>
      </w:r>
    </w:p>
  </w:footnote>
  <w:footnote w:id="31">
    <w:p w14:paraId="32DD7F5C" w14:textId="77777777" w:rsidR="00323FC1" w:rsidRPr="00B14751" w:rsidRDefault="00323FC1" w:rsidP="001D321F">
      <w:pPr>
        <w:jc w:val="both"/>
        <w:rPr>
          <w:rFonts w:ascii="Cambria" w:hAnsi="Cambria"/>
          <w:color w:val="000000" w:themeColor="text1"/>
          <w:sz w:val="16"/>
          <w:szCs w:val="16"/>
          <w:lang w:val="es-ES"/>
        </w:rPr>
      </w:pPr>
      <w:r w:rsidRPr="00B14751">
        <w:rPr>
          <w:rStyle w:val="FootnoteReference"/>
          <w:rFonts w:ascii="Cambria" w:hAnsi="Cambria"/>
          <w:color w:val="000000" w:themeColor="text1"/>
          <w:sz w:val="16"/>
          <w:szCs w:val="16"/>
          <w:lang w:val="es-ES"/>
        </w:rPr>
        <w:footnoteRef/>
      </w:r>
      <w:r w:rsidRPr="00B14751">
        <w:rPr>
          <w:rFonts w:ascii="Cambria" w:hAnsi="Cambria"/>
          <w:color w:val="000000" w:themeColor="text1"/>
          <w:sz w:val="16"/>
          <w:szCs w:val="16"/>
          <w:lang w:val="es-ES"/>
        </w:rPr>
        <w:t xml:space="preserve"> Informe Anual de la Comisión Interamericana de Derechos Humanos 1986-1987. OEA/Ser.L/V/II.71 Doc. 9 rev. 1. 22 septiembre 1987. Original:  español. Capitulo IV. Accesible en: http://www.cidh.oas.org/annualrep/86.87sp/Indice.htm</w:t>
      </w:r>
    </w:p>
  </w:footnote>
  <w:footnote w:id="32">
    <w:p w14:paraId="766BAAE9" w14:textId="77777777" w:rsidR="00323FC1" w:rsidRPr="00B14751" w:rsidRDefault="00323FC1" w:rsidP="001D321F">
      <w:pPr>
        <w:jc w:val="both"/>
        <w:rPr>
          <w:rFonts w:ascii="Cambria" w:hAnsi="Cambria"/>
          <w:color w:val="000000" w:themeColor="text1"/>
          <w:sz w:val="16"/>
          <w:szCs w:val="16"/>
          <w:lang w:val="es-ES"/>
        </w:rPr>
      </w:pPr>
      <w:r w:rsidRPr="00B14751">
        <w:rPr>
          <w:rStyle w:val="FootnoteReference"/>
          <w:rFonts w:ascii="Cambria" w:hAnsi="Cambria"/>
          <w:color w:val="000000" w:themeColor="text1"/>
          <w:sz w:val="16"/>
          <w:szCs w:val="16"/>
          <w:lang w:val="es-ES"/>
        </w:rPr>
        <w:footnoteRef/>
      </w:r>
      <w:r w:rsidRPr="00B14751">
        <w:rPr>
          <w:rFonts w:ascii="Cambria" w:hAnsi="Cambria"/>
          <w:color w:val="000000" w:themeColor="text1"/>
          <w:sz w:val="16"/>
          <w:szCs w:val="16"/>
          <w:lang w:val="es-ES"/>
        </w:rPr>
        <w:t>Informe Anual de la Comisión Interamericana de Derechos Humanos 1987-1988. OEA/Ser.L/V/II.74</w:t>
      </w:r>
      <w:r w:rsidRPr="00B14751">
        <w:rPr>
          <w:rFonts w:ascii="Cambria" w:hAnsi="Cambria"/>
          <w:color w:val="000000" w:themeColor="text1"/>
          <w:sz w:val="16"/>
          <w:szCs w:val="16"/>
          <w:lang w:val="es-ES"/>
        </w:rPr>
        <w:br/>
        <w:t>Doc. 10 rev. 1. 16 septiembre 1988. Original:  español</w:t>
      </w:r>
      <w:r w:rsidRPr="00B14751">
        <w:rPr>
          <w:rFonts w:ascii="Cambria" w:hAnsi="Cambria"/>
          <w:bCs/>
          <w:color w:val="000000" w:themeColor="text1"/>
          <w:sz w:val="16"/>
          <w:szCs w:val="16"/>
          <w:lang w:val="es-ES"/>
        </w:rPr>
        <w:t xml:space="preserve">. Capitulo IV. Accesible en : </w:t>
      </w:r>
      <w:hyperlink r:id="rId10" w:history="1">
        <w:r w:rsidRPr="00B14751">
          <w:rPr>
            <w:rStyle w:val="Hyperlink"/>
            <w:rFonts w:ascii="Cambria" w:hAnsi="Cambria"/>
            <w:bCs/>
            <w:color w:val="000000" w:themeColor="text1"/>
            <w:sz w:val="16"/>
            <w:szCs w:val="16"/>
            <w:lang w:val="es-ES"/>
          </w:rPr>
          <w:t>http://www.cidh.oas.org/annualrep/87.88sp/indice.htm</w:t>
        </w:r>
      </w:hyperlink>
      <w:r w:rsidRPr="00B14751">
        <w:rPr>
          <w:rFonts w:ascii="Cambria" w:hAnsi="Cambria"/>
          <w:b/>
          <w:bCs/>
          <w:color w:val="000000" w:themeColor="text1"/>
          <w:sz w:val="16"/>
          <w:szCs w:val="16"/>
          <w:lang w:val="es-ES"/>
        </w:rPr>
        <w:t xml:space="preserve"> </w:t>
      </w:r>
    </w:p>
  </w:footnote>
  <w:footnote w:id="33">
    <w:p w14:paraId="1B889938" w14:textId="77777777" w:rsidR="00323FC1" w:rsidRPr="00B14751" w:rsidRDefault="00323FC1" w:rsidP="001D321F">
      <w:pPr>
        <w:jc w:val="both"/>
        <w:rPr>
          <w:rFonts w:ascii="Cambria" w:hAnsi="Cambria"/>
          <w:color w:val="000000" w:themeColor="text1"/>
          <w:sz w:val="16"/>
          <w:szCs w:val="16"/>
          <w:lang w:val="es-ES"/>
        </w:rPr>
      </w:pPr>
      <w:r w:rsidRPr="00B14751">
        <w:rPr>
          <w:rStyle w:val="FootnoteReference"/>
          <w:rFonts w:ascii="Cambria" w:hAnsi="Cambria"/>
          <w:color w:val="000000" w:themeColor="text1"/>
          <w:sz w:val="16"/>
          <w:szCs w:val="16"/>
          <w:lang w:val="es-ES"/>
        </w:rPr>
        <w:footnoteRef/>
      </w:r>
      <w:r w:rsidRPr="00B14751">
        <w:rPr>
          <w:rFonts w:ascii="Cambria" w:hAnsi="Cambria"/>
          <w:color w:val="000000" w:themeColor="text1"/>
          <w:sz w:val="16"/>
          <w:szCs w:val="16"/>
          <w:lang w:val="es-ES"/>
        </w:rPr>
        <w:t>Informe Anual de la Comisión Interamericana de Derechos Humanos 1988/89. OEA/Ser.L/V/II.76</w:t>
      </w:r>
      <w:r w:rsidRPr="00B14751">
        <w:rPr>
          <w:rFonts w:ascii="Cambria" w:hAnsi="Cambria"/>
          <w:color w:val="000000" w:themeColor="text1"/>
          <w:sz w:val="16"/>
          <w:szCs w:val="16"/>
          <w:lang w:val="es-ES"/>
        </w:rPr>
        <w:br/>
        <w:t xml:space="preserve">Doc.10. 18 septiembre 1989. Original:  español. Capitulo IV. Accesible en : </w:t>
      </w:r>
      <w:hyperlink r:id="rId11" w:history="1">
        <w:r w:rsidRPr="00B14751">
          <w:rPr>
            <w:rStyle w:val="Hyperlink"/>
            <w:rFonts w:ascii="Cambria" w:hAnsi="Cambria"/>
            <w:color w:val="000000" w:themeColor="text1"/>
            <w:sz w:val="16"/>
            <w:szCs w:val="16"/>
            <w:lang w:val="es-ES"/>
          </w:rPr>
          <w:t>http://www.cidh.oas.org/annualrep/88.89span/indice.htm</w:t>
        </w:r>
      </w:hyperlink>
      <w:r w:rsidRPr="00B14751">
        <w:rPr>
          <w:rFonts w:ascii="Cambria" w:hAnsi="Cambria"/>
          <w:color w:val="000000" w:themeColor="text1"/>
          <w:sz w:val="16"/>
          <w:szCs w:val="16"/>
          <w:lang w:val="es-ES"/>
        </w:rPr>
        <w:t xml:space="preserve"> </w:t>
      </w:r>
    </w:p>
  </w:footnote>
  <w:footnote w:id="34">
    <w:p w14:paraId="626AB476" w14:textId="77777777" w:rsidR="00323FC1" w:rsidRPr="00B14751" w:rsidRDefault="00323FC1" w:rsidP="001D321F">
      <w:pPr>
        <w:jc w:val="both"/>
        <w:rPr>
          <w:rFonts w:ascii="Cambria" w:hAnsi="Cambria"/>
          <w:color w:val="000000" w:themeColor="text1"/>
          <w:sz w:val="16"/>
          <w:szCs w:val="16"/>
          <w:lang w:val="es-AR"/>
        </w:rPr>
      </w:pPr>
      <w:r w:rsidRPr="00B14751">
        <w:rPr>
          <w:rStyle w:val="FootnoteReference"/>
          <w:rFonts w:ascii="Cambria" w:hAnsi="Cambria"/>
          <w:color w:val="000000" w:themeColor="text1"/>
          <w:sz w:val="16"/>
          <w:szCs w:val="16"/>
        </w:rPr>
        <w:footnoteRef/>
      </w:r>
      <w:r w:rsidRPr="00B14751">
        <w:rPr>
          <w:rFonts w:ascii="Cambria" w:hAnsi="Cambria"/>
          <w:color w:val="000000" w:themeColor="text1"/>
          <w:sz w:val="16"/>
          <w:szCs w:val="16"/>
          <w:lang w:val="es-AR"/>
        </w:rPr>
        <w:t xml:space="preserve"> </w:t>
      </w:r>
      <w:r w:rsidRPr="00B14751">
        <w:rPr>
          <w:rFonts w:ascii="Cambria" w:hAnsi="Cambria"/>
          <w:color w:val="000000" w:themeColor="text1"/>
          <w:sz w:val="16"/>
          <w:szCs w:val="16"/>
          <w:lang w:val="es-ES"/>
        </w:rPr>
        <w:t xml:space="preserve">Informe Anual de la Comisión Interamericana de Derechos Humanos 1989/1990. </w:t>
      </w:r>
      <w:r w:rsidRPr="00B14751">
        <w:rPr>
          <w:rFonts w:ascii="Cambria" w:hAnsi="Cambria"/>
          <w:color w:val="000000" w:themeColor="text1"/>
          <w:sz w:val="16"/>
          <w:szCs w:val="16"/>
          <w:lang w:val="es-AR"/>
        </w:rPr>
        <w:t>OEA/Ser.L/V/II.77rev.1 Doc.7. 17 mayo 1990. Original: Español</w:t>
      </w:r>
    </w:p>
  </w:footnote>
  <w:footnote w:id="35">
    <w:p w14:paraId="3299F8C5" w14:textId="77777777" w:rsidR="00323FC1" w:rsidRPr="001D321F" w:rsidRDefault="00323FC1" w:rsidP="001D321F">
      <w:pPr>
        <w:jc w:val="both"/>
        <w:rPr>
          <w:rFonts w:ascii="Cambria" w:hAnsi="Cambria"/>
          <w:color w:val="000000" w:themeColor="text1"/>
          <w:sz w:val="16"/>
          <w:szCs w:val="16"/>
          <w:lang w:val="es-ES"/>
        </w:rPr>
      </w:pPr>
      <w:r w:rsidRPr="00B14751">
        <w:rPr>
          <w:rStyle w:val="FootnoteReference"/>
          <w:rFonts w:ascii="Cambria" w:hAnsi="Cambria"/>
          <w:color w:val="000000" w:themeColor="text1"/>
          <w:sz w:val="16"/>
          <w:szCs w:val="16"/>
          <w:lang w:val="es-ES"/>
        </w:rPr>
        <w:footnoteRef/>
      </w:r>
      <w:r w:rsidRPr="00B14751">
        <w:rPr>
          <w:rFonts w:ascii="Cambria" w:hAnsi="Cambria"/>
          <w:color w:val="000000" w:themeColor="text1"/>
          <w:sz w:val="16"/>
          <w:szCs w:val="16"/>
          <w:lang w:val="es-ES"/>
        </w:rPr>
        <w:t xml:space="preserve"> CIDH. Informe sobre la Situación de los Derechos Humanos en Chile. Conclusiones, párr. 10. OEA/Ser.L/V/II.77.rev.1</w:t>
      </w:r>
      <w:r w:rsidRPr="00B14751">
        <w:rPr>
          <w:rFonts w:ascii="Cambria" w:hAnsi="Cambria"/>
          <w:color w:val="000000" w:themeColor="text1"/>
          <w:sz w:val="16"/>
          <w:szCs w:val="16"/>
          <w:lang w:val="es-ES"/>
        </w:rPr>
        <w:br/>
        <w:t>Doc. 18. 8 mayo 1985. Original:  español. Accesible en: http://www.cidh.org/countryrep/Chile85sp/Indice.htm</w:t>
      </w:r>
    </w:p>
  </w:footnote>
  <w:footnote w:id="36">
    <w:p w14:paraId="57E9789A" w14:textId="77777777" w:rsidR="00323FC1" w:rsidRPr="001D321F" w:rsidRDefault="00323FC1" w:rsidP="001D321F">
      <w:pPr>
        <w:jc w:val="both"/>
        <w:rPr>
          <w:rFonts w:ascii="Cambria" w:hAnsi="Cambria"/>
          <w:color w:val="000000" w:themeColor="text1"/>
          <w:sz w:val="16"/>
          <w:szCs w:val="16"/>
          <w:lang w:val="es-ES"/>
        </w:rPr>
      </w:pPr>
      <w:r w:rsidRPr="001D321F">
        <w:rPr>
          <w:rStyle w:val="FootnoteReference"/>
          <w:rFonts w:ascii="Cambria" w:hAnsi="Cambria"/>
          <w:color w:val="000000" w:themeColor="text1"/>
          <w:sz w:val="16"/>
          <w:szCs w:val="16"/>
          <w:lang w:val="es-ES"/>
        </w:rPr>
        <w:footnoteRef/>
      </w:r>
      <w:r w:rsidRPr="001D321F">
        <w:rPr>
          <w:rFonts w:ascii="Cambria" w:hAnsi="Cambria"/>
          <w:color w:val="000000" w:themeColor="text1"/>
          <w:sz w:val="16"/>
          <w:szCs w:val="16"/>
          <w:lang w:val="es-ES"/>
        </w:rPr>
        <w:t xml:space="preserve"> CIDH. Informe sobre la Situación de los Derechos Humanos en Chile. Conclusiones, párr. 11. OEA/Ser.L/V/II.77.rev.1</w:t>
      </w:r>
      <w:r w:rsidRPr="001D321F">
        <w:rPr>
          <w:rFonts w:ascii="Cambria" w:hAnsi="Cambria"/>
          <w:color w:val="000000" w:themeColor="text1"/>
          <w:sz w:val="16"/>
          <w:szCs w:val="16"/>
          <w:lang w:val="es-ES"/>
        </w:rPr>
        <w:br/>
        <w:t>Doc. 18. 8 mayo 1985. Original:  Español. Accesible en: http://www.cidh.org/countryrep/Chile85sp/Indice.htm</w:t>
      </w:r>
    </w:p>
  </w:footnote>
  <w:footnote w:id="37">
    <w:p w14:paraId="32C4A063" w14:textId="77777777" w:rsidR="00323FC1" w:rsidRPr="001D321F" w:rsidRDefault="00323FC1" w:rsidP="001D321F">
      <w:pPr>
        <w:jc w:val="both"/>
        <w:rPr>
          <w:rFonts w:ascii="Cambria" w:hAnsi="Cambria"/>
          <w:color w:val="000000" w:themeColor="text1"/>
          <w:sz w:val="16"/>
          <w:szCs w:val="16"/>
          <w:lang w:val="es-ES"/>
        </w:rPr>
      </w:pPr>
      <w:r w:rsidRPr="001D321F">
        <w:rPr>
          <w:rStyle w:val="FootnoteReference"/>
          <w:rFonts w:ascii="Cambria" w:hAnsi="Cambria"/>
          <w:color w:val="000000" w:themeColor="text1"/>
          <w:sz w:val="16"/>
          <w:szCs w:val="16"/>
          <w:lang w:val="es-ES"/>
        </w:rPr>
        <w:footnoteRef/>
      </w:r>
      <w:r w:rsidRPr="001D321F">
        <w:rPr>
          <w:rFonts w:ascii="Cambria" w:hAnsi="Cambria"/>
          <w:color w:val="000000" w:themeColor="text1"/>
          <w:sz w:val="16"/>
          <w:szCs w:val="16"/>
          <w:lang w:val="es-ES"/>
        </w:rPr>
        <w:t xml:space="preserve"> CIDH. Informe sobre la Situación de los Derechos Humanos en Chile. Conclusiones, párr. 12 OEA/Ser.L/V/II.77.rev.1</w:t>
      </w:r>
      <w:r w:rsidRPr="001D321F">
        <w:rPr>
          <w:rFonts w:ascii="Cambria" w:hAnsi="Cambria"/>
          <w:color w:val="000000" w:themeColor="text1"/>
          <w:sz w:val="16"/>
          <w:szCs w:val="16"/>
          <w:lang w:val="es-ES"/>
        </w:rPr>
        <w:br/>
        <w:t>Doc. 18. 8 mayo 1985. Original:  Español. Accesible en: http://www.cidh.org/countryrep/Chile85sp/Indice.htm</w:t>
      </w:r>
    </w:p>
  </w:footnote>
  <w:footnote w:id="38">
    <w:p w14:paraId="3C49B3C8" w14:textId="77777777" w:rsidR="00323FC1" w:rsidRPr="001D321F" w:rsidRDefault="00323FC1" w:rsidP="001D321F">
      <w:pPr>
        <w:jc w:val="both"/>
        <w:rPr>
          <w:rFonts w:ascii="Cambria" w:hAnsi="Cambria"/>
          <w:color w:val="000000" w:themeColor="text1"/>
          <w:sz w:val="16"/>
          <w:szCs w:val="16"/>
          <w:lang w:val="es-AR"/>
        </w:rPr>
      </w:pPr>
      <w:r w:rsidRPr="001D321F">
        <w:rPr>
          <w:rStyle w:val="FootnoteReference"/>
          <w:rFonts w:ascii="Cambria" w:hAnsi="Cambria"/>
          <w:color w:val="000000" w:themeColor="text1"/>
          <w:sz w:val="16"/>
          <w:szCs w:val="16"/>
        </w:rPr>
        <w:footnoteRef/>
      </w:r>
      <w:r w:rsidRPr="001D321F">
        <w:rPr>
          <w:rFonts w:ascii="Cambria" w:hAnsi="Cambria"/>
          <w:color w:val="000000" w:themeColor="text1"/>
          <w:sz w:val="16"/>
          <w:szCs w:val="16"/>
          <w:lang w:val="es-AR"/>
        </w:rPr>
        <w:t xml:space="preserve"> </w:t>
      </w:r>
      <w:r w:rsidRPr="001D321F">
        <w:rPr>
          <w:rFonts w:ascii="Cambria" w:hAnsi="Cambria"/>
          <w:color w:val="000000" w:themeColor="text1"/>
          <w:sz w:val="16"/>
          <w:szCs w:val="16"/>
          <w:shd w:val="clear" w:color="auto" w:fill="FFFFFF"/>
          <w:lang w:val="es-ES"/>
        </w:rPr>
        <w:t>Corte IDH. Caso Almonacid Arellano y otros Vs. Chile. Excepciones Preliminares, Fondo, Reparaciones y Costas. Sentencia de 26 de septiembre de 2006. Serie C No. 154 parrs 82.3 y 82.4; Corte IDH. Caso García Lucero y otras Vs. Chile. Excepción Preliminar, Fondo y Reparaciones. Sentencia de 28 de agosto de 2013. Serie C No. 267 parrs 56 a 60.</w:t>
      </w:r>
      <w:r w:rsidRPr="001D321F">
        <w:rPr>
          <w:rFonts w:ascii="Cambria" w:hAnsi="Cambria" w:cs="Arial"/>
          <w:color w:val="000000" w:themeColor="text1"/>
          <w:sz w:val="16"/>
          <w:szCs w:val="16"/>
          <w:shd w:val="clear" w:color="auto" w:fill="FFFFFF"/>
          <w:lang w:val="es-AR"/>
        </w:rPr>
        <w:t xml:space="preserve"> </w:t>
      </w:r>
    </w:p>
  </w:footnote>
  <w:footnote w:id="39">
    <w:p w14:paraId="7282D3DF" w14:textId="77777777" w:rsidR="00323FC1" w:rsidRPr="001D321F" w:rsidRDefault="00323FC1" w:rsidP="001D321F">
      <w:pPr>
        <w:pStyle w:val="FootnoteText"/>
        <w:jc w:val="both"/>
        <w:rPr>
          <w:rFonts w:ascii="Cambria" w:hAnsi="Cambria"/>
          <w:color w:val="000000" w:themeColor="text1"/>
          <w:sz w:val="16"/>
          <w:szCs w:val="16"/>
          <w:lang w:val="es-AR"/>
        </w:rPr>
      </w:pPr>
      <w:r w:rsidRPr="001D321F">
        <w:rPr>
          <w:rStyle w:val="FootnoteReference"/>
          <w:rFonts w:ascii="Cambria" w:hAnsi="Cambria"/>
          <w:color w:val="000000" w:themeColor="text1"/>
          <w:sz w:val="16"/>
          <w:szCs w:val="16"/>
          <w:lang w:val="es-ES"/>
        </w:rPr>
        <w:footnoteRef/>
      </w:r>
      <w:r w:rsidRPr="001D321F">
        <w:rPr>
          <w:rFonts w:ascii="Cambria" w:hAnsi="Cambria"/>
          <w:color w:val="000000" w:themeColor="text1"/>
          <w:sz w:val="16"/>
          <w:szCs w:val="16"/>
          <w:lang w:val="es-ES"/>
        </w:rPr>
        <w:t xml:space="preserve"> Organización de las Naciones Unidas (ONU). Asamblea General, Res 3219 (XXIX) “Protección de los derechos humanos en Chile”. 2278a sesión plenaria. 6 noviembre de 1974. Ver asimismo entre otras: ONU AG. Res 3448 (XXX) “Protección de los derechos humanos en Chile” 2433ª sesión plenaria 9 de diciembre de 1975; ONU AG. Res 39/121 “Protección de los derechos humanos y libertades fundamentales en Chile” 101 reunión plenaria, 14 de diciembre de 1984. </w:t>
      </w:r>
    </w:p>
  </w:footnote>
  <w:footnote w:id="40">
    <w:p w14:paraId="20071883" w14:textId="6557A984" w:rsidR="00323FC1" w:rsidRPr="001D321F" w:rsidRDefault="00323FC1" w:rsidP="001D321F">
      <w:pPr>
        <w:pStyle w:val="FootnoteText"/>
        <w:jc w:val="both"/>
        <w:rPr>
          <w:rFonts w:ascii="Cambria" w:hAnsi="Cambria"/>
          <w:color w:val="000000" w:themeColor="text1"/>
          <w:sz w:val="16"/>
          <w:szCs w:val="16"/>
          <w:lang w:val="es-ES"/>
        </w:rPr>
      </w:pPr>
      <w:r w:rsidRPr="001D321F">
        <w:rPr>
          <w:rStyle w:val="FootnoteReference"/>
          <w:rFonts w:ascii="Cambria" w:hAnsi="Cambria"/>
          <w:color w:val="000000" w:themeColor="text1"/>
          <w:sz w:val="16"/>
          <w:szCs w:val="16"/>
          <w:lang w:val="es-ES"/>
        </w:rPr>
        <w:footnoteRef/>
      </w:r>
      <w:r w:rsidRPr="001D321F">
        <w:rPr>
          <w:rFonts w:ascii="Cambria" w:hAnsi="Cambria"/>
          <w:color w:val="000000" w:themeColor="text1"/>
          <w:sz w:val="16"/>
          <w:szCs w:val="16"/>
          <w:lang w:val="es-ES"/>
        </w:rPr>
        <w:t xml:space="preserve"> Informe de la Comisión Nacional de Verdad y Reconciliación. Volumen II. Tomo 3. Nombres y datos biográficos de las víctimas. Accesible </w:t>
      </w:r>
      <w:r w:rsidR="00D10FBF" w:rsidRPr="001D321F">
        <w:rPr>
          <w:rFonts w:ascii="Cambria" w:hAnsi="Cambria"/>
          <w:color w:val="000000" w:themeColor="text1"/>
          <w:sz w:val="16"/>
          <w:szCs w:val="16"/>
          <w:lang w:val="es-ES"/>
        </w:rPr>
        <w:t>en:</w:t>
      </w:r>
      <w:r w:rsidRPr="001D321F">
        <w:rPr>
          <w:rFonts w:ascii="Cambria" w:hAnsi="Cambria"/>
          <w:color w:val="000000" w:themeColor="text1"/>
          <w:sz w:val="16"/>
          <w:szCs w:val="16"/>
          <w:lang w:val="es-ES"/>
        </w:rPr>
        <w:t xml:space="preserve"> </w:t>
      </w:r>
      <w:hyperlink r:id="rId12" w:history="1">
        <w:r w:rsidRPr="001D321F">
          <w:rPr>
            <w:rStyle w:val="Hyperlink"/>
            <w:rFonts w:ascii="Cambria" w:hAnsi="Cambria"/>
            <w:color w:val="000000" w:themeColor="text1"/>
            <w:sz w:val="16"/>
            <w:szCs w:val="16"/>
            <w:lang w:val="es-ES"/>
          </w:rPr>
          <w:t>http://www.memoriachilena.gob.cl/602/w3-article-94640.html</w:t>
        </w:r>
      </w:hyperlink>
      <w:r w:rsidRPr="001D321F">
        <w:rPr>
          <w:rFonts w:ascii="Cambria" w:hAnsi="Cambria"/>
          <w:color w:val="000000" w:themeColor="text1"/>
          <w:sz w:val="16"/>
          <w:szCs w:val="16"/>
          <w:lang w:val="es-ES"/>
        </w:rPr>
        <w:t xml:space="preserve"> </w:t>
      </w:r>
    </w:p>
  </w:footnote>
  <w:footnote w:id="41">
    <w:p w14:paraId="4B440EDD" w14:textId="324FFFB5" w:rsidR="00323FC1" w:rsidRPr="001D321F" w:rsidRDefault="00323FC1" w:rsidP="001D321F">
      <w:pPr>
        <w:pStyle w:val="FootnoteText"/>
        <w:jc w:val="both"/>
        <w:rPr>
          <w:rFonts w:ascii="Cambria" w:hAnsi="Cambria"/>
          <w:color w:val="000000" w:themeColor="text1"/>
          <w:sz w:val="16"/>
          <w:szCs w:val="16"/>
          <w:lang w:val="es-ES"/>
        </w:rPr>
      </w:pPr>
      <w:r w:rsidRPr="001D321F">
        <w:rPr>
          <w:rStyle w:val="FootnoteReference"/>
          <w:rFonts w:ascii="Cambria" w:hAnsi="Cambria"/>
          <w:color w:val="000000" w:themeColor="text1"/>
          <w:sz w:val="16"/>
          <w:szCs w:val="16"/>
        </w:rPr>
        <w:footnoteRef/>
      </w:r>
      <w:r w:rsidRPr="001D321F">
        <w:rPr>
          <w:rFonts w:ascii="Cambria" w:hAnsi="Cambria"/>
          <w:color w:val="000000" w:themeColor="text1"/>
          <w:sz w:val="16"/>
          <w:szCs w:val="16"/>
          <w:lang w:val="es-AR"/>
        </w:rPr>
        <w:t xml:space="preserve"> </w:t>
      </w:r>
      <w:r w:rsidRPr="001D321F">
        <w:rPr>
          <w:rFonts w:ascii="Cambria" w:hAnsi="Cambria"/>
          <w:color w:val="000000" w:themeColor="text1"/>
          <w:sz w:val="16"/>
          <w:szCs w:val="16"/>
          <w:lang w:val="es-ES"/>
        </w:rPr>
        <w:t xml:space="preserve">Informe de la Comisión Nacional de Verdad y Reconciliación. Volumen I. Tomo 2 Capitulo II.A Violaciones a los derechos humanos cometidos por agentes del Estado o personas a su servicio, pág. 718. Accesible </w:t>
      </w:r>
      <w:r w:rsidR="00D10FBF" w:rsidRPr="001D321F">
        <w:rPr>
          <w:rFonts w:ascii="Cambria" w:hAnsi="Cambria"/>
          <w:color w:val="000000" w:themeColor="text1"/>
          <w:sz w:val="16"/>
          <w:szCs w:val="16"/>
          <w:lang w:val="es-ES"/>
        </w:rPr>
        <w:t>en:</w:t>
      </w:r>
      <w:r w:rsidRPr="001D321F">
        <w:rPr>
          <w:rFonts w:ascii="Cambria" w:hAnsi="Cambria"/>
          <w:color w:val="000000" w:themeColor="text1"/>
          <w:sz w:val="16"/>
          <w:szCs w:val="16"/>
          <w:lang w:val="es-ES"/>
        </w:rPr>
        <w:t xml:space="preserve"> </w:t>
      </w:r>
      <w:hyperlink r:id="rId13" w:history="1">
        <w:r w:rsidRPr="001D321F">
          <w:rPr>
            <w:rStyle w:val="Hyperlink"/>
            <w:rFonts w:ascii="Cambria" w:hAnsi="Cambria"/>
            <w:color w:val="000000" w:themeColor="text1"/>
            <w:sz w:val="16"/>
            <w:szCs w:val="16"/>
            <w:lang w:val="es-ES"/>
          </w:rPr>
          <w:t>http://www.memoriachilena.gob.cl/602/w3-article-94640.html</w:t>
        </w:r>
      </w:hyperlink>
      <w:r w:rsidRPr="001D321F">
        <w:rPr>
          <w:rFonts w:ascii="Cambria" w:hAnsi="Cambria"/>
          <w:color w:val="000000" w:themeColor="text1"/>
          <w:sz w:val="16"/>
          <w:szCs w:val="16"/>
          <w:lang w:val="es-ES"/>
        </w:rPr>
        <w:t xml:space="preserve"> http://www.memoriachilena.gob.cl/archivos2/pdfs/MC0053680.pdf</w:t>
      </w:r>
    </w:p>
  </w:footnote>
  <w:footnote w:id="42">
    <w:p w14:paraId="0CFB13BF" w14:textId="77777777" w:rsidR="00323FC1" w:rsidRPr="001D321F" w:rsidRDefault="00323FC1" w:rsidP="001D321F">
      <w:pPr>
        <w:pStyle w:val="FootnoteText"/>
        <w:jc w:val="both"/>
        <w:rPr>
          <w:rFonts w:ascii="Cambria" w:hAnsi="Cambria"/>
          <w:color w:val="000000" w:themeColor="text1"/>
          <w:sz w:val="16"/>
          <w:szCs w:val="16"/>
          <w:lang w:val="es-ES"/>
        </w:rPr>
      </w:pPr>
      <w:r w:rsidRPr="001D321F">
        <w:rPr>
          <w:rStyle w:val="FootnoteReference"/>
          <w:rFonts w:ascii="Cambria" w:hAnsi="Cambria"/>
          <w:color w:val="000000" w:themeColor="text1"/>
          <w:sz w:val="16"/>
          <w:szCs w:val="16"/>
        </w:rPr>
        <w:footnoteRef/>
      </w:r>
      <w:r w:rsidRPr="001D321F">
        <w:rPr>
          <w:rFonts w:ascii="Cambria" w:hAnsi="Cambria"/>
          <w:color w:val="000000" w:themeColor="text1"/>
          <w:sz w:val="16"/>
          <w:szCs w:val="16"/>
          <w:lang w:val="es-AR"/>
        </w:rPr>
        <w:t xml:space="preserve"> </w:t>
      </w:r>
      <w:r w:rsidRPr="001D321F">
        <w:rPr>
          <w:rFonts w:ascii="Cambria" w:hAnsi="Cambria"/>
          <w:color w:val="000000" w:themeColor="text1"/>
          <w:sz w:val="16"/>
          <w:szCs w:val="16"/>
          <w:lang w:val="es-ES"/>
        </w:rPr>
        <w:t xml:space="preserve">Informe de la Comisión Nacional de Verdad y Reconciliación. Volumen I. Tomo 2 Capitulo II.A Violaciones a los derechos humanos cometidos por agentes del Estado o personas a su servicio, págs. 718 a 754. Accesible en : </w:t>
      </w:r>
      <w:hyperlink r:id="rId14" w:history="1">
        <w:r w:rsidRPr="001D321F">
          <w:rPr>
            <w:rStyle w:val="Hyperlink"/>
            <w:rFonts w:ascii="Cambria" w:hAnsi="Cambria"/>
            <w:color w:val="000000" w:themeColor="text1"/>
            <w:sz w:val="16"/>
            <w:szCs w:val="16"/>
            <w:lang w:val="es-ES"/>
          </w:rPr>
          <w:t>http://www.memoriachilena.gob.cl/602/w3-article-94640.html</w:t>
        </w:r>
      </w:hyperlink>
      <w:r w:rsidRPr="001D321F">
        <w:rPr>
          <w:rFonts w:ascii="Cambria" w:hAnsi="Cambria"/>
          <w:color w:val="000000" w:themeColor="text1"/>
          <w:sz w:val="16"/>
          <w:szCs w:val="16"/>
          <w:lang w:val="es-ES"/>
        </w:rPr>
        <w:t xml:space="preserve"> http://www.memoriachilena.gob.cl/archivos2/pdfs/MC0053680.pdf</w:t>
      </w:r>
    </w:p>
  </w:footnote>
  <w:footnote w:id="43">
    <w:p w14:paraId="1731499A" w14:textId="77777777" w:rsidR="00323FC1" w:rsidRPr="001D321F" w:rsidRDefault="00323FC1" w:rsidP="001D321F">
      <w:pPr>
        <w:pStyle w:val="FootnoteText"/>
        <w:jc w:val="both"/>
        <w:rPr>
          <w:rFonts w:ascii="Cambria" w:hAnsi="Cambria"/>
          <w:color w:val="000000" w:themeColor="text1"/>
          <w:sz w:val="16"/>
          <w:szCs w:val="16"/>
          <w:lang w:val="es-ES"/>
        </w:rPr>
      </w:pPr>
      <w:r w:rsidRPr="001D321F">
        <w:rPr>
          <w:rStyle w:val="FootnoteReference"/>
          <w:rFonts w:ascii="Cambria" w:hAnsi="Cambria"/>
          <w:color w:val="000000" w:themeColor="text1"/>
          <w:sz w:val="16"/>
          <w:szCs w:val="16"/>
          <w:lang w:val="es-ES"/>
        </w:rPr>
        <w:footnoteRef/>
      </w:r>
      <w:r w:rsidRPr="001D321F">
        <w:rPr>
          <w:rFonts w:ascii="Cambria" w:hAnsi="Cambria"/>
          <w:color w:val="000000" w:themeColor="text1"/>
          <w:sz w:val="16"/>
          <w:szCs w:val="16"/>
          <w:lang w:val="es-ES"/>
        </w:rPr>
        <w:t>Informe de la Comisión Nacional de Verdad y Reconciliación. Volumen I. Tomo 1. Segunda parte, Capitulo 4 Actuación de los Tribunales de Justicia ante las graves violaciones a los derechos humanos cometidas entre el 11 de septiembre de 1973 y el 11 de marzo de 1990, pág. 95. Accesible en: http://www.memoriachilena.gob.cl/archivos2/pdfs/MC0053679.pdf</w:t>
      </w:r>
    </w:p>
  </w:footnote>
  <w:footnote w:id="44">
    <w:p w14:paraId="58E149CC" w14:textId="77777777" w:rsidR="00323FC1" w:rsidRPr="001D321F" w:rsidRDefault="00323FC1" w:rsidP="001D321F">
      <w:pPr>
        <w:pStyle w:val="FootnoteText"/>
        <w:jc w:val="both"/>
        <w:rPr>
          <w:rFonts w:ascii="Cambria" w:hAnsi="Cambria"/>
          <w:color w:val="000000" w:themeColor="text1"/>
          <w:sz w:val="16"/>
          <w:szCs w:val="16"/>
          <w:lang w:val="es-AR"/>
        </w:rPr>
      </w:pPr>
      <w:r w:rsidRPr="001D321F">
        <w:rPr>
          <w:rStyle w:val="FootnoteReference"/>
          <w:rFonts w:ascii="Cambria" w:hAnsi="Cambria"/>
          <w:color w:val="000000" w:themeColor="text1"/>
          <w:sz w:val="16"/>
          <w:szCs w:val="16"/>
          <w:lang w:val="es-ES"/>
        </w:rPr>
        <w:footnoteRef/>
      </w:r>
      <w:r w:rsidRPr="001D321F">
        <w:rPr>
          <w:rFonts w:ascii="Cambria" w:hAnsi="Cambria"/>
          <w:color w:val="000000" w:themeColor="text1"/>
          <w:sz w:val="16"/>
          <w:szCs w:val="16"/>
          <w:lang w:val="es-ES"/>
        </w:rPr>
        <w:t xml:space="preserve"> Informe de la Comisión Nacional de Verdad y Reconciliación. Volumen I. Tomo 1. Segunda parte, Capitulo 4 Actuación de los Tribunales de Justicia ante las graves violaciones a los derechos humanos cometidas entre el 11 de septiembre de 1973 y el 11 de marzo de 1990, pag 98 a 102. Accesible en: http://www.memoriachilena.gob.cl/archivos2/pdfs/MC0053679.pdf</w:t>
      </w:r>
    </w:p>
  </w:footnote>
  <w:footnote w:id="45">
    <w:p w14:paraId="55D9016E" w14:textId="77777777" w:rsidR="00323FC1" w:rsidRPr="001D321F" w:rsidRDefault="00323FC1" w:rsidP="001D321F">
      <w:pPr>
        <w:pStyle w:val="FootnoteText"/>
        <w:jc w:val="both"/>
        <w:rPr>
          <w:rFonts w:ascii="Cambria" w:hAnsi="Cambria"/>
          <w:color w:val="000000" w:themeColor="text1"/>
          <w:sz w:val="16"/>
          <w:szCs w:val="16"/>
          <w:lang w:val="es-AR"/>
        </w:rPr>
      </w:pPr>
      <w:r w:rsidRPr="001D321F">
        <w:rPr>
          <w:rStyle w:val="FootnoteReference"/>
          <w:rFonts w:ascii="Cambria" w:hAnsi="Cambria"/>
          <w:color w:val="000000" w:themeColor="text1"/>
          <w:sz w:val="16"/>
          <w:szCs w:val="16"/>
        </w:rPr>
        <w:footnoteRef/>
      </w:r>
      <w:r w:rsidRPr="001D321F">
        <w:rPr>
          <w:rFonts w:ascii="Cambria" w:hAnsi="Cambria"/>
          <w:color w:val="000000" w:themeColor="text1"/>
          <w:sz w:val="16"/>
          <w:szCs w:val="16"/>
          <w:lang w:val="es-AR"/>
        </w:rPr>
        <w:t xml:space="preserve"> </w:t>
      </w:r>
      <w:r w:rsidRPr="001D321F">
        <w:rPr>
          <w:rFonts w:ascii="Cambria" w:hAnsi="Cambria"/>
          <w:color w:val="000000" w:themeColor="text1"/>
          <w:sz w:val="16"/>
          <w:szCs w:val="16"/>
          <w:lang w:val="es-ES"/>
        </w:rPr>
        <w:t xml:space="preserve">Informe de la Comisión Nacional de Verdad y Reconciliación. Volumen I. Tomo 1. Segunda parte, Capitulo 4 Actuación de los Tribunales de Justicia ante las graves violaciones a los derechos humanos cometidas entre el 11 de septiembre de 1973 y el 11 de marzo de 1990, pag 97a 102. Accesible en: </w:t>
      </w:r>
      <w:hyperlink r:id="rId15" w:history="1">
        <w:r w:rsidRPr="001D321F">
          <w:rPr>
            <w:rStyle w:val="Hyperlink"/>
            <w:rFonts w:ascii="Cambria" w:hAnsi="Cambria"/>
            <w:color w:val="000000" w:themeColor="text1"/>
            <w:sz w:val="16"/>
            <w:szCs w:val="16"/>
            <w:lang w:val="es-ES"/>
          </w:rPr>
          <w:t>http://www.memoriachilena.gob.cl/archivos2/pdfs/MC0053679.pdf</w:t>
        </w:r>
      </w:hyperlink>
      <w:r w:rsidRPr="001D321F">
        <w:rPr>
          <w:rFonts w:ascii="Cambria" w:hAnsi="Cambria"/>
          <w:color w:val="000000" w:themeColor="text1"/>
          <w:sz w:val="16"/>
          <w:szCs w:val="16"/>
          <w:lang w:val="es-AR"/>
        </w:rPr>
        <w:t xml:space="preserve"> </w:t>
      </w:r>
    </w:p>
  </w:footnote>
  <w:footnote w:id="46">
    <w:p w14:paraId="0118CF80" w14:textId="77777777" w:rsidR="00323FC1" w:rsidRPr="001D321F" w:rsidRDefault="00323FC1" w:rsidP="001D321F">
      <w:pPr>
        <w:pStyle w:val="FootnoteText"/>
        <w:jc w:val="both"/>
        <w:rPr>
          <w:rFonts w:ascii="Cambria" w:hAnsi="Cambria"/>
          <w:color w:val="000000" w:themeColor="text1"/>
          <w:sz w:val="16"/>
          <w:szCs w:val="16"/>
          <w:lang w:val="es-AR"/>
        </w:rPr>
      </w:pPr>
      <w:r w:rsidRPr="001D321F">
        <w:rPr>
          <w:rStyle w:val="FootnoteReference"/>
          <w:rFonts w:ascii="Cambria" w:hAnsi="Cambria"/>
          <w:color w:val="000000" w:themeColor="text1"/>
          <w:sz w:val="16"/>
          <w:szCs w:val="16"/>
        </w:rPr>
        <w:footnoteRef/>
      </w:r>
      <w:r w:rsidRPr="001D321F">
        <w:rPr>
          <w:rFonts w:ascii="Cambria" w:hAnsi="Cambria"/>
          <w:color w:val="000000" w:themeColor="text1"/>
          <w:sz w:val="16"/>
          <w:szCs w:val="16"/>
          <w:lang w:val="es-AR"/>
        </w:rPr>
        <w:t xml:space="preserve"> </w:t>
      </w:r>
      <w:r w:rsidRPr="001D321F">
        <w:rPr>
          <w:rFonts w:ascii="Cambria" w:hAnsi="Cambria"/>
          <w:color w:val="000000" w:themeColor="text1"/>
          <w:sz w:val="16"/>
          <w:szCs w:val="16"/>
          <w:lang w:val="es-ES"/>
        </w:rPr>
        <w:t xml:space="preserve">Informe de la Comisión Nacional sobre Prisión Política y Tortura, Capitulo II Funcionamiento de la Comisión. Resultados, pág. 73. Accesible en: </w:t>
      </w:r>
      <w:hyperlink r:id="rId16" w:history="1">
        <w:r w:rsidRPr="001D321F">
          <w:rPr>
            <w:rStyle w:val="Hyperlink"/>
            <w:rFonts w:ascii="Cambria" w:hAnsi="Cambria"/>
            <w:color w:val="000000" w:themeColor="text1"/>
            <w:sz w:val="16"/>
            <w:szCs w:val="16"/>
            <w:lang w:val="es-ES"/>
          </w:rPr>
          <w:t>https://www.indh.cl/bb/wp-content/uploads/2017/01/informe.pdf</w:t>
        </w:r>
      </w:hyperlink>
      <w:r w:rsidRPr="001D321F">
        <w:rPr>
          <w:rFonts w:ascii="Cambria" w:hAnsi="Cambria"/>
          <w:color w:val="000000" w:themeColor="text1"/>
          <w:sz w:val="16"/>
          <w:szCs w:val="16"/>
          <w:lang w:val="es-ES"/>
        </w:rPr>
        <w:t xml:space="preserve"> </w:t>
      </w:r>
    </w:p>
  </w:footnote>
  <w:footnote w:id="47">
    <w:p w14:paraId="2FDD229D" w14:textId="77777777" w:rsidR="00323FC1" w:rsidRPr="001D321F" w:rsidRDefault="00323FC1" w:rsidP="001D321F">
      <w:pPr>
        <w:pStyle w:val="FootnoteText"/>
        <w:jc w:val="both"/>
        <w:rPr>
          <w:rFonts w:ascii="Cambria" w:hAnsi="Cambria"/>
          <w:color w:val="000000" w:themeColor="text1"/>
          <w:sz w:val="16"/>
          <w:szCs w:val="16"/>
          <w:lang w:val="es-AR"/>
        </w:rPr>
      </w:pPr>
      <w:r w:rsidRPr="001D321F">
        <w:rPr>
          <w:rStyle w:val="FootnoteReference"/>
          <w:rFonts w:ascii="Cambria" w:hAnsi="Cambria"/>
          <w:color w:val="000000" w:themeColor="text1"/>
          <w:sz w:val="16"/>
          <w:szCs w:val="16"/>
        </w:rPr>
        <w:footnoteRef/>
      </w:r>
      <w:r w:rsidRPr="001D321F">
        <w:rPr>
          <w:rFonts w:ascii="Cambria" w:hAnsi="Cambria"/>
          <w:color w:val="000000" w:themeColor="text1"/>
          <w:sz w:val="16"/>
          <w:szCs w:val="16"/>
          <w:lang w:val="es-AR"/>
        </w:rPr>
        <w:t xml:space="preserve"> </w:t>
      </w:r>
      <w:r w:rsidRPr="001D321F">
        <w:rPr>
          <w:rFonts w:ascii="Cambria" w:hAnsi="Cambria"/>
          <w:color w:val="000000" w:themeColor="text1"/>
          <w:sz w:val="16"/>
          <w:szCs w:val="16"/>
          <w:lang w:val="es-ES"/>
        </w:rPr>
        <w:t xml:space="preserve">Informe de la Comisión Nacional sobre Prisión Política y Tortura, Capitulo III, pág. 178. Accesible en: </w:t>
      </w:r>
      <w:hyperlink r:id="rId17" w:history="1">
        <w:r w:rsidRPr="001D321F">
          <w:rPr>
            <w:rStyle w:val="Hyperlink"/>
            <w:rFonts w:ascii="Cambria" w:hAnsi="Cambria"/>
            <w:color w:val="000000" w:themeColor="text1"/>
            <w:sz w:val="16"/>
            <w:szCs w:val="16"/>
            <w:lang w:val="es-ES"/>
          </w:rPr>
          <w:t>https://www.indh.cl/bb/wp-content/uploads/2017/01/informe.pdf</w:t>
        </w:r>
      </w:hyperlink>
    </w:p>
  </w:footnote>
  <w:footnote w:id="48">
    <w:p w14:paraId="5185B4F5" w14:textId="74929E0B" w:rsidR="00323FC1" w:rsidRPr="001D321F" w:rsidRDefault="00323FC1" w:rsidP="001D321F">
      <w:pPr>
        <w:pStyle w:val="FootnoteText"/>
        <w:jc w:val="both"/>
        <w:rPr>
          <w:rFonts w:ascii="Cambria" w:hAnsi="Cambria"/>
          <w:color w:val="000000" w:themeColor="text1"/>
          <w:sz w:val="16"/>
          <w:szCs w:val="16"/>
          <w:lang w:val="es-AR"/>
        </w:rPr>
      </w:pPr>
      <w:r w:rsidRPr="001D321F">
        <w:rPr>
          <w:rStyle w:val="FootnoteReference"/>
          <w:rFonts w:ascii="Cambria" w:hAnsi="Cambria"/>
          <w:color w:val="000000" w:themeColor="text1"/>
          <w:sz w:val="16"/>
          <w:szCs w:val="16"/>
        </w:rPr>
        <w:footnoteRef/>
      </w:r>
      <w:r w:rsidRPr="001D321F">
        <w:rPr>
          <w:rFonts w:ascii="Cambria" w:hAnsi="Cambria"/>
          <w:color w:val="000000" w:themeColor="text1"/>
          <w:sz w:val="16"/>
          <w:szCs w:val="16"/>
          <w:lang w:val="es-AR"/>
        </w:rPr>
        <w:t xml:space="preserve"> </w:t>
      </w:r>
      <w:r w:rsidRPr="007B69F7">
        <w:rPr>
          <w:rFonts w:ascii="Cambria" w:hAnsi="Cambria"/>
          <w:b/>
          <w:color w:val="000000" w:themeColor="text1"/>
          <w:sz w:val="16"/>
          <w:szCs w:val="16"/>
          <w:lang w:val="es-AR"/>
        </w:rPr>
        <w:t xml:space="preserve">ANEXO 1. </w:t>
      </w:r>
      <w:r w:rsidRPr="007B69F7">
        <w:rPr>
          <w:rFonts w:ascii="Cambria" w:hAnsi="Cambria"/>
          <w:color w:val="000000" w:themeColor="text1"/>
          <w:sz w:val="16"/>
          <w:szCs w:val="16"/>
          <w:lang w:val="es-ES"/>
        </w:rPr>
        <w:t>Sentencia de</w:t>
      </w:r>
      <w:r w:rsidRPr="001D321F">
        <w:rPr>
          <w:rFonts w:ascii="Cambria" w:hAnsi="Cambria"/>
          <w:color w:val="000000" w:themeColor="text1"/>
          <w:sz w:val="16"/>
          <w:szCs w:val="16"/>
          <w:lang w:val="es-ES"/>
        </w:rPr>
        <w:t xml:space="preserve"> reemplazo de la Sala Segunda de la Corte Suprema de Justicia de fecha 29 de septiembre de 2009, considerando 11. Anexo 4 a la comunicación de la parte peticionaria recibida por la Comisión el 1 de abril de 2010.</w:t>
      </w:r>
    </w:p>
  </w:footnote>
  <w:footnote w:id="49">
    <w:p w14:paraId="117BEAC5" w14:textId="4B40E028" w:rsidR="00323FC1" w:rsidRPr="007B69F7" w:rsidRDefault="00323FC1" w:rsidP="001D321F">
      <w:pPr>
        <w:pStyle w:val="FootnoteText"/>
        <w:jc w:val="both"/>
        <w:rPr>
          <w:rFonts w:ascii="Cambria" w:hAnsi="Cambria"/>
          <w:color w:val="000000" w:themeColor="text1"/>
          <w:sz w:val="16"/>
          <w:szCs w:val="16"/>
          <w:lang w:val="es-AR"/>
        </w:rPr>
      </w:pPr>
      <w:r w:rsidRPr="007B69F7">
        <w:rPr>
          <w:rStyle w:val="FootnoteReference"/>
          <w:rFonts w:ascii="Cambria" w:hAnsi="Cambria"/>
          <w:color w:val="000000" w:themeColor="text1"/>
          <w:sz w:val="16"/>
          <w:szCs w:val="16"/>
        </w:rPr>
        <w:footnoteRef/>
      </w:r>
      <w:r w:rsidRPr="007B69F7">
        <w:rPr>
          <w:rFonts w:ascii="Cambria" w:hAnsi="Cambria"/>
          <w:color w:val="000000" w:themeColor="text1"/>
          <w:sz w:val="16"/>
          <w:szCs w:val="16"/>
          <w:lang w:val="es-AR"/>
        </w:rPr>
        <w:t xml:space="preserve"> </w:t>
      </w:r>
      <w:r w:rsidRPr="007B69F7">
        <w:rPr>
          <w:rFonts w:ascii="Cambria" w:hAnsi="Cambria"/>
          <w:b/>
          <w:color w:val="000000" w:themeColor="text1"/>
          <w:sz w:val="16"/>
          <w:szCs w:val="16"/>
          <w:lang w:val="es-AR"/>
        </w:rPr>
        <w:t>ANEXO 2.</w:t>
      </w:r>
      <w:r w:rsidRPr="007B69F7">
        <w:rPr>
          <w:rFonts w:ascii="Cambria" w:hAnsi="Cambria"/>
          <w:color w:val="000000" w:themeColor="text1"/>
          <w:sz w:val="16"/>
          <w:szCs w:val="16"/>
          <w:lang w:val="es-AR"/>
        </w:rPr>
        <w:t xml:space="preserve"> Sentencia </w:t>
      </w:r>
      <w:r w:rsidRPr="007B69F7">
        <w:rPr>
          <w:rFonts w:ascii="Cambria" w:hAnsi="Cambria"/>
          <w:color w:val="000000" w:themeColor="text1"/>
          <w:sz w:val="16"/>
          <w:szCs w:val="16"/>
          <w:lang w:val="es-ES_tradnl"/>
        </w:rPr>
        <w:t xml:space="preserve">Nro. 107.716-E de fecha 4 de mayo de 2004 dictada por el juez Joaquín Billard Acuña. Anexo 5 a la comunicación de la parte peticionaria de fecha 16 de enero de 2009. </w:t>
      </w:r>
    </w:p>
  </w:footnote>
  <w:footnote w:id="50">
    <w:p w14:paraId="59EA3592" w14:textId="0A36FB82" w:rsidR="00323FC1" w:rsidRPr="007B69F7" w:rsidRDefault="00323FC1" w:rsidP="001D321F">
      <w:pPr>
        <w:pStyle w:val="FootnoteText"/>
        <w:jc w:val="both"/>
        <w:rPr>
          <w:rFonts w:ascii="Cambria" w:hAnsi="Cambria"/>
          <w:color w:val="000000" w:themeColor="text1"/>
          <w:sz w:val="16"/>
          <w:szCs w:val="16"/>
          <w:lang w:val="es-AR"/>
        </w:rPr>
      </w:pPr>
      <w:r w:rsidRPr="007B69F7">
        <w:rPr>
          <w:rStyle w:val="FootnoteReference"/>
          <w:rFonts w:ascii="Cambria" w:hAnsi="Cambria"/>
          <w:color w:val="000000" w:themeColor="text1"/>
          <w:sz w:val="16"/>
          <w:szCs w:val="16"/>
        </w:rPr>
        <w:footnoteRef/>
      </w:r>
      <w:r w:rsidRPr="007B69F7">
        <w:rPr>
          <w:rFonts w:ascii="Cambria" w:hAnsi="Cambria"/>
          <w:color w:val="000000" w:themeColor="text1"/>
          <w:sz w:val="16"/>
          <w:szCs w:val="16"/>
          <w:lang w:val="es-AR"/>
        </w:rPr>
        <w:t xml:space="preserve"> </w:t>
      </w:r>
      <w:r w:rsidRPr="007B69F7">
        <w:rPr>
          <w:rFonts w:ascii="Cambria" w:hAnsi="Cambria"/>
          <w:b/>
          <w:color w:val="000000" w:themeColor="text1"/>
          <w:sz w:val="16"/>
          <w:szCs w:val="16"/>
          <w:lang w:val="es-AR"/>
        </w:rPr>
        <w:t>ANEXO 2.</w:t>
      </w:r>
      <w:r w:rsidRPr="007B69F7">
        <w:rPr>
          <w:rFonts w:ascii="Cambria" w:hAnsi="Cambria"/>
          <w:color w:val="000000" w:themeColor="text1"/>
          <w:sz w:val="16"/>
          <w:szCs w:val="16"/>
          <w:lang w:val="es-AR"/>
        </w:rPr>
        <w:t xml:space="preserve"> Sentencia </w:t>
      </w:r>
      <w:r w:rsidRPr="007B69F7">
        <w:rPr>
          <w:rFonts w:ascii="Cambria" w:hAnsi="Cambria"/>
          <w:color w:val="000000" w:themeColor="text1"/>
          <w:sz w:val="16"/>
          <w:szCs w:val="16"/>
          <w:lang w:val="es-ES_tradnl"/>
        </w:rPr>
        <w:t xml:space="preserve">Nro. 107.716-E de fecha 4 de mayo de 2004 dictada por el juez Joaquín Billard Acuña. Anexo 5 a la comunicación de la parte peticionaria de fecha 16 de enero de 2009. </w:t>
      </w:r>
    </w:p>
  </w:footnote>
  <w:footnote w:id="51">
    <w:p w14:paraId="0916101D" w14:textId="75D6D11C" w:rsidR="00323FC1" w:rsidRPr="007B69F7" w:rsidRDefault="00323FC1" w:rsidP="001D321F">
      <w:pPr>
        <w:pStyle w:val="FootnoteText"/>
        <w:jc w:val="both"/>
        <w:rPr>
          <w:rFonts w:ascii="Cambria" w:hAnsi="Cambria"/>
          <w:color w:val="000000" w:themeColor="text1"/>
          <w:sz w:val="16"/>
          <w:szCs w:val="16"/>
          <w:lang w:val="es-AR"/>
        </w:rPr>
      </w:pPr>
      <w:r w:rsidRPr="007B69F7">
        <w:rPr>
          <w:rStyle w:val="FootnoteReference"/>
          <w:rFonts w:ascii="Cambria" w:hAnsi="Cambria"/>
          <w:color w:val="000000" w:themeColor="text1"/>
          <w:sz w:val="16"/>
          <w:szCs w:val="16"/>
        </w:rPr>
        <w:footnoteRef/>
      </w:r>
      <w:r w:rsidRPr="007B69F7">
        <w:rPr>
          <w:rFonts w:ascii="Cambria" w:hAnsi="Cambria"/>
          <w:color w:val="000000" w:themeColor="text1"/>
          <w:sz w:val="16"/>
          <w:szCs w:val="16"/>
          <w:lang w:val="es-AR"/>
        </w:rPr>
        <w:t xml:space="preserve"> </w:t>
      </w:r>
      <w:r w:rsidRPr="007B69F7">
        <w:rPr>
          <w:rFonts w:ascii="Cambria" w:hAnsi="Cambria"/>
          <w:b/>
          <w:color w:val="000000" w:themeColor="text1"/>
          <w:sz w:val="16"/>
          <w:szCs w:val="16"/>
          <w:lang w:val="es-AR"/>
        </w:rPr>
        <w:t>ANEXO 2.</w:t>
      </w:r>
      <w:r w:rsidRPr="007B69F7">
        <w:rPr>
          <w:rFonts w:ascii="Cambria" w:hAnsi="Cambria"/>
          <w:color w:val="000000" w:themeColor="text1"/>
          <w:sz w:val="16"/>
          <w:szCs w:val="16"/>
          <w:lang w:val="es-AR"/>
        </w:rPr>
        <w:t xml:space="preserve"> Sentencia </w:t>
      </w:r>
      <w:r w:rsidRPr="007B69F7">
        <w:rPr>
          <w:rFonts w:ascii="Cambria" w:hAnsi="Cambria"/>
          <w:color w:val="000000" w:themeColor="text1"/>
          <w:sz w:val="16"/>
          <w:szCs w:val="16"/>
          <w:lang w:val="es-ES_tradnl"/>
        </w:rPr>
        <w:t xml:space="preserve">Nro. 107.716-E de fecha 4 de mayo de 2004 dictada por el juez Joaquín Billard Acuña. Anexo 5 a la comunicación de la parte peticionaria de fecha 16 de enero de 2009. </w:t>
      </w:r>
    </w:p>
  </w:footnote>
  <w:footnote w:id="52">
    <w:p w14:paraId="2E74D57E" w14:textId="3EE91F08" w:rsidR="00323FC1" w:rsidRPr="007B69F7" w:rsidRDefault="00323FC1" w:rsidP="001D321F">
      <w:pPr>
        <w:pStyle w:val="FootnoteText"/>
        <w:jc w:val="both"/>
        <w:rPr>
          <w:rFonts w:ascii="Cambria" w:hAnsi="Cambria"/>
          <w:color w:val="000000" w:themeColor="text1"/>
          <w:sz w:val="16"/>
          <w:szCs w:val="16"/>
          <w:lang w:val="es-ES"/>
        </w:rPr>
      </w:pPr>
      <w:r w:rsidRPr="007B69F7">
        <w:rPr>
          <w:rStyle w:val="FootnoteReference"/>
          <w:rFonts w:ascii="Cambria" w:hAnsi="Cambria"/>
          <w:color w:val="000000" w:themeColor="text1"/>
          <w:sz w:val="16"/>
          <w:szCs w:val="16"/>
          <w:lang w:val="es-ES"/>
        </w:rPr>
        <w:footnoteRef/>
      </w:r>
      <w:r w:rsidRPr="007B69F7">
        <w:rPr>
          <w:rFonts w:ascii="Cambria" w:hAnsi="Cambria"/>
          <w:color w:val="000000" w:themeColor="text1"/>
          <w:sz w:val="16"/>
          <w:szCs w:val="16"/>
          <w:lang w:val="es-ES"/>
        </w:rPr>
        <w:t xml:space="preserve"> </w:t>
      </w:r>
      <w:r w:rsidRPr="007B69F7">
        <w:rPr>
          <w:rFonts w:ascii="Cambria" w:hAnsi="Cambria"/>
          <w:b/>
          <w:color w:val="000000" w:themeColor="text1"/>
          <w:sz w:val="16"/>
          <w:szCs w:val="16"/>
          <w:lang w:val="es-ES"/>
        </w:rPr>
        <w:t>ANEXO 2.</w:t>
      </w:r>
      <w:r w:rsidRPr="007B69F7">
        <w:rPr>
          <w:rFonts w:ascii="Cambria" w:hAnsi="Cambria"/>
          <w:color w:val="000000" w:themeColor="text1"/>
          <w:sz w:val="16"/>
          <w:szCs w:val="16"/>
          <w:lang w:val="es-ES"/>
        </w:rPr>
        <w:t xml:space="preserve"> Sentencia Nro. 107.716-E de fecha 4 de mayo de 2004 dictada por el juez Joaquín Billard Acuña. Anexo 5 a la comunicación de la parte peticionaria de fecha 16 de enero de 2009.</w:t>
      </w:r>
    </w:p>
  </w:footnote>
  <w:footnote w:id="53">
    <w:p w14:paraId="532F1C03" w14:textId="7D2A0D89" w:rsidR="00323FC1" w:rsidRPr="007B69F7" w:rsidRDefault="00323FC1" w:rsidP="001D321F">
      <w:pPr>
        <w:pStyle w:val="FootnoteText"/>
        <w:jc w:val="both"/>
        <w:rPr>
          <w:rFonts w:ascii="Cambria" w:hAnsi="Cambria"/>
          <w:color w:val="000000" w:themeColor="text1"/>
          <w:sz w:val="16"/>
          <w:szCs w:val="16"/>
          <w:lang w:val="es-ES"/>
        </w:rPr>
      </w:pPr>
      <w:r w:rsidRPr="007B69F7">
        <w:rPr>
          <w:rStyle w:val="FootnoteReference"/>
          <w:rFonts w:ascii="Cambria" w:hAnsi="Cambria"/>
          <w:color w:val="000000" w:themeColor="text1"/>
          <w:sz w:val="16"/>
          <w:szCs w:val="16"/>
          <w:lang w:val="es-ES"/>
        </w:rPr>
        <w:footnoteRef/>
      </w:r>
      <w:r w:rsidRPr="007B69F7">
        <w:rPr>
          <w:rFonts w:ascii="Cambria" w:hAnsi="Cambria"/>
          <w:color w:val="000000" w:themeColor="text1"/>
          <w:sz w:val="16"/>
          <w:szCs w:val="16"/>
          <w:lang w:val="es-ES"/>
        </w:rPr>
        <w:t xml:space="preserve"> </w:t>
      </w:r>
      <w:r w:rsidRPr="007B69F7">
        <w:rPr>
          <w:rFonts w:ascii="Cambria" w:hAnsi="Cambria"/>
          <w:b/>
          <w:color w:val="000000" w:themeColor="text1"/>
          <w:sz w:val="16"/>
          <w:szCs w:val="16"/>
          <w:lang w:val="es-ES"/>
        </w:rPr>
        <w:t>ANEXO 2.</w:t>
      </w:r>
      <w:r w:rsidRPr="007B69F7">
        <w:rPr>
          <w:rFonts w:ascii="Cambria" w:hAnsi="Cambria"/>
          <w:color w:val="000000" w:themeColor="text1"/>
          <w:sz w:val="16"/>
          <w:szCs w:val="16"/>
          <w:lang w:val="es-ES"/>
        </w:rPr>
        <w:t xml:space="preserve"> Sentencia Nro. 107.716-E de fecha 4 de mayo de 2004 dictada por el juez Joaquín Billard Acuña. Anexo 5 a la comunicación de la parte peticionaria de fecha 16 de enero de 2009.</w:t>
      </w:r>
    </w:p>
  </w:footnote>
  <w:footnote w:id="54">
    <w:p w14:paraId="515285BE" w14:textId="5F9C43EC" w:rsidR="00323FC1" w:rsidRPr="001D321F" w:rsidRDefault="00323FC1" w:rsidP="001D321F">
      <w:pPr>
        <w:pStyle w:val="FootnoteText"/>
        <w:jc w:val="both"/>
        <w:rPr>
          <w:rFonts w:ascii="Cambria" w:hAnsi="Cambria"/>
          <w:color w:val="000000" w:themeColor="text1"/>
          <w:sz w:val="16"/>
          <w:szCs w:val="16"/>
          <w:lang w:val="es-ES"/>
        </w:rPr>
      </w:pPr>
      <w:r w:rsidRPr="007B69F7">
        <w:rPr>
          <w:rStyle w:val="FootnoteReference"/>
          <w:rFonts w:ascii="Cambria" w:hAnsi="Cambria"/>
          <w:color w:val="000000" w:themeColor="text1"/>
          <w:sz w:val="16"/>
          <w:szCs w:val="16"/>
          <w:lang w:val="es-ES"/>
        </w:rPr>
        <w:footnoteRef/>
      </w:r>
      <w:r w:rsidRPr="007B69F7">
        <w:rPr>
          <w:rFonts w:ascii="Cambria" w:hAnsi="Cambria"/>
          <w:color w:val="000000" w:themeColor="text1"/>
          <w:sz w:val="16"/>
          <w:szCs w:val="16"/>
          <w:lang w:val="es-ES"/>
        </w:rPr>
        <w:t xml:space="preserve"> </w:t>
      </w:r>
      <w:r w:rsidRPr="007B69F7">
        <w:rPr>
          <w:rFonts w:ascii="Cambria" w:hAnsi="Cambria"/>
          <w:b/>
          <w:color w:val="000000" w:themeColor="text1"/>
          <w:sz w:val="16"/>
          <w:szCs w:val="16"/>
          <w:lang w:val="es-ES"/>
        </w:rPr>
        <w:t>ANEXO 2.</w:t>
      </w:r>
      <w:r w:rsidRPr="007B69F7">
        <w:rPr>
          <w:rFonts w:ascii="Cambria" w:hAnsi="Cambria"/>
          <w:color w:val="000000" w:themeColor="text1"/>
          <w:sz w:val="16"/>
          <w:szCs w:val="16"/>
          <w:lang w:val="es-ES"/>
        </w:rPr>
        <w:t xml:space="preserve"> Sentencia Nro. 107.716-E de fecha 4 de mayo de 2004 dictada por el juez Joaquín Billard Acuña. Anexo 5 a la comunicación de la parte peticionaria de fecha 16 de enero de 2009.</w:t>
      </w:r>
    </w:p>
  </w:footnote>
  <w:footnote w:id="55">
    <w:p w14:paraId="65E19E04" w14:textId="23FFCDFD" w:rsidR="00323FC1" w:rsidRPr="007B69F7" w:rsidRDefault="00323FC1" w:rsidP="001D321F">
      <w:pPr>
        <w:pStyle w:val="FootnoteText"/>
        <w:jc w:val="both"/>
        <w:rPr>
          <w:rFonts w:ascii="Cambria" w:hAnsi="Cambria"/>
          <w:color w:val="000000" w:themeColor="text1"/>
          <w:sz w:val="16"/>
          <w:szCs w:val="16"/>
          <w:lang w:val="es-ES"/>
        </w:rPr>
      </w:pPr>
      <w:r w:rsidRPr="007B69F7">
        <w:rPr>
          <w:rStyle w:val="FootnoteReference"/>
          <w:rFonts w:ascii="Cambria" w:hAnsi="Cambria"/>
          <w:color w:val="000000" w:themeColor="text1"/>
          <w:sz w:val="16"/>
          <w:szCs w:val="16"/>
          <w:lang w:val="es-ES"/>
        </w:rPr>
        <w:footnoteRef/>
      </w:r>
      <w:r w:rsidRPr="007B69F7">
        <w:rPr>
          <w:rFonts w:ascii="Cambria" w:hAnsi="Cambria"/>
          <w:color w:val="000000" w:themeColor="text1"/>
          <w:sz w:val="16"/>
          <w:szCs w:val="16"/>
          <w:lang w:val="es-ES"/>
        </w:rPr>
        <w:t xml:space="preserve"> </w:t>
      </w:r>
      <w:r w:rsidRPr="007B69F7">
        <w:rPr>
          <w:rFonts w:ascii="Cambria" w:hAnsi="Cambria"/>
          <w:b/>
          <w:color w:val="000000" w:themeColor="text1"/>
          <w:sz w:val="16"/>
          <w:szCs w:val="16"/>
          <w:lang w:val="es-ES"/>
        </w:rPr>
        <w:t>ANEXO 3.</w:t>
      </w:r>
      <w:r w:rsidRPr="007B69F7">
        <w:rPr>
          <w:rFonts w:ascii="Cambria" w:hAnsi="Cambria"/>
          <w:color w:val="000000" w:themeColor="text1"/>
          <w:sz w:val="16"/>
          <w:szCs w:val="16"/>
          <w:lang w:val="es-ES"/>
        </w:rPr>
        <w:t xml:space="preserve"> Resolución 74986 dictada por la Sala Séptima de la Corte de Apelaciones de Santiago de fecha 27 de junio de 2006. Anexo 6 a la comunicación de la parte peticionaria de fecha 16 de enero de 2009. </w:t>
      </w:r>
    </w:p>
  </w:footnote>
  <w:footnote w:id="56">
    <w:p w14:paraId="1B77F10C" w14:textId="0781D1F4" w:rsidR="00323FC1" w:rsidRPr="001D321F" w:rsidRDefault="00323FC1" w:rsidP="001D321F">
      <w:pPr>
        <w:pStyle w:val="FootnoteText"/>
        <w:jc w:val="both"/>
        <w:rPr>
          <w:rFonts w:ascii="Cambria" w:hAnsi="Cambria"/>
          <w:color w:val="000000" w:themeColor="text1"/>
          <w:sz w:val="16"/>
          <w:szCs w:val="16"/>
          <w:lang w:val="es-ES"/>
        </w:rPr>
      </w:pPr>
      <w:r w:rsidRPr="007B69F7">
        <w:rPr>
          <w:rStyle w:val="FootnoteReference"/>
          <w:rFonts w:ascii="Cambria" w:hAnsi="Cambria"/>
          <w:color w:val="000000" w:themeColor="text1"/>
          <w:sz w:val="16"/>
          <w:szCs w:val="16"/>
          <w:lang w:val="es-ES"/>
        </w:rPr>
        <w:footnoteRef/>
      </w:r>
      <w:r w:rsidRPr="007B69F7">
        <w:rPr>
          <w:rFonts w:ascii="Cambria" w:hAnsi="Cambria"/>
          <w:color w:val="000000" w:themeColor="text1"/>
          <w:sz w:val="16"/>
          <w:szCs w:val="16"/>
          <w:lang w:val="es-ES"/>
        </w:rPr>
        <w:t xml:space="preserve"> </w:t>
      </w:r>
      <w:r w:rsidRPr="007B69F7">
        <w:rPr>
          <w:rFonts w:ascii="Cambria" w:hAnsi="Cambria"/>
          <w:b/>
          <w:color w:val="000000" w:themeColor="text1"/>
          <w:sz w:val="16"/>
          <w:szCs w:val="16"/>
          <w:lang w:val="es-ES"/>
        </w:rPr>
        <w:t>ANEXO 3.</w:t>
      </w:r>
      <w:r w:rsidRPr="007B69F7">
        <w:rPr>
          <w:rFonts w:ascii="Cambria" w:hAnsi="Cambria"/>
          <w:color w:val="000000" w:themeColor="text1"/>
          <w:sz w:val="16"/>
          <w:szCs w:val="16"/>
          <w:lang w:val="es-ES"/>
        </w:rPr>
        <w:t xml:space="preserve"> Resolución 74986 dictada por la Sala Séptima de la Corte de Apelaciones de Santiago de fecha 27 de junio de 2006. Anexo 6 a la comunicación de la parte peticionaria de fecha 16 de enero de 2009.</w:t>
      </w:r>
    </w:p>
  </w:footnote>
  <w:footnote w:id="57">
    <w:p w14:paraId="63671AEB" w14:textId="7F229192" w:rsidR="00323FC1" w:rsidRPr="007B69F7" w:rsidRDefault="00323FC1" w:rsidP="001D321F">
      <w:pPr>
        <w:pStyle w:val="FootnoteText"/>
        <w:jc w:val="both"/>
        <w:rPr>
          <w:rFonts w:ascii="Cambria" w:hAnsi="Cambria"/>
          <w:color w:val="000000" w:themeColor="text1"/>
          <w:sz w:val="16"/>
          <w:szCs w:val="16"/>
          <w:lang w:val="es-AR"/>
        </w:rPr>
      </w:pPr>
      <w:r w:rsidRPr="007B69F7">
        <w:rPr>
          <w:rStyle w:val="FootnoteReference"/>
          <w:rFonts w:ascii="Cambria" w:hAnsi="Cambria"/>
          <w:color w:val="000000" w:themeColor="text1"/>
          <w:sz w:val="16"/>
          <w:szCs w:val="16"/>
          <w:lang w:val="es-ES"/>
        </w:rPr>
        <w:footnoteRef/>
      </w:r>
      <w:r w:rsidRPr="007B69F7">
        <w:rPr>
          <w:rFonts w:ascii="Cambria" w:hAnsi="Cambria"/>
          <w:color w:val="000000" w:themeColor="text1"/>
          <w:sz w:val="16"/>
          <w:szCs w:val="16"/>
          <w:lang w:val="es-ES"/>
        </w:rPr>
        <w:t xml:space="preserve"> </w:t>
      </w:r>
      <w:r w:rsidRPr="007B69F7">
        <w:rPr>
          <w:rFonts w:ascii="Cambria" w:hAnsi="Cambria"/>
          <w:b/>
          <w:color w:val="000000" w:themeColor="text1"/>
          <w:sz w:val="16"/>
          <w:szCs w:val="16"/>
          <w:lang w:val="es-ES"/>
        </w:rPr>
        <w:t>ANEXO 4.</w:t>
      </w:r>
      <w:r w:rsidRPr="007B69F7">
        <w:rPr>
          <w:rFonts w:ascii="Cambria" w:hAnsi="Cambria"/>
          <w:color w:val="000000" w:themeColor="text1"/>
          <w:sz w:val="16"/>
          <w:szCs w:val="16"/>
          <w:lang w:val="es-ES"/>
        </w:rPr>
        <w:t xml:space="preserve"> Sentencia de la Segunda Sala de la Corte Suprema de Justicia de fecha 30 de julio de 2007. Anexo 7 a la comunicación de la parte peticionaria de fecha 16 de enero de 2009.</w:t>
      </w:r>
    </w:p>
  </w:footnote>
  <w:footnote w:id="58">
    <w:p w14:paraId="0580A71B" w14:textId="0C0D7892" w:rsidR="00323FC1" w:rsidRPr="007B69F7" w:rsidRDefault="00323FC1" w:rsidP="001D321F">
      <w:pPr>
        <w:pStyle w:val="FootnoteText"/>
        <w:jc w:val="both"/>
        <w:rPr>
          <w:rFonts w:ascii="Cambria" w:hAnsi="Cambria"/>
          <w:color w:val="000000" w:themeColor="text1"/>
          <w:sz w:val="16"/>
          <w:szCs w:val="16"/>
          <w:lang w:val="es-AR"/>
        </w:rPr>
      </w:pPr>
      <w:r w:rsidRPr="007B69F7">
        <w:rPr>
          <w:rStyle w:val="FootnoteReference"/>
          <w:rFonts w:ascii="Cambria" w:hAnsi="Cambria"/>
          <w:color w:val="000000" w:themeColor="text1"/>
          <w:sz w:val="16"/>
          <w:szCs w:val="16"/>
        </w:rPr>
        <w:footnoteRef/>
      </w:r>
      <w:r w:rsidRPr="007B69F7">
        <w:rPr>
          <w:rFonts w:ascii="Cambria" w:hAnsi="Cambria"/>
          <w:color w:val="000000" w:themeColor="text1"/>
          <w:sz w:val="16"/>
          <w:szCs w:val="16"/>
          <w:lang w:val="es-AR"/>
        </w:rPr>
        <w:t xml:space="preserve"> </w:t>
      </w:r>
      <w:r w:rsidRPr="007B69F7">
        <w:rPr>
          <w:rFonts w:ascii="Cambria" w:hAnsi="Cambria"/>
          <w:b/>
          <w:color w:val="000000" w:themeColor="text1"/>
          <w:sz w:val="16"/>
          <w:szCs w:val="16"/>
          <w:lang w:val="es-ES"/>
        </w:rPr>
        <w:t>ANEXO 4.</w:t>
      </w:r>
      <w:r w:rsidRPr="007B69F7">
        <w:rPr>
          <w:rFonts w:ascii="Cambria" w:hAnsi="Cambria"/>
          <w:color w:val="000000" w:themeColor="text1"/>
          <w:sz w:val="16"/>
          <w:szCs w:val="16"/>
          <w:lang w:val="es-ES"/>
        </w:rPr>
        <w:t xml:space="preserve"> Sentencia de la Segunda Sala de la Corte Suprema de Justicia de fecha 30 de julio de 2007. Anexo 7 a la comunicación de la parte peticionaria de fecha 16 de enero de 2009.</w:t>
      </w:r>
    </w:p>
  </w:footnote>
  <w:footnote w:id="59">
    <w:p w14:paraId="33976258" w14:textId="555A3C10" w:rsidR="00323FC1" w:rsidRPr="007B69F7" w:rsidRDefault="00323FC1" w:rsidP="001D321F">
      <w:pPr>
        <w:pStyle w:val="FootnoteText"/>
        <w:jc w:val="both"/>
        <w:rPr>
          <w:rFonts w:ascii="Cambria" w:hAnsi="Cambria"/>
          <w:color w:val="000000" w:themeColor="text1"/>
          <w:sz w:val="16"/>
          <w:szCs w:val="16"/>
          <w:lang w:val="es-AR"/>
        </w:rPr>
      </w:pPr>
      <w:r w:rsidRPr="007B69F7">
        <w:rPr>
          <w:rStyle w:val="FootnoteReference"/>
          <w:rFonts w:ascii="Cambria" w:hAnsi="Cambria"/>
          <w:color w:val="000000" w:themeColor="text1"/>
          <w:sz w:val="16"/>
          <w:szCs w:val="16"/>
        </w:rPr>
        <w:footnoteRef/>
      </w:r>
      <w:r w:rsidRPr="007B69F7">
        <w:rPr>
          <w:rFonts w:ascii="Cambria" w:hAnsi="Cambria"/>
          <w:color w:val="000000" w:themeColor="text1"/>
          <w:sz w:val="16"/>
          <w:szCs w:val="16"/>
          <w:lang w:val="es-AR"/>
        </w:rPr>
        <w:t xml:space="preserve"> </w:t>
      </w:r>
      <w:r w:rsidRPr="007B69F7">
        <w:rPr>
          <w:rFonts w:ascii="Cambria" w:hAnsi="Cambria"/>
          <w:b/>
          <w:color w:val="000000" w:themeColor="text1"/>
          <w:sz w:val="16"/>
          <w:szCs w:val="16"/>
          <w:lang w:val="es-ES"/>
        </w:rPr>
        <w:t>ANEXO 4.</w:t>
      </w:r>
      <w:r w:rsidRPr="007B69F7">
        <w:rPr>
          <w:rFonts w:ascii="Cambria" w:hAnsi="Cambria"/>
          <w:color w:val="000000" w:themeColor="text1"/>
          <w:sz w:val="16"/>
          <w:szCs w:val="16"/>
          <w:lang w:val="es-ES"/>
        </w:rPr>
        <w:t xml:space="preserve"> Sentencia de la Segunda Sala de la Corte Suprema de Justicia de fecha 30 de julio de 2007. Anexo 7 a la comunicación de la parte peticionaria de fecha 16 de enero de 2009.</w:t>
      </w:r>
    </w:p>
  </w:footnote>
  <w:footnote w:id="60">
    <w:p w14:paraId="51A491E6" w14:textId="761467A2" w:rsidR="00323FC1" w:rsidRPr="001D321F" w:rsidRDefault="00323FC1" w:rsidP="001D321F">
      <w:pPr>
        <w:pStyle w:val="FootnoteText"/>
        <w:jc w:val="both"/>
        <w:rPr>
          <w:rFonts w:ascii="Cambria" w:hAnsi="Cambria"/>
          <w:color w:val="000000" w:themeColor="text1"/>
          <w:sz w:val="16"/>
          <w:szCs w:val="16"/>
          <w:lang w:val="es-AR"/>
        </w:rPr>
      </w:pPr>
      <w:r w:rsidRPr="007B69F7">
        <w:rPr>
          <w:rStyle w:val="FootnoteReference"/>
          <w:rFonts w:ascii="Cambria" w:hAnsi="Cambria"/>
          <w:color w:val="000000" w:themeColor="text1"/>
          <w:sz w:val="16"/>
          <w:szCs w:val="16"/>
        </w:rPr>
        <w:footnoteRef/>
      </w:r>
      <w:r w:rsidRPr="007B69F7">
        <w:rPr>
          <w:rFonts w:ascii="Cambria" w:hAnsi="Cambria"/>
          <w:color w:val="000000" w:themeColor="text1"/>
          <w:sz w:val="16"/>
          <w:szCs w:val="16"/>
          <w:lang w:val="es-AR"/>
        </w:rPr>
        <w:t xml:space="preserve"> </w:t>
      </w:r>
      <w:r w:rsidRPr="007B69F7">
        <w:rPr>
          <w:rFonts w:ascii="Cambria" w:hAnsi="Cambria"/>
          <w:b/>
          <w:color w:val="000000" w:themeColor="text1"/>
          <w:sz w:val="16"/>
          <w:szCs w:val="16"/>
          <w:lang w:val="es-ES"/>
        </w:rPr>
        <w:t>ANEXO 4.</w:t>
      </w:r>
      <w:r w:rsidRPr="007B69F7">
        <w:rPr>
          <w:rFonts w:ascii="Cambria" w:hAnsi="Cambria"/>
          <w:color w:val="000000" w:themeColor="text1"/>
          <w:sz w:val="16"/>
          <w:szCs w:val="16"/>
          <w:lang w:val="es-ES"/>
        </w:rPr>
        <w:t xml:space="preserve"> Sentencia de la Segunda Sala de la Corte Suprema de Justicia de fecha 30 de julio de 2007. Anexo 7 a la comunicación de la parte peticionaria de fecha 16 de enero de 2009.</w:t>
      </w:r>
    </w:p>
  </w:footnote>
  <w:footnote w:id="61">
    <w:p w14:paraId="317E0CC8" w14:textId="71E5FE74" w:rsidR="00323FC1" w:rsidRPr="001D321F" w:rsidRDefault="00323FC1" w:rsidP="001D321F">
      <w:pPr>
        <w:pStyle w:val="FootnoteText"/>
        <w:jc w:val="both"/>
        <w:rPr>
          <w:rFonts w:ascii="Cambria" w:hAnsi="Cambria"/>
          <w:color w:val="000000" w:themeColor="text1"/>
          <w:sz w:val="16"/>
          <w:szCs w:val="16"/>
          <w:lang w:val="es-ES"/>
        </w:rPr>
      </w:pPr>
      <w:r w:rsidRPr="007B69F7">
        <w:rPr>
          <w:rStyle w:val="FootnoteReference"/>
          <w:rFonts w:ascii="Cambria" w:hAnsi="Cambria"/>
          <w:color w:val="000000" w:themeColor="text1"/>
          <w:sz w:val="16"/>
          <w:szCs w:val="16"/>
          <w:lang w:val="es-ES"/>
        </w:rPr>
        <w:footnoteRef/>
      </w:r>
      <w:r w:rsidRPr="007B69F7">
        <w:rPr>
          <w:rFonts w:ascii="Cambria" w:hAnsi="Cambria"/>
          <w:color w:val="000000" w:themeColor="text1"/>
          <w:sz w:val="16"/>
          <w:szCs w:val="16"/>
          <w:lang w:val="es-ES"/>
        </w:rPr>
        <w:t xml:space="preserve"> </w:t>
      </w:r>
      <w:r w:rsidRPr="007B69F7">
        <w:rPr>
          <w:rFonts w:ascii="Cambria" w:hAnsi="Cambria"/>
          <w:b/>
          <w:color w:val="000000" w:themeColor="text1"/>
          <w:sz w:val="16"/>
          <w:szCs w:val="16"/>
          <w:lang w:val="es-ES"/>
        </w:rPr>
        <w:t>ANEXO 5.</w:t>
      </w:r>
      <w:r w:rsidRPr="007B69F7">
        <w:rPr>
          <w:rFonts w:ascii="Cambria" w:hAnsi="Cambria"/>
          <w:color w:val="000000" w:themeColor="text1"/>
          <w:sz w:val="16"/>
          <w:szCs w:val="16"/>
          <w:lang w:val="es-ES"/>
        </w:rPr>
        <w:t xml:space="preserve"> Sentencia de fecha 7 de febrero de 2006 dictada por Joaquín Billar Acuña, Ministro del Fuero, Corte de Apelaciones de Santiago en el Rol. 2.182-98 Episodio “Lago Ranco”. Anexo 7 a la comunicación de la parte peticionaria de fecha 12 de marzo de 2008.</w:t>
      </w:r>
      <w:r w:rsidRPr="001D321F">
        <w:rPr>
          <w:rFonts w:ascii="Cambria" w:hAnsi="Cambria"/>
          <w:color w:val="000000" w:themeColor="text1"/>
          <w:sz w:val="16"/>
          <w:szCs w:val="16"/>
          <w:lang w:val="es-ES"/>
        </w:rPr>
        <w:t xml:space="preserve"> </w:t>
      </w:r>
    </w:p>
  </w:footnote>
  <w:footnote w:id="62">
    <w:p w14:paraId="4BBD2188" w14:textId="48791FF1" w:rsidR="00323FC1" w:rsidRPr="007B69F7" w:rsidRDefault="00323FC1" w:rsidP="001D321F">
      <w:pPr>
        <w:pStyle w:val="FootnoteText"/>
        <w:jc w:val="both"/>
        <w:rPr>
          <w:rFonts w:ascii="Cambria" w:hAnsi="Cambria"/>
          <w:color w:val="000000" w:themeColor="text1"/>
          <w:sz w:val="16"/>
          <w:szCs w:val="16"/>
          <w:lang w:val="es-ES"/>
        </w:rPr>
      </w:pPr>
      <w:r w:rsidRPr="001D321F">
        <w:rPr>
          <w:rStyle w:val="FootnoteReference"/>
          <w:rFonts w:ascii="Cambria" w:hAnsi="Cambria"/>
          <w:color w:val="000000" w:themeColor="text1"/>
          <w:sz w:val="16"/>
          <w:szCs w:val="16"/>
        </w:rPr>
        <w:footnoteRef/>
      </w:r>
      <w:r w:rsidRPr="001D321F">
        <w:rPr>
          <w:rFonts w:ascii="Cambria" w:hAnsi="Cambria"/>
          <w:color w:val="000000" w:themeColor="text1"/>
          <w:sz w:val="16"/>
          <w:szCs w:val="16"/>
          <w:lang w:val="es-AR"/>
        </w:rPr>
        <w:t xml:space="preserve"> </w:t>
      </w:r>
      <w:r w:rsidRPr="007B69F7">
        <w:rPr>
          <w:rFonts w:ascii="Cambria" w:hAnsi="Cambria"/>
          <w:b/>
          <w:color w:val="000000" w:themeColor="text1"/>
          <w:sz w:val="16"/>
          <w:szCs w:val="16"/>
          <w:lang w:val="es-ES"/>
        </w:rPr>
        <w:t>ANEXO 6.</w:t>
      </w:r>
      <w:r w:rsidRPr="007B69F7">
        <w:rPr>
          <w:rFonts w:ascii="Cambria" w:hAnsi="Cambria"/>
          <w:color w:val="000000" w:themeColor="text1"/>
          <w:sz w:val="16"/>
          <w:szCs w:val="16"/>
          <w:lang w:val="es-ES"/>
        </w:rPr>
        <w:t xml:space="preserve"> Resolución dictada por Juan Guzmán Tapia, Ministro de Fuero de la Corte de Apelaciones de Santiago de fecha 25 de junio de 2002. Anexo 9 a la a la comunicación de la parte peticionaria de fecha 12 de marzo de 2008.</w:t>
      </w:r>
    </w:p>
  </w:footnote>
  <w:footnote w:id="63">
    <w:p w14:paraId="31BC462F" w14:textId="1FE05BF8" w:rsidR="00323FC1" w:rsidRPr="001D321F" w:rsidRDefault="00323FC1" w:rsidP="001D321F">
      <w:pPr>
        <w:pStyle w:val="FootnoteText"/>
        <w:jc w:val="both"/>
        <w:rPr>
          <w:rFonts w:ascii="Cambria" w:hAnsi="Cambria"/>
          <w:color w:val="000000" w:themeColor="text1"/>
          <w:sz w:val="16"/>
          <w:szCs w:val="16"/>
          <w:lang w:val="es-AR"/>
        </w:rPr>
      </w:pPr>
      <w:r w:rsidRPr="007B69F7">
        <w:rPr>
          <w:rStyle w:val="FootnoteReference"/>
          <w:rFonts w:ascii="Cambria" w:hAnsi="Cambria"/>
          <w:color w:val="000000" w:themeColor="text1"/>
          <w:sz w:val="16"/>
          <w:szCs w:val="16"/>
          <w:lang w:val="es-ES"/>
        </w:rPr>
        <w:footnoteRef/>
      </w:r>
      <w:r w:rsidRPr="007B69F7">
        <w:rPr>
          <w:rFonts w:ascii="Cambria" w:hAnsi="Cambria"/>
          <w:color w:val="000000" w:themeColor="text1"/>
          <w:sz w:val="16"/>
          <w:szCs w:val="16"/>
          <w:lang w:val="es-ES"/>
        </w:rPr>
        <w:t xml:space="preserve"> </w:t>
      </w:r>
      <w:r w:rsidRPr="007B69F7">
        <w:rPr>
          <w:rFonts w:ascii="Cambria" w:hAnsi="Cambria"/>
          <w:b/>
          <w:color w:val="000000" w:themeColor="text1"/>
          <w:sz w:val="16"/>
          <w:szCs w:val="16"/>
          <w:lang w:val="es-ES"/>
        </w:rPr>
        <w:t>ANEXO 5.</w:t>
      </w:r>
      <w:r w:rsidRPr="001D321F">
        <w:rPr>
          <w:rFonts w:ascii="Cambria" w:hAnsi="Cambria"/>
          <w:color w:val="000000" w:themeColor="text1"/>
          <w:sz w:val="16"/>
          <w:szCs w:val="16"/>
          <w:lang w:val="es-ES"/>
        </w:rPr>
        <w:t xml:space="preserve"> Sentencia de fecha 7 de febrero de 2006 dictada por Joaquín Billar Acuña, Ministro del Fuero, Corte de Apelaciones de Santiago en el Rol. 2.182-98 Episodio “Lago Ranco”. Anexo 7 a la comunicación de la parte peticionaria de fecha 12 de marzo de 2008.</w:t>
      </w:r>
    </w:p>
  </w:footnote>
  <w:footnote w:id="64">
    <w:p w14:paraId="1EDD4282" w14:textId="77777777" w:rsidR="00323FC1" w:rsidRPr="001D321F" w:rsidRDefault="00323FC1" w:rsidP="001D321F">
      <w:pPr>
        <w:pStyle w:val="FootnoteText"/>
        <w:jc w:val="both"/>
        <w:rPr>
          <w:rFonts w:ascii="Cambria" w:hAnsi="Cambria"/>
          <w:color w:val="000000" w:themeColor="text1"/>
          <w:sz w:val="16"/>
          <w:szCs w:val="16"/>
          <w:lang w:val="es-ES"/>
        </w:rPr>
      </w:pPr>
      <w:r w:rsidRPr="001D321F">
        <w:rPr>
          <w:rStyle w:val="FootnoteReference"/>
          <w:rFonts w:ascii="Cambria" w:hAnsi="Cambria"/>
          <w:color w:val="000000" w:themeColor="text1"/>
          <w:sz w:val="16"/>
          <w:szCs w:val="16"/>
        </w:rPr>
        <w:footnoteRef/>
      </w:r>
      <w:r w:rsidRPr="001D321F">
        <w:rPr>
          <w:rFonts w:ascii="Cambria" w:hAnsi="Cambria"/>
          <w:color w:val="000000" w:themeColor="text1"/>
          <w:sz w:val="16"/>
          <w:szCs w:val="16"/>
          <w:lang w:val="es-AR"/>
        </w:rPr>
        <w:t xml:space="preserve"> </w:t>
      </w:r>
      <w:r w:rsidRPr="001D321F">
        <w:rPr>
          <w:rFonts w:ascii="Cambria" w:hAnsi="Cambria"/>
          <w:color w:val="000000" w:themeColor="text1"/>
          <w:sz w:val="16"/>
          <w:szCs w:val="16"/>
          <w:lang w:val="es-ES"/>
        </w:rPr>
        <w:t xml:space="preserve">“Si por la naturaleza de las diversas infracciones éstas no pueden estimarse como un solo delito, el tribunal aplicara la pena señalada a aquella que, señalada aisladamente, con las circunstancias del caso, tenga asignada pena mayor, aumentándola en uno, dos o tres grados, según sea el número de delitos” </w:t>
      </w:r>
    </w:p>
  </w:footnote>
  <w:footnote w:id="65">
    <w:p w14:paraId="294D2901" w14:textId="77777777" w:rsidR="00323FC1" w:rsidRPr="001D321F" w:rsidRDefault="00323FC1" w:rsidP="001D321F">
      <w:pPr>
        <w:pStyle w:val="FootnoteText"/>
        <w:jc w:val="both"/>
        <w:rPr>
          <w:rFonts w:ascii="Cambria" w:hAnsi="Cambria"/>
          <w:color w:val="000000" w:themeColor="text1"/>
          <w:sz w:val="16"/>
          <w:szCs w:val="16"/>
          <w:lang w:val="es-ES"/>
        </w:rPr>
      </w:pPr>
      <w:r w:rsidRPr="001D321F">
        <w:rPr>
          <w:rStyle w:val="FootnoteReference"/>
          <w:rFonts w:ascii="Cambria" w:hAnsi="Cambria"/>
          <w:color w:val="000000" w:themeColor="text1"/>
          <w:sz w:val="16"/>
          <w:szCs w:val="16"/>
        </w:rPr>
        <w:footnoteRef/>
      </w:r>
      <w:r w:rsidRPr="001D321F">
        <w:rPr>
          <w:rFonts w:ascii="Cambria" w:hAnsi="Cambria"/>
          <w:color w:val="000000" w:themeColor="text1"/>
          <w:sz w:val="16"/>
          <w:szCs w:val="16"/>
          <w:lang w:val="es-AR"/>
        </w:rPr>
        <w:t xml:space="preserve"> </w:t>
      </w:r>
      <w:r w:rsidRPr="001D321F">
        <w:rPr>
          <w:rFonts w:ascii="Cambria" w:hAnsi="Cambria"/>
          <w:color w:val="000000" w:themeColor="text1"/>
          <w:sz w:val="16"/>
          <w:szCs w:val="16"/>
          <w:lang w:val="es-ES"/>
        </w:rPr>
        <w:t xml:space="preserve">“El que sin derecho encerrare o detuviere a otro privándolo de su libertad, será castigado con la pena de presidio o reclusión menores en cualquiera de sus grados. </w:t>
      </w:r>
    </w:p>
    <w:p w14:paraId="102AD28C" w14:textId="77777777" w:rsidR="00323FC1" w:rsidRPr="001D321F" w:rsidRDefault="00323FC1" w:rsidP="001D321F">
      <w:pPr>
        <w:pStyle w:val="FootnoteText"/>
        <w:jc w:val="both"/>
        <w:rPr>
          <w:rFonts w:ascii="Cambria" w:hAnsi="Cambria"/>
          <w:color w:val="000000" w:themeColor="text1"/>
          <w:sz w:val="16"/>
          <w:szCs w:val="16"/>
          <w:lang w:val="es-ES"/>
        </w:rPr>
      </w:pPr>
      <w:r w:rsidRPr="001D321F">
        <w:rPr>
          <w:rFonts w:ascii="Cambria" w:hAnsi="Cambria"/>
          <w:color w:val="000000" w:themeColor="text1"/>
          <w:sz w:val="16"/>
          <w:szCs w:val="16"/>
          <w:lang w:val="es-ES"/>
        </w:rPr>
        <w:t xml:space="preserve">En la misma pena incurrirá el que proporcionare lugar para la ejecución del delito. </w:t>
      </w:r>
    </w:p>
    <w:p w14:paraId="55DC0DC3" w14:textId="77777777" w:rsidR="00323FC1" w:rsidRPr="001D321F" w:rsidRDefault="00323FC1" w:rsidP="001D321F">
      <w:pPr>
        <w:pStyle w:val="FootnoteText"/>
        <w:jc w:val="both"/>
        <w:rPr>
          <w:rFonts w:ascii="Cambria" w:hAnsi="Cambria"/>
          <w:color w:val="000000" w:themeColor="text1"/>
          <w:sz w:val="16"/>
          <w:szCs w:val="16"/>
          <w:lang w:val="es-ES"/>
        </w:rPr>
      </w:pPr>
      <w:r w:rsidRPr="001D321F">
        <w:rPr>
          <w:rFonts w:ascii="Cambria" w:hAnsi="Cambria"/>
          <w:color w:val="000000" w:themeColor="text1"/>
          <w:sz w:val="16"/>
          <w:szCs w:val="16"/>
          <w:lang w:val="es-ES"/>
        </w:rPr>
        <w:t xml:space="preserve">Si el encierro o la detención se prolongare por más de noventa días, o si de ellos resultare un daño grave en la persona o intereses del encerrado o detenido, la pena será presidio mayor en cualquiera de sus grados” </w:t>
      </w:r>
    </w:p>
  </w:footnote>
  <w:footnote w:id="66">
    <w:p w14:paraId="7608E7ED" w14:textId="3AC2DCC0" w:rsidR="00323FC1" w:rsidRPr="001D321F" w:rsidRDefault="00323FC1" w:rsidP="00BC235F">
      <w:pPr>
        <w:pStyle w:val="FootnoteText"/>
        <w:jc w:val="both"/>
        <w:rPr>
          <w:rFonts w:ascii="Cambria" w:hAnsi="Cambria"/>
          <w:color w:val="000000" w:themeColor="text1"/>
          <w:sz w:val="16"/>
          <w:szCs w:val="16"/>
          <w:lang w:val="es-ES"/>
        </w:rPr>
      </w:pPr>
      <w:r w:rsidRPr="001D321F">
        <w:rPr>
          <w:rStyle w:val="FootnoteReference"/>
          <w:rFonts w:ascii="Cambria" w:hAnsi="Cambria"/>
          <w:color w:val="000000" w:themeColor="text1"/>
          <w:sz w:val="16"/>
          <w:szCs w:val="16"/>
          <w:lang w:val="es-ES"/>
        </w:rPr>
        <w:footnoteRef/>
      </w:r>
      <w:r w:rsidRPr="001D321F">
        <w:rPr>
          <w:rFonts w:ascii="Cambria" w:hAnsi="Cambria"/>
          <w:color w:val="000000" w:themeColor="text1"/>
          <w:sz w:val="16"/>
          <w:szCs w:val="16"/>
          <w:lang w:val="es-ES"/>
        </w:rPr>
        <w:t xml:space="preserve"> </w:t>
      </w:r>
      <w:r w:rsidRPr="007B69F7">
        <w:rPr>
          <w:rFonts w:ascii="Cambria" w:hAnsi="Cambria"/>
          <w:b/>
          <w:color w:val="000000" w:themeColor="text1"/>
          <w:sz w:val="16"/>
          <w:szCs w:val="16"/>
          <w:lang w:val="es-ES"/>
        </w:rPr>
        <w:t>ANEXO 7.</w:t>
      </w:r>
      <w:r w:rsidRPr="007B69F7">
        <w:rPr>
          <w:rFonts w:ascii="Cambria" w:hAnsi="Cambria"/>
          <w:color w:val="000000" w:themeColor="text1"/>
          <w:sz w:val="16"/>
          <w:szCs w:val="16"/>
          <w:lang w:val="es-ES"/>
        </w:rPr>
        <w:t xml:space="preserve"> Sentencia de fecha 8 de noviembre de 2006 dictada por la Tercera Sala de la Corte de Apelaciones de Santiago. Anexo 5 a la comunicación de la parte peticionaria de fecha 12 de marzo de 2008.</w:t>
      </w:r>
    </w:p>
  </w:footnote>
  <w:footnote w:id="67">
    <w:p w14:paraId="4EB65320" w14:textId="47CA724B" w:rsidR="00323FC1" w:rsidRPr="007B69F7" w:rsidRDefault="00323FC1" w:rsidP="00BC235F">
      <w:pPr>
        <w:pStyle w:val="FootnoteText"/>
        <w:jc w:val="both"/>
        <w:rPr>
          <w:rFonts w:ascii="Cambria" w:hAnsi="Cambria"/>
          <w:color w:val="000000" w:themeColor="text1"/>
          <w:sz w:val="16"/>
          <w:szCs w:val="16"/>
          <w:lang w:val="es-AR"/>
        </w:rPr>
      </w:pPr>
      <w:r w:rsidRPr="001D321F">
        <w:rPr>
          <w:rStyle w:val="FootnoteReference"/>
          <w:rFonts w:ascii="Cambria" w:hAnsi="Cambria"/>
          <w:color w:val="000000" w:themeColor="text1"/>
          <w:sz w:val="16"/>
          <w:szCs w:val="16"/>
          <w:lang w:val="es-ES"/>
        </w:rPr>
        <w:footnoteRef/>
      </w:r>
      <w:r w:rsidRPr="001D321F">
        <w:rPr>
          <w:rFonts w:ascii="Cambria" w:hAnsi="Cambria"/>
          <w:color w:val="000000" w:themeColor="text1"/>
          <w:sz w:val="16"/>
          <w:szCs w:val="16"/>
          <w:lang w:val="es-ES"/>
        </w:rPr>
        <w:t xml:space="preserve"> </w:t>
      </w:r>
      <w:r w:rsidRPr="007B69F7">
        <w:rPr>
          <w:rFonts w:ascii="Cambria" w:hAnsi="Cambria"/>
          <w:b/>
          <w:color w:val="000000" w:themeColor="text1"/>
          <w:sz w:val="16"/>
          <w:szCs w:val="16"/>
          <w:lang w:val="es-ES"/>
        </w:rPr>
        <w:t xml:space="preserve">ANEXO 8. </w:t>
      </w:r>
      <w:r w:rsidRPr="007B69F7">
        <w:rPr>
          <w:rFonts w:ascii="Cambria" w:hAnsi="Cambria"/>
          <w:color w:val="000000" w:themeColor="text1"/>
          <w:sz w:val="16"/>
          <w:szCs w:val="16"/>
          <w:lang w:val="es-ES"/>
        </w:rPr>
        <w:t>Sentencia de fecha 5 de septiembre de 2007 dictada por la Segunda Sala de la Corte Suprema. Anexo 11 a la comunicación de la parte peticionaria de fecha 12 de marzo de 2008.</w:t>
      </w:r>
    </w:p>
  </w:footnote>
  <w:footnote w:id="68">
    <w:p w14:paraId="439FDF59" w14:textId="255D86EE" w:rsidR="00323FC1" w:rsidRPr="007B69F7" w:rsidRDefault="00323FC1" w:rsidP="00BC235F">
      <w:pPr>
        <w:pStyle w:val="FootnoteText"/>
        <w:jc w:val="both"/>
        <w:rPr>
          <w:rFonts w:ascii="Cambria" w:hAnsi="Cambria"/>
          <w:color w:val="000000" w:themeColor="text1"/>
          <w:sz w:val="16"/>
          <w:szCs w:val="16"/>
          <w:lang w:val="es-AR"/>
        </w:rPr>
      </w:pPr>
      <w:r w:rsidRPr="007B69F7">
        <w:rPr>
          <w:rStyle w:val="FootnoteReference"/>
          <w:rFonts w:ascii="Cambria" w:hAnsi="Cambria"/>
          <w:color w:val="000000" w:themeColor="text1"/>
          <w:sz w:val="16"/>
          <w:szCs w:val="16"/>
        </w:rPr>
        <w:footnoteRef/>
      </w:r>
      <w:r w:rsidRPr="007B69F7">
        <w:rPr>
          <w:rFonts w:ascii="Cambria" w:hAnsi="Cambria"/>
          <w:color w:val="000000" w:themeColor="text1"/>
          <w:sz w:val="16"/>
          <w:szCs w:val="16"/>
          <w:lang w:val="es-AR"/>
        </w:rPr>
        <w:t xml:space="preserve"> </w:t>
      </w:r>
      <w:r w:rsidRPr="007B69F7">
        <w:rPr>
          <w:rFonts w:ascii="Cambria" w:hAnsi="Cambria"/>
          <w:b/>
          <w:color w:val="000000" w:themeColor="text1"/>
          <w:sz w:val="16"/>
          <w:szCs w:val="16"/>
          <w:lang w:val="es-ES"/>
        </w:rPr>
        <w:t xml:space="preserve">ANEXO 8. </w:t>
      </w:r>
      <w:r w:rsidRPr="007B69F7">
        <w:rPr>
          <w:rFonts w:ascii="Cambria" w:hAnsi="Cambria"/>
          <w:color w:val="000000" w:themeColor="text1"/>
          <w:sz w:val="16"/>
          <w:szCs w:val="16"/>
          <w:lang w:val="es-ES"/>
        </w:rPr>
        <w:t>Sentencia de fecha 5 de septiembre de 2007 dictada por la Segunda Sala de la Corte Suprema. Anexo 11 a la comunicación de la parte peticionaria de fecha 12 de marzo de 2008.</w:t>
      </w:r>
    </w:p>
  </w:footnote>
  <w:footnote w:id="69">
    <w:p w14:paraId="6748224F" w14:textId="6751A399" w:rsidR="00323FC1" w:rsidRPr="007B69F7" w:rsidRDefault="00323FC1" w:rsidP="00BC235F">
      <w:pPr>
        <w:pStyle w:val="FootnoteText"/>
        <w:jc w:val="both"/>
        <w:rPr>
          <w:rFonts w:ascii="Cambria" w:hAnsi="Cambria"/>
          <w:color w:val="000000" w:themeColor="text1"/>
          <w:sz w:val="16"/>
          <w:szCs w:val="16"/>
          <w:lang w:val="es-AR"/>
        </w:rPr>
      </w:pPr>
      <w:r w:rsidRPr="007B69F7">
        <w:rPr>
          <w:rStyle w:val="FootnoteReference"/>
          <w:rFonts w:ascii="Cambria" w:hAnsi="Cambria"/>
          <w:color w:val="000000" w:themeColor="text1"/>
          <w:sz w:val="16"/>
          <w:szCs w:val="16"/>
        </w:rPr>
        <w:footnoteRef/>
      </w:r>
      <w:r w:rsidRPr="007B69F7">
        <w:rPr>
          <w:rFonts w:ascii="Cambria" w:hAnsi="Cambria"/>
          <w:color w:val="000000" w:themeColor="text1"/>
          <w:sz w:val="16"/>
          <w:szCs w:val="16"/>
          <w:lang w:val="es-AR"/>
        </w:rPr>
        <w:t xml:space="preserve"> </w:t>
      </w:r>
      <w:r w:rsidRPr="007B69F7">
        <w:rPr>
          <w:rFonts w:ascii="Cambria" w:hAnsi="Cambria"/>
          <w:b/>
          <w:color w:val="000000" w:themeColor="text1"/>
          <w:sz w:val="16"/>
          <w:szCs w:val="16"/>
          <w:lang w:val="es-ES"/>
        </w:rPr>
        <w:t xml:space="preserve">ANEXO 8. </w:t>
      </w:r>
      <w:r w:rsidRPr="007B69F7">
        <w:rPr>
          <w:rFonts w:ascii="Cambria" w:hAnsi="Cambria"/>
          <w:color w:val="000000" w:themeColor="text1"/>
          <w:sz w:val="16"/>
          <w:szCs w:val="16"/>
          <w:lang w:val="es-ES"/>
        </w:rPr>
        <w:t>Sentencia de fecha 5 de septiembre de 2007 dictada por la Segunda Sala de la Corte Suprema. Anexo 11 a la comunicación de la parte peticionaria de fecha 12 de marzo de 2008.</w:t>
      </w:r>
    </w:p>
  </w:footnote>
  <w:footnote w:id="70">
    <w:p w14:paraId="55592DC1" w14:textId="32CB0B70" w:rsidR="00323FC1" w:rsidRPr="007B69F7" w:rsidRDefault="00323FC1" w:rsidP="00BC235F">
      <w:pPr>
        <w:pStyle w:val="FootnoteText"/>
        <w:jc w:val="both"/>
        <w:rPr>
          <w:rFonts w:ascii="Cambria" w:hAnsi="Cambria"/>
          <w:color w:val="000000" w:themeColor="text1"/>
          <w:sz w:val="16"/>
          <w:szCs w:val="16"/>
          <w:lang w:val="es-AR"/>
        </w:rPr>
      </w:pPr>
      <w:r w:rsidRPr="007B69F7">
        <w:rPr>
          <w:rStyle w:val="FootnoteReference"/>
          <w:rFonts w:ascii="Cambria" w:hAnsi="Cambria"/>
          <w:color w:val="000000" w:themeColor="text1"/>
          <w:sz w:val="16"/>
          <w:szCs w:val="16"/>
        </w:rPr>
        <w:footnoteRef/>
      </w:r>
      <w:r w:rsidRPr="007B69F7">
        <w:rPr>
          <w:rFonts w:ascii="Cambria" w:hAnsi="Cambria"/>
          <w:color w:val="000000" w:themeColor="text1"/>
          <w:sz w:val="16"/>
          <w:szCs w:val="16"/>
          <w:lang w:val="es-AR"/>
        </w:rPr>
        <w:t xml:space="preserve"> </w:t>
      </w:r>
      <w:r w:rsidRPr="007B69F7">
        <w:rPr>
          <w:rFonts w:ascii="Cambria" w:hAnsi="Cambria"/>
          <w:b/>
          <w:color w:val="000000" w:themeColor="text1"/>
          <w:sz w:val="16"/>
          <w:szCs w:val="16"/>
          <w:lang w:val="es-ES"/>
        </w:rPr>
        <w:t xml:space="preserve">ANEXO 8. </w:t>
      </w:r>
      <w:r w:rsidRPr="007B69F7">
        <w:rPr>
          <w:rFonts w:ascii="Cambria" w:hAnsi="Cambria"/>
          <w:color w:val="000000" w:themeColor="text1"/>
          <w:sz w:val="16"/>
          <w:szCs w:val="16"/>
          <w:lang w:val="es-ES"/>
        </w:rPr>
        <w:t>Sentencia de fecha 5 de septiembre de 2007 dictada por la Segunda Sala de la Corte Suprema. Anexo 11 a la comunicación de la parte peticionaria de fecha 12 de marzo de 2008.</w:t>
      </w:r>
    </w:p>
  </w:footnote>
  <w:footnote w:id="71">
    <w:p w14:paraId="593D2505" w14:textId="17A931A4" w:rsidR="00323FC1" w:rsidRPr="001D321F" w:rsidRDefault="00323FC1" w:rsidP="00BC235F">
      <w:pPr>
        <w:pStyle w:val="FootnoteText"/>
        <w:jc w:val="both"/>
        <w:rPr>
          <w:rFonts w:ascii="Cambria" w:hAnsi="Cambria"/>
          <w:color w:val="000000" w:themeColor="text1"/>
          <w:sz w:val="16"/>
          <w:szCs w:val="16"/>
          <w:lang w:val="es-AR"/>
        </w:rPr>
      </w:pPr>
      <w:r w:rsidRPr="007B69F7">
        <w:rPr>
          <w:rStyle w:val="FootnoteReference"/>
          <w:rFonts w:ascii="Cambria" w:hAnsi="Cambria"/>
          <w:color w:val="000000" w:themeColor="text1"/>
          <w:sz w:val="16"/>
          <w:szCs w:val="16"/>
        </w:rPr>
        <w:footnoteRef/>
      </w:r>
      <w:r w:rsidRPr="007B69F7">
        <w:rPr>
          <w:rFonts w:ascii="Cambria" w:hAnsi="Cambria"/>
          <w:color w:val="000000" w:themeColor="text1"/>
          <w:sz w:val="16"/>
          <w:szCs w:val="16"/>
          <w:lang w:val="es-AR"/>
        </w:rPr>
        <w:t xml:space="preserve"> </w:t>
      </w:r>
      <w:r w:rsidRPr="007B69F7">
        <w:rPr>
          <w:rFonts w:ascii="Cambria" w:hAnsi="Cambria"/>
          <w:b/>
          <w:color w:val="000000" w:themeColor="text1"/>
          <w:sz w:val="16"/>
          <w:szCs w:val="16"/>
          <w:lang w:val="es-ES"/>
        </w:rPr>
        <w:t xml:space="preserve">ANEXO 8. </w:t>
      </w:r>
      <w:r w:rsidRPr="007B69F7">
        <w:rPr>
          <w:rFonts w:ascii="Cambria" w:hAnsi="Cambria"/>
          <w:color w:val="000000" w:themeColor="text1"/>
          <w:sz w:val="16"/>
          <w:szCs w:val="16"/>
          <w:lang w:val="es-ES"/>
        </w:rPr>
        <w:t>Sentencia de fecha 5 de septiembre de 2007 dictada por la Segunda Sala de la Corte Suprema. Anexo 11 a la comunicación de la parte peticionaria de fecha 12 de marzo de 2008.</w:t>
      </w:r>
    </w:p>
  </w:footnote>
  <w:footnote w:id="72">
    <w:p w14:paraId="19C21DD7" w14:textId="7EA2ED76" w:rsidR="00323FC1" w:rsidRPr="001D321F" w:rsidRDefault="00323FC1" w:rsidP="001D321F">
      <w:pPr>
        <w:jc w:val="both"/>
        <w:rPr>
          <w:rFonts w:ascii="Cambria" w:hAnsi="Cambria"/>
          <w:color w:val="000000" w:themeColor="text1"/>
          <w:sz w:val="16"/>
          <w:szCs w:val="16"/>
          <w:lang w:val="es-ES"/>
        </w:rPr>
      </w:pPr>
      <w:r w:rsidRPr="001D321F">
        <w:rPr>
          <w:rStyle w:val="FootnoteReference"/>
          <w:rFonts w:ascii="Cambria" w:hAnsi="Cambria"/>
          <w:color w:val="000000" w:themeColor="text1"/>
          <w:sz w:val="16"/>
          <w:szCs w:val="16"/>
          <w:lang w:val="es-ES"/>
        </w:rPr>
        <w:footnoteRef/>
      </w:r>
      <w:r w:rsidRPr="001D321F">
        <w:rPr>
          <w:rFonts w:ascii="Cambria" w:hAnsi="Cambria"/>
          <w:color w:val="000000" w:themeColor="text1"/>
          <w:sz w:val="16"/>
          <w:szCs w:val="16"/>
          <w:lang w:val="es-ES"/>
        </w:rPr>
        <w:t xml:space="preserve"> Informe de la Comisión Nacional de Verdad y Reconciliación. (En adelante: “Informe Rettig”). Volumen I. Tomo 3. Accesible en http://www.memoriachilena.gob.cl/602/w3-article-85803.html. Respecto de Luis Evangelista Aguayo Fernández, ver: pág. 8; respecto de Manuel Eduardo Bascuñan Aravena, ver: pág. 51; respecto de José Ignacio Bustos Fuentes, ver: pág. 63 y 64; respecto de Enrique Ángel Carreño González, ver: pág. 85; respecto de Rafael Alonso Díaz Meza, ver: pág. 125; respecto de Rolando Antonio Ibarra Ortega (López), ver: pág. 196; respecto de Aroldo Vivian Laurie Luengo, ver: pág. 213; respecto de Ireneo Alberto Méndez Hernández, ver: pág. 246; respecto de Armando Edelmiro Morales Morales, ver: pág. 261; respecto de José́ Luis Morales Ruiz, ver: pág. 262; respecto de Aurelio Clodomiro Peñailillo Sepúlveda, ver: págs. 308 y 309; respecto de Luis Alcides Pereira Hernández, ver: pág. 310; respecto de Armando Aroldo Pereira Meriño, ver: pág. 310 ; Respecto de Oscar Abdón Retamal Pérez, ver: pág. 337; respecto de Luis Enrique Rivera Cofré, ver : pág. 347; respecto de José́ Hernán Riveros Chávez, ver: pág. 348; respecto de Roberto del Carmen Romero Muñoz, ver: pág. 362; respecto de Oscar Eladio Saldías Daza, ver: pág. 374; respecto de Hernán Sarmiento Sabater, ver: pág. 385; respecto de Hugo Enrique Soto Campos, ver: pág. 398; respecto de Ruperto Oriol Torres Aravena, ver: pág. 409 y 410; respecto de Edelmiro Antonio Valdez Sepúlveda, ver: pág. 420; respecto de Víctor Julio Vivanco Vásquez, ver: pág. 450; respecto de Claudio Jesús Escanilla Escobar, ver: pág. 132. </w:t>
      </w:r>
    </w:p>
  </w:footnote>
  <w:footnote w:id="73">
    <w:p w14:paraId="46FF7F98" w14:textId="49218A61" w:rsidR="00323FC1" w:rsidRPr="001D321F" w:rsidRDefault="00323FC1" w:rsidP="001D321F">
      <w:pPr>
        <w:pStyle w:val="FootnoteText"/>
        <w:jc w:val="both"/>
        <w:rPr>
          <w:rFonts w:ascii="Cambria" w:hAnsi="Cambria"/>
          <w:color w:val="000000" w:themeColor="text1"/>
          <w:sz w:val="16"/>
          <w:szCs w:val="16"/>
          <w:lang w:val="es-ES"/>
        </w:rPr>
      </w:pPr>
      <w:r w:rsidRPr="001D321F">
        <w:rPr>
          <w:rStyle w:val="FootnoteReference"/>
          <w:rFonts w:ascii="Cambria" w:hAnsi="Cambria"/>
          <w:color w:val="000000" w:themeColor="text1"/>
          <w:sz w:val="16"/>
          <w:szCs w:val="16"/>
          <w:lang w:val="es-ES"/>
        </w:rPr>
        <w:footnoteRef/>
      </w:r>
      <w:r w:rsidRPr="001D321F">
        <w:rPr>
          <w:rFonts w:ascii="Cambria" w:hAnsi="Cambria"/>
          <w:color w:val="000000" w:themeColor="text1"/>
          <w:sz w:val="16"/>
          <w:szCs w:val="16"/>
          <w:lang w:val="es-ES"/>
        </w:rPr>
        <w:t xml:space="preserve"> </w:t>
      </w:r>
      <w:r w:rsidRPr="00E11094">
        <w:rPr>
          <w:rFonts w:ascii="Cambria" w:hAnsi="Cambria"/>
          <w:b/>
          <w:color w:val="000000" w:themeColor="text1"/>
          <w:sz w:val="16"/>
          <w:szCs w:val="16"/>
          <w:lang w:val="es-ES"/>
        </w:rPr>
        <w:t>ANEXO 9.</w:t>
      </w:r>
      <w:r w:rsidRPr="00E11094">
        <w:rPr>
          <w:rFonts w:ascii="Cambria" w:hAnsi="Cambria"/>
          <w:color w:val="000000" w:themeColor="text1"/>
          <w:sz w:val="16"/>
          <w:szCs w:val="16"/>
          <w:lang w:val="es-ES"/>
        </w:rPr>
        <w:t xml:space="preserve"> Sentencia del Ministro de Fuero Alejandro Solís Muñoz de fecha 4 de agosto de 2003. Anexo 3 de la comunicación de la parte peticionaria de fecha 26 de junio de 2008.</w:t>
      </w:r>
    </w:p>
  </w:footnote>
  <w:footnote w:id="74">
    <w:p w14:paraId="52CED6CA" w14:textId="77777777" w:rsidR="00323FC1" w:rsidRPr="001D321F" w:rsidRDefault="00323FC1" w:rsidP="001D321F">
      <w:pPr>
        <w:pStyle w:val="FootnoteText"/>
        <w:jc w:val="both"/>
        <w:rPr>
          <w:rFonts w:ascii="Cambria" w:hAnsi="Cambria"/>
          <w:color w:val="000000" w:themeColor="text1"/>
          <w:sz w:val="16"/>
          <w:szCs w:val="16"/>
          <w:lang w:val="es-ES"/>
        </w:rPr>
      </w:pPr>
      <w:r w:rsidRPr="001D321F">
        <w:rPr>
          <w:rStyle w:val="FootnoteReference"/>
          <w:rFonts w:ascii="Cambria" w:hAnsi="Cambria"/>
          <w:color w:val="000000" w:themeColor="text1"/>
          <w:sz w:val="16"/>
          <w:szCs w:val="16"/>
          <w:lang w:val="es-ES"/>
        </w:rPr>
        <w:footnoteRef/>
      </w:r>
      <w:r w:rsidRPr="001D321F">
        <w:rPr>
          <w:rFonts w:ascii="Cambria" w:hAnsi="Cambria"/>
          <w:color w:val="000000" w:themeColor="text1"/>
          <w:sz w:val="16"/>
          <w:szCs w:val="16"/>
          <w:lang w:val="es-ES"/>
        </w:rPr>
        <w:t xml:space="preserve"> Código Penal de Chile. Artículo 11.6: “Son circunstancias atenuantes: Si la conducta anterior del delincuente ha sido irreprochable”. </w:t>
      </w:r>
    </w:p>
  </w:footnote>
  <w:footnote w:id="75">
    <w:p w14:paraId="6412E4CA" w14:textId="1CD069CE" w:rsidR="00323FC1" w:rsidRPr="001D321F" w:rsidRDefault="00323FC1" w:rsidP="001D321F">
      <w:pPr>
        <w:pStyle w:val="FootnoteText"/>
        <w:jc w:val="both"/>
        <w:rPr>
          <w:rFonts w:ascii="Cambria" w:hAnsi="Cambria"/>
          <w:color w:val="000000" w:themeColor="text1"/>
          <w:sz w:val="16"/>
          <w:szCs w:val="16"/>
          <w:lang w:val="es-ES"/>
        </w:rPr>
      </w:pPr>
      <w:r w:rsidRPr="001D321F">
        <w:rPr>
          <w:rStyle w:val="FootnoteReference"/>
          <w:rFonts w:ascii="Cambria" w:hAnsi="Cambria"/>
          <w:color w:val="000000" w:themeColor="text1"/>
          <w:sz w:val="16"/>
          <w:szCs w:val="16"/>
          <w:lang w:val="es-ES"/>
        </w:rPr>
        <w:footnoteRef/>
      </w:r>
      <w:r w:rsidRPr="001D321F">
        <w:rPr>
          <w:rFonts w:ascii="Cambria" w:hAnsi="Cambria"/>
          <w:color w:val="000000" w:themeColor="text1"/>
          <w:sz w:val="16"/>
          <w:szCs w:val="16"/>
          <w:lang w:val="es-ES"/>
        </w:rPr>
        <w:t xml:space="preserve"> </w:t>
      </w:r>
      <w:r w:rsidRPr="00E11094">
        <w:rPr>
          <w:rFonts w:ascii="Cambria" w:hAnsi="Cambria"/>
          <w:b/>
          <w:color w:val="000000" w:themeColor="text1"/>
          <w:sz w:val="16"/>
          <w:szCs w:val="16"/>
          <w:lang w:val="es-ES"/>
        </w:rPr>
        <w:t>ANEXO 10.</w:t>
      </w:r>
      <w:r w:rsidRPr="001D321F">
        <w:rPr>
          <w:rFonts w:ascii="Cambria" w:hAnsi="Cambria"/>
          <w:color w:val="000000" w:themeColor="text1"/>
          <w:sz w:val="16"/>
          <w:szCs w:val="16"/>
          <w:lang w:val="es-ES"/>
        </w:rPr>
        <w:t xml:space="preserve"> Sentencia de la Corte de Apelaciones de Santiago de fecha 15 de junio de 2005. Anexo 2 de la comunicación de la parte peticionaria de fecha 26 de junio de 2008.</w:t>
      </w:r>
    </w:p>
  </w:footnote>
  <w:footnote w:id="76">
    <w:p w14:paraId="43DFF851" w14:textId="77777777" w:rsidR="00323FC1" w:rsidRPr="001D321F" w:rsidRDefault="00323FC1" w:rsidP="001D321F">
      <w:pPr>
        <w:pStyle w:val="NormalWeb"/>
        <w:shd w:val="clear" w:color="auto" w:fill="FFFFFF"/>
        <w:spacing w:before="0" w:beforeAutospacing="0" w:after="0" w:afterAutospacing="0"/>
        <w:jc w:val="both"/>
        <w:rPr>
          <w:rFonts w:ascii="Cambria" w:hAnsi="Cambria"/>
          <w:color w:val="000000" w:themeColor="text1"/>
          <w:sz w:val="16"/>
          <w:szCs w:val="16"/>
          <w:lang w:val="es-ES"/>
        </w:rPr>
      </w:pPr>
      <w:r w:rsidRPr="001D321F">
        <w:rPr>
          <w:rStyle w:val="FootnoteReference"/>
          <w:rFonts w:ascii="Cambria" w:hAnsi="Cambria"/>
          <w:color w:val="000000" w:themeColor="text1"/>
          <w:sz w:val="16"/>
          <w:szCs w:val="16"/>
          <w:lang w:val="es-ES"/>
        </w:rPr>
        <w:footnoteRef/>
      </w:r>
      <w:r w:rsidRPr="001D321F">
        <w:rPr>
          <w:rFonts w:ascii="Cambria" w:hAnsi="Cambria"/>
          <w:color w:val="000000" w:themeColor="text1"/>
          <w:sz w:val="16"/>
          <w:szCs w:val="16"/>
          <w:lang w:val="es-ES"/>
        </w:rPr>
        <w:t xml:space="preserve"> Código Penal de Chile. Artículo 68.3: “Si son dos o más las circunstancias atenuantes y no hay ninguna agravante, el tribunal podrá́ imponer la pena inferior en uno, dos o tres grados al mínimo de los señalados por la ley, según sea el número y entidad de dichas circunstancias”. </w:t>
      </w:r>
    </w:p>
  </w:footnote>
  <w:footnote w:id="77">
    <w:p w14:paraId="02461A97" w14:textId="0358D02B" w:rsidR="00323FC1" w:rsidRPr="00FD359A" w:rsidRDefault="00323FC1" w:rsidP="001D321F">
      <w:pPr>
        <w:pStyle w:val="FootnoteText"/>
        <w:jc w:val="both"/>
        <w:rPr>
          <w:rFonts w:ascii="Cambria" w:hAnsi="Cambria"/>
          <w:color w:val="000000" w:themeColor="text1"/>
          <w:sz w:val="16"/>
          <w:szCs w:val="16"/>
          <w:lang w:val="es-AR"/>
        </w:rPr>
      </w:pPr>
      <w:r w:rsidRPr="001D321F">
        <w:rPr>
          <w:rStyle w:val="FootnoteReference"/>
          <w:rFonts w:ascii="Cambria" w:hAnsi="Cambria"/>
          <w:color w:val="000000" w:themeColor="text1"/>
          <w:sz w:val="16"/>
          <w:szCs w:val="16"/>
        </w:rPr>
        <w:footnoteRef/>
      </w:r>
      <w:r w:rsidRPr="001D321F">
        <w:rPr>
          <w:rFonts w:ascii="Cambria" w:hAnsi="Cambria"/>
          <w:color w:val="000000" w:themeColor="text1"/>
          <w:sz w:val="16"/>
          <w:szCs w:val="16"/>
          <w:lang w:val="es-AR"/>
        </w:rPr>
        <w:t xml:space="preserve"> </w:t>
      </w:r>
      <w:r w:rsidRPr="00E11094">
        <w:rPr>
          <w:rFonts w:ascii="Cambria" w:hAnsi="Cambria"/>
          <w:b/>
          <w:color w:val="000000" w:themeColor="text1"/>
          <w:sz w:val="16"/>
          <w:szCs w:val="16"/>
          <w:lang w:val="es-ES"/>
        </w:rPr>
        <w:t>ANEXO 10.</w:t>
      </w:r>
      <w:r w:rsidRPr="001D321F">
        <w:rPr>
          <w:rFonts w:ascii="Cambria" w:hAnsi="Cambria"/>
          <w:color w:val="000000" w:themeColor="text1"/>
          <w:sz w:val="16"/>
          <w:szCs w:val="16"/>
          <w:lang w:val="es-ES"/>
        </w:rPr>
        <w:t xml:space="preserve"> Sentencia de la Corte de Apelaciones de Santiago de fecha 15 de junio de 2005. Anexo 2 de la comunicación de la parte </w:t>
      </w:r>
      <w:r w:rsidRPr="00FD359A">
        <w:rPr>
          <w:rFonts w:ascii="Cambria" w:hAnsi="Cambria"/>
          <w:color w:val="000000" w:themeColor="text1"/>
          <w:sz w:val="16"/>
          <w:szCs w:val="16"/>
          <w:lang w:val="es-ES"/>
        </w:rPr>
        <w:t>peticionaria de fecha 26 de junio de 2008.</w:t>
      </w:r>
    </w:p>
  </w:footnote>
  <w:footnote w:id="78">
    <w:p w14:paraId="5676BA31" w14:textId="04AD55C7" w:rsidR="00323FC1" w:rsidRPr="00FD359A" w:rsidRDefault="00323FC1" w:rsidP="001D321F">
      <w:pPr>
        <w:pStyle w:val="FootnoteText"/>
        <w:jc w:val="both"/>
        <w:rPr>
          <w:rFonts w:ascii="Cambria" w:hAnsi="Cambria"/>
          <w:color w:val="000000" w:themeColor="text1"/>
          <w:sz w:val="16"/>
          <w:szCs w:val="16"/>
          <w:lang w:val="es-ES"/>
        </w:rPr>
      </w:pPr>
      <w:r w:rsidRPr="00FD359A">
        <w:rPr>
          <w:rStyle w:val="FootnoteReference"/>
          <w:rFonts w:ascii="Cambria" w:hAnsi="Cambria"/>
          <w:color w:val="000000" w:themeColor="text1"/>
          <w:sz w:val="16"/>
          <w:szCs w:val="16"/>
          <w:lang w:val="es-ES"/>
        </w:rPr>
        <w:footnoteRef/>
      </w:r>
      <w:r w:rsidRPr="00FD359A">
        <w:rPr>
          <w:rFonts w:ascii="Cambria" w:hAnsi="Cambria"/>
          <w:color w:val="000000" w:themeColor="text1"/>
          <w:sz w:val="16"/>
          <w:szCs w:val="16"/>
          <w:lang w:val="es-ES"/>
        </w:rPr>
        <w:t xml:space="preserve"> </w:t>
      </w:r>
      <w:r w:rsidRPr="00FD359A">
        <w:rPr>
          <w:rFonts w:ascii="Cambria" w:hAnsi="Cambria"/>
          <w:b/>
          <w:color w:val="000000" w:themeColor="text1"/>
          <w:sz w:val="16"/>
          <w:szCs w:val="16"/>
          <w:lang w:val="es-ES"/>
        </w:rPr>
        <w:t>ANEXO 11.</w:t>
      </w:r>
      <w:r w:rsidRPr="00FD359A">
        <w:rPr>
          <w:rFonts w:ascii="Cambria" w:hAnsi="Cambria"/>
          <w:color w:val="000000" w:themeColor="text1"/>
          <w:sz w:val="16"/>
          <w:szCs w:val="16"/>
          <w:lang w:val="es-ES"/>
        </w:rPr>
        <w:t xml:space="preserve"> Sentencia de la Corte Suprema de Justicia de fecha 27 de diciembre de 2007. Anexo 1 de la comunicación de la parte peticionaria de fecha 26 de junio de 2008.</w:t>
      </w:r>
    </w:p>
  </w:footnote>
  <w:footnote w:id="79">
    <w:p w14:paraId="23D1D182" w14:textId="3089FA28" w:rsidR="00323FC1" w:rsidRPr="00FD359A" w:rsidRDefault="00323FC1" w:rsidP="001D321F">
      <w:pPr>
        <w:pStyle w:val="FootnoteText"/>
        <w:jc w:val="both"/>
        <w:rPr>
          <w:rFonts w:ascii="Cambria" w:hAnsi="Cambria"/>
          <w:color w:val="000000" w:themeColor="text1"/>
          <w:sz w:val="16"/>
          <w:szCs w:val="16"/>
          <w:lang w:val="es-AR"/>
        </w:rPr>
      </w:pPr>
      <w:r w:rsidRPr="00FD359A">
        <w:rPr>
          <w:rStyle w:val="FootnoteReference"/>
          <w:rFonts w:ascii="Cambria" w:hAnsi="Cambria"/>
          <w:color w:val="000000" w:themeColor="text1"/>
          <w:sz w:val="16"/>
          <w:szCs w:val="16"/>
        </w:rPr>
        <w:footnoteRef/>
      </w:r>
      <w:r w:rsidRPr="00FD359A">
        <w:rPr>
          <w:rFonts w:ascii="Cambria" w:hAnsi="Cambria"/>
          <w:color w:val="000000" w:themeColor="text1"/>
          <w:sz w:val="16"/>
          <w:szCs w:val="16"/>
          <w:lang w:val="es-AR"/>
        </w:rPr>
        <w:t xml:space="preserve"> </w:t>
      </w:r>
      <w:r w:rsidRPr="00FD359A">
        <w:rPr>
          <w:rFonts w:ascii="Cambria" w:hAnsi="Cambria"/>
          <w:b/>
          <w:color w:val="000000" w:themeColor="text1"/>
          <w:sz w:val="16"/>
          <w:szCs w:val="16"/>
          <w:lang w:val="es-ES"/>
        </w:rPr>
        <w:t>ANEXO 11.</w:t>
      </w:r>
      <w:r w:rsidRPr="00FD359A">
        <w:rPr>
          <w:rFonts w:ascii="Cambria" w:hAnsi="Cambria"/>
          <w:color w:val="000000" w:themeColor="text1"/>
          <w:sz w:val="16"/>
          <w:szCs w:val="16"/>
          <w:lang w:val="es-ES"/>
        </w:rPr>
        <w:t xml:space="preserve"> Sentencia de la Corte Suprema de Justicia de fecha 27 de diciembre de 2007, considerando décimo noveno.  Anexo 1 de la comunicación de la parte peticionaria de fecha 26 de junio de 2008.</w:t>
      </w:r>
    </w:p>
  </w:footnote>
  <w:footnote w:id="80">
    <w:p w14:paraId="435F1B54" w14:textId="01A240CC" w:rsidR="00323FC1" w:rsidRPr="00FD359A" w:rsidRDefault="00323FC1" w:rsidP="001D321F">
      <w:pPr>
        <w:pStyle w:val="FootnoteText"/>
        <w:jc w:val="both"/>
        <w:rPr>
          <w:rFonts w:ascii="Cambria" w:hAnsi="Cambria"/>
          <w:color w:val="000000" w:themeColor="text1"/>
          <w:sz w:val="16"/>
          <w:szCs w:val="16"/>
          <w:lang w:val="es-AR"/>
        </w:rPr>
      </w:pPr>
      <w:r w:rsidRPr="00FD359A">
        <w:rPr>
          <w:rStyle w:val="FootnoteReference"/>
          <w:rFonts w:ascii="Cambria" w:hAnsi="Cambria"/>
          <w:color w:val="000000" w:themeColor="text1"/>
          <w:sz w:val="16"/>
          <w:szCs w:val="16"/>
        </w:rPr>
        <w:footnoteRef/>
      </w:r>
      <w:r w:rsidRPr="00FD359A">
        <w:rPr>
          <w:rFonts w:ascii="Cambria" w:hAnsi="Cambria"/>
          <w:color w:val="000000" w:themeColor="text1"/>
          <w:sz w:val="16"/>
          <w:szCs w:val="16"/>
          <w:lang w:val="es-AR"/>
        </w:rPr>
        <w:t xml:space="preserve"> </w:t>
      </w:r>
      <w:r w:rsidRPr="00FD359A">
        <w:rPr>
          <w:rFonts w:ascii="Cambria" w:hAnsi="Cambria"/>
          <w:b/>
          <w:color w:val="000000" w:themeColor="text1"/>
          <w:sz w:val="16"/>
          <w:szCs w:val="16"/>
          <w:lang w:val="es-ES"/>
        </w:rPr>
        <w:t>ANEXO 11.</w:t>
      </w:r>
      <w:r w:rsidRPr="00FD359A">
        <w:rPr>
          <w:rFonts w:ascii="Cambria" w:hAnsi="Cambria"/>
          <w:color w:val="000000" w:themeColor="text1"/>
          <w:sz w:val="16"/>
          <w:szCs w:val="16"/>
          <w:lang w:val="es-ES"/>
        </w:rPr>
        <w:t xml:space="preserve"> Sentencia de la Corte Suprema de Justicia de fecha 27 de diciembre de 2007, considerando vigésimo sexto. Anexo 1 de la comunicación de la parte peticionaria de fecha 26 de junio de 2008.</w:t>
      </w:r>
    </w:p>
  </w:footnote>
  <w:footnote w:id="81">
    <w:p w14:paraId="32A83AB6" w14:textId="34EE9400" w:rsidR="00323FC1" w:rsidRPr="00FD359A" w:rsidRDefault="00323FC1" w:rsidP="001D321F">
      <w:pPr>
        <w:pStyle w:val="FootnoteText"/>
        <w:jc w:val="both"/>
        <w:rPr>
          <w:rFonts w:ascii="Cambria" w:hAnsi="Cambria"/>
          <w:color w:val="000000" w:themeColor="text1"/>
          <w:sz w:val="16"/>
          <w:szCs w:val="16"/>
          <w:lang w:val="es-AR"/>
        </w:rPr>
      </w:pPr>
      <w:r w:rsidRPr="00FD359A">
        <w:rPr>
          <w:rStyle w:val="FootnoteReference"/>
          <w:rFonts w:ascii="Cambria" w:hAnsi="Cambria"/>
          <w:color w:val="000000" w:themeColor="text1"/>
          <w:sz w:val="16"/>
          <w:szCs w:val="16"/>
        </w:rPr>
        <w:footnoteRef/>
      </w:r>
      <w:r w:rsidRPr="00FD359A">
        <w:rPr>
          <w:rFonts w:ascii="Cambria" w:hAnsi="Cambria"/>
          <w:color w:val="000000" w:themeColor="text1"/>
          <w:sz w:val="16"/>
          <w:szCs w:val="16"/>
          <w:lang w:val="es-AR"/>
        </w:rPr>
        <w:t xml:space="preserve"> </w:t>
      </w:r>
      <w:r w:rsidRPr="00FD359A">
        <w:rPr>
          <w:rFonts w:ascii="Cambria" w:hAnsi="Cambria"/>
          <w:b/>
          <w:color w:val="000000" w:themeColor="text1"/>
          <w:sz w:val="16"/>
          <w:szCs w:val="16"/>
          <w:lang w:val="es-ES"/>
        </w:rPr>
        <w:t>ANEXO 11.</w:t>
      </w:r>
      <w:r w:rsidRPr="00FD359A">
        <w:rPr>
          <w:rFonts w:ascii="Cambria" w:hAnsi="Cambria"/>
          <w:color w:val="000000" w:themeColor="text1"/>
          <w:sz w:val="16"/>
          <w:szCs w:val="16"/>
          <w:lang w:val="es-ES"/>
        </w:rPr>
        <w:t xml:space="preserve"> Sentencia de la Corte Suprema de Justicia de fecha 27 de diciembre de 2007, considerando trigésimo segundo. Anexo 1 de la comunicación de la parte peticionaria de fecha 26 de junio de 2008.</w:t>
      </w:r>
    </w:p>
  </w:footnote>
  <w:footnote w:id="82">
    <w:p w14:paraId="7AE11FBF" w14:textId="58015A40" w:rsidR="00323FC1" w:rsidRPr="001D321F" w:rsidRDefault="00323FC1" w:rsidP="001D321F">
      <w:pPr>
        <w:pStyle w:val="FootnoteText"/>
        <w:jc w:val="both"/>
        <w:rPr>
          <w:rFonts w:ascii="Cambria" w:hAnsi="Cambria"/>
          <w:color w:val="000000" w:themeColor="text1"/>
          <w:sz w:val="16"/>
          <w:szCs w:val="16"/>
          <w:lang w:val="es-AR"/>
        </w:rPr>
      </w:pPr>
      <w:r w:rsidRPr="00FD359A">
        <w:rPr>
          <w:rStyle w:val="FootnoteReference"/>
          <w:rFonts w:ascii="Cambria" w:hAnsi="Cambria"/>
          <w:color w:val="000000" w:themeColor="text1"/>
          <w:sz w:val="16"/>
          <w:szCs w:val="16"/>
        </w:rPr>
        <w:footnoteRef/>
      </w:r>
      <w:r w:rsidRPr="00FD359A">
        <w:rPr>
          <w:rFonts w:ascii="Cambria" w:hAnsi="Cambria"/>
          <w:color w:val="000000" w:themeColor="text1"/>
          <w:sz w:val="16"/>
          <w:szCs w:val="16"/>
          <w:lang w:val="es-AR"/>
        </w:rPr>
        <w:t xml:space="preserve"> </w:t>
      </w:r>
      <w:r w:rsidRPr="00FD359A">
        <w:rPr>
          <w:rFonts w:ascii="Cambria" w:hAnsi="Cambria"/>
          <w:b/>
          <w:color w:val="000000" w:themeColor="text1"/>
          <w:sz w:val="16"/>
          <w:szCs w:val="16"/>
          <w:lang w:val="es-ES"/>
        </w:rPr>
        <w:t>ANEXO 11.</w:t>
      </w:r>
      <w:r w:rsidRPr="00FD359A">
        <w:rPr>
          <w:rFonts w:ascii="Cambria" w:hAnsi="Cambria"/>
          <w:color w:val="000000" w:themeColor="text1"/>
          <w:sz w:val="16"/>
          <w:szCs w:val="16"/>
          <w:lang w:val="es-ES"/>
        </w:rPr>
        <w:t xml:space="preserve"> Sentencia de la Corte Suprema de Justicia de fecha 27 de diciembre de 2007, considerando trigésimo primero. Anexo 1 de la comunicación de la parte peticionaria de fecha 26 de junio de 2008.</w:t>
      </w:r>
    </w:p>
  </w:footnote>
  <w:footnote w:id="83">
    <w:p w14:paraId="298BD51B" w14:textId="6C32F0B4" w:rsidR="00323FC1" w:rsidRPr="00FD359A" w:rsidRDefault="00323FC1" w:rsidP="001D321F">
      <w:pPr>
        <w:pStyle w:val="FootnoteText"/>
        <w:jc w:val="both"/>
        <w:rPr>
          <w:rFonts w:ascii="Cambria" w:hAnsi="Cambria"/>
          <w:color w:val="000000" w:themeColor="text1"/>
          <w:sz w:val="16"/>
          <w:szCs w:val="16"/>
          <w:lang w:val="es-ES"/>
        </w:rPr>
      </w:pPr>
      <w:r w:rsidRPr="00FD359A">
        <w:rPr>
          <w:rStyle w:val="FootnoteReference"/>
          <w:rFonts w:ascii="Cambria" w:hAnsi="Cambria"/>
          <w:color w:val="000000" w:themeColor="text1"/>
          <w:sz w:val="16"/>
          <w:szCs w:val="16"/>
        </w:rPr>
        <w:footnoteRef/>
      </w:r>
      <w:r w:rsidRPr="00FD359A">
        <w:rPr>
          <w:rFonts w:ascii="Cambria" w:hAnsi="Cambria"/>
          <w:color w:val="000000" w:themeColor="text1"/>
          <w:sz w:val="16"/>
          <w:szCs w:val="16"/>
          <w:lang w:val="es-ES"/>
        </w:rPr>
        <w:t xml:space="preserve"> </w:t>
      </w:r>
      <w:r w:rsidRPr="00FD359A">
        <w:rPr>
          <w:rFonts w:ascii="Cambria" w:hAnsi="Cambria"/>
          <w:b/>
          <w:color w:val="000000" w:themeColor="text1"/>
          <w:sz w:val="16"/>
          <w:szCs w:val="16"/>
          <w:lang w:val="es-AR"/>
        </w:rPr>
        <w:t>ANEXO 12.</w:t>
      </w:r>
      <w:r w:rsidRPr="00FD359A">
        <w:rPr>
          <w:rFonts w:ascii="Cambria" w:hAnsi="Cambria"/>
          <w:color w:val="000000" w:themeColor="text1"/>
          <w:sz w:val="16"/>
          <w:szCs w:val="16"/>
          <w:lang w:val="es-AR"/>
        </w:rPr>
        <w:t xml:space="preserve"> Sentencia </w:t>
      </w:r>
      <w:r w:rsidRPr="00FD359A">
        <w:rPr>
          <w:rFonts w:ascii="Cambria" w:hAnsi="Cambria"/>
          <w:color w:val="000000" w:themeColor="text1"/>
          <w:sz w:val="16"/>
          <w:szCs w:val="16"/>
          <w:lang w:val="es-ES_tradnl"/>
        </w:rPr>
        <w:t>Nro. 13.713 de fecha 30 de octubre de 2006 dictada del Ministro en visita extraordinaria Sr. Carlos Aldana, autos Rol 13.713, Episodio Quillelco. Anexo 1 a la comunicación de la parte peticionaria de fecha 10 de junio de 2009.</w:t>
      </w:r>
    </w:p>
  </w:footnote>
  <w:footnote w:id="84">
    <w:p w14:paraId="747B23E1" w14:textId="420A875B" w:rsidR="00323FC1" w:rsidRPr="00FD359A" w:rsidRDefault="00323FC1" w:rsidP="001D321F">
      <w:pPr>
        <w:pStyle w:val="FootnoteText"/>
        <w:jc w:val="both"/>
        <w:rPr>
          <w:rFonts w:ascii="Cambria" w:hAnsi="Cambria"/>
          <w:color w:val="000000" w:themeColor="text1"/>
          <w:sz w:val="16"/>
          <w:szCs w:val="16"/>
          <w:lang w:val="es-ES"/>
        </w:rPr>
      </w:pPr>
      <w:r w:rsidRPr="00FD359A">
        <w:rPr>
          <w:rStyle w:val="FootnoteReference"/>
          <w:rFonts w:ascii="Cambria" w:hAnsi="Cambria"/>
          <w:color w:val="000000" w:themeColor="text1"/>
          <w:sz w:val="16"/>
          <w:szCs w:val="16"/>
        </w:rPr>
        <w:footnoteRef/>
      </w:r>
      <w:r w:rsidRPr="00FD359A">
        <w:rPr>
          <w:rFonts w:ascii="Cambria" w:hAnsi="Cambria"/>
          <w:color w:val="000000" w:themeColor="text1"/>
          <w:sz w:val="16"/>
          <w:szCs w:val="16"/>
          <w:lang w:val="es-ES"/>
        </w:rPr>
        <w:t xml:space="preserve"> </w:t>
      </w:r>
      <w:r w:rsidRPr="00FD359A">
        <w:rPr>
          <w:rFonts w:ascii="Cambria" w:hAnsi="Cambria"/>
          <w:b/>
          <w:color w:val="000000" w:themeColor="text1"/>
          <w:sz w:val="16"/>
          <w:szCs w:val="16"/>
          <w:lang w:val="es-AR"/>
        </w:rPr>
        <w:t>ANEXO 12.</w:t>
      </w:r>
      <w:r w:rsidRPr="00FD359A">
        <w:rPr>
          <w:rFonts w:ascii="Cambria" w:hAnsi="Cambria"/>
          <w:color w:val="000000" w:themeColor="text1"/>
          <w:sz w:val="16"/>
          <w:szCs w:val="16"/>
          <w:lang w:val="es-AR"/>
        </w:rPr>
        <w:t xml:space="preserve"> Sentencia </w:t>
      </w:r>
      <w:r w:rsidRPr="00FD359A">
        <w:rPr>
          <w:rFonts w:ascii="Cambria" w:hAnsi="Cambria"/>
          <w:color w:val="000000" w:themeColor="text1"/>
          <w:sz w:val="16"/>
          <w:szCs w:val="16"/>
          <w:lang w:val="es-ES_tradnl"/>
        </w:rPr>
        <w:t>Nro. 13.713 de fecha 30 de octubre de 2006 dictada por el juez Carlos Aldana Fuentes. Anexo 6 a la comunicación de la parte peticionaria de fecha 16 de enero de 2009.</w:t>
      </w:r>
    </w:p>
  </w:footnote>
  <w:footnote w:id="85">
    <w:p w14:paraId="331C5BFC" w14:textId="569E7677" w:rsidR="00323FC1" w:rsidRPr="00FD359A" w:rsidRDefault="00323FC1" w:rsidP="001D321F">
      <w:pPr>
        <w:pStyle w:val="FootnoteText"/>
        <w:jc w:val="both"/>
        <w:rPr>
          <w:rFonts w:ascii="Cambria" w:hAnsi="Cambria"/>
          <w:color w:val="000000" w:themeColor="text1"/>
          <w:sz w:val="16"/>
          <w:szCs w:val="16"/>
          <w:lang w:val="es-ES"/>
        </w:rPr>
      </w:pPr>
      <w:r w:rsidRPr="00FD359A">
        <w:rPr>
          <w:rStyle w:val="FootnoteReference"/>
          <w:rFonts w:ascii="Cambria" w:hAnsi="Cambria"/>
          <w:color w:val="000000" w:themeColor="text1"/>
          <w:sz w:val="16"/>
          <w:szCs w:val="16"/>
        </w:rPr>
        <w:footnoteRef/>
      </w:r>
      <w:r w:rsidRPr="00FD359A">
        <w:rPr>
          <w:rFonts w:ascii="Cambria" w:hAnsi="Cambria"/>
          <w:color w:val="000000" w:themeColor="text1"/>
          <w:sz w:val="16"/>
          <w:szCs w:val="16"/>
          <w:lang w:val="es-ES"/>
        </w:rPr>
        <w:t xml:space="preserve"> </w:t>
      </w:r>
      <w:r w:rsidRPr="00FD359A">
        <w:rPr>
          <w:rFonts w:ascii="Cambria" w:hAnsi="Cambria"/>
          <w:b/>
          <w:color w:val="000000" w:themeColor="text1"/>
          <w:sz w:val="16"/>
          <w:szCs w:val="16"/>
          <w:lang w:val="es-AR"/>
        </w:rPr>
        <w:t>ANEXO 12.</w:t>
      </w:r>
      <w:r w:rsidRPr="00FD359A">
        <w:rPr>
          <w:rFonts w:ascii="Cambria" w:hAnsi="Cambria"/>
          <w:color w:val="000000" w:themeColor="text1"/>
          <w:sz w:val="16"/>
          <w:szCs w:val="16"/>
          <w:lang w:val="es-AR"/>
        </w:rPr>
        <w:t xml:space="preserve"> Sentencia </w:t>
      </w:r>
      <w:r w:rsidRPr="00FD359A">
        <w:rPr>
          <w:rFonts w:ascii="Cambria" w:hAnsi="Cambria"/>
          <w:color w:val="000000" w:themeColor="text1"/>
          <w:sz w:val="16"/>
          <w:szCs w:val="16"/>
          <w:lang w:val="es-ES_tradnl"/>
        </w:rPr>
        <w:t>Nro. 13.713 de fecha 30 de octubre de 2006 dictada del Ministro en visita extraordinaria Sr. Carlos Aldana, autos Rol 13.713, Episodio Quillelco, punto ee). Anexo 1 a la comunicación de la parte peticionaria de fecha 10 de junio de 2009.</w:t>
      </w:r>
    </w:p>
  </w:footnote>
  <w:footnote w:id="86">
    <w:p w14:paraId="6201A617" w14:textId="652D57EA" w:rsidR="00323FC1" w:rsidRPr="00FD359A" w:rsidRDefault="00323FC1" w:rsidP="001D321F">
      <w:pPr>
        <w:pStyle w:val="FootnoteText"/>
        <w:jc w:val="both"/>
        <w:rPr>
          <w:rFonts w:ascii="Cambria" w:hAnsi="Cambria"/>
          <w:color w:val="000000" w:themeColor="text1"/>
          <w:sz w:val="16"/>
          <w:szCs w:val="16"/>
          <w:lang w:val="es-ES"/>
        </w:rPr>
      </w:pPr>
      <w:r w:rsidRPr="00FD359A">
        <w:rPr>
          <w:rStyle w:val="FootnoteReference"/>
          <w:rFonts w:ascii="Cambria" w:hAnsi="Cambria"/>
          <w:color w:val="000000" w:themeColor="text1"/>
          <w:sz w:val="16"/>
          <w:szCs w:val="16"/>
        </w:rPr>
        <w:footnoteRef/>
      </w:r>
      <w:r w:rsidRPr="00FD359A">
        <w:rPr>
          <w:rFonts w:ascii="Cambria" w:hAnsi="Cambria"/>
          <w:color w:val="000000" w:themeColor="text1"/>
          <w:sz w:val="16"/>
          <w:szCs w:val="16"/>
          <w:lang w:val="es-ES"/>
        </w:rPr>
        <w:t xml:space="preserve"> </w:t>
      </w:r>
      <w:r w:rsidRPr="00FD359A">
        <w:rPr>
          <w:rFonts w:ascii="Cambria" w:hAnsi="Cambria"/>
          <w:b/>
          <w:color w:val="000000" w:themeColor="text1"/>
          <w:sz w:val="16"/>
          <w:szCs w:val="16"/>
          <w:lang w:val="es-AR"/>
        </w:rPr>
        <w:t>ANEXO 12.</w:t>
      </w:r>
      <w:r w:rsidRPr="00FD359A">
        <w:rPr>
          <w:rFonts w:ascii="Cambria" w:hAnsi="Cambria"/>
          <w:color w:val="000000" w:themeColor="text1"/>
          <w:sz w:val="16"/>
          <w:szCs w:val="16"/>
          <w:lang w:val="es-AR"/>
        </w:rPr>
        <w:t xml:space="preserve"> </w:t>
      </w:r>
      <w:r w:rsidRPr="00FD359A">
        <w:rPr>
          <w:rFonts w:ascii="Cambria" w:hAnsi="Cambria"/>
          <w:color w:val="000000" w:themeColor="text1"/>
          <w:sz w:val="16"/>
          <w:szCs w:val="16"/>
          <w:lang w:val="es-ES"/>
        </w:rPr>
        <w:t>Sentencia Nro. 13.713 de fecha 30 de octubre de 2006 dictada del Ministro en visita extraordinaria Sr. Carlos Aldana, autos Rol 13.713, Episodio Quillelco. Anexo 1 a la comunicación de la parte peticionaria de fecha 10 de junio de 2009.</w:t>
      </w:r>
    </w:p>
  </w:footnote>
  <w:footnote w:id="87">
    <w:p w14:paraId="744DAE7F" w14:textId="2F09B60A" w:rsidR="00323FC1" w:rsidRPr="00FD359A" w:rsidRDefault="00323FC1" w:rsidP="001D321F">
      <w:pPr>
        <w:pStyle w:val="FootnoteText"/>
        <w:jc w:val="both"/>
        <w:rPr>
          <w:rFonts w:ascii="Cambria" w:hAnsi="Cambria"/>
          <w:color w:val="000000" w:themeColor="text1"/>
          <w:sz w:val="16"/>
          <w:szCs w:val="16"/>
          <w:lang w:val="es-ES"/>
        </w:rPr>
      </w:pPr>
      <w:r w:rsidRPr="00FD359A">
        <w:rPr>
          <w:rStyle w:val="FootnoteReference"/>
          <w:rFonts w:ascii="Cambria" w:hAnsi="Cambria"/>
          <w:color w:val="000000" w:themeColor="text1"/>
          <w:sz w:val="16"/>
          <w:szCs w:val="16"/>
          <w:lang w:val="es-ES"/>
        </w:rPr>
        <w:footnoteRef/>
      </w:r>
      <w:r w:rsidRPr="00FD359A">
        <w:rPr>
          <w:rFonts w:ascii="Cambria" w:hAnsi="Cambria"/>
          <w:color w:val="000000" w:themeColor="text1"/>
          <w:sz w:val="16"/>
          <w:szCs w:val="16"/>
          <w:lang w:val="es-ES"/>
        </w:rPr>
        <w:t xml:space="preserve"> </w:t>
      </w:r>
      <w:r w:rsidRPr="00FD359A">
        <w:rPr>
          <w:rFonts w:ascii="Cambria" w:hAnsi="Cambria"/>
          <w:b/>
          <w:color w:val="000000" w:themeColor="text1"/>
          <w:sz w:val="16"/>
          <w:szCs w:val="16"/>
          <w:lang w:val="es-ES"/>
        </w:rPr>
        <w:t>ANEXO 13.</w:t>
      </w:r>
      <w:r w:rsidRPr="00FD359A">
        <w:rPr>
          <w:rFonts w:ascii="Cambria" w:hAnsi="Cambria"/>
          <w:color w:val="000000" w:themeColor="text1"/>
          <w:sz w:val="16"/>
          <w:szCs w:val="16"/>
          <w:lang w:val="es-ES"/>
        </w:rPr>
        <w:t xml:space="preserve"> Resolución Nro. 12.789 de fecha 10 de abril de 2008 dictada por la Corte de Apelaciones de Concepción. Anexo 2 a la comunicación de la parte peticionaria de fecha 10 de junio de 2009.</w:t>
      </w:r>
    </w:p>
  </w:footnote>
  <w:footnote w:id="88">
    <w:p w14:paraId="632C3EC9" w14:textId="0EF5F01E" w:rsidR="00323FC1" w:rsidRPr="00FD359A" w:rsidRDefault="00323FC1" w:rsidP="001D321F">
      <w:pPr>
        <w:pStyle w:val="FootnoteText"/>
        <w:jc w:val="both"/>
        <w:rPr>
          <w:rFonts w:ascii="Cambria" w:hAnsi="Cambria"/>
          <w:color w:val="000000" w:themeColor="text1"/>
          <w:sz w:val="16"/>
          <w:szCs w:val="16"/>
          <w:lang w:val="es-ES"/>
        </w:rPr>
      </w:pPr>
      <w:r w:rsidRPr="00FD359A">
        <w:rPr>
          <w:rStyle w:val="FootnoteReference"/>
          <w:rFonts w:ascii="Cambria" w:hAnsi="Cambria"/>
          <w:color w:val="000000" w:themeColor="text1"/>
          <w:sz w:val="16"/>
          <w:szCs w:val="16"/>
        </w:rPr>
        <w:footnoteRef/>
      </w:r>
      <w:r w:rsidRPr="00FD359A">
        <w:rPr>
          <w:rFonts w:ascii="Cambria" w:hAnsi="Cambria"/>
          <w:color w:val="000000" w:themeColor="text1"/>
          <w:sz w:val="16"/>
          <w:szCs w:val="16"/>
          <w:lang w:val="es-ES"/>
        </w:rPr>
        <w:t xml:space="preserve"> </w:t>
      </w:r>
      <w:r w:rsidRPr="00FD359A">
        <w:rPr>
          <w:rFonts w:ascii="Cambria" w:hAnsi="Cambria"/>
          <w:b/>
          <w:color w:val="000000" w:themeColor="text1"/>
          <w:sz w:val="16"/>
          <w:szCs w:val="16"/>
          <w:lang w:val="es-ES"/>
        </w:rPr>
        <w:t>ANEXO 14.</w:t>
      </w:r>
      <w:r w:rsidRPr="00FD359A">
        <w:rPr>
          <w:rFonts w:ascii="Cambria" w:hAnsi="Cambria"/>
          <w:color w:val="000000" w:themeColor="text1"/>
          <w:sz w:val="16"/>
          <w:szCs w:val="16"/>
          <w:lang w:val="es-ES"/>
        </w:rPr>
        <w:t xml:space="preserve"> Sentencia de la Segunda Sala de la Corte Suprema de Justicia de fecha 11 de diciembre de 2008. Anexo 3 </w:t>
      </w:r>
      <w:r w:rsidRPr="00FD359A">
        <w:rPr>
          <w:rFonts w:ascii="Cambria" w:hAnsi="Cambria"/>
          <w:color w:val="000000" w:themeColor="text1"/>
          <w:sz w:val="16"/>
          <w:szCs w:val="16"/>
          <w:lang w:val="es-ES_tradnl"/>
        </w:rPr>
        <w:t>a la comunicación de la parte peticionaria de fecha 10 de junio de 2009.</w:t>
      </w:r>
    </w:p>
  </w:footnote>
  <w:footnote w:id="89">
    <w:p w14:paraId="3371A094" w14:textId="1E42DA9C" w:rsidR="00323FC1" w:rsidRPr="001D321F" w:rsidRDefault="00323FC1" w:rsidP="001D321F">
      <w:pPr>
        <w:pStyle w:val="FootnoteText"/>
        <w:jc w:val="both"/>
        <w:rPr>
          <w:rFonts w:ascii="Cambria" w:hAnsi="Cambria"/>
          <w:color w:val="000000" w:themeColor="text1"/>
          <w:sz w:val="16"/>
          <w:szCs w:val="16"/>
          <w:lang w:val="es-ES"/>
        </w:rPr>
      </w:pPr>
      <w:r w:rsidRPr="00FD359A">
        <w:rPr>
          <w:rStyle w:val="FootnoteReference"/>
          <w:rFonts w:ascii="Cambria" w:hAnsi="Cambria"/>
          <w:color w:val="000000" w:themeColor="text1"/>
          <w:sz w:val="16"/>
          <w:szCs w:val="16"/>
        </w:rPr>
        <w:footnoteRef/>
      </w:r>
      <w:r w:rsidRPr="00FD359A">
        <w:rPr>
          <w:rFonts w:ascii="Cambria" w:hAnsi="Cambria"/>
          <w:color w:val="000000" w:themeColor="text1"/>
          <w:sz w:val="16"/>
          <w:szCs w:val="16"/>
          <w:lang w:val="es-ES"/>
        </w:rPr>
        <w:t xml:space="preserve"> </w:t>
      </w:r>
      <w:r w:rsidRPr="00FD359A">
        <w:rPr>
          <w:rFonts w:ascii="Cambria" w:hAnsi="Cambria"/>
          <w:b/>
          <w:color w:val="000000" w:themeColor="text1"/>
          <w:sz w:val="16"/>
          <w:szCs w:val="16"/>
          <w:lang w:val="es-ES"/>
        </w:rPr>
        <w:t>ANEXO 14.</w:t>
      </w:r>
      <w:r w:rsidRPr="00FD359A">
        <w:rPr>
          <w:rFonts w:ascii="Cambria" w:hAnsi="Cambria"/>
          <w:color w:val="000000" w:themeColor="text1"/>
          <w:sz w:val="16"/>
          <w:szCs w:val="16"/>
          <w:lang w:val="es-ES"/>
        </w:rPr>
        <w:t xml:space="preserve"> Sentencia de la Segunda Sala de la Corte Suprema de Justicia de fecha 11 de diciembre de 2008. Anexo 3 </w:t>
      </w:r>
      <w:r w:rsidRPr="00FD359A">
        <w:rPr>
          <w:rFonts w:ascii="Cambria" w:hAnsi="Cambria"/>
          <w:color w:val="000000" w:themeColor="text1"/>
          <w:sz w:val="16"/>
          <w:szCs w:val="16"/>
          <w:lang w:val="es-ES_tradnl"/>
        </w:rPr>
        <w:t>a la comunicación de la parte peticionaria de fecha 10 de junio de 2009.</w:t>
      </w:r>
    </w:p>
  </w:footnote>
  <w:footnote w:id="90">
    <w:p w14:paraId="292A1566" w14:textId="12CACD85" w:rsidR="00323FC1" w:rsidRPr="00FD359A" w:rsidRDefault="00323FC1" w:rsidP="001D321F">
      <w:pPr>
        <w:pStyle w:val="FootnoteText"/>
        <w:jc w:val="both"/>
        <w:rPr>
          <w:rFonts w:ascii="Cambria" w:hAnsi="Cambria"/>
          <w:color w:val="000000" w:themeColor="text1"/>
          <w:sz w:val="16"/>
          <w:szCs w:val="16"/>
          <w:lang w:val="es-ES"/>
        </w:rPr>
      </w:pPr>
      <w:r w:rsidRPr="00FD359A">
        <w:rPr>
          <w:rStyle w:val="FootnoteReference"/>
          <w:rFonts w:ascii="Cambria" w:hAnsi="Cambria"/>
          <w:color w:val="000000" w:themeColor="text1"/>
          <w:sz w:val="16"/>
          <w:szCs w:val="16"/>
        </w:rPr>
        <w:footnoteRef/>
      </w:r>
      <w:r w:rsidRPr="00FD359A">
        <w:rPr>
          <w:rFonts w:ascii="Cambria" w:hAnsi="Cambria"/>
          <w:color w:val="000000" w:themeColor="text1"/>
          <w:sz w:val="16"/>
          <w:szCs w:val="16"/>
          <w:lang w:val="es-ES"/>
        </w:rPr>
        <w:t xml:space="preserve"> </w:t>
      </w:r>
      <w:r w:rsidRPr="00FD359A">
        <w:rPr>
          <w:rFonts w:ascii="Cambria" w:hAnsi="Cambria"/>
          <w:b/>
          <w:color w:val="000000" w:themeColor="text1"/>
          <w:sz w:val="16"/>
          <w:szCs w:val="16"/>
          <w:lang w:val="es-ES"/>
        </w:rPr>
        <w:t>ANEXO 14.</w:t>
      </w:r>
      <w:r w:rsidRPr="00FD359A">
        <w:rPr>
          <w:rFonts w:ascii="Cambria" w:hAnsi="Cambria"/>
          <w:color w:val="000000" w:themeColor="text1"/>
          <w:sz w:val="16"/>
          <w:szCs w:val="16"/>
          <w:lang w:val="es-ES"/>
        </w:rPr>
        <w:t xml:space="preserve"> Sentencia de la Segunda Sala de la Corte Suprema de Justicia de fecha 11 de diciembre de 2008. Anexo 3 </w:t>
      </w:r>
      <w:r w:rsidRPr="00FD359A">
        <w:rPr>
          <w:rFonts w:ascii="Cambria" w:hAnsi="Cambria"/>
          <w:color w:val="000000" w:themeColor="text1"/>
          <w:sz w:val="16"/>
          <w:szCs w:val="16"/>
          <w:lang w:val="es-ES_tradnl"/>
        </w:rPr>
        <w:t>a la comunicación de la parte peticionaria de fecha 10 de junio de 2009.</w:t>
      </w:r>
    </w:p>
  </w:footnote>
  <w:footnote w:id="91">
    <w:p w14:paraId="4E83B668" w14:textId="6A9C6A48" w:rsidR="00323FC1" w:rsidRPr="00FD359A" w:rsidRDefault="00323FC1" w:rsidP="001D321F">
      <w:pPr>
        <w:pStyle w:val="FootnoteText"/>
        <w:jc w:val="both"/>
        <w:rPr>
          <w:rFonts w:ascii="Cambria" w:hAnsi="Cambria"/>
          <w:color w:val="000000" w:themeColor="text1"/>
          <w:sz w:val="16"/>
          <w:szCs w:val="16"/>
          <w:lang w:val="es-AR"/>
        </w:rPr>
      </w:pPr>
      <w:r w:rsidRPr="00FD359A">
        <w:rPr>
          <w:rStyle w:val="FootnoteReference"/>
          <w:rFonts w:ascii="Cambria" w:hAnsi="Cambria"/>
          <w:color w:val="000000" w:themeColor="text1"/>
          <w:sz w:val="16"/>
          <w:szCs w:val="16"/>
        </w:rPr>
        <w:footnoteRef/>
      </w:r>
      <w:r w:rsidRPr="00FD359A">
        <w:rPr>
          <w:rFonts w:ascii="Cambria" w:hAnsi="Cambria"/>
          <w:color w:val="000000" w:themeColor="text1"/>
          <w:sz w:val="16"/>
          <w:szCs w:val="16"/>
          <w:lang w:val="es-AR"/>
        </w:rPr>
        <w:t xml:space="preserve"> </w:t>
      </w:r>
      <w:r w:rsidRPr="00FD359A">
        <w:rPr>
          <w:rFonts w:ascii="Cambria" w:hAnsi="Cambria"/>
          <w:b/>
          <w:color w:val="000000" w:themeColor="text1"/>
          <w:sz w:val="16"/>
          <w:szCs w:val="16"/>
          <w:lang w:val="es-AR"/>
        </w:rPr>
        <w:t>ANEXO 15.</w:t>
      </w:r>
      <w:r w:rsidRPr="00FD359A">
        <w:rPr>
          <w:rFonts w:ascii="Cambria" w:hAnsi="Cambria"/>
          <w:color w:val="000000" w:themeColor="text1"/>
          <w:sz w:val="16"/>
          <w:szCs w:val="16"/>
          <w:lang w:val="es-AR"/>
        </w:rPr>
        <w:t xml:space="preserve"> Sentencia </w:t>
      </w:r>
      <w:r w:rsidRPr="00FD359A">
        <w:rPr>
          <w:rFonts w:ascii="Cambria" w:hAnsi="Cambria"/>
          <w:color w:val="000000" w:themeColor="text1"/>
          <w:sz w:val="16"/>
          <w:szCs w:val="16"/>
          <w:lang w:val="es-ES_tradnl"/>
        </w:rPr>
        <w:t>Nro. 2.182 de fecha 4 de diciembre de 2006 dictada por el juez Alejandro Solís Muñoz. Anexo 1 a la comunicación de la parte peticionaria recibida por la Comisión el 30 de junio de 2009.</w:t>
      </w:r>
    </w:p>
  </w:footnote>
  <w:footnote w:id="92">
    <w:p w14:paraId="2DF99125" w14:textId="22DF7F74" w:rsidR="00323FC1" w:rsidRPr="00FD359A" w:rsidRDefault="00323FC1" w:rsidP="001D321F">
      <w:pPr>
        <w:pStyle w:val="FootnoteText"/>
        <w:jc w:val="both"/>
        <w:rPr>
          <w:rFonts w:ascii="Cambria" w:hAnsi="Cambria"/>
          <w:color w:val="000000" w:themeColor="text1"/>
          <w:sz w:val="16"/>
          <w:szCs w:val="16"/>
          <w:lang w:val="es-AR"/>
        </w:rPr>
      </w:pPr>
      <w:r w:rsidRPr="00FD359A">
        <w:rPr>
          <w:rStyle w:val="FootnoteReference"/>
          <w:rFonts w:ascii="Cambria" w:hAnsi="Cambria"/>
          <w:color w:val="000000" w:themeColor="text1"/>
          <w:sz w:val="16"/>
          <w:szCs w:val="16"/>
        </w:rPr>
        <w:footnoteRef/>
      </w:r>
      <w:r w:rsidRPr="00FD359A">
        <w:rPr>
          <w:rFonts w:ascii="Cambria" w:hAnsi="Cambria"/>
          <w:color w:val="000000" w:themeColor="text1"/>
          <w:sz w:val="16"/>
          <w:szCs w:val="16"/>
          <w:lang w:val="es-AR"/>
        </w:rPr>
        <w:t xml:space="preserve"> </w:t>
      </w:r>
      <w:r w:rsidRPr="00FD359A">
        <w:rPr>
          <w:rFonts w:ascii="Cambria" w:hAnsi="Cambria"/>
          <w:b/>
          <w:color w:val="000000" w:themeColor="text1"/>
          <w:sz w:val="16"/>
          <w:szCs w:val="16"/>
          <w:lang w:val="es-AR"/>
        </w:rPr>
        <w:t>ANEXO 15.</w:t>
      </w:r>
      <w:r w:rsidRPr="00FD359A">
        <w:rPr>
          <w:rFonts w:ascii="Cambria" w:hAnsi="Cambria"/>
          <w:color w:val="000000" w:themeColor="text1"/>
          <w:sz w:val="16"/>
          <w:szCs w:val="16"/>
          <w:lang w:val="es-AR"/>
        </w:rPr>
        <w:t xml:space="preserve"> Sentencia </w:t>
      </w:r>
      <w:r w:rsidRPr="00FD359A">
        <w:rPr>
          <w:rFonts w:ascii="Cambria" w:hAnsi="Cambria"/>
          <w:color w:val="000000" w:themeColor="text1"/>
          <w:sz w:val="16"/>
          <w:szCs w:val="16"/>
          <w:lang w:val="es-ES_tradnl"/>
        </w:rPr>
        <w:t>Nro. 2.182 de fecha 4 de diciembre de 2006 dictada por el juez Alejandro Solís Muñoz. Anexo 1 a la comunicación de la parte peticionaria recibida por la Comisión el 30 de junio de 2009.</w:t>
      </w:r>
    </w:p>
  </w:footnote>
  <w:footnote w:id="93">
    <w:p w14:paraId="5A41F85B" w14:textId="6B1B364E" w:rsidR="00323FC1" w:rsidRPr="00FD359A" w:rsidRDefault="00323FC1" w:rsidP="001D321F">
      <w:pPr>
        <w:pStyle w:val="FootnoteText"/>
        <w:jc w:val="both"/>
        <w:rPr>
          <w:rFonts w:ascii="Cambria" w:hAnsi="Cambria"/>
          <w:color w:val="000000" w:themeColor="text1"/>
          <w:sz w:val="16"/>
          <w:szCs w:val="16"/>
          <w:lang w:val="es-AR"/>
        </w:rPr>
      </w:pPr>
      <w:r w:rsidRPr="00FD359A">
        <w:rPr>
          <w:rStyle w:val="FootnoteReference"/>
          <w:rFonts w:ascii="Cambria" w:hAnsi="Cambria"/>
          <w:color w:val="000000" w:themeColor="text1"/>
          <w:sz w:val="16"/>
          <w:szCs w:val="16"/>
        </w:rPr>
        <w:footnoteRef/>
      </w:r>
      <w:r w:rsidRPr="00FD359A">
        <w:rPr>
          <w:rFonts w:ascii="Cambria" w:hAnsi="Cambria"/>
          <w:color w:val="000000" w:themeColor="text1"/>
          <w:sz w:val="16"/>
          <w:szCs w:val="16"/>
          <w:lang w:val="es-AR"/>
        </w:rPr>
        <w:t xml:space="preserve"> </w:t>
      </w:r>
      <w:r w:rsidRPr="00FD359A">
        <w:rPr>
          <w:rFonts w:ascii="Cambria" w:hAnsi="Cambria"/>
          <w:b/>
          <w:color w:val="000000" w:themeColor="text1"/>
          <w:sz w:val="16"/>
          <w:szCs w:val="16"/>
          <w:lang w:val="es-AR"/>
        </w:rPr>
        <w:t>ANEXO 15.</w:t>
      </w:r>
      <w:r w:rsidRPr="00FD359A">
        <w:rPr>
          <w:rFonts w:ascii="Cambria" w:hAnsi="Cambria"/>
          <w:color w:val="000000" w:themeColor="text1"/>
          <w:sz w:val="16"/>
          <w:szCs w:val="16"/>
          <w:lang w:val="es-AR"/>
        </w:rPr>
        <w:t xml:space="preserve"> Sentencia </w:t>
      </w:r>
      <w:r w:rsidRPr="00FD359A">
        <w:rPr>
          <w:rFonts w:ascii="Cambria" w:hAnsi="Cambria"/>
          <w:color w:val="000000" w:themeColor="text1"/>
          <w:sz w:val="16"/>
          <w:szCs w:val="16"/>
          <w:lang w:val="es-ES_tradnl"/>
        </w:rPr>
        <w:t>Nro. 2.182 de fecha 4 de diciembre de 2006 dictada por el juez Alejandro Solís Muñoz. Anexo 1 a la comunicación de la parte peticionaria recibida por la Comisión el 30 de junio de 2009.</w:t>
      </w:r>
    </w:p>
  </w:footnote>
  <w:footnote w:id="94">
    <w:p w14:paraId="2FE19293" w14:textId="66368325" w:rsidR="00323FC1" w:rsidRPr="00FD359A" w:rsidRDefault="00323FC1" w:rsidP="001D321F">
      <w:pPr>
        <w:pStyle w:val="FootnoteText"/>
        <w:jc w:val="both"/>
        <w:rPr>
          <w:rFonts w:ascii="Cambria" w:hAnsi="Cambria"/>
          <w:color w:val="000000" w:themeColor="text1"/>
          <w:sz w:val="16"/>
          <w:szCs w:val="16"/>
          <w:lang w:val="es-ES"/>
        </w:rPr>
      </w:pPr>
      <w:r w:rsidRPr="00FD359A">
        <w:rPr>
          <w:rStyle w:val="FootnoteReference"/>
          <w:rFonts w:ascii="Cambria" w:hAnsi="Cambria"/>
          <w:color w:val="000000" w:themeColor="text1"/>
          <w:sz w:val="16"/>
          <w:szCs w:val="16"/>
        </w:rPr>
        <w:footnoteRef/>
      </w:r>
      <w:r w:rsidRPr="00FD359A">
        <w:rPr>
          <w:rFonts w:ascii="Cambria" w:hAnsi="Cambria"/>
          <w:color w:val="000000" w:themeColor="text1"/>
          <w:sz w:val="16"/>
          <w:szCs w:val="16"/>
          <w:lang w:val="es-ES"/>
        </w:rPr>
        <w:t xml:space="preserve"> </w:t>
      </w:r>
      <w:r w:rsidRPr="00FD359A">
        <w:rPr>
          <w:rFonts w:ascii="Cambria" w:hAnsi="Cambria"/>
          <w:b/>
          <w:color w:val="000000" w:themeColor="text1"/>
          <w:sz w:val="16"/>
          <w:szCs w:val="16"/>
          <w:lang w:val="es-AR"/>
        </w:rPr>
        <w:t>ANEXO 15.</w:t>
      </w:r>
      <w:r w:rsidRPr="00FD359A">
        <w:rPr>
          <w:rFonts w:ascii="Cambria" w:hAnsi="Cambria"/>
          <w:color w:val="000000" w:themeColor="text1"/>
          <w:sz w:val="16"/>
          <w:szCs w:val="16"/>
          <w:lang w:val="es-AR"/>
        </w:rPr>
        <w:t xml:space="preserve"> Sentencia </w:t>
      </w:r>
      <w:r w:rsidRPr="00FD359A">
        <w:rPr>
          <w:rFonts w:ascii="Cambria" w:hAnsi="Cambria"/>
          <w:color w:val="000000" w:themeColor="text1"/>
          <w:sz w:val="16"/>
          <w:szCs w:val="16"/>
          <w:lang w:val="es-ES_tradnl"/>
        </w:rPr>
        <w:t>Nro. 2.182 de fecha 4 de diciembre de 2006 dictada por el juez Alejandro Solís Muñoz. Anexo 1 a la comunicación de la parte peticionaria recibida por la Comisión el 30 de junio de 2009.</w:t>
      </w:r>
    </w:p>
  </w:footnote>
  <w:footnote w:id="95">
    <w:p w14:paraId="7BC0F13B" w14:textId="40F26AEA" w:rsidR="00323FC1" w:rsidRPr="001D321F" w:rsidRDefault="00323FC1" w:rsidP="001D321F">
      <w:pPr>
        <w:pStyle w:val="FootnoteText"/>
        <w:jc w:val="both"/>
        <w:rPr>
          <w:rFonts w:ascii="Cambria" w:hAnsi="Cambria"/>
          <w:color w:val="000000" w:themeColor="text1"/>
          <w:sz w:val="16"/>
          <w:szCs w:val="16"/>
          <w:lang w:val="es-AR"/>
        </w:rPr>
      </w:pPr>
      <w:r w:rsidRPr="00FD359A">
        <w:rPr>
          <w:rStyle w:val="FootnoteReference"/>
          <w:rFonts w:ascii="Cambria" w:hAnsi="Cambria"/>
          <w:color w:val="000000" w:themeColor="text1"/>
          <w:sz w:val="16"/>
          <w:szCs w:val="16"/>
        </w:rPr>
        <w:footnoteRef/>
      </w:r>
      <w:r w:rsidRPr="00FD359A">
        <w:rPr>
          <w:rFonts w:ascii="Cambria" w:hAnsi="Cambria"/>
          <w:color w:val="000000" w:themeColor="text1"/>
          <w:sz w:val="16"/>
          <w:szCs w:val="16"/>
          <w:lang w:val="es-AR"/>
        </w:rPr>
        <w:t xml:space="preserve"> </w:t>
      </w:r>
      <w:r w:rsidRPr="00FD359A">
        <w:rPr>
          <w:rFonts w:ascii="Cambria" w:hAnsi="Cambria"/>
          <w:b/>
          <w:color w:val="000000" w:themeColor="text1"/>
          <w:sz w:val="16"/>
          <w:szCs w:val="16"/>
          <w:lang w:val="es-AR"/>
        </w:rPr>
        <w:t>ANEXO 15.</w:t>
      </w:r>
      <w:r w:rsidRPr="00FD359A">
        <w:rPr>
          <w:rFonts w:ascii="Cambria" w:hAnsi="Cambria"/>
          <w:color w:val="000000" w:themeColor="text1"/>
          <w:sz w:val="16"/>
          <w:szCs w:val="16"/>
          <w:lang w:val="es-AR"/>
        </w:rPr>
        <w:t xml:space="preserve"> Sentencia </w:t>
      </w:r>
      <w:r w:rsidRPr="00FD359A">
        <w:rPr>
          <w:rFonts w:ascii="Cambria" w:hAnsi="Cambria"/>
          <w:color w:val="000000" w:themeColor="text1"/>
          <w:sz w:val="16"/>
          <w:szCs w:val="16"/>
          <w:lang w:val="es-ES_tradnl"/>
        </w:rPr>
        <w:t>Nro. 2.182 de fecha 4 de diciembre de 2006 dictada por el juez Alejandro Solís Muñoz. Anexo 1 a la comunicación de la parte peticionaria recibida por la Comisión el 30 de junio de 2009.</w:t>
      </w:r>
    </w:p>
  </w:footnote>
  <w:footnote w:id="96">
    <w:p w14:paraId="33F370DA" w14:textId="3B78FDCA" w:rsidR="00323FC1" w:rsidRPr="00151F50" w:rsidRDefault="00323FC1" w:rsidP="001D321F">
      <w:pPr>
        <w:pStyle w:val="FootnoteText"/>
        <w:jc w:val="both"/>
        <w:rPr>
          <w:rFonts w:ascii="Cambria" w:hAnsi="Cambria"/>
          <w:color w:val="000000" w:themeColor="text1"/>
          <w:sz w:val="16"/>
          <w:szCs w:val="16"/>
          <w:lang w:val="es-ES"/>
        </w:rPr>
      </w:pPr>
      <w:r w:rsidRPr="00151F50">
        <w:rPr>
          <w:rStyle w:val="FootnoteReference"/>
          <w:rFonts w:ascii="Cambria" w:hAnsi="Cambria"/>
          <w:color w:val="000000" w:themeColor="text1"/>
          <w:sz w:val="16"/>
          <w:szCs w:val="16"/>
        </w:rPr>
        <w:footnoteRef/>
      </w:r>
      <w:r w:rsidRPr="00151F50">
        <w:rPr>
          <w:rFonts w:ascii="Cambria" w:hAnsi="Cambria"/>
          <w:b/>
          <w:color w:val="000000" w:themeColor="text1"/>
          <w:sz w:val="16"/>
          <w:szCs w:val="16"/>
          <w:lang w:val="es-AR"/>
        </w:rPr>
        <w:t xml:space="preserve"> ANEXO 15.</w:t>
      </w:r>
      <w:r w:rsidRPr="00151F50">
        <w:rPr>
          <w:rFonts w:ascii="Cambria" w:hAnsi="Cambria"/>
          <w:color w:val="000000" w:themeColor="text1"/>
          <w:sz w:val="16"/>
          <w:szCs w:val="16"/>
          <w:lang w:val="es-AR"/>
        </w:rPr>
        <w:t xml:space="preserve"> Sentencia </w:t>
      </w:r>
      <w:r w:rsidRPr="00151F50">
        <w:rPr>
          <w:rFonts w:ascii="Cambria" w:hAnsi="Cambria"/>
          <w:color w:val="000000" w:themeColor="text1"/>
          <w:sz w:val="16"/>
          <w:szCs w:val="16"/>
          <w:lang w:val="es-ES_tradnl"/>
        </w:rPr>
        <w:t>Nro. 2.182 de fecha 4 de diciembre de 2006 dictada por el juez Alejandro Solís Muñoz. Anexo 4 y 5 a la comunicación de la parte peticionaria de fecha 24 de junio de 2009.</w:t>
      </w:r>
    </w:p>
  </w:footnote>
  <w:footnote w:id="97">
    <w:p w14:paraId="1D3D1DF5" w14:textId="0336B8B1" w:rsidR="00323FC1" w:rsidRPr="00151F50" w:rsidRDefault="00323FC1" w:rsidP="001D321F">
      <w:pPr>
        <w:pStyle w:val="FootnoteText"/>
        <w:jc w:val="both"/>
        <w:rPr>
          <w:rFonts w:ascii="Cambria" w:hAnsi="Cambria"/>
          <w:color w:val="000000" w:themeColor="text1"/>
          <w:sz w:val="16"/>
          <w:szCs w:val="16"/>
          <w:lang w:val="es-AR"/>
        </w:rPr>
      </w:pPr>
      <w:r w:rsidRPr="00151F50">
        <w:rPr>
          <w:rStyle w:val="FootnoteReference"/>
          <w:rFonts w:ascii="Cambria" w:hAnsi="Cambria"/>
          <w:color w:val="000000" w:themeColor="text1"/>
          <w:sz w:val="16"/>
          <w:szCs w:val="16"/>
        </w:rPr>
        <w:footnoteRef/>
      </w:r>
      <w:r w:rsidRPr="00151F50">
        <w:rPr>
          <w:rFonts w:ascii="Cambria" w:hAnsi="Cambria"/>
          <w:color w:val="000000" w:themeColor="text1"/>
          <w:sz w:val="16"/>
          <w:szCs w:val="16"/>
          <w:lang w:val="es-AR"/>
        </w:rPr>
        <w:t xml:space="preserve"> </w:t>
      </w:r>
      <w:r w:rsidRPr="00151F50">
        <w:rPr>
          <w:rFonts w:ascii="Cambria" w:hAnsi="Cambria"/>
          <w:b/>
          <w:color w:val="000000" w:themeColor="text1"/>
          <w:sz w:val="16"/>
          <w:szCs w:val="16"/>
          <w:lang w:val="es-AR"/>
        </w:rPr>
        <w:t>ANEXO 16.</w:t>
      </w:r>
      <w:r w:rsidRPr="00151F50">
        <w:rPr>
          <w:rFonts w:ascii="Cambria" w:hAnsi="Cambria"/>
          <w:color w:val="000000" w:themeColor="text1"/>
          <w:sz w:val="16"/>
          <w:szCs w:val="16"/>
          <w:lang w:val="es-AR"/>
        </w:rPr>
        <w:t xml:space="preserve"> Sentencia </w:t>
      </w:r>
      <w:r w:rsidRPr="00151F50">
        <w:rPr>
          <w:rFonts w:ascii="Cambria" w:hAnsi="Cambria"/>
          <w:color w:val="000000" w:themeColor="text1"/>
          <w:sz w:val="16"/>
          <w:szCs w:val="16"/>
          <w:lang w:val="es-ES_tradnl"/>
        </w:rPr>
        <w:t>Nro. 15.521 de fecha 21 de enero de 2008 dictada por la Cuarta Sala de la Corte de Apelaciones de Santiago. Anexo 5 a la comunicación de la parte peticionaria de fecha 24 de junio de 2009.</w:t>
      </w:r>
    </w:p>
  </w:footnote>
  <w:footnote w:id="98">
    <w:p w14:paraId="4CB313C6" w14:textId="3A6F6A04" w:rsidR="00323FC1" w:rsidRPr="00151F50" w:rsidRDefault="00323FC1" w:rsidP="001D321F">
      <w:pPr>
        <w:pStyle w:val="FootnoteText"/>
        <w:jc w:val="both"/>
        <w:rPr>
          <w:rFonts w:ascii="Cambria" w:hAnsi="Cambria"/>
          <w:color w:val="000000" w:themeColor="text1"/>
          <w:sz w:val="16"/>
          <w:szCs w:val="16"/>
          <w:lang w:val="es-AR"/>
        </w:rPr>
      </w:pPr>
      <w:r w:rsidRPr="00151F50">
        <w:rPr>
          <w:rStyle w:val="FootnoteReference"/>
          <w:rFonts w:ascii="Cambria" w:hAnsi="Cambria"/>
          <w:color w:val="000000" w:themeColor="text1"/>
          <w:sz w:val="16"/>
          <w:szCs w:val="16"/>
        </w:rPr>
        <w:footnoteRef/>
      </w:r>
      <w:r w:rsidRPr="00151F50">
        <w:rPr>
          <w:rFonts w:ascii="Cambria" w:hAnsi="Cambria"/>
          <w:color w:val="000000" w:themeColor="text1"/>
          <w:sz w:val="16"/>
          <w:szCs w:val="16"/>
          <w:lang w:val="es-AR"/>
        </w:rPr>
        <w:t xml:space="preserve"> </w:t>
      </w:r>
      <w:r w:rsidRPr="00151F50">
        <w:rPr>
          <w:rFonts w:ascii="Cambria" w:hAnsi="Cambria"/>
          <w:b/>
          <w:color w:val="000000" w:themeColor="text1"/>
          <w:sz w:val="16"/>
          <w:szCs w:val="16"/>
          <w:lang w:val="es-AR"/>
        </w:rPr>
        <w:t>ANEXO 17.</w:t>
      </w:r>
      <w:r w:rsidRPr="00151F50">
        <w:rPr>
          <w:rFonts w:ascii="Cambria" w:hAnsi="Cambria"/>
          <w:color w:val="000000" w:themeColor="text1"/>
          <w:sz w:val="16"/>
          <w:szCs w:val="16"/>
          <w:lang w:val="es-AR"/>
        </w:rPr>
        <w:t xml:space="preserve"> Sentencia </w:t>
      </w:r>
      <w:r w:rsidRPr="00151F50">
        <w:rPr>
          <w:rFonts w:ascii="Cambria" w:hAnsi="Cambria"/>
          <w:color w:val="000000" w:themeColor="text1"/>
          <w:sz w:val="16"/>
          <w:szCs w:val="16"/>
          <w:lang w:val="es-ES_tradnl"/>
        </w:rPr>
        <w:t>Nro. 1.013 de fecha 24 de diciembre de 2008 dictada por la Corte Suprema de Justicia. Anexo 5 a la comunicación de la parte peticionaria de fecha 24 de junio de 2009.</w:t>
      </w:r>
    </w:p>
  </w:footnote>
  <w:footnote w:id="99">
    <w:p w14:paraId="0D0A6F9F" w14:textId="67035750" w:rsidR="00323FC1" w:rsidRPr="001D321F" w:rsidRDefault="00323FC1" w:rsidP="001D321F">
      <w:pPr>
        <w:pStyle w:val="FootnoteText"/>
        <w:jc w:val="both"/>
        <w:rPr>
          <w:rFonts w:ascii="Cambria" w:hAnsi="Cambria"/>
          <w:color w:val="000000" w:themeColor="text1"/>
          <w:sz w:val="16"/>
          <w:szCs w:val="16"/>
          <w:lang w:val="es-AR"/>
        </w:rPr>
      </w:pPr>
      <w:r w:rsidRPr="00151F50">
        <w:rPr>
          <w:rStyle w:val="FootnoteReference"/>
          <w:rFonts w:ascii="Cambria" w:hAnsi="Cambria"/>
          <w:color w:val="000000" w:themeColor="text1"/>
          <w:sz w:val="16"/>
          <w:szCs w:val="16"/>
        </w:rPr>
        <w:footnoteRef/>
      </w:r>
      <w:r w:rsidRPr="00151F50">
        <w:rPr>
          <w:rFonts w:ascii="Cambria" w:hAnsi="Cambria"/>
          <w:color w:val="000000" w:themeColor="text1"/>
          <w:sz w:val="16"/>
          <w:szCs w:val="16"/>
          <w:lang w:val="es-AR"/>
        </w:rPr>
        <w:t xml:space="preserve"> </w:t>
      </w:r>
      <w:r w:rsidRPr="00151F50">
        <w:rPr>
          <w:rFonts w:ascii="Cambria" w:hAnsi="Cambria"/>
          <w:b/>
          <w:color w:val="000000" w:themeColor="text1"/>
          <w:sz w:val="16"/>
          <w:szCs w:val="16"/>
          <w:lang w:val="es-AR"/>
        </w:rPr>
        <w:t>ANEXO 17.</w:t>
      </w:r>
      <w:r w:rsidRPr="00151F50">
        <w:rPr>
          <w:rFonts w:ascii="Cambria" w:hAnsi="Cambria"/>
          <w:color w:val="000000" w:themeColor="text1"/>
          <w:sz w:val="16"/>
          <w:szCs w:val="16"/>
          <w:lang w:val="es-AR"/>
        </w:rPr>
        <w:t xml:space="preserve"> Sentencia </w:t>
      </w:r>
      <w:r w:rsidRPr="00151F50">
        <w:rPr>
          <w:rFonts w:ascii="Cambria" w:hAnsi="Cambria"/>
          <w:color w:val="000000" w:themeColor="text1"/>
          <w:sz w:val="16"/>
          <w:szCs w:val="16"/>
          <w:lang w:val="es-ES_tradnl"/>
        </w:rPr>
        <w:t>Nro. 1.013 de fecha 24 de diciembre de 2008 dictada por la Corte Suprema de Justicia. Anexo 5 a la comunicación de la parte peticionaria de fecha 24 de junio de 2009.</w:t>
      </w:r>
    </w:p>
  </w:footnote>
  <w:footnote w:id="100">
    <w:p w14:paraId="6468CE52" w14:textId="1510739E" w:rsidR="00323FC1" w:rsidRPr="00151F50" w:rsidRDefault="00323FC1" w:rsidP="001D321F">
      <w:pPr>
        <w:pStyle w:val="FootnoteText"/>
        <w:jc w:val="both"/>
        <w:rPr>
          <w:rFonts w:ascii="Cambria" w:hAnsi="Cambria"/>
          <w:color w:val="000000" w:themeColor="text1"/>
          <w:sz w:val="16"/>
          <w:szCs w:val="16"/>
          <w:lang w:val="es-AR"/>
        </w:rPr>
      </w:pPr>
      <w:r w:rsidRPr="00151F50">
        <w:rPr>
          <w:rStyle w:val="FootnoteReference"/>
          <w:rFonts w:ascii="Cambria" w:hAnsi="Cambria"/>
          <w:color w:val="000000" w:themeColor="text1"/>
          <w:sz w:val="16"/>
          <w:szCs w:val="16"/>
        </w:rPr>
        <w:footnoteRef/>
      </w:r>
      <w:r w:rsidRPr="00151F50">
        <w:rPr>
          <w:rFonts w:ascii="Cambria" w:hAnsi="Cambria"/>
          <w:color w:val="000000" w:themeColor="text1"/>
          <w:sz w:val="16"/>
          <w:szCs w:val="16"/>
          <w:lang w:val="es-AR"/>
        </w:rPr>
        <w:t xml:space="preserve"> </w:t>
      </w:r>
      <w:r w:rsidRPr="00151F50">
        <w:rPr>
          <w:rFonts w:ascii="Cambria" w:hAnsi="Cambria"/>
          <w:b/>
          <w:color w:val="000000" w:themeColor="text1"/>
          <w:sz w:val="16"/>
          <w:szCs w:val="16"/>
          <w:lang w:val="es-AR"/>
        </w:rPr>
        <w:t>ANEXO 17.</w:t>
      </w:r>
      <w:r w:rsidRPr="00151F50">
        <w:rPr>
          <w:rFonts w:ascii="Cambria" w:hAnsi="Cambria"/>
          <w:color w:val="000000" w:themeColor="text1"/>
          <w:sz w:val="16"/>
          <w:szCs w:val="16"/>
          <w:lang w:val="es-AR"/>
        </w:rPr>
        <w:t xml:space="preserve"> Sentencia </w:t>
      </w:r>
      <w:r w:rsidRPr="00151F50">
        <w:rPr>
          <w:rFonts w:ascii="Cambria" w:hAnsi="Cambria"/>
          <w:color w:val="000000" w:themeColor="text1"/>
          <w:sz w:val="16"/>
          <w:szCs w:val="16"/>
          <w:lang w:val="es-ES_tradnl"/>
        </w:rPr>
        <w:t>Nro. 1.013 de fecha 24 de diciembre de 2008 dictada por la Corte Suprema de Justicia. Anexo 5 a la comunicación de la parte peticionaria de fecha 24 de junio de 2009.</w:t>
      </w:r>
    </w:p>
  </w:footnote>
  <w:footnote w:id="101">
    <w:p w14:paraId="23C01C66" w14:textId="4811B34A" w:rsidR="00323FC1" w:rsidRPr="00151F50" w:rsidRDefault="00323FC1" w:rsidP="001D321F">
      <w:pPr>
        <w:pStyle w:val="FootnoteText"/>
        <w:jc w:val="both"/>
        <w:rPr>
          <w:rFonts w:ascii="Cambria" w:hAnsi="Cambria"/>
          <w:color w:val="000000" w:themeColor="text1"/>
          <w:sz w:val="16"/>
          <w:szCs w:val="16"/>
          <w:lang w:val="es-AR"/>
        </w:rPr>
      </w:pPr>
      <w:r w:rsidRPr="00151F50">
        <w:rPr>
          <w:rStyle w:val="FootnoteReference"/>
          <w:rFonts w:ascii="Cambria" w:hAnsi="Cambria"/>
          <w:color w:val="000000" w:themeColor="text1"/>
          <w:sz w:val="16"/>
          <w:szCs w:val="16"/>
        </w:rPr>
        <w:footnoteRef/>
      </w:r>
      <w:r w:rsidRPr="00151F50">
        <w:rPr>
          <w:rFonts w:ascii="Cambria" w:hAnsi="Cambria"/>
          <w:color w:val="000000" w:themeColor="text1"/>
          <w:sz w:val="16"/>
          <w:szCs w:val="16"/>
          <w:lang w:val="es-AR"/>
        </w:rPr>
        <w:t xml:space="preserve"> </w:t>
      </w:r>
      <w:r w:rsidRPr="00151F50">
        <w:rPr>
          <w:rFonts w:ascii="Cambria" w:hAnsi="Cambria"/>
          <w:b/>
          <w:color w:val="000000" w:themeColor="text1"/>
          <w:sz w:val="16"/>
          <w:szCs w:val="16"/>
          <w:lang w:val="es-AR"/>
        </w:rPr>
        <w:t>ANEXO 17.</w:t>
      </w:r>
      <w:r w:rsidRPr="00151F50">
        <w:rPr>
          <w:rFonts w:ascii="Cambria" w:hAnsi="Cambria"/>
          <w:color w:val="000000" w:themeColor="text1"/>
          <w:sz w:val="16"/>
          <w:szCs w:val="16"/>
          <w:lang w:val="es-AR"/>
        </w:rPr>
        <w:t xml:space="preserve"> Sentencia </w:t>
      </w:r>
      <w:r w:rsidRPr="00151F50">
        <w:rPr>
          <w:rFonts w:ascii="Cambria" w:hAnsi="Cambria"/>
          <w:color w:val="000000" w:themeColor="text1"/>
          <w:sz w:val="16"/>
          <w:szCs w:val="16"/>
          <w:lang w:val="es-ES_tradnl"/>
        </w:rPr>
        <w:t>Nro. 1.013 de fecha 24 de diciembre de 2008 dictada por la Corte Suprema de Justicia. Anexo 5 a la comunicación de la parte peticionaria de fecha 24 de junio de 2009.</w:t>
      </w:r>
    </w:p>
  </w:footnote>
  <w:footnote w:id="102">
    <w:p w14:paraId="1C0E2B28" w14:textId="607FC74D" w:rsidR="00323FC1" w:rsidRPr="00151F50" w:rsidRDefault="00323FC1" w:rsidP="001D321F">
      <w:pPr>
        <w:pStyle w:val="FootnoteText"/>
        <w:jc w:val="both"/>
        <w:rPr>
          <w:rFonts w:ascii="Cambria" w:hAnsi="Cambria"/>
          <w:color w:val="000000" w:themeColor="text1"/>
          <w:sz w:val="16"/>
          <w:szCs w:val="16"/>
          <w:lang w:val="es-ES"/>
        </w:rPr>
      </w:pPr>
      <w:r w:rsidRPr="00151F50">
        <w:rPr>
          <w:rStyle w:val="FootnoteReference"/>
          <w:rFonts w:ascii="Cambria" w:hAnsi="Cambria"/>
          <w:color w:val="000000" w:themeColor="text1"/>
          <w:sz w:val="16"/>
          <w:szCs w:val="16"/>
        </w:rPr>
        <w:footnoteRef/>
      </w:r>
      <w:r w:rsidRPr="00151F50">
        <w:rPr>
          <w:rFonts w:ascii="Cambria" w:hAnsi="Cambria"/>
          <w:color w:val="000000" w:themeColor="text1"/>
          <w:sz w:val="16"/>
          <w:szCs w:val="16"/>
          <w:lang w:val="es-AR"/>
        </w:rPr>
        <w:t xml:space="preserve"> </w:t>
      </w:r>
      <w:r w:rsidRPr="00151F50">
        <w:rPr>
          <w:rFonts w:ascii="Cambria" w:hAnsi="Cambria"/>
          <w:b/>
          <w:color w:val="000000" w:themeColor="text1"/>
          <w:sz w:val="16"/>
          <w:szCs w:val="16"/>
          <w:lang w:val="es-AR"/>
        </w:rPr>
        <w:t xml:space="preserve">ANEXO 18. </w:t>
      </w:r>
      <w:r w:rsidRPr="00151F50">
        <w:rPr>
          <w:rFonts w:ascii="Cambria" w:hAnsi="Cambria"/>
          <w:color w:val="000000" w:themeColor="text1"/>
          <w:sz w:val="16"/>
          <w:szCs w:val="16"/>
          <w:lang w:val="es-AR"/>
        </w:rPr>
        <w:t xml:space="preserve">Sentencia </w:t>
      </w:r>
      <w:r w:rsidRPr="00151F50">
        <w:rPr>
          <w:rFonts w:ascii="Cambria" w:hAnsi="Cambria"/>
          <w:color w:val="000000" w:themeColor="text1"/>
          <w:sz w:val="16"/>
          <w:szCs w:val="16"/>
          <w:lang w:val="es-ES_tradnl"/>
        </w:rPr>
        <w:t xml:space="preserve">de 30 de junio de 2008 del Primer Juzgado del Crimen de Temuco, autos Rol. 113.115. Anexo 1 a la comunicación de la </w:t>
      </w:r>
      <w:r w:rsidRPr="00151F50">
        <w:rPr>
          <w:rFonts w:ascii="Cambria" w:hAnsi="Cambria"/>
          <w:color w:val="000000" w:themeColor="text1"/>
          <w:sz w:val="16"/>
          <w:szCs w:val="16"/>
          <w:lang w:val="es-ES"/>
        </w:rPr>
        <w:t>parte peticionaria de fecha 20 de enero de 2010.</w:t>
      </w:r>
    </w:p>
  </w:footnote>
  <w:footnote w:id="103">
    <w:p w14:paraId="669A568D" w14:textId="5A3A6AF7" w:rsidR="00323FC1" w:rsidRPr="00151F50" w:rsidRDefault="00323FC1" w:rsidP="001D321F">
      <w:pPr>
        <w:pStyle w:val="FootnoteText"/>
        <w:jc w:val="both"/>
        <w:rPr>
          <w:rFonts w:ascii="Cambria" w:hAnsi="Cambria"/>
          <w:color w:val="000000" w:themeColor="text1"/>
          <w:sz w:val="16"/>
          <w:szCs w:val="16"/>
          <w:lang w:val="es-ES"/>
        </w:rPr>
      </w:pPr>
      <w:r w:rsidRPr="00151F50">
        <w:rPr>
          <w:rStyle w:val="FootnoteReference"/>
          <w:rFonts w:ascii="Cambria" w:hAnsi="Cambria"/>
          <w:color w:val="000000" w:themeColor="text1"/>
          <w:sz w:val="16"/>
          <w:szCs w:val="16"/>
          <w:lang w:val="es-ES"/>
        </w:rPr>
        <w:footnoteRef/>
      </w:r>
      <w:r w:rsidRPr="00151F50">
        <w:rPr>
          <w:rFonts w:ascii="Cambria" w:hAnsi="Cambria"/>
          <w:color w:val="000000" w:themeColor="text1"/>
          <w:sz w:val="16"/>
          <w:szCs w:val="16"/>
          <w:lang w:val="es-ES"/>
        </w:rPr>
        <w:t xml:space="preserve"> </w:t>
      </w:r>
      <w:r w:rsidRPr="00151F50">
        <w:rPr>
          <w:rFonts w:ascii="Cambria" w:hAnsi="Cambria"/>
          <w:b/>
          <w:color w:val="000000" w:themeColor="text1"/>
          <w:sz w:val="16"/>
          <w:szCs w:val="16"/>
          <w:lang w:val="es-ES"/>
        </w:rPr>
        <w:t xml:space="preserve">ANEXO 18. </w:t>
      </w:r>
      <w:r w:rsidRPr="00151F50">
        <w:rPr>
          <w:rFonts w:ascii="Cambria" w:hAnsi="Cambria"/>
          <w:color w:val="000000" w:themeColor="text1"/>
          <w:sz w:val="16"/>
          <w:szCs w:val="16"/>
          <w:lang w:val="es-ES"/>
        </w:rPr>
        <w:t>Sentencia de 30 de junio de 2008 del Primer Juzgado del Crimen de Temuco, autos Rol. 113.115. Anexo 1 a la comunicación de la parte peticionaria de fecha 20 de enero de 2010.</w:t>
      </w:r>
    </w:p>
  </w:footnote>
  <w:footnote w:id="104">
    <w:p w14:paraId="49F741D4" w14:textId="297B464B" w:rsidR="00323FC1" w:rsidRPr="00151F50" w:rsidRDefault="00323FC1" w:rsidP="001D321F">
      <w:pPr>
        <w:pStyle w:val="FootnoteText"/>
        <w:jc w:val="both"/>
        <w:rPr>
          <w:rFonts w:ascii="Cambria" w:hAnsi="Cambria"/>
          <w:color w:val="000000" w:themeColor="text1"/>
          <w:sz w:val="16"/>
          <w:szCs w:val="16"/>
          <w:lang w:val="es-ES"/>
        </w:rPr>
      </w:pPr>
      <w:r w:rsidRPr="00151F50">
        <w:rPr>
          <w:rStyle w:val="FootnoteReference"/>
          <w:rFonts w:ascii="Cambria" w:hAnsi="Cambria"/>
          <w:color w:val="000000" w:themeColor="text1"/>
          <w:sz w:val="16"/>
          <w:szCs w:val="16"/>
          <w:lang w:val="es-ES"/>
        </w:rPr>
        <w:footnoteRef/>
      </w:r>
      <w:r w:rsidRPr="00151F50">
        <w:rPr>
          <w:rFonts w:ascii="Cambria" w:hAnsi="Cambria"/>
          <w:color w:val="000000" w:themeColor="text1"/>
          <w:sz w:val="16"/>
          <w:szCs w:val="16"/>
          <w:lang w:val="es-ES"/>
        </w:rPr>
        <w:t xml:space="preserve"> </w:t>
      </w:r>
      <w:r w:rsidRPr="00151F50">
        <w:rPr>
          <w:rFonts w:ascii="Cambria" w:hAnsi="Cambria"/>
          <w:b/>
          <w:color w:val="000000" w:themeColor="text1"/>
          <w:sz w:val="16"/>
          <w:szCs w:val="16"/>
          <w:lang w:val="es-ES"/>
        </w:rPr>
        <w:t>ANEXO 19.</w:t>
      </w:r>
      <w:r w:rsidRPr="00151F50">
        <w:rPr>
          <w:rFonts w:ascii="Cambria" w:hAnsi="Cambria"/>
          <w:color w:val="000000" w:themeColor="text1"/>
          <w:sz w:val="16"/>
          <w:szCs w:val="16"/>
          <w:lang w:val="es-ES"/>
        </w:rPr>
        <w:t xml:space="preserve"> Sentencia de la Corte de Apelaciones de Temuco de fecha 22 de septiembre de 2008. Anexo 2 a la comunicación de la parte peticionaria de fecha 20 de enero de 2010. </w:t>
      </w:r>
    </w:p>
  </w:footnote>
  <w:footnote w:id="105">
    <w:p w14:paraId="2DA53D5B" w14:textId="2E5C2B6C" w:rsidR="00323FC1" w:rsidRPr="001D321F" w:rsidRDefault="00323FC1" w:rsidP="001D321F">
      <w:pPr>
        <w:pStyle w:val="FootnoteText"/>
        <w:jc w:val="both"/>
        <w:rPr>
          <w:rFonts w:ascii="Cambria" w:hAnsi="Cambria"/>
          <w:color w:val="000000" w:themeColor="text1"/>
          <w:sz w:val="16"/>
          <w:szCs w:val="16"/>
          <w:lang w:val="es-AR"/>
        </w:rPr>
      </w:pPr>
      <w:r w:rsidRPr="00151F50">
        <w:rPr>
          <w:rStyle w:val="FootnoteReference"/>
          <w:rFonts w:ascii="Cambria" w:hAnsi="Cambria"/>
          <w:color w:val="000000" w:themeColor="text1"/>
          <w:sz w:val="16"/>
          <w:szCs w:val="16"/>
          <w:lang w:val="es-ES"/>
        </w:rPr>
        <w:footnoteRef/>
      </w:r>
      <w:r w:rsidRPr="00151F50">
        <w:rPr>
          <w:rFonts w:ascii="Cambria" w:hAnsi="Cambria"/>
          <w:color w:val="000000" w:themeColor="text1"/>
          <w:sz w:val="16"/>
          <w:szCs w:val="16"/>
          <w:lang w:val="es-ES"/>
        </w:rPr>
        <w:t xml:space="preserve"> </w:t>
      </w:r>
      <w:r w:rsidRPr="00151F50">
        <w:rPr>
          <w:rFonts w:ascii="Cambria" w:hAnsi="Cambria"/>
          <w:b/>
          <w:color w:val="000000" w:themeColor="text1"/>
          <w:sz w:val="16"/>
          <w:szCs w:val="16"/>
          <w:lang w:val="es-ES"/>
        </w:rPr>
        <w:t>ANEXO 20.</w:t>
      </w:r>
      <w:r w:rsidRPr="00151F50">
        <w:rPr>
          <w:rFonts w:ascii="Cambria" w:hAnsi="Cambria"/>
          <w:color w:val="000000" w:themeColor="text1"/>
          <w:sz w:val="16"/>
          <w:szCs w:val="16"/>
          <w:lang w:val="es-ES"/>
        </w:rPr>
        <w:t xml:space="preserve"> Sentencia de la Segunda Sala de la Corte Suprema de Justicia de fecha 23 de julio de 2009, considerando sexto. Anexo 3 a la comunicación de la parte peticionaria de fecha 20 de enero de 2010</w:t>
      </w:r>
      <w:r w:rsidRPr="001D321F">
        <w:rPr>
          <w:rFonts w:ascii="Cambria" w:hAnsi="Cambria"/>
          <w:color w:val="000000" w:themeColor="text1"/>
          <w:sz w:val="16"/>
          <w:szCs w:val="16"/>
          <w:lang w:val="es-ES"/>
        </w:rPr>
        <w:t>.</w:t>
      </w:r>
      <w:r w:rsidRPr="001D321F">
        <w:rPr>
          <w:rFonts w:ascii="Cambria" w:hAnsi="Cambria"/>
          <w:color w:val="000000" w:themeColor="text1"/>
          <w:sz w:val="16"/>
          <w:szCs w:val="16"/>
          <w:lang w:val="es-AR"/>
        </w:rPr>
        <w:t xml:space="preserve"> </w:t>
      </w:r>
    </w:p>
  </w:footnote>
  <w:footnote w:id="106">
    <w:p w14:paraId="372F8FA5" w14:textId="7D2B8A28" w:rsidR="00323FC1" w:rsidRPr="00864276" w:rsidRDefault="00323FC1" w:rsidP="001D321F">
      <w:pPr>
        <w:pStyle w:val="FootnoteText"/>
        <w:jc w:val="both"/>
        <w:rPr>
          <w:rFonts w:ascii="Cambria" w:hAnsi="Cambria"/>
          <w:color w:val="000000" w:themeColor="text1"/>
          <w:sz w:val="16"/>
          <w:szCs w:val="16"/>
          <w:lang w:val="es-AR"/>
        </w:rPr>
      </w:pPr>
      <w:r w:rsidRPr="00864276">
        <w:rPr>
          <w:rStyle w:val="FootnoteReference"/>
          <w:rFonts w:ascii="Cambria" w:hAnsi="Cambria"/>
          <w:color w:val="000000" w:themeColor="text1"/>
          <w:sz w:val="16"/>
          <w:szCs w:val="16"/>
        </w:rPr>
        <w:footnoteRef/>
      </w:r>
      <w:r w:rsidRPr="00864276">
        <w:rPr>
          <w:rFonts w:ascii="Cambria" w:hAnsi="Cambria"/>
          <w:color w:val="000000" w:themeColor="text1"/>
          <w:sz w:val="16"/>
          <w:szCs w:val="16"/>
          <w:lang w:val="es-AR"/>
        </w:rPr>
        <w:t xml:space="preserve"> </w:t>
      </w:r>
      <w:r w:rsidRPr="00864276">
        <w:rPr>
          <w:rFonts w:ascii="Cambria" w:hAnsi="Cambria"/>
          <w:b/>
          <w:color w:val="000000" w:themeColor="text1"/>
          <w:sz w:val="16"/>
          <w:szCs w:val="16"/>
          <w:lang w:val="es-ES"/>
        </w:rPr>
        <w:t>ANEXO 21.</w:t>
      </w:r>
      <w:r w:rsidRPr="00864276">
        <w:rPr>
          <w:rFonts w:ascii="Cambria" w:hAnsi="Cambria"/>
          <w:color w:val="000000" w:themeColor="text1"/>
          <w:sz w:val="16"/>
          <w:szCs w:val="16"/>
          <w:lang w:val="es-ES"/>
        </w:rPr>
        <w:t xml:space="preserve"> Sentencia de reemplazo de la Segunda Sala de la Corte Suprema de Justicia de fecha 23 de julio de 2009, considerandos primero a tercero. Anexo 4 a la comunicación de la parte peticionaria de fecha 20 de enero de 2010.</w:t>
      </w:r>
    </w:p>
  </w:footnote>
  <w:footnote w:id="107">
    <w:p w14:paraId="36A680A3" w14:textId="6C08AB1F" w:rsidR="00323FC1" w:rsidRPr="00864276" w:rsidRDefault="00323FC1" w:rsidP="001D321F">
      <w:pPr>
        <w:pStyle w:val="FootnoteText"/>
        <w:jc w:val="both"/>
        <w:rPr>
          <w:rFonts w:ascii="Cambria" w:hAnsi="Cambria"/>
          <w:color w:val="000000" w:themeColor="text1"/>
          <w:sz w:val="16"/>
          <w:szCs w:val="16"/>
          <w:lang w:val="es-AR"/>
        </w:rPr>
      </w:pPr>
      <w:r w:rsidRPr="00864276">
        <w:rPr>
          <w:rStyle w:val="FootnoteReference"/>
          <w:rFonts w:ascii="Cambria" w:hAnsi="Cambria"/>
          <w:color w:val="000000" w:themeColor="text1"/>
          <w:sz w:val="16"/>
          <w:szCs w:val="16"/>
        </w:rPr>
        <w:footnoteRef/>
      </w:r>
      <w:r w:rsidRPr="00864276">
        <w:rPr>
          <w:rFonts w:ascii="Cambria" w:hAnsi="Cambria"/>
          <w:color w:val="000000" w:themeColor="text1"/>
          <w:sz w:val="16"/>
          <w:szCs w:val="16"/>
          <w:lang w:val="es-AR"/>
        </w:rPr>
        <w:t xml:space="preserve"> </w:t>
      </w:r>
      <w:r w:rsidRPr="00864276">
        <w:rPr>
          <w:rFonts w:ascii="Cambria" w:hAnsi="Cambria"/>
          <w:b/>
          <w:color w:val="000000" w:themeColor="text1"/>
          <w:sz w:val="16"/>
          <w:szCs w:val="16"/>
          <w:lang w:val="es-ES"/>
        </w:rPr>
        <w:t>ANEXO 21.</w:t>
      </w:r>
      <w:r w:rsidRPr="00864276">
        <w:rPr>
          <w:rFonts w:ascii="Cambria" w:hAnsi="Cambria"/>
          <w:color w:val="000000" w:themeColor="text1"/>
          <w:sz w:val="16"/>
          <w:szCs w:val="16"/>
          <w:lang w:val="es-ES"/>
        </w:rPr>
        <w:t xml:space="preserve"> Sentencia de reemplazo de la Segunda Sala de la Corte Suprema de Justicia de fecha 23 de julio de 2009, considerando séptimo. Anexo 4 a la comunicación de la parte peticionaria de fecha 20 de enero de 2010.</w:t>
      </w:r>
    </w:p>
  </w:footnote>
  <w:footnote w:id="108">
    <w:p w14:paraId="2CA1C2EF" w14:textId="06F2BF6E" w:rsidR="00323FC1" w:rsidRPr="00864276" w:rsidRDefault="00323FC1" w:rsidP="001D321F">
      <w:pPr>
        <w:pStyle w:val="FootnoteText"/>
        <w:jc w:val="both"/>
        <w:rPr>
          <w:rFonts w:ascii="Cambria" w:hAnsi="Cambria"/>
          <w:color w:val="000000" w:themeColor="text1"/>
          <w:sz w:val="16"/>
          <w:szCs w:val="16"/>
          <w:lang w:val="es-AR"/>
        </w:rPr>
      </w:pPr>
      <w:r w:rsidRPr="00864276">
        <w:rPr>
          <w:rStyle w:val="FootnoteReference"/>
          <w:rFonts w:ascii="Cambria" w:hAnsi="Cambria"/>
          <w:color w:val="000000" w:themeColor="text1"/>
          <w:sz w:val="16"/>
          <w:szCs w:val="16"/>
        </w:rPr>
        <w:footnoteRef/>
      </w:r>
      <w:r w:rsidRPr="00864276">
        <w:rPr>
          <w:rFonts w:ascii="Cambria" w:hAnsi="Cambria"/>
          <w:color w:val="000000" w:themeColor="text1"/>
          <w:sz w:val="16"/>
          <w:szCs w:val="16"/>
          <w:lang w:val="es-AR"/>
        </w:rPr>
        <w:t xml:space="preserve"> </w:t>
      </w:r>
      <w:r w:rsidRPr="00864276">
        <w:rPr>
          <w:rFonts w:ascii="Cambria" w:hAnsi="Cambria"/>
          <w:b/>
          <w:color w:val="000000" w:themeColor="text1"/>
          <w:sz w:val="16"/>
          <w:szCs w:val="16"/>
          <w:lang w:val="es-ES"/>
        </w:rPr>
        <w:t>ANEXO 21.</w:t>
      </w:r>
      <w:r w:rsidRPr="00864276">
        <w:rPr>
          <w:rFonts w:ascii="Cambria" w:hAnsi="Cambria"/>
          <w:color w:val="000000" w:themeColor="text1"/>
          <w:sz w:val="16"/>
          <w:szCs w:val="16"/>
          <w:lang w:val="es-ES"/>
        </w:rPr>
        <w:t xml:space="preserve"> Sentencia de reemplazo de la Segunda Sala de la Corte Suprema de Justicia de fecha 23 de julio de 2009, considerando noveno y punto resolutivo II. Anexo 4 a la comunicación de la parte peticionaria de fecha 20 de enero de 2010.</w:t>
      </w:r>
    </w:p>
  </w:footnote>
  <w:footnote w:id="109">
    <w:p w14:paraId="54C01CDF" w14:textId="2F90032C" w:rsidR="00323FC1" w:rsidRPr="00864276" w:rsidRDefault="00323FC1" w:rsidP="001D321F">
      <w:pPr>
        <w:pStyle w:val="FootnoteText"/>
        <w:jc w:val="both"/>
        <w:rPr>
          <w:rFonts w:ascii="Cambria" w:hAnsi="Cambria"/>
          <w:color w:val="000000" w:themeColor="text1"/>
          <w:sz w:val="16"/>
          <w:szCs w:val="16"/>
          <w:lang w:val="es-AR"/>
        </w:rPr>
      </w:pPr>
      <w:r w:rsidRPr="00864276">
        <w:rPr>
          <w:rStyle w:val="FootnoteReference"/>
          <w:rFonts w:ascii="Cambria" w:hAnsi="Cambria"/>
          <w:color w:val="000000" w:themeColor="text1"/>
          <w:sz w:val="16"/>
          <w:szCs w:val="16"/>
        </w:rPr>
        <w:footnoteRef/>
      </w:r>
      <w:r w:rsidRPr="00864276">
        <w:rPr>
          <w:rFonts w:ascii="Cambria" w:hAnsi="Cambria"/>
          <w:color w:val="000000" w:themeColor="text1"/>
          <w:sz w:val="16"/>
          <w:szCs w:val="16"/>
          <w:lang w:val="es-AR"/>
        </w:rPr>
        <w:t xml:space="preserve"> </w:t>
      </w:r>
      <w:r w:rsidRPr="00864276">
        <w:rPr>
          <w:rFonts w:ascii="Cambria" w:hAnsi="Cambria"/>
          <w:b/>
          <w:color w:val="000000" w:themeColor="text1"/>
          <w:sz w:val="16"/>
          <w:szCs w:val="16"/>
          <w:lang w:val="es-AR"/>
        </w:rPr>
        <w:t>ANEXO 22.</w:t>
      </w:r>
      <w:r w:rsidRPr="00864276">
        <w:rPr>
          <w:rFonts w:ascii="Cambria" w:hAnsi="Cambria"/>
          <w:color w:val="000000" w:themeColor="text1"/>
          <w:sz w:val="16"/>
          <w:szCs w:val="16"/>
          <w:lang w:val="es-AR"/>
        </w:rPr>
        <w:t xml:space="preserve"> </w:t>
      </w:r>
      <w:r w:rsidRPr="00864276">
        <w:rPr>
          <w:rFonts w:ascii="Cambria" w:hAnsi="Cambria"/>
          <w:color w:val="000000" w:themeColor="text1"/>
          <w:sz w:val="16"/>
          <w:szCs w:val="16"/>
          <w:lang w:val="es-ES"/>
        </w:rPr>
        <w:t>Sentencia de fecha 2 de abril de 2007 del Ministro en Visita extraordinaria Sr. Juan Eduardo Fuentes Belmar, autos Rol. 100.024 (Quinto Juzgado del Crimen de Santiago). Anexo 1 a la comunicación de la parte peticionaria de fecha 12 de marzo de 2010.</w:t>
      </w:r>
      <w:r w:rsidRPr="00864276">
        <w:rPr>
          <w:rFonts w:ascii="Cambria" w:hAnsi="Cambria"/>
          <w:color w:val="000000" w:themeColor="text1"/>
          <w:sz w:val="16"/>
          <w:szCs w:val="16"/>
          <w:lang w:val="es-AR"/>
        </w:rPr>
        <w:t xml:space="preserve"> </w:t>
      </w:r>
    </w:p>
  </w:footnote>
  <w:footnote w:id="110">
    <w:p w14:paraId="69206CE1" w14:textId="42C471CF" w:rsidR="00323FC1" w:rsidRPr="00864276" w:rsidRDefault="00323FC1" w:rsidP="001D321F">
      <w:pPr>
        <w:pStyle w:val="FootnoteText"/>
        <w:jc w:val="both"/>
        <w:rPr>
          <w:rFonts w:ascii="Cambria" w:hAnsi="Cambria"/>
          <w:color w:val="000000" w:themeColor="text1"/>
          <w:sz w:val="16"/>
          <w:szCs w:val="16"/>
          <w:lang w:val="es-AR"/>
        </w:rPr>
      </w:pPr>
      <w:r w:rsidRPr="00864276">
        <w:rPr>
          <w:rStyle w:val="FootnoteReference"/>
          <w:rFonts w:ascii="Cambria" w:hAnsi="Cambria"/>
          <w:color w:val="000000" w:themeColor="text1"/>
          <w:sz w:val="16"/>
          <w:szCs w:val="16"/>
        </w:rPr>
        <w:footnoteRef/>
      </w:r>
      <w:r w:rsidRPr="00864276">
        <w:rPr>
          <w:rFonts w:ascii="Cambria" w:hAnsi="Cambria"/>
          <w:color w:val="000000" w:themeColor="text1"/>
          <w:sz w:val="16"/>
          <w:szCs w:val="16"/>
          <w:lang w:val="es-AR"/>
        </w:rPr>
        <w:t xml:space="preserve"> </w:t>
      </w:r>
      <w:r w:rsidRPr="00864276">
        <w:rPr>
          <w:rFonts w:ascii="Cambria" w:hAnsi="Cambria"/>
          <w:b/>
          <w:color w:val="000000" w:themeColor="text1"/>
          <w:sz w:val="16"/>
          <w:szCs w:val="16"/>
          <w:lang w:val="es-AR"/>
        </w:rPr>
        <w:t>ANEXO 22.</w:t>
      </w:r>
      <w:r w:rsidRPr="00864276">
        <w:rPr>
          <w:rFonts w:ascii="Cambria" w:hAnsi="Cambria"/>
          <w:color w:val="000000" w:themeColor="text1"/>
          <w:sz w:val="16"/>
          <w:szCs w:val="16"/>
          <w:lang w:val="es-AR"/>
        </w:rPr>
        <w:t xml:space="preserve"> </w:t>
      </w:r>
      <w:r w:rsidRPr="00864276">
        <w:rPr>
          <w:rFonts w:ascii="Cambria" w:hAnsi="Cambria"/>
          <w:color w:val="000000" w:themeColor="text1"/>
          <w:sz w:val="16"/>
          <w:szCs w:val="16"/>
          <w:lang w:val="es-ES"/>
        </w:rPr>
        <w:t>Sentencia de fecha 2 de abril de 2007 del Ministro en Visita extraordinaria Sr. Juan Eduardo Fuentes Belmar, autos Rol. 100.024 (Quinto Juzgado del Crimen de Santiago). Anexo 1 a la comunicación de la parte peticionaria de fecha 12 de marzo de 2010.</w:t>
      </w:r>
    </w:p>
  </w:footnote>
  <w:footnote w:id="111">
    <w:p w14:paraId="1BFDD3B9" w14:textId="1B995226" w:rsidR="00323FC1" w:rsidRPr="001D321F" w:rsidRDefault="00323FC1" w:rsidP="001D321F">
      <w:pPr>
        <w:pStyle w:val="FootnoteText"/>
        <w:jc w:val="both"/>
        <w:rPr>
          <w:rFonts w:ascii="Cambria" w:hAnsi="Cambria"/>
          <w:color w:val="000000" w:themeColor="text1"/>
          <w:sz w:val="16"/>
          <w:szCs w:val="16"/>
          <w:lang w:val="es-AR"/>
        </w:rPr>
      </w:pPr>
      <w:r w:rsidRPr="00864276">
        <w:rPr>
          <w:rStyle w:val="FootnoteReference"/>
          <w:rFonts w:ascii="Cambria" w:hAnsi="Cambria"/>
          <w:color w:val="000000" w:themeColor="text1"/>
          <w:sz w:val="16"/>
          <w:szCs w:val="16"/>
        </w:rPr>
        <w:footnoteRef/>
      </w:r>
      <w:r w:rsidRPr="00864276">
        <w:rPr>
          <w:rFonts w:ascii="Cambria" w:hAnsi="Cambria"/>
          <w:color w:val="000000" w:themeColor="text1"/>
          <w:sz w:val="16"/>
          <w:szCs w:val="16"/>
          <w:lang w:val="es-AR"/>
        </w:rPr>
        <w:t xml:space="preserve"> </w:t>
      </w:r>
      <w:r w:rsidRPr="00864276">
        <w:rPr>
          <w:rFonts w:ascii="Cambria" w:hAnsi="Cambria"/>
          <w:b/>
          <w:color w:val="000000" w:themeColor="text1"/>
          <w:sz w:val="16"/>
          <w:szCs w:val="16"/>
          <w:lang w:val="es-AR"/>
        </w:rPr>
        <w:t>ANEXO 22.</w:t>
      </w:r>
      <w:r w:rsidRPr="00864276">
        <w:rPr>
          <w:rFonts w:ascii="Cambria" w:hAnsi="Cambria"/>
          <w:color w:val="000000" w:themeColor="text1"/>
          <w:sz w:val="16"/>
          <w:szCs w:val="16"/>
          <w:lang w:val="es-AR"/>
        </w:rPr>
        <w:t xml:space="preserve"> </w:t>
      </w:r>
      <w:r w:rsidRPr="00864276">
        <w:rPr>
          <w:rFonts w:ascii="Cambria" w:hAnsi="Cambria"/>
          <w:color w:val="000000" w:themeColor="text1"/>
          <w:sz w:val="16"/>
          <w:szCs w:val="16"/>
          <w:lang w:val="es-ES"/>
        </w:rPr>
        <w:t>Sentencia de fecha 2 de abril de 2007 del Ministro en Visita extraordinaria Sr. Juan Eduardo Fuentes Belmar, autos Rol. 100.024 (Quinto Juzgado del Crimen de Santiago). Anexo 1 a la comunicación de la parte peticionaria de fecha 12 de marzo de 2010.</w:t>
      </w:r>
    </w:p>
  </w:footnote>
  <w:footnote w:id="112">
    <w:p w14:paraId="73B02DD4" w14:textId="12A446AD" w:rsidR="00323FC1" w:rsidRPr="00864276" w:rsidRDefault="00323FC1" w:rsidP="001D321F">
      <w:pPr>
        <w:pStyle w:val="FootnoteText"/>
        <w:jc w:val="both"/>
        <w:rPr>
          <w:rFonts w:ascii="Cambria" w:hAnsi="Cambria"/>
          <w:color w:val="000000" w:themeColor="text1"/>
          <w:sz w:val="16"/>
          <w:szCs w:val="16"/>
          <w:lang w:val="es-ES"/>
        </w:rPr>
      </w:pPr>
      <w:r w:rsidRPr="00864276">
        <w:rPr>
          <w:rStyle w:val="FootnoteReference"/>
          <w:rFonts w:ascii="Cambria" w:hAnsi="Cambria"/>
          <w:color w:val="000000" w:themeColor="text1"/>
          <w:sz w:val="16"/>
          <w:szCs w:val="16"/>
        </w:rPr>
        <w:footnoteRef/>
      </w:r>
      <w:r w:rsidRPr="00864276">
        <w:rPr>
          <w:rFonts w:ascii="Cambria" w:hAnsi="Cambria"/>
          <w:color w:val="000000" w:themeColor="text1"/>
          <w:sz w:val="16"/>
          <w:szCs w:val="16"/>
          <w:lang w:val="es-AR"/>
        </w:rPr>
        <w:t xml:space="preserve"> </w:t>
      </w:r>
      <w:r w:rsidRPr="00864276">
        <w:rPr>
          <w:rFonts w:ascii="Cambria" w:hAnsi="Cambria"/>
          <w:b/>
          <w:color w:val="000000" w:themeColor="text1"/>
          <w:sz w:val="16"/>
          <w:szCs w:val="16"/>
          <w:lang w:val="es-AR"/>
        </w:rPr>
        <w:t>ANEXO 22.</w:t>
      </w:r>
      <w:r w:rsidRPr="00864276">
        <w:rPr>
          <w:rFonts w:ascii="Cambria" w:hAnsi="Cambria"/>
          <w:color w:val="000000" w:themeColor="text1"/>
          <w:sz w:val="16"/>
          <w:szCs w:val="16"/>
          <w:lang w:val="es-AR"/>
        </w:rPr>
        <w:t xml:space="preserve"> </w:t>
      </w:r>
      <w:r w:rsidRPr="00864276">
        <w:rPr>
          <w:rFonts w:ascii="Cambria" w:hAnsi="Cambria"/>
          <w:color w:val="000000" w:themeColor="text1"/>
          <w:sz w:val="16"/>
          <w:szCs w:val="16"/>
          <w:lang w:val="es-ES"/>
        </w:rPr>
        <w:t>Sentencia de fecha 2 de abril de 2007 del Ministro en Visita extraordinaria Sr. Juan Eduardo Fuentes Belmar, autos Rol. 100.024 (Quinto Juzgado del Crimen de Santiago). Anexo 1 a la comunicación de la parte peticionaria de fecha 12 de marzo de 2010.</w:t>
      </w:r>
    </w:p>
  </w:footnote>
  <w:footnote w:id="113">
    <w:p w14:paraId="48DB251C" w14:textId="77777777" w:rsidR="00323FC1" w:rsidRPr="00864276" w:rsidRDefault="00323FC1" w:rsidP="001D321F">
      <w:pPr>
        <w:jc w:val="both"/>
        <w:rPr>
          <w:rFonts w:ascii="Cambria" w:hAnsi="Cambria"/>
          <w:color w:val="000000" w:themeColor="text1"/>
          <w:sz w:val="16"/>
          <w:szCs w:val="16"/>
          <w:lang w:val="es-ES"/>
        </w:rPr>
      </w:pPr>
      <w:r w:rsidRPr="00864276">
        <w:rPr>
          <w:rStyle w:val="FootnoteReference"/>
          <w:rFonts w:ascii="Cambria" w:hAnsi="Cambria"/>
          <w:color w:val="000000" w:themeColor="text1"/>
          <w:sz w:val="16"/>
          <w:szCs w:val="16"/>
          <w:lang w:val="es-ES"/>
        </w:rPr>
        <w:footnoteRef/>
      </w:r>
      <w:r w:rsidRPr="00864276">
        <w:rPr>
          <w:rFonts w:ascii="Cambria" w:hAnsi="Cambria"/>
          <w:color w:val="000000" w:themeColor="text1"/>
          <w:sz w:val="16"/>
          <w:szCs w:val="16"/>
          <w:lang w:val="es-ES"/>
        </w:rPr>
        <w:t xml:space="preserve"> Código de Justicia Militar aprobado por Decreto 2226/44. Artículo 211: </w:t>
      </w:r>
      <w:r w:rsidRPr="00D10FBF">
        <w:rPr>
          <w:rFonts w:ascii="Cambria" w:hAnsi="Cambria"/>
          <w:color w:val="000000" w:themeColor="text1"/>
          <w:sz w:val="16"/>
          <w:szCs w:val="16"/>
          <w:lang w:val="es-ES"/>
        </w:rPr>
        <w:t>“</w:t>
      </w:r>
      <w:r w:rsidRPr="00D10FBF">
        <w:rPr>
          <w:rFonts w:ascii="Cambria" w:hAnsi="Cambria" w:cs="Arial"/>
          <w:color w:val="000000" w:themeColor="text1"/>
          <w:sz w:val="16"/>
          <w:szCs w:val="16"/>
          <w:shd w:val="clear" w:color="auto" w:fill="FFFFFF"/>
          <w:lang w:val="es-ES"/>
        </w:rPr>
        <w:t>Fuera de los casos previstos en el inciso segundo del artículo 214, será circunstancia atenuante tanto en los delitos militares como en los comunes, el haber cometido el hecho en cumplimiento de órdenes recibidas de un superior jerárquico. Y si ellas fueren relativas al servicio podrá ser considerada como atenuante muy calificada”.</w:t>
      </w:r>
    </w:p>
  </w:footnote>
  <w:footnote w:id="114">
    <w:p w14:paraId="1A2B9032" w14:textId="4C38CB18" w:rsidR="00323FC1" w:rsidRPr="00864276" w:rsidRDefault="00323FC1" w:rsidP="001D321F">
      <w:pPr>
        <w:pStyle w:val="FootnoteText"/>
        <w:jc w:val="both"/>
        <w:rPr>
          <w:rFonts w:ascii="Cambria" w:hAnsi="Cambria"/>
          <w:color w:val="000000" w:themeColor="text1"/>
          <w:sz w:val="16"/>
          <w:szCs w:val="16"/>
          <w:lang w:val="es-ES"/>
        </w:rPr>
      </w:pPr>
      <w:r w:rsidRPr="00864276">
        <w:rPr>
          <w:rStyle w:val="FootnoteReference"/>
          <w:rFonts w:ascii="Cambria" w:hAnsi="Cambria"/>
          <w:color w:val="000000" w:themeColor="text1"/>
          <w:sz w:val="16"/>
          <w:szCs w:val="16"/>
          <w:lang w:val="es-ES"/>
        </w:rPr>
        <w:footnoteRef/>
      </w:r>
      <w:r w:rsidRPr="00864276">
        <w:rPr>
          <w:rFonts w:ascii="Cambria" w:hAnsi="Cambria"/>
          <w:color w:val="000000" w:themeColor="text1"/>
          <w:sz w:val="16"/>
          <w:szCs w:val="16"/>
          <w:lang w:val="es-ES"/>
        </w:rPr>
        <w:t xml:space="preserve"> </w:t>
      </w:r>
      <w:r w:rsidRPr="00864276">
        <w:rPr>
          <w:rFonts w:ascii="Cambria" w:hAnsi="Cambria"/>
          <w:b/>
          <w:color w:val="000000" w:themeColor="text1"/>
          <w:sz w:val="16"/>
          <w:szCs w:val="16"/>
          <w:lang w:val="es-ES"/>
        </w:rPr>
        <w:t>ANEXO 23.</w:t>
      </w:r>
      <w:r w:rsidRPr="00864276">
        <w:rPr>
          <w:rFonts w:ascii="Cambria" w:hAnsi="Cambria"/>
          <w:color w:val="000000" w:themeColor="text1"/>
          <w:sz w:val="16"/>
          <w:szCs w:val="16"/>
          <w:lang w:val="es-ES"/>
        </w:rPr>
        <w:t xml:space="preserve"> Sentencia de la Séptima Sala de la Corte de Apelaciones de Santiago de fecha 31 de julio de 2008. Anexo 2 a la comunicación de la parte peticionaria de fecha 12 de marzo de 2010.</w:t>
      </w:r>
    </w:p>
  </w:footnote>
  <w:footnote w:id="115">
    <w:p w14:paraId="14478CA8" w14:textId="69277381" w:rsidR="00323FC1" w:rsidRPr="00864276" w:rsidRDefault="00323FC1" w:rsidP="001D321F">
      <w:pPr>
        <w:pStyle w:val="FootnoteText"/>
        <w:jc w:val="both"/>
        <w:rPr>
          <w:rFonts w:ascii="Cambria" w:hAnsi="Cambria"/>
          <w:color w:val="000000" w:themeColor="text1"/>
          <w:sz w:val="16"/>
          <w:szCs w:val="16"/>
          <w:lang w:val="es-AR"/>
        </w:rPr>
      </w:pPr>
      <w:r w:rsidRPr="00864276">
        <w:rPr>
          <w:rStyle w:val="FootnoteReference"/>
          <w:rFonts w:ascii="Cambria" w:hAnsi="Cambria"/>
          <w:color w:val="000000" w:themeColor="text1"/>
          <w:sz w:val="16"/>
          <w:szCs w:val="16"/>
          <w:lang w:val="es-ES"/>
        </w:rPr>
        <w:footnoteRef/>
      </w:r>
      <w:r w:rsidRPr="00864276">
        <w:rPr>
          <w:rFonts w:ascii="Cambria" w:hAnsi="Cambria"/>
          <w:color w:val="000000" w:themeColor="text1"/>
          <w:sz w:val="16"/>
          <w:szCs w:val="16"/>
          <w:lang w:val="es-ES"/>
        </w:rPr>
        <w:t xml:space="preserve"> </w:t>
      </w:r>
      <w:r w:rsidRPr="00864276">
        <w:rPr>
          <w:rFonts w:ascii="Cambria" w:hAnsi="Cambria"/>
          <w:b/>
          <w:color w:val="000000" w:themeColor="text1"/>
          <w:sz w:val="16"/>
          <w:szCs w:val="16"/>
          <w:lang w:val="es-ES"/>
        </w:rPr>
        <w:t>ANEXO 24.</w:t>
      </w:r>
      <w:r w:rsidRPr="00864276">
        <w:rPr>
          <w:rFonts w:ascii="Cambria" w:hAnsi="Cambria"/>
          <w:color w:val="000000" w:themeColor="text1"/>
          <w:sz w:val="16"/>
          <w:szCs w:val="16"/>
          <w:lang w:val="es-ES"/>
        </w:rPr>
        <w:t xml:space="preserve"> Sentencia de la Segunda Sala de la Corte Suprema de Justicia de fecha 10 de septiembre de 2009. Anexo 3 a la comunicación de la parte peticionaria de fecha 12 de marzo de 2010.</w:t>
      </w:r>
    </w:p>
  </w:footnote>
  <w:footnote w:id="116">
    <w:p w14:paraId="17EBCF3E" w14:textId="529F125F" w:rsidR="00323FC1" w:rsidRPr="00864276" w:rsidRDefault="00323FC1" w:rsidP="001D321F">
      <w:pPr>
        <w:pStyle w:val="FootnoteText"/>
        <w:jc w:val="both"/>
        <w:rPr>
          <w:rFonts w:ascii="Cambria" w:hAnsi="Cambria"/>
          <w:color w:val="000000" w:themeColor="text1"/>
          <w:sz w:val="16"/>
          <w:szCs w:val="16"/>
          <w:lang w:val="es-AR"/>
        </w:rPr>
      </w:pPr>
      <w:r w:rsidRPr="00864276">
        <w:rPr>
          <w:rStyle w:val="FootnoteReference"/>
          <w:rFonts w:ascii="Cambria" w:hAnsi="Cambria"/>
          <w:color w:val="000000" w:themeColor="text1"/>
          <w:sz w:val="16"/>
          <w:szCs w:val="16"/>
        </w:rPr>
        <w:footnoteRef/>
      </w:r>
      <w:r w:rsidRPr="00864276">
        <w:rPr>
          <w:rFonts w:ascii="Cambria" w:hAnsi="Cambria"/>
          <w:color w:val="000000" w:themeColor="text1"/>
          <w:sz w:val="16"/>
          <w:szCs w:val="16"/>
          <w:lang w:val="es-AR"/>
        </w:rPr>
        <w:t xml:space="preserve"> </w:t>
      </w:r>
      <w:r w:rsidRPr="00864276">
        <w:rPr>
          <w:rFonts w:ascii="Cambria" w:hAnsi="Cambria"/>
          <w:b/>
          <w:color w:val="000000" w:themeColor="text1"/>
          <w:sz w:val="16"/>
          <w:szCs w:val="16"/>
          <w:lang w:val="es-ES"/>
        </w:rPr>
        <w:t>ANEXO 25.</w:t>
      </w:r>
      <w:r w:rsidRPr="00864276">
        <w:rPr>
          <w:rFonts w:ascii="Cambria" w:hAnsi="Cambria"/>
          <w:color w:val="000000" w:themeColor="text1"/>
          <w:sz w:val="16"/>
          <w:szCs w:val="16"/>
          <w:lang w:val="es-ES"/>
        </w:rPr>
        <w:t xml:space="preserve"> Sentencia de reemplazo dictada por la Segunda Sala de la Corte Suprema de Justicia de fecha 10 de septiembre de 2009, considerandos primero a cuarto. Anexo 4 a la comunicación de la parte peticionaria de fecha 12 de marzo de 2010.</w:t>
      </w:r>
    </w:p>
  </w:footnote>
  <w:footnote w:id="117">
    <w:p w14:paraId="4C7A3891" w14:textId="5A16FD7E" w:rsidR="00323FC1" w:rsidRPr="001D321F" w:rsidRDefault="00323FC1" w:rsidP="001D321F">
      <w:pPr>
        <w:pStyle w:val="FootnoteText"/>
        <w:jc w:val="both"/>
        <w:rPr>
          <w:rFonts w:ascii="Cambria" w:hAnsi="Cambria"/>
          <w:color w:val="000000" w:themeColor="text1"/>
          <w:sz w:val="16"/>
          <w:szCs w:val="16"/>
          <w:lang w:val="es-AR"/>
        </w:rPr>
      </w:pPr>
      <w:r w:rsidRPr="00864276">
        <w:rPr>
          <w:rStyle w:val="FootnoteReference"/>
          <w:rFonts w:ascii="Cambria" w:hAnsi="Cambria"/>
          <w:color w:val="000000" w:themeColor="text1"/>
          <w:sz w:val="16"/>
          <w:szCs w:val="16"/>
        </w:rPr>
        <w:footnoteRef/>
      </w:r>
      <w:r w:rsidRPr="00864276">
        <w:rPr>
          <w:rFonts w:ascii="Cambria" w:hAnsi="Cambria"/>
          <w:color w:val="000000" w:themeColor="text1"/>
          <w:sz w:val="16"/>
          <w:szCs w:val="16"/>
          <w:lang w:val="es-AR"/>
        </w:rPr>
        <w:t xml:space="preserve"> </w:t>
      </w:r>
      <w:r w:rsidRPr="00864276">
        <w:rPr>
          <w:rFonts w:ascii="Cambria" w:hAnsi="Cambria"/>
          <w:b/>
          <w:color w:val="000000" w:themeColor="text1"/>
          <w:sz w:val="16"/>
          <w:szCs w:val="16"/>
          <w:lang w:val="es-ES"/>
        </w:rPr>
        <w:t>ANEXO 25.</w:t>
      </w:r>
      <w:r w:rsidRPr="00864276">
        <w:rPr>
          <w:rFonts w:ascii="Cambria" w:hAnsi="Cambria"/>
          <w:color w:val="000000" w:themeColor="text1"/>
          <w:sz w:val="16"/>
          <w:szCs w:val="16"/>
          <w:lang w:val="es-ES"/>
        </w:rPr>
        <w:t xml:space="preserve"> Sentencia de reemplazo dictada por la Segunda Sala de la Corte Suprema de Justicia de fecha 10 de septiembre de 2009, considerandos quinto a séptimo. Anexo 4 a la comunicación de la parte peticionaria de fecha 12 de marzo de 2010.</w:t>
      </w:r>
    </w:p>
  </w:footnote>
  <w:footnote w:id="118">
    <w:p w14:paraId="07D8F19D" w14:textId="13588D1C" w:rsidR="00323FC1" w:rsidRPr="00864276" w:rsidRDefault="00323FC1" w:rsidP="001D321F">
      <w:pPr>
        <w:pStyle w:val="FootnoteText"/>
        <w:jc w:val="both"/>
        <w:rPr>
          <w:rFonts w:ascii="Cambria" w:hAnsi="Cambria"/>
          <w:color w:val="000000" w:themeColor="text1"/>
          <w:sz w:val="16"/>
          <w:szCs w:val="16"/>
          <w:lang w:val="es-AR"/>
        </w:rPr>
      </w:pPr>
      <w:r w:rsidRPr="00864276">
        <w:rPr>
          <w:rStyle w:val="FootnoteReference"/>
          <w:rFonts w:ascii="Cambria" w:hAnsi="Cambria"/>
          <w:color w:val="000000" w:themeColor="text1"/>
          <w:sz w:val="16"/>
          <w:szCs w:val="16"/>
        </w:rPr>
        <w:footnoteRef/>
      </w:r>
      <w:r w:rsidRPr="00864276">
        <w:rPr>
          <w:rFonts w:ascii="Cambria" w:hAnsi="Cambria"/>
          <w:color w:val="000000" w:themeColor="text1"/>
          <w:sz w:val="16"/>
          <w:szCs w:val="16"/>
          <w:lang w:val="es-AR"/>
        </w:rPr>
        <w:t xml:space="preserve"> </w:t>
      </w:r>
      <w:r w:rsidRPr="00864276">
        <w:rPr>
          <w:rFonts w:ascii="Cambria" w:hAnsi="Cambria"/>
          <w:b/>
          <w:color w:val="000000" w:themeColor="text1"/>
          <w:sz w:val="16"/>
          <w:szCs w:val="16"/>
          <w:lang w:val="es-ES"/>
        </w:rPr>
        <w:t>ANEXO 25.</w:t>
      </w:r>
      <w:r w:rsidRPr="00864276">
        <w:rPr>
          <w:rFonts w:ascii="Cambria" w:hAnsi="Cambria"/>
          <w:color w:val="000000" w:themeColor="text1"/>
          <w:sz w:val="16"/>
          <w:szCs w:val="16"/>
          <w:lang w:val="es-ES"/>
        </w:rPr>
        <w:t xml:space="preserve"> Sentencia de reemplazo dictada por la Segunda Sala de la Corte Suprema de Justicia de fecha 10 de septiembre de 2009, considerando noveno. Anexo 4 a la comunicación de la parte peticionaria de fecha 12 de marzo de 2010.</w:t>
      </w:r>
    </w:p>
  </w:footnote>
  <w:footnote w:id="119">
    <w:p w14:paraId="28B9CCD5" w14:textId="247BDD65" w:rsidR="00323FC1" w:rsidRPr="00864276" w:rsidRDefault="00323FC1" w:rsidP="001D321F">
      <w:pPr>
        <w:pStyle w:val="FootnoteText"/>
        <w:jc w:val="both"/>
        <w:rPr>
          <w:rFonts w:ascii="Cambria" w:hAnsi="Cambria"/>
          <w:color w:val="000000" w:themeColor="text1"/>
          <w:sz w:val="16"/>
          <w:szCs w:val="16"/>
          <w:lang w:val="es-AR"/>
        </w:rPr>
      </w:pPr>
      <w:r w:rsidRPr="00864276">
        <w:rPr>
          <w:rStyle w:val="FootnoteReference"/>
          <w:rFonts w:ascii="Cambria" w:hAnsi="Cambria"/>
          <w:color w:val="000000" w:themeColor="text1"/>
          <w:sz w:val="16"/>
          <w:szCs w:val="16"/>
        </w:rPr>
        <w:footnoteRef/>
      </w:r>
      <w:r w:rsidRPr="00864276">
        <w:rPr>
          <w:rFonts w:ascii="Cambria" w:hAnsi="Cambria"/>
          <w:color w:val="000000" w:themeColor="text1"/>
          <w:sz w:val="16"/>
          <w:szCs w:val="16"/>
          <w:lang w:val="es-AR"/>
        </w:rPr>
        <w:t xml:space="preserve"> </w:t>
      </w:r>
      <w:r w:rsidRPr="00864276">
        <w:rPr>
          <w:rFonts w:ascii="Cambria" w:hAnsi="Cambria"/>
          <w:b/>
          <w:color w:val="000000" w:themeColor="text1"/>
          <w:sz w:val="16"/>
          <w:szCs w:val="16"/>
          <w:lang w:val="es-ES"/>
        </w:rPr>
        <w:t>ANEXO 25.</w:t>
      </w:r>
      <w:r w:rsidRPr="00864276">
        <w:rPr>
          <w:rFonts w:ascii="Cambria" w:hAnsi="Cambria"/>
          <w:color w:val="000000" w:themeColor="text1"/>
          <w:sz w:val="16"/>
          <w:szCs w:val="16"/>
          <w:lang w:val="es-ES"/>
        </w:rPr>
        <w:t xml:space="preserve"> Sentencia de reemplazo dictada por la Segunda Sala de la Corte Suprema de Justicia de fecha 10 de septiembre de 2009, considerandos décimo y undécimo y puntos resolutivos I y II. Anexo 4 a la comunicación de la parte peticionaria de fecha 12 de marzo de 2010.</w:t>
      </w:r>
    </w:p>
  </w:footnote>
  <w:footnote w:id="120">
    <w:p w14:paraId="7AF3D514" w14:textId="5770D2C7" w:rsidR="00323FC1" w:rsidRPr="00864276" w:rsidRDefault="00323FC1" w:rsidP="001D321F">
      <w:pPr>
        <w:pStyle w:val="FootnoteText"/>
        <w:jc w:val="both"/>
        <w:rPr>
          <w:rFonts w:ascii="Cambria" w:hAnsi="Cambria"/>
          <w:color w:val="000000" w:themeColor="text1"/>
          <w:sz w:val="16"/>
          <w:szCs w:val="16"/>
          <w:lang w:val="es-ES"/>
        </w:rPr>
      </w:pPr>
      <w:r w:rsidRPr="00864276">
        <w:rPr>
          <w:rStyle w:val="FootnoteReference"/>
          <w:rFonts w:ascii="Cambria" w:hAnsi="Cambria"/>
          <w:color w:val="000000" w:themeColor="text1"/>
          <w:sz w:val="16"/>
          <w:szCs w:val="16"/>
          <w:lang w:val="es-ES"/>
        </w:rPr>
        <w:footnoteRef/>
      </w:r>
      <w:r w:rsidRPr="00864276">
        <w:rPr>
          <w:rFonts w:ascii="Cambria" w:hAnsi="Cambria"/>
          <w:color w:val="000000" w:themeColor="text1"/>
          <w:sz w:val="16"/>
          <w:szCs w:val="16"/>
          <w:lang w:val="es-ES"/>
        </w:rPr>
        <w:t xml:space="preserve"> </w:t>
      </w:r>
      <w:r w:rsidRPr="00864276">
        <w:rPr>
          <w:rFonts w:ascii="Cambria" w:hAnsi="Cambria"/>
          <w:b/>
          <w:color w:val="000000" w:themeColor="text1"/>
          <w:sz w:val="16"/>
          <w:szCs w:val="16"/>
          <w:lang w:val="es-ES"/>
        </w:rPr>
        <w:t>ANEXO 26.</w:t>
      </w:r>
      <w:r w:rsidRPr="00864276">
        <w:rPr>
          <w:rFonts w:ascii="Cambria" w:hAnsi="Cambria"/>
          <w:color w:val="000000" w:themeColor="text1"/>
          <w:sz w:val="16"/>
          <w:szCs w:val="16"/>
          <w:lang w:val="es-ES"/>
        </w:rPr>
        <w:t xml:space="preserve"> Sentencia dictada por el Ministro en Visita Extraordinaria Juan Eduardo Fuentes Belmar, autos Rol 11.844 (Octavo Juzgado del Crimen de Santiago) de fecha 18 de diciembre de 2006, considerandos octavo y noveno. Anexo 1 a la comunicación de la parte peticionaria recibida por la Comisión el 1 de abril de 2010. </w:t>
      </w:r>
    </w:p>
  </w:footnote>
  <w:footnote w:id="121">
    <w:p w14:paraId="774247F7" w14:textId="09C0A137" w:rsidR="00323FC1" w:rsidRPr="00864276" w:rsidRDefault="00323FC1" w:rsidP="001D321F">
      <w:pPr>
        <w:pStyle w:val="FootnoteText"/>
        <w:jc w:val="both"/>
        <w:rPr>
          <w:rFonts w:ascii="Cambria" w:hAnsi="Cambria"/>
          <w:color w:val="000000" w:themeColor="text1"/>
          <w:sz w:val="16"/>
          <w:szCs w:val="16"/>
          <w:lang w:val="es-AR"/>
        </w:rPr>
      </w:pPr>
      <w:r w:rsidRPr="00864276">
        <w:rPr>
          <w:rStyle w:val="FootnoteReference"/>
          <w:rFonts w:ascii="Cambria" w:hAnsi="Cambria"/>
          <w:color w:val="000000" w:themeColor="text1"/>
          <w:sz w:val="16"/>
          <w:szCs w:val="16"/>
        </w:rPr>
        <w:footnoteRef/>
      </w:r>
      <w:r w:rsidRPr="00864276">
        <w:rPr>
          <w:rFonts w:ascii="Cambria" w:hAnsi="Cambria"/>
          <w:color w:val="000000" w:themeColor="text1"/>
          <w:sz w:val="16"/>
          <w:szCs w:val="16"/>
          <w:lang w:val="es-AR"/>
        </w:rPr>
        <w:t xml:space="preserve"> </w:t>
      </w:r>
      <w:r w:rsidRPr="00864276">
        <w:rPr>
          <w:rFonts w:ascii="Cambria" w:hAnsi="Cambria"/>
          <w:b/>
          <w:color w:val="000000" w:themeColor="text1"/>
          <w:sz w:val="16"/>
          <w:szCs w:val="16"/>
          <w:lang w:val="es-ES"/>
        </w:rPr>
        <w:t>ANEXO 26.</w:t>
      </w:r>
      <w:r w:rsidRPr="00864276">
        <w:rPr>
          <w:rFonts w:ascii="Cambria" w:hAnsi="Cambria"/>
          <w:color w:val="000000" w:themeColor="text1"/>
          <w:sz w:val="16"/>
          <w:szCs w:val="16"/>
          <w:lang w:val="es-ES"/>
        </w:rPr>
        <w:t xml:space="preserve"> Sentencia dictada por el Ministro en Visita Extraordinaria Juan Eduardo Fuentes Belmar, autos Rol 11.844 (Octavo Juzgado del Crimen de Santiago) de fecha 18 de diciembre de 2006, considerandos octavo y noveno. Anexo 1 a la comunicación de la parte peticionaria recibida </w:t>
      </w:r>
      <w:r w:rsidRPr="00864276">
        <w:rPr>
          <w:rFonts w:ascii="Cambria" w:hAnsi="Cambria"/>
          <w:color w:val="000000" w:themeColor="text1"/>
          <w:sz w:val="16"/>
          <w:szCs w:val="16"/>
          <w:lang w:val="es-AR"/>
        </w:rPr>
        <w:t>por la Comisión el 1 de abril de 2010.</w:t>
      </w:r>
    </w:p>
  </w:footnote>
  <w:footnote w:id="122">
    <w:p w14:paraId="44CFB78E" w14:textId="1FCCC90A" w:rsidR="00323FC1" w:rsidRPr="001D321F" w:rsidRDefault="00323FC1" w:rsidP="001D321F">
      <w:pPr>
        <w:pStyle w:val="FootnoteText"/>
        <w:jc w:val="both"/>
        <w:rPr>
          <w:rFonts w:ascii="Cambria" w:hAnsi="Cambria"/>
          <w:color w:val="000000" w:themeColor="text1"/>
          <w:sz w:val="16"/>
          <w:szCs w:val="16"/>
          <w:lang w:val="es-AR"/>
        </w:rPr>
      </w:pPr>
      <w:r w:rsidRPr="00864276">
        <w:rPr>
          <w:rStyle w:val="FootnoteReference"/>
          <w:rFonts w:ascii="Cambria" w:hAnsi="Cambria"/>
          <w:color w:val="000000" w:themeColor="text1"/>
          <w:sz w:val="16"/>
          <w:szCs w:val="16"/>
          <w:lang w:val="es-AR"/>
        </w:rPr>
        <w:footnoteRef/>
      </w:r>
      <w:r w:rsidRPr="00864276">
        <w:rPr>
          <w:rFonts w:ascii="Cambria" w:hAnsi="Cambria"/>
          <w:color w:val="000000" w:themeColor="text1"/>
          <w:sz w:val="16"/>
          <w:szCs w:val="16"/>
          <w:lang w:val="es-AR"/>
        </w:rPr>
        <w:t xml:space="preserve"> Informe de la Comisión Nacional de Verdad y Reconciliación. </w:t>
      </w:r>
      <w:r w:rsidRPr="00864276">
        <w:rPr>
          <w:rFonts w:ascii="Cambria" w:hAnsi="Cambria"/>
          <w:color w:val="000000" w:themeColor="text1"/>
          <w:sz w:val="16"/>
          <w:szCs w:val="16"/>
          <w:lang w:val="pt-BR"/>
        </w:rPr>
        <w:t xml:space="preserve">Tomo I, Volumen II, pág. 735; </w:t>
      </w:r>
      <w:r w:rsidRPr="00864276">
        <w:rPr>
          <w:rFonts w:ascii="Cambria" w:hAnsi="Cambria"/>
          <w:b/>
          <w:color w:val="000000" w:themeColor="text1"/>
          <w:sz w:val="16"/>
          <w:szCs w:val="16"/>
          <w:lang w:val="pt-BR"/>
        </w:rPr>
        <w:t>ANEXO 26.</w:t>
      </w:r>
      <w:r w:rsidRPr="00864276">
        <w:rPr>
          <w:rFonts w:ascii="Cambria" w:hAnsi="Cambria"/>
          <w:color w:val="000000" w:themeColor="text1"/>
          <w:sz w:val="16"/>
          <w:szCs w:val="16"/>
          <w:lang w:val="pt-BR"/>
        </w:rPr>
        <w:t xml:space="preserve"> </w:t>
      </w:r>
      <w:r w:rsidRPr="00864276">
        <w:rPr>
          <w:rFonts w:ascii="Cambria" w:hAnsi="Cambria"/>
          <w:color w:val="000000" w:themeColor="text1"/>
          <w:sz w:val="16"/>
          <w:szCs w:val="16"/>
          <w:lang w:val="es-AR"/>
        </w:rPr>
        <w:t>Sentencia dictada por el Ministro en Visita Extraordinaria Juan Eduardo Fuentes Belmar, autos Rol 11.844 (Octavo Juzgado del Crimen de Santiago) de fecha 18 de diciembre de 2006, considerando noveno. Anexo 1 a la comunicación de la parte peticionaria recibida por la Comisión el 1 de abril de 2010.</w:t>
      </w:r>
    </w:p>
  </w:footnote>
  <w:footnote w:id="123">
    <w:p w14:paraId="6FC1A0EB" w14:textId="22A9D508" w:rsidR="00323FC1" w:rsidRPr="00864276" w:rsidRDefault="00323FC1" w:rsidP="001D321F">
      <w:pPr>
        <w:pStyle w:val="FootnoteText"/>
        <w:jc w:val="both"/>
        <w:rPr>
          <w:rFonts w:ascii="Cambria" w:hAnsi="Cambria"/>
          <w:color w:val="000000" w:themeColor="text1"/>
          <w:sz w:val="16"/>
          <w:szCs w:val="16"/>
          <w:lang w:val="es-AR"/>
        </w:rPr>
      </w:pPr>
      <w:r w:rsidRPr="00864276">
        <w:rPr>
          <w:rStyle w:val="FootnoteReference"/>
          <w:rFonts w:ascii="Cambria" w:hAnsi="Cambria"/>
          <w:color w:val="000000" w:themeColor="text1"/>
          <w:sz w:val="16"/>
          <w:szCs w:val="16"/>
          <w:lang w:val="es-AR"/>
        </w:rPr>
        <w:footnoteRef/>
      </w:r>
      <w:r w:rsidRPr="00864276">
        <w:rPr>
          <w:rFonts w:ascii="Cambria" w:hAnsi="Cambria"/>
          <w:color w:val="000000" w:themeColor="text1"/>
          <w:sz w:val="16"/>
          <w:szCs w:val="16"/>
          <w:lang w:val="es-AR"/>
        </w:rPr>
        <w:t xml:space="preserve"> </w:t>
      </w:r>
      <w:r w:rsidRPr="00864276">
        <w:rPr>
          <w:rFonts w:ascii="Cambria" w:hAnsi="Cambria"/>
          <w:b/>
          <w:color w:val="000000" w:themeColor="text1"/>
          <w:sz w:val="16"/>
          <w:szCs w:val="16"/>
          <w:lang w:val="es-AR"/>
        </w:rPr>
        <w:t>ANEXO 26.</w:t>
      </w:r>
      <w:r w:rsidRPr="00864276">
        <w:rPr>
          <w:rFonts w:ascii="Cambria" w:hAnsi="Cambria"/>
          <w:color w:val="000000" w:themeColor="text1"/>
          <w:sz w:val="16"/>
          <w:szCs w:val="16"/>
          <w:lang w:val="es-AR"/>
        </w:rPr>
        <w:t xml:space="preserve"> Sentencia dictada por el Ministro en Visita Extraordinaria Juan Eduardo Fuentes Belmar, autos Rol 11.844 (Octavo Juzgado del Crimen de Santiago) de fecha 18 de diciembre de 2006, considerandos octavo y noveno. Anexo 1 a la comunicación de la parte peticionaria recibida por la Comisión el 1 de abril de 2010.</w:t>
      </w:r>
    </w:p>
  </w:footnote>
  <w:footnote w:id="124">
    <w:p w14:paraId="72474B82" w14:textId="7D627D98" w:rsidR="00323FC1" w:rsidRPr="00864276" w:rsidRDefault="00323FC1" w:rsidP="001D321F">
      <w:pPr>
        <w:pStyle w:val="FootnoteText"/>
        <w:jc w:val="both"/>
        <w:rPr>
          <w:rFonts w:ascii="Cambria" w:hAnsi="Cambria"/>
          <w:color w:val="000000" w:themeColor="text1"/>
          <w:sz w:val="16"/>
          <w:szCs w:val="16"/>
          <w:lang w:val="es-AR"/>
        </w:rPr>
      </w:pPr>
      <w:r w:rsidRPr="00864276">
        <w:rPr>
          <w:rStyle w:val="FootnoteReference"/>
          <w:rFonts w:ascii="Cambria" w:hAnsi="Cambria"/>
          <w:color w:val="000000" w:themeColor="text1"/>
          <w:sz w:val="16"/>
          <w:szCs w:val="16"/>
          <w:lang w:val="es-AR"/>
        </w:rPr>
        <w:footnoteRef/>
      </w:r>
      <w:r w:rsidRPr="00864276">
        <w:rPr>
          <w:rFonts w:ascii="Cambria" w:hAnsi="Cambria"/>
          <w:color w:val="000000" w:themeColor="text1"/>
          <w:sz w:val="16"/>
          <w:szCs w:val="16"/>
          <w:lang w:val="es-AR"/>
        </w:rPr>
        <w:t xml:space="preserve"> Informe de la Comisión Nacional de Verdad y Reconciliación. </w:t>
      </w:r>
      <w:r w:rsidRPr="00864276">
        <w:rPr>
          <w:rFonts w:ascii="Cambria" w:hAnsi="Cambria"/>
          <w:color w:val="000000" w:themeColor="text1"/>
          <w:sz w:val="16"/>
          <w:szCs w:val="16"/>
          <w:lang w:val="pt-BR"/>
        </w:rPr>
        <w:t xml:space="preserve">Tomo I, Volumen II, pág. 733 y 734; </w:t>
      </w:r>
      <w:r w:rsidRPr="00864276">
        <w:rPr>
          <w:rFonts w:ascii="Cambria" w:hAnsi="Cambria"/>
          <w:b/>
          <w:color w:val="000000" w:themeColor="text1"/>
          <w:sz w:val="16"/>
          <w:szCs w:val="16"/>
          <w:lang w:val="pt-BR"/>
        </w:rPr>
        <w:t>ANEXO 26.</w:t>
      </w:r>
      <w:r w:rsidRPr="00864276">
        <w:rPr>
          <w:rFonts w:ascii="Cambria" w:hAnsi="Cambria"/>
          <w:color w:val="000000" w:themeColor="text1"/>
          <w:sz w:val="16"/>
          <w:szCs w:val="16"/>
          <w:lang w:val="pt-BR"/>
        </w:rPr>
        <w:t xml:space="preserve"> </w:t>
      </w:r>
      <w:r w:rsidRPr="00864276">
        <w:rPr>
          <w:rFonts w:ascii="Cambria" w:hAnsi="Cambria"/>
          <w:color w:val="000000" w:themeColor="text1"/>
          <w:sz w:val="16"/>
          <w:szCs w:val="16"/>
          <w:lang w:val="es-AR"/>
        </w:rPr>
        <w:t>Sentencia dictada por el Ministro en Visita Extraordinaria Juan Eduardo Fuentes Belmar, autos Rol 11.844 (Octavo Juzgado del Crimen de Santiago) de fecha 18 de diciembre de 2006, considerandos octavo y noveno. Anexo 1 a la comunicación de la parte peticionaria recibida por la Comisión el 1 de abril de 2010.</w:t>
      </w:r>
    </w:p>
  </w:footnote>
  <w:footnote w:id="125">
    <w:p w14:paraId="3428A90C" w14:textId="22F84A4E" w:rsidR="00323FC1" w:rsidRPr="00864276" w:rsidRDefault="00323FC1" w:rsidP="001D321F">
      <w:pPr>
        <w:pStyle w:val="FootnoteText"/>
        <w:jc w:val="both"/>
        <w:rPr>
          <w:rFonts w:ascii="Cambria" w:hAnsi="Cambria"/>
          <w:color w:val="000000" w:themeColor="text1"/>
          <w:sz w:val="16"/>
          <w:szCs w:val="16"/>
          <w:lang w:val="es-AR"/>
        </w:rPr>
      </w:pPr>
      <w:r w:rsidRPr="00864276">
        <w:rPr>
          <w:rStyle w:val="FootnoteReference"/>
          <w:rFonts w:ascii="Cambria" w:hAnsi="Cambria"/>
          <w:color w:val="000000" w:themeColor="text1"/>
          <w:sz w:val="16"/>
          <w:szCs w:val="16"/>
          <w:lang w:val="es-AR"/>
        </w:rPr>
        <w:footnoteRef/>
      </w:r>
      <w:r w:rsidRPr="00864276">
        <w:rPr>
          <w:rFonts w:ascii="Cambria" w:hAnsi="Cambria"/>
          <w:color w:val="000000" w:themeColor="text1"/>
          <w:sz w:val="16"/>
          <w:szCs w:val="16"/>
          <w:lang w:val="es-AR"/>
        </w:rPr>
        <w:t xml:space="preserve"> </w:t>
      </w:r>
      <w:r w:rsidRPr="00864276">
        <w:rPr>
          <w:rFonts w:ascii="Cambria" w:hAnsi="Cambria"/>
          <w:b/>
          <w:color w:val="000000" w:themeColor="text1"/>
          <w:sz w:val="16"/>
          <w:szCs w:val="16"/>
          <w:lang w:val="es-AR"/>
        </w:rPr>
        <w:t>ANEXO 26.</w:t>
      </w:r>
      <w:r w:rsidRPr="00864276">
        <w:rPr>
          <w:rFonts w:ascii="Cambria" w:hAnsi="Cambria"/>
          <w:color w:val="000000" w:themeColor="text1"/>
          <w:sz w:val="16"/>
          <w:szCs w:val="16"/>
          <w:lang w:val="es-AR"/>
        </w:rPr>
        <w:t xml:space="preserve"> Sentencia dictada por el Ministro en Visita Extraordinaria Juan Eduardo Fuentes Belmar, autos Rol 11.844 (Octavo Juzgado del Crimen de Santiago) de fecha 18 de diciembre de 2006, considerandos octavo y noveno. Anexo 1 a la comunicación de la parte peticionaria recibida por la Comisión el 1 de abril de 2010.</w:t>
      </w:r>
    </w:p>
  </w:footnote>
  <w:footnote w:id="126">
    <w:p w14:paraId="16E9FDB7" w14:textId="642BEB64" w:rsidR="00323FC1" w:rsidRPr="00864276" w:rsidRDefault="00323FC1" w:rsidP="001D321F">
      <w:pPr>
        <w:pStyle w:val="FootnoteText"/>
        <w:jc w:val="both"/>
        <w:rPr>
          <w:rFonts w:ascii="Cambria" w:hAnsi="Cambria"/>
          <w:color w:val="000000" w:themeColor="text1"/>
          <w:sz w:val="16"/>
          <w:szCs w:val="16"/>
          <w:lang w:val="es-AR"/>
        </w:rPr>
      </w:pPr>
      <w:r w:rsidRPr="00864276">
        <w:rPr>
          <w:rStyle w:val="FootnoteReference"/>
          <w:rFonts w:ascii="Cambria" w:hAnsi="Cambria"/>
          <w:color w:val="000000" w:themeColor="text1"/>
          <w:sz w:val="16"/>
          <w:szCs w:val="16"/>
        </w:rPr>
        <w:footnoteRef/>
      </w:r>
      <w:r w:rsidRPr="00864276">
        <w:rPr>
          <w:rFonts w:ascii="Cambria" w:hAnsi="Cambria"/>
          <w:color w:val="000000" w:themeColor="text1"/>
          <w:sz w:val="16"/>
          <w:szCs w:val="16"/>
          <w:lang w:val="es-AR"/>
        </w:rPr>
        <w:t xml:space="preserve"> </w:t>
      </w:r>
      <w:r w:rsidRPr="00864276">
        <w:rPr>
          <w:rFonts w:ascii="Cambria" w:hAnsi="Cambria"/>
          <w:b/>
          <w:color w:val="000000" w:themeColor="text1"/>
          <w:sz w:val="16"/>
          <w:szCs w:val="16"/>
          <w:lang w:val="es-ES"/>
        </w:rPr>
        <w:t>ANEXO 26.</w:t>
      </w:r>
      <w:r w:rsidRPr="00864276">
        <w:rPr>
          <w:rFonts w:ascii="Cambria" w:hAnsi="Cambria"/>
          <w:color w:val="000000" w:themeColor="text1"/>
          <w:sz w:val="16"/>
          <w:szCs w:val="16"/>
          <w:lang w:val="es-ES"/>
        </w:rPr>
        <w:t xml:space="preserve"> Sentencia dictada por el Ministro en Visita Extraordinaria Juan Eduardo Fuentes Belmar, autos Rol 11.844 (Octavo Juzgado del Crimen de Santiago) de fecha 18 de diciembre de 2006, considerando octavo, Anexo 1 a la comunicación de la parte peticionaria recibida por la Comisión el 1 de abril de 2010.</w:t>
      </w:r>
    </w:p>
  </w:footnote>
  <w:footnote w:id="127">
    <w:p w14:paraId="29B70C7B" w14:textId="7126499E" w:rsidR="00323FC1" w:rsidRPr="00864276" w:rsidRDefault="00323FC1" w:rsidP="001D321F">
      <w:pPr>
        <w:pStyle w:val="FootnoteText"/>
        <w:jc w:val="both"/>
        <w:rPr>
          <w:rFonts w:ascii="Cambria" w:hAnsi="Cambria"/>
          <w:color w:val="000000" w:themeColor="text1"/>
          <w:sz w:val="16"/>
          <w:szCs w:val="16"/>
          <w:lang w:val="es-AR"/>
        </w:rPr>
      </w:pPr>
      <w:r w:rsidRPr="00864276">
        <w:rPr>
          <w:rStyle w:val="FootnoteReference"/>
          <w:rFonts w:ascii="Cambria" w:hAnsi="Cambria"/>
          <w:color w:val="000000" w:themeColor="text1"/>
          <w:sz w:val="16"/>
          <w:szCs w:val="16"/>
        </w:rPr>
        <w:footnoteRef/>
      </w:r>
      <w:r w:rsidRPr="00864276">
        <w:rPr>
          <w:rFonts w:ascii="Cambria" w:hAnsi="Cambria"/>
          <w:color w:val="000000" w:themeColor="text1"/>
          <w:sz w:val="16"/>
          <w:szCs w:val="16"/>
          <w:lang w:val="es-AR"/>
        </w:rPr>
        <w:t xml:space="preserve"> </w:t>
      </w:r>
      <w:r w:rsidRPr="00864276">
        <w:rPr>
          <w:rFonts w:ascii="Cambria" w:hAnsi="Cambria"/>
          <w:b/>
          <w:color w:val="000000" w:themeColor="text1"/>
          <w:sz w:val="16"/>
          <w:szCs w:val="16"/>
          <w:lang w:val="es-ES"/>
        </w:rPr>
        <w:t>ANEXO 26.</w:t>
      </w:r>
      <w:r w:rsidRPr="00864276">
        <w:rPr>
          <w:rFonts w:ascii="Cambria" w:hAnsi="Cambria"/>
          <w:color w:val="000000" w:themeColor="text1"/>
          <w:sz w:val="16"/>
          <w:szCs w:val="16"/>
          <w:lang w:val="es-ES"/>
        </w:rPr>
        <w:t xml:space="preserve"> Sentencia dictada por el Ministro en Visita Extraordinaria Juan Eduardo Fuentes Belmar, autos Rol 11.844 (Octavo Juzgado del Crimen de Santiago) de fecha 18 de diciembre de 2006, puntos resolutivos II a V, Anexo 1 a la comunicación de la parte peticionaria recibida por la Comisión el 1 de abril de 2010.</w:t>
      </w:r>
    </w:p>
  </w:footnote>
  <w:footnote w:id="128">
    <w:p w14:paraId="6E668A98" w14:textId="4903C59B" w:rsidR="00323FC1" w:rsidRPr="001D321F" w:rsidRDefault="00323FC1" w:rsidP="001D321F">
      <w:pPr>
        <w:pStyle w:val="FootnoteText"/>
        <w:jc w:val="both"/>
        <w:rPr>
          <w:rFonts w:ascii="Cambria" w:hAnsi="Cambria"/>
          <w:color w:val="000000" w:themeColor="text1"/>
          <w:sz w:val="16"/>
          <w:szCs w:val="16"/>
          <w:lang w:val="es-AR"/>
        </w:rPr>
      </w:pPr>
      <w:r w:rsidRPr="00864276">
        <w:rPr>
          <w:rStyle w:val="FootnoteReference"/>
          <w:rFonts w:ascii="Cambria" w:hAnsi="Cambria"/>
          <w:color w:val="000000" w:themeColor="text1"/>
          <w:sz w:val="16"/>
          <w:szCs w:val="16"/>
        </w:rPr>
        <w:footnoteRef/>
      </w:r>
      <w:r w:rsidRPr="00864276">
        <w:rPr>
          <w:rFonts w:ascii="Cambria" w:hAnsi="Cambria"/>
          <w:color w:val="000000" w:themeColor="text1"/>
          <w:sz w:val="16"/>
          <w:szCs w:val="16"/>
          <w:lang w:val="es-AR"/>
        </w:rPr>
        <w:t xml:space="preserve"> </w:t>
      </w:r>
      <w:r w:rsidRPr="00864276">
        <w:rPr>
          <w:rFonts w:ascii="Cambria" w:hAnsi="Cambria"/>
          <w:b/>
          <w:color w:val="000000" w:themeColor="text1"/>
          <w:sz w:val="16"/>
          <w:szCs w:val="16"/>
          <w:lang w:val="es-ES"/>
        </w:rPr>
        <w:t>ANEXO 26.</w:t>
      </w:r>
      <w:r w:rsidRPr="00864276">
        <w:rPr>
          <w:rFonts w:ascii="Cambria" w:hAnsi="Cambria"/>
          <w:color w:val="000000" w:themeColor="text1"/>
          <w:sz w:val="16"/>
          <w:szCs w:val="16"/>
          <w:lang w:val="es-ES"/>
        </w:rPr>
        <w:t xml:space="preserve"> Sentencia dictada por el Ministro en Visita Extraordinaria Juan Eduardo Fuentes Belmar, autos Rol 11.844 (Octavo Juzgado del Crimen de Santiago) de fecha 18 de diciembre de 2006, puntos resolutivos II a V, Anexo 1 a la comunicación de la parte peticionaria recibida por la Comisión el 1 de abril de 2010.</w:t>
      </w:r>
    </w:p>
  </w:footnote>
  <w:footnote w:id="129">
    <w:p w14:paraId="6EDFE719" w14:textId="4497071A" w:rsidR="00323FC1" w:rsidRPr="00864276" w:rsidRDefault="00323FC1" w:rsidP="001D321F">
      <w:pPr>
        <w:pStyle w:val="FootnoteText"/>
        <w:jc w:val="both"/>
        <w:rPr>
          <w:rFonts w:ascii="Cambria" w:hAnsi="Cambria"/>
          <w:color w:val="000000" w:themeColor="text1"/>
          <w:sz w:val="16"/>
          <w:szCs w:val="16"/>
          <w:lang w:val="es-ES"/>
        </w:rPr>
      </w:pPr>
      <w:r w:rsidRPr="00864276">
        <w:rPr>
          <w:rStyle w:val="FootnoteReference"/>
          <w:rFonts w:ascii="Cambria" w:hAnsi="Cambria"/>
          <w:color w:val="000000" w:themeColor="text1"/>
          <w:sz w:val="16"/>
          <w:szCs w:val="16"/>
          <w:lang w:val="es-ES"/>
        </w:rPr>
        <w:footnoteRef/>
      </w:r>
      <w:r w:rsidRPr="00864276">
        <w:rPr>
          <w:rFonts w:ascii="Cambria" w:hAnsi="Cambria"/>
          <w:color w:val="000000" w:themeColor="text1"/>
          <w:sz w:val="16"/>
          <w:szCs w:val="16"/>
          <w:lang w:val="es-ES"/>
        </w:rPr>
        <w:t xml:space="preserve"> </w:t>
      </w:r>
      <w:r w:rsidRPr="00864276">
        <w:rPr>
          <w:rFonts w:ascii="Cambria" w:hAnsi="Cambria"/>
          <w:b/>
          <w:color w:val="000000" w:themeColor="text1"/>
          <w:sz w:val="16"/>
          <w:szCs w:val="16"/>
          <w:lang w:val="es-ES"/>
        </w:rPr>
        <w:t>ANEXO 27.</w:t>
      </w:r>
      <w:r w:rsidRPr="00864276">
        <w:rPr>
          <w:rFonts w:ascii="Cambria" w:hAnsi="Cambria"/>
          <w:color w:val="000000" w:themeColor="text1"/>
          <w:sz w:val="16"/>
          <w:szCs w:val="16"/>
          <w:lang w:val="es-ES"/>
        </w:rPr>
        <w:t xml:space="preserve"> Sentencia de la Novena Sala de la Corte de Apelaciones de Santiago de fecha 12 de marzo de 2009. Anexo 2 a la comunicación de la parte peticionaria recibida por la Comisión el 1 de abril de 2010.</w:t>
      </w:r>
    </w:p>
  </w:footnote>
  <w:footnote w:id="130">
    <w:p w14:paraId="1EB189EB" w14:textId="71EC4265" w:rsidR="00323FC1" w:rsidRPr="00864276" w:rsidRDefault="00323FC1" w:rsidP="001D321F">
      <w:pPr>
        <w:pStyle w:val="FootnoteText"/>
        <w:jc w:val="both"/>
        <w:rPr>
          <w:rFonts w:ascii="Cambria" w:hAnsi="Cambria"/>
          <w:color w:val="000000" w:themeColor="text1"/>
          <w:sz w:val="16"/>
          <w:szCs w:val="16"/>
          <w:lang w:val="es-AR"/>
        </w:rPr>
      </w:pPr>
      <w:r w:rsidRPr="00864276">
        <w:rPr>
          <w:rStyle w:val="FootnoteReference"/>
          <w:rFonts w:ascii="Cambria" w:hAnsi="Cambria"/>
          <w:color w:val="000000" w:themeColor="text1"/>
          <w:sz w:val="16"/>
          <w:szCs w:val="16"/>
        </w:rPr>
        <w:footnoteRef/>
      </w:r>
      <w:r w:rsidRPr="00864276">
        <w:rPr>
          <w:rFonts w:ascii="Cambria" w:hAnsi="Cambria"/>
          <w:color w:val="000000" w:themeColor="text1"/>
          <w:sz w:val="16"/>
          <w:szCs w:val="16"/>
          <w:lang w:val="es-AR"/>
        </w:rPr>
        <w:t xml:space="preserve"> </w:t>
      </w:r>
      <w:r w:rsidRPr="00864276">
        <w:rPr>
          <w:rFonts w:ascii="Cambria" w:hAnsi="Cambria"/>
          <w:b/>
          <w:color w:val="000000" w:themeColor="text1"/>
          <w:sz w:val="16"/>
          <w:szCs w:val="16"/>
          <w:lang w:val="es-AR"/>
        </w:rPr>
        <w:t xml:space="preserve">ANEXO 27. </w:t>
      </w:r>
      <w:r w:rsidRPr="00864276">
        <w:rPr>
          <w:rFonts w:ascii="Cambria" w:hAnsi="Cambria"/>
          <w:color w:val="000000" w:themeColor="text1"/>
          <w:sz w:val="16"/>
          <w:szCs w:val="16"/>
          <w:lang w:val="es-ES"/>
        </w:rPr>
        <w:t>Sentencia de la Sala Segunda de la Corte Suprema de Justicia de fecha 29 de septiembre de 2009. Anexo 3 a la comunicación de la parte peticionaria recibida por la Comisión el 1 de abril de 2010.</w:t>
      </w:r>
    </w:p>
  </w:footnote>
  <w:footnote w:id="131">
    <w:p w14:paraId="1C04BC23" w14:textId="3E9ED933" w:rsidR="00323FC1" w:rsidRPr="00864276" w:rsidRDefault="00323FC1" w:rsidP="001D321F">
      <w:pPr>
        <w:pStyle w:val="FootnoteText"/>
        <w:jc w:val="both"/>
        <w:rPr>
          <w:rFonts w:ascii="Cambria" w:hAnsi="Cambria"/>
          <w:color w:val="000000" w:themeColor="text1"/>
          <w:sz w:val="16"/>
          <w:szCs w:val="16"/>
          <w:lang w:val="es-AR"/>
        </w:rPr>
      </w:pPr>
      <w:r w:rsidRPr="00864276">
        <w:rPr>
          <w:rStyle w:val="FootnoteReference"/>
          <w:rFonts w:ascii="Cambria" w:hAnsi="Cambria"/>
          <w:color w:val="000000" w:themeColor="text1"/>
          <w:sz w:val="16"/>
          <w:szCs w:val="16"/>
        </w:rPr>
        <w:footnoteRef/>
      </w:r>
      <w:r w:rsidRPr="00864276">
        <w:rPr>
          <w:rFonts w:ascii="Cambria" w:hAnsi="Cambria"/>
          <w:color w:val="000000" w:themeColor="text1"/>
          <w:sz w:val="16"/>
          <w:szCs w:val="16"/>
          <w:lang w:val="es-AR"/>
        </w:rPr>
        <w:t xml:space="preserve"> </w:t>
      </w:r>
      <w:r w:rsidRPr="00864276">
        <w:rPr>
          <w:rFonts w:ascii="Cambria" w:hAnsi="Cambria"/>
          <w:b/>
          <w:color w:val="000000" w:themeColor="text1"/>
          <w:sz w:val="16"/>
          <w:szCs w:val="16"/>
          <w:lang w:val="es-AR"/>
        </w:rPr>
        <w:t xml:space="preserve">ANEXO 1. </w:t>
      </w:r>
      <w:r w:rsidRPr="00864276">
        <w:rPr>
          <w:rFonts w:ascii="Cambria" w:hAnsi="Cambria"/>
          <w:color w:val="000000" w:themeColor="text1"/>
          <w:sz w:val="16"/>
          <w:szCs w:val="16"/>
          <w:lang w:val="es-ES"/>
        </w:rPr>
        <w:t>Sentencia de reemplazo de la Sala Segunda de la Corte Suprema de Justicia de fecha 29 de septiembre de 2009, considerando 2. Anexo 4 a la comunicación de la parte peticionaria recibida por la Comisión el 1 de abril de 2010.</w:t>
      </w:r>
    </w:p>
  </w:footnote>
  <w:footnote w:id="132">
    <w:p w14:paraId="7CB2544B" w14:textId="26F209EF" w:rsidR="00323FC1" w:rsidRPr="00864276" w:rsidRDefault="00323FC1" w:rsidP="001D321F">
      <w:pPr>
        <w:pStyle w:val="FootnoteText"/>
        <w:jc w:val="both"/>
        <w:rPr>
          <w:rFonts w:ascii="Cambria" w:hAnsi="Cambria"/>
          <w:color w:val="000000" w:themeColor="text1"/>
          <w:sz w:val="16"/>
          <w:szCs w:val="16"/>
          <w:lang w:val="es-AR"/>
        </w:rPr>
      </w:pPr>
      <w:r w:rsidRPr="00864276">
        <w:rPr>
          <w:rStyle w:val="FootnoteReference"/>
          <w:rFonts w:ascii="Cambria" w:hAnsi="Cambria"/>
          <w:color w:val="000000" w:themeColor="text1"/>
          <w:sz w:val="16"/>
          <w:szCs w:val="16"/>
        </w:rPr>
        <w:footnoteRef/>
      </w:r>
      <w:r w:rsidRPr="00864276">
        <w:rPr>
          <w:rFonts w:ascii="Cambria" w:hAnsi="Cambria"/>
          <w:color w:val="000000" w:themeColor="text1"/>
          <w:sz w:val="16"/>
          <w:szCs w:val="16"/>
          <w:lang w:val="es-AR"/>
        </w:rPr>
        <w:t xml:space="preserve"> </w:t>
      </w:r>
      <w:r w:rsidRPr="00864276">
        <w:rPr>
          <w:rFonts w:ascii="Cambria" w:hAnsi="Cambria"/>
          <w:b/>
          <w:color w:val="000000" w:themeColor="text1"/>
          <w:sz w:val="16"/>
          <w:szCs w:val="16"/>
          <w:lang w:val="es-AR"/>
        </w:rPr>
        <w:t xml:space="preserve">ANEXO 1. </w:t>
      </w:r>
      <w:r w:rsidRPr="00864276">
        <w:rPr>
          <w:rFonts w:ascii="Cambria" w:hAnsi="Cambria"/>
          <w:color w:val="000000" w:themeColor="text1"/>
          <w:sz w:val="16"/>
          <w:szCs w:val="16"/>
          <w:lang w:val="es-ES"/>
        </w:rPr>
        <w:t>Sentencia de reemplazo de la Sala Segunda de la Corte Suprema de Justicia de fecha 29 de septiembre de 2009, considerandos 11 a 13. Anexo 4 a la comunicación de la parte peticionaria recibida por la Comisión el 1 de abril de 2010.</w:t>
      </w:r>
    </w:p>
  </w:footnote>
  <w:footnote w:id="133">
    <w:p w14:paraId="6058A952" w14:textId="5271D764" w:rsidR="00323FC1" w:rsidRPr="00864276" w:rsidRDefault="00323FC1" w:rsidP="001D321F">
      <w:pPr>
        <w:pStyle w:val="FootnoteText"/>
        <w:jc w:val="both"/>
        <w:rPr>
          <w:rFonts w:ascii="Cambria" w:hAnsi="Cambria"/>
          <w:color w:val="000000" w:themeColor="text1"/>
          <w:sz w:val="16"/>
          <w:szCs w:val="16"/>
          <w:lang w:val="es-AR"/>
        </w:rPr>
      </w:pPr>
      <w:r w:rsidRPr="00864276">
        <w:rPr>
          <w:rStyle w:val="FootnoteReference"/>
          <w:rFonts w:ascii="Cambria" w:hAnsi="Cambria"/>
          <w:color w:val="000000" w:themeColor="text1"/>
          <w:sz w:val="16"/>
          <w:szCs w:val="16"/>
        </w:rPr>
        <w:footnoteRef/>
      </w:r>
      <w:r w:rsidRPr="00864276">
        <w:rPr>
          <w:rFonts w:ascii="Cambria" w:hAnsi="Cambria"/>
          <w:color w:val="000000" w:themeColor="text1"/>
          <w:sz w:val="16"/>
          <w:szCs w:val="16"/>
          <w:lang w:val="es-AR"/>
        </w:rPr>
        <w:t xml:space="preserve"> </w:t>
      </w:r>
      <w:r w:rsidRPr="00864276">
        <w:rPr>
          <w:rFonts w:ascii="Cambria" w:hAnsi="Cambria"/>
          <w:b/>
          <w:color w:val="000000" w:themeColor="text1"/>
          <w:sz w:val="16"/>
          <w:szCs w:val="16"/>
          <w:lang w:val="es-AR"/>
        </w:rPr>
        <w:t xml:space="preserve">ANEXO 1. </w:t>
      </w:r>
      <w:r w:rsidRPr="00864276">
        <w:rPr>
          <w:rFonts w:ascii="Cambria" w:hAnsi="Cambria"/>
          <w:color w:val="000000" w:themeColor="text1"/>
          <w:sz w:val="16"/>
          <w:szCs w:val="16"/>
          <w:lang w:val="es-ES"/>
        </w:rPr>
        <w:t>Sentencia de reemplazo de la Sala Segunda de la Corte Suprema de Justicia de fecha 29 de septiembre de 2009, considerando 28. Anexo 4 a la comunicación de la parte peticionaria recibida por la Comisión el 1 de abril de 2010.</w:t>
      </w:r>
    </w:p>
  </w:footnote>
  <w:footnote w:id="134">
    <w:p w14:paraId="4464942B" w14:textId="3D71713C" w:rsidR="00323FC1" w:rsidRPr="00864276" w:rsidRDefault="00323FC1" w:rsidP="001D321F">
      <w:pPr>
        <w:pStyle w:val="FootnoteText"/>
        <w:jc w:val="both"/>
        <w:rPr>
          <w:rFonts w:ascii="Cambria" w:hAnsi="Cambria"/>
          <w:color w:val="000000" w:themeColor="text1"/>
          <w:sz w:val="16"/>
          <w:szCs w:val="16"/>
          <w:lang w:val="es-AR"/>
        </w:rPr>
      </w:pPr>
      <w:r w:rsidRPr="00864276">
        <w:rPr>
          <w:rStyle w:val="FootnoteReference"/>
          <w:rFonts w:ascii="Cambria" w:hAnsi="Cambria"/>
          <w:color w:val="000000" w:themeColor="text1"/>
          <w:sz w:val="16"/>
          <w:szCs w:val="16"/>
        </w:rPr>
        <w:footnoteRef/>
      </w:r>
      <w:r w:rsidRPr="00864276">
        <w:rPr>
          <w:rFonts w:ascii="Cambria" w:hAnsi="Cambria"/>
          <w:b/>
          <w:color w:val="000000" w:themeColor="text1"/>
          <w:sz w:val="16"/>
          <w:szCs w:val="16"/>
          <w:lang w:val="es-AR"/>
        </w:rPr>
        <w:t xml:space="preserve"> ANEXO 1. </w:t>
      </w:r>
      <w:r w:rsidRPr="00864276">
        <w:rPr>
          <w:rFonts w:ascii="Cambria" w:hAnsi="Cambria"/>
          <w:color w:val="000000" w:themeColor="text1"/>
          <w:sz w:val="16"/>
          <w:szCs w:val="16"/>
          <w:lang w:val="es-ES"/>
        </w:rPr>
        <w:t>Sentencia de reemplazo de la Sala Segunda de la Corte Suprema de Justicia de fecha 29 de septiembre de 2009, considerando 28. Anexo 4 a la comunicación de la parte peticionaria recibida por la Comisión el 1 de abril de 2010.</w:t>
      </w:r>
    </w:p>
  </w:footnote>
  <w:footnote w:id="135">
    <w:p w14:paraId="6195063E" w14:textId="1B55BAB0" w:rsidR="00323FC1" w:rsidRPr="00864276" w:rsidRDefault="00323FC1" w:rsidP="001D321F">
      <w:pPr>
        <w:pStyle w:val="FootnoteText"/>
        <w:jc w:val="both"/>
        <w:rPr>
          <w:rFonts w:ascii="Cambria" w:hAnsi="Cambria"/>
          <w:color w:val="000000" w:themeColor="text1"/>
          <w:sz w:val="16"/>
          <w:szCs w:val="16"/>
          <w:lang w:val="es-AR"/>
        </w:rPr>
      </w:pPr>
      <w:r w:rsidRPr="00864276">
        <w:rPr>
          <w:rStyle w:val="FootnoteReference"/>
          <w:rFonts w:ascii="Cambria" w:hAnsi="Cambria"/>
          <w:color w:val="000000" w:themeColor="text1"/>
          <w:sz w:val="16"/>
          <w:szCs w:val="16"/>
        </w:rPr>
        <w:footnoteRef/>
      </w:r>
      <w:r w:rsidRPr="00864276">
        <w:rPr>
          <w:rFonts w:ascii="Cambria" w:hAnsi="Cambria"/>
          <w:color w:val="000000" w:themeColor="text1"/>
          <w:sz w:val="16"/>
          <w:szCs w:val="16"/>
          <w:lang w:val="es-AR"/>
        </w:rPr>
        <w:t xml:space="preserve"> </w:t>
      </w:r>
      <w:r w:rsidRPr="00864276">
        <w:rPr>
          <w:rFonts w:ascii="Cambria" w:hAnsi="Cambria"/>
          <w:b/>
          <w:color w:val="000000" w:themeColor="text1"/>
          <w:sz w:val="16"/>
          <w:szCs w:val="16"/>
          <w:lang w:val="es-AR"/>
        </w:rPr>
        <w:t xml:space="preserve">ANEXO 1. </w:t>
      </w:r>
      <w:r w:rsidRPr="00864276">
        <w:rPr>
          <w:rFonts w:ascii="Cambria" w:hAnsi="Cambria"/>
          <w:color w:val="000000" w:themeColor="text1"/>
          <w:sz w:val="16"/>
          <w:szCs w:val="16"/>
          <w:lang w:val="es-ES"/>
        </w:rPr>
        <w:t>Sentencia de reemplazo de la Sala Segunda de la Corte Suprema de Justicia de fecha 29 de septiembre de 2009, considerando 29. Anexo 4 a la comunicación de la parte peticionaria recibida por la Comisión el 1 de abril de 2010.</w:t>
      </w:r>
    </w:p>
  </w:footnote>
  <w:footnote w:id="136">
    <w:p w14:paraId="2D1D6373" w14:textId="7C7AB432" w:rsidR="00323FC1" w:rsidRPr="001D321F" w:rsidRDefault="00323FC1" w:rsidP="001D321F">
      <w:pPr>
        <w:pStyle w:val="FootnoteText"/>
        <w:jc w:val="both"/>
        <w:rPr>
          <w:rFonts w:ascii="Cambria" w:hAnsi="Cambria"/>
          <w:color w:val="000000" w:themeColor="text1"/>
          <w:sz w:val="16"/>
          <w:szCs w:val="16"/>
          <w:lang w:val="es-AR"/>
        </w:rPr>
      </w:pPr>
      <w:r w:rsidRPr="00864276">
        <w:rPr>
          <w:rStyle w:val="FootnoteReference"/>
          <w:rFonts w:ascii="Cambria" w:hAnsi="Cambria"/>
          <w:color w:val="000000" w:themeColor="text1"/>
          <w:sz w:val="16"/>
          <w:szCs w:val="16"/>
        </w:rPr>
        <w:footnoteRef/>
      </w:r>
      <w:r w:rsidRPr="00864276">
        <w:rPr>
          <w:rFonts w:ascii="Cambria" w:hAnsi="Cambria"/>
          <w:color w:val="000000" w:themeColor="text1"/>
          <w:sz w:val="16"/>
          <w:szCs w:val="16"/>
          <w:lang w:val="es-AR"/>
        </w:rPr>
        <w:t xml:space="preserve"> </w:t>
      </w:r>
      <w:r w:rsidRPr="00864276">
        <w:rPr>
          <w:rFonts w:ascii="Cambria" w:hAnsi="Cambria"/>
          <w:b/>
          <w:color w:val="000000" w:themeColor="text1"/>
          <w:sz w:val="16"/>
          <w:szCs w:val="16"/>
          <w:lang w:val="es-AR"/>
        </w:rPr>
        <w:t xml:space="preserve">ANEXO 1. </w:t>
      </w:r>
      <w:r w:rsidRPr="00864276">
        <w:rPr>
          <w:rFonts w:ascii="Cambria" w:hAnsi="Cambria"/>
          <w:color w:val="000000" w:themeColor="text1"/>
          <w:sz w:val="16"/>
          <w:szCs w:val="16"/>
          <w:lang w:val="es-ES"/>
        </w:rPr>
        <w:t>Sentencia de reemplazo de la Sala Segunda de la Corte Suprema de Justicia de fecha 29 de septiembre de 2009, considerando 29. Anexo 4 a la comunicación de la parte peticionaria recibida por la Comisión el 1 de abril de 2010.</w:t>
      </w:r>
    </w:p>
  </w:footnote>
  <w:footnote w:id="137">
    <w:p w14:paraId="5B7CEDF8" w14:textId="665B0F1B" w:rsidR="00323FC1" w:rsidRPr="00864276" w:rsidRDefault="00323FC1" w:rsidP="001D321F">
      <w:pPr>
        <w:pStyle w:val="FootnoteText"/>
        <w:jc w:val="both"/>
        <w:rPr>
          <w:rFonts w:ascii="Cambria" w:hAnsi="Cambria"/>
          <w:color w:val="000000" w:themeColor="text1"/>
          <w:sz w:val="16"/>
          <w:szCs w:val="16"/>
          <w:lang w:val="es-AR"/>
        </w:rPr>
      </w:pPr>
      <w:r w:rsidRPr="00864276">
        <w:rPr>
          <w:rStyle w:val="FootnoteReference"/>
          <w:rFonts w:ascii="Cambria" w:hAnsi="Cambria"/>
          <w:color w:val="000000" w:themeColor="text1"/>
          <w:sz w:val="16"/>
          <w:szCs w:val="16"/>
        </w:rPr>
        <w:footnoteRef/>
      </w:r>
      <w:r w:rsidRPr="00864276">
        <w:rPr>
          <w:rFonts w:ascii="Cambria" w:hAnsi="Cambria"/>
          <w:color w:val="000000" w:themeColor="text1"/>
          <w:sz w:val="16"/>
          <w:szCs w:val="16"/>
          <w:lang w:val="es-AR"/>
        </w:rPr>
        <w:t xml:space="preserve"> </w:t>
      </w:r>
      <w:r w:rsidRPr="00864276">
        <w:rPr>
          <w:rFonts w:ascii="Cambria" w:hAnsi="Cambria"/>
          <w:b/>
          <w:color w:val="000000" w:themeColor="text1"/>
          <w:sz w:val="16"/>
          <w:szCs w:val="16"/>
          <w:lang w:val="es-AR"/>
        </w:rPr>
        <w:t xml:space="preserve">ANEXO 1. </w:t>
      </w:r>
      <w:r w:rsidRPr="00864276">
        <w:rPr>
          <w:rFonts w:ascii="Cambria" w:hAnsi="Cambria"/>
          <w:color w:val="000000" w:themeColor="text1"/>
          <w:sz w:val="16"/>
          <w:szCs w:val="16"/>
          <w:lang w:val="es-ES"/>
        </w:rPr>
        <w:t>Sentencia de reemplazo de la Sala Segunda de la Corte Suprema de Justicia de fecha 29 de septiembre de 2009, puntos resolutivos 1.a y 1.b. Anexo 4 a la comunicación de la parte peticionaria recibida por la Comisión el 1 de abril de 2010.</w:t>
      </w:r>
    </w:p>
  </w:footnote>
  <w:footnote w:id="138">
    <w:p w14:paraId="62C22FF6" w14:textId="7363137D" w:rsidR="00323FC1" w:rsidRPr="00864276" w:rsidRDefault="00323FC1" w:rsidP="001D321F">
      <w:pPr>
        <w:pStyle w:val="FootnoteText"/>
        <w:jc w:val="both"/>
        <w:rPr>
          <w:rFonts w:ascii="Cambria" w:hAnsi="Cambria"/>
          <w:color w:val="000000" w:themeColor="text1"/>
          <w:sz w:val="16"/>
          <w:szCs w:val="16"/>
          <w:lang w:val="es-ES"/>
        </w:rPr>
      </w:pPr>
      <w:r w:rsidRPr="00864276">
        <w:rPr>
          <w:rStyle w:val="FootnoteReference"/>
          <w:rFonts w:ascii="Cambria" w:hAnsi="Cambria"/>
          <w:color w:val="000000" w:themeColor="text1"/>
          <w:sz w:val="16"/>
          <w:szCs w:val="16"/>
          <w:lang w:val="es-ES"/>
        </w:rPr>
        <w:footnoteRef/>
      </w:r>
      <w:r w:rsidRPr="00864276">
        <w:rPr>
          <w:rFonts w:ascii="Cambria" w:hAnsi="Cambria"/>
          <w:color w:val="000000" w:themeColor="text1"/>
          <w:sz w:val="16"/>
          <w:szCs w:val="16"/>
          <w:lang w:val="es-ES"/>
        </w:rPr>
        <w:t xml:space="preserve"> </w:t>
      </w:r>
      <w:r w:rsidRPr="00864276">
        <w:rPr>
          <w:rFonts w:ascii="Cambria" w:hAnsi="Cambria"/>
          <w:b/>
          <w:color w:val="000000" w:themeColor="text1"/>
          <w:sz w:val="16"/>
          <w:szCs w:val="16"/>
          <w:lang w:val="es-ES"/>
        </w:rPr>
        <w:t>ANEXO 28.</w:t>
      </w:r>
      <w:r w:rsidRPr="00864276">
        <w:rPr>
          <w:rFonts w:ascii="Cambria" w:hAnsi="Cambria"/>
          <w:color w:val="000000" w:themeColor="text1"/>
          <w:sz w:val="16"/>
          <w:szCs w:val="16"/>
          <w:lang w:val="es-ES"/>
        </w:rPr>
        <w:t xml:space="preserve"> Sentencia dictada por el Ministro en Visita Extraordinaria Sr. Haroldo Brito Cruz, autos Rol. 39.122-B, Sexto Juzgado del Crimen de Santiago, págs. 86 y 87 de fecha 29 de diciembre de 2006. Anexo 3 a la comunicación de la parte peticionaria recibida por la Comisión el 19 de febrero de 2010.</w:t>
      </w:r>
    </w:p>
  </w:footnote>
  <w:footnote w:id="139">
    <w:p w14:paraId="4EB6EDA6" w14:textId="52071D56" w:rsidR="00323FC1" w:rsidRPr="00864276" w:rsidRDefault="00323FC1" w:rsidP="001D321F">
      <w:pPr>
        <w:pStyle w:val="FootnoteText"/>
        <w:jc w:val="both"/>
        <w:rPr>
          <w:rFonts w:ascii="Cambria" w:hAnsi="Cambria"/>
          <w:color w:val="000000" w:themeColor="text1"/>
          <w:sz w:val="16"/>
          <w:szCs w:val="16"/>
          <w:lang w:val="es-ES"/>
        </w:rPr>
      </w:pPr>
      <w:r w:rsidRPr="00864276">
        <w:rPr>
          <w:rStyle w:val="FootnoteReference"/>
          <w:rFonts w:ascii="Cambria" w:hAnsi="Cambria"/>
          <w:color w:val="000000" w:themeColor="text1"/>
          <w:sz w:val="16"/>
          <w:szCs w:val="16"/>
          <w:lang w:val="es-ES"/>
        </w:rPr>
        <w:footnoteRef/>
      </w:r>
      <w:r w:rsidRPr="00864276">
        <w:rPr>
          <w:rFonts w:ascii="Cambria" w:hAnsi="Cambria"/>
          <w:color w:val="000000" w:themeColor="text1"/>
          <w:sz w:val="16"/>
          <w:szCs w:val="16"/>
          <w:lang w:val="es-ES"/>
        </w:rPr>
        <w:t xml:space="preserve"> </w:t>
      </w:r>
      <w:r w:rsidRPr="00864276">
        <w:rPr>
          <w:rFonts w:ascii="Cambria" w:hAnsi="Cambria"/>
          <w:b/>
          <w:color w:val="000000" w:themeColor="text1"/>
          <w:sz w:val="16"/>
          <w:szCs w:val="16"/>
          <w:lang w:val="es-ES"/>
        </w:rPr>
        <w:t>ANEXO 28.</w:t>
      </w:r>
      <w:r w:rsidRPr="00864276">
        <w:rPr>
          <w:rFonts w:ascii="Cambria" w:hAnsi="Cambria"/>
          <w:color w:val="000000" w:themeColor="text1"/>
          <w:sz w:val="16"/>
          <w:szCs w:val="16"/>
          <w:lang w:val="es-ES"/>
        </w:rPr>
        <w:t xml:space="preserve"> Sentencia dictada por el Ministro en Visita Extraordinaria Sr. Haroldo Brito Cruz, autos Rol. 39.122-B, Sexto Juzgado del Crimen de Santiago de fecha 29 de diciembre de 2006, pág. 87. Anexo 3 a la comunicación de la parte peticionaria recibida por la Comisión el 19 de febrero de 2010.</w:t>
      </w:r>
    </w:p>
  </w:footnote>
  <w:footnote w:id="140">
    <w:p w14:paraId="5AC7C7C1" w14:textId="3CE55BF1" w:rsidR="00323FC1" w:rsidRPr="001D321F" w:rsidRDefault="00323FC1" w:rsidP="001D321F">
      <w:pPr>
        <w:pStyle w:val="FootnoteText"/>
        <w:jc w:val="both"/>
        <w:rPr>
          <w:rFonts w:ascii="Cambria" w:hAnsi="Cambria"/>
          <w:color w:val="000000" w:themeColor="text1"/>
          <w:sz w:val="16"/>
          <w:szCs w:val="16"/>
          <w:lang w:val="es-AR"/>
        </w:rPr>
      </w:pPr>
      <w:r w:rsidRPr="00864276">
        <w:rPr>
          <w:rStyle w:val="FootnoteReference"/>
          <w:rFonts w:ascii="Cambria" w:hAnsi="Cambria"/>
          <w:color w:val="000000" w:themeColor="text1"/>
          <w:sz w:val="16"/>
          <w:szCs w:val="16"/>
          <w:lang w:val="es-ES"/>
        </w:rPr>
        <w:footnoteRef/>
      </w:r>
      <w:r w:rsidRPr="00864276">
        <w:rPr>
          <w:rFonts w:ascii="Cambria" w:hAnsi="Cambria"/>
          <w:color w:val="000000" w:themeColor="text1"/>
          <w:sz w:val="16"/>
          <w:szCs w:val="16"/>
          <w:lang w:val="es-ES"/>
        </w:rPr>
        <w:t xml:space="preserve"> </w:t>
      </w:r>
      <w:r w:rsidRPr="00864276">
        <w:rPr>
          <w:rFonts w:ascii="Cambria" w:hAnsi="Cambria"/>
          <w:b/>
          <w:color w:val="000000" w:themeColor="text1"/>
          <w:sz w:val="16"/>
          <w:szCs w:val="16"/>
          <w:lang w:val="es-ES"/>
        </w:rPr>
        <w:t>ANEXO 28.</w:t>
      </w:r>
      <w:r w:rsidRPr="00864276">
        <w:rPr>
          <w:rFonts w:ascii="Cambria" w:hAnsi="Cambria"/>
          <w:color w:val="000000" w:themeColor="text1"/>
          <w:sz w:val="16"/>
          <w:szCs w:val="16"/>
          <w:lang w:val="es-ES"/>
        </w:rPr>
        <w:t xml:space="preserve"> Sentencia dictada por el Ministro en Visita Extraordinaria Sr. Haroldo Brito Cruz, autos Rol. 39.122-B, Sexto Juzgado del Crimen de Santiago, de fecha 29 de diciembre de 2006 pág. 87. Anexo 3 a la comunicación de la parte peticionaria recibida por la Comisión el 19 de febrero de 2010.</w:t>
      </w:r>
    </w:p>
  </w:footnote>
  <w:footnote w:id="141">
    <w:p w14:paraId="3D4717C5" w14:textId="3A9403E4" w:rsidR="00323FC1" w:rsidRPr="00864276" w:rsidRDefault="00323FC1" w:rsidP="001D321F">
      <w:pPr>
        <w:pStyle w:val="FootnoteText"/>
        <w:jc w:val="both"/>
        <w:rPr>
          <w:rFonts w:ascii="Cambria" w:hAnsi="Cambria"/>
          <w:color w:val="000000" w:themeColor="text1"/>
          <w:sz w:val="16"/>
          <w:szCs w:val="16"/>
          <w:lang w:val="es-AR"/>
        </w:rPr>
      </w:pPr>
      <w:r w:rsidRPr="00864276">
        <w:rPr>
          <w:rStyle w:val="FootnoteReference"/>
          <w:rFonts w:ascii="Cambria" w:hAnsi="Cambria"/>
          <w:color w:val="000000" w:themeColor="text1"/>
          <w:sz w:val="16"/>
          <w:szCs w:val="16"/>
        </w:rPr>
        <w:footnoteRef/>
      </w:r>
      <w:r w:rsidRPr="00864276">
        <w:rPr>
          <w:rFonts w:ascii="Cambria" w:hAnsi="Cambria"/>
          <w:color w:val="000000" w:themeColor="text1"/>
          <w:sz w:val="16"/>
          <w:szCs w:val="16"/>
          <w:lang w:val="es-AR"/>
        </w:rPr>
        <w:t xml:space="preserve"> </w:t>
      </w:r>
      <w:r w:rsidRPr="00864276">
        <w:rPr>
          <w:rFonts w:ascii="Cambria" w:hAnsi="Cambria"/>
          <w:b/>
          <w:color w:val="000000" w:themeColor="text1"/>
          <w:sz w:val="16"/>
          <w:szCs w:val="16"/>
          <w:lang w:val="es-ES"/>
        </w:rPr>
        <w:t>ANEXO 28.</w:t>
      </w:r>
      <w:r w:rsidRPr="00864276">
        <w:rPr>
          <w:rFonts w:ascii="Cambria" w:hAnsi="Cambria"/>
          <w:color w:val="000000" w:themeColor="text1"/>
          <w:sz w:val="16"/>
          <w:szCs w:val="16"/>
          <w:lang w:val="es-ES"/>
        </w:rPr>
        <w:t xml:space="preserve"> Sentencia dictada por el Ministro en Visita Extraordinaria Sr. Haroldo Brito Cruz, autos Rol. 39.122-B, Sexto Juzgado del Crimen de Santiago de fecha 29 de diciembre de 2006, págs. 87 y 88. Anexo 3 a la comunicación de la parte peticionaria recibida por la Comisión el 19 de febrero de 2010.</w:t>
      </w:r>
    </w:p>
  </w:footnote>
  <w:footnote w:id="142">
    <w:p w14:paraId="6B67C68B" w14:textId="604D2081" w:rsidR="00323FC1" w:rsidRPr="00864276" w:rsidRDefault="00323FC1" w:rsidP="00C266C8">
      <w:pPr>
        <w:pStyle w:val="FootnoteText"/>
        <w:jc w:val="both"/>
        <w:rPr>
          <w:rFonts w:ascii="Cambria" w:hAnsi="Cambria"/>
          <w:color w:val="000000" w:themeColor="text1"/>
          <w:sz w:val="16"/>
          <w:szCs w:val="16"/>
          <w:lang w:val="es-AR"/>
        </w:rPr>
      </w:pPr>
      <w:r w:rsidRPr="00864276">
        <w:rPr>
          <w:rStyle w:val="FootnoteReference"/>
          <w:rFonts w:ascii="Cambria" w:hAnsi="Cambria"/>
          <w:color w:val="000000" w:themeColor="text1"/>
          <w:sz w:val="16"/>
          <w:szCs w:val="16"/>
        </w:rPr>
        <w:footnoteRef/>
      </w:r>
      <w:r w:rsidRPr="00864276">
        <w:rPr>
          <w:rFonts w:ascii="Cambria" w:hAnsi="Cambria"/>
          <w:color w:val="000000" w:themeColor="text1"/>
          <w:sz w:val="16"/>
          <w:szCs w:val="16"/>
          <w:lang w:val="es-AR"/>
        </w:rPr>
        <w:t xml:space="preserve"> </w:t>
      </w:r>
      <w:r w:rsidRPr="00864276">
        <w:rPr>
          <w:rFonts w:ascii="Cambria" w:hAnsi="Cambria"/>
          <w:b/>
          <w:color w:val="000000" w:themeColor="text1"/>
          <w:sz w:val="16"/>
          <w:szCs w:val="16"/>
          <w:lang w:val="es-ES"/>
        </w:rPr>
        <w:t>ANEXO 28.</w:t>
      </w:r>
      <w:r w:rsidRPr="00864276">
        <w:rPr>
          <w:rFonts w:ascii="Cambria" w:hAnsi="Cambria"/>
          <w:color w:val="000000" w:themeColor="text1"/>
          <w:sz w:val="16"/>
          <w:szCs w:val="16"/>
          <w:lang w:val="es-ES"/>
        </w:rPr>
        <w:t xml:space="preserve"> Sentencia dictada por el Ministro en Visita Extraordinaria Sr. Haroldo Brito Cruz, autos Rol. 39.122-B, Sexto Juzgado del Crimen de Santiago de fecha 29 de diciembre de 2006, pág. 88. Anexo 3 a la comunicación de la parte peticionaria recibida por la Comisión el 19 de febrero de 2010.</w:t>
      </w:r>
    </w:p>
  </w:footnote>
  <w:footnote w:id="143">
    <w:p w14:paraId="0738A482" w14:textId="77777777" w:rsidR="00323FC1" w:rsidRPr="00864276" w:rsidRDefault="00323FC1" w:rsidP="00C266C8">
      <w:pPr>
        <w:pStyle w:val="NormalWeb"/>
        <w:spacing w:before="0" w:beforeAutospacing="0" w:after="0" w:afterAutospacing="0"/>
        <w:jc w:val="both"/>
        <w:rPr>
          <w:rFonts w:ascii="Cambria" w:eastAsiaTheme="minorEastAsia" w:hAnsi="Cambria"/>
          <w:color w:val="000000" w:themeColor="text1"/>
          <w:sz w:val="16"/>
          <w:szCs w:val="16"/>
          <w:lang w:val="es-ES"/>
        </w:rPr>
      </w:pPr>
      <w:r w:rsidRPr="00864276">
        <w:rPr>
          <w:rStyle w:val="FootnoteReference"/>
          <w:rFonts w:ascii="Cambria" w:hAnsi="Cambria"/>
          <w:color w:val="000000" w:themeColor="text1"/>
          <w:sz w:val="16"/>
          <w:szCs w:val="16"/>
          <w:lang w:val="es-ES"/>
        </w:rPr>
        <w:footnoteRef/>
      </w:r>
      <w:r w:rsidRPr="00864276">
        <w:rPr>
          <w:rFonts w:ascii="Cambria" w:hAnsi="Cambria"/>
          <w:color w:val="000000" w:themeColor="text1"/>
          <w:sz w:val="16"/>
          <w:szCs w:val="16"/>
          <w:lang w:val="es-ES"/>
        </w:rPr>
        <w:t xml:space="preserve"> En los casos de reiteración de crímenes o simples delitos de una misma especie, se impondrá la pena correspondiente a las diversas infracciones, estimadas como un solo delito, aumentándola en uno, dos o tres grados.</w:t>
      </w:r>
    </w:p>
    <w:p w14:paraId="230BB2D2" w14:textId="77777777" w:rsidR="00323FC1" w:rsidRPr="00864276" w:rsidRDefault="00323FC1" w:rsidP="00C266C8">
      <w:pPr>
        <w:pStyle w:val="NormalWeb"/>
        <w:spacing w:before="0" w:beforeAutospacing="0" w:after="0" w:afterAutospacing="0"/>
        <w:jc w:val="both"/>
        <w:rPr>
          <w:rFonts w:ascii="Cambria" w:hAnsi="Cambria"/>
          <w:color w:val="000000" w:themeColor="text1"/>
          <w:sz w:val="16"/>
          <w:szCs w:val="16"/>
          <w:lang w:val="es-ES"/>
        </w:rPr>
      </w:pPr>
      <w:r w:rsidRPr="00864276">
        <w:rPr>
          <w:rFonts w:ascii="Cambria" w:hAnsi="Cambria"/>
          <w:color w:val="000000" w:themeColor="text1"/>
          <w:sz w:val="16"/>
          <w:szCs w:val="16"/>
          <w:lang w:val="es-ES"/>
        </w:rPr>
        <w:t>Si por la naturaleza de las diversas infracciones éstas no pueden estimarse como un solo delito, el tribunal aplicará la pena señalada a aquella que, considerada aisladamente, con las circunstancias del caso, tenga asignada pena mayor, aumentándola en uno, dos o tres grados según sea el número de los delitos.</w:t>
      </w:r>
    </w:p>
    <w:p w14:paraId="12D7E07C" w14:textId="77777777" w:rsidR="00323FC1" w:rsidRPr="00864276" w:rsidRDefault="00323FC1" w:rsidP="00C266C8">
      <w:pPr>
        <w:pStyle w:val="NormalWeb"/>
        <w:spacing w:before="0" w:beforeAutospacing="0" w:after="0" w:afterAutospacing="0"/>
        <w:jc w:val="both"/>
        <w:rPr>
          <w:rFonts w:ascii="Cambria" w:hAnsi="Cambria"/>
          <w:color w:val="000000" w:themeColor="text1"/>
          <w:sz w:val="16"/>
          <w:szCs w:val="16"/>
          <w:lang w:val="es-ES"/>
        </w:rPr>
      </w:pPr>
      <w:r w:rsidRPr="00864276">
        <w:rPr>
          <w:rFonts w:ascii="Cambria" w:hAnsi="Cambria"/>
          <w:color w:val="000000" w:themeColor="text1"/>
          <w:sz w:val="16"/>
          <w:szCs w:val="16"/>
          <w:lang w:val="es-ES"/>
        </w:rPr>
        <w:t>Podrán con todo aplicarse las penas en la forma establecida en el artículo 74 del Código Penal, si, de seguir este procedimiento, haya de corresponder al procesado una pena menor.</w:t>
      </w:r>
    </w:p>
    <w:p w14:paraId="7ECB9F61" w14:textId="77777777" w:rsidR="00323FC1" w:rsidRPr="00864276" w:rsidRDefault="00323FC1" w:rsidP="00C266C8">
      <w:pPr>
        <w:pStyle w:val="NormalWeb"/>
        <w:spacing w:before="0" w:beforeAutospacing="0" w:after="0" w:afterAutospacing="0"/>
        <w:jc w:val="both"/>
        <w:rPr>
          <w:rFonts w:ascii="Cambria" w:hAnsi="Cambria"/>
          <w:color w:val="000000" w:themeColor="text1"/>
          <w:sz w:val="16"/>
          <w:szCs w:val="16"/>
          <w:lang w:val="es-ES"/>
        </w:rPr>
      </w:pPr>
      <w:r w:rsidRPr="00864276">
        <w:rPr>
          <w:rFonts w:ascii="Cambria" w:hAnsi="Cambria"/>
          <w:color w:val="000000" w:themeColor="text1"/>
          <w:sz w:val="16"/>
          <w:szCs w:val="16"/>
          <w:lang w:val="es-ES"/>
        </w:rPr>
        <w:t>Las reglas anteriores se aplicarán también en los casos de reiteración de una misma falta.</w:t>
      </w:r>
    </w:p>
    <w:p w14:paraId="64AE3E21" w14:textId="77777777" w:rsidR="00323FC1" w:rsidRPr="00864276" w:rsidRDefault="00323FC1" w:rsidP="00C266C8">
      <w:pPr>
        <w:pStyle w:val="NormalWeb"/>
        <w:spacing w:before="0" w:beforeAutospacing="0" w:after="0" w:afterAutospacing="0"/>
        <w:jc w:val="both"/>
        <w:rPr>
          <w:rFonts w:ascii="Cambria" w:hAnsi="Cambria"/>
          <w:color w:val="000000" w:themeColor="text1"/>
          <w:sz w:val="16"/>
          <w:szCs w:val="16"/>
          <w:lang w:val="es-AR"/>
        </w:rPr>
      </w:pPr>
      <w:r w:rsidRPr="00864276">
        <w:rPr>
          <w:rFonts w:ascii="Cambria" w:hAnsi="Cambria"/>
          <w:color w:val="000000" w:themeColor="text1"/>
          <w:sz w:val="16"/>
          <w:szCs w:val="16"/>
          <w:lang w:val="es-ES"/>
        </w:rPr>
        <w:t>Para los efectos de este artículo se considerarán delitos de una misma especie aquellos que estén penados en un mismo título del Código Penal o ley que los castiga.</w:t>
      </w:r>
    </w:p>
  </w:footnote>
  <w:footnote w:id="144">
    <w:p w14:paraId="0B92556D" w14:textId="5A1F7CA3" w:rsidR="00323FC1" w:rsidRPr="00864276" w:rsidRDefault="00323FC1" w:rsidP="00C266C8">
      <w:pPr>
        <w:pStyle w:val="FootnoteText"/>
        <w:jc w:val="both"/>
        <w:rPr>
          <w:rFonts w:ascii="Cambria" w:hAnsi="Cambria"/>
          <w:color w:val="000000" w:themeColor="text1"/>
          <w:sz w:val="16"/>
          <w:szCs w:val="16"/>
          <w:lang w:val="es-AR"/>
        </w:rPr>
      </w:pPr>
      <w:r w:rsidRPr="00864276">
        <w:rPr>
          <w:rStyle w:val="FootnoteReference"/>
          <w:rFonts w:ascii="Cambria" w:hAnsi="Cambria"/>
          <w:color w:val="000000" w:themeColor="text1"/>
          <w:sz w:val="16"/>
          <w:szCs w:val="16"/>
        </w:rPr>
        <w:footnoteRef/>
      </w:r>
      <w:r w:rsidRPr="00864276">
        <w:rPr>
          <w:rFonts w:ascii="Cambria" w:hAnsi="Cambria"/>
          <w:color w:val="000000" w:themeColor="text1"/>
          <w:sz w:val="16"/>
          <w:szCs w:val="16"/>
          <w:lang w:val="es-AR"/>
        </w:rPr>
        <w:t xml:space="preserve"> </w:t>
      </w:r>
      <w:r w:rsidRPr="00864276">
        <w:rPr>
          <w:rFonts w:ascii="Cambria" w:hAnsi="Cambria"/>
          <w:b/>
          <w:color w:val="000000" w:themeColor="text1"/>
          <w:sz w:val="16"/>
          <w:szCs w:val="16"/>
          <w:lang w:val="es-ES"/>
        </w:rPr>
        <w:t>ANEXO 28.</w:t>
      </w:r>
      <w:r w:rsidRPr="00864276">
        <w:rPr>
          <w:rFonts w:ascii="Cambria" w:hAnsi="Cambria"/>
          <w:color w:val="000000" w:themeColor="text1"/>
          <w:sz w:val="16"/>
          <w:szCs w:val="16"/>
          <w:lang w:val="es-ES"/>
        </w:rPr>
        <w:t xml:space="preserve"> Sentencia dictada por el Ministro en Visita Extraordinaria Sr. Haroldo Brito Cruz, autos Rol. 39.122-B, Sexto Juzgado del Crimen de Santiago de fecha 29 de diciembre de 2006, pág. 137. Anexo 3 a la comunicación de la parte peticionaria recibida por la Comisión el 19 de febrero de 2010.</w:t>
      </w:r>
    </w:p>
  </w:footnote>
  <w:footnote w:id="145">
    <w:p w14:paraId="07E3FD7C" w14:textId="26AB6A5F" w:rsidR="00323FC1" w:rsidRPr="001D321F" w:rsidRDefault="00323FC1" w:rsidP="00C266C8">
      <w:pPr>
        <w:pStyle w:val="FootnoteText"/>
        <w:jc w:val="both"/>
        <w:rPr>
          <w:rFonts w:ascii="Cambria" w:hAnsi="Cambria"/>
          <w:color w:val="000000" w:themeColor="text1"/>
          <w:sz w:val="16"/>
          <w:szCs w:val="16"/>
          <w:lang w:val="es-AR"/>
        </w:rPr>
      </w:pPr>
      <w:r w:rsidRPr="00864276">
        <w:rPr>
          <w:rStyle w:val="FootnoteReference"/>
          <w:rFonts w:ascii="Cambria" w:hAnsi="Cambria"/>
          <w:color w:val="000000" w:themeColor="text1"/>
          <w:sz w:val="16"/>
          <w:szCs w:val="16"/>
        </w:rPr>
        <w:footnoteRef/>
      </w:r>
      <w:r w:rsidRPr="00864276">
        <w:rPr>
          <w:rFonts w:ascii="Cambria" w:hAnsi="Cambria"/>
          <w:color w:val="000000" w:themeColor="text1"/>
          <w:sz w:val="16"/>
          <w:szCs w:val="16"/>
          <w:lang w:val="es-AR"/>
        </w:rPr>
        <w:t xml:space="preserve"> </w:t>
      </w:r>
      <w:r w:rsidRPr="00864276">
        <w:rPr>
          <w:rFonts w:ascii="Cambria" w:hAnsi="Cambria"/>
          <w:b/>
          <w:color w:val="000000" w:themeColor="text1"/>
          <w:sz w:val="16"/>
          <w:szCs w:val="16"/>
          <w:lang w:val="es-ES"/>
        </w:rPr>
        <w:t>ANEXO 28.</w:t>
      </w:r>
      <w:r w:rsidRPr="00864276">
        <w:rPr>
          <w:rFonts w:ascii="Cambria" w:hAnsi="Cambria"/>
          <w:color w:val="000000" w:themeColor="text1"/>
          <w:sz w:val="16"/>
          <w:szCs w:val="16"/>
          <w:lang w:val="es-ES"/>
        </w:rPr>
        <w:t xml:space="preserve"> Sentencia dictada por el Ministro en Visita Extraordinaria Sr. Haroldo Brito Cruz, autos Rol. 39.122-B, Sexto Juzgado del Crimen de Santiago de fecha 29 de diciembre de 2006, pág. 137. Anexo 3 a la comunicación de la parte peticionaria recibida por la Comisión el 19 de febrero de 2010.</w:t>
      </w:r>
    </w:p>
  </w:footnote>
  <w:footnote w:id="146">
    <w:p w14:paraId="50802B14" w14:textId="18737C45" w:rsidR="00323FC1" w:rsidRPr="00864276" w:rsidRDefault="00323FC1" w:rsidP="00C266C8">
      <w:pPr>
        <w:pStyle w:val="FootnoteText"/>
        <w:jc w:val="both"/>
        <w:rPr>
          <w:rFonts w:ascii="Cambria" w:hAnsi="Cambria"/>
          <w:color w:val="000000" w:themeColor="text1"/>
          <w:sz w:val="16"/>
          <w:szCs w:val="16"/>
          <w:lang w:val="es-AR"/>
        </w:rPr>
      </w:pPr>
      <w:r w:rsidRPr="00864276">
        <w:rPr>
          <w:rStyle w:val="FootnoteReference"/>
          <w:rFonts w:ascii="Cambria" w:hAnsi="Cambria"/>
          <w:color w:val="000000" w:themeColor="text1"/>
          <w:sz w:val="16"/>
          <w:szCs w:val="16"/>
        </w:rPr>
        <w:footnoteRef/>
      </w:r>
      <w:r w:rsidRPr="00864276">
        <w:rPr>
          <w:rFonts w:ascii="Cambria" w:hAnsi="Cambria"/>
          <w:color w:val="000000" w:themeColor="text1"/>
          <w:sz w:val="16"/>
          <w:szCs w:val="16"/>
          <w:lang w:val="es-AR"/>
        </w:rPr>
        <w:t xml:space="preserve"> </w:t>
      </w:r>
      <w:r w:rsidRPr="00864276">
        <w:rPr>
          <w:rFonts w:ascii="Cambria" w:hAnsi="Cambria"/>
          <w:b/>
          <w:color w:val="000000" w:themeColor="text1"/>
          <w:sz w:val="16"/>
          <w:szCs w:val="16"/>
          <w:lang w:val="es-ES"/>
        </w:rPr>
        <w:t>ANEXO 28.</w:t>
      </w:r>
      <w:r w:rsidRPr="00864276">
        <w:rPr>
          <w:rFonts w:ascii="Cambria" w:hAnsi="Cambria"/>
          <w:color w:val="000000" w:themeColor="text1"/>
          <w:sz w:val="16"/>
          <w:szCs w:val="16"/>
          <w:lang w:val="es-ES"/>
        </w:rPr>
        <w:t xml:space="preserve"> Sentencia dictada por el Ministro en Visita Extraordinaria Sr. Haroldo Brito Cruz, autos Rol. 39.122-B, Sexto Juzgado del Crimen de Santiago de fecha 29 de diciembre de 2006, pág. 136. Anexo 3 a la comunicación de la parte peticionaria recibida por la Comisión el 19 de febrero de 2010.</w:t>
      </w:r>
    </w:p>
  </w:footnote>
  <w:footnote w:id="147">
    <w:p w14:paraId="60017E79" w14:textId="14795CB0" w:rsidR="00323FC1" w:rsidRPr="00864276" w:rsidRDefault="00323FC1" w:rsidP="001D321F">
      <w:pPr>
        <w:pStyle w:val="FootnoteText"/>
        <w:jc w:val="both"/>
        <w:rPr>
          <w:rFonts w:ascii="Cambria" w:hAnsi="Cambria"/>
          <w:color w:val="000000" w:themeColor="text1"/>
          <w:sz w:val="16"/>
          <w:szCs w:val="16"/>
          <w:lang w:val="es-AR"/>
        </w:rPr>
      </w:pPr>
      <w:r w:rsidRPr="00864276">
        <w:rPr>
          <w:rStyle w:val="FootnoteReference"/>
          <w:rFonts w:ascii="Cambria" w:hAnsi="Cambria"/>
          <w:color w:val="000000" w:themeColor="text1"/>
          <w:sz w:val="16"/>
          <w:szCs w:val="16"/>
        </w:rPr>
        <w:footnoteRef/>
      </w:r>
      <w:r w:rsidRPr="00864276">
        <w:rPr>
          <w:rFonts w:ascii="Cambria" w:hAnsi="Cambria"/>
          <w:color w:val="000000" w:themeColor="text1"/>
          <w:sz w:val="16"/>
          <w:szCs w:val="16"/>
          <w:lang w:val="es-AR"/>
        </w:rPr>
        <w:t xml:space="preserve"> </w:t>
      </w:r>
      <w:r w:rsidRPr="00864276">
        <w:rPr>
          <w:rFonts w:ascii="Cambria" w:hAnsi="Cambria"/>
          <w:b/>
          <w:color w:val="000000" w:themeColor="text1"/>
          <w:sz w:val="16"/>
          <w:szCs w:val="16"/>
          <w:lang w:val="es-ES"/>
        </w:rPr>
        <w:t>ANEXO 28.</w:t>
      </w:r>
      <w:r w:rsidRPr="00864276">
        <w:rPr>
          <w:rFonts w:ascii="Cambria" w:hAnsi="Cambria"/>
          <w:color w:val="000000" w:themeColor="text1"/>
          <w:sz w:val="16"/>
          <w:szCs w:val="16"/>
          <w:lang w:val="es-ES"/>
        </w:rPr>
        <w:t xml:space="preserve"> Sentencia dictada por el Ministro en Visita Extraordinaria Sr. Haroldo Brito Cruz, autos Rol. 39.122-B, Sexto Juzgado del Crimen de Santiago de fecha 29 de diciembre de 2006, pág. 136. Anexo 3 a la comunicación de la parte peticionaria recibida por la Comisión el 19 de febrero de 2010.</w:t>
      </w:r>
    </w:p>
  </w:footnote>
  <w:footnote w:id="148">
    <w:p w14:paraId="345DCA7D" w14:textId="6778C29C" w:rsidR="00323FC1" w:rsidRPr="00864276" w:rsidRDefault="00323FC1" w:rsidP="001D321F">
      <w:pPr>
        <w:pStyle w:val="FootnoteText"/>
        <w:jc w:val="both"/>
        <w:rPr>
          <w:rFonts w:ascii="Cambria" w:hAnsi="Cambria"/>
          <w:color w:val="000000" w:themeColor="text1"/>
          <w:sz w:val="16"/>
          <w:szCs w:val="16"/>
          <w:lang w:val="es-ES"/>
        </w:rPr>
      </w:pPr>
      <w:r w:rsidRPr="00864276">
        <w:rPr>
          <w:rStyle w:val="FootnoteReference"/>
          <w:rFonts w:ascii="Cambria" w:hAnsi="Cambria"/>
          <w:color w:val="000000" w:themeColor="text1"/>
          <w:sz w:val="16"/>
          <w:szCs w:val="16"/>
          <w:lang w:val="es-ES"/>
        </w:rPr>
        <w:footnoteRef/>
      </w:r>
      <w:r w:rsidRPr="00864276">
        <w:rPr>
          <w:rFonts w:ascii="Cambria" w:hAnsi="Cambria"/>
          <w:color w:val="000000" w:themeColor="text1"/>
          <w:sz w:val="16"/>
          <w:szCs w:val="16"/>
          <w:lang w:val="es-ES"/>
        </w:rPr>
        <w:t xml:space="preserve"> </w:t>
      </w:r>
      <w:r w:rsidRPr="00864276">
        <w:rPr>
          <w:rFonts w:ascii="Cambria" w:hAnsi="Cambria"/>
          <w:b/>
          <w:color w:val="000000" w:themeColor="text1"/>
          <w:sz w:val="16"/>
          <w:szCs w:val="16"/>
          <w:lang w:val="es-ES"/>
        </w:rPr>
        <w:t>ANEXO 29.</w:t>
      </w:r>
      <w:r w:rsidRPr="00864276">
        <w:rPr>
          <w:rFonts w:ascii="Cambria" w:hAnsi="Cambria"/>
          <w:color w:val="000000" w:themeColor="text1"/>
          <w:sz w:val="16"/>
          <w:szCs w:val="16"/>
          <w:lang w:val="es-ES"/>
        </w:rPr>
        <w:t xml:space="preserve"> Sentencia de la Novena Sala de la Corte de Apelaciones de Santiago de fecha 27 de diciembre de 2007. Anexo 1 a la comunicación de la parte peticionaria recibida por la Comisión el 19 de febrero de 2010. </w:t>
      </w:r>
    </w:p>
  </w:footnote>
  <w:footnote w:id="149">
    <w:p w14:paraId="0D2DF1C8" w14:textId="4FE20DE2" w:rsidR="00323FC1" w:rsidRPr="00864276" w:rsidRDefault="00323FC1" w:rsidP="001D321F">
      <w:pPr>
        <w:pStyle w:val="FootnoteText"/>
        <w:jc w:val="both"/>
        <w:rPr>
          <w:rFonts w:ascii="Cambria" w:hAnsi="Cambria"/>
          <w:color w:val="000000" w:themeColor="text1"/>
          <w:sz w:val="16"/>
          <w:szCs w:val="16"/>
          <w:lang w:val="es-ES"/>
        </w:rPr>
      </w:pPr>
      <w:r w:rsidRPr="00864276">
        <w:rPr>
          <w:rStyle w:val="FootnoteReference"/>
          <w:rFonts w:ascii="Cambria" w:hAnsi="Cambria"/>
          <w:color w:val="000000" w:themeColor="text1"/>
          <w:sz w:val="16"/>
          <w:szCs w:val="16"/>
          <w:lang w:val="es-ES"/>
        </w:rPr>
        <w:footnoteRef/>
      </w:r>
      <w:r w:rsidRPr="00864276">
        <w:rPr>
          <w:rFonts w:ascii="Cambria" w:hAnsi="Cambria"/>
          <w:color w:val="000000" w:themeColor="text1"/>
          <w:sz w:val="16"/>
          <w:szCs w:val="16"/>
          <w:lang w:val="es-ES"/>
        </w:rPr>
        <w:t xml:space="preserve"> </w:t>
      </w:r>
      <w:r w:rsidRPr="00864276">
        <w:rPr>
          <w:rFonts w:ascii="Cambria" w:hAnsi="Cambria"/>
          <w:b/>
          <w:color w:val="000000" w:themeColor="text1"/>
          <w:sz w:val="16"/>
          <w:szCs w:val="16"/>
          <w:lang w:val="es-ES"/>
        </w:rPr>
        <w:t>ANEXO 30.</w:t>
      </w:r>
      <w:r w:rsidRPr="00864276">
        <w:rPr>
          <w:rFonts w:ascii="Cambria" w:hAnsi="Cambria"/>
          <w:color w:val="000000" w:themeColor="text1"/>
          <w:sz w:val="16"/>
          <w:szCs w:val="16"/>
          <w:lang w:val="es-ES"/>
        </w:rPr>
        <w:t xml:space="preserve"> Sentencia de la Segunda Sala de la Corte Suprema de Justicia de Chile de fecha 13 de agosto de 2009. Anexo 2 a la comunicación de la parte peticionaria recibida por la Comisión el 19 de febrero de 2010.  </w:t>
      </w:r>
    </w:p>
  </w:footnote>
  <w:footnote w:id="150">
    <w:p w14:paraId="36A14D5D" w14:textId="15D23E33" w:rsidR="00323FC1" w:rsidRPr="001D321F" w:rsidRDefault="00323FC1" w:rsidP="001D321F">
      <w:pPr>
        <w:pStyle w:val="FootnoteText"/>
        <w:jc w:val="both"/>
        <w:rPr>
          <w:rFonts w:ascii="Cambria" w:hAnsi="Cambria"/>
          <w:color w:val="000000" w:themeColor="text1"/>
          <w:sz w:val="16"/>
          <w:szCs w:val="16"/>
          <w:lang w:val="es-ES"/>
        </w:rPr>
      </w:pPr>
      <w:r w:rsidRPr="00864276">
        <w:rPr>
          <w:rStyle w:val="FootnoteReference"/>
          <w:rFonts w:ascii="Cambria" w:hAnsi="Cambria"/>
          <w:color w:val="000000" w:themeColor="text1"/>
          <w:sz w:val="16"/>
          <w:szCs w:val="16"/>
        </w:rPr>
        <w:footnoteRef/>
      </w:r>
      <w:r w:rsidRPr="00864276">
        <w:rPr>
          <w:rFonts w:ascii="Cambria" w:hAnsi="Cambria"/>
          <w:color w:val="000000" w:themeColor="text1"/>
          <w:sz w:val="16"/>
          <w:szCs w:val="16"/>
          <w:lang w:val="es-AR"/>
        </w:rPr>
        <w:t xml:space="preserve"> </w:t>
      </w:r>
      <w:r w:rsidRPr="00864276">
        <w:rPr>
          <w:rFonts w:ascii="Cambria" w:hAnsi="Cambria"/>
          <w:b/>
          <w:color w:val="000000" w:themeColor="text1"/>
          <w:sz w:val="16"/>
          <w:szCs w:val="16"/>
          <w:lang w:val="es-ES"/>
        </w:rPr>
        <w:t>ANEXO 31.</w:t>
      </w:r>
      <w:r w:rsidRPr="00864276">
        <w:rPr>
          <w:rFonts w:ascii="Cambria" w:hAnsi="Cambria"/>
          <w:color w:val="000000" w:themeColor="text1"/>
          <w:sz w:val="16"/>
          <w:szCs w:val="16"/>
          <w:lang w:val="es-ES"/>
        </w:rPr>
        <w:t xml:space="preserve"> Sentencia de reemplazo dictada por la Segunda Sala de la Corte Suprema de Justicia de Chile de fecha 13 de agosto de 2009, considerando primero. Anexo 2 a la comunicación de la parte peticionaria recibida por la Comisión el 19 de febrero de 2010.</w:t>
      </w:r>
      <w:r w:rsidRPr="001D321F">
        <w:rPr>
          <w:rFonts w:ascii="Cambria" w:hAnsi="Cambria"/>
          <w:color w:val="000000" w:themeColor="text1"/>
          <w:sz w:val="16"/>
          <w:szCs w:val="16"/>
          <w:lang w:val="es-ES"/>
        </w:rPr>
        <w:t xml:space="preserve">  </w:t>
      </w:r>
    </w:p>
  </w:footnote>
  <w:footnote w:id="151">
    <w:p w14:paraId="6521BC1A" w14:textId="5723E49D" w:rsidR="00323FC1" w:rsidRPr="004055C2" w:rsidRDefault="00323FC1" w:rsidP="001D321F">
      <w:pPr>
        <w:pStyle w:val="FootnoteText"/>
        <w:jc w:val="both"/>
        <w:rPr>
          <w:rFonts w:ascii="Cambria" w:hAnsi="Cambria"/>
          <w:color w:val="000000" w:themeColor="text1"/>
          <w:sz w:val="16"/>
          <w:szCs w:val="16"/>
          <w:lang w:val="es-AR"/>
        </w:rPr>
      </w:pPr>
      <w:r w:rsidRPr="004055C2">
        <w:rPr>
          <w:rStyle w:val="FootnoteReference"/>
          <w:rFonts w:ascii="Cambria" w:hAnsi="Cambria"/>
          <w:color w:val="000000" w:themeColor="text1"/>
          <w:sz w:val="16"/>
          <w:szCs w:val="16"/>
        </w:rPr>
        <w:footnoteRef/>
      </w:r>
      <w:r w:rsidRPr="004055C2">
        <w:rPr>
          <w:rFonts w:ascii="Cambria" w:hAnsi="Cambria"/>
          <w:color w:val="000000" w:themeColor="text1"/>
          <w:sz w:val="16"/>
          <w:szCs w:val="16"/>
          <w:lang w:val="es-AR"/>
        </w:rPr>
        <w:t xml:space="preserve"> </w:t>
      </w:r>
      <w:r w:rsidRPr="004055C2">
        <w:rPr>
          <w:rFonts w:ascii="Cambria" w:hAnsi="Cambria"/>
          <w:b/>
          <w:color w:val="000000" w:themeColor="text1"/>
          <w:sz w:val="16"/>
          <w:szCs w:val="16"/>
          <w:lang w:val="es-ES"/>
        </w:rPr>
        <w:t>ANEXO 31.</w:t>
      </w:r>
      <w:r w:rsidRPr="004055C2">
        <w:rPr>
          <w:rFonts w:ascii="Cambria" w:hAnsi="Cambria"/>
          <w:color w:val="000000" w:themeColor="text1"/>
          <w:sz w:val="16"/>
          <w:szCs w:val="16"/>
          <w:lang w:val="es-ES"/>
        </w:rPr>
        <w:t xml:space="preserve"> Sentencia de reemplazo dictada por la Segunda Sala de la Corte Suprema de Justicia de Chile de fecha 13 de agosto de 2009, considerando quinto. Anexo 2 a la comunicación de la parte peticionaria recibida por la Comisión el 19 de febrero de 2010</w:t>
      </w:r>
    </w:p>
  </w:footnote>
  <w:footnote w:id="152">
    <w:p w14:paraId="5A3A310C" w14:textId="28B64191" w:rsidR="00323FC1" w:rsidRPr="004055C2" w:rsidRDefault="00323FC1" w:rsidP="001D321F">
      <w:pPr>
        <w:pStyle w:val="FootnoteText"/>
        <w:jc w:val="both"/>
        <w:rPr>
          <w:rFonts w:ascii="Cambria" w:hAnsi="Cambria"/>
          <w:color w:val="000000" w:themeColor="text1"/>
          <w:sz w:val="16"/>
          <w:szCs w:val="16"/>
          <w:lang w:val="es-AR"/>
        </w:rPr>
      </w:pPr>
      <w:r w:rsidRPr="004055C2">
        <w:rPr>
          <w:rStyle w:val="FootnoteReference"/>
          <w:rFonts w:ascii="Cambria" w:hAnsi="Cambria"/>
          <w:color w:val="000000" w:themeColor="text1"/>
          <w:sz w:val="16"/>
          <w:szCs w:val="16"/>
        </w:rPr>
        <w:footnoteRef/>
      </w:r>
      <w:r w:rsidRPr="004055C2">
        <w:rPr>
          <w:rFonts w:ascii="Cambria" w:hAnsi="Cambria"/>
          <w:color w:val="000000" w:themeColor="text1"/>
          <w:sz w:val="16"/>
          <w:szCs w:val="16"/>
          <w:lang w:val="es-AR"/>
        </w:rPr>
        <w:t xml:space="preserve"> </w:t>
      </w:r>
      <w:r w:rsidRPr="004055C2">
        <w:rPr>
          <w:rFonts w:ascii="Cambria" w:hAnsi="Cambria"/>
          <w:b/>
          <w:color w:val="000000" w:themeColor="text1"/>
          <w:sz w:val="16"/>
          <w:szCs w:val="16"/>
          <w:lang w:val="es-ES"/>
        </w:rPr>
        <w:t>ANEXO 31.</w:t>
      </w:r>
      <w:r w:rsidRPr="004055C2">
        <w:rPr>
          <w:rFonts w:ascii="Cambria" w:hAnsi="Cambria"/>
          <w:color w:val="000000" w:themeColor="text1"/>
          <w:sz w:val="16"/>
          <w:szCs w:val="16"/>
          <w:lang w:val="es-ES"/>
        </w:rPr>
        <w:t xml:space="preserve"> Sentencia de reemplazo dictada por la Segunda Sala de la Corte Suprema de Justicia de Chile de fecha 13 de agosto de 2009, punto resolutivo C. Anexo 2 a la comunicación de la parte peticionaria recibida por la Comisión el 19 de febrero de 2010</w:t>
      </w:r>
    </w:p>
  </w:footnote>
  <w:footnote w:id="153">
    <w:p w14:paraId="05788004" w14:textId="190FE6C7" w:rsidR="00323FC1" w:rsidRPr="004055C2" w:rsidRDefault="00323FC1" w:rsidP="001D321F">
      <w:pPr>
        <w:pStyle w:val="FootnoteText"/>
        <w:jc w:val="both"/>
        <w:rPr>
          <w:rFonts w:ascii="Cambria" w:hAnsi="Cambria"/>
          <w:color w:val="000000" w:themeColor="text1"/>
          <w:sz w:val="16"/>
          <w:szCs w:val="16"/>
          <w:lang w:val="es-ES"/>
        </w:rPr>
      </w:pPr>
      <w:r w:rsidRPr="004055C2">
        <w:rPr>
          <w:rStyle w:val="FootnoteReference"/>
          <w:rFonts w:ascii="Cambria" w:hAnsi="Cambria"/>
          <w:color w:val="000000" w:themeColor="text1"/>
          <w:sz w:val="16"/>
          <w:szCs w:val="16"/>
          <w:lang w:val="es-ES"/>
        </w:rPr>
        <w:footnoteRef/>
      </w:r>
      <w:r w:rsidRPr="004055C2">
        <w:rPr>
          <w:rFonts w:ascii="Cambria" w:hAnsi="Cambria"/>
          <w:color w:val="000000" w:themeColor="text1"/>
          <w:sz w:val="16"/>
          <w:szCs w:val="16"/>
          <w:lang w:val="es-ES"/>
        </w:rPr>
        <w:t xml:space="preserve"> </w:t>
      </w:r>
      <w:r w:rsidRPr="004055C2">
        <w:rPr>
          <w:rFonts w:ascii="Cambria" w:hAnsi="Cambria"/>
          <w:b/>
          <w:color w:val="000000" w:themeColor="text1"/>
          <w:sz w:val="16"/>
          <w:szCs w:val="16"/>
          <w:lang w:val="es-ES"/>
        </w:rPr>
        <w:t>ANEXO 32.</w:t>
      </w:r>
      <w:r w:rsidRPr="004055C2">
        <w:rPr>
          <w:rFonts w:ascii="Cambria" w:hAnsi="Cambria"/>
          <w:color w:val="000000" w:themeColor="text1"/>
          <w:sz w:val="16"/>
          <w:szCs w:val="16"/>
          <w:lang w:val="es-ES"/>
        </w:rPr>
        <w:t xml:space="preserve"> Sentencia del Ministro de Fuero Joaquín Billard Acuña en Rol. 2.198 “Episodio José García Franco” de fecha 31 de enero de 2008. Anexo 1 a la comunicación de la parte peticionaria de fecha 26 de enero de 2021. </w:t>
      </w:r>
    </w:p>
  </w:footnote>
  <w:footnote w:id="154">
    <w:p w14:paraId="7AD3C715" w14:textId="58F1F657" w:rsidR="00323FC1" w:rsidRPr="004055C2" w:rsidRDefault="00323FC1" w:rsidP="001D321F">
      <w:pPr>
        <w:pStyle w:val="FootnoteText"/>
        <w:jc w:val="both"/>
        <w:rPr>
          <w:rFonts w:ascii="Cambria" w:hAnsi="Cambria"/>
          <w:color w:val="000000" w:themeColor="text1"/>
          <w:sz w:val="16"/>
          <w:szCs w:val="16"/>
          <w:lang w:val="es-AR"/>
        </w:rPr>
      </w:pPr>
      <w:r w:rsidRPr="004055C2">
        <w:rPr>
          <w:rStyle w:val="FootnoteReference"/>
          <w:rFonts w:ascii="Cambria" w:hAnsi="Cambria"/>
          <w:color w:val="000000" w:themeColor="text1"/>
          <w:sz w:val="16"/>
          <w:szCs w:val="16"/>
          <w:lang w:val="es-ES"/>
        </w:rPr>
        <w:footnoteRef/>
      </w:r>
      <w:r w:rsidRPr="004055C2">
        <w:rPr>
          <w:rFonts w:ascii="Cambria" w:hAnsi="Cambria"/>
          <w:color w:val="000000" w:themeColor="text1"/>
          <w:sz w:val="16"/>
          <w:szCs w:val="16"/>
          <w:lang w:val="es-AR"/>
        </w:rPr>
        <w:t xml:space="preserve"> </w:t>
      </w:r>
      <w:r w:rsidRPr="004055C2">
        <w:rPr>
          <w:rFonts w:ascii="Cambria" w:hAnsi="Cambria"/>
          <w:b/>
          <w:color w:val="000000" w:themeColor="text1"/>
          <w:sz w:val="16"/>
          <w:szCs w:val="16"/>
          <w:lang w:val="es-ES"/>
        </w:rPr>
        <w:t>ANEXO 32.</w:t>
      </w:r>
      <w:r w:rsidRPr="004055C2">
        <w:rPr>
          <w:rFonts w:ascii="Cambria" w:hAnsi="Cambria"/>
          <w:color w:val="000000" w:themeColor="text1"/>
          <w:sz w:val="16"/>
          <w:szCs w:val="16"/>
          <w:lang w:val="es-ES"/>
        </w:rPr>
        <w:t xml:space="preserve"> Sentencia del Ministro de Fuero Joaquín Billard Acuña en Rol. 2.198 “Episodio José García Franco” de fecha 31 de enero de 2008. Anexo 1 a la comunicación de la parte peticionaria de fecha 26 de enero de 2021.</w:t>
      </w:r>
    </w:p>
  </w:footnote>
  <w:footnote w:id="155">
    <w:p w14:paraId="29896239" w14:textId="47B76B25" w:rsidR="00323FC1" w:rsidRPr="001D321F" w:rsidRDefault="00323FC1" w:rsidP="001D321F">
      <w:pPr>
        <w:pStyle w:val="FootnoteText"/>
        <w:jc w:val="both"/>
        <w:rPr>
          <w:rFonts w:ascii="Cambria" w:hAnsi="Cambria"/>
          <w:color w:val="000000" w:themeColor="text1"/>
          <w:sz w:val="16"/>
          <w:szCs w:val="16"/>
          <w:lang w:val="es-AR"/>
        </w:rPr>
      </w:pPr>
      <w:r w:rsidRPr="004055C2">
        <w:rPr>
          <w:rStyle w:val="FootnoteReference"/>
          <w:rFonts w:ascii="Cambria" w:hAnsi="Cambria"/>
          <w:color w:val="000000" w:themeColor="text1"/>
          <w:sz w:val="16"/>
          <w:szCs w:val="16"/>
        </w:rPr>
        <w:footnoteRef/>
      </w:r>
      <w:r w:rsidRPr="004055C2">
        <w:rPr>
          <w:rFonts w:ascii="Cambria" w:hAnsi="Cambria"/>
          <w:color w:val="000000" w:themeColor="text1"/>
          <w:sz w:val="16"/>
          <w:szCs w:val="16"/>
          <w:lang w:val="es-AR"/>
        </w:rPr>
        <w:t xml:space="preserve"> </w:t>
      </w:r>
      <w:r w:rsidRPr="004055C2">
        <w:rPr>
          <w:rFonts w:ascii="Cambria" w:hAnsi="Cambria"/>
          <w:b/>
          <w:color w:val="000000" w:themeColor="text1"/>
          <w:sz w:val="16"/>
          <w:szCs w:val="16"/>
          <w:lang w:val="es-ES"/>
        </w:rPr>
        <w:t>ANEXO 32.</w:t>
      </w:r>
      <w:r w:rsidRPr="004055C2">
        <w:rPr>
          <w:rFonts w:ascii="Cambria" w:hAnsi="Cambria"/>
          <w:color w:val="000000" w:themeColor="text1"/>
          <w:sz w:val="16"/>
          <w:szCs w:val="16"/>
          <w:lang w:val="es-ES"/>
        </w:rPr>
        <w:t xml:space="preserve"> Sentencia</w:t>
      </w:r>
      <w:r w:rsidRPr="001D321F">
        <w:rPr>
          <w:rFonts w:ascii="Cambria" w:hAnsi="Cambria"/>
          <w:color w:val="000000" w:themeColor="text1"/>
          <w:sz w:val="16"/>
          <w:szCs w:val="16"/>
          <w:lang w:val="es-ES"/>
        </w:rPr>
        <w:t xml:space="preserve"> del Ministro de Fuero Joaquín Billard Acuña en Rol. 2.198 “Episodio José García Franco” de fecha 31 de enero de 2008. Anexo 1 a la comunicación de la parte peticionaria de fecha 26 de enero de 2021.</w:t>
      </w:r>
    </w:p>
  </w:footnote>
  <w:footnote w:id="156">
    <w:p w14:paraId="1689E646" w14:textId="0ED49197" w:rsidR="00323FC1" w:rsidRPr="00864276" w:rsidRDefault="00323FC1" w:rsidP="001D321F">
      <w:pPr>
        <w:pStyle w:val="FootnoteText"/>
        <w:jc w:val="both"/>
        <w:rPr>
          <w:rFonts w:ascii="Cambria" w:hAnsi="Cambria"/>
          <w:color w:val="000000" w:themeColor="text1"/>
          <w:sz w:val="16"/>
          <w:szCs w:val="16"/>
          <w:lang w:val="es-AR"/>
        </w:rPr>
      </w:pPr>
      <w:r w:rsidRPr="00864276">
        <w:rPr>
          <w:rStyle w:val="FootnoteReference"/>
          <w:rFonts w:ascii="Cambria" w:hAnsi="Cambria"/>
          <w:color w:val="000000" w:themeColor="text1"/>
          <w:sz w:val="16"/>
          <w:szCs w:val="16"/>
        </w:rPr>
        <w:footnoteRef/>
      </w:r>
      <w:r w:rsidRPr="00864276">
        <w:rPr>
          <w:rFonts w:ascii="Cambria" w:hAnsi="Cambria"/>
          <w:color w:val="000000" w:themeColor="text1"/>
          <w:sz w:val="16"/>
          <w:szCs w:val="16"/>
          <w:lang w:val="es-AR"/>
        </w:rPr>
        <w:t xml:space="preserve"> </w:t>
      </w:r>
      <w:r w:rsidRPr="00864276">
        <w:rPr>
          <w:rFonts w:ascii="Cambria" w:hAnsi="Cambria"/>
          <w:b/>
          <w:color w:val="000000" w:themeColor="text1"/>
          <w:sz w:val="16"/>
          <w:szCs w:val="16"/>
          <w:lang w:val="es-AR"/>
        </w:rPr>
        <w:t>ANEXO 33.</w:t>
      </w:r>
      <w:r w:rsidRPr="00864276">
        <w:rPr>
          <w:rFonts w:ascii="Cambria" w:hAnsi="Cambria"/>
          <w:color w:val="000000" w:themeColor="text1"/>
          <w:sz w:val="16"/>
          <w:szCs w:val="16"/>
          <w:lang w:val="es-AR"/>
        </w:rPr>
        <w:t xml:space="preserve"> </w:t>
      </w:r>
      <w:r w:rsidRPr="00864276">
        <w:rPr>
          <w:rFonts w:ascii="Cambria" w:hAnsi="Cambria"/>
          <w:color w:val="000000" w:themeColor="text1"/>
          <w:sz w:val="16"/>
          <w:szCs w:val="16"/>
          <w:lang w:val="es-ES"/>
        </w:rPr>
        <w:t>Sentencia pronunciada por la Cuarta Sala de la Corte de Apelaciones de Santiago de fecha 26 de diciembre de 2008. Anexo 1 a la comunicación de la parte peticionaria de fecha 26 de enero de 2021.</w:t>
      </w:r>
    </w:p>
  </w:footnote>
  <w:footnote w:id="157">
    <w:p w14:paraId="4353BC6F" w14:textId="42EDDA33" w:rsidR="00323FC1" w:rsidRPr="00864276" w:rsidRDefault="00323FC1" w:rsidP="001D321F">
      <w:pPr>
        <w:pStyle w:val="FootnoteText"/>
        <w:jc w:val="both"/>
        <w:rPr>
          <w:rFonts w:ascii="Cambria" w:hAnsi="Cambria"/>
          <w:color w:val="000000" w:themeColor="text1"/>
          <w:sz w:val="16"/>
          <w:szCs w:val="16"/>
          <w:lang w:val="es-AR"/>
        </w:rPr>
      </w:pPr>
      <w:r w:rsidRPr="00864276">
        <w:rPr>
          <w:rStyle w:val="FootnoteReference"/>
          <w:rFonts w:ascii="Cambria" w:hAnsi="Cambria"/>
          <w:color w:val="000000" w:themeColor="text1"/>
          <w:sz w:val="16"/>
          <w:szCs w:val="16"/>
        </w:rPr>
        <w:footnoteRef/>
      </w:r>
      <w:r w:rsidRPr="00864276">
        <w:rPr>
          <w:rFonts w:ascii="Cambria" w:hAnsi="Cambria"/>
          <w:color w:val="000000" w:themeColor="text1"/>
          <w:sz w:val="16"/>
          <w:szCs w:val="16"/>
          <w:lang w:val="es-AR"/>
        </w:rPr>
        <w:t xml:space="preserve"> </w:t>
      </w:r>
      <w:r w:rsidRPr="00864276">
        <w:rPr>
          <w:rFonts w:ascii="Cambria" w:hAnsi="Cambria"/>
          <w:b/>
          <w:color w:val="000000" w:themeColor="text1"/>
          <w:sz w:val="16"/>
          <w:szCs w:val="16"/>
          <w:lang w:val="es-AR"/>
        </w:rPr>
        <w:t>ANEXO 34.</w:t>
      </w:r>
      <w:r w:rsidRPr="00864276">
        <w:rPr>
          <w:rFonts w:ascii="Cambria" w:hAnsi="Cambria"/>
          <w:color w:val="000000" w:themeColor="text1"/>
          <w:sz w:val="16"/>
          <w:szCs w:val="16"/>
          <w:lang w:val="es-AR"/>
        </w:rPr>
        <w:t xml:space="preserve"> </w:t>
      </w:r>
      <w:r w:rsidRPr="00864276">
        <w:rPr>
          <w:rFonts w:ascii="Cambria" w:hAnsi="Cambria"/>
          <w:color w:val="000000" w:themeColor="text1"/>
          <w:sz w:val="16"/>
          <w:szCs w:val="16"/>
          <w:lang w:val="es-ES"/>
        </w:rPr>
        <w:t>Sentencia de la Sala Segunda de la Corte Suprema de Justicia de fecha 2 de diciembre de 2009, considerando quinto. Anexo 3 a la comunicación de la parte peticionaria de fecha 26 de enero de 2021.</w:t>
      </w:r>
    </w:p>
  </w:footnote>
  <w:footnote w:id="158">
    <w:p w14:paraId="7E70C038" w14:textId="05CED7E7" w:rsidR="00323FC1" w:rsidRPr="00864276" w:rsidRDefault="00323FC1" w:rsidP="001D321F">
      <w:pPr>
        <w:pStyle w:val="FootnoteText"/>
        <w:jc w:val="both"/>
        <w:rPr>
          <w:rFonts w:ascii="Cambria" w:hAnsi="Cambria"/>
          <w:color w:val="000000" w:themeColor="text1"/>
          <w:sz w:val="16"/>
          <w:szCs w:val="16"/>
          <w:lang w:val="es-ES"/>
        </w:rPr>
      </w:pPr>
      <w:r w:rsidRPr="00864276">
        <w:rPr>
          <w:rStyle w:val="FootnoteReference"/>
          <w:rFonts w:ascii="Cambria" w:hAnsi="Cambria"/>
          <w:color w:val="000000" w:themeColor="text1"/>
          <w:sz w:val="16"/>
          <w:szCs w:val="16"/>
          <w:lang w:val="es-ES"/>
        </w:rPr>
        <w:footnoteRef/>
      </w:r>
      <w:r w:rsidRPr="00864276">
        <w:rPr>
          <w:rFonts w:ascii="Cambria" w:hAnsi="Cambria"/>
          <w:color w:val="000000" w:themeColor="text1"/>
          <w:sz w:val="16"/>
          <w:szCs w:val="16"/>
          <w:lang w:val="es-ES"/>
        </w:rPr>
        <w:t xml:space="preserve"> </w:t>
      </w:r>
      <w:r w:rsidRPr="00864276">
        <w:rPr>
          <w:rFonts w:ascii="Cambria" w:hAnsi="Cambria"/>
          <w:b/>
          <w:color w:val="000000" w:themeColor="text1"/>
          <w:sz w:val="16"/>
          <w:szCs w:val="16"/>
          <w:lang w:val="es-ES"/>
        </w:rPr>
        <w:t>ANEXO 35.</w:t>
      </w:r>
      <w:r w:rsidRPr="00864276">
        <w:rPr>
          <w:rFonts w:ascii="Cambria" w:hAnsi="Cambria"/>
          <w:color w:val="000000" w:themeColor="text1"/>
          <w:sz w:val="16"/>
          <w:szCs w:val="16"/>
          <w:lang w:val="es-ES"/>
        </w:rPr>
        <w:t xml:space="preserve"> Sentencia de reemplazo dictada por la Sala Segunda de la Corte Suprema de Justicia de fecha 2 de diciembre de 2009. Anexo 4 a la comunicación de la parte peticionaria de fecha 26 de enero de 2021.</w:t>
      </w:r>
    </w:p>
  </w:footnote>
  <w:footnote w:id="159">
    <w:p w14:paraId="468B12A3" w14:textId="39A7BF92" w:rsidR="00323FC1" w:rsidRPr="00864276" w:rsidRDefault="00323FC1" w:rsidP="001D321F">
      <w:pPr>
        <w:pStyle w:val="FootnoteText"/>
        <w:jc w:val="both"/>
        <w:rPr>
          <w:rFonts w:ascii="Cambria" w:hAnsi="Cambria"/>
          <w:color w:val="000000" w:themeColor="text1"/>
          <w:sz w:val="16"/>
          <w:szCs w:val="16"/>
          <w:lang w:val="es-AR"/>
        </w:rPr>
      </w:pPr>
      <w:r w:rsidRPr="00864276">
        <w:rPr>
          <w:rStyle w:val="FootnoteReference"/>
          <w:rFonts w:ascii="Cambria" w:hAnsi="Cambria"/>
          <w:color w:val="000000" w:themeColor="text1"/>
          <w:sz w:val="16"/>
          <w:szCs w:val="16"/>
        </w:rPr>
        <w:footnoteRef/>
      </w:r>
      <w:r w:rsidRPr="00864276">
        <w:rPr>
          <w:rFonts w:ascii="Cambria" w:hAnsi="Cambria"/>
          <w:color w:val="000000" w:themeColor="text1"/>
          <w:sz w:val="16"/>
          <w:szCs w:val="16"/>
          <w:lang w:val="es-AR"/>
        </w:rPr>
        <w:t xml:space="preserve"> </w:t>
      </w:r>
      <w:r w:rsidRPr="00864276">
        <w:rPr>
          <w:rFonts w:ascii="Cambria" w:hAnsi="Cambria"/>
          <w:b/>
          <w:color w:val="000000" w:themeColor="text1"/>
          <w:sz w:val="16"/>
          <w:szCs w:val="16"/>
          <w:lang w:val="es-ES"/>
        </w:rPr>
        <w:t>ANEXO 35.</w:t>
      </w:r>
      <w:r w:rsidRPr="00864276">
        <w:rPr>
          <w:rFonts w:ascii="Cambria" w:hAnsi="Cambria"/>
          <w:color w:val="000000" w:themeColor="text1"/>
          <w:sz w:val="16"/>
          <w:szCs w:val="16"/>
          <w:lang w:val="es-ES"/>
        </w:rPr>
        <w:t xml:space="preserve"> Sentencia de reemplazo dictada por la Sala Segunda de la Corte Suprema de Justicia de fecha 2 de diciembre de 2009 considerando segundo. Anexo 4 a la comunicación de la parte peticionaria de fecha 26 de enero de 2021.</w:t>
      </w:r>
    </w:p>
  </w:footnote>
  <w:footnote w:id="160">
    <w:p w14:paraId="6056DF70" w14:textId="6A4262BA" w:rsidR="00323FC1" w:rsidRPr="001D321F" w:rsidRDefault="00323FC1" w:rsidP="001D321F">
      <w:pPr>
        <w:pStyle w:val="FootnoteText"/>
        <w:jc w:val="both"/>
        <w:rPr>
          <w:rFonts w:ascii="Cambria" w:hAnsi="Cambria"/>
          <w:color w:val="000000" w:themeColor="text1"/>
          <w:sz w:val="16"/>
          <w:szCs w:val="16"/>
          <w:lang w:val="es-AR"/>
        </w:rPr>
      </w:pPr>
      <w:r w:rsidRPr="00864276">
        <w:rPr>
          <w:rStyle w:val="FootnoteReference"/>
          <w:rFonts w:ascii="Cambria" w:hAnsi="Cambria"/>
          <w:color w:val="000000" w:themeColor="text1"/>
          <w:sz w:val="16"/>
          <w:szCs w:val="16"/>
        </w:rPr>
        <w:footnoteRef/>
      </w:r>
      <w:r w:rsidRPr="00864276">
        <w:rPr>
          <w:rFonts w:ascii="Cambria" w:hAnsi="Cambria"/>
          <w:color w:val="000000" w:themeColor="text1"/>
          <w:sz w:val="16"/>
          <w:szCs w:val="16"/>
          <w:lang w:val="es-AR"/>
        </w:rPr>
        <w:t xml:space="preserve"> </w:t>
      </w:r>
      <w:r w:rsidRPr="00864276">
        <w:rPr>
          <w:rFonts w:ascii="Cambria" w:hAnsi="Cambria"/>
          <w:b/>
          <w:color w:val="000000" w:themeColor="text1"/>
          <w:sz w:val="16"/>
          <w:szCs w:val="16"/>
          <w:lang w:val="es-ES"/>
        </w:rPr>
        <w:t>ANEXO 35.</w:t>
      </w:r>
      <w:r w:rsidRPr="00864276">
        <w:rPr>
          <w:rFonts w:ascii="Cambria" w:hAnsi="Cambria"/>
          <w:color w:val="000000" w:themeColor="text1"/>
          <w:sz w:val="16"/>
          <w:szCs w:val="16"/>
          <w:lang w:val="es-ES"/>
        </w:rPr>
        <w:t xml:space="preserve"> Sentencia de reemplazo dictada por la Sala Segunda de la Corte Suprema de Justicia de fecha 2 de diciembre de 2009 considerando quinto. Anexo 4 a la comunicación de la parte peticionaria de fecha 26 de enero de 2021.</w:t>
      </w:r>
    </w:p>
  </w:footnote>
  <w:footnote w:id="161">
    <w:p w14:paraId="7FC6BEEC" w14:textId="38FDC355" w:rsidR="00323FC1" w:rsidRPr="00864276" w:rsidRDefault="00323FC1" w:rsidP="001D321F">
      <w:pPr>
        <w:pStyle w:val="FootnoteText"/>
        <w:jc w:val="both"/>
        <w:rPr>
          <w:rFonts w:ascii="Cambria" w:hAnsi="Cambria"/>
          <w:color w:val="000000" w:themeColor="text1"/>
          <w:sz w:val="16"/>
          <w:szCs w:val="16"/>
          <w:lang w:val="es-AR"/>
        </w:rPr>
      </w:pPr>
      <w:r w:rsidRPr="00864276">
        <w:rPr>
          <w:rStyle w:val="FootnoteReference"/>
          <w:rFonts w:ascii="Cambria" w:hAnsi="Cambria"/>
          <w:color w:val="000000" w:themeColor="text1"/>
          <w:sz w:val="16"/>
          <w:szCs w:val="16"/>
        </w:rPr>
        <w:footnoteRef/>
      </w:r>
      <w:r w:rsidRPr="00864276">
        <w:rPr>
          <w:rFonts w:ascii="Cambria" w:hAnsi="Cambria"/>
          <w:color w:val="000000" w:themeColor="text1"/>
          <w:sz w:val="16"/>
          <w:szCs w:val="16"/>
          <w:lang w:val="es-AR"/>
        </w:rPr>
        <w:t xml:space="preserve"> </w:t>
      </w:r>
      <w:r w:rsidRPr="00864276">
        <w:rPr>
          <w:rFonts w:ascii="Cambria" w:hAnsi="Cambria"/>
          <w:b/>
          <w:color w:val="000000" w:themeColor="text1"/>
          <w:sz w:val="16"/>
          <w:szCs w:val="16"/>
          <w:lang w:val="es-ES"/>
        </w:rPr>
        <w:t>ANEXO 35.</w:t>
      </w:r>
      <w:r w:rsidRPr="00864276">
        <w:rPr>
          <w:rFonts w:ascii="Cambria" w:hAnsi="Cambria"/>
          <w:color w:val="000000" w:themeColor="text1"/>
          <w:sz w:val="16"/>
          <w:szCs w:val="16"/>
          <w:lang w:val="es-ES"/>
        </w:rPr>
        <w:t xml:space="preserve"> Sentencia de reemplazo dictada por la Sala Segunda de la Corte Suprema de Justicia de fecha 2 de diciembre de 2009. Anexo 4 a la comunicación de la parte peticionaria de fecha 26 de enero de 2021.</w:t>
      </w:r>
    </w:p>
  </w:footnote>
  <w:footnote w:id="162">
    <w:p w14:paraId="069771E1" w14:textId="1C687D37" w:rsidR="00323FC1" w:rsidRPr="00864276" w:rsidRDefault="00323FC1" w:rsidP="001D321F">
      <w:pPr>
        <w:pStyle w:val="FootnoteText"/>
        <w:jc w:val="both"/>
        <w:rPr>
          <w:rFonts w:ascii="Cambria" w:hAnsi="Cambria"/>
          <w:color w:val="000000" w:themeColor="text1"/>
          <w:sz w:val="16"/>
          <w:szCs w:val="16"/>
          <w:lang w:val="es-ES"/>
        </w:rPr>
      </w:pPr>
      <w:r w:rsidRPr="00864276">
        <w:rPr>
          <w:rStyle w:val="FootnoteReference"/>
          <w:rFonts w:ascii="Cambria" w:hAnsi="Cambria"/>
          <w:color w:val="000000" w:themeColor="text1"/>
          <w:sz w:val="16"/>
          <w:szCs w:val="16"/>
          <w:lang w:val="es-ES"/>
        </w:rPr>
        <w:footnoteRef/>
      </w:r>
      <w:r w:rsidRPr="00864276">
        <w:rPr>
          <w:rFonts w:ascii="Cambria" w:hAnsi="Cambria"/>
          <w:color w:val="000000" w:themeColor="text1"/>
          <w:sz w:val="16"/>
          <w:szCs w:val="16"/>
          <w:lang w:val="es-ES"/>
        </w:rPr>
        <w:t xml:space="preserve"> </w:t>
      </w:r>
      <w:r w:rsidRPr="00864276">
        <w:rPr>
          <w:rFonts w:ascii="Cambria" w:hAnsi="Cambria"/>
          <w:b/>
          <w:color w:val="000000" w:themeColor="text1"/>
          <w:sz w:val="16"/>
          <w:szCs w:val="16"/>
          <w:lang w:val="es-ES"/>
        </w:rPr>
        <w:t>ANEXO 36.</w:t>
      </w:r>
      <w:r w:rsidRPr="00864276">
        <w:rPr>
          <w:rFonts w:ascii="Cambria" w:hAnsi="Cambria"/>
          <w:color w:val="000000" w:themeColor="text1"/>
          <w:sz w:val="16"/>
          <w:szCs w:val="16"/>
          <w:lang w:val="es-ES"/>
        </w:rPr>
        <w:t xml:space="preserve"> Sentencia de fecha 30 de marzo de 2008 dictada por el Ministro en Visita Extraordinaria de la Corte de Apelaciones de Temuco, Sr. Fernando Carreño Ortega, considerandos sexto y séptimo. Anexo 1 a la comunicación de la parte peticionaria de fecha 23 de junio de 2010.    </w:t>
      </w:r>
    </w:p>
  </w:footnote>
  <w:footnote w:id="163">
    <w:p w14:paraId="7AF867E0" w14:textId="08968572" w:rsidR="00323FC1" w:rsidRPr="00864276" w:rsidRDefault="00323FC1" w:rsidP="001D321F">
      <w:pPr>
        <w:pStyle w:val="FootnoteText"/>
        <w:jc w:val="both"/>
        <w:rPr>
          <w:rFonts w:ascii="Cambria" w:hAnsi="Cambria"/>
          <w:color w:val="000000" w:themeColor="text1"/>
          <w:sz w:val="16"/>
          <w:szCs w:val="16"/>
          <w:lang w:val="es-AR"/>
        </w:rPr>
      </w:pPr>
      <w:r w:rsidRPr="00864276">
        <w:rPr>
          <w:rStyle w:val="FootnoteReference"/>
          <w:rFonts w:ascii="Cambria" w:hAnsi="Cambria"/>
          <w:color w:val="000000" w:themeColor="text1"/>
          <w:sz w:val="16"/>
          <w:szCs w:val="16"/>
        </w:rPr>
        <w:footnoteRef/>
      </w:r>
      <w:r w:rsidRPr="00864276">
        <w:rPr>
          <w:rFonts w:ascii="Cambria" w:hAnsi="Cambria"/>
          <w:color w:val="000000" w:themeColor="text1"/>
          <w:sz w:val="16"/>
          <w:szCs w:val="16"/>
          <w:lang w:val="es-AR"/>
        </w:rPr>
        <w:t xml:space="preserve"> </w:t>
      </w:r>
      <w:r w:rsidRPr="00864276">
        <w:rPr>
          <w:rFonts w:ascii="Cambria" w:hAnsi="Cambria"/>
          <w:b/>
          <w:color w:val="000000" w:themeColor="text1"/>
          <w:sz w:val="16"/>
          <w:szCs w:val="16"/>
          <w:lang w:val="es-ES"/>
        </w:rPr>
        <w:t>ANEXO 36.</w:t>
      </w:r>
      <w:r w:rsidRPr="00864276">
        <w:rPr>
          <w:rFonts w:ascii="Cambria" w:hAnsi="Cambria"/>
          <w:color w:val="000000" w:themeColor="text1"/>
          <w:sz w:val="16"/>
          <w:szCs w:val="16"/>
          <w:lang w:val="es-ES"/>
        </w:rPr>
        <w:t xml:space="preserve"> Sentencia de fecha 30 de marzo de 2008 dictada por el Ministro en Visita Extraordinaria de la Corte de Apelaciones de Temuco, Sr. Fernando Carreño Ortega, punto resolutivo I. Anexo 1 a la comunicación de la parte peticionaria de fecha 23 de junio de 2010.</w:t>
      </w:r>
    </w:p>
  </w:footnote>
  <w:footnote w:id="164">
    <w:p w14:paraId="26B603D9" w14:textId="396AD65E" w:rsidR="00323FC1" w:rsidRPr="001D321F" w:rsidRDefault="00323FC1" w:rsidP="001D321F">
      <w:pPr>
        <w:pStyle w:val="FootnoteText"/>
        <w:jc w:val="both"/>
        <w:rPr>
          <w:rFonts w:ascii="Cambria" w:hAnsi="Cambria"/>
          <w:color w:val="000000" w:themeColor="text1"/>
          <w:sz w:val="16"/>
          <w:szCs w:val="16"/>
          <w:lang w:val="es-ES"/>
        </w:rPr>
      </w:pPr>
      <w:r w:rsidRPr="00864276">
        <w:rPr>
          <w:rStyle w:val="FootnoteReference"/>
          <w:rFonts w:ascii="Cambria" w:hAnsi="Cambria"/>
          <w:color w:val="000000" w:themeColor="text1"/>
          <w:sz w:val="16"/>
          <w:szCs w:val="16"/>
          <w:lang w:val="es-ES"/>
        </w:rPr>
        <w:footnoteRef/>
      </w:r>
      <w:r w:rsidRPr="00864276">
        <w:rPr>
          <w:rFonts w:ascii="Cambria" w:hAnsi="Cambria"/>
          <w:color w:val="000000" w:themeColor="text1"/>
          <w:sz w:val="16"/>
          <w:szCs w:val="16"/>
          <w:lang w:val="es-ES"/>
        </w:rPr>
        <w:t xml:space="preserve"> </w:t>
      </w:r>
      <w:r w:rsidRPr="00864276">
        <w:rPr>
          <w:rFonts w:ascii="Cambria" w:hAnsi="Cambria"/>
          <w:b/>
          <w:color w:val="000000" w:themeColor="text1"/>
          <w:sz w:val="16"/>
          <w:szCs w:val="16"/>
          <w:lang w:val="es-ES"/>
        </w:rPr>
        <w:t>ANEXO 37</w:t>
      </w:r>
      <w:r w:rsidRPr="00864276">
        <w:rPr>
          <w:rFonts w:ascii="Cambria" w:hAnsi="Cambria"/>
          <w:color w:val="000000" w:themeColor="text1"/>
          <w:sz w:val="16"/>
          <w:szCs w:val="16"/>
          <w:lang w:val="es-ES"/>
        </w:rPr>
        <w:t>. Sentencia de la Segunda Sala de la Corte de Apelaciones de Temuco de fecha 19 de agosto de 2008. Anexo 2 a la comunicación de la parte peticionaria de fecha 23 de junio de 2010.</w:t>
      </w:r>
      <w:r w:rsidRPr="001D321F">
        <w:rPr>
          <w:rFonts w:ascii="Cambria" w:hAnsi="Cambria"/>
          <w:color w:val="000000" w:themeColor="text1"/>
          <w:sz w:val="16"/>
          <w:szCs w:val="16"/>
          <w:lang w:val="es-ES"/>
        </w:rPr>
        <w:t xml:space="preserve">    </w:t>
      </w:r>
    </w:p>
  </w:footnote>
  <w:footnote w:id="165">
    <w:p w14:paraId="2FBE5EE5" w14:textId="383BB886" w:rsidR="00323FC1" w:rsidRPr="00E77674" w:rsidRDefault="00323FC1" w:rsidP="001D321F">
      <w:pPr>
        <w:pStyle w:val="FootnoteText"/>
        <w:jc w:val="both"/>
        <w:rPr>
          <w:rFonts w:ascii="Cambria" w:hAnsi="Cambria"/>
          <w:color w:val="000000" w:themeColor="text1"/>
          <w:sz w:val="16"/>
          <w:szCs w:val="16"/>
          <w:lang w:val="es-ES"/>
        </w:rPr>
      </w:pPr>
      <w:r w:rsidRPr="00E77674">
        <w:rPr>
          <w:rStyle w:val="FootnoteReference"/>
          <w:rFonts w:ascii="Cambria" w:hAnsi="Cambria"/>
          <w:color w:val="000000" w:themeColor="text1"/>
          <w:sz w:val="16"/>
          <w:szCs w:val="16"/>
          <w:lang w:val="es-ES"/>
        </w:rPr>
        <w:footnoteRef/>
      </w:r>
      <w:r w:rsidRPr="00E77674">
        <w:rPr>
          <w:rFonts w:ascii="Cambria" w:hAnsi="Cambria"/>
          <w:color w:val="000000" w:themeColor="text1"/>
          <w:sz w:val="16"/>
          <w:szCs w:val="16"/>
          <w:lang w:val="es-ES"/>
        </w:rPr>
        <w:t xml:space="preserve"> </w:t>
      </w:r>
      <w:r w:rsidRPr="00E77674">
        <w:rPr>
          <w:rFonts w:ascii="Cambria" w:hAnsi="Cambria"/>
          <w:b/>
          <w:color w:val="000000" w:themeColor="text1"/>
          <w:sz w:val="16"/>
          <w:szCs w:val="16"/>
          <w:lang w:val="es-ES"/>
        </w:rPr>
        <w:t>ANEXO 38.</w:t>
      </w:r>
      <w:r w:rsidRPr="00E77674">
        <w:rPr>
          <w:rFonts w:ascii="Cambria" w:hAnsi="Cambria"/>
          <w:color w:val="000000" w:themeColor="text1"/>
          <w:sz w:val="16"/>
          <w:szCs w:val="16"/>
          <w:lang w:val="es-ES"/>
        </w:rPr>
        <w:t xml:space="preserve"> Sentencia de la Segunda Sala de la Corte Suprema de Justicia de fecha 23 de diciembre de 2009. Anexo 3 a la comunicación de la parte peticionaria de fecha 23 de junio de 2010.    </w:t>
      </w:r>
    </w:p>
  </w:footnote>
  <w:footnote w:id="166">
    <w:p w14:paraId="354B4079" w14:textId="696B535E" w:rsidR="00323FC1" w:rsidRPr="00E77674" w:rsidRDefault="00323FC1" w:rsidP="001D321F">
      <w:pPr>
        <w:pStyle w:val="FootnoteText"/>
        <w:jc w:val="both"/>
        <w:rPr>
          <w:rFonts w:ascii="Cambria" w:hAnsi="Cambria"/>
          <w:color w:val="000000" w:themeColor="text1"/>
          <w:sz w:val="16"/>
          <w:szCs w:val="16"/>
          <w:lang w:val="es-AR"/>
        </w:rPr>
      </w:pPr>
      <w:r w:rsidRPr="00E77674">
        <w:rPr>
          <w:rStyle w:val="FootnoteReference"/>
          <w:rFonts w:ascii="Cambria" w:hAnsi="Cambria"/>
          <w:color w:val="000000" w:themeColor="text1"/>
          <w:sz w:val="16"/>
          <w:szCs w:val="16"/>
        </w:rPr>
        <w:footnoteRef/>
      </w:r>
      <w:r w:rsidRPr="00E77674">
        <w:rPr>
          <w:rFonts w:ascii="Cambria" w:hAnsi="Cambria"/>
          <w:color w:val="000000" w:themeColor="text1"/>
          <w:sz w:val="16"/>
          <w:szCs w:val="16"/>
          <w:lang w:val="es-AR"/>
        </w:rPr>
        <w:t xml:space="preserve"> </w:t>
      </w:r>
      <w:r w:rsidRPr="00E77674">
        <w:rPr>
          <w:rFonts w:ascii="Cambria" w:hAnsi="Cambria"/>
          <w:b/>
          <w:color w:val="000000" w:themeColor="text1"/>
          <w:sz w:val="16"/>
          <w:szCs w:val="16"/>
          <w:lang w:val="es-ES"/>
        </w:rPr>
        <w:t>ANEXO 38.</w:t>
      </w:r>
      <w:r w:rsidRPr="00E77674">
        <w:rPr>
          <w:rFonts w:ascii="Cambria" w:hAnsi="Cambria"/>
          <w:color w:val="000000" w:themeColor="text1"/>
          <w:sz w:val="16"/>
          <w:szCs w:val="16"/>
          <w:lang w:val="es-ES"/>
        </w:rPr>
        <w:t xml:space="preserve"> Sentencia de la Segunda Sala de la Corte Suprema de Justicia de fecha 23 de diciembre de 2009, considerando segundo. Anexo 3 a la comunicación de la parte peticionaria de fecha 23 de junio de 2010.    </w:t>
      </w:r>
    </w:p>
  </w:footnote>
  <w:footnote w:id="167">
    <w:p w14:paraId="22F52E29" w14:textId="60D25879" w:rsidR="00323FC1" w:rsidRPr="00E77674" w:rsidRDefault="00323FC1" w:rsidP="001D321F">
      <w:pPr>
        <w:pStyle w:val="FootnoteText"/>
        <w:jc w:val="both"/>
        <w:rPr>
          <w:rFonts w:ascii="Cambria" w:hAnsi="Cambria"/>
          <w:color w:val="000000" w:themeColor="text1"/>
          <w:sz w:val="16"/>
          <w:szCs w:val="16"/>
          <w:lang w:val="es-ES"/>
        </w:rPr>
      </w:pPr>
      <w:r w:rsidRPr="00E77674">
        <w:rPr>
          <w:rStyle w:val="FootnoteReference"/>
          <w:rFonts w:ascii="Cambria" w:hAnsi="Cambria"/>
          <w:color w:val="000000" w:themeColor="text1"/>
          <w:sz w:val="16"/>
          <w:szCs w:val="16"/>
        </w:rPr>
        <w:footnoteRef/>
      </w:r>
      <w:r w:rsidRPr="00E77674">
        <w:rPr>
          <w:rFonts w:ascii="Cambria" w:hAnsi="Cambria"/>
          <w:color w:val="000000" w:themeColor="text1"/>
          <w:sz w:val="16"/>
          <w:szCs w:val="16"/>
          <w:lang w:val="es-AR"/>
        </w:rPr>
        <w:t xml:space="preserve"> </w:t>
      </w:r>
      <w:r w:rsidRPr="00E77674">
        <w:rPr>
          <w:rFonts w:ascii="Cambria" w:hAnsi="Cambria"/>
          <w:b/>
          <w:color w:val="000000" w:themeColor="text1"/>
          <w:sz w:val="16"/>
          <w:szCs w:val="16"/>
          <w:lang w:val="es-ES"/>
        </w:rPr>
        <w:t>ANEXO 38.</w:t>
      </w:r>
      <w:r w:rsidRPr="00E77674">
        <w:rPr>
          <w:rFonts w:ascii="Cambria" w:hAnsi="Cambria"/>
          <w:color w:val="000000" w:themeColor="text1"/>
          <w:sz w:val="16"/>
          <w:szCs w:val="16"/>
          <w:lang w:val="es-ES"/>
        </w:rPr>
        <w:t xml:space="preserve"> Sentencia de la Segunda Sala de la Corte Suprema de Justicia de fecha 23 de diciembre de 2009, considerando tercero. Anexo 3 a la comunicación de la parte peticionaria de fecha 23 de junio de 2010.    </w:t>
      </w:r>
    </w:p>
  </w:footnote>
  <w:footnote w:id="168">
    <w:p w14:paraId="32F8AA52" w14:textId="36362292" w:rsidR="00323FC1" w:rsidRPr="00E77674" w:rsidRDefault="00323FC1" w:rsidP="001D321F">
      <w:pPr>
        <w:pStyle w:val="FootnoteText"/>
        <w:jc w:val="both"/>
        <w:rPr>
          <w:rFonts w:ascii="Cambria" w:hAnsi="Cambria"/>
          <w:color w:val="000000" w:themeColor="text1"/>
          <w:sz w:val="16"/>
          <w:szCs w:val="16"/>
          <w:lang w:val="es-ES"/>
        </w:rPr>
      </w:pPr>
      <w:r w:rsidRPr="00E77674">
        <w:rPr>
          <w:rStyle w:val="FootnoteReference"/>
          <w:rFonts w:ascii="Cambria" w:hAnsi="Cambria"/>
          <w:color w:val="000000" w:themeColor="text1"/>
          <w:sz w:val="16"/>
          <w:szCs w:val="16"/>
          <w:lang w:val="es-ES"/>
        </w:rPr>
        <w:footnoteRef/>
      </w:r>
      <w:r w:rsidRPr="00E77674">
        <w:rPr>
          <w:rFonts w:ascii="Cambria" w:hAnsi="Cambria"/>
          <w:color w:val="000000" w:themeColor="text1"/>
          <w:sz w:val="16"/>
          <w:szCs w:val="16"/>
          <w:lang w:val="es-ES"/>
        </w:rPr>
        <w:t xml:space="preserve"> </w:t>
      </w:r>
      <w:r w:rsidRPr="00E77674">
        <w:rPr>
          <w:rFonts w:ascii="Cambria" w:hAnsi="Cambria"/>
          <w:b/>
          <w:color w:val="000000" w:themeColor="text1"/>
          <w:sz w:val="16"/>
          <w:szCs w:val="16"/>
          <w:lang w:val="es-ES"/>
        </w:rPr>
        <w:t>ANEXO 38.</w:t>
      </w:r>
      <w:r w:rsidRPr="00E77674">
        <w:rPr>
          <w:rFonts w:ascii="Cambria" w:hAnsi="Cambria"/>
          <w:color w:val="000000" w:themeColor="text1"/>
          <w:sz w:val="16"/>
          <w:szCs w:val="16"/>
          <w:lang w:val="es-ES"/>
        </w:rPr>
        <w:t xml:space="preserve"> Sentencia de la Segunda Sala de la Corte Suprema de Justicia de fecha 23 de diciembre de 2009, considerando sexto y punto resolutivo primero. Anexo 3 a la comunicación de la parte peticionaria de fecha 23 de junio de 2010.    </w:t>
      </w:r>
    </w:p>
  </w:footnote>
  <w:footnote w:id="169">
    <w:p w14:paraId="08AAD3F3" w14:textId="4ED6CEDF" w:rsidR="00323FC1" w:rsidRPr="001D321F" w:rsidRDefault="00323FC1" w:rsidP="001D321F">
      <w:pPr>
        <w:pStyle w:val="FootnoteText"/>
        <w:jc w:val="both"/>
        <w:rPr>
          <w:rFonts w:ascii="Cambria" w:hAnsi="Cambria"/>
          <w:color w:val="000000" w:themeColor="text1"/>
          <w:sz w:val="16"/>
          <w:szCs w:val="16"/>
          <w:lang w:val="es-AR"/>
        </w:rPr>
      </w:pPr>
      <w:r w:rsidRPr="00E77674">
        <w:rPr>
          <w:rStyle w:val="FootnoteReference"/>
          <w:rFonts w:ascii="Cambria" w:hAnsi="Cambria"/>
          <w:color w:val="000000" w:themeColor="text1"/>
          <w:sz w:val="16"/>
          <w:szCs w:val="16"/>
          <w:lang w:val="es-ES"/>
        </w:rPr>
        <w:footnoteRef/>
      </w:r>
      <w:r w:rsidRPr="00E77674">
        <w:rPr>
          <w:rFonts w:ascii="Cambria" w:hAnsi="Cambria"/>
          <w:color w:val="000000" w:themeColor="text1"/>
          <w:sz w:val="16"/>
          <w:szCs w:val="16"/>
          <w:lang w:val="es-ES"/>
        </w:rPr>
        <w:t xml:space="preserve"> </w:t>
      </w:r>
      <w:r w:rsidRPr="00E77674">
        <w:rPr>
          <w:rFonts w:ascii="Cambria" w:hAnsi="Cambria"/>
          <w:b/>
          <w:color w:val="000000" w:themeColor="text1"/>
          <w:sz w:val="16"/>
          <w:szCs w:val="16"/>
          <w:lang w:val="es-ES"/>
        </w:rPr>
        <w:t>ANEXO 39.</w:t>
      </w:r>
      <w:r w:rsidRPr="00E77674">
        <w:rPr>
          <w:rFonts w:ascii="Cambria" w:hAnsi="Cambria"/>
          <w:color w:val="000000" w:themeColor="text1"/>
          <w:sz w:val="16"/>
          <w:szCs w:val="16"/>
          <w:lang w:val="es-ES"/>
        </w:rPr>
        <w:t xml:space="preserve"> Sentencia de primera instancia dictada por el Ministro de Fuero Alejandro Solís Muñoz en causa Rol. Nro. 2182-98 de fecha 17 de abril de 2008. Anexo 1 a la comunicación de la parte peticionaria de fecha 20 de julio de 2010.</w:t>
      </w:r>
      <w:r w:rsidRPr="001D321F">
        <w:rPr>
          <w:rFonts w:ascii="Cambria" w:hAnsi="Cambria"/>
          <w:color w:val="000000" w:themeColor="text1"/>
          <w:sz w:val="16"/>
          <w:szCs w:val="16"/>
          <w:lang w:val="es-AR"/>
        </w:rPr>
        <w:t xml:space="preserve"> </w:t>
      </w:r>
    </w:p>
  </w:footnote>
  <w:footnote w:id="170">
    <w:p w14:paraId="1C91C1AF" w14:textId="3C43E3F8" w:rsidR="00323FC1" w:rsidRPr="00E77674" w:rsidRDefault="00323FC1" w:rsidP="001D321F">
      <w:pPr>
        <w:pStyle w:val="FootnoteText"/>
        <w:jc w:val="both"/>
        <w:rPr>
          <w:rFonts w:ascii="Cambria" w:hAnsi="Cambria"/>
          <w:color w:val="000000" w:themeColor="text1"/>
          <w:sz w:val="16"/>
          <w:szCs w:val="16"/>
          <w:lang w:val="es-AR"/>
        </w:rPr>
      </w:pPr>
      <w:r w:rsidRPr="00E77674">
        <w:rPr>
          <w:rStyle w:val="FootnoteReference"/>
          <w:rFonts w:ascii="Cambria" w:hAnsi="Cambria"/>
          <w:color w:val="000000" w:themeColor="text1"/>
          <w:sz w:val="16"/>
          <w:szCs w:val="16"/>
        </w:rPr>
        <w:footnoteRef/>
      </w:r>
      <w:r w:rsidRPr="00E77674">
        <w:rPr>
          <w:rFonts w:ascii="Cambria" w:hAnsi="Cambria"/>
          <w:color w:val="000000" w:themeColor="text1"/>
          <w:sz w:val="16"/>
          <w:szCs w:val="16"/>
          <w:lang w:val="es-AR"/>
        </w:rPr>
        <w:t xml:space="preserve"> </w:t>
      </w:r>
      <w:r w:rsidRPr="00E77674">
        <w:rPr>
          <w:rFonts w:ascii="Cambria" w:hAnsi="Cambria"/>
          <w:b/>
          <w:color w:val="000000" w:themeColor="text1"/>
          <w:sz w:val="16"/>
          <w:szCs w:val="16"/>
          <w:lang w:val="es-ES"/>
        </w:rPr>
        <w:t>ANEXO 39.</w:t>
      </w:r>
      <w:r w:rsidRPr="00E77674">
        <w:rPr>
          <w:rFonts w:ascii="Cambria" w:hAnsi="Cambria"/>
          <w:color w:val="000000" w:themeColor="text1"/>
          <w:sz w:val="16"/>
          <w:szCs w:val="16"/>
          <w:lang w:val="es-ES"/>
        </w:rPr>
        <w:t xml:space="preserve"> Sentencia de primera instancia dictada por el Ministro de Fuero Alejandro Solís Muñoz en causa Rol. Nro. 2182-98 de fecha 17 de abril de 2008. Anexo 1 a la comunicación de la parte peticionaria de fecha 20 de julio de 2010.</w:t>
      </w:r>
    </w:p>
  </w:footnote>
  <w:footnote w:id="171">
    <w:p w14:paraId="1EC01717" w14:textId="77777777" w:rsidR="00323FC1" w:rsidRPr="00E77674" w:rsidRDefault="00323FC1" w:rsidP="001D321F">
      <w:pPr>
        <w:pStyle w:val="FootnoteText"/>
        <w:rPr>
          <w:rFonts w:ascii="Cambria" w:hAnsi="Cambria"/>
          <w:color w:val="000000" w:themeColor="text1"/>
          <w:sz w:val="16"/>
          <w:szCs w:val="16"/>
          <w:lang w:val="es-AR"/>
        </w:rPr>
      </w:pPr>
      <w:r w:rsidRPr="00E77674">
        <w:rPr>
          <w:rStyle w:val="FootnoteReference"/>
          <w:rFonts w:ascii="Cambria" w:hAnsi="Cambria"/>
          <w:color w:val="000000" w:themeColor="text1"/>
          <w:sz w:val="16"/>
          <w:szCs w:val="16"/>
        </w:rPr>
        <w:footnoteRef/>
      </w:r>
      <w:r w:rsidRPr="00E77674">
        <w:rPr>
          <w:rFonts w:ascii="Cambria" w:hAnsi="Cambria"/>
          <w:color w:val="000000" w:themeColor="text1"/>
          <w:sz w:val="16"/>
          <w:szCs w:val="16"/>
          <w:lang w:val="es-ES"/>
        </w:rPr>
        <w:t xml:space="preserve"> Comunicación de la parte peticionaria de fecha 20 de julio de 2010</w:t>
      </w:r>
    </w:p>
  </w:footnote>
  <w:footnote w:id="172">
    <w:p w14:paraId="4A428FE4" w14:textId="1DC47272" w:rsidR="00323FC1" w:rsidRPr="00E77674" w:rsidRDefault="00323FC1" w:rsidP="001D321F">
      <w:pPr>
        <w:pStyle w:val="FootnoteText"/>
        <w:jc w:val="both"/>
        <w:rPr>
          <w:rFonts w:ascii="Cambria" w:hAnsi="Cambria"/>
          <w:color w:val="000000" w:themeColor="text1"/>
          <w:sz w:val="16"/>
          <w:szCs w:val="16"/>
          <w:lang w:val="es-AR"/>
        </w:rPr>
      </w:pPr>
      <w:r w:rsidRPr="00E77674">
        <w:rPr>
          <w:rStyle w:val="FootnoteReference"/>
          <w:rFonts w:ascii="Cambria" w:hAnsi="Cambria"/>
          <w:color w:val="000000" w:themeColor="text1"/>
          <w:sz w:val="16"/>
          <w:szCs w:val="16"/>
        </w:rPr>
        <w:footnoteRef/>
      </w:r>
      <w:r w:rsidRPr="00E77674">
        <w:rPr>
          <w:rFonts w:ascii="Cambria" w:hAnsi="Cambria"/>
          <w:color w:val="000000" w:themeColor="text1"/>
          <w:sz w:val="16"/>
          <w:szCs w:val="16"/>
          <w:lang w:val="es-AR"/>
        </w:rPr>
        <w:t xml:space="preserve"> </w:t>
      </w:r>
      <w:r w:rsidRPr="00E77674">
        <w:rPr>
          <w:rFonts w:ascii="Cambria" w:hAnsi="Cambria"/>
          <w:b/>
          <w:color w:val="000000" w:themeColor="text1"/>
          <w:sz w:val="16"/>
          <w:szCs w:val="16"/>
          <w:lang w:val="es-ES"/>
        </w:rPr>
        <w:t>ANEXO 39.</w:t>
      </w:r>
      <w:r w:rsidRPr="00E77674">
        <w:rPr>
          <w:rFonts w:ascii="Cambria" w:hAnsi="Cambria"/>
          <w:color w:val="000000" w:themeColor="text1"/>
          <w:sz w:val="16"/>
          <w:szCs w:val="16"/>
          <w:lang w:val="es-ES"/>
        </w:rPr>
        <w:t xml:space="preserve"> Sentencia de primera instancia dictada por el Ministro de Fuero Alejandro Solís Muñoz en causa Rol. Nro. 2182-98 de fecha 17 de abril de 2008. Anexo 1 a la comunicación de la parte peticionaria de fecha 20 de julio de 2010.</w:t>
      </w:r>
    </w:p>
  </w:footnote>
  <w:footnote w:id="173">
    <w:p w14:paraId="7697030E" w14:textId="084ACA01" w:rsidR="00323FC1" w:rsidRPr="00E77674" w:rsidRDefault="00323FC1" w:rsidP="001D321F">
      <w:pPr>
        <w:pStyle w:val="FootnoteText"/>
        <w:jc w:val="both"/>
        <w:rPr>
          <w:rFonts w:ascii="Cambria" w:hAnsi="Cambria"/>
          <w:color w:val="000000" w:themeColor="text1"/>
          <w:sz w:val="16"/>
          <w:szCs w:val="16"/>
          <w:lang w:val="es-AR"/>
        </w:rPr>
      </w:pPr>
      <w:r w:rsidRPr="00E77674">
        <w:rPr>
          <w:rStyle w:val="FootnoteReference"/>
          <w:rFonts w:ascii="Cambria" w:hAnsi="Cambria"/>
          <w:color w:val="000000" w:themeColor="text1"/>
          <w:sz w:val="16"/>
          <w:szCs w:val="16"/>
        </w:rPr>
        <w:footnoteRef/>
      </w:r>
      <w:r w:rsidRPr="00E77674">
        <w:rPr>
          <w:rFonts w:ascii="Cambria" w:hAnsi="Cambria"/>
          <w:color w:val="000000" w:themeColor="text1"/>
          <w:sz w:val="16"/>
          <w:szCs w:val="16"/>
          <w:lang w:val="es-AR"/>
        </w:rPr>
        <w:t xml:space="preserve"> </w:t>
      </w:r>
      <w:r w:rsidRPr="00E77674">
        <w:rPr>
          <w:rFonts w:ascii="Cambria" w:hAnsi="Cambria"/>
          <w:b/>
          <w:color w:val="000000" w:themeColor="text1"/>
          <w:sz w:val="16"/>
          <w:szCs w:val="16"/>
          <w:lang w:val="es-ES"/>
        </w:rPr>
        <w:t>ANEXO 40.</w:t>
      </w:r>
      <w:r w:rsidRPr="00E77674">
        <w:rPr>
          <w:rFonts w:ascii="Cambria" w:hAnsi="Cambria"/>
          <w:color w:val="000000" w:themeColor="text1"/>
          <w:sz w:val="16"/>
          <w:szCs w:val="16"/>
          <w:lang w:val="es-ES"/>
        </w:rPr>
        <w:t xml:space="preserve"> Sentencia de la Séptima Sala de la Corte de Apelaciones de Santiago de fecha 5 de enero de 2009. Anexo 2 a la comunicación de la parte peticionaria de fecha 20 de julio de 2010.</w:t>
      </w:r>
    </w:p>
  </w:footnote>
  <w:footnote w:id="174">
    <w:p w14:paraId="1A5D1923" w14:textId="28D44B12" w:rsidR="00323FC1" w:rsidRPr="00E77674" w:rsidRDefault="00323FC1" w:rsidP="001D321F">
      <w:pPr>
        <w:pStyle w:val="FootnoteText"/>
        <w:jc w:val="both"/>
        <w:rPr>
          <w:rFonts w:ascii="Cambria" w:hAnsi="Cambria"/>
          <w:color w:val="000000" w:themeColor="text1"/>
          <w:sz w:val="16"/>
          <w:szCs w:val="16"/>
          <w:lang w:val="es-AR"/>
        </w:rPr>
      </w:pPr>
      <w:r w:rsidRPr="00E77674">
        <w:rPr>
          <w:rStyle w:val="FootnoteReference"/>
          <w:rFonts w:ascii="Cambria" w:hAnsi="Cambria"/>
          <w:color w:val="000000" w:themeColor="text1"/>
          <w:sz w:val="16"/>
          <w:szCs w:val="16"/>
        </w:rPr>
        <w:footnoteRef/>
      </w:r>
      <w:r w:rsidRPr="00E77674">
        <w:rPr>
          <w:rFonts w:ascii="Cambria" w:hAnsi="Cambria"/>
          <w:color w:val="000000" w:themeColor="text1"/>
          <w:sz w:val="16"/>
          <w:szCs w:val="16"/>
          <w:lang w:val="es-AR"/>
        </w:rPr>
        <w:t xml:space="preserve"> </w:t>
      </w:r>
      <w:r w:rsidRPr="00E77674">
        <w:rPr>
          <w:rFonts w:ascii="Cambria" w:hAnsi="Cambria"/>
          <w:b/>
          <w:color w:val="000000" w:themeColor="text1"/>
          <w:sz w:val="16"/>
          <w:szCs w:val="16"/>
          <w:lang w:val="es-AR"/>
        </w:rPr>
        <w:t>ANEXO 41.</w:t>
      </w:r>
      <w:r w:rsidRPr="00E77674">
        <w:rPr>
          <w:rFonts w:ascii="Cambria" w:hAnsi="Cambria"/>
          <w:color w:val="000000" w:themeColor="text1"/>
          <w:sz w:val="16"/>
          <w:szCs w:val="16"/>
          <w:lang w:val="es-AR"/>
        </w:rPr>
        <w:t xml:space="preserve"> Sentencia de la </w:t>
      </w:r>
      <w:r w:rsidRPr="00E77674">
        <w:rPr>
          <w:rFonts w:ascii="Cambria" w:hAnsi="Cambria"/>
          <w:color w:val="000000" w:themeColor="text1"/>
          <w:sz w:val="16"/>
          <w:szCs w:val="16"/>
          <w:lang w:val="es-ES"/>
        </w:rPr>
        <w:t>Segunda Sala de la Corte Suprema de Justicia de fecha 25 de enero de 2010. Anexo 3 a la comunicación de la parte peticionaria de fecha 20 de julio de 2010.</w:t>
      </w:r>
    </w:p>
  </w:footnote>
  <w:footnote w:id="175">
    <w:p w14:paraId="009A20AC" w14:textId="5B4FA3B0" w:rsidR="00323FC1" w:rsidRPr="001D321F" w:rsidRDefault="00323FC1" w:rsidP="001D321F">
      <w:pPr>
        <w:pStyle w:val="FootnoteText"/>
        <w:jc w:val="both"/>
        <w:rPr>
          <w:rFonts w:ascii="Cambria" w:hAnsi="Cambria"/>
          <w:color w:val="000000" w:themeColor="text1"/>
          <w:sz w:val="16"/>
          <w:szCs w:val="16"/>
          <w:lang w:val="es-AR"/>
        </w:rPr>
      </w:pPr>
      <w:r w:rsidRPr="00E77674">
        <w:rPr>
          <w:rStyle w:val="FootnoteReference"/>
          <w:rFonts w:ascii="Cambria" w:hAnsi="Cambria"/>
          <w:color w:val="000000" w:themeColor="text1"/>
          <w:sz w:val="16"/>
          <w:szCs w:val="16"/>
        </w:rPr>
        <w:footnoteRef/>
      </w:r>
      <w:r w:rsidRPr="00E77674">
        <w:rPr>
          <w:rFonts w:ascii="Cambria" w:hAnsi="Cambria"/>
          <w:color w:val="000000" w:themeColor="text1"/>
          <w:sz w:val="16"/>
          <w:szCs w:val="16"/>
          <w:lang w:val="es-AR"/>
        </w:rPr>
        <w:t xml:space="preserve"> </w:t>
      </w:r>
      <w:r w:rsidRPr="00E77674">
        <w:rPr>
          <w:rFonts w:ascii="Cambria" w:hAnsi="Cambria"/>
          <w:b/>
          <w:color w:val="000000" w:themeColor="text1"/>
          <w:sz w:val="16"/>
          <w:szCs w:val="16"/>
          <w:lang w:val="es-AR"/>
        </w:rPr>
        <w:t>ANEXO 41.</w:t>
      </w:r>
      <w:r w:rsidRPr="00E77674">
        <w:rPr>
          <w:rFonts w:ascii="Cambria" w:hAnsi="Cambria"/>
          <w:color w:val="000000" w:themeColor="text1"/>
          <w:sz w:val="16"/>
          <w:szCs w:val="16"/>
          <w:lang w:val="es-AR"/>
        </w:rPr>
        <w:t xml:space="preserve"> Sentencia de la </w:t>
      </w:r>
      <w:r w:rsidRPr="00E77674">
        <w:rPr>
          <w:rFonts w:ascii="Cambria" w:hAnsi="Cambria"/>
          <w:color w:val="000000" w:themeColor="text1"/>
          <w:sz w:val="16"/>
          <w:szCs w:val="16"/>
          <w:lang w:val="es-ES"/>
        </w:rPr>
        <w:t>Segunda Sala de la Corte Suprema de Justicia de fecha 25 de enero de 2010, considerando séptimo. Anexo 3 a la comunicación de la parte peticionaria de fecha 20 de julio de 2010.</w:t>
      </w:r>
    </w:p>
  </w:footnote>
  <w:footnote w:id="176">
    <w:p w14:paraId="33E40881" w14:textId="7870BEC4" w:rsidR="00323FC1" w:rsidRPr="00E77674" w:rsidRDefault="00323FC1" w:rsidP="001D321F">
      <w:pPr>
        <w:pStyle w:val="FootnoteText"/>
        <w:jc w:val="both"/>
        <w:rPr>
          <w:rFonts w:ascii="Cambria" w:hAnsi="Cambria"/>
          <w:color w:val="000000" w:themeColor="text1"/>
          <w:sz w:val="16"/>
          <w:szCs w:val="16"/>
          <w:lang w:val="es-AR"/>
        </w:rPr>
      </w:pPr>
      <w:r w:rsidRPr="00E77674">
        <w:rPr>
          <w:rStyle w:val="FootnoteReference"/>
          <w:rFonts w:ascii="Cambria" w:hAnsi="Cambria"/>
          <w:color w:val="000000" w:themeColor="text1"/>
          <w:sz w:val="16"/>
          <w:szCs w:val="16"/>
        </w:rPr>
        <w:footnoteRef/>
      </w:r>
      <w:r w:rsidRPr="00E77674">
        <w:rPr>
          <w:rFonts w:ascii="Cambria" w:hAnsi="Cambria"/>
          <w:color w:val="000000" w:themeColor="text1"/>
          <w:sz w:val="16"/>
          <w:szCs w:val="16"/>
          <w:lang w:val="es-AR"/>
        </w:rPr>
        <w:t xml:space="preserve"> </w:t>
      </w:r>
      <w:r w:rsidRPr="00E77674">
        <w:rPr>
          <w:rFonts w:ascii="Cambria" w:hAnsi="Cambria"/>
          <w:b/>
          <w:color w:val="000000" w:themeColor="text1"/>
          <w:sz w:val="16"/>
          <w:szCs w:val="16"/>
          <w:lang w:val="es-AR"/>
        </w:rPr>
        <w:t>ANEXO 42.</w:t>
      </w:r>
      <w:r w:rsidRPr="00E77674">
        <w:rPr>
          <w:rFonts w:ascii="Cambria" w:hAnsi="Cambria"/>
          <w:color w:val="000000" w:themeColor="text1"/>
          <w:sz w:val="16"/>
          <w:szCs w:val="16"/>
          <w:lang w:val="es-AR"/>
        </w:rPr>
        <w:t xml:space="preserve"> </w:t>
      </w:r>
      <w:r w:rsidRPr="00E77674">
        <w:rPr>
          <w:rFonts w:ascii="Cambria" w:hAnsi="Cambria"/>
          <w:color w:val="000000" w:themeColor="text1"/>
          <w:sz w:val="16"/>
          <w:szCs w:val="16"/>
          <w:lang w:val="es-ES"/>
        </w:rPr>
        <w:t>Sentencia de reemplazo dictada por la Segunda Sala de la Corte Suprema de Justicia de fecha 25 de enero de 2010, considerando sexto. Anexo 4 a la comunicación de la parte peticionaria de fecha 20 de julio de 2010.</w:t>
      </w:r>
    </w:p>
  </w:footnote>
  <w:footnote w:id="177">
    <w:p w14:paraId="4E27022C" w14:textId="72CDCF88" w:rsidR="00323FC1" w:rsidRPr="00E77674" w:rsidRDefault="00323FC1" w:rsidP="001D321F">
      <w:pPr>
        <w:pStyle w:val="FootnoteText"/>
        <w:jc w:val="both"/>
        <w:rPr>
          <w:rFonts w:ascii="Cambria" w:hAnsi="Cambria"/>
          <w:color w:val="000000" w:themeColor="text1"/>
          <w:sz w:val="16"/>
          <w:szCs w:val="16"/>
          <w:lang w:val="es-AR"/>
        </w:rPr>
      </w:pPr>
      <w:r w:rsidRPr="00E77674">
        <w:rPr>
          <w:rStyle w:val="FootnoteReference"/>
          <w:rFonts w:ascii="Cambria" w:hAnsi="Cambria"/>
          <w:color w:val="000000" w:themeColor="text1"/>
          <w:sz w:val="16"/>
          <w:szCs w:val="16"/>
        </w:rPr>
        <w:footnoteRef/>
      </w:r>
      <w:r w:rsidRPr="00E77674">
        <w:rPr>
          <w:rFonts w:ascii="Cambria" w:hAnsi="Cambria"/>
          <w:color w:val="000000" w:themeColor="text1"/>
          <w:sz w:val="16"/>
          <w:szCs w:val="16"/>
          <w:lang w:val="es-AR"/>
        </w:rPr>
        <w:t xml:space="preserve"> </w:t>
      </w:r>
      <w:r w:rsidRPr="00E77674">
        <w:rPr>
          <w:rFonts w:ascii="Cambria" w:hAnsi="Cambria"/>
          <w:b/>
          <w:color w:val="000000" w:themeColor="text1"/>
          <w:sz w:val="16"/>
          <w:szCs w:val="16"/>
          <w:lang w:val="es-AR"/>
        </w:rPr>
        <w:t>ANEXO 42.</w:t>
      </w:r>
      <w:r w:rsidRPr="00E77674">
        <w:rPr>
          <w:rFonts w:ascii="Cambria" w:hAnsi="Cambria"/>
          <w:color w:val="000000" w:themeColor="text1"/>
          <w:sz w:val="16"/>
          <w:szCs w:val="16"/>
          <w:lang w:val="es-AR"/>
        </w:rPr>
        <w:t xml:space="preserve"> </w:t>
      </w:r>
      <w:r w:rsidRPr="00E77674">
        <w:rPr>
          <w:rFonts w:ascii="Cambria" w:hAnsi="Cambria"/>
          <w:color w:val="000000" w:themeColor="text1"/>
          <w:sz w:val="16"/>
          <w:szCs w:val="16"/>
          <w:lang w:val="es-ES"/>
        </w:rPr>
        <w:t>Sentencia de reemplazo dictada por la Segunda Sala de la Corte Suprema de Justicia de fecha 25 de enero de 2010, considerando duodécimo. Anexo 4 a la comunicación de la parte peticionaria de fecha 20 de julio de 2010</w:t>
      </w:r>
    </w:p>
  </w:footnote>
  <w:footnote w:id="178">
    <w:p w14:paraId="498B3800" w14:textId="17FD699E" w:rsidR="00323FC1" w:rsidRPr="00E77674" w:rsidRDefault="00323FC1" w:rsidP="001D321F">
      <w:pPr>
        <w:pStyle w:val="FootnoteText"/>
        <w:jc w:val="both"/>
        <w:rPr>
          <w:rFonts w:ascii="Cambria" w:hAnsi="Cambria"/>
          <w:color w:val="000000" w:themeColor="text1"/>
          <w:sz w:val="16"/>
          <w:szCs w:val="16"/>
          <w:lang w:val="es-AR"/>
        </w:rPr>
      </w:pPr>
      <w:r w:rsidRPr="00E77674">
        <w:rPr>
          <w:rStyle w:val="FootnoteReference"/>
          <w:rFonts w:ascii="Cambria" w:hAnsi="Cambria"/>
          <w:color w:val="000000" w:themeColor="text1"/>
          <w:sz w:val="16"/>
          <w:szCs w:val="16"/>
        </w:rPr>
        <w:footnoteRef/>
      </w:r>
      <w:r w:rsidRPr="00E77674">
        <w:rPr>
          <w:rFonts w:ascii="Cambria" w:hAnsi="Cambria"/>
          <w:color w:val="000000" w:themeColor="text1"/>
          <w:sz w:val="16"/>
          <w:szCs w:val="16"/>
          <w:lang w:val="es-AR"/>
        </w:rPr>
        <w:t xml:space="preserve"> </w:t>
      </w:r>
      <w:r w:rsidRPr="00E77674">
        <w:rPr>
          <w:rFonts w:ascii="Cambria" w:hAnsi="Cambria"/>
          <w:b/>
          <w:color w:val="000000" w:themeColor="text1"/>
          <w:sz w:val="16"/>
          <w:szCs w:val="16"/>
          <w:lang w:val="es-AR"/>
        </w:rPr>
        <w:t>ANEXO 42.</w:t>
      </w:r>
      <w:r w:rsidRPr="00E77674">
        <w:rPr>
          <w:rFonts w:ascii="Cambria" w:hAnsi="Cambria"/>
          <w:color w:val="000000" w:themeColor="text1"/>
          <w:sz w:val="16"/>
          <w:szCs w:val="16"/>
          <w:lang w:val="es-AR"/>
        </w:rPr>
        <w:t xml:space="preserve"> </w:t>
      </w:r>
      <w:r w:rsidRPr="00E77674">
        <w:rPr>
          <w:rFonts w:ascii="Cambria" w:hAnsi="Cambria"/>
          <w:color w:val="000000" w:themeColor="text1"/>
          <w:sz w:val="16"/>
          <w:szCs w:val="16"/>
          <w:lang w:val="es-ES"/>
        </w:rPr>
        <w:t>Sentencia de reemplazo dictada por la Segunda Sala de la Corte Suprema de Justicia de fecha 25 de enero de 2010, punto resolutivo II. Anexo 4 a la comunicación de la parte peticionaria de fecha 20 de julio de 2010</w:t>
      </w:r>
    </w:p>
  </w:footnote>
  <w:footnote w:id="179">
    <w:p w14:paraId="7CF02A45" w14:textId="5FF9E7FA" w:rsidR="00323FC1" w:rsidRPr="001D321F" w:rsidRDefault="00323FC1" w:rsidP="001D321F">
      <w:pPr>
        <w:pStyle w:val="FootnoteText"/>
        <w:jc w:val="both"/>
        <w:rPr>
          <w:rFonts w:ascii="Cambria" w:hAnsi="Cambria"/>
          <w:color w:val="000000" w:themeColor="text1"/>
          <w:sz w:val="16"/>
          <w:szCs w:val="16"/>
          <w:lang w:val="es-AR"/>
        </w:rPr>
      </w:pPr>
      <w:r w:rsidRPr="00E77674">
        <w:rPr>
          <w:rStyle w:val="FootnoteReference"/>
          <w:rFonts w:ascii="Cambria" w:hAnsi="Cambria"/>
          <w:color w:val="000000" w:themeColor="text1"/>
          <w:sz w:val="16"/>
          <w:szCs w:val="16"/>
        </w:rPr>
        <w:footnoteRef/>
      </w:r>
      <w:r w:rsidRPr="00E77674">
        <w:rPr>
          <w:rFonts w:ascii="Cambria" w:hAnsi="Cambria"/>
          <w:color w:val="000000" w:themeColor="text1"/>
          <w:sz w:val="16"/>
          <w:szCs w:val="16"/>
          <w:lang w:val="es-AR"/>
        </w:rPr>
        <w:t xml:space="preserve"> </w:t>
      </w:r>
      <w:r w:rsidRPr="00E77674">
        <w:rPr>
          <w:rFonts w:ascii="Cambria" w:hAnsi="Cambria"/>
          <w:b/>
          <w:color w:val="000000" w:themeColor="text1"/>
          <w:sz w:val="16"/>
          <w:szCs w:val="16"/>
          <w:lang w:val="es-ES"/>
        </w:rPr>
        <w:t>ANEXO 43.</w:t>
      </w:r>
      <w:r w:rsidRPr="00E77674">
        <w:rPr>
          <w:rFonts w:ascii="Cambria" w:hAnsi="Cambria"/>
          <w:color w:val="000000" w:themeColor="text1"/>
          <w:sz w:val="16"/>
          <w:szCs w:val="16"/>
          <w:lang w:val="es-ES"/>
        </w:rPr>
        <w:t xml:space="preserve"> Sentencia de la Ministra en visita extraordinaria de la Corte de Apelaciones de Talca Juana María Venegas Ilabaca de fecha 14 de agosto de 2008. Anexo 1 a la Comunicación de la parte peticionaria de fecha 16 de agosto de 2010</w:t>
      </w:r>
    </w:p>
  </w:footnote>
  <w:footnote w:id="180">
    <w:p w14:paraId="249283D7" w14:textId="4A817DCC" w:rsidR="00323FC1" w:rsidRPr="00E77674" w:rsidRDefault="00323FC1" w:rsidP="001D321F">
      <w:pPr>
        <w:pStyle w:val="FootnoteText"/>
        <w:jc w:val="both"/>
        <w:rPr>
          <w:rFonts w:ascii="Cambria" w:hAnsi="Cambria"/>
          <w:color w:val="000000" w:themeColor="text1"/>
          <w:sz w:val="16"/>
          <w:szCs w:val="16"/>
          <w:lang w:val="es-AR"/>
        </w:rPr>
      </w:pPr>
      <w:r w:rsidRPr="00E77674">
        <w:rPr>
          <w:rStyle w:val="FootnoteReference"/>
          <w:rFonts w:ascii="Cambria" w:hAnsi="Cambria"/>
          <w:color w:val="000000" w:themeColor="text1"/>
          <w:sz w:val="16"/>
          <w:szCs w:val="16"/>
        </w:rPr>
        <w:footnoteRef/>
      </w:r>
      <w:r w:rsidRPr="00E77674">
        <w:rPr>
          <w:rFonts w:ascii="Cambria" w:hAnsi="Cambria"/>
          <w:color w:val="000000" w:themeColor="text1"/>
          <w:sz w:val="16"/>
          <w:szCs w:val="16"/>
          <w:lang w:val="es-AR"/>
        </w:rPr>
        <w:t xml:space="preserve"> </w:t>
      </w:r>
      <w:r w:rsidRPr="00E77674">
        <w:rPr>
          <w:rFonts w:ascii="Cambria" w:hAnsi="Cambria"/>
          <w:b/>
          <w:color w:val="000000" w:themeColor="text1"/>
          <w:sz w:val="16"/>
          <w:szCs w:val="16"/>
          <w:lang w:val="es-ES"/>
        </w:rPr>
        <w:t>ANEXO 43.</w:t>
      </w:r>
      <w:r w:rsidRPr="00E77674">
        <w:rPr>
          <w:rFonts w:ascii="Cambria" w:hAnsi="Cambria"/>
          <w:color w:val="000000" w:themeColor="text1"/>
          <w:sz w:val="16"/>
          <w:szCs w:val="16"/>
          <w:lang w:val="es-ES"/>
        </w:rPr>
        <w:t xml:space="preserve"> Sentencia de la Ministra en visita extraordinaria de la Corte de Apelaciones de Talca Juana María Venegas Ilabaca de fecha 14 de agosto de 2008. Anexo 1 a la Comunicación de la parte peticionaria de fecha 16 de agosto de 2010</w:t>
      </w:r>
    </w:p>
  </w:footnote>
  <w:footnote w:id="181">
    <w:p w14:paraId="23D8A2CD" w14:textId="77777777" w:rsidR="00323FC1" w:rsidRPr="00E77674" w:rsidRDefault="00323FC1" w:rsidP="001D321F">
      <w:pPr>
        <w:pStyle w:val="FootnoteText"/>
        <w:jc w:val="both"/>
        <w:rPr>
          <w:rFonts w:ascii="Cambria" w:hAnsi="Cambria"/>
          <w:color w:val="000000" w:themeColor="text1"/>
          <w:sz w:val="16"/>
          <w:szCs w:val="16"/>
          <w:lang w:val="es-ES"/>
        </w:rPr>
      </w:pPr>
      <w:r w:rsidRPr="00E77674">
        <w:rPr>
          <w:rStyle w:val="FootnoteReference"/>
          <w:rFonts w:ascii="Cambria" w:hAnsi="Cambria"/>
          <w:color w:val="000000" w:themeColor="text1"/>
          <w:sz w:val="16"/>
          <w:szCs w:val="16"/>
          <w:lang w:val="es-ES"/>
        </w:rPr>
        <w:footnoteRef/>
      </w:r>
      <w:r w:rsidRPr="00E77674">
        <w:rPr>
          <w:rFonts w:ascii="Cambria" w:hAnsi="Cambria"/>
          <w:color w:val="000000" w:themeColor="text1"/>
          <w:sz w:val="16"/>
          <w:szCs w:val="16"/>
          <w:lang w:val="es-ES"/>
        </w:rPr>
        <w:t xml:space="preserve"> Comunicación de la parte peticionaria de fecha 16 de agosto de 2010</w:t>
      </w:r>
    </w:p>
  </w:footnote>
  <w:footnote w:id="182">
    <w:p w14:paraId="48EA6831" w14:textId="5C3D0286" w:rsidR="00323FC1" w:rsidRPr="00E77674" w:rsidRDefault="00323FC1" w:rsidP="001D321F">
      <w:pPr>
        <w:pStyle w:val="FootnoteText"/>
        <w:jc w:val="both"/>
        <w:rPr>
          <w:rFonts w:ascii="Cambria" w:hAnsi="Cambria"/>
          <w:color w:val="000000" w:themeColor="text1"/>
          <w:sz w:val="16"/>
          <w:szCs w:val="16"/>
          <w:lang w:val="es-AR"/>
        </w:rPr>
      </w:pPr>
      <w:r w:rsidRPr="00E77674">
        <w:rPr>
          <w:rStyle w:val="FootnoteReference"/>
          <w:rFonts w:ascii="Cambria" w:hAnsi="Cambria"/>
          <w:color w:val="000000" w:themeColor="text1"/>
          <w:sz w:val="16"/>
          <w:szCs w:val="16"/>
          <w:lang w:val="es-ES"/>
        </w:rPr>
        <w:footnoteRef/>
      </w:r>
      <w:r w:rsidRPr="00E77674">
        <w:rPr>
          <w:rFonts w:ascii="Cambria" w:hAnsi="Cambria"/>
          <w:color w:val="000000" w:themeColor="text1"/>
          <w:sz w:val="16"/>
          <w:szCs w:val="16"/>
          <w:lang w:val="es-ES"/>
        </w:rPr>
        <w:t xml:space="preserve"> </w:t>
      </w:r>
      <w:r w:rsidRPr="00E77674">
        <w:rPr>
          <w:rFonts w:ascii="Cambria" w:hAnsi="Cambria"/>
          <w:b/>
          <w:color w:val="000000" w:themeColor="text1"/>
          <w:sz w:val="16"/>
          <w:szCs w:val="16"/>
          <w:lang w:val="es-ES"/>
        </w:rPr>
        <w:t>ANEXO 43.</w:t>
      </w:r>
      <w:r w:rsidRPr="00E77674">
        <w:rPr>
          <w:rFonts w:ascii="Cambria" w:hAnsi="Cambria"/>
          <w:color w:val="000000" w:themeColor="text1"/>
          <w:sz w:val="16"/>
          <w:szCs w:val="16"/>
          <w:lang w:val="es-ES"/>
        </w:rPr>
        <w:t xml:space="preserve"> Sentencia de la Ministra en visita extraordinaria de la Corte de Apelaciones de Talca Juana María Venegas Ilabaca de fecha 14 de agosto de 2008. Anexo 1 a la Comunicación de la parte peticionaria de fecha 16 de agosto de 2010</w:t>
      </w:r>
    </w:p>
  </w:footnote>
  <w:footnote w:id="183">
    <w:p w14:paraId="63ABF1D8" w14:textId="6A5EA058" w:rsidR="00323FC1" w:rsidRPr="00E77674" w:rsidRDefault="00323FC1" w:rsidP="001D321F">
      <w:pPr>
        <w:pStyle w:val="FootnoteText"/>
        <w:jc w:val="both"/>
        <w:rPr>
          <w:rFonts w:ascii="Cambria" w:hAnsi="Cambria"/>
          <w:color w:val="000000" w:themeColor="text1"/>
          <w:sz w:val="16"/>
          <w:szCs w:val="16"/>
          <w:lang w:val="es-AR"/>
        </w:rPr>
      </w:pPr>
      <w:r w:rsidRPr="00E77674">
        <w:rPr>
          <w:rStyle w:val="FootnoteReference"/>
          <w:rFonts w:ascii="Cambria" w:hAnsi="Cambria"/>
          <w:color w:val="000000" w:themeColor="text1"/>
          <w:sz w:val="16"/>
          <w:szCs w:val="16"/>
        </w:rPr>
        <w:footnoteRef/>
      </w:r>
      <w:r w:rsidRPr="00E77674">
        <w:rPr>
          <w:rFonts w:ascii="Cambria" w:hAnsi="Cambria"/>
          <w:color w:val="000000" w:themeColor="text1"/>
          <w:sz w:val="16"/>
          <w:szCs w:val="16"/>
          <w:lang w:val="es-AR"/>
        </w:rPr>
        <w:t xml:space="preserve"> </w:t>
      </w:r>
      <w:r w:rsidRPr="00E77674">
        <w:rPr>
          <w:rFonts w:ascii="Cambria" w:hAnsi="Cambria"/>
          <w:b/>
          <w:color w:val="000000" w:themeColor="text1"/>
          <w:sz w:val="16"/>
          <w:szCs w:val="16"/>
          <w:lang w:val="es-ES"/>
        </w:rPr>
        <w:t>ANEXO 43.</w:t>
      </w:r>
      <w:r w:rsidRPr="00E77674">
        <w:rPr>
          <w:rFonts w:ascii="Cambria" w:hAnsi="Cambria"/>
          <w:color w:val="000000" w:themeColor="text1"/>
          <w:sz w:val="16"/>
          <w:szCs w:val="16"/>
          <w:lang w:val="es-ES"/>
        </w:rPr>
        <w:t xml:space="preserve"> Sentencia de la Ministra en visita extraordinaria de la Corte de Apelaciones de Talca Juana María Venegas Ilabaca de fecha 14 de agosto de 2008 considerandos decimocuarto a decimosexto y punto resolutivo primero. Anexo 1 a la Comunicación de la parte peticionaria de fecha 16 de agosto de 2010</w:t>
      </w:r>
    </w:p>
  </w:footnote>
  <w:footnote w:id="184">
    <w:p w14:paraId="5669E7B3" w14:textId="52A400B7" w:rsidR="00323FC1" w:rsidRPr="00E77674" w:rsidRDefault="00323FC1" w:rsidP="001D321F">
      <w:pPr>
        <w:pStyle w:val="FootnoteText"/>
        <w:jc w:val="both"/>
        <w:rPr>
          <w:rFonts w:ascii="Cambria" w:hAnsi="Cambria"/>
          <w:color w:val="000000" w:themeColor="text1"/>
          <w:sz w:val="16"/>
          <w:szCs w:val="16"/>
          <w:lang w:val="es-AR"/>
        </w:rPr>
      </w:pPr>
      <w:r w:rsidRPr="00E77674">
        <w:rPr>
          <w:rStyle w:val="FootnoteReference"/>
          <w:rFonts w:ascii="Cambria" w:hAnsi="Cambria"/>
          <w:color w:val="000000" w:themeColor="text1"/>
          <w:sz w:val="16"/>
          <w:szCs w:val="16"/>
        </w:rPr>
        <w:footnoteRef/>
      </w:r>
      <w:r w:rsidRPr="00E77674">
        <w:rPr>
          <w:rFonts w:ascii="Cambria" w:hAnsi="Cambria"/>
          <w:color w:val="000000" w:themeColor="text1"/>
          <w:sz w:val="16"/>
          <w:szCs w:val="16"/>
          <w:lang w:val="es-AR"/>
        </w:rPr>
        <w:t xml:space="preserve"> </w:t>
      </w:r>
      <w:r w:rsidRPr="00E77674">
        <w:rPr>
          <w:rFonts w:ascii="Cambria" w:hAnsi="Cambria"/>
          <w:b/>
          <w:color w:val="000000" w:themeColor="text1"/>
          <w:sz w:val="16"/>
          <w:szCs w:val="16"/>
          <w:lang w:val="es-ES"/>
        </w:rPr>
        <w:t>ANEXO 43.</w:t>
      </w:r>
      <w:r w:rsidRPr="00E77674">
        <w:rPr>
          <w:rFonts w:ascii="Cambria" w:hAnsi="Cambria"/>
          <w:color w:val="000000" w:themeColor="text1"/>
          <w:sz w:val="16"/>
          <w:szCs w:val="16"/>
          <w:lang w:val="es-ES"/>
        </w:rPr>
        <w:t xml:space="preserve"> Sentencia de la Ministra en visita extraordinaria de la Corte de Apelaciones de Talca Juana María Venegas Ilabaca de fecha 14 de agosto de 2008, considerando noveno y punto resolutivo segundo. Anexo 1 a la Comunicación de la parte peticionaria de fecha 16 de agosto de 2010</w:t>
      </w:r>
    </w:p>
  </w:footnote>
  <w:footnote w:id="185">
    <w:p w14:paraId="37EA9E03" w14:textId="2A956F49" w:rsidR="00323FC1" w:rsidRPr="00E77674" w:rsidRDefault="00323FC1" w:rsidP="001D321F">
      <w:pPr>
        <w:pStyle w:val="FootnoteText"/>
        <w:jc w:val="both"/>
        <w:rPr>
          <w:rFonts w:ascii="Cambria" w:hAnsi="Cambria"/>
          <w:color w:val="000000" w:themeColor="text1"/>
          <w:sz w:val="16"/>
          <w:szCs w:val="16"/>
          <w:lang w:val="es-ES"/>
        </w:rPr>
      </w:pPr>
      <w:r w:rsidRPr="00E77674">
        <w:rPr>
          <w:rStyle w:val="FootnoteReference"/>
          <w:rFonts w:ascii="Cambria" w:hAnsi="Cambria"/>
          <w:color w:val="000000" w:themeColor="text1"/>
          <w:sz w:val="16"/>
          <w:szCs w:val="16"/>
          <w:lang w:val="es-ES"/>
        </w:rPr>
        <w:footnoteRef/>
      </w:r>
      <w:r w:rsidRPr="00E77674">
        <w:rPr>
          <w:rFonts w:ascii="Cambria" w:hAnsi="Cambria"/>
          <w:color w:val="000000" w:themeColor="text1"/>
          <w:sz w:val="16"/>
          <w:szCs w:val="16"/>
          <w:lang w:val="es-ES"/>
        </w:rPr>
        <w:t xml:space="preserve"> </w:t>
      </w:r>
      <w:r w:rsidRPr="00E77674">
        <w:rPr>
          <w:rFonts w:ascii="Cambria" w:hAnsi="Cambria"/>
          <w:b/>
          <w:color w:val="000000" w:themeColor="text1"/>
          <w:sz w:val="16"/>
          <w:szCs w:val="16"/>
          <w:lang w:val="es-ES"/>
        </w:rPr>
        <w:t>ANEXO 44</w:t>
      </w:r>
      <w:r w:rsidRPr="00E77674">
        <w:rPr>
          <w:rFonts w:ascii="Cambria" w:hAnsi="Cambria"/>
          <w:color w:val="000000" w:themeColor="text1"/>
          <w:sz w:val="16"/>
          <w:szCs w:val="16"/>
          <w:lang w:val="es-ES"/>
        </w:rPr>
        <w:t>. Sentencia de la Corte de Apelaciones de Talca de fecha 6 de julio de 2009. Anexo 2 a la Comunicación de la parte peticionaria de fecha 16 de agosto de 2010</w:t>
      </w:r>
    </w:p>
  </w:footnote>
  <w:footnote w:id="186">
    <w:p w14:paraId="3EBCA6B7" w14:textId="6200AFC4" w:rsidR="00323FC1" w:rsidRPr="00E77674" w:rsidRDefault="00323FC1" w:rsidP="001D321F">
      <w:pPr>
        <w:pStyle w:val="FootnoteText"/>
        <w:jc w:val="both"/>
        <w:rPr>
          <w:rFonts w:ascii="Cambria" w:hAnsi="Cambria"/>
          <w:color w:val="000000" w:themeColor="text1"/>
          <w:sz w:val="16"/>
          <w:szCs w:val="16"/>
          <w:lang w:val="es-AR"/>
        </w:rPr>
      </w:pPr>
      <w:r w:rsidRPr="00E77674">
        <w:rPr>
          <w:rStyle w:val="FootnoteReference"/>
          <w:rFonts w:ascii="Cambria" w:hAnsi="Cambria"/>
          <w:color w:val="000000" w:themeColor="text1"/>
          <w:sz w:val="16"/>
          <w:szCs w:val="16"/>
        </w:rPr>
        <w:footnoteRef/>
      </w:r>
      <w:r w:rsidRPr="00E77674">
        <w:rPr>
          <w:rFonts w:ascii="Cambria" w:hAnsi="Cambria"/>
          <w:color w:val="000000" w:themeColor="text1"/>
          <w:sz w:val="16"/>
          <w:szCs w:val="16"/>
          <w:lang w:val="es-AR"/>
        </w:rPr>
        <w:t xml:space="preserve"> </w:t>
      </w:r>
      <w:r w:rsidRPr="00E77674">
        <w:rPr>
          <w:rFonts w:ascii="Cambria" w:hAnsi="Cambria"/>
          <w:b/>
          <w:color w:val="000000" w:themeColor="text1"/>
          <w:sz w:val="16"/>
          <w:szCs w:val="16"/>
          <w:lang w:val="es-ES"/>
        </w:rPr>
        <w:t>ANEXO 44</w:t>
      </w:r>
      <w:r w:rsidRPr="00E77674">
        <w:rPr>
          <w:rFonts w:ascii="Cambria" w:hAnsi="Cambria"/>
          <w:color w:val="000000" w:themeColor="text1"/>
          <w:sz w:val="16"/>
          <w:szCs w:val="16"/>
          <w:lang w:val="es-ES"/>
        </w:rPr>
        <w:t xml:space="preserve">. Sentencia de la Corte de Apelaciones de Talca de fecha 6 de julio de 2009. Anexo 2 a la comunicación de la parte peticionaria de fecha 16 de agosto de 2010. </w:t>
      </w:r>
    </w:p>
  </w:footnote>
  <w:footnote w:id="187">
    <w:p w14:paraId="66549B36" w14:textId="67D72DB3" w:rsidR="00323FC1" w:rsidRPr="001D321F" w:rsidRDefault="00323FC1" w:rsidP="001D321F">
      <w:pPr>
        <w:pStyle w:val="FootnoteText"/>
        <w:jc w:val="both"/>
        <w:rPr>
          <w:rFonts w:ascii="Cambria" w:hAnsi="Cambria"/>
          <w:color w:val="000000" w:themeColor="text1"/>
          <w:sz w:val="16"/>
          <w:szCs w:val="16"/>
          <w:lang w:val="es-AR"/>
        </w:rPr>
      </w:pPr>
      <w:r w:rsidRPr="00E77674">
        <w:rPr>
          <w:rStyle w:val="FootnoteReference"/>
          <w:rFonts w:ascii="Cambria" w:hAnsi="Cambria"/>
          <w:color w:val="000000" w:themeColor="text1"/>
          <w:sz w:val="16"/>
          <w:szCs w:val="16"/>
        </w:rPr>
        <w:footnoteRef/>
      </w:r>
      <w:r w:rsidRPr="00E77674">
        <w:rPr>
          <w:rFonts w:ascii="Cambria" w:hAnsi="Cambria"/>
          <w:color w:val="000000" w:themeColor="text1"/>
          <w:sz w:val="16"/>
          <w:szCs w:val="16"/>
          <w:lang w:val="es-AR"/>
        </w:rPr>
        <w:t xml:space="preserve"> </w:t>
      </w:r>
      <w:r w:rsidRPr="00E77674">
        <w:rPr>
          <w:rFonts w:ascii="Cambria" w:hAnsi="Cambria"/>
          <w:b/>
          <w:color w:val="000000" w:themeColor="text1"/>
          <w:sz w:val="16"/>
          <w:szCs w:val="16"/>
          <w:lang w:val="es-AR"/>
        </w:rPr>
        <w:t>ANEXO 45.</w:t>
      </w:r>
      <w:r w:rsidRPr="00E77674">
        <w:rPr>
          <w:rFonts w:ascii="Cambria" w:hAnsi="Cambria"/>
          <w:color w:val="000000" w:themeColor="text1"/>
          <w:sz w:val="16"/>
          <w:szCs w:val="16"/>
          <w:lang w:val="es-AR"/>
        </w:rPr>
        <w:t xml:space="preserve"> </w:t>
      </w:r>
      <w:r w:rsidRPr="00E77674">
        <w:rPr>
          <w:rFonts w:ascii="Cambria" w:hAnsi="Cambria"/>
          <w:color w:val="000000" w:themeColor="text1"/>
          <w:sz w:val="16"/>
          <w:szCs w:val="16"/>
          <w:lang w:val="es-ES"/>
        </w:rPr>
        <w:t>Sentencia de la Sala Segunda de la Corte Suprema de fecha 14 de abril de 2010. Anexo 3 a la comunicación de la parte peticionaria de fecha 16 de agosto de 2010.</w:t>
      </w:r>
    </w:p>
  </w:footnote>
  <w:footnote w:id="188">
    <w:p w14:paraId="56D35390" w14:textId="585A5BF8" w:rsidR="00323FC1" w:rsidRPr="00E77674" w:rsidRDefault="00323FC1" w:rsidP="001D321F">
      <w:pPr>
        <w:pStyle w:val="FootnoteText"/>
        <w:jc w:val="both"/>
        <w:rPr>
          <w:rFonts w:ascii="Cambria" w:hAnsi="Cambria"/>
          <w:color w:val="000000" w:themeColor="text1"/>
          <w:sz w:val="16"/>
          <w:szCs w:val="16"/>
          <w:lang w:val="es-AR"/>
        </w:rPr>
      </w:pPr>
      <w:r w:rsidRPr="00E77674">
        <w:rPr>
          <w:rStyle w:val="FootnoteReference"/>
          <w:rFonts w:ascii="Cambria" w:hAnsi="Cambria"/>
          <w:color w:val="000000" w:themeColor="text1"/>
          <w:sz w:val="16"/>
          <w:szCs w:val="16"/>
        </w:rPr>
        <w:footnoteRef/>
      </w:r>
      <w:r w:rsidRPr="00E77674">
        <w:rPr>
          <w:rFonts w:ascii="Cambria" w:hAnsi="Cambria"/>
          <w:color w:val="000000" w:themeColor="text1"/>
          <w:sz w:val="16"/>
          <w:szCs w:val="16"/>
          <w:lang w:val="es-AR"/>
        </w:rPr>
        <w:t xml:space="preserve"> </w:t>
      </w:r>
      <w:r w:rsidRPr="00E77674">
        <w:rPr>
          <w:rFonts w:ascii="Cambria" w:hAnsi="Cambria"/>
          <w:b/>
          <w:color w:val="000000" w:themeColor="text1"/>
          <w:sz w:val="16"/>
          <w:szCs w:val="16"/>
          <w:lang w:val="es-AR"/>
        </w:rPr>
        <w:t>ANEXO 45.</w:t>
      </w:r>
      <w:r w:rsidRPr="00E77674">
        <w:rPr>
          <w:rFonts w:ascii="Cambria" w:hAnsi="Cambria"/>
          <w:color w:val="000000" w:themeColor="text1"/>
          <w:sz w:val="16"/>
          <w:szCs w:val="16"/>
          <w:lang w:val="es-AR"/>
        </w:rPr>
        <w:t xml:space="preserve"> </w:t>
      </w:r>
      <w:r w:rsidRPr="00E77674">
        <w:rPr>
          <w:rFonts w:ascii="Cambria" w:hAnsi="Cambria"/>
          <w:color w:val="000000" w:themeColor="text1"/>
          <w:sz w:val="16"/>
          <w:szCs w:val="16"/>
          <w:lang w:val="es-ES"/>
        </w:rPr>
        <w:t>Sentencia de reemplazo dicada por la Sala Segunda de la Corte Suprema de fecha 14 de abril de 2010, considerandos primero, quinto y sexto. Anexo 4 a la comunicación de la parte peticionaria de fecha 16 de agosto de 2010.</w:t>
      </w:r>
    </w:p>
  </w:footnote>
  <w:footnote w:id="189">
    <w:p w14:paraId="04399934" w14:textId="0862D562" w:rsidR="00323FC1" w:rsidRPr="00E77674" w:rsidRDefault="00323FC1" w:rsidP="001D321F">
      <w:pPr>
        <w:pStyle w:val="FootnoteText"/>
        <w:jc w:val="both"/>
        <w:rPr>
          <w:rFonts w:ascii="Cambria" w:hAnsi="Cambria"/>
          <w:color w:val="000000" w:themeColor="text1"/>
          <w:sz w:val="16"/>
          <w:szCs w:val="16"/>
          <w:lang w:val="es-AR"/>
        </w:rPr>
      </w:pPr>
      <w:r w:rsidRPr="00E77674">
        <w:rPr>
          <w:rStyle w:val="FootnoteReference"/>
          <w:rFonts w:ascii="Cambria" w:hAnsi="Cambria"/>
          <w:color w:val="000000" w:themeColor="text1"/>
          <w:sz w:val="16"/>
          <w:szCs w:val="16"/>
        </w:rPr>
        <w:footnoteRef/>
      </w:r>
      <w:r w:rsidRPr="00E77674">
        <w:rPr>
          <w:rFonts w:ascii="Cambria" w:hAnsi="Cambria"/>
          <w:color w:val="000000" w:themeColor="text1"/>
          <w:sz w:val="16"/>
          <w:szCs w:val="16"/>
          <w:lang w:val="es-AR"/>
        </w:rPr>
        <w:t xml:space="preserve"> </w:t>
      </w:r>
      <w:r w:rsidRPr="00E77674">
        <w:rPr>
          <w:rFonts w:ascii="Cambria" w:hAnsi="Cambria"/>
          <w:b/>
          <w:color w:val="000000" w:themeColor="text1"/>
          <w:sz w:val="16"/>
          <w:szCs w:val="16"/>
          <w:lang w:val="es-AR"/>
        </w:rPr>
        <w:t>ANEXO 45.</w:t>
      </w:r>
      <w:r w:rsidRPr="00E77674">
        <w:rPr>
          <w:rFonts w:ascii="Cambria" w:hAnsi="Cambria"/>
          <w:color w:val="000000" w:themeColor="text1"/>
          <w:sz w:val="16"/>
          <w:szCs w:val="16"/>
          <w:lang w:val="es-AR"/>
        </w:rPr>
        <w:t xml:space="preserve"> </w:t>
      </w:r>
      <w:r w:rsidRPr="00E77674">
        <w:rPr>
          <w:rFonts w:ascii="Cambria" w:hAnsi="Cambria"/>
          <w:color w:val="000000" w:themeColor="text1"/>
          <w:sz w:val="16"/>
          <w:szCs w:val="16"/>
          <w:lang w:val="es-ES"/>
        </w:rPr>
        <w:t>Sentencia de reemplazo dicada por la Sala Segunda de la Corte Suprema de fecha 14 de abril de 2010, considerando séptimo. Anexo 4 a la comunicación de la parte peticionaria de fecha 16 de agosto de 2010.</w:t>
      </w:r>
    </w:p>
  </w:footnote>
  <w:footnote w:id="190">
    <w:p w14:paraId="30B703DC" w14:textId="24E52D7A" w:rsidR="00323FC1" w:rsidRPr="00E77674" w:rsidRDefault="00323FC1" w:rsidP="001D321F">
      <w:pPr>
        <w:pStyle w:val="FootnoteText"/>
        <w:jc w:val="both"/>
        <w:rPr>
          <w:rFonts w:ascii="Cambria" w:hAnsi="Cambria"/>
          <w:color w:val="000000" w:themeColor="text1"/>
          <w:sz w:val="16"/>
          <w:szCs w:val="16"/>
          <w:lang w:val="es-AR"/>
        </w:rPr>
      </w:pPr>
      <w:r w:rsidRPr="00E77674">
        <w:rPr>
          <w:rStyle w:val="FootnoteReference"/>
          <w:rFonts w:ascii="Cambria" w:hAnsi="Cambria"/>
          <w:color w:val="000000" w:themeColor="text1"/>
          <w:sz w:val="16"/>
          <w:szCs w:val="16"/>
        </w:rPr>
        <w:footnoteRef/>
      </w:r>
      <w:r w:rsidRPr="00E77674">
        <w:rPr>
          <w:rFonts w:ascii="Cambria" w:hAnsi="Cambria"/>
          <w:color w:val="000000" w:themeColor="text1"/>
          <w:sz w:val="16"/>
          <w:szCs w:val="16"/>
          <w:lang w:val="es-AR"/>
        </w:rPr>
        <w:t xml:space="preserve"> </w:t>
      </w:r>
      <w:r w:rsidRPr="00E77674">
        <w:rPr>
          <w:rFonts w:ascii="Cambria" w:hAnsi="Cambria"/>
          <w:b/>
          <w:color w:val="000000" w:themeColor="text1"/>
          <w:sz w:val="16"/>
          <w:szCs w:val="16"/>
          <w:lang w:val="es-AR"/>
        </w:rPr>
        <w:t>ANEXO 45.</w:t>
      </w:r>
      <w:r w:rsidRPr="00E77674">
        <w:rPr>
          <w:rFonts w:ascii="Cambria" w:hAnsi="Cambria"/>
          <w:color w:val="000000" w:themeColor="text1"/>
          <w:sz w:val="16"/>
          <w:szCs w:val="16"/>
          <w:lang w:val="es-AR"/>
        </w:rPr>
        <w:t xml:space="preserve"> </w:t>
      </w:r>
      <w:r w:rsidRPr="00E77674">
        <w:rPr>
          <w:rFonts w:ascii="Cambria" w:hAnsi="Cambria"/>
          <w:color w:val="000000" w:themeColor="text1"/>
          <w:sz w:val="16"/>
          <w:szCs w:val="16"/>
          <w:lang w:val="es-ES"/>
        </w:rPr>
        <w:t>Sentencia de reemplazo dicada por la Sala Segunda de la Corte Suprema de fecha 14 de abril de 2010, considerando décimo. Anexo 4 a la comunicación de la parte peticionaria de fecha 16 de agosto de 2010.</w:t>
      </w:r>
    </w:p>
  </w:footnote>
  <w:footnote w:id="191">
    <w:p w14:paraId="781BC996" w14:textId="3A458550" w:rsidR="00323FC1" w:rsidRPr="00E77674" w:rsidRDefault="00323FC1" w:rsidP="001D321F">
      <w:pPr>
        <w:pStyle w:val="FootnoteText"/>
        <w:jc w:val="both"/>
        <w:rPr>
          <w:rFonts w:ascii="Cambria" w:hAnsi="Cambria"/>
          <w:color w:val="000000" w:themeColor="text1"/>
          <w:sz w:val="16"/>
          <w:szCs w:val="16"/>
          <w:lang w:val="es-AR"/>
        </w:rPr>
      </w:pPr>
      <w:r w:rsidRPr="00E77674">
        <w:rPr>
          <w:rStyle w:val="FootnoteReference"/>
          <w:rFonts w:ascii="Cambria" w:hAnsi="Cambria"/>
          <w:color w:val="000000" w:themeColor="text1"/>
          <w:sz w:val="16"/>
          <w:szCs w:val="16"/>
        </w:rPr>
        <w:footnoteRef/>
      </w:r>
      <w:r w:rsidRPr="00E77674">
        <w:rPr>
          <w:rFonts w:ascii="Cambria" w:hAnsi="Cambria"/>
          <w:color w:val="000000" w:themeColor="text1"/>
          <w:sz w:val="16"/>
          <w:szCs w:val="16"/>
          <w:lang w:val="es-AR"/>
        </w:rPr>
        <w:t xml:space="preserve"> </w:t>
      </w:r>
      <w:r w:rsidRPr="00E77674">
        <w:rPr>
          <w:rFonts w:ascii="Cambria" w:hAnsi="Cambria"/>
          <w:b/>
          <w:color w:val="000000" w:themeColor="text1"/>
          <w:sz w:val="16"/>
          <w:szCs w:val="16"/>
          <w:lang w:val="es-AR"/>
        </w:rPr>
        <w:t>ANEXO 45.</w:t>
      </w:r>
      <w:r w:rsidRPr="00E77674">
        <w:rPr>
          <w:rFonts w:ascii="Cambria" w:hAnsi="Cambria"/>
          <w:color w:val="000000" w:themeColor="text1"/>
          <w:sz w:val="16"/>
          <w:szCs w:val="16"/>
          <w:lang w:val="es-AR"/>
        </w:rPr>
        <w:t xml:space="preserve"> </w:t>
      </w:r>
      <w:r w:rsidRPr="00E77674">
        <w:rPr>
          <w:rFonts w:ascii="Cambria" w:hAnsi="Cambria"/>
          <w:color w:val="000000" w:themeColor="text1"/>
          <w:sz w:val="16"/>
          <w:szCs w:val="16"/>
          <w:lang w:val="es-ES"/>
        </w:rPr>
        <w:t>Sentencia de reemplazo dicada por la Sala Segunda de la Corte Suprema de fecha 14 de abril de 2010, considerando duodécimo y punto resolutivo I. Anexo 4 a la comunicación de la parte peticionaria de fecha 16 de agosto de 2010.</w:t>
      </w:r>
    </w:p>
  </w:footnote>
  <w:footnote w:id="192">
    <w:p w14:paraId="5D11884F" w14:textId="48B299A9" w:rsidR="00323FC1" w:rsidRPr="00E77674" w:rsidRDefault="00323FC1" w:rsidP="001D321F">
      <w:pPr>
        <w:pStyle w:val="FootnoteText"/>
        <w:jc w:val="both"/>
        <w:rPr>
          <w:rFonts w:ascii="Cambria" w:hAnsi="Cambria"/>
          <w:color w:val="000000" w:themeColor="text1"/>
          <w:sz w:val="16"/>
          <w:szCs w:val="16"/>
          <w:lang w:val="es-ES"/>
        </w:rPr>
      </w:pPr>
      <w:r w:rsidRPr="00E77674">
        <w:rPr>
          <w:rStyle w:val="FootnoteReference"/>
          <w:rFonts w:ascii="Cambria" w:hAnsi="Cambria"/>
          <w:color w:val="000000" w:themeColor="text1"/>
          <w:sz w:val="16"/>
          <w:szCs w:val="16"/>
          <w:lang w:val="es-ES"/>
        </w:rPr>
        <w:footnoteRef/>
      </w:r>
      <w:r w:rsidRPr="00E77674">
        <w:rPr>
          <w:rFonts w:ascii="Cambria" w:hAnsi="Cambria"/>
          <w:color w:val="000000" w:themeColor="text1"/>
          <w:sz w:val="16"/>
          <w:szCs w:val="16"/>
          <w:lang w:val="es-ES"/>
        </w:rPr>
        <w:t xml:space="preserve"> </w:t>
      </w:r>
      <w:r w:rsidRPr="00E77674">
        <w:rPr>
          <w:rFonts w:ascii="Cambria" w:hAnsi="Cambria"/>
          <w:b/>
          <w:color w:val="000000" w:themeColor="text1"/>
          <w:sz w:val="16"/>
          <w:szCs w:val="16"/>
          <w:lang w:val="es-ES"/>
        </w:rPr>
        <w:t>ANEXO 46.</w:t>
      </w:r>
      <w:r w:rsidRPr="00E77674">
        <w:rPr>
          <w:rFonts w:ascii="Cambria" w:hAnsi="Cambria"/>
          <w:color w:val="000000" w:themeColor="text1"/>
          <w:sz w:val="16"/>
          <w:szCs w:val="16"/>
          <w:lang w:val="es-ES"/>
        </w:rPr>
        <w:t xml:space="preserve"> Sentencia de la Ministra en visita extraordinaria de la Corte de Apelaciones de Talca Juana María Venegas Ilabaca de fecha 18 de julio de 2008. Anexo 1 a la comunicación del peticionario de fecha 19 de agosto de 2010. </w:t>
      </w:r>
    </w:p>
  </w:footnote>
  <w:footnote w:id="193">
    <w:p w14:paraId="04A7329E" w14:textId="77777777" w:rsidR="00323FC1" w:rsidRPr="001D321F" w:rsidRDefault="00323FC1" w:rsidP="001D321F">
      <w:pPr>
        <w:pStyle w:val="FootnoteText"/>
        <w:jc w:val="both"/>
        <w:rPr>
          <w:rFonts w:ascii="Cambria" w:hAnsi="Cambria"/>
          <w:color w:val="000000" w:themeColor="text1"/>
          <w:sz w:val="16"/>
          <w:szCs w:val="16"/>
          <w:lang w:val="es-ES"/>
        </w:rPr>
      </w:pPr>
      <w:r w:rsidRPr="00E77674">
        <w:rPr>
          <w:rStyle w:val="FootnoteReference"/>
          <w:rFonts w:ascii="Cambria" w:hAnsi="Cambria"/>
          <w:color w:val="000000" w:themeColor="text1"/>
          <w:sz w:val="16"/>
          <w:szCs w:val="16"/>
          <w:lang w:val="es-ES"/>
        </w:rPr>
        <w:footnoteRef/>
      </w:r>
      <w:r w:rsidRPr="00E77674">
        <w:rPr>
          <w:rFonts w:ascii="Cambria" w:hAnsi="Cambria"/>
          <w:color w:val="000000" w:themeColor="text1"/>
          <w:sz w:val="16"/>
          <w:szCs w:val="16"/>
          <w:lang w:val="es-ES"/>
        </w:rPr>
        <w:t xml:space="preserve"> Comunicación de la parte peticionaria de fecha 19 de agosto de 2010.</w:t>
      </w:r>
      <w:r w:rsidRPr="001D321F">
        <w:rPr>
          <w:rFonts w:ascii="Cambria" w:hAnsi="Cambria"/>
          <w:color w:val="000000" w:themeColor="text1"/>
          <w:sz w:val="16"/>
          <w:szCs w:val="16"/>
          <w:lang w:val="es-ES"/>
        </w:rPr>
        <w:t xml:space="preserve"> </w:t>
      </w:r>
    </w:p>
  </w:footnote>
  <w:footnote w:id="194">
    <w:p w14:paraId="1D4D8ACD" w14:textId="4C7E8351" w:rsidR="00323FC1" w:rsidRPr="006A7F9D" w:rsidRDefault="00323FC1" w:rsidP="001D321F">
      <w:pPr>
        <w:pStyle w:val="FootnoteText"/>
        <w:jc w:val="both"/>
        <w:rPr>
          <w:rFonts w:ascii="Cambria" w:hAnsi="Cambria"/>
          <w:color w:val="000000" w:themeColor="text1"/>
          <w:sz w:val="16"/>
          <w:szCs w:val="16"/>
          <w:lang w:val="es-AR"/>
        </w:rPr>
      </w:pPr>
      <w:r w:rsidRPr="006A7F9D">
        <w:rPr>
          <w:rStyle w:val="FootnoteReference"/>
          <w:rFonts w:ascii="Cambria" w:hAnsi="Cambria"/>
          <w:color w:val="000000" w:themeColor="text1"/>
          <w:sz w:val="16"/>
          <w:szCs w:val="16"/>
        </w:rPr>
        <w:footnoteRef/>
      </w:r>
      <w:r w:rsidRPr="006A7F9D">
        <w:rPr>
          <w:rFonts w:ascii="Cambria" w:hAnsi="Cambria"/>
          <w:color w:val="000000" w:themeColor="text1"/>
          <w:sz w:val="16"/>
          <w:szCs w:val="16"/>
          <w:lang w:val="es-AR"/>
        </w:rPr>
        <w:t xml:space="preserve"> </w:t>
      </w:r>
      <w:r w:rsidRPr="006A7F9D">
        <w:rPr>
          <w:rFonts w:ascii="Cambria" w:hAnsi="Cambria"/>
          <w:b/>
          <w:color w:val="000000" w:themeColor="text1"/>
          <w:sz w:val="16"/>
          <w:szCs w:val="16"/>
          <w:lang w:val="es-ES"/>
        </w:rPr>
        <w:t>ANEXO 46.</w:t>
      </w:r>
      <w:r w:rsidRPr="006A7F9D">
        <w:rPr>
          <w:rFonts w:ascii="Cambria" w:hAnsi="Cambria"/>
          <w:color w:val="000000" w:themeColor="text1"/>
          <w:sz w:val="16"/>
          <w:szCs w:val="16"/>
          <w:lang w:val="es-ES"/>
        </w:rPr>
        <w:t xml:space="preserve"> Sentencia de la Ministra en visita extraordinaria de la Corte de Apelaciones de Talca Juana María Venegas Ilabaca de fecha 18 de julio de 2008, considerandos decimoquinto y decimosexto. Anexo 1 a la comunicación del peticionario de fecha 19 de agosto de 2010.</w:t>
      </w:r>
    </w:p>
  </w:footnote>
  <w:footnote w:id="195">
    <w:p w14:paraId="42D2A52D" w14:textId="0BCCF92D" w:rsidR="00323FC1" w:rsidRPr="006A7F9D" w:rsidRDefault="00323FC1" w:rsidP="001D321F">
      <w:pPr>
        <w:pStyle w:val="FootnoteText"/>
        <w:jc w:val="both"/>
        <w:rPr>
          <w:rFonts w:ascii="Cambria" w:hAnsi="Cambria"/>
          <w:color w:val="000000" w:themeColor="text1"/>
          <w:sz w:val="16"/>
          <w:szCs w:val="16"/>
          <w:lang w:val="es-AR"/>
        </w:rPr>
      </w:pPr>
      <w:r w:rsidRPr="006A7F9D">
        <w:rPr>
          <w:rStyle w:val="FootnoteReference"/>
          <w:rFonts w:ascii="Cambria" w:hAnsi="Cambria"/>
          <w:color w:val="000000" w:themeColor="text1"/>
          <w:sz w:val="16"/>
          <w:szCs w:val="16"/>
        </w:rPr>
        <w:footnoteRef/>
      </w:r>
      <w:r w:rsidRPr="006A7F9D">
        <w:rPr>
          <w:rFonts w:ascii="Cambria" w:hAnsi="Cambria"/>
          <w:color w:val="000000" w:themeColor="text1"/>
          <w:sz w:val="16"/>
          <w:szCs w:val="16"/>
          <w:lang w:val="es-AR"/>
        </w:rPr>
        <w:t xml:space="preserve"> </w:t>
      </w:r>
      <w:r w:rsidRPr="006A7F9D">
        <w:rPr>
          <w:rFonts w:ascii="Cambria" w:hAnsi="Cambria"/>
          <w:b/>
          <w:color w:val="000000" w:themeColor="text1"/>
          <w:sz w:val="16"/>
          <w:szCs w:val="16"/>
          <w:lang w:val="es-AR"/>
        </w:rPr>
        <w:t>ANEXO 47.</w:t>
      </w:r>
      <w:r w:rsidRPr="006A7F9D">
        <w:rPr>
          <w:rFonts w:ascii="Cambria" w:hAnsi="Cambria"/>
          <w:color w:val="000000" w:themeColor="text1"/>
          <w:sz w:val="16"/>
          <w:szCs w:val="16"/>
          <w:lang w:val="es-AR"/>
        </w:rPr>
        <w:t xml:space="preserve"> Sentencia de la </w:t>
      </w:r>
      <w:r w:rsidRPr="006A7F9D">
        <w:rPr>
          <w:rFonts w:ascii="Cambria" w:hAnsi="Cambria"/>
          <w:color w:val="000000" w:themeColor="text1"/>
          <w:sz w:val="16"/>
          <w:szCs w:val="16"/>
          <w:lang w:val="es-ES_tradnl"/>
        </w:rPr>
        <w:t xml:space="preserve">Tercera Sala de la Corte de Apelaciones de Talca de fecha 17 de abril de 2009. Anexo 2 a la </w:t>
      </w:r>
      <w:r w:rsidRPr="006A7F9D">
        <w:rPr>
          <w:rFonts w:ascii="Cambria" w:hAnsi="Cambria"/>
          <w:color w:val="000000" w:themeColor="text1"/>
          <w:sz w:val="16"/>
          <w:szCs w:val="16"/>
          <w:lang w:val="es-ES"/>
        </w:rPr>
        <w:t>comunicación del peticionario de fecha 19 de agosto de 2010.</w:t>
      </w:r>
    </w:p>
  </w:footnote>
  <w:footnote w:id="196">
    <w:p w14:paraId="26178CDC" w14:textId="1649BDA6" w:rsidR="00323FC1" w:rsidRPr="006A7F9D" w:rsidRDefault="00323FC1" w:rsidP="001D321F">
      <w:pPr>
        <w:pStyle w:val="FootnoteText"/>
        <w:jc w:val="both"/>
        <w:rPr>
          <w:rFonts w:ascii="Cambria" w:hAnsi="Cambria"/>
          <w:color w:val="000000" w:themeColor="text1"/>
          <w:sz w:val="16"/>
          <w:szCs w:val="16"/>
          <w:lang w:val="es-ES"/>
        </w:rPr>
      </w:pPr>
      <w:r w:rsidRPr="006A7F9D">
        <w:rPr>
          <w:rStyle w:val="FootnoteReference"/>
          <w:rFonts w:ascii="Cambria" w:hAnsi="Cambria"/>
          <w:color w:val="000000" w:themeColor="text1"/>
          <w:sz w:val="16"/>
          <w:szCs w:val="16"/>
        </w:rPr>
        <w:footnoteRef/>
      </w:r>
      <w:r w:rsidRPr="006A7F9D">
        <w:rPr>
          <w:rFonts w:ascii="Cambria" w:hAnsi="Cambria"/>
          <w:color w:val="000000" w:themeColor="text1"/>
          <w:sz w:val="16"/>
          <w:szCs w:val="16"/>
          <w:lang w:val="es-AR"/>
        </w:rPr>
        <w:t xml:space="preserve"> </w:t>
      </w:r>
      <w:r w:rsidRPr="006A7F9D">
        <w:rPr>
          <w:rFonts w:ascii="Cambria" w:hAnsi="Cambria"/>
          <w:b/>
          <w:color w:val="000000" w:themeColor="text1"/>
          <w:sz w:val="16"/>
          <w:szCs w:val="16"/>
          <w:lang w:val="es-AR"/>
        </w:rPr>
        <w:t>ANEXO 47.</w:t>
      </w:r>
      <w:r w:rsidRPr="006A7F9D">
        <w:rPr>
          <w:rFonts w:ascii="Cambria" w:hAnsi="Cambria"/>
          <w:color w:val="000000" w:themeColor="text1"/>
          <w:sz w:val="16"/>
          <w:szCs w:val="16"/>
          <w:lang w:val="es-AR"/>
        </w:rPr>
        <w:t xml:space="preserve"> Sentencia de la </w:t>
      </w:r>
      <w:r w:rsidRPr="006A7F9D">
        <w:rPr>
          <w:rFonts w:ascii="Cambria" w:hAnsi="Cambria"/>
          <w:color w:val="000000" w:themeColor="text1"/>
          <w:sz w:val="16"/>
          <w:szCs w:val="16"/>
          <w:lang w:val="es-ES_tradnl"/>
        </w:rPr>
        <w:t xml:space="preserve">Tercera Sala de la Corte de Apelaciones de Talca de fecha 17 de abril de 2009, considerando octavo. Anexo </w:t>
      </w:r>
      <w:r w:rsidRPr="006A7F9D">
        <w:rPr>
          <w:rFonts w:ascii="Cambria" w:hAnsi="Cambria"/>
          <w:color w:val="000000" w:themeColor="text1"/>
          <w:sz w:val="16"/>
          <w:szCs w:val="16"/>
          <w:lang w:val="es-ES"/>
        </w:rPr>
        <w:t>2 a la comunicación del peticionario de fecha 19 de agosto de 2010.</w:t>
      </w:r>
    </w:p>
  </w:footnote>
  <w:footnote w:id="197">
    <w:p w14:paraId="7083A1C5" w14:textId="23F8088F" w:rsidR="00323FC1" w:rsidRPr="006A7F9D" w:rsidRDefault="00323FC1" w:rsidP="001D321F">
      <w:pPr>
        <w:pStyle w:val="FootnoteText"/>
        <w:jc w:val="both"/>
        <w:rPr>
          <w:rFonts w:ascii="Cambria" w:hAnsi="Cambria"/>
          <w:color w:val="000000" w:themeColor="text1"/>
          <w:sz w:val="16"/>
          <w:szCs w:val="16"/>
          <w:lang w:val="es-ES"/>
        </w:rPr>
      </w:pPr>
      <w:r w:rsidRPr="006A7F9D">
        <w:rPr>
          <w:rStyle w:val="FootnoteReference"/>
          <w:rFonts w:ascii="Cambria" w:hAnsi="Cambria"/>
          <w:color w:val="000000" w:themeColor="text1"/>
          <w:sz w:val="16"/>
          <w:szCs w:val="16"/>
          <w:lang w:val="es-ES"/>
        </w:rPr>
        <w:footnoteRef/>
      </w:r>
      <w:r w:rsidRPr="006A7F9D">
        <w:rPr>
          <w:rFonts w:ascii="Cambria" w:hAnsi="Cambria"/>
          <w:color w:val="000000" w:themeColor="text1"/>
          <w:sz w:val="16"/>
          <w:szCs w:val="16"/>
          <w:lang w:val="es-ES"/>
        </w:rPr>
        <w:t xml:space="preserve"> </w:t>
      </w:r>
      <w:r w:rsidRPr="006A7F9D">
        <w:rPr>
          <w:rFonts w:ascii="Cambria" w:hAnsi="Cambria"/>
          <w:b/>
          <w:color w:val="000000" w:themeColor="text1"/>
          <w:sz w:val="16"/>
          <w:szCs w:val="16"/>
          <w:lang w:val="es-ES"/>
        </w:rPr>
        <w:t>ANEXO 47.</w:t>
      </w:r>
      <w:r w:rsidRPr="006A7F9D">
        <w:rPr>
          <w:rFonts w:ascii="Cambria" w:hAnsi="Cambria"/>
          <w:color w:val="000000" w:themeColor="text1"/>
          <w:sz w:val="16"/>
          <w:szCs w:val="16"/>
          <w:lang w:val="es-ES"/>
        </w:rPr>
        <w:t xml:space="preserve"> Sentencia de la Tercera Sala de la Corte de Apelaciones de Talca de fecha 17 de abril de 2009, considerando cuarto. Anexo 2 a la comunicación del peticionario de fecha 19 de agosto de 2010.</w:t>
      </w:r>
    </w:p>
  </w:footnote>
  <w:footnote w:id="198">
    <w:p w14:paraId="04E1F835" w14:textId="66A59696" w:rsidR="00323FC1" w:rsidRPr="006A7F9D" w:rsidRDefault="00323FC1" w:rsidP="001D321F">
      <w:pPr>
        <w:pStyle w:val="FootnoteText"/>
        <w:jc w:val="both"/>
        <w:rPr>
          <w:rFonts w:ascii="Cambria" w:hAnsi="Cambria"/>
          <w:color w:val="000000" w:themeColor="text1"/>
          <w:sz w:val="16"/>
          <w:szCs w:val="16"/>
          <w:lang w:val="es-AR"/>
        </w:rPr>
      </w:pPr>
      <w:r w:rsidRPr="006A7F9D">
        <w:rPr>
          <w:rStyle w:val="FootnoteReference"/>
          <w:rFonts w:ascii="Cambria" w:hAnsi="Cambria"/>
          <w:color w:val="000000" w:themeColor="text1"/>
          <w:sz w:val="16"/>
          <w:szCs w:val="16"/>
          <w:lang w:val="es-ES"/>
        </w:rPr>
        <w:footnoteRef/>
      </w:r>
      <w:r w:rsidRPr="006A7F9D">
        <w:rPr>
          <w:rFonts w:ascii="Cambria" w:hAnsi="Cambria"/>
          <w:color w:val="000000" w:themeColor="text1"/>
          <w:sz w:val="16"/>
          <w:szCs w:val="16"/>
          <w:lang w:val="es-ES"/>
        </w:rPr>
        <w:t xml:space="preserve"> </w:t>
      </w:r>
      <w:r w:rsidRPr="006A7F9D">
        <w:rPr>
          <w:rFonts w:ascii="Cambria" w:hAnsi="Cambria"/>
          <w:b/>
          <w:color w:val="000000" w:themeColor="text1"/>
          <w:sz w:val="16"/>
          <w:szCs w:val="16"/>
          <w:lang w:val="es-ES"/>
        </w:rPr>
        <w:t>ANEXO 48.</w:t>
      </w:r>
      <w:r w:rsidRPr="006A7F9D">
        <w:rPr>
          <w:rFonts w:ascii="Cambria" w:hAnsi="Cambria"/>
          <w:color w:val="000000" w:themeColor="text1"/>
          <w:sz w:val="16"/>
          <w:szCs w:val="16"/>
          <w:lang w:val="es-ES"/>
        </w:rPr>
        <w:t xml:space="preserve"> Sentencia de la Segunda Sala de la Corte Suprema de Justicia de fecha 18 de mayo de 2010. Anexo 3 a la comunicación del peticionario de fecha 19 de agosto de 2010</w:t>
      </w:r>
    </w:p>
  </w:footnote>
  <w:footnote w:id="199">
    <w:p w14:paraId="6BFBC39F" w14:textId="0945FEE7" w:rsidR="00323FC1" w:rsidRPr="006A7F9D" w:rsidRDefault="00323FC1" w:rsidP="001D321F">
      <w:pPr>
        <w:pStyle w:val="FootnoteText"/>
        <w:jc w:val="both"/>
        <w:rPr>
          <w:rFonts w:ascii="Cambria" w:hAnsi="Cambria"/>
          <w:color w:val="000000" w:themeColor="text1"/>
          <w:sz w:val="16"/>
          <w:szCs w:val="16"/>
          <w:lang w:val="es-AR"/>
        </w:rPr>
      </w:pPr>
      <w:r w:rsidRPr="006A7F9D">
        <w:rPr>
          <w:rStyle w:val="FootnoteReference"/>
          <w:rFonts w:ascii="Cambria" w:hAnsi="Cambria"/>
          <w:color w:val="000000" w:themeColor="text1"/>
          <w:sz w:val="16"/>
          <w:szCs w:val="16"/>
        </w:rPr>
        <w:footnoteRef/>
      </w:r>
      <w:r w:rsidRPr="006A7F9D">
        <w:rPr>
          <w:rFonts w:ascii="Cambria" w:hAnsi="Cambria"/>
          <w:color w:val="000000" w:themeColor="text1"/>
          <w:sz w:val="16"/>
          <w:szCs w:val="16"/>
          <w:lang w:val="es-AR"/>
        </w:rPr>
        <w:t xml:space="preserve"> </w:t>
      </w:r>
      <w:r w:rsidRPr="006A7F9D">
        <w:rPr>
          <w:rFonts w:ascii="Cambria" w:hAnsi="Cambria"/>
          <w:b/>
          <w:color w:val="000000" w:themeColor="text1"/>
          <w:sz w:val="16"/>
          <w:szCs w:val="16"/>
          <w:lang w:val="es-ES"/>
        </w:rPr>
        <w:t>ANEXO 49.</w:t>
      </w:r>
      <w:r w:rsidRPr="006A7F9D">
        <w:rPr>
          <w:rFonts w:ascii="Cambria" w:hAnsi="Cambria"/>
          <w:color w:val="000000" w:themeColor="text1"/>
          <w:sz w:val="16"/>
          <w:szCs w:val="16"/>
          <w:lang w:val="es-ES"/>
        </w:rPr>
        <w:t xml:space="preserve"> Sentencia de reemplazo dictada por la Segunda Sala de la Corte Suprema de Justicia de fecha 18 de mayo de 2010, considerandos primero a tercero. Anexo 4 a la comunicación del peticionario de fecha 19 de agosto de 2010.</w:t>
      </w:r>
    </w:p>
  </w:footnote>
  <w:footnote w:id="200">
    <w:p w14:paraId="348C97B5" w14:textId="1AFB9375" w:rsidR="00323FC1" w:rsidRPr="001D321F" w:rsidRDefault="00323FC1" w:rsidP="001D321F">
      <w:pPr>
        <w:pStyle w:val="FootnoteText"/>
        <w:jc w:val="both"/>
        <w:rPr>
          <w:rFonts w:ascii="Cambria" w:hAnsi="Cambria"/>
          <w:color w:val="000000" w:themeColor="text1"/>
          <w:sz w:val="16"/>
          <w:szCs w:val="16"/>
          <w:lang w:val="es-AR"/>
        </w:rPr>
      </w:pPr>
      <w:r w:rsidRPr="006A7F9D">
        <w:rPr>
          <w:rStyle w:val="FootnoteReference"/>
          <w:rFonts w:ascii="Cambria" w:hAnsi="Cambria"/>
          <w:color w:val="000000" w:themeColor="text1"/>
          <w:sz w:val="16"/>
          <w:szCs w:val="16"/>
        </w:rPr>
        <w:footnoteRef/>
      </w:r>
      <w:r w:rsidRPr="006A7F9D">
        <w:rPr>
          <w:rFonts w:ascii="Cambria" w:hAnsi="Cambria"/>
          <w:color w:val="000000" w:themeColor="text1"/>
          <w:sz w:val="16"/>
          <w:szCs w:val="16"/>
          <w:lang w:val="es-AR"/>
        </w:rPr>
        <w:t xml:space="preserve"> </w:t>
      </w:r>
      <w:r w:rsidRPr="006A7F9D">
        <w:rPr>
          <w:rFonts w:ascii="Cambria" w:hAnsi="Cambria"/>
          <w:b/>
          <w:color w:val="000000" w:themeColor="text1"/>
          <w:sz w:val="16"/>
          <w:szCs w:val="16"/>
          <w:lang w:val="es-ES"/>
        </w:rPr>
        <w:t>ANEXO 49.</w:t>
      </w:r>
      <w:r w:rsidRPr="006A7F9D">
        <w:rPr>
          <w:rFonts w:ascii="Cambria" w:hAnsi="Cambria"/>
          <w:color w:val="000000" w:themeColor="text1"/>
          <w:sz w:val="16"/>
          <w:szCs w:val="16"/>
          <w:lang w:val="es-ES"/>
        </w:rPr>
        <w:t xml:space="preserve"> Sentencia de reemplazo dictada por la Segunda Sala de la Corte Suprema de Justicia de fecha 18 de mayo de 2010, considerando quinto. Anexo 4 a la comunicación del peticionario de fecha 19 de agosto de 2010.</w:t>
      </w:r>
    </w:p>
  </w:footnote>
  <w:footnote w:id="201">
    <w:p w14:paraId="10A4D8CB" w14:textId="7A8F575D" w:rsidR="00323FC1" w:rsidRPr="006A7F9D" w:rsidRDefault="00323FC1" w:rsidP="001D321F">
      <w:pPr>
        <w:pStyle w:val="FootnoteText"/>
        <w:jc w:val="both"/>
        <w:rPr>
          <w:rFonts w:ascii="Cambria" w:hAnsi="Cambria"/>
          <w:color w:val="000000" w:themeColor="text1"/>
          <w:sz w:val="16"/>
          <w:szCs w:val="16"/>
          <w:lang w:val="es-AR"/>
        </w:rPr>
      </w:pPr>
      <w:r w:rsidRPr="006A7F9D">
        <w:rPr>
          <w:rStyle w:val="FootnoteReference"/>
          <w:rFonts w:ascii="Cambria" w:hAnsi="Cambria"/>
          <w:color w:val="000000" w:themeColor="text1"/>
          <w:sz w:val="16"/>
          <w:szCs w:val="16"/>
        </w:rPr>
        <w:footnoteRef/>
      </w:r>
      <w:r w:rsidRPr="006A7F9D">
        <w:rPr>
          <w:rFonts w:ascii="Cambria" w:hAnsi="Cambria"/>
          <w:color w:val="000000" w:themeColor="text1"/>
          <w:sz w:val="16"/>
          <w:szCs w:val="16"/>
          <w:lang w:val="es-AR"/>
        </w:rPr>
        <w:t xml:space="preserve"> </w:t>
      </w:r>
      <w:r w:rsidRPr="006A7F9D">
        <w:rPr>
          <w:rFonts w:ascii="Cambria" w:hAnsi="Cambria"/>
          <w:b/>
          <w:color w:val="000000" w:themeColor="text1"/>
          <w:sz w:val="16"/>
          <w:szCs w:val="16"/>
          <w:lang w:val="es-ES"/>
        </w:rPr>
        <w:t>ANEXO 49.</w:t>
      </w:r>
      <w:r w:rsidRPr="006A7F9D">
        <w:rPr>
          <w:rFonts w:ascii="Cambria" w:hAnsi="Cambria"/>
          <w:color w:val="000000" w:themeColor="text1"/>
          <w:sz w:val="16"/>
          <w:szCs w:val="16"/>
          <w:lang w:val="es-ES"/>
        </w:rPr>
        <w:t xml:space="preserve"> Sentencia de reemplazo dictada por la Segunda Sala de la Corte Suprema de Justicia de fecha 18 de mayo de 2010, considerando séptimo. Anexo 4 a la comunicación del peticionario de fecha 19 de agosto de 2010.</w:t>
      </w:r>
    </w:p>
  </w:footnote>
  <w:footnote w:id="202">
    <w:p w14:paraId="1F1D95A7" w14:textId="24C33BB2" w:rsidR="00323FC1" w:rsidRPr="001D321F" w:rsidRDefault="00323FC1" w:rsidP="001D321F">
      <w:pPr>
        <w:pStyle w:val="FootnoteText"/>
        <w:jc w:val="both"/>
        <w:rPr>
          <w:rFonts w:ascii="Cambria" w:hAnsi="Cambria"/>
          <w:color w:val="000000" w:themeColor="text1"/>
          <w:sz w:val="16"/>
          <w:szCs w:val="16"/>
          <w:lang w:val="es-AR"/>
        </w:rPr>
      </w:pPr>
      <w:r w:rsidRPr="006A7F9D">
        <w:rPr>
          <w:rStyle w:val="FootnoteReference"/>
          <w:rFonts w:ascii="Cambria" w:hAnsi="Cambria"/>
          <w:color w:val="000000" w:themeColor="text1"/>
          <w:sz w:val="16"/>
          <w:szCs w:val="16"/>
        </w:rPr>
        <w:footnoteRef/>
      </w:r>
      <w:r w:rsidRPr="006A7F9D">
        <w:rPr>
          <w:rFonts w:ascii="Cambria" w:hAnsi="Cambria"/>
          <w:color w:val="000000" w:themeColor="text1"/>
          <w:sz w:val="16"/>
          <w:szCs w:val="16"/>
          <w:lang w:val="es-AR"/>
        </w:rPr>
        <w:t xml:space="preserve"> </w:t>
      </w:r>
      <w:r w:rsidRPr="006A7F9D">
        <w:rPr>
          <w:rFonts w:ascii="Cambria" w:hAnsi="Cambria"/>
          <w:b/>
          <w:color w:val="000000" w:themeColor="text1"/>
          <w:sz w:val="16"/>
          <w:szCs w:val="16"/>
          <w:lang w:val="es-ES"/>
        </w:rPr>
        <w:t>ANEXO 49.</w:t>
      </w:r>
      <w:r w:rsidRPr="006A7F9D">
        <w:rPr>
          <w:rFonts w:ascii="Cambria" w:hAnsi="Cambria"/>
          <w:color w:val="000000" w:themeColor="text1"/>
          <w:sz w:val="16"/>
          <w:szCs w:val="16"/>
          <w:lang w:val="es-ES"/>
        </w:rPr>
        <w:t xml:space="preserve"> Sentencia de reemplazo dictada por la Segunda Sala de la Corte Suprema de Justicia de fecha 18 de mayo de 2010, considerando octavo y noveno. Anexo 4 a la comunicación del peticionario de fecha 19 de agosto de 2010.</w:t>
      </w:r>
    </w:p>
  </w:footnote>
  <w:footnote w:id="203">
    <w:p w14:paraId="4D02DA18" w14:textId="77777777" w:rsidR="00323FC1" w:rsidRPr="001D321F" w:rsidRDefault="00323FC1" w:rsidP="00535187">
      <w:pPr>
        <w:jc w:val="both"/>
        <w:rPr>
          <w:rFonts w:ascii="Cambria" w:eastAsia="Calibri" w:hAnsi="Cambria" w:cs="Calibri"/>
          <w:color w:val="000000" w:themeColor="text1"/>
          <w:sz w:val="16"/>
          <w:szCs w:val="16"/>
          <w:u w:color="000000"/>
          <w:bdr w:val="nil"/>
          <w:lang w:val="es-ES" w:eastAsia="es-ES"/>
        </w:rPr>
      </w:pPr>
      <w:r w:rsidRPr="001D321F">
        <w:rPr>
          <w:rStyle w:val="FootnoteReference"/>
          <w:rFonts w:ascii="Cambria" w:hAnsi="Cambria"/>
          <w:color w:val="000000" w:themeColor="text1"/>
          <w:sz w:val="16"/>
          <w:szCs w:val="16"/>
          <w:lang w:val="es-ES"/>
        </w:rPr>
        <w:footnoteRef/>
      </w:r>
      <w:r w:rsidRPr="001D321F">
        <w:rPr>
          <w:rStyle w:val="FootnoteReference"/>
          <w:rFonts w:ascii="Cambria" w:hAnsi="Cambria"/>
          <w:color w:val="000000" w:themeColor="text1"/>
          <w:sz w:val="16"/>
          <w:szCs w:val="16"/>
          <w:lang w:val="es-ES"/>
        </w:rPr>
        <w:t xml:space="preserve"> </w:t>
      </w:r>
      <w:r w:rsidRPr="001D321F">
        <w:rPr>
          <w:rFonts w:ascii="Cambria" w:hAnsi="Cambria"/>
          <w:color w:val="000000" w:themeColor="text1"/>
          <w:sz w:val="16"/>
          <w:szCs w:val="16"/>
          <w:lang w:val="es-ES"/>
        </w:rPr>
        <w:t>Co</w:t>
      </w:r>
      <w:r w:rsidRPr="001D321F">
        <w:rPr>
          <w:rFonts w:ascii="Cambria" w:eastAsia="Calibri" w:hAnsi="Cambria" w:cs="Calibri"/>
          <w:color w:val="000000" w:themeColor="text1"/>
          <w:sz w:val="16"/>
          <w:szCs w:val="16"/>
          <w:u w:color="000000"/>
          <w:bdr w:val="nil"/>
          <w:lang w:val="es-ES" w:eastAsia="es-ES"/>
        </w:rPr>
        <w:t xml:space="preserve">rte IDH. Caso de la Masacre de La Rochela Vs. Colombia. Fondo, Reparaciones y Costas. Sentencia de 11 de mayo de 2007. Serie C No. 163 párr. 193. </w:t>
      </w:r>
    </w:p>
  </w:footnote>
  <w:footnote w:id="204">
    <w:p w14:paraId="0175ADEE" w14:textId="77777777" w:rsidR="00323FC1" w:rsidRPr="001D321F" w:rsidRDefault="00323FC1" w:rsidP="001D321F">
      <w:pPr>
        <w:jc w:val="both"/>
        <w:rPr>
          <w:rFonts w:ascii="Cambria" w:hAnsi="Cambria"/>
          <w:color w:val="000000" w:themeColor="text1"/>
          <w:sz w:val="16"/>
          <w:szCs w:val="16"/>
          <w:lang w:val="es-ES"/>
        </w:rPr>
      </w:pPr>
      <w:r w:rsidRPr="001D321F">
        <w:rPr>
          <w:rStyle w:val="FootnoteReference"/>
          <w:rFonts w:ascii="Cambria" w:hAnsi="Cambria"/>
          <w:color w:val="000000" w:themeColor="text1"/>
          <w:sz w:val="16"/>
          <w:szCs w:val="16"/>
          <w:lang w:val="es-ES"/>
        </w:rPr>
        <w:footnoteRef/>
      </w:r>
      <w:r w:rsidRPr="001D321F">
        <w:rPr>
          <w:rFonts w:ascii="Cambria" w:hAnsi="Cambria"/>
          <w:color w:val="000000" w:themeColor="text1"/>
          <w:sz w:val="16"/>
          <w:szCs w:val="16"/>
          <w:lang w:val="es-ES"/>
        </w:rPr>
        <w:t xml:space="preserve"> Convención Interamericana sobre Desaparición Forzada de Personas. </w:t>
      </w:r>
      <w:r w:rsidRPr="001D321F">
        <w:rPr>
          <w:rFonts w:ascii="Cambria" w:hAnsi="Cambria" w:cs="Tahoma"/>
          <w:color w:val="000000" w:themeColor="text1"/>
          <w:sz w:val="16"/>
          <w:szCs w:val="16"/>
          <w:lang w:val="es-ES"/>
        </w:rPr>
        <w:t xml:space="preserve">Adoptada en Belém do Pará, Brasil el 9 de junio de 1994, en el vigésimo cuarto período ordinario de sesiones de la Asamblea General. Ratificada por el Estado chileno el 13 de enero de 2010. </w:t>
      </w:r>
    </w:p>
  </w:footnote>
  <w:footnote w:id="205">
    <w:p w14:paraId="1A9E2375" w14:textId="77777777" w:rsidR="00323FC1" w:rsidRPr="001D321F" w:rsidRDefault="00323FC1" w:rsidP="001D321F">
      <w:pPr>
        <w:jc w:val="both"/>
        <w:rPr>
          <w:rFonts w:ascii="Cambria" w:hAnsi="Cambria"/>
          <w:color w:val="000000" w:themeColor="text1"/>
          <w:sz w:val="16"/>
          <w:szCs w:val="16"/>
          <w:lang w:val="es-ES"/>
        </w:rPr>
      </w:pPr>
      <w:r w:rsidRPr="001D321F">
        <w:rPr>
          <w:rStyle w:val="FootnoteReference"/>
          <w:rFonts w:ascii="Cambria" w:hAnsi="Cambria"/>
          <w:color w:val="000000" w:themeColor="text1"/>
          <w:sz w:val="16"/>
          <w:szCs w:val="16"/>
          <w:lang w:val="es-ES"/>
        </w:rPr>
        <w:footnoteRef/>
      </w:r>
      <w:r w:rsidRPr="001D321F">
        <w:rPr>
          <w:rFonts w:ascii="Cambria" w:hAnsi="Cambria"/>
          <w:color w:val="000000" w:themeColor="text1"/>
          <w:sz w:val="16"/>
          <w:szCs w:val="16"/>
          <w:lang w:val="es-ES"/>
        </w:rPr>
        <w:t xml:space="preserve"> ONU, Comité de Derechos Humanos. 80 periodo de sesiones (2004). </w:t>
      </w:r>
      <w:r w:rsidRPr="001D321F">
        <w:rPr>
          <w:rFonts w:ascii="Cambria" w:hAnsi="Cambria"/>
          <w:bCs/>
          <w:color w:val="000000" w:themeColor="text1"/>
          <w:sz w:val="16"/>
          <w:szCs w:val="16"/>
          <w:lang w:val="es-ES"/>
        </w:rPr>
        <w:t xml:space="preserve">Observación general núm. 31. La índole de la obligación jurídica general impuesta a los Estados Partes en el Pacto {§39}, párr. 15. </w:t>
      </w:r>
    </w:p>
  </w:footnote>
  <w:footnote w:id="206">
    <w:p w14:paraId="3FC3087C" w14:textId="77777777" w:rsidR="00323FC1" w:rsidRPr="001D321F" w:rsidRDefault="00323FC1" w:rsidP="001D321F">
      <w:pPr>
        <w:jc w:val="both"/>
        <w:rPr>
          <w:rFonts w:ascii="Cambria" w:hAnsi="Cambria"/>
          <w:color w:val="000000" w:themeColor="text1"/>
          <w:sz w:val="16"/>
          <w:szCs w:val="16"/>
          <w:lang w:val="es-ES"/>
        </w:rPr>
      </w:pPr>
      <w:r w:rsidRPr="001D321F">
        <w:rPr>
          <w:rStyle w:val="FootnoteReference"/>
          <w:rFonts w:ascii="Cambria" w:hAnsi="Cambria"/>
          <w:color w:val="000000" w:themeColor="text1"/>
          <w:sz w:val="16"/>
          <w:szCs w:val="16"/>
          <w:lang w:val="es-ES"/>
        </w:rPr>
        <w:footnoteRef/>
      </w:r>
      <w:r w:rsidRPr="001D321F">
        <w:rPr>
          <w:rFonts w:ascii="Cambria" w:hAnsi="Cambria"/>
          <w:color w:val="000000" w:themeColor="text1"/>
          <w:sz w:val="16"/>
          <w:szCs w:val="16"/>
          <w:lang w:val="es-ES"/>
        </w:rPr>
        <w:t xml:space="preserve"> ONU. Comisión de Derechos Humanos Informe final revisado acerca de la cuestión de la impunidad de los autores de violaciones de los derechos humanos (derechos civiles y políticos) preparado por el Sr. L. Joinet de conformidad con la resolución 1996/119 de la Subcomisión de Prevención de Discriminaciones y Protección a las Minorías. Distr. GENERAL E/CN.4/Sub.2/199</w:t>
      </w:r>
      <w:r>
        <w:rPr>
          <w:rFonts w:ascii="Cambria" w:hAnsi="Cambria"/>
          <w:color w:val="000000" w:themeColor="text1"/>
          <w:sz w:val="16"/>
          <w:szCs w:val="16"/>
          <w:lang w:val="es-ES"/>
        </w:rPr>
        <w:t xml:space="preserve">7/20/Rev.1 2 de octubre de 1997. </w:t>
      </w:r>
      <w:r w:rsidRPr="001D321F">
        <w:rPr>
          <w:rFonts w:ascii="Cambria" w:hAnsi="Cambria"/>
          <w:color w:val="000000" w:themeColor="text1"/>
          <w:sz w:val="16"/>
          <w:szCs w:val="16"/>
          <w:lang w:val="es-ES"/>
        </w:rPr>
        <w:t>Original: francés. Accesible en: https://undocs.org/pdf?symbol=es/E/CN.4/Sub.2/1997/20/Rev.1</w:t>
      </w:r>
    </w:p>
  </w:footnote>
  <w:footnote w:id="207">
    <w:p w14:paraId="38295F3E" w14:textId="77777777" w:rsidR="00323FC1" w:rsidRPr="001D321F" w:rsidRDefault="00323FC1" w:rsidP="00F42FCB">
      <w:pPr>
        <w:rPr>
          <w:rFonts w:ascii="Cambria" w:hAnsi="Cambria"/>
          <w:color w:val="000000" w:themeColor="text1"/>
          <w:sz w:val="16"/>
          <w:szCs w:val="16"/>
          <w:lang w:val="es-US" w:eastAsia="es-ES_tradnl"/>
        </w:rPr>
      </w:pPr>
      <w:r w:rsidRPr="001D321F">
        <w:rPr>
          <w:rStyle w:val="FootnoteReference"/>
          <w:rFonts w:ascii="Cambria" w:hAnsi="Cambria"/>
          <w:color w:val="000000" w:themeColor="text1"/>
          <w:sz w:val="16"/>
          <w:szCs w:val="16"/>
          <w:lang w:val="es-ES"/>
        </w:rPr>
        <w:footnoteRef/>
      </w:r>
      <w:r w:rsidRPr="00D94A73">
        <w:rPr>
          <w:rStyle w:val="FootnoteReference"/>
          <w:rFonts w:ascii="Cambria" w:hAnsi="Cambria"/>
          <w:color w:val="000000" w:themeColor="text1"/>
          <w:sz w:val="16"/>
          <w:szCs w:val="16"/>
          <w:lang w:val="pt-BR"/>
        </w:rPr>
        <w:t xml:space="preserve"> </w:t>
      </w:r>
      <w:r w:rsidRPr="00D94A73">
        <w:rPr>
          <w:rFonts w:ascii="Cambria" w:hAnsi="Cambria" w:cs="Arial"/>
          <w:color w:val="000000" w:themeColor="text1"/>
          <w:sz w:val="16"/>
          <w:szCs w:val="16"/>
          <w:shd w:val="clear" w:color="auto" w:fill="FFFFFF"/>
          <w:lang w:val="pt-BR"/>
        </w:rPr>
        <w:t xml:space="preserve">Corte IDH. Caso Cantos Vs. </w:t>
      </w:r>
      <w:r w:rsidRPr="001D321F">
        <w:rPr>
          <w:rFonts w:ascii="Cambria" w:hAnsi="Cambria" w:cs="Arial"/>
          <w:color w:val="000000" w:themeColor="text1"/>
          <w:sz w:val="16"/>
          <w:szCs w:val="16"/>
          <w:shd w:val="clear" w:color="auto" w:fill="FFFFFF"/>
          <w:lang w:val="es-US"/>
        </w:rPr>
        <w:t>Argentina. Fondo, Reparaciones y Costas. Sentencia de 28 de noviembre de 2002. Serie C No. 97.</w:t>
      </w:r>
      <w:r w:rsidRPr="001D321F">
        <w:rPr>
          <w:rStyle w:val="apple-converted-space"/>
          <w:rFonts w:ascii="Cambria" w:hAnsi="Cambria" w:cs="Arial"/>
          <w:color w:val="000000" w:themeColor="text1"/>
          <w:sz w:val="16"/>
          <w:szCs w:val="16"/>
          <w:shd w:val="clear" w:color="auto" w:fill="FFFFFF"/>
          <w:lang w:val="es-US"/>
        </w:rPr>
        <w:t>, párr. 54.</w:t>
      </w:r>
    </w:p>
  </w:footnote>
  <w:footnote w:id="208">
    <w:p w14:paraId="263795C2" w14:textId="77777777" w:rsidR="00323FC1" w:rsidRPr="001D321F" w:rsidRDefault="00323FC1" w:rsidP="00F42FCB">
      <w:pPr>
        <w:pStyle w:val="FootnoteText"/>
        <w:jc w:val="both"/>
        <w:rPr>
          <w:rFonts w:ascii="Cambria" w:hAnsi="Cambria"/>
          <w:color w:val="000000" w:themeColor="text1"/>
          <w:sz w:val="16"/>
          <w:szCs w:val="16"/>
          <w:lang w:val="es-ES"/>
        </w:rPr>
      </w:pPr>
      <w:r w:rsidRPr="001D321F">
        <w:rPr>
          <w:rStyle w:val="FootnoteReference"/>
          <w:rFonts w:ascii="Cambria" w:hAnsi="Cambria"/>
          <w:color w:val="000000" w:themeColor="text1"/>
          <w:sz w:val="16"/>
          <w:szCs w:val="16"/>
        </w:rPr>
        <w:footnoteRef/>
      </w:r>
      <w:r w:rsidRPr="001D321F">
        <w:rPr>
          <w:rFonts w:ascii="Cambria" w:hAnsi="Cambria"/>
          <w:color w:val="000000" w:themeColor="text1"/>
          <w:sz w:val="16"/>
          <w:szCs w:val="16"/>
          <w:lang w:val="es-ES"/>
        </w:rPr>
        <w:t xml:space="preserve"> </w:t>
      </w:r>
      <w:r w:rsidRPr="001D321F">
        <w:rPr>
          <w:rFonts w:ascii="Cambria" w:hAnsi="Cambria" w:cstheme="minorHAnsi"/>
          <w:color w:val="000000" w:themeColor="text1"/>
          <w:sz w:val="16"/>
          <w:szCs w:val="16"/>
          <w:lang w:val="es-ES"/>
        </w:rPr>
        <w:t>Comunicado de prensa 60/17, CIDH expresa preocupación por decisión de la Corte Suprema de Justicia de Argentina, 15 de mayo de 2017.</w:t>
      </w:r>
    </w:p>
  </w:footnote>
  <w:footnote w:id="209">
    <w:p w14:paraId="3D78EAD9" w14:textId="77777777" w:rsidR="00323FC1" w:rsidRPr="001D321F" w:rsidRDefault="00323FC1" w:rsidP="001D321F">
      <w:pPr>
        <w:rPr>
          <w:rFonts w:ascii="Cambria" w:hAnsi="Cambria"/>
          <w:color w:val="000000" w:themeColor="text1"/>
          <w:sz w:val="16"/>
          <w:szCs w:val="16"/>
          <w:lang w:val="es-US" w:eastAsia="es-ES_tradnl"/>
        </w:rPr>
      </w:pPr>
      <w:r w:rsidRPr="001D321F">
        <w:rPr>
          <w:rStyle w:val="FootnoteReference"/>
          <w:rFonts w:ascii="Cambria" w:hAnsi="Cambria"/>
          <w:color w:val="000000" w:themeColor="text1"/>
          <w:sz w:val="16"/>
          <w:szCs w:val="16"/>
        </w:rPr>
        <w:footnoteRef/>
      </w:r>
      <w:r w:rsidRPr="001D321F">
        <w:rPr>
          <w:rFonts w:ascii="Cambria" w:hAnsi="Cambria"/>
          <w:color w:val="000000" w:themeColor="text1"/>
          <w:sz w:val="16"/>
          <w:szCs w:val="16"/>
          <w:lang w:val="es-US"/>
        </w:rPr>
        <w:t xml:space="preserve"> </w:t>
      </w:r>
      <w:r w:rsidRPr="001D321F">
        <w:rPr>
          <w:rFonts w:ascii="Cambria" w:hAnsi="Cambria" w:cs="Arial"/>
          <w:color w:val="000000" w:themeColor="text1"/>
          <w:sz w:val="16"/>
          <w:szCs w:val="16"/>
          <w:shd w:val="clear" w:color="auto" w:fill="FFFFFF"/>
          <w:lang w:val="es-US"/>
        </w:rPr>
        <w:t>Corte IDH. Caso Herzog y otros Vs. Brasil. Excepciones Preliminares, Fondo, Reparaciones y Costas. Sentencia de 15 de marzo de 2018. Serie C No. 353, párr.222.</w:t>
      </w:r>
    </w:p>
  </w:footnote>
  <w:footnote w:id="210">
    <w:p w14:paraId="62D66996" w14:textId="77777777" w:rsidR="00323FC1" w:rsidRPr="001D321F" w:rsidRDefault="00323FC1" w:rsidP="009B7CBF">
      <w:pPr>
        <w:pStyle w:val="FootnoteText"/>
        <w:jc w:val="both"/>
        <w:rPr>
          <w:rFonts w:ascii="Cambria" w:hAnsi="Cambria"/>
          <w:color w:val="000000" w:themeColor="text1"/>
          <w:sz w:val="16"/>
          <w:szCs w:val="16"/>
          <w:lang w:val="es-AR"/>
        </w:rPr>
      </w:pPr>
      <w:r w:rsidRPr="001D321F">
        <w:rPr>
          <w:rStyle w:val="FootnoteReference"/>
          <w:rFonts w:ascii="Cambria" w:hAnsi="Cambria"/>
          <w:color w:val="000000" w:themeColor="text1"/>
          <w:sz w:val="16"/>
          <w:szCs w:val="16"/>
        </w:rPr>
        <w:footnoteRef/>
      </w:r>
      <w:r w:rsidRPr="001D321F">
        <w:rPr>
          <w:rFonts w:ascii="Cambria" w:hAnsi="Cambria"/>
          <w:color w:val="000000" w:themeColor="text1"/>
          <w:sz w:val="16"/>
          <w:szCs w:val="16"/>
          <w:lang w:val="es-AR"/>
        </w:rPr>
        <w:t xml:space="preserve"> </w:t>
      </w:r>
      <w:r w:rsidRPr="001D321F">
        <w:rPr>
          <w:rFonts w:ascii="Cambria" w:hAnsi="Cambria"/>
          <w:color w:val="000000" w:themeColor="text1"/>
          <w:sz w:val="16"/>
          <w:szCs w:val="16"/>
          <w:lang w:val="es-ES"/>
        </w:rPr>
        <w:t xml:space="preserve">En el mismo sentido, el  Secretario General de Naciones Unidas sobre la cuestión del castigo de los criminales de guerra y los individuos  culpables de los crímenes contra la humanidad y la aplicación de la prescripción, en el ha resaltado que la imprescriptibilidad se deduce de la gravedad de dichas conductas y que su  diferencia con delitos de derecho interno adviene de la necesidad de represión eficaz de los  graves crímenes conforme al derecho internacional, de la conciencia universal contra la  impunidad de tales crímenes, y porque su falta de sanción provoca reacciones violentas de amplio alcance. </w:t>
      </w:r>
      <w:r w:rsidRPr="001D321F">
        <w:rPr>
          <w:rFonts w:ascii="Cambria" w:hAnsi="Cambria"/>
          <w:color w:val="000000" w:themeColor="text1"/>
          <w:sz w:val="16"/>
          <w:szCs w:val="16"/>
          <w:lang w:val="es-US"/>
        </w:rPr>
        <w:t>Ver</w:t>
      </w:r>
      <w:r w:rsidRPr="001D321F">
        <w:rPr>
          <w:rFonts w:ascii="Cambria" w:hAnsi="Cambria"/>
          <w:i/>
          <w:iCs/>
          <w:color w:val="000000" w:themeColor="text1"/>
          <w:sz w:val="16"/>
          <w:szCs w:val="16"/>
          <w:lang w:val="es-US"/>
        </w:rPr>
        <w:t xml:space="preserve"> </w:t>
      </w:r>
      <w:r w:rsidRPr="001D321F">
        <w:rPr>
          <w:rFonts w:ascii="Cambria" w:hAnsi="Cambria"/>
          <w:color w:val="000000" w:themeColor="text1"/>
          <w:sz w:val="16"/>
          <w:szCs w:val="16"/>
          <w:lang w:val="es-US"/>
        </w:rPr>
        <w:t xml:space="preserve">ONU. Comisión de Derechos Humanos. </w:t>
      </w:r>
      <w:r w:rsidRPr="001D321F">
        <w:rPr>
          <w:rFonts w:ascii="Cambria" w:hAnsi="Cambria"/>
          <w:i/>
          <w:iCs/>
          <w:color w:val="000000" w:themeColor="text1"/>
          <w:sz w:val="16"/>
          <w:szCs w:val="16"/>
          <w:lang w:val="es-US"/>
        </w:rPr>
        <w:t>Estudio presentado por el Secretario General sobre la cuestión de la inaplicabilidad de la prescripción a crímenes de guerra y crímenes de lesa humanidad</w:t>
      </w:r>
      <w:r w:rsidRPr="001D321F">
        <w:rPr>
          <w:rFonts w:ascii="Cambria" w:hAnsi="Cambria"/>
          <w:color w:val="000000" w:themeColor="text1"/>
          <w:sz w:val="16"/>
          <w:szCs w:val="16"/>
          <w:lang w:val="es-US"/>
        </w:rPr>
        <w:t xml:space="preserve">. E/CN.4/906. 15 de febrero de 1966, párr. 159. Asimismo, </w:t>
      </w:r>
      <w:r w:rsidRPr="001D321F">
        <w:rPr>
          <w:rFonts w:ascii="Cambria" w:hAnsi="Cambria"/>
          <w:color w:val="000000" w:themeColor="text1"/>
          <w:sz w:val="16"/>
          <w:szCs w:val="16"/>
          <w:lang w:val="es-ES"/>
        </w:rPr>
        <w:t>la Convención sobre la Imprescriptibilidad de los Crímenes de Guerra y de los Crímenes de Lesa Humanidad dispone en su artículo I que “l</w:t>
      </w:r>
      <w:r w:rsidRPr="001D321F">
        <w:rPr>
          <w:rFonts w:ascii="Cambria" w:hAnsi="Cambria"/>
          <w:color w:val="000000" w:themeColor="text1"/>
          <w:sz w:val="16"/>
          <w:szCs w:val="16"/>
          <w:shd w:val="clear" w:color="auto" w:fill="FFFFFF"/>
          <w:lang w:val="es-ES"/>
        </w:rPr>
        <w:t>os crímenes de lesa humanidad cometidos tanto en tiempo de guerra como en tiempo de paz” son imprescriptibles cualquiera sea la fecha en que se hallan cometido y obliga a los Estados partes a “</w:t>
      </w:r>
      <w:r w:rsidRPr="001D321F">
        <w:rPr>
          <w:rFonts w:ascii="Cambria" w:hAnsi="Cambria"/>
          <w:color w:val="000000" w:themeColor="text1"/>
          <w:sz w:val="16"/>
          <w:szCs w:val="16"/>
          <w:lang w:val="es-ES"/>
        </w:rPr>
        <w:t xml:space="preserve">adoptar, con arreglo a sus respectivos procedimientos constitucionales, las medidas legislativas o de otra índole que fueran necesarias para que la prescripción de la acción penal o de la pena, establecida por ley o de otro modo, no se aplique a los crímenes mencionados en los artículos I y II de la presente Convención y, en caso de que exista, sea abolida”. Convención sobre la Imprescriptibilidad de los Crímenes de Guerra y de los Crímenes de Lesa Humanidad. </w:t>
      </w:r>
      <w:r w:rsidRPr="001D321F">
        <w:rPr>
          <w:rFonts w:ascii="Cambria" w:hAnsi="Cambria"/>
          <w:color w:val="000000" w:themeColor="text1"/>
          <w:sz w:val="16"/>
          <w:szCs w:val="16"/>
          <w:shd w:val="clear" w:color="auto" w:fill="FFFFFF"/>
          <w:lang w:val="es-AR"/>
        </w:rPr>
        <w:t xml:space="preserve">Adoptada y abierta a la firma, ratificación y adhesión por la Asamblea General en su resolución 2391 (XXIII), de 26 de noviembre de 1968. Accesible en: </w:t>
      </w:r>
      <w:hyperlink r:id="rId18" w:history="1">
        <w:r w:rsidRPr="001D321F">
          <w:rPr>
            <w:rStyle w:val="Hyperlink"/>
            <w:rFonts w:ascii="Cambria" w:hAnsi="Cambria"/>
            <w:color w:val="000000" w:themeColor="text1"/>
            <w:sz w:val="16"/>
            <w:szCs w:val="16"/>
            <w:shd w:val="clear" w:color="auto" w:fill="FFFFFF"/>
            <w:lang w:val="es-AR"/>
          </w:rPr>
          <w:t>https://www.ohchr.org/SP/ProfessionalInterest/Pages/WarCrimes.aspx</w:t>
        </w:r>
      </w:hyperlink>
      <w:r w:rsidRPr="001D321F">
        <w:rPr>
          <w:rFonts w:ascii="Cambria" w:hAnsi="Cambria"/>
          <w:color w:val="000000" w:themeColor="text1"/>
          <w:sz w:val="16"/>
          <w:szCs w:val="16"/>
          <w:shd w:val="clear" w:color="auto" w:fill="FFFFFF"/>
          <w:lang w:val="es-AR"/>
        </w:rPr>
        <w:t xml:space="preserve">. </w:t>
      </w:r>
      <w:r w:rsidRPr="001D321F">
        <w:rPr>
          <w:rFonts w:ascii="Cambria" w:hAnsi="Cambria"/>
          <w:color w:val="000000" w:themeColor="text1"/>
          <w:sz w:val="16"/>
          <w:szCs w:val="16"/>
          <w:lang w:val="es-ES"/>
        </w:rPr>
        <w:t>Por su parte, los principios Joinet consignan la necesidad de que los Estados incorporen “garantías contra las desviaciones a que pueda dar lugar el uso de la prescripción”</w:t>
      </w:r>
      <w:r w:rsidRPr="001D321F">
        <w:rPr>
          <w:rStyle w:val="FootnoteReference"/>
          <w:rFonts w:ascii="Cambria" w:hAnsi="Cambria"/>
          <w:color w:val="000000" w:themeColor="text1"/>
          <w:sz w:val="16"/>
          <w:szCs w:val="16"/>
          <w:lang w:val="es-ES"/>
        </w:rPr>
        <w:footnoteRef/>
      </w:r>
      <w:r w:rsidRPr="001D321F">
        <w:rPr>
          <w:rFonts w:ascii="Cambria" w:hAnsi="Cambria"/>
          <w:color w:val="000000" w:themeColor="text1"/>
          <w:sz w:val="16"/>
          <w:szCs w:val="16"/>
          <w:lang w:val="es-ES"/>
        </w:rPr>
        <w:t xml:space="preserve"> (principio 23) y resaltan que “la prescripción de una infracción penal, tanto en lo que respecta a las diligencias como a las penas, no podrá correr durante el período en que no existan recursos eficaces contra esa infracción. La prescripción no se aplicará a los delitos graves conforme al derecho internacional que sean por naturaleza imprescriptibles” (principio 24). ONU. Comisión de Derechos Humanos Informe final revisado acerca de la cuestión de la impunidad de los autores de violaciones de los derechos humanos (derechos civiles y políticos) preparado por el Sr. L. Joinet de conformidad con la resolución 1996/119 de la Subcomisión de Prevención de Discriminaciones y Protección a las Minorías. Distr. GENERAL E/CN.4/Sub.2/1997/20/Rev.1 2 de octubre de 1997 ESPAÑOL Original: francés. Accesible en: https://undocs.org/pdf?symbol=es/E/CN.4/Sub.2/1997/20/Rev.1</w:t>
      </w:r>
    </w:p>
  </w:footnote>
  <w:footnote w:id="211">
    <w:p w14:paraId="569D88C4" w14:textId="77777777" w:rsidR="00323FC1" w:rsidRPr="001D321F" w:rsidRDefault="00323FC1" w:rsidP="009B7CBF">
      <w:pPr>
        <w:jc w:val="both"/>
        <w:rPr>
          <w:rFonts w:ascii="Cambria" w:hAnsi="Cambria"/>
          <w:color w:val="000000" w:themeColor="text1"/>
          <w:sz w:val="16"/>
          <w:szCs w:val="16"/>
          <w:lang w:val="es-AR"/>
        </w:rPr>
      </w:pPr>
      <w:r w:rsidRPr="001D321F">
        <w:rPr>
          <w:rStyle w:val="FootnoteReference"/>
          <w:rFonts w:ascii="Cambria" w:hAnsi="Cambria"/>
          <w:color w:val="000000" w:themeColor="text1"/>
          <w:sz w:val="16"/>
          <w:szCs w:val="16"/>
        </w:rPr>
        <w:footnoteRef/>
      </w:r>
      <w:r w:rsidRPr="001D321F">
        <w:rPr>
          <w:rFonts w:ascii="Cambria" w:hAnsi="Cambria"/>
          <w:color w:val="000000" w:themeColor="text1"/>
          <w:sz w:val="16"/>
          <w:szCs w:val="16"/>
          <w:lang w:val="es-AR"/>
        </w:rPr>
        <w:t xml:space="preserve"> </w:t>
      </w:r>
      <w:r w:rsidRPr="001D321F">
        <w:rPr>
          <w:rFonts w:ascii="Cambria" w:hAnsi="Cambria"/>
          <w:color w:val="000000" w:themeColor="text1"/>
          <w:sz w:val="16"/>
          <w:szCs w:val="16"/>
          <w:shd w:val="clear" w:color="auto" w:fill="FFFFFF"/>
          <w:lang w:val="es-ES"/>
        </w:rPr>
        <w:t>Corte IDH. Caso Almonacid Arellano y otros Vs. Chile. Excepciones Preliminares, Fondo, Reparaciones y Costas. Sentencia de 26 de septiembre de 2006. Serie C No. 154 párr. 90.</w:t>
      </w:r>
      <w:r w:rsidRPr="001D321F">
        <w:rPr>
          <w:rFonts w:ascii="Cambria" w:hAnsi="Cambria" w:cs="Arial"/>
          <w:color w:val="000000" w:themeColor="text1"/>
          <w:sz w:val="16"/>
          <w:szCs w:val="16"/>
          <w:shd w:val="clear" w:color="auto" w:fill="FFFFFF"/>
          <w:lang w:val="es-AR"/>
        </w:rPr>
        <w:t xml:space="preserve"> </w:t>
      </w:r>
    </w:p>
  </w:footnote>
  <w:footnote w:id="212">
    <w:p w14:paraId="7494A8E8" w14:textId="77777777" w:rsidR="00323FC1" w:rsidRPr="001D321F" w:rsidRDefault="00323FC1" w:rsidP="009B7CBF">
      <w:pPr>
        <w:jc w:val="both"/>
        <w:rPr>
          <w:rFonts w:ascii="Cambria" w:hAnsi="Cambria"/>
          <w:color w:val="000000" w:themeColor="text1"/>
          <w:sz w:val="16"/>
          <w:szCs w:val="16"/>
          <w:lang w:val="es-US" w:eastAsia="es-ES_tradnl"/>
        </w:rPr>
      </w:pPr>
      <w:r w:rsidRPr="001D321F">
        <w:rPr>
          <w:rStyle w:val="FootnoteReference"/>
          <w:rFonts w:ascii="Cambria" w:hAnsi="Cambria"/>
          <w:color w:val="000000" w:themeColor="text1"/>
          <w:sz w:val="16"/>
          <w:szCs w:val="16"/>
        </w:rPr>
        <w:footnoteRef/>
      </w:r>
      <w:r w:rsidRPr="001D321F">
        <w:rPr>
          <w:rFonts w:ascii="Cambria" w:hAnsi="Cambria"/>
          <w:color w:val="000000" w:themeColor="text1"/>
          <w:sz w:val="16"/>
          <w:szCs w:val="16"/>
          <w:lang w:val="es-US"/>
        </w:rPr>
        <w:t xml:space="preserve"> </w:t>
      </w:r>
      <w:r w:rsidRPr="001D321F">
        <w:rPr>
          <w:rFonts w:ascii="Cambria" w:hAnsi="Cambria" w:cs="Arial"/>
          <w:color w:val="000000" w:themeColor="text1"/>
          <w:sz w:val="16"/>
          <w:szCs w:val="16"/>
          <w:shd w:val="clear" w:color="auto" w:fill="FFFFFF"/>
          <w:lang w:val="es-US"/>
        </w:rPr>
        <w:t xml:space="preserve">Corte IDH. Caso Órdenes Guerra y otros Vs. Chile. Fondo, Reparaciones y Costas. </w:t>
      </w:r>
      <w:r w:rsidRPr="00076984">
        <w:rPr>
          <w:rFonts w:ascii="Cambria" w:hAnsi="Cambria" w:cs="Arial"/>
          <w:color w:val="000000" w:themeColor="text1"/>
          <w:sz w:val="16"/>
          <w:szCs w:val="16"/>
          <w:shd w:val="clear" w:color="auto" w:fill="FFFFFF"/>
          <w:lang w:val="es-AR"/>
        </w:rPr>
        <w:t>Sentencia de 29 de noviembre de 2018. Serie C No. 372., párr.77.</w:t>
      </w:r>
    </w:p>
  </w:footnote>
  <w:footnote w:id="213">
    <w:p w14:paraId="0620C718" w14:textId="77777777" w:rsidR="00323FC1" w:rsidRPr="001D321F" w:rsidRDefault="00323FC1" w:rsidP="00003620">
      <w:pPr>
        <w:pStyle w:val="FootnoteText"/>
        <w:jc w:val="both"/>
        <w:rPr>
          <w:rFonts w:ascii="Cambria" w:hAnsi="Cambria"/>
          <w:color w:val="000000" w:themeColor="text1"/>
          <w:sz w:val="16"/>
          <w:szCs w:val="16"/>
          <w:lang w:val="es-ES"/>
        </w:rPr>
      </w:pPr>
      <w:r w:rsidRPr="001D321F">
        <w:rPr>
          <w:rStyle w:val="FootnoteReference"/>
          <w:rFonts w:ascii="Cambria" w:hAnsi="Cambria"/>
          <w:color w:val="000000" w:themeColor="text1"/>
          <w:sz w:val="16"/>
          <w:szCs w:val="16"/>
        </w:rPr>
        <w:footnoteRef/>
      </w:r>
      <w:r w:rsidRPr="001D321F">
        <w:rPr>
          <w:rFonts w:ascii="Cambria" w:hAnsi="Cambria"/>
          <w:color w:val="000000" w:themeColor="text1"/>
          <w:sz w:val="16"/>
          <w:szCs w:val="16"/>
          <w:lang w:val="es-ES"/>
        </w:rPr>
        <w:t xml:space="preserve"> </w:t>
      </w:r>
      <w:r w:rsidRPr="001D321F">
        <w:rPr>
          <w:rFonts w:ascii="Cambria" w:hAnsi="Cambria" w:cstheme="minorHAnsi"/>
          <w:color w:val="000000" w:themeColor="text1"/>
          <w:sz w:val="16"/>
          <w:szCs w:val="16"/>
          <w:lang w:val="es-ES"/>
        </w:rPr>
        <w:t>Comunicado de prensa 60/17, CIDH expresa preocupación por decisión de la Corte Suprema de Justicia de Argentina, 15 de mayo de 2017.</w:t>
      </w:r>
    </w:p>
  </w:footnote>
  <w:footnote w:id="214">
    <w:p w14:paraId="32828C1B" w14:textId="77777777" w:rsidR="00323FC1" w:rsidRPr="001D321F" w:rsidRDefault="00323FC1" w:rsidP="001D321F">
      <w:pPr>
        <w:pStyle w:val="FootnoteText"/>
        <w:jc w:val="both"/>
        <w:rPr>
          <w:rFonts w:ascii="Cambria" w:hAnsi="Cambria"/>
          <w:color w:val="000000" w:themeColor="text1"/>
          <w:sz w:val="16"/>
          <w:szCs w:val="16"/>
          <w:lang w:val="es-ES"/>
        </w:rPr>
      </w:pPr>
      <w:r w:rsidRPr="001D321F">
        <w:rPr>
          <w:rStyle w:val="FootnoteReference"/>
          <w:rFonts w:ascii="Cambria" w:eastAsia="Times New Roman" w:hAnsi="Cambria" w:cs="Times New Roman"/>
          <w:color w:val="000000" w:themeColor="text1"/>
          <w:sz w:val="16"/>
          <w:szCs w:val="16"/>
          <w:bdr w:val="none" w:sz="0" w:space="0" w:color="auto"/>
          <w:lang w:val="es-ES" w:eastAsia="en-US"/>
        </w:rPr>
        <w:footnoteRef/>
      </w:r>
      <w:r w:rsidRPr="00E019A9">
        <w:rPr>
          <w:rFonts w:ascii="Cambria" w:hAnsi="Cambria"/>
          <w:color w:val="000000" w:themeColor="text1"/>
          <w:sz w:val="16"/>
          <w:szCs w:val="16"/>
          <w:lang w:val="pt-BR"/>
        </w:rPr>
        <w:t xml:space="preserve"> Corte IDH. Caso Usón Ramírez Vs. </w:t>
      </w:r>
      <w:r w:rsidRPr="001D321F">
        <w:rPr>
          <w:rFonts w:ascii="Cambria" w:hAnsi="Cambria"/>
          <w:color w:val="000000" w:themeColor="text1"/>
          <w:sz w:val="16"/>
          <w:szCs w:val="16"/>
          <w:lang w:val="es-ES"/>
        </w:rPr>
        <w:t xml:space="preserve">Venezuela. Excepción Preliminar, Fondo, Reparaciones y Costas. Sentencia de 20 de noviembre de 2009. Serie C No. 207. Párr. 108; Corte IDH. Caso Vargas Areco Vs. Paraguay. Sentencia de 26 de septiembre de 2006. Serie C No. 155 párr. 108. </w:t>
      </w:r>
    </w:p>
  </w:footnote>
  <w:footnote w:id="215">
    <w:p w14:paraId="5545BDFA" w14:textId="77777777" w:rsidR="00323FC1" w:rsidRPr="00B36879" w:rsidRDefault="00323FC1" w:rsidP="006B07DC">
      <w:pPr>
        <w:pStyle w:val="FootnoteText"/>
        <w:jc w:val="both"/>
        <w:rPr>
          <w:rFonts w:ascii="Cambria" w:hAnsi="Cambria"/>
          <w:color w:val="000000" w:themeColor="text1"/>
          <w:sz w:val="16"/>
          <w:szCs w:val="16"/>
          <w:lang w:val="es-ES"/>
        </w:rPr>
      </w:pPr>
      <w:r w:rsidRPr="00B36879">
        <w:rPr>
          <w:rStyle w:val="FootnoteReference"/>
          <w:rFonts w:ascii="Cambria" w:eastAsia="Times New Roman" w:hAnsi="Cambria" w:cs="Times New Roman"/>
          <w:color w:val="000000" w:themeColor="text1"/>
          <w:sz w:val="16"/>
          <w:szCs w:val="16"/>
          <w:bdr w:val="none" w:sz="0" w:space="0" w:color="auto"/>
          <w:lang w:val="es-ES" w:eastAsia="en-US"/>
        </w:rPr>
        <w:footnoteRef/>
      </w:r>
      <w:r w:rsidRPr="00B36879">
        <w:rPr>
          <w:rStyle w:val="FootnoteReference"/>
          <w:rFonts w:ascii="Cambria" w:eastAsia="Times New Roman" w:hAnsi="Cambria" w:cs="Times New Roman"/>
          <w:color w:val="000000" w:themeColor="text1"/>
          <w:sz w:val="16"/>
          <w:szCs w:val="16"/>
          <w:bdr w:val="none" w:sz="0" w:space="0" w:color="auto"/>
          <w:lang w:val="es-ES" w:eastAsia="en-US"/>
        </w:rPr>
        <w:t xml:space="preserve"> </w:t>
      </w:r>
      <w:r w:rsidRPr="00B36879">
        <w:rPr>
          <w:rFonts w:ascii="Cambria" w:eastAsia="Times New Roman" w:hAnsi="Cambria" w:cs="Times New Roman"/>
          <w:color w:val="000000" w:themeColor="text1"/>
          <w:sz w:val="16"/>
          <w:szCs w:val="16"/>
          <w:bdr w:val="none" w:sz="0" w:space="0" w:color="auto"/>
          <w:lang w:val="es-ES" w:eastAsia="en-US"/>
        </w:rPr>
        <w:t>C</w:t>
      </w:r>
      <w:r w:rsidRPr="00B36879">
        <w:rPr>
          <w:rFonts w:ascii="Cambria" w:hAnsi="Cambria"/>
          <w:color w:val="000000" w:themeColor="text1"/>
          <w:sz w:val="16"/>
          <w:szCs w:val="16"/>
          <w:lang w:val="es-ES"/>
        </w:rPr>
        <w:t>orte IDH. Caso de la Masacre de La Rochela Vs. Colombia. Fondo, Reparaciones y Costas. Sentencia de 11 de mayo de 2007. Serie C No. 163 párr. 196.</w:t>
      </w:r>
    </w:p>
  </w:footnote>
  <w:footnote w:id="216">
    <w:p w14:paraId="6F95F550" w14:textId="77777777" w:rsidR="00323FC1" w:rsidRPr="00B36879" w:rsidRDefault="00323FC1" w:rsidP="006B07DC">
      <w:pPr>
        <w:pStyle w:val="FootnoteText"/>
        <w:jc w:val="both"/>
        <w:rPr>
          <w:rFonts w:ascii="Cambria" w:hAnsi="Cambria"/>
          <w:color w:val="000000" w:themeColor="text1"/>
          <w:sz w:val="16"/>
          <w:szCs w:val="16"/>
          <w:lang w:val="es-AR"/>
        </w:rPr>
      </w:pPr>
      <w:r w:rsidRPr="00B36879">
        <w:rPr>
          <w:rStyle w:val="FootnoteReference"/>
          <w:rFonts w:ascii="Cambria" w:hAnsi="Cambria"/>
          <w:color w:val="000000" w:themeColor="text1"/>
          <w:sz w:val="16"/>
          <w:szCs w:val="16"/>
        </w:rPr>
        <w:footnoteRef/>
      </w:r>
      <w:r w:rsidRPr="00B36879">
        <w:rPr>
          <w:rFonts w:ascii="Cambria" w:hAnsi="Cambria"/>
          <w:color w:val="000000" w:themeColor="text1"/>
          <w:sz w:val="16"/>
          <w:szCs w:val="16"/>
          <w:lang w:val="es-AR"/>
        </w:rPr>
        <w:t xml:space="preserve"> Corte IDH. Caso Manuel Cepeda Vargas Vs. Colombia. Excepciones Preliminares, Fondo, Reparaciones y Costas. Sentencia de 26 de mayo de 2010. Serie C No. 213 párr. 150. </w:t>
      </w:r>
    </w:p>
  </w:footnote>
  <w:footnote w:id="217">
    <w:p w14:paraId="66F0E191" w14:textId="77777777" w:rsidR="00323FC1" w:rsidRPr="00B36879" w:rsidRDefault="00323FC1" w:rsidP="006B07DC">
      <w:pPr>
        <w:pStyle w:val="FootnoteText"/>
        <w:jc w:val="both"/>
        <w:rPr>
          <w:rFonts w:ascii="Cambria" w:hAnsi="Cambria"/>
          <w:color w:val="000000" w:themeColor="text1"/>
          <w:sz w:val="16"/>
          <w:szCs w:val="16"/>
          <w:lang w:val="es-AR"/>
        </w:rPr>
      </w:pPr>
      <w:r w:rsidRPr="00B36879">
        <w:rPr>
          <w:rStyle w:val="FootnoteReference"/>
          <w:rFonts w:ascii="Cambria" w:hAnsi="Cambria"/>
          <w:color w:val="000000" w:themeColor="text1"/>
          <w:sz w:val="16"/>
          <w:szCs w:val="16"/>
        </w:rPr>
        <w:footnoteRef/>
      </w:r>
      <w:r w:rsidRPr="00B36879">
        <w:rPr>
          <w:rFonts w:ascii="Cambria" w:hAnsi="Cambria"/>
          <w:color w:val="000000" w:themeColor="text1"/>
          <w:sz w:val="16"/>
          <w:szCs w:val="16"/>
          <w:lang w:val="es-AR"/>
        </w:rPr>
        <w:t xml:space="preserve"> Corte IDH. Caso Manuel Cepeda Vargas Vs. Colombia. Excepciones Preliminares, Fondo, Reparaciones y Costas. Sentencia de 26 de mayo de 2010. Serie C No. 213 párr. 153. </w:t>
      </w:r>
    </w:p>
  </w:footnote>
  <w:footnote w:id="218">
    <w:p w14:paraId="420A59E8" w14:textId="77777777" w:rsidR="00323FC1" w:rsidRPr="00B36879" w:rsidRDefault="00323FC1" w:rsidP="00E9417D">
      <w:pPr>
        <w:pStyle w:val="FootnoteText"/>
        <w:jc w:val="both"/>
        <w:rPr>
          <w:rFonts w:ascii="Cambria" w:hAnsi="Cambria"/>
          <w:color w:val="000000" w:themeColor="text1"/>
          <w:sz w:val="16"/>
          <w:szCs w:val="16"/>
          <w:lang w:val="es-ES"/>
        </w:rPr>
      </w:pPr>
      <w:r w:rsidRPr="00B36879">
        <w:rPr>
          <w:rStyle w:val="FootnoteReference"/>
          <w:rFonts w:ascii="Cambria" w:hAnsi="Cambria"/>
          <w:color w:val="000000" w:themeColor="text1"/>
          <w:sz w:val="16"/>
          <w:szCs w:val="16"/>
        </w:rPr>
        <w:footnoteRef/>
      </w:r>
      <w:r w:rsidRPr="00B36879">
        <w:rPr>
          <w:rFonts w:ascii="Cambria" w:hAnsi="Cambria"/>
          <w:color w:val="000000" w:themeColor="text1"/>
          <w:sz w:val="16"/>
          <w:szCs w:val="16"/>
          <w:lang w:val="es-ES"/>
        </w:rPr>
        <w:t xml:space="preserve"> </w:t>
      </w:r>
      <w:r w:rsidRPr="00B36879">
        <w:rPr>
          <w:rFonts w:ascii="Cambria" w:hAnsi="Cambria" w:cstheme="minorHAnsi"/>
          <w:color w:val="000000" w:themeColor="text1"/>
          <w:sz w:val="16"/>
          <w:szCs w:val="16"/>
          <w:lang w:val="es-ES"/>
        </w:rPr>
        <w:t>Comunicado de prensa 60/17, CIDH expresa preocupación por decisión de la Corte Suprema de Justicia de Argentina, 15 de mayo de 2017.</w:t>
      </w:r>
    </w:p>
  </w:footnote>
  <w:footnote w:id="219">
    <w:p w14:paraId="2227F825" w14:textId="77777777" w:rsidR="00323FC1" w:rsidRPr="00337A67" w:rsidRDefault="00323FC1" w:rsidP="009B7CBF">
      <w:pPr>
        <w:pStyle w:val="FootnoteText"/>
        <w:spacing w:after="120"/>
        <w:jc w:val="both"/>
        <w:rPr>
          <w:rFonts w:ascii="Cambria" w:hAnsi="Cambria"/>
          <w:sz w:val="16"/>
          <w:szCs w:val="16"/>
          <w:lang w:val="es-ES"/>
        </w:rPr>
      </w:pPr>
      <w:r w:rsidRPr="00337A67">
        <w:rPr>
          <w:rStyle w:val="FootnoteReference"/>
          <w:rFonts w:ascii="Cambria" w:hAnsi="Cambria"/>
          <w:sz w:val="16"/>
          <w:szCs w:val="16"/>
        </w:rPr>
        <w:footnoteRef/>
      </w:r>
      <w:r w:rsidRPr="00337A67">
        <w:rPr>
          <w:rFonts w:ascii="Cambria" w:hAnsi="Cambria"/>
          <w:sz w:val="16"/>
          <w:szCs w:val="16"/>
          <w:lang w:val="es-AR"/>
        </w:rPr>
        <w:t xml:space="preserve"> </w:t>
      </w:r>
      <w:r w:rsidRPr="00337A67">
        <w:rPr>
          <w:rFonts w:ascii="Cambria" w:hAnsi="Cambria"/>
          <w:sz w:val="16"/>
          <w:szCs w:val="16"/>
          <w:lang w:val="es-CR"/>
        </w:rPr>
        <w:t>CIDH. Verdad, justicia y reparación. Informe sobre la Situación de los Derechos Humanos en Colombia. OEA/Ser.L/V/II.Doc. 49/1331 diciembre 2013. Párr. 285. Citando:</w:t>
      </w:r>
      <w:r w:rsidRPr="00337A67">
        <w:rPr>
          <w:rFonts w:ascii="Cambria" w:hAnsi="Cambria"/>
          <w:sz w:val="16"/>
          <w:szCs w:val="16"/>
          <w:lang w:val="es-AR"/>
        </w:rPr>
        <w:t xml:space="preserve"> Cfr. </w:t>
      </w:r>
      <w:r w:rsidRPr="00337A67">
        <w:rPr>
          <w:rFonts w:ascii="Cambria" w:hAnsi="Cambria"/>
          <w:bCs/>
          <w:sz w:val="16"/>
          <w:szCs w:val="16"/>
          <w:lang w:val="es-AR"/>
        </w:rPr>
        <w:t>CIDH, Pronunciamiento de la Comisión Interamericana de Derechos Humanos sobre la aplicación y el alcance de la Ley de Justicia y Paz en la República de Colombia, 2006,</w:t>
      </w:r>
      <w:r w:rsidRPr="00337A67">
        <w:rPr>
          <w:rFonts w:ascii="Cambria" w:hAnsi="Cambria"/>
          <w:sz w:val="16"/>
          <w:szCs w:val="16"/>
          <w:lang w:val="es-AR"/>
        </w:rPr>
        <w:t xml:space="preserve"> párr. 3.</w:t>
      </w:r>
    </w:p>
  </w:footnote>
  <w:footnote w:id="220">
    <w:p w14:paraId="72675544" w14:textId="77777777" w:rsidR="00323FC1" w:rsidRPr="00B36879" w:rsidRDefault="00323FC1" w:rsidP="00634FD5">
      <w:pPr>
        <w:pStyle w:val="FootnoteText"/>
        <w:jc w:val="both"/>
        <w:rPr>
          <w:rFonts w:ascii="Cambria" w:hAnsi="Cambria"/>
          <w:color w:val="000000" w:themeColor="text1"/>
          <w:sz w:val="16"/>
          <w:szCs w:val="16"/>
          <w:lang w:val="es-ES"/>
        </w:rPr>
      </w:pPr>
      <w:r w:rsidRPr="00B36879">
        <w:rPr>
          <w:rStyle w:val="FootnoteReference"/>
          <w:rFonts w:ascii="Cambria" w:hAnsi="Cambria"/>
          <w:color w:val="000000" w:themeColor="text1"/>
          <w:sz w:val="16"/>
          <w:szCs w:val="16"/>
          <w:lang w:val="es-ES"/>
        </w:rPr>
        <w:footnoteRef/>
      </w:r>
      <w:r w:rsidRPr="00B36879">
        <w:rPr>
          <w:rFonts w:ascii="Cambria" w:hAnsi="Cambria"/>
          <w:color w:val="000000" w:themeColor="text1"/>
          <w:sz w:val="16"/>
          <w:szCs w:val="16"/>
          <w:lang w:val="es-ES"/>
        </w:rPr>
        <w:t xml:space="preserve"> Escrito de observaciones adicionales sobre el fondo suscripto por el Director de Derechos Humanos (S) del Ministerio de Relaciones Exteriores de Chile recibido por la Comisión con fecha 26 de octubre de 2017, págs. 18 y 19</w:t>
      </w:r>
    </w:p>
  </w:footnote>
  <w:footnote w:id="221">
    <w:p w14:paraId="013F09E4" w14:textId="77777777" w:rsidR="00323FC1" w:rsidRPr="00337A67" w:rsidRDefault="00323FC1" w:rsidP="00634FD5">
      <w:pPr>
        <w:pStyle w:val="FootnoteText"/>
        <w:jc w:val="both"/>
        <w:rPr>
          <w:rFonts w:ascii="Cambria" w:hAnsi="Cambria"/>
          <w:sz w:val="16"/>
          <w:szCs w:val="16"/>
          <w:lang w:val="es-ES"/>
        </w:rPr>
      </w:pPr>
      <w:r w:rsidRPr="00337A67">
        <w:rPr>
          <w:rStyle w:val="FootnoteReference"/>
          <w:rFonts w:ascii="Cambria" w:hAnsi="Cambria"/>
          <w:sz w:val="16"/>
          <w:szCs w:val="16"/>
        </w:rPr>
        <w:footnoteRef/>
      </w:r>
      <w:r w:rsidRPr="00337A67">
        <w:rPr>
          <w:rFonts w:ascii="Cambria" w:hAnsi="Cambria"/>
          <w:sz w:val="16"/>
          <w:szCs w:val="16"/>
          <w:vertAlign w:val="superscript"/>
          <w:lang w:val="es-ES"/>
        </w:rPr>
        <w:t xml:space="preserve"> </w:t>
      </w:r>
      <w:r w:rsidRPr="00337A67">
        <w:rPr>
          <w:rFonts w:ascii="Cambria" w:hAnsi="Cambria"/>
          <w:sz w:val="16"/>
          <w:szCs w:val="16"/>
          <w:lang w:val="es-ES_tradnl"/>
        </w:rPr>
        <w:t xml:space="preserve">CIDH. Informe No. 52/16. Caso 12.521. Fondo. María Laura Órdenes Guerra y otros. Chile. 30 de noviembre de 2016. Párr. 130. </w:t>
      </w:r>
    </w:p>
  </w:footnote>
  <w:footnote w:id="222">
    <w:p w14:paraId="6A6B30CA" w14:textId="77777777" w:rsidR="00323FC1" w:rsidRPr="00B36879" w:rsidRDefault="00323FC1" w:rsidP="00634FD5">
      <w:pPr>
        <w:jc w:val="both"/>
        <w:rPr>
          <w:rFonts w:ascii="Cambria" w:hAnsi="Cambria"/>
          <w:color w:val="000000" w:themeColor="text1"/>
          <w:sz w:val="16"/>
          <w:szCs w:val="16"/>
          <w:lang w:val="es-US" w:eastAsia="es-ES_tradnl"/>
        </w:rPr>
      </w:pPr>
      <w:r w:rsidRPr="00B36879">
        <w:rPr>
          <w:rStyle w:val="FootnoteReference"/>
          <w:rFonts w:ascii="Cambria" w:hAnsi="Cambria"/>
          <w:color w:val="000000" w:themeColor="text1"/>
          <w:sz w:val="16"/>
          <w:szCs w:val="16"/>
        </w:rPr>
        <w:footnoteRef/>
      </w:r>
      <w:r w:rsidRPr="00B36879">
        <w:rPr>
          <w:rFonts w:ascii="Cambria" w:hAnsi="Cambria"/>
          <w:color w:val="000000" w:themeColor="text1"/>
          <w:sz w:val="16"/>
          <w:szCs w:val="16"/>
          <w:lang w:val="es-US"/>
        </w:rPr>
        <w:t xml:space="preserve"> </w:t>
      </w:r>
      <w:r w:rsidRPr="00B36879">
        <w:rPr>
          <w:rFonts w:ascii="Cambria" w:hAnsi="Cambria" w:cs="Arial"/>
          <w:color w:val="000000" w:themeColor="text1"/>
          <w:sz w:val="16"/>
          <w:szCs w:val="16"/>
          <w:shd w:val="clear" w:color="auto" w:fill="FFFFFF"/>
          <w:lang w:val="es-US"/>
        </w:rPr>
        <w:t xml:space="preserve">Corte IDH. Caso Órdenes Guerra y otros Vs. Chile. Fondo, Reparaciones y Costas. </w:t>
      </w:r>
      <w:r w:rsidRPr="001D321F">
        <w:rPr>
          <w:rFonts w:ascii="Cambria" w:hAnsi="Cambria" w:cs="Arial"/>
          <w:color w:val="000000" w:themeColor="text1"/>
          <w:sz w:val="16"/>
          <w:szCs w:val="16"/>
          <w:shd w:val="clear" w:color="auto" w:fill="FFFFFF"/>
          <w:lang w:val="es-US"/>
        </w:rPr>
        <w:t>Sentencia de 29 de noviembre de 20</w:t>
      </w:r>
      <w:r>
        <w:rPr>
          <w:rFonts w:ascii="Cambria" w:hAnsi="Cambria" w:cs="Arial"/>
          <w:color w:val="000000" w:themeColor="text1"/>
          <w:sz w:val="16"/>
          <w:szCs w:val="16"/>
          <w:shd w:val="clear" w:color="auto" w:fill="FFFFFF"/>
          <w:lang w:val="es-US"/>
        </w:rPr>
        <w:t>18. Serie C No. 372.</w:t>
      </w:r>
      <w:r w:rsidRPr="001D321F">
        <w:rPr>
          <w:rFonts w:ascii="Cambria" w:hAnsi="Cambria" w:cs="Arial"/>
          <w:color w:val="000000" w:themeColor="text1"/>
          <w:sz w:val="16"/>
          <w:szCs w:val="16"/>
          <w:shd w:val="clear" w:color="auto" w:fill="FFFFFF"/>
          <w:lang w:val="es-US"/>
        </w:rPr>
        <w:t xml:space="preserve"> párr.77.</w:t>
      </w:r>
    </w:p>
  </w:footnote>
  <w:footnote w:id="223">
    <w:p w14:paraId="2D3BA1BB" w14:textId="77777777" w:rsidR="00323FC1" w:rsidRPr="001D321F" w:rsidRDefault="00323FC1" w:rsidP="001D321F">
      <w:pPr>
        <w:pStyle w:val="FootnoteText"/>
        <w:jc w:val="both"/>
        <w:rPr>
          <w:rFonts w:ascii="Cambria" w:hAnsi="Cambria"/>
          <w:color w:val="000000" w:themeColor="text1"/>
          <w:sz w:val="16"/>
          <w:szCs w:val="16"/>
          <w:lang w:val="es-ES"/>
        </w:rPr>
      </w:pPr>
      <w:r w:rsidRPr="001D321F">
        <w:rPr>
          <w:rStyle w:val="FootnoteReference"/>
          <w:rFonts w:ascii="Cambria" w:hAnsi="Cambria"/>
          <w:color w:val="000000" w:themeColor="text1"/>
          <w:sz w:val="16"/>
          <w:szCs w:val="16"/>
          <w:lang w:val="es-ES"/>
        </w:rPr>
        <w:footnoteRef/>
      </w:r>
      <w:r w:rsidRPr="001D321F">
        <w:rPr>
          <w:rFonts w:ascii="Cambria" w:hAnsi="Cambria"/>
          <w:color w:val="000000" w:themeColor="text1"/>
          <w:sz w:val="16"/>
          <w:szCs w:val="16"/>
          <w:lang w:val="es-ES"/>
        </w:rPr>
        <w:t xml:space="preserve"> Ver </w:t>
      </w:r>
      <w:r w:rsidRPr="001D321F">
        <w:rPr>
          <w:rFonts w:ascii="Cambria" w:hAnsi="Cambria"/>
          <w:i/>
          <w:color w:val="000000" w:themeColor="text1"/>
          <w:sz w:val="16"/>
          <w:szCs w:val="16"/>
          <w:lang w:val="es-ES"/>
        </w:rPr>
        <w:t>supra </w:t>
      </w:r>
      <w:r w:rsidRPr="001D321F">
        <w:rPr>
          <w:rFonts w:ascii="Cambria" w:hAnsi="Cambria"/>
          <w:color w:val="000000" w:themeColor="text1"/>
          <w:sz w:val="16"/>
          <w:szCs w:val="16"/>
          <w:lang w:val="es-ES"/>
        </w:rPr>
        <w:t>párr. 138</w:t>
      </w:r>
    </w:p>
  </w:footnote>
  <w:footnote w:id="224">
    <w:p w14:paraId="63B85AE6" w14:textId="77777777" w:rsidR="00323FC1" w:rsidRPr="001D321F" w:rsidRDefault="00323FC1" w:rsidP="001D321F">
      <w:pPr>
        <w:pStyle w:val="FootnoteText"/>
        <w:jc w:val="both"/>
        <w:rPr>
          <w:rFonts w:ascii="Cambria" w:hAnsi="Cambria"/>
          <w:color w:val="000000" w:themeColor="text1"/>
          <w:sz w:val="16"/>
          <w:szCs w:val="16"/>
          <w:lang w:val="es-ES"/>
        </w:rPr>
      </w:pPr>
      <w:r w:rsidRPr="001D321F">
        <w:rPr>
          <w:rStyle w:val="FootnoteReference"/>
          <w:rFonts w:ascii="Cambria" w:hAnsi="Cambria"/>
          <w:color w:val="000000" w:themeColor="text1"/>
          <w:sz w:val="16"/>
          <w:szCs w:val="16"/>
          <w:lang w:val="es-ES"/>
        </w:rPr>
        <w:footnoteRef/>
      </w:r>
      <w:r w:rsidRPr="001D321F">
        <w:rPr>
          <w:rFonts w:ascii="Cambria" w:hAnsi="Cambria"/>
          <w:color w:val="000000" w:themeColor="text1"/>
          <w:sz w:val="16"/>
          <w:szCs w:val="16"/>
          <w:lang w:val="es-ES"/>
        </w:rPr>
        <w:t xml:space="preserve"> Ver </w:t>
      </w:r>
      <w:r w:rsidRPr="001D321F">
        <w:rPr>
          <w:rFonts w:ascii="Cambria" w:hAnsi="Cambria"/>
          <w:i/>
          <w:color w:val="000000" w:themeColor="text1"/>
          <w:sz w:val="16"/>
          <w:szCs w:val="16"/>
          <w:lang w:val="es-ES"/>
        </w:rPr>
        <w:t>supra</w:t>
      </w:r>
      <w:r w:rsidRPr="001D321F">
        <w:rPr>
          <w:rFonts w:ascii="Cambria" w:hAnsi="Cambria"/>
          <w:color w:val="000000" w:themeColor="text1"/>
          <w:sz w:val="16"/>
          <w:szCs w:val="16"/>
          <w:lang w:val="es-ES"/>
        </w:rPr>
        <w:t xml:space="preserve"> párr. 165</w:t>
      </w:r>
    </w:p>
  </w:footnote>
  <w:footnote w:id="225">
    <w:p w14:paraId="32840CD6" w14:textId="77777777" w:rsidR="00323FC1" w:rsidRPr="001D321F" w:rsidRDefault="00323FC1" w:rsidP="001D321F">
      <w:pPr>
        <w:pStyle w:val="FootnoteText"/>
        <w:jc w:val="both"/>
        <w:rPr>
          <w:rFonts w:ascii="Cambria" w:hAnsi="Cambria"/>
          <w:color w:val="000000" w:themeColor="text1"/>
          <w:sz w:val="16"/>
          <w:szCs w:val="16"/>
          <w:lang w:val="es-ES"/>
        </w:rPr>
      </w:pPr>
      <w:r w:rsidRPr="001D321F">
        <w:rPr>
          <w:rStyle w:val="FootnoteReference"/>
          <w:rFonts w:ascii="Cambria" w:hAnsi="Cambria"/>
          <w:color w:val="000000" w:themeColor="text1"/>
          <w:sz w:val="16"/>
          <w:szCs w:val="16"/>
          <w:lang w:val="es-ES"/>
        </w:rPr>
        <w:footnoteRef/>
      </w:r>
      <w:r w:rsidRPr="001D321F">
        <w:rPr>
          <w:rFonts w:ascii="Cambria" w:hAnsi="Cambria"/>
          <w:color w:val="000000" w:themeColor="text1"/>
          <w:sz w:val="16"/>
          <w:szCs w:val="16"/>
          <w:lang w:val="es-ES"/>
        </w:rPr>
        <w:t xml:space="preserve"> Ver </w:t>
      </w:r>
      <w:r w:rsidRPr="001D321F">
        <w:rPr>
          <w:rFonts w:ascii="Cambria" w:hAnsi="Cambria"/>
          <w:i/>
          <w:color w:val="000000" w:themeColor="text1"/>
          <w:sz w:val="16"/>
          <w:szCs w:val="16"/>
          <w:lang w:val="es-ES"/>
        </w:rPr>
        <w:t>supra</w:t>
      </w:r>
      <w:r w:rsidRPr="001D321F">
        <w:rPr>
          <w:rFonts w:ascii="Cambria" w:hAnsi="Cambria"/>
          <w:color w:val="000000" w:themeColor="text1"/>
          <w:sz w:val="16"/>
          <w:szCs w:val="16"/>
          <w:lang w:val="es-ES"/>
        </w:rPr>
        <w:t xml:space="preserve"> párr. 212</w:t>
      </w:r>
    </w:p>
  </w:footnote>
  <w:footnote w:id="226">
    <w:p w14:paraId="0EED3B12" w14:textId="77777777" w:rsidR="00323FC1" w:rsidRPr="001D321F" w:rsidRDefault="00323FC1" w:rsidP="001D321F">
      <w:pPr>
        <w:pStyle w:val="FootnoteText"/>
        <w:rPr>
          <w:rFonts w:ascii="Cambria" w:hAnsi="Cambria"/>
          <w:color w:val="000000" w:themeColor="text1"/>
          <w:sz w:val="16"/>
          <w:szCs w:val="16"/>
          <w:lang w:val="es-ES"/>
        </w:rPr>
      </w:pPr>
      <w:r w:rsidRPr="001D321F">
        <w:rPr>
          <w:rStyle w:val="FootnoteReference"/>
          <w:rFonts w:ascii="Cambria" w:hAnsi="Cambria"/>
          <w:color w:val="000000" w:themeColor="text1"/>
          <w:sz w:val="16"/>
          <w:szCs w:val="16"/>
          <w:lang w:val="es-ES"/>
        </w:rPr>
        <w:footnoteRef/>
      </w:r>
      <w:r w:rsidRPr="001D321F">
        <w:rPr>
          <w:rFonts w:ascii="Cambria" w:hAnsi="Cambria"/>
          <w:color w:val="000000" w:themeColor="text1"/>
          <w:sz w:val="16"/>
          <w:szCs w:val="16"/>
          <w:lang w:val="es-ES"/>
        </w:rPr>
        <w:t xml:space="preserve"> Ver </w:t>
      </w:r>
      <w:r w:rsidRPr="001D321F">
        <w:rPr>
          <w:rFonts w:ascii="Cambria" w:hAnsi="Cambria"/>
          <w:i/>
          <w:color w:val="000000" w:themeColor="text1"/>
          <w:sz w:val="16"/>
          <w:szCs w:val="16"/>
          <w:lang w:val="es-ES"/>
        </w:rPr>
        <w:t xml:space="preserve">supra </w:t>
      </w:r>
      <w:r w:rsidRPr="001D321F">
        <w:rPr>
          <w:rFonts w:ascii="Cambria" w:hAnsi="Cambria"/>
          <w:color w:val="000000" w:themeColor="text1"/>
          <w:sz w:val="16"/>
          <w:szCs w:val="16"/>
          <w:lang w:val="es-ES"/>
        </w:rPr>
        <w:t>párr. 159</w:t>
      </w:r>
    </w:p>
  </w:footnote>
  <w:footnote w:id="227">
    <w:p w14:paraId="3DFFE666" w14:textId="77777777" w:rsidR="00323FC1" w:rsidRPr="001D321F" w:rsidRDefault="00323FC1" w:rsidP="001D321F">
      <w:pPr>
        <w:pStyle w:val="FootnoteText"/>
        <w:rPr>
          <w:rFonts w:ascii="Cambria" w:hAnsi="Cambria"/>
          <w:color w:val="000000" w:themeColor="text1"/>
          <w:sz w:val="16"/>
          <w:szCs w:val="16"/>
          <w:lang w:val="es-AR"/>
        </w:rPr>
      </w:pPr>
      <w:r w:rsidRPr="001D321F">
        <w:rPr>
          <w:rStyle w:val="FootnoteReference"/>
          <w:rFonts w:ascii="Cambria" w:hAnsi="Cambria"/>
          <w:color w:val="000000" w:themeColor="text1"/>
          <w:sz w:val="16"/>
          <w:szCs w:val="16"/>
          <w:lang w:val="es-ES"/>
        </w:rPr>
        <w:footnoteRef/>
      </w:r>
      <w:r w:rsidRPr="001D321F">
        <w:rPr>
          <w:rFonts w:ascii="Cambria" w:hAnsi="Cambria"/>
          <w:color w:val="000000" w:themeColor="text1"/>
          <w:sz w:val="16"/>
          <w:szCs w:val="16"/>
          <w:lang w:val="es-ES"/>
        </w:rPr>
        <w:t xml:space="preserve"> Ver</w:t>
      </w:r>
      <w:r w:rsidRPr="001D321F">
        <w:rPr>
          <w:rFonts w:ascii="Cambria" w:hAnsi="Cambria"/>
          <w:i/>
          <w:color w:val="000000" w:themeColor="text1"/>
          <w:sz w:val="16"/>
          <w:szCs w:val="16"/>
          <w:lang w:val="es-ES"/>
        </w:rPr>
        <w:t xml:space="preserve"> supra</w:t>
      </w:r>
      <w:r w:rsidRPr="001D321F">
        <w:rPr>
          <w:rFonts w:ascii="Cambria" w:hAnsi="Cambria"/>
          <w:color w:val="000000" w:themeColor="text1"/>
          <w:sz w:val="16"/>
          <w:szCs w:val="16"/>
          <w:lang w:val="es-ES"/>
        </w:rPr>
        <w:t xml:space="preserve"> párr. 188</w:t>
      </w:r>
    </w:p>
  </w:footnote>
  <w:footnote w:id="228">
    <w:p w14:paraId="1D36AE20" w14:textId="77777777" w:rsidR="00323FC1" w:rsidRPr="001D321F" w:rsidRDefault="00323FC1" w:rsidP="001D321F">
      <w:pPr>
        <w:pStyle w:val="FootnoteText"/>
        <w:jc w:val="both"/>
        <w:rPr>
          <w:rFonts w:ascii="Cambria" w:hAnsi="Cambria"/>
          <w:color w:val="000000" w:themeColor="text1"/>
          <w:sz w:val="16"/>
          <w:szCs w:val="16"/>
          <w:lang w:val="es-AR"/>
        </w:rPr>
      </w:pPr>
      <w:r w:rsidRPr="001D321F">
        <w:rPr>
          <w:rStyle w:val="FootnoteReference"/>
          <w:rFonts w:ascii="Cambria" w:hAnsi="Cambria"/>
          <w:color w:val="000000" w:themeColor="text1"/>
          <w:sz w:val="16"/>
          <w:szCs w:val="16"/>
        </w:rPr>
        <w:footnoteRef/>
      </w:r>
      <w:r w:rsidRPr="001D321F">
        <w:rPr>
          <w:rFonts w:ascii="Cambria" w:hAnsi="Cambria"/>
          <w:color w:val="000000" w:themeColor="text1"/>
          <w:sz w:val="16"/>
          <w:szCs w:val="16"/>
          <w:lang w:val="es-AR"/>
        </w:rPr>
        <w:t xml:space="preserve"> </w:t>
      </w:r>
      <w:r w:rsidRPr="001D321F">
        <w:rPr>
          <w:rFonts w:ascii="Cambria" w:hAnsi="Cambria"/>
          <w:color w:val="000000" w:themeColor="text1"/>
          <w:sz w:val="16"/>
          <w:szCs w:val="16"/>
          <w:lang w:val="es-ES"/>
        </w:rPr>
        <w:t>Escrito de observaciones adicionales sobre el fondo suscripto por el Director de Derechos Humanos (S) del Ministerio de Relaciones Exteriores de Chile recibido por la Comisión con fecha 26 de octubre de 2017, pág.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7990" w14:textId="77777777" w:rsidR="00323FC1" w:rsidRDefault="00323FC1" w:rsidP="00616E47">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5852B42" w14:textId="77777777" w:rsidR="00323FC1" w:rsidRDefault="00323F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B610" w14:textId="77777777" w:rsidR="00323FC1" w:rsidRDefault="00323FC1" w:rsidP="00A50FCF">
    <w:pPr>
      <w:pStyle w:val="Header"/>
      <w:tabs>
        <w:tab w:val="clear" w:pos="4320"/>
        <w:tab w:val="clear" w:pos="8640"/>
      </w:tabs>
      <w:jc w:val="center"/>
      <w:rPr>
        <w:sz w:val="22"/>
        <w:szCs w:val="22"/>
      </w:rPr>
    </w:pPr>
    <w:r>
      <w:rPr>
        <w:noProof/>
        <w:sz w:val="22"/>
        <w:szCs w:val="22"/>
        <w:lang w:val="es-US" w:eastAsia="es-US"/>
      </w:rPr>
      <w:drawing>
        <wp:inline distT="0" distB="0" distL="0" distR="0" wp14:anchorId="598483E5" wp14:editId="4BC4D41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B746466" w14:textId="77777777" w:rsidR="00323FC1" w:rsidRPr="00EC7D62" w:rsidRDefault="00AC10C2" w:rsidP="00A50FCF">
    <w:pPr>
      <w:pStyle w:val="Header"/>
      <w:tabs>
        <w:tab w:val="clear" w:pos="4320"/>
        <w:tab w:val="clear" w:pos="8640"/>
      </w:tabs>
      <w:jc w:val="center"/>
      <w:rPr>
        <w:sz w:val="22"/>
        <w:szCs w:val="22"/>
      </w:rPr>
    </w:pPr>
    <w:r>
      <w:rPr>
        <w:noProof/>
        <w:sz w:val="22"/>
        <w:szCs w:val="22"/>
        <w:bdr w:val="nil"/>
      </w:rPr>
      <w:pict w14:anchorId="59093F69">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BD2146"/>
    <w:multiLevelType w:val="hybridMultilevel"/>
    <w:tmpl w:val="FA9CEB94"/>
    <w:lvl w:ilvl="0" w:tplc="317CDDFC">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A7829"/>
    <w:multiLevelType w:val="hybridMultilevel"/>
    <w:tmpl w:val="5516A0F8"/>
    <w:lvl w:ilvl="0" w:tplc="CEB8DF44">
      <w:start w:val="1"/>
      <w:numFmt w:val="decimal"/>
      <w:lvlText w:val="%1."/>
      <w:lvlJc w:val="left"/>
      <w:pPr>
        <w:ind w:left="720" w:hanging="360"/>
      </w:pPr>
      <w:rPr>
        <w:rFonts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CF797D"/>
    <w:multiLevelType w:val="hybridMultilevel"/>
    <w:tmpl w:val="7450C07C"/>
    <w:lvl w:ilvl="0" w:tplc="B70CC24C">
      <w:start w:val="1"/>
      <w:numFmt w:val="upperLetter"/>
      <w:pStyle w:val="Heading2"/>
      <w:lvlText w:val="%1."/>
      <w:lvlJc w:val="left"/>
      <w:pPr>
        <w:ind w:left="720" w:hanging="360"/>
      </w:pPr>
      <w:rPr>
        <w:rFonts w:hint="default"/>
      </w:rPr>
    </w:lvl>
    <w:lvl w:ilvl="1" w:tplc="D8BAE098">
      <w:start w:val="1"/>
      <w:numFmt w:val="decimal"/>
      <w:lvlText w:val="%2."/>
      <w:lvlJc w:val="left"/>
      <w:pPr>
        <w:ind w:left="1440" w:hanging="360"/>
      </w:pPr>
      <w:rPr>
        <w:rFonts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434711"/>
    <w:multiLevelType w:val="hybridMultilevel"/>
    <w:tmpl w:val="438A9BA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44725996">
    <w:abstractNumId w:val="5"/>
  </w:num>
  <w:num w:numId="2" w16cid:durableId="1408455306">
    <w:abstractNumId w:val="6"/>
  </w:num>
  <w:num w:numId="3" w16cid:durableId="588580457">
    <w:abstractNumId w:val="51"/>
  </w:num>
  <w:num w:numId="4" w16cid:durableId="100533405">
    <w:abstractNumId w:val="23"/>
  </w:num>
  <w:num w:numId="5" w16cid:durableId="53818323">
    <w:abstractNumId w:val="46"/>
  </w:num>
  <w:num w:numId="6" w16cid:durableId="1002196789">
    <w:abstractNumId w:val="28"/>
  </w:num>
  <w:num w:numId="7" w16cid:durableId="1856919582">
    <w:abstractNumId w:val="7"/>
  </w:num>
  <w:num w:numId="8" w16cid:durableId="1574314860">
    <w:abstractNumId w:val="19"/>
  </w:num>
  <w:num w:numId="9" w16cid:durableId="1656032362">
    <w:abstractNumId w:val="42"/>
  </w:num>
  <w:num w:numId="10" w16cid:durableId="844634844">
    <w:abstractNumId w:val="0"/>
  </w:num>
  <w:num w:numId="11" w16cid:durableId="1219245531">
    <w:abstractNumId w:val="37"/>
  </w:num>
  <w:num w:numId="12" w16cid:durableId="1734236139">
    <w:abstractNumId w:val="38"/>
  </w:num>
  <w:num w:numId="13" w16cid:durableId="1126583946">
    <w:abstractNumId w:val="43"/>
  </w:num>
  <w:num w:numId="14" w16cid:durableId="1955673396">
    <w:abstractNumId w:val="1"/>
  </w:num>
  <w:num w:numId="15" w16cid:durableId="467358182">
    <w:abstractNumId w:val="2"/>
  </w:num>
  <w:num w:numId="16" w16cid:durableId="1190485118">
    <w:abstractNumId w:val="8"/>
  </w:num>
  <w:num w:numId="17" w16cid:durableId="131366038">
    <w:abstractNumId w:val="9"/>
  </w:num>
  <w:num w:numId="18" w16cid:durableId="809175896">
    <w:abstractNumId w:val="10"/>
  </w:num>
  <w:num w:numId="19" w16cid:durableId="806702171">
    <w:abstractNumId w:val="11"/>
  </w:num>
  <w:num w:numId="20" w16cid:durableId="1652252966">
    <w:abstractNumId w:val="12"/>
  </w:num>
  <w:num w:numId="21" w16cid:durableId="885751114">
    <w:abstractNumId w:val="13"/>
  </w:num>
  <w:num w:numId="22" w16cid:durableId="261114731">
    <w:abstractNumId w:val="14"/>
  </w:num>
  <w:num w:numId="23" w16cid:durableId="1207598232">
    <w:abstractNumId w:val="15"/>
  </w:num>
  <w:num w:numId="24" w16cid:durableId="1270043117">
    <w:abstractNumId w:val="16"/>
  </w:num>
  <w:num w:numId="25" w16cid:durableId="266161465">
    <w:abstractNumId w:val="20"/>
  </w:num>
  <w:num w:numId="26" w16cid:durableId="106194061">
    <w:abstractNumId w:val="21"/>
  </w:num>
  <w:num w:numId="27" w16cid:durableId="1770588037">
    <w:abstractNumId w:val="24"/>
  </w:num>
  <w:num w:numId="28" w16cid:durableId="923298896">
    <w:abstractNumId w:val="25"/>
  </w:num>
  <w:num w:numId="29" w16cid:durableId="1197768460">
    <w:abstractNumId w:val="26"/>
  </w:num>
  <w:num w:numId="30" w16cid:durableId="821386891">
    <w:abstractNumId w:val="27"/>
  </w:num>
  <w:num w:numId="31" w16cid:durableId="1726754240">
    <w:abstractNumId w:val="29"/>
  </w:num>
  <w:num w:numId="32" w16cid:durableId="1902249783">
    <w:abstractNumId w:val="30"/>
  </w:num>
  <w:num w:numId="33" w16cid:durableId="895359049">
    <w:abstractNumId w:val="31"/>
  </w:num>
  <w:num w:numId="34" w16cid:durableId="405422140">
    <w:abstractNumId w:val="32"/>
  </w:num>
  <w:num w:numId="35" w16cid:durableId="1166826239">
    <w:abstractNumId w:val="33"/>
  </w:num>
  <w:num w:numId="36" w16cid:durableId="54671273">
    <w:abstractNumId w:val="34"/>
  </w:num>
  <w:num w:numId="37" w16cid:durableId="832068821">
    <w:abstractNumId w:val="35"/>
  </w:num>
  <w:num w:numId="38" w16cid:durableId="1446729659">
    <w:abstractNumId w:val="36"/>
  </w:num>
  <w:num w:numId="39" w16cid:durableId="76023957">
    <w:abstractNumId w:val="39"/>
  </w:num>
  <w:num w:numId="40" w16cid:durableId="1124467435">
    <w:abstractNumId w:val="40"/>
  </w:num>
  <w:num w:numId="41" w16cid:durableId="399139444">
    <w:abstractNumId w:val="45"/>
  </w:num>
  <w:num w:numId="42" w16cid:durableId="90199648">
    <w:abstractNumId w:val="47"/>
  </w:num>
  <w:num w:numId="43" w16cid:durableId="1034771944">
    <w:abstractNumId w:val="48"/>
  </w:num>
  <w:num w:numId="44" w16cid:durableId="1630933717">
    <w:abstractNumId w:val="49"/>
  </w:num>
  <w:num w:numId="45" w16cid:durableId="1779107039">
    <w:abstractNumId w:val="50"/>
  </w:num>
  <w:num w:numId="46" w16cid:durableId="1531795977">
    <w:abstractNumId w:val="52"/>
  </w:num>
  <w:num w:numId="47" w16cid:durableId="1767340986">
    <w:abstractNumId w:val="53"/>
  </w:num>
  <w:num w:numId="48" w16cid:durableId="1222060799">
    <w:abstractNumId w:val="54"/>
  </w:num>
  <w:num w:numId="49" w16cid:durableId="443310411">
    <w:abstractNumId w:val="55"/>
  </w:num>
  <w:num w:numId="50" w16cid:durableId="2034306300">
    <w:abstractNumId w:val="56"/>
  </w:num>
  <w:num w:numId="51" w16cid:durableId="1888372425">
    <w:abstractNumId w:val="22"/>
  </w:num>
  <w:num w:numId="52" w16cid:durableId="1549341343">
    <w:abstractNumId w:val="41"/>
  </w:num>
  <w:num w:numId="53" w16cid:durableId="624040344">
    <w:abstractNumId w:val="44"/>
  </w:num>
  <w:num w:numId="54" w16cid:durableId="1092970302">
    <w:abstractNumId w:val="3"/>
  </w:num>
  <w:num w:numId="55" w16cid:durableId="713504463">
    <w:abstractNumId w:val="17"/>
  </w:num>
  <w:num w:numId="56" w16cid:durableId="1675066880">
    <w:abstractNumId w:val="17"/>
    <w:lvlOverride w:ilvl="0">
      <w:startOverride w:val="1"/>
    </w:lvlOverride>
  </w:num>
  <w:num w:numId="57" w16cid:durableId="124936142">
    <w:abstractNumId w:val="4"/>
  </w:num>
  <w:num w:numId="58" w16cid:durableId="1375500736">
    <w:abstractNumId w:val="4"/>
  </w:num>
  <w:num w:numId="59" w16cid:durableId="495069215">
    <w:abstractNumId w:val="17"/>
  </w:num>
  <w:num w:numId="60" w16cid:durableId="1814636370">
    <w:abstractNumId w:val="17"/>
    <w:lvlOverride w:ilvl="0">
      <w:startOverride w:val="1"/>
    </w:lvlOverride>
  </w:num>
  <w:num w:numId="61" w16cid:durableId="1217819315">
    <w:abstractNumId w:val="1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10242"/>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34DD"/>
    <w:rsid w:val="00003620"/>
    <w:rsid w:val="00006E1F"/>
    <w:rsid w:val="000070D7"/>
    <w:rsid w:val="00013CFD"/>
    <w:rsid w:val="00016E0F"/>
    <w:rsid w:val="0001788C"/>
    <w:rsid w:val="000233E0"/>
    <w:rsid w:val="000269B9"/>
    <w:rsid w:val="00035B24"/>
    <w:rsid w:val="00040C3A"/>
    <w:rsid w:val="00040F0D"/>
    <w:rsid w:val="00042703"/>
    <w:rsid w:val="00046C34"/>
    <w:rsid w:val="00047D78"/>
    <w:rsid w:val="00051DCA"/>
    <w:rsid w:val="00054023"/>
    <w:rsid w:val="00060017"/>
    <w:rsid w:val="000655EE"/>
    <w:rsid w:val="000716C5"/>
    <w:rsid w:val="000724B1"/>
    <w:rsid w:val="00072AD0"/>
    <w:rsid w:val="00073941"/>
    <w:rsid w:val="00075E23"/>
    <w:rsid w:val="00076984"/>
    <w:rsid w:val="000776F0"/>
    <w:rsid w:val="00077BD9"/>
    <w:rsid w:val="00082AC3"/>
    <w:rsid w:val="0009344A"/>
    <w:rsid w:val="000964A1"/>
    <w:rsid w:val="00097252"/>
    <w:rsid w:val="000A21AE"/>
    <w:rsid w:val="000A392E"/>
    <w:rsid w:val="000A575F"/>
    <w:rsid w:val="000A640F"/>
    <w:rsid w:val="000A7991"/>
    <w:rsid w:val="000B35B9"/>
    <w:rsid w:val="000B3AF2"/>
    <w:rsid w:val="000B57DD"/>
    <w:rsid w:val="000B743E"/>
    <w:rsid w:val="000C22BD"/>
    <w:rsid w:val="000C4347"/>
    <w:rsid w:val="000C6D38"/>
    <w:rsid w:val="000D10DB"/>
    <w:rsid w:val="000E208D"/>
    <w:rsid w:val="000E2184"/>
    <w:rsid w:val="000E26BF"/>
    <w:rsid w:val="000E274E"/>
    <w:rsid w:val="000E55A4"/>
    <w:rsid w:val="000E5EB5"/>
    <w:rsid w:val="000E6AB5"/>
    <w:rsid w:val="000F0891"/>
    <w:rsid w:val="000F34A0"/>
    <w:rsid w:val="000F35ED"/>
    <w:rsid w:val="000F62F0"/>
    <w:rsid w:val="000F6A1D"/>
    <w:rsid w:val="000F7BEC"/>
    <w:rsid w:val="000F7BF8"/>
    <w:rsid w:val="001026E1"/>
    <w:rsid w:val="00105BFF"/>
    <w:rsid w:val="00107131"/>
    <w:rsid w:val="0010736F"/>
    <w:rsid w:val="00107F65"/>
    <w:rsid w:val="0011147C"/>
    <w:rsid w:val="00111695"/>
    <w:rsid w:val="00113F73"/>
    <w:rsid w:val="001140E9"/>
    <w:rsid w:val="00114BEC"/>
    <w:rsid w:val="00116CDE"/>
    <w:rsid w:val="00121CC2"/>
    <w:rsid w:val="00121E55"/>
    <w:rsid w:val="001220D3"/>
    <w:rsid w:val="0012349A"/>
    <w:rsid w:val="00130AA5"/>
    <w:rsid w:val="00133EE5"/>
    <w:rsid w:val="00134A6A"/>
    <w:rsid w:val="00134B57"/>
    <w:rsid w:val="0013617B"/>
    <w:rsid w:val="0014204F"/>
    <w:rsid w:val="001426E0"/>
    <w:rsid w:val="00144445"/>
    <w:rsid w:val="0014496A"/>
    <w:rsid w:val="00150211"/>
    <w:rsid w:val="00151F50"/>
    <w:rsid w:val="0015547E"/>
    <w:rsid w:val="0016078B"/>
    <w:rsid w:val="00164BAB"/>
    <w:rsid w:val="00164F22"/>
    <w:rsid w:val="00167A34"/>
    <w:rsid w:val="00172C95"/>
    <w:rsid w:val="001737E5"/>
    <w:rsid w:val="00177E93"/>
    <w:rsid w:val="001802AC"/>
    <w:rsid w:val="00186AA1"/>
    <w:rsid w:val="00191A77"/>
    <w:rsid w:val="00192D1C"/>
    <w:rsid w:val="00192D58"/>
    <w:rsid w:val="001951FD"/>
    <w:rsid w:val="001A388F"/>
    <w:rsid w:val="001A52A7"/>
    <w:rsid w:val="001A5308"/>
    <w:rsid w:val="001A7870"/>
    <w:rsid w:val="001B5AEC"/>
    <w:rsid w:val="001C14C8"/>
    <w:rsid w:val="001C1B41"/>
    <w:rsid w:val="001C3F20"/>
    <w:rsid w:val="001C51D7"/>
    <w:rsid w:val="001C77A2"/>
    <w:rsid w:val="001D321F"/>
    <w:rsid w:val="001D3803"/>
    <w:rsid w:val="001D65EF"/>
    <w:rsid w:val="001D797E"/>
    <w:rsid w:val="001E4B7D"/>
    <w:rsid w:val="001E5078"/>
    <w:rsid w:val="001E5B59"/>
    <w:rsid w:val="001E61EF"/>
    <w:rsid w:val="001E798C"/>
    <w:rsid w:val="001F2661"/>
    <w:rsid w:val="001F41C9"/>
    <w:rsid w:val="001F4236"/>
    <w:rsid w:val="001F629F"/>
    <w:rsid w:val="002027C7"/>
    <w:rsid w:val="0020507E"/>
    <w:rsid w:val="0020748F"/>
    <w:rsid w:val="00211354"/>
    <w:rsid w:val="00212915"/>
    <w:rsid w:val="00215865"/>
    <w:rsid w:val="0022457B"/>
    <w:rsid w:val="002250A3"/>
    <w:rsid w:val="002269CF"/>
    <w:rsid w:val="00230C4B"/>
    <w:rsid w:val="0023320F"/>
    <w:rsid w:val="00233D28"/>
    <w:rsid w:val="00235217"/>
    <w:rsid w:val="0023763B"/>
    <w:rsid w:val="0024017D"/>
    <w:rsid w:val="00243718"/>
    <w:rsid w:val="0024551F"/>
    <w:rsid w:val="00245F06"/>
    <w:rsid w:val="00246D1F"/>
    <w:rsid w:val="002471F5"/>
    <w:rsid w:val="00247403"/>
    <w:rsid w:val="00247542"/>
    <w:rsid w:val="00252761"/>
    <w:rsid w:val="00254790"/>
    <w:rsid w:val="0026261D"/>
    <w:rsid w:val="002628DD"/>
    <w:rsid w:val="0026361F"/>
    <w:rsid w:val="00264E9A"/>
    <w:rsid w:val="00266B61"/>
    <w:rsid w:val="0026712A"/>
    <w:rsid w:val="00267A39"/>
    <w:rsid w:val="002704DB"/>
    <w:rsid w:val="0027105E"/>
    <w:rsid w:val="00271BC6"/>
    <w:rsid w:val="002727EE"/>
    <w:rsid w:val="00276BF9"/>
    <w:rsid w:val="002804DB"/>
    <w:rsid w:val="00282F76"/>
    <w:rsid w:val="00283BF0"/>
    <w:rsid w:val="00284ADE"/>
    <w:rsid w:val="00293FF4"/>
    <w:rsid w:val="0029505E"/>
    <w:rsid w:val="00295E09"/>
    <w:rsid w:val="002A0AAE"/>
    <w:rsid w:val="002A4062"/>
    <w:rsid w:val="002A4AA8"/>
    <w:rsid w:val="002A5820"/>
    <w:rsid w:val="002B0DE2"/>
    <w:rsid w:val="002B4145"/>
    <w:rsid w:val="002B4F98"/>
    <w:rsid w:val="002B4FB0"/>
    <w:rsid w:val="002C793D"/>
    <w:rsid w:val="002D16F1"/>
    <w:rsid w:val="002D2B26"/>
    <w:rsid w:val="002D371D"/>
    <w:rsid w:val="002D55A4"/>
    <w:rsid w:val="002D7EA2"/>
    <w:rsid w:val="002E187C"/>
    <w:rsid w:val="002E35CC"/>
    <w:rsid w:val="002E4C6C"/>
    <w:rsid w:val="002F17A9"/>
    <w:rsid w:val="002F2538"/>
    <w:rsid w:val="002F34A2"/>
    <w:rsid w:val="002F385A"/>
    <w:rsid w:val="002F579A"/>
    <w:rsid w:val="00302733"/>
    <w:rsid w:val="003030A4"/>
    <w:rsid w:val="0030786B"/>
    <w:rsid w:val="00307B70"/>
    <w:rsid w:val="00314078"/>
    <w:rsid w:val="003146D4"/>
    <w:rsid w:val="003151DA"/>
    <w:rsid w:val="0031535D"/>
    <w:rsid w:val="00315556"/>
    <w:rsid w:val="00321AF5"/>
    <w:rsid w:val="00322327"/>
    <w:rsid w:val="00323FC1"/>
    <w:rsid w:val="00325F29"/>
    <w:rsid w:val="0032772E"/>
    <w:rsid w:val="00327823"/>
    <w:rsid w:val="0033169F"/>
    <w:rsid w:val="00335494"/>
    <w:rsid w:val="00346A66"/>
    <w:rsid w:val="00346C95"/>
    <w:rsid w:val="00350060"/>
    <w:rsid w:val="00352CCC"/>
    <w:rsid w:val="00354871"/>
    <w:rsid w:val="00356185"/>
    <w:rsid w:val="00356B60"/>
    <w:rsid w:val="00360380"/>
    <w:rsid w:val="0036189B"/>
    <w:rsid w:val="00361D35"/>
    <w:rsid w:val="00363733"/>
    <w:rsid w:val="00364E92"/>
    <w:rsid w:val="0037519E"/>
    <w:rsid w:val="00376248"/>
    <w:rsid w:val="00383B1F"/>
    <w:rsid w:val="00384A58"/>
    <w:rsid w:val="00384F47"/>
    <w:rsid w:val="00385064"/>
    <w:rsid w:val="00385321"/>
    <w:rsid w:val="00385B67"/>
    <w:rsid w:val="00386CF0"/>
    <w:rsid w:val="0038797F"/>
    <w:rsid w:val="00391E4D"/>
    <w:rsid w:val="00392A0C"/>
    <w:rsid w:val="0039344B"/>
    <w:rsid w:val="00397249"/>
    <w:rsid w:val="003A13CB"/>
    <w:rsid w:val="003B0EB7"/>
    <w:rsid w:val="003B45A6"/>
    <w:rsid w:val="003B53C1"/>
    <w:rsid w:val="003C4389"/>
    <w:rsid w:val="003C4D3A"/>
    <w:rsid w:val="003C676B"/>
    <w:rsid w:val="003C7367"/>
    <w:rsid w:val="003D1DD0"/>
    <w:rsid w:val="003D3BC2"/>
    <w:rsid w:val="003D58DD"/>
    <w:rsid w:val="003D6764"/>
    <w:rsid w:val="003D6793"/>
    <w:rsid w:val="003E0994"/>
    <w:rsid w:val="003E1315"/>
    <w:rsid w:val="003E6257"/>
    <w:rsid w:val="003E6CA1"/>
    <w:rsid w:val="003F3055"/>
    <w:rsid w:val="003F307B"/>
    <w:rsid w:val="004047B7"/>
    <w:rsid w:val="00404F4A"/>
    <w:rsid w:val="004055C2"/>
    <w:rsid w:val="004060D4"/>
    <w:rsid w:val="00412099"/>
    <w:rsid w:val="0041250F"/>
    <w:rsid w:val="00412E05"/>
    <w:rsid w:val="00414FCB"/>
    <w:rsid w:val="0041604F"/>
    <w:rsid w:val="004165C2"/>
    <w:rsid w:val="004174F3"/>
    <w:rsid w:val="00427E6D"/>
    <w:rsid w:val="00430B5E"/>
    <w:rsid w:val="0043724D"/>
    <w:rsid w:val="004408B9"/>
    <w:rsid w:val="00440AF7"/>
    <w:rsid w:val="00441ECB"/>
    <w:rsid w:val="0044462F"/>
    <w:rsid w:val="004503BE"/>
    <w:rsid w:val="00461187"/>
    <w:rsid w:val="00464E97"/>
    <w:rsid w:val="00467084"/>
    <w:rsid w:val="00467B7E"/>
    <w:rsid w:val="00472860"/>
    <w:rsid w:val="004734AB"/>
    <w:rsid w:val="0047497B"/>
    <w:rsid w:val="0047569B"/>
    <w:rsid w:val="0047715B"/>
    <w:rsid w:val="00477592"/>
    <w:rsid w:val="0048072D"/>
    <w:rsid w:val="00480B9A"/>
    <w:rsid w:val="004821D4"/>
    <w:rsid w:val="004825F9"/>
    <w:rsid w:val="00484DE8"/>
    <w:rsid w:val="00486F1C"/>
    <w:rsid w:val="004874D2"/>
    <w:rsid w:val="0049068A"/>
    <w:rsid w:val="004912FF"/>
    <w:rsid w:val="00491883"/>
    <w:rsid w:val="00492E0B"/>
    <w:rsid w:val="0049419D"/>
    <w:rsid w:val="004965DA"/>
    <w:rsid w:val="004A52A5"/>
    <w:rsid w:val="004B3CC4"/>
    <w:rsid w:val="004B4A7D"/>
    <w:rsid w:val="004B5744"/>
    <w:rsid w:val="004B7AF8"/>
    <w:rsid w:val="004C1A0F"/>
    <w:rsid w:val="004C20D2"/>
    <w:rsid w:val="004C4B62"/>
    <w:rsid w:val="004C54C9"/>
    <w:rsid w:val="004C75FB"/>
    <w:rsid w:val="004C7FEA"/>
    <w:rsid w:val="004D0DB7"/>
    <w:rsid w:val="004D1013"/>
    <w:rsid w:val="004D6025"/>
    <w:rsid w:val="004D7F44"/>
    <w:rsid w:val="004E2649"/>
    <w:rsid w:val="004E7056"/>
    <w:rsid w:val="004E7757"/>
    <w:rsid w:val="004F1FAA"/>
    <w:rsid w:val="004F2319"/>
    <w:rsid w:val="004F62C2"/>
    <w:rsid w:val="00500314"/>
    <w:rsid w:val="00501399"/>
    <w:rsid w:val="0050425D"/>
    <w:rsid w:val="0050633D"/>
    <w:rsid w:val="00507BC4"/>
    <w:rsid w:val="00510E6F"/>
    <w:rsid w:val="005128E4"/>
    <w:rsid w:val="005133DB"/>
    <w:rsid w:val="00514893"/>
    <w:rsid w:val="00515755"/>
    <w:rsid w:val="00522518"/>
    <w:rsid w:val="00525560"/>
    <w:rsid w:val="00527B0A"/>
    <w:rsid w:val="00530147"/>
    <w:rsid w:val="00533B8C"/>
    <w:rsid w:val="00534686"/>
    <w:rsid w:val="00535187"/>
    <w:rsid w:val="005352E5"/>
    <w:rsid w:val="00535C7D"/>
    <w:rsid w:val="00535DFA"/>
    <w:rsid w:val="00537175"/>
    <w:rsid w:val="005371A1"/>
    <w:rsid w:val="0054064F"/>
    <w:rsid w:val="00541667"/>
    <w:rsid w:val="00544C49"/>
    <w:rsid w:val="00546335"/>
    <w:rsid w:val="00546FBC"/>
    <w:rsid w:val="005516A1"/>
    <w:rsid w:val="00555F7F"/>
    <w:rsid w:val="00556009"/>
    <w:rsid w:val="00556025"/>
    <w:rsid w:val="00557504"/>
    <w:rsid w:val="00557A31"/>
    <w:rsid w:val="00561E99"/>
    <w:rsid w:val="00562CE0"/>
    <w:rsid w:val="00565008"/>
    <w:rsid w:val="00567518"/>
    <w:rsid w:val="005679BA"/>
    <w:rsid w:val="00571EFA"/>
    <w:rsid w:val="00572322"/>
    <w:rsid w:val="00573863"/>
    <w:rsid w:val="00573A1D"/>
    <w:rsid w:val="0057402A"/>
    <w:rsid w:val="00575322"/>
    <w:rsid w:val="005771D0"/>
    <w:rsid w:val="00577AB8"/>
    <w:rsid w:val="0058089F"/>
    <w:rsid w:val="00580A34"/>
    <w:rsid w:val="00583CE2"/>
    <w:rsid w:val="00584A54"/>
    <w:rsid w:val="00584C38"/>
    <w:rsid w:val="005854F6"/>
    <w:rsid w:val="00585BD6"/>
    <w:rsid w:val="0059191A"/>
    <w:rsid w:val="005921FF"/>
    <w:rsid w:val="00592F48"/>
    <w:rsid w:val="00594890"/>
    <w:rsid w:val="005A35F0"/>
    <w:rsid w:val="005A5831"/>
    <w:rsid w:val="005A6D0E"/>
    <w:rsid w:val="005A7AD6"/>
    <w:rsid w:val="005B0935"/>
    <w:rsid w:val="005B0B35"/>
    <w:rsid w:val="005B1026"/>
    <w:rsid w:val="005B22F1"/>
    <w:rsid w:val="005B31C7"/>
    <w:rsid w:val="005B52B0"/>
    <w:rsid w:val="005B62AD"/>
    <w:rsid w:val="005B6806"/>
    <w:rsid w:val="005C4225"/>
    <w:rsid w:val="005C609E"/>
    <w:rsid w:val="005D07A5"/>
    <w:rsid w:val="005D24C6"/>
    <w:rsid w:val="005D2655"/>
    <w:rsid w:val="005D4A6D"/>
    <w:rsid w:val="005D4D96"/>
    <w:rsid w:val="005D53FC"/>
    <w:rsid w:val="005D76A8"/>
    <w:rsid w:val="005E0581"/>
    <w:rsid w:val="005E0DA4"/>
    <w:rsid w:val="005E39AE"/>
    <w:rsid w:val="005E3CEB"/>
    <w:rsid w:val="005E3DB2"/>
    <w:rsid w:val="005E51E8"/>
    <w:rsid w:val="005E628A"/>
    <w:rsid w:val="005E7CC4"/>
    <w:rsid w:val="005E7CEB"/>
    <w:rsid w:val="005F0DAD"/>
    <w:rsid w:val="005F0F33"/>
    <w:rsid w:val="005F249B"/>
    <w:rsid w:val="005F48FF"/>
    <w:rsid w:val="00600DEB"/>
    <w:rsid w:val="0060283E"/>
    <w:rsid w:val="00604680"/>
    <w:rsid w:val="00611061"/>
    <w:rsid w:val="00612886"/>
    <w:rsid w:val="006169B5"/>
    <w:rsid w:val="00616E47"/>
    <w:rsid w:val="00621D4F"/>
    <w:rsid w:val="006224DA"/>
    <w:rsid w:val="006227C8"/>
    <w:rsid w:val="00627C9F"/>
    <w:rsid w:val="006311E9"/>
    <w:rsid w:val="00632354"/>
    <w:rsid w:val="006340B2"/>
    <w:rsid w:val="00634FD5"/>
    <w:rsid w:val="0063584F"/>
    <w:rsid w:val="00636664"/>
    <w:rsid w:val="006370B5"/>
    <w:rsid w:val="00637166"/>
    <w:rsid w:val="00642799"/>
    <w:rsid w:val="00642810"/>
    <w:rsid w:val="006469AC"/>
    <w:rsid w:val="00646B1F"/>
    <w:rsid w:val="006478BE"/>
    <w:rsid w:val="0065186E"/>
    <w:rsid w:val="00652333"/>
    <w:rsid w:val="006545DF"/>
    <w:rsid w:val="00654EAC"/>
    <w:rsid w:val="006609AA"/>
    <w:rsid w:val="00662991"/>
    <w:rsid w:val="00663468"/>
    <w:rsid w:val="00664E82"/>
    <w:rsid w:val="006661B9"/>
    <w:rsid w:val="006717C6"/>
    <w:rsid w:val="006727EC"/>
    <w:rsid w:val="00675BB5"/>
    <w:rsid w:val="006778CC"/>
    <w:rsid w:val="0068009E"/>
    <w:rsid w:val="00680D4B"/>
    <w:rsid w:val="00680DED"/>
    <w:rsid w:val="00681D98"/>
    <w:rsid w:val="00686C38"/>
    <w:rsid w:val="00686EED"/>
    <w:rsid w:val="00691A4E"/>
    <w:rsid w:val="00692219"/>
    <w:rsid w:val="0069237F"/>
    <w:rsid w:val="006933DE"/>
    <w:rsid w:val="00693933"/>
    <w:rsid w:val="006A17D2"/>
    <w:rsid w:val="006A251D"/>
    <w:rsid w:val="006A464A"/>
    <w:rsid w:val="006A57F6"/>
    <w:rsid w:val="006A6DB2"/>
    <w:rsid w:val="006A73E6"/>
    <w:rsid w:val="006A769A"/>
    <w:rsid w:val="006A7F9D"/>
    <w:rsid w:val="006B07DC"/>
    <w:rsid w:val="006B14A9"/>
    <w:rsid w:val="006B2D5C"/>
    <w:rsid w:val="006B4E59"/>
    <w:rsid w:val="006B57B1"/>
    <w:rsid w:val="006B603E"/>
    <w:rsid w:val="006C0312"/>
    <w:rsid w:val="006C1B06"/>
    <w:rsid w:val="006C22C8"/>
    <w:rsid w:val="006C3D5E"/>
    <w:rsid w:val="006C4EB1"/>
    <w:rsid w:val="006C78AC"/>
    <w:rsid w:val="006D2617"/>
    <w:rsid w:val="006D461D"/>
    <w:rsid w:val="006D533A"/>
    <w:rsid w:val="006D67E3"/>
    <w:rsid w:val="006D7334"/>
    <w:rsid w:val="006E0166"/>
    <w:rsid w:val="006E0E05"/>
    <w:rsid w:val="006E2C84"/>
    <w:rsid w:val="006E3181"/>
    <w:rsid w:val="006E7B34"/>
    <w:rsid w:val="006F0022"/>
    <w:rsid w:val="006F23DF"/>
    <w:rsid w:val="006F3790"/>
    <w:rsid w:val="006F63E7"/>
    <w:rsid w:val="006F6A02"/>
    <w:rsid w:val="006F6FCF"/>
    <w:rsid w:val="007000DF"/>
    <w:rsid w:val="00702036"/>
    <w:rsid w:val="007023AC"/>
    <w:rsid w:val="0070314A"/>
    <w:rsid w:val="00703671"/>
    <w:rsid w:val="00704E9A"/>
    <w:rsid w:val="00706776"/>
    <w:rsid w:val="0070697F"/>
    <w:rsid w:val="00710A40"/>
    <w:rsid w:val="0071214D"/>
    <w:rsid w:val="00713616"/>
    <w:rsid w:val="007146D0"/>
    <w:rsid w:val="007200B5"/>
    <w:rsid w:val="007218C8"/>
    <w:rsid w:val="0072199C"/>
    <w:rsid w:val="00722C9F"/>
    <w:rsid w:val="007253B8"/>
    <w:rsid w:val="00725751"/>
    <w:rsid w:val="00726BB9"/>
    <w:rsid w:val="00727CD8"/>
    <w:rsid w:val="007327A4"/>
    <w:rsid w:val="00734909"/>
    <w:rsid w:val="0073741F"/>
    <w:rsid w:val="007379A4"/>
    <w:rsid w:val="00741FFB"/>
    <w:rsid w:val="00743BF7"/>
    <w:rsid w:val="00745061"/>
    <w:rsid w:val="007452CE"/>
    <w:rsid w:val="007514E2"/>
    <w:rsid w:val="00756544"/>
    <w:rsid w:val="007615B9"/>
    <w:rsid w:val="007632A8"/>
    <w:rsid w:val="00766022"/>
    <w:rsid w:val="0076643F"/>
    <w:rsid w:val="0076676C"/>
    <w:rsid w:val="00774BF8"/>
    <w:rsid w:val="00777F63"/>
    <w:rsid w:val="007808BC"/>
    <w:rsid w:val="007868FE"/>
    <w:rsid w:val="00791BAA"/>
    <w:rsid w:val="00795043"/>
    <w:rsid w:val="007A03A5"/>
    <w:rsid w:val="007A2B3B"/>
    <w:rsid w:val="007A5817"/>
    <w:rsid w:val="007A783D"/>
    <w:rsid w:val="007B3373"/>
    <w:rsid w:val="007B37FA"/>
    <w:rsid w:val="007B43E8"/>
    <w:rsid w:val="007B53E3"/>
    <w:rsid w:val="007B60E9"/>
    <w:rsid w:val="007B69F7"/>
    <w:rsid w:val="007B6CC3"/>
    <w:rsid w:val="007B7E17"/>
    <w:rsid w:val="007C0964"/>
    <w:rsid w:val="007C1CAD"/>
    <w:rsid w:val="007C331B"/>
    <w:rsid w:val="007C3334"/>
    <w:rsid w:val="007C39A4"/>
    <w:rsid w:val="007C4876"/>
    <w:rsid w:val="007C4E2C"/>
    <w:rsid w:val="007D06BA"/>
    <w:rsid w:val="007D2B98"/>
    <w:rsid w:val="007D4EDA"/>
    <w:rsid w:val="007D6D83"/>
    <w:rsid w:val="007D7FC4"/>
    <w:rsid w:val="007E21BC"/>
    <w:rsid w:val="007E4849"/>
    <w:rsid w:val="007F2049"/>
    <w:rsid w:val="007F402F"/>
    <w:rsid w:val="007F6CD4"/>
    <w:rsid w:val="00801F14"/>
    <w:rsid w:val="00803F1C"/>
    <w:rsid w:val="0080600E"/>
    <w:rsid w:val="008069EE"/>
    <w:rsid w:val="008071D2"/>
    <w:rsid w:val="008078E1"/>
    <w:rsid w:val="00811816"/>
    <w:rsid w:val="008126DA"/>
    <w:rsid w:val="008142C0"/>
    <w:rsid w:val="00817612"/>
    <w:rsid w:val="008201E3"/>
    <w:rsid w:val="0082236E"/>
    <w:rsid w:val="00822A77"/>
    <w:rsid w:val="00824469"/>
    <w:rsid w:val="00825793"/>
    <w:rsid w:val="008338A4"/>
    <w:rsid w:val="00836329"/>
    <w:rsid w:val="00837650"/>
    <w:rsid w:val="00837C45"/>
    <w:rsid w:val="00843E09"/>
    <w:rsid w:val="00844730"/>
    <w:rsid w:val="008457C2"/>
    <w:rsid w:val="00850C7C"/>
    <w:rsid w:val="00850D15"/>
    <w:rsid w:val="008535D6"/>
    <w:rsid w:val="00853BA3"/>
    <w:rsid w:val="00857A82"/>
    <w:rsid w:val="008624C5"/>
    <w:rsid w:val="00862860"/>
    <w:rsid w:val="008631DA"/>
    <w:rsid w:val="00863EC0"/>
    <w:rsid w:val="00864276"/>
    <w:rsid w:val="008659AD"/>
    <w:rsid w:val="00865E49"/>
    <w:rsid w:val="00866AB2"/>
    <w:rsid w:val="00873836"/>
    <w:rsid w:val="00876A5E"/>
    <w:rsid w:val="00877F3E"/>
    <w:rsid w:val="00880199"/>
    <w:rsid w:val="008801FA"/>
    <w:rsid w:val="008834CA"/>
    <w:rsid w:val="0088487D"/>
    <w:rsid w:val="00884B43"/>
    <w:rsid w:val="00885737"/>
    <w:rsid w:val="00885C58"/>
    <w:rsid w:val="00890650"/>
    <w:rsid w:val="00890691"/>
    <w:rsid w:val="00896D4A"/>
    <w:rsid w:val="00897E12"/>
    <w:rsid w:val="008A115F"/>
    <w:rsid w:val="008A1540"/>
    <w:rsid w:val="008A2C9F"/>
    <w:rsid w:val="008A322A"/>
    <w:rsid w:val="008A4D59"/>
    <w:rsid w:val="008A7E0F"/>
    <w:rsid w:val="008B12F5"/>
    <w:rsid w:val="008B3E01"/>
    <w:rsid w:val="008B435D"/>
    <w:rsid w:val="008B4C3E"/>
    <w:rsid w:val="008B578A"/>
    <w:rsid w:val="008C197F"/>
    <w:rsid w:val="008C257A"/>
    <w:rsid w:val="008C4C02"/>
    <w:rsid w:val="008C549C"/>
    <w:rsid w:val="008C5F03"/>
    <w:rsid w:val="008D71AE"/>
    <w:rsid w:val="008D768D"/>
    <w:rsid w:val="008E0155"/>
    <w:rsid w:val="008E05A8"/>
    <w:rsid w:val="008E3759"/>
    <w:rsid w:val="008E399E"/>
    <w:rsid w:val="008E52E1"/>
    <w:rsid w:val="008E7C90"/>
    <w:rsid w:val="008F1912"/>
    <w:rsid w:val="008F2733"/>
    <w:rsid w:val="008F27BC"/>
    <w:rsid w:val="008F40D8"/>
    <w:rsid w:val="008F4659"/>
    <w:rsid w:val="008F5912"/>
    <w:rsid w:val="008F79EA"/>
    <w:rsid w:val="009015D6"/>
    <w:rsid w:val="0090241D"/>
    <w:rsid w:val="0090270B"/>
    <w:rsid w:val="009041DC"/>
    <w:rsid w:val="009048F8"/>
    <w:rsid w:val="009049E4"/>
    <w:rsid w:val="00904FE2"/>
    <w:rsid w:val="00905310"/>
    <w:rsid w:val="00910B94"/>
    <w:rsid w:val="00911335"/>
    <w:rsid w:val="009155D2"/>
    <w:rsid w:val="00917B5A"/>
    <w:rsid w:val="009207F2"/>
    <w:rsid w:val="00920A58"/>
    <w:rsid w:val="00920A8C"/>
    <w:rsid w:val="00923F47"/>
    <w:rsid w:val="00924128"/>
    <w:rsid w:val="00926026"/>
    <w:rsid w:val="00926164"/>
    <w:rsid w:val="00926955"/>
    <w:rsid w:val="00927795"/>
    <w:rsid w:val="0093032C"/>
    <w:rsid w:val="00934A2C"/>
    <w:rsid w:val="00947779"/>
    <w:rsid w:val="00950675"/>
    <w:rsid w:val="00952987"/>
    <w:rsid w:val="00955A6D"/>
    <w:rsid w:val="00964C5D"/>
    <w:rsid w:val="0096706E"/>
    <w:rsid w:val="00970313"/>
    <w:rsid w:val="0097387F"/>
    <w:rsid w:val="00975A6D"/>
    <w:rsid w:val="00975C4E"/>
    <w:rsid w:val="00975DEE"/>
    <w:rsid w:val="00981926"/>
    <w:rsid w:val="00981FBA"/>
    <w:rsid w:val="00983290"/>
    <w:rsid w:val="00983438"/>
    <w:rsid w:val="00985695"/>
    <w:rsid w:val="00985B8C"/>
    <w:rsid w:val="009934C4"/>
    <w:rsid w:val="00994FD4"/>
    <w:rsid w:val="00996901"/>
    <w:rsid w:val="00997BC5"/>
    <w:rsid w:val="009A2435"/>
    <w:rsid w:val="009A46C0"/>
    <w:rsid w:val="009A4F41"/>
    <w:rsid w:val="009A7BF3"/>
    <w:rsid w:val="009B1EBC"/>
    <w:rsid w:val="009B381B"/>
    <w:rsid w:val="009B4E59"/>
    <w:rsid w:val="009B7CBF"/>
    <w:rsid w:val="009C36AC"/>
    <w:rsid w:val="009C39A9"/>
    <w:rsid w:val="009C45FD"/>
    <w:rsid w:val="009D1753"/>
    <w:rsid w:val="009D2686"/>
    <w:rsid w:val="009D442E"/>
    <w:rsid w:val="009D7611"/>
    <w:rsid w:val="009E0B61"/>
    <w:rsid w:val="009E4914"/>
    <w:rsid w:val="009E53DE"/>
    <w:rsid w:val="009E7FCA"/>
    <w:rsid w:val="009F2C47"/>
    <w:rsid w:val="009F474E"/>
    <w:rsid w:val="009F4F3E"/>
    <w:rsid w:val="009F7F1B"/>
    <w:rsid w:val="00A00774"/>
    <w:rsid w:val="00A02F4E"/>
    <w:rsid w:val="00A03581"/>
    <w:rsid w:val="00A03CB2"/>
    <w:rsid w:val="00A04417"/>
    <w:rsid w:val="00A0538D"/>
    <w:rsid w:val="00A12A12"/>
    <w:rsid w:val="00A17AFF"/>
    <w:rsid w:val="00A210F8"/>
    <w:rsid w:val="00A21723"/>
    <w:rsid w:val="00A2624F"/>
    <w:rsid w:val="00A27814"/>
    <w:rsid w:val="00A30C53"/>
    <w:rsid w:val="00A31E50"/>
    <w:rsid w:val="00A328B3"/>
    <w:rsid w:val="00A351A4"/>
    <w:rsid w:val="00A35DD2"/>
    <w:rsid w:val="00A402D2"/>
    <w:rsid w:val="00A41369"/>
    <w:rsid w:val="00A43299"/>
    <w:rsid w:val="00A43B01"/>
    <w:rsid w:val="00A448AC"/>
    <w:rsid w:val="00A44E81"/>
    <w:rsid w:val="00A46581"/>
    <w:rsid w:val="00A46D85"/>
    <w:rsid w:val="00A50FCF"/>
    <w:rsid w:val="00A51456"/>
    <w:rsid w:val="00A528D1"/>
    <w:rsid w:val="00A55F36"/>
    <w:rsid w:val="00A5660F"/>
    <w:rsid w:val="00A574C9"/>
    <w:rsid w:val="00A610CD"/>
    <w:rsid w:val="00A635B6"/>
    <w:rsid w:val="00A647C7"/>
    <w:rsid w:val="00A66C58"/>
    <w:rsid w:val="00A67582"/>
    <w:rsid w:val="00A67A60"/>
    <w:rsid w:val="00A710EB"/>
    <w:rsid w:val="00A73DB2"/>
    <w:rsid w:val="00A75A83"/>
    <w:rsid w:val="00A77A40"/>
    <w:rsid w:val="00A77BD5"/>
    <w:rsid w:val="00A843D3"/>
    <w:rsid w:val="00A84A4D"/>
    <w:rsid w:val="00A84D80"/>
    <w:rsid w:val="00A906F9"/>
    <w:rsid w:val="00A91609"/>
    <w:rsid w:val="00A976A9"/>
    <w:rsid w:val="00AA09A2"/>
    <w:rsid w:val="00AA243F"/>
    <w:rsid w:val="00AA7996"/>
    <w:rsid w:val="00AB0044"/>
    <w:rsid w:val="00AB0115"/>
    <w:rsid w:val="00AB1DA8"/>
    <w:rsid w:val="00AB4C61"/>
    <w:rsid w:val="00AB6EB0"/>
    <w:rsid w:val="00AB7309"/>
    <w:rsid w:val="00AC10C2"/>
    <w:rsid w:val="00AC19CB"/>
    <w:rsid w:val="00AC1CA8"/>
    <w:rsid w:val="00AC1F90"/>
    <w:rsid w:val="00AC2AAC"/>
    <w:rsid w:val="00AC410B"/>
    <w:rsid w:val="00AC4A9E"/>
    <w:rsid w:val="00AC54D8"/>
    <w:rsid w:val="00AC565D"/>
    <w:rsid w:val="00AC5720"/>
    <w:rsid w:val="00AC5C48"/>
    <w:rsid w:val="00AD2A48"/>
    <w:rsid w:val="00AD2BB2"/>
    <w:rsid w:val="00AE0AA9"/>
    <w:rsid w:val="00AE5488"/>
    <w:rsid w:val="00AE67CD"/>
    <w:rsid w:val="00AE6F91"/>
    <w:rsid w:val="00AE765D"/>
    <w:rsid w:val="00AF00B9"/>
    <w:rsid w:val="00AF0872"/>
    <w:rsid w:val="00AF5571"/>
    <w:rsid w:val="00B01623"/>
    <w:rsid w:val="00B0644C"/>
    <w:rsid w:val="00B07341"/>
    <w:rsid w:val="00B1253A"/>
    <w:rsid w:val="00B12675"/>
    <w:rsid w:val="00B13A9D"/>
    <w:rsid w:val="00B14751"/>
    <w:rsid w:val="00B17393"/>
    <w:rsid w:val="00B17593"/>
    <w:rsid w:val="00B26D14"/>
    <w:rsid w:val="00B27496"/>
    <w:rsid w:val="00B30371"/>
    <w:rsid w:val="00B3040B"/>
    <w:rsid w:val="00B30539"/>
    <w:rsid w:val="00B307CB"/>
    <w:rsid w:val="00B314DB"/>
    <w:rsid w:val="00B34AAB"/>
    <w:rsid w:val="00B34F42"/>
    <w:rsid w:val="00B361F2"/>
    <w:rsid w:val="00B363D9"/>
    <w:rsid w:val="00B3718B"/>
    <w:rsid w:val="00B41C85"/>
    <w:rsid w:val="00B4632A"/>
    <w:rsid w:val="00B5224D"/>
    <w:rsid w:val="00B52678"/>
    <w:rsid w:val="00B530F1"/>
    <w:rsid w:val="00B536FE"/>
    <w:rsid w:val="00B543B8"/>
    <w:rsid w:val="00B55F4F"/>
    <w:rsid w:val="00B569C3"/>
    <w:rsid w:val="00B6515C"/>
    <w:rsid w:val="00B71184"/>
    <w:rsid w:val="00B71EDD"/>
    <w:rsid w:val="00B72091"/>
    <w:rsid w:val="00B720FA"/>
    <w:rsid w:val="00B75FEB"/>
    <w:rsid w:val="00B76372"/>
    <w:rsid w:val="00B91587"/>
    <w:rsid w:val="00B92AD7"/>
    <w:rsid w:val="00B95AA9"/>
    <w:rsid w:val="00B95CAB"/>
    <w:rsid w:val="00B96F19"/>
    <w:rsid w:val="00BA276C"/>
    <w:rsid w:val="00BA4B05"/>
    <w:rsid w:val="00BA51F2"/>
    <w:rsid w:val="00BA6B08"/>
    <w:rsid w:val="00BA6BAC"/>
    <w:rsid w:val="00BB164C"/>
    <w:rsid w:val="00BB306F"/>
    <w:rsid w:val="00BB3715"/>
    <w:rsid w:val="00BB4BE6"/>
    <w:rsid w:val="00BB60A6"/>
    <w:rsid w:val="00BB664E"/>
    <w:rsid w:val="00BB6BCB"/>
    <w:rsid w:val="00BC01AD"/>
    <w:rsid w:val="00BC235F"/>
    <w:rsid w:val="00BC2685"/>
    <w:rsid w:val="00BC6072"/>
    <w:rsid w:val="00BC635A"/>
    <w:rsid w:val="00BC7B21"/>
    <w:rsid w:val="00BC7BBF"/>
    <w:rsid w:val="00BD06DC"/>
    <w:rsid w:val="00BD36F0"/>
    <w:rsid w:val="00BD4837"/>
    <w:rsid w:val="00BD4B89"/>
    <w:rsid w:val="00BD4BAA"/>
    <w:rsid w:val="00BD4BD7"/>
    <w:rsid w:val="00BE0583"/>
    <w:rsid w:val="00BE26E6"/>
    <w:rsid w:val="00BE46E5"/>
    <w:rsid w:val="00BE4746"/>
    <w:rsid w:val="00BE7B05"/>
    <w:rsid w:val="00BF02CB"/>
    <w:rsid w:val="00BF0E69"/>
    <w:rsid w:val="00BF1968"/>
    <w:rsid w:val="00BF1D10"/>
    <w:rsid w:val="00BF1D3B"/>
    <w:rsid w:val="00BF4660"/>
    <w:rsid w:val="00BF47E7"/>
    <w:rsid w:val="00BF5DF0"/>
    <w:rsid w:val="00BF62F4"/>
    <w:rsid w:val="00BF6472"/>
    <w:rsid w:val="00BF6F8F"/>
    <w:rsid w:val="00BF6FD8"/>
    <w:rsid w:val="00C03680"/>
    <w:rsid w:val="00C04851"/>
    <w:rsid w:val="00C054DF"/>
    <w:rsid w:val="00C15782"/>
    <w:rsid w:val="00C16186"/>
    <w:rsid w:val="00C21762"/>
    <w:rsid w:val="00C24543"/>
    <w:rsid w:val="00C256A2"/>
    <w:rsid w:val="00C266C8"/>
    <w:rsid w:val="00C26B03"/>
    <w:rsid w:val="00C41391"/>
    <w:rsid w:val="00C415BB"/>
    <w:rsid w:val="00C41EF4"/>
    <w:rsid w:val="00C429A1"/>
    <w:rsid w:val="00C443F0"/>
    <w:rsid w:val="00C46170"/>
    <w:rsid w:val="00C500EF"/>
    <w:rsid w:val="00C51515"/>
    <w:rsid w:val="00C536F9"/>
    <w:rsid w:val="00C55006"/>
    <w:rsid w:val="00C56230"/>
    <w:rsid w:val="00C5660B"/>
    <w:rsid w:val="00C56916"/>
    <w:rsid w:val="00C570C9"/>
    <w:rsid w:val="00C61A2E"/>
    <w:rsid w:val="00C631B8"/>
    <w:rsid w:val="00C6581C"/>
    <w:rsid w:val="00C66B72"/>
    <w:rsid w:val="00C73C2A"/>
    <w:rsid w:val="00C74411"/>
    <w:rsid w:val="00C847EA"/>
    <w:rsid w:val="00C90611"/>
    <w:rsid w:val="00C92A89"/>
    <w:rsid w:val="00C94DA9"/>
    <w:rsid w:val="00C9567A"/>
    <w:rsid w:val="00C96394"/>
    <w:rsid w:val="00CA0650"/>
    <w:rsid w:val="00CA74F2"/>
    <w:rsid w:val="00CB212D"/>
    <w:rsid w:val="00CB24F2"/>
    <w:rsid w:val="00CB2660"/>
    <w:rsid w:val="00CB5945"/>
    <w:rsid w:val="00CC0270"/>
    <w:rsid w:val="00CC345B"/>
    <w:rsid w:val="00CC41A4"/>
    <w:rsid w:val="00CC5E90"/>
    <w:rsid w:val="00CC655D"/>
    <w:rsid w:val="00CC689C"/>
    <w:rsid w:val="00CD046C"/>
    <w:rsid w:val="00CD1B3A"/>
    <w:rsid w:val="00CD757C"/>
    <w:rsid w:val="00CE0295"/>
    <w:rsid w:val="00CE076C"/>
    <w:rsid w:val="00CE097E"/>
    <w:rsid w:val="00CE5199"/>
    <w:rsid w:val="00CE66D5"/>
    <w:rsid w:val="00CF05F5"/>
    <w:rsid w:val="00CF4535"/>
    <w:rsid w:val="00CF637A"/>
    <w:rsid w:val="00CF6FB4"/>
    <w:rsid w:val="00D0197B"/>
    <w:rsid w:val="00D01B32"/>
    <w:rsid w:val="00D0242A"/>
    <w:rsid w:val="00D03166"/>
    <w:rsid w:val="00D04A6C"/>
    <w:rsid w:val="00D059DE"/>
    <w:rsid w:val="00D06F3E"/>
    <w:rsid w:val="00D10FBF"/>
    <w:rsid w:val="00D11E7B"/>
    <w:rsid w:val="00D12017"/>
    <w:rsid w:val="00D13FCE"/>
    <w:rsid w:val="00D20969"/>
    <w:rsid w:val="00D2776B"/>
    <w:rsid w:val="00D27EA6"/>
    <w:rsid w:val="00D306D1"/>
    <w:rsid w:val="00D317A4"/>
    <w:rsid w:val="00D34786"/>
    <w:rsid w:val="00D37BFC"/>
    <w:rsid w:val="00D417B0"/>
    <w:rsid w:val="00D4236E"/>
    <w:rsid w:val="00D43B5F"/>
    <w:rsid w:val="00D4440C"/>
    <w:rsid w:val="00D4501D"/>
    <w:rsid w:val="00D45C26"/>
    <w:rsid w:val="00D46B46"/>
    <w:rsid w:val="00D46ED0"/>
    <w:rsid w:val="00D47A8E"/>
    <w:rsid w:val="00D52D14"/>
    <w:rsid w:val="00D6633F"/>
    <w:rsid w:val="00D712D3"/>
    <w:rsid w:val="00D71422"/>
    <w:rsid w:val="00D72DC6"/>
    <w:rsid w:val="00D74A50"/>
    <w:rsid w:val="00D7558D"/>
    <w:rsid w:val="00D76F39"/>
    <w:rsid w:val="00D81D92"/>
    <w:rsid w:val="00D8238B"/>
    <w:rsid w:val="00D85EB5"/>
    <w:rsid w:val="00D931E9"/>
    <w:rsid w:val="00D94A73"/>
    <w:rsid w:val="00D963FB"/>
    <w:rsid w:val="00D97F92"/>
    <w:rsid w:val="00DA00BD"/>
    <w:rsid w:val="00DA68D6"/>
    <w:rsid w:val="00DA7B5F"/>
    <w:rsid w:val="00DB2209"/>
    <w:rsid w:val="00DB38FA"/>
    <w:rsid w:val="00DB3EE1"/>
    <w:rsid w:val="00DB3EF2"/>
    <w:rsid w:val="00DB49A4"/>
    <w:rsid w:val="00DB676B"/>
    <w:rsid w:val="00DC11E7"/>
    <w:rsid w:val="00DC2045"/>
    <w:rsid w:val="00DC3AD6"/>
    <w:rsid w:val="00DC696F"/>
    <w:rsid w:val="00DC7023"/>
    <w:rsid w:val="00DC769A"/>
    <w:rsid w:val="00DD0DCA"/>
    <w:rsid w:val="00DD3340"/>
    <w:rsid w:val="00DD3D86"/>
    <w:rsid w:val="00DD6165"/>
    <w:rsid w:val="00DD7B3E"/>
    <w:rsid w:val="00DD7F36"/>
    <w:rsid w:val="00DE0588"/>
    <w:rsid w:val="00DE09B2"/>
    <w:rsid w:val="00DE2C5E"/>
    <w:rsid w:val="00DE45C2"/>
    <w:rsid w:val="00DE492C"/>
    <w:rsid w:val="00DE6F62"/>
    <w:rsid w:val="00DF1B21"/>
    <w:rsid w:val="00DF1EC4"/>
    <w:rsid w:val="00DF7447"/>
    <w:rsid w:val="00DF7F29"/>
    <w:rsid w:val="00E00A4F"/>
    <w:rsid w:val="00E019A9"/>
    <w:rsid w:val="00E0340B"/>
    <w:rsid w:val="00E04A90"/>
    <w:rsid w:val="00E05B26"/>
    <w:rsid w:val="00E061F2"/>
    <w:rsid w:val="00E07140"/>
    <w:rsid w:val="00E102DC"/>
    <w:rsid w:val="00E11094"/>
    <w:rsid w:val="00E1761B"/>
    <w:rsid w:val="00E211BA"/>
    <w:rsid w:val="00E219C7"/>
    <w:rsid w:val="00E220A5"/>
    <w:rsid w:val="00E23F72"/>
    <w:rsid w:val="00E25619"/>
    <w:rsid w:val="00E27009"/>
    <w:rsid w:val="00E27FB4"/>
    <w:rsid w:val="00E35A2D"/>
    <w:rsid w:val="00E41AB8"/>
    <w:rsid w:val="00E42BFE"/>
    <w:rsid w:val="00E43157"/>
    <w:rsid w:val="00E461CE"/>
    <w:rsid w:val="00E4797F"/>
    <w:rsid w:val="00E51D82"/>
    <w:rsid w:val="00E5245A"/>
    <w:rsid w:val="00E524ED"/>
    <w:rsid w:val="00E5253C"/>
    <w:rsid w:val="00E53C80"/>
    <w:rsid w:val="00E543D8"/>
    <w:rsid w:val="00E55A9B"/>
    <w:rsid w:val="00E653BF"/>
    <w:rsid w:val="00E6652E"/>
    <w:rsid w:val="00E66823"/>
    <w:rsid w:val="00E67804"/>
    <w:rsid w:val="00E70581"/>
    <w:rsid w:val="00E720CA"/>
    <w:rsid w:val="00E73DDF"/>
    <w:rsid w:val="00E74F1A"/>
    <w:rsid w:val="00E75F66"/>
    <w:rsid w:val="00E76140"/>
    <w:rsid w:val="00E77674"/>
    <w:rsid w:val="00E7774B"/>
    <w:rsid w:val="00E829CF"/>
    <w:rsid w:val="00E82A08"/>
    <w:rsid w:val="00E82C91"/>
    <w:rsid w:val="00E846A2"/>
    <w:rsid w:val="00E84EB5"/>
    <w:rsid w:val="00E85662"/>
    <w:rsid w:val="00E8789F"/>
    <w:rsid w:val="00E916AD"/>
    <w:rsid w:val="00E9417D"/>
    <w:rsid w:val="00E94215"/>
    <w:rsid w:val="00E96952"/>
    <w:rsid w:val="00E97B71"/>
    <w:rsid w:val="00EA2A65"/>
    <w:rsid w:val="00EA3D34"/>
    <w:rsid w:val="00EB0B71"/>
    <w:rsid w:val="00EB454D"/>
    <w:rsid w:val="00EC73E0"/>
    <w:rsid w:val="00ED07C1"/>
    <w:rsid w:val="00ED0B01"/>
    <w:rsid w:val="00ED4193"/>
    <w:rsid w:val="00ED4FEE"/>
    <w:rsid w:val="00ED5E77"/>
    <w:rsid w:val="00ED71E3"/>
    <w:rsid w:val="00ED76BE"/>
    <w:rsid w:val="00EE0670"/>
    <w:rsid w:val="00EE0B6C"/>
    <w:rsid w:val="00EE1790"/>
    <w:rsid w:val="00EE4258"/>
    <w:rsid w:val="00EE57CE"/>
    <w:rsid w:val="00EF141E"/>
    <w:rsid w:val="00EF5D31"/>
    <w:rsid w:val="00EF619B"/>
    <w:rsid w:val="00EF74CB"/>
    <w:rsid w:val="00EF7CF9"/>
    <w:rsid w:val="00F00B55"/>
    <w:rsid w:val="00F0254C"/>
    <w:rsid w:val="00F02AD1"/>
    <w:rsid w:val="00F03624"/>
    <w:rsid w:val="00F04D0E"/>
    <w:rsid w:val="00F12C4A"/>
    <w:rsid w:val="00F13801"/>
    <w:rsid w:val="00F14CDA"/>
    <w:rsid w:val="00F16288"/>
    <w:rsid w:val="00F21B62"/>
    <w:rsid w:val="00F2457F"/>
    <w:rsid w:val="00F253CC"/>
    <w:rsid w:val="00F2549D"/>
    <w:rsid w:val="00F254E7"/>
    <w:rsid w:val="00F25B5F"/>
    <w:rsid w:val="00F30A81"/>
    <w:rsid w:val="00F32FCE"/>
    <w:rsid w:val="00F35F45"/>
    <w:rsid w:val="00F37106"/>
    <w:rsid w:val="00F40656"/>
    <w:rsid w:val="00F42FCB"/>
    <w:rsid w:val="00F44E9F"/>
    <w:rsid w:val="00F46BB9"/>
    <w:rsid w:val="00F519CF"/>
    <w:rsid w:val="00F5222B"/>
    <w:rsid w:val="00F52A8E"/>
    <w:rsid w:val="00F55A6D"/>
    <w:rsid w:val="00F55C2B"/>
    <w:rsid w:val="00F564F3"/>
    <w:rsid w:val="00F56BA5"/>
    <w:rsid w:val="00F60E22"/>
    <w:rsid w:val="00F80322"/>
    <w:rsid w:val="00F80798"/>
    <w:rsid w:val="00F80A35"/>
    <w:rsid w:val="00F81395"/>
    <w:rsid w:val="00F824BE"/>
    <w:rsid w:val="00F84390"/>
    <w:rsid w:val="00F85044"/>
    <w:rsid w:val="00F908C0"/>
    <w:rsid w:val="00F911C4"/>
    <w:rsid w:val="00F917D1"/>
    <w:rsid w:val="00F92855"/>
    <w:rsid w:val="00F9321B"/>
    <w:rsid w:val="00F94E32"/>
    <w:rsid w:val="00F95519"/>
    <w:rsid w:val="00F95593"/>
    <w:rsid w:val="00F95BF1"/>
    <w:rsid w:val="00F9653B"/>
    <w:rsid w:val="00FA132A"/>
    <w:rsid w:val="00FA18E8"/>
    <w:rsid w:val="00FA3BFE"/>
    <w:rsid w:val="00FA4224"/>
    <w:rsid w:val="00FA4254"/>
    <w:rsid w:val="00FA60FC"/>
    <w:rsid w:val="00FB0354"/>
    <w:rsid w:val="00FB1228"/>
    <w:rsid w:val="00FB62CF"/>
    <w:rsid w:val="00FB7C60"/>
    <w:rsid w:val="00FC62A4"/>
    <w:rsid w:val="00FD0754"/>
    <w:rsid w:val="00FD248D"/>
    <w:rsid w:val="00FD294B"/>
    <w:rsid w:val="00FD2FEE"/>
    <w:rsid w:val="00FD359A"/>
    <w:rsid w:val="00FD35DB"/>
    <w:rsid w:val="00FD3C3B"/>
    <w:rsid w:val="00FD3EE5"/>
    <w:rsid w:val="00FD7C5E"/>
    <w:rsid w:val="00FE07DD"/>
    <w:rsid w:val="00FE3135"/>
    <w:rsid w:val="00FE3D34"/>
    <w:rsid w:val="00FE6174"/>
    <w:rsid w:val="00FE6B45"/>
    <w:rsid w:val="00FF1BB4"/>
    <w:rsid w:val="00FF2BDE"/>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0385F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2A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US" w:eastAsia="en-US"/>
    </w:rPr>
  </w:style>
  <w:style w:type="paragraph" w:styleId="Heading1">
    <w:name w:val="heading 1"/>
    <w:basedOn w:val="ListParagraph"/>
    <w:next w:val="Normal"/>
    <w:link w:val="Heading1Char"/>
    <w:uiPriority w:val="9"/>
    <w:qFormat/>
    <w:rsid w:val="00F2549D"/>
    <w:pPr>
      <w:numPr>
        <w:numId w:val="54"/>
      </w:numPr>
      <w:tabs>
        <w:tab w:val="center" w:pos="5400"/>
      </w:tabs>
      <w:suppressAutoHyphens/>
      <w:spacing w:line="276" w:lineRule="auto"/>
      <w:outlineLvl w:val="0"/>
    </w:pPr>
    <w:rPr>
      <w:rFonts w:asciiTheme="majorHAnsi" w:hAnsiTheme="majorHAnsi"/>
      <w:b/>
      <w:sz w:val="20"/>
      <w:szCs w:val="20"/>
      <w:lang w:val="es-ES_tradnl"/>
    </w:rPr>
  </w:style>
  <w:style w:type="paragraph" w:styleId="Heading2">
    <w:name w:val="heading 2"/>
    <w:basedOn w:val="ListParagraph"/>
    <w:next w:val="Normal"/>
    <w:link w:val="Heading2Char"/>
    <w:qFormat/>
    <w:rsid w:val="00B95AA9"/>
    <w:pPr>
      <w:numPr>
        <w:numId w:val="55"/>
      </w:numPr>
      <w:outlineLvl w:val="1"/>
    </w:pPr>
    <w:rPr>
      <w:b/>
      <w:sz w:val="20"/>
      <w:szCs w:val="20"/>
      <w:lang w:val="es-ES_tradnl"/>
    </w:rPr>
  </w:style>
  <w:style w:type="paragraph" w:styleId="Heading3">
    <w:name w:val="heading 3"/>
    <w:basedOn w:val="Normal"/>
    <w:next w:val="Normal"/>
    <w:link w:val="Heading3Char"/>
    <w:qFormat/>
    <w:rsid w:val="00A51456"/>
    <w:pPr>
      <w:pBdr>
        <w:top w:val="nil"/>
        <w:left w:val="nil"/>
        <w:bottom w:val="nil"/>
        <w:right w:val="nil"/>
        <w:between w:val="nil"/>
        <w:bar w:val="nil"/>
      </w:pBdr>
      <w:outlineLvl w:val="2"/>
    </w:pPr>
    <w:rPr>
      <w:rFonts w:ascii="Cambria" w:eastAsia="Arial Unicode MS" w:hAnsi="Cambria"/>
      <w:b/>
      <w:sz w:val="20"/>
      <w:szCs w:val="20"/>
      <w:bdr w:val="nil"/>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arragrap,Superíndice,Dot pt,No Spacing1,List Paragraph Char Char Char,Indicator Text,List Paragraph1,Numbered Para 1,4 Párrafo de lista,Figuras,DH1,4 Párrafo de l,Colorful List - Accent 11,Bullet 1,F5 List Paragraph,Bullet Points,Ha"/>
    <w:link w:val="ListParagraphChar"/>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pPr>
      <w:pBdr>
        <w:top w:val="nil"/>
        <w:left w:val="nil"/>
        <w:bottom w:val="nil"/>
        <w:right w:val="nil"/>
        <w:between w:val="nil"/>
        <w:bar w:val="nil"/>
      </w:pBdr>
    </w:pPr>
    <w:rPr>
      <w:rFonts w:ascii="Tahoma" w:eastAsia="Arial Unicode MS" w:hAnsi="Tahoma" w:cs="Tahoma"/>
      <w:sz w:val="16"/>
      <w:szCs w:val="16"/>
      <w:bdr w:val="nil"/>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F2549D"/>
    <w:rPr>
      <w:rFonts w:asciiTheme="majorHAnsi" w:eastAsia="Cambria" w:hAnsiTheme="majorHAnsi" w:cs="Cambria"/>
      <w:b/>
      <w:color w:val="000000"/>
      <w:u w:color="000000"/>
      <w:lang w:val="es-ES_tradnl"/>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rFonts w:eastAsia="Arial Unicode MS"/>
      <w:bdr w:val="nil"/>
    </w:rPr>
  </w:style>
  <w:style w:type="paragraph" w:styleId="TOC1">
    <w:name w:val="toc 1"/>
    <w:basedOn w:val="Normal"/>
    <w:next w:val="Normal"/>
    <w:autoRedefine/>
    <w:uiPriority w:val="39"/>
    <w:unhideWhenUsed/>
    <w:rsid w:val="00323FC1"/>
    <w:pPr>
      <w:pBdr>
        <w:top w:val="nil"/>
        <w:left w:val="nil"/>
        <w:bottom w:val="nil"/>
        <w:right w:val="nil"/>
        <w:between w:val="nil"/>
        <w:bar w:val="nil"/>
      </w:pBdr>
      <w:tabs>
        <w:tab w:val="left" w:pos="1440"/>
        <w:tab w:val="right" w:leader="dot" w:pos="9350"/>
      </w:tabs>
      <w:spacing w:after="100"/>
      <w:jc w:val="both"/>
    </w:pPr>
    <w:rPr>
      <w:rFonts w:asciiTheme="majorHAnsi" w:hAnsiTheme="majorHAnsi"/>
      <w:b/>
      <w:bCs/>
      <w:sz w:val="20"/>
      <w:szCs w:val="20"/>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rFonts w:eastAsia="Arial Unicode MS"/>
      <w:bdr w:val="nil"/>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rFonts w:eastAsia="Arial Unicode MS"/>
      <w:bdr w:val="nil"/>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pBdr>
        <w:top w:val="nil"/>
        <w:left w:val="nil"/>
        <w:bottom w:val="nil"/>
        <w:right w:val="nil"/>
        <w:between w:val="nil"/>
        <w:bar w:val="nil"/>
      </w:pBdr>
      <w:spacing w:after="120"/>
    </w:pPr>
    <w:rPr>
      <w:rFonts w:eastAsia="Arial Unicode MS"/>
      <w:bdr w:val="nil"/>
    </w:r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B95AA9"/>
    <w:rPr>
      <w:rFonts w:ascii="Cambria" w:eastAsia="Cambria" w:hAnsi="Cambria" w:cs="Cambria"/>
      <w:b/>
      <w:color w:val="000000"/>
      <w:u w:color="000000"/>
      <w:lang w:val="es-ES_tradnl"/>
    </w:rPr>
  </w:style>
  <w:style w:type="character" w:customStyle="1" w:styleId="Heading3Char">
    <w:name w:val="Heading 3 Char"/>
    <w:basedOn w:val="DefaultParagraphFont"/>
    <w:link w:val="Heading3"/>
    <w:rsid w:val="00A51456"/>
    <w:rPr>
      <w:rFonts w:ascii="Cambria" w:hAnsi="Cambria"/>
      <w:b/>
      <w:lang w:val="es-ES_tradnl"/>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NormalWeb">
    <w:name w:val="Normal (Web)"/>
    <w:basedOn w:val="Normal"/>
    <w:uiPriority w:val="99"/>
    <w:unhideWhenUsed/>
    <w:rsid w:val="00191A77"/>
    <w:pPr>
      <w:spacing w:before="100" w:beforeAutospacing="1" w:after="100" w:afterAutospacing="1"/>
    </w:pPr>
  </w:style>
  <w:style w:type="character" w:customStyle="1" w:styleId="n">
    <w:name w:val="n"/>
    <w:basedOn w:val="DefaultParagraphFont"/>
    <w:rsid w:val="005854F6"/>
  </w:style>
  <w:style w:type="character" w:styleId="CommentReference">
    <w:name w:val="annotation reference"/>
    <w:basedOn w:val="DefaultParagraphFont"/>
    <w:uiPriority w:val="99"/>
    <w:semiHidden/>
    <w:unhideWhenUsed/>
    <w:rsid w:val="00ED4FEE"/>
    <w:rPr>
      <w:sz w:val="16"/>
      <w:szCs w:val="16"/>
    </w:rPr>
  </w:style>
  <w:style w:type="paragraph" w:styleId="CommentText">
    <w:name w:val="annotation text"/>
    <w:basedOn w:val="Normal"/>
    <w:link w:val="CommentTextChar"/>
    <w:uiPriority w:val="99"/>
    <w:semiHidden/>
    <w:unhideWhenUsed/>
    <w:rsid w:val="00ED4FEE"/>
    <w:pPr>
      <w:pBdr>
        <w:top w:val="nil"/>
        <w:left w:val="nil"/>
        <w:bottom w:val="nil"/>
        <w:right w:val="nil"/>
        <w:between w:val="nil"/>
        <w:bar w:val="nil"/>
      </w:pBdr>
    </w:pPr>
    <w:rPr>
      <w:rFonts w:eastAsia="Arial Unicode MS"/>
      <w:sz w:val="20"/>
      <w:szCs w:val="20"/>
      <w:bdr w:val="nil"/>
    </w:rPr>
  </w:style>
  <w:style w:type="character" w:customStyle="1" w:styleId="CommentTextChar">
    <w:name w:val="Comment Text Char"/>
    <w:basedOn w:val="DefaultParagraphFont"/>
    <w:link w:val="CommentText"/>
    <w:uiPriority w:val="99"/>
    <w:semiHidden/>
    <w:rsid w:val="00ED4FEE"/>
    <w:rPr>
      <w:lang w:val="en-US" w:eastAsia="en-US"/>
    </w:rPr>
  </w:style>
  <w:style w:type="paragraph" w:styleId="CommentSubject">
    <w:name w:val="annotation subject"/>
    <w:basedOn w:val="CommentText"/>
    <w:next w:val="CommentText"/>
    <w:link w:val="CommentSubjectChar"/>
    <w:uiPriority w:val="99"/>
    <w:semiHidden/>
    <w:unhideWhenUsed/>
    <w:rsid w:val="00ED4FEE"/>
    <w:rPr>
      <w:b/>
      <w:bCs/>
    </w:rPr>
  </w:style>
  <w:style w:type="character" w:customStyle="1" w:styleId="CommentSubjectChar">
    <w:name w:val="Comment Subject Char"/>
    <w:basedOn w:val="CommentTextChar"/>
    <w:link w:val="CommentSubject"/>
    <w:uiPriority w:val="99"/>
    <w:semiHidden/>
    <w:rsid w:val="00ED4FEE"/>
    <w:rPr>
      <w:b/>
      <w:bCs/>
      <w:lang w:val="en-US" w:eastAsia="en-US"/>
    </w:rPr>
  </w:style>
  <w:style w:type="paragraph" w:styleId="NoSpacing">
    <w:name w:val="No Spacing"/>
    <w:uiPriority w:val="1"/>
    <w:qFormat/>
    <w:rsid w:val="004060D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US" w:eastAsia="en-US"/>
    </w:rPr>
  </w:style>
  <w:style w:type="paragraph" w:styleId="Title">
    <w:name w:val="Title"/>
    <w:basedOn w:val="Normal"/>
    <w:next w:val="Normal"/>
    <w:link w:val="TitleChar"/>
    <w:uiPriority w:val="10"/>
    <w:qFormat/>
    <w:rsid w:val="00F35F4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F45"/>
    <w:rPr>
      <w:rFonts w:asciiTheme="majorHAnsi" w:eastAsiaTheme="majorEastAsia" w:hAnsiTheme="majorHAnsi" w:cstheme="majorBidi"/>
      <w:spacing w:val="-10"/>
      <w:kern w:val="28"/>
      <w:sz w:val="56"/>
      <w:szCs w:val="56"/>
      <w:bdr w:val="none" w:sz="0" w:space="0" w:color="auto"/>
      <w:lang w:val="en-US" w:eastAsia="en-US"/>
    </w:rPr>
  </w:style>
  <w:style w:type="paragraph" w:styleId="Subtitle">
    <w:name w:val="Subtitle"/>
    <w:basedOn w:val="Normal"/>
    <w:next w:val="Normal"/>
    <w:link w:val="SubtitleChar"/>
    <w:uiPriority w:val="11"/>
    <w:qFormat/>
    <w:rsid w:val="00F35F4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35F45"/>
    <w:rPr>
      <w:rFonts w:asciiTheme="minorHAnsi" w:eastAsiaTheme="minorEastAsia" w:hAnsiTheme="minorHAnsi" w:cstheme="minorBidi"/>
      <w:color w:val="5A5A5A" w:themeColor="text1" w:themeTint="A5"/>
      <w:spacing w:val="15"/>
      <w:sz w:val="22"/>
      <w:szCs w:val="22"/>
      <w:bdr w:val="none" w:sz="0" w:space="0" w:color="auto"/>
      <w:lang w:val="en-US" w:eastAsia="en-US"/>
    </w:rPr>
  </w:style>
  <w:style w:type="character" w:customStyle="1" w:styleId="UnresolvedMention1">
    <w:name w:val="Unresolved Mention1"/>
    <w:basedOn w:val="DefaultParagraphFont"/>
    <w:uiPriority w:val="99"/>
    <w:semiHidden/>
    <w:unhideWhenUsed/>
    <w:rsid w:val="007D4EDA"/>
    <w:rPr>
      <w:color w:val="605E5C"/>
      <w:shd w:val="clear" w:color="auto" w:fill="E1DFDD"/>
    </w:rPr>
  </w:style>
  <w:style w:type="character" w:styleId="FollowedHyperlink">
    <w:name w:val="FollowedHyperlink"/>
    <w:basedOn w:val="DefaultParagraphFont"/>
    <w:uiPriority w:val="99"/>
    <w:semiHidden/>
    <w:unhideWhenUsed/>
    <w:rsid w:val="007D4EDA"/>
    <w:rPr>
      <w:color w:val="800080" w:themeColor="followedHyperlink"/>
      <w:u w:val="single"/>
    </w:rPr>
  </w:style>
  <w:style w:type="character" w:styleId="PlaceholderText">
    <w:name w:val="Placeholder Text"/>
    <w:basedOn w:val="DefaultParagraphFont"/>
    <w:uiPriority w:val="99"/>
    <w:semiHidden/>
    <w:rsid w:val="00CA0650"/>
    <w:rPr>
      <w:color w:val="808080"/>
    </w:rPr>
  </w:style>
  <w:style w:type="paragraph" w:styleId="Quote">
    <w:name w:val="Quote"/>
    <w:basedOn w:val="Normal"/>
    <w:next w:val="Normal"/>
    <w:link w:val="QuoteChar"/>
    <w:uiPriority w:val="29"/>
    <w:qFormat/>
    <w:rsid w:val="008B578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B578A"/>
    <w:rPr>
      <w:rFonts w:eastAsia="Times New Roman"/>
      <w:i/>
      <w:iCs/>
      <w:color w:val="404040" w:themeColor="text1" w:themeTint="BF"/>
      <w:sz w:val="24"/>
      <w:szCs w:val="24"/>
      <w:bdr w:val="none" w:sz="0" w:space="0" w:color="auto"/>
      <w:lang w:val="en-US" w:eastAsia="en-US"/>
    </w:rPr>
  </w:style>
  <w:style w:type="character" w:styleId="Emphasis">
    <w:name w:val="Emphasis"/>
    <w:basedOn w:val="DefaultParagraphFont"/>
    <w:uiPriority w:val="20"/>
    <w:qFormat/>
    <w:rsid w:val="00693933"/>
    <w:rPr>
      <w:i/>
      <w:iCs/>
    </w:rPr>
  </w:style>
  <w:style w:type="character" w:styleId="Strong">
    <w:name w:val="Strong"/>
    <w:basedOn w:val="DefaultParagraphFont"/>
    <w:uiPriority w:val="22"/>
    <w:qFormat/>
    <w:rsid w:val="00EF7CF9"/>
    <w:rPr>
      <w:b/>
      <w:bC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EF7CF9"/>
    <w:pPr>
      <w:spacing w:after="160" w:line="240" w:lineRule="exact"/>
    </w:pPr>
    <w:rPr>
      <w:rFonts w:eastAsia="Arial Unicode MS"/>
      <w:sz w:val="20"/>
      <w:szCs w:val="20"/>
      <w:bdr w:val="nil"/>
      <w:vertAlign w:val="superscript"/>
      <w:lang w:val="es-ES" w:eastAsia="es-ES"/>
    </w:rPr>
  </w:style>
  <w:style w:type="character" w:customStyle="1" w:styleId="apple-converted-space">
    <w:name w:val="apple-converted-space"/>
    <w:basedOn w:val="DefaultParagraphFont"/>
    <w:rsid w:val="00F42FCB"/>
  </w:style>
  <w:style w:type="character" w:customStyle="1" w:styleId="Mencinsinresolver1">
    <w:name w:val="Mención sin resolver1"/>
    <w:basedOn w:val="DefaultParagraphFont"/>
    <w:uiPriority w:val="99"/>
    <w:semiHidden/>
    <w:unhideWhenUsed/>
    <w:rsid w:val="00003620"/>
    <w:rPr>
      <w:color w:val="605E5C"/>
      <w:shd w:val="clear" w:color="auto" w:fill="E1DFDD"/>
    </w:rPr>
  </w:style>
  <w:style w:type="character" w:customStyle="1" w:styleId="ListParagraphChar">
    <w:name w:val="List Paragraph Char"/>
    <w:aliases w:val="Parragrap Char,Superíndice Char,Dot pt Char,No Spacing1 Char,List Paragraph Char Char Char Char,Indicator Text Char,List Paragraph1 Char,Numbered Para 1 Char,4 Párrafo de lista Char,Figuras Char,DH1 Char,4 Párrafo de l Char,Ha Char"/>
    <w:link w:val="ListParagraph"/>
    <w:locked/>
    <w:rsid w:val="006B07DC"/>
    <w:rPr>
      <w:rFonts w:ascii="Cambria" w:eastAsia="Cambria" w:hAnsi="Cambria" w:cs="Cambria"/>
      <w:color w:val="000000"/>
      <w:sz w:val="24"/>
      <w:szCs w:val="24"/>
      <w:u w:color="000000"/>
      <w:lang w:val="en-US"/>
    </w:rPr>
  </w:style>
  <w:style w:type="paragraph" w:styleId="BodyTextIndent3">
    <w:name w:val="Body Text Indent 3"/>
    <w:basedOn w:val="Normal"/>
    <w:link w:val="BodyTextIndent3Char"/>
    <w:uiPriority w:val="99"/>
    <w:semiHidden/>
    <w:unhideWhenUsed/>
    <w:rsid w:val="00267A39"/>
    <w:pPr>
      <w:pBdr>
        <w:top w:val="nil"/>
        <w:left w:val="nil"/>
        <w:bottom w:val="nil"/>
        <w:right w:val="nil"/>
        <w:between w:val="nil"/>
        <w:bar w:val="nil"/>
      </w:pBdr>
      <w:spacing w:after="120"/>
      <w:ind w:left="360"/>
    </w:pPr>
    <w:rPr>
      <w:rFonts w:eastAsia="Arial Unicode MS"/>
      <w:sz w:val="16"/>
      <w:szCs w:val="16"/>
      <w:bdr w:val="nil"/>
    </w:rPr>
  </w:style>
  <w:style w:type="character" w:customStyle="1" w:styleId="BodyTextIndent3Char">
    <w:name w:val="Body Text Indent 3 Char"/>
    <w:basedOn w:val="DefaultParagraphFont"/>
    <w:link w:val="BodyTextIndent3"/>
    <w:uiPriority w:val="99"/>
    <w:semiHidden/>
    <w:rsid w:val="00267A39"/>
    <w:rPr>
      <w:sz w:val="16"/>
      <w:szCs w:val="16"/>
      <w:lang w:val="en-US" w:eastAsia="en-US"/>
    </w:rPr>
  </w:style>
  <w:style w:type="paragraph" w:styleId="TOCHeading">
    <w:name w:val="TOC Heading"/>
    <w:basedOn w:val="Heading1"/>
    <w:next w:val="Normal"/>
    <w:uiPriority w:val="39"/>
    <w:unhideWhenUsed/>
    <w:qFormat/>
    <w:rsid w:val="00B14751"/>
    <w:pPr>
      <w:keepNext/>
      <w:keepLines/>
      <w:numPr>
        <w:numId w:val="0"/>
      </w:numPr>
      <w:pBdr>
        <w:top w:val="none" w:sz="0" w:space="0" w:color="auto"/>
        <w:left w:val="none" w:sz="0" w:space="0" w:color="auto"/>
        <w:bottom w:val="none" w:sz="0" w:space="0" w:color="auto"/>
        <w:right w:val="none" w:sz="0" w:space="0" w:color="auto"/>
        <w:between w:val="none" w:sz="0" w:space="0" w:color="auto"/>
        <w:bar w:val="none" w:sz="0" w:color="auto"/>
      </w:pBdr>
      <w:tabs>
        <w:tab w:val="clear" w:pos="5400"/>
      </w:tabs>
      <w:suppressAutoHyphens w:val="0"/>
      <w:spacing w:before="240" w:line="259" w:lineRule="auto"/>
      <w:outlineLvl w:val="9"/>
    </w:pPr>
    <w:rPr>
      <w:rFonts w:eastAsiaTheme="majorEastAsia" w:cstheme="majorBidi"/>
      <w:b w:val="0"/>
      <w:color w:val="365F91" w:themeColor="accent1" w:themeShade="BF"/>
      <w:sz w:val="32"/>
      <w:szCs w:val="32"/>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8911">
      <w:bodyDiv w:val="1"/>
      <w:marLeft w:val="0"/>
      <w:marRight w:val="0"/>
      <w:marTop w:val="0"/>
      <w:marBottom w:val="0"/>
      <w:divBdr>
        <w:top w:val="none" w:sz="0" w:space="0" w:color="auto"/>
        <w:left w:val="none" w:sz="0" w:space="0" w:color="auto"/>
        <w:bottom w:val="none" w:sz="0" w:space="0" w:color="auto"/>
        <w:right w:val="none" w:sz="0" w:space="0" w:color="auto"/>
      </w:divBdr>
    </w:div>
    <w:div w:id="79181397">
      <w:bodyDiv w:val="1"/>
      <w:marLeft w:val="0"/>
      <w:marRight w:val="0"/>
      <w:marTop w:val="0"/>
      <w:marBottom w:val="0"/>
      <w:divBdr>
        <w:top w:val="none" w:sz="0" w:space="0" w:color="auto"/>
        <w:left w:val="none" w:sz="0" w:space="0" w:color="auto"/>
        <w:bottom w:val="none" w:sz="0" w:space="0" w:color="auto"/>
        <w:right w:val="none" w:sz="0" w:space="0" w:color="auto"/>
      </w:divBdr>
      <w:divsChild>
        <w:div w:id="1764256675">
          <w:marLeft w:val="0"/>
          <w:marRight w:val="0"/>
          <w:marTop w:val="0"/>
          <w:marBottom w:val="0"/>
          <w:divBdr>
            <w:top w:val="none" w:sz="0" w:space="0" w:color="auto"/>
            <w:left w:val="none" w:sz="0" w:space="0" w:color="auto"/>
            <w:bottom w:val="none" w:sz="0" w:space="0" w:color="auto"/>
            <w:right w:val="none" w:sz="0" w:space="0" w:color="auto"/>
          </w:divBdr>
          <w:divsChild>
            <w:div w:id="1646349480">
              <w:marLeft w:val="0"/>
              <w:marRight w:val="0"/>
              <w:marTop w:val="0"/>
              <w:marBottom w:val="0"/>
              <w:divBdr>
                <w:top w:val="none" w:sz="0" w:space="0" w:color="auto"/>
                <w:left w:val="none" w:sz="0" w:space="0" w:color="auto"/>
                <w:bottom w:val="none" w:sz="0" w:space="0" w:color="auto"/>
                <w:right w:val="none" w:sz="0" w:space="0" w:color="auto"/>
              </w:divBdr>
              <w:divsChild>
                <w:div w:id="16160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2288">
      <w:bodyDiv w:val="1"/>
      <w:marLeft w:val="0"/>
      <w:marRight w:val="0"/>
      <w:marTop w:val="0"/>
      <w:marBottom w:val="0"/>
      <w:divBdr>
        <w:top w:val="none" w:sz="0" w:space="0" w:color="auto"/>
        <w:left w:val="none" w:sz="0" w:space="0" w:color="auto"/>
        <w:bottom w:val="none" w:sz="0" w:space="0" w:color="auto"/>
        <w:right w:val="none" w:sz="0" w:space="0" w:color="auto"/>
      </w:divBdr>
    </w:div>
    <w:div w:id="168907246">
      <w:bodyDiv w:val="1"/>
      <w:marLeft w:val="0"/>
      <w:marRight w:val="0"/>
      <w:marTop w:val="0"/>
      <w:marBottom w:val="0"/>
      <w:divBdr>
        <w:top w:val="none" w:sz="0" w:space="0" w:color="auto"/>
        <w:left w:val="none" w:sz="0" w:space="0" w:color="auto"/>
        <w:bottom w:val="none" w:sz="0" w:space="0" w:color="auto"/>
        <w:right w:val="none" w:sz="0" w:space="0" w:color="auto"/>
      </w:divBdr>
      <w:divsChild>
        <w:div w:id="121122069">
          <w:marLeft w:val="0"/>
          <w:marRight w:val="0"/>
          <w:marTop w:val="0"/>
          <w:marBottom w:val="0"/>
          <w:divBdr>
            <w:top w:val="none" w:sz="0" w:space="0" w:color="auto"/>
            <w:left w:val="none" w:sz="0" w:space="0" w:color="auto"/>
            <w:bottom w:val="none" w:sz="0" w:space="0" w:color="auto"/>
            <w:right w:val="none" w:sz="0" w:space="0" w:color="auto"/>
          </w:divBdr>
          <w:divsChild>
            <w:div w:id="1491288446">
              <w:marLeft w:val="0"/>
              <w:marRight w:val="0"/>
              <w:marTop w:val="0"/>
              <w:marBottom w:val="0"/>
              <w:divBdr>
                <w:top w:val="none" w:sz="0" w:space="0" w:color="auto"/>
                <w:left w:val="none" w:sz="0" w:space="0" w:color="auto"/>
                <w:bottom w:val="none" w:sz="0" w:space="0" w:color="auto"/>
                <w:right w:val="none" w:sz="0" w:space="0" w:color="auto"/>
              </w:divBdr>
              <w:divsChild>
                <w:div w:id="11776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5621">
      <w:bodyDiv w:val="1"/>
      <w:marLeft w:val="0"/>
      <w:marRight w:val="0"/>
      <w:marTop w:val="0"/>
      <w:marBottom w:val="0"/>
      <w:divBdr>
        <w:top w:val="none" w:sz="0" w:space="0" w:color="auto"/>
        <w:left w:val="none" w:sz="0" w:space="0" w:color="auto"/>
        <w:bottom w:val="none" w:sz="0" w:space="0" w:color="auto"/>
        <w:right w:val="none" w:sz="0" w:space="0" w:color="auto"/>
      </w:divBdr>
    </w:div>
    <w:div w:id="182213116">
      <w:bodyDiv w:val="1"/>
      <w:marLeft w:val="0"/>
      <w:marRight w:val="0"/>
      <w:marTop w:val="0"/>
      <w:marBottom w:val="0"/>
      <w:divBdr>
        <w:top w:val="none" w:sz="0" w:space="0" w:color="auto"/>
        <w:left w:val="none" w:sz="0" w:space="0" w:color="auto"/>
        <w:bottom w:val="none" w:sz="0" w:space="0" w:color="auto"/>
        <w:right w:val="none" w:sz="0" w:space="0" w:color="auto"/>
      </w:divBdr>
      <w:divsChild>
        <w:div w:id="428281437">
          <w:marLeft w:val="0"/>
          <w:marRight w:val="0"/>
          <w:marTop w:val="0"/>
          <w:marBottom w:val="0"/>
          <w:divBdr>
            <w:top w:val="none" w:sz="0" w:space="0" w:color="auto"/>
            <w:left w:val="none" w:sz="0" w:space="0" w:color="auto"/>
            <w:bottom w:val="none" w:sz="0" w:space="0" w:color="auto"/>
            <w:right w:val="none" w:sz="0" w:space="0" w:color="auto"/>
          </w:divBdr>
          <w:divsChild>
            <w:div w:id="1326274847">
              <w:marLeft w:val="0"/>
              <w:marRight w:val="0"/>
              <w:marTop w:val="0"/>
              <w:marBottom w:val="0"/>
              <w:divBdr>
                <w:top w:val="none" w:sz="0" w:space="0" w:color="auto"/>
                <w:left w:val="none" w:sz="0" w:space="0" w:color="auto"/>
                <w:bottom w:val="none" w:sz="0" w:space="0" w:color="auto"/>
                <w:right w:val="none" w:sz="0" w:space="0" w:color="auto"/>
              </w:divBdr>
              <w:divsChild>
                <w:div w:id="1172062728">
                  <w:marLeft w:val="0"/>
                  <w:marRight w:val="0"/>
                  <w:marTop w:val="0"/>
                  <w:marBottom w:val="0"/>
                  <w:divBdr>
                    <w:top w:val="none" w:sz="0" w:space="0" w:color="auto"/>
                    <w:left w:val="none" w:sz="0" w:space="0" w:color="auto"/>
                    <w:bottom w:val="none" w:sz="0" w:space="0" w:color="auto"/>
                    <w:right w:val="none" w:sz="0" w:space="0" w:color="auto"/>
                  </w:divBdr>
                  <w:divsChild>
                    <w:div w:id="98181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5315">
      <w:bodyDiv w:val="1"/>
      <w:marLeft w:val="0"/>
      <w:marRight w:val="0"/>
      <w:marTop w:val="0"/>
      <w:marBottom w:val="0"/>
      <w:divBdr>
        <w:top w:val="none" w:sz="0" w:space="0" w:color="auto"/>
        <w:left w:val="none" w:sz="0" w:space="0" w:color="auto"/>
        <w:bottom w:val="none" w:sz="0" w:space="0" w:color="auto"/>
        <w:right w:val="none" w:sz="0" w:space="0" w:color="auto"/>
      </w:divBdr>
      <w:divsChild>
        <w:div w:id="753359492">
          <w:marLeft w:val="0"/>
          <w:marRight w:val="0"/>
          <w:marTop w:val="0"/>
          <w:marBottom w:val="0"/>
          <w:divBdr>
            <w:top w:val="none" w:sz="0" w:space="0" w:color="auto"/>
            <w:left w:val="none" w:sz="0" w:space="0" w:color="auto"/>
            <w:bottom w:val="none" w:sz="0" w:space="0" w:color="auto"/>
            <w:right w:val="none" w:sz="0" w:space="0" w:color="auto"/>
          </w:divBdr>
          <w:divsChild>
            <w:div w:id="1615672275">
              <w:marLeft w:val="0"/>
              <w:marRight w:val="0"/>
              <w:marTop w:val="0"/>
              <w:marBottom w:val="0"/>
              <w:divBdr>
                <w:top w:val="none" w:sz="0" w:space="0" w:color="auto"/>
                <w:left w:val="none" w:sz="0" w:space="0" w:color="auto"/>
                <w:bottom w:val="none" w:sz="0" w:space="0" w:color="auto"/>
                <w:right w:val="none" w:sz="0" w:space="0" w:color="auto"/>
              </w:divBdr>
              <w:divsChild>
                <w:div w:id="111019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69703">
      <w:bodyDiv w:val="1"/>
      <w:marLeft w:val="0"/>
      <w:marRight w:val="0"/>
      <w:marTop w:val="0"/>
      <w:marBottom w:val="0"/>
      <w:divBdr>
        <w:top w:val="none" w:sz="0" w:space="0" w:color="auto"/>
        <w:left w:val="none" w:sz="0" w:space="0" w:color="auto"/>
        <w:bottom w:val="none" w:sz="0" w:space="0" w:color="auto"/>
        <w:right w:val="none" w:sz="0" w:space="0" w:color="auto"/>
      </w:divBdr>
    </w:div>
    <w:div w:id="211577083">
      <w:bodyDiv w:val="1"/>
      <w:marLeft w:val="0"/>
      <w:marRight w:val="0"/>
      <w:marTop w:val="0"/>
      <w:marBottom w:val="0"/>
      <w:divBdr>
        <w:top w:val="none" w:sz="0" w:space="0" w:color="auto"/>
        <w:left w:val="none" w:sz="0" w:space="0" w:color="auto"/>
        <w:bottom w:val="none" w:sz="0" w:space="0" w:color="auto"/>
        <w:right w:val="none" w:sz="0" w:space="0" w:color="auto"/>
      </w:divBdr>
    </w:div>
    <w:div w:id="271204927">
      <w:bodyDiv w:val="1"/>
      <w:marLeft w:val="0"/>
      <w:marRight w:val="0"/>
      <w:marTop w:val="0"/>
      <w:marBottom w:val="0"/>
      <w:divBdr>
        <w:top w:val="none" w:sz="0" w:space="0" w:color="auto"/>
        <w:left w:val="none" w:sz="0" w:space="0" w:color="auto"/>
        <w:bottom w:val="none" w:sz="0" w:space="0" w:color="auto"/>
        <w:right w:val="none" w:sz="0" w:space="0" w:color="auto"/>
      </w:divBdr>
    </w:div>
    <w:div w:id="271713220">
      <w:bodyDiv w:val="1"/>
      <w:marLeft w:val="0"/>
      <w:marRight w:val="0"/>
      <w:marTop w:val="0"/>
      <w:marBottom w:val="0"/>
      <w:divBdr>
        <w:top w:val="none" w:sz="0" w:space="0" w:color="auto"/>
        <w:left w:val="none" w:sz="0" w:space="0" w:color="auto"/>
        <w:bottom w:val="none" w:sz="0" w:space="0" w:color="auto"/>
        <w:right w:val="none" w:sz="0" w:space="0" w:color="auto"/>
      </w:divBdr>
      <w:divsChild>
        <w:div w:id="1860043927">
          <w:marLeft w:val="0"/>
          <w:marRight w:val="0"/>
          <w:marTop w:val="0"/>
          <w:marBottom w:val="0"/>
          <w:divBdr>
            <w:top w:val="none" w:sz="0" w:space="0" w:color="auto"/>
            <w:left w:val="none" w:sz="0" w:space="0" w:color="auto"/>
            <w:bottom w:val="none" w:sz="0" w:space="0" w:color="auto"/>
            <w:right w:val="none" w:sz="0" w:space="0" w:color="auto"/>
          </w:divBdr>
          <w:divsChild>
            <w:div w:id="719132970">
              <w:marLeft w:val="0"/>
              <w:marRight w:val="0"/>
              <w:marTop w:val="0"/>
              <w:marBottom w:val="0"/>
              <w:divBdr>
                <w:top w:val="none" w:sz="0" w:space="0" w:color="auto"/>
                <w:left w:val="none" w:sz="0" w:space="0" w:color="auto"/>
                <w:bottom w:val="none" w:sz="0" w:space="0" w:color="auto"/>
                <w:right w:val="none" w:sz="0" w:space="0" w:color="auto"/>
              </w:divBdr>
              <w:divsChild>
                <w:div w:id="164168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93208">
      <w:bodyDiv w:val="1"/>
      <w:marLeft w:val="0"/>
      <w:marRight w:val="0"/>
      <w:marTop w:val="0"/>
      <w:marBottom w:val="0"/>
      <w:divBdr>
        <w:top w:val="none" w:sz="0" w:space="0" w:color="auto"/>
        <w:left w:val="none" w:sz="0" w:space="0" w:color="auto"/>
        <w:bottom w:val="none" w:sz="0" w:space="0" w:color="auto"/>
        <w:right w:val="none" w:sz="0" w:space="0" w:color="auto"/>
      </w:divBdr>
      <w:divsChild>
        <w:div w:id="1846632922">
          <w:marLeft w:val="0"/>
          <w:marRight w:val="0"/>
          <w:marTop w:val="0"/>
          <w:marBottom w:val="0"/>
          <w:divBdr>
            <w:top w:val="none" w:sz="0" w:space="0" w:color="auto"/>
            <w:left w:val="none" w:sz="0" w:space="0" w:color="auto"/>
            <w:bottom w:val="none" w:sz="0" w:space="0" w:color="auto"/>
            <w:right w:val="none" w:sz="0" w:space="0" w:color="auto"/>
          </w:divBdr>
          <w:divsChild>
            <w:div w:id="1781682578">
              <w:marLeft w:val="0"/>
              <w:marRight w:val="0"/>
              <w:marTop w:val="0"/>
              <w:marBottom w:val="0"/>
              <w:divBdr>
                <w:top w:val="none" w:sz="0" w:space="0" w:color="auto"/>
                <w:left w:val="none" w:sz="0" w:space="0" w:color="auto"/>
                <w:bottom w:val="none" w:sz="0" w:space="0" w:color="auto"/>
                <w:right w:val="none" w:sz="0" w:space="0" w:color="auto"/>
              </w:divBdr>
              <w:divsChild>
                <w:div w:id="4035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99014">
      <w:bodyDiv w:val="1"/>
      <w:marLeft w:val="0"/>
      <w:marRight w:val="0"/>
      <w:marTop w:val="0"/>
      <w:marBottom w:val="0"/>
      <w:divBdr>
        <w:top w:val="none" w:sz="0" w:space="0" w:color="auto"/>
        <w:left w:val="none" w:sz="0" w:space="0" w:color="auto"/>
        <w:bottom w:val="none" w:sz="0" w:space="0" w:color="auto"/>
        <w:right w:val="none" w:sz="0" w:space="0" w:color="auto"/>
      </w:divBdr>
      <w:divsChild>
        <w:div w:id="551038786">
          <w:marLeft w:val="0"/>
          <w:marRight w:val="0"/>
          <w:marTop w:val="0"/>
          <w:marBottom w:val="0"/>
          <w:divBdr>
            <w:top w:val="none" w:sz="0" w:space="0" w:color="auto"/>
            <w:left w:val="none" w:sz="0" w:space="0" w:color="auto"/>
            <w:bottom w:val="none" w:sz="0" w:space="0" w:color="auto"/>
            <w:right w:val="none" w:sz="0" w:space="0" w:color="auto"/>
          </w:divBdr>
          <w:divsChild>
            <w:div w:id="1670448663">
              <w:marLeft w:val="0"/>
              <w:marRight w:val="0"/>
              <w:marTop w:val="0"/>
              <w:marBottom w:val="0"/>
              <w:divBdr>
                <w:top w:val="none" w:sz="0" w:space="0" w:color="auto"/>
                <w:left w:val="none" w:sz="0" w:space="0" w:color="auto"/>
                <w:bottom w:val="none" w:sz="0" w:space="0" w:color="auto"/>
                <w:right w:val="none" w:sz="0" w:space="0" w:color="auto"/>
              </w:divBdr>
              <w:divsChild>
                <w:div w:id="14795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25163">
      <w:bodyDiv w:val="1"/>
      <w:marLeft w:val="0"/>
      <w:marRight w:val="0"/>
      <w:marTop w:val="0"/>
      <w:marBottom w:val="0"/>
      <w:divBdr>
        <w:top w:val="none" w:sz="0" w:space="0" w:color="auto"/>
        <w:left w:val="none" w:sz="0" w:space="0" w:color="auto"/>
        <w:bottom w:val="none" w:sz="0" w:space="0" w:color="auto"/>
        <w:right w:val="none" w:sz="0" w:space="0" w:color="auto"/>
      </w:divBdr>
      <w:divsChild>
        <w:div w:id="1543440608">
          <w:marLeft w:val="0"/>
          <w:marRight w:val="0"/>
          <w:marTop w:val="0"/>
          <w:marBottom w:val="0"/>
          <w:divBdr>
            <w:top w:val="none" w:sz="0" w:space="0" w:color="auto"/>
            <w:left w:val="none" w:sz="0" w:space="0" w:color="auto"/>
            <w:bottom w:val="none" w:sz="0" w:space="0" w:color="auto"/>
            <w:right w:val="none" w:sz="0" w:space="0" w:color="auto"/>
          </w:divBdr>
          <w:divsChild>
            <w:div w:id="1430814217">
              <w:marLeft w:val="0"/>
              <w:marRight w:val="0"/>
              <w:marTop w:val="0"/>
              <w:marBottom w:val="0"/>
              <w:divBdr>
                <w:top w:val="none" w:sz="0" w:space="0" w:color="auto"/>
                <w:left w:val="none" w:sz="0" w:space="0" w:color="auto"/>
                <w:bottom w:val="none" w:sz="0" w:space="0" w:color="auto"/>
                <w:right w:val="none" w:sz="0" w:space="0" w:color="auto"/>
              </w:divBdr>
              <w:divsChild>
                <w:div w:id="182465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827194">
      <w:bodyDiv w:val="1"/>
      <w:marLeft w:val="0"/>
      <w:marRight w:val="0"/>
      <w:marTop w:val="0"/>
      <w:marBottom w:val="0"/>
      <w:divBdr>
        <w:top w:val="none" w:sz="0" w:space="0" w:color="auto"/>
        <w:left w:val="none" w:sz="0" w:space="0" w:color="auto"/>
        <w:bottom w:val="none" w:sz="0" w:space="0" w:color="auto"/>
        <w:right w:val="none" w:sz="0" w:space="0" w:color="auto"/>
      </w:divBdr>
      <w:divsChild>
        <w:div w:id="356080680">
          <w:marLeft w:val="0"/>
          <w:marRight w:val="0"/>
          <w:marTop w:val="0"/>
          <w:marBottom w:val="0"/>
          <w:divBdr>
            <w:top w:val="none" w:sz="0" w:space="0" w:color="auto"/>
            <w:left w:val="none" w:sz="0" w:space="0" w:color="auto"/>
            <w:bottom w:val="none" w:sz="0" w:space="0" w:color="auto"/>
            <w:right w:val="none" w:sz="0" w:space="0" w:color="auto"/>
          </w:divBdr>
          <w:divsChild>
            <w:div w:id="1811357615">
              <w:marLeft w:val="0"/>
              <w:marRight w:val="0"/>
              <w:marTop w:val="0"/>
              <w:marBottom w:val="0"/>
              <w:divBdr>
                <w:top w:val="none" w:sz="0" w:space="0" w:color="auto"/>
                <w:left w:val="none" w:sz="0" w:space="0" w:color="auto"/>
                <w:bottom w:val="none" w:sz="0" w:space="0" w:color="auto"/>
                <w:right w:val="none" w:sz="0" w:space="0" w:color="auto"/>
              </w:divBdr>
              <w:divsChild>
                <w:div w:id="16852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059239">
      <w:bodyDiv w:val="1"/>
      <w:marLeft w:val="0"/>
      <w:marRight w:val="0"/>
      <w:marTop w:val="0"/>
      <w:marBottom w:val="0"/>
      <w:divBdr>
        <w:top w:val="none" w:sz="0" w:space="0" w:color="auto"/>
        <w:left w:val="none" w:sz="0" w:space="0" w:color="auto"/>
        <w:bottom w:val="none" w:sz="0" w:space="0" w:color="auto"/>
        <w:right w:val="none" w:sz="0" w:space="0" w:color="auto"/>
      </w:divBdr>
    </w:div>
    <w:div w:id="394088056">
      <w:bodyDiv w:val="1"/>
      <w:marLeft w:val="0"/>
      <w:marRight w:val="0"/>
      <w:marTop w:val="0"/>
      <w:marBottom w:val="0"/>
      <w:divBdr>
        <w:top w:val="none" w:sz="0" w:space="0" w:color="auto"/>
        <w:left w:val="none" w:sz="0" w:space="0" w:color="auto"/>
        <w:bottom w:val="none" w:sz="0" w:space="0" w:color="auto"/>
        <w:right w:val="none" w:sz="0" w:space="0" w:color="auto"/>
      </w:divBdr>
    </w:div>
    <w:div w:id="395669151">
      <w:bodyDiv w:val="1"/>
      <w:marLeft w:val="0"/>
      <w:marRight w:val="0"/>
      <w:marTop w:val="0"/>
      <w:marBottom w:val="0"/>
      <w:divBdr>
        <w:top w:val="none" w:sz="0" w:space="0" w:color="auto"/>
        <w:left w:val="none" w:sz="0" w:space="0" w:color="auto"/>
        <w:bottom w:val="none" w:sz="0" w:space="0" w:color="auto"/>
        <w:right w:val="none" w:sz="0" w:space="0" w:color="auto"/>
      </w:divBdr>
    </w:div>
    <w:div w:id="446969354">
      <w:bodyDiv w:val="1"/>
      <w:marLeft w:val="0"/>
      <w:marRight w:val="0"/>
      <w:marTop w:val="0"/>
      <w:marBottom w:val="0"/>
      <w:divBdr>
        <w:top w:val="none" w:sz="0" w:space="0" w:color="auto"/>
        <w:left w:val="none" w:sz="0" w:space="0" w:color="auto"/>
        <w:bottom w:val="none" w:sz="0" w:space="0" w:color="auto"/>
        <w:right w:val="none" w:sz="0" w:space="0" w:color="auto"/>
      </w:divBdr>
      <w:divsChild>
        <w:div w:id="1271935620">
          <w:marLeft w:val="0"/>
          <w:marRight w:val="0"/>
          <w:marTop w:val="0"/>
          <w:marBottom w:val="0"/>
          <w:divBdr>
            <w:top w:val="none" w:sz="0" w:space="0" w:color="auto"/>
            <w:left w:val="none" w:sz="0" w:space="0" w:color="auto"/>
            <w:bottom w:val="none" w:sz="0" w:space="0" w:color="auto"/>
            <w:right w:val="none" w:sz="0" w:space="0" w:color="auto"/>
          </w:divBdr>
          <w:divsChild>
            <w:div w:id="1457525349">
              <w:marLeft w:val="0"/>
              <w:marRight w:val="0"/>
              <w:marTop w:val="0"/>
              <w:marBottom w:val="0"/>
              <w:divBdr>
                <w:top w:val="none" w:sz="0" w:space="0" w:color="auto"/>
                <w:left w:val="none" w:sz="0" w:space="0" w:color="auto"/>
                <w:bottom w:val="none" w:sz="0" w:space="0" w:color="auto"/>
                <w:right w:val="none" w:sz="0" w:space="0" w:color="auto"/>
              </w:divBdr>
              <w:divsChild>
                <w:div w:id="16117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162733">
      <w:bodyDiv w:val="1"/>
      <w:marLeft w:val="0"/>
      <w:marRight w:val="0"/>
      <w:marTop w:val="0"/>
      <w:marBottom w:val="0"/>
      <w:divBdr>
        <w:top w:val="none" w:sz="0" w:space="0" w:color="auto"/>
        <w:left w:val="none" w:sz="0" w:space="0" w:color="auto"/>
        <w:bottom w:val="none" w:sz="0" w:space="0" w:color="auto"/>
        <w:right w:val="none" w:sz="0" w:space="0" w:color="auto"/>
      </w:divBdr>
    </w:div>
    <w:div w:id="495071197">
      <w:bodyDiv w:val="1"/>
      <w:marLeft w:val="0"/>
      <w:marRight w:val="0"/>
      <w:marTop w:val="0"/>
      <w:marBottom w:val="0"/>
      <w:divBdr>
        <w:top w:val="none" w:sz="0" w:space="0" w:color="auto"/>
        <w:left w:val="none" w:sz="0" w:space="0" w:color="auto"/>
        <w:bottom w:val="none" w:sz="0" w:space="0" w:color="auto"/>
        <w:right w:val="none" w:sz="0" w:space="0" w:color="auto"/>
      </w:divBdr>
      <w:divsChild>
        <w:div w:id="1461150364">
          <w:marLeft w:val="0"/>
          <w:marRight w:val="0"/>
          <w:marTop w:val="0"/>
          <w:marBottom w:val="0"/>
          <w:divBdr>
            <w:top w:val="none" w:sz="0" w:space="0" w:color="auto"/>
            <w:left w:val="none" w:sz="0" w:space="0" w:color="auto"/>
            <w:bottom w:val="none" w:sz="0" w:space="0" w:color="auto"/>
            <w:right w:val="none" w:sz="0" w:space="0" w:color="auto"/>
          </w:divBdr>
          <w:divsChild>
            <w:div w:id="1242763908">
              <w:marLeft w:val="0"/>
              <w:marRight w:val="0"/>
              <w:marTop w:val="0"/>
              <w:marBottom w:val="0"/>
              <w:divBdr>
                <w:top w:val="none" w:sz="0" w:space="0" w:color="auto"/>
                <w:left w:val="none" w:sz="0" w:space="0" w:color="auto"/>
                <w:bottom w:val="none" w:sz="0" w:space="0" w:color="auto"/>
                <w:right w:val="none" w:sz="0" w:space="0" w:color="auto"/>
              </w:divBdr>
              <w:divsChild>
                <w:div w:id="107833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30603">
      <w:bodyDiv w:val="1"/>
      <w:marLeft w:val="0"/>
      <w:marRight w:val="0"/>
      <w:marTop w:val="0"/>
      <w:marBottom w:val="0"/>
      <w:divBdr>
        <w:top w:val="none" w:sz="0" w:space="0" w:color="auto"/>
        <w:left w:val="none" w:sz="0" w:space="0" w:color="auto"/>
        <w:bottom w:val="none" w:sz="0" w:space="0" w:color="auto"/>
        <w:right w:val="none" w:sz="0" w:space="0" w:color="auto"/>
      </w:divBdr>
    </w:div>
    <w:div w:id="529416806">
      <w:bodyDiv w:val="1"/>
      <w:marLeft w:val="0"/>
      <w:marRight w:val="0"/>
      <w:marTop w:val="0"/>
      <w:marBottom w:val="0"/>
      <w:divBdr>
        <w:top w:val="none" w:sz="0" w:space="0" w:color="auto"/>
        <w:left w:val="none" w:sz="0" w:space="0" w:color="auto"/>
        <w:bottom w:val="none" w:sz="0" w:space="0" w:color="auto"/>
        <w:right w:val="none" w:sz="0" w:space="0" w:color="auto"/>
      </w:divBdr>
    </w:div>
    <w:div w:id="555241096">
      <w:bodyDiv w:val="1"/>
      <w:marLeft w:val="0"/>
      <w:marRight w:val="0"/>
      <w:marTop w:val="0"/>
      <w:marBottom w:val="0"/>
      <w:divBdr>
        <w:top w:val="none" w:sz="0" w:space="0" w:color="auto"/>
        <w:left w:val="none" w:sz="0" w:space="0" w:color="auto"/>
        <w:bottom w:val="none" w:sz="0" w:space="0" w:color="auto"/>
        <w:right w:val="none" w:sz="0" w:space="0" w:color="auto"/>
      </w:divBdr>
    </w:div>
    <w:div w:id="581569141">
      <w:bodyDiv w:val="1"/>
      <w:marLeft w:val="0"/>
      <w:marRight w:val="0"/>
      <w:marTop w:val="0"/>
      <w:marBottom w:val="0"/>
      <w:divBdr>
        <w:top w:val="none" w:sz="0" w:space="0" w:color="auto"/>
        <w:left w:val="none" w:sz="0" w:space="0" w:color="auto"/>
        <w:bottom w:val="none" w:sz="0" w:space="0" w:color="auto"/>
        <w:right w:val="none" w:sz="0" w:space="0" w:color="auto"/>
      </w:divBdr>
    </w:div>
    <w:div w:id="590774218">
      <w:bodyDiv w:val="1"/>
      <w:marLeft w:val="0"/>
      <w:marRight w:val="0"/>
      <w:marTop w:val="0"/>
      <w:marBottom w:val="0"/>
      <w:divBdr>
        <w:top w:val="none" w:sz="0" w:space="0" w:color="auto"/>
        <w:left w:val="none" w:sz="0" w:space="0" w:color="auto"/>
        <w:bottom w:val="none" w:sz="0" w:space="0" w:color="auto"/>
        <w:right w:val="none" w:sz="0" w:space="0" w:color="auto"/>
      </w:divBdr>
    </w:div>
    <w:div w:id="598758038">
      <w:bodyDiv w:val="1"/>
      <w:marLeft w:val="0"/>
      <w:marRight w:val="0"/>
      <w:marTop w:val="0"/>
      <w:marBottom w:val="0"/>
      <w:divBdr>
        <w:top w:val="none" w:sz="0" w:space="0" w:color="auto"/>
        <w:left w:val="none" w:sz="0" w:space="0" w:color="auto"/>
        <w:bottom w:val="none" w:sz="0" w:space="0" w:color="auto"/>
        <w:right w:val="none" w:sz="0" w:space="0" w:color="auto"/>
      </w:divBdr>
      <w:divsChild>
        <w:div w:id="425809439">
          <w:marLeft w:val="0"/>
          <w:marRight w:val="0"/>
          <w:marTop w:val="0"/>
          <w:marBottom w:val="225"/>
          <w:divBdr>
            <w:top w:val="single" w:sz="6" w:space="0" w:color="EBEEF0"/>
            <w:left w:val="single" w:sz="6" w:space="0" w:color="EBEEF0"/>
            <w:bottom w:val="single" w:sz="6" w:space="0" w:color="EBEEF0"/>
            <w:right w:val="single" w:sz="6" w:space="0" w:color="EBEEF0"/>
          </w:divBdr>
          <w:divsChild>
            <w:div w:id="1588924201">
              <w:marLeft w:val="0"/>
              <w:marRight w:val="0"/>
              <w:marTop w:val="0"/>
              <w:marBottom w:val="0"/>
              <w:divBdr>
                <w:top w:val="single" w:sz="2" w:space="0" w:color="000000"/>
                <w:left w:val="single" w:sz="2" w:space="0" w:color="000000"/>
                <w:bottom w:val="single" w:sz="2" w:space="0" w:color="000000"/>
                <w:right w:val="single" w:sz="2" w:space="0" w:color="000000"/>
              </w:divBdr>
              <w:divsChild>
                <w:div w:id="1624921026">
                  <w:marLeft w:val="0"/>
                  <w:marRight w:val="0"/>
                  <w:marTop w:val="0"/>
                  <w:marBottom w:val="0"/>
                  <w:divBdr>
                    <w:top w:val="single" w:sz="2" w:space="8" w:color="000000"/>
                    <w:left w:val="single" w:sz="2" w:space="11" w:color="000000"/>
                    <w:bottom w:val="single" w:sz="2" w:space="8" w:color="000000"/>
                    <w:right w:val="single" w:sz="2" w:space="11" w:color="000000"/>
                  </w:divBdr>
                  <w:divsChild>
                    <w:div w:id="2036226981">
                      <w:marLeft w:val="0"/>
                      <w:marRight w:val="0"/>
                      <w:marTop w:val="0"/>
                      <w:marBottom w:val="0"/>
                      <w:divBdr>
                        <w:top w:val="single" w:sz="2" w:space="0" w:color="000000"/>
                        <w:left w:val="single" w:sz="2" w:space="0" w:color="000000"/>
                        <w:bottom w:val="single" w:sz="2" w:space="0" w:color="000000"/>
                        <w:right w:val="single" w:sz="2" w:space="0" w:color="000000"/>
                      </w:divBdr>
                      <w:divsChild>
                        <w:div w:id="1307399154">
                          <w:marLeft w:val="0"/>
                          <w:marRight w:val="0"/>
                          <w:marTop w:val="0"/>
                          <w:marBottom w:val="0"/>
                          <w:divBdr>
                            <w:top w:val="single" w:sz="2" w:space="0" w:color="000000"/>
                            <w:left w:val="single" w:sz="2" w:space="0" w:color="000000"/>
                            <w:bottom w:val="single" w:sz="2" w:space="0" w:color="000000"/>
                            <w:right w:val="single" w:sz="2" w:space="0" w:color="000000"/>
                          </w:divBdr>
                          <w:divsChild>
                            <w:div w:id="1339692592">
                              <w:marLeft w:val="0"/>
                              <w:marRight w:val="0"/>
                              <w:marTop w:val="0"/>
                              <w:marBottom w:val="0"/>
                              <w:divBdr>
                                <w:top w:val="single" w:sz="2" w:space="4" w:color="000000"/>
                                <w:left w:val="single" w:sz="2" w:space="0" w:color="000000"/>
                                <w:bottom w:val="single" w:sz="2" w:space="0" w:color="000000"/>
                                <w:right w:val="single" w:sz="2" w:space="0" w:color="000000"/>
                              </w:divBdr>
                              <w:divsChild>
                                <w:div w:id="1716467030">
                                  <w:marLeft w:val="0"/>
                                  <w:marRight w:val="0"/>
                                  <w:marTop w:val="0"/>
                                  <w:marBottom w:val="0"/>
                                  <w:divBdr>
                                    <w:top w:val="single" w:sz="2" w:space="0" w:color="000000"/>
                                    <w:left w:val="single" w:sz="2" w:space="0" w:color="000000"/>
                                    <w:bottom w:val="single" w:sz="2" w:space="0" w:color="000000"/>
                                    <w:right w:val="single" w:sz="2" w:space="0" w:color="000000"/>
                                  </w:divBdr>
                                </w:div>
                                <w:div w:id="7806089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090471438">
          <w:marLeft w:val="0"/>
          <w:marRight w:val="0"/>
          <w:marTop w:val="0"/>
          <w:marBottom w:val="225"/>
          <w:divBdr>
            <w:top w:val="single" w:sz="6" w:space="0" w:color="F7F9FA"/>
            <w:left w:val="single" w:sz="6" w:space="0" w:color="F7F9FA"/>
            <w:bottom w:val="single" w:sz="6" w:space="0" w:color="F7F9FA"/>
            <w:right w:val="single" w:sz="6" w:space="0" w:color="F7F9FA"/>
          </w:divBdr>
          <w:divsChild>
            <w:div w:id="1733000015">
              <w:marLeft w:val="0"/>
              <w:marRight w:val="0"/>
              <w:marTop w:val="0"/>
              <w:marBottom w:val="0"/>
              <w:divBdr>
                <w:top w:val="single" w:sz="2" w:space="0" w:color="000000"/>
                <w:left w:val="single" w:sz="2" w:space="0" w:color="000000"/>
                <w:bottom w:val="single" w:sz="2" w:space="0" w:color="000000"/>
                <w:right w:val="single" w:sz="2" w:space="0" w:color="000000"/>
              </w:divBdr>
              <w:divsChild>
                <w:div w:id="199100209">
                  <w:marLeft w:val="0"/>
                  <w:marRight w:val="0"/>
                  <w:marTop w:val="0"/>
                  <w:marBottom w:val="0"/>
                  <w:divBdr>
                    <w:top w:val="single" w:sz="2" w:space="0" w:color="000000"/>
                    <w:left w:val="single" w:sz="2" w:space="0" w:color="000000"/>
                    <w:bottom w:val="single" w:sz="2" w:space="0" w:color="000000"/>
                    <w:right w:val="single" w:sz="2" w:space="0" w:color="000000"/>
                  </w:divBdr>
                  <w:divsChild>
                    <w:div w:id="661860449">
                      <w:marLeft w:val="0"/>
                      <w:marRight w:val="0"/>
                      <w:marTop w:val="0"/>
                      <w:marBottom w:val="0"/>
                      <w:divBdr>
                        <w:top w:val="single" w:sz="2" w:space="0" w:color="000000"/>
                        <w:left w:val="single" w:sz="2" w:space="0" w:color="000000"/>
                        <w:bottom w:val="single" w:sz="2" w:space="0" w:color="000000"/>
                        <w:right w:val="single" w:sz="2" w:space="0" w:color="000000"/>
                      </w:divBdr>
                      <w:divsChild>
                        <w:div w:id="878785611">
                          <w:marLeft w:val="0"/>
                          <w:marRight w:val="0"/>
                          <w:marTop w:val="0"/>
                          <w:marBottom w:val="0"/>
                          <w:divBdr>
                            <w:top w:val="single" w:sz="2" w:space="0" w:color="000000"/>
                            <w:left w:val="single" w:sz="2" w:space="0" w:color="000000"/>
                            <w:bottom w:val="single" w:sz="2" w:space="0" w:color="000000"/>
                            <w:right w:val="single" w:sz="2" w:space="0" w:color="000000"/>
                          </w:divBdr>
                          <w:divsChild>
                            <w:div w:id="593634034">
                              <w:marLeft w:val="0"/>
                              <w:marRight w:val="0"/>
                              <w:marTop w:val="0"/>
                              <w:marBottom w:val="0"/>
                              <w:divBdr>
                                <w:top w:val="single" w:sz="2" w:space="0" w:color="000000"/>
                                <w:left w:val="single" w:sz="2" w:space="0" w:color="000000"/>
                                <w:bottom w:val="single" w:sz="6" w:space="0" w:color="EBEEF0"/>
                                <w:right w:val="single" w:sz="2" w:space="0" w:color="000000"/>
                              </w:divBdr>
                              <w:divsChild>
                                <w:div w:id="1828549304">
                                  <w:marLeft w:val="0"/>
                                  <w:marRight w:val="0"/>
                                  <w:marTop w:val="0"/>
                                  <w:marBottom w:val="0"/>
                                  <w:divBdr>
                                    <w:top w:val="single" w:sz="2" w:space="8" w:color="000000"/>
                                    <w:left w:val="single" w:sz="2" w:space="11" w:color="000000"/>
                                    <w:bottom w:val="single" w:sz="2" w:space="8" w:color="000000"/>
                                    <w:right w:val="single" w:sz="2" w:space="11" w:color="000000"/>
                                  </w:divBdr>
                                  <w:divsChild>
                                    <w:div w:id="2645350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79765613">
                              <w:marLeft w:val="0"/>
                              <w:marRight w:val="0"/>
                              <w:marTop w:val="0"/>
                              <w:marBottom w:val="0"/>
                              <w:divBdr>
                                <w:top w:val="single" w:sz="2" w:space="0" w:color="000000"/>
                                <w:left w:val="single" w:sz="2" w:space="0" w:color="000000"/>
                                <w:bottom w:val="single" w:sz="6" w:space="0" w:color="EBEEF0"/>
                                <w:right w:val="single" w:sz="2" w:space="0" w:color="000000"/>
                              </w:divBdr>
                              <w:divsChild>
                                <w:div w:id="1401902404">
                                  <w:marLeft w:val="0"/>
                                  <w:marRight w:val="0"/>
                                  <w:marTop w:val="0"/>
                                  <w:marBottom w:val="0"/>
                                  <w:divBdr>
                                    <w:top w:val="single" w:sz="2" w:space="8" w:color="000000"/>
                                    <w:left w:val="single" w:sz="2" w:space="11" w:color="000000"/>
                                    <w:bottom w:val="single" w:sz="2" w:space="8" w:color="000000"/>
                                    <w:right w:val="single" w:sz="2" w:space="11" w:color="000000"/>
                                  </w:divBdr>
                                  <w:divsChild>
                                    <w:div w:id="1003583919">
                                      <w:marLeft w:val="0"/>
                                      <w:marRight w:val="0"/>
                                      <w:marTop w:val="0"/>
                                      <w:marBottom w:val="0"/>
                                      <w:divBdr>
                                        <w:top w:val="single" w:sz="2" w:space="0" w:color="000000"/>
                                        <w:left w:val="single" w:sz="2" w:space="0" w:color="000000"/>
                                        <w:bottom w:val="single" w:sz="2" w:space="0" w:color="000000"/>
                                        <w:right w:val="single" w:sz="2" w:space="0" w:color="000000"/>
                                      </w:divBdr>
                                      <w:divsChild>
                                        <w:div w:id="1889759274">
                                          <w:marLeft w:val="0"/>
                                          <w:marRight w:val="150"/>
                                          <w:marTop w:val="0"/>
                                          <w:marBottom w:val="0"/>
                                          <w:divBdr>
                                            <w:top w:val="single" w:sz="2" w:space="0" w:color="000000"/>
                                            <w:left w:val="single" w:sz="2" w:space="0" w:color="000000"/>
                                            <w:bottom w:val="single" w:sz="2" w:space="0" w:color="000000"/>
                                            <w:right w:val="single" w:sz="2" w:space="0" w:color="000000"/>
                                          </w:divBdr>
                                          <w:divsChild>
                                            <w:div w:id="825508908">
                                              <w:marLeft w:val="0"/>
                                              <w:marRight w:val="0"/>
                                              <w:marTop w:val="0"/>
                                              <w:marBottom w:val="0"/>
                                              <w:divBdr>
                                                <w:top w:val="single" w:sz="2" w:space="0" w:color="000000"/>
                                                <w:left w:val="single" w:sz="2" w:space="0" w:color="000000"/>
                                                <w:bottom w:val="single" w:sz="2" w:space="0" w:color="000000"/>
                                                <w:right w:val="single" w:sz="2" w:space="0" w:color="000000"/>
                                              </w:divBdr>
                                              <w:divsChild>
                                                <w:div w:id="931931342">
                                                  <w:marLeft w:val="0"/>
                                                  <w:marRight w:val="0"/>
                                                  <w:marTop w:val="0"/>
                                                  <w:marBottom w:val="0"/>
                                                  <w:divBdr>
                                                    <w:top w:val="single" w:sz="2" w:space="0" w:color="000000"/>
                                                    <w:left w:val="single" w:sz="2" w:space="0" w:color="000000"/>
                                                    <w:bottom w:val="single" w:sz="2" w:space="0" w:color="000000"/>
                                                    <w:right w:val="single" w:sz="2" w:space="0" w:color="000000"/>
                                                  </w:divBdr>
                                                </w:div>
                                                <w:div w:id="1980841082">
                                                  <w:marLeft w:val="0"/>
                                                  <w:marRight w:val="0"/>
                                                  <w:marTop w:val="0"/>
                                                  <w:marBottom w:val="0"/>
                                                  <w:divBdr>
                                                    <w:top w:val="single" w:sz="2" w:space="0" w:color="000000"/>
                                                    <w:left w:val="single" w:sz="2" w:space="4" w:color="000000"/>
                                                    <w:bottom w:val="single" w:sz="2" w:space="0" w:color="000000"/>
                                                    <w:right w:val="single" w:sz="2" w:space="4" w:color="000000"/>
                                                  </w:divBdr>
                                                </w:div>
                                                <w:div w:id="1622885359">
                                                  <w:marLeft w:val="0"/>
                                                  <w:marRight w:val="0"/>
                                                  <w:marTop w:val="0"/>
                                                  <w:marBottom w:val="0"/>
                                                  <w:divBdr>
                                                    <w:top w:val="single" w:sz="2" w:space="0" w:color="000000"/>
                                                    <w:left w:val="single" w:sz="2" w:space="0" w:color="000000"/>
                                                    <w:bottom w:val="single" w:sz="2" w:space="0" w:color="000000"/>
                                                    <w:right w:val="single" w:sz="2" w:space="0" w:color="000000"/>
                                                  </w:divBdr>
                                                  <w:divsChild>
                                                    <w:div w:id="8729613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83324564">
                                              <w:marLeft w:val="0"/>
                                              <w:marRight w:val="0"/>
                                              <w:marTop w:val="30"/>
                                              <w:marBottom w:val="30"/>
                                              <w:divBdr>
                                                <w:top w:val="single" w:sz="2" w:space="0" w:color="000000"/>
                                                <w:left w:val="single" w:sz="2" w:space="0" w:color="000000"/>
                                                <w:bottom w:val="single" w:sz="2" w:space="0" w:color="000000"/>
                                                <w:right w:val="single" w:sz="2" w:space="0" w:color="000000"/>
                                              </w:divBdr>
                                            </w:div>
                                            <w:div w:id="468589920">
                                              <w:marLeft w:val="0"/>
                                              <w:marRight w:val="0"/>
                                              <w:marTop w:val="75"/>
                                              <w:marBottom w:val="0"/>
                                              <w:divBdr>
                                                <w:top w:val="single" w:sz="2" w:space="0" w:color="000000"/>
                                                <w:left w:val="single" w:sz="2" w:space="0" w:color="000000"/>
                                                <w:bottom w:val="single" w:sz="2" w:space="0" w:color="000000"/>
                                                <w:right w:val="single" w:sz="2" w:space="0" w:color="000000"/>
                                              </w:divBdr>
                                            </w:div>
                                          </w:divsChild>
                                        </w:div>
                                        <w:div w:id="1212574152">
                                          <w:marLeft w:val="0"/>
                                          <w:marRight w:val="0"/>
                                          <w:marTop w:val="0"/>
                                          <w:marBottom w:val="0"/>
                                          <w:divBdr>
                                            <w:top w:val="single" w:sz="2" w:space="0" w:color="000000"/>
                                            <w:left w:val="single" w:sz="2" w:space="0" w:color="000000"/>
                                            <w:bottom w:val="single" w:sz="2" w:space="0" w:color="000000"/>
                                            <w:right w:val="single" w:sz="2" w:space="0" w:color="000000"/>
                                          </w:divBdr>
                                          <w:divsChild>
                                            <w:div w:id="2952603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619460101">
      <w:bodyDiv w:val="1"/>
      <w:marLeft w:val="0"/>
      <w:marRight w:val="0"/>
      <w:marTop w:val="0"/>
      <w:marBottom w:val="0"/>
      <w:divBdr>
        <w:top w:val="none" w:sz="0" w:space="0" w:color="auto"/>
        <w:left w:val="none" w:sz="0" w:space="0" w:color="auto"/>
        <w:bottom w:val="none" w:sz="0" w:space="0" w:color="auto"/>
        <w:right w:val="none" w:sz="0" w:space="0" w:color="auto"/>
      </w:divBdr>
    </w:div>
    <w:div w:id="637338557">
      <w:bodyDiv w:val="1"/>
      <w:marLeft w:val="0"/>
      <w:marRight w:val="0"/>
      <w:marTop w:val="0"/>
      <w:marBottom w:val="0"/>
      <w:divBdr>
        <w:top w:val="none" w:sz="0" w:space="0" w:color="auto"/>
        <w:left w:val="none" w:sz="0" w:space="0" w:color="auto"/>
        <w:bottom w:val="none" w:sz="0" w:space="0" w:color="auto"/>
        <w:right w:val="none" w:sz="0" w:space="0" w:color="auto"/>
      </w:divBdr>
    </w:div>
    <w:div w:id="656032227">
      <w:bodyDiv w:val="1"/>
      <w:marLeft w:val="0"/>
      <w:marRight w:val="0"/>
      <w:marTop w:val="0"/>
      <w:marBottom w:val="0"/>
      <w:divBdr>
        <w:top w:val="none" w:sz="0" w:space="0" w:color="auto"/>
        <w:left w:val="none" w:sz="0" w:space="0" w:color="auto"/>
        <w:bottom w:val="none" w:sz="0" w:space="0" w:color="auto"/>
        <w:right w:val="none" w:sz="0" w:space="0" w:color="auto"/>
      </w:divBdr>
      <w:divsChild>
        <w:div w:id="2042126073">
          <w:marLeft w:val="0"/>
          <w:marRight w:val="0"/>
          <w:marTop w:val="0"/>
          <w:marBottom w:val="0"/>
          <w:divBdr>
            <w:top w:val="none" w:sz="0" w:space="0" w:color="auto"/>
            <w:left w:val="none" w:sz="0" w:space="0" w:color="auto"/>
            <w:bottom w:val="none" w:sz="0" w:space="0" w:color="auto"/>
            <w:right w:val="none" w:sz="0" w:space="0" w:color="auto"/>
          </w:divBdr>
          <w:divsChild>
            <w:div w:id="1550412844">
              <w:marLeft w:val="0"/>
              <w:marRight w:val="0"/>
              <w:marTop w:val="0"/>
              <w:marBottom w:val="0"/>
              <w:divBdr>
                <w:top w:val="none" w:sz="0" w:space="0" w:color="auto"/>
                <w:left w:val="none" w:sz="0" w:space="0" w:color="auto"/>
                <w:bottom w:val="none" w:sz="0" w:space="0" w:color="auto"/>
                <w:right w:val="none" w:sz="0" w:space="0" w:color="auto"/>
              </w:divBdr>
              <w:divsChild>
                <w:div w:id="193921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3">
      <w:bodyDiv w:val="1"/>
      <w:marLeft w:val="0"/>
      <w:marRight w:val="0"/>
      <w:marTop w:val="0"/>
      <w:marBottom w:val="0"/>
      <w:divBdr>
        <w:top w:val="none" w:sz="0" w:space="0" w:color="auto"/>
        <w:left w:val="none" w:sz="0" w:space="0" w:color="auto"/>
        <w:bottom w:val="none" w:sz="0" w:space="0" w:color="auto"/>
        <w:right w:val="none" w:sz="0" w:space="0" w:color="auto"/>
      </w:divBdr>
      <w:divsChild>
        <w:div w:id="1941713971">
          <w:marLeft w:val="0"/>
          <w:marRight w:val="0"/>
          <w:marTop w:val="0"/>
          <w:marBottom w:val="0"/>
          <w:divBdr>
            <w:top w:val="none" w:sz="0" w:space="0" w:color="auto"/>
            <w:left w:val="none" w:sz="0" w:space="0" w:color="auto"/>
            <w:bottom w:val="none" w:sz="0" w:space="0" w:color="auto"/>
            <w:right w:val="none" w:sz="0" w:space="0" w:color="auto"/>
          </w:divBdr>
          <w:divsChild>
            <w:div w:id="1456488055">
              <w:marLeft w:val="0"/>
              <w:marRight w:val="0"/>
              <w:marTop w:val="0"/>
              <w:marBottom w:val="0"/>
              <w:divBdr>
                <w:top w:val="none" w:sz="0" w:space="0" w:color="auto"/>
                <w:left w:val="none" w:sz="0" w:space="0" w:color="auto"/>
                <w:bottom w:val="none" w:sz="0" w:space="0" w:color="auto"/>
                <w:right w:val="none" w:sz="0" w:space="0" w:color="auto"/>
              </w:divBdr>
              <w:divsChild>
                <w:div w:id="169981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754910">
      <w:bodyDiv w:val="1"/>
      <w:marLeft w:val="0"/>
      <w:marRight w:val="0"/>
      <w:marTop w:val="0"/>
      <w:marBottom w:val="0"/>
      <w:divBdr>
        <w:top w:val="none" w:sz="0" w:space="0" w:color="auto"/>
        <w:left w:val="none" w:sz="0" w:space="0" w:color="auto"/>
        <w:bottom w:val="none" w:sz="0" w:space="0" w:color="auto"/>
        <w:right w:val="none" w:sz="0" w:space="0" w:color="auto"/>
      </w:divBdr>
    </w:div>
    <w:div w:id="723480676">
      <w:bodyDiv w:val="1"/>
      <w:marLeft w:val="0"/>
      <w:marRight w:val="0"/>
      <w:marTop w:val="0"/>
      <w:marBottom w:val="0"/>
      <w:divBdr>
        <w:top w:val="none" w:sz="0" w:space="0" w:color="auto"/>
        <w:left w:val="none" w:sz="0" w:space="0" w:color="auto"/>
        <w:bottom w:val="none" w:sz="0" w:space="0" w:color="auto"/>
        <w:right w:val="none" w:sz="0" w:space="0" w:color="auto"/>
      </w:divBdr>
    </w:div>
    <w:div w:id="745496787">
      <w:bodyDiv w:val="1"/>
      <w:marLeft w:val="0"/>
      <w:marRight w:val="0"/>
      <w:marTop w:val="0"/>
      <w:marBottom w:val="0"/>
      <w:divBdr>
        <w:top w:val="none" w:sz="0" w:space="0" w:color="auto"/>
        <w:left w:val="none" w:sz="0" w:space="0" w:color="auto"/>
        <w:bottom w:val="none" w:sz="0" w:space="0" w:color="auto"/>
        <w:right w:val="none" w:sz="0" w:space="0" w:color="auto"/>
      </w:divBdr>
    </w:div>
    <w:div w:id="788935161">
      <w:bodyDiv w:val="1"/>
      <w:marLeft w:val="0"/>
      <w:marRight w:val="0"/>
      <w:marTop w:val="0"/>
      <w:marBottom w:val="0"/>
      <w:divBdr>
        <w:top w:val="none" w:sz="0" w:space="0" w:color="auto"/>
        <w:left w:val="none" w:sz="0" w:space="0" w:color="auto"/>
        <w:bottom w:val="none" w:sz="0" w:space="0" w:color="auto"/>
        <w:right w:val="none" w:sz="0" w:space="0" w:color="auto"/>
      </w:divBdr>
    </w:div>
    <w:div w:id="803810511">
      <w:bodyDiv w:val="1"/>
      <w:marLeft w:val="0"/>
      <w:marRight w:val="0"/>
      <w:marTop w:val="0"/>
      <w:marBottom w:val="0"/>
      <w:divBdr>
        <w:top w:val="none" w:sz="0" w:space="0" w:color="auto"/>
        <w:left w:val="none" w:sz="0" w:space="0" w:color="auto"/>
        <w:bottom w:val="none" w:sz="0" w:space="0" w:color="auto"/>
        <w:right w:val="none" w:sz="0" w:space="0" w:color="auto"/>
      </w:divBdr>
    </w:div>
    <w:div w:id="830799893">
      <w:bodyDiv w:val="1"/>
      <w:marLeft w:val="0"/>
      <w:marRight w:val="0"/>
      <w:marTop w:val="0"/>
      <w:marBottom w:val="0"/>
      <w:divBdr>
        <w:top w:val="none" w:sz="0" w:space="0" w:color="auto"/>
        <w:left w:val="none" w:sz="0" w:space="0" w:color="auto"/>
        <w:bottom w:val="none" w:sz="0" w:space="0" w:color="auto"/>
        <w:right w:val="none" w:sz="0" w:space="0" w:color="auto"/>
      </w:divBdr>
    </w:div>
    <w:div w:id="864900751">
      <w:bodyDiv w:val="1"/>
      <w:marLeft w:val="0"/>
      <w:marRight w:val="0"/>
      <w:marTop w:val="0"/>
      <w:marBottom w:val="0"/>
      <w:divBdr>
        <w:top w:val="none" w:sz="0" w:space="0" w:color="auto"/>
        <w:left w:val="none" w:sz="0" w:space="0" w:color="auto"/>
        <w:bottom w:val="none" w:sz="0" w:space="0" w:color="auto"/>
        <w:right w:val="none" w:sz="0" w:space="0" w:color="auto"/>
      </w:divBdr>
      <w:divsChild>
        <w:div w:id="1004745483">
          <w:marLeft w:val="0"/>
          <w:marRight w:val="0"/>
          <w:marTop w:val="0"/>
          <w:marBottom w:val="0"/>
          <w:divBdr>
            <w:top w:val="none" w:sz="0" w:space="0" w:color="auto"/>
            <w:left w:val="none" w:sz="0" w:space="0" w:color="auto"/>
            <w:bottom w:val="none" w:sz="0" w:space="0" w:color="auto"/>
            <w:right w:val="none" w:sz="0" w:space="0" w:color="auto"/>
          </w:divBdr>
          <w:divsChild>
            <w:div w:id="893733738">
              <w:marLeft w:val="0"/>
              <w:marRight w:val="0"/>
              <w:marTop w:val="0"/>
              <w:marBottom w:val="0"/>
              <w:divBdr>
                <w:top w:val="none" w:sz="0" w:space="0" w:color="auto"/>
                <w:left w:val="none" w:sz="0" w:space="0" w:color="auto"/>
                <w:bottom w:val="none" w:sz="0" w:space="0" w:color="auto"/>
                <w:right w:val="none" w:sz="0" w:space="0" w:color="auto"/>
              </w:divBdr>
              <w:divsChild>
                <w:div w:id="47005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69654">
      <w:bodyDiv w:val="1"/>
      <w:marLeft w:val="0"/>
      <w:marRight w:val="0"/>
      <w:marTop w:val="0"/>
      <w:marBottom w:val="0"/>
      <w:divBdr>
        <w:top w:val="none" w:sz="0" w:space="0" w:color="auto"/>
        <w:left w:val="none" w:sz="0" w:space="0" w:color="auto"/>
        <w:bottom w:val="none" w:sz="0" w:space="0" w:color="auto"/>
        <w:right w:val="none" w:sz="0" w:space="0" w:color="auto"/>
      </w:divBdr>
      <w:divsChild>
        <w:div w:id="379398742">
          <w:marLeft w:val="0"/>
          <w:marRight w:val="0"/>
          <w:marTop w:val="0"/>
          <w:marBottom w:val="0"/>
          <w:divBdr>
            <w:top w:val="none" w:sz="0" w:space="0" w:color="auto"/>
            <w:left w:val="none" w:sz="0" w:space="0" w:color="auto"/>
            <w:bottom w:val="none" w:sz="0" w:space="0" w:color="auto"/>
            <w:right w:val="none" w:sz="0" w:space="0" w:color="auto"/>
          </w:divBdr>
          <w:divsChild>
            <w:div w:id="597450032">
              <w:marLeft w:val="0"/>
              <w:marRight w:val="0"/>
              <w:marTop w:val="0"/>
              <w:marBottom w:val="0"/>
              <w:divBdr>
                <w:top w:val="none" w:sz="0" w:space="0" w:color="auto"/>
                <w:left w:val="none" w:sz="0" w:space="0" w:color="auto"/>
                <w:bottom w:val="none" w:sz="0" w:space="0" w:color="auto"/>
                <w:right w:val="none" w:sz="0" w:space="0" w:color="auto"/>
              </w:divBdr>
              <w:divsChild>
                <w:div w:id="245892794">
                  <w:marLeft w:val="0"/>
                  <w:marRight w:val="0"/>
                  <w:marTop w:val="0"/>
                  <w:marBottom w:val="0"/>
                  <w:divBdr>
                    <w:top w:val="none" w:sz="0" w:space="0" w:color="auto"/>
                    <w:left w:val="none" w:sz="0" w:space="0" w:color="auto"/>
                    <w:bottom w:val="none" w:sz="0" w:space="0" w:color="auto"/>
                    <w:right w:val="none" w:sz="0" w:space="0" w:color="auto"/>
                  </w:divBdr>
                  <w:divsChild>
                    <w:div w:id="17695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228246">
      <w:bodyDiv w:val="1"/>
      <w:marLeft w:val="0"/>
      <w:marRight w:val="0"/>
      <w:marTop w:val="0"/>
      <w:marBottom w:val="0"/>
      <w:divBdr>
        <w:top w:val="none" w:sz="0" w:space="0" w:color="auto"/>
        <w:left w:val="none" w:sz="0" w:space="0" w:color="auto"/>
        <w:bottom w:val="none" w:sz="0" w:space="0" w:color="auto"/>
        <w:right w:val="none" w:sz="0" w:space="0" w:color="auto"/>
      </w:divBdr>
      <w:divsChild>
        <w:div w:id="2139369477">
          <w:marLeft w:val="0"/>
          <w:marRight w:val="0"/>
          <w:marTop w:val="0"/>
          <w:marBottom w:val="0"/>
          <w:divBdr>
            <w:top w:val="none" w:sz="0" w:space="0" w:color="auto"/>
            <w:left w:val="none" w:sz="0" w:space="0" w:color="auto"/>
            <w:bottom w:val="none" w:sz="0" w:space="0" w:color="auto"/>
            <w:right w:val="none" w:sz="0" w:space="0" w:color="auto"/>
          </w:divBdr>
          <w:divsChild>
            <w:div w:id="1978803906">
              <w:marLeft w:val="0"/>
              <w:marRight w:val="0"/>
              <w:marTop w:val="0"/>
              <w:marBottom w:val="0"/>
              <w:divBdr>
                <w:top w:val="none" w:sz="0" w:space="0" w:color="auto"/>
                <w:left w:val="none" w:sz="0" w:space="0" w:color="auto"/>
                <w:bottom w:val="none" w:sz="0" w:space="0" w:color="auto"/>
                <w:right w:val="none" w:sz="0" w:space="0" w:color="auto"/>
              </w:divBdr>
              <w:divsChild>
                <w:div w:id="29079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760193">
      <w:bodyDiv w:val="1"/>
      <w:marLeft w:val="0"/>
      <w:marRight w:val="0"/>
      <w:marTop w:val="0"/>
      <w:marBottom w:val="0"/>
      <w:divBdr>
        <w:top w:val="none" w:sz="0" w:space="0" w:color="auto"/>
        <w:left w:val="none" w:sz="0" w:space="0" w:color="auto"/>
        <w:bottom w:val="none" w:sz="0" w:space="0" w:color="auto"/>
        <w:right w:val="none" w:sz="0" w:space="0" w:color="auto"/>
      </w:divBdr>
    </w:div>
    <w:div w:id="946813448">
      <w:bodyDiv w:val="1"/>
      <w:marLeft w:val="0"/>
      <w:marRight w:val="0"/>
      <w:marTop w:val="0"/>
      <w:marBottom w:val="0"/>
      <w:divBdr>
        <w:top w:val="none" w:sz="0" w:space="0" w:color="auto"/>
        <w:left w:val="none" w:sz="0" w:space="0" w:color="auto"/>
        <w:bottom w:val="none" w:sz="0" w:space="0" w:color="auto"/>
        <w:right w:val="none" w:sz="0" w:space="0" w:color="auto"/>
      </w:divBdr>
    </w:div>
    <w:div w:id="978419565">
      <w:bodyDiv w:val="1"/>
      <w:marLeft w:val="0"/>
      <w:marRight w:val="0"/>
      <w:marTop w:val="0"/>
      <w:marBottom w:val="0"/>
      <w:divBdr>
        <w:top w:val="none" w:sz="0" w:space="0" w:color="auto"/>
        <w:left w:val="none" w:sz="0" w:space="0" w:color="auto"/>
        <w:bottom w:val="none" w:sz="0" w:space="0" w:color="auto"/>
        <w:right w:val="none" w:sz="0" w:space="0" w:color="auto"/>
      </w:divBdr>
      <w:divsChild>
        <w:div w:id="1799958736">
          <w:marLeft w:val="0"/>
          <w:marRight w:val="0"/>
          <w:marTop w:val="0"/>
          <w:marBottom w:val="0"/>
          <w:divBdr>
            <w:top w:val="none" w:sz="0" w:space="0" w:color="auto"/>
            <w:left w:val="none" w:sz="0" w:space="0" w:color="auto"/>
            <w:bottom w:val="none" w:sz="0" w:space="0" w:color="auto"/>
            <w:right w:val="none" w:sz="0" w:space="0" w:color="auto"/>
          </w:divBdr>
          <w:divsChild>
            <w:div w:id="1469665532">
              <w:marLeft w:val="0"/>
              <w:marRight w:val="0"/>
              <w:marTop w:val="0"/>
              <w:marBottom w:val="0"/>
              <w:divBdr>
                <w:top w:val="none" w:sz="0" w:space="0" w:color="auto"/>
                <w:left w:val="none" w:sz="0" w:space="0" w:color="auto"/>
                <w:bottom w:val="none" w:sz="0" w:space="0" w:color="auto"/>
                <w:right w:val="none" w:sz="0" w:space="0" w:color="auto"/>
              </w:divBdr>
              <w:divsChild>
                <w:div w:id="5787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15739">
      <w:bodyDiv w:val="1"/>
      <w:marLeft w:val="0"/>
      <w:marRight w:val="0"/>
      <w:marTop w:val="0"/>
      <w:marBottom w:val="0"/>
      <w:divBdr>
        <w:top w:val="none" w:sz="0" w:space="0" w:color="auto"/>
        <w:left w:val="none" w:sz="0" w:space="0" w:color="auto"/>
        <w:bottom w:val="none" w:sz="0" w:space="0" w:color="auto"/>
        <w:right w:val="none" w:sz="0" w:space="0" w:color="auto"/>
      </w:divBdr>
    </w:div>
    <w:div w:id="1003624942">
      <w:bodyDiv w:val="1"/>
      <w:marLeft w:val="0"/>
      <w:marRight w:val="0"/>
      <w:marTop w:val="0"/>
      <w:marBottom w:val="0"/>
      <w:divBdr>
        <w:top w:val="none" w:sz="0" w:space="0" w:color="auto"/>
        <w:left w:val="none" w:sz="0" w:space="0" w:color="auto"/>
        <w:bottom w:val="none" w:sz="0" w:space="0" w:color="auto"/>
        <w:right w:val="none" w:sz="0" w:space="0" w:color="auto"/>
      </w:divBdr>
    </w:div>
    <w:div w:id="1019116164">
      <w:bodyDiv w:val="1"/>
      <w:marLeft w:val="0"/>
      <w:marRight w:val="0"/>
      <w:marTop w:val="0"/>
      <w:marBottom w:val="0"/>
      <w:divBdr>
        <w:top w:val="none" w:sz="0" w:space="0" w:color="auto"/>
        <w:left w:val="none" w:sz="0" w:space="0" w:color="auto"/>
        <w:bottom w:val="none" w:sz="0" w:space="0" w:color="auto"/>
        <w:right w:val="none" w:sz="0" w:space="0" w:color="auto"/>
      </w:divBdr>
    </w:div>
    <w:div w:id="1023020992">
      <w:bodyDiv w:val="1"/>
      <w:marLeft w:val="0"/>
      <w:marRight w:val="0"/>
      <w:marTop w:val="0"/>
      <w:marBottom w:val="0"/>
      <w:divBdr>
        <w:top w:val="none" w:sz="0" w:space="0" w:color="auto"/>
        <w:left w:val="none" w:sz="0" w:space="0" w:color="auto"/>
        <w:bottom w:val="none" w:sz="0" w:space="0" w:color="auto"/>
        <w:right w:val="none" w:sz="0" w:space="0" w:color="auto"/>
      </w:divBdr>
    </w:div>
    <w:div w:id="1030909882">
      <w:bodyDiv w:val="1"/>
      <w:marLeft w:val="0"/>
      <w:marRight w:val="0"/>
      <w:marTop w:val="0"/>
      <w:marBottom w:val="0"/>
      <w:divBdr>
        <w:top w:val="none" w:sz="0" w:space="0" w:color="auto"/>
        <w:left w:val="none" w:sz="0" w:space="0" w:color="auto"/>
        <w:bottom w:val="none" w:sz="0" w:space="0" w:color="auto"/>
        <w:right w:val="none" w:sz="0" w:space="0" w:color="auto"/>
      </w:divBdr>
      <w:divsChild>
        <w:div w:id="1684165442">
          <w:marLeft w:val="0"/>
          <w:marRight w:val="0"/>
          <w:marTop w:val="0"/>
          <w:marBottom w:val="0"/>
          <w:divBdr>
            <w:top w:val="none" w:sz="0" w:space="0" w:color="auto"/>
            <w:left w:val="none" w:sz="0" w:space="0" w:color="auto"/>
            <w:bottom w:val="none" w:sz="0" w:space="0" w:color="auto"/>
            <w:right w:val="none" w:sz="0" w:space="0" w:color="auto"/>
          </w:divBdr>
          <w:divsChild>
            <w:div w:id="827332579">
              <w:marLeft w:val="0"/>
              <w:marRight w:val="0"/>
              <w:marTop w:val="0"/>
              <w:marBottom w:val="0"/>
              <w:divBdr>
                <w:top w:val="none" w:sz="0" w:space="0" w:color="auto"/>
                <w:left w:val="none" w:sz="0" w:space="0" w:color="auto"/>
                <w:bottom w:val="none" w:sz="0" w:space="0" w:color="auto"/>
                <w:right w:val="none" w:sz="0" w:space="0" w:color="auto"/>
              </w:divBdr>
              <w:divsChild>
                <w:div w:id="109054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326596">
      <w:bodyDiv w:val="1"/>
      <w:marLeft w:val="0"/>
      <w:marRight w:val="0"/>
      <w:marTop w:val="0"/>
      <w:marBottom w:val="0"/>
      <w:divBdr>
        <w:top w:val="none" w:sz="0" w:space="0" w:color="auto"/>
        <w:left w:val="none" w:sz="0" w:space="0" w:color="auto"/>
        <w:bottom w:val="none" w:sz="0" w:space="0" w:color="auto"/>
        <w:right w:val="none" w:sz="0" w:space="0" w:color="auto"/>
      </w:divBdr>
      <w:divsChild>
        <w:div w:id="1061439121">
          <w:marLeft w:val="0"/>
          <w:marRight w:val="0"/>
          <w:marTop w:val="0"/>
          <w:marBottom w:val="0"/>
          <w:divBdr>
            <w:top w:val="none" w:sz="0" w:space="0" w:color="auto"/>
            <w:left w:val="none" w:sz="0" w:space="0" w:color="auto"/>
            <w:bottom w:val="none" w:sz="0" w:space="0" w:color="auto"/>
            <w:right w:val="none" w:sz="0" w:space="0" w:color="auto"/>
          </w:divBdr>
          <w:divsChild>
            <w:div w:id="1537238385">
              <w:marLeft w:val="0"/>
              <w:marRight w:val="0"/>
              <w:marTop w:val="0"/>
              <w:marBottom w:val="0"/>
              <w:divBdr>
                <w:top w:val="none" w:sz="0" w:space="0" w:color="auto"/>
                <w:left w:val="none" w:sz="0" w:space="0" w:color="auto"/>
                <w:bottom w:val="none" w:sz="0" w:space="0" w:color="auto"/>
                <w:right w:val="none" w:sz="0" w:space="0" w:color="auto"/>
              </w:divBdr>
              <w:divsChild>
                <w:div w:id="11985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92823">
      <w:bodyDiv w:val="1"/>
      <w:marLeft w:val="0"/>
      <w:marRight w:val="0"/>
      <w:marTop w:val="0"/>
      <w:marBottom w:val="0"/>
      <w:divBdr>
        <w:top w:val="none" w:sz="0" w:space="0" w:color="auto"/>
        <w:left w:val="none" w:sz="0" w:space="0" w:color="auto"/>
        <w:bottom w:val="none" w:sz="0" w:space="0" w:color="auto"/>
        <w:right w:val="none" w:sz="0" w:space="0" w:color="auto"/>
      </w:divBdr>
    </w:div>
    <w:div w:id="1108232175">
      <w:bodyDiv w:val="1"/>
      <w:marLeft w:val="0"/>
      <w:marRight w:val="0"/>
      <w:marTop w:val="0"/>
      <w:marBottom w:val="0"/>
      <w:divBdr>
        <w:top w:val="none" w:sz="0" w:space="0" w:color="auto"/>
        <w:left w:val="none" w:sz="0" w:space="0" w:color="auto"/>
        <w:bottom w:val="none" w:sz="0" w:space="0" w:color="auto"/>
        <w:right w:val="none" w:sz="0" w:space="0" w:color="auto"/>
      </w:divBdr>
    </w:div>
    <w:div w:id="1122267180">
      <w:bodyDiv w:val="1"/>
      <w:marLeft w:val="0"/>
      <w:marRight w:val="0"/>
      <w:marTop w:val="0"/>
      <w:marBottom w:val="0"/>
      <w:divBdr>
        <w:top w:val="none" w:sz="0" w:space="0" w:color="auto"/>
        <w:left w:val="none" w:sz="0" w:space="0" w:color="auto"/>
        <w:bottom w:val="none" w:sz="0" w:space="0" w:color="auto"/>
        <w:right w:val="none" w:sz="0" w:space="0" w:color="auto"/>
      </w:divBdr>
    </w:div>
    <w:div w:id="1186408138">
      <w:bodyDiv w:val="1"/>
      <w:marLeft w:val="0"/>
      <w:marRight w:val="0"/>
      <w:marTop w:val="0"/>
      <w:marBottom w:val="0"/>
      <w:divBdr>
        <w:top w:val="none" w:sz="0" w:space="0" w:color="auto"/>
        <w:left w:val="none" w:sz="0" w:space="0" w:color="auto"/>
        <w:bottom w:val="none" w:sz="0" w:space="0" w:color="auto"/>
        <w:right w:val="none" w:sz="0" w:space="0" w:color="auto"/>
      </w:divBdr>
    </w:div>
    <w:div w:id="1201434753">
      <w:bodyDiv w:val="1"/>
      <w:marLeft w:val="0"/>
      <w:marRight w:val="0"/>
      <w:marTop w:val="0"/>
      <w:marBottom w:val="0"/>
      <w:divBdr>
        <w:top w:val="none" w:sz="0" w:space="0" w:color="auto"/>
        <w:left w:val="none" w:sz="0" w:space="0" w:color="auto"/>
        <w:bottom w:val="none" w:sz="0" w:space="0" w:color="auto"/>
        <w:right w:val="none" w:sz="0" w:space="0" w:color="auto"/>
      </w:divBdr>
      <w:divsChild>
        <w:div w:id="2084375381">
          <w:marLeft w:val="0"/>
          <w:marRight w:val="0"/>
          <w:marTop w:val="0"/>
          <w:marBottom w:val="0"/>
          <w:divBdr>
            <w:top w:val="none" w:sz="0" w:space="0" w:color="auto"/>
            <w:left w:val="none" w:sz="0" w:space="0" w:color="auto"/>
            <w:bottom w:val="none" w:sz="0" w:space="0" w:color="auto"/>
            <w:right w:val="none" w:sz="0" w:space="0" w:color="auto"/>
          </w:divBdr>
          <w:divsChild>
            <w:div w:id="937760472">
              <w:marLeft w:val="0"/>
              <w:marRight w:val="0"/>
              <w:marTop w:val="0"/>
              <w:marBottom w:val="0"/>
              <w:divBdr>
                <w:top w:val="none" w:sz="0" w:space="0" w:color="auto"/>
                <w:left w:val="none" w:sz="0" w:space="0" w:color="auto"/>
                <w:bottom w:val="none" w:sz="0" w:space="0" w:color="auto"/>
                <w:right w:val="none" w:sz="0" w:space="0" w:color="auto"/>
              </w:divBdr>
              <w:divsChild>
                <w:div w:id="35470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424296">
      <w:bodyDiv w:val="1"/>
      <w:marLeft w:val="0"/>
      <w:marRight w:val="0"/>
      <w:marTop w:val="0"/>
      <w:marBottom w:val="0"/>
      <w:divBdr>
        <w:top w:val="none" w:sz="0" w:space="0" w:color="auto"/>
        <w:left w:val="none" w:sz="0" w:space="0" w:color="auto"/>
        <w:bottom w:val="none" w:sz="0" w:space="0" w:color="auto"/>
        <w:right w:val="none" w:sz="0" w:space="0" w:color="auto"/>
      </w:divBdr>
    </w:div>
    <w:div w:id="1232887690">
      <w:bodyDiv w:val="1"/>
      <w:marLeft w:val="0"/>
      <w:marRight w:val="0"/>
      <w:marTop w:val="0"/>
      <w:marBottom w:val="0"/>
      <w:divBdr>
        <w:top w:val="none" w:sz="0" w:space="0" w:color="auto"/>
        <w:left w:val="none" w:sz="0" w:space="0" w:color="auto"/>
        <w:bottom w:val="none" w:sz="0" w:space="0" w:color="auto"/>
        <w:right w:val="none" w:sz="0" w:space="0" w:color="auto"/>
      </w:divBdr>
    </w:div>
    <w:div w:id="1324696166">
      <w:bodyDiv w:val="1"/>
      <w:marLeft w:val="0"/>
      <w:marRight w:val="0"/>
      <w:marTop w:val="0"/>
      <w:marBottom w:val="0"/>
      <w:divBdr>
        <w:top w:val="none" w:sz="0" w:space="0" w:color="auto"/>
        <w:left w:val="none" w:sz="0" w:space="0" w:color="auto"/>
        <w:bottom w:val="none" w:sz="0" w:space="0" w:color="auto"/>
        <w:right w:val="none" w:sz="0" w:space="0" w:color="auto"/>
      </w:divBdr>
    </w:div>
    <w:div w:id="1328437467">
      <w:bodyDiv w:val="1"/>
      <w:marLeft w:val="0"/>
      <w:marRight w:val="0"/>
      <w:marTop w:val="0"/>
      <w:marBottom w:val="0"/>
      <w:divBdr>
        <w:top w:val="none" w:sz="0" w:space="0" w:color="auto"/>
        <w:left w:val="none" w:sz="0" w:space="0" w:color="auto"/>
        <w:bottom w:val="none" w:sz="0" w:space="0" w:color="auto"/>
        <w:right w:val="none" w:sz="0" w:space="0" w:color="auto"/>
      </w:divBdr>
      <w:divsChild>
        <w:div w:id="539972172">
          <w:marLeft w:val="0"/>
          <w:marRight w:val="0"/>
          <w:marTop w:val="0"/>
          <w:marBottom w:val="0"/>
          <w:divBdr>
            <w:top w:val="none" w:sz="0" w:space="0" w:color="auto"/>
            <w:left w:val="none" w:sz="0" w:space="0" w:color="auto"/>
            <w:bottom w:val="none" w:sz="0" w:space="0" w:color="auto"/>
            <w:right w:val="none" w:sz="0" w:space="0" w:color="auto"/>
          </w:divBdr>
          <w:divsChild>
            <w:div w:id="558059213">
              <w:marLeft w:val="0"/>
              <w:marRight w:val="0"/>
              <w:marTop w:val="0"/>
              <w:marBottom w:val="0"/>
              <w:divBdr>
                <w:top w:val="none" w:sz="0" w:space="0" w:color="auto"/>
                <w:left w:val="none" w:sz="0" w:space="0" w:color="auto"/>
                <w:bottom w:val="none" w:sz="0" w:space="0" w:color="auto"/>
                <w:right w:val="none" w:sz="0" w:space="0" w:color="auto"/>
              </w:divBdr>
              <w:divsChild>
                <w:div w:id="4437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80582">
      <w:bodyDiv w:val="1"/>
      <w:marLeft w:val="0"/>
      <w:marRight w:val="0"/>
      <w:marTop w:val="0"/>
      <w:marBottom w:val="0"/>
      <w:divBdr>
        <w:top w:val="none" w:sz="0" w:space="0" w:color="auto"/>
        <w:left w:val="none" w:sz="0" w:space="0" w:color="auto"/>
        <w:bottom w:val="none" w:sz="0" w:space="0" w:color="auto"/>
        <w:right w:val="none" w:sz="0" w:space="0" w:color="auto"/>
      </w:divBdr>
    </w:div>
    <w:div w:id="1398822765">
      <w:bodyDiv w:val="1"/>
      <w:marLeft w:val="0"/>
      <w:marRight w:val="0"/>
      <w:marTop w:val="0"/>
      <w:marBottom w:val="0"/>
      <w:divBdr>
        <w:top w:val="none" w:sz="0" w:space="0" w:color="auto"/>
        <w:left w:val="none" w:sz="0" w:space="0" w:color="auto"/>
        <w:bottom w:val="none" w:sz="0" w:space="0" w:color="auto"/>
        <w:right w:val="none" w:sz="0" w:space="0" w:color="auto"/>
      </w:divBdr>
    </w:div>
    <w:div w:id="1399787611">
      <w:bodyDiv w:val="1"/>
      <w:marLeft w:val="0"/>
      <w:marRight w:val="0"/>
      <w:marTop w:val="0"/>
      <w:marBottom w:val="0"/>
      <w:divBdr>
        <w:top w:val="none" w:sz="0" w:space="0" w:color="auto"/>
        <w:left w:val="none" w:sz="0" w:space="0" w:color="auto"/>
        <w:bottom w:val="none" w:sz="0" w:space="0" w:color="auto"/>
        <w:right w:val="none" w:sz="0" w:space="0" w:color="auto"/>
      </w:divBdr>
    </w:div>
    <w:div w:id="1400403593">
      <w:bodyDiv w:val="1"/>
      <w:marLeft w:val="0"/>
      <w:marRight w:val="0"/>
      <w:marTop w:val="0"/>
      <w:marBottom w:val="0"/>
      <w:divBdr>
        <w:top w:val="none" w:sz="0" w:space="0" w:color="auto"/>
        <w:left w:val="none" w:sz="0" w:space="0" w:color="auto"/>
        <w:bottom w:val="none" w:sz="0" w:space="0" w:color="auto"/>
        <w:right w:val="none" w:sz="0" w:space="0" w:color="auto"/>
      </w:divBdr>
      <w:divsChild>
        <w:div w:id="774132297">
          <w:marLeft w:val="0"/>
          <w:marRight w:val="0"/>
          <w:marTop w:val="0"/>
          <w:marBottom w:val="0"/>
          <w:divBdr>
            <w:top w:val="none" w:sz="0" w:space="0" w:color="auto"/>
            <w:left w:val="none" w:sz="0" w:space="0" w:color="auto"/>
            <w:bottom w:val="none" w:sz="0" w:space="0" w:color="auto"/>
            <w:right w:val="none" w:sz="0" w:space="0" w:color="auto"/>
          </w:divBdr>
          <w:divsChild>
            <w:div w:id="928857006">
              <w:marLeft w:val="0"/>
              <w:marRight w:val="0"/>
              <w:marTop w:val="0"/>
              <w:marBottom w:val="0"/>
              <w:divBdr>
                <w:top w:val="none" w:sz="0" w:space="0" w:color="auto"/>
                <w:left w:val="none" w:sz="0" w:space="0" w:color="auto"/>
                <w:bottom w:val="none" w:sz="0" w:space="0" w:color="auto"/>
                <w:right w:val="none" w:sz="0" w:space="0" w:color="auto"/>
              </w:divBdr>
              <w:divsChild>
                <w:div w:id="6347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576942">
      <w:bodyDiv w:val="1"/>
      <w:marLeft w:val="0"/>
      <w:marRight w:val="0"/>
      <w:marTop w:val="0"/>
      <w:marBottom w:val="0"/>
      <w:divBdr>
        <w:top w:val="none" w:sz="0" w:space="0" w:color="auto"/>
        <w:left w:val="none" w:sz="0" w:space="0" w:color="auto"/>
        <w:bottom w:val="none" w:sz="0" w:space="0" w:color="auto"/>
        <w:right w:val="none" w:sz="0" w:space="0" w:color="auto"/>
      </w:divBdr>
    </w:div>
    <w:div w:id="1417937330">
      <w:bodyDiv w:val="1"/>
      <w:marLeft w:val="0"/>
      <w:marRight w:val="0"/>
      <w:marTop w:val="0"/>
      <w:marBottom w:val="0"/>
      <w:divBdr>
        <w:top w:val="none" w:sz="0" w:space="0" w:color="auto"/>
        <w:left w:val="none" w:sz="0" w:space="0" w:color="auto"/>
        <w:bottom w:val="none" w:sz="0" w:space="0" w:color="auto"/>
        <w:right w:val="none" w:sz="0" w:space="0" w:color="auto"/>
      </w:divBdr>
    </w:div>
    <w:div w:id="1437599674">
      <w:bodyDiv w:val="1"/>
      <w:marLeft w:val="0"/>
      <w:marRight w:val="0"/>
      <w:marTop w:val="0"/>
      <w:marBottom w:val="0"/>
      <w:divBdr>
        <w:top w:val="none" w:sz="0" w:space="0" w:color="auto"/>
        <w:left w:val="none" w:sz="0" w:space="0" w:color="auto"/>
        <w:bottom w:val="none" w:sz="0" w:space="0" w:color="auto"/>
        <w:right w:val="none" w:sz="0" w:space="0" w:color="auto"/>
      </w:divBdr>
    </w:div>
    <w:div w:id="1447852774">
      <w:bodyDiv w:val="1"/>
      <w:marLeft w:val="0"/>
      <w:marRight w:val="0"/>
      <w:marTop w:val="0"/>
      <w:marBottom w:val="0"/>
      <w:divBdr>
        <w:top w:val="none" w:sz="0" w:space="0" w:color="auto"/>
        <w:left w:val="none" w:sz="0" w:space="0" w:color="auto"/>
        <w:bottom w:val="none" w:sz="0" w:space="0" w:color="auto"/>
        <w:right w:val="none" w:sz="0" w:space="0" w:color="auto"/>
      </w:divBdr>
      <w:divsChild>
        <w:div w:id="626349401">
          <w:marLeft w:val="0"/>
          <w:marRight w:val="0"/>
          <w:marTop w:val="0"/>
          <w:marBottom w:val="0"/>
          <w:divBdr>
            <w:top w:val="none" w:sz="0" w:space="0" w:color="auto"/>
            <w:left w:val="none" w:sz="0" w:space="0" w:color="auto"/>
            <w:bottom w:val="none" w:sz="0" w:space="0" w:color="auto"/>
            <w:right w:val="none" w:sz="0" w:space="0" w:color="auto"/>
          </w:divBdr>
          <w:divsChild>
            <w:div w:id="1179195001">
              <w:marLeft w:val="0"/>
              <w:marRight w:val="0"/>
              <w:marTop w:val="0"/>
              <w:marBottom w:val="0"/>
              <w:divBdr>
                <w:top w:val="none" w:sz="0" w:space="0" w:color="auto"/>
                <w:left w:val="none" w:sz="0" w:space="0" w:color="auto"/>
                <w:bottom w:val="none" w:sz="0" w:space="0" w:color="auto"/>
                <w:right w:val="none" w:sz="0" w:space="0" w:color="auto"/>
              </w:divBdr>
              <w:divsChild>
                <w:div w:id="17564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8925">
      <w:bodyDiv w:val="1"/>
      <w:marLeft w:val="0"/>
      <w:marRight w:val="0"/>
      <w:marTop w:val="0"/>
      <w:marBottom w:val="0"/>
      <w:divBdr>
        <w:top w:val="none" w:sz="0" w:space="0" w:color="auto"/>
        <w:left w:val="none" w:sz="0" w:space="0" w:color="auto"/>
        <w:bottom w:val="none" w:sz="0" w:space="0" w:color="auto"/>
        <w:right w:val="none" w:sz="0" w:space="0" w:color="auto"/>
      </w:divBdr>
      <w:divsChild>
        <w:div w:id="39324148">
          <w:marLeft w:val="0"/>
          <w:marRight w:val="0"/>
          <w:marTop w:val="0"/>
          <w:marBottom w:val="0"/>
          <w:divBdr>
            <w:top w:val="none" w:sz="0" w:space="0" w:color="auto"/>
            <w:left w:val="none" w:sz="0" w:space="0" w:color="auto"/>
            <w:bottom w:val="none" w:sz="0" w:space="0" w:color="auto"/>
            <w:right w:val="none" w:sz="0" w:space="0" w:color="auto"/>
          </w:divBdr>
          <w:divsChild>
            <w:div w:id="967468990">
              <w:marLeft w:val="0"/>
              <w:marRight w:val="0"/>
              <w:marTop w:val="0"/>
              <w:marBottom w:val="0"/>
              <w:divBdr>
                <w:top w:val="none" w:sz="0" w:space="0" w:color="auto"/>
                <w:left w:val="none" w:sz="0" w:space="0" w:color="auto"/>
                <w:bottom w:val="none" w:sz="0" w:space="0" w:color="auto"/>
                <w:right w:val="none" w:sz="0" w:space="0" w:color="auto"/>
              </w:divBdr>
              <w:divsChild>
                <w:div w:id="9961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0498">
      <w:bodyDiv w:val="1"/>
      <w:marLeft w:val="0"/>
      <w:marRight w:val="0"/>
      <w:marTop w:val="0"/>
      <w:marBottom w:val="0"/>
      <w:divBdr>
        <w:top w:val="none" w:sz="0" w:space="0" w:color="auto"/>
        <w:left w:val="none" w:sz="0" w:space="0" w:color="auto"/>
        <w:bottom w:val="none" w:sz="0" w:space="0" w:color="auto"/>
        <w:right w:val="none" w:sz="0" w:space="0" w:color="auto"/>
      </w:divBdr>
    </w:div>
    <w:div w:id="1512137561">
      <w:bodyDiv w:val="1"/>
      <w:marLeft w:val="0"/>
      <w:marRight w:val="0"/>
      <w:marTop w:val="0"/>
      <w:marBottom w:val="0"/>
      <w:divBdr>
        <w:top w:val="none" w:sz="0" w:space="0" w:color="auto"/>
        <w:left w:val="none" w:sz="0" w:space="0" w:color="auto"/>
        <w:bottom w:val="none" w:sz="0" w:space="0" w:color="auto"/>
        <w:right w:val="none" w:sz="0" w:space="0" w:color="auto"/>
      </w:divBdr>
    </w:div>
    <w:div w:id="1513445954">
      <w:bodyDiv w:val="1"/>
      <w:marLeft w:val="0"/>
      <w:marRight w:val="0"/>
      <w:marTop w:val="0"/>
      <w:marBottom w:val="0"/>
      <w:divBdr>
        <w:top w:val="none" w:sz="0" w:space="0" w:color="auto"/>
        <w:left w:val="none" w:sz="0" w:space="0" w:color="auto"/>
        <w:bottom w:val="none" w:sz="0" w:space="0" w:color="auto"/>
        <w:right w:val="none" w:sz="0" w:space="0" w:color="auto"/>
      </w:divBdr>
    </w:div>
    <w:div w:id="1516773579">
      <w:bodyDiv w:val="1"/>
      <w:marLeft w:val="0"/>
      <w:marRight w:val="0"/>
      <w:marTop w:val="0"/>
      <w:marBottom w:val="0"/>
      <w:divBdr>
        <w:top w:val="none" w:sz="0" w:space="0" w:color="auto"/>
        <w:left w:val="none" w:sz="0" w:space="0" w:color="auto"/>
        <w:bottom w:val="none" w:sz="0" w:space="0" w:color="auto"/>
        <w:right w:val="none" w:sz="0" w:space="0" w:color="auto"/>
      </w:divBdr>
    </w:div>
    <w:div w:id="1517958494">
      <w:bodyDiv w:val="1"/>
      <w:marLeft w:val="0"/>
      <w:marRight w:val="0"/>
      <w:marTop w:val="0"/>
      <w:marBottom w:val="0"/>
      <w:divBdr>
        <w:top w:val="none" w:sz="0" w:space="0" w:color="auto"/>
        <w:left w:val="none" w:sz="0" w:space="0" w:color="auto"/>
        <w:bottom w:val="none" w:sz="0" w:space="0" w:color="auto"/>
        <w:right w:val="none" w:sz="0" w:space="0" w:color="auto"/>
      </w:divBdr>
      <w:divsChild>
        <w:div w:id="1645230149">
          <w:marLeft w:val="0"/>
          <w:marRight w:val="0"/>
          <w:marTop w:val="0"/>
          <w:marBottom w:val="0"/>
          <w:divBdr>
            <w:top w:val="none" w:sz="0" w:space="0" w:color="auto"/>
            <w:left w:val="none" w:sz="0" w:space="0" w:color="auto"/>
            <w:bottom w:val="none" w:sz="0" w:space="0" w:color="auto"/>
            <w:right w:val="none" w:sz="0" w:space="0" w:color="auto"/>
          </w:divBdr>
          <w:divsChild>
            <w:div w:id="1030646280">
              <w:marLeft w:val="0"/>
              <w:marRight w:val="0"/>
              <w:marTop w:val="0"/>
              <w:marBottom w:val="0"/>
              <w:divBdr>
                <w:top w:val="none" w:sz="0" w:space="0" w:color="auto"/>
                <w:left w:val="none" w:sz="0" w:space="0" w:color="auto"/>
                <w:bottom w:val="none" w:sz="0" w:space="0" w:color="auto"/>
                <w:right w:val="none" w:sz="0" w:space="0" w:color="auto"/>
              </w:divBdr>
              <w:divsChild>
                <w:div w:id="214056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932549">
      <w:bodyDiv w:val="1"/>
      <w:marLeft w:val="0"/>
      <w:marRight w:val="0"/>
      <w:marTop w:val="0"/>
      <w:marBottom w:val="0"/>
      <w:divBdr>
        <w:top w:val="none" w:sz="0" w:space="0" w:color="auto"/>
        <w:left w:val="none" w:sz="0" w:space="0" w:color="auto"/>
        <w:bottom w:val="none" w:sz="0" w:space="0" w:color="auto"/>
        <w:right w:val="none" w:sz="0" w:space="0" w:color="auto"/>
      </w:divBdr>
    </w:div>
    <w:div w:id="1546722955">
      <w:bodyDiv w:val="1"/>
      <w:marLeft w:val="0"/>
      <w:marRight w:val="0"/>
      <w:marTop w:val="0"/>
      <w:marBottom w:val="0"/>
      <w:divBdr>
        <w:top w:val="none" w:sz="0" w:space="0" w:color="auto"/>
        <w:left w:val="none" w:sz="0" w:space="0" w:color="auto"/>
        <w:bottom w:val="none" w:sz="0" w:space="0" w:color="auto"/>
        <w:right w:val="none" w:sz="0" w:space="0" w:color="auto"/>
      </w:divBdr>
    </w:div>
    <w:div w:id="1562594411">
      <w:bodyDiv w:val="1"/>
      <w:marLeft w:val="0"/>
      <w:marRight w:val="0"/>
      <w:marTop w:val="0"/>
      <w:marBottom w:val="0"/>
      <w:divBdr>
        <w:top w:val="none" w:sz="0" w:space="0" w:color="auto"/>
        <w:left w:val="none" w:sz="0" w:space="0" w:color="auto"/>
        <w:bottom w:val="none" w:sz="0" w:space="0" w:color="auto"/>
        <w:right w:val="none" w:sz="0" w:space="0" w:color="auto"/>
      </w:divBdr>
    </w:div>
    <w:div w:id="1573587192">
      <w:bodyDiv w:val="1"/>
      <w:marLeft w:val="0"/>
      <w:marRight w:val="0"/>
      <w:marTop w:val="0"/>
      <w:marBottom w:val="0"/>
      <w:divBdr>
        <w:top w:val="none" w:sz="0" w:space="0" w:color="auto"/>
        <w:left w:val="none" w:sz="0" w:space="0" w:color="auto"/>
        <w:bottom w:val="none" w:sz="0" w:space="0" w:color="auto"/>
        <w:right w:val="none" w:sz="0" w:space="0" w:color="auto"/>
      </w:divBdr>
    </w:div>
    <w:div w:id="1581912173">
      <w:bodyDiv w:val="1"/>
      <w:marLeft w:val="0"/>
      <w:marRight w:val="0"/>
      <w:marTop w:val="0"/>
      <w:marBottom w:val="0"/>
      <w:divBdr>
        <w:top w:val="none" w:sz="0" w:space="0" w:color="auto"/>
        <w:left w:val="none" w:sz="0" w:space="0" w:color="auto"/>
        <w:bottom w:val="none" w:sz="0" w:space="0" w:color="auto"/>
        <w:right w:val="none" w:sz="0" w:space="0" w:color="auto"/>
      </w:divBdr>
    </w:div>
    <w:div w:id="1612930490">
      <w:bodyDiv w:val="1"/>
      <w:marLeft w:val="0"/>
      <w:marRight w:val="0"/>
      <w:marTop w:val="0"/>
      <w:marBottom w:val="0"/>
      <w:divBdr>
        <w:top w:val="none" w:sz="0" w:space="0" w:color="auto"/>
        <w:left w:val="none" w:sz="0" w:space="0" w:color="auto"/>
        <w:bottom w:val="none" w:sz="0" w:space="0" w:color="auto"/>
        <w:right w:val="none" w:sz="0" w:space="0" w:color="auto"/>
      </w:divBdr>
      <w:divsChild>
        <w:div w:id="2122526425">
          <w:marLeft w:val="0"/>
          <w:marRight w:val="0"/>
          <w:marTop w:val="0"/>
          <w:marBottom w:val="0"/>
          <w:divBdr>
            <w:top w:val="none" w:sz="0" w:space="0" w:color="auto"/>
            <w:left w:val="none" w:sz="0" w:space="0" w:color="auto"/>
            <w:bottom w:val="none" w:sz="0" w:space="0" w:color="auto"/>
            <w:right w:val="none" w:sz="0" w:space="0" w:color="auto"/>
          </w:divBdr>
          <w:divsChild>
            <w:div w:id="1254318534">
              <w:marLeft w:val="0"/>
              <w:marRight w:val="0"/>
              <w:marTop w:val="0"/>
              <w:marBottom w:val="0"/>
              <w:divBdr>
                <w:top w:val="none" w:sz="0" w:space="0" w:color="auto"/>
                <w:left w:val="none" w:sz="0" w:space="0" w:color="auto"/>
                <w:bottom w:val="none" w:sz="0" w:space="0" w:color="auto"/>
                <w:right w:val="none" w:sz="0" w:space="0" w:color="auto"/>
              </w:divBdr>
              <w:divsChild>
                <w:div w:id="203360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164963">
      <w:bodyDiv w:val="1"/>
      <w:marLeft w:val="0"/>
      <w:marRight w:val="0"/>
      <w:marTop w:val="0"/>
      <w:marBottom w:val="0"/>
      <w:divBdr>
        <w:top w:val="none" w:sz="0" w:space="0" w:color="auto"/>
        <w:left w:val="none" w:sz="0" w:space="0" w:color="auto"/>
        <w:bottom w:val="none" w:sz="0" w:space="0" w:color="auto"/>
        <w:right w:val="none" w:sz="0" w:space="0" w:color="auto"/>
      </w:divBdr>
      <w:divsChild>
        <w:div w:id="329795448">
          <w:marLeft w:val="0"/>
          <w:marRight w:val="0"/>
          <w:marTop w:val="0"/>
          <w:marBottom w:val="0"/>
          <w:divBdr>
            <w:top w:val="none" w:sz="0" w:space="0" w:color="auto"/>
            <w:left w:val="none" w:sz="0" w:space="0" w:color="auto"/>
            <w:bottom w:val="none" w:sz="0" w:space="0" w:color="auto"/>
            <w:right w:val="none" w:sz="0" w:space="0" w:color="auto"/>
          </w:divBdr>
          <w:divsChild>
            <w:div w:id="1300913021">
              <w:marLeft w:val="0"/>
              <w:marRight w:val="0"/>
              <w:marTop w:val="0"/>
              <w:marBottom w:val="0"/>
              <w:divBdr>
                <w:top w:val="none" w:sz="0" w:space="0" w:color="auto"/>
                <w:left w:val="none" w:sz="0" w:space="0" w:color="auto"/>
                <w:bottom w:val="none" w:sz="0" w:space="0" w:color="auto"/>
                <w:right w:val="none" w:sz="0" w:space="0" w:color="auto"/>
              </w:divBdr>
              <w:divsChild>
                <w:div w:id="338237323">
                  <w:marLeft w:val="0"/>
                  <w:marRight w:val="0"/>
                  <w:marTop w:val="0"/>
                  <w:marBottom w:val="0"/>
                  <w:divBdr>
                    <w:top w:val="none" w:sz="0" w:space="0" w:color="auto"/>
                    <w:left w:val="none" w:sz="0" w:space="0" w:color="auto"/>
                    <w:bottom w:val="none" w:sz="0" w:space="0" w:color="auto"/>
                    <w:right w:val="none" w:sz="0" w:space="0" w:color="auto"/>
                  </w:divBdr>
                </w:div>
              </w:divsChild>
            </w:div>
            <w:div w:id="1267153063">
              <w:marLeft w:val="0"/>
              <w:marRight w:val="0"/>
              <w:marTop w:val="0"/>
              <w:marBottom w:val="0"/>
              <w:divBdr>
                <w:top w:val="none" w:sz="0" w:space="0" w:color="auto"/>
                <w:left w:val="none" w:sz="0" w:space="0" w:color="auto"/>
                <w:bottom w:val="none" w:sz="0" w:space="0" w:color="auto"/>
                <w:right w:val="none" w:sz="0" w:space="0" w:color="auto"/>
              </w:divBdr>
              <w:divsChild>
                <w:div w:id="2015566101">
                  <w:marLeft w:val="0"/>
                  <w:marRight w:val="0"/>
                  <w:marTop w:val="0"/>
                  <w:marBottom w:val="0"/>
                  <w:divBdr>
                    <w:top w:val="none" w:sz="0" w:space="0" w:color="auto"/>
                    <w:left w:val="none" w:sz="0" w:space="0" w:color="auto"/>
                    <w:bottom w:val="none" w:sz="0" w:space="0" w:color="auto"/>
                    <w:right w:val="none" w:sz="0" w:space="0" w:color="auto"/>
                  </w:divBdr>
                </w:div>
              </w:divsChild>
            </w:div>
            <w:div w:id="1956597349">
              <w:marLeft w:val="0"/>
              <w:marRight w:val="0"/>
              <w:marTop w:val="0"/>
              <w:marBottom w:val="0"/>
              <w:divBdr>
                <w:top w:val="none" w:sz="0" w:space="0" w:color="auto"/>
                <w:left w:val="none" w:sz="0" w:space="0" w:color="auto"/>
                <w:bottom w:val="none" w:sz="0" w:space="0" w:color="auto"/>
                <w:right w:val="none" w:sz="0" w:space="0" w:color="auto"/>
              </w:divBdr>
              <w:divsChild>
                <w:div w:id="13587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63422">
      <w:bodyDiv w:val="1"/>
      <w:marLeft w:val="0"/>
      <w:marRight w:val="0"/>
      <w:marTop w:val="0"/>
      <w:marBottom w:val="0"/>
      <w:divBdr>
        <w:top w:val="none" w:sz="0" w:space="0" w:color="auto"/>
        <w:left w:val="none" w:sz="0" w:space="0" w:color="auto"/>
        <w:bottom w:val="none" w:sz="0" w:space="0" w:color="auto"/>
        <w:right w:val="none" w:sz="0" w:space="0" w:color="auto"/>
      </w:divBdr>
    </w:div>
    <w:div w:id="1682856224">
      <w:bodyDiv w:val="1"/>
      <w:marLeft w:val="0"/>
      <w:marRight w:val="0"/>
      <w:marTop w:val="0"/>
      <w:marBottom w:val="0"/>
      <w:divBdr>
        <w:top w:val="none" w:sz="0" w:space="0" w:color="auto"/>
        <w:left w:val="none" w:sz="0" w:space="0" w:color="auto"/>
        <w:bottom w:val="none" w:sz="0" w:space="0" w:color="auto"/>
        <w:right w:val="none" w:sz="0" w:space="0" w:color="auto"/>
      </w:divBdr>
    </w:div>
    <w:div w:id="1685934217">
      <w:bodyDiv w:val="1"/>
      <w:marLeft w:val="0"/>
      <w:marRight w:val="0"/>
      <w:marTop w:val="0"/>
      <w:marBottom w:val="0"/>
      <w:divBdr>
        <w:top w:val="none" w:sz="0" w:space="0" w:color="auto"/>
        <w:left w:val="none" w:sz="0" w:space="0" w:color="auto"/>
        <w:bottom w:val="none" w:sz="0" w:space="0" w:color="auto"/>
        <w:right w:val="none" w:sz="0" w:space="0" w:color="auto"/>
      </w:divBdr>
      <w:divsChild>
        <w:div w:id="1480147368">
          <w:marLeft w:val="0"/>
          <w:marRight w:val="0"/>
          <w:marTop w:val="0"/>
          <w:marBottom w:val="0"/>
          <w:divBdr>
            <w:top w:val="none" w:sz="0" w:space="0" w:color="auto"/>
            <w:left w:val="none" w:sz="0" w:space="0" w:color="auto"/>
            <w:bottom w:val="none" w:sz="0" w:space="0" w:color="auto"/>
            <w:right w:val="none" w:sz="0" w:space="0" w:color="auto"/>
          </w:divBdr>
          <w:divsChild>
            <w:div w:id="1551916621">
              <w:marLeft w:val="0"/>
              <w:marRight w:val="0"/>
              <w:marTop w:val="0"/>
              <w:marBottom w:val="0"/>
              <w:divBdr>
                <w:top w:val="none" w:sz="0" w:space="0" w:color="auto"/>
                <w:left w:val="none" w:sz="0" w:space="0" w:color="auto"/>
                <w:bottom w:val="none" w:sz="0" w:space="0" w:color="auto"/>
                <w:right w:val="none" w:sz="0" w:space="0" w:color="auto"/>
              </w:divBdr>
              <w:divsChild>
                <w:div w:id="101465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290509">
      <w:bodyDiv w:val="1"/>
      <w:marLeft w:val="0"/>
      <w:marRight w:val="0"/>
      <w:marTop w:val="0"/>
      <w:marBottom w:val="0"/>
      <w:divBdr>
        <w:top w:val="none" w:sz="0" w:space="0" w:color="auto"/>
        <w:left w:val="none" w:sz="0" w:space="0" w:color="auto"/>
        <w:bottom w:val="none" w:sz="0" w:space="0" w:color="auto"/>
        <w:right w:val="none" w:sz="0" w:space="0" w:color="auto"/>
      </w:divBdr>
    </w:div>
    <w:div w:id="1750879184">
      <w:bodyDiv w:val="1"/>
      <w:marLeft w:val="0"/>
      <w:marRight w:val="0"/>
      <w:marTop w:val="0"/>
      <w:marBottom w:val="0"/>
      <w:divBdr>
        <w:top w:val="none" w:sz="0" w:space="0" w:color="auto"/>
        <w:left w:val="none" w:sz="0" w:space="0" w:color="auto"/>
        <w:bottom w:val="none" w:sz="0" w:space="0" w:color="auto"/>
        <w:right w:val="none" w:sz="0" w:space="0" w:color="auto"/>
      </w:divBdr>
    </w:div>
    <w:div w:id="1759671906">
      <w:bodyDiv w:val="1"/>
      <w:marLeft w:val="0"/>
      <w:marRight w:val="0"/>
      <w:marTop w:val="0"/>
      <w:marBottom w:val="0"/>
      <w:divBdr>
        <w:top w:val="none" w:sz="0" w:space="0" w:color="auto"/>
        <w:left w:val="none" w:sz="0" w:space="0" w:color="auto"/>
        <w:bottom w:val="none" w:sz="0" w:space="0" w:color="auto"/>
        <w:right w:val="none" w:sz="0" w:space="0" w:color="auto"/>
      </w:divBdr>
    </w:div>
    <w:div w:id="1772510781">
      <w:bodyDiv w:val="1"/>
      <w:marLeft w:val="0"/>
      <w:marRight w:val="0"/>
      <w:marTop w:val="0"/>
      <w:marBottom w:val="0"/>
      <w:divBdr>
        <w:top w:val="none" w:sz="0" w:space="0" w:color="auto"/>
        <w:left w:val="none" w:sz="0" w:space="0" w:color="auto"/>
        <w:bottom w:val="none" w:sz="0" w:space="0" w:color="auto"/>
        <w:right w:val="none" w:sz="0" w:space="0" w:color="auto"/>
      </w:divBdr>
      <w:divsChild>
        <w:div w:id="480510505">
          <w:marLeft w:val="0"/>
          <w:marRight w:val="0"/>
          <w:marTop w:val="0"/>
          <w:marBottom w:val="0"/>
          <w:divBdr>
            <w:top w:val="none" w:sz="0" w:space="0" w:color="auto"/>
            <w:left w:val="none" w:sz="0" w:space="0" w:color="auto"/>
            <w:bottom w:val="none" w:sz="0" w:space="0" w:color="auto"/>
            <w:right w:val="none" w:sz="0" w:space="0" w:color="auto"/>
          </w:divBdr>
          <w:divsChild>
            <w:div w:id="686097052">
              <w:marLeft w:val="0"/>
              <w:marRight w:val="0"/>
              <w:marTop w:val="0"/>
              <w:marBottom w:val="0"/>
              <w:divBdr>
                <w:top w:val="none" w:sz="0" w:space="0" w:color="auto"/>
                <w:left w:val="none" w:sz="0" w:space="0" w:color="auto"/>
                <w:bottom w:val="none" w:sz="0" w:space="0" w:color="auto"/>
                <w:right w:val="none" w:sz="0" w:space="0" w:color="auto"/>
              </w:divBdr>
              <w:divsChild>
                <w:div w:id="13344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60653">
      <w:bodyDiv w:val="1"/>
      <w:marLeft w:val="0"/>
      <w:marRight w:val="0"/>
      <w:marTop w:val="0"/>
      <w:marBottom w:val="0"/>
      <w:divBdr>
        <w:top w:val="none" w:sz="0" w:space="0" w:color="auto"/>
        <w:left w:val="none" w:sz="0" w:space="0" w:color="auto"/>
        <w:bottom w:val="none" w:sz="0" w:space="0" w:color="auto"/>
        <w:right w:val="none" w:sz="0" w:space="0" w:color="auto"/>
      </w:divBdr>
      <w:divsChild>
        <w:div w:id="1123497033">
          <w:marLeft w:val="0"/>
          <w:marRight w:val="0"/>
          <w:marTop w:val="0"/>
          <w:marBottom w:val="0"/>
          <w:divBdr>
            <w:top w:val="none" w:sz="0" w:space="0" w:color="auto"/>
            <w:left w:val="none" w:sz="0" w:space="0" w:color="auto"/>
            <w:bottom w:val="none" w:sz="0" w:space="0" w:color="auto"/>
            <w:right w:val="none" w:sz="0" w:space="0" w:color="auto"/>
          </w:divBdr>
          <w:divsChild>
            <w:div w:id="397020766">
              <w:marLeft w:val="0"/>
              <w:marRight w:val="0"/>
              <w:marTop w:val="0"/>
              <w:marBottom w:val="0"/>
              <w:divBdr>
                <w:top w:val="none" w:sz="0" w:space="0" w:color="auto"/>
                <w:left w:val="none" w:sz="0" w:space="0" w:color="auto"/>
                <w:bottom w:val="none" w:sz="0" w:space="0" w:color="auto"/>
                <w:right w:val="none" w:sz="0" w:space="0" w:color="auto"/>
              </w:divBdr>
              <w:divsChild>
                <w:div w:id="91050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685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35753664">
      <w:bodyDiv w:val="1"/>
      <w:marLeft w:val="0"/>
      <w:marRight w:val="0"/>
      <w:marTop w:val="0"/>
      <w:marBottom w:val="0"/>
      <w:divBdr>
        <w:top w:val="none" w:sz="0" w:space="0" w:color="auto"/>
        <w:left w:val="none" w:sz="0" w:space="0" w:color="auto"/>
        <w:bottom w:val="none" w:sz="0" w:space="0" w:color="auto"/>
        <w:right w:val="none" w:sz="0" w:space="0" w:color="auto"/>
      </w:divBdr>
      <w:divsChild>
        <w:div w:id="1105537960">
          <w:marLeft w:val="0"/>
          <w:marRight w:val="0"/>
          <w:marTop w:val="0"/>
          <w:marBottom w:val="0"/>
          <w:divBdr>
            <w:top w:val="none" w:sz="0" w:space="0" w:color="auto"/>
            <w:left w:val="none" w:sz="0" w:space="0" w:color="auto"/>
            <w:bottom w:val="none" w:sz="0" w:space="0" w:color="auto"/>
            <w:right w:val="none" w:sz="0" w:space="0" w:color="auto"/>
          </w:divBdr>
          <w:divsChild>
            <w:div w:id="339627729">
              <w:marLeft w:val="0"/>
              <w:marRight w:val="0"/>
              <w:marTop w:val="0"/>
              <w:marBottom w:val="0"/>
              <w:divBdr>
                <w:top w:val="none" w:sz="0" w:space="0" w:color="auto"/>
                <w:left w:val="none" w:sz="0" w:space="0" w:color="auto"/>
                <w:bottom w:val="none" w:sz="0" w:space="0" w:color="auto"/>
                <w:right w:val="none" w:sz="0" w:space="0" w:color="auto"/>
              </w:divBdr>
              <w:divsChild>
                <w:div w:id="1770081316">
                  <w:marLeft w:val="0"/>
                  <w:marRight w:val="0"/>
                  <w:marTop w:val="0"/>
                  <w:marBottom w:val="0"/>
                  <w:divBdr>
                    <w:top w:val="none" w:sz="0" w:space="0" w:color="auto"/>
                    <w:left w:val="none" w:sz="0" w:space="0" w:color="auto"/>
                    <w:bottom w:val="none" w:sz="0" w:space="0" w:color="auto"/>
                    <w:right w:val="none" w:sz="0" w:space="0" w:color="auto"/>
                  </w:divBdr>
                  <w:divsChild>
                    <w:div w:id="42152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898670">
      <w:bodyDiv w:val="1"/>
      <w:marLeft w:val="0"/>
      <w:marRight w:val="0"/>
      <w:marTop w:val="0"/>
      <w:marBottom w:val="0"/>
      <w:divBdr>
        <w:top w:val="none" w:sz="0" w:space="0" w:color="auto"/>
        <w:left w:val="none" w:sz="0" w:space="0" w:color="auto"/>
        <w:bottom w:val="none" w:sz="0" w:space="0" w:color="auto"/>
        <w:right w:val="none" w:sz="0" w:space="0" w:color="auto"/>
      </w:divBdr>
    </w:div>
    <w:div w:id="1849370237">
      <w:bodyDiv w:val="1"/>
      <w:marLeft w:val="0"/>
      <w:marRight w:val="0"/>
      <w:marTop w:val="0"/>
      <w:marBottom w:val="0"/>
      <w:divBdr>
        <w:top w:val="none" w:sz="0" w:space="0" w:color="auto"/>
        <w:left w:val="none" w:sz="0" w:space="0" w:color="auto"/>
        <w:bottom w:val="none" w:sz="0" w:space="0" w:color="auto"/>
        <w:right w:val="none" w:sz="0" w:space="0" w:color="auto"/>
      </w:divBdr>
    </w:div>
    <w:div w:id="1850867772">
      <w:bodyDiv w:val="1"/>
      <w:marLeft w:val="0"/>
      <w:marRight w:val="0"/>
      <w:marTop w:val="0"/>
      <w:marBottom w:val="0"/>
      <w:divBdr>
        <w:top w:val="none" w:sz="0" w:space="0" w:color="auto"/>
        <w:left w:val="none" w:sz="0" w:space="0" w:color="auto"/>
        <w:bottom w:val="none" w:sz="0" w:space="0" w:color="auto"/>
        <w:right w:val="none" w:sz="0" w:space="0" w:color="auto"/>
      </w:divBdr>
    </w:div>
    <w:div w:id="1884636582">
      <w:bodyDiv w:val="1"/>
      <w:marLeft w:val="0"/>
      <w:marRight w:val="0"/>
      <w:marTop w:val="0"/>
      <w:marBottom w:val="0"/>
      <w:divBdr>
        <w:top w:val="none" w:sz="0" w:space="0" w:color="auto"/>
        <w:left w:val="none" w:sz="0" w:space="0" w:color="auto"/>
        <w:bottom w:val="none" w:sz="0" w:space="0" w:color="auto"/>
        <w:right w:val="none" w:sz="0" w:space="0" w:color="auto"/>
      </w:divBdr>
      <w:divsChild>
        <w:div w:id="1611089451">
          <w:marLeft w:val="0"/>
          <w:marRight w:val="0"/>
          <w:marTop w:val="0"/>
          <w:marBottom w:val="0"/>
          <w:divBdr>
            <w:top w:val="none" w:sz="0" w:space="0" w:color="auto"/>
            <w:left w:val="none" w:sz="0" w:space="0" w:color="auto"/>
            <w:bottom w:val="none" w:sz="0" w:space="0" w:color="auto"/>
            <w:right w:val="none" w:sz="0" w:space="0" w:color="auto"/>
          </w:divBdr>
          <w:divsChild>
            <w:div w:id="1512910503">
              <w:marLeft w:val="0"/>
              <w:marRight w:val="0"/>
              <w:marTop w:val="0"/>
              <w:marBottom w:val="0"/>
              <w:divBdr>
                <w:top w:val="none" w:sz="0" w:space="0" w:color="auto"/>
                <w:left w:val="none" w:sz="0" w:space="0" w:color="auto"/>
                <w:bottom w:val="none" w:sz="0" w:space="0" w:color="auto"/>
                <w:right w:val="none" w:sz="0" w:space="0" w:color="auto"/>
              </w:divBdr>
              <w:divsChild>
                <w:div w:id="16763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78990">
      <w:bodyDiv w:val="1"/>
      <w:marLeft w:val="0"/>
      <w:marRight w:val="0"/>
      <w:marTop w:val="0"/>
      <w:marBottom w:val="0"/>
      <w:divBdr>
        <w:top w:val="none" w:sz="0" w:space="0" w:color="auto"/>
        <w:left w:val="none" w:sz="0" w:space="0" w:color="auto"/>
        <w:bottom w:val="none" w:sz="0" w:space="0" w:color="auto"/>
        <w:right w:val="none" w:sz="0" w:space="0" w:color="auto"/>
      </w:divBdr>
    </w:div>
    <w:div w:id="1928733840">
      <w:bodyDiv w:val="1"/>
      <w:marLeft w:val="0"/>
      <w:marRight w:val="0"/>
      <w:marTop w:val="0"/>
      <w:marBottom w:val="0"/>
      <w:divBdr>
        <w:top w:val="none" w:sz="0" w:space="0" w:color="auto"/>
        <w:left w:val="none" w:sz="0" w:space="0" w:color="auto"/>
        <w:bottom w:val="none" w:sz="0" w:space="0" w:color="auto"/>
        <w:right w:val="none" w:sz="0" w:space="0" w:color="auto"/>
      </w:divBdr>
      <w:divsChild>
        <w:div w:id="1906259451">
          <w:marLeft w:val="0"/>
          <w:marRight w:val="0"/>
          <w:marTop w:val="0"/>
          <w:marBottom w:val="0"/>
          <w:divBdr>
            <w:top w:val="none" w:sz="0" w:space="0" w:color="auto"/>
            <w:left w:val="none" w:sz="0" w:space="0" w:color="auto"/>
            <w:bottom w:val="none" w:sz="0" w:space="0" w:color="auto"/>
            <w:right w:val="none" w:sz="0" w:space="0" w:color="auto"/>
          </w:divBdr>
          <w:divsChild>
            <w:div w:id="2145730781">
              <w:marLeft w:val="0"/>
              <w:marRight w:val="0"/>
              <w:marTop w:val="0"/>
              <w:marBottom w:val="0"/>
              <w:divBdr>
                <w:top w:val="none" w:sz="0" w:space="0" w:color="auto"/>
                <w:left w:val="none" w:sz="0" w:space="0" w:color="auto"/>
                <w:bottom w:val="none" w:sz="0" w:space="0" w:color="auto"/>
                <w:right w:val="none" w:sz="0" w:space="0" w:color="auto"/>
              </w:divBdr>
              <w:divsChild>
                <w:div w:id="8135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425235">
      <w:bodyDiv w:val="1"/>
      <w:marLeft w:val="0"/>
      <w:marRight w:val="0"/>
      <w:marTop w:val="0"/>
      <w:marBottom w:val="0"/>
      <w:divBdr>
        <w:top w:val="none" w:sz="0" w:space="0" w:color="auto"/>
        <w:left w:val="none" w:sz="0" w:space="0" w:color="auto"/>
        <w:bottom w:val="none" w:sz="0" w:space="0" w:color="auto"/>
        <w:right w:val="none" w:sz="0" w:space="0" w:color="auto"/>
      </w:divBdr>
    </w:div>
    <w:div w:id="1937979946">
      <w:bodyDiv w:val="1"/>
      <w:marLeft w:val="0"/>
      <w:marRight w:val="0"/>
      <w:marTop w:val="0"/>
      <w:marBottom w:val="0"/>
      <w:divBdr>
        <w:top w:val="none" w:sz="0" w:space="0" w:color="auto"/>
        <w:left w:val="none" w:sz="0" w:space="0" w:color="auto"/>
        <w:bottom w:val="none" w:sz="0" w:space="0" w:color="auto"/>
        <w:right w:val="none" w:sz="0" w:space="0" w:color="auto"/>
      </w:divBdr>
    </w:div>
    <w:div w:id="1944338553">
      <w:bodyDiv w:val="1"/>
      <w:marLeft w:val="0"/>
      <w:marRight w:val="0"/>
      <w:marTop w:val="0"/>
      <w:marBottom w:val="0"/>
      <w:divBdr>
        <w:top w:val="none" w:sz="0" w:space="0" w:color="auto"/>
        <w:left w:val="none" w:sz="0" w:space="0" w:color="auto"/>
        <w:bottom w:val="none" w:sz="0" w:space="0" w:color="auto"/>
        <w:right w:val="none" w:sz="0" w:space="0" w:color="auto"/>
      </w:divBdr>
    </w:div>
    <w:div w:id="2017268150">
      <w:bodyDiv w:val="1"/>
      <w:marLeft w:val="0"/>
      <w:marRight w:val="0"/>
      <w:marTop w:val="0"/>
      <w:marBottom w:val="0"/>
      <w:divBdr>
        <w:top w:val="none" w:sz="0" w:space="0" w:color="auto"/>
        <w:left w:val="none" w:sz="0" w:space="0" w:color="auto"/>
        <w:bottom w:val="none" w:sz="0" w:space="0" w:color="auto"/>
        <w:right w:val="none" w:sz="0" w:space="0" w:color="auto"/>
      </w:divBdr>
    </w:div>
    <w:div w:id="2040354954">
      <w:bodyDiv w:val="1"/>
      <w:marLeft w:val="0"/>
      <w:marRight w:val="0"/>
      <w:marTop w:val="0"/>
      <w:marBottom w:val="0"/>
      <w:divBdr>
        <w:top w:val="none" w:sz="0" w:space="0" w:color="auto"/>
        <w:left w:val="none" w:sz="0" w:space="0" w:color="auto"/>
        <w:bottom w:val="none" w:sz="0" w:space="0" w:color="auto"/>
        <w:right w:val="none" w:sz="0" w:space="0" w:color="auto"/>
      </w:divBdr>
    </w:div>
    <w:div w:id="2071923512">
      <w:bodyDiv w:val="1"/>
      <w:marLeft w:val="0"/>
      <w:marRight w:val="0"/>
      <w:marTop w:val="0"/>
      <w:marBottom w:val="0"/>
      <w:divBdr>
        <w:top w:val="none" w:sz="0" w:space="0" w:color="auto"/>
        <w:left w:val="none" w:sz="0" w:space="0" w:color="auto"/>
        <w:bottom w:val="none" w:sz="0" w:space="0" w:color="auto"/>
        <w:right w:val="none" w:sz="0" w:space="0" w:color="auto"/>
      </w:divBdr>
    </w:div>
    <w:div w:id="2095008689">
      <w:bodyDiv w:val="1"/>
      <w:marLeft w:val="0"/>
      <w:marRight w:val="0"/>
      <w:marTop w:val="0"/>
      <w:marBottom w:val="0"/>
      <w:divBdr>
        <w:top w:val="none" w:sz="0" w:space="0" w:color="auto"/>
        <w:left w:val="none" w:sz="0" w:space="0" w:color="auto"/>
        <w:bottom w:val="none" w:sz="0" w:space="0" w:color="auto"/>
        <w:right w:val="none" w:sz="0" w:space="0" w:color="auto"/>
      </w:divBdr>
      <w:divsChild>
        <w:div w:id="845482171">
          <w:marLeft w:val="0"/>
          <w:marRight w:val="0"/>
          <w:marTop w:val="0"/>
          <w:marBottom w:val="0"/>
          <w:divBdr>
            <w:top w:val="none" w:sz="0" w:space="0" w:color="auto"/>
            <w:left w:val="none" w:sz="0" w:space="0" w:color="auto"/>
            <w:bottom w:val="none" w:sz="0" w:space="0" w:color="auto"/>
            <w:right w:val="none" w:sz="0" w:space="0" w:color="auto"/>
          </w:divBdr>
          <w:divsChild>
            <w:div w:id="417750327">
              <w:marLeft w:val="0"/>
              <w:marRight w:val="0"/>
              <w:marTop w:val="0"/>
              <w:marBottom w:val="0"/>
              <w:divBdr>
                <w:top w:val="none" w:sz="0" w:space="0" w:color="auto"/>
                <w:left w:val="none" w:sz="0" w:space="0" w:color="auto"/>
                <w:bottom w:val="none" w:sz="0" w:space="0" w:color="auto"/>
                <w:right w:val="none" w:sz="0" w:space="0" w:color="auto"/>
              </w:divBdr>
              <w:divsChild>
                <w:div w:id="114978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363301">
      <w:bodyDiv w:val="1"/>
      <w:marLeft w:val="0"/>
      <w:marRight w:val="0"/>
      <w:marTop w:val="0"/>
      <w:marBottom w:val="0"/>
      <w:divBdr>
        <w:top w:val="none" w:sz="0" w:space="0" w:color="auto"/>
        <w:left w:val="none" w:sz="0" w:space="0" w:color="auto"/>
        <w:bottom w:val="none" w:sz="0" w:space="0" w:color="auto"/>
        <w:right w:val="none" w:sz="0" w:space="0" w:color="auto"/>
      </w:divBdr>
    </w:div>
    <w:div w:id="2101481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cidh.org/countryrep/Chile76sp/Indice.htm" TargetMode="External"/><Relationship Id="rId13" Type="http://schemas.openxmlformats.org/officeDocument/2006/relationships/hyperlink" Target="http://www.memoriachilena.gob.cl/602/w3-article-94640.html" TargetMode="External"/><Relationship Id="rId18" Type="http://schemas.openxmlformats.org/officeDocument/2006/relationships/hyperlink" Target="https://www.ohchr.org/SP/ProfessionalInterest/Pages/WarCrimes.aspx" TargetMode="External"/><Relationship Id="rId3" Type="http://schemas.openxmlformats.org/officeDocument/2006/relationships/hyperlink" Target="http://www.cidh.org/countryrep/Chile74sp/Indice.htm" TargetMode="External"/><Relationship Id="rId7" Type="http://schemas.openxmlformats.org/officeDocument/2006/relationships/hyperlink" Target="http://www.cidh.org/countryrep/Chile74sp/Indice.htm" TargetMode="External"/><Relationship Id="rId12" Type="http://schemas.openxmlformats.org/officeDocument/2006/relationships/hyperlink" Target="http://www.memoriachilena.gob.cl/602/w3-article-94640.html" TargetMode="External"/><Relationship Id="rId17" Type="http://schemas.openxmlformats.org/officeDocument/2006/relationships/hyperlink" Target="https://www.indh.cl/bb/wp-content/uploads/2017/01/informe.pdf" TargetMode="External"/><Relationship Id="rId2" Type="http://schemas.openxmlformats.org/officeDocument/2006/relationships/hyperlink" Target="http://bcn.cl/2lqvx" TargetMode="External"/><Relationship Id="rId16" Type="http://schemas.openxmlformats.org/officeDocument/2006/relationships/hyperlink" Target="https://www.indh.cl/bb/wp-content/uploads/2017/01/informe.pdf" TargetMode="External"/><Relationship Id="rId1" Type="http://schemas.openxmlformats.org/officeDocument/2006/relationships/hyperlink" Target="http://bcn.cl/2kdt5" TargetMode="External"/><Relationship Id="rId6" Type="http://schemas.openxmlformats.org/officeDocument/2006/relationships/hyperlink" Target="http://www.cidh.org/countryrep/Chile74sp/Indice.htm" TargetMode="External"/><Relationship Id="rId11" Type="http://schemas.openxmlformats.org/officeDocument/2006/relationships/hyperlink" Target="http://www.cidh.oas.org/annualrep/88.89span/indice.htm" TargetMode="External"/><Relationship Id="rId5" Type="http://schemas.openxmlformats.org/officeDocument/2006/relationships/hyperlink" Target="http://www.cidh.org/countryrep/Chile74sp/Indice.htm" TargetMode="External"/><Relationship Id="rId15" Type="http://schemas.openxmlformats.org/officeDocument/2006/relationships/hyperlink" Target="http://www.memoriachilena.gob.cl/archivos2/pdfs/MC0053679.pdf" TargetMode="External"/><Relationship Id="rId10" Type="http://schemas.openxmlformats.org/officeDocument/2006/relationships/hyperlink" Target="http://www.cidh.oas.org/annualrep/87.88sp/indice.htm" TargetMode="External"/><Relationship Id="rId4" Type="http://schemas.openxmlformats.org/officeDocument/2006/relationships/hyperlink" Target="http://www.cidh.org/countryrep/Chile74sp/Indice.htm" TargetMode="External"/><Relationship Id="rId9" Type="http://schemas.openxmlformats.org/officeDocument/2006/relationships/hyperlink" Target="http://www.cidh.org/countryrep/Chile77sp/indice.htm" TargetMode="External"/><Relationship Id="rId14" Type="http://schemas.openxmlformats.org/officeDocument/2006/relationships/hyperlink" Target="http://www.memoriachilena.gob.cl/602/w3-article-94640.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3A300-A5F7-4208-A966-29D28532D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29188</Words>
  <Characters>166373</Characters>
  <Application>Microsoft Office Word</Application>
  <DocSecurity>0</DocSecurity>
  <Lines>1386</Lines>
  <Paragraphs>390</Paragraphs>
  <ScaleCrop>false</ScaleCrop>
  <Company/>
  <LinksUpToDate>false</LinksUpToDate>
  <CharactersWithSpaces>195171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2022-04-18T15:38:00Z</dcterms:created>
  <dcterms:modified xsi:type="dcterms:W3CDTF">2022-04-18T15:38:00Z</dcterms:modified>
</cp:coreProperties>
</file>