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7A894" w14:textId="77777777" w:rsidR="00040C3A" w:rsidRPr="002F7828" w:rsidRDefault="00AA0F30" w:rsidP="00627C9F">
      <w:pPr>
        <w:jc w:val="both"/>
        <w:rPr>
          <w:rFonts w:ascii="Cambria" w:hAnsi="Cambria" w:cs="Univers"/>
          <w:b/>
          <w:bCs/>
          <w:sz w:val="22"/>
          <w:szCs w:val="22"/>
          <w:lang w:val="es-ES_tradnl"/>
        </w:rPr>
      </w:pPr>
      <w:r>
        <w:rPr>
          <w:noProof/>
        </w:rPr>
        <mc:AlternateContent>
          <mc:Choice Requires="wps">
            <w:drawing>
              <wp:anchor distT="0" distB="0" distL="114300" distR="114300" simplePos="0" relativeHeight="251654144" behindDoc="0" locked="0" layoutInCell="1" allowOverlap="1" wp14:anchorId="244A737A" wp14:editId="573CD96C">
                <wp:simplePos x="0" y="0"/>
                <wp:positionH relativeFrom="column">
                  <wp:posOffset>-415290</wp:posOffset>
                </wp:positionH>
                <wp:positionV relativeFrom="paragraph">
                  <wp:posOffset>-438785</wp:posOffset>
                </wp:positionV>
                <wp:extent cx="1543050" cy="9096375"/>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98932" id="Rectangle 1" o:spid="_x0000_s1026" style="position:absolute;margin-left:-32.7pt;margin-top:-34.55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Z6ZQIAAMs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" fillcolor="#4a7194"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14:anchorId="546DF6B9" wp14:editId="199F0607">
                <wp:simplePos x="0" y="0"/>
                <wp:positionH relativeFrom="column">
                  <wp:posOffset>1282065</wp:posOffset>
                </wp:positionH>
                <wp:positionV relativeFrom="paragraph">
                  <wp:posOffset>-423545</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14:paraId="3C76C519" w14:textId="77777777" w:rsidR="008073ED" w:rsidRDefault="008073ED" w:rsidP="00AE5488">
                            <w:r w:rsidRPr="002F7828">
                              <w:rPr>
                                <w:noProof/>
                              </w:rPr>
                              <w:drawing>
                                <wp:inline distT="0" distB="0" distL="0" distR="0" wp14:anchorId="76E2630D" wp14:editId="65FEE55A">
                                  <wp:extent cx="2647950" cy="504825"/>
                                  <wp:effectExtent l="0" t="0" r="0" b="0"/>
                                  <wp:docPr id="2" name="Picture 1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50482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DF6B9" id="_x0000_t202" coordsize="21600,21600" o:spt="202" path="m,l,21600r21600,l21600,xe">
                <v:stroke joinstyle="miter"/>
                <v:path gradientshapeok="t" o:connecttype="rect"/>
              </v:shapetype>
              <v:shape id="Text Box 11" o:spid="_x0000_s1026" type="#_x0000_t202" style="position:absolute;left:0;text-align:left;margin-left:100.95pt;margin-top:-33.35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" filled="f" stroked="f" strokeweight=".5pt">
                <v:textbox>
                  <w:txbxContent>
                    <w:p w14:paraId="3C76C519" w14:textId="77777777" w:rsidR="008073ED" w:rsidRDefault="008073ED" w:rsidP="00AE5488">
                      <w:r w:rsidRPr="002F7828">
                        <w:rPr>
                          <w:noProof/>
                        </w:rPr>
                        <w:drawing>
                          <wp:inline distT="0" distB="0" distL="0" distR="0" wp14:anchorId="76E2630D" wp14:editId="65FEE55A">
                            <wp:extent cx="2647950" cy="504825"/>
                            <wp:effectExtent l="0" t="0" r="0" b="0"/>
                            <wp:docPr id="2" name="Picture 1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504825"/>
                                    </a:xfrm>
                                    <a:prstGeom prst="rect">
                                      <a:avLst/>
                                    </a:prstGeom>
                                    <a:noFill/>
                                    <a:ln>
                                      <a:noFill/>
                                    </a:ln>
                                  </pic:spPr>
                                </pic:pic>
                              </a:graphicData>
                            </a:graphic>
                          </wp:inline>
                        </w:drawing>
                      </w:r>
                      <w:r>
                        <w:tab/>
                        <w:t xml:space="preserve">                              </w:t>
                      </w:r>
                    </w:p>
                  </w:txbxContent>
                </v:textbox>
              </v:shape>
            </w:pict>
          </mc:Fallback>
        </mc:AlternateContent>
      </w:r>
    </w:p>
    <w:p w14:paraId="0E3B154D" w14:textId="77777777" w:rsidR="00040C3A" w:rsidRPr="002F7828" w:rsidRDefault="00040C3A" w:rsidP="00040C3A">
      <w:pPr>
        <w:tabs>
          <w:tab w:val="center" w:pos="5400"/>
        </w:tabs>
        <w:suppressAutoHyphens/>
        <w:jc w:val="both"/>
        <w:rPr>
          <w:rFonts w:ascii="Cambria" w:hAnsi="Cambria"/>
          <w:sz w:val="22"/>
          <w:szCs w:val="22"/>
          <w:lang w:val="es-ES"/>
        </w:rPr>
      </w:pPr>
    </w:p>
    <w:p w14:paraId="0BACF53B" w14:textId="77777777" w:rsidR="00040C3A" w:rsidRPr="002F7828" w:rsidRDefault="00040C3A" w:rsidP="00040C3A">
      <w:pPr>
        <w:tabs>
          <w:tab w:val="center" w:pos="5400"/>
        </w:tabs>
        <w:suppressAutoHyphens/>
        <w:jc w:val="both"/>
        <w:rPr>
          <w:rFonts w:ascii="Cambria" w:hAnsi="Cambria"/>
          <w:sz w:val="22"/>
          <w:szCs w:val="22"/>
          <w:lang w:val="es-ES"/>
        </w:rPr>
      </w:pPr>
    </w:p>
    <w:p w14:paraId="05488C23" w14:textId="77777777" w:rsidR="005128E4" w:rsidRPr="002F7828" w:rsidRDefault="005128E4" w:rsidP="00040C3A">
      <w:pPr>
        <w:tabs>
          <w:tab w:val="center" w:pos="5400"/>
        </w:tabs>
        <w:suppressAutoHyphens/>
        <w:rPr>
          <w:rFonts w:ascii="Cambria" w:hAnsi="Cambria"/>
          <w:sz w:val="22"/>
          <w:szCs w:val="22"/>
          <w:lang w:val="es-ES_tradnl"/>
        </w:rPr>
      </w:pPr>
    </w:p>
    <w:p w14:paraId="4B34DAEE" w14:textId="77777777" w:rsidR="005128E4" w:rsidRPr="002F7828" w:rsidRDefault="005128E4" w:rsidP="00040C3A">
      <w:pPr>
        <w:tabs>
          <w:tab w:val="center" w:pos="5400"/>
        </w:tabs>
        <w:suppressAutoHyphens/>
        <w:rPr>
          <w:rFonts w:ascii="Cambria" w:hAnsi="Cambria"/>
          <w:sz w:val="22"/>
          <w:szCs w:val="22"/>
          <w:lang w:val="es-ES_tradnl"/>
        </w:rPr>
      </w:pPr>
    </w:p>
    <w:p w14:paraId="45BFA97D" w14:textId="77777777" w:rsidR="005128E4" w:rsidRPr="002F7828" w:rsidRDefault="005128E4" w:rsidP="00040C3A">
      <w:pPr>
        <w:tabs>
          <w:tab w:val="center" w:pos="5400"/>
        </w:tabs>
        <w:suppressAutoHyphens/>
        <w:rPr>
          <w:rFonts w:ascii="Cambria" w:hAnsi="Cambria"/>
          <w:sz w:val="22"/>
          <w:szCs w:val="22"/>
          <w:lang w:val="es-ES_tradnl"/>
        </w:rPr>
      </w:pPr>
    </w:p>
    <w:p w14:paraId="64D5EFC2" w14:textId="77777777" w:rsidR="00040C3A" w:rsidRPr="002F7828" w:rsidRDefault="00040C3A" w:rsidP="005128E4">
      <w:pPr>
        <w:tabs>
          <w:tab w:val="center" w:pos="5400"/>
        </w:tabs>
        <w:suppressAutoHyphens/>
        <w:jc w:val="center"/>
        <w:rPr>
          <w:rFonts w:ascii="Cambria" w:hAnsi="Cambria"/>
          <w:sz w:val="22"/>
          <w:szCs w:val="22"/>
          <w:lang w:val="es-ES_tradnl"/>
        </w:rPr>
      </w:pPr>
    </w:p>
    <w:p w14:paraId="7E5BCD06" w14:textId="77777777" w:rsidR="00040C3A" w:rsidRPr="002F7828" w:rsidRDefault="00040C3A" w:rsidP="005128E4">
      <w:pPr>
        <w:tabs>
          <w:tab w:val="center" w:pos="5400"/>
        </w:tabs>
        <w:suppressAutoHyphens/>
        <w:jc w:val="center"/>
        <w:rPr>
          <w:rFonts w:ascii="Cambria" w:hAnsi="Cambria"/>
          <w:sz w:val="22"/>
          <w:szCs w:val="22"/>
          <w:lang w:val="es-ES_tradnl"/>
        </w:rPr>
      </w:pPr>
    </w:p>
    <w:p w14:paraId="22D5606F" w14:textId="77777777" w:rsidR="005B52B0" w:rsidRPr="002F7828" w:rsidRDefault="005B52B0" w:rsidP="005128E4">
      <w:pPr>
        <w:tabs>
          <w:tab w:val="center" w:pos="5400"/>
        </w:tabs>
        <w:suppressAutoHyphens/>
        <w:jc w:val="center"/>
        <w:rPr>
          <w:rFonts w:ascii="Cambria" w:hAnsi="Cambria"/>
          <w:sz w:val="22"/>
          <w:szCs w:val="22"/>
          <w:lang w:val="es-ES_tradnl"/>
        </w:rPr>
      </w:pPr>
    </w:p>
    <w:p w14:paraId="6EE14289" w14:textId="77777777" w:rsidR="005B52B0" w:rsidRPr="002F7828" w:rsidRDefault="005B52B0" w:rsidP="005128E4">
      <w:pPr>
        <w:tabs>
          <w:tab w:val="center" w:pos="5400"/>
        </w:tabs>
        <w:suppressAutoHyphens/>
        <w:jc w:val="center"/>
        <w:rPr>
          <w:rFonts w:ascii="Cambria" w:hAnsi="Cambria"/>
          <w:sz w:val="22"/>
          <w:szCs w:val="22"/>
          <w:lang w:val="es-ES_tradnl"/>
        </w:rPr>
      </w:pPr>
    </w:p>
    <w:p w14:paraId="52C27529" w14:textId="77777777" w:rsidR="005B52B0" w:rsidRPr="002F7828" w:rsidRDefault="005B52B0" w:rsidP="005128E4">
      <w:pPr>
        <w:tabs>
          <w:tab w:val="center" w:pos="5400"/>
        </w:tabs>
        <w:suppressAutoHyphens/>
        <w:jc w:val="center"/>
        <w:rPr>
          <w:rFonts w:ascii="Cambria" w:hAnsi="Cambria"/>
          <w:sz w:val="22"/>
          <w:szCs w:val="22"/>
          <w:lang w:val="es-ES_tradnl"/>
        </w:rPr>
      </w:pPr>
    </w:p>
    <w:p w14:paraId="0915753F" w14:textId="77777777" w:rsidR="00040C3A" w:rsidRPr="002F7828" w:rsidRDefault="00040C3A" w:rsidP="00040C3A">
      <w:pPr>
        <w:tabs>
          <w:tab w:val="center" w:pos="5400"/>
        </w:tabs>
        <w:suppressAutoHyphens/>
        <w:jc w:val="center"/>
        <w:rPr>
          <w:rFonts w:ascii="Cambria" w:hAnsi="Cambria"/>
          <w:sz w:val="22"/>
          <w:szCs w:val="22"/>
          <w:lang w:val="es-ES_tradnl"/>
        </w:rPr>
      </w:pPr>
    </w:p>
    <w:p w14:paraId="173FB314" w14:textId="77777777" w:rsidR="00040C3A" w:rsidRPr="002F7828" w:rsidRDefault="00040C3A" w:rsidP="00040C3A">
      <w:pPr>
        <w:tabs>
          <w:tab w:val="center" w:pos="5400"/>
        </w:tabs>
        <w:suppressAutoHyphens/>
        <w:jc w:val="center"/>
        <w:rPr>
          <w:rFonts w:ascii="Cambria" w:hAnsi="Cambria"/>
          <w:sz w:val="22"/>
          <w:szCs w:val="22"/>
          <w:lang w:val="es-ES_tradnl"/>
        </w:rPr>
      </w:pPr>
    </w:p>
    <w:p w14:paraId="01C5BACB" w14:textId="77777777" w:rsidR="00040C3A" w:rsidRPr="002F7828" w:rsidRDefault="00AA0F30" w:rsidP="00040C3A">
      <w:pP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55168" behindDoc="0" locked="0" layoutInCell="1" allowOverlap="1" wp14:anchorId="04B706D3" wp14:editId="7C8D7CAE">
                <wp:simplePos x="0" y="0"/>
                <wp:positionH relativeFrom="column">
                  <wp:posOffset>1371600</wp:posOffset>
                </wp:positionH>
                <wp:positionV relativeFrom="paragraph">
                  <wp:posOffset>156845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14:paraId="0C284103" w14:textId="5B39F0B7" w:rsidR="008073ED" w:rsidRPr="002F7828" w:rsidRDefault="008073ED" w:rsidP="00997BC5">
                            <w:pPr>
                              <w:spacing w:line="276" w:lineRule="auto"/>
                              <w:rPr>
                                <w:rFonts w:ascii="Cambria" w:hAnsi="Cambria" w:cs="Arial"/>
                                <w:b/>
                                <w:bCs/>
                                <w:color w:val="0D0D0D"/>
                                <w:sz w:val="36"/>
                                <w:szCs w:val="22"/>
                                <w:lang w:val="pt-BR"/>
                              </w:rPr>
                            </w:pPr>
                            <w:r w:rsidRPr="002F7828">
                              <w:rPr>
                                <w:rFonts w:ascii="Cambria" w:hAnsi="Cambria" w:cs="Arial"/>
                                <w:b/>
                                <w:bCs/>
                                <w:color w:val="0D0D0D"/>
                                <w:sz w:val="36"/>
                                <w:szCs w:val="22"/>
                                <w:lang w:val="pt-BR"/>
                              </w:rPr>
                              <w:t xml:space="preserve">INFORME </w:t>
                            </w:r>
                            <w:r w:rsidRPr="002F7828">
                              <w:rPr>
                                <w:rFonts w:ascii="Cambria" w:hAnsi="Cambria" w:cs="Arial"/>
                                <w:b/>
                                <w:bCs/>
                                <w:color w:val="0D0D0D"/>
                                <w:sz w:val="36"/>
                                <w:szCs w:val="40"/>
                                <w:lang w:val="pt-BR"/>
                              </w:rPr>
                              <w:t>No.</w:t>
                            </w:r>
                            <w:r w:rsidRPr="002F7828">
                              <w:rPr>
                                <w:rFonts w:ascii="Cambria" w:hAnsi="Cambria" w:cs="Arial"/>
                                <w:b/>
                                <w:bCs/>
                                <w:color w:val="0D0D0D"/>
                                <w:sz w:val="36"/>
                                <w:szCs w:val="22"/>
                                <w:lang w:val="pt-BR"/>
                              </w:rPr>
                              <w:t xml:space="preserve"> </w:t>
                            </w:r>
                            <w:r>
                              <w:rPr>
                                <w:rFonts w:ascii="Cambria" w:hAnsi="Cambria" w:cs="Arial"/>
                                <w:b/>
                                <w:bCs/>
                                <w:color w:val="0D0D0D"/>
                                <w:sz w:val="36"/>
                                <w:szCs w:val="22"/>
                                <w:lang w:val="pt-BR"/>
                              </w:rPr>
                              <w:t>326</w:t>
                            </w:r>
                            <w:r w:rsidRPr="002F7828">
                              <w:rPr>
                                <w:rFonts w:ascii="Cambria" w:hAnsi="Cambria" w:cs="Arial"/>
                                <w:b/>
                                <w:bCs/>
                                <w:color w:val="0D0D0D"/>
                                <w:sz w:val="36"/>
                                <w:szCs w:val="22"/>
                                <w:lang w:val="pt-BR"/>
                              </w:rPr>
                              <w:t>/</w:t>
                            </w:r>
                            <w:r>
                              <w:rPr>
                                <w:rFonts w:ascii="Cambria" w:hAnsi="Cambria" w:cs="Arial"/>
                                <w:b/>
                                <w:bCs/>
                                <w:color w:val="0D0D0D"/>
                                <w:sz w:val="36"/>
                                <w:szCs w:val="22"/>
                                <w:lang w:val="pt-BR"/>
                              </w:rPr>
                              <w:t>20</w:t>
                            </w:r>
                          </w:p>
                          <w:p w14:paraId="7F52BEC4" w14:textId="77777777" w:rsidR="008073ED" w:rsidRPr="002F7828" w:rsidRDefault="008073ED" w:rsidP="00997BC5">
                            <w:pPr>
                              <w:spacing w:line="276" w:lineRule="auto"/>
                              <w:rPr>
                                <w:rFonts w:ascii="Cambria" w:hAnsi="Cambria" w:cs="Arial"/>
                                <w:b/>
                                <w:color w:val="0D0D0D"/>
                                <w:sz w:val="36"/>
                                <w:szCs w:val="22"/>
                                <w:lang w:val="pt-BR"/>
                              </w:rPr>
                            </w:pPr>
                            <w:r w:rsidRPr="002F7828">
                              <w:rPr>
                                <w:rFonts w:ascii="Cambria" w:hAnsi="Cambria" w:cs="Arial"/>
                                <w:b/>
                                <w:color w:val="0D0D0D"/>
                                <w:sz w:val="36"/>
                                <w:szCs w:val="22"/>
                                <w:lang w:val="pt-BR"/>
                              </w:rPr>
                              <w:t xml:space="preserve">CASO </w:t>
                            </w:r>
                            <w:r>
                              <w:rPr>
                                <w:rFonts w:ascii="Cambria" w:hAnsi="Cambria" w:cs="Arial"/>
                                <w:b/>
                                <w:color w:val="0D0D0D"/>
                                <w:sz w:val="36"/>
                                <w:szCs w:val="22"/>
                                <w:lang w:val="pt-BR"/>
                              </w:rPr>
                              <w:t>13.045</w:t>
                            </w:r>
                          </w:p>
                          <w:p w14:paraId="246D6BA0" w14:textId="77777777" w:rsidR="008073ED" w:rsidRPr="002F7828" w:rsidRDefault="008073ED" w:rsidP="000158FD">
                            <w:pPr>
                              <w:spacing w:line="276" w:lineRule="auto"/>
                              <w:rPr>
                                <w:rFonts w:ascii="Cambria" w:hAnsi="Cambria" w:cs="Arial"/>
                                <w:szCs w:val="22"/>
                                <w:lang w:val="es-ES_tradnl"/>
                              </w:rPr>
                            </w:pPr>
                            <w:r w:rsidRPr="00390587">
                              <w:rPr>
                                <w:rFonts w:ascii="Cambria" w:hAnsi="Cambria" w:cs="Arial"/>
                                <w:szCs w:val="22"/>
                                <w:lang w:val="es-ES_tradnl"/>
                              </w:rPr>
                              <w:t>INFORME DE FONDO</w:t>
                            </w:r>
                            <w:r w:rsidRPr="002F7828">
                              <w:rPr>
                                <w:rFonts w:ascii="Cambria" w:hAnsi="Cambria" w:cs="Arial"/>
                                <w:szCs w:val="22"/>
                                <w:lang w:val="es-ES_tradnl"/>
                              </w:rPr>
                              <w:t xml:space="preserve"> </w:t>
                            </w:r>
                          </w:p>
                          <w:p w14:paraId="14C6ADDF" w14:textId="77777777" w:rsidR="008073ED" w:rsidRPr="002F7828" w:rsidRDefault="008073ED" w:rsidP="00997BC5">
                            <w:pPr>
                              <w:spacing w:line="276" w:lineRule="auto"/>
                              <w:rPr>
                                <w:rFonts w:ascii="Cambria" w:hAnsi="Cambria" w:cs="Arial"/>
                                <w:color w:val="0D0D0D"/>
                                <w:szCs w:val="22"/>
                                <w:lang w:val="es-ES_tradnl"/>
                              </w:rPr>
                            </w:pPr>
                            <w:bookmarkStart w:id="0" w:name="_ftnref1"/>
                          </w:p>
                          <w:p w14:paraId="25090833" w14:textId="77777777" w:rsidR="008073ED" w:rsidRPr="002F7828" w:rsidRDefault="008073ED" w:rsidP="00997BC5">
                            <w:pPr>
                              <w:spacing w:line="276" w:lineRule="auto"/>
                              <w:rPr>
                                <w:rFonts w:ascii="Cambria" w:hAnsi="Cambria" w:cs="Arial"/>
                                <w:color w:val="0D0D0D"/>
                                <w:szCs w:val="22"/>
                                <w:lang w:val="es-ES_tradnl"/>
                              </w:rPr>
                            </w:pPr>
                            <w:r>
                              <w:rPr>
                                <w:rFonts w:ascii="Cambria" w:hAnsi="Cambria" w:cs="Arial"/>
                                <w:color w:val="0D0D0D"/>
                                <w:szCs w:val="22"/>
                                <w:lang w:val="es-ES_tradnl"/>
                              </w:rPr>
                              <w:t>SAULO ARBOLEDA GÓMEZ</w:t>
                            </w:r>
                          </w:p>
                          <w:bookmarkEnd w:id="0"/>
                          <w:p w14:paraId="668C4B3E" w14:textId="77777777" w:rsidR="008073ED" w:rsidRPr="002F7828" w:rsidRDefault="008073ED" w:rsidP="00997BC5">
                            <w:pPr>
                              <w:spacing w:line="276" w:lineRule="auto"/>
                              <w:rPr>
                                <w:rFonts w:ascii="Cambria" w:hAnsi="Cambria" w:cs="Arial"/>
                                <w:color w:val="0D0D0D"/>
                                <w:szCs w:val="22"/>
                                <w:lang w:val="es-ES"/>
                              </w:rPr>
                            </w:pPr>
                            <w:r>
                              <w:rPr>
                                <w:rFonts w:ascii="Cambria" w:hAnsi="Cambria" w:cs="Arial"/>
                                <w:color w:val="0D0D0D"/>
                                <w:szCs w:val="22"/>
                                <w:lang w:val="es-ES_tradnl"/>
                              </w:rPr>
                              <w:t>COLOMBIA</w:t>
                            </w:r>
                          </w:p>
                          <w:p w14:paraId="2F2F64A3" w14:textId="77777777" w:rsidR="008073ED" w:rsidRPr="002F7828" w:rsidRDefault="008073ED" w:rsidP="007A5817">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706D3" id="Text Box 5" o:spid="_x0000_s1027" type="#_x0000_t202" style="position:absolute;left:0;text-align:left;margin-left:108pt;margin-top:12.3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" filled="f" stroked="f" strokeweight=".5pt">
                <v:textbox>
                  <w:txbxContent>
                    <w:p w14:paraId="0C284103" w14:textId="5B39F0B7" w:rsidR="008073ED" w:rsidRPr="002F7828" w:rsidRDefault="008073ED" w:rsidP="00997BC5">
                      <w:pPr>
                        <w:spacing w:line="276" w:lineRule="auto"/>
                        <w:rPr>
                          <w:rFonts w:ascii="Cambria" w:hAnsi="Cambria" w:cs="Arial"/>
                          <w:b/>
                          <w:bCs/>
                          <w:color w:val="0D0D0D"/>
                          <w:sz w:val="36"/>
                          <w:szCs w:val="22"/>
                          <w:lang w:val="pt-BR"/>
                        </w:rPr>
                      </w:pPr>
                      <w:r w:rsidRPr="002F7828">
                        <w:rPr>
                          <w:rFonts w:ascii="Cambria" w:hAnsi="Cambria" w:cs="Arial"/>
                          <w:b/>
                          <w:bCs/>
                          <w:color w:val="0D0D0D"/>
                          <w:sz w:val="36"/>
                          <w:szCs w:val="22"/>
                          <w:lang w:val="pt-BR"/>
                        </w:rPr>
                        <w:t xml:space="preserve">INFORME </w:t>
                      </w:r>
                      <w:r w:rsidRPr="002F7828">
                        <w:rPr>
                          <w:rFonts w:ascii="Cambria" w:hAnsi="Cambria" w:cs="Arial"/>
                          <w:b/>
                          <w:bCs/>
                          <w:color w:val="0D0D0D"/>
                          <w:sz w:val="36"/>
                          <w:szCs w:val="40"/>
                          <w:lang w:val="pt-BR"/>
                        </w:rPr>
                        <w:t>No.</w:t>
                      </w:r>
                      <w:r w:rsidRPr="002F7828">
                        <w:rPr>
                          <w:rFonts w:ascii="Cambria" w:hAnsi="Cambria" w:cs="Arial"/>
                          <w:b/>
                          <w:bCs/>
                          <w:color w:val="0D0D0D"/>
                          <w:sz w:val="36"/>
                          <w:szCs w:val="22"/>
                          <w:lang w:val="pt-BR"/>
                        </w:rPr>
                        <w:t xml:space="preserve"> </w:t>
                      </w:r>
                      <w:r>
                        <w:rPr>
                          <w:rFonts w:ascii="Cambria" w:hAnsi="Cambria" w:cs="Arial"/>
                          <w:b/>
                          <w:bCs/>
                          <w:color w:val="0D0D0D"/>
                          <w:sz w:val="36"/>
                          <w:szCs w:val="22"/>
                          <w:lang w:val="pt-BR"/>
                        </w:rPr>
                        <w:t>326</w:t>
                      </w:r>
                      <w:r w:rsidRPr="002F7828">
                        <w:rPr>
                          <w:rFonts w:ascii="Cambria" w:hAnsi="Cambria" w:cs="Arial"/>
                          <w:b/>
                          <w:bCs/>
                          <w:color w:val="0D0D0D"/>
                          <w:sz w:val="36"/>
                          <w:szCs w:val="22"/>
                          <w:lang w:val="pt-BR"/>
                        </w:rPr>
                        <w:t>/</w:t>
                      </w:r>
                      <w:r>
                        <w:rPr>
                          <w:rFonts w:ascii="Cambria" w:hAnsi="Cambria" w:cs="Arial"/>
                          <w:b/>
                          <w:bCs/>
                          <w:color w:val="0D0D0D"/>
                          <w:sz w:val="36"/>
                          <w:szCs w:val="22"/>
                          <w:lang w:val="pt-BR"/>
                        </w:rPr>
                        <w:t>20</w:t>
                      </w:r>
                    </w:p>
                    <w:p w14:paraId="7F52BEC4" w14:textId="77777777" w:rsidR="008073ED" w:rsidRPr="002F7828" w:rsidRDefault="008073ED" w:rsidP="00997BC5">
                      <w:pPr>
                        <w:spacing w:line="276" w:lineRule="auto"/>
                        <w:rPr>
                          <w:rFonts w:ascii="Cambria" w:hAnsi="Cambria" w:cs="Arial"/>
                          <w:b/>
                          <w:color w:val="0D0D0D"/>
                          <w:sz w:val="36"/>
                          <w:szCs w:val="22"/>
                          <w:lang w:val="pt-BR"/>
                        </w:rPr>
                      </w:pPr>
                      <w:r w:rsidRPr="002F7828">
                        <w:rPr>
                          <w:rFonts w:ascii="Cambria" w:hAnsi="Cambria" w:cs="Arial"/>
                          <w:b/>
                          <w:color w:val="0D0D0D"/>
                          <w:sz w:val="36"/>
                          <w:szCs w:val="22"/>
                          <w:lang w:val="pt-BR"/>
                        </w:rPr>
                        <w:t xml:space="preserve">CASO </w:t>
                      </w:r>
                      <w:r>
                        <w:rPr>
                          <w:rFonts w:ascii="Cambria" w:hAnsi="Cambria" w:cs="Arial"/>
                          <w:b/>
                          <w:color w:val="0D0D0D"/>
                          <w:sz w:val="36"/>
                          <w:szCs w:val="22"/>
                          <w:lang w:val="pt-BR"/>
                        </w:rPr>
                        <w:t>13.045</w:t>
                      </w:r>
                    </w:p>
                    <w:p w14:paraId="246D6BA0" w14:textId="77777777" w:rsidR="008073ED" w:rsidRPr="002F7828" w:rsidRDefault="008073ED" w:rsidP="000158FD">
                      <w:pPr>
                        <w:spacing w:line="276" w:lineRule="auto"/>
                        <w:rPr>
                          <w:rFonts w:ascii="Cambria" w:hAnsi="Cambria" w:cs="Arial"/>
                          <w:szCs w:val="22"/>
                          <w:lang w:val="es-ES_tradnl"/>
                        </w:rPr>
                      </w:pPr>
                      <w:r w:rsidRPr="00390587">
                        <w:rPr>
                          <w:rFonts w:ascii="Cambria" w:hAnsi="Cambria" w:cs="Arial"/>
                          <w:szCs w:val="22"/>
                          <w:lang w:val="es-ES_tradnl"/>
                        </w:rPr>
                        <w:t>INFORME DE FONDO</w:t>
                      </w:r>
                      <w:r w:rsidRPr="002F7828">
                        <w:rPr>
                          <w:rFonts w:ascii="Cambria" w:hAnsi="Cambria" w:cs="Arial"/>
                          <w:szCs w:val="22"/>
                          <w:lang w:val="es-ES_tradnl"/>
                        </w:rPr>
                        <w:t xml:space="preserve"> </w:t>
                      </w:r>
                    </w:p>
                    <w:p w14:paraId="14C6ADDF" w14:textId="77777777" w:rsidR="008073ED" w:rsidRPr="002F7828" w:rsidRDefault="008073ED" w:rsidP="00997BC5">
                      <w:pPr>
                        <w:spacing w:line="276" w:lineRule="auto"/>
                        <w:rPr>
                          <w:rFonts w:ascii="Cambria" w:hAnsi="Cambria" w:cs="Arial"/>
                          <w:color w:val="0D0D0D"/>
                          <w:szCs w:val="22"/>
                          <w:lang w:val="es-ES_tradnl"/>
                        </w:rPr>
                      </w:pPr>
                      <w:bookmarkStart w:id="1" w:name="_ftnref1"/>
                    </w:p>
                    <w:p w14:paraId="25090833" w14:textId="77777777" w:rsidR="008073ED" w:rsidRPr="002F7828" w:rsidRDefault="008073ED" w:rsidP="00997BC5">
                      <w:pPr>
                        <w:spacing w:line="276" w:lineRule="auto"/>
                        <w:rPr>
                          <w:rFonts w:ascii="Cambria" w:hAnsi="Cambria" w:cs="Arial"/>
                          <w:color w:val="0D0D0D"/>
                          <w:szCs w:val="22"/>
                          <w:lang w:val="es-ES_tradnl"/>
                        </w:rPr>
                      </w:pPr>
                      <w:r>
                        <w:rPr>
                          <w:rFonts w:ascii="Cambria" w:hAnsi="Cambria" w:cs="Arial"/>
                          <w:color w:val="0D0D0D"/>
                          <w:szCs w:val="22"/>
                          <w:lang w:val="es-ES_tradnl"/>
                        </w:rPr>
                        <w:t>SAULO ARBOLEDA GÓMEZ</w:t>
                      </w:r>
                    </w:p>
                    <w:bookmarkEnd w:id="1"/>
                    <w:p w14:paraId="668C4B3E" w14:textId="77777777" w:rsidR="008073ED" w:rsidRPr="002F7828" w:rsidRDefault="008073ED" w:rsidP="00997BC5">
                      <w:pPr>
                        <w:spacing w:line="276" w:lineRule="auto"/>
                        <w:rPr>
                          <w:rFonts w:ascii="Cambria" w:hAnsi="Cambria" w:cs="Arial"/>
                          <w:color w:val="0D0D0D"/>
                          <w:szCs w:val="22"/>
                          <w:lang w:val="es-ES"/>
                        </w:rPr>
                      </w:pPr>
                      <w:r>
                        <w:rPr>
                          <w:rFonts w:ascii="Cambria" w:hAnsi="Cambria" w:cs="Arial"/>
                          <w:color w:val="0D0D0D"/>
                          <w:szCs w:val="22"/>
                          <w:lang w:val="es-ES_tradnl"/>
                        </w:rPr>
                        <w:t>COLOMBIA</w:t>
                      </w:r>
                    </w:p>
                    <w:p w14:paraId="2F2F64A3" w14:textId="77777777" w:rsidR="008073ED" w:rsidRPr="002F7828" w:rsidRDefault="008073ED" w:rsidP="007A5817">
                      <w:pPr>
                        <w:rPr>
                          <w:color w:val="0D0D0D"/>
                          <w:lang w:val="es-ES_tradnl"/>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AF5099C" wp14:editId="057E7CD1">
                <wp:simplePos x="0" y="0"/>
                <wp:positionH relativeFrom="column">
                  <wp:posOffset>-342265</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14:paraId="24754209" w14:textId="6A923A26" w:rsidR="008073ED" w:rsidRPr="002F7828" w:rsidRDefault="0074104D" w:rsidP="007A5817">
                            <w:pPr>
                              <w:spacing w:line="276" w:lineRule="auto"/>
                              <w:jc w:val="right"/>
                              <w:rPr>
                                <w:rFonts w:ascii="Calibri" w:hAnsi="Calibri"/>
                                <w:color w:val="FFFFFF"/>
                                <w:sz w:val="22"/>
                                <w:lang w:val="pt-BR"/>
                              </w:rPr>
                            </w:pPr>
                            <w:r>
                              <w:rPr>
                                <w:rFonts w:ascii="Calibri" w:hAnsi="Calibri"/>
                                <w:color w:val="FFFFFF"/>
                                <w:sz w:val="22"/>
                                <w:lang w:val="pt-BR"/>
                              </w:rPr>
                              <w:t>OEA/Ser.L/V/II</w:t>
                            </w:r>
                          </w:p>
                          <w:p w14:paraId="417327DD" w14:textId="3753CA6A" w:rsidR="008073ED" w:rsidRPr="002F7828" w:rsidRDefault="008073ED" w:rsidP="007A5817">
                            <w:pPr>
                              <w:spacing w:line="276" w:lineRule="auto"/>
                              <w:jc w:val="right"/>
                              <w:rPr>
                                <w:rFonts w:ascii="Calibri" w:hAnsi="Calibri"/>
                                <w:color w:val="FFFFFF"/>
                                <w:sz w:val="22"/>
                                <w:lang w:val="pt-BR"/>
                              </w:rPr>
                            </w:pPr>
                            <w:r w:rsidRPr="002F7828">
                              <w:rPr>
                                <w:rFonts w:ascii="Calibri" w:hAnsi="Calibri"/>
                                <w:color w:val="FFFFFF"/>
                                <w:sz w:val="22"/>
                                <w:lang w:val="pt-BR"/>
                              </w:rPr>
                              <w:t xml:space="preserve">Doc. </w:t>
                            </w:r>
                            <w:r>
                              <w:rPr>
                                <w:rFonts w:ascii="Calibri" w:hAnsi="Calibri"/>
                                <w:color w:val="FFFFFF"/>
                                <w:sz w:val="22"/>
                                <w:lang w:val="pt-BR"/>
                              </w:rPr>
                              <w:t>344</w:t>
                            </w:r>
                          </w:p>
                          <w:p w14:paraId="79CD25E5" w14:textId="44A8DCA5" w:rsidR="008073ED" w:rsidRPr="002F7828" w:rsidRDefault="008073ED" w:rsidP="007A5817">
                            <w:pPr>
                              <w:spacing w:line="276" w:lineRule="auto"/>
                              <w:jc w:val="right"/>
                              <w:rPr>
                                <w:rFonts w:ascii="Calibri" w:hAnsi="Calibri"/>
                                <w:color w:val="FFFFFF"/>
                                <w:sz w:val="22"/>
                                <w:lang w:val="es-US"/>
                              </w:rPr>
                            </w:pPr>
                            <w:r>
                              <w:rPr>
                                <w:rFonts w:ascii="Calibri" w:hAnsi="Calibri"/>
                                <w:color w:val="FFFFFF"/>
                                <w:sz w:val="22"/>
                                <w:lang w:val="es-US"/>
                              </w:rPr>
                              <w:t>19</w:t>
                            </w:r>
                            <w:r w:rsidRPr="002F7828">
                              <w:rPr>
                                <w:rFonts w:ascii="Calibri" w:hAnsi="Calibri"/>
                                <w:color w:val="FFFFFF"/>
                                <w:sz w:val="22"/>
                                <w:lang w:val="es-US"/>
                              </w:rPr>
                              <w:t xml:space="preserve"> </w:t>
                            </w:r>
                            <w:r>
                              <w:rPr>
                                <w:rFonts w:ascii="Calibri" w:hAnsi="Calibri"/>
                                <w:color w:val="FFFFFF"/>
                                <w:sz w:val="22"/>
                                <w:lang w:val="es-US"/>
                              </w:rPr>
                              <w:t>noviembre</w:t>
                            </w:r>
                            <w:r w:rsidRPr="002F7828">
                              <w:rPr>
                                <w:rFonts w:ascii="Calibri" w:hAnsi="Calibri"/>
                                <w:color w:val="FFFFFF"/>
                                <w:sz w:val="22"/>
                                <w:lang w:val="es-US"/>
                              </w:rPr>
                              <w:t xml:space="preserve"> </w:t>
                            </w:r>
                            <w:r>
                              <w:rPr>
                                <w:rFonts w:ascii="Calibri" w:hAnsi="Calibri"/>
                                <w:color w:val="FFFFFF"/>
                                <w:sz w:val="22"/>
                                <w:lang w:val="es-US"/>
                              </w:rPr>
                              <w:t>2020</w:t>
                            </w:r>
                          </w:p>
                          <w:p w14:paraId="4E33AF83" w14:textId="77777777" w:rsidR="008073ED" w:rsidRPr="002F7828" w:rsidRDefault="008073ED" w:rsidP="007A5817">
                            <w:pPr>
                              <w:spacing w:line="276" w:lineRule="auto"/>
                              <w:jc w:val="right"/>
                              <w:rPr>
                                <w:rFonts w:ascii="Calibri" w:hAnsi="Calibri"/>
                                <w:color w:val="FFFFFF"/>
                                <w:sz w:val="22"/>
                                <w:lang w:val="es-US"/>
                              </w:rPr>
                            </w:pPr>
                            <w:r w:rsidRPr="002F7828">
                              <w:rPr>
                                <w:rFonts w:ascii="Calibri" w:hAnsi="Calibri"/>
                                <w:color w:val="FFFFFF"/>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5099C" id="Text Box 8" o:spid="_x0000_s1028" type="#_x0000_t202" style="position:absolute;left:0;text-align:left;margin-left:-26.95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" filled="f" stroked="f" strokeweight=".5pt">
                <v:textbox>
                  <w:txbxContent>
                    <w:p w14:paraId="24754209" w14:textId="6A923A26" w:rsidR="008073ED" w:rsidRPr="002F7828" w:rsidRDefault="0074104D" w:rsidP="007A5817">
                      <w:pPr>
                        <w:spacing w:line="276" w:lineRule="auto"/>
                        <w:jc w:val="right"/>
                        <w:rPr>
                          <w:rFonts w:ascii="Calibri" w:hAnsi="Calibri"/>
                          <w:color w:val="FFFFFF"/>
                          <w:sz w:val="22"/>
                          <w:lang w:val="pt-BR"/>
                        </w:rPr>
                      </w:pPr>
                      <w:r>
                        <w:rPr>
                          <w:rFonts w:ascii="Calibri" w:hAnsi="Calibri"/>
                          <w:color w:val="FFFFFF"/>
                          <w:sz w:val="22"/>
                          <w:lang w:val="pt-BR"/>
                        </w:rPr>
                        <w:t>OEA/Ser.L/V/II</w:t>
                      </w:r>
                    </w:p>
                    <w:p w14:paraId="417327DD" w14:textId="3753CA6A" w:rsidR="008073ED" w:rsidRPr="002F7828" w:rsidRDefault="008073ED" w:rsidP="007A5817">
                      <w:pPr>
                        <w:spacing w:line="276" w:lineRule="auto"/>
                        <w:jc w:val="right"/>
                        <w:rPr>
                          <w:rFonts w:ascii="Calibri" w:hAnsi="Calibri"/>
                          <w:color w:val="FFFFFF"/>
                          <w:sz w:val="22"/>
                          <w:lang w:val="pt-BR"/>
                        </w:rPr>
                      </w:pPr>
                      <w:r w:rsidRPr="002F7828">
                        <w:rPr>
                          <w:rFonts w:ascii="Calibri" w:hAnsi="Calibri"/>
                          <w:color w:val="FFFFFF"/>
                          <w:sz w:val="22"/>
                          <w:lang w:val="pt-BR"/>
                        </w:rPr>
                        <w:t xml:space="preserve">Doc. </w:t>
                      </w:r>
                      <w:r>
                        <w:rPr>
                          <w:rFonts w:ascii="Calibri" w:hAnsi="Calibri"/>
                          <w:color w:val="FFFFFF"/>
                          <w:sz w:val="22"/>
                          <w:lang w:val="pt-BR"/>
                        </w:rPr>
                        <w:t>344</w:t>
                      </w:r>
                    </w:p>
                    <w:p w14:paraId="79CD25E5" w14:textId="44A8DCA5" w:rsidR="008073ED" w:rsidRPr="002F7828" w:rsidRDefault="008073ED" w:rsidP="007A5817">
                      <w:pPr>
                        <w:spacing w:line="276" w:lineRule="auto"/>
                        <w:jc w:val="right"/>
                        <w:rPr>
                          <w:rFonts w:ascii="Calibri" w:hAnsi="Calibri"/>
                          <w:color w:val="FFFFFF"/>
                          <w:sz w:val="22"/>
                          <w:lang w:val="es-US"/>
                        </w:rPr>
                      </w:pPr>
                      <w:r>
                        <w:rPr>
                          <w:rFonts w:ascii="Calibri" w:hAnsi="Calibri"/>
                          <w:color w:val="FFFFFF"/>
                          <w:sz w:val="22"/>
                          <w:lang w:val="es-US"/>
                        </w:rPr>
                        <w:t>19</w:t>
                      </w:r>
                      <w:r w:rsidRPr="002F7828">
                        <w:rPr>
                          <w:rFonts w:ascii="Calibri" w:hAnsi="Calibri"/>
                          <w:color w:val="FFFFFF"/>
                          <w:sz w:val="22"/>
                          <w:lang w:val="es-US"/>
                        </w:rPr>
                        <w:t xml:space="preserve"> </w:t>
                      </w:r>
                      <w:r>
                        <w:rPr>
                          <w:rFonts w:ascii="Calibri" w:hAnsi="Calibri"/>
                          <w:color w:val="FFFFFF"/>
                          <w:sz w:val="22"/>
                          <w:lang w:val="es-US"/>
                        </w:rPr>
                        <w:t>noviembre</w:t>
                      </w:r>
                      <w:r w:rsidRPr="002F7828">
                        <w:rPr>
                          <w:rFonts w:ascii="Calibri" w:hAnsi="Calibri"/>
                          <w:color w:val="FFFFFF"/>
                          <w:sz w:val="22"/>
                          <w:lang w:val="es-US"/>
                        </w:rPr>
                        <w:t xml:space="preserve"> </w:t>
                      </w:r>
                      <w:r>
                        <w:rPr>
                          <w:rFonts w:ascii="Calibri" w:hAnsi="Calibri"/>
                          <w:color w:val="FFFFFF"/>
                          <w:sz w:val="22"/>
                          <w:lang w:val="es-US"/>
                        </w:rPr>
                        <w:t>2020</w:t>
                      </w:r>
                    </w:p>
                    <w:p w14:paraId="4E33AF83" w14:textId="77777777" w:rsidR="008073ED" w:rsidRPr="002F7828" w:rsidRDefault="008073ED" w:rsidP="007A5817">
                      <w:pPr>
                        <w:spacing w:line="276" w:lineRule="auto"/>
                        <w:jc w:val="right"/>
                        <w:rPr>
                          <w:rFonts w:ascii="Calibri" w:hAnsi="Calibri"/>
                          <w:color w:val="FFFFFF"/>
                          <w:sz w:val="22"/>
                          <w:lang w:val="es-US"/>
                        </w:rPr>
                      </w:pPr>
                      <w:r w:rsidRPr="002F7828">
                        <w:rPr>
                          <w:rFonts w:ascii="Calibri" w:hAnsi="Calibri"/>
                          <w:color w:val="FFFFFF"/>
                          <w:sz w:val="22"/>
                          <w:lang w:val="es-US"/>
                        </w:rPr>
                        <w:t>Original: español</w:t>
                      </w:r>
                    </w:p>
                  </w:txbxContent>
                </v:textbox>
              </v:shape>
            </w:pict>
          </mc:Fallback>
        </mc:AlternateContent>
      </w:r>
    </w:p>
    <w:p w14:paraId="199BBDE3" w14:textId="77777777" w:rsidR="00040C3A" w:rsidRPr="002F7828" w:rsidRDefault="00040C3A" w:rsidP="00040C3A">
      <w:pPr>
        <w:tabs>
          <w:tab w:val="center" w:pos="5400"/>
        </w:tabs>
        <w:suppressAutoHyphens/>
        <w:jc w:val="center"/>
        <w:rPr>
          <w:rFonts w:ascii="Cambria" w:hAnsi="Cambria"/>
          <w:sz w:val="22"/>
          <w:szCs w:val="22"/>
          <w:lang w:val="es-ES_tradnl"/>
        </w:rPr>
      </w:pPr>
    </w:p>
    <w:p w14:paraId="06D07387" w14:textId="77777777" w:rsidR="00040C3A" w:rsidRPr="002F7828" w:rsidRDefault="00040C3A" w:rsidP="00040C3A">
      <w:pPr>
        <w:tabs>
          <w:tab w:val="center" w:pos="5400"/>
        </w:tabs>
        <w:suppressAutoHyphens/>
        <w:jc w:val="center"/>
        <w:rPr>
          <w:rFonts w:ascii="Cambria" w:hAnsi="Cambria"/>
          <w:sz w:val="22"/>
          <w:szCs w:val="22"/>
          <w:lang w:val="es-ES_tradnl"/>
        </w:rPr>
      </w:pPr>
    </w:p>
    <w:p w14:paraId="05ECC628" w14:textId="77777777" w:rsidR="00040C3A" w:rsidRPr="002F7828" w:rsidRDefault="00040C3A" w:rsidP="00040C3A">
      <w:pPr>
        <w:tabs>
          <w:tab w:val="center" w:pos="5400"/>
        </w:tabs>
        <w:suppressAutoHyphens/>
        <w:jc w:val="center"/>
        <w:rPr>
          <w:rFonts w:ascii="Cambria" w:hAnsi="Cambria" w:cs="Arial"/>
          <w:sz w:val="22"/>
          <w:szCs w:val="22"/>
          <w:lang w:val="es-ES_tradnl"/>
        </w:rPr>
      </w:pPr>
    </w:p>
    <w:p w14:paraId="677AA447" w14:textId="77777777" w:rsidR="00040C3A" w:rsidRPr="002F7828" w:rsidRDefault="00040C3A" w:rsidP="00040C3A">
      <w:pPr>
        <w:tabs>
          <w:tab w:val="center" w:pos="5400"/>
        </w:tabs>
        <w:suppressAutoHyphens/>
        <w:jc w:val="center"/>
        <w:rPr>
          <w:rFonts w:ascii="Cambria" w:hAnsi="Cambria"/>
          <w:sz w:val="22"/>
          <w:szCs w:val="22"/>
          <w:lang w:val="es-ES_tradnl"/>
        </w:rPr>
      </w:pPr>
    </w:p>
    <w:p w14:paraId="66FD1706" w14:textId="77777777" w:rsidR="00040C3A" w:rsidRPr="002F7828" w:rsidRDefault="00040C3A" w:rsidP="00040C3A">
      <w:pPr>
        <w:tabs>
          <w:tab w:val="center" w:pos="5400"/>
        </w:tabs>
        <w:suppressAutoHyphens/>
        <w:jc w:val="center"/>
        <w:rPr>
          <w:rFonts w:ascii="Cambria" w:hAnsi="Cambria"/>
          <w:sz w:val="22"/>
          <w:szCs w:val="22"/>
          <w:lang w:val="es-ES_tradnl"/>
        </w:rPr>
      </w:pPr>
    </w:p>
    <w:p w14:paraId="16693C37" w14:textId="77777777" w:rsidR="00040C3A" w:rsidRPr="002F7828" w:rsidRDefault="00040C3A" w:rsidP="00040C3A">
      <w:pPr>
        <w:tabs>
          <w:tab w:val="center" w:pos="5400"/>
        </w:tabs>
        <w:suppressAutoHyphens/>
        <w:jc w:val="center"/>
        <w:rPr>
          <w:rFonts w:ascii="Cambria" w:hAnsi="Cambria"/>
          <w:sz w:val="22"/>
          <w:szCs w:val="22"/>
          <w:lang w:val="es-ES_tradnl"/>
        </w:rPr>
      </w:pPr>
    </w:p>
    <w:p w14:paraId="5E37C732" w14:textId="77777777" w:rsidR="00040C3A" w:rsidRPr="002F7828" w:rsidRDefault="00040C3A" w:rsidP="00040C3A">
      <w:pPr>
        <w:tabs>
          <w:tab w:val="center" w:pos="5400"/>
        </w:tabs>
        <w:suppressAutoHyphens/>
        <w:jc w:val="center"/>
        <w:rPr>
          <w:rFonts w:ascii="Cambria" w:hAnsi="Cambria"/>
          <w:sz w:val="22"/>
          <w:szCs w:val="22"/>
          <w:lang w:val="es-ES_tradnl"/>
        </w:rPr>
      </w:pPr>
    </w:p>
    <w:p w14:paraId="1CE1B25E" w14:textId="77777777" w:rsidR="005128E4" w:rsidRPr="002F7828" w:rsidRDefault="005128E4" w:rsidP="00040C3A">
      <w:pPr>
        <w:tabs>
          <w:tab w:val="center" w:pos="5400"/>
        </w:tabs>
        <w:suppressAutoHyphens/>
        <w:jc w:val="center"/>
        <w:rPr>
          <w:rFonts w:ascii="Cambria" w:hAnsi="Cambria"/>
          <w:sz w:val="22"/>
          <w:szCs w:val="22"/>
          <w:lang w:val="es-ES_tradnl"/>
        </w:rPr>
      </w:pPr>
    </w:p>
    <w:p w14:paraId="19847487" w14:textId="77777777" w:rsidR="00040C3A" w:rsidRPr="002F7828" w:rsidRDefault="00040C3A" w:rsidP="00040C3A">
      <w:pPr>
        <w:tabs>
          <w:tab w:val="center" w:pos="5400"/>
        </w:tabs>
        <w:suppressAutoHyphens/>
        <w:jc w:val="center"/>
        <w:rPr>
          <w:rFonts w:ascii="Cambria" w:hAnsi="Cambria"/>
          <w:sz w:val="22"/>
          <w:szCs w:val="22"/>
          <w:lang w:val="es-ES_tradnl"/>
        </w:rPr>
      </w:pPr>
    </w:p>
    <w:p w14:paraId="09771140" w14:textId="77777777" w:rsidR="005128E4" w:rsidRPr="002F7828" w:rsidRDefault="005128E4" w:rsidP="00040C3A">
      <w:pPr>
        <w:tabs>
          <w:tab w:val="center" w:pos="5400"/>
        </w:tabs>
        <w:suppressAutoHyphens/>
        <w:jc w:val="center"/>
        <w:rPr>
          <w:rFonts w:ascii="Cambria" w:hAnsi="Cambria"/>
          <w:sz w:val="22"/>
          <w:szCs w:val="22"/>
          <w:lang w:val="es-ES_tradnl"/>
        </w:rPr>
      </w:pPr>
    </w:p>
    <w:p w14:paraId="37DD6C30" w14:textId="77777777" w:rsidR="005128E4" w:rsidRPr="002F7828" w:rsidRDefault="005128E4" w:rsidP="00040C3A">
      <w:pPr>
        <w:tabs>
          <w:tab w:val="center" w:pos="5400"/>
        </w:tabs>
        <w:suppressAutoHyphens/>
        <w:jc w:val="center"/>
        <w:rPr>
          <w:rFonts w:ascii="Cambria" w:hAnsi="Cambria"/>
          <w:sz w:val="22"/>
          <w:szCs w:val="22"/>
          <w:lang w:val="es-ES_tradnl"/>
        </w:rPr>
      </w:pPr>
    </w:p>
    <w:p w14:paraId="448C4029" w14:textId="77777777" w:rsidR="005128E4" w:rsidRPr="002F7828" w:rsidRDefault="005128E4" w:rsidP="00040C3A">
      <w:pPr>
        <w:tabs>
          <w:tab w:val="center" w:pos="5400"/>
        </w:tabs>
        <w:suppressAutoHyphens/>
        <w:jc w:val="center"/>
        <w:rPr>
          <w:rFonts w:ascii="Cambria" w:hAnsi="Cambria"/>
          <w:sz w:val="22"/>
          <w:szCs w:val="22"/>
          <w:lang w:val="es-ES_tradnl"/>
        </w:rPr>
      </w:pPr>
    </w:p>
    <w:p w14:paraId="53862CC0" w14:textId="77777777" w:rsidR="00040C3A" w:rsidRPr="002F7828" w:rsidRDefault="00040C3A" w:rsidP="00040C3A">
      <w:pPr>
        <w:tabs>
          <w:tab w:val="center" w:pos="5400"/>
        </w:tabs>
        <w:suppressAutoHyphens/>
        <w:jc w:val="center"/>
        <w:rPr>
          <w:rFonts w:ascii="Cambria" w:hAnsi="Cambria"/>
          <w:sz w:val="22"/>
          <w:szCs w:val="22"/>
          <w:lang w:val="es-ES_tradnl"/>
        </w:rPr>
      </w:pPr>
    </w:p>
    <w:p w14:paraId="5D6FA301" w14:textId="77777777" w:rsidR="00040C3A" w:rsidRPr="002F7828" w:rsidRDefault="00040C3A" w:rsidP="00040C3A">
      <w:pPr>
        <w:tabs>
          <w:tab w:val="center" w:pos="5400"/>
        </w:tabs>
        <w:suppressAutoHyphens/>
        <w:jc w:val="center"/>
        <w:rPr>
          <w:rFonts w:ascii="Cambria" w:hAnsi="Cambria"/>
          <w:sz w:val="22"/>
          <w:szCs w:val="22"/>
          <w:lang w:val="es-ES_tradnl"/>
        </w:rPr>
      </w:pPr>
    </w:p>
    <w:p w14:paraId="1ECD54BA" w14:textId="77777777" w:rsidR="00A50FCF" w:rsidRPr="002F7828" w:rsidRDefault="00A50FCF" w:rsidP="00040C3A">
      <w:pPr>
        <w:tabs>
          <w:tab w:val="center" w:pos="5400"/>
        </w:tabs>
        <w:suppressAutoHyphens/>
        <w:jc w:val="center"/>
        <w:rPr>
          <w:rFonts w:ascii="Cambria" w:hAnsi="Cambria"/>
          <w:sz w:val="18"/>
          <w:szCs w:val="22"/>
          <w:lang w:val="es-ES_tradnl"/>
        </w:rPr>
      </w:pPr>
    </w:p>
    <w:p w14:paraId="4638249C" w14:textId="77777777" w:rsidR="00A50FCF" w:rsidRPr="002F7828" w:rsidRDefault="00A50FCF" w:rsidP="00040C3A">
      <w:pPr>
        <w:tabs>
          <w:tab w:val="center" w:pos="5400"/>
        </w:tabs>
        <w:suppressAutoHyphens/>
        <w:jc w:val="center"/>
        <w:rPr>
          <w:rFonts w:ascii="Cambria" w:hAnsi="Cambria"/>
          <w:sz w:val="18"/>
          <w:szCs w:val="22"/>
          <w:lang w:val="es-ES_tradnl"/>
        </w:rPr>
      </w:pPr>
    </w:p>
    <w:p w14:paraId="72E1419F" w14:textId="77777777" w:rsidR="00A50FCF" w:rsidRPr="002F7828" w:rsidRDefault="00A50FCF" w:rsidP="00040C3A">
      <w:pPr>
        <w:tabs>
          <w:tab w:val="center" w:pos="5400"/>
        </w:tabs>
        <w:suppressAutoHyphens/>
        <w:jc w:val="center"/>
        <w:rPr>
          <w:rFonts w:ascii="Cambria" w:hAnsi="Cambria"/>
          <w:sz w:val="18"/>
          <w:szCs w:val="22"/>
          <w:lang w:val="es-ES_tradnl"/>
        </w:rPr>
      </w:pPr>
    </w:p>
    <w:p w14:paraId="469F5F81" w14:textId="77777777" w:rsidR="00A50FCF" w:rsidRPr="002F7828" w:rsidRDefault="00A50FCF" w:rsidP="00040C3A">
      <w:pPr>
        <w:tabs>
          <w:tab w:val="center" w:pos="5400"/>
        </w:tabs>
        <w:suppressAutoHyphens/>
        <w:jc w:val="center"/>
        <w:rPr>
          <w:rFonts w:ascii="Cambria" w:hAnsi="Cambria"/>
          <w:sz w:val="18"/>
          <w:szCs w:val="22"/>
          <w:lang w:val="es-ES_tradnl"/>
        </w:rPr>
      </w:pPr>
    </w:p>
    <w:p w14:paraId="6B1FC3AF" w14:textId="77777777" w:rsidR="00A50FCF" w:rsidRPr="002F7828" w:rsidRDefault="00A50FCF" w:rsidP="00040C3A">
      <w:pPr>
        <w:tabs>
          <w:tab w:val="center" w:pos="5400"/>
        </w:tabs>
        <w:suppressAutoHyphens/>
        <w:jc w:val="center"/>
        <w:rPr>
          <w:rFonts w:ascii="Cambria" w:hAnsi="Cambria"/>
          <w:sz w:val="18"/>
          <w:szCs w:val="22"/>
          <w:lang w:val="es-ES_tradnl"/>
        </w:rPr>
      </w:pPr>
    </w:p>
    <w:p w14:paraId="3CA2F906" w14:textId="77777777" w:rsidR="00A50FCF" w:rsidRPr="002F7828" w:rsidRDefault="00A50FCF" w:rsidP="00040C3A">
      <w:pPr>
        <w:tabs>
          <w:tab w:val="center" w:pos="5400"/>
        </w:tabs>
        <w:suppressAutoHyphens/>
        <w:jc w:val="center"/>
        <w:rPr>
          <w:rFonts w:ascii="Cambria" w:hAnsi="Cambria"/>
          <w:sz w:val="18"/>
          <w:szCs w:val="22"/>
          <w:lang w:val="es-ES_tradnl"/>
        </w:rPr>
      </w:pPr>
    </w:p>
    <w:p w14:paraId="53383D1C" w14:textId="77777777" w:rsidR="00A50FCF" w:rsidRPr="002F7828" w:rsidRDefault="00A50FCF" w:rsidP="00040C3A">
      <w:pPr>
        <w:tabs>
          <w:tab w:val="center" w:pos="5400"/>
        </w:tabs>
        <w:suppressAutoHyphens/>
        <w:jc w:val="center"/>
        <w:rPr>
          <w:rFonts w:ascii="Cambria" w:hAnsi="Cambria"/>
          <w:sz w:val="18"/>
          <w:szCs w:val="22"/>
          <w:lang w:val="es-ES_tradnl"/>
        </w:rPr>
      </w:pPr>
    </w:p>
    <w:p w14:paraId="2F8D4486" w14:textId="77777777" w:rsidR="00A50FCF" w:rsidRPr="002F7828" w:rsidRDefault="00A50FCF" w:rsidP="00040C3A">
      <w:pPr>
        <w:tabs>
          <w:tab w:val="center" w:pos="5400"/>
        </w:tabs>
        <w:suppressAutoHyphens/>
        <w:jc w:val="center"/>
        <w:rPr>
          <w:rFonts w:ascii="Cambria" w:hAnsi="Cambria"/>
          <w:sz w:val="18"/>
          <w:szCs w:val="22"/>
          <w:lang w:val="es-ES_tradnl"/>
        </w:rPr>
      </w:pPr>
    </w:p>
    <w:p w14:paraId="598A8AFD" w14:textId="77777777" w:rsidR="00A50FCF" w:rsidRPr="002F7828" w:rsidRDefault="00A50FCF" w:rsidP="00040C3A">
      <w:pPr>
        <w:tabs>
          <w:tab w:val="center" w:pos="5400"/>
        </w:tabs>
        <w:suppressAutoHyphens/>
        <w:jc w:val="center"/>
        <w:rPr>
          <w:rFonts w:ascii="Cambria" w:hAnsi="Cambria"/>
          <w:sz w:val="18"/>
          <w:szCs w:val="22"/>
          <w:lang w:val="es-ES_tradnl"/>
        </w:rPr>
      </w:pPr>
    </w:p>
    <w:p w14:paraId="33030299" w14:textId="77777777" w:rsidR="00A50FCF" w:rsidRPr="002F7828" w:rsidRDefault="00A50FCF" w:rsidP="00040C3A">
      <w:pPr>
        <w:tabs>
          <w:tab w:val="center" w:pos="5400"/>
        </w:tabs>
        <w:suppressAutoHyphens/>
        <w:jc w:val="center"/>
        <w:rPr>
          <w:rFonts w:ascii="Cambria" w:hAnsi="Cambria"/>
          <w:sz w:val="18"/>
          <w:szCs w:val="22"/>
          <w:lang w:val="es-ES_tradnl"/>
        </w:rPr>
      </w:pPr>
    </w:p>
    <w:p w14:paraId="158776A2" w14:textId="77777777" w:rsidR="00A50FCF" w:rsidRPr="002F7828" w:rsidRDefault="00A50FCF" w:rsidP="00040C3A">
      <w:pPr>
        <w:tabs>
          <w:tab w:val="center" w:pos="5400"/>
        </w:tabs>
        <w:suppressAutoHyphens/>
        <w:jc w:val="center"/>
        <w:rPr>
          <w:rFonts w:ascii="Cambria" w:hAnsi="Cambria"/>
          <w:sz w:val="18"/>
          <w:szCs w:val="22"/>
          <w:lang w:val="es-ES_tradnl"/>
        </w:rPr>
      </w:pPr>
    </w:p>
    <w:p w14:paraId="08DEF088" w14:textId="77777777" w:rsidR="00A50FCF" w:rsidRPr="002F7828" w:rsidRDefault="00A50FCF" w:rsidP="00040C3A">
      <w:pPr>
        <w:tabs>
          <w:tab w:val="center" w:pos="5400"/>
        </w:tabs>
        <w:suppressAutoHyphens/>
        <w:jc w:val="center"/>
        <w:rPr>
          <w:rFonts w:ascii="Cambria" w:hAnsi="Cambria"/>
          <w:sz w:val="18"/>
          <w:szCs w:val="22"/>
          <w:lang w:val="es-ES_tradnl"/>
        </w:rPr>
      </w:pPr>
    </w:p>
    <w:p w14:paraId="6BBE566A" w14:textId="77777777" w:rsidR="00A50FCF" w:rsidRPr="002F7828" w:rsidRDefault="00A50FCF" w:rsidP="00040C3A">
      <w:pPr>
        <w:tabs>
          <w:tab w:val="center" w:pos="5400"/>
        </w:tabs>
        <w:suppressAutoHyphens/>
        <w:jc w:val="center"/>
        <w:rPr>
          <w:rFonts w:ascii="Cambria" w:hAnsi="Cambria"/>
          <w:sz w:val="18"/>
          <w:szCs w:val="22"/>
          <w:lang w:val="es-ES_tradnl"/>
        </w:rPr>
      </w:pPr>
    </w:p>
    <w:p w14:paraId="00060584" w14:textId="77777777" w:rsidR="00A50FCF" w:rsidRPr="002F7828" w:rsidRDefault="00A50FCF" w:rsidP="00040C3A">
      <w:pPr>
        <w:tabs>
          <w:tab w:val="center" w:pos="5400"/>
        </w:tabs>
        <w:suppressAutoHyphens/>
        <w:jc w:val="center"/>
        <w:rPr>
          <w:rFonts w:ascii="Cambria" w:hAnsi="Cambria"/>
          <w:sz w:val="18"/>
          <w:szCs w:val="22"/>
          <w:lang w:val="es-ES_tradnl"/>
        </w:rPr>
      </w:pPr>
    </w:p>
    <w:p w14:paraId="020E46BD" w14:textId="77777777" w:rsidR="00A50FCF" w:rsidRPr="002F7828" w:rsidRDefault="00AA0F30" w:rsidP="00040C3A">
      <w:pP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6192" behindDoc="0" locked="0" layoutInCell="1" allowOverlap="1" wp14:anchorId="60871AEA" wp14:editId="24CE8B5A">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14:paraId="680A6299" w14:textId="74B3C8EA" w:rsidR="008073ED" w:rsidRPr="002F7828" w:rsidRDefault="008073ED" w:rsidP="0059191A">
                            <w:pPr>
                              <w:tabs>
                                <w:tab w:val="center" w:pos="5400"/>
                              </w:tabs>
                              <w:suppressAutoHyphens/>
                              <w:spacing w:before="60"/>
                              <w:rPr>
                                <w:rFonts w:ascii="Cambria" w:hAnsi="Cambria" w:cs="Univers"/>
                                <w:color w:val="0D0D0D"/>
                                <w:sz w:val="18"/>
                                <w:szCs w:val="20"/>
                                <w:lang w:val="es-ES_tradnl"/>
                              </w:rPr>
                            </w:pPr>
                            <w:r w:rsidRPr="002F7828">
                              <w:rPr>
                                <w:rFonts w:ascii="Cambria" w:hAnsi="Cambria"/>
                                <w:color w:val="0D0D0D"/>
                                <w:sz w:val="18"/>
                                <w:szCs w:val="20"/>
                                <w:lang w:val="es-ES"/>
                              </w:rPr>
                              <w:t xml:space="preserve">Aprobado por la Comisión en su sesión No. </w:t>
                            </w:r>
                            <w:r>
                              <w:rPr>
                                <w:rFonts w:ascii="Cambria" w:hAnsi="Cambria"/>
                                <w:color w:val="0D0D0D"/>
                                <w:sz w:val="18"/>
                                <w:szCs w:val="20"/>
                                <w:lang w:val="es-ES"/>
                              </w:rPr>
                              <w:t>2192</w:t>
                            </w:r>
                            <w:r w:rsidRPr="002F7828">
                              <w:rPr>
                                <w:rFonts w:ascii="Cambria" w:hAnsi="Cambria"/>
                                <w:color w:val="0D0D0D"/>
                                <w:sz w:val="18"/>
                                <w:szCs w:val="20"/>
                                <w:lang w:val="es-ES"/>
                              </w:rPr>
                              <w:t xml:space="preserve"> celebrada el </w:t>
                            </w:r>
                            <w:r>
                              <w:rPr>
                                <w:rFonts w:ascii="Cambria" w:hAnsi="Cambria"/>
                                <w:color w:val="0D0D0D"/>
                                <w:sz w:val="18"/>
                                <w:szCs w:val="20"/>
                                <w:lang w:val="es-ES"/>
                              </w:rPr>
                              <w:t>19 de noviembre de 2020</w:t>
                            </w:r>
                            <w:r w:rsidRPr="002F7828">
                              <w:rPr>
                                <w:rFonts w:ascii="Cambria" w:hAnsi="Cambria"/>
                                <w:color w:val="0D0D0D"/>
                                <w:sz w:val="18"/>
                                <w:szCs w:val="20"/>
                                <w:lang w:val="es-ES"/>
                              </w:rPr>
                              <w:br/>
                            </w:r>
                          </w:p>
                          <w:p w14:paraId="7175665D" w14:textId="77777777" w:rsidR="008073ED" w:rsidRPr="002F7828" w:rsidRDefault="008073ED" w:rsidP="0059191A">
                            <w:pPr>
                              <w:tabs>
                                <w:tab w:val="center" w:pos="5400"/>
                              </w:tabs>
                              <w:suppressAutoHyphens/>
                              <w:spacing w:before="60"/>
                              <w:rPr>
                                <w:rFonts w:ascii="Cambria" w:hAnsi="Cambria" w:cs="Univers"/>
                                <w:color w:val="0D0D0D"/>
                                <w:sz w:val="18"/>
                                <w:szCs w:val="20"/>
                                <w:lang w:val="es-ES_tradnl"/>
                              </w:rPr>
                            </w:pPr>
                          </w:p>
                          <w:p w14:paraId="3FE4F55F" w14:textId="77777777" w:rsidR="008073ED" w:rsidRPr="002F7828" w:rsidRDefault="008073ED" w:rsidP="0059191A">
                            <w:pPr>
                              <w:tabs>
                                <w:tab w:val="center" w:pos="5400"/>
                              </w:tabs>
                              <w:suppressAutoHyphens/>
                              <w:spacing w:before="60"/>
                              <w:rPr>
                                <w:rFonts w:ascii="Cambria" w:hAnsi="Cambria" w:cs="Univers"/>
                                <w:color w:val="0D0D0D"/>
                                <w:sz w:val="18"/>
                                <w:szCs w:val="20"/>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71AEA"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" filled="f" stroked="f" strokeweight=".5pt">
                <v:textbox>
                  <w:txbxContent>
                    <w:p w14:paraId="680A6299" w14:textId="74B3C8EA" w:rsidR="008073ED" w:rsidRPr="002F7828" w:rsidRDefault="008073ED" w:rsidP="0059191A">
                      <w:pPr>
                        <w:tabs>
                          <w:tab w:val="center" w:pos="5400"/>
                        </w:tabs>
                        <w:suppressAutoHyphens/>
                        <w:spacing w:before="60"/>
                        <w:rPr>
                          <w:rFonts w:ascii="Cambria" w:hAnsi="Cambria" w:cs="Univers"/>
                          <w:color w:val="0D0D0D"/>
                          <w:sz w:val="18"/>
                          <w:szCs w:val="20"/>
                          <w:lang w:val="es-ES_tradnl"/>
                        </w:rPr>
                      </w:pPr>
                      <w:r w:rsidRPr="002F7828">
                        <w:rPr>
                          <w:rFonts w:ascii="Cambria" w:hAnsi="Cambria"/>
                          <w:color w:val="0D0D0D"/>
                          <w:sz w:val="18"/>
                          <w:szCs w:val="20"/>
                          <w:lang w:val="es-ES"/>
                        </w:rPr>
                        <w:t xml:space="preserve">Aprobado por la Comisión en su sesión No. </w:t>
                      </w:r>
                      <w:r>
                        <w:rPr>
                          <w:rFonts w:ascii="Cambria" w:hAnsi="Cambria"/>
                          <w:color w:val="0D0D0D"/>
                          <w:sz w:val="18"/>
                          <w:szCs w:val="20"/>
                          <w:lang w:val="es-ES"/>
                        </w:rPr>
                        <w:t>2192</w:t>
                      </w:r>
                      <w:r w:rsidRPr="002F7828">
                        <w:rPr>
                          <w:rFonts w:ascii="Cambria" w:hAnsi="Cambria"/>
                          <w:color w:val="0D0D0D"/>
                          <w:sz w:val="18"/>
                          <w:szCs w:val="20"/>
                          <w:lang w:val="es-ES"/>
                        </w:rPr>
                        <w:t xml:space="preserve"> celebrada el </w:t>
                      </w:r>
                      <w:r>
                        <w:rPr>
                          <w:rFonts w:ascii="Cambria" w:hAnsi="Cambria"/>
                          <w:color w:val="0D0D0D"/>
                          <w:sz w:val="18"/>
                          <w:szCs w:val="20"/>
                          <w:lang w:val="es-ES"/>
                        </w:rPr>
                        <w:t>19 de noviembre de 2020</w:t>
                      </w:r>
                      <w:r w:rsidRPr="002F7828">
                        <w:rPr>
                          <w:rFonts w:ascii="Cambria" w:hAnsi="Cambria"/>
                          <w:color w:val="0D0D0D"/>
                          <w:sz w:val="18"/>
                          <w:szCs w:val="20"/>
                          <w:lang w:val="es-ES"/>
                        </w:rPr>
                        <w:br/>
                      </w:r>
                    </w:p>
                    <w:p w14:paraId="7175665D" w14:textId="77777777" w:rsidR="008073ED" w:rsidRPr="002F7828" w:rsidRDefault="008073ED" w:rsidP="0059191A">
                      <w:pPr>
                        <w:tabs>
                          <w:tab w:val="center" w:pos="5400"/>
                        </w:tabs>
                        <w:suppressAutoHyphens/>
                        <w:spacing w:before="60"/>
                        <w:rPr>
                          <w:rFonts w:ascii="Cambria" w:hAnsi="Cambria" w:cs="Univers"/>
                          <w:color w:val="0D0D0D"/>
                          <w:sz w:val="18"/>
                          <w:szCs w:val="20"/>
                          <w:lang w:val="es-ES_tradnl"/>
                        </w:rPr>
                      </w:pPr>
                    </w:p>
                    <w:p w14:paraId="3FE4F55F" w14:textId="77777777" w:rsidR="008073ED" w:rsidRPr="002F7828" w:rsidRDefault="008073ED" w:rsidP="0059191A">
                      <w:pPr>
                        <w:tabs>
                          <w:tab w:val="center" w:pos="5400"/>
                        </w:tabs>
                        <w:suppressAutoHyphens/>
                        <w:spacing w:before="60"/>
                        <w:rPr>
                          <w:rFonts w:ascii="Cambria" w:hAnsi="Cambria" w:cs="Univers"/>
                          <w:color w:val="0D0D0D"/>
                          <w:sz w:val="18"/>
                          <w:szCs w:val="20"/>
                          <w:lang w:val="es-ES_tradnl"/>
                        </w:rPr>
                      </w:pPr>
                    </w:p>
                  </w:txbxContent>
                </v:textbox>
              </v:shape>
            </w:pict>
          </mc:Fallback>
        </mc:AlternateContent>
      </w:r>
    </w:p>
    <w:p w14:paraId="78BC7376" w14:textId="77777777" w:rsidR="00A50FCF" w:rsidRPr="002F7828" w:rsidRDefault="00A50FCF" w:rsidP="00040C3A">
      <w:pPr>
        <w:tabs>
          <w:tab w:val="center" w:pos="5400"/>
        </w:tabs>
        <w:suppressAutoHyphens/>
        <w:jc w:val="center"/>
        <w:rPr>
          <w:rFonts w:ascii="Cambria" w:hAnsi="Cambria"/>
          <w:sz w:val="18"/>
          <w:szCs w:val="22"/>
          <w:lang w:val="es-ES_tradnl"/>
        </w:rPr>
      </w:pPr>
    </w:p>
    <w:p w14:paraId="70A66334" w14:textId="77777777" w:rsidR="00A50FCF" w:rsidRPr="002F7828" w:rsidRDefault="00A50FCF" w:rsidP="00040C3A">
      <w:pPr>
        <w:tabs>
          <w:tab w:val="center" w:pos="5400"/>
        </w:tabs>
        <w:suppressAutoHyphens/>
        <w:jc w:val="center"/>
        <w:rPr>
          <w:rFonts w:ascii="Cambria" w:hAnsi="Cambria"/>
          <w:sz w:val="18"/>
          <w:szCs w:val="22"/>
          <w:lang w:val="es-ES_tradnl"/>
        </w:rPr>
      </w:pPr>
    </w:p>
    <w:p w14:paraId="3A38BAE7" w14:textId="77777777" w:rsidR="00A50FCF" w:rsidRPr="002F7828" w:rsidRDefault="00A50FCF" w:rsidP="00040C3A">
      <w:pPr>
        <w:tabs>
          <w:tab w:val="center" w:pos="5400"/>
        </w:tabs>
        <w:suppressAutoHyphens/>
        <w:jc w:val="center"/>
        <w:rPr>
          <w:rFonts w:ascii="Cambria" w:hAnsi="Cambria"/>
          <w:sz w:val="18"/>
          <w:szCs w:val="22"/>
          <w:lang w:val="es-ES_tradnl"/>
        </w:rPr>
      </w:pPr>
    </w:p>
    <w:p w14:paraId="2D66F0E2" w14:textId="77777777" w:rsidR="00A50FCF" w:rsidRPr="002F7828" w:rsidRDefault="00A50FCF" w:rsidP="00040C3A">
      <w:pPr>
        <w:tabs>
          <w:tab w:val="center" w:pos="5400"/>
        </w:tabs>
        <w:suppressAutoHyphens/>
        <w:jc w:val="center"/>
        <w:rPr>
          <w:rFonts w:ascii="Cambria" w:hAnsi="Cambria"/>
          <w:sz w:val="18"/>
          <w:szCs w:val="22"/>
          <w:lang w:val="es-ES_tradnl"/>
        </w:rPr>
      </w:pPr>
    </w:p>
    <w:p w14:paraId="6133D415" w14:textId="77777777" w:rsidR="00A50FCF" w:rsidRPr="002F7828" w:rsidRDefault="00AA0F30" w:rsidP="00040C3A">
      <w:pP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9264" behindDoc="0" locked="0" layoutInCell="1" allowOverlap="1" wp14:anchorId="0B81C9DD" wp14:editId="0D29D45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14:paraId="77453017" w14:textId="3C08242C" w:rsidR="008073ED" w:rsidRDefault="008073ED" w:rsidP="00113F73">
                            <w:pPr>
                              <w:spacing w:line="276" w:lineRule="auto"/>
                              <w:rPr>
                                <w:rFonts w:ascii="Cambria" w:hAnsi="Cambria"/>
                                <w:color w:val="595959"/>
                                <w:sz w:val="18"/>
                                <w:szCs w:val="18"/>
                                <w:lang w:val="es-ES_tradnl"/>
                              </w:rPr>
                            </w:pPr>
                            <w:r w:rsidRPr="00390587">
                              <w:rPr>
                                <w:rFonts w:ascii="Cambria" w:hAnsi="Cambria"/>
                                <w:b/>
                                <w:color w:val="595959"/>
                                <w:sz w:val="18"/>
                                <w:szCs w:val="18"/>
                                <w:lang w:val="pt-BR"/>
                              </w:rPr>
                              <w:t>Citar como:</w:t>
                            </w:r>
                            <w:r w:rsidRPr="00390587">
                              <w:rPr>
                                <w:rFonts w:ascii="Cambria" w:hAnsi="Cambria"/>
                                <w:color w:val="595959"/>
                                <w:sz w:val="18"/>
                                <w:szCs w:val="18"/>
                                <w:lang w:val="pt-BR"/>
                              </w:rPr>
                              <w:t xml:space="preserve"> CIDH. Informe No. </w:t>
                            </w:r>
                            <w:r>
                              <w:rPr>
                                <w:rFonts w:ascii="Cambria" w:hAnsi="Cambria"/>
                                <w:color w:val="595959"/>
                                <w:sz w:val="18"/>
                                <w:szCs w:val="18"/>
                                <w:lang w:val="pt-BR"/>
                              </w:rPr>
                              <w:t>326</w:t>
                            </w:r>
                            <w:r w:rsidRPr="00390587">
                              <w:rPr>
                                <w:rFonts w:ascii="Cambria" w:hAnsi="Cambria"/>
                                <w:color w:val="595959"/>
                                <w:sz w:val="18"/>
                                <w:szCs w:val="18"/>
                                <w:lang w:val="pt-BR"/>
                              </w:rPr>
                              <w:t>/</w:t>
                            </w:r>
                            <w:r>
                              <w:rPr>
                                <w:rFonts w:ascii="Cambria" w:hAnsi="Cambria"/>
                                <w:color w:val="595959"/>
                                <w:sz w:val="18"/>
                                <w:szCs w:val="18"/>
                                <w:lang w:val="pt-BR"/>
                              </w:rPr>
                              <w:t>20</w:t>
                            </w:r>
                            <w:r w:rsidRPr="00390587">
                              <w:rPr>
                                <w:rFonts w:ascii="Cambria" w:hAnsi="Cambria"/>
                                <w:color w:val="595959"/>
                                <w:sz w:val="18"/>
                                <w:szCs w:val="18"/>
                                <w:lang w:val="pt-BR"/>
                              </w:rPr>
                              <w:t xml:space="preserve">. </w:t>
                            </w:r>
                            <w:r w:rsidRPr="00390587">
                              <w:rPr>
                                <w:rFonts w:ascii="Cambria" w:hAnsi="Cambria"/>
                                <w:color w:val="595959"/>
                                <w:sz w:val="18"/>
                                <w:szCs w:val="18"/>
                                <w:lang w:val="es-ES_tradnl"/>
                              </w:rPr>
                              <w:t xml:space="preserve">Caso </w:t>
                            </w:r>
                            <w:r>
                              <w:rPr>
                                <w:rFonts w:ascii="Cambria" w:hAnsi="Cambria"/>
                                <w:color w:val="595959"/>
                                <w:sz w:val="18"/>
                                <w:szCs w:val="18"/>
                                <w:lang w:val="es-ES_tradnl"/>
                              </w:rPr>
                              <w:t>13.045</w:t>
                            </w:r>
                            <w:r w:rsidRPr="00390587">
                              <w:rPr>
                                <w:rFonts w:ascii="Cambria" w:hAnsi="Cambria"/>
                                <w:color w:val="595959"/>
                                <w:sz w:val="18"/>
                                <w:szCs w:val="18"/>
                                <w:lang w:val="es-ES_tradnl"/>
                              </w:rPr>
                              <w:t xml:space="preserve">. Fondo. </w:t>
                            </w:r>
                            <w:r>
                              <w:rPr>
                                <w:rFonts w:ascii="Cambria" w:hAnsi="Cambria"/>
                                <w:color w:val="595959"/>
                                <w:sz w:val="18"/>
                                <w:szCs w:val="18"/>
                                <w:lang w:val="es-ES_tradnl"/>
                              </w:rPr>
                              <w:t>Saulo Arboleda Gómez. Colombia</w:t>
                            </w:r>
                            <w:r w:rsidRPr="00390587">
                              <w:rPr>
                                <w:rFonts w:ascii="Cambria" w:hAnsi="Cambria"/>
                                <w:color w:val="595959"/>
                                <w:sz w:val="18"/>
                                <w:szCs w:val="18"/>
                                <w:lang w:val="es-ES_tradnl"/>
                              </w:rPr>
                              <w:t xml:space="preserve">. </w:t>
                            </w:r>
                          </w:p>
                          <w:p w14:paraId="3452D239" w14:textId="55A73990" w:rsidR="008073ED" w:rsidRPr="002F7828" w:rsidRDefault="008073ED" w:rsidP="00113F73">
                            <w:pPr>
                              <w:spacing w:line="276" w:lineRule="auto"/>
                              <w:rPr>
                                <w:rFonts w:ascii="Cambria" w:hAnsi="Cambria"/>
                                <w:color w:val="595959"/>
                                <w:sz w:val="18"/>
                                <w:szCs w:val="18"/>
                                <w:lang w:val="es-US"/>
                              </w:rPr>
                            </w:pPr>
                            <w:r>
                              <w:rPr>
                                <w:rFonts w:ascii="Cambria" w:hAnsi="Cambria"/>
                                <w:color w:val="595959"/>
                                <w:sz w:val="18"/>
                                <w:szCs w:val="18"/>
                                <w:lang w:val="es-ES_tradnl"/>
                              </w:rPr>
                              <w:t>19 de noviembre de 2020</w:t>
                            </w:r>
                            <w:r w:rsidRPr="00390587">
                              <w:rPr>
                                <w:rFonts w:ascii="Cambria" w:hAnsi="Cambria"/>
                                <w:color w:val="595959"/>
                                <w:sz w:val="18"/>
                                <w:szCs w:val="18"/>
                                <w:lang w:val="es-ES_tradnl"/>
                              </w:rPr>
                              <w:t>.</w:t>
                            </w:r>
                            <w:r w:rsidRPr="002F7828">
                              <w:rPr>
                                <w:rFonts w:ascii="Cambria" w:hAnsi="Cambria"/>
                                <w:color w:val="595959"/>
                                <w:sz w:val="18"/>
                                <w:szCs w:val="18"/>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1C9DD"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" filled="f" stroked="f" strokeweight=".5pt">
                <v:textbox>
                  <w:txbxContent>
                    <w:p w14:paraId="77453017" w14:textId="3C08242C" w:rsidR="008073ED" w:rsidRDefault="008073ED" w:rsidP="00113F73">
                      <w:pPr>
                        <w:spacing w:line="276" w:lineRule="auto"/>
                        <w:rPr>
                          <w:rFonts w:ascii="Cambria" w:hAnsi="Cambria"/>
                          <w:color w:val="595959"/>
                          <w:sz w:val="18"/>
                          <w:szCs w:val="18"/>
                          <w:lang w:val="es-ES_tradnl"/>
                        </w:rPr>
                      </w:pPr>
                      <w:r w:rsidRPr="00390587">
                        <w:rPr>
                          <w:rFonts w:ascii="Cambria" w:hAnsi="Cambria"/>
                          <w:b/>
                          <w:color w:val="595959"/>
                          <w:sz w:val="18"/>
                          <w:szCs w:val="18"/>
                          <w:lang w:val="pt-BR"/>
                        </w:rPr>
                        <w:t>Citar como:</w:t>
                      </w:r>
                      <w:r w:rsidRPr="00390587">
                        <w:rPr>
                          <w:rFonts w:ascii="Cambria" w:hAnsi="Cambria"/>
                          <w:color w:val="595959"/>
                          <w:sz w:val="18"/>
                          <w:szCs w:val="18"/>
                          <w:lang w:val="pt-BR"/>
                        </w:rPr>
                        <w:t xml:space="preserve"> CIDH. Informe No. </w:t>
                      </w:r>
                      <w:r>
                        <w:rPr>
                          <w:rFonts w:ascii="Cambria" w:hAnsi="Cambria"/>
                          <w:color w:val="595959"/>
                          <w:sz w:val="18"/>
                          <w:szCs w:val="18"/>
                          <w:lang w:val="pt-BR"/>
                        </w:rPr>
                        <w:t>326</w:t>
                      </w:r>
                      <w:r w:rsidRPr="00390587">
                        <w:rPr>
                          <w:rFonts w:ascii="Cambria" w:hAnsi="Cambria"/>
                          <w:color w:val="595959"/>
                          <w:sz w:val="18"/>
                          <w:szCs w:val="18"/>
                          <w:lang w:val="pt-BR"/>
                        </w:rPr>
                        <w:t>/</w:t>
                      </w:r>
                      <w:r>
                        <w:rPr>
                          <w:rFonts w:ascii="Cambria" w:hAnsi="Cambria"/>
                          <w:color w:val="595959"/>
                          <w:sz w:val="18"/>
                          <w:szCs w:val="18"/>
                          <w:lang w:val="pt-BR"/>
                        </w:rPr>
                        <w:t>20</w:t>
                      </w:r>
                      <w:r w:rsidRPr="00390587">
                        <w:rPr>
                          <w:rFonts w:ascii="Cambria" w:hAnsi="Cambria"/>
                          <w:color w:val="595959"/>
                          <w:sz w:val="18"/>
                          <w:szCs w:val="18"/>
                          <w:lang w:val="pt-BR"/>
                        </w:rPr>
                        <w:t xml:space="preserve">. </w:t>
                      </w:r>
                      <w:r w:rsidRPr="00390587">
                        <w:rPr>
                          <w:rFonts w:ascii="Cambria" w:hAnsi="Cambria"/>
                          <w:color w:val="595959"/>
                          <w:sz w:val="18"/>
                          <w:szCs w:val="18"/>
                          <w:lang w:val="es-ES_tradnl"/>
                        </w:rPr>
                        <w:t xml:space="preserve">Caso </w:t>
                      </w:r>
                      <w:r>
                        <w:rPr>
                          <w:rFonts w:ascii="Cambria" w:hAnsi="Cambria"/>
                          <w:color w:val="595959"/>
                          <w:sz w:val="18"/>
                          <w:szCs w:val="18"/>
                          <w:lang w:val="es-ES_tradnl"/>
                        </w:rPr>
                        <w:t>13.045</w:t>
                      </w:r>
                      <w:r w:rsidRPr="00390587">
                        <w:rPr>
                          <w:rFonts w:ascii="Cambria" w:hAnsi="Cambria"/>
                          <w:color w:val="595959"/>
                          <w:sz w:val="18"/>
                          <w:szCs w:val="18"/>
                          <w:lang w:val="es-ES_tradnl"/>
                        </w:rPr>
                        <w:t xml:space="preserve">. Fondo. </w:t>
                      </w:r>
                      <w:r>
                        <w:rPr>
                          <w:rFonts w:ascii="Cambria" w:hAnsi="Cambria"/>
                          <w:color w:val="595959"/>
                          <w:sz w:val="18"/>
                          <w:szCs w:val="18"/>
                          <w:lang w:val="es-ES_tradnl"/>
                        </w:rPr>
                        <w:t>Saulo Arboleda Gómez. Colombia</w:t>
                      </w:r>
                      <w:r w:rsidRPr="00390587">
                        <w:rPr>
                          <w:rFonts w:ascii="Cambria" w:hAnsi="Cambria"/>
                          <w:color w:val="595959"/>
                          <w:sz w:val="18"/>
                          <w:szCs w:val="18"/>
                          <w:lang w:val="es-ES_tradnl"/>
                        </w:rPr>
                        <w:t xml:space="preserve">. </w:t>
                      </w:r>
                    </w:p>
                    <w:p w14:paraId="3452D239" w14:textId="55A73990" w:rsidR="008073ED" w:rsidRPr="002F7828" w:rsidRDefault="008073ED" w:rsidP="00113F73">
                      <w:pPr>
                        <w:spacing w:line="276" w:lineRule="auto"/>
                        <w:rPr>
                          <w:rFonts w:ascii="Cambria" w:hAnsi="Cambria"/>
                          <w:color w:val="595959"/>
                          <w:sz w:val="18"/>
                          <w:szCs w:val="18"/>
                          <w:lang w:val="es-US"/>
                        </w:rPr>
                      </w:pPr>
                      <w:r>
                        <w:rPr>
                          <w:rFonts w:ascii="Cambria" w:hAnsi="Cambria"/>
                          <w:color w:val="595959"/>
                          <w:sz w:val="18"/>
                          <w:szCs w:val="18"/>
                          <w:lang w:val="es-ES_tradnl"/>
                        </w:rPr>
                        <w:t>19 de noviembre de 2020</w:t>
                      </w:r>
                      <w:r w:rsidRPr="00390587">
                        <w:rPr>
                          <w:rFonts w:ascii="Cambria" w:hAnsi="Cambria"/>
                          <w:color w:val="595959"/>
                          <w:sz w:val="18"/>
                          <w:szCs w:val="18"/>
                          <w:lang w:val="es-ES_tradnl"/>
                        </w:rPr>
                        <w:t>.</w:t>
                      </w:r>
                      <w:r w:rsidRPr="002F7828">
                        <w:rPr>
                          <w:rFonts w:ascii="Cambria" w:hAnsi="Cambria"/>
                          <w:color w:val="595959"/>
                          <w:sz w:val="18"/>
                          <w:szCs w:val="18"/>
                          <w:lang w:val="es-ES_tradnl"/>
                        </w:rPr>
                        <w:t xml:space="preserve"> </w:t>
                      </w:r>
                    </w:p>
                  </w:txbxContent>
                </v:textbox>
              </v:shape>
            </w:pict>
          </mc:Fallback>
        </mc:AlternateContent>
      </w:r>
    </w:p>
    <w:p w14:paraId="1C5C1C7F" w14:textId="77777777" w:rsidR="00A50FCF" w:rsidRPr="002F7828" w:rsidRDefault="00A50FCF" w:rsidP="00040C3A">
      <w:pPr>
        <w:tabs>
          <w:tab w:val="center" w:pos="5400"/>
        </w:tabs>
        <w:suppressAutoHyphens/>
        <w:jc w:val="center"/>
        <w:rPr>
          <w:rFonts w:ascii="Cambria" w:hAnsi="Cambria"/>
          <w:sz w:val="18"/>
          <w:szCs w:val="22"/>
          <w:lang w:val="es-ES_tradnl"/>
        </w:rPr>
      </w:pPr>
    </w:p>
    <w:p w14:paraId="14BDF913" w14:textId="77777777" w:rsidR="0090270B" w:rsidRPr="00196795" w:rsidRDefault="00AA0F30" w:rsidP="005516A1">
      <w:pPr>
        <w:tabs>
          <w:tab w:val="center" w:pos="5400"/>
        </w:tabs>
        <w:suppressAutoHyphens/>
        <w:jc w:val="center"/>
        <w:rPr>
          <w:rFonts w:ascii="Cambria" w:hAnsi="Cambria"/>
          <w:b/>
          <w:sz w:val="20"/>
          <w:szCs w:val="20"/>
          <w:lang w:val="es-ES_tradnl"/>
        </w:rPr>
      </w:pPr>
      <w:r w:rsidRPr="00196795">
        <w:rPr>
          <w:rFonts w:ascii="Cambria" w:hAnsi="Cambria"/>
          <w:noProof/>
          <w:sz w:val="20"/>
          <w:szCs w:val="20"/>
        </w:rPr>
        <mc:AlternateContent>
          <mc:Choice Requires="wps">
            <w:drawing>
              <wp:anchor distT="0" distB="0" distL="114300" distR="114300" simplePos="0" relativeHeight="251660288" behindDoc="0" locked="0" layoutInCell="1" allowOverlap="1" wp14:anchorId="18C4CCA7" wp14:editId="50EBE67A">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14:paraId="07E9B5DC" w14:textId="77777777" w:rsidR="008073ED" w:rsidRPr="002F7828" w:rsidRDefault="008073ED" w:rsidP="00F02AD1">
                            <w:pPr>
                              <w:rPr>
                                <w:color w:val="FFFFFF"/>
                              </w:rPr>
                            </w:pPr>
                            <w:r w:rsidRPr="002F7828">
                              <w:rPr>
                                <w:noProof/>
                                <w:color w:val="FFFFFF"/>
                              </w:rPr>
                              <w:drawing>
                                <wp:inline distT="0" distB="0" distL="0" distR="0" wp14:anchorId="7EB1A2CE" wp14:editId="7FBFB55D">
                                  <wp:extent cx="1647825" cy="4286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4CCA7"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" fillcolor="window" stroked="f" strokeweight=".5pt">
                <v:textbox>
                  <w:txbxContent>
                    <w:p w14:paraId="07E9B5DC" w14:textId="77777777" w:rsidR="008073ED" w:rsidRPr="002F7828" w:rsidRDefault="008073ED" w:rsidP="00F02AD1">
                      <w:pPr>
                        <w:rPr>
                          <w:color w:val="FFFFFF"/>
                        </w:rPr>
                      </w:pPr>
                      <w:r w:rsidRPr="002F7828">
                        <w:rPr>
                          <w:noProof/>
                          <w:color w:val="FFFFFF"/>
                        </w:rPr>
                        <w:drawing>
                          <wp:inline distT="0" distB="0" distL="0" distR="0" wp14:anchorId="7EB1A2CE" wp14:editId="7FBFB55D">
                            <wp:extent cx="1647825" cy="4286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p>
                  </w:txbxContent>
                </v:textbox>
              </v:shape>
            </w:pict>
          </mc:Fallback>
        </mc:AlternateContent>
      </w:r>
      <w:r w:rsidRPr="00196795">
        <w:rPr>
          <w:rFonts w:ascii="Cambria" w:hAnsi="Cambria"/>
          <w:noProof/>
          <w:sz w:val="20"/>
          <w:szCs w:val="20"/>
        </w:rPr>
        <mc:AlternateContent>
          <mc:Choice Requires="wps">
            <w:drawing>
              <wp:anchor distT="0" distB="0" distL="114300" distR="114300" simplePos="0" relativeHeight="251661312" behindDoc="0" locked="0" layoutInCell="1" allowOverlap="1" wp14:anchorId="04F5BEED" wp14:editId="62AA2D16">
                <wp:simplePos x="0" y="0"/>
                <wp:positionH relativeFrom="column">
                  <wp:posOffset>-271780</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10DBB835" w14:textId="77777777" w:rsidR="008073ED" w:rsidRPr="002F7828" w:rsidRDefault="008073ED" w:rsidP="00D306D1">
                            <w:pPr>
                              <w:jc w:val="center"/>
                              <w:rPr>
                                <w:rFonts w:ascii="Calibri" w:hAnsi="Calibri"/>
                                <w:b/>
                                <w:color w:val="FFFFFF"/>
                              </w:rPr>
                            </w:pPr>
                            <w:r w:rsidRPr="002F7828">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5BEED" id="Text Box 4" o:spid="_x0000_s1032" type="#_x0000_t202" style="position:absolute;left:0;text-align:left;margin-left:-21.4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" filled="f" stroked="f" strokeweight=".5pt">
                <v:textbox>
                  <w:txbxContent>
                    <w:p w14:paraId="10DBB835" w14:textId="77777777" w:rsidR="008073ED" w:rsidRPr="002F7828" w:rsidRDefault="008073ED" w:rsidP="00D306D1">
                      <w:pPr>
                        <w:jc w:val="center"/>
                        <w:rPr>
                          <w:rFonts w:ascii="Calibri" w:hAnsi="Calibri"/>
                          <w:b/>
                          <w:color w:val="FFFFFF"/>
                        </w:rPr>
                      </w:pPr>
                      <w:r w:rsidRPr="002F7828">
                        <w:rPr>
                          <w:rFonts w:ascii="Calibri" w:hAnsi="Calibri"/>
                          <w:b/>
                          <w:color w:val="FFFFFF"/>
                          <w:lang w:val="pt-BR"/>
                        </w:rPr>
                        <w:t>www.cidh.org</w:t>
                      </w:r>
                    </w:p>
                  </w:txbxContent>
                </v:textbox>
              </v:shape>
            </w:pict>
          </mc:Fallback>
        </mc:AlternateContent>
      </w:r>
    </w:p>
    <w:p w14:paraId="57090593" w14:textId="77777777" w:rsidR="0070697F" w:rsidRPr="00196795" w:rsidRDefault="0070697F" w:rsidP="00032214">
      <w:pPr>
        <w:tabs>
          <w:tab w:val="center" w:pos="5400"/>
        </w:tabs>
        <w:suppressAutoHyphens/>
        <w:rPr>
          <w:rFonts w:ascii="Cambria" w:hAnsi="Cambria"/>
          <w:b/>
          <w:sz w:val="20"/>
          <w:szCs w:val="20"/>
          <w:lang w:val="es-ES_tradnl"/>
        </w:rPr>
        <w:sectPr w:rsidR="0070697F" w:rsidRPr="00196795"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1027B0AC" w14:textId="77777777" w:rsidR="00722C9F" w:rsidRDefault="00722C9F" w:rsidP="00032214">
      <w:pPr>
        <w:tabs>
          <w:tab w:val="center" w:pos="5400"/>
        </w:tabs>
        <w:suppressAutoHyphens/>
        <w:spacing w:line="276" w:lineRule="auto"/>
        <w:rPr>
          <w:rFonts w:ascii="Cambria" w:hAnsi="Cambria"/>
          <w:sz w:val="20"/>
          <w:szCs w:val="20"/>
          <w:highlight w:val="yellow"/>
          <w:lang w:val="es-ES_tradnl"/>
        </w:rPr>
      </w:pPr>
    </w:p>
    <w:p w14:paraId="311E083B" w14:textId="77777777" w:rsidR="00196795" w:rsidRDefault="00196795" w:rsidP="00032214">
      <w:pPr>
        <w:tabs>
          <w:tab w:val="center" w:pos="5400"/>
        </w:tabs>
        <w:suppressAutoHyphens/>
        <w:spacing w:line="276" w:lineRule="auto"/>
        <w:rPr>
          <w:rFonts w:ascii="Cambria" w:hAnsi="Cambria"/>
          <w:sz w:val="20"/>
          <w:szCs w:val="20"/>
          <w:highlight w:val="yellow"/>
          <w:lang w:val="es-ES_tradnl"/>
        </w:rPr>
      </w:pPr>
    </w:p>
    <w:p w14:paraId="682E80B2" w14:textId="77777777" w:rsidR="00196795" w:rsidRPr="00196795" w:rsidRDefault="00196795" w:rsidP="00032214">
      <w:pPr>
        <w:tabs>
          <w:tab w:val="center" w:pos="5400"/>
        </w:tabs>
        <w:suppressAutoHyphens/>
        <w:spacing w:line="276" w:lineRule="auto"/>
        <w:rPr>
          <w:rFonts w:ascii="Cambria" w:hAnsi="Cambria"/>
          <w:sz w:val="20"/>
          <w:szCs w:val="20"/>
          <w:highlight w:val="yellow"/>
          <w:lang w:val="es-ES_tradnl"/>
        </w:rPr>
      </w:pPr>
    </w:p>
    <w:p w14:paraId="5DB168E9" w14:textId="77777777" w:rsidR="00722C9F" w:rsidRPr="00196795" w:rsidRDefault="00722C9F" w:rsidP="00722C9F">
      <w:pPr>
        <w:tabs>
          <w:tab w:val="center" w:pos="5400"/>
        </w:tabs>
        <w:suppressAutoHyphens/>
        <w:spacing w:line="276" w:lineRule="auto"/>
        <w:jc w:val="center"/>
        <w:rPr>
          <w:rFonts w:ascii="Cambria" w:hAnsi="Cambria"/>
          <w:b/>
          <w:sz w:val="20"/>
          <w:szCs w:val="20"/>
          <w:lang w:val="es-ES_tradnl"/>
        </w:rPr>
      </w:pPr>
      <w:r w:rsidRPr="00196795">
        <w:rPr>
          <w:rFonts w:ascii="Cambria" w:hAnsi="Cambria"/>
          <w:b/>
          <w:sz w:val="20"/>
          <w:szCs w:val="20"/>
          <w:lang w:val="es-ES_tradnl"/>
        </w:rPr>
        <w:t>ÍNDICE</w:t>
      </w:r>
    </w:p>
    <w:p w14:paraId="7A1295D9" w14:textId="77777777" w:rsidR="008D768D" w:rsidRDefault="008D768D" w:rsidP="006125C3">
      <w:pPr>
        <w:tabs>
          <w:tab w:val="center" w:pos="5400"/>
        </w:tabs>
        <w:suppressAutoHyphens/>
        <w:spacing w:line="276" w:lineRule="auto"/>
        <w:rPr>
          <w:rFonts w:ascii="Cambria" w:hAnsi="Cambria"/>
          <w:sz w:val="20"/>
          <w:szCs w:val="20"/>
          <w:lang w:val="es-ES_tradnl"/>
        </w:rPr>
      </w:pPr>
    </w:p>
    <w:p w14:paraId="5B0C0E85" w14:textId="77777777" w:rsidR="00196795" w:rsidRDefault="00196795" w:rsidP="006125C3">
      <w:pPr>
        <w:tabs>
          <w:tab w:val="center" w:pos="5400"/>
        </w:tabs>
        <w:suppressAutoHyphens/>
        <w:spacing w:line="276" w:lineRule="auto"/>
        <w:rPr>
          <w:rFonts w:ascii="Cambria" w:hAnsi="Cambria"/>
          <w:sz w:val="20"/>
          <w:szCs w:val="20"/>
          <w:lang w:val="es-ES_tradnl"/>
        </w:rPr>
      </w:pPr>
    </w:p>
    <w:p w14:paraId="7895E6B2" w14:textId="77777777" w:rsidR="00196795" w:rsidRDefault="00196795" w:rsidP="006125C3">
      <w:pPr>
        <w:tabs>
          <w:tab w:val="center" w:pos="5400"/>
        </w:tabs>
        <w:suppressAutoHyphens/>
        <w:spacing w:line="276" w:lineRule="auto"/>
        <w:rPr>
          <w:rFonts w:ascii="Cambria" w:hAnsi="Cambria"/>
          <w:sz w:val="20"/>
          <w:szCs w:val="20"/>
          <w:lang w:val="es-ES_tradnl"/>
        </w:rPr>
      </w:pPr>
    </w:p>
    <w:p w14:paraId="29C02776" w14:textId="77777777" w:rsidR="00196795" w:rsidRPr="00196795" w:rsidRDefault="00196795" w:rsidP="006125C3">
      <w:pPr>
        <w:tabs>
          <w:tab w:val="center" w:pos="5400"/>
        </w:tabs>
        <w:suppressAutoHyphens/>
        <w:spacing w:line="276" w:lineRule="auto"/>
        <w:rPr>
          <w:rFonts w:ascii="Cambria" w:hAnsi="Cambria"/>
          <w:sz w:val="20"/>
          <w:szCs w:val="20"/>
          <w:lang w:val="es-ES_tradnl"/>
        </w:rPr>
      </w:pPr>
    </w:p>
    <w:p w14:paraId="4D0F7F5F" w14:textId="77777777" w:rsidR="00196795" w:rsidRPr="00196795" w:rsidRDefault="00196795" w:rsidP="006125C3">
      <w:pPr>
        <w:tabs>
          <w:tab w:val="center" w:pos="5400"/>
        </w:tabs>
        <w:suppressAutoHyphens/>
        <w:spacing w:line="276" w:lineRule="auto"/>
        <w:rPr>
          <w:rFonts w:ascii="Cambria" w:hAnsi="Cambria"/>
          <w:sz w:val="20"/>
          <w:szCs w:val="20"/>
          <w:lang w:val="es-ES_tradnl"/>
        </w:rPr>
      </w:pPr>
    </w:p>
    <w:p w14:paraId="0D16A577" w14:textId="1E88B3FC" w:rsidR="00196795" w:rsidRPr="0074104D" w:rsidRDefault="00196795" w:rsidP="00196795">
      <w:pPr>
        <w:pStyle w:val="TOC1"/>
        <w:rPr>
          <w:rFonts w:ascii="Cambria" w:eastAsiaTheme="minorEastAsia" w:hAnsi="Cambria" w:cstheme="minorBidi"/>
          <w:noProof/>
          <w:sz w:val="20"/>
          <w:szCs w:val="20"/>
          <w:bdr w:val="none" w:sz="0" w:space="0" w:color="auto"/>
          <w:lang w:val="es-US" w:eastAsia="ja-JP"/>
        </w:rPr>
      </w:pPr>
      <w:r w:rsidRPr="00196795">
        <w:rPr>
          <w:rFonts w:ascii="Cambria" w:hAnsi="Cambria"/>
          <w:b/>
          <w:sz w:val="20"/>
          <w:szCs w:val="20"/>
          <w:lang w:val="es-ES_tradnl"/>
        </w:rPr>
        <w:fldChar w:fldCharType="begin"/>
      </w:r>
      <w:r w:rsidRPr="00196795">
        <w:rPr>
          <w:rFonts w:ascii="Cambria" w:hAnsi="Cambria"/>
          <w:b/>
          <w:sz w:val="20"/>
          <w:szCs w:val="20"/>
          <w:lang w:val="es-ES_tradnl"/>
        </w:rPr>
        <w:instrText xml:space="preserve"> TOC \o "1-2" </w:instrText>
      </w:r>
      <w:r w:rsidRPr="00196795">
        <w:rPr>
          <w:rFonts w:ascii="Cambria" w:hAnsi="Cambria"/>
          <w:b/>
          <w:sz w:val="20"/>
          <w:szCs w:val="20"/>
          <w:lang w:val="es-ES_tradnl"/>
        </w:rPr>
        <w:fldChar w:fldCharType="separate"/>
      </w:r>
      <w:r w:rsidRPr="0074104D">
        <w:rPr>
          <w:rFonts w:ascii="Cambria" w:hAnsi="Cambria"/>
          <w:noProof/>
          <w:sz w:val="20"/>
          <w:szCs w:val="20"/>
          <w:lang w:val="es-US"/>
        </w:rPr>
        <w:t>I.</w:t>
      </w:r>
      <w:r w:rsidRPr="0074104D">
        <w:rPr>
          <w:rFonts w:ascii="Cambria" w:eastAsiaTheme="minorEastAsia" w:hAnsi="Cambria" w:cstheme="minorBidi"/>
          <w:noProof/>
          <w:sz w:val="20"/>
          <w:szCs w:val="20"/>
          <w:bdr w:val="none" w:sz="0" w:space="0" w:color="auto"/>
          <w:lang w:val="es-US" w:eastAsia="ja-JP"/>
        </w:rPr>
        <w:tab/>
      </w:r>
      <w:r w:rsidRPr="0074104D">
        <w:rPr>
          <w:rFonts w:ascii="Cambria" w:hAnsi="Cambria"/>
          <w:noProof/>
          <w:sz w:val="20"/>
          <w:szCs w:val="20"/>
          <w:lang w:val="es-US"/>
        </w:rPr>
        <w:t>INTRODUCCIÓN</w:t>
      </w:r>
      <w:r w:rsidRPr="0074104D">
        <w:rPr>
          <w:rFonts w:ascii="Cambria" w:hAnsi="Cambria"/>
          <w:noProof/>
          <w:sz w:val="20"/>
          <w:szCs w:val="20"/>
          <w:lang w:val="es-US"/>
        </w:rPr>
        <w:tab/>
      </w:r>
      <w:r w:rsidRPr="00196795">
        <w:rPr>
          <w:rFonts w:ascii="Cambria" w:hAnsi="Cambria"/>
          <w:noProof/>
          <w:sz w:val="20"/>
          <w:szCs w:val="20"/>
        </w:rPr>
        <w:fldChar w:fldCharType="begin"/>
      </w:r>
      <w:r w:rsidRPr="0074104D">
        <w:rPr>
          <w:rFonts w:ascii="Cambria" w:hAnsi="Cambria"/>
          <w:noProof/>
          <w:sz w:val="20"/>
          <w:szCs w:val="20"/>
          <w:lang w:val="es-US"/>
        </w:rPr>
        <w:instrText xml:space="preserve"> PAGEREF _Toc470165128 \h </w:instrText>
      </w:r>
      <w:r w:rsidRPr="00196795">
        <w:rPr>
          <w:rFonts w:ascii="Cambria" w:hAnsi="Cambria"/>
          <w:noProof/>
          <w:sz w:val="20"/>
          <w:szCs w:val="20"/>
        </w:rPr>
      </w:r>
      <w:r w:rsidRPr="00196795">
        <w:rPr>
          <w:rFonts w:ascii="Cambria" w:hAnsi="Cambria"/>
          <w:noProof/>
          <w:sz w:val="20"/>
          <w:szCs w:val="20"/>
        </w:rPr>
        <w:fldChar w:fldCharType="separate"/>
      </w:r>
      <w:r w:rsidR="000C52BE">
        <w:rPr>
          <w:rFonts w:ascii="Cambria" w:hAnsi="Cambria"/>
          <w:noProof/>
          <w:sz w:val="20"/>
          <w:szCs w:val="20"/>
          <w:lang w:val="es-US"/>
        </w:rPr>
        <w:t>2</w:t>
      </w:r>
      <w:r w:rsidRPr="00196795">
        <w:rPr>
          <w:rFonts w:ascii="Cambria" w:hAnsi="Cambria"/>
          <w:noProof/>
          <w:sz w:val="20"/>
          <w:szCs w:val="20"/>
        </w:rPr>
        <w:fldChar w:fldCharType="end"/>
      </w:r>
    </w:p>
    <w:p w14:paraId="7005117C" w14:textId="77777777" w:rsidR="00196795" w:rsidRPr="0074104D" w:rsidRDefault="00196795" w:rsidP="00196795">
      <w:pPr>
        <w:pStyle w:val="TOC1"/>
        <w:rPr>
          <w:rFonts w:ascii="Cambria" w:hAnsi="Cambria"/>
          <w:noProof/>
          <w:sz w:val="20"/>
          <w:szCs w:val="20"/>
          <w:lang w:val="es-US"/>
        </w:rPr>
      </w:pPr>
    </w:p>
    <w:p w14:paraId="38D6780F" w14:textId="707F3032" w:rsidR="00196795" w:rsidRPr="0074104D" w:rsidRDefault="00196795" w:rsidP="00196795">
      <w:pPr>
        <w:pStyle w:val="TOC1"/>
        <w:rPr>
          <w:rFonts w:ascii="Cambria" w:eastAsiaTheme="minorEastAsia" w:hAnsi="Cambria" w:cstheme="minorBidi"/>
          <w:noProof/>
          <w:sz w:val="20"/>
          <w:szCs w:val="20"/>
          <w:bdr w:val="none" w:sz="0" w:space="0" w:color="auto"/>
          <w:lang w:val="es-US" w:eastAsia="ja-JP"/>
        </w:rPr>
      </w:pPr>
      <w:r w:rsidRPr="0074104D">
        <w:rPr>
          <w:rFonts w:ascii="Cambria" w:hAnsi="Cambria"/>
          <w:noProof/>
          <w:sz w:val="20"/>
          <w:szCs w:val="20"/>
          <w:lang w:val="es-US"/>
        </w:rPr>
        <w:t>II.</w:t>
      </w:r>
      <w:r w:rsidRPr="0074104D">
        <w:rPr>
          <w:rFonts w:ascii="Cambria" w:eastAsiaTheme="minorEastAsia" w:hAnsi="Cambria" w:cstheme="minorBidi"/>
          <w:noProof/>
          <w:sz w:val="20"/>
          <w:szCs w:val="20"/>
          <w:bdr w:val="none" w:sz="0" w:space="0" w:color="auto"/>
          <w:lang w:val="es-US" w:eastAsia="ja-JP"/>
        </w:rPr>
        <w:tab/>
      </w:r>
      <w:r w:rsidRPr="0074104D">
        <w:rPr>
          <w:rFonts w:ascii="Cambria" w:hAnsi="Cambria"/>
          <w:noProof/>
          <w:sz w:val="20"/>
          <w:szCs w:val="20"/>
          <w:lang w:val="es-US"/>
        </w:rPr>
        <w:t>ALEGATOS DE LAS PARTES</w:t>
      </w:r>
      <w:r w:rsidRPr="0074104D">
        <w:rPr>
          <w:rFonts w:ascii="Cambria" w:hAnsi="Cambria"/>
          <w:noProof/>
          <w:sz w:val="20"/>
          <w:szCs w:val="20"/>
          <w:lang w:val="es-US"/>
        </w:rPr>
        <w:tab/>
      </w:r>
      <w:r w:rsidRPr="00196795">
        <w:rPr>
          <w:rFonts w:ascii="Cambria" w:hAnsi="Cambria"/>
          <w:noProof/>
          <w:sz w:val="20"/>
          <w:szCs w:val="20"/>
        </w:rPr>
        <w:fldChar w:fldCharType="begin"/>
      </w:r>
      <w:r w:rsidRPr="0074104D">
        <w:rPr>
          <w:rFonts w:ascii="Cambria" w:hAnsi="Cambria"/>
          <w:noProof/>
          <w:sz w:val="20"/>
          <w:szCs w:val="20"/>
          <w:lang w:val="es-US"/>
        </w:rPr>
        <w:instrText xml:space="preserve"> PAGEREF _Toc470165129 \h </w:instrText>
      </w:r>
      <w:r w:rsidRPr="00196795">
        <w:rPr>
          <w:rFonts w:ascii="Cambria" w:hAnsi="Cambria"/>
          <w:noProof/>
          <w:sz w:val="20"/>
          <w:szCs w:val="20"/>
        </w:rPr>
      </w:r>
      <w:r w:rsidRPr="00196795">
        <w:rPr>
          <w:rFonts w:ascii="Cambria" w:hAnsi="Cambria"/>
          <w:noProof/>
          <w:sz w:val="20"/>
          <w:szCs w:val="20"/>
        </w:rPr>
        <w:fldChar w:fldCharType="separate"/>
      </w:r>
      <w:r w:rsidR="000C52BE">
        <w:rPr>
          <w:rFonts w:ascii="Cambria" w:hAnsi="Cambria"/>
          <w:noProof/>
          <w:sz w:val="20"/>
          <w:szCs w:val="20"/>
          <w:lang w:val="es-US"/>
        </w:rPr>
        <w:t>2</w:t>
      </w:r>
      <w:r w:rsidRPr="00196795">
        <w:rPr>
          <w:rFonts w:ascii="Cambria" w:hAnsi="Cambria"/>
          <w:noProof/>
          <w:sz w:val="20"/>
          <w:szCs w:val="20"/>
        </w:rPr>
        <w:fldChar w:fldCharType="end"/>
      </w:r>
    </w:p>
    <w:p w14:paraId="16C8A946" w14:textId="06F4D93E" w:rsidR="00196795" w:rsidRPr="0074104D" w:rsidRDefault="00196795" w:rsidP="00196795">
      <w:pPr>
        <w:pStyle w:val="TOC2"/>
        <w:tabs>
          <w:tab w:val="left" w:pos="1193"/>
        </w:tabs>
        <w:jc w:val="both"/>
        <w:rPr>
          <w:rFonts w:ascii="Cambria" w:eastAsiaTheme="minorEastAsia" w:hAnsi="Cambria" w:cstheme="minorBidi"/>
          <w:noProof/>
          <w:sz w:val="20"/>
          <w:szCs w:val="20"/>
          <w:bdr w:val="none" w:sz="0" w:space="0" w:color="auto"/>
          <w:lang w:val="es-US" w:eastAsia="ja-JP"/>
        </w:rPr>
      </w:pPr>
      <w:r w:rsidRPr="0074104D">
        <w:rPr>
          <w:rFonts w:ascii="Cambria" w:hAnsi="Cambria"/>
          <w:noProof/>
          <w:sz w:val="20"/>
          <w:szCs w:val="20"/>
          <w:lang w:val="es-US"/>
        </w:rPr>
        <w:t>A.</w:t>
      </w:r>
      <w:r w:rsidRPr="0074104D">
        <w:rPr>
          <w:rFonts w:ascii="Cambria" w:eastAsiaTheme="minorEastAsia" w:hAnsi="Cambria" w:cstheme="minorBidi"/>
          <w:noProof/>
          <w:sz w:val="20"/>
          <w:szCs w:val="20"/>
          <w:bdr w:val="none" w:sz="0" w:space="0" w:color="auto"/>
          <w:lang w:val="es-US" w:eastAsia="ja-JP"/>
        </w:rPr>
        <w:tab/>
      </w:r>
      <w:r w:rsidRPr="0074104D">
        <w:rPr>
          <w:rFonts w:ascii="Cambria" w:hAnsi="Cambria"/>
          <w:noProof/>
          <w:sz w:val="20"/>
          <w:szCs w:val="20"/>
          <w:lang w:val="es-US"/>
        </w:rPr>
        <w:t>Parte peticionaria</w:t>
      </w:r>
      <w:r w:rsidRPr="0074104D">
        <w:rPr>
          <w:rFonts w:ascii="Cambria" w:hAnsi="Cambria"/>
          <w:noProof/>
          <w:sz w:val="20"/>
          <w:szCs w:val="20"/>
          <w:lang w:val="es-US"/>
        </w:rPr>
        <w:tab/>
      </w:r>
      <w:r w:rsidRPr="00196795">
        <w:rPr>
          <w:rFonts w:ascii="Cambria" w:hAnsi="Cambria"/>
          <w:noProof/>
          <w:sz w:val="20"/>
          <w:szCs w:val="20"/>
        </w:rPr>
        <w:fldChar w:fldCharType="begin"/>
      </w:r>
      <w:r w:rsidRPr="0074104D">
        <w:rPr>
          <w:rFonts w:ascii="Cambria" w:hAnsi="Cambria"/>
          <w:noProof/>
          <w:sz w:val="20"/>
          <w:szCs w:val="20"/>
          <w:lang w:val="es-US"/>
        </w:rPr>
        <w:instrText xml:space="preserve"> PAGEREF _Toc470165130 \h </w:instrText>
      </w:r>
      <w:r w:rsidRPr="00196795">
        <w:rPr>
          <w:rFonts w:ascii="Cambria" w:hAnsi="Cambria"/>
          <w:noProof/>
          <w:sz w:val="20"/>
          <w:szCs w:val="20"/>
        </w:rPr>
      </w:r>
      <w:r w:rsidRPr="00196795">
        <w:rPr>
          <w:rFonts w:ascii="Cambria" w:hAnsi="Cambria"/>
          <w:noProof/>
          <w:sz w:val="20"/>
          <w:szCs w:val="20"/>
        </w:rPr>
        <w:fldChar w:fldCharType="separate"/>
      </w:r>
      <w:r w:rsidR="000C52BE">
        <w:rPr>
          <w:rFonts w:ascii="Cambria" w:hAnsi="Cambria"/>
          <w:noProof/>
          <w:sz w:val="20"/>
          <w:szCs w:val="20"/>
          <w:lang w:val="es-US"/>
        </w:rPr>
        <w:t>2</w:t>
      </w:r>
      <w:r w:rsidRPr="00196795">
        <w:rPr>
          <w:rFonts w:ascii="Cambria" w:hAnsi="Cambria"/>
          <w:noProof/>
          <w:sz w:val="20"/>
          <w:szCs w:val="20"/>
        </w:rPr>
        <w:fldChar w:fldCharType="end"/>
      </w:r>
    </w:p>
    <w:p w14:paraId="2B12A365" w14:textId="58EF04A0" w:rsidR="00196795" w:rsidRPr="0074104D" w:rsidRDefault="00196795" w:rsidP="00196795">
      <w:pPr>
        <w:pStyle w:val="TOC2"/>
        <w:tabs>
          <w:tab w:val="left" w:pos="1180"/>
        </w:tabs>
        <w:jc w:val="both"/>
        <w:rPr>
          <w:rFonts w:ascii="Cambria" w:eastAsiaTheme="minorEastAsia" w:hAnsi="Cambria" w:cstheme="minorBidi"/>
          <w:noProof/>
          <w:sz w:val="20"/>
          <w:szCs w:val="20"/>
          <w:bdr w:val="none" w:sz="0" w:space="0" w:color="auto"/>
          <w:lang w:val="es-US" w:eastAsia="ja-JP"/>
        </w:rPr>
      </w:pPr>
      <w:r w:rsidRPr="0074104D">
        <w:rPr>
          <w:rFonts w:ascii="Cambria" w:hAnsi="Cambria"/>
          <w:noProof/>
          <w:sz w:val="20"/>
          <w:szCs w:val="20"/>
          <w:lang w:val="es-US"/>
        </w:rPr>
        <w:t>B.</w:t>
      </w:r>
      <w:r w:rsidRPr="0074104D">
        <w:rPr>
          <w:rFonts w:ascii="Cambria" w:eastAsiaTheme="minorEastAsia" w:hAnsi="Cambria" w:cstheme="minorBidi"/>
          <w:noProof/>
          <w:sz w:val="20"/>
          <w:szCs w:val="20"/>
          <w:bdr w:val="none" w:sz="0" w:space="0" w:color="auto"/>
          <w:lang w:val="es-US" w:eastAsia="ja-JP"/>
        </w:rPr>
        <w:tab/>
      </w:r>
      <w:r w:rsidRPr="0074104D">
        <w:rPr>
          <w:rFonts w:ascii="Cambria" w:hAnsi="Cambria"/>
          <w:noProof/>
          <w:sz w:val="20"/>
          <w:szCs w:val="20"/>
          <w:lang w:val="es-US"/>
        </w:rPr>
        <w:t>Estado</w:t>
      </w:r>
      <w:r w:rsidRPr="0074104D">
        <w:rPr>
          <w:rFonts w:ascii="Cambria" w:hAnsi="Cambria"/>
          <w:noProof/>
          <w:sz w:val="20"/>
          <w:szCs w:val="20"/>
          <w:lang w:val="es-US"/>
        </w:rPr>
        <w:tab/>
      </w:r>
      <w:r w:rsidRPr="00196795">
        <w:rPr>
          <w:rFonts w:ascii="Cambria" w:hAnsi="Cambria"/>
          <w:noProof/>
          <w:sz w:val="20"/>
          <w:szCs w:val="20"/>
        </w:rPr>
        <w:fldChar w:fldCharType="begin"/>
      </w:r>
      <w:r w:rsidRPr="0074104D">
        <w:rPr>
          <w:rFonts w:ascii="Cambria" w:hAnsi="Cambria"/>
          <w:noProof/>
          <w:sz w:val="20"/>
          <w:szCs w:val="20"/>
          <w:lang w:val="es-US"/>
        </w:rPr>
        <w:instrText xml:space="preserve"> PAGEREF _Toc470165131 \h </w:instrText>
      </w:r>
      <w:r w:rsidRPr="00196795">
        <w:rPr>
          <w:rFonts w:ascii="Cambria" w:hAnsi="Cambria"/>
          <w:noProof/>
          <w:sz w:val="20"/>
          <w:szCs w:val="20"/>
        </w:rPr>
      </w:r>
      <w:r w:rsidRPr="00196795">
        <w:rPr>
          <w:rFonts w:ascii="Cambria" w:hAnsi="Cambria"/>
          <w:noProof/>
          <w:sz w:val="20"/>
          <w:szCs w:val="20"/>
        </w:rPr>
        <w:fldChar w:fldCharType="separate"/>
      </w:r>
      <w:r w:rsidR="000C52BE">
        <w:rPr>
          <w:rFonts w:ascii="Cambria" w:hAnsi="Cambria"/>
          <w:noProof/>
          <w:sz w:val="20"/>
          <w:szCs w:val="20"/>
          <w:lang w:val="es-US"/>
        </w:rPr>
        <w:t>2</w:t>
      </w:r>
      <w:r w:rsidRPr="00196795">
        <w:rPr>
          <w:rFonts w:ascii="Cambria" w:hAnsi="Cambria"/>
          <w:noProof/>
          <w:sz w:val="20"/>
          <w:szCs w:val="20"/>
        </w:rPr>
        <w:fldChar w:fldCharType="end"/>
      </w:r>
    </w:p>
    <w:p w14:paraId="0D7CAF25" w14:textId="77777777" w:rsidR="00196795" w:rsidRPr="0074104D" w:rsidRDefault="00196795" w:rsidP="00196795">
      <w:pPr>
        <w:pStyle w:val="TOC1"/>
        <w:rPr>
          <w:rFonts w:ascii="Cambria" w:hAnsi="Cambria"/>
          <w:noProof/>
          <w:sz w:val="20"/>
          <w:szCs w:val="20"/>
          <w:lang w:val="es-US"/>
        </w:rPr>
      </w:pPr>
    </w:p>
    <w:p w14:paraId="05131FAE" w14:textId="3676C9E7" w:rsidR="00196795" w:rsidRPr="0074104D" w:rsidRDefault="00196795" w:rsidP="00196795">
      <w:pPr>
        <w:pStyle w:val="TOC1"/>
        <w:rPr>
          <w:rFonts w:ascii="Cambria" w:eastAsiaTheme="minorEastAsia" w:hAnsi="Cambria" w:cstheme="minorBidi"/>
          <w:noProof/>
          <w:sz w:val="20"/>
          <w:szCs w:val="20"/>
          <w:bdr w:val="none" w:sz="0" w:space="0" w:color="auto"/>
          <w:lang w:val="es-US" w:eastAsia="ja-JP"/>
        </w:rPr>
      </w:pPr>
      <w:r w:rsidRPr="0074104D">
        <w:rPr>
          <w:rFonts w:ascii="Cambria" w:hAnsi="Cambria"/>
          <w:noProof/>
          <w:sz w:val="20"/>
          <w:szCs w:val="20"/>
          <w:lang w:val="es-US"/>
        </w:rPr>
        <w:t>III.</w:t>
      </w:r>
      <w:r w:rsidRPr="0074104D">
        <w:rPr>
          <w:rFonts w:ascii="Cambria" w:eastAsiaTheme="minorEastAsia" w:hAnsi="Cambria" w:cstheme="minorBidi"/>
          <w:noProof/>
          <w:sz w:val="20"/>
          <w:szCs w:val="20"/>
          <w:bdr w:val="none" w:sz="0" w:space="0" w:color="auto"/>
          <w:lang w:val="es-US" w:eastAsia="ja-JP"/>
        </w:rPr>
        <w:tab/>
      </w:r>
      <w:r w:rsidRPr="0074104D">
        <w:rPr>
          <w:rFonts w:ascii="Cambria" w:hAnsi="Cambria"/>
          <w:noProof/>
          <w:sz w:val="20"/>
          <w:szCs w:val="20"/>
          <w:lang w:val="es-US"/>
        </w:rPr>
        <w:t>DETERMINACIONES DE HECHO</w:t>
      </w:r>
      <w:r w:rsidRPr="0074104D">
        <w:rPr>
          <w:rFonts w:ascii="Cambria" w:hAnsi="Cambria"/>
          <w:noProof/>
          <w:sz w:val="20"/>
          <w:szCs w:val="20"/>
          <w:lang w:val="es-US"/>
        </w:rPr>
        <w:tab/>
      </w:r>
      <w:r w:rsidRPr="00196795">
        <w:rPr>
          <w:rFonts w:ascii="Cambria" w:hAnsi="Cambria"/>
          <w:noProof/>
          <w:sz w:val="20"/>
          <w:szCs w:val="20"/>
        </w:rPr>
        <w:fldChar w:fldCharType="begin"/>
      </w:r>
      <w:r w:rsidRPr="0074104D">
        <w:rPr>
          <w:rFonts w:ascii="Cambria" w:hAnsi="Cambria"/>
          <w:noProof/>
          <w:sz w:val="20"/>
          <w:szCs w:val="20"/>
          <w:lang w:val="es-US"/>
        </w:rPr>
        <w:instrText xml:space="preserve"> PAGEREF _Toc470165132 \h </w:instrText>
      </w:r>
      <w:r w:rsidRPr="00196795">
        <w:rPr>
          <w:rFonts w:ascii="Cambria" w:hAnsi="Cambria"/>
          <w:noProof/>
          <w:sz w:val="20"/>
          <w:szCs w:val="20"/>
        </w:rPr>
      </w:r>
      <w:r w:rsidRPr="00196795">
        <w:rPr>
          <w:rFonts w:ascii="Cambria" w:hAnsi="Cambria"/>
          <w:noProof/>
          <w:sz w:val="20"/>
          <w:szCs w:val="20"/>
        </w:rPr>
        <w:fldChar w:fldCharType="separate"/>
      </w:r>
      <w:r w:rsidR="000C52BE">
        <w:rPr>
          <w:rFonts w:ascii="Cambria" w:hAnsi="Cambria"/>
          <w:noProof/>
          <w:sz w:val="20"/>
          <w:szCs w:val="20"/>
          <w:lang w:val="es-US"/>
        </w:rPr>
        <w:t>3</w:t>
      </w:r>
      <w:r w:rsidRPr="00196795">
        <w:rPr>
          <w:rFonts w:ascii="Cambria" w:hAnsi="Cambria"/>
          <w:noProof/>
          <w:sz w:val="20"/>
          <w:szCs w:val="20"/>
        </w:rPr>
        <w:fldChar w:fldCharType="end"/>
      </w:r>
    </w:p>
    <w:p w14:paraId="2226251D" w14:textId="77777777" w:rsidR="00196795" w:rsidRPr="0074104D" w:rsidRDefault="00196795" w:rsidP="00196795">
      <w:pPr>
        <w:pStyle w:val="TOC1"/>
        <w:rPr>
          <w:rFonts w:ascii="Cambria" w:hAnsi="Cambria"/>
          <w:noProof/>
          <w:sz w:val="20"/>
          <w:szCs w:val="20"/>
          <w:lang w:val="es-US"/>
        </w:rPr>
      </w:pPr>
    </w:p>
    <w:p w14:paraId="49B2FC59" w14:textId="6FB01EB4" w:rsidR="00196795" w:rsidRPr="0074104D" w:rsidRDefault="00196795" w:rsidP="00196795">
      <w:pPr>
        <w:pStyle w:val="TOC1"/>
        <w:rPr>
          <w:rFonts w:ascii="Cambria" w:eastAsiaTheme="minorEastAsia" w:hAnsi="Cambria" w:cstheme="minorBidi"/>
          <w:noProof/>
          <w:sz w:val="20"/>
          <w:szCs w:val="20"/>
          <w:bdr w:val="none" w:sz="0" w:space="0" w:color="auto"/>
          <w:lang w:val="es-US" w:eastAsia="ja-JP"/>
        </w:rPr>
      </w:pPr>
      <w:r w:rsidRPr="0074104D">
        <w:rPr>
          <w:rFonts w:ascii="Cambria" w:hAnsi="Cambria"/>
          <w:noProof/>
          <w:sz w:val="20"/>
          <w:szCs w:val="20"/>
          <w:lang w:val="es-US"/>
        </w:rPr>
        <w:t>IV.</w:t>
      </w:r>
      <w:r w:rsidRPr="0074104D">
        <w:rPr>
          <w:rFonts w:ascii="Cambria" w:eastAsiaTheme="minorEastAsia" w:hAnsi="Cambria" w:cstheme="minorBidi"/>
          <w:noProof/>
          <w:sz w:val="20"/>
          <w:szCs w:val="20"/>
          <w:bdr w:val="none" w:sz="0" w:space="0" w:color="auto"/>
          <w:lang w:val="es-US" w:eastAsia="ja-JP"/>
        </w:rPr>
        <w:tab/>
      </w:r>
      <w:r w:rsidRPr="0074104D">
        <w:rPr>
          <w:rFonts w:ascii="Cambria" w:hAnsi="Cambria"/>
          <w:noProof/>
          <w:sz w:val="20"/>
          <w:szCs w:val="20"/>
          <w:lang w:val="es-US"/>
        </w:rPr>
        <w:t>ANÁLISIS DE DERECHO</w:t>
      </w:r>
      <w:r w:rsidRPr="0074104D">
        <w:rPr>
          <w:rFonts w:ascii="Cambria" w:hAnsi="Cambria"/>
          <w:noProof/>
          <w:sz w:val="20"/>
          <w:szCs w:val="20"/>
          <w:lang w:val="es-US"/>
        </w:rPr>
        <w:tab/>
      </w:r>
      <w:r w:rsidRPr="00196795">
        <w:rPr>
          <w:rFonts w:ascii="Cambria" w:hAnsi="Cambria"/>
          <w:noProof/>
          <w:sz w:val="20"/>
          <w:szCs w:val="20"/>
        </w:rPr>
        <w:fldChar w:fldCharType="begin"/>
      </w:r>
      <w:r w:rsidRPr="0074104D">
        <w:rPr>
          <w:rFonts w:ascii="Cambria" w:hAnsi="Cambria"/>
          <w:noProof/>
          <w:sz w:val="20"/>
          <w:szCs w:val="20"/>
          <w:lang w:val="es-US"/>
        </w:rPr>
        <w:instrText xml:space="preserve"> PAGEREF _Toc470165133 \h </w:instrText>
      </w:r>
      <w:r w:rsidRPr="00196795">
        <w:rPr>
          <w:rFonts w:ascii="Cambria" w:hAnsi="Cambria"/>
          <w:noProof/>
          <w:sz w:val="20"/>
          <w:szCs w:val="20"/>
        </w:rPr>
      </w:r>
      <w:r w:rsidRPr="00196795">
        <w:rPr>
          <w:rFonts w:ascii="Cambria" w:hAnsi="Cambria"/>
          <w:noProof/>
          <w:sz w:val="20"/>
          <w:szCs w:val="20"/>
        </w:rPr>
        <w:fldChar w:fldCharType="separate"/>
      </w:r>
      <w:r w:rsidR="000C52BE">
        <w:rPr>
          <w:rFonts w:ascii="Cambria" w:hAnsi="Cambria"/>
          <w:noProof/>
          <w:sz w:val="20"/>
          <w:szCs w:val="20"/>
          <w:lang w:val="es-US"/>
        </w:rPr>
        <w:t>7</w:t>
      </w:r>
      <w:r w:rsidRPr="00196795">
        <w:rPr>
          <w:rFonts w:ascii="Cambria" w:hAnsi="Cambria"/>
          <w:noProof/>
          <w:sz w:val="20"/>
          <w:szCs w:val="20"/>
        </w:rPr>
        <w:fldChar w:fldCharType="end"/>
      </w:r>
    </w:p>
    <w:p w14:paraId="7287CDA0" w14:textId="7F187277" w:rsidR="00196795" w:rsidRPr="0074104D" w:rsidRDefault="00196795" w:rsidP="00196795">
      <w:pPr>
        <w:pStyle w:val="TOC2"/>
        <w:tabs>
          <w:tab w:val="left" w:pos="1193"/>
        </w:tabs>
        <w:jc w:val="both"/>
        <w:rPr>
          <w:rFonts w:ascii="Cambria" w:eastAsiaTheme="minorEastAsia" w:hAnsi="Cambria" w:cstheme="minorBidi"/>
          <w:noProof/>
          <w:sz w:val="20"/>
          <w:szCs w:val="20"/>
          <w:bdr w:val="none" w:sz="0" w:space="0" w:color="auto"/>
          <w:lang w:val="es-US" w:eastAsia="ja-JP"/>
        </w:rPr>
      </w:pPr>
      <w:r w:rsidRPr="0074104D">
        <w:rPr>
          <w:rFonts w:ascii="Cambria" w:hAnsi="Cambria"/>
          <w:noProof/>
          <w:sz w:val="20"/>
          <w:szCs w:val="20"/>
          <w:lang w:val="es-US"/>
        </w:rPr>
        <w:t>A.</w:t>
      </w:r>
      <w:r w:rsidRPr="0074104D">
        <w:rPr>
          <w:rFonts w:ascii="Cambria" w:eastAsiaTheme="minorEastAsia" w:hAnsi="Cambria" w:cstheme="minorBidi"/>
          <w:noProof/>
          <w:sz w:val="20"/>
          <w:szCs w:val="20"/>
          <w:bdr w:val="none" w:sz="0" w:space="0" w:color="auto"/>
          <w:lang w:val="es-US" w:eastAsia="ja-JP"/>
        </w:rPr>
        <w:tab/>
      </w:r>
      <w:r w:rsidRPr="0074104D">
        <w:rPr>
          <w:rFonts w:ascii="Cambria" w:hAnsi="Cambria"/>
          <w:noProof/>
          <w:sz w:val="20"/>
          <w:szCs w:val="20"/>
          <w:lang w:val="es-US"/>
        </w:rPr>
        <w:t>Derecho a las garantías judiciales y protección judicial (artículos 8.1, 8.2, 8.2.h y 25.1 de la Convención Americana en relación con los artículos 1.1 y 2 del mismo instrumento)</w:t>
      </w:r>
      <w:r w:rsidRPr="0074104D">
        <w:rPr>
          <w:rFonts w:ascii="Cambria" w:hAnsi="Cambria"/>
          <w:noProof/>
          <w:sz w:val="20"/>
          <w:szCs w:val="20"/>
          <w:lang w:val="es-US"/>
        </w:rPr>
        <w:tab/>
      </w:r>
      <w:r w:rsidRPr="00196795">
        <w:rPr>
          <w:rFonts w:ascii="Cambria" w:hAnsi="Cambria"/>
          <w:noProof/>
          <w:sz w:val="20"/>
          <w:szCs w:val="20"/>
        </w:rPr>
        <w:fldChar w:fldCharType="begin"/>
      </w:r>
      <w:r w:rsidRPr="0074104D">
        <w:rPr>
          <w:rFonts w:ascii="Cambria" w:hAnsi="Cambria"/>
          <w:noProof/>
          <w:sz w:val="20"/>
          <w:szCs w:val="20"/>
          <w:lang w:val="es-US"/>
        </w:rPr>
        <w:instrText xml:space="preserve"> PAGEREF _Toc470165134 \h </w:instrText>
      </w:r>
      <w:r w:rsidRPr="00196795">
        <w:rPr>
          <w:rFonts w:ascii="Cambria" w:hAnsi="Cambria"/>
          <w:noProof/>
          <w:sz w:val="20"/>
          <w:szCs w:val="20"/>
        </w:rPr>
      </w:r>
      <w:r w:rsidRPr="00196795">
        <w:rPr>
          <w:rFonts w:ascii="Cambria" w:hAnsi="Cambria"/>
          <w:noProof/>
          <w:sz w:val="20"/>
          <w:szCs w:val="20"/>
        </w:rPr>
        <w:fldChar w:fldCharType="separate"/>
      </w:r>
      <w:r w:rsidR="000C52BE">
        <w:rPr>
          <w:rFonts w:ascii="Cambria" w:hAnsi="Cambria"/>
          <w:noProof/>
          <w:sz w:val="20"/>
          <w:szCs w:val="20"/>
          <w:lang w:val="es-US"/>
        </w:rPr>
        <w:t>7</w:t>
      </w:r>
      <w:r w:rsidRPr="00196795">
        <w:rPr>
          <w:rFonts w:ascii="Cambria" w:hAnsi="Cambria"/>
          <w:noProof/>
          <w:sz w:val="20"/>
          <w:szCs w:val="20"/>
        </w:rPr>
        <w:fldChar w:fldCharType="end"/>
      </w:r>
    </w:p>
    <w:p w14:paraId="5EE87786" w14:textId="6C7E402D" w:rsidR="00196795" w:rsidRPr="0074104D" w:rsidRDefault="00196795" w:rsidP="00196795">
      <w:pPr>
        <w:pStyle w:val="TOC2"/>
        <w:tabs>
          <w:tab w:val="left" w:pos="1200"/>
        </w:tabs>
        <w:jc w:val="both"/>
        <w:rPr>
          <w:rFonts w:ascii="Cambria" w:eastAsiaTheme="minorEastAsia" w:hAnsi="Cambria" w:cstheme="minorBidi"/>
          <w:noProof/>
          <w:sz w:val="20"/>
          <w:szCs w:val="20"/>
          <w:bdr w:val="none" w:sz="0" w:space="0" w:color="auto"/>
          <w:lang w:val="es-US" w:eastAsia="ja-JP"/>
        </w:rPr>
      </w:pPr>
      <w:r w:rsidRPr="0074104D">
        <w:rPr>
          <w:rFonts w:ascii="Cambria" w:hAnsi="Cambria"/>
          <w:noProof/>
          <w:sz w:val="20"/>
          <w:szCs w:val="20"/>
          <w:lang w:val="es-US"/>
        </w:rPr>
        <w:t xml:space="preserve">1. </w:t>
      </w:r>
      <w:r w:rsidRPr="0074104D">
        <w:rPr>
          <w:rFonts w:ascii="Cambria" w:eastAsiaTheme="minorEastAsia" w:hAnsi="Cambria" w:cstheme="minorBidi"/>
          <w:noProof/>
          <w:sz w:val="20"/>
          <w:szCs w:val="20"/>
          <w:bdr w:val="none" w:sz="0" w:space="0" w:color="auto"/>
          <w:lang w:val="es-US" w:eastAsia="ja-JP"/>
        </w:rPr>
        <w:tab/>
      </w:r>
      <w:r w:rsidRPr="0074104D">
        <w:rPr>
          <w:rFonts w:ascii="Cambria" w:hAnsi="Cambria"/>
          <w:noProof/>
          <w:sz w:val="20"/>
          <w:szCs w:val="20"/>
          <w:lang w:val="es-US"/>
        </w:rPr>
        <w:t>Derecho de recurrir del fallo ante juez o tribunal superior, y derecho a la protección judicial</w:t>
      </w:r>
      <w:r w:rsidRPr="0074104D">
        <w:rPr>
          <w:rFonts w:ascii="Cambria" w:hAnsi="Cambria"/>
          <w:noProof/>
          <w:sz w:val="20"/>
          <w:szCs w:val="20"/>
          <w:lang w:val="es-US"/>
        </w:rPr>
        <w:tab/>
      </w:r>
      <w:r w:rsidRPr="00196795">
        <w:rPr>
          <w:rFonts w:ascii="Cambria" w:hAnsi="Cambria"/>
          <w:noProof/>
          <w:sz w:val="20"/>
          <w:szCs w:val="20"/>
        </w:rPr>
        <w:fldChar w:fldCharType="begin"/>
      </w:r>
      <w:r w:rsidRPr="0074104D">
        <w:rPr>
          <w:rFonts w:ascii="Cambria" w:hAnsi="Cambria"/>
          <w:noProof/>
          <w:sz w:val="20"/>
          <w:szCs w:val="20"/>
          <w:lang w:val="es-US"/>
        </w:rPr>
        <w:instrText xml:space="preserve"> PAGEREF _Toc470165135 \h </w:instrText>
      </w:r>
      <w:r w:rsidRPr="00196795">
        <w:rPr>
          <w:rFonts w:ascii="Cambria" w:hAnsi="Cambria"/>
          <w:noProof/>
          <w:sz w:val="20"/>
          <w:szCs w:val="20"/>
        </w:rPr>
      </w:r>
      <w:r w:rsidRPr="00196795">
        <w:rPr>
          <w:rFonts w:ascii="Cambria" w:hAnsi="Cambria"/>
          <w:noProof/>
          <w:sz w:val="20"/>
          <w:szCs w:val="20"/>
        </w:rPr>
        <w:fldChar w:fldCharType="separate"/>
      </w:r>
      <w:r w:rsidR="000C52BE">
        <w:rPr>
          <w:rFonts w:ascii="Cambria" w:hAnsi="Cambria"/>
          <w:noProof/>
          <w:sz w:val="20"/>
          <w:szCs w:val="20"/>
          <w:lang w:val="es-US"/>
        </w:rPr>
        <w:t>7</w:t>
      </w:r>
      <w:r w:rsidRPr="00196795">
        <w:rPr>
          <w:rFonts w:ascii="Cambria" w:hAnsi="Cambria"/>
          <w:noProof/>
          <w:sz w:val="20"/>
          <w:szCs w:val="20"/>
        </w:rPr>
        <w:fldChar w:fldCharType="end"/>
      </w:r>
    </w:p>
    <w:p w14:paraId="173E2806" w14:textId="01ABF287" w:rsidR="00196795" w:rsidRPr="0074104D" w:rsidRDefault="00196795" w:rsidP="00196795">
      <w:pPr>
        <w:pStyle w:val="TOC2"/>
        <w:tabs>
          <w:tab w:val="left" w:pos="1200"/>
        </w:tabs>
        <w:jc w:val="both"/>
        <w:rPr>
          <w:rFonts w:ascii="Cambria" w:eastAsiaTheme="minorEastAsia" w:hAnsi="Cambria" w:cstheme="minorBidi"/>
          <w:noProof/>
          <w:sz w:val="20"/>
          <w:szCs w:val="20"/>
          <w:bdr w:val="none" w:sz="0" w:space="0" w:color="auto"/>
          <w:lang w:val="es-US" w:eastAsia="ja-JP"/>
        </w:rPr>
      </w:pPr>
      <w:r w:rsidRPr="0074104D">
        <w:rPr>
          <w:rFonts w:ascii="Cambria" w:hAnsi="Cambria"/>
          <w:noProof/>
          <w:sz w:val="20"/>
          <w:szCs w:val="20"/>
          <w:lang w:val="es-US"/>
        </w:rPr>
        <w:t xml:space="preserve">2. </w:t>
      </w:r>
      <w:r w:rsidRPr="0074104D">
        <w:rPr>
          <w:rFonts w:ascii="Cambria" w:eastAsiaTheme="minorEastAsia" w:hAnsi="Cambria" w:cstheme="minorBidi"/>
          <w:noProof/>
          <w:sz w:val="20"/>
          <w:szCs w:val="20"/>
          <w:bdr w:val="none" w:sz="0" w:space="0" w:color="auto"/>
          <w:lang w:val="es-US" w:eastAsia="ja-JP"/>
        </w:rPr>
        <w:tab/>
      </w:r>
      <w:r w:rsidRPr="0074104D">
        <w:rPr>
          <w:rFonts w:ascii="Cambria" w:hAnsi="Cambria"/>
          <w:noProof/>
          <w:sz w:val="20"/>
          <w:szCs w:val="20"/>
          <w:lang w:val="es-US"/>
        </w:rPr>
        <w:t>Derecho a contar con un juez competente, independiente e imparcial, y derecho a la defensa</w:t>
      </w:r>
      <w:r w:rsidRPr="0074104D">
        <w:rPr>
          <w:rFonts w:ascii="Cambria" w:hAnsi="Cambria"/>
          <w:noProof/>
          <w:sz w:val="20"/>
          <w:szCs w:val="20"/>
          <w:lang w:val="es-US"/>
        </w:rPr>
        <w:tab/>
      </w:r>
      <w:r w:rsidRPr="00196795">
        <w:rPr>
          <w:rFonts w:ascii="Cambria" w:hAnsi="Cambria"/>
          <w:noProof/>
          <w:sz w:val="20"/>
          <w:szCs w:val="20"/>
        </w:rPr>
        <w:fldChar w:fldCharType="begin"/>
      </w:r>
      <w:r w:rsidRPr="0074104D">
        <w:rPr>
          <w:rFonts w:ascii="Cambria" w:hAnsi="Cambria"/>
          <w:noProof/>
          <w:sz w:val="20"/>
          <w:szCs w:val="20"/>
          <w:lang w:val="es-US"/>
        </w:rPr>
        <w:instrText xml:space="preserve"> PAGEREF _Toc470165136 \h </w:instrText>
      </w:r>
      <w:r w:rsidRPr="00196795">
        <w:rPr>
          <w:rFonts w:ascii="Cambria" w:hAnsi="Cambria"/>
          <w:noProof/>
          <w:sz w:val="20"/>
          <w:szCs w:val="20"/>
        </w:rPr>
      </w:r>
      <w:r w:rsidRPr="00196795">
        <w:rPr>
          <w:rFonts w:ascii="Cambria" w:hAnsi="Cambria"/>
          <w:noProof/>
          <w:sz w:val="20"/>
          <w:szCs w:val="20"/>
        </w:rPr>
        <w:fldChar w:fldCharType="separate"/>
      </w:r>
      <w:r w:rsidR="000C52BE">
        <w:rPr>
          <w:rFonts w:ascii="Cambria" w:hAnsi="Cambria"/>
          <w:noProof/>
          <w:sz w:val="20"/>
          <w:szCs w:val="20"/>
          <w:lang w:val="es-US"/>
        </w:rPr>
        <w:t>12</w:t>
      </w:r>
      <w:r w:rsidRPr="00196795">
        <w:rPr>
          <w:rFonts w:ascii="Cambria" w:hAnsi="Cambria"/>
          <w:noProof/>
          <w:sz w:val="20"/>
          <w:szCs w:val="20"/>
        </w:rPr>
        <w:fldChar w:fldCharType="end"/>
      </w:r>
    </w:p>
    <w:p w14:paraId="2C6A991C" w14:textId="77777777" w:rsidR="00196795" w:rsidRPr="0074104D" w:rsidRDefault="00196795" w:rsidP="00196795">
      <w:pPr>
        <w:pStyle w:val="TOC1"/>
        <w:rPr>
          <w:rFonts w:ascii="Cambria" w:hAnsi="Cambria"/>
          <w:noProof/>
          <w:sz w:val="20"/>
          <w:szCs w:val="20"/>
          <w:lang w:val="es-US"/>
        </w:rPr>
      </w:pPr>
    </w:p>
    <w:p w14:paraId="46922793" w14:textId="264A7832" w:rsidR="00196795" w:rsidRPr="00196795" w:rsidRDefault="00196795" w:rsidP="00196795">
      <w:pPr>
        <w:pStyle w:val="TOC1"/>
        <w:rPr>
          <w:rFonts w:ascii="Cambria" w:eastAsiaTheme="minorEastAsia" w:hAnsi="Cambria" w:cstheme="minorBidi"/>
          <w:noProof/>
          <w:sz w:val="20"/>
          <w:szCs w:val="20"/>
          <w:bdr w:val="none" w:sz="0" w:space="0" w:color="auto"/>
          <w:lang w:eastAsia="ja-JP"/>
        </w:rPr>
      </w:pPr>
      <w:r w:rsidRPr="00196795">
        <w:rPr>
          <w:rFonts w:ascii="Cambria" w:hAnsi="Cambria"/>
          <w:noProof/>
          <w:sz w:val="20"/>
          <w:szCs w:val="20"/>
        </w:rPr>
        <w:t>V.</w:t>
      </w:r>
      <w:r w:rsidRPr="00196795">
        <w:rPr>
          <w:rFonts w:ascii="Cambria" w:eastAsiaTheme="minorEastAsia" w:hAnsi="Cambria" w:cstheme="minorBidi"/>
          <w:noProof/>
          <w:sz w:val="20"/>
          <w:szCs w:val="20"/>
          <w:bdr w:val="none" w:sz="0" w:space="0" w:color="auto"/>
          <w:lang w:eastAsia="ja-JP"/>
        </w:rPr>
        <w:tab/>
      </w:r>
      <w:r w:rsidRPr="00196795">
        <w:rPr>
          <w:rFonts w:ascii="Cambria" w:hAnsi="Cambria"/>
          <w:noProof/>
          <w:sz w:val="20"/>
          <w:szCs w:val="20"/>
        </w:rPr>
        <w:t>CONCLUSIONES Y RECOMENDACIONES</w:t>
      </w:r>
      <w:r w:rsidRPr="00196795">
        <w:rPr>
          <w:rFonts w:ascii="Cambria" w:hAnsi="Cambria"/>
          <w:noProof/>
          <w:sz w:val="20"/>
          <w:szCs w:val="20"/>
        </w:rPr>
        <w:tab/>
      </w:r>
      <w:r w:rsidRPr="00196795">
        <w:rPr>
          <w:rFonts w:ascii="Cambria" w:hAnsi="Cambria"/>
          <w:noProof/>
          <w:sz w:val="20"/>
          <w:szCs w:val="20"/>
        </w:rPr>
        <w:fldChar w:fldCharType="begin"/>
      </w:r>
      <w:r w:rsidRPr="00196795">
        <w:rPr>
          <w:rFonts w:ascii="Cambria" w:hAnsi="Cambria"/>
          <w:noProof/>
          <w:sz w:val="20"/>
          <w:szCs w:val="20"/>
        </w:rPr>
        <w:instrText xml:space="preserve"> PAGEREF _Toc470165137 \h </w:instrText>
      </w:r>
      <w:r w:rsidRPr="00196795">
        <w:rPr>
          <w:rFonts w:ascii="Cambria" w:hAnsi="Cambria"/>
          <w:noProof/>
          <w:sz w:val="20"/>
          <w:szCs w:val="20"/>
        </w:rPr>
      </w:r>
      <w:r w:rsidRPr="00196795">
        <w:rPr>
          <w:rFonts w:ascii="Cambria" w:hAnsi="Cambria"/>
          <w:noProof/>
          <w:sz w:val="20"/>
          <w:szCs w:val="20"/>
        </w:rPr>
        <w:fldChar w:fldCharType="separate"/>
      </w:r>
      <w:r w:rsidR="000C52BE">
        <w:rPr>
          <w:rFonts w:ascii="Cambria" w:hAnsi="Cambria"/>
          <w:noProof/>
          <w:sz w:val="20"/>
          <w:szCs w:val="20"/>
        </w:rPr>
        <w:t>13</w:t>
      </w:r>
      <w:r w:rsidRPr="00196795">
        <w:rPr>
          <w:rFonts w:ascii="Cambria" w:hAnsi="Cambria"/>
          <w:noProof/>
          <w:sz w:val="20"/>
          <w:szCs w:val="20"/>
        </w:rPr>
        <w:fldChar w:fldCharType="end"/>
      </w:r>
    </w:p>
    <w:p w14:paraId="584E7719" w14:textId="18C20551" w:rsidR="008D768D" w:rsidRPr="00196795" w:rsidRDefault="00196795" w:rsidP="00196795">
      <w:pPr>
        <w:tabs>
          <w:tab w:val="center" w:pos="5400"/>
        </w:tabs>
        <w:suppressAutoHyphens/>
        <w:spacing w:line="276" w:lineRule="auto"/>
        <w:jc w:val="both"/>
        <w:rPr>
          <w:rFonts w:ascii="Cambria" w:hAnsi="Cambria"/>
          <w:sz w:val="20"/>
          <w:szCs w:val="20"/>
          <w:lang w:val="es-ES_tradnl"/>
        </w:rPr>
      </w:pPr>
      <w:r w:rsidRPr="00196795">
        <w:rPr>
          <w:rFonts w:ascii="Cambria" w:hAnsi="Cambria"/>
          <w:b/>
          <w:sz w:val="20"/>
          <w:szCs w:val="20"/>
          <w:lang w:val="es-ES_tradnl"/>
        </w:rPr>
        <w:fldChar w:fldCharType="end"/>
      </w:r>
    </w:p>
    <w:p w14:paraId="553BCF20" w14:textId="77777777" w:rsidR="00722C9F" w:rsidRPr="00196795" w:rsidRDefault="00722C9F" w:rsidP="00196795">
      <w:pPr>
        <w:jc w:val="both"/>
        <w:rPr>
          <w:rFonts w:ascii="Cambria" w:hAnsi="Cambria" w:cs="Calibri"/>
          <w:sz w:val="20"/>
          <w:szCs w:val="20"/>
          <w:lang w:val="es-ES"/>
        </w:rPr>
      </w:pPr>
      <w:r w:rsidRPr="00196795">
        <w:rPr>
          <w:rFonts w:ascii="Cambria" w:hAnsi="Cambria" w:cs="Calibri"/>
          <w:sz w:val="20"/>
          <w:szCs w:val="20"/>
          <w:lang w:val="es-ES"/>
        </w:rPr>
        <w:br w:type="page"/>
      </w:r>
    </w:p>
    <w:p w14:paraId="7285DEAE" w14:textId="77777777" w:rsidR="005C4CA5" w:rsidRPr="00C32C51" w:rsidRDefault="00A03A30" w:rsidP="00B57C56">
      <w:pPr>
        <w:pStyle w:val="Heading1"/>
        <w:spacing w:after="0"/>
      </w:pPr>
      <w:bookmarkStart w:id="2" w:name="_Toc470165128"/>
      <w:r w:rsidRPr="00C32C51">
        <w:lastRenderedPageBreak/>
        <w:t>INTRODUCCIÓN</w:t>
      </w:r>
      <w:bookmarkEnd w:id="2"/>
    </w:p>
    <w:p w14:paraId="14BCB42C" w14:textId="77777777" w:rsidR="00B57C56" w:rsidRPr="00C32C51" w:rsidRDefault="00B57C56" w:rsidP="00B57C56">
      <w:pPr>
        <w:pStyle w:val="parrafos"/>
        <w:numPr>
          <w:ilvl w:val="0"/>
          <w:numId w:val="0"/>
        </w:numPr>
      </w:pPr>
    </w:p>
    <w:p w14:paraId="2658B24F" w14:textId="77777777" w:rsidR="001B62CA" w:rsidRPr="00C32C51" w:rsidRDefault="005C4CA5" w:rsidP="00B57C56">
      <w:pPr>
        <w:pStyle w:val="parrafos"/>
        <w:ind w:left="0" w:firstLine="0"/>
      </w:pPr>
      <w:r w:rsidRPr="00C32C51">
        <w:t xml:space="preserve">El </w:t>
      </w:r>
      <w:r w:rsidR="00D33794" w:rsidRPr="00C32C51">
        <w:t>5</w:t>
      </w:r>
      <w:r w:rsidRPr="00C32C51">
        <w:t xml:space="preserve"> de </w:t>
      </w:r>
      <w:r w:rsidR="00D33794" w:rsidRPr="00C32C51">
        <w:t>noviembre</w:t>
      </w:r>
      <w:r w:rsidRPr="00C32C51">
        <w:t xml:space="preserve"> de</w:t>
      </w:r>
      <w:r w:rsidR="00D33794" w:rsidRPr="00C32C51">
        <w:t xml:space="preserve"> 2002</w:t>
      </w:r>
      <w:r w:rsidR="00F551E4" w:rsidRPr="00C32C51">
        <w:t xml:space="preserve"> </w:t>
      </w:r>
      <w:r w:rsidRPr="00C32C51">
        <w:t>la Comisión Interamericana de Derechos Hu</w:t>
      </w:r>
      <w:r w:rsidR="005F026A" w:rsidRPr="00C32C51">
        <w:t xml:space="preserve">manos (en adelante “la Comisión </w:t>
      </w:r>
      <w:r w:rsidRPr="00C32C51">
        <w:t>Interamericana”, “la Comisión” o “la CIDH”) recibió una petición presentada por</w:t>
      </w:r>
      <w:r w:rsidR="00D33794" w:rsidRPr="00C32C51">
        <w:t xml:space="preserve"> Saulo Arboleda Gómez </w:t>
      </w:r>
      <w:r w:rsidRPr="00C32C51">
        <w:t>(en adelante “la parte peticionaria”</w:t>
      </w:r>
      <w:r w:rsidR="00C44CE4" w:rsidRPr="00C32C51">
        <w:t xml:space="preserve"> o “la presunta víctima”</w:t>
      </w:r>
      <w:r w:rsidRPr="00C32C51">
        <w:t>)</w:t>
      </w:r>
      <w:r w:rsidR="00C44CE4" w:rsidRPr="00C32C51">
        <w:t xml:space="preserve">  </w:t>
      </w:r>
      <w:r w:rsidRPr="00C32C51">
        <w:t>en la cual se alega la responsabilidad internacional de</w:t>
      </w:r>
      <w:r w:rsidR="00D33794" w:rsidRPr="00C32C51">
        <w:t xml:space="preserve"> la República de Colombia</w:t>
      </w:r>
      <w:r w:rsidRPr="00C32C51">
        <w:t xml:space="preserve"> (en adelante “el Estado </w:t>
      </w:r>
      <w:r w:rsidR="00D33794" w:rsidRPr="00C32C51">
        <w:t xml:space="preserve"> colombiano</w:t>
      </w:r>
      <w:r w:rsidRPr="00C32C51">
        <w:t>”, “el Estado” o “</w:t>
      </w:r>
      <w:r w:rsidR="00D33794" w:rsidRPr="00C32C51">
        <w:t>Colombia</w:t>
      </w:r>
      <w:r w:rsidRPr="00C32C51">
        <w:t xml:space="preserve">”) </w:t>
      </w:r>
      <w:r w:rsidR="00D41F9A" w:rsidRPr="00C32C51">
        <w:t xml:space="preserve">por </w:t>
      </w:r>
      <w:r w:rsidR="0032742E" w:rsidRPr="00C32C51">
        <w:t xml:space="preserve">la </w:t>
      </w:r>
      <w:r w:rsidR="00813005" w:rsidRPr="00C32C51">
        <w:t>vulneración de sus</w:t>
      </w:r>
      <w:r w:rsidR="008E2E59" w:rsidRPr="00C32C51">
        <w:t xml:space="preserve"> derechos</w:t>
      </w:r>
      <w:r w:rsidR="00D33794" w:rsidRPr="00C32C51">
        <w:t xml:space="preserve"> a las garantías judiciales y protección judicial</w:t>
      </w:r>
      <w:r w:rsidR="00B57C56" w:rsidRPr="00C32C51">
        <w:t xml:space="preserve"> en el marco de un proceso penal </w:t>
      </w:r>
      <w:r w:rsidR="00A75972" w:rsidRPr="00A75972">
        <w:t>por el delito de interés ilícito en la celebración de contratos</w:t>
      </w:r>
      <w:r w:rsidR="00A75972">
        <w:t xml:space="preserve"> cuando se desempeñaba como Ministro de Comunicaciones</w:t>
      </w:r>
      <w:r w:rsidR="00B57C56" w:rsidRPr="00C32C51">
        <w:t>.</w:t>
      </w:r>
    </w:p>
    <w:p w14:paraId="33BD4EA0" w14:textId="77777777" w:rsidR="00B57C56" w:rsidRPr="00C32C51" w:rsidRDefault="00B57C56" w:rsidP="00B57C56">
      <w:pPr>
        <w:pStyle w:val="parrafos"/>
        <w:numPr>
          <w:ilvl w:val="0"/>
          <w:numId w:val="0"/>
        </w:numPr>
      </w:pPr>
    </w:p>
    <w:p w14:paraId="007E265F" w14:textId="77777777" w:rsidR="00865597" w:rsidRPr="00C32C51" w:rsidRDefault="00865597" w:rsidP="00B57C56">
      <w:pPr>
        <w:pStyle w:val="parrafos"/>
        <w:ind w:left="0" w:firstLine="0"/>
      </w:pPr>
      <w:r w:rsidRPr="00C32C51">
        <w:t>La Comisión a</w:t>
      </w:r>
      <w:r w:rsidR="00B57C56" w:rsidRPr="00C32C51">
        <w:t>probó el Informe de A</w:t>
      </w:r>
      <w:r w:rsidRPr="00C32C51">
        <w:t xml:space="preserve">dmisibilidad No. </w:t>
      </w:r>
      <w:r w:rsidR="00D33794" w:rsidRPr="00C32C51">
        <w:t>62</w:t>
      </w:r>
      <w:r w:rsidRPr="00C32C51">
        <w:t>/</w:t>
      </w:r>
      <w:r w:rsidR="00C44CE4" w:rsidRPr="00C32C51">
        <w:t>16</w:t>
      </w:r>
      <w:r w:rsidRPr="00C32C51">
        <w:t xml:space="preserve"> el </w:t>
      </w:r>
      <w:r w:rsidR="00C44CE4" w:rsidRPr="00C32C51">
        <w:t>6</w:t>
      </w:r>
      <w:r w:rsidRPr="00C32C51">
        <w:t xml:space="preserve"> de </w:t>
      </w:r>
      <w:r w:rsidR="00C44CE4" w:rsidRPr="00C32C51">
        <w:t>diciembre</w:t>
      </w:r>
      <w:r w:rsidRPr="00C32C51">
        <w:t xml:space="preserve"> de </w:t>
      </w:r>
      <w:r w:rsidR="00C44CE4" w:rsidRPr="00C32C51">
        <w:t>2016</w:t>
      </w:r>
      <w:r w:rsidRPr="00C32C51">
        <w:rPr>
          <w:rStyle w:val="FootnoteReference"/>
        </w:rPr>
        <w:footnoteReference w:id="2"/>
      </w:r>
      <w:r w:rsidRPr="00C32C51">
        <w:t>. El</w:t>
      </w:r>
      <w:r w:rsidR="00C44CE4" w:rsidRPr="00C32C51">
        <w:t xml:space="preserve"> 19 </w:t>
      </w:r>
      <w:r w:rsidRPr="00C32C51">
        <w:t xml:space="preserve">de </w:t>
      </w:r>
      <w:r w:rsidR="00404904" w:rsidRPr="00C32C51">
        <w:t xml:space="preserve">diciembre </w:t>
      </w:r>
      <w:r w:rsidRPr="00C32C51">
        <w:t xml:space="preserve">de </w:t>
      </w:r>
      <w:r w:rsidR="00C44CE4" w:rsidRPr="00C32C51">
        <w:t>2016</w:t>
      </w:r>
      <w:r w:rsidR="008C7015" w:rsidRPr="00C32C51">
        <w:t xml:space="preserve"> </w:t>
      </w:r>
      <w:r w:rsidRPr="00C32C51">
        <w:t>la Comisión notificó dicho informe a las partes y se puso a disposición a fin de llegar a una solución amistosa</w:t>
      </w:r>
      <w:r w:rsidR="00A66E7F" w:rsidRPr="00C32C51">
        <w:t>, sin que se dieran las condiciones para iniciar dicho procedimiento</w:t>
      </w:r>
      <w:r w:rsidRPr="00C32C51">
        <w:t xml:space="preserve">. Las </w:t>
      </w:r>
      <w:r w:rsidRPr="00C32C51">
        <w:rPr>
          <w:lang w:val="es-ES_tradnl"/>
        </w:rPr>
        <w:t xml:space="preserve">partes </w:t>
      </w:r>
      <w:r w:rsidRPr="00C32C51">
        <w:t>contaron</w:t>
      </w:r>
      <w:r w:rsidRPr="00C32C51">
        <w:rPr>
          <w:lang w:val="es-ES_tradnl"/>
        </w:rPr>
        <w:t xml:space="preserve"> con los plazos reglamentarios para presentar sus observaciones adicionales sobre el fondo. Toda la información recibida fue debidamente trasladada entre las partes.</w:t>
      </w:r>
      <w:r w:rsidRPr="00C32C51">
        <w:rPr>
          <w:rFonts w:eastAsia="Times New Roman"/>
          <w:lang w:val="es-ES" w:eastAsia="es-ES"/>
        </w:rPr>
        <w:t xml:space="preserve"> </w:t>
      </w:r>
    </w:p>
    <w:p w14:paraId="0292C09D" w14:textId="77777777" w:rsidR="0006565A" w:rsidRPr="00C32C51" w:rsidRDefault="0006565A" w:rsidP="00B57C5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mbria" w:hAnsi="Cambria"/>
          <w:sz w:val="20"/>
          <w:szCs w:val="20"/>
          <w:lang w:val="es-VE"/>
        </w:rPr>
      </w:pPr>
    </w:p>
    <w:p w14:paraId="52F4000E" w14:textId="77777777" w:rsidR="00D12193" w:rsidRPr="00C32C51" w:rsidRDefault="00D12193" w:rsidP="00B57C56">
      <w:pPr>
        <w:pStyle w:val="Heading1"/>
        <w:spacing w:after="0"/>
      </w:pPr>
      <w:bookmarkStart w:id="3" w:name="_Toc470165129"/>
      <w:r w:rsidRPr="00C32C51">
        <w:t>ALEGATOS DE LAS PARTES</w:t>
      </w:r>
      <w:bookmarkEnd w:id="3"/>
    </w:p>
    <w:p w14:paraId="75B30730" w14:textId="77777777" w:rsidR="00B57C56" w:rsidRPr="00B57C56" w:rsidRDefault="00B57C56" w:rsidP="00B57C56"/>
    <w:p w14:paraId="7027B5D2" w14:textId="77777777" w:rsidR="0008768F" w:rsidRPr="00C32C51" w:rsidRDefault="00546F97" w:rsidP="003F1C56">
      <w:pPr>
        <w:pStyle w:val="Heading2"/>
      </w:pPr>
      <w:bookmarkStart w:id="4" w:name="_Toc470165130"/>
      <w:r w:rsidRPr="00C32C51">
        <w:t>Parte peticionaria</w:t>
      </w:r>
      <w:bookmarkEnd w:id="4"/>
      <w:r w:rsidRPr="00C32C51">
        <w:t xml:space="preserve"> </w:t>
      </w:r>
    </w:p>
    <w:p w14:paraId="3E771D05" w14:textId="77777777" w:rsidR="00B57C56" w:rsidRPr="00C32C51" w:rsidRDefault="00B57C56" w:rsidP="00B57C56">
      <w:pPr>
        <w:pStyle w:val="parrafos"/>
        <w:numPr>
          <w:ilvl w:val="0"/>
          <w:numId w:val="0"/>
        </w:numPr>
      </w:pPr>
    </w:p>
    <w:p w14:paraId="7AA119A9" w14:textId="77777777" w:rsidR="00A75972" w:rsidRPr="00C32C51" w:rsidRDefault="00C44CE4" w:rsidP="00B57C56">
      <w:pPr>
        <w:pStyle w:val="parrafos"/>
        <w:ind w:left="0" w:firstLine="0"/>
      </w:pPr>
      <w:r w:rsidRPr="00C32C51">
        <w:t xml:space="preserve">La parte peticionaria alega la responsabilidad internacional de Colombia por </w:t>
      </w:r>
      <w:r w:rsidR="00A75972" w:rsidRPr="00C32C51">
        <w:t xml:space="preserve">la </w:t>
      </w:r>
      <w:r w:rsidR="00A75972" w:rsidRPr="00A75972">
        <w:t xml:space="preserve">vulneración de sus derechos a las garantías judiciales y protección judicial en el marco de un proceso penal seguido </w:t>
      </w:r>
      <w:r w:rsidR="005A3F90" w:rsidRPr="00C32C51">
        <w:t xml:space="preserve">por el delito de </w:t>
      </w:r>
      <w:r w:rsidRPr="00C32C51">
        <w:t>interés ilícito en</w:t>
      </w:r>
      <w:r w:rsidR="00D53C00" w:rsidRPr="00C32C51">
        <w:t xml:space="preserve"> la celebración de</w:t>
      </w:r>
      <w:r w:rsidRPr="00C32C51">
        <w:t xml:space="preserve"> contrato</w:t>
      </w:r>
      <w:r w:rsidR="00D53C00" w:rsidRPr="00C32C51">
        <w:t>s</w:t>
      </w:r>
      <w:r w:rsidR="00A75972" w:rsidRPr="00C32C51">
        <w:t xml:space="preserve"> cuando se desempañaba como Ministro de Comunicaciones</w:t>
      </w:r>
      <w:r w:rsidR="00D735B6" w:rsidRPr="00C32C51">
        <w:t>.</w:t>
      </w:r>
      <w:r w:rsidRPr="00C32C51">
        <w:t xml:space="preserve"> </w:t>
      </w:r>
      <w:r w:rsidR="00A75972" w:rsidRPr="00C32C51">
        <w:t>Explica que se vulneró el debido proceso en tanto se utilizó prueba ilícita, en particular una grabación de una conversación que tuvo con el entonces Ministro de Minas y Energía. Indica que dicha grabación se realizó sin su autorización ni consentimiento, y que fue la base de la</w:t>
      </w:r>
      <w:r w:rsidR="00C46DAD">
        <w:t xml:space="preserve"> acusación fiscal y la posterior</w:t>
      </w:r>
      <w:r w:rsidR="00A75972" w:rsidRPr="00C32C51">
        <w:t xml:space="preserve"> sentencia condenatoria en su contra. </w:t>
      </w:r>
    </w:p>
    <w:p w14:paraId="1162683A" w14:textId="77777777" w:rsidR="00A75972" w:rsidRPr="00C32C51" w:rsidRDefault="00A75972" w:rsidP="00A75972">
      <w:pPr>
        <w:pStyle w:val="parrafos"/>
        <w:numPr>
          <w:ilvl w:val="0"/>
          <w:numId w:val="0"/>
        </w:numPr>
      </w:pPr>
    </w:p>
    <w:p w14:paraId="0745280E" w14:textId="77777777" w:rsidR="001E00E1" w:rsidRPr="00C32C51" w:rsidRDefault="007240AE" w:rsidP="001E00E1">
      <w:pPr>
        <w:pStyle w:val="parrafos"/>
        <w:ind w:left="0" w:firstLine="0"/>
      </w:pPr>
      <w:r w:rsidRPr="00C32C51">
        <w:t xml:space="preserve">Asimismo, la parte peticionaria </w:t>
      </w:r>
      <w:r w:rsidR="001E00E1" w:rsidRPr="00C32C51">
        <w:t>explica</w:t>
      </w:r>
      <w:r w:rsidR="0075232C" w:rsidRPr="00C32C51">
        <w:t xml:space="preserve"> que el</w:t>
      </w:r>
      <w:r w:rsidR="005A3F90" w:rsidRPr="00C32C51">
        <w:t xml:space="preserve"> fiscal a cargo de la investigación no cumplía </w:t>
      </w:r>
      <w:r w:rsidR="001E00E1" w:rsidRPr="00C32C51">
        <w:t xml:space="preserve">con </w:t>
      </w:r>
      <w:r w:rsidR="005A3F90" w:rsidRPr="00C32C51">
        <w:t>los requisitos de imparcialidad requeridos por la Convención Ame</w:t>
      </w:r>
      <w:r w:rsidR="001E00E1" w:rsidRPr="00C32C51">
        <w:t xml:space="preserve">ricana. </w:t>
      </w:r>
      <w:r w:rsidR="000830D5">
        <w:rPr>
          <w:color w:val="auto"/>
        </w:rPr>
        <w:t xml:space="preserve">Añade </w:t>
      </w:r>
      <w:r w:rsidR="000830D5" w:rsidRPr="000830D5">
        <w:rPr>
          <w:color w:val="auto"/>
        </w:rPr>
        <w:t>que</w:t>
      </w:r>
      <w:r w:rsidR="00C46DAD">
        <w:rPr>
          <w:color w:val="auto"/>
        </w:rPr>
        <w:t xml:space="preserve"> antes de asumir el cargo como F</w:t>
      </w:r>
      <w:r w:rsidR="000830D5" w:rsidRPr="000830D5">
        <w:rPr>
          <w:color w:val="auto"/>
        </w:rPr>
        <w:t>iscal</w:t>
      </w:r>
      <w:r w:rsidR="00C46DAD">
        <w:rPr>
          <w:color w:val="auto"/>
        </w:rPr>
        <w:t xml:space="preserve"> General de la Nación</w:t>
      </w:r>
      <w:r w:rsidR="000830D5" w:rsidRPr="000830D5">
        <w:rPr>
          <w:color w:val="auto"/>
        </w:rPr>
        <w:t xml:space="preserve">, se habría reunido con el señor Arboleda y le habría hecho recomendaciones para que contratara directamente a una emisora radial en el marco del mismo proceso de licitación en otro municipio, </w:t>
      </w:r>
      <w:r w:rsidR="000830D5">
        <w:rPr>
          <w:color w:val="auto"/>
        </w:rPr>
        <w:t>lo cual habría sido irregular</w:t>
      </w:r>
      <w:r w:rsidR="001E00E1" w:rsidRPr="00C32C51">
        <w:t>. Adicionalmente, la parte peticionaria indicó que</w:t>
      </w:r>
      <w:r w:rsidR="00F57E52">
        <w:t>,</w:t>
      </w:r>
      <w:r w:rsidR="001E00E1" w:rsidRPr="00C32C51">
        <w:t xml:space="preserve"> conforme a la legislación</w:t>
      </w:r>
      <w:r w:rsidR="00CC51E3" w:rsidRPr="00C32C51">
        <w:t xml:space="preserve"> colombiana, no le era posible apelar la sentencia condenatoria. Ello en tanto su proceso fue tramitado por la Sala de Casación Penal de la Corte Suprema de Justicia y no por un tribunal de primera instancia, debido a su condición de Ministro.</w:t>
      </w:r>
    </w:p>
    <w:p w14:paraId="031E504B" w14:textId="77777777" w:rsidR="00B57C56" w:rsidRPr="00C32C51" w:rsidRDefault="00B57C56" w:rsidP="00B57C56">
      <w:pPr>
        <w:pStyle w:val="parrafos"/>
        <w:numPr>
          <w:ilvl w:val="0"/>
          <w:numId w:val="0"/>
        </w:numPr>
      </w:pPr>
    </w:p>
    <w:p w14:paraId="3CFB115B" w14:textId="77777777" w:rsidR="00621551" w:rsidRPr="00C32C51" w:rsidRDefault="001E00E1" w:rsidP="00B57C56">
      <w:pPr>
        <w:pStyle w:val="parrafos"/>
        <w:ind w:left="0" w:firstLine="0"/>
      </w:pPr>
      <w:r w:rsidRPr="00C32C51">
        <w:t xml:space="preserve">Finalmente, la parte peticionaria alega que se vulneró el derecho a la protección judicial. Indica que el señor Arboleda presentó </w:t>
      </w:r>
      <w:r w:rsidR="00621551" w:rsidRPr="00C32C51">
        <w:t>recursos de acción de tutela y de revisión</w:t>
      </w:r>
      <w:r w:rsidRPr="00C32C51">
        <w:t xml:space="preserve"> a efectos de cuestionar las diversas vulneraciones al debido proceso, y que éstos no resultaron adecuados ni efectivos. Añade que</w:t>
      </w:r>
      <w:r w:rsidR="00F57E52">
        <w:t>,</w:t>
      </w:r>
      <w:r w:rsidRPr="00C32C51">
        <w:t xml:space="preserve"> en el marco de la acción de tutela, </w:t>
      </w:r>
      <w:r w:rsidR="00621551" w:rsidRPr="00C32C51">
        <w:t xml:space="preserve">la Corte Constitucional se vio obligada a fallar en su contra por presiones </w:t>
      </w:r>
      <w:r w:rsidRPr="00C32C51">
        <w:t>de la Corte Suprema de Justicia;</w:t>
      </w:r>
      <w:r w:rsidR="00621551" w:rsidRPr="00C32C51">
        <w:t xml:space="preserve"> y en el caso de las</w:t>
      </w:r>
      <w:r w:rsidR="00A40506" w:rsidRPr="00C32C51">
        <w:t xml:space="preserve"> acciones</w:t>
      </w:r>
      <w:r w:rsidR="00621551" w:rsidRPr="00C32C51">
        <w:t xml:space="preserve"> de revisión, éstas </w:t>
      </w:r>
      <w:r w:rsidRPr="00C32C51">
        <w:t>fueron revisadas y rechazadas por</w:t>
      </w:r>
      <w:r w:rsidR="00621551" w:rsidRPr="00C32C51">
        <w:t xml:space="preserve"> la</w:t>
      </w:r>
      <w:r w:rsidR="00A40506" w:rsidRPr="00C32C51">
        <w:t xml:space="preserve"> Sala de Casación Penal de la Corte Suprema</w:t>
      </w:r>
      <w:r w:rsidR="00CC51E3" w:rsidRPr="00C32C51">
        <w:t xml:space="preserve"> de Justicia</w:t>
      </w:r>
      <w:r w:rsidR="00A40506" w:rsidRPr="00C32C51">
        <w:t xml:space="preserve">, el mismo órgano que emitió la sentencia condenatoria. </w:t>
      </w:r>
      <w:r w:rsidR="00621551" w:rsidRPr="00C32C51">
        <w:t xml:space="preserve"> </w:t>
      </w:r>
    </w:p>
    <w:p w14:paraId="06D5AE2D" w14:textId="77777777" w:rsidR="00B57C56" w:rsidRPr="00C32C51" w:rsidRDefault="00B57C56" w:rsidP="00B57C56">
      <w:pPr>
        <w:pStyle w:val="parrafos"/>
        <w:numPr>
          <w:ilvl w:val="0"/>
          <w:numId w:val="0"/>
        </w:numPr>
      </w:pPr>
    </w:p>
    <w:p w14:paraId="4E879DDB" w14:textId="77777777" w:rsidR="00546F97" w:rsidRPr="00C32C51" w:rsidRDefault="00546F97" w:rsidP="003F1C56">
      <w:pPr>
        <w:pStyle w:val="Heading2"/>
      </w:pPr>
      <w:bookmarkStart w:id="5" w:name="_Toc470165131"/>
      <w:r w:rsidRPr="00C32C51">
        <w:t>Estado</w:t>
      </w:r>
      <w:bookmarkEnd w:id="5"/>
      <w:r w:rsidRPr="00C32C51">
        <w:t xml:space="preserve"> </w:t>
      </w:r>
      <w:r w:rsidR="00B37064" w:rsidRPr="00C32C51">
        <w:t xml:space="preserve"> </w:t>
      </w:r>
    </w:p>
    <w:p w14:paraId="43BFCC86" w14:textId="77777777" w:rsidR="00B57C56" w:rsidRPr="00C32C51" w:rsidRDefault="00B57C56" w:rsidP="00B57C56">
      <w:pPr>
        <w:pStyle w:val="parrafos"/>
        <w:numPr>
          <w:ilvl w:val="0"/>
          <w:numId w:val="0"/>
        </w:numPr>
      </w:pPr>
    </w:p>
    <w:p w14:paraId="30161516" w14:textId="77777777" w:rsidR="00546F97" w:rsidRPr="00C32C51" w:rsidRDefault="00546F97" w:rsidP="006B538C">
      <w:pPr>
        <w:pStyle w:val="parrafos"/>
        <w:ind w:left="0" w:firstLine="0"/>
      </w:pPr>
      <w:r w:rsidRPr="00C32C51">
        <w:t xml:space="preserve">El Estado colombiano sostiene </w:t>
      </w:r>
      <w:r w:rsidR="006B538C" w:rsidRPr="00C32C51">
        <w:t xml:space="preserve">que no es responsable internacionalmente por las violaciones alegadas por la parte peticionaria. Explica que tanto el proceso penal como los posteriores recursos </w:t>
      </w:r>
      <w:r w:rsidR="00DA59AF" w:rsidRPr="00C32C51">
        <w:t>respetaron los derechos</w:t>
      </w:r>
      <w:r w:rsidR="00B37064" w:rsidRPr="00C32C51">
        <w:t xml:space="preserve"> </w:t>
      </w:r>
      <w:r w:rsidR="006B538C" w:rsidRPr="00C32C51">
        <w:t>del señor Arboleda</w:t>
      </w:r>
      <w:r w:rsidR="00DA59AF" w:rsidRPr="00C32C51">
        <w:t xml:space="preserve"> al debido proceso y al acceso a la justicia. </w:t>
      </w:r>
    </w:p>
    <w:p w14:paraId="5A33AFC1" w14:textId="77777777" w:rsidR="006B538C" w:rsidRPr="00C32C51" w:rsidRDefault="006B538C" w:rsidP="006B538C">
      <w:pPr>
        <w:pStyle w:val="parrafos"/>
        <w:numPr>
          <w:ilvl w:val="0"/>
          <w:numId w:val="0"/>
        </w:numPr>
      </w:pPr>
    </w:p>
    <w:p w14:paraId="0BEA52E3" w14:textId="77777777" w:rsidR="006F5EB4" w:rsidRPr="00C32C51" w:rsidRDefault="006B538C" w:rsidP="00B57C56">
      <w:pPr>
        <w:pStyle w:val="parrafos"/>
        <w:ind w:left="0" w:firstLine="0"/>
      </w:pPr>
      <w:r w:rsidRPr="00C32C51">
        <w:t>Respecto del</w:t>
      </w:r>
      <w:r w:rsidR="00DA59AF" w:rsidRPr="00C32C51">
        <w:t xml:space="preserve"> proceso penal, el Estado </w:t>
      </w:r>
      <w:r w:rsidRPr="00C32C51">
        <w:t>indica que la grabación referida sí constituye una prueba ilícita y que por dicho motivo y conforme a su Constitución, ésta fue excluida “de manera expresa”. Sostiene que</w:t>
      </w:r>
      <w:r w:rsidR="006F5EB4" w:rsidRPr="00C32C51">
        <w:t xml:space="preserve"> luego de </w:t>
      </w:r>
      <w:r w:rsidR="006F5EB4" w:rsidRPr="00C32C51">
        <w:lastRenderedPageBreak/>
        <w:t>que dicha grabación fue publicada en diversos medios de comunicación, se in</w:t>
      </w:r>
      <w:r w:rsidR="002A7ECB">
        <w:t>ició una investigación de oficio</w:t>
      </w:r>
      <w:r w:rsidR="006F5EB4" w:rsidRPr="00C32C51">
        <w:t xml:space="preserve">, la cual recabó diversas pruebas. El Estado señala que dichas pruebas adicionales y no la grabación sirvieron como base para la eventual sentencia condenatoria al señor Arboleda. </w:t>
      </w:r>
    </w:p>
    <w:p w14:paraId="377A84CA" w14:textId="77777777" w:rsidR="008833C6" w:rsidRPr="00C32C51" w:rsidRDefault="008833C6" w:rsidP="008833C6">
      <w:pPr>
        <w:pStyle w:val="parrafos"/>
        <w:numPr>
          <w:ilvl w:val="0"/>
          <w:numId w:val="0"/>
        </w:numPr>
      </w:pPr>
    </w:p>
    <w:p w14:paraId="7245074E" w14:textId="77777777" w:rsidR="008833C6" w:rsidRPr="00C32C51" w:rsidRDefault="008833C6" w:rsidP="00B57C56">
      <w:pPr>
        <w:pStyle w:val="parrafos"/>
        <w:ind w:left="0" w:firstLine="0"/>
      </w:pPr>
      <w:r w:rsidRPr="00C32C51">
        <w:t xml:space="preserve">En relación con el alegato sobre falta de imparcialidad del fiscal a cargo de la investigación, </w:t>
      </w:r>
      <w:r w:rsidR="00D26BD3" w:rsidRPr="00C32C51">
        <w:t xml:space="preserve">el Estado sostuvo que el </w:t>
      </w:r>
      <w:r w:rsidR="002A7ECB">
        <w:t>señor Arboleda no recusó a dicho</w:t>
      </w:r>
      <w:r w:rsidR="00D26BD3" w:rsidRPr="00C32C51">
        <w:t xml:space="preserve"> fiscal. Explica que tampoco ha presentado información concreta para </w:t>
      </w:r>
      <w:r w:rsidR="00D26BD3" w:rsidRPr="00D26BD3">
        <w:t>desvirtuar la presunción de imparcialidad respecto</w:t>
      </w:r>
      <w:r w:rsidR="00D26BD3">
        <w:t xml:space="preserve"> de dicha autoridad. </w:t>
      </w:r>
    </w:p>
    <w:p w14:paraId="5D3637F1" w14:textId="77777777" w:rsidR="00D26BD3" w:rsidRPr="00C32C51" w:rsidRDefault="00D26BD3" w:rsidP="00D26BD3">
      <w:pPr>
        <w:pStyle w:val="parrafos"/>
        <w:numPr>
          <w:ilvl w:val="0"/>
          <w:numId w:val="0"/>
        </w:numPr>
      </w:pPr>
    </w:p>
    <w:p w14:paraId="040CF517" w14:textId="77777777" w:rsidR="00AF4EE1" w:rsidRPr="00C32C51" w:rsidRDefault="00D26BD3" w:rsidP="00B57C56">
      <w:pPr>
        <w:pStyle w:val="parrafos"/>
        <w:ind w:left="0" w:firstLine="0"/>
      </w:pPr>
      <w:r>
        <w:t>Respecto del alegato sobre la imposibilidad de recurrir el fallo, Colombia señala que</w:t>
      </w:r>
      <w:r w:rsidR="00C46DAD">
        <w:t>,</w:t>
      </w:r>
      <w:r w:rsidR="00AF4EE1">
        <w:t xml:space="preserve"> conforme a su </w:t>
      </w:r>
      <w:r w:rsidR="005F6EB5">
        <w:t>legislación</w:t>
      </w:r>
      <w:r w:rsidR="00AF4EE1">
        <w:t>,</w:t>
      </w:r>
      <w:r>
        <w:t xml:space="preserve"> </w:t>
      </w:r>
      <w:r w:rsidR="0009791F">
        <w:t xml:space="preserve">el señor Arboleda fue </w:t>
      </w:r>
      <w:r w:rsidR="00AF4EE1">
        <w:t>investigado</w:t>
      </w:r>
      <w:r w:rsidR="00C46DAD">
        <w:t xml:space="preserve"> </w:t>
      </w:r>
      <w:r w:rsidR="0009791F">
        <w:t xml:space="preserve">como alto funcionario del Estado en el marco de </w:t>
      </w:r>
      <w:r w:rsidR="00AF4EE1">
        <w:t>una “acción penal que (...) corresponde en única instancia a la Sala de Casación Penal de la Corte Suprema de Justicia”.</w:t>
      </w:r>
      <w:r w:rsidR="0009791F">
        <w:t xml:space="preserve"> Explica que </w:t>
      </w:r>
      <w:r w:rsidR="00AF4EE1">
        <w:t>el principio de doble instancia “no es absoluto y puede ser sometido a restricciones evaluadas desde la razonabilidad y proporcionalidad”. Asimismo, el Estado sostuvo que los altos funcionarios tienen a su disposición recursos judiciales adecuados y efectivos p</w:t>
      </w:r>
      <w:r w:rsidR="00C46DAD">
        <w:t>ara solicitar la revisión de un</w:t>
      </w:r>
      <w:r w:rsidR="00AF4EE1">
        <w:t xml:space="preserve"> fallo condenatorio de “única instancia”, tales como la acción de tutela y acción de revisión. Añade que ello ha sido confirmado por la propia Corte Constitucional. </w:t>
      </w:r>
    </w:p>
    <w:p w14:paraId="00233359" w14:textId="77777777" w:rsidR="007C756A" w:rsidRPr="00C32C51" w:rsidRDefault="007C756A" w:rsidP="00B57C56">
      <w:pPr>
        <w:tabs>
          <w:tab w:val="left" w:pos="360"/>
        </w:tabs>
        <w:suppressAutoHyphens/>
        <w:rPr>
          <w:rFonts w:ascii="Cambria" w:hAnsi="Cambria"/>
          <w:sz w:val="20"/>
          <w:szCs w:val="20"/>
          <w:lang w:val="es-ES_tradnl"/>
        </w:rPr>
      </w:pPr>
    </w:p>
    <w:p w14:paraId="61759574" w14:textId="77777777" w:rsidR="00D12193" w:rsidRPr="00C32C51" w:rsidRDefault="00D12193" w:rsidP="00B57C56">
      <w:pPr>
        <w:pStyle w:val="Heading1"/>
        <w:spacing w:after="0"/>
      </w:pPr>
      <w:bookmarkStart w:id="6" w:name="_Toc470165132"/>
      <w:r w:rsidRPr="00C32C51">
        <w:t>DETERMINACIONES DE HECHO</w:t>
      </w:r>
      <w:bookmarkEnd w:id="6"/>
      <w:r w:rsidR="008A078F" w:rsidRPr="00C32C51">
        <w:t xml:space="preserve"> </w:t>
      </w:r>
    </w:p>
    <w:p w14:paraId="76F35EDA" w14:textId="77777777" w:rsidR="00A75972" w:rsidRPr="00C32C51" w:rsidRDefault="00A75972" w:rsidP="00A75972">
      <w:pPr>
        <w:pStyle w:val="parrafos"/>
        <w:numPr>
          <w:ilvl w:val="0"/>
          <w:numId w:val="0"/>
        </w:numPr>
      </w:pPr>
    </w:p>
    <w:p w14:paraId="718AC601" w14:textId="77777777" w:rsidR="00C73BB2" w:rsidRPr="00C32C51" w:rsidRDefault="002246A3" w:rsidP="009C4089">
      <w:pPr>
        <w:pStyle w:val="parrafos"/>
        <w:ind w:left="0" w:firstLine="0"/>
      </w:pPr>
      <w:r w:rsidRPr="00C32C51">
        <w:t>La</w:t>
      </w:r>
      <w:r w:rsidR="005F6EB5" w:rsidRPr="00C32C51">
        <w:t xml:space="preserve"> CIDH observa que no existe controversia sobr</w:t>
      </w:r>
      <w:r w:rsidR="00C73BB2" w:rsidRPr="00C32C51">
        <w:t xml:space="preserve">e que en la época de los hechos i) </w:t>
      </w:r>
      <w:r w:rsidR="005F6EB5" w:rsidRPr="00C32C51">
        <w:t xml:space="preserve">Saulo Arboleda Gómez se </w:t>
      </w:r>
      <w:r w:rsidRPr="00C32C51">
        <w:t>desempeñaba como Ministro de Comunicaciones de Colombi</w:t>
      </w:r>
      <w:r w:rsidR="00C73BB2" w:rsidRPr="00C32C51">
        <w:t>a; y ii) e</w:t>
      </w:r>
      <w:r w:rsidR="005F6EB5" w:rsidRPr="00C32C51">
        <w:t>l</w:t>
      </w:r>
      <w:r w:rsidR="00E26D90" w:rsidRPr="00C32C51">
        <w:t xml:space="preserve"> 17 de agosto de 1997</w:t>
      </w:r>
      <w:r w:rsidRPr="00C32C51">
        <w:t xml:space="preserve"> varios medios de comunicación publicaron </w:t>
      </w:r>
      <w:r w:rsidR="00C73BB2" w:rsidRPr="00C32C51">
        <w:t>una</w:t>
      </w:r>
      <w:r w:rsidRPr="00C32C51">
        <w:t xml:space="preserve"> trascripción de una grabación </w:t>
      </w:r>
      <w:r w:rsidR="00C73BB2" w:rsidRPr="00C32C51">
        <w:t>de</w:t>
      </w:r>
      <w:r w:rsidRPr="00C32C51">
        <w:t xml:space="preserve"> una conversación entre el </w:t>
      </w:r>
      <w:r w:rsidR="00C73BB2" w:rsidRPr="00C32C51">
        <w:t>señor Arboleda y el entonces Ministro de Minas y Energía</w:t>
      </w:r>
      <w:r w:rsidR="009C4089" w:rsidRPr="00C32C51">
        <w:t xml:space="preserve"> </w:t>
      </w:r>
      <w:r w:rsidR="009C4089" w:rsidRPr="009C4089">
        <w:t>relacionada con el proceso de adjudicación de una emisora de radio</w:t>
      </w:r>
      <w:r w:rsidR="00C73BB2" w:rsidRPr="00C32C51">
        <w:t>.</w:t>
      </w:r>
      <w:r w:rsidRPr="00C32C51">
        <w:t xml:space="preserve"> </w:t>
      </w:r>
      <w:r w:rsidR="00C73BB2" w:rsidRPr="00C32C51">
        <w:t>En relación con dicha grabación, la CIDH observa que ambas partes señalaron que la grabación fue realizada por personas no identificadas, y que se realizó sin el consentimiento de las partes.</w:t>
      </w:r>
    </w:p>
    <w:p w14:paraId="73DB1B75" w14:textId="77777777" w:rsidR="00A75972" w:rsidRPr="00C32C51" w:rsidRDefault="00A75972" w:rsidP="00A75972">
      <w:pPr>
        <w:pStyle w:val="parrafos"/>
        <w:numPr>
          <w:ilvl w:val="0"/>
          <w:numId w:val="0"/>
        </w:numPr>
      </w:pPr>
    </w:p>
    <w:p w14:paraId="37B94487" w14:textId="77777777" w:rsidR="00EE569E" w:rsidRPr="00C32C51" w:rsidRDefault="009C4089" w:rsidP="009C4089">
      <w:pPr>
        <w:pStyle w:val="parrafos"/>
        <w:ind w:left="0" w:firstLine="0"/>
        <w:rPr>
          <w:color w:val="FF0000"/>
        </w:rPr>
      </w:pPr>
      <w:r w:rsidRPr="00C32C51">
        <w:t>El 20 de agosto de 1997</w:t>
      </w:r>
      <w:r w:rsidR="00147D59" w:rsidRPr="00C32C51">
        <w:t xml:space="preserve"> </w:t>
      </w:r>
      <w:r w:rsidR="00DA4453" w:rsidRPr="00C32C51">
        <w:t>el Fiscal</w:t>
      </w:r>
      <w:r w:rsidR="00213EDE" w:rsidRPr="00C32C51">
        <w:t xml:space="preserve"> General de la</w:t>
      </w:r>
      <w:r w:rsidR="00D95D18">
        <w:t xml:space="preserve"> Nación</w:t>
      </w:r>
      <w:r w:rsidR="00EE569E" w:rsidRPr="00C32C51">
        <w:t>, Alfonso Gómez Mendez,</w:t>
      </w:r>
      <w:r w:rsidR="00213EDE" w:rsidRPr="00C32C51">
        <w:t xml:space="preserve"> </w:t>
      </w:r>
      <w:r w:rsidR="00E26D90" w:rsidRPr="00C32C51">
        <w:t>abrió de oficio</w:t>
      </w:r>
      <w:r w:rsidR="00213EDE" w:rsidRPr="00C32C51">
        <w:t xml:space="preserve"> una investigación preliminar</w:t>
      </w:r>
      <w:r w:rsidR="00DA4453" w:rsidRPr="00C32C51">
        <w:t xml:space="preserve"> </w:t>
      </w:r>
      <w:r w:rsidR="00213EDE" w:rsidRPr="00C32C51">
        <w:t>en</w:t>
      </w:r>
      <w:r w:rsidR="00C2438B" w:rsidRPr="00C32C51">
        <w:t xml:space="preserve"> contra de ambos ministros</w:t>
      </w:r>
      <w:r w:rsidR="00EE569E" w:rsidRPr="00C32C51">
        <w:t xml:space="preserve"> y el 21 de octubre de 1998 se emitió una acusación</w:t>
      </w:r>
      <w:r w:rsidR="000830D5" w:rsidRPr="00C32C51">
        <w:t xml:space="preserve"> por el “delito de interés ilícito en celebración de contratos”</w:t>
      </w:r>
      <w:r w:rsidR="00EE569E" w:rsidRPr="00C32C51">
        <w:t xml:space="preserve"> señalando lo siguiente:</w:t>
      </w:r>
    </w:p>
    <w:p w14:paraId="5986AD9B" w14:textId="77777777" w:rsidR="00EE569E" w:rsidRPr="00C32C51" w:rsidRDefault="00EE569E" w:rsidP="00EE569E">
      <w:pPr>
        <w:pStyle w:val="parrafos"/>
        <w:numPr>
          <w:ilvl w:val="0"/>
          <w:numId w:val="0"/>
        </w:numPr>
      </w:pPr>
    </w:p>
    <w:p w14:paraId="1EBF06DA" w14:textId="77777777" w:rsidR="009C4089" w:rsidRPr="00C32C51" w:rsidRDefault="00EE569E" w:rsidP="00F51042">
      <w:pPr>
        <w:pStyle w:val="parrafos"/>
        <w:numPr>
          <w:ilvl w:val="0"/>
          <w:numId w:val="0"/>
        </w:numPr>
        <w:ind w:left="360" w:right="720"/>
        <w:rPr>
          <w:color w:val="FF0000"/>
          <w:sz w:val="18"/>
          <w:szCs w:val="18"/>
        </w:rPr>
      </w:pPr>
      <w:r w:rsidRPr="00C32C51">
        <w:rPr>
          <w:sz w:val="18"/>
          <w:szCs w:val="18"/>
        </w:rPr>
        <w:t xml:space="preserve">La génesis de la presente investigación se contrae a la noticia ampliamente difundida por los medios de comunicación (...) que registró la presunta violación de </w:t>
      </w:r>
      <w:r w:rsidR="009C4089" w:rsidRPr="00C32C51">
        <w:rPr>
          <w:color w:val="auto"/>
          <w:sz w:val="18"/>
          <w:szCs w:val="18"/>
        </w:rPr>
        <w:t>los principios</w:t>
      </w:r>
      <w:r w:rsidR="009C4089" w:rsidRPr="00C32C51">
        <w:rPr>
          <w:sz w:val="18"/>
          <w:szCs w:val="18"/>
        </w:rPr>
        <w:t xml:space="preserve"> de transparencia y de selección objetiva en la adjudicación a Mario Alfonso Escobar, de una frecuencia en radiodifusión sono</w:t>
      </w:r>
      <w:r w:rsidRPr="00C32C51">
        <w:rPr>
          <w:sz w:val="18"/>
          <w:szCs w:val="18"/>
        </w:rPr>
        <w:t xml:space="preserve">ra (...) por parte del entonces Ministro de Comunicaciones, </w:t>
      </w:r>
      <w:r w:rsidR="00400D11">
        <w:rPr>
          <w:sz w:val="18"/>
          <w:szCs w:val="18"/>
        </w:rPr>
        <w:t>(...)</w:t>
      </w:r>
      <w:r w:rsidRPr="00C32C51">
        <w:rPr>
          <w:sz w:val="18"/>
          <w:szCs w:val="18"/>
        </w:rPr>
        <w:t xml:space="preserve"> Saulo Arboleda Gómez, con la mediación de quien para la época se desempeñaba como Ministro de Minas y Energía</w:t>
      </w:r>
      <w:r w:rsidRPr="00EE569E">
        <w:rPr>
          <w:rStyle w:val="FootnoteReference"/>
          <w:color w:val="auto"/>
          <w:sz w:val="18"/>
          <w:szCs w:val="18"/>
        </w:rPr>
        <w:footnoteReference w:id="3"/>
      </w:r>
      <w:r w:rsidRPr="00C32C51">
        <w:rPr>
          <w:sz w:val="18"/>
          <w:szCs w:val="18"/>
        </w:rPr>
        <w:t>.</w:t>
      </w:r>
    </w:p>
    <w:p w14:paraId="2176901F" w14:textId="77777777" w:rsidR="009C4089" w:rsidRPr="00C32C51" w:rsidRDefault="009C4089" w:rsidP="009C4089">
      <w:pPr>
        <w:pStyle w:val="parrafos"/>
        <w:numPr>
          <w:ilvl w:val="0"/>
          <w:numId w:val="0"/>
        </w:numPr>
      </w:pPr>
    </w:p>
    <w:p w14:paraId="5C83AE35" w14:textId="77777777" w:rsidR="009C4089" w:rsidRPr="00C32C51" w:rsidRDefault="00DA4453" w:rsidP="00B57C56">
      <w:pPr>
        <w:pStyle w:val="parrafos"/>
        <w:ind w:left="0" w:firstLine="0"/>
        <w:rPr>
          <w:color w:val="auto"/>
        </w:rPr>
      </w:pPr>
      <w:r w:rsidRPr="00C32C51">
        <w:t>El Fiscal tomó nota de que el 17 de agosto de 1997 el ento</w:t>
      </w:r>
      <w:r w:rsidR="002121DB">
        <w:t>nces Ministro de Minas y Energía</w:t>
      </w:r>
      <w:r w:rsidRPr="00C32C51">
        <w:t xml:space="preserve"> emitió un comunicado de prensa “en el que reconoce una conversación sostenida con su homólogo de Comunicaciones, advirtiendo que en su desarrollo abordaron el tema de la adjudicación de las frecuencias y puntualizando que </w:t>
      </w:r>
      <w:r w:rsidRPr="00DA4453">
        <w:rPr>
          <w:color w:val="auto"/>
        </w:rPr>
        <w:t xml:space="preserve">lo único que hice fue hacer comentarios en favor de periodistas profesionales, ampliamente conocidos en </w:t>
      </w:r>
      <w:r w:rsidRPr="00357862">
        <w:rPr>
          <w:color w:val="auto"/>
        </w:rPr>
        <w:t>Santiago de Cali, mi ciudad natal</w:t>
      </w:r>
      <w:r w:rsidRPr="00C32C51">
        <w:rPr>
          <w:color w:val="auto"/>
        </w:rPr>
        <w:t>”</w:t>
      </w:r>
      <w:r w:rsidR="00357862" w:rsidRPr="00357862">
        <w:rPr>
          <w:rStyle w:val="FootnoteReference"/>
          <w:color w:val="auto"/>
        </w:rPr>
        <w:footnoteReference w:id="4"/>
      </w:r>
      <w:r w:rsidRPr="00C32C51">
        <w:rPr>
          <w:color w:val="auto"/>
        </w:rPr>
        <w:t>.</w:t>
      </w:r>
    </w:p>
    <w:p w14:paraId="42BF02E4" w14:textId="77777777" w:rsidR="00357862" w:rsidRPr="00C32C51" w:rsidRDefault="00357862" w:rsidP="00357862">
      <w:pPr>
        <w:pStyle w:val="parrafos"/>
        <w:numPr>
          <w:ilvl w:val="0"/>
          <w:numId w:val="0"/>
        </w:numPr>
        <w:rPr>
          <w:color w:val="auto"/>
        </w:rPr>
      </w:pPr>
    </w:p>
    <w:p w14:paraId="34DEC44A" w14:textId="77777777" w:rsidR="00250F70" w:rsidRPr="007345AB" w:rsidRDefault="00357862" w:rsidP="000C1672">
      <w:pPr>
        <w:pStyle w:val="parrafos"/>
        <w:ind w:left="0" w:firstLine="0"/>
        <w:rPr>
          <w:color w:val="auto"/>
        </w:rPr>
      </w:pPr>
      <w:r w:rsidRPr="00357862">
        <w:rPr>
          <w:color w:val="auto"/>
        </w:rPr>
        <w:t xml:space="preserve">En dicha acusación se indicó que se realizó “el acopio de prueba documental, testimonial e inspección judicial antes de resolver la situación jurídica de los indagados”. Finalmente, el señor Arboleda fue acusado como autor del </w:t>
      </w:r>
      <w:r w:rsidR="000830D5" w:rsidRPr="000830D5">
        <w:t xml:space="preserve">“delito de interés ilícito en celebración de contratos” </w:t>
      </w:r>
      <w:r w:rsidRPr="00357862">
        <w:rPr>
          <w:color w:val="auto"/>
        </w:rPr>
        <w:t>contemplado en el artículo 145 del Código Penal vigente en ese momento, mientras que el Ministro de Minas y Energía fue sindicado como determinador</w:t>
      </w:r>
      <w:r w:rsidR="00400D11" w:rsidRPr="00357862">
        <w:rPr>
          <w:rStyle w:val="FootnoteReference"/>
          <w:color w:val="auto"/>
        </w:rPr>
        <w:footnoteReference w:id="5"/>
      </w:r>
      <w:r w:rsidRPr="00357862">
        <w:rPr>
          <w:color w:val="auto"/>
        </w:rPr>
        <w:t xml:space="preserve">. </w:t>
      </w:r>
      <w:r w:rsidR="00EF5723">
        <w:rPr>
          <w:color w:val="auto"/>
        </w:rPr>
        <w:t>Dos días después el señor Arboleda dejó su cargo como Ministro</w:t>
      </w:r>
      <w:r w:rsidR="00EF5723" w:rsidRPr="00C32C51">
        <w:rPr>
          <w:rStyle w:val="FootnoteReference"/>
          <w:color w:val="auto"/>
        </w:rPr>
        <w:footnoteReference w:id="6"/>
      </w:r>
      <w:r w:rsidR="00EF5723">
        <w:rPr>
          <w:color w:val="auto"/>
        </w:rPr>
        <w:t>. Asimismo, e</w:t>
      </w:r>
      <w:r w:rsidR="00250F70" w:rsidRPr="00FA208C">
        <w:rPr>
          <w:color w:val="auto"/>
        </w:rPr>
        <w:t xml:space="preserve">l 17 de noviembre de 1997 el Fiscal General Jaime Córdoba rechazó el recurso de reposición presentado por los señores Arboleda y </w:t>
      </w:r>
      <w:r w:rsidR="00250F70" w:rsidRPr="00FA208C">
        <w:rPr>
          <w:color w:val="auto"/>
        </w:rPr>
        <w:lastRenderedPageBreak/>
        <w:t xml:space="preserve">Villamizar </w:t>
      </w:r>
      <w:r w:rsidR="00250F70" w:rsidRPr="007F06AF">
        <w:rPr>
          <w:color w:val="auto"/>
        </w:rPr>
        <w:t>frente al auto de acusación</w:t>
      </w:r>
      <w:r w:rsidR="00FA208C" w:rsidRPr="007F06AF">
        <w:rPr>
          <w:rStyle w:val="FootnoteReference"/>
          <w:color w:val="auto"/>
        </w:rPr>
        <w:footnoteReference w:id="7"/>
      </w:r>
      <w:r w:rsidR="00250F70" w:rsidRPr="007F06AF">
        <w:rPr>
          <w:color w:val="auto"/>
        </w:rPr>
        <w:t xml:space="preserve">. </w:t>
      </w:r>
      <w:r w:rsidR="007345AB" w:rsidRPr="007F06AF">
        <w:rPr>
          <w:color w:val="auto"/>
        </w:rPr>
        <w:t>El 8 de junio de 1998 se dictó una orden de arresto domiciliario en contra del señor Arboleda</w:t>
      </w:r>
      <w:r w:rsidR="007F06AF" w:rsidRPr="007F06AF">
        <w:rPr>
          <w:rStyle w:val="FootnoteReference"/>
          <w:color w:val="auto"/>
        </w:rPr>
        <w:footnoteReference w:id="8"/>
      </w:r>
      <w:r w:rsidR="007345AB" w:rsidRPr="007F06AF">
        <w:rPr>
          <w:color w:val="auto"/>
        </w:rPr>
        <w:t>.</w:t>
      </w:r>
      <w:r w:rsidR="007345AB">
        <w:rPr>
          <w:color w:val="auto"/>
        </w:rPr>
        <w:t xml:space="preserve"> </w:t>
      </w:r>
    </w:p>
    <w:p w14:paraId="611D0E18" w14:textId="77777777" w:rsidR="000830D5" w:rsidRPr="00C32C51" w:rsidRDefault="000830D5" w:rsidP="000830D5">
      <w:pPr>
        <w:pStyle w:val="parrafos"/>
        <w:numPr>
          <w:ilvl w:val="0"/>
          <w:numId w:val="0"/>
        </w:numPr>
        <w:rPr>
          <w:color w:val="auto"/>
        </w:rPr>
      </w:pPr>
    </w:p>
    <w:p w14:paraId="32B285F0" w14:textId="77777777" w:rsidR="00E26D90" w:rsidRPr="00084A3B" w:rsidRDefault="00FA208C" w:rsidP="00A401F8">
      <w:pPr>
        <w:pStyle w:val="parrafos"/>
        <w:ind w:left="0" w:firstLine="0"/>
        <w:rPr>
          <w:rFonts w:eastAsia="Times New Roman"/>
          <w:color w:val="auto"/>
          <w:bdr w:val="none" w:sz="0" w:space="0" w:color="auto"/>
        </w:rPr>
      </w:pPr>
      <w:r w:rsidRPr="00084A3B">
        <w:rPr>
          <w:color w:val="auto"/>
        </w:rPr>
        <w:t>L</w:t>
      </w:r>
      <w:r w:rsidR="000830D5" w:rsidRPr="00084A3B">
        <w:rPr>
          <w:color w:val="auto"/>
        </w:rPr>
        <w:t xml:space="preserve">a </w:t>
      </w:r>
      <w:r w:rsidR="000830D5" w:rsidRPr="00EF5723">
        <w:t>Comisión</w:t>
      </w:r>
      <w:r w:rsidR="000830D5" w:rsidRPr="00084A3B">
        <w:rPr>
          <w:color w:val="auto"/>
        </w:rPr>
        <w:t xml:space="preserve"> </w:t>
      </w:r>
      <w:r w:rsidRPr="00084A3B">
        <w:rPr>
          <w:color w:val="auto"/>
        </w:rPr>
        <w:t xml:space="preserve">también </w:t>
      </w:r>
      <w:r w:rsidR="000830D5" w:rsidRPr="00084A3B">
        <w:rPr>
          <w:color w:val="auto"/>
        </w:rPr>
        <w:t>observa que no existe controversia en que el proceso fue tramitado ante la Sala de Casación Penal de la Corte Suprema de Justicia. Ello</w:t>
      </w:r>
      <w:r w:rsidR="00575C96" w:rsidRPr="00084A3B">
        <w:rPr>
          <w:color w:val="auto"/>
        </w:rPr>
        <w:t xml:space="preserve"> conforme al artículo 235 de la </w:t>
      </w:r>
      <w:r w:rsidR="00D27CBC" w:rsidRPr="00084A3B">
        <w:rPr>
          <w:color w:val="auto"/>
        </w:rPr>
        <w:t>Constitución Política</w:t>
      </w:r>
      <w:r w:rsidR="00575C96" w:rsidRPr="00084A3B">
        <w:rPr>
          <w:color w:val="auto"/>
        </w:rPr>
        <w:t xml:space="preserve"> que señala </w:t>
      </w:r>
      <w:r w:rsidR="00EF5723" w:rsidRPr="00084A3B">
        <w:rPr>
          <w:color w:val="auto"/>
        </w:rPr>
        <w:t>que será competencia de la Corte Suprema de Justicia juzgar “</w:t>
      </w:r>
      <w:r w:rsidR="00EF5723" w:rsidRPr="00084A3B">
        <w:rPr>
          <w:rFonts w:eastAsia="Times New Roman" w:cs="Arial"/>
          <w:color w:val="auto"/>
          <w:bdr w:val="none" w:sz="0" w:space="0" w:color="auto"/>
        </w:rPr>
        <w:t>previa acusación del Fiscal General de la Nación (...) a los Ministros del Despacho</w:t>
      </w:r>
      <w:r w:rsidR="00EF5723" w:rsidRPr="00084A3B">
        <w:rPr>
          <w:color w:val="auto"/>
        </w:rPr>
        <w:t>”</w:t>
      </w:r>
      <w:r w:rsidR="00EF5723" w:rsidRPr="00084A3B">
        <w:rPr>
          <w:rStyle w:val="FootnoteReference"/>
          <w:color w:val="auto"/>
        </w:rPr>
        <w:footnoteReference w:id="9"/>
      </w:r>
      <w:r w:rsidR="00EF5723" w:rsidRPr="00084A3B">
        <w:rPr>
          <w:color w:val="auto"/>
        </w:rPr>
        <w:t>.</w:t>
      </w:r>
      <w:r w:rsidR="00A401F8" w:rsidRPr="00084A3B">
        <w:rPr>
          <w:color w:val="auto"/>
        </w:rPr>
        <w:t xml:space="preserve"> En dicha disposición también se indica que cuando los Ministros </w:t>
      </w:r>
      <w:r w:rsidR="00D27CBC" w:rsidRPr="00A401F8">
        <w:rPr>
          <w:color w:val="auto"/>
        </w:rPr>
        <w:t xml:space="preserve">del Despacho, </w:t>
      </w:r>
      <w:r w:rsidR="00A401F8" w:rsidRPr="00A401F8">
        <w:rPr>
          <w:color w:val="auto"/>
        </w:rPr>
        <w:t>hubiesen</w:t>
      </w:r>
      <w:r w:rsidR="00D27CBC" w:rsidRPr="00A401F8">
        <w:rPr>
          <w:color w:val="auto"/>
        </w:rPr>
        <w:t xml:space="preserve"> cesado en el ejercicio d</w:t>
      </w:r>
      <w:r w:rsidRPr="00A401F8">
        <w:rPr>
          <w:color w:val="auto"/>
        </w:rPr>
        <w:t xml:space="preserve">e su cargo, </w:t>
      </w:r>
      <w:r w:rsidR="00A401F8" w:rsidRPr="00A401F8">
        <w:rPr>
          <w:color w:val="auto"/>
        </w:rPr>
        <w:t>la Corte Suprema</w:t>
      </w:r>
      <w:r w:rsidR="00A401F8">
        <w:rPr>
          <w:color w:val="auto"/>
        </w:rPr>
        <w:t xml:space="preserve"> de Justicia</w:t>
      </w:r>
      <w:r w:rsidR="00A401F8" w:rsidRPr="00A401F8">
        <w:rPr>
          <w:color w:val="auto"/>
        </w:rPr>
        <w:t xml:space="preserve"> mantiene</w:t>
      </w:r>
      <w:r w:rsidRPr="00A401F8">
        <w:rPr>
          <w:color w:val="auto"/>
        </w:rPr>
        <w:t xml:space="preserve"> el fuero “</w:t>
      </w:r>
      <w:r w:rsidR="00D27CBC" w:rsidRPr="00A401F8">
        <w:rPr>
          <w:color w:val="auto"/>
        </w:rPr>
        <w:t>para las conductas punibles que tengan relación con las funciones desempeñadas</w:t>
      </w:r>
      <w:r w:rsidRPr="00A401F8">
        <w:rPr>
          <w:color w:val="auto"/>
        </w:rPr>
        <w:t>”</w:t>
      </w:r>
      <w:r w:rsidR="00D27CBC" w:rsidRPr="00A401F8">
        <w:rPr>
          <w:rStyle w:val="FootnoteReference"/>
          <w:color w:val="auto"/>
        </w:rPr>
        <w:footnoteReference w:id="10"/>
      </w:r>
      <w:r w:rsidRPr="00A401F8">
        <w:rPr>
          <w:color w:val="auto"/>
        </w:rPr>
        <w:t>.</w:t>
      </w:r>
    </w:p>
    <w:p w14:paraId="05C90C27" w14:textId="77777777" w:rsidR="00357862" w:rsidRPr="00C32C51" w:rsidRDefault="00357862" w:rsidP="00357862">
      <w:pPr>
        <w:pStyle w:val="parrafos"/>
        <w:numPr>
          <w:ilvl w:val="0"/>
          <w:numId w:val="0"/>
        </w:numPr>
        <w:rPr>
          <w:color w:val="auto"/>
        </w:rPr>
      </w:pPr>
    </w:p>
    <w:p w14:paraId="0CE3DDFB" w14:textId="77777777" w:rsidR="009C3BF0" w:rsidRPr="00C32C51" w:rsidRDefault="00F51042" w:rsidP="00B57C56">
      <w:pPr>
        <w:pStyle w:val="parrafos"/>
        <w:ind w:left="0" w:firstLine="0"/>
        <w:rPr>
          <w:color w:val="auto"/>
        </w:rPr>
      </w:pPr>
      <w:r w:rsidRPr="00C32C51">
        <w:rPr>
          <w:color w:val="auto"/>
        </w:rPr>
        <w:t>El 14 de mayo de 1999</w:t>
      </w:r>
      <w:r w:rsidR="009177B4" w:rsidRPr="00C32C51">
        <w:rPr>
          <w:color w:val="auto"/>
        </w:rPr>
        <w:t xml:space="preserve"> la </w:t>
      </w:r>
      <w:r w:rsidR="00C270F1" w:rsidRPr="00C32C51">
        <w:rPr>
          <w:color w:val="auto"/>
        </w:rPr>
        <w:t xml:space="preserve">Sala de Casación Penal de la </w:t>
      </w:r>
      <w:r w:rsidR="009177B4" w:rsidRPr="00C32C51">
        <w:rPr>
          <w:color w:val="auto"/>
        </w:rPr>
        <w:t xml:space="preserve">Corte Suprema </w:t>
      </w:r>
      <w:r w:rsidR="00C270F1" w:rsidRPr="00C32C51">
        <w:rPr>
          <w:color w:val="auto"/>
        </w:rPr>
        <w:t xml:space="preserve">de Justicia </w:t>
      </w:r>
      <w:r w:rsidR="007358A6" w:rsidRPr="00C32C51">
        <w:rPr>
          <w:color w:val="auto"/>
        </w:rPr>
        <w:t>decretó la nulidad parcial de lo actuad</w:t>
      </w:r>
      <w:r w:rsidR="00C270F1" w:rsidRPr="00C32C51">
        <w:rPr>
          <w:color w:val="auto"/>
        </w:rPr>
        <w:t xml:space="preserve">o en el proceso en referencia al </w:t>
      </w:r>
      <w:r w:rsidR="00E95EF7">
        <w:rPr>
          <w:color w:val="auto"/>
        </w:rPr>
        <w:t>señor Villamizar</w:t>
      </w:r>
      <w:r w:rsidRPr="00C32C51">
        <w:rPr>
          <w:color w:val="auto"/>
        </w:rPr>
        <w:t>. Ello</w:t>
      </w:r>
      <w:r w:rsidR="00C270F1" w:rsidRPr="00C32C51">
        <w:rPr>
          <w:color w:val="auto"/>
        </w:rPr>
        <w:t xml:space="preserve"> al considerar que </w:t>
      </w:r>
      <w:r w:rsidR="00E95EF7">
        <w:rPr>
          <w:color w:val="auto"/>
        </w:rPr>
        <w:t>dicha persona</w:t>
      </w:r>
      <w:r w:rsidR="00C270F1" w:rsidRPr="00C32C51">
        <w:rPr>
          <w:color w:val="auto"/>
        </w:rPr>
        <w:t xml:space="preserve"> habría actuado en calidad de particular por lo que carecía de competencia para conocer sobre el proceso en su contra </w:t>
      </w:r>
      <w:r w:rsidR="007358A6" w:rsidRPr="00C32C51">
        <w:rPr>
          <w:color w:val="auto"/>
        </w:rPr>
        <w:t xml:space="preserve">y remitió </w:t>
      </w:r>
      <w:r w:rsidRPr="00C32C51">
        <w:rPr>
          <w:color w:val="auto"/>
        </w:rPr>
        <w:t>el expediente al</w:t>
      </w:r>
      <w:r w:rsidR="007358A6" w:rsidRPr="00C32C51">
        <w:rPr>
          <w:color w:val="auto"/>
        </w:rPr>
        <w:t xml:space="preserve"> Juzgado Penal de Bogotá</w:t>
      </w:r>
      <w:r w:rsidR="007358A6" w:rsidRPr="00C32C51">
        <w:rPr>
          <w:rStyle w:val="FootnoteReference"/>
          <w:color w:val="auto"/>
        </w:rPr>
        <w:footnoteReference w:id="11"/>
      </w:r>
      <w:r w:rsidR="007C6A12" w:rsidRPr="00C32C51">
        <w:rPr>
          <w:color w:val="auto"/>
        </w:rPr>
        <w:t>.</w:t>
      </w:r>
      <w:r w:rsidR="001D1D46" w:rsidRPr="00C32C51">
        <w:rPr>
          <w:color w:val="auto"/>
        </w:rPr>
        <w:t xml:space="preserve"> </w:t>
      </w:r>
      <w:r w:rsidRPr="00C32C51">
        <w:rPr>
          <w:color w:val="auto"/>
        </w:rPr>
        <w:t xml:space="preserve">La CIDH toma nota de que posteriormente </w:t>
      </w:r>
      <w:r w:rsidR="001D1D46" w:rsidRPr="00C32C51">
        <w:rPr>
          <w:color w:val="auto"/>
        </w:rPr>
        <w:t xml:space="preserve">la Corte Constitucional de Colombia </w:t>
      </w:r>
      <w:r w:rsidR="00C270F1" w:rsidRPr="00C32C51">
        <w:rPr>
          <w:color w:val="auto"/>
        </w:rPr>
        <w:t>declaró la nulidad de la investigación penal en contra</w:t>
      </w:r>
      <w:r w:rsidRPr="00C32C51">
        <w:rPr>
          <w:color w:val="auto"/>
        </w:rPr>
        <w:t xml:space="preserve"> </w:t>
      </w:r>
      <w:r w:rsidR="00E95EF7">
        <w:rPr>
          <w:color w:val="auto"/>
        </w:rPr>
        <w:t>del señor Villamizar</w:t>
      </w:r>
      <w:r w:rsidR="00C270F1" w:rsidRPr="00C32C51">
        <w:rPr>
          <w:color w:val="auto"/>
        </w:rPr>
        <w:t xml:space="preserve">, ya que la Fiscalía General de la República </w:t>
      </w:r>
      <w:r w:rsidRPr="00C32C51">
        <w:rPr>
          <w:color w:val="auto"/>
        </w:rPr>
        <w:t>no era</w:t>
      </w:r>
      <w:r w:rsidR="00C270F1" w:rsidRPr="00C32C51">
        <w:rPr>
          <w:color w:val="auto"/>
        </w:rPr>
        <w:t xml:space="preserve"> el órgano competente para realizar </w:t>
      </w:r>
      <w:r w:rsidRPr="00C32C51">
        <w:rPr>
          <w:color w:val="auto"/>
        </w:rPr>
        <w:t>la</w:t>
      </w:r>
      <w:r w:rsidR="00C270F1" w:rsidRPr="00C32C51">
        <w:rPr>
          <w:color w:val="auto"/>
        </w:rPr>
        <w:t xml:space="preserve"> investigación</w:t>
      </w:r>
      <w:r w:rsidRPr="00C32C51">
        <w:rPr>
          <w:color w:val="auto"/>
        </w:rPr>
        <w:t xml:space="preserve"> inicialmente</w:t>
      </w:r>
      <w:r w:rsidR="00596669">
        <w:rPr>
          <w:color w:val="auto"/>
        </w:rPr>
        <w:t>, y que posteriormente la acción penal prescribió</w:t>
      </w:r>
      <w:r w:rsidR="00C270F1" w:rsidRPr="00C32C51">
        <w:rPr>
          <w:rStyle w:val="FootnoteReference"/>
          <w:color w:val="auto"/>
        </w:rPr>
        <w:footnoteReference w:id="12"/>
      </w:r>
      <w:r w:rsidR="00C270F1" w:rsidRPr="00C32C51">
        <w:rPr>
          <w:color w:val="auto"/>
        </w:rPr>
        <w:t xml:space="preserve">. </w:t>
      </w:r>
    </w:p>
    <w:p w14:paraId="1CC7A74C" w14:textId="77777777" w:rsidR="00357862" w:rsidRPr="00C32C51" w:rsidRDefault="00357862" w:rsidP="00357862">
      <w:pPr>
        <w:pStyle w:val="parrafos"/>
        <w:numPr>
          <w:ilvl w:val="0"/>
          <w:numId w:val="0"/>
        </w:numPr>
        <w:rPr>
          <w:color w:val="auto"/>
        </w:rPr>
      </w:pPr>
    </w:p>
    <w:p w14:paraId="3269E288" w14:textId="77777777" w:rsidR="00147D59" w:rsidRPr="00B447B5" w:rsidRDefault="00E95EF7" w:rsidP="00B57C56">
      <w:pPr>
        <w:pStyle w:val="parrafos"/>
        <w:ind w:left="0" w:firstLine="0"/>
        <w:rPr>
          <w:color w:val="auto"/>
        </w:rPr>
      </w:pPr>
      <w:r w:rsidRPr="00B447B5">
        <w:rPr>
          <w:color w:val="auto"/>
        </w:rPr>
        <w:t>La CIDH toma nota de que e</w:t>
      </w:r>
      <w:r w:rsidR="00147D59" w:rsidRPr="00B447B5">
        <w:rPr>
          <w:color w:val="auto"/>
        </w:rPr>
        <w:t>n el proceso penal</w:t>
      </w:r>
      <w:r w:rsidR="007C6A12" w:rsidRPr="00B447B5">
        <w:rPr>
          <w:color w:val="auto"/>
        </w:rPr>
        <w:t xml:space="preserve"> </w:t>
      </w:r>
      <w:r w:rsidRPr="00B447B5">
        <w:rPr>
          <w:color w:val="auto"/>
        </w:rPr>
        <w:t>seguido en contra del señor Arboleda</w:t>
      </w:r>
      <w:r w:rsidR="00147D59" w:rsidRPr="00B447B5">
        <w:rPr>
          <w:color w:val="auto"/>
        </w:rPr>
        <w:t xml:space="preserve"> fueron incorporados como prueba algunas de las publicaciones que transcribieron la grabación </w:t>
      </w:r>
      <w:r w:rsidRPr="00B447B5">
        <w:rPr>
          <w:color w:val="auto"/>
        </w:rPr>
        <w:t>con el señor Villamizar</w:t>
      </w:r>
      <w:r w:rsidR="00147D59" w:rsidRPr="00B447B5">
        <w:rPr>
          <w:color w:val="auto"/>
        </w:rPr>
        <w:t xml:space="preserve">, así como el </w:t>
      </w:r>
      <w:r w:rsidR="00C821A2" w:rsidRPr="00B447B5">
        <w:rPr>
          <w:color w:val="auto"/>
        </w:rPr>
        <w:t>expediente del</w:t>
      </w:r>
      <w:r w:rsidR="00147D59" w:rsidRPr="00B447B5">
        <w:rPr>
          <w:color w:val="auto"/>
        </w:rPr>
        <w:t xml:space="preserve"> proceso administrativo disciplinario</w:t>
      </w:r>
      <w:r w:rsidR="00B447B5" w:rsidRPr="00B447B5">
        <w:rPr>
          <w:rStyle w:val="FootnoteReference"/>
          <w:color w:val="auto"/>
        </w:rPr>
        <w:footnoteReference w:id="13"/>
      </w:r>
      <w:r w:rsidR="00147D59" w:rsidRPr="00B447B5">
        <w:rPr>
          <w:color w:val="auto"/>
        </w:rPr>
        <w:t xml:space="preserve"> que se </w:t>
      </w:r>
      <w:r w:rsidR="00CC582B" w:rsidRPr="00B447B5">
        <w:rPr>
          <w:color w:val="auto"/>
        </w:rPr>
        <w:t xml:space="preserve">le </w:t>
      </w:r>
      <w:r w:rsidR="00147D59" w:rsidRPr="00B447B5">
        <w:rPr>
          <w:color w:val="auto"/>
        </w:rPr>
        <w:t>siguió</w:t>
      </w:r>
      <w:r w:rsidR="007C6A12" w:rsidRPr="00B447B5">
        <w:rPr>
          <w:rStyle w:val="FootnoteReference"/>
          <w:color w:val="auto"/>
        </w:rPr>
        <w:footnoteReference w:id="14"/>
      </w:r>
      <w:r w:rsidR="00147D59" w:rsidRPr="00B447B5">
        <w:rPr>
          <w:color w:val="auto"/>
        </w:rPr>
        <w:t xml:space="preserve">. </w:t>
      </w:r>
    </w:p>
    <w:p w14:paraId="23243FAB" w14:textId="77777777" w:rsidR="00357862" w:rsidRPr="00C32C51" w:rsidRDefault="00357862" w:rsidP="00357862">
      <w:pPr>
        <w:pStyle w:val="parrafos"/>
        <w:numPr>
          <w:ilvl w:val="0"/>
          <w:numId w:val="0"/>
        </w:numPr>
        <w:rPr>
          <w:color w:val="auto"/>
        </w:rPr>
      </w:pPr>
    </w:p>
    <w:p w14:paraId="40AB48CE" w14:textId="77777777" w:rsidR="00EA5A11" w:rsidRPr="00946CD5" w:rsidRDefault="00EA5A11" w:rsidP="00946CD5">
      <w:pPr>
        <w:pStyle w:val="parrafos"/>
        <w:ind w:left="0" w:firstLine="0"/>
        <w:rPr>
          <w:color w:val="auto"/>
        </w:rPr>
      </w:pPr>
      <w:r w:rsidRPr="00946CD5">
        <w:rPr>
          <w:color w:val="auto"/>
        </w:rPr>
        <w:t xml:space="preserve">El 25 de octubre de 2000 </w:t>
      </w:r>
      <w:r w:rsidR="004A379D" w:rsidRPr="00946CD5">
        <w:rPr>
          <w:color w:val="auto"/>
        </w:rPr>
        <w:t>la Sala de Casación Penal de la Corte Suprema de Justicia</w:t>
      </w:r>
      <w:r w:rsidRPr="00946CD5">
        <w:rPr>
          <w:color w:val="auto"/>
        </w:rPr>
        <w:t xml:space="preserve"> emitió su sentencia en donde condenó al señor Arboleda por</w:t>
      </w:r>
      <w:r w:rsidR="00D27CBC" w:rsidRPr="00946CD5">
        <w:rPr>
          <w:color w:val="auto"/>
        </w:rPr>
        <w:t xml:space="preserve"> </w:t>
      </w:r>
      <w:r w:rsidR="003B23CB" w:rsidRPr="00946CD5">
        <w:rPr>
          <w:color w:val="auto"/>
        </w:rPr>
        <w:t>el “delito de interés ilícito en celebración de contratos” a una pena de 54 meses de privación de la libertad</w:t>
      </w:r>
      <w:r w:rsidR="00946CD5" w:rsidRPr="00946CD5">
        <w:rPr>
          <w:color w:val="auto"/>
        </w:rPr>
        <w:t xml:space="preserve"> y 15</w:t>
      </w:r>
      <w:r w:rsidR="00946CD5">
        <w:rPr>
          <w:color w:val="auto"/>
        </w:rPr>
        <w:t xml:space="preserve"> salario</w:t>
      </w:r>
      <w:r w:rsidR="00946CD5" w:rsidRPr="00946CD5">
        <w:rPr>
          <w:color w:val="auto"/>
        </w:rPr>
        <w:t>s mínimos legales</w:t>
      </w:r>
      <w:r w:rsidR="00946CD5">
        <w:rPr>
          <w:color w:val="auto"/>
        </w:rPr>
        <w:t xml:space="preserve"> mensuales vigentes. </w:t>
      </w:r>
      <w:r w:rsidR="003B23CB">
        <w:t>La Sala sostuvo lo siguiente:</w:t>
      </w:r>
    </w:p>
    <w:p w14:paraId="0614DDD5" w14:textId="77777777" w:rsidR="008E264E" w:rsidRPr="00C32C51" w:rsidRDefault="008E264E" w:rsidP="00B57C56">
      <w:pPr>
        <w:pStyle w:val="parrafos"/>
        <w:numPr>
          <w:ilvl w:val="0"/>
          <w:numId w:val="0"/>
        </w:numPr>
        <w:rPr>
          <w:color w:val="auto"/>
        </w:rPr>
      </w:pPr>
    </w:p>
    <w:p w14:paraId="698EE36F" w14:textId="77777777" w:rsidR="008E264E" w:rsidRPr="00C32C51" w:rsidRDefault="00756A38" w:rsidP="004B51A5">
      <w:pPr>
        <w:pStyle w:val="parrafos"/>
        <w:numPr>
          <w:ilvl w:val="0"/>
          <w:numId w:val="0"/>
        </w:numPr>
        <w:ind w:left="360" w:right="720" w:hanging="360"/>
        <w:rPr>
          <w:color w:val="auto"/>
          <w:sz w:val="18"/>
          <w:szCs w:val="18"/>
        </w:rPr>
      </w:pPr>
      <w:r w:rsidRPr="00C32C51">
        <w:rPr>
          <w:color w:val="auto"/>
          <w:lang w:val="es-ES_tradnl"/>
        </w:rPr>
        <w:tab/>
      </w:r>
      <w:r w:rsidR="003F1C56">
        <w:rPr>
          <w:color w:val="auto"/>
          <w:sz w:val="18"/>
          <w:szCs w:val="18"/>
          <w:lang w:val="es-ES_tradnl"/>
        </w:rPr>
        <w:t>[L]</w:t>
      </w:r>
      <w:r w:rsidR="003B4AC5" w:rsidRPr="00C32C51">
        <w:rPr>
          <w:color w:val="auto"/>
          <w:sz w:val="18"/>
          <w:szCs w:val="18"/>
          <w:lang w:val="es-ES_tradnl"/>
        </w:rPr>
        <w:t xml:space="preserve">a aceptación </w:t>
      </w:r>
      <w:r w:rsidR="00881522" w:rsidRPr="00C32C51">
        <w:rPr>
          <w:color w:val="auto"/>
          <w:sz w:val="18"/>
          <w:szCs w:val="18"/>
          <w:lang w:val="es-ES_tradnl"/>
        </w:rPr>
        <w:t>de A</w:t>
      </w:r>
      <w:r w:rsidR="003B4AC5" w:rsidRPr="00C32C51">
        <w:rPr>
          <w:color w:val="auto"/>
          <w:sz w:val="18"/>
          <w:szCs w:val="18"/>
          <w:lang w:val="es-ES_tradnl"/>
        </w:rPr>
        <w:t>rboleda y Villamizar respecto a sus charla</w:t>
      </w:r>
      <w:r w:rsidR="00881522" w:rsidRPr="00C32C51">
        <w:rPr>
          <w:color w:val="auto"/>
          <w:sz w:val="18"/>
          <w:szCs w:val="18"/>
          <w:lang w:val="es-ES_tradnl"/>
        </w:rPr>
        <w:t xml:space="preserve">s (…) </w:t>
      </w:r>
      <w:r w:rsidR="003B4AC5" w:rsidRPr="00C32C51">
        <w:rPr>
          <w:color w:val="auto"/>
          <w:sz w:val="18"/>
          <w:szCs w:val="18"/>
          <w:lang w:val="es-ES_tradnl"/>
        </w:rPr>
        <w:t>aunada a la interpolación de expectativas entre los Ministros en distintas reuniones (…)</w:t>
      </w:r>
      <w:r w:rsidR="00881522" w:rsidRPr="00C32C51">
        <w:rPr>
          <w:color w:val="auto"/>
          <w:sz w:val="18"/>
          <w:szCs w:val="18"/>
          <w:lang w:val="es-ES_tradnl"/>
        </w:rPr>
        <w:t xml:space="preserve"> llevan a concluir la realidad de las recomendaciones, con miras a que la pretensión [</w:t>
      </w:r>
      <w:r w:rsidR="0040033B" w:rsidRPr="00C32C51">
        <w:rPr>
          <w:color w:val="auto"/>
          <w:sz w:val="18"/>
          <w:szCs w:val="18"/>
          <w:lang w:val="es-ES_tradnl"/>
        </w:rPr>
        <w:t>d</w:t>
      </w:r>
      <w:r w:rsidR="00881522" w:rsidRPr="00C32C51">
        <w:rPr>
          <w:color w:val="auto"/>
          <w:sz w:val="18"/>
          <w:szCs w:val="18"/>
          <w:lang w:val="es-ES_tradnl"/>
        </w:rPr>
        <w:t>el recomendado</w:t>
      </w:r>
      <w:r w:rsidR="00404904" w:rsidRPr="00C32C51">
        <w:rPr>
          <w:color w:val="auto"/>
          <w:sz w:val="18"/>
          <w:szCs w:val="18"/>
          <w:lang w:val="es-ES_tradnl"/>
        </w:rPr>
        <w:t>]</w:t>
      </w:r>
      <w:r w:rsidRPr="00C32C51">
        <w:rPr>
          <w:color w:val="auto"/>
          <w:sz w:val="18"/>
          <w:szCs w:val="18"/>
          <w:lang w:val="es-ES_tradnl"/>
        </w:rPr>
        <w:t xml:space="preserve"> no fuese eliminada</w:t>
      </w:r>
      <w:r w:rsidR="00EA5A11" w:rsidRPr="00C32C51">
        <w:rPr>
          <w:color w:val="auto"/>
          <w:sz w:val="18"/>
          <w:szCs w:val="18"/>
        </w:rPr>
        <w:t>.</w:t>
      </w:r>
    </w:p>
    <w:p w14:paraId="29B7F5DD" w14:textId="77777777" w:rsidR="002406BC" w:rsidRPr="00C32C51" w:rsidRDefault="004B51A5" w:rsidP="004B51A5">
      <w:pPr>
        <w:pStyle w:val="parrafos"/>
        <w:numPr>
          <w:ilvl w:val="0"/>
          <w:numId w:val="0"/>
        </w:numPr>
        <w:ind w:left="360" w:right="720" w:hanging="360"/>
        <w:rPr>
          <w:color w:val="auto"/>
          <w:sz w:val="18"/>
          <w:szCs w:val="18"/>
        </w:rPr>
      </w:pPr>
      <w:r w:rsidRPr="00C32C51">
        <w:rPr>
          <w:color w:val="auto"/>
          <w:sz w:val="18"/>
          <w:szCs w:val="18"/>
        </w:rPr>
        <w:tab/>
      </w:r>
      <w:r w:rsidR="00EA5A11" w:rsidRPr="00C32C51">
        <w:rPr>
          <w:color w:val="auto"/>
          <w:sz w:val="18"/>
          <w:szCs w:val="18"/>
        </w:rPr>
        <w:t>(...)</w:t>
      </w:r>
    </w:p>
    <w:p w14:paraId="115FDF47" w14:textId="77777777" w:rsidR="002406BC" w:rsidRPr="00C32C51" w:rsidRDefault="003F1C56" w:rsidP="004B51A5">
      <w:pPr>
        <w:pStyle w:val="parrafos"/>
        <w:numPr>
          <w:ilvl w:val="0"/>
          <w:numId w:val="0"/>
        </w:numPr>
        <w:ind w:left="360" w:right="720"/>
        <w:rPr>
          <w:color w:val="auto"/>
          <w:sz w:val="18"/>
          <w:szCs w:val="18"/>
        </w:rPr>
      </w:pPr>
      <w:r>
        <w:rPr>
          <w:color w:val="auto"/>
          <w:sz w:val="18"/>
          <w:szCs w:val="18"/>
        </w:rPr>
        <w:t>[</w:t>
      </w:r>
      <w:r>
        <w:rPr>
          <w:color w:val="auto"/>
          <w:sz w:val="18"/>
          <w:szCs w:val="18"/>
          <w:lang w:val="es-ES_tradnl"/>
        </w:rPr>
        <w:t>E]</w:t>
      </w:r>
      <w:r w:rsidR="00595C07" w:rsidRPr="00C32C51">
        <w:rPr>
          <w:color w:val="auto"/>
          <w:sz w:val="18"/>
          <w:szCs w:val="18"/>
          <w:lang w:val="es-ES_tradnl"/>
        </w:rPr>
        <w:t xml:space="preserve">n las respectivas diligencias judiciales, llevadas a cabo con el pleno cumplimiento de las garantías procesales, los dos ex ministros </w:t>
      </w:r>
      <w:r w:rsidR="002406BC" w:rsidRPr="00C32C51">
        <w:rPr>
          <w:color w:val="auto"/>
          <w:sz w:val="18"/>
          <w:szCs w:val="18"/>
          <w:lang w:val="es-ES_tradnl"/>
        </w:rPr>
        <w:t>(…) trata[ron]</w:t>
      </w:r>
      <w:r w:rsidR="00595C07" w:rsidRPr="00C32C51">
        <w:rPr>
          <w:color w:val="auto"/>
          <w:sz w:val="18"/>
          <w:szCs w:val="18"/>
          <w:lang w:val="es-ES_tradnl"/>
        </w:rPr>
        <w:t xml:space="preserve"> de demeritar la trascendencia de las charlas que sí reconocen haber efectuado, pero sin detallar los aspectos que podrían comprometerles, en especial sobre las recomendaciones y transmisión de inquietudes o preocupaciones como las califica el ministro de minas</w:t>
      </w:r>
      <w:r w:rsidR="002406BC" w:rsidRPr="00C32C51">
        <w:rPr>
          <w:color w:val="auto"/>
          <w:sz w:val="18"/>
          <w:szCs w:val="18"/>
          <w:lang w:val="es-ES_tradnl"/>
        </w:rPr>
        <w:t xml:space="preserve"> (…) [por lo que] </w:t>
      </w:r>
      <w:r w:rsidR="00595C07" w:rsidRPr="00C32C51">
        <w:rPr>
          <w:sz w:val="18"/>
          <w:szCs w:val="18"/>
        </w:rPr>
        <w:t>no resultan verosímiles las manifestaciones pro</w:t>
      </w:r>
      <w:r w:rsidR="00756A38" w:rsidRPr="00C32C51">
        <w:rPr>
          <w:sz w:val="18"/>
          <w:szCs w:val="18"/>
        </w:rPr>
        <w:t>cesales de los otrora Ministros</w:t>
      </w:r>
      <w:r w:rsidR="004F7053" w:rsidRPr="00C32C51">
        <w:rPr>
          <w:color w:val="auto"/>
          <w:sz w:val="18"/>
          <w:szCs w:val="18"/>
        </w:rPr>
        <w:t>.</w:t>
      </w:r>
    </w:p>
    <w:p w14:paraId="26055EEB" w14:textId="77777777" w:rsidR="002406BC" w:rsidRPr="00C32C51" w:rsidRDefault="004F7053" w:rsidP="004B51A5">
      <w:pPr>
        <w:pStyle w:val="parrafos"/>
        <w:numPr>
          <w:ilvl w:val="0"/>
          <w:numId w:val="0"/>
        </w:numPr>
        <w:ind w:left="360" w:right="720"/>
        <w:rPr>
          <w:color w:val="auto"/>
          <w:sz w:val="18"/>
          <w:szCs w:val="18"/>
        </w:rPr>
      </w:pPr>
      <w:r w:rsidRPr="00C32C51">
        <w:rPr>
          <w:color w:val="auto"/>
          <w:sz w:val="18"/>
          <w:szCs w:val="18"/>
        </w:rPr>
        <w:t>(...)</w:t>
      </w:r>
    </w:p>
    <w:p w14:paraId="371712B9" w14:textId="77777777" w:rsidR="002406BC" w:rsidRPr="00C32C51" w:rsidRDefault="003F1C56" w:rsidP="004B51A5">
      <w:pPr>
        <w:pStyle w:val="parrafos"/>
        <w:numPr>
          <w:ilvl w:val="0"/>
          <w:numId w:val="0"/>
        </w:numPr>
        <w:ind w:left="360" w:right="720"/>
        <w:rPr>
          <w:color w:val="auto"/>
          <w:sz w:val="18"/>
          <w:szCs w:val="18"/>
          <w:lang w:val="es-ES_tradnl"/>
        </w:rPr>
      </w:pPr>
      <w:r>
        <w:rPr>
          <w:color w:val="auto"/>
          <w:sz w:val="18"/>
          <w:szCs w:val="18"/>
        </w:rPr>
        <w:t>[</w:t>
      </w:r>
      <w:r>
        <w:rPr>
          <w:color w:val="auto"/>
          <w:sz w:val="18"/>
          <w:szCs w:val="18"/>
          <w:lang w:val="es-ES_tradnl"/>
        </w:rPr>
        <w:t>A]</w:t>
      </w:r>
      <w:r w:rsidR="009D5EC6" w:rsidRPr="00C32C51">
        <w:rPr>
          <w:color w:val="auto"/>
          <w:sz w:val="18"/>
          <w:szCs w:val="18"/>
          <w:lang w:val="es-ES_tradnl"/>
        </w:rPr>
        <w:t>l re</w:t>
      </w:r>
      <w:r w:rsidR="00674912" w:rsidRPr="00C32C51">
        <w:rPr>
          <w:color w:val="auto"/>
          <w:sz w:val="18"/>
          <w:szCs w:val="18"/>
          <w:lang w:val="es-ES_tradnl"/>
        </w:rPr>
        <w:t>visar las aseveraciones [</w:t>
      </w:r>
      <w:r w:rsidR="00CC582B">
        <w:rPr>
          <w:color w:val="auto"/>
          <w:sz w:val="18"/>
          <w:szCs w:val="18"/>
          <w:lang w:val="es-ES_tradnl"/>
        </w:rPr>
        <w:t>del señor Arboleda</w:t>
      </w:r>
      <w:r w:rsidR="00674912" w:rsidRPr="00C32C51">
        <w:rPr>
          <w:color w:val="auto"/>
          <w:sz w:val="18"/>
          <w:szCs w:val="18"/>
          <w:lang w:val="es-ES_tradnl"/>
        </w:rPr>
        <w:t>]</w:t>
      </w:r>
      <w:r w:rsidR="009D5EC6" w:rsidRPr="00C32C51">
        <w:rPr>
          <w:color w:val="auto"/>
          <w:sz w:val="18"/>
          <w:szCs w:val="18"/>
          <w:lang w:val="es-ES_tradnl"/>
        </w:rPr>
        <w:t xml:space="preserve"> sobre la presunta aplicación de diversos criterios adicionales, no es clara como él lo plantea, ni siquiera en el cuadro anexado en el resumen de sus alegatos en la audiencia pública, </w:t>
      </w:r>
      <w:r w:rsidR="00404904" w:rsidRPr="00C32C51">
        <w:rPr>
          <w:color w:val="auto"/>
          <w:sz w:val="18"/>
          <w:szCs w:val="18"/>
          <w:lang w:val="es-ES_tradnl"/>
        </w:rPr>
        <w:t>[</w:t>
      </w:r>
      <w:r w:rsidR="009D5EC6" w:rsidRPr="00C32C51">
        <w:rPr>
          <w:color w:val="auto"/>
          <w:sz w:val="18"/>
          <w:szCs w:val="18"/>
          <w:lang w:val="es-ES_tradnl"/>
        </w:rPr>
        <w:t>se infiere</w:t>
      </w:r>
      <w:r w:rsidR="00404904" w:rsidRPr="00C32C51">
        <w:rPr>
          <w:color w:val="auto"/>
          <w:sz w:val="18"/>
          <w:szCs w:val="18"/>
          <w:lang w:val="es-ES_tradnl"/>
        </w:rPr>
        <w:t>]</w:t>
      </w:r>
      <w:r w:rsidR="009D5EC6" w:rsidRPr="00C32C51">
        <w:rPr>
          <w:color w:val="auto"/>
          <w:sz w:val="18"/>
          <w:szCs w:val="18"/>
          <w:lang w:val="es-ES_tradnl"/>
        </w:rPr>
        <w:t xml:space="preserve"> precisamente lo contrario, es decir, que desconoció los criterios objetivos de </w:t>
      </w:r>
      <w:r w:rsidR="009D5EC6" w:rsidRPr="00C32C51">
        <w:rPr>
          <w:color w:val="auto"/>
          <w:sz w:val="18"/>
          <w:szCs w:val="18"/>
          <w:lang w:val="es-ES_tradnl"/>
        </w:rPr>
        <w:lastRenderedPageBreak/>
        <w:t xml:space="preserve">adjudicación entre los diez licitantes para Cali que se hallaban empatados, interesado como estaba en favorecer la propuesta de </w:t>
      </w:r>
      <w:r w:rsidR="00404904" w:rsidRPr="00C32C51">
        <w:rPr>
          <w:color w:val="auto"/>
          <w:sz w:val="18"/>
          <w:szCs w:val="18"/>
          <w:lang w:val="es-ES_tradnl"/>
        </w:rPr>
        <w:t>(</w:t>
      </w:r>
      <w:r w:rsidR="009D5EC6" w:rsidRPr="00C32C51">
        <w:rPr>
          <w:color w:val="auto"/>
          <w:sz w:val="18"/>
          <w:szCs w:val="18"/>
          <w:lang w:val="es-ES_tradnl"/>
        </w:rPr>
        <w:t>…</w:t>
      </w:r>
      <w:r w:rsidR="00404904" w:rsidRPr="00C32C51">
        <w:rPr>
          <w:color w:val="auto"/>
          <w:sz w:val="18"/>
          <w:szCs w:val="18"/>
          <w:lang w:val="es-ES_tradnl"/>
        </w:rPr>
        <w:t>)</w:t>
      </w:r>
      <w:r w:rsidR="009D5EC6" w:rsidRPr="00C32C51">
        <w:rPr>
          <w:color w:val="auto"/>
          <w:sz w:val="18"/>
          <w:szCs w:val="18"/>
          <w:lang w:val="es-ES_tradnl"/>
        </w:rPr>
        <w:t xml:space="preserve"> por influencia de su </w:t>
      </w:r>
      <w:r w:rsidR="00404904" w:rsidRPr="00C32C51">
        <w:rPr>
          <w:color w:val="auto"/>
          <w:sz w:val="18"/>
          <w:szCs w:val="18"/>
          <w:lang w:val="es-ES_tradnl"/>
        </w:rPr>
        <w:t>(…)</w:t>
      </w:r>
      <w:r w:rsidR="00CC582B">
        <w:rPr>
          <w:color w:val="auto"/>
          <w:sz w:val="18"/>
          <w:szCs w:val="18"/>
          <w:lang w:val="es-ES_tradnl"/>
        </w:rPr>
        <w:t xml:space="preserve"> </w:t>
      </w:r>
      <w:r w:rsidR="009D5EC6" w:rsidRPr="00C32C51">
        <w:rPr>
          <w:color w:val="auto"/>
          <w:sz w:val="18"/>
          <w:szCs w:val="18"/>
          <w:lang w:val="es-ES_tradnl"/>
        </w:rPr>
        <w:t>hom</w:t>
      </w:r>
      <w:r w:rsidR="00756A38" w:rsidRPr="00C32C51">
        <w:rPr>
          <w:color w:val="auto"/>
          <w:sz w:val="18"/>
          <w:szCs w:val="18"/>
          <w:lang w:val="es-ES_tradnl"/>
        </w:rPr>
        <w:t>ologo según se viene precisando</w:t>
      </w:r>
      <w:r w:rsidR="009D5EC6" w:rsidRPr="00C32C51">
        <w:rPr>
          <w:sz w:val="18"/>
          <w:szCs w:val="18"/>
          <w:vertAlign w:val="superscript"/>
          <w:lang w:val="es-ES_tradnl"/>
        </w:rPr>
        <w:footnoteReference w:id="15"/>
      </w:r>
      <w:r w:rsidR="009D5EC6" w:rsidRPr="00C32C51">
        <w:rPr>
          <w:color w:val="auto"/>
          <w:sz w:val="18"/>
          <w:szCs w:val="18"/>
          <w:lang w:val="es-ES_tradnl"/>
        </w:rPr>
        <w:t xml:space="preserve">. </w:t>
      </w:r>
      <w:r w:rsidR="00404904" w:rsidRPr="00C32C51">
        <w:rPr>
          <w:color w:val="auto"/>
          <w:sz w:val="18"/>
          <w:szCs w:val="18"/>
          <w:lang w:val="es-ES_tradnl"/>
        </w:rPr>
        <w:t xml:space="preserve"> </w:t>
      </w:r>
    </w:p>
    <w:p w14:paraId="0B360346" w14:textId="77777777" w:rsidR="002406BC" w:rsidRPr="00C32C51" w:rsidRDefault="002406BC" w:rsidP="00B57C56">
      <w:pPr>
        <w:pStyle w:val="parrafos"/>
        <w:numPr>
          <w:ilvl w:val="0"/>
          <w:numId w:val="0"/>
        </w:numPr>
        <w:ind w:left="360" w:hanging="360"/>
        <w:rPr>
          <w:color w:val="auto"/>
          <w:lang w:val="es-ES_tradnl"/>
        </w:rPr>
      </w:pPr>
    </w:p>
    <w:p w14:paraId="32285385" w14:textId="77777777" w:rsidR="00984D37" w:rsidRDefault="00984D37" w:rsidP="00B57C56">
      <w:pPr>
        <w:pStyle w:val="parrafos"/>
        <w:ind w:left="0" w:firstLine="0"/>
      </w:pPr>
      <w:r>
        <w:t xml:space="preserve">La Comisión nota que el señor Arboleda presentó una acción de tutela en contra de la sentencia y de la acusación fiscal, en donde alegó </w:t>
      </w:r>
      <w:r w:rsidR="00927088">
        <w:t>que el proceso penal vulneró su derecho</w:t>
      </w:r>
      <w:r>
        <w:t xml:space="preserve"> al debido proceso. </w:t>
      </w:r>
      <w:r w:rsidR="005B1279">
        <w:t>Se alegó que la prueba fuente de la investigación, la grabación con el señor Villamizar, “es ilíc</w:t>
      </w:r>
      <w:r w:rsidR="00927088">
        <w:t>it</w:t>
      </w:r>
      <w:r w:rsidR="005B1279">
        <w:t>a y todas las pruebas han sido derivadas de ella”. Añadió que conforme al artículo 29 de la Constitución Política resulta nula “la prueba obtenida con violación del debido proceso”. El señor Arboleda también sostuvo que se incorporó al proceso una decisión disciplinaria de la Procuraduría General de la Nación, adoptada en un proceso distinto al seguido y que a la fecha no se encontraba en firme porque se encontraba recurrida en reposición</w:t>
      </w:r>
      <w:r w:rsidR="005B1279" w:rsidRPr="00C32C51">
        <w:rPr>
          <w:rStyle w:val="FootnoteReference"/>
          <w:color w:val="auto"/>
        </w:rPr>
        <w:footnoteReference w:id="16"/>
      </w:r>
      <w:r w:rsidR="005B1279">
        <w:t xml:space="preserve">. </w:t>
      </w:r>
    </w:p>
    <w:p w14:paraId="5018ECE8" w14:textId="77777777" w:rsidR="00984D37" w:rsidRDefault="00984D37" w:rsidP="00984D37">
      <w:pPr>
        <w:pStyle w:val="parrafos"/>
        <w:numPr>
          <w:ilvl w:val="0"/>
          <w:numId w:val="0"/>
        </w:numPr>
      </w:pPr>
    </w:p>
    <w:p w14:paraId="67456715" w14:textId="77777777" w:rsidR="00916B79" w:rsidRDefault="00916B79" w:rsidP="00B57C56">
      <w:pPr>
        <w:pStyle w:val="parrafos"/>
        <w:ind w:left="0" w:firstLine="0"/>
      </w:pPr>
      <w:r>
        <w:t>El 1 de diciembre de 2000 la Sala Jurisdiccional Disciplinaria del Consejo Seccional de la Judicatura de Cundinamarca rechazó la acción de tutela. La Sala indicó que la acción de tutela es “una acción extraordinaria, breve y sumaria” y que “</w:t>
      </w:r>
      <w:r w:rsidR="00EF487B">
        <w:t>no procede contra actuaciones judiciales, salvo cuando se configura una vía de hecho, es decir, una abierta violación a las leyes (...) y a la Constitución”. La Sala sostuvo que en el presente caso no se comprobó la vulneración del debido proceso al señor Arboleda. Explicó que en su sentencia la Corte consideró que “la informalidad e ilicitud de una prueba, como en este caso de las grabaciones clandestinas, de una llamada telefónica, no afecta la estructura integral del proceso, si existen otros medios de prueba legalmente válidos para fundamentar la responsabilidad penal”</w:t>
      </w:r>
      <w:r w:rsidR="00EF487B" w:rsidRPr="00C32C51">
        <w:rPr>
          <w:rStyle w:val="FootnoteReference"/>
          <w:color w:val="auto"/>
        </w:rPr>
        <w:footnoteReference w:id="17"/>
      </w:r>
      <w:r w:rsidR="00EF487B">
        <w:t>.</w:t>
      </w:r>
    </w:p>
    <w:p w14:paraId="6C90728F" w14:textId="77777777" w:rsidR="00090808" w:rsidRDefault="00090808" w:rsidP="00090808">
      <w:pPr>
        <w:pStyle w:val="parrafos"/>
        <w:numPr>
          <w:ilvl w:val="0"/>
          <w:numId w:val="0"/>
        </w:numPr>
      </w:pPr>
    </w:p>
    <w:p w14:paraId="7C87C14C" w14:textId="77777777" w:rsidR="00090808" w:rsidRDefault="00090808" w:rsidP="00090808">
      <w:pPr>
        <w:pStyle w:val="parrafos"/>
        <w:ind w:left="0" w:firstLine="0"/>
        <w:rPr>
          <w:color w:val="auto"/>
        </w:rPr>
      </w:pPr>
      <w:r>
        <w:rPr>
          <w:color w:val="auto"/>
        </w:rPr>
        <w:t>L</w:t>
      </w:r>
      <w:r w:rsidRPr="002E6D3A">
        <w:rPr>
          <w:color w:val="auto"/>
        </w:rPr>
        <w:t xml:space="preserve">a Sala Jurisdiccional Disciplinaria del Consejo Seccional de la Judicatura de Cundinamarca </w:t>
      </w:r>
      <w:r>
        <w:rPr>
          <w:color w:val="auto"/>
        </w:rPr>
        <w:t>agregó lo siguiente</w:t>
      </w:r>
      <w:r w:rsidRPr="002E6D3A">
        <w:rPr>
          <w:color w:val="auto"/>
        </w:rPr>
        <w:t>:</w:t>
      </w:r>
    </w:p>
    <w:p w14:paraId="7F0F696E" w14:textId="77777777" w:rsidR="00090808" w:rsidRPr="002E6D3A" w:rsidRDefault="00090808" w:rsidP="00090808">
      <w:pPr>
        <w:pStyle w:val="parrafos"/>
        <w:numPr>
          <w:ilvl w:val="0"/>
          <w:numId w:val="0"/>
        </w:numPr>
        <w:rPr>
          <w:color w:val="auto"/>
        </w:rPr>
      </w:pPr>
      <w:r w:rsidRPr="002E6D3A">
        <w:rPr>
          <w:color w:val="auto"/>
        </w:rPr>
        <w:t xml:space="preserve"> </w:t>
      </w:r>
    </w:p>
    <w:p w14:paraId="0D4CA5AA" w14:textId="77777777" w:rsidR="00090808" w:rsidRPr="00150A5B" w:rsidRDefault="00090808" w:rsidP="00090808">
      <w:pPr>
        <w:pStyle w:val="parrafos"/>
        <w:numPr>
          <w:ilvl w:val="0"/>
          <w:numId w:val="0"/>
        </w:numPr>
        <w:ind w:left="360" w:right="720"/>
        <w:rPr>
          <w:sz w:val="18"/>
          <w:szCs w:val="18"/>
        </w:rPr>
      </w:pPr>
      <w:r w:rsidRPr="00150A5B">
        <w:rPr>
          <w:sz w:val="18"/>
          <w:szCs w:val="18"/>
        </w:rPr>
        <w:t>El error en el juicio valorativo de la prueba debe ser de tal entidad que sea ostensible, flagrante y manifiesto, y el mismo debe tener una incidencia directa en la decisión, pues el Juez de Tutela no puede convertirse en una instancia revisora de la actividad de evaluación probatoria del Juez que ordinariamente conoce de un asunto, según las reglas generales de competencia, porque ello sería contrario al principio de que la tutela es un medio alternativo de defensa judicial, aparte de que se invadiría la órbita de la competencia y la autonomía de que son titulares las otras jurisdicciones</w:t>
      </w:r>
      <w:r>
        <w:rPr>
          <w:sz w:val="18"/>
          <w:szCs w:val="18"/>
        </w:rPr>
        <w:t>.</w:t>
      </w:r>
      <w:r w:rsidRPr="00150A5B">
        <w:rPr>
          <w:sz w:val="18"/>
          <w:szCs w:val="18"/>
        </w:rPr>
        <w:t xml:space="preserve"> </w:t>
      </w:r>
    </w:p>
    <w:p w14:paraId="507C123F" w14:textId="77777777" w:rsidR="00090808" w:rsidRPr="002E6D3A" w:rsidRDefault="00090808" w:rsidP="00090808">
      <w:pPr>
        <w:pStyle w:val="parrafos"/>
        <w:numPr>
          <w:ilvl w:val="0"/>
          <w:numId w:val="0"/>
        </w:numPr>
        <w:ind w:left="360"/>
      </w:pPr>
      <w:r>
        <w:t>(...)</w:t>
      </w:r>
    </w:p>
    <w:p w14:paraId="42D4CA29" w14:textId="77777777" w:rsidR="00090808" w:rsidRPr="00150A5B" w:rsidRDefault="00090808" w:rsidP="00090808">
      <w:pPr>
        <w:pStyle w:val="parrafos"/>
        <w:numPr>
          <w:ilvl w:val="0"/>
          <w:numId w:val="0"/>
        </w:numPr>
        <w:ind w:left="360" w:right="720"/>
        <w:rPr>
          <w:sz w:val="18"/>
          <w:szCs w:val="18"/>
        </w:rPr>
      </w:pPr>
      <w:r w:rsidRPr="00150A5B">
        <w:rPr>
          <w:sz w:val="18"/>
          <w:szCs w:val="18"/>
        </w:rPr>
        <w:t>[N]osotros como Jueces de tutela no podemos enseñarle a la Corte cómo ha debido interpretar el problema so pena de violar el principio de autonomía Judicial</w:t>
      </w:r>
      <w:r w:rsidRPr="00150A5B">
        <w:rPr>
          <w:rStyle w:val="FootnoteReference"/>
          <w:sz w:val="18"/>
          <w:szCs w:val="18"/>
        </w:rPr>
        <w:footnoteReference w:id="18"/>
      </w:r>
      <w:r w:rsidRPr="00150A5B">
        <w:rPr>
          <w:sz w:val="18"/>
          <w:szCs w:val="18"/>
        </w:rPr>
        <w:t>.</w:t>
      </w:r>
    </w:p>
    <w:p w14:paraId="785C6779" w14:textId="77777777" w:rsidR="00916B79" w:rsidRDefault="00916B79" w:rsidP="00916B79">
      <w:pPr>
        <w:pStyle w:val="parrafos"/>
        <w:numPr>
          <w:ilvl w:val="0"/>
          <w:numId w:val="0"/>
        </w:numPr>
      </w:pPr>
    </w:p>
    <w:p w14:paraId="0BFA9255" w14:textId="77777777" w:rsidR="00145DAD" w:rsidRPr="00145DAD" w:rsidRDefault="00EF487B" w:rsidP="00145DAD">
      <w:pPr>
        <w:pStyle w:val="parrafos"/>
        <w:ind w:left="0" w:firstLine="0"/>
      </w:pPr>
      <w:r>
        <w:t>Dicha decisión fue recurrida y el 5 de febrero de 2001</w:t>
      </w:r>
      <w:r w:rsidR="00F83DCC">
        <w:t xml:space="preserve"> la Sala Jurisdiccional Disciplinaria del Consejo Superior de la Judicatura confirmó la sentencia impugnada</w:t>
      </w:r>
      <w:r w:rsidR="00F83DCC" w:rsidRPr="00C32C51">
        <w:rPr>
          <w:rStyle w:val="FootnoteReference"/>
          <w:color w:val="auto"/>
        </w:rPr>
        <w:footnoteReference w:id="19"/>
      </w:r>
      <w:r w:rsidR="00F83DCC">
        <w:t xml:space="preserve">. </w:t>
      </w:r>
      <w:r w:rsidR="00145DAD">
        <w:t xml:space="preserve">La parte peticionaria sostiene que el señor Arboleda solicitó a la Corte Constitucional que la acción de tutela sea </w:t>
      </w:r>
      <w:r w:rsidR="00524F4E" w:rsidRPr="00145DAD">
        <w:rPr>
          <w:color w:val="auto"/>
        </w:rPr>
        <w:t>seleccionada para revisión</w:t>
      </w:r>
      <w:r w:rsidR="00145DAD">
        <w:rPr>
          <w:color w:val="auto"/>
        </w:rPr>
        <w:t>, lo cual fue denegado</w:t>
      </w:r>
      <w:r w:rsidR="00D22C36">
        <w:rPr>
          <w:rStyle w:val="FootnoteReference"/>
          <w:color w:val="auto"/>
        </w:rPr>
        <w:footnoteReference w:id="20"/>
      </w:r>
      <w:r w:rsidR="00145DAD">
        <w:rPr>
          <w:color w:val="auto"/>
        </w:rPr>
        <w:t xml:space="preserve">. </w:t>
      </w:r>
      <w:r w:rsidR="00D22C36">
        <w:rPr>
          <w:color w:val="auto"/>
        </w:rPr>
        <w:t xml:space="preserve">El 16 de abril de 2001 </w:t>
      </w:r>
      <w:r w:rsidR="00145DAD">
        <w:rPr>
          <w:color w:val="auto"/>
        </w:rPr>
        <w:t xml:space="preserve">el entonces Defensor del Pueblo </w:t>
      </w:r>
      <w:r w:rsidR="00145DAD" w:rsidRPr="00145DAD">
        <w:rPr>
          <w:color w:val="auto"/>
        </w:rPr>
        <w:t xml:space="preserve">interpuso </w:t>
      </w:r>
      <w:r w:rsidR="00145DAD">
        <w:rPr>
          <w:color w:val="auto"/>
        </w:rPr>
        <w:t xml:space="preserve">un </w:t>
      </w:r>
      <w:r w:rsidR="00145DAD" w:rsidRPr="00145DAD">
        <w:rPr>
          <w:color w:val="auto"/>
        </w:rPr>
        <w:t>recurso de insi</w:t>
      </w:r>
      <w:r w:rsidR="00D22C36">
        <w:rPr>
          <w:color w:val="auto"/>
        </w:rPr>
        <w:t>stencia para revisión de tutela</w:t>
      </w:r>
      <w:r w:rsidR="00D22C36">
        <w:rPr>
          <w:rStyle w:val="FootnoteReference"/>
          <w:color w:val="auto"/>
        </w:rPr>
        <w:footnoteReference w:id="21"/>
      </w:r>
      <w:r w:rsidR="00145DAD">
        <w:rPr>
          <w:color w:val="auto"/>
        </w:rPr>
        <w:t>.</w:t>
      </w:r>
    </w:p>
    <w:p w14:paraId="26CC86A5" w14:textId="77777777" w:rsidR="00145DAD" w:rsidRDefault="00145DAD" w:rsidP="00145DAD">
      <w:pPr>
        <w:pStyle w:val="parrafos"/>
        <w:numPr>
          <w:ilvl w:val="0"/>
          <w:numId w:val="0"/>
        </w:numPr>
        <w:rPr>
          <w:color w:val="auto"/>
        </w:rPr>
      </w:pPr>
    </w:p>
    <w:p w14:paraId="0F563186" w14:textId="77777777" w:rsidR="0061467D" w:rsidRPr="00F83DCC" w:rsidRDefault="00524F4E" w:rsidP="000C1672">
      <w:pPr>
        <w:pStyle w:val="parrafos"/>
        <w:ind w:left="0" w:firstLine="0"/>
      </w:pPr>
      <w:r w:rsidRPr="00145DAD">
        <w:rPr>
          <w:color w:val="auto"/>
        </w:rPr>
        <w:t xml:space="preserve"> </w:t>
      </w:r>
      <w:r w:rsidR="00145DAD">
        <w:rPr>
          <w:color w:val="auto"/>
        </w:rPr>
        <w:t>El</w:t>
      </w:r>
      <w:r w:rsidR="006B5193" w:rsidRPr="00145DAD">
        <w:rPr>
          <w:color w:val="auto"/>
        </w:rPr>
        <w:t xml:space="preserve"> 6 de marzo de 2002</w:t>
      </w:r>
      <w:r w:rsidR="00D22C36">
        <w:rPr>
          <w:color w:val="auto"/>
        </w:rPr>
        <w:t xml:space="preserve"> la Corte Constitucional confirmó la decisión de 5 de febrero de 2001. La Corte afirmó que</w:t>
      </w:r>
      <w:r w:rsidR="00890432" w:rsidRPr="00D22C36">
        <w:rPr>
          <w:color w:val="auto"/>
        </w:rPr>
        <w:t xml:space="preserve"> “el Juez de tutela no puede convertirse en una instancia revisora de la ac</w:t>
      </w:r>
      <w:r w:rsidR="00D22C36">
        <w:rPr>
          <w:color w:val="auto"/>
        </w:rPr>
        <w:t>tividad de evaluación probatoria</w:t>
      </w:r>
      <w:r w:rsidR="00890432" w:rsidRPr="00D22C36">
        <w:rPr>
          <w:color w:val="auto"/>
        </w:rPr>
        <w:t xml:space="preserve"> del Juez que ordinariamente conoce de un asunto, según las reglas generales de competencia”</w:t>
      </w:r>
      <w:r w:rsidR="00D22C36">
        <w:rPr>
          <w:color w:val="auto"/>
        </w:rPr>
        <w:t>. La Corte explicó</w:t>
      </w:r>
      <w:r w:rsidR="00DA59BF" w:rsidRPr="00D22C36">
        <w:rPr>
          <w:color w:val="auto"/>
        </w:rPr>
        <w:t xml:space="preserve"> que</w:t>
      </w:r>
      <w:r w:rsidR="006B5193" w:rsidRPr="00D22C36">
        <w:rPr>
          <w:color w:val="auto"/>
        </w:rPr>
        <w:t xml:space="preserve"> </w:t>
      </w:r>
      <w:r w:rsidR="00DA59BF" w:rsidRPr="00D22C36">
        <w:rPr>
          <w:color w:val="auto"/>
        </w:rPr>
        <w:t>“</w:t>
      </w:r>
      <w:r w:rsidR="006B5193" w:rsidRPr="00D22C36">
        <w:rPr>
          <w:color w:val="auto"/>
        </w:rPr>
        <w:t>a pesar de que la grabación ilícita hubiera sido integral para el inicio de la investigación, esto no afectaba el debido proceso</w:t>
      </w:r>
      <w:r w:rsidR="00DA59BF" w:rsidRPr="00D22C36">
        <w:rPr>
          <w:color w:val="auto"/>
        </w:rPr>
        <w:t>”</w:t>
      </w:r>
      <w:r w:rsidR="006B5193" w:rsidRPr="00D22C36">
        <w:rPr>
          <w:color w:val="auto"/>
        </w:rPr>
        <w:t>.</w:t>
      </w:r>
      <w:r w:rsidR="00C91815" w:rsidRPr="00D22C36">
        <w:rPr>
          <w:color w:val="auto"/>
        </w:rPr>
        <w:t xml:space="preserve"> </w:t>
      </w:r>
      <w:r w:rsidR="00145DAD" w:rsidRPr="00D22C36">
        <w:rPr>
          <w:color w:val="auto"/>
        </w:rPr>
        <w:t>Dicha decisión quedó ejecutoriada el 6 de mayo de 2002.</w:t>
      </w:r>
      <w:r w:rsidR="000C1672">
        <w:t xml:space="preserve"> </w:t>
      </w:r>
      <w:r w:rsidR="0061467D" w:rsidRPr="000C1672">
        <w:rPr>
          <w:color w:val="auto"/>
        </w:rPr>
        <w:t xml:space="preserve">La CIDH toma nota de que el señor </w:t>
      </w:r>
      <w:r w:rsidR="0061467D" w:rsidRPr="000C1672">
        <w:rPr>
          <w:color w:val="auto"/>
        </w:rPr>
        <w:lastRenderedPageBreak/>
        <w:t>Arboleda manifestó que en rueda de prensa de marzo de 200</w:t>
      </w:r>
      <w:r w:rsidR="000C1672" w:rsidRPr="000C1672">
        <w:rPr>
          <w:color w:val="auto"/>
        </w:rPr>
        <w:t>2 “la Corte Suprema reconfirmó que no estaba dispuesta a acatar tutelas como las mías”</w:t>
      </w:r>
      <w:r w:rsidR="000C1672">
        <w:rPr>
          <w:rStyle w:val="FootnoteReference"/>
          <w:color w:val="auto"/>
        </w:rPr>
        <w:footnoteReference w:id="22"/>
      </w:r>
      <w:r w:rsidR="000C1672" w:rsidRPr="000C1672">
        <w:rPr>
          <w:color w:val="auto"/>
        </w:rPr>
        <w:t>.</w:t>
      </w:r>
    </w:p>
    <w:p w14:paraId="78B6A363" w14:textId="77777777" w:rsidR="00CC582B" w:rsidRPr="00C32C51" w:rsidRDefault="00CC582B" w:rsidP="00CC582B">
      <w:pPr>
        <w:pStyle w:val="parrafos"/>
        <w:numPr>
          <w:ilvl w:val="0"/>
          <w:numId w:val="0"/>
        </w:numPr>
      </w:pPr>
    </w:p>
    <w:p w14:paraId="11A718A2" w14:textId="77777777" w:rsidR="00F428AD" w:rsidRPr="00F428AD" w:rsidRDefault="007D4D1F" w:rsidP="002E6D3A">
      <w:pPr>
        <w:pStyle w:val="parrafos"/>
        <w:ind w:left="0" w:firstLine="0"/>
        <w:rPr>
          <w:color w:val="auto"/>
        </w:rPr>
      </w:pPr>
      <w:r>
        <w:t>La</w:t>
      </w:r>
      <w:r w:rsidRPr="002E6D3A">
        <w:t xml:space="preserve"> Comisión toma nota </w:t>
      </w:r>
      <w:r w:rsidR="007345AB" w:rsidRPr="002E6D3A">
        <w:t>de que</w:t>
      </w:r>
      <w:r w:rsidR="00E6789A">
        <w:t>,</w:t>
      </w:r>
      <w:r w:rsidR="0053483C" w:rsidRPr="002E6D3A">
        <w:t xml:space="preserve"> conforme a lo señalado por el Estado,</w:t>
      </w:r>
      <w:r w:rsidR="007345AB" w:rsidRPr="002E6D3A">
        <w:t xml:space="preserve"> el señor Arboleda presentó al menos cinco </w:t>
      </w:r>
      <w:r w:rsidRPr="002E6D3A">
        <w:t xml:space="preserve">acciones de revisión </w:t>
      </w:r>
      <w:r w:rsidR="00626295">
        <w:t xml:space="preserve">en </w:t>
      </w:r>
      <w:r w:rsidR="00B868E8" w:rsidRPr="002E6D3A">
        <w:t xml:space="preserve">contra </w:t>
      </w:r>
      <w:r w:rsidR="00626295">
        <w:t xml:space="preserve">de </w:t>
      </w:r>
      <w:r w:rsidR="00B868E8" w:rsidRPr="002E6D3A">
        <w:t xml:space="preserve">la sentencia de </w:t>
      </w:r>
      <w:r w:rsidR="0053483C" w:rsidRPr="002E6D3A">
        <w:t>octubre de 2000</w:t>
      </w:r>
      <w:r w:rsidR="003D7F2E" w:rsidRPr="002E6D3A">
        <w:t>, las cuales fueron rechazadas</w:t>
      </w:r>
      <w:r w:rsidR="0053483C" w:rsidRPr="002E6D3A">
        <w:t>. Señaló que la acción de revisión</w:t>
      </w:r>
      <w:r w:rsidR="005508EB">
        <w:t xml:space="preserve"> “es excepcional y no ordinaria”, y</w:t>
      </w:r>
      <w:r w:rsidR="0053483C" w:rsidRPr="002E6D3A">
        <w:t xml:space="preserve"> procede contra sentencias ejecutoriadas conforme a causales establecidas en el Código de Procedimiento Penal</w:t>
      </w:r>
      <w:r w:rsidR="00F57C24" w:rsidRPr="002E6D3A">
        <w:rPr>
          <w:rStyle w:val="FootnoteReference"/>
          <w:color w:val="auto"/>
        </w:rPr>
        <w:footnoteReference w:id="23"/>
      </w:r>
      <w:r w:rsidR="0053483C" w:rsidRPr="002E6D3A">
        <w:t xml:space="preserve">. </w:t>
      </w:r>
      <w:r w:rsidR="00F428AD">
        <w:t>La CIDH recapitula dichas acciones de revisión</w:t>
      </w:r>
      <w:r w:rsidR="00626295">
        <w:t xml:space="preserve"> tal como indicó el Estado</w:t>
      </w:r>
      <w:r w:rsidR="00F428AD">
        <w:t>:</w:t>
      </w:r>
    </w:p>
    <w:p w14:paraId="5268C881" w14:textId="77777777" w:rsidR="00F428AD" w:rsidRDefault="00F428AD" w:rsidP="00F428AD">
      <w:pPr>
        <w:pStyle w:val="parrafos"/>
        <w:numPr>
          <w:ilvl w:val="0"/>
          <w:numId w:val="0"/>
        </w:numPr>
        <w:rPr>
          <w:color w:val="auto"/>
        </w:rPr>
      </w:pPr>
    </w:p>
    <w:p w14:paraId="18E0EBE9" w14:textId="77777777" w:rsidR="0074595F" w:rsidRPr="003823CD" w:rsidRDefault="0074595F" w:rsidP="0074595F">
      <w:pPr>
        <w:pStyle w:val="parrafos"/>
        <w:numPr>
          <w:ilvl w:val="0"/>
          <w:numId w:val="0"/>
        </w:numPr>
        <w:ind w:left="360"/>
        <w:rPr>
          <w:sz w:val="18"/>
          <w:szCs w:val="18"/>
        </w:rPr>
      </w:pPr>
      <w:r w:rsidRPr="003823CD">
        <w:rPr>
          <w:sz w:val="18"/>
          <w:szCs w:val="18"/>
        </w:rPr>
        <w:t>i)</w:t>
      </w:r>
      <w:r w:rsidR="00626295">
        <w:rPr>
          <w:sz w:val="18"/>
          <w:szCs w:val="18"/>
        </w:rPr>
        <w:t xml:space="preserve"> </w:t>
      </w:r>
      <w:r w:rsidRPr="003823CD">
        <w:rPr>
          <w:sz w:val="18"/>
          <w:szCs w:val="18"/>
        </w:rPr>
        <w:t>Acción de revisión (5 de diciembre de 2007): Fue inadmitida por la Corte Suprema de Justicia por cuanto el peticionario no demostró la existencia de hechos o pruebas nuevas (…)</w:t>
      </w:r>
      <w:r w:rsidR="00626295">
        <w:rPr>
          <w:sz w:val="18"/>
          <w:szCs w:val="18"/>
        </w:rPr>
        <w:t>.</w:t>
      </w:r>
    </w:p>
    <w:p w14:paraId="07C70478" w14:textId="77777777" w:rsidR="0074595F" w:rsidRPr="003823CD" w:rsidRDefault="0074595F" w:rsidP="0074595F">
      <w:pPr>
        <w:pStyle w:val="parrafos"/>
        <w:numPr>
          <w:ilvl w:val="0"/>
          <w:numId w:val="0"/>
        </w:numPr>
        <w:ind w:left="360"/>
        <w:rPr>
          <w:sz w:val="18"/>
          <w:szCs w:val="18"/>
        </w:rPr>
      </w:pPr>
      <w:r w:rsidRPr="003823CD">
        <w:rPr>
          <w:sz w:val="18"/>
          <w:szCs w:val="18"/>
        </w:rPr>
        <w:t>ii) Acción de revisión (9 de marzo de 2011): Inadmitió la acción de revisión por cuanto el peticionario allegó como hecho nuevo una decisión judicial que en nada afectaba su caso (…)</w:t>
      </w:r>
      <w:r w:rsidR="00626295">
        <w:rPr>
          <w:sz w:val="18"/>
          <w:szCs w:val="18"/>
        </w:rPr>
        <w:t>.</w:t>
      </w:r>
    </w:p>
    <w:p w14:paraId="79031342" w14:textId="77777777" w:rsidR="0074595F" w:rsidRPr="003823CD" w:rsidRDefault="0074595F" w:rsidP="0074595F">
      <w:pPr>
        <w:pStyle w:val="parrafos"/>
        <w:numPr>
          <w:ilvl w:val="0"/>
          <w:numId w:val="0"/>
        </w:numPr>
        <w:ind w:left="360"/>
        <w:rPr>
          <w:sz w:val="18"/>
          <w:szCs w:val="18"/>
        </w:rPr>
      </w:pPr>
      <w:r w:rsidRPr="003823CD">
        <w:rPr>
          <w:sz w:val="18"/>
          <w:szCs w:val="18"/>
        </w:rPr>
        <w:t xml:space="preserve"> iii) Acción de revisión (20 de junio de 2012): El peticionario desistió de la acción de revisión, por lo que no hubo un pronunciamiento de fondo. </w:t>
      </w:r>
    </w:p>
    <w:p w14:paraId="0606B681" w14:textId="77777777" w:rsidR="0074595F" w:rsidRPr="003823CD" w:rsidRDefault="0074595F" w:rsidP="0074595F">
      <w:pPr>
        <w:pStyle w:val="parrafos"/>
        <w:numPr>
          <w:ilvl w:val="0"/>
          <w:numId w:val="0"/>
        </w:numPr>
        <w:ind w:left="360"/>
        <w:rPr>
          <w:sz w:val="18"/>
          <w:szCs w:val="18"/>
        </w:rPr>
      </w:pPr>
      <w:r w:rsidRPr="003823CD">
        <w:rPr>
          <w:sz w:val="18"/>
          <w:szCs w:val="18"/>
        </w:rPr>
        <w:t>iv) Acción de revisión (25 de mayo de 2015): Fue inadmitida por el incumplimiento de requisitos formales y materiales en la presentación de la acción de revisión.</w:t>
      </w:r>
    </w:p>
    <w:p w14:paraId="4A941927" w14:textId="77777777" w:rsidR="00F428AD" w:rsidRPr="003823CD" w:rsidRDefault="0074595F" w:rsidP="0074595F">
      <w:pPr>
        <w:pStyle w:val="parrafos"/>
        <w:numPr>
          <w:ilvl w:val="0"/>
          <w:numId w:val="0"/>
        </w:numPr>
        <w:ind w:left="360"/>
        <w:rPr>
          <w:sz w:val="18"/>
          <w:szCs w:val="18"/>
        </w:rPr>
      </w:pPr>
      <w:r w:rsidRPr="003823CD">
        <w:rPr>
          <w:sz w:val="18"/>
          <w:szCs w:val="18"/>
        </w:rPr>
        <w:t xml:space="preserve"> v) Acción de revisión (30 de agosto de 2017): Fue inadmitida por incumplimiento de los requisitos en la presen</w:t>
      </w:r>
      <w:r w:rsidR="003823CD" w:rsidRPr="003823CD">
        <w:rPr>
          <w:sz w:val="18"/>
          <w:szCs w:val="18"/>
        </w:rPr>
        <w:t>tación de la acción de revisión</w:t>
      </w:r>
      <w:r w:rsidRPr="003823CD">
        <w:rPr>
          <w:rStyle w:val="FootnoteReference"/>
          <w:sz w:val="18"/>
          <w:szCs w:val="18"/>
        </w:rPr>
        <w:footnoteReference w:id="24"/>
      </w:r>
      <w:r w:rsidR="003823CD" w:rsidRPr="003823CD">
        <w:rPr>
          <w:sz w:val="18"/>
          <w:szCs w:val="18"/>
        </w:rPr>
        <w:t>.</w:t>
      </w:r>
    </w:p>
    <w:p w14:paraId="2E95C00A" w14:textId="77777777" w:rsidR="00D30F3C" w:rsidRDefault="00D30F3C" w:rsidP="00F428AD">
      <w:pPr>
        <w:pStyle w:val="parrafos"/>
        <w:numPr>
          <w:ilvl w:val="0"/>
          <w:numId w:val="0"/>
        </w:numPr>
      </w:pPr>
    </w:p>
    <w:p w14:paraId="41F5156D" w14:textId="77777777" w:rsidR="00D30F3C" w:rsidRDefault="00D30F3C" w:rsidP="00D30F3C">
      <w:pPr>
        <w:pStyle w:val="parrafos"/>
        <w:ind w:left="0" w:firstLine="0"/>
        <w:rPr>
          <w:color w:val="auto"/>
        </w:rPr>
      </w:pPr>
      <w:r>
        <w:rPr>
          <w:color w:val="auto"/>
        </w:rPr>
        <w:t xml:space="preserve">La Comisión </w:t>
      </w:r>
      <w:r w:rsidR="00626295">
        <w:rPr>
          <w:color w:val="auto"/>
        </w:rPr>
        <w:t>toma nota de que</w:t>
      </w:r>
      <w:r w:rsidR="0074595F">
        <w:rPr>
          <w:color w:val="auto"/>
        </w:rPr>
        <w:t>,</w:t>
      </w:r>
      <w:r>
        <w:rPr>
          <w:color w:val="auto"/>
        </w:rPr>
        <w:t xml:space="preserve"> en una de sus decisiones</w:t>
      </w:r>
      <w:r w:rsidR="007F06AF">
        <w:rPr>
          <w:color w:val="auto"/>
        </w:rPr>
        <w:t xml:space="preserve"> de rechazo del recurso de revisión,</w:t>
      </w:r>
      <w:r>
        <w:rPr>
          <w:color w:val="auto"/>
        </w:rPr>
        <w:t xml:space="preserve"> la Sala de Casación Penal de la Corte Suprema de Justicia indicó lo siguiente</w:t>
      </w:r>
      <w:r w:rsidR="007F06AF">
        <w:rPr>
          <w:color w:val="auto"/>
        </w:rPr>
        <w:t xml:space="preserve"> sobre las causales de procedencia</w:t>
      </w:r>
      <w:r>
        <w:rPr>
          <w:color w:val="auto"/>
        </w:rPr>
        <w:t xml:space="preserve">: </w:t>
      </w:r>
    </w:p>
    <w:p w14:paraId="7243CF9C" w14:textId="77777777" w:rsidR="00D30F3C" w:rsidRDefault="00D30F3C" w:rsidP="00D30F3C">
      <w:pPr>
        <w:pStyle w:val="parrafos"/>
        <w:numPr>
          <w:ilvl w:val="0"/>
          <w:numId w:val="0"/>
        </w:numPr>
        <w:rPr>
          <w:color w:val="auto"/>
        </w:rPr>
      </w:pPr>
    </w:p>
    <w:p w14:paraId="2E808BC9" w14:textId="77777777" w:rsidR="00D30F3C" w:rsidRPr="002E6D3A" w:rsidRDefault="00D30F3C" w:rsidP="00D30F3C">
      <w:pPr>
        <w:pStyle w:val="parrafos"/>
        <w:numPr>
          <w:ilvl w:val="0"/>
          <w:numId w:val="0"/>
        </w:numPr>
        <w:ind w:left="360" w:right="720"/>
      </w:pPr>
      <w:r w:rsidRPr="00840DF5">
        <w:rPr>
          <w:sz w:val="18"/>
          <w:szCs w:val="18"/>
        </w:rPr>
        <w:t xml:space="preserve">Los referidos supuestos, ciertamente no conllevan razones suficientes para nuevamente pretender la procedencia de esta extraordinaria acción por la causal alegada, ni tiene en este caso la virtualidad de desquiciar las providencias dictadas con sustento en las pruebas que obraban en el proceso. En efecto, sostuvo la Corte en providencia </w:t>
      </w:r>
      <w:r>
        <w:rPr>
          <w:sz w:val="18"/>
          <w:szCs w:val="18"/>
        </w:rPr>
        <w:t xml:space="preserve">(...)  </w:t>
      </w:r>
      <w:r w:rsidRPr="00840DF5">
        <w:rPr>
          <w:sz w:val="18"/>
          <w:szCs w:val="18"/>
        </w:rPr>
        <w:t>empeñarse en controvertir lo que con suficiencia se analizó en las instancias y culminó con ejecutoria de la condena, representa una indebida prolongación del debate que desnaturaliza no solo el cometido básico de la acción de revisión sino los efectos materiales de la cosa juzgada, como si de verdad una vez finiquitado el proceso pudiera acudirse a una especie de tercera instancia que en ejercicio circula ad infinitum, permita al desfavorecido con el fallo seguir planteando sus tesis derrotadas</w:t>
      </w:r>
      <w:r>
        <w:rPr>
          <w:sz w:val="18"/>
          <w:szCs w:val="18"/>
        </w:rPr>
        <w:t xml:space="preserve"> (...)</w:t>
      </w:r>
      <w:r w:rsidRPr="00840DF5">
        <w:rPr>
          <w:sz w:val="18"/>
          <w:szCs w:val="18"/>
        </w:rPr>
        <w:t xml:space="preserve"> Refiérase que la simple disparidad de criterios ahora esbozados por el demandante contra la sentencia, no puede dar lugar a la estructuración de la causal tercera de revisión invocada, toda vez que esta acción no es un recurso, porque se tramita por fuera del proceso una vez este ha terminado con una decisión en firme y por lo mismo, no tiene carácter de tercera instancia</w:t>
      </w:r>
      <w:r>
        <w:rPr>
          <w:rStyle w:val="FootnoteReference"/>
          <w:sz w:val="18"/>
          <w:szCs w:val="18"/>
        </w:rPr>
        <w:footnoteReference w:id="25"/>
      </w:r>
      <w:r>
        <w:rPr>
          <w:sz w:val="18"/>
          <w:szCs w:val="18"/>
        </w:rPr>
        <w:t>.</w:t>
      </w:r>
    </w:p>
    <w:p w14:paraId="147F5818" w14:textId="77777777" w:rsidR="00F428AD" w:rsidRDefault="00F428AD" w:rsidP="00F428AD">
      <w:pPr>
        <w:pStyle w:val="parrafos"/>
        <w:numPr>
          <w:ilvl w:val="0"/>
          <w:numId w:val="0"/>
        </w:numPr>
      </w:pPr>
    </w:p>
    <w:p w14:paraId="74633B6D" w14:textId="77777777" w:rsidR="0039581A" w:rsidRDefault="00F428AD" w:rsidP="0039581A">
      <w:pPr>
        <w:pStyle w:val="parrafos"/>
        <w:ind w:left="0" w:firstLine="0"/>
        <w:rPr>
          <w:color w:val="auto"/>
        </w:rPr>
      </w:pPr>
      <w:r>
        <w:rPr>
          <w:color w:val="auto"/>
        </w:rPr>
        <w:t>En relación con la acción de revisión presentada el 25 de mayo de 2015</w:t>
      </w:r>
      <w:r w:rsidR="00B74F3B" w:rsidRPr="002E6D3A">
        <w:rPr>
          <w:rStyle w:val="FootnoteReference"/>
          <w:color w:val="auto"/>
        </w:rPr>
        <w:footnoteReference w:id="26"/>
      </w:r>
      <w:r>
        <w:rPr>
          <w:color w:val="auto"/>
        </w:rPr>
        <w:t xml:space="preserve">, la CIDH observa que el señor Arboleda presentó </w:t>
      </w:r>
      <w:r w:rsidRPr="002E6D3A">
        <w:rPr>
          <w:color w:val="auto"/>
        </w:rPr>
        <w:t xml:space="preserve">una segunda acción de tutela en contra de </w:t>
      </w:r>
      <w:r>
        <w:rPr>
          <w:color w:val="auto"/>
        </w:rPr>
        <w:t>la</w:t>
      </w:r>
      <w:r w:rsidRPr="002E6D3A">
        <w:rPr>
          <w:color w:val="auto"/>
        </w:rPr>
        <w:t xml:space="preserve"> decisión</w:t>
      </w:r>
      <w:r>
        <w:rPr>
          <w:color w:val="auto"/>
        </w:rPr>
        <w:t xml:space="preserve"> que la inadmitió</w:t>
      </w:r>
      <w:r w:rsidRPr="002E6D3A">
        <w:rPr>
          <w:color w:val="auto"/>
        </w:rPr>
        <w:t>.</w:t>
      </w:r>
      <w:r w:rsidR="001B5082">
        <w:rPr>
          <w:color w:val="auto"/>
        </w:rPr>
        <w:t xml:space="preserve"> La acción de tutela fue negada en primera y segunda instanci</w:t>
      </w:r>
      <w:r w:rsidR="006078A2">
        <w:rPr>
          <w:color w:val="auto"/>
        </w:rPr>
        <w:t>a. El 23 de febrero de 2006 dos magistrados de la Corte Constitucional solicitaron a la Sala de Selección de Tutelas “la escogencia de la acción” de tutela</w:t>
      </w:r>
      <w:r w:rsidR="006078A2" w:rsidRPr="002E6D3A">
        <w:rPr>
          <w:vertAlign w:val="superscript"/>
        </w:rPr>
        <w:footnoteReference w:id="27"/>
      </w:r>
      <w:r w:rsidR="006078A2">
        <w:rPr>
          <w:color w:val="auto"/>
        </w:rPr>
        <w:t xml:space="preserve">. </w:t>
      </w:r>
      <w:r w:rsidR="0039581A" w:rsidRPr="002E6D3A">
        <w:rPr>
          <w:color w:val="auto"/>
        </w:rPr>
        <w:t xml:space="preserve">La CIDH toma nota de que el señor Arboleda manifestó que los magistrados </w:t>
      </w:r>
      <w:r w:rsidR="0039581A">
        <w:rPr>
          <w:color w:val="auto"/>
        </w:rPr>
        <w:t>de dicha Sala</w:t>
      </w:r>
      <w:r w:rsidR="0039581A" w:rsidRPr="002E6D3A">
        <w:rPr>
          <w:color w:val="auto"/>
        </w:rPr>
        <w:t xml:space="preserve"> fueron ternados para sus puestos por la propia Corte Suprema de Justicia, razón por la que solicitó su recusación</w:t>
      </w:r>
      <w:r w:rsidR="0039581A">
        <w:rPr>
          <w:color w:val="auto"/>
        </w:rPr>
        <w:t>. Explicó que su solicitud fue rechazada</w:t>
      </w:r>
      <w:r w:rsidR="0039581A" w:rsidRPr="002E6D3A">
        <w:rPr>
          <w:color w:val="auto"/>
        </w:rPr>
        <w:t>.</w:t>
      </w:r>
      <w:r w:rsidR="0039581A">
        <w:rPr>
          <w:color w:val="auto"/>
        </w:rPr>
        <w:t xml:space="preserve"> La parte peticionaria agregó que la Sala de Selección de Tutela negaron la solicitud de los magistrados</w:t>
      </w:r>
      <w:r w:rsidR="0039581A" w:rsidRPr="002E6D3A">
        <w:rPr>
          <w:rStyle w:val="FootnoteReference"/>
          <w:color w:val="auto"/>
        </w:rPr>
        <w:footnoteReference w:id="28"/>
      </w:r>
      <w:r w:rsidR="0039581A">
        <w:rPr>
          <w:color w:val="auto"/>
        </w:rPr>
        <w:t>.</w:t>
      </w:r>
    </w:p>
    <w:p w14:paraId="1DEBB2F8" w14:textId="77777777" w:rsidR="0039581A" w:rsidRDefault="0039581A" w:rsidP="00090808">
      <w:pPr>
        <w:pStyle w:val="parrafos"/>
        <w:numPr>
          <w:ilvl w:val="0"/>
          <w:numId w:val="0"/>
        </w:numPr>
        <w:rPr>
          <w:color w:val="auto"/>
        </w:rPr>
      </w:pPr>
    </w:p>
    <w:p w14:paraId="763D9CFF" w14:textId="77777777" w:rsidR="00090808" w:rsidRPr="0061467D" w:rsidRDefault="00090808" w:rsidP="005007CC">
      <w:pPr>
        <w:pStyle w:val="parrafos"/>
        <w:ind w:left="0" w:firstLine="0"/>
      </w:pPr>
      <w:r w:rsidRPr="0061467D">
        <w:rPr>
          <w:color w:val="auto"/>
        </w:rPr>
        <w:t xml:space="preserve">La CIDH toma nota de que el señor Arboleda alegó que la Corte Constitucional no fue un órgano independiente </w:t>
      </w:r>
      <w:r>
        <w:rPr>
          <w:color w:val="auto"/>
        </w:rPr>
        <w:t>y rechazó pronunciarse sobre su solicitud</w:t>
      </w:r>
      <w:r w:rsidRPr="0061467D">
        <w:rPr>
          <w:color w:val="auto"/>
        </w:rPr>
        <w:t xml:space="preserve"> puesto que</w:t>
      </w:r>
      <w:r>
        <w:rPr>
          <w:color w:val="auto"/>
        </w:rPr>
        <w:t xml:space="preserve"> dicha entida</w:t>
      </w:r>
      <w:r w:rsidRPr="0061467D">
        <w:rPr>
          <w:color w:val="auto"/>
        </w:rPr>
        <w:t xml:space="preserve"> sufrió presiones de la Corte Suprema de justicia</w:t>
      </w:r>
      <w:r>
        <w:rPr>
          <w:color w:val="auto"/>
        </w:rPr>
        <w:t>. Ello</w:t>
      </w:r>
      <w:r w:rsidRPr="0061467D">
        <w:rPr>
          <w:color w:val="auto"/>
        </w:rPr>
        <w:t xml:space="preserve"> luego de que éste decidiera declarar nulo el proceso seguido al señor Villamizar. Conforme se desprende de una nota de prensa, </w:t>
      </w:r>
      <w:r>
        <w:rPr>
          <w:color w:val="auto"/>
        </w:rPr>
        <w:t xml:space="preserve">en marzo de 2006 </w:t>
      </w:r>
      <w:r w:rsidRPr="0061467D">
        <w:rPr>
          <w:color w:val="auto"/>
        </w:rPr>
        <w:t xml:space="preserve">el entonces Presidente de la Corte Suprema </w:t>
      </w:r>
      <w:r w:rsidRPr="0061467D">
        <w:rPr>
          <w:color w:val="auto"/>
        </w:rPr>
        <w:lastRenderedPageBreak/>
        <w:t>indicó que la decisión de la Corte Constitucional de declarar la nulidad del proceso seguido en contra del señor Villamizar “se entromete (...) en la justicia penal (...). (U)na decisión de tal magnitud (...) estimula el ejercicio del grave mal de la corrupción”</w:t>
      </w:r>
      <w:r w:rsidRPr="0061467D">
        <w:rPr>
          <w:rStyle w:val="FootnoteReference"/>
          <w:color w:val="auto"/>
        </w:rPr>
        <w:footnoteReference w:id="29"/>
      </w:r>
      <w:r w:rsidRPr="0061467D">
        <w:rPr>
          <w:color w:val="auto"/>
        </w:rPr>
        <w:t xml:space="preserve">. </w:t>
      </w:r>
    </w:p>
    <w:p w14:paraId="34BCD8BA" w14:textId="77777777" w:rsidR="00150A5B" w:rsidRPr="002E6D3A" w:rsidRDefault="00150A5B" w:rsidP="005007CC">
      <w:pPr>
        <w:pStyle w:val="parrafos"/>
        <w:numPr>
          <w:ilvl w:val="0"/>
          <w:numId w:val="0"/>
        </w:numPr>
        <w:rPr>
          <w:color w:val="auto"/>
        </w:rPr>
      </w:pPr>
    </w:p>
    <w:p w14:paraId="4BD3153C" w14:textId="77777777" w:rsidR="00D12193" w:rsidRDefault="00D12193" w:rsidP="005007CC">
      <w:pPr>
        <w:pStyle w:val="Heading1"/>
        <w:spacing w:after="0"/>
      </w:pPr>
      <w:bookmarkStart w:id="7" w:name="_Toc470165133"/>
      <w:r w:rsidRPr="000A39E4">
        <w:t>ANÁLISIS DE DERECHO</w:t>
      </w:r>
      <w:bookmarkEnd w:id="7"/>
    </w:p>
    <w:p w14:paraId="7BE28B71" w14:textId="77777777" w:rsidR="004E42A4" w:rsidRDefault="004E42A4" w:rsidP="004E42A4">
      <w:pPr>
        <w:rPr>
          <w:lang w:val="es-ES_tradnl" w:eastAsia="es-ES"/>
        </w:rPr>
      </w:pPr>
    </w:p>
    <w:p w14:paraId="3D0C566D" w14:textId="77777777" w:rsidR="00E25558" w:rsidRPr="0042478D" w:rsidRDefault="004E42A4" w:rsidP="004E42A4">
      <w:pPr>
        <w:pStyle w:val="parrafos"/>
        <w:ind w:left="0" w:firstLine="0"/>
        <w:rPr>
          <w:rFonts w:eastAsia="Times New Roman"/>
          <w:bdr w:val="none" w:sz="0" w:space="0" w:color="auto"/>
        </w:rPr>
      </w:pPr>
      <w:r w:rsidRPr="0042478D">
        <w:rPr>
          <w:lang w:val="es-ES_tradnl"/>
        </w:rPr>
        <w:t>De</w:t>
      </w:r>
      <w:r w:rsidRPr="0042478D">
        <w:rPr>
          <w:lang w:val="es-CL"/>
        </w:rPr>
        <w:t xml:space="preserve"> manera preliminar al análisis en el presente caso, la Comisión </w:t>
      </w:r>
      <w:r w:rsidR="00E25558" w:rsidRPr="0042478D">
        <w:rPr>
          <w:lang w:val="es-CL"/>
        </w:rPr>
        <w:t>considera pertinente recordar</w:t>
      </w:r>
      <w:r w:rsidRPr="0042478D">
        <w:rPr>
          <w:lang w:val="es-CL"/>
        </w:rPr>
        <w:t xml:space="preserve"> que en su Informe “Corrupción y Derechos Humanos” </w:t>
      </w:r>
      <w:r w:rsidRPr="0042478D">
        <w:rPr>
          <w:rFonts w:eastAsia="Times New Roman"/>
          <w:bdr w:val="none" w:sz="0" w:space="0" w:color="auto"/>
        </w:rPr>
        <w:t>ha reconocido que “</w:t>
      </w:r>
      <w:r w:rsidR="00606BBD" w:rsidRPr="0042478D">
        <w:rPr>
          <w:rFonts w:eastAsia="Times New Roman"/>
          <w:bdr w:val="none" w:sz="0" w:space="0" w:color="auto"/>
        </w:rPr>
        <w:t>l</w:t>
      </w:r>
      <w:r w:rsidRPr="0042478D">
        <w:rPr>
          <w:rFonts w:eastAsia="Times New Roman"/>
          <w:bdr w:val="none" w:sz="0" w:space="0" w:color="auto"/>
        </w:rPr>
        <w:t>a corrupción socava la legitimidad de las instituciones públicas, atenta contra la sociedad, el orden moral y la justicia, así como contra el desarrollo integral de los pueblos” y  el combate contra ésta “fortalece las instituciones democráticas, evita las distorsiones de la economía, vicios en la gestión pública y el deterioro de la moral social”</w:t>
      </w:r>
      <w:r w:rsidRPr="0042478D">
        <w:rPr>
          <w:rStyle w:val="FootnoteReference"/>
          <w:rFonts w:eastAsia="Times New Roman"/>
          <w:bdr w:val="none" w:sz="0" w:space="0" w:color="auto"/>
        </w:rPr>
        <w:footnoteReference w:id="30"/>
      </w:r>
      <w:r w:rsidRPr="0042478D">
        <w:rPr>
          <w:rFonts w:eastAsia="Times New Roman"/>
          <w:bdr w:val="none" w:sz="0" w:space="0" w:color="auto"/>
        </w:rPr>
        <w:t xml:space="preserve">. </w:t>
      </w:r>
      <w:r w:rsidRPr="0042478D">
        <w:t>En el mismo sentido,</w:t>
      </w:r>
      <w:r w:rsidR="00606BBD" w:rsidRPr="0042478D">
        <w:t xml:space="preserve"> en Naciones Unidas, la Relatoría Especial</w:t>
      </w:r>
      <w:r w:rsidRPr="0042478D">
        <w:t xml:space="preserve"> sobre el tema de corrupción </w:t>
      </w:r>
      <w:r w:rsidR="00606BBD" w:rsidRPr="0042478D">
        <w:t>ha señalado que</w:t>
      </w:r>
      <w:r w:rsidRPr="0042478D">
        <w:t xml:space="preserve"> “</w:t>
      </w:r>
      <w:r w:rsidR="00606BBD" w:rsidRPr="0042478D">
        <w:t xml:space="preserve">[l] </w:t>
      </w:r>
      <w:r w:rsidRPr="0042478D">
        <w:t>a corrupción es una amenaza grave para la sostenibilidad de la democracia. La estabilidad política de un país se erosiona cuando, debido a la corrupción, no existe un marco institucional para el establecimiento de un gobierno democrático”</w:t>
      </w:r>
      <w:r w:rsidRPr="0042478D">
        <w:rPr>
          <w:rStyle w:val="FootnoteReference"/>
        </w:rPr>
        <w:footnoteReference w:id="31"/>
      </w:r>
      <w:r w:rsidRPr="0042478D">
        <w:t>.</w:t>
      </w:r>
      <w:r w:rsidR="00E25558" w:rsidRPr="0042478D">
        <w:t xml:space="preserve"> </w:t>
      </w:r>
    </w:p>
    <w:p w14:paraId="1D5C6E7D" w14:textId="77777777" w:rsidR="00E25558" w:rsidRPr="0042478D" w:rsidRDefault="00E25558" w:rsidP="00E25558">
      <w:pPr>
        <w:pStyle w:val="parrafos"/>
        <w:numPr>
          <w:ilvl w:val="0"/>
          <w:numId w:val="0"/>
        </w:numPr>
        <w:rPr>
          <w:rFonts w:eastAsia="Times New Roman"/>
          <w:bdr w:val="none" w:sz="0" w:space="0" w:color="auto"/>
        </w:rPr>
      </w:pPr>
    </w:p>
    <w:p w14:paraId="7E07718C" w14:textId="3AA05FF8" w:rsidR="00E25558" w:rsidRPr="0042478D" w:rsidRDefault="00E25558" w:rsidP="00E25558">
      <w:pPr>
        <w:pStyle w:val="parrafos"/>
        <w:ind w:left="0" w:firstLine="0"/>
        <w:rPr>
          <w:rFonts w:eastAsia="Times New Roman"/>
          <w:bdr w:val="none" w:sz="0" w:space="0" w:color="auto"/>
        </w:rPr>
      </w:pPr>
      <w:r w:rsidRPr="0042478D">
        <w:t xml:space="preserve">La CIDH ha indicado </w:t>
      </w:r>
      <w:r w:rsidRPr="0042478D">
        <w:rPr>
          <w:lang w:val="es-CL"/>
        </w:rPr>
        <w:t xml:space="preserve">que </w:t>
      </w:r>
      <w:r w:rsidRPr="0042478D">
        <w:rPr>
          <w:rFonts w:eastAsia="Times New Roman"/>
          <w:bdr w:val="none" w:sz="0" w:space="0" w:color="auto"/>
        </w:rPr>
        <w:t xml:space="preserve">en una sociedad democrática es necesario prevenir y reprimir aquellas prácticas corruptas, ya sea individuales y/o estructurales, que afecten la garantía de derechos humanos en un Estado de Derecho. La CIDH enfatizó que debido a ello </w:t>
      </w:r>
      <w:r w:rsidRPr="0042478D">
        <w:rPr>
          <w:lang w:val="es-CL"/>
        </w:rPr>
        <w:t xml:space="preserve">los Estados tienen la obligación de </w:t>
      </w:r>
      <w:r w:rsidRPr="0042478D">
        <w:rPr>
          <w:rFonts w:eastAsia="Times New Roman"/>
          <w:bdr w:val="none" w:sz="0" w:space="0" w:color="auto"/>
        </w:rPr>
        <w:t>prevenir, sancionar y erradicar la corrupción, sin embargo, para ello deben considerar los principios de no discriminación e igualdad, rendición de cuentas, acceso a la justicia, transparencia y participación</w:t>
      </w:r>
      <w:r w:rsidRPr="0042478D">
        <w:rPr>
          <w:rStyle w:val="FootnoteReference"/>
          <w:rFonts w:eastAsia="Times New Roman"/>
          <w:bdr w:val="none" w:sz="0" w:space="0" w:color="auto"/>
        </w:rPr>
        <w:footnoteReference w:id="32"/>
      </w:r>
      <w:r w:rsidRPr="0042478D">
        <w:rPr>
          <w:rFonts w:eastAsia="Times New Roman"/>
          <w:bdr w:val="none" w:sz="0" w:space="0" w:color="auto"/>
        </w:rPr>
        <w:t>.  En relación con este aspecto</w:t>
      </w:r>
      <w:r w:rsidR="004E42A4" w:rsidRPr="0042478D">
        <w:rPr>
          <w:rFonts w:eastAsia="Times New Roman"/>
          <w:bdr w:val="none" w:sz="0" w:space="0" w:color="auto"/>
        </w:rPr>
        <w:t>, tal y como fue indicado por la CIDH en su Resolución 1/18 sobre Corrupción y Derechos Humanos “[l] a lucha contra la corrupción, debe hacerse con pleno respeto a los derechos humanos, en especial, [el] debido proceso”</w:t>
      </w:r>
      <w:r w:rsidR="004E42A4" w:rsidRPr="0042478D">
        <w:rPr>
          <w:rStyle w:val="FootnoteReference"/>
          <w:rFonts w:eastAsia="Times New Roman"/>
          <w:bdr w:val="none" w:sz="0" w:space="0" w:color="auto"/>
        </w:rPr>
        <w:footnoteReference w:id="33"/>
      </w:r>
      <w:r w:rsidR="004E42A4" w:rsidRPr="0042478D">
        <w:rPr>
          <w:rFonts w:eastAsia="Times New Roman"/>
          <w:bdr w:val="none" w:sz="0" w:space="0" w:color="auto"/>
        </w:rPr>
        <w:t xml:space="preserve">. </w:t>
      </w:r>
    </w:p>
    <w:p w14:paraId="7E9BF447" w14:textId="77777777" w:rsidR="00E25558" w:rsidRPr="0042478D" w:rsidRDefault="00E25558" w:rsidP="00E25558">
      <w:pPr>
        <w:pStyle w:val="ListParagraph"/>
        <w:rPr>
          <w:rFonts w:eastAsia="Times New Roman"/>
          <w:bdr w:val="none" w:sz="0" w:space="0" w:color="auto"/>
          <w:lang w:val="es-US"/>
        </w:rPr>
      </w:pPr>
    </w:p>
    <w:p w14:paraId="3FF741B4" w14:textId="77777777" w:rsidR="004E42A4" w:rsidRPr="0042478D" w:rsidRDefault="00E25558" w:rsidP="004E42A4">
      <w:pPr>
        <w:pStyle w:val="parrafos"/>
        <w:ind w:left="0" w:firstLine="0"/>
        <w:rPr>
          <w:rFonts w:eastAsia="Times New Roman"/>
          <w:bdr w:val="none" w:sz="0" w:space="0" w:color="auto"/>
        </w:rPr>
      </w:pPr>
      <w:r w:rsidRPr="0042478D">
        <w:rPr>
          <w:rFonts w:eastAsia="Times New Roman"/>
          <w:bdr w:val="none" w:sz="0" w:space="0" w:color="auto"/>
        </w:rPr>
        <w:t xml:space="preserve">Teniendo en cuenta lo anterior, la Comisión </w:t>
      </w:r>
      <w:r w:rsidR="004E42A4" w:rsidRPr="0042478D">
        <w:rPr>
          <w:rFonts w:eastAsia="Times New Roman"/>
          <w:bdr w:val="none" w:sz="0" w:space="0" w:color="auto"/>
        </w:rPr>
        <w:t xml:space="preserve">pasará a continuación a pronunciarse en cuanto a si la presunta víctima contó con las garantías </w:t>
      </w:r>
      <w:r w:rsidR="00606BBD" w:rsidRPr="0042478D">
        <w:rPr>
          <w:rFonts w:eastAsia="Times New Roman"/>
          <w:bdr w:val="none" w:sz="0" w:space="0" w:color="auto"/>
        </w:rPr>
        <w:t>correspondiente en el proceso penal al cual se encontró sujeto. Sin perjuicio de lo anterior, la Comisión resalta que no se encuentra dentro de su mandato pronunciarse sobre la responsabilidad individual de la presunta víctima en relación con los hechos motivo del referido proceso, cuestión que es competencia del ámbito interno.</w:t>
      </w:r>
    </w:p>
    <w:p w14:paraId="0BA05E40" w14:textId="77777777" w:rsidR="0006565A" w:rsidRPr="005007CC" w:rsidRDefault="0006565A" w:rsidP="005007C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CL"/>
        </w:rPr>
      </w:pPr>
    </w:p>
    <w:p w14:paraId="224C7825" w14:textId="77777777" w:rsidR="00C96CDC" w:rsidRDefault="00C96CDC" w:rsidP="003F1C56">
      <w:pPr>
        <w:pStyle w:val="Heading2"/>
        <w:numPr>
          <w:ilvl w:val="0"/>
          <w:numId w:val="60"/>
        </w:numPr>
      </w:pPr>
      <w:bookmarkStart w:id="8" w:name="_Toc470165134"/>
      <w:r>
        <w:t>Derecho a las garantías judiciales y protección judicial (artículo</w:t>
      </w:r>
      <w:r w:rsidR="004D5F55">
        <w:t>s 8.1,</w:t>
      </w:r>
      <w:r>
        <w:t xml:space="preserve"> 8.2, 8.2.h y 25.1 de </w:t>
      </w:r>
      <w:r w:rsidRPr="005007CC">
        <w:t>la Convención Americana en relación con los artículos 1.1 y 2 del mismo instrumento</w:t>
      </w:r>
      <w:r>
        <w:rPr>
          <w:rStyle w:val="FootnoteReference"/>
        </w:rPr>
        <w:footnoteReference w:id="34"/>
      </w:r>
      <w:r>
        <w:t>)</w:t>
      </w:r>
      <w:bookmarkEnd w:id="8"/>
      <w:r>
        <w:t xml:space="preserve"> </w:t>
      </w:r>
    </w:p>
    <w:p w14:paraId="6AA9F470" w14:textId="77777777" w:rsidR="00C96CDC" w:rsidRDefault="00C96CDC" w:rsidP="003F1C56">
      <w:pPr>
        <w:pStyle w:val="Heading2"/>
        <w:numPr>
          <w:ilvl w:val="0"/>
          <w:numId w:val="0"/>
        </w:numPr>
        <w:ind w:left="360"/>
      </w:pPr>
    </w:p>
    <w:p w14:paraId="15135417" w14:textId="77777777" w:rsidR="005007CC" w:rsidRPr="004D5F55" w:rsidRDefault="00C96CDC" w:rsidP="003F1C56">
      <w:pPr>
        <w:pStyle w:val="Heading2"/>
        <w:numPr>
          <w:ilvl w:val="0"/>
          <w:numId w:val="0"/>
        </w:numPr>
        <w:ind w:left="360" w:hanging="360"/>
      </w:pPr>
      <w:bookmarkStart w:id="9" w:name="_Toc470165135"/>
      <w:r w:rsidRPr="004D5F55">
        <w:t xml:space="preserve">1. </w:t>
      </w:r>
      <w:r w:rsidRPr="004D5F55">
        <w:tab/>
      </w:r>
      <w:r w:rsidR="005007CC" w:rsidRPr="004D5F55">
        <w:t xml:space="preserve">Derecho de </w:t>
      </w:r>
      <w:r w:rsidR="005007CC" w:rsidRPr="004D5F55">
        <w:rPr>
          <w:rStyle w:val="Heading3Char"/>
          <w:b/>
        </w:rPr>
        <w:t>recurrir</w:t>
      </w:r>
      <w:r w:rsidR="005007CC" w:rsidRPr="004D5F55">
        <w:t xml:space="preserve"> del fall</w:t>
      </w:r>
      <w:r w:rsidR="00204A54" w:rsidRPr="004D5F55">
        <w:t>o ante juez o tribunal superior, y derecho a la protección judicial</w:t>
      </w:r>
      <w:bookmarkEnd w:id="9"/>
    </w:p>
    <w:p w14:paraId="218DC34F" w14:textId="77777777" w:rsidR="005007CC" w:rsidRPr="005007CC" w:rsidRDefault="005007CC" w:rsidP="005007C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ES_tradnl"/>
        </w:rPr>
      </w:pPr>
    </w:p>
    <w:p w14:paraId="568A7614" w14:textId="77777777" w:rsidR="005007CC" w:rsidRPr="005007CC" w:rsidRDefault="005007CC" w:rsidP="005007CC">
      <w:pPr>
        <w:pStyle w:val="parrafos"/>
        <w:ind w:left="0" w:firstLine="0"/>
        <w:rPr>
          <w:spacing w:val="-2"/>
          <w:lang w:val="es-ES_tradnl"/>
        </w:rPr>
      </w:pPr>
      <w:r w:rsidRPr="005007CC">
        <w:rPr>
          <w:lang w:val="es-ES_tradnl"/>
        </w:rPr>
        <w:t>El derecho a recurrir el fallo ante un juez o tribunal distinto y de superior jerarquía</w:t>
      </w:r>
      <w:r w:rsidR="00C96CDC">
        <w:rPr>
          <w:lang w:val="es-ES_tradnl"/>
        </w:rPr>
        <w:t>, establecido en el artículo 8.2.h de la Convención Americana,</w:t>
      </w:r>
      <w:r w:rsidRPr="005007CC">
        <w:rPr>
          <w:lang w:val="es-ES_tradnl"/>
        </w:rPr>
        <w:t xml:space="preserve"> es una garantía primordial en el marco del debido proceso legal, cuya finalidad es evitar que se consolide una situación de injusticia. De acuerdo a la jurisprudencia interamericana, el objetivo de este derecho es permitir que una sentencia adversa pueda ser revisada por un </w:t>
      </w:r>
      <w:r w:rsidRPr="005007CC">
        <w:rPr>
          <w:lang w:val="es-ES_tradnl"/>
        </w:rPr>
        <w:lastRenderedPageBreak/>
        <w:t>juez o tribunal distinto y de superior jerarquía orgánica</w:t>
      </w:r>
      <w:r w:rsidRPr="005007CC">
        <w:rPr>
          <w:rStyle w:val="FootnoteReference"/>
        </w:rPr>
        <w:footnoteReference w:id="35"/>
      </w:r>
      <w:r w:rsidRPr="005007CC">
        <w:rPr>
          <w:lang w:val="es-ES_tradnl"/>
        </w:rPr>
        <w:t xml:space="preserve"> y evitar que quede firme una decisión que fue adoptada con vicios y que contiene errores que ocasionarán un perjuicio indebido a los intereses de una persona</w:t>
      </w:r>
      <w:r w:rsidRPr="005007CC">
        <w:rPr>
          <w:rStyle w:val="FootnoteReference"/>
          <w:lang w:val="es-ES_tradnl"/>
        </w:rPr>
        <w:footnoteReference w:id="36"/>
      </w:r>
      <w:r w:rsidRPr="005007CC">
        <w:rPr>
          <w:lang w:val="es-ES_tradnl"/>
        </w:rPr>
        <w:t xml:space="preserve">. </w:t>
      </w:r>
      <w:r w:rsidRPr="005007CC">
        <w:rPr>
          <w:spacing w:val="-2"/>
          <w:lang w:val="es-ES_tradnl"/>
        </w:rPr>
        <w:t>El debido proceso legal carecería de eficacia sin el derecho a la defensa en juicio y la oportunidad de defenderse contra una sentencia mediante una revisión adecuada</w:t>
      </w:r>
      <w:r w:rsidRPr="005007CC">
        <w:rPr>
          <w:rStyle w:val="FootnoteReference"/>
          <w:spacing w:val="-2"/>
          <w:lang w:val="es-ES_tradnl"/>
        </w:rPr>
        <w:footnoteReference w:id="37"/>
      </w:r>
      <w:r w:rsidRPr="005007CC">
        <w:rPr>
          <w:spacing w:val="-2"/>
          <w:lang w:val="es-ES_tradnl"/>
        </w:rPr>
        <w:t>.  </w:t>
      </w:r>
    </w:p>
    <w:p w14:paraId="18E0C8F1" w14:textId="77777777" w:rsidR="005007CC" w:rsidRPr="005007CC" w:rsidRDefault="005007CC" w:rsidP="005007CC">
      <w:pPr>
        <w:tabs>
          <w:tab w:val="left" w:pos="1440"/>
        </w:tabs>
        <w:jc w:val="both"/>
        <w:rPr>
          <w:rFonts w:ascii="Cambria" w:hAnsi="Cambria"/>
          <w:spacing w:val="-2"/>
          <w:sz w:val="20"/>
          <w:szCs w:val="20"/>
          <w:lang w:val="es-ES_tradnl"/>
        </w:rPr>
      </w:pPr>
    </w:p>
    <w:p w14:paraId="028979B4" w14:textId="77777777" w:rsidR="005007CC" w:rsidRPr="005007CC" w:rsidRDefault="005007CC" w:rsidP="005007CC">
      <w:pPr>
        <w:pStyle w:val="parrafos"/>
        <w:ind w:left="0" w:firstLine="0"/>
        <w:rPr>
          <w:spacing w:val="-2"/>
          <w:lang w:val="es-ES_tradnl"/>
        </w:rPr>
      </w:pPr>
      <w:r w:rsidRPr="005007CC">
        <w:rPr>
          <w:lang w:val="es-ES_tradnl"/>
        </w:rPr>
        <w:t>La Corte ha sostenido que “la doble conformidad judicial, expresada mediante el acceso a un recurso que otorgue la posibilidad de una revisión íntegra del fallo condenatorio, confirma el fundamento y otorga mayor credibilidad al acto jurisdiccional del Estado, y al mismo tiempo brinda mayor seguridad y tutela a los derechos del condenado”</w:t>
      </w:r>
      <w:r w:rsidRPr="005007CC">
        <w:rPr>
          <w:rStyle w:val="FootnoteReference"/>
        </w:rPr>
        <w:footnoteReference w:id="38"/>
      </w:r>
      <w:r w:rsidRPr="005007CC">
        <w:rPr>
          <w:lang w:val="es-ES_tradnl"/>
        </w:rPr>
        <w:t>.</w:t>
      </w:r>
      <w:r w:rsidR="005F0F59">
        <w:rPr>
          <w:lang w:val="es-ES_tradnl"/>
        </w:rPr>
        <w:t xml:space="preserve"> Asimismo, </w:t>
      </w:r>
      <w:r w:rsidR="005F0F59">
        <w:t>la Corte ha indicado que este derecho “permite corregir errores o injusticias que puedan haberse cometido en las decisiones de primera instancia, por lo que genera una doble conformidad judicial, otorga mayor credibilidad al acto jurisdiccional del Estado y brinda mayor seguridad y tutela a los derechos del condenado”</w:t>
      </w:r>
      <w:r w:rsidR="005F0F59">
        <w:rPr>
          <w:rStyle w:val="FootnoteReference"/>
        </w:rPr>
        <w:footnoteReference w:id="39"/>
      </w:r>
      <w:r w:rsidR="005F0F59">
        <w:t>.</w:t>
      </w:r>
    </w:p>
    <w:p w14:paraId="6F0EB20C" w14:textId="77777777" w:rsidR="005007CC" w:rsidRPr="005007CC" w:rsidRDefault="005007CC" w:rsidP="005007CC">
      <w:pPr>
        <w:jc w:val="both"/>
        <w:rPr>
          <w:rFonts w:ascii="Cambria" w:hAnsi="Cambria"/>
          <w:spacing w:val="-2"/>
          <w:sz w:val="20"/>
          <w:szCs w:val="20"/>
          <w:lang w:val="es-ES_tradnl"/>
        </w:rPr>
      </w:pPr>
    </w:p>
    <w:p w14:paraId="21D17764" w14:textId="77777777" w:rsidR="005007CC" w:rsidRPr="005007CC" w:rsidRDefault="005007CC" w:rsidP="005007CC">
      <w:pPr>
        <w:pStyle w:val="parrafos"/>
        <w:ind w:left="0" w:firstLine="0"/>
        <w:rPr>
          <w:spacing w:val="-2"/>
          <w:lang w:val="es-ES_tradnl"/>
        </w:rPr>
      </w:pPr>
      <w:r w:rsidRPr="005007CC">
        <w:rPr>
          <w:lang w:val="es-ES_tradnl"/>
        </w:rPr>
        <w:t>En</w:t>
      </w:r>
      <w:r w:rsidRPr="005007CC">
        <w:rPr>
          <w:spacing w:val="-2"/>
          <w:lang w:val="es-ES_tradnl"/>
        </w:rPr>
        <w:t xml:space="preserve"> ese sentido, para el derecho internacional de los derechos humanos es irrelevante la denominación o el nombre con el que se designe a este recurso</w:t>
      </w:r>
      <w:r w:rsidRPr="005007CC">
        <w:rPr>
          <w:rStyle w:val="FootnoteReference"/>
          <w:spacing w:val="-2"/>
          <w:lang w:val="es-ES_tradnl"/>
        </w:rPr>
        <w:footnoteReference w:id="40"/>
      </w:r>
      <w:r w:rsidRPr="005007CC">
        <w:rPr>
          <w:spacing w:val="-2"/>
          <w:lang w:val="es-ES_tradnl"/>
        </w:rPr>
        <w:t>, lo importante es que cumpla con determinados estándares. En primer lugar, debe proceder antes que la sentencia adquiera calidad de cosa juzgada</w:t>
      </w:r>
      <w:r w:rsidRPr="005007CC">
        <w:rPr>
          <w:rStyle w:val="FootnoteReference"/>
          <w:spacing w:val="-2"/>
          <w:lang w:val="es-ES_tradnl"/>
        </w:rPr>
        <w:footnoteReference w:id="41"/>
      </w:r>
      <w:r w:rsidRPr="005007CC">
        <w:rPr>
          <w:spacing w:val="-2"/>
          <w:lang w:val="es-ES_tradnl"/>
        </w:rPr>
        <w:t xml:space="preserve"> y debe ser resuelto en un plazo razonable, es decir, debe ser </w:t>
      </w:r>
      <w:r w:rsidRPr="005007CC">
        <w:rPr>
          <w:i/>
          <w:spacing w:val="-2"/>
          <w:lang w:val="es-ES_tradnl"/>
        </w:rPr>
        <w:t>oportuno</w:t>
      </w:r>
      <w:r w:rsidRPr="005007CC">
        <w:rPr>
          <w:spacing w:val="-2"/>
          <w:lang w:val="es-ES_tradnl"/>
        </w:rPr>
        <w:t xml:space="preserve">. Asimismo, debe ser un recurso </w:t>
      </w:r>
      <w:r w:rsidRPr="005007CC">
        <w:rPr>
          <w:i/>
          <w:spacing w:val="-2"/>
          <w:lang w:val="es-ES_tradnl"/>
        </w:rPr>
        <w:t>eficaz</w:t>
      </w:r>
      <w:r w:rsidRPr="005007CC">
        <w:rPr>
          <w:spacing w:val="-2"/>
          <w:lang w:val="es-ES_tradnl"/>
        </w:rPr>
        <w:t>, es decir, debe dar resultados o respuestas al fin para el cual fue concebido</w:t>
      </w:r>
      <w:r w:rsidRPr="005007CC">
        <w:rPr>
          <w:rStyle w:val="FootnoteReference"/>
          <w:spacing w:val="-2"/>
          <w:lang w:val="es-ES_tradnl"/>
        </w:rPr>
        <w:footnoteReference w:id="42"/>
      </w:r>
      <w:r w:rsidRPr="005007CC">
        <w:rPr>
          <w:spacing w:val="-2"/>
          <w:lang w:val="es-ES_tradnl"/>
        </w:rPr>
        <w:t xml:space="preserve">, esto es, evitar la consolidación de una situación de injusticia. Además, debe ser </w:t>
      </w:r>
      <w:r w:rsidRPr="005007CC">
        <w:rPr>
          <w:i/>
          <w:spacing w:val="-2"/>
          <w:lang w:val="es-ES_tradnl"/>
        </w:rPr>
        <w:t>accesible</w:t>
      </w:r>
      <w:r w:rsidRPr="005007CC">
        <w:rPr>
          <w:spacing w:val="-2"/>
          <w:lang w:val="es-ES_tradnl"/>
        </w:rPr>
        <w:t>, sin requerir mayores formalidades que tornen ilusorio el derecho</w:t>
      </w:r>
      <w:r w:rsidRPr="005007CC">
        <w:rPr>
          <w:rStyle w:val="FootnoteReference"/>
          <w:spacing w:val="-2"/>
          <w:lang w:val="es-ES_tradnl"/>
        </w:rPr>
        <w:footnoteReference w:id="43"/>
      </w:r>
      <w:r w:rsidRPr="005007CC">
        <w:rPr>
          <w:spacing w:val="-2"/>
          <w:lang w:val="es-ES_tradnl"/>
        </w:rPr>
        <w:t xml:space="preserve">. </w:t>
      </w:r>
    </w:p>
    <w:p w14:paraId="7BDDF9A3" w14:textId="77777777" w:rsidR="005007CC" w:rsidRPr="005007CC" w:rsidRDefault="005007CC" w:rsidP="005007CC">
      <w:pPr>
        <w:tabs>
          <w:tab w:val="left" w:pos="1440"/>
        </w:tabs>
        <w:jc w:val="both"/>
        <w:rPr>
          <w:rFonts w:ascii="Cambria" w:hAnsi="Cambria"/>
          <w:sz w:val="20"/>
          <w:szCs w:val="20"/>
          <w:lang w:val="es-ES_tradnl"/>
        </w:rPr>
      </w:pPr>
    </w:p>
    <w:p w14:paraId="0DBED8E8" w14:textId="77777777" w:rsidR="005007CC" w:rsidRPr="005007CC" w:rsidRDefault="005007CC" w:rsidP="005007CC">
      <w:pPr>
        <w:pStyle w:val="parrafos"/>
        <w:ind w:left="0" w:firstLine="0"/>
        <w:rPr>
          <w:i/>
          <w:lang w:val="es-ES_tradnl"/>
        </w:rPr>
      </w:pPr>
      <w:r w:rsidRPr="005007CC">
        <w:rPr>
          <w:lang w:val="es-ES_tradnl"/>
        </w:rPr>
        <w:t xml:space="preserve">La Comisión resalta que la eficacia del recurso se encuentra estrechamente vinculada con el alcance de las posibilidades de recurrir el fallo. Esto, debido a que la falibilidad de las autoridades judiciales y la posibilidad de que cometan errores que generen una situación de injusticia, no se limita a la aplicación de la ley, sino que incluye otros aspectos tales como la determinación de los hechos o los criterios de valoración probatoria. De esta manera, el recurso será eficaz para lograr la finalidad para el cual fue concebido, si permite una revisión sobre tales cuestiones sin limitar </w:t>
      </w:r>
      <w:r w:rsidRPr="005007CC">
        <w:rPr>
          <w:i/>
          <w:lang w:val="es-ES_tradnl"/>
        </w:rPr>
        <w:t>a priori</w:t>
      </w:r>
      <w:r w:rsidRPr="005007CC">
        <w:rPr>
          <w:lang w:val="es-ES_tradnl"/>
        </w:rPr>
        <w:t xml:space="preserve"> su procedencia a determinados extremos de la actuación de la autoridad judicial</w:t>
      </w:r>
      <w:r w:rsidRPr="005007CC">
        <w:rPr>
          <w:rStyle w:val="FootnoteReference"/>
          <w:lang w:val="es-ES_tradnl"/>
        </w:rPr>
        <w:footnoteReference w:id="44"/>
      </w:r>
      <w:r w:rsidRPr="005007CC">
        <w:rPr>
          <w:lang w:val="es-ES_tradnl"/>
        </w:rPr>
        <w:t xml:space="preserve">. </w:t>
      </w:r>
    </w:p>
    <w:p w14:paraId="6D93E4F7" w14:textId="77777777" w:rsidR="005007CC" w:rsidRPr="005007CC" w:rsidRDefault="005007CC" w:rsidP="005007CC">
      <w:pPr>
        <w:jc w:val="both"/>
        <w:rPr>
          <w:rFonts w:ascii="Cambria" w:hAnsi="Cambria"/>
          <w:i/>
          <w:sz w:val="20"/>
          <w:szCs w:val="20"/>
          <w:lang w:val="es-ES_tradnl"/>
        </w:rPr>
      </w:pPr>
    </w:p>
    <w:p w14:paraId="5DC3C9C5" w14:textId="77777777" w:rsidR="005007CC" w:rsidRPr="005007CC" w:rsidRDefault="005007CC" w:rsidP="005007CC">
      <w:pPr>
        <w:pStyle w:val="parrafos"/>
        <w:ind w:left="0" w:firstLine="0"/>
        <w:rPr>
          <w:lang w:val="es-ES_tradnl"/>
        </w:rPr>
      </w:pPr>
      <w:r w:rsidRPr="005007CC">
        <w:rPr>
          <w:lang w:val="es-ES_tradnl"/>
        </w:rPr>
        <w:t xml:space="preserve">Al respecto, la Comisión Interamericana </w:t>
      </w:r>
      <w:r w:rsidR="00EF0C9B">
        <w:rPr>
          <w:lang w:val="es-ES_tradnl"/>
        </w:rPr>
        <w:t>ha sostenido lo siguiente</w:t>
      </w:r>
      <w:r w:rsidRPr="005007CC">
        <w:rPr>
          <w:lang w:val="es-ES_tradnl"/>
        </w:rPr>
        <w:t xml:space="preserve">: </w:t>
      </w:r>
    </w:p>
    <w:p w14:paraId="3B207617" w14:textId="77777777" w:rsidR="005007CC" w:rsidRPr="005007CC" w:rsidRDefault="005007CC" w:rsidP="005007CC">
      <w:pPr>
        <w:ind w:firstLine="720"/>
        <w:jc w:val="both"/>
        <w:rPr>
          <w:rFonts w:ascii="Cambria" w:hAnsi="Cambria"/>
          <w:sz w:val="20"/>
          <w:szCs w:val="20"/>
          <w:lang w:val="es-ES_tradnl"/>
        </w:rPr>
      </w:pPr>
    </w:p>
    <w:p w14:paraId="675F1CEE" w14:textId="77777777" w:rsidR="005007CC" w:rsidRPr="00C96CDC" w:rsidRDefault="005007CC" w:rsidP="00C96CDC">
      <w:pPr>
        <w:ind w:left="360" w:right="720"/>
        <w:jc w:val="both"/>
        <w:rPr>
          <w:rFonts w:ascii="Cambria" w:hAnsi="Cambria"/>
          <w:sz w:val="18"/>
          <w:szCs w:val="18"/>
          <w:lang w:val="es-ES_tradnl"/>
        </w:rPr>
      </w:pPr>
      <w:r w:rsidRPr="00C96CDC">
        <w:rPr>
          <w:rFonts w:ascii="Cambria" w:hAnsi="Cambria"/>
          <w:spacing w:val="-2"/>
          <w:sz w:val="18"/>
          <w:szCs w:val="18"/>
          <w:lang w:val="es-ES_tradnl"/>
        </w:rPr>
        <w:t xml:space="preserve">[E]l artículo 8.2.h se refiere a las características mínimas de un recurso que controle la corrección del fallo tanto material como formal. En este sentido, desde un punto de vista formal, el derecho de recurrir el fallo ante un juez o tribunal superior, a que se refiere la Convención Americana, debe en primer lugar proceder […] con la finalidad de examinar la aplicación indebida, la falta de aplicación o errónea interpretación, de normas de </w:t>
      </w:r>
      <w:r w:rsidRPr="00C96CDC">
        <w:rPr>
          <w:rFonts w:ascii="Cambria" w:hAnsi="Cambria"/>
          <w:spacing w:val="-2"/>
          <w:sz w:val="18"/>
          <w:szCs w:val="18"/>
          <w:lang w:val="es-ES_tradnl"/>
        </w:rPr>
        <w:lastRenderedPageBreak/>
        <w:t xml:space="preserve">Derecho que determinen la parte resolutiva de la sentencia. La Comisión considera, además, que para garantizar el pleno derecho de defensa, dicho recurso debe incluir una revisión material en relación a la interpretación de las normas procesales que hubieran influido en la decisión de la causa, cuando hayan producido nulidad insanable o provocado indefensión, así como la interpretación de las normas referentes a la valoración de las pruebas, siempre que hayan conducido a una equivocada aplicación o a la no aplicación de las mismas. </w:t>
      </w:r>
      <w:r w:rsidR="00C96CDC" w:rsidRPr="00C96CDC">
        <w:rPr>
          <w:rFonts w:ascii="Cambria" w:hAnsi="Cambria"/>
          <w:spacing w:val="-2"/>
          <w:sz w:val="18"/>
          <w:szCs w:val="18"/>
          <w:lang w:val="es-ES_tradnl"/>
        </w:rPr>
        <w:t>(…)</w:t>
      </w:r>
      <w:r w:rsidRPr="00C96CDC">
        <w:rPr>
          <w:rFonts w:ascii="Cambria" w:hAnsi="Cambria"/>
          <w:spacing w:val="-2"/>
          <w:sz w:val="18"/>
          <w:szCs w:val="18"/>
          <w:lang w:val="es-ES_tradnl"/>
        </w:rPr>
        <w:t>  El recurso debería constituir igualmente un medio relativamente sencillo para que el tribunal de revisión pueda examinar la validez de la sentencia recurrida en general, e igualmente controlar el respeto a los derechos fundamentales del imputado, en especial los de defensa y el debido proceso</w:t>
      </w:r>
      <w:r w:rsidRPr="00C96CDC">
        <w:rPr>
          <w:rStyle w:val="FootnoteReference"/>
          <w:rFonts w:ascii="Cambria" w:hAnsi="Cambria"/>
          <w:spacing w:val="-2"/>
          <w:sz w:val="18"/>
          <w:szCs w:val="18"/>
          <w:lang w:val="es-ES_tradnl"/>
        </w:rPr>
        <w:footnoteReference w:id="45"/>
      </w:r>
      <w:r w:rsidRPr="00C96CDC">
        <w:rPr>
          <w:rFonts w:ascii="Cambria" w:hAnsi="Cambria"/>
          <w:spacing w:val="-2"/>
          <w:sz w:val="18"/>
          <w:szCs w:val="18"/>
          <w:lang w:val="es-ES_tradnl"/>
        </w:rPr>
        <w:t>. </w:t>
      </w:r>
    </w:p>
    <w:p w14:paraId="46E5C8BA" w14:textId="77777777" w:rsidR="005007CC" w:rsidRPr="005007CC" w:rsidRDefault="005007CC" w:rsidP="005007CC">
      <w:pPr>
        <w:ind w:firstLine="720"/>
        <w:jc w:val="both"/>
        <w:outlineLvl w:val="0"/>
        <w:rPr>
          <w:rFonts w:ascii="Cambria" w:hAnsi="Cambria"/>
          <w:b/>
          <w:sz w:val="20"/>
          <w:szCs w:val="20"/>
          <w:lang w:val="es-ES_tradnl"/>
        </w:rPr>
      </w:pPr>
    </w:p>
    <w:p w14:paraId="7852617B" w14:textId="77777777" w:rsidR="005007CC" w:rsidRPr="00C96CDC" w:rsidRDefault="005007CC" w:rsidP="005007CC">
      <w:pPr>
        <w:pStyle w:val="parrafos"/>
        <w:ind w:left="0" w:firstLine="0"/>
        <w:rPr>
          <w:lang w:val="es-ES_tradnl"/>
        </w:rPr>
      </w:pPr>
      <w:r w:rsidRPr="00C96CDC">
        <w:rPr>
          <w:lang w:val="es-ES_tradnl"/>
        </w:rPr>
        <w:t xml:space="preserve">Por su parte, el Comité de Derechos Humanos </w:t>
      </w:r>
      <w:r w:rsidR="00EF0C9B">
        <w:rPr>
          <w:lang w:val="es-ES_tradnl"/>
        </w:rPr>
        <w:t xml:space="preserve">de Naciones Unidas </w:t>
      </w:r>
      <w:r w:rsidRPr="00C96CDC">
        <w:rPr>
          <w:lang w:val="es-ES_tradnl"/>
        </w:rPr>
        <w:t xml:space="preserve">ha establecido reiteradamente </w:t>
      </w:r>
      <w:r w:rsidR="00EF0C9B">
        <w:rPr>
          <w:lang w:val="es-ES_tradnl"/>
        </w:rPr>
        <w:t>lo siguiente</w:t>
      </w:r>
      <w:r w:rsidRPr="00C96CDC">
        <w:rPr>
          <w:lang w:val="es-ES_tradnl"/>
        </w:rPr>
        <w:t>:</w:t>
      </w:r>
    </w:p>
    <w:p w14:paraId="0B72AAB1" w14:textId="77777777" w:rsidR="005007CC" w:rsidRPr="00C96CDC" w:rsidRDefault="005007CC" w:rsidP="005007CC">
      <w:pPr>
        <w:ind w:firstLine="720"/>
        <w:jc w:val="both"/>
        <w:rPr>
          <w:rFonts w:ascii="Cambria" w:hAnsi="Cambria"/>
          <w:sz w:val="18"/>
          <w:szCs w:val="18"/>
          <w:lang w:val="es-ES_tradnl"/>
        </w:rPr>
      </w:pPr>
    </w:p>
    <w:p w14:paraId="490AF748" w14:textId="77777777" w:rsidR="005007CC" w:rsidRPr="00C96CDC" w:rsidRDefault="005007CC" w:rsidP="00C96CDC">
      <w:pPr>
        <w:ind w:left="360" w:right="720"/>
        <w:jc w:val="both"/>
        <w:rPr>
          <w:rFonts w:ascii="Cambria" w:hAnsi="Cambria"/>
          <w:sz w:val="18"/>
          <w:szCs w:val="18"/>
          <w:lang w:val="es-ES_tradnl"/>
        </w:rPr>
      </w:pPr>
      <w:r w:rsidRPr="00C96CDC">
        <w:rPr>
          <w:rFonts w:ascii="Cambria" w:hAnsi="Cambria"/>
          <w:spacing w:val="-2"/>
          <w:sz w:val="18"/>
          <w:szCs w:val="18"/>
          <w:lang w:val="es-ES_tradnl"/>
        </w:rPr>
        <w:t>El</w:t>
      </w:r>
      <w:r w:rsidRPr="00C96CDC">
        <w:rPr>
          <w:rFonts w:ascii="Cambria" w:hAnsi="Cambria"/>
          <w:sz w:val="18"/>
          <w:szCs w:val="18"/>
          <w:lang w:val="es-ES_tradnl"/>
        </w:rPr>
        <w:t xml:space="preserve"> derecho de toda persona a que el fallo condenatorio y la pena impuesta se sometan a un tribunal superior, establecido en el párrafo 5 del artículo 14, impone al Estado Parte la obligación de revisar sustancialmente el fallo condenatorio y la pena, en lo relativo a la suficiencia tanto de las pruebas como de la legislación, de modo que el procedimiento permita tomar debidamente en consideración la naturaleza de la causa. Una revisión que se limite a los aspectos formales o jurídicos de la condena solamente no es suficiente al tenor del Pacto</w:t>
      </w:r>
      <w:r w:rsidRPr="00C96CDC">
        <w:rPr>
          <w:rStyle w:val="FootnoteReference"/>
          <w:rFonts w:ascii="Cambria" w:hAnsi="Cambria"/>
          <w:sz w:val="18"/>
          <w:szCs w:val="18"/>
          <w:lang w:val="es-ES_tradnl"/>
        </w:rPr>
        <w:footnoteReference w:id="46"/>
      </w:r>
      <w:r w:rsidRPr="00C96CDC">
        <w:rPr>
          <w:rFonts w:ascii="Cambria" w:hAnsi="Cambria"/>
          <w:sz w:val="18"/>
          <w:szCs w:val="18"/>
          <w:lang w:val="es-ES_tradnl"/>
        </w:rPr>
        <w:t>.</w:t>
      </w:r>
    </w:p>
    <w:p w14:paraId="44BD5AB9" w14:textId="77777777" w:rsidR="005007CC" w:rsidRPr="005007CC" w:rsidRDefault="005007CC" w:rsidP="005007CC">
      <w:pPr>
        <w:jc w:val="both"/>
        <w:rPr>
          <w:rFonts w:ascii="Cambria" w:hAnsi="Cambria"/>
          <w:sz w:val="20"/>
          <w:szCs w:val="20"/>
          <w:lang w:val="es-ES_tradnl"/>
        </w:rPr>
      </w:pPr>
    </w:p>
    <w:p w14:paraId="2F4E55AE" w14:textId="77777777" w:rsidR="005007CC" w:rsidRPr="005007CC" w:rsidRDefault="005007CC" w:rsidP="005007CC">
      <w:pPr>
        <w:pStyle w:val="parrafos"/>
        <w:ind w:left="0" w:firstLine="0"/>
        <w:rPr>
          <w:lang w:val="es-ES_tradnl"/>
        </w:rPr>
      </w:pPr>
      <w:r w:rsidRPr="005007CC">
        <w:rPr>
          <w:rFonts w:cs="ArialMT"/>
          <w:lang w:val="es-ES_tradnl" w:bidi="en-US"/>
        </w:rPr>
        <w:t>En</w:t>
      </w:r>
      <w:r w:rsidRPr="005007CC">
        <w:rPr>
          <w:lang w:val="es-CO"/>
        </w:rPr>
        <w:t xml:space="preserve"> la misma línea de lo establecido por el Comité de Derechos Humanos, la CIDH destaca que el derecho a recurrir no implica necesariamente </w:t>
      </w:r>
      <w:r w:rsidRPr="005007CC">
        <w:rPr>
          <w:lang w:val="es-ES_tradnl"/>
        </w:rPr>
        <w:t xml:space="preserve">un nuevo juicio o una nueva “audiencia”, siempre que el tribunal que realiza la </w:t>
      </w:r>
      <w:r w:rsidRPr="005007CC">
        <w:rPr>
          <w:rFonts w:cs="Times-Roman"/>
          <w:lang w:val="es-ES_tradnl" w:bidi="en-US"/>
        </w:rPr>
        <w:t xml:space="preserve">revisión no esté impedido de </w:t>
      </w:r>
      <w:r w:rsidRPr="005007CC">
        <w:rPr>
          <w:lang w:val="es-ES_tradnl"/>
        </w:rPr>
        <w:t xml:space="preserve">estudiar los hechos de la causa. Lo que exige la norma es la posibilidad de señalar y obtener respuesta sobre errores que hubiera podido cometer el juez o tribunal, sin excluir </w:t>
      </w:r>
      <w:r w:rsidRPr="005007CC">
        <w:rPr>
          <w:i/>
          <w:lang w:val="es-ES_tradnl"/>
        </w:rPr>
        <w:t>a priori</w:t>
      </w:r>
      <w:r w:rsidRPr="005007CC">
        <w:rPr>
          <w:lang w:val="es-ES_tradnl"/>
        </w:rPr>
        <w:t xml:space="preserve"> ciertas categorías como los hechos y la valoración y recepción de la prueba. La forma y los medios a través de los cuales se realice la revisión dependerán de la naturaleza de las cuestiones en debate así como de las particularidades del sistema procesal penal en el Estado concernido</w:t>
      </w:r>
      <w:r w:rsidRPr="005007CC">
        <w:rPr>
          <w:rStyle w:val="FootnoteReference"/>
          <w:lang w:val="es-ES_tradnl"/>
        </w:rPr>
        <w:footnoteReference w:id="47"/>
      </w:r>
      <w:r w:rsidRPr="005007CC">
        <w:rPr>
          <w:lang w:val="es-ES_tradnl"/>
        </w:rPr>
        <w:t>.</w:t>
      </w:r>
    </w:p>
    <w:p w14:paraId="6B39D252" w14:textId="77777777" w:rsidR="005007CC" w:rsidRPr="005007CC" w:rsidRDefault="005007CC" w:rsidP="005007CC">
      <w:pPr>
        <w:widowControl w:val="0"/>
        <w:autoSpaceDE w:val="0"/>
        <w:autoSpaceDN w:val="0"/>
        <w:adjustRightInd w:val="0"/>
        <w:jc w:val="both"/>
        <w:rPr>
          <w:rFonts w:ascii="Cambria" w:hAnsi="Cambria"/>
          <w:sz w:val="20"/>
          <w:szCs w:val="20"/>
          <w:lang w:val="es-ES_tradnl"/>
        </w:rPr>
      </w:pPr>
    </w:p>
    <w:p w14:paraId="24467306" w14:textId="77777777" w:rsidR="005007CC" w:rsidRDefault="005007CC" w:rsidP="00EA52FC">
      <w:pPr>
        <w:pStyle w:val="parrafos"/>
        <w:ind w:left="0" w:firstLine="0"/>
        <w:rPr>
          <w:lang w:val="es-ES_tradnl"/>
        </w:rPr>
      </w:pPr>
      <w:r w:rsidRPr="005007CC">
        <w:rPr>
          <w:lang w:val="es-ES_tradnl"/>
        </w:rPr>
        <w:t>Cabe mencionar que la Convención Americana “no acoge un sistema procesal penal en particular. Deja a los Estados en libertad para determinar el que consideren preferible, siempre que respeten las garantías establecidas en la propia Convención, en el derecho interno, en otros tratados internacionales aplicables, en las normas consuetudinarias y en las disposiciones imperativas de derecho internacional”</w:t>
      </w:r>
      <w:r w:rsidRPr="005007CC">
        <w:rPr>
          <w:rStyle w:val="FootnoteReference"/>
        </w:rPr>
        <w:footnoteReference w:id="48"/>
      </w:r>
      <w:r w:rsidR="00EA52FC">
        <w:rPr>
          <w:lang w:val="es-ES_tradnl"/>
        </w:rPr>
        <w:t xml:space="preserve">. </w:t>
      </w:r>
      <w:r w:rsidRPr="00EA52FC">
        <w:rPr>
          <w:lang w:val="es-ES_tradnl"/>
        </w:rPr>
        <w:t xml:space="preserve">En ese sentido, corresponde a los Estados disponer los medios que sean necesarios para compatibilizar las particularidades de su sistema procesal penal con las obligaciones internacionales en materia de derechos humanos y, especialmente, con las garantías mínimas del debido proceso establecidas en el artículo 8 de la Convención Americana. </w:t>
      </w:r>
    </w:p>
    <w:p w14:paraId="3DB781ED" w14:textId="77777777" w:rsidR="00EA52FC" w:rsidRPr="00EA52FC" w:rsidRDefault="00EA52FC" w:rsidP="00EA52FC">
      <w:pPr>
        <w:pStyle w:val="parrafos"/>
        <w:numPr>
          <w:ilvl w:val="0"/>
          <w:numId w:val="0"/>
        </w:numPr>
        <w:rPr>
          <w:lang w:val="es-ES_tradnl"/>
        </w:rPr>
      </w:pPr>
    </w:p>
    <w:p w14:paraId="44002548" w14:textId="77777777" w:rsidR="005007CC" w:rsidRPr="005007CC" w:rsidRDefault="005F2908" w:rsidP="005007CC">
      <w:pPr>
        <w:pStyle w:val="parrafos"/>
        <w:ind w:left="0" w:firstLine="0"/>
        <w:rPr>
          <w:lang w:val="es-ES_tradnl"/>
        </w:rPr>
      </w:pPr>
      <w:r>
        <w:rPr>
          <w:lang w:val="es-ES_tradnl"/>
        </w:rPr>
        <w:t>E</w:t>
      </w:r>
      <w:r w:rsidR="005007CC" w:rsidRPr="005007CC">
        <w:rPr>
          <w:lang w:val="es-ES_tradnl"/>
        </w:rPr>
        <w:t xml:space="preserve">n lo relativo al alcance de la revisión, la Corte </w:t>
      </w:r>
      <w:r>
        <w:rPr>
          <w:lang w:val="es-ES_tradnl"/>
        </w:rPr>
        <w:t>ha sostenido</w:t>
      </w:r>
      <w:r w:rsidR="005007CC" w:rsidRPr="005007CC">
        <w:rPr>
          <w:lang w:val="es-ES_tradnl"/>
        </w:rPr>
        <w:t xml:space="preserve"> que</w:t>
      </w:r>
      <w:r w:rsidR="005007CC" w:rsidRPr="005007CC">
        <w:rPr>
          <w:i/>
          <w:lang w:val="es-ES_tradnl"/>
        </w:rPr>
        <w:t xml:space="preserve"> </w:t>
      </w:r>
      <w:r w:rsidR="005007CC" w:rsidRPr="005007CC">
        <w:rPr>
          <w:lang w:val="es-ES_tradnl"/>
        </w:rPr>
        <w:t xml:space="preserve">independientemente del régimen o sistema recursivo que adopten los Estados Parte y de la denominación que den al medio de impugnación de la sentencia condenatoria, para que éste sea eficaz debe constituir </w:t>
      </w:r>
      <w:r w:rsidR="005007CC" w:rsidRPr="005007CC">
        <w:rPr>
          <w:lang w:val="es-CR"/>
        </w:rPr>
        <w:t>un medio adecuado para procurar la corrección de una condena errónea</w:t>
      </w:r>
      <w:r w:rsidR="005007CC" w:rsidRPr="005007CC">
        <w:rPr>
          <w:rStyle w:val="FootnoteReference"/>
          <w:lang w:val="es-CR"/>
        </w:rPr>
        <w:footnoteReference w:id="49"/>
      </w:r>
      <w:r w:rsidR="005007CC" w:rsidRPr="005007CC">
        <w:rPr>
          <w:lang w:val="es-CR"/>
        </w:rPr>
        <w:t xml:space="preserve">. Ello requiere que pueda analizar las cuestiones fácticas, probatorias y jurídicas </w:t>
      </w:r>
      <w:r w:rsidR="005007CC" w:rsidRPr="005007CC">
        <w:rPr>
          <w:lang w:val="es-ES_tradnl"/>
        </w:rPr>
        <w:t xml:space="preserve">en que se basa la sentencia impugnada, puesto que en la actividad jurisdiccional existe una interdependencia entre las determinaciones fácticas y la aplicación del derecho, de forma tal que una errónea determinación de los hechos implica una errada o indebida aplicación del derecho. </w:t>
      </w:r>
      <w:r w:rsidR="005007CC" w:rsidRPr="005007CC">
        <w:rPr>
          <w:lang w:val="es-CR"/>
        </w:rPr>
        <w:t xml:space="preserve">Consecuentemente, las causales de procedencia del recurso deben </w:t>
      </w:r>
      <w:r w:rsidR="005007CC" w:rsidRPr="005007CC">
        <w:rPr>
          <w:lang w:val="es-ES_tradnl"/>
        </w:rPr>
        <w:t>posibilitar un control amplio de los aspectos impugnados de la sentencia condenatoria</w:t>
      </w:r>
      <w:r w:rsidR="005007CC" w:rsidRPr="005007CC">
        <w:rPr>
          <w:rStyle w:val="FootnoteReference"/>
        </w:rPr>
        <w:footnoteReference w:id="50"/>
      </w:r>
      <w:r w:rsidR="005007CC" w:rsidRPr="005007CC">
        <w:rPr>
          <w:lang w:val="es-ES_tradnl"/>
        </w:rPr>
        <w:t xml:space="preserve">. La Corte también precisó, en la misma línea de lo sostenido por la Comisión, que el recurso debe respetar </w:t>
      </w:r>
      <w:r w:rsidR="005007CC" w:rsidRPr="005007CC">
        <w:rPr>
          <w:lang w:val="es-CR"/>
        </w:rPr>
        <w:t xml:space="preserve">las </w:t>
      </w:r>
      <w:r w:rsidR="005007CC" w:rsidRPr="005007CC">
        <w:rPr>
          <w:lang w:val="es-CR"/>
        </w:rPr>
        <w:lastRenderedPageBreak/>
        <w:t>garantías procesales mínimas que, bajo el artículo 8 de la Convención, resulten relevantes y necesarias para resolver los agravios planteados por el recurrente, lo cual no implica que deba realizarse un nuevo juicio</w:t>
      </w:r>
      <w:r w:rsidR="005007CC" w:rsidRPr="005007CC">
        <w:rPr>
          <w:rStyle w:val="FootnoteReference"/>
          <w:lang w:val="es-CR"/>
        </w:rPr>
        <w:footnoteReference w:id="51"/>
      </w:r>
      <w:r w:rsidR="005007CC" w:rsidRPr="005007CC">
        <w:rPr>
          <w:lang w:val="es-CR"/>
        </w:rPr>
        <w:t>.</w:t>
      </w:r>
    </w:p>
    <w:p w14:paraId="54A3203C" w14:textId="77777777" w:rsidR="005007CC" w:rsidRPr="005007CC" w:rsidRDefault="005007CC" w:rsidP="005007CC">
      <w:pPr>
        <w:jc w:val="both"/>
        <w:rPr>
          <w:rFonts w:ascii="Cambria" w:hAnsi="Cambria"/>
          <w:sz w:val="20"/>
          <w:szCs w:val="20"/>
          <w:lang w:val="es-ES_tradnl"/>
        </w:rPr>
      </w:pPr>
    </w:p>
    <w:p w14:paraId="111878EA" w14:textId="77777777" w:rsidR="005007CC" w:rsidRPr="005007CC" w:rsidRDefault="005007CC" w:rsidP="005007CC">
      <w:pPr>
        <w:pStyle w:val="parrafos"/>
        <w:ind w:left="0" w:firstLine="0"/>
        <w:rPr>
          <w:lang w:val="es-ES_tradnl"/>
        </w:rPr>
      </w:pPr>
      <w:r w:rsidRPr="005007CC">
        <w:rPr>
          <w:lang w:val="es-ES_tradnl"/>
        </w:rPr>
        <w:t xml:space="preserve">Por otra parte, y en cuanto a la </w:t>
      </w:r>
      <w:r w:rsidRPr="005007CC">
        <w:rPr>
          <w:i/>
          <w:lang w:val="es-ES_tradnl"/>
        </w:rPr>
        <w:t xml:space="preserve">accesibilidad </w:t>
      </w:r>
      <w:r w:rsidRPr="005007CC">
        <w:rPr>
          <w:lang w:val="es-ES_tradnl"/>
        </w:rPr>
        <w:t>del recurso, la Comisión considera que, en principio, la regulación de algunas exigencias mínimas para la procedencia del recurso no es incompatible con el derec</w:t>
      </w:r>
      <w:r w:rsidR="005F2908">
        <w:rPr>
          <w:lang w:val="es-ES_tradnl"/>
        </w:rPr>
        <w:t>ho contenido en el artículo 8.2.h</w:t>
      </w:r>
      <w:r w:rsidRPr="005007CC">
        <w:rPr>
          <w:lang w:val="es-ES_tradnl"/>
        </w:rPr>
        <w:t xml:space="preserve"> de la Convención. Algunas de esas exigencias mínimas son, por ejemplo, la presentación del recurso como</w:t>
      </w:r>
      <w:r w:rsidR="005F2908">
        <w:rPr>
          <w:lang w:val="es-ES_tradnl"/>
        </w:rPr>
        <w:t xml:space="preserve"> tal – dado que el artículo 8.2.h</w:t>
      </w:r>
      <w:r w:rsidRPr="005007CC">
        <w:rPr>
          <w:lang w:val="es-ES_tradnl"/>
        </w:rPr>
        <w:t xml:space="preserve"> no exige una revisión automática – o la regulación de un plazo razonable dentro del cual debe interponerse. Sin embargo, en ciertas circunstancias, el rechazo de los recursos sobre la base del incumplimiento de requisitos formales establecidos legalmente o definidos mediante la práctica judicial en una región determinada, puede resultar en una violación del derecho a recurrir el fallo. </w:t>
      </w:r>
    </w:p>
    <w:p w14:paraId="72E357AF" w14:textId="77777777" w:rsidR="005007CC" w:rsidRPr="00C17938" w:rsidRDefault="005007CC" w:rsidP="005007CC">
      <w:pPr>
        <w:tabs>
          <w:tab w:val="left" w:pos="1440"/>
        </w:tabs>
        <w:jc w:val="both"/>
        <w:rPr>
          <w:rFonts w:ascii="Cambria" w:hAnsi="Cambria"/>
          <w:sz w:val="20"/>
          <w:szCs w:val="20"/>
          <w:lang w:val="es-ES"/>
        </w:rPr>
      </w:pPr>
    </w:p>
    <w:p w14:paraId="16A7DB00" w14:textId="77777777" w:rsidR="005B0A15" w:rsidRDefault="00EA52FC" w:rsidP="005B0A15">
      <w:pPr>
        <w:pStyle w:val="parrafos"/>
        <w:ind w:left="0" w:firstLine="0"/>
        <w:rPr>
          <w:lang w:val="es-ES"/>
        </w:rPr>
      </w:pPr>
      <w:r>
        <w:rPr>
          <w:lang w:val="es-ES_tradnl"/>
        </w:rPr>
        <w:t>La CIDH resalta que l</w:t>
      </w:r>
      <w:r w:rsidR="005007CC" w:rsidRPr="00C17938">
        <w:rPr>
          <w:lang w:val="es-ES_tradnl"/>
        </w:rPr>
        <w:t>a</w:t>
      </w:r>
      <w:r w:rsidR="005007CC" w:rsidRPr="00C17938">
        <w:rPr>
          <w:lang w:val="es-ES"/>
        </w:rPr>
        <w:t xml:space="preserve"> determinación de si se ha vulnerado</w:t>
      </w:r>
      <w:r>
        <w:rPr>
          <w:lang w:val="es-ES"/>
        </w:rPr>
        <w:t xml:space="preserve"> el derecho a recurrir el fallo</w:t>
      </w:r>
      <w:r w:rsidR="005007CC" w:rsidRPr="00C17938">
        <w:rPr>
          <w:lang w:val="es-ES"/>
        </w:rPr>
        <w:t xml:space="preserve"> requiere de un análisis caso por caso a través del cual se evalúen las circunstancias concretas de la situación puesta en conocimiento de la Comisión, a la luz de los estándares generales esbozados en los párrafos precedentes sobre la accesibilidad, eficacia y oportunidad del recurso.</w:t>
      </w:r>
    </w:p>
    <w:p w14:paraId="40893D62" w14:textId="77777777" w:rsidR="006A5A8D" w:rsidRDefault="006A5A8D" w:rsidP="006A5A8D">
      <w:pPr>
        <w:pStyle w:val="parrafos"/>
        <w:numPr>
          <w:ilvl w:val="0"/>
          <w:numId w:val="0"/>
        </w:numPr>
        <w:rPr>
          <w:lang w:val="es-ES"/>
        </w:rPr>
      </w:pPr>
    </w:p>
    <w:p w14:paraId="6C049CC9" w14:textId="77777777" w:rsidR="005007CC" w:rsidRPr="00AD0093" w:rsidRDefault="006A5A8D" w:rsidP="00F93C7F">
      <w:pPr>
        <w:pStyle w:val="parrafos"/>
        <w:ind w:left="0" w:firstLine="0"/>
        <w:rPr>
          <w:lang w:val="es-CL"/>
        </w:rPr>
      </w:pPr>
      <w:r>
        <w:rPr>
          <w:lang w:val="es-ES"/>
        </w:rPr>
        <w:t>Ahora bien, en el presente asunto</w:t>
      </w:r>
      <w:r w:rsidR="005F2908" w:rsidRPr="00EA52FC">
        <w:rPr>
          <w:lang w:val="es-ES"/>
        </w:rPr>
        <w:t xml:space="preserve"> </w:t>
      </w:r>
      <w:r w:rsidR="003B71F9">
        <w:rPr>
          <w:lang w:val="es-ES"/>
        </w:rPr>
        <w:t xml:space="preserve">no existe controversia entre las partes respecto de que, conforme al artículo 235 de la Constitución Política, el proceso penal seguido al señor Arboleda fue seguido ante la Corte Suprema de Justicia, en particular la Sala de Casación Penal. Dicho proceso culminó con una </w:t>
      </w:r>
      <w:r w:rsidR="00AD0093">
        <w:rPr>
          <w:lang w:val="es-ES"/>
        </w:rPr>
        <w:t>sentencia condenatoria en contra del señor Arboleda con una pena de 54 meses de privación de la libertad. Frente a esta situación, la parte peticionaria sostuvo que conforme a la legislación colombiana no le fue posible recurrir dicho fallo ante un juez o tribunal superior, y que los recursos de tutela y revisión no cumplen con los estándares del artículo 8.2.h de la Convención Americana. Por su parte, el Estado señaló que el principio de doble instancia “no es absoluto y puede ser sometido a restricciones evaluadas desde la razonabilidad y proporcionalidad”, y que existen recursos adecuados y afectivos como la acción de tutela y revisión.</w:t>
      </w:r>
    </w:p>
    <w:p w14:paraId="07FFB01A" w14:textId="77777777" w:rsidR="00AD0093" w:rsidRDefault="00AD0093" w:rsidP="00AD0093">
      <w:pPr>
        <w:pStyle w:val="MediumGrid1-Accent21"/>
        <w:rPr>
          <w:lang w:val="es-CL"/>
        </w:rPr>
      </w:pPr>
    </w:p>
    <w:p w14:paraId="77138A44" w14:textId="77777777" w:rsidR="00AD0093" w:rsidRPr="003F1C56" w:rsidRDefault="00AD0093" w:rsidP="00F93C7F">
      <w:pPr>
        <w:pStyle w:val="parrafos"/>
        <w:ind w:left="0" w:firstLine="0"/>
        <w:rPr>
          <w:lang w:val="es-CL"/>
        </w:rPr>
      </w:pPr>
      <w:r w:rsidRPr="00AD0093">
        <w:rPr>
          <w:lang w:val="es-CL"/>
        </w:rPr>
        <w:t xml:space="preserve">Al respecto, la CIDH resalta que tal como se indicó en la sección precedente, </w:t>
      </w:r>
      <w:r w:rsidRPr="00AD0093">
        <w:rPr>
          <w:lang w:val="es-ES_tradnl"/>
        </w:rPr>
        <w:t xml:space="preserve">conforme a la jurisprudencia interamericana uno de los primeros requisitos que debe tener </w:t>
      </w:r>
      <w:r>
        <w:rPr>
          <w:lang w:val="es-ES_tradnl"/>
        </w:rPr>
        <w:t>un</w:t>
      </w:r>
      <w:r w:rsidRPr="00AD0093">
        <w:rPr>
          <w:lang w:val="es-ES_tradnl"/>
        </w:rPr>
        <w:t xml:space="preserve"> recurso para ser compatible con el artículo 8.2</w:t>
      </w:r>
      <w:r>
        <w:rPr>
          <w:lang w:val="es-ES_tradnl"/>
        </w:rPr>
        <w:t>.h</w:t>
      </w:r>
      <w:r w:rsidRPr="00AD0093">
        <w:rPr>
          <w:lang w:val="es-ES_tradnl"/>
        </w:rPr>
        <w:t xml:space="preserve"> de la Convención Americana, es que </w:t>
      </w:r>
      <w:r w:rsidR="00730ABF">
        <w:rPr>
          <w:lang w:val="es-ES_tradnl"/>
        </w:rPr>
        <w:t xml:space="preserve">sea ordinario y </w:t>
      </w:r>
      <w:r w:rsidRPr="00AD0093">
        <w:rPr>
          <w:lang w:val="es-ES_tradnl"/>
        </w:rPr>
        <w:t xml:space="preserve">proceda </w:t>
      </w:r>
      <w:r w:rsidRPr="00AD0093">
        <w:rPr>
          <w:spacing w:val="-2"/>
          <w:lang w:val="es-ES_tradnl"/>
        </w:rPr>
        <w:t>antes que la sentencia condenatoria adquiera calidad de cosa juzgada.</w:t>
      </w:r>
      <w:r>
        <w:rPr>
          <w:spacing w:val="-2"/>
          <w:lang w:val="es-ES_tradnl"/>
        </w:rPr>
        <w:t xml:space="preserve"> En el presente caso, la Comisión observa que el Estado no indicó que la acción de tutela o revisión contengan dicha</w:t>
      </w:r>
      <w:r w:rsidR="00730ABF">
        <w:rPr>
          <w:spacing w:val="-2"/>
          <w:lang w:val="es-ES_tradnl"/>
        </w:rPr>
        <w:t>s</w:t>
      </w:r>
      <w:r>
        <w:rPr>
          <w:spacing w:val="-2"/>
          <w:lang w:val="es-ES_tradnl"/>
        </w:rPr>
        <w:t xml:space="preserve"> </w:t>
      </w:r>
      <w:r w:rsidR="00730ABF">
        <w:rPr>
          <w:spacing w:val="-2"/>
          <w:lang w:val="es-ES_tradnl"/>
        </w:rPr>
        <w:t>características</w:t>
      </w:r>
      <w:r w:rsidR="00CD1002">
        <w:rPr>
          <w:spacing w:val="-2"/>
          <w:lang w:val="es-ES_tradnl"/>
        </w:rPr>
        <w:t xml:space="preserve">. Por el contrario, Colombia sostuvo que la sentencia de la Sala de Casación Penal de la Corte Suprema Justicia conoció y resolvió el proceso penal seguido en contra del señor Arboleda en “única instancia”. </w:t>
      </w:r>
    </w:p>
    <w:p w14:paraId="43AC5514" w14:textId="77777777" w:rsidR="003F1C56" w:rsidRDefault="003F1C56" w:rsidP="003F1C56">
      <w:pPr>
        <w:pStyle w:val="MediumGrid1-Accent21"/>
        <w:rPr>
          <w:lang w:val="es-CL"/>
        </w:rPr>
      </w:pPr>
    </w:p>
    <w:p w14:paraId="4548BC34" w14:textId="77777777" w:rsidR="003F1C56" w:rsidRDefault="003F1C56" w:rsidP="00F93C7F">
      <w:pPr>
        <w:pStyle w:val="parrafos"/>
        <w:ind w:left="0" w:firstLine="0"/>
        <w:rPr>
          <w:lang w:val="es-CL"/>
        </w:rPr>
      </w:pPr>
      <w:r>
        <w:rPr>
          <w:lang w:val="es-CL"/>
        </w:rPr>
        <w:t xml:space="preserve">Sobre dicho punto, la CIDH recuerda que la Corte Interamericana en el </w:t>
      </w:r>
      <w:r w:rsidRPr="001E4997">
        <w:rPr>
          <w:i/>
          <w:lang w:val="es-CL"/>
        </w:rPr>
        <w:t>Caso Barreto Leiva Vs. Venezuela</w:t>
      </w:r>
      <w:r>
        <w:rPr>
          <w:lang w:val="es-CL"/>
        </w:rPr>
        <w:t>, citó al Comité de Derechos Humanos sobre el hecho de que “el tribunal más alto de un país actú[e] como primera y única instancia”:</w:t>
      </w:r>
    </w:p>
    <w:p w14:paraId="1268EBDD" w14:textId="77777777" w:rsidR="003F1C56" w:rsidRDefault="003F1C56" w:rsidP="003F1C56">
      <w:pPr>
        <w:pStyle w:val="MediumGrid1-Accent21"/>
        <w:rPr>
          <w:lang w:val="es-CL"/>
        </w:rPr>
      </w:pPr>
    </w:p>
    <w:p w14:paraId="5E2D3003" w14:textId="77777777" w:rsidR="003F1C56" w:rsidRPr="003F1C56" w:rsidRDefault="003F1C56" w:rsidP="003F1C56">
      <w:pPr>
        <w:pStyle w:val="parrafos"/>
        <w:numPr>
          <w:ilvl w:val="0"/>
          <w:numId w:val="0"/>
        </w:numPr>
        <w:ind w:left="360" w:right="720"/>
        <w:rPr>
          <w:sz w:val="18"/>
          <w:szCs w:val="18"/>
          <w:lang w:val="es-CL"/>
        </w:rPr>
      </w:pPr>
      <w:r w:rsidRPr="003F1C56">
        <w:rPr>
          <w:sz w:val="18"/>
          <w:szCs w:val="18"/>
        </w:rPr>
        <w:t>Cuando el tribunal más alto de un país actúa como primera y única instancia, la ausencia de todo derecho a revisión por un tribunal superior no queda compensada por el hecho de haber sido juzgado por el tribunal de mayor jerarquía del Estado Parte; por el contrario, tal sistema es incompatible con el Pacto</w:t>
      </w:r>
      <w:r>
        <w:rPr>
          <w:sz w:val="18"/>
          <w:szCs w:val="18"/>
        </w:rPr>
        <w:t xml:space="preserve"> (…)</w:t>
      </w:r>
      <w:r>
        <w:rPr>
          <w:rStyle w:val="FootnoteReference"/>
          <w:sz w:val="18"/>
          <w:szCs w:val="18"/>
        </w:rPr>
        <w:footnoteReference w:id="52"/>
      </w:r>
      <w:r>
        <w:rPr>
          <w:sz w:val="18"/>
          <w:szCs w:val="18"/>
        </w:rPr>
        <w:t>.</w:t>
      </w:r>
    </w:p>
    <w:p w14:paraId="0697BBCF" w14:textId="77777777" w:rsidR="00CD1002" w:rsidRPr="00F350E7" w:rsidRDefault="00CD1002" w:rsidP="00CD1002">
      <w:pPr>
        <w:pStyle w:val="MediumGrid1-Accent21"/>
        <w:rPr>
          <w:rFonts w:ascii="Cambria" w:hAnsi="Cambria"/>
          <w:sz w:val="20"/>
          <w:szCs w:val="20"/>
          <w:lang w:val="es-CL"/>
        </w:rPr>
      </w:pPr>
    </w:p>
    <w:p w14:paraId="060CAA14" w14:textId="77777777" w:rsidR="004C42F4" w:rsidRDefault="001E4997" w:rsidP="004C42F4">
      <w:pPr>
        <w:pStyle w:val="parrafos"/>
        <w:ind w:left="0" w:firstLine="0"/>
        <w:rPr>
          <w:lang w:val="es-CL"/>
        </w:rPr>
      </w:pPr>
      <w:r>
        <w:t>En dicho</w:t>
      </w:r>
      <w:r w:rsidR="003A5695">
        <w:t xml:space="preserve"> caso, </w:t>
      </w:r>
      <w:r>
        <w:t xml:space="preserve">la víctima se desempañaba como </w:t>
      </w:r>
      <w:r w:rsidR="003A5695">
        <w:t xml:space="preserve">Director General Sectorial de Administración y Servicios del Ministerio de la Secretaría de la Presidencia de la República, y fue procesado y sentenciado en única instancia ante la Corte Suprema de Justicia, tal como en el presente asunto. </w:t>
      </w:r>
      <w:r w:rsidR="001762A7">
        <w:rPr>
          <w:lang w:val="es-CL"/>
        </w:rPr>
        <w:t xml:space="preserve">En consecuencia, la Corte </w:t>
      </w:r>
      <w:r w:rsidR="001762A7" w:rsidRPr="004C42F4">
        <w:rPr>
          <w:lang w:val="es-CL"/>
        </w:rPr>
        <w:t>consideró que debido a que la Corte Suprema de Justicia juzgó al señor Barreto Leiva en única instancia, el Estado vulneró el derecho a la revisión del fallo.</w:t>
      </w:r>
    </w:p>
    <w:p w14:paraId="2EE56562" w14:textId="77777777" w:rsidR="004C42F4" w:rsidRDefault="004C42F4" w:rsidP="004C42F4">
      <w:pPr>
        <w:pStyle w:val="parrafos"/>
        <w:numPr>
          <w:ilvl w:val="0"/>
          <w:numId w:val="0"/>
        </w:numPr>
        <w:rPr>
          <w:lang w:val="es-CL"/>
        </w:rPr>
      </w:pPr>
    </w:p>
    <w:p w14:paraId="316F2935" w14:textId="77777777" w:rsidR="00F830A6" w:rsidRPr="008073ED" w:rsidRDefault="001762A7" w:rsidP="004C42F4">
      <w:pPr>
        <w:pStyle w:val="parrafos"/>
        <w:ind w:left="0" w:firstLine="0"/>
        <w:rPr>
          <w:lang w:val="es-ES_tradnl"/>
        </w:rPr>
      </w:pPr>
      <w:r w:rsidRPr="004C42F4">
        <w:rPr>
          <w:lang w:val="es-CL"/>
        </w:rPr>
        <w:lastRenderedPageBreak/>
        <w:t xml:space="preserve">Respecto del sistema </w:t>
      </w:r>
      <w:r w:rsidR="00261A63" w:rsidRPr="004C42F4">
        <w:rPr>
          <w:lang w:val="es-CL"/>
        </w:rPr>
        <w:t xml:space="preserve">que debe ser implementado en este tipo de asuntos, la Corte en la sentencia ya mencionada remarcó que los Estados </w:t>
      </w:r>
      <w:r w:rsidRPr="004C42F4">
        <w:t>puede</w:t>
      </w:r>
      <w:r w:rsidR="00261A63" w:rsidRPr="004C42F4">
        <w:t>n</w:t>
      </w:r>
      <w:r w:rsidRPr="004C42F4">
        <w:t xml:space="preserve"> establecer fueros especiales para el enjuiciamiento de altos funcionarios públicos, </w:t>
      </w:r>
      <w:r w:rsidR="00261A63" w:rsidRPr="004C42F4">
        <w:t xml:space="preserve">los cuales pueden ser </w:t>
      </w:r>
      <w:r w:rsidRPr="008073ED">
        <w:rPr>
          <w:lang w:val="es-ES_tradnl"/>
        </w:rPr>
        <w:t>son compatibles, en principio, con la C</w:t>
      </w:r>
      <w:r w:rsidR="00261A63" w:rsidRPr="008073ED">
        <w:rPr>
          <w:lang w:val="es-ES_tradnl"/>
        </w:rPr>
        <w:t>onvención Americana. La Corte resaltó que aú</w:t>
      </w:r>
      <w:r w:rsidRPr="008073ED">
        <w:rPr>
          <w:lang w:val="es-ES_tradnl"/>
        </w:rPr>
        <w:t xml:space="preserve">n en </w:t>
      </w:r>
      <w:r w:rsidR="00261A63" w:rsidRPr="008073ED">
        <w:rPr>
          <w:lang w:val="es-ES_tradnl"/>
        </w:rPr>
        <w:t>dichos</w:t>
      </w:r>
      <w:r w:rsidRPr="008073ED">
        <w:rPr>
          <w:lang w:val="es-ES_tradnl"/>
        </w:rPr>
        <w:t xml:space="preserve"> supuestos el</w:t>
      </w:r>
      <w:r w:rsidR="004C42F4" w:rsidRPr="008073ED">
        <w:rPr>
          <w:lang w:val="es-ES_tradnl"/>
        </w:rPr>
        <w:t xml:space="preserve"> Estado “debe permitir que el justiciable cuente con la posibilidad de recurrir el fallo condenatorio”. La Corte explicó en el </w:t>
      </w:r>
      <w:r w:rsidR="004C42F4" w:rsidRPr="008073ED">
        <w:rPr>
          <w:i/>
          <w:lang w:val="es-ES_tradnl"/>
        </w:rPr>
        <w:t>Caso Liakat Ali Alibux Vs. Surinam</w:t>
      </w:r>
      <w:r w:rsidR="004C42F4" w:rsidRPr="008073ED">
        <w:rPr>
          <w:lang w:val="es-ES_tradnl"/>
        </w:rPr>
        <w:t xml:space="preserve"> “que al no existir un tribunal de mayor jerarquía, la superioridad del tribunal que revisa el fallo condenatorio se entiende cumplida cuando el pleno, una sala o cámara, dentro del mismo órgano colegiado superior, pero de distinta composición al que conoció la causa originalmente, resuelve el recurso interpuesto con facultades”</w:t>
      </w:r>
      <w:r w:rsidR="004C42F4" w:rsidRPr="008073ED">
        <w:rPr>
          <w:rStyle w:val="FootnoteReference"/>
          <w:lang w:val="es-ES_tradnl"/>
        </w:rPr>
        <w:footnoteReference w:id="53"/>
      </w:r>
      <w:r w:rsidR="004C42F4" w:rsidRPr="008073ED">
        <w:rPr>
          <w:lang w:val="es-ES_tradnl"/>
        </w:rPr>
        <w:t xml:space="preserve">. Según ha sido indicado por la Corte, ello sucedería, por ejemplo, “si se dispusiera que el juzgamiento </w:t>
      </w:r>
      <w:r w:rsidRPr="008073ED">
        <w:rPr>
          <w:lang w:val="es-ES_tradnl"/>
        </w:rPr>
        <w:t>en primera instancia estará a cargo del presidente o de una sala del órgano colegiado superior y el conocimiento de la impugnación corresponderá al pleno de dicho órgano, con exclusión de quienes ya se pronunciaron</w:t>
      </w:r>
      <w:r w:rsidR="00261A63" w:rsidRPr="008073ED">
        <w:rPr>
          <w:lang w:val="es-ES_tradnl"/>
        </w:rPr>
        <w:t xml:space="preserve"> </w:t>
      </w:r>
      <w:r w:rsidRPr="008073ED">
        <w:rPr>
          <w:lang w:val="es-ES_tradnl"/>
        </w:rPr>
        <w:t>sobre el caso</w:t>
      </w:r>
      <w:r w:rsidRPr="008073ED">
        <w:rPr>
          <w:rStyle w:val="FootnoteReference"/>
          <w:lang w:val="es-ES_tradnl"/>
        </w:rPr>
        <w:footnoteReference w:id="54"/>
      </w:r>
      <w:r w:rsidR="00261A63" w:rsidRPr="008073ED">
        <w:rPr>
          <w:lang w:val="es-ES_tradnl"/>
        </w:rPr>
        <w:t>”</w:t>
      </w:r>
      <w:r w:rsidRPr="008073ED">
        <w:rPr>
          <w:lang w:val="es-ES_tradnl"/>
        </w:rPr>
        <w:t>.</w:t>
      </w:r>
      <w:r w:rsidR="00F830A6" w:rsidRPr="008073ED">
        <w:rPr>
          <w:lang w:val="es-ES_tradnl"/>
        </w:rPr>
        <w:t xml:space="preserve"> </w:t>
      </w:r>
      <w:r w:rsidR="00390AE8" w:rsidRPr="008073ED">
        <w:rPr>
          <w:lang w:val="es-ES_tradnl"/>
        </w:rPr>
        <w:t>El Estado puede organizarse de la manera que considere pertinente a efectos de garantizar el derecho a recurrir el fallo de los altos funcionarios públicos que corresponda</w:t>
      </w:r>
      <w:r w:rsidR="004C42F4" w:rsidRPr="008073ED">
        <w:rPr>
          <w:rStyle w:val="FootnoteReference"/>
          <w:lang w:val="es-ES_tradnl"/>
        </w:rPr>
        <w:footnoteReference w:id="55"/>
      </w:r>
      <w:r w:rsidR="00390AE8" w:rsidRPr="008073ED">
        <w:rPr>
          <w:lang w:val="es-ES_tradnl"/>
        </w:rPr>
        <w:t xml:space="preserve">. </w:t>
      </w:r>
      <w:r w:rsidR="00F830A6" w:rsidRPr="008073ED">
        <w:rPr>
          <w:lang w:val="es-ES_tradnl"/>
        </w:rPr>
        <w:t>Particularmente, la Corte</w:t>
      </w:r>
      <w:r w:rsidR="00D449AA" w:rsidRPr="008073ED">
        <w:rPr>
          <w:lang w:val="es-ES_tradnl"/>
        </w:rPr>
        <w:t xml:space="preserve"> ha notado</w:t>
      </w:r>
      <w:r w:rsidR="00F830A6" w:rsidRPr="008073ED">
        <w:rPr>
          <w:lang w:val="es-ES_tradnl"/>
        </w:rPr>
        <w:t xml:space="preserve"> que:</w:t>
      </w:r>
    </w:p>
    <w:p w14:paraId="108CB079" w14:textId="77777777" w:rsidR="004C42F4" w:rsidRPr="008073ED" w:rsidRDefault="004C42F4" w:rsidP="004C42F4">
      <w:pPr>
        <w:pStyle w:val="parrafos"/>
        <w:numPr>
          <w:ilvl w:val="0"/>
          <w:numId w:val="0"/>
        </w:numPr>
        <w:ind w:right="720"/>
        <w:rPr>
          <w:lang w:val="es-ES_tradnl"/>
        </w:rPr>
      </w:pPr>
    </w:p>
    <w:p w14:paraId="005AB9C0" w14:textId="77777777" w:rsidR="00F830A6" w:rsidRPr="004C42F4" w:rsidRDefault="00F830A6" w:rsidP="00F830A6">
      <w:pPr>
        <w:pStyle w:val="parrafos"/>
        <w:numPr>
          <w:ilvl w:val="0"/>
          <w:numId w:val="0"/>
        </w:numPr>
        <w:ind w:left="720" w:right="720"/>
      </w:pPr>
      <w:r w:rsidRPr="008073ED">
        <w:rPr>
          <w:lang w:val="es-ES_tradnl"/>
        </w:rPr>
        <w:t>[..] [E]n estos supuestos, en donde no existe una instancia superior al máximo órgano, que pueda hacer una revisión íntegra del fallo condenatorio</w:t>
      </w:r>
      <w:r w:rsidRPr="004C42F4">
        <w:t>, algunos Estados de la región han adoptado distintas fórmulas jurídicas con el fin de garantizar el derecho a recurrir el fallo. En este sentido, el Tribunal constata que ello. se ha logrado a través de diversas prácticas, a saber: a) cuando una Sala Penal de la Corte Suprema de Justicia es la que juzga en primera instancia, para que luego el Pleno de la misma, sea la instancia que revise el recurso interpuesto; b) cuando una determinada Sala de la Corte Suprema juzga en primera instancia y otra Sala, de distinta composición, resuelve el recurso presentado, y c) cuando una Sala conformada por un número determinado de miembros juzga en primera instancia y otra Sala conformada por un número mayor de jueces que no participaron en el proceso de primera instancia, resuelva el recurso. Asimismo, el Tribunal observa que la composición de las instancias revisoras incluye miembros que no conocieron del caso en primera instancia y que la decisión emitida por aquellas puede modificar o revocar el fallo revisado</w:t>
      </w:r>
      <w:r w:rsidRPr="004C42F4">
        <w:rPr>
          <w:rStyle w:val="FootnoteReference"/>
        </w:rPr>
        <w:footnoteReference w:id="56"/>
      </w:r>
      <w:r w:rsidRPr="004C42F4">
        <w:t>.</w:t>
      </w:r>
    </w:p>
    <w:p w14:paraId="3394992C" w14:textId="77777777" w:rsidR="001762A7" w:rsidRPr="004C42F4" w:rsidRDefault="001762A7" w:rsidP="001E4997">
      <w:pPr>
        <w:pStyle w:val="parrafos"/>
        <w:numPr>
          <w:ilvl w:val="0"/>
          <w:numId w:val="0"/>
        </w:numPr>
        <w:rPr>
          <w:lang w:val="es-CL"/>
        </w:rPr>
      </w:pPr>
    </w:p>
    <w:p w14:paraId="66C4FD15" w14:textId="77777777" w:rsidR="00F350E7" w:rsidRDefault="004337A3" w:rsidP="00F350E7">
      <w:pPr>
        <w:pStyle w:val="parrafos"/>
        <w:ind w:left="0" w:firstLine="0"/>
        <w:rPr>
          <w:lang w:val="es-CL"/>
        </w:rPr>
      </w:pPr>
      <w:r w:rsidRPr="004C42F4">
        <w:rPr>
          <w:lang w:val="es-CL"/>
        </w:rPr>
        <w:t>En el presente asunto</w:t>
      </w:r>
      <w:r w:rsidR="00CD1002" w:rsidRPr="004C42F4">
        <w:rPr>
          <w:lang w:val="es-CL"/>
        </w:rPr>
        <w:t>, la Comisión</w:t>
      </w:r>
      <w:r w:rsidR="00261A63" w:rsidRPr="004C42F4">
        <w:rPr>
          <w:lang w:val="es-CL"/>
        </w:rPr>
        <w:t xml:space="preserve"> observa que el Estado colombiano</w:t>
      </w:r>
      <w:r w:rsidR="00C71440" w:rsidRPr="004C42F4">
        <w:rPr>
          <w:lang w:val="es-CL"/>
        </w:rPr>
        <w:t xml:space="preserve"> inició un proceso en contra del señor Arboleda en única instancia y sin la adopción de un modelo que pueda ser compatible con la Convención Americana, tal como se señaló en el párrafo anterior</w:t>
      </w:r>
      <w:r w:rsidR="00261A63" w:rsidRPr="004C42F4">
        <w:rPr>
          <w:lang w:val="es-CL"/>
        </w:rPr>
        <w:t>. Sin perjuicio de ello, la CIDH</w:t>
      </w:r>
      <w:r w:rsidR="00CD1002" w:rsidRPr="004C42F4">
        <w:rPr>
          <w:lang w:val="es-CL"/>
        </w:rPr>
        <w:t xml:space="preserve"> </w:t>
      </w:r>
      <w:r w:rsidRPr="004C42F4">
        <w:rPr>
          <w:lang w:val="es-CL"/>
        </w:rPr>
        <w:t xml:space="preserve">pasa a analizar </w:t>
      </w:r>
      <w:r w:rsidR="00CD1002" w:rsidRPr="004C42F4">
        <w:rPr>
          <w:lang w:val="es-CL"/>
        </w:rPr>
        <w:t>los recursos presentados por el señor Arboleda en contra de la sentencia de la Corte Suprema. En relación con la acción de revisión, la CIDH toma nota de que el señor Arboleda presentó al menos cinco acciones de revisión en contra de la sentencia condenatoria, las cuales fueron</w:t>
      </w:r>
      <w:r w:rsidR="00CD1002" w:rsidRPr="00F350E7">
        <w:rPr>
          <w:lang w:val="es-CL"/>
        </w:rPr>
        <w:t xml:space="preserve"> inadmitidas. Sobre la naturaleza de este recurso, la Comisión observa que el propio Estado colombiano sostuvo que la acción de revisión es de carácter “excepcional y no ordinaria”, y que procede contra sentencias ejecutoriadas conforme a causales establecidas en el Código de Procedimiento Penal. </w:t>
      </w:r>
      <w:r w:rsidR="00F350E7">
        <w:rPr>
          <w:lang w:val="es-CL"/>
        </w:rPr>
        <w:t xml:space="preserve">Asimismo, dichas acciones fueron conocidas por la misma instancia que emitió la sentencia condenatoria en contra del señor Arboleda, es decir, la Sala de Casación Penal de la Corte Suprema de Justicia. </w:t>
      </w:r>
    </w:p>
    <w:p w14:paraId="2E2DFD86" w14:textId="77777777" w:rsidR="00F350E7" w:rsidRDefault="00F350E7" w:rsidP="00F350E7">
      <w:pPr>
        <w:pStyle w:val="MediumGrid1-Accent21"/>
        <w:rPr>
          <w:lang w:val="es-CL"/>
        </w:rPr>
      </w:pPr>
    </w:p>
    <w:p w14:paraId="3563D0ED" w14:textId="77777777" w:rsidR="00F350E7" w:rsidRDefault="00CD1002" w:rsidP="00F350E7">
      <w:pPr>
        <w:pStyle w:val="parrafos"/>
        <w:ind w:left="0" w:firstLine="0"/>
        <w:rPr>
          <w:lang w:val="es-CL"/>
        </w:rPr>
      </w:pPr>
      <w:r w:rsidRPr="00F350E7">
        <w:rPr>
          <w:lang w:val="es-CL"/>
        </w:rPr>
        <w:t xml:space="preserve">De esta forma, la Comisión resalta que la acción de revisión </w:t>
      </w:r>
      <w:r w:rsidRPr="00F350E7">
        <w:rPr>
          <w:lang w:val="es-ES_tradnl"/>
        </w:rPr>
        <w:t xml:space="preserve">tiene una </w:t>
      </w:r>
      <w:r w:rsidR="00F350E7">
        <w:rPr>
          <w:lang w:val="es-ES_tradnl"/>
        </w:rPr>
        <w:t xml:space="preserve">naturaleza y </w:t>
      </w:r>
      <w:r w:rsidRPr="00F350E7">
        <w:rPr>
          <w:lang w:val="es-ES_tradnl"/>
        </w:rPr>
        <w:t xml:space="preserve">finalidad distinta a la doble conformidad de una sentencia condenatoria. Ello resulta evidente del hecho de que el procedimiento de revisión sólo procede cuando la sentencia ya se encuentra firme y no satisface el requisito de ser un recurso amplio. Ello en virtud de que impone restricciones </w:t>
      </w:r>
      <w:r w:rsidRPr="00F350E7">
        <w:rPr>
          <w:i/>
          <w:lang w:val="es-ES_tradnl"/>
        </w:rPr>
        <w:t>a priori</w:t>
      </w:r>
      <w:r w:rsidRPr="00F350E7">
        <w:rPr>
          <w:lang w:val="es-ES_tradnl"/>
        </w:rPr>
        <w:t xml:space="preserve">, establecidas en causales específicas, que no permiten un examen comprensivo de las cuestiones debatidas y analizadas </w:t>
      </w:r>
      <w:r w:rsidR="00F350E7" w:rsidRPr="00F350E7">
        <w:rPr>
          <w:lang w:val="es-ES_tradnl"/>
        </w:rPr>
        <w:t>por el tribunal que emiti</w:t>
      </w:r>
      <w:r w:rsidR="00F350E7">
        <w:rPr>
          <w:lang w:val="es-ES_tradnl"/>
        </w:rPr>
        <w:t xml:space="preserve">ó la sentencia condenatoria. Asimismo, el recurso no es conocido por un juez o tribunal superior, sino por la misma Sala que emitió la sentencia condenatoria. Dicha conclusión fue señalada por el propio tribunal que conoció las </w:t>
      </w:r>
      <w:r w:rsidR="00F350E7">
        <w:rPr>
          <w:lang w:val="es-ES_tradnl"/>
        </w:rPr>
        <w:lastRenderedPageBreak/>
        <w:t xml:space="preserve">acciones de revisión del señor Arboleda al sostener que la acción de revisión “no es un recurso porque se tramita por fuera del proceso una vez este ha terminado con una decisión en firme y por lo mismo, no tiene carácter de tercera instancia”. Por todo lo expuesto, la Comisión concluye que la acción de revisión no cumple con las características establecidas en el artículo 8.2.h de la Convención Americana. </w:t>
      </w:r>
    </w:p>
    <w:p w14:paraId="5152E65E" w14:textId="77777777" w:rsidR="00F350E7" w:rsidRDefault="00F350E7" w:rsidP="00F350E7">
      <w:pPr>
        <w:pStyle w:val="parrafos"/>
        <w:numPr>
          <w:ilvl w:val="0"/>
          <w:numId w:val="0"/>
        </w:numPr>
        <w:rPr>
          <w:lang w:val="es-CL"/>
        </w:rPr>
      </w:pPr>
    </w:p>
    <w:p w14:paraId="745C8EEB" w14:textId="77777777" w:rsidR="00730ABF" w:rsidRDefault="00F350E7" w:rsidP="00F350E7">
      <w:pPr>
        <w:pStyle w:val="parrafos"/>
        <w:ind w:left="0" w:firstLine="0"/>
        <w:rPr>
          <w:lang w:val="es-CL"/>
        </w:rPr>
      </w:pPr>
      <w:r>
        <w:rPr>
          <w:lang w:val="es-CL"/>
        </w:rPr>
        <w:t>Respecto de la acción de tutela</w:t>
      </w:r>
      <w:r w:rsidR="00730ABF">
        <w:rPr>
          <w:lang w:val="es-CL"/>
        </w:rPr>
        <w:t>, la Comisión nota que el señor Arboleda presentó dicho recurso luego de haberse emitido la sentencia condenatoria y alegando la vulneración del debido proceso. La CIDH observa que la Sala Jurisdiccional Disciplinaria del Consejo Seccional de la Judicatura que conoció dicha acción y que la rechazó, resaltó que la acción de tutela es “una acción extraordinaria, breve y sumaria” y que “el Juez de Tutela no puede convertirse en una instancia revisora de la actividad de evaluación probatoria del juez que ordinariamente conoce de un asunto”. Asimismo, la Corte Constitucional, que llegó a conocer dicho recurso y que también lo rechazó, afirmó que “el juez de tutela no puede convertirse en una instancia revisora de la actividad de evaluación probatoria del juez que ordinariamente conoce de un asunto”.</w:t>
      </w:r>
    </w:p>
    <w:p w14:paraId="1DE3C75B" w14:textId="77777777" w:rsidR="00730ABF" w:rsidRDefault="00730ABF" w:rsidP="00730ABF">
      <w:pPr>
        <w:pStyle w:val="MediumGrid1-Accent21"/>
        <w:rPr>
          <w:lang w:val="es-CL"/>
        </w:rPr>
      </w:pPr>
    </w:p>
    <w:p w14:paraId="4663BCCF" w14:textId="77777777" w:rsidR="00F350E7" w:rsidRDefault="00730ABF" w:rsidP="00F350E7">
      <w:pPr>
        <w:pStyle w:val="parrafos"/>
        <w:ind w:left="0" w:firstLine="0"/>
        <w:rPr>
          <w:lang w:val="es-CL"/>
        </w:rPr>
      </w:pPr>
      <w:r>
        <w:rPr>
          <w:lang w:val="es-CL"/>
        </w:rPr>
        <w:t>Por lo expuesto, la CIDH considera que en el presente caso la acción de tutela presentada por el señor Arboleda no cumplió con los requisitos que debe tener un recurso para garantizar el artículo 8.2.h de la Convención Americana, tales como el carácter ordinario y que garantice un examen integral de la sentencia recurrida, analizando las “</w:t>
      </w:r>
      <w:r>
        <w:t>cuestiones fácticas, probatorias y jurídicas en que se basa la sentencia impugnada</w:t>
      </w:r>
      <w:r>
        <w:rPr>
          <w:lang w:val="es-CL"/>
        </w:rPr>
        <w:t>”</w:t>
      </w:r>
      <w:r>
        <w:rPr>
          <w:rStyle w:val="FootnoteReference"/>
          <w:lang w:val="es-CL"/>
        </w:rPr>
        <w:footnoteReference w:id="57"/>
      </w:r>
      <w:r>
        <w:rPr>
          <w:lang w:val="es-CL"/>
        </w:rPr>
        <w:t>.</w:t>
      </w:r>
      <w:r w:rsidR="00B908C8">
        <w:rPr>
          <w:lang w:val="es-CL"/>
        </w:rPr>
        <w:t xml:space="preserve"> </w:t>
      </w:r>
    </w:p>
    <w:p w14:paraId="7B4F275D" w14:textId="77777777" w:rsidR="004D5F55" w:rsidRDefault="004D5F55" w:rsidP="004D5F55">
      <w:pPr>
        <w:pStyle w:val="MediumGrid1-Accent21"/>
        <w:rPr>
          <w:lang w:val="es-CL"/>
        </w:rPr>
      </w:pPr>
    </w:p>
    <w:p w14:paraId="26A616A5" w14:textId="77777777" w:rsidR="004D5F55" w:rsidRDefault="004D5F55" w:rsidP="00F350E7">
      <w:pPr>
        <w:pStyle w:val="parrafos"/>
        <w:ind w:left="0" w:firstLine="0"/>
        <w:rPr>
          <w:lang w:val="es-CL"/>
        </w:rPr>
      </w:pPr>
      <w:r>
        <w:rPr>
          <w:lang w:val="es-CL"/>
        </w:rPr>
        <w:t xml:space="preserve">Adicionalmente, </w:t>
      </w:r>
      <w:r w:rsidRPr="009B3BD2">
        <w:rPr>
          <w:lang w:val="es-CO"/>
        </w:rPr>
        <w:t>la CIDH recuerda que el Estado está en la obligación general de proveer recursos judiciales efectivos a las personas que aleguen ser víctimas de v</w:t>
      </w:r>
      <w:r>
        <w:rPr>
          <w:lang w:val="es-CO"/>
        </w:rPr>
        <w:t>iolaciones de derechos humanos, conforme al artículo 25.1 de la Convención Americana</w:t>
      </w:r>
      <w:r w:rsidRPr="009B3BD2">
        <w:rPr>
          <w:lang w:val="es-CO"/>
        </w:rPr>
        <w:t xml:space="preserve">. </w:t>
      </w:r>
      <w:r>
        <w:rPr>
          <w:lang w:val="es-CO"/>
        </w:rPr>
        <w:t>Por ello, p</w:t>
      </w:r>
      <w:r w:rsidRPr="009B3BD2">
        <w:rPr>
          <w:lang w:val="es-CO"/>
        </w:rPr>
        <w:t>ara que exista un recurso efectivo no basta con que esté previsto legalmente sino que deber ser realmente idóneo para establecer si se ha incurrido en una violación a los derechos humanos, y proveer lo necesario para remediarla</w:t>
      </w:r>
      <w:r w:rsidRPr="009B3BD2">
        <w:rPr>
          <w:vertAlign w:val="superscript"/>
        </w:rPr>
        <w:footnoteReference w:id="58"/>
      </w:r>
      <w:r w:rsidRPr="009B3BD2">
        <w:rPr>
          <w:lang w:val="es-CO"/>
        </w:rPr>
        <w:t>.</w:t>
      </w:r>
      <w:r>
        <w:rPr>
          <w:lang w:val="es-CO"/>
        </w:rPr>
        <w:t xml:space="preserve"> En el presente</w:t>
      </w:r>
    </w:p>
    <w:p w14:paraId="4CBF7528" w14:textId="77777777" w:rsidR="00B908C8" w:rsidRDefault="00B908C8" w:rsidP="00B908C8">
      <w:pPr>
        <w:pStyle w:val="MediumGrid1-Accent21"/>
        <w:rPr>
          <w:lang w:val="es-CL"/>
        </w:rPr>
      </w:pPr>
    </w:p>
    <w:p w14:paraId="67FE68BA" w14:textId="77777777" w:rsidR="00B908C8" w:rsidRPr="00F350E7" w:rsidRDefault="00B908C8" w:rsidP="00F350E7">
      <w:pPr>
        <w:pStyle w:val="parrafos"/>
        <w:ind w:left="0" w:firstLine="0"/>
        <w:rPr>
          <w:lang w:val="es-CL"/>
        </w:rPr>
      </w:pPr>
      <w:r>
        <w:rPr>
          <w:lang w:val="es-CL"/>
        </w:rPr>
        <w:t xml:space="preserve">En vista de todo lo señalado en la presente sección, la Comisión concluye que el señor Arboleda no tuvo a disposición un recurso que le permita </w:t>
      </w:r>
      <w:r w:rsidR="004D5F55">
        <w:rPr>
          <w:lang w:val="es-CL"/>
        </w:rPr>
        <w:t>garantizar su derecho a recurrir el fallo condenatoria ante un juez o tribunal superior, y que los recursos disponibles no resultaron adecuados ni efectivos para remediar la vulneración alegada. Por lo tanto, la CIDH concluye que el Estado Colombia es responsable por la violación de los derechos establecidos en los artículos 8.2.h y 25.1 de la Convención Americana, en relación con los artículos 1.1 y 2 del mismo instrumento.</w:t>
      </w:r>
    </w:p>
    <w:p w14:paraId="2604A8AC" w14:textId="77777777" w:rsidR="00EA52FC" w:rsidRPr="00EA52FC" w:rsidRDefault="00EA52FC" w:rsidP="00EA52FC">
      <w:pPr>
        <w:pStyle w:val="parrafos"/>
        <w:numPr>
          <w:ilvl w:val="0"/>
          <w:numId w:val="0"/>
        </w:numPr>
        <w:rPr>
          <w:lang w:val="es-CL"/>
        </w:rPr>
      </w:pPr>
    </w:p>
    <w:p w14:paraId="1BC7A70D" w14:textId="77777777" w:rsidR="005F2908" w:rsidRPr="00204A54" w:rsidRDefault="00204A54" w:rsidP="00E20022">
      <w:pPr>
        <w:pStyle w:val="Heading2"/>
        <w:numPr>
          <w:ilvl w:val="0"/>
          <w:numId w:val="0"/>
        </w:numPr>
        <w:ind w:left="360" w:hanging="360"/>
        <w:rPr>
          <w:lang w:val="es-CL"/>
        </w:rPr>
      </w:pPr>
      <w:bookmarkStart w:id="10" w:name="_Toc470165136"/>
      <w:r w:rsidRPr="00204A54">
        <w:t xml:space="preserve">2. </w:t>
      </w:r>
      <w:r>
        <w:tab/>
      </w:r>
      <w:r w:rsidR="005F2908" w:rsidRPr="00204A54">
        <w:t>Derecho a contar con un juez competente, independiente e imparcial</w:t>
      </w:r>
      <w:r w:rsidRPr="00204A54">
        <w:t>, y derecho a la defensa</w:t>
      </w:r>
      <w:bookmarkEnd w:id="10"/>
    </w:p>
    <w:p w14:paraId="55606C06" w14:textId="77777777" w:rsidR="005F2908" w:rsidRDefault="005F2908" w:rsidP="00A0549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CL"/>
        </w:rPr>
      </w:pPr>
    </w:p>
    <w:p w14:paraId="6F1CF4E6" w14:textId="77777777" w:rsidR="00725306" w:rsidRPr="003E39A1" w:rsidRDefault="00725306" w:rsidP="00725306">
      <w:pPr>
        <w:pStyle w:val="parrafos"/>
        <w:ind w:left="0" w:firstLine="0"/>
        <w:rPr>
          <w:lang w:val="es-ES_tradnl"/>
        </w:rPr>
      </w:pPr>
      <w:r w:rsidRPr="00725306">
        <w:rPr>
          <w:lang w:val="es-CL"/>
        </w:rPr>
        <w:t>La</w:t>
      </w:r>
      <w:r w:rsidRPr="00725306">
        <w:rPr>
          <w:lang w:val="es-ES_tradnl"/>
        </w:rPr>
        <w:t xml:space="preserve"> Corte ha considerado que el derecho a ser juzgado por un juez o tribunal imparcial es una garantía fundamental del debido proceso. Es decir, se debe garantizar que el juez o tribunal en el ejercicio de su función como juzgador cuente con la mayor objetividad para enfrentar el juicio.  Esto permite a su vez, que los tribunales inspiren la confianza necesaria a las partes en el caso, así como a los ciudadanos en una sociedad democrática</w:t>
      </w:r>
      <w:r w:rsidRPr="00725306">
        <w:rPr>
          <w:rStyle w:val="FootnoteReference"/>
          <w:lang w:val="es-ES_tradnl"/>
        </w:rPr>
        <w:footnoteReference w:id="59"/>
      </w:r>
      <w:r w:rsidRPr="00725306">
        <w:rPr>
          <w:lang w:val="es-ES_tradnl"/>
        </w:rPr>
        <w:t>.</w:t>
      </w:r>
      <w:r w:rsidR="004D5F55">
        <w:rPr>
          <w:lang w:val="es-ES_tradnl"/>
        </w:rPr>
        <w:t xml:space="preserve"> Asimismo, la CIDH ha sostenido que </w:t>
      </w:r>
      <w:r w:rsidR="004D5F55">
        <w:t>l</w:t>
      </w:r>
      <w:r w:rsidR="004D5F55" w:rsidRPr="009B3BD2">
        <w:t>a imparcialidad del tribunal implica que sus integrantes no tengan un interés directo, una posición tomada, una preferencia por alguna de las partes y que no se encuentren involucrados en la controversia</w:t>
      </w:r>
      <w:r w:rsidR="004D5F55" w:rsidRPr="009B3BD2">
        <w:rPr>
          <w:rStyle w:val="FootnoteReference"/>
          <w:lang w:eastAsia="es-ES"/>
        </w:rPr>
        <w:footnoteReference w:id="60"/>
      </w:r>
      <w:r w:rsidR="004D5F55" w:rsidRPr="009B3BD2">
        <w:t>.</w:t>
      </w:r>
    </w:p>
    <w:p w14:paraId="44EC09C6" w14:textId="77777777" w:rsidR="003E39A1" w:rsidRPr="003E39A1" w:rsidRDefault="003E39A1" w:rsidP="003E39A1">
      <w:pPr>
        <w:pStyle w:val="parrafos"/>
        <w:numPr>
          <w:ilvl w:val="0"/>
          <w:numId w:val="0"/>
        </w:numPr>
        <w:rPr>
          <w:lang w:val="es-ES_tradnl"/>
        </w:rPr>
      </w:pPr>
    </w:p>
    <w:p w14:paraId="2E3FD243" w14:textId="77777777" w:rsidR="003E39A1" w:rsidRDefault="003E39A1" w:rsidP="00725306">
      <w:pPr>
        <w:pStyle w:val="parrafos"/>
        <w:ind w:left="0" w:firstLine="0"/>
        <w:rPr>
          <w:lang w:val="es-ES_tradnl"/>
        </w:rPr>
      </w:pPr>
      <w:r>
        <w:rPr>
          <w:lang w:val="es-ES_tradnl"/>
        </w:rPr>
        <w:t xml:space="preserve">Respecto del derecho de defensa, </w:t>
      </w:r>
      <w:r w:rsidR="003C152A" w:rsidRPr="00165E2A">
        <w:rPr>
          <w:color w:val="auto"/>
        </w:rPr>
        <w:t xml:space="preserve">la Comisión recuerda que </w:t>
      </w:r>
      <w:r w:rsidR="003C152A" w:rsidRPr="00165E2A">
        <w:rPr>
          <w:color w:val="auto"/>
          <w:lang w:val="es-ES"/>
        </w:rPr>
        <w:t>la</w:t>
      </w:r>
      <w:r w:rsidR="003C152A">
        <w:rPr>
          <w:color w:val="auto"/>
          <w:lang w:val="es-ES"/>
        </w:rPr>
        <w:t xml:space="preserve"> persona sometida a un proceso penal </w:t>
      </w:r>
      <w:r w:rsidR="003C152A" w:rsidRPr="00165E2A">
        <w:rPr>
          <w:color w:val="auto"/>
          <w:lang w:val="es-ES"/>
        </w:rPr>
        <w:t>debe poder defender sus intereses o d</w:t>
      </w:r>
      <w:r w:rsidR="003C152A">
        <w:rPr>
          <w:color w:val="auto"/>
          <w:lang w:val="es-ES"/>
        </w:rPr>
        <w:t xml:space="preserve">erechos en forma efectiva y en </w:t>
      </w:r>
      <w:r w:rsidR="003C152A" w:rsidRPr="00165E2A">
        <w:rPr>
          <w:color w:val="auto"/>
          <w:lang w:val="es-ES"/>
        </w:rPr>
        <w:t>cond</w:t>
      </w:r>
      <w:r w:rsidR="003C152A">
        <w:rPr>
          <w:color w:val="auto"/>
          <w:lang w:val="es-ES"/>
        </w:rPr>
        <w:t>iciones de igualdad procesal</w:t>
      </w:r>
      <w:r w:rsidR="003C152A" w:rsidRPr="00165E2A">
        <w:rPr>
          <w:color w:val="auto"/>
        </w:rPr>
        <w:t>. Ello a fin de que la persona sometida al poder punitivo del Estado pueda formular sus descargos con toda la información necesaria.</w:t>
      </w:r>
      <w:r w:rsidR="003C152A">
        <w:rPr>
          <w:color w:val="auto"/>
        </w:rPr>
        <w:t xml:space="preserve"> Por su parte, </w:t>
      </w:r>
      <w:r w:rsidR="003C152A">
        <w:rPr>
          <w:lang w:val="es-ES"/>
        </w:rPr>
        <w:t>l</w:t>
      </w:r>
      <w:r w:rsidR="003C152A" w:rsidRPr="002316D7">
        <w:rPr>
          <w:lang w:val="es-ES"/>
        </w:rPr>
        <w:t xml:space="preserve">a Corte </w:t>
      </w:r>
      <w:r w:rsidR="003C152A" w:rsidRPr="002316D7">
        <w:t xml:space="preserve">ha señalado que el derecho a la defensa debe necesariamente poder ejercerse </w:t>
      </w:r>
      <w:r w:rsidR="003C152A" w:rsidRPr="002316D7">
        <w:lastRenderedPageBreak/>
        <w:t xml:space="preserve">desde que se señala a una persona como posible autor o partícipe de un hecho punible y sólo culmina cuando </w:t>
      </w:r>
      <w:r w:rsidR="003C152A" w:rsidRPr="002316D7">
        <w:rPr>
          <w:lang w:val="es-ES"/>
        </w:rPr>
        <w:t>finaliza</w:t>
      </w:r>
      <w:r w:rsidR="003C152A" w:rsidRPr="002316D7">
        <w:t xml:space="preserve"> el proceso</w:t>
      </w:r>
      <w:bookmarkStart w:id="11" w:name="_Ref247953326"/>
      <w:r w:rsidR="003C152A" w:rsidRPr="002316D7">
        <w:rPr>
          <w:rStyle w:val="FootnoteReference"/>
        </w:rPr>
        <w:footnoteReference w:id="61"/>
      </w:r>
      <w:bookmarkEnd w:id="11"/>
      <w:r w:rsidR="003C152A" w:rsidRPr="002316D7">
        <w:t>.</w:t>
      </w:r>
    </w:p>
    <w:p w14:paraId="61722C4E" w14:textId="77777777" w:rsidR="00725306" w:rsidRDefault="00725306" w:rsidP="00725306">
      <w:pPr>
        <w:pStyle w:val="parrafos"/>
        <w:numPr>
          <w:ilvl w:val="0"/>
          <w:numId w:val="0"/>
        </w:numPr>
        <w:rPr>
          <w:lang w:val="es-ES_tradnl"/>
        </w:rPr>
      </w:pPr>
    </w:p>
    <w:p w14:paraId="741A8F9D" w14:textId="77777777" w:rsidR="00313D05" w:rsidRPr="00313D05" w:rsidRDefault="00B04B82" w:rsidP="001A7FEE">
      <w:pPr>
        <w:pStyle w:val="parrafos"/>
        <w:ind w:left="0" w:firstLine="0"/>
        <w:rPr>
          <w:lang w:val="es-US"/>
        </w:rPr>
      </w:pPr>
      <w:r w:rsidRPr="00313D05">
        <w:rPr>
          <w:lang w:val="es-ES_tradnl"/>
        </w:rPr>
        <w:t>En el presente caso, la CIDH nota que uno de los alegatos de la parte peticionaria se refiere a la violación del derecho a la defensa por la inclusión</w:t>
      </w:r>
      <w:r w:rsidR="007C0357" w:rsidRPr="00313D05">
        <w:rPr>
          <w:lang w:val="es-ES_tradnl"/>
        </w:rPr>
        <w:t xml:space="preserve"> como medio probatorio,</w:t>
      </w:r>
      <w:r w:rsidRPr="00313D05">
        <w:rPr>
          <w:lang w:val="es-ES_tradnl"/>
        </w:rPr>
        <w:t xml:space="preserve"> en el proceso penal y la sentencia condenatoria</w:t>
      </w:r>
      <w:r w:rsidR="007C0357" w:rsidRPr="00313D05">
        <w:rPr>
          <w:lang w:val="es-ES_tradnl"/>
        </w:rPr>
        <w:t>,</w:t>
      </w:r>
      <w:r w:rsidRPr="00313D05">
        <w:rPr>
          <w:lang w:val="es-ES_tradnl"/>
        </w:rPr>
        <w:t xml:space="preserve"> de la grabación </w:t>
      </w:r>
      <w:r w:rsidR="007C0357" w:rsidRPr="00313D05">
        <w:rPr>
          <w:lang w:val="es-ES_tradnl"/>
        </w:rPr>
        <w:t>de</w:t>
      </w:r>
      <w:r w:rsidR="00981331" w:rsidRPr="00313D05">
        <w:rPr>
          <w:lang w:val="es-ES_tradnl"/>
        </w:rPr>
        <w:t xml:space="preserve"> la conversación telefónica del</w:t>
      </w:r>
      <w:r w:rsidR="007C0357" w:rsidRPr="00313D05">
        <w:rPr>
          <w:lang w:val="es-ES_tradnl"/>
        </w:rPr>
        <w:t xml:space="preserve"> señor Arboleda. </w:t>
      </w:r>
      <w:r w:rsidR="00313D05" w:rsidRPr="00313D05">
        <w:rPr>
          <w:lang w:val="es-ES_tradnl"/>
        </w:rPr>
        <w:t xml:space="preserve">De manera preliminar, la CIDH recuerda que la Corte ha sostenido que las conversaciones telefónicas son una </w:t>
      </w:r>
      <w:r w:rsidR="00313D05">
        <w:t>forma de comunicación que está incluida dentro del ámbito de protección de la vida privada</w:t>
      </w:r>
      <w:r w:rsidR="00313D05">
        <w:rPr>
          <w:rStyle w:val="FootnoteReference"/>
        </w:rPr>
        <w:footnoteReference w:id="62"/>
      </w:r>
      <w:r w:rsidR="00313D05">
        <w:t xml:space="preserve">. </w:t>
      </w:r>
    </w:p>
    <w:p w14:paraId="3A046DBA" w14:textId="77777777" w:rsidR="00313D05" w:rsidRPr="00313D05" w:rsidRDefault="00313D05" w:rsidP="00313D05">
      <w:pPr>
        <w:pStyle w:val="parrafos"/>
        <w:numPr>
          <w:ilvl w:val="0"/>
          <w:numId w:val="0"/>
        </w:numPr>
        <w:rPr>
          <w:lang w:val="es-US"/>
        </w:rPr>
      </w:pPr>
    </w:p>
    <w:p w14:paraId="56F23D6E" w14:textId="77777777" w:rsidR="007C0357" w:rsidRPr="005709E1" w:rsidRDefault="00313D05" w:rsidP="00725306">
      <w:pPr>
        <w:pStyle w:val="parrafos"/>
        <w:ind w:left="0" w:firstLine="0"/>
        <w:rPr>
          <w:lang w:val="es-ES_tradnl"/>
        </w:rPr>
      </w:pPr>
      <w:r>
        <w:t>Ahora bien, l</w:t>
      </w:r>
      <w:r w:rsidR="007C0357">
        <w:t>a Comisión observa que en este asunto no existe controversia en que dicha grabación se realizó de forma ilícita pues se realizó sin la autorización y consentimiento de las personas involucradas. Asimismo, la CIDH nota que las partes no presentaron información sobre los posibles autores de dicha grabación,</w:t>
      </w:r>
      <w:r w:rsidR="00981331">
        <w:t xml:space="preserve"> ni que estuvieran involucrados agentes estatales.</w:t>
      </w:r>
      <w:r>
        <w:t xml:space="preserve"> Adicionalmente, ambas partes han coincido en que dicha grabación, al ser ilícita, no podía ser utilizada como medio probatorio en el proceso penal. Ello también conforme con el artículo 29 de la Constitución Política de Colombia que establece que “es nula, de pleno derecho, la prueba obtenida con violación del debido proceso”.</w:t>
      </w:r>
      <w:r w:rsidR="005709E1">
        <w:t xml:space="preserve"> </w:t>
      </w:r>
    </w:p>
    <w:p w14:paraId="262B7C08" w14:textId="77777777" w:rsidR="005709E1" w:rsidRDefault="005709E1" w:rsidP="005709E1">
      <w:pPr>
        <w:pStyle w:val="MediumGrid1-Accent21"/>
        <w:rPr>
          <w:lang w:val="es-ES_tradnl"/>
        </w:rPr>
      </w:pPr>
    </w:p>
    <w:p w14:paraId="6D41F4ED" w14:textId="77777777" w:rsidR="00F93C7F" w:rsidRPr="005709E1" w:rsidRDefault="005709E1" w:rsidP="005709E1">
      <w:pPr>
        <w:pStyle w:val="parrafos"/>
        <w:ind w:left="0" w:firstLine="0"/>
        <w:rPr>
          <w:lang w:val="es-ES_tradnl"/>
        </w:rPr>
      </w:pPr>
      <w:r>
        <w:rPr>
          <w:lang w:val="es-ES_tradnl"/>
        </w:rPr>
        <w:t xml:space="preserve">En vista de lo señalado, corresponde a la Comisión analizar si, conforme a las piezas del proceso penal presentada ante ésta, se evidencia si se incorporó como medio probatorio la grabación del señor Arboleda. Al respecto, la CIDH observa que en dicho proceso </w:t>
      </w:r>
      <w:r w:rsidR="00E72482" w:rsidRPr="005709E1">
        <w:rPr>
          <w:lang w:val="es-ES_tradnl"/>
        </w:rPr>
        <w:t>se recabaron diversos medios de prueba, tales como la recepción de declaraciones,</w:t>
      </w:r>
      <w:r>
        <w:rPr>
          <w:lang w:val="es-ES_tradnl"/>
        </w:rPr>
        <w:t xml:space="preserve"> el comunicado de prensa de la persona que tuvo la conversación con el señor Arboleda reconociendo la existencia de la conversación telefónica,</w:t>
      </w:r>
      <w:r w:rsidR="00F93C7F" w:rsidRPr="005709E1">
        <w:rPr>
          <w:lang w:val="es-ES_tradnl"/>
        </w:rPr>
        <w:t xml:space="preserve"> </w:t>
      </w:r>
      <w:r w:rsidR="00E72482" w:rsidRPr="005709E1">
        <w:rPr>
          <w:lang w:val="es-ES_tradnl"/>
        </w:rPr>
        <w:t xml:space="preserve">documentación sobre el proceso de adjudicación de emisoras radiales en la época, inspecciones judiciales, entre otros. Asimismo, la Comisión nota que, en las diversas decisiones de la Sala de Casación Penal de la Corte Suprema de Justicia, así como de la Corte Constitucional, se indicó expresamente que no se tomó en cuenta la grabación del señor Arboleda. La CIDH considera que en vista de ello no existen elementos probatorios suficientes para determinar que el Estado vulneró el derecho de defensa del señor Arboleda por </w:t>
      </w:r>
      <w:r>
        <w:rPr>
          <w:lang w:val="es-ES_tradnl"/>
        </w:rPr>
        <w:t xml:space="preserve">presuntamente </w:t>
      </w:r>
      <w:r w:rsidR="00E72482" w:rsidRPr="005709E1">
        <w:rPr>
          <w:lang w:val="es-ES_tradnl"/>
        </w:rPr>
        <w:t xml:space="preserve">haber incorporado como pieza probatoria la grabación </w:t>
      </w:r>
      <w:r>
        <w:rPr>
          <w:lang w:val="es-ES_tradnl"/>
        </w:rPr>
        <w:t>del señor Arboleda</w:t>
      </w:r>
      <w:r w:rsidR="00E72482" w:rsidRPr="005709E1">
        <w:rPr>
          <w:lang w:val="es-ES_tradnl"/>
        </w:rPr>
        <w:t xml:space="preserve">. </w:t>
      </w:r>
    </w:p>
    <w:p w14:paraId="165E26E1" w14:textId="77777777" w:rsidR="00725306" w:rsidRDefault="00725306" w:rsidP="00725306">
      <w:pPr>
        <w:pStyle w:val="MediumGrid1-Accent21"/>
        <w:rPr>
          <w:lang w:val="es-ES_tradnl"/>
        </w:rPr>
      </w:pPr>
    </w:p>
    <w:p w14:paraId="3506461A" w14:textId="77777777" w:rsidR="009B3754" w:rsidRPr="004C42F4" w:rsidRDefault="00725306" w:rsidP="00725306">
      <w:pPr>
        <w:pStyle w:val="parrafos"/>
        <w:ind w:left="0" w:firstLine="0"/>
        <w:rPr>
          <w:lang w:val="es-ES_tradnl"/>
        </w:rPr>
      </w:pPr>
      <w:r w:rsidRPr="004C42F4">
        <w:rPr>
          <w:lang w:val="es-ES_tradnl"/>
        </w:rPr>
        <w:t xml:space="preserve">Adicionalmente, la Comisión </w:t>
      </w:r>
      <w:r w:rsidR="009B3754" w:rsidRPr="004C42F4">
        <w:rPr>
          <w:lang w:val="es-ES_tradnl"/>
        </w:rPr>
        <w:t>observa que la parte peticionaria alegó la vulneración del derecho a contar con un juez, independiente e imparcial. La CIDH toma nota de los alegatos de la parte peticionaria se enfocan en presuntas presiones externas</w:t>
      </w:r>
      <w:r w:rsidR="00BB67C2" w:rsidRPr="004C42F4">
        <w:rPr>
          <w:lang w:val="es-ES_tradnl"/>
        </w:rPr>
        <w:t xml:space="preserve"> o actos de corrupción</w:t>
      </w:r>
      <w:r w:rsidR="009B3754" w:rsidRPr="004C42F4">
        <w:rPr>
          <w:lang w:val="es-ES_tradnl"/>
        </w:rPr>
        <w:t xml:space="preserve"> de autoridades </w:t>
      </w:r>
      <w:r w:rsidR="00BB67C2" w:rsidRPr="004C42F4">
        <w:rPr>
          <w:lang w:val="es-ES_tradnl"/>
        </w:rPr>
        <w:t>fiscales y judiciales que conocieron el proceso</w:t>
      </w:r>
      <w:r w:rsidR="009B3754" w:rsidRPr="004C42F4">
        <w:rPr>
          <w:lang w:val="es-ES_tradnl"/>
        </w:rPr>
        <w:t>, en particular a i) la falta de imparcialidad del Fiscal General de la Nación que inició la investigación en su contra; ii) que la Corte Constitucional se vio obligada a fallar en contra del señor Arboleda en el marco de una acción de tutela por presiones de la Corte Suprema de Justicia; y iii) que los miembros de la Sala de Selección de Tutela fueron ternados por la Corte Suprema de Justicia que emitió la sentencia condenatoria.</w:t>
      </w:r>
      <w:r w:rsidR="006A5A8D" w:rsidRPr="004C42F4">
        <w:rPr>
          <w:lang w:val="es-ES_tradnl"/>
        </w:rPr>
        <w:t xml:space="preserve"> En el presente caso, la CIDH no cuenta con elementos probatorios suficientes para determinar que efectivamente tuvieron lugar las supuestas violaciones alegadas. En consecuencia, la Comisión no se pronunciará sobre la alegada responsabilidad internacional del Estado por la violación del derecho a contar con un juez, independiente e imparcial.</w:t>
      </w:r>
    </w:p>
    <w:p w14:paraId="4CBC2E68" w14:textId="77777777" w:rsidR="005F2908" w:rsidRPr="00C17938" w:rsidRDefault="005F2908" w:rsidP="00A0549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CL"/>
        </w:rPr>
      </w:pPr>
    </w:p>
    <w:p w14:paraId="6A4D3940" w14:textId="77777777" w:rsidR="00D12193" w:rsidRPr="00C17938" w:rsidRDefault="00D12193" w:rsidP="00A0549A">
      <w:pPr>
        <w:pStyle w:val="Heading1"/>
        <w:spacing w:after="0"/>
      </w:pPr>
      <w:bookmarkStart w:id="12" w:name="_Toc470165137"/>
      <w:r w:rsidRPr="00C17938">
        <w:t>CONCLUSIONES Y RECOMENDACIONES</w:t>
      </w:r>
      <w:bookmarkEnd w:id="12"/>
      <w:r w:rsidRPr="00C17938">
        <w:t xml:space="preserve"> </w:t>
      </w:r>
    </w:p>
    <w:p w14:paraId="2F9A348D" w14:textId="77777777" w:rsidR="00D12193" w:rsidRDefault="00D12193" w:rsidP="00A0549A">
      <w:pPr>
        <w:tabs>
          <w:tab w:val="left" w:pos="360"/>
        </w:tabs>
        <w:suppressAutoHyphens/>
        <w:rPr>
          <w:rFonts w:ascii="Cambria" w:hAnsi="Cambria"/>
          <w:b/>
          <w:sz w:val="20"/>
          <w:szCs w:val="20"/>
          <w:lang w:val="es-ES_tradnl"/>
        </w:rPr>
      </w:pPr>
    </w:p>
    <w:p w14:paraId="49DED911" w14:textId="77777777" w:rsidR="00A92CC4" w:rsidRPr="00A57A16" w:rsidRDefault="00A92CC4" w:rsidP="00A92CC4">
      <w:pPr>
        <w:pStyle w:val="parrafos"/>
        <w:ind w:left="0" w:firstLine="0"/>
        <w:rPr>
          <w:rFonts w:eastAsia="Calibri"/>
          <w:color w:val="auto"/>
          <w:bdr w:val="none" w:sz="0" w:space="0" w:color="auto"/>
          <w:lang w:val="es-ES_tradnl"/>
        </w:rPr>
      </w:pPr>
      <w:r w:rsidRPr="00A57A16">
        <w:rPr>
          <w:rFonts w:eastAsia="Calibri"/>
          <w:color w:val="auto"/>
          <w:bdr w:val="none" w:sz="0" w:space="0" w:color="auto"/>
          <w:lang w:val="es-ES_tradnl"/>
        </w:rPr>
        <w:t xml:space="preserve">Con base en las determinaciones de hecho y de derecho del presente informe, la Comisión Interamericana concluye que el Estado es responsable por la violación de los derechos </w:t>
      </w:r>
      <w:r>
        <w:rPr>
          <w:rFonts w:eastAsia="Calibri"/>
          <w:color w:val="auto"/>
          <w:bdr w:val="none" w:sz="0" w:space="0" w:color="auto"/>
          <w:lang w:val="es-ES_tradnl"/>
        </w:rPr>
        <w:t xml:space="preserve">a las garantías judiciales (artículo 8) y protección judicial (artículo 25) de </w:t>
      </w:r>
      <w:r w:rsidRPr="00A57A16">
        <w:rPr>
          <w:rFonts w:eastAsia="Calibri"/>
          <w:color w:val="auto"/>
          <w:bdr w:val="none" w:sz="0" w:space="0" w:color="auto"/>
          <w:lang w:val="es-ES_tradnl"/>
        </w:rPr>
        <w:t>la Convención Americana, en relación con los artículos 1.1 y 2 del mismo instrumento</w:t>
      </w:r>
      <w:r>
        <w:rPr>
          <w:rFonts w:eastAsia="Calibri"/>
          <w:color w:val="auto"/>
          <w:bdr w:val="none" w:sz="0" w:space="0" w:color="auto"/>
          <w:lang w:val="es-ES_tradnl"/>
        </w:rPr>
        <w:t>, en perjuicio de</w:t>
      </w:r>
      <w:r w:rsidRPr="00A92CC4">
        <w:rPr>
          <w:lang w:val="es-MX"/>
        </w:rPr>
        <w:t xml:space="preserve"> </w:t>
      </w:r>
      <w:r>
        <w:rPr>
          <w:lang w:val="es-MX"/>
        </w:rPr>
        <w:t>Saulo Arboleda Gómez</w:t>
      </w:r>
      <w:r w:rsidRPr="00A57A16">
        <w:rPr>
          <w:rFonts w:eastAsia="Calibri"/>
          <w:color w:val="auto"/>
          <w:bdr w:val="none" w:sz="0" w:space="0" w:color="auto"/>
          <w:lang w:val="es-ES_tradnl"/>
        </w:rPr>
        <w:t xml:space="preserve">.  </w:t>
      </w:r>
    </w:p>
    <w:p w14:paraId="053A44D6" w14:textId="77777777" w:rsidR="00006896" w:rsidRPr="00C17938" w:rsidRDefault="00006896" w:rsidP="00A0549A">
      <w:pPr>
        <w:tabs>
          <w:tab w:val="left" w:pos="360"/>
        </w:tabs>
        <w:suppressAutoHyphens/>
        <w:jc w:val="both"/>
        <w:rPr>
          <w:rFonts w:ascii="Cambria" w:hAnsi="Cambria"/>
          <w:sz w:val="20"/>
          <w:szCs w:val="20"/>
          <w:lang w:val="es-ES_tradnl"/>
        </w:rPr>
      </w:pPr>
    </w:p>
    <w:p w14:paraId="276F692F" w14:textId="77777777" w:rsidR="00A0549A" w:rsidRPr="00C17938" w:rsidRDefault="00006896" w:rsidP="00A0549A">
      <w:pPr>
        <w:tabs>
          <w:tab w:val="left" w:pos="360"/>
        </w:tabs>
        <w:jc w:val="center"/>
        <w:rPr>
          <w:rFonts w:ascii="Cambria" w:hAnsi="Cambria"/>
          <w:b/>
          <w:sz w:val="20"/>
          <w:szCs w:val="20"/>
          <w:lang w:val="es-ES_tradnl"/>
        </w:rPr>
      </w:pPr>
      <w:r w:rsidRPr="00C17938">
        <w:rPr>
          <w:rFonts w:ascii="Cambria" w:hAnsi="Cambria"/>
          <w:b/>
          <w:sz w:val="20"/>
          <w:szCs w:val="20"/>
          <w:lang w:val="es-ES_tradnl"/>
        </w:rPr>
        <w:t>LA COMISIÓN INTERAMERICANA DE DERECHOS HUMANOS</w:t>
      </w:r>
    </w:p>
    <w:p w14:paraId="782306B0" w14:textId="77777777" w:rsidR="00006896" w:rsidRPr="00C17938" w:rsidRDefault="00006896" w:rsidP="00A0549A">
      <w:pPr>
        <w:tabs>
          <w:tab w:val="left" w:pos="360"/>
        </w:tabs>
        <w:jc w:val="center"/>
        <w:rPr>
          <w:rFonts w:ascii="Cambria" w:hAnsi="Cambria"/>
          <w:b/>
          <w:sz w:val="20"/>
          <w:szCs w:val="20"/>
          <w:lang w:val="es-ES_tradnl"/>
        </w:rPr>
      </w:pPr>
      <w:r w:rsidRPr="00C17938">
        <w:rPr>
          <w:rFonts w:ascii="Cambria" w:hAnsi="Cambria"/>
          <w:b/>
          <w:sz w:val="20"/>
          <w:szCs w:val="20"/>
          <w:lang w:val="es-ES_tradnl"/>
        </w:rPr>
        <w:t>RECOMIENDA AL ESTADO DE</w:t>
      </w:r>
      <w:r w:rsidR="00A0549A" w:rsidRPr="00C17938">
        <w:rPr>
          <w:rFonts w:ascii="Cambria" w:hAnsi="Cambria"/>
          <w:b/>
          <w:sz w:val="20"/>
          <w:szCs w:val="20"/>
          <w:lang w:val="es-ES_tradnl"/>
        </w:rPr>
        <w:t xml:space="preserve"> COLOMBIA,</w:t>
      </w:r>
    </w:p>
    <w:p w14:paraId="72C48D3D" w14:textId="77777777" w:rsidR="00006896" w:rsidRPr="00C17938" w:rsidRDefault="00006896" w:rsidP="00A0549A">
      <w:pPr>
        <w:tabs>
          <w:tab w:val="left" w:pos="360"/>
        </w:tabs>
        <w:ind w:firstLine="720"/>
        <w:jc w:val="both"/>
        <w:rPr>
          <w:rFonts w:ascii="Cambria" w:hAnsi="Cambria"/>
          <w:b/>
          <w:sz w:val="20"/>
          <w:szCs w:val="20"/>
          <w:lang w:val="es-ES_tradnl"/>
        </w:rPr>
      </w:pPr>
    </w:p>
    <w:p w14:paraId="796B4E60" w14:textId="77777777" w:rsidR="00C17938" w:rsidRPr="00C17938" w:rsidRDefault="00C17938" w:rsidP="004F0388">
      <w:pPr>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suppressAutoHyphens/>
        <w:ind w:left="630" w:right="720" w:hanging="270"/>
        <w:jc w:val="both"/>
        <w:rPr>
          <w:rFonts w:ascii="Cambria" w:hAnsi="Cambria"/>
          <w:sz w:val="20"/>
          <w:szCs w:val="20"/>
          <w:lang w:val="es-MX"/>
        </w:rPr>
      </w:pPr>
      <w:r w:rsidRPr="00C17938">
        <w:rPr>
          <w:rFonts w:ascii="Cambria" w:hAnsi="Cambria"/>
          <w:sz w:val="20"/>
          <w:szCs w:val="20"/>
          <w:lang w:val="es-MX"/>
        </w:rPr>
        <w:t>Disponer una reparación integral por las violaciones declaradas en el presente informe de fondo, incluyendo una compensación adecuada</w:t>
      </w:r>
      <w:r>
        <w:rPr>
          <w:rFonts w:ascii="Cambria" w:hAnsi="Cambria"/>
          <w:sz w:val="20"/>
          <w:szCs w:val="20"/>
          <w:lang w:val="es-MX"/>
        </w:rPr>
        <w:t xml:space="preserve"> a favor de Saulo Arboleda Gómez</w:t>
      </w:r>
      <w:r w:rsidRPr="00C17938">
        <w:rPr>
          <w:rFonts w:ascii="Cambria" w:hAnsi="Cambria"/>
          <w:sz w:val="20"/>
          <w:szCs w:val="20"/>
          <w:lang w:val="es-MX"/>
        </w:rPr>
        <w:t xml:space="preserve">. </w:t>
      </w:r>
    </w:p>
    <w:p w14:paraId="24AAA466" w14:textId="77777777" w:rsidR="00C17938" w:rsidRPr="00C17938" w:rsidRDefault="00C17938" w:rsidP="00C17938">
      <w:pPr>
        <w:suppressAutoHyphens/>
        <w:ind w:left="720"/>
        <w:jc w:val="both"/>
        <w:rPr>
          <w:rFonts w:ascii="Cambria" w:hAnsi="Cambria"/>
          <w:sz w:val="20"/>
          <w:szCs w:val="20"/>
          <w:lang w:val="es-MX"/>
        </w:rPr>
      </w:pPr>
    </w:p>
    <w:p w14:paraId="4171A9B5" w14:textId="77777777" w:rsidR="00C17938" w:rsidRDefault="00C17938" w:rsidP="004F0388">
      <w:pPr>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suppressAutoHyphens/>
        <w:ind w:left="630" w:right="720" w:hanging="270"/>
        <w:jc w:val="both"/>
        <w:rPr>
          <w:rFonts w:ascii="Cambria" w:hAnsi="Cambria"/>
          <w:sz w:val="20"/>
          <w:szCs w:val="20"/>
          <w:lang w:val="es-MX"/>
        </w:rPr>
      </w:pPr>
      <w:r w:rsidRPr="00C17938">
        <w:rPr>
          <w:rFonts w:ascii="Cambria" w:hAnsi="Cambria"/>
          <w:sz w:val="20"/>
          <w:szCs w:val="20"/>
          <w:lang w:val="es-MX"/>
        </w:rPr>
        <w:t>Disponer las medidas necesarias para que</w:t>
      </w:r>
      <w:r>
        <w:rPr>
          <w:rFonts w:ascii="Cambria" w:hAnsi="Cambria"/>
          <w:sz w:val="20"/>
          <w:szCs w:val="20"/>
          <w:lang w:val="es-MX"/>
        </w:rPr>
        <w:t>, a la brevedad posible Saulo Arboleda Gómez pueda</w:t>
      </w:r>
      <w:r w:rsidRPr="00C17938">
        <w:rPr>
          <w:rFonts w:ascii="Cambria" w:hAnsi="Cambria"/>
          <w:sz w:val="20"/>
          <w:szCs w:val="20"/>
          <w:lang w:val="es-MX"/>
        </w:rPr>
        <w:t xml:space="preserve"> interponer un recurso mediante el c</w:t>
      </w:r>
      <w:r>
        <w:rPr>
          <w:rFonts w:ascii="Cambria" w:hAnsi="Cambria"/>
          <w:sz w:val="20"/>
          <w:szCs w:val="20"/>
          <w:lang w:val="es-MX"/>
        </w:rPr>
        <w:t>ual obtengan una revisión de su sentencia condenatoria, si así lo desea,</w:t>
      </w:r>
      <w:r w:rsidRPr="00C17938">
        <w:rPr>
          <w:rFonts w:ascii="Cambria" w:hAnsi="Cambria"/>
          <w:sz w:val="20"/>
          <w:szCs w:val="20"/>
          <w:lang w:val="es-MX"/>
        </w:rPr>
        <w:t xml:space="preserve"> e</w:t>
      </w:r>
      <w:r>
        <w:rPr>
          <w:rFonts w:ascii="Cambria" w:hAnsi="Cambria"/>
          <w:sz w:val="20"/>
          <w:szCs w:val="20"/>
          <w:lang w:val="es-MX"/>
        </w:rPr>
        <w:t>n cumplimiento del artículo 8.2.h</w:t>
      </w:r>
      <w:r w:rsidRPr="00C17938">
        <w:rPr>
          <w:rFonts w:ascii="Cambria" w:hAnsi="Cambria"/>
          <w:sz w:val="20"/>
          <w:szCs w:val="20"/>
          <w:lang w:val="es-MX"/>
        </w:rPr>
        <w:t xml:space="preserve"> de la Convención Americana, conforme a los estándares establecidos en el presente informe de fondo.</w:t>
      </w:r>
    </w:p>
    <w:p w14:paraId="408857A0" w14:textId="77777777" w:rsidR="0056310E" w:rsidRDefault="0056310E" w:rsidP="0056310E">
      <w:pPr>
        <w:pStyle w:val="MediumGrid1-Accent21"/>
        <w:rPr>
          <w:rFonts w:ascii="Cambria" w:hAnsi="Cambria"/>
          <w:sz w:val="20"/>
          <w:szCs w:val="20"/>
          <w:lang w:val="es-MX"/>
        </w:rPr>
      </w:pPr>
    </w:p>
    <w:p w14:paraId="49966AEB" w14:textId="77777777" w:rsidR="0056310E" w:rsidRPr="00C17938" w:rsidRDefault="0056310E" w:rsidP="004F0388">
      <w:pPr>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s>
        <w:suppressAutoHyphens/>
        <w:ind w:left="630" w:right="720" w:hanging="270"/>
        <w:jc w:val="both"/>
        <w:rPr>
          <w:rFonts w:ascii="Cambria" w:hAnsi="Cambria"/>
          <w:sz w:val="20"/>
          <w:szCs w:val="20"/>
          <w:lang w:val="es-MX"/>
        </w:rPr>
      </w:pPr>
      <w:r>
        <w:rPr>
          <w:rFonts w:ascii="Cambria" w:hAnsi="Cambria"/>
          <w:sz w:val="20"/>
          <w:szCs w:val="20"/>
          <w:lang w:val="es-MX"/>
        </w:rPr>
        <w:t>Adoptar las medidas legislativas a efectos de asegurar que su normativa sea compatible con el artículo 8.2</w:t>
      </w:r>
      <w:r w:rsidR="003C152A">
        <w:rPr>
          <w:rFonts w:ascii="Cambria" w:hAnsi="Cambria"/>
          <w:sz w:val="20"/>
          <w:szCs w:val="20"/>
          <w:lang w:val="es-MX"/>
        </w:rPr>
        <w:t>.</w:t>
      </w:r>
      <w:r>
        <w:rPr>
          <w:rFonts w:ascii="Cambria" w:hAnsi="Cambria"/>
          <w:sz w:val="20"/>
          <w:szCs w:val="20"/>
          <w:lang w:val="es-MX"/>
        </w:rPr>
        <w:t>h de la Convención Americana, conforme a los estándares establecidos en el presente informe de fondo.</w:t>
      </w:r>
    </w:p>
    <w:p w14:paraId="47BCFACB" w14:textId="77777777" w:rsidR="0074104D" w:rsidRDefault="0074104D" w:rsidP="0074104D">
      <w:pPr>
        <w:pStyle w:val="parrafos"/>
        <w:numPr>
          <w:ilvl w:val="0"/>
          <w:numId w:val="0"/>
        </w:numPr>
        <w:ind w:left="360" w:hanging="360"/>
        <w:rPr>
          <w:lang w:val="es-ES"/>
        </w:rPr>
      </w:pPr>
    </w:p>
    <w:p w14:paraId="37EE10C4" w14:textId="11BEAE7F" w:rsidR="0074104D" w:rsidRDefault="0074104D" w:rsidP="0074104D">
      <w:pPr>
        <w:pStyle w:val="parrafos"/>
        <w:numPr>
          <w:ilvl w:val="0"/>
          <w:numId w:val="0"/>
        </w:numPr>
        <w:rPr>
          <w:lang w:val="es-ES"/>
        </w:rPr>
      </w:pPr>
      <w:r>
        <w:rPr>
          <w:spacing w:val="-2"/>
          <w:lang w:val="es-CL"/>
        </w:rPr>
        <w:tab/>
        <w:t xml:space="preserve">Aprobado por la Comisión Interamericana de Derechos Humanos a los </w:t>
      </w:r>
      <w:r w:rsidRPr="0074104D">
        <w:rPr>
          <w:spacing w:val="-2"/>
          <w:lang w:val="es-CL"/>
        </w:rPr>
        <w:t>19 días del mes de noviembre de 2020.</w:t>
      </w:r>
      <w:r>
        <w:rPr>
          <w:spacing w:val="-2"/>
          <w:lang w:val="es-CL"/>
        </w:rPr>
        <w:t xml:space="preserve">  (Firmado):</w:t>
      </w:r>
      <w:r w:rsidRPr="00E02D8D">
        <w:rPr>
          <w:spacing w:val="-2"/>
          <w:lang w:val="es-CL"/>
        </w:rPr>
        <w:t xml:space="preserve"> </w:t>
      </w:r>
      <w:r>
        <w:rPr>
          <w:spacing w:val="-2"/>
          <w:lang w:val="es-CL"/>
        </w:rPr>
        <w:t xml:space="preserve">Joel Hernández García, Presidente; Antonia Urrejola Noguera, Primera Vicepresidenta; </w:t>
      </w:r>
      <w:r w:rsidRPr="00E02D8D">
        <w:rPr>
          <w:spacing w:val="-2"/>
          <w:lang w:val="es-US"/>
        </w:rPr>
        <w:t>Flávia Piovesan</w:t>
      </w:r>
      <w:r>
        <w:rPr>
          <w:spacing w:val="-2"/>
          <w:lang w:val="es-US"/>
        </w:rPr>
        <w:t>,</w:t>
      </w:r>
      <w:r>
        <w:rPr>
          <w:spacing w:val="-2"/>
          <w:lang w:val="es-CL"/>
        </w:rPr>
        <w:t xml:space="preserve"> Segunda Vicepresidenta; Margarette May Macaulay, Esmeralda Arosemena de Troitiño, </w:t>
      </w:r>
      <w:r w:rsidRPr="00E02D8D">
        <w:rPr>
          <w:spacing w:val="-2"/>
          <w:lang w:val="es-US"/>
        </w:rPr>
        <w:t>Julissa Mantilla Falcón</w:t>
      </w:r>
      <w:r>
        <w:rPr>
          <w:spacing w:val="-2"/>
          <w:lang w:val="es-US"/>
        </w:rPr>
        <w:t xml:space="preserve"> y Edgar Stuardo Ralón Orellana,</w:t>
      </w:r>
      <w:r>
        <w:rPr>
          <w:spacing w:val="-2"/>
          <w:lang w:val="es-CL"/>
        </w:rPr>
        <w:t xml:space="preserve"> Miembros de la Comisión.</w:t>
      </w:r>
    </w:p>
    <w:p w14:paraId="430612EF" w14:textId="77777777" w:rsidR="0074104D" w:rsidRDefault="0074104D" w:rsidP="00AD5886">
      <w:pPr>
        <w:pStyle w:val="parrafos"/>
        <w:numPr>
          <w:ilvl w:val="0"/>
          <w:numId w:val="0"/>
        </w:numPr>
        <w:ind w:left="360"/>
        <w:rPr>
          <w:lang w:val="es-ES"/>
        </w:rPr>
      </w:pPr>
    </w:p>
    <w:p w14:paraId="5B112B98" w14:textId="7498AAAD" w:rsidR="0074104D" w:rsidRDefault="0074104D" w:rsidP="0074104D">
      <w:pPr>
        <w:tabs>
          <w:tab w:val="left" w:pos="360"/>
        </w:tabs>
        <w:jc w:val="both"/>
        <w:rPr>
          <w:rFonts w:ascii="Cambria" w:hAnsi="Cambria"/>
          <w:sz w:val="20"/>
          <w:szCs w:val="20"/>
          <w:lang w:val="es-CL"/>
        </w:rPr>
      </w:pPr>
      <w:r>
        <w:rPr>
          <w:rFonts w:ascii="Cambria" w:hAnsi="Cambria"/>
          <w:sz w:val="20"/>
          <w:szCs w:val="20"/>
          <w:lang w:val="es-CL"/>
        </w:rPr>
        <w:tab/>
        <w:t xml:space="preserve">La que suscribe, </w:t>
      </w:r>
      <w:r>
        <w:rPr>
          <w:rFonts w:ascii="Cambria" w:hAnsi="Cambria" w:cs="Arial"/>
          <w:sz w:val="20"/>
          <w:szCs w:val="20"/>
          <w:lang w:val="es-PE"/>
        </w:rPr>
        <w:t>Marisol Blanchard</w:t>
      </w:r>
      <w:r>
        <w:rPr>
          <w:rFonts w:ascii="Cambria" w:hAnsi="Cambria"/>
          <w:sz w:val="20"/>
          <w:szCs w:val="20"/>
          <w:lang w:val="es-CL"/>
        </w:rPr>
        <w:t>, Secretaria Ejecutiva Adjunta, de conformidad con el artículo 49 del Reglamento de la Comisión, certifica que es copia fiel del original depositado en los archivos de la Secretaría de la CIDH.</w:t>
      </w:r>
    </w:p>
    <w:p w14:paraId="3CC25F14" w14:textId="77777777" w:rsidR="0074104D" w:rsidRPr="003D7C01" w:rsidRDefault="0074104D" w:rsidP="0074104D">
      <w:pPr>
        <w:jc w:val="center"/>
        <w:rPr>
          <w:rFonts w:ascii="Cambria" w:hAnsi="Cambria"/>
          <w:sz w:val="16"/>
          <w:szCs w:val="16"/>
        </w:rPr>
      </w:pPr>
      <w:r w:rsidRPr="002B105B">
        <w:rPr>
          <w:rFonts w:cs="Calibri"/>
          <w:noProof/>
        </w:rPr>
        <w:drawing>
          <wp:inline distT="0" distB="0" distL="0" distR="0" wp14:anchorId="1DCAE7D7" wp14:editId="0C2CEEB6">
            <wp:extent cx="1371600" cy="809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809625"/>
                    </a:xfrm>
                    <a:prstGeom prst="rect">
                      <a:avLst/>
                    </a:prstGeom>
                    <a:noFill/>
                    <a:ln>
                      <a:noFill/>
                    </a:ln>
                  </pic:spPr>
                </pic:pic>
              </a:graphicData>
            </a:graphic>
          </wp:inline>
        </w:drawing>
      </w:r>
    </w:p>
    <w:p w14:paraId="07C65B95" w14:textId="77777777" w:rsidR="0074104D" w:rsidRPr="001A587B" w:rsidRDefault="0074104D" w:rsidP="0074104D">
      <w:pPr>
        <w:tabs>
          <w:tab w:val="left" w:pos="-720"/>
        </w:tabs>
        <w:jc w:val="center"/>
        <w:rPr>
          <w:rFonts w:ascii="Cambria" w:hAnsi="Cambria" w:cs="Arial"/>
          <w:sz w:val="20"/>
          <w:szCs w:val="20"/>
        </w:rPr>
      </w:pPr>
      <w:r w:rsidRPr="001A587B">
        <w:rPr>
          <w:rFonts w:ascii="Cambria" w:hAnsi="Cambria" w:cs="Arial"/>
          <w:sz w:val="20"/>
          <w:szCs w:val="20"/>
        </w:rPr>
        <w:t>Marisol Blanchard</w:t>
      </w:r>
    </w:p>
    <w:p w14:paraId="5FB42A62" w14:textId="77777777" w:rsidR="0074104D" w:rsidRPr="001A587B" w:rsidRDefault="0074104D" w:rsidP="0074104D">
      <w:pPr>
        <w:tabs>
          <w:tab w:val="left" w:pos="-720"/>
          <w:tab w:val="left" w:pos="5760"/>
        </w:tabs>
        <w:jc w:val="center"/>
        <w:rPr>
          <w:rFonts w:ascii="Calibri Light" w:hAnsi="Calibri Light"/>
          <w:sz w:val="20"/>
          <w:szCs w:val="20"/>
        </w:rPr>
      </w:pPr>
      <w:r w:rsidRPr="001A587B">
        <w:rPr>
          <w:rFonts w:ascii="Cambria" w:hAnsi="Cambria" w:cs="Arial"/>
          <w:sz w:val="20"/>
          <w:szCs w:val="20"/>
        </w:rPr>
        <w:t>Secretaria Ejecutiva Adjunta</w:t>
      </w:r>
    </w:p>
    <w:sectPr w:rsidR="0074104D" w:rsidRPr="001A587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0A59" w14:textId="77777777" w:rsidR="008073ED" w:rsidRDefault="008073ED">
      <w:r>
        <w:separator/>
      </w:r>
    </w:p>
  </w:endnote>
  <w:endnote w:type="continuationSeparator" w:id="0">
    <w:p w14:paraId="611097C7" w14:textId="77777777" w:rsidR="008073ED" w:rsidRDefault="0080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Times-Roman">
    <w:charset w:val="00"/>
    <w:family w:val="auto"/>
    <w:pitch w:val="variable"/>
    <w:sig w:usb0="00000003" w:usb1="00000000" w:usb2="00000000" w:usb3="00000000" w:csb0="00000001"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9304" w14:textId="54F4E809" w:rsidR="008073ED" w:rsidRPr="00934A2C" w:rsidRDefault="008073E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5A9">
      <w:rPr>
        <w:noProof/>
        <w:sz w:val="16"/>
        <w:szCs w:val="22"/>
      </w:rPr>
      <w:t>14</w:t>
    </w:r>
    <w:r w:rsidRPr="00934A2C">
      <w:rPr>
        <w:noProof/>
        <w:sz w:val="16"/>
        <w:szCs w:val="22"/>
      </w:rPr>
      <w:fldChar w:fldCharType="end"/>
    </w:r>
  </w:p>
  <w:p w14:paraId="4E4DC28A" w14:textId="77777777" w:rsidR="008073ED" w:rsidRDefault="00807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316C" w14:textId="77777777" w:rsidR="008073ED" w:rsidRPr="00934A2C" w:rsidRDefault="008073ED">
    <w:pPr>
      <w:pStyle w:val="Footer"/>
      <w:jc w:val="center"/>
      <w:rPr>
        <w:sz w:val="16"/>
        <w:szCs w:val="22"/>
      </w:rPr>
    </w:pPr>
  </w:p>
  <w:p w14:paraId="0A8EC6CB" w14:textId="77777777" w:rsidR="008073ED" w:rsidRDefault="00807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09E87" w14:textId="77777777" w:rsidR="008073ED" w:rsidRPr="002F7828" w:rsidRDefault="008073ED">
      <w:pPr>
        <w:rPr>
          <w:rFonts w:ascii="Cambria" w:hAnsi="Cambria"/>
          <w:sz w:val="16"/>
          <w:szCs w:val="16"/>
        </w:rPr>
      </w:pPr>
      <w:r w:rsidRPr="002F7828">
        <w:rPr>
          <w:rFonts w:ascii="Cambria" w:hAnsi="Cambria"/>
          <w:sz w:val="16"/>
          <w:szCs w:val="16"/>
        </w:rPr>
        <w:separator/>
      </w:r>
    </w:p>
  </w:footnote>
  <w:footnote w:type="continuationSeparator" w:id="0">
    <w:p w14:paraId="122F5ADE" w14:textId="77777777" w:rsidR="008073ED" w:rsidRPr="002F7828" w:rsidRDefault="008073ED" w:rsidP="000F35ED">
      <w:pPr>
        <w:rPr>
          <w:rFonts w:ascii="Cambria" w:hAnsi="Cambria"/>
          <w:sz w:val="16"/>
          <w:szCs w:val="16"/>
        </w:rPr>
      </w:pPr>
      <w:r w:rsidRPr="002F7828">
        <w:rPr>
          <w:rFonts w:ascii="Cambria" w:hAnsi="Cambria"/>
          <w:sz w:val="16"/>
          <w:szCs w:val="16"/>
        </w:rPr>
        <w:separator/>
      </w:r>
    </w:p>
    <w:p w14:paraId="3DBDA388" w14:textId="77777777" w:rsidR="008073ED" w:rsidRPr="002F7828" w:rsidRDefault="008073ED" w:rsidP="000F35ED">
      <w:pPr>
        <w:pStyle w:val="Footer"/>
        <w:rPr>
          <w:sz w:val="16"/>
          <w:szCs w:val="16"/>
        </w:rPr>
      </w:pPr>
      <w:r w:rsidRPr="002F7828">
        <w:rPr>
          <w:sz w:val="16"/>
          <w:szCs w:val="16"/>
        </w:rPr>
        <w:t>[… continuación]</w:t>
      </w:r>
    </w:p>
  </w:footnote>
  <w:footnote w:type="continuationNotice" w:id="1">
    <w:p w14:paraId="7C04599E" w14:textId="77777777" w:rsidR="008073ED" w:rsidRPr="002F7828" w:rsidRDefault="008073ED" w:rsidP="000F35ED">
      <w:pPr>
        <w:jc w:val="right"/>
        <w:rPr>
          <w:rFonts w:ascii="Cambria" w:hAnsi="Cambria"/>
          <w:sz w:val="16"/>
          <w:szCs w:val="16"/>
          <w:lang w:val="es-ES"/>
        </w:rPr>
      </w:pPr>
      <w:r w:rsidRPr="002F7828">
        <w:rPr>
          <w:rFonts w:ascii="Cambria" w:hAnsi="Cambria"/>
          <w:sz w:val="16"/>
          <w:szCs w:val="16"/>
          <w:lang w:val="es-ES"/>
        </w:rPr>
        <w:t>[continúa…]</w:t>
      </w:r>
    </w:p>
  </w:footnote>
  <w:footnote w:id="2">
    <w:p w14:paraId="090B4099" w14:textId="77777777" w:rsidR="008073ED" w:rsidRPr="00F830A6" w:rsidRDefault="008073ED" w:rsidP="004D5F55">
      <w:pPr>
        <w:pStyle w:val="FootnoteText"/>
        <w:rPr>
          <w:color w:val="auto"/>
          <w:lang w:val="es-ES"/>
        </w:rPr>
      </w:pPr>
      <w:r w:rsidRPr="00F830A6">
        <w:rPr>
          <w:rStyle w:val="FootnoteReference"/>
          <w:color w:val="auto"/>
        </w:rPr>
        <w:footnoteRef/>
      </w:r>
      <w:r w:rsidRPr="00F830A6">
        <w:rPr>
          <w:color w:val="auto"/>
          <w:lang w:val="es-MX"/>
        </w:rPr>
        <w:t xml:space="preserve"> CIDH. Informe No. 62/16. </w:t>
      </w:r>
      <w:r w:rsidRPr="00F830A6">
        <w:rPr>
          <w:color w:val="auto"/>
          <w:lang w:val="es-US"/>
        </w:rPr>
        <w:t>Petición 4449-02. Admisibilidad. Saulo Arboleda G</w:t>
      </w:r>
      <w:r w:rsidRPr="00F830A6">
        <w:rPr>
          <w:color w:val="auto"/>
          <w:lang w:val="es-MX"/>
        </w:rPr>
        <w:t>ómez</w:t>
      </w:r>
      <w:r w:rsidRPr="00F830A6">
        <w:rPr>
          <w:color w:val="auto"/>
          <w:lang w:val="es-US"/>
        </w:rPr>
        <w:t>. Colombia</w:t>
      </w:r>
      <w:r w:rsidRPr="00F830A6">
        <w:rPr>
          <w:color w:val="auto"/>
          <w:lang w:val="es-ES"/>
        </w:rPr>
        <w:t>. 6 de diciembre de 2016. La Comisión declaró admisible la petición en relación con los artículos 8 y 25 de la Convención Americana en concordancia con los artículos 1.1 y 2 del mismo instrumento. Asimismo, la Comisión declaró inadmisible la petición en relación con los artículos 11 y 24 de la Convención Americana.</w:t>
      </w:r>
    </w:p>
  </w:footnote>
  <w:footnote w:id="3">
    <w:p w14:paraId="0FB9E4A8" w14:textId="77777777" w:rsidR="008073ED" w:rsidRPr="00F830A6" w:rsidRDefault="008073ED" w:rsidP="004D5F55">
      <w:pPr>
        <w:pStyle w:val="FootnoteText"/>
        <w:rPr>
          <w:color w:val="auto"/>
          <w:lang w:val="es-MX"/>
        </w:rPr>
      </w:pPr>
      <w:r w:rsidRPr="00F830A6">
        <w:rPr>
          <w:rStyle w:val="FootnoteReference"/>
          <w:color w:val="auto"/>
        </w:rPr>
        <w:footnoteRef/>
      </w:r>
      <w:r w:rsidRPr="00F830A6">
        <w:rPr>
          <w:color w:val="auto"/>
          <w:lang w:val="es-US"/>
        </w:rPr>
        <w:t xml:space="preserve"> </w:t>
      </w:r>
      <w:r w:rsidRPr="00F830A6">
        <w:rPr>
          <w:color w:val="auto"/>
          <w:lang w:val="es-MX"/>
        </w:rPr>
        <w:t>Anexo 1. Acusación fiscal de 21 de octubre de 1998. Anexo 6 adjunto a petición inicial de la parte peticionaria de 5 de noviembre de 2002.</w:t>
      </w:r>
    </w:p>
  </w:footnote>
  <w:footnote w:id="4">
    <w:p w14:paraId="6985C7E9" w14:textId="77777777" w:rsidR="008073ED" w:rsidRPr="00F830A6" w:rsidRDefault="008073ED" w:rsidP="004D5F55">
      <w:pPr>
        <w:pStyle w:val="FootnoteText"/>
        <w:rPr>
          <w:color w:val="auto"/>
          <w:lang w:val="es-MX"/>
        </w:rPr>
      </w:pPr>
      <w:r w:rsidRPr="00F830A6">
        <w:rPr>
          <w:rStyle w:val="FootnoteReference"/>
          <w:color w:val="auto"/>
        </w:rPr>
        <w:footnoteRef/>
      </w:r>
      <w:r w:rsidRPr="00F830A6">
        <w:rPr>
          <w:color w:val="auto"/>
          <w:lang w:val="es-US"/>
        </w:rPr>
        <w:t xml:space="preserve"> </w:t>
      </w:r>
      <w:r w:rsidRPr="00F830A6">
        <w:rPr>
          <w:color w:val="auto"/>
          <w:lang w:val="es-MX"/>
        </w:rPr>
        <w:t xml:space="preserve">Anexo 1. Acusación fiscal de 21 de octubre de 1998. </w:t>
      </w:r>
    </w:p>
  </w:footnote>
  <w:footnote w:id="5">
    <w:p w14:paraId="4C532F67" w14:textId="77777777" w:rsidR="008073ED" w:rsidRPr="00F830A6" w:rsidRDefault="008073ED" w:rsidP="004D5F55">
      <w:pPr>
        <w:pStyle w:val="FootnoteText"/>
        <w:rPr>
          <w:color w:val="auto"/>
          <w:lang w:val="es-MX"/>
        </w:rPr>
      </w:pPr>
      <w:r w:rsidRPr="00F830A6">
        <w:rPr>
          <w:rStyle w:val="FootnoteReference"/>
          <w:color w:val="auto"/>
        </w:rPr>
        <w:footnoteRef/>
      </w:r>
      <w:r w:rsidRPr="00F830A6">
        <w:rPr>
          <w:color w:val="auto"/>
          <w:lang w:val="es-US"/>
        </w:rPr>
        <w:t xml:space="preserve"> </w:t>
      </w:r>
      <w:r w:rsidRPr="00F830A6">
        <w:rPr>
          <w:color w:val="auto"/>
          <w:lang w:val="es-MX"/>
        </w:rPr>
        <w:t xml:space="preserve">Anexo 1. Acusación fiscal de 21 de octubre de 1998. </w:t>
      </w:r>
    </w:p>
  </w:footnote>
  <w:footnote w:id="6">
    <w:p w14:paraId="2E4E62A1" w14:textId="77777777" w:rsidR="008073ED" w:rsidRPr="00F830A6" w:rsidRDefault="008073ED" w:rsidP="004D5F55">
      <w:pPr>
        <w:pStyle w:val="FootnoteText"/>
        <w:rPr>
          <w:color w:val="auto"/>
          <w:lang w:val="es-US"/>
        </w:rPr>
      </w:pPr>
      <w:r w:rsidRPr="00F830A6">
        <w:rPr>
          <w:rStyle w:val="FootnoteReference"/>
          <w:color w:val="auto"/>
        </w:rPr>
        <w:footnoteRef/>
      </w:r>
      <w:r w:rsidRPr="00F830A6">
        <w:rPr>
          <w:color w:val="auto"/>
          <w:lang w:val="es-US"/>
        </w:rPr>
        <w:t xml:space="preserve"> </w:t>
      </w:r>
      <w:r w:rsidRPr="00F830A6">
        <w:rPr>
          <w:color w:val="auto"/>
          <w:lang w:val="es-MX"/>
        </w:rPr>
        <w:t>Anexo 2. Sentencia de única instancia. Sala de Casación Penal de la Corte Suprema de Justicia de 25 de octubre de 2000. Anexo 7 adjunto a petición inicial de la parte peticionaria de 5 de noviembre de 2002.</w:t>
      </w:r>
    </w:p>
  </w:footnote>
  <w:footnote w:id="7">
    <w:p w14:paraId="102A76A9" w14:textId="77777777" w:rsidR="008073ED" w:rsidRPr="00F830A6" w:rsidRDefault="008073ED" w:rsidP="004D5F55">
      <w:pPr>
        <w:pStyle w:val="FootnoteText"/>
        <w:rPr>
          <w:color w:val="auto"/>
          <w:lang w:val="es-MX"/>
        </w:rPr>
      </w:pPr>
      <w:r w:rsidRPr="00F830A6">
        <w:rPr>
          <w:rStyle w:val="FootnoteReference"/>
          <w:color w:val="auto"/>
        </w:rPr>
        <w:footnoteRef/>
      </w:r>
      <w:r w:rsidRPr="00F830A6">
        <w:rPr>
          <w:color w:val="auto"/>
          <w:lang w:val="es-US"/>
        </w:rPr>
        <w:t xml:space="preserve"> </w:t>
      </w:r>
      <w:r w:rsidRPr="00F830A6">
        <w:rPr>
          <w:color w:val="auto"/>
          <w:lang w:val="es-MX"/>
        </w:rPr>
        <w:t>Anexo 3. Resolución fiscal de 17 de noviembre de 1998. Anexo 6 adjunto a petición inicial de la parte peticionaria de 5 de noviembre de 2002.</w:t>
      </w:r>
    </w:p>
  </w:footnote>
  <w:footnote w:id="8">
    <w:p w14:paraId="4816DF66" w14:textId="77777777" w:rsidR="008073ED" w:rsidRPr="00F830A6" w:rsidRDefault="008073ED" w:rsidP="004D5F55">
      <w:pPr>
        <w:pStyle w:val="FootnoteText"/>
        <w:rPr>
          <w:color w:val="auto"/>
          <w:lang w:val="pt-BR"/>
        </w:rPr>
      </w:pPr>
      <w:r w:rsidRPr="00F830A6">
        <w:rPr>
          <w:rStyle w:val="FootnoteReference"/>
          <w:color w:val="auto"/>
        </w:rPr>
        <w:footnoteRef/>
      </w:r>
      <w:r w:rsidRPr="00F830A6">
        <w:rPr>
          <w:color w:val="auto"/>
          <w:lang w:val="pt-BR"/>
        </w:rPr>
        <w:t xml:space="preserve"> Anexo 2. Sentencia de única instancia. </w:t>
      </w:r>
    </w:p>
  </w:footnote>
  <w:footnote w:id="9">
    <w:p w14:paraId="30853A20" w14:textId="77777777" w:rsidR="008073ED" w:rsidRPr="00F830A6" w:rsidRDefault="008073ED" w:rsidP="004D5F55">
      <w:pPr>
        <w:pStyle w:val="FootnoteText"/>
        <w:rPr>
          <w:color w:val="auto"/>
          <w:lang w:val="es-US"/>
        </w:rPr>
      </w:pPr>
      <w:r w:rsidRPr="00F830A6">
        <w:rPr>
          <w:rStyle w:val="FootnoteReference"/>
          <w:color w:val="auto"/>
        </w:rPr>
        <w:footnoteRef/>
      </w:r>
      <w:r w:rsidRPr="00F830A6">
        <w:rPr>
          <w:color w:val="auto"/>
          <w:lang w:val="pt-BR"/>
        </w:rPr>
        <w:t xml:space="preserve"> Anexo 4. </w:t>
      </w:r>
      <w:r w:rsidRPr="00F830A6">
        <w:rPr>
          <w:color w:val="auto"/>
          <w:lang w:val="es-MX"/>
        </w:rPr>
        <w:t>Auto de la Sala de Casación Penal de la Corte Suprema de Justicia en audiencia pública, 14 de mayo de 1999. Anexo 5 adjunto a petición inicial de la parte peticionaria de 5 de noviembre de 2002.</w:t>
      </w:r>
    </w:p>
  </w:footnote>
  <w:footnote w:id="10">
    <w:p w14:paraId="0213B0F3" w14:textId="77777777" w:rsidR="008073ED" w:rsidRPr="00F830A6" w:rsidRDefault="008073ED" w:rsidP="004D5F55">
      <w:pPr>
        <w:pStyle w:val="FootnoteText"/>
        <w:rPr>
          <w:color w:val="auto"/>
          <w:lang w:val="es-US"/>
        </w:rPr>
      </w:pPr>
      <w:r w:rsidRPr="00F830A6">
        <w:rPr>
          <w:rStyle w:val="FootnoteReference"/>
          <w:color w:val="auto"/>
        </w:rPr>
        <w:footnoteRef/>
      </w:r>
      <w:r w:rsidRPr="00F830A6">
        <w:rPr>
          <w:color w:val="auto"/>
          <w:lang w:val="es-US"/>
        </w:rPr>
        <w:t xml:space="preserve"> A</w:t>
      </w:r>
      <w:r w:rsidRPr="00F830A6">
        <w:rPr>
          <w:color w:val="auto"/>
          <w:lang w:val="es-MX"/>
        </w:rPr>
        <w:t>nexo 4. Auto de la Sala de Casación Penal de la Corte Suprema de Justicia en audiencia pública, 14 de mayo de 1999.</w:t>
      </w:r>
    </w:p>
  </w:footnote>
  <w:footnote w:id="11">
    <w:p w14:paraId="48780D27" w14:textId="77777777" w:rsidR="008073ED" w:rsidRPr="00F830A6" w:rsidRDefault="008073ED" w:rsidP="004D5F55">
      <w:pPr>
        <w:pStyle w:val="FootnoteText"/>
        <w:rPr>
          <w:color w:val="auto"/>
          <w:lang w:val="es-MX"/>
        </w:rPr>
      </w:pPr>
      <w:r w:rsidRPr="00F830A6">
        <w:rPr>
          <w:rStyle w:val="FootnoteReference"/>
          <w:color w:val="auto"/>
        </w:rPr>
        <w:footnoteRef/>
      </w:r>
      <w:r w:rsidRPr="00F830A6">
        <w:rPr>
          <w:color w:val="auto"/>
          <w:lang w:val="es-MX"/>
        </w:rPr>
        <w:t xml:space="preserve"> Anexo 4. Auto de la Sala de Casación Penal de la Corte Suprema de Justicia en audiencia pública, 14 de mayo de 1999.</w:t>
      </w:r>
    </w:p>
  </w:footnote>
  <w:footnote w:id="12">
    <w:p w14:paraId="409D77D3" w14:textId="77777777" w:rsidR="008073ED" w:rsidRPr="00F830A6" w:rsidRDefault="008073ED" w:rsidP="004D5F55">
      <w:pPr>
        <w:pStyle w:val="FootnoteText"/>
        <w:rPr>
          <w:color w:val="auto"/>
          <w:lang w:val="es-US"/>
        </w:rPr>
      </w:pPr>
      <w:r w:rsidRPr="00F830A6">
        <w:rPr>
          <w:rStyle w:val="FootnoteReference"/>
          <w:color w:val="auto"/>
        </w:rPr>
        <w:footnoteRef/>
      </w:r>
      <w:r w:rsidRPr="00F830A6">
        <w:rPr>
          <w:color w:val="auto"/>
          <w:lang w:val="es-US"/>
        </w:rPr>
        <w:t xml:space="preserve"> Anexo 5. Sentencia T-058&amp;2006 de la Sala Octava de Revisión de la Corte Constitucional de Colombia, 2 de febrero de 2006. Anexo adjunto a la comunicación del peticionario de fecha 30 de marzo de 2007</w:t>
      </w:r>
    </w:p>
  </w:footnote>
  <w:footnote w:id="13">
    <w:p w14:paraId="740A9E49" w14:textId="77777777" w:rsidR="008073ED" w:rsidRPr="00F830A6" w:rsidRDefault="008073ED" w:rsidP="004D5F55">
      <w:pPr>
        <w:pStyle w:val="FootnoteText"/>
        <w:rPr>
          <w:color w:val="auto"/>
          <w:lang w:val="es-US"/>
        </w:rPr>
      </w:pPr>
      <w:r w:rsidRPr="00F830A6">
        <w:rPr>
          <w:rStyle w:val="FootnoteReference"/>
          <w:color w:val="auto"/>
        </w:rPr>
        <w:footnoteRef/>
      </w:r>
      <w:r w:rsidRPr="00F830A6">
        <w:rPr>
          <w:color w:val="auto"/>
          <w:lang w:val="es-US"/>
        </w:rPr>
        <w:t xml:space="preserve"> La CIDH toma nota de que paralelamente al proceso penal, la Procuraduría General de la Nación inició un procedimiento disciplinario en contra del señor Arboleda por presuntas faltas al Código Disciplinario Único. El 13 de enero de 1999 el Procurador General de la Nación emitió una decisión en donde sancionó al señor Arboleda, la cual fue confirmada por él mismo el 10 de agosto del mismo año. El señor Arboleda presentó una acción de nulidad en contra de dichas decisiones. El 27 de enero de 2005 el Tribunal Administrativo de Cundinamarca declaró la nulidad de los dos fallos del Procurador. El Ministerio Público apeló dicha decisión y el 22 de junio de 2006 la Sala de lo Contencioso Administrativo confirmó la decisión de enero de 2005. Anexo 10. Sentencia del Tribunal Administrativo de Cundinamarca, 27 de enero de 2005 y Sentencia de la Sala de lo Contencioso Administrativo del Consejo de Estado, 22 de junio de 2006. Anexo 2 adjunto a la comunicación del peticionario de fecha 30 de marzo de 2007.</w:t>
      </w:r>
    </w:p>
  </w:footnote>
  <w:footnote w:id="14">
    <w:p w14:paraId="56673F0B" w14:textId="77777777" w:rsidR="008073ED" w:rsidRPr="00F830A6" w:rsidRDefault="008073ED" w:rsidP="004D5F55">
      <w:pPr>
        <w:pStyle w:val="FootnoteText"/>
        <w:rPr>
          <w:color w:val="auto"/>
          <w:lang w:val="pt-BR"/>
        </w:rPr>
      </w:pPr>
      <w:r w:rsidRPr="00F830A6">
        <w:rPr>
          <w:rStyle w:val="FootnoteReference"/>
          <w:color w:val="auto"/>
        </w:rPr>
        <w:footnoteRef/>
      </w:r>
      <w:r w:rsidRPr="00F830A6">
        <w:rPr>
          <w:color w:val="auto"/>
          <w:lang w:val="pt-BR"/>
        </w:rPr>
        <w:t xml:space="preserve"> Anexo 2. Sentencia de única instancia. </w:t>
      </w:r>
    </w:p>
  </w:footnote>
  <w:footnote w:id="15">
    <w:p w14:paraId="51EA71D2" w14:textId="77777777" w:rsidR="008073ED" w:rsidRPr="00F830A6" w:rsidRDefault="008073ED" w:rsidP="004D5F55">
      <w:pPr>
        <w:pStyle w:val="FootnoteText"/>
        <w:rPr>
          <w:color w:val="auto"/>
          <w:lang w:val="es-MX"/>
        </w:rPr>
      </w:pPr>
      <w:r w:rsidRPr="00F830A6">
        <w:rPr>
          <w:rStyle w:val="FootnoteReference"/>
          <w:color w:val="auto"/>
        </w:rPr>
        <w:footnoteRef/>
      </w:r>
      <w:r w:rsidRPr="00F830A6">
        <w:rPr>
          <w:color w:val="auto"/>
          <w:lang w:val="pt-BR"/>
        </w:rPr>
        <w:t xml:space="preserve"> Anexo 2. </w:t>
      </w:r>
      <w:r w:rsidRPr="00F830A6">
        <w:rPr>
          <w:color w:val="auto"/>
          <w:lang w:val="es-MX"/>
        </w:rPr>
        <w:t xml:space="preserve">Sentencia de única instancia. </w:t>
      </w:r>
    </w:p>
    <w:p w14:paraId="2A1D638D" w14:textId="77777777" w:rsidR="008073ED" w:rsidRPr="00F830A6" w:rsidRDefault="008073ED" w:rsidP="004D5F55">
      <w:pPr>
        <w:pStyle w:val="FootnoteText"/>
        <w:rPr>
          <w:color w:val="auto"/>
          <w:lang w:val="es-MX"/>
        </w:rPr>
      </w:pPr>
      <w:r w:rsidRPr="00F830A6">
        <w:rPr>
          <w:rStyle w:val="FootnoteReference"/>
          <w:color w:val="auto"/>
        </w:rPr>
        <w:footnoteRef/>
      </w:r>
      <w:r w:rsidRPr="00F830A6">
        <w:rPr>
          <w:color w:val="auto"/>
          <w:lang w:val="es-MX"/>
        </w:rPr>
        <w:t xml:space="preserve"> Comunicación del Estado de 12 de diciembre de 2017.</w:t>
      </w:r>
    </w:p>
  </w:footnote>
  <w:footnote w:id="16">
    <w:p w14:paraId="4480DF08" w14:textId="77777777" w:rsidR="008073ED" w:rsidRPr="00F830A6" w:rsidRDefault="008073ED" w:rsidP="004D5F55">
      <w:pPr>
        <w:pStyle w:val="FootnoteText"/>
        <w:rPr>
          <w:color w:val="auto"/>
          <w:lang w:val="es-MX"/>
        </w:rPr>
      </w:pPr>
      <w:r w:rsidRPr="00F830A6">
        <w:rPr>
          <w:rStyle w:val="FootnoteReference"/>
          <w:color w:val="auto"/>
        </w:rPr>
        <w:footnoteRef/>
      </w:r>
      <w:r w:rsidRPr="00F830A6">
        <w:rPr>
          <w:color w:val="auto"/>
          <w:lang w:val="es-US"/>
        </w:rPr>
        <w:t xml:space="preserve"> Anexo </w:t>
      </w:r>
      <w:r w:rsidRPr="00F830A6">
        <w:rPr>
          <w:color w:val="auto"/>
          <w:lang w:val="es-MX"/>
        </w:rPr>
        <w:t xml:space="preserve">6. Sentencia del Consejo Seccional de la Judicatura de Cundinamarca, Sala jurisdiccional disciplinaria, 1 de febrero de 2000. Anexo 9 adjunto a petición inicial de la parte peticionaria de 5 de noviembre de 2002. </w:t>
      </w:r>
    </w:p>
  </w:footnote>
  <w:footnote w:id="17">
    <w:p w14:paraId="1EF90256" w14:textId="77777777" w:rsidR="008073ED" w:rsidRPr="00F830A6" w:rsidRDefault="008073ED" w:rsidP="004D5F55">
      <w:pPr>
        <w:pStyle w:val="FootnoteText"/>
        <w:rPr>
          <w:color w:val="auto"/>
          <w:lang w:val="es-MX"/>
        </w:rPr>
      </w:pPr>
      <w:r w:rsidRPr="00F830A6">
        <w:rPr>
          <w:rStyle w:val="FootnoteReference"/>
          <w:color w:val="auto"/>
        </w:rPr>
        <w:footnoteRef/>
      </w:r>
      <w:r w:rsidRPr="00F830A6">
        <w:rPr>
          <w:color w:val="auto"/>
          <w:lang w:val="es-US"/>
        </w:rPr>
        <w:t xml:space="preserve"> Anexo </w:t>
      </w:r>
      <w:r w:rsidRPr="00F830A6">
        <w:rPr>
          <w:color w:val="auto"/>
          <w:lang w:val="es-MX"/>
        </w:rPr>
        <w:t>6. Sentencia del Consejo Seccional de la Judicatura de Cundinamarca.</w:t>
      </w:r>
    </w:p>
  </w:footnote>
  <w:footnote w:id="18">
    <w:p w14:paraId="51DB5B35" w14:textId="77777777" w:rsidR="008073ED" w:rsidRPr="00F830A6" w:rsidRDefault="008073ED" w:rsidP="004D5F55">
      <w:pPr>
        <w:pStyle w:val="FootnoteText"/>
        <w:rPr>
          <w:color w:val="auto"/>
          <w:lang w:val="es-MX"/>
        </w:rPr>
      </w:pPr>
      <w:r w:rsidRPr="00F830A6">
        <w:rPr>
          <w:rStyle w:val="FootnoteReference"/>
          <w:color w:val="auto"/>
        </w:rPr>
        <w:footnoteRef/>
      </w:r>
      <w:r w:rsidRPr="00F830A6">
        <w:rPr>
          <w:color w:val="auto"/>
          <w:lang w:val="es-US"/>
        </w:rPr>
        <w:t xml:space="preserve"> Anexo </w:t>
      </w:r>
      <w:r w:rsidRPr="00F830A6">
        <w:rPr>
          <w:color w:val="auto"/>
          <w:lang w:val="es-MX"/>
        </w:rPr>
        <w:t>6. Sentencia del Consejo Seccional de la Judicatura de Cundinamarca.</w:t>
      </w:r>
    </w:p>
  </w:footnote>
  <w:footnote w:id="19">
    <w:p w14:paraId="6746E268" w14:textId="77777777" w:rsidR="008073ED" w:rsidRPr="00F830A6" w:rsidRDefault="008073ED" w:rsidP="004D5F55">
      <w:pPr>
        <w:pStyle w:val="FootnoteText"/>
        <w:rPr>
          <w:color w:val="auto"/>
          <w:lang w:val="es-MX"/>
        </w:rPr>
      </w:pPr>
      <w:r w:rsidRPr="00F830A6">
        <w:rPr>
          <w:rStyle w:val="FootnoteReference"/>
          <w:color w:val="auto"/>
        </w:rPr>
        <w:footnoteRef/>
      </w:r>
      <w:r w:rsidRPr="00F830A6">
        <w:rPr>
          <w:color w:val="auto"/>
          <w:lang w:val="es-US"/>
        </w:rPr>
        <w:t xml:space="preserve"> Anexo </w:t>
      </w:r>
      <w:r w:rsidRPr="00F830A6">
        <w:rPr>
          <w:color w:val="auto"/>
          <w:lang w:val="es-MX"/>
        </w:rPr>
        <w:t xml:space="preserve">7. Sentencia de 1 de febrero de 2001, </w:t>
      </w:r>
      <w:r w:rsidRPr="00F830A6">
        <w:rPr>
          <w:color w:val="auto"/>
          <w:lang w:val="es-PE"/>
        </w:rPr>
        <w:t>Sala Jurisdiccional Disciplinaria del Consejo Seccional de la Judicatura de Cundinamarca</w:t>
      </w:r>
      <w:r w:rsidRPr="00F830A6">
        <w:rPr>
          <w:color w:val="auto"/>
          <w:lang w:val="es-MX"/>
        </w:rPr>
        <w:t xml:space="preserve">. Anexo 10 adjunto a petición inicial de la parte peticionaria de 5 de noviembre de 2002. </w:t>
      </w:r>
    </w:p>
  </w:footnote>
  <w:footnote w:id="20">
    <w:p w14:paraId="2568AE0A" w14:textId="77777777" w:rsidR="008073ED" w:rsidRPr="00F830A6" w:rsidRDefault="008073ED" w:rsidP="004D5F55">
      <w:pPr>
        <w:pStyle w:val="FootnoteText"/>
        <w:rPr>
          <w:color w:val="auto"/>
          <w:lang w:val="es-ES_tradnl"/>
        </w:rPr>
      </w:pPr>
      <w:r w:rsidRPr="00F830A6">
        <w:rPr>
          <w:rStyle w:val="FootnoteReference"/>
          <w:color w:val="auto"/>
        </w:rPr>
        <w:footnoteRef/>
      </w:r>
      <w:r w:rsidRPr="00F830A6">
        <w:rPr>
          <w:color w:val="auto"/>
          <w:lang w:val="es-PE"/>
        </w:rPr>
        <w:t xml:space="preserve"> </w:t>
      </w:r>
      <w:r w:rsidRPr="00F830A6">
        <w:rPr>
          <w:color w:val="auto"/>
          <w:lang w:val="es-MX"/>
        </w:rPr>
        <w:t>Petición inicial de la parte peticionaria de 5 de noviembre de 2002.</w:t>
      </w:r>
    </w:p>
  </w:footnote>
  <w:footnote w:id="21">
    <w:p w14:paraId="3BE96B95" w14:textId="77777777" w:rsidR="008073ED" w:rsidRPr="00F830A6" w:rsidRDefault="008073ED" w:rsidP="004D5F55">
      <w:pPr>
        <w:pStyle w:val="FootnoteText"/>
        <w:rPr>
          <w:color w:val="auto"/>
          <w:lang w:val="es-ES_tradnl"/>
        </w:rPr>
      </w:pPr>
      <w:r w:rsidRPr="00F830A6">
        <w:rPr>
          <w:rStyle w:val="FootnoteReference"/>
          <w:color w:val="auto"/>
        </w:rPr>
        <w:footnoteRef/>
      </w:r>
      <w:r w:rsidRPr="00F830A6">
        <w:rPr>
          <w:color w:val="auto"/>
          <w:lang w:val="es-PE"/>
        </w:rPr>
        <w:t xml:space="preserve"> </w:t>
      </w:r>
      <w:r w:rsidRPr="00F830A6">
        <w:rPr>
          <w:color w:val="auto"/>
          <w:lang w:val="es-MX"/>
        </w:rPr>
        <w:t>Anexo 8. Oficio de la Defensoría del Pueblo, 16 de abril de 2001. Anexo 12 adjunto a la petición inicial de la parte peticionaria de 5 de noviembre de 2002.</w:t>
      </w:r>
    </w:p>
  </w:footnote>
  <w:footnote w:id="22">
    <w:p w14:paraId="04D10494" w14:textId="77777777" w:rsidR="008073ED" w:rsidRPr="00F830A6" w:rsidRDefault="008073ED" w:rsidP="004D5F55">
      <w:pPr>
        <w:pStyle w:val="FootnoteText"/>
        <w:rPr>
          <w:color w:val="auto"/>
          <w:lang w:val="es-ES_tradnl"/>
        </w:rPr>
      </w:pPr>
      <w:r w:rsidRPr="00F830A6">
        <w:rPr>
          <w:rStyle w:val="FootnoteReference"/>
          <w:color w:val="auto"/>
        </w:rPr>
        <w:footnoteRef/>
      </w:r>
      <w:r w:rsidRPr="00F830A6">
        <w:rPr>
          <w:color w:val="auto"/>
          <w:lang w:val="es-PE"/>
        </w:rPr>
        <w:t xml:space="preserve"> </w:t>
      </w:r>
      <w:r w:rsidRPr="00F830A6">
        <w:rPr>
          <w:color w:val="auto"/>
          <w:lang w:val="es-MX"/>
        </w:rPr>
        <w:t>Petición inicial de la parte peticionaria de 5 de noviembre de 2002.</w:t>
      </w:r>
    </w:p>
  </w:footnote>
  <w:footnote w:id="23">
    <w:p w14:paraId="61A96640" w14:textId="77777777" w:rsidR="008073ED" w:rsidRPr="00F830A6" w:rsidRDefault="008073ED" w:rsidP="004D5F55">
      <w:pPr>
        <w:pStyle w:val="FootnoteText"/>
        <w:rPr>
          <w:color w:val="auto"/>
          <w:lang w:val="es-US"/>
        </w:rPr>
      </w:pPr>
      <w:r w:rsidRPr="00F830A6">
        <w:rPr>
          <w:rStyle w:val="FootnoteReference"/>
          <w:color w:val="auto"/>
        </w:rPr>
        <w:footnoteRef/>
      </w:r>
      <w:r w:rsidRPr="00F830A6">
        <w:rPr>
          <w:color w:val="auto"/>
          <w:lang w:val="es-US"/>
        </w:rPr>
        <w:t xml:space="preserve"> Comunicación del Estado de 12 de diciembre de 2017.</w:t>
      </w:r>
    </w:p>
  </w:footnote>
  <w:footnote w:id="24">
    <w:p w14:paraId="3AC47FD7" w14:textId="77777777" w:rsidR="008073ED" w:rsidRPr="00F830A6" w:rsidRDefault="008073ED" w:rsidP="004D5F55">
      <w:pPr>
        <w:pStyle w:val="FootnoteText"/>
        <w:rPr>
          <w:color w:val="auto"/>
          <w:lang w:val="es-PE"/>
        </w:rPr>
      </w:pPr>
      <w:r w:rsidRPr="00F830A6">
        <w:rPr>
          <w:rStyle w:val="FootnoteReference"/>
          <w:color w:val="auto"/>
        </w:rPr>
        <w:footnoteRef/>
      </w:r>
      <w:r w:rsidRPr="00F830A6">
        <w:rPr>
          <w:color w:val="auto"/>
          <w:lang w:val="es-PE"/>
        </w:rPr>
        <w:t xml:space="preserve"> Comunicación del Estado de 12 de diciembre de 2017.</w:t>
      </w:r>
    </w:p>
  </w:footnote>
  <w:footnote w:id="25">
    <w:p w14:paraId="1F6925BD" w14:textId="77777777" w:rsidR="008073ED" w:rsidRPr="00F830A6" w:rsidRDefault="008073ED" w:rsidP="004D5F55">
      <w:pPr>
        <w:pStyle w:val="FootnoteText"/>
        <w:rPr>
          <w:color w:val="auto"/>
          <w:lang w:val="es-ES_tradnl"/>
        </w:rPr>
      </w:pPr>
      <w:r w:rsidRPr="00F830A6">
        <w:rPr>
          <w:rStyle w:val="FootnoteReference"/>
          <w:color w:val="auto"/>
        </w:rPr>
        <w:footnoteRef/>
      </w:r>
      <w:r w:rsidRPr="00F830A6">
        <w:rPr>
          <w:color w:val="auto"/>
          <w:lang w:val="es-PE"/>
        </w:rPr>
        <w:t xml:space="preserve"> Anexo 11. Auto de la Sala de Casación Penal de la Corte Suprema de Justicia</w:t>
      </w:r>
      <w:r w:rsidRPr="00F830A6">
        <w:rPr>
          <w:color w:val="auto"/>
          <w:lang w:val="es-ES_tradnl"/>
        </w:rPr>
        <w:t xml:space="preserve">, 25 de mayo de 2015. Anexo 4 adjunto a la comunicación del Estado de fecha </w:t>
      </w:r>
      <w:r w:rsidRPr="00F830A6">
        <w:rPr>
          <w:color w:val="auto"/>
          <w:lang w:val="es-US"/>
        </w:rPr>
        <w:t>12 de diciembre de 2017</w:t>
      </w:r>
    </w:p>
  </w:footnote>
  <w:footnote w:id="26">
    <w:p w14:paraId="1FD973D7" w14:textId="77777777" w:rsidR="008073ED" w:rsidRPr="00F830A6" w:rsidRDefault="008073ED" w:rsidP="004D5F55">
      <w:pPr>
        <w:pStyle w:val="FootnoteText"/>
        <w:rPr>
          <w:color w:val="auto"/>
          <w:lang w:val="es-US"/>
        </w:rPr>
      </w:pPr>
      <w:r w:rsidRPr="00F830A6">
        <w:rPr>
          <w:rStyle w:val="FootnoteReference"/>
          <w:color w:val="auto"/>
        </w:rPr>
        <w:footnoteRef/>
      </w:r>
      <w:r w:rsidRPr="00F830A6">
        <w:rPr>
          <w:color w:val="auto"/>
          <w:lang w:val="es-US"/>
        </w:rPr>
        <w:t xml:space="preserve"> Anexo 9. Auto denegatorio de la acción de revisión, Sala de Casación Penal de la Corte Suprema de Justicia, 25 de mayo de 2015. Anexo 1 adjunto a la comunicación del peticionario de fecha 9 de marzo de 2016 </w:t>
      </w:r>
    </w:p>
  </w:footnote>
  <w:footnote w:id="27">
    <w:p w14:paraId="743DD113" w14:textId="77777777" w:rsidR="008073ED" w:rsidRPr="00F830A6" w:rsidRDefault="008073ED" w:rsidP="004D5F55">
      <w:pPr>
        <w:pStyle w:val="FootnoteText"/>
        <w:rPr>
          <w:color w:val="auto"/>
          <w:lang w:val="es-US"/>
        </w:rPr>
      </w:pPr>
      <w:r w:rsidRPr="00F830A6">
        <w:rPr>
          <w:rStyle w:val="FootnoteReference"/>
          <w:color w:val="auto"/>
        </w:rPr>
        <w:footnoteRef/>
      </w:r>
      <w:r w:rsidRPr="00F830A6">
        <w:rPr>
          <w:color w:val="auto"/>
          <w:lang w:val="es-US"/>
        </w:rPr>
        <w:t xml:space="preserve"> Anexo 10.  Recurso de insistencia de revisión presentado por el Magistrado Alejandro Linares y el Magistrado Alberto Rojas para la escogencia del expediente T-5297823, 23 de febrero de 2016. Anexo 5 adjunto a la comunicación del peticionario de 19 de abril de 2016 </w:t>
      </w:r>
    </w:p>
  </w:footnote>
  <w:footnote w:id="28">
    <w:p w14:paraId="028ABB2B" w14:textId="77777777" w:rsidR="008073ED" w:rsidRPr="00F830A6" w:rsidRDefault="008073ED" w:rsidP="004D5F55">
      <w:pPr>
        <w:pStyle w:val="FootnoteText"/>
        <w:rPr>
          <w:color w:val="auto"/>
          <w:lang w:val="es-US"/>
        </w:rPr>
      </w:pPr>
      <w:r w:rsidRPr="00F830A6">
        <w:rPr>
          <w:rStyle w:val="FootnoteReference"/>
          <w:color w:val="auto"/>
        </w:rPr>
        <w:footnoteRef/>
      </w:r>
      <w:r w:rsidRPr="00F830A6">
        <w:rPr>
          <w:color w:val="auto"/>
          <w:lang w:val="es-US"/>
        </w:rPr>
        <w:t xml:space="preserve"> Comunicación del peticionario de 19 de abril de 2016</w:t>
      </w:r>
    </w:p>
  </w:footnote>
  <w:footnote w:id="29">
    <w:p w14:paraId="1F3B1E70" w14:textId="77777777" w:rsidR="008073ED" w:rsidRPr="00F830A6" w:rsidRDefault="008073ED" w:rsidP="004D5F55">
      <w:pPr>
        <w:pStyle w:val="FootnoteText"/>
        <w:rPr>
          <w:color w:val="auto"/>
          <w:lang w:val="es-US"/>
        </w:rPr>
      </w:pPr>
      <w:r w:rsidRPr="00F830A6">
        <w:rPr>
          <w:rStyle w:val="FootnoteReference"/>
          <w:color w:val="auto"/>
        </w:rPr>
        <w:footnoteRef/>
      </w:r>
      <w:r w:rsidRPr="00F830A6">
        <w:rPr>
          <w:color w:val="auto"/>
          <w:lang w:val="es-US"/>
        </w:rPr>
        <w:t xml:space="preserve"> Anexo 9. Nota periodística del diario El Tiempo, 25 de marzo de 2006. Anexo adjunto a la comunicación de la parte peticionaria de 19 de abril de 2016. </w:t>
      </w:r>
    </w:p>
  </w:footnote>
  <w:footnote w:id="30">
    <w:p w14:paraId="3A0B82E9" w14:textId="77777777" w:rsidR="008073ED" w:rsidRPr="0042478D" w:rsidRDefault="008073ED">
      <w:pPr>
        <w:pStyle w:val="FootnoteText"/>
        <w:rPr>
          <w:color w:val="auto"/>
          <w:lang w:val="es-US"/>
        </w:rPr>
      </w:pPr>
      <w:r w:rsidRPr="0042478D">
        <w:rPr>
          <w:rStyle w:val="FootnoteReference"/>
          <w:color w:val="auto"/>
        </w:rPr>
        <w:footnoteRef/>
      </w:r>
      <w:r w:rsidRPr="0042478D">
        <w:rPr>
          <w:color w:val="auto"/>
          <w:lang w:val="es-US"/>
        </w:rPr>
        <w:t xml:space="preserve"> CIDH. Resolución 1/18 Corrupción y Derechos Humanos, 2 de marzo de 2018, párr.. 127. En el mismo sentido CIDH. Tercer informe sobre la situación de los derechos humanos en Paraguay. 9 marzo 2001. OEA/Ser./L/VII.110 doc. 52.</w:t>
      </w:r>
    </w:p>
  </w:footnote>
  <w:footnote w:id="31">
    <w:p w14:paraId="66A9F56A" w14:textId="77777777" w:rsidR="008073ED" w:rsidRPr="0042478D" w:rsidRDefault="008073ED">
      <w:pPr>
        <w:pStyle w:val="FootnoteText"/>
        <w:rPr>
          <w:color w:val="auto"/>
          <w:lang w:val="es-US"/>
        </w:rPr>
      </w:pPr>
      <w:r w:rsidRPr="0042478D">
        <w:rPr>
          <w:rStyle w:val="FootnoteReference"/>
          <w:color w:val="auto"/>
        </w:rPr>
        <w:footnoteRef/>
      </w:r>
      <w:r w:rsidRPr="0042478D">
        <w:rPr>
          <w:color w:val="auto"/>
          <w:lang w:val="es-US"/>
        </w:rPr>
        <w:t xml:space="preserve"> Naciones Unidas, Consejo Económico y Social. Subcomisión de Promoción y Protección de los Derechos Humanos. La corrupción y sus repercusiones en el pleno disfrute de los derechos humanos, en particular los derechos económicos, sociales y culturales.. E/CN.4/Sub.2/2003/18. 14 de mayo del 2003.</w:t>
      </w:r>
    </w:p>
  </w:footnote>
  <w:footnote w:id="32">
    <w:p w14:paraId="2138DC5F" w14:textId="77777777" w:rsidR="008073ED" w:rsidRPr="0042478D" w:rsidRDefault="008073ED" w:rsidP="00E25558">
      <w:pPr>
        <w:pStyle w:val="FootnoteText"/>
        <w:rPr>
          <w:color w:val="auto"/>
          <w:lang w:val="es-ES_tradnl"/>
        </w:rPr>
      </w:pPr>
      <w:r w:rsidRPr="0042478D">
        <w:rPr>
          <w:rStyle w:val="FootnoteReference"/>
          <w:color w:val="auto"/>
        </w:rPr>
        <w:footnoteRef/>
      </w:r>
      <w:r w:rsidRPr="0042478D">
        <w:rPr>
          <w:color w:val="auto"/>
          <w:lang w:val="es-US"/>
        </w:rPr>
        <w:t xml:space="preserve"> </w:t>
      </w:r>
      <w:r w:rsidRPr="0042478D">
        <w:rPr>
          <w:color w:val="auto"/>
          <w:lang w:val="es-ES_tradnl"/>
        </w:rPr>
        <w:t>CIDH. Informe temático: Corrupción y Derechos Humanos, 6 de diciembre de 2009, párrs. 126 y 524.</w:t>
      </w:r>
    </w:p>
  </w:footnote>
  <w:footnote w:id="33">
    <w:p w14:paraId="1D6ADB77" w14:textId="77777777" w:rsidR="008073ED" w:rsidRPr="0042478D" w:rsidRDefault="008073ED" w:rsidP="004E42A4">
      <w:pPr>
        <w:pStyle w:val="FootnoteText"/>
        <w:rPr>
          <w:color w:val="auto"/>
          <w:lang w:val="es-US"/>
        </w:rPr>
      </w:pPr>
      <w:r w:rsidRPr="0042478D">
        <w:rPr>
          <w:rStyle w:val="FootnoteReference"/>
          <w:color w:val="auto"/>
        </w:rPr>
        <w:footnoteRef/>
      </w:r>
      <w:r w:rsidRPr="0042478D">
        <w:rPr>
          <w:color w:val="auto"/>
          <w:lang w:val="es-US"/>
        </w:rPr>
        <w:t xml:space="preserve"> CIDH. Resolución 1/18 Corrupción y Derechos Humanos, 2 de marzo de 2018.</w:t>
      </w:r>
    </w:p>
  </w:footnote>
  <w:footnote w:id="34">
    <w:p w14:paraId="27722B7D" w14:textId="77777777" w:rsidR="008073ED" w:rsidRPr="00F830A6" w:rsidRDefault="008073ED" w:rsidP="004D5F55">
      <w:pPr>
        <w:pStyle w:val="NormalWeb"/>
        <w:spacing w:before="0" w:beforeAutospacing="0" w:after="0" w:afterAutospacing="0"/>
        <w:ind w:right="75"/>
        <w:jc w:val="both"/>
        <w:rPr>
          <w:rFonts w:ascii="Cambria" w:hAnsi="Cambria" w:cs="Tahoma"/>
          <w:sz w:val="16"/>
          <w:szCs w:val="16"/>
          <w:lang w:val="es-US"/>
        </w:rPr>
      </w:pPr>
      <w:r w:rsidRPr="0042478D">
        <w:rPr>
          <w:rStyle w:val="FootnoteReference"/>
          <w:rFonts w:ascii="Cambria" w:hAnsi="Cambria"/>
          <w:sz w:val="16"/>
          <w:szCs w:val="16"/>
        </w:rPr>
        <w:footnoteRef/>
      </w:r>
      <w:r w:rsidRPr="0042478D">
        <w:rPr>
          <w:rFonts w:ascii="Cambria" w:hAnsi="Cambria"/>
          <w:sz w:val="16"/>
          <w:szCs w:val="16"/>
          <w:lang w:val="es-US"/>
        </w:rPr>
        <w:t xml:space="preserve"> Artículo 8.1. </w:t>
      </w:r>
      <w:r w:rsidRPr="0042478D">
        <w:rPr>
          <w:rFonts w:ascii="Cambria" w:hAnsi="Cambria" w:cs="Tahoma"/>
          <w:sz w:val="16"/>
          <w:szCs w:val="16"/>
          <w:lang w:val="es-US"/>
        </w:rPr>
        <w:t>Toda persona tiene derecho a ser oída, con las debidas garantías y dentro de un plazo razonable, por un juez o tribunal competente, independiente e imparcial, establecido</w:t>
      </w:r>
      <w:r w:rsidRPr="00F830A6">
        <w:rPr>
          <w:rFonts w:ascii="Cambria" w:hAnsi="Cambria" w:cs="Tahoma"/>
          <w:sz w:val="16"/>
          <w:szCs w:val="16"/>
          <w:lang w:val="es-US"/>
        </w:rPr>
        <w:t xml:space="preserve"> con anterioridad por la ley, en la sustanciación de cualquier acusación penal formulada contra ella, o para la determinación de sus derechos y obligaciones de orden civil, laboral, fiscal o de cualquier otro carácter.</w:t>
      </w:r>
    </w:p>
    <w:p w14:paraId="61FB2A48" w14:textId="77777777" w:rsidR="008073ED" w:rsidRPr="00F830A6" w:rsidRDefault="008073ED" w:rsidP="004D5F55">
      <w:pPr>
        <w:pStyle w:val="NormalWeb"/>
        <w:spacing w:before="0" w:beforeAutospacing="0" w:after="0" w:afterAutospacing="0"/>
        <w:ind w:right="75"/>
        <w:jc w:val="both"/>
        <w:rPr>
          <w:rFonts w:ascii="Cambria" w:hAnsi="Cambria" w:cs="Tahoma"/>
          <w:sz w:val="16"/>
          <w:szCs w:val="16"/>
          <w:lang w:val="es-US"/>
        </w:rPr>
      </w:pPr>
      <w:r w:rsidRPr="00F830A6">
        <w:rPr>
          <w:rFonts w:ascii="Cambria" w:hAnsi="Cambria" w:cs="Tahoma"/>
          <w:sz w:val="16"/>
          <w:szCs w:val="16"/>
          <w:lang w:val="es-US"/>
        </w:rPr>
        <w:t>2. Toda persona inculpada de delito tiene derecho a que se presuma su inocencia mientras no se establezca legalmente su culpabilidad.  Durante el proceso, toda persona tiene derecho, en plena igualdad, a las siguientes garantías mínimas:</w:t>
      </w:r>
    </w:p>
    <w:p w14:paraId="7B91FE1E" w14:textId="77777777" w:rsidR="008073ED" w:rsidRPr="00F830A6" w:rsidRDefault="008073ED" w:rsidP="004D5F55">
      <w:pPr>
        <w:pStyle w:val="NormalWeb"/>
        <w:spacing w:before="0" w:beforeAutospacing="0" w:after="0" w:afterAutospacing="0"/>
        <w:ind w:right="75"/>
        <w:jc w:val="both"/>
        <w:rPr>
          <w:rFonts w:ascii="Cambria" w:hAnsi="Cambria" w:cs="Tahoma"/>
          <w:sz w:val="16"/>
          <w:szCs w:val="16"/>
          <w:lang w:val="es-US"/>
        </w:rPr>
      </w:pPr>
      <w:r w:rsidRPr="00F830A6">
        <w:rPr>
          <w:rFonts w:ascii="Cambria" w:hAnsi="Cambria" w:cs="Tahoma"/>
          <w:sz w:val="16"/>
          <w:szCs w:val="16"/>
          <w:lang w:val="es-US"/>
        </w:rPr>
        <w:t>h) derecho de recurrir del fallo ante juez o tribunal superior.</w:t>
      </w:r>
    </w:p>
    <w:p w14:paraId="2ACECFAB" w14:textId="77777777" w:rsidR="008073ED" w:rsidRPr="00F830A6" w:rsidRDefault="008073ED" w:rsidP="004D5F55">
      <w:pPr>
        <w:pStyle w:val="NormalWeb"/>
        <w:spacing w:before="0" w:beforeAutospacing="0" w:after="0" w:afterAutospacing="0"/>
        <w:ind w:right="75"/>
        <w:jc w:val="both"/>
        <w:rPr>
          <w:rFonts w:ascii="Cambria" w:hAnsi="Cambria" w:cs="Tahoma"/>
          <w:sz w:val="16"/>
          <w:szCs w:val="16"/>
          <w:lang w:val="es-US"/>
        </w:rPr>
      </w:pPr>
      <w:r w:rsidRPr="00F830A6">
        <w:rPr>
          <w:rFonts w:ascii="Cambria" w:hAnsi="Cambria" w:cs="Tahoma"/>
          <w:sz w:val="16"/>
          <w:szCs w:val="16"/>
          <w:lang w:val="es-US"/>
        </w:rPr>
        <w:t>Artículo 25.1.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35">
    <w:p w14:paraId="5B0195E2" w14:textId="77777777" w:rsidR="008073ED" w:rsidRPr="00F830A6" w:rsidRDefault="008073ED" w:rsidP="004D5F55">
      <w:pPr>
        <w:jc w:val="both"/>
        <w:rPr>
          <w:rFonts w:ascii="Cambria" w:hAnsi="Cambria"/>
          <w:sz w:val="16"/>
          <w:szCs w:val="16"/>
          <w:lang w:val="es-ES_tradnl"/>
        </w:rPr>
      </w:pPr>
      <w:r w:rsidRPr="00F830A6">
        <w:rPr>
          <w:rStyle w:val="FootnoteReference"/>
          <w:rFonts w:ascii="Cambria" w:hAnsi="Cambria"/>
          <w:sz w:val="16"/>
          <w:szCs w:val="16"/>
        </w:rPr>
        <w:footnoteRef/>
      </w:r>
      <w:r w:rsidRPr="00F830A6">
        <w:rPr>
          <w:rFonts w:ascii="Cambria" w:hAnsi="Cambria"/>
          <w:sz w:val="16"/>
          <w:szCs w:val="16"/>
          <w:lang w:val="es-ES_tradnl"/>
        </w:rPr>
        <w:t xml:space="preserve"> Corte IDH. </w:t>
      </w:r>
      <w:r w:rsidRPr="00F830A6">
        <w:rPr>
          <w:rFonts w:ascii="Cambria" w:hAnsi="Cambria"/>
          <w:i/>
          <w:sz w:val="16"/>
          <w:szCs w:val="16"/>
          <w:lang w:val="es-ES_tradnl"/>
        </w:rPr>
        <w:t>Caso Mendoza y otros Vs. Argentina</w:t>
      </w:r>
      <w:r w:rsidRPr="00F830A6">
        <w:rPr>
          <w:rFonts w:ascii="Cambria" w:hAnsi="Cambria"/>
          <w:sz w:val="16"/>
          <w:szCs w:val="16"/>
          <w:lang w:val="es-ES_tradnl"/>
        </w:rPr>
        <w:t xml:space="preserve">. Sentencia de Excepciones Preliminares, Fondo y Reparaciones. 14 de mayo de 2013. Serie C No. 260, párr. 242; </w:t>
      </w:r>
      <w:r w:rsidRPr="00F830A6">
        <w:rPr>
          <w:rFonts w:ascii="Cambria" w:hAnsi="Cambria"/>
          <w:i/>
          <w:sz w:val="16"/>
          <w:szCs w:val="16"/>
          <w:lang w:val="es-ES_tradnl"/>
        </w:rPr>
        <w:t xml:space="preserve">y </w:t>
      </w:r>
      <w:r w:rsidRPr="00F830A6">
        <w:rPr>
          <w:rFonts w:ascii="Cambria" w:hAnsi="Cambria"/>
          <w:bCs/>
          <w:i/>
          <w:sz w:val="16"/>
          <w:szCs w:val="16"/>
          <w:lang w:val="es-ES_tradnl"/>
        </w:rPr>
        <w:t xml:space="preserve">Caso Mohamed Vs. Argentina. </w:t>
      </w:r>
      <w:r w:rsidRPr="00F830A6">
        <w:rPr>
          <w:rFonts w:ascii="Cambria" w:hAnsi="Cambria"/>
          <w:bCs/>
          <w:sz w:val="16"/>
          <w:szCs w:val="16"/>
          <w:lang w:val="es-ES_tradnl"/>
        </w:rPr>
        <w:t xml:space="preserve">Sentencia de </w:t>
      </w:r>
      <w:r w:rsidRPr="00F830A6">
        <w:rPr>
          <w:rFonts w:ascii="Cambria" w:hAnsi="Cambria"/>
          <w:sz w:val="16"/>
          <w:szCs w:val="16"/>
          <w:lang w:val="es-ES_tradnl"/>
        </w:rPr>
        <w:t>Excepción Preliminar, Fondo, Reparaciones y Costas. 23 noviembre de 2012. Serie C No. 255, párr. 97.</w:t>
      </w:r>
    </w:p>
  </w:footnote>
  <w:footnote w:id="36">
    <w:p w14:paraId="66DFD2DF" w14:textId="77777777" w:rsidR="008073ED" w:rsidRPr="00F830A6" w:rsidRDefault="008073ED" w:rsidP="004D5F55">
      <w:pPr>
        <w:tabs>
          <w:tab w:val="left" w:pos="720"/>
        </w:tabs>
        <w:jc w:val="both"/>
        <w:rPr>
          <w:rFonts w:ascii="Cambria" w:hAnsi="Cambria"/>
          <w:sz w:val="16"/>
          <w:szCs w:val="16"/>
          <w:lang w:val="es-ES_tradnl"/>
        </w:rPr>
      </w:pPr>
      <w:r w:rsidRPr="00F830A6">
        <w:rPr>
          <w:rStyle w:val="FootnoteReference"/>
          <w:rFonts w:ascii="Cambria" w:hAnsi="Cambria"/>
          <w:sz w:val="16"/>
          <w:szCs w:val="16"/>
        </w:rPr>
        <w:footnoteRef/>
      </w:r>
      <w:r w:rsidRPr="00F830A6">
        <w:rPr>
          <w:rFonts w:ascii="Cambria" w:hAnsi="Cambria"/>
          <w:sz w:val="16"/>
          <w:szCs w:val="16"/>
          <w:lang w:val="es-ES_tradnl"/>
        </w:rPr>
        <w:t xml:space="preserve"> CIDH. Informe No. 33/14. Caso 12.820. Fondo. Manfred Amrhein y otros. Costa Rica. 4 de abril de 2014, párr. 186. Corte IDH. </w:t>
      </w:r>
      <w:r w:rsidRPr="00F830A6">
        <w:rPr>
          <w:rFonts w:ascii="Cambria" w:hAnsi="Cambria"/>
          <w:i/>
          <w:sz w:val="16"/>
          <w:szCs w:val="16"/>
          <w:lang w:val="es-ES_tradnl"/>
        </w:rPr>
        <w:t>Caso Herrera Ulloa Vs. Costa Rica</w:t>
      </w:r>
      <w:r w:rsidRPr="00F830A6">
        <w:rPr>
          <w:rFonts w:ascii="Cambria" w:hAnsi="Cambria"/>
          <w:sz w:val="16"/>
          <w:szCs w:val="16"/>
          <w:lang w:val="es-ES_tradnl"/>
        </w:rPr>
        <w:t>. Sentencia de Excepciones Preliminares, Fondo, Reparaciones y Costas. 2 de julio de 2004. Serie C No. 107, párr. 158.</w:t>
      </w:r>
    </w:p>
  </w:footnote>
  <w:footnote w:id="37">
    <w:p w14:paraId="33A991B3" w14:textId="77777777" w:rsidR="008073ED" w:rsidRPr="00F830A6" w:rsidRDefault="008073ED" w:rsidP="004D5F55">
      <w:pPr>
        <w:pStyle w:val="FootnoteText"/>
        <w:tabs>
          <w:tab w:val="left" w:pos="720"/>
        </w:tabs>
        <w:rPr>
          <w:color w:val="auto"/>
          <w:lang w:val="es-ES_tradnl"/>
        </w:rPr>
      </w:pPr>
      <w:r w:rsidRPr="00F830A6">
        <w:rPr>
          <w:rStyle w:val="FootnoteReference"/>
          <w:color w:val="auto"/>
        </w:rPr>
        <w:footnoteRef/>
      </w:r>
      <w:r w:rsidRPr="00F830A6">
        <w:rPr>
          <w:color w:val="auto"/>
          <w:lang w:val="es-ES_tradnl"/>
        </w:rPr>
        <w:t xml:space="preserve"> CIDH. Informe No. 55/97. Caso 11.137. Fondo. Juan Carlos Abella. Argentina. 18 de noviembre de 1997, párr. 252.</w:t>
      </w:r>
    </w:p>
  </w:footnote>
  <w:footnote w:id="38">
    <w:p w14:paraId="0B474DF5" w14:textId="77777777" w:rsidR="008073ED" w:rsidRPr="00F830A6" w:rsidRDefault="008073ED" w:rsidP="004D5F55">
      <w:pPr>
        <w:jc w:val="both"/>
        <w:rPr>
          <w:rFonts w:ascii="Cambria" w:hAnsi="Cambria" w:cs="Arial"/>
          <w:sz w:val="16"/>
          <w:szCs w:val="16"/>
          <w:lang w:val="es-ES_tradnl"/>
        </w:rPr>
      </w:pPr>
      <w:r w:rsidRPr="00F830A6">
        <w:rPr>
          <w:rStyle w:val="FootnoteReference"/>
          <w:rFonts w:ascii="Cambria" w:hAnsi="Cambria"/>
          <w:sz w:val="16"/>
          <w:szCs w:val="16"/>
        </w:rPr>
        <w:footnoteRef/>
      </w:r>
      <w:r w:rsidRPr="00F830A6">
        <w:rPr>
          <w:rFonts w:ascii="Cambria" w:hAnsi="Cambria"/>
          <w:sz w:val="16"/>
          <w:szCs w:val="16"/>
          <w:lang w:val="es-ES_tradnl"/>
        </w:rPr>
        <w:t xml:space="preserve"> Corte IDH. </w:t>
      </w:r>
      <w:r w:rsidRPr="00F830A6">
        <w:rPr>
          <w:rFonts w:ascii="Cambria" w:hAnsi="Cambria"/>
          <w:i/>
          <w:sz w:val="16"/>
          <w:szCs w:val="16"/>
          <w:lang w:val="es-ES_tradnl"/>
        </w:rPr>
        <w:t>Caso Mendoza y otros Vs. Argentina</w:t>
      </w:r>
      <w:r w:rsidRPr="00F830A6">
        <w:rPr>
          <w:rFonts w:ascii="Cambria" w:hAnsi="Cambria"/>
          <w:sz w:val="16"/>
          <w:szCs w:val="16"/>
          <w:lang w:val="es-ES_tradnl"/>
        </w:rPr>
        <w:t xml:space="preserve">. Sentencia de Excepciones Preliminares, Fondo y Reparaciones. 14 de mayo de 2013. Serie C No. 260, párr. 242; </w:t>
      </w:r>
      <w:r w:rsidRPr="00F830A6">
        <w:rPr>
          <w:rFonts w:ascii="Cambria" w:hAnsi="Cambria"/>
          <w:i/>
          <w:sz w:val="16"/>
          <w:szCs w:val="16"/>
          <w:lang w:val="es-ES_tradnl"/>
        </w:rPr>
        <w:t xml:space="preserve">Caso Barreto Leiva Vs. Venezuela. </w:t>
      </w:r>
      <w:r w:rsidRPr="00F830A6">
        <w:rPr>
          <w:rFonts w:ascii="Cambria" w:hAnsi="Cambria"/>
          <w:sz w:val="16"/>
          <w:szCs w:val="16"/>
          <w:lang w:val="es-ES_tradnl"/>
        </w:rPr>
        <w:t>Sentencia de Fondo, Reparaciones y Costas 17 de noviembre de 2009. Serie C No. 206</w:t>
      </w:r>
      <w:r w:rsidRPr="00F830A6">
        <w:rPr>
          <w:rFonts w:ascii="Cambria" w:hAnsi="Cambria"/>
          <w:i/>
          <w:sz w:val="16"/>
          <w:szCs w:val="16"/>
          <w:lang w:val="es-ES_tradnl"/>
        </w:rPr>
        <w:t xml:space="preserve">, </w:t>
      </w:r>
      <w:r w:rsidRPr="00F830A6">
        <w:rPr>
          <w:rFonts w:ascii="Cambria" w:hAnsi="Cambria"/>
          <w:sz w:val="16"/>
          <w:szCs w:val="16"/>
          <w:lang w:val="es-ES_tradnl"/>
        </w:rPr>
        <w:t xml:space="preserve">párr. 89; </w:t>
      </w:r>
      <w:r w:rsidRPr="00F830A6">
        <w:rPr>
          <w:rFonts w:ascii="Cambria" w:hAnsi="Cambria"/>
          <w:bCs/>
          <w:i/>
          <w:sz w:val="16"/>
          <w:szCs w:val="16"/>
          <w:lang w:val="es-ES_tradnl"/>
        </w:rPr>
        <w:t xml:space="preserve">Caso Mohamed Vs. Argentina. </w:t>
      </w:r>
      <w:r w:rsidRPr="00F830A6">
        <w:rPr>
          <w:rFonts w:ascii="Cambria" w:hAnsi="Cambria"/>
          <w:bCs/>
          <w:sz w:val="16"/>
          <w:szCs w:val="16"/>
          <w:lang w:val="es-ES_tradnl"/>
        </w:rPr>
        <w:t xml:space="preserve">Sentencia de </w:t>
      </w:r>
      <w:r w:rsidRPr="00F830A6">
        <w:rPr>
          <w:rFonts w:ascii="Cambria" w:hAnsi="Cambria"/>
          <w:sz w:val="16"/>
          <w:szCs w:val="16"/>
          <w:lang w:val="es-ES_tradnl"/>
        </w:rPr>
        <w:t>Excepción Preliminar, Fondo, Reparaciones y Costas. 23 noviembre de 2012. Serie C No. 255, párr. 97; y</w:t>
      </w:r>
      <w:r w:rsidRPr="00F830A6">
        <w:rPr>
          <w:rFonts w:ascii="Cambria" w:hAnsi="Cambria" w:cs="Arial"/>
          <w:sz w:val="16"/>
          <w:szCs w:val="16"/>
          <w:lang w:val="es-ES_tradnl"/>
        </w:rPr>
        <w:t xml:space="preserve"> </w:t>
      </w:r>
      <w:r w:rsidRPr="00F830A6">
        <w:rPr>
          <w:rFonts w:ascii="Cambria" w:hAnsi="Cambria" w:cs="Arial"/>
          <w:i/>
          <w:sz w:val="16"/>
          <w:szCs w:val="16"/>
          <w:lang w:val="es-ES_tradnl"/>
        </w:rPr>
        <w:t>Caso Liakat Ali Alibux Vs. Suriname</w:t>
      </w:r>
      <w:r w:rsidRPr="00F830A6">
        <w:rPr>
          <w:rFonts w:ascii="Cambria" w:hAnsi="Cambria" w:cs="Arial"/>
          <w:sz w:val="16"/>
          <w:szCs w:val="16"/>
          <w:lang w:val="es-ES_tradnl"/>
        </w:rPr>
        <w:t>. Excepciones Preliminares, Fondo, Reparaciones y Costas. Sentencia de 30 de enero de 2014. Serie C No. 276, párr. 85.</w:t>
      </w:r>
    </w:p>
  </w:footnote>
  <w:footnote w:id="39">
    <w:p w14:paraId="49865FE2" w14:textId="77777777" w:rsidR="008073ED" w:rsidRPr="00F830A6" w:rsidRDefault="008073ED" w:rsidP="004D5F55">
      <w:pPr>
        <w:pStyle w:val="FootnoteText"/>
        <w:rPr>
          <w:color w:val="auto"/>
          <w:lang w:val="es-US"/>
        </w:rPr>
      </w:pPr>
      <w:r w:rsidRPr="00F830A6">
        <w:rPr>
          <w:rStyle w:val="FootnoteReference"/>
          <w:color w:val="auto"/>
        </w:rPr>
        <w:footnoteRef/>
      </w:r>
      <w:r w:rsidRPr="00F830A6">
        <w:rPr>
          <w:color w:val="auto"/>
          <w:lang w:val="es-US"/>
        </w:rPr>
        <w:t xml:space="preserve"> Corte IDH. </w:t>
      </w:r>
      <w:r w:rsidRPr="00F830A6">
        <w:rPr>
          <w:i/>
          <w:color w:val="auto"/>
          <w:lang w:val="es-US"/>
        </w:rPr>
        <w:t>Caso Amrhein y otros Vs. Costa Rica</w:t>
      </w:r>
      <w:r w:rsidRPr="00F830A6">
        <w:rPr>
          <w:color w:val="auto"/>
          <w:lang w:val="es-US"/>
        </w:rPr>
        <w:t>. Excepciones Preliminares, Fondo, Reparaciones y Costas. Sentencia de 25 de abril de 2018. Serie C No. 354, párr. 256.</w:t>
      </w:r>
    </w:p>
  </w:footnote>
  <w:footnote w:id="40">
    <w:p w14:paraId="43193D90" w14:textId="77777777" w:rsidR="008073ED" w:rsidRPr="00F830A6" w:rsidRDefault="008073ED" w:rsidP="004D5F55">
      <w:pPr>
        <w:tabs>
          <w:tab w:val="left" w:pos="720"/>
        </w:tabs>
        <w:jc w:val="both"/>
        <w:rPr>
          <w:rFonts w:ascii="Cambria" w:hAnsi="Cambria"/>
          <w:sz w:val="16"/>
          <w:szCs w:val="16"/>
          <w:lang w:val="es-ES_tradnl"/>
        </w:rPr>
      </w:pPr>
      <w:r w:rsidRPr="00F830A6">
        <w:rPr>
          <w:rStyle w:val="FootnoteReference"/>
          <w:rFonts w:ascii="Cambria" w:hAnsi="Cambria"/>
          <w:sz w:val="16"/>
          <w:szCs w:val="16"/>
        </w:rPr>
        <w:footnoteRef/>
      </w:r>
      <w:r w:rsidRPr="00F830A6">
        <w:rPr>
          <w:rFonts w:ascii="Cambria" w:hAnsi="Cambria"/>
          <w:sz w:val="16"/>
          <w:szCs w:val="16"/>
          <w:lang w:val="pt-BR"/>
        </w:rPr>
        <w:t xml:space="preserve"> Corte IDH. </w:t>
      </w:r>
      <w:r w:rsidRPr="00F830A6">
        <w:rPr>
          <w:rFonts w:ascii="Cambria" w:hAnsi="Cambria"/>
          <w:i/>
          <w:sz w:val="16"/>
          <w:szCs w:val="16"/>
          <w:lang w:val="pt-BR"/>
        </w:rPr>
        <w:t xml:space="preserve">Caso Herrera Ulloa Vs. </w:t>
      </w:r>
      <w:r w:rsidRPr="00F830A6">
        <w:rPr>
          <w:rFonts w:ascii="Cambria" w:hAnsi="Cambria"/>
          <w:i/>
          <w:sz w:val="16"/>
          <w:szCs w:val="16"/>
          <w:lang w:val="es-ES_tradnl"/>
        </w:rPr>
        <w:t>Costa Rica</w:t>
      </w:r>
      <w:r w:rsidRPr="00F830A6">
        <w:rPr>
          <w:rFonts w:ascii="Cambria" w:hAnsi="Cambria"/>
          <w:sz w:val="16"/>
          <w:szCs w:val="16"/>
          <w:lang w:val="es-ES_tradnl"/>
        </w:rPr>
        <w:t xml:space="preserve">. Sentencia de Excepciones Preliminares, Fondo, Reparaciones y Costas. 2 de julio de 2004. Serie C No. 107, párr. 165. </w:t>
      </w:r>
      <w:r w:rsidRPr="00F830A6">
        <w:rPr>
          <w:rFonts w:ascii="Cambria" w:hAnsi="Cambria"/>
          <w:i/>
          <w:sz w:val="16"/>
          <w:szCs w:val="16"/>
          <w:lang w:val="es-ES_tradnl"/>
        </w:rPr>
        <w:t xml:space="preserve">   </w:t>
      </w:r>
    </w:p>
  </w:footnote>
  <w:footnote w:id="41">
    <w:p w14:paraId="3A5B9CB2" w14:textId="77777777" w:rsidR="008073ED" w:rsidRPr="00F830A6" w:rsidRDefault="008073ED" w:rsidP="004D5F55">
      <w:pPr>
        <w:pStyle w:val="FootnoteText"/>
        <w:tabs>
          <w:tab w:val="left" w:pos="720"/>
        </w:tabs>
        <w:rPr>
          <w:color w:val="auto"/>
          <w:lang w:val="es-ES_tradnl"/>
        </w:rPr>
      </w:pPr>
      <w:r w:rsidRPr="00F830A6">
        <w:rPr>
          <w:rStyle w:val="FootnoteReference"/>
          <w:color w:val="auto"/>
        </w:rPr>
        <w:footnoteRef/>
      </w:r>
      <w:r w:rsidRPr="00F830A6">
        <w:rPr>
          <w:color w:val="auto"/>
          <w:lang w:val="es-ES_tradnl"/>
        </w:rPr>
        <w:t xml:space="preserve"> ONU. Comité de Derechos Humanos. </w:t>
      </w:r>
      <w:r w:rsidRPr="00F830A6">
        <w:rPr>
          <w:i/>
          <w:color w:val="auto"/>
          <w:lang w:val="es-ES_tradnl"/>
        </w:rPr>
        <w:t xml:space="preserve">Bandajevsky v. Belarús. </w:t>
      </w:r>
      <w:r w:rsidRPr="00F830A6">
        <w:rPr>
          <w:color w:val="auto"/>
          <w:lang w:val="es-ES_tradnl"/>
        </w:rPr>
        <w:t xml:space="preserve">Comunicación No. 1100/202, Decisión de 18 de abril de 2006, párr. </w:t>
      </w:r>
      <w:r w:rsidRPr="00F830A6">
        <w:rPr>
          <w:color w:val="auto"/>
          <w:lang w:val="es-US"/>
        </w:rPr>
        <w:t xml:space="preserve">11.13. Corte IDH. </w:t>
      </w:r>
      <w:r w:rsidRPr="00F830A6">
        <w:rPr>
          <w:i/>
          <w:color w:val="auto"/>
          <w:lang w:val="es-US"/>
        </w:rPr>
        <w:t>Caso Herrera Ulloa Vs. Costa Rica</w:t>
      </w:r>
      <w:r w:rsidRPr="00F830A6">
        <w:rPr>
          <w:color w:val="auto"/>
          <w:lang w:val="es-US"/>
        </w:rPr>
        <w:t xml:space="preserve">. </w:t>
      </w:r>
      <w:r w:rsidRPr="00F830A6">
        <w:rPr>
          <w:color w:val="auto"/>
          <w:lang w:val="es-ES_tradnl"/>
        </w:rPr>
        <w:t xml:space="preserve">Sentencia de Excepciones Preliminares, Fondo, Reparaciones y Costas. 2 de julio de 2004. Serie C No. 107, párr. 158; y </w:t>
      </w:r>
      <w:r w:rsidRPr="00F830A6">
        <w:rPr>
          <w:i/>
          <w:color w:val="auto"/>
          <w:lang w:val="es-ES_tradnl"/>
        </w:rPr>
        <w:t>Caso Mendoza y otros Vs. Argentina</w:t>
      </w:r>
      <w:r w:rsidRPr="00F830A6">
        <w:rPr>
          <w:color w:val="auto"/>
          <w:lang w:val="es-ES_tradnl"/>
        </w:rPr>
        <w:t>. Sentencia de Excepciones Preliminares, Fondo y Reparaciones. 14 de mayo de 2013. Serie C No. 260, párr. 244.</w:t>
      </w:r>
    </w:p>
  </w:footnote>
  <w:footnote w:id="42">
    <w:p w14:paraId="67973B45" w14:textId="77777777" w:rsidR="008073ED" w:rsidRPr="00F830A6" w:rsidRDefault="008073ED" w:rsidP="004D5F55">
      <w:pPr>
        <w:tabs>
          <w:tab w:val="left" w:pos="720"/>
        </w:tabs>
        <w:jc w:val="both"/>
        <w:rPr>
          <w:rFonts w:ascii="Cambria" w:hAnsi="Cambria"/>
          <w:sz w:val="16"/>
          <w:szCs w:val="16"/>
          <w:lang w:val="es-ES_tradnl"/>
        </w:rPr>
      </w:pPr>
      <w:r w:rsidRPr="00F830A6">
        <w:rPr>
          <w:rStyle w:val="FootnoteReference"/>
          <w:rFonts w:ascii="Cambria" w:hAnsi="Cambria"/>
          <w:sz w:val="16"/>
          <w:szCs w:val="16"/>
        </w:rPr>
        <w:footnoteRef/>
      </w:r>
      <w:r w:rsidRPr="00F830A6">
        <w:rPr>
          <w:rFonts w:ascii="Cambria" w:hAnsi="Cambria"/>
          <w:sz w:val="16"/>
          <w:szCs w:val="16"/>
          <w:lang w:val="pt-BR"/>
        </w:rPr>
        <w:t xml:space="preserve"> Corte IDH. </w:t>
      </w:r>
      <w:r w:rsidRPr="00F830A6">
        <w:rPr>
          <w:rFonts w:ascii="Cambria" w:hAnsi="Cambria"/>
          <w:i/>
          <w:sz w:val="16"/>
          <w:szCs w:val="16"/>
          <w:lang w:val="pt-BR"/>
        </w:rPr>
        <w:t xml:space="preserve">Caso Herrera Ulloa Vs. </w:t>
      </w:r>
      <w:r w:rsidRPr="00F830A6">
        <w:rPr>
          <w:rFonts w:ascii="Cambria" w:hAnsi="Cambria"/>
          <w:i/>
          <w:sz w:val="16"/>
          <w:szCs w:val="16"/>
          <w:lang w:val="es-ES_tradnl"/>
        </w:rPr>
        <w:t>Costa Rica</w:t>
      </w:r>
      <w:r w:rsidRPr="00F830A6">
        <w:rPr>
          <w:rFonts w:ascii="Cambria" w:hAnsi="Cambria"/>
          <w:sz w:val="16"/>
          <w:szCs w:val="16"/>
          <w:lang w:val="es-ES_tradnl"/>
        </w:rPr>
        <w:t xml:space="preserve">. Sentencia de Excepciones Preliminares, Fondo, Reparaciones y Costas. 2 de julio de 2004. Serie C No. 107, párr. 161; y </w:t>
      </w:r>
      <w:r w:rsidRPr="00F830A6">
        <w:rPr>
          <w:rFonts w:ascii="Cambria" w:hAnsi="Cambria"/>
          <w:i/>
          <w:sz w:val="16"/>
          <w:szCs w:val="16"/>
          <w:lang w:val="es-ES_tradnl"/>
        </w:rPr>
        <w:t>Caso Mendoza y otros Vs. Argentina</w:t>
      </w:r>
      <w:r w:rsidRPr="00F830A6">
        <w:rPr>
          <w:rFonts w:ascii="Cambria" w:hAnsi="Cambria"/>
          <w:sz w:val="16"/>
          <w:szCs w:val="16"/>
          <w:lang w:val="es-ES_tradnl"/>
        </w:rPr>
        <w:t>. Sentencia de Excepciones Preliminares, Fondo y Reparaciones. 14 de mayo de 2013. Serie C No. 260, párr. 244.</w:t>
      </w:r>
    </w:p>
  </w:footnote>
  <w:footnote w:id="43">
    <w:p w14:paraId="2FC9A168" w14:textId="77777777" w:rsidR="008073ED" w:rsidRPr="00F830A6" w:rsidRDefault="008073ED" w:rsidP="004D5F55">
      <w:pPr>
        <w:pStyle w:val="FootnoteText"/>
        <w:tabs>
          <w:tab w:val="left" w:pos="720"/>
        </w:tabs>
        <w:rPr>
          <w:color w:val="auto"/>
          <w:lang w:val="es-ES_tradnl"/>
        </w:rPr>
      </w:pPr>
      <w:r w:rsidRPr="00F830A6">
        <w:rPr>
          <w:rStyle w:val="FootnoteReference"/>
          <w:color w:val="auto"/>
        </w:rPr>
        <w:footnoteRef/>
      </w:r>
      <w:r w:rsidRPr="00F830A6">
        <w:rPr>
          <w:color w:val="auto"/>
          <w:lang w:val="es-ES_tradnl"/>
        </w:rPr>
        <w:t xml:space="preserve"> </w:t>
      </w:r>
      <w:r w:rsidRPr="00F830A6">
        <w:rPr>
          <w:color w:val="auto"/>
          <w:lang w:val="es-US"/>
        </w:rPr>
        <w:t xml:space="preserve">Corte IDH. </w:t>
      </w:r>
      <w:r w:rsidRPr="00F830A6">
        <w:rPr>
          <w:i/>
          <w:color w:val="auto"/>
          <w:lang w:val="es-US"/>
        </w:rPr>
        <w:t>Caso Amrhein y otros Vs. Costa Rica</w:t>
      </w:r>
      <w:r w:rsidRPr="00F830A6">
        <w:rPr>
          <w:color w:val="auto"/>
          <w:lang w:val="es-US"/>
        </w:rPr>
        <w:t>. Excepciones Preliminares, Fondo, Reparaciones y Costas. Sentencia de 25 de abril de 2018. Serie C No. 354, párr. 257.</w:t>
      </w:r>
    </w:p>
  </w:footnote>
  <w:footnote w:id="44">
    <w:p w14:paraId="6541D65D" w14:textId="77777777" w:rsidR="008073ED" w:rsidRPr="00F830A6" w:rsidRDefault="008073ED" w:rsidP="004D5F55">
      <w:pPr>
        <w:pStyle w:val="FootnoteText"/>
        <w:rPr>
          <w:color w:val="auto"/>
          <w:lang w:val="es-ES_tradnl"/>
        </w:rPr>
      </w:pPr>
      <w:r w:rsidRPr="00F830A6">
        <w:rPr>
          <w:rStyle w:val="FootnoteReference"/>
          <w:color w:val="auto"/>
        </w:rPr>
        <w:footnoteRef/>
      </w:r>
      <w:r w:rsidRPr="00F830A6">
        <w:rPr>
          <w:color w:val="auto"/>
          <w:lang w:val="es-ES_tradnl"/>
        </w:rPr>
        <w:t xml:space="preserve"> CIDH. Informe No. 172/10. Caso 12.561. Fondo. César Alberto Mendoza y otros (Prisión y reclusión perpetuas de adolescentes). Argentina. 2 de noviembre de 2010, párr. 186.</w:t>
      </w:r>
    </w:p>
  </w:footnote>
  <w:footnote w:id="45">
    <w:p w14:paraId="29C9A7D8" w14:textId="77777777" w:rsidR="008073ED" w:rsidRPr="00F830A6" w:rsidRDefault="008073ED" w:rsidP="004D5F55">
      <w:pPr>
        <w:pStyle w:val="FootnoteText"/>
        <w:tabs>
          <w:tab w:val="left" w:pos="720"/>
        </w:tabs>
        <w:rPr>
          <w:color w:val="auto"/>
          <w:lang w:val="es-ES_tradnl"/>
        </w:rPr>
      </w:pPr>
      <w:r w:rsidRPr="00F830A6">
        <w:rPr>
          <w:rStyle w:val="FootnoteReference"/>
          <w:color w:val="auto"/>
        </w:rPr>
        <w:footnoteRef/>
      </w:r>
      <w:r w:rsidRPr="00F830A6">
        <w:rPr>
          <w:color w:val="auto"/>
          <w:lang w:val="es-ES_tradnl"/>
        </w:rPr>
        <w:t xml:space="preserve"> CIDH. Informe No. 55/97. Caso 11.137. Fondo. Juan Carlos Abella. Argentina. 18 de noviembre de 1997, párrs. 261-262. CIDH. Informe No. 33/14. Caso 12.820. Fondo. Manfred Amrhein y otros. Costa Rica. 4 de abril de 2014, párr. 190.</w:t>
      </w:r>
    </w:p>
  </w:footnote>
  <w:footnote w:id="46">
    <w:p w14:paraId="3838DF30" w14:textId="77777777" w:rsidR="008073ED" w:rsidRPr="00F830A6" w:rsidRDefault="008073ED" w:rsidP="004D5F55">
      <w:pPr>
        <w:pStyle w:val="FootnoteText"/>
        <w:tabs>
          <w:tab w:val="left" w:pos="720"/>
        </w:tabs>
        <w:rPr>
          <w:rFonts w:cs="Times-Roman"/>
          <w:i/>
          <w:color w:val="auto"/>
          <w:lang w:val="es-ES_tradnl" w:bidi="en-US"/>
        </w:rPr>
      </w:pPr>
      <w:r w:rsidRPr="00F830A6">
        <w:rPr>
          <w:rStyle w:val="FootnoteReference"/>
          <w:color w:val="auto"/>
        </w:rPr>
        <w:footnoteRef/>
      </w:r>
      <w:r w:rsidRPr="00F830A6">
        <w:rPr>
          <w:color w:val="auto"/>
          <w:lang w:val="es-ES_tradnl"/>
        </w:rPr>
        <w:t xml:space="preserve"> ONU. Comité de Derechos Humanos. </w:t>
      </w:r>
      <w:r w:rsidRPr="00F830A6">
        <w:rPr>
          <w:rFonts w:cs="Times-Roman"/>
          <w:color w:val="auto"/>
          <w:lang w:val="es-ES_tradnl" w:bidi="en-US"/>
        </w:rPr>
        <w:t xml:space="preserve">Aliboev v. Tajikistan, Comunicación No. 985/2001, 18 de octubre de 2005; y </w:t>
      </w:r>
      <w:r w:rsidRPr="00F830A6">
        <w:rPr>
          <w:rFonts w:cs="Times-Roman"/>
          <w:i/>
          <w:color w:val="auto"/>
          <w:lang w:val="es-ES_tradnl" w:bidi="en-US"/>
        </w:rPr>
        <w:t>Khalilov v. Tajikistan</w:t>
      </w:r>
      <w:r w:rsidRPr="00F830A6">
        <w:rPr>
          <w:rFonts w:cs="Times-Roman"/>
          <w:color w:val="auto"/>
          <w:lang w:val="es-ES_tradnl" w:bidi="en-US"/>
        </w:rPr>
        <w:t>, Comunicación No. 973/2001, 30 de marzo de 2005.</w:t>
      </w:r>
    </w:p>
  </w:footnote>
  <w:footnote w:id="47">
    <w:p w14:paraId="78D7067B" w14:textId="77777777" w:rsidR="008073ED" w:rsidRPr="00F830A6" w:rsidRDefault="008073ED" w:rsidP="004D5F55">
      <w:pPr>
        <w:pStyle w:val="FootnoteText"/>
        <w:rPr>
          <w:color w:val="auto"/>
          <w:lang w:val="es-ES_tradnl"/>
        </w:rPr>
      </w:pPr>
      <w:r w:rsidRPr="00F830A6">
        <w:rPr>
          <w:rStyle w:val="FootnoteReference"/>
          <w:color w:val="auto"/>
        </w:rPr>
        <w:footnoteRef/>
      </w:r>
      <w:r w:rsidRPr="00F830A6">
        <w:rPr>
          <w:color w:val="auto"/>
          <w:lang w:val="es-ES_tradnl"/>
        </w:rPr>
        <w:t xml:space="preserve"> CIDH. Informe No. 172/10. Caso 12.561. Fondo. César Alberto Mendoza y otros (Prisión y reclusión perpetuas de adolescentes). Argentina. 2 de noviembre de 2010, párr. 189.</w:t>
      </w:r>
    </w:p>
  </w:footnote>
  <w:footnote w:id="48">
    <w:p w14:paraId="6C2098EA" w14:textId="77777777" w:rsidR="008073ED" w:rsidRPr="00F830A6" w:rsidRDefault="008073ED" w:rsidP="004D5F55">
      <w:pPr>
        <w:jc w:val="both"/>
        <w:rPr>
          <w:rFonts w:ascii="Cambria" w:hAnsi="Cambria"/>
          <w:sz w:val="16"/>
          <w:szCs w:val="16"/>
          <w:lang w:val="es-ES_tradnl"/>
        </w:rPr>
      </w:pPr>
      <w:r w:rsidRPr="00F830A6">
        <w:rPr>
          <w:rStyle w:val="FootnoteReference"/>
          <w:rFonts w:ascii="Cambria" w:hAnsi="Cambria"/>
          <w:sz w:val="16"/>
          <w:szCs w:val="16"/>
        </w:rPr>
        <w:footnoteRef/>
      </w:r>
      <w:r w:rsidRPr="00F830A6">
        <w:rPr>
          <w:rFonts w:ascii="Cambria" w:hAnsi="Cambria"/>
          <w:sz w:val="16"/>
          <w:szCs w:val="16"/>
          <w:lang w:val="pt-BR"/>
        </w:rPr>
        <w:t xml:space="preserve"> Corte IDH. </w:t>
      </w:r>
      <w:r w:rsidRPr="00F830A6">
        <w:rPr>
          <w:rFonts w:ascii="Cambria" w:hAnsi="Cambria"/>
          <w:i/>
          <w:sz w:val="16"/>
          <w:szCs w:val="16"/>
          <w:lang w:val="pt-BR"/>
        </w:rPr>
        <w:t xml:space="preserve">Caso Fermín Ramírez Vs. </w:t>
      </w:r>
      <w:r w:rsidRPr="00F830A6">
        <w:rPr>
          <w:rFonts w:ascii="Cambria" w:hAnsi="Cambria"/>
          <w:i/>
          <w:sz w:val="16"/>
          <w:szCs w:val="16"/>
          <w:lang w:val="es-ES_tradnl"/>
        </w:rPr>
        <w:t>Guatemala</w:t>
      </w:r>
      <w:r w:rsidRPr="00F830A6">
        <w:rPr>
          <w:rFonts w:ascii="Cambria" w:hAnsi="Cambria"/>
          <w:sz w:val="16"/>
          <w:szCs w:val="16"/>
          <w:lang w:val="es-ES_tradnl"/>
        </w:rPr>
        <w:t>. Sentencia de Fondo, Reparaciones y Costas. 20 de junio de 2005. Serie C No. 126, párr. 66.</w:t>
      </w:r>
    </w:p>
  </w:footnote>
  <w:footnote w:id="49">
    <w:p w14:paraId="39972924" w14:textId="77777777" w:rsidR="008073ED" w:rsidRPr="00F830A6" w:rsidRDefault="008073ED" w:rsidP="004D5F55">
      <w:pPr>
        <w:pStyle w:val="FootnoteText"/>
        <w:rPr>
          <w:color w:val="auto"/>
          <w:lang w:val="es-ES_tradnl"/>
        </w:rPr>
      </w:pPr>
      <w:r w:rsidRPr="00F830A6">
        <w:rPr>
          <w:rStyle w:val="FootnoteReference"/>
          <w:color w:val="auto"/>
        </w:rPr>
        <w:footnoteRef/>
      </w:r>
      <w:r w:rsidRPr="00F830A6">
        <w:rPr>
          <w:color w:val="auto"/>
          <w:lang w:val="es-ES_tradnl"/>
        </w:rPr>
        <w:t xml:space="preserve"> Corte IDH. </w:t>
      </w:r>
      <w:r w:rsidRPr="00F830A6">
        <w:rPr>
          <w:i/>
          <w:color w:val="auto"/>
          <w:lang w:val="es-ES_tradnl"/>
        </w:rPr>
        <w:t>Caso Mendoza y otros Vs. Argentina</w:t>
      </w:r>
      <w:r w:rsidRPr="00F830A6">
        <w:rPr>
          <w:color w:val="auto"/>
          <w:lang w:val="es-ES_tradnl"/>
        </w:rPr>
        <w:t>. Sentencia de Excepciones Preliminares, Fondo y Reparaciones. 14 de mayo de 2013. Serie C No. 260, párr. 245.</w:t>
      </w:r>
    </w:p>
  </w:footnote>
  <w:footnote w:id="50">
    <w:p w14:paraId="771225B6" w14:textId="77777777" w:rsidR="008073ED" w:rsidRPr="00F830A6" w:rsidRDefault="008073ED" w:rsidP="004D5F55">
      <w:pPr>
        <w:pStyle w:val="FootnoteText"/>
        <w:rPr>
          <w:color w:val="auto"/>
          <w:lang w:val="es-ES_tradnl"/>
        </w:rPr>
      </w:pPr>
      <w:r w:rsidRPr="00F830A6">
        <w:rPr>
          <w:rStyle w:val="FootnoteReference"/>
          <w:color w:val="auto"/>
        </w:rPr>
        <w:footnoteRef/>
      </w:r>
      <w:r w:rsidRPr="00F830A6">
        <w:rPr>
          <w:color w:val="auto"/>
          <w:lang w:val="pt-BR"/>
        </w:rPr>
        <w:t xml:space="preserve"> Corte IDH. </w:t>
      </w:r>
      <w:r w:rsidRPr="00F830A6">
        <w:rPr>
          <w:bCs/>
          <w:i/>
          <w:color w:val="auto"/>
          <w:lang w:val="pt-BR"/>
        </w:rPr>
        <w:t xml:space="preserve">Caso Mohamed Vs. </w:t>
      </w:r>
      <w:r w:rsidRPr="00F830A6">
        <w:rPr>
          <w:bCs/>
          <w:i/>
          <w:color w:val="auto"/>
          <w:lang w:val="es-ES_tradnl"/>
        </w:rPr>
        <w:t xml:space="preserve">Argentina. </w:t>
      </w:r>
      <w:r w:rsidRPr="00F830A6">
        <w:rPr>
          <w:bCs/>
          <w:color w:val="auto"/>
          <w:lang w:val="es-ES_tradnl"/>
        </w:rPr>
        <w:t>Sentencia de Excepción Preliminar, Fondo, Reparaciones y Costas. 23 de noviembre de 2012. Serie C No. 255,</w:t>
      </w:r>
      <w:r w:rsidRPr="00F830A6">
        <w:rPr>
          <w:bCs/>
          <w:i/>
          <w:color w:val="auto"/>
          <w:lang w:val="es-ES_tradnl"/>
        </w:rPr>
        <w:t xml:space="preserve"> </w:t>
      </w:r>
      <w:r w:rsidRPr="00F830A6">
        <w:rPr>
          <w:color w:val="auto"/>
          <w:lang w:val="es-ES_tradnl"/>
        </w:rPr>
        <w:t xml:space="preserve">párr. 100; y </w:t>
      </w:r>
      <w:r w:rsidRPr="00F830A6">
        <w:rPr>
          <w:i/>
          <w:color w:val="auto"/>
          <w:lang w:val="es-ES_tradnl"/>
        </w:rPr>
        <w:t>Caso Mendoza y otros Vs. Argentina</w:t>
      </w:r>
      <w:r w:rsidRPr="00F830A6">
        <w:rPr>
          <w:color w:val="auto"/>
          <w:lang w:val="es-ES_tradnl"/>
        </w:rPr>
        <w:t>. Sentencia de Excepciones Preliminares, Fondo y Reparaciones. 14 de mayo de 2013. Serie C No. 260, párr. 245.</w:t>
      </w:r>
    </w:p>
  </w:footnote>
  <w:footnote w:id="51">
    <w:p w14:paraId="0E3DBCF1" w14:textId="77777777" w:rsidR="008073ED" w:rsidRPr="00F830A6" w:rsidRDefault="008073ED" w:rsidP="004D5F55">
      <w:pPr>
        <w:pStyle w:val="FootnoteText"/>
        <w:rPr>
          <w:color w:val="auto"/>
          <w:lang w:val="es-ES_tradnl"/>
        </w:rPr>
      </w:pPr>
      <w:r w:rsidRPr="00F830A6">
        <w:rPr>
          <w:rStyle w:val="FootnoteReference"/>
          <w:color w:val="auto"/>
        </w:rPr>
        <w:footnoteRef/>
      </w:r>
      <w:r w:rsidRPr="00F830A6">
        <w:rPr>
          <w:color w:val="auto"/>
          <w:lang w:val="pt-BR"/>
        </w:rPr>
        <w:t xml:space="preserve"> Corte IDH. </w:t>
      </w:r>
      <w:r w:rsidRPr="00F830A6">
        <w:rPr>
          <w:bCs/>
          <w:i/>
          <w:color w:val="auto"/>
          <w:lang w:val="pt-BR"/>
        </w:rPr>
        <w:t xml:space="preserve">Caso Mohamed Vs. </w:t>
      </w:r>
      <w:r w:rsidRPr="00F830A6">
        <w:rPr>
          <w:bCs/>
          <w:i/>
          <w:color w:val="auto"/>
          <w:lang w:val="es-ES_tradnl"/>
        </w:rPr>
        <w:t xml:space="preserve">Argentina. </w:t>
      </w:r>
      <w:r w:rsidRPr="00F830A6">
        <w:rPr>
          <w:bCs/>
          <w:color w:val="auto"/>
          <w:lang w:val="es-ES_tradnl"/>
        </w:rPr>
        <w:t>Sentencia de Excepción Preliminar, Fondo, Reparaciones y Costas. 23 de noviembre de 2012. Serie C No. 255,</w:t>
      </w:r>
      <w:r w:rsidRPr="00F830A6">
        <w:rPr>
          <w:bCs/>
          <w:i/>
          <w:color w:val="auto"/>
          <w:lang w:val="es-ES_tradnl"/>
        </w:rPr>
        <w:t xml:space="preserve"> </w:t>
      </w:r>
      <w:r w:rsidRPr="00F830A6">
        <w:rPr>
          <w:color w:val="auto"/>
          <w:lang w:val="es-ES_tradnl"/>
        </w:rPr>
        <w:t xml:space="preserve">párr. 101; y </w:t>
      </w:r>
      <w:r w:rsidRPr="00F830A6">
        <w:rPr>
          <w:i/>
          <w:color w:val="auto"/>
          <w:lang w:val="es-ES_tradnl"/>
        </w:rPr>
        <w:t>Caso Mendoza y otros Vs. Argentina</w:t>
      </w:r>
      <w:r w:rsidRPr="00F830A6">
        <w:rPr>
          <w:color w:val="auto"/>
          <w:lang w:val="es-ES_tradnl"/>
        </w:rPr>
        <w:t>. Sentencia de Excepciones Preliminares, Fondo y Reparaciones. 14 de mayo de 2013. Serie C No. 260, párr. 245.</w:t>
      </w:r>
    </w:p>
  </w:footnote>
  <w:footnote w:id="52">
    <w:p w14:paraId="71862CE9" w14:textId="77777777" w:rsidR="008073ED" w:rsidRPr="00F830A6" w:rsidRDefault="008073ED">
      <w:pPr>
        <w:pStyle w:val="FootnoteText"/>
        <w:rPr>
          <w:color w:val="auto"/>
          <w:lang w:val="es-US"/>
        </w:rPr>
      </w:pPr>
      <w:r w:rsidRPr="00F830A6">
        <w:rPr>
          <w:rStyle w:val="FootnoteReference"/>
          <w:color w:val="auto"/>
        </w:rPr>
        <w:footnoteRef/>
      </w:r>
      <w:r w:rsidRPr="00F830A6">
        <w:rPr>
          <w:color w:val="auto"/>
          <w:lang w:val="pt-BR"/>
        </w:rPr>
        <w:t xml:space="preserve"> </w:t>
      </w:r>
      <w:r w:rsidRPr="00F830A6">
        <w:rPr>
          <w:rStyle w:val="Strong"/>
          <w:b w:val="0"/>
          <w:color w:val="auto"/>
          <w:shd w:val="clear" w:color="auto" w:fill="FFFFFF"/>
          <w:lang w:val="pt-BR"/>
        </w:rPr>
        <w:t xml:space="preserve">Corte IDH. </w:t>
      </w:r>
      <w:r w:rsidRPr="00F830A6">
        <w:rPr>
          <w:rStyle w:val="Strong"/>
          <w:b w:val="0"/>
          <w:i/>
          <w:color w:val="auto"/>
          <w:shd w:val="clear" w:color="auto" w:fill="FFFFFF"/>
          <w:lang w:val="pt-BR"/>
        </w:rPr>
        <w:t xml:space="preserve">Caso Barreto Leiva Vs. </w:t>
      </w:r>
      <w:r w:rsidRPr="00F830A6">
        <w:rPr>
          <w:rStyle w:val="Strong"/>
          <w:b w:val="0"/>
          <w:i/>
          <w:color w:val="auto"/>
          <w:shd w:val="clear" w:color="auto" w:fill="FFFFFF"/>
          <w:lang w:val="es-US"/>
        </w:rPr>
        <w:t>Venezuela</w:t>
      </w:r>
      <w:r w:rsidRPr="00F830A6">
        <w:rPr>
          <w:rStyle w:val="Strong"/>
          <w:b w:val="0"/>
          <w:color w:val="auto"/>
          <w:shd w:val="clear" w:color="auto" w:fill="FFFFFF"/>
          <w:lang w:val="es-US"/>
        </w:rPr>
        <w:t>. Fondo, Reparaciones y Costas. Sentencia de 17 de noviembre de 2009. Serie C No. 206, párr. 86.</w:t>
      </w:r>
    </w:p>
  </w:footnote>
  <w:footnote w:id="53">
    <w:p w14:paraId="4375CBCC" w14:textId="77777777" w:rsidR="008073ED" w:rsidRPr="004C42F4" w:rsidRDefault="008073ED">
      <w:pPr>
        <w:pStyle w:val="FootnoteText"/>
        <w:rPr>
          <w:lang w:val="es-ES_tradnl"/>
        </w:rPr>
      </w:pPr>
      <w:r>
        <w:rPr>
          <w:rStyle w:val="FootnoteReference"/>
        </w:rPr>
        <w:footnoteRef/>
      </w:r>
      <w:r w:rsidRPr="0074104D">
        <w:rPr>
          <w:lang w:val="es-US"/>
        </w:rPr>
        <w:t xml:space="preserve"> </w:t>
      </w:r>
      <w:r w:rsidRPr="00194BC5">
        <w:rPr>
          <w:rFonts w:cs="Arial"/>
          <w:color w:val="auto"/>
          <w:shd w:val="clear" w:color="auto" w:fill="FFFFFF"/>
          <w:lang w:val="es-US"/>
        </w:rPr>
        <w:t xml:space="preserve">Corte IDH. </w:t>
      </w:r>
      <w:r w:rsidRPr="004C42F4">
        <w:rPr>
          <w:rFonts w:cs="Arial"/>
          <w:i/>
          <w:color w:val="auto"/>
          <w:shd w:val="clear" w:color="auto" w:fill="FFFFFF"/>
          <w:lang w:val="es-US"/>
        </w:rPr>
        <w:t>Caso Liakat Ali Alibux Vs. Surinam</w:t>
      </w:r>
      <w:r w:rsidRPr="00F830A6">
        <w:rPr>
          <w:rFonts w:cs="Arial"/>
          <w:color w:val="auto"/>
          <w:shd w:val="clear" w:color="auto" w:fill="FFFFFF"/>
          <w:lang w:val="es-US"/>
        </w:rPr>
        <w:t xml:space="preserve">. Excepciones Preliminares, Fondo, Reparaciones y Costas. Sentencia de 30 de enero de 2014. Serie C No. 276. </w:t>
      </w:r>
      <w:r>
        <w:rPr>
          <w:rFonts w:cs="Arial"/>
          <w:color w:val="auto"/>
          <w:shd w:val="clear" w:color="auto" w:fill="FFFFFF"/>
          <w:lang w:val="es-US"/>
        </w:rPr>
        <w:t>Párr. 105.</w:t>
      </w:r>
    </w:p>
  </w:footnote>
  <w:footnote w:id="54">
    <w:p w14:paraId="19183358" w14:textId="77777777" w:rsidR="008073ED" w:rsidRPr="00F830A6" w:rsidRDefault="008073ED" w:rsidP="001762A7">
      <w:pPr>
        <w:pStyle w:val="FootnoteText"/>
        <w:rPr>
          <w:color w:val="auto"/>
          <w:lang w:val="es-US"/>
        </w:rPr>
      </w:pPr>
      <w:r w:rsidRPr="00F830A6">
        <w:rPr>
          <w:rStyle w:val="FootnoteReference"/>
          <w:color w:val="auto"/>
        </w:rPr>
        <w:footnoteRef/>
      </w:r>
      <w:r w:rsidRPr="00194BC5">
        <w:rPr>
          <w:color w:val="auto"/>
          <w:lang w:val="es-US"/>
        </w:rPr>
        <w:t xml:space="preserve"> </w:t>
      </w:r>
      <w:r w:rsidRPr="00194BC5">
        <w:rPr>
          <w:rStyle w:val="Strong"/>
          <w:b w:val="0"/>
          <w:color w:val="auto"/>
          <w:shd w:val="clear" w:color="auto" w:fill="FFFFFF"/>
          <w:lang w:val="es-US"/>
        </w:rPr>
        <w:t xml:space="preserve">Corte IDH. </w:t>
      </w:r>
      <w:r w:rsidRPr="00194BC5">
        <w:rPr>
          <w:rStyle w:val="Strong"/>
          <w:b w:val="0"/>
          <w:i/>
          <w:color w:val="auto"/>
          <w:shd w:val="clear" w:color="auto" w:fill="FFFFFF"/>
          <w:lang w:val="es-US"/>
        </w:rPr>
        <w:t xml:space="preserve">Caso Barreto Leiva Vs. </w:t>
      </w:r>
      <w:r w:rsidRPr="00F830A6">
        <w:rPr>
          <w:rStyle w:val="Strong"/>
          <w:b w:val="0"/>
          <w:i/>
          <w:color w:val="auto"/>
          <w:shd w:val="clear" w:color="auto" w:fill="FFFFFF"/>
          <w:lang w:val="es-US"/>
        </w:rPr>
        <w:t>Venezuela</w:t>
      </w:r>
      <w:r w:rsidRPr="00F830A6">
        <w:rPr>
          <w:rStyle w:val="Strong"/>
          <w:b w:val="0"/>
          <w:color w:val="auto"/>
          <w:shd w:val="clear" w:color="auto" w:fill="FFFFFF"/>
          <w:lang w:val="es-US"/>
        </w:rPr>
        <w:t>. Fondo, Reparaciones y Costas. Sentencia de 17 de noviembre de 2009. Serie C No. 206, párr. 90.</w:t>
      </w:r>
    </w:p>
  </w:footnote>
  <w:footnote w:id="55">
    <w:p w14:paraId="50766F77" w14:textId="77777777" w:rsidR="008073ED" w:rsidRPr="004C42F4" w:rsidRDefault="008073ED">
      <w:pPr>
        <w:pStyle w:val="FootnoteText"/>
        <w:rPr>
          <w:lang w:val="es-ES_tradnl"/>
        </w:rPr>
      </w:pPr>
      <w:r>
        <w:rPr>
          <w:rStyle w:val="FootnoteReference"/>
        </w:rPr>
        <w:footnoteRef/>
      </w:r>
      <w:r w:rsidRPr="0074104D">
        <w:rPr>
          <w:lang w:val="es-US"/>
        </w:rPr>
        <w:t xml:space="preserve"> </w:t>
      </w:r>
      <w:r w:rsidRPr="00194BC5">
        <w:rPr>
          <w:rFonts w:cs="Arial"/>
          <w:color w:val="auto"/>
          <w:shd w:val="clear" w:color="auto" w:fill="FFFFFF"/>
          <w:lang w:val="es-US"/>
        </w:rPr>
        <w:t xml:space="preserve">Corte IDH. </w:t>
      </w:r>
      <w:r w:rsidRPr="004C42F4">
        <w:rPr>
          <w:rFonts w:cs="Arial"/>
          <w:i/>
          <w:color w:val="auto"/>
          <w:shd w:val="clear" w:color="auto" w:fill="FFFFFF"/>
          <w:lang w:val="es-US"/>
        </w:rPr>
        <w:t>Caso Liakat Ali Alibux Vs. Surinam</w:t>
      </w:r>
      <w:r w:rsidRPr="00F830A6">
        <w:rPr>
          <w:rFonts w:cs="Arial"/>
          <w:color w:val="auto"/>
          <w:shd w:val="clear" w:color="auto" w:fill="FFFFFF"/>
          <w:lang w:val="es-US"/>
        </w:rPr>
        <w:t xml:space="preserve">. Excepciones Preliminares, Fondo, Reparaciones y Costas. Sentencia de 30 de enero de 2014. Serie C No. 276. </w:t>
      </w:r>
      <w:r>
        <w:rPr>
          <w:rFonts w:cs="Arial"/>
          <w:color w:val="auto"/>
          <w:shd w:val="clear" w:color="auto" w:fill="FFFFFF"/>
          <w:lang w:val="es-US"/>
        </w:rPr>
        <w:t>Párr. 105.</w:t>
      </w:r>
    </w:p>
  </w:footnote>
  <w:footnote w:id="56">
    <w:p w14:paraId="6A9F006B" w14:textId="77777777" w:rsidR="008073ED" w:rsidRPr="00F830A6" w:rsidRDefault="008073ED">
      <w:pPr>
        <w:pStyle w:val="FootnoteText"/>
        <w:rPr>
          <w:color w:val="auto"/>
          <w:lang w:val="es-US"/>
        </w:rPr>
      </w:pPr>
      <w:r w:rsidRPr="00F830A6">
        <w:rPr>
          <w:rStyle w:val="FootnoteReference"/>
          <w:color w:val="auto"/>
        </w:rPr>
        <w:footnoteRef/>
      </w:r>
      <w:r w:rsidRPr="00194BC5">
        <w:rPr>
          <w:color w:val="auto"/>
          <w:lang w:val="pt-BR"/>
        </w:rPr>
        <w:t xml:space="preserve"> </w:t>
      </w:r>
      <w:r w:rsidRPr="00194BC5">
        <w:rPr>
          <w:rFonts w:cs="Arial"/>
          <w:color w:val="auto"/>
          <w:shd w:val="clear" w:color="auto" w:fill="FFFFFF"/>
          <w:lang w:val="pt-BR"/>
        </w:rPr>
        <w:t xml:space="preserve">Corte IDH. Caso Liakat Ali Alibux Vs. </w:t>
      </w:r>
      <w:r w:rsidRPr="00F830A6">
        <w:rPr>
          <w:rFonts w:cs="Arial"/>
          <w:color w:val="auto"/>
          <w:shd w:val="clear" w:color="auto" w:fill="FFFFFF"/>
          <w:lang w:val="es-US"/>
        </w:rPr>
        <w:t xml:space="preserve">Surinam. Excepciones Preliminares, Fondo, Reparaciones y Costas. Sentencia de 30 de enero de 2014. Serie C No. 276. </w:t>
      </w:r>
      <w:r>
        <w:rPr>
          <w:rFonts w:cs="Arial"/>
          <w:color w:val="auto"/>
          <w:shd w:val="clear" w:color="auto" w:fill="FFFFFF"/>
          <w:lang w:val="es-US"/>
        </w:rPr>
        <w:t>Párr. 98.</w:t>
      </w:r>
    </w:p>
  </w:footnote>
  <w:footnote w:id="57">
    <w:p w14:paraId="70E0010E" w14:textId="77777777" w:rsidR="008073ED" w:rsidRPr="00F830A6" w:rsidRDefault="008073ED" w:rsidP="003E39A1">
      <w:pPr>
        <w:pStyle w:val="FootnoteText"/>
        <w:rPr>
          <w:b/>
          <w:color w:val="auto"/>
          <w:lang w:val="es-US"/>
        </w:rPr>
      </w:pPr>
      <w:r w:rsidRPr="00F830A6">
        <w:rPr>
          <w:rStyle w:val="FootnoteReference"/>
          <w:b/>
          <w:color w:val="auto"/>
        </w:rPr>
        <w:footnoteRef/>
      </w:r>
      <w:r w:rsidRPr="00F830A6">
        <w:rPr>
          <w:b/>
          <w:color w:val="auto"/>
          <w:lang w:val="es-US"/>
        </w:rPr>
        <w:t xml:space="preserve"> </w:t>
      </w:r>
      <w:r w:rsidRPr="00F830A6">
        <w:rPr>
          <w:rStyle w:val="Strong"/>
          <w:b w:val="0"/>
          <w:color w:val="auto"/>
          <w:shd w:val="clear" w:color="auto" w:fill="FFFFFF"/>
          <w:lang w:val="es-US"/>
        </w:rPr>
        <w:t xml:space="preserve">Corte IDH. </w:t>
      </w:r>
      <w:r w:rsidRPr="00F830A6">
        <w:rPr>
          <w:rStyle w:val="Strong"/>
          <w:b w:val="0"/>
          <w:i/>
          <w:color w:val="auto"/>
          <w:shd w:val="clear" w:color="auto" w:fill="FFFFFF"/>
          <w:lang w:val="es-US"/>
        </w:rPr>
        <w:t>Caso Amrhein y otros Vs. Costa Rica</w:t>
      </w:r>
      <w:r w:rsidRPr="00F830A6">
        <w:rPr>
          <w:rStyle w:val="Strong"/>
          <w:b w:val="0"/>
          <w:color w:val="auto"/>
          <w:shd w:val="clear" w:color="auto" w:fill="FFFFFF"/>
          <w:lang w:val="es-US"/>
        </w:rPr>
        <w:t>. Excepciones Preliminares, Fondo, Reparaciones y Costas. Sentencia de 25 de abril de 2018. Serie C No. 354, párr. 257.</w:t>
      </w:r>
    </w:p>
  </w:footnote>
  <w:footnote w:id="58">
    <w:p w14:paraId="5C955D69" w14:textId="77777777" w:rsidR="008073ED" w:rsidRPr="00F830A6" w:rsidRDefault="008073ED" w:rsidP="003E39A1">
      <w:pPr>
        <w:tabs>
          <w:tab w:val="left" w:pos="180"/>
          <w:tab w:val="left" w:pos="900"/>
          <w:tab w:val="left" w:pos="1080"/>
        </w:tabs>
        <w:jc w:val="both"/>
        <w:rPr>
          <w:rFonts w:ascii="Cambria" w:hAnsi="Cambria"/>
          <w:sz w:val="16"/>
          <w:szCs w:val="16"/>
          <w:lang w:val="es-CO"/>
        </w:rPr>
      </w:pPr>
      <w:r w:rsidRPr="00F830A6">
        <w:rPr>
          <w:rStyle w:val="FootnoteReference"/>
          <w:rFonts w:ascii="Cambria" w:hAnsi="Cambria"/>
          <w:sz w:val="16"/>
          <w:szCs w:val="16"/>
        </w:rPr>
        <w:footnoteRef/>
      </w:r>
      <w:r w:rsidRPr="00F830A6">
        <w:rPr>
          <w:rFonts w:ascii="Cambria" w:hAnsi="Cambria"/>
          <w:sz w:val="16"/>
          <w:szCs w:val="16"/>
          <w:lang w:val="es-CO"/>
        </w:rPr>
        <w:t xml:space="preserve">Corte IDH. </w:t>
      </w:r>
      <w:r w:rsidRPr="00F830A6">
        <w:rPr>
          <w:rFonts w:ascii="Cambria" w:hAnsi="Cambria"/>
          <w:bCs/>
          <w:i/>
          <w:sz w:val="16"/>
          <w:szCs w:val="16"/>
          <w:lang w:val="es-CO"/>
        </w:rPr>
        <w:t>Caso Trabajadores Cesados del Congreso (Aguado Alfaro y otros) Vs. Perú</w:t>
      </w:r>
      <w:r w:rsidRPr="00F830A6">
        <w:rPr>
          <w:rFonts w:ascii="Cambria" w:hAnsi="Cambria"/>
          <w:bCs/>
          <w:sz w:val="16"/>
          <w:szCs w:val="16"/>
          <w:lang w:val="es-CO"/>
        </w:rPr>
        <w:t xml:space="preserve">. </w:t>
      </w:r>
      <w:r w:rsidRPr="00F830A6">
        <w:rPr>
          <w:rFonts w:ascii="Cambria" w:hAnsi="Cambria"/>
          <w:sz w:val="16"/>
          <w:szCs w:val="16"/>
          <w:lang w:val="es-CO"/>
        </w:rPr>
        <w:t>Sentencia sobre Excepciones Preliminares, Fondo, Reparaciones y Costas. Sentencia de 24 de noviembre de 2006. Serie C No. 158, párr. 125.</w:t>
      </w:r>
    </w:p>
  </w:footnote>
  <w:footnote w:id="59">
    <w:p w14:paraId="692D7190" w14:textId="77777777" w:rsidR="008073ED" w:rsidRPr="00F830A6" w:rsidRDefault="008073ED" w:rsidP="003E39A1">
      <w:pPr>
        <w:pStyle w:val="FootnoteText"/>
        <w:rPr>
          <w:color w:val="auto"/>
          <w:lang w:val="es-ES_tradnl"/>
        </w:rPr>
      </w:pPr>
      <w:r w:rsidRPr="00F830A6">
        <w:rPr>
          <w:rStyle w:val="FootnoteReference"/>
          <w:color w:val="auto"/>
        </w:rPr>
        <w:footnoteRef/>
      </w:r>
      <w:r w:rsidRPr="00F830A6">
        <w:rPr>
          <w:color w:val="auto"/>
          <w:lang w:val="pt-BR"/>
        </w:rPr>
        <w:t xml:space="preserve"> Corte IDH. </w:t>
      </w:r>
      <w:r w:rsidRPr="00F830A6">
        <w:rPr>
          <w:i/>
          <w:color w:val="auto"/>
          <w:lang w:val="pt-BR"/>
        </w:rPr>
        <w:t xml:space="preserve">Herrera Ulloa Vs. </w:t>
      </w:r>
      <w:r w:rsidRPr="00F830A6">
        <w:rPr>
          <w:i/>
          <w:color w:val="auto"/>
          <w:lang w:val="es-ES_tradnl"/>
        </w:rPr>
        <w:t>Costa Rica</w:t>
      </w:r>
      <w:r w:rsidRPr="00F830A6">
        <w:rPr>
          <w:color w:val="auto"/>
          <w:lang w:val="es-ES_tradnl"/>
        </w:rPr>
        <w:t>. Sentencia de Excepciones Preliminares, Fondo, Reparaciones y Costas. 2 de julio de 2004, Serie C No. 107, párr. 171.</w:t>
      </w:r>
    </w:p>
  </w:footnote>
  <w:footnote w:id="60">
    <w:p w14:paraId="0F6A9B26" w14:textId="77777777" w:rsidR="008073ED" w:rsidRPr="00F830A6" w:rsidRDefault="008073ED" w:rsidP="004D5F55">
      <w:pPr>
        <w:pStyle w:val="FootnoteText"/>
        <w:rPr>
          <w:color w:val="auto"/>
          <w:lang w:val="es-VE"/>
        </w:rPr>
      </w:pPr>
      <w:r w:rsidRPr="00F830A6">
        <w:rPr>
          <w:rStyle w:val="FootnoteReference"/>
          <w:color w:val="auto"/>
        </w:rPr>
        <w:footnoteRef/>
      </w:r>
      <w:r w:rsidRPr="00F830A6">
        <w:rPr>
          <w:color w:val="auto"/>
          <w:lang w:val="es-VE"/>
        </w:rPr>
        <w:t xml:space="preserve"> CIDH. Informe No. 103/13. Caso 12.816. Fondo. Adán Guillermo López Lone y otros. Honduras, 5 de noviembre de 2013, párr.136.</w:t>
      </w:r>
    </w:p>
  </w:footnote>
  <w:footnote w:id="61">
    <w:p w14:paraId="07CEC19F" w14:textId="77777777" w:rsidR="008073ED" w:rsidRPr="00F830A6" w:rsidRDefault="008073ED" w:rsidP="003C152A">
      <w:pPr>
        <w:jc w:val="both"/>
        <w:rPr>
          <w:rFonts w:ascii="Cambria" w:hAnsi="Cambria"/>
          <w:sz w:val="16"/>
          <w:szCs w:val="16"/>
          <w:lang w:val="es-VE"/>
        </w:rPr>
      </w:pPr>
      <w:r w:rsidRPr="00F830A6">
        <w:rPr>
          <w:rStyle w:val="FootnoteReference"/>
          <w:rFonts w:ascii="Cambria" w:hAnsi="Cambria"/>
          <w:sz w:val="16"/>
          <w:szCs w:val="16"/>
        </w:rPr>
        <w:footnoteRef/>
      </w:r>
      <w:r w:rsidRPr="00F830A6">
        <w:rPr>
          <w:rFonts w:ascii="Cambria" w:hAnsi="Cambria"/>
          <w:sz w:val="16"/>
          <w:szCs w:val="16"/>
          <w:lang w:val="es-VE"/>
        </w:rPr>
        <w:t xml:space="preserve"> Corte IDH. </w:t>
      </w:r>
      <w:r w:rsidRPr="00F830A6">
        <w:rPr>
          <w:rFonts w:ascii="Cambria" w:hAnsi="Cambria"/>
          <w:bCs/>
          <w:i/>
          <w:sz w:val="16"/>
          <w:szCs w:val="16"/>
          <w:lang w:val="es-VE"/>
        </w:rPr>
        <w:t>Caso Barreto Leiva Vs. Venezuela</w:t>
      </w:r>
      <w:r w:rsidRPr="00F830A6">
        <w:rPr>
          <w:rFonts w:ascii="Cambria" w:hAnsi="Cambria"/>
          <w:bCs/>
          <w:sz w:val="16"/>
          <w:szCs w:val="16"/>
          <w:lang w:val="es-VE"/>
        </w:rPr>
        <w:t>.</w:t>
      </w:r>
      <w:r w:rsidRPr="00F830A6">
        <w:rPr>
          <w:rFonts w:ascii="Cambria" w:hAnsi="Cambria"/>
          <w:b/>
          <w:bCs/>
          <w:sz w:val="16"/>
          <w:szCs w:val="16"/>
          <w:lang w:val="es-VE"/>
        </w:rPr>
        <w:t xml:space="preserve"> </w:t>
      </w:r>
      <w:r w:rsidRPr="00F830A6">
        <w:rPr>
          <w:rFonts w:ascii="Cambria" w:hAnsi="Cambria"/>
          <w:sz w:val="16"/>
          <w:szCs w:val="16"/>
          <w:lang w:val="es-VE"/>
        </w:rPr>
        <w:t xml:space="preserve">Fondo, Reparaciones y Costas. Sentencia de 17 de noviembre de 2009. Serie C No. 206, párr. 29. </w:t>
      </w:r>
    </w:p>
  </w:footnote>
  <w:footnote w:id="62">
    <w:p w14:paraId="21E6A8CF" w14:textId="77777777" w:rsidR="008073ED" w:rsidRPr="00F830A6" w:rsidRDefault="008073ED" w:rsidP="00313D05">
      <w:pPr>
        <w:pStyle w:val="FootnoteText"/>
        <w:rPr>
          <w:color w:val="auto"/>
          <w:lang w:val="es-US"/>
        </w:rPr>
      </w:pPr>
      <w:r w:rsidRPr="00F830A6">
        <w:rPr>
          <w:rStyle w:val="FootnoteReference"/>
          <w:color w:val="auto"/>
        </w:rPr>
        <w:footnoteRef/>
      </w:r>
      <w:r w:rsidRPr="00F830A6">
        <w:rPr>
          <w:color w:val="auto"/>
          <w:lang w:val="es-US"/>
        </w:rPr>
        <w:t xml:space="preserve"> Corte IDH. </w:t>
      </w:r>
      <w:r w:rsidRPr="00F830A6">
        <w:rPr>
          <w:i/>
          <w:color w:val="auto"/>
          <w:lang w:val="es-US"/>
        </w:rPr>
        <w:t>Caso Escher y otros Vs. Brasil</w:t>
      </w:r>
      <w:r w:rsidRPr="00F830A6">
        <w:rPr>
          <w:color w:val="auto"/>
          <w:lang w:val="es-US"/>
        </w:rPr>
        <w:t xml:space="preserve">. Excepciones Preliminares, Fondo, Reparaciones y Costas. Sentencia de 6 de julio de 2009. Serie C No. 200, párr. 114; y </w:t>
      </w:r>
      <w:r w:rsidRPr="00F830A6">
        <w:rPr>
          <w:i/>
          <w:color w:val="auto"/>
          <w:lang w:val="es-US"/>
        </w:rPr>
        <w:t>Caso Tristán Donoso Vs. Panamá</w:t>
      </w:r>
      <w:r w:rsidRPr="00F830A6">
        <w:rPr>
          <w:color w:val="auto"/>
          <w:lang w:val="es-US"/>
        </w:rPr>
        <w:t>. Excepción Preliminar, Fondo, Reparaciones y Costas. Sentencia de 27 de enero de 2009. Serie C No. 193, párr. 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C456" w14:textId="77777777" w:rsidR="008073ED" w:rsidRDefault="008073ED" w:rsidP="00B57C5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48F1C77" w14:textId="77777777" w:rsidR="008073ED" w:rsidRDefault="00807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95CC" w14:textId="77777777" w:rsidR="008073ED" w:rsidRDefault="008073ED" w:rsidP="00A50FCF">
    <w:pPr>
      <w:pStyle w:val="Header"/>
      <w:tabs>
        <w:tab w:val="clear" w:pos="4320"/>
        <w:tab w:val="clear" w:pos="8640"/>
      </w:tabs>
      <w:jc w:val="center"/>
      <w:rPr>
        <w:sz w:val="22"/>
        <w:szCs w:val="22"/>
      </w:rPr>
    </w:pPr>
    <w:r w:rsidRPr="002F7828">
      <w:rPr>
        <w:noProof/>
        <w:sz w:val="22"/>
        <w:szCs w:val="22"/>
      </w:rPr>
      <w:drawing>
        <wp:inline distT="0" distB="0" distL="0" distR="0" wp14:anchorId="570F589B" wp14:editId="02C719F0">
          <wp:extent cx="1971675" cy="104775"/>
          <wp:effectExtent l="0" t="0" r="0" b="0"/>
          <wp:docPr id="4" name="Picture 3" descr="Description: 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14:paraId="3BC59232" w14:textId="77777777" w:rsidR="008073ED" w:rsidRPr="00EC7D62" w:rsidRDefault="000C52BE" w:rsidP="00A50FCF">
    <w:pPr>
      <w:pStyle w:val="Header"/>
      <w:tabs>
        <w:tab w:val="clear" w:pos="4320"/>
        <w:tab w:val="clear" w:pos="8640"/>
      </w:tabs>
      <w:jc w:val="center"/>
      <w:rPr>
        <w:sz w:val="22"/>
        <w:szCs w:val="22"/>
      </w:rPr>
    </w:pPr>
    <w:r>
      <w:rPr>
        <w:sz w:val="22"/>
        <w:szCs w:val="22"/>
      </w:rPr>
      <w:pict w14:anchorId="2B3AC7A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BA41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3B41881"/>
    <w:multiLevelType w:val="hybridMultilevel"/>
    <w:tmpl w:val="703665B6"/>
    <w:lvl w:ilvl="0" w:tplc="79CC204A">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2A0BA1"/>
    <w:multiLevelType w:val="hybridMultilevel"/>
    <w:tmpl w:val="6D584CA2"/>
    <w:lvl w:ilvl="0" w:tplc="32E00C30">
      <w:start w:val="1"/>
      <w:numFmt w:val="upperRoman"/>
      <w:pStyle w:val="Heading1"/>
      <w:lvlText w:val="%1."/>
      <w:lvlJc w:val="left"/>
      <w:pPr>
        <w:ind w:left="72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5F178C2"/>
    <w:multiLevelType w:val="hybridMultilevel"/>
    <w:tmpl w:val="E82A0F86"/>
    <w:lvl w:ilvl="0" w:tplc="DD6E455C">
      <w:start w:val="1"/>
      <w:numFmt w:val="lowerLetter"/>
      <w:lvlText w:val="(%1)"/>
      <w:lvlJc w:val="left"/>
      <w:pPr>
        <w:tabs>
          <w:tab w:val="num" w:pos="1446"/>
        </w:tabs>
        <w:ind w:left="1446" w:hanging="360"/>
      </w:pPr>
      <w:rPr>
        <w:rFonts w:hint="default"/>
        <w:b w:val="0"/>
      </w:rPr>
    </w:lvl>
    <w:lvl w:ilvl="1" w:tplc="89EA4396">
      <w:start w:val="1"/>
      <w:numFmt w:val="decimal"/>
      <w:lvlText w:val="%2."/>
      <w:lvlJc w:val="left"/>
      <w:pPr>
        <w:tabs>
          <w:tab w:val="num" w:pos="1806"/>
        </w:tabs>
        <w:ind w:left="1086" w:firstLine="720"/>
      </w:pPr>
      <w:rPr>
        <w:rFonts w:hint="default"/>
        <w:b w:val="0"/>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C3360A6"/>
    <w:multiLevelType w:val="multilevel"/>
    <w:tmpl w:val="B3CE7A6E"/>
    <w:lvl w:ilvl="0">
      <w:start w:val="1"/>
      <w:numFmt w:val="decimal"/>
      <w:pStyle w:val="Heading3"/>
      <w:lvlText w:val="%1."/>
      <w:lvlJc w:val="left"/>
      <w:pPr>
        <w:ind w:left="720" w:hanging="360"/>
      </w:pPr>
      <w:rPr>
        <w:rFonts w:ascii="Cambria" w:hAnsi="Cambria" w:hint="default"/>
        <w:b/>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D7D4B9D"/>
    <w:multiLevelType w:val="hybridMultilevel"/>
    <w:tmpl w:val="568EE572"/>
    <w:lvl w:ilvl="0" w:tplc="FDB23628">
      <w:start w:val="1"/>
      <w:numFmt w:val="decimal"/>
      <w:pStyle w:val="parrafos"/>
      <w:lvlText w:val="%1."/>
      <w:lvlJc w:val="left"/>
      <w:pPr>
        <w:ind w:left="360" w:hanging="360"/>
      </w:pPr>
      <w:rPr>
        <w:rFonts w:ascii="Cambria" w:hAnsi="Cambria" w:hint="default"/>
        <w:b w:val="0"/>
        <w:i w:val="0"/>
        <w:color w:val="auto"/>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BE5583"/>
    <w:multiLevelType w:val="hybridMultilevel"/>
    <w:tmpl w:val="A496793E"/>
    <w:lvl w:ilvl="0" w:tplc="BF8AC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08652469">
    <w:abstractNumId w:val="4"/>
  </w:num>
  <w:num w:numId="2" w16cid:durableId="374044026">
    <w:abstractNumId w:val="5"/>
  </w:num>
  <w:num w:numId="3" w16cid:durableId="23292271">
    <w:abstractNumId w:val="53"/>
  </w:num>
  <w:num w:numId="4" w16cid:durableId="1814060991">
    <w:abstractNumId w:val="21"/>
  </w:num>
  <w:num w:numId="5" w16cid:durableId="1593853797">
    <w:abstractNumId w:val="48"/>
  </w:num>
  <w:num w:numId="6" w16cid:durableId="1192646327">
    <w:abstractNumId w:val="27"/>
  </w:num>
  <w:num w:numId="7" w16cid:durableId="1133014100">
    <w:abstractNumId w:val="7"/>
  </w:num>
  <w:num w:numId="8" w16cid:durableId="394205060">
    <w:abstractNumId w:val="17"/>
  </w:num>
  <w:num w:numId="9" w16cid:durableId="597910651">
    <w:abstractNumId w:val="42"/>
  </w:num>
  <w:num w:numId="10" w16cid:durableId="973946490">
    <w:abstractNumId w:val="1"/>
  </w:num>
  <w:num w:numId="11" w16cid:durableId="1970282041">
    <w:abstractNumId w:val="37"/>
  </w:num>
  <w:num w:numId="12" w16cid:durableId="1918972595">
    <w:abstractNumId w:val="38"/>
  </w:num>
  <w:num w:numId="13" w16cid:durableId="2028629121">
    <w:abstractNumId w:val="43"/>
  </w:num>
  <w:num w:numId="14" w16cid:durableId="762725006">
    <w:abstractNumId w:val="2"/>
  </w:num>
  <w:num w:numId="15" w16cid:durableId="1258515037">
    <w:abstractNumId w:val="3"/>
  </w:num>
  <w:num w:numId="16" w16cid:durableId="1355568511">
    <w:abstractNumId w:val="8"/>
  </w:num>
  <w:num w:numId="17" w16cid:durableId="1961105340">
    <w:abstractNumId w:val="9"/>
  </w:num>
  <w:num w:numId="18" w16cid:durableId="1568370983">
    <w:abstractNumId w:val="10"/>
  </w:num>
  <w:num w:numId="19" w16cid:durableId="1941447272">
    <w:abstractNumId w:val="11"/>
  </w:num>
  <w:num w:numId="20" w16cid:durableId="1800761085">
    <w:abstractNumId w:val="12"/>
  </w:num>
  <w:num w:numId="21" w16cid:durableId="1939603984">
    <w:abstractNumId w:val="13"/>
  </w:num>
  <w:num w:numId="22" w16cid:durableId="735199849">
    <w:abstractNumId w:val="14"/>
  </w:num>
  <w:num w:numId="23" w16cid:durableId="1400594662">
    <w:abstractNumId w:val="15"/>
  </w:num>
  <w:num w:numId="24" w16cid:durableId="1188758552">
    <w:abstractNumId w:val="16"/>
  </w:num>
  <w:num w:numId="25" w16cid:durableId="2137987380">
    <w:abstractNumId w:val="18"/>
  </w:num>
  <w:num w:numId="26" w16cid:durableId="1369262560">
    <w:abstractNumId w:val="19"/>
  </w:num>
  <w:num w:numId="27" w16cid:durableId="1984046365">
    <w:abstractNumId w:val="22"/>
  </w:num>
  <w:num w:numId="28" w16cid:durableId="2126196182">
    <w:abstractNumId w:val="23"/>
  </w:num>
  <w:num w:numId="29" w16cid:durableId="248657599">
    <w:abstractNumId w:val="24"/>
  </w:num>
  <w:num w:numId="30" w16cid:durableId="148593471">
    <w:abstractNumId w:val="26"/>
  </w:num>
  <w:num w:numId="31" w16cid:durableId="492336359">
    <w:abstractNumId w:val="28"/>
  </w:num>
  <w:num w:numId="32" w16cid:durableId="599261193">
    <w:abstractNumId w:val="29"/>
  </w:num>
  <w:num w:numId="33" w16cid:durableId="2095128753">
    <w:abstractNumId w:val="30"/>
  </w:num>
  <w:num w:numId="34" w16cid:durableId="987201139">
    <w:abstractNumId w:val="31"/>
  </w:num>
  <w:num w:numId="35" w16cid:durableId="1416123883">
    <w:abstractNumId w:val="32"/>
  </w:num>
  <w:num w:numId="36" w16cid:durableId="2031835137">
    <w:abstractNumId w:val="34"/>
  </w:num>
  <w:num w:numId="37" w16cid:durableId="1402868882">
    <w:abstractNumId w:val="35"/>
  </w:num>
  <w:num w:numId="38" w16cid:durableId="2106224448">
    <w:abstractNumId w:val="36"/>
  </w:num>
  <w:num w:numId="39" w16cid:durableId="1951279126">
    <w:abstractNumId w:val="39"/>
  </w:num>
  <w:num w:numId="40" w16cid:durableId="1754165186">
    <w:abstractNumId w:val="40"/>
  </w:num>
  <w:num w:numId="41" w16cid:durableId="1509174483">
    <w:abstractNumId w:val="47"/>
  </w:num>
  <w:num w:numId="42" w16cid:durableId="1211498634">
    <w:abstractNumId w:val="49"/>
  </w:num>
  <w:num w:numId="43" w16cid:durableId="796333587">
    <w:abstractNumId w:val="50"/>
  </w:num>
  <w:num w:numId="44" w16cid:durableId="648634895">
    <w:abstractNumId w:val="51"/>
  </w:num>
  <w:num w:numId="45" w16cid:durableId="1436750502">
    <w:abstractNumId w:val="52"/>
  </w:num>
  <w:num w:numId="46" w16cid:durableId="228270646">
    <w:abstractNumId w:val="54"/>
  </w:num>
  <w:num w:numId="47" w16cid:durableId="1949199579">
    <w:abstractNumId w:val="55"/>
  </w:num>
  <w:num w:numId="48" w16cid:durableId="590159854">
    <w:abstractNumId w:val="56"/>
  </w:num>
  <w:num w:numId="49" w16cid:durableId="1041900001">
    <w:abstractNumId w:val="58"/>
  </w:num>
  <w:num w:numId="50" w16cid:durableId="1852599988">
    <w:abstractNumId w:val="59"/>
  </w:num>
  <w:num w:numId="51" w16cid:durableId="17003564">
    <w:abstractNumId w:val="20"/>
  </w:num>
  <w:num w:numId="52" w16cid:durableId="1009142535">
    <w:abstractNumId w:val="41"/>
  </w:num>
  <w:num w:numId="53" w16cid:durableId="14112961">
    <w:abstractNumId w:val="44"/>
  </w:num>
  <w:num w:numId="54" w16cid:durableId="232665445">
    <w:abstractNumId w:val="25"/>
  </w:num>
  <w:num w:numId="55" w16cid:durableId="407843531">
    <w:abstractNumId w:val="46"/>
  </w:num>
  <w:num w:numId="56" w16cid:durableId="1522016494">
    <w:abstractNumId w:val="45"/>
  </w:num>
  <w:num w:numId="57" w16cid:durableId="1105078373">
    <w:abstractNumId w:val="33"/>
  </w:num>
  <w:num w:numId="58" w16cid:durableId="665746308">
    <w:abstractNumId w:val="6"/>
  </w:num>
  <w:num w:numId="59" w16cid:durableId="721636446">
    <w:abstractNumId w:val="57"/>
  </w:num>
  <w:num w:numId="60" w16cid:durableId="588853745">
    <w:abstractNumId w:val="6"/>
    <w:lvlOverride w:ilvl="0">
      <w:startOverride w:val="1"/>
    </w:lvlOverride>
  </w:num>
  <w:num w:numId="61" w16cid:durableId="1775976574">
    <w:abstractNumId w:val="46"/>
  </w:num>
  <w:num w:numId="62" w16cid:durableId="1106268527">
    <w:abstractNumId w:val="0"/>
  </w:num>
  <w:num w:numId="63" w16cid:durableId="1745832702">
    <w:abstractNumId w:val="46"/>
  </w:num>
  <w:num w:numId="64" w16cid:durableId="1219392048">
    <w:abstractNumId w:val="46"/>
  </w:num>
  <w:num w:numId="65" w16cid:durableId="368527405">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1741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896"/>
    <w:rsid w:val="00006E1F"/>
    <w:rsid w:val="000070D7"/>
    <w:rsid w:val="00007ADC"/>
    <w:rsid w:val="000158FD"/>
    <w:rsid w:val="0001688D"/>
    <w:rsid w:val="0001788C"/>
    <w:rsid w:val="0002133D"/>
    <w:rsid w:val="000220D5"/>
    <w:rsid w:val="00027A6B"/>
    <w:rsid w:val="00032214"/>
    <w:rsid w:val="00040C3A"/>
    <w:rsid w:val="00043BDA"/>
    <w:rsid w:val="00044112"/>
    <w:rsid w:val="00054BE4"/>
    <w:rsid w:val="00056723"/>
    <w:rsid w:val="00057B30"/>
    <w:rsid w:val="00061B7B"/>
    <w:rsid w:val="0006565A"/>
    <w:rsid w:val="00067A5D"/>
    <w:rsid w:val="000716C5"/>
    <w:rsid w:val="00075E23"/>
    <w:rsid w:val="000830D5"/>
    <w:rsid w:val="00084A3B"/>
    <w:rsid w:val="0008768F"/>
    <w:rsid w:val="00090808"/>
    <w:rsid w:val="0009344A"/>
    <w:rsid w:val="0009791F"/>
    <w:rsid w:val="000A392E"/>
    <w:rsid w:val="000A39E4"/>
    <w:rsid w:val="000A575F"/>
    <w:rsid w:val="000A576A"/>
    <w:rsid w:val="000B7F13"/>
    <w:rsid w:val="000C1672"/>
    <w:rsid w:val="000C52BE"/>
    <w:rsid w:val="000D10DB"/>
    <w:rsid w:val="000E0C8F"/>
    <w:rsid w:val="000E5EB5"/>
    <w:rsid w:val="000F35ED"/>
    <w:rsid w:val="00105380"/>
    <w:rsid w:val="00107131"/>
    <w:rsid w:val="0010736F"/>
    <w:rsid w:val="001139F9"/>
    <w:rsid w:val="00113F73"/>
    <w:rsid w:val="0011700C"/>
    <w:rsid w:val="00121368"/>
    <w:rsid w:val="00121CC2"/>
    <w:rsid w:val="00127811"/>
    <w:rsid w:val="00133EE5"/>
    <w:rsid w:val="00145DAD"/>
    <w:rsid w:val="00147354"/>
    <w:rsid w:val="00147D59"/>
    <w:rsid w:val="00150A5B"/>
    <w:rsid w:val="00155939"/>
    <w:rsid w:val="00156E03"/>
    <w:rsid w:val="00161D34"/>
    <w:rsid w:val="00161E6C"/>
    <w:rsid w:val="00166189"/>
    <w:rsid w:val="00167A34"/>
    <w:rsid w:val="001762A7"/>
    <w:rsid w:val="00181F34"/>
    <w:rsid w:val="0018461C"/>
    <w:rsid w:val="00184B8F"/>
    <w:rsid w:val="00194BC5"/>
    <w:rsid w:val="00196795"/>
    <w:rsid w:val="001A3DD4"/>
    <w:rsid w:val="001A4D23"/>
    <w:rsid w:val="001A75F7"/>
    <w:rsid w:val="001A7768"/>
    <w:rsid w:val="001A7870"/>
    <w:rsid w:val="001A7FEE"/>
    <w:rsid w:val="001B5082"/>
    <w:rsid w:val="001B62CA"/>
    <w:rsid w:val="001C103F"/>
    <w:rsid w:val="001C1B41"/>
    <w:rsid w:val="001D18C7"/>
    <w:rsid w:val="001D1D46"/>
    <w:rsid w:val="001D65EF"/>
    <w:rsid w:val="001E00E1"/>
    <w:rsid w:val="001E15B6"/>
    <w:rsid w:val="001E1F35"/>
    <w:rsid w:val="001E4997"/>
    <w:rsid w:val="001F4C34"/>
    <w:rsid w:val="001F555A"/>
    <w:rsid w:val="002002A0"/>
    <w:rsid w:val="00202589"/>
    <w:rsid w:val="00204A54"/>
    <w:rsid w:val="00204B61"/>
    <w:rsid w:val="002121DB"/>
    <w:rsid w:val="00213EDE"/>
    <w:rsid w:val="0022273F"/>
    <w:rsid w:val="002246A3"/>
    <w:rsid w:val="002250A3"/>
    <w:rsid w:val="00235217"/>
    <w:rsid w:val="002406BC"/>
    <w:rsid w:val="002423F4"/>
    <w:rsid w:val="00246D1F"/>
    <w:rsid w:val="00247403"/>
    <w:rsid w:val="00247542"/>
    <w:rsid w:val="00250F70"/>
    <w:rsid w:val="00261A07"/>
    <w:rsid w:val="00261A63"/>
    <w:rsid w:val="00266B61"/>
    <w:rsid w:val="0026712A"/>
    <w:rsid w:val="002704DB"/>
    <w:rsid w:val="00276DF8"/>
    <w:rsid w:val="00277EF9"/>
    <w:rsid w:val="002827DD"/>
    <w:rsid w:val="00286BD4"/>
    <w:rsid w:val="002A0AAE"/>
    <w:rsid w:val="002A323A"/>
    <w:rsid w:val="002A5820"/>
    <w:rsid w:val="002A7ECB"/>
    <w:rsid w:val="002C2CA0"/>
    <w:rsid w:val="002C526D"/>
    <w:rsid w:val="002D2B26"/>
    <w:rsid w:val="002D7EA2"/>
    <w:rsid w:val="002E187C"/>
    <w:rsid w:val="002E1B3D"/>
    <w:rsid w:val="002E4AEA"/>
    <w:rsid w:val="002E6D3A"/>
    <w:rsid w:val="002F7828"/>
    <w:rsid w:val="00302733"/>
    <w:rsid w:val="00303D52"/>
    <w:rsid w:val="00307ABC"/>
    <w:rsid w:val="0031160D"/>
    <w:rsid w:val="00313D05"/>
    <w:rsid w:val="00314078"/>
    <w:rsid w:val="0031535D"/>
    <w:rsid w:val="00322B86"/>
    <w:rsid w:val="003264DD"/>
    <w:rsid w:val="0032742E"/>
    <w:rsid w:val="0033028D"/>
    <w:rsid w:val="0033169F"/>
    <w:rsid w:val="00346C95"/>
    <w:rsid w:val="00356185"/>
    <w:rsid w:val="00357862"/>
    <w:rsid w:val="00360380"/>
    <w:rsid w:val="00361415"/>
    <w:rsid w:val="0036232B"/>
    <w:rsid w:val="00365872"/>
    <w:rsid w:val="00372BCB"/>
    <w:rsid w:val="0037519E"/>
    <w:rsid w:val="003823CD"/>
    <w:rsid w:val="00386CF0"/>
    <w:rsid w:val="00390587"/>
    <w:rsid w:val="00390AE8"/>
    <w:rsid w:val="0039581A"/>
    <w:rsid w:val="003A5695"/>
    <w:rsid w:val="003A62D3"/>
    <w:rsid w:val="003A6C5F"/>
    <w:rsid w:val="003B1D16"/>
    <w:rsid w:val="003B23CB"/>
    <w:rsid w:val="003B4790"/>
    <w:rsid w:val="003B4AC5"/>
    <w:rsid w:val="003B71F9"/>
    <w:rsid w:val="003C053F"/>
    <w:rsid w:val="003C152A"/>
    <w:rsid w:val="003C32A4"/>
    <w:rsid w:val="003C3AA4"/>
    <w:rsid w:val="003C676B"/>
    <w:rsid w:val="003D3BC2"/>
    <w:rsid w:val="003D67C7"/>
    <w:rsid w:val="003D7C03"/>
    <w:rsid w:val="003D7F2E"/>
    <w:rsid w:val="003E37D0"/>
    <w:rsid w:val="003E39A1"/>
    <w:rsid w:val="003E432F"/>
    <w:rsid w:val="003E6CA1"/>
    <w:rsid w:val="003E75A9"/>
    <w:rsid w:val="003F1C56"/>
    <w:rsid w:val="003F7F64"/>
    <w:rsid w:val="0040033B"/>
    <w:rsid w:val="00400D11"/>
    <w:rsid w:val="00403C18"/>
    <w:rsid w:val="00404904"/>
    <w:rsid w:val="0040638C"/>
    <w:rsid w:val="00410B93"/>
    <w:rsid w:val="004152DD"/>
    <w:rsid w:val="004165C2"/>
    <w:rsid w:val="0042478D"/>
    <w:rsid w:val="00426114"/>
    <w:rsid w:val="004337A3"/>
    <w:rsid w:val="00434DA4"/>
    <w:rsid w:val="00437655"/>
    <w:rsid w:val="00441ECB"/>
    <w:rsid w:val="0045436E"/>
    <w:rsid w:val="00467B7E"/>
    <w:rsid w:val="00477592"/>
    <w:rsid w:val="00482EC8"/>
    <w:rsid w:val="00486F1C"/>
    <w:rsid w:val="0049419D"/>
    <w:rsid w:val="004A379D"/>
    <w:rsid w:val="004A5B3F"/>
    <w:rsid w:val="004B51A5"/>
    <w:rsid w:val="004C20D2"/>
    <w:rsid w:val="004C42F4"/>
    <w:rsid w:val="004C4B62"/>
    <w:rsid w:val="004C54C9"/>
    <w:rsid w:val="004C790D"/>
    <w:rsid w:val="004D195F"/>
    <w:rsid w:val="004D2720"/>
    <w:rsid w:val="004D5F55"/>
    <w:rsid w:val="004D6025"/>
    <w:rsid w:val="004D6618"/>
    <w:rsid w:val="004E2649"/>
    <w:rsid w:val="004E42A4"/>
    <w:rsid w:val="004F0388"/>
    <w:rsid w:val="004F3FA9"/>
    <w:rsid w:val="004F47A6"/>
    <w:rsid w:val="004F627D"/>
    <w:rsid w:val="004F7053"/>
    <w:rsid w:val="005007CC"/>
    <w:rsid w:val="00501399"/>
    <w:rsid w:val="0050633D"/>
    <w:rsid w:val="00507BC4"/>
    <w:rsid w:val="005128E4"/>
    <w:rsid w:val="005133DB"/>
    <w:rsid w:val="00524F4E"/>
    <w:rsid w:val="00525560"/>
    <w:rsid w:val="00525ABC"/>
    <w:rsid w:val="00526998"/>
    <w:rsid w:val="005314DC"/>
    <w:rsid w:val="0053483C"/>
    <w:rsid w:val="005354F3"/>
    <w:rsid w:val="00536923"/>
    <w:rsid w:val="005430CE"/>
    <w:rsid w:val="00544C49"/>
    <w:rsid w:val="00546B00"/>
    <w:rsid w:val="00546F97"/>
    <w:rsid w:val="005508EB"/>
    <w:rsid w:val="005516A1"/>
    <w:rsid w:val="005572EF"/>
    <w:rsid w:val="005603BF"/>
    <w:rsid w:val="0056310E"/>
    <w:rsid w:val="00565744"/>
    <w:rsid w:val="005709E1"/>
    <w:rsid w:val="0057402A"/>
    <w:rsid w:val="00575C96"/>
    <w:rsid w:val="005771D0"/>
    <w:rsid w:val="0059191A"/>
    <w:rsid w:val="005921FF"/>
    <w:rsid w:val="005937F1"/>
    <w:rsid w:val="00595C07"/>
    <w:rsid w:val="00595C1D"/>
    <w:rsid w:val="00596669"/>
    <w:rsid w:val="00597E05"/>
    <w:rsid w:val="005A3F90"/>
    <w:rsid w:val="005A6D0E"/>
    <w:rsid w:val="005B0A15"/>
    <w:rsid w:val="005B1279"/>
    <w:rsid w:val="005B2258"/>
    <w:rsid w:val="005B52B0"/>
    <w:rsid w:val="005B6806"/>
    <w:rsid w:val="005C4225"/>
    <w:rsid w:val="005C4CA5"/>
    <w:rsid w:val="005C70AF"/>
    <w:rsid w:val="005D0DB1"/>
    <w:rsid w:val="005D658A"/>
    <w:rsid w:val="005F026A"/>
    <w:rsid w:val="005F0DAD"/>
    <w:rsid w:val="005F0F33"/>
    <w:rsid w:val="005F0F59"/>
    <w:rsid w:val="005F2908"/>
    <w:rsid w:val="005F309E"/>
    <w:rsid w:val="005F6EB5"/>
    <w:rsid w:val="00600DEB"/>
    <w:rsid w:val="00604C10"/>
    <w:rsid w:val="00606BBD"/>
    <w:rsid w:val="006078A2"/>
    <w:rsid w:val="006125C3"/>
    <w:rsid w:val="0061467D"/>
    <w:rsid w:val="00621551"/>
    <w:rsid w:val="00623705"/>
    <w:rsid w:val="00626295"/>
    <w:rsid w:val="00627C9F"/>
    <w:rsid w:val="006311E9"/>
    <w:rsid w:val="00632354"/>
    <w:rsid w:val="00640C93"/>
    <w:rsid w:val="00642810"/>
    <w:rsid w:val="00645038"/>
    <w:rsid w:val="00645348"/>
    <w:rsid w:val="00647FCE"/>
    <w:rsid w:val="00652333"/>
    <w:rsid w:val="00654A3C"/>
    <w:rsid w:val="00655490"/>
    <w:rsid w:val="00655B8E"/>
    <w:rsid w:val="00666ABB"/>
    <w:rsid w:val="00674912"/>
    <w:rsid w:val="006763D9"/>
    <w:rsid w:val="00677506"/>
    <w:rsid w:val="0068009E"/>
    <w:rsid w:val="00692219"/>
    <w:rsid w:val="006A17D2"/>
    <w:rsid w:val="006A4B39"/>
    <w:rsid w:val="006A5A8D"/>
    <w:rsid w:val="006A73E6"/>
    <w:rsid w:val="006B2D5C"/>
    <w:rsid w:val="006B352F"/>
    <w:rsid w:val="006B4D40"/>
    <w:rsid w:val="006B5193"/>
    <w:rsid w:val="006B538C"/>
    <w:rsid w:val="006B695A"/>
    <w:rsid w:val="006C1A20"/>
    <w:rsid w:val="006C4EB1"/>
    <w:rsid w:val="006D4AC4"/>
    <w:rsid w:val="006E0166"/>
    <w:rsid w:val="006E1517"/>
    <w:rsid w:val="006E7B34"/>
    <w:rsid w:val="006F2E50"/>
    <w:rsid w:val="006F5EB4"/>
    <w:rsid w:val="0070697F"/>
    <w:rsid w:val="0072199C"/>
    <w:rsid w:val="00722C9F"/>
    <w:rsid w:val="007240AE"/>
    <w:rsid w:val="00725306"/>
    <w:rsid w:val="007253B8"/>
    <w:rsid w:val="00727475"/>
    <w:rsid w:val="00730ABF"/>
    <w:rsid w:val="007345AB"/>
    <w:rsid w:val="00735490"/>
    <w:rsid w:val="007358A6"/>
    <w:rsid w:val="0073631B"/>
    <w:rsid w:val="0073741F"/>
    <w:rsid w:val="0074104D"/>
    <w:rsid w:val="0074595F"/>
    <w:rsid w:val="007514BF"/>
    <w:rsid w:val="0075232C"/>
    <w:rsid w:val="00756A38"/>
    <w:rsid w:val="0076643F"/>
    <w:rsid w:val="00775B56"/>
    <w:rsid w:val="00777F63"/>
    <w:rsid w:val="00793E5A"/>
    <w:rsid w:val="007A5817"/>
    <w:rsid w:val="007B0F5A"/>
    <w:rsid w:val="007B60E9"/>
    <w:rsid w:val="007B6CC3"/>
    <w:rsid w:val="007C0357"/>
    <w:rsid w:val="007C3334"/>
    <w:rsid w:val="007C542D"/>
    <w:rsid w:val="007C6A12"/>
    <w:rsid w:val="007C756A"/>
    <w:rsid w:val="007D2B98"/>
    <w:rsid w:val="007D4D1F"/>
    <w:rsid w:val="007E21BC"/>
    <w:rsid w:val="007F06AF"/>
    <w:rsid w:val="007F7E9A"/>
    <w:rsid w:val="00803F1C"/>
    <w:rsid w:val="0080600E"/>
    <w:rsid w:val="008073ED"/>
    <w:rsid w:val="00813005"/>
    <w:rsid w:val="00815021"/>
    <w:rsid w:val="00817612"/>
    <w:rsid w:val="008217E6"/>
    <w:rsid w:val="008266A7"/>
    <w:rsid w:val="008338A4"/>
    <w:rsid w:val="00835116"/>
    <w:rsid w:val="00837C45"/>
    <w:rsid w:val="00840DF5"/>
    <w:rsid w:val="00844730"/>
    <w:rsid w:val="008457C2"/>
    <w:rsid w:val="0085075F"/>
    <w:rsid w:val="0085225E"/>
    <w:rsid w:val="00857A82"/>
    <w:rsid w:val="00865597"/>
    <w:rsid w:val="008673A2"/>
    <w:rsid w:val="00873836"/>
    <w:rsid w:val="00875561"/>
    <w:rsid w:val="00880252"/>
    <w:rsid w:val="00881522"/>
    <w:rsid w:val="008833C6"/>
    <w:rsid w:val="00885737"/>
    <w:rsid w:val="00890432"/>
    <w:rsid w:val="00890650"/>
    <w:rsid w:val="00897E12"/>
    <w:rsid w:val="008A078F"/>
    <w:rsid w:val="008A6CB6"/>
    <w:rsid w:val="008A7E0F"/>
    <w:rsid w:val="008B12F5"/>
    <w:rsid w:val="008B1C2C"/>
    <w:rsid w:val="008C3098"/>
    <w:rsid w:val="008C7015"/>
    <w:rsid w:val="008D768D"/>
    <w:rsid w:val="008E264E"/>
    <w:rsid w:val="008E2E59"/>
    <w:rsid w:val="008E3759"/>
    <w:rsid w:val="008F081D"/>
    <w:rsid w:val="008F1912"/>
    <w:rsid w:val="008F1B28"/>
    <w:rsid w:val="008F3AD5"/>
    <w:rsid w:val="008F604B"/>
    <w:rsid w:val="009014A4"/>
    <w:rsid w:val="0090270B"/>
    <w:rsid w:val="009041DC"/>
    <w:rsid w:val="009045D3"/>
    <w:rsid w:val="00910791"/>
    <w:rsid w:val="009113FE"/>
    <w:rsid w:val="00914740"/>
    <w:rsid w:val="00916B79"/>
    <w:rsid w:val="009177B4"/>
    <w:rsid w:val="00917B5A"/>
    <w:rsid w:val="00920A58"/>
    <w:rsid w:val="00920A8C"/>
    <w:rsid w:val="0092111F"/>
    <w:rsid w:val="00922DE9"/>
    <w:rsid w:val="00925E75"/>
    <w:rsid w:val="00927088"/>
    <w:rsid w:val="00934A2C"/>
    <w:rsid w:val="00941C6B"/>
    <w:rsid w:val="0094623F"/>
    <w:rsid w:val="00946CD5"/>
    <w:rsid w:val="009513F8"/>
    <w:rsid w:val="00951CBC"/>
    <w:rsid w:val="009609E8"/>
    <w:rsid w:val="0096706E"/>
    <w:rsid w:val="00975C4E"/>
    <w:rsid w:val="0097678B"/>
    <w:rsid w:val="009800BE"/>
    <w:rsid w:val="00981331"/>
    <w:rsid w:val="00981FBA"/>
    <w:rsid w:val="00984D37"/>
    <w:rsid w:val="00987BE0"/>
    <w:rsid w:val="00990FA8"/>
    <w:rsid w:val="00991866"/>
    <w:rsid w:val="00997BC5"/>
    <w:rsid w:val="009A0BE3"/>
    <w:rsid w:val="009A4F41"/>
    <w:rsid w:val="009B3754"/>
    <w:rsid w:val="009B381B"/>
    <w:rsid w:val="009C3BF0"/>
    <w:rsid w:val="009C4089"/>
    <w:rsid w:val="009C4EAA"/>
    <w:rsid w:val="009D1753"/>
    <w:rsid w:val="009D4C91"/>
    <w:rsid w:val="009D5EC6"/>
    <w:rsid w:val="009D7611"/>
    <w:rsid w:val="009E0B61"/>
    <w:rsid w:val="009E53DE"/>
    <w:rsid w:val="009E5567"/>
    <w:rsid w:val="00A00F26"/>
    <w:rsid w:val="00A03A30"/>
    <w:rsid w:val="00A0549A"/>
    <w:rsid w:val="00A2598E"/>
    <w:rsid w:val="00A328B3"/>
    <w:rsid w:val="00A32EA9"/>
    <w:rsid w:val="00A33B1E"/>
    <w:rsid w:val="00A37A0A"/>
    <w:rsid w:val="00A401F8"/>
    <w:rsid w:val="00A40506"/>
    <w:rsid w:val="00A47F90"/>
    <w:rsid w:val="00A50FCF"/>
    <w:rsid w:val="00A528D1"/>
    <w:rsid w:val="00A5376E"/>
    <w:rsid w:val="00A610CD"/>
    <w:rsid w:val="00A66E7F"/>
    <w:rsid w:val="00A75972"/>
    <w:rsid w:val="00A75E63"/>
    <w:rsid w:val="00A804F4"/>
    <w:rsid w:val="00A814FA"/>
    <w:rsid w:val="00A8706B"/>
    <w:rsid w:val="00A92CC4"/>
    <w:rsid w:val="00AA09A2"/>
    <w:rsid w:val="00AA0F30"/>
    <w:rsid w:val="00AA53A2"/>
    <w:rsid w:val="00AA7996"/>
    <w:rsid w:val="00AC19CB"/>
    <w:rsid w:val="00AC55D4"/>
    <w:rsid w:val="00AD0093"/>
    <w:rsid w:val="00AD26B5"/>
    <w:rsid w:val="00AD5886"/>
    <w:rsid w:val="00AE5488"/>
    <w:rsid w:val="00AE6F91"/>
    <w:rsid w:val="00AF4EE1"/>
    <w:rsid w:val="00AF5571"/>
    <w:rsid w:val="00AF7988"/>
    <w:rsid w:val="00B04B82"/>
    <w:rsid w:val="00B07184"/>
    <w:rsid w:val="00B07341"/>
    <w:rsid w:val="00B22E6E"/>
    <w:rsid w:val="00B30539"/>
    <w:rsid w:val="00B314DB"/>
    <w:rsid w:val="00B34CE7"/>
    <w:rsid w:val="00B361F2"/>
    <w:rsid w:val="00B37064"/>
    <w:rsid w:val="00B3718B"/>
    <w:rsid w:val="00B37DFC"/>
    <w:rsid w:val="00B405AB"/>
    <w:rsid w:val="00B447B5"/>
    <w:rsid w:val="00B4632A"/>
    <w:rsid w:val="00B5107C"/>
    <w:rsid w:val="00B513B1"/>
    <w:rsid w:val="00B530F1"/>
    <w:rsid w:val="00B53B1E"/>
    <w:rsid w:val="00B54A0C"/>
    <w:rsid w:val="00B57C56"/>
    <w:rsid w:val="00B632D6"/>
    <w:rsid w:val="00B67999"/>
    <w:rsid w:val="00B74F3B"/>
    <w:rsid w:val="00B752CC"/>
    <w:rsid w:val="00B77186"/>
    <w:rsid w:val="00B77339"/>
    <w:rsid w:val="00B868E8"/>
    <w:rsid w:val="00B908C8"/>
    <w:rsid w:val="00BA276C"/>
    <w:rsid w:val="00BA461E"/>
    <w:rsid w:val="00BB306F"/>
    <w:rsid w:val="00BB5D01"/>
    <w:rsid w:val="00BB67C2"/>
    <w:rsid w:val="00BB6898"/>
    <w:rsid w:val="00BC1180"/>
    <w:rsid w:val="00BC4EAF"/>
    <w:rsid w:val="00BD1A0E"/>
    <w:rsid w:val="00BD390D"/>
    <w:rsid w:val="00BD4B89"/>
    <w:rsid w:val="00BD4BA5"/>
    <w:rsid w:val="00BE6C10"/>
    <w:rsid w:val="00BE78F3"/>
    <w:rsid w:val="00BF02CB"/>
    <w:rsid w:val="00BF11D3"/>
    <w:rsid w:val="00BF1664"/>
    <w:rsid w:val="00BF4578"/>
    <w:rsid w:val="00BF6FD8"/>
    <w:rsid w:val="00C010FA"/>
    <w:rsid w:val="00C0153C"/>
    <w:rsid w:val="00C03680"/>
    <w:rsid w:val="00C04434"/>
    <w:rsid w:val="00C054DF"/>
    <w:rsid w:val="00C1345E"/>
    <w:rsid w:val="00C14A21"/>
    <w:rsid w:val="00C1529D"/>
    <w:rsid w:val="00C16A8F"/>
    <w:rsid w:val="00C17938"/>
    <w:rsid w:val="00C21762"/>
    <w:rsid w:val="00C2438B"/>
    <w:rsid w:val="00C24543"/>
    <w:rsid w:val="00C256A2"/>
    <w:rsid w:val="00C270F1"/>
    <w:rsid w:val="00C32C51"/>
    <w:rsid w:val="00C40789"/>
    <w:rsid w:val="00C41F15"/>
    <w:rsid w:val="00C4366D"/>
    <w:rsid w:val="00C44CE4"/>
    <w:rsid w:val="00C46DAD"/>
    <w:rsid w:val="00C46EE5"/>
    <w:rsid w:val="00C51515"/>
    <w:rsid w:val="00C5660B"/>
    <w:rsid w:val="00C62A75"/>
    <w:rsid w:val="00C66B72"/>
    <w:rsid w:val="00C71440"/>
    <w:rsid w:val="00C72217"/>
    <w:rsid w:val="00C73BB2"/>
    <w:rsid w:val="00C73E20"/>
    <w:rsid w:val="00C75282"/>
    <w:rsid w:val="00C810D8"/>
    <w:rsid w:val="00C821A2"/>
    <w:rsid w:val="00C82230"/>
    <w:rsid w:val="00C91815"/>
    <w:rsid w:val="00C9567A"/>
    <w:rsid w:val="00C963EE"/>
    <w:rsid w:val="00C96CDC"/>
    <w:rsid w:val="00C97129"/>
    <w:rsid w:val="00CA4193"/>
    <w:rsid w:val="00CB212D"/>
    <w:rsid w:val="00CB2583"/>
    <w:rsid w:val="00CB2660"/>
    <w:rsid w:val="00CC3030"/>
    <w:rsid w:val="00CC51E3"/>
    <w:rsid w:val="00CC582B"/>
    <w:rsid w:val="00CC5E90"/>
    <w:rsid w:val="00CC63CF"/>
    <w:rsid w:val="00CD046C"/>
    <w:rsid w:val="00CD1002"/>
    <w:rsid w:val="00CD3072"/>
    <w:rsid w:val="00CD6176"/>
    <w:rsid w:val="00CE076C"/>
    <w:rsid w:val="00CE5199"/>
    <w:rsid w:val="00CE66D5"/>
    <w:rsid w:val="00CF637A"/>
    <w:rsid w:val="00CF72F0"/>
    <w:rsid w:val="00D04D74"/>
    <w:rsid w:val="00D059DE"/>
    <w:rsid w:val="00D12193"/>
    <w:rsid w:val="00D13FCE"/>
    <w:rsid w:val="00D15CAC"/>
    <w:rsid w:val="00D22C36"/>
    <w:rsid w:val="00D26BD3"/>
    <w:rsid w:val="00D27CBC"/>
    <w:rsid w:val="00D306D1"/>
    <w:rsid w:val="00D30F3C"/>
    <w:rsid w:val="00D33794"/>
    <w:rsid w:val="00D34786"/>
    <w:rsid w:val="00D37BFC"/>
    <w:rsid w:val="00D41F9A"/>
    <w:rsid w:val="00D449AA"/>
    <w:rsid w:val="00D47A8E"/>
    <w:rsid w:val="00D50517"/>
    <w:rsid w:val="00D515D5"/>
    <w:rsid w:val="00D52D14"/>
    <w:rsid w:val="00D53C00"/>
    <w:rsid w:val="00D712D3"/>
    <w:rsid w:val="00D71422"/>
    <w:rsid w:val="00D72DC6"/>
    <w:rsid w:val="00D72FFF"/>
    <w:rsid w:val="00D735B6"/>
    <w:rsid w:val="00D7558D"/>
    <w:rsid w:val="00D811E4"/>
    <w:rsid w:val="00D81D92"/>
    <w:rsid w:val="00D83D73"/>
    <w:rsid w:val="00D95D18"/>
    <w:rsid w:val="00D96E66"/>
    <w:rsid w:val="00DA4453"/>
    <w:rsid w:val="00DA59AF"/>
    <w:rsid w:val="00DA59BF"/>
    <w:rsid w:val="00DA7B5F"/>
    <w:rsid w:val="00DC11E7"/>
    <w:rsid w:val="00DC7023"/>
    <w:rsid w:val="00DC769A"/>
    <w:rsid w:val="00DD2583"/>
    <w:rsid w:val="00DD25AF"/>
    <w:rsid w:val="00DD3D86"/>
    <w:rsid w:val="00DF1EC4"/>
    <w:rsid w:val="00E0340B"/>
    <w:rsid w:val="00E03892"/>
    <w:rsid w:val="00E04A90"/>
    <w:rsid w:val="00E04BF0"/>
    <w:rsid w:val="00E20022"/>
    <w:rsid w:val="00E219C7"/>
    <w:rsid w:val="00E25558"/>
    <w:rsid w:val="00E26D90"/>
    <w:rsid w:val="00E324C8"/>
    <w:rsid w:val="00E33E3C"/>
    <w:rsid w:val="00E36EA3"/>
    <w:rsid w:val="00E41912"/>
    <w:rsid w:val="00E43157"/>
    <w:rsid w:val="00E461CE"/>
    <w:rsid w:val="00E54E68"/>
    <w:rsid w:val="00E6789A"/>
    <w:rsid w:val="00E720CA"/>
    <w:rsid w:val="00E72482"/>
    <w:rsid w:val="00E777DB"/>
    <w:rsid w:val="00E810C3"/>
    <w:rsid w:val="00E846DB"/>
    <w:rsid w:val="00E84EB5"/>
    <w:rsid w:val="00E85662"/>
    <w:rsid w:val="00E8789F"/>
    <w:rsid w:val="00E909AA"/>
    <w:rsid w:val="00E93A78"/>
    <w:rsid w:val="00E94919"/>
    <w:rsid w:val="00E94F44"/>
    <w:rsid w:val="00E95EF7"/>
    <w:rsid w:val="00E97B71"/>
    <w:rsid w:val="00EA04F0"/>
    <w:rsid w:val="00EA3D34"/>
    <w:rsid w:val="00EA3DAE"/>
    <w:rsid w:val="00EA52FC"/>
    <w:rsid w:val="00EA5A11"/>
    <w:rsid w:val="00EA5C3C"/>
    <w:rsid w:val="00EB454D"/>
    <w:rsid w:val="00ED76BE"/>
    <w:rsid w:val="00EE569E"/>
    <w:rsid w:val="00EF0C9B"/>
    <w:rsid w:val="00EF487B"/>
    <w:rsid w:val="00EF5723"/>
    <w:rsid w:val="00EF619B"/>
    <w:rsid w:val="00F00B55"/>
    <w:rsid w:val="00F02AD1"/>
    <w:rsid w:val="00F13A9C"/>
    <w:rsid w:val="00F1742D"/>
    <w:rsid w:val="00F253CC"/>
    <w:rsid w:val="00F350E7"/>
    <w:rsid w:val="00F37106"/>
    <w:rsid w:val="00F428AD"/>
    <w:rsid w:val="00F4721E"/>
    <w:rsid w:val="00F51042"/>
    <w:rsid w:val="00F519CF"/>
    <w:rsid w:val="00F551E4"/>
    <w:rsid w:val="00F56BA5"/>
    <w:rsid w:val="00F57C24"/>
    <w:rsid w:val="00F57E52"/>
    <w:rsid w:val="00F60E22"/>
    <w:rsid w:val="00F73104"/>
    <w:rsid w:val="00F805FB"/>
    <w:rsid w:val="00F81395"/>
    <w:rsid w:val="00F830A6"/>
    <w:rsid w:val="00F83DCC"/>
    <w:rsid w:val="00F902EB"/>
    <w:rsid w:val="00F917D1"/>
    <w:rsid w:val="00F93C7F"/>
    <w:rsid w:val="00F9653B"/>
    <w:rsid w:val="00FA208C"/>
    <w:rsid w:val="00FB1110"/>
    <w:rsid w:val="00FB2514"/>
    <w:rsid w:val="00FB62CF"/>
    <w:rsid w:val="00FC6D5C"/>
    <w:rsid w:val="00FC78F1"/>
    <w:rsid w:val="00FD1464"/>
    <w:rsid w:val="00FD3C3B"/>
    <w:rsid w:val="00FD5A99"/>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14:docId w14:val="53FA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basedOn w:val="ColorfulShading-Accent31"/>
    <w:next w:val="Normal"/>
    <w:link w:val="Heading1Char"/>
    <w:autoRedefine/>
    <w:uiPriority w:val="9"/>
    <w:qFormat/>
    <w:rsid w:val="00155939"/>
    <w:pPr>
      <w:numPr>
        <w:numId w:val="54"/>
      </w:numPr>
      <w:tabs>
        <w:tab w:val="left" w:pos="360"/>
      </w:tabs>
      <w:suppressAutoHyphens/>
      <w:spacing w:after="240"/>
      <w:ind w:left="0" w:firstLine="0"/>
      <w:outlineLvl w:val="0"/>
    </w:pPr>
    <w:rPr>
      <w:b/>
      <w:sz w:val="20"/>
      <w:szCs w:val="20"/>
      <w:lang w:val="es-ES_tradnl"/>
    </w:rPr>
  </w:style>
  <w:style w:type="paragraph" w:styleId="Heading2">
    <w:name w:val="heading 2"/>
    <w:basedOn w:val="Normal"/>
    <w:next w:val="Normal"/>
    <w:link w:val="Heading2Char"/>
    <w:autoRedefine/>
    <w:qFormat/>
    <w:rsid w:val="003F1C56"/>
    <w:pPr>
      <w:keepNext/>
      <w:numPr>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outlineLvl w:val="1"/>
    </w:pPr>
    <w:rPr>
      <w:rFonts w:ascii="Cambria" w:eastAsia="Times New Roman" w:hAnsi="Cambria" w:cs="Arial"/>
      <w:b/>
      <w:bCs/>
      <w:iCs/>
      <w:sz w:val="20"/>
      <w:szCs w:val="28"/>
      <w:bdr w:val="none" w:sz="0" w:space="0" w:color="auto"/>
      <w:lang w:val="es-ES_tradnl"/>
    </w:rPr>
  </w:style>
  <w:style w:type="paragraph" w:styleId="Heading3">
    <w:name w:val="heading 3"/>
    <w:basedOn w:val="Normal"/>
    <w:next w:val="Normal"/>
    <w:link w:val="Heading3Char"/>
    <w:qFormat/>
    <w:rsid w:val="00161D34"/>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outlineLvl w:val="2"/>
    </w:pPr>
    <w:rPr>
      <w:rFonts w:ascii="Cambria" w:eastAsia="Times New Roman" w:hAnsi="Cambria" w:cs="Arial"/>
      <w:b/>
      <w:bCs/>
      <w:sz w:val="20"/>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ColorfulShading-Accent31">
    <w:name w:val="Colorful Shading - Accent 31"/>
    <w:aliases w:val="Párrafo de lista1,List Paragraph1,Colorful List - Accent 11,List Paragraph11,List Paragraph2"/>
    <w:link w:val="ColorfulShading-Accent3Char"/>
    <w:autoRedefine/>
    <w:qFormat/>
    <w:rsid w:val="00914740"/>
    <w:pPr>
      <w:pBdr>
        <w:top w:val="nil"/>
        <w:left w:val="nil"/>
        <w:bottom w:val="nil"/>
        <w:right w:val="nil"/>
        <w:between w:val="nil"/>
        <w:bar w:val="nil"/>
      </w:pBdr>
      <w:ind w:left="360" w:right="360"/>
      <w:jc w:val="both"/>
    </w:pPr>
    <w:rPr>
      <w:rFonts w:ascii="Cambria" w:eastAsia="Cambria" w:hAnsi="Cambria" w:cs="Cambria"/>
      <w:color w:val="000000"/>
      <w:sz w:val="18"/>
      <w:szCs w:val="24"/>
      <w:u w:color="000000"/>
      <w:bdr w:val="nil"/>
      <w:lang w:val="es-ES"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A03A30"/>
    <w:pPr>
      <w:pBdr>
        <w:top w:val="nil"/>
        <w:left w:val="nil"/>
        <w:bottom w:val="nil"/>
        <w:right w:val="nil"/>
        <w:between w:val="nil"/>
        <w:bar w:val="nil"/>
      </w:pBdr>
      <w:jc w:val="both"/>
    </w:pPr>
    <w:rPr>
      <w:rFonts w:ascii="Cambria" w:eastAsia="Calibri" w:hAnsi="Cambria" w:cs="Calibri"/>
      <w:color w:val="000000"/>
      <w:sz w:val="16"/>
      <w:szCs w:val="16"/>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155939"/>
    <w:rPr>
      <w:rFonts w:ascii="Cambria" w:eastAsia="Cambria" w:hAnsi="Cambria" w:cs="Cambria"/>
      <w:b/>
      <w:color w:val="000000"/>
      <w:u w:color="000000"/>
      <w:bdr w:val="nil"/>
      <w:lang w:val="es-ES_tradnl" w:eastAsia="es-ES"/>
    </w:rPr>
  </w:style>
  <w:style w:type="table" w:styleId="MediumGrid1-Accent3">
    <w:name w:val="Medium Grid 1 Accent 3"/>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196795"/>
    <w:pPr>
      <w:tabs>
        <w:tab w:val="left" w:pos="476"/>
        <w:tab w:val="right" w:leader="dot" w:pos="9350"/>
      </w:tabs>
      <w:spacing w:after="100"/>
      <w:jc w:val="both"/>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A03A30"/>
    <w:rPr>
      <w:rFonts w:ascii="Cambria" w:eastAsia="Calibri" w:hAnsi="Cambria" w:cs="Calibri"/>
      <w:color w:val="000000"/>
      <w:sz w:val="16"/>
      <w:szCs w:val="16"/>
      <w:u w:color="000000"/>
      <w:lang w:val="en-US"/>
    </w:rPr>
  </w:style>
  <w:style w:type="character" w:customStyle="1" w:styleId="Heading2Char">
    <w:name w:val="Heading 2 Char"/>
    <w:link w:val="Heading2"/>
    <w:rsid w:val="003F1C56"/>
    <w:rPr>
      <w:rFonts w:ascii="Cambria" w:eastAsia="Times New Roman" w:hAnsi="Cambria" w:cs="Arial"/>
      <w:b/>
      <w:bCs/>
      <w:iCs/>
      <w:szCs w:val="28"/>
      <w:lang w:val="es-ES_tradnl"/>
    </w:rPr>
  </w:style>
  <w:style w:type="character" w:customStyle="1" w:styleId="Heading3Char">
    <w:name w:val="Heading 3 Char"/>
    <w:link w:val="Heading3"/>
    <w:rsid w:val="00161D34"/>
    <w:rPr>
      <w:rFonts w:ascii="Cambria" w:eastAsia="Times New Roman" w:hAnsi="Cambria" w:cs="Arial"/>
      <w:b/>
      <w:bCs/>
      <w:szCs w:val="26"/>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ColorfulShading-Accent3Char">
    <w:name w:val="Colorful Shading - Accent 3 Char"/>
    <w:aliases w:val="Párrafo de lista1 Char,List Paragraph1 Char,Colorful List - Accent 11 Char,List Paragraph11 Char,List Paragraph2 Char"/>
    <w:link w:val="ColorfulShading-Accent31"/>
    <w:locked/>
    <w:rsid w:val="00914740"/>
    <w:rPr>
      <w:rFonts w:ascii="Cambria" w:eastAsia="Cambria" w:hAnsi="Cambria" w:cs="Cambria"/>
      <w:color w:val="000000"/>
      <w:sz w:val="18"/>
      <w:szCs w:val="24"/>
      <w:u w:color="000000"/>
    </w:rPr>
  </w:style>
  <w:style w:type="paragraph" w:customStyle="1" w:styleId="MediumShading1-Accent21">
    <w:name w:val="Medium Shading 1 - Accent 21"/>
    <w:uiPriority w:val="1"/>
    <w:qFormat/>
    <w:rsid w:val="00161D34"/>
    <w:pPr>
      <w:pBdr>
        <w:top w:val="nil"/>
        <w:left w:val="nil"/>
        <w:bottom w:val="nil"/>
        <w:right w:val="nil"/>
        <w:between w:val="nil"/>
        <w:bar w:val="nil"/>
      </w:pBdr>
    </w:pPr>
    <w:rPr>
      <w:sz w:val="24"/>
      <w:szCs w:val="24"/>
      <w:bdr w:val="nil"/>
    </w:rPr>
  </w:style>
  <w:style w:type="paragraph" w:customStyle="1" w:styleId="parrafos">
    <w:name w:val="parrafos"/>
    <w:basedOn w:val="Normal"/>
    <w:link w:val="parrafosChar"/>
    <w:qFormat/>
    <w:rsid w:val="00914740"/>
    <w:pPr>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rPr>
      <w:rFonts w:ascii="Cambria" w:hAnsi="Cambria"/>
      <w:color w:val="000000"/>
      <w:sz w:val="20"/>
      <w:szCs w:val="20"/>
      <w:lang w:val="es-VE"/>
    </w:rPr>
  </w:style>
  <w:style w:type="paragraph" w:customStyle="1" w:styleId="citas">
    <w:name w:val="citas"/>
    <w:basedOn w:val="ColorfulShading-Accent31"/>
    <w:link w:val="citasChar"/>
    <w:qFormat/>
    <w:rsid w:val="00914740"/>
  </w:style>
  <w:style w:type="character" w:customStyle="1" w:styleId="parrafosChar">
    <w:name w:val="parrafos Char"/>
    <w:link w:val="parrafos"/>
    <w:rsid w:val="00914740"/>
    <w:rPr>
      <w:rFonts w:ascii="Cambria" w:hAnsi="Cambria"/>
      <w:color w:val="000000"/>
      <w:bdr w:val="nil"/>
      <w:lang w:val="es-VE"/>
    </w:rPr>
  </w:style>
  <w:style w:type="character" w:customStyle="1" w:styleId="citasChar">
    <w:name w:val="citas Char"/>
    <w:link w:val="citas"/>
    <w:rsid w:val="00914740"/>
    <w:rPr>
      <w:rFonts w:ascii="Cambria" w:eastAsia="Cambria" w:hAnsi="Cambria" w:cs="Cambria"/>
      <w:color w:val="000000"/>
      <w:sz w:val="18"/>
      <w:szCs w:val="24"/>
      <w:u w:color="000000"/>
    </w:rPr>
  </w:style>
  <w:style w:type="character" w:styleId="CommentReference">
    <w:name w:val="annotation reference"/>
    <w:uiPriority w:val="99"/>
    <w:semiHidden/>
    <w:unhideWhenUsed/>
    <w:rsid w:val="00595C07"/>
    <w:rPr>
      <w:sz w:val="16"/>
      <w:szCs w:val="16"/>
    </w:rPr>
  </w:style>
  <w:style w:type="paragraph" w:styleId="CommentText">
    <w:name w:val="annotation text"/>
    <w:basedOn w:val="Normal"/>
    <w:link w:val="CommentTextChar"/>
    <w:uiPriority w:val="99"/>
    <w:semiHidden/>
    <w:unhideWhenUsed/>
    <w:rsid w:val="00595C07"/>
    <w:rPr>
      <w:sz w:val="20"/>
      <w:szCs w:val="20"/>
    </w:rPr>
  </w:style>
  <w:style w:type="character" w:customStyle="1" w:styleId="CommentTextChar">
    <w:name w:val="Comment Text Char"/>
    <w:link w:val="CommentText"/>
    <w:uiPriority w:val="99"/>
    <w:semiHidden/>
    <w:rsid w:val="00595C07"/>
    <w:rPr>
      <w:lang w:val="en-US" w:eastAsia="en-US"/>
    </w:rPr>
  </w:style>
  <w:style w:type="paragraph" w:styleId="CommentSubject">
    <w:name w:val="annotation subject"/>
    <w:basedOn w:val="CommentText"/>
    <w:next w:val="CommentText"/>
    <w:link w:val="CommentSubjectChar"/>
    <w:uiPriority w:val="99"/>
    <w:semiHidden/>
    <w:unhideWhenUsed/>
    <w:rsid w:val="00595C07"/>
    <w:rPr>
      <w:b/>
      <w:bCs/>
    </w:rPr>
  </w:style>
  <w:style w:type="character" w:customStyle="1" w:styleId="CommentSubjectChar">
    <w:name w:val="Comment Subject Char"/>
    <w:link w:val="CommentSubject"/>
    <w:uiPriority w:val="99"/>
    <w:semiHidden/>
    <w:rsid w:val="00595C07"/>
    <w:rPr>
      <w:b/>
      <w:bCs/>
      <w:lang w:val="en-US" w:eastAsia="en-US"/>
    </w:rPr>
  </w:style>
  <w:style w:type="paragraph" w:customStyle="1" w:styleId="LightGrid-Accent31">
    <w:name w:val="Light Grid - Accent 31"/>
    <w:basedOn w:val="Normal"/>
    <w:uiPriority w:val="72"/>
    <w:qFormat/>
    <w:rsid w:val="00A37A0A"/>
    <w:pPr>
      <w:ind w:left="720"/>
    </w:pPr>
  </w:style>
  <w:style w:type="paragraph" w:customStyle="1" w:styleId="MediumGrid1-Accent21">
    <w:name w:val="Medium Grid 1 - Accent 21"/>
    <w:basedOn w:val="Normal"/>
    <w:uiPriority w:val="72"/>
    <w:qFormat/>
    <w:rsid w:val="005F2908"/>
    <w:pPr>
      <w:ind w:left="720"/>
    </w:pPr>
  </w:style>
  <w:style w:type="paragraph" w:styleId="NormalWeb">
    <w:name w:val="Normal (Web)"/>
    <w:basedOn w:val="Normal"/>
    <w:uiPriority w:val="99"/>
    <w:unhideWhenUsed/>
    <w:rsid w:val="00EF0C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730ABF"/>
    <w:rPr>
      <w:b/>
      <w:bCs/>
    </w:rPr>
  </w:style>
  <w:style w:type="paragraph" w:styleId="ListParagraph">
    <w:name w:val="List Paragraph"/>
    <w:basedOn w:val="Normal"/>
    <w:uiPriority w:val="72"/>
    <w:qFormat/>
    <w:rsid w:val="00E25558"/>
    <w:pPr>
      <w:ind w:left="720"/>
      <w:contextualSpacing/>
    </w:pPr>
  </w:style>
  <w:style w:type="paragraph" w:styleId="Index1">
    <w:name w:val="index 1"/>
    <w:basedOn w:val="Normal"/>
    <w:next w:val="Normal"/>
    <w:autoRedefine/>
    <w:uiPriority w:val="99"/>
    <w:unhideWhenUsed/>
    <w:rsid w:val="00196795"/>
    <w:pPr>
      <w:ind w:left="240" w:hanging="240"/>
    </w:pPr>
  </w:style>
  <w:style w:type="paragraph" w:styleId="Index2">
    <w:name w:val="index 2"/>
    <w:basedOn w:val="Normal"/>
    <w:next w:val="Normal"/>
    <w:autoRedefine/>
    <w:uiPriority w:val="99"/>
    <w:unhideWhenUsed/>
    <w:rsid w:val="00196795"/>
    <w:pPr>
      <w:ind w:left="480" w:hanging="240"/>
    </w:pPr>
  </w:style>
  <w:style w:type="paragraph" w:styleId="Index3">
    <w:name w:val="index 3"/>
    <w:basedOn w:val="Normal"/>
    <w:next w:val="Normal"/>
    <w:autoRedefine/>
    <w:uiPriority w:val="99"/>
    <w:unhideWhenUsed/>
    <w:rsid w:val="00196795"/>
    <w:pPr>
      <w:ind w:left="720" w:hanging="240"/>
    </w:pPr>
  </w:style>
  <w:style w:type="paragraph" w:styleId="Index4">
    <w:name w:val="index 4"/>
    <w:basedOn w:val="Normal"/>
    <w:next w:val="Normal"/>
    <w:autoRedefine/>
    <w:uiPriority w:val="99"/>
    <w:unhideWhenUsed/>
    <w:rsid w:val="00196795"/>
    <w:pPr>
      <w:ind w:left="960" w:hanging="240"/>
    </w:pPr>
  </w:style>
  <w:style w:type="paragraph" w:styleId="Index5">
    <w:name w:val="index 5"/>
    <w:basedOn w:val="Normal"/>
    <w:next w:val="Normal"/>
    <w:autoRedefine/>
    <w:uiPriority w:val="99"/>
    <w:unhideWhenUsed/>
    <w:rsid w:val="00196795"/>
    <w:pPr>
      <w:ind w:left="1200" w:hanging="240"/>
    </w:pPr>
  </w:style>
  <w:style w:type="paragraph" w:styleId="Index6">
    <w:name w:val="index 6"/>
    <w:basedOn w:val="Normal"/>
    <w:next w:val="Normal"/>
    <w:autoRedefine/>
    <w:uiPriority w:val="99"/>
    <w:unhideWhenUsed/>
    <w:rsid w:val="00196795"/>
    <w:pPr>
      <w:ind w:left="1440" w:hanging="240"/>
    </w:pPr>
  </w:style>
  <w:style w:type="paragraph" w:styleId="Index7">
    <w:name w:val="index 7"/>
    <w:basedOn w:val="Normal"/>
    <w:next w:val="Normal"/>
    <w:autoRedefine/>
    <w:uiPriority w:val="99"/>
    <w:unhideWhenUsed/>
    <w:rsid w:val="00196795"/>
    <w:pPr>
      <w:ind w:left="1680" w:hanging="240"/>
    </w:pPr>
  </w:style>
  <w:style w:type="paragraph" w:styleId="Index8">
    <w:name w:val="index 8"/>
    <w:basedOn w:val="Normal"/>
    <w:next w:val="Normal"/>
    <w:autoRedefine/>
    <w:uiPriority w:val="99"/>
    <w:unhideWhenUsed/>
    <w:rsid w:val="00196795"/>
    <w:pPr>
      <w:ind w:left="1920" w:hanging="240"/>
    </w:pPr>
  </w:style>
  <w:style w:type="paragraph" w:styleId="Index9">
    <w:name w:val="index 9"/>
    <w:basedOn w:val="Normal"/>
    <w:next w:val="Normal"/>
    <w:autoRedefine/>
    <w:uiPriority w:val="99"/>
    <w:unhideWhenUsed/>
    <w:rsid w:val="00196795"/>
    <w:pPr>
      <w:ind w:left="2160" w:hanging="240"/>
    </w:pPr>
  </w:style>
  <w:style w:type="paragraph" w:styleId="IndexHeading">
    <w:name w:val="index heading"/>
    <w:basedOn w:val="Normal"/>
    <w:next w:val="Index1"/>
    <w:uiPriority w:val="99"/>
    <w:unhideWhenUsed/>
    <w:rsid w:val="00196795"/>
  </w:style>
  <w:style w:type="paragraph" w:styleId="TOC5">
    <w:name w:val="toc 5"/>
    <w:basedOn w:val="Normal"/>
    <w:next w:val="Normal"/>
    <w:autoRedefine/>
    <w:uiPriority w:val="39"/>
    <w:unhideWhenUsed/>
    <w:rsid w:val="00196795"/>
    <w:pPr>
      <w:ind w:left="960"/>
    </w:pPr>
  </w:style>
  <w:style w:type="paragraph" w:styleId="TOC6">
    <w:name w:val="toc 6"/>
    <w:basedOn w:val="Normal"/>
    <w:next w:val="Normal"/>
    <w:autoRedefine/>
    <w:uiPriority w:val="39"/>
    <w:unhideWhenUsed/>
    <w:rsid w:val="00196795"/>
    <w:pPr>
      <w:ind w:left="1200"/>
    </w:pPr>
  </w:style>
  <w:style w:type="paragraph" w:styleId="TOC7">
    <w:name w:val="toc 7"/>
    <w:basedOn w:val="Normal"/>
    <w:next w:val="Normal"/>
    <w:autoRedefine/>
    <w:uiPriority w:val="39"/>
    <w:unhideWhenUsed/>
    <w:rsid w:val="00196795"/>
    <w:pPr>
      <w:ind w:left="1440"/>
    </w:pPr>
  </w:style>
  <w:style w:type="paragraph" w:styleId="TOC8">
    <w:name w:val="toc 8"/>
    <w:basedOn w:val="Normal"/>
    <w:next w:val="Normal"/>
    <w:autoRedefine/>
    <w:uiPriority w:val="39"/>
    <w:unhideWhenUsed/>
    <w:rsid w:val="00196795"/>
    <w:pPr>
      <w:ind w:left="1680"/>
    </w:pPr>
  </w:style>
  <w:style w:type="paragraph" w:styleId="TOC9">
    <w:name w:val="toc 9"/>
    <w:basedOn w:val="Normal"/>
    <w:next w:val="Normal"/>
    <w:autoRedefine/>
    <w:uiPriority w:val="39"/>
    <w:unhideWhenUsed/>
    <w:rsid w:val="00196795"/>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3364">
      <w:bodyDiv w:val="1"/>
      <w:marLeft w:val="0"/>
      <w:marRight w:val="0"/>
      <w:marTop w:val="0"/>
      <w:marBottom w:val="0"/>
      <w:divBdr>
        <w:top w:val="none" w:sz="0" w:space="0" w:color="auto"/>
        <w:left w:val="none" w:sz="0" w:space="0" w:color="auto"/>
        <w:bottom w:val="none" w:sz="0" w:space="0" w:color="auto"/>
        <w:right w:val="none" w:sz="0" w:space="0" w:color="auto"/>
      </w:divBdr>
    </w:div>
    <w:div w:id="363135359">
      <w:bodyDiv w:val="1"/>
      <w:marLeft w:val="0"/>
      <w:marRight w:val="0"/>
      <w:marTop w:val="0"/>
      <w:marBottom w:val="0"/>
      <w:divBdr>
        <w:top w:val="none" w:sz="0" w:space="0" w:color="auto"/>
        <w:left w:val="none" w:sz="0" w:space="0" w:color="auto"/>
        <w:bottom w:val="none" w:sz="0" w:space="0" w:color="auto"/>
        <w:right w:val="none" w:sz="0" w:space="0" w:color="auto"/>
      </w:divBdr>
    </w:div>
    <w:div w:id="506792441">
      <w:bodyDiv w:val="1"/>
      <w:marLeft w:val="0"/>
      <w:marRight w:val="0"/>
      <w:marTop w:val="0"/>
      <w:marBottom w:val="0"/>
      <w:divBdr>
        <w:top w:val="none" w:sz="0" w:space="0" w:color="auto"/>
        <w:left w:val="none" w:sz="0" w:space="0" w:color="auto"/>
        <w:bottom w:val="none" w:sz="0" w:space="0" w:color="auto"/>
        <w:right w:val="none" w:sz="0" w:space="0" w:color="auto"/>
      </w:divBdr>
    </w:div>
    <w:div w:id="588579382">
      <w:bodyDiv w:val="1"/>
      <w:marLeft w:val="0"/>
      <w:marRight w:val="0"/>
      <w:marTop w:val="0"/>
      <w:marBottom w:val="0"/>
      <w:divBdr>
        <w:top w:val="none" w:sz="0" w:space="0" w:color="auto"/>
        <w:left w:val="none" w:sz="0" w:space="0" w:color="auto"/>
        <w:bottom w:val="none" w:sz="0" w:space="0" w:color="auto"/>
        <w:right w:val="none" w:sz="0" w:space="0" w:color="auto"/>
      </w:divBdr>
    </w:div>
    <w:div w:id="801001336">
      <w:bodyDiv w:val="1"/>
      <w:marLeft w:val="0"/>
      <w:marRight w:val="0"/>
      <w:marTop w:val="0"/>
      <w:marBottom w:val="0"/>
      <w:divBdr>
        <w:top w:val="none" w:sz="0" w:space="0" w:color="auto"/>
        <w:left w:val="none" w:sz="0" w:space="0" w:color="auto"/>
        <w:bottom w:val="none" w:sz="0" w:space="0" w:color="auto"/>
        <w:right w:val="none" w:sz="0" w:space="0" w:color="auto"/>
      </w:divBdr>
    </w:div>
    <w:div w:id="151803673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1847951">
      <w:bodyDiv w:val="1"/>
      <w:marLeft w:val="0"/>
      <w:marRight w:val="0"/>
      <w:marTop w:val="0"/>
      <w:marBottom w:val="0"/>
      <w:divBdr>
        <w:top w:val="none" w:sz="0" w:space="0" w:color="auto"/>
        <w:left w:val="none" w:sz="0" w:space="0" w:color="auto"/>
        <w:bottom w:val="none" w:sz="0" w:space="0" w:color="auto"/>
        <w:right w:val="none" w:sz="0" w:space="0" w:color="auto"/>
      </w:divBdr>
    </w:div>
    <w:div w:id="1802843510">
      <w:bodyDiv w:val="1"/>
      <w:marLeft w:val="0"/>
      <w:marRight w:val="0"/>
      <w:marTop w:val="0"/>
      <w:marBottom w:val="0"/>
      <w:divBdr>
        <w:top w:val="none" w:sz="0" w:space="0" w:color="auto"/>
        <w:left w:val="none" w:sz="0" w:space="0" w:color="auto"/>
        <w:bottom w:val="none" w:sz="0" w:space="0" w:color="auto"/>
        <w:right w:val="none" w:sz="0" w:space="0" w:color="auto"/>
      </w:divBdr>
    </w:div>
    <w:div w:id="1905942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0" ma:contentTypeDescription="Create a new document." ma:contentTypeScope="" ma:versionID="a3c9e2074a419d971f823c9b93150342">
  <xsd:schema xmlns:xsd="http://www.w3.org/2001/XMLSchema" xmlns:xs="http://www.w3.org/2001/XMLSchema" xmlns:p="http://schemas.microsoft.com/office/2006/metadata/properties" xmlns:ns2="7ff2a89a-f9c3-4229-b04b-1f4abb2786a1" targetNamespace="http://schemas.microsoft.com/office/2006/metadata/properties" ma:root="true" ma:fieldsID="547aa0da750f56173e33ae577620fc7d" ns2:_="">
    <xsd:import namespace="7ff2a89a-f9c3-4229-b04b-1f4abb2786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AFA23-F2A2-40C9-94AC-07BFFECE19FA}">
  <ds:schemaRefs>
    <ds:schemaRef ds:uri="http://schemas.microsoft.com/sharepoint/v3/contenttype/forms"/>
  </ds:schemaRefs>
</ds:datastoreItem>
</file>

<file path=customXml/itemProps2.xml><?xml version="1.0" encoding="utf-8"?>
<ds:datastoreItem xmlns:ds="http://schemas.openxmlformats.org/officeDocument/2006/customXml" ds:itemID="{434E3FF8-A674-4EAB-B9CE-4DE330A2932D}">
  <ds:schemaRefs>
    <ds:schemaRef ds:uri="http://schemas.openxmlformats.org/officeDocument/2006/bibliography"/>
  </ds:schemaRefs>
</ds:datastoreItem>
</file>

<file path=customXml/itemProps3.xml><?xml version="1.0" encoding="utf-8"?>
<ds:datastoreItem xmlns:ds="http://schemas.openxmlformats.org/officeDocument/2006/customXml" ds:itemID="{E745422C-D138-4E16-9D28-39ABA6C11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7A425-B348-4B1F-86F6-B5C73D0E99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7060</Words>
  <Characters>40245</Characters>
  <Application>Microsoft Office Word</Application>
  <DocSecurity>0</DocSecurity>
  <Lines>335</Lines>
  <Paragraphs>94</Paragraphs>
  <ScaleCrop>false</ScaleCrop>
  <Company/>
  <LinksUpToDate>false</LinksUpToDate>
  <CharactersWithSpaces>47211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2022-04-18T19:00:00Z</dcterms:created>
  <dcterms:modified xsi:type="dcterms:W3CDTF">2022-04-18T19:00:00Z</dcterms:modified>
</cp:coreProperties>
</file>