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56A2" w14:textId="77777777" w:rsidR="00040C3A" w:rsidRPr="007E4AA8" w:rsidRDefault="00D306D1" w:rsidP="00627C9F">
      <w:pPr>
        <w:jc w:val="both"/>
        <w:rPr>
          <w:rFonts w:asciiTheme="majorHAnsi" w:hAnsiTheme="majorHAnsi" w:cs="Univers"/>
          <w:b/>
          <w:bCs/>
          <w:sz w:val="22"/>
          <w:szCs w:val="22"/>
          <w:lang w:val="es-ES"/>
        </w:rPr>
      </w:pPr>
      <w:r w:rsidRPr="007E4AA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13FB02E" wp14:editId="1356B88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01C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E4AA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F177B3" wp14:editId="4A89B60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2FC1A" w14:textId="77777777" w:rsidR="00CC4917" w:rsidRDefault="00CC4917" w:rsidP="00AE5488">
                            <w:r>
                              <w:rPr>
                                <w:noProof/>
                              </w:rPr>
                              <w:drawing>
                                <wp:inline distT="0" distB="0" distL="0" distR="0" wp14:anchorId="541D40CA" wp14:editId="014B684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177B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02FC1A" w14:textId="77777777" w:rsidR="00CC4917" w:rsidRDefault="00CC4917" w:rsidP="00AE5488">
                      <w:r>
                        <w:rPr>
                          <w:noProof/>
                        </w:rPr>
                        <w:drawing>
                          <wp:inline distT="0" distB="0" distL="0" distR="0" wp14:anchorId="541D40CA" wp14:editId="014B684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AA8AE5" w14:textId="77777777" w:rsidR="00040C3A" w:rsidRPr="007E4AA8" w:rsidRDefault="00040C3A" w:rsidP="00040C3A">
      <w:pPr>
        <w:tabs>
          <w:tab w:val="center" w:pos="5400"/>
        </w:tabs>
        <w:suppressAutoHyphens/>
        <w:jc w:val="both"/>
        <w:rPr>
          <w:rFonts w:asciiTheme="majorHAnsi" w:hAnsiTheme="majorHAnsi"/>
          <w:sz w:val="22"/>
          <w:szCs w:val="22"/>
          <w:lang w:val="es-ES"/>
        </w:rPr>
      </w:pPr>
    </w:p>
    <w:p w14:paraId="429F71BF" w14:textId="77777777" w:rsidR="00040C3A" w:rsidRPr="007E4AA8" w:rsidRDefault="00040C3A" w:rsidP="00040C3A">
      <w:pPr>
        <w:tabs>
          <w:tab w:val="center" w:pos="5400"/>
        </w:tabs>
        <w:suppressAutoHyphens/>
        <w:jc w:val="both"/>
        <w:rPr>
          <w:rFonts w:asciiTheme="majorHAnsi" w:hAnsiTheme="majorHAnsi"/>
          <w:sz w:val="22"/>
          <w:szCs w:val="22"/>
          <w:lang w:val="es-ES"/>
        </w:rPr>
      </w:pPr>
    </w:p>
    <w:p w14:paraId="79DB7E48" w14:textId="77777777" w:rsidR="005128E4" w:rsidRPr="007E4AA8" w:rsidRDefault="005128E4" w:rsidP="00040C3A">
      <w:pPr>
        <w:tabs>
          <w:tab w:val="center" w:pos="5400"/>
        </w:tabs>
        <w:suppressAutoHyphens/>
        <w:rPr>
          <w:rFonts w:asciiTheme="majorHAnsi" w:hAnsiTheme="majorHAnsi"/>
          <w:sz w:val="22"/>
          <w:szCs w:val="22"/>
          <w:lang w:val="es-ES"/>
        </w:rPr>
      </w:pPr>
    </w:p>
    <w:p w14:paraId="74887E73" w14:textId="77777777" w:rsidR="005128E4" w:rsidRPr="007E4AA8" w:rsidRDefault="005128E4" w:rsidP="00040C3A">
      <w:pPr>
        <w:tabs>
          <w:tab w:val="center" w:pos="5400"/>
        </w:tabs>
        <w:suppressAutoHyphens/>
        <w:rPr>
          <w:rFonts w:asciiTheme="majorHAnsi" w:hAnsiTheme="majorHAnsi"/>
          <w:sz w:val="22"/>
          <w:szCs w:val="22"/>
          <w:lang w:val="es-ES"/>
        </w:rPr>
      </w:pPr>
    </w:p>
    <w:p w14:paraId="3367EA01" w14:textId="77777777" w:rsidR="005128E4" w:rsidRPr="007E4AA8" w:rsidRDefault="005128E4" w:rsidP="00040C3A">
      <w:pPr>
        <w:tabs>
          <w:tab w:val="center" w:pos="5400"/>
        </w:tabs>
        <w:suppressAutoHyphens/>
        <w:rPr>
          <w:rFonts w:asciiTheme="majorHAnsi" w:hAnsiTheme="majorHAnsi"/>
          <w:sz w:val="22"/>
          <w:szCs w:val="22"/>
          <w:lang w:val="es-ES"/>
        </w:rPr>
      </w:pPr>
    </w:p>
    <w:p w14:paraId="3488F551" w14:textId="77777777" w:rsidR="00040C3A" w:rsidRPr="007E4AA8" w:rsidRDefault="00040C3A" w:rsidP="005128E4">
      <w:pPr>
        <w:tabs>
          <w:tab w:val="center" w:pos="5400"/>
        </w:tabs>
        <w:suppressAutoHyphens/>
        <w:jc w:val="center"/>
        <w:rPr>
          <w:rFonts w:asciiTheme="majorHAnsi" w:hAnsiTheme="majorHAnsi"/>
          <w:sz w:val="22"/>
          <w:szCs w:val="22"/>
          <w:lang w:val="es-ES"/>
        </w:rPr>
      </w:pPr>
    </w:p>
    <w:p w14:paraId="0537ECCF" w14:textId="77777777" w:rsidR="00040C3A" w:rsidRPr="007E4AA8" w:rsidRDefault="00040C3A" w:rsidP="005128E4">
      <w:pPr>
        <w:tabs>
          <w:tab w:val="center" w:pos="5400"/>
        </w:tabs>
        <w:suppressAutoHyphens/>
        <w:jc w:val="center"/>
        <w:rPr>
          <w:rFonts w:asciiTheme="majorHAnsi" w:hAnsiTheme="majorHAnsi"/>
          <w:sz w:val="22"/>
          <w:szCs w:val="22"/>
          <w:lang w:val="es-ES"/>
        </w:rPr>
      </w:pPr>
    </w:p>
    <w:p w14:paraId="4D848682" w14:textId="77777777" w:rsidR="005B52B0" w:rsidRPr="007E4AA8" w:rsidRDefault="005B52B0" w:rsidP="005128E4">
      <w:pPr>
        <w:tabs>
          <w:tab w:val="center" w:pos="5400"/>
        </w:tabs>
        <w:suppressAutoHyphens/>
        <w:jc w:val="center"/>
        <w:rPr>
          <w:rFonts w:asciiTheme="majorHAnsi" w:hAnsiTheme="majorHAnsi"/>
          <w:sz w:val="22"/>
          <w:szCs w:val="22"/>
          <w:lang w:val="es-ES"/>
        </w:rPr>
      </w:pPr>
    </w:p>
    <w:p w14:paraId="702903BD" w14:textId="77777777" w:rsidR="005B52B0" w:rsidRPr="007E4AA8" w:rsidRDefault="005B52B0" w:rsidP="005128E4">
      <w:pPr>
        <w:tabs>
          <w:tab w:val="center" w:pos="5400"/>
        </w:tabs>
        <w:suppressAutoHyphens/>
        <w:jc w:val="center"/>
        <w:rPr>
          <w:rFonts w:asciiTheme="majorHAnsi" w:hAnsiTheme="majorHAnsi"/>
          <w:sz w:val="22"/>
          <w:szCs w:val="22"/>
          <w:lang w:val="es-ES"/>
        </w:rPr>
      </w:pPr>
    </w:p>
    <w:p w14:paraId="708153AE" w14:textId="77777777" w:rsidR="005B52B0" w:rsidRPr="007E4AA8" w:rsidRDefault="005B52B0" w:rsidP="005128E4">
      <w:pPr>
        <w:tabs>
          <w:tab w:val="center" w:pos="5400"/>
        </w:tabs>
        <w:suppressAutoHyphens/>
        <w:jc w:val="center"/>
        <w:rPr>
          <w:rFonts w:asciiTheme="majorHAnsi" w:hAnsiTheme="majorHAnsi"/>
          <w:sz w:val="22"/>
          <w:szCs w:val="22"/>
          <w:lang w:val="es-ES"/>
        </w:rPr>
      </w:pPr>
    </w:p>
    <w:p w14:paraId="2C743B50"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021444B5"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5E9C82A8" w14:textId="77777777" w:rsidR="00040C3A" w:rsidRPr="007E4AA8" w:rsidRDefault="003D3BC2" w:rsidP="00040C3A">
      <w:pPr>
        <w:tabs>
          <w:tab w:val="center" w:pos="5400"/>
        </w:tabs>
        <w:suppressAutoHyphens/>
        <w:jc w:val="center"/>
        <w:rPr>
          <w:rFonts w:asciiTheme="majorHAnsi" w:hAnsiTheme="majorHAnsi"/>
          <w:sz w:val="22"/>
          <w:szCs w:val="22"/>
          <w:lang w:val="es-ES"/>
        </w:rPr>
      </w:pPr>
      <w:r w:rsidRPr="007E4AA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197753" wp14:editId="0C037A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5ED97" w14:textId="77777777" w:rsidR="00CC4917" w:rsidRPr="000158FD" w:rsidRDefault="00CC491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376</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20</w:t>
                            </w:r>
                          </w:p>
                          <w:p w14:paraId="51589890" w14:textId="77777777" w:rsidR="00CC4917" w:rsidRPr="005572EF" w:rsidRDefault="00CC4917"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12.902</w:t>
                            </w:r>
                          </w:p>
                          <w:p w14:paraId="4EE1BCEE" w14:textId="77777777" w:rsidR="00CC4917" w:rsidRPr="00647FCE" w:rsidRDefault="00CC4917" w:rsidP="000158FD">
                            <w:pPr>
                              <w:spacing w:line="276" w:lineRule="auto"/>
                              <w:rPr>
                                <w:rFonts w:asciiTheme="majorHAnsi" w:hAnsiTheme="majorHAnsi" w:cs="Arial"/>
                                <w:szCs w:val="22"/>
                                <w:lang w:val="es-ES_tradnl"/>
                              </w:rPr>
                            </w:pPr>
                            <w:r w:rsidRPr="00B53AAE">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4519D086" w14:textId="77777777" w:rsidR="00CC4917" w:rsidRPr="0010736F" w:rsidRDefault="00CC4917" w:rsidP="00997BC5">
                            <w:pPr>
                              <w:spacing w:line="276" w:lineRule="auto"/>
                              <w:rPr>
                                <w:rFonts w:asciiTheme="majorHAnsi" w:hAnsiTheme="majorHAnsi" w:cs="Arial"/>
                                <w:color w:val="0D0D0D" w:themeColor="text1" w:themeTint="F2"/>
                                <w:szCs w:val="22"/>
                                <w:lang w:val="es-ES_tradnl"/>
                              </w:rPr>
                            </w:pPr>
                            <w:bookmarkStart w:id="0" w:name="_ftnref1"/>
                          </w:p>
                          <w:p w14:paraId="0A618B43" w14:textId="77777777" w:rsidR="00CC4917" w:rsidRPr="0010736F" w:rsidRDefault="00CC49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LUIS LÓPEZ SOSA </w:t>
                            </w:r>
                          </w:p>
                          <w:bookmarkEnd w:id="0"/>
                          <w:p w14:paraId="5B283000" w14:textId="77777777" w:rsidR="00CC4917" w:rsidRPr="0010736F" w:rsidRDefault="00CC491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2FC665B7" w14:textId="77777777" w:rsidR="00CC4917" w:rsidRPr="00AE5488" w:rsidRDefault="00CC491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9775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065ED97" w14:textId="77777777" w:rsidR="00CC4917" w:rsidRPr="000158FD" w:rsidRDefault="00CC491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376</w:t>
                      </w:r>
                      <w:r w:rsidRPr="000158FD">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20</w:t>
                      </w:r>
                    </w:p>
                    <w:p w14:paraId="51589890" w14:textId="77777777" w:rsidR="00CC4917" w:rsidRPr="005572EF" w:rsidRDefault="00CC4917"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12.902</w:t>
                      </w:r>
                    </w:p>
                    <w:p w14:paraId="4EE1BCEE" w14:textId="77777777" w:rsidR="00CC4917" w:rsidRPr="00647FCE" w:rsidRDefault="00CC4917" w:rsidP="000158FD">
                      <w:pPr>
                        <w:spacing w:line="276" w:lineRule="auto"/>
                        <w:rPr>
                          <w:rFonts w:asciiTheme="majorHAnsi" w:hAnsiTheme="majorHAnsi" w:cs="Arial"/>
                          <w:szCs w:val="22"/>
                          <w:lang w:val="es-ES_tradnl"/>
                        </w:rPr>
                      </w:pPr>
                      <w:r w:rsidRPr="00B53AAE">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4519D086" w14:textId="77777777" w:rsidR="00CC4917" w:rsidRPr="0010736F" w:rsidRDefault="00CC4917" w:rsidP="00997BC5">
                      <w:pPr>
                        <w:spacing w:line="276" w:lineRule="auto"/>
                        <w:rPr>
                          <w:rFonts w:asciiTheme="majorHAnsi" w:hAnsiTheme="majorHAnsi" w:cs="Arial"/>
                          <w:color w:val="0D0D0D" w:themeColor="text1" w:themeTint="F2"/>
                          <w:szCs w:val="22"/>
                          <w:lang w:val="es-ES_tradnl"/>
                        </w:rPr>
                      </w:pPr>
                      <w:bookmarkStart w:id="1" w:name="_ftnref1"/>
                    </w:p>
                    <w:p w14:paraId="0A618B43" w14:textId="77777777" w:rsidR="00CC4917" w:rsidRPr="0010736F" w:rsidRDefault="00CC49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LUIS LÓPEZ SOSA </w:t>
                      </w:r>
                    </w:p>
                    <w:bookmarkEnd w:id="1"/>
                    <w:p w14:paraId="5B283000" w14:textId="77777777" w:rsidR="00CC4917" w:rsidRPr="0010736F" w:rsidRDefault="00CC491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2FC665B7" w14:textId="77777777" w:rsidR="00CC4917" w:rsidRPr="00AE5488" w:rsidRDefault="00CC4917" w:rsidP="007A5817">
                      <w:pPr>
                        <w:rPr>
                          <w:color w:val="0D0D0D" w:themeColor="text1" w:themeTint="F2"/>
                          <w:lang w:val="es-ES_tradnl"/>
                        </w:rPr>
                      </w:pPr>
                    </w:p>
                  </w:txbxContent>
                </v:textbox>
              </v:shape>
            </w:pict>
          </mc:Fallback>
        </mc:AlternateContent>
      </w:r>
      <w:r w:rsidR="004E2649" w:rsidRPr="007E4AA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C79A84E" wp14:editId="623AC1D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32102" w14:textId="77777777" w:rsidR="00CC4917" w:rsidRPr="004E2649" w:rsidRDefault="00CC49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14:paraId="69D6303A" w14:textId="77777777" w:rsidR="00CC4917" w:rsidRPr="004E2649" w:rsidRDefault="00CC491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393</w:t>
                            </w:r>
                          </w:p>
                          <w:p w14:paraId="59050D7E" w14:textId="77777777" w:rsidR="00CC4917" w:rsidRPr="007C756A" w:rsidRDefault="00CC491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15/12/2020</w:t>
                            </w:r>
                          </w:p>
                          <w:p w14:paraId="31E36E3F" w14:textId="77777777" w:rsidR="00CC4917" w:rsidRPr="007C756A" w:rsidRDefault="00CC491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A84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5C32102" w14:textId="77777777" w:rsidR="00CC4917" w:rsidRPr="004E2649" w:rsidRDefault="00CC491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14:paraId="69D6303A" w14:textId="77777777" w:rsidR="00CC4917" w:rsidRPr="004E2649" w:rsidRDefault="00CC491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393</w:t>
                      </w:r>
                    </w:p>
                    <w:p w14:paraId="59050D7E" w14:textId="77777777" w:rsidR="00CC4917" w:rsidRPr="007C756A" w:rsidRDefault="00CC491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15/12/2020</w:t>
                      </w:r>
                    </w:p>
                    <w:p w14:paraId="31E36E3F" w14:textId="77777777" w:rsidR="00CC4917" w:rsidRPr="007C756A" w:rsidRDefault="00CC491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354D5BFF"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73CF24DE"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6CC653AE" w14:textId="77777777" w:rsidR="00040C3A" w:rsidRPr="007E4AA8" w:rsidRDefault="00040C3A" w:rsidP="00040C3A">
      <w:pPr>
        <w:tabs>
          <w:tab w:val="center" w:pos="5400"/>
        </w:tabs>
        <w:suppressAutoHyphens/>
        <w:jc w:val="center"/>
        <w:rPr>
          <w:rFonts w:asciiTheme="majorHAnsi" w:hAnsiTheme="majorHAnsi" w:cs="Arial"/>
          <w:sz w:val="22"/>
          <w:szCs w:val="22"/>
          <w:lang w:val="es-ES"/>
        </w:rPr>
      </w:pPr>
    </w:p>
    <w:p w14:paraId="0F851DF2"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00DA7767"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58235D85"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5FC78C82"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056650B0" w14:textId="77777777" w:rsidR="005128E4" w:rsidRPr="007E4AA8" w:rsidRDefault="005128E4" w:rsidP="00040C3A">
      <w:pPr>
        <w:tabs>
          <w:tab w:val="center" w:pos="5400"/>
        </w:tabs>
        <w:suppressAutoHyphens/>
        <w:jc w:val="center"/>
        <w:rPr>
          <w:rFonts w:asciiTheme="majorHAnsi" w:hAnsiTheme="majorHAnsi"/>
          <w:sz w:val="22"/>
          <w:szCs w:val="22"/>
          <w:lang w:val="es-ES"/>
        </w:rPr>
      </w:pPr>
    </w:p>
    <w:p w14:paraId="41323446"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3E0C2E15" w14:textId="77777777" w:rsidR="005128E4" w:rsidRPr="007E4AA8" w:rsidRDefault="005128E4" w:rsidP="00040C3A">
      <w:pPr>
        <w:tabs>
          <w:tab w:val="center" w:pos="5400"/>
        </w:tabs>
        <w:suppressAutoHyphens/>
        <w:jc w:val="center"/>
        <w:rPr>
          <w:rFonts w:asciiTheme="majorHAnsi" w:hAnsiTheme="majorHAnsi"/>
          <w:sz w:val="22"/>
          <w:szCs w:val="22"/>
          <w:lang w:val="es-ES"/>
        </w:rPr>
      </w:pPr>
    </w:p>
    <w:p w14:paraId="7450AE7F" w14:textId="77777777" w:rsidR="005128E4" w:rsidRPr="007E4AA8" w:rsidRDefault="005128E4" w:rsidP="00040C3A">
      <w:pPr>
        <w:tabs>
          <w:tab w:val="center" w:pos="5400"/>
        </w:tabs>
        <w:suppressAutoHyphens/>
        <w:jc w:val="center"/>
        <w:rPr>
          <w:rFonts w:asciiTheme="majorHAnsi" w:hAnsiTheme="majorHAnsi"/>
          <w:sz w:val="22"/>
          <w:szCs w:val="22"/>
          <w:lang w:val="es-ES"/>
        </w:rPr>
      </w:pPr>
    </w:p>
    <w:p w14:paraId="56433A4B" w14:textId="77777777" w:rsidR="005128E4" w:rsidRPr="007E4AA8" w:rsidRDefault="005128E4" w:rsidP="00040C3A">
      <w:pPr>
        <w:tabs>
          <w:tab w:val="center" w:pos="5400"/>
        </w:tabs>
        <w:suppressAutoHyphens/>
        <w:jc w:val="center"/>
        <w:rPr>
          <w:rFonts w:asciiTheme="majorHAnsi" w:hAnsiTheme="majorHAnsi"/>
          <w:sz w:val="22"/>
          <w:szCs w:val="22"/>
          <w:lang w:val="es-ES"/>
        </w:rPr>
      </w:pPr>
    </w:p>
    <w:p w14:paraId="6C202855"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28B843F6" w14:textId="77777777" w:rsidR="00040C3A" w:rsidRPr="007E4AA8" w:rsidRDefault="00040C3A" w:rsidP="00040C3A">
      <w:pPr>
        <w:tabs>
          <w:tab w:val="center" w:pos="5400"/>
        </w:tabs>
        <w:suppressAutoHyphens/>
        <w:jc w:val="center"/>
        <w:rPr>
          <w:rFonts w:asciiTheme="majorHAnsi" w:hAnsiTheme="majorHAnsi"/>
          <w:sz w:val="22"/>
          <w:szCs w:val="22"/>
          <w:lang w:val="es-ES"/>
        </w:rPr>
      </w:pPr>
    </w:p>
    <w:p w14:paraId="4013EA3E"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570E1700"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529549F8"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4443894F"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6DF769D9"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47A494FB"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0FF4316F"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26193768"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306F6095"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3BD8F8C4"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0DCC395E"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6EC18D88"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125F9810"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785968D0"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1916ECF3" w14:textId="77777777" w:rsidR="00A50FCF" w:rsidRPr="007E4AA8" w:rsidRDefault="0090270B" w:rsidP="00040C3A">
      <w:pPr>
        <w:tabs>
          <w:tab w:val="center" w:pos="5400"/>
        </w:tabs>
        <w:suppressAutoHyphens/>
        <w:jc w:val="center"/>
        <w:rPr>
          <w:rFonts w:asciiTheme="majorHAnsi" w:hAnsiTheme="majorHAnsi"/>
          <w:sz w:val="18"/>
          <w:szCs w:val="22"/>
          <w:lang w:val="es-ES"/>
        </w:rPr>
      </w:pPr>
      <w:r w:rsidRPr="007E4AA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2AC7D9" wp14:editId="1B417D8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4DC6F" w14:textId="77777777" w:rsidR="00CC4917"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2197</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15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178</w:t>
                            </w:r>
                            <w:r w:rsidRPr="00890650">
                              <w:rPr>
                                <w:rFonts w:asciiTheme="majorHAnsi" w:hAnsiTheme="majorHAnsi" w:cs="Univers"/>
                                <w:color w:val="0D0D0D" w:themeColor="text1" w:themeTint="F2"/>
                                <w:sz w:val="18"/>
                                <w:szCs w:val="20"/>
                                <w:lang w:val="es-ES_tradnl"/>
                              </w:rPr>
                              <w:t xml:space="preserve"> período de sesiones</w:t>
                            </w:r>
                          </w:p>
                          <w:p w14:paraId="63C9896E" w14:textId="77777777" w:rsidR="00CC4917"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45AA2B82" w14:textId="77777777" w:rsidR="00CC4917" w:rsidRPr="00027A6B"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C7D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344DC6F" w14:textId="77777777" w:rsidR="00CC4917"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2197</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15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178</w:t>
                      </w:r>
                      <w:r w:rsidRPr="00890650">
                        <w:rPr>
                          <w:rFonts w:asciiTheme="majorHAnsi" w:hAnsiTheme="majorHAnsi" w:cs="Univers"/>
                          <w:color w:val="0D0D0D" w:themeColor="text1" w:themeTint="F2"/>
                          <w:sz w:val="18"/>
                          <w:szCs w:val="20"/>
                          <w:lang w:val="es-ES_tradnl"/>
                        </w:rPr>
                        <w:t xml:space="preserve"> período de sesiones</w:t>
                      </w:r>
                    </w:p>
                    <w:p w14:paraId="63C9896E" w14:textId="77777777" w:rsidR="00CC4917"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45AA2B82" w14:textId="77777777" w:rsidR="00CC4917" w:rsidRPr="00027A6B" w:rsidRDefault="00CC491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1F8CE3A5"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7B0601B6"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307C9BFA"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37789F36"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2980A8D8" w14:textId="77777777" w:rsidR="00A50FCF" w:rsidRPr="007E4AA8" w:rsidRDefault="0090270B" w:rsidP="00040C3A">
      <w:pPr>
        <w:tabs>
          <w:tab w:val="center" w:pos="5400"/>
        </w:tabs>
        <w:suppressAutoHyphens/>
        <w:jc w:val="center"/>
        <w:rPr>
          <w:rFonts w:asciiTheme="majorHAnsi" w:hAnsiTheme="majorHAnsi"/>
          <w:sz w:val="18"/>
          <w:szCs w:val="22"/>
          <w:lang w:val="es-ES"/>
        </w:rPr>
      </w:pPr>
      <w:r w:rsidRPr="007E4AA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79E955" wp14:editId="71F9365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62E73" w14:textId="77777777" w:rsidR="00CC4917" w:rsidRPr="007C756A" w:rsidRDefault="00CC4917"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376</w:t>
                            </w:r>
                            <w:r w:rsidRPr="007541E6">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7541E6">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sidRPr="00484FDC">
                              <w:rPr>
                                <w:rFonts w:asciiTheme="majorHAnsi" w:hAnsiTheme="majorHAnsi"/>
                                <w:color w:val="595959" w:themeColor="text1" w:themeTint="A6"/>
                                <w:sz w:val="18"/>
                                <w:szCs w:val="18"/>
                                <w:lang w:val="es-ES_tradnl"/>
                              </w:rPr>
                              <w:t>Caso 12.902.</w:t>
                            </w:r>
                            <w:r>
                              <w:rPr>
                                <w:rFonts w:asciiTheme="majorHAnsi" w:hAnsiTheme="majorHAnsi"/>
                                <w:color w:val="595959" w:themeColor="text1" w:themeTint="A6"/>
                                <w:sz w:val="18"/>
                                <w:szCs w:val="18"/>
                                <w:lang w:val="es-ES_tradnl"/>
                              </w:rPr>
                              <w:t xml:space="preserve"> </w:t>
                            </w:r>
                            <w:r w:rsidRPr="00484FDC">
                              <w:rPr>
                                <w:rFonts w:asciiTheme="majorHAnsi" w:hAnsiTheme="majorHAnsi"/>
                                <w:color w:val="595959" w:themeColor="text1" w:themeTint="A6"/>
                                <w:sz w:val="18"/>
                                <w:szCs w:val="18"/>
                                <w:lang w:val="es-ES_tradnl"/>
                              </w:rPr>
                              <w:t>Fondo. Jorge Luis López Sosa. Paraguay.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15 de diciembre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E95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D762E73" w14:textId="77777777" w:rsidR="00CC4917" w:rsidRPr="007C756A" w:rsidRDefault="00CC4917"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376</w:t>
                      </w:r>
                      <w:r w:rsidRPr="007541E6">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7541E6">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sidRPr="00484FDC">
                        <w:rPr>
                          <w:rFonts w:asciiTheme="majorHAnsi" w:hAnsiTheme="majorHAnsi"/>
                          <w:color w:val="595959" w:themeColor="text1" w:themeTint="A6"/>
                          <w:sz w:val="18"/>
                          <w:szCs w:val="18"/>
                          <w:lang w:val="es-ES_tradnl"/>
                        </w:rPr>
                        <w:t>Caso 12.902.</w:t>
                      </w:r>
                      <w:r>
                        <w:rPr>
                          <w:rFonts w:asciiTheme="majorHAnsi" w:hAnsiTheme="majorHAnsi"/>
                          <w:color w:val="595959" w:themeColor="text1" w:themeTint="A6"/>
                          <w:sz w:val="18"/>
                          <w:szCs w:val="18"/>
                          <w:lang w:val="es-ES_tradnl"/>
                        </w:rPr>
                        <w:t xml:space="preserve"> </w:t>
                      </w:r>
                      <w:r w:rsidRPr="00484FDC">
                        <w:rPr>
                          <w:rFonts w:asciiTheme="majorHAnsi" w:hAnsiTheme="majorHAnsi"/>
                          <w:color w:val="595959" w:themeColor="text1" w:themeTint="A6"/>
                          <w:sz w:val="18"/>
                          <w:szCs w:val="18"/>
                          <w:lang w:val="es-ES_tradnl"/>
                        </w:rPr>
                        <w:t>Fondo. Jorge Luis López Sosa. Paraguay.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15 de diciembre de 2020. </w:t>
                      </w:r>
                    </w:p>
                  </w:txbxContent>
                </v:textbox>
              </v:shape>
            </w:pict>
          </mc:Fallback>
        </mc:AlternateContent>
      </w:r>
    </w:p>
    <w:p w14:paraId="47DA3239" w14:textId="77777777" w:rsidR="00A50FCF" w:rsidRPr="007E4AA8" w:rsidRDefault="00A50FCF" w:rsidP="00040C3A">
      <w:pPr>
        <w:tabs>
          <w:tab w:val="center" w:pos="5400"/>
        </w:tabs>
        <w:suppressAutoHyphens/>
        <w:jc w:val="center"/>
        <w:rPr>
          <w:rFonts w:asciiTheme="majorHAnsi" w:hAnsiTheme="majorHAnsi"/>
          <w:sz w:val="18"/>
          <w:szCs w:val="22"/>
          <w:lang w:val="es-ES"/>
        </w:rPr>
      </w:pPr>
    </w:p>
    <w:p w14:paraId="18C580B0" w14:textId="77777777" w:rsidR="0090270B" w:rsidRPr="007E4AA8" w:rsidRDefault="00D306D1" w:rsidP="005516A1">
      <w:pPr>
        <w:tabs>
          <w:tab w:val="center" w:pos="5400"/>
        </w:tabs>
        <w:suppressAutoHyphens/>
        <w:jc w:val="center"/>
        <w:rPr>
          <w:rFonts w:asciiTheme="majorHAnsi" w:hAnsiTheme="majorHAnsi"/>
          <w:b/>
          <w:sz w:val="20"/>
          <w:lang w:val="es-ES"/>
        </w:rPr>
      </w:pPr>
      <w:r w:rsidRPr="007E4AA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0A5DCD5" wp14:editId="7615805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84659" w14:textId="77777777" w:rsidR="00CC4917" w:rsidRPr="00D72DC6" w:rsidRDefault="00CC4917" w:rsidP="00F02AD1">
                            <w:pPr>
                              <w:rPr>
                                <w:color w:val="FFFFFF" w:themeColor="background1"/>
                                <w14:textFill>
                                  <w14:noFill/>
                                </w14:textFill>
                              </w:rPr>
                            </w:pPr>
                            <w:r>
                              <w:rPr>
                                <w:noProof/>
                                <w:color w:val="FFFFFF" w:themeColor="background1"/>
                              </w:rPr>
                              <w:drawing>
                                <wp:inline distT="0" distB="0" distL="0" distR="0" wp14:anchorId="44ECAFBB" wp14:editId="471E7266">
                                  <wp:extent cx="1658203" cy="426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5DCD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F384659" w14:textId="77777777" w:rsidR="00CC4917" w:rsidRPr="00D72DC6" w:rsidRDefault="00CC4917" w:rsidP="00F02AD1">
                      <w:pPr>
                        <w:rPr>
                          <w:color w:val="FFFFFF" w:themeColor="background1"/>
                          <w14:textFill>
                            <w14:noFill/>
                          </w14:textFill>
                        </w:rPr>
                      </w:pPr>
                      <w:r>
                        <w:rPr>
                          <w:noProof/>
                          <w:color w:val="FFFFFF" w:themeColor="background1"/>
                        </w:rPr>
                        <w:drawing>
                          <wp:inline distT="0" distB="0" distL="0" distR="0" wp14:anchorId="44ECAFBB" wp14:editId="471E7266">
                            <wp:extent cx="1658203" cy="426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7E4AA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1EA5757" wp14:editId="062564A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A98B6" w14:textId="77777777" w:rsidR="00CC4917" w:rsidRPr="004B7EB6" w:rsidRDefault="00CC49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575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2ECA98B6" w14:textId="77777777" w:rsidR="00CC4917" w:rsidRPr="004B7EB6" w:rsidRDefault="00CC49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BE69A74" w14:textId="77777777" w:rsidR="0070697F" w:rsidRPr="007E4AA8" w:rsidRDefault="0070697F" w:rsidP="00032214">
      <w:pPr>
        <w:tabs>
          <w:tab w:val="center" w:pos="5400"/>
        </w:tabs>
        <w:suppressAutoHyphens/>
        <w:rPr>
          <w:rFonts w:asciiTheme="majorHAnsi" w:hAnsiTheme="majorHAnsi"/>
          <w:b/>
          <w:sz w:val="20"/>
          <w:lang w:val="es-ES"/>
        </w:rPr>
        <w:sectPr w:rsidR="0070697F" w:rsidRPr="007E4AA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8C04F07" w14:textId="77777777" w:rsidR="00722C9F" w:rsidRPr="007E4AA8" w:rsidRDefault="00722C9F" w:rsidP="00032214">
      <w:pPr>
        <w:tabs>
          <w:tab w:val="center" w:pos="5400"/>
        </w:tabs>
        <w:suppressAutoHyphens/>
        <w:spacing w:line="276" w:lineRule="auto"/>
        <w:rPr>
          <w:rFonts w:asciiTheme="majorHAnsi" w:hAnsiTheme="majorHAnsi"/>
          <w:sz w:val="18"/>
          <w:szCs w:val="20"/>
          <w:lang w:val="es-ES"/>
        </w:rPr>
      </w:pPr>
    </w:p>
    <w:p w14:paraId="54A46ED2" w14:textId="77777777" w:rsidR="00722C9F" w:rsidRPr="007E4AA8" w:rsidRDefault="00722C9F" w:rsidP="00722C9F">
      <w:pPr>
        <w:tabs>
          <w:tab w:val="center" w:pos="5400"/>
        </w:tabs>
        <w:suppressAutoHyphens/>
        <w:spacing w:line="276" w:lineRule="auto"/>
        <w:jc w:val="center"/>
        <w:rPr>
          <w:rFonts w:asciiTheme="majorHAnsi" w:hAnsiTheme="majorHAnsi"/>
          <w:b/>
          <w:sz w:val="20"/>
          <w:szCs w:val="20"/>
          <w:lang w:val="es-ES"/>
        </w:rPr>
      </w:pPr>
      <w:r w:rsidRPr="007E4AA8">
        <w:rPr>
          <w:rFonts w:asciiTheme="majorHAnsi" w:hAnsiTheme="majorHAnsi"/>
          <w:b/>
          <w:sz w:val="20"/>
          <w:szCs w:val="20"/>
          <w:lang w:val="es-ES"/>
        </w:rPr>
        <w:t>ÍNDICE</w:t>
      </w:r>
    </w:p>
    <w:p w14:paraId="433C5FBB" w14:textId="77777777" w:rsidR="008D768D" w:rsidRPr="007E4AA8" w:rsidRDefault="008D768D" w:rsidP="006125C3">
      <w:pPr>
        <w:tabs>
          <w:tab w:val="center" w:pos="5400"/>
        </w:tabs>
        <w:suppressAutoHyphens/>
        <w:spacing w:line="276" w:lineRule="auto"/>
        <w:rPr>
          <w:rFonts w:asciiTheme="majorHAnsi" w:hAnsiTheme="majorHAnsi"/>
          <w:sz w:val="20"/>
          <w:szCs w:val="20"/>
          <w:lang w:val="es-ES"/>
        </w:rPr>
      </w:pPr>
    </w:p>
    <w:p w14:paraId="7E3162EB" w14:textId="77777777" w:rsidR="00E909AA" w:rsidRPr="007E4AA8" w:rsidRDefault="00E909AA" w:rsidP="00E909AA">
      <w:pPr>
        <w:suppressAutoHyphens/>
        <w:rPr>
          <w:rFonts w:asciiTheme="majorHAnsi" w:hAnsiTheme="majorHAnsi"/>
          <w:b/>
          <w:sz w:val="20"/>
          <w:szCs w:val="20"/>
          <w:lang w:val="es-ES"/>
        </w:rPr>
      </w:pPr>
    </w:p>
    <w:p w14:paraId="47ACD758" w14:textId="3AC3D9C4" w:rsidR="00386FE4" w:rsidRPr="00386FE4" w:rsidRDefault="006125C3">
      <w:pPr>
        <w:pStyle w:val="TOC1"/>
        <w:tabs>
          <w:tab w:val="left" w:pos="480"/>
          <w:tab w:val="right" w:leader="dot" w:pos="9350"/>
        </w:tabs>
        <w:rPr>
          <w:rFonts w:asciiTheme="majorHAnsi" w:eastAsiaTheme="minorEastAsia" w:hAnsiTheme="majorHAnsi" w:cstheme="minorBidi"/>
          <w:b w:val="0"/>
          <w:i w:val="0"/>
          <w:iCs w:val="0"/>
          <w:noProof/>
          <w:sz w:val="20"/>
          <w:szCs w:val="20"/>
        </w:rPr>
      </w:pPr>
      <w:r w:rsidRPr="00386FE4">
        <w:rPr>
          <w:rFonts w:asciiTheme="majorHAnsi" w:hAnsiTheme="majorHAnsi"/>
          <w:b w:val="0"/>
          <w:i w:val="0"/>
          <w:iCs w:val="0"/>
          <w:sz w:val="20"/>
          <w:szCs w:val="20"/>
          <w:lang w:val="es-ES"/>
        </w:rPr>
        <w:fldChar w:fldCharType="begin"/>
      </w:r>
      <w:r w:rsidRPr="00386FE4">
        <w:rPr>
          <w:rFonts w:asciiTheme="majorHAnsi" w:hAnsiTheme="majorHAnsi"/>
          <w:b w:val="0"/>
          <w:i w:val="0"/>
          <w:iCs w:val="0"/>
          <w:sz w:val="20"/>
          <w:szCs w:val="20"/>
          <w:lang w:val="es-ES"/>
        </w:rPr>
        <w:instrText xml:space="preserve"> TOC \o "1-7" \h \z \u </w:instrText>
      </w:r>
      <w:r w:rsidRPr="00386FE4">
        <w:rPr>
          <w:rFonts w:asciiTheme="majorHAnsi" w:hAnsiTheme="majorHAnsi"/>
          <w:b w:val="0"/>
          <w:i w:val="0"/>
          <w:iCs w:val="0"/>
          <w:sz w:val="20"/>
          <w:szCs w:val="20"/>
          <w:lang w:val="es-ES"/>
        </w:rPr>
        <w:fldChar w:fldCharType="separate"/>
      </w:r>
      <w:hyperlink w:anchor="_Toc60669564" w:history="1">
        <w:r w:rsidR="00386FE4" w:rsidRPr="00386FE4">
          <w:rPr>
            <w:rStyle w:val="Hyperlink"/>
            <w:rFonts w:asciiTheme="majorHAnsi" w:hAnsiTheme="majorHAnsi"/>
            <w:b w:val="0"/>
            <w:i w:val="0"/>
            <w:iCs w:val="0"/>
            <w:noProof/>
            <w:sz w:val="20"/>
            <w:szCs w:val="20"/>
            <w:lang w:val="es-ES"/>
          </w:rPr>
          <w:t>I.</w:t>
        </w:r>
        <w:r w:rsidR="00386FE4" w:rsidRPr="00386FE4">
          <w:rPr>
            <w:rFonts w:asciiTheme="majorHAnsi" w:eastAsiaTheme="minorEastAsia" w:hAnsiTheme="majorHAnsi" w:cstheme="minorBidi"/>
            <w:b w:val="0"/>
            <w:i w:val="0"/>
            <w:iCs w:val="0"/>
            <w:noProof/>
            <w:sz w:val="20"/>
            <w:szCs w:val="20"/>
          </w:rPr>
          <w:tab/>
        </w:r>
        <w:r w:rsidR="00386FE4" w:rsidRPr="00386FE4">
          <w:rPr>
            <w:rStyle w:val="Hyperlink"/>
            <w:rFonts w:asciiTheme="majorHAnsi" w:hAnsiTheme="majorHAnsi"/>
            <w:b w:val="0"/>
            <w:i w:val="0"/>
            <w:iCs w:val="0"/>
            <w:noProof/>
            <w:sz w:val="20"/>
            <w:szCs w:val="20"/>
            <w:lang w:val="es-ES"/>
          </w:rPr>
          <w:t>INTRODUCCIÓN</w:t>
        </w:r>
        <w:r w:rsidR="00386FE4" w:rsidRPr="00386FE4">
          <w:rPr>
            <w:rFonts w:asciiTheme="majorHAnsi" w:hAnsiTheme="majorHAnsi"/>
            <w:b w:val="0"/>
            <w:i w:val="0"/>
            <w:iCs w:val="0"/>
            <w:noProof/>
            <w:webHidden/>
            <w:sz w:val="20"/>
            <w:szCs w:val="20"/>
          </w:rPr>
          <w:tab/>
        </w:r>
        <w:r w:rsidR="00386FE4" w:rsidRPr="00386FE4">
          <w:rPr>
            <w:rFonts w:asciiTheme="majorHAnsi" w:hAnsiTheme="majorHAnsi"/>
            <w:b w:val="0"/>
            <w:i w:val="0"/>
            <w:iCs w:val="0"/>
            <w:noProof/>
            <w:webHidden/>
            <w:sz w:val="20"/>
            <w:szCs w:val="20"/>
          </w:rPr>
          <w:fldChar w:fldCharType="begin"/>
        </w:r>
        <w:r w:rsidR="00386FE4" w:rsidRPr="00386FE4">
          <w:rPr>
            <w:rFonts w:asciiTheme="majorHAnsi" w:hAnsiTheme="majorHAnsi"/>
            <w:b w:val="0"/>
            <w:i w:val="0"/>
            <w:iCs w:val="0"/>
            <w:noProof/>
            <w:webHidden/>
            <w:sz w:val="20"/>
            <w:szCs w:val="20"/>
          </w:rPr>
          <w:instrText xml:space="preserve"> PAGEREF _Toc60669564 \h </w:instrText>
        </w:r>
        <w:r w:rsidR="00386FE4" w:rsidRPr="00386FE4">
          <w:rPr>
            <w:rFonts w:asciiTheme="majorHAnsi" w:hAnsiTheme="majorHAnsi"/>
            <w:b w:val="0"/>
            <w:i w:val="0"/>
            <w:iCs w:val="0"/>
            <w:noProof/>
            <w:webHidden/>
            <w:sz w:val="20"/>
            <w:szCs w:val="20"/>
          </w:rPr>
        </w:r>
        <w:r w:rsidR="00386FE4" w:rsidRPr="00386FE4">
          <w:rPr>
            <w:rFonts w:asciiTheme="majorHAnsi" w:hAnsiTheme="majorHAnsi"/>
            <w:b w:val="0"/>
            <w:i w:val="0"/>
            <w:iCs w:val="0"/>
            <w:noProof/>
            <w:webHidden/>
            <w:sz w:val="20"/>
            <w:szCs w:val="20"/>
          </w:rPr>
          <w:fldChar w:fldCharType="separate"/>
        </w:r>
        <w:r w:rsidR="00DA468D">
          <w:rPr>
            <w:rFonts w:asciiTheme="majorHAnsi" w:hAnsiTheme="majorHAnsi"/>
            <w:b w:val="0"/>
            <w:i w:val="0"/>
            <w:iCs w:val="0"/>
            <w:noProof/>
            <w:webHidden/>
            <w:sz w:val="20"/>
            <w:szCs w:val="20"/>
          </w:rPr>
          <w:t>2</w:t>
        </w:r>
        <w:r w:rsidR="00386FE4" w:rsidRPr="00386FE4">
          <w:rPr>
            <w:rFonts w:asciiTheme="majorHAnsi" w:hAnsiTheme="majorHAnsi"/>
            <w:b w:val="0"/>
            <w:i w:val="0"/>
            <w:iCs w:val="0"/>
            <w:noProof/>
            <w:webHidden/>
            <w:sz w:val="20"/>
            <w:szCs w:val="20"/>
          </w:rPr>
          <w:fldChar w:fldCharType="end"/>
        </w:r>
      </w:hyperlink>
    </w:p>
    <w:p w14:paraId="4CCE1C1E" w14:textId="72431D97" w:rsidR="00386FE4" w:rsidRPr="00386FE4" w:rsidRDefault="00DA468D">
      <w:pPr>
        <w:pStyle w:val="TOC1"/>
        <w:tabs>
          <w:tab w:val="left" w:pos="480"/>
          <w:tab w:val="right" w:leader="dot" w:pos="9350"/>
        </w:tabs>
        <w:rPr>
          <w:rFonts w:asciiTheme="majorHAnsi" w:eastAsiaTheme="minorEastAsia" w:hAnsiTheme="majorHAnsi" w:cstheme="minorBidi"/>
          <w:b w:val="0"/>
          <w:i w:val="0"/>
          <w:iCs w:val="0"/>
          <w:noProof/>
          <w:sz w:val="20"/>
          <w:szCs w:val="20"/>
        </w:rPr>
      </w:pPr>
      <w:hyperlink w:anchor="_Toc60669565" w:history="1">
        <w:r w:rsidR="00386FE4" w:rsidRPr="00386FE4">
          <w:rPr>
            <w:rStyle w:val="Hyperlink"/>
            <w:rFonts w:asciiTheme="majorHAnsi" w:hAnsiTheme="majorHAnsi"/>
            <w:b w:val="0"/>
            <w:i w:val="0"/>
            <w:iCs w:val="0"/>
            <w:noProof/>
            <w:sz w:val="20"/>
            <w:szCs w:val="20"/>
            <w:lang w:val="es-ES"/>
          </w:rPr>
          <w:t>II.</w:t>
        </w:r>
        <w:r w:rsidR="00386FE4" w:rsidRPr="00386FE4">
          <w:rPr>
            <w:rFonts w:asciiTheme="majorHAnsi" w:eastAsiaTheme="minorEastAsia" w:hAnsiTheme="majorHAnsi" w:cstheme="minorBidi"/>
            <w:b w:val="0"/>
            <w:i w:val="0"/>
            <w:iCs w:val="0"/>
            <w:noProof/>
            <w:sz w:val="20"/>
            <w:szCs w:val="20"/>
          </w:rPr>
          <w:tab/>
        </w:r>
        <w:r w:rsidR="00386FE4" w:rsidRPr="00386FE4">
          <w:rPr>
            <w:rStyle w:val="Hyperlink"/>
            <w:rFonts w:asciiTheme="majorHAnsi" w:hAnsiTheme="majorHAnsi"/>
            <w:b w:val="0"/>
            <w:i w:val="0"/>
            <w:iCs w:val="0"/>
            <w:noProof/>
            <w:sz w:val="20"/>
            <w:szCs w:val="20"/>
            <w:lang w:val="es-ES"/>
          </w:rPr>
          <w:t>ALEGATOS DE LAS PARTES</w:t>
        </w:r>
        <w:r w:rsidR="00386FE4" w:rsidRPr="00386FE4">
          <w:rPr>
            <w:rFonts w:asciiTheme="majorHAnsi" w:hAnsiTheme="majorHAnsi"/>
            <w:b w:val="0"/>
            <w:i w:val="0"/>
            <w:iCs w:val="0"/>
            <w:noProof/>
            <w:webHidden/>
            <w:sz w:val="20"/>
            <w:szCs w:val="20"/>
          </w:rPr>
          <w:tab/>
        </w:r>
        <w:r w:rsidR="00386FE4" w:rsidRPr="00386FE4">
          <w:rPr>
            <w:rFonts w:asciiTheme="majorHAnsi" w:hAnsiTheme="majorHAnsi"/>
            <w:b w:val="0"/>
            <w:i w:val="0"/>
            <w:iCs w:val="0"/>
            <w:noProof/>
            <w:webHidden/>
            <w:sz w:val="20"/>
            <w:szCs w:val="20"/>
          </w:rPr>
          <w:fldChar w:fldCharType="begin"/>
        </w:r>
        <w:r w:rsidR="00386FE4" w:rsidRPr="00386FE4">
          <w:rPr>
            <w:rFonts w:asciiTheme="majorHAnsi" w:hAnsiTheme="majorHAnsi"/>
            <w:b w:val="0"/>
            <w:i w:val="0"/>
            <w:iCs w:val="0"/>
            <w:noProof/>
            <w:webHidden/>
            <w:sz w:val="20"/>
            <w:szCs w:val="20"/>
          </w:rPr>
          <w:instrText xml:space="preserve"> PAGEREF _Toc60669565 \h </w:instrText>
        </w:r>
        <w:r w:rsidR="00386FE4" w:rsidRPr="00386FE4">
          <w:rPr>
            <w:rFonts w:asciiTheme="majorHAnsi" w:hAnsiTheme="majorHAnsi"/>
            <w:b w:val="0"/>
            <w:i w:val="0"/>
            <w:iCs w:val="0"/>
            <w:noProof/>
            <w:webHidden/>
            <w:sz w:val="20"/>
            <w:szCs w:val="20"/>
          </w:rPr>
        </w:r>
        <w:r w:rsidR="00386FE4" w:rsidRPr="00386FE4">
          <w:rPr>
            <w:rFonts w:asciiTheme="majorHAnsi" w:hAnsiTheme="majorHAnsi"/>
            <w:b w:val="0"/>
            <w:i w:val="0"/>
            <w:iCs w:val="0"/>
            <w:noProof/>
            <w:webHidden/>
            <w:sz w:val="20"/>
            <w:szCs w:val="20"/>
          </w:rPr>
          <w:fldChar w:fldCharType="separate"/>
        </w:r>
        <w:r>
          <w:rPr>
            <w:rFonts w:asciiTheme="majorHAnsi" w:hAnsiTheme="majorHAnsi"/>
            <w:b w:val="0"/>
            <w:i w:val="0"/>
            <w:iCs w:val="0"/>
            <w:noProof/>
            <w:webHidden/>
            <w:sz w:val="20"/>
            <w:szCs w:val="20"/>
          </w:rPr>
          <w:t>2</w:t>
        </w:r>
        <w:r w:rsidR="00386FE4" w:rsidRPr="00386FE4">
          <w:rPr>
            <w:rFonts w:asciiTheme="majorHAnsi" w:hAnsiTheme="majorHAnsi"/>
            <w:b w:val="0"/>
            <w:i w:val="0"/>
            <w:iCs w:val="0"/>
            <w:noProof/>
            <w:webHidden/>
            <w:sz w:val="20"/>
            <w:szCs w:val="20"/>
          </w:rPr>
          <w:fldChar w:fldCharType="end"/>
        </w:r>
      </w:hyperlink>
    </w:p>
    <w:p w14:paraId="1A1979E0" w14:textId="23D9979D" w:rsidR="00386FE4" w:rsidRPr="00386FE4" w:rsidRDefault="00DA468D">
      <w:pPr>
        <w:pStyle w:val="TOC2"/>
        <w:tabs>
          <w:tab w:val="left" w:pos="720"/>
          <w:tab w:val="right" w:leader="dot" w:pos="9350"/>
        </w:tabs>
        <w:rPr>
          <w:rFonts w:asciiTheme="majorHAnsi" w:eastAsiaTheme="minorEastAsia" w:hAnsiTheme="majorHAnsi" w:cstheme="minorBidi"/>
          <w:b w:val="0"/>
          <w:noProof/>
          <w:sz w:val="20"/>
          <w:szCs w:val="20"/>
        </w:rPr>
      </w:pPr>
      <w:hyperlink w:anchor="_Toc60669566" w:history="1">
        <w:r w:rsidR="00386FE4" w:rsidRPr="00386FE4">
          <w:rPr>
            <w:rStyle w:val="Hyperlink"/>
            <w:rFonts w:asciiTheme="majorHAnsi" w:hAnsiTheme="majorHAnsi"/>
            <w:b w:val="0"/>
            <w:noProof/>
            <w:sz w:val="20"/>
            <w:szCs w:val="20"/>
            <w:lang w:val="es-ES"/>
          </w:rPr>
          <w:t>A.</w:t>
        </w:r>
        <w:r w:rsidR="00386FE4" w:rsidRPr="00386FE4">
          <w:rPr>
            <w:rFonts w:asciiTheme="majorHAnsi" w:eastAsiaTheme="minorEastAsia" w:hAnsiTheme="majorHAnsi" w:cstheme="minorBidi"/>
            <w:b w:val="0"/>
            <w:noProof/>
            <w:sz w:val="20"/>
            <w:szCs w:val="20"/>
          </w:rPr>
          <w:tab/>
        </w:r>
        <w:r w:rsidR="00386FE4" w:rsidRPr="00386FE4">
          <w:rPr>
            <w:rStyle w:val="Hyperlink"/>
            <w:rFonts w:asciiTheme="majorHAnsi" w:hAnsiTheme="majorHAnsi"/>
            <w:b w:val="0"/>
            <w:noProof/>
            <w:sz w:val="20"/>
            <w:szCs w:val="20"/>
            <w:lang w:val="es-ES"/>
          </w:rPr>
          <w:t>Parte peticionaria</w:t>
        </w:r>
        <w:r w:rsidR="00386FE4" w:rsidRPr="00386FE4">
          <w:rPr>
            <w:rFonts w:asciiTheme="majorHAnsi" w:hAnsiTheme="majorHAnsi"/>
            <w:b w:val="0"/>
            <w:noProof/>
            <w:webHidden/>
            <w:sz w:val="20"/>
            <w:szCs w:val="20"/>
          </w:rPr>
          <w:tab/>
        </w:r>
        <w:r w:rsidR="00386FE4" w:rsidRPr="00386FE4">
          <w:rPr>
            <w:rFonts w:asciiTheme="majorHAnsi" w:hAnsiTheme="majorHAnsi"/>
            <w:b w:val="0"/>
            <w:noProof/>
            <w:webHidden/>
            <w:sz w:val="20"/>
            <w:szCs w:val="20"/>
          </w:rPr>
          <w:fldChar w:fldCharType="begin"/>
        </w:r>
        <w:r w:rsidR="00386FE4" w:rsidRPr="00386FE4">
          <w:rPr>
            <w:rFonts w:asciiTheme="majorHAnsi" w:hAnsiTheme="majorHAnsi"/>
            <w:b w:val="0"/>
            <w:noProof/>
            <w:webHidden/>
            <w:sz w:val="20"/>
            <w:szCs w:val="20"/>
          </w:rPr>
          <w:instrText xml:space="preserve"> PAGEREF _Toc60669566 \h </w:instrText>
        </w:r>
        <w:r w:rsidR="00386FE4" w:rsidRPr="00386FE4">
          <w:rPr>
            <w:rFonts w:asciiTheme="majorHAnsi" w:hAnsiTheme="majorHAnsi"/>
            <w:b w:val="0"/>
            <w:noProof/>
            <w:webHidden/>
            <w:sz w:val="20"/>
            <w:szCs w:val="20"/>
          </w:rPr>
        </w:r>
        <w:r w:rsidR="00386FE4" w:rsidRPr="00386FE4">
          <w:rPr>
            <w:rFonts w:asciiTheme="majorHAnsi" w:hAnsiTheme="majorHAnsi"/>
            <w:b w:val="0"/>
            <w:noProof/>
            <w:webHidden/>
            <w:sz w:val="20"/>
            <w:szCs w:val="20"/>
          </w:rPr>
          <w:fldChar w:fldCharType="separate"/>
        </w:r>
        <w:r>
          <w:rPr>
            <w:rFonts w:asciiTheme="majorHAnsi" w:hAnsiTheme="majorHAnsi"/>
            <w:b w:val="0"/>
            <w:noProof/>
            <w:webHidden/>
            <w:sz w:val="20"/>
            <w:szCs w:val="20"/>
          </w:rPr>
          <w:t>2</w:t>
        </w:r>
        <w:r w:rsidR="00386FE4" w:rsidRPr="00386FE4">
          <w:rPr>
            <w:rFonts w:asciiTheme="majorHAnsi" w:hAnsiTheme="majorHAnsi"/>
            <w:b w:val="0"/>
            <w:noProof/>
            <w:webHidden/>
            <w:sz w:val="20"/>
            <w:szCs w:val="20"/>
          </w:rPr>
          <w:fldChar w:fldCharType="end"/>
        </w:r>
      </w:hyperlink>
    </w:p>
    <w:p w14:paraId="5E654B15" w14:textId="4E4E90B2" w:rsidR="00386FE4" w:rsidRPr="00386FE4" w:rsidRDefault="00DA468D">
      <w:pPr>
        <w:pStyle w:val="TOC2"/>
        <w:tabs>
          <w:tab w:val="left" w:pos="720"/>
          <w:tab w:val="right" w:leader="dot" w:pos="9350"/>
        </w:tabs>
        <w:rPr>
          <w:rFonts w:asciiTheme="majorHAnsi" w:eastAsiaTheme="minorEastAsia" w:hAnsiTheme="majorHAnsi" w:cstheme="minorBidi"/>
          <w:b w:val="0"/>
          <w:noProof/>
          <w:sz w:val="20"/>
          <w:szCs w:val="20"/>
        </w:rPr>
      </w:pPr>
      <w:hyperlink w:anchor="_Toc60669567" w:history="1">
        <w:r w:rsidR="00386FE4" w:rsidRPr="00386FE4">
          <w:rPr>
            <w:rStyle w:val="Hyperlink"/>
            <w:rFonts w:asciiTheme="majorHAnsi" w:hAnsiTheme="majorHAnsi"/>
            <w:b w:val="0"/>
            <w:noProof/>
            <w:sz w:val="20"/>
            <w:szCs w:val="20"/>
            <w:lang w:val="es-ES"/>
          </w:rPr>
          <w:t>B.</w:t>
        </w:r>
        <w:r w:rsidR="00386FE4" w:rsidRPr="00386FE4">
          <w:rPr>
            <w:rFonts w:asciiTheme="majorHAnsi" w:eastAsiaTheme="minorEastAsia" w:hAnsiTheme="majorHAnsi" w:cstheme="minorBidi"/>
            <w:b w:val="0"/>
            <w:noProof/>
            <w:sz w:val="20"/>
            <w:szCs w:val="20"/>
          </w:rPr>
          <w:tab/>
        </w:r>
        <w:r w:rsidR="00386FE4" w:rsidRPr="00386FE4">
          <w:rPr>
            <w:rStyle w:val="Hyperlink"/>
            <w:rFonts w:asciiTheme="majorHAnsi" w:hAnsiTheme="majorHAnsi"/>
            <w:b w:val="0"/>
            <w:noProof/>
            <w:sz w:val="20"/>
            <w:szCs w:val="20"/>
            <w:lang w:val="es-ES"/>
          </w:rPr>
          <w:t>Estado</w:t>
        </w:r>
        <w:r w:rsidR="00386FE4" w:rsidRPr="00386FE4">
          <w:rPr>
            <w:rFonts w:asciiTheme="majorHAnsi" w:hAnsiTheme="majorHAnsi"/>
            <w:b w:val="0"/>
            <w:noProof/>
            <w:webHidden/>
            <w:sz w:val="20"/>
            <w:szCs w:val="20"/>
          </w:rPr>
          <w:tab/>
        </w:r>
        <w:r w:rsidR="00386FE4" w:rsidRPr="00386FE4">
          <w:rPr>
            <w:rFonts w:asciiTheme="majorHAnsi" w:hAnsiTheme="majorHAnsi"/>
            <w:b w:val="0"/>
            <w:noProof/>
            <w:webHidden/>
            <w:sz w:val="20"/>
            <w:szCs w:val="20"/>
          </w:rPr>
          <w:fldChar w:fldCharType="begin"/>
        </w:r>
        <w:r w:rsidR="00386FE4" w:rsidRPr="00386FE4">
          <w:rPr>
            <w:rFonts w:asciiTheme="majorHAnsi" w:hAnsiTheme="majorHAnsi"/>
            <w:b w:val="0"/>
            <w:noProof/>
            <w:webHidden/>
            <w:sz w:val="20"/>
            <w:szCs w:val="20"/>
          </w:rPr>
          <w:instrText xml:space="preserve"> PAGEREF _Toc60669567 \h </w:instrText>
        </w:r>
        <w:r w:rsidR="00386FE4" w:rsidRPr="00386FE4">
          <w:rPr>
            <w:rFonts w:asciiTheme="majorHAnsi" w:hAnsiTheme="majorHAnsi"/>
            <w:b w:val="0"/>
            <w:noProof/>
            <w:webHidden/>
            <w:sz w:val="20"/>
            <w:szCs w:val="20"/>
          </w:rPr>
        </w:r>
        <w:r w:rsidR="00386FE4" w:rsidRPr="00386FE4">
          <w:rPr>
            <w:rFonts w:asciiTheme="majorHAnsi" w:hAnsiTheme="majorHAnsi"/>
            <w:b w:val="0"/>
            <w:noProof/>
            <w:webHidden/>
            <w:sz w:val="20"/>
            <w:szCs w:val="20"/>
          </w:rPr>
          <w:fldChar w:fldCharType="separate"/>
        </w:r>
        <w:r>
          <w:rPr>
            <w:rFonts w:asciiTheme="majorHAnsi" w:hAnsiTheme="majorHAnsi"/>
            <w:b w:val="0"/>
            <w:noProof/>
            <w:webHidden/>
            <w:sz w:val="20"/>
            <w:szCs w:val="20"/>
          </w:rPr>
          <w:t>3</w:t>
        </w:r>
        <w:r w:rsidR="00386FE4" w:rsidRPr="00386FE4">
          <w:rPr>
            <w:rFonts w:asciiTheme="majorHAnsi" w:hAnsiTheme="majorHAnsi"/>
            <w:b w:val="0"/>
            <w:noProof/>
            <w:webHidden/>
            <w:sz w:val="20"/>
            <w:szCs w:val="20"/>
          </w:rPr>
          <w:fldChar w:fldCharType="end"/>
        </w:r>
      </w:hyperlink>
    </w:p>
    <w:p w14:paraId="6EFE541F" w14:textId="44F406CA" w:rsidR="00386FE4" w:rsidRPr="00386FE4" w:rsidRDefault="00DA468D">
      <w:pPr>
        <w:pStyle w:val="TOC1"/>
        <w:tabs>
          <w:tab w:val="left" w:pos="720"/>
          <w:tab w:val="right" w:leader="dot" w:pos="9350"/>
        </w:tabs>
        <w:rPr>
          <w:rFonts w:asciiTheme="majorHAnsi" w:eastAsiaTheme="minorEastAsia" w:hAnsiTheme="majorHAnsi" w:cstheme="minorBidi"/>
          <w:b w:val="0"/>
          <w:i w:val="0"/>
          <w:iCs w:val="0"/>
          <w:noProof/>
          <w:sz w:val="20"/>
          <w:szCs w:val="20"/>
        </w:rPr>
      </w:pPr>
      <w:hyperlink w:anchor="_Toc60669568" w:history="1">
        <w:r w:rsidR="00386FE4" w:rsidRPr="00386FE4">
          <w:rPr>
            <w:rStyle w:val="Hyperlink"/>
            <w:rFonts w:asciiTheme="majorHAnsi" w:hAnsiTheme="majorHAnsi"/>
            <w:b w:val="0"/>
            <w:i w:val="0"/>
            <w:iCs w:val="0"/>
            <w:noProof/>
            <w:sz w:val="20"/>
            <w:szCs w:val="20"/>
            <w:lang w:val="es-ES"/>
          </w:rPr>
          <w:t>III.</w:t>
        </w:r>
        <w:r w:rsidR="00386FE4" w:rsidRPr="00386FE4">
          <w:rPr>
            <w:rFonts w:asciiTheme="majorHAnsi" w:eastAsiaTheme="minorEastAsia" w:hAnsiTheme="majorHAnsi" w:cstheme="minorBidi"/>
            <w:b w:val="0"/>
            <w:i w:val="0"/>
            <w:iCs w:val="0"/>
            <w:noProof/>
            <w:sz w:val="20"/>
            <w:szCs w:val="20"/>
          </w:rPr>
          <w:tab/>
        </w:r>
        <w:r w:rsidR="00386FE4" w:rsidRPr="00386FE4">
          <w:rPr>
            <w:rStyle w:val="Hyperlink"/>
            <w:rFonts w:asciiTheme="majorHAnsi" w:hAnsiTheme="majorHAnsi"/>
            <w:b w:val="0"/>
            <w:i w:val="0"/>
            <w:iCs w:val="0"/>
            <w:noProof/>
            <w:sz w:val="20"/>
            <w:szCs w:val="20"/>
            <w:lang w:val="es-ES"/>
          </w:rPr>
          <w:t>DETERMINACIONES DE HECHO</w:t>
        </w:r>
        <w:r w:rsidR="00386FE4" w:rsidRPr="00386FE4">
          <w:rPr>
            <w:rFonts w:asciiTheme="majorHAnsi" w:hAnsiTheme="majorHAnsi"/>
            <w:b w:val="0"/>
            <w:i w:val="0"/>
            <w:iCs w:val="0"/>
            <w:noProof/>
            <w:webHidden/>
            <w:sz w:val="20"/>
            <w:szCs w:val="20"/>
          </w:rPr>
          <w:tab/>
        </w:r>
        <w:r w:rsidR="00386FE4" w:rsidRPr="00386FE4">
          <w:rPr>
            <w:rFonts w:asciiTheme="majorHAnsi" w:hAnsiTheme="majorHAnsi"/>
            <w:b w:val="0"/>
            <w:i w:val="0"/>
            <w:iCs w:val="0"/>
            <w:noProof/>
            <w:webHidden/>
            <w:sz w:val="20"/>
            <w:szCs w:val="20"/>
          </w:rPr>
          <w:fldChar w:fldCharType="begin"/>
        </w:r>
        <w:r w:rsidR="00386FE4" w:rsidRPr="00386FE4">
          <w:rPr>
            <w:rFonts w:asciiTheme="majorHAnsi" w:hAnsiTheme="majorHAnsi"/>
            <w:b w:val="0"/>
            <w:i w:val="0"/>
            <w:iCs w:val="0"/>
            <w:noProof/>
            <w:webHidden/>
            <w:sz w:val="20"/>
            <w:szCs w:val="20"/>
          </w:rPr>
          <w:instrText xml:space="preserve"> PAGEREF _Toc60669568 \h </w:instrText>
        </w:r>
        <w:r w:rsidR="00386FE4" w:rsidRPr="00386FE4">
          <w:rPr>
            <w:rFonts w:asciiTheme="majorHAnsi" w:hAnsiTheme="majorHAnsi"/>
            <w:b w:val="0"/>
            <w:i w:val="0"/>
            <w:iCs w:val="0"/>
            <w:noProof/>
            <w:webHidden/>
            <w:sz w:val="20"/>
            <w:szCs w:val="20"/>
          </w:rPr>
        </w:r>
        <w:r w:rsidR="00386FE4" w:rsidRPr="00386FE4">
          <w:rPr>
            <w:rFonts w:asciiTheme="majorHAnsi" w:hAnsiTheme="majorHAnsi"/>
            <w:b w:val="0"/>
            <w:i w:val="0"/>
            <w:iCs w:val="0"/>
            <w:noProof/>
            <w:webHidden/>
            <w:sz w:val="20"/>
            <w:szCs w:val="20"/>
          </w:rPr>
          <w:fldChar w:fldCharType="separate"/>
        </w:r>
        <w:r>
          <w:rPr>
            <w:rFonts w:asciiTheme="majorHAnsi" w:hAnsiTheme="majorHAnsi"/>
            <w:b w:val="0"/>
            <w:i w:val="0"/>
            <w:iCs w:val="0"/>
            <w:noProof/>
            <w:webHidden/>
            <w:sz w:val="20"/>
            <w:szCs w:val="20"/>
          </w:rPr>
          <w:t>4</w:t>
        </w:r>
        <w:r w:rsidR="00386FE4" w:rsidRPr="00386FE4">
          <w:rPr>
            <w:rFonts w:asciiTheme="majorHAnsi" w:hAnsiTheme="majorHAnsi"/>
            <w:b w:val="0"/>
            <w:i w:val="0"/>
            <w:iCs w:val="0"/>
            <w:noProof/>
            <w:webHidden/>
            <w:sz w:val="20"/>
            <w:szCs w:val="20"/>
          </w:rPr>
          <w:fldChar w:fldCharType="end"/>
        </w:r>
      </w:hyperlink>
    </w:p>
    <w:p w14:paraId="2DEE0DE4" w14:textId="27FE42C2" w:rsidR="00386FE4" w:rsidRPr="00386FE4" w:rsidRDefault="00DA468D">
      <w:pPr>
        <w:pStyle w:val="TOC1"/>
        <w:tabs>
          <w:tab w:val="left" w:pos="720"/>
          <w:tab w:val="right" w:leader="dot" w:pos="9350"/>
        </w:tabs>
        <w:rPr>
          <w:rFonts w:asciiTheme="majorHAnsi" w:eastAsiaTheme="minorEastAsia" w:hAnsiTheme="majorHAnsi" w:cstheme="minorBidi"/>
          <w:b w:val="0"/>
          <w:i w:val="0"/>
          <w:iCs w:val="0"/>
          <w:noProof/>
          <w:sz w:val="20"/>
          <w:szCs w:val="20"/>
        </w:rPr>
      </w:pPr>
      <w:hyperlink w:anchor="_Toc60669569" w:history="1">
        <w:r w:rsidR="00386FE4" w:rsidRPr="00386FE4">
          <w:rPr>
            <w:rStyle w:val="Hyperlink"/>
            <w:rFonts w:asciiTheme="majorHAnsi" w:hAnsiTheme="majorHAnsi"/>
            <w:b w:val="0"/>
            <w:i w:val="0"/>
            <w:iCs w:val="0"/>
            <w:noProof/>
            <w:sz w:val="20"/>
            <w:szCs w:val="20"/>
            <w:lang w:val="es-ES"/>
          </w:rPr>
          <w:t>IV.</w:t>
        </w:r>
        <w:r w:rsidR="00386FE4" w:rsidRPr="00386FE4">
          <w:rPr>
            <w:rFonts w:asciiTheme="majorHAnsi" w:eastAsiaTheme="minorEastAsia" w:hAnsiTheme="majorHAnsi" w:cstheme="minorBidi"/>
            <w:b w:val="0"/>
            <w:i w:val="0"/>
            <w:iCs w:val="0"/>
            <w:noProof/>
            <w:sz w:val="20"/>
            <w:szCs w:val="20"/>
          </w:rPr>
          <w:tab/>
        </w:r>
        <w:r w:rsidR="00386FE4" w:rsidRPr="00386FE4">
          <w:rPr>
            <w:rStyle w:val="Hyperlink"/>
            <w:rFonts w:asciiTheme="majorHAnsi" w:hAnsiTheme="majorHAnsi"/>
            <w:b w:val="0"/>
            <w:i w:val="0"/>
            <w:iCs w:val="0"/>
            <w:noProof/>
            <w:sz w:val="20"/>
            <w:szCs w:val="20"/>
            <w:lang w:val="es-ES"/>
          </w:rPr>
          <w:t>ANÁLISIS DE DERECHO</w:t>
        </w:r>
        <w:r w:rsidR="00386FE4" w:rsidRPr="00386FE4">
          <w:rPr>
            <w:rFonts w:asciiTheme="majorHAnsi" w:hAnsiTheme="majorHAnsi"/>
            <w:b w:val="0"/>
            <w:i w:val="0"/>
            <w:iCs w:val="0"/>
            <w:noProof/>
            <w:webHidden/>
            <w:sz w:val="20"/>
            <w:szCs w:val="20"/>
          </w:rPr>
          <w:tab/>
        </w:r>
        <w:r w:rsidR="00386FE4" w:rsidRPr="00386FE4">
          <w:rPr>
            <w:rFonts w:asciiTheme="majorHAnsi" w:hAnsiTheme="majorHAnsi"/>
            <w:b w:val="0"/>
            <w:i w:val="0"/>
            <w:iCs w:val="0"/>
            <w:noProof/>
            <w:webHidden/>
            <w:sz w:val="20"/>
            <w:szCs w:val="20"/>
          </w:rPr>
          <w:fldChar w:fldCharType="begin"/>
        </w:r>
        <w:r w:rsidR="00386FE4" w:rsidRPr="00386FE4">
          <w:rPr>
            <w:rFonts w:asciiTheme="majorHAnsi" w:hAnsiTheme="majorHAnsi"/>
            <w:b w:val="0"/>
            <w:i w:val="0"/>
            <w:iCs w:val="0"/>
            <w:noProof/>
            <w:webHidden/>
            <w:sz w:val="20"/>
            <w:szCs w:val="20"/>
          </w:rPr>
          <w:instrText xml:space="preserve"> PAGEREF _Toc60669569 \h </w:instrText>
        </w:r>
        <w:r w:rsidR="00386FE4" w:rsidRPr="00386FE4">
          <w:rPr>
            <w:rFonts w:asciiTheme="majorHAnsi" w:hAnsiTheme="majorHAnsi"/>
            <w:b w:val="0"/>
            <w:i w:val="0"/>
            <w:iCs w:val="0"/>
            <w:noProof/>
            <w:webHidden/>
            <w:sz w:val="20"/>
            <w:szCs w:val="20"/>
          </w:rPr>
        </w:r>
        <w:r w:rsidR="00386FE4" w:rsidRPr="00386FE4">
          <w:rPr>
            <w:rFonts w:asciiTheme="majorHAnsi" w:hAnsiTheme="majorHAnsi"/>
            <w:b w:val="0"/>
            <w:i w:val="0"/>
            <w:iCs w:val="0"/>
            <w:noProof/>
            <w:webHidden/>
            <w:sz w:val="20"/>
            <w:szCs w:val="20"/>
          </w:rPr>
          <w:fldChar w:fldCharType="separate"/>
        </w:r>
        <w:r>
          <w:rPr>
            <w:rFonts w:asciiTheme="majorHAnsi" w:hAnsiTheme="majorHAnsi"/>
            <w:b w:val="0"/>
            <w:i w:val="0"/>
            <w:iCs w:val="0"/>
            <w:noProof/>
            <w:webHidden/>
            <w:sz w:val="20"/>
            <w:szCs w:val="20"/>
          </w:rPr>
          <w:t>15</w:t>
        </w:r>
        <w:r w:rsidR="00386FE4" w:rsidRPr="00386FE4">
          <w:rPr>
            <w:rFonts w:asciiTheme="majorHAnsi" w:hAnsiTheme="majorHAnsi"/>
            <w:b w:val="0"/>
            <w:i w:val="0"/>
            <w:iCs w:val="0"/>
            <w:noProof/>
            <w:webHidden/>
            <w:sz w:val="20"/>
            <w:szCs w:val="20"/>
          </w:rPr>
          <w:fldChar w:fldCharType="end"/>
        </w:r>
      </w:hyperlink>
    </w:p>
    <w:p w14:paraId="2097BB92" w14:textId="0AF462EA" w:rsidR="00386FE4" w:rsidRPr="00386FE4" w:rsidRDefault="00DA468D">
      <w:pPr>
        <w:pStyle w:val="TOC2"/>
        <w:tabs>
          <w:tab w:val="right" w:leader="dot" w:pos="9350"/>
        </w:tabs>
        <w:rPr>
          <w:rFonts w:asciiTheme="majorHAnsi" w:eastAsiaTheme="minorEastAsia" w:hAnsiTheme="majorHAnsi" w:cstheme="minorBidi"/>
          <w:b w:val="0"/>
          <w:noProof/>
          <w:sz w:val="20"/>
          <w:szCs w:val="20"/>
        </w:rPr>
      </w:pPr>
      <w:hyperlink w:anchor="_Toc60669570" w:history="1">
        <w:r w:rsidR="00386FE4" w:rsidRPr="00386FE4">
          <w:rPr>
            <w:rStyle w:val="Hyperlink"/>
            <w:rFonts w:asciiTheme="majorHAnsi" w:hAnsiTheme="majorHAnsi"/>
            <w:b w:val="0"/>
            <w:noProof/>
            <w:sz w:val="20"/>
            <w:szCs w:val="20"/>
            <w:lang w:val="es-ES"/>
          </w:rPr>
          <w:t>Derecho a la integridad personal, a la libertad personal, derechos a las garantías judiciales y a la protección judicial (artículos 5, 7, 8 y 25 de la Convención Americana en relación con el artículo 1.1 del mismo instrumento y artículos 1, 6 y 8 de la CIPST)</w:t>
        </w:r>
        <w:r w:rsidR="00386FE4" w:rsidRPr="00386FE4">
          <w:rPr>
            <w:rFonts w:asciiTheme="majorHAnsi" w:hAnsiTheme="majorHAnsi"/>
            <w:b w:val="0"/>
            <w:noProof/>
            <w:webHidden/>
            <w:sz w:val="20"/>
            <w:szCs w:val="20"/>
          </w:rPr>
          <w:tab/>
        </w:r>
        <w:r w:rsidR="00386FE4" w:rsidRPr="00386FE4">
          <w:rPr>
            <w:rFonts w:asciiTheme="majorHAnsi" w:hAnsiTheme="majorHAnsi"/>
            <w:b w:val="0"/>
            <w:noProof/>
            <w:webHidden/>
            <w:sz w:val="20"/>
            <w:szCs w:val="20"/>
          </w:rPr>
          <w:fldChar w:fldCharType="begin"/>
        </w:r>
        <w:r w:rsidR="00386FE4" w:rsidRPr="00386FE4">
          <w:rPr>
            <w:rFonts w:asciiTheme="majorHAnsi" w:hAnsiTheme="majorHAnsi"/>
            <w:b w:val="0"/>
            <w:noProof/>
            <w:webHidden/>
            <w:sz w:val="20"/>
            <w:szCs w:val="20"/>
          </w:rPr>
          <w:instrText xml:space="preserve"> PAGEREF _Toc60669570 \h </w:instrText>
        </w:r>
        <w:r w:rsidR="00386FE4" w:rsidRPr="00386FE4">
          <w:rPr>
            <w:rFonts w:asciiTheme="majorHAnsi" w:hAnsiTheme="majorHAnsi"/>
            <w:b w:val="0"/>
            <w:noProof/>
            <w:webHidden/>
            <w:sz w:val="20"/>
            <w:szCs w:val="20"/>
          </w:rPr>
        </w:r>
        <w:r w:rsidR="00386FE4" w:rsidRPr="00386FE4">
          <w:rPr>
            <w:rFonts w:asciiTheme="majorHAnsi" w:hAnsiTheme="majorHAnsi"/>
            <w:b w:val="0"/>
            <w:noProof/>
            <w:webHidden/>
            <w:sz w:val="20"/>
            <w:szCs w:val="20"/>
          </w:rPr>
          <w:fldChar w:fldCharType="separate"/>
        </w:r>
        <w:r>
          <w:rPr>
            <w:rFonts w:asciiTheme="majorHAnsi" w:hAnsiTheme="majorHAnsi"/>
            <w:b w:val="0"/>
            <w:noProof/>
            <w:webHidden/>
            <w:sz w:val="20"/>
            <w:szCs w:val="20"/>
          </w:rPr>
          <w:t>16</w:t>
        </w:r>
        <w:r w:rsidR="00386FE4" w:rsidRPr="00386FE4">
          <w:rPr>
            <w:rFonts w:asciiTheme="majorHAnsi" w:hAnsiTheme="majorHAnsi"/>
            <w:b w:val="0"/>
            <w:noProof/>
            <w:webHidden/>
            <w:sz w:val="20"/>
            <w:szCs w:val="20"/>
          </w:rPr>
          <w:fldChar w:fldCharType="end"/>
        </w:r>
      </w:hyperlink>
    </w:p>
    <w:p w14:paraId="78039E69" w14:textId="392DF14D" w:rsidR="00386FE4" w:rsidRPr="00386FE4" w:rsidRDefault="00DA468D">
      <w:pPr>
        <w:pStyle w:val="TOC3"/>
        <w:tabs>
          <w:tab w:val="left" w:pos="960"/>
          <w:tab w:val="right" w:leader="dot" w:pos="9350"/>
        </w:tabs>
        <w:rPr>
          <w:rFonts w:asciiTheme="majorHAnsi" w:eastAsiaTheme="minorEastAsia" w:hAnsiTheme="majorHAnsi" w:cstheme="minorBidi"/>
          <w:bCs/>
          <w:noProof/>
        </w:rPr>
      </w:pPr>
      <w:hyperlink w:anchor="_Toc60669571" w:history="1">
        <w:r w:rsidR="00386FE4" w:rsidRPr="00386FE4">
          <w:rPr>
            <w:rStyle w:val="Hyperlink"/>
            <w:rFonts w:asciiTheme="majorHAnsi" w:hAnsiTheme="majorHAnsi"/>
            <w:bCs/>
            <w:noProof/>
            <w:lang w:val="es-ES"/>
          </w:rPr>
          <w:t>A.</w:t>
        </w:r>
        <w:r w:rsidR="00386FE4" w:rsidRPr="00386FE4">
          <w:rPr>
            <w:rFonts w:asciiTheme="majorHAnsi" w:eastAsiaTheme="minorEastAsia" w:hAnsiTheme="majorHAnsi" w:cstheme="minorBidi"/>
            <w:bCs/>
            <w:noProof/>
          </w:rPr>
          <w:tab/>
        </w:r>
        <w:r w:rsidR="00386FE4" w:rsidRPr="00386FE4">
          <w:rPr>
            <w:rStyle w:val="Hyperlink"/>
            <w:rFonts w:asciiTheme="majorHAnsi" w:hAnsiTheme="majorHAnsi"/>
            <w:bCs/>
            <w:noProof/>
            <w:lang w:val="es-ES"/>
          </w:rPr>
          <w:t>El derecho a la libertad personal</w:t>
        </w:r>
        <w:r w:rsidR="00386FE4" w:rsidRPr="00386FE4">
          <w:rPr>
            <w:rFonts w:asciiTheme="majorHAnsi" w:hAnsiTheme="majorHAnsi"/>
            <w:bCs/>
            <w:noProof/>
            <w:webHidden/>
          </w:rPr>
          <w:tab/>
        </w:r>
        <w:r w:rsidR="00386FE4" w:rsidRPr="00386FE4">
          <w:rPr>
            <w:rFonts w:asciiTheme="majorHAnsi" w:hAnsiTheme="majorHAnsi"/>
            <w:bCs/>
            <w:noProof/>
            <w:webHidden/>
          </w:rPr>
          <w:fldChar w:fldCharType="begin"/>
        </w:r>
        <w:r w:rsidR="00386FE4" w:rsidRPr="00386FE4">
          <w:rPr>
            <w:rFonts w:asciiTheme="majorHAnsi" w:hAnsiTheme="majorHAnsi"/>
            <w:bCs/>
            <w:noProof/>
            <w:webHidden/>
          </w:rPr>
          <w:instrText xml:space="preserve"> PAGEREF _Toc60669571 \h </w:instrText>
        </w:r>
        <w:r w:rsidR="00386FE4" w:rsidRPr="00386FE4">
          <w:rPr>
            <w:rFonts w:asciiTheme="majorHAnsi" w:hAnsiTheme="majorHAnsi"/>
            <w:bCs/>
            <w:noProof/>
            <w:webHidden/>
          </w:rPr>
        </w:r>
        <w:r w:rsidR="00386FE4" w:rsidRPr="00386FE4">
          <w:rPr>
            <w:rFonts w:asciiTheme="majorHAnsi" w:hAnsiTheme="majorHAnsi"/>
            <w:bCs/>
            <w:noProof/>
            <w:webHidden/>
          </w:rPr>
          <w:fldChar w:fldCharType="separate"/>
        </w:r>
        <w:r>
          <w:rPr>
            <w:rFonts w:asciiTheme="majorHAnsi" w:hAnsiTheme="majorHAnsi"/>
            <w:bCs/>
            <w:noProof/>
            <w:webHidden/>
          </w:rPr>
          <w:t>16</w:t>
        </w:r>
        <w:r w:rsidR="00386FE4" w:rsidRPr="00386FE4">
          <w:rPr>
            <w:rFonts w:asciiTheme="majorHAnsi" w:hAnsiTheme="majorHAnsi"/>
            <w:bCs/>
            <w:noProof/>
            <w:webHidden/>
          </w:rPr>
          <w:fldChar w:fldCharType="end"/>
        </w:r>
      </w:hyperlink>
    </w:p>
    <w:p w14:paraId="3DE12233" w14:textId="31F55F02" w:rsidR="00386FE4" w:rsidRPr="00386FE4" w:rsidRDefault="00DA468D">
      <w:pPr>
        <w:pStyle w:val="TOC3"/>
        <w:tabs>
          <w:tab w:val="left" w:pos="960"/>
          <w:tab w:val="right" w:leader="dot" w:pos="9350"/>
        </w:tabs>
        <w:rPr>
          <w:rFonts w:asciiTheme="majorHAnsi" w:eastAsiaTheme="minorEastAsia" w:hAnsiTheme="majorHAnsi" w:cstheme="minorBidi"/>
          <w:bCs/>
          <w:noProof/>
        </w:rPr>
      </w:pPr>
      <w:hyperlink w:anchor="_Toc60669572" w:history="1">
        <w:r w:rsidR="00386FE4" w:rsidRPr="00386FE4">
          <w:rPr>
            <w:rStyle w:val="Hyperlink"/>
            <w:rFonts w:asciiTheme="majorHAnsi" w:hAnsiTheme="majorHAnsi"/>
            <w:bCs/>
            <w:noProof/>
            <w:lang w:val="es-ES"/>
          </w:rPr>
          <w:t>B.</w:t>
        </w:r>
        <w:r w:rsidR="00386FE4" w:rsidRPr="00386FE4">
          <w:rPr>
            <w:rFonts w:asciiTheme="majorHAnsi" w:eastAsiaTheme="minorEastAsia" w:hAnsiTheme="majorHAnsi" w:cstheme="minorBidi"/>
            <w:bCs/>
            <w:noProof/>
          </w:rPr>
          <w:tab/>
        </w:r>
        <w:r w:rsidR="00386FE4" w:rsidRPr="00386FE4">
          <w:rPr>
            <w:rStyle w:val="Hyperlink"/>
            <w:rFonts w:asciiTheme="majorHAnsi" w:hAnsiTheme="majorHAnsi"/>
            <w:bCs/>
            <w:noProof/>
            <w:lang w:val="es-ES"/>
          </w:rPr>
          <w:t>Integridad personal</w:t>
        </w:r>
        <w:r w:rsidR="00386FE4" w:rsidRPr="00386FE4">
          <w:rPr>
            <w:rFonts w:asciiTheme="majorHAnsi" w:hAnsiTheme="majorHAnsi"/>
            <w:bCs/>
            <w:noProof/>
            <w:webHidden/>
          </w:rPr>
          <w:tab/>
        </w:r>
        <w:r w:rsidR="00386FE4" w:rsidRPr="00386FE4">
          <w:rPr>
            <w:rFonts w:asciiTheme="majorHAnsi" w:hAnsiTheme="majorHAnsi"/>
            <w:bCs/>
            <w:noProof/>
            <w:webHidden/>
          </w:rPr>
          <w:fldChar w:fldCharType="begin"/>
        </w:r>
        <w:r w:rsidR="00386FE4" w:rsidRPr="00386FE4">
          <w:rPr>
            <w:rFonts w:asciiTheme="majorHAnsi" w:hAnsiTheme="majorHAnsi"/>
            <w:bCs/>
            <w:noProof/>
            <w:webHidden/>
          </w:rPr>
          <w:instrText xml:space="preserve"> PAGEREF _Toc60669572 \h </w:instrText>
        </w:r>
        <w:r w:rsidR="00386FE4" w:rsidRPr="00386FE4">
          <w:rPr>
            <w:rFonts w:asciiTheme="majorHAnsi" w:hAnsiTheme="majorHAnsi"/>
            <w:bCs/>
            <w:noProof/>
            <w:webHidden/>
          </w:rPr>
        </w:r>
        <w:r w:rsidR="00386FE4" w:rsidRPr="00386FE4">
          <w:rPr>
            <w:rFonts w:asciiTheme="majorHAnsi" w:hAnsiTheme="majorHAnsi"/>
            <w:bCs/>
            <w:noProof/>
            <w:webHidden/>
          </w:rPr>
          <w:fldChar w:fldCharType="separate"/>
        </w:r>
        <w:r>
          <w:rPr>
            <w:rFonts w:asciiTheme="majorHAnsi" w:hAnsiTheme="majorHAnsi"/>
            <w:bCs/>
            <w:noProof/>
            <w:webHidden/>
          </w:rPr>
          <w:t>19</w:t>
        </w:r>
        <w:r w:rsidR="00386FE4" w:rsidRPr="00386FE4">
          <w:rPr>
            <w:rFonts w:asciiTheme="majorHAnsi" w:hAnsiTheme="majorHAnsi"/>
            <w:bCs/>
            <w:noProof/>
            <w:webHidden/>
          </w:rPr>
          <w:fldChar w:fldCharType="end"/>
        </w:r>
      </w:hyperlink>
    </w:p>
    <w:p w14:paraId="00E9C257" w14:textId="2554E5F8" w:rsidR="00386FE4" w:rsidRPr="00386FE4" w:rsidRDefault="00DA468D">
      <w:pPr>
        <w:pStyle w:val="TOC3"/>
        <w:tabs>
          <w:tab w:val="left" w:pos="960"/>
          <w:tab w:val="right" w:leader="dot" w:pos="9350"/>
        </w:tabs>
        <w:rPr>
          <w:rFonts w:asciiTheme="majorHAnsi" w:eastAsiaTheme="minorEastAsia" w:hAnsiTheme="majorHAnsi" w:cstheme="minorBidi"/>
          <w:bCs/>
          <w:noProof/>
        </w:rPr>
      </w:pPr>
      <w:hyperlink w:anchor="_Toc60669573" w:history="1">
        <w:r w:rsidR="00386FE4" w:rsidRPr="00386FE4">
          <w:rPr>
            <w:rStyle w:val="Hyperlink"/>
            <w:rFonts w:asciiTheme="majorHAnsi" w:hAnsiTheme="majorHAnsi"/>
            <w:bCs/>
            <w:noProof/>
            <w:lang w:val="es-ES"/>
          </w:rPr>
          <w:t>C.</w:t>
        </w:r>
        <w:r w:rsidR="00386FE4" w:rsidRPr="00386FE4">
          <w:rPr>
            <w:rFonts w:asciiTheme="majorHAnsi" w:eastAsiaTheme="minorEastAsia" w:hAnsiTheme="majorHAnsi" w:cstheme="minorBidi"/>
            <w:bCs/>
            <w:noProof/>
          </w:rPr>
          <w:tab/>
        </w:r>
        <w:r w:rsidR="00386FE4" w:rsidRPr="00386FE4">
          <w:rPr>
            <w:rStyle w:val="Hyperlink"/>
            <w:rFonts w:asciiTheme="majorHAnsi" w:hAnsiTheme="majorHAnsi"/>
            <w:bCs/>
            <w:noProof/>
            <w:lang w:val="es-ES"/>
          </w:rPr>
          <w:t>Garantías judiciales y protección judicial e investigación en materia de tortura</w:t>
        </w:r>
        <w:r w:rsidR="00386FE4" w:rsidRPr="00386FE4">
          <w:rPr>
            <w:rFonts w:asciiTheme="majorHAnsi" w:hAnsiTheme="majorHAnsi"/>
            <w:bCs/>
            <w:noProof/>
            <w:webHidden/>
          </w:rPr>
          <w:tab/>
        </w:r>
        <w:r w:rsidR="00386FE4" w:rsidRPr="00386FE4">
          <w:rPr>
            <w:rFonts w:asciiTheme="majorHAnsi" w:hAnsiTheme="majorHAnsi"/>
            <w:bCs/>
            <w:noProof/>
            <w:webHidden/>
          </w:rPr>
          <w:fldChar w:fldCharType="begin"/>
        </w:r>
        <w:r w:rsidR="00386FE4" w:rsidRPr="00386FE4">
          <w:rPr>
            <w:rFonts w:asciiTheme="majorHAnsi" w:hAnsiTheme="majorHAnsi"/>
            <w:bCs/>
            <w:noProof/>
            <w:webHidden/>
          </w:rPr>
          <w:instrText xml:space="preserve"> PAGEREF _Toc60669573 \h </w:instrText>
        </w:r>
        <w:r w:rsidR="00386FE4" w:rsidRPr="00386FE4">
          <w:rPr>
            <w:rFonts w:asciiTheme="majorHAnsi" w:hAnsiTheme="majorHAnsi"/>
            <w:bCs/>
            <w:noProof/>
            <w:webHidden/>
          </w:rPr>
        </w:r>
        <w:r w:rsidR="00386FE4" w:rsidRPr="00386FE4">
          <w:rPr>
            <w:rFonts w:asciiTheme="majorHAnsi" w:hAnsiTheme="majorHAnsi"/>
            <w:bCs/>
            <w:noProof/>
            <w:webHidden/>
          </w:rPr>
          <w:fldChar w:fldCharType="separate"/>
        </w:r>
        <w:r>
          <w:rPr>
            <w:rFonts w:asciiTheme="majorHAnsi" w:hAnsiTheme="majorHAnsi"/>
            <w:bCs/>
            <w:noProof/>
            <w:webHidden/>
          </w:rPr>
          <w:t>21</w:t>
        </w:r>
        <w:r w:rsidR="00386FE4" w:rsidRPr="00386FE4">
          <w:rPr>
            <w:rFonts w:asciiTheme="majorHAnsi" w:hAnsiTheme="majorHAnsi"/>
            <w:bCs/>
            <w:noProof/>
            <w:webHidden/>
          </w:rPr>
          <w:fldChar w:fldCharType="end"/>
        </w:r>
      </w:hyperlink>
    </w:p>
    <w:p w14:paraId="22D145D8" w14:textId="3DDA6547" w:rsidR="00386FE4" w:rsidRPr="00386FE4" w:rsidRDefault="00DA468D">
      <w:pPr>
        <w:pStyle w:val="TOC1"/>
        <w:tabs>
          <w:tab w:val="left" w:pos="480"/>
          <w:tab w:val="right" w:leader="dot" w:pos="9350"/>
        </w:tabs>
        <w:rPr>
          <w:rFonts w:asciiTheme="majorHAnsi" w:eastAsiaTheme="minorEastAsia" w:hAnsiTheme="majorHAnsi" w:cstheme="minorBidi"/>
          <w:b w:val="0"/>
          <w:i w:val="0"/>
          <w:iCs w:val="0"/>
          <w:noProof/>
          <w:sz w:val="20"/>
          <w:szCs w:val="20"/>
        </w:rPr>
      </w:pPr>
      <w:hyperlink w:anchor="_Toc60669574" w:history="1">
        <w:r w:rsidR="00386FE4" w:rsidRPr="00386FE4">
          <w:rPr>
            <w:rStyle w:val="Hyperlink"/>
            <w:rFonts w:asciiTheme="majorHAnsi" w:hAnsiTheme="majorHAnsi"/>
            <w:b w:val="0"/>
            <w:i w:val="0"/>
            <w:iCs w:val="0"/>
            <w:noProof/>
            <w:sz w:val="20"/>
            <w:szCs w:val="20"/>
            <w:lang w:val="es-ES"/>
          </w:rPr>
          <w:t>V.</w:t>
        </w:r>
        <w:r w:rsidR="00386FE4" w:rsidRPr="00386FE4">
          <w:rPr>
            <w:rFonts w:asciiTheme="majorHAnsi" w:eastAsiaTheme="minorEastAsia" w:hAnsiTheme="majorHAnsi" w:cstheme="minorBidi"/>
            <w:b w:val="0"/>
            <w:i w:val="0"/>
            <w:iCs w:val="0"/>
            <w:noProof/>
            <w:sz w:val="20"/>
            <w:szCs w:val="20"/>
          </w:rPr>
          <w:tab/>
        </w:r>
        <w:r w:rsidR="00386FE4" w:rsidRPr="00386FE4">
          <w:rPr>
            <w:rStyle w:val="Hyperlink"/>
            <w:rFonts w:asciiTheme="majorHAnsi" w:hAnsiTheme="majorHAnsi"/>
            <w:b w:val="0"/>
            <w:i w:val="0"/>
            <w:iCs w:val="0"/>
            <w:noProof/>
            <w:sz w:val="20"/>
            <w:szCs w:val="20"/>
            <w:lang w:val="es-ES"/>
          </w:rPr>
          <w:t>CONCLUSIONES Y RECOMENDACIONES</w:t>
        </w:r>
        <w:r w:rsidR="00386FE4" w:rsidRPr="00386FE4">
          <w:rPr>
            <w:rFonts w:asciiTheme="majorHAnsi" w:hAnsiTheme="majorHAnsi"/>
            <w:b w:val="0"/>
            <w:i w:val="0"/>
            <w:iCs w:val="0"/>
            <w:noProof/>
            <w:webHidden/>
            <w:sz w:val="20"/>
            <w:szCs w:val="20"/>
          </w:rPr>
          <w:tab/>
        </w:r>
        <w:r w:rsidR="00386FE4" w:rsidRPr="00386FE4">
          <w:rPr>
            <w:rFonts w:asciiTheme="majorHAnsi" w:hAnsiTheme="majorHAnsi"/>
            <w:b w:val="0"/>
            <w:i w:val="0"/>
            <w:iCs w:val="0"/>
            <w:noProof/>
            <w:webHidden/>
            <w:sz w:val="20"/>
            <w:szCs w:val="20"/>
          </w:rPr>
          <w:fldChar w:fldCharType="begin"/>
        </w:r>
        <w:r w:rsidR="00386FE4" w:rsidRPr="00386FE4">
          <w:rPr>
            <w:rFonts w:asciiTheme="majorHAnsi" w:hAnsiTheme="majorHAnsi"/>
            <w:b w:val="0"/>
            <w:i w:val="0"/>
            <w:iCs w:val="0"/>
            <w:noProof/>
            <w:webHidden/>
            <w:sz w:val="20"/>
            <w:szCs w:val="20"/>
          </w:rPr>
          <w:instrText xml:space="preserve"> PAGEREF _Toc60669574 \h </w:instrText>
        </w:r>
        <w:r w:rsidR="00386FE4" w:rsidRPr="00386FE4">
          <w:rPr>
            <w:rFonts w:asciiTheme="majorHAnsi" w:hAnsiTheme="majorHAnsi"/>
            <w:b w:val="0"/>
            <w:i w:val="0"/>
            <w:iCs w:val="0"/>
            <w:noProof/>
            <w:webHidden/>
            <w:sz w:val="20"/>
            <w:szCs w:val="20"/>
          </w:rPr>
        </w:r>
        <w:r w:rsidR="00386FE4" w:rsidRPr="00386FE4">
          <w:rPr>
            <w:rFonts w:asciiTheme="majorHAnsi" w:hAnsiTheme="majorHAnsi"/>
            <w:b w:val="0"/>
            <w:i w:val="0"/>
            <w:iCs w:val="0"/>
            <w:noProof/>
            <w:webHidden/>
            <w:sz w:val="20"/>
            <w:szCs w:val="20"/>
          </w:rPr>
          <w:fldChar w:fldCharType="separate"/>
        </w:r>
        <w:r>
          <w:rPr>
            <w:rFonts w:asciiTheme="majorHAnsi" w:hAnsiTheme="majorHAnsi"/>
            <w:b w:val="0"/>
            <w:i w:val="0"/>
            <w:iCs w:val="0"/>
            <w:noProof/>
            <w:webHidden/>
            <w:sz w:val="20"/>
            <w:szCs w:val="20"/>
          </w:rPr>
          <w:t>25</w:t>
        </w:r>
        <w:r w:rsidR="00386FE4" w:rsidRPr="00386FE4">
          <w:rPr>
            <w:rFonts w:asciiTheme="majorHAnsi" w:hAnsiTheme="majorHAnsi"/>
            <w:b w:val="0"/>
            <w:i w:val="0"/>
            <w:iCs w:val="0"/>
            <w:noProof/>
            <w:webHidden/>
            <w:sz w:val="20"/>
            <w:szCs w:val="20"/>
          </w:rPr>
          <w:fldChar w:fldCharType="end"/>
        </w:r>
      </w:hyperlink>
    </w:p>
    <w:p w14:paraId="517138D3" w14:textId="77777777" w:rsidR="008D768D" w:rsidRPr="00386FE4" w:rsidRDefault="006125C3" w:rsidP="006125C3">
      <w:pPr>
        <w:tabs>
          <w:tab w:val="center" w:pos="5400"/>
        </w:tabs>
        <w:suppressAutoHyphens/>
        <w:spacing w:line="276" w:lineRule="auto"/>
        <w:rPr>
          <w:rFonts w:asciiTheme="majorHAnsi" w:hAnsiTheme="majorHAnsi"/>
          <w:bCs/>
          <w:sz w:val="20"/>
          <w:szCs w:val="20"/>
          <w:lang w:val="es-ES"/>
        </w:rPr>
      </w:pPr>
      <w:r w:rsidRPr="00386FE4">
        <w:rPr>
          <w:rFonts w:asciiTheme="majorHAnsi" w:hAnsiTheme="majorHAnsi"/>
          <w:bCs/>
          <w:sz w:val="20"/>
          <w:szCs w:val="20"/>
          <w:lang w:val="es-ES"/>
        </w:rPr>
        <w:fldChar w:fldCharType="end"/>
      </w:r>
    </w:p>
    <w:p w14:paraId="7F9DD552" w14:textId="77777777" w:rsidR="00722C9F" w:rsidRPr="00386FE4" w:rsidRDefault="00722C9F">
      <w:pPr>
        <w:rPr>
          <w:rFonts w:asciiTheme="majorHAnsi" w:hAnsiTheme="majorHAnsi" w:cs="Calibri"/>
          <w:bCs/>
          <w:sz w:val="20"/>
          <w:szCs w:val="20"/>
          <w:lang w:val="es-ES"/>
        </w:rPr>
      </w:pPr>
      <w:r w:rsidRPr="00386FE4">
        <w:rPr>
          <w:rFonts w:asciiTheme="majorHAnsi" w:hAnsiTheme="majorHAnsi" w:cs="Calibri"/>
          <w:bCs/>
          <w:sz w:val="20"/>
          <w:szCs w:val="20"/>
          <w:lang w:val="es-ES"/>
        </w:rPr>
        <w:br w:type="page"/>
      </w:r>
    </w:p>
    <w:p w14:paraId="650DAB10" w14:textId="77777777" w:rsidR="00D12193" w:rsidRPr="007E4AA8" w:rsidRDefault="00A03A30" w:rsidP="00014512">
      <w:pPr>
        <w:pStyle w:val="Heading1"/>
        <w:rPr>
          <w:color w:val="auto"/>
          <w:lang w:val="es-ES"/>
        </w:rPr>
      </w:pPr>
      <w:bookmarkStart w:id="2" w:name="_Toc60669564"/>
      <w:r w:rsidRPr="007E4AA8">
        <w:rPr>
          <w:color w:val="auto"/>
          <w:lang w:val="es-ES"/>
        </w:rPr>
        <w:lastRenderedPageBreak/>
        <w:t>INTRODUCCIÓN</w:t>
      </w:r>
      <w:bookmarkEnd w:id="2"/>
    </w:p>
    <w:p w14:paraId="586883D1" w14:textId="77777777" w:rsidR="005C4CA5" w:rsidRPr="007E4AA8" w:rsidRDefault="005C4CA5" w:rsidP="00914740">
      <w:pPr>
        <w:tabs>
          <w:tab w:val="left" w:pos="360"/>
        </w:tabs>
        <w:suppressAutoHyphens/>
        <w:rPr>
          <w:rFonts w:asciiTheme="majorHAnsi" w:hAnsiTheme="majorHAnsi"/>
          <w:b/>
          <w:sz w:val="20"/>
          <w:szCs w:val="20"/>
          <w:lang w:val="es-ES"/>
        </w:rPr>
      </w:pPr>
    </w:p>
    <w:p w14:paraId="3C95BE32" w14:textId="77777777" w:rsidR="001B62CA" w:rsidRPr="007E4AA8" w:rsidRDefault="005C4CA5" w:rsidP="00B53AAE">
      <w:pPr>
        <w:pStyle w:val="parrafos"/>
        <w:ind w:left="0" w:firstLine="0"/>
        <w:rPr>
          <w:color w:val="auto"/>
          <w:lang w:val="es-ES"/>
        </w:rPr>
      </w:pPr>
      <w:r w:rsidRPr="007E4AA8">
        <w:rPr>
          <w:color w:val="auto"/>
          <w:lang w:val="es-ES"/>
        </w:rPr>
        <w:t xml:space="preserve">El </w:t>
      </w:r>
      <w:r w:rsidR="00D75EF1" w:rsidRPr="007E4AA8">
        <w:rPr>
          <w:color w:val="auto"/>
          <w:lang w:val="es-ES"/>
        </w:rPr>
        <w:t>11</w:t>
      </w:r>
      <w:r w:rsidRPr="007E4AA8">
        <w:rPr>
          <w:color w:val="auto"/>
          <w:lang w:val="es-ES"/>
        </w:rPr>
        <w:t xml:space="preserve"> de </w:t>
      </w:r>
      <w:r w:rsidR="00D75EF1" w:rsidRPr="007E4AA8">
        <w:rPr>
          <w:color w:val="auto"/>
          <w:lang w:val="es-ES"/>
        </w:rPr>
        <w:t>diciembre</w:t>
      </w:r>
      <w:r w:rsidRPr="007E4AA8">
        <w:rPr>
          <w:color w:val="auto"/>
          <w:lang w:val="es-ES"/>
        </w:rPr>
        <w:t xml:space="preserve"> de </w:t>
      </w:r>
      <w:r w:rsidR="00D75EF1" w:rsidRPr="007E4AA8">
        <w:rPr>
          <w:color w:val="auto"/>
          <w:lang w:val="es-ES"/>
        </w:rPr>
        <w:t>2000</w:t>
      </w:r>
      <w:r w:rsidR="00F551E4" w:rsidRPr="007E4AA8">
        <w:rPr>
          <w:color w:val="auto"/>
          <w:lang w:val="es-ES"/>
        </w:rPr>
        <w:t xml:space="preserve"> </w:t>
      </w:r>
      <w:r w:rsidRPr="007E4AA8">
        <w:rPr>
          <w:color w:val="auto"/>
          <w:lang w:val="es-ES"/>
        </w:rPr>
        <w:t xml:space="preserve">la Comisión Interamericana de Derechos Humanos (en adelante “la Comisión Interamericana”, “Comisión” o “CIDH”) recibió una petición presentada por </w:t>
      </w:r>
      <w:r w:rsidR="00D75EF1" w:rsidRPr="007E4AA8">
        <w:rPr>
          <w:color w:val="auto"/>
          <w:lang w:val="es-ES"/>
        </w:rPr>
        <w:t>el señor Jorge Luis López Sosa</w:t>
      </w:r>
      <w:r w:rsidRPr="007E4AA8">
        <w:rPr>
          <w:color w:val="auto"/>
          <w:lang w:val="es-ES"/>
        </w:rPr>
        <w:t xml:space="preserve"> (en adelante “</w:t>
      </w:r>
      <w:r w:rsidR="00F70622" w:rsidRPr="007E4AA8">
        <w:rPr>
          <w:color w:val="auto"/>
          <w:lang w:val="es-ES"/>
        </w:rPr>
        <w:t>el peticionario</w:t>
      </w:r>
      <w:r w:rsidRPr="007E4AA8">
        <w:rPr>
          <w:color w:val="auto"/>
          <w:lang w:val="es-ES"/>
        </w:rPr>
        <w:t>”</w:t>
      </w:r>
      <w:r w:rsidR="00D75EF1" w:rsidRPr="007E4AA8">
        <w:rPr>
          <w:color w:val="auto"/>
          <w:lang w:val="es-ES"/>
        </w:rPr>
        <w:t xml:space="preserve"> o “la presunta víctima”</w:t>
      </w:r>
      <w:r w:rsidRPr="007E4AA8">
        <w:rPr>
          <w:color w:val="auto"/>
          <w:lang w:val="es-ES"/>
        </w:rPr>
        <w:t>)</w:t>
      </w:r>
      <w:r w:rsidR="00D75EF1" w:rsidRPr="007E4AA8">
        <w:rPr>
          <w:color w:val="auto"/>
          <w:lang w:val="es-ES"/>
        </w:rPr>
        <w:t xml:space="preserve"> </w:t>
      </w:r>
      <w:r w:rsidRPr="007E4AA8">
        <w:rPr>
          <w:color w:val="auto"/>
          <w:lang w:val="es-ES"/>
        </w:rPr>
        <w:t xml:space="preserve">en la cual se alega la responsabilidad internacional de </w:t>
      </w:r>
      <w:r w:rsidR="00D75EF1" w:rsidRPr="007E4AA8">
        <w:rPr>
          <w:color w:val="auto"/>
          <w:lang w:val="es-ES"/>
        </w:rPr>
        <w:t>la República del Paraguay</w:t>
      </w:r>
      <w:r w:rsidRPr="007E4AA8">
        <w:rPr>
          <w:color w:val="auto"/>
          <w:lang w:val="es-ES"/>
        </w:rPr>
        <w:t xml:space="preserve"> (en adelante “el Estado </w:t>
      </w:r>
      <w:r w:rsidR="00D75EF1" w:rsidRPr="007E4AA8">
        <w:rPr>
          <w:color w:val="auto"/>
          <w:lang w:val="es-ES"/>
        </w:rPr>
        <w:t>paraguayo</w:t>
      </w:r>
      <w:r w:rsidRPr="007E4AA8">
        <w:rPr>
          <w:color w:val="auto"/>
          <w:lang w:val="es-ES"/>
        </w:rPr>
        <w:t>”, “el Estado” o “</w:t>
      </w:r>
      <w:r w:rsidR="00D75EF1" w:rsidRPr="007E4AA8">
        <w:rPr>
          <w:color w:val="auto"/>
          <w:lang w:val="es-ES"/>
        </w:rPr>
        <w:t>Paraguay</w:t>
      </w:r>
      <w:r w:rsidRPr="007E4AA8">
        <w:rPr>
          <w:color w:val="auto"/>
          <w:lang w:val="es-ES"/>
        </w:rPr>
        <w:t xml:space="preserve">”) en </w:t>
      </w:r>
      <w:r w:rsidR="00F60608" w:rsidRPr="007E4AA8">
        <w:rPr>
          <w:color w:val="auto"/>
          <w:lang w:val="es-ES"/>
        </w:rPr>
        <w:t xml:space="preserve">su </w:t>
      </w:r>
      <w:r w:rsidRPr="007E4AA8">
        <w:rPr>
          <w:color w:val="auto"/>
          <w:lang w:val="es-ES"/>
        </w:rPr>
        <w:t xml:space="preserve">perjuicio </w:t>
      </w:r>
      <w:r w:rsidR="00D41F9A" w:rsidRPr="007E4AA8">
        <w:rPr>
          <w:color w:val="auto"/>
          <w:lang w:val="es-ES"/>
        </w:rPr>
        <w:t xml:space="preserve">por </w:t>
      </w:r>
      <w:r w:rsidR="0032742E" w:rsidRPr="007E4AA8">
        <w:rPr>
          <w:color w:val="auto"/>
          <w:lang w:val="es-ES"/>
        </w:rPr>
        <w:t xml:space="preserve">la alegada </w:t>
      </w:r>
      <w:r w:rsidR="00813005" w:rsidRPr="007E4AA8">
        <w:rPr>
          <w:color w:val="auto"/>
          <w:lang w:val="es-ES"/>
        </w:rPr>
        <w:t>vulneración de su</w:t>
      </w:r>
      <w:r w:rsidR="008E2E59" w:rsidRPr="007E4AA8">
        <w:rPr>
          <w:color w:val="auto"/>
          <w:lang w:val="es-ES"/>
        </w:rPr>
        <w:t xml:space="preserve"> derecho </w:t>
      </w:r>
      <w:r w:rsidR="00D75EF1" w:rsidRPr="007E4AA8">
        <w:rPr>
          <w:color w:val="auto"/>
          <w:lang w:val="es-ES"/>
        </w:rPr>
        <w:t>a la integridad y libertad personal</w:t>
      </w:r>
      <w:r w:rsidR="00F60608" w:rsidRPr="007E4AA8">
        <w:rPr>
          <w:color w:val="auto"/>
          <w:lang w:val="es-ES"/>
        </w:rPr>
        <w:t>, sin que a la fecha haya culminado el proceso iniciado por los hechos que le afectaron</w:t>
      </w:r>
      <w:r w:rsidR="00D75EF1" w:rsidRPr="007E4AA8">
        <w:rPr>
          <w:color w:val="auto"/>
          <w:lang w:val="es-ES"/>
        </w:rPr>
        <w:t xml:space="preserve">. </w:t>
      </w:r>
      <w:r w:rsidR="00991866" w:rsidRPr="007E4AA8">
        <w:rPr>
          <w:color w:val="auto"/>
          <w:lang w:val="es-ES"/>
        </w:rPr>
        <w:t xml:space="preserve"> </w:t>
      </w:r>
    </w:p>
    <w:p w14:paraId="57AE52C3" w14:textId="77777777" w:rsidR="001B62CA" w:rsidRPr="007E4AA8" w:rsidRDefault="001B62CA" w:rsidP="001B62CA">
      <w:pPr>
        <w:pStyle w:val="parrafos"/>
        <w:numPr>
          <w:ilvl w:val="0"/>
          <w:numId w:val="0"/>
        </w:numPr>
        <w:rPr>
          <w:color w:val="auto"/>
          <w:lang w:val="es-ES"/>
        </w:rPr>
      </w:pPr>
    </w:p>
    <w:p w14:paraId="55A9F16F" w14:textId="77777777" w:rsidR="00865597" w:rsidRPr="007E4AA8" w:rsidRDefault="00865597" w:rsidP="00B53AAE">
      <w:pPr>
        <w:pStyle w:val="parrafos"/>
        <w:ind w:left="0" w:firstLine="0"/>
        <w:rPr>
          <w:color w:val="auto"/>
          <w:lang w:val="es-ES"/>
        </w:rPr>
      </w:pPr>
      <w:r w:rsidRPr="007E4AA8">
        <w:rPr>
          <w:color w:val="auto"/>
          <w:lang w:val="es-ES"/>
        </w:rPr>
        <w:t xml:space="preserve">La Comisión aprobó el informe de admisibilidad No. </w:t>
      </w:r>
      <w:r w:rsidR="00D75EF1" w:rsidRPr="007E4AA8">
        <w:rPr>
          <w:color w:val="auto"/>
          <w:lang w:val="es-ES"/>
        </w:rPr>
        <w:t>27</w:t>
      </w:r>
      <w:r w:rsidRPr="007E4AA8">
        <w:rPr>
          <w:color w:val="auto"/>
          <w:lang w:val="es-ES"/>
        </w:rPr>
        <w:t>/</w:t>
      </w:r>
      <w:r w:rsidR="00D75EF1" w:rsidRPr="007E4AA8">
        <w:rPr>
          <w:color w:val="auto"/>
          <w:lang w:val="es-ES"/>
        </w:rPr>
        <w:t>13</w:t>
      </w:r>
      <w:r w:rsidRPr="007E4AA8">
        <w:rPr>
          <w:color w:val="auto"/>
          <w:lang w:val="es-ES"/>
        </w:rPr>
        <w:t xml:space="preserve"> el </w:t>
      </w:r>
      <w:r w:rsidR="00D75EF1" w:rsidRPr="007E4AA8">
        <w:rPr>
          <w:color w:val="auto"/>
          <w:lang w:val="es-ES"/>
        </w:rPr>
        <w:t>20</w:t>
      </w:r>
      <w:r w:rsidRPr="007E4AA8">
        <w:rPr>
          <w:color w:val="auto"/>
          <w:lang w:val="es-ES"/>
        </w:rPr>
        <w:t xml:space="preserve"> de </w:t>
      </w:r>
      <w:r w:rsidR="00D75EF1" w:rsidRPr="007E4AA8">
        <w:rPr>
          <w:color w:val="auto"/>
          <w:lang w:val="es-ES"/>
        </w:rPr>
        <w:t>marzo</w:t>
      </w:r>
      <w:r w:rsidRPr="007E4AA8">
        <w:rPr>
          <w:color w:val="auto"/>
          <w:lang w:val="es-ES"/>
        </w:rPr>
        <w:t xml:space="preserve"> de </w:t>
      </w:r>
      <w:r w:rsidR="00D75EF1" w:rsidRPr="007E4AA8">
        <w:rPr>
          <w:color w:val="auto"/>
          <w:lang w:val="es-ES"/>
        </w:rPr>
        <w:t>2013</w:t>
      </w:r>
      <w:r w:rsidRPr="007E4AA8">
        <w:rPr>
          <w:rStyle w:val="FootnoteReference"/>
          <w:color w:val="auto"/>
          <w:sz w:val="24"/>
          <w:lang w:val="es-ES"/>
        </w:rPr>
        <w:footnoteReference w:id="2"/>
      </w:r>
      <w:r w:rsidRPr="007E4AA8">
        <w:rPr>
          <w:color w:val="auto"/>
          <w:lang w:val="es-ES"/>
        </w:rPr>
        <w:t>. El</w:t>
      </w:r>
      <w:r w:rsidR="008C7015" w:rsidRPr="007E4AA8">
        <w:rPr>
          <w:color w:val="auto"/>
          <w:lang w:val="es-ES"/>
        </w:rPr>
        <w:t xml:space="preserve"> </w:t>
      </w:r>
      <w:r w:rsidR="00B53AAE" w:rsidRPr="007E4AA8">
        <w:rPr>
          <w:color w:val="auto"/>
          <w:lang w:val="es-ES"/>
        </w:rPr>
        <w:t>1</w:t>
      </w:r>
      <w:r w:rsidRPr="007E4AA8">
        <w:rPr>
          <w:color w:val="auto"/>
          <w:lang w:val="es-ES"/>
        </w:rPr>
        <w:t xml:space="preserve"> de </w:t>
      </w:r>
      <w:r w:rsidR="00B53AAE" w:rsidRPr="007E4AA8">
        <w:rPr>
          <w:color w:val="auto"/>
          <w:lang w:val="es-ES"/>
        </w:rPr>
        <w:t>abril</w:t>
      </w:r>
      <w:r w:rsidRPr="007E4AA8">
        <w:rPr>
          <w:color w:val="auto"/>
          <w:lang w:val="es-ES"/>
        </w:rPr>
        <w:t xml:space="preserve"> de </w:t>
      </w:r>
      <w:r w:rsidR="00767BCA" w:rsidRPr="007E4AA8">
        <w:rPr>
          <w:color w:val="auto"/>
          <w:lang w:val="es-ES"/>
        </w:rPr>
        <w:t>2013</w:t>
      </w:r>
      <w:r w:rsidR="008C7015" w:rsidRPr="007E4AA8">
        <w:rPr>
          <w:color w:val="auto"/>
          <w:lang w:val="es-ES"/>
        </w:rPr>
        <w:t xml:space="preserve"> </w:t>
      </w:r>
      <w:r w:rsidRPr="007E4AA8">
        <w:rPr>
          <w:color w:val="auto"/>
          <w:lang w:val="es-ES"/>
        </w:rPr>
        <w:t>la Comisión notificó dicho informe a las partes y se puso a disposición a fin de llegar a una solución amistosa</w:t>
      </w:r>
      <w:r w:rsidR="00A66E7F" w:rsidRPr="007E4AA8">
        <w:rPr>
          <w:color w:val="auto"/>
          <w:lang w:val="es-ES"/>
        </w:rPr>
        <w:t>, sin que se dieran las condiciones para iniciar dicho procedimiento</w:t>
      </w:r>
      <w:r w:rsidRPr="007E4AA8">
        <w:rPr>
          <w:color w:val="auto"/>
          <w:lang w:val="es-ES"/>
        </w:rPr>
        <w:t>. Las partes contaron con los plazos reglamentarios para presentar sus observaciones adicionales sobre el fondo. Toda la información recibida fue debidamente trasladada entre las partes.</w:t>
      </w:r>
      <w:r w:rsidRPr="007E4AA8">
        <w:rPr>
          <w:color w:val="auto"/>
          <w:sz w:val="32"/>
          <w:lang w:val="es-ES" w:eastAsia="es-ES"/>
        </w:rPr>
        <w:t xml:space="preserve"> </w:t>
      </w:r>
    </w:p>
    <w:p w14:paraId="73A00D0F" w14:textId="77777777" w:rsidR="0006565A" w:rsidRPr="007E4AA8" w:rsidRDefault="0006565A" w:rsidP="00914740">
      <w:pPr>
        <w:tabs>
          <w:tab w:val="left" w:pos="360"/>
        </w:tabs>
        <w:suppressAutoHyphens/>
        <w:jc w:val="both"/>
        <w:rPr>
          <w:rFonts w:ascii="Cambria" w:hAnsi="Cambria"/>
          <w:sz w:val="20"/>
          <w:szCs w:val="20"/>
          <w:lang w:val="es-ES"/>
        </w:rPr>
      </w:pPr>
    </w:p>
    <w:p w14:paraId="5E21DB34" w14:textId="77777777" w:rsidR="006B4D40" w:rsidRPr="007E4AA8" w:rsidRDefault="00D12193" w:rsidP="00014512">
      <w:pPr>
        <w:pStyle w:val="Heading1"/>
        <w:rPr>
          <w:color w:val="auto"/>
          <w:lang w:val="es-ES"/>
        </w:rPr>
      </w:pPr>
      <w:bookmarkStart w:id="3" w:name="_Toc60669565"/>
      <w:r w:rsidRPr="007E4AA8">
        <w:rPr>
          <w:color w:val="auto"/>
          <w:lang w:val="es-ES"/>
        </w:rPr>
        <w:t>ALEGATOS DE LAS PARTES</w:t>
      </w:r>
      <w:bookmarkEnd w:id="3"/>
    </w:p>
    <w:p w14:paraId="53E34350" w14:textId="77777777" w:rsidR="00484FDC" w:rsidRPr="007E4AA8" w:rsidRDefault="00484FDC" w:rsidP="00484FDC">
      <w:pPr>
        <w:pStyle w:val="Heading2"/>
        <w:numPr>
          <w:ilvl w:val="0"/>
          <w:numId w:val="0"/>
        </w:numPr>
        <w:rPr>
          <w:lang w:val="es-ES"/>
        </w:rPr>
      </w:pPr>
    </w:p>
    <w:p w14:paraId="509A43B4" w14:textId="77777777" w:rsidR="00D12193" w:rsidRPr="007E4AA8" w:rsidRDefault="0022273F" w:rsidP="00484FDC">
      <w:pPr>
        <w:pStyle w:val="Heading2"/>
        <w:ind w:left="360"/>
        <w:rPr>
          <w:lang w:val="es-ES"/>
        </w:rPr>
      </w:pPr>
      <w:bookmarkStart w:id="4" w:name="_Toc60669566"/>
      <w:r w:rsidRPr="007E4AA8">
        <w:rPr>
          <w:lang w:val="es-ES"/>
        </w:rPr>
        <w:t>Parte peticionaria</w:t>
      </w:r>
      <w:bookmarkEnd w:id="4"/>
      <w:r w:rsidRPr="007E4AA8">
        <w:rPr>
          <w:lang w:val="es-ES"/>
        </w:rPr>
        <w:t xml:space="preserve"> </w:t>
      </w:r>
    </w:p>
    <w:p w14:paraId="492442F5" w14:textId="77777777" w:rsidR="00B53AAE" w:rsidRPr="007E4AA8" w:rsidRDefault="00B53AAE" w:rsidP="00B53AAE">
      <w:pPr>
        <w:rPr>
          <w:lang w:val="es-ES"/>
        </w:rPr>
      </w:pPr>
    </w:p>
    <w:p w14:paraId="0F29806E" w14:textId="77777777" w:rsidR="009D76CD" w:rsidRPr="007E4AA8" w:rsidRDefault="00F60608" w:rsidP="009D76CD">
      <w:pPr>
        <w:pStyle w:val="parrafos"/>
        <w:ind w:left="0" w:firstLine="0"/>
        <w:rPr>
          <w:color w:val="auto"/>
          <w:lang w:val="es-ES"/>
        </w:rPr>
      </w:pPr>
      <w:r w:rsidRPr="007E4AA8">
        <w:rPr>
          <w:color w:val="auto"/>
          <w:lang w:val="es-ES"/>
        </w:rPr>
        <w:t xml:space="preserve">El peticionario y presunta víctima, </w:t>
      </w:r>
      <w:r w:rsidR="009D76CD" w:rsidRPr="007E4AA8">
        <w:rPr>
          <w:color w:val="auto"/>
          <w:lang w:val="es-ES"/>
        </w:rPr>
        <w:t xml:space="preserve">el señor Jorge Luis López Sosa, quien al momento de los hechos se desempeñaba como oficial de la policía, </w:t>
      </w:r>
      <w:r w:rsidRPr="007E4AA8">
        <w:rPr>
          <w:color w:val="auto"/>
          <w:lang w:val="es-ES"/>
        </w:rPr>
        <w:t xml:space="preserve">alega que </w:t>
      </w:r>
      <w:r w:rsidR="009D76CD" w:rsidRPr="007E4AA8">
        <w:rPr>
          <w:color w:val="auto"/>
          <w:lang w:val="es-ES"/>
        </w:rPr>
        <w:t xml:space="preserve">fue torturado con el fin de involucrar a otras personas en el fallido golpe de </w:t>
      </w:r>
      <w:r w:rsidR="000473F0" w:rsidRPr="007E4AA8">
        <w:rPr>
          <w:color w:val="auto"/>
          <w:lang w:val="es-ES"/>
        </w:rPr>
        <w:t>E</w:t>
      </w:r>
      <w:r w:rsidR="009D76CD" w:rsidRPr="007E4AA8">
        <w:rPr>
          <w:color w:val="auto"/>
          <w:lang w:val="es-ES"/>
        </w:rPr>
        <w:t xml:space="preserve">stado de mayo de 2000, respecto del cual </w:t>
      </w:r>
      <w:r w:rsidR="00AC060F" w:rsidRPr="007E4AA8">
        <w:rPr>
          <w:color w:val="auto"/>
          <w:lang w:val="es-ES"/>
        </w:rPr>
        <w:t>refiere</w:t>
      </w:r>
      <w:r w:rsidR="009D76CD" w:rsidRPr="007E4AA8">
        <w:rPr>
          <w:color w:val="auto"/>
          <w:lang w:val="es-ES"/>
        </w:rPr>
        <w:t xml:space="preserve"> no tuvo </w:t>
      </w:r>
      <w:r w:rsidR="00FF5132" w:rsidRPr="007E4AA8">
        <w:rPr>
          <w:color w:val="auto"/>
          <w:lang w:val="es-ES"/>
        </w:rPr>
        <w:t>participación</w:t>
      </w:r>
      <w:r w:rsidRPr="007E4AA8">
        <w:rPr>
          <w:color w:val="auto"/>
          <w:lang w:val="es-ES"/>
        </w:rPr>
        <w:t xml:space="preserve"> alguna</w:t>
      </w:r>
      <w:r w:rsidR="009D76CD" w:rsidRPr="007E4AA8">
        <w:rPr>
          <w:color w:val="auto"/>
          <w:lang w:val="es-ES"/>
        </w:rPr>
        <w:t xml:space="preserve">. </w:t>
      </w:r>
      <w:r w:rsidR="00856C83" w:rsidRPr="007E4AA8">
        <w:rPr>
          <w:color w:val="auto"/>
          <w:lang w:val="es-ES"/>
        </w:rPr>
        <w:t>Indica</w:t>
      </w:r>
      <w:r w:rsidR="009D76CD" w:rsidRPr="007E4AA8">
        <w:rPr>
          <w:color w:val="auto"/>
          <w:lang w:val="es-ES"/>
        </w:rPr>
        <w:t xml:space="preserve"> </w:t>
      </w:r>
      <w:r w:rsidRPr="007E4AA8">
        <w:rPr>
          <w:color w:val="auto"/>
          <w:lang w:val="es-ES"/>
        </w:rPr>
        <w:t xml:space="preserve">que las torturas habrían sido propinadas </w:t>
      </w:r>
      <w:r w:rsidR="009D76CD" w:rsidRPr="007E4AA8">
        <w:rPr>
          <w:color w:val="auto"/>
          <w:lang w:val="es-ES"/>
        </w:rPr>
        <w:t>por parte de oficiales de policía</w:t>
      </w:r>
      <w:r w:rsidRPr="007E4AA8">
        <w:rPr>
          <w:color w:val="auto"/>
          <w:lang w:val="es-ES"/>
        </w:rPr>
        <w:t>,</w:t>
      </w:r>
      <w:r w:rsidR="009D76CD" w:rsidRPr="007E4AA8">
        <w:rPr>
          <w:color w:val="auto"/>
          <w:lang w:val="es-ES"/>
        </w:rPr>
        <w:t xml:space="preserve"> bajo las órdenes del entonces Ministro de Interior. Al momento de presentar la petición ante la CIDH, se encontraba detenido en la Agrupación Especializada de la Policía Nacional, donde </w:t>
      </w:r>
      <w:r w:rsidRPr="007E4AA8">
        <w:rPr>
          <w:color w:val="auto"/>
          <w:lang w:val="es-ES"/>
        </w:rPr>
        <w:t xml:space="preserve">indica </w:t>
      </w:r>
      <w:r w:rsidR="00864B48" w:rsidRPr="007E4AA8">
        <w:rPr>
          <w:color w:val="auto"/>
          <w:lang w:val="es-ES"/>
        </w:rPr>
        <w:t xml:space="preserve">que </w:t>
      </w:r>
      <w:r w:rsidRPr="007E4AA8">
        <w:rPr>
          <w:color w:val="auto"/>
          <w:lang w:val="es-ES"/>
        </w:rPr>
        <w:t xml:space="preserve">fue </w:t>
      </w:r>
      <w:r w:rsidR="009D76CD" w:rsidRPr="007E4AA8">
        <w:rPr>
          <w:color w:val="auto"/>
          <w:lang w:val="es-ES"/>
        </w:rPr>
        <w:t>presionado para llegar a un arreglo económico con sus torturadores a cambio del retiro de su denuncia</w:t>
      </w:r>
      <w:r w:rsidRPr="007E4AA8">
        <w:rPr>
          <w:color w:val="auto"/>
          <w:lang w:val="es-ES"/>
        </w:rPr>
        <w:t xml:space="preserve">, </w:t>
      </w:r>
      <w:r w:rsidR="009D76CD" w:rsidRPr="007E4AA8">
        <w:rPr>
          <w:color w:val="auto"/>
          <w:lang w:val="es-ES"/>
        </w:rPr>
        <w:t xml:space="preserve">y que estaría impedido de presentar una querella por temor a represalias. Además, </w:t>
      </w:r>
      <w:r w:rsidRPr="007E4AA8">
        <w:rPr>
          <w:color w:val="auto"/>
          <w:lang w:val="es-ES"/>
        </w:rPr>
        <w:t>indica</w:t>
      </w:r>
      <w:r w:rsidR="009D76CD" w:rsidRPr="007E4AA8">
        <w:rPr>
          <w:color w:val="auto"/>
          <w:lang w:val="es-ES"/>
        </w:rPr>
        <w:t xml:space="preserve"> que su esposa estuvo en tratamiento intensivo por una situación médica sin que se le permitiera cuidarla.</w:t>
      </w:r>
    </w:p>
    <w:p w14:paraId="4630C41E" w14:textId="77777777" w:rsidR="00B53AAE" w:rsidRPr="007E4AA8" w:rsidRDefault="00B53AAE" w:rsidP="00B53AAE">
      <w:pPr>
        <w:pStyle w:val="parrafos"/>
        <w:numPr>
          <w:ilvl w:val="0"/>
          <w:numId w:val="0"/>
        </w:numPr>
        <w:rPr>
          <w:color w:val="auto"/>
          <w:lang w:val="es-ES"/>
        </w:rPr>
      </w:pPr>
    </w:p>
    <w:p w14:paraId="57E089AA" w14:textId="77777777" w:rsidR="005F18DF" w:rsidRPr="007E4AA8" w:rsidRDefault="005F18DF" w:rsidP="007B61E0">
      <w:pPr>
        <w:pStyle w:val="parrafos"/>
        <w:ind w:left="0" w:firstLine="0"/>
        <w:rPr>
          <w:color w:val="auto"/>
          <w:lang w:val="es-ES"/>
        </w:rPr>
      </w:pPr>
      <w:r w:rsidRPr="007E4AA8">
        <w:rPr>
          <w:color w:val="auto"/>
          <w:lang w:val="es-ES"/>
        </w:rPr>
        <w:t xml:space="preserve"> Afirma que el 19 de mayo de 2000 </w:t>
      </w:r>
      <w:r w:rsidR="005504B4" w:rsidRPr="007E4AA8">
        <w:rPr>
          <w:color w:val="auto"/>
          <w:lang w:val="es-ES"/>
        </w:rPr>
        <w:t xml:space="preserve">el Jefe de la Agrupación de Protección Ecológica y Rural le informó que debía </w:t>
      </w:r>
      <w:r w:rsidRPr="007E4AA8">
        <w:rPr>
          <w:color w:val="auto"/>
          <w:lang w:val="es-ES"/>
        </w:rPr>
        <w:t>presentarse e</w:t>
      </w:r>
      <w:r w:rsidR="005504B4" w:rsidRPr="007E4AA8">
        <w:rPr>
          <w:color w:val="auto"/>
          <w:lang w:val="es-ES"/>
        </w:rPr>
        <w:t>n</w:t>
      </w:r>
      <w:r w:rsidRPr="007E4AA8">
        <w:rPr>
          <w:color w:val="auto"/>
          <w:lang w:val="es-ES"/>
        </w:rPr>
        <w:t xml:space="preserve"> la Comisaría 11 Metropolitana</w:t>
      </w:r>
      <w:r w:rsidR="005504B4" w:rsidRPr="007E4AA8">
        <w:rPr>
          <w:color w:val="auto"/>
          <w:lang w:val="es-ES"/>
        </w:rPr>
        <w:t>, siendo trasladado por personal policial. U</w:t>
      </w:r>
      <w:r w:rsidRPr="007E4AA8">
        <w:rPr>
          <w:color w:val="auto"/>
          <w:lang w:val="es-ES"/>
        </w:rPr>
        <w:t>na vez en el lugar fue conducido al despacho del Comisario, donde fue despojado de su arma reglamentaria y maniatado</w:t>
      </w:r>
      <w:r w:rsidR="0027584F" w:rsidRPr="007E4AA8">
        <w:rPr>
          <w:color w:val="auto"/>
          <w:lang w:val="es-ES"/>
        </w:rPr>
        <w:t xml:space="preserve"> con las manos hacia atrás</w:t>
      </w:r>
      <w:r w:rsidR="005504B4" w:rsidRPr="007E4AA8">
        <w:rPr>
          <w:color w:val="auto"/>
          <w:lang w:val="es-ES"/>
        </w:rPr>
        <w:t xml:space="preserve"> por alrededor de 75 horas</w:t>
      </w:r>
      <w:r w:rsidRPr="007E4AA8">
        <w:rPr>
          <w:color w:val="auto"/>
          <w:lang w:val="es-ES"/>
        </w:rPr>
        <w:t xml:space="preserve">. En este estado, </w:t>
      </w:r>
      <w:r w:rsidR="00B01B9D" w:rsidRPr="007E4AA8">
        <w:rPr>
          <w:color w:val="auto"/>
          <w:lang w:val="es-ES"/>
        </w:rPr>
        <w:t>un</w:t>
      </w:r>
      <w:r w:rsidRPr="007E4AA8">
        <w:rPr>
          <w:color w:val="auto"/>
          <w:lang w:val="es-ES"/>
        </w:rPr>
        <w:t xml:space="preserve"> </w:t>
      </w:r>
      <w:r w:rsidR="005504B4" w:rsidRPr="007E4AA8">
        <w:rPr>
          <w:color w:val="auto"/>
          <w:lang w:val="es-ES"/>
        </w:rPr>
        <w:t>o</w:t>
      </w:r>
      <w:r w:rsidRPr="007E4AA8">
        <w:rPr>
          <w:color w:val="auto"/>
          <w:lang w:val="es-ES"/>
        </w:rPr>
        <w:t>ficial le arrancó la camisa, le venda</w:t>
      </w:r>
      <w:r w:rsidR="0027584F" w:rsidRPr="007E4AA8">
        <w:rPr>
          <w:color w:val="auto"/>
          <w:lang w:val="es-ES"/>
        </w:rPr>
        <w:t>ron</w:t>
      </w:r>
      <w:r w:rsidRPr="007E4AA8">
        <w:rPr>
          <w:color w:val="auto"/>
          <w:lang w:val="es-ES"/>
        </w:rPr>
        <w:t xml:space="preserve"> los ojos con una hoja de papel doblada y cinta de embalaje</w:t>
      </w:r>
      <w:r w:rsidR="0027584F" w:rsidRPr="007E4AA8">
        <w:rPr>
          <w:color w:val="auto"/>
          <w:lang w:val="es-ES"/>
        </w:rPr>
        <w:t xml:space="preserve">, </w:t>
      </w:r>
      <w:r w:rsidR="00864B48" w:rsidRPr="007E4AA8">
        <w:rPr>
          <w:color w:val="auto"/>
          <w:lang w:val="es-ES"/>
        </w:rPr>
        <w:t xml:space="preserve">y </w:t>
      </w:r>
      <w:r w:rsidR="0027584F" w:rsidRPr="007E4AA8">
        <w:rPr>
          <w:color w:val="auto"/>
          <w:lang w:val="es-ES"/>
        </w:rPr>
        <w:t>fue puesto en</w:t>
      </w:r>
      <w:r w:rsidRPr="007E4AA8">
        <w:rPr>
          <w:color w:val="auto"/>
          <w:lang w:val="es-ES"/>
        </w:rPr>
        <w:t xml:space="preserve"> el suelo boca abajo junto a otra persona, quien se encontraba en las mismas condiciones, </w:t>
      </w:r>
      <w:r w:rsidR="0027584F" w:rsidRPr="007E4AA8">
        <w:rPr>
          <w:color w:val="auto"/>
          <w:lang w:val="es-ES"/>
        </w:rPr>
        <w:t>e i</w:t>
      </w:r>
      <w:r w:rsidRPr="007E4AA8">
        <w:rPr>
          <w:color w:val="auto"/>
          <w:lang w:val="es-ES"/>
        </w:rPr>
        <w:t>nterroga</w:t>
      </w:r>
      <w:r w:rsidR="0027584F" w:rsidRPr="007E4AA8">
        <w:rPr>
          <w:color w:val="auto"/>
          <w:lang w:val="es-ES"/>
        </w:rPr>
        <w:t>do</w:t>
      </w:r>
      <w:r w:rsidRPr="007E4AA8">
        <w:rPr>
          <w:color w:val="auto"/>
          <w:lang w:val="es-ES"/>
        </w:rPr>
        <w:t xml:space="preserve"> sobre su paradero la noche previa, mientras le golpeaban las plantas de los pies</w:t>
      </w:r>
      <w:r w:rsidR="005504B4" w:rsidRPr="007E4AA8">
        <w:rPr>
          <w:color w:val="auto"/>
          <w:lang w:val="es-ES"/>
        </w:rPr>
        <w:t xml:space="preserve"> en </w:t>
      </w:r>
      <w:r w:rsidR="00AC060F" w:rsidRPr="007E4AA8">
        <w:rPr>
          <w:color w:val="auto"/>
          <w:lang w:val="es-ES"/>
        </w:rPr>
        <w:t>diversas</w:t>
      </w:r>
      <w:r w:rsidR="005504B4" w:rsidRPr="007E4AA8">
        <w:rPr>
          <w:color w:val="auto"/>
          <w:lang w:val="es-ES"/>
        </w:rPr>
        <w:t xml:space="preserve"> oportunidades</w:t>
      </w:r>
      <w:r w:rsidRPr="007E4AA8">
        <w:rPr>
          <w:color w:val="auto"/>
          <w:lang w:val="es-ES"/>
        </w:rPr>
        <w:t xml:space="preserve">. En cierto momento, uno de los oficiales se paró encima suyo mientras le estiraba los brazos hacia arriba, provocándole intensos dolores en las articulaciones de ambos hombros. </w:t>
      </w:r>
    </w:p>
    <w:p w14:paraId="5C0E25A2" w14:textId="77777777" w:rsidR="00B53AAE" w:rsidRPr="007E4AA8" w:rsidRDefault="00B53AAE" w:rsidP="00B53AAE">
      <w:pPr>
        <w:pStyle w:val="parrafos"/>
        <w:numPr>
          <w:ilvl w:val="0"/>
          <w:numId w:val="0"/>
        </w:numPr>
        <w:rPr>
          <w:color w:val="auto"/>
          <w:lang w:val="es-ES"/>
        </w:rPr>
      </w:pPr>
    </w:p>
    <w:p w14:paraId="25C6A0C1" w14:textId="77777777" w:rsidR="005504B4" w:rsidRPr="007E4AA8" w:rsidRDefault="005F18DF" w:rsidP="005F18DF">
      <w:pPr>
        <w:pStyle w:val="parrafos"/>
        <w:ind w:left="0" w:firstLine="0"/>
        <w:rPr>
          <w:color w:val="auto"/>
          <w:lang w:val="es-ES"/>
        </w:rPr>
      </w:pPr>
      <w:r w:rsidRPr="007E4AA8">
        <w:rPr>
          <w:color w:val="auto"/>
          <w:lang w:val="es-ES"/>
        </w:rPr>
        <w:t>El peticionario afirma haber sido trasladado a otras instalaciones estatales,</w:t>
      </w:r>
      <w:r w:rsidR="00A26BF1" w:rsidRPr="007E4AA8">
        <w:rPr>
          <w:color w:val="auto"/>
          <w:lang w:val="es-ES"/>
        </w:rPr>
        <w:t xml:space="preserve"> </w:t>
      </w:r>
      <w:r w:rsidR="005504B4" w:rsidRPr="007E4AA8">
        <w:rPr>
          <w:color w:val="auto"/>
          <w:lang w:val="es-ES"/>
        </w:rPr>
        <w:t>entre ellas “el cuadrilátero”.</w:t>
      </w:r>
      <w:r w:rsidR="00856C83" w:rsidRPr="007E4AA8">
        <w:rPr>
          <w:color w:val="auto"/>
          <w:lang w:val="es-ES"/>
        </w:rPr>
        <w:t xml:space="preserve"> </w:t>
      </w:r>
      <w:r w:rsidR="005504B4" w:rsidRPr="007E4AA8">
        <w:rPr>
          <w:color w:val="auto"/>
          <w:lang w:val="es-ES"/>
        </w:rPr>
        <w:t>Ref</w:t>
      </w:r>
      <w:r w:rsidR="00856C83" w:rsidRPr="007E4AA8">
        <w:rPr>
          <w:color w:val="auto"/>
          <w:lang w:val="es-ES"/>
        </w:rPr>
        <w:t xml:space="preserve">iere </w:t>
      </w:r>
      <w:r w:rsidR="005504B4" w:rsidRPr="007E4AA8">
        <w:rPr>
          <w:color w:val="auto"/>
          <w:lang w:val="es-ES"/>
        </w:rPr>
        <w:t>que el 20 de mayo lo regresaron a la Comisaría 11 donde se le mantuvo esposado manos hacia atrás en un calabozo que únicamente tenía un pedazo de colchón</w:t>
      </w:r>
      <w:r w:rsidR="00856C83" w:rsidRPr="007E4AA8">
        <w:rPr>
          <w:color w:val="auto"/>
          <w:lang w:val="es-ES"/>
        </w:rPr>
        <w:t>,</w:t>
      </w:r>
      <w:r w:rsidR="005504B4" w:rsidRPr="007E4AA8">
        <w:rPr>
          <w:color w:val="auto"/>
          <w:lang w:val="es-ES"/>
        </w:rPr>
        <w:t xml:space="preserve"> y que le cambiaron las esposas hacia adelante so</w:t>
      </w:r>
      <w:r w:rsidR="00856C83" w:rsidRPr="007E4AA8">
        <w:rPr>
          <w:color w:val="auto"/>
          <w:lang w:val="es-ES"/>
        </w:rPr>
        <w:t>lo</w:t>
      </w:r>
      <w:r w:rsidR="005504B4" w:rsidRPr="007E4AA8">
        <w:rPr>
          <w:color w:val="auto"/>
          <w:lang w:val="es-ES"/>
        </w:rPr>
        <w:t xml:space="preserve"> cuando le trajeron comida, o requería asearse o ir al baño. Indica que el día 21 de mayo</w:t>
      </w:r>
      <w:r w:rsidR="00856C83" w:rsidRPr="007E4AA8">
        <w:rPr>
          <w:color w:val="auto"/>
          <w:lang w:val="es-ES"/>
        </w:rPr>
        <w:t>,</w:t>
      </w:r>
      <w:r w:rsidR="005504B4" w:rsidRPr="007E4AA8">
        <w:rPr>
          <w:color w:val="auto"/>
          <w:lang w:val="es-ES"/>
        </w:rPr>
        <w:t xml:space="preserve"> el Ministro del Interior de la época, señor Bower</w:t>
      </w:r>
      <w:r w:rsidR="00856C83" w:rsidRPr="007E4AA8">
        <w:rPr>
          <w:color w:val="auto"/>
          <w:lang w:val="es-ES"/>
        </w:rPr>
        <w:t>,</w:t>
      </w:r>
      <w:r w:rsidR="005504B4" w:rsidRPr="007E4AA8">
        <w:rPr>
          <w:color w:val="auto"/>
          <w:lang w:val="es-ES"/>
        </w:rPr>
        <w:t xml:space="preserve"> se habría presentado en las </w:t>
      </w:r>
      <w:r w:rsidR="00864B48" w:rsidRPr="007E4AA8">
        <w:rPr>
          <w:color w:val="auto"/>
          <w:lang w:val="es-ES"/>
        </w:rPr>
        <w:t>dependencias</w:t>
      </w:r>
      <w:r w:rsidR="005504B4" w:rsidRPr="007E4AA8">
        <w:rPr>
          <w:color w:val="auto"/>
          <w:lang w:val="es-ES"/>
        </w:rPr>
        <w:t>, ordenándole arrodilla</w:t>
      </w:r>
      <w:r w:rsidR="00864B48" w:rsidRPr="007E4AA8">
        <w:rPr>
          <w:color w:val="auto"/>
          <w:lang w:val="es-ES"/>
        </w:rPr>
        <w:t>r</w:t>
      </w:r>
      <w:r w:rsidR="005504B4" w:rsidRPr="007E4AA8">
        <w:rPr>
          <w:color w:val="auto"/>
          <w:lang w:val="es-ES"/>
        </w:rPr>
        <w:t xml:space="preserve">se durante una hora por encontrarse el Ministro de visita. Ese día </w:t>
      </w:r>
      <w:r w:rsidR="00827727" w:rsidRPr="007E4AA8">
        <w:rPr>
          <w:color w:val="auto"/>
          <w:lang w:val="es-ES"/>
        </w:rPr>
        <w:t>recibió</w:t>
      </w:r>
      <w:r w:rsidR="005504B4" w:rsidRPr="007E4AA8">
        <w:rPr>
          <w:color w:val="auto"/>
          <w:lang w:val="es-ES"/>
        </w:rPr>
        <w:t xml:space="preserve"> la visita de su esposa por 15 minutos, y tras retirarse</w:t>
      </w:r>
      <w:r w:rsidR="00856C83" w:rsidRPr="007E4AA8">
        <w:rPr>
          <w:color w:val="auto"/>
          <w:lang w:val="es-ES"/>
        </w:rPr>
        <w:t>,</w:t>
      </w:r>
      <w:r w:rsidR="005504B4" w:rsidRPr="007E4AA8">
        <w:rPr>
          <w:color w:val="auto"/>
          <w:lang w:val="es-ES"/>
        </w:rPr>
        <w:t xml:space="preserve"> le indicaron al señor López que colaborara con la investigación teniendo en cuenta el estado de gravidez de su esposa y que también era policía, para que no fuera </w:t>
      </w:r>
      <w:r w:rsidR="00827727" w:rsidRPr="007E4AA8">
        <w:rPr>
          <w:color w:val="auto"/>
          <w:lang w:val="es-ES"/>
        </w:rPr>
        <w:t>incluida</w:t>
      </w:r>
      <w:r w:rsidR="005504B4" w:rsidRPr="007E4AA8">
        <w:rPr>
          <w:color w:val="auto"/>
          <w:lang w:val="es-ES"/>
        </w:rPr>
        <w:t xml:space="preserve"> en el caso. </w:t>
      </w:r>
    </w:p>
    <w:p w14:paraId="5011CAFA" w14:textId="77777777" w:rsidR="005504B4" w:rsidRPr="007E4AA8" w:rsidRDefault="005504B4" w:rsidP="00B24F71">
      <w:pPr>
        <w:pStyle w:val="ListParagraph"/>
        <w:rPr>
          <w:color w:val="auto"/>
        </w:rPr>
      </w:pPr>
    </w:p>
    <w:p w14:paraId="55A4C1DE" w14:textId="77777777" w:rsidR="00B53AAE" w:rsidRPr="007E4AA8" w:rsidRDefault="005504B4" w:rsidP="00ED59AE">
      <w:pPr>
        <w:pStyle w:val="parrafos"/>
        <w:ind w:left="0" w:firstLine="0"/>
        <w:rPr>
          <w:color w:val="auto"/>
          <w:lang w:val="es-ES"/>
        </w:rPr>
      </w:pPr>
      <w:r w:rsidRPr="007E4AA8">
        <w:rPr>
          <w:color w:val="auto"/>
          <w:lang w:val="es-ES"/>
        </w:rPr>
        <w:t xml:space="preserve"> </w:t>
      </w:r>
      <w:r w:rsidR="00856C83" w:rsidRPr="007E4AA8">
        <w:rPr>
          <w:color w:val="auto"/>
          <w:lang w:val="es-ES"/>
        </w:rPr>
        <w:t>Afirma que e</w:t>
      </w:r>
      <w:r w:rsidRPr="007E4AA8">
        <w:rPr>
          <w:color w:val="auto"/>
          <w:lang w:val="es-ES"/>
        </w:rPr>
        <w:t xml:space="preserve">l 21 de mayo fue trasladado </w:t>
      </w:r>
      <w:r w:rsidR="00ED59AE" w:rsidRPr="007E4AA8">
        <w:rPr>
          <w:color w:val="auto"/>
          <w:lang w:val="es-ES"/>
        </w:rPr>
        <w:t xml:space="preserve">por personal de seguridad del Ministro del Interior y oficiales de policía, </w:t>
      </w:r>
      <w:r w:rsidRPr="007E4AA8">
        <w:rPr>
          <w:color w:val="auto"/>
          <w:lang w:val="es-ES"/>
        </w:rPr>
        <w:t xml:space="preserve">a la Infantería de Marina. </w:t>
      </w:r>
      <w:r w:rsidR="00856C83" w:rsidRPr="007E4AA8">
        <w:rPr>
          <w:color w:val="auto"/>
          <w:lang w:val="es-ES"/>
        </w:rPr>
        <w:t>Sostiene</w:t>
      </w:r>
      <w:r w:rsidR="005F18DF" w:rsidRPr="007E4AA8">
        <w:rPr>
          <w:color w:val="auto"/>
          <w:lang w:val="es-ES"/>
        </w:rPr>
        <w:t xml:space="preserve"> que mientras fue torturado en las instalaciones de la Infantería de </w:t>
      </w:r>
      <w:r w:rsidR="005F18DF" w:rsidRPr="007E4AA8">
        <w:rPr>
          <w:color w:val="auto"/>
          <w:lang w:val="es-ES"/>
        </w:rPr>
        <w:lastRenderedPageBreak/>
        <w:t>Marina, pudo ver al Ministro del Interior, Walter Bower, y que en un momento, un subcomisario le pisó la cabeza para obligarle a ver hacia otro lado</w:t>
      </w:r>
      <w:r w:rsidR="00ED59AE" w:rsidRPr="007E4AA8">
        <w:rPr>
          <w:color w:val="auto"/>
          <w:lang w:val="es-ES"/>
        </w:rPr>
        <w:t xml:space="preserve"> mientras escuchaba a otra persona ser torturada</w:t>
      </w:r>
      <w:r w:rsidR="005F18DF" w:rsidRPr="007E4AA8">
        <w:rPr>
          <w:color w:val="auto"/>
          <w:lang w:val="es-ES"/>
        </w:rPr>
        <w:t xml:space="preserve">. </w:t>
      </w:r>
      <w:r w:rsidR="00ED59AE" w:rsidRPr="007E4AA8">
        <w:rPr>
          <w:color w:val="auto"/>
          <w:lang w:val="es-ES"/>
        </w:rPr>
        <w:t>Se le habría indicado que el Ministro del Interior había requerido que vinculara al intento de golpe a otro polic</w:t>
      </w:r>
      <w:r w:rsidR="00864B48" w:rsidRPr="007E4AA8">
        <w:rPr>
          <w:color w:val="auto"/>
          <w:lang w:val="es-ES"/>
        </w:rPr>
        <w:t>í</w:t>
      </w:r>
      <w:r w:rsidR="00ED59AE" w:rsidRPr="007E4AA8">
        <w:rPr>
          <w:color w:val="auto"/>
          <w:lang w:val="es-ES"/>
        </w:rPr>
        <w:t>a, a cambio de liberar a su esposa del tema.</w:t>
      </w:r>
    </w:p>
    <w:p w14:paraId="2CAE54D1" w14:textId="77777777" w:rsidR="00ED59AE" w:rsidRPr="007E4AA8" w:rsidRDefault="00ED59AE" w:rsidP="00ED59AE">
      <w:pPr>
        <w:pStyle w:val="parrafos"/>
        <w:numPr>
          <w:ilvl w:val="0"/>
          <w:numId w:val="0"/>
        </w:numPr>
        <w:rPr>
          <w:color w:val="auto"/>
          <w:lang w:val="es-ES"/>
        </w:rPr>
      </w:pPr>
    </w:p>
    <w:p w14:paraId="36F8905F" w14:textId="77777777" w:rsidR="005F18DF" w:rsidRPr="007E4AA8" w:rsidRDefault="005F18DF" w:rsidP="003631E1">
      <w:pPr>
        <w:pStyle w:val="parrafos"/>
        <w:ind w:left="0" w:firstLine="0"/>
        <w:rPr>
          <w:color w:val="auto"/>
          <w:lang w:val="es-ES"/>
        </w:rPr>
      </w:pPr>
      <w:r w:rsidRPr="007E4AA8">
        <w:rPr>
          <w:color w:val="auto"/>
          <w:lang w:val="es-ES"/>
        </w:rPr>
        <w:t>Señala que no fue revisado por personal médico sino hasta aproximadamente quince días después</w:t>
      </w:r>
      <w:r w:rsidR="00B01B9D" w:rsidRPr="007E4AA8">
        <w:rPr>
          <w:color w:val="auto"/>
          <w:lang w:val="es-ES"/>
        </w:rPr>
        <w:t>,</w:t>
      </w:r>
      <w:r w:rsidRPr="007E4AA8">
        <w:rPr>
          <w:color w:val="auto"/>
          <w:lang w:val="es-ES"/>
        </w:rPr>
        <w:t xml:space="preserve"> cuando la Cruz Roja Internacional les visitó. Posteriormente, fue visitado por una comitiva judicial compuesta por un juez</w:t>
      </w:r>
      <w:r w:rsidR="005504B4" w:rsidRPr="007E4AA8">
        <w:rPr>
          <w:color w:val="auto"/>
          <w:lang w:val="es-ES"/>
        </w:rPr>
        <w:t>,</w:t>
      </w:r>
      <w:r w:rsidRPr="007E4AA8">
        <w:rPr>
          <w:color w:val="auto"/>
          <w:lang w:val="es-ES"/>
        </w:rPr>
        <w:t xml:space="preserve"> un médico forense y otras personas, sin que pudieran por el tiempo transcurrido encontrar rastro alguno de las torturas. </w:t>
      </w:r>
      <w:r w:rsidR="003631E1" w:rsidRPr="007E4AA8">
        <w:rPr>
          <w:color w:val="auto"/>
          <w:lang w:val="es-ES"/>
        </w:rPr>
        <w:t>Agrega</w:t>
      </w:r>
      <w:r w:rsidRPr="007E4AA8">
        <w:rPr>
          <w:color w:val="auto"/>
          <w:lang w:val="es-ES"/>
        </w:rPr>
        <w:t xml:space="preserve"> </w:t>
      </w:r>
      <w:r w:rsidR="00827727" w:rsidRPr="007E4AA8">
        <w:rPr>
          <w:color w:val="auto"/>
          <w:lang w:val="es-ES"/>
        </w:rPr>
        <w:t>que,</w:t>
      </w:r>
      <w:r w:rsidRPr="007E4AA8">
        <w:rPr>
          <w:color w:val="auto"/>
          <w:lang w:val="es-ES"/>
        </w:rPr>
        <w:t xml:space="preserve"> entre fines de junio y principios de julio, </w:t>
      </w:r>
      <w:r w:rsidR="00ED59AE" w:rsidRPr="007E4AA8">
        <w:rPr>
          <w:color w:val="auto"/>
          <w:lang w:val="es-ES"/>
        </w:rPr>
        <w:t>recibió la visita de un médico, un actuario y fiscales y que</w:t>
      </w:r>
      <w:r w:rsidR="00864B48" w:rsidRPr="007E4AA8">
        <w:rPr>
          <w:color w:val="auto"/>
          <w:lang w:val="es-ES"/>
        </w:rPr>
        <w:t>,</w:t>
      </w:r>
      <w:r w:rsidR="00ED59AE" w:rsidRPr="007E4AA8">
        <w:rPr>
          <w:color w:val="auto"/>
          <w:lang w:val="es-ES"/>
        </w:rPr>
        <w:t xml:space="preserve"> </w:t>
      </w:r>
      <w:r w:rsidRPr="007E4AA8">
        <w:rPr>
          <w:color w:val="auto"/>
          <w:lang w:val="es-ES"/>
        </w:rPr>
        <w:t xml:space="preserve">tras </w:t>
      </w:r>
      <w:r w:rsidR="00ED59AE" w:rsidRPr="007E4AA8">
        <w:rPr>
          <w:color w:val="auto"/>
          <w:lang w:val="es-ES"/>
        </w:rPr>
        <w:t>ratific</w:t>
      </w:r>
      <w:r w:rsidR="003631E1" w:rsidRPr="007E4AA8">
        <w:rPr>
          <w:color w:val="auto"/>
          <w:lang w:val="es-ES"/>
        </w:rPr>
        <w:t>ar</w:t>
      </w:r>
      <w:r w:rsidR="00ED59AE" w:rsidRPr="007E4AA8">
        <w:rPr>
          <w:color w:val="auto"/>
          <w:lang w:val="es-ES"/>
        </w:rPr>
        <w:t xml:space="preserve"> las torturas que sufrió</w:t>
      </w:r>
      <w:r w:rsidRPr="007E4AA8">
        <w:rPr>
          <w:color w:val="auto"/>
          <w:lang w:val="es-ES"/>
        </w:rPr>
        <w:t xml:space="preserve">, fue trasladado al “cuadrilátero” </w:t>
      </w:r>
      <w:r w:rsidR="00ED59AE" w:rsidRPr="007E4AA8">
        <w:rPr>
          <w:color w:val="auto"/>
          <w:lang w:val="es-ES"/>
        </w:rPr>
        <w:t>como castigo</w:t>
      </w:r>
      <w:r w:rsidRPr="007E4AA8">
        <w:rPr>
          <w:color w:val="auto"/>
          <w:lang w:val="es-ES"/>
        </w:rPr>
        <w:t xml:space="preserve">, </w:t>
      </w:r>
      <w:r w:rsidR="005504B4" w:rsidRPr="007E4AA8">
        <w:rPr>
          <w:color w:val="auto"/>
          <w:lang w:val="es-ES"/>
        </w:rPr>
        <w:t xml:space="preserve">y se </w:t>
      </w:r>
      <w:r w:rsidRPr="007E4AA8">
        <w:rPr>
          <w:color w:val="auto"/>
          <w:lang w:val="es-ES"/>
        </w:rPr>
        <w:t xml:space="preserve">le habría imputado una denuncia falsa </w:t>
      </w:r>
      <w:r w:rsidR="003631E1" w:rsidRPr="007E4AA8">
        <w:rPr>
          <w:color w:val="auto"/>
          <w:lang w:val="es-ES"/>
        </w:rPr>
        <w:t>sobre el asesinato de</w:t>
      </w:r>
      <w:r w:rsidRPr="007E4AA8">
        <w:rPr>
          <w:color w:val="auto"/>
          <w:lang w:val="es-ES"/>
        </w:rPr>
        <w:t xml:space="preserve"> un detenido a través de actos de tortura mientras </w:t>
      </w:r>
      <w:r w:rsidR="003631E1" w:rsidRPr="007E4AA8">
        <w:rPr>
          <w:color w:val="auto"/>
          <w:lang w:val="es-ES"/>
        </w:rPr>
        <w:t>la presunta víctima</w:t>
      </w:r>
      <w:r w:rsidRPr="007E4AA8">
        <w:rPr>
          <w:color w:val="auto"/>
          <w:lang w:val="es-ES"/>
        </w:rPr>
        <w:t xml:space="preserve"> se desempeñaba como jefe de la Sección de Investigación del Delito del Quinto Departamento Caaguazú, con el fin de que se retract</w:t>
      </w:r>
      <w:r w:rsidR="003631E1" w:rsidRPr="007E4AA8">
        <w:rPr>
          <w:color w:val="auto"/>
          <w:lang w:val="es-ES"/>
        </w:rPr>
        <w:t>ara</w:t>
      </w:r>
      <w:r w:rsidRPr="007E4AA8">
        <w:rPr>
          <w:color w:val="auto"/>
          <w:lang w:val="es-ES"/>
        </w:rPr>
        <w:t xml:space="preserve"> de la denuncia formulada.</w:t>
      </w:r>
      <w:r w:rsidR="005504B4" w:rsidRPr="007E4AA8">
        <w:rPr>
          <w:color w:val="auto"/>
          <w:lang w:val="es-ES"/>
        </w:rPr>
        <w:t xml:space="preserve"> </w:t>
      </w:r>
    </w:p>
    <w:p w14:paraId="78C75A0F" w14:textId="77777777" w:rsidR="00B53AAE" w:rsidRPr="007E4AA8" w:rsidRDefault="00B53AAE" w:rsidP="00B53AAE">
      <w:pPr>
        <w:pStyle w:val="parrafos"/>
        <w:numPr>
          <w:ilvl w:val="0"/>
          <w:numId w:val="0"/>
        </w:numPr>
        <w:rPr>
          <w:color w:val="auto"/>
          <w:lang w:val="es-ES"/>
        </w:rPr>
      </w:pPr>
    </w:p>
    <w:p w14:paraId="12D6F194" w14:textId="77777777" w:rsidR="00CD6F24" w:rsidRPr="007E4AA8" w:rsidRDefault="00CD6F24" w:rsidP="00CD6F24">
      <w:pPr>
        <w:pStyle w:val="parrafos"/>
        <w:ind w:left="0" w:firstLine="0"/>
        <w:rPr>
          <w:color w:val="auto"/>
          <w:lang w:val="es-ES"/>
        </w:rPr>
      </w:pPr>
      <w:r w:rsidRPr="007E4AA8">
        <w:rPr>
          <w:color w:val="auto"/>
          <w:lang w:val="es-ES"/>
        </w:rPr>
        <w:t>Finalmente,</w:t>
      </w:r>
      <w:r w:rsidR="005504B4" w:rsidRPr="007E4AA8">
        <w:rPr>
          <w:color w:val="auto"/>
          <w:lang w:val="es-ES"/>
        </w:rPr>
        <w:t xml:space="preserve"> </w:t>
      </w:r>
      <w:r w:rsidR="00D924C0" w:rsidRPr="007E4AA8">
        <w:rPr>
          <w:color w:val="auto"/>
          <w:lang w:val="es-ES"/>
        </w:rPr>
        <w:t>alega reta</w:t>
      </w:r>
      <w:r w:rsidR="006833D8" w:rsidRPr="007E4AA8">
        <w:rPr>
          <w:color w:val="auto"/>
          <w:lang w:val="es-ES"/>
        </w:rPr>
        <w:t>rd</w:t>
      </w:r>
      <w:r w:rsidR="00D924C0" w:rsidRPr="007E4AA8">
        <w:rPr>
          <w:color w:val="auto"/>
          <w:lang w:val="es-ES"/>
        </w:rPr>
        <w:t xml:space="preserve">o injustificado en el trámite del proceso penal </w:t>
      </w:r>
      <w:r w:rsidR="00DD2F68" w:rsidRPr="007E4AA8">
        <w:rPr>
          <w:color w:val="auto"/>
          <w:lang w:val="es-ES"/>
        </w:rPr>
        <w:t xml:space="preserve">iniciado por las torturas de que habría sido víctima, </w:t>
      </w:r>
      <w:r w:rsidR="00273EC6" w:rsidRPr="007E4AA8">
        <w:rPr>
          <w:color w:val="auto"/>
          <w:lang w:val="es-ES"/>
        </w:rPr>
        <w:t>debido a componendas entre los acusados y las autoridades judiciales,</w:t>
      </w:r>
      <w:r w:rsidR="006C0605" w:rsidRPr="007E4AA8">
        <w:rPr>
          <w:color w:val="auto"/>
          <w:lang w:val="es-ES"/>
        </w:rPr>
        <w:t xml:space="preserve"> sin que se haya logrado llevar a </w:t>
      </w:r>
      <w:r w:rsidR="00D924C0" w:rsidRPr="007E4AA8">
        <w:rPr>
          <w:color w:val="auto"/>
          <w:lang w:val="es-ES"/>
        </w:rPr>
        <w:t>cabo la audiencia preliminar</w:t>
      </w:r>
      <w:r w:rsidR="008E46CB" w:rsidRPr="007E4AA8">
        <w:rPr>
          <w:color w:val="auto"/>
          <w:lang w:val="es-ES"/>
        </w:rPr>
        <w:t xml:space="preserve"> pese a que han pasado años </w:t>
      </w:r>
      <w:r w:rsidR="00323885" w:rsidRPr="007E4AA8">
        <w:rPr>
          <w:color w:val="auto"/>
          <w:lang w:val="es-ES"/>
        </w:rPr>
        <w:t xml:space="preserve">desde </w:t>
      </w:r>
      <w:r w:rsidR="008E46CB" w:rsidRPr="007E4AA8">
        <w:rPr>
          <w:color w:val="auto"/>
          <w:lang w:val="es-ES"/>
        </w:rPr>
        <w:t>el inicio del proceso</w:t>
      </w:r>
      <w:r w:rsidR="005B323C" w:rsidRPr="007E4AA8">
        <w:rPr>
          <w:color w:val="auto"/>
          <w:lang w:val="es-ES"/>
        </w:rPr>
        <w:t xml:space="preserve">. </w:t>
      </w:r>
    </w:p>
    <w:p w14:paraId="5AFE859E" w14:textId="77777777" w:rsidR="00361415" w:rsidRPr="007E4AA8" w:rsidRDefault="00361415" w:rsidP="0065716F">
      <w:pPr>
        <w:tabs>
          <w:tab w:val="left" w:pos="360"/>
        </w:tabs>
        <w:suppressAutoHyphens/>
        <w:rPr>
          <w:rFonts w:asciiTheme="majorHAnsi" w:hAnsiTheme="majorHAnsi"/>
          <w:sz w:val="20"/>
          <w:szCs w:val="20"/>
          <w:lang w:val="es-ES"/>
        </w:rPr>
      </w:pPr>
    </w:p>
    <w:p w14:paraId="7158E9D8" w14:textId="77777777" w:rsidR="00D12193" w:rsidRPr="007E4AA8" w:rsidRDefault="0022273F" w:rsidP="00484FDC">
      <w:pPr>
        <w:pStyle w:val="Heading2"/>
        <w:ind w:left="360"/>
        <w:rPr>
          <w:lang w:val="es-ES"/>
        </w:rPr>
      </w:pPr>
      <w:bookmarkStart w:id="5" w:name="_Toc60669567"/>
      <w:r w:rsidRPr="007E4AA8">
        <w:rPr>
          <w:lang w:val="es-ES"/>
        </w:rPr>
        <w:t>Estado</w:t>
      </w:r>
      <w:bookmarkEnd w:id="5"/>
      <w:r w:rsidR="00CC63CF" w:rsidRPr="007E4AA8">
        <w:rPr>
          <w:lang w:val="es-ES"/>
        </w:rPr>
        <w:t xml:space="preserve"> </w:t>
      </w:r>
    </w:p>
    <w:p w14:paraId="7B0FEF70" w14:textId="77777777" w:rsidR="007C756A" w:rsidRPr="007E4AA8" w:rsidRDefault="007C756A" w:rsidP="00914740">
      <w:pPr>
        <w:tabs>
          <w:tab w:val="left" w:pos="360"/>
        </w:tabs>
        <w:suppressAutoHyphens/>
        <w:rPr>
          <w:rFonts w:asciiTheme="majorHAnsi" w:hAnsiTheme="majorHAnsi"/>
          <w:sz w:val="20"/>
          <w:szCs w:val="20"/>
          <w:lang w:val="es-ES"/>
        </w:rPr>
      </w:pPr>
    </w:p>
    <w:p w14:paraId="2D619227" w14:textId="77777777" w:rsidR="00B53AAE" w:rsidRPr="007E4AA8" w:rsidRDefault="00B20E3D" w:rsidP="00B53AAE">
      <w:pPr>
        <w:numPr>
          <w:ilvl w:val="0"/>
          <w:numId w:val="55"/>
        </w:numPr>
        <w:tabs>
          <w:tab w:val="left" w:pos="360"/>
        </w:tabs>
        <w:ind w:left="0" w:firstLine="0"/>
        <w:jc w:val="both"/>
        <w:rPr>
          <w:sz w:val="20"/>
          <w:szCs w:val="20"/>
          <w:lang w:val="es-ES"/>
        </w:rPr>
      </w:pPr>
      <w:r w:rsidRPr="007E4AA8">
        <w:rPr>
          <w:rFonts w:ascii="Cambria" w:hAnsi="Cambria"/>
          <w:sz w:val="20"/>
          <w:szCs w:val="20"/>
          <w:lang w:val="es-ES"/>
        </w:rPr>
        <w:t xml:space="preserve">El Estado no presentó observaciones en esta etapa </w:t>
      </w:r>
      <w:r w:rsidR="007413E5" w:rsidRPr="007E4AA8">
        <w:rPr>
          <w:rFonts w:ascii="Cambria" w:hAnsi="Cambria"/>
          <w:sz w:val="20"/>
          <w:szCs w:val="20"/>
          <w:lang w:val="es-ES"/>
        </w:rPr>
        <w:t xml:space="preserve">de fondo </w:t>
      </w:r>
      <w:r w:rsidRPr="007E4AA8">
        <w:rPr>
          <w:rFonts w:ascii="Cambria" w:hAnsi="Cambria"/>
          <w:sz w:val="20"/>
          <w:szCs w:val="20"/>
          <w:lang w:val="es-ES"/>
        </w:rPr>
        <w:t>limitándose a solicitar que se archive la petición por inactividad</w:t>
      </w:r>
      <w:r w:rsidR="00CF1867" w:rsidRPr="007E4AA8">
        <w:rPr>
          <w:rFonts w:ascii="Cambria" w:hAnsi="Cambria"/>
          <w:sz w:val="20"/>
          <w:szCs w:val="20"/>
          <w:lang w:val="es-ES"/>
        </w:rPr>
        <w:t>, pese a que se reiteró la solicitud de observaciones con fecha 9 de abril de 2020</w:t>
      </w:r>
      <w:r w:rsidR="00864B48" w:rsidRPr="007E4AA8">
        <w:rPr>
          <w:rFonts w:ascii="Cambria" w:hAnsi="Cambria"/>
          <w:sz w:val="20"/>
          <w:szCs w:val="20"/>
          <w:lang w:val="es-ES"/>
        </w:rPr>
        <w:t xml:space="preserve">. </w:t>
      </w:r>
      <w:r w:rsidR="00236E5C" w:rsidRPr="007E4AA8">
        <w:rPr>
          <w:rFonts w:ascii="Cambria" w:hAnsi="Cambria"/>
          <w:sz w:val="20"/>
          <w:szCs w:val="20"/>
          <w:lang w:val="es-ES"/>
        </w:rPr>
        <w:t>El 13 de noviembre de 2020, en respuesta a una solicitud de información realizada por la CIDH, el Estado refirió a algunos puntos específicos consultados</w:t>
      </w:r>
      <w:r w:rsidR="0078009A" w:rsidRPr="007E4AA8">
        <w:rPr>
          <w:rFonts w:ascii="Cambria" w:hAnsi="Cambria"/>
          <w:sz w:val="20"/>
          <w:szCs w:val="20"/>
          <w:lang w:val="es-ES"/>
        </w:rPr>
        <w:t xml:space="preserve"> por la Comisión</w:t>
      </w:r>
      <w:r w:rsidR="00236E5C" w:rsidRPr="007E4AA8">
        <w:rPr>
          <w:rFonts w:ascii="Cambria" w:hAnsi="Cambria"/>
          <w:sz w:val="20"/>
          <w:szCs w:val="20"/>
          <w:lang w:val="es-ES"/>
        </w:rPr>
        <w:t xml:space="preserve">. </w:t>
      </w:r>
      <w:r w:rsidR="00864B48" w:rsidRPr="007E4AA8">
        <w:rPr>
          <w:rFonts w:ascii="Cambria" w:hAnsi="Cambria"/>
          <w:sz w:val="20"/>
          <w:szCs w:val="20"/>
          <w:lang w:val="es-ES"/>
        </w:rPr>
        <w:t xml:space="preserve">En virtud de lo anterior, </w:t>
      </w:r>
      <w:r w:rsidRPr="007E4AA8">
        <w:rPr>
          <w:rFonts w:ascii="Cambria" w:hAnsi="Cambria"/>
          <w:sz w:val="20"/>
          <w:szCs w:val="20"/>
          <w:lang w:val="es-ES"/>
        </w:rPr>
        <w:t xml:space="preserve">la presente sección se basa </w:t>
      </w:r>
      <w:r w:rsidR="00236E5C" w:rsidRPr="007E4AA8">
        <w:rPr>
          <w:rFonts w:ascii="Cambria" w:hAnsi="Cambria"/>
          <w:sz w:val="20"/>
          <w:szCs w:val="20"/>
          <w:lang w:val="es-ES"/>
        </w:rPr>
        <w:t xml:space="preserve">principalmente </w:t>
      </w:r>
      <w:r w:rsidRPr="007E4AA8">
        <w:rPr>
          <w:rFonts w:ascii="Cambria" w:hAnsi="Cambria"/>
          <w:sz w:val="20"/>
          <w:szCs w:val="20"/>
          <w:lang w:val="es-ES"/>
        </w:rPr>
        <w:t xml:space="preserve">en los argumentos </w:t>
      </w:r>
      <w:r w:rsidR="007413E5" w:rsidRPr="007E4AA8">
        <w:rPr>
          <w:rFonts w:ascii="Cambria" w:hAnsi="Cambria"/>
          <w:sz w:val="20"/>
          <w:szCs w:val="20"/>
          <w:lang w:val="es-ES"/>
        </w:rPr>
        <w:t>relacionados con el</w:t>
      </w:r>
      <w:r w:rsidRPr="007E4AA8">
        <w:rPr>
          <w:rFonts w:ascii="Cambria" w:hAnsi="Cambria"/>
          <w:sz w:val="20"/>
          <w:szCs w:val="20"/>
          <w:lang w:val="es-ES"/>
        </w:rPr>
        <w:t xml:space="preserve"> fondo</w:t>
      </w:r>
      <w:r w:rsidR="007413E5" w:rsidRPr="007E4AA8">
        <w:rPr>
          <w:rFonts w:ascii="Cambria" w:hAnsi="Cambria"/>
          <w:sz w:val="20"/>
          <w:szCs w:val="20"/>
          <w:lang w:val="es-ES"/>
        </w:rPr>
        <w:t xml:space="preserve"> del asunto que fueron</w:t>
      </w:r>
      <w:r w:rsidRPr="007E4AA8">
        <w:rPr>
          <w:rFonts w:ascii="Cambria" w:hAnsi="Cambria"/>
          <w:sz w:val="20"/>
          <w:szCs w:val="20"/>
          <w:lang w:val="es-ES"/>
        </w:rPr>
        <w:t xml:space="preserve"> esgrimidos</w:t>
      </w:r>
      <w:r w:rsidR="007413E5" w:rsidRPr="007E4AA8">
        <w:rPr>
          <w:rFonts w:ascii="Cambria" w:hAnsi="Cambria"/>
          <w:sz w:val="20"/>
          <w:szCs w:val="20"/>
          <w:lang w:val="es-ES"/>
        </w:rPr>
        <w:t xml:space="preserve"> por el Estado</w:t>
      </w:r>
      <w:r w:rsidRPr="007E4AA8">
        <w:rPr>
          <w:rFonts w:ascii="Cambria" w:hAnsi="Cambria"/>
          <w:sz w:val="20"/>
          <w:szCs w:val="20"/>
          <w:lang w:val="es-ES"/>
        </w:rPr>
        <w:t xml:space="preserve"> durante la etapa de admisibilidad</w:t>
      </w:r>
      <w:r w:rsidR="00236E5C" w:rsidRPr="007E4AA8">
        <w:rPr>
          <w:rFonts w:ascii="Cambria" w:hAnsi="Cambria"/>
          <w:sz w:val="20"/>
          <w:szCs w:val="20"/>
          <w:lang w:val="es-ES"/>
        </w:rPr>
        <w:t>, así como lo planteado en el escrito de respuesta a la solicitud de información de 13 de noviembre de 2020</w:t>
      </w:r>
      <w:r w:rsidRPr="007E4AA8">
        <w:rPr>
          <w:rFonts w:ascii="Cambria" w:hAnsi="Cambria"/>
          <w:sz w:val="20"/>
          <w:szCs w:val="20"/>
          <w:lang w:val="es-ES"/>
        </w:rPr>
        <w:t>.</w:t>
      </w:r>
      <w:r w:rsidR="00F40389" w:rsidRPr="007E4AA8">
        <w:rPr>
          <w:rFonts w:ascii="Cambria" w:hAnsi="Cambria"/>
          <w:sz w:val="20"/>
          <w:szCs w:val="20"/>
          <w:lang w:val="es-ES"/>
        </w:rPr>
        <w:t xml:space="preserve"> La Comisión observa que el Estado, asimismo, indicó que remitiría información adicional “tan pronto pueda accederse al expediente”. Sin perjuicio de ello, no se ha recibido tal información a la fecha de emisión del presente informe.</w:t>
      </w:r>
    </w:p>
    <w:p w14:paraId="13309C64" w14:textId="77777777" w:rsidR="001D742A" w:rsidRPr="007E4AA8" w:rsidRDefault="001D742A" w:rsidP="00D60A66">
      <w:pPr>
        <w:rPr>
          <w:sz w:val="20"/>
          <w:szCs w:val="20"/>
          <w:lang w:val="es-ES"/>
        </w:rPr>
      </w:pPr>
    </w:p>
    <w:p w14:paraId="4AEC60F9" w14:textId="77777777" w:rsidR="00A73A1D" w:rsidRPr="007E4AA8" w:rsidRDefault="002A193C" w:rsidP="00FD5EFA">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Refiere</w:t>
      </w:r>
      <w:r w:rsidR="001D742A" w:rsidRPr="007E4AA8">
        <w:rPr>
          <w:rFonts w:ascii="Cambria" w:hAnsi="Cambria"/>
          <w:sz w:val="20"/>
          <w:szCs w:val="20"/>
          <w:lang w:val="es-ES"/>
        </w:rPr>
        <w:t xml:space="preserve"> que los hechos que afectaron a la presunta víctima se originaron como consecuencia “del fallido intento de golpe de Estado del 18 de mayo de 2000”, siendo que con posterioridad a dicho evento se produjeron diversos arrestos e indagaciones, sobre todo con respecto a personal policial y militar.</w:t>
      </w:r>
      <w:r w:rsidRPr="007E4AA8">
        <w:rPr>
          <w:rFonts w:ascii="Cambria" w:hAnsi="Cambria"/>
          <w:sz w:val="20"/>
          <w:szCs w:val="20"/>
          <w:lang w:val="es-ES"/>
        </w:rPr>
        <w:t xml:space="preserve"> Indica que en dicho contexto, dado que Jorge Luis López Sosa era oficial de la Policía Nacional y estaba en el local de la Comisaría ese día, fue objeto de indagaciones junto a otros agentes de seguridad pública.</w:t>
      </w:r>
      <w:r w:rsidR="00A73A1D" w:rsidRPr="007E4AA8">
        <w:rPr>
          <w:rFonts w:ascii="Cambria" w:hAnsi="Cambria"/>
          <w:sz w:val="20"/>
          <w:szCs w:val="20"/>
          <w:lang w:val="es-ES"/>
        </w:rPr>
        <w:t xml:space="preserve"> </w:t>
      </w:r>
      <w:r w:rsidR="003D5924" w:rsidRPr="007E4AA8">
        <w:rPr>
          <w:rFonts w:ascii="Cambria" w:hAnsi="Cambria"/>
          <w:sz w:val="20"/>
          <w:szCs w:val="20"/>
          <w:lang w:val="es-ES"/>
        </w:rPr>
        <w:t>Afirma</w:t>
      </w:r>
      <w:r w:rsidR="00A73A1D" w:rsidRPr="007E4AA8">
        <w:rPr>
          <w:rFonts w:ascii="Cambria" w:hAnsi="Cambria"/>
          <w:sz w:val="20"/>
          <w:szCs w:val="20"/>
          <w:lang w:val="es-ES"/>
        </w:rPr>
        <w:t xml:space="preserve"> que, el señor López fue detenido </w:t>
      </w:r>
      <w:r w:rsidR="00D56F4B" w:rsidRPr="007E4AA8">
        <w:rPr>
          <w:rFonts w:ascii="Cambria" w:hAnsi="Cambria"/>
          <w:sz w:val="20"/>
          <w:szCs w:val="20"/>
          <w:lang w:val="es-ES"/>
        </w:rPr>
        <w:t xml:space="preserve">en el marco de un “Estado de Excepción dictado válidamente como consecuencia de un golpe de Estado” </w:t>
      </w:r>
      <w:r w:rsidR="00A73A1D" w:rsidRPr="007E4AA8">
        <w:rPr>
          <w:rFonts w:ascii="Cambria" w:hAnsi="Cambria"/>
          <w:sz w:val="20"/>
          <w:szCs w:val="20"/>
          <w:lang w:val="es-ES"/>
        </w:rPr>
        <w:t xml:space="preserve">y </w:t>
      </w:r>
      <w:r w:rsidR="00D56F4B" w:rsidRPr="007E4AA8">
        <w:rPr>
          <w:rFonts w:ascii="Cambria" w:hAnsi="Cambria"/>
          <w:sz w:val="20"/>
          <w:szCs w:val="20"/>
          <w:lang w:val="es-ES"/>
        </w:rPr>
        <w:t xml:space="preserve">de sus funciones”. Asimismo, indica que una vez detenido </w:t>
      </w:r>
      <w:r w:rsidR="008D2ABE" w:rsidRPr="007E4AA8">
        <w:rPr>
          <w:rFonts w:ascii="Cambria" w:hAnsi="Cambria"/>
          <w:sz w:val="20"/>
          <w:szCs w:val="20"/>
          <w:lang w:val="es-ES"/>
        </w:rPr>
        <w:t xml:space="preserve">fue informado de que se tenían sospechas de su participación en el intento de golpe de Estado de la noche anterior, y que “fiscales constataron </w:t>
      </w:r>
      <w:r w:rsidR="008D2ABE" w:rsidRPr="007E4AA8">
        <w:rPr>
          <w:rFonts w:ascii="Cambria" w:hAnsi="Cambria"/>
          <w:i/>
          <w:iCs/>
          <w:sz w:val="20"/>
          <w:szCs w:val="20"/>
          <w:lang w:val="es-ES"/>
        </w:rPr>
        <w:t>in situ</w:t>
      </w:r>
      <w:r w:rsidR="008D2ABE" w:rsidRPr="007E4AA8">
        <w:rPr>
          <w:rFonts w:ascii="Cambria" w:hAnsi="Cambria"/>
          <w:sz w:val="20"/>
          <w:szCs w:val="20"/>
          <w:lang w:val="es-ES"/>
        </w:rPr>
        <w:t xml:space="preserve"> su situación el mismo día de la detención”.</w:t>
      </w:r>
      <w:r w:rsidR="007413E5" w:rsidRPr="007E4AA8">
        <w:rPr>
          <w:rFonts w:ascii="Cambria" w:hAnsi="Cambria"/>
          <w:sz w:val="20"/>
          <w:szCs w:val="20"/>
          <w:lang w:val="es-ES"/>
        </w:rPr>
        <w:t xml:space="preserve"> </w:t>
      </w:r>
    </w:p>
    <w:p w14:paraId="69511695" w14:textId="77777777" w:rsidR="00A73A1D" w:rsidRPr="007E4AA8" w:rsidRDefault="00A73A1D" w:rsidP="00B24F71">
      <w:pPr>
        <w:pStyle w:val="ListParagraph"/>
        <w:rPr>
          <w:color w:val="auto"/>
        </w:rPr>
      </w:pPr>
    </w:p>
    <w:p w14:paraId="66DC4212" w14:textId="77777777" w:rsidR="00FD5EFA" w:rsidRPr="007E4AA8" w:rsidRDefault="002A193C" w:rsidP="00FD5EFA">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 xml:space="preserve">Sostiene que, “conforme señalan las alegaciones del Ministerio Público, efectivamente se habrían realizado hechos de torturas contra varios de estos detenidos, incluido el peticionario” y como dichas detenciones y posibles torturas se realizaron de manera amplia se </w:t>
      </w:r>
      <w:r w:rsidR="00B40260" w:rsidRPr="007E4AA8">
        <w:rPr>
          <w:rFonts w:ascii="Cambria" w:hAnsi="Cambria"/>
          <w:sz w:val="20"/>
          <w:szCs w:val="20"/>
          <w:lang w:val="es-ES"/>
        </w:rPr>
        <w:t>iniciaron</w:t>
      </w:r>
      <w:r w:rsidRPr="007E4AA8">
        <w:rPr>
          <w:rFonts w:ascii="Cambria" w:hAnsi="Cambria"/>
          <w:sz w:val="20"/>
          <w:szCs w:val="20"/>
          <w:lang w:val="es-ES"/>
        </w:rPr>
        <w:t xml:space="preserve"> distintas causas para su investigación, las cuales fueron eventualmente acumuladas por sus elementos de conexidad.</w:t>
      </w:r>
      <w:r w:rsidR="00A73A1D" w:rsidRPr="007E4AA8">
        <w:rPr>
          <w:rFonts w:ascii="Cambria" w:hAnsi="Cambria"/>
          <w:sz w:val="20"/>
          <w:szCs w:val="20"/>
          <w:lang w:val="es-ES"/>
        </w:rPr>
        <w:t xml:space="preserve"> </w:t>
      </w:r>
    </w:p>
    <w:p w14:paraId="2ADF949E" w14:textId="77777777" w:rsidR="00FD5EFA" w:rsidRPr="007E4AA8" w:rsidRDefault="00FD5EFA" w:rsidP="00D60A66">
      <w:pPr>
        <w:tabs>
          <w:tab w:val="left" w:pos="360"/>
        </w:tabs>
        <w:jc w:val="both"/>
        <w:rPr>
          <w:rFonts w:ascii="Cambria" w:hAnsi="Cambria"/>
          <w:sz w:val="20"/>
          <w:szCs w:val="20"/>
          <w:lang w:val="es-ES"/>
        </w:rPr>
      </w:pPr>
    </w:p>
    <w:p w14:paraId="5E553056" w14:textId="77777777" w:rsidR="00373430" w:rsidRPr="007E4AA8" w:rsidRDefault="00FD5EFA" w:rsidP="00D56F4B">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Afirma que en una de las causas fueron imputados tres oficiales de policía por "lesión corporal en el ejercicio de funciones p</w:t>
      </w:r>
      <w:r w:rsidR="008E5A58" w:rsidRPr="007E4AA8">
        <w:rPr>
          <w:rFonts w:ascii="Cambria" w:hAnsi="Cambria"/>
          <w:sz w:val="20"/>
          <w:szCs w:val="20"/>
          <w:lang w:val="es-ES"/>
        </w:rPr>
        <w:t>ú</w:t>
      </w:r>
      <w:r w:rsidRPr="007E4AA8">
        <w:rPr>
          <w:rFonts w:ascii="Cambria" w:hAnsi="Cambria"/>
          <w:sz w:val="20"/>
          <w:szCs w:val="20"/>
          <w:lang w:val="es-ES"/>
        </w:rPr>
        <w:t>blicas" y en otra fue imputado el ex Ministro del Interior</w:t>
      </w:r>
      <w:r w:rsidR="00A56972" w:rsidRPr="007E4AA8">
        <w:rPr>
          <w:rFonts w:ascii="Cambria" w:hAnsi="Cambria"/>
          <w:sz w:val="20"/>
          <w:szCs w:val="20"/>
          <w:lang w:val="es-ES"/>
        </w:rPr>
        <w:t xml:space="preserve"> Walter Bower Montalto,</w:t>
      </w:r>
      <w:r w:rsidRPr="007E4AA8">
        <w:rPr>
          <w:rFonts w:ascii="Cambria" w:hAnsi="Cambria"/>
          <w:sz w:val="20"/>
          <w:szCs w:val="20"/>
          <w:lang w:val="es-ES"/>
        </w:rPr>
        <w:t xml:space="preserve"> por “tortura”</w:t>
      </w:r>
      <w:r w:rsidR="009D19A6" w:rsidRPr="007E4AA8">
        <w:rPr>
          <w:rFonts w:ascii="Cambria" w:hAnsi="Cambria"/>
          <w:sz w:val="20"/>
          <w:szCs w:val="20"/>
          <w:lang w:val="es-ES"/>
        </w:rPr>
        <w:t xml:space="preserve">. Tras la </w:t>
      </w:r>
      <w:r w:rsidRPr="007E4AA8">
        <w:rPr>
          <w:rFonts w:ascii="Cambria" w:hAnsi="Cambria"/>
          <w:sz w:val="20"/>
          <w:szCs w:val="20"/>
          <w:lang w:val="es-ES"/>
        </w:rPr>
        <w:t>investigación fiscal, todos los imputados fueron acusados por los delitos indicados, acumul</w:t>
      </w:r>
      <w:r w:rsidR="009D19A6" w:rsidRPr="007E4AA8">
        <w:rPr>
          <w:rFonts w:ascii="Cambria" w:hAnsi="Cambria"/>
          <w:sz w:val="20"/>
          <w:szCs w:val="20"/>
          <w:lang w:val="es-ES"/>
        </w:rPr>
        <w:t xml:space="preserve">ándose </w:t>
      </w:r>
      <w:r w:rsidRPr="007E4AA8">
        <w:rPr>
          <w:rFonts w:ascii="Cambria" w:hAnsi="Cambria"/>
          <w:sz w:val="20"/>
          <w:szCs w:val="20"/>
          <w:lang w:val="es-ES"/>
        </w:rPr>
        <w:t>las causas</w:t>
      </w:r>
      <w:r w:rsidR="00A56972" w:rsidRPr="007E4AA8">
        <w:rPr>
          <w:rFonts w:ascii="Cambria" w:hAnsi="Cambria"/>
          <w:sz w:val="20"/>
          <w:szCs w:val="20"/>
          <w:lang w:val="es-ES"/>
        </w:rPr>
        <w:t xml:space="preserve"> por conexidad el 24 de julio de 2001</w:t>
      </w:r>
      <w:r w:rsidRPr="007E4AA8">
        <w:rPr>
          <w:rFonts w:ascii="Cambria" w:hAnsi="Cambria"/>
          <w:sz w:val="20"/>
          <w:szCs w:val="20"/>
          <w:lang w:val="es-ES"/>
        </w:rPr>
        <w:t xml:space="preserve">. </w:t>
      </w:r>
      <w:r w:rsidR="00A56972" w:rsidRPr="007E4AA8">
        <w:rPr>
          <w:rFonts w:ascii="Cambria" w:hAnsi="Cambria"/>
          <w:sz w:val="20"/>
          <w:szCs w:val="20"/>
          <w:lang w:val="es-ES"/>
        </w:rPr>
        <w:t>Refiere que c</w:t>
      </w:r>
      <w:r w:rsidRPr="007E4AA8">
        <w:rPr>
          <w:rFonts w:ascii="Cambria" w:hAnsi="Cambria"/>
          <w:sz w:val="20"/>
          <w:szCs w:val="20"/>
          <w:lang w:val="es-ES"/>
        </w:rPr>
        <w:t xml:space="preserve">on dicha resolución se inicia una serie de incidentes, “aparentemente dilatorios”, </w:t>
      </w:r>
      <w:r w:rsidR="009D19A6" w:rsidRPr="007E4AA8">
        <w:rPr>
          <w:rFonts w:ascii="Cambria" w:hAnsi="Cambria"/>
          <w:sz w:val="20"/>
          <w:szCs w:val="20"/>
          <w:lang w:val="es-ES"/>
        </w:rPr>
        <w:t>que</w:t>
      </w:r>
      <w:r w:rsidRPr="007E4AA8">
        <w:rPr>
          <w:rFonts w:ascii="Cambria" w:hAnsi="Cambria"/>
          <w:sz w:val="20"/>
          <w:szCs w:val="20"/>
          <w:lang w:val="es-ES"/>
        </w:rPr>
        <w:t xml:space="preserve"> desembocaron en</w:t>
      </w:r>
      <w:r w:rsidR="009D19A6" w:rsidRPr="007E4AA8">
        <w:rPr>
          <w:rFonts w:ascii="Cambria" w:hAnsi="Cambria"/>
          <w:sz w:val="20"/>
          <w:szCs w:val="20"/>
          <w:lang w:val="es-ES"/>
        </w:rPr>
        <w:t xml:space="preserve"> </w:t>
      </w:r>
      <w:r w:rsidRPr="007E4AA8">
        <w:rPr>
          <w:rFonts w:ascii="Cambria" w:hAnsi="Cambria"/>
          <w:sz w:val="20"/>
          <w:szCs w:val="20"/>
          <w:lang w:val="es-ES"/>
        </w:rPr>
        <w:t xml:space="preserve">acciones de inconstitucionalidad ante la Corte Suprema. </w:t>
      </w:r>
      <w:r w:rsidR="00B20E3D" w:rsidRPr="007E4AA8">
        <w:rPr>
          <w:rFonts w:ascii="Cambria" w:hAnsi="Cambria"/>
          <w:sz w:val="20"/>
          <w:szCs w:val="20"/>
          <w:lang w:val="es-ES"/>
        </w:rPr>
        <w:t>Respecto al retardo en el trámite del proceso penal, el Estado sostuvo</w:t>
      </w:r>
      <w:r w:rsidR="00D77BD8" w:rsidRPr="007E4AA8">
        <w:rPr>
          <w:rFonts w:ascii="Cambria" w:hAnsi="Cambria"/>
          <w:sz w:val="20"/>
          <w:szCs w:val="20"/>
          <w:lang w:val="es-ES"/>
        </w:rPr>
        <w:t xml:space="preserve"> que los retrasos en la causa penal se debieron a un </w:t>
      </w:r>
      <w:r w:rsidR="00B20E3D" w:rsidRPr="007E4AA8">
        <w:rPr>
          <w:rFonts w:ascii="Cambria" w:hAnsi="Cambria"/>
          <w:sz w:val="20"/>
          <w:szCs w:val="20"/>
          <w:lang w:val="es-ES"/>
        </w:rPr>
        <w:t>“</w:t>
      </w:r>
      <w:r w:rsidR="00D77BD8" w:rsidRPr="007E4AA8">
        <w:rPr>
          <w:rFonts w:ascii="Cambria" w:hAnsi="Cambria"/>
          <w:sz w:val="20"/>
          <w:szCs w:val="20"/>
          <w:lang w:val="es-ES"/>
        </w:rPr>
        <w:t>aparente ejercicio malicioso por parte de la</w:t>
      </w:r>
      <w:r w:rsidR="003071AF" w:rsidRPr="007E4AA8">
        <w:rPr>
          <w:rFonts w:ascii="Cambria" w:hAnsi="Cambria"/>
          <w:sz w:val="20"/>
          <w:szCs w:val="20"/>
          <w:lang w:val="es-ES"/>
        </w:rPr>
        <w:t>s</w:t>
      </w:r>
      <w:r w:rsidR="00D77BD8" w:rsidRPr="007E4AA8">
        <w:rPr>
          <w:rFonts w:ascii="Cambria" w:hAnsi="Cambria"/>
          <w:sz w:val="20"/>
          <w:szCs w:val="20"/>
          <w:lang w:val="es-ES"/>
        </w:rPr>
        <w:t xml:space="preserve"> defensa</w:t>
      </w:r>
      <w:r w:rsidR="003071AF" w:rsidRPr="007E4AA8">
        <w:rPr>
          <w:rFonts w:ascii="Cambria" w:hAnsi="Cambria"/>
          <w:sz w:val="20"/>
          <w:szCs w:val="20"/>
          <w:lang w:val="es-ES"/>
        </w:rPr>
        <w:t>s de los acusados, apoyados en un sistema penal todavía carente de infraestructura y relativamente nuevo”</w:t>
      </w:r>
      <w:r w:rsidR="00D77BD8" w:rsidRPr="007E4AA8">
        <w:rPr>
          <w:rFonts w:ascii="Cambria" w:hAnsi="Cambria"/>
          <w:sz w:val="20"/>
          <w:szCs w:val="20"/>
          <w:lang w:val="es-ES"/>
        </w:rPr>
        <w:t>.</w:t>
      </w:r>
      <w:r w:rsidR="003071AF" w:rsidRPr="007E4AA8">
        <w:rPr>
          <w:rFonts w:ascii="Cambria" w:hAnsi="Cambria"/>
          <w:sz w:val="20"/>
          <w:szCs w:val="20"/>
          <w:lang w:val="es-ES"/>
        </w:rPr>
        <w:t xml:space="preserve"> </w:t>
      </w:r>
    </w:p>
    <w:p w14:paraId="052C4344" w14:textId="77777777" w:rsidR="00373430" w:rsidRPr="007E4AA8" w:rsidRDefault="00373430" w:rsidP="00B24F71">
      <w:pPr>
        <w:pStyle w:val="ListParagraph"/>
        <w:rPr>
          <w:color w:val="auto"/>
        </w:rPr>
      </w:pPr>
    </w:p>
    <w:p w14:paraId="0E1D2A06" w14:textId="77777777" w:rsidR="00613A11" w:rsidRPr="007E4AA8" w:rsidRDefault="003071AF" w:rsidP="00D56F4B">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lastRenderedPageBreak/>
        <w:t>Indica que a</w:t>
      </w:r>
      <w:r w:rsidR="00373430" w:rsidRPr="007E4AA8">
        <w:rPr>
          <w:rFonts w:ascii="Cambria" w:hAnsi="Cambria"/>
          <w:sz w:val="20"/>
          <w:szCs w:val="20"/>
          <w:lang w:val="es-ES"/>
        </w:rPr>
        <w:t>l 26</w:t>
      </w:r>
      <w:r w:rsidRPr="007E4AA8">
        <w:rPr>
          <w:rFonts w:ascii="Cambria" w:hAnsi="Cambria"/>
          <w:sz w:val="20"/>
          <w:szCs w:val="20"/>
          <w:lang w:val="es-ES"/>
        </w:rPr>
        <w:t xml:space="preserve"> noviembre de 2003 se había llegado a la audiencia preliminar con el expediente “</w:t>
      </w:r>
      <w:r w:rsidR="006F5E2A" w:rsidRPr="007E4AA8">
        <w:rPr>
          <w:rFonts w:ascii="Cambria" w:hAnsi="Cambria"/>
          <w:sz w:val="20"/>
          <w:szCs w:val="20"/>
          <w:lang w:val="es-ES"/>
        </w:rPr>
        <w:t>prácticamente</w:t>
      </w:r>
      <w:r w:rsidRPr="007E4AA8">
        <w:rPr>
          <w:rFonts w:ascii="Cambria" w:hAnsi="Cambria"/>
          <w:sz w:val="20"/>
          <w:szCs w:val="20"/>
          <w:lang w:val="es-ES"/>
        </w:rPr>
        <w:t xml:space="preserve"> extinto”</w:t>
      </w:r>
      <w:r w:rsidR="00373430" w:rsidRPr="007E4AA8">
        <w:rPr>
          <w:rFonts w:ascii="Cambria" w:hAnsi="Cambria"/>
          <w:sz w:val="20"/>
          <w:szCs w:val="20"/>
          <w:lang w:val="es-ES"/>
        </w:rPr>
        <w:t>, por lo que el Ministerio Público y la parte querellante plantea</w:t>
      </w:r>
      <w:r w:rsidR="008E5A58" w:rsidRPr="007E4AA8">
        <w:rPr>
          <w:rFonts w:ascii="Cambria" w:hAnsi="Cambria"/>
          <w:sz w:val="20"/>
          <w:szCs w:val="20"/>
          <w:lang w:val="es-ES"/>
        </w:rPr>
        <w:t>ro</w:t>
      </w:r>
      <w:r w:rsidR="00373430" w:rsidRPr="007E4AA8">
        <w:rPr>
          <w:rFonts w:ascii="Cambria" w:hAnsi="Cambria"/>
          <w:sz w:val="20"/>
          <w:szCs w:val="20"/>
          <w:lang w:val="es-ES"/>
        </w:rPr>
        <w:t>n excepción de inconstitucionalidad que buscaba la inaplicabilidad de ciertos artículos del Código Procesal Penal.</w:t>
      </w:r>
      <w:r w:rsidR="008E5A58" w:rsidRPr="007E4AA8">
        <w:rPr>
          <w:rFonts w:ascii="Cambria" w:hAnsi="Cambria"/>
          <w:sz w:val="20"/>
          <w:szCs w:val="20"/>
          <w:lang w:val="es-ES"/>
        </w:rPr>
        <w:t xml:space="preserve"> </w:t>
      </w:r>
      <w:r w:rsidR="00373430" w:rsidRPr="007E4AA8">
        <w:rPr>
          <w:rFonts w:ascii="Cambria" w:hAnsi="Cambria"/>
          <w:sz w:val="20"/>
          <w:szCs w:val="20"/>
          <w:lang w:val="es-ES"/>
        </w:rPr>
        <w:t xml:space="preserve">Tras la declaración de incompetencia de la magistrada para conocer de la excepción, el Estado </w:t>
      </w:r>
      <w:r w:rsidR="00613A11" w:rsidRPr="007E4AA8">
        <w:rPr>
          <w:rFonts w:ascii="Cambria" w:hAnsi="Cambria"/>
          <w:sz w:val="20"/>
          <w:szCs w:val="20"/>
          <w:lang w:val="es-ES"/>
        </w:rPr>
        <w:t>reconoce la “morosidad”</w:t>
      </w:r>
      <w:r w:rsidR="00373430" w:rsidRPr="007E4AA8">
        <w:rPr>
          <w:rFonts w:ascii="Cambria" w:hAnsi="Cambria"/>
          <w:sz w:val="20"/>
          <w:szCs w:val="20"/>
          <w:lang w:val="es-ES"/>
        </w:rPr>
        <w:t xml:space="preserve"> </w:t>
      </w:r>
      <w:r w:rsidR="00613A11" w:rsidRPr="007E4AA8">
        <w:rPr>
          <w:rFonts w:ascii="Cambria" w:hAnsi="Cambria"/>
          <w:sz w:val="20"/>
          <w:szCs w:val="20"/>
          <w:lang w:val="es-ES"/>
        </w:rPr>
        <w:t xml:space="preserve">de </w:t>
      </w:r>
      <w:r w:rsidR="00373430" w:rsidRPr="007E4AA8">
        <w:rPr>
          <w:rFonts w:ascii="Cambria" w:hAnsi="Cambria"/>
          <w:sz w:val="20"/>
          <w:szCs w:val="20"/>
          <w:lang w:val="es-ES"/>
        </w:rPr>
        <w:t>la Corte Suprema de Justicia</w:t>
      </w:r>
      <w:r w:rsidR="00613A11" w:rsidRPr="007E4AA8">
        <w:rPr>
          <w:rFonts w:ascii="Cambria" w:hAnsi="Cambria"/>
          <w:sz w:val="20"/>
          <w:szCs w:val="20"/>
          <w:lang w:val="es-ES"/>
        </w:rPr>
        <w:t xml:space="preserve"> que</w:t>
      </w:r>
      <w:r w:rsidR="00373430" w:rsidRPr="007E4AA8">
        <w:rPr>
          <w:rFonts w:ascii="Cambria" w:hAnsi="Cambria"/>
          <w:sz w:val="20"/>
          <w:szCs w:val="20"/>
          <w:lang w:val="es-ES"/>
        </w:rPr>
        <w:t xml:space="preserve"> tardó </w:t>
      </w:r>
      <w:r w:rsidR="00D60A66" w:rsidRPr="007E4AA8">
        <w:rPr>
          <w:rFonts w:ascii="Cambria" w:hAnsi="Cambria"/>
          <w:sz w:val="20"/>
          <w:szCs w:val="20"/>
          <w:lang w:val="es-ES"/>
        </w:rPr>
        <w:t>4 años y 8 meses en</w:t>
      </w:r>
      <w:r w:rsidR="00D77BD8" w:rsidRPr="007E4AA8">
        <w:rPr>
          <w:rFonts w:ascii="Cambria" w:hAnsi="Cambria"/>
          <w:sz w:val="20"/>
          <w:szCs w:val="20"/>
          <w:lang w:val="es-ES"/>
        </w:rPr>
        <w:t xml:space="preserve"> resolver </w:t>
      </w:r>
      <w:r w:rsidR="00373430" w:rsidRPr="007E4AA8">
        <w:rPr>
          <w:rFonts w:ascii="Cambria" w:hAnsi="Cambria"/>
          <w:sz w:val="20"/>
          <w:szCs w:val="20"/>
          <w:lang w:val="es-ES"/>
        </w:rPr>
        <w:t>la</w:t>
      </w:r>
      <w:r w:rsidR="00D77BD8" w:rsidRPr="007E4AA8">
        <w:rPr>
          <w:rFonts w:ascii="Cambria" w:hAnsi="Cambria"/>
          <w:sz w:val="20"/>
          <w:szCs w:val="20"/>
          <w:lang w:val="es-ES"/>
        </w:rPr>
        <w:t xml:space="preserve"> excepción de inconstitucionalidad</w:t>
      </w:r>
      <w:r w:rsidR="00373430" w:rsidRPr="007E4AA8">
        <w:rPr>
          <w:rFonts w:ascii="Cambria" w:hAnsi="Cambria"/>
          <w:sz w:val="20"/>
          <w:szCs w:val="20"/>
          <w:lang w:val="es-ES"/>
        </w:rPr>
        <w:t xml:space="preserve"> </w:t>
      </w:r>
      <w:r w:rsidR="00D77BD8" w:rsidRPr="007E4AA8">
        <w:rPr>
          <w:rFonts w:ascii="Cambria" w:hAnsi="Cambria"/>
          <w:sz w:val="20"/>
          <w:szCs w:val="20"/>
          <w:lang w:val="es-ES"/>
        </w:rPr>
        <w:t xml:space="preserve">destinada a impedir que se declare extinta la acción penal en contra de los presuntos torturadores. </w:t>
      </w:r>
      <w:r w:rsidR="00613A11" w:rsidRPr="007E4AA8">
        <w:rPr>
          <w:rFonts w:ascii="Cambria" w:hAnsi="Cambria"/>
          <w:sz w:val="20"/>
          <w:szCs w:val="20"/>
          <w:lang w:val="es-ES"/>
        </w:rPr>
        <w:t>Afirma que</w:t>
      </w:r>
      <w:r w:rsidR="00D77BD8" w:rsidRPr="007E4AA8">
        <w:rPr>
          <w:rFonts w:ascii="Cambria" w:hAnsi="Cambria"/>
          <w:sz w:val="20"/>
          <w:szCs w:val="20"/>
          <w:lang w:val="es-ES"/>
        </w:rPr>
        <w:t xml:space="preserve"> la Corte Suprema de Justicia falló</w:t>
      </w:r>
      <w:r w:rsidR="00360295" w:rsidRPr="007E4AA8">
        <w:rPr>
          <w:rFonts w:ascii="Cambria" w:hAnsi="Cambria"/>
          <w:sz w:val="20"/>
          <w:szCs w:val="20"/>
          <w:lang w:val="es-ES"/>
        </w:rPr>
        <w:t xml:space="preserve"> el 5 de mayo de 2008</w:t>
      </w:r>
      <w:r w:rsidR="00D77BD8" w:rsidRPr="007E4AA8">
        <w:rPr>
          <w:rFonts w:ascii="Cambria" w:hAnsi="Cambria"/>
          <w:sz w:val="20"/>
          <w:szCs w:val="20"/>
          <w:lang w:val="es-ES"/>
        </w:rPr>
        <w:t xml:space="preserve"> a favor de</w:t>
      </w:r>
      <w:r w:rsidR="008E5A58" w:rsidRPr="007E4AA8">
        <w:rPr>
          <w:rFonts w:ascii="Cambria" w:hAnsi="Cambria"/>
          <w:sz w:val="20"/>
          <w:szCs w:val="20"/>
          <w:lang w:val="es-ES"/>
        </w:rPr>
        <w:t xml:space="preserve"> </w:t>
      </w:r>
      <w:r w:rsidR="00D77BD8" w:rsidRPr="007E4AA8">
        <w:rPr>
          <w:rFonts w:ascii="Cambria" w:hAnsi="Cambria"/>
          <w:sz w:val="20"/>
          <w:szCs w:val="20"/>
          <w:lang w:val="es-ES"/>
        </w:rPr>
        <w:t>l</w:t>
      </w:r>
      <w:r w:rsidR="008E5A58" w:rsidRPr="007E4AA8">
        <w:rPr>
          <w:rFonts w:ascii="Cambria" w:hAnsi="Cambria"/>
          <w:sz w:val="20"/>
          <w:szCs w:val="20"/>
          <w:lang w:val="es-ES"/>
        </w:rPr>
        <w:t>a presunta víctima</w:t>
      </w:r>
      <w:r w:rsidR="00D60A66" w:rsidRPr="007E4AA8">
        <w:rPr>
          <w:rFonts w:ascii="Cambria" w:hAnsi="Cambria"/>
          <w:sz w:val="20"/>
          <w:szCs w:val="20"/>
          <w:lang w:val="es-ES"/>
        </w:rPr>
        <w:t xml:space="preserve"> y</w:t>
      </w:r>
      <w:r w:rsidR="008E5A58" w:rsidRPr="007E4AA8">
        <w:rPr>
          <w:rFonts w:ascii="Cambria" w:hAnsi="Cambria"/>
          <w:sz w:val="20"/>
          <w:szCs w:val="20"/>
          <w:lang w:val="es-ES"/>
        </w:rPr>
        <w:t xml:space="preserve"> el</w:t>
      </w:r>
      <w:r w:rsidR="00D60A66" w:rsidRPr="007E4AA8">
        <w:rPr>
          <w:rFonts w:ascii="Cambria" w:hAnsi="Cambria"/>
          <w:sz w:val="20"/>
          <w:szCs w:val="20"/>
          <w:lang w:val="es-ES"/>
        </w:rPr>
        <w:t xml:space="preserve"> Ministerio Público, declarando inaplicables ciertos artículos impugnados del Código Procesal Penal</w:t>
      </w:r>
      <w:r w:rsidR="00D77BD8" w:rsidRPr="007E4AA8">
        <w:rPr>
          <w:rFonts w:ascii="Cambria" w:hAnsi="Cambria"/>
          <w:sz w:val="20"/>
          <w:szCs w:val="20"/>
          <w:lang w:val="es-ES"/>
        </w:rPr>
        <w:t xml:space="preserve">, </w:t>
      </w:r>
      <w:r w:rsidR="00613A11" w:rsidRPr="007E4AA8">
        <w:rPr>
          <w:rFonts w:ascii="Cambria" w:hAnsi="Cambria"/>
          <w:sz w:val="20"/>
          <w:szCs w:val="20"/>
          <w:lang w:val="es-ES"/>
        </w:rPr>
        <w:t xml:space="preserve">por lo que </w:t>
      </w:r>
      <w:r w:rsidR="00D77BD8" w:rsidRPr="007E4AA8">
        <w:rPr>
          <w:rFonts w:ascii="Cambria" w:hAnsi="Cambria"/>
          <w:sz w:val="20"/>
          <w:szCs w:val="20"/>
          <w:lang w:val="es-ES"/>
        </w:rPr>
        <w:t xml:space="preserve">se habría </w:t>
      </w:r>
      <w:r w:rsidR="00B20E3D" w:rsidRPr="007E4AA8">
        <w:rPr>
          <w:rFonts w:ascii="Cambria" w:hAnsi="Cambria"/>
          <w:sz w:val="20"/>
          <w:szCs w:val="20"/>
          <w:lang w:val="es-ES"/>
        </w:rPr>
        <w:t>“</w:t>
      </w:r>
      <w:r w:rsidR="00D77BD8" w:rsidRPr="007E4AA8">
        <w:rPr>
          <w:rFonts w:ascii="Cambria" w:hAnsi="Cambria"/>
          <w:sz w:val="20"/>
          <w:szCs w:val="20"/>
          <w:lang w:val="es-ES"/>
        </w:rPr>
        <w:t>destrabado cualquier impedimento para la realización de una nueva audiencia preliminar que permita revisar la acusación y eventualmente elevar la causa a juicio oral</w:t>
      </w:r>
      <w:r w:rsidR="00B20E3D" w:rsidRPr="007E4AA8">
        <w:rPr>
          <w:rFonts w:ascii="Cambria" w:hAnsi="Cambria"/>
          <w:sz w:val="20"/>
          <w:szCs w:val="20"/>
          <w:lang w:val="es-ES"/>
        </w:rPr>
        <w:t>”</w:t>
      </w:r>
      <w:r w:rsidR="00613A11" w:rsidRPr="007E4AA8">
        <w:rPr>
          <w:rFonts w:ascii="Cambria" w:hAnsi="Cambria"/>
          <w:sz w:val="20"/>
          <w:szCs w:val="20"/>
          <w:lang w:val="es-ES"/>
        </w:rPr>
        <w:t xml:space="preserve">. A agosto de 2008, refiere que el asunto se encontraría aún ante la Corte Suprema a fin de resolver un pedido de aclaratoria solicitado por la defensa de los acusados. </w:t>
      </w:r>
    </w:p>
    <w:p w14:paraId="0FE1E300" w14:textId="77777777" w:rsidR="00613A11" w:rsidRPr="007E4AA8" w:rsidRDefault="00613A11" w:rsidP="00B24F71">
      <w:pPr>
        <w:pStyle w:val="ListParagraph"/>
        <w:rPr>
          <w:color w:val="auto"/>
        </w:rPr>
      </w:pPr>
    </w:p>
    <w:p w14:paraId="67CE4107" w14:textId="77777777" w:rsidR="00B809CC" w:rsidRPr="007E4AA8" w:rsidRDefault="008E5A58" w:rsidP="00D56F4B">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 xml:space="preserve">Cabe agregar </w:t>
      </w:r>
      <w:r w:rsidR="006F5E2A" w:rsidRPr="007E4AA8">
        <w:rPr>
          <w:rFonts w:ascii="Cambria" w:hAnsi="Cambria"/>
          <w:sz w:val="20"/>
          <w:szCs w:val="20"/>
          <w:lang w:val="es-ES"/>
        </w:rPr>
        <w:t>que,</w:t>
      </w:r>
      <w:r w:rsidRPr="007E4AA8">
        <w:rPr>
          <w:rFonts w:ascii="Cambria" w:hAnsi="Cambria"/>
          <w:sz w:val="20"/>
          <w:szCs w:val="20"/>
          <w:lang w:val="es-ES"/>
        </w:rPr>
        <w:t xml:space="preserve"> p</w:t>
      </w:r>
      <w:r w:rsidR="00613A11" w:rsidRPr="007E4AA8">
        <w:rPr>
          <w:rFonts w:ascii="Cambria" w:hAnsi="Cambria"/>
          <w:sz w:val="20"/>
          <w:szCs w:val="20"/>
          <w:lang w:val="es-ES"/>
        </w:rPr>
        <w:t xml:space="preserve">or lo anterior, </w:t>
      </w:r>
      <w:r w:rsidRPr="007E4AA8">
        <w:rPr>
          <w:rFonts w:ascii="Cambria" w:hAnsi="Cambria"/>
          <w:sz w:val="20"/>
          <w:szCs w:val="20"/>
          <w:lang w:val="es-ES"/>
        </w:rPr>
        <w:t>el Estado</w:t>
      </w:r>
      <w:r w:rsidR="005D6C00" w:rsidRPr="007E4AA8">
        <w:rPr>
          <w:rFonts w:ascii="Cambria" w:hAnsi="Cambria"/>
          <w:sz w:val="20"/>
          <w:szCs w:val="20"/>
          <w:lang w:val="es-ES"/>
        </w:rPr>
        <w:t xml:space="preserve"> en un primer momento</w:t>
      </w:r>
      <w:r w:rsidRPr="007E4AA8">
        <w:rPr>
          <w:rFonts w:ascii="Cambria" w:hAnsi="Cambria"/>
          <w:sz w:val="20"/>
          <w:szCs w:val="20"/>
          <w:lang w:val="es-ES"/>
        </w:rPr>
        <w:t xml:space="preserve"> </w:t>
      </w:r>
      <w:r w:rsidR="00613A11" w:rsidRPr="007E4AA8">
        <w:rPr>
          <w:rFonts w:ascii="Cambria" w:hAnsi="Cambria"/>
          <w:sz w:val="20"/>
          <w:szCs w:val="20"/>
          <w:lang w:val="es-ES"/>
        </w:rPr>
        <w:t>c</w:t>
      </w:r>
      <w:r w:rsidR="007A4229" w:rsidRPr="007E4AA8">
        <w:rPr>
          <w:rFonts w:ascii="Cambria" w:hAnsi="Cambria"/>
          <w:sz w:val="20"/>
          <w:szCs w:val="20"/>
          <w:lang w:val="es-ES"/>
        </w:rPr>
        <w:t>uestion</w:t>
      </w:r>
      <w:r w:rsidR="005D6C00" w:rsidRPr="007E4AA8">
        <w:rPr>
          <w:rFonts w:ascii="Cambria" w:hAnsi="Cambria"/>
          <w:sz w:val="20"/>
          <w:szCs w:val="20"/>
          <w:lang w:val="es-ES"/>
        </w:rPr>
        <w:t>ó</w:t>
      </w:r>
      <w:r w:rsidRPr="007E4AA8">
        <w:rPr>
          <w:rFonts w:ascii="Cambria" w:hAnsi="Cambria"/>
          <w:sz w:val="20"/>
          <w:szCs w:val="20"/>
          <w:lang w:val="es-ES"/>
        </w:rPr>
        <w:t xml:space="preserve"> </w:t>
      </w:r>
      <w:r w:rsidR="007A4229" w:rsidRPr="007E4AA8">
        <w:rPr>
          <w:rFonts w:ascii="Cambria" w:hAnsi="Cambria"/>
          <w:sz w:val="20"/>
          <w:szCs w:val="20"/>
          <w:lang w:val="es-ES"/>
        </w:rPr>
        <w:t>la admisibilidad de la petición por falta de agotamiento de recursos internos.</w:t>
      </w:r>
      <w:r w:rsidR="00D77BD8" w:rsidRPr="007E4AA8">
        <w:rPr>
          <w:rFonts w:ascii="Cambria" w:hAnsi="Cambria"/>
          <w:sz w:val="20"/>
          <w:szCs w:val="20"/>
          <w:lang w:val="es-ES"/>
        </w:rPr>
        <w:t xml:space="preserve"> </w:t>
      </w:r>
      <w:r w:rsidR="00B809CC" w:rsidRPr="007E4AA8">
        <w:rPr>
          <w:rFonts w:ascii="Cambria" w:hAnsi="Cambria"/>
          <w:sz w:val="20"/>
          <w:szCs w:val="20"/>
          <w:lang w:val="es-ES"/>
        </w:rPr>
        <w:t>Afirm</w:t>
      </w:r>
      <w:r w:rsidR="005D6C00" w:rsidRPr="007E4AA8">
        <w:rPr>
          <w:rFonts w:ascii="Cambria" w:hAnsi="Cambria"/>
          <w:sz w:val="20"/>
          <w:szCs w:val="20"/>
          <w:lang w:val="es-ES"/>
        </w:rPr>
        <w:t>ó</w:t>
      </w:r>
      <w:r w:rsidR="00B809CC" w:rsidRPr="007E4AA8">
        <w:rPr>
          <w:rFonts w:ascii="Cambria" w:hAnsi="Cambria"/>
          <w:sz w:val="20"/>
          <w:szCs w:val="20"/>
          <w:lang w:val="es-ES"/>
        </w:rPr>
        <w:t xml:space="preserve"> que “se evidencia la posibilidad actual de la realización de la audiencia preliminar, el juicio oral y público”, así como el eventual ejercicio de recursos posteriores. Afirma </w:t>
      </w:r>
      <w:r w:rsidR="006F5E2A" w:rsidRPr="007E4AA8">
        <w:rPr>
          <w:rFonts w:ascii="Cambria" w:hAnsi="Cambria"/>
          <w:sz w:val="20"/>
          <w:szCs w:val="20"/>
          <w:lang w:val="es-ES"/>
        </w:rPr>
        <w:t>que,</w:t>
      </w:r>
      <w:r w:rsidR="00B809CC" w:rsidRPr="007E4AA8">
        <w:rPr>
          <w:rFonts w:ascii="Cambria" w:hAnsi="Cambria"/>
          <w:sz w:val="20"/>
          <w:szCs w:val="20"/>
          <w:lang w:val="es-ES"/>
        </w:rPr>
        <w:t xml:space="preserve"> si bien podr</w:t>
      </w:r>
      <w:r w:rsidRPr="007E4AA8">
        <w:rPr>
          <w:rFonts w:ascii="Cambria" w:hAnsi="Cambria"/>
          <w:sz w:val="20"/>
          <w:szCs w:val="20"/>
          <w:lang w:val="es-ES"/>
        </w:rPr>
        <w:t>í</w:t>
      </w:r>
      <w:r w:rsidR="00B809CC" w:rsidRPr="007E4AA8">
        <w:rPr>
          <w:rFonts w:ascii="Cambria" w:hAnsi="Cambria"/>
          <w:sz w:val="20"/>
          <w:szCs w:val="20"/>
          <w:lang w:val="es-ES"/>
        </w:rPr>
        <w:t>a cuestionarse la demora excesiva en la resoluci</w:t>
      </w:r>
      <w:r w:rsidRPr="007E4AA8">
        <w:rPr>
          <w:rFonts w:ascii="Cambria" w:hAnsi="Cambria"/>
          <w:sz w:val="20"/>
          <w:szCs w:val="20"/>
          <w:lang w:val="es-ES"/>
        </w:rPr>
        <w:t>ó</w:t>
      </w:r>
      <w:r w:rsidR="00B809CC" w:rsidRPr="007E4AA8">
        <w:rPr>
          <w:rFonts w:ascii="Cambria" w:hAnsi="Cambria"/>
          <w:sz w:val="20"/>
          <w:szCs w:val="20"/>
          <w:lang w:val="es-ES"/>
        </w:rPr>
        <w:t xml:space="preserve">n de la excepción de inconstitucionalidad, la nueva situación creada con la resolución dictada a su </w:t>
      </w:r>
      <w:r w:rsidR="006F5E2A" w:rsidRPr="007E4AA8">
        <w:rPr>
          <w:rFonts w:ascii="Cambria" w:hAnsi="Cambria"/>
          <w:sz w:val="20"/>
          <w:szCs w:val="20"/>
          <w:lang w:val="es-ES"/>
        </w:rPr>
        <w:t>favor</w:t>
      </w:r>
      <w:r w:rsidR="00B809CC" w:rsidRPr="007E4AA8">
        <w:rPr>
          <w:rFonts w:ascii="Cambria" w:hAnsi="Cambria"/>
          <w:sz w:val="20"/>
          <w:szCs w:val="20"/>
          <w:lang w:val="es-ES"/>
        </w:rPr>
        <w:t xml:space="preserve"> </w:t>
      </w:r>
      <w:r w:rsidR="006F5E2A" w:rsidRPr="007E4AA8">
        <w:rPr>
          <w:rFonts w:ascii="Cambria" w:hAnsi="Cambria"/>
          <w:sz w:val="20"/>
          <w:szCs w:val="20"/>
          <w:lang w:val="es-ES"/>
        </w:rPr>
        <w:t>desvirtúa</w:t>
      </w:r>
      <w:r w:rsidR="00B809CC" w:rsidRPr="007E4AA8">
        <w:rPr>
          <w:rFonts w:ascii="Cambria" w:hAnsi="Cambria"/>
          <w:sz w:val="20"/>
          <w:szCs w:val="20"/>
          <w:lang w:val="es-ES"/>
        </w:rPr>
        <w:t xml:space="preserve"> sospechas y permite a los operadores del sistema judicial “la búsqueda de la verdad real”. Agreg</w:t>
      </w:r>
      <w:r w:rsidR="005D6C00" w:rsidRPr="007E4AA8">
        <w:rPr>
          <w:rFonts w:ascii="Cambria" w:hAnsi="Cambria"/>
          <w:sz w:val="20"/>
          <w:szCs w:val="20"/>
          <w:lang w:val="es-ES"/>
        </w:rPr>
        <w:t>ó</w:t>
      </w:r>
      <w:r w:rsidR="00B809CC" w:rsidRPr="007E4AA8">
        <w:rPr>
          <w:rFonts w:ascii="Cambria" w:hAnsi="Cambria"/>
          <w:sz w:val="20"/>
          <w:szCs w:val="20"/>
          <w:lang w:val="es-ES"/>
        </w:rPr>
        <w:t xml:space="preserve"> que el Acuerdo y Sentencia No 195 de 5 de mayo de 2008 debe tenerse en cuenta como prueba sobreviniente a la presentación de la denuncia conforme a los artículos 48 inciso 1 apartado c) de la Convención Americana y 34 inciso c) del Reglamento de la CIDH.</w:t>
      </w:r>
    </w:p>
    <w:p w14:paraId="6EA19510" w14:textId="77777777" w:rsidR="00B809CC" w:rsidRPr="007E4AA8" w:rsidRDefault="00B809CC" w:rsidP="00B809CC">
      <w:pPr>
        <w:tabs>
          <w:tab w:val="left" w:pos="360"/>
        </w:tabs>
        <w:jc w:val="both"/>
        <w:rPr>
          <w:rFonts w:ascii="Cambria" w:hAnsi="Cambria"/>
          <w:sz w:val="20"/>
          <w:szCs w:val="20"/>
          <w:lang w:val="es-ES"/>
        </w:rPr>
      </w:pPr>
    </w:p>
    <w:p w14:paraId="47E079C1" w14:textId="77777777" w:rsidR="007F7E9A" w:rsidRPr="007E4AA8" w:rsidRDefault="00D77BD8" w:rsidP="005D6C00">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 xml:space="preserve">Asimismo, </w:t>
      </w:r>
      <w:r w:rsidR="00B20E3D" w:rsidRPr="007E4AA8">
        <w:rPr>
          <w:rFonts w:ascii="Cambria" w:hAnsi="Cambria"/>
          <w:sz w:val="20"/>
          <w:szCs w:val="20"/>
          <w:lang w:val="es-ES"/>
        </w:rPr>
        <w:t>asever</w:t>
      </w:r>
      <w:r w:rsidR="005D6C00" w:rsidRPr="007E4AA8">
        <w:rPr>
          <w:rFonts w:ascii="Cambria" w:hAnsi="Cambria"/>
          <w:sz w:val="20"/>
          <w:szCs w:val="20"/>
          <w:lang w:val="es-ES"/>
        </w:rPr>
        <w:t>ó</w:t>
      </w:r>
      <w:r w:rsidR="00B20E3D" w:rsidRPr="007E4AA8">
        <w:rPr>
          <w:rFonts w:ascii="Cambria" w:hAnsi="Cambria"/>
          <w:sz w:val="20"/>
          <w:szCs w:val="20"/>
          <w:lang w:val="es-ES"/>
        </w:rPr>
        <w:t xml:space="preserve"> que no se vislumbraban nuevas posibilidades de injerencias dilatorias en el proceso </w:t>
      </w:r>
      <w:r w:rsidRPr="007E4AA8">
        <w:rPr>
          <w:rFonts w:ascii="Cambria" w:hAnsi="Cambria"/>
          <w:sz w:val="20"/>
          <w:szCs w:val="20"/>
          <w:lang w:val="es-ES"/>
        </w:rPr>
        <w:t xml:space="preserve">  dado el cambio en el contexto político de Paraguay</w:t>
      </w:r>
      <w:r w:rsidR="008A4DC9" w:rsidRPr="007E4AA8">
        <w:rPr>
          <w:rFonts w:ascii="Cambria" w:hAnsi="Cambria"/>
          <w:sz w:val="20"/>
          <w:szCs w:val="20"/>
          <w:lang w:val="es-ES"/>
        </w:rPr>
        <w:t xml:space="preserve">. </w:t>
      </w:r>
      <w:r w:rsidR="008E5A58" w:rsidRPr="007E4AA8">
        <w:rPr>
          <w:rFonts w:ascii="Cambria" w:hAnsi="Cambria"/>
          <w:sz w:val="20"/>
          <w:szCs w:val="20"/>
          <w:lang w:val="es-ES"/>
        </w:rPr>
        <w:t>Indic</w:t>
      </w:r>
      <w:r w:rsidR="005D6C00" w:rsidRPr="007E4AA8">
        <w:rPr>
          <w:rFonts w:ascii="Cambria" w:hAnsi="Cambria"/>
          <w:sz w:val="20"/>
          <w:szCs w:val="20"/>
          <w:lang w:val="es-ES"/>
        </w:rPr>
        <w:t>ó</w:t>
      </w:r>
      <w:r w:rsidR="008A4DC9" w:rsidRPr="007E4AA8">
        <w:rPr>
          <w:rFonts w:ascii="Cambria" w:hAnsi="Cambria"/>
          <w:sz w:val="20"/>
          <w:szCs w:val="20"/>
          <w:lang w:val="es-ES"/>
        </w:rPr>
        <w:t xml:space="preserve"> que a la </w:t>
      </w:r>
      <w:r w:rsidR="006F5E2A" w:rsidRPr="007E4AA8">
        <w:rPr>
          <w:rFonts w:ascii="Cambria" w:hAnsi="Cambria"/>
          <w:sz w:val="20"/>
          <w:szCs w:val="20"/>
          <w:lang w:val="es-ES"/>
        </w:rPr>
        <w:t>época</w:t>
      </w:r>
      <w:r w:rsidR="008A4DC9" w:rsidRPr="007E4AA8">
        <w:rPr>
          <w:rFonts w:ascii="Cambria" w:hAnsi="Cambria"/>
          <w:sz w:val="20"/>
          <w:szCs w:val="20"/>
          <w:lang w:val="es-ES"/>
        </w:rPr>
        <w:t xml:space="preserve"> de presentación de la petición gobernaban autoridades pertenecientes al </w:t>
      </w:r>
      <w:r w:rsidR="006F5E2A" w:rsidRPr="007E4AA8">
        <w:rPr>
          <w:rFonts w:ascii="Cambria" w:hAnsi="Cambria"/>
          <w:sz w:val="20"/>
          <w:szCs w:val="20"/>
          <w:lang w:val="es-ES"/>
        </w:rPr>
        <w:t>partido</w:t>
      </w:r>
      <w:r w:rsidR="008A4DC9" w:rsidRPr="007E4AA8">
        <w:rPr>
          <w:rFonts w:ascii="Cambria" w:hAnsi="Cambria"/>
          <w:sz w:val="20"/>
          <w:szCs w:val="20"/>
          <w:lang w:val="es-ES"/>
        </w:rPr>
        <w:t xml:space="preserve"> político que estuvo vigente por más de 60 años en el país, hasta que en 2008 se produjo alternancia en el poder. </w:t>
      </w:r>
      <w:r w:rsidR="009410AF" w:rsidRPr="007E4AA8">
        <w:rPr>
          <w:rFonts w:ascii="Cambria" w:hAnsi="Cambria"/>
          <w:sz w:val="20"/>
          <w:szCs w:val="20"/>
          <w:lang w:val="es-ES"/>
        </w:rPr>
        <w:t xml:space="preserve">En este sentido, </w:t>
      </w:r>
      <w:r w:rsidR="008E5A58" w:rsidRPr="007E4AA8">
        <w:rPr>
          <w:rFonts w:ascii="Cambria" w:hAnsi="Cambria"/>
          <w:sz w:val="20"/>
          <w:szCs w:val="20"/>
          <w:lang w:val="es-ES"/>
        </w:rPr>
        <w:t>refi</w:t>
      </w:r>
      <w:r w:rsidR="005D6C00" w:rsidRPr="007E4AA8">
        <w:rPr>
          <w:rFonts w:ascii="Cambria" w:hAnsi="Cambria"/>
          <w:sz w:val="20"/>
          <w:szCs w:val="20"/>
          <w:lang w:val="es-ES"/>
        </w:rPr>
        <w:t>rió</w:t>
      </w:r>
      <w:r w:rsidR="009410AF" w:rsidRPr="007E4AA8">
        <w:rPr>
          <w:rFonts w:ascii="Cambria" w:hAnsi="Cambria"/>
          <w:sz w:val="20"/>
          <w:szCs w:val="20"/>
          <w:lang w:val="es-ES"/>
        </w:rPr>
        <w:t xml:space="preserve"> que el expediente estuvo “retenido” en poder de un juez por 2 años y 6 meses, hasta que fuese recusado y separado de la causa, por tanto, “dentro de la estructura judicial tampoco se vislumbra una posibilidad de nuevas injerencias de mero tinte dilatorio”.</w:t>
      </w:r>
      <w:r w:rsidR="005D6C00" w:rsidRPr="007E4AA8">
        <w:rPr>
          <w:rFonts w:ascii="Cambria" w:hAnsi="Cambria"/>
          <w:sz w:val="20"/>
          <w:szCs w:val="20"/>
          <w:lang w:val="es-ES"/>
        </w:rPr>
        <w:t xml:space="preserve"> Así, se comprometió </w:t>
      </w:r>
      <w:r w:rsidR="00B20E3D" w:rsidRPr="007E4AA8">
        <w:rPr>
          <w:rFonts w:ascii="Cambria" w:hAnsi="Cambria"/>
          <w:sz w:val="20"/>
          <w:szCs w:val="20"/>
          <w:lang w:val="es-ES"/>
        </w:rPr>
        <w:t>a velar porque el proceso se tramit</w:t>
      </w:r>
      <w:r w:rsidR="00E055B8" w:rsidRPr="007E4AA8">
        <w:rPr>
          <w:rFonts w:ascii="Cambria" w:hAnsi="Cambria"/>
          <w:sz w:val="20"/>
          <w:szCs w:val="20"/>
          <w:lang w:val="es-ES"/>
        </w:rPr>
        <w:t>e</w:t>
      </w:r>
      <w:r w:rsidR="00B20E3D" w:rsidRPr="007E4AA8">
        <w:rPr>
          <w:rFonts w:ascii="Cambria" w:hAnsi="Cambria"/>
          <w:sz w:val="20"/>
          <w:szCs w:val="20"/>
          <w:lang w:val="es-ES"/>
        </w:rPr>
        <w:t xml:space="preserve"> con respeto irrestricto de los plazos procesales previstos por la legislación interna</w:t>
      </w:r>
      <w:r w:rsidR="003F245C" w:rsidRPr="007E4AA8">
        <w:rPr>
          <w:rFonts w:ascii="Cambria" w:hAnsi="Cambria"/>
          <w:sz w:val="20"/>
          <w:szCs w:val="20"/>
          <w:lang w:val="es-ES"/>
        </w:rPr>
        <w:t>.</w:t>
      </w:r>
    </w:p>
    <w:p w14:paraId="09ABAD2B" w14:textId="77777777" w:rsidR="005D6C00" w:rsidRPr="007E4AA8" w:rsidRDefault="005D6C00" w:rsidP="00B24F71">
      <w:pPr>
        <w:pStyle w:val="ListParagraph"/>
        <w:rPr>
          <w:color w:val="auto"/>
        </w:rPr>
      </w:pPr>
    </w:p>
    <w:p w14:paraId="1A1F0C1C" w14:textId="77777777" w:rsidR="005D6C00" w:rsidRPr="007E4AA8" w:rsidRDefault="005D6C00" w:rsidP="005D6C00">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El 13 de noviembre de 2020, el Estado inform</w:t>
      </w:r>
      <w:r w:rsidR="007413E5" w:rsidRPr="007E4AA8">
        <w:rPr>
          <w:rFonts w:ascii="Cambria" w:hAnsi="Cambria"/>
          <w:sz w:val="20"/>
          <w:szCs w:val="20"/>
          <w:lang w:val="es-ES"/>
        </w:rPr>
        <w:t>ó</w:t>
      </w:r>
      <w:r w:rsidRPr="007E4AA8">
        <w:rPr>
          <w:rFonts w:ascii="Cambria" w:hAnsi="Cambria"/>
          <w:sz w:val="20"/>
          <w:szCs w:val="20"/>
          <w:lang w:val="es-ES"/>
        </w:rPr>
        <w:t xml:space="preserve"> que el juicio oral y público duró cuatro meses y que se dictó sentencia el 30 de diciembre de 2019, mediante la cual se declaró “no probada la existencia del hecho punible tortura” </w:t>
      </w:r>
      <w:r w:rsidR="006F5E2A" w:rsidRPr="007E4AA8">
        <w:rPr>
          <w:rFonts w:ascii="Cambria" w:hAnsi="Cambria"/>
          <w:sz w:val="20"/>
          <w:szCs w:val="20"/>
          <w:lang w:val="es-ES"/>
        </w:rPr>
        <w:t>y,</w:t>
      </w:r>
      <w:r w:rsidRPr="007E4AA8">
        <w:rPr>
          <w:rFonts w:ascii="Cambria" w:hAnsi="Cambria"/>
          <w:sz w:val="20"/>
          <w:szCs w:val="20"/>
          <w:lang w:val="es-ES"/>
        </w:rPr>
        <w:t xml:space="preserve"> en consecuencia, absolvió a las tres personas imputadas en la causa, basado en “duda razonable” ya que de la valoración de las pruebas no se pudo constatar con certeza el hecho investigado y la participación de los acusados. Agrega que, la sentencia no se encuentra firme pues la causa actualmente se encuentra en el Tribunal de Apelación en lo Penal, Tercera Sala, Asunción</w:t>
      </w:r>
      <w:r w:rsidR="00D56F4B" w:rsidRPr="007E4AA8">
        <w:rPr>
          <w:rFonts w:ascii="Cambria" w:hAnsi="Cambria"/>
          <w:sz w:val="20"/>
          <w:szCs w:val="20"/>
          <w:lang w:val="es-ES"/>
        </w:rPr>
        <w:t>, dada la presentación de recursos.</w:t>
      </w:r>
      <w:r w:rsidR="00FA0C47" w:rsidRPr="007E4AA8">
        <w:rPr>
          <w:rFonts w:ascii="Cambria" w:hAnsi="Cambria"/>
          <w:sz w:val="20"/>
          <w:szCs w:val="20"/>
          <w:lang w:val="es-ES"/>
        </w:rPr>
        <w:t xml:space="preserve"> </w:t>
      </w:r>
      <w:r w:rsidR="00A36E72" w:rsidRPr="007E4AA8">
        <w:rPr>
          <w:rFonts w:ascii="Cambria" w:hAnsi="Cambria"/>
          <w:sz w:val="20"/>
          <w:szCs w:val="20"/>
          <w:lang w:val="es-ES"/>
        </w:rPr>
        <w:t>Asimismo</w:t>
      </w:r>
      <w:r w:rsidR="00FA0C47" w:rsidRPr="007E4AA8">
        <w:rPr>
          <w:rFonts w:ascii="Cambria" w:hAnsi="Cambria"/>
          <w:sz w:val="20"/>
          <w:szCs w:val="20"/>
          <w:lang w:val="es-ES"/>
        </w:rPr>
        <w:t>, afirmó que “el Estado no puede sino señalar que su posición sobre los hechos del caso debe ser consistente con los pronunciamientos judiciales que se han producido y que podrán producirse a la brevedad”.</w:t>
      </w:r>
      <w:r w:rsidR="008D2ABE" w:rsidRPr="007E4AA8">
        <w:rPr>
          <w:rFonts w:ascii="Cambria" w:hAnsi="Cambria"/>
          <w:sz w:val="20"/>
          <w:szCs w:val="20"/>
          <w:lang w:val="es-ES"/>
        </w:rPr>
        <w:t xml:space="preserve"> Agregó que mantendría informada a la CIDH de los avances del proceso y “realizara actuaciones sobre otras cuestiones vinculadas al caso, en la mayor brevedad posible”.</w:t>
      </w:r>
    </w:p>
    <w:p w14:paraId="34205E92" w14:textId="77777777" w:rsidR="008266A7" w:rsidRPr="007E4AA8" w:rsidRDefault="008266A7" w:rsidP="00425013">
      <w:pPr>
        <w:rPr>
          <w:lang w:val="es-ES"/>
        </w:rPr>
      </w:pPr>
    </w:p>
    <w:p w14:paraId="58D8DD0E" w14:textId="77777777" w:rsidR="00E94F44" w:rsidRPr="007E4AA8" w:rsidRDefault="00D12193" w:rsidP="00014512">
      <w:pPr>
        <w:pStyle w:val="Heading1"/>
        <w:rPr>
          <w:color w:val="auto"/>
          <w:lang w:val="es-ES"/>
        </w:rPr>
      </w:pPr>
      <w:bookmarkStart w:id="6" w:name="_Toc60669568"/>
      <w:r w:rsidRPr="007E4AA8">
        <w:rPr>
          <w:color w:val="auto"/>
          <w:lang w:val="es-ES"/>
        </w:rPr>
        <w:t>DETERMINACIONES DE HECHO</w:t>
      </w:r>
      <w:bookmarkEnd w:id="6"/>
      <w:r w:rsidR="008A078F" w:rsidRPr="007E4AA8">
        <w:rPr>
          <w:color w:val="auto"/>
          <w:lang w:val="es-ES"/>
        </w:rPr>
        <w:t xml:space="preserve"> </w:t>
      </w:r>
    </w:p>
    <w:p w14:paraId="12A55002" w14:textId="77777777" w:rsidR="000834EA" w:rsidRPr="007E4AA8" w:rsidRDefault="000834EA" w:rsidP="000834EA">
      <w:pPr>
        <w:rPr>
          <w:lang w:val="es-ES"/>
        </w:rPr>
      </w:pPr>
    </w:p>
    <w:p w14:paraId="6AFB221C" w14:textId="77777777" w:rsidR="00CE0FB5" w:rsidRPr="007E4AA8" w:rsidRDefault="00CE0FB5" w:rsidP="00CE0FB5">
      <w:pPr>
        <w:pStyle w:val="ListParagraph"/>
        <w:numPr>
          <w:ilvl w:val="0"/>
          <w:numId w:val="66"/>
        </w:numPr>
        <w:rPr>
          <w:b/>
          <w:bCs/>
          <w:color w:val="auto"/>
        </w:rPr>
      </w:pPr>
      <w:r w:rsidRPr="007E4AA8">
        <w:rPr>
          <w:b/>
          <w:bCs/>
          <w:color w:val="auto"/>
        </w:rPr>
        <w:t>Marco normativo relevante</w:t>
      </w:r>
    </w:p>
    <w:p w14:paraId="3F586DA7" w14:textId="77777777" w:rsidR="00CE0FB5" w:rsidRPr="007E4AA8" w:rsidRDefault="00CE0FB5" w:rsidP="00CE0FB5">
      <w:pPr>
        <w:pStyle w:val="ListParagraph"/>
        <w:ind w:left="1080"/>
        <w:rPr>
          <w:color w:val="auto"/>
        </w:rPr>
      </w:pPr>
    </w:p>
    <w:p w14:paraId="3E7385A5" w14:textId="77777777" w:rsidR="00F91B62" w:rsidRPr="007E4AA8" w:rsidRDefault="00CE0FB5" w:rsidP="00CE0FB5">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Conforme a la Ley Orgánica de la Policía Nacional</w:t>
      </w:r>
      <w:r w:rsidR="00282569" w:rsidRPr="007E4AA8">
        <w:rPr>
          <w:rStyle w:val="FootnoteReference"/>
          <w:rFonts w:ascii="Cambria" w:hAnsi="Cambria"/>
          <w:sz w:val="20"/>
          <w:szCs w:val="20"/>
          <w:lang w:val="es-ES"/>
        </w:rPr>
        <w:footnoteReference w:id="3"/>
      </w:r>
      <w:r w:rsidRPr="007E4AA8">
        <w:rPr>
          <w:rFonts w:ascii="Cambria" w:hAnsi="Cambria"/>
          <w:sz w:val="20"/>
          <w:szCs w:val="20"/>
          <w:lang w:val="es-ES"/>
        </w:rPr>
        <w:t xml:space="preserve"> vigente a la época, la misma establece que:</w:t>
      </w:r>
    </w:p>
    <w:p w14:paraId="70DAECF2" w14:textId="77777777" w:rsidR="00144E9E" w:rsidRPr="007E4AA8" w:rsidRDefault="00144E9E" w:rsidP="00144E9E">
      <w:pPr>
        <w:tabs>
          <w:tab w:val="left" w:pos="360"/>
        </w:tabs>
        <w:jc w:val="both"/>
        <w:rPr>
          <w:rFonts w:ascii="Cambria" w:hAnsi="Cambria"/>
          <w:sz w:val="20"/>
          <w:szCs w:val="20"/>
          <w:lang w:val="es-ES"/>
        </w:rPr>
      </w:pPr>
    </w:p>
    <w:p w14:paraId="19C0F03C" w14:textId="77777777" w:rsidR="00F91B62" w:rsidRPr="007E4AA8" w:rsidRDefault="00F91B62" w:rsidP="00F91B62">
      <w:pPr>
        <w:tabs>
          <w:tab w:val="left" w:pos="360"/>
        </w:tabs>
        <w:jc w:val="both"/>
        <w:rPr>
          <w:rFonts w:ascii="Cambria" w:hAnsi="Cambria"/>
          <w:sz w:val="18"/>
          <w:szCs w:val="18"/>
          <w:lang w:val="es-ES"/>
        </w:rPr>
      </w:pPr>
      <w:r w:rsidRPr="007E4AA8">
        <w:rPr>
          <w:rFonts w:ascii="Cambria" w:hAnsi="Cambria"/>
          <w:sz w:val="20"/>
          <w:szCs w:val="20"/>
          <w:lang w:val="es-ES"/>
        </w:rPr>
        <w:tab/>
      </w:r>
      <w:r w:rsidRPr="007E4AA8">
        <w:rPr>
          <w:rFonts w:ascii="Cambria" w:hAnsi="Cambria"/>
          <w:sz w:val="18"/>
          <w:szCs w:val="18"/>
          <w:lang w:val="es-ES"/>
        </w:rPr>
        <w:t xml:space="preserve">Artículo 6.- Serán funciones, obligaciones y atribuciones de la Policía Nacional: </w:t>
      </w:r>
    </w:p>
    <w:p w14:paraId="19CCEC11" w14:textId="77777777" w:rsidR="00F91B62" w:rsidRPr="007E4AA8" w:rsidRDefault="00F91B62" w:rsidP="00F91B62">
      <w:pPr>
        <w:tabs>
          <w:tab w:val="left" w:pos="360"/>
        </w:tabs>
        <w:ind w:left="360"/>
        <w:jc w:val="both"/>
        <w:rPr>
          <w:rFonts w:ascii="Cambria" w:hAnsi="Cambria"/>
          <w:sz w:val="18"/>
          <w:szCs w:val="18"/>
          <w:lang w:val="es-ES"/>
        </w:rPr>
      </w:pPr>
      <w:r w:rsidRPr="007E4AA8">
        <w:rPr>
          <w:rFonts w:ascii="Cambria" w:hAnsi="Cambria"/>
          <w:sz w:val="18"/>
          <w:szCs w:val="18"/>
          <w:lang w:val="es-ES"/>
        </w:rPr>
        <w:t xml:space="preserve">4. Investigar bajo dirección judicial los delitos cometidos en cualquier punto del territorio nacional, en las aguas públicas o del espacio aéreo. </w:t>
      </w:r>
    </w:p>
    <w:p w14:paraId="6588F97A" w14:textId="77777777" w:rsidR="00F91B62" w:rsidRPr="007E4AA8" w:rsidRDefault="00F91B62" w:rsidP="00F91B62">
      <w:pPr>
        <w:tabs>
          <w:tab w:val="left" w:pos="360"/>
        </w:tabs>
        <w:ind w:left="360"/>
        <w:jc w:val="both"/>
        <w:rPr>
          <w:rFonts w:ascii="Cambria" w:hAnsi="Cambria"/>
          <w:sz w:val="18"/>
          <w:szCs w:val="18"/>
          <w:lang w:val="es-ES"/>
        </w:rPr>
      </w:pPr>
      <w:r w:rsidRPr="007E4AA8">
        <w:rPr>
          <w:rFonts w:ascii="Cambria" w:hAnsi="Cambria"/>
          <w:sz w:val="18"/>
          <w:szCs w:val="18"/>
          <w:lang w:val="es-ES"/>
        </w:rPr>
        <w:lastRenderedPageBreak/>
        <w:t xml:space="preserve">9. Detener a las personas sorprendidas en la comisión de delitos y a los sospechosos, en la forma y por el tiempo establecidos en la Constitución Nacional y las leyes, haciéndoles saber la causa de la detención y los derechos que le asisten, poniéndolas a disposición de juez competente. </w:t>
      </w:r>
    </w:p>
    <w:p w14:paraId="52D7AB17" w14:textId="77777777" w:rsidR="00CE0FB5" w:rsidRPr="007E4AA8" w:rsidRDefault="00CE0FB5" w:rsidP="00CE0FB5">
      <w:pPr>
        <w:tabs>
          <w:tab w:val="left" w:pos="360"/>
        </w:tabs>
        <w:jc w:val="both"/>
        <w:rPr>
          <w:rFonts w:ascii="Cambria" w:hAnsi="Cambria"/>
          <w:sz w:val="20"/>
          <w:szCs w:val="20"/>
          <w:lang w:val="es-ES"/>
        </w:rPr>
      </w:pPr>
    </w:p>
    <w:p w14:paraId="36CB6F2B" w14:textId="77777777" w:rsidR="00CE0FB5" w:rsidRPr="007E4AA8" w:rsidRDefault="00CE0FB5" w:rsidP="00CE0FB5">
      <w:pPr>
        <w:pStyle w:val="ListParagraph"/>
        <w:numPr>
          <w:ilvl w:val="0"/>
          <w:numId w:val="66"/>
        </w:numPr>
        <w:rPr>
          <w:b/>
          <w:bCs/>
          <w:color w:val="auto"/>
        </w:rPr>
      </w:pPr>
      <w:r w:rsidRPr="007E4AA8">
        <w:rPr>
          <w:b/>
          <w:bCs/>
          <w:color w:val="auto"/>
        </w:rPr>
        <w:t>Hechos del caso</w:t>
      </w:r>
    </w:p>
    <w:p w14:paraId="357487FC" w14:textId="77777777" w:rsidR="00CE0FB5" w:rsidRPr="007E4AA8" w:rsidRDefault="00CE0FB5" w:rsidP="000834EA">
      <w:pPr>
        <w:rPr>
          <w:lang w:val="es-ES"/>
        </w:rPr>
      </w:pPr>
    </w:p>
    <w:p w14:paraId="52918D56" w14:textId="77777777" w:rsidR="006B12E5" w:rsidRPr="007E4AA8" w:rsidRDefault="00846807" w:rsidP="006B12E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De acuerdo con</w:t>
      </w:r>
      <w:r w:rsidR="00D47537" w:rsidRPr="007E4AA8">
        <w:rPr>
          <w:rFonts w:asciiTheme="majorHAnsi" w:hAnsiTheme="majorHAnsi"/>
          <w:sz w:val="20"/>
          <w:szCs w:val="20"/>
          <w:lang w:val="es-ES"/>
        </w:rPr>
        <w:t xml:space="preserve"> </w:t>
      </w:r>
      <w:r w:rsidR="00D02689" w:rsidRPr="007E4AA8">
        <w:rPr>
          <w:rFonts w:asciiTheme="majorHAnsi" w:hAnsiTheme="majorHAnsi"/>
          <w:sz w:val="20"/>
          <w:szCs w:val="20"/>
          <w:lang w:val="es-ES"/>
        </w:rPr>
        <w:t>la</w:t>
      </w:r>
      <w:r w:rsidR="00D47537" w:rsidRPr="007E4AA8">
        <w:rPr>
          <w:rFonts w:asciiTheme="majorHAnsi" w:hAnsiTheme="majorHAnsi"/>
          <w:sz w:val="20"/>
          <w:szCs w:val="20"/>
          <w:lang w:val="es-ES"/>
        </w:rPr>
        <w:t xml:space="preserve"> declaración indagatoria </w:t>
      </w:r>
      <w:r w:rsidR="00D02689" w:rsidRPr="007E4AA8">
        <w:rPr>
          <w:rFonts w:asciiTheme="majorHAnsi" w:hAnsiTheme="majorHAnsi"/>
          <w:sz w:val="20"/>
          <w:szCs w:val="20"/>
          <w:lang w:val="es-ES"/>
        </w:rPr>
        <w:t>que prestó e</w:t>
      </w:r>
      <w:r w:rsidR="00D47537" w:rsidRPr="007E4AA8">
        <w:rPr>
          <w:rFonts w:asciiTheme="majorHAnsi" w:hAnsiTheme="majorHAnsi"/>
          <w:sz w:val="20"/>
          <w:szCs w:val="20"/>
          <w:lang w:val="es-ES"/>
        </w:rPr>
        <w:t>n el marco del proceso penal seguido en su contra,</w:t>
      </w:r>
      <w:r w:rsidR="005C6B23" w:rsidRPr="007E4AA8">
        <w:rPr>
          <w:rFonts w:asciiTheme="majorHAnsi" w:hAnsiTheme="majorHAnsi"/>
          <w:sz w:val="20"/>
          <w:szCs w:val="20"/>
          <w:lang w:val="es-ES"/>
        </w:rPr>
        <w:t xml:space="preserve"> Jorge Luis López Sosa era oficial de policía, y</w:t>
      </w:r>
      <w:r w:rsidR="00D47537" w:rsidRPr="007E4AA8">
        <w:rPr>
          <w:rFonts w:asciiTheme="majorHAnsi" w:hAnsiTheme="majorHAnsi"/>
          <w:sz w:val="20"/>
          <w:szCs w:val="20"/>
          <w:lang w:val="es-ES"/>
        </w:rPr>
        <w:t xml:space="preserve"> el 18 de mayo de 2000 recibió una llamada</w:t>
      </w:r>
      <w:r w:rsidR="002A4E61" w:rsidRPr="007E4AA8">
        <w:rPr>
          <w:rFonts w:asciiTheme="majorHAnsi" w:hAnsiTheme="majorHAnsi"/>
          <w:sz w:val="20"/>
          <w:szCs w:val="20"/>
          <w:lang w:val="es-ES"/>
        </w:rPr>
        <w:t xml:space="preserve"> del Comisario Principal Alfredo Cáceres González,</w:t>
      </w:r>
      <w:r w:rsidR="00D47537" w:rsidRPr="007E4AA8">
        <w:rPr>
          <w:rFonts w:asciiTheme="majorHAnsi" w:hAnsiTheme="majorHAnsi"/>
          <w:sz w:val="20"/>
          <w:szCs w:val="20"/>
          <w:lang w:val="es-ES"/>
        </w:rPr>
        <w:t xml:space="preserve"> mientras se encontraba en horas de descanso, para presentarse uniformado en la Comandancia de la Policía Nacional</w:t>
      </w:r>
      <w:r w:rsidR="002A4E61" w:rsidRPr="007E4AA8">
        <w:rPr>
          <w:rFonts w:asciiTheme="majorHAnsi" w:hAnsiTheme="majorHAnsi"/>
          <w:sz w:val="20"/>
          <w:szCs w:val="20"/>
          <w:lang w:val="es-ES"/>
        </w:rPr>
        <w:t>. Una vez que se present</w:t>
      </w:r>
      <w:r w:rsidR="00AA4521" w:rsidRPr="007E4AA8">
        <w:rPr>
          <w:rFonts w:asciiTheme="majorHAnsi" w:hAnsiTheme="majorHAnsi"/>
          <w:sz w:val="20"/>
          <w:szCs w:val="20"/>
          <w:lang w:val="es-ES"/>
        </w:rPr>
        <w:t>ó</w:t>
      </w:r>
      <w:r w:rsidR="00253109" w:rsidRPr="007E4AA8">
        <w:rPr>
          <w:rFonts w:asciiTheme="majorHAnsi" w:hAnsiTheme="majorHAnsi"/>
          <w:sz w:val="20"/>
          <w:szCs w:val="20"/>
          <w:lang w:val="es-ES"/>
        </w:rPr>
        <w:t xml:space="preserve"> en </w:t>
      </w:r>
      <w:r w:rsidR="00D00A0B" w:rsidRPr="007E4AA8">
        <w:rPr>
          <w:rFonts w:asciiTheme="majorHAnsi" w:hAnsiTheme="majorHAnsi"/>
          <w:sz w:val="20"/>
          <w:szCs w:val="20"/>
          <w:lang w:val="es-ES"/>
        </w:rPr>
        <w:t>dicho</w:t>
      </w:r>
      <w:r w:rsidR="00253109" w:rsidRPr="007E4AA8">
        <w:rPr>
          <w:rFonts w:asciiTheme="majorHAnsi" w:hAnsiTheme="majorHAnsi"/>
          <w:sz w:val="20"/>
          <w:szCs w:val="20"/>
          <w:lang w:val="es-ES"/>
        </w:rPr>
        <w:t xml:space="preserve"> lugar, </w:t>
      </w:r>
      <w:r w:rsidR="000B6E51" w:rsidRPr="007E4AA8">
        <w:rPr>
          <w:rFonts w:asciiTheme="majorHAnsi" w:hAnsiTheme="majorHAnsi"/>
          <w:sz w:val="20"/>
          <w:szCs w:val="20"/>
          <w:lang w:val="es-ES"/>
        </w:rPr>
        <w:t xml:space="preserve">el Comisario </w:t>
      </w:r>
      <w:r w:rsidR="00253109" w:rsidRPr="007E4AA8">
        <w:rPr>
          <w:rFonts w:asciiTheme="majorHAnsi" w:hAnsiTheme="majorHAnsi"/>
          <w:sz w:val="20"/>
          <w:szCs w:val="20"/>
          <w:lang w:val="es-ES"/>
        </w:rPr>
        <w:t>Cáceres inform</w:t>
      </w:r>
      <w:r w:rsidR="00AA4521" w:rsidRPr="007E4AA8">
        <w:rPr>
          <w:rFonts w:asciiTheme="majorHAnsi" w:hAnsiTheme="majorHAnsi"/>
          <w:sz w:val="20"/>
          <w:szCs w:val="20"/>
          <w:lang w:val="es-ES"/>
        </w:rPr>
        <w:t>ó</w:t>
      </w:r>
      <w:r w:rsidR="00253109" w:rsidRPr="007E4AA8">
        <w:rPr>
          <w:rFonts w:asciiTheme="majorHAnsi" w:hAnsiTheme="majorHAnsi"/>
          <w:sz w:val="20"/>
          <w:szCs w:val="20"/>
          <w:lang w:val="es-ES"/>
        </w:rPr>
        <w:t xml:space="preserve"> que al parecer el gobierno est</w:t>
      </w:r>
      <w:r w:rsidR="00AA4521" w:rsidRPr="007E4AA8">
        <w:rPr>
          <w:rFonts w:asciiTheme="majorHAnsi" w:hAnsiTheme="majorHAnsi"/>
          <w:sz w:val="20"/>
          <w:szCs w:val="20"/>
          <w:lang w:val="es-ES"/>
        </w:rPr>
        <w:t xml:space="preserve">aba </w:t>
      </w:r>
      <w:r w:rsidR="00253109" w:rsidRPr="007E4AA8">
        <w:rPr>
          <w:rFonts w:asciiTheme="majorHAnsi" w:hAnsiTheme="majorHAnsi"/>
          <w:sz w:val="20"/>
          <w:szCs w:val="20"/>
          <w:lang w:val="es-ES"/>
        </w:rPr>
        <w:t>siendo intervenido y por la ausencia de superiores se haría cargo de manera interina del mando de la policía. A</w:t>
      </w:r>
      <w:r w:rsidR="000B6E51" w:rsidRPr="007E4AA8">
        <w:rPr>
          <w:rFonts w:asciiTheme="majorHAnsi" w:hAnsiTheme="majorHAnsi"/>
          <w:sz w:val="20"/>
          <w:szCs w:val="20"/>
          <w:lang w:val="es-ES"/>
        </w:rPr>
        <w:t>l señor</w:t>
      </w:r>
      <w:r w:rsidR="00253109" w:rsidRPr="007E4AA8">
        <w:rPr>
          <w:rFonts w:asciiTheme="majorHAnsi" w:hAnsiTheme="majorHAnsi"/>
          <w:sz w:val="20"/>
          <w:szCs w:val="20"/>
          <w:lang w:val="es-ES"/>
        </w:rPr>
        <w:t xml:space="preserve"> López s</w:t>
      </w:r>
      <w:r w:rsidR="002A4E61" w:rsidRPr="007E4AA8">
        <w:rPr>
          <w:rFonts w:asciiTheme="majorHAnsi" w:hAnsiTheme="majorHAnsi"/>
          <w:sz w:val="20"/>
          <w:szCs w:val="20"/>
          <w:lang w:val="es-ES"/>
        </w:rPr>
        <w:t>e le orden</w:t>
      </w:r>
      <w:r w:rsidR="000B6E51" w:rsidRPr="007E4AA8">
        <w:rPr>
          <w:rFonts w:asciiTheme="majorHAnsi" w:hAnsiTheme="majorHAnsi"/>
          <w:sz w:val="20"/>
          <w:szCs w:val="20"/>
          <w:lang w:val="es-ES"/>
        </w:rPr>
        <w:t>ó</w:t>
      </w:r>
      <w:r w:rsidR="002A4E61" w:rsidRPr="007E4AA8">
        <w:rPr>
          <w:rFonts w:asciiTheme="majorHAnsi" w:hAnsiTheme="majorHAnsi"/>
          <w:sz w:val="20"/>
          <w:szCs w:val="20"/>
          <w:lang w:val="es-ES"/>
        </w:rPr>
        <w:t xml:space="preserve"> </w:t>
      </w:r>
      <w:r w:rsidR="00D47537" w:rsidRPr="007E4AA8">
        <w:rPr>
          <w:rFonts w:asciiTheme="majorHAnsi" w:hAnsiTheme="majorHAnsi"/>
          <w:sz w:val="20"/>
          <w:szCs w:val="20"/>
          <w:lang w:val="es-ES"/>
        </w:rPr>
        <w:t>ponerse a disposici</w:t>
      </w:r>
      <w:r w:rsidR="007C6234" w:rsidRPr="007E4AA8">
        <w:rPr>
          <w:rFonts w:asciiTheme="majorHAnsi" w:hAnsiTheme="majorHAnsi"/>
          <w:sz w:val="20"/>
          <w:szCs w:val="20"/>
          <w:lang w:val="es-ES"/>
        </w:rPr>
        <w:t>ón y acompañar a personal</w:t>
      </w:r>
      <w:r w:rsidR="003228EC" w:rsidRPr="007E4AA8">
        <w:rPr>
          <w:rFonts w:asciiTheme="majorHAnsi" w:hAnsiTheme="majorHAnsi"/>
          <w:sz w:val="20"/>
          <w:szCs w:val="20"/>
          <w:lang w:val="es-ES"/>
        </w:rPr>
        <w:t xml:space="preserve"> </w:t>
      </w:r>
      <w:r w:rsidRPr="007E4AA8">
        <w:rPr>
          <w:rFonts w:asciiTheme="majorHAnsi" w:hAnsiTheme="majorHAnsi"/>
          <w:sz w:val="20"/>
          <w:szCs w:val="20"/>
          <w:lang w:val="es-ES"/>
        </w:rPr>
        <w:t xml:space="preserve">policial </w:t>
      </w:r>
      <w:r w:rsidR="003228EC" w:rsidRPr="007E4AA8">
        <w:rPr>
          <w:rFonts w:asciiTheme="majorHAnsi" w:hAnsiTheme="majorHAnsi"/>
          <w:sz w:val="20"/>
          <w:szCs w:val="20"/>
          <w:lang w:val="es-ES"/>
        </w:rPr>
        <w:t>a fin de a</w:t>
      </w:r>
      <w:r w:rsidR="007C6234" w:rsidRPr="007E4AA8">
        <w:rPr>
          <w:rFonts w:asciiTheme="majorHAnsi" w:hAnsiTheme="majorHAnsi"/>
          <w:sz w:val="20"/>
          <w:szCs w:val="20"/>
          <w:lang w:val="es-ES"/>
        </w:rPr>
        <w:t xml:space="preserve">visar sobre “cualquier movimiento sospechoso que pueda haber en la zona donde </w:t>
      </w:r>
      <w:r w:rsidRPr="007E4AA8">
        <w:rPr>
          <w:rFonts w:asciiTheme="majorHAnsi" w:hAnsiTheme="majorHAnsi"/>
          <w:sz w:val="20"/>
          <w:szCs w:val="20"/>
          <w:lang w:val="es-ES"/>
        </w:rPr>
        <w:t>[i</w:t>
      </w:r>
      <w:r w:rsidR="007C6234" w:rsidRPr="007E4AA8">
        <w:rPr>
          <w:rFonts w:asciiTheme="majorHAnsi" w:hAnsiTheme="majorHAnsi"/>
          <w:sz w:val="20"/>
          <w:szCs w:val="20"/>
          <w:lang w:val="es-ES"/>
        </w:rPr>
        <w:t>ba</w:t>
      </w:r>
      <w:r w:rsidRPr="007E4AA8">
        <w:rPr>
          <w:rFonts w:asciiTheme="majorHAnsi" w:hAnsiTheme="majorHAnsi"/>
          <w:sz w:val="20"/>
          <w:szCs w:val="20"/>
          <w:lang w:val="es-ES"/>
        </w:rPr>
        <w:t>n]</w:t>
      </w:r>
      <w:r w:rsidR="007C6234" w:rsidRPr="007E4AA8">
        <w:rPr>
          <w:rFonts w:asciiTheme="majorHAnsi" w:hAnsiTheme="majorHAnsi"/>
          <w:sz w:val="20"/>
          <w:szCs w:val="20"/>
          <w:lang w:val="es-ES"/>
        </w:rPr>
        <w:t>, ya sea movimiento de personal armado o grupo numeroso de personas”</w:t>
      </w:r>
      <w:r w:rsidR="004C7436" w:rsidRPr="007E4AA8">
        <w:rPr>
          <w:rFonts w:asciiTheme="majorHAnsi" w:hAnsiTheme="majorHAnsi"/>
          <w:sz w:val="20"/>
          <w:szCs w:val="20"/>
          <w:lang w:val="es-ES"/>
        </w:rPr>
        <w:t>.</w:t>
      </w:r>
      <w:r w:rsidR="00020C0C" w:rsidRPr="007E4AA8">
        <w:rPr>
          <w:rFonts w:asciiTheme="majorHAnsi" w:hAnsiTheme="majorHAnsi"/>
          <w:sz w:val="20"/>
          <w:szCs w:val="20"/>
          <w:lang w:val="es-ES"/>
        </w:rPr>
        <w:t xml:space="preserve"> </w:t>
      </w:r>
      <w:r w:rsidR="00AA4521" w:rsidRPr="007E4AA8">
        <w:rPr>
          <w:rFonts w:asciiTheme="majorHAnsi" w:hAnsiTheme="majorHAnsi"/>
          <w:sz w:val="20"/>
          <w:szCs w:val="20"/>
          <w:lang w:val="es-ES"/>
        </w:rPr>
        <w:t>D</w:t>
      </w:r>
      <w:r w:rsidR="00020C0C" w:rsidRPr="007E4AA8">
        <w:rPr>
          <w:rFonts w:asciiTheme="majorHAnsi" w:hAnsiTheme="majorHAnsi"/>
          <w:sz w:val="20"/>
          <w:szCs w:val="20"/>
          <w:lang w:val="es-ES"/>
        </w:rPr>
        <w:t xml:space="preserve">urante la espera, </w:t>
      </w:r>
      <w:r w:rsidR="003228EC" w:rsidRPr="007E4AA8">
        <w:rPr>
          <w:rFonts w:asciiTheme="majorHAnsi" w:hAnsiTheme="majorHAnsi"/>
          <w:sz w:val="20"/>
          <w:szCs w:val="20"/>
          <w:lang w:val="es-ES"/>
        </w:rPr>
        <w:t xml:space="preserve">Jorge </w:t>
      </w:r>
      <w:r w:rsidR="00AA4521" w:rsidRPr="007E4AA8">
        <w:rPr>
          <w:rFonts w:asciiTheme="majorHAnsi" w:hAnsiTheme="majorHAnsi"/>
          <w:sz w:val="20"/>
          <w:szCs w:val="20"/>
          <w:lang w:val="es-ES"/>
        </w:rPr>
        <w:t xml:space="preserve">López </w:t>
      </w:r>
      <w:r w:rsidR="00020C0C" w:rsidRPr="007E4AA8">
        <w:rPr>
          <w:rFonts w:asciiTheme="majorHAnsi" w:hAnsiTheme="majorHAnsi"/>
          <w:sz w:val="20"/>
          <w:szCs w:val="20"/>
          <w:lang w:val="es-ES"/>
        </w:rPr>
        <w:t>identific</w:t>
      </w:r>
      <w:r w:rsidR="00AA4521" w:rsidRPr="007E4AA8">
        <w:rPr>
          <w:rFonts w:asciiTheme="majorHAnsi" w:hAnsiTheme="majorHAnsi"/>
          <w:sz w:val="20"/>
          <w:szCs w:val="20"/>
          <w:lang w:val="es-ES"/>
        </w:rPr>
        <w:t>ó</w:t>
      </w:r>
      <w:r w:rsidR="00020C0C" w:rsidRPr="007E4AA8">
        <w:rPr>
          <w:rFonts w:asciiTheme="majorHAnsi" w:hAnsiTheme="majorHAnsi"/>
          <w:sz w:val="20"/>
          <w:szCs w:val="20"/>
          <w:lang w:val="es-ES"/>
        </w:rPr>
        <w:t xml:space="preserve"> a la comitiva del Ministro de Interior. </w:t>
      </w:r>
      <w:r w:rsidR="002939C6" w:rsidRPr="007E4AA8">
        <w:rPr>
          <w:rFonts w:asciiTheme="majorHAnsi" w:hAnsiTheme="majorHAnsi"/>
          <w:sz w:val="20"/>
          <w:szCs w:val="20"/>
          <w:lang w:val="es-ES"/>
        </w:rPr>
        <w:t>P</w:t>
      </w:r>
      <w:r w:rsidR="004C7436" w:rsidRPr="007E4AA8">
        <w:rPr>
          <w:rFonts w:asciiTheme="majorHAnsi" w:hAnsiTheme="majorHAnsi"/>
          <w:sz w:val="20"/>
          <w:szCs w:val="20"/>
          <w:lang w:val="es-ES"/>
        </w:rPr>
        <w:t>osteriormente</w:t>
      </w:r>
      <w:r w:rsidR="002939C6" w:rsidRPr="007E4AA8">
        <w:rPr>
          <w:rFonts w:asciiTheme="majorHAnsi" w:hAnsiTheme="majorHAnsi"/>
          <w:sz w:val="20"/>
          <w:szCs w:val="20"/>
          <w:lang w:val="es-ES"/>
        </w:rPr>
        <w:t>,</w:t>
      </w:r>
      <w:r w:rsidR="004C7436" w:rsidRPr="007E4AA8">
        <w:rPr>
          <w:rFonts w:asciiTheme="majorHAnsi" w:hAnsiTheme="majorHAnsi"/>
          <w:sz w:val="20"/>
          <w:szCs w:val="20"/>
          <w:lang w:val="es-ES"/>
        </w:rPr>
        <w:t xml:space="preserve"> habría llegado</w:t>
      </w:r>
      <w:r w:rsidR="003228EC" w:rsidRPr="007E4AA8">
        <w:rPr>
          <w:rFonts w:asciiTheme="majorHAnsi" w:hAnsiTheme="majorHAnsi"/>
          <w:sz w:val="20"/>
          <w:szCs w:val="20"/>
          <w:lang w:val="es-ES"/>
        </w:rPr>
        <w:t xml:space="preserve"> </w:t>
      </w:r>
      <w:r w:rsidR="002939C6" w:rsidRPr="007E4AA8">
        <w:rPr>
          <w:rFonts w:asciiTheme="majorHAnsi" w:hAnsiTheme="majorHAnsi"/>
          <w:sz w:val="20"/>
          <w:szCs w:val="20"/>
          <w:lang w:val="es-ES"/>
        </w:rPr>
        <w:t>otro personal</w:t>
      </w:r>
      <w:r w:rsidR="003228EC" w:rsidRPr="007E4AA8">
        <w:rPr>
          <w:rFonts w:asciiTheme="majorHAnsi" w:hAnsiTheme="majorHAnsi"/>
          <w:sz w:val="20"/>
          <w:szCs w:val="20"/>
          <w:lang w:val="es-ES"/>
        </w:rPr>
        <w:t xml:space="preserve"> </w:t>
      </w:r>
      <w:r w:rsidR="004C7436" w:rsidRPr="007E4AA8">
        <w:rPr>
          <w:rFonts w:asciiTheme="majorHAnsi" w:hAnsiTheme="majorHAnsi"/>
          <w:sz w:val="20"/>
          <w:szCs w:val="20"/>
          <w:lang w:val="es-ES"/>
        </w:rPr>
        <w:t>al sitio donde estaban apostados</w:t>
      </w:r>
      <w:r w:rsidR="006B12E5" w:rsidRPr="007E4AA8">
        <w:rPr>
          <w:rStyle w:val="FootnoteReference"/>
          <w:rFonts w:asciiTheme="majorHAnsi" w:hAnsiTheme="majorHAnsi"/>
          <w:sz w:val="20"/>
          <w:szCs w:val="20"/>
          <w:lang w:val="es-ES"/>
        </w:rPr>
        <w:footnoteReference w:id="4"/>
      </w:r>
      <w:r w:rsidR="004C7436" w:rsidRPr="007E4AA8">
        <w:rPr>
          <w:rFonts w:asciiTheme="majorHAnsi" w:hAnsiTheme="majorHAnsi"/>
          <w:sz w:val="20"/>
          <w:szCs w:val="20"/>
          <w:lang w:val="es-ES"/>
        </w:rPr>
        <w:t xml:space="preserve">. </w:t>
      </w:r>
    </w:p>
    <w:p w14:paraId="34E7FE53" w14:textId="77777777" w:rsidR="00F40389" w:rsidRPr="007E4AA8" w:rsidRDefault="00F40389" w:rsidP="005C5A98">
      <w:pPr>
        <w:tabs>
          <w:tab w:val="left" w:pos="360"/>
        </w:tabs>
        <w:jc w:val="both"/>
        <w:rPr>
          <w:rFonts w:asciiTheme="majorHAnsi" w:hAnsiTheme="majorHAnsi"/>
          <w:sz w:val="20"/>
          <w:szCs w:val="20"/>
          <w:lang w:val="es-ES"/>
        </w:rPr>
      </w:pPr>
    </w:p>
    <w:p w14:paraId="43148713" w14:textId="77777777" w:rsidR="00915F6C" w:rsidRPr="007E4AA8" w:rsidRDefault="006B12E5" w:rsidP="00E678B3">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Según la referida</w:t>
      </w:r>
      <w:r w:rsidR="002939C6" w:rsidRPr="007E4AA8">
        <w:rPr>
          <w:rFonts w:asciiTheme="majorHAnsi" w:hAnsiTheme="majorHAnsi"/>
          <w:sz w:val="20"/>
          <w:szCs w:val="20"/>
          <w:lang w:val="es-ES"/>
        </w:rPr>
        <w:t xml:space="preserve"> declaración</w:t>
      </w:r>
      <w:r w:rsidR="00AA4521" w:rsidRPr="007E4AA8">
        <w:rPr>
          <w:rFonts w:asciiTheme="majorHAnsi" w:hAnsiTheme="majorHAnsi"/>
          <w:sz w:val="20"/>
          <w:szCs w:val="20"/>
          <w:lang w:val="es-ES"/>
        </w:rPr>
        <w:t xml:space="preserve">, </w:t>
      </w:r>
      <w:r w:rsidR="005C6B23" w:rsidRPr="007E4AA8">
        <w:rPr>
          <w:rFonts w:asciiTheme="majorHAnsi" w:hAnsiTheme="majorHAnsi"/>
          <w:sz w:val="20"/>
          <w:szCs w:val="20"/>
          <w:lang w:val="es-ES"/>
        </w:rPr>
        <w:t>de</w:t>
      </w:r>
      <w:r w:rsidR="004C7436" w:rsidRPr="007E4AA8">
        <w:rPr>
          <w:rFonts w:asciiTheme="majorHAnsi" w:hAnsiTheme="majorHAnsi"/>
          <w:sz w:val="20"/>
          <w:szCs w:val="20"/>
          <w:lang w:val="es-ES"/>
        </w:rPr>
        <w:t xml:space="preserve"> regres</w:t>
      </w:r>
      <w:r w:rsidR="003228EC" w:rsidRPr="007E4AA8">
        <w:rPr>
          <w:rFonts w:asciiTheme="majorHAnsi" w:hAnsiTheme="majorHAnsi"/>
          <w:sz w:val="20"/>
          <w:szCs w:val="20"/>
          <w:lang w:val="es-ES"/>
        </w:rPr>
        <w:t>o</w:t>
      </w:r>
      <w:r w:rsidR="004C7436" w:rsidRPr="007E4AA8">
        <w:rPr>
          <w:rFonts w:asciiTheme="majorHAnsi" w:hAnsiTheme="majorHAnsi"/>
          <w:sz w:val="20"/>
          <w:szCs w:val="20"/>
          <w:lang w:val="es-ES"/>
        </w:rPr>
        <w:t xml:space="preserve"> a la comandancia, el subcomisario con quien iba “</w:t>
      </w:r>
      <w:r w:rsidR="003228EC" w:rsidRPr="007E4AA8">
        <w:rPr>
          <w:rFonts w:asciiTheme="majorHAnsi" w:hAnsiTheme="majorHAnsi"/>
          <w:sz w:val="20"/>
          <w:szCs w:val="20"/>
          <w:lang w:val="es-ES"/>
        </w:rPr>
        <w:t>[lo]</w:t>
      </w:r>
      <w:r w:rsidR="004C7436" w:rsidRPr="007E4AA8">
        <w:rPr>
          <w:rFonts w:asciiTheme="majorHAnsi" w:hAnsiTheme="majorHAnsi"/>
          <w:sz w:val="20"/>
          <w:szCs w:val="20"/>
          <w:lang w:val="es-ES"/>
        </w:rPr>
        <w:t xml:space="preserve"> bajó en la esquina Chile y Palma, donde </w:t>
      </w:r>
      <w:r w:rsidR="003228EC" w:rsidRPr="007E4AA8">
        <w:rPr>
          <w:rFonts w:asciiTheme="majorHAnsi" w:hAnsiTheme="majorHAnsi"/>
          <w:sz w:val="20"/>
          <w:szCs w:val="20"/>
          <w:lang w:val="es-ES"/>
        </w:rPr>
        <w:t>[se dirigió]</w:t>
      </w:r>
      <w:r w:rsidR="004C7436" w:rsidRPr="007E4AA8">
        <w:rPr>
          <w:rFonts w:asciiTheme="majorHAnsi" w:hAnsiTheme="majorHAnsi"/>
          <w:sz w:val="20"/>
          <w:szCs w:val="20"/>
          <w:lang w:val="es-ES"/>
        </w:rPr>
        <w:t xml:space="preserve"> a la comandancia a pie, viendo varias patrull</w:t>
      </w:r>
      <w:r w:rsidR="00FC3A14" w:rsidRPr="007E4AA8">
        <w:rPr>
          <w:rFonts w:asciiTheme="majorHAnsi" w:hAnsiTheme="majorHAnsi"/>
          <w:sz w:val="20"/>
          <w:szCs w:val="20"/>
          <w:lang w:val="es-ES"/>
        </w:rPr>
        <w:t>eras en las distintas comisarías cubriendo las bocacalles de acce</w:t>
      </w:r>
      <w:r w:rsidR="000B3EDC" w:rsidRPr="007E4AA8">
        <w:rPr>
          <w:rFonts w:asciiTheme="majorHAnsi" w:hAnsiTheme="majorHAnsi"/>
          <w:sz w:val="20"/>
          <w:szCs w:val="20"/>
          <w:lang w:val="es-ES"/>
        </w:rPr>
        <w:t>s</w:t>
      </w:r>
      <w:r w:rsidR="00FC3A14" w:rsidRPr="007E4AA8">
        <w:rPr>
          <w:rFonts w:asciiTheme="majorHAnsi" w:hAnsiTheme="majorHAnsi"/>
          <w:sz w:val="20"/>
          <w:szCs w:val="20"/>
          <w:lang w:val="es-ES"/>
        </w:rPr>
        <w:t>o hacia la comandancia y hacia el parlamento”</w:t>
      </w:r>
      <w:r w:rsidR="00E04519" w:rsidRPr="007E4AA8">
        <w:rPr>
          <w:rFonts w:asciiTheme="majorHAnsi" w:hAnsiTheme="majorHAnsi"/>
          <w:sz w:val="20"/>
          <w:szCs w:val="20"/>
          <w:lang w:val="es-ES"/>
        </w:rPr>
        <w:t>.</w:t>
      </w:r>
      <w:r w:rsidR="00F60608" w:rsidRPr="007E4AA8">
        <w:rPr>
          <w:rFonts w:asciiTheme="majorHAnsi" w:hAnsiTheme="majorHAnsi"/>
          <w:sz w:val="20"/>
          <w:szCs w:val="20"/>
          <w:lang w:val="es-ES"/>
        </w:rPr>
        <w:t xml:space="preserve"> </w:t>
      </w:r>
      <w:r w:rsidR="003228EC" w:rsidRPr="007E4AA8">
        <w:rPr>
          <w:rFonts w:asciiTheme="majorHAnsi" w:hAnsiTheme="majorHAnsi"/>
          <w:sz w:val="20"/>
          <w:szCs w:val="20"/>
          <w:lang w:val="es-ES"/>
        </w:rPr>
        <w:t>Tras ello,</w:t>
      </w:r>
      <w:r w:rsidR="008A5A0E" w:rsidRPr="007E4AA8">
        <w:rPr>
          <w:rFonts w:asciiTheme="majorHAnsi" w:hAnsiTheme="majorHAnsi"/>
          <w:sz w:val="20"/>
          <w:szCs w:val="20"/>
          <w:lang w:val="es-ES"/>
        </w:rPr>
        <w:t xml:space="preserve"> llegó a la comandancia</w:t>
      </w:r>
      <w:r w:rsidR="00FC3A14" w:rsidRPr="007E4AA8">
        <w:rPr>
          <w:rFonts w:asciiTheme="majorHAnsi" w:hAnsiTheme="majorHAnsi"/>
          <w:sz w:val="20"/>
          <w:szCs w:val="20"/>
          <w:lang w:val="es-ES"/>
        </w:rPr>
        <w:t xml:space="preserve"> y</w:t>
      </w:r>
      <w:r w:rsidR="003228EC" w:rsidRPr="007E4AA8">
        <w:rPr>
          <w:rFonts w:asciiTheme="majorHAnsi" w:hAnsiTheme="majorHAnsi"/>
          <w:sz w:val="20"/>
          <w:szCs w:val="20"/>
          <w:lang w:val="es-ES"/>
        </w:rPr>
        <w:t xml:space="preserve"> posteriormente</w:t>
      </w:r>
      <w:r w:rsidR="008A5A0E" w:rsidRPr="007E4AA8">
        <w:rPr>
          <w:rFonts w:asciiTheme="majorHAnsi" w:hAnsiTheme="majorHAnsi"/>
          <w:sz w:val="20"/>
          <w:szCs w:val="20"/>
          <w:lang w:val="es-ES"/>
        </w:rPr>
        <w:t xml:space="preserve"> </w:t>
      </w:r>
      <w:r w:rsidR="00FC3A14" w:rsidRPr="007E4AA8">
        <w:rPr>
          <w:rFonts w:asciiTheme="majorHAnsi" w:hAnsiTheme="majorHAnsi"/>
          <w:sz w:val="20"/>
          <w:szCs w:val="20"/>
          <w:lang w:val="es-ES"/>
        </w:rPr>
        <w:t>lleg</w:t>
      </w:r>
      <w:r w:rsidR="00AA4521" w:rsidRPr="007E4AA8">
        <w:rPr>
          <w:rFonts w:asciiTheme="majorHAnsi" w:hAnsiTheme="majorHAnsi"/>
          <w:sz w:val="20"/>
          <w:szCs w:val="20"/>
          <w:lang w:val="es-ES"/>
        </w:rPr>
        <w:t xml:space="preserve">ó </w:t>
      </w:r>
      <w:r w:rsidR="00FC3A14" w:rsidRPr="007E4AA8">
        <w:rPr>
          <w:rFonts w:asciiTheme="majorHAnsi" w:hAnsiTheme="majorHAnsi"/>
          <w:sz w:val="20"/>
          <w:szCs w:val="20"/>
          <w:lang w:val="es-ES"/>
        </w:rPr>
        <w:t xml:space="preserve">personal policial a detener al </w:t>
      </w:r>
      <w:r w:rsidR="003228EC" w:rsidRPr="007E4AA8">
        <w:rPr>
          <w:rFonts w:asciiTheme="majorHAnsi" w:hAnsiTheme="majorHAnsi"/>
          <w:sz w:val="20"/>
          <w:szCs w:val="20"/>
          <w:lang w:val="es-ES"/>
        </w:rPr>
        <w:t>C</w:t>
      </w:r>
      <w:r w:rsidR="00FC3A14" w:rsidRPr="007E4AA8">
        <w:rPr>
          <w:rFonts w:asciiTheme="majorHAnsi" w:hAnsiTheme="majorHAnsi"/>
          <w:sz w:val="20"/>
          <w:szCs w:val="20"/>
          <w:lang w:val="es-ES"/>
        </w:rPr>
        <w:t xml:space="preserve">omisario Cáceres. </w:t>
      </w:r>
      <w:r w:rsidR="005C6B23" w:rsidRPr="007E4AA8">
        <w:rPr>
          <w:rFonts w:asciiTheme="majorHAnsi" w:hAnsiTheme="majorHAnsi"/>
          <w:sz w:val="20"/>
          <w:szCs w:val="20"/>
          <w:lang w:val="es-ES"/>
        </w:rPr>
        <w:t>Posteriormente</w:t>
      </w:r>
      <w:r w:rsidR="00FC3A14" w:rsidRPr="007E4AA8">
        <w:rPr>
          <w:rFonts w:asciiTheme="majorHAnsi" w:hAnsiTheme="majorHAnsi"/>
          <w:sz w:val="20"/>
          <w:szCs w:val="20"/>
          <w:lang w:val="es-ES"/>
        </w:rPr>
        <w:t>, un tanque llegó a la comandancia, dando orden de abrir las puertas bajo amenaza de disparar. Tras dicha situación la presunta víctima se retir</w:t>
      </w:r>
      <w:r w:rsidR="00AA4521" w:rsidRPr="007E4AA8">
        <w:rPr>
          <w:rFonts w:asciiTheme="majorHAnsi" w:hAnsiTheme="majorHAnsi"/>
          <w:sz w:val="20"/>
          <w:szCs w:val="20"/>
          <w:lang w:val="es-ES"/>
        </w:rPr>
        <w:t>ó del lugar hacia</w:t>
      </w:r>
      <w:r w:rsidR="00FC3A14" w:rsidRPr="007E4AA8">
        <w:rPr>
          <w:rFonts w:asciiTheme="majorHAnsi" w:hAnsiTheme="majorHAnsi"/>
          <w:sz w:val="20"/>
          <w:szCs w:val="20"/>
          <w:lang w:val="es-ES"/>
        </w:rPr>
        <w:t xml:space="preserve"> a su domicilio</w:t>
      </w:r>
      <w:r w:rsidR="007C6234" w:rsidRPr="007E4AA8">
        <w:rPr>
          <w:rFonts w:asciiTheme="majorHAnsi" w:hAnsiTheme="majorHAnsi"/>
          <w:sz w:val="20"/>
          <w:szCs w:val="20"/>
          <w:lang w:val="es-ES"/>
        </w:rPr>
        <w:t>.</w:t>
      </w:r>
      <w:r w:rsidRPr="007E4AA8">
        <w:rPr>
          <w:rFonts w:asciiTheme="majorHAnsi" w:hAnsiTheme="majorHAnsi"/>
          <w:sz w:val="20"/>
          <w:szCs w:val="20"/>
          <w:lang w:val="es-ES"/>
        </w:rPr>
        <w:t xml:space="preserve"> A</w:t>
      </w:r>
      <w:r w:rsidR="00915F6C" w:rsidRPr="007E4AA8">
        <w:rPr>
          <w:rFonts w:asciiTheme="majorHAnsi" w:hAnsiTheme="majorHAnsi"/>
          <w:sz w:val="20"/>
          <w:szCs w:val="20"/>
          <w:lang w:val="es-ES"/>
        </w:rPr>
        <w:t>l día siguiente</w:t>
      </w:r>
      <w:r w:rsidR="00081F93" w:rsidRPr="007E4AA8">
        <w:rPr>
          <w:rFonts w:asciiTheme="majorHAnsi" w:hAnsiTheme="majorHAnsi"/>
          <w:sz w:val="20"/>
          <w:szCs w:val="20"/>
          <w:lang w:val="es-ES"/>
        </w:rPr>
        <w:t>,</w:t>
      </w:r>
      <w:r w:rsidR="009A4120" w:rsidRPr="007E4AA8">
        <w:rPr>
          <w:rFonts w:asciiTheme="majorHAnsi" w:hAnsiTheme="majorHAnsi"/>
          <w:sz w:val="20"/>
          <w:szCs w:val="20"/>
          <w:lang w:val="es-ES"/>
        </w:rPr>
        <w:t xml:space="preserve"> </w:t>
      </w:r>
      <w:r w:rsidR="00915F6C" w:rsidRPr="007E4AA8">
        <w:rPr>
          <w:rFonts w:asciiTheme="majorHAnsi" w:hAnsiTheme="majorHAnsi"/>
          <w:sz w:val="20"/>
          <w:szCs w:val="20"/>
          <w:lang w:val="es-ES"/>
        </w:rPr>
        <w:t>la presunta víctima se dirig</w:t>
      </w:r>
      <w:r w:rsidR="00AA4521" w:rsidRPr="007E4AA8">
        <w:rPr>
          <w:rFonts w:asciiTheme="majorHAnsi" w:hAnsiTheme="majorHAnsi"/>
          <w:sz w:val="20"/>
          <w:szCs w:val="20"/>
          <w:lang w:val="es-ES"/>
        </w:rPr>
        <w:t>ió</w:t>
      </w:r>
      <w:r w:rsidR="00915F6C" w:rsidRPr="007E4AA8">
        <w:rPr>
          <w:rFonts w:asciiTheme="majorHAnsi" w:hAnsiTheme="majorHAnsi"/>
          <w:sz w:val="20"/>
          <w:szCs w:val="20"/>
          <w:lang w:val="es-ES"/>
        </w:rPr>
        <w:t xml:space="preserve"> a su trabajo</w:t>
      </w:r>
      <w:r w:rsidR="00AA4521" w:rsidRPr="007E4AA8">
        <w:rPr>
          <w:rFonts w:asciiTheme="majorHAnsi" w:hAnsiTheme="majorHAnsi"/>
          <w:sz w:val="20"/>
          <w:szCs w:val="20"/>
          <w:lang w:val="es-ES"/>
        </w:rPr>
        <w:t>,</w:t>
      </w:r>
      <w:r w:rsidR="00915F6C" w:rsidRPr="007E4AA8">
        <w:rPr>
          <w:rFonts w:asciiTheme="majorHAnsi" w:hAnsiTheme="majorHAnsi"/>
          <w:sz w:val="20"/>
          <w:szCs w:val="20"/>
          <w:lang w:val="es-ES"/>
        </w:rPr>
        <w:t xml:space="preserve"> </w:t>
      </w:r>
      <w:r w:rsidR="00F40389" w:rsidRPr="007E4AA8">
        <w:rPr>
          <w:rFonts w:asciiTheme="majorHAnsi" w:hAnsiTheme="majorHAnsi"/>
          <w:sz w:val="20"/>
          <w:szCs w:val="20"/>
          <w:lang w:val="es-ES"/>
        </w:rPr>
        <w:t xml:space="preserve">donde fue </w:t>
      </w:r>
      <w:r w:rsidR="00915F6C" w:rsidRPr="007E4AA8">
        <w:rPr>
          <w:rFonts w:asciiTheme="majorHAnsi" w:hAnsiTheme="majorHAnsi"/>
          <w:sz w:val="20"/>
          <w:szCs w:val="20"/>
          <w:lang w:val="es-ES"/>
        </w:rPr>
        <w:t>llamad</w:t>
      </w:r>
      <w:r w:rsidR="00F40389" w:rsidRPr="007E4AA8">
        <w:rPr>
          <w:rFonts w:asciiTheme="majorHAnsi" w:hAnsiTheme="majorHAnsi"/>
          <w:sz w:val="20"/>
          <w:szCs w:val="20"/>
          <w:lang w:val="es-ES"/>
        </w:rPr>
        <w:t>o</w:t>
      </w:r>
      <w:r w:rsidR="00915F6C" w:rsidRPr="007E4AA8">
        <w:rPr>
          <w:rFonts w:asciiTheme="majorHAnsi" w:hAnsiTheme="majorHAnsi"/>
          <w:sz w:val="20"/>
          <w:szCs w:val="20"/>
          <w:lang w:val="es-ES"/>
        </w:rPr>
        <w:t xml:space="preserve"> a presentarse a la </w:t>
      </w:r>
      <w:r w:rsidR="00915F6C" w:rsidRPr="007E4AA8">
        <w:rPr>
          <w:rFonts w:ascii="Cambria" w:hAnsi="Cambria"/>
          <w:sz w:val="20"/>
          <w:szCs w:val="20"/>
          <w:lang w:val="es-ES"/>
        </w:rPr>
        <w:t xml:space="preserve">Comisaría 11 Metropolitana, junto a otro comisario, siendo trasladados </w:t>
      </w:r>
      <w:r w:rsidR="00FA2FDE" w:rsidRPr="007E4AA8">
        <w:rPr>
          <w:rFonts w:ascii="Cambria" w:hAnsi="Cambria"/>
          <w:sz w:val="20"/>
          <w:szCs w:val="20"/>
          <w:lang w:val="es-ES"/>
        </w:rPr>
        <w:t>en una camioneta propiedad de la policía</w:t>
      </w:r>
      <w:r w:rsidR="00FA2FDE" w:rsidRPr="007E4AA8">
        <w:rPr>
          <w:rStyle w:val="FootnoteReference"/>
          <w:rFonts w:asciiTheme="majorHAnsi" w:hAnsiTheme="majorHAnsi"/>
          <w:sz w:val="20"/>
          <w:szCs w:val="20"/>
          <w:lang w:val="es-ES"/>
        </w:rPr>
        <w:footnoteReference w:id="5"/>
      </w:r>
      <w:r w:rsidR="00FA2FDE" w:rsidRPr="007E4AA8">
        <w:rPr>
          <w:rFonts w:ascii="Cambria" w:hAnsi="Cambria"/>
          <w:sz w:val="20"/>
          <w:szCs w:val="20"/>
          <w:lang w:val="es-ES"/>
        </w:rPr>
        <w:t xml:space="preserve">. </w:t>
      </w:r>
    </w:p>
    <w:p w14:paraId="058EC457" w14:textId="77777777" w:rsidR="00915F6C" w:rsidRPr="007E4AA8" w:rsidRDefault="00915F6C" w:rsidP="00B24F71">
      <w:pPr>
        <w:pStyle w:val="ListParagraph"/>
        <w:rPr>
          <w:color w:val="auto"/>
        </w:rPr>
      </w:pPr>
    </w:p>
    <w:p w14:paraId="510EE850" w14:textId="77777777" w:rsidR="00B111A9" w:rsidRPr="007E4AA8" w:rsidRDefault="0065716F" w:rsidP="00B111A9">
      <w:pPr>
        <w:numPr>
          <w:ilvl w:val="0"/>
          <w:numId w:val="55"/>
        </w:numPr>
        <w:tabs>
          <w:tab w:val="left" w:pos="360"/>
        </w:tabs>
        <w:ind w:left="0" w:firstLine="0"/>
        <w:jc w:val="both"/>
        <w:rPr>
          <w:rFonts w:asciiTheme="majorHAnsi" w:hAnsiTheme="majorHAnsi"/>
          <w:sz w:val="20"/>
          <w:szCs w:val="20"/>
          <w:lang w:val="es-ES"/>
        </w:rPr>
      </w:pPr>
      <w:r w:rsidRPr="007E4AA8">
        <w:rPr>
          <w:rFonts w:ascii="Cambria" w:hAnsi="Cambria"/>
          <w:sz w:val="20"/>
          <w:szCs w:val="20"/>
          <w:lang w:val="es-ES"/>
        </w:rPr>
        <w:t xml:space="preserve">Conforme se consigna en </w:t>
      </w:r>
      <w:r w:rsidR="00F40389" w:rsidRPr="007E4AA8">
        <w:rPr>
          <w:rFonts w:ascii="Cambria" w:hAnsi="Cambria"/>
          <w:sz w:val="20"/>
          <w:szCs w:val="20"/>
          <w:lang w:val="es-ES"/>
        </w:rPr>
        <w:t xml:space="preserve">el </w:t>
      </w:r>
      <w:r w:rsidR="002939C6" w:rsidRPr="007E4AA8">
        <w:rPr>
          <w:rFonts w:ascii="Cambria" w:hAnsi="Cambria"/>
          <w:sz w:val="20"/>
          <w:szCs w:val="20"/>
          <w:lang w:val="es-ES"/>
        </w:rPr>
        <w:t xml:space="preserve">escrito de </w:t>
      </w:r>
      <w:r w:rsidRPr="007E4AA8">
        <w:rPr>
          <w:rFonts w:ascii="Cambria" w:hAnsi="Cambria"/>
          <w:sz w:val="20"/>
          <w:szCs w:val="20"/>
          <w:lang w:val="es-ES"/>
        </w:rPr>
        <w:t xml:space="preserve">acusación fiscal, </w:t>
      </w:r>
      <w:r w:rsidR="001F4353" w:rsidRPr="007E4AA8">
        <w:rPr>
          <w:rFonts w:ascii="Cambria" w:hAnsi="Cambria"/>
          <w:sz w:val="20"/>
          <w:szCs w:val="20"/>
          <w:lang w:val="es-ES"/>
        </w:rPr>
        <w:t>luego “del supuesto intento de golpe de Estado ocurrido el 18 de mayo de 2000 (…) varias personas fueron detenidas por el Estado de Excepción dispuesto por el Poder Ejecutivo</w:t>
      </w:r>
      <w:r w:rsidR="00A36C87" w:rsidRPr="007E4AA8">
        <w:rPr>
          <w:rFonts w:ascii="Cambria" w:hAnsi="Cambria"/>
          <w:sz w:val="20"/>
          <w:szCs w:val="20"/>
          <w:lang w:val="es-ES"/>
        </w:rPr>
        <w:t xml:space="preserve">” entre las cuales estaba el oficial inspector Jorge </w:t>
      </w:r>
      <w:r w:rsidR="00FE6200" w:rsidRPr="007E4AA8">
        <w:rPr>
          <w:rFonts w:ascii="Cambria" w:hAnsi="Cambria"/>
          <w:sz w:val="20"/>
          <w:szCs w:val="20"/>
          <w:lang w:val="es-ES"/>
        </w:rPr>
        <w:t>López</w:t>
      </w:r>
      <w:r w:rsidR="00A36C87" w:rsidRPr="007E4AA8">
        <w:rPr>
          <w:rFonts w:ascii="Cambria" w:hAnsi="Cambria"/>
          <w:sz w:val="20"/>
          <w:szCs w:val="20"/>
          <w:lang w:val="es-ES"/>
        </w:rPr>
        <w:t xml:space="preserve">, quien </w:t>
      </w:r>
      <w:r w:rsidR="00FE6200" w:rsidRPr="007E4AA8">
        <w:rPr>
          <w:rFonts w:ascii="Cambria" w:hAnsi="Cambria"/>
          <w:sz w:val="20"/>
          <w:szCs w:val="20"/>
          <w:lang w:val="es-ES"/>
        </w:rPr>
        <w:t>inform</w:t>
      </w:r>
      <w:r w:rsidR="00AA4521" w:rsidRPr="007E4AA8">
        <w:rPr>
          <w:rFonts w:ascii="Cambria" w:hAnsi="Cambria"/>
          <w:sz w:val="20"/>
          <w:szCs w:val="20"/>
          <w:lang w:val="es-ES"/>
        </w:rPr>
        <w:t>ó</w:t>
      </w:r>
      <w:r w:rsidR="00A36C87" w:rsidRPr="007E4AA8">
        <w:rPr>
          <w:rFonts w:ascii="Cambria" w:hAnsi="Cambria"/>
          <w:sz w:val="20"/>
          <w:szCs w:val="20"/>
          <w:lang w:val="es-ES"/>
        </w:rPr>
        <w:t xml:space="preserve"> a agentes fiscales sobre los apremios de los que fue objeto durante su detención. </w:t>
      </w:r>
      <w:r w:rsidR="00FE6200" w:rsidRPr="007E4AA8">
        <w:rPr>
          <w:rFonts w:asciiTheme="majorHAnsi" w:hAnsiTheme="majorHAnsi"/>
          <w:sz w:val="20"/>
          <w:szCs w:val="20"/>
          <w:lang w:val="es-ES"/>
        </w:rPr>
        <w:t>E</w:t>
      </w:r>
      <w:r w:rsidR="00B65DC1" w:rsidRPr="007E4AA8">
        <w:rPr>
          <w:rFonts w:ascii="Cambria" w:hAnsi="Cambria"/>
          <w:sz w:val="20"/>
          <w:szCs w:val="20"/>
          <w:lang w:val="es-ES"/>
        </w:rPr>
        <w:t>l</w:t>
      </w:r>
      <w:r w:rsidR="00CF3E83" w:rsidRPr="007E4AA8">
        <w:rPr>
          <w:rFonts w:ascii="Cambria" w:hAnsi="Cambria"/>
          <w:sz w:val="20"/>
          <w:szCs w:val="20"/>
          <w:lang w:val="es-ES"/>
        </w:rPr>
        <w:t xml:space="preserve"> 19 de mayo de 2000, el señor Jorge </w:t>
      </w:r>
      <w:r w:rsidR="00FE6200" w:rsidRPr="007E4AA8">
        <w:rPr>
          <w:rFonts w:ascii="Cambria" w:hAnsi="Cambria"/>
          <w:sz w:val="20"/>
          <w:szCs w:val="20"/>
          <w:lang w:val="es-ES"/>
        </w:rPr>
        <w:t>López</w:t>
      </w:r>
      <w:r w:rsidR="00CF3E83" w:rsidRPr="007E4AA8">
        <w:rPr>
          <w:rFonts w:ascii="Cambria" w:hAnsi="Cambria"/>
          <w:sz w:val="20"/>
          <w:szCs w:val="20"/>
          <w:lang w:val="es-ES"/>
        </w:rPr>
        <w:t xml:space="preserve"> “fue trasladado</w:t>
      </w:r>
      <w:r w:rsidR="00FE6200" w:rsidRPr="007E4AA8">
        <w:rPr>
          <w:rFonts w:ascii="Cambria" w:hAnsi="Cambria"/>
          <w:sz w:val="20"/>
          <w:szCs w:val="20"/>
          <w:lang w:val="es-ES"/>
        </w:rPr>
        <w:t xml:space="preserve"> por órdenes del Comisario General</w:t>
      </w:r>
      <w:r w:rsidR="00CF3E83" w:rsidRPr="007E4AA8">
        <w:rPr>
          <w:rFonts w:ascii="Cambria" w:hAnsi="Cambria"/>
          <w:sz w:val="20"/>
          <w:szCs w:val="20"/>
          <w:lang w:val="es-ES"/>
        </w:rPr>
        <w:t xml:space="preserve"> (…) a la Comisaría 11 </w:t>
      </w:r>
      <w:r w:rsidR="00B43F52" w:rsidRPr="007E4AA8">
        <w:rPr>
          <w:rFonts w:ascii="Cambria" w:hAnsi="Cambria"/>
          <w:sz w:val="20"/>
          <w:szCs w:val="20"/>
          <w:lang w:val="es-ES"/>
        </w:rPr>
        <w:t>Metropolitana</w:t>
      </w:r>
      <w:r w:rsidR="00CF3E83" w:rsidRPr="007E4AA8">
        <w:rPr>
          <w:rFonts w:ascii="Cambria" w:hAnsi="Cambria"/>
          <w:sz w:val="20"/>
          <w:szCs w:val="20"/>
          <w:lang w:val="es-ES"/>
        </w:rPr>
        <w:t xml:space="preserve"> (…) llegando a la mencionada Comisaría entre las ocho y las nueve de la mañana”</w:t>
      </w:r>
      <w:r w:rsidR="00B75D50" w:rsidRPr="007E4AA8">
        <w:rPr>
          <w:rFonts w:ascii="Cambria" w:hAnsi="Cambria"/>
          <w:sz w:val="20"/>
          <w:szCs w:val="20"/>
          <w:lang w:val="es-ES"/>
        </w:rPr>
        <w:t xml:space="preserve">, donde habría sido conducido al despacho del Comisario Basilio </w:t>
      </w:r>
      <w:r w:rsidR="00FE6200" w:rsidRPr="007E4AA8">
        <w:rPr>
          <w:rFonts w:ascii="Cambria" w:hAnsi="Cambria"/>
          <w:sz w:val="20"/>
          <w:szCs w:val="20"/>
          <w:lang w:val="es-ES"/>
        </w:rPr>
        <w:t>Pavón, siendo que éste último comenta que “López tuvo participación en la intentona de golpe de Estado la noche anterior”</w:t>
      </w:r>
      <w:r w:rsidR="00027754" w:rsidRPr="007E4AA8">
        <w:rPr>
          <w:rStyle w:val="FootnoteReference"/>
          <w:rFonts w:ascii="Cambria" w:hAnsi="Cambria"/>
          <w:sz w:val="20"/>
          <w:szCs w:val="20"/>
          <w:lang w:val="es-ES"/>
        </w:rPr>
        <w:footnoteReference w:id="6"/>
      </w:r>
      <w:r w:rsidR="00B75D50" w:rsidRPr="007E4AA8">
        <w:rPr>
          <w:rFonts w:ascii="Cambria" w:hAnsi="Cambria"/>
          <w:sz w:val="20"/>
          <w:szCs w:val="20"/>
          <w:lang w:val="es-ES"/>
        </w:rPr>
        <w:t xml:space="preserve">. </w:t>
      </w:r>
    </w:p>
    <w:p w14:paraId="43F3336F" w14:textId="77777777" w:rsidR="00B111A9" w:rsidRPr="007E4AA8" w:rsidRDefault="00B111A9" w:rsidP="00B24F71">
      <w:pPr>
        <w:pStyle w:val="ListParagraph"/>
        <w:rPr>
          <w:color w:val="auto"/>
        </w:rPr>
      </w:pPr>
    </w:p>
    <w:p w14:paraId="6408F227" w14:textId="77777777" w:rsidR="00471488" w:rsidRPr="007E4AA8" w:rsidRDefault="000B3EDC" w:rsidP="00B111A9">
      <w:pPr>
        <w:numPr>
          <w:ilvl w:val="0"/>
          <w:numId w:val="55"/>
        </w:numPr>
        <w:tabs>
          <w:tab w:val="left" w:pos="360"/>
        </w:tabs>
        <w:ind w:left="0" w:firstLine="0"/>
        <w:jc w:val="both"/>
        <w:rPr>
          <w:rFonts w:asciiTheme="majorHAnsi" w:hAnsiTheme="majorHAnsi"/>
          <w:sz w:val="20"/>
          <w:szCs w:val="20"/>
          <w:lang w:val="es-ES"/>
        </w:rPr>
      </w:pPr>
      <w:r w:rsidRPr="007E4AA8">
        <w:rPr>
          <w:rFonts w:ascii="Cambria" w:hAnsi="Cambria"/>
          <w:sz w:val="20"/>
          <w:szCs w:val="20"/>
          <w:lang w:val="es-ES"/>
        </w:rPr>
        <w:t>Conforme al escrito de acusación fiscal</w:t>
      </w:r>
      <w:r w:rsidR="004E0AC0" w:rsidRPr="007E4AA8">
        <w:rPr>
          <w:rFonts w:ascii="Cambria" w:hAnsi="Cambria"/>
          <w:sz w:val="20"/>
          <w:szCs w:val="20"/>
          <w:lang w:val="es-ES"/>
        </w:rPr>
        <w:t>, l</w:t>
      </w:r>
      <w:r w:rsidR="005C2422" w:rsidRPr="007E4AA8">
        <w:rPr>
          <w:rFonts w:ascii="Cambria" w:hAnsi="Cambria"/>
          <w:sz w:val="20"/>
          <w:szCs w:val="20"/>
          <w:lang w:val="es-ES"/>
        </w:rPr>
        <w:t xml:space="preserve">a presunta víctima fue </w:t>
      </w:r>
      <w:r w:rsidR="005C2422" w:rsidRPr="007E4AA8">
        <w:rPr>
          <w:rFonts w:asciiTheme="majorHAnsi" w:hAnsiTheme="majorHAnsi"/>
          <w:sz w:val="20"/>
          <w:szCs w:val="20"/>
          <w:lang w:val="es-ES"/>
        </w:rPr>
        <w:t xml:space="preserve">despojada </w:t>
      </w:r>
      <w:r w:rsidR="00B75D50" w:rsidRPr="007E4AA8">
        <w:rPr>
          <w:rFonts w:ascii="Cambria" w:hAnsi="Cambria"/>
          <w:sz w:val="20"/>
          <w:szCs w:val="20"/>
          <w:lang w:val="es-ES"/>
        </w:rPr>
        <w:t xml:space="preserve">de su arma reglamentaria y </w:t>
      </w:r>
      <w:r w:rsidR="005C2422" w:rsidRPr="007E4AA8">
        <w:rPr>
          <w:rFonts w:ascii="Cambria" w:hAnsi="Cambria"/>
          <w:sz w:val="20"/>
          <w:szCs w:val="20"/>
          <w:lang w:val="es-ES"/>
        </w:rPr>
        <w:t>esposada con las manos hacia atrás</w:t>
      </w:r>
      <w:r w:rsidR="00B75D50" w:rsidRPr="007E4AA8">
        <w:rPr>
          <w:rFonts w:ascii="Cambria" w:hAnsi="Cambria"/>
          <w:sz w:val="20"/>
          <w:szCs w:val="20"/>
          <w:lang w:val="es-ES"/>
        </w:rPr>
        <w:t xml:space="preserve">, vendándole los ojos con papel </w:t>
      </w:r>
      <w:r w:rsidR="005C2422" w:rsidRPr="007E4AA8">
        <w:rPr>
          <w:rFonts w:ascii="Cambria" w:hAnsi="Cambria"/>
          <w:sz w:val="20"/>
          <w:szCs w:val="20"/>
          <w:lang w:val="es-ES"/>
        </w:rPr>
        <w:t xml:space="preserve">de diario </w:t>
      </w:r>
      <w:r w:rsidR="00B75D50" w:rsidRPr="007E4AA8">
        <w:rPr>
          <w:rFonts w:ascii="Cambria" w:hAnsi="Cambria"/>
          <w:sz w:val="20"/>
          <w:szCs w:val="20"/>
          <w:lang w:val="es-ES"/>
        </w:rPr>
        <w:t xml:space="preserve">y cinta de embalaje. </w:t>
      </w:r>
      <w:r w:rsidR="005C2422" w:rsidRPr="007E4AA8">
        <w:rPr>
          <w:rFonts w:ascii="Cambria" w:hAnsi="Cambria"/>
          <w:sz w:val="20"/>
          <w:szCs w:val="20"/>
          <w:lang w:val="es-ES"/>
        </w:rPr>
        <w:t>La presunta víctima habría sido tirada al suelo boca abajo y golpeada en la planta de los pies, en circunstancias que en las referidas dependencias se encontrarían varios agentes policiales.</w:t>
      </w:r>
      <w:r w:rsidR="00471488" w:rsidRPr="007E4AA8">
        <w:rPr>
          <w:rFonts w:ascii="Cambria" w:hAnsi="Cambria"/>
          <w:sz w:val="20"/>
          <w:szCs w:val="20"/>
          <w:lang w:val="es-ES"/>
        </w:rPr>
        <w:t xml:space="preserve"> Esta versión fue aseverada por el señor López</w:t>
      </w:r>
      <w:r w:rsidR="002E3461" w:rsidRPr="007E4AA8">
        <w:rPr>
          <w:rFonts w:ascii="Cambria" w:hAnsi="Cambria"/>
          <w:sz w:val="20"/>
          <w:szCs w:val="20"/>
          <w:lang w:val="es-ES"/>
        </w:rPr>
        <w:t>,</w:t>
      </w:r>
      <w:r w:rsidR="00471488" w:rsidRPr="007E4AA8">
        <w:rPr>
          <w:rFonts w:ascii="Cambria" w:hAnsi="Cambria"/>
          <w:sz w:val="20"/>
          <w:szCs w:val="20"/>
          <w:lang w:val="es-ES"/>
        </w:rPr>
        <w:t xml:space="preserve"> </w:t>
      </w:r>
      <w:r w:rsidR="002E3461" w:rsidRPr="007E4AA8">
        <w:rPr>
          <w:rFonts w:ascii="Cambria" w:hAnsi="Cambria"/>
          <w:sz w:val="20"/>
          <w:szCs w:val="20"/>
          <w:lang w:val="es-ES"/>
        </w:rPr>
        <w:t>y</w:t>
      </w:r>
      <w:r w:rsidR="00471488" w:rsidRPr="007E4AA8">
        <w:rPr>
          <w:rFonts w:ascii="Cambria" w:hAnsi="Cambria"/>
          <w:sz w:val="20"/>
          <w:szCs w:val="20"/>
          <w:lang w:val="es-ES"/>
        </w:rPr>
        <w:t xml:space="preserve"> por otros testimonios referidos en la acusación fiscal.</w:t>
      </w:r>
      <w:r w:rsidR="005C2422" w:rsidRPr="007E4AA8">
        <w:rPr>
          <w:rFonts w:ascii="Cambria" w:hAnsi="Cambria"/>
          <w:sz w:val="20"/>
          <w:szCs w:val="20"/>
          <w:lang w:val="es-ES"/>
        </w:rPr>
        <w:t xml:space="preserve"> De acuerdo </w:t>
      </w:r>
      <w:r w:rsidR="00A81414" w:rsidRPr="007E4AA8">
        <w:rPr>
          <w:rFonts w:ascii="Cambria" w:hAnsi="Cambria"/>
          <w:sz w:val="20"/>
          <w:szCs w:val="20"/>
          <w:lang w:val="es-ES"/>
        </w:rPr>
        <w:t>con</w:t>
      </w:r>
      <w:r w:rsidR="005C2422" w:rsidRPr="007E4AA8">
        <w:rPr>
          <w:rFonts w:ascii="Cambria" w:hAnsi="Cambria"/>
          <w:sz w:val="20"/>
          <w:szCs w:val="20"/>
          <w:lang w:val="es-ES"/>
        </w:rPr>
        <w:t xml:space="preserve"> la declaración de</w:t>
      </w:r>
      <w:r w:rsidR="002E3461" w:rsidRPr="007E4AA8">
        <w:rPr>
          <w:rFonts w:ascii="Cambria" w:hAnsi="Cambria"/>
          <w:sz w:val="20"/>
          <w:szCs w:val="20"/>
          <w:lang w:val="es-ES"/>
        </w:rPr>
        <w:t xml:space="preserve"> Jorge </w:t>
      </w:r>
      <w:r w:rsidR="00721D0A" w:rsidRPr="007E4AA8">
        <w:rPr>
          <w:rFonts w:ascii="Cambria" w:hAnsi="Cambria"/>
          <w:sz w:val="20"/>
          <w:szCs w:val="20"/>
          <w:lang w:val="es-ES"/>
        </w:rPr>
        <w:t>López</w:t>
      </w:r>
      <w:r w:rsidR="005C2422" w:rsidRPr="007E4AA8">
        <w:rPr>
          <w:rFonts w:ascii="Cambria" w:hAnsi="Cambria"/>
          <w:sz w:val="20"/>
          <w:szCs w:val="20"/>
          <w:lang w:val="es-ES"/>
        </w:rPr>
        <w:t>,</w:t>
      </w:r>
      <w:r w:rsidR="00E0766E" w:rsidRPr="007E4AA8">
        <w:rPr>
          <w:rFonts w:ascii="Cambria" w:hAnsi="Cambria"/>
          <w:sz w:val="20"/>
          <w:szCs w:val="20"/>
          <w:lang w:val="es-ES"/>
        </w:rPr>
        <w:t xml:space="preserve"> tanto </w:t>
      </w:r>
      <w:r w:rsidR="00252EF2" w:rsidRPr="007E4AA8">
        <w:rPr>
          <w:rFonts w:ascii="Cambria" w:hAnsi="Cambria"/>
          <w:sz w:val="20"/>
          <w:szCs w:val="20"/>
          <w:lang w:val="es-ES"/>
        </w:rPr>
        <w:t>é</w:t>
      </w:r>
      <w:r w:rsidR="00E0766E" w:rsidRPr="007E4AA8">
        <w:rPr>
          <w:rFonts w:ascii="Cambria" w:hAnsi="Cambria"/>
          <w:sz w:val="20"/>
          <w:szCs w:val="20"/>
          <w:lang w:val="es-ES"/>
        </w:rPr>
        <w:t xml:space="preserve">l como otras personas se encontraban detenidas en las dependencias policiales. </w:t>
      </w:r>
      <w:r w:rsidR="00721D0A" w:rsidRPr="007E4AA8">
        <w:rPr>
          <w:rFonts w:ascii="Cambria" w:hAnsi="Cambria"/>
          <w:sz w:val="20"/>
          <w:szCs w:val="20"/>
          <w:lang w:val="es-ES"/>
        </w:rPr>
        <w:t>R</w:t>
      </w:r>
      <w:r w:rsidR="00E0766E" w:rsidRPr="007E4AA8">
        <w:rPr>
          <w:rFonts w:ascii="Cambria" w:hAnsi="Cambria"/>
          <w:sz w:val="20"/>
          <w:szCs w:val="20"/>
          <w:lang w:val="es-ES"/>
        </w:rPr>
        <w:t>efirió que fue interrogado sobre el supuesto golpe, y que un oficial sac</w:t>
      </w:r>
      <w:r w:rsidR="00252EF2" w:rsidRPr="007E4AA8">
        <w:rPr>
          <w:rFonts w:ascii="Cambria" w:hAnsi="Cambria"/>
          <w:sz w:val="20"/>
          <w:szCs w:val="20"/>
          <w:lang w:val="es-ES"/>
        </w:rPr>
        <w:t>ó</w:t>
      </w:r>
      <w:r w:rsidR="00E0766E" w:rsidRPr="007E4AA8">
        <w:rPr>
          <w:rFonts w:ascii="Cambria" w:hAnsi="Cambria"/>
          <w:sz w:val="20"/>
          <w:szCs w:val="20"/>
          <w:lang w:val="es-ES"/>
        </w:rPr>
        <w:t xml:space="preserve"> un cuchillo que el señor López tenía en su cinturón, y rompió el uniforme que llevaba puesto. </w:t>
      </w:r>
      <w:r w:rsidR="00721D0A" w:rsidRPr="007E4AA8">
        <w:rPr>
          <w:rFonts w:ascii="Cambria" w:hAnsi="Cambria"/>
          <w:sz w:val="20"/>
          <w:szCs w:val="20"/>
          <w:lang w:val="es-ES"/>
        </w:rPr>
        <w:t>Indicó</w:t>
      </w:r>
      <w:r w:rsidR="00E0766E" w:rsidRPr="007E4AA8">
        <w:rPr>
          <w:rFonts w:ascii="Cambria" w:hAnsi="Cambria"/>
          <w:sz w:val="20"/>
          <w:szCs w:val="20"/>
          <w:lang w:val="es-ES"/>
        </w:rPr>
        <w:t xml:space="preserve"> que recibió golpes toda la mañana. </w:t>
      </w:r>
      <w:r w:rsidR="00B75D50" w:rsidRPr="007E4AA8">
        <w:rPr>
          <w:rFonts w:ascii="Cambria" w:hAnsi="Cambria"/>
          <w:sz w:val="20"/>
          <w:szCs w:val="20"/>
          <w:lang w:val="es-ES"/>
        </w:rPr>
        <w:t xml:space="preserve">Esta declaración habría sido confirmada por otros oficiales que se encontraban en la Comisaría 11 Metropolitana y que habrían </w:t>
      </w:r>
      <w:r w:rsidR="00E13E2B" w:rsidRPr="007E4AA8">
        <w:rPr>
          <w:rFonts w:ascii="Cambria" w:hAnsi="Cambria"/>
          <w:sz w:val="20"/>
          <w:szCs w:val="20"/>
          <w:lang w:val="es-ES"/>
        </w:rPr>
        <w:t xml:space="preserve">podido </w:t>
      </w:r>
      <w:r w:rsidR="00E13E2B" w:rsidRPr="007E4AA8">
        <w:rPr>
          <w:rFonts w:asciiTheme="majorHAnsi" w:hAnsiTheme="majorHAnsi"/>
          <w:sz w:val="20"/>
          <w:szCs w:val="20"/>
          <w:lang w:val="es-ES"/>
        </w:rPr>
        <w:t>observar “[</w:t>
      </w:r>
      <w:r w:rsidR="004E0AC0" w:rsidRPr="007E4AA8">
        <w:rPr>
          <w:rFonts w:asciiTheme="majorHAnsi" w:hAnsiTheme="majorHAnsi"/>
          <w:sz w:val="20"/>
          <w:szCs w:val="20"/>
          <w:lang w:val="es-ES"/>
        </w:rPr>
        <w:t>al señor López</w:t>
      </w:r>
      <w:r w:rsidR="00E13E2B" w:rsidRPr="007E4AA8">
        <w:rPr>
          <w:rFonts w:asciiTheme="majorHAnsi" w:hAnsiTheme="majorHAnsi"/>
          <w:sz w:val="20"/>
          <w:szCs w:val="20"/>
          <w:lang w:val="es-ES"/>
        </w:rPr>
        <w:t>] esposa[do], con los ojos vendados con diario y cinta de embalaje, siendo golpead[o] en la planta de los pies con cachiporra de goma”</w:t>
      </w:r>
      <w:r w:rsidR="003E7DF0" w:rsidRPr="007E4AA8">
        <w:rPr>
          <w:rStyle w:val="FootnoteReference"/>
          <w:rFonts w:ascii="Cambria" w:hAnsi="Cambria"/>
          <w:sz w:val="20"/>
          <w:szCs w:val="20"/>
          <w:lang w:val="es-ES"/>
        </w:rPr>
        <w:t xml:space="preserve"> </w:t>
      </w:r>
      <w:r w:rsidR="003E7DF0" w:rsidRPr="007E4AA8">
        <w:rPr>
          <w:rStyle w:val="FootnoteReference"/>
          <w:rFonts w:ascii="Cambria" w:hAnsi="Cambria"/>
          <w:sz w:val="20"/>
          <w:szCs w:val="20"/>
          <w:lang w:val="es-ES"/>
        </w:rPr>
        <w:footnoteReference w:id="7"/>
      </w:r>
      <w:r w:rsidR="00E13E2B" w:rsidRPr="007E4AA8">
        <w:rPr>
          <w:rFonts w:asciiTheme="majorHAnsi" w:hAnsiTheme="majorHAnsi"/>
          <w:sz w:val="20"/>
          <w:szCs w:val="20"/>
          <w:lang w:val="es-ES"/>
        </w:rPr>
        <w:t xml:space="preserve">. </w:t>
      </w:r>
    </w:p>
    <w:p w14:paraId="463EB149" w14:textId="77777777" w:rsidR="00471488" w:rsidRPr="007E4AA8" w:rsidRDefault="00471488" w:rsidP="00B24F71">
      <w:pPr>
        <w:pStyle w:val="ListParagraph"/>
        <w:rPr>
          <w:color w:val="auto"/>
        </w:rPr>
      </w:pPr>
    </w:p>
    <w:p w14:paraId="6E2425AB" w14:textId="77777777" w:rsidR="00617B79" w:rsidRPr="007E4AA8" w:rsidRDefault="00C92118" w:rsidP="00617B7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El</w:t>
      </w:r>
      <w:r w:rsidR="00252EF2" w:rsidRPr="007E4AA8">
        <w:rPr>
          <w:rFonts w:asciiTheme="majorHAnsi" w:hAnsiTheme="majorHAnsi"/>
          <w:sz w:val="20"/>
          <w:szCs w:val="20"/>
          <w:lang w:val="es-ES"/>
        </w:rPr>
        <w:t xml:space="preserve"> 20 de mayo el</w:t>
      </w:r>
      <w:r w:rsidRPr="007E4AA8">
        <w:rPr>
          <w:rFonts w:asciiTheme="majorHAnsi" w:hAnsiTheme="majorHAnsi"/>
          <w:sz w:val="20"/>
          <w:szCs w:val="20"/>
          <w:lang w:val="es-ES"/>
        </w:rPr>
        <w:t xml:space="preserve"> señor López </w:t>
      </w:r>
      <w:r w:rsidR="00252EF2" w:rsidRPr="007E4AA8">
        <w:rPr>
          <w:rFonts w:asciiTheme="majorHAnsi" w:hAnsiTheme="majorHAnsi"/>
          <w:sz w:val="20"/>
          <w:szCs w:val="20"/>
          <w:lang w:val="es-ES"/>
        </w:rPr>
        <w:t xml:space="preserve">fue trasladado nuevamente a la Comisaría 11 Metropolitana, y posteriormente lo pusieron en el calabozo con “detenidos comunes”. </w:t>
      </w:r>
      <w:r w:rsidR="000B3EDC" w:rsidRPr="007E4AA8">
        <w:rPr>
          <w:rFonts w:asciiTheme="majorHAnsi" w:hAnsiTheme="majorHAnsi"/>
          <w:sz w:val="20"/>
          <w:szCs w:val="20"/>
          <w:lang w:val="es-ES"/>
        </w:rPr>
        <w:t xml:space="preserve">La presunta víctima indicó que el </w:t>
      </w:r>
      <w:r w:rsidR="00252EF2" w:rsidRPr="007E4AA8">
        <w:rPr>
          <w:rFonts w:asciiTheme="majorHAnsi" w:hAnsiTheme="majorHAnsi"/>
          <w:sz w:val="20"/>
          <w:szCs w:val="20"/>
          <w:lang w:val="es-ES"/>
        </w:rPr>
        <w:t xml:space="preserve">21 de </w:t>
      </w:r>
      <w:r w:rsidR="00252EF2" w:rsidRPr="007E4AA8">
        <w:rPr>
          <w:rFonts w:asciiTheme="majorHAnsi" w:hAnsiTheme="majorHAnsi"/>
          <w:sz w:val="20"/>
          <w:szCs w:val="20"/>
          <w:lang w:val="es-ES"/>
        </w:rPr>
        <w:lastRenderedPageBreak/>
        <w:t>mayo a las 21:00 horas fue llevado hasta la Infantería de Marina</w:t>
      </w:r>
      <w:r w:rsidR="00C574E4" w:rsidRPr="007E4AA8">
        <w:rPr>
          <w:rStyle w:val="FootnoteReference"/>
          <w:rFonts w:asciiTheme="majorHAnsi" w:hAnsiTheme="majorHAnsi"/>
          <w:sz w:val="20"/>
          <w:szCs w:val="20"/>
          <w:lang w:val="es-ES"/>
        </w:rPr>
        <w:footnoteReference w:id="8"/>
      </w:r>
      <w:r w:rsidR="00252EF2" w:rsidRPr="007E4AA8">
        <w:rPr>
          <w:rFonts w:asciiTheme="majorHAnsi" w:hAnsiTheme="majorHAnsi"/>
          <w:sz w:val="20"/>
          <w:szCs w:val="20"/>
          <w:lang w:val="es-ES"/>
        </w:rPr>
        <w:t>, donde nuevamente se le venda</w:t>
      </w:r>
      <w:r w:rsidR="00064962" w:rsidRPr="007E4AA8">
        <w:rPr>
          <w:rFonts w:asciiTheme="majorHAnsi" w:hAnsiTheme="majorHAnsi"/>
          <w:sz w:val="20"/>
          <w:szCs w:val="20"/>
          <w:lang w:val="es-ES"/>
        </w:rPr>
        <w:t>ron</w:t>
      </w:r>
      <w:r w:rsidR="00252EF2" w:rsidRPr="007E4AA8">
        <w:rPr>
          <w:rFonts w:asciiTheme="majorHAnsi" w:hAnsiTheme="majorHAnsi"/>
          <w:sz w:val="20"/>
          <w:szCs w:val="20"/>
          <w:lang w:val="es-ES"/>
        </w:rPr>
        <w:t xml:space="preserve"> los ojos y se le interrog</w:t>
      </w:r>
      <w:r w:rsidR="00064962" w:rsidRPr="007E4AA8">
        <w:rPr>
          <w:rFonts w:asciiTheme="majorHAnsi" w:hAnsiTheme="majorHAnsi"/>
          <w:sz w:val="20"/>
          <w:szCs w:val="20"/>
          <w:lang w:val="es-ES"/>
        </w:rPr>
        <w:t>ó</w:t>
      </w:r>
      <w:r w:rsidR="00252EF2" w:rsidRPr="007E4AA8">
        <w:rPr>
          <w:rFonts w:asciiTheme="majorHAnsi" w:hAnsiTheme="majorHAnsi"/>
          <w:sz w:val="20"/>
          <w:szCs w:val="20"/>
          <w:lang w:val="es-ES"/>
        </w:rPr>
        <w:t xml:space="preserve">, tras lo cual, a las 01:00 del 22 de mayo </w:t>
      </w:r>
      <w:r w:rsidR="00064962" w:rsidRPr="007E4AA8">
        <w:rPr>
          <w:rFonts w:asciiTheme="majorHAnsi" w:hAnsiTheme="majorHAnsi"/>
          <w:sz w:val="20"/>
          <w:szCs w:val="20"/>
          <w:lang w:val="es-ES"/>
        </w:rPr>
        <w:t>fue</w:t>
      </w:r>
      <w:r w:rsidR="00252EF2" w:rsidRPr="007E4AA8">
        <w:rPr>
          <w:rFonts w:asciiTheme="majorHAnsi" w:hAnsiTheme="majorHAnsi"/>
          <w:sz w:val="20"/>
          <w:szCs w:val="20"/>
          <w:lang w:val="es-ES"/>
        </w:rPr>
        <w:t xml:space="preserve"> trasladado a la Comisaría 11 Metropolitana. </w:t>
      </w:r>
      <w:r w:rsidR="000B3EDC" w:rsidRPr="007E4AA8">
        <w:rPr>
          <w:rFonts w:asciiTheme="majorHAnsi" w:hAnsiTheme="majorHAnsi"/>
          <w:sz w:val="20"/>
          <w:szCs w:val="20"/>
          <w:lang w:val="es-ES"/>
        </w:rPr>
        <w:t xml:space="preserve">Agregó que el </w:t>
      </w:r>
      <w:r w:rsidR="00252EF2" w:rsidRPr="007E4AA8">
        <w:rPr>
          <w:rFonts w:asciiTheme="majorHAnsi" w:hAnsiTheme="majorHAnsi"/>
          <w:sz w:val="20"/>
          <w:szCs w:val="20"/>
          <w:lang w:val="es-ES"/>
        </w:rPr>
        <w:t xml:space="preserve">23 de mayo </w:t>
      </w:r>
      <w:r w:rsidR="00347310" w:rsidRPr="007E4AA8">
        <w:rPr>
          <w:rFonts w:asciiTheme="majorHAnsi" w:hAnsiTheme="majorHAnsi"/>
          <w:sz w:val="20"/>
          <w:szCs w:val="20"/>
          <w:lang w:val="es-ES"/>
        </w:rPr>
        <w:t>fue</w:t>
      </w:r>
      <w:r w:rsidR="00252EF2" w:rsidRPr="007E4AA8">
        <w:rPr>
          <w:rFonts w:asciiTheme="majorHAnsi" w:hAnsiTheme="majorHAnsi"/>
          <w:sz w:val="20"/>
          <w:szCs w:val="20"/>
          <w:lang w:val="es-ES"/>
        </w:rPr>
        <w:t xml:space="preserve"> llevado ante la presencia de un comisario quien le manifestó que todo lo había hecho para salvar a su esposa, quien también es suboficial de policía, requiriéndole vincular a un comisario a efectos de dejar “libre” a su esposa</w:t>
      </w:r>
      <w:r w:rsidRPr="007E4AA8">
        <w:rPr>
          <w:rStyle w:val="FootnoteReference"/>
          <w:rFonts w:asciiTheme="majorHAnsi" w:hAnsiTheme="majorHAnsi"/>
          <w:sz w:val="20"/>
          <w:szCs w:val="20"/>
          <w:lang w:val="es-ES"/>
        </w:rPr>
        <w:footnoteReference w:id="9"/>
      </w:r>
      <w:r w:rsidRPr="007E4AA8">
        <w:rPr>
          <w:rFonts w:asciiTheme="majorHAnsi" w:hAnsiTheme="majorHAnsi"/>
          <w:sz w:val="20"/>
          <w:szCs w:val="20"/>
          <w:lang w:val="es-ES"/>
        </w:rPr>
        <w:t>.</w:t>
      </w:r>
    </w:p>
    <w:p w14:paraId="7BC5FD64" w14:textId="77777777" w:rsidR="00ED516E" w:rsidRPr="007E4AA8" w:rsidRDefault="00ED516E" w:rsidP="0076612F">
      <w:pPr>
        <w:rPr>
          <w:lang w:val="es-ES"/>
        </w:rPr>
      </w:pPr>
    </w:p>
    <w:p w14:paraId="7596D14C" w14:textId="77777777" w:rsidR="00BA314D" w:rsidRPr="007E4AA8" w:rsidRDefault="00ED516E" w:rsidP="00BA314D">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En cuanto a los hechos recién descritos, constan diversos testimonios </w:t>
      </w:r>
      <w:r w:rsidR="0076612F" w:rsidRPr="007E4AA8">
        <w:rPr>
          <w:rFonts w:asciiTheme="majorHAnsi" w:hAnsiTheme="majorHAnsi"/>
          <w:sz w:val="20"/>
          <w:szCs w:val="20"/>
          <w:lang w:val="es-ES"/>
        </w:rPr>
        <w:t xml:space="preserve">judiciales, incluyendo el del señor López, </w:t>
      </w:r>
      <w:r w:rsidRPr="007E4AA8">
        <w:rPr>
          <w:rFonts w:asciiTheme="majorHAnsi" w:hAnsiTheme="majorHAnsi"/>
          <w:sz w:val="20"/>
          <w:szCs w:val="20"/>
          <w:lang w:val="es-ES"/>
        </w:rPr>
        <w:t xml:space="preserve">particularmente </w:t>
      </w:r>
      <w:r w:rsidR="00E678B3" w:rsidRPr="007E4AA8">
        <w:rPr>
          <w:rFonts w:asciiTheme="majorHAnsi" w:hAnsiTheme="majorHAnsi"/>
          <w:sz w:val="20"/>
          <w:szCs w:val="20"/>
          <w:lang w:val="es-ES"/>
        </w:rPr>
        <w:t xml:space="preserve">sobre lo ocurrido </w:t>
      </w:r>
      <w:r w:rsidRPr="007E4AA8">
        <w:rPr>
          <w:rFonts w:asciiTheme="majorHAnsi" w:hAnsiTheme="majorHAnsi"/>
          <w:sz w:val="20"/>
          <w:szCs w:val="20"/>
          <w:lang w:val="es-ES"/>
        </w:rPr>
        <w:t xml:space="preserve">en la </w:t>
      </w:r>
      <w:r w:rsidRPr="007E4AA8">
        <w:rPr>
          <w:rFonts w:ascii="Cambria" w:hAnsi="Cambria"/>
          <w:sz w:val="20"/>
          <w:szCs w:val="20"/>
          <w:lang w:val="es-ES"/>
        </w:rPr>
        <w:t>Comisaría 11 Metropolitana el día 19 de mayo de 2000. Asimismo, algunos testimonios refirieron sobre el posterior traslado del señor López y otras personas a la Agrupación Especializada (AE) ese mismo día</w:t>
      </w:r>
      <w:r w:rsidR="00490343" w:rsidRPr="007E4AA8">
        <w:rPr>
          <w:rFonts w:ascii="Cambria" w:hAnsi="Cambria"/>
          <w:sz w:val="20"/>
          <w:szCs w:val="20"/>
          <w:lang w:val="es-ES"/>
        </w:rPr>
        <w:t>, y sucesos posteriores</w:t>
      </w:r>
      <w:r w:rsidRPr="007E4AA8">
        <w:rPr>
          <w:rFonts w:ascii="Cambria" w:hAnsi="Cambria"/>
          <w:sz w:val="20"/>
          <w:szCs w:val="20"/>
          <w:lang w:val="es-ES"/>
        </w:rPr>
        <w:t>.</w:t>
      </w:r>
      <w:r w:rsidR="00490343" w:rsidRPr="007E4AA8">
        <w:rPr>
          <w:rFonts w:ascii="Cambria" w:hAnsi="Cambria"/>
          <w:sz w:val="20"/>
          <w:szCs w:val="20"/>
          <w:lang w:val="es-ES"/>
        </w:rPr>
        <w:t xml:space="preserve"> </w:t>
      </w:r>
      <w:r w:rsidR="00CB5E8A" w:rsidRPr="007E4AA8">
        <w:rPr>
          <w:rFonts w:ascii="Cambria" w:hAnsi="Cambria"/>
          <w:sz w:val="20"/>
          <w:szCs w:val="20"/>
          <w:lang w:val="es-ES"/>
        </w:rPr>
        <w:t>En este sentido, se cuenta con los siguientes testimonios:</w:t>
      </w:r>
    </w:p>
    <w:p w14:paraId="35E84712" w14:textId="77777777" w:rsidR="00490343" w:rsidRPr="007E4AA8" w:rsidRDefault="00490343" w:rsidP="00490343">
      <w:pPr>
        <w:tabs>
          <w:tab w:val="left" w:pos="360"/>
        </w:tabs>
        <w:jc w:val="both"/>
        <w:rPr>
          <w:rFonts w:asciiTheme="majorHAnsi" w:hAnsiTheme="majorHAnsi"/>
          <w:sz w:val="20"/>
          <w:szCs w:val="20"/>
          <w:lang w:val="es-ES"/>
        </w:rPr>
      </w:pPr>
    </w:p>
    <w:p w14:paraId="2AFB5E20" w14:textId="77777777" w:rsidR="0076612F" w:rsidRPr="007E4AA8" w:rsidRDefault="0076612F" w:rsidP="0076612F">
      <w:pPr>
        <w:pStyle w:val="ListParagraph"/>
        <w:numPr>
          <w:ilvl w:val="0"/>
          <w:numId w:val="65"/>
        </w:numPr>
        <w:tabs>
          <w:tab w:val="left" w:pos="360"/>
        </w:tabs>
        <w:rPr>
          <w:color w:val="auto"/>
        </w:rPr>
      </w:pPr>
      <w:r w:rsidRPr="007E4AA8">
        <w:rPr>
          <w:color w:val="auto"/>
        </w:rPr>
        <w:t>Declaración judicial del señor López</w:t>
      </w:r>
      <w:r w:rsidR="00993722" w:rsidRPr="007E4AA8">
        <w:rPr>
          <w:rStyle w:val="FootnoteReference"/>
          <w:color w:val="auto"/>
        </w:rPr>
        <w:footnoteReference w:id="10"/>
      </w:r>
      <w:r w:rsidRPr="007E4AA8">
        <w:rPr>
          <w:color w:val="auto"/>
        </w:rPr>
        <w:t>:</w:t>
      </w:r>
    </w:p>
    <w:p w14:paraId="0856AA46" w14:textId="77777777" w:rsidR="0076612F" w:rsidRPr="007E4AA8" w:rsidRDefault="0076612F" w:rsidP="0076612F">
      <w:pPr>
        <w:pStyle w:val="ListParagraph"/>
        <w:tabs>
          <w:tab w:val="left" w:pos="360"/>
        </w:tabs>
        <w:ind w:left="720"/>
        <w:rPr>
          <w:color w:val="auto"/>
        </w:rPr>
      </w:pPr>
    </w:p>
    <w:p w14:paraId="7FCEFF31" w14:textId="77777777" w:rsidR="0099330F" w:rsidRPr="007E4AA8" w:rsidRDefault="00993722" w:rsidP="00FE7DB1">
      <w:pPr>
        <w:pStyle w:val="ListParagraph"/>
        <w:numPr>
          <w:ilvl w:val="0"/>
          <w:numId w:val="63"/>
        </w:numPr>
        <w:rPr>
          <w:color w:val="auto"/>
        </w:rPr>
      </w:pPr>
      <w:r w:rsidRPr="007E4AA8">
        <w:rPr>
          <w:color w:val="auto"/>
        </w:rPr>
        <w:t>E</w:t>
      </w:r>
      <w:r w:rsidR="0076612F" w:rsidRPr="007E4AA8">
        <w:rPr>
          <w:color w:val="auto"/>
        </w:rPr>
        <w:t xml:space="preserve">l señor López refirió que el </w:t>
      </w:r>
      <w:r w:rsidR="001C609D" w:rsidRPr="007E4AA8">
        <w:rPr>
          <w:color w:val="auto"/>
        </w:rPr>
        <w:t xml:space="preserve">viernes </w:t>
      </w:r>
      <w:r w:rsidR="0076612F" w:rsidRPr="007E4AA8">
        <w:rPr>
          <w:color w:val="auto"/>
        </w:rPr>
        <w:t>19 de mayo de 2000 se encontraba en la Agrupación de Protección Ecológica y Rural, cuando fue llamado por su jefatura, quien le ordenó presentarse en la Comisaría No. 11 Metropolitana, siendo trasladado por un agente policial. Indicó que al llegar a dicha Comisaría observó a otro oficial detenido, maniatado y acostado boca abajo con los ojos vendados. Agregó que fue maniatado</w:t>
      </w:r>
      <w:r w:rsidR="007926FE" w:rsidRPr="007E4AA8">
        <w:rPr>
          <w:color w:val="auto"/>
        </w:rPr>
        <w:t xml:space="preserve"> con un pedazo de forro de colchón</w:t>
      </w:r>
      <w:r w:rsidR="0076612F" w:rsidRPr="007E4AA8">
        <w:rPr>
          <w:color w:val="auto"/>
        </w:rPr>
        <w:t xml:space="preserve">, desarmado, sus ojos de fueron vendados </w:t>
      </w:r>
      <w:r w:rsidR="007926FE" w:rsidRPr="007E4AA8">
        <w:rPr>
          <w:color w:val="auto"/>
        </w:rPr>
        <w:t xml:space="preserve">con hojas y cinta de embalaje, </w:t>
      </w:r>
      <w:r w:rsidR="0076612F" w:rsidRPr="007E4AA8">
        <w:rPr>
          <w:color w:val="auto"/>
        </w:rPr>
        <w:t>y le fue rasgado su uniforme. Asimismo, indicó que debió acostarse en el suelo y que, tras ello, comenzaron a hacerle preguntas sobre el golpe del día anterior, y ante cada pregunta que no sabía le golpeaban la planta de los pies con un</w:t>
      </w:r>
      <w:r w:rsidR="007926FE" w:rsidRPr="007E4AA8">
        <w:rPr>
          <w:color w:val="auto"/>
        </w:rPr>
        <w:t xml:space="preserve"> pedazo de</w:t>
      </w:r>
      <w:r w:rsidR="0076612F" w:rsidRPr="007E4AA8">
        <w:rPr>
          <w:color w:val="auto"/>
        </w:rPr>
        <w:t xml:space="preserve"> palo de escoba, lo que duró varias horas. Posteriormente, fue trasladado a una habitación junto a otro detenido</w:t>
      </w:r>
      <w:r w:rsidR="007926FE" w:rsidRPr="007E4AA8">
        <w:rPr>
          <w:color w:val="auto"/>
        </w:rPr>
        <w:t xml:space="preserve"> (Emilio López)</w:t>
      </w:r>
      <w:r w:rsidR="0076612F" w:rsidRPr="007E4AA8">
        <w:rPr>
          <w:color w:val="auto"/>
        </w:rPr>
        <w:t>, y a medida que pasaba el tiempo más detenidos ingresaban en las mismas circunstancias</w:t>
      </w:r>
      <w:r w:rsidR="00E90FA8" w:rsidRPr="007E4AA8">
        <w:rPr>
          <w:color w:val="auto"/>
        </w:rPr>
        <w:t>, manifestando dolor en la planta de los pies con signos de que habían sido golpeados</w:t>
      </w:r>
      <w:r w:rsidR="0076612F" w:rsidRPr="007E4AA8">
        <w:rPr>
          <w:color w:val="auto"/>
        </w:rPr>
        <w:t>.</w:t>
      </w:r>
      <w:r w:rsidR="0099330F" w:rsidRPr="007E4AA8">
        <w:rPr>
          <w:color w:val="auto"/>
        </w:rPr>
        <w:t xml:space="preserve"> </w:t>
      </w:r>
      <w:r w:rsidR="0076612F" w:rsidRPr="007E4AA8">
        <w:rPr>
          <w:color w:val="auto"/>
        </w:rPr>
        <w:t xml:space="preserve">El señor López agregó que él y otras personas fueron trasladadas a la Agrupación Especializada, y recluidos en el “cuadrilátero”, lugar de reclusión policial. </w:t>
      </w:r>
      <w:r w:rsidR="00E90FA8" w:rsidRPr="007E4AA8">
        <w:rPr>
          <w:color w:val="auto"/>
        </w:rPr>
        <w:t xml:space="preserve">En dicho lugar, refirió que el mismo le recomendó a un compañero detenido que pusieran sus pies en “sal muera y fue nuestro medicamento inicial y el único al que accedimos durante el tiempo que estábamos ahí”. </w:t>
      </w:r>
    </w:p>
    <w:p w14:paraId="4320EABE" w14:textId="77777777" w:rsidR="00B8417A" w:rsidRPr="007E4AA8" w:rsidRDefault="0076612F" w:rsidP="0044022D">
      <w:pPr>
        <w:pStyle w:val="ListParagraph"/>
        <w:numPr>
          <w:ilvl w:val="0"/>
          <w:numId w:val="63"/>
        </w:numPr>
        <w:rPr>
          <w:color w:val="auto"/>
        </w:rPr>
      </w:pPr>
      <w:r w:rsidRPr="007E4AA8">
        <w:rPr>
          <w:color w:val="auto"/>
        </w:rPr>
        <w:t xml:space="preserve">Indicó que al día siguiente fue nuevamente trasladado a la Comisaría No. 11 Metropolitana, siendo esposado con las manos hacia atrás en el calabozo con detenidos comunes, en un lugar de 2x3 sin colchones. </w:t>
      </w:r>
      <w:r w:rsidR="001C609D" w:rsidRPr="007E4AA8">
        <w:rPr>
          <w:color w:val="auto"/>
        </w:rPr>
        <w:t xml:space="preserve">Indico que el día domingo en la mañana se le ordenó arrodillarse con la vista a la pared “por que estaba viniendo el Ministro del Interior, señor Walter Bower, y él tenía que encontrarme que yo esté sufriendo apremio físico”. </w:t>
      </w:r>
      <w:r w:rsidRPr="007E4AA8">
        <w:rPr>
          <w:color w:val="auto"/>
        </w:rPr>
        <w:t>Agregó después de su detención pudo ver a su esposa durante 10 minutos,</w:t>
      </w:r>
      <w:r w:rsidR="00BF6E4A" w:rsidRPr="007E4AA8">
        <w:rPr>
          <w:color w:val="auto"/>
        </w:rPr>
        <w:t xml:space="preserve"> agregando que hasta el domingo permanecía esposado con las manos hacia atrás,</w:t>
      </w:r>
      <w:r w:rsidRPr="007E4AA8">
        <w:rPr>
          <w:color w:val="auto"/>
        </w:rPr>
        <w:t xml:space="preserve"> y</w:t>
      </w:r>
      <w:r w:rsidR="00BF6E4A" w:rsidRPr="007E4AA8">
        <w:rPr>
          <w:color w:val="auto"/>
        </w:rPr>
        <w:t xml:space="preserve"> que</w:t>
      </w:r>
      <w:r w:rsidRPr="007E4AA8">
        <w:rPr>
          <w:color w:val="auto"/>
        </w:rPr>
        <w:t xml:space="preserve"> ese mismo día </w:t>
      </w:r>
      <w:r w:rsidR="00BF6E4A" w:rsidRPr="007E4AA8">
        <w:rPr>
          <w:color w:val="auto"/>
        </w:rPr>
        <w:t xml:space="preserve">cerca de las 20:00 horas </w:t>
      </w:r>
      <w:r w:rsidRPr="007E4AA8">
        <w:rPr>
          <w:color w:val="auto"/>
        </w:rPr>
        <w:t>fue trasladado a la Infantería de Marina</w:t>
      </w:r>
      <w:r w:rsidR="00BF6E4A" w:rsidRPr="007E4AA8">
        <w:rPr>
          <w:color w:val="auto"/>
        </w:rPr>
        <w:t xml:space="preserve"> donde estaba recluido el comisario Cáceres</w:t>
      </w:r>
      <w:r w:rsidRPr="007E4AA8">
        <w:rPr>
          <w:color w:val="auto"/>
        </w:rPr>
        <w:t>, lugar donde nuevamente fue vendado</w:t>
      </w:r>
      <w:r w:rsidR="00BF6E4A" w:rsidRPr="007E4AA8">
        <w:rPr>
          <w:color w:val="auto"/>
        </w:rPr>
        <w:t xml:space="preserve"> (al respecto indico que en las dos oportunidades que se le vendo de esa manera le permitió tener cierta visibilidad, pudiendo identificar a las personas presentes)</w:t>
      </w:r>
      <w:r w:rsidRPr="007E4AA8">
        <w:rPr>
          <w:color w:val="auto"/>
        </w:rPr>
        <w:t xml:space="preserve"> y acostado boca abajo mientras era interrogado y podía oír los malos tratos de los que era objeto otro agente</w:t>
      </w:r>
      <w:r w:rsidR="00317EDC" w:rsidRPr="007E4AA8">
        <w:rPr>
          <w:color w:val="auto"/>
        </w:rPr>
        <w:t xml:space="preserve"> (Cáceres). Afirma que se le consultó si Cáceres le pagó y que el </w:t>
      </w:r>
      <w:r w:rsidR="005E007F" w:rsidRPr="007E4AA8">
        <w:rPr>
          <w:color w:val="auto"/>
        </w:rPr>
        <w:t>respondió</w:t>
      </w:r>
      <w:r w:rsidR="00317EDC" w:rsidRPr="007E4AA8">
        <w:rPr>
          <w:color w:val="auto"/>
        </w:rPr>
        <w:t xml:space="preserve"> que sí “por la presión que sentí en ese momento”</w:t>
      </w:r>
      <w:r w:rsidRPr="007E4AA8">
        <w:rPr>
          <w:color w:val="auto"/>
        </w:rPr>
        <w:t xml:space="preserve">, tras lo cual fue retornado a la Comisaría No. 11. </w:t>
      </w:r>
      <w:r w:rsidR="00317EDC" w:rsidRPr="007E4AA8">
        <w:rPr>
          <w:color w:val="auto"/>
        </w:rPr>
        <w:t xml:space="preserve">Indico que para impedir que viera quien ingresaba un agente le tomo del cabello girando su cara hacia el otro lado, pisando su cabeza. </w:t>
      </w:r>
      <w:r w:rsidRPr="007E4AA8">
        <w:rPr>
          <w:color w:val="auto"/>
        </w:rPr>
        <w:t>Indic</w:t>
      </w:r>
      <w:r w:rsidR="00317EDC" w:rsidRPr="007E4AA8">
        <w:rPr>
          <w:color w:val="auto"/>
        </w:rPr>
        <w:t>o</w:t>
      </w:r>
      <w:r w:rsidRPr="007E4AA8">
        <w:rPr>
          <w:color w:val="auto"/>
        </w:rPr>
        <w:t xml:space="preserve"> que, posteriormente fue trasladado a la Agrupación Especializada, </w:t>
      </w:r>
      <w:r w:rsidR="002A0272" w:rsidRPr="007E4AA8">
        <w:rPr>
          <w:color w:val="auto"/>
        </w:rPr>
        <w:t xml:space="preserve">donde se le siguió manteniendo esposado con las manos hacia atrás, </w:t>
      </w:r>
      <w:r w:rsidRPr="007E4AA8">
        <w:rPr>
          <w:color w:val="auto"/>
        </w:rPr>
        <w:t xml:space="preserve">siendo recluido en un lugar que parecía estar destinado a oficiales. </w:t>
      </w:r>
      <w:r w:rsidR="0044022D" w:rsidRPr="007E4AA8">
        <w:rPr>
          <w:color w:val="auto"/>
        </w:rPr>
        <w:t xml:space="preserve">Indico que se le pidió involucrar a un segundo policía. </w:t>
      </w:r>
      <w:r w:rsidRPr="007E4AA8">
        <w:rPr>
          <w:color w:val="auto"/>
        </w:rPr>
        <w:t>Afirm</w:t>
      </w:r>
      <w:r w:rsidR="00B2187E" w:rsidRPr="007E4AA8">
        <w:rPr>
          <w:color w:val="auto"/>
        </w:rPr>
        <w:t>ó</w:t>
      </w:r>
      <w:r w:rsidRPr="007E4AA8">
        <w:rPr>
          <w:color w:val="auto"/>
        </w:rPr>
        <w:t xml:space="preserve"> que estuvo “15 días aproximadamente hasta que recibi[ó] la visita del Juez Paredes y un médico Forense”. Refirió que </w:t>
      </w:r>
      <w:r w:rsidRPr="007E4AA8">
        <w:rPr>
          <w:color w:val="auto"/>
        </w:rPr>
        <w:lastRenderedPageBreak/>
        <w:t xml:space="preserve">en dicha oportunidad manifestó que había sido torturado, por lo que fue trasladado por tres días al “cuadrilátero” a modo de castigo. Indicó que se le ofreció dinero por retirar su denuncia. </w:t>
      </w:r>
    </w:p>
    <w:p w14:paraId="60DA633F" w14:textId="77777777" w:rsidR="0076612F" w:rsidRPr="007E4AA8" w:rsidRDefault="0076612F" w:rsidP="0044022D">
      <w:pPr>
        <w:pStyle w:val="ListParagraph"/>
        <w:numPr>
          <w:ilvl w:val="0"/>
          <w:numId w:val="63"/>
        </w:numPr>
        <w:rPr>
          <w:color w:val="auto"/>
        </w:rPr>
      </w:pPr>
      <w:r w:rsidRPr="007E4AA8">
        <w:rPr>
          <w:color w:val="auto"/>
        </w:rPr>
        <w:t>Señaló que presentó una denuncia</w:t>
      </w:r>
      <w:r w:rsidR="00B8417A" w:rsidRPr="007E4AA8">
        <w:rPr>
          <w:color w:val="auto"/>
        </w:rPr>
        <w:t xml:space="preserve"> verbal</w:t>
      </w:r>
      <w:r w:rsidRPr="007E4AA8">
        <w:rPr>
          <w:color w:val="auto"/>
        </w:rPr>
        <w:t xml:space="preserve"> inicial ante tres fiscales y un médico forense “a más de un mes del supuesto golpe”, individualizando a los denunciados.</w:t>
      </w:r>
      <w:r w:rsidR="0044022D" w:rsidRPr="007E4AA8">
        <w:rPr>
          <w:color w:val="auto"/>
        </w:rPr>
        <w:t xml:space="preserve"> </w:t>
      </w:r>
      <w:r w:rsidRPr="007E4AA8">
        <w:rPr>
          <w:color w:val="auto"/>
        </w:rPr>
        <w:t>Finalmente, indicó que en junio-julio (no indica año) fue sobreseído y reincorporado a la policía, sin recuperar los 4 años de antigüedad que tenía.</w:t>
      </w:r>
      <w:r w:rsidR="00B2187E" w:rsidRPr="007E4AA8">
        <w:rPr>
          <w:color w:val="auto"/>
        </w:rPr>
        <w:t xml:space="preserve"> Refirió que durante su declaración tuvo la asistencia de la abogada del comisario Cáceres pues no tenía recursos para un abogado. </w:t>
      </w:r>
    </w:p>
    <w:p w14:paraId="351E5B21" w14:textId="77777777" w:rsidR="00B2187E" w:rsidRPr="007E4AA8" w:rsidRDefault="00B2187E" w:rsidP="0044022D">
      <w:pPr>
        <w:pStyle w:val="ListParagraph"/>
        <w:numPr>
          <w:ilvl w:val="0"/>
          <w:numId w:val="63"/>
        </w:numPr>
        <w:rPr>
          <w:color w:val="auto"/>
        </w:rPr>
      </w:pPr>
      <w:r w:rsidRPr="007E4AA8">
        <w:rPr>
          <w:color w:val="auto"/>
        </w:rPr>
        <w:t>Afirmo que, después de los hechos “me volví más violento en mis expresiones en mi casa, yo hablaba fuerte, gritaba a mis hijos, eso llego a costarme el divorcio”. Refirió que “hice un seguimiento en el hospital de policía, hace aproximadamente dos años. Estuve casi 6 meses más o menos siguiendo un tratamiento con una psicóloga (…) del hospital de policía”, y que termino el tratamiento por razones de distancia y por que se sentía mejor.</w:t>
      </w:r>
    </w:p>
    <w:p w14:paraId="689AC266" w14:textId="77777777" w:rsidR="0076612F" w:rsidRPr="007E4AA8" w:rsidRDefault="0076612F" w:rsidP="0076612F">
      <w:pPr>
        <w:tabs>
          <w:tab w:val="left" w:pos="360"/>
        </w:tabs>
        <w:jc w:val="both"/>
        <w:rPr>
          <w:rFonts w:asciiTheme="majorHAnsi" w:hAnsiTheme="majorHAnsi"/>
          <w:sz w:val="20"/>
          <w:szCs w:val="20"/>
          <w:lang w:val="es-ES"/>
        </w:rPr>
      </w:pPr>
    </w:p>
    <w:p w14:paraId="1420B2DA" w14:textId="77777777" w:rsidR="00FB55D3" w:rsidRPr="007E4AA8" w:rsidRDefault="00FB55D3" w:rsidP="00FE7DB1">
      <w:pPr>
        <w:pStyle w:val="ListParagraph"/>
        <w:numPr>
          <w:ilvl w:val="0"/>
          <w:numId w:val="65"/>
        </w:numPr>
        <w:tabs>
          <w:tab w:val="left" w:pos="360"/>
        </w:tabs>
        <w:rPr>
          <w:color w:val="auto"/>
        </w:rPr>
      </w:pPr>
      <w:r w:rsidRPr="007E4AA8">
        <w:rPr>
          <w:color w:val="auto"/>
        </w:rPr>
        <w:t>Sobre el traslado del señor López a la Comisaría 11 Metropolitana:</w:t>
      </w:r>
    </w:p>
    <w:p w14:paraId="457A08F9" w14:textId="77777777" w:rsidR="00FB55D3" w:rsidRPr="007E4AA8" w:rsidRDefault="00FB55D3" w:rsidP="00FB55D3">
      <w:pPr>
        <w:pStyle w:val="ListParagraph"/>
        <w:numPr>
          <w:ilvl w:val="0"/>
          <w:numId w:val="63"/>
        </w:numPr>
        <w:rPr>
          <w:color w:val="auto"/>
        </w:rPr>
      </w:pPr>
      <w:r w:rsidRPr="007E4AA8">
        <w:rPr>
          <w:color w:val="auto"/>
        </w:rPr>
        <w:t>Víctor Cáceres Samudio (oficial de policía a la época)</w:t>
      </w:r>
      <w:r w:rsidRPr="007E4AA8">
        <w:rPr>
          <w:rStyle w:val="FootnoteReference"/>
          <w:color w:val="auto"/>
        </w:rPr>
        <w:footnoteReference w:id="11"/>
      </w:r>
      <w:r w:rsidRPr="007E4AA8">
        <w:rPr>
          <w:color w:val="auto"/>
        </w:rPr>
        <w:t>: indico que el 19 de mayo en la mañana su jefatura de la Agrupación Ecológica le llamó y le pidió para “venir a presentar a Jorge López al comisario Pavón”. Indico que pidió al señor López entregar su arma personal, y que lo trasladó en un vehículo policial, afirmando que “el no sabía su participación y tenía miedo no sabía lo que hizo”. Indico que, una vez en la Comisaría 11 al señor López le hicieron pasar a “alguna pieza</w:t>
      </w:r>
      <w:r w:rsidR="0043369D" w:rsidRPr="007E4AA8">
        <w:rPr>
          <w:color w:val="auto"/>
        </w:rPr>
        <w:t xml:space="preserve"> improvisada para celda”. Indicó</w:t>
      </w:r>
      <w:r w:rsidRPr="007E4AA8">
        <w:rPr>
          <w:color w:val="auto"/>
        </w:rPr>
        <w:t xml:space="preserve"> que no se acordaba de la venda</w:t>
      </w:r>
      <w:r w:rsidR="0043369D" w:rsidRPr="007E4AA8">
        <w:rPr>
          <w:color w:val="auto"/>
        </w:rPr>
        <w:t xml:space="preserve"> ni las esposas. Refirió que vio</w:t>
      </w:r>
      <w:r w:rsidRPr="007E4AA8">
        <w:rPr>
          <w:color w:val="auto"/>
        </w:rPr>
        <w:t xml:space="preserve"> la parte final del interrogatorio de López y estaba de pie. Detalló que “</w:t>
      </w:r>
      <w:r w:rsidRPr="006F5E2A">
        <w:rPr>
          <w:color w:val="auto"/>
        </w:rPr>
        <w:t xml:space="preserve">recibí orden de mi jefe para trasladar, me dijo que era orden del comandante, sin papel, sin nota, </w:t>
      </w:r>
      <w:r w:rsidRPr="007E4AA8">
        <w:rPr>
          <w:color w:val="auto"/>
        </w:rPr>
        <w:t>personalmente presente eso fue lo que paso”.</w:t>
      </w:r>
    </w:p>
    <w:p w14:paraId="75B6FFA3" w14:textId="77777777" w:rsidR="00B95891" w:rsidRPr="007E4AA8" w:rsidRDefault="00B95891" w:rsidP="00B95891">
      <w:pPr>
        <w:pStyle w:val="ListParagraph"/>
        <w:ind w:left="720"/>
        <w:rPr>
          <w:color w:val="auto"/>
        </w:rPr>
      </w:pPr>
    </w:p>
    <w:p w14:paraId="0879FF7D" w14:textId="77777777" w:rsidR="00B95891" w:rsidRPr="007E4AA8" w:rsidRDefault="00B95891" w:rsidP="00CE58C7">
      <w:pPr>
        <w:pStyle w:val="ListParagraph"/>
        <w:numPr>
          <w:ilvl w:val="0"/>
          <w:numId w:val="65"/>
        </w:numPr>
        <w:tabs>
          <w:tab w:val="left" w:pos="360"/>
        </w:tabs>
        <w:rPr>
          <w:color w:val="auto"/>
        </w:rPr>
      </w:pPr>
      <w:r w:rsidRPr="007E4AA8">
        <w:rPr>
          <w:color w:val="auto"/>
        </w:rPr>
        <w:t>Sobre lo ocurrido en la Comisaría 11 Metropolitana</w:t>
      </w:r>
      <w:r w:rsidR="00B25956" w:rsidRPr="007E4AA8">
        <w:rPr>
          <w:color w:val="auto"/>
        </w:rPr>
        <w:t xml:space="preserve"> y la Agrupación Ecológica</w:t>
      </w:r>
      <w:r w:rsidRPr="007E4AA8">
        <w:rPr>
          <w:color w:val="auto"/>
        </w:rPr>
        <w:t>:</w:t>
      </w:r>
    </w:p>
    <w:p w14:paraId="4B4B07D8" w14:textId="77777777" w:rsidR="00FB55D3" w:rsidRPr="007E4AA8" w:rsidRDefault="00FB55D3" w:rsidP="00FB55D3">
      <w:pPr>
        <w:pStyle w:val="ListParagraph"/>
        <w:tabs>
          <w:tab w:val="left" w:pos="360"/>
        </w:tabs>
        <w:ind w:left="720"/>
        <w:rPr>
          <w:color w:val="auto"/>
        </w:rPr>
      </w:pPr>
    </w:p>
    <w:p w14:paraId="1878D478" w14:textId="77777777" w:rsidR="00E678B3" w:rsidRPr="007E4AA8" w:rsidRDefault="00E678B3" w:rsidP="00E678B3">
      <w:pPr>
        <w:pStyle w:val="ListParagraph"/>
        <w:numPr>
          <w:ilvl w:val="0"/>
          <w:numId w:val="63"/>
        </w:numPr>
        <w:rPr>
          <w:color w:val="auto"/>
        </w:rPr>
      </w:pPr>
      <w:r w:rsidRPr="007E4AA8">
        <w:rPr>
          <w:color w:val="auto"/>
        </w:rPr>
        <w:t>Juan Escurra Monzón (jefe de operaciones de la Comisaría 11 a la época)</w:t>
      </w:r>
      <w:r w:rsidRPr="007E4AA8">
        <w:rPr>
          <w:rStyle w:val="FootnoteReference"/>
          <w:color w:val="auto"/>
        </w:rPr>
        <w:footnoteReference w:id="12"/>
      </w:r>
      <w:r w:rsidRPr="007E4AA8">
        <w:rPr>
          <w:color w:val="auto"/>
        </w:rPr>
        <w:t xml:space="preserve">: Indico que se llevó al señor López y otras personas “para someterles a tortura, se le vendaba los ojos, se les ataba y se les hacía preguntas de que se hacía con ellos (…) se le golpeaba en la planta de los pies, había varios que llegaban de a poco, todo el personal que llegaba eran sometidos a eso”. Indica que las personas que vio fueron ingresadas el viernes 19 de mayo. Afirmó que se les esposaba con las manos hacia atrás. En particular detalló que al señor López “se le puso en el piso boca abajo, y golpe en los pies” y relató el nombre de los agentes que estaban presentes. Agrego que </w:t>
      </w:r>
      <w:r w:rsidR="00D31EA5" w:rsidRPr="007E4AA8">
        <w:rPr>
          <w:color w:val="auto"/>
        </w:rPr>
        <w:t>é</w:t>
      </w:r>
      <w:r w:rsidRPr="007E4AA8">
        <w:rPr>
          <w:color w:val="auto"/>
        </w:rPr>
        <w:t>l también quedo bajo arresto al día siguiente pero que no fue golpeado.</w:t>
      </w:r>
    </w:p>
    <w:p w14:paraId="6E7BC1C1" w14:textId="77777777" w:rsidR="00E678B3" w:rsidRPr="007E4AA8" w:rsidRDefault="00E678B3" w:rsidP="00E678B3">
      <w:pPr>
        <w:pStyle w:val="ListParagraph"/>
        <w:numPr>
          <w:ilvl w:val="0"/>
          <w:numId w:val="63"/>
        </w:numPr>
        <w:rPr>
          <w:color w:val="auto"/>
        </w:rPr>
      </w:pPr>
      <w:r w:rsidRPr="007E4AA8">
        <w:rPr>
          <w:color w:val="auto"/>
        </w:rPr>
        <w:t>Prospero Arevalos López (agente de inteligencia de policía a la época)</w:t>
      </w:r>
      <w:r w:rsidRPr="007E4AA8">
        <w:rPr>
          <w:rStyle w:val="FootnoteReference"/>
          <w:color w:val="auto"/>
        </w:rPr>
        <w:footnoteReference w:id="13"/>
      </w:r>
      <w:r w:rsidRPr="007E4AA8">
        <w:rPr>
          <w:color w:val="auto"/>
        </w:rPr>
        <w:t>: indico que fue llevado en carácter de detenido a la Comisaría 11 Metropolitana, lugar</w:t>
      </w:r>
      <w:r w:rsidR="00D31EA5" w:rsidRPr="007E4AA8">
        <w:rPr>
          <w:color w:val="auto"/>
        </w:rPr>
        <w:t xml:space="preserve"> donde</w:t>
      </w:r>
      <w:r w:rsidRPr="007E4AA8">
        <w:rPr>
          <w:color w:val="auto"/>
        </w:rPr>
        <w:t xml:space="preserve"> fue torturado. </w:t>
      </w:r>
      <w:r w:rsidR="0043369D" w:rsidRPr="007E4AA8">
        <w:rPr>
          <w:color w:val="auto"/>
        </w:rPr>
        <w:t>Indicó</w:t>
      </w:r>
      <w:r w:rsidRPr="007E4AA8">
        <w:rPr>
          <w:color w:val="auto"/>
        </w:rPr>
        <w:t xml:space="preserve"> que vio al señor López tendido boca abajo y con</w:t>
      </w:r>
      <w:r w:rsidR="00D31EA5" w:rsidRPr="007E4AA8">
        <w:rPr>
          <w:color w:val="auto"/>
        </w:rPr>
        <w:t xml:space="preserve"> una</w:t>
      </w:r>
      <w:r w:rsidRPr="007E4AA8">
        <w:rPr>
          <w:color w:val="auto"/>
        </w:rPr>
        <w:t xml:space="preserve"> venda. </w:t>
      </w:r>
    </w:p>
    <w:p w14:paraId="1CC4F1DE" w14:textId="77777777" w:rsidR="00E678B3" w:rsidRPr="007E4AA8" w:rsidRDefault="00E678B3" w:rsidP="00E678B3">
      <w:pPr>
        <w:pStyle w:val="ListParagraph"/>
        <w:numPr>
          <w:ilvl w:val="0"/>
          <w:numId w:val="63"/>
        </w:numPr>
        <w:rPr>
          <w:color w:val="auto"/>
        </w:rPr>
      </w:pPr>
      <w:r w:rsidRPr="007E4AA8">
        <w:rPr>
          <w:color w:val="auto"/>
        </w:rPr>
        <w:t>Higinio Pérez Benítez (policía a la época)</w:t>
      </w:r>
      <w:r w:rsidRPr="007E4AA8">
        <w:rPr>
          <w:rStyle w:val="FootnoteReference"/>
          <w:color w:val="auto"/>
        </w:rPr>
        <w:footnoteReference w:id="14"/>
      </w:r>
      <w:r w:rsidR="0043369D" w:rsidRPr="007E4AA8">
        <w:rPr>
          <w:color w:val="auto"/>
        </w:rPr>
        <w:t>: relató</w:t>
      </w:r>
      <w:r w:rsidRPr="007E4AA8">
        <w:rPr>
          <w:color w:val="auto"/>
        </w:rPr>
        <w:t xml:space="preserve"> que estuvo detenido con el señor López, quien le comentó que fueron torturados él y otras personas. </w:t>
      </w:r>
    </w:p>
    <w:p w14:paraId="4A7F82BA" w14:textId="77777777" w:rsidR="00E678B3" w:rsidRPr="007E4AA8" w:rsidRDefault="00E678B3" w:rsidP="00E678B3">
      <w:pPr>
        <w:pStyle w:val="ListParagraph"/>
        <w:numPr>
          <w:ilvl w:val="0"/>
          <w:numId w:val="63"/>
        </w:numPr>
        <w:rPr>
          <w:color w:val="auto"/>
        </w:rPr>
      </w:pPr>
      <w:r w:rsidRPr="007E4AA8">
        <w:rPr>
          <w:color w:val="auto"/>
        </w:rPr>
        <w:t>Víctor Cogliolo González (policía a la época)</w:t>
      </w:r>
      <w:r w:rsidRPr="007E4AA8">
        <w:rPr>
          <w:rStyle w:val="FootnoteReference"/>
          <w:color w:val="auto"/>
        </w:rPr>
        <w:footnoteReference w:id="15"/>
      </w:r>
      <w:r w:rsidRPr="007E4AA8">
        <w:rPr>
          <w:color w:val="auto"/>
        </w:rPr>
        <w:t>: indico que fue recluido en la Agrupación Especializada y que vio al señor López en “estado calamitoso con rastros de golpes en el cuello espalda y planta del pie me dijo que le torturaron en la 11 para presionarle y que declarase que estaba metido en el fallido golpe, inclusive me dijo que le habían amenazado de que si se resistía a eso la señora iba a pagar las consecuencias y me mencionó también de que la señora era personal policial en estado de gravidez”.</w:t>
      </w:r>
    </w:p>
    <w:p w14:paraId="18C6F270" w14:textId="77777777" w:rsidR="00E678B3" w:rsidRPr="007E4AA8" w:rsidRDefault="00E678B3" w:rsidP="00E678B3">
      <w:pPr>
        <w:pStyle w:val="ListParagraph"/>
        <w:numPr>
          <w:ilvl w:val="0"/>
          <w:numId w:val="63"/>
        </w:numPr>
        <w:rPr>
          <w:color w:val="auto"/>
        </w:rPr>
      </w:pPr>
      <w:r w:rsidRPr="007E4AA8">
        <w:rPr>
          <w:color w:val="auto"/>
        </w:rPr>
        <w:lastRenderedPageBreak/>
        <w:t>Emilio López (agente de inteligencia de policía a la época)</w:t>
      </w:r>
      <w:r w:rsidRPr="007E4AA8">
        <w:rPr>
          <w:rStyle w:val="FootnoteReference"/>
          <w:color w:val="auto"/>
        </w:rPr>
        <w:footnoteReference w:id="16"/>
      </w:r>
      <w:r w:rsidR="0043369D" w:rsidRPr="007E4AA8">
        <w:rPr>
          <w:color w:val="auto"/>
        </w:rPr>
        <w:t>: indicó</w:t>
      </w:r>
      <w:r w:rsidRPr="007E4AA8">
        <w:rPr>
          <w:color w:val="auto"/>
        </w:rPr>
        <w:t xml:space="preserve"> que el 19 de mayo fue trasladado en calidad de detenido a la comisaría 11, esposado con las manos hacia atrás, vendados sus ojos, y amenazado por los mismos agentes que el señor López identificó le habrían torturado a él. Afirmo que le golpearon la planta de los pies estan</w:t>
      </w:r>
      <w:r w:rsidR="0043369D" w:rsidRPr="007E4AA8">
        <w:rPr>
          <w:color w:val="auto"/>
        </w:rPr>
        <w:t>do en el piso boca abajo. Indicó</w:t>
      </w:r>
      <w:r w:rsidRPr="007E4AA8">
        <w:rPr>
          <w:color w:val="auto"/>
        </w:rPr>
        <w:t xml:space="preserve"> que no recibió atención médica. Indico que vio al señor López. </w:t>
      </w:r>
    </w:p>
    <w:p w14:paraId="234F7680" w14:textId="77777777" w:rsidR="00E678B3" w:rsidRPr="007E4AA8" w:rsidRDefault="00E678B3" w:rsidP="00E678B3">
      <w:pPr>
        <w:pStyle w:val="ListParagraph"/>
        <w:numPr>
          <w:ilvl w:val="0"/>
          <w:numId w:val="63"/>
        </w:numPr>
        <w:rPr>
          <w:color w:val="auto"/>
        </w:rPr>
      </w:pPr>
      <w:r w:rsidRPr="007E4AA8">
        <w:rPr>
          <w:color w:val="auto"/>
        </w:rPr>
        <w:t>Saturnino Gamarra (suboficial de policía a la época)</w:t>
      </w:r>
      <w:r w:rsidRPr="007E4AA8">
        <w:rPr>
          <w:rStyle w:val="FootnoteReference"/>
          <w:color w:val="auto"/>
        </w:rPr>
        <w:footnoteReference w:id="17"/>
      </w:r>
      <w:r w:rsidR="0043369D" w:rsidRPr="007E4AA8">
        <w:rPr>
          <w:color w:val="auto"/>
        </w:rPr>
        <w:t>: indicó</w:t>
      </w:r>
      <w:r w:rsidRPr="007E4AA8">
        <w:rPr>
          <w:color w:val="auto"/>
        </w:rPr>
        <w:t xml:space="preserve"> que fue trasladado a la comisaria No. 11, donde vio al señor López en el piso, “ensangrentado, la cara hinchada, los pies hinchados con sangre, después le levantan y le ponen</w:t>
      </w:r>
      <w:r w:rsidR="0043369D" w:rsidRPr="007E4AA8">
        <w:rPr>
          <w:color w:val="auto"/>
        </w:rPr>
        <w:t xml:space="preserve"> la mano atrás esposada”. Afirmó</w:t>
      </w:r>
      <w:r w:rsidRPr="007E4AA8">
        <w:rPr>
          <w:color w:val="auto"/>
        </w:rPr>
        <w:t xml:space="preserve"> que el señor López estaba sin zapatos. Indic</w:t>
      </w:r>
      <w:r w:rsidR="0043369D" w:rsidRPr="007E4AA8">
        <w:rPr>
          <w:color w:val="auto"/>
        </w:rPr>
        <w:t>ó</w:t>
      </w:r>
      <w:r w:rsidRPr="007E4AA8">
        <w:rPr>
          <w:color w:val="auto"/>
        </w:rPr>
        <w:t xml:space="preserve"> que él fue atado con el forro de un colchón, fue vendado con una hoja y cinta adhesiva, y agentes le indicaron que “Jorge López [había cantado todo]”. Indica que no fue atendido por ningún médico.</w:t>
      </w:r>
    </w:p>
    <w:p w14:paraId="3A81CEBD" w14:textId="77777777" w:rsidR="00D621B2" w:rsidRPr="007E4AA8" w:rsidRDefault="00E678B3" w:rsidP="00D621B2">
      <w:pPr>
        <w:pStyle w:val="ListParagraph"/>
        <w:numPr>
          <w:ilvl w:val="0"/>
          <w:numId w:val="63"/>
        </w:numPr>
        <w:rPr>
          <w:color w:val="auto"/>
        </w:rPr>
      </w:pPr>
      <w:r w:rsidRPr="007E4AA8">
        <w:rPr>
          <w:color w:val="auto"/>
        </w:rPr>
        <w:t>Diosnel Ferreira (jefe de brigada a la época)</w:t>
      </w:r>
      <w:r w:rsidRPr="007E4AA8">
        <w:rPr>
          <w:rStyle w:val="FootnoteReference"/>
          <w:color w:val="auto"/>
        </w:rPr>
        <w:footnoteReference w:id="18"/>
      </w:r>
      <w:r w:rsidR="0043369D" w:rsidRPr="007E4AA8">
        <w:rPr>
          <w:color w:val="auto"/>
        </w:rPr>
        <w:t>: indicó</w:t>
      </w:r>
      <w:r w:rsidRPr="007E4AA8">
        <w:rPr>
          <w:color w:val="auto"/>
        </w:rPr>
        <w:t xml:space="preserve"> que fue designado a la comisaria 11, </w:t>
      </w:r>
      <w:r w:rsidR="00671835" w:rsidRPr="007E4AA8">
        <w:rPr>
          <w:color w:val="auto"/>
        </w:rPr>
        <w:t xml:space="preserve">y </w:t>
      </w:r>
      <w:r w:rsidRPr="007E4AA8">
        <w:rPr>
          <w:color w:val="auto"/>
        </w:rPr>
        <w:t>que a quienes llegaban se les desarmaba, se grababa y se les interrogaba, pero “no estaban presente ningún instructor, juez, ni fiscal en el lugar”. Afirmo que estaba en otras funciones cu</w:t>
      </w:r>
      <w:r w:rsidR="0043369D" w:rsidRPr="007E4AA8">
        <w:rPr>
          <w:color w:val="auto"/>
        </w:rPr>
        <w:t>ando fueron interrogados. Agregó</w:t>
      </w:r>
      <w:r w:rsidRPr="007E4AA8">
        <w:rPr>
          <w:color w:val="auto"/>
        </w:rPr>
        <w:t xml:space="preserve"> que el señor López “estaba nervioso muy alterado siempre en el calabozo esposado (…) estaba un poco mal en ese momento le vi un poco alterado”</w:t>
      </w:r>
      <w:r w:rsidR="0043369D" w:rsidRPr="007E4AA8">
        <w:rPr>
          <w:color w:val="auto"/>
        </w:rPr>
        <w:t>. Indicó</w:t>
      </w:r>
      <w:r w:rsidRPr="007E4AA8">
        <w:rPr>
          <w:color w:val="auto"/>
        </w:rPr>
        <w:t xml:space="preserve"> que el señor López estaba en el calabozo esposado siempre, y “ib</w:t>
      </w:r>
      <w:r w:rsidR="0043369D" w:rsidRPr="007E4AA8">
        <w:rPr>
          <w:color w:val="auto"/>
        </w:rPr>
        <w:t>a y venía el 19 y el 20”. Afirmó</w:t>
      </w:r>
      <w:r w:rsidRPr="007E4AA8">
        <w:rPr>
          <w:color w:val="auto"/>
        </w:rPr>
        <w:t xml:space="preserve"> que “no le vi lastimado ni herido a López puedo atestiguar a </w:t>
      </w:r>
      <w:r w:rsidR="00671835" w:rsidRPr="007E4AA8">
        <w:rPr>
          <w:color w:val="auto"/>
        </w:rPr>
        <w:t>pesar,</w:t>
      </w:r>
      <w:r w:rsidRPr="007E4AA8">
        <w:rPr>
          <w:color w:val="auto"/>
        </w:rPr>
        <w:t xml:space="preserve"> pero se va a escuchar el golpe </w:t>
      </w:r>
      <w:r w:rsidR="00671835" w:rsidRPr="007E4AA8">
        <w:rPr>
          <w:color w:val="auto"/>
        </w:rPr>
        <w:t>ruido,</w:t>
      </w:r>
      <w:r w:rsidRPr="007E4AA8">
        <w:rPr>
          <w:color w:val="auto"/>
        </w:rPr>
        <w:t xml:space="preserve"> pero no escuche nada así como le traje le saque bien nuevamente. Estaba bien caminando bien salimos de la misma forma. Vendado con cinta de embalaje parecido”.</w:t>
      </w:r>
      <w:r w:rsidR="0043369D" w:rsidRPr="007E4AA8">
        <w:rPr>
          <w:color w:val="auto"/>
        </w:rPr>
        <w:t xml:space="preserve"> Afirmó</w:t>
      </w:r>
      <w:r w:rsidRPr="007E4AA8">
        <w:rPr>
          <w:color w:val="auto"/>
        </w:rPr>
        <w:t xml:space="preserve"> que él no “[vio] que le pegaran pero si le vi le veía en el calabozo esposado no estaba bien”.</w:t>
      </w:r>
    </w:p>
    <w:p w14:paraId="20E4F204" w14:textId="77777777" w:rsidR="00E678B3" w:rsidRPr="007E4AA8" w:rsidRDefault="00E678B3" w:rsidP="00E678B3">
      <w:pPr>
        <w:pStyle w:val="ListParagraph"/>
        <w:numPr>
          <w:ilvl w:val="0"/>
          <w:numId w:val="63"/>
        </w:numPr>
        <w:rPr>
          <w:color w:val="auto"/>
        </w:rPr>
      </w:pPr>
      <w:r w:rsidRPr="007E4AA8">
        <w:rPr>
          <w:color w:val="auto"/>
        </w:rPr>
        <w:t>Rafael Sosa Carmona (oficial de policía a la época)</w:t>
      </w:r>
      <w:r w:rsidRPr="007E4AA8">
        <w:rPr>
          <w:rStyle w:val="FootnoteReference"/>
          <w:color w:val="auto"/>
        </w:rPr>
        <w:footnoteReference w:id="19"/>
      </w:r>
      <w:r w:rsidR="0043369D" w:rsidRPr="007E4AA8">
        <w:rPr>
          <w:color w:val="auto"/>
        </w:rPr>
        <w:t>: indicó</w:t>
      </w:r>
      <w:r w:rsidRPr="007E4AA8">
        <w:rPr>
          <w:color w:val="auto"/>
        </w:rPr>
        <w:t xml:space="preserve"> que se le requirió presentarse en la 11 comisaria junto a otros oficiales, y al llegar se les pidió entregar sus armas, quitarse los zapatos, y camisa y arrodillarse, se les ató un diario con cinta de embalaje, indica que se oía el pedido de auxilio del primer oficial en ingresar “en la sala de tortura”. Indico que a el le pegaron en la cara, le hicieron arrodillar</w:t>
      </w:r>
      <w:r w:rsidR="0043369D" w:rsidRPr="007E4AA8">
        <w:rPr>
          <w:color w:val="auto"/>
        </w:rPr>
        <w:t xml:space="preserve"> esposado, y fue pateado. Afirmó</w:t>
      </w:r>
      <w:r w:rsidRPr="007E4AA8">
        <w:rPr>
          <w:color w:val="auto"/>
        </w:rPr>
        <w:t xml:space="preserve"> que posteriormente fue trasladado a la Agrupación Ecológica donde le dieron sal fina con agua y un calmante y que tras cuatro días </w:t>
      </w:r>
      <w:r w:rsidR="00D621B2" w:rsidRPr="007E4AA8">
        <w:rPr>
          <w:color w:val="auto"/>
        </w:rPr>
        <w:t>salió</w:t>
      </w:r>
      <w:r w:rsidRPr="007E4AA8">
        <w:rPr>
          <w:color w:val="auto"/>
        </w:rPr>
        <w:t xml:space="preserve"> del “cuadrilátero”.</w:t>
      </w:r>
    </w:p>
    <w:p w14:paraId="0A2556A1" w14:textId="77777777" w:rsidR="00E678B3" w:rsidRPr="007E4AA8" w:rsidRDefault="00E678B3" w:rsidP="00E678B3">
      <w:pPr>
        <w:pStyle w:val="ListParagraph"/>
        <w:numPr>
          <w:ilvl w:val="0"/>
          <w:numId w:val="63"/>
        </w:numPr>
        <w:rPr>
          <w:color w:val="auto"/>
        </w:rPr>
      </w:pPr>
      <w:r w:rsidRPr="007E4AA8">
        <w:rPr>
          <w:color w:val="auto"/>
        </w:rPr>
        <w:t>Lorenzo Genes (suboficial de policía a la época)</w:t>
      </w:r>
      <w:r w:rsidRPr="007E4AA8">
        <w:rPr>
          <w:rStyle w:val="FootnoteReference"/>
          <w:color w:val="auto"/>
        </w:rPr>
        <w:footnoteReference w:id="20"/>
      </w:r>
      <w:r w:rsidR="0043369D" w:rsidRPr="007E4AA8">
        <w:rPr>
          <w:color w:val="auto"/>
        </w:rPr>
        <w:t>: indicó</w:t>
      </w:r>
      <w:r w:rsidRPr="007E4AA8">
        <w:rPr>
          <w:color w:val="auto"/>
        </w:rPr>
        <w:t xml:space="preserve"> que fue trasladado el 19 de mayo a la 11 comisaria, que junto a otras personas fue maltratado y esposado con tela del forro de un colchón con las manos hacia atrás, le vendaron con diario y cinta de embalaje, que fue puesto boca abajo y golpeado.</w:t>
      </w:r>
    </w:p>
    <w:p w14:paraId="5579036D" w14:textId="77777777" w:rsidR="009A461D" w:rsidRPr="007E4AA8" w:rsidRDefault="009A461D" w:rsidP="009A461D">
      <w:pPr>
        <w:pStyle w:val="ListParagraph"/>
        <w:ind w:left="720"/>
        <w:rPr>
          <w:color w:val="auto"/>
        </w:rPr>
      </w:pPr>
    </w:p>
    <w:p w14:paraId="1E855B7E" w14:textId="77777777" w:rsidR="009A461D" w:rsidRPr="007E4AA8" w:rsidRDefault="009A461D" w:rsidP="009A461D">
      <w:pPr>
        <w:pStyle w:val="ListParagraph"/>
        <w:numPr>
          <w:ilvl w:val="0"/>
          <w:numId w:val="65"/>
        </w:numPr>
        <w:tabs>
          <w:tab w:val="left" w:pos="360"/>
        </w:tabs>
        <w:rPr>
          <w:color w:val="auto"/>
        </w:rPr>
      </w:pPr>
      <w:r w:rsidRPr="007E4AA8">
        <w:rPr>
          <w:color w:val="auto"/>
        </w:rPr>
        <w:t>Sobre el acceso del señor López a revisión médica:</w:t>
      </w:r>
    </w:p>
    <w:p w14:paraId="7D13C404" w14:textId="77777777" w:rsidR="009A461D" w:rsidRPr="007E4AA8" w:rsidRDefault="009A461D" w:rsidP="009A461D">
      <w:pPr>
        <w:pStyle w:val="ListParagraph"/>
        <w:ind w:left="720"/>
        <w:rPr>
          <w:color w:val="auto"/>
        </w:rPr>
      </w:pPr>
    </w:p>
    <w:p w14:paraId="7A53C616" w14:textId="77777777" w:rsidR="00E678B3" w:rsidRPr="007E4AA8" w:rsidRDefault="00E678B3" w:rsidP="00E678B3">
      <w:pPr>
        <w:pStyle w:val="ListParagraph"/>
        <w:numPr>
          <w:ilvl w:val="0"/>
          <w:numId w:val="63"/>
        </w:numPr>
        <w:rPr>
          <w:color w:val="auto"/>
        </w:rPr>
      </w:pPr>
      <w:r w:rsidRPr="007E4AA8">
        <w:rPr>
          <w:color w:val="auto"/>
        </w:rPr>
        <w:t>José Nicolás Lezcano (médico a la época)</w:t>
      </w:r>
      <w:r w:rsidRPr="007E4AA8">
        <w:rPr>
          <w:rStyle w:val="FootnoteReference"/>
          <w:color w:val="auto"/>
        </w:rPr>
        <w:footnoteReference w:id="21"/>
      </w:r>
      <w:r w:rsidR="0043369D" w:rsidRPr="007E4AA8">
        <w:rPr>
          <w:color w:val="auto"/>
        </w:rPr>
        <w:t>: indicó</w:t>
      </w:r>
      <w:r w:rsidRPr="007E4AA8">
        <w:rPr>
          <w:color w:val="auto"/>
        </w:rPr>
        <w:t xml:space="preserve"> que “lo que a mi me toco ver fue un informe de la agrupación especializada emitida por el comisario Humberto </w:t>
      </w:r>
      <w:r w:rsidR="00612584" w:rsidRPr="007E4AA8">
        <w:rPr>
          <w:color w:val="auto"/>
        </w:rPr>
        <w:t>Núñez</w:t>
      </w:r>
      <w:r w:rsidRPr="007E4AA8">
        <w:rPr>
          <w:color w:val="auto"/>
        </w:rPr>
        <w:t>, en ese informe decía que yo acompañe a la comitiva judicial encabezada por el Dr. Paredes, que era una rutina que el médico de guardia requiere de nuestra presencia, y que no lo acompañemos, fue lo único que hice, no presente ningún escrito al respecto en ningún lado. Fui convocado para verle a unos reclusos que estaban en esa dependencia en la Agrupación Especializada habrá sido, por que no recuerdo haber ido a la comisaría 11”. Afirmó</w:t>
      </w:r>
      <w:r w:rsidR="0043369D" w:rsidRPr="007E4AA8">
        <w:rPr>
          <w:color w:val="auto"/>
        </w:rPr>
        <w:t>:</w:t>
      </w:r>
      <w:r w:rsidRPr="007E4AA8">
        <w:rPr>
          <w:color w:val="auto"/>
        </w:rPr>
        <w:t xml:space="preserve"> “no tengo registrado que haya realizado ninguna inspección médica, simplemente acompañé al Juez que estaba de turno, como yo estaba de turno”. Especificó no recordar fechas.</w:t>
      </w:r>
    </w:p>
    <w:p w14:paraId="7AE324E9" w14:textId="77777777" w:rsidR="00E678B3" w:rsidRPr="007E4AA8" w:rsidRDefault="00E678B3" w:rsidP="00E678B3">
      <w:pPr>
        <w:pStyle w:val="ListParagraph"/>
        <w:numPr>
          <w:ilvl w:val="0"/>
          <w:numId w:val="63"/>
        </w:numPr>
        <w:rPr>
          <w:color w:val="auto"/>
        </w:rPr>
      </w:pPr>
      <w:r w:rsidRPr="007E4AA8">
        <w:rPr>
          <w:color w:val="auto"/>
        </w:rPr>
        <w:lastRenderedPageBreak/>
        <w:t>Carlos Antonio Garrigoza (médico forense a la época)</w:t>
      </w:r>
      <w:r w:rsidRPr="007E4AA8">
        <w:rPr>
          <w:rStyle w:val="FootnoteReference"/>
          <w:color w:val="auto"/>
        </w:rPr>
        <w:footnoteReference w:id="22"/>
      </w:r>
      <w:r w:rsidRPr="007E4AA8">
        <w:rPr>
          <w:color w:val="auto"/>
        </w:rPr>
        <w:t xml:space="preserve">: </w:t>
      </w:r>
      <w:r w:rsidR="0043369D" w:rsidRPr="007E4AA8">
        <w:rPr>
          <w:color w:val="auto"/>
        </w:rPr>
        <w:t>indicó</w:t>
      </w:r>
      <w:r w:rsidRPr="007E4AA8">
        <w:rPr>
          <w:color w:val="auto"/>
        </w:rPr>
        <w:t xml:space="preserve"> que habría inspeccionado a una persona en la </w:t>
      </w:r>
      <w:r w:rsidR="0043369D" w:rsidRPr="007E4AA8">
        <w:rPr>
          <w:color w:val="auto"/>
        </w:rPr>
        <w:t>‘”AE”</w:t>
      </w:r>
      <w:r w:rsidRPr="007E4AA8">
        <w:rPr>
          <w:color w:val="auto"/>
        </w:rPr>
        <w:t xml:space="preserve">, que puede que haya sido el señor López. </w:t>
      </w:r>
    </w:p>
    <w:p w14:paraId="770C06A3" w14:textId="77777777" w:rsidR="00E678B3" w:rsidRPr="007E4AA8" w:rsidRDefault="00E678B3" w:rsidP="00E678B3">
      <w:pPr>
        <w:pStyle w:val="ListParagraph"/>
        <w:numPr>
          <w:ilvl w:val="0"/>
          <w:numId w:val="63"/>
        </w:numPr>
        <w:rPr>
          <w:color w:val="auto"/>
        </w:rPr>
      </w:pPr>
      <w:r w:rsidRPr="007E4AA8">
        <w:rPr>
          <w:color w:val="auto"/>
        </w:rPr>
        <w:t>Juan Humberto Núñez agüero (jefe de la Agrupación Especializada a la época)</w:t>
      </w:r>
      <w:r w:rsidRPr="007E4AA8">
        <w:rPr>
          <w:rStyle w:val="FootnoteReference"/>
          <w:color w:val="auto"/>
        </w:rPr>
        <w:footnoteReference w:id="23"/>
      </w:r>
      <w:r w:rsidR="0043369D" w:rsidRPr="007E4AA8">
        <w:rPr>
          <w:color w:val="auto"/>
        </w:rPr>
        <w:t>: indicó</w:t>
      </w:r>
      <w:r w:rsidRPr="007E4AA8">
        <w:rPr>
          <w:color w:val="auto"/>
        </w:rPr>
        <w:t xml:space="preserve"> que todas las personas que llegaron a la Agrupación Especializada “fueron controlados inspeccionados rigurosamente por el médico de la Unidad Andrés Gómez, yo por resolución de la Ag</w:t>
      </w:r>
      <w:r w:rsidR="0043369D" w:rsidRPr="007E4AA8">
        <w:rPr>
          <w:color w:val="auto"/>
        </w:rPr>
        <w:t>rupación Especializada, habilité</w:t>
      </w:r>
      <w:r w:rsidRPr="007E4AA8">
        <w:rPr>
          <w:color w:val="auto"/>
        </w:rPr>
        <w:t xml:space="preserve"> un libro donde tiene que hacer constar la inspección que el realiza al que viene al quedar recluido”.</w:t>
      </w:r>
    </w:p>
    <w:p w14:paraId="23678F22" w14:textId="77777777" w:rsidR="000E3E0D" w:rsidRPr="007E4AA8" w:rsidRDefault="000E3E0D" w:rsidP="000E3E0D">
      <w:pPr>
        <w:pStyle w:val="ListParagraph"/>
        <w:numPr>
          <w:ilvl w:val="0"/>
          <w:numId w:val="63"/>
        </w:numPr>
        <w:rPr>
          <w:color w:val="auto"/>
        </w:rPr>
      </w:pPr>
      <w:r w:rsidRPr="007E4AA8">
        <w:rPr>
          <w:color w:val="auto"/>
        </w:rPr>
        <w:t>Andrés Alcibíades Gómez Cardozo (médico del hospital de policía a la época)</w:t>
      </w:r>
      <w:r w:rsidRPr="007E4AA8">
        <w:rPr>
          <w:rStyle w:val="FootnoteReference"/>
          <w:color w:val="auto"/>
        </w:rPr>
        <w:footnoteReference w:id="24"/>
      </w:r>
      <w:r w:rsidR="0043369D" w:rsidRPr="007E4AA8">
        <w:rPr>
          <w:color w:val="auto"/>
        </w:rPr>
        <w:t>: Indicó</w:t>
      </w:r>
      <w:r w:rsidRPr="007E4AA8">
        <w:rPr>
          <w:color w:val="auto"/>
        </w:rPr>
        <w:t xml:space="preserve"> que prestaba servicios en el hospital de policía y la Agrupación Especializada, donde había un consultorio médico para examinar. Indico “no recuerdo en honor a la verdad. Si le atendí a Jorge Sosa. Se le exhiba su declaración para que el mismo pueda proceder a su lectura porque hay una diferencia y la declaración en sede fiscal”. </w:t>
      </w:r>
    </w:p>
    <w:p w14:paraId="56EABED4" w14:textId="77777777" w:rsidR="00D03F46" w:rsidRPr="007E4AA8" w:rsidRDefault="00D03F46" w:rsidP="00D03F46">
      <w:pPr>
        <w:pStyle w:val="ListParagraph"/>
        <w:ind w:left="720"/>
        <w:rPr>
          <w:color w:val="auto"/>
        </w:rPr>
      </w:pPr>
    </w:p>
    <w:p w14:paraId="06A79CB1" w14:textId="77777777" w:rsidR="00CB5E8A" w:rsidRPr="007E4AA8" w:rsidRDefault="00D03F46" w:rsidP="00D03F46">
      <w:pPr>
        <w:pStyle w:val="ListParagraph"/>
        <w:numPr>
          <w:ilvl w:val="0"/>
          <w:numId w:val="65"/>
        </w:numPr>
        <w:tabs>
          <w:tab w:val="left" w:pos="360"/>
        </w:tabs>
        <w:rPr>
          <w:color w:val="auto"/>
        </w:rPr>
      </w:pPr>
      <w:r w:rsidRPr="007E4AA8">
        <w:rPr>
          <w:color w:val="auto"/>
        </w:rPr>
        <w:t>Sobre el acceso del señor López a un juez:</w:t>
      </w:r>
    </w:p>
    <w:p w14:paraId="6732E553" w14:textId="77777777" w:rsidR="00D03F46" w:rsidRPr="007E4AA8" w:rsidRDefault="00D03F46" w:rsidP="00D03F46">
      <w:pPr>
        <w:pStyle w:val="ListParagraph"/>
        <w:tabs>
          <w:tab w:val="left" w:pos="360"/>
        </w:tabs>
        <w:ind w:left="720"/>
        <w:rPr>
          <w:color w:val="auto"/>
        </w:rPr>
      </w:pPr>
    </w:p>
    <w:p w14:paraId="269495BE" w14:textId="77777777" w:rsidR="002838C2" w:rsidRPr="007E4AA8" w:rsidRDefault="006C500E" w:rsidP="00617B79">
      <w:pPr>
        <w:pStyle w:val="ListParagraph"/>
        <w:numPr>
          <w:ilvl w:val="0"/>
          <w:numId w:val="63"/>
        </w:numPr>
        <w:rPr>
          <w:color w:val="auto"/>
        </w:rPr>
      </w:pPr>
      <w:r w:rsidRPr="007E4AA8">
        <w:rPr>
          <w:color w:val="auto"/>
        </w:rPr>
        <w:t>Juan Carlos Paredes (juez de primera instancia a la época)</w:t>
      </w:r>
      <w:r w:rsidRPr="007E4AA8">
        <w:rPr>
          <w:rStyle w:val="FootnoteReference"/>
          <w:color w:val="auto"/>
        </w:rPr>
        <w:footnoteReference w:id="25"/>
      </w:r>
      <w:r w:rsidR="0043369D" w:rsidRPr="007E4AA8">
        <w:rPr>
          <w:color w:val="auto"/>
        </w:rPr>
        <w:t>: Indicó</w:t>
      </w:r>
      <w:r w:rsidRPr="007E4AA8">
        <w:rPr>
          <w:color w:val="auto"/>
        </w:rPr>
        <w:t xml:space="preserve"> que</w:t>
      </w:r>
      <w:r w:rsidR="006D59D9" w:rsidRPr="007E4AA8">
        <w:rPr>
          <w:color w:val="auto"/>
        </w:rPr>
        <w:t xml:space="preserve"> “en</w:t>
      </w:r>
      <w:r w:rsidR="0043369D" w:rsidRPr="007E4AA8">
        <w:rPr>
          <w:color w:val="auto"/>
        </w:rPr>
        <w:t xml:space="preserve"> realidad del 19 y 20 no fui, sí</w:t>
      </w:r>
      <w:r w:rsidRPr="007E4AA8">
        <w:rPr>
          <w:color w:val="auto"/>
        </w:rPr>
        <w:t xml:space="preserve"> el 27 de mayo, por disposición de la presidencia de la Corte Suprema,</w:t>
      </w:r>
      <w:r w:rsidR="006D59D9" w:rsidRPr="007E4AA8">
        <w:rPr>
          <w:color w:val="auto"/>
        </w:rPr>
        <w:t xml:space="preserve"> por medio de la superintendencia general (…) nos </w:t>
      </w:r>
      <w:r w:rsidR="0043369D" w:rsidRPr="007E4AA8">
        <w:rPr>
          <w:color w:val="auto"/>
        </w:rPr>
        <w:t>convocó</w:t>
      </w:r>
      <w:r w:rsidRPr="007E4AA8">
        <w:rPr>
          <w:color w:val="auto"/>
        </w:rPr>
        <w:t xml:space="preserve"> a varios jueces de primera instancia</w:t>
      </w:r>
      <w:r w:rsidR="006D59D9" w:rsidRPr="007E4AA8">
        <w:rPr>
          <w:color w:val="auto"/>
        </w:rPr>
        <w:t>”</w:t>
      </w:r>
      <w:r w:rsidRPr="007E4AA8">
        <w:rPr>
          <w:color w:val="auto"/>
        </w:rPr>
        <w:t xml:space="preserve">, y se les encomendó ir a lugares donde estaban recluidas personas en virtud del estado de excepción a fin de verificar el lugar y condiciones de los detenidos, y si tenían asistencia médica. En su caso asistió con la Dra. Del Puerto del menor y Marian Antonia de la jurisdicción civil a visitar el FOPE y la Agrupación Especializada. </w:t>
      </w:r>
      <w:r w:rsidR="0043369D" w:rsidRPr="007E4AA8">
        <w:rPr>
          <w:color w:val="auto"/>
        </w:rPr>
        <w:t>Afirmó</w:t>
      </w:r>
      <w:r w:rsidRPr="007E4AA8">
        <w:rPr>
          <w:color w:val="auto"/>
        </w:rPr>
        <w:t xml:space="preserve"> que en la Agrupación Especializada entrevistó a 7 o 10 personas, y refirió que el señor López “dijo que fue objeto de malos tratos en la comisaria 11, me dijo que en la AE no tuvo maltrato y en la 11 a cargo de Pavón y comisario Palacio don</w:t>
      </w:r>
      <w:r w:rsidR="0043369D" w:rsidRPr="007E4AA8">
        <w:rPr>
          <w:color w:val="auto"/>
        </w:rPr>
        <w:t>de se le maltrato y se le golpeó</w:t>
      </w:r>
      <w:r w:rsidRPr="007E4AA8">
        <w:rPr>
          <w:color w:val="auto"/>
        </w:rPr>
        <w:t xml:space="preserve"> en la planta de los pies, con nosotros estaba el forense Nicolás Lezcano y </w:t>
      </w:r>
      <w:r w:rsidR="0043369D" w:rsidRPr="007E4AA8">
        <w:rPr>
          <w:color w:val="auto"/>
        </w:rPr>
        <w:t>el sentó en el acta que se labró</w:t>
      </w:r>
      <w:r w:rsidRPr="007E4AA8">
        <w:rPr>
          <w:color w:val="auto"/>
        </w:rPr>
        <w:t xml:space="preserve"> en esa oportunidad, lo que él refería y los rastros que quedaban”. Sobre la ins</w:t>
      </w:r>
      <w:r w:rsidR="0043369D" w:rsidRPr="007E4AA8">
        <w:rPr>
          <w:color w:val="auto"/>
        </w:rPr>
        <w:t>pección del señor Lezcano indicó</w:t>
      </w:r>
      <w:r w:rsidRPr="007E4AA8">
        <w:rPr>
          <w:color w:val="auto"/>
        </w:rPr>
        <w:t xml:space="preserve"> que “no fue un examen muy profundo, si no para verificar si había lesiones a la vista más bien”. </w:t>
      </w:r>
    </w:p>
    <w:p w14:paraId="2D4165C7" w14:textId="77777777" w:rsidR="00617B79" w:rsidRPr="007E4AA8" w:rsidRDefault="00617B79" w:rsidP="002838C2">
      <w:pPr>
        <w:pStyle w:val="ListParagraph"/>
        <w:ind w:left="720"/>
        <w:rPr>
          <w:color w:val="auto"/>
        </w:rPr>
      </w:pPr>
    </w:p>
    <w:p w14:paraId="40EA4F45" w14:textId="77777777" w:rsidR="00617B79" w:rsidRPr="007E4AA8" w:rsidRDefault="00617B79" w:rsidP="00617B7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Consta que</w:t>
      </w:r>
      <w:r w:rsidR="00F550F6" w:rsidRPr="007E4AA8">
        <w:rPr>
          <w:rFonts w:asciiTheme="majorHAnsi" w:hAnsiTheme="majorHAnsi"/>
          <w:sz w:val="20"/>
          <w:szCs w:val="20"/>
          <w:lang w:val="es-ES"/>
        </w:rPr>
        <w:t xml:space="preserve">, </w:t>
      </w:r>
      <w:r w:rsidRPr="007E4AA8">
        <w:rPr>
          <w:rFonts w:asciiTheme="majorHAnsi" w:hAnsiTheme="majorHAnsi"/>
          <w:sz w:val="20"/>
          <w:szCs w:val="20"/>
          <w:lang w:val="es-ES"/>
        </w:rPr>
        <w:t xml:space="preserve">mediante nota No. 62/2000 </w:t>
      </w:r>
      <w:r w:rsidR="00405A1F" w:rsidRPr="007E4AA8">
        <w:rPr>
          <w:rFonts w:asciiTheme="majorHAnsi" w:hAnsiTheme="majorHAnsi"/>
          <w:sz w:val="20"/>
          <w:szCs w:val="20"/>
          <w:lang w:val="es-ES"/>
        </w:rPr>
        <w:t xml:space="preserve">(se desconoce fecha) </w:t>
      </w:r>
      <w:r w:rsidRPr="007E4AA8">
        <w:rPr>
          <w:rFonts w:asciiTheme="majorHAnsi" w:hAnsiTheme="majorHAnsi"/>
          <w:sz w:val="20"/>
          <w:szCs w:val="20"/>
          <w:lang w:val="es-ES"/>
        </w:rPr>
        <w:t>dirigida al Jefe de Policía Metropolitana, por el Crio. Dejap. Pavón, se comunicó el arresto de varios oficiales, dentro de los cuáles estaba el señor Jorge López, indicándose que “fueron arrestados por su presunta participación en el intento de ataque contra la residencia del ministro del Interior, Walter Bower”</w:t>
      </w:r>
      <w:r w:rsidRPr="007E4AA8">
        <w:rPr>
          <w:rStyle w:val="FootnoteReference"/>
          <w:rFonts w:asciiTheme="majorHAnsi" w:hAnsiTheme="majorHAnsi"/>
          <w:sz w:val="20"/>
          <w:szCs w:val="20"/>
          <w:lang w:val="es-ES"/>
        </w:rPr>
        <w:footnoteReference w:id="26"/>
      </w:r>
      <w:r w:rsidRPr="007E4AA8">
        <w:rPr>
          <w:rFonts w:asciiTheme="majorHAnsi" w:hAnsiTheme="majorHAnsi"/>
          <w:sz w:val="20"/>
          <w:szCs w:val="20"/>
          <w:lang w:val="es-ES"/>
        </w:rPr>
        <w:t xml:space="preserve">. </w:t>
      </w:r>
    </w:p>
    <w:p w14:paraId="77EFEAF2" w14:textId="77777777" w:rsidR="00617B79" w:rsidRPr="007E4AA8" w:rsidRDefault="00617B79" w:rsidP="00617B79">
      <w:pPr>
        <w:tabs>
          <w:tab w:val="left" w:pos="360"/>
        </w:tabs>
        <w:jc w:val="both"/>
        <w:rPr>
          <w:rFonts w:asciiTheme="majorHAnsi" w:hAnsiTheme="majorHAnsi"/>
          <w:sz w:val="20"/>
          <w:szCs w:val="20"/>
          <w:lang w:val="es-ES"/>
        </w:rPr>
      </w:pPr>
    </w:p>
    <w:p w14:paraId="4A1540CC" w14:textId="77777777" w:rsidR="00617B79" w:rsidRPr="007E4AA8" w:rsidRDefault="00C911D4" w:rsidP="00617B7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M</w:t>
      </w:r>
      <w:r w:rsidR="00137F3D" w:rsidRPr="007E4AA8">
        <w:rPr>
          <w:rFonts w:asciiTheme="majorHAnsi" w:hAnsiTheme="majorHAnsi"/>
          <w:sz w:val="20"/>
          <w:szCs w:val="20"/>
          <w:lang w:val="es-ES"/>
        </w:rPr>
        <w:t>ediante</w:t>
      </w:r>
      <w:r w:rsidR="00617B79" w:rsidRPr="007E4AA8">
        <w:rPr>
          <w:rFonts w:asciiTheme="majorHAnsi" w:hAnsiTheme="majorHAnsi"/>
          <w:sz w:val="20"/>
          <w:szCs w:val="20"/>
          <w:lang w:val="es-ES"/>
        </w:rPr>
        <w:t xml:space="preserve"> resolución de 26 de mayo de 2000, la Corte Suprema dispuso que, dentro de las siguientes 48 horas, los jueces de primera instancia de toda la República visitaran los lugares donde se encontraran personas indiciadas en el marco del estado de excepción a fin de garantizar la libre comunicación, verificar la detención y disponer revisiones médicas pertinentes</w:t>
      </w:r>
      <w:r w:rsidR="00617B79" w:rsidRPr="007E4AA8">
        <w:rPr>
          <w:rStyle w:val="FootnoteReference"/>
          <w:rFonts w:asciiTheme="majorHAnsi" w:hAnsiTheme="majorHAnsi"/>
          <w:sz w:val="20"/>
          <w:szCs w:val="20"/>
          <w:lang w:val="es-ES"/>
        </w:rPr>
        <w:footnoteReference w:id="27"/>
      </w:r>
      <w:r w:rsidR="00617B79" w:rsidRPr="007E4AA8">
        <w:rPr>
          <w:rFonts w:asciiTheme="majorHAnsi" w:hAnsiTheme="majorHAnsi"/>
          <w:sz w:val="20"/>
          <w:szCs w:val="20"/>
          <w:lang w:val="es-ES"/>
        </w:rPr>
        <w:t xml:space="preserve">. </w:t>
      </w:r>
    </w:p>
    <w:p w14:paraId="2C63A7C1" w14:textId="77777777" w:rsidR="00617B79" w:rsidRPr="007E4AA8" w:rsidRDefault="00617B79" w:rsidP="002838C2">
      <w:pPr>
        <w:pStyle w:val="ListParagraph"/>
        <w:ind w:left="720"/>
        <w:rPr>
          <w:color w:val="auto"/>
        </w:rPr>
      </w:pPr>
    </w:p>
    <w:p w14:paraId="06276232" w14:textId="77777777" w:rsidR="00471488" w:rsidRPr="007E4AA8" w:rsidRDefault="00471488" w:rsidP="00B111A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Consta que</w:t>
      </w:r>
      <w:r w:rsidR="009C542D" w:rsidRPr="007E4AA8">
        <w:rPr>
          <w:rFonts w:asciiTheme="majorHAnsi" w:hAnsiTheme="majorHAnsi"/>
          <w:sz w:val="20"/>
          <w:szCs w:val="20"/>
          <w:lang w:val="es-ES"/>
        </w:rPr>
        <w:t>,</w:t>
      </w:r>
      <w:r w:rsidRPr="007E4AA8">
        <w:rPr>
          <w:rFonts w:asciiTheme="majorHAnsi" w:hAnsiTheme="majorHAnsi"/>
          <w:sz w:val="20"/>
          <w:szCs w:val="20"/>
          <w:lang w:val="es-ES"/>
        </w:rPr>
        <w:t xml:space="preserve"> el 7 de junio de 2000, el Juzgado de Instrucción del Cuarto Turno se constituyó en la sede de la Agrupación Especializada, estando presente el juez instructor, el fiscal general de juzgados, el procurador adjunto a la Procuraduría General de la República, a fin de tomar declaración indagatoria a Jorge López, relativo a un sumario administrativo por “supuestos hechos de incumplimiento deliberado de deberes y obligaciones establecidos en la Ley y los Reglamentos e insubordinación (supuesta participación en intento de golpe de </w:t>
      </w:r>
      <w:r w:rsidRPr="007E4AA8">
        <w:rPr>
          <w:rFonts w:asciiTheme="majorHAnsi" w:hAnsiTheme="majorHAnsi"/>
          <w:sz w:val="20"/>
          <w:szCs w:val="20"/>
          <w:lang w:val="es-ES"/>
        </w:rPr>
        <w:lastRenderedPageBreak/>
        <w:t xml:space="preserve">Estado)”. </w:t>
      </w:r>
      <w:r w:rsidR="002E3461" w:rsidRPr="007E4AA8">
        <w:rPr>
          <w:rFonts w:asciiTheme="majorHAnsi" w:hAnsiTheme="majorHAnsi"/>
          <w:sz w:val="20"/>
          <w:szCs w:val="20"/>
          <w:lang w:val="es-ES"/>
        </w:rPr>
        <w:t xml:space="preserve">En el acto </w:t>
      </w:r>
      <w:r w:rsidRPr="007E4AA8">
        <w:rPr>
          <w:rFonts w:asciiTheme="majorHAnsi" w:hAnsiTheme="majorHAnsi"/>
          <w:sz w:val="20"/>
          <w:szCs w:val="20"/>
          <w:lang w:val="es-ES"/>
        </w:rPr>
        <w:t>se le inform</w:t>
      </w:r>
      <w:r w:rsidR="002E3461" w:rsidRPr="007E4AA8">
        <w:rPr>
          <w:rFonts w:asciiTheme="majorHAnsi" w:hAnsiTheme="majorHAnsi"/>
          <w:sz w:val="20"/>
          <w:szCs w:val="20"/>
          <w:lang w:val="es-ES"/>
        </w:rPr>
        <w:t>ó</w:t>
      </w:r>
      <w:r w:rsidRPr="007E4AA8">
        <w:rPr>
          <w:rFonts w:asciiTheme="majorHAnsi" w:hAnsiTheme="majorHAnsi"/>
          <w:sz w:val="20"/>
          <w:szCs w:val="20"/>
          <w:lang w:val="es-ES"/>
        </w:rPr>
        <w:t xml:space="preserve"> de las garantías constitucionales del artículo 17 inciso 5 y 7, sobre contar con “los recaudos sumariales” y del derecho a nombrar abogado defensor que lo asista en la causa o a contar con un defensor provisto por la Dirección de Justicia Policial. En dicho acto el señor López nombr</w:t>
      </w:r>
      <w:r w:rsidR="00C00346" w:rsidRPr="007E4AA8">
        <w:rPr>
          <w:rFonts w:asciiTheme="majorHAnsi" w:hAnsiTheme="majorHAnsi"/>
          <w:sz w:val="20"/>
          <w:szCs w:val="20"/>
          <w:lang w:val="es-ES"/>
        </w:rPr>
        <w:t>ó</w:t>
      </w:r>
      <w:r w:rsidRPr="007E4AA8">
        <w:rPr>
          <w:rFonts w:asciiTheme="majorHAnsi" w:hAnsiTheme="majorHAnsi"/>
          <w:sz w:val="20"/>
          <w:szCs w:val="20"/>
          <w:lang w:val="es-ES"/>
        </w:rPr>
        <w:t xml:space="preserve"> un defensor. </w:t>
      </w:r>
      <w:r w:rsidR="00C00346" w:rsidRPr="007E4AA8">
        <w:rPr>
          <w:rFonts w:asciiTheme="majorHAnsi" w:hAnsiTheme="majorHAnsi"/>
          <w:sz w:val="20"/>
          <w:szCs w:val="20"/>
          <w:lang w:val="es-ES"/>
        </w:rPr>
        <w:t xml:space="preserve">Consta en el acta de declaración que se levantó, </w:t>
      </w:r>
      <w:r w:rsidRPr="007E4AA8">
        <w:rPr>
          <w:rFonts w:asciiTheme="majorHAnsi" w:hAnsiTheme="majorHAnsi"/>
          <w:sz w:val="20"/>
          <w:szCs w:val="20"/>
          <w:lang w:val="es-ES"/>
        </w:rPr>
        <w:t>que el señor López refirió</w:t>
      </w:r>
      <w:r w:rsidR="00347310" w:rsidRPr="007E4AA8">
        <w:rPr>
          <w:rFonts w:asciiTheme="majorHAnsi" w:hAnsiTheme="majorHAnsi"/>
          <w:sz w:val="20"/>
          <w:szCs w:val="20"/>
          <w:lang w:val="es-ES"/>
        </w:rPr>
        <w:t xml:space="preserve"> haber recibido</w:t>
      </w:r>
      <w:r w:rsidRPr="007E4AA8">
        <w:rPr>
          <w:rFonts w:asciiTheme="majorHAnsi" w:hAnsiTheme="majorHAnsi"/>
          <w:sz w:val="20"/>
          <w:szCs w:val="20"/>
          <w:lang w:val="es-ES"/>
        </w:rPr>
        <w:t xml:space="preserve"> malos tratos</w:t>
      </w:r>
      <w:r w:rsidRPr="007E4AA8">
        <w:rPr>
          <w:rStyle w:val="FootnoteReference"/>
          <w:rFonts w:asciiTheme="majorHAnsi" w:hAnsiTheme="majorHAnsi"/>
          <w:sz w:val="20"/>
          <w:szCs w:val="20"/>
          <w:lang w:val="es-ES"/>
        </w:rPr>
        <w:footnoteReference w:id="28"/>
      </w:r>
      <w:r w:rsidRPr="007E4AA8">
        <w:rPr>
          <w:rFonts w:asciiTheme="majorHAnsi" w:hAnsiTheme="majorHAnsi"/>
          <w:sz w:val="20"/>
          <w:szCs w:val="20"/>
          <w:lang w:val="es-ES"/>
        </w:rPr>
        <w:t>.</w:t>
      </w:r>
    </w:p>
    <w:p w14:paraId="2FEECBCA" w14:textId="77777777" w:rsidR="00D168DE" w:rsidRPr="007E4AA8" w:rsidRDefault="00D168DE" w:rsidP="00D168DE">
      <w:pPr>
        <w:pStyle w:val="ListParagraph"/>
        <w:rPr>
          <w:color w:val="auto"/>
        </w:rPr>
      </w:pPr>
    </w:p>
    <w:p w14:paraId="770CE3FD" w14:textId="77777777" w:rsidR="00D168DE" w:rsidRPr="007E4AA8" w:rsidRDefault="005A6F29" w:rsidP="00B111A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M</w:t>
      </w:r>
      <w:r w:rsidR="00702771" w:rsidRPr="007E4AA8">
        <w:rPr>
          <w:rFonts w:asciiTheme="majorHAnsi" w:hAnsiTheme="majorHAnsi"/>
          <w:sz w:val="20"/>
          <w:szCs w:val="20"/>
          <w:lang w:val="es-ES"/>
        </w:rPr>
        <w:t xml:space="preserve">ediante </w:t>
      </w:r>
      <w:r w:rsidR="00D168DE" w:rsidRPr="007E4AA8">
        <w:rPr>
          <w:rFonts w:asciiTheme="majorHAnsi" w:hAnsiTheme="majorHAnsi"/>
          <w:sz w:val="20"/>
          <w:szCs w:val="20"/>
          <w:lang w:val="es-ES"/>
        </w:rPr>
        <w:t>Decreto Presidencial de 20 de julio de 2000 se dio de baja al oficial inspector Jorge López por “faltas graves cometidas en el desempeño de sus funciones”</w:t>
      </w:r>
      <w:r w:rsidR="00D168DE" w:rsidRPr="007E4AA8">
        <w:rPr>
          <w:rStyle w:val="FootnoteReference"/>
          <w:rFonts w:asciiTheme="majorHAnsi" w:hAnsiTheme="majorHAnsi"/>
          <w:sz w:val="20"/>
          <w:szCs w:val="20"/>
          <w:lang w:val="es-ES"/>
        </w:rPr>
        <w:footnoteReference w:id="29"/>
      </w:r>
      <w:r w:rsidR="00D168DE" w:rsidRPr="007E4AA8">
        <w:rPr>
          <w:rFonts w:asciiTheme="majorHAnsi" w:hAnsiTheme="majorHAnsi"/>
          <w:sz w:val="20"/>
          <w:szCs w:val="20"/>
          <w:lang w:val="es-ES"/>
        </w:rPr>
        <w:t>.</w:t>
      </w:r>
    </w:p>
    <w:p w14:paraId="4493586C" w14:textId="77777777" w:rsidR="003F09E9" w:rsidRPr="007E4AA8" w:rsidRDefault="003F09E9" w:rsidP="003F09E9">
      <w:pPr>
        <w:pStyle w:val="ListParagraph"/>
        <w:rPr>
          <w:color w:val="auto"/>
        </w:rPr>
      </w:pPr>
    </w:p>
    <w:p w14:paraId="63B3F648" w14:textId="77777777" w:rsidR="003F09E9" w:rsidRPr="007E4AA8" w:rsidRDefault="003F09E9" w:rsidP="003F09E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El señor López estuvo detenido hasta diciembre de 2000, tras lo cual fue liberado con reclusión domiciliaria</w:t>
      </w:r>
      <w:r w:rsidRPr="007E4AA8">
        <w:rPr>
          <w:rStyle w:val="FootnoteReference"/>
          <w:rFonts w:asciiTheme="majorHAnsi" w:hAnsiTheme="majorHAnsi"/>
          <w:sz w:val="20"/>
          <w:szCs w:val="20"/>
          <w:lang w:val="es-ES"/>
        </w:rPr>
        <w:footnoteReference w:id="30"/>
      </w:r>
      <w:r w:rsidRPr="007E4AA8">
        <w:rPr>
          <w:rFonts w:asciiTheme="majorHAnsi" w:hAnsiTheme="majorHAnsi"/>
          <w:sz w:val="20"/>
          <w:szCs w:val="20"/>
          <w:lang w:val="es-ES"/>
        </w:rPr>
        <w:t>.</w:t>
      </w:r>
    </w:p>
    <w:p w14:paraId="09FC1A33" w14:textId="77777777" w:rsidR="00617B79" w:rsidRPr="007E4AA8" w:rsidRDefault="00617B79" w:rsidP="00617B79">
      <w:pPr>
        <w:pStyle w:val="ListParagraph"/>
        <w:rPr>
          <w:color w:val="auto"/>
        </w:rPr>
      </w:pPr>
    </w:p>
    <w:p w14:paraId="2785DB8A" w14:textId="77777777" w:rsidR="002E3461" w:rsidRPr="007E4AA8" w:rsidRDefault="00617B79" w:rsidP="002E3461">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Consta que</w:t>
      </w:r>
      <w:r w:rsidR="003F09E9" w:rsidRPr="007E4AA8">
        <w:rPr>
          <w:rFonts w:asciiTheme="majorHAnsi" w:hAnsiTheme="majorHAnsi"/>
          <w:sz w:val="20"/>
          <w:szCs w:val="20"/>
          <w:lang w:val="es-ES"/>
        </w:rPr>
        <w:t>,</w:t>
      </w:r>
      <w:r w:rsidRPr="007E4AA8">
        <w:rPr>
          <w:rFonts w:asciiTheme="majorHAnsi" w:hAnsiTheme="majorHAnsi"/>
          <w:sz w:val="20"/>
          <w:szCs w:val="20"/>
          <w:lang w:val="es-ES"/>
        </w:rPr>
        <w:t xml:space="preserve"> se habría iniciado un sumario administrativo instruido por maltrato físico en la dependencia de la Comisaría 11 Metropolitana, en el cual mediante resolución de 12 de diciembre de 2000 se resolvió sobreseer a cinco oficiales de policía</w:t>
      </w:r>
      <w:r w:rsidRPr="007E4AA8">
        <w:rPr>
          <w:rStyle w:val="FootnoteReference"/>
          <w:rFonts w:asciiTheme="majorHAnsi" w:hAnsiTheme="majorHAnsi"/>
          <w:sz w:val="20"/>
          <w:szCs w:val="20"/>
          <w:lang w:val="es-ES"/>
        </w:rPr>
        <w:footnoteReference w:id="31"/>
      </w:r>
      <w:r w:rsidRPr="007E4AA8">
        <w:rPr>
          <w:rFonts w:asciiTheme="majorHAnsi" w:hAnsiTheme="majorHAnsi"/>
          <w:sz w:val="20"/>
          <w:szCs w:val="20"/>
          <w:lang w:val="es-ES"/>
        </w:rPr>
        <w:t>.</w:t>
      </w:r>
    </w:p>
    <w:p w14:paraId="5543FBC6" w14:textId="77777777" w:rsidR="00E362D9" w:rsidRPr="007E4AA8" w:rsidRDefault="00E362D9" w:rsidP="00B24F71">
      <w:pPr>
        <w:pStyle w:val="ListParagraph"/>
        <w:rPr>
          <w:color w:val="auto"/>
        </w:rPr>
      </w:pPr>
    </w:p>
    <w:p w14:paraId="2C1EAF13" w14:textId="77777777" w:rsidR="00471488" w:rsidRPr="007E4AA8" w:rsidRDefault="00E362D9" w:rsidP="004E0AC0">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w:t>
      </w:r>
      <w:r w:rsidR="00D13906" w:rsidRPr="007E4AA8">
        <w:rPr>
          <w:rFonts w:asciiTheme="majorHAnsi" w:hAnsiTheme="majorHAnsi"/>
          <w:sz w:val="20"/>
          <w:szCs w:val="20"/>
          <w:lang w:val="es-ES"/>
        </w:rPr>
        <w:t>l</w:t>
      </w:r>
      <w:r w:rsidRPr="007E4AA8">
        <w:rPr>
          <w:rFonts w:asciiTheme="majorHAnsi" w:hAnsiTheme="majorHAnsi"/>
          <w:sz w:val="20"/>
          <w:szCs w:val="20"/>
          <w:lang w:val="es-ES"/>
        </w:rPr>
        <w:t xml:space="preserve"> 19 de julio de 2000 </w:t>
      </w:r>
      <w:r w:rsidRPr="007E4AA8">
        <w:rPr>
          <w:rFonts w:ascii="Cambria" w:hAnsi="Cambria"/>
          <w:sz w:val="20"/>
          <w:szCs w:val="20"/>
          <w:lang w:val="es-ES"/>
        </w:rPr>
        <w:t>el Ministerio Público</w:t>
      </w:r>
      <w:r w:rsidRPr="007E4AA8">
        <w:rPr>
          <w:rFonts w:asciiTheme="majorHAnsi" w:hAnsiTheme="majorHAnsi"/>
          <w:sz w:val="20"/>
          <w:szCs w:val="20"/>
          <w:lang w:val="es-ES"/>
        </w:rPr>
        <w:t xml:space="preserve"> inició </w:t>
      </w:r>
      <w:r w:rsidR="00B0015C" w:rsidRPr="007E4AA8">
        <w:rPr>
          <w:rFonts w:asciiTheme="majorHAnsi" w:hAnsiTheme="majorHAnsi"/>
          <w:sz w:val="20"/>
          <w:szCs w:val="20"/>
          <w:lang w:val="es-ES"/>
        </w:rPr>
        <w:t xml:space="preserve">una </w:t>
      </w:r>
      <w:r w:rsidRPr="007E4AA8">
        <w:rPr>
          <w:rFonts w:asciiTheme="majorHAnsi" w:hAnsiTheme="majorHAnsi"/>
          <w:sz w:val="20"/>
          <w:szCs w:val="20"/>
          <w:lang w:val="es-ES"/>
        </w:rPr>
        <w:t>investigaci</w:t>
      </w:r>
      <w:r w:rsidR="00B0015C" w:rsidRPr="007E4AA8">
        <w:rPr>
          <w:rFonts w:asciiTheme="majorHAnsi" w:hAnsiTheme="majorHAnsi"/>
          <w:sz w:val="20"/>
          <w:szCs w:val="20"/>
          <w:lang w:val="es-ES"/>
        </w:rPr>
        <w:t>ón</w:t>
      </w:r>
      <w:r w:rsidRPr="007E4AA8">
        <w:rPr>
          <w:rFonts w:asciiTheme="majorHAnsi" w:hAnsiTheme="majorHAnsi"/>
          <w:sz w:val="20"/>
          <w:szCs w:val="20"/>
          <w:lang w:val="es-ES"/>
        </w:rPr>
        <w:t xml:space="preserve"> tras recibir la manifestación del señor López.</w:t>
      </w:r>
      <w:r w:rsidR="004E0AC0" w:rsidRPr="007E4AA8">
        <w:rPr>
          <w:rFonts w:asciiTheme="majorHAnsi" w:hAnsiTheme="majorHAnsi"/>
          <w:sz w:val="20"/>
          <w:szCs w:val="20"/>
          <w:lang w:val="es-ES"/>
        </w:rPr>
        <w:t xml:space="preserve"> </w:t>
      </w:r>
      <w:r w:rsidR="001E0C1F" w:rsidRPr="007E4AA8">
        <w:rPr>
          <w:rFonts w:ascii="Cambria" w:hAnsi="Cambria"/>
          <w:sz w:val="20"/>
          <w:szCs w:val="20"/>
          <w:lang w:val="es-ES"/>
        </w:rPr>
        <w:t xml:space="preserve">El </w:t>
      </w:r>
      <w:r w:rsidR="00476BEE" w:rsidRPr="007E4AA8">
        <w:rPr>
          <w:rFonts w:ascii="Cambria" w:hAnsi="Cambria"/>
          <w:sz w:val="20"/>
          <w:szCs w:val="20"/>
          <w:lang w:val="es-ES"/>
        </w:rPr>
        <w:t xml:space="preserve">11 de junio de 2001 el </w:t>
      </w:r>
      <w:r w:rsidR="001E0C1F" w:rsidRPr="007E4AA8">
        <w:rPr>
          <w:rFonts w:ascii="Cambria" w:hAnsi="Cambria"/>
          <w:sz w:val="20"/>
          <w:szCs w:val="20"/>
          <w:lang w:val="es-ES"/>
        </w:rPr>
        <w:t>Ministerio Público formul</w:t>
      </w:r>
      <w:r w:rsidR="008D7B7E" w:rsidRPr="007E4AA8">
        <w:rPr>
          <w:rFonts w:ascii="Cambria" w:hAnsi="Cambria"/>
          <w:sz w:val="20"/>
          <w:szCs w:val="20"/>
          <w:lang w:val="es-ES"/>
        </w:rPr>
        <w:t>ó</w:t>
      </w:r>
      <w:r w:rsidR="001E0C1F" w:rsidRPr="007E4AA8">
        <w:rPr>
          <w:rFonts w:ascii="Cambria" w:hAnsi="Cambria"/>
          <w:sz w:val="20"/>
          <w:szCs w:val="20"/>
          <w:lang w:val="es-ES"/>
        </w:rPr>
        <w:t xml:space="preserve"> acusación contra 3 agentes, por el delito de tortura</w:t>
      </w:r>
      <w:r w:rsidR="00471488" w:rsidRPr="007E4AA8">
        <w:rPr>
          <w:rFonts w:ascii="Cambria" w:hAnsi="Cambria"/>
          <w:sz w:val="20"/>
          <w:szCs w:val="20"/>
          <w:lang w:val="es-ES"/>
        </w:rPr>
        <w:t xml:space="preserve"> (artículo 309, inciso 1, numeral 1 letra e) del Código Penal), en los tipos penales descritos en los artículos 307 y 308 del referido Código (lesión corporal en el ejercicio de funciones públicas y coacción respecto de declaraciones)</w:t>
      </w:r>
      <w:r w:rsidR="001E0C1F" w:rsidRPr="007E4AA8">
        <w:rPr>
          <w:rFonts w:ascii="Cambria" w:hAnsi="Cambria"/>
          <w:sz w:val="20"/>
          <w:szCs w:val="20"/>
          <w:lang w:val="es-ES"/>
        </w:rPr>
        <w:t>, y solicit</w:t>
      </w:r>
      <w:r w:rsidR="004E0AC0" w:rsidRPr="007E4AA8">
        <w:rPr>
          <w:rFonts w:ascii="Cambria" w:hAnsi="Cambria"/>
          <w:sz w:val="20"/>
          <w:szCs w:val="20"/>
          <w:lang w:val="es-ES"/>
        </w:rPr>
        <w:t>ó</w:t>
      </w:r>
      <w:r w:rsidR="001E0C1F" w:rsidRPr="007E4AA8">
        <w:rPr>
          <w:rFonts w:ascii="Cambria" w:hAnsi="Cambria"/>
          <w:sz w:val="20"/>
          <w:szCs w:val="20"/>
          <w:lang w:val="es-ES"/>
        </w:rPr>
        <w:t xml:space="preserve"> la apertura a juicio</w:t>
      </w:r>
      <w:r w:rsidR="00471488" w:rsidRPr="007E4AA8">
        <w:rPr>
          <w:rFonts w:ascii="Cambria" w:hAnsi="Cambria"/>
          <w:sz w:val="20"/>
          <w:szCs w:val="20"/>
          <w:lang w:val="es-ES"/>
        </w:rPr>
        <w:t>.</w:t>
      </w:r>
      <w:r w:rsidR="001E0C1F" w:rsidRPr="007E4AA8">
        <w:rPr>
          <w:rFonts w:ascii="Cambria" w:hAnsi="Cambria"/>
          <w:sz w:val="20"/>
          <w:szCs w:val="20"/>
          <w:lang w:val="es-ES"/>
        </w:rPr>
        <w:t xml:space="preserve"> </w:t>
      </w:r>
      <w:r w:rsidR="00471488" w:rsidRPr="007E4AA8">
        <w:rPr>
          <w:rFonts w:ascii="Cambria" w:hAnsi="Cambria"/>
          <w:sz w:val="20"/>
          <w:szCs w:val="20"/>
          <w:lang w:val="es-ES"/>
        </w:rPr>
        <w:t>Conforme a la acusación, Jorge López y otros oficiales y suboficiales habrían declarado haber recibido apremios en la Comisaría 11 Metropolitana y en la Infantería de Marina</w:t>
      </w:r>
      <w:r w:rsidR="00471488" w:rsidRPr="007E4AA8">
        <w:rPr>
          <w:rStyle w:val="FootnoteReference"/>
          <w:rFonts w:ascii="Cambria" w:hAnsi="Cambria"/>
          <w:sz w:val="20"/>
          <w:szCs w:val="20"/>
          <w:lang w:val="es-ES"/>
        </w:rPr>
        <w:footnoteReference w:id="32"/>
      </w:r>
      <w:r w:rsidR="00471488" w:rsidRPr="007E4AA8">
        <w:rPr>
          <w:rFonts w:ascii="Cambria" w:hAnsi="Cambria"/>
          <w:sz w:val="20"/>
          <w:szCs w:val="20"/>
          <w:lang w:val="es-ES"/>
        </w:rPr>
        <w:t xml:space="preserve">. </w:t>
      </w:r>
    </w:p>
    <w:p w14:paraId="302F4511" w14:textId="77777777" w:rsidR="00471488" w:rsidRPr="007E4AA8" w:rsidRDefault="00471488" w:rsidP="00471488">
      <w:pPr>
        <w:rPr>
          <w:sz w:val="20"/>
          <w:szCs w:val="20"/>
          <w:lang w:val="es-ES"/>
        </w:rPr>
      </w:pPr>
    </w:p>
    <w:p w14:paraId="20797CDD" w14:textId="77777777" w:rsidR="004E0AC0" w:rsidRPr="007E4AA8" w:rsidRDefault="004E0AC0" w:rsidP="004E0AC0">
      <w:pPr>
        <w:numPr>
          <w:ilvl w:val="0"/>
          <w:numId w:val="55"/>
        </w:numPr>
        <w:tabs>
          <w:tab w:val="left" w:pos="360"/>
        </w:tabs>
        <w:ind w:left="0" w:firstLine="0"/>
        <w:jc w:val="both"/>
        <w:rPr>
          <w:rFonts w:asciiTheme="majorHAnsi" w:hAnsiTheme="majorHAnsi"/>
          <w:sz w:val="20"/>
          <w:szCs w:val="20"/>
          <w:lang w:val="es-ES"/>
        </w:rPr>
      </w:pPr>
      <w:r w:rsidRPr="007E4AA8">
        <w:rPr>
          <w:rFonts w:ascii="Cambria" w:hAnsi="Cambria"/>
          <w:sz w:val="20"/>
          <w:szCs w:val="20"/>
          <w:lang w:val="es-ES"/>
        </w:rPr>
        <w:t>S</w:t>
      </w:r>
      <w:r w:rsidR="001E0C1F" w:rsidRPr="007E4AA8">
        <w:rPr>
          <w:rFonts w:ascii="Cambria" w:hAnsi="Cambria"/>
          <w:sz w:val="20"/>
          <w:szCs w:val="20"/>
          <w:lang w:val="es-ES"/>
        </w:rPr>
        <w:t xml:space="preserve">e identifica que </w:t>
      </w:r>
      <w:r w:rsidR="00476BEE" w:rsidRPr="007E4AA8">
        <w:rPr>
          <w:rFonts w:ascii="Cambria" w:hAnsi="Cambria"/>
          <w:sz w:val="20"/>
          <w:szCs w:val="20"/>
          <w:lang w:val="es-ES"/>
        </w:rPr>
        <w:t>ese mismo día</w:t>
      </w:r>
      <w:r w:rsidR="001E0C1F" w:rsidRPr="007E4AA8">
        <w:rPr>
          <w:rFonts w:ascii="Cambria" w:hAnsi="Cambria"/>
          <w:sz w:val="20"/>
          <w:szCs w:val="20"/>
          <w:lang w:val="es-ES"/>
        </w:rPr>
        <w:t>, el Ministerio Público solicit</w:t>
      </w:r>
      <w:r w:rsidRPr="007E4AA8">
        <w:rPr>
          <w:rFonts w:ascii="Cambria" w:hAnsi="Cambria"/>
          <w:sz w:val="20"/>
          <w:szCs w:val="20"/>
          <w:lang w:val="es-ES"/>
        </w:rPr>
        <w:t>ó</w:t>
      </w:r>
      <w:r w:rsidR="001E0C1F" w:rsidRPr="007E4AA8">
        <w:rPr>
          <w:rFonts w:ascii="Cambria" w:hAnsi="Cambria"/>
          <w:sz w:val="20"/>
          <w:szCs w:val="20"/>
          <w:lang w:val="es-ES"/>
        </w:rPr>
        <w:t xml:space="preserve"> acumulación de </w:t>
      </w:r>
      <w:r w:rsidR="00F06457" w:rsidRPr="007E4AA8">
        <w:rPr>
          <w:rFonts w:ascii="Cambria" w:hAnsi="Cambria"/>
          <w:sz w:val="20"/>
          <w:szCs w:val="20"/>
          <w:lang w:val="es-ES"/>
        </w:rPr>
        <w:t xml:space="preserve">la </w:t>
      </w:r>
      <w:r w:rsidR="001E0C1F" w:rsidRPr="007E4AA8">
        <w:rPr>
          <w:rFonts w:ascii="Cambria" w:hAnsi="Cambria"/>
          <w:sz w:val="20"/>
          <w:szCs w:val="20"/>
          <w:lang w:val="es-ES"/>
        </w:rPr>
        <w:t>causa</w:t>
      </w:r>
      <w:r w:rsidR="00F06457" w:rsidRPr="007E4AA8">
        <w:rPr>
          <w:rFonts w:ascii="Cambria" w:hAnsi="Cambria"/>
          <w:sz w:val="20"/>
          <w:szCs w:val="20"/>
          <w:lang w:val="es-ES"/>
        </w:rPr>
        <w:t xml:space="preserve"> antes referida,</w:t>
      </w:r>
      <w:r w:rsidR="001E0C1F" w:rsidRPr="007E4AA8">
        <w:rPr>
          <w:rFonts w:ascii="Cambria" w:hAnsi="Cambria"/>
          <w:sz w:val="20"/>
          <w:szCs w:val="20"/>
          <w:lang w:val="es-ES"/>
        </w:rPr>
        <w:t xml:space="preserve"> por conexidad</w:t>
      </w:r>
      <w:r w:rsidR="00F06457" w:rsidRPr="007E4AA8">
        <w:rPr>
          <w:rFonts w:ascii="Cambria" w:hAnsi="Cambria"/>
          <w:sz w:val="20"/>
          <w:szCs w:val="20"/>
          <w:lang w:val="es-ES"/>
        </w:rPr>
        <w:t xml:space="preserve"> con la causa “Walter Hugo Bower Montalto s/tortura”, </w:t>
      </w:r>
      <w:r w:rsidRPr="007E4AA8">
        <w:rPr>
          <w:rFonts w:ascii="Cambria" w:hAnsi="Cambria"/>
          <w:sz w:val="20"/>
          <w:szCs w:val="20"/>
          <w:lang w:val="es-ES"/>
        </w:rPr>
        <w:t xml:space="preserve">respecto de la cual </w:t>
      </w:r>
      <w:r w:rsidR="00F06457" w:rsidRPr="007E4AA8">
        <w:rPr>
          <w:rFonts w:ascii="Cambria" w:hAnsi="Cambria"/>
          <w:sz w:val="20"/>
          <w:szCs w:val="20"/>
          <w:lang w:val="es-ES"/>
        </w:rPr>
        <w:t>se solicitó el desafuero del diputado Walter Bower en virtud de contar con elementos suficientes para sospechar de su participación en los supuestos hechos de tortura</w:t>
      </w:r>
      <w:r w:rsidR="00B0015C" w:rsidRPr="007E4AA8">
        <w:rPr>
          <w:rStyle w:val="FootnoteReference"/>
          <w:rFonts w:ascii="Cambria" w:hAnsi="Cambria"/>
          <w:sz w:val="20"/>
          <w:szCs w:val="20"/>
          <w:lang w:val="es-ES"/>
        </w:rPr>
        <w:footnoteReference w:id="33"/>
      </w:r>
      <w:r w:rsidR="00476BEE" w:rsidRPr="007E4AA8">
        <w:rPr>
          <w:rFonts w:ascii="Cambria" w:hAnsi="Cambria"/>
          <w:sz w:val="20"/>
          <w:szCs w:val="20"/>
          <w:lang w:val="es-ES"/>
        </w:rPr>
        <w:t>.</w:t>
      </w:r>
      <w:r w:rsidR="00612BD7" w:rsidRPr="007E4AA8">
        <w:rPr>
          <w:rFonts w:ascii="Cambria" w:hAnsi="Cambria"/>
          <w:sz w:val="20"/>
          <w:szCs w:val="20"/>
          <w:lang w:val="es-ES"/>
        </w:rPr>
        <w:t xml:space="preserve"> El 24 de julio de 2001</w:t>
      </w:r>
      <w:r w:rsidRPr="007E4AA8">
        <w:rPr>
          <w:rFonts w:ascii="Cambria" w:hAnsi="Cambria"/>
          <w:sz w:val="20"/>
          <w:szCs w:val="20"/>
          <w:lang w:val="es-ES"/>
        </w:rPr>
        <w:t>,</w:t>
      </w:r>
      <w:r w:rsidR="00612BD7" w:rsidRPr="007E4AA8">
        <w:rPr>
          <w:rFonts w:ascii="Cambria" w:hAnsi="Cambria"/>
          <w:sz w:val="20"/>
          <w:szCs w:val="20"/>
          <w:lang w:val="es-ES"/>
        </w:rPr>
        <w:t xml:space="preserve"> el juzgado penal a cargo acumul</w:t>
      </w:r>
      <w:r w:rsidRPr="007E4AA8">
        <w:rPr>
          <w:rFonts w:ascii="Cambria" w:hAnsi="Cambria"/>
          <w:sz w:val="20"/>
          <w:szCs w:val="20"/>
          <w:lang w:val="es-ES"/>
        </w:rPr>
        <w:t>ó</w:t>
      </w:r>
      <w:r w:rsidR="00612BD7" w:rsidRPr="007E4AA8">
        <w:rPr>
          <w:rFonts w:ascii="Cambria" w:hAnsi="Cambria"/>
          <w:sz w:val="20"/>
          <w:szCs w:val="20"/>
          <w:lang w:val="es-ES"/>
        </w:rPr>
        <w:t xml:space="preserve"> las causas, y</w:t>
      </w:r>
      <w:r w:rsidR="00476BEE" w:rsidRPr="007E4AA8">
        <w:rPr>
          <w:rFonts w:ascii="Cambria" w:hAnsi="Cambria"/>
          <w:sz w:val="20"/>
          <w:szCs w:val="20"/>
          <w:lang w:val="es-ES"/>
        </w:rPr>
        <w:t xml:space="preserve"> </w:t>
      </w:r>
      <w:r w:rsidR="00612BD7" w:rsidRPr="007E4AA8">
        <w:rPr>
          <w:rFonts w:ascii="Cambria" w:hAnsi="Cambria"/>
          <w:sz w:val="20"/>
          <w:szCs w:val="20"/>
          <w:lang w:val="es-ES"/>
        </w:rPr>
        <w:t>e</w:t>
      </w:r>
      <w:r w:rsidR="00476BEE" w:rsidRPr="007E4AA8">
        <w:rPr>
          <w:rFonts w:ascii="Cambria" w:hAnsi="Cambria"/>
          <w:sz w:val="20"/>
          <w:szCs w:val="20"/>
          <w:lang w:val="es-ES"/>
        </w:rPr>
        <w:t xml:space="preserve">l </w:t>
      </w:r>
      <w:r w:rsidR="00F06457" w:rsidRPr="007E4AA8">
        <w:rPr>
          <w:rFonts w:ascii="Cambria" w:hAnsi="Cambria"/>
          <w:sz w:val="20"/>
          <w:szCs w:val="20"/>
          <w:lang w:val="es-ES"/>
        </w:rPr>
        <w:t xml:space="preserve">8 de agosto de 2001 </w:t>
      </w:r>
      <w:r w:rsidR="00476BEE" w:rsidRPr="007E4AA8">
        <w:rPr>
          <w:rFonts w:ascii="Cambria" w:hAnsi="Cambria"/>
          <w:sz w:val="20"/>
          <w:szCs w:val="20"/>
          <w:lang w:val="es-ES"/>
        </w:rPr>
        <w:t>se realiz</w:t>
      </w:r>
      <w:r w:rsidRPr="007E4AA8">
        <w:rPr>
          <w:rFonts w:ascii="Cambria" w:hAnsi="Cambria"/>
          <w:sz w:val="20"/>
          <w:szCs w:val="20"/>
          <w:lang w:val="es-ES"/>
        </w:rPr>
        <w:t>ó</w:t>
      </w:r>
      <w:r w:rsidR="00F06457" w:rsidRPr="007E4AA8">
        <w:rPr>
          <w:rFonts w:ascii="Cambria" w:hAnsi="Cambria"/>
          <w:sz w:val="20"/>
          <w:szCs w:val="20"/>
          <w:lang w:val="es-ES"/>
        </w:rPr>
        <w:t xml:space="preserve"> acusación contra</w:t>
      </w:r>
      <w:r w:rsidR="00607D51" w:rsidRPr="007E4AA8">
        <w:rPr>
          <w:rFonts w:ascii="Cambria" w:hAnsi="Cambria"/>
          <w:sz w:val="20"/>
          <w:szCs w:val="20"/>
          <w:lang w:val="es-ES"/>
        </w:rPr>
        <w:t xml:space="preserve"> Walter Bower</w:t>
      </w:r>
      <w:r w:rsidR="00476BEE" w:rsidRPr="007E4AA8">
        <w:rPr>
          <w:rStyle w:val="FootnoteReference"/>
          <w:rFonts w:ascii="Cambria" w:hAnsi="Cambria"/>
          <w:sz w:val="20"/>
          <w:szCs w:val="20"/>
          <w:lang w:val="es-ES"/>
        </w:rPr>
        <w:footnoteReference w:id="34"/>
      </w:r>
      <w:r w:rsidR="00476BEE" w:rsidRPr="007E4AA8">
        <w:rPr>
          <w:rFonts w:ascii="Cambria" w:hAnsi="Cambria"/>
          <w:sz w:val="20"/>
          <w:szCs w:val="20"/>
          <w:lang w:val="es-ES"/>
        </w:rPr>
        <w:t>.</w:t>
      </w:r>
    </w:p>
    <w:p w14:paraId="6FB7DC09" w14:textId="77777777" w:rsidR="00376438" w:rsidRPr="007E4AA8" w:rsidRDefault="00376438" w:rsidP="00376438">
      <w:pPr>
        <w:tabs>
          <w:tab w:val="left" w:pos="360"/>
        </w:tabs>
        <w:jc w:val="both"/>
        <w:rPr>
          <w:rFonts w:asciiTheme="majorHAnsi" w:hAnsiTheme="majorHAnsi"/>
          <w:sz w:val="20"/>
          <w:szCs w:val="20"/>
          <w:lang w:val="es-ES"/>
        </w:rPr>
      </w:pPr>
    </w:p>
    <w:p w14:paraId="7B81367C" w14:textId="77777777" w:rsidR="004E0AC0" w:rsidRPr="007E4AA8" w:rsidRDefault="004E0AC0" w:rsidP="004E0AC0">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Conforme a la </w:t>
      </w:r>
      <w:r w:rsidRPr="007E4AA8">
        <w:rPr>
          <w:rFonts w:ascii="Cambria" w:hAnsi="Cambria"/>
          <w:sz w:val="20"/>
          <w:szCs w:val="20"/>
          <w:lang w:val="es-ES"/>
        </w:rPr>
        <w:t>acusación fiscal, había otra supuesta víctima del ilícito, el Comisario Alfredo Cáceres, por lo que solicitó la acumulación de causas</w:t>
      </w:r>
      <w:r w:rsidR="00B0015C" w:rsidRPr="007E4AA8">
        <w:rPr>
          <w:rStyle w:val="FootnoteReference"/>
          <w:rFonts w:ascii="Cambria" w:hAnsi="Cambria"/>
          <w:sz w:val="20"/>
          <w:szCs w:val="20"/>
          <w:lang w:val="es-ES"/>
        </w:rPr>
        <w:footnoteReference w:id="35"/>
      </w:r>
      <w:r w:rsidRPr="007E4AA8">
        <w:rPr>
          <w:rFonts w:ascii="Cambria" w:hAnsi="Cambria"/>
          <w:sz w:val="20"/>
          <w:szCs w:val="20"/>
          <w:lang w:val="es-ES"/>
        </w:rPr>
        <w:t xml:space="preserve">. Tanto el señor López como el señor Cáceres habrían coincidido en sus declaraciones, sosteniendo que además de agentes de policía, el 21 de mayo de 2000 </w:t>
      </w:r>
      <w:r w:rsidR="00064962" w:rsidRPr="007E4AA8">
        <w:rPr>
          <w:rFonts w:ascii="Cambria" w:hAnsi="Cambria"/>
          <w:sz w:val="20"/>
          <w:szCs w:val="20"/>
          <w:lang w:val="es-ES"/>
        </w:rPr>
        <w:t xml:space="preserve">el Ministro del Interior Walter Bower </w:t>
      </w:r>
      <w:r w:rsidRPr="007E4AA8">
        <w:rPr>
          <w:rFonts w:ascii="Cambria" w:hAnsi="Cambria"/>
          <w:sz w:val="20"/>
          <w:szCs w:val="20"/>
          <w:lang w:val="es-ES"/>
        </w:rPr>
        <w:t xml:space="preserve">se encontraba presente en el Comando de la Infantería de Marina, </w:t>
      </w:r>
      <w:r w:rsidR="00064962" w:rsidRPr="007E4AA8">
        <w:rPr>
          <w:rFonts w:ascii="Cambria" w:hAnsi="Cambria"/>
          <w:sz w:val="20"/>
          <w:szCs w:val="20"/>
          <w:lang w:val="es-ES"/>
        </w:rPr>
        <w:t xml:space="preserve">siendo su </w:t>
      </w:r>
      <w:r w:rsidRPr="007E4AA8">
        <w:rPr>
          <w:rFonts w:ascii="Cambria" w:hAnsi="Cambria"/>
          <w:sz w:val="20"/>
          <w:szCs w:val="20"/>
          <w:lang w:val="es-ES"/>
        </w:rPr>
        <w:t xml:space="preserve">presencia </w:t>
      </w:r>
      <w:r w:rsidR="00064962" w:rsidRPr="007E4AA8">
        <w:rPr>
          <w:rFonts w:ascii="Cambria" w:hAnsi="Cambria"/>
          <w:sz w:val="20"/>
          <w:szCs w:val="20"/>
          <w:lang w:val="es-ES"/>
        </w:rPr>
        <w:t xml:space="preserve">confirmada por </w:t>
      </w:r>
      <w:r w:rsidRPr="007E4AA8">
        <w:rPr>
          <w:rFonts w:ascii="Cambria" w:hAnsi="Cambria"/>
          <w:sz w:val="20"/>
          <w:szCs w:val="20"/>
          <w:lang w:val="es-ES"/>
        </w:rPr>
        <w:t>el Ministerio Público con el libro de guardia de dicho día</w:t>
      </w:r>
      <w:r w:rsidRPr="007E4AA8">
        <w:rPr>
          <w:rStyle w:val="FootnoteReference"/>
          <w:rFonts w:ascii="Cambria" w:hAnsi="Cambria"/>
          <w:sz w:val="20"/>
          <w:szCs w:val="20"/>
          <w:lang w:val="es-ES"/>
        </w:rPr>
        <w:footnoteReference w:id="36"/>
      </w:r>
      <w:r w:rsidRPr="007E4AA8">
        <w:rPr>
          <w:rFonts w:ascii="Cambria" w:hAnsi="Cambria"/>
          <w:sz w:val="20"/>
          <w:szCs w:val="20"/>
          <w:lang w:val="es-ES"/>
        </w:rPr>
        <w:t xml:space="preserve">. </w:t>
      </w:r>
    </w:p>
    <w:p w14:paraId="27141E92" w14:textId="77777777" w:rsidR="00607D51" w:rsidRPr="007E4AA8" w:rsidRDefault="00607D51" w:rsidP="004E0AC0">
      <w:pPr>
        <w:rPr>
          <w:rFonts w:asciiTheme="majorHAnsi" w:hAnsiTheme="majorHAnsi"/>
          <w:sz w:val="20"/>
          <w:szCs w:val="20"/>
          <w:lang w:val="es-ES"/>
        </w:rPr>
      </w:pPr>
    </w:p>
    <w:p w14:paraId="49E593B1" w14:textId="77777777" w:rsidR="009C7101" w:rsidRPr="007E4AA8" w:rsidRDefault="00064962" w:rsidP="00C6495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T</w:t>
      </w:r>
      <w:r w:rsidR="00607D51" w:rsidRPr="007E4AA8">
        <w:rPr>
          <w:rFonts w:asciiTheme="majorHAnsi" w:hAnsiTheme="majorHAnsi"/>
          <w:sz w:val="20"/>
          <w:szCs w:val="20"/>
          <w:lang w:val="es-ES"/>
        </w:rPr>
        <w:t>ras la acumulación de las causas</w:t>
      </w:r>
      <w:r w:rsidRPr="007E4AA8">
        <w:rPr>
          <w:rFonts w:asciiTheme="majorHAnsi" w:hAnsiTheme="majorHAnsi"/>
          <w:sz w:val="20"/>
          <w:szCs w:val="20"/>
          <w:lang w:val="es-ES"/>
        </w:rPr>
        <w:t>,</w:t>
      </w:r>
      <w:r w:rsidR="00607D51" w:rsidRPr="007E4AA8">
        <w:rPr>
          <w:rFonts w:asciiTheme="majorHAnsi" w:hAnsiTheme="majorHAnsi"/>
          <w:sz w:val="20"/>
          <w:szCs w:val="20"/>
          <w:lang w:val="es-ES"/>
        </w:rPr>
        <w:t xml:space="preserve"> </w:t>
      </w:r>
      <w:r w:rsidR="00E35D1D" w:rsidRPr="007E4AA8">
        <w:rPr>
          <w:rFonts w:asciiTheme="majorHAnsi" w:hAnsiTheme="majorHAnsi"/>
          <w:sz w:val="20"/>
          <w:szCs w:val="20"/>
          <w:lang w:val="es-ES"/>
        </w:rPr>
        <w:t xml:space="preserve">el asunto </w:t>
      </w:r>
      <w:r w:rsidR="00607D51" w:rsidRPr="007E4AA8">
        <w:rPr>
          <w:rFonts w:asciiTheme="majorHAnsi" w:hAnsiTheme="majorHAnsi"/>
          <w:sz w:val="20"/>
          <w:szCs w:val="20"/>
          <w:lang w:val="es-ES"/>
        </w:rPr>
        <w:t>“transitó ante la Cámara de Apelaciones y en la misma Corte Suprema de Justicia hasta que fue promovida una acción de inconstitucionalidad en el juicio de “Basilio Pavón y otros (...)”, por el acusado Bower. Así, con fecha 5 de junio de 2003, la Sala Constitucional de la Corte Suprema de Justicia res</w:t>
      </w:r>
      <w:r w:rsidR="00C8795A" w:rsidRPr="007E4AA8">
        <w:rPr>
          <w:rFonts w:asciiTheme="majorHAnsi" w:hAnsiTheme="majorHAnsi"/>
          <w:sz w:val="20"/>
          <w:szCs w:val="20"/>
          <w:lang w:val="es-ES"/>
        </w:rPr>
        <w:t>olvió</w:t>
      </w:r>
      <w:r w:rsidR="00607D51" w:rsidRPr="007E4AA8">
        <w:rPr>
          <w:rFonts w:asciiTheme="majorHAnsi" w:hAnsiTheme="majorHAnsi"/>
          <w:sz w:val="20"/>
          <w:szCs w:val="20"/>
          <w:lang w:val="es-ES"/>
        </w:rPr>
        <w:t xml:space="preserve"> rechazar la acción planteada</w:t>
      </w:r>
      <w:r w:rsidR="00607D51" w:rsidRPr="007E4AA8">
        <w:rPr>
          <w:rFonts w:ascii="Cambria" w:hAnsi="Cambria"/>
          <w:sz w:val="20"/>
          <w:szCs w:val="20"/>
          <w:lang w:val="es-ES"/>
        </w:rPr>
        <w:t>. El 22 de julio de 2003, se suspend</w:t>
      </w:r>
      <w:r w:rsidR="00C8795A" w:rsidRPr="007E4AA8">
        <w:rPr>
          <w:rFonts w:ascii="Cambria" w:hAnsi="Cambria"/>
          <w:sz w:val="20"/>
          <w:szCs w:val="20"/>
          <w:lang w:val="es-ES"/>
        </w:rPr>
        <w:t>ió</w:t>
      </w:r>
      <w:r w:rsidR="00607D51" w:rsidRPr="007E4AA8">
        <w:rPr>
          <w:rFonts w:ascii="Cambria" w:hAnsi="Cambria"/>
          <w:sz w:val="20"/>
          <w:szCs w:val="20"/>
          <w:lang w:val="es-ES"/>
        </w:rPr>
        <w:t xml:space="preserve"> la audiencia preliminar, debido al planteamiento de una excepción de </w:t>
      </w:r>
      <w:r w:rsidR="00607D51" w:rsidRPr="007E4AA8">
        <w:rPr>
          <w:rFonts w:asciiTheme="majorHAnsi" w:hAnsiTheme="majorHAnsi"/>
          <w:sz w:val="20"/>
          <w:szCs w:val="20"/>
          <w:lang w:val="es-ES"/>
        </w:rPr>
        <w:t xml:space="preserve">inconstitucionalidad por parte de un acusado, a fin de cuestionar </w:t>
      </w:r>
      <w:r w:rsidR="00607D51" w:rsidRPr="007E4AA8">
        <w:rPr>
          <w:rFonts w:asciiTheme="majorHAnsi" w:hAnsiTheme="majorHAnsi"/>
          <w:sz w:val="20"/>
          <w:szCs w:val="20"/>
          <w:lang w:val="es-ES"/>
        </w:rPr>
        <w:lastRenderedPageBreak/>
        <w:t>la competencia de la etapa intermedia. Conforme refi</w:t>
      </w:r>
      <w:r w:rsidR="002A3B83" w:rsidRPr="007E4AA8">
        <w:rPr>
          <w:rFonts w:asciiTheme="majorHAnsi" w:hAnsiTheme="majorHAnsi"/>
          <w:sz w:val="20"/>
          <w:szCs w:val="20"/>
          <w:lang w:val="es-ES"/>
        </w:rPr>
        <w:t>rió</w:t>
      </w:r>
      <w:r w:rsidR="00607D51" w:rsidRPr="007E4AA8">
        <w:rPr>
          <w:rFonts w:asciiTheme="majorHAnsi" w:hAnsiTheme="majorHAnsi"/>
          <w:sz w:val="20"/>
          <w:szCs w:val="20"/>
          <w:lang w:val="es-ES"/>
        </w:rPr>
        <w:t xml:space="preserve"> el Ministerio Público, “teniendo en cuenta estos planteamientos cuyo único ánimo era postergar la audiencia preliminar y ganar tiempo para posteriormente, reclamar la expiración del plazo, meses después, y tras decidirse sobre las cuestiones planteadas” las partes </w:t>
      </w:r>
      <w:r w:rsidR="002A3B83" w:rsidRPr="007E4AA8">
        <w:rPr>
          <w:rFonts w:asciiTheme="majorHAnsi" w:hAnsiTheme="majorHAnsi"/>
          <w:sz w:val="20"/>
          <w:szCs w:val="20"/>
          <w:lang w:val="es-ES"/>
        </w:rPr>
        <w:t>fueron</w:t>
      </w:r>
      <w:r w:rsidR="00607D51" w:rsidRPr="007E4AA8">
        <w:rPr>
          <w:rFonts w:asciiTheme="majorHAnsi" w:hAnsiTheme="majorHAnsi"/>
          <w:sz w:val="20"/>
          <w:szCs w:val="20"/>
          <w:lang w:val="es-ES"/>
        </w:rPr>
        <w:t xml:space="preserve"> convocadas el 26 de noviembre de 2003 ante el Juez Penal de Garantías de la Etapa Intermedia</w:t>
      </w:r>
      <w:r w:rsidR="009C7101" w:rsidRPr="007E4AA8">
        <w:rPr>
          <w:rStyle w:val="FootnoteReference"/>
          <w:rFonts w:asciiTheme="majorHAnsi" w:hAnsiTheme="majorHAnsi"/>
          <w:sz w:val="20"/>
          <w:szCs w:val="20"/>
          <w:lang w:val="es-ES"/>
        </w:rPr>
        <w:footnoteReference w:id="37"/>
      </w:r>
      <w:r w:rsidR="009C7101" w:rsidRPr="007E4AA8">
        <w:rPr>
          <w:rFonts w:asciiTheme="majorHAnsi" w:hAnsiTheme="majorHAnsi"/>
          <w:sz w:val="20"/>
          <w:szCs w:val="20"/>
          <w:lang w:val="es-ES"/>
        </w:rPr>
        <w:t>.</w:t>
      </w:r>
    </w:p>
    <w:p w14:paraId="075FC02D" w14:textId="77777777" w:rsidR="009C7101" w:rsidRPr="007E4AA8" w:rsidRDefault="009C7101" w:rsidP="00B24F71">
      <w:pPr>
        <w:pStyle w:val="ListParagraph"/>
        <w:rPr>
          <w:color w:val="auto"/>
        </w:rPr>
      </w:pPr>
    </w:p>
    <w:p w14:paraId="7F5C2DC6" w14:textId="77777777" w:rsidR="00F0480F" w:rsidRPr="007E4AA8" w:rsidRDefault="005F042D" w:rsidP="00C6495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Antelando el “fenecimiento” de la causa el Ministerio Público present</w:t>
      </w:r>
      <w:r w:rsidR="00B442F8" w:rsidRPr="007E4AA8">
        <w:rPr>
          <w:rFonts w:asciiTheme="majorHAnsi" w:hAnsiTheme="majorHAnsi"/>
          <w:sz w:val="20"/>
          <w:szCs w:val="20"/>
          <w:lang w:val="es-ES"/>
        </w:rPr>
        <w:t>ó el 8 de</w:t>
      </w:r>
      <w:r w:rsidR="00F0480F" w:rsidRPr="007E4AA8">
        <w:rPr>
          <w:rFonts w:asciiTheme="majorHAnsi" w:hAnsiTheme="majorHAnsi"/>
          <w:sz w:val="20"/>
          <w:szCs w:val="20"/>
          <w:lang w:val="es-ES"/>
        </w:rPr>
        <w:t xml:space="preserve"> septiembre de 2003 </w:t>
      </w:r>
      <w:r w:rsidRPr="007E4AA8">
        <w:rPr>
          <w:rFonts w:asciiTheme="majorHAnsi" w:hAnsiTheme="majorHAnsi"/>
          <w:sz w:val="20"/>
          <w:szCs w:val="20"/>
          <w:lang w:val="es-ES"/>
        </w:rPr>
        <w:t>una excepción de inconstitucionalidad de ciertos artículos del Código Procesal Civil y del Código Procesal Penal que pretendían ser usados por la defensa de los imputados para fundar la extinción de la acción penal</w:t>
      </w:r>
      <w:r w:rsidR="008C2DDF" w:rsidRPr="007E4AA8">
        <w:rPr>
          <w:rFonts w:asciiTheme="majorHAnsi" w:hAnsiTheme="majorHAnsi"/>
          <w:sz w:val="20"/>
          <w:szCs w:val="20"/>
          <w:lang w:val="es-ES"/>
        </w:rPr>
        <w:t xml:space="preserve">, </w:t>
      </w:r>
      <w:r w:rsidR="00F0480F" w:rsidRPr="007E4AA8">
        <w:rPr>
          <w:rFonts w:asciiTheme="majorHAnsi" w:hAnsiTheme="majorHAnsi"/>
          <w:sz w:val="20"/>
          <w:szCs w:val="20"/>
          <w:lang w:val="es-ES"/>
        </w:rPr>
        <w:t xml:space="preserve">solicitud a </w:t>
      </w:r>
      <w:r w:rsidR="009C7101" w:rsidRPr="007E4AA8">
        <w:rPr>
          <w:rFonts w:asciiTheme="majorHAnsi" w:hAnsiTheme="majorHAnsi"/>
          <w:sz w:val="20"/>
          <w:szCs w:val="20"/>
          <w:lang w:val="es-ES"/>
        </w:rPr>
        <w:t>cuál</w:t>
      </w:r>
      <w:r w:rsidR="008C2DDF" w:rsidRPr="007E4AA8">
        <w:rPr>
          <w:rFonts w:asciiTheme="majorHAnsi" w:hAnsiTheme="majorHAnsi"/>
          <w:sz w:val="20"/>
          <w:szCs w:val="20"/>
          <w:lang w:val="es-ES"/>
        </w:rPr>
        <w:t xml:space="preserve"> la presunta víctima se adhir</w:t>
      </w:r>
      <w:r w:rsidR="002A3B83" w:rsidRPr="007E4AA8">
        <w:rPr>
          <w:rFonts w:asciiTheme="majorHAnsi" w:hAnsiTheme="majorHAnsi"/>
          <w:sz w:val="20"/>
          <w:szCs w:val="20"/>
          <w:lang w:val="es-ES"/>
        </w:rPr>
        <w:t>ió</w:t>
      </w:r>
      <w:r w:rsidR="00F0480F" w:rsidRPr="007E4AA8">
        <w:rPr>
          <w:rStyle w:val="FootnoteReference"/>
          <w:rFonts w:asciiTheme="majorHAnsi" w:hAnsiTheme="majorHAnsi"/>
          <w:sz w:val="20"/>
          <w:szCs w:val="20"/>
          <w:lang w:val="es-ES"/>
        </w:rPr>
        <w:footnoteReference w:id="38"/>
      </w:r>
      <w:r w:rsidR="00D52999" w:rsidRPr="007E4AA8">
        <w:rPr>
          <w:rFonts w:asciiTheme="majorHAnsi" w:hAnsiTheme="majorHAnsi"/>
          <w:sz w:val="20"/>
          <w:szCs w:val="20"/>
          <w:lang w:val="es-ES"/>
        </w:rPr>
        <w:t xml:space="preserve">. </w:t>
      </w:r>
      <w:r w:rsidR="00E362D9" w:rsidRPr="007E4AA8">
        <w:rPr>
          <w:rFonts w:asciiTheme="majorHAnsi" w:hAnsiTheme="majorHAnsi"/>
          <w:sz w:val="20"/>
          <w:szCs w:val="20"/>
          <w:lang w:val="es-ES"/>
        </w:rPr>
        <w:t xml:space="preserve">El Ministerio Público fundó su solicitud en que se lesionaría la norma que consagraba la imprescriptibilidad del hecho punible </w:t>
      </w:r>
      <w:r w:rsidR="00064962" w:rsidRPr="007E4AA8">
        <w:rPr>
          <w:rFonts w:asciiTheme="majorHAnsi" w:hAnsiTheme="majorHAnsi"/>
          <w:sz w:val="20"/>
          <w:szCs w:val="20"/>
          <w:lang w:val="es-ES"/>
        </w:rPr>
        <w:t xml:space="preserve">de </w:t>
      </w:r>
      <w:r w:rsidR="00E362D9" w:rsidRPr="007E4AA8">
        <w:rPr>
          <w:rFonts w:asciiTheme="majorHAnsi" w:hAnsiTheme="majorHAnsi"/>
          <w:sz w:val="20"/>
          <w:szCs w:val="20"/>
          <w:lang w:val="es-ES"/>
        </w:rPr>
        <w:t xml:space="preserve">tortura (artículo 5 de la Constitución) y el principio de supremacía constitucional. </w:t>
      </w:r>
      <w:r w:rsidR="00D52999" w:rsidRPr="007E4AA8">
        <w:rPr>
          <w:rFonts w:asciiTheme="majorHAnsi" w:hAnsiTheme="majorHAnsi"/>
          <w:sz w:val="20"/>
          <w:szCs w:val="20"/>
          <w:lang w:val="es-ES"/>
        </w:rPr>
        <w:t>La Fiscalía present</w:t>
      </w:r>
      <w:r w:rsidR="00AA4521" w:rsidRPr="007E4AA8">
        <w:rPr>
          <w:rFonts w:asciiTheme="majorHAnsi" w:hAnsiTheme="majorHAnsi"/>
          <w:sz w:val="20"/>
          <w:szCs w:val="20"/>
          <w:lang w:val="es-ES"/>
        </w:rPr>
        <w:t>ó</w:t>
      </w:r>
      <w:r w:rsidR="00D52999" w:rsidRPr="007E4AA8">
        <w:rPr>
          <w:rFonts w:asciiTheme="majorHAnsi" w:hAnsiTheme="majorHAnsi"/>
          <w:sz w:val="20"/>
          <w:szCs w:val="20"/>
          <w:lang w:val="es-ES"/>
        </w:rPr>
        <w:t xml:space="preserve"> cuatro “urgimientos” ante la Corte Suprema</w:t>
      </w:r>
      <w:r w:rsidR="00D52999" w:rsidRPr="007E4AA8">
        <w:rPr>
          <w:rStyle w:val="FootnoteReference"/>
          <w:rFonts w:ascii="Cambria" w:hAnsi="Cambria"/>
          <w:sz w:val="20"/>
          <w:szCs w:val="20"/>
          <w:lang w:val="es-ES"/>
        </w:rPr>
        <w:t xml:space="preserve"> </w:t>
      </w:r>
      <w:r w:rsidR="002A3B83" w:rsidRPr="007E4AA8">
        <w:rPr>
          <w:rFonts w:ascii="Cambria" w:hAnsi="Cambria"/>
          <w:sz w:val="20"/>
          <w:szCs w:val="20"/>
          <w:lang w:val="es-ES"/>
        </w:rPr>
        <w:t xml:space="preserve">a fin de que la </w:t>
      </w:r>
      <w:r w:rsidR="002A3B83" w:rsidRPr="007E4AA8">
        <w:rPr>
          <w:rFonts w:asciiTheme="majorHAnsi" w:hAnsiTheme="majorHAnsi"/>
          <w:sz w:val="20"/>
          <w:szCs w:val="20"/>
          <w:lang w:val="es-ES"/>
        </w:rPr>
        <w:t xml:space="preserve">excepción </w:t>
      </w:r>
      <w:r w:rsidR="002A3B83" w:rsidRPr="007E4AA8">
        <w:rPr>
          <w:rFonts w:ascii="Cambria" w:hAnsi="Cambria"/>
          <w:sz w:val="20"/>
          <w:szCs w:val="20"/>
          <w:lang w:val="es-ES"/>
        </w:rPr>
        <w:t>fuese resuelta</w:t>
      </w:r>
      <w:r w:rsidR="004079A3" w:rsidRPr="007E4AA8">
        <w:rPr>
          <w:rStyle w:val="FootnoteReference"/>
          <w:rFonts w:ascii="Cambria" w:hAnsi="Cambria"/>
          <w:sz w:val="20"/>
          <w:szCs w:val="20"/>
          <w:lang w:val="es-ES"/>
        </w:rPr>
        <w:footnoteReference w:id="39"/>
      </w:r>
      <w:r w:rsidRPr="007E4AA8">
        <w:rPr>
          <w:rFonts w:asciiTheme="majorHAnsi" w:hAnsiTheme="majorHAnsi"/>
          <w:sz w:val="20"/>
          <w:szCs w:val="20"/>
          <w:lang w:val="es-ES"/>
        </w:rPr>
        <w:t>.</w:t>
      </w:r>
    </w:p>
    <w:p w14:paraId="0E550450" w14:textId="77777777" w:rsidR="00D52999" w:rsidRPr="007E4AA8" w:rsidRDefault="00D52999" w:rsidP="00D52999">
      <w:pPr>
        <w:tabs>
          <w:tab w:val="left" w:pos="360"/>
        </w:tabs>
        <w:jc w:val="both"/>
        <w:rPr>
          <w:rFonts w:asciiTheme="majorHAnsi" w:hAnsiTheme="majorHAnsi"/>
          <w:sz w:val="20"/>
          <w:szCs w:val="20"/>
          <w:lang w:val="es-ES"/>
        </w:rPr>
      </w:pPr>
    </w:p>
    <w:p w14:paraId="6E931C72" w14:textId="77777777" w:rsidR="009C7101" w:rsidRPr="007E4AA8" w:rsidRDefault="00D52999" w:rsidP="00AA4521">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El </w:t>
      </w:r>
      <w:r w:rsidR="00014D77" w:rsidRPr="007E4AA8">
        <w:rPr>
          <w:rFonts w:asciiTheme="majorHAnsi" w:hAnsiTheme="majorHAnsi"/>
          <w:sz w:val="20"/>
          <w:szCs w:val="20"/>
          <w:lang w:val="es-ES"/>
        </w:rPr>
        <w:t>5 de mayo de 2008 la Corte Suprema d</w:t>
      </w:r>
      <w:r w:rsidR="002A3B83" w:rsidRPr="007E4AA8">
        <w:rPr>
          <w:rFonts w:asciiTheme="majorHAnsi" w:hAnsiTheme="majorHAnsi"/>
          <w:sz w:val="20"/>
          <w:szCs w:val="20"/>
          <w:lang w:val="es-ES"/>
        </w:rPr>
        <w:t>io</w:t>
      </w:r>
      <w:r w:rsidR="00014D77" w:rsidRPr="007E4AA8">
        <w:rPr>
          <w:rFonts w:asciiTheme="majorHAnsi" w:hAnsiTheme="majorHAnsi"/>
          <w:sz w:val="20"/>
          <w:szCs w:val="20"/>
          <w:lang w:val="es-ES"/>
        </w:rPr>
        <w:t xml:space="preserve"> lugar a la </w:t>
      </w:r>
      <w:r w:rsidR="00014D77" w:rsidRPr="007E4AA8">
        <w:rPr>
          <w:rFonts w:ascii="Cambria" w:hAnsi="Cambria"/>
          <w:sz w:val="20"/>
          <w:szCs w:val="20"/>
          <w:lang w:val="es-ES"/>
        </w:rPr>
        <w:t xml:space="preserve">excepción de </w:t>
      </w:r>
      <w:r w:rsidR="00014D77" w:rsidRPr="007E4AA8">
        <w:rPr>
          <w:rFonts w:asciiTheme="majorHAnsi" w:hAnsiTheme="majorHAnsi"/>
          <w:sz w:val="20"/>
          <w:szCs w:val="20"/>
          <w:lang w:val="es-ES"/>
        </w:rPr>
        <w:t>inconstitucionalidad,</w:t>
      </w:r>
      <w:r w:rsidR="002A3B83" w:rsidRPr="007E4AA8">
        <w:rPr>
          <w:rFonts w:asciiTheme="majorHAnsi" w:hAnsiTheme="majorHAnsi"/>
          <w:sz w:val="20"/>
          <w:szCs w:val="20"/>
          <w:lang w:val="es-ES"/>
        </w:rPr>
        <w:t xml:space="preserve"> </w:t>
      </w:r>
      <w:r w:rsidR="00014D77" w:rsidRPr="007E4AA8">
        <w:rPr>
          <w:rFonts w:asciiTheme="majorHAnsi" w:hAnsiTheme="majorHAnsi"/>
          <w:sz w:val="20"/>
          <w:szCs w:val="20"/>
          <w:lang w:val="es-ES"/>
        </w:rPr>
        <w:t>declarando inaplicables los artículos 25 inciso 3º, 136 y 137 del Código Procesal Penal</w:t>
      </w:r>
      <w:r w:rsidR="00771F0E" w:rsidRPr="007E4AA8">
        <w:rPr>
          <w:rStyle w:val="FootnoteReference"/>
          <w:rFonts w:asciiTheme="majorHAnsi" w:hAnsiTheme="majorHAnsi"/>
          <w:sz w:val="20"/>
          <w:szCs w:val="20"/>
          <w:lang w:val="es-ES"/>
        </w:rPr>
        <w:footnoteReference w:id="40"/>
      </w:r>
      <w:r w:rsidR="005F2D44" w:rsidRPr="007E4AA8">
        <w:rPr>
          <w:rFonts w:asciiTheme="majorHAnsi" w:hAnsiTheme="majorHAnsi"/>
          <w:sz w:val="20"/>
          <w:szCs w:val="20"/>
          <w:lang w:val="es-ES"/>
        </w:rPr>
        <w:t>.</w:t>
      </w:r>
      <w:r w:rsidR="00771F0E" w:rsidRPr="007E4AA8">
        <w:rPr>
          <w:rFonts w:asciiTheme="majorHAnsi" w:hAnsiTheme="majorHAnsi"/>
          <w:sz w:val="20"/>
          <w:szCs w:val="20"/>
          <w:lang w:val="es-ES"/>
        </w:rPr>
        <w:t xml:space="preserve"> </w:t>
      </w:r>
    </w:p>
    <w:p w14:paraId="1CB721C6" w14:textId="77777777" w:rsidR="00E362D9" w:rsidRPr="007E4AA8" w:rsidRDefault="00E362D9" w:rsidP="00E362D9">
      <w:pPr>
        <w:tabs>
          <w:tab w:val="left" w:pos="360"/>
        </w:tabs>
        <w:jc w:val="both"/>
        <w:rPr>
          <w:rFonts w:asciiTheme="majorHAnsi" w:hAnsiTheme="majorHAnsi"/>
          <w:sz w:val="20"/>
          <w:szCs w:val="20"/>
          <w:lang w:val="es-ES"/>
        </w:rPr>
      </w:pPr>
    </w:p>
    <w:p w14:paraId="3897732F" w14:textId="77777777" w:rsidR="00334085" w:rsidRPr="007E4AA8" w:rsidRDefault="009C7101" w:rsidP="00C6495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Conforme consta en la sentencia emitida por la Corte Suprema, la causa estuvo con “autos para sentencia” desde el 18 de diciembre de 2003. Asimismo, la CIDH identifica que el Ministerio Público presentó tres solicitudes</w:t>
      </w:r>
      <w:r w:rsidR="0037048F" w:rsidRPr="007E4AA8">
        <w:rPr>
          <w:rFonts w:asciiTheme="majorHAnsi" w:hAnsiTheme="majorHAnsi"/>
          <w:sz w:val="20"/>
          <w:szCs w:val="20"/>
          <w:lang w:val="es-ES"/>
        </w:rPr>
        <w:t xml:space="preserve"> en 2006 y una en 2007</w:t>
      </w:r>
      <w:r w:rsidRPr="007E4AA8">
        <w:rPr>
          <w:rFonts w:asciiTheme="majorHAnsi" w:hAnsiTheme="majorHAnsi"/>
          <w:sz w:val="20"/>
          <w:szCs w:val="20"/>
          <w:lang w:val="es-ES"/>
        </w:rPr>
        <w:t xml:space="preserve"> para la pronta resolución, cuestión que también hiciera una de las presuntas víctimas de los delitos imputados. Asimismo, consta que el querellante Alfredo Cáceres</w:t>
      </w:r>
      <w:r w:rsidR="00E464BA" w:rsidRPr="007E4AA8">
        <w:rPr>
          <w:rFonts w:asciiTheme="majorHAnsi" w:hAnsiTheme="majorHAnsi"/>
          <w:sz w:val="20"/>
          <w:szCs w:val="20"/>
          <w:lang w:val="es-ES"/>
        </w:rPr>
        <w:t>,</w:t>
      </w:r>
      <w:r w:rsidR="00CE3EAD" w:rsidRPr="007E4AA8">
        <w:rPr>
          <w:rFonts w:asciiTheme="majorHAnsi" w:hAnsiTheme="majorHAnsi"/>
          <w:sz w:val="20"/>
          <w:szCs w:val="20"/>
          <w:lang w:val="es-ES"/>
        </w:rPr>
        <w:t xml:space="preserve"> </w:t>
      </w:r>
      <w:r w:rsidRPr="007E4AA8">
        <w:rPr>
          <w:rFonts w:asciiTheme="majorHAnsi" w:hAnsiTheme="majorHAnsi"/>
          <w:sz w:val="20"/>
          <w:szCs w:val="20"/>
          <w:lang w:val="es-ES"/>
        </w:rPr>
        <w:t>mediante escrito de 27 de marzo de 2007 recus</w:t>
      </w:r>
      <w:r w:rsidR="00E464BA" w:rsidRPr="007E4AA8">
        <w:rPr>
          <w:rFonts w:asciiTheme="majorHAnsi" w:hAnsiTheme="majorHAnsi"/>
          <w:sz w:val="20"/>
          <w:szCs w:val="20"/>
          <w:lang w:val="es-ES"/>
        </w:rPr>
        <w:t>ó</w:t>
      </w:r>
      <w:r w:rsidRPr="007E4AA8">
        <w:rPr>
          <w:rFonts w:asciiTheme="majorHAnsi" w:hAnsiTheme="majorHAnsi"/>
          <w:sz w:val="20"/>
          <w:szCs w:val="20"/>
          <w:lang w:val="es-ES"/>
        </w:rPr>
        <w:t xml:space="preserve"> “</w:t>
      </w:r>
      <w:r w:rsidR="00E464BA" w:rsidRPr="007E4AA8">
        <w:rPr>
          <w:rFonts w:asciiTheme="majorHAnsi" w:hAnsiTheme="majorHAnsi"/>
          <w:sz w:val="20"/>
          <w:szCs w:val="20"/>
          <w:lang w:val="es-ES"/>
        </w:rPr>
        <w:t>con</w:t>
      </w:r>
      <w:r w:rsidRPr="007E4AA8">
        <w:rPr>
          <w:rFonts w:asciiTheme="majorHAnsi" w:hAnsiTheme="majorHAnsi"/>
          <w:sz w:val="20"/>
          <w:szCs w:val="20"/>
          <w:lang w:val="es-ES"/>
        </w:rPr>
        <w:t xml:space="preserve"> causa”</w:t>
      </w:r>
      <w:r w:rsidR="00E464BA" w:rsidRPr="007E4AA8">
        <w:rPr>
          <w:rFonts w:asciiTheme="majorHAnsi" w:hAnsiTheme="majorHAnsi"/>
          <w:sz w:val="20"/>
          <w:szCs w:val="20"/>
          <w:lang w:val="es-ES"/>
        </w:rPr>
        <w:t xml:space="preserve"> al Dr. Víctor </w:t>
      </w:r>
      <w:r w:rsidR="006F5E2A" w:rsidRPr="007E4AA8">
        <w:rPr>
          <w:rFonts w:asciiTheme="majorHAnsi" w:hAnsiTheme="majorHAnsi"/>
          <w:sz w:val="20"/>
          <w:szCs w:val="20"/>
          <w:lang w:val="es-ES"/>
        </w:rPr>
        <w:t>Núñez</w:t>
      </w:r>
      <w:r w:rsidRPr="007E4AA8">
        <w:rPr>
          <w:rFonts w:asciiTheme="majorHAnsi" w:hAnsiTheme="majorHAnsi"/>
          <w:sz w:val="20"/>
          <w:szCs w:val="20"/>
          <w:lang w:val="es-ES"/>
        </w:rPr>
        <w:t xml:space="preserve">, aseverando que conforme al sistema informático de la secretaría, “desde el 5 de abril del año 2004, hasta septiembre del año 2006, se encontraba guardado el citado expediente </w:t>
      </w:r>
      <w:r w:rsidR="00E464BA" w:rsidRPr="007E4AA8">
        <w:rPr>
          <w:rFonts w:asciiTheme="majorHAnsi" w:hAnsiTheme="majorHAnsi"/>
          <w:sz w:val="20"/>
          <w:szCs w:val="20"/>
          <w:lang w:val="es-ES"/>
        </w:rPr>
        <w:t>en su despacho, en su carácter de preopinante, es decir por espacio de dos años, más o menos, habiendo mi parte presentado los respectivos urgimientos pertinentes, (…) hasta que [pasa] al señor Ministro José Altamirano dónde fui informado que el 23 de septiembre de 2006 firmó su voto, para después no tener más noticia del expediente, hasta que mi abogado denunció la desaparición en fecha 22 de febrero del año en curso, volviendo a tener noticias (…) en fecha 7 de marzo de 2007”</w:t>
      </w:r>
      <w:r w:rsidR="0037048F" w:rsidRPr="007E4AA8">
        <w:rPr>
          <w:rFonts w:asciiTheme="majorHAnsi" w:hAnsiTheme="majorHAnsi"/>
          <w:sz w:val="20"/>
          <w:szCs w:val="20"/>
          <w:lang w:val="es-ES"/>
        </w:rPr>
        <w:t>. Así, el 23 de mayo de 2007 el Ministro recusado se separó de la causa</w:t>
      </w:r>
      <w:r w:rsidR="006F674E" w:rsidRPr="007E4AA8">
        <w:rPr>
          <w:rFonts w:asciiTheme="majorHAnsi" w:hAnsiTheme="majorHAnsi"/>
          <w:sz w:val="20"/>
          <w:szCs w:val="20"/>
          <w:lang w:val="es-ES"/>
        </w:rPr>
        <w:t xml:space="preserve">. </w:t>
      </w:r>
      <w:r w:rsidR="00CE3EAD" w:rsidRPr="007E4AA8">
        <w:rPr>
          <w:rFonts w:asciiTheme="majorHAnsi" w:hAnsiTheme="majorHAnsi"/>
          <w:sz w:val="20"/>
          <w:szCs w:val="20"/>
          <w:lang w:val="es-ES"/>
        </w:rPr>
        <w:t>La CIDH nota que e</w:t>
      </w:r>
      <w:r w:rsidR="006F674E" w:rsidRPr="007E4AA8">
        <w:rPr>
          <w:rFonts w:asciiTheme="majorHAnsi" w:hAnsiTheme="majorHAnsi"/>
          <w:sz w:val="20"/>
          <w:szCs w:val="20"/>
          <w:lang w:val="es-ES"/>
        </w:rPr>
        <w:t>ntre mayo y julio de 2007 cuatro Ministros se excusaron de conocer la causa, hasta que el 7 de agosto de 2007 un Ministro acept</w:t>
      </w:r>
      <w:r w:rsidR="00AA4521" w:rsidRPr="007E4AA8">
        <w:rPr>
          <w:rFonts w:asciiTheme="majorHAnsi" w:hAnsiTheme="majorHAnsi"/>
          <w:sz w:val="20"/>
          <w:szCs w:val="20"/>
          <w:lang w:val="es-ES"/>
        </w:rPr>
        <w:t>ó</w:t>
      </w:r>
      <w:r w:rsidR="006F674E" w:rsidRPr="007E4AA8">
        <w:rPr>
          <w:rFonts w:asciiTheme="majorHAnsi" w:hAnsiTheme="majorHAnsi"/>
          <w:sz w:val="20"/>
          <w:szCs w:val="20"/>
          <w:lang w:val="es-ES"/>
        </w:rPr>
        <w:t xml:space="preserve"> integrar</w:t>
      </w:r>
      <w:r w:rsidR="00951205" w:rsidRPr="007E4AA8">
        <w:rPr>
          <w:rFonts w:asciiTheme="majorHAnsi" w:hAnsiTheme="majorHAnsi"/>
          <w:sz w:val="20"/>
          <w:szCs w:val="20"/>
          <w:lang w:val="es-ES"/>
        </w:rPr>
        <w:t xml:space="preserve"> la Sala Constitucional</w:t>
      </w:r>
      <w:r w:rsidRPr="007E4AA8">
        <w:rPr>
          <w:rStyle w:val="FootnoteReference"/>
          <w:rFonts w:asciiTheme="majorHAnsi" w:hAnsiTheme="majorHAnsi"/>
          <w:sz w:val="20"/>
          <w:szCs w:val="20"/>
          <w:lang w:val="es-ES"/>
        </w:rPr>
        <w:footnoteReference w:id="41"/>
      </w:r>
      <w:r w:rsidRPr="007E4AA8">
        <w:rPr>
          <w:rFonts w:asciiTheme="majorHAnsi" w:hAnsiTheme="majorHAnsi"/>
          <w:sz w:val="20"/>
          <w:szCs w:val="20"/>
          <w:lang w:val="es-ES"/>
        </w:rPr>
        <w:t>.</w:t>
      </w:r>
    </w:p>
    <w:p w14:paraId="252AAC24" w14:textId="77777777" w:rsidR="00334085" w:rsidRPr="007E4AA8" w:rsidRDefault="00334085" w:rsidP="00B24F71">
      <w:pPr>
        <w:pStyle w:val="ListParagraph"/>
        <w:rPr>
          <w:color w:val="auto"/>
        </w:rPr>
      </w:pPr>
    </w:p>
    <w:p w14:paraId="711AA14A" w14:textId="77777777" w:rsidR="00202337" w:rsidRPr="007E4AA8" w:rsidRDefault="00771F0E" w:rsidP="00B2451F">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Tras </w:t>
      </w:r>
      <w:r w:rsidR="00CE3EAD" w:rsidRPr="007E4AA8">
        <w:rPr>
          <w:rFonts w:asciiTheme="majorHAnsi" w:hAnsiTheme="majorHAnsi"/>
          <w:sz w:val="20"/>
          <w:szCs w:val="20"/>
          <w:lang w:val="es-ES"/>
        </w:rPr>
        <w:t>el fallo de la Corte Suprema sobre la excepción de inconstitucionalidad</w:t>
      </w:r>
      <w:r w:rsidRPr="007E4AA8">
        <w:rPr>
          <w:rFonts w:asciiTheme="majorHAnsi" w:hAnsiTheme="majorHAnsi"/>
          <w:sz w:val="20"/>
          <w:szCs w:val="20"/>
          <w:lang w:val="es-ES"/>
        </w:rPr>
        <w:t>, se present</w:t>
      </w:r>
      <w:r w:rsidR="00CE3EAD" w:rsidRPr="007E4AA8">
        <w:rPr>
          <w:rFonts w:asciiTheme="majorHAnsi" w:hAnsiTheme="majorHAnsi"/>
          <w:sz w:val="20"/>
          <w:szCs w:val="20"/>
          <w:lang w:val="es-ES"/>
        </w:rPr>
        <w:t>ó</w:t>
      </w:r>
      <w:r w:rsidRPr="007E4AA8">
        <w:rPr>
          <w:rFonts w:asciiTheme="majorHAnsi" w:hAnsiTheme="majorHAnsi"/>
          <w:sz w:val="20"/>
          <w:szCs w:val="20"/>
          <w:lang w:val="es-ES"/>
        </w:rPr>
        <w:t xml:space="preserve"> una solicitud de aclaratoria de la resolución por parte de la defensa de los acusados</w:t>
      </w:r>
      <w:r w:rsidR="00014D77" w:rsidRPr="007E4AA8">
        <w:rPr>
          <w:rStyle w:val="FootnoteReference"/>
          <w:rFonts w:ascii="Cambria" w:hAnsi="Cambria"/>
          <w:sz w:val="20"/>
          <w:szCs w:val="20"/>
          <w:lang w:val="es-ES"/>
        </w:rPr>
        <w:footnoteReference w:id="42"/>
      </w:r>
      <w:r w:rsidR="00014D77" w:rsidRPr="007E4AA8">
        <w:rPr>
          <w:rFonts w:asciiTheme="majorHAnsi" w:hAnsiTheme="majorHAnsi"/>
          <w:sz w:val="20"/>
          <w:szCs w:val="20"/>
          <w:lang w:val="es-ES"/>
        </w:rPr>
        <w:t>.</w:t>
      </w:r>
      <w:r w:rsidR="00B2451F" w:rsidRPr="007E4AA8">
        <w:rPr>
          <w:rFonts w:asciiTheme="majorHAnsi" w:hAnsiTheme="majorHAnsi"/>
          <w:sz w:val="20"/>
          <w:szCs w:val="20"/>
          <w:lang w:val="es-ES"/>
        </w:rPr>
        <w:t xml:space="preserve"> </w:t>
      </w:r>
      <w:r w:rsidR="00E362D9" w:rsidRPr="007E4AA8">
        <w:rPr>
          <w:rFonts w:asciiTheme="majorHAnsi" w:hAnsiTheme="majorHAnsi"/>
          <w:sz w:val="20"/>
          <w:szCs w:val="20"/>
          <w:lang w:val="es-ES"/>
        </w:rPr>
        <w:t xml:space="preserve">Conforme a </w:t>
      </w:r>
      <w:r w:rsidR="00B2451F" w:rsidRPr="007E4AA8">
        <w:rPr>
          <w:rFonts w:asciiTheme="majorHAnsi" w:hAnsiTheme="majorHAnsi"/>
          <w:sz w:val="20"/>
          <w:szCs w:val="20"/>
          <w:lang w:val="es-ES"/>
        </w:rPr>
        <w:t xml:space="preserve">una </w:t>
      </w:r>
      <w:r w:rsidR="00E362D9" w:rsidRPr="007E4AA8">
        <w:rPr>
          <w:rFonts w:asciiTheme="majorHAnsi" w:hAnsiTheme="majorHAnsi"/>
          <w:sz w:val="20"/>
          <w:szCs w:val="20"/>
          <w:lang w:val="es-ES"/>
        </w:rPr>
        <w:t>nota de prensa</w:t>
      </w:r>
      <w:r w:rsidR="00B2451F" w:rsidRPr="007E4AA8">
        <w:rPr>
          <w:rFonts w:asciiTheme="majorHAnsi" w:hAnsiTheme="majorHAnsi"/>
          <w:sz w:val="20"/>
          <w:szCs w:val="20"/>
          <w:lang w:val="es-ES"/>
        </w:rPr>
        <w:t xml:space="preserve"> que obra en el caso</w:t>
      </w:r>
      <w:r w:rsidR="00E362D9" w:rsidRPr="007E4AA8">
        <w:rPr>
          <w:rFonts w:asciiTheme="majorHAnsi" w:hAnsiTheme="majorHAnsi"/>
          <w:sz w:val="20"/>
          <w:szCs w:val="20"/>
          <w:lang w:val="es-ES"/>
        </w:rPr>
        <w:t>, consta que el 16 de junio de 2009 se habría suspendido nuevamente la audiencia preliminar programada,</w:t>
      </w:r>
      <w:r w:rsidR="00B2451F" w:rsidRPr="007E4AA8">
        <w:rPr>
          <w:rFonts w:asciiTheme="majorHAnsi" w:hAnsiTheme="majorHAnsi"/>
          <w:sz w:val="20"/>
          <w:szCs w:val="20"/>
          <w:lang w:val="es-ES"/>
        </w:rPr>
        <w:t xml:space="preserve"> </w:t>
      </w:r>
      <w:r w:rsidR="00E362D9" w:rsidRPr="007E4AA8">
        <w:rPr>
          <w:rFonts w:asciiTheme="majorHAnsi" w:hAnsiTheme="majorHAnsi"/>
          <w:sz w:val="20"/>
          <w:szCs w:val="20"/>
          <w:lang w:val="es-ES"/>
        </w:rPr>
        <w:t>tras incidentes planteados por los abogados de los acusados</w:t>
      </w:r>
      <w:r w:rsidR="00E362D9" w:rsidRPr="007E4AA8">
        <w:rPr>
          <w:rStyle w:val="FootnoteReference"/>
          <w:rFonts w:asciiTheme="majorHAnsi" w:hAnsiTheme="majorHAnsi"/>
          <w:sz w:val="20"/>
          <w:szCs w:val="20"/>
          <w:lang w:val="es-ES"/>
        </w:rPr>
        <w:footnoteReference w:id="43"/>
      </w:r>
      <w:r w:rsidR="00E362D9" w:rsidRPr="007E4AA8">
        <w:rPr>
          <w:rFonts w:asciiTheme="majorHAnsi" w:hAnsiTheme="majorHAnsi"/>
          <w:sz w:val="20"/>
          <w:szCs w:val="20"/>
          <w:lang w:val="es-ES"/>
        </w:rPr>
        <w:t xml:space="preserve">. </w:t>
      </w:r>
      <w:r w:rsidR="00B2451F" w:rsidRPr="007E4AA8">
        <w:rPr>
          <w:rFonts w:asciiTheme="majorHAnsi" w:hAnsiTheme="majorHAnsi"/>
          <w:sz w:val="20"/>
          <w:szCs w:val="20"/>
          <w:lang w:val="es-ES"/>
        </w:rPr>
        <w:t>La CIDH observa que</w:t>
      </w:r>
      <w:r w:rsidR="00202337" w:rsidRPr="007E4AA8">
        <w:rPr>
          <w:rFonts w:asciiTheme="majorHAnsi" w:hAnsiTheme="majorHAnsi"/>
          <w:sz w:val="20"/>
          <w:szCs w:val="20"/>
          <w:lang w:val="es-ES"/>
        </w:rPr>
        <w:t xml:space="preserve"> </w:t>
      </w:r>
      <w:r w:rsidR="00650896" w:rsidRPr="007E4AA8">
        <w:rPr>
          <w:rFonts w:asciiTheme="majorHAnsi" w:hAnsiTheme="majorHAnsi"/>
          <w:sz w:val="20"/>
          <w:szCs w:val="20"/>
          <w:lang w:val="es-ES"/>
        </w:rPr>
        <w:t xml:space="preserve">en </w:t>
      </w:r>
      <w:r w:rsidR="00202337" w:rsidRPr="007E4AA8">
        <w:rPr>
          <w:rFonts w:asciiTheme="majorHAnsi" w:hAnsiTheme="majorHAnsi"/>
          <w:sz w:val="20"/>
          <w:szCs w:val="20"/>
          <w:lang w:val="es-ES"/>
        </w:rPr>
        <w:t>2012 el Estado informó que se había fijado audiencia preliminar para el 24 de julio de 2012</w:t>
      </w:r>
      <w:r w:rsidR="00A3419C" w:rsidRPr="007E4AA8">
        <w:rPr>
          <w:rFonts w:asciiTheme="majorHAnsi" w:hAnsiTheme="majorHAnsi"/>
          <w:sz w:val="20"/>
          <w:szCs w:val="20"/>
          <w:lang w:val="es-ES"/>
        </w:rPr>
        <w:t>. Asimismo, refirió que previamente la causa estuvo por varios meses en el trámite de un expediente por cuerda separada sobre recusación de tres jueces, en que la Corte Suprema resolvió mediante auto interlocutorio de 10 de abril de 2012 declarar inadmisible una apelación contra “el A.I. No. 4 de 8 de febrero de 2012”</w:t>
      </w:r>
      <w:r w:rsidR="00202337" w:rsidRPr="007E4AA8">
        <w:rPr>
          <w:rStyle w:val="FootnoteReference"/>
          <w:rFonts w:asciiTheme="majorHAnsi" w:hAnsiTheme="majorHAnsi"/>
          <w:sz w:val="20"/>
          <w:szCs w:val="20"/>
          <w:lang w:val="es-ES"/>
        </w:rPr>
        <w:footnoteReference w:id="44"/>
      </w:r>
      <w:r w:rsidR="00202337" w:rsidRPr="007E4AA8">
        <w:rPr>
          <w:rFonts w:asciiTheme="majorHAnsi" w:hAnsiTheme="majorHAnsi"/>
          <w:sz w:val="20"/>
          <w:szCs w:val="20"/>
          <w:lang w:val="es-ES"/>
        </w:rPr>
        <w:t>.</w:t>
      </w:r>
      <w:r w:rsidR="00A3419C" w:rsidRPr="007E4AA8">
        <w:rPr>
          <w:rFonts w:asciiTheme="majorHAnsi" w:hAnsiTheme="majorHAnsi"/>
          <w:sz w:val="20"/>
          <w:szCs w:val="20"/>
          <w:lang w:val="es-ES"/>
        </w:rPr>
        <w:t xml:space="preserve"> Conforme a nota de prensa, la audiencia fue diferida por novena vez, fijándose para el 29 de agosto</w:t>
      </w:r>
      <w:r w:rsidR="00A3419C" w:rsidRPr="007E4AA8">
        <w:rPr>
          <w:rStyle w:val="FootnoteReference"/>
          <w:rFonts w:asciiTheme="majorHAnsi" w:hAnsiTheme="majorHAnsi"/>
          <w:sz w:val="20"/>
          <w:szCs w:val="20"/>
          <w:lang w:val="es-ES"/>
        </w:rPr>
        <w:footnoteReference w:id="45"/>
      </w:r>
      <w:r w:rsidR="00A3419C" w:rsidRPr="007E4AA8">
        <w:rPr>
          <w:rFonts w:asciiTheme="majorHAnsi" w:hAnsiTheme="majorHAnsi"/>
          <w:sz w:val="20"/>
          <w:szCs w:val="20"/>
          <w:lang w:val="es-ES"/>
        </w:rPr>
        <w:t>.</w:t>
      </w:r>
    </w:p>
    <w:p w14:paraId="25AA8746" w14:textId="77777777" w:rsidR="00D02689" w:rsidRPr="007E4AA8" w:rsidRDefault="00D02689" w:rsidP="00B24F71">
      <w:pPr>
        <w:pStyle w:val="ListParagraph"/>
        <w:rPr>
          <w:color w:val="auto"/>
        </w:rPr>
      </w:pPr>
    </w:p>
    <w:p w14:paraId="1A1457C8" w14:textId="77777777" w:rsidR="0001768A" w:rsidRPr="007E4AA8" w:rsidRDefault="00D02689" w:rsidP="0001768A">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Conforme a </w:t>
      </w:r>
      <w:r w:rsidR="00650896" w:rsidRPr="007E4AA8">
        <w:rPr>
          <w:rFonts w:asciiTheme="majorHAnsi" w:hAnsiTheme="majorHAnsi"/>
          <w:sz w:val="20"/>
          <w:szCs w:val="20"/>
          <w:lang w:val="es-ES"/>
        </w:rPr>
        <w:t xml:space="preserve">un </w:t>
      </w:r>
      <w:r w:rsidRPr="007E4AA8">
        <w:rPr>
          <w:rFonts w:asciiTheme="majorHAnsi" w:hAnsiTheme="majorHAnsi"/>
          <w:sz w:val="20"/>
          <w:szCs w:val="20"/>
          <w:lang w:val="es-ES"/>
        </w:rPr>
        <w:t xml:space="preserve">escrito </w:t>
      </w:r>
      <w:r w:rsidR="00650896" w:rsidRPr="007E4AA8">
        <w:rPr>
          <w:rFonts w:asciiTheme="majorHAnsi" w:hAnsiTheme="majorHAnsi"/>
          <w:sz w:val="20"/>
          <w:szCs w:val="20"/>
          <w:lang w:val="es-ES"/>
        </w:rPr>
        <w:t xml:space="preserve">aportado al expediente </w:t>
      </w:r>
      <w:r w:rsidRPr="007E4AA8">
        <w:rPr>
          <w:rFonts w:asciiTheme="majorHAnsi" w:hAnsiTheme="majorHAnsi"/>
          <w:sz w:val="20"/>
          <w:szCs w:val="20"/>
          <w:lang w:val="es-ES"/>
        </w:rPr>
        <w:t>en 2018, se afirm</w:t>
      </w:r>
      <w:r w:rsidR="00650896" w:rsidRPr="007E4AA8">
        <w:rPr>
          <w:rFonts w:asciiTheme="majorHAnsi" w:hAnsiTheme="majorHAnsi"/>
          <w:sz w:val="20"/>
          <w:szCs w:val="20"/>
          <w:lang w:val="es-ES"/>
        </w:rPr>
        <w:t>ó</w:t>
      </w:r>
      <w:r w:rsidRPr="007E4AA8">
        <w:rPr>
          <w:rFonts w:asciiTheme="majorHAnsi" w:hAnsiTheme="majorHAnsi"/>
          <w:sz w:val="20"/>
          <w:szCs w:val="20"/>
          <w:lang w:val="es-ES"/>
        </w:rPr>
        <w:t xml:space="preserve"> que el proceso lleva 16 años sin que a </w:t>
      </w:r>
      <w:r w:rsidR="00650896" w:rsidRPr="007E4AA8">
        <w:rPr>
          <w:rFonts w:asciiTheme="majorHAnsi" w:hAnsiTheme="majorHAnsi"/>
          <w:sz w:val="20"/>
          <w:szCs w:val="20"/>
          <w:lang w:val="es-ES"/>
        </w:rPr>
        <w:t>tal</w:t>
      </w:r>
      <w:r w:rsidRPr="007E4AA8">
        <w:rPr>
          <w:rFonts w:asciiTheme="majorHAnsi" w:hAnsiTheme="majorHAnsi"/>
          <w:sz w:val="20"/>
          <w:szCs w:val="20"/>
          <w:lang w:val="es-ES"/>
        </w:rPr>
        <w:t xml:space="preserve"> fecha se hubiese realizado la audiencia preliminar</w:t>
      </w:r>
      <w:r w:rsidRPr="007E4AA8">
        <w:rPr>
          <w:rStyle w:val="FootnoteReference"/>
          <w:rFonts w:asciiTheme="majorHAnsi" w:hAnsiTheme="majorHAnsi"/>
          <w:sz w:val="20"/>
          <w:szCs w:val="20"/>
          <w:lang w:val="es-ES"/>
        </w:rPr>
        <w:footnoteReference w:id="46"/>
      </w:r>
      <w:r w:rsidRPr="007E4AA8">
        <w:rPr>
          <w:rFonts w:asciiTheme="majorHAnsi" w:hAnsiTheme="majorHAnsi"/>
          <w:sz w:val="20"/>
          <w:szCs w:val="20"/>
          <w:lang w:val="es-ES"/>
        </w:rPr>
        <w:t xml:space="preserve">. </w:t>
      </w:r>
      <w:r w:rsidR="00686581" w:rsidRPr="007E4AA8">
        <w:rPr>
          <w:rFonts w:asciiTheme="majorHAnsi" w:hAnsiTheme="majorHAnsi"/>
          <w:sz w:val="20"/>
          <w:szCs w:val="20"/>
          <w:lang w:val="es-ES"/>
        </w:rPr>
        <w:t>Obra</w:t>
      </w:r>
      <w:r w:rsidR="009D76CD" w:rsidRPr="007E4AA8">
        <w:rPr>
          <w:rFonts w:asciiTheme="majorHAnsi" w:hAnsiTheme="majorHAnsi"/>
          <w:sz w:val="20"/>
          <w:szCs w:val="20"/>
          <w:lang w:val="es-ES"/>
        </w:rPr>
        <w:t>,</w:t>
      </w:r>
      <w:r w:rsidR="00686581" w:rsidRPr="007E4AA8">
        <w:rPr>
          <w:rFonts w:asciiTheme="majorHAnsi" w:hAnsiTheme="majorHAnsi"/>
          <w:sz w:val="20"/>
          <w:szCs w:val="20"/>
          <w:lang w:val="es-ES"/>
        </w:rPr>
        <w:t xml:space="preserve"> </w:t>
      </w:r>
      <w:r w:rsidR="009D76CD" w:rsidRPr="007E4AA8">
        <w:rPr>
          <w:rFonts w:asciiTheme="majorHAnsi" w:hAnsiTheme="majorHAnsi"/>
          <w:sz w:val="20"/>
          <w:szCs w:val="20"/>
          <w:lang w:val="es-ES"/>
        </w:rPr>
        <w:t xml:space="preserve">además, </w:t>
      </w:r>
      <w:r w:rsidR="00686581" w:rsidRPr="007E4AA8">
        <w:rPr>
          <w:rFonts w:asciiTheme="majorHAnsi" w:hAnsiTheme="majorHAnsi"/>
          <w:sz w:val="20"/>
          <w:szCs w:val="20"/>
          <w:lang w:val="es-ES"/>
        </w:rPr>
        <w:t xml:space="preserve">una constancia de fecha 9 de marzo de 2018 en que se notifica a las partes que la audiencia de reposición planteada por el acusado Walter Bower no se </w:t>
      </w:r>
      <w:r w:rsidR="00D13906" w:rsidRPr="007E4AA8">
        <w:rPr>
          <w:rFonts w:asciiTheme="majorHAnsi" w:hAnsiTheme="majorHAnsi"/>
          <w:sz w:val="20"/>
          <w:szCs w:val="20"/>
          <w:lang w:val="es-ES"/>
        </w:rPr>
        <w:lastRenderedPageBreak/>
        <w:t xml:space="preserve">habría realizado </w:t>
      </w:r>
      <w:r w:rsidR="00686581" w:rsidRPr="007E4AA8">
        <w:rPr>
          <w:rFonts w:asciiTheme="majorHAnsi" w:hAnsiTheme="majorHAnsi"/>
          <w:sz w:val="20"/>
          <w:szCs w:val="20"/>
          <w:lang w:val="es-ES"/>
        </w:rPr>
        <w:t>debido a un escrito de recusación presentado por la defensa de uno de los acusados</w:t>
      </w:r>
      <w:r w:rsidR="009D76CD" w:rsidRPr="007E4AA8">
        <w:rPr>
          <w:rStyle w:val="FootnoteReference"/>
          <w:rFonts w:asciiTheme="majorHAnsi" w:hAnsiTheme="majorHAnsi"/>
          <w:sz w:val="20"/>
          <w:szCs w:val="20"/>
          <w:lang w:val="es-ES"/>
        </w:rPr>
        <w:footnoteReference w:id="47"/>
      </w:r>
      <w:r w:rsidR="00686581" w:rsidRPr="007E4AA8">
        <w:rPr>
          <w:rFonts w:asciiTheme="majorHAnsi" w:hAnsiTheme="majorHAnsi"/>
          <w:sz w:val="20"/>
          <w:szCs w:val="20"/>
          <w:lang w:val="es-ES"/>
        </w:rPr>
        <w:t xml:space="preserve">. </w:t>
      </w:r>
      <w:r w:rsidR="009D76CD" w:rsidRPr="007E4AA8">
        <w:rPr>
          <w:rFonts w:asciiTheme="majorHAnsi" w:hAnsiTheme="majorHAnsi"/>
          <w:sz w:val="20"/>
          <w:szCs w:val="20"/>
          <w:lang w:val="es-ES"/>
        </w:rPr>
        <w:t xml:space="preserve">En 2018 el juez de la causa habría sancionado a Walter Bower como “litigante de mala fe durante 17 años”, ordenando su arresto por 48 horas en la sala del retén del Palacio de Justicia, sanción que estaba sujeta a confirmación de la Cámara de Apelaciones. </w:t>
      </w:r>
    </w:p>
    <w:p w14:paraId="197854D9" w14:textId="77777777" w:rsidR="0001768A" w:rsidRPr="007E4AA8" w:rsidRDefault="0001768A" w:rsidP="00B24F71">
      <w:pPr>
        <w:pStyle w:val="ListParagraph"/>
        <w:rPr>
          <w:color w:val="auto"/>
        </w:rPr>
      </w:pPr>
    </w:p>
    <w:p w14:paraId="385BBD5C" w14:textId="77777777" w:rsidR="009B1E1E" w:rsidRPr="007E4AA8" w:rsidRDefault="00BD12D3" w:rsidP="009B1E1E">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Según</w:t>
      </w:r>
      <w:r w:rsidR="0001768A" w:rsidRPr="007E4AA8">
        <w:rPr>
          <w:rFonts w:asciiTheme="majorHAnsi" w:hAnsiTheme="majorHAnsi"/>
          <w:sz w:val="20"/>
          <w:szCs w:val="20"/>
          <w:lang w:val="es-ES"/>
        </w:rPr>
        <w:t xml:space="preserve"> información de dominio público, tras 19 años de haberse iniciado el proceso, el 20 de agosto de 2019 </w:t>
      </w:r>
      <w:r w:rsidR="00D13906" w:rsidRPr="007E4AA8">
        <w:rPr>
          <w:rFonts w:asciiTheme="majorHAnsi" w:hAnsiTheme="majorHAnsi"/>
          <w:sz w:val="20"/>
          <w:szCs w:val="20"/>
          <w:lang w:val="es-ES"/>
        </w:rPr>
        <w:t xml:space="preserve">inició </w:t>
      </w:r>
      <w:r w:rsidR="0001768A" w:rsidRPr="007E4AA8">
        <w:rPr>
          <w:rFonts w:asciiTheme="majorHAnsi" w:hAnsiTheme="majorHAnsi"/>
          <w:sz w:val="20"/>
          <w:szCs w:val="20"/>
          <w:lang w:val="es-ES"/>
        </w:rPr>
        <w:t>el juicio oral</w:t>
      </w:r>
      <w:r w:rsidR="0001768A" w:rsidRPr="007E4AA8">
        <w:rPr>
          <w:rStyle w:val="FootnoteReference"/>
          <w:rFonts w:asciiTheme="majorHAnsi" w:hAnsiTheme="majorHAnsi"/>
          <w:sz w:val="20"/>
          <w:szCs w:val="20"/>
          <w:lang w:val="es-ES"/>
        </w:rPr>
        <w:footnoteReference w:id="48"/>
      </w:r>
      <w:r w:rsidR="0001768A" w:rsidRPr="007E4AA8">
        <w:rPr>
          <w:rFonts w:asciiTheme="majorHAnsi" w:hAnsiTheme="majorHAnsi"/>
          <w:sz w:val="20"/>
          <w:szCs w:val="20"/>
          <w:lang w:val="es-ES"/>
        </w:rPr>
        <w:t xml:space="preserve">. </w:t>
      </w:r>
    </w:p>
    <w:p w14:paraId="327C3290" w14:textId="77777777" w:rsidR="00C911D4" w:rsidRPr="007E4AA8" w:rsidRDefault="00C911D4" w:rsidP="00C911D4">
      <w:pPr>
        <w:tabs>
          <w:tab w:val="left" w:pos="360"/>
        </w:tabs>
        <w:jc w:val="both"/>
        <w:rPr>
          <w:rFonts w:asciiTheme="majorHAnsi" w:hAnsiTheme="majorHAnsi"/>
          <w:sz w:val="20"/>
          <w:szCs w:val="20"/>
          <w:lang w:val="es-ES"/>
        </w:rPr>
      </w:pPr>
    </w:p>
    <w:p w14:paraId="61AC845E" w14:textId="77777777" w:rsidR="00D301C7" w:rsidRPr="007E4AA8" w:rsidRDefault="00D301C7" w:rsidP="00D301C7">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Conforme a los alegatos del Ministerio Público, ciertos elementos probatorios fueron excluidos por el juzgado penal por diversas razones, como por ejemplo “no disponer del original por no estar autenticado”, y en otros casos “debido a que no existen constancias en el expediente judicial que hayan sido presentadas por el entonces fiscal (…) quien dejo el caso tras inhibirse a pedido de la querella”. Así, el Ministerio Público refirió que “todos estos elementos probatorios, el libro de comando de la infantería de marina, result</w:t>
      </w:r>
      <w:r w:rsidR="00650896" w:rsidRPr="007E4AA8">
        <w:rPr>
          <w:rFonts w:asciiTheme="majorHAnsi" w:hAnsiTheme="majorHAnsi"/>
          <w:sz w:val="20"/>
          <w:szCs w:val="20"/>
          <w:lang w:val="es-ES"/>
        </w:rPr>
        <w:t>ó</w:t>
      </w:r>
      <w:r w:rsidRPr="007E4AA8">
        <w:rPr>
          <w:rFonts w:asciiTheme="majorHAnsi" w:hAnsiTheme="majorHAnsi"/>
          <w:sz w:val="20"/>
          <w:szCs w:val="20"/>
          <w:lang w:val="es-ES"/>
        </w:rPr>
        <w:t xml:space="preserve"> extraviado durante el tránsito de diversos juzgados, tribunales integrados y desintegrados, en diversas oportunidades. Sin lugar a duda estamos ante un juicio de contornos extraordinarios donde ha recaído toda la responsabilidad en el Ministerio Público (…) poniéndose sobre mis hombros la no presentación de pruebas en este dilatadísimo lapso de tiempo, hecho del cual, sin embargo, de manera fáctica no tengo responsabilidad alguna”</w:t>
      </w:r>
      <w:r w:rsidRPr="007E4AA8">
        <w:rPr>
          <w:rStyle w:val="FootnoteReference"/>
          <w:rFonts w:asciiTheme="majorHAnsi" w:hAnsiTheme="majorHAnsi"/>
          <w:sz w:val="20"/>
          <w:szCs w:val="20"/>
          <w:lang w:val="es-ES"/>
        </w:rPr>
        <w:footnoteReference w:id="49"/>
      </w:r>
      <w:r w:rsidRPr="007E4AA8">
        <w:rPr>
          <w:rFonts w:asciiTheme="majorHAnsi" w:hAnsiTheme="majorHAnsi"/>
          <w:sz w:val="20"/>
          <w:szCs w:val="20"/>
          <w:lang w:val="es-ES"/>
        </w:rPr>
        <w:t>.</w:t>
      </w:r>
    </w:p>
    <w:p w14:paraId="325F03FC" w14:textId="77777777" w:rsidR="00D301C7" w:rsidRPr="007E4AA8" w:rsidRDefault="00D301C7" w:rsidP="00D301C7">
      <w:pPr>
        <w:rPr>
          <w:lang w:val="es-ES"/>
        </w:rPr>
      </w:pPr>
    </w:p>
    <w:p w14:paraId="02289B5D" w14:textId="77777777" w:rsidR="00D301C7" w:rsidRPr="007E4AA8" w:rsidRDefault="00D301C7" w:rsidP="00D301C7">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Consta que, en el marco del juicio oral, el Ministerio Público esgrimió que en aquel momento regía la Ley 222/93 “Orgánica de la Policía Nacional”, que en su artículo 6 incisos 4 y 9 establece entre las atribuciones de la policía investigar bajo la dirección del Ministerio Público los hechos cometidos en cualquier punto del territorio nacional, y detener a las personas sorprendidas en la comisión de delitos y a los sospechosos en la forma y por el tiempo establecidos en la Constitución y las leyes, haciéndoles saber las causas de la detención y derechos q asisten, poniéndoles a disposición del juez competente.  En este sentido, argument</w:t>
      </w:r>
      <w:r w:rsidR="00BB60B2" w:rsidRPr="007E4AA8">
        <w:rPr>
          <w:rFonts w:asciiTheme="majorHAnsi" w:hAnsiTheme="majorHAnsi"/>
          <w:sz w:val="20"/>
          <w:szCs w:val="20"/>
          <w:lang w:val="es-ES"/>
        </w:rPr>
        <w:t>ó</w:t>
      </w:r>
      <w:r w:rsidRPr="007E4AA8">
        <w:rPr>
          <w:rFonts w:asciiTheme="majorHAnsi" w:hAnsiTheme="majorHAnsi"/>
          <w:sz w:val="20"/>
          <w:szCs w:val="20"/>
          <w:lang w:val="es-ES"/>
        </w:rPr>
        <w:t xml:space="preserve"> que “ninguna de estas obligaciones fueron cumplidas por los personales de la Comisaría 11 Metropolitana, actuando con total irregularidad, atribuyéndose funciones interrogatorios, en sede de una comisaría metropolitana, que no tenía ni tiene jurisdicción ni competencia alguna que le establezcan las leyes y las normas que rigen los procedimientos penales, para realizar este tipo de interrogatorios, y ni que decir realizar dichos interrogatorios bajo coacción y con el uso de la fuerza y la intimidación, es decir, bajo “tortura” (…) Ni el estado de excepción les da los argumentos jurídicos necesarios para poder realizar este tipo de interrogatorios, y en tal caso, el decreto del poder ejecutivo por el cual se ordenaba la detención de personas, le debería haber dado facultades extraordinarias a esa comisaría 11 metropolitana para efectuar algún tipo de investigación, cuestión que no se realiz</w:t>
      </w:r>
      <w:r w:rsidR="00BB60B2" w:rsidRPr="007E4AA8">
        <w:rPr>
          <w:rFonts w:asciiTheme="majorHAnsi" w:hAnsiTheme="majorHAnsi"/>
          <w:sz w:val="20"/>
          <w:szCs w:val="20"/>
          <w:lang w:val="es-ES"/>
        </w:rPr>
        <w:t>ó</w:t>
      </w:r>
      <w:r w:rsidRPr="007E4AA8">
        <w:rPr>
          <w:rFonts w:asciiTheme="majorHAnsi" w:hAnsiTheme="majorHAnsi"/>
          <w:sz w:val="20"/>
          <w:szCs w:val="20"/>
          <w:lang w:val="es-ES"/>
        </w:rPr>
        <w:t>, pues de por si iba a adolecer de ser inconstitucional”</w:t>
      </w:r>
      <w:r w:rsidRPr="007E4AA8">
        <w:rPr>
          <w:rStyle w:val="FootnoteReference"/>
          <w:rFonts w:asciiTheme="majorHAnsi" w:hAnsiTheme="majorHAnsi"/>
          <w:sz w:val="20"/>
          <w:szCs w:val="20"/>
          <w:lang w:val="es-ES"/>
        </w:rPr>
        <w:footnoteReference w:id="50"/>
      </w:r>
      <w:r w:rsidRPr="007E4AA8">
        <w:rPr>
          <w:rFonts w:asciiTheme="majorHAnsi" w:hAnsiTheme="majorHAnsi"/>
          <w:sz w:val="20"/>
          <w:szCs w:val="20"/>
          <w:lang w:val="es-ES"/>
        </w:rPr>
        <w:t>.</w:t>
      </w:r>
    </w:p>
    <w:p w14:paraId="6ADCF6D4" w14:textId="77777777" w:rsidR="00197834" w:rsidRPr="007E4AA8" w:rsidRDefault="00197834" w:rsidP="00197834">
      <w:pPr>
        <w:tabs>
          <w:tab w:val="left" w:pos="360"/>
        </w:tabs>
        <w:jc w:val="both"/>
        <w:rPr>
          <w:rFonts w:asciiTheme="majorHAnsi" w:hAnsiTheme="majorHAnsi"/>
          <w:sz w:val="20"/>
          <w:szCs w:val="20"/>
          <w:lang w:val="es-ES"/>
        </w:rPr>
      </w:pPr>
    </w:p>
    <w:p w14:paraId="39F61E20" w14:textId="77777777" w:rsidR="00D301C7" w:rsidRPr="007E4AA8" w:rsidRDefault="00197834" w:rsidP="00FF07F7">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El Ministerio Público refirió en el marco del juicio</w:t>
      </w:r>
      <w:r w:rsidR="00FF07F7" w:rsidRPr="007E4AA8">
        <w:rPr>
          <w:rFonts w:asciiTheme="majorHAnsi" w:hAnsiTheme="majorHAnsi"/>
          <w:sz w:val="20"/>
          <w:szCs w:val="20"/>
          <w:lang w:val="es-ES"/>
        </w:rPr>
        <w:t>,</w:t>
      </w:r>
      <w:r w:rsidRPr="007E4AA8">
        <w:rPr>
          <w:rFonts w:asciiTheme="majorHAnsi" w:hAnsiTheme="majorHAnsi"/>
          <w:sz w:val="20"/>
          <w:szCs w:val="20"/>
          <w:lang w:val="es-ES"/>
        </w:rPr>
        <w:t xml:space="preserve"> que constaba copia autentica de un libro de actas de la agrupación especializada, donde se destacó que el 19 de mayo de 2000, fueron remitidos cinco policías, dentro de los cuáles figuraba el señor López</w:t>
      </w:r>
      <w:r w:rsidRPr="007E4AA8">
        <w:rPr>
          <w:rStyle w:val="FootnoteReference"/>
          <w:rFonts w:asciiTheme="majorHAnsi" w:hAnsiTheme="majorHAnsi"/>
          <w:sz w:val="20"/>
          <w:szCs w:val="20"/>
          <w:lang w:val="es-ES"/>
        </w:rPr>
        <w:footnoteReference w:id="51"/>
      </w:r>
      <w:r w:rsidRPr="007E4AA8">
        <w:rPr>
          <w:rFonts w:asciiTheme="majorHAnsi" w:hAnsiTheme="majorHAnsi"/>
          <w:sz w:val="20"/>
          <w:szCs w:val="20"/>
          <w:lang w:val="es-ES"/>
        </w:rPr>
        <w:t>.</w:t>
      </w:r>
      <w:r w:rsidR="007379E3" w:rsidRPr="007E4AA8">
        <w:rPr>
          <w:rFonts w:asciiTheme="majorHAnsi" w:hAnsiTheme="majorHAnsi"/>
          <w:sz w:val="20"/>
          <w:szCs w:val="20"/>
          <w:lang w:val="es-ES"/>
        </w:rPr>
        <w:t xml:space="preserve"> Asimismo, mencionó que constaba en un libro de actas destinado al servicio de sanidad de la agrupación especializada, que el señor López había sido </w:t>
      </w:r>
      <w:r w:rsidR="00ED7F2F" w:rsidRPr="007E4AA8">
        <w:rPr>
          <w:rFonts w:asciiTheme="majorHAnsi" w:hAnsiTheme="majorHAnsi"/>
          <w:sz w:val="20"/>
          <w:szCs w:val="20"/>
          <w:lang w:val="es-ES"/>
        </w:rPr>
        <w:t xml:space="preserve">atendido el 20 de mayo de 2000 por el señor Andrés Gómez Cardozo. </w:t>
      </w:r>
      <w:r w:rsidR="00D301C7" w:rsidRPr="007E4AA8">
        <w:rPr>
          <w:rFonts w:asciiTheme="majorHAnsi" w:hAnsiTheme="majorHAnsi"/>
          <w:sz w:val="20"/>
          <w:szCs w:val="20"/>
          <w:lang w:val="es-ES"/>
        </w:rPr>
        <w:t>Además, refirió que, el médico forense de turno de la Corte Suprema declar</w:t>
      </w:r>
      <w:r w:rsidR="00BB60B2" w:rsidRPr="007E4AA8">
        <w:rPr>
          <w:rFonts w:asciiTheme="majorHAnsi" w:hAnsiTheme="majorHAnsi"/>
          <w:sz w:val="20"/>
          <w:szCs w:val="20"/>
          <w:lang w:val="es-ES"/>
        </w:rPr>
        <w:t>ó</w:t>
      </w:r>
      <w:r w:rsidR="00D301C7" w:rsidRPr="007E4AA8">
        <w:rPr>
          <w:rFonts w:asciiTheme="majorHAnsi" w:hAnsiTheme="majorHAnsi"/>
          <w:sz w:val="20"/>
          <w:szCs w:val="20"/>
          <w:lang w:val="es-ES"/>
        </w:rPr>
        <w:t xml:space="preserve"> que tuvo oportunidad de visitar la Agrupación Especializada junto a un juez, declarando “no tener registrado que se haya realizado ninguna inspección médica”. En cuanto a esta declaración, el Ministerio Público afirmó que dicha inspección “se efectuó el 27 de mayo del año 2000, días después de los hechos de apremio y tortura acaecidos”. Asimismo, refirió que, conforme a la declaración en juicio del médico forense del Ministerio Público, el mismo informó que acompañó a tres fiscales, intentando hacer un examen completo, sin </w:t>
      </w:r>
      <w:r w:rsidR="00D301C7" w:rsidRPr="007E4AA8">
        <w:rPr>
          <w:rFonts w:asciiTheme="majorHAnsi" w:hAnsiTheme="majorHAnsi"/>
          <w:sz w:val="20"/>
          <w:szCs w:val="20"/>
          <w:lang w:val="es-ES"/>
        </w:rPr>
        <w:lastRenderedPageBreak/>
        <w:t>evidenciar algún signo llamativo. El Ministerio Público agregó que esta intervención “se realizó en fecha 11 de julio de 2000, es decir, a casi dos meses del hecho objeto de este proceso”</w:t>
      </w:r>
      <w:r w:rsidR="00D301C7" w:rsidRPr="007E4AA8">
        <w:rPr>
          <w:rStyle w:val="FootnoteReference"/>
          <w:rFonts w:asciiTheme="majorHAnsi" w:hAnsiTheme="majorHAnsi"/>
          <w:sz w:val="20"/>
          <w:szCs w:val="20"/>
          <w:lang w:val="es-ES"/>
        </w:rPr>
        <w:footnoteReference w:id="52"/>
      </w:r>
      <w:r w:rsidR="00D301C7" w:rsidRPr="007E4AA8">
        <w:rPr>
          <w:rFonts w:asciiTheme="majorHAnsi" w:hAnsiTheme="majorHAnsi"/>
          <w:sz w:val="20"/>
          <w:szCs w:val="20"/>
          <w:lang w:val="es-ES"/>
        </w:rPr>
        <w:t>.</w:t>
      </w:r>
    </w:p>
    <w:p w14:paraId="31EE8CD0" w14:textId="77777777" w:rsidR="00D301C7" w:rsidRPr="007E4AA8" w:rsidRDefault="00D301C7" w:rsidP="009B1E1E">
      <w:pPr>
        <w:tabs>
          <w:tab w:val="left" w:pos="360"/>
        </w:tabs>
        <w:jc w:val="both"/>
        <w:rPr>
          <w:rFonts w:asciiTheme="majorHAnsi" w:hAnsiTheme="majorHAnsi"/>
          <w:sz w:val="20"/>
          <w:szCs w:val="20"/>
          <w:lang w:val="es-ES"/>
        </w:rPr>
      </w:pPr>
    </w:p>
    <w:p w14:paraId="279CE394" w14:textId="77777777" w:rsidR="009B1E1E" w:rsidRPr="007E4AA8" w:rsidRDefault="00D301C7" w:rsidP="009B1E1E">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Además</w:t>
      </w:r>
      <w:r w:rsidR="009B1E1E" w:rsidRPr="007E4AA8">
        <w:rPr>
          <w:rFonts w:asciiTheme="majorHAnsi" w:hAnsiTheme="majorHAnsi"/>
          <w:sz w:val="20"/>
          <w:szCs w:val="20"/>
          <w:lang w:val="es-ES"/>
        </w:rPr>
        <w:t>, el Ministerio Público argumentó que</w:t>
      </w:r>
      <w:r w:rsidR="000A2531" w:rsidRPr="007E4AA8">
        <w:rPr>
          <w:rFonts w:asciiTheme="majorHAnsi" w:hAnsiTheme="majorHAnsi"/>
          <w:sz w:val="20"/>
          <w:szCs w:val="20"/>
          <w:lang w:val="es-ES"/>
        </w:rPr>
        <w:t>,</w:t>
      </w:r>
      <w:r w:rsidR="009B1E1E" w:rsidRPr="007E4AA8">
        <w:rPr>
          <w:rFonts w:asciiTheme="majorHAnsi" w:hAnsiTheme="majorHAnsi"/>
          <w:sz w:val="20"/>
          <w:szCs w:val="20"/>
          <w:lang w:val="es-ES"/>
        </w:rPr>
        <w:t xml:space="preserve"> los sumarios administrativos impulsados por las denuncias de malos tratos se realizaron todos en presencia del Procurador General Adjunto de la República, sin que la Ley Orgánica Policial autorice que dicha autoridad pueda intervenir en sumarios policiales. Así, sostuvo que “tal intervención debilita aún más la independencia y transparencia con que debe contar un sumario administrativo efectuado ante justicia policial”. Argumentó que, su participación en los interrogatorios fue direccionada a encubrir a los indagados “y evitar que una eventual investigación pueda llegar al entonces Ministro Bower”</w:t>
      </w:r>
      <w:r w:rsidR="009B1E1E" w:rsidRPr="007E4AA8">
        <w:rPr>
          <w:rStyle w:val="FootnoteReference"/>
          <w:rFonts w:asciiTheme="majorHAnsi" w:hAnsiTheme="majorHAnsi"/>
          <w:sz w:val="20"/>
          <w:szCs w:val="20"/>
          <w:lang w:val="es-ES"/>
        </w:rPr>
        <w:footnoteReference w:id="53"/>
      </w:r>
      <w:r w:rsidR="009B1E1E" w:rsidRPr="007E4AA8">
        <w:rPr>
          <w:rFonts w:asciiTheme="majorHAnsi" w:hAnsiTheme="majorHAnsi"/>
          <w:sz w:val="20"/>
          <w:szCs w:val="20"/>
          <w:lang w:val="es-ES"/>
        </w:rPr>
        <w:t>.</w:t>
      </w:r>
    </w:p>
    <w:p w14:paraId="48D35A57" w14:textId="77777777" w:rsidR="003C6927" w:rsidRPr="007E4AA8" w:rsidRDefault="003C6927" w:rsidP="009B1E1E">
      <w:pPr>
        <w:rPr>
          <w:lang w:val="es-ES"/>
        </w:rPr>
      </w:pPr>
    </w:p>
    <w:p w14:paraId="6F3D9092" w14:textId="77777777" w:rsidR="00FE0A35" w:rsidRPr="007E4AA8" w:rsidRDefault="00D25EA0" w:rsidP="00FE0A3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w:t>
      </w:r>
      <w:r w:rsidR="0001768A" w:rsidRPr="007E4AA8">
        <w:rPr>
          <w:rFonts w:asciiTheme="majorHAnsi" w:hAnsiTheme="majorHAnsi"/>
          <w:sz w:val="20"/>
          <w:szCs w:val="20"/>
          <w:lang w:val="es-ES"/>
        </w:rPr>
        <w:t xml:space="preserve">l 30 de diciembre de 2019 se </w:t>
      </w:r>
      <w:r w:rsidRPr="007E4AA8">
        <w:rPr>
          <w:rFonts w:asciiTheme="majorHAnsi" w:hAnsiTheme="majorHAnsi"/>
          <w:sz w:val="20"/>
          <w:szCs w:val="20"/>
          <w:lang w:val="es-ES"/>
        </w:rPr>
        <w:t>dict</w:t>
      </w:r>
      <w:r w:rsidR="00102CAE" w:rsidRPr="007E4AA8">
        <w:rPr>
          <w:rFonts w:asciiTheme="majorHAnsi" w:hAnsiTheme="majorHAnsi"/>
          <w:sz w:val="20"/>
          <w:szCs w:val="20"/>
          <w:lang w:val="es-ES"/>
        </w:rPr>
        <w:t>ó</w:t>
      </w:r>
      <w:r w:rsidR="0001768A" w:rsidRPr="007E4AA8">
        <w:rPr>
          <w:rFonts w:asciiTheme="majorHAnsi" w:hAnsiTheme="majorHAnsi"/>
          <w:sz w:val="20"/>
          <w:szCs w:val="20"/>
          <w:lang w:val="es-ES"/>
        </w:rPr>
        <w:t xml:space="preserve"> sentencia</w:t>
      </w:r>
      <w:r w:rsidRPr="007E4AA8">
        <w:rPr>
          <w:rStyle w:val="FootnoteReference"/>
          <w:rFonts w:asciiTheme="majorHAnsi" w:hAnsiTheme="majorHAnsi"/>
          <w:sz w:val="20"/>
          <w:szCs w:val="20"/>
          <w:lang w:val="es-ES"/>
        </w:rPr>
        <w:footnoteReference w:id="54"/>
      </w:r>
      <w:r w:rsidR="0078009A" w:rsidRPr="007E4AA8">
        <w:rPr>
          <w:rFonts w:asciiTheme="majorHAnsi" w:hAnsiTheme="majorHAnsi"/>
          <w:sz w:val="20"/>
          <w:szCs w:val="20"/>
          <w:lang w:val="es-ES"/>
        </w:rPr>
        <w:t>,</w:t>
      </w:r>
      <w:r w:rsidR="0001768A" w:rsidRPr="007E4AA8">
        <w:rPr>
          <w:rFonts w:asciiTheme="majorHAnsi" w:hAnsiTheme="majorHAnsi"/>
          <w:sz w:val="20"/>
          <w:szCs w:val="20"/>
          <w:lang w:val="es-ES"/>
        </w:rPr>
        <w:t xml:space="preserve"> </w:t>
      </w:r>
      <w:r w:rsidR="008038B4" w:rsidRPr="007E4AA8">
        <w:rPr>
          <w:rFonts w:asciiTheme="majorHAnsi" w:hAnsiTheme="majorHAnsi"/>
          <w:sz w:val="20"/>
          <w:szCs w:val="20"/>
          <w:lang w:val="es-ES"/>
        </w:rPr>
        <w:t>que</w:t>
      </w:r>
      <w:r w:rsidR="0078009A" w:rsidRPr="007E4AA8">
        <w:rPr>
          <w:rFonts w:asciiTheme="majorHAnsi" w:hAnsiTheme="majorHAnsi"/>
          <w:sz w:val="20"/>
          <w:szCs w:val="20"/>
          <w:lang w:val="es-ES"/>
        </w:rPr>
        <w:t>,</w:t>
      </w:r>
      <w:r w:rsidR="008038B4" w:rsidRPr="007E4AA8">
        <w:rPr>
          <w:rFonts w:asciiTheme="majorHAnsi" w:hAnsiTheme="majorHAnsi"/>
          <w:sz w:val="20"/>
          <w:szCs w:val="20"/>
          <w:lang w:val="es-ES"/>
        </w:rPr>
        <w:t xml:space="preserve"> en fallo dividido</w:t>
      </w:r>
      <w:r w:rsidR="00A36ADD" w:rsidRPr="007E4AA8">
        <w:rPr>
          <w:rFonts w:asciiTheme="majorHAnsi" w:hAnsiTheme="majorHAnsi"/>
          <w:sz w:val="20"/>
          <w:szCs w:val="20"/>
          <w:lang w:val="es-ES"/>
        </w:rPr>
        <w:t xml:space="preserve"> de </w:t>
      </w:r>
      <w:r w:rsidR="00E4273A" w:rsidRPr="007E4AA8">
        <w:rPr>
          <w:rFonts w:asciiTheme="majorHAnsi" w:hAnsiTheme="majorHAnsi"/>
          <w:sz w:val="20"/>
          <w:szCs w:val="20"/>
          <w:lang w:val="es-ES"/>
        </w:rPr>
        <w:t>dos a uno</w:t>
      </w:r>
      <w:r w:rsidR="00A36ADD" w:rsidRPr="007E4AA8">
        <w:rPr>
          <w:rFonts w:asciiTheme="majorHAnsi" w:hAnsiTheme="majorHAnsi"/>
          <w:sz w:val="20"/>
          <w:szCs w:val="20"/>
          <w:lang w:val="es-ES"/>
        </w:rPr>
        <w:t xml:space="preserve">, </w:t>
      </w:r>
      <w:r w:rsidR="001513D4" w:rsidRPr="007E4AA8">
        <w:rPr>
          <w:rFonts w:asciiTheme="majorHAnsi" w:hAnsiTheme="majorHAnsi"/>
          <w:sz w:val="20"/>
          <w:szCs w:val="20"/>
          <w:lang w:val="es-ES"/>
        </w:rPr>
        <w:t>absolvió</w:t>
      </w:r>
      <w:r w:rsidR="0001768A" w:rsidRPr="007E4AA8">
        <w:rPr>
          <w:rFonts w:asciiTheme="majorHAnsi" w:hAnsiTheme="majorHAnsi"/>
          <w:sz w:val="20"/>
          <w:szCs w:val="20"/>
          <w:lang w:val="es-ES"/>
        </w:rPr>
        <w:t xml:space="preserve"> a Walter Bowe, Merardo Palacios y Osvaldo Vera</w:t>
      </w:r>
      <w:r w:rsidR="00A36ADD" w:rsidRPr="007E4AA8">
        <w:rPr>
          <w:rFonts w:asciiTheme="majorHAnsi" w:hAnsiTheme="majorHAnsi"/>
          <w:sz w:val="20"/>
          <w:szCs w:val="20"/>
          <w:lang w:val="es-ES"/>
        </w:rPr>
        <w:t>, con un voto de disidencia de la magistrada integrante.</w:t>
      </w:r>
    </w:p>
    <w:p w14:paraId="27E0307E" w14:textId="77777777" w:rsidR="007A4E6D" w:rsidRPr="007E4AA8" w:rsidRDefault="007A4E6D" w:rsidP="00C20511">
      <w:pPr>
        <w:tabs>
          <w:tab w:val="left" w:pos="360"/>
        </w:tabs>
        <w:jc w:val="both"/>
        <w:rPr>
          <w:rFonts w:asciiTheme="majorHAnsi" w:hAnsiTheme="majorHAnsi"/>
          <w:sz w:val="20"/>
          <w:szCs w:val="20"/>
          <w:lang w:val="es-ES"/>
        </w:rPr>
      </w:pPr>
    </w:p>
    <w:p w14:paraId="5EB12A90" w14:textId="77777777" w:rsidR="007A655D" w:rsidRPr="007E4AA8" w:rsidRDefault="00C20511" w:rsidP="007A655D">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El tribunal consideró que de la propia declaración de Jorge López surgían contradicciones con los testimonios ofrecidos por otras personas en juicio. Así, refirió las declaraciones de</w:t>
      </w:r>
      <w:r w:rsidR="007A655D" w:rsidRPr="007E4AA8">
        <w:rPr>
          <w:rFonts w:asciiTheme="majorHAnsi" w:hAnsiTheme="majorHAnsi"/>
          <w:sz w:val="20"/>
          <w:szCs w:val="20"/>
          <w:lang w:val="es-ES"/>
        </w:rPr>
        <w:t xml:space="preserve"> Víctor Cáceres </w:t>
      </w:r>
      <w:r w:rsidR="00EF5C57" w:rsidRPr="007E4AA8">
        <w:rPr>
          <w:rFonts w:asciiTheme="majorHAnsi" w:hAnsiTheme="majorHAnsi"/>
          <w:sz w:val="20"/>
          <w:szCs w:val="20"/>
          <w:lang w:val="es-ES"/>
        </w:rPr>
        <w:t>Zamudio</w:t>
      </w:r>
      <w:r w:rsidR="007A655D" w:rsidRPr="007E4AA8">
        <w:rPr>
          <w:rFonts w:asciiTheme="majorHAnsi" w:hAnsiTheme="majorHAnsi"/>
          <w:sz w:val="20"/>
          <w:szCs w:val="20"/>
          <w:lang w:val="es-ES"/>
        </w:rPr>
        <w:t>, quien el tribunal recordó</w:t>
      </w:r>
      <w:r w:rsidR="007A655D" w:rsidRPr="007E4AA8">
        <w:rPr>
          <w:rStyle w:val="FootnoteReference"/>
          <w:rFonts w:asciiTheme="majorHAnsi" w:hAnsiTheme="majorHAnsi"/>
          <w:sz w:val="20"/>
          <w:szCs w:val="20"/>
          <w:lang w:val="es-ES"/>
        </w:rPr>
        <w:footnoteReference w:id="55"/>
      </w:r>
      <w:r w:rsidR="00971E5E" w:rsidRPr="007E4AA8">
        <w:rPr>
          <w:rFonts w:asciiTheme="majorHAnsi" w:hAnsiTheme="majorHAnsi"/>
          <w:sz w:val="20"/>
          <w:szCs w:val="20"/>
          <w:lang w:val="es-ES"/>
        </w:rPr>
        <w:t xml:space="preserve"> “no vio vendas, no escuchó</w:t>
      </w:r>
      <w:r w:rsidR="007A655D" w:rsidRPr="007E4AA8">
        <w:rPr>
          <w:rFonts w:asciiTheme="majorHAnsi" w:hAnsiTheme="majorHAnsi"/>
          <w:sz w:val="20"/>
          <w:szCs w:val="20"/>
          <w:lang w:val="es-ES"/>
        </w:rPr>
        <w:t xml:space="preserve"> pedido de auxilio, no vio apremios físicos contra López” y</w:t>
      </w:r>
      <w:r w:rsidR="00843EEF" w:rsidRPr="007E4AA8">
        <w:rPr>
          <w:rFonts w:asciiTheme="majorHAnsi" w:hAnsiTheme="majorHAnsi"/>
          <w:sz w:val="20"/>
          <w:szCs w:val="20"/>
          <w:lang w:val="es-ES"/>
        </w:rPr>
        <w:t xml:space="preserve"> refirió</w:t>
      </w:r>
      <w:r w:rsidR="007A655D" w:rsidRPr="007E4AA8">
        <w:rPr>
          <w:rFonts w:asciiTheme="majorHAnsi" w:hAnsiTheme="majorHAnsi"/>
          <w:sz w:val="20"/>
          <w:szCs w:val="20"/>
          <w:lang w:val="es-ES"/>
        </w:rPr>
        <w:t xml:space="preserve"> que el señor López afirmó que cuando llegó a la Comisaría 11 </w:t>
      </w:r>
      <w:r w:rsidR="0073335F" w:rsidRPr="007E4AA8">
        <w:rPr>
          <w:rFonts w:asciiTheme="majorHAnsi" w:hAnsiTheme="majorHAnsi"/>
          <w:sz w:val="20"/>
          <w:szCs w:val="20"/>
          <w:lang w:val="es-ES"/>
        </w:rPr>
        <w:t>ya estaba Emilio López maniatado y vendado, no obstante</w:t>
      </w:r>
      <w:r w:rsidR="00E10201" w:rsidRPr="007E4AA8">
        <w:rPr>
          <w:rFonts w:asciiTheme="majorHAnsi" w:hAnsiTheme="majorHAnsi"/>
          <w:sz w:val="20"/>
          <w:szCs w:val="20"/>
          <w:lang w:val="es-ES"/>
        </w:rPr>
        <w:t>,</w:t>
      </w:r>
      <w:r w:rsidR="0073335F" w:rsidRPr="007E4AA8">
        <w:rPr>
          <w:rFonts w:asciiTheme="majorHAnsi" w:hAnsiTheme="majorHAnsi"/>
          <w:sz w:val="20"/>
          <w:szCs w:val="20"/>
          <w:lang w:val="es-ES"/>
        </w:rPr>
        <w:t xml:space="preserve"> el señor</w:t>
      </w:r>
      <w:r w:rsidR="00CA3A3F" w:rsidRPr="007E4AA8">
        <w:rPr>
          <w:rFonts w:asciiTheme="majorHAnsi" w:hAnsiTheme="majorHAnsi"/>
          <w:sz w:val="20"/>
          <w:szCs w:val="20"/>
          <w:lang w:val="es-ES"/>
        </w:rPr>
        <w:t xml:space="preserve"> Víctor</w:t>
      </w:r>
      <w:r w:rsidR="0073335F" w:rsidRPr="007E4AA8">
        <w:rPr>
          <w:rFonts w:asciiTheme="majorHAnsi" w:hAnsiTheme="majorHAnsi"/>
          <w:sz w:val="20"/>
          <w:szCs w:val="20"/>
          <w:lang w:val="es-ES"/>
        </w:rPr>
        <w:t xml:space="preserve"> Cáceres afirmó que mientras declaraba Jorge López entró Emilio López, y que no recordaba haber visto a este último con vendas o esposas</w:t>
      </w:r>
      <w:r w:rsidR="007A655D" w:rsidRPr="007E4AA8">
        <w:rPr>
          <w:rFonts w:asciiTheme="majorHAnsi" w:hAnsiTheme="majorHAnsi"/>
          <w:sz w:val="20"/>
          <w:szCs w:val="20"/>
          <w:lang w:val="es-ES"/>
        </w:rPr>
        <w:t>.</w:t>
      </w:r>
      <w:r w:rsidR="00BB1782" w:rsidRPr="007E4AA8">
        <w:rPr>
          <w:rFonts w:asciiTheme="majorHAnsi" w:hAnsiTheme="majorHAnsi"/>
          <w:sz w:val="20"/>
          <w:szCs w:val="20"/>
          <w:lang w:val="es-ES"/>
        </w:rPr>
        <w:t xml:space="preserve"> Sobre este último aspecto, refirió el tribunal que el testigo Fabián Ojeda tampoco vio personal policial “vendado ni garroteado ni a nadie maltratado”</w:t>
      </w:r>
      <w:r w:rsidR="00BB1782" w:rsidRPr="007E4AA8">
        <w:rPr>
          <w:rStyle w:val="FootnoteReference"/>
          <w:rFonts w:asciiTheme="majorHAnsi" w:hAnsiTheme="majorHAnsi"/>
          <w:sz w:val="20"/>
          <w:szCs w:val="20"/>
          <w:lang w:val="es-ES"/>
        </w:rPr>
        <w:footnoteReference w:id="56"/>
      </w:r>
      <w:r w:rsidR="00BB1782" w:rsidRPr="007E4AA8">
        <w:rPr>
          <w:rFonts w:asciiTheme="majorHAnsi" w:hAnsiTheme="majorHAnsi"/>
          <w:sz w:val="20"/>
          <w:szCs w:val="20"/>
          <w:lang w:val="es-ES"/>
        </w:rPr>
        <w:t>.</w:t>
      </w:r>
      <w:r w:rsidR="001C660D" w:rsidRPr="007E4AA8">
        <w:rPr>
          <w:rFonts w:asciiTheme="majorHAnsi" w:hAnsiTheme="majorHAnsi"/>
          <w:sz w:val="20"/>
          <w:szCs w:val="20"/>
          <w:lang w:val="es-ES"/>
        </w:rPr>
        <w:t xml:space="preserve"> Además, el tribunal destac</w:t>
      </w:r>
      <w:r w:rsidR="00971E5E" w:rsidRPr="007E4AA8">
        <w:rPr>
          <w:rFonts w:asciiTheme="majorHAnsi" w:hAnsiTheme="majorHAnsi"/>
          <w:sz w:val="20"/>
          <w:szCs w:val="20"/>
          <w:lang w:val="es-ES"/>
        </w:rPr>
        <w:t>ó</w:t>
      </w:r>
      <w:r w:rsidR="001C660D" w:rsidRPr="007E4AA8">
        <w:rPr>
          <w:rFonts w:asciiTheme="majorHAnsi" w:hAnsiTheme="majorHAnsi"/>
          <w:sz w:val="20"/>
          <w:szCs w:val="20"/>
          <w:lang w:val="es-ES"/>
        </w:rPr>
        <w:t xml:space="preserve"> que Jorge López y Emilio López se contradicen respecto de la hora a la que estuvieron en el despacho del Comisario Pavón, y en el tipo de vendaje que se uso para cada uno.</w:t>
      </w:r>
    </w:p>
    <w:p w14:paraId="4DBAB984" w14:textId="77777777" w:rsidR="00EA6294" w:rsidRPr="007E4AA8" w:rsidRDefault="00EA6294" w:rsidP="00EA6294">
      <w:pPr>
        <w:tabs>
          <w:tab w:val="left" w:pos="360"/>
        </w:tabs>
        <w:jc w:val="both"/>
        <w:rPr>
          <w:rFonts w:asciiTheme="majorHAnsi" w:hAnsiTheme="majorHAnsi"/>
          <w:sz w:val="20"/>
          <w:szCs w:val="20"/>
          <w:lang w:val="es-ES"/>
        </w:rPr>
      </w:pPr>
    </w:p>
    <w:p w14:paraId="0F6BE9AD" w14:textId="77777777" w:rsidR="00EA6294" w:rsidRPr="007E4AA8" w:rsidRDefault="00EA6294" w:rsidP="00EA6294">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Asimismo, recordó que Mario Alejandro Ortellado</w:t>
      </w:r>
      <w:r w:rsidR="00A30AF1" w:rsidRPr="007E4AA8">
        <w:rPr>
          <w:rFonts w:asciiTheme="majorHAnsi" w:hAnsiTheme="majorHAnsi"/>
          <w:sz w:val="20"/>
          <w:szCs w:val="20"/>
          <w:lang w:val="es-ES"/>
        </w:rPr>
        <w:t xml:space="preserve"> </w:t>
      </w:r>
      <w:r w:rsidR="00666019" w:rsidRPr="007E4AA8">
        <w:rPr>
          <w:rFonts w:asciiTheme="majorHAnsi" w:hAnsiTheme="majorHAnsi"/>
          <w:sz w:val="20"/>
          <w:szCs w:val="20"/>
          <w:lang w:val="es-ES"/>
        </w:rPr>
        <w:t xml:space="preserve">vio al señor López parado, que “cree que estaba esposado con las manos hacia atrás”, que los otros estaban descalzos y parados, todos atados de manos atrás, ellos tenían la cabeza vendada con papel y cree </w:t>
      </w:r>
      <w:r w:rsidR="008712CE" w:rsidRPr="007E4AA8">
        <w:rPr>
          <w:rFonts w:asciiTheme="majorHAnsi" w:hAnsiTheme="majorHAnsi"/>
          <w:sz w:val="20"/>
          <w:szCs w:val="20"/>
          <w:lang w:val="es-ES"/>
        </w:rPr>
        <w:t>que,</w:t>
      </w:r>
      <w:r w:rsidR="00666019" w:rsidRPr="007E4AA8">
        <w:rPr>
          <w:rFonts w:asciiTheme="majorHAnsi" w:hAnsiTheme="majorHAnsi"/>
          <w:sz w:val="20"/>
          <w:szCs w:val="20"/>
          <w:lang w:val="es-ES"/>
        </w:rPr>
        <w:t xml:space="preserve"> con cinta, y que no observó apremios físicos, y que Jorge López estaba uniformado, y que la comisaría no sufrió ninguna alteración por esa actividad</w:t>
      </w:r>
      <w:r w:rsidR="00666019" w:rsidRPr="007E4AA8">
        <w:rPr>
          <w:rStyle w:val="FootnoteReference"/>
          <w:rFonts w:asciiTheme="majorHAnsi" w:hAnsiTheme="majorHAnsi"/>
          <w:sz w:val="20"/>
          <w:szCs w:val="20"/>
          <w:lang w:val="es-ES"/>
        </w:rPr>
        <w:footnoteReference w:id="57"/>
      </w:r>
      <w:r w:rsidR="00666019" w:rsidRPr="007E4AA8">
        <w:rPr>
          <w:rFonts w:asciiTheme="majorHAnsi" w:hAnsiTheme="majorHAnsi"/>
          <w:sz w:val="20"/>
          <w:szCs w:val="20"/>
          <w:lang w:val="es-ES"/>
        </w:rPr>
        <w:t>.</w:t>
      </w:r>
      <w:r w:rsidR="00E10201" w:rsidRPr="007E4AA8">
        <w:rPr>
          <w:rFonts w:asciiTheme="majorHAnsi" w:hAnsiTheme="majorHAnsi"/>
          <w:sz w:val="20"/>
          <w:szCs w:val="20"/>
          <w:lang w:val="es-ES"/>
        </w:rPr>
        <w:t xml:space="preserve"> Asimismo, sostuvo que las declaraciones de Diosnel Ferreira y Mario Ortellado indicaron estar presentes al tiempo en que eran indagados los oficiales de policía, y ambos refirieron que todos estaban vendados, pero que nadie había recibido golpes o maltrato, sin </w:t>
      </w:r>
      <w:r w:rsidR="00340E48" w:rsidRPr="007E4AA8">
        <w:rPr>
          <w:rFonts w:asciiTheme="majorHAnsi" w:hAnsiTheme="majorHAnsi"/>
          <w:sz w:val="20"/>
          <w:szCs w:val="20"/>
          <w:lang w:val="es-ES"/>
        </w:rPr>
        <w:t>embargo,</w:t>
      </w:r>
      <w:r w:rsidR="00E10201" w:rsidRPr="007E4AA8">
        <w:rPr>
          <w:rFonts w:asciiTheme="majorHAnsi" w:hAnsiTheme="majorHAnsi"/>
          <w:sz w:val="20"/>
          <w:szCs w:val="20"/>
          <w:lang w:val="es-ES"/>
        </w:rPr>
        <w:t xml:space="preserve"> el señor Juan Escurra indicó que quien ingresaba al despacho de </w:t>
      </w:r>
      <w:r w:rsidR="006F5E2A" w:rsidRPr="007E4AA8">
        <w:rPr>
          <w:rFonts w:asciiTheme="majorHAnsi" w:hAnsiTheme="majorHAnsi"/>
          <w:sz w:val="20"/>
          <w:szCs w:val="20"/>
          <w:lang w:val="es-ES"/>
        </w:rPr>
        <w:t>Pavón</w:t>
      </w:r>
      <w:r w:rsidR="00E10201" w:rsidRPr="007E4AA8">
        <w:rPr>
          <w:rFonts w:asciiTheme="majorHAnsi" w:hAnsiTheme="majorHAnsi"/>
          <w:sz w:val="20"/>
          <w:szCs w:val="20"/>
          <w:lang w:val="es-ES"/>
        </w:rPr>
        <w:t xml:space="preserve"> era sometido a golpes en la planta de los pies. El tribunal aseveró que Escurra</w:t>
      </w:r>
      <w:r w:rsidR="0004537B" w:rsidRPr="007E4AA8">
        <w:rPr>
          <w:rFonts w:asciiTheme="majorHAnsi" w:hAnsiTheme="majorHAnsi"/>
          <w:sz w:val="20"/>
          <w:szCs w:val="20"/>
          <w:lang w:val="es-ES"/>
        </w:rPr>
        <w:t>,</w:t>
      </w:r>
      <w:r w:rsidR="00E10201" w:rsidRPr="007E4AA8">
        <w:rPr>
          <w:rFonts w:asciiTheme="majorHAnsi" w:hAnsiTheme="majorHAnsi"/>
          <w:sz w:val="20"/>
          <w:szCs w:val="20"/>
          <w:lang w:val="es-ES"/>
        </w:rPr>
        <w:t xml:space="preserve"> </w:t>
      </w:r>
      <w:r w:rsidR="00012CCF" w:rsidRPr="007E4AA8">
        <w:rPr>
          <w:rFonts w:asciiTheme="majorHAnsi" w:hAnsiTheme="majorHAnsi"/>
          <w:sz w:val="20"/>
          <w:szCs w:val="20"/>
          <w:lang w:val="es-ES"/>
        </w:rPr>
        <w:t xml:space="preserve">conforme el </w:t>
      </w:r>
      <w:r w:rsidR="00B160D5" w:rsidRPr="007E4AA8">
        <w:rPr>
          <w:rFonts w:asciiTheme="majorHAnsi" w:hAnsiTheme="majorHAnsi"/>
          <w:sz w:val="20"/>
          <w:szCs w:val="20"/>
          <w:lang w:val="es-ES"/>
        </w:rPr>
        <w:t>testimonio</w:t>
      </w:r>
      <w:r w:rsidR="00012CCF" w:rsidRPr="007E4AA8">
        <w:rPr>
          <w:rFonts w:asciiTheme="majorHAnsi" w:hAnsiTheme="majorHAnsi"/>
          <w:sz w:val="20"/>
          <w:szCs w:val="20"/>
          <w:lang w:val="es-ES"/>
        </w:rPr>
        <w:t xml:space="preserve"> de Ferreira fue igualmente participe de los eventos golpistas</w:t>
      </w:r>
      <w:r w:rsidR="00CE786D" w:rsidRPr="007E4AA8">
        <w:rPr>
          <w:rFonts w:asciiTheme="majorHAnsi" w:hAnsiTheme="majorHAnsi"/>
          <w:sz w:val="20"/>
          <w:szCs w:val="20"/>
          <w:lang w:val="es-ES"/>
        </w:rPr>
        <w:t>,</w:t>
      </w:r>
      <w:r w:rsidR="0004537B" w:rsidRPr="007E4AA8">
        <w:rPr>
          <w:rFonts w:asciiTheme="majorHAnsi" w:hAnsiTheme="majorHAnsi"/>
          <w:sz w:val="20"/>
          <w:szCs w:val="20"/>
          <w:lang w:val="es-ES"/>
        </w:rPr>
        <w:t xml:space="preserve"> por lo que fue arrestado</w:t>
      </w:r>
      <w:r w:rsidR="00012CCF" w:rsidRPr="007E4AA8">
        <w:rPr>
          <w:rStyle w:val="FootnoteReference"/>
          <w:rFonts w:asciiTheme="majorHAnsi" w:hAnsiTheme="majorHAnsi"/>
          <w:sz w:val="20"/>
          <w:szCs w:val="20"/>
          <w:lang w:val="es-ES"/>
        </w:rPr>
        <w:footnoteReference w:id="58"/>
      </w:r>
      <w:r w:rsidR="00012CCF" w:rsidRPr="007E4AA8">
        <w:rPr>
          <w:rFonts w:asciiTheme="majorHAnsi" w:hAnsiTheme="majorHAnsi"/>
          <w:sz w:val="20"/>
          <w:szCs w:val="20"/>
          <w:lang w:val="es-ES"/>
        </w:rPr>
        <w:t>.</w:t>
      </w:r>
    </w:p>
    <w:p w14:paraId="39F05AD4" w14:textId="77777777" w:rsidR="00012CCF" w:rsidRPr="007E4AA8" w:rsidRDefault="00012CCF" w:rsidP="00012CCF">
      <w:pPr>
        <w:pStyle w:val="ListParagraph"/>
        <w:rPr>
          <w:color w:val="auto"/>
        </w:rPr>
      </w:pPr>
    </w:p>
    <w:p w14:paraId="54D94DB5" w14:textId="77777777" w:rsidR="00012CCF" w:rsidRPr="007E4AA8" w:rsidRDefault="003B2575" w:rsidP="00EA6294">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Entre </w:t>
      </w:r>
      <w:r w:rsidR="0004537B" w:rsidRPr="007E4AA8">
        <w:rPr>
          <w:rFonts w:asciiTheme="majorHAnsi" w:hAnsiTheme="majorHAnsi"/>
          <w:sz w:val="20"/>
          <w:szCs w:val="20"/>
          <w:lang w:val="es-ES"/>
        </w:rPr>
        <w:t>otros aspectos, el tribunal notó</w:t>
      </w:r>
      <w:r w:rsidRPr="007E4AA8">
        <w:rPr>
          <w:rFonts w:asciiTheme="majorHAnsi" w:hAnsiTheme="majorHAnsi"/>
          <w:sz w:val="20"/>
          <w:szCs w:val="20"/>
          <w:lang w:val="es-ES"/>
        </w:rPr>
        <w:t xml:space="preserve"> la divergencia en declaraciones sobre con qué habían sido vendados los detenidos (declaración de Prospero Arévalo López)</w:t>
      </w:r>
      <w:r w:rsidRPr="007E4AA8">
        <w:rPr>
          <w:rStyle w:val="FootnoteReference"/>
          <w:rFonts w:asciiTheme="majorHAnsi" w:hAnsiTheme="majorHAnsi"/>
          <w:sz w:val="20"/>
          <w:szCs w:val="20"/>
          <w:lang w:val="es-ES"/>
        </w:rPr>
        <w:t xml:space="preserve"> </w:t>
      </w:r>
      <w:r w:rsidRPr="007E4AA8">
        <w:rPr>
          <w:rStyle w:val="FootnoteReference"/>
          <w:rFonts w:asciiTheme="majorHAnsi" w:hAnsiTheme="majorHAnsi"/>
          <w:sz w:val="20"/>
          <w:szCs w:val="20"/>
          <w:lang w:val="es-ES"/>
        </w:rPr>
        <w:footnoteReference w:id="59"/>
      </w:r>
      <w:r w:rsidRPr="007E4AA8">
        <w:rPr>
          <w:rFonts w:asciiTheme="majorHAnsi" w:hAnsiTheme="majorHAnsi"/>
          <w:sz w:val="20"/>
          <w:szCs w:val="20"/>
          <w:lang w:val="es-ES"/>
        </w:rPr>
        <w:t>.</w:t>
      </w:r>
      <w:r w:rsidR="00F70277" w:rsidRPr="007E4AA8">
        <w:rPr>
          <w:rFonts w:asciiTheme="majorHAnsi" w:hAnsiTheme="majorHAnsi"/>
          <w:sz w:val="20"/>
          <w:szCs w:val="20"/>
          <w:lang w:val="es-ES"/>
        </w:rPr>
        <w:t xml:space="preserve"> Asimismo, reparó en </w:t>
      </w:r>
      <w:r w:rsidR="008F145A" w:rsidRPr="007E4AA8">
        <w:rPr>
          <w:rFonts w:asciiTheme="majorHAnsi" w:hAnsiTheme="majorHAnsi"/>
          <w:sz w:val="20"/>
          <w:szCs w:val="20"/>
          <w:lang w:val="es-ES"/>
        </w:rPr>
        <w:t>que,</w:t>
      </w:r>
      <w:r w:rsidR="00F70277" w:rsidRPr="007E4AA8">
        <w:rPr>
          <w:rFonts w:asciiTheme="majorHAnsi" w:hAnsiTheme="majorHAnsi"/>
          <w:sz w:val="20"/>
          <w:szCs w:val="20"/>
          <w:lang w:val="es-ES"/>
        </w:rPr>
        <w:t xml:space="preserve"> en su testimonio</w:t>
      </w:r>
      <w:r w:rsidR="008F145A" w:rsidRPr="007E4AA8">
        <w:rPr>
          <w:rFonts w:asciiTheme="majorHAnsi" w:hAnsiTheme="majorHAnsi"/>
          <w:sz w:val="20"/>
          <w:szCs w:val="20"/>
          <w:lang w:val="es-ES"/>
        </w:rPr>
        <w:t>,</w:t>
      </w:r>
      <w:r w:rsidR="00F70277" w:rsidRPr="007E4AA8">
        <w:rPr>
          <w:rFonts w:asciiTheme="majorHAnsi" w:hAnsiTheme="majorHAnsi"/>
          <w:sz w:val="20"/>
          <w:szCs w:val="20"/>
          <w:lang w:val="es-ES"/>
        </w:rPr>
        <w:t xml:space="preserve"> Fabián Ojeda indicó que no fue objeto de apremios, sin </w:t>
      </w:r>
      <w:r w:rsidR="008F145A" w:rsidRPr="007E4AA8">
        <w:rPr>
          <w:rFonts w:asciiTheme="majorHAnsi" w:hAnsiTheme="majorHAnsi"/>
          <w:sz w:val="20"/>
          <w:szCs w:val="20"/>
          <w:lang w:val="es-ES"/>
        </w:rPr>
        <w:t>embargo,</w:t>
      </w:r>
      <w:r w:rsidR="00F70277" w:rsidRPr="007E4AA8">
        <w:rPr>
          <w:rFonts w:asciiTheme="majorHAnsi" w:hAnsiTheme="majorHAnsi"/>
          <w:sz w:val="20"/>
          <w:szCs w:val="20"/>
          <w:lang w:val="es-ES"/>
        </w:rPr>
        <w:t xml:space="preserve"> Lorenzo Genes refirió que todos fueron golpeados </w:t>
      </w:r>
      <w:r w:rsidR="008F145A" w:rsidRPr="007E4AA8">
        <w:rPr>
          <w:rFonts w:asciiTheme="majorHAnsi" w:hAnsiTheme="majorHAnsi"/>
          <w:sz w:val="20"/>
          <w:szCs w:val="20"/>
          <w:lang w:val="es-ES"/>
        </w:rPr>
        <w:t>y</w:t>
      </w:r>
      <w:r w:rsidR="00F70277" w:rsidRPr="007E4AA8">
        <w:rPr>
          <w:rFonts w:asciiTheme="majorHAnsi" w:hAnsiTheme="majorHAnsi"/>
          <w:sz w:val="20"/>
          <w:szCs w:val="20"/>
          <w:lang w:val="es-ES"/>
        </w:rPr>
        <w:t xml:space="preserve"> tuvieron que ser asistidos para subir al </w:t>
      </w:r>
      <w:r w:rsidR="002F598D" w:rsidRPr="007E4AA8">
        <w:rPr>
          <w:rFonts w:asciiTheme="majorHAnsi" w:hAnsiTheme="majorHAnsi"/>
          <w:sz w:val="20"/>
          <w:szCs w:val="20"/>
          <w:lang w:val="es-ES"/>
        </w:rPr>
        <w:t>vehículo que les trasladó a la AE</w:t>
      </w:r>
      <w:r w:rsidR="00F70277" w:rsidRPr="007E4AA8">
        <w:rPr>
          <w:rFonts w:asciiTheme="majorHAnsi" w:hAnsiTheme="majorHAnsi"/>
          <w:sz w:val="20"/>
          <w:szCs w:val="20"/>
          <w:lang w:val="es-ES"/>
        </w:rPr>
        <w:t>. Afirmó que dichos testimonios contradecían</w:t>
      </w:r>
      <w:r w:rsidR="0004537B" w:rsidRPr="007E4AA8">
        <w:rPr>
          <w:rFonts w:asciiTheme="majorHAnsi" w:hAnsiTheme="majorHAnsi"/>
          <w:sz w:val="20"/>
          <w:szCs w:val="20"/>
          <w:lang w:val="es-ES"/>
        </w:rPr>
        <w:t xml:space="preserve"> al de Víctor Cáceres que indicó</w:t>
      </w:r>
      <w:r w:rsidR="00F70277" w:rsidRPr="007E4AA8">
        <w:rPr>
          <w:rFonts w:asciiTheme="majorHAnsi" w:hAnsiTheme="majorHAnsi"/>
          <w:sz w:val="20"/>
          <w:szCs w:val="20"/>
          <w:lang w:val="es-ES"/>
        </w:rPr>
        <w:t xml:space="preserve"> que no se realizaron </w:t>
      </w:r>
      <w:r w:rsidR="008F145A" w:rsidRPr="007E4AA8">
        <w:rPr>
          <w:rFonts w:asciiTheme="majorHAnsi" w:hAnsiTheme="majorHAnsi"/>
          <w:sz w:val="20"/>
          <w:szCs w:val="20"/>
          <w:lang w:val="es-ES"/>
        </w:rPr>
        <w:t>apremios,</w:t>
      </w:r>
      <w:r w:rsidR="00381824" w:rsidRPr="007E4AA8">
        <w:rPr>
          <w:rFonts w:asciiTheme="majorHAnsi" w:hAnsiTheme="majorHAnsi"/>
          <w:sz w:val="20"/>
          <w:szCs w:val="20"/>
          <w:lang w:val="es-ES"/>
        </w:rPr>
        <w:t xml:space="preserve"> que no se escuchó gritos ni pedidos de ayuda, </w:t>
      </w:r>
      <w:r w:rsidR="00F70277" w:rsidRPr="007E4AA8">
        <w:rPr>
          <w:rFonts w:asciiTheme="majorHAnsi" w:hAnsiTheme="majorHAnsi"/>
          <w:sz w:val="20"/>
          <w:szCs w:val="20"/>
          <w:lang w:val="es-ES"/>
        </w:rPr>
        <w:t>y que todos los arrestados subieron por sus propios medios al móvil de la AE</w:t>
      </w:r>
      <w:r w:rsidR="00381824" w:rsidRPr="007E4AA8">
        <w:rPr>
          <w:rStyle w:val="FootnoteReference"/>
          <w:rFonts w:asciiTheme="majorHAnsi" w:hAnsiTheme="majorHAnsi"/>
          <w:sz w:val="20"/>
          <w:szCs w:val="20"/>
          <w:lang w:val="es-ES"/>
        </w:rPr>
        <w:footnoteReference w:id="60"/>
      </w:r>
      <w:r w:rsidR="00F70277" w:rsidRPr="007E4AA8">
        <w:rPr>
          <w:rFonts w:asciiTheme="majorHAnsi" w:hAnsiTheme="majorHAnsi"/>
          <w:sz w:val="20"/>
          <w:szCs w:val="20"/>
          <w:lang w:val="es-ES"/>
        </w:rPr>
        <w:t>.</w:t>
      </w:r>
    </w:p>
    <w:p w14:paraId="2F86F8AA" w14:textId="77777777" w:rsidR="00C75366" w:rsidRPr="007E4AA8" w:rsidRDefault="00C75366" w:rsidP="00C75366">
      <w:pPr>
        <w:pStyle w:val="ListParagraph"/>
        <w:rPr>
          <w:color w:val="auto"/>
        </w:rPr>
      </w:pPr>
    </w:p>
    <w:p w14:paraId="67FE586A" w14:textId="77777777" w:rsidR="00233F73" w:rsidRPr="007E4AA8" w:rsidRDefault="00C75366" w:rsidP="00555DC5">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Recordó que Ricardo Orue Salinas, quien </w:t>
      </w:r>
      <w:r w:rsidR="008F145A" w:rsidRPr="007E4AA8">
        <w:rPr>
          <w:rFonts w:asciiTheme="majorHAnsi" w:hAnsiTheme="majorHAnsi"/>
          <w:sz w:val="20"/>
          <w:szCs w:val="20"/>
          <w:lang w:val="es-ES"/>
        </w:rPr>
        <w:t>cumplía</w:t>
      </w:r>
      <w:r w:rsidRPr="007E4AA8">
        <w:rPr>
          <w:rFonts w:asciiTheme="majorHAnsi" w:hAnsiTheme="majorHAnsi"/>
          <w:sz w:val="20"/>
          <w:szCs w:val="20"/>
          <w:lang w:val="es-ES"/>
        </w:rPr>
        <w:t xml:space="preserve"> función de guardia el 19 de mayo en la comisaria 11, indicó que no le constaba que las personas detenidas hubiesen recibido golpes, que no </w:t>
      </w:r>
      <w:r w:rsidR="008F145A" w:rsidRPr="007E4AA8">
        <w:rPr>
          <w:rFonts w:asciiTheme="majorHAnsi" w:hAnsiTheme="majorHAnsi"/>
          <w:sz w:val="20"/>
          <w:szCs w:val="20"/>
          <w:lang w:val="es-ES"/>
        </w:rPr>
        <w:t>vio</w:t>
      </w:r>
      <w:r w:rsidRPr="007E4AA8">
        <w:rPr>
          <w:rFonts w:asciiTheme="majorHAnsi" w:hAnsiTheme="majorHAnsi"/>
          <w:sz w:val="20"/>
          <w:szCs w:val="20"/>
          <w:lang w:val="es-ES"/>
        </w:rPr>
        <w:t xml:space="preserve"> a nadie con rastros de golpes, y que subieron por sus propios medios para ser trasladados en la comitiva que le tocó acompañar hasta la AE. Asimismo, sobre la descripción de Saturnino Antonio Gamarra (quien refirió que el señor López estaba ensangrentado, la cara hinchada, pi</w:t>
      </w:r>
      <w:r w:rsidR="0004537B" w:rsidRPr="007E4AA8">
        <w:rPr>
          <w:rFonts w:asciiTheme="majorHAnsi" w:hAnsiTheme="majorHAnsi"/>
          <w:sz w:val="20"/>
          <w:szCs w:val="20"/>
          <w:lang w:val="es-ES"/>
        </w:rPr>
        <w:t>es hinchados con sangre), indicó</w:t>
      </w:r>
      <w:r w:rsidRPr="007E4AA8">
        <w:rPr>
          <w:rFonts w:asciiTheme="majorHAnsi" w:hAnsiTheme="majorHAnsi"/>
          <w:sz w:val="20"/>
          <w:szCs w:val="20"/>
          <w:lang w:val="es-ES"/>
        </w:rPr>
        <w:t xml:space="preserve"> que se contradice con el relato de la propia presunta víctima y de otros oficiales, por lo que pierde fuerza probatoria</w:t>
      </w:r>
      <w:r w:rsidRPr="007E4AA8">
        <w:rPr>
          <w:rStyle w:val="FootnoteReference"/>
          <w:rFonts w:asciiTheme="majorHAnsi" w:hAnsiTheme="majorHAnsi"/>
          <w:sz w:val="20"/>
          <w:szCs w:val="20"/>
          <w:lang w:val="es-ES"/>
        </w:rPr>
        <w:footnoteReference w:id="61"/>
      </w:r>
      <w:r w:rsidRPr="007E4AA8">
        <w:rPr>
          <w:rFonts w:asciiTheme="majorHAnsi" w:hAnsiTheme="majorHAnsi"/>
          <w:sz w:val="20"/>
          <w:szCs w:val="20"/>
          <w:lang w:val="es-ES"/>
        </w:rPr>
        <w:t xml:space="preserve">. </w:t>
      </w:r>
      <w:r w:rsidR="00233F73" w:rsidRPr="007E4AA8">
        <w:rPr>
          <w:rFonts w:asciiTheme="majorHAnsi" w:hAnsiTheme="majorHAnsi"/>
          <w:sz w:val="20"/>
          <w:szCs w:val="20"/>
          <w:lang w:val="es-ES"/>
        </w:rPr>
        <w:t>Sobre la declaración de Víctor Cogliolo</w:t>
      </w:r>
      <w:r w:rsidR="00E549E1" w:rsidRPr="007E4AA8">
        <w:rPr>
          <w:rFonts w:asciiTheme="majorHAnsi" w:hAnsiTheme="majorHAnsi"/>
          <w:sz w:val="20"/>
          <w:szCs w:val="20"/>
          <w:lang w:val="es-ES"/>
        </w:rPr>
        <w:t>,</w:t>
      </w:r>
      <w:r w:rsidR="0004537B" w:rsidRPr="007E4AA8">
        <w:rPr>
          <w:rFonts w:asciiTheme="majorHAnsi" w:hAnsiTheme="majorHAnsi"/>
          <w:sz w:val="20"/>
          <w:szCs w:val="20"/>
          <w:lang w:val="es-ES"/>
        </w:rPr>
        <w:t xml:space="preserve"> estimó </w:t>
      </w:r>
      <w:r w:rsidR="00233F73" w:rsidRPr="007E4AA8">
        <w:rPr>
          <w:rFonts w:asciiTheme="majorHAnsi" w:hAnsiTheme="majorHAnsi"/>
          <w:sz w:val="20"/>
          <w:szCs w:val="20"/>
          <w:lang w:val="es-ES"/>
        </w:rPr>
        <w:t xml:space="preserve">que </w:t>
      </w:r>
      <w:r w:rsidR="00485E75" w:rsidRPr="007E4AA8">
        <w:rPr>
          <w:rFonts w:asciiTheme="majorHAnsi" w:hAnsiTheme="majorHAnsi"/>
          <w:sz w:val="20"/>
          <w:szCs w:val="20"/>
          <w:lang w:val="es-ES"/>
        </w:rPr>
        <w:t>dicha persona describió signos de torturas que ni el propio señor López describió</w:t>
      </w:r>
      <w:r w:rsidR="00485E75" w:rsidRPr="007E4AA8">
        <w:rPr>
          <w:rStyle w:val="FootnoteReference"/>
          <w:rFonts w:asciiTheme="majorHAnsi" w:hAnsiTheme="majorHAnsi"/>
          <w:sz w:val="20"/>
          <w:szCs w:val="20"/>
          <w:lang w:val="es-ES"/>
        </w:rPr>
        <w:footnoteReference w:id="62"/>
      </w:r>
      <w:r w:rsidR="00485E75" w:rsidRPr="007E4AA8">
        <w:rPr>
          <w:rFonts w:asciiTheme="majorHAnsi" w:hAnsiTheme="majorHAnsi"/>
          <w:sz w:val="20"/>
          <w:szCs w:val="20"/>
          <w:lang w:val="es-ES"/>
        </w:rPr>
        <w:t>.</w:t>
      </w:r>
    </w:p>
    <w:p w14:paraId="2392BF5D" w14:textId="77777777" w:rsidR="00555DC5" w:rsidRPr="007E4AA8" w:rsidRDefault="00555DC5" w:rsidP="00555DC5">
      <w:pPr>
        <w:pStyle w:val="ListParagraph"/>
        <w:rPr>
          <w:color w:val="auto"/>
        </w:rPr>
      </w:pPr>
    </w:p>
    <w:p w14:paraId="4FC418FE" w14:textId="77777777" w:rsidR="00EA6294" w:rsidRPr="007E4AA8" w:rsidRDefault="00555DC5" w:rsidP="0066601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El tribunal consideró</w:t>
      </w:r>
      <w:r w:rsidRPr="007E4AA8">
        <w:rPr>
          <w:rStyle w:val="FootnoteReference"/>
          <w:rFonts w:asciiTheme="majorHAnsi" w:hAnsiTheme="majorHAnsi"/>
          <w:sz w:val="20"/>
          <w:szCs w:val="20"/>
          <w:lang w:val="es-ES"/>
        </w:rPr>
        <w:footnoteReference w:id="63"/>
      </w:r>
      <w:r w:rsidRPr="007E4AA8">
        <w:rPr>
          <w:rFonts w:asciiTheme="majorHAnsi" w:hAnsiTheme="majorHAnsi"/>
          <w:sz w:val="20"/>
          <w:szCs w:val="20"/>
          <w:lang w:val="es-ES"/>
        </w:rPr>
        <w:t xml:space="preserve"> que ning</w:t>
      </w:r>
      <w:r w:rsidR="0079230B" w:rsidRPr="007E4AA8">
        <w:rPr>
          <w:rFonts w:asciiTheme="majorHAnsi" w:hAnsiTheme="majorHAnsi"/>
          <w:sz w:val="20"/>
          <w:szCs w:val="20"/>
          <w:lang w:val="es-ES"/>
        </w:rPr>
        <w:t>u</w:t>
      </w:r>
      <w:r w:rsidRPr="007E4AA8">
        <w:rPr>
          <w:rFonts w:asciiTheme="majorHAnsi" w:hAnsiTheme="majorHAnsi"/>
          <w:sz w:val="20"/>
          <w:szCs w:val="20"/>
          <w:lang w:val="es-ES"/>
        </w:rPr>
        <w:t xml:space="preserve">no de los testigos </w:t>
      </w:r>
      <w:r w:rsidR="0079230B" w:rsidRPr="007E4AA8">
        <w:rPr>
          <w:rFonts w:asciiTheme="majorHAnsi" w:hAnsiTheme="majorHAnsi"/>
          <w:sz w:val="20"/>
          <w:szCs w:val="20"/>
          <w:lang w:val="es-ES"/>
        </w:rPr>
        <w:t>dio</w:t>
      </w:r>
      <w:r w:rsidRPr="007E4AA8">
        <w:rPr>
          <w:rFonts w:asciiTheme="majorHAnsi" w:hAnsiTheme="majorHAnsi"/>
          <w:sz w:val="20"/>
          <w:szCs w:val="20"/>
          <w:lang w:val="es-ES"/>
        </w:rPr>
        <w:t xml:space="preserve"> certeza positiva al tribunal sobre la existencia misma del hecho “pues </w:t>
      </w:r>
      <w:r w:rsidR="0079230B" w:rsidRPr="007E4AA8">
        <w:rPr>
          <w:rFonts w:asciiTheme="majorHAnsi" w:hAnsiTheme="majorHAnsi"/>
          <w:sz w:val="20"/>
          <w:szCs w:val="20"/>
          <w:lang w:val="es-ES"/>
        </w:rPr>
        <w:t>existieron</w:t>
      </w:r>
      <w:r w:rsidRPr="007E4AA8">
        <w:rPr>
          <w:rFonts w:asciiTheme="majorHAnsi" w:hAnsiTheme="majorHAnsi"/>
          <w:sz w:val="20"/>
          <w:szCs w:val="20"/>
          <w:lang w:val="es-ES"/>
        </w:rPr>
        <w:t xml:space="preserve"> versiones o testimonios contrapuestos, contradictorios y ambiguos”, partiendo de que el señor López refirió recibir golpes con el palo de una escoba, y los sub ofi</w:t>
      </w:r>
      <w:r w:rsidR="00D663A1" w:rsidRPr="007E4AA8">
        <w:rPr>
          <w:rFonts w:asciiTheme="majorHAnsi" w:hAnsiTheme="majorHAnsi"/>
          <w:sz w:val="20"/>
          <w:szCs w:val="20"/>
          <w:lang w:val="es-ES"/>
        </w:rPr>
        <w:t>c</w:t>
      </w:r>
      <w:r w:rsidRPr="007E4AA8">
        <w:rPr>
          <w:rFonts w:asciiTheme="majorHAnsi" w:hAnsiTheme="majorHAnsi"/>
          <w:sz w:val="20"/>
          <w:szCs w:val="20"/>
          <w:lang w:val="es-ES"/>
        </w:rPr>
        <w:t>iales Genes, Sosa, Arevalos y Emilio López refirieron fueron apremiados con “cachiporra o tonfa”. Asimismo, aseveró que había imprecisiones sobre quiénes participaron activamente de los apremios, pues Arevalos indicó que era Diosnel Ferreira, y</w:t>
      </w:r>
      <w:r w:rsidR="0079230B" w:rsidRPr="007E4AA8">
        <w:rPr>
          <w:rFonts w:asciiTheme="majorHAnsi" w:hAnsiTheme="majorHAnsi"/>
          <w:sz w:val="20"/>
          <w:szCs w:val="20"/>
          <w:lang w:val="es-ES"/>
        </w:rPr>
        <w:t xml:space="preserve">, </w:t>
      </w:r>
      <w:r w:rsidRPr="007E4AA8">
        <w:rPr>
          <w:rFonts w:asciiTheme="majorHAnsi" w:hAnsiTheme="majorHAnsi"/>
          <w:sz w:val="20"/>
          <w:szCs w:val="20"/>
          <w:lang w:val="es-ES"/>
        </w:rPr>
        <w:t>sin embargo, Sosa refirió que fue Osvaldo Vera. Asimismo, sostuvo que hubo contradicción entre los horarios en que acaecieron los hechos entre Emilio López y Jorge López, pues la presunta víctima aseveró que fue llevada a la comisaria 11 aproximadamente a las 07:00 de la mañana, y que al llegar vio a Emilio López acostado en el suelo, sin embargo</w:t>
      </w:r>
      <w:r w:rsidR="0079230B" w:rsidRPr="007E4AA8">
        <w:rPr>
          <w:rFonts w:asciiTheme="majorHAnsi" w:hAnsiTheme="majorHAnsi"/>
          <w:sz w:val="20"/>
          <w:szCs w:val="20"/>
          <w:lang w:val="es-ES"/>
        </w:rPr>
        <w:t>,</w:t>
      </w:r>
      <w:r w:rsidRPr="007E4AA8">
        <w:rPr>
          <w:rFonts w:asciiTheme="majorHAnsi" w:hAnsiTheme="majorHAnsi"/>
          <w:sz w:val="20"/>
          <w:szCs w:val="20"/>
          <w:lang w:val="es-ES"/>
        </w:rPr>
        <w:t xml:space="preserve"> este último dijo que estuvo recluido en la AE el 19 de mayo desde las 06:00 hasta las 13:00, tras lo cual fue entregado a los agentes Pavon, Palacios y Vera.</w:t>
      </w:r>
    </w:p>
    <w:p w14:paraId="30FFA9AE" w14:textId="77777777" w:rsidR="007A655D" w:rsidRPr="007E4AA8" w:rsidRDefault="007A655D" w:rsidP="007A655D">
      <w:pPr>
        <w:tabs>
          <w:tab w:val="left" w:pos="360"/>
        </w:tabs>
        <w:jc w:val="both"/>
        <w:rPr>
          <w:rFonts w:asciiTheme="majorHAnsi" w:hAnsiTheme="majorHAnsi"/>
          <w:sz w:val="20"/>
          <w:szCs w:val="20"/>
          <w:lang w:val="es-ES"/>
        </w:rPr>
      </w:pPr>
    </w:p>
    <w:p w14:paraId="5B1D5725" w14:textId="77777777" w:rsidR="007A655D" w:rsidRPr="007E4AA8" w:rsidRDefault="0004229E" w:rsidP="00C20511">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Por otra parte, consta en la sentencia </w:t>
      </w:r>
      <w:r w:rsidR="0004537B" w:rsidRPr="007E4AA8">
        <w:rPr>
          <w:rFonts w:asciiTheme="majorHAnsi" w:hAnsiTheme="majorHAnsi"/>
          <w:sz w:val="20"/>
          <w:szCs w:val="20"/>
          <w:lang w:val="es-ES"/>
        </w:rPr>
        <w:t xml:space="preserve">una </w:t>
      </w:r>
      <w:r w:rsidRPr="007E4AA8">
        <w:rPr>
          <w:rFonts w:asciiTheme="majorHAnsi" w:hAnsiTheme="majorHAnsi"/>
          <w:sz w:val="20"/>
          <w:szCs w:val="20"/>
          <w:lang w:val="es-ES"/>
        </w:rPr>
        <w:t xml:space="preserve">referencia al informe </w:t>
      </w:r>
      <w:r w:rsidR="0004537B" w:rsidRPr="007E4AA8">
        <w:rPr>
          <w:rFonts w:asciiTheme="majorHAnsi" w:hAnsiTheme="majorHAnsi"/>
          <w:sz w:val="20"/>
          <w:szCs w:val="20"/>
          <w:lang w:val="es-ES"/>
        </w:rPr>
        <w:t>victimológico</w:t>
      </w:r>
      <w:r w:rsidRPr="007E4AA8">
        <w:rPr>
          <w:rFonts w:asciiTheme="majorHAnsi" w:hAnsiTheme="majorHAnsi"/>
          <w:sz w:val="20"/>
          <w:szCs w:val="20"/>
          <w:lang w:val="es-ES"/>
        </w:rPr>
        <w:t xml:space="preserve"> de la dirección de asistencia de las víctimas del Ministerio Público, en que se detalla se realizaron entrevistas cínicas a varias de las personas que refirieron haber sido torturadas, incluyendo la presunta víctima. Dentro de la descripción de daños comunes se identificó sentimientos de humillación y estigmatización social, así como pérdida de confianza en la institución policial, estado de inseguridad, trastornos afectivos, cognitivos, interpersonales, laborales, de relacionamiento social, y estrés emocional. En la conclusión de los daños específicos relativos al señor López, manifestó dificultad de asumir la baja del servicio policial, preocupación por las consecuencias del hecho, estado de permanente alteración nerviosa, estado de alerta vinculado a posibilidad de ser nuevamente victimizado, cuadro depresivo marcado por agotamiento físico y mental, angustia, irascibilidad. </w:t>
      </w:r>
      <w:r w:rsidR="0025054B" w:rsidRPr="007E4AA8">
        <w:rPr>
          <w:rFonts w:asciiTheme="majorHAnsi" w:hAnsiTheme="majorHAnsi"/>
          <w:sz w:val="20"/>
          <w:szCs w:val="20"/>
          <w:lang w:val="es-ES"/>
        </w:rPr>
        <w:t xml:space="preserve">Sobre esta </w:t>
      </w:r>
      <w:r w:rsidR="005A5C48" w:rsidRPr="007E4AA8">
        <w:rPr>
          <w:rFonts w:asciiTheme="majorHAnsi" w:hAnsiTheme="majorHAnsi"/>
          <w:sz w:val="20"/>
          <w:szCs w:val="20"/>
          <w:lang w:val="es-ES"/>
        </w:rPr>
        <w:t>prueba,</w:t>
      </w:r>
      <w:r w:rsidR="0025054B" w:rsidRPr="007E4AA8">
        <w:rPr>
          <w:rFonts w:asciiTheme="majorHAnsi" w:hAnsiTheme="majorHAnsi"/>
          <w:sz w:val="20"/>
          <w:szCs w:val="20"/>
          <w:lang w:val="es-ES"/>
        </w:rPr>
        <w:t xml:space="preserve"> el tribunal not</w:t>
      </w:r>
      <w:r w:rsidR="005A5C48" w:rsidRPr="007E4AA8">
        <w:rPr>
          <w:rFonts w:asciiTheme="majorHAnsi" w:hAnsiTheme="majorHAnsi"/>
          <w:sz w:val="20"/>
          <w:szCs w:val="20"/>
          <w:lang w:val="es-ES"/>
        </w:rPr>
        <w:t>ó</w:t>
      </w:r>
      <w:r w:rsidR="0025054B" w:rsidRPr="007E4AA8">
        <w:rPr>
          <w:rFonts w:asciiTheme="majorHAnsi" w:hAnsiTheme="majorHAnsi"/>
          <w:sz w:val="20"/>
          <w:szCs w:val="20"/>
          <w:lang w:val="es-ES"/>
        </w:rPr>
        <w:t xml:space="preserve"> que “este documento es legible solo en parte, por lo que el tribunal se ve </w:t>
      </w:r>
      <w:r w:rsidR="002E0903" w:rsidRPr="007E4AA8">
        <w:rPr>
          <w:rFonts w:asciiTheme="majorHAnsi" w:hAnsiTheme="majorHAnsi"/>
          <w:sz w:val="20"/>
          <w:szCs w:val="20"/>
          <w:lang w:val="es-ES"/>
        </w:rPr>
        <w:t>imposibilitado</w:t>
      </w:r>
      <w:r w:rsidR="0025054B" w:rsidRPr="007E4AA8">
        <w:rPr>
          <w:rFonts w:asciiTheme="majorHAnsi" w:hAnsiTheme="majorHAnsi"/>
          <w:sz w:val="20"/>
          <w:szCs w:val="20"/>
          <w:lang w:val="es-ES"/>
        </w:rPr>
        <w:t xml:space="preserve"> de valorar en forma positiva, si bien es cierto, se puede apreciar que una conclusión respecto a Jorge López, del mismo aprecia que presenta dificultad de asumir baja del servicio policial y no hace referencia a los supuestos apremios físicos que se halla analizando”. Así, el tribunal afirm</w:t>
      </w:r>
      <w:r w:rsidR="0004537B" w:rsidRPr="007E4AA8">
        <w:rPr>
          <w:rFonts w:asciiTheme="majorHAnsi" w:hAnsiTheme="majorHAnsi"/>
          <w:sz w:val="20"/>
          <w:szCs w:val="20"/>
          <w:lang w:val="es-ES"/>
        </w:rPr>
        <w:t>ó</w:t>
      </w:r>
      <w:r w:rsidR="0025054B" w:rsidRPr="007E4AA8">
        <w:rPr>
          <w:rFonts w:asciiTheme="majorHAnsi" w:hAnsiTheme="majorHAnsi"/>
          <w:sz w:val="20"/>
          <w:szCs w:val="20"/>
          <w:lang w:val="es-ES"/>
        </w:rPr>
        <w:t xml:space="preserve"> que el informe “carece de una metodología técnico científica que avalen sus resultados (…) la persona evaluada puede encontrarse perfectamente en la situación descrita por un sinfín de motivos” que no llevan a afirmar con certeza que las características se deban al hecho punible juzgado en la causa</w:t>
      </w:r>
      <w:r w:rsidR="0025054B" w:rsidRPr="007E4AA8">
        <w:rPr>
          <w:rStyle w:val="FootnoteReference"/>
          <w:rFonts w:asciiTheme="majorHAnsi" w:hAnsiTheme="majorHAnsi"/>
          <w:sz w:val="20"/>
          <w:szCs w:val="20"/>
          <w:lang w:val="es-ES"/>
        </w:rPr>
        <w:footnoteReference w:id="64"/>
      </w:r>
      <w:r w:rsidR="0025054B" w:rsidRPr="007E4AA8">
        <w:rPr>
          <w:rFonts w:asciiTheme="majorHAnsi" w:hAnsiTheme="majorHAnsi"/>
          <w:sz w:val="20"/>
          <w:szCs w:val="20"/>
          <w:lang w:val="es-ES"/>
        </w:rPr>
        <w:t>.</w:t>
      </w:r>
    </w:p>
    <w:p w14:paraId="0FA5059B" w14:textId="77777777" w:rsidR="00495A17" w:rsidRPr="007E4AA8" w:rsidRDefault="00495A17" w:rsidP="00495A17">
      <w:pPr>
        <w:tabs>
          <w:tab w:val="left" w:pos="360"/>
        </w:tabs>
        <w:jc w:val="both"/>
        <w:rPr>
          <w:rFonts w:asciiTheme="majorHAnsi" w:hAnsiTheme="majorHAnsi"/>
          <w:sz w:val="20"/>
          <w:szCs w:val="20"/>
          <w:lang w:val="es-ES"/>
        </w:rPr>
      </w:pPr>
    </w:p>
    <w:p w14:paraId="48D4B2A5" w14:textId="77777777" w:rsidR="00495A17" w:rsidRPr="007E4AA8" w:rsidRDefault="00495A17" w:rsidP="00C20511">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Consta que el tribunal </w:t>
      </w:r>
      <w:r w:rsidR="00E4078A" w:rsidRPr="007E4AA8">
        <w:rPr>
          <w:rFonts w:asciiTheme="majorHAnsi" w:hAnsiTheme="majorHAnsi"/>
          <w:sz w:val="20"/>
          <w:szCs w:val="20"/>
          <w:lang w:val="es-ES"/>
        </w:rPr>
        <w:t>desestimó,</w:t>
      </w:r>
      <w:r w:rsidR="008E5928" w:rsidRPr="007E4AA8">
        <w:rPr>
          <w:rFonts w:asciiTheme="majorHAnsi" w:hAnsiTheme="majorHAnsi"/>
          <w:sz w:val="20"/>
          <w:szCs w:val="20"/>
          <w:lang w:val="es-ES"/>
        </w:rPr>
        <w:t xml:space="preserve"> además,</w:t>
      </w:r>
      <w:r w:rsidRPr="007E4AA8">
        <w:rPr>
          <w:rFonts w:asciiTheme="majorHAnsi" w:hAnsiTheme="majorHAnsi"/>
          <w:sz w:val="20"/>
          <w:szCs w:val="20"/>
          <w:lang w:val="es-ES"/>
        </w:rPr>
        <w:t xml:space="preserve"> la prueba sobre copia del listado de personas con orden de detención </w:t>
      </w:r>
      <w:r w:rsidR="0057155B" w:rsidRPr="007E4AA8">
        <w:rPr>
          <w:rFonts w:asciiTheme="majorHAnsi" w:hAnsiTheme="majorHAnsi"/>
          <w:sz w:val="20"/>
          <w:szCs w:val="20"/>
          <w:lang w:val="es-ES"/>
        </w:rPr>
        <w:t>en virtud del estado de excepción por estimar que “no hace a la existencia del hecho juzgado”</w:t>
      </w:r>
      <w:r w:rsidR="0057155B" w:rsidRPr="007E4AA8">
        <w:rPr>
          <w:rStyle w:val="FootnoteReference"/>
          <w:rFonts w:asciiTheme="majorHAnsi" w:hAnsiTheme="majorHAnsi"/>
          <w:sz w:val="20"/>
          <w:szCs w:val="20"/>
          <w:lang w:val="es-ES"/>
        </w:rPr>
        <w:footnoteReference w:id="65"/>
      </w:r>
      <w:r w:rsidR="0057155B" w:rsidRPr="007E4AA8">
        <w:rPr>
          <w:rFonts w:asciiTheme="majorHAnsi" w:hAnsiTheme="majorHAnsi"/>
          <w:sz w:val="20"/>
          <w:szCs w:val="20"/>
          <w:lang w:val="es-ES"/>
        </w:rPr>
        <w:t>.</w:t>
      </w:r>
    </w:p>
    <w:p w14:paraId="22D64BA5" w14:textId="77777777" w:rsidR="0004229E" w:rsidRPr="007E4AA8" w:rsidRDefault="0004229E" w:rsidP="0004229E">
      <w:pPr>
        <w:tabs>
          <w:tab w:val="left" w:pos="360"/>
        </w:tabs>
        <w:jc w:val="both"/>
        <w:rPr>
          <w:rFonts w:asciiTheme="majorHAnsi" w:hAnsiTheme="majorHAnsi"/>
          <w:sz w:val="20"/>
          <w:szCs w:val="20"/>
          <w:lang w:val="es-ES"/>
        </w:rPr>
      </w:pPr>
    </w:p>
    <w:p w14:paraId="1220BB68" w14:textId="77777777" w:rsidR="000C59FA" w:rsidRPr="007E4AA8" w:rsidRDefault="00C63A98" w:rsidP="002B27E4">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En</w:t>
      </w:r>
      <w:r w:rsidR="007A4E6D" w:rsidRPr="007E4AA8">
        <w:rPr>
          <w:rFonts w:asciiTheme="majorHAnsi" w:hAnsiTheme="majorHAnsi"/>
          <w:sz w:val="20"/>
          <w:szCs w:val="20"/>
          <w:lang w:val="es-ES"/>
        </w:rPr>
        <w:t xml:space="preserve"> la sentencia, </w:t>
      </w:r>
      <w:r w:rsidR="00880632" w:rsidRPr="007E4AA8">
        <w:rPr>
          <w:rFonts w:asciiTheme="majorHAnsi" w:hAnsiTheme="majorHAnsi"/>
          <w:sz w:val="20"/>
          <w:szCs w:val="20"/>
          <w:lang w:val="es-ES"/>
        </w:rPr>
        <w:t>el tribunal sostuvo que “la libre convicción siempre está limitada al in dubio pro reo. El tribunal está obligado a hacer valer la presunción de inocencia”.</w:t>
      </w:r>
      <w:r w:rsidR="00D37FFD" w:rsidRPr="007E4AA8">
        <w:rPr>
          <w:rFonts w:asciiTheme="majorHAnsi" w:hAnsiTheme="majorHAnsi"/>
          <w:sz w:val="20"/>
          <w:szCs w:val="20"/>
          <w:lang w:val="es-ES"/>
        </w:rPr>
        <w:t xml:space="preserve"> Asimismo, consideró que hubo una gran carga de prueba testimonial que</w:t>
      </w:r>
      <w:r w:rsidR="00CB79C4" w:rsidRPr="007E4AA8">
        <w:rPr>
          <w:rFonts w:asciiTheme="majorHAnsi" w:hAnsiTheme="majorHAnsi"/>
          <w:sz w:val="20"/>
          <w:szCs w:val="20"/>
          <w:lang w:val="es-ES"/>
        </w:rPr>
        <w:t>,</w:t>
      </w:r>
      <w:r w:rsidR="00D37FFD" w:rsidRPr="007E4AA8">
        <w:rPr>
          <w:rFonts w:asciiTheme="majorHAnsi" w:hAnsiTheme="majorHAnsi"/>
          <w:sz w:val="20"/>
          <w:szCs w:val="20"/>
          <w:lang w:val="es-ES"/>
        </w:rPr>
        <w:t xml:space="preserve"> en su mayoría</w:t>
      </w:r>
      <w:r w:rsidR="00CB79C4" w:rsidRPr="007E4AA8">
        <w:rPr>
          <w:rFonts w:asciiTheme="majorHAnsi" w:hAnsiTheme="majorHAnsi"/>
          <w:sz w:val="20"/>
          <w:szCs w:val="20"/>
          <w:lang w:val="es-ES"/>
        </w:rPr>
        <w:t>,</w:t>
      </w:r>
      <w:r w:rsidR="00D37FFD" w:rsidRPr="007E4AA8">
        <w:rPr>
          <w:rFonts w:asciiTheme="majorHAnsi" w:hAnsiTheme="majorHAnsi"/>
          <w:sz w:val="20"/>
          <w:szCs w:val="20"/>
          <w:lang w:val="es-ES"/>
        </w:rPr>
        <w:t xml:space="preserve"> fue contradictoria, </w:t>
      </w:r>
      <w:r w:rsidR="00CB79C4" w:rsidRPr="007E4AA8">
        <w:rPr>
          <w:rFonts w:asciiTheme="majorHAnsi" w:hAnsiTheme="majorHAnsi"/>
          <w:sz w:val="20"/>
          <w:szCs w:val="20"/>
          <w:lang w:val="es-ES"/>
        </w:rPr>
        <w:t xml:space="preserve">sumado a que </w:t>
      </w:r>
      <w:r w:rsidR="00D37FFD" w:rsidRPr="007E4AA8">
        <w:rPr>
          <w:rFonts w:asciiTheme="majorHAnsi" w:hAnsiTheme="majorHAnsi"/>
          <w:sz w:val="20"/>
          <w:szCs w:val="20"/>
          <w:lang w:val="es-ES"/>
        </w:rPr>
        <w:t>no exist</w:t>
      </w:r>
      <w:r w:rsidR="00CB79C4" w:rsidRPr="007E4AA8">
        <w:rPr>
          <w:rFonts w:asciiTheme="majorHAnsi" w:hAnsiTheme="majorHAnsi"/>
          <w:sz w:val="20"/>
          <w:szCs w:val="20"/>
          <w:lang w:val="es-ES"/>
        </w:rPr>
        <w:t>iría</w:t>
      </w:r>
      <w:r w:rsidR="00D37FFD" w:rsidRPr="007E4AA8">
        <w:rPr>
          <w:rFonts w:asciiTheme="majorHAnsi" w:hAnsiTheme="majorHAnsi"/>
          <w:sz w:val="20"/>
          <w:szCs w:val="20"/>
          <w:lang w:val="es-ES"/>
        </w:rPr>
        <w:t xml:space="preserve"> una prueba científica o técnica que determinase que el señor López haya sido sometido a apremios físicos o psíquicos</w:t>
      </w:r>
      <w:r w:rsidR="00401F4E" w:rsidRPr="007E4AA8">
        <w:rPr>
          <w:rFonts w:asciiTheme="majorHAnsi" w:hAnsiTheme="majorHAnsi"/>
          <w:sz w:val="20"/>
          <w:szCs w:val="20"/>
          <w:lang w:val="es-ES"/>
        </w:rPr>
        <w:t xml:space="preserve"> </w:t>
      </w:r>
      <w:r w:rsidR="00170019" w:rsidRPr="007E4AA8">
        <w:rPr>
          <w:rFonts w:asciiTheme="majorHAnsi" w:hAnsiTheme="majorHAnsi"/>
          <w:sz w:val="20"/>
          <w:szCs w:val="20"/>
          <w:lang w:val="es-ES"/>
        </w:rPr>
        <w:t>como sostuvo el Ministerio Público y la querella adhesiva</w:t>
      </w:r>
      <w:r w:rsidR="00CB79C4" w:rsidRPr="007E4AA8">
        <w:rPr>
          <w:rFonts w:asciiTheme="majorHAnsi" w:hAnsiTheme="majorHAnsi"/>
          <w:sz w:val="20"/>
          <w:szCs w:val="20"/>
          <w:lang w:val="es-ES"/>
        </w:rPr>
        <w:t xml:space="preserve">. En ese sentido, el tribunal afirmó que </w:t>
      </w:r>
      <w:r w:rsidR="00170019" w:rsidRPr="007E4AA8">
        <w:rPr>
          <w:rFonts w:asciiTheme="majorHAnsi" w:hAnsiTheme="majorHAnsi"/>
          <w:sz w:val="20"/>
          <w:szCs w:val="20"/>
          <w:lang w:val="es-ES"/>
        </w:rPr>
        <w:t xml:space="preserve">“el cúmulo de pruebas ofrecidas y producidas durante el contradictorio público resultan inidóneas e insuficientes para atribuir responsabilidad </w:t>
      </w:r>
      <w:r w:rsidR="00170019" w:rsidRPr="007E4AA8">
        <w:rPr>
          <w:rFonts w:asciiTheme="majorHAnsi" w:hAnsiTheme="majorHAnsi"/>
          <w:sz w:val="20"/>
          <w:szCs w:val="20"/>
          <w:lang w:val="es-ES"/>
        </w:rPr>
        <w:lastRenderedPageBreak/>
        <w:t>a los acusados (…) por un supuesto hecho de tortura”.</w:t>
      </w:r>
      <w:r w:rsidR="00A41C47" w:rsidRPr="007E4AA8">
        <w:rPr>
          <w:rFonts w:asciiTheme="majorHAnsi" w:hAnsiTheme="majorHAnsi"/>
          <w:sz w:val="20"/>
          <w:szCs w:val="20"/>
          <w:lang w:val="es-ES"/>
        </w:rPr>
        <w:t xml:space="preserve"> Así, “los elementos probatorios producidos durante la audiencia pública y valorados conforme a la sana crítica que nos rige, no permiten arribar al grado intelectual de certeza absoluta exigida a los juzgadores para llegar a establecer la participación de los acusados (…) en el hecho punible de tortura”</w:t>
      </w:r>
      <w:r w:rsidR="00A41C47" w:rsidRPr="007E4AA8">
        <w:rPr>
          <w:rStyle w:val="FootnoteReference"/>
          <w:rFonts w:asciiTheme="majorHAnsi" w:hAnsiTheme="majorHAnsi"/>
          <w:sz w:val="20"/>
          <w:szCs w:val="20"/>
          <w:lang w:val="es-ES"/>
        </w:rPr>
        <w:t xml:space="preserve"> </w:t>
      </w:r>
      <w:r w:rsidR="00A41C47" w:rsidRPr="007E4AA8">
        <w:rPr>
          <w:rStyle w:val="FootnoteReference"/>
          <w:rFonts w:asciiTheme="majorHAnsi" w:hAnsiTheme="majorHAnsi"/>
          <w:sz w:val="20"/>
          <w:szCs w:val="20"/>
          <w:lang w:val="es-ES"/>
        </w:rPr>
        <w:footnoteReference w:id="66"/>
      </w:r>
      <w:r w:rsidR="00A41C47" w:rsidRPr="007E4AA8">
        <w:rPr>
          <w:rFonts w:asciiTheme="majorHAnsi" w:hAnsiTheme="majorHAnsi"/>
          <w:sz w:val="20"/>
          <w:szCs w:val="20"/>
          <w:lang w:val="es-ES"/>
        </w:rPr>
        <w:t>.</w:t>
      </w:r>
      <w:r w:rsidR="001513D4" w:rsidRPr="007E4AA8">
        <w:rPr>
          <w:rFonts w:asciiTheme="majorHAnsi" w:hAnsiTheme="majorHAnsi"/>
          <w:sz w:val="20"/>
          <w:szCs w:val="20"/>
          <w:lang w:val="es-ES"/>
        </w:rPr>
        <w:t xml:space="preserve"> En conclusión, establec</w:t>
      </w:r>
      <w:r w:rsidR="00DF5E37" w:rsidRPr="007E4AA8">
        <w:rPr>
          <w:rFonts w:asciiTheme="majorHAnsi" w:hAnsiTheme="majorHAnsi"/>
          <w:sz w:val="20"/>
          <w:szCs w:val="20"/>
          <w:lang w:val="es-ES"/>
        </w:rPr>
        <w:t>ió que</w:t>
      </w:r>
      <w:r w:rsidR="001513D4" w:rsidRPr="007E4AA8">
        <w:rPr>
          <w:rFonts w:asciiTheme="majorHAnsi" w:hAnsiTheme="majorHAnsi"/>
          <w:sz w:val="20"/>
          <w:szCs w:val="20"/>
          <w:lang w:val="es-ES"/>
        </w:rPr>
        <w:t xml:space="preserve"> los medios probatorios crean al tribunal “duda razonable” sobre la existencia misma del hecho. </w:t>
      </w:r>
    </w:p>
    <w:p w14:paraId="0CC23CAE" w14:textId="77777777" w:rsidR="00422349" w:rsidRPr="007E4AA8" w:rsidRDefault="00422349" w:rsidP="003C6927">
      <w:pPr>
        <w:tabs>
          <w:tab w:val="left" w:pos="360"/>
        </w:tabs>
        <w:jc w:val="both"/>
        <w:rPr>
          <w:rFonts w:asciiTheme="majorHAnsi" w:hAnsiTheme="majorHAnsi"/>
          <w:sz w:val="20"/>
          <w:szCs w:val="20"/>
          <w:lang w:val="es-ES"/>
        </w:rPr>
      </w:pPr>
    </w:p>
    <w:p w14:paraId="129EA605" w14:textId="77777777" w:rsidR="00422349" w:rsidRPr="007E4AA8" w:rsidRDefault="00422349" w:rsidP="00422349">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Adicionalmente, de acuerdo con la sentencia, se establece que si bien conforme a testigos, ellos mismo habrían sido objeto de torturas, “los mismos no fueron incluidos por el Ministerio Público en la acusación como víctimas del hecho, por lo que mal podría condenar el tribunal a los acusados (…), por los hechos manifestados por los mismos”</w:t>
      </w:r>
      <w:r w:rsidRPr="007E4AA8">
        <w:rPr>
          <w:rStyle w:val="FootnoteReference"/>
          <w:rFonts w:asciiTheme="majorHAnsi" w:hAnsiTheme="majorHAnsi"/>
          <w:sz w:val="20"/>
          <w:szCs w:val="20"/>
          <w:lang w:val="es-ES"/>
        </w:rPr>
        <w:footnoteReference w:id="67"/>
      </w:r>
      <w:r w:rsidRPr="007E4AA8">
        <w:rPr>
          <w:rFonts w:asciiTheme="majorHAnsi" w:hAnsiTheme="majorHAnsi"/>
          <w:sz w:val="20"/>
          <w:szCs w:val="20"/>
          <w:lang w:val="es-ES"/>
        </w:rPr>
        <w:t xml:space="preserve">. </w:t>
      </w:r>
    </w:p>
    <w:p w14:paraId="6B53DA3E" w14:textId="77777777" w:rsidR="00C63A98" w:rsidRPr="007E4AA8" w:rsidRDefault="00C63A98" w:rsidP="00C63A98">
      <w:pPr>
        <w:tabs>
          <w:tab w:val="left" w:pos="360"/>
        </w:tabs>
        <w:jc w:val="both"/>
        <w:rPr>
          <w:rFonts w:asciiTheme="majorHAnsi" w:hAnsiTheme="majorHAnsi"/>
          <w:sz w:val="20"/>
          <w:szCs w:val="20"/>
          <w:lang w:val="es-ES"/>
        </w:rPr>
      </w:pPr>
    </w:p>
    <w:p w14:paraId="0AE860DB" w14:textId="77777777" w:rsidR="006F0114" w:rsidRPr="007E4AA8" w:rsidRDefault="00C63A98" w:rsidP="009F6CB0">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C</w:t>
      </w:r>
      <w:r w:rsidR="00422349" w:rsidRPr="007E4AA8">
        <w:rPr>
          <w:rFonts w:asciiTheme="majorHAnsi" w:hAnsiTheme="majorHAnsi"/>
          <w:sz w:val="20"/>
          <w:szCs w:val="20"/>
          <w:lang w:val="es-ES"/>
        </w:rPr>
        <w:t xml:space="preserve">onforme al </w:t>
      </w:r>
      <w:r w:rsidRPr="007E4AA8">
        <w:rPr>
          <w:rFonts w:asciiTheme="majorHAnsi" w:hAnsiTheme="majorHAnsi"/>
          <w:sz w:val="20"/>
          <w:szCs w:val="20"/>
          <w:lang w:val="es-ES"/>
        </w:rPr>
        <w:t>voto de disidencia</w:t>
      </w:r>
      <w:r w:rsidR="008F49B7" w:rsidRPr="007E4AA8">
        <w:rPr>
          <w:rFonts w:asciiTheme="majorHAnsi" w:hAnsiTheme="majorHAnsi"/>
          <w:sz w:val="20"/>
          <w:szCs w:val="20"/>
          <w:lang w:val="es-ES"/>
        </w:rPr>
        <w:t xml:space="preserve">, la magistrada disidente valoro los testimonios que “dan plena fe del hecho punible tortura y que demuestran la autoría por parte de los acusados”, y consideró que resultaba prueba fundamental el diagnóstico victimológico de la Dirección de asistencia de las víctimas del Ministerio Público, que da cuenta de los elementos objetivos del tipo penal tortura y demuestra “ el estado </w:t>
      </w:r>
      <w:r w:rsidR="00E81161" w:rsidRPr="007E4AA8">
        <w:rPr>
          <w:rFonts w:asciiTheme="majorHAnsi" w:hAnsiTheme="majorHAnsi"/>
          <w:sz w:val="20"/>
          <w:szCs w:val="20"/>
          <w:lang w:val="es-ES"/>
        </w:rPr>
        <w:t>de ánimo de las víctimas y las secuelas que quedaron en sus cuerpos luego de ser torturados”</w:t>
      </w:r>
      <w:r w:rsidR="00E81161" w:rsidRPr="007E4AA8">
        <w:rPr>
          <w:rStyle w:val="FootnoteReference"/>
          <w:rFonts w:asciiTheme="majorHAnsi" w:hAnsiTheme="majorHAnsi"/>
          <w:sz w:val="20"/>
          <w:szCs w:val="20"/>
          <w:lang w:val="es-ES"/>
        </w:rPr>
        <w:footnoteReference w:id="68"/>
      </w:r>
      <w:r w:rsidR="00E81161" w:rsidRPr="007E4AA8">
        <w:rPr>
          <w:rFonts w:asciiTheme="majorHAnsi" w:hAnsiTheme="majorHAnsi"/>
          <w:sz w:val="20"/>
          <w:szCs w:val="20"/>
          <w:lang w:val="es-ES"/>
        </w:rPr>
        <w:t>.</w:t>
      </w:r>
    </w:p>
    <w:p w14:paraId="0FD86D6E" w14:textId="77777777" w:rsidR="00CB79C4" w:rsidRPr="007E4AA8" w:rsidRDefault="00CB79C4" w:rsidP="005C5A98">
      <w:pPr>
        <w:pStyle w:val="ListParagraph"/>
        <w:rPr>
          <w:color w:val="auto"/>
        </w:rPr>
      </w:pPr>
    </w:p>
    <w:p w14:paraId="7CEACD74" w14:textId="77777777" w:rsidR="00CB79C4" w:rsidRPr="007E4AA8" w:rsidRDefault="003D5280" w:rsidP="009F6CB0">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Finalmente, la Comisión toma nota de que según lo informado por el Estado la sentencia antes referida no se encuentra en firme, tras ser interpuesto un recurso ante el Tribunal de Apelación en lo Penal, Tercera Sala de Asunción. </w:t>
      </w:r>
    </w:p>
    <w:p w14:paraId="56D8D9B2" w14:textId="77777777" w:rsidR="003D5280" w:rsidRPr="007E4AA8" w:rsidRDefault="003D5280" w:rsidP="00014512">
      <w:pPr>
        <w:rPr>
          <w:lang w:val="es-ES"/>
        </w:rPr>
      </w:pPr>
    </w:p>
    <w:p w14:paraId="5824538F" w14:textId="77777777" w:rsidR="007247E1" w:rsidRPr="007E4AA8" w:rsidRDefault="00D12193" w:rsidP="007247E1">
      <w:pPr>
        <w:pStyle w:val="Heading1"/>
        <w:rPr>
          <w:color w:val="auto"/>
          <w:lang w:val="es-ES"/>
        </w:rPr>
      </w:pPr>
      <w:bookmarkStart w:id="7" w:name="_Toc60669569"/>
      <w:r w:rsidRPr="007E4AA8">
        <w:rPr>
          <w:color w:val="auto"/>
          <w:lang w:val="es-ES"/>
        </w:rPr>
        <w:t>ANÁLISIS DE DERECHO</w:t>
      </w:r>
      <w:bookmarkEnd w:id="7"/>
    </w:p>
    <w:p w14:paraId="04A6833F" w14:textId="77777777" w:rsidR="005F4CAA" w:rsidRPr="007E4AA8" w:rsidRDefault="005F4CAA" w:rsidP="005F4CAA">
      <w:pPr>
        <w:rPr>
          <w:lang w:val="es-ES" w:eastAsia="es-ES"/>
        </w:rPr>
      </w:pPr>
    </w:p>
    <w:p w14:paraId="0305C9C1" w14:textId="77777777" w:rsidR="00A55E03" w:rsidRPr="007E4AA8" w:rsidRDefault="00A55E03" w:rsidP="005F4CAA">
      <w:pPr>
        <w:pStyle w:val="Heading2"/>
        <w:numPr>
          <w:ilvl w:val="0"/>
          <w:numId w:val="0"/>
        </w:numPr>
        <w:ind w:left="360"/>
        <w:rPr>
          <w:lang w:val="es-ES"/>
        </w:rPr>
      </w:pPr>
      <w:bookmarkStart w:id="8" w:name="_Toc495585551"/>
      <w:bookmarkStart w:id="9" w:name="_Toc60669570"/>
      <w:r w:rsidRPr="007E4AA8">
        <w:rPr>
          <w:lang w:val="es-ES"/>
        </w:rPr>
        <w:lastRenderedPageBreak/>
        <w:t>Derecho a la integridad personal</w:t>
      </w:r>
      <w:r w:rsidR="00F101A9" w:rsidRPr="007E4AA8">
        <w:rPr>
          <w:lang w:val="es-ES"/>
        </w:rPr>
        <w:t>, a la libertad personal</w:t>
      </w:r>
      <w:r w:rsidR="000D49A8" w:rsidRPr="007E4AA8">
        <w:rPr>
          <w:lang w:val="es-ES"/>
        </w:rPr>
        <w:t>,</w:t>
      </w:r>
      <w:r w:rsidRPr="007E4AA8">
        <w:rPr>
          <w:lang w:val="es-ES"/>
        </w:rPr>
        <w:t xml:space="preserve"> derechos a las garantías judiciales y </w:t>
      </w:r>
      <w:r w:rsidR="000D49A8" w:rsidRPr="007E4AA8">
        <w:rPr>
          <w:lang w:val="es-ES"/>
        </w:rPr>
        <w:t xml:space="preserve">a la </w:t>
      </w:r>
      <w:r w:rsidRPr="007E4AA8">
        <w:rPr>
          <w:lang w:val="es-ES"/>
        </w:rPr>
        <w:t>protección judicial (artículos 5</w:t>
      </w:r>
      <w:r w:rsidRPr="007E4AA8">
        <w:rPr>
          <w:rStyle w:val="FootnoteReference"/>
          <w:b w:val="0"/>
          <w:lang w:val="es-ES"/>
        </w:rPr>
        <w:footnoteReference w:id="69"/>
      </w:r>
      <w:r w:rsidRPr="007E4AA8">
        <w:rPr>
          <w:lang w:val="es-ES"/>
        </w:rPr>
        <w:t xml:space="preserve">, </w:t>
      </w:r>
      <w:r w:rsidR="00F101A9" w:rsidRPr="007E4AA8">
        <w:rPr>
          <w:lang w:val="es-ES"/>
        </w:rPr>
        <w:t>7</w:t>
      </w:r>
      <w:r w:rsidR="00F101A9" w:rsidRPr="007E4AA8">
        <w:rPr>
          <w:rStyle w:val="FootnoteReference"/>
          <w:b w:val="0"/>
          <w:lang w:val="es-ES"/>
        </w:rPr>
        <w:footnoteReference w:id="70"/>
      </w:r>
      <w:r w:rsidR="00F101A9" w:rsidRPr="007E4AA8">
        <w:rPr>
          <w:lang w:val="es-ES"/>
        </w:rPr>
        <w:t xml:space="preserve">, </w:t>
      </w:r>
      <w:r w:rsidRPr="007E4AA8">
        <w:rPr>
          <w:lang w:val="es-ES"/>
        </w:rPr>
        <w:t>8</w:t>
      </w:r>
      <w:r w:rsidRPr="007E4AA8">
        <w:rPr>
          <w:rStyle w:val="FootnoteReference"/>
          <w:b w:val="0"/>
          <w:lang w:val="es-ES"/>
        </w:rPr>
        <w:footnoteReference w:id="71"/>
      </w:r>
      <w:r w:rsidRPr="007E4AA8">
        <w:rPr>
          <w:lang w:val="es-ES"/>
        </w:rPr>
        <w:t xml:space="preserve"> y 25</w:t>
      </w:r>
      <w:r w:rsidRPr="007E4AA8">
        <w:rPr>
          <w:rStyle w:val="FootnoteReference"/>
          <w:b w:val="0"/>
          <w:lang w:val="es-ES"/>
        </w:rPr>
        <w:footnoteReference w:id="72"/>
      </w:r>
      <w:r w:rsidRPr="007E4AA8">
        <w:rPr>
          <w:lang w:val="es-ES"/>
        </w:rPr>
        <w:t xml:space="preserve"> de la Convención Americana en relación con el artículo 1.1 del mismo instrumento y artículos 1</w:t>
      </w:r>
      <w:r w:rsidRPr="007E4AA8">
        <w:rPr>
          <w:rStyle w:val="FootnoteReference"/>
          <w:rFonts w:cs="Cambria"/>
          <w:b w:val="0"/>
          <w:u w:color="000000"/>
          <w:lang w:val="es-ES" w:eastAsia="es-ES"/>
        </w:rPr>
        <w:footnoteReference w:id="73"/>
      </w:r>
      <w:r w:rsidRPr="007E4AA8">
        <w:rPr>
          <w:lang w:val="es-ES"/>
        </w:rPr>
        <w:t>, 6</w:t>
      </w:r>
      <w:r w:rsidRPr="007E4AA8">
        <w:rPr>
          <w:rStyle w:val="FootnoteReference"/>
          <w:rFonts w:cs="Cambria"/>
          <w:b w:val="0"/>
          <w:u w:color="000000"/>
          <w:lang w:val="es-ES" w:eastAsia="es-ES"/>
        </w:rPr>
        <w:footnoteReference w:id="74"/>
      </w:r>
      <w:r w:rsidRPr="007E4AA8">
        <w:rPr>
          <w:lang w:val="es-ES"/>
        </w:rPr>
        <w:t xml:space="preserve"> y 8</w:t>
      </w:r>
      <w:r w:rsidRPr="007E4AA8">
        <w:rPr>
          <w:rStyle w:val="FootnoteReference"/>
          <w:rFonts w:cs="Cambria"/>
          <w:b w:val="0"/>
          <w:u w:color="000000"/>
          <w:lang w:val="es-ES" w:eastAsia="es-ES"/>
        </w:rPr>
        <w:footnoteReference w:id="75"/>
      </w:r>
      <w:r w:rsidRPr="007E4AA8">
        <w:rPr>
          <w:lang w:val="es-ES"/>
        </w:rPr>
        <w:t xml:space="preserve"> de la CIPST</w:t>
      </w:r>
      <w:r w:rsidRPr="007E4AA8">
        <w:rPr>
          <w:rStyle w:val="FootnoteReference"/>
          <w:b w:val="0"/>
          <w:bCs w:val="0"/>
          <w:lang w:val="es-ES"/>
        </w:rPr>
        <w:footnoteReference w:id="76"/>
      </w:r>
      <w:r w:rsidRPr="007E4AA8">
        <w:rPr>
          <w:lang w:val="es-ES"/>
        </w:rPr>
        <w:t>)</w:t>
      </w:r>
      <w:bookmarkEnd w:id="8"/>
      <w:bookmarkEnd w:id="9"/>
    </w:p>
    <w:p w14:paraId="101997A1" w14:textId="77777777" w:rsidR="000D49A8" w:rsidRPr="007E4AA8" w:rsidRDefault="000D49A8" w:rsidP="000D49A8">
      <w:pPr>
        <w:rPr>
          <w:lang w:val="es-ES"/>
        </w:rPr>
      </w:pPr>
    </w:p>
    <w:p w14:paraId="40DABCE7" w14:textId="77777777" w:rsidR="00857780" w:rsidRPr="007E4AA8" w:rsidRDefault="00857780" w:rsidP="00857780">
      <w:pPr>
        <w:pStyle w:val="Heading3"/>
        <w:numPr>
          <w:ilvl w:val="0"/>
          <w:numId w:val="56"/>
        </w:numPr>
        <w:tabs>
          <w:tab w:val="left" w:pos="360"/>
        </w:tabs>
        <w:rPr>
          <w:lang w:val="es-ES"/>
        </w:rPr>
      </w:pPr>
      <w:bookmarkStart w:id="10" w:name="_Toc60669571"/>
      <w:r w:rsidRPr="007E4AA8">
        <w:rPr>
          <w:lang w:val="es-ES"/>
        </w:rPr>
        <w:t xml:space="preserve">El derecho </w:t>
      </w:r>
      <w:r w:rsidR="00590EE1" w:rsidRPr="007E4AA8">
        <w:rPr>
          <w:lang w:val="es-ES"/>
        </w:rPr>
        <w:t>a la libertad personal</w:t>
      </w:r>
      <w:bookmarkEnd w:id="10"/>
    </w:p>
    <w:p w14:paraId="228DCA5A" w14:textId="77777777" w:rsidR="00857780" w:rsidRPr="007E4AA8" w:rsidRDefault="00857780" w:rsidP="00857780">
      <w:pPr>
        <w:pStyle w:val="estilo3"/>
        <w:numPr>
          <w:ilvl w:val="0"/>
          <w:numId w:val="0"/>
        </w:numPr>
        <w:ind w:left="1440"/>
        <w:rPr>
          <w:rFonts w:ascii="Cambria" w:hAnsi="Cambria"/>
          <w:sz w:val="20"/>
          <w:lang w:val="es-ES"/>
        </w:rPr>
      </w:pPr>
    </w:p>
    <w:p w14:paraId="3498AFC5" w14:textId="77777777" w:rsidR="00CC4917" w:rsidRDefault="00ED6093" w:rsidP="00B25386">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 xml:space="preserve">La Corte </w:t>
      </w:r>
      <w:r w:rsidR="008276D0" w:rsidRPr="007E4AA8">
        <w:rPr>
          <w:rFonts w:ascii="Cambria" w:hAnsi="Cambria"/>
          <w:sz w:val="20"/>
          <w:szCs w:val="20"/>
          <w:lang w:val="es-ES"/>
        </w:rPr>
        <w:t xml:space="preserve">IDH </w:t>
      </w:r>
      <w:r w:rsidRPr="007E4AA8">
        <w:rPr>
          <w:rFonts w:ascii="Cambria" w:hAnsi="Cambria"/>
          <w:sz w:val="20"/>
          <w:szCs w:val="20"/>
          <w:lang w:val="es-ES"/>
        </w:rPr>
        <w:t xml:space="preserve">ha señalado que el </w:t>
      </w:r>
      <w:r w:rsidR="008276D0" w:rsidRPr="007E4AA8">
        <w:rPr>
          <w:rFonts w:ascii="Cambria" w:hAnsi="Cambria"/>
          <w:sz w:val="20"/>
          <w:szCs w:val="20"/>
          <w:lang w:val="es-ES"/>
        </w:rPr>
        <w:t>“</w:t>
      </w:r>
      <w:r w:rsidRPr="007E4AA8">
        <w:rPr>
          <w:rFonts w:ascii="Cambria" w:hAnsi="Cambria"/>
          <w:sz w:val="20"/>
          <w:szCs w:val="20"/>
          <w:lang w:val="es-ES"/>
        </w:rPr>
        <w:t>contenido esencial del artículo 7 de la Convención es la protección de la libertad del individuo contra toda interferencia arbitraria o ilegal del Estado</w:t>
      </w:r>
      <w:r w:rsidR="008276D0" w:rsidRPr="007E4AA8">
        <w:rPr>
          <w:rFonts w:ascii="Cambria" w:hAnsi="Cambria"/>
          <w:sz w:val="20"/>
          <w:szCs w:val="20"/>
          <w:lang w:val="es-ES"/>
        </w:rPr>
        <w:t>” y que “</w:t>
      </w:r>
      <w:r w:rsidRPr="007E4AA8">
        <w:rPr>
          <w:rFonts w:ascii="Cambria" w:hAnsi="Cambria"/>
          <w:sz w:val="20"/>
          <w:szCs w:val="20"/>
          <w:lang w:val="es-ES"/>
        </w:rPr>
        <w:t>el artículo 7 de la Convención Americana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(artículo 7.2) o arbitrariamente (artículo 7.3), a conocer las razones de la detención y los cargos formulados en contra del detenido (artículo 7.4), al control judicial de la privación de la libertad (artículo 7.5) y a impugnar la legalidad de la detención (artículo 7.6). Cualquier violación de los numerales 2 al 7 del artículo 7 de la Convención acarreará necesariamente la violación del artículo 7.1 de la misma</w:t>
      </w:r>
      <w:r w:rsidR="008276D0" w:rsidRPr="007E4AA8">
        <w:rPr>
          <w:rFonts w:ascii="Cambria" w:hAnsi="Cambria"/>
          <w:sz w:val="20"/>
          <w:szCs w:val="20"/>
          <w:lang w:val="es-ES"/>
        </w:rPr>
        <w:t>”</w:t>
      </w:r>
      <w:r w:rsidR="008276D0" w:rsidRPr="007E4AA8">
        <w:rPr>
          <w:rStyle w:val="FootnoteReference"/>
          <w:rFonts w:ascii="Cambria" w:hAnsi="Cambria"/>
          <w:sz w:val="20"/>
          <w:szCs w:val="20"/>
          <w:lang w:val="es-ES"/>
        </w:rPr>
        <w:footnoteReference w:id="77"/>
      </w:r>
      <w:r w:rsidRPr="007E4AA8">
        <w:rPr>
          <w:rFonts w:ascii="Cambria" w:hAnsi="Cambria"/>
          <w:sz w:val="20"/>
          <w:szCs w:val="20"/>
          <w:lang w:val="es-ES"/>
        </w:rPr>
        <w:t>.</w:t>
      </w:r>
    </w:p>
    <w:p w14:paraId="609BE092" w14:textId="77777777" w:rsidR="00CC4917" w:rsidRDefault="00CC4917" w:rsidP="00CC4917">
      <w:pPr>
        <w:tabs>
          <w:tab w:val="left" w:pos="360"/>
        </w:tabs>
        <w:jc w:val="both"/>
        <w:rPr>
          <w:rFonts w:ascii="Cambria" w:hAnsi="Cambria"/>
          <w:sz w:val="20"/>
          <w:szCs w:val="20"/>
          <w:lang w:val="es-ES"/>
        </w:rPr>
      </w:pPr>
    </w:p>
    <w:p w14:paraId="5703303B" w14:textId="77777777" w:rsidR="00A65C92" w:rsidRPr="00CC4917" w:rsidRDefault="00FC06A5" w:rsidP="00B25386">
      <w:pPr>
        <w:numPr>
          <w:ilvl w:val="0"/>
          <w:numId w:val="55"/>
        </w:numPr>
        <w:tabs>
          <w:tab w:val="left" w:pos="360"/>
        </w:tabs>
        <w:ind w:left="0" w:firstLine="0"/>
        <w:jc w:val="both"/>
        <w:rPr>
          <w:rFonts w:ascii="Cambria" w:hAnsi="Cambria"/>
          <w:sz w:val="20"/>
          <w:szCs w:val="20"/>
          <w:lang w:val="es-ES"/>
        </w:rPr>
      </w:pPr>
      <w:r w:rsidRPr="00CC4917">
        <w:rPr>
          <w:rFonts w:ascii="Cambria" w:hAnsi="Cambria"/>
          <w:sz w:val="20"/>
          <w:szCs w:val="20"/>
          <w:lang w:val="es-ES"/>
        </w:rPr>
        <w:lastRenderedPageBreak/>
        <w:t>Conforme a la jurisprudencia de la Corte IDH,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7E4AA8">
        <w:rPr>
          <w:rStyle w:val="FootnoteReference"/>
          <w:rFonts w:ascii="Cambria" w:hAnsi="Cambria"/>
          <w:sz w:val="20"/>
          <w:szCs w:val="20"/>
          <w:lang w:val="es-ES"/>
        </w:rPr>
        <w:footnoteReference w:id="78"/>
      </w:r>
      <w:r w:rsidRPr="00CC4917">
        <w:rPr>
          <w:rFonts w:ascii="Cambria" w:hAnsi="Cambria"/>
          <w:sz w:val="20"/>
          <w:szCs w:val="20"/>
          <w:lang w:val="es-ES"/>
        </w:rPr>
        <w:t xml:space="preserve">. </w:t>
      </w:r>
    </w:p>
    <w:p w14:paraId="305E368E" w14:textId="77777777" w:rsidR="00A65C92" w:rsidRPr="007E4AA8" w:rsidRDefault="00A65C92" w:rsidP="000E4195">
      <w:pPr>
        <w:tabs>
          <w:tab w:val="left" w:pos="360"/>
        </w:tabs>
        <w:jc w:val="both"/>
        <w:rPr>
          <w:rFonts w:ascii="Cambria" w:hAnsi="Cambria"/>
          <w:sz w:val="20"/>
          <w:szCs w:val="20"/>
          <w:lang w:val="es-ES"/>
        </w:rPr>
      </w:pPr>
    </w:p>
    <w:p w14:paraId="295FA760" w14:textId="77777777" w:rsidR="00A441D1" w:rsidRPr="007E4AA8" w:rsidRDefault="000D6298" w:rsidP="00A441D1">
      <w:pPr>
        <w:numPr>
          <w:ilvl w:val="0"/>
          <w:numId w:val="55"/>
        </w:numPr>
        <w:tabs>
          <w:tab w:val="left" w:pos="360"/>
        </w:tabs>
        <w:ind w:left="0" w:firstLine="0"/>
        <w:jc w:val="both"/>
        <w:rPr>
          <w:lang w:val="es-ES"/>
        </w:rPr>
      </w:pPr>
      <w:r w:rsidRPr="007E4AA8">
        <w:rPr>
          <w:rFonts w:ascii="Cambria" w:hAnsi="Cambria"/>
          <w:sz w:val="20"/>
          <w:szCs w:val="20"/>
          <w:lang w:val="es-ES"/>
        </w:rPr>
        <w:t xml:space="preserve">La Corte IDH ha referido que </w:t>
      </w:r>
      <w:r w:rsidR="000D41FF" w:rsidRPr="007E4AA8">
        <w:rPr>
          <w:rFonts w:ascii="Cambria" w:hAnsi="Cambria"/>
          <w:sz w:val="20"/>
          <w:szCs w:val="20"/>
          <w:lang w:val="es-ES"/>
        </w:rPr>
        <w:t xml:space="preserve">los </w:t>
      </w:r>
      <w:r w:rsidR="00A441D1" w:rsidRPr="007E4AA8">
        <w:rPr>
          <w:rFonts w:ascii="Cambria" w:hAnsi="Cambria"/>
          <w:sz w:val="20"/>
          <w:szCs w:val="20"/>
          <w:lang w:val="es-ES"/>
        </w:rPr>
        <w:t>“motivos y razones” de la detención debe</w:t>
      </w:r>
      <w:r w:rsidR="000D41FF" w:rsidRPr="007E4AA8">
        <w:rPr>
          <w:rFonts w:ascii="Cambria" w:hAnsi="Cambria"/>
          <w:sz w:val="20"/>
          <w:szCs w:val="20"/>
          <w:lang w:val="es-ES"/>
        </w:rPr>
        <w:t>n</w:t>
      </w:r>
      <w:r w:rsidR="00A441D1" w:rsidRPr="007E4AA8">
        <w:rPr>
          <w:rFonts w:ascii="Cambria" w:hAnsi="Cambria"/>
          <w:sz w:val="20"/>
          <w:szCs w:val="20"/>
          <w:lang w:val="es-ES"/>
        </w:rPr>
        <w:t xml:space="preserve"> darse “cuando ésta se produce”, lo cual “constituye un mecanismo para evitar detenciones ilegales o arbitrarias desde el momento mismo de la privación de libertad y, a su vez, garantiza el derecho de defensa del individuo”</w:t>
      </w:r>
      <w:r w:rsidR="00A441D1" w:rsidRPr="007E4AA8">
        <w:rPr>
          <w:rStyle w:val="FootnoteReference"/>
          <w:rFonts w:ascii="Cambria" w:hAnsi="Cambria"/>
          <w:sz w:val="20"/>
          <w:szCs w:val="20"/>
          <w:lang w:val="es-ES"/>
        </w:rPr>
        <w:footnoteReference w:id="79"/>
      </w:r>
      <w:r w:rsidR="00A441D1" w:rsidRPr="007E4AA8">
        <w:rPr>
          <w:rFonts w:ascii="Cambria" w:hAnsi="Cambria"/>
          <w:sz w:val="20"/>
          <w:szCs w:val="20"/>
          <w:lang w:val="es-ES"/>
        </w:rPr>
        <w:t xml:space="preserve"> y que </w:t>
      </w:r>
      <w:r w:rsidRPr="007E4AA8">
        <w:rPr>
          <w:rFonts w:ascii="Cambria" w:hAnsi="Cambria"/>
          <w:sz w:val="20"/>
          <w:szCs w:val="20"/>
          <w:lang w:val="es-ES"/>
        </w:rPr>
        <w:t>“la información sobre los motivos y razones de la detención necesariamente supone informar, en primer lugar, de la detención misma. La persona detenida debe tener claro que está siendo detenida. En segundo lugar, el agente que lleva a cabo la detención debe informar en un lenguaje simple, libre de tecnicismos, los hechos y bases jurídicas esenciales en los que se basa la detención. No se satisface el artículo 7.4 de la Convención si sólo se menciona la base legal”</w:t>
      </w:r>
      <w:r w:rsidR="00A441D1" w:rsidRPr="007E4AA8">
        <w:rPr>
          <w:rStyle w:val="FootnoteReference"/>
          <w:rFonts w:ascii="Cambria" w:hAnsi="Cambria"/>
          <w:sz w:val="20"/>
          <w:szCs w:val="20"/>
          <w:lang w:val="es-ES"/>
        </w:rPr>
        <w:footnoteReference w:id="80"/>
      </w:r>
      <w:r w:rsidRPr="007E4AA8">
        <w:rPr>
          <w:rFonts w:ascii="Cambria" w:hAnsi="Cambria"/>
          <w:sz w:val="20"/>
          <w:szCs w:val="20"/>
          <w:lang w:val="es-ES"/>
        </w:rPr>
        <w:t xml:space="preserve">. </w:t>
      </w:r>
      <w:r w:rsidR="00A441D1" w:rsidRPr="007E4AA8">
        <w:rPr>
          <w:rFonts w:ascii="Cambria" w:hAnsi="Cambria"/>
          <w:sz w:val="20"/>
          <w:szCs w:val="20"/>
          <w:lang w:val="es-ES"/>
        </w:rPr>
        <w:t>Así, la Corte ha considerado que un Estado viola el artículo 7.4 de la Convención cuando no ha probado que sus autoridades informaron a la persona detenida de los motivos y razones de su detención</w:t>
      </w:r>
      <w:r w:rsidR="00A441D1" w:rsidRPr="007E4AA8">
        <w:rPr>
          <w:rStyle w:val="FootnoteReference"/>
          <w:rFonts w:ascii="Cambria" w:hAnsi="Cambria"/>
          <w:sz w:val="20"/>
          <w:szCs w:val="20"/>
          <w:lang w:val="es-ES"/>
        </w:rPr>
        <w:footnoteReference w:id="81"/>
      </w:r>
      <w:r w:rsidR="00A441D1" w:rsidRPr="007E4AA8">
        <w:rPr>
          <w:rFonts w:ascii="Cambria" w:hAnsi="Cambria"/>
          <w:sz w:val="20"/>
          <w:szCs w:val="20"/>
          <w:lang w:val="es-ES"/>
        </w:rPr>
        <w:t>.</w:t>
      </w:r>
    </w:p>
    <w:p w14:paraId="55A4D3C8" w14:textId="77777777" w:rsidR="000D6298" w:rsidRPr="007E4AA8" w:rsidRDefault="000D6298" w:rsidP="00FC06A5">
      <w:pPr>
        <w:tabs>
          <w:tab w:val="left" w:pos="360"/>
        </w:tabs>
        <w:jc w:val="both"/>
        <w:rPr>
          <w:rFonts w:ascii="Cambria" w:hAnsi="Cambria"/>
          <w:sz w:val="20"/>
          <w:szCs w:val="20"/>
          <w:lang w:val="es-ES"/>
        </w:rPr>
      </w:pPr>
    </w:p>
    <w:p w14:paraId="2F5D8B8E" w14:textId="77777777" w:rsidR="00857780" w:rsidRPr="007E4AA8" w:rsidRDefault="00FC06A5" w:rsidP="00857780">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t>Adicionalmente</w:t>
      </w:r>
      <w:r w:rsidR="0058430D" w:rsidRPr="007E4AA8">
        <w:rPr>
          <w:rFonts w:ascii="Cambria" w:hAnsi="Cambria"/>
          <w:sz w:val="20"/>
          <w:szCs w:val="20"/>
          <w:lang w:val="es-ES"/>
        </w:rPr>
        <w:t>, e</w:t>
      </w:r>
      <w:r w:rsidR="00857780" w:rsidRPr="007E4AA8">
        <w:rPr>
          <w:rFonts w:ascii="Cambria" w:hAnsi="Cambria"/>
          <w:sz w:val="20"/>
          <w:szCs w:val="20"/>
          <w:lang w:val="es-ES"/>
        </w:rPr>
        <w:t xml:space="preserve">l artículo 7.5 de la Convención dispone que toda persona sometida a una detención tiene derecho a que </w:t>
      </w:r>
      <w:r w:rsidR="00857780" w:rsidRPr="007E4AA8">
        <w:rPr>
          <w:rFonts w:ascii="Cambria" w:hAnsi="Cambria" w:cs="TimesNewRoman"/>
          <w:sz w:val="20"/>
          <w:szCs w:val="20"/>
          <w:lang w:val="es-ES" w:eastAsia="es-ES_tradnl"/>
        </w:rPr>
        <w:t>una</w:t>
      </w:r>
      <w:r w:rsidR="00857780" w:rsidRPr="007E4AA8">
        <w:rPr>
          <w:rFonts w:ascii="Cambria" w:hAnsi="Cambria"/>
          <w:sz w:val="20"/>
          <w:szCs w:val="20"/>
          <w:lang w:val="es-ES"/>
        </w:rPr>
        <w:t xml:space="preserve"> autoridad judicial revise dicha detención, sin demora, como medio de control idóneo para evitar las capturas arbitrarias e ilegales. El control judicial inmediato es una medida tendiente a evitar la arbitrariedad o ilegalidad de las detenciones, tomando en cuenta que en un estado de derecho corresponde al juzgador garantizar los derechos del detenido, autorizar la adopción de medidas cautelares o de coerción, cuando sea estrictamente necesario, y procurar, en general, que se trate al inculpado de manera consecuente con la presunción de inocencia</w:t>
      </w:r>
      <w:r w:rsidR="00857780" w:rsidRPr="007E4AA8">
        <w:rPr>
          <w:rStyle w:val="FootnoteReference"/>
          <w:rFonts w:ascii="Cambria" w:hAnsi="Cambria"/>
          <w:sz w:val="20"/>
          <w:szCs w:val="20"/>
          <w:lang w:val="es-ES"/>
        </w:rPr>
        <w:footnoteReference w:id="82"/>
      </w:r>
      <w:r w:rsidR="00857780" w:rsidRPr="007E4AA8">
        <w:rPr>
          <w:rFonts w:ascii="Cambria" w:hAnsi="Cambria"/>
          <w:sz w:val="20"/>
          <w:szCs w:val="20"/>
          <w:lang w:val="es-ES"/>
        </w:rPr>
        <w:t xml:space="preserve">. </w:t>
      </w:r>
    </w:p>
    <w:p w14:paraId="32BF8FA4" w14:textId="77777777" w:rsidR="00857780" w:rsidRPr="007E4AA8" w:rsidRDefault="00857780" w:rsidP="00857780">
      <w:pPr>
        <w:suppressAutoHyphens/>
        <w:jc w:val="both"/>
        <w:rPr>
          <w:rFonts w:ascii="Cambria" w:hAnsi="Cambria"/>
          <w:sz w:val="20"/>
          <w:szCs w:val="20"/>
          <w:lang w:val="es-ES"/>
        </w:rPr>
      </w:pPr>
    </w:p>
    <w:p w14:paraId="79F6643C" w14:textId="77777777" w:rsidR="00857780" w:rsidRPr="007E4AA8" w:rsidRDefault="00857780" w:rsidP="00857780">
      <w:pPr>
        <w:pStyle w:val="parrafos"/>
        <w:ind w:left="0" w:firstLine="0"/>
        <w:rPr>
          <w:rFonts w:ascii="Cambria" w:hAnsi="Cambria"/>
          <w:color w:val="auto"/>
          <w:lang w:val="es-ES"/>
        </w:rPr>
      </w:pPr>
      <w:r w:rsidRPr="007E4AA8">
        <w:rPr>
          <w:rFonts w:ascii="Cambria" w:hAnsi="Cambria"/>
          <w:color w:val="auto"/>
          <w:lang w:val="es-ES"/>
        </w:rPr>
        <w:t xml:space="preserve">Respecto de esta garantía, la Comisión ha considerado que: </w:t>
      </w:r>
    </w:p>
    <w:p w14:paraId="7C7053F2" w14:textId="77777777" w:rsidR="00857780" w:rsidRPr="007E4AA8" w:rsidRDefault="00857780" w:rsidP="00857780">
      <w:pPr>
        <w:pStyle w:val="parrafos"/>
        <w:numPr>
          <w:ilvl w:val="0"/>
          <w:numId w:val="0"/>
        </w:numPr>
        <w:rPr>
          <w:rFonts w:ascii="Cambria" w:hAnsi="Cambria"/>
          <w:color w:val="auto"/>
          <w:lang w:val="es-ES"/>
        </w:rPr>
      </w:pPr>
    </w:p>
    <w:p w14:paraId="7C515862" w14:textId="77777777" w:rsidR="00857780" w:rsidRPr="007E4AA8" w:rsidRDefault="00857780" w:rsidP="00857780">
      <w:pPr>
        <w:suppressAutoHyphens/>
        <w:ind w:left="360" w:right="720"/>
        <w:jc w:val="both"/>
        <w:rPr>
          <w:rFonts w:ascii="Cambria" w:hAnsi="Cambria"/>
          <w:sz w:val="18"/>
          <w:szCs w:val="18"/>
          <w:lang w:val="es-ES"/>
        </w:rPr>
      </w:pPr>
      <w:r w:rsidRPr="007E4AA8">
        <w:rPr>
          <w:rFonts w:ascii="Cambria" w:hAnsi="Cambria"/>
          <w:sz w:val="18"/>
          <w:szCs w:val="18"/>
          <w:lang w:val="es-ES"/>
        </w:rPr>
        <w:t>[L]a protección más importante de los derechos de un detenido es su pronta comparecencia ante una autoridad judicial encargada de supervisar la detención. Y que el derecho a pedir que se establezca la legalidad de la detención es la garantía fundamental de los derechos constitucionales y humanos de un detenido en caso de privación de libertad por parte de agentes estatales</w:t>
      </w:r>
      <w:r w:rsidRPr="007E4AA8">
        <w:rPr>
          <w:rStyle w:val="FootnoteReference"/>
          <w:rFonts w:ascii="Cambria" w:hAnsi="Cambria"/>
          <w:sz w:val="18"/>
          <w:szCs w:val="18"/>
          <w:lang w:val="es-ES"/>
        </w:rPr>
        <w:footnoteReference w:id="83"/>
      </w:r>
      <w:r w:rsidRPr="007E4AA8">
        <w:rPr>
          <w:rFonts w:ascii="Cambria" w:hAnsi="Cambria"/>
          <w:sz w:val="18"/>
          <w:szCs w:val="18"/>
          <w:lang w:val="es-ES"/>
        </w:rPr>
        <w:t xml:space="preserve">. </w:t>
      </w:r>
    </w:p>
    <w:p w14:paraId="57B88FFA" w14:textId="77777777" w:rsidR="00857780" w:rsidRPr="007E4AA8" w:rsidRDefault="00857780" w:rsidP="00857780">
      <w:pPr>
        <w:suppressAutoHyphens/>
        <w:ind w:left="720"/>
        <w:jc w:val="both"/>
        <w:rPr>
          <w:rFonts w:ascii="Cambria" w:hAnsi="Cambria"/>
          <w:sz w:val="20"/>
          <w:szCs w:val="20"/>
          <w:lang w:val="es-ES"/>
        </w:rPr>
      </w:pPr>
    </w:p>
    <w:p w14:paraId="5E7844B5" w14:textId="77777777" w:rsidR="00FC06A5" w:rsidRPr="007E4AA8" w:rsidRDefault="00857780" w:rsidP="00FC06A5">
      <w:pPr>
        <w:pStyle w:val="parrafos"/>
        <w:ind w:left="0" w:firstLine="0"/>
        <w:rPr>
          <w:rFonts w:ascii="Cambria" w:hAnsi="Cambria"/>
          <w:color w:val="auto"/>
          <w:lang w:val="es-ES"/>
        </w:rPr>
      </w:pPr>
      <w:r w:rsidRPr="007E4AA8">
        <w:rPr>
          <w:rFonts w:ascii="Cambria" w:hAnsi="Cambria"/>
          <w:color w:val="auto"/>
          <w:lang w:val="es-ES"/>
        </w:rPr>
        <w:t>Asimismo, la Corte Interamericana ha señalado que “los términos de la garantía establecida en el artículo 7.5 de la Convención son claros en cuanto a que la persona detenida debe ser llevada sin demora ante un juez o autoridad judicial competente, conforme a los principios de control judicial e inmediación procesal” y con la finalidad de permitir la “protección del derecho a la libertad personal y para otorgar protección a otros derechos, como la vida y la integridad personal”. La Corte ha precisado a su vez que “el simple conocimiento por parte de un juez de que una persona está detenida no satisface esa garantía, ya que el detenido debe comparecer personalmente y rendir su declaración ante el juez o autoridad competente”</w:t>
      </w:r>
      <w:r w:rsidRPr="007E4AA8">
        <w:rPr>
          <w:rStyle w:val="FootnoteReference"/>
          <w:rFonts w:ascii="Cambria" w:hAnsi="Cambria"/>
          <w:color w:val="auto"/>
          <w:lang w:val="es-ES"/>
        </w:rPr>
        <w:footnoteReference w:id="84"/>
      </w:r>
      <w:r w:rsidRPr="007E4AA8">
        <w:rPr>
          <w:rFonts w:ascii="Cambria" w:hAnsi="Cambria"/>
          <w:color w:val="auto"/>
          <w:lang w:val="es-ES"/>
        </w:rPr>
        <w:t xml:space="preserve">.  </w:t>
      </w:r>
    </w:p>
    <w:p w14:paraId="46F0BA41" w14:textId="77777777" w:rsidR="003F3C61" w:rsidRPr="007E4AA8" w:rsidRDefault="003F3C61" w:rsidP="000D49A8">
      <w:pPr>
        <w:rPr>
          <w:lang w:val="es-ES"/>
        </w:rPr>
      </w:pPr>
    </w:p>
    <w:p w14:paraId="1C263C09" w14:textId="77777777" w:rsidR="008D199D" w:rsidRPr="007E4AA8" w:rsidRDefault="003F3C61" w:rsidP="00B25386">
      <w:pPr>
        <w:pStyle w:val="parrafos"/>
        <w:suppressAutoHyphens/>
        <w:ind w:left="0" w:firstLine="0"/>
        <w:rPr>
          <w:rFonts w:ascii="Cambria" w:hAnsi="Cambria"/>
          <w:color w:val="auto"/>
          <w:lang w:val="es-ES"/>
        </w:rPr>
      </w:pPr>
      <w:r w:rsidRPr="007E4AA8">
        <w:rPr>
          <w:rFonts w:ascii="Cambria" w:hAnsi="Cambria"/>
          <w:color w:val="auto"/>
          <w:lang w:val="es-ES"/>
        </w:rPr>
        <w:t xml:space="preserve">En el presente caso, </w:t>
      </w:r>
      <w:r w:rsidRPr="007E4AA8">
        <w:rPr>
          <w:color w:val="auto"/>
          <w:lang w:val="es-ES"/>
        </w:rPr>
        <w:t>la</w:t>
      </w:r>
      <w:r w:rsidRPr="007E4AA8">
        <w:rPr>
          <w:rFonts w:ascii="Cambria" w:hAnsi="Cambria"/>
          <w:color w:val="auto"/>
          <w:lang w:val="es-ES"/>
        </w:rPr>
        <w:t xml:space="preserve"> Comisión </w:t>
      </w:r>
      <w:r w:rsidR="008D199D" w:rsidRPr="007E4AA8">
        <w:rPr>
          <w:rFonts w:ascii="Cambria" w:hAnsi="Cambria"/>
          <w:color w:val="auto"/>
          <w:lang w:val="es-ES"/>
        </w:rPr>
        <w:t>observa que</w:t>
      </w:r>
      <w:r w:rsidR="00B64D9C" w:rsidRPr="007E4AA8">
        <w:rPr>
          <w:rFonts w:ascii="Cambria" w:hAnsi="Cambria"/>
          <w:color w:val="auto"/>
          <w:lang w:val="es-ES"/>
        </w:rPr>
        <w:t>,</w:t>
      </w:r>
      <w:r w:rsidR="008D199D" w:rsidRPr="007E4AA8">
        <w:rPr>
          <w:rFonts w:ascii="Cambria" w:hAnsi="Cambria"/>
          <w:color w:val="auto"/>
          <w:lang w:val="es-ES"/>
        </w:rPr>
        <w:t xml:space="preserve"> de acuerdo con la información aportada</w:t>
      </w:r>
      <w:r w:rsidR="00590EE1" w:rsidRPr="007E4AA8">
        <w:rPr>
          <w:rFonts w:ascii="Cambria" w:hAnsi="Cambria"/>
          <w:color w:val="auto"/>
          <w:lang w:val="es-ES"/>
        </w:rPr>
        <w:t xml:space="preserve">, el 19 de mayo de 2000 señor Jorge López fue detenido luego de ser llamado a presentarse </w:t>
      </w:r>
      <w:r w:rsidR="00A65C92" w:rsidRPr="007E4AA8">
        <w:rPr>
          <w:rFonts w:ascii="Cambria" w:hAnsi="Cambria"/>
          <w:color w:val="auto"/>
          <w:lang w:val="es-ES"/>
        </w:rPr>
        <w:t xml:space="preserve">a la </w:t>
      </w:r>
      <w:r w:rsidR="00590EE1" w:rsidRPr="007E4AA8">
        <w:rPr>
          <w:rFonts w:ascii="Cambria" w:hAnsi="Cambria"/>
          <w:color w:val="auto"/>
          <w:lang w:val="es-ES"/>
        </w:rPr>
        <w:t>Comisaría</w:t>
      </w:r>
      <w:r w:rsidR="00A65C92" w:rsidRPr="007E4AA8">
        <w:rPr>
          <w:rFonts w:ascii="Cambria" w:hAnsi="Cambria"/>
          <w:color w:val="auto"/>
          <w:lang w:val="es-ES"/>
        </w:rPr>
        <w:t xml:space="preserve"> 11 Metropolitana</w:t>
      </w:r>
      <w:r w:rsidR="00590EE1" w:rsidRPr="007E4AA8">
        <w:rPr>
          <w:rFonts w:ascii="Cambria" w:hAnsi="Cambria"/>
          <w:color w:val="auto"/>
          <w:lang w:val="es-ES"/>
        </w:rPr>
        <w:t xml:space="preserve">. </w:t>
      </w:r>
      <w:r w:rsidR="0094699B" w:rsidRPr="007E4AA8">
        <w:rPr>
          <w:rFonts w:ascii="Cambria" w:hAnsi="Cambria"/>
          <w:color w:val="auto"/>
          <w:lang w:val="es-ES"/>
        </w:rPr>
        <w:t xml:space="preserve"> A continuación, la Comisión pasará a explicar si el Estado cumplió con las obligaciones antes indicadas.</w:t>
      </w:r>
    </w:p>
    <w:p w14:paraId="01D9F8BE" w14:textId="77777777" w:rsidR="00B64D9C" w:rsidRPr="007E4AA8" w:rsidRDefault="00B64D9C" w:rsidP="005C5A98">
      <w:pPr>
        <w:pStyle w:val="ListParagraph"/>
        <w:rPr>
          <w:rFonts w:ascii="Cambria" w:hAnsi="Cambria"/>
          <w:color w:val="auto"/>
        </w:rPr>
      </w:pPr>
    </w:p>
    <w:p w14:paraId="222851D7" w14:textId="77777777" w:rsidR="00B64D9C" w:rsidRPr="007E4AA8" w:rsidRDefault="00B64D9C" w:rsidP="005C5A98">
      <w:pPr>
        <w:pStyle w:val="parrafos"/>
        <w:numPr>
          <w:ilvl w:val="0"/>
          <w:numId w:val="0"/>
        </w:numPr>
        <w:suppressAutoHyphens/>
        <w:ind w:left="360" w:hanging="360"/>
        <w:rPr>
          <w:rFonts w:ascii="Cambria" w:hAnsi="Cambria"/>
          <w:color w:val="auto"/>
          <w:lang w:val="es-ES"/>
        </w:rPr>
      </w:pPr>
    </w:p>
    <w:p w14:paraId="7FD85D27" w14:textId="77777777" w:rsidR="008D199D" w:rsidRPr="007E4AA8" w:rsidRDefault="008D199D" w:rsidP="005C5A98">
      <w:pPr>
        <w:pStyle w:val="parrafos"/>
        <w:numPr>
          <w:ilvl w:val="0"/>
          <w:numId w:val="0"/>
        </w:numPr>
        <w:suppressAutoHyphens/>
        <w:rPr>
          <w:rFonts w:ascii="Cambria" w:hAnsi="Cambria"/>
          <w:color w:val="auto"/>
          <w:lang w:val="es-ES"/>
        </w:rPr>
      </w:pPr>
    </w:p>
    <w:p w14:paraId="2A7A8CEB" w14:textId="77777777" w:rsidR="00A65C92" w:rsidRPr="007E4AA8" w:rsidRDefault="00A65C92" w:rsidP="00A65C92">
      <w:pPr>
        <w:numPr>
          <w:ilvl w:val="0"/>
          <w:numId w:val="55"/>
        </w:numPr>
        <w:tabs>
          <w:tab w:val="left" w:pos="360"/>
        </w:tabs>
        <w:ind w:left="0" w:firstLine="0"/>
        <w:jc w:val="both"/>
        <w:rPr>
          <w:rFonts w:ascii="Cambria" w:hAnsi="Cambria"/>
          <w:sz w:val="20"/>
          <w:szCs w:val="20"/>
          <w:lang w:val="es-ES"/>
        </w:rPr>
      </w:pPr>
      <w:r w:rsidRPr="007E4AA8">
        <w:rPr>
          <w:rFonts w:ascii="Cambria" w:hAnsi="Cambria"/>
          <w:sz w:val="20"/>
          <w:szCs w:val="20"/>
          <w:lang w:val="es-ES"/>
        </w:rPr>
        <w:lastRenderedPageBreak/>
        <w:t>En relación con la legalidad de la detención, la Comisión observa que conforme con el artículo 12 de la Constitución de Paraguay, la detención debe realizarse mediante orden escrita de la autoridad competente, salvo en casos de flagrancia que merecen pena corporal. Asimismo, conforme a dicha norma, la persona detenida debe ser puesta a disposición del juez competente en un plazo no mayor a 24 horas</w:t>
      </w:r>
      <w:r w:rsidRPr="007E4AA8">
        <w:rPr>
          <w:rStyle w:val="FootnoteReference"/>
          <w:rFonts w:ascii="Cambria" w:hAnsi="Cambria"/>
          <w:sz w:val="20"/>
          <w:szCs w:val="20"/>
          <w:lang w:val="es-ES"/>
        </w:rPr>
        <w:footnoteReference w:id="85"/>
      </w:r>
      <w:r w:rsidRPr="007E4AA8">
        <w:rPr>
          <w:rFonts w:ascii="Cambria" w:hAnsi="Cambria"/>
          <w:sz w:val="20"/>
          <w:szCs w:val="20"/>
          <w:lang w:val="es-ES"/>
        </w:rPr>
        <w:t xml:space="preserve">.  La Comisión observa que el Estado no ha acreditado que existiera una orden emitida por un juez, o bien, que existiera flagrancia de parte de la presunta víctima.  </w:t>
      </w:r>
      <w:r w:rsidR="00373F5F" w:rsidRPr="007E4AA8">
        <w:rPr>
          <w:rFonts w:ascii="Cambria" w:hAnsi="Cambria"/>
          <w:sz w:val="20"/>
          <w:szCs w:val="20"/>
          <w:lang w:val="es-ES"/>
        </w:rPr>
        <w:t>Asimismo, el Estado no ofreció alguna otra normativa o información que permita identificar que las circunstancias en que se realizó la detención fueron ajustadas a la ley.</w:t>
      </w:r>
    </w:p>
    <w:p w14:paraId="3A7CCEA4" w14:textId="77777777" w:rsidR="00A65C92" w:rsidRPr="007E4AA8" w:rsidRDefault="00A65C92" w:rsidP="005C5A98">
      <w:pPr>
        <w:pStyle w:val="ListParagraph"/>
        <w:rPr>
          <w:rFonts w:ascii="Cambria" w:hAnsi="Cambria"/>
          <w:color w:val="auto"/>
        </w:rPr>
      </w:pPr>
    </w:p>
    <w:p w14:paraId="6110370D" w14:textId="77777777" w:rsidR="00405AE2" w:rsidRPr="007E4AA8" w:rsidRDefault="00373F5F" w:rsidP="00405AE2">
      <w:pPr>
        <w:numPr>
          <w:ilvl w:val="0"/>
          <w:numId w:val="55"/>
        </w:numPr>
        <w:tabs>
          <w:tab w:val="left" w:pos="360"/>
        </w:tabs>
        <w:ind w:left="0" w:firstLine="0"/>
        <w:jc w:val="both"/>
        <w:rPr>
          <w:rFonts w:ascii="Cambria" w:hAnsi="Cambria"/>
          <w:lang w:val="es-ES"/>
        </w:rPr>
      </w:pPr>
      <w:r w:rsidRPr="007E4AA8">
        <w:rPr>
          <w:rFonts w:ascii="Cambria" w:hAnsi="Cambria"/>
          <w:sz w:val="20"/>
          <w:szCs w:val="20"/>
          <w:lang w:val="es-ES"/>
        </w:rPr>
        <w:t>E</w:t>
      </w:r>
      <w:r w:rsidR="00A65C92" w:rsidRPr="007E4AA8">
        <w:rPr>
          <w:rFonts w:ascii="Cambria" w:hAnsi="Cambria"/>
          <w:sz w:val="20"/>
          <w:szCs w:val="20"/>
          <w:lang w:val="es-ES"/>
        </w:rPr>
        <w:t xml:space="preserve">n lo que se refiere a que le hubiesen informado los motivos de su detención, la </w:t>
      </w:r>
      <w:r w:rsidR="0026118A" w:rsidRPr="007E4AA8">
        <w:rPr>
          <w:rFonts w:ascii="Cambria" w:hAnsi="Cambria"/>
          <w:sz w:val="20"/>
          <w:szCs w:val="20"/>
          <w:lang w:val="es-ES"/>
        </w:rPr>
        <w:t>Comisión</w:t>
      </w:r>
      <w:r w:rsidR="00A65C92" w:rsidRPr="007E4AA8">
        <w:rPr>
          <w:rFonts w:ascii="Cambria" w:hAnsi="Cambria"/>
          <w:sz w:val="20"/>
          <w:szCs w:val="20"/>
          <w:lang w:val="es-ES"/>
        </w:rPr>
        <w:t xml:space="preserve"> nota que, según el escrito de acusación fiscal, </w:t>
      </w:r>
      <w:r w:rsidR="0026118A" w:rsidRPr="007E4AA8">
        <w:rPr>
          <w:rFonts w:ascii="Cambria" w:hAnsi="Cambria"/>
          <w:sz w:val="20"/>
          <w:szCs w:val="20"/>
          <w:lang w:val="es-ES"/>
        </w:rPr>
        <w:t xml:space="preserve">tras ser detenido, </w:t>
      </w:r>
      <w:r w:rsidR="00A65C92" w:rsidRPr="007E4AA8">
        <w:rPr>
          <w:rFonts w:ascii="Cambria" w:hAnsi="Cambria"/>
          <w:sz w:val="20"/>
          <w:szCs w:val="20"/>
          <w:lang w:val="es-ES"/>
        </w:rPr>
        <w:t>el Comisario habría referido que tuvo participación “en una intentona de Golpe”.</w:t>
      </w:r>
      <w:r w:rsidR="0026118A" w:rsidRPr="007E4AA8">
        <w:rPr>
          <w:rFonts w:ascii="Cambria" w:hAnsi="Cambria"/>
          <w:sz w:val="20"/>
          <w:szCs w:val="20"/>
          <w:lang w:val="es-ES"/>
        </w:rPr>
        <w:t xml:space="preserve"> Si bien la Comisión no cuenta con información precisa sobre la manera en la cual se indicó dicha referencia, </w:t>
      </w:r>
      <w:r w:rsidR="00B64D9C" w:rsidRPr="007E4AA8">
        <w:rPr>
          <w:rFonts w:ascii="Cambria" w:hAnsi="Cambria"/>
          <w:sz w:val="20"/>
          <w:szCs w:val="20"/>
          <w:lang w:val="es-ES"/>
        </w:rPr>
        <w:t>conforme ha sido desarrollada esta salvaguarda para la libertad personal, la información que debe recibir la persona detenida debe indicar de forma clara cuales son “los hechos y bases jurídicas esenciales en los que se basa la detención”</w:t>
      </w:r>
      <w:r w:rsidR="00B64D9C" w:rsidRPr="007E4AA8">
        <w:rPr>
          <w:rStyle w:val="FootnoteReference"/>
          <w:rFonts w:ascii="Cambria" w:hAnsi="Cambria"/>
          <w:sz w:val="20"/>
          <w:szCs w:val="20"/>
          <w:lang w:val="es-ES"/>
        </w:rPr>
        <w:footnoteReference w:id="86"/>
      </w:r>
      <w:r w:rsidR="00B64D9C" w:rsidRPr="007E4AA8">
        <w:rPr>
          <w:rFonts w:ascii="Cambria" w:hAnsi="Cambria"/>
          <w:sz w:val="20"/>
          <w:szCs w:val="20"/>
          <w:lang w:val="es-ES"/>
        </w:rPr>
        <w:t>.  Lo anterior, resulta esencial a efectos de que la persona detenida pueda controvertir la legalidad de su detención, de tal forma que el Estado es quien tiene la carga de probar que efectivamente cumplió con tal obligación</w:t>
      </w:r>
      <w:r w:rsidR="00B64D9C" w:rsidRPr="007E4AA8">
        <w:rPr>
          <w:rStyle w:val="FootnoteReference"/>
          <w:rFonts w:ascii="Cambria" w:hAnsi="Cambria"/>
          <w:sz w:val="20"/>
          <w:szCs w:val="20"/>
          <w:lang w:val="es-ES"/>
        </w:rPr>
        <w:footnoteReference w:id="87"/>
      </w:r>
      <w:r w:rsidR="00B64D9C" w:rsidRPr="007E4AA8">
        <w:rPr>
          <w:rFonts w:ascii="Cambria" w:hAnsi="Cambria"/>
          <w:sz w:val="20"/>
          <w:szCs w:val="20"/>
          <w:lang w:val="es-ES"/>
        </w:rPr>
        <w:t>.</w:t>
      </w:r>
      <w:r w:rsidRPr="007E4AA8">
        <w:rPr>
          <w:rFonts w:ascii="Cambria" w:hAnsi="Cambria"/>
          <w:sz w:val="20"/>
          <w:szCs w:val="20"/>
          <w:lang w:val="es-ES"/>
        </w:rPr>
        <w:t xml:space="preserve"> De acuerdo con lo anterior, la Comisión observa que en el expediente no cuenta con documento alguno o prueba que acredite que se observó esta garantía.</w:t>
      </w:r>
    </w:p>
    <w:p w14:paraId="461CE6E2" w14:textId="77777777" w:rsidR="00B64D9C" w:rsidRPr="007E4AA8" w:rsidRDefault="00B64D9C" w:rsidP="005C5A98">
      <w:pPr>
        <w:tabs>
          <w:tab w:val="left" w:pos="360"/>
        </w:tabs>
        <w:jc w:val="both"/>
        <w:rPr>
          <w:rFonts w:ascii="Cambria" w:hAnsi="Cambria"/>
          <w:lang w:val="es-ES"/>
        </w:rPr>
      </w:pPr>
    </w:p>
    <w:p w14:paraId="5DD23AED" w14:textId="77777777" w:rsidR="00C911D4" w:rsidRPr="007E4AA8" w:rsidRDefault="00B64D9C" w:rsidP="00EB5E67">
      <w:pPr>
        <w:pStyle w:val="parrafos"/>
        <w:suppressAutoHyphens/>
        <w:ind w:left="0" w:firstLine="0"/>
        <w:rPr>
          <w:color w:val="auto"/>
          <w:lang w:val="es-ES"/>
        </w:rPr>
      </w:pPr>
      <w:r w:rsidRPr="007E4AA8">
        <w:rPr>
          <w:rFonts w:ascii="Cambria" w:hAnsi="Cambria"/>
          <w:color w:val="auto"/>
          <w:lang w:val="es-ES"/>
        </w:rPr>
        <w:t>Finalmente</w:t>
      </w:r>
      <w:r w:rsidR="00373F5F" w:rsidRPr="007E4AA8">
        <w:rPr>
          <w:rFonts w:ascii="Cambria" w:hAnsi="Cambria"/>
          <w:color w:val="auto"/>
          <w:lang w:val="es-ES"/>
        </w:rPr>
        <w:t>, respecto</w:t>
      </w:r>
      <w:r w:rsidRPr="007E4AA8">
        <w:rPr>
          <w:rFonts w:ascii="Cambria" w:hAnsi="Cambria"/>
          <w:color w:val="auto"/>
          <w:lang w:val="es-ES"/>
        </w:rPr>
        <w:t xml:space="preserve"> al control judicial de la detención, la Comisión observa que no cuenta con información específica aportada por el Estado </w:t>
      </w:r>
      <w:r w:rsidR="00373F5F" w:rsidRPr="007E4AA8">
        <w:rPr>
          <w:rFonts w:ascii="Cambria" w:hAnsi="Cambria"/>
          <w:color w:val="auto"/>
          <w:lang w:val="es-ES"/>
        </w:rPr>
        <w:t>sobre</w:t>
      </w:r>
      <w:r w:rsidRPr="007E4AA8">
        <w:rPr>
          <w:rFonts w:ascii="Cambria" w:hAnsi="Cambria"/>
          <w:color w:val="auto"/>
          <w:lang w:val="es-ES"/>
        </w:rPr>
        <w:t xml:space="preserve"> la fecha en que </w:t>
      </w:r>
      <w:r w:rsidR="003F3C61" w:rsidRPr="007E4AA8">
        <w:rPr>
          <w:rFonts w:ascii="Cambria" w:hAnsi="Cambria"/>
          <w:color w:val="auto"/>
          <w:lang w:val="es-ES"/>
        </w:rPr>
        <w:t xml:space="preserve">Jorge López compareció por primera vez ante un juez. El señor López alegó que </w:t>
      </w:r>
      <w:r w:rsidR="003F3C61" w:rsidRPr="007E4AA8">
        <w:rPr>
          <w:color w:val="auto"/>
          <w:lang w:val="es-ES"/>
        </w:rPr>
        <w:t xml:space="preserve">no fue revisado por personal médico sino hasta aproximadamente quince días después de su detención, y que, con posterioridad a ello, fue visitado por una comitiva judicial compuesta por un juez, un médico forense y otras personas. De la prueba obrante en el caso, consta que el señor López quedó bajo disposición de la policía el 19 de mayo de 2000. </w:t>
      </w:r>
      <w:r w:rsidR="00C911D4" w:rsidRPr="007E4AA8">
        <w:rPr>
          <w:color w:val="auto"/>
          <w:lang w:val="es-ES"/>
        </w:rPr>
        <w:t xml:space="preserve">Consta que, </w:t>
      </w:r>
      <w:r w:rsidR="00D77238" w:rsidRPr="007E4AA8">
        <w:rPr>
          <w:color w:val="auto"/>
          <w:lang w:val="es-ES"/>
        </w:rPr>
        <w:t>el</w:t>
      </w:r>
      <w:r w:rsidR="00C911D4" w:rsidRPr="007E4AA8">
        <w:rPr>
          <w:color w:val="auto"/>
          <w:lang w:val="es-ES"/>
        </w:rPr>
        <w:t xml:space="preserve"> 26 de mayo de 2000 la Corte Suprema dispuso que, dentro de las siguientes 48 horas, los jueces de primera instancia de toda la República visitaran los lugares donde se encontraran personas indiciadas en el marco del estado de excepción a fin de garantizar la libre comunicación, verificar la detención y disponer revisiones médicas pertinentes. </w:t>
      </w:r>
      <w:r w:rsidR="0017579A" w:rsidRPr="007E4AA8">
        <w:rPr>
          <w:color w:val="auto"/>
          <w:lang w:val="es-ES"/>
        </w:rPr>
        <w:t>En este sentido, c</w:t>
      </w:r>
      <w:r w:rsidR="00A818F5" w:rsidRPr="007E4AA8">
        <w:rPr>
          <w:color w:val="auto"/>
          <w:lang w:val="es-ES"/>
        </w:rPr>
        <w:t>onforme a la declaración del testigo Juan Carlos Paredes, el 27 de mayo, por disposición de la presidencia de la Corte Suprema, se conv</w:t>
      </w:r>
      <w:r w:rsidR="0004537B" w:rsidRPr="007E4AA8">
        <w:rPr>
          <w:color w:val="auto"/>
          <w:lang w:val="es-ES"/>
        </w:rPr>
        <w:t>ocó</w:t>
      </w:r>
      <w:r w:rsidR="00A818F5" w:rsidRPr="007E4AA8">
        <w:rPr>
          <w:color w:val="auto"/>
          <w:lang w:val="es-ES"/>
        </w:rPr>
        <w:t xml:space="preserve"> a varios jueces de primera instancia, y se les encomendó ir a lugares donde estaban recluidas personas en virtud del estado de excepción. El señor Paredes refirió que asistió con </w:t>
      </w:r>
      <w:r w:rsidR="00902BB8" w:rsidRPr="007E4AA8">
        <w:rPr>
          <w:color w:val="auto"/>
          <w:lang w:val="es-ES"/>
        </w:rPr>
        <w:t>otros funcionarios</w:t>
      </w:r>
      <w:r w:rsidR="00A818F5" w:rsidRPr="007E4AA8">
        <w:rPr>
          <w:color w:val="auto"/>
          <w:lang w:val="es-ES"/>
        </w:rPr>
        <w:t xml:space="preserve"> de la jurisdicción civil a visitar la Agrupación Especializada, y que el señor López les dijo que fue objeto de malos tratos en la comisaria 11. </w:t>
      </w:r>
      <w:r w:rsidR="008D54C3" w:rsidRPr="007E4AA8">
        <w:rPr>
          <w:color w:val="auto"/>
          <w:lang w:val="es-ES"/>
        </w:rPr>
        <w:t>Asimismo</w:t>
      </w:r>
      <w:r w:rsidR="00EB5E67" w:rsidRPr="007E4AA8">
        <w:rPr>
          <w:color w:val="auto"/>
          <w:lang w:val="es-ES"/>
        </w:rPr>
        <w:t>, c</w:t>
      </w:r>
      <w:r w:rsidR="00C911D4" w:rsidRPr="007E4AA8">
        <w:rPr>
          <w:color w:val="auto"/>
          <w:lang w:val="es-ES"/>
        </w:rPr>
        <w:t>onsta que</w:t>
      </w:r>
      <w:r w:rsidR="008D54C3" w:rsidRPr="007E4AA8">
        <w:rPr>
          <w:color w:val="auto"/>
          <w:lang w:val="es-ES"/>
        </w:rPr>
        <w:t>,</w:t>
      </w:r>
      <w:r w:rsidR="00C911D4" w:rsidRPr="007E4AA8">
        <w:rPr>
          <w:color w:val="auto"/>
          <w:lang w:val="es-ES"/>
        </w:rPr>
        <w:t xml:space="preserve"> el 7 de junio de 2000, el Juzgado de Instrucción del Cuarto Turno se constituyó en la sede de la Agrupación Especializada a efectos de tomar declaración indagatoria al señor López</w:t>
      </w:r>
    </w:p>
    <w:p w14:paraId="652B733B" w14:textId="77777777" w:rsidR="00A818F5" w:rsidRPr="007E4AA8" w:rsidRDefault="00A818F5" w:rsidP="00A818F5">
      <w:pPr>
        <w:pStyle w:val="parrafos"/>
        <w:numPr>
          <w:ilvl w:val="0"/>
          <w:numId w:val="0"/>
        </w:numPr>
        <w:suppressAutoHyphens/>
        <w:rPr>
          <w:color w:val="auto"/>
          <w:lang w:val="es-ES"/>
        </w:rPr>
      </w:pPr>
      <w:r w:rsidRPr="007E4AA8">
        <w:rPr>
          <w:color w:val="auto"/>
          <w:lang w:val="es-ES"/>
        </w:rPr>
        <w:t xml:space="preserve"> </w:t>
      </w:r>
    </w:p>
    <w:p w14:paraId="4EF0962B" w14:textId="77777777" w:rsidR="003F3C61" w:rsidRPr="007E4AA8" w:rsidRDefault="00B64D9C" w:rsidP="00B25386">
      <w:pPr>
        <w:pStyle w:val="parrafos"/>
        <w:suppressAutoHyphens/>
        <w:ind w:left="0" w:firstLine="0"/>
        <w:rPr>
          <w:rFonts w:ascii="Cambria" w:hAnsi="Cambria"/>
          <w:color w:val="auto"/>
          <w:lang w:val="es-ES"/>
        </w:rPr>
      </w:pPr>
      <w:r w:rsidRPr="007E4AA8">
        <w:rPr>
          <w:color w:val="auto"/>
          <w:lang w:val="es-ES"/>
        </w:rPr>
        <w:t>Con base en el análisis de tal información la Comisión nota</w:t>
      </w:r>
      <w:r w:rsidRPr="007E4AA8">
        <w:rPr>
          <w:rFonts w:ascii="Cambria" w:hAnsi="Cambria"/>
          <w:color w:val="auto"/>
          <w:lang w:val="es-ES"/>
        </w:rPr>
        <w:t xml:space="preserve"> </w:t>
      </w:r>
      <w:r w:rsidR="003F3C61" w:rsidRPr="007E4AA8">
        <w:rPr>
          <w:rFonts w:ascii="Cambria" w:hAnsi="Cambria"/>
          <w:color w:val="auto"/>
          <w:lang w:val="es-ES"/>
        </w:rPr>
        <w:t>que el Estado no acredit</w:t>
      </w:r>
      <w:r w:rsidRPr="007E4AA8">
        <w:rPr>
          <w:rFonts w:ascii="Cambria" w:hAnsi="Cambria"/>
          <w:color w:val="auto"/>
          <w:lang w:val="es-ES"/>
        </w:rPr>
        <w:t>ó</w:t>
      </w:r>
      <w:r w:rsidR="003F3C61" w:rsidRPr="007E4AA8">
        <w:rPr>
          <w:rFonts w:ascii="Cambria" w:hAnsi="Cambria"/>
          <w:color w:val="auto"/>
          <w:lang w:val="es-ES"/>
        </w:rPr>
        <w:t xml:space="preserve"> que </w:t>
      </w:r>
      <w:r w:rsidR="003F3C61" w:rsidRPr="007E4AA8">
        <w:rPr>
          <w:color w:val="auto"/>
          <w:lang w:val="es-ES"/>
        </w:rPr>
        <w:t>el señor López</w:t>
      </w:r>
      <w:r w:rsidR="003F3C61" w:rsidRPr="007E4AA8">
        <w:rPr>
          <w:rFonts w:ascii="Cambria" w:hAnsi="Cambria"/>
          <w:color w:val="auto"/>
          <w:lang w:val="es-ES"/>
        </w:rPr>
        <w:t xml:space="preserve">, luego de su detención, haya sido puesto de manera inmediata ante una autoridad judicial. </w:t>
      </w:r>
      <w:r w:rsidR="00F7489D" w:rsidRPr="007E4AA8">
        <w:rPr>
          <w:color w:val="auto"/>
          <w:lang w:val="es-ES"/>
        </w:rPr>
        <w:t xml:space="preserve">En este sentido, </w:t>
      </w:r>
      <w:r w:rsidRPr="007E4AA8">
        <w:rPr>
          <w:rFonts w:ascii="Cambria" w:hAnsi="Cambria" w:cs="TimesNewRoman"/>
          <w:color w:val="auto"/>
          <w:lang w:val="es-ES" w:eastAsia="es-ES_tradnl"/>
        </w:rPr>
        <w:t xml:space="preserve">de acuerdo </w:t>
      </w:r>
      <w:r w:rsidR="009574D8" w:rsidRPr="007E4AA8">
        <w:rPr>
          <w:rFonts w:ascii="Cambria" w:hAnsi="Cambria" w:cs="TimesNewRoman"/>
          <w:color w:val="auto"/>
          <w:lang w:val="es-ES" w:eastAsia="es-ES_tradnl"/>
        </w:rPr>
        <w:t>con</w:t>
      </w:r>
      <w:r w:rsidRPr="007E4AA8">
        <w:rPr>
          <w:rFonts w:ascii="Cambria" w:hAnsi="Cambria" w:cs="TimesNewRoman"/>
          <w:color w:val="auto"/>
          <w:lang w:val="es-ES" w:eastAsia="es-ES_tradnl"/>
        </w:rPr>
        <w:t xml:space="preserve"> la información disponible</w:t>
      </w:r>
      <w:r w:rsidR="00BB6FC2" w:rsidRPr="007E4AA8">
        <w:rPr>
          <w:rFonts w:ascii="Cambria" w:hAnsi="Cambria" w:cs="TimesNewRoman"/>
          <w:color w:val="auto"/>
          <w:lang w:val="es-ES" w:eastAsia="es-ES_tradnl"/>
        </w:rPr>
        <w:t xml:space="preserve"> y lo alegado por la parte peticionaria</w:t>
      </w:r>
      <w:r w:rsidR="00373F5F" w:rsidRPr="007E4AA8">
        <w:rPr>
          <w:rFonts w:ascii="Cambria" w:hAnsi="Cambria"/>
          <w:color w:val="auto"/>
          <w:lang w:val="es-ES"/>
        </w:rPr>
        <w:t>,</w:t>
      </w:r>
      <w:r w:rsidR="003F3C61" w:rsidRPr="007E4AA8">
        <w:rPr>
          <w:rFonts w:ascii="Cambria" w:hAnsi="Cambria"/>
          <w:color w:val="auto"/>
          <w:lang w:val="es-ES"/>
        </w:rPr>
        <w:t xml:space="preserve"> transcurri</w:t>
      </w:r>
      <w:r w:rsidR="00EA780F" w:rsidRPr="007E4AA8">
        <w:rPr>
          <w:rFonts w:ascii="Cambria" w:hAnsi="Cambria"/>
          <w:color w:val="auto"/>
          <w:lang w:val="es-ES"/>
        </w:rPr>
        <w:t>ó</w:t>
      </w:r>
      <w:r w:rsidR="003F3C61" w:rsidRPr="007E4AA8">
        <w:rPr>
          <w:rFonts w:ascii="Cambria" w:hAnsi="Cambria"/>
          <w:color w:val="auto"/>
          <w:lang w:val="es-ES"/>
        </w:rPr>
        <w:t xml:space="preserve"> al menos </w:t>
      </w:r>
      <w:r w:rsidR="00EA780F" w:rsidRPr="007E4AA8">
        <w:rPr>
          <w:rFonts w:ascii="Cambria" w:hAnsi="Cambria"/>
          <w:color w:val="auto"/>
          <w:lang w:val="es-ES"/>
        </w:rPr>
        <w:t>una</w:t>
      </w:r>
      <w:r w:rsidR="003F3C61" w:rsidRPr="007E4AA8">
        <w:rPr>
          <w:rFonts w:ascii="Cambria" w:hAnsi="Cambria"/>
          <w:color w:val="auto"/>
          <w:lang w:val="es-ES"/>
        </w:rPr>
        <w:t xml:space="preserve"> semana antes de que hubiese tenido acceso a una autoridad judicial, lo que fortalece la posición de que el Estado no cumplió con esta garantía.</w:t>
      </w:r>
    </w:p>
    <w:p w14:paraId="7EBDD37F" w14:textId="77777777" w:rsidR="003F3C61" w:rsidRPr="007E4AA8" w:rsidRDefault="003F3C61" w:rsidP="003F3C61">
      <w:pPr>
        <w:tabs>
          <w:tab w:val="num" w:pos="1429"/>
        </w:tabs>
        <w:suppressAutoHyphens/>
        <w:jc w:val="both"/>
        <w:rPr>
          <w:rFonts w:ascii="Cambria" w:hAnsi="Cambria"/>
          <w:sz w:val="20"/>
          <w:szCs w:val="20"/>
          <w:lang w:val="es-ES"/>
        </w:rPr>
      </w:pPr>
    </w:p>
    <w:p w14:paraId="5367B435" w14:textId="77777777" w:rsidR="003F3C61" w:rsidRPr="007E4AA8" w:rsidRDefault="003F3C61" w:rsidP="003F3C61">
      <w:pPr>
        <w:pStyle w:val="parrafos"/>
        <w:ind w:left="0" w:firstLine="0"/>
        <w:rPr>
          <w:rFonts w:ascii="Cambria" w:hAnsi="Cambria"/>
          <w:color w:val="auto"/>
          <w:lang w:val="es-ES"/>
        </w:rPr>
      </w:pPr>
      <w:r w:rsidRPr="007E4AA8">
        <w:rPr>
          <w:rFonts w:ascii="Cambria" w:hAnsi="Cambria"/>
          <w:color w:val="auto"/>
          <w:lang w:val="es-ES"/>
        </w:rPr>
        <w:lastRenderedPageBreak/>
        <w:t>En virtud de las anteriores consideraciones, la Comisión concluye que el Estado violó los derechos establecidos en los artículos 7.1</w:t>
      </w:r>
      <w:r w:rsidR="0094699B" w:rsidRPr="007E4AA8">
        <w:rPr>
          <w:rFonts w:ascii="Cambria" w:hAnsi="Cambria"/>
          <w:color w:val="auto"/>
          <w:lang w:val="es-ES"/>
        </w:rPr>
        <w:t>, 7,2, 7.4</w:t>
      </w:r>
      <w:r w:rsidRPr="007E4AA8">
        <w:rPr>
          <w:rFonts w:ascii="Cambria" w:hAnsi="Cambria"/>
          <w:color w:val="auto"/>
          <w:lang w:val="es-ES"/>
        </w:rPr>
        <w:t xml:space="preserve"> y 7.5 de la Convención Americana en relación con la obligaci</w:t>
      </w:r>
      <w:r w:rsidR="0094699B" w:rsidRPr="007E4AA8">
        <w:rPr>
          <w:rFonts w:ascii="Cambria" w:hAnsi="Cambria"/>
          <w:color w:val="auto"/>
          <w:lang w:val="es-ES"/>
        </w:rPr>
        <w:t xml:space="preserve">ón de respeto </w:t>
      </w:r>
      <w:r w:rsidRPr="007E4AA8">
        <w:rPr>
          <w:rFonts w:ascii="Cambria" w:hAnsi="Cambria"/>
          <w:color w:val="auto"/>
          <w:lang w:val="es-ES"/>
        </w:rPr>
        <w:t>establecida</w:t>
      </w:r>
      <w:r w:rsidR="00512DE0" w:rsidRPr="007E4AA8">
        <w:rPr>
          <w:rFonts w:ascii="Cambria" w:hAnsi="Cambria"/>
          <w:color w:val="auto"/>
          <w:lang w:val="es-ES"/>
        </w:rPr>
        <w:t xml:space="preserve"> </w:t>
      </w:r>
      <w:r w:rsidRPr="007E4AA8">
        <w:rPr>
          <w:rFonts w:ascii="Cambria" w:hAnsi="Cambria"/>
          <w:color w:val="auto"/>
          <w:lang w:val="es-ES"/>
        </w:rPr>
        <w:t xml:space="preserve">en el artículo 1.1 de la misma, en perjuicio de </w:t>
      </w:r>
      <w:r w:rsidRPr="007E4AA8">
        <w:rPr>
          <w:color w:val="auto"/>
          <w:lang w:val="es-ES"/>
        </w:rPr>
        <w:t>Jorge López Sosa</w:t>
      </w:r>
      <w:r w:rsidRPr="007E4AA8">
        <w:rPr>
          <w:rFonts w:ascii="Cambria" w:hAnsi="Cambria"/>
          <w:color w:val="auto"/>
          <w:lang w:val="es-ES"/>
        </w:rPr>
        <w:t>.</w:t>
      </w:r>
    </w:p>
    <w:p w14:paraId="4C7945DF" w14:textId="77777777" w:rsidR="003F3C61" w:rsidRPr="007E4AA8" w:rsidRDefault="003F3C61" w:rsidP="000D49A8">
      <w:pPr>
        <w:rPr>
          <w:lang w:val="es-ES"/>
        </w:rPr>
      </w:pPr>
    </w:p>
    <w:p w14:paraId="637A5613" w14:textId="77777777" w:rsidR="000D49A8" w:rsidRPr="007E4AA8" w:rsidRDefault="000D49A8" w:rsidP="00484FDC">
      <w:pPr>
        <w:pStyle w:val="Heading3"/>
        <w:numPr>
          <w:ilvl w:val="0"/>
          <w:numId w:val="56"/>
        </w:numPr>
        <w:tabs>
          <w:tab w:val="left" w:pos="360"/>
        </w:tabs>
        <w:rPr>
          <w:lang w:val="es-ES"/>
        </w:rPr>
      </w:pPr>
      <w:bookmarkStart w:id="11" w:name="_Toc60669572"/>
      <w:r w:rsidRPr="007E4AA8">
        <w:rPr>
          <w:lang w:val="es-ES"/>
        </w:rPr>
        <w:t>Integridad personal</w:t>
      </w:r>
      <w:bookmarkEnd w:id="11"/>
      <w:r w:rsidRPr="007E4AA8">
        <w:rPr>
          <w:lang w:val="es-ES"/>
        </w:rPr>
        <w:t xml:space="preserve"> </w:t>
      </w:r>
    </w:p>
    <w:p w14:paraId="6744FD7A" w14:textId="77777777" w:rsidR="000D49A8" w:rsidRPr="007E4AA8" w:rsidRDefault="000D49A8" w:rsidP="000D49A8">
      <w:pPr>
        <w:pStyle w:val="parrafos"/>
        <w:numPr>
          <w:ilvl w:val="0"/>
          <w:numId w:val="0"/>
        </w:numPr>
        <w:rPr>
          <w:rFonts w:ascii="Cambria" w:hAnsi="Cambria"/>
          <w:color w:val="auto"/>
          <w:lang w:val="es-ES"/>
        </w:rPr>
      </w:pPr>
    </w:p>
    <w:p w14:paraId="5CBD24B5" w14:textId="77777777" w:rsidR="000D49A8" w:rsidRPr="007E4AA8" w:rsidRDefault="000D49A8" w:rsidP="000D49A8">
      <w:pPr>
        <w:pStyle w:val="parrafos"/>
        <w:ind w:left="0" w:firstLine="0"/>
        <w:rPr>
          <w:rFonts w:ascii="Cambria" w:hAnsi="Cambria"/>
          <w:color w:val="auto"/>
          <w:lang w:val="es-ES"/>
        </w:rPr>
      </w:pPr>
      <w:r w:rsidRPr="007E4AA8">
        <w:rPr>
          <w:rFonts w:ascii="Cambria" w:hAnsi="Cambria"/>
          <w:color w:val="auto"/>
          <w:lang w:val="es-ES"/>
        </w:rPr>
        <w:t>La Convención Americana prohíbe la imposición de la tortura o de un trato o castigo cruel, inhumano o degradante contra las personas en cualquier circunstancia.</w:t>
      </w:r>
      <w:r w:rsidRPr="007E4AA8">
        <w:rPr>
          <w:rFonts w:ascii="Cambria" w:hAnsi="Cambria"/>
          <w:color w:val="auto"/>
          <w:vertAlign w:val="superscript"/>
          <w:lang w:val="es-ES"/>
        </w:rPr>
        <w:t xml:space="preserve"> </w:t>
      </w:r>
      <w:r w:rsidRPr="007E4AA8">
        <w:rPr>
          <w:rFonts w:ascii="Cambria" w:hAnsi="Cambria"/>
          <w:color w:val="auto"/>
          <w:lang w:val="es-ES"/>
        </w:rPr>
        <w:t xml:space="preserve">La Comisión ha indicado que "un aspecto esencial del derecho a la seguridad personal es la absoluta prohibición de la tortura, norma perentoria del derecho internacional que crea obligaciones </w:t>
      </w:r>
      <w:r w:rsidRPr="007E4AA8">
        <w:rPr>
          <w:rFonts w:ascii="Cambria" w:hAnsi="Cambria"/>
          <w:i/>
          <w:color w:val="auto"/>
          <w:lang w:val="es-ES"/>
        </w:rPr>
        <w:t>erga omnes</w:t>
      </w:r>
      <w:r w:rsidRPr="007E4AA8">
        <w:rPr>
          <w:rFonts w:ascii="Cambria" w:hAnsi="Cambria"/>
          <w:color w:val="auto"/>
          <w:lang w:val="es-ES"/>
        </w:rPr>
        <w:t>"</w:t>
      </w:r>
      <w:r w:rsidRPr="007E4AA8">
        <w:rPr>
          <w:rStyle w:val="FootnoteReference"/>
          <w:rFonts w:ascii="Cambria" w:hAnsi="Cambria"/>
          <w:color w:val="auto"/>
          <w:lang w:val="es-ES"/>
        </w:rPr>
        <w:footnoteReference w:id="88"/>
      </w:r>
      <w:r w:rsidRPr="007E4AA8">
        <w:rPr>
          <w:rFonts w:ascii="Cambria" w:hAnsi="Cambria"/>
          <w:color w:val="auto"/>
          <w:lang w:val="es-ES"/>
        </w:rPr>
        <w:t xml:space="preserve">. </w:t>
      </w:r>
      <w:r w:rsidRPr="007E4AA8">
        <w:rPr>
          <w:rFonts w:ascii="Cambria" w:hAnsi="Cambria" w:cs="Arial"/>
          <w:color w:val="auto"/>
          <w:lang w:val="es-ES"/>
        </w:rPr>
        <w:t xml:space="preserve">Por su parte, la Corte ha señalado reiteradamente que </w:t>
      </w:r>
      <w:r w:rsidRPr="007E4AA8">
        <w:rPr>
          <w:rFonts w:ascii="Cambria" w:hAnsi="Cambria"/>
          <w:color w:val="auto"/>
          <w:lang w:val="es-ES"/>
        </w:rPr>
        <w:t xml:space="preserve">"la tortura y las penas o tratos crueles, inhumanos o degradantes están estrictamente prohibidos por el Derecho Internacional de los Derechos Humanos. La prohibición absoluta de la tortura, tanto física como psicológica, pertenece hoy día al dominio del </w:t>
      </w:r>
      <w:r w:rsidRPr="007E4AA8">
        <w:rPr>
          <w:rFonts w:ascii="Cambria" w:hAnsi="Cambria"/>
          <w:i/>
          <w:color w:val="auto"/>
          <w:lang w:val="es-ES"/>
        </w:rPr>
        <w:t xml:space="preserve">jus cogens </w:t>
      </w:r>
      <w:r w:rsidRPr="007E4AA8">
        <w:rPr>
          <w:rFonts w:ascii="Cambria" w:hAnsi="Cambria" w:cs="Arial"/>
          <w:color w:val="auto"/>
          <w:lang w:val="es-ES"/>
        </w:rPr>
        <w:t>internacional</w:t>
      </w:r>
      <w:r w:rsidRPr="007E4AA8">
        <w:rPr>
          <w:rFonts w:ascii="Cambria" w:hAnsi="Cambria"/>
          <w:color w:val="auto"/>
          <w:lang w:val="es-ES"/>
        </w:rPr>
        <w:t>"</w:t>
      </w:r>
      <w:r w:rsidRPr="007E4AA8">
        <w:rPr>
          <w:rStyle w:val="FootnoteReference"/>
          <w:rFonts w:ascii="Cambria" w:hAnsi="Cambria"/>
          <w:color w:val="auto"/>
          <w:lang w:val="es-ES"/>
        </w:rPr>
        <w:footnoteReference w:id="89"/>
      </w:r>
      <w:r w:rsidRPr="007E4AA8">
        <w:rPr>
          <w:rFonts w:ascii="Cambria" w:hAnsi="Cambria"/>
          <w:color w:val="auto"/>
          <w:lang w:val="es-ES"/>
        </w:rPr>
        <w:t xml:space="preserve">. </w:t>
      </w:r>
    </w:p>
    <w:p w14:paraId="5F362977" w14:textId="77777777" w:rsidR="00A96104" w:rsidRPr="007E4AA8" w:rsidRDefault="00A96104" w:rsidP="002D19B3">
      <w:pPr>
        <w:pStyle w:val="parrafos"/>
        <w:numPr>
          <w:ilvl w:val="0"/>
          <w:numId w:val="0"/>
        </w:numPr>
        <w:rPr>
          <w:rFonts w:ascii="Cambria" w:hAnsi="Cambria"/>
          <w:color w:val="auto"/>
          <w:lang w:val="es-ES"/>
        </w:rPr>
      </w:pPr>
    </w:p>
    <w:p w14:paraId="3BE1A1C8" w14:textId="77777777" w:rsidR="000D49A8" w:rsidRPr="007E4AA8" w:rsidRDefault="000D49A8" w:rsidP="000D49A8">
      <w:pPr>
        <w:pStyle w:val="parrafos"/>
        <w:ind w:left="0" w:firstLine="0"/>
        <w:rPr>
          <w:rFonts w:ascii="Cambria" w:hAnsi="Cambria"/>
          <w:color w:val="auto"/>
          <w:lang w:val="es-ES"/>
        </w:rPr>
      </w:pPr>
      <w:r w:rsidRPr="007E4AA8">
        <w:rPr>
          <w:rFonts w:ascii="Cambria" w:hAnsi="Cambria"/>
          <w:color w:val="auto"/>
          <w:lang w:val="es-ES"/>
        </w:rPr>
        <w:t>Según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7E4AA8">
        <w:rPr>
          <w:rStyle w:val="FootnoteReference"/>
          <w:rFonts w:ascii="Cambria" w:hAnsi="Cambria"/>
          <w:color w:val="auto"/>
          <w:lang w:val="es-ES"/>
        </w:rPr>
        <w:footnoteReference w:id="90"/>
      </w:r>
      <w:r w:rsidRPr="007E4AA8">
        <w:rPr>
          <w:rFonts w:ascii="Cambria" w:hAnsi="Cambria"/>
          <w:color w:val="auto"/>
          <w:lang w:val="es-ES"/>
        </w:rPr>
        <w:t xml:space="preserve">. </w:t>
      </w:r>
    </w:p>
    <w:p w14:paraId="5A08508B" w14:textId="77777777" w:rsidR="000D49A8" w:rsidRPr="007E4AA8" w:rsidRDefault="000D49A8" w:rsidP="000D49A8">
      <w:pPr>
        <w:tabs>
          <w:tab w:val="num" w:pos="1429"/>
        </w:tabs>
        <w:suppressAutoHyphens/>
        <w:jc w:val="both"/>
        <w:rPr>
          <w:rFonts w:ascii="Cambria" w:hAnsi="Cambria"/>
          <w:sz w:val="20"/>
          <w:szCs w:val="20"/>
          <w:lang w:val="es-ES"/>
        </w:rPr>
      </w:pPr>
    </w:p>
    <w:p w14:paraId="0C06CB00" w14:textId="77777777" w:rsidR="00C05CCF" w:rsidRPr="007E4AA8" w:rsidRDefault="000D49A8" w:rsidP="00B25386">
      <w:pPr>
        <w:pStyle w:val="parrafos"/>
        <w:ind w:left="0" w:firstLine="0"/>
        <w:rPr>
          <w:rFonts w:ascii="Cambria" w:hAnsi="Cambria"/>
          <w:color w:val="auto"/>
          <w:lang w:val="es-ES"/>
        </w:rPr>
      </w:pPr>
      <w:r w:rsidRPr="007E4AA8">
        <w:rPr>
          <w:rFonts w:ascii="Cambria" w:hAnsi="Cambria"/>
          <w:color w:val="auto"/>
          <w:lang w:val="es-ES"/>
        </w:rPr>
        <w:t>La Comisión recuerda que, ante alegatos de tortura, en muchos casos como el presente, la persona generalmente no cuenta con mecanismos para probar los hechos de violencia en su contra</w:t>
      </w:r>
      <w:r w:rsidRPr="007E4AA8">
        <w:rPr>
          <w:rStyle w:val="FootnoteReference"/>
          <w:rFonts w:ascii="Cambria" w:hAnsi="Cambria"/>
          <w:color w:val="auto"/>
          <w:lang w:val="es-ES"/>
        </w:rPr>
        <w:t xml:space="preserve"> </w:t>
      </w:r>
      <w:r w:rsidRPr="007E4AA8">
        <w:rPr>
          <w:rStyle w:val="FootnoteReference"/>
          <w:rFonts w:ascii="Cambria" w:hAnsi="Cambria"/>
          <w:color w:val="auto"/>
          <w:lang w:val="es-ES"/>
        </w:rPr>
        <w:footnoteReference w:id="91"/>
      </w:r>
      <w:r w:rsidRPr="007E4AA8">
        <w:rPr>
          <w:rFonts w:ascii="Cambria" w:hAnsi="Cambria"/>
          <w:color w:val="auto"/>
          <w:lang w:val="es-ES"/>
        </w:rPr>
        <w:t>.</w:t>
      </w:r>
      <w:r w:rsidR="00C05CCF" w:rsidRPr="007E4AA8">
        <w:rPr>
          <w:rFonts w:ascii="Cambria" w:hAnsi="Cambria"/>
          <w:color w:val="auto"/>
          <w:lang w:val="es-ES"/>
        </w:rPr>
        <w:t xml:space="preserve"> En ese sentido, la Corte ha indicado </w:t>
      </w:r>
      <w:r w:rsidR="005212DD" w:rsidRPr="007E4AA8">
        <w:rPr>
          <w:rFonts w:ascii="Cambria" w:hAnsi="Cambria"/>
          <w:color w:val="auto"/>
          <w:lang w:val="es-ES"/>
        </w:rPr>
        <w:t xml:space="preserve">que </w:t>
      </w:r>
    </w:p>
    <w:p w14:paraId="7BA6850E" w14:textId="77777777" w:rsidR="00C05CCF" w:rsidRPr="007E4AA8" w:rsidRDefault="00C05CCF" w:rsidP="005C5A98">
      <w:pPr>
        <w:pStyle w:val="parrafos"/>
        <w:numPr>
          <w:ilvl w:val="0"/>
          <w:numId w:val="0"/>
        </w:numPr>
        <w:rPr>
          <w:rFonts w:ascii="Cambria" w:hAnsi="Cambria"/>
          <w:color w:val="auto"/>
          <w:lang w:val="es-ES"/>
        </w:rPr>
      </w:pPr>
    </w:p>
    <w:p w14:paraId="3E4B63EB" w14:textId="77777777" w:rsidR="005212DD" w:rsidRPr="007E4AA8" w:rsidRDefault="005212DD" w:rsidP="005C5A98">
      <w:pPr>
        <w:pStyle w:val="parrafos"/>
        <w:numPr>
          <w:ilvl w:val="0"/>
          <w:numId w:val="0"/>
        </w:numPr>
        <w:ind w:left="720" w:right="720"/>
        <w:rPr>
          <w:rFonts w:ascii="Cambria" w:hAnsi="Cambria"/>
          <w:color w:val="auto"/>
          <w:sz w:val="18"/>
          <w:szCs w:val="18"/>
          <w:lang w:val="es-ES"/>
        </w:rPr>
      </w:pPr>
      <w:r w:rsidRPr="007E4AA8">
        <w:rPr>
          <w:rFonts w:ascii="Cambria" w:hAnsi="Cambria"/>
          <w:color w:val="auto"/>
          <w:sz w:val="18"/>
          <w:szCs w:val="18"/>
          <w:lang w:val="es-ES"/>
        </w:rPr>
        <w:t>la evidencia obtenida a través de los exámenes médicos tiene un rol crucial durante las investigaciones realizadas contra los detenidos y en los casos cuando estos alegan maltrato. En este sentido, los alegatos de maltratos ocurridos en custodia policial son extremadamente difíciles de sustanciar para la víctima si ésta estuvo aislada del mundo exterior, sin acceso a médicos, abogados, familia o amigos quienes podrán apoyar y reunir la evidencia necesaria. Por tanto, corresponde a las autoridades judiciales el deber de garantizar los derechos del detenido, lo que implica la obtención y el aseguramiento de toda prueba que pueda acreditar los actos de tortura, incluyendo exámenes médicos. Adicionalmente, es importante destacar que en los casos en los que existen alegatos de supuestas torturas o malos tratos, el tiempo transcurrido para la realización de las correspondientes pericias médicas es esencial para determinar fehacientemente la existencia del daño, sobre todo cuando no se cuenta con testigos más allá de los perpetradores y las propias víctimas y, en consecuencia, los elementos de evidencia pueden ser escasos. De ello se desprende que para que una investigación sobre hechos de tortura sea efectiva, la misma deberá ser efectuada con prontitud”</w:t>
      </w:r>
      <w:r w:rsidRPr="007E4AA8">
        <w:rPr>
          <w:rStyle w:val="FootnoteReference"/>
          <w:rFonts w:ascii="Cambria" w:hAnsi="Cambria"/>
          <w:color w:val="auto"/>
          <w:sz w:val="18"/>
          <w:szCs w:val="18"/>
          <w:lang w:val="es-ES"/>
        </w:rPr>
        <w:footnoteReference w:id="92"/>
      </w:r>
      <w:r w:rsidRPr="007E4AA8">
        <w:rPr>
          <w:rFonts w:ascii="Cambria" w:hAnsi="Cambria"/>
          <w:color w:val="auto"/>
          <w:sz w:val="18"/>
          <w:szCs w:val="18"/>
          <w:lang w:val="es-ES"/>
        </w:rPr>
        <w:t>.</w:t>
      </w:r>
    </w:p>
    <w:p w14:paraId="6D4515B2" w14:textId="77777777" w:rsidR="00745721" w:rsidRPr="007E4AA8" w:rsidRDefault="00745721" w:rsidP="00745721">
      <w:pPr>
        <w:pStyle w:val="parrafos"/>
        <w:numPr>
          <w:ilvl w:val="0"/>
          <w:numId w:val="0"/>
        </w:numPr>
        <w:rPr>
          <w:rFonts w:ascii="Cambria" w:hAnsi="Cambria"/>
          <w:color w:val="auto"/>
          <w:lang w:val="es-ES"/>
        </w:rPr>
      </w:pPr>
    </w:p>
    <w:p w14:paraId="0E5E3A04" w14:textId="77777777" w:rsidR="006617A0" w:rsidRPr="007E4AA8" w:rsidRDefault="006617A0" w:rsidP="005C5A98">
      <w:pPr>
        <w:pStyle w:val="parrafos"/>
        <w:ind w:left="0" w:firstLine="0"/>
        <w:rPr>
          <w:color w:val="auto"/>
          <w:sz w:val="24"/>
          <w:szCs w:val="24"/>
          <w:lang w:val="es-ES"/>
        </w:rPr>
      </w:pPr>
      <w:r w:rsidRPr="007E4AA8">
        <w:rPr>
          <w:color w:val="auto"/>
          <w:lang w:val="es-ES"/>
        </w:rPr>
        <w:t> </w:t>
      </w:r>
      <w:r w:rsidR="00950C07" w:rsidRPr="007E4AA8">
        <w:rPr>
          <w:color w:val="auto"/>
          <w:lang w:val="es-ES"/>
        </w:rPr>
        <w:t>Teniendo en cuenta lo anterior</w:t>
      </w:r>
      <w:r w:rsidRPr="007E4AA8">
        <w:rPr>
          <w:color w:val="auto"/>
          <w:lang w:val="es-ES"/>
        </w:rPr>
        <w:t xml:space="preserve"> </w:t>
      </w:r>
      <w:r w:rsidR="00950C07" w:rsidRPr="007E4AA8">
        <w:rPr>
          <w:color w:val="auto"/>
          <w:lang w:val="es-ES"/>
        </w:rPr>
        <w:t>c</w:t>
      </w:r>
      <w:r w:rsidRPr="007E4AA8">
        <w:rPr>
          <w:color w:val="auto"/>
          <w:lang w:val="es-ES"/>
        </w:rPr>
        <w:t>uando las víctimas que ha</w:t>
      </w:r>
      <w:r w:rsidR="00950C07" w:rsidRPr="007E4AA8">
        <w:rPr>
          <w:color w:val="auto"/>
          <w:lang w:val="es-ES"/>
        </w:rPr>
        <w:t>n sido privadas de la libertad</w:t>
      </w:r>
      <w:r w:rsidRPr="007E4AA8">
        <w:rPr>
          <w:color w:val="auto"/>
          <w:lang w:val="es-ES"/>
        </w:rPr>
        <w:t xml:space="preserve"> alegan haber sido torturadas, “existe una presunción por la cual el Estado es responsable por las lesiones que exhibe una persona que ha estado bajo la custodia de agentes estatales [y] recae en el Estado la obligación de proveer una explicación satisfactoria y convincente de lo sucedido y desvirtuar las alegaciones sobre su responsabilidad, mediante elementos probatorios adecuados”</w:t>
      </w:r>
      <w:r w:rsidRPr="007E4AA8">
        <w:rPr>
          <w:rStyle w:val="FootnoteReference"/>
          <w:color w:val="auto"/>
          <w:lang w:val="es-ES"/>
        </w:rPr>
        <w:footnoteReference w:id="93"/>
      </w:r>
      <w:r w:rsidRPr="007E4AA8">
        <w:rPr>
          <w:color w:val="auto"/>
          <w:lang w:val="es-ES"/>
        </w:rPr>
        <w:t>. Ante la denuncia de la comisión de este tipo de delitos, de conformidad con los artículos 8 y 25 de la Convención “el Estado tiene el deber de iniciar de oficio e inmediatamente una investigación efectiva que permita identificar, juzgar y sancionar a los responsables cuando existe denuncia o razón fundada que se ha cometido un acto de tortura”</w:t>
      </w:r>
      <w:r w:rsidRPr="007E4AA8">
        <w:rPr>
          <w:rStyle w:val="FootnoteReference"/>
          <w:color w:val="auto"/>
          <w:lang w:val="es-ES"/>
        </w:rPr>
        <w:footnoteReference w:id="94"/>
      </w:r>
      <w:r w:rsidRPr="007E4AA8">
        <w:rPr>
          <w:color w:val="auto"/>
          <w:lang w:val="es-ES"/>
        </w:rPr>
        <w:t xml:space="preserve">. La obligación del Estado de </w:t>
      </w:r>
      <w:r w:rsidRPr="007E4AA8">
        <w:rPr>
          <w:color w:val="auto"/>
          <w:lang w:val="es-ES"/>
        </w:rPr>
        <w:lastRenderedPageBreak/>
        <w:t>investigar posibles actos de tortura se ve reforzada por lo dispuesto en los artículos 1, 6 y 8 de la Convención Interamericana contra la Tortura que obligan al Estado a "toma[r] medidas efectivas para prevenir y sancionar la tortura en el ámbito de su jurisdicción"</w:t>
      </w:r>
      <w:r w:rsidRPr="007E4AA8">
        <w:rPr>
          <w:rStyle w:val="FootnoteReference"/>
          <w:color w:val="auto"/>
          <w:lang w:val="es-ES"/>
        </w:rPr>
        <w:footnoteReference w:id="95"/>
      </w:r>
      <w:r w:rsidRPr="007E4AA8">
        <w:rPr>
          <w:color w:val="auto"/>
          <w:lang w:val="es-ES"/>
        </w:rPr>
        <w:t xml:space="preserve">. </w:t>
      </w:r>
    </w:p>
    <w:p w14:paraId="4FE451BE" w14:textId="77777777" w:rsidR="003F3C61" w:rsidRPr="007E4AA8" w:rsidRDefault="003F3C61" w:rsidP="005C5A98">
      <w:pPr>
        <w:rPr>
          <w:lang w:val="es-ES"/>
        </w:rPr>
      </w:pPr>
    </w:p>
    <w:p w14:paraId="0520B8E6" w14:textId="77777777" w:rsidR="003A77FD" w:rsidRPr="007E4AA8" w:rsidRDefault="00664EF7" w:rsidP="003A77FD">
      <w:pPr>
        <w:pStyle w:val="parrafos"/>
        <w:ind w:left="0" w:firstLine="0"/>
        <w:rPr>
          <w:rFonts w:ascii="Cambria" w:hAnsi="Cambria"/>
          <w:color w:val="auto"/>
          <w:lang w:val="es-ES"/>
        </w:rPr>
      </w:pPr>
      <w:r w:rsidRPr="007E4AA8">
        <w:rPr>
          <w:rFonts w:ascii="Cambria" w:hAnsi="Cambria"/>
          <w:color w:val="auto"/>
          <w:lang w:val="es-ES"/>
        </w:rPr>
        <w:t xml:space="preserve">En el presente caso, la </w:t>
      </w:r>
      <w:r w:rsidR="003F3C61" w:rsidRPr="007E4AA8">
        <w:rPr>
          <w:rFonts w:ascii="Cambria" w:hAnsi="Cambria"/>
          <w:color w:val="auto"/>
          <w:lang w:val="es-ES"/>
        </w:rPr>
        <w:t xml:space="preserve">Comisión </w:t>
      </w:r>
      <w:r w:rsidR="00621F15" w:rsidRPr="007E4AA8">
        <w:rPr>
          <w:rFonts w:ascii="Cambria" w:hAnsi="Cambria"/>
          <w:color w:val="auto"/>
          <w:lang w:val="es-ES"/>
        </w:rPr>
        <w:t xml:space="preserve">recapitula </w:t>
      </w:r>
      <w:r w:rsidR="006F5E2A" w:rsidRPr="007E4AA8">
        <w:rPr>
          <w:rFonts w:ascii="Cambria" w:hAnsi="Cambria"/>
          <w:color w:val="auto"/>
          <w:lang w:val="es-ES"/>
        </w:rPr>
        <w:t>que,</w:t>
      </w:r>
      <w:r w:rsidR="003F3C61" w:rsidRPr="007E4AA8">
        <w:rPr>
          <w:rFonts w:ascii="Cambria" w:hAnsi="Cambria"/>
          <w:color w:val="auto"/>
          <w:lang w:val="es-ES"/>
        </w:rPr>
        <w:t xml:space="preserve"> </w:t>
      </w:r>
      <w:r w:rsidR="00621F15" w:rsidRPr="007E4AA8">
        <w:rPr>
          <w:rFonts w:ascii="Cambria" w:hAnsi="Cambria"/>
          <w:color w:val="auto"/>
          <w:lang w:val="es-ES"/>
        </w:rPr>
        <w:t>según la declaración consistente y denuncias presentadas por la presunta víctima, luego de que fue llegó a la Comisaría 11 fue objeto de diversos golpes y maltratos que incluyeron reiterados golpes en las plantas de los pies por varias horas. Según se desprende de un voto disidente de la magistrada que conoció del caso, existiría un dictamen victimiológico que da cuenta de elementos objetivos de tortura, en vista de las secuelas de la misma. Además, la Comisión observa que, de acuerdo con la prueba disponible, existirían testimonios de otras personas que indicaron asimismo ser objeto de torturas.</w:t>
      </w:r>
      <w:r w:rsidR="00015FC0" w:rsidRPr="007E4AA8">
        <w:rPr>
          <w:rFonts w:ascii="Cambria" w:hAnsi="Cambria"/>
          <w:color w:val="auto"/>
          <w:lang w:val="es-ES"/>
        </w:rPr>
        <w:t xml:space="preserve"> </w:t>
      </w:r>
      <w:r w:rsidR="00405AE2" w:rsidRPr="007E4AA8">
        <w:rPr>
          <w:rFonts w:ascii="Cambria" w:hAnsi="Cambria"/>
          <w:color w:val="auto"/>
          <w:lang w:val="es-ES"/>
        </w:rPr>
        <w:t>En este sentido, constan diversas declaraciones</w:t>
      </w:r>
      <w:r w:rsidR="007A5F14" w:rsidRPr="007E4AA8">
        <w:rPr>
          <w:rStyle w:val="FootnoteReference"/>
          <w:rFonts w:ascii="Cambria" w:hAnsi="Cambria"/>
          <w:color w:val="auto"/>
          <w:lang w:val="es-ES"/>
        </w:rPr>
        <w:footnoteReference w:id="96"/>
      </w:r>
      <w:r w:rsidR="00405AE2" w:rsidRPr="007E4AA8">
        <w:rPr>
          <w:rFonts w:ascii="Cambria" w:hAnsi="Cambria"/>
          <w:color w:val="auto"/>
          <w:lang w:val="es-ES"/>
        </w:rPr>
        <w:t xml:space="preserve"> (</w:t>
      </w:r>
      <w:r w:rsidR="00405AE2" w:rsidRPr="007E4AA8">
        <w:rPr>
          <w:rFonts w:ascii="Cambria" w:hAnsi="Cambria"/>
          <w:i/>
          <w:iCs/>
          <w:color w:val="auto"/>
          <w:lang w:val="es-ES"/>
        </w:rPr>
        <w:t>supra</w:t>
      </w:r>
      <w:r w:rsidR="00405AE2" w:rsidRPr="007E4AA8">
        <w:rPr>
          <w:rFonts w:ascii="Cambria" w:hAnsi="Cambria"/>
          <w:color w:val="auto"/>
          <w:lang w:val="es-ES"/>
        </w:rPr>
        <w:t xml:space="preserve"> para. </w:t>
      </w:r>
      <w:r w:rsidR="00EC7278" w:rsidRPr="007E4AA8">
        <w:rPr>
          <w:rFonts w:ascii="Cambria" w:hAnsi="Cambria"/>
          <w:color w:val="auto"/>
          <w:lang w:val="es-ES"/>
        </w:rPr>
        <w:t xml:space="preserve">23) </w:t>
      </w:r>
      <w:r w:rsidR="007A5F14" w:rsidRPr="007E4AA8">
        <w:rPr>
          <w:rFonts w:ascii="Cambria" w:hAnsi="Cambria"/>
          <w:color w:val="auto"/>
          <w:lang w:val="es-ES"/>
        </w:rPr>
        <w:t>en las que otros oficiales detenidos al igual que el señor López, refirieron haber sido torturados</w:t>
      </w:r>
      <w:r w:rsidR="0054683C" w:rsidRPr="007E4AA8">
        <w:rPr>
          <w:rFonts w:ascii="Cambria" w:hAnsi="Cambria"/>
          <w:color w:val="auto"/>
          <w:lang w:val="es-ES"/>
        </w:rPr>
        <w:t xml:space="preserve"> de similar manera que la presunta víctima</w:t>
      </w:r>
      <w:r w:rsidR="007A5F14" w:rsidRPr="007E4AA8">
        <w:rPr>
          <w:rFonts w:ascii="Cambria" w:hAnsi="Cambria"/>
          <w:color w:val="auto"/>
          <w:lang w:val="es-ES"/>
        </w:rPr>
        <w:t xml:space="preserve">, o haber visto o tenido noticia de que la presunta víctima había sido </w:t>
      </w:r>
      <w:r w:rsidR="00882A21" w:rsidRPr="007E4AA8">
        <w:rPr>
          <w:rFonts w:ascii="Cambria" w:hAnsi="Cambria"/>
          <w:color w:val="auto"/>
          <w:lang w:val="es-ES"/>
        </w:rPr>
        <w:t xml:space="preserve">esposada, </w:t>
      </w:r>
      <w:r w:rsidR="007A5F14" w:rsidRPr="007E4AA8">
        <w:rPr>
          <w:rFonts w:ascii="Cambria" w:hAnsi="Cambria"/>
          <w:color w:val="auto"/>
          <w:lang w:val="es-ES"/>
        </w:rPr>
        <w:t>vendada, puesta boca abajo y golpeada en la Comisaría 11.</w:t>
      </w:r>
      <w:r w:rsidR="00EC7278" w:rsidRPr="007E4AA8">
        <w:rPr>
          <w:rFonts w:ascii="Cambria" w:hAnsi="Cambria"/>
          <w:color w:val="auto"/>
          <w:lang w:val="es-ES"/>
        </w:rPr>
        <w:t xml:space="preserve"> </w:t>
      </w:r>
      <w:r w:rsidR="007A5F14" w:rsidRPr="007E4AA8">
        <w:rPr>
          <w:rFonts w:ascii="Cambria" w:hAnsi="Cambria"/>
          <w:color w:val="auto"/>
          <w:lang w:val="es-ES"/>
        </w:rPr>
        <w:t>Incluso, consta que conforme a la declaración de un agente destinado a la Comisaría 11, refirió que el señor López fue vendado y fue mantenido esposado en el calabozo</w:t>
      </w:r>
      <w:r w:rsidR="007A5F14" w:rsidRPr="007E4AA8">
        <w:rPr>
          <w:rStyle w:val="FootnoteReference"/>
          <w:rFonts w:ascii="Cambria" w:hAnsi="Cambria"/>
          <w:color w:val="auto"/>
          <w:lang w:val="es-ES"/>
        </w:rPr>
        <w:footnoteReference w:id="97"/>
      </w:r>
      <w:r w:rsidR="007A5F14" w:rsidRPr="007E4AA8">
        <w:rPr>
          <w:rFonts w:ascii="Cambria" w:hAnsi="Cambria"/>
          <w:color w:val="auto"/>
          <w:lang w:val="es-ES"/>
        </w:rPr>
        <w:t xml:space="preserve">. </w:t>
      </w:r>
      <w:r w:rsidR="003A77FD" w:rsidRPr="007E4AA8">
        <w:rPr>
          <w:rFonts w:ascii="Cambria" w:hAnsi="Cambria"/>
          <w:color w:val="auto"/>
          <w:lang w:val="es-ES"/>
        </w:rPr>
        <w:t xml:space="preserve">Asimismo, el señor López, </w:t>
      </w:r>
      <w:r w:rsidR="006F5E2A" w:rsidRPr="007E4AA8">
        <w:rPr>
          <w:rFonts w:ascii="Cambria" w:hAnsi="Cambria"/>
          <w:color w:val="auto"/>
          <w:lang w:val="es-ES"/>
        </w:rPr>
        <w:t>refirió</w:t>
      </w:r>
      <w:r w:rsidR="003A77FD" w:rsidRPr="007E4AA8">
        <w:rPr>
          <w:rFonts w:ascii="Cambria" w:hAnsi="Cambria"/>
          <w:color w:val="auto"/>
          <w:lang w:val="es-ES"/>
        </w:rPr>
        <w:t xml:space="preserve"> que los hechos denunciados le volvieron tuvieron un impacto en su forma de ser, y que en los años recientes sostuvo un tratamiento </w:t>
      </w:r>
      <w:r w:rsidR="006F5E2A" w:rsidRPr="007E4AA8">
        <w:rPr>
          <w:rFonts w:ascii="Cambria" w:hAnsi="Cambria"/>
          <w:color w:val="auto"/>
          <w:lang w:val="es-ES"/>
        </w:rPr>
        <w:t>psicológ</w:t>
      </w:r>
      <w:r w:rsidR="006F5E2A">
        <w:rPr>
          <w:rFonts w:ascii="Cambria" w:hAnsi="Cambria"/>
          <w:color w:val="auto"/>
          <w:lang w:val="es-ES"/>
        </w:rPr>
        <w:t>ico</w:t>
      </w:r>
      <w:r w:rsidR="003A77FD" w:rsidRPr="007E4AA8">
        <w:rPr>
          <w:color w:val="auto"/>
          <w:lang w:val="es-ES"/>
        </w:rPr>
        <w:t>.</w:t>
      </w:r>
    </w:p>
    <w:p w14:paraId="5361FEFC" w14:textId="77777777" w:rsidR="003A77FD" w:rsidRPr="007E4AA8" w:rsidRDefault="003A77FD" w:rsidP="005C5A98">
      <w:pPr>
        <w:pStyle w:val="parrafos"/>
        <w:numPr>
          <w:ilvl w:val="0"/>
          <w:numId w:val="0"/>
        </w:numPr>
        <w:rPr>
          <w:rFonts w:ascii="Cambria" w:hAnsi="Cambria"/>
          <w:color w:val="auto"/>
          <w:lang w:val="es-ES"/>
        </w:rPr>
      </w:pPr>
    </w:p>
    <w:p w14:paraId="717FE28F" w14:textId="77777777" w:rsidR="007B3D08" w:rsidRPr="007E4AA8" w:rsidRDefault="00621F15" w:rsidP="00B25386">
      <w:pPr>
        <w:pStyle w:val="parrafos"/>
        <w:ind w:left="0" w:firstLine="0"/>
        <w:rPr>
          <w:rFonts w:ascii="Cambria" w:hAnsi="Cambria"/>
          <w:color w:val="auto"/>
          <w:lang w:val="es-ES"/>
        </w:rPr>
      </w:pPr>
      <w:r w:rsidRPr="007E4AA8">
        <w:rPr>
          <w:rFonts w:ascii="Cambria" w:hAnsi="Cambria"/>
          <w:color w:val="auto"/>
          <w:lang w:val="es-ES"/>
        </w:rPr>
        <w:t>En relación con la respuesta dada por el Estado, la Comisión observa que</w:t>
      </w:r>
      <w:r w:rsidR="001F7D4E" w:rsidRPr="007E4AA8">
        <w:rPr>
          <w:rFonts w:ascii="Cambria" w:hAnsi="Cambria"/>
          <w:color w:val="auto"/>
          <w:lang w:val="es-ES"/>
        </w:rPr>
        <w:t xml:space="preserve">, </w:t>
      </w:r>
      <w:r w:rsidR="008065EC" w:rsidRPr="007E4AA8">
        <w:rPr>
          <w:rFonts w:ascii="Cambria" w:hAnsi="Cambria"/>
          <w:color w:val="auto"/>
          <w:lang w:val="es-ES"/>
        </w:rPr>
        <w:t>conforme a la declaración del testigo, juez Juan Carlos Paredes</w:t>
      </w:r>
      <w:r w:rsidR="001F7D4E" w:rsidRPr="007E4AA8">
        <w:rPr>
          <w:rFonts w:ascii="Cambria" w:hAnsi="Cambria"/>
          <w:color w:val="auto"/>
          <w:lang w:val="es-ES"/>
        </w:rPr>
        <w:t xml:space="preserve">, pareciera </w:t>
      </w:r>
      <w:r w:rsidR="0004537B" w:rsidRPr="007E4AA8">
        <w:rPr>
          <w:rFonts w:ascii="Cambria" w:hAnsi="Cambria"/>
          <w:color w:val="auto"/>
          <w:lang w:val="es-ES"/>
        </w:rPr>
        <w:t xml:space="preserve">solo fue </w:t>
      </w:r>
      <w:r w:rsidR="001F7D4E" w:rsidRPr="007E4AA8">
        <w:rPr>
          <w:rFonts w:ascii="Cambria" w:hAnsi="Cambria"/>
          <w:color w:val="auto"/>
          <w:lang w:val="es-ES"/>
        </w:rPr>
        <w:t xml:space="preserve">que al menos </w:t>
      </w:r>
      <w:r w:rsidR="008065EC" w:rsidRPr="007E4AA8">
        <w:rPr>
          <w:rFonts w:ascii="Cambria" w:hAnsi="Cambria"/>
          <w:color w:val="auto"/>
          <w:lang w:val="es-ES"/>
        </w:rPr>
        <w:t>ocho días</w:t>
      </w:r>
      <w:r w:rsidR="001F7D4E" w:rsidRPr="007E4AA8">
        <w:rPr>
          <w:rFonts w:ascii="Cambria" w:hAnsi="Cambria"/>
          <w:color w:val="auto"/>
          <w:lang w:val="es-ES"/>
        </w:rPr>
        <w:t xml:space="preserve"> </w:t>
      </w:r>
      <w:r w:rsidR="006F5E2A" w:rsidRPr="007E4AA8">
        <w:rPr>
          <w:rFonts w:ascii="Cambria" w:hAnsi="Cambria"/>
          <w:color w:val="auto"/>
          <w:lang w:val="es-ES"/>
        </w:rPr>
        <w:t>después</w:t>
      </w:r>
      <w:r w:rsidR="001F7D4E" w:rsidRPr="007E4AA8">
        <w:rPr>
          <w:rFonts w:ascii="Cambria" w:hAnsi="Cambria"/>
          <w:color w:val="auto"/>
          <w:lang w:val="es-ES"/>
        </w:rPr>
        <w:t xml:space="preserve"> de su detención, </w:t>
      </w:r>
      <w:r w:rsidR="0004537B" w:rsidRPr="007E4AA8">
        <w:rPr>
          <w:rFonts w:ascii="Cambria" w:hAnsi="Cambria"/>
          <w:color w:val="auto"/>
          <w:lang w:val="es-ES"/>
        </w:rPr>
        <w:t xml:space="preserve">que </w:t>
      </w:r>
      <w:r w:rsidR="00E11ACB" w:rsidRPr="007E4AA8">
        <w:rPr>
          <w:rFonts w:ascii="Cambria" w:hAnsi="Cambria"/>
          <w:color w:val="auto"/>
          <w:lang w:val="es-ES"/>
        </w:rPr>
        <w:t xml:space="preserve">el señor López </w:t>
      </w:r>
      <w:r w:rsidRPr="007E4AA8">
        <w:rPr>
          <w:rFonts w:ascii="Cambria" w:hAnsi="Cambria"/>
          <w:color w:val="auto"/>
          <w:lang w:val="es-ES"/>
        </w:rPr>
        <w:t>habría recibido la visita de un juez y de un médico forense a quienes les habría manifestado que fue víctima de tortura.</w:t>
      </w:r>
      <w:r w:rsidR="00B25386" w:rsidRPr="007E4AA8">
        <w:rPr>
          <w:rFonts w:ascii="Cambria" w:hAnsi="Cambria"/>
          <w:color w:val="auto"/>
          <w:lang w:val="es-ES"/>
        </w:rPr>
        <w:t xml:space="preserve"> Asimismo, consta información respecto de una inspección reali</w:t>
      </w:r>
      <w:r w:rsidR="00015FC0" w:rsidRPr="007E4AA8">
        <w:rPr>
          <w:rFonts w:ascii="Cambria" w:hAnsi="Cambria"/>
          <w:color w:val="auto"/>
          <w:lang w:val="es-ES"/>
        </w:rPr>
        <w:t>zada el 11 de julio de 2000, a c</w:t>
      </w:r>
      <w:r w:rsidR="00B25386" w:rsidRPr="007E4AA8">
        <w:rPr>
          <w:rFonts w:ascii="Cambria" w:hAnsi="Cambria"/>
          <w:color w:val="auto"/>
          <w:lang w:val="es-ES"/>
        </w:rPr>
        <w:t xml:space="preserve">asi dos meses del hecho de presunta tortura. Sumado a ello, la Comisión nota que </w:t>
      </w:r>
      <w:r w:rsidR="00664EF7" w:rsidRPr="007E4AA8">
        <w:rPr>
          <w:rFonts w:ascii="Cambria" w:hAnsi="Cambria"/>
          <w:color w:val="auto"/>
          <w:lang w:val="es-ES"/>
        </w:rPr>
        <w:t xml:space="preserve">el Estado paraguayo </w:t>
      </w:r>
      <w:r w:rsidR="003F3C61" w:rsidRPr="007E4AA8">
        <w:rPr>
          <w:rFonts w:ascii="Cambria" w:hAnsi="Cambria"/>
          <w:color w:val="auto"/>
          <w:lang w:val="es-ES"/>
        </w:rPr>
        <w:t xml:space="preserve">sostuvo </w:t>
      </w:r>
      <w:r w:rsidR="00B25386" w:rsidRPr="007E4AA8">
        <w:rPr>
          <w:rFonts w:ascii="Cambria" w:hAnsi="Cambria"/>
          <w:color w:val="auto"/>
          <w:lang w:val="es-ES"/>
        </w:rPr>
        <w:t xml:space="preserve">ante la CIDH </w:t>
      </w:r>
      <w:r w:rsidR="003F3C61" w:rsidRPr="007E4AA8">
        <w:rPr>
          <w:rFonts w:ascii="Cambria" w:hAnsi="Cambria"/>
          <w:color w:val="auto"/>
          <w:lang w:val="es-ES"/>
        </w:rPr>
        <w:t>que “conforme señalan las alegaciones del Ministerio Público, efectivamente se habrían realizado hechos de torturas contra varios de estos detenidos, incluido el peticionario”</w:t>
      </w:r>
      <w:r w:rsidR="006142CB" w:rsidRPr="007E4AA8">
        <w:rPr>
          <w:rStyle w:val="FootnoteReference"/>
          <w:rFonts w:ascii="Cambria" w:hAnsi="Cambria"/>
          <w:color w:val="auto"/>
          <w:lang w:val="es-ES"/>
        </w:rPr>
        <w:footnoteReference w:id="98"/>
      </w:r>
      <w:r w:rsidR="003F3C61" w:rsidRPr="007E4AA8">
        <w:rPr>
          <w:rFonts w:ascii="Cambria" w:hAnsi="Cambria"/>
          <w:color w:val="auto"/>
          <w:lang w:val="es-ES"/>
        </w:rPr>
        <w:t>.</w:t>
      </w:r>
      <w:r w:rsidR="00664EF7" w:rsidRPr="007E4AA8">
        <w:rPr>
          <w:rFonts w:ascii="Cambria" w:hAnsi="Cambria"/>
          <w:color w:val="auto"/>
          <w:lang w:val="es-ES"/>
        </w:rPr>
        <w:t xml:space="preserve"> </w:t>
      </w:r>
      <w:r w:rsidR="00B25386" w:rsidRPr="007E4AA8">
        <w:rPr>
          <w:rFonts w:ascii="Cambria" w:hAnsi="Cambria"/>
          <w:color w:val="auto"/>
          <w:lang w:val="es-ES"/>
        </w:rPr>
        <w:t xml:space="preserve">Asimismo, </w:t>
      </w:r>
      <w:r w:rsidR="00664EF7" w:rsidRPr="007E4AA8">
        <w:rPr>
          <w:rFonts w:ascii="Cambria" w:hAnsi="Cambria"/>
          <w:color w:val="auto"/>
          <w:lang w:val="es-ES"/>
        </w:rPr>
        <w:t xml:space="preserve">la investigación y procesos internos </w:t>
      </w:r>
      <w:r w:rsidR="00B25386" w:rsidRPr="007E4AA8">
        <w:rPr>
          <w:rFonts w:ascii="Cambria" w:hAnsi="Cambria"/>
          <w:color w:val="auto"/>
          <w:lang w:val="es-ES"/>
        </w:rPr>
        <w:t>no han concluido.</w:t>
      </w:r>
      <w:r w:rsidR="00664EF7" w:rsidRPr="007E4AA8">
        <w:rPr>
          <w:rFonts w:ascii="Cambria" w:hAnsi="Cambria"/>
          <w:color w:val="auto"/>
          <w:lang w:val="es-ES"/>
        </w:rPr>
        <w:t xml:space="preserve"> </w:t>
      </w:r>
      <w:r w:rsidR="00B25386" w:rsidRPr="007E4AA8">
        <w:rPr>
          <w:rFonts w:ascii="Cambria" w:hAnsi="Cambria"/>
          <w:color w:val="auto"/>
          <w:lang w:val="es-ES"/>
        </w:rPr>
        <w:t>En consecuencia</w:t>
      </w:r>
      <w:r w:rsidR="00664EF7" w:rsidRPr="007E4AA8">
        <w:rPr>
          <w:rFonts w:ascii="Cambria" w:hAnsi="Cambria"/>
          <w:color w:val="auto"/>
          <w:lang w:val="es-ES"/>
        </w:rPr>
        <w:t xml:space="preserve">, </w:t>
      </w:r>
      <w:r w:rsidR="00B25386" w:rsidRPr="007E4AA8">
        <w:rPr>
          <w:rFonts w:ascii="Cambria" w:hAnsi="Cambria"/>
          <w:color w:val="auto"/>
          <w:lang w:val="es-ES"/>
        </w:rPr>
        <w:t xml:space="preserve">con base en lo expuesto, la Comisión observa que </w:t>
      </w:r>
      <w:r w:rsidR="00664EF7" w:rsidRPr="007E4AA8">
        <w:rPr>
          <w:rFonts w:ascii="Cambria" w:hAnsi="Cambria"/>
          <w:color w:val="auto"/>
          <w:lang w:val="es-ES"/>
        </w:rPr>
        <w:t xml:space="preserve">el Estado no cuenta </w:t>
      </w:r>
      <w:r w:rsidR="00B25386" w:rsidRPr="007E4AA8">
        <w:rPr>
          <w:rFonts w:ascii="Cambria" w:hAnsi="Cambria"/>
          <w:color w:val="auto"/>
          <w:lang w:val="es-ES"/>
        </w:rPr>
        <w:t>aún</w:t>
      </w:r>
      <w:r w:rsidR="00664EF7" w:rsidRPr="007E4AA8">
        <w:rPr>
          <w:rFonts w:ascii="Cambria" w:hAnsi="Cambria"/>
          <w:color w:val="auto"/>
          <w:lang w:val="es-ES"/>
        </w:rPr>
        <w:t xml:space="preserve"> con una explicación</w:t>
      </w:r>
      <w:r w:rsidR="0004537B" w:rsidRPr="007E4AA8">
        <w:rPr>
          <w:rFonts w:ascii="Cambria" w:hAnsi="Cambria"/>
          <w:color w:val="auto"/>
          <w:lang w:val="es-ES"/>
        </w:rPr>
        <w:t xml:space="preserve"> satisfactoria respecto de las alegaciones y hallazgos que apuntarían a la tortura,</w:t>
      </w:r>
      <w:r w:rsidR="00B25386" w:rsidRPr="007E4AA8">
        <w:rPr>
          <w:rFonts w:ascii="Cambria" w:hAnsi="Cambria"/>
          <w:color w:val="auto"/>
          <w:lang w:val="es-ES"/>
        </w:rPr>
        <w:t xml:space="preserve"> sea por la realización oportuna de los exámenes médicos o por la investigación seguida por las denuncias</w:t>
      </w:r>
      <w:r w:rsidR="00664EF7" w:rsidRPr="007E4AA8">
        <w:rPr>
          <w:rFonts w:ascii="Cambria" w:hAnsi="Cambria"/>
          <w:color w:val="auto"/>
          <w:lang w:val="es-ES"/>
        </w:rPr>
        <w:t xml:space="preserve"> que</w:t>
      </w:r>
      <w:r w:rsidR="00B25386" w:rsidRPr="007E4AA8">
        <w:rPr>
          <w:rFonts w:ascii="Cambria" w:hAnsi="Cambria"/>
          <w:color w:val="auto"/>
          <w:lang w:val="es-ES"/>
        </w:rPr>
        <w:t xml:space="preserve"> efectivamente </w:t>
      </w:r>
      <w:r w:rsidR="00664EF7" w:rsidRPr="007E4AA8">
        <w:rPr>
          <w:rFonts w:ascii="Cambria" w:hAnsi="Cambria"/>
          <w:color w:val="auto"/>
          <w:lang w:val="es-ES"/>
        </w:rPr>
        <w:t xml:space="preserve">desvirtúe las alegaciones. </w:t>
      </w:r>
      <w:r w:rsidR="007B3D08" w:rsidRPr="007E4AA8">
        <w:rPr>
          <w:rFonts w:ascii="Cambria" w:hAnsi="Cambria"/>
          <w:color w:val="auto"/>
          <w:lang w:val="es-ES"/>
        </w:rPr>
        <w:t xml:space="preserve"> </w:t>
      </w:r>
    </w:p>
    <w:p w14:paraId="5223800F" w14:textId="77777777" w:rsidR="00A57FFD" w:rsidRPr="007E4AA8" w:rsidRDefault="00A57FFD" w:rsidP="00A57FFD">
      <w:pPr>
        <w:pStyle w:val="ListParagraph"/>
        <w:rPr>
          <w:rFonts w:ascii="Cambria" w:hAnsi="Cambria"/>
          <w:color w:val="auto"/>
        </w:rPr>
      </w:pPr>
    </w:p>
    <w:p w14:paraId="36F49FE2" w14:textId="77777777" w:rsidR="00E7457A" w:rsidRPr="007E4AA8" w:rsidRDefault="00A57FFD" w:rsidP="0043369D">
      <w:pPr>
        <w:pStyle w:val="parrafos"/>
        <w:ind w:left="0" w:firstLine="0"/>
        <w:rPr>
          <w:color w:val="auto"/>
          <w:lang w:val="es-ES"/>
        </w:rPr>
      </w:pPr>
      <w:r w:rsidRPr="007E4AA8">
        <w:rPr>
          <w:color w:val="auto"/>
          <w:lang w:val="es-ES"/>
        </w:rPr>
        <w:t xml:space="preserve">La Comisión nota que el tribunal concluyó en su sentencia que ninguno de los testigos dio certeza positiva al tribunal sobre la existencia misma del hecho “pues existieron versiones o testimonios contrapuestos, contradictorios y ambiguos”. </w:t>
      </w:r>
      <w:r w:rsidR="000D1FC6" w:rsidRPr="007E4AA8">
        <w:rPr>
          <w:color w:val="auto"/>
          <w:lang w:val="es-ES"/>
        </w:rPr>
        <w:t>Asimismo, dese</w:t>
      </w:r>
      <w:r w:rsidR="000F2367" w:rsidRPr="007E4AA8">
        <w:rPr>
          <w:color w:val="auto"/>
          <w:lang w:val="es-ES"/>
        </w:rPr>
        <w:t>stimó o dudó</w:t>
      </w:r>
      <w:r w:rsidR="000D1FC6" w:rsidRPr="007E4AA8">
        <w:rPr>
          <w:color w:val="auto"/>
          <w:lang w:val="es-ES"/>
        </w:rPr>
        <w:t xml:space="preserve"> la ocurrencia de ciertos hechos por falta de coincidencia sobre el tipo de material empleado para vendar a los detenidos, o el objeto con el cuál se habrían producido los golpes, o incluso el horario en que habrían ocurrido ciertos hechos</w:t>
      </w:r>
      <w:r w:rsidR="00521FD0" w:rsidRPr="007E4AA8">
        <w:rPr>
          <w:color w:val="auto"/>
          <w:lang w:val="es-ES"/>
        </w:rPr>
        <w:t xml:space="preserve">. </w:t>
      </w:r>
      <w:r w:rsidR="000F2367" w:rsidRPr="007E4AA8">
        <w:rPr>
          <w:color w:val="auto"/>
          <w:lang w:val="es-ES"/>
        </w:rPr>
        <w:t>La CIDH</w:t>
      </w:r>
      <w:r w:rsidR="003271B7" w:rsidRPr="007E4AA8">
        <w:rPr>
          <w:color w:val="auto"/>
          <w:lang w:val="es-ES"/>
        </w:rPr>
        <w:t xml:space="preserve"> identifica que las declaraciones de quienes estuvieron detenidos en la Comisaría 11 fueron en términos generales consistentes en afirmar que hubo personas torturadas al interior de esta, y que aquellos testimonios que aseveraron que no se evidenciaron malos tratos eran </w:t>
      </w:r>
      <w:r w:rsidR="00D67123" w:rsidRPr="007E4AA8">
        <w:rPr>
          <w:color w:val="auto"/>
          <w:lang w:val="es-ES"/>
        </w:rPr>
        <w:t>principalmente</w:t>
      </w:r>
      <w:r w:rsidR="003271B7" w:rsidRPr="007E4AA8">
        <w:rPr>
          <w:color w:val="auto"/>
          <w:lang w:val="es-ES"/>
        </w:rPr>
        <w:t xml:space="preserve"> testimonios de agentes policiales destinados a la unidad o que tuvieron oportunidad de participar como personal que tuvo algún tipo de contacto con los detenidos. </w:t>
      </w:r>
      <w:r w:rsidR="00521FD0" w:rsidRPr="007E4AA8">
        <w:rPr>
          <w:color w:val="auto"/>
          <w:lang w:val="es-ES"/>
        </w:rPr>
        <w:t xml:space="preserve">Asimismo, destaca que </w:t>
      </w:r>
      <w:r w:rsidR="000F2367" w:rsidRPr="007E4AA8">
        <w:rPr>
          <w:color w:val="auto"/>
          <w:lang w:val="es-ES"/>
        </w:rPr>
        <w:t>dicho tribunal desestimó</w:t>
      </w:r>
      <w:r w:rsidR="00521FD0" w:rsidRPr="007E4AA8">
        <w:rPr>
          <w:color w:val="auto"/>
          <w:lang w:val="es-ES"/>
        </w:rPr>
        <w:t xml:space="preserve"> </w:t>
      </w:r>
      <w:r w:rsidR="00E7457A" w:rsidRPr="007E4AA8">
        <w:rPr>
          <w:color w:val="auto"/>
          <w:lang w:val="es-ES"/>
        </w:rPr>
        <w:t>la prueba sobre el listado de personas con orden de detención en virtud del estado de excepción por estimar que “no hace a la existencia del hecho juzgado”.</w:t>
      </w:r>
    </w:p>
    <w:p w14:paraId="61A6722C" w14:textId="77777777" w:rsidR="003271B7" w:rsidRPr="007E4AA8" w:rsidRDefault="003271B7" w:rsidP="003271B7">
      <w:pPr>
        <w:pStyle w:val="parrafos"/>
        <w:numPr>
          <w:ilvl w:val="0"/>
          <w:numId w:val="0"/>
        </w:numPr>
        <w:rPr>
          <w:color w:val="auto"/>
          <w:lang w:val="es-ES"/>
        </w:rPr>
      </w:pPr>
    </w:p>
    <w:p w14:paraId="4976F05A" w14:textId="77777777" w:rsidR="00E7457A" w:rsidRPr="006F5E2A" w:rsidRDefault="003271B7" w:rsidP="006F5E2A">
      <w:pPr>
        <w:pStyle w:val="parrafos"/>
        <w:ind w:left="0" w:firstLine="0"/>
        <w:rPr>
          <w:color w:val="auto"/>
          <w:lang w:val="es-ES"/>
        </w:rPr>
      </w:pPr>
      <w:r w:rsidRPr="007E4AA8">
        <w:rPr>
          <w:color w:val="auto"/>
          <w:lang w:val="es-ES"/>
        </w:rPr>
        <w:t xml:space="preserve">Además, la Comisión identifica que sobre el </w:t>
      </w:r>
      <w:r w:rsidR="00E7457A" w:rsidRPr="007E4AA8">
        <w:rPr>
          <w:color w:val="auto"/>
          <w:lang w:val="es-ES"/>
        </w:rPr>
        <w:t>informe victimologico de la dirección de asistencia de las víctimas del Ministerio Público</w:t>
      </w:r>
      <w:r w:rsidRPr="007E4AA8">
        <w:rPr>
          <w:color w:val="auto"/>
          <w:lang w:val="es-ES"/>
        </w:rPr>
        <w:t xml:space="preserve">, </w:t>
      </w:r>
      <w:r w:rsidR="00E7457A" w:rsidRPr="007E4AA8">
        <w:rPr>
          <w:color w:val="auto"/>
          <w:lang w:val="es-ES"/>
        </w:rPr>
        <w:t xml:space="preserve">el tribunal </w:t>
      </w:r>
      <w:r w:rsidRPr="007E4AA8">
        <w:rPr>
          <w:color w:val="auto"/>
          <w:lang w:val="es-ES"/>
        </w:rPr>
        <w:t>destacó</w:t>
      </w:r>
      <w:r w:rsidR="00E7457A" w:rsidRPr="007E4AA8">
        <w:rPr>
          <w:color w:val="auto"/>
          <w:lang w:val="es-ES"/>
        </w:rPr>
        <w:t xml:space="preserve"> que </w:t>
      </w:r>
      <w:r w:rsidRPr="007E4AA8">
        <w:rPr>
          <w:color w:val="auto"/>
          <w:lang w:val="es-ES"/>
        </w:rPr>
        <w:t xml:space="preserve">el </w:t>
      </w:r>
      <w:r w:rsidR="00E7457A" w:rsidRPr="007E4AA8">
        <w:rPr>
          <w:color w:val="auto"/>
          <w:lang w:val="es-ES"/>
        </w:rPr>
        <w:t>documento e</w:t>
      </w:r>
      <w:r w:rsidRPr="007E4AA8">
        <w:rPr>
          <w:color w:val="auto"/>
          <w:lang w:val="es-ES"/>
        </w:rPr>
        <w:t>ra</w:t>
      </w:r>
      <w:r w:rsidR="00E7457A" w:rsidRPr="007E4AA8">
        <w:rPr>
          <w:color w:val="auto"/>
          <w:lang w:val="es-ES"/>
        </w:rPr>
        <w:t xml:space="preserve"> legible solo en parte, </w:t>
      </w:r>
      <w:r w:rsidRPr="007E4AA8">
        <w:rPr>
          <w:color w:val="auto"/>
          <w:lang w:val="es-ES"/>
        </w:rPr>
        <w:t>“</w:t>
      </w:r>
      <w:r w:rsidR="00E7457A" w:rsidRPr="007E4AA8">
        <w:rPr>
          <w:color w:val="auto"/>
          <w:lang w:val="es-ES"/>
        </w:rPr>
        <w:t>por lo que el tribunal se ve imposibilitado de valorar en forma positiva, si bien es cierto, se puede apreciar que una conclusión respecto a Jorge López, del mismo aprecia que presenta dificultad de asumir baja del servicio policial y no hace referencia a los supuestos apremios físicos que se halla analizando”</w:t>
      </w:r>
      <w:r w:rsidRPr="007E4AA8">
        <w:rPr>
          <w:color w:val="auto"/>
          <w:lang w:val="es-ES"/>
        </w:rPr>
        <w:t xml:space="preserve">, considerando que </w:t>
      </w:r>
      <w:r w:rsidR="00E7457A" w:rsidRPr="007E4AA8">
        <w:rPr>
          <w:color w:val="auto"/>
          <w:lang w:val="es-ES"/>
        </w:rPr>
        <w:t>el informe carec</w:t>
      </w:r>
      <w:r w:rsidRPr="007E4AA8">
        <w:rPr>
          <w:color w:val="auto"/>
          <w:lang w:val="es-ES"/>
        </w:rPr>
        <w:t>ía</w:t>
      </w:r>
      <w:r w:rsidR="00E7457A" w:rsidRPr="007E4AA8">
        <w:rPr>
          <w:color w:val="auto"/>
          <w:lang w:val="es-ES"/>
        </w:rPr>
        <w:t xml:space="preserve"> de metodología técnico científica que avalen sus resultados</w:t>
      </w:r>
      <w:r w:rsidRPr="007E4AA8">
        <w:rPr>
          <w:color w:val="auto"/>
          <w:lang w:val="es-ES"/>
        </w:rPr>
        <w:t xml:space="preserve">. </w:t>
      </w:r>
      <w:r w:rsidR="008E7F15" w:rsidRPr="007E4AA8">
        <w:rPr>
          <w:color w:val="auto"/>
          <w:lang w:val="es-ES"/>
        </w:rPr>
        <w:t xml:space="preserve">En este sentido, llama la atención </w:t>
      </w:r>
      <w:r w:rsidR="008E7F15" w:rsidRPr="007E4AA8">
        <w:rPr>
          <w:color w:val="auto"/>
          <w:lang w:val="es-ES"/>
        </w:rPr>
        <w:lastRenderedPageBreak/>
        <w:t>que</w:t>
      </w:r>
      <w:r w:rsidR="0083685B" w:rsidRPr="007E4AA8">
        <w:rPr>
          <w:color w:val="auto"/>
          <w:lang w:val="es-ES"/>
        </w:rPr>
        <w:t>,</w:t>
      </w:r>
      <w:r w:rsidR="008E7F15" w:rsidRPr="007E4AA8">
        <w:rPr>
          <w:color w:val="auto"/>
          <w:lang w:val="es-ES"/>
        </w:rPr>
        <w:t xml:space="preserve"> si el documento es legible solo en parte, el tribunal no dispusiese obtener mejor copia </w:t>
      </w:r>
      <w:r w:rsidR="009E11EF" w:rsidRPr="007E4AA8">
        <w:rPr>
          <w:color w:val="auto"/>
          <w:lang w:val="es-ES"/>
        </w:rPr>
        <w:t xml:space="preserve">de este, dada la </w:t>
      </w:r>
      <w:r w:rsidR="006F5E2A" w:rsidRPr="007E4AA8">
        <w:rPr>
          <w:color w:val="auto"/>
          <w:lang w:val="es-ES"/>
        </w:rPr>
        <w:t>relevancia probatoria</w:t>
      </w:r>
      <w:r w:rsidR="009E11EF" w:rsidRPr="007E4AA8">
        <w:rPr>
          <w:color w:val="auto"/>
          <w:lang w:val="es-ES"/>
        </w:rPr>
        <w:t xml:space="preserve"> que el mismo tenía.</w:t>
      </w:r>
    </w:p>
    <w:p w14:paraId="72EF9BE3" w14:textId="77777777" w:rsidR="00423103" w:rsidRPr="007E4AA8" w:rsidRDefault="00B25386" w:rsidP="00423103">
      <w:pPr>
        <w:pStyle w:val="parrafos"/>
        <w:ind w:left="0" w:firstLine="0"/>
        <w:rPr>
          <w:color w:val="auto"/>
          <w:lang w:val="es-ES"/>
        </w:rPr>
      </w:pPr>
      <w:r w:rsidRPr="007E4AA8">
        <w:rPr>
          <w:rFonts w:ascii="Cambria" w:hAnsi="Cambria"/>
          <w:color w:val="auto"/>
          <w:lang w:val="es-ES"/>
        </w:rPr>
        <w:t>Con base en lo señalado, la Comisión considera pertinente otorgar valor probatorio a los indicios antes señalados, y teniendo en cuenta que los golpes y maltratos tuvieron por objeto</w:t>
      </w:r>
      <w:r w:rsidR="007B3D08" w:rsidRPr="007E4AA8">
        <w:rPr>
          <w:rFonts w:ascii="Cambria" w:hAnsi="Cambria"/>
          <w:color w:val="auto"/>
          <w:lang w:val="es-ES"/>
        </w:rPr>
        <w:t xml:space="preserve"> presiona</w:t>
      </w:r>
      <w:r w:rsidRPr="007E4AA8">
        <w:rPr>
          <w:rFonts w:ascii="Cambria" w:hAnsi="Cambria"/>
          <w:color w:val="auto"/>
          <w:lang w:val="es-ES"/>
        </w:rPr>
        <w:t>rle</w:t>
      </w:r>
      <w:r w:rsidR="007B3D08" w:rsidRPr="007E4AA8">
        <w:rPr>
          <w:rFonts w:ascii="Cambria" w:hAnsi="Cambria"/>
          <w:color w:val="auto"/>
          <w:lang w:val="es-ES"/>
        </w:rPr>
        <w:t xml:space="preserve"> a prestar declaración a fin de </w:t>
      </w:r>
      <w:r w:rsidRPr="007E4AA8">
        <w:rPr>
          <w:rFonts w:ascii="Cambria" w:hAnsi="Cambria"/>
          <w:color w:val="auto"/>
          <w:lang w:val="es-ES"/>
        </w:rPr>
        <w:t xml:space="preserve">reconocer </w:t>
      </w:r>
      <w:r w:rsidR="007B3D08" w:rsidRPr="007E4AA8">
        <w:rPr>
          <w:rFonts w:ascii="Cambria" w:hAnsi="Cambria"/>
          <w:color w:val="auto"/>
          <w:lang w:val="es-ES"/>
        </w:rPr>
        <w:t>involucrar a personas en un intento de golpe de Estado</w:t>
      </w:r>
      <w:r w:rsidRPr="007E4AA8">
        <w:rPr>
          <w:rFonts w:ascii="Cambria" w:hAnsi="Cambria"/>
          <w:color w:val="auto"/>
          <w:lang w:val="es-ES"/>
        </w:rPr>
        <w:t>, incluso</w:t>
      </w:r>
      <w:r w:rsidR="007B3D08" w:rsidRPr="007E4AA8">
        <w:rPr>
          <w:rFonts w:ascii="Cambria" w:hAnsi="Cambria"/>
          <w:color w:val="auto"/>
          <w:lang w:val="es-ES"/>
        </w:rPr>
        <w:t xml:space="preserve"> bajo amenaza de vincular a su esposa al proceso penal seguido en su contra</w:t>
      </w:r>
      <w:r w:rsidRPr="007E4AA8">
        <w:rPr>
          <w:rFonts w:ascii="Cambria" w:hAnsi="Cambria"/>
          <w:color w:val="auto"/>
          <w:lang w:val="es-ES"/>
        </w:rPr>
        <w:t>, la Comisión observa que se encuentran reunidos los requisitos para establecer que se trató efectivamente de tortura</w:t>
      </w:r>
      <w:r w:rsidR="007B3D08" w:rsidRPr="007E4AA8">
        <w:rPr>
          <w:rFonts w:ascii="Cambria" w:hAnsi="Cambria"/>
          <w:color w:val="auto"/>
          <w:lang w:val="es-ES"/>
        </w:rPr>
        <w:t xml:space="preserve">.  </w:t>
      </w:r>
      <w:r w:rsidR="000F2367" w:rsidRPr="007E4AA8">
        <w:rPr>
          <w:rFonts w:ascii="Cambria" w:hAnsi="Cambria"/>
          <w:color w:val="auto"/>
          <w:lang w:val="es-ES"/>
        </w:rPr>
        <w:t>Por otra parte, como se ha indicado, el Estado no ha concluido a la fecha una investigación y proceso penal que se encuentre en firme y controvierta en definitiva tales alegaciones e indicios de eventos que ocurrieron mientras el señor López estuvo bajo su custodia.</w:t>
      </w:r>
    </w:p>
    <w:p w14:paraId="6D3C4295" w14:textId="77777777" w:rsidR="00423103" w:rsidRPr="007E4AA8" w:rsidRDefault="00423103" w:rsidP="00423103">
      <w:pPr>
        <w:pStyle w:val="ListParagraph"/>
        <w:rPr>
          <w:color w:val="auto"/>
        </w:rPr>
      </w:pPr>
    </w:p>
    <w:p w14:paraId="3BD3365B" w14:textId="77777777" w:rsidR="000F2367" w:rsidRPr="007E4AA8" w:rsidRDefault="000F2367" w:rsidP="00423103">
      <w:pPr>
        <w:pStyle w:val="parrafos"/>
        <w:ind w:left="0" w:firstLine="0"/>
        <w:rPr>
          <w:color w:val="auto"/>
          <w:lang w:val="es-ES"/>
        </w:rPr>
      </w:pPr>
      <w:r w:rsidRPr="007E4AA8">
        <w:rPr>
          <w:color w:val="auto"/>
          <w:lang w:val="es-ES"/>
        </w:rPr>
        <w:t>En la misma línea y tras establecer que la diligencia en la investigación de indicios de participación estatal, no se cumple, la Corte Interamericana ha señalado que es:</w:t>
      </w:r>
    </w:p>
    <w:p w14:paraId="30D90E03" w14:textId="77777777" w:rsidR="000F2367" w:rsidRPr="007E4AA8" w:rsidRDefault="000F2367" w:rsidP="000F2367">
      <w:pPr>
        <w:tabs>
          <w:tab w:val="num" w:pos="0"/>
          <w:tab w:val="left" w:pos="1440"/>
        </w:tabs>
        <w:ind w:left="720"/>
        <w:jc w:val="both"/>
        <w:rPr>
          <w:rFonts w:asciiTheme="majorHAnsi" w:hAnsiTheme="majorHAnsi"/>
          <w:sz w:val="20"/>
          <w:szCs w:val="20"/>
          <w:lang w:val="es-ES"/>
        </w:rPr>
      </w:pPr>
    </w:p>
    <w:p w14:paraId="11FB5179" w14:textId="77777777" w:rsidR="000F2367" w:rsidRPr="007E4AA8" w:rsidRDefault="000F2367" w:rsidP="00423103">
      <w:pPr>
        <w:tabs>
          <w:tab w:val="num" w:pos="0"/>
          <w:tab w:val="left" w:pos="1440"/>
        </w:tabs>
        <w:ind w:left="720" w:right="571"/>
        <w:jc w:val="both"/>
        <w:rPr>
          <w:rFonts w:asciiTheme="majorHAnsi" w:hAnsiTheme="majorHAnsi"/>
          <w:sz w:val="20"/>
          <w:szCs w:val="20"/>
          <w:lang w:val="es-ES"/>
        </w:rPr>
      </w:pPr>
      <w:r w:rsidRPr="007E4AA8">
        <w:rPr>
          <w:rFonts w:asciiTheme="majorHAnsi" w:hAnsiTheme="majorHAnsi"/>
          <w:sz w:val="20"/>
          <w:szCs w:val="20"/>
          <w:lang w:val="es-ES"/>
        </w:rPr>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7E4AA8">
        <w:rPr>
          <w:rStyle w:val="FootnoteReference"/>
          <w:rFonts w:asciiTheme="majorHAnsi" w:hAnsiTheme="majorHAnsi"/>
          <w:sz w:val="20"/>
          <w:szCs w:val="20"/>
          <w:lang w:val="es-ES"/>
        </w:rPr>
        <w:footnoteReference w:id="99"/>
      </w:r>
      <w:r w:rsidRPr="007E4AA8">
        <w:rPr>
          <w:rFonts w:asciiTheme="majorHAnsi" w:hAnsiTheme="majorHAnsi"/>
          <w:sz w:val="20"/>
          <w:szCs w:val="20"/>
          <w:lang w:val="es-ES"/>
        </w:rPr>
        <w:t xml:space="preserve">. </w:t>
      </w:r>
    </w:p>
    <w:p w14:paraId="71715443" w14:textId="77777777" w:rsidR="002D19B3" w:rsidRPr="007E4AA8" w:rsidRDefault="002D19B3" w:rsidP="005C5A98">
      <w:pPr>
        <w:rPr>
          <w:lang w:val="es-ES"/>
        </w:rPr>
      </w:pPr>
    </w:p>
    <w:p w14:paraId="23BA8F38" w14:textId="77777777" w:rsidR="00423103" w:rsidRPr="007E4AA8" w:rsidRDefault="00423103" w:rsidP="00423103">
      <w:pPr>
        <w:pStyle w:val="parrafos"/>
        <w:suppressAutoHyphens/>
        <w:ind w:left="0" w:firstLine="0"/>
        <w:rPr>
          <w:rFonts w:ascii="Cambria" w:hAnsi="Cambria"/>
          <w:color w:val="auto"/>
          <w:lang w:val="es-ES"/>
        </w:rPr>
      </w:pPr>
      <w:r w:rsidRPr="007E4AA8">
        <w:rPr>
          <w:color w:val="auto"/>
          <w:lang w:val="es-ES"/>
        </w:rPr>
        <w:t xml:space="preserve">Igualmente, la Corte ha reiterado que la falta de investigación de alegadas violaciones cometidas a una persona cuando existen indicios de participación de agentes estatales, “impide que el Estado presente una explicación satisfactoria y convincente de los </w:t>
      </w:r>
      <w:r w:rsidRPr="007E4AA8">
        <w:rPr>
          <w:rFonts w:cs="Arial"/>
          <w:color w:val="auto"/>
          <w:lang w:val="es-ES"/>
        </w:rPr>
        <w:t>[hechos]</w:t>
      </w:r>
      <w:r w:rsidRPr="007E4AA8">
        <w:rPr>
          <w:color w:val="auto"/>
          <w:lang w:val="es-ES"/>
        </w:rPr>
        <w:t xml:space="preserve"> alegados y desvirtuar las alegaciones sobre su responsabilidad, mediante elementos probatorios adecuados”</w:t>
      </w:r>
      <w:r w:rsidRPr="007E4AA8">
        <w:rPr>
          <w:rStyle w:val="FootnoteReference"/>
          <w:color w:val="auto"/>
          <w:lang w:val="es-ES"/>
        </w:rPr>
        <w:footnoteReference w:id="100"/>
      </w:r>
      <w:r w:rsidRPr="007E4AA8">
        <w:rPr>
          <w:color w:val="auto"/>
          <w:lang w:val="es-ES"/>
        </w:rPr>
        <w:t>. De esta forma, la Corte ha tomado dicha falta de esclarecimiento como un factor a tomar en cuenta para acreditar la alegada afectación y la consecuente responsabilidad internacional</w:t>
      </w:r>
      <w:r w:rsidRPr="007E4AA8">
        <w:rPr>
          <w:rStyle w:val="FootnoteReference"/>
          <w:color w:val="auto"/>
          <w:lang w:val="es-ES"/>
        </w:rPr>
        <w:footnoteReference w:id="101"/>
      </w:r>
      <w:r w:rsidRPr="007E4AA8">
        <w:rPr>
          <w:color w:val="auto"/>
          <w:lang w:val="es-ES"/>
        </w:rPr>
        <w:t>.</w:t>
      </w:r>
    </w:p>
    <w:p w14:paraId="47151B01" w14:textId="77777777" w:rsidR="00423103" w:rsidRPr="007E4AA8" w:rsidRDefault="00423103" w:rsidP="00423103">
      <w:pPr>
        <w:pStyle w:val="parrafos"/>
        <w:numPr>
          <w:ilvl w:val="0"/>
          <w:numId w:val="0"/>
        </w:numPr>
        <w:suppressAutoHyphens/>
        <w:rPr>
          <w:rFonts w:ascii="Cambria" w:hAnsi="Cambria"/>
          <w:color w:val="auto"/>
          <w:lang w:val="es-ES"/>
        </w:rPr>
      </w:pPr>
    </w:p>
    <w:p w14:paraId="0FB9D008" w14:textId="77777777" w:rsidR="002D19B3" w:rsidRPr="007E4AA8" w:rsidRDefault="002D19B3" w:rsidP="003F3C61">
      <w:pPr>
        <w:pStyle w:val="parrafos"/>
        <w:suppressAutoHyphens/>
        <w:ind w:left="0" w:firstLine="0"/>
        <w:rPr>
          <w:rFonts w:ascii="Cambria" w:hAnsi="Cambria"/>
          <w:color w:val="auto"/>
          <w:lang w:val="es-ES"/>
        </w:rPr>
      </w:pPr>
      <w:r w:rsidRPr="007E4AA8">
        <w:rPr>
          <w:rFonts w:ascii="Cambria" w:hAnsi="Cambria"/>
          <w:bCs/>
          <w:color w:val="auto"/>
          <w:lang w:val="es-ES"/>
        </w:rPr>
        <w:t>En virtud de lo anterior, la Comisión considera que el Estado violó el derecho a la integridad personal establecido en los artículos 5.1</w:t>
      </w:r>
      <w:r w:rsidR="008B6471" w:rsidRPr="007E4AA8">
        <w:rPr>
          <w:rFonts w:ascii="Cambria" w:hAnsi="Cambria"/>
          <w:bCs/>
          <w:color w:val="auto"/>
          <w:lang w:val="es-ES"/>
        </w:rPr>
        <w:t xml:space="preserve"> y</w:t>
      </w:r>
      <w:r w:rsidRPr="007E4AA8">
        <w:rPr>
          <w:rFonts w:ascii="Cambria" w:hAnsi="Cambria"/>
          <w:bCs/>
          <w:color w:val="auto"/>
          <w:lang w:val="es-ES"/>
        </w:rPr>
        <w:t xml:space="preserve"> 5.2 de la Convención Americana en relación con el artículo 1.1 del mismo instrumento, en perjuicio de </w:t>
      </w:r>
      <w:r w:rsidRPr="007E4AA8">
        <w:rPr>
          <w:color w:val="auto"/>
          <w:lang w:val="es-ES"/>
        </w:rPr>
        <w:t>Jorge López Sosa</w:t>
      </w:r>
      <w:r w:rsidRPr="007E4AA8">
        <w:rPr>
          <w:rFonts w:ascii="Cambria" w:hAnsi="Cambria"/>
          <w:bCs/>
          <w:color w:val="auto"/>
          <w:lang w:val="es-ES"/>
        </w:rPr>
        <w:t>.</w:t>
      </w:r>
      <w:r w:rsidR="00B25386" w:rsidRPr="007E4AA8">
        <w:rPr>
          <w:rFonts w:ascii="Cambria" w:hAnsi="Cambria"/>
          <w:bCs/>
          <w:color w:val="auto"/>
          <w:lang w:val="es-ES"/>
        </w:rPr>
        <w:t xml:space="preserve"> </w:t>
      </w:r>
      <w:r w:rsidR="00423103" w:rsidRPr="007E4AA8">
        <w:rPr>
          <w:color w:val="auto"/>
          <w:lang w:val="es-ES"/>
        </w:rPr>
        <w:t xml:space="preserve">Además, el Estado violó, en su perjuicio, los artículos 1 y 6 de la Convención Interamericana para Prevenir y Sancionar la Tortura.    </w:t>
      </w:r>
    </w:p>
    <w:p w14:paraId="666E6E23" w14:textId="77777777" w:rsidR="003F3C61" w:rsidRPr="007E4AA8" w:rsidRDefault="003F3C61" w:rsidP="00857780">
      <w:pPr>
        <w:rPr>
          <w:lang w:val="es-ES"/>
        </w:rPr>
      </w:pPr>
    </w:p>
    <w:p w14:paraId="35842D80" w14:textId="77777777" w:rsidR="00857780" w:rsidRPr="007E4AA8" w:rsidRDefault="00857780" w:rsidP="00D56F4B">
      <w:pPr>
        <w:pStyle w:val="Heading3"/>
        <w:numPr>
          <w:ilvl w:val="0"/>
          <w:numId w:val="56"/>
        </w:numPr>
        <w:tabs>
          <w:tab w:val="left" w:pos="360"/>
        </w:tabs>
        <w:suppressAutoHyphens/>
        <w:jc w:val="both"/>
        <w:rPr>
          <w:lang w:val="es-ES"/>
        </w:rPr>
      </w:pPr>
      <w:r w:rsidRPr="007E4AA8">
        <w:rPr>
          <w:lang w:val="es-ES"/>
        </w:rPr>
        <w:t xml:space="preserve"> </w:t>
      </w:r>
      <w:bookmarkStart w:id="12" w:name="_Toc60669573"/>
      <w:r w:rsidR="00241500" w:rsidRPr="007E4AA8">
        <w:rPr>
          <w:lang w:val="es-ES"/>
        </w:rPr>
        <w:t>Garantías judiciales y protección judicial</w:t>
      </w:r>
      <w:r w:rsidRPr="007E4AA8">
        <w:rPr>
          <w:lang w:val="es-ES"/>
        </w:rPr>
        <w:t xml:space="preserve"> </w:t>
      </w:r>
      <w:r w:rsidR="00121C72" w:rsidRPr="007E4AA8">
        <w:rPr>
          <w:lang w:val="es-ES"/>
        </w:rPr>
        <w:t xml:space="preserve">e investigación </w:t>
      </w:r>
      <w:r w:rsidR="005C0E7F" w:rsidRPr="007E4AA8">
        <w:rPr>
          <w:lang w:val="es-ES"/>
        </w:rPr>
        <w:t>en materia de tortura</w:t>
      </w:r>
      <w:bookmarkEnd w:id="12"/>
      <w:r w:rsidR="004906CC" w:rsidRPr="007E4AA8">
        <w:rPr>
          <w:lang w:val="es-ES"/>
        </w:rPr>
        <w:t xml:space="preserve"> </w:t>
      </w:r>
    </w:p>
    <w:p w14:paraId="2AD259D9" w14:textId="77777777" w:rsidR="00121C72" w:rsidRPr="007E4AA8" w:rsidRDefault="00121C72" w:rsidP="00121C72">
      <w:pPr>
        <w:rPr>
          <w:lang w:val="es-ES" w:eastAsia="es-ES_tradnl"/>
        </w:rPr>
      </w:pPr>
    </w:p>
    <w:p w14:paraId="62CDA535" w14:textId="77777777" w:rsidR="00AE39F6" w:rsidRPr="007E4AA8" w:rsidRDefault="00AE39F6" w:rsidP="00AE39F6">
      <w:pPr>
        <w:pStyle w:val="parrafos"/>
        <w:ind w:left="0" w:firstLine="0"/>
        <w:rPr>
          <w:rFonts w:ascii="Cambria" w:hAnsi="Cambria"/>
          <w:color w:val="auto"/>
          <w:lang w:val="es-ES"/>
        </w:rPr>
      </w:pPr>
      <w:r w:rsidRPr="007E4AA8">
        <w:rPr>
          <w:rFonts w:ascii="Cambria" w:hAnsi="Cambria"/>
          <w:color w:val="auto"/>
          <w:lang w:val="es-ES"/>
        </w:rPr>
        <w:t>La Corte</w:t>
      </w:r>
      <w:r w:rsidR="004906CC" w:rsidRPr="007E4AA8">
        <w:rPr>
          <w:rFonts w:ascii="Cambria" w:hAnsi="Cambria"/>
          <w:color w:val="auto"/>
          <w:lang w:val="es-ES"/>
        </w:rPr>
        <w:t xml:space="preserve"> IDH</w:t>
      </w:r>
      <w:r w:rsidRPr="007E4AA8">
        <w:rPr>
          <w:rFonts w:ascii="Cambria" w:hAnsi="Cambria"/>
          <w:color w:val="auto"/>
          <w:lang w:val="es-ES"/>
        </w:rPr>
        <w:t xml:space="preserve"> ha considerado que el Estado </w:t>
      </w:r>
      <w:r w:rsidR="009B5DCD" w:rsidRPr="007E4AA8">
        <w:rPr>
          <w:rFonts w:ascii="Cambria" w:hAnsi="Cambria"/>
          <w:color w:val="auto"/>
          <w:lang w:val="es-ES"/>
        </w:rPr>
        <w:t>tiene</w:t>
      </w:r>
      <w:r w:rsidRPr="007E4AA8">
        <w:rPr>
          <w:rFonts w:ascii="Cambria" w:hAnsi="Cambria"/>
          <w:color w:val="auto"/>
          <w:lang w:val="es-ES"/>
        </w:rPr>
        <w:t xml:space="preserve"> la obligación de proveer recursos judiciales efectivos a las personas que aleguen ser víctimas de violaciones de derechos humanos (artículo 25 de la Convención), recursos que deben ser sustanciados conform</w:t>
      </w:r>
      <w:r w:rsidR="00C40B65" w:rsidRPr="007E4AA8">
        <w:rPr>
          <w:rFonts w:ascii="Cambria" w:hAnsi="Cambria"/>
          <w:color w:val="auto"/>
          <w:lang w:val="es-ES"/>
        </w:rPr>
        <w:t>e a</w:t>
      </w:r>
      <w:r w:rsidRPr="007E4AA8">
        <w:rPr>
          <w:rFonts w:ascii="Cambria" w:hAnsi="Cambria"/>
          <w:color w:val="auto"/>
          <w:lang w:val="es-ES"/>
        </w:rPr>
        <w:t xml:space="preserve"> las reglas del debido proceso legal (artículo 8.1 de la Convención), ello dentro de la obligación general</w:t>
      </w:r>
      <w:r w:rsidR="009B5DCD" w:rsidRPr="007E4AA8">
        <w:rPr>
          <w:rFonts w:ascii="Cambria" w:hAnsi="Cambria"/>
          <w:color w:val="auto"/>
          <w:lang w:val="es-ES"/>
        </w:rPr>
        <w:t xml:space="preserve"> </w:t>
      </w:r>
      <w:r w:rsidRPr="007E4AA8">
        <w:rPr>
          <w:rFonts w:ascii="Cambria" w:hAnsi="Cambria"/>
          <w:color w:val="auto"/>
          <w:lang w:val="es-ES"/>
        </w:rPr>
        <w:t xml:space="preserve">de garantizar el libre y pleno ejercicio de los derechos reconocidos por la Convención a toda persona que se encuentre bajo su jurisdicción (artículo 1.1 de la Convención). </w:t>
      </w:r>
      <w:r w:rsidR="009B5DCD" w:rsidRPr="007E4AA8">
        <w:rPr>
          <w:rFonts w:ascii="Cambria" w:hAnsi="Cambria"/>
          <w:color w:val="auto"/>
          <w:lang w:val="es-ES"/>
        </w:rPr>
        <w:t>Así, ha sostenido que</w:t>
      </w:r>
      <w:r w:rsidRPr="007E4AA8">
        <w:rPr>
          <w:rFonts w:ascii="Cambria" w:hAnsi="Cambria"/>
          <w:color w:val="auto"/>
          <w:lang w:val="es-ES"/>
        </w:rPr>
        <w:t>, “</w:t>
      </w:r>
      <w:r w:rsidR="009B5DCD" w:rsidRPr="007E4AA8">
        <w:rPr>
          <w:rFonts w:ascii="Cambria" w:hAnsi="Cambria"/>
          <w:color w:val="auto"/>
          <w:lang w:val="es-ES"/>
        </w:rPr>
        <w:t xml:space="preserve">se </w:t>
      </w:r>
      <w:r w:rsidRPr="007E4AA8">
        <w:rPr>
          <w:rFonts w:ascii="Cambria" w:hAnsi="Cambria"/>
          <w:color w:val="auto"/>
          <w:lang w:val="es-ES"/>
        </w:rPr>
        <w:t>debe asegurar, en tiempo razonable, el derecho de las presuntas víctimas o sus familiares a que se haga todo lo necesario para conocer la verdad de lo sucedido y se sancione a los eventuales responsables</w:t>
      </w:r>
      <w:r w:rsidR="004906CC" w:rsidRPr="007E4AA8">
        <w:rPr>
          <w:rFonts w:ascii="Cambria" w:hAnsi="Cambria"/>
          <w:color w:val="auto"/>
          <w:lang w:val="es-ES"/>
        </w:rPr>
        <w:t xml:space="preserve"> (…) </w:t>
      </w:r>
      <w:r w:rsidRPr="007E4AA8">
        <w:rPr>
          <w:rFonts w:ascii="Cambria" w:hAnsi="Cambria"/>
          <w:color w:val="auto"/>
          <w:lang w:val="es-ES"/>
        </w:rPr>
        <w:t>De modo consecuente, existe un deber estatal de investigar los hechos, que es una obligación de medio y no de resultado, pero que debe ser asumida por los Estados como un deber jurídico propio y no como una simple formalidad condenada de antemano a ser infructuosa, o como una mera gestión de intereses particulares, que dependa de la iniciativa procesal de las víctimas o sus familiares, o de la aportación privada de elementos probatorios</w:t>
      </w:r>
      <w:r w:rsidR="004906CC" w:rsidRPr="007E4AA8">
        <w:rPr>
          <w:rFonts w:ascii="Cambria" w:hAnsi="Cambria"/>
          <w:color w:val="auto"/>
          <w:lang w:val="es-ES"/>
        </w:rPr>
        <w:t>”</w:t>
      </w:r>
      <w:r w:rsidRPr="007E4AA8">
        <w:rPr>
          <w:rStyle w:val="FootnoteReference"/>
          <w:rFonts w:ascii="Cambria" w:hAnsi="Cambria"/>
          <w:color w:val="auto"/>
          <w:lang w:val="es-ES"/>
        </w:rPr>
        <w:footnoteReference w:id="102"/>
      </w:r>
      <w:r w:rsidRPr="007E4AA8">
        <w:rPr>
          <w:rFonts w:ascii="Cambria" w:hAnsi="Cambria"/>
          <w:color w:val="auto"/>
          <w:lang w:val="es-ES"/>
        </w:rPr>
        <w:t>.</w:t>
      </w:r>
    </w:p>
    <w:p w14:paraId="0647D81F" w14:textId="77777777" w:rsidR="00AE39F6" w:rsidRPr="007E4AA8" w:rsidRDefault="00AE39F6" w:rsidP="00857780">
      <w:pPr>
        <w:suppressAutoHyphens/>
        <w:jc w:val="both"/>
        <w:rPr>
          <w:rFonts w:ascii="Cambria" w:hAnsi="Cambria" w:cs="TimesNewRoman"/>
          <w:sz w:val="20"/>
          <w:szCs w:val="20"/>
          <w:lang w:val="es-ES" w:eastAsia="es-ES_tradnl"/>
        </w:rPr>
      </w:pPr>
    </w:p>
    <w:p w14:paraId="0D3AC607" w14:textId="77777777" w:rsidR="005C0E7F" w:rsidRPr="007E4AA8" w:rsidRDefault="009B5DCD" w:rsidP="005C0E7F">
      <w:pPr>
        <w:pStyle w:val="parrafos"/>
        <w:ind w:left="0" w:firstLine="0"/>
        <w:rPr>
          <w:rFonts w:ascii="Cambria" w:hAnsi="Cambria"/>
          <w:color w:val="auto"/>
          <w:lang w:val="es-ES"/>
        </w:rPr>
      </w:pPr>
      <w:r w:rsidRPr="007E4AA8">
        <w:rPr>
          <w:rFonts w:ascii="Cambria" w:hAnsi="Cambria"/>
          <w:color w:val="auto"/>
          <w:lang w:val="es-ES"/>
        </w:rPr>
        <w:lastRenderedPageBreak/>
        <w:t>En particular, a</w:t>
      </w:r>
      <w:r w:rsidR="000212D9" w:rsidRPr="007E4AA8">
        <w:rPr>
          <w:rFonts w:ascii="Cambria" w:hAnsi="Cambria"/>
          <w:color w:val="auto"/>
          <w:lang w:val="es-ES"/>
        </w:rPr>
        <w:t xml:space="preserve"> la luz de la obligación general </w:t>
      </w:r>
      <w:r w:rsidR="00AF3E57" w:rsidRPr="007E4AA8">
        <w:rPr>
          <w:rFonts w:ascii="Cambria" w:hAnsi="Cambria"/>
          <w:color w:val="auto"/>
          <w:lang w:val="es-ES"/>
        </w:rPr>
        <w:t>contenida en el</w:t>
      </w:r>
      <w:r w:rsidR="000212D9" w:rsidRPr="007E4AA8">
        <w:rPr>
          <w:rFonts w:ascii="Cambria" w:hAnsi="Cambria"/>
          <w:color w:val="auto"/>
          <w:lang w:val="es-ES"/>
        </w:rPr>
        <w:t xml:space="preserve"> artículo 1.1 de la Convención Americana, “el Estado tiene el deber de iniciar de oficio e inmediatamente una investigación efectiva que permita identificar, juzgar y sancionar a los responsables, cuando existe denuncia o razón fundada para creer que se ha cometido un acto de tortura en violación del artículo 5 de la Convención Americana”</w:t>
      </w:r>
      <w:r w:rsidR="000212D9" w:rsidRPr="007E4AA8">
        <w:rPr>
          <w:rStyle w:val="FootnoteReference"/>
          <w:rFonts w:ascii="Cambria" w:hAnsi="Cambria"/>
          <w:color w:val="auto"/>
          <w:lang w:val="es-ES"/>
        </w:rPr>
        <w:footnoteReference w:id="103"/>
      </w:r>
      <w:r w:rsidR="000212D9" w:rsidRPr="007E4AA8">
        <w:rPr>
          <w:rFonts w:ascii="Cambria" w:hAnsi="Cambria"/>
          <w:color w:val="auto"/>
          <w:lang w:val="es-ES"/>
        </w:rPr>
        <w:t xml:space="preserve">. </w:t>
      </w:r>
      <w:r w:rsidR="00AF3E57" w:rsidRPr="007E4AA8">
        <w:rPr>
          <w:rFonts w:ascii="Cambria" w:hAnsi="Cambria"/>
          <w:color w:val="auto"/>
          <w:lang w:val="es-ES"/>
        </w:rPr>
        <w:t>En este sentido</w:t>
      </w:r>
      <w:r w:rsidR="005C0E7F" w:rsidRPr="007E4AA8">
        <w:rPr>
          <w:rFonts w:ascii="Cambria" w:hAnsi="Cambria"/>
          <w:color w:val="auto"/>
          <w:lang w:val="es-ES"/>
        </w:rPr>
        <w:t xml:space="preserve">, “una vez que las autoridades estatales tengan conocimiento de un hecho que podría ser constitutivo de tortura, deben “iniciar </w:t>
      </w:r>
      <w:r w:rsidR="005C0E7F" w:rsidRPr="007E4AA8">
        <w:rPr>
          <w:rFonts w:ascii="Cambria" w:hAnsi="Cambria"/>
          <w:i/>
          <w:iCs/>
          <w:color w:val="auto"/>
          <w:lang w:val="es-ES"/>
        </w:rPr>
        <w:t>ex officio</w:t>
      </w:r>
      <w:r w:rsidR="005C0E7F" w:rsidRPr="007E4AA8">
        <w:rPr>
          <w:rFonts w:ascii="Cambria" w:hAnsi="Cambria"/>
          <w:color w:val="auto"/>
          <w:lang w:val="es-ES"/>
        </w:rPr>
        <w:t xml:space="preserve"> y sin dilación, una investigación seria, imparcial y efectiva” por todos los medios legales disponibles y orientada a la determinación de la verdad y a la persecución, captura, enjuiciamiento y eventual castigo de todos los responsables intelectuales y materiales de los hechos, especialmente cuando están o puedan estar involucrados agentes estatales”</w:t>
      </w:r>
      <w:r w:rsidR="005C0E7F" w:rsidRPr="007E4AA8">
        <w:rPr>
          <w:rStyle w:val="FootnoteReference"/>
          <w:rFonts w:ascii="Cambria" w:hAnsi="Cambria"/>
          <w:color w:val="auto"/>
          <w:lang w:val="es-ES"/>
        </w:rPr>
        <w:footnoteReference w:id="104"/>
      </w:r>
      <w:r w:rsidR="005C0E7F" w:rsidRPr="007E4AA8">
        <w:rPr>
          <w:rFonts w:ascii="Cambria" w:hAnsi="Cambria"/>
          <w:color w:val="auto"/>
          <w:lang w:val="es-ES"/>
        </w:rPr>
        <w:t>.</w:t>
      </w:r>
    </w:p>
    <w:p w14:paraId="22CBA6D4" w14:textId="77777777" w:rsidR="000212D9" w:rsidRPr="007E4AA8" w:rsidRDefault="000212D9" w:rsidP="000212D9">
      <w:pPr>
        <w:pStyle w:val="parrafos"/>
        <w:numPr>
          <w:ilvl w:val="0"/>
          <w:numId w:val="0"/>
        </w:numPr>
        <w:rPr>
          <w:rFonts w:ascii="Cambria" w:hAnsi="Cambria"/>
          <w:color w:val="auto"/>
          <w:lang w:val="es-ES"/>
        </w:rPr>
      </w:pPr>
    </w:p>
    <w:p w14:paraId="79CBD3E6" w14:textId="77777777" w:rsidR="002D19B3" w:rsidRPr="007E4AA8" w:rsidRDefault="002D19B3" w:rsidP="002D19B3">
      <w:pPr>
        <w:pStyle w:val="parrafos"/>
        <w:ind w:left="0" w:firstLine="0"/>
        <w:rPr>
          <w:rFonts w:ascii="Cambria" w:hAnsi="Cambria"/>
          <w:color w:val="auto"/>
          <w:lang w:val="es-ES"/>
        </w:rPr>
      </w:pPr>
      <w:r w:rsidRPr="007E4AA8">
        <w:rPr>
          <w:rFonts w:ascii="Cambria" w:hAnsi="Cambria"/>
          <w:color w:val="auto"/>
          <w:lang w:val="es-ES"/>
        </w:rPr>
        <w:t>Como se refirió en el acápite anterior, el deber de investigar previsto en la Convención Americana se ve reforzado por lo dispuesto en los artículos 1, 6 y 8 de la Convención Interamericana para Prevenir y Sancionar Conforme con lo dispuesto en el artículo 8 de dicha Convención,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De acuerdo a ello, la Corte ha considerado en varias oportunidades que cuando se produce una falta al deber de investigar alegados hechos de tortura, ello también implicaba una afectación a estos artículos de la CIPST”</w:t>
      </w:r>
      <w:r w:rsidRPr="007E4AA8">
        <w:rPr>
          <w:rStyle w:val="FootnoteReference"/>
          <w:rFonts w:ascii="Cambria" w:hAnsi="Cambria"/>
          <w:color w:val="auto"/>
          <w:lang w:val="es-ES"/>
        </w:rPr>
        <w:footnoteReference w:id="105"/>
      </w:r>
      <w:r w:rsidRPr="007E4AA8">
        <w:rPr>
          <w:rFonts w:ascii="Cambria" w:hAnsi="Cambria"/>
          <w:color w:val="auto"/>
          <w:lang w:val="es-ES"/>
        </w:rPr>
        <w:t>.</w:t>
      </w:r>
    </w:p>
    <w:p w14:paraId="1B8D2A4C" w14:textId="77777777" w:rsidR="005C0E7F" w:rsidRPr="007E4AA8" w:rsidRDefault="005C0E7F" w:rsidP="005C0E7F">
      <w:pPr>
        <w:pStyle w:val="parrafos"/>
        <w:numPr>
          <w:ilvl w:val="0"/>
          <w:numId w:val="0"/>
        </w:numPr>
        <w:rPr>
          <w:rFonts w:ascii="Cambria" w:hAnsi="Cambria"/>
          <w:color w:val="auto"/>
          <w:lang w:val="es-ES"/>
        </w:rPr>
      </w:pPr>
    </w:p>
    <w:p w14:paraId="119C764F" w14:textId="77777777" w:rsidR="00D16E73" w:rsidRPr="007E4AA8" w:rsidRDefault="005C0E7F" w:rsidP="00D56F4B">
      <w:pPr>
        <w:pStyle w:val="parrafos"/>
        <w:ind w:left="0" w:firstLine="0"/>
        <w:rPr>
          <w:rFonts w:ascii="Cambria" w:hAnsi="Cambria"/>
          <w:color w:val="auto"/>
          <w:lang w:val="es-ES"/>
        </w:rPr>
      </w:pPr>
      <w:r w:rsidRPr="007E4AA8">
        <w:rPr>
          <w:rFonts w:ascii="Cambria" w:hAnsi="Cambria"/>
          <w:color w:val="auto"/>
          <w:lang w:val="es-ES"/>
        </w:rPr>
        <w:t>La Corte IDH ha sostenido que de la Convención contra la Tortura surgen dos supuestos que accionan el deber estatal de investigar: “por un lado, cuando se presente denuncia, y, por el otro, cuando exista razón fundada para creer que se ha cometido un acto de tortura en el ámbito de la jurisdicción del Estado. En estas situaciones, la decisión de iniciar y adelantar una investigación no recae sobre el Estado, es decir, no es una facultad discrecional, sino que el deber de investigar constituye una obligación estatal imperativa que deriva del derecho internacional y no puede desecharse o condicionarse por actos o disposiciones normativas internas de ninguna índole”</w:t>
      </w:r>
      <w:r w:rsidRPr="007E4AA8">
        <w:rPr>
          <w:rStyle w:val="FootnoteReference"/>
          <w:rFonts w:ascii="Cambria" w:hAnsi="Cambria"/>
          <w:color w:val="auto"/>
          <w:lang w:val="es-ES"/>
        </w:rPr>
        <w:footnoteReference w:id="106"/>
      </w:r>
      <w:r w:rsidRPr="007E4AA8">
        <w:rPr>
          <w:rFonts w:ascii="Cambria" w:hAnsi="Cambria"/>
          <w:color w:val="auto"/>
          <w:lang w:val="es-ES"/>
        </w:rPr>
        <w:t xml:space="preserve">. </w:t>
      </w:r>
    </w:p>
    <w:p w14:paraId="3A73803A" w14:textId="77777777" w:rsidR="005C0E7F" w:rsidRPr="007E4AA8" w:rsidRDefault="005C0E7F" w:rsidP="005C0E7F">
      <w:pPr>
        <w:pStyle w:val="parrafos"/>
        <w:numPr>
          <w:ilvl w:val="0"/>
          <w:numId w:val="0"/>
        </w:numPr>
        <w:rPr>
          <w:rFonts w:ascii="Cambria" w:hAnsi="Cambria"/>
          <w:color w:val="auto"/>
          <w:lang w:val="es-ES"/>
        </w:rPr>
      </w:pPr>
    </w:p>
    <w:p w14:paraId="7C0B0E81" w14:textId="77777777" w:rsidR="000E4195" w:rsidRPr="007E4AA8" w:rsidRDefault="00AF3E57" w:rsidP="005C5A98">
      <w:pPr>
        <w:pStyle w:val="parrafos"/>
        <w:ind w:left="0" w:firstLine="0"/>
        <w:rPr>
          <w:rFonts w:ascii="Cambria" w:hAnsi="Cambria"/>
          <w:color w:val="auto"/>
          <w:lang w:val="es-ES"/>
        </w:rPr>
      </w:pPr>
      <w:r w:rsidRPr="007E4AA8">
        <w:rPr>
          <w:rFonts w:ascii="Cambria" w:hAnsi="Cambria"/>
          <w:color w:val="auto"/>
          <w:lang w:val="es-ES"/>
        </w:rPr>
        <w:t>Adicionalmente, l</w:t>
      </w:r>
      <w:r w:rsidR="00D16E73" w:rsidRPr="007E4AA8">
        <w:rPr>
          <w:rFonts w:ascii="Cambria" w:hAnsi="Cambria"/>
          <w:color w:val="auto"/>
          <w:lang w:val="es-ES"/>
        </w:rPr>
        <w:t>a Corte ha considerado que</w:t>
      </w:r>
      <w:r w:rsidR="001B26F8">
        <w:rPr>
          <w:rFonts w:ascii="Cambria" w:hAnsi="Cambria"/>
          <w:color w:val="auto"/>
          <w:lang w:val="es-ES"/>
        </w:rPr>
        <w:t>,</w:t>
      </w:r>
      <w:r w:rsidR="00D16E73" w:rsidRPr="007E4AA8">
        <w:rPr>
          <w:rFonts w:ascii="Cambria" w:hAnsi="Cambria"/>
          <w:color w:val="auto"/>
          <w:lang w:val="es-ES"/>
        </w:rPr>
        <w:t xml:space="preserve"> en materia de investigación de torturas, los procedimientos “deben tomar en consideración las normas internacionales de documentación e interpretación de los elementos de prueba forense respecto de la comisión de actos de tortura, (...), y particularmente las definidas en el Manual para la investigación y documentación eficaces de la tortura y otros tratos o penas crueles, inhumanos o degradantes (“el Protocolo de Estambul”)</w:t>
      </w:r>
      <w:r w:rsidR="00D16E73" w:rsidRPr="007E4AA8">
        <w:rPr>
          <w:rStyle w:val="FootnoteReference"/>
          <w:rFonts w:ascii="Cambria" w:hAnsi="Cambria"/>
          <w:color w:val="auto"/>
          <w:lang w:val="es-ES"/>
        </w:rPr>
        <w:footnoteReference w:id="107"/>
      </w:r>
      <w:r w:rsidR="004E5D44" w:rsidRPr="007E4AA8">
        <w:rPr>
          <w:rFonts w:ascii="Cambria" w:hAnsi="Cambria"/>
          <w:color w:val="auto"/>
          <w:lang w:val="es-ES"/>
        </w:rPr>
        <w:t>.</w:t>
      </w:r>
      <w:r w:rsidR="000E4195" w:rsidRPr="007E4AA8">
        <w:rPr>
          <w:rFonts w:ascii="Cambria" w:hAnsi="Cambria"/>
          <w:color w:val="auto"/>
          <w:lang w:val="es-ES"/>
        </w:rPr>
        <w:t xml:space="preserve"> Al respecto </w:t>
      </w:r>
      <w:r w:rsidR="000E4195" w:rsidRPr="007E4AA8">
        <w:rPr>
          <w:color w:val="auto"/>
          <w:lang w:val="es-ES"/>
        </w:rPr>
        <w:t>el Comité contra la Tortura de las Naciones Unidas ha establecido que frente a alegatos de tortura, es necesario que se realice en todos los casos un examen por un médico independiente cuya evaluación médica debería contener: i) información sobre el caso; ii) calificaciones del clínico (para el testimonio judicial); iii) declaración relativa a la veracidad del testimonio (para el testimonio judicial); iv) información de base; v) alegaciones de tortura y malos tratos; vi) síntomas y discapacidades físicas; vii) historia/exploración psicológica; viii) fotografías; ix) resultados de las pruebas de diagnóstico; x) consultas; xi) interpretación de los hallazgos; xii) conclusiones y recomendaciones; xiii) declaración de veracidad; n) declaración de restricciones a la evaluación/investigación médica; xiv) firma del clínico, fecha, lugar; xv) anexos pertinentes</w:t>
      </w:r>
      <w:r w:rsidR="000E4195" w:rsidRPr="007E4AA8">
        <w:rPr>
          <w:rStyle w:val="FootnoteReference"/>
          <w:rFonts w:ascii="Cambria" w:hAnsi="Cambria"/>
          <w:color w:val="auto"/>
          <w:lang w:val="es-ES"/>
        </w:rPr>
        <w:footnoteReference w:id="108"/>
      </w:r>
      <w:r w:rsidR="000E4195" w:rsidRPr="007E4AA8">
        <w:rPr>
          <w:color w:val="auto"/>
          <w:lang w:val="es-ES"/>
        </w:rPr>
        <w:t>.</w:t>
      </w:r>
    </w:p>
    <w:p w14:paraId="4F38581C" w14:textId="77777777" w:rsidR="00511007" w:rsidRPr="007E4AA8" w:rsidRDefault="00511007" w:rsidP="00857780">
      <w:pPr>
        <w:suppressAutoHyphens/>
        <w:jc w:val="both"/>
        <w:rPr>
          <w:rFonts w:ascii="Cambria" w:hAnsi="Cambria" w:cs="TimesNewRoman"/>
          <w:sz w:val="20"/>
          <w:szCs w:val="20"/>
          <w:lang w:val="es-ES" w:eastAsia="es-ES_tradnl"/>
        </w:rPr>
      </w:pPr>
    </w:p>
    <w:p w14:paraId="3F98FDB8" w14:textId="77777777" w:rsidR="00857780" w:rsidRPr="007E4AA8" w:rsidRDefault="000E4195" w:rsidP="00857780">
      <w:pPr>
        <w:pStyle w:val="parrafos"/>
        <w:tabs>
          <w:tab w:val="left" w:pos="450"/>
        </w:tabs>
        <w:ind w:left="0" w:firstLine="0"/>
        <w:rPr>
          <w:rFonts w:ascii="Cambria" w:hAnsi="Cambria" w:cs="TimesNewRoman"/>
          <w:color w:val="auto"/>
          <w:lang w:val="es-ES" w:eastAsia="es-ES_tradnl"/>
        </w:rPr>
      </w:pPr>
      <w:r w:rsidRPr="007E4AA8">
        <w:rPr>
          <w:rFonts w:ascii="Cambria" w:hAnsi="Cambria" w:cs="TimesNewRoman"/>
          <w:color w:val="auto"/>
          <w:lang w:val="es-ES" w:eastAsia="es-ES_tradnl"/>
        </w:rPr>
        <w:t>Finalmente</w:t>
      </w:r>
      <w:r w:rsidR="000212D9" w:rsidRPr="007E4AA8">
        <w:rPr>
          <w:rFonts w:ascii="Cambria" w:hAnsi="Cambria" w:cs="TimesNewRoman"/>
          <w:color w:val="auto"/>
          <w:lang w:val="es-ES" w:eastAsia="es-ES_tradnl"/>
        </w:rPr>
        <w:t>, l</w:t>
      </w:r>
      <w:r w:rsidR="00857780" w:rsidRPr="007E4AA8">
        <w:rPr>
          <w:rFonts w:ascii="Cambria" w:hAnsi="Cambria" w:cs="TimesNewRoman"/>
          <w:color w:val="auto"/>
          <w:lang w:val="es-ES" w:eastAsia="es-ES_tradnl"/>
        </w:rPr>
        <w:t xml:space="preserve">a Corte ha establecido que “el plazo razonable al que se refiere el artículo 8.1 de la Convención se debe apreciar en relación con la duración total del procedimiento penal que se desarrolla en contra de cierto imputado, hasta que se dicta sentencia definitiva y en firme” y que, en esta materia, el plazo comienza cuando </w:t>
      </w:r>
      <w:r w:rsidR="00857780" w:rsidRPr="007E4AA8">
        <w:rPr>
          <w:rFonts w:ascii="Cambria" w:hAnsi="Cambria" w:cs="TimesNewRoman"/>
          <w:color w:val="auto"/>
          <w:lang w:val="es-ES" w:eastAsia="es-ES_tradnl"/>
        </w:rPr>
        <w:lastRenderedPageBreak/>
        <w:t>se presenta el primer acto de procedimiento dirigido en contra de determinada persona como probable responsable de cierto delito”</w:t>
      </w:r>
      <w:r w:rsidR="00857780" w:rsidRPr="007E4AA8">
        <w:rPr>
          <w:rStyle w:val="FootnoteReference"/>
          <w:rFonts w:ascii="Cambria" w:hAnsi="Cambria" w:cs="TimesNewRoman"/>
          <w:color w:val="auto"/>
          <w:lang w:val="es-ES" w:eastAsia="es-ES_tradnl"/>
        </w:rPr>
        <w:footnoteReference w:id="109"/>
      </w:r>
      <w:r w:rsidR="00857780" w:rsidRPr="007E4AA8">
        <w:rPr>
          <w:rFonts w:ascii="Cambria" w:hAnsi="Cambria" w:cs="TimesNewRoman"/>
          <w:color w:val="auto"/>
          <w:lang w:val="es-ES" w:eastAsia="es-ES_tradnl"/>
        </w:rPr>
        <w:t>. Para examinar si el plazo en el proceso penal fue razonable, la Comisión hace notar que debe de realizarse un análisis caso por caso atendiendo a sus circunstancias particulares y, según los términos del artículo 8.1 de la Convención, corresponde tomar en consideración cuatro elementos: i) la complejidad del asunto; ii) la actividad procesal del interesado; iii) la conducta de las autoridades judiciales; y iv</w:t>
      </w:r>
      <w:r w:rsidR="00857780" w:rsidRPr="007E4AA8">
        <w:rPr>
          <w:rFonts w:ascii="Cambria" w:hAnsi="Cambria"/>
          <w:color w:val="auto"/>
          <w:lang w:val="es-ES"/>
        </w:rPr>
        <w:t>) los efectos que la demora en el proceso puedan tener sobre la situación jurídica de la víctima</w:t>
      </w:r>
      <w:r w:rsidR="00857780" w:rsidRPr="007E4AA8">
        <w:rPr>
          <w:rFonts w:ascii="Cambria" w:hAnsi="Cambria"/>
          <w:color w:val="auto"/>
          <w:vertAlign w:val="superscript"/>
          <w:lang w:val="es-ES"/>
        </w:rPr>
        <w:footnoteReference w:id="110"/>
      </w:r>
      <w:r w:rsidR="00857780" w:rsidRPr="007E4AA8">
        <w:rPr>
          <w:rFonts w:ascii="Cambria" w:hAnsi="Cambria"/>
          <w:color w:val="auto"/>
          <w:lang w:val="es-ES"/>
        </w:rPr>
        <w:t xml:space="preserve">. </w:t>
      </w:r>
    </w:p>
    <w:p w14:paraId="6B4A439F" w14:textId="77777777" w:rsidR="003F3C61" w:rsidRPr="007E4AA8" w:rsidRDefault="003F3C61" w:rsidP="006A3683">
      <w:pPr>
        <w:pStyle w:val="parrafos"/>
        <w:numPr>
          <w:ilvl w:val="0"/>
          <w:numId w:val="0"/>
        </w:numPr>
        <w:tabs>
          <w:tab w:val="left" w:pos="450"/>
        </w:tabs>
        <w:rPr>
          <w:rFonts w:ascii="Cambria" w:hAnsi="Cambria"/>
          <w:color w:val="auto"/>
          <w:lang w:val="es-ES"/>
        </w:rPr>
      </w:pPr>
    </w:p>
    <w:p w14:paraId="1B112B6B" w14:textId="77777777" w:rsidR="005C5A98" w:rsidRPr="007E4AA8" w:rsidRDefault="003F3C61" w:rsidP="00C56CF0">
      <w:pPr>
        <w:pStyle w:val="parrafos"/>
        <w:tabs>
          <w:tab w:val="left" w:pos="450"/>
        </w:tabs>
        <w:ind w:left="0" w:firstLine="0"/>
        <w:rPr>
          <w:color w:val="auto"/>
          <w:lang w:val="es-ES"/>
        </w:rPr>
      </w:pPr>
      <w:r w:rsidRPr="007E4AA8">
        <w:rPr>
          <w:color w:val="auto"/>
          <w:lang w:val="es-ES"/>
        </w:rPr>
        <w:t xml:space="preserve">En el presente caso, conforme a información </w:t>
      </w:r>
      <w:r w:rsidR="00B25386" w:rsidRPr="007E4AA8">
        <w:rPr>
          <w:color w:val="auto"/>
          <w:lang w:val="es-ES"/>
        </w:rPr>
        <w:t>disponible</w:t>
      </w:r>
      <w:r w:rsidRPr="007E4AA8">
        <w:rPr>
          <w:color w:val="auto"/>
          <w:lang w:val="es-ES"/>
        </w:rPr>
        <w:t>,</w:t>
      </w:r>
      <w:r w:rsidR="000E4195" w:rsidRPr="007E4AA8">
        <w:rPr>
          <w:color w:val="auto"/>
          <w:lang w:val="es-ES"/>
        </w:rPr>
        <w:t xml:space="preserve"> la Comisión ha dado por probado que la presunta víctima no contó con una evaluación médica que fuera cercana a la fecha a la ocurrencia de las torturas. De acuerdo con la información disponible, fue </w:t>
      </w:r>
      <w:r w:rsidR="004E5D44" w:rsidRPr="007E4AA8">
        <w:rPr>
          <w:color w:val="auto"/>
          <w:lang w:val="es-ES"/>
        </w:rPr>
        <w:t>ocho</w:t>
      </w:r>
      <w:r w:rsidR="000E4195" w:rsidRPr="007E4AA8">
        <w:rPr>
          <w:color w:val="auto"/>
          <w:lang w:val="es-ES"/>
        </w:rPr>
        <w:t xml:space="preserve"> días después que el señor Jorge López habría sido visitado por un médico y un juez ante quienes denunció haber sido torturado. La Comisión no cuenta con la evaluación médica que le fue realizada en dicha oportunidad, sin perjuicio de ello, observa con preocupación que, de acuerdo </w:t>
      </w:r>
      <w:r w:rsidR="0053053D" w:rsidRPr="007E4AA8">
        <w:rPr>
          <w:color w:val="auto"/>
          <w:lang w:val="es-ES"/>
        </w:rPr>
        <w:t>con</w:t>
      </w:r>
      <w:r w:rsidR="000E4195" w:rsidRPr="007E4AA8">
        <w:rPr>
          <w:color w:val="auto"/>
          <w:lang w:val="es-ES"/>
        </w:rPr>
        <w:t xml:space="preserve"> la declaración de la presunta víctima, fue trasladado al “cuadrilátero”, a manera de castigo, y le habría sido ofrecido dinero para retirar su denuncia.</w:t>
      </w:r>
      <w:r w:rsidR="00CE4A99" w:rsidRPr="007E4AA8">
        <w:rPr>
          <w:color w:val="auto"/>
          <w:lang w:val="es-ES"/>
        </w:rPr>
        <w:t xml:space="preserve"> </w:t>
      </w:r>
      <w:r w:rsidR="001B6462" w:rsidRPr="007E4AA8">
        <w:rPr>
          <w:color w:val="auto"/>
          <w:lang w:val="es-ES"/>
        </w:rPr>
        <w:t xml:space="preserve">No se cuenta con información que indique asimismo que la referida evaluación hubiese tomado en cuenta los parámetros antes explicados (supra párr. 83). </w:t>
      </w:r>
      <w:r w:rsidR="00CE4A99" w:rsidRPr="007E4AA8">
        <w:rPr>
          <w:color w:val="auto"/>
          <w:lang w:val="es-ES"/>
        </w:rPr>
        <w:t xml:space="preserve">Por otra parte, si bien la Comisión entiende que con posterioridad se practicó un diagnóstico victimológico a la presunta víctima, el cual acreditó la ocurrencia de torturas, tampoco se cuenta con información detallada que permita acreditar que cumplió con todas las exigencias antes señaladas. </w:t>
      </w:r>
    </w:p>
    <w:p w14:paraId="7CBB56B3" w14:textId="77777777" w:rsidR="005C5A98" w:rsidRPr="007E4AA8" w:rsidRDefault="005C5A98" w:rsidP="005C5A98">
      <w:pPr>
        <w:pStyle w:val="parrafos"/>
        <w:numPr>
          <w:ilvl w:val="0"/>
          <w:numId w:val="0"/>
        </w:numPr>
        <w:tabs>
          <w:tab w:val="left" w:pos="450"/>
        </w:tabs>
        <w:rPr>
          <w:color w:val="auto"/>
          <w:lang w:val="es-ES"/>
        </w:rPr>
      </w:pPr>
    </w:p>
    <w:p w14:paraId="39F9FF06" w14:textId="77777777" w:rsidR="009F5DE2" w:rsidRPr="007E4AA8" w:rsidRDefault="00CE4A99" w:rsidP="005C5A98">
      <w:pPr>
        <w:pStyle w:val="parrafos"/>
        <w:tabs>
          <w:tab w:val="left" w:pos="450"/>
        </w:tabs>
        <w:ind w:left="0" w:firstLine="0"/>
        <w:rPr>
          <w:color w:val="auto"/>
          <w:lang w:val="es-ES"/>
        </w:rPr>
      </w:pPr>
      <w:r w:rsidRPr="007E4AA8">
        <w:rPr>
          <w:color w:val="auto"/>
          <w:lang w:val="es-ES"/>
        </w:rPr>
        <w:t>La Comisión observa que</w:t>
      </w:r>
      <w:r w:rsidR="00C56CF0" w:rsidRPr="007E4AA8">
        <w:rPr>
          <w:color w:val="auto"/>
          <w:lang w:val="es-ES"/>
        </w:rPr>
        <w:t>,</w:t>
      </w:r>
      <w:r w:rsidRPr="007E4AA8">
        <w:rPr>
          <w:color w:val="auto"/>
          <w:lang w:val="es-ES"/>
        </w:rPr>
        <w:t xml:space="preserve"> tras haberse emprendido tras 19 años de haberse iniciado el proceso penal por las torturas, recién el 20 de agosto de 2019 se habría iniciado el juicio oral. Asimismo, el 30 de diciembre de 2019 dictó sentencia que absolvió a los acusados. La Comisión nota que e</w:t>
      </w:r>
      <w:r w:rsidR="003F3C61" w:rsidRPr="007E4AA8">
        <w:rPr>
          <w:color w:val="auto"/>
          <w:lang w:val="es-ES"/>
        </w:rPr>
        <w:t>l fallo se habría fundado en la falta de prueba científica que otorgara certeza sobre que las supuestas víctimas habían sido apremiadas de manera física</w:t>
      </w:r>
      <w:r w:rsidR="009F5DE2" w:rsidRPr="007E4AA8">
        <w:rPr>
          <w:color w:val="auto"/>
          <w:lang w:val="es-ES"/>
        </w:rPr>
        <w:t>, y argumentó que existía duda razonable sobre la existencia del ilícito atendidas versiones contradictorias de los testimonios rendidos en autos, sosteniendo que el cúmulo de pruebas “resultan inidóneas e insuficientes para atribuir responsabilidad a los acusados (…) por un supuesto hecho de tortura</w:t>
      </w:r>
      <w:r w:rsidRPr="007E4AA8">
        <w:rPr>
          <w:color w:val="auto"/>
          <w:lang w:val="es-ES"/>
        </w:rPr>
        <w:t>”</w:t>
      </w:r>
      <w:r w:rsidR="009F5DE2" w:rsidRPr="007E4AA8">
        <w:rPr>
          <w:color w:val="auto"/>
          <w:lang w:val="es-ES"/>
        </w:rPr>
        <w:t>.</w:t>
      </w:r>
    </w:p>
    <w:p w14:paraId="46B95588" w14:textId="77777777" w:rsidR="009F5DE2" w:rsidRPr="007E4AA8" w:rsidRDefault="009F5DE2" w:rsidP="009F5DE2">
      <w:pPr>
        <w:rPr>
          <w:lang w:val="es-ES"/>
        </w:rPr>
      </w:pPr>
    </w:p>
    <w:p w14:paraId="4F131FC4" w14:textId="77777777" w:rsidR="009F5DE2" w:rsidRPr="007E4AA8" w:rsidRDefault="003F3C61" w:rsidP="00C257B3">
      <w:pPr>
        <w:pStyle w:val="parrafos"/>
        <w:tabs>
          <w:tab w:val="left" w:pos="450"/>
        </w:tabs>
        <w:ind w:left="0" w:firstLine="0"/>
        <w:rPr>
          <w:rFonts w:ascii="Cambria" w:hAnsi="Cambria"/>
          <w:color w:val="auto"/>
          <w:lang w:val="es-ES"/>
        </w:rPr>
      </w:pPr>
      <w:r w:rsidRPr="007E4AA8">
        <w:rPr>
          <w:color w:val="auto"/>
          <w:lang w:val="es-ES"/>
        </w:rPr>
        <w:t xml:space="preserve">La CIDH </w:t>
      </w:r>
      <w:r w:rsidR="009F5DE2" w:rsidRPr="007E4AA8">
        <w:rPr>
          <w:color w:val="auto"/>
          <w:lang w:val="es-ES"/>
        </w:rPr>
        <w:t>nota</w:t>
      </w:r>
      <w:r w:rsidR="00C56CF0" w:rsidRPr="007E4AA8">
        <w:rPr>
          <w:color w:val="auto"/>
          <w:lang w:val="es-ES"/>
        </w:rPr>
        <w:t>,</w:t>
      </w:r>
      <w:r w:rsidR="009F5DE2" w:rsidRPr="007E4AA8">
        <w:rPr>
          <w:color w:val="auto"/>
          <w:lang w:val="es-ES"/>
        </w:rPr>
        <w:t xml:space="preserve"> además, que</w:t>
      </w:r>
      <w:r w:rsidR="000E10AE" w:rsidRPr="007E4AA8">
        <w:rPr>
          <w:color w:val="auto"/>
          <w:lang w:val="es-ES"/>
        </w:rPr>
        <w:t>,</w:t>
      </w:r>
      <w:r w:rsidR="009F5DE2" w:rsidRPr="007E4AA8">
        <w:rPr>
          <w:color w:val="auto"/>
          <w:lang w:val="es-ES"/>
        </w:rPr>
        <w:t xml:space="preserve"> conforme a lo referido por el Estado en su comunicación de 13 de noviembre de 2020, penderían apelaciones respecto de </w:t>
      </w:r>
      <w:r w:rsidRPr="007E4AA8">
        <w:rPr>
          <w:color w:val="auto"/>
          <w:lang w:val="es-ES"/>
        </w:rPr>
        <w:t xml:space="preserve">la referida sentencia, </w:t>
      </w:r>
      <w:r w:rsidR="009F5DE2" w:rsidRPr="007E4AA8">
        <w:rPr>
          <w:color w:val="auto"/>
          <w:lang w:val="es-ES"/>
        </w:rPr>
        <w:t xml:space="preserve">y en particular la presentada por el Ministerio Público. En este sentido, la CIDH estima es de especial preocupación que, </w:t>
      </w:r>
      <w:r w:rsidRPr="007E4AA8">
        <w:rPr>
          <w:color w:val="auto"/>
          <w:lang w:val="es-ES"/>
        </w:rPr>
        <w:t xml:space="preserve">transcurridos 20 años de los hechos, </w:t>
      </w:r>
      <w:r w:rsidR="009F5DE2" w:rsidRPr="007E4AA8">
        <w:rPr>
          <w:color w:val="auto"/>
          <w:lang w:val="es-ES"/>
        </w:rPr>
        <w:t xml:space="preserve">no existe </w:t>
      </w:r>
      <w:r w:rsidRPr="007E4AA8">
        <w:rPr>
          <w:color w:val="auto"/>
          <w:lang w:val="es-ES"/>
        </w:rPr>
        <w:t>una sentencia firme que res</w:t>
      </w:r>
      <w:r w:rsidR="009F5DE2" w:rsidRPr="007E4AA8">
        <w:rPr>
          <w:color w:val="auto"/>
          <w:lang w:val="es-ES"/>
        </w:rPr>
        <w:t>uelva</w:t>
      </w:r>
      <w:r w:rsidRPr="007E4AA8">
        <w:rPr>
          <w:color w:val="auto"/>
          <w:lang w:val="es-ES"/>
        </w:rPr>
        <w:t xml:space="preserve"> sobre las alegadas torturas. </w:t>
      </w:r>
    </w:p>
    <w:p w14:paraId="2BB6887B" w14:textId="77777777" w:rsidR="003363AB" w:rsidRPr="007E4AA8" w:rsidRDefault="003363AB" w:rsidP="003363AB">
      <w:pPr>
        <w:pStyle w:val="parrafos"/>
        <w:numPr>
          <w:ilvl w:val="0"/>
          <w:numId w:val="0"/>
        </w:numPr>
        <w:tabs>
          <w:tab w:val="left" w:pos="450"/>
        </w:tabs>
        <w:rPr>
          <w:rFonts w:ascii="Cambria" w:hAnsi="Cambria"/>
          <w:color w:val="auto"/>
          <w:lang w:val="es-ES"/>
        </w:rPr>
      </w:pPr>
    </w:p>
    <w:p w14:paraId="149EAE34" w14:textId="77777777" w:rsidR="009F5DE2" w:rsidRPr="007E4AA8" w:rsidRDefault="00C257B3" w:rsidP="00C257B3">
      <w:pPr>
        <w:numPr>
          <w:ilvl w:val="0"/>
          <w:numId w:val="55"/>
        </w:numPr>
        <w:tabs>
          <w:tab w:val="left" w:pos="360"/>
        </w:tabs>
        <w:ind w:left="0" w:firstLine="0"/>
        <w:jc w:val="both"/>
        <w:rPr>
          <w:rFonts w:asciiTheme="majorHAnsi" w:hAnsiTheme="majorHAnsi"/>
          <w:sz w:val="20"/>
          <w:szCs w:val="20"/>
          <w:lang w:val="es-ES"/>
        </w:rPr>
      </w:pPr>
      <w:r w:rsidRPr="007E4AA8">
        <w:rPr>
          <w:rFonts w:asciiTheme="majorHAnsi" w:hAnsiTheme="majorHAnsi"/>
          <w:sz w:val="20"/>
          <w:szCs w:val="20"/>
          <w:lang w:val="es-ES"/>
        </w:rPr>
        <w:t xml:space="preserve">Asimismo, </w:t>
      </w:r>
      <w:r w:rsidR="00CE4A99" w:rsidRPr="007E4AA8">
        <w:rPr>
          <w:rFonts w:asciiTheme="majorHAnsi" w:hAnsiTheme="majorHAnsi"/>
          <w:sz w:val="20"/>
          <w:szCs w:val="20"/>
          <w:lang w:val="es-ES"/>
        </w:rPr>
        <w:t>la Comisión observa que</w:t>
      </w:r>
      <w:r w:rsidR="009F5DE2" w:rsidRPr="007E4AA8">
        <w:rPr>
          <w:rFonts w:asciiTheme="majorHAnsi" w:hAnsiTheme="majorHAnsi"/>
          <w:sz w:val="20"/>
          <w:szCs w:val="20"/>
          <w:lang w:val="es-ES"/>
        </w:rPr>
        <w:t xml:space="preserve"> si bien </w:t>
      </w:r>
      <w:r w:rsidR="00CE4A99" w:rsidRPr="007E4AA8">
        <w:rPr>
          <w:rFonts w:asciiTheme="majorHAnsi" w:hAnsiTheme="majorHAnsi"/>
          <w:sz w:val="20"/>
          <w:szCs w:val="20"/>
          <w:lang w:val="es-ES"/>
        </w:rPr>
        <w:t>consta en la sentencia que algunos</w:t>
      </w:r>
      <w:r w:rsidR="009F5DE2" w:rsidRPr="007E4AA8">
        <w:rPr>
          <w:rFonts w:asciiTheme="majorHAnsi" w:hAnsiTheme="majorHAnsi"/>
          <w:sz w:val="20"/>
          <w:szCs w:val="20"/>
          <w:lang w:val="es-ES"/>
        </w:rPr>
        <w:t xml:space="preserve"> testigos</w:t>
      </w:r>
      <w:r w:rsidRPr="007E4AA8">
        <w:rPr>
          <w:rFonts w:asciiTheme="majorHAnsi" w:hAnsiTheme="majorHAnsi"/>
          <w:sz w:val="20"/>
          <w:szCs w:val="20"/>
          <w:lang w:val="es-ES"/>
        </w:rPr>
        <w:t xml:space="preserve"> refirieron</w:t>
      </w:r>
      <w:r w:rsidR="009F5DE2" w:rsidRPr="007E4AA8">
        <w:rPr>
          <w:rFonts w:asciiTheme="majorHAnsi" w:hAnsiTheme="majorHAnsi"/>
          <w:sz w:val="20"/>
          <w:szCs w:val="20"/>
          <w:lang w:val="es-ES"/>
        </w:rPr>
        <w:t xml:space="preserve"> </w:t>
      </w:r>
      <w:r w:rsidR="00CE4A99" w:rsidRPr="007E4AA8">
        <w:rPr>
          <w:rFonts w:asciiTheme="majorHAnsi" w:hAnsiTheme="majorHAnsi"/>
          <w:sz w:val="20"/>
          <w:szCs w:val="20"/>
          <w:lang w:val="es-ES"/>
        </w:rPr>
        <w:t xml:space="preserve">que </w:t>
      </w:r>
      <w:r w:rsidR="009F5DE2" w:rsidRPr="007E4AA8">
        <w:rPr>
          <w:rFonts w:asciiTheme="majorHAnsi" w:hAnsiTheme="majorHAnsi"/>
          <w:sz w:val="20"/>
          <w:szCs w:val="20"/>
          <w:lang w:val="es-ES"/>
        </w:rPr>
        <w:t xml:space="preserve">habrían sido objeto de torturas, </w:t>
      </w:r>
      <w:r w:rsidRPr="007E4AA8">
        <w:rPr>
          <w:rFonts w:asciiTheme="majorHAnsi" w:hAnsiTheme="majorHAnsi"/>
          <w:sz w:val="20"/>
          <w:szCs w:val="20"/>
          <w:lang w:val="es-ES"/>
        </w:rPr>
        <w:t xml:space="preserve">el tribunal estimo que </w:t>
      </w:r>
      <w:r w:rsidR="009F5DE2" w:rsidRPr="007E4AA8">
        <w:rPr>
          <w:rFonts w:asciiTheme="majorHAnsi" w:hAnsiTheme="majorHAnsi"/>
          <w:sz w:val="20"/>
          <w:szCs w:val="20"/>
          <w:lang w:val="es-ES"/>
        </w:rPr>
        <w:t>“los mismos no fueron incluidos por el Ministerio Público en la acusación como víctimas del hecho, por lo que mal podría condenar el tribunal a los acusados (…), por los hechos manifestados por los mismos”.</w:t>
      </w:r>
      <w:r w:rsidRPr="007E4AA8">
        <w:rPr>
          <w:rFonts w:asciiTheme="majorHAnsi" w:hAnsiTheme="majorHAnsi"/>
          <w:sz w:val="20"/>
          <w:szCs w:val="20"/>
          <w:lang w:val="es-ES"/>
        </w:rPr>
        <w:t xml:space="preserve"> En este sentido, la CIDH </w:t>
      </w:r>
      <w:r w:rsidR="00CE4A99" w:rsidRPr="007E4AA8">
        <w:rPr>
          <w:rFonts w:asciiTheme="majorHAnsi" w:hAnsiTheme="majorHAnsi"/>
          <w:sz w:val="20"/>
          <w:szCs w:val="20"/>
          <w:lang w:val="es-ES"/>
        </w:rPr>
        <w:t>observa que</w:t>
      </w:r>
      <w:r w:rsidR="000E10AE" w:rsidRPr="007E4AA8">
        <w:rPr>
          <w:rFonts w:asciiTheme="majorHAnsi" w:hAnsiTheme="majorHAnsi"/>
          <w:sz w:val="20"/>
          <w:szCs w:val="20"/>
          <w:lang w:val="es-ES"/>
        </w:rPr>
        <w:t>,</w:t>
      </w:r>
      <w:r w:rsidR="00CE4A99" w:rsidRPr="007E4AA8">
        <w:rPr>
          <w:rFonts w:asciiTheme="majorHAnsi" w:hAnsiTheme="majorHAnsi"/>
          <w:sz w:val="20"/>
          <w:szCs w:val="20"/>
          <w:lang w:val="es-ES"/>
        </w:rPr>
        <w:t xml:space="preserve"> pese</w:t>
      </w:r>
      <w:r w:rsidRPr="007E4AA8">
        <w:rPr>
          <w:rFonts w:asciiTheme="majorHAnsi" w:hAnsiTheme="majorHAnsi"/>
          <w:sz w:val="20"/>
          <w:szCs w:val="20"/>
          <w:lang w:val="es-ES"/>
        </w:rPr>
        <w:t xml:space="preserve"> </w:t>
      </w:r>
      <w:r w:rsidR="00CE4A99" w:rsidRPr="007E4AA8">
        <w:rPr>
          <w:rFonts w:asciiTheme="majorHAnsi" w:hAnsiTheme="majorHAnsi"/>
          <w:sz w:val="20"/>
          <w:szCs w:val="20"/>
          <w:lang w:val="es-ES"/>
        </w:rPr>
        <w:t xml:space="preserve">a </w:t>
      </w:r>
      <w:r w:rsidRPr="007E4AA8">
        <w:rPr>
          <w:rFonts w:asciiTheme="majorHAnsi" w:hAnsiTheme="majorHAnsi"/>
          <w:sz w:val="20"/>
          <w:szCs w:val="20"/>
          <w:lang w:val="es-ES"/>
        </w:rPr>
        <w:t xml:space="preserve">que el tribunal habría tenido </w:t>
      </w:r>
      <w:r w:rsidRPr="007E4AA8">
        <w:rPr>
          <w:rFonts w:asciiTheme="majorHAnsi" w:hAnsiTheme="majorHAnsi"/>
          <w:i/>
          <w:iCs/>
          <w:sz w:val="20"/>
          <w:szCs w:val="20"/>
          <w:lang w:val="es-ES"/>
        </w:rPr>
        <w:t>noti</w:t>
      </w:r>
      <w:r w:rsidR="00BC215D" w:rsidRPr="007E4AA8">
        <w:rPr>
          <w:rFonts w:asciiTheme="majorHAnsi" w:hAnsiTheme="majorHAnsi"/>
          <w:i/>
          <w:iCs/>
          <w:sz w:val="20"/>
          <w:szCs w:val="20"/>
          <w:lang w:val="es-ES"/>
        </w:rPr>
        <w:t>t</w:t>
      </w:r>
      <w:r w:rsidRPr="007E4AA8">
        <w:rPr>
          <w:rFonts w:asciiTheme="majorHAnsi" w:hAnsiTheme="majorHAnsi"/>
          <w:i/>
          <w:iCs/>
          <w:sz w:val="20"/>
          <w:szCs w:val="20"/>
          <w:lang w:val="es-ES"/>
        </w:rPr>
        <w:t>ia crimini</w:t>
      </w:r>
      <w:r w:rsidR="00BC215D" w:rsidRPr="007E4AA8">
        <w:rPr>
          <w:rFonts w:asciiTheme="majorHAnsi" w:hAnsiTheme="majorHAnsi"/>
          <w:i/>
          <w:iCs/>
          <w:sz w:val="20"/>
          <w:szCs w:val="20"/>
          <w:lang w:val="es-ES"/>
        </w:rPr>
        <w:t>s</w:t>
      </w:r>
      <w:r w:rsidRPr="007E4AA8">
        <w:rPr>
          <w:rFonts w:asciiTheme="majorHAnsi" w:hAnsiTheme="majorHAnsi"/>
          <w:sz w:val="20"/>
          <w:szCs w:val="20"/>
          <w:lang w:val="es-ES"/>
        </w:rPr>
        <w:t xml:space="preserve"> de actos de tortura denunciados por testigos, no se identifica haya ordenado </w:t>
      </w:r>
      <w:r w:rsidR="00CE4A99" w:rsidRPr="007E4AA8">
        <w:rPr>
          <w:rFonts w:asciiTheme="majorHAnsi" w:hAnsiTheme="majorHAnsi"/>
          <w:sz w:val="20"/>
          <w:szCs w:val="20"/>
          <w:lang w:val="es-ES"/>
        </w:rPr>
        <w:t xml:space="preserve">mayores </w:t>
      </w:r>
      <w:r w:rsidRPr="007E4AA8">
        <w:rPr>
          <w:rFonts w:asciiTheme="majorHAnsi" w:hAnsiTheme="majorHAnsi"/>
          <w:sz w:val="20"/>
          <w:szCs w:val="20"/>
          <w:lang w:val="es-ES"/>
        </w:rPr>
        <w:t>diligencia</w:t>
      </w:r>
      <w:r w:rsidR="00CE4A99" w:rsidRPr="007E4AA8">
        <w:rPr>
          <w:rFonts w:asciiTheme="majorHAnsi" w:hAnsiTheme="majorHAnsi"/>
          <w:sz w:val="20"/>
          <w:szCs w:val="20"/>
          <w:lang w:val="es-ES"/>
        </w:rPr>
        <w:t>s</w:t>
      </w:r>
      <w:r w:rsidRPr="007E4AA8">
        <w:rPr>
          <w:rFonts w:asciiTheme="majorHAnsi" w:hAnsiTheme="majorHAnsi"/>
          <w:sz w:val="20"/>
          <w:szCs w:val="20"/>
          <w:lang w:val="es-ES"/>
        </w:rPr>
        <w:t xml:space="preserve"> a efectos de que se impulsara alguna investigación a este respecto</w:t>
      </w:r>
      <w:r w:rsidR="00CE4A99" w:rsidRPr="007E4AA8">
        <w:rPr>
          <w:rFonts w:asciiTheme="majorHAnsi" w:hAnsiTheme="majorHAnsi"/>
          <w:sz w:val="20"/>
          <w:szCs w:val="20"/>
          <w:lang w:val="es-ES"/>
        </w:rPr>
        <w:t xml:space="preserve"> a efectos de que los resultados de tales investigaciones contribuyeran a establecer </w:t>
      </w:r>
      <w:r w:rsidR="000E10AE" w:rsidRPr="007E4AA8">
        <w:rPr>
          <w:rFonts w:asciiTheme="majorHAnsi" w:hAnsiTheme="majorHAnsi"/>
          <w:sz w:val="20"/>
          <w:szCs w:val="20"/>
          <w:lang w:val="es-ES"/>
        </w:rPr>
        <w:t>la responsabilidad</w:t>
      </w:r>
      <w:r w:rsidR="00CE4A99" w:rsidRPr="007E4AA8">
        <w:rPr>
          <w:rFonts w:asciiTheme="majorHAnsi" w:hAnsiTheme="majorHAnsi"/>
          <w:sz w:val="20"/>
          <w:szCs w:val="20"/>
          <w:lang w:val="es-ES"/>
        </w:rPr>
        <w:t xml:space="preserve"> en el presente caso.</w:t>
      </w:r>
    </w:p>
    <w:p w14:paraId="268DBA5D" w14:textId="77777777" w:rsidR="003F3C61" w:rsidRPr="007E4AA8" w:rsidRDefault="003F3C61" w:rsidP="006A3683">
      <w:pPr>
        <w:pStyle w:val="parrafos"/>
        <w:numPr>
          <w:ilvl w:val="0"/>
          <w:numId w:val="0"/>
        </w:numPr>
        <w:tabs>
          <w:tab w:val="left" w:pos="450"/>
        </w:tabs>
        <w:rPr>
          <w:rFonts w:ascii="Cambria" w:hAnsi="Cambria"/>
          <w:color w:val="auto"/>
          <w:lang w:val="es-ES"/>
        </w:rPr>
      </w:pPr>
    </w:p>
    <w:p w14:paraId="2633417A" w14:textId="77777777" w:rsidR="00CE4A99" w:rsidRPr="007E4AA8" w:rsidRDefault="00471488" w:rsidP="00020499">
      <w:pPr>
        <w:pStyle w:val="parrafos"/>
        <w:tabs>
          <w:tab w:val="left" w:pos="450"/>
        </w:tabs>
        <w:ind w:left="0" w:firstLine="0"/>
        <w:rPr>
          <w:rFonts w:ascii="Cambria" w:hAnsi="Cambria"/>
          <w:color w:val="auto"/>
          <w:lang w:val="es-ES"/>
        </w:rPr>
      </w:pPr>
      <w:r w:rsidRPr="007E4AA8">
        <w:rPr>
          <w:rFonts w:ascii="Cambria" w:hAnsi="Cambria" w:cs="TimesNewRoman"/>
          <w:color w:val="auto"/>
          <w:lang w:val="es-ES" w:eastAsia="es-ES_tradnl"/>
        </w:rPr>
        <w:t xml:space="preserve">En </w:t>
      </w:r>
      <w:r w:rsidR="00CE4A99" w:rsidRPr="007E4AA8">
        <w:rPr>
          <w:rFonts w:ascii="Cambria" w:hAnsi="Cambria" w:cs="TimesNewRoman"/>
          <w:color w:val="auto"/>
          <w:lang w:val="es-ES" w:eastAsia="es-ES_tradnl"/>
        </w:rPr>
        <w:t>estas circunstancias que reflejan falencias en la investigación seguida por la tortura de la presunta víctima, la Comisión observa asimismo que la misma se ha extendido por un plazo irrazonable como se analizará a continuación.</w:t>
      </w:r>
    </w:p>
    <w:p w14:paraId="1763A7EF" w14:textId="77777777" w:rsidR="00CE4A99" w:rsidRPr="007E4AA8" w:rsidRDefault="00CE4A99" w:rsidP="005C5A98">
      <w:pPr>
        <w:pStyle w:val="ListParagraph"/>
        <w:rPr>
          <w:rFonts w:ascii="Cambria" w:hAnsi="Cambria" w:cs="TimesNewRoman"/>
          <w:color w:val="auto"/>
          <w:lang w:eastAsia="es-ES_tradnl"/>
        </w:rPr>
      </w:pPr>
    </w:p>
    <w:p w14:paraId="652E41A8" w14:textId="77777777" w:rsidR="00471488" w:rsidRPr="007E4AA8" w:rsidRDefault="00CE4A99" w:rsidP="00020499">
      <w:pPr>
        <w:pStyle w:val="parrafos"/>
        <w:tabs>
          <w:tab w:val="left" w:pos="450"/>
        </w:tabs>
        <w:ind w:left="0" w:firstLine="0"/>
        <w:rPr>
          <w:rFonts w:ascii="Cambria" w:hAnsi="Cambria"/>
          <w:color w:val="auto"/>
          <w:lang w:val="es-ES"/>
        </w:rPr>
      </w:pPr>
      <w:r w:rsidRPr="007E4AA8">
        <w:rPr>
          <w:rFonts w:ascii="Cambria" w:hAnsi="Cambria" w:cs="TimesNewRoman"/>
          <w:color w:val="auto"/>
          <w:lang w:val="es-ES" w:eastAsia="es-ES_tradnl"/>
        </w:rPr>
        <w:t xml:space="preserve">En </w:t>
      </w:r>
      <w:r w:rsidR="009854E2" w:rsidRPr="007E4AA8">
        <w:rPr>
          <w:rFonts w:ascii="Cambria" w:hAnsi="Cambria" w:cs="TimesNewRoman"/>
          <w:color w:val="auto"/>
          <w:lang w:val="es-ES" w:eastAsia="es-ES_tradnl"/>
        </w:rPr>
        <w:t xml:space="preserve">cuanto </w:t>
      </w:r>
      <w:r w:rsidRPr="007E4AA8">
        <w:rPr>
          <w:rFonts w:ascii="Cambria" w:hAnsi="Cambria" w:cs="TimesNewRoman"/>
          <w:color w:val="auto"/>
          <w:lang w:val="es-ES" w:eastAsia="es-ES_tradnl"/>
        </w:rPr>
        <w:t>a</w:t>
      </w:r>
      <w:r w:rsidR="00471488" w:rsidRPr="007E4AA8">
        <w:rPr>
          <w:rFonts w:ascii="Cambria" w:hAnsi="Cambria" w:cs="TimesNewRoman"/>
          <w:color w:val="auto"/>
          <w:lang w:val="es-ES" w:eastAsia="es-ES_tradnl"/>
        </w:rPr>
        <w:t xml:space="preserve"> la complejidad del asunto, la CIDH observa que de las piezas del expediente con que cuenta, no se desprende que las investigaciones tuvieran especial complejidad</w:t>
      </w:r>
      <w:r w:rsidR="00682979" w:rsidRPr="007E4AA8">
        <w:rPr>
          <w:rFonts w:ascii="Cambria" w:hAnsi="Cambria" w:cs="TimesNewRoman"/>
          <w:color w:val="auto"/>
          <w:lang w:val="es-ES" w:eastAsia="es-ES_tradnl"/>
        </w:rPr>
        <w:t>, pues los hechos se refieren a una persona en específico siendo los perpetradores susceptibles de clara investigación encontrarse en circunstancias de lugar, espacio y tiempo claramente determinadas</w:t>
      </w:r>
      <w:r w:rsidR="00471488" w:rsidRPr="007E4AA8">
        <w:rPr>
          <w:rFonts w:ascii="Cambria" w:hAnsi="Cambria" w:cs="TimesNewRoman"/>
          <w:color w:val="auto"/>
          <w:lang w:val="es-ES" w:eastAsia="es-ES_tradnl"/>
        </w:rPr>
        <w:t xml:space="preserve">. </w:t>
      </w:r>
      <w:r w:rsidR="00C27949" w:rsidRPr="007E4AA8">
        <w:rPr>
          <w:rFonts w:ascii="Cambria" w:hAnsi="Cambria" w:cs="TimesNewRoman"/>
          <w:color w:val="auto"/>
          <w:lang w:val="es-ES" w:eastAsia="es-ES_tradnl"/>
        </w:rPr>
        <w:t>La CIDH recuerda que e</w:t>
      </w:r>
      <w:r w:rsidR="00471488" w:rsidRPr="007E4AA8">
        <w:rPr>
          <w:rFonts w:ascii="Cambria" w:hAnsi="Cambria" w:cs="TimesNewRoman"/>
          <w:color w:val="auto"/>
          <w:lang w:val="es-ES" w:eastAsia="es-ES_tradnl"/>
        </w:rPr>
        <w:t xml:space="preserve">l Estado </w:t>
      </w:r>
      <w:r w:rsidR="00C27949" w:rsidRPr="007E4AA8">
        <w:rPr>
          <w:rFonts w:ascii="Cambria" w:hAnsi="Cambria" w:cs="TimesNewRoman"/>
          <w:color w:val="auto"/>
          <w:lang w:val="es-ES" w:eastAsia="es-ES_tradnl"/>
        </w:rPr>
        <w:t xml:space="preserve">no presentó sus observaciones de fondo sobre este asunto, y en cuanto a sus observaciones de admisibilidad </w:t>
      </w:r>
      <w:r w:rsidR="00471488" w:rsidRPr="007E4AA8">
        <w:rPr>
          <w:rFonts w:ascii="Cambria" w:hAnsi="Cambria" w:cs="TimesNewRoman"/>
          <w:color w:val="auto"/>
          <w:lang w:val="es-ES" w:eastAsia="es-ES_tradnl"/>
        </w:rPr>
        <w:t>se limitó a indicar que</w:t>
      </w:r>
      <w:r w:rsidR="00C27949" w:rsidRPr="007E4AA8">
        <w:rPr>
          <w:rFonts w:ascii="Cambria" w:hAnsi="Cambria" w:cs="TimesNewRoman"/>
          <w:color w:val="auto"/>
          <w:lang w:val="es-ES" w:eastAsia="es-ES_tradnl"/>
        </w:rPr>
        <w:t>,</w:t>
      </w:r>
      <w:r w:rsidR="00471488" w:rsidRPr="007E4AA8">
        <w:rPr>
          <w:rFonts w:ascii="Cambria" w:hAnsi="Cambria" w:cs="TimesNewRoman"/>
          <w:color w:val="auto"/>
          <w:lang w:val="es-ES" w:eastAsia="es-ES_tradnl"/>
        </w:rPr>
        <w:t xml:space="preserve"> </w:t>
      </w:r>
      <w:r w:rsidR="00C27949" w:rsidRPr="007E4AA8">
        <w:rPr>
          <w:rFonts w:ascii="Cambria" w:hAnsi="Cambria"/>
          <w:color w:val="auto"/>
          <w:lang w:val="es-ES"/>
        </w:rPr>
        <w:t xml:space="preserve">respecto al retardo en el trámite del proceso penal, los retrasos en la causa penal se debieron a un </w:t>
      </w:r>
      <w:r w:rsidR="00C27949" w:rsidRPr="007E4AA8">
        <w:rPr>
          <w:rFonts w:ascii="Cambria" w:hAnsi="Cambria"/>
          <w:color w:val="auto"/>
          <w:lang w:val="es-ES"/>
        </w:rPr>
        <w:lastRenderedPageBreak/>
        <w:t xml:space="preserve">“aparente ejercicio malicioso por parte de las defensas de los acusados, apoyados en un sistema penal todavía carente de infraestructura y relativamente nuevo”. En este sentido, </w:t>
      </w:r>
      <w:r w:rsidR="009E6A6D" w:rsidRPr="007E4AA8">
        <w:rPr>
          <w:rFonts w:ascii="Cambria" w:hAnsi="Cambria"/>
          <w:color w:val="auto"/>
          <w:lang w:val="es-ES"/>
        </w:rPr>
        <w:t xml:space="preserve">en su oportunidad </w:t>
      </w:r>
      <w:r w:rsidR="00C27949" w:rsidRPr="007E4AA8">
        <w:rPr>
          <w:rFonts w:ascii="Cambria" w:hAnsi="Cambria"/>
          <w:color w:val="auto"/>
          <w:lang w:val="es-ES"/>
        </w:rPr>
        <w:t xml:space="preserve">indicó que no se vislumbraban nuevas posibilidades de injerencias dilatorias en el proceso dado el cambio en el contexto político de Paraguay, y se comprometió a velar porque el proceso se tramite con respeto irrestricto de los plazos procesales previstos por la legislación interna. </w:t>
      </w:r>
      <w:r w:rsidR="00471488" w:rsidRPr="007E4AA8">
        <w:rPr>
          <w:rFonts w:ascii="Cambria" w:hAnsi="Cambria" w:cs="TimesNewRoman"/>
          <w:color w:val="auto"/>
          <w:lang w:val="es-ES" w:eastAsia="es-ES_tradnl"/>
        </w:rPr>
        <w:t xml:space="preserve">La Comisión no tiene conocimiento de diligencias posteriores que revistieran complejidad y que hubiesen sido tomadas en cuenta para determinar la eventual responsabilidad </w:t>
      </w:r>
      <w:r w:rsidR="00C27949" w:rsidRPr="007E4AA8">
        <w:rPr>
          <w:rFonts w:ascii="Cambria" w:hAnsi="Cambria" w:cs="TimesNewRoman"/>
          <w:color w:val="auto"/>
          <w:lang w:val="es-ES" w:eastAsia="es-ES_tradnl"/>
        </w:rPr>
        <w:t>de los acusados</w:t>
      </w:r>
      <w:r w:rsidRPr="007E4AA8">
        <w:rPr>
          <w:rFonts w:ascii="Cambria" w:hAnsi="Cambria" w:cs="TimesNewRoman"/>
          <w:color w:val="auto"/>
          <w:lang w:val="es-ES" w:eastAsia="es-ES_tradnl"/>
        </w:rPr>
        <w:t>. E</w:t>
      </w:r>
      <w:r w:rsidR="00471488" w:rsidRPr="007E4AA8">
        <w:rPr>
          <w:rFonts w:ascii="Cambria" w:hAnsi="Cambria" w:cs="TimesNewRoman"/>
          <w:color w:val="auto"/>
          <w:lang w:val="es-ES" w:eastAsia="es-ES_tradnl"/>
        </w:rPr>
        <w:t xml:space="preserve">l Estado no ha presentado alegatos o pruebas en ese sentido. </w:t>
      </w:r>
      <w:r w:rsidR="00020499" w:rsidRPr="007E4AA8">
        <w:rPr>
          <w:rFonts w:ascii="Cambria" w:hAnsi="Cambria" w:cs="TimesNewRoman"/>
          <w:color w:val="auto"/>
          <w:lang w:val="es-ES" w:eastAsia="es-ES_tradnl"/>
        </w:rPr>
        <w:t>S</w:t>
      </w:r>
      <w:r w:rsidR="009854E2" w:rsidRPr="007E4AA8">
        <w:rPr>
          <w:rFonts w:ascii="Cambria" w:hAnsi="Cambria" w:cs="TimesNewRoman"/>
          <w:color w:val="auto"/>
          <w:lang w:val="es-ES" w:eastAsia="es-ES_tradnl"/>
        </w:rPr>
        <w:t>í</w:t>
      </w:r>
      <w:r w:rsidR="00020499" w:rsidRPr="007E4AA8">
        <w:rPr>
          <w:rFonts w:ascii="Cambria" w:hAnsi="Cambria" w:cs="TimesNewRoman"/>
          <w:color w:val="auto"/>
          <w:lang w:val="es-ES" w:eastAsia="es-ES_tradnl"/>
        </w:rPr>
        <w:t xml:space="preserve"> constan</w:t>
      </w:r>
      <w:r w:rsidR="009854E2" w:rsidRPr="007E4AA8">
        <w:rPr>
          <w:rFonts w:ascii="Cambria" w:hAnsi="Cambria" w:cs="TimesNewRoman"/>
          <w:color w:val="auto"/>
          <w:lang w:val="es-ES" w:eastAsia="es-ES_tradnl"/>
        </w:rPr>
        <w:t>,</w:t>
      </w:r>
      <w:r w:rsidR="00020499" w:rsidRPr="007E4AA8">
        <w:rPr>
          <w:rFonts w:ascii="Cambria" w:hAnsi="Cambria" w:cs="TimesNewRoman"/>
          <w:color w:val="auto"/>
          <w:lang w:val="es-ES" w:eastAsia="es-ES_tradnl"/>
        </w:rPr>
        <w:t xml:space="preserve"> diversas actuaciones referidas en la sección de hechos probados, </w:t>
      </w:r>
      <w:r w:rsidR="009854E2" w:rsidRPr="007E4AA8">
        <w:rPr>
          <w:rFonts w:ascii="Cambria" w:hAnsi="Cambria" w:cs="TimesNewRoman"/>
          <w:color w:val="auto"/>
          <w:lang w:val="es-ES" w:eastAsia="es-ES_tradnl"/>
        </w:rPr>
        <w:t>sobre</w:t>
      </w:r>
      <w:r w:rsidR="00020499" w:rsidRPr="007E4AA8">
        <w:rPr>
          <w:rFonts w:ascii="Cambria" w:hAnsi="Cambria" w:cs="TimesNewRoman"/>
          <w:color w:val="auto"/>
          <w:lang w:val="es-ES" w:eastAsia="es-ES_tradnl"/>
        </w:rPr>
        <w:t xml:space="preserve"> incidencias y recursos ejercidos por los acusados. De hecho, conforme </w:t>
      </w:r>
      <w:r w:rsidR="009854E2" w:rsidRPr="007E4AA8">
        <w:rPr>
          <w:rFonts w:ascii="Cambria" w:hAnsi="Cambria" w:cs="TimesNewRoman"/>
          <w:color w:val="auto"/>
          <w:lang w:val="es-ES" w:eastAsia="es-ES_tradnl"/>
        </w:rPr>
        <w:t>con</w:t>
      </w:r>
      <w:r w:rsidR="00020499" w:rsidRPr="007E4AA8">
        <w:rPr>
          <w:rFonts w:ascii="Cambria" w:hAnsi="Cambria" w:cs="TimesNewRoman"/>
          <w:color w:val="auto"/>
          <w:lang w:val="es-ES" w:eastAsia="es-ES_tradnl"/>
        </w:rPr>
        <w:t xml:space="preserve"> la información disponible, e</w:t>
      </w:r>
      <w:r w:rsidR="00020499" w:rsidRPr="007E4AA8">
        <w:rPr>
          <w:color w:val="auto"/>
          <w:lang w:val="es-ES"/>
        </w:rPr>
        <w:t>n 2018 el juez de la causa habría sancionado a Walter Bower como “litigante de mala fe durante 17 años”.</w:t>
      </w:r>
    </w:p>
    <w:p w14:paraId="3A99AEF6" w14:textId="77777777" w:rsidR="00D550EE" w:rsidRPr="007E4AA8" w:rsidRDefault="00D550EE" w:rsidP="00D550EE">
      <w:pPr>
        <w:pStyle w:val="parrafos"/>
        <w:numPr>
          <w:ilvl w:val="0"/>
          <w:numId w:val="0"/>
        </w:numPr>
        <w:rPr>
          <w:rFonts w:ascii="Cambria" w:hAnsi="Cambria" w:cs="TimesNewRoman"/>
          <w:color w:val="auto"/>
          <w:lang w:val="es-ES" w:eastAsia="es-ES_tradnl"/>
        </w:rPr>
      </w:pPr>
    </w:p>
    <w:p w14:paraId="34D9E08B" w14:textId="77777777" w:rsidR="00D550EE" w:rsidRPr="007E4AA8" w:rsidRDefault="00D550EE" w:rsidP="00D56F4B">
      <w:pPr>
        <w:pStyle w:val="parrafos"/>
        <w:ind w:left="0" w:firstLine="0"/>
        <w:rPr>
          <w:rFonts w:ascii="Cambria" w:hAnsi="Cambria" w:cs="TimesNewRoman"/>
          <w:color w:val="auto"/>
          <w:lang w:val="es-ES" w:eastAsia="es-ES_tradnl"/>
        </w:rPr>
      </w:pPr>
      <w:r w:rsidRPr="007E4AA8">
        <w:rPr>
          <w:rFonts w:ascii="Cambria" w:hAnsi="Cambria" w:cs="TimesNewRoman"/>
          <w:color w:val="auto"/>
          <w:lang w:val="es-ES" w:eastAsia="es-ES_tradnl"/>
        </w:rPr>
        <w:t>En cuanto a la actividad procesal del interesado, conforme a lo referido al propio Estado, las dilaciones se habrían observado en relación con el actuar “malicioso” de la defensa de los acusados. De la prueba obrante consta que la presunta víctima habría participado del proceso y no se identifican acciones de su parte que hubiesen implicado la dilación de la causa.</w:t>
      </w:r>
    </w:p>
    <w:p w14:paraId="258811C9" w14:textId="77777777" w:rsidR="00471488" w:rsidRPr="007E4AA8" w:rsidRDefault="00471488" w:rsidP="00471488">
      <w:pPr>
        <w:ind w:left="540"/>
        <w:rPr>
          <w:lang w:val="es-ES"/>
        </w:rPr>
      </w:pPr>
    </w:p>
    <w:p w14:paraId="701F04F6" w14:textId="77777777" w:rsidR="00960C43" w:rsidRPr="007E4AA8" w:rsidRDefault="00471488" w:rsidP="00960C43">
      <w:pPr>
        <w:pStyle w:val="parrafos"/>
        <w:ind w:left="0" w:firstLine="0"/>
        <w:rPr>
          <w:color w:val="auto"/>
          <w:lang w:val="es-ES"/>
        </w:rPr>
      </w:pPr>
      <w:r w:rsidRPr="007E4AA8">
        <w:rPr>
          <w:rFonts w:ascii="Cambria" w:hAnsi="Cambria"/>
          <w:color w:val="auto"/>
          <w:lang w:val="es-ES"/>
        </w:rPr>
        <w:t xml:space="preserve">En relación con la conducta de las autoridades internas, la Comisión </w:t>
      </w:r>
      <w:r w:rsidRPr="007E4AA8">
        <w:rPr>
          <w:rFonts w:ascii="Cambria" w:hAnsi="Cambria" w:cs="TimesNewRoman"/>
          <w:color w:val="auto"/>
          <w:lang w:val="es-ES" w:eastAsia="es-ES_tradnl"/>
        </w:rPr>
        <w:t xml:space="preserve">observa que en el presente caso el Estado no explicó ni aportó prueba específica que demuestre que las autoridades judiciales actuaron con la diligencia necesaria para asegurar </w:t>
      </w:r>
      <w:r w:rsidR="00D550EE" w:rsidRPr="007E4AA8">
        <w:rPr>
          <w:rFonts w:ascii="Cambria" w:hAnsi="Cambria" w:cs="TimesNewRoman"/>
          <w:color w:val="auto"/>
          <w:lang w:val="es-ES" w:eastAsia="es-ES_tradnl"/>
        </w:rPr>
        <w:t xml:space="preserve">una decisión </w:t>
      </w:r>
      <w:r w:rsidR="00682979" w:rsidRPr="007E4AA8">
        <w:rPr>
          <w:rFonts w:ascii="Cambria" w:hAnsi="Cambria" w:cs="TimesNewRoman"/>
          <w:color w:val="auto"/>
          <w:lang w:val="es-ES" w:eastAsia="es-ES_tradnl"/>
        </w:rPr>
        <w:t>de manera oportuna y diligente</w:t>
      </w:r>
      <w:r w:rsidRPr="007E4AA8">
        <w:rPr>
          <w:rFonts w:ascii="Cambria" w:hAnsi="Cambria" w:cs="TimesNewRoman"/>
          <w:color w:val="auto"/>
          <w:lang w:val="es-ES" w:eastAsia="es-ES_tradnl"/>
        </w:rPr>
        <w:t xml:space="preserve">. La CIDH toma nota de </w:t>
      </w:r>
      <w:r w:rsidR="00960C43" w:rsidRPr="007E4AA8">
        <w:rPr>
          <w:color w:val="auto"/>
          <w:lang w:val="es-ES"/>
        </w:rPr>
        <w:t xml:space="preserve">que, antelándose al “fenecimiento” de la causa, el Ministerio Público presentó el 8 de septiembre de 2003 una excepción de inconstitucionalidad de ciertos artículos del Código Procesal Civil y del Código Procesal Penal que pretendían ser usados por la defensa de los imputados para fundar la extinción de la acción penal. Asimismo, consta que recién el 5 de mayo de 2008 la Corte Suprema </w:t>
      </w:r>
      <w:r w:rsidR="00982D52" w:rsidRPr="007E4AA8">
        <w:rPr>
          <w:color w:val="auto"/>
          <w:lang w:val="es-ES"/>
        </w:rPr>
        <w:t>resolvió</w:t>
      </w:r>
      <w:r w:rsidR="00960C43" w:rsidRPr="007E4AA8">
        <w:rPr>
          <w:color w:val="auto"/>
          <w:lang w:val="es-ES"/>
        </w:rPr>
        <w:t xml:space="preserve"> la </w:t>
      </w:r>
      <w:r w:rsidR="00960C43" w:rsidRPr="007E4AA8">
        <w:rPr>
          <w:rFonts w:ascii="Cambria" w:hAnsi="Cambria"/>
          <w:color w:val="auto"/>
          <w:lang w:val="es-ES"/>
        </w:rPr>
        <w:t xml:space="preserve">excepción de </w:t>
      </w:r>
      <w:r w:rsidR="00960C43" w:rsidRPr="007E4AA8">
        <w:rPr>
          <w:color w:val="auto"/>
          <w:lang w:val="es-ES"/>
        </w:rPr>
        <w:t xml:space="preserve">inconstitucionalidad, declarando inaplicables ciertos artículos del Código Procesal Penal. </w:t>
      </w:r>
      <w:r w:rsidR="00982D52" w:rsidRPr="007E4AA8">
        <w:rPr>
          <w:color w:val="auto"/>
          <w:lang w:val="es-ES"/>
        </w:rPr>
        <w:t xml:space="preserve">Así, </w:t>
      </w:r>
      <w:r w:rsidR="00960C43" w:rsidRPr="007E4AA8">
        <w:rPr>
          <w:color w:val="auto"/>
          <w:lang w:val="es-ES"/>
        </w:rPr>
        <w:t xml:space="preserve">la Corte Suprema tardó casi 5 años en resolver </w:t>
      </w:r>
      <w:r w:rsidR="00982D52" w:rsidRPr="007E4AA8">
        <w:rPr>
          <w:color w:val="auto"/>
          <w:lang w:val="es-ES"/>
        </w:rPr>
        <w:t>la</w:t>
      </w:r>
      <w:r w:rsidR="00960C43" w:rsidRPr="007E4AA8">
        <w:rPr>
          <w:color w:val="auto"/>
          <w:lang w:val="es-ES"/>
        </w:rPr>
        <w:t xml:space="preserve"> excepción, que precisamente pretendía evitar que el proceso feneciera. </w:t>
      </w:r>
      <w:r w:rsidR="00982D52" w:rsidRPr="007E4AA8">
        <w:rPr>
          <w:color w:val="auto"/>
          <w:lang w:val="es-ES"/>
        </w:rPr>
        <w:t>Adicionalmente</w:t>
      </w:r>
      <w:r w:rsidR="00960C43" w:rsidRPr="007E4AA8">
        <w:rPr>
          <w:color w:val="auto"/>
          <w:lang w:val="es-ES"/>
        </w:rPr>
        <w:t xml:space="preserve">, la CIDH observa que, conforme a la propia sentencia emitida por la Corte Suprema, la causa estuvo con “autos para sentencia” desde el 18 de diciembre de 2003, y el Ministerio Público presentó tres solicitudes en 2006 y una en 2007 para la pronta resolución. </w:t>
      </w:r>
    </w:p>
    <w:p w14:paraId="710E535D" w14:textId="77777777" w:rsidR="00960C43" w:rsidRPr="007E4AA8" w:rsidRDefault="00960C43" w:rsidP="00960C43">
      <w:pPr>
        <w:pStyle w:val="parrafos"/>
        <w:numPr>
          <w:ilvl w:val="0"/>
          <w:numId w:val="0"/>
        </w:numPr>
        <w:rPr>
          <w:color w:val="auto"/>
          <w:lang w:val="es-ES"/>
        </w:rPr>
      </w:pPr>
    </w:p>
    <w:p w14:paraId="4DA11CAE" w14:textId="77777777" w:rsidR="00960C43" w:rsidRPr="007E4AA8" w:rsidRDefault="00960C43" w:rsidP="00960C43">
      <w:pPr>
        <w:pStyle w:val="parrafos"/>
        <w:ind w:left="0" w:firstLine="0"/>
        <w:rPr>
          <w:color w:val="auto"/>
          <w:lang w:val="es-ES"/>
        </w:rPr>
      </w:pPr>
      <w:r w:rsidRPr="007E4AA8">
        <w:rPr>
          <w:color w:val="auto"/>
          <w:lang w:val="es-ES"/>
        </w:rPr>
        <w:t xml:space="preserve">Cabe agregar, </w:t>
      </w:r>
      <w:r w:rsidR="00020499" w:rsidRPr="007E4AA8">
        <w:rPr>
          <w:color w:val="auto"/>
          <w:lang w:val="es-ES"/>
        </w:rPr>
        <w:t>que,</w:t>
      </w:r>
      <w:r w:rsidRPr="007E4AA8">
        <w:rPr>
          <w:color w:val="auto"/>
          <w:lang w:val="es-ES"/>
        </w:rPr>
        <w:t xml:space="preserve"> </w:t>
      </w:r>
      <w:r w:rsidR="00956452" w:rsidRPr="007E4AA8">
        <w:rPr>
          <w:color w:val="auto"/>
          <w:lang w:val="es-ES"/>
        </w:rPr>
        <w:t xml:space="preserve">conforme a la prueba obrante, un co-querellante </w:t>
      </w:r>
      <w:r w:rsidRPr="007E4AA8">
        <w:rPr>
          <w:color w:val="auto"/>
          <w:lang w:val="es-ES"/>
        </w:rPr>
        <w:t xml:space="preserve">recusó “con causa” al Dr. Víctor </w:t>
      </w:r>
      <w:r w:rsidR="00FA618B" w:rsidRPr="007E4AA8">
        <w:rPr>
          <w:color w:val="auto"/>
          <w:lang w:val="es-ES"/>
        </w:rPr>
        <w:t>Núñez</w:t>
      </w:r>
      <w:r w:rsidRPr="007E4AA8">
        <w:rPr>
          <w:color w:val="auto"/>
          <w:lang w:val="es-ES"/>
        </w:rPr>
        <w:t xml:space="preserve">, aseverando que </w:t>
      </w:r>
      <w:r w:rsidR="00020499" w:rsidRPr="007E4AA8">
        <w:rPr>
          <w:color w:val="auto"/>
          <w:lang w:val="es-ES"/>
        </w:rPr>
        <w:t xml:space="preserve">el expediente </w:t>
      </w:r>
      <w:r w:rsidR="00982D52" w:rsidRPr="007E4AA8">
        <w:rPr>
          <w:color w:val="auto"/>
          <w:lang w:val="es-ES"/>
        </w:rPr>
        <w:t xml:space="preserve">de la causa </w:t>
      </w:r>
      <w:r w:rsidR="00020499" w:rsidRPr="007E4AA8">
        <w:rPr>
          <w:color w:val="auto"/>
          <w:lang w:val="es-ES"/>
        </w:rPr>
        <w:t>se encontraba “guardado” en su despacho</w:t>
      </w:r>
      <w:r w:rsidR="00956452" w:rsidRPr="007E4AA8">
        <w:rPr>
          <w:color w:val="auto"/>
          <w:lang w:val="es-ES"/>
        </w:rPr>
        <w:t xml:space="preserve"> </w:t>
      </w:r>
      <w:r w:rsidRPr="007E4AA8">
        <w:rPr>
          <w:color w:val="auto"/>
          <w:lang w:val="es-ES"/>
        </w:rPr>
        <w:t>desde el 5 de abril de</w:t>
      </w:r>
      <w:r w:rsidR="00982D52" w:rsidRPr="007E4AA8">
        <w:rPr>
          <w:color w:val="auto"/>
          <w:lang w:val="es-ES"/>
        </w:rPr>
        <w:t xml:space="preserve"> </w:t>
      </w:r>
      <w:r w:rsidRPr="007E4AA8">
        <w:rPr>
          <w:color w:val="auto"/>
          <w:lang w:val="es-ES"/>
        </w:rPr>
        <w:t>2004</w:t>
      </w:r>
      <w:r w:rsidR="00956452" w:rsidRPr="007E4AA8">
        <w:rPr>
          <w:color w:val="auto"/>
          <w:lang w:val="es-ES"/>
        </w:rPr>
        <w:t xml:space="preserve"> y</w:t>
      </w:r>
      <w:r w:rsidRPr="007E4AA8">
        <w:rPr>
          <w:color w:val="auto"/>
          <w:lang w:val="es-ES"/>
        </w:rPr>
        <w:t xml:space="preserve"> hasta septiembre de</w:t>
      </w:r>
      <w:r w:rsidR="00982D52" w:rsidRPr="007E4AA8">
        <w:rPr>
          <w:color w:val="auto"/>
          <w:lang w:val="es-ES"/>
        </w:rPr>
        <w:t xml:space="preserve"> </w:t>
      </w:r>
      <w:r w:rsidRPr="007E4AA8">
        <w:rPr>
          <w:color w:val="auto"/>
          <w:lang w:val="es-ES"/>
        </w:rPr>
        <w:t xml:space="preserve">2006, </w:t>
      </w:r>
      <w:r w:rsidR="00956452" w:rsidRPr="007E4AA8">
        <w:rPr>
          <w:color w:val="auto"/>
          <w:lang w:val="es-ES"/>
        </w:rPr>
        <w:t xml:space="preserve">esto es, </w:t>
      </w:r>
      <w:r w:rsidRPr="007E4AA8">
        <w:rPr>
          <w:color w:val="auto"/>
          <w:lang w:val="es-ES"/>
        </w:rPr>
        <w:t xml:space="preserve">por </w:t>
      </w:r>
      <w:r w:rsidR="00956452" w:rsidRPr="007E4AA8">
        <w:rPr>
          <w:color w:val="auto"/>
          <w:lang w:val="es-ES"/>
        </w:rPr>
        <w:t xml:space="preserve">un </w:t>
      </w:r>
      <w:r w:rsidRPr="007E4AA8">
        <w:rPr>
          <w:color w:val="auto"/>
          <w:lang w:val="es-ES"/>
        </w:rPr>
        <w:t xml:space="preserve">espacio de dos años, </w:t>
      </w:r>
      <w:r w:rsidR="00956452" w:rsidRPr="007E4AA8">
        <w:rPr>
          <w:color w:val="auto"/>
          <w:lang w:val="es-ES"/>
        </w:rPr>
        <w:t xml:space="preserve">pese a que se habrían </w:t>
      </w:r>
      <w:r w:rsidRPr="007E4AA8">
        <w:rPr>
          <w:color w:val="auto"/>
          <w:lang w:val="es-ES"/>
        </w:rPr>
        <w:t xml:space="preserve">presentado </w:t>
      </w:r>
      <w:r w:rsidR="00982D52" w:rsidRPr="007E4AA8">
        <w:rPr>
          <w:color w:val="auto"/>
          <w:lang w:val="es-ES"/>
        </w:rPr>
        <w:t xml:space="preserve">los </w:t>
      </w:r>
      <w:r w:rsidR="00956452" w:rsidRPr="007E4AA8">
        <w:rPr>
          <w:color w:val="auto"/>
          <w:lang w:val="es-ES"/>
        </w:rPr>
        <w:t>“</w:t>
      </w:r>
      <w:r w:rsidRPr="007E4AA8">
        <w:rPr>
          <w:color w:val="auto"/>
          <w:lang w:val="es-ES"/>
        </w:rPr>
        <w:t>urgimientos</w:t>
      </w:r>
      <w:r w:rsidR="00956452" w:rsidRPr="007E4AA8">
        <w:rPr>
          <w:color w:val="auto"/>
          <w:lang w:val="es-ES"/>
        </w:rPr>
        <w:t>”</w:t>
      </w:r>
      <w:r w:rsidRPr="007E4AA8">
        <w:rPr>
          <w:color w:val="auto"/>
          <w:lang w:val="es-ES"/>
        </w:rPr>
        <w:t xml:space="preserve"> pertinentes</w:t>
      </w:r>
      <w:r w:rsidR="00020499" w:rsidRPr="007E4AA8">
        <w:rPr>
          <w:color w:val="auto"/>
          <w:lang w:val="es-ES"/>
        </w:rPr>
        <w:t xml:space="preserve">. Asimismo, </w:t>
      </w:r>
      <w:r w:rsidR="00956452" w:rsidRPr="007E4AA8">
        <w:rPr>
          <w:color w:val="auto"/>
          <w:lang w:val="es-ES"/>
        </w:rPr>
        <w:t xml:space="preserve">tras pasar el expediente </w:t>
      </w:r>
      <w:r w:rsidRPr="007E4AA8">
        <w:rPr>
          <w:color w:val="auto"/>
          <w:lang w:val="es-ES"/>
        </w:rPr>
        <w:t>a</w:t>
      </w:r>
      <w:r w:rsidR="00956452" w:rsidRPr="007E4AA8">
        <w:rPr>
          <w:color w:val="auto"/>
          <w:lang w:val="es-ES"/>
        </w:rPr>
        <w:t xml:space="preserve"> otro</w:t>
      </w:r>
      <w:r w:rsidRPr="007E4AA8">
        <w:rPr>
          <w:color w:val="auto"/>
          <w:lang w:val="es-ES"/>
        </w:rPr>
        <w:t xml:space="preserve"> </w:t>
      </w:r>
      <w:r w:rsidR="00020499" w:rsidRPr="007E4AA8">
        <w:rPr>
          <w:color w:val="auto"/>
          <w:lang w:val="es-ES"/>
        </w:rPr>
        <w:t>Ministro,</w:t>
      </w:r>
      <w:r w:rsidR="00956452" w:rsidRPr="007E4AA8">
        <w:rPr>
          <w:color w:val="auto"/>
          <w:lang w:val="es-ES"/>
        </w:rPr>
        <w:t xml:space="preserve"> el co-querellante </w:t>
      </w:r>
      <w:r w:rsidRPr="007E4AA8">
        <w:rPr>
          <w:color w:val="auto"/>
          <w:lang w:val="es-ES"/>
        </w:rPr>
        <w:t xml:space="preserve">denunció la desaparición </w:t>
      </w:r>
      <w:r w:rsidR="00956452" w:rsidRPr="007E4AA8">
        <w:rPr>
          <w:color w:val="auto"/>
          <w:lang w:val="es-ES"/>
        </w:rPr>
        <w:t xml:space="preserve">del </w:t>
      </w:r>
      <w:r w:rsidR="00020499" w:rsidRPr="007E4AA8">
        <w:rPr>
          <w:color w:val="auto"/>
          <w:lang w:val="es-ES"/>
        </w:rPr>
        <w:t>mismo,</w:t>
      </w:r>
      <w:r w:rsidR="00956452" w:rsidRPr="007E4AA8">
        <w:rPr>
          <w:color w:val="auto"/>
          <w:lang w:val="es-ES"/>
        </w:rPr>
        <w:t xml:space="preserve"> el que habría aparecido</w:t>
      </w:r>
      <w:r w:rsidRPr="007E4AA8">
        <w:rPr>
          <w:color w:val="auto"/>
          <w:lang w:val="es-ES"/>
        </w:rPr>
        <w:t xml:space="preserve"> </w:t>
      </w:r>
      <w:r w:rsidR="00020499" w:rsidRPr="007E4AA8">
        <w:rPr>
          <w:color w:val="auto"/>
          <w:lang w:val="es-ES"/>
        </w:rPr>
        <w:t>el</w:t>
      </w:r>
      <w:r w:rsidRPr="007E4AA8">
        <w:rPr>
          <w:color w:val="auto"/>
          <w:lang w:val="es-ES"/>
        </w:rPr>
        <w:t xml:space="preserve"> 7 de marzo de 2007. </w:t>
      </w:r>
      <w:r w:rsidR="00020499" w:rsidRPr="007E4AA8">
        <w:rPr>
          <w:color w:val="auto"/>
          <w:lang w:val="es-ES"/>
        </w:rPr>
        <w:t xml:space="preserve">La CIDH </w:t>
      </w:r>
      <w:r w:rsidR="001B26F8" w:rsidRPr="007E4AA8">
        <w:rPr>
          <w:color w:val="auto"/>
          <w:lang w:val="es-ES"/>
        </w:rPr>
        <w:t>nota,</w:t>
      </w:r>
      <w:r w:rsidR="00020499" w:rsidRPr="007E4AA8">
        <w:rPr>
          <w:color w:val="auto"/>
          <w:lang w:val="es-ES"/>
        </w:rPr>
        <w:t xml:space="preserve"> además</w:t>
      </w:r>
      <w:r w:rsidR="009854E2" w:rsidRPr="007E4AA8">
        <w:rPr>
          <w:color w:val="auto"/>
          <w:lang w:val="es-ES"/>
        </w:rPr>
        <w:t>,</w:t>
      </w:r>
      <w:r w:rsidR="00020499" w:rsidRPr="007E4AA8">
        <w:rPr>
          <w:color w:val="auto"/>
          <w:lang w:val="es-ES"/>
        </w:rPr>
        <w:t xml:space="preserve"> que </w:t>
      </w:r>
      <w:r w:rsidRPr="007E4AA8">
        <w:rPr>
          <w:color w:val="auto"/>
          <w:lang w:val="es-ES"/>
        </w:rPr>
        <w:t>el 23 de mayo de 2007 el Ministro recusado se separó de la causa</w:t>
      </w:r>
      <w:r w:rsidR="00020499" w:rsidRPr="007E4AA8">
        <w:rPr>
          <w:color w:val="auto"/>
          <w:lang w:val="es-ES"/>
        </w:rPr>
        <w:t xml:space="preserve">, y que </w:t>
      </w:r>
      <w:r w:rsidRPr="007E4AA8">
        <w:rPr>
          <w:color w:val="auto"/>
          <w:lang w:val="es-ES"/>
        </w:rPr>
        <w:t>entre mayo y julio de 2007 cuatro Ministros se excusaron de conocer la causa, hasta que el 7 de agosto de 2007 un Ministro aceptó integrar la Sala Constitucional</w:t>
      </w:r>
      <w:r w:rsidRPr="007E4AA8">
        <w:rPr>
          <w:rStyle w:val="FootnoteReference"/>
          <w:color w:val="auto"/>
          <w:lang w:val="es-ES"/>
        </w:rPr>
        <w:footnoteReference w:id="111"/>
      </w:r>
      <w:r w:rsidRPr="007E4AA8">
        <w:rPr>
          <w:color w:val="auto"/>
          <w:lang w:val="es-ES"/>
        </w:rPr>
        <w:t>.</w:t>
      </w:r>
      <w:r w:rsidR="00982D52" w:rsidRPr="007E4AA8">
        <w:rPr>
          <w:color w:val="auto"/>
          <w:lang w:val="es-ES"/>
        </w:rPr>
        <w:t xml:space="preserve"> En este sentido, no se identifica que se haya acreditado por parte del Estado el actuar diligente de las autoridades judiciales, sino que</w:t>
      </w:r>
      <w:r w:rsidR="000B7B0B" w:rsidRPr="007E4AA8">
        <w:rPr>
          <w:color w:val="auto"/>
          <w:lang w:val="es-ES"/>
        </w:rPr>
        <w:t>,</w:t>
      </w:r>
      <w:r w:rsidR="00982D52" w:rsidRPr="007E4AA8">
        <w:rPr>
          <w:color w:val="auto"/>
          <w:lang w:val="es-ES"/>
        </w:rPr>
        <w:t xml:space="preserve"> por el contrario, conforme a la prueba obrante las autoridades habrían </w:t>
      </w:r>
      <w:r w:rsidR="000B7B0B" w:rsidRPr="007E4AA8">
        <w:rPr>
          <w:color w:val="auto"/>
          <w:lang w:val="es-ES"/>
        </w:rPr>
        <w:t>tenido responsabilidad</w:t>
      </w:r>
      <w:r w:rsidR="00982D52" w:rsidRPr="007E4AA8">
        <w:rPr>
          <w:color w:val="auto"/>
          <w:lang w:val="es-ES"/>
        </w:rPr>
        <w:t xml:space="preserve"> la dilación del proceso.</w:t>
      </w:r>
    </w:p>
    <w:p w14:paraId="38D62FD4" w14:textId="77777777" w:rsidR="00D550EE" w:rsidRPr="007E4AA8" w:rsidRDefault="00D550EE" w:rsidP="00471488">
      <w:pPr>
        <w:jc w:val="both"/>
        <w:rPr>
          <w:rFonts w:ascii="Cambria" w:hAnsi="Cambria"/>
          <w:sz w:val="20"/>
          <w:szCs w:val="20"/>
          <w:lang w:val="es-ES"/>
        </w:rPr>
      </w:pPr>
    </w:p>
    <w:p w14:paraId="0BF5B215" w14:textId="77777777" w:rsidR="00471488" w:rsidRPr="007E4AA8" w:rsidRDefault="00471488" w:rsidP="00FA618B">
      <w:pPr>
        <w:pStyle w:val="parrafos"/>
        <w:tabs>
          <w:tab w:val="left" w:pos="450"/>
        </w:tabs>
        <w:ind w:left="0" w:firstLine="0"/>
        <w:rPr>
          <w:rFonts w:ascii="Cambria" w:hAnsi="Cambria"/>
          <w:color w:val="auto"/>
          <w:lang w:val="es-ES"/>
        </w:rPr>
      </w:pPr>
      <w:r w:rsidRPr="007E4AA8">
        <w:rPr>
          <w:rFonts w:ascii="Cambria" w:hAnsi="Cambria"/>
          <w:color w:val="auto"/>
          <w:lang w:val="es-ES"/>
        </w:rPr>
        <w:t>Respecto del cuarto elemento, la CIDH considera que la continuidad de</w:t>
      </w:r>
      <w:r w:rsidR="00982D52" w:rsidRPr="007E4AA8">
        <w:rPr>
          <w:rFonts w:ascii="Cambria" w:hAnsi="Cambria"/>
          <w:color w:val="auto"/>
          <w:lang w:val="es-ES"/>
        </w:rPr>
        <w:t xml:space="preserve">l </w:t>
      </w:r>
      <w:r w:rsidRPr="007E4AA8">
        <w:rPr>
          <w:rFonts w:ascii="Cambria" w:hAnsi="Cambria"/>
          <w:color w:val="auto"/>
          <w:lang w:val="es-ES"/>
        </w:rPr>
        <w:t>proceso</w:t>
      </w:r>
      <w:r w:rsidR="00982D52" w:rsidRPr="007E4AA8">
        <w:rPr>
          <w:rFonts w:ascii="Cambria" w:hAnsi="Cambria"/>
          <w:color w:val="auto"/>
          <w:lang w:val="es-ES"/>
        </w:rPr>
        <w:t xml:space="preserve"> por un lapso de cerca de 20 años hasta que</w:t>
      </w:r>
      <w:r w:rsidRPr="007E4AA8">
        <w:rPr>
          <w:rFonts w:ascii="Cambria" w:hAnsi="Cambria"/>
          <w:color w:val="auto"/>
          <w:lang w:val="es-ES"/>
        </w:rPr>
        <w:t xml:space="preserve"> </w:t>
      </w:r>
      <w:r w:rsidR="00982D52" w:rsidRPr="007E4AA8">
        <w:rPr>
          <w:rFonts w:ascii="Cambria" w:hAnsi="Cambria"/>
          <w:color w:val="auto"/>
          <w:lang w:val="es-ES"/>
        </w:rPr>
        <w:t xml:space="preserve">dictase sentencia de primera </w:t>
      </w:r>
      <w:r w:rsidR="00D172ED" w:rsidRPr="007E4AA8">
        <w:rPr>
          <w:rFonts w:ascii="Cambria" w:hAnsi="Cambria"/>
          <w:color w:val="auto"/>
          <w:lang w:val="es-ES"/>
        </w:rPr>
        <w:t>instancia</w:t>
      </w:r>
      <w:r w:rsidR="00982D52" w:rsidRPr="007E4AA8">
        <w:rPr>
          <w:rFonts w:ascii="Cambria" w:hAnsi="Cambria"/>
          <w:color w:val="auto"/>
          <w:lang w:val="es-ES"/>
        </w:rPr>
        <w:t xml:space="preserve"> produjo una denegación de acceso a la justicia </w:t>
      </w:r>
      <w:r w:rsidR="00D172ED" w:rsidRPr="007E4AA8">
        <w:rPr>
          <w:rFonts w:ascii="Cambria" w:hAnsi="Cambria"/>
          <w:color w:val="auto"/>
          <w:lang w:val="es-ES"/>
        </w:rPr>
        <w:t xml:space="preserve">en </w:t>
      </w:r>
      <w:r w:rsidR="009854E2" w:rsidRPr="007E4AA8">
        <w:rPr>
          <w:rFonts w:ascii="Cambria" w:hAnsi="Cambria"/>
          <w:color w:val="auto"/>
          <w:lang w:val="es-ES"/>
        </w:rPr>
        <w:t>perjuicio</w:t>
      </w:r>
      <w:r w:rsidR="00D172ED" w:rsidRPr="007E4AA8">
        <w:rPr>
          <w:rFonts w:ascii="Cambria" w:hAnsi="Cambria"/>
          <w:color w:val="auto"/>
          <w:lang w:val="es-ES"/>
        </w:rPr>
        <w:t xml:space="preserve"> </w:t>
      </w:r>
      <w:r w:rsidR="00982D52" w:rsidRPr="007E4AA8">
        <w:rPr>
          <w:rFonts w:ascii="Cambria" w:hAnsi="Cambria"/>
          <w:color w:val="auto"/>
          <w:lang w:val="es-ES"/>
        </w:rPr>
        <w:t>del señor López</w:t>
      </w:r>
      <w:r w:rsidRPr="007E4AA8">
        <w:rPr>
          <w:rFonts w:ascii="Cambria" w:hAnsi="Cambria"/>
          <w:color w:val="auto"/>
          <w:lang w:val="es-ES"/>
        </w:rPr>
        <w:t xml:space="preserve">. </w:t>
      </w:r>
    </w:p>
    <w:p w14:paraId="6BBD8FD7" w14:textId="77777777" w:rsidR="000F2367" w:rsidRPr="007E4AA8" w:rsidRDefault="000F2367" w:rsidP="000F2367">
      <w:pPr>
        <w:pStyle w:val="parrafos"/>
        <w:numPr>
          <w:ilvl w:val="0"/>
          <w:numId w:val="0"/>
        </w:numPr>
        <w:tabs>
          <w:tab w:val="left" w:pos="450"/>
        </w:tabs>
        <w:rPr>
          <w:rFonts w:ascii="Cambria" w:hAnsi="Cambria"/>
          <w:color w:val="auto"/>
          <w:lang w:val="es-ES"/>
        </w:rPr>
      </w:pPr>
    </w:p>
    <w:p w14:paraId="62441E7E" w14:textId="77777777" w:rsidR="001D3CB6" w:rsidRPr="007E4AA8" w:rsidRDefault="00471488" w:rsidP="00D56F4B">
      <w:pPr>
        <w:pStyle w:val="parrafos"/>
        <w:tabs>
          <w:tab w:val="left" w:pos="450"/>
        </w:tabs>
        <w:ind w:left="0" w:firstLine="0"/>
        <w:rPr>
          <w:color w:val="auto"/>
          <w:lang w:val="es-ES"/>
        </w:rPr>
      </w:pPr>
      <w:r w:rsidRPr="007E4AA8">
        <w:rPr>
          <w:rFonts w:ascii="Cambria" w:hAnsi="Cambria" w:cs="TimesNewRoman"/>
          <w:color w:val="auto"/>
          <w:lang w:val="es-ES" w:eastAsia="es-ES_tradnl"/>
        </w:rPr>
        <w:t xml:space="preserve">A todo ello se suma que el propio Estado reconoció que </w:t>
      </w:r>
      <w:r w:rsidRPr="007E4AA8">
        <w:rPr>
          <w:color w:val="auto"/>
          <w:lang w:val="es-ES"/>
        </w:rPr>
        <w:t xml:space="preserve">procesos se extendieron </w:t>
      </w:r>
      <w:r w:rsidR="00E02627" w:rsidRPr="007E4AA8">
        <w:rPr>
          <w:color w:val="auto"/>
          <w:lang w:val="es-ES"/>
        </w:rPr>
        <w:t>debido al e</w:t>
      </w:r>
      <w:r w:rsidR="00E02627" w:rsidRPr="007E4AA8">
        <w:rPr>
          <w:rFonts w:ascii="Cambria" w:hAnsi="Cambria"/>
          <w:color w:val="auto"/>
          <w:lang w:val="es-ES"/>
        </w:rPr>
        <w:t>jercicio malicioso de la defensa de los acusados, “apoyados en un sistema penal todavía carente de infraestructura y relativamente nuevo”. E</w:t>
      </w:r>
      <w:r w:rsidRPr="007E4AA8">
        <w:rPr>
          <w:rFonts w:ascii="Cambria" w:hAnsi="Cambria" w:cs="TimesNewRoman"/>
          <w:color w:val="auto"/>
          <w:lang w:val="es-ES" w:eastAsia="es-ES_tradnl"/>
        </w:rPr>
        <w:t>n conclusión, la CIDH considera que la duración de</w:t>
      </w:r>
      <w:r w:rsidR="00E02627" w:rsidRPr="007E4AA8">
        <w:rPr>
          <w:rFonts w:ascii="Cambria" w:hAnsi="Cambria" w:cs="TimesNewRoman"/>
          <w:color w:val="auto"/>
          <w:lang w:val="es-ES" w:eastAsia="es-ES_tradnl"/>
        </w:rPr>
        <w:t xml:space="preserve">l proceso penal relativo a las torturas que habría sufrido el señor López </w:t>
      </w:r>
      <w:r w:rsidRPr="007E4AA8">
        <w:rPr>
          <w:rFonts w:ascii="Cambria" w:hAnsi="Cambria" w:cs="TimesNewRoman"/>
          <w:color w:val="auto"/>
          <w:lang w:val="es-ES" w:eastAsia="es-ES_tradnl"/>
        </w:rPr>
        <w:t>constituy</w:t>
      </w:r>
      <w:r w:rsidR="00E02627" w:rsidRPr="007E4AA8">
        <w:rPr>
          <w:rFonts w:ascii="Cambria" w:hAnsi="Cambria" w:cs="TimesNewRoman"/>
          <w:color w:val="auto"/>
          <w:lang w:val="es-ES" w:eastAsia="es-ES_tradnl"/>
        </w:rPr>
        <w:t>ó</w:t>
      </w:r>
      <w:r w:rsidRPr="007E4AA8">
        <w:rPr>
          <w:rFonts w:ascii="Cambria" w:hAnsi="Cambria" w:cs="TimesNewRoman"/>
          <w:color w:val="auto"/>
          <w:lang w:val="es-ES" w:eastAsia="es-ES_tradnl"/>
        </w:rPr>
        <w:t xml:space="preserve"> un plazo excesivo</w:t>
      </w:r>
      <w:r w:rsidRPr="007E4AA8">
        <w:rPr>
          <w:rFonts w:ascii="Cambria" w:hAnsi="Cambria"/>
          <w:color w:val="auto"/>
          <w:lang w:val="es-ES"/>
        </w:rPr>
        <w:t xml:space="preserve"> que no ha sido justificado por el Estado. </w:t>
      </w:r>
    </w:p>
    <w:p w14:paraId="6A52BD7C" w14:textId="77777777" w:rsidR="00E02627" w:rsidRPr="007E4AA8" w:rsidRDefault="00E02627" w:rsidP="00E02627">
      <w:pPr>
        <w:pStyle w:val="parrafos"/>
        <w:numPr>
          <w:ilvl w:val="0"/>
          <w:numId w:val="0"/>
        </w:numPr>
        <w:tabs>
          <w:tab w:val="left" w:pos="450"/>
        </w:tabs>
        <w:rPr>
          <w:color w:val="auto"/>
          <w:lang w:val="es-ES"/>
        </w:rPr>
      </w:pPr>
    </w:p>
    <w:p w14:paraId="033C259A" w14:textId="77777777" w:rsidR="001D3CB6" w:rsidRPr="007E4AA8" w:rsidRDefault="001D3CB6" w:rsidP="001D3CB6">
      <w:pPr>
        <w:pStyle w:val="parrafos"/>
        <w:tabs>
          <w:tab w:val="left" w:pos="450"/>
        </w:tabs>
        <w:ind w:left="0" w:firstLine="0"/>
        <w:rPr>
          <w:rFonts w:ascii="Cambria" w:hAnsi="Cambria"/>
          <w:color w:val="auto"/>
          <w:lang w:val="es-ES"/>
        </w:rPr>
      </w:pPr>
      <w:r w:rsidRPr="007E4AA8">
        <w:rPr>
          <w:rFonts w:ascii="Cambria" w:hAnsi="Cambria"/>
          <w:bCs/>
          <w:color w:val="auto"/>
          <w:lang w:val="es-ES"/>
        </w:rPr>
        <w:t>En virtud de lo anterior, la Comisión considera que</w:t>
      </w:r>
      <w:r w:rsidR="00682979" w:rsidRPr="007E4AA8">
        <w:rPr>
          <w:rFonts w:ascii="Cambria" w:hAnsi="Cambria"/>
          <w:bCs/>
          <w:color w:val="auto"/>
          <w:lang w:val="es-ES"/>
        </w:rPr>
        <w:t xml:space="preserve"> la investigación no se ha desarrollado de manera diligente y en un plazo razonable. En consecuencia</w:t>
      </w:r>
      <w:r w:rsidRPr="007E4AA8">
        <w:rPr>
          <w:rFonts w:ascii="Cambria" w:hAnsi="Cambria"/>
          <w:bCs/>
          <w:color w:val="auto"/>
          <w:lang w:val="es-ES"/>
        </w:rPr>
        <w:t xml:space="preserve">, la Comisión concluye que el Estado también violó, en su perjuicio, los artículos 8.1 y 25.1 de la Convención Americana en relación el artículo 1.1 del mismo instrumento. </w:t>
      </w:r>
      <w:r w:rsidRPr="007E4AA8">
        <w:rPr>
          <w:rFonts w:ascii="Cambria" w:hAnsi="Cambria"/>
          <w:color w:val="auto"/>
          <w:lang w:val="es-ES"/>
        </w:rPr>
        <w:t xml:space="preserve">Además, tomando en cuenta que la Convención Interamericana para Prevenir y Sancionar la Tortura entró en </w:t>
      </w:r>
      <w:r w:rsidRPr="007E4AA8">
        <w:rPr>
          <w:rFonts w:ascii="Cambria" w:hAnsi="Cambria"/>
          <w:color w:val="auto"/>
          <w:lang w:val="es-ES"/>
        </w:rPr>
        <w:lastRenderedPageBreak/>
        <w:t>vigor en Paraguay el 9 de marzo de 1990, la Comisión nota que, de acuerdo con la jurisprudencia de la Corte a partir de dicha fecha “es exigible el cumplimiento de las obligaciones contenidas en este tratado”</w:t>
      </w:r>
      <w:r w:rsidRPr="007E4AA8">
        <w:rPr>
          <w:rStyle w:val="FootnoteReference"/>
          <w:rFonts w:ascii="Cambria" w:hAnsi="Cambria"/>
          <w:color w:val="auto"/>
          <w:lang w:val="es-ES"/>
        </w:rPr>
        <w:footnoteReference w:id="112"/>
      </w:r>
      <w:r w:rsidRPr="007E4AA8">
        <w:rPr>
          <w:rFonts w:ascii="Cambria" w:hAnsi="Cambria"/>
          <w:color w:val="auto"/>
          <w:lang w:val="es-ES"/>
        </w:rPr>
        <w:t>. En ese sentido, la Comisión considera que la falta de medidas efectivas para prevenir y sancionar la tortura en este caso también constituyó una violación de las obligaciones contenidas en los artículos 1, 6 y 8 de la Convención Interamericana para Prevenir y Sancionar la Tortura.</w:t>
      </w:r>
    </w:p>
    <w:p w14:paraId="357B3979" w14:textId="77777777" w:rsidR="0006565A" w:rsidRPr="007E4AA8" w:rsidRDefault="0006565A" w:rsidP="00914740">
      <w:pPr>
        <w:tabs>
          <w:tab w:val="left" w:pos="360"/>
        </w:tabs>
        <w:jc w:val="both"/>
        <w:rPr>
          <w:rFonts w:asciiTheme="majorHAnsi" w:hAnsiTheme="majorHAnsi"/>
          <w:sz w:val="20"/>
          <w:szCs w:val="20"/>
          <w:lang w:val="es-ES"/>
        </w:rPr>
      </w:pPr>
    </w:p>
    <w:p w14:paraId="53589719" w14:textId="77777777" w:rsidR="00D12193" w:rsidRPr="007E4AA8" w:rsidRDefault="00D12193" w:rsidP="00014512">
      <w:pPr>
        <w:pStyle w:val="Heading1"/>
        <w:rPr>
          <w:color w:val="auto"/>
          <w:lang w:val="es-ES"/>
        </w:rPr>
      </w:pPr>
      <w:bookmarkStart w:id="13" w:name="_Toc60669574"/>
      <w:r w:rsidRPr="007E4AA8">
        <w:rPr>
          <w:color w:val="auto"/>
          <w:lang w:val="es-ES"/>
        </w:rPr>
        <w:t>CONCLUSIONES Y RECOMENDACIONES</w:t>
      </w:r>
      <w:bookmarkEnd w:id="13"/>
      <w:r w:rsidRPr="007E4AA8">
        <w:rPr>
          <w:color w:val="auto"/>
          <w:lang w:val="es-ES"/>
        </w:rPr>
        <w:t xml:space="preserve"> </w:t>
      </w:r>
    </w:p>
    <w:p w14:paraId="08A97726" w14:textId="77777777" w:rsidR="00D12193" w:rsidRPr="007E4AA8" w:rsidRDefault="00D12193" w:rsidP="00914740">
      <w:pPr>
        <w:tabs>
          <w:tab w:val="left" w:pos="360"/>
        </w:tabs>
        <w:suppressAutoHyphens/>
        <w:rPr>
          <w:rFonts w:asciiTheme="majorHAnsi" w:hAnsiTheme="majorHAnsi"/>
          <w:b/>
          <w:sz w:val="20"/>
          <w:szCs w:val="20"/>
          <w:lang w:val="es-ES"/>
        </w:rPr>
      </w:pPr>
    </w:p>
    <w:p w14:paraId="684C90D8" w14:textId="77777777" w:rsidR="00471488" w:rsidRPr="007E4AA8" w:rsidRDefault="00471488" w:rsidP="00471488">
      <w:pPr>
        <w:pStyle w:val="parrafos"/>
        <w:tabs>
          <w:tab w:val="left" w:pos="450"/>
        </w:tabs>
        <w:ind w:left="0" w:firstLine="0"/>
        <w:rPr>
          <w:rFonts w:ascii="Cambria" w:hAnsi="Cambria"/>
          <w:color w:val="auto"/>
          <w:lang w:val="es-ES"/>
        </w:rPr>
      </w:pPr>
      <w:r w:rsidRPr="007E4AA8">
        <w:rPr>
          <w:rFonts w:ascii="Cambria" w:hAnsi="Cambria"/>
          <w:color w:val="auto"/>
          <w:lang w:val="es-ES"/>
        </w:rPr>
        <w:t xml:space="preserve">La Comisión concluye que el Estado es responsable por la violación de los derechos a la integridad personal, libertad personal, garantías judiciales y </w:t>
      </w:r>
      <w:r w:rsidR="002970BC" w:rsidRPr="007E4AA8">
        <w:rPr>
          <w:rFonts w:ascii="Cambria" w:hAnsi="Cambria"/>
          <w:color w:val="auto"/>
          <w:lang w:val="es-ES"/>
        </w:rPr>
        <w:t xml:space="preserve">a la </w:t>
      </w:r>
      <w:r w:rsidRPr="007E4AA8">
        <w:rPr>
          <w:rFonts w:ascii="Cambria" w:hAnsi="Cambria"/>
          <w:color w:val="auto"/>
          <w:lang w:val="es-ES"/>
        </w:rPr>
        <w:t xml:space="preserve">protección judicial, establecidos en los artículos 5.1, 5.2, </w:t>
      </w:r>
      <w:r w:rsidR="00300C64" w:rsidRPr="007E4AA8">
        <w:rPr>
          <w:rFonts w:ascii="Cambria" w:hAnsi="Cambria"/>
          <w:color w:val="auto"/>
          <w:lang w:val="es-ES"/>
        </w:rPr>
        <w:t>7.1,</w:t>
      </w:r>
      <w:r w:rsidR="00682979" w:rsidRPr="007E4AA8">
        <w:rPr>
          <w:rFonts w:ascii="Cambria" w:hAnsi="Cambria"/>
          <w:color w:val="auto"/>
          <w:lang w:val="es-ES"/>
        </w:rPr>
        <w:t xml:space="preserve"> 7.2, 7.4,</w:t>
      </w:r>
      <w:r w:rsidR="00300C64" w:rsidRPr="007E4AA8">
        <w:rPr>
          <w:rFonts w:ascii="Cambria" w:hAnsi="Cambria"/>
          <w:color w:val="auto"/>
          <w:lang w:val="es-ES"/>
        </w:rPr>
        <w:t xml:space="preserve"> </w:t>
      </w:r>
      <w:r w:rsidRPr="007E4AA8">
        <w:rPr>
          <w:rFonts w:ascii="Cambria" w:hAnsi="Cambria"/>
          <w:color w:val="auto"/>
          <w:lang w:val="es-ES"/>
        </w:rPr>
        <w:t xml:space="preserve">7.5, 8.1, </w:t>
      </w:r>
      <w:r w:rsidR="00300C64" w:rsidRPr="007E4AA8">
        <w:rPr>
          <w:rFonts w:ascii="Cambria" w:hAnsi="Cambria"/>
          <w:color w:val="auto"/>
          <w:lang w:val="es-ES"/>
        </w:rPr>
        <w:t>y</w:t>
      </w:r>
      <w:r w:rsidRPr="007E4AA8">
        <w:rPr>
          <w:rFonts w:ascii="Cambria" w:hAnsi="Cambria"/>
          <w:color w:val="auto"/>
          <w:lang w:val="es-ES"/>
        </w:rPr>
        <w:t xml:space="preserve"> 25.1 de la Convención Americana sobre Derechos Humanos en relación con los artículos 1.1 y 2 del mismo instrumento, en perjuicio de Jorge López Sosa. Asimismo, la Comisión concluye que el Estado es responsable por la violación de los artículos 1, 6 y 8 de la Convención Interamericana para Prevenir y Sancionar la Tortura.</w:t>
      </w:r>
    </w:p>
    <w:p w14:paraId="5C5D9678" w14:textId="77777777" w:rsidR="00471488" w:rsidRPr="007E4AA8" w:rsidRDefault="00471488" w:rsidP="00471488">
      <w:pPr>
        <w:jc w:val="both"/>
        <w:rPr>
          <w:rFonts w:ascii="Cambria" w:hAnsi="Cambria"/>
          <w:sz w:val="20"/>
          <w:szCs w:val="20"/>
          <w:lang w:val="es-ES"/>
        </w:rPr>
      </w:pPr>
    </w:p>
    <w:p w14:paraId="0D6257EF" w14:textId="77777777" w:rsidR="00471488" w:rsidRPr="007E4AA8" w:rsidRDefault="00471488" w:rsidP="00471488">
      <w:pPr>
        <w:pStyle w:val="parrafos"/>
        <w:tabs>
          <w:tab w:val="left" w:pos="450"/>
        </w:tabs>
        <w:ind w:left="0" w:firstLine="0"/>
        <w:rPr>
          <w:rFonts w:ascii="Cambria" w:hAnsi="Cambria"/>
          <w:color w:val="auto"/>
          <w:lang w:val="es-ES"/>
        </w:rPr>
      </w:pPr>
      <w:r w:rsidRPr="007E4AA8">
        <w:rPr>
          <w:rFonts w:ascii="Cambria" w:hAnsi="Cambria"/>
          <w:color w:val="auto"/>
          <w:lang w:val="es-ES"/>
        </w:rPr>
        <w:t>Con fundamento en los argumentos de hecho y de derecho antes expuestos,</w:t>
      </w:r>
    </w:p>
    <w:p w14:paraId="10D4133D" w14:textId="77777777" w:rsidR="00006896" w:rsidRPr="007E4AA8" w:rsidRDefault="00006896" w:rsidP="00914740">
      <w:pPr>
        <w:tabs>
          <w:tab w:val="left" w:pos="360"/>
        </w:tabs>
        <w:suppressAutoHyphens/>
        <w:jc w:val="both"/>
        <w:rPr>
          <w:rFonts w:asciiTheme="majorHAnsi" w:hAnsiTheme="majorHAnsi"/>
          <w:sz w:val="20"/>
          <w:szCs w:val="20"/>
          <w:lang w:val="es-ES"/>
        </w:rPr>
      </w:pPr>
    </w:p>
    <w:p w14:paraId="32F2D378" w14:textId="77777777" w:rsidR="005F309E" w:rsidRPr="007E4AA8" w:rsidRDefault="00006896" w:rsidP="00471488">
      <w:pPr>
        <w:tabs>
          <w:tab w:val="left" w:pos="360"/>
        </w:tabs>
        <w:jc w:val="both"/>
        <w:rPr>
          <w:rFonts w:ascii="Cambria" w:hAnsi="Cambria"/>
          <w:b/>
          <w:sz w:val="20"/>
          <w:szCs w:val="20"/>
          <w:lang w:val="es-ES"/>
        </w:rPr>
      </w:pPr>
      <w:r w:rsidRPr="007E4AA8">
        <w:rPr>
          <w:rFonts w:ascii="Cambria" w:hAnsi="Cambria"/>
          <w:b/>
          <w:sz w:val="20"/>
          <w:szCs w:val="20"/>
          <w:lang w:val="es-ES"/>
        </w:rPr>
        <w:t xml:space="preserve">LA COMISIÓN INTERAMERICANA DE DERECHOS HUMANOS, RECOMIENDA AL ESTADO DE </w:t>
      </w:r>
      <w:r w:rsidR="00471488" w:rsidRPr="007E4AA8">
        <w:rPr>
          <w:rFonts w:ascii="Cambria" w:hAnsi="Cambria"/>
          <w:b/>
          <w:sz w:val="20"/>
          <w:szCs w:val="20"/>
          <w:lang w:val="es-ES"/>
        </w:rPr>
        <w:t>PARAGUAY</w:t>
      </w:r>
      <w:r w:rsidRPr="007E4AA8">
        <w:rPr>
          <w:rFonts w:ascii="Cambria" w:hAnsi="Cambria"/>
          <w:b/>
          <w:sz w:val="20"/>
          <w:szCs w:val="20"/>
          <w:lang w:val="es-ES"/>
        </w:rPr>
        <w:t>,</w:t>
      </w:r>
    </w:p>
    <w:p w14:paraId="28A760F0" w14:textId="77777777" w:rsidR="00471488" w:rsidRPr="007E4AA8" w:rsidRDefault="00471488" w:rsidP="00471488">
      <w:pPr>
        <w:ind w:firstLine="720"/>
        <w:jc w:val="both"/>
        <w:rPr>
          <w:rFonts w:ascii="Cambria" w:hAnsi="Cambria"/>
          <w:sz w:val="20"/>
          <w:szCs w:val="20"/>
          <w:lang w:val="es-ES"/>
        </w:rPr>
      </w:pPr>
    </w:p>
    <w:p w14:paraId="383E8F76" w14:textId="77777777" w:rsidR="00471488" w:rsidRPr="007E4AA8" w:rsidRDefault="00471488" w:rsidP="00471488">
      <w:pPr>
        <w:tabs>
          <w:tab w:val="left" w:pos="360"/>
        </w:tabs>
        <w:jc w:val="both"/>
        <w:rPr>
          <w:rFonts w:ascii="Cambria" w:hAnsi="Cambria" w:cs="Tahoma"/>
          <w:sz w:val="20"/>
          <w:szCs w:val="20"/>
          <w:lang w:val="es-ES"/>
        </w:rPr>
      </w:pPr>
      <w:r w:rsidRPr="007E4AA8">
        <w:rPr>
          <w:rFonts w:ascii="Cambria" w:hAnsi="Cambria" w:cs="Tahoma"/>
          <w:sz w:val="20"/>
          <w:szCs w:val="20"/>
          <w:lang w:val="es-ES"/>
        </w:rPr>
        <w:t>1.</w:t>
      </w:r>
      <w:r w:rsidRPr="007E4AA8">
        <w:rPr>
          <w:rFonts w:ascii="Cambria" w:hAnsi="Cambria" w:cs="Tahoma"/>
          <w:sz w:val="20"/>
          <w:szCs w:val="20"/>
          <w:lang w:val="es-ES"/>
        </w:rPr>
        <w:tab/>
        <w:t xml:space="preserve">Reparar integralmente las violaciones de derechos humanos declaradas en el presente informe tanto en el aspecto material como inmaterial. El Estado deberá adoptar las medidas de compensación económica y satisfacción. </w:t>
      </w:r>
    </w:p>
    <w:p w14:paraId="53126527" w14:textId="77777777" w:rsidR="00471488" w:rsidRPr="007E4AA8" w:rsidRDefault="00471488" w:rsidP="00471488">
      <w:pPr>
        <w:tabs>
          <w:tab w:val="left" w:pos="360"/>
        </w:tabs>
        <w:jc w:val="both"/>
        <w:rPr>
          <w:rFonts w:ascii="Cambria" w:hAnsi="Cambria" w:cs="Tahoma"/>
          <w:sz w:val="20"/>
          <w:szCs w:val="20"/>
          <w:lang w:val="es-ES"/>
        </w:rPr>
      </w:pPr>
    </w:p>
    <w:p w14:paraId="03BF675B" w14:textId="77777777" w:rsidR="00471488" w:rsidRPr="007E4AA8" w:rsidRDefault="00471488" w:rsidP="00471488">
      <w:pPr>
        <w:tabs>
          <w:tab w:val="left" w:pos="360"/>
        </w:tabs>
        <w:jc w:val="both"/>
        <w:rPr>
          <w:rFonts w:asciiTheme="majorHAnsi" w:hAnsiTheme="majorHAnsi" w:cs="Tahoma"/>
          <w:sz w:val="20"/>
          <w:szCs w:val="20"/>
          <w:lang w:val="es-ES"/>
        </w:rPr>
      </w:pPr>
      <w:r w:rsidRPr="007E4AA8">
        <w:rPr>
          <w:rFonts w:asciiTheme="majorHAnsi" w:hAnsiTheme="majorHAnsi" w:cs="Tahoma"/>
          <w:sz w:val="20"/>
          <w:szCs w:val="20"/>
          <w:lang w:val="es-ES"/>
        </w:rPr>
        <w:t>2.</w:t>
      </w:r>
      <w:r w:rsidRPr="007E4AA8">
        <w:rPr>
          <w:rFonts w:asciiTheme="majorHAnsi" w:hAnsiTheme="majorHAnsi" w:cs="Tahoma"/>
          <w:sz w:val="20"/>
          <w:szCs w:val="20"/>
          <w:lang w:val="es-ES"/>
        </w:rPr>
        <w:tab/>
        <w:t>Disponer las medidas de atención en salud física y mental necesarias para la rehabilitación de</w:t>
      </w:r>
      <w:r w:rsidR="0076552F" w:rsidRPr="007E4AA8">
        <w:rPr>
          <w:rFonts w:asciiTheme="majorHAnsi" w:hAnsiTheme="majorHAnsi" w:cs="Tahoma"/>
          <w:sz w:val="20"/>
          <w:szCs w:val="20"/>
          <w:lang w:val="es-ES"/>
        </w:rPr>
        <w:t xml:space="preserve"> Jorge López Sosa</w:t>
      </w:r>
      <w:r w:rsidRPr="007E4AA8">
        <w:rPr>
          <w:rFonts w:asciiTheme="majorHAnsi" w:hAnsiTheme="majorHAnsi" w:cs="Tahoma"/>
          <w:sz w:val="20"/>
          <w:szCs w:val="20"/>
          <w:lang w:val="es-ES"/>
        </w:rPr>
        <w:t xml:space="preserve">, de ser su voluntad y de manera concertada. </w:t>
      </w:r>
    </w:p>
    <w:p w14:paraId="60ECCDE5" w14:textId="77777777" w:rsidR="00471488" w:rsidRPr="007E4AA8" w:rsidRDefault="00471488" w:rsidP="00471488">
      <w:pPr>
        <w:tabs>
          <w:tab w:val="left" w:pos="360"/>
        </w:tabs>
        <w:rPr>
          <w:rFonts w:ascii="Cambria" w:hAnsi="Cambria"/>
          <w:sz w:val="20"/>
          <w:szCs w:val="20"/>
          <w:lang w:val="es-ES"/>
        </w:rPr>
      </w:pPr>
    </w:p>
    <w:p w14:paraId="77A3C119" w14:textId="77777777" w:rsidR="00471488" w:rsidRPr="007E4AA8" w:rsidRDefault="00471488" w:rsidP="00471488">
      <w:pPr>
        <w:tabs>
          <w:tab w:val="left" w:pos="360"/>
        </w:tabs>
        <w:jc w:val="both"/>
        <w:rPr>
          <w:rFonts w:asciiTheme="majorHAnsi" w:hAnsiTheme="majorHAnsi"/>
          <w:sz w:val="20"/>
          <w:szCs w:val="20"/>
          <w:lang w:val="es-ES"/>
        </w:rPr>
      </w:pPr>
      <w:r w:rsidRPr="007E4AA8">
        <w:rPr>
          <w:rFonts w:asciiTheme="majorHAnsi" w:hAnsiTheme="majorHAnsi" w:cs="Tahoma"/>
          <w:sz w:val="20"/>
          <w:szCs w:val="20"/>
          <w:lang w:val="es-ES"/>
        </w:rPr>
        <w:t>3.</w:t>
      </w:r>
      <w:r w:rsidRPr="007E4AA8">
        <w:rPr>
          <w:rFonts w:asciiTheme="majorHAnsi" w:hAnsiTheme="majorHAnsi" w:cs="Tahoma"/>
          <w:sz w:val="20"/>
          <w:szCs w:val="20"/>
          <w:lang w:val="es-ES"/>
        </w:rPr>
        <w:tab/>
      </w:r>
      <w:r w:rsidR="00FE34B0" w:rsidRPr="007E4AA8">
        <w:rPr>
          <w:rFonts w:asciiTheme="majorHAnsi" w:hAnsiTheme="majorHAnsi" w:cs="Tahoma"/>
          <w:sz w:val="20"/>
          <w:szCs w:val="20"/>
          <w:lang w:val="es-ES"/>
        </w:rPr>
        <w:t>Continuar</w:t>
      </w:r>
      <w:r w:rsidRPr="007E4AA8">
        <w:rPr>
          <w:rFonts w:asciiTheme="majorHAnsi" w:hAnsiTheme="majorHAnsi" w:cs="Tahoma"/>
          <w:sz w:val="20"/>
          <w:szCs w:val="20"/>
          <w:lang w:val="es-ES"/>
        </w:rPr>
        <w:t xml:space="preserve"> de oficio la investigación penal de manera diligente, efectiva y dentro de un pla</w:t>
      </w:r>
      <w:r w:rsidR="000F2367" w:rsidRPr="007E4AA8">
        <w:rPr>
          <w:rFonts w:asciiTheme="majorHAnsi" w:hAnsiTheme="majorHAnsi" w:cs="Tahoma"/>
          <w:sz w:val="20"/>
          <w:szCs w:val="20"/>
          <w:lang w:val="es-ES"/>
        </w:rPr>
        <w:t>zo razonable con el objeto de esclarecer las torturas denunciada</w:t>
      </w:r>
      <w:r w:rsidRPr="007E4AA8">
        <w:rPr>
          <w:rFonts w:asciiTheme="majorHAnsi" w:hAnsiTheme="majorHAnsi" w:cs="Tahoma"/>
          <w:sz w:val="20"/>
          <w:szCs w:val="20"/>
          <w:lang w:val="es-ES"/>
        </w:rPr>
        <w:t xml:space="preserve">s por </w:t>
      </w:r>
      <w:r w:rsidR="0076552F" w:rsidRPr="007E4AA8">
        <w:rPr>
          <w:rFonts w:asciiTheme="majorHAnsi" w:hAnsiTheme="majorHAnsi" w:cs="Tahoma"/>
          <w:sz w:val="20"/>
          <w:szCs w:val="20"/>
          <w:lang w:val="es-ES"/>
        </w:rPr>
        <w:t>Jorge López Sosa</w:t>
      </w:r>
      <w:r w:rsidRPr="007E4AA8">
        <w:rPr>
          <w:rFonts w:asciiTheme="majorHAnsi" w:hAnsiTheme="majorHAnsi" w:cs="Tahoma"/>
          <w:sz w:val="20"/>
          <w:szCs w:val="20"/>
          <w:lang w:val="es-ES"/>
        </w:rPr>
        <w:t xml:space="preserve"> a fin de identificar todas las posibles responsabilidades e imponer las sanciones que correspondan respecto de las violaciones de derechos humanos declaradas en el presente informe. </w:t>
      </w:r>
    </w:p>
    <w:p w14:paraId="6033E666" w14:textId="77777777" w:rsidR="00471488" w:rsidRPr="007E4AA8" w:rsidRDefault="00471488" w:rsidP="00471488">
      <w:pPr>
        <w:tabs>
          <w:tab w:val="left" w:pos="360"/>
        </w:tabs>
        <w:jc w:val="both"/>
        <w:rPr>
          <w:rFonts w:ascii="Cambria" w:hAnsi="Cambria" w:cs="Tahoma"/>
          <w:sz w:val="20"/>
          <w:szCs w:val="20"/>
          <w:lang w:val="es-ES"/>
        </w:rPr>
      </w:pPr>
    </w:p>
    <w:p w14:paraId="421ABCE2" w14:textId="77777777" w:rsidR="00471488" w:rsidRPr="007E4AA8" w:rsidRDefault="00471488" w:rsidP="00471488">
      <w:pPr>
        <w:tabs>
          <w:tab w:val="left" w:pos="360"/>
        </w:tabs>
        <w:jc w:val="both"/>
        <w:rPr>
          <w:rFonts w:ascii="Cambria" w:hAnsi="Cambria" w:cs="Tahoma"/>
          <w:sz w:val="20"/>
          <w:szCs w:val="20"/>
          <w:lang w:val="es-ES"/>
        </w:rPr>
      </w:pPr>
      <w:r w:rsidRPr="007E4AA8">
        <w:rPr>
          <w:rFonts w:ascii="Cambria" w:hAnsi="Cambria"/>
          <w:sz w:val="20"/>
          <w:szCs w:val="20"/>
          <w:lang w:val="es-ES"/>
        </w:rPr>
        <w:t>4.</w:t>
      </w:r>
      <w:r w:rsidRPr="007E4AA8">
        <w:rPr>
          <w:rFonts w:ascii="Cambria" w:hAnsi="Cambria"/>
          <w:sz w:val="20"/>
          <w:szCs w:val="20"/>
          <w:lang w:val="es-ES"/>
        </w:rPr>
        <w:tab/>
        <w:t xml:space="preserve">Adoptar las medidas necesarias para evitar que en el futuro se produzcan hechos similares Específicamente, </w:t>
      </w:r>
      <w:r w:rsidR="000F2367" w:rsidRPr="007E4AA8">
        <w:rPr>
          <w:rFonts w:ascii="Cambria" w:hAnsi="Cambria"/>
          <w:sz w:val="20"/>
          <w:szCs w:val="20"/>
          <w:lang w:val="es-ES"/>
        </w:rPr>
        <w:t>asegurar que, como parte de los programas de capacitación</w:t>
      </w:r>
      <w:r w:rsidRPr="007E4AA8">
        <w:rPr>
          <w:rFonts w:ascii="Cambria" w:hAnsi="Cambria"/>
          <w:sz w:val="20"/>
          <w:szCs w:val="20"/>
          <w:lang w:val="es-ES"/>
        </w:rPr>
        <w:t xml:space="preserve"> para cuerpos de seguridad, jueces y fiscales, </w:t>
      </w:r>
      <w:r w:rsidR="000F2367" w:rsidRPr="007E4AA8">
        <w:rPr>
          <w:rFonts w:ascii="Cambria" w:hAnsi="Cambria"/>
          <w:sz w:val="20"/>
          <w:szCs w:val="20"/>
          <w:lang w:val="es-ES"/>
        </w:rPr>
        <w:t xml:space="preserve">se establezca como componente de estudio </w:t>
      </w:r>
      <w:r w:rsidRPr="007E4AA8">
        <w:rPr>
          <w:rFonts w:ascii="Cambria" w:hAnsi="Cambria"/>
          <w:sz w:val="20"/>
          <w:szCs w:val="20"/>
          <w:lang w:val="es-ES"/>
        </w:rPr>
        <w:t>la prohibición de actos de tortura y tratos crueles, inhumanos o degradantes</w:t>
      </w:r>
      <w:r w:rsidR="000F2367" w:rsidRPr="007E4AA8">
        <w:rPr>
          <w:rFonts w:ascii="Cambria" w:hAnsi="Cambria"/>
          <w:sz w:val="20"/>
          <w:szCs w:val="20"/>
          <w:lang w:val="es-ES"/>
        </w:rPr>
        <w:t>, conforme a los estándares interamericanos.</w:t>
      </w:r>
      <w:r w:rsidR="001B6462" w:rsidRPr="007E4AA8">
        <w:rPr>
          <w:rFonts w:ascii="Cambria" w:hAnsi="Cambria"/>
          <w:sz w:val="20"/>
          <w:szCs w:val="20"/>
          <w:lang w:val="es-ES"/>
        </w:rPr>
        <w:t xml:space="preserve"> Asimismo, que en la práctica de los exámenes en relación con posibles torturas sean observados los parámetros señalados por el Protocolo de Estambul.</w:t>
      </w:r>
    </w:p>
    <w:p w14:paraId="16CCFE2D" w14:textId="77777777" w:rsidR="00006896" w:rsidRPr="007E4AA8" w:rsidRDefault="00006896" w:rsidP="00E62234">
      <w:pPr>
        <w:tabs>
          <w:tab w:val="left" w:pos="720"/>
          <w:tab w:val="left" w:pos="1440"/>
        </w:tabs>
        <w:jc w:val="both"/>
        <w:rPr>
          <w:rFonts w:ascii="Cambria" w:hAnsi="Cambria"/>
          <w:sz w:val="20"/>
          <w:szCs w:val="20"/>
          <w:lang w:val="es-ES"/>
        </w:rPr>
      </w:pPr>
    </w:p>
    <w:sectPr w:rsidR="00006896" w:rsidRPr="007E4AA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AFAA" w14:textId="77777777" w:rsidR="003E2D27" w:rsidRDefault="003E2D27">
      <w:r>
        <w:separator/>
      </w:r>
    </w:p>
  </w:endnote>
  <w:endnote w:type="continuationSeparator" w:id="0">
    <w:p w14:paraId="5DBAC3A1" w14:textId="77777777" w:rsidR="003E2D27" w:rsidRDefault="003E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6B88E8A" w14:textId="77777777" w:rsidR="00CC4917" w:rsidRPr="00934A2C" w:rsidRDefault="00CC491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0B2D">
          <w:rPr>
            <w:noProof/>
            <w:sz w:val="16"/>
            <w:szCs w:val="22"/>
          </w:rPr>
          <w:t>20</w:t>
        </w:r>
        <w:r w:rsidRPr="00934A2C">
          <w:rPr>
            <w:noProof/>
            <w:sz w:val="16"/>
            <w:szCs w:val="22"/>
          </w:rPr>
          <w:fldChar w:fldCharType="end"/>
        </w:r>
      </w:p>
    </w:sdtContent>
  </w:sdt>
  <w:p w14:paraId="11410087" w14:textId="77777777" w:rsidR="00CC4917" w:rsidRDefault="00CC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5B58" w14:textId="77777777" w:rsidR="00CC4917" w:rsidRPr="00934A2C" w:rsidRDefault="00CC4917">
    <w:pPr>
      <w:pStyle w:val="Footer"/>
      <w:jc w:val="center"/>
      <w:rPr>
        <w:sz w:val="16"/>
        <w:szCs w:val="22"/>
      </w:rPr>
    </w:pPr>
  </w:p>
  <w:p w14:paraId="5BF139C6" w14:textId="77777777" w:rsidR="00CC4917" w:rsidRDefault="00CC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D992" w14:textId="77777777" w:rsidR="003E2D27" w:rsidRPr="000F35ED" w:rsidRDefault="003E2D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1BFE13" w14:textId="77777777" w:rsidR="003E2D27" w:rsidRPr="000F35ED" w:rsidRDefault="003E2D27" w:rsidP="000F35ED">
      <w:pPr>
        <w:rPr>
          <w:rFonts w:asciiTheme="majorHAnsi" w:hAnsiTheme="majorHAnsi"/>
          <w:sz w:val="16"/>
          <w:szCs w:val="16"/>
        </w:rPr>
      </w:pPr>
      <w:r w:rsidRPr="000F35ED">
        <w:rPr>
          <w:rFonts w:asciiTheme="majorHAnsi" w:hAnsiTheme="majorHAnsi"/>
          <w:sz w:val="16"/>
          <w:szCs w:val="16"/>
        </w:rPr>
        <w:separator/>
      </w:r>
    </w:p>
    <w:p w14:paraId="09EF00D6" w14:textId="77777777" w:rsidR="003E2D27" w:rsidRPr="000F35ED" w:rsidRDefault="003E2D2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190CC3E" w14:textId="77777777" w:rsidR="003E2D27" w:rsidRPr="000F35ED" w:rsidRDefault="003E2D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BBE892" w14:textId="77777777" w:rsidR="00CC4917" w:rsidRPr="0073179E" w:rsidRDefault="00CC4917" w:rsidP="0073179E">
      <w:pPr>
        <w:pStyle w:val="FootnoteText"/>
        <w:tabs>
          <w:tab w:val="left" w:pos="630"/>
        </w:tabs>
        <w:rPr>
          <w:color w:val="FF0000"/>
          <w:lang w:val="es-AR"/>
        </w:rPr>
      </w:pPr>
      <w:r w:rsidRPr="0073179E">
        <w:rPr>
          <w:rStyle w:val="FootnoteReference"/>
          <w:color w:val="000000" w:themeColor="text1"/>
        </w:rPr>
        <w:footnoteRef/>
      </w:r>
      <w:r w:rsidRPr="0073179E">
        <w:rPr>
          <w:color w:val="000000" w:themeColor="text1"/>
          <w:lang w:val="es-US"/>
        </w:rPr>
        <w:t xml:space="preserve"> CIDH. Informe No. 27/13. Petición 164-01. Admisibilidad. </w:t>
      </w:r>
      <w:r w:rsidRPr="0073179E">
        <w:rPr>
          <w:color w:val="000000" w:themeColor="text1"/>
          <w:lang w:val="pt-BR"/>
        </w:rPr>
        <w:t xml:space="preserve">Jorge Luis López Sosa. Paraguay. </w:t>
      </w:r>
      <w:r w:rsidRPr="0073179E">
        <w:rPr>
          <w:color w:val="000000" w:themeColor="text1"/>
          <w:lang w:val="es-ES"/>
        </w:rPr>
        <w:t>20 de marzo de 2013. La Comisión declaró admisible la petición en relación con los derechos consagrados en los artículos 5, 7, 8 y 25 de la Convención Americana, en relación con las obligaciones de los artículos 1.1 y 2 del mismo tratado; así como los derechos consagrados en los artículos 1, 6 y 8 de la Convención Interamericana para Prevenir y Sancionar la Tortura.</w:t>
      </w:r>
    </w:p>
  </w:footnote>
  <w:footnote w:id="3">
    <w:p w14:paraId="5CD60D4B"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Ley Orgánica de la Policía Nacional, Ley 222/93.</w:t>
      </w:r>
    </w:p>
  </w:footnote>
  <w:footnote w:id="4">
    <w:p w14:paraId="1AC8D196"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1. Acta de declaración del imputado en virtud del Artículo 84 del C.P.P. </w:t>
      </w:r>
      <w:r w:rsidRPr="0073179E">
        <w:rPr>
          <w:lang w:val="es-PE"/>
        </w:rPr>
        <w:t>Escrito del peticionario de 13 de marzo de 2008.</w:t>
      </w:r>
    </w:p>
  </w:footnote>
  <w:footnote w:id="5">
    <w:p w14:paraId="251D2B14"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1. Acta de declaración del imputado en virtud del Artículo 84 del C.P.P. </w:t>
      </w:r>
      <w:r w:rsidRPr="0073179E">
        <w:rPr>
          <w:lang w:val="es-PE"/>
        </w:rPr>
        <w:t>Escrito del peticionario de 13 de marzo de 2008.</w:t>
      </w:r>
    </w:p>
  </w:footnote>
  <w:footnote w:id="6">
    <w:p w14:paraId="6B0A71F5"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Anexo 2. Escrito de acusación y requerimiento de apertura a juicio del Ministerio Púlico de 11 de junio de 2001.  Causa 01-01—02-00001-2000-2606. Escrito del peticionario de 13 de marzo de 2008.</w:t>
      </w:r>
    </w:p>
  </w:footnote>
  <w:footnote w:id="7">
    <w:p w14:paraId="0AC2C017" w14:textId="77777777" w:rsidR="00CC4917" w:rsidRPr="0073179E" w:rsidRDefault="00CC4917" w:rsidP="0073179E">
      <w:pPr>
        <w:pStyle w:val="FootnoteText"/>
        <w:tabs>
          <w:tab w:val="left" w:pos="630"/>
        </w:tabs>
        <w:rPr>
          <w:lang w:val="es-PE"/>
        </w:rPr>
      </w:pPr>
      <w:r w:rsidRPr="0073179E">
        <w:rPr>
          <w:rStyle w:val="FootnoteReference"/>
        </w:rPr>
        <w:footnoteRef/>
      </w:r>
      <w:r w:rsidRPr="0073179E">
        <w:rPr>
          <w:lang w:val="es-PE"/>
        </w:rPr>
        <w:t xml:space="preserve"> Anexo 2. Escrito de acusación y requerimiento de apertura a juicio del Ministerio Púlico de 11 de junio de 2001.  Causa 01-01—02-00001-2000-2606. Escrito del peticionario de 13 de marzo de 2008.</w:t>
      </w:r>
    </w:p>
  </w:footnote>
  <w:footnote w:id="8">
    <w:p w14:paraId="6C4FDE0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rStyle w:val="FootnoteReference"/>
          <w:lang w:val="es-ES"/>
        </w:rPr>
        <w:t xml:space="preserve"> </w:t>
      </w:r>
      <w:r w:rsidRPr="0073179E">
        <w:rPr>
          <w:lang w:val="es-ES"/>
        </w:rPr>
        <w:t xml:space="preserve">Consta conforme a hoja de libro de novedades de la guardia de infantería de marina del 21 de mayo de 2000, consta registro de ingreso a las 21:40 y de salida 01:30 horas, del señor López, seis agentes policiales, del Ministro Bower y personal de seguridad. Anexo </w:t>
      </w:r>
      <w:r>
        <w:rPr>
          <w:lang w:val="es-ES"/>
        </w:rPr>
        <w:t>3</w:t>
      </w:r>
      <w:r w:rsidRPr="0073179E">
        <w:rPr>
          <w:lang w:val="es-ES"/>
        </w:rPr>
        <w:t>. Sentencia S.D.No. 01, de 30 de diciembre de 2019, Tribunal Colegiado de Sentencia de la Circunscripción Judicial de la Capital. Escrito del Estado de 13 de noviembre de 2020, pág. 404.</w:t>
      </w:r>
    </w:p>
  </w:footnote>
  <w:footnote w:id="9">
    <w:p w14:paraId="4F05FB80"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4</w:t>
      </w:r>
      <w:r w:rsidRPr="0073179E">
        <w:rPr>
          <w:lang w:val="es-ES"/>
        </w:rPr>
        <w:t>. Declaración indagatoria de Jorge López de fecha 7 de junio de 2000. Escrito del peticionario de fecha 11 de enero de 2011.</w:t>
      </w:r>
    </w:p>
  </w:footnote>
  <w:footnote w:id="10">
    <w:p w14:paraId="338E3DA2"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w:t>
      </w:r>
      <w:r>
        <w:rPr>
          <w:lang w:val="es-ES"/>
        </w:rPr>
        <w:t>s</w:t>
      </w:r>
      <w:r w:rsidRPr="0073179E">
        <w:rPr>
          <w:lang w:val="es-ES"/>
        </w:rPr>
        <w:t>. 164 a 184.</w:t>
      </w:r>
    </w:p>
  </w:footnote>
  <w:footnote w:id="11">
    <w:p w14:paraId="72DF4B6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248.</w:t>
      </w:r>
    </w:p>
  </w:footnote>
  <w:footnote w:id="12">
    <w:p w14:paraId="7B5CF9FF"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184 a 188.</w:t>
      </w:r>
    </w:p>
  </w:footnote>
  <w:footnote w:id="13">
    <w:p w14:paraId="38EF9968"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192.</w:t>
      </w:r>
    </w:p>
  </w:footnote>
  <w:footnote w:id="14">
    <w:p w14:paraId="5ADD08AA"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194.</w:t>
      </w:r>
    </w:p>
  </w:footnote>
  <w:footnote w:id="15">
    <w:p w14:paraId="6CA25273"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201.</w:t>
      </w:r>
    </w:p>
  </w:footnote>
  <w:footnote w:id="16">
    <w:p w14:paraId="2A41E6D0"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209.</w:t>
      </w:r>
    </w:p>
  </w:footnote>
  <w:footnote w:id="17">
    <w:p w14:paraId="3D4075BB"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214.</w:t>
      </w:r>
    </w:p>
  </w:footnote>
  <w:footnote w:id="18">
    <w:p w14:paraId="6CF15B4D"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228.</w:t>
      </w:r>
    </w:p>
  </w:footnote>
  <w:footnote w:id="19">
    <w:p w14:paraId="0248870C"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243.</w:t>
      </w:r>
    </w:p>
  </w:footnote>
  <w:footnote w:id="20">
    <w:p w14:paraId="33718464"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254.</w:t>
      </w:r>
    </w:p>
  </w:footnote>
  <w:footnote w:id="21">
    <w:p w14:paraId="24F0D08A"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282.</w:t>
      </w:r>
    </w:p>
  </w:footnote>
  <w:footnote w:id="22">
    <w:p w14:paraId="457D114E"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303.</w:t>
      </w:r>
    </w:p>
  </w:footnote>
  <w:footnote w:id="23">
    <w:p w14:paraId="6A0DA8A3"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265.</w:t>
      </w:r>
    </w:p>
  </w:footnote>
  <w:footnote w:id="24">
    <w:p w14:paraId="290B641C"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183.</w:t>
      </w:r>
    </w:p>
  </w:footnote>
  <w:footnote w:id="25">
    <w:p w14:paraId="350C596B"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301.</w:t>
      </w:r>
    </w:p>
  </w:footnote>
  <w:footnote w:id="26">
    <w:p w14:paraId="35CF3025"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402.</w:t>
      </w:r>
    </w:p>
  </w:footnote>
  <w:footnote w:id="27">
    <w:p w14:paraId="6876BFD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406.</w:t>
      </w:r>
    </w:p>
  </w:footnote>
  <w:footnote w:id="28">
    <w:p w14:paraId="2EAAE1D1"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4</w:t>
      </w:r>
      <w:r w:rsidRPr="0073179E">
        <w:rPr>
          <w:lang w:val="es-ES"/>
        </w:rPr>
        <w:t>. Declaración indagatoria de Jorge López de fecha 7 de junio de 2000. Escrito del peticionario de fecha 11 de enero de 2011.</w:t>
      </w:r>
    </w:p>
  </w:footnote>
  <w:footnote w:id="29">
    <w:p w14:paraId="6CA5DDAC"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pag. 406.</w:t>
      </w:r>
    </w:p>
  </w:footnote>
  <w:footnote w:id="30">
    <w:p w14:paraId="32360C04"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eastAsia="Calibri" w:hAnsiTheme="majorHAnsi" w:cs="Calibri"/>
          <w:color w:val="000000"/>
          <w:sz w:val="16"/>
          <w:szCs w:val="16"/>
          <w:u w:color="000000"/>
          <w:bdr w:val="nil"/>
          <w:lang w:val="es-PE" w:eastAsia="es-ES"/>
        </w:rPr>
        <w:t xml:space="preserve">Anexo </w:t>
      </w:r>
      <w:r>
        <w:rPr>
          <w:rFonts w:asciiTheme="majorHAnsi" w:eastAsia="Calibri" w:hAnsiTheme="majorHAnsi" w:cs="Calibri"/>
          <w:color w:val="000000"/>
          <w:sz w:val="16"/>
          <w:szCs w:val="16"/>
          <w:u w:color="000000"/>
          <w:bdr w:val="nil"/>
          <w:lang w:val="es-PE" w:eastAsia="es-ES"/>
        </w:rPr>
        <w:t>3</w:t>
      </w:r>
      <w:r w:rsidRPr="0073179E">
        <w:rPr>
          <w:rFonts w:asciiTheme="majorHAnsi" w:eastAsia="Calibri" w:hAnsiTheme="majorHAnsi" w:cs="Calibri"/>
          <w:color w:val="000000"/>
          <w:sz w:val="16"/>
          <w:szCs w:val="16"/>
          <w:u w:color="000000"/>
          <w:bdr w:val="nil"/>
          <w:lang w:val="es-PE" w:eastAsia="es-ES"/>
        </w:rPr>
        <w:t>. Declaración judicial de Jorge López.</w:t>
      </w:r>
      <w:r w:rsidRPr="0073179E">
        <w:rPr>
          <w:rFonts w:asciiTheme="majorHAnsi" w:hAnsiTheme="majorHAnsi"/>
          <w:sz w:val="16"/>
          <w:szCs w:val="16"/>
          <w:lang w:val="es-ES"/>
        </w:rPr>
        <w:t xml:space="preserve"> </w:t>
      </w:r>
      <w:r w:rsidRPr="0073179E">
        <w:rPr>
          <w:rFonts w:asciiTheme="majorHAnsi" w:eastAsia="Calibri" w:hAnsiTheme="majorHAnsi" w:cs="Calibri"/>
          <w:color w:val="000000"/>
          <w:sz w:val="16"/>
          <w:szCs w:val="16"/>
          <w:u w:color="000000"/>
          <w:bdr w:val="nil"/>
          <w:lang w:val="es-PE" w:eastAsia="es-ES"/>
        </w:rPr>
        <w:t>Sentencia S.D.No. 01, de 30 de diciembre de 2019, Tribunal Colegiado de Sentencia de la Circunscripción Judicial de la Capital, pag. 164 a 184. Escrito del Estado de 13 de noviembre de 2020.</w:t>
      </w:r>
    </w:p>
  </w:footnote>
  <w:footnote w:id="31">
    <w:p w14:paraId="5E77CB18"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pag. 406.</w:t>
      </w:r>
    </w:p>
  </w:footnote>
  <w:footnote w:id="32">
    <w:p w14:paraId="34B74929" w14:textId="77777777" w:rsidR="00CC4917" w:rsidRPr="0073179E" w:rsidRDefault="00CC4917" w:rsidP="0073179E">
      <w:pPr>
        <w:pStyle w:val="FootnoteText"/>
        <w:tabs>
          <w:tab w:val="left" w:pos="630"/>
        </w:tabs>
        <w:rPr>
          <w:lang w:val="es-PE"/>
        </w:rPr>
      </w:pPr>
      <w:r w:rsidRPr="0073179E">
        <w:rPr>
          <w:rStyle w:val="FootnoteReference"/>
        </w:rPr>
        <w:footnoteRef/>
      </w:r>
      <w:r w:rsidRPr="0073179E">
        <w:rPr>
          <w:lang w:val="es-PE"/>
        </w:rPr>
        <w:t xml:space="preserve"> Anexo 2. Escrito de acusación y requerimiento de apertura a juicio del Ministerio Púlico de 11 de junio de 2001.  Causa 01-01—02-00001-2000-2606. Escrito del peticionario de 13 de marzo de 2008.</w:t>
      </w:r>
    </w:p>
  </w:footnote>
  <w:footnote w:id="33">
    <w:p w14:paraId="767E83E1"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5</w:t>
      </w:r>
      <w:r w:rsidRPr="0073179E">
        <w:rPr>
          <w:lang w:val="es-PE"/>
        </w:rPr>
        <w:t>. Escrito de solicitud de acumulación de causas del Ministerio Púlico de 11 de junio de 2001.  Causa 01-01—02-00001-2000-2606. Escrito del peticionario de 13 de marzo de 2008.</w:t>
      </w:r>
    </w:p>
  </w:footnote>
  <w:footnote w:id="34">
    <w:p w14:paraId="6E9654B5"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6</w:t>
      </w:r>
      <w:r w:rsidRPr="0073179E">
        <w:rPr>
          <w:lang w:val="es-PE"/>
        </w:rPr>
        <w:t xml:space="preserve">. Informe del Ministerio Público respecto a la causa N° 2606/2000,  “Basilio Pavón  y otros s/ Lesión Corporal en ejercicio de las funciones públicas”, de 19 de agosto de 2008. </w:t>
      </w:r>
      <w:r>
        <w:rPr>
          <w:lang w:val="es-PE"/>
        </w:rPr>
        <w:t xml:space="preserve">Escrito </w:t>
      </w:r>
      <w:r w:rsidRPr="0073179E">
        <w:rPr>
          <w:lang w:val="es-PE"/>
        </w:rPr>
        <w:t>del Estado de fecha 27 de agosto de 2008.</w:t>
      </w:r>
    </w:p>
  </w:footnote>
  <w:footnote w:id="35">
    <w:p w14:paraId="183C9B44" w14:textId="77777777" w:rsidR="00CC4917" w:rsidRPr="0073179E" w:rsidRDefault="00CC4917" w:rsidP="0073179E">
      <w:pPr>
        <w:pStyle w:val="FootnoteText"/>
        <w:tabs>
          <w:tab w:val="left" w:pos="630"/>
        </w:tabs>
        <w:rPr>
          <w:lang w:val="es-PE"/>
        </w:rPr>
      </w:pPr>
      <w:r w:rsidRPr="0073179E">
        <w:rPr>
          <w:rStyle w:val="FootnoteReference"/>
        </w:rPr>
        <w:footnoteRef/>
      </w:r>
      <w:r w:rsidRPr="0073179E">
        <w:rPr>
          <w:lang w:val="es-PE"/>
        </w:rPr>
        <w:t xml:space="preserve"> Anexo 2. Escrito de acusación y requerimiento de apertura a juicio del Ministerio Púlico de 11 de junio de 2001.  Causa 01-01—02-00001-2000-2606. Escrito del peticionario de 13 de marzo de 2008.</w:t>
      </w:r>
    </w:p>
  </w:footnote>
  <w:footnote w:id="36">
    <w:p w14:paraId="681D4EC0"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6</w:t>
      </w:r>
      <w:r w:rsidRPr="0073179E">
        <w:rPr>
          <w:lang w:val="es-PE"/>
        </w:rPr>
        <w:t>. Informe del Ministerio Público respecto a la causa N° 2606/2000,  “Basilio Pavón  y otros s/ Lesión Corporal en ejercicio de las funciones públicas”, de 19 de agosto de 2008. Anexo adjunto a Comunicación del Estado de fecha 27 de agosto de 2008.</w:t>
      </w:r>
    </w:p>
  </w:footnote>
  <w:footnote w:id="37">
    <w:p w14:paraId="47630DCA"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7</w:t>
      </w:r>
      <w:r w:rsidRPr="0073179E">
        <w:rPr>
          <w:lang w:val="es-PE"/>
        </w:rPr>
        <w:t>. Acuerdo y Sentencia No. 195 de 5 de mayo de 2008. Anexo adjunto a Comunicación del Estado de fecha 27 de agosto de 2008.</w:t>
      </w:r>
    </w:p>
  </w:footnote>
  <w:footnote w:id="38">
    <w:p w14:paraId="3E14E9C1"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8</w:t>
      </w:r>
      <w:r w:rsidRPr="0073179E">
        <w:rPr>
          <w:lang w:val="es-PE"/>
        </w:rPr>
        <w:t xml:space="preserve">. Escrito de Impugnación del Ministerio Público sobre “Impugnación de inscontitucionalidad por la vía excepción”, de 8 de septiembre de 2003. </w:t>
      </w:r>
      <w:r>
        <w:rPr>
          <w:lang w:val="es-PE"/>
        </w:rPr>
        <w:t>Escrito</w:t>
      </w:r>
      <w:r w:rsidRPr="0073179E">
        <w:rPr>
          <w:lang w:val="es-PE"/>
        </w:rPr>
        <w:t xml:space="preserve"> del Estado de fecha 27 de agosto de 2008.</w:t>
      </w:r>
    </w:p>
  </w:footnote>
  <w:footnote w:id="39">
    <w:p w14:paraId="4358761E"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6</w:t>
      </w:r>
      <w:r w:rsidRPr="0073179E">
        <w:rPr>
          <w:lang w:val="es-PE"/>
        </w:rPr>
        <w:t xml:space="preserve">. Informe del Ministerio Público respecto a la causa N° 2606/2000,  “Basilio Pavón  y otros s/ Lesión Corporal en ejercicio de las funciones públicas”, de 19 de agosto de 2008. </w:t>
      </w:r>
      <w:r w:rsidRPr="00C24CAA">
        <w:rPr>
          <w:lang w:val="es-PE"/>
        </w:rPr>
        <w:t xml:space="preserve">Escrito </w:t>
      </w:r>
      <w:r w:rsidRPr="0073179E">
        <w:rPr>
          <w:lang w:val="es-PE"/>
        </w:rPr>
        <w:t>del Estado de fecha 27 de agosto de 2008.</w:t>
      </w:r>
    </w:p>
  </w:footnote>
  <w:footnote w:id="40">
    <w:p w14:paraId="33B8310B"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7</w:t>
      </w:r>
      <w:r w:rsidRPr="0073179E">
        <w:rPr>
          <w:lang w:val="es-PE"/>
        </w:rPr>
        <w:t xml:space="preserve"> Acuerdo y Sentencia No. 195 de 5 de mayo de 2008. </w:t>
      </w:r>
      <w:r w:rsidRPr="00C24CAA">
        <w:rPr>
          <w:lang w:val="es-PE"/>
        </w:rPr>
        <w:t xml:space="preserve">Escrito </w:t>
      </w:r>
      <w:r w:rsidRPr="0073179E">
        <w:rPr>
          <w:lang w:val="es-PE"/>
        </w:rPr>
        <w:t>del Estado de fecha 27 de agosto de 2008.</w:t>
      </w:r>
    </w:p>
  </w:footnote>
  <w:footnote w:id="41">
    <w:p w14:paraId="3C3E4C2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7</w:t>
      </w:r>
      <w:r w:rsidRPr="0073179E">
        <w:rPr>
          <w:lang w:val="es-PE"/>
        </w:rPr>
        <w:t xml:space="preserve">. Acuerdo y Sentencia No. 195 de 5 de mayo de 2008. </w:t>
      </w:r>
      <w:r w:rsidRPr="00C24CAA">
        <w:rPr>
          <w:lang w:val="es-PE"/>
        </w:rPr>
        <w:t>Escrito</w:t>
      </w:r>
      <w:r w:rsidRPr="0073179E">
        <w:rPr>
          <w:lang w:val="es-PE"/>
        </w:rPr>
        <w:t xml:space="preserve"> del Estado de fecha 27 de agosto de 2008.</w:t>
      </w:r>
    </w:p>
  </w:footnote>
  <w:footnote w:id="42">
    <w:p w14:paraId="3CFCA094"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6</w:t>
      </w:r>
      <w:r w:rsidRPr="0073179E">
        <w:rPr>
          <w:lang w:val="es-PE"/>
        </w:rPr>
        <w:t xml:space="preserve">. Informe del Ministerio Público respecto a la causa N° 2606/2000,  “Basilio Pavón  y otros s/ Lesión Corporal en ejercicio de las funciones públicas”, de 19 de agosto de 2008. </w:t>
      </w:r>
      <w:r w:rsidRPr="00C24CAA">
        <w:rPr>
          <w:lang w:val="es-PE"/>
        </w:rPr>
        <w:t xml:space="preserve">Escrito </w:t>
      </w:r>
      <w:r w:rsidRPr="0073179E">
        <w:rPr>
          <w:lang w:val="es-PE"/>
        </w:rPr>
        <w:t>del Estado de fecha 27 de agosto de 2008.</w:t>
      </w:r>
    </w:p>
  </w:footnote>
  <w:footnote w:id="43">
    <w:p w14:paraId="42A925E2"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9</w:t>
      </w:r>
      <w:r w:rsidRPr="0073179E">
        <w:rPr>
          <w:lang w:val="es-PE"/>
        </w:rPr>
        <w:t>. “Juez suspendió audiencia de Bower y Merardo Palacios”. Digital ABC, 16 de junio de 2009. Escrito del peticionario de fecha 11 de enero de 2012.</w:t>
      </w:r>
    </w:p>
  </w:footnote>
  <w:footnote w:id="44">
    <w:p w14:paraId="6E1F19F4"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Escrito del Estado de fecha 6 de julio de 2012. </w:t>
      </w:r>
    </w:p>
  </w:footnote>
  <w:footnote w:id="45">
    <w:p w14:paraId="3A339117"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10</w:t>
      </w:r>
      <w:r w:rsidRPr="0073179E">
        <w:rPr>
          <w:lang w:val="es-ES"/>
        </w:rPr>
        <w:t>. “Novena Audiencia diferida de Bower”. ABC, pág. 37. Comunicación del peticionario de 25 de julio de 2012.</w:t>
      </w:r>
    </w:p>
  </w:footnote>
  <w:footnote w:id="46">
    <w:p w14:paraId="6751E51D"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Escrito recibido con fecha 3 de marzo de 2018, sin fecha ni firma de remitente. </w:t>
      </w:r>
    </w:p>
  </w:footnote>
  <w:footnote w:id="47">
    <w:p w14:paraId="4BCF677F"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1</w:t>
      </w:r>
      <w:r>
        <w:rPr>
          <w:lang w:val="es-ES"/>
        </w:rPr>
        <w:t>1</w:t>
      </w:r>
      <w:r w:rsidRPr="0073179E">
        <w:rPr>
          <w:lang w:val="es-ES"/>
        </w:rPr>
        <w:t>.  “Causa Basilio Pavon y otros s/lesión corporal en el ejercicio de funciones públicas No. 1-1-2-1-2000-2626”. Documento recibido sin documento principal.</w:t>
      </w:r>
    </w:p>
  </w:footnote>
  <w:footnote w:id="48">
    <w:p w14:paraId="6EC2446E" w14:textId="77777777" w:rsidR="00CC4917" w:rsidRPr="0073179E" w:rsidRDefault="00CC4917" w:rsidP="0073179E">
      <w:pPr>
        <w:tabs>
          <w:tab w:val="left" w:pos="630"/>
        </w:tabs>
        <w:jc w:val="both"/>
        <w:rPr>
          <w:rFonts w:asciiTheme="majorHAnsi" w:hAnsiTheme="majorHAnsi"/>
          <w:color w:val="000000" w:themeColor="text1"/>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hAnsiTheme="majorHAnsi"/>
          <w:color w:val="000000" w:themeColor="text1"/>
          <w:sz w:val="16"/>
          <w:szCs w:val="16"/>
          <w:lang w:val="es-ES"/>
        </w:rPr>
        <w:t xml:space="preserve">“Tras 19 años, hoy debe iniciarse juicio oral y público contra Walter Bower por tortura”. ADN Paraguayo. 20 de agosto de 2019. Disponible en: </w:t>
      </w:r>
      <w:hyperlink r:id="rId1" w:history="1">
        <w:r w:rsidRPr="0073179E">
          <w:rPr>
            <w:rStyle w:val="Hyperlink"/>
            <w:rFonts w:asciiTheme="majorHAnsi" w:hAnsiTheme="majorHAnsi"/>
            <w:sz w:val="16"/>
            <w:szCs w:val="16"/>
            <w:u w:val="none"/>
            <w:lang w:val="es-ES"/>
          </w:rPr>
          <w:t>https://www.adndigital.com.py/tras-19-anos-hoy-debe-iniciarse-juicio-oral-contra-walter-bower-por-tortura/</w:t>
        </w:r>
      </w:hyperlink>
      <w:r w:rsidRPr="0073179E">
        <w:rPr>
          <w:rFonts w:asciiTheme="majorHAnsi" w:hAnsiTheme="majorHAnsi"/>
          <w:color w:val="000000" w:themeColor="text1"/>
          <w:sz w:val="16"/>
          <w:szCs w:val="16"/>
          <w:lang w:val="es-ES"/>
        </w:rPr>
        <w:t>. Fecha de consulta: 10 de septiembre de 2020.</w:t>
      </w:r>
    </w:p>
  </w:footnote>
  <w:footnote w:id="49">
    <w:p w14:paraId="2DC8333D"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12.</w:t>
      </w:r>
    </w:p>
  </w:footnote>
  <w:footnote w:id="50">
    <w:p w14:paraId="746267A0"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60.</w:t>
      </w:r>
    </w:p>
  </w:footnote>
  <w:footnote w:id="51">
    <w:p w14:paraId="7E2E555D"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64.</w:t>
      </w:r>
    </w:p>
  </w:footnote>
  <w:footnote w:id="52">
    <w:p w14:paraId="528DD4E2"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color w:val="000000" w:themeColor="text1"/>
          <w:lang w:val="es-ES"/>
        </w:rPr>
        <w:t xml:space="preserve"> </w:t>
      </w:r>
      <w:r w:rsidRPr="0073179E">
        <w:rPr>
          <w:lang w:val="es-ES"/>
        </w:rPr>
        <w:t xml:space="preserve">Anexo </w:t>
      </w:r>
      <w:r>
        <w:rPr>
          <w:lang w:val="es-ES"/>
        </w:rPr>
        <w:t>3</w:t>
      </w:r>
      <w:r w:rsidRPr="0073179E">
        <w:rPr>
          <w:lang w:val="es-ES"/>
        </w:rPr>
        <w:t>. Sentencia S.D.No. 01, de 30 de diciembre de 2019, Tribunal Colegiado de Sentencia de la Circunscripción Judicial de la Capital. Escrito del Estado de 13 de noviembre de 2020</w:t>
      </w:r>
      <w:r w:rsidRPr="0073179E">
        <w:rPr>
          <w:color w:val="000000" w:themeColor="text1"/>
          <w:lang w:val="es-ES"/>
        </w:rPr>
        <w:t>, pág. 56.</w:t>
      </w:r>
    </w:p>
  </w:footnote>
  <w:footnote w:id="53">
    <w:p w14:paraId="262CC4EF"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61.</w:t>
      </w:r>
    </w:p>
  </w:footnote>
  <w:footnote w:id="54">
    <w:p w14:paraId="1E8BCEB5"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w:t>
      </w:r>
    </w:p>
  </w:footnote>
  <w:footnote w:id="55">
    <w:p w14:paraId="7485ACF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361.</w:t>
      </w:r>
    </w:p>
  </w:footnote>
  <w:footnote w:id="56">
    <w:p w14:paraId="4749C7A4"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362.</w:t>
      </w:r>
    </w:p>
  </w:footnote>
  <w:footnote w:id="57">
    <w:p w14:paraId="747CA9BA"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366.</w:t>
      </w:r>
    </w:p>
  </w:footnote>
  <w:footnote w:id="58">
    <w:p w14:paraId="6D884BE3"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Sentencia S.D.No. 01, de 30 de diciembre de 2019, Tribunal Colegiado de Sentencia de la Circunscripción Judicial de la Capital. Escrito del Estado de 13 de noviembre de 2020, pág</w:t>
      </w:r>
      <w:r w:rsidRPr="0073179E">
        <w:rPr>
          <w:lang w:val="pt-BR"/>
        </w:rPr>
        <w:t>.</w:t>
      </w:r>
      <w:r>
        <w:rPr>
          <w:lang w:val="pt-BR"/>
        </w:rPr>
        <w:t xml:space="preserve"> </w:t>
      </w:r>
      <w:r w:rsidRPr="0073179E">
        <w:rPr>
          <w:lang w:val="pt-BR"/>
        </w:rPr>
        <w:t>368.</w:t>
      </w:r>
    </w:p>
  </w:footnote>
  <w:footnote w:id="59">
    <w:p w14:paraId="20D44578"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368.</w:t>
      </w:r>
    </w:p>
  </w:footnote>
  <w:footnote w:id="60">
    <w:p w14:paraId="0A79C5C5"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5371FE">
        <w:rPr>
          <w:lang w:val="es-ES"/>
        </w:rPr>
        <w:t xml:space="preserve"> </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372.</w:t>
      </w:r>
    </w:p>
  </w:footnote>
  <w:footnote w:id="61">
    <w:p w14:paraId="7CA4BA61"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373.</w:t>
      </w:r>
    </w:p>
  </w:footnote>
  <w:footnote w:id="62">
    <w:p w14:paraId="568F14B2"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378.</w:t>
      </w:r>
    </w:p>
  </w:footnote>
  <w:footnote w:id="63">
    <w:p w14:paraId="4A19DB70"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378.</w:t>
      </w:r>
    </w:p>
  </w:footnote>
  <w:footnote w:id="64">
    <w:p w14:paraId="5D042B4E"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404.</w:t>
      </w:r>
    </w:p>
  </w:footnote>
  <w:footnote w:id="65">
    <w:p w14:paraId="03FE4474" w14:textId="77777777" w:rsidR="00CC4917" w:rsidRPr="0073179E" w:rsidRDefault="00CC4917" w:rsidP="0073179E">
      <w:pPr>
        <w:pStyle w:val="FootnoteText"/>
        <w:tabs>
          <w:tab w:val="left" w:pos="630"/>
        </w:tabs>
        <w:rPr>
          <w:lang w:val="pt-BR"/>
        </w:rPr>
      </w:pPr>
      <w:r w:rsidRPr="0073179E">
        <w:rPr>
          <w:rStyle w:val="FootnoteReference"/>
        </w:rPr>
        <w:footnoteRef/>
      </w:r>
      <w:r w:rsidRPr="0073179E">
        <w:rPr>
          <w:lang w:val="pt-BR"/>
        </w:rPr>
        <w:t xml:space="preserve"> </w:t>
      </w:r>
      <w:r>
        <w:rPr>
          <w:lang w:val="pt-BR"/>
        </w:rPr>
        <w:t>A</w:t>
      </w:r>
      <w:r w:rsidRPr="0073179E">
        <w:rPr>
          <w:lang w:val="es-ES"/>
        </w:rPr>
        <w:t xml:space="preserve">nexo </w:t>
      </w:r>
      <w:r>
        <w:rPr>
          <w:lang w:val="es-ES"/>
        </w:rPr>
        <w:t>3</w:t>
      </w:r>
      <w:r w:rsidRPr="0073179E">
        <w:rPr>
          <w:lang w:val="es-ES"/>
        </w:rPr>
        <w:t xml:space="preserve">. Sentencia S.D.No. 01, de 30 de diciembre de 2019, Tribunal Colegiado de Sentencia de la Circunscripción Judicial de la Capital. Escrito del Estado de 13 de noviembre de 2020, pág. </w:t>
      </w:r>
      <w:r w:rsidRPr="0073179E">
        <w:rPr>
          <w:lang w:val="pt-BR"/>
        </w:rPr>
        <w:t>404.</w:t>
      </w:r>
    </w:p>
  </w:footnote>
  <w:footnote w:id="66">
    <w:p w14:paraId="4C94C5F2"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pt-BR"/>
        </w:rPr>
        <w:t xml:space="preserve"> Anexo </w:t>
      </w:r>
      <w:r>
        <w:rPr>
          <w:lang w:val="pt-BR"/>
        </w:rPr>
        <w:t>3</w:t>
      </w:r>
      <w:r w:rsidRPr="0073179E">
        <w:rPr>
          <w:lang w:val="pt-BR"/>
        </w:rPr>
        <w:t xml:space="preserve">. </w:t>
      </w:r>
      <w:r w:rsidRPr="0073179E">
        <w:rPr>
          <w:lang w:val="es-ES"/>
        </w:rPr>
        <w:t>Sentencia S.D.No. 01, de 30 de diciembre de 2019, Tribunal Colegiado de Sentencia de la Circunscripción Judicial de la Capital. Escrito del Estado de 13 de noviembre de 2020, pág. 409.</w:t>
      </w:r>
    </w:p>
  </w:footnote>
  <w:footnote w:id="67">
    <w:p w14:paraId="027AAA6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372.</w:t>
      </w:r>
    </w:p>
  </w:footnote>
  <w:footnote w:id="68">
    <w:p w14:paraId="36E83B49"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Anexo </w:t>
      </w:r>
      <w:r>
        <w:rPr>
          <w:lang w:val="es-ES"/>
        </w:rPr>
        <w:t>3</w:t>
      </w:r>
      <w:r w:rsidRPr="0073179E">
        <w:rPr>
          <w:lang w:val="es-ES"/>
        </w:rPr>
        <w:t>. Sentencia S.D.No. 01, de 30 de diciembre de 2019, Tribunal Colegiado de Sentencia de la Circunscripción Judicial de la Capital. Escrito del Estado de 13 de noviembre de 2020, pág. 413 y siguientes. Voto de disidencia.</w:t>
      </w:r>
    </w:p>
  </w:footnote>
  <w:footnote w:id="69">
    <w:p w14:paraId="063741C2" w14:textId="77777777" w:rsidR="00CC4917" w:rsidRPr="0073179E" w:rsidRDefault="00CC4917" w:rsidP="0073179E">
      <w:pPr>
        <w:tabs>
          <w:tab w:val="left" w:pos="630"/>
          <w:tab w:val="left" w:pos="720"/>
        </w:tabs>
        <w:suppressAutoHyphens/>
        <w:jc w:val="both"/>
        <w:rPr>
          <w:rFonts w:asciiTheme="majorHAnsi" w:hAnsiTheme="majorHAnsi"/>
          <w:spacing w:val="-3"/>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CO"/>
        </w:rPr>
        <w:t xml:space="preserve"> El artículo 5 de la Convención Americana establece, en lo pertinente que: </w:t>
      </w:r>
      <w:r w:rsidRPr="0073179E">
        <w:rPr>
          <w:rFonts w:asciiTheme="majorHAnsi" w:hAnsiTheme="majorHAnsi"/>
          <w:spacing w:val="-3"/>
          <w:sz w:val="16"/>
          <w:szCs w:val="16"/>
          <w:lang w:val="es-ES"/>
        </w:rPr>
        <w:t>1. Toda persona tiene derecho a que se respete su integridad física, psíquica y moral.</w:t>
      </w:r>
    </w:p>
    <w:p w14:paraId="10E2589E" w14:textId="77777777" w:rsidR="00CC4917" w:rsidRPr="0073179E" w:rsidRDefault="00CC4917" w:rsidP="0073179E">
      <w:pPr>
        <w:pStyle w:val="FootnoteText"/>
        <w:tabs>
          <w:tab w:val="left" w:pos="630"/>
        </w:tabs>
        <w:ind w:right="720"/>
        <w:rPr>
          <w:lang w:val="es-CO"/>
        </w:rPr>
      </w:pPr>
      <w:r w:rsidRPr="0073179E">
        <w:rPr>
          <w:spacing w:val="-3"/>
          <w:lang w:val="es-ES"/>
        </w:rPr>
        <w:t>2. Nadie debe ser sometido a torturas ni a penas o tratos crueles, inhumanos o degradantes. Toda persona privada de libertad será tratada con el respeto debido a la dignidad inherente al ser humano.</w:t>
      </w:r>
    </w:p>
  </w:footnote>
  <w:footnote w:id="70">
    <w:p w14:paraId="566E4E29" w14:textId="77777777" w:rsidR="00CC4917" w:rsidRPr="0073179E" w:rsidRDefault="00CC4917" w:rsidP="00534353">
      <w:pPr>
        <w:pStyle w:val="NormalWeb"/>
        <w:tabs>
          <w:tab w:val="left" w:pos="630"/>
        </w:tabs>
        <w:spacing w:before="0" w:beforeAutospacing="0" w:after="0" w:afterAutospacing="0"/>
        <w:ind w:right="72"/>
        <w:jc w:val="both"/>
        <w:rPr>
          <w:rFonts w:asciiTheme="majorHAnsi" w:hAnsiTheme="majorHAnsi" w:cs="Tahoma"/>
          <w:color w:val="000000"/>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hAnsiTheme="majorHAnsi" w:cs="Tahoma"/>
          <w:color w:val="000000"/>
          <w:sz w:val="16"/>
          <w:szCs w:val="16"/>
          <w:lang w:val="es-ES"/>
        </w:rPr>
        <w:t> Artículo 7. Derecho a la libertad personal:</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1. Toda persona tiene derecho a la libertad y a la seguridad personales.</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2. Nadie puede ser privado de su libertad física, salvo por las causas y en las condiciones fijadas de antemano por las Constituciones Políticas de los Estados Partes o por las leyes dictadas conforme a ellas.</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3. Nadie puede ser sometido a detención o encarcelamiento arbitrarios.</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4. Toda persona detenida o retenida debe ser informada de las razones de su detención y notificada, sin demora, del cargo o cargos formulados contra ella.</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r>
        <w:rPr>
          <w:rFonts w:asciiTheme="majorHAnsi" w:hAnsiTheme="majorHAnsi" w:cs="Tahoma"/>
          <w:color w:val="000000"/>
          <w:sz w:val="16"/>
          <w:szCs w:val="16"/>
          <w:lang w:val="es-ES"/>
        </w:rPr>
        <w:t xml:space="preserve"> </w:t>
      </w:r>
      <w:r w:rsidRPr="0073179E">
        <w:rPr>
          <w:rFonts w:asciiTheme="majorHAnsi" w:hAnsiTheme="majorHAnsi" w:cs="Tahoma"/>
          <w:color w:val="000000"/>
          <w:sz w:val="16"/>
          <w:szCs w:val="16"/>
          <w:lang w:val="es-ES"/>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footnote>
  <w:footnote w:id="71">
    <w:p w14:paraId="60B94D8A"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w:t>
      </w:r>
      <w:r w:rsidRPr="0073179E">
        <w:rPr>
          <w:lang w:val="es-ES_tradnl"/>
        </w:rPr>
        <w:t>Artículo 8 de la Convención Americana: “</w:t>
      </w:r>
      <w:r w:rsidRPr="0073179E">
        <w:rPr>
          <w:rFonts w:eastAsia="Times New Roman" w:cs="Tahoma"/>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73179E">
        <w:rPr>
          <w:rFonts w:cs="Tahoma"/>
          <w:lang w:val="es-ES_tradnl" w:eastAsia="es-ES_tradnl"/>
        </w:rPr>
        <w:t> 2. Toda persona inculpada de delito tiene derecho a que se presuma su inocencia mientras no se establezca legalmente su culpabilidad. […]</w:t>
      </w:r>
      <w:r w:rsidRPr="0073179E">
        <w:rPr>
          <w:rFonts w:eastAsia="Times New Roman" w:cs="Tahoma"/>
          <w:lang w:val="es-ES"/>
        </w:rPr>
        <w:t xml:space="preserve">”. </w:t>
      </w:r>
    </w:p>
  </w:footnote>
  <w:footnote w:id="72">
    <w:p w14:paraId="3FE08E62"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w:t>
      </w:r>
      <w:r w:rsidRPr="0073179E">
        <w:rPr>
          <w:lang w:val="es-ES_tradnl"/>
        </w:rPr>
        <w:t>Artículo 25.1 de la Convención Americana: “T</w:t>
      </w:r>
      <w:r w:rsidRPr="0073179E">
        <w:rPr>
          <w:rFonts w:eastAsia="Times New Roman" w:cs="Tahoma"/>
          <w:lang w:val="es-ES"/>
        </w:rPr>
        <w:t xml:space="preserve">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73">
    <w:p w14:paraId="24C32AFB"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Artículo 1 de la CIPST: “Los Estados partes se obligan a prevenir y sancionar la tortura en los términos de la presente Convención”. </w:t>
      </w:r>
    </w:p>
  </w:footnote>
  <w:footnote w:id="74">
    <w:p w14:paraId="6E54AFCE"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Artículo 6 de la CIPST: “De conformidad con lo dispuesto en el artículo 1, los Estados partes tomarán medidas efectivas para prevenir y sancionar la tortura en el ámbito de su jurisdicción.//Los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w:t>
      </w:r>
    </w:p>
  </w:footnote>
  <w:footnote w:id="75">
    <w:p w14:paraId="41E95CC2"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Artículos 8 de la CIPST: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penal.//Una vez agotado el ordenamiento jurídico interno del respectivo Estado y los recursos que éste prevé, el caso podrá ser sometido a instancias internacionales cuya competencia haya sido aceptada por ese Estado”. </w:t>
      </w:r>
    </w:p>
  </w:footnote>
  <w:footnote w:id="76">
    <w:p w14:paraId="3098601C"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w:t>
      </w:r>
      <w:r w:rsidRPr="0073179E">
        <w:rPr>
          <w:lang w:val="es-ES"/>
        </w:rPr>
        <w:t>En virtud del principio iura novit curia, la Comisión estima pertinente pronunciarse sobre la responsabilidad internacional del Estado sobre los artículos 1, 6 y 8 de la Convención Interamericana para Prevenir y Sancionar la Tortura. El Estado ha tenido la oportunidad de ejercer su derecho de contradicción y expresar su posición en relación con los hechos que sustentan el presente análisis.</w:t>
      </w:r>
    </w:p>
  </w:footnote>
  <w:footnote w:id="77">
    <w:p w14:paraId="60ABDFA5"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eastAsia="Calibri" w:hAnsiTheme="majorHAnsi" w:cs="Calibri"/>
          <w:sz w:val="16"/>
          <w:szCs w:val="16"/>
          <w:bdr w:val="nil"/>
          <w:lang w:val="es-ES" w:eastAsia="es-ES"/>
        </w:rPr>
        <w:t>Corte IDH. Caso Argüelles y otros Vs. Argentina. Excepciones Preliminares, Fondo, Reparaciones y Costas. Sentencia de 20 de noviembre de 2014. Serie C No. 288, párr. 114.</w:t>
      </w:r>
    </w:p>
  </w:footnote>
  <w:footnote w:id="78">
    <w:p w14:paraId="3CAFB61A"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rStyle w:val="FootnoteReference"/>
          <w:lang w:val="es-ES"/>
        </w:rPr>
        <w:t xml:space="preserve"> </w:t>
      </w:r>
      <w:r w:rsidRPr="0073179E">
        <w:rPr>
          <w:lang w:val="es-ES"/>
        </w:rPr>
        <w:t>Corte IDH. Caso Chaparro Álvarez y Lapo Íñiguez Vs. Ecuador. Excepciones Preliminares, Fondo, Reparaciones y Costas. Sentencia de 21 de noviembre de 2007. Serie C No. 170, párr. 57.</w:t>
      </w:r>
    </w:p>
  </w:footnote>
  <w:footnote w:id="79">
    <w:p w14:paraId="3BE9D245"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hAnsiTheme="majorHAnsi" w:cs="Calibri"/>
          <w:color w:val="000000"/>
          <w:sz w:val="16"/>
          <w:szCs w:val="16"/>
          <w:lang w:val="es-ES"/>
        </w:rPr>
        <w:t>Caso Juan Humberto Sánchez Vs. Honduras. Excepción Preliminar, Fondo, Reparaciones y Costas. Sentencia de 7 de junio de 2003. Serie C No. 99, párr. 82, y; Corte IDH. Caso Chaparro Álvarez y Lapo Íñiguez Vs. Ecuador. Excepciones Preliminares, Fondo, Reparaciones y Costas. Sentencia de 21 de noviembre de 2007. Serie C No. 170, párr. 70.</w:t>
      </w:r>
    </w:p>
  </w:footnote>
  <w:footnote w:id="80">
    <w:p w14:paraId="14347E35"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rStyle w:val="FootnoteReference"/>
          <w:lang w:val="es-ES"/>
        </w:rPr>
        <w:t xml:space="preserve"> </w:t>
      </w:r>
      <w:r w:rsidRPr="0073179E">
        <w:rPr>
          <w:lang w:val="es-ES"/>
        </w:rPr>
        <w:t>Corte IDH. Caso Chaparro Álvarez y Lapo Íñiguez Vs. Ecuador. Excepciones Preliminares, Fondo, Reparaciones y Costas. Sentencia de 21 de noviembre de 2007. Serie C No. 170, párr. 71.</w:t>
      </w:r>
    </w:p>
  </w:footnote>
  <w:footnote w:id="81">
    <w:p w14:paraId="3CDA6243"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Corte IDH. Caso Chaparro Álvarez y Lapo Íñiguez Vs. Ecuador. Excepciones Preliminares, Fondo, Reparaciones y Costas. Sentencia de 21 de noviembre de 2007. Serie C No. 170, párr. 73.</w:t>
      </w:r>
    </w:p>
  </w:footnote>
  <w:footnote w:id="82">
    <w:p w14:paraId="20F88839" w14:textId="77777777" w:rsidR="00CC4917" w:rsidRPr="0073179E" w:rsidRDefault="00CC4917" w:rsidP="0073179E">
      <w:pPr>
        <w:pStyle w:val="FootnoteText"/>
        <w:pBdr>
          <w:top w:val="none" w:sz="0" w:space="0" w:color="auto"/>
          <w:left w:val="none" w:sz="0" w:space="0" w:color="auto"/>
          <w:bottom w:val="none" w:sz="0" w:space="0" w:color="auto"/>
          <w:right w:val="none" w:sz="0" w:space="0" w:color="auto"/>
          <w:bar w:val="none" w:sz="0" w:color="auto"/>
        </w:pBdr>
        <w:tabs>
          <w:tab w:val="left" w:pos="630"/>
        </w:tabs>
        <w:rPr>
          <w:lang w:val="es-ES"/>
        </w:rPr>
      </w:pPr>
      <w:r w:rsidRPr="0073179E">
        <w:rPr>
          <w:rStyle w:val="FootnoteReference"/>
          <w:color w:val="auto"/>
        </w:rPr>
        <w:footnoteRef/>
      </w:r>
      <w:r w:rsidRPr="0073179E">
        <w:rPr>
          <w:color w:val="auto"/>
          <w:lang w:val="es-ES"/>
        </w:rPr>
        <w:t xml:space="preserve"> Corte IDH. Caso Acosta Calderón Vs. Ecuador. Fondo, Reparaciones y Costas. Sentencia de 24 de junio de 2005. Serie C No. 129, párr. 61; y Caso Tibi Vs. Ecuador. Sentencia de 7 de septiembre de 2004. Serie C No. 114, párr. 76.</w:t>
      </w:r>
    </w:p>
  </w:footnote>
  <w:footnote w:id="83">
    <w:p w14:paraId="798EAB0D" w14:textId="77777777" w:rsidR="00CC4917" w:rsidRPr="0073179E" w:rsidRDefault="00CC4917" w:rsidP="0073179E">
      <w:pPr>
        <w:pStyle w:val="FootnoteText"/>
        <w:pBdr>
          <w:top w:val="none" w:sz="0" w:space="0" w:color="auto"/>
          <w:left w:val="none" w:sz="0" w:space="0" w:color="auto"/>
          <w:bottom w:val="none" w:sz="0" w:space="0" w:color="auto"/>
          <w:right w:val="none" w:sz="0" w:space="0" w:color="auto"/>
          <w:bar w:val="none" w:sz="0" w:color="auto"/>
        </w:pBdr>
        <w:tabs>
          <w:tab w:val="left" w:pos="630"/>
        </w:tabs>
        <w:rPr>
          <w:lang w:val="es-ES"/>
        </w:rPr>
      </w:pPr>
      <w:r w:rsidRPr="0073179E">
        <w:rPr>
          <w:rStyle w:val="FootnoteReference"/>
          <w:color w:val="auto"/>
        </w:rPr>
        <w:footnoteRef/>
      </w:r>
      <w:r w:rsidRPr="0073179E">
        <w:rPr>
          <w:color w:val="auto"/>
          <w:lang w:val="es-ES"/>
        </w:rPr>
        <w:t xml:space="preserve"> CIDH. </w:t>
      </w:r>
      <w:hyperlink r:id="rId2" w:history="1">
        <w:r w:rsidRPr="0073179E">
          <w:rPr>
            <w:rStyle w:val="Hyperlink"/>
            <w:u w:val="none"/>
            <w:lang w:val="es-ES"/>
          </w:rPr>
          <w:t>Informe sobre la situación de las personas privadas de la libertad en las Américas</w:t>
        </w:r>
      </w:hyperlink>
      <w:r w:rsidRPr="0073179E">
        <w:rPr>
          <w:color w:val="auto"/>
          <w:lang w:val="es-ES"/>
        </w:rPr>
        <w:t>, 31 de diciembre de 2011, párr. 120.</w:t>
      </w:r>
    </w:p>
  </w:footnote>
  <w:footnote w:id="84">
    <w:p w14:paraId="71450256" w14:textId="77777777" w:rsidR="00CC4917" w:rsidRPr="0073179E" w:rsidRDefault="00CC4917" w:rsidP="0073179E">
      <w:pPr>
        <w:pStyle w:val="FootnoteText"/>
        <w:pBdr>
          <w:top w:val="none" w:sz="0" w:space="0" w:color="auto"/>
          <w:left w:val="none" w:sz="0" w:space="0" w:color="auto"/>
          <w:bottom w:val="none" w:sz="0" w:space="0" w:color="auto"/>
          <w:right w:val="none" w:sz="0" w:space="0" w:color="auto"/>
          <w:bar w:val="none" w:sz="0" w:color="auto"/>
        </w:pBdr>
        <w:tabs>
          <w:tab w:val="left" w:pos="630"/>
        </w:tabs>
        <w:rPr>
          <w:lang w:val="es-ES"/>
        </w:rPr>
      </w:pPr>
      <w:r w:rsidRPr="0073179E">
        <w:rPr>
          <w:rStyle w:val="FootnoteReference"/>
          <w:color w:val="auto"/>
        </w:rPr>
        <w:footnoteRef/>
      </w:r>
      <w:r w:rsidRPr="0073179E">
        <w:rPr>
          <w:color w:val="auto"/>
          <w:lang w:val="es-ES"/>
        </w:rPr>
        <w:t xml:space="preserve"> Corte IDH. Caso Acosta Calderón Vs. Ecuador. Fondo, Reparaciones y Costas. Sentencia de 24 de junio de 2005. Serie C No. 129, párr. 61.</w:t>
      </w:r>
    </w:p>
  </w:footnote>
  <w:footnote w:id="85">
    <w:p w14:paraId="7F779DBE"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Constitución de la República del Paraguay, 20 de junio de 1992. Artículo 12: De la detención y del arresto Nadie será detenido ni arrestado sin orden escrita de autoridad competente, salvo caso de ser sorprendido en flagrante comisión de delito que mereciese pena corporal. Toda persona detenida tiene derecho a: 1) que se le informe, en el momento del hecho, de la causa que la motiva, de su derecho a guardar silencio y a ser asistida por un defensor de su confianza. En el acto de la detención, la autoridad está obligada a exhibir la orden escrita que la dispuso; 2) que la detención sea inmediatamente comunicada a sus familiares o personas que el detenido indique; 3) que se le mantenga en libre comunicación salvo que, excepcionalmente, se halle establecida su incomunicación por mandato judicial competente; la incomunicación no regirá respecto a su defensor, y en ningún caso podrá exceder del término que prescribe la ley; 4) que disponga de un intérprete, si fuese necesario, y a 5) que sea puesta, en un plazo no mayor de veinticuatro horas, a disposición del magistrado judicial competente, para que éste disponga cuanto corresponda en derecho.</w:t>
      </w:r>
    </w:p>
  </w:footnote>
  <w:footnote w:id="86">
    <w:p w14:paraId="2AEB6FA5"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w:t>
      </w:r>
      <w:r w:rsidRPr="0073179E">
        <w:rPr>
          <w:lang w:val="es-ES"/>
        </w:rPr>
        <w:t>Corte IDH. Caso Chaparro Álvarez y Lapo Íñiguez Vs. Ecuador. Excepciones Preliminares, Fondo, Reparaciones y Costas. Sentencia de 21 de noviembre de 2007. Serie C No. 170, párr.71.</w:t>
      </w:r>
    </w:p>
  </w:footnote>
  <w:footnote w:id="87">
    <w:p w14:paraId="2526DCE4" w14:textId="77777777" w:rsidR="00CC4917" w:rsidRPr="0073179E" w:rsidRDefault="00CC4917" w:rsidP="0073179E">
      <w:pPr>
        <w:pStyle w:val="FootnoteText"/>
        <w:tabs>
          <w:tab w:val="left" w:pos="630"/>
        </w:tabs>
        <w:rPr>
          <w:lang w:val="es-US"/>
        </w:rPr>
      </w:pPr>
      <w:r w:rsidRPr="0073179E">
        <w:rPr>
          <w:rStyle w:val="FootnoteReference"/>
        </w:rPr>
        <w:footnoteRef/>
      </w:r>
      <w:r w:rsidRPr="0073179E">
        <w:rPr>
          <w:lang w:val="es-US"/>
        </w:rPr>
        <w:t xml:space="preserve"> </w:t>
      </w:r>
      <w:r w:rsidRPr="0073179E">
        <w:rPr>
          <w:lang w:val="es-ES"/>
        </w:rPr>
        <w:t>Corte IDH. Caso Chaparro Álvarez y Lapo Íñiguez Vs. Ecuador. Excepciones Preliminares, Fondo, Reparaciones y Costas. Sentencia de 21 de noviembre de 2007. Serie C No. 170, párr.70-73.</w:t>
      </w:r>
    </w:p>
  </w:footnote>
  <w:footnote w:id="88">
    <w:p w14:paraId="5EF4E966" w14:textId="77777777" w:rsidR="00CC4917" w:rsidRPr="0073179E" w:rsidRDefault="00CC4917" w:rsidP="0073179E">
      <w:pPr>
        <w:pStyle w:val="FootnoteText"/>
        <w:keepNext/>
        <w:tabs>
          <w:tab w:val="left" w:pos="630"/>
        </w:tabs>
        <w:rPr>
          <w:lang w:val="es-ES_tradnl"/>
        </w:rPr>
      </w:pPr>
      <w:r w:rsidRPr="0073179E">
        <w:rPr>
          <w:rStyle w:val="FootnoteReference"/>
          <w:color w:val="auto"/>
        </w:rPr>
        <w:footnoteRef/>
      </w:r>
      <w:r w:rsidRPr="0073179E">
        <w:rPr>
          <w:color w:val="auto"/>
          <w:lang w:val="es-ES_tradnl"/>
        </w:rPr>
        <w:t xml:space="preserve"> CIDH. </w:t>
      </w:r>
      <w:hyperlink r:id="rId3" w:history="1">
        <w:r w:rsidRPr="0073179E">
          <w:rPr>
            <w:rStyle w:val="Hyperlink"/>
            <w:u w:val="none"/>
            <w:lang w:val="es-ES_tradnl"/>
          </w:rPr>
          <w:t>Informe sobre terrorismo y derechos humanos</w:t>
        </w:r>
      </w:hyperlink>
      <w:r w:rsidRPr="0073179E">
        <w:rPr>
          <w:color w:val="auto"/>
          <w:lang w:val="es-ES_tradnl"/>
        </w:rPr>
        <w:t xml:space="preserve">. 22 de octubre de 2002; e Informe sobre la Situación de derechos humanos de los solicitantes de asilo en el marco del sistema canadiense de determinación de la condición de refugiado. 28 de febrero de 2000, párr. 118. </w:t>
      </w:r>
    </w:p>
  </w:footnote>
  <w:footnote w:id="89">
    <w:p w14:paraId="74AACE56" w14:textId="77777777" w:rsidR="00CC4917" w:rsidRPr="0073179E" w:rsidRDefault="00CC4917" w:rsidP="0073179E">
      <w:pPr>
        <w:keepNext/>
        <w:tabs>
          <w:tab w:val="left" w:pos="630"/>
          <w:tab w:val="left" w:pos="900"/>
          <w:tab w:val="left" w:pos="1080"/>
        </w:tabs>
        <w:jc w:val="both"/>
        <w:rPr>
          <w:rFonts w:asciiTheme="majorHAnsi" w:hAnsiTheme="majorHAnsi"/>
          <w:sz w:val="16"/>
          <w:szCs w:val="16"/>
          <w:lang w:val="es-ES_tradnl"/>
        </w:rPr>
      </w:pPr>
      <w:r w:rsidRPr="0073179E">
        <w:rPr>
          <w:rStyle w:val="FootnoteReference"/>
          <w:rFonts w:asciiTheme="majorHAnsi" w:hAnsiTheme="majorHAnsi"/>
          <w:sz w:val="16"/>
          <w:szCs w:val="16"/>
        </w:rPr>
        <w:footnoteRef/>
      </w:r>
      <w:r w:rsidRPr="0073179E">
        <w:rPr>
          <w:rFonts w:asciiTheme="majorHAnsi" w:hAnsiTheme="majorHAnsi"/>
          <w:sz w:val="16"/>
          <w:szCs w:val="16"/>
          <w:lang w:val="es-US"/>
        </w:rPr>
        <w:t xml:space="preserve"> Corte IDH. Caso Bueno Alves Vs. </w:t>
      </w:r>
      <w:r w:rsidRPr="0073179E">
        <w:rPr>
          <w:rFonts w:asciiTheme="majorHAnsi" w:hAnsiTheme="majorHAnsi"/>
          <w:sz w:val="16"/>
          <w:szCs w:val="16"/>
          <w:lang w:val="es-ES"/>
        </w:rPr>
        <w:t xml:space="preserve">Argentina. Fondo, Reparaciones y Costas. Sentencia de 11 de mayo de 2007. Serie C No. 164, párr. 76. </w:t>
      </w:r>
    </w:p>
  </w:footnote>
  <w:footnote w:id="90">
    <w:p w14:paraId="57BAA2BD" w14:textId="77777777" w:rsidR="00CC4917" w:rsidRPr="0073179E" w:rsidRDefault="00CC4917" w:rsidP="0073179E">
      <w:pPr>
        <w:pStyle w:val="FootnoteText"/>
        <w:keepNext/>
        <w:tabs>
          <w:tab w:val="left" w:pos="630"/>
        </w:tabs>
        <w:rPr>
          <w:lang w:val="es-ES"/>
        </w:rPr>
      </w:pPr>
      <w:r w:rsidRPr="0073179E">
        <w:rPr>
          <w:rStyle w:val="FootnoteReference"/>
          <w:color w:val="auto"/>
        </w:rPr>
        <w:footnoteRef/>
      </w:r>
      <w:r w:rsidRPr="0073179E">
        <w:rPr>
          <w:color w:val="auto"/>
          <w:lang w:val="es-ES"/>
        </w:rPr>
        <w:t xml:space="preserve"> CIDH. Informe No. 5/96. Caso 10.970. Fondo. Raquel Martin Mejía. Perú. 1 de marzo de 1996, sección 3. Ver también: Corte IDH. Caso Bueno Alves Vs. Argentina. Fondo, Reparaciones y Costas. Sentencia de 11 de mayo de 2007. Serie C No. 164, </w:t>
      </w:r>
      <w:r w:rsidRPr="0073179E">
        <w:rPr>
          <w:color w:val="auto"/>
          <w:lang w:val="es-ES_tradnl"/>
        </w:rPr>
        <w:t>párr. 79.</w:t>
      </w:r>
      <w:r w:rsidRPr="0073179E">
        <w:rPr>
          <w:color w:val="auto"/>
          <w:lang w:val="es-ES"/>
        </w:rPr>
        <w:t xml:space="preserve"> </w:t>
      </w:r>
    </w:p>
  </w:footnote>
  <w:footnote w:id="91">
    <w:p w14:paraId="2E022346"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CIDH. Informe No. 82/13. Caso 12.679. Fondo. José Agapito Ruano Torres y familia. El Salvador. 4 de noviembre de 2013, párr. </w:t>
      </w:r>
      <w:r w:rsidRPr="0073179E">
        <w:rPr>
          <w:lang w:val="es-ES_tradnl"/>
        </w:rPr>
        <w:t xml:space="preserve">162. Corte IDH. Cabrera García y Montiel Flores Vs. </w:t>
      </w:r>
      <w:r w:rsidRPr="0073179E">
        <w:rPr>
          <w:lang w:val="es-CO"/>
        </w:rPr>
        <w:t xml:space="preserve">México. </w:t>
      </w:r>
      <w:r w:rsidRPr="0073179E">
        <w:rPr>
          <w:lang w:val="es-ES"/>
        </w:rPr>
        <w:t>Sentencia de 26 de noviembre de 2010. Serie C No. 220, párr. 128.</w:t>
      </w:r>
    </w:p>
  </w:footnote>
  <w:footnote w:id="92">
    <w:p w14:paraId="230FFC83"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hAnsiTheme="majorHAnsi"/>
          <w:sz w:val="16"/>
          <w:szCs w:val="16"/>
          <w:lang w:val="es-US"/>
        </w:rPr>
        <w:t xml:space="preserve">Corte IDH. </w:t>
      </w:r>
      <w:r w:rsidRPr="0073179E">
        <w:rPr>
          <w:rFonts w:asciiTheme="majorHAnsi" w:eastAsia="Calibri" w:hAnsiTheme="majorHAnsi" w:cs="Calibri"/>
          <w:color w:val="000000"/>
          <w:sz w:val="16"/>
          <w:szCs w:val="16"/>
          <w:bdr w:val="nil"/>
          <w:lang w:val="es-ES" w:eastAsia="es-ES"/>
        </w:rPr>
        <w:t>Caso Valenzuela Ávila Vs. Guatemala. Fondo, Reparaciones y Costas. Sentencia de 11 de octubre de 2019. Serie C No. 386, párr. 184</w:t>
      </w:r>
    </w:p>
  </w:footnote>
  <w:footnote w:id="93">
    <w:p w14:paraId="3756FD64" w14:textId="77777777" w:rsidR="00CC4917" w:rsidRPr="002A045E" w:rsidRDefault="00CC4917" w:rsidP="002A045E">
      <w:r w:rsidRPr="0073179E">
        <w:rPr>
          <w:rStyle w:val="FootnoteReference"/>
          <w:rFonts w:asciiTheme="majorHAnsi" w:hAnsiTheme="majorHAnsi"/>
          <w:sz w:val="16"/>
          <w:szCs w:val="16"/>
        </w:rPr>
        <w:footnoteRef/>
      </w:r>
      <w:r w:rsidRPr="0073179E">
        <w:rPr>
          <w:rFonts w:asciiTheme="majorHAnsi" w:hAnsiTheme="majorHAnsi"/>
          <w:sz w:val="16"/>
          <w:szCs w:val="16"/>
          <w:lang w:val="es-US"/>
        </w:rPr>
        <w:t xml:space="preserve"> </w:t>
      </w:r>
      <w:r w:rsidRPr="002A045E">
        <w:rPr>
          <w:rFonts w:asciiTheme="majorHAnsi" w:eastAsia="Calibri" w:hAnsiTheme="majorHAnsi" w:cs="Calibri"/>
          <w:color w:val="000000"/>
          <w:sz w:val="16"/>
          <w:szCs w:val="16"/>
          <w:u w:color="000000"/>
          <w:bdr w:val="nil"/>
          <w:lang w:val="es-ES_tradnl" w:eastAsia="es-ES"/>
        </w:rPr>
        <w:t xml:space="preserve">Corte IDH. Caso Espinoza Gonzáles Vs. Perú. Excepciones Preliminares, Fondo, Reparaciones y Costas. Sentencia de 20 de noviembre de 2014. Serie C No. 289, </w:t>
      </w:r>
      <w:r w:rsidRPr="0073179E">
        <w:rPr>
          <w:rFonts w:asciiTheme="majorHAnsi" w:hAnsiTheme="majorHAnsi"/>
          <w:sz w:val="16"/>
          <w:szCs w:val="16"/>
          <w:lang w:val="es-ES"/>
        </w:rPr>
        <w:t xml:space="preserve">párr. </w:t>
      </w:r>
      <w:r w:rsidRPr="0073179E">
        <w:rPr>
          <w:rFonts w:asciiTheme="majorHAnsi" w:hAnsiTheme="majorHAnsi"/>
          <w:sz w:val="16"/>
          <w:szCs w:val="16"/>
          <w:lang w:val="pt-BR"/>
        </w:rPr>
        <w:t>177.</w:t>
      </w:r>
      <w:r w:rsidRPr="0073179E">
        <w:rPr>
          <w:rFonts w:asciiTheme="majorHAnsi" w:hAnsiTheme="majorHAnsi"/>
          <w:sz w:val="16"/>
          <w:szCs w:val="16"/>
          <w:lang w:val="pt-BR"/>
        </w:rPr>
        <w:tab/>
      </w:r>
    </w:p>
  </w:footnote>
  <w:footnote w:id="94">
    <w:p w14:paraId="1F43A9F7" w14:textId="77777777" w:rsidR="00CC4917" w:rsidRPr="0073179E" w:rsidRDefault="00CC4917" w:rsidP="0073179E">
      <w:pPr>
        <w:pStyle w:val="FootnoteText"/>
        <w:tabs>
          <w:tab w:val="left" w:pos="630"/>
        </w:tabs>
        <w:rPr>
          <w:bCs/>
          <w:lang w:val="es-US"/>
        </w:rPr>
      </w:pPr>
      <w:r w:rsidRPr="0073179E">
        <w:rPr>
          <w:rStyle w:val="FootnoteReference"/>
        </w:rPr>
        <w:footnoteRef/>
      </w:r>
      <w:r w:rsidRPr="0073179E">
        <w:rPr>
          <w:lang w:val="pt-BR"/>
        </w:rPr>
        <w:t xml:space="preserve"> </w:t>
      </w:r>
      <w:r w:rsidRPr="0073179E">
        <w:rPr>
          <w:bCs/>
          <w:lang w:val="pt-BR"/>
        </w:rPr>
        <w:t xml:space="preserve">Corte IDH. Caso Gutiérrez Soler Vs. </w:t>
      </w:r>
      <w:r w:rsidRPr="0073179E">
        <w:rPr>
          <w:bCs/>
          <w:lang w:val="es-US"/>
        </w:rPr>
        <w:t>Colombia. Sentencia de 12 de septiembre de 2005. Serie C No. 132, párr. 54; Sentencia Ticona Estrada, párr 94; Sentencia Mendoza, párr. 234.</w:t>
      </w:r>
    </w:p>
  </w:footnote>
  <w:footnote w:id="95">
    <w:p w14:paraId="01DC2AE5" w14:textId="77777777" w:rsidR="00CC4917" w:rsidRPr="0073179E" w:rsidRDefault="00CC4917" w:rsidP="0073179E">
      <w:pPr>
        <w:pStyle w:val="FootnoteText"/>
        <w:tabs>
          <w:tab w:val="left" w:pos="630"/>
        </w:tabs>
        <w:rPr>
          <w:lang w:val="es-US"/>
        </w:rPr>
      </w:pPr>
      <w:r w:rsidRPr="0073179E">
        <w:rPr>
          <w:rStyle w:val="FootnoteReference"/>
          <w:color w:val="000000" w:themeColor="text1"/>
        </w:rPr>
        <w:footnoteRef/>
      </w:r>
      <w:r w:rsidRPr="0073179E">
        <w:rPr>
          <w:color w:val="000000" w:themeColor="text1"/>
          <w:lang w:val="es-ES"/>
        </w:rPr>
        <w:t xml:space="preserve"> Corte IDH. Caso Rodríguez Vera y otros (Desaparecidos del Palacio de Justicia) Vs. Colombia. Excepciones Preliminares, Fondo, Reparaciones y Costas. Sentencia de 14 de noviembre de 2014. </w:t>
      </w:r>
      <w:r w:rsidRPr="0073179E">
        <w:rPr>
          <w:color w:val="000000" w:themeColor="text1"/>
          <w:lang w:val="es-US"/>
        </w:rPr>
        <w:t>Serie C No. 287, párr. 476.</w:t>
      </w:r>
    </w:p>
  </w:footnote>
  <w:footnote w:id="96">
    <w:p w14:paraId="76665593"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Ver por ejemplo, Declaraciones de Juan Escurra Monzón, Prospero Arevalos López, Higinio Pérez Benitez, Emilio López, Rafael Sosa, Lorenzo Genes.</w:t>
      </w:r>
    </w:p>
  </w:footnote>
  <w:footnote w:id="97">
    <w:p w14:paraId="4EEDE60F"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Declaraciones de Diosnel Ferreira</w:t>
      </w:r>
      <w:r>
        <w:rPr>
          <w:lang w:val="es-ES"/>
        </w:rPr>
        <w:t>.</w:t>
      </w:r>
    </w:p>
  </w:footnote>
  <w:footnote w:id="98">
    <w:p w14:paraId="179FAF62"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Escrito de observaciones del Estado de fecha 11 de septiembre de 2008, página 2.</w:t>
      </w:r>
    </w:p>
  </w:footnote>
  <w:footnote w:id="99">
    <w:p w14:paraId="64180596" w14:textId="77777777" w:rsidR="00CC4917" w:rsidRPr="0073179E" w:rsidRDefault="00CC4917" w:rsidP="0073179E">
      <w:pPr>
        <w:pStyle w:val="FootnoteText"/>
        <w:tabs>
          <w:tab w:val="left" w:pos="630"/>
        </w:tabs>
        <w:rPr>
          <w:color w:val="auto"/>
          <w:lang w:val="es-ES_tradnl"/>
        </w:rPr>
      </w:pPr>
      <w:r w:rsidRPr="0073179E">
        <w:rPr>
          <w:rStyle w:val="FootnoteReference"/>
          <w:color w:val="auto"/>
        </w:rPr>
        <w:footnoteRef/>
      </w:r>
      <w:r w:rsidRPr="0073179E">
        <w:rPr>
          <w:color w:val="auto"/>
          <w:lang w:val="pt-BR"/>
        </w:rPr>
        <w:t xml:space="preserve"> Corte IDH, Caso Kawas Fernández Vs. </w:t>
      </w:r>
      <w:r w:rsidRPr="0073179E">
        <w:rPr>
          <w:color w:val="auto"/>
          <w:lang w:val="es-ES_tradnl"/>
        </w:rPr>
        <w:t>Honduras. Fondo, Reparaciones y Costas. Sentencia de 3 de abril de 2009 Serie C No. 196, párr. 97.</w:t>
      </w:r>
    </w:p>
  </w:footnote>
  <w:footnote w:id="100">
    <w:p w14:paraId="089B342C" w14:textId="77777777" w:rsidR="00CC4917" w:rsidRPr="0073179E" w:rsidRDefault="00CC4917" w:rsidP="0073179E">
      <w:pPr>
        <w:pStyle w:val="FootnoteText"/>
        <w:tabs>
          <w:tab w:val="left" w:pos="630"/>
        </w:tabs>
        <w:rPr>
          <w:color w:val="auto"/>
          <w:lang w:val="es-ES"/>
        </w:rPr>
      </w:pPr>
      <w:r w:rsidRPr="0073179E">
        <w:rPr>
          <w:rStyle w:val="FootnoteReference"/>
          <w:color w:val="auto"/>
        </w:rPr>
        <w:footnoteRef/>
      </w:r>
      <w:r w:rsidRPr="0073179E">
        <w:rPr>
          <w:color w:val="auto"/>
          <w:lang w:val="es-US"/>
        </w:rPr>
        <w:t xml:space="preserve"> Corte IDH, </w:t>
      </w:r>
      <w:hyperlink r:id="rId4" w:history="1">
        <w:r w:rsidRPr="0073179E">
          <w:rPr>
            <w:rStyle w:val="Hyperlink"/>
            <w:color w:val="auto"/>
            <w:u w:val="none"/>
            <w:shd w:val="clear" w:color="auto" w:fill="FFFFFF"/>
            <w:lang w:val="es-US"/>
          </w:rPr>
          <w:t xml:space="preserve">Caso J. Vs. </w:t>
        </w:r>
        <w:r w:rsidRPr="0073179E">
          <w:rPr>
            <w:rStyle w:val="Hyperlink"/>
            <w:color w:val="auto"/>
            <w:u w:val="none"/>
            <w:shd w:val="clear" w:color="auto" w:fill="FFFFFF"/>
            <w:lang w:val="es-CO"/>
          </w:rPr>
          <w:t>Perú. Excepción Preliminar, Fondo, Reparaciones y Costas. Sentencia de 27 de noviembre de 2013. Serie C No. 275</w:t>
        </w:r>
      </w:hyperlink>
      <w:r w:rsidRPr="0073179E">
        <w:rPr>
          <w:color w:val="auto"/>
          <w:lang w:val="es-CO"/>
        </w:rPr>
        <w:t xml:space="preserve">, párr. </w:t>
      </w:r>
      <w:r w:rsidRPr="0073179E">
        <w:rPr>
          <w:color w:val="auto"/>
          <w:lang w:val="es-ES"/>
        </w:rPr>
        <w:t>353.</w:t>
      </w:r>
    </w:p>
  </w:footnote>
  <w:footnote w:id="101">
    <w:p w14:paraId="452D25F2" w14:textId="77777777" w:rsidR="00CC4917" w:rsidRPr="0073179E" w:rsidRDefault="00CC4917" w:rsidP="0073179E">
      <w:pPr>
        <w:pStyle w:val="FootnoteText"/>
        <w:tabs>
          <w:tab w:val="left" w:pos="630"/>
        </w:tabs>
        <w:rPr>
          <w:color w:val="auto"/>
          <w:lang w:val="es-ES"/>
        </w:rPr>
      </w:pPr>
      <w:r w:rsidRPr="0073179E">
        <w:rPr>
          <w:rStyle w:val="FootnoteReference"/>
          <w:color w:val="auto"/>
        </w:rPr>
        <w:footnoteRef/>
      </w:r>
      <w:r w:rsidRPr="0073179E">
        <w:rPr>
          <w:color w:val="auto"/>
          <w:lang w:val="es-US"/>
        </w:rPr>
        <w:t xml:space="preserve"> Corte IDH, </w:t>
      </w:r>
      <w:hyperlink r:id="rId5" w:history="1">
        <w:r w:rsidRPr="0073179E">
          <w:rPr>
            <w:rStyle w:val="Hyperlink"/>
            <w:color w:val="auto"/>
            <w:u w:val="none"/>
            <w:shd w:val="clear" w:color="auto" w:fill="FFFFFF"/>
            <w:lang w:val="es-US"/>
          </w:rPr>
          <w:t xml:space="preserve">Caso J. Vs. </w:t>
        </w:r>
        <w:r w:rsidRPr="0073179E">
          <w:rPr>
            <w:rStyle w:val="Hyperlink"/>
            <w:color w:val="auto"/>
            <w:u w:val="none"/>
            <w:shd w:val="clear" w:color="auto" w:fill="FFFFFF"/>
            <w:lang w:val="es-ES"/>
          </w:rPr>
          <w:t>Perú. Excepción Preliminar, Fondo, Reparaciones y Costas. Sentencia de 27 de noviembre de 2013. Serie C No. 275</w:t>
        </w:r>
      </w:hyperlink>
      <w:r w:rsidRPr="0073179E">
        <w:rPr>
          <w:color w:val="auto"/>
          <w:lang w:val="es-ES"/>
        </w:rPr>
        <w:t>, párr. 354.</w:t>
      </w:r>
    </w:p>
  </w:footnote>
  <w:footnote w:id="102">
    <w:p w14:paraId="701583F6"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color w:val="auto"/>
          <w:lang w:val="es-ES"/>
        </w:rPr>
        <w:t xml:space="preserve">Corte IDH. </w:t>
      </w:r>
      <w:r w:rsidRPr="0073179E">
        <w:rPr>
          <w:lang w:val="es-ES"/>
        </w:rPr>
        <w:t>Caso Omar Humberto Maldonado Vargas y otros Vs. Chile. Fondo, Reparaciones y Costas. Sentencia de 2 de septiembre de 2015, párr. 75.</w:t>
      </w:r>
    </w:p>
  </w:footnote>
  <w:footnote w:id="103">
    <w:p w14:paraId="04746669"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eastAsia="Calibri" w:hAnsiTheme="majorHAnsi" w:cs="Calibri"/>
          <w:sz w:val="16"/>
          <w:szCs w:val="16"/>
          <w:u w:color="000000"/>
          <w:bdr w:val="nil"/>
          <w:lang w:val="es-US" w:eastAsia="es-ES"/>
        </w:rPr>
        <w:t xml:space="preserve"> Corte IDH. Caso Gutiérrez Soler Vs. </w:t>
      </w:r>
      <w:r w:rsidRPr="0073179E">
        <w:rPr>
          <w:rFonts w:asciiTheme="majorHAnsi" w:eastAsia="Calibri" w:hAnsiTheme="majorHAnsi" w:cs="Calibri"/>
          <w:sz w:val="16"/>
          <w:szCs w:val="16"/>
          <w:u w:color="000000"/>
          <w:bdr w:val="nil"/>
          <w:lang w:val="es-ES" w:eastAsia="es-ES"/>
        </w:rPr>
        <w:t>Colombia. Sentencia de 12 de septiembre de 2005. Serie C No. 132, párr. 54.</w:t>
      </w:r>
    </w:p>
  </w:footnote>
  <w:footnote w:id="104">
    <w:p w14:paraId="00898F4F"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eastAsia="Calibri" w:hAnsiTheme="majorHAnsi" w:cs="Calibri"/>
          <w:sz w:val="16"/>
          <w:szCs w:val="16"/>
          <w:u w:color="000000"/>
          <w:bdr w:val="nil"/>
          <w:lang w:val="es-ES" w:eastAsia="es-ES"/>
        </w:rPr>
        <w:t xml:space="preserve">Corte IDH. </w:t>
      </w:r>
      <w:r w:rsidRPr="0073179E">
        <w:rPr>
          <w:rFonts w:asciiTheme="majorHAnsi" w:eastAsia="Calibri" w:hAnsiTheme="majorHAnsi" w:cs="Calibri"/>
          <w:color w:val="000000"/>
          <w:sz w:val="16"/>
          <w:szCs w:val="16"/>
          <w:u w:color="000000"/>
          <w:bdr w:val="nil"/>
          <w:lang w:val="es-ES" w:eastAsia="es-ES"/>
        </w:rPr>
        <w:t>Caso Omar Humberto Maldonado Vargas y otros Vs. Chile. Fondo, Reparaciones y Costas. Sentencia de 2 de septiembre de 2015, párr. 76.</w:t>
      </w:r>
    </w:p>
  </w:footnote>
  <w:footnote w:id="105">
    <w:p w14:paraId="384B6FEA"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eastAsia="Calibri" w:hAnsiTheme="majorHAnsi" w:cs="Calibri"/>
          <w:sz w:val="16"/>
          <w:szCs w:val="16"/>
          <w:u w:color="000000"/>
          <w:bdr w:val="nil"/>
          <w:lang w:val="es-ES" w:eastAsia="es-ES"/>
        </w:rPr>
        <w:t>Corte IDH. Caso Ruiz Fuentes y otra Vs. Guatemala. Excepción Preliminar, Fondo, Reparaciones y Costas. Sentencia de 10 de octubre de 2019. Serie C No. 385, párr. 173.</w:t>
      </w:r>
    </w:p>
  </w:footnote>
  <w:footnote w:id="106">
    <w:p w14:paraId="41112FE9" w14:textId="77777777" w:rsidR="00CC4917" w:rsidRPr="0073179E" w:rsidRDefault="00CC4917" w:rsidP="0073179E">
      <w:pPr>
        <w:tabs>
          <w:tab w:val="left" w:pos="630"/>
        </w:tabs>
        <w:jc w:val="both"/>
        <w:rPr>
          <w:rFonts w:asciiTheme="majorHAnsi" w:hAnsiTheme="majorHAnsi"/>
          <w:sz w:val="16"/>
          <w:szCs w:val="16"/>
          <w:lang w:val="es-ES"/>
        </w:rPr>
      </w:pPr>
      <w:r w:rsidRPr="0073179E">
        <w:rPr>
          <w:rStyle w:val="FootnoteReference"/>
          <w:rFonts w:asciiTheme="majorHAnsi" w:hAnsiTheme="majorHAnsi"/>
          <w:sz w:val="16"/>
          <w:szCs w:val="16"/>
        </w:rPr>
        <w:footnoteRef/>
      </w:r>
      <w:r w:rsidRPr="0073179E">
        <w:rPr>
          <w:rFonts w:asciiTheme="majorHAnsi" w:hAnsiTheme="majorHAnsi"/>
          <w:sz w:val="16"/>
          <w:szCs w:val="16"/>
          <w:lang w:val="es-ES"/>
        </w:rPr>
        <w:t xml:space="preserve"> </w:t>
      </w:r>
      <w:r w:rsidRPr="0073179E">
        <w:rPr>
          <w:rFonts w:asciiTheme="majorHAnsi" w:eastAsia="Calibri" w:hAnsiTheme="majorHAnsi" w:cs="Calibri"/>
          <w:sz w:val="16"/>
          <w:szCs w:val="16"/>
          <w:u w:color="000000"/>
          <w:bdr w:val="nil"/>
          <w:lang w:val="es-ES" w:eastAsia="es-ES"/>
        </w:rPr>
        <w:t>Caso Vélez Loor Vs. Panamá. Excepciones Preliminares, Fondo, Reparaciones y Costas. Sentencia de 23 de noviembre de 2010, párr. 240.</w:t>
      </w:r>
    </w:p>
  </w:footnote>
  <w:footnote w:id="107">
    <w:p w14:paraId="4B67E306"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color w:val="auto"/>
          <w:lang w:val="es-ES"/>
        </w:rPr>
        <w:t>Corte IDH. Caso Gutiérrez Soler Vs. Colombia. Sentencia de 12 de septiembre de 2005. Serie C No. 132,</w:t>
      </w:r>
      <w:r w:rsidRPr="0073179E">
        <w:rPr>
          <w:lang w:val="es-ES"/>
        </w:rPr>
        <w:t xml:space="preserve"> párr. 100.</w:t>
      </w:r>
    </w:p>
  </w:footnote>
  <w:footnote w:id="108">
    <w:p w14:paraId="6B7D2DCD" w14:textId="77777777" w:rsidR="00CC4917" w:rsidRPr="0073179E" w:rsidRDefault="00CC4917" w:rsidP="0073179E">
      <w:pPr>
        <w:pStyle w:val="FootnoteText"/>
        <w:tabs>
          <w:tab w:val="left" w:pos="630"/>
        </w:tabs>
        <w:rPr>
          <w:lang w:val="es-US"/>
        </w:rPr>
      </w:pPr>
      <w:r w:rsidRPr="0073179E">
        <w:rPr>
          <w:rStyle w:val="FootnoteReference"/>
          <w:color w:val="auto"/>
          <w:lang w:val="es-ES"/>
        </w:rPr>
        <w:footnoteRef/>
      </w:r>
      <w:r w:rsidRPr="0073179E">
        <w:rPr>
          <w:color w:val="auto"/>
          <w:lang w:val="es-ES"/>
        </w:rPr>
        <w:t xml:space="preserve"> Véase: Manual para la investigación y documentación eficaces de la tortura y otros tratos o penas crueles, inhumanos o degradantes "Protocolo de Estambul". Oficina del Alto Comisionado de las Naciones Unidas para los Derechos Humanos, Naciones Unidas, Nueva York y Ginebra, 2001. </w:t>
      </w:r>
    </w:p>
  </w:footnote>
  <w:footnote w:id="109">
    <w:p w14:paraId="3C52FC65" w14:textId="77777777" w:rsidR="00CC4917" w:rsidRPr="0073179E" w:rsidRDefault="00CC4917" w:rsidP="0073179E">
      <w:pPr>
        <w:pStyle w:val="FootnoteText"/>
        <w:pBdr>
          <w:top w:val="none" w:sz="0" w:space="0" w:color="auto"/>
          <w:left w:val="none" w:sz="0" w:space="0" w:color="auto"/>
          <w:bottom w:val="none" w:sz="0" w:space="0" w:color="auto"/>
          <w:right w:val="none" w:sz="0" w:space="0" w:color="auto"/>
          <w:bar w:val="none" w:sz="0" w:color="auto"/>
        </w:pBdr>
        <w:tabs>
          <w:tab w:val="left" w:pos="630"/>
        </w:tabs>
        <w:rPr>
          <w:lang w:val="es-MX"/>
        </w:rPr>
      </w:pPr>
      <w:r w:rsidRPr="0073179E">
        <w:rPr>
          <w:rStyle w:val="FootnoteReference"/>
          <w:color w:val="auto"/>
        </w:rPr>
        <w:footnoteRef/>
      </w:r>
      <w:r w:rsidRPr="0073179E">
        <w:rPr>
          <w:color w:val="auto"/>
          <w:lang w:val="pt-BR"/>
        </w:rPr>
        <w:t xml:space="preserve"> Corte IDH. Caso Bayarri vs. Argentina. </w:t>
      </w:r>
      <w:r w:rsidRPr="0073179E">
        <w:rPr>
          <w:color w:val="auto"/>
          <w:lang w:val="es-MX"/>
        </w:rPr>
        <w:t xml:space="preserve">Sentencia de 30 de octubre de 2008. Serie C No, 187, párr. 107; Caso Baldeón García Vs. Perú. Fondo, Reparaciones y Costas. Sentencia de 6 de abril de 2006. Serie C No. 147, párr. 150; </w:t>
      </w:r>
      <w:r w:rsidRPr="0073179E">
        <w:rPr>
          <w:color w:val="auto"/>
          <w:lang w:val="es-ES_tradnl"/>
        </w:rPr>
        <w:t xml:space="preserve">y Caso Genie Lacayo vs. Nicaragua, Sentencia del 29 de enero de 1997, párr. 77.  </w:t>
      </w:r>
    </w:p>
  </w:footnote>
  <w:footnote w:id="110">
    <w:p w14:paraId="56A99052" w14:textId="77777777" w:rsidR="00CC4917" w:rsidRPr="0073179E" w:rsidRDefault="00CC4917" w:rsidP="0073179E">
      <w:pPr>
        <w:pStyle w:val="FootnoteText"/>
        <w:pBdr>
          <w:top w:val="none" w:sz="0" w:space="0" w:color="auto"/>
          <w:left w:val="none" w:sz="0" w:space="0" w:color="auto"/>
          <w:bottom w:val="none" w:sz="0" w:space="0" w:color="auto"/>
          <w:right w:val="none" w:sz="0" w:space="0" w:color="auto"/>
          <w:bar w:val="none" w:sz="0" w:color="auto"/>
        </w:pBdr>
        <w:tabs>
          <w:tab w:val="left" w:pos="630"/>
        </w:tabs>
        <w:rPr>
          <w:lang w:val="es-CR"/>
        </w:rPr>
      </w:pPr>
      <w:r w:rsidRPr="0073179E">
        <w:rPr>
          <w:rStyle w:val="FootnoteReference"/>
          <w:color w:val="auto"/>
          <w:lang w:val="es-CR"/>
        </w:rPr>
        <w:footnoteRef/>
      </w:r>
      <w:r w:rsidRPr="0073179E">
        <w:rPr>
          <w:color w:val="auto"/>
          <w:lang w:val="es-CR"/>
        </w:rPr>
        <w:t xml:space="preserve"> Corte IDH. Caso Valle Jaramillo Vs. Colombia. Fondo, Reparaciones y Costas. Sentencia de 27 de noviembre de 2008. Serie C No. 192, párr. 155.</w:t>
      </w:r>
    </w:p>
  </w:footnote>
  <w:footnote w:id="111">
    <w:p w14:paraId="42128DA1" w14:textId="77777777" w:rsidR="00CC4917" w:rsidRPr="0073179E" w:rsidRDefault="00CC4917" w:rsidP="0073179E">
      <w:pPr>
        <w:pStyle w:val="FootnoteText"/>
        <w:tabs>
          <w:tab w:val="left" w:pos="630"/>
        </w:tabs>
        <w:rPr>
          <w:lang w:val="es-ES"/>
        </w:rPr>
      </w:pPr>
      <w:r w:rsidRPr="0073179E">
        <w:rPr>
          <w:rStyle w:val="FootnoteReference"/>
        </w:rPr>
        <w:footnoteRef/>
      </w:r>
      <w:r w:rsidRPr="0073179E">
        <w:rPr>
          <w:lang w:val="es-ES"/>
        </w:rPr>
        <w:t xml:space="preserve"> </w:t>
      </w:r>
      <w:r w:rsidRPr="0073179E">
        <w:rPr>
          <w:lang w:val="es-PE"/>
        </w:rPr>
        <w:t xml:space="preserve">Anexo </w:t>
      </w:r>
      <w:r>
        <w:rPr>
          <w:lang w:val="es-PE"/>
        </w:rPr>
        <w:t>7</w:t>
      </w:r>
      <w:r w:rsidRPr="0073179E">
        <w:rPr>
          <w:lang w:val="es-PE"/>
        </w:rPr>
        <w:t>. Acuerdo y Sentencia No. 195 de 5 de mayo de 2008. Anexo adjunto a Comunicación del Estado de fecha 27 de agosto de 2008.</w:t>
      </w:r>
    </w:p>
  </w:footnote>
  <w:footnote w:id="112">
    <w:p w14:paraId="5CD02C48" w14:textId="77777777" w:rsidR="00CC4917" w:rsidRPr="0073179E" w:rsidRDefault="00CC4917" w:rsidP="0073179E">
      <w:pPr>
        <w:pStyle w:val="FootnoteText"/>
        <w:tabs>
          <w:tab w:val="left" w:pos="630"/>
        </w:tabs>
        <w:rPr>
          <w:lang w:val="es-ES"/>
        </w:rPr>
      </w:pPr>
      <w:r w:rsidRPr="0073179E">
        <w:rPr>
          <w:rStyle w:val="FootnoteReference"/>
          <w:color w:val="auto"/>
        </w:rPr>
        <w:footnoteRef/>
      </w:r>
      <w:r w:rsidRPr="0073179E">
        <w:rPr>
          <w:color w:val="auto"/>
          <w:lang w:val="pt-BR"/>
        </w:rPr>
        <w:t xml:space="preserve"> Corte IDH. Caso Tibi Vs. </w:t>
      </w:r>
      <w:r w:rsidRPr="0073179E">
        <w:rPr>
          <w:color w:val="auto"/>
          <w:lang w:val="es-ES"/>
        </w:rPr>
        <w:t>Ecuador. Excepciones Preliminares, Fondo, Reparaciones y Costas. Sentencia de 7 de septiembre de 2004. Serie C No. 114, párr.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49DC" w14:textId="77777777" w:rsidR="00CC4917" w:rsidRDefault="00CC4917" w:rsidP="00B56B1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F7B7D34" w14:textId="77777777" w:rsidR="00CC4917" w:rsidRDefault="00CC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D4E4" w14:textId="77777777" w:rsidR="00CC4917" w:rsidRDefault="00CC4917" w:rsidP="00A50FCF">
    <w:pPr>
      <w:pStyle w:val="Header"/>
      <w:tabs>
        <w:tab w:val="clear" w:pos="4320"/>
        <w:tab w:val="clear" w:pos="8640"/>
      </w:tabs>
      <w:jc w:val="center"/>
      <w:rPr>
        <w:sz w:val="22"/>
        <w:szCs w:val="22"/>
      </w:rPr>
    </w:pPr>
    <w:r>
      <w:rPr>
        <w:noProof/>
        <w:sz w:val="22"/>
        <w:szCs w:val="22"/>
      </w:rPr>
      <w:drawing>
        <wp:inline distT="0" distB="0" distL="0" distR="0" wp14:anchorId="4F0B48DC" wp14:editId="7EF7030C">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03FD6E" w14:textId="77777777" w:rsidR="00CC4917" w:rsidRPr="00EC7D62" w:rsidRDefault="00DA468D" w:rsidP="00A50FCF">
    <w:pPr>
      <w:pStyle w:val="Header"/>
      <w:tabs>
        <w:tab w:val="clear" w:pos="4320"/>
        <w:tab w:val="clear" w:pos="8640"/>
      </w:tabs>
      <w:jc w:val="center"/>
      <w:rPr>
        <w:sz w:val="22"/>
        <w:szCs w:val="22"/>
      </w:rPr>
    </w:pPr>
    <w:r>
      <w:rPr>
        <w:noProof/>
        <w:sz w:val="22"/>
        <w:szCs w:val="22"/>
        <w:bdr w:val="nil"/>
      </w:rPr>
      <w:pict w14:anchorId="653CEF7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84"/>
    <w:multiLevelType w:val="hybridMultilevel"/>
    <w:tmpl w:val="64325DC0"/>
    <w:lvl w:ilvl="0" w:tplc="B8624038">
      <w:start w:val="2"/>
      <w:numFmt w:val="upperRoman"/>
      <w:lvlText w:val="%1."/>
      <w:lvlJc w:val="left"/>
      <w:pPr>
        <w:tabs>
          <w:tab w:val="num" w:pos="1440"/>
        </w:tabs>
        <w:ind w:left="1440" w:hanging="720"/>
      </w:pPr>
      <w:rPr>
        <w:rFonts w:cs="Times New Roman" w:hint="default"/>
      </w:rPr>
    </w:lvl>
    <w:lvl w:ilvl="1" w:tplc="F8EE8686">
      <w:start w:val="1"/>
      <w:numFmt w:val="decimal"/>
      <w:pStyle w:val="estilo3"/>
      <w:lvlText w:val="%2."/>
      <w:lvlJc w:val="left"/>
      <w:pPr>
        <w:tabs>
          <w:tab w:val="num" w:pos="1170"/>
        </w:tabs>
        <w:ind w:left="117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23C6253"/>
    <w:multiLevelType w:val="hybridMultilevel"/>
    <w:tmpl w:val="0020313E"/>
    <w:lvl w:ilvl="0" w:tplc="DD2A45D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446790"/>
    <w:multiLevelType w:val="hybridMultilevel"/>
    <w:tmpl w:val="EDE8738E"/>
    <w:lvl w:ilvl="0" w:tplc="0409000F">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97BBF"/>
    <w:multiLevelType w:val="hybridMultilevel"/>
    <w:tmpl w:val="BA42F1F4"/>
    <w:lvl w:ilvl="0" w:tplc="02689056">
      <w:start w:val="136"/>
      <w:numFmt w:val="bullet"/>
      <w:lvlText w:val="-"/>
      <w:lvlJc w:val="left"/>
      <w:pPr>
        <w:ind w:left="720" w:hanging="360"/>
      </w:pPr>
      <w:rPr>
        <w:rFonts w:ascii="Cambria" w:eastAsia="Cambria" w:hAnsi="Cambria" w:cs="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735461"/>
    <w:multiLevelType w:val="hybridMultilevel"/>
    <w:tmpl w:val="07744E98"/>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B78CEA1C">
      <w:start w:val="1"/>
      <w:numFmt w:val="decimal"/>
      <w:lvlText w:val="%3."/>
      <w:lvlJc w:val="left"/>
      <w:pPr>
        <w:tabs>
          <w:tab w:val="num" w:pos="2160"/>
        </w:tabs>
        <w:ind w:left="2160" w:hanging="360"/>
      </w:pPr>
      <w:rPr>
        <w:rFonts w:ascii="Cambria" w:eastAsia="Batang" w:hAnsi="Cambria" w:cs="Times New Roman"/>
        <w:lang w:val="es-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2A0BA1"/>
    <w:multiLevelType w:val="hybridMultilevel"/>
    <w:tmpl w:val="F9166B04"/>
    <w:lvl w:ilvl="0" w:tplc="1070D5E6">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D7D4B9D"/>
    <w:multiLevelType w:val="hybridMultilevel"/>
    <w:tmpl w:val="C90C648E"/>
    <w:lvl w:ilvl="0" w:tplc="0C905C5C">
      <w:start w:val="1"/>
      <w:numFmt w:val="decimal"/>
      <w:pStyle w:val="parrafos"/>
      <w:lvlText w:val="%1."/>
      <w:lvlJc w:val="left"/>
      <w:pPr>
        <w:ind w:left="360" w:hanging="360"/>
      </w:pPr>
      <w:rPr>
        <w:rFonts w:ascii="Cambria" w:hAnsi="Cambria" w:hint="default"/>
        <w:b w:val="0"/>
        <w:sz w:val="20"/>
        <w:szCs w:val="20"/>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019715A"/>
    <w:multiLevelType w:val="hybridMultilevel"/>
    <w:tmpl w:val="023E4010"/>
    <w:lvl w:ilvl="0" w:tplc="0409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0561B8E"/>
    <w:multiLevelType w:val="hybridMultilevel"/>
    <w:tmpl w:val="7C44C386"/>
    <w:lvl w:ilvl="0" w:tplc="71B23924">
      <w:start w:val="1"/>
      <w:numFmt w:val="decimal"/>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rPr>
    </w:lvl>
    <w:lvl w:ilvl="3" w:tplc="71681AC0">
      <w:start w:val="1"/>
      <w:numFmt w:val="upperLetter"/>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4CB1CF3"/>
    <w:multiLevelType w:val="hybridMultilevel"/>
    <w:tmpl w:val="C9BA6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606F17"/>
    <w:multiLevelType w:val="hybridMultilevel"/>
    <w:tmpl w:val="49AA74AC"/>
    <w:lvl w:ilvl="0" w:tplc="8410E20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9"/>
  </w:num>
  <w:num w:numId="4">
    <w:abstractNumId w:val="24"/>
  </w:num>
  <w:num w:numId="5">
    <w:abstractNumId w:val="53"/>
  </w:num>
  <w:num w:numId="6">
    <w:abstractNumId w:val="30"/>
  </w:num>
  <w:num w:numId="7">
    <w:abstractNumId w:val="7"/>
  </w:num>
  <w:num w:numId="8">
    <w:abstractNumId w:val="20"/>
  </w:num>
  <w:num w:numId="9">
    <w:abstractNumId w:val="44"/>
  </w:num>
  <w:num w:numId="10">
    <w:abstractNumId w:val="2"/>
  </w:num>
  <w:num w:numId="11">
    <w:abstractNumId w:val="39"/>
  </w:num>
  <w:num w:numId="12">
    <w:abstractNumId w:val="40"/>
  </w:num>
  <w:num w:numId="13">
    <w:abstractNumId w:val="45"/>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51"/>
  </w:num>
  <w:num w:numId="42">
    <w:abstractNumId w:val="54"/>
  </w:num>
  <w:num w:numId="43">
    <w:abstractNumId w:val="55"/>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3"/>
  </w:num>
  <w:num w:numId="52">
    <w:abstractNumId w:val="43"/>
  </w:num>
  <w:num w:numId="53">
    <w:abstractNumId w:val="46"/>
  </w:num>
  <w:num w:numId="54">
    <w:abstractNumId w:val="28"/>
  </w:num>
  <w:num w:numId="55">
    <w:abstractNumId w:val="48"/>
  </w:num>
  <w:num w:numId="56">
    <w:abstractNumId w:val="49"/>
  </w:num>
  <w:num w:numId="57">
    <w:abstractNumId w:val="47"/>
  </w:num>
  <w:num w:numId="58">
    <w:abstractNumId w:val="0"/>
  </w:num>
  <w:num w:numId="59">
    <w:abstractNumId w:val="57"/>
  </w:num>
  <w:num w:numId="60">
    <w:abstractNumId w:val="17"/>
    <w:lvlOverride w:ilvl="0">
      <w:startOverride w:val="1"/>
    </w:lvlOverride>
    <w:lvlOverride w:ilvl="1">
      <w:startOverride w:val="2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14"/>
  </w:num>
  <w:num w:numId="64">
    <w:abstractNumId w:val="48"/>
  </w:num>
  <w:num w:numId="65">
    <w:abstractNumId w:val="52"/>
  </w:num>
  <w:num w:numId="66">
    <w:abstractNumId w:val="1"/>
  </w:num>
  <w:num w:numId="67">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74"/>
  <w:removePersonalInformation/>
  <w:removeDateAndTime/>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3E1"/>
    <w:rsid w:val="00006896"/>
    <w:rsid w:val="00006E1F"/>
    <w:rsid w:val="000070D7"/>
    <w:rsid w:val="00007A47"/>
    <w:rsid w:val="0001199C"/>
    <w:rsid w:val="00012CCF"/>
    <w:rsid w:val="00014512"/>
    <w:rsid w:val="00014D77"/>
    <w:rsid w:val="00014F0C"/>
    <w:rsid w:val="000158FD"/>
    <w:rsid w:val="00015FC0"/>
    <w:rsid w:val="0001768A"/>
    <w:rsid w:val="0001788C"/>
    <w:rsid w:val="00020499"/>
    <w:rsid w:val="00020C0C"/>
    <w:rsid w:val="000212D9"/>
    <w:rsid w:val="000220D5"/>
    <w:rsid w:val="000276C7"/>
    <w:rsid w:val="00027754"/>
    <w:rsid w:val="00027A6B"/>
    <w:rsid w:val="00031094"/>
    <w:rsid w:val="00032214"/>
    <w:rsid w:val="00040C3A"/>
    <w:rsid w:val="0004229E"/>
    <w:rsid w:val="00044112"/>
    <w:rsid w:val="0004537B"/>
    <w:rsid w:val="000473F0"/>
    <w:rsid w:val="00054BE4"/>
    <w:rsid w:val="0006019E"/>
    <w:rsid w:val="00061D95"/>
    <w:rsid w:val="00064962"/>
    <w:rsid w:val="0006565A"/>
    <w:rsid w:val="000659FD"/>
    <w:rsid w:val="0006702D"/>
    <w:rsid w:val="00067A5D"/>
    <w:rsid w:val="00071276"/>
    <w:rsid w:val="000716C5"/>
    <w:rsid w:val="0007534E"/>
    <w:rsid w:val="00075E23"/>
    <w:rsid w:val="00081F93"/>
    <w:rsid w:val="000822AB"/>
    <w:rsid w:val="000834EA"/>
    <w:rsid w:val="000855F5"/>
    <w:rsid w:val="00086B1F"/>
    <w:rsid w:val="0008768F"/>
    <w:rsid w:val="0009344A"/>
    <w:rsid w:val="000A01FF"/>
    <w:rsid w:val="000A2531"/>
    <w:rsid w:val="000A392E"/>
    <w:rsid w:val="000A39E4"/>
    <w:rsid w:val="000A575F"/>
    <w:rsid w:val="000A576A"/>
    <w:rsid w:val="000A7592"/>
    <w:rsid w:val="000B3EDC"/>
    <w:rsid w:val="000B6E51"/>
    <w:rsid w:val="000B70AB"/>
    <w:rsid w:val="000B7B0B"/>
    <w:rsid w:val="000B7F13"/>
    <w:rsid w:val="000C5651"/>
    <w:rsid w:val="000C59FA"/>
    <w:rsid w:val="000D10DB"/>
    <w:rsid w:val="000D1FC6"/>
    <w:rsid w:val="000D41FF"/>
    <w:rsid w:val="000D49A8"/>
    <w:rsid w:val="000D541B"/>
    <w:rsid w:val="000D5CD6"/>
    <w:rsid w:val="000D6298"/>
    <w:rsid w:val="000E0C8F"/>
    <w:rsid w:val="000E10AE"/>
    <w:rsid w:val="000E3E0D"/>
    <w:rsid w:val="000E4195"/>
    <w:rsid w:val="000E479F"/>
    <w:rsid w:val="000E5EB5"/>
    <w:rsid w:val="000F2367"/>
    <w:rsid w:val="000F3110"/>
    <w:rsid w:val="000F35ED"/>
    <w:rsid w:val="000F5590"/>
    <w:rsid w:val="00101CD9"/>
    <w:rsid w:val="00102CAE"/>
    <w:rsid w:val="00107131"/>
    <w:rsid w:val="0010736F"/>
    <w:rsid w:val="0011392F"/>
    <w:rsid w:val="00113F73"/>
    <w:rsid w:val="00121C72"/>
    <w:rsid w:val="00121CC2"/>
    <w:rsid w:val="001334EC"/>
    <w:rsid w:val="00133EE5"/>
    <w:rsid w:val="00134692"/>
    <w:rsid w:val="00137F3D"/>
    <w:rsid w:val="00144E9E"/>
    <w:rsid w:val="00146179"/>
    <w:rsid w:val="001513D4"/>
    <w:rsid w:val="00153BE9"/>
    <w:rsid w:val="00161D34"/>
    <w:rsid w:val="00164360"/>
    <w:rsid w:val="00166189"/>
    <w:rsid w:val="00167A34"/>
    <w:rsid w:val="00170019"/>
    <w:rsid w:val="0017445A"/>
    <w:rsid w:val="0017579A"/>
    <w:rsid w:val="001811A8"/>
    <w:rsid w:val="00181F34"/>
    <w:rsid w:val="00184E96"/>
    <w:rsid w:val="00185CA9"/>
    <w:rsid w:val="00186C24"/>
    <w:rsid w:val="00195E86"/>
    <w:rsid w:val="00197834"/>
    <w:rsid w:val="001A2C4C"/>
    <w:rsid w:val="001A4CF3"/>
    <w:rsid w:val="001A4D23"/>
    <w:rsid w:val="001A7870"/>
    <w:rsid w:val="001B224D"/>
    <w:rsid w:val="001B25C0"/>
    <w:rsid w:val="001B26F8"/>
    <w:rsid w:val="001B2781"/>
    <w:rsid w:val="001B62CA"/>
    <w:rsid w:val="001B6462"/>
    <w:rsid w:val="001B7245"/>
    <w:rsid w:val="001B74B9"/>
    <w:rsid w:val="001C103F"/>
    <w:rsid w:val="001C1B41"/>
    <w:rsid w:val="001C3A7C"/>
    <w:rsid w:val="001C609D"/>
    <w:rsid w:val="001C660D"/>
    <w:rsid w:val="001D11A5"/>
    <w:rsid w:val="001D18C7"/>
    <w:rsid w:val="001D3CB6"/>
    <w:rsid w:val="001D65EF"/>
    <w:rsid w:val="001D6B58"/>
    <w:rsid w:val="001D742A"/>
    <w:rsid w:val="001D76D5"/>
    <w:rsid w:val="001E0C1F"/>
    <w:rsid w:val="001E15B6"/>
    <w:rsid w:val="001E291B"/>
    <w:rsid w:val="001F09AF"/>
    <w:rsid w:val="001F1CFE"/>
    <w:rsid w:val="001F4353"/>
    <w:rsid w:val="001F555A"/>
    <w:rsid w:val="001F7D4E"/>
    <w:rsid w:val="0020179A"/>
    <w:rsid w:val="00202337"/>
    <w:rsid w:val="00202589"/>
    <w:rsid w:val="00204B61"/>
    <w:rsid w:val="00207883"/>
    <w:rsid w:val="00215FF0"/>
    <w:rsid w:val="0022273F"/>
    <w:rsid w:val="002250A3"/>
    <w:rsid w:val="00233F73"/>
    <w:rsid w:val="00235217"/>
    <w:rsid w:val="00235CA1"/>
    <w:rsid w:val="00236E5C"/>
    <w:rsid w:val="002372BF"/>
    <w:rsid w:val="00241500"/>
    <w:rsid w:val="00242B82"/>
    <w:rsid w:val="00246CFE"/>
    <w:rsid w:val="00246D1F"/>
    <w:rsid w:val="00247403"/>
    <w:rsid w:val="00247542"/>
    <w:rsid w:val="002502CE"/>
    <w:rsid w:val="0025054B"/>
    <w:rsid w:val="00252EF2"/>
    <w:rsid w:val="00253046"/>
    <w:rsid w:val="00253109"/>
    <w:rsid w:val="00253352"/>
    <w:rsid w:val="0026118A"/>
    <w:rsid w:val="00261A07"/>
    <w:rsid w:val="00266B61"/>
    <w:rsid w:val="0026712A"/>
    <w:rsid w:val="002704DB"/>
    <w:rsid w:val="002716A5"/>
    <w:rsid w:val="00273EC6"/>
    <w:rsid w:val="0027584F"/>
    <w:rsid w:val="00275FD1"/>
    <w:rsid w:val="002760C0"/>
    <w:rsid w:val="00276DF8"/>
    <w:rsid w:val="00277EF9"/>
    <w:rsid w:val="00280DC7"/>
    <w:rsid w:val="00282569"/>
    <w:rsid w:val="002827DD"/>
    <w:rsid w:val="002838C2"/>
    <w:rsid w:val="00286087"/>
    <w:rsid w:val="00291AD9"/>
    <w:rsid w:val="002939C6"/>
    <w:rsid w:val="0029695E"/>
    <w:rsid w:val="002970BC"/>
    <w:rsid w:val="002A0272"/>
    <w:rsid w:val="002A045E"/>
    <w:rsid w:val="002A0AAE"/>
    <w:rsid w:val="002A193C"/>
    <w:rsid w:val="002A3B83"/>
    <w:rsid w:val="002A4E61"/>
    <w:rsid w:val="002A51C6"/>
    <w:rsid w:val="002A5820"/>
    <w:rsid w:val="002A7E5F"/>
    <w:rsid w:val="002B03CE"/>
    <w:rsid w:val="002B12AD"/>
    <w:rsid w:val="002B27E4"/>
    <w:rsid w:val="002C19FC"/>
    <w:rsid w:val="002C237B"/>
    <w:rsid w:val="002C6CC5"/>
    <w:rsid w:val="002D19B3"/>
    <w:rsid w:val="002D241D"/>
    <w:rsid w:val="002D2B26"/>
    <w:rsid w:val="002D5742"/>
    <w:rsid w:val="002D5C22"/>
    <w:rsid w:val="002D618B"/>
    <w:rsid w:val="002D7EA2"/>
    <w:rsid w:val="002D7EF4"/>
    <w:rsid w:val="002E007C"/>
    <w:rsid w:val="002E0903"/>
    <w:rsid w:val="002E187C"/>
    <w:rsid w:val="002E3461"/>
    <w:rsid w:val="002E4AEA"/>
    <w:rsid w:val="002F080F"/>
    <w:rsid w:val="002F38CD"/>
    <w:rsid w:val="002F5926"/>
    <w:rsid w:val="002F598D"/>
    <w:rsid w:val="002F5AAD"/>
    <w:rsid w:val="002F7F08"/>
    <w:rsid w:val="00300C64"/>
    <w:rsid w:val="00302733"/>
    <w:rsid w:val="00303D52"/>
    <w:rsid w:val="003071AF"/>
    <w:rsid w:val="00307ABC"/>
    <w:rsid w:val="0031160D"/>
    <w:rsid w:val="00312490"/>
    <w:rsid w:val="00314078"/>
    <w:rsid w:val="00314853"/>
    <w:rsid w:val="0031535D"/>
    <w:rsid w:val="00317EDC"/>
    <w:rsid w:val="00320384"/>
    <w:rsid w:val="003204A0"/>
    <w:rsid w:val="00322289"/>
    <w:rsid w:val="003228EC"/>
    <w:rsid w:val="00322B86"/>
    <w:rsid w:val="00323885"/>
    <w:rsid w:val="003271B7"/>
    <w:rsid w:val="0032742E"/>
    <w:rsid w:val="0033028D"/>
    <w:rsid w:val="0033169F"/>
    <w:rsid w:val="00334085"/>
    <w:rsid w:val="0033577B"/>
    <w:rsid w:val="0033610B"/>
    <w:rsid w:val="003363AB"/>
    <w:rsid w:val="003408AE"/>
    <w:rsid w:val="00340D62"/>
    <w:rsid w:val="00340E48"/>
    <w:rsid w:val="00346C95"/>
    <w:rsid w:val="00347310"/>
    <w:rsid w:val="00350949"/>
    <w:rsid w:val="00352253"/>
    <w:rsid w:val="003550B0"/>
    <w:rsid w:val="00356185"/>
    <w:rsid w:val="00360295"/>
    <w:rsid w:val="00360380"/>
    <w:rsid w:val="00361415"/>
    <w:rsid w:val="003619F9"/>
    <w:rsid w:val="0036232B"/>
    <w:rsid w:val="003631E1"/>
    <w:rsid w:val="00363525"/>
    <w:rsid w:val="00365872"/>
    <w:rsid w:val="0037048F"/>
    <w:rsid w:val="00373430"/>
    <w:rsid w:val="00373F5F"/>
    <w:rsid w:val="0037519E"/>
    <w:rsid w:val="00376438"/>
    <w:rsid w:val="00381824"/>
    <w:rsid w:val="00384B74"/>
    <w:rsid w:val="00386CF0"/>
    <w:rsid w:val="00386FE4"/>
    <w:rsid w:val="0039504B"/>
    <w:rsid w:val="003A52EF"/>
    <w:rsid w:val="003A77FD"/>
    <w:rsid w:val="003A7E52"/>
    <w:rsid w:val="003B1D16"/>
    <w:rsid w:val="003B2575"/>
    <w:rsid w:val="003B44B3"/>
    <w:rsid w:val="003C053F"/>
    <w:rsid w:val="003C676B"/>
    <w:rsid w:val="003C6927"/>
    <w:rsid w:val="003D3BC2"/>
    <w:rsid w:val="003D5280"/>
    <w:rsid w:val="003D5924"/>
    <w:rsid w:val="003D67C7"/>
    <w:rsid w:val="003D7C03"/>
    <w:rsid w:val="003E0479"/>
    <w:rsid w:val="003E2D27"/>
    <w:rsid w:val="003E3AEE"/>
    <w:rsid w:val="003E3C3E"/>
    <w:rsid w:val="003E41A8"/>
    <w:rsid w:val="003E432F"/>
    <w:rsid w:val="003E6CA1"/>
    <w:rsid w:val="003E7DF0"/>
    <w:rsid w:val="003F09E9"/>
    <w:rsid w:val="003F245C"/>
    <w:rsid w:val="003F3C61"/>
    <w:rsid w:val="003F3E96"/>
    <w:rsid w:val="003F7F64"/>
    <w:rsid w:val="00401F4E"/>
    <w:rsid w:val="00403C18"/>
    <w:rsid w:val="00404208"/>
    <w:rsid w:val="00405A1F"/>
    <w:rsid w:val="00405AE2"/>
    <w:rsid w:val="00406F6F"/>
    <w:rsid w:val="004079A3"/>
    <w:rsid w:val="004160E7"/>
    <w:rsid w:val="004165C2"/>
    <w:rsid w:val="00417202"/>
    <w:rsid w:val="00422349"/>
    <w:rsid w:val="0042240E"/>
    <w:rsid w:val="00423103"/>
    <w:rsid w:val="00423B2A"/>
    <w:rsid w:val="00425013"/>
    <w:rsid w:val="00426114"/>
    <w:rsid w:val="00431204"/>
    <w:rsid w:val="0043369D"/>
    <w:rsid w:val="00434DA4"/>
    <w:rsid w:val="00437655"/>
    <w:rsid w:val="0044022D"/>
    <w:rsid w:val="00440325"/>
    <w:rsid w:val="00441ECB"/>
    <w:rsid w:val="00444809"/>
    <w:rsid w:val="004451EF"/>
    <w:rsid w:val="00454FB5"/>
    <w:rsid w:val="00456146"/>
    <w:rsid w:val="00457828"/>
    <w:rsid w:val="00467B7E"/>
    <w:rsid w:val="00471488"/>
    <w:rsid w:val="00474CFA"/>
    <w:rsid w:val="00476BEE"/>
    <w:rsid w:val="00477592"/>
    <w:rsid w:val="00482569"/>
    <w:rsid w:val="00482EC8"/>
    <w:rsid w:val="00483B86"/>
    <w:rsid w:val="00484FDC"/>
    <w:rsid w:val="00485E75"/>
    <w:rsid w:val="00486F1C"/>
    <w:rsid w:val="00490343"/>
    <w:rsid w:val="004906CC"/>
    <w:rsid w:val="0049419D"/>
    <w:rsid w:val="0049576A"/>
    <w:rsid w:val="00495A17"/>
    <w:rsid w:val="00495A53"/>
    <w:rsid w:val="004A38D6"/>
    <w:rsid w:val="004C20D2"/>
    <w:rsid w:val="004C4B62"/>
    <w:rsid w:val="004C54C9"/>
    <w:rsid w:val="004C7436"/>
    <w:rsid w:val="004C790D"/>
    <w:rsid w:val="004D195F"/>
    <w:rsid w:val="004D1B84"/>
    <w:rsid w:val="004D270B"/>
    <w:rsid w:val="004D2720"/>
    <w:rsid w:val="004D5CDE"/>
    <w:rsid w:val="004D6025"/>
    <w:rsid w:val="004D6618"/>
    <w:rsid w:val="004D69E5"/>
    <w:rsid w:val="004E0AC0"/>
    <w:rsid w:val="004E150F"/>
    <w:rsid w:val="004E22A4"/>
    <w:rsid w:val="004E2649"/>
    <w:rsid w:val="004E2AB6"/>
    <w:rsid w:val="004E5D44"/>
    <w:rsid w:val="004E79F2"/>
    <w:rsid w:val="004F47A6"/>
    <w:rsid w:val="004F5DA4"/>
    <w:rsid w:val="004F627D"/>
    <w:rsid w:val="004F710C"/>
    <w:rsid w:val="004F7621"/>
    <w:rsid w:val="005000A5"/>
    <w:rsid w:val="00501399"/>
    <w:rsid w:val="00503D03"/>
    <w:rsid w:val="0050633D"/>
    <w:rsid w:val="00507BC4"/>
    <w:rsid w:val="00507FCD"/>
    <w:rsid w:val="00511007"/>
    <w:rsid w:val="005128E4"/>
    <w:rsid w:val="00512DE0"/>
    <w:rsid w:val="005133DB"/>
    <w:rsid w:val="0051647F"/>
    <w:rsid w:val="005212DD"/>
    <w:rsid w:val="00521FD0"/>
    <w:rsid w:val="00522721"/>
    <w:rsid w:val="005228F4"/>
    <w:rsid w:val="00523963"/>
    <w:rsid w:val="00525560"/>
    <w:rsid w:val="00526998"/>
    <w:rsid w:val="0053053D"/>
    <w:rsid w:val="00534353"/>
    <w:rsid w:val="005354F3"/>
    <w:rsid w:val="00536923"/>
    <w:rsid w:val="00536BB8"/>
    <w:rsid w:val="005371FE"/>
    <w:rsid w:val="0054027E"/>
    <w:rsid w:val="005404BE"/>
    <w:rsid w:val="005430CE"/>
    <w:rsid w:val="005436B7"/>
    <w:rsid w:val="00544887"/>
    <w:rsid w:val="00544C49"/>
    <w:rsid w:val="0054683C"/>
    <w:rsid w:val="005504B4"/>
    <w:rsid w:val="005516A1"/>
    <w:rsid w:val="00552F55"/>
    <w:rsid w:val="00555DC5"/>
    <w:rsid w:val="005572EF"/>
    <w:rsid w:val="00563BAE"/>
    <w:rsid w:val="00564172"/>
    <w:rsid w:val="00565744"/>
    <w:rsid w:val="0057155B"/>
    <w:rsid w:val="0057402A"/>
    <w:rsid w:val="00574BC2"/>
    <w:rsid w:val="005771D0"/>
    <w:rsid w:val="00581CAC"/>
    <w:rsid w:val="0058430D"/>
    <w:rsid w:val="00590EE1"/>
    <w:rsid w:val="0059191A"/>
    <w:rsid w:val="005921FF"/>
    <w:rsid w:val="00592879"/>
    <w:rsid w:val="005937F1"/>
    <w:rsid w:val="00595C1D"/>
    <w:rsid w:val="005A4053"/>
    <w:rsid w:val="005A5C48"/>
    <w:rsid w:val="005A6D0E"/>
    <w:rsid w:val="005A6F29"/>
    <w:rsid w:val="005B2258"/>
    <w:rsid w:val="005B323C"/>
    <w:rsid w:val="005B52B0"/>
    <w:rsid w:val="005B5F38"/>
    <w:rsid w:val="005B6806"/>
    <w:rsid w:val="005C0E7F"/>
    <w:rsid w:val="005C22BA"/>
    <w:rsid w:val="005C2422"/>
    <w:rsid w:val="005C4225"/>
    <w:rsid w:val="005C4AF3"/>
    <w:rsid w:val="005C4CA5"/>
    <w:rsid w:val="005C5A98"/>
    <w:rsid w:val="005C60E0"/>
    <w:rsid w:val="005C6B23"/>
    <w:rsid w:val="005C6E42"/>
    <w:rsid w:val="005D0DB1"/>
    <w:rsid w:val="005D6C00"/>
    <w:rsid w:val="005E007F"/>
    <w:rsid w:val="005E2E83"/>
    <w:rsid w:val="005E72FE"/>
    <w:rsid w:val="005F042D"/>
    <w:rsid w:val="005F0DAD"/>
    <w:rsid w:val="005F0F33"/>
    <w:rsid w:val="005F18DF"/>
    <w:rsid w:val="005F196B"/>
    <w:rsid w:val="005F2D44"/>
    <w:rsid w:val="005F309E"/>
    <w:rsid w:val="005F4CAA"/>
    <w:rsid w:val="00600DEB"/>
    <w:rsid w:val="00604C10"/>
    <w:rsid w:val="006077FC"/>
    <w:rsid w:val="00607D51"/>
    <w:rsid w:val="00612584"/>
    <w:rsid w:val="006125C3"/>
    <w:rsid w:val="00612BD7"/>
    <w:rsid w:val="00613A11"/>
    <w:rsid w:val="006142CB"/>
    <w:rsid w:val="00617B79"/>
    <w:rsid w:val="00621F15"/>
    <w:rsid w:val="006230E4"/>
    <w:rsid w:val="00627C9F"/>
    <w:rsid w:val="006311E9"/>
    <w:rsid w:val="00631DA3"/>
    <w:rsid w:val="00632354"/>
    <w:rsid w:val="00640C93"/>
    <w:rsid w:val="0064159C"/>
    <w:rsid w:val="00642810"/>
    <w:rsid w:val="00645038"/>
    <w:rsid w:val="00645348"/>
    <w:rsid w:val="00647FCE"/>
    <w:rsid w:val="00650896"/>
    <w:rsid w:val="006510DB"/>
    <w:rsid w:val="00652333"/>
    <w:rsid w:val="00655B8E"/>
    <w:rsid w:val="00656843"/>
    <w:rsid w:val="0065716F"/>
    <w:rsid w:val="006617A0"/>
    <w:rsid w:val="00664EF7"/>
    <w:rsid w:val="00666019"/>
    <w:rsid w:val="00671835"/>
    <w:rsid w:val="00674019"/>
    <w:rsid w:val="0068009E"/>
    <w:rsid w:val="00682979"/>
    <w:rsid w:val="006833D8"/>
    <w:rsid w:val="00686581"/>
    <w:rsid w:val="00692219"/>
    <w:rsid w:val="006A17D2"/>
    <w:rsid w:val="006A3683"/>
    <w:rsid w:val="006A43B0"/>
    <w:rsid w:val="006A4B39"/>
    <w:rsid w:val="006A73E6"/>
    <w:rsid w:val="006A763D"/>
    <w:rsid w:val="006B12E5"/>
    <w:rsid w:val="006B2D5C"/>
    <w:rsid w:val="006B4D40"/>
    <w:rsid w:val="006B757C"/>
    <w:rsid w:val="006B78DE"/>
    <w:rsid w:val="006C0605"/>
    <w:rsid w:val="006C1570"/>
    <w:rsid w:val="006C1652"/>
    <w:rsid w:val="006C1A20"/>
    <w:rsid w:val="006C4125"/>
    <w:rsid w:val="006C4EB1"/>
    <w:rsid w:val="006C500E"/>
    <w:rsid w:val="006D521E"/>
    <w:rsid w:val="006D59D9"/>
    <w:rsid w:val="006D6421"/>
    <w:rsid w:val="006E0166"/>
    <w:rsid w:val="006E328B"/>
    <w:rsid w:val="006E7B34"/>
    <w:rsid w:val="006F0114"/>
    <w:rsid w:val="006F1B98"/>
    <w:rsid w:val="006F5E2A"/>
    <w:rsid w:val="006F662D"/>
    <w:rsid w:val="006F674E"/>
    <w:rsid w:val="006F6CEE"/>
    <w:rsid w:val="00701820"/>
    <w:rsid w:val="00702771"/>
    <w:rsid w:val="0070697F"/>
    <w:rsid w:val="00707AE3"/>
    <w:rsid w:val="0071512E"/>
    <w:rsid w:val="0072199C"/>
    <w:rsid w:val="00721D0A"/>
    <w:rsid w:val="00722C9F"/>
    <w:rsid w:val="007247E1"/>
    <w:rsid w:val="007253B8"/>
    <w:rsid w:val="00727475"/>
    <w:rsid w:val="007302E2"/>
    <w:rsid w:val="0073179E"/>
    <w:rsid w:val="0073335F"/>
    <w:rsid w:val="0073631B"/>
    <w:rsid w:val="0073741F"/>
    <w:rsid w:val="007379E3"/>
    <w:rsid w:val="007407AC"/>
    <w:rsid w:val="007413E5"/>
    <w:rsid w:val="00741E0D"/>
    <w:rsid w:val="00745721"/>
    <w:rsid w:val="00746D7E"/>
    <w:rsid w:val="007541E6"/>
    <w:rsid w:val="0076212C"/>
    <w:rsid w:val="007631F0"/>
    <w:rsid w:val="0076552F"/>
    <w:rsid w:val="0076612F"/>
    <w:rsid w:val="0076643F"/>
    <w:rsid w:val="007671A2"/>
    <w:rsid w:val="00767BCA"/>
    <w:rsid w:val="00771BA0"/>
    <w:rsid w:val="00771F0E"/>
    <w:rsid w:val="00777F63"/>
    <w:rsid w:val="0078009A"/>
    <w:rsid w:val="00781626"/>
    <w:rsid w:val="0079230B"/>
    <w:rsid w:val="007926FE"/>
    <w:rsid w:val="00793836"/>
    <w:rsid w:val="00794AA5"/>
    <w:rsid w:val="007A3A5A"/>
    <w:rsid w:val="007A4229"/>
    <w:rsid w:val="007A4E6D"/>
    <w:rsid w:val="007A5817"/>
    <w:rsid w:val="007A5F14"/>
    <w:rsid w:val="007A655D"/>
    <w:rsid w:val="007B3D08"/>
    <w:rsid w:val="007B60E9"/>
    <w:rsid w:val="007B61E0"/>
    <w:rsid w:val="007B6CC3"/>
    <w:rsid w:val="007C3334"/>
    <w:rsid w:val="007C6198"/>
    <w:rsid w:val="007C6234"/>
    <w:rsid w:val="007C756A"/>
    <w:rsid w:val="007D09AE"/>
    <w:rsid w:val="007D2B98"/>
    <w:rsid w:val="007D4021"/>
    <w:rsid w:val="007D563C"/>
    <w:rsid w:val="007E21BC"/>
    <w:rsid w:val="007E4AA8"/>
    <w:rsid w:val="007E55A7"/>
    <w:rsid w:val="007F2BB5"/>
    <w:rsid w:val="007F7E9A"/>
    <w:rsid w:val="00800AAB"/>
    <w:rsid w:val="008038B4"/>
    <w:rsid w:val="00803F1C"/>
    <w:rsid w:val="00804055"/>
    <w:rsid w:val="0080600E"/>
    <w:rsid w:val="008065EC"/>
    <w:rsid w:val="00813005"/>
    <w:rsid w:val="00815021"/>
    <w:rsid w:val="00815FD3"/>
    <w:rsid w:val="00817612"/>
    <w:rsid w:val="008217E6"/>
    <w:rsid w:val="00821B68"/>
    <w:rsid w:val="008243C5"/>
    <w:rsid w:val="008266A7"/>
    <w:rsid w:val="008276D0"/>
    <w:rsid w:val="00827727"/>
    <w:rsid w:val="00830453"/>
    <w:rsid w:val="008338A4"/>
    <w:rsid w:val="00835116"/>
    <w:rsid w:val="0083685B"/>
    <w:rsid w:val="00837B5E"/>
    <w:rsid w:val="00837C45"/>
    <w:rsid w:val="00840C60"/>
    <w:rsid w:val="00843EEF"/>
    <w:rsid w:val="00844730"/>
    <w:rsid w:val="008457C2"/>
    <w:rsid w:val="00846216"/>
    <w:rsid w:val="00846807"/>
    <w:rsid w:val="00856C83"/>
    <w:rsid w:val="00857780"/>
    <w:rsid w:val="00857A82"/>
    <w:rsid w:val="00860B81"/>
    <w:rsid w:val="0086176D"/>
    <w:rsid w:val="00864B48"/>
    <w:rsid w:val="00865597"/>
    <w:rsid w:val="008712CE"/>
    <w:rsid w:val="00871FC9"/>
    <w:rsid w:val="00873836"/>
    <w:rsid w:val="008742C0"/>
    <w:rsid w:val="00876498"/>
    <w:rsid w:val="00877185"/>
    <w:rsid w:val="0087725E"/>
    <w:rsid w:val="00880632"/>
    <w:rsid w:val="0088085E"/>
    <w:rsid w:val="00882A21"/>
    <w:rsid w:val="00885737"/>
    <w:rsid w:val="00885B0C"/>
    <w:rsid w:val="00890650"/>
    <w:rsid w:val="0089562D"/>
    <w:rsid w:val="00897E12"/>
    <w:rsid w:val="008A078F"/>
    <w:rsid w:val="008A2845"/>
    <w:rsid w:val="008A4DC9"/>
    <w:rsid w:val="008A5A0E"/>
    <w:rsid w:val="008A7E0F"/>
    <w:rsid w:val="008B12F5"/>
    <w:rsid w:val="008B3AFA"/>
    <w:rsid w:val="008B6471"/>
    <w:rsid w:val="008B6B14"/>
    <w:rsid w:val="008C0BAA"/>
    <w:rsid w:val="008C2B75"/>
    <w:rsid w:val="008C2DDF"/>
    <w:rsid w:val="008C3098"/>
    <w:rsid w:val="008C4ED7"/>
    <w:rsid w:val="008C545C"/>
    <w:rsid w:val="008C7015"/>
    <w:rsid w:val="008D199D"/>
    <w:rsid w:val="008D2ABE"/>
    <w:rsid w:val="008D54C3"/>
    <w:rsid w:val="008D768D"/>
    <w:rsid w:val="008D7B7E"/>
    <w:rsid w:val="008E2E59"/>
    <w:rsid w:val="008E3759"/>
    <w:rsid w:val="008E46CB"/>
    <w:rsid w:val="008E4C09"/>
    <w:rsid w:val="008E5928"/>
    <w:rsid w:val="008E5A58"/>
    <w:rsid w:val="008E7F15"/>
    <w:rsid w:val="008F145A"/>
    <w:rsid w:val="008F1912"/>
    <w:rsid w:val="008F1B28"/>
    <w:rsid w:val="008F49B7"/>
    <w:rsid w:val="008F604B"/>
    <w:rsid w:val="008F7EDD"/>
    <w:rsid w:val="009014A4"/>
    <w:rsid w:val="0090270B"/>
    <w:rsid w:val="00902BB8"/>
    <w:rsid w:val="009041DC"/>
    <w:rsid w:val="0091038B"/>
    <w:rsid w:val="00910791"/>
    <w:rsid w:val="009113FE"/>
    <w:rsid w:val="00914740"/>
    <w:rsid w:val="00915F6C"/>
    <w:rsid w:val="00917B5A"/>
    <w:rsid w:val="00920A58"/>
    <w:rsid w:val="00920A8C"/>
    <w:rsid w:val="0092111F"/>
    <w:rsid w:val="00922B15"/>
    <w:rsid w:val="009230FA"/>
    <w:rsid w:val="009260D1"/>
    <w:rsid w:val="00930B2D"/>
    <w:rsid w:val="00932D60"/>
    <w:rsid w:val="009338EE"/>
    <w:rsid w:val="00934A2C"/>
    <w:rsid w:val="009410AF"/>
    <w:rsid w:val="00941C6B"/>
    <w:rsid w:val="0094623F"/>
    <w:rsid w:val="0094699B"/>
    <w:rsid w:val="00950035"/>
    <w:rsid w:val="009507DE"/>
    <w:rsid w:val="00950C07"/>
    <w:rsid w:val="00951205"/>
    <w:rsid w:val="00951CBC"/>
    <w:rsid w:val="00954538"/>
    <w:rsid w:val="00956452"/>
    <w:rsid w:val="0095713D"/>
    <w:rsid w:val="00957261"/>
    <w:rsid w:val="009574D8"/>
    <w:rsid w:val="009609E8"/>
    <w:rsid w:val="00960C43"/>
    <w:rsid w:val="0096258E"/>
    <w:rsid w:val="0096706E"/>
    <w:rsid w:val="00971E5E"/>
    <w:rsid w:val="00975581"/>
    <w:rsid w:val="00975C4E"/>
    <w:rsid w:val="00981FBA"/>
    <w:rsid w:val="00982D52"/>
    <w:rsid w:val="009854E2"/>
    <w:rsid w:val="0098607F"/>
    <w:rsid w:val="009879FC"/>
    <w:rsid w:val="00990FA8"/>
    <w:rsid w:val="00991866"/>
    <w:rsid w:val="00992DEE"/>
    <w:rsid w:val="0099330F"/>
    <w:rsid w:val="00993722"/>
    <w:rsid w:val="00994272"/>
    <w:rsid w:val="00997BC5"/>
    <w:rsid w:val="009A0BE3"/>
    <w:rsid w:val="009A4120"/>
    <w:rsid w:val="009A461D"/>
    <w:rsid w:val="009A4F41"/>
    <w:rsid w:val="009A575C"/>
    <w:rsid w:val="009B13B4"/>
    <w:rsid w:val="009B1E1E"/>
    <w:rsid w:val="009B352F"/>
    <w:rsid w:val="009B381B"/>
    <w:rsid w:val="009B5DCD"/>
    <w:rsid w:val="009C2C14"/>
    <w:rsid w:val="009C3B02"/>
    <w:rsid w:val="009C4EAA"/>
    <w:rsid w:val="009C50A4"/>
    <w:rsid w:val="009C542D"/>
    <w:rsid w:val="009C7101"/>
    <w:rsid w:val="009C74EF"/>
    <w:rsid w:val="009D1753"/>
    <w:rsid w:val="009D19A6"/>
    <w:rsid w:val="009D66D4"/>
    <w:rsid w:val="009D7611"/>
    <w:rsid w:val="009D76CD"/>
    <w:rsid w:val="009E0B61"/>
    <w:rsid w:val="009E11EF"/>
    <w:rsid w:val="009E53DE"/>
    <w:rsid w:val="009E6A6D"/>
    <w:rsid w:val="009F5DE2"/>
    <w:rsid w:val="009F6CB0"/>
    <w:rsid w:val="00A01229"/>
    <w:rsid w:val="00A01662"/>
    <w:rsid w:val="00A03216"/>
    <w:rsid w:val="00A03A30"/>
    <w:rsid w:val="00A05F37"/>
    <w:rsid w:val="00A07ECD"/>
    <w:rsid w:val="00A1455E"/>
    <w:rsid w:val="00A16A31"/>
    <w:rsid w:val="00A17DAD"/>
    <w:rsid w:val="00A20270"/>
    <w:rsid w:val="00A243E5"/>
    <w:rsid w:val="00A24A88"/>
    <w:rsid w:val="00A2598E"/>
    <w:rsid w:val="00A26BF1"/>
    <w:rsid w:val="00A27F8B"/>
    <w:rsid w:val="00A30AF1"/>
    <w:rsid w:val="00A323A4"/>
    <w:rsid w:val="00A328B3"/>
    <w:rsid w:val="00A32EA9"/>
    <w:rsid w:val="00A33B1E"/>
    <w:rsid w:val="00A3419C"/>
    <w:rsid w:val="00A36639"/>
    <w:rsid w:val="00A36ADD"/>
    <w:rsid w:val="00A36C87"/>
    <w:rsid w:val="00A36E72"/>
    <w:rsid w:val="00A41C47"/>
    <w:rsid w:val="00A44144"/>
    <w:rsid w:val="00A441D1"/>
    <w:rsid w:val="00A45B33"/>
    <w:rsid w:val="00A46E8A"/>
    <w:rsid w:val="00A47F90"/>
    <w:rsid w:val="00A50FCF"/>
    <w:rsid w:val="00A528D1"/>
    <w:rsid w:val="00A55E03"/>
    <w:rsid w:val="00A56972"/>
    <w:rsid w:val="00A57FFD"/>
    <w:rsid w:val="00A6064B"/>
    <w:rsid w:val="00A610CD"/>
    <w:rsid w:val="00A65C92"/>
    <w:rsid w:val="00A66E7F"/>
    <w:rsid w:val="00A73A1D"/>
    <w:rsid w:val="00A73C50"/>
    <w:rsid w:val="00A75E63"/>
    <w:rsid w:val="00A81414"/>
    <w:rsid w:val="00A814FA"/>
    <w:rsid w:val="00A8154A"/>
    <w:rsid w:val="00A818F5"/>
    <w:rsid w:val="00A96104"/>
    <w:rsid w:val="00AA09A2"/>
    <w:rsid w:val="00AA4521"/>
    <w:rsid w:val="00AA53A2"/>
    <w:rsid w:val="00AA7996"/>
    <w:rsid w:val="00AB0118"/>
    <w:rsid w:val="00AC060F"/>
    <w:rsid w:val="00AC19CB"/>
    <w:rsid w:val="00AC406D"/>
    <w:rsid w:val="00AC55D4"/>
    <w:rsid w:val="00AD26B5"/>
    <w:rsid w:val="00AD4BAA"/>
    <w:rsid w:val="00AE39F6"/>
    <w:rsid w:val="00AE5488"/>
    <w:rsid w:val="00AE6F91"/>
    <w:rsid w:val="00AF0072"/>
    <w:rsid w:val="00AF3E57"/>
    <w:rsid w:val="00AF4B39"/>
    <w:rsid w:val="00AF5571"/>
    <w:rsid w:val="00AF7988"/>
    <w:rsid w:val="00B0015C"/>
    <w:rsid w:val="00B01B9D"/>
    <w:rsid w:val="00B0590F"/>
    <w:rsid w:val="00B07184"/>
    <w:rsid w:val="00B07341"/>
    <w:rsid w:val="00B07568"/>
    <w:rsid w:val="00B111A9"/>
    <w:rsid w:val="00B1247E"/>
    <w:rsid w:val="00B1545C"/>
    <w:rsid w:val="00B160D5"/>
    <w:rsid w:val="00B20E3D"/>
    <w:rsid w:val="00B2130A"/>
    <w:rsid w:val="00B2187E"/>
    <w:rsid w:val="00B21A96"/>
    <w:rsid w:val="00B2370D"/>
    <w:rsid w:val="00B2451F"/>
    <w:rsid w:val="00B24F71"/>
    <w:rsid w:val="00B25386"/>
    <w:rsid w:val="00B25956"/>
    <w:rsid w:val="00B26897"/>
    <w:rsid w:val="00B30539"/>
    <w:rsid w:val="00B314DB"/>
    <w:rsid w:val="00B34CE7"/>
    <w:rsid w:val="00B361F2"/>
    <w:rsid w:val="00B3718B"/>
    <w:rsid w:val="00B40260"/>
    <w:rsid w:val="00B405AB"/>
    <w:rsid w:val="00B43F52"/>
    <w:rsid w:val="00B442F8"/>
    <w:rsid w:val="00B4632A"/>
    <w:rsid w:val="00B5107C"/>
    <w:rsid w:val="00B513B1"/>
    <w:rsid w:val="00B530F1"/>
    <w:rsid w:val="00B53AAE"/>
    <w:rsid w:val="00B54A0C"/>
    <w:rsid w:val="00B56B12"/>
    <w:rsid w:val="00B56E87"/>
    <w:rsid w:val="00B571DE"/>
    <w:rsid w:val="00B61C82"/>
    <w:rsid w:val="00B632D6"/>
    <w:rsid w:val="00B64D9C"/>
    <w:rsid w:val="00B65DC1"/>
    <w:rsid w:val="00B6711D"/>
    <w:rsid w:val="00B67999"/>
    <w:rsid w:val="00B75635"/>
    <w:rsid w:val="00B75D50"/>
    <w:rsid w:val="00B77DB7"/>
    <w:rsid w:val="00B809CC"/>
    <w:rsid w:val="00B8417A"/>
    <w:rsid w:val="00B95891"/>
    <w:rsid w:val="00B971E3"/>
    <w:rsid w:val="00BA276C"/>
    <w:rsid w:val="00BA314D"/>
    <w:rsid w:val="00BA461E"/>
    <w:rsid w:val="00BA69DC"/>
    <w:rsid w:val="00BB1782"/>
    <w:rsid w:val="00BB306F"/>
    <w:rsid w:val="00BB4D0A"/>
    <w:rsid w:val="00BB5D01"/>
    <w:rsid w:val="00BB60B2"/>
    <w:rsid w:val="00BB6FC2"/>
    <w:rsid w:val="00BC1180"/>
    <w:rsid w:val="00BC215D"/>
    <w:rsid w:val="00BC3A44"/>
    <w:rsid w:val="00BC7ECB"/>
    <w:rsid w:val="00BD12D3"/>
    <w:rsid w:val="00BD1B47"/>
    <w:rsid w:val="00BD4B89"/>
    <w:rsid w:val="00BE47B7"/>
    <w:rsid w:val="00BF02CB"/>
    <w:rsid w:val="00BF11D3"/>
    <w:rsid w:val="00BF1664"/>
    <w:rsid w:val="00BF4955"/>
    <w:rsid w:val="00BF6E4A"/>
    <w:rsid w:val="00BF6FD8"/>
    <w:rsid w:val="00C00346"/>
    <w:rsid w:val="00C00B1B"/>
    <w:rsid w:val="00C03680"/>
    <w:rsid w:val="00C054DF"/>
    <w:rsid w:val="00C05CCF"/>
    <w:rsid w:val="00C05EC3"/>
    <w:rsid w:val="00C10976"/>
    <w:rsid w:val="00C10BFE"/>
    <w:rsid w:val="00C11778"/>
    <w:rsid w:val="00C12D20"/>
    <w:rsid w:val="00C14A21"/>
    <w:rsid w:val="00C20511"/>
    <w:rsid w:val="00C20705"/>
    <w:rsid w:val="00C21762"/>
    <w:rsid w:val="00C2352F"/>
    <w:rsid w:val="00C24543"/>
    <w:rsid w:val="00C24CAA"/>
    <w:rsid w:val="00C256A2"/>
    <w:rsid w:val="00C257B3"/>
    <w:rsid w:val="00C27949"/>
    <w:rsid w:val="00C36A05"/>
    <w:rsid w:val="00C40789"/>
    <w:rsid w:val="00C40B65"/>
    <w:rsid w:val="00C44466"/>
    <w:rsid w:val="00C449FA"/>
    <w:rsid w:val="00C46511"/>
    <w:rsid w:val="00C46EE5"/>
    <w:rsid w:val="00C473AA"/>
    <w:rsid w:val="00C51515"/>
    <w:rsid w:val="00C51E87"/>
    <w:rsid w:val="00C53089"/>
    <w:rsid w:val="00C54F8D"/>
    <w:rsid w:val="00C5660B"/>
    <w:rsid w:val="00C56CF0"/>
    <w:rsid w:val="00C574E4"/>
    <w:rsid w:val="00C60840"/>
    <w:rsid w:val="00C61712"/>
    <w:rsid w:val="00C6265B"/>
    <w:rsid w:val="00C62A75"/>
    <w:rsid w:val="00C62E05"/>
    <w:rsid w:val="00C62F98"/>
    <w:rsid w:val="00C63A98"/>
    <w:rsid w:val="00C64955"/>
    <w:rsid w:val="00C66B72"/>
    <w:rsid w:val="00C71B90"/>
    <w:rsid w:val="00C72217"/>
    <w:rsid w:val="00C75282"/>
    <w:rsid w:val="00C75366"/>
    <w:rsid w:val="00C76544"/>
    <w:rsid w:val="00C77ADA"/>
    <w:rsid w:val="00C810D8"/>
    <w:rsid w:val="00C842E3"/>
    <w:rsid w:val="00C8795A"/>
    <w:rsid w:val="00C90EB7"/>
    <w:rsid w:val="00C911D4"/>
    <w:rsid w:val="00C92118"/>
    <w:rsid w:val="00C9567A"/>
    <w:rsid w:val="00C963EE"/>
    <w:rsid w:val="00C97129"/>
    <w:rsid w:val="00C97C1A"/>
    <w:rsid w:val="00CA3A3F"/>
    <w:rsid w:val="00CA56F6"/>
    <w:rsid w:val="00CB0936"/>
    <w:rsid w:val="00CB13CA"/>
    <w:rsid w:val="00CB212D"/>
    <w:rsid w:val="00CB2583"/>
    <w:rsid w:val="00CB2660"/>
    <w:rsid w:val="00CB5E8A"/>
    <w:rsid w:val="00CB79C4"/>
    <w:rsid w:val="00CC0499"/>
    <w:rsid w:val="00CC3E3C"/>
    <w:rsid w:val="00CC4917"/>
    <w:rsid w:val="00CC5E90"/>
    <w:rsid w:val="00CC63CF"/>
    <w:rsid w:val="00CD046C"/>
    <w:rsid w:val="00CD6B9D"/>
    <w:rsid w:val="00CD6F24"/>
    <w:rsid w:val="00CE076C"/>
    <w:rsid w:val="00CE0FB5"/>
    <w:rsid w:val="00CE3B9C"/>
    <w:rsid w:val="00CE3EAD"/>
    <w:rsid w:val="00CE4A99"/>
    <w:rsid w:val="00CE5199"/>
    <w:rsid w:val="00CE58C7"/>
    <w:rsid w:val="00CE66D5"/>
    <w:rsid w:val="00CE786D"/>
    <w:rsid w:val="00CF1867"/>
    <w:rsid w:val="00CF275D"/>
    <w:rsid w:val="00CF3E83"/>
    <w:rsid w:val="00CF637A"/>
    <w:rsid w:val="00CF7282"/>
    <w:rsid w:val="00CF7E36"/>
    <w:rsid w:val="00D00A0B"/>
    <w:rsid w:val="00D02689"/>
    <w:rsid w:val="00D03F46"/>
    <w:rsid w:val="00D059DE"/>
    <w:rsid w:val="00D068D5"/>
    <w:rsid w:val="00D12193"/>
    <w:rsid w:val="00D128F6"/>
    <w:rsid w:val="00D13906"/>
    <w:rsid w:val="00D13FCE"/>
    <w:rsid w:val="00D168DE"/>
    <w:rsid w:val="00D16E73"/>
    <w:rsid w:val="00D172ED"/>
    <w:rsid w:val="00D21C64"/>
    <w:rsid w:val="00D25EA0"/>
    <w:rsid w:val="00D301C7"/>
    <w:rsid w:val="00D306D1"/>
    <w:rsid w:val="00D31EA5"/>
    <w:rsid w:val="00D34786"/>
    <w:rsid w:val="00D3493F"/>
    <w:rsid w:val="00D37BFC"/>
    <w:rsid w:val="00D37FFD"/>
    <w:rsid w:val="00D41F9A"/>
    <w:rsid w:val="00D4442B"/>
    <w:rsid w:val="00D4730D"/>
    <w:rsid w:val="00D47537"/>
    <w:rsid w:val="00D47A8E"/>
    <w:rsid w:val="00D50517"/>
    <w:rsid w:val="00D515D5"/>
    <w:rsid w:val="00D52999"/>
    <w:rsid w:val="00D52D14"/>
    <w:rsid w:val="00D550EE"/>
    <w:rsid w:val="00D56DAE"/>
    <w:rsid w:val="00D56F4B"/>
    <w:rsid w:val="00D60A66"/>
    <w:rsid w:val="00D61236"/>
    <w:rsid w:val="00D621B2"/>
    <w:rsid w:val="00D663A1"/>
    <w:rsid w:val="00D67123"/>
    <w:rsid w:val="00D673E2"/>
    <w:rsid w:val="00D712D3"/>
    <w:rsid w:val="00D71422"/>
    <w:rsid w:val="00D71CEC"/>
    <w:rsid w:val="00D72D68"/>
    <w:rsid w:val="00D72DC6"/>
    <w:rsid w:val="00D7558D"/>
    <w:rsid w:val="00D75EF1"/>
    <w:rsid w:val="00D77238"/>
    <w:rsid w:val="00D77BD8"/>
    <w:rsid w:val="00D80534"/>
    <w:rsid w:val="00D81D92"/>
    <w:rsid w:val="00D83D73"/>
    <w:rsid w:val="00D84002"/>
    <w:rsid w:val="00D924C0"/>
    <w:rsid w:val="00D96E66"/>
    <w:rsid w:val="00DA38F5"/>
    <w:rsid w:val="00DA3BE0"/>
    <w:rsid w:val="00DA468D"/>
    <w:rsid w:val="00DA4837"/>
    <w:rsid w:val="00DA5AC8"/>
    <w:rsid w:val="00DA67C0"/>
    <w:rsid w:val="00DA7B5F"/>
    <w:rsid w:val="00DC11E7"/>
    <w:rsid w:val="00DC2025"/>
    <w:rsid w:val="00DC7023"/>
    <w:rsid w:val="00DC7167"/>
    <w:rsid w:val="00DC769A"/>
    <w:rsid w:val="00DD06C8"/>
    <w:rsid w:val="00DD2F68"/>
    <w:rsid w:val="00DD3D86"/>
    <w:rsid w:val="00DD68B6"/>
    <w:rsid w:val="00DF1BFF"/>
    <w:rsid w:val="00DF1EC4"/>
    <w:rsid w:val="00DF5E37"/>
    <w:rsid w:val="00E01B1A"/>
    <w:rsid w:val="00E02627"/>
    <w:rsid w:val="00E02D0E"/>
    <w:rsid w:val="00E0340B"/>
    <w:rsid w:val="00E04519"/>
    <w:rsid w:val="00E0482A"/>
    <w:rsid w:val="00E04A90"/>
    <w:rsid w:val="00E055B8"/>
    <w:rsid w:val="00E0766E"/>
    <w:rsid w:val="00E10201"/>
    <w:rsid w:val="00E11ACB"/>
    <w:rsid w:val="00E13E2B"/>
    <w:rsid w:val="00E219C7"/>
    <w:rsid w:val="00E34A37"/>
    <w:rsid w:val="00E356A6"/>
    <w:rsid w:val="00E35D1D"/>
    <w:rsid w:val="00E36089"/>
    <w:rsid w:val="00E362D9"/>
    <w:rsid w:val="00E4078A"/>
    <w:rsid w:val="00E40F59"/>
    <w:rsid w:val="00E41912"/>
    <w:rsid w:val="00E4273A"/>
    <w:rsid w:val="00E43157"/>
    <w:rsid w:val="00E43DC7"/>
    <w:rsid w:val="00E461CE"/>
    <w:rsid w:val="00E464BA"/>
    <w:rsid w:val="00E526D4"/>
    <w:rsid w:val="00E549E1"/>
    <w:rsid w:val="00E62234"/>
    <w:rsid w:val="00E644F3"/>
    <w:rsid w:val="00E6606E"/>
    <w:rsid w:val="00E678B3"/>
    <w:rsid w:val="00E720CA"/>
    <w:rsid w:val="00E7457A"/>
    <w:rsid w:val="00E755CF"/>
    <w:rsid w:val="00E80B5C"/>
    <w:rsid w:val="00E810C3"/>
    <w:rsid w:val="00E81161"/>
    <w:rsid w:val="00E84EB5"/>
    <w:rsid w:val="00E85662"/>
    <w:rsid w:val="00E8789F"/>
    <w:rsid w:val="00E909AA"/>
    <w:rsid w:val="00E90FA8"/>
    <w:rsid w:val="00E91705"/>
    <w:rsid w:val="00E94F44"/>
    <w:rsid w:val="00E97B71"/>
    <w:rsid w:val="00EA04F0"/>
    <w:rsid w:val="00EA181F"/>
    <w:rsid w:val="00EA3D34"/>
    <w:rsid w:val="00EA3DAE"/>
    <w:rsid w:val="00EA4882"/>
    <w:rsid w:val="00EA6294"/>
    <w:rsid w:val="00EA780F"/>
    <w:rsid w:val="00EB454D"/>
    <w:rsid w:val="00EB5E67"/>
    <w:rsid w:val="00EC3678"/>
    <w:rsid w:val="00EC7278"/>
    <w:rsid w:val="00EC7B24"/>
    <w:rsid w:val="00ED0CA7"/>
    <w:rsid w:val="00ED2B8E"/>
    <w:rsid w:val="00ED516E"/>
    <w:rsid w:val="00ED59AE"/>
    <w:rsid w:val="00ED6093"/>
    <w:rsid w:val="00ED76BE"/>
    <w:rsid w:val="00ED7F2F"/>
    <w:rsid w:val="00EF5C57"/>
    <w:rsid w:val="00EF619B"/>
    <w:rsid w:val="00F00B55"/>
    <w:rsid w:val="00F02AD1"/>
    <w:rsid w:val="00F0480F"/>
    <w:rsid w:val="00F05E49"/>
    <w:rsid w:val="00F06457"/>
    <w:rsid w:val="00F101A9"/>
    <w:rsid w:val="00F11F86"/>
    <w:rsid w:val="00F140C0"/>
    <w:rsid w:val="00F20EAE"/>
    <w:rsid w:val="00F22434"/>
    <w:rsid w:val="00F253CC"/>
    <w:rsid w:val="00F3055B"/>
    <w:rsid w:val="00F317A4"/>
    <w:rsid w:val="00F37106"/>
    <w:rsid w:val="00F3719E"/>
    <w:rsid w:val="00F40389"/>
    <w:rsid w:val="00F519CF"/>
    <w:rsid w:val="00F54CD2"/>
    <w:rsid w:val="00F550F6"/>
    <w:rsid w:val="00F551E4"/>
    <w:rsid w:val="00F56BA5"/>
    <w:rsid w:val="00F60608"/>
    <w:rsid w:val="00F60E22"/>
    <w:rsid w:val="00F62BDB"/>
    <w:rsid w:val="00F64AB8"/>
    <w:rsid w:val="00F65024"/>
    <w:rsid w:val="00F652A3"/>
    <w:rsid w:val="00F65A27"/>
    <w:rsid w:val="00F70277"/>
    <w:rsid w:val="00F70622"/>
    <w:rsid w:val="00F73104"/>
    <w:rsid w:val="00F7489D"/>
    <w:rsid w:val="00F805FB"/>
    <w:rsid w:val="00F81395"/>
    <w:rsid w:val="00F82445"/>
    <w:rsid w:val="00F82A5B"/>
    <w:rsid w:val="00F902EB"/>
    <w:rsid w:val="00F9064F"/>
    <w:rsid w:val="00F917D1"/>
    <w:rsid w:val="00F91B62"/>
    <w:rsid w:val="00F92216"/>
    <w:rsid w:val="00F9653B"/>
    <w:rsid w:val="00F966CE"/>
    <w:rsid w:val="00FA0C47"/>
    <w:rsid w:val="00FA1CE7"/>
    <w:rsid w:val="00FA2485"/>
    <w:rsid w:val="00FA2FDE"/>
    <w:rsid w:val="00FA618B"/>
    <w:rsid w:val="00FB04C1"/>
    <w:rsid w:val="00FB1110"/>
    <w:rsid w:val="00FB55D3"/>
    <w:rsid w:val="00FB62CF"/>
    <w:rsid w:val="00FB6D3B"/>
    <w:rsid w:val="00FC06A5"/>
    <w:rsid w:val="00FC06AD"/>
    <w:rsid w:val="00FC1355"/>
    <w:rsid w:val="00FC35BE"/>
    <w:rsid w:val="00FC3A14"/>
    <w:rsid w:val="00FC6D5C"/>
    <w:rsid w:val="00FD3C3B"/>
    <w:rsid w:val="00FD5A99"/>
    <w:rsid w:val="00FD5EFA"/>
    <w:rsid w:val="00FD6CBF"/>
    <w:rsid w:val="00FD6E95"/>
    <w:rsid w:val="00FD7B22"/>
    <w:rsid w:val="00FE07DD"/>
    <w:rsid w:val="00FE0A35"/>
    <w:rsid w:val="00FE1149"/>
    <w:rsid w:val="00FE34B0"/>
    <w:rsid w:val="00FE4348"/>
    <w:rsid w:val="00FE6200"/>
    <w:rsid w:val="00FE6B45"/>
    <w:rsid w:val="00FE7DB1"/>
    <w:rsid w:val="00FF07F7"/>
    <w:rsid w:val="00FF231F"/>
    <w:rsid w:val="00FF5132"/>
    <w:rsid w:val="00FF55F3"/>
    <w:rsid w:val="00FF5851"/>
    <w:rsid w:val="00FF681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18A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D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autoRedefine/>
    <w:uiPriority w:val="9"/>
    <w:qFormat/>
    <w:rsid w:val="00014512"/>
    <w:pPr>
      <w:numPr>
        <w:numId w:val="54"/>
      </w:numPr>
      <w:tabs>
        <w:tab w:val="left" w:pos="360"/>
      </w:tabs>
      <w:suppressAutoHyphens/>
      <w:ind w:left="0" w:firstLine="0"/>
      <w:outlineLvl w:val="0"/>
    </w:pPr>
    <w:rPr>
      <w:b/>
      <w:color w:val="000000" w:themeColor="text1"/>
      <w:lang w:val="es-ES_tradnl"/>
    </w:rPr>
  </w:style>
  <w:style w:type="paragraph" w:styleId="Heading2">
    <w:name w:val="heading 2"/>
    <w:basedOn w:val="Normal"/>
    <w:next w:val="Normal"/>
    <w:link w:val="Heading2Char"/>
    <w:autoRedefine/>
    <w:qFormat/>
    <w:rsid w:val="00484FDC"/>
    <w:pPr>
      <w:keepNext/>
      <w:numPr>
        <w:numId w:val="59"/>
      </w:numPr>
      <w:tabs>
        <w:tab w:val="left" w:pos="0"/>
      </w:tabs>
      <w:jc w:val="both"/>
      <w:outlineLvl w:val="1"/>
    </w:pPr>
    <w:rPr>
      <w:rFonts w:ascii="Cambria" w:hAnsi="Cambria" w:cs="Arial"/>
      <w:b/>
      <w:bCs/>
      <w:iCs/>
      <w:sz w:val="20"/>
      <w:szCs w:val="28"/>
      <w:lang w:val="es-ES_tradnl"/>
    </w:rPr>
  </w:style>
  <w:style w:type="paragraph" w:styleId="Heading3">
    <w:name w:val="heading 3"/>
    <w:basedOn w:val="Normal"/>
    <w:next w:val="Normal"/>
    <w:link w:val="Heading3Char"/>
    <w:qFormat/>
    <w:rsid w:val="00161D34"/>
    <w:pPr>
      <w:keepNext/>
      <w:numPr>
        <w:numId w:val="57"/>
      </w:numPr>
      <w:outlineLvl w:val="2"/>
    </w:pPr>
    <w:rPr>
      <w:rFonts w:asciiTheme="majorHAnsi" w:hAnsiTheme="majorHAnsi"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Colorful List - Accent 12,Lista vistosa - Énfasis 11,Subtle Emphasis1,Footnote1"/>
    <w:link w:val="ListParagraphChar"/>
    <w:autoRedefine/>
    <w:uiPriority w:val="34"/>
    <w:qFormat/>
    <w:rsid w:val="00B24F71"/>
    <w:pPr>
      <w:ind w:left="360" w:right="360"/>
      <w:jc w:val="both"/>
    </w:pPr>
    <w:rPr>
      <w:rFonts w:asciiTheme="majorHAnsi" w:eastAsia="Cambria" w:hAnsiTheme="majorHAnsi" w:cs="Cambria"/>
      <w:color w:val="FF0000"/>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4512"/>
    <w:rPr>
      <w:rFonts w:asciiTheme="majorHAnsi" w:eastAsia="Cambria" w:hAnsiTheme="majorHAnsi" w:cs="Cambria"/>
      <w:b/>
      <w:color w:val="000000" w:themeColor="text1"/>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5C4225"/>
    <w:pPr>
      <w:spacing w:before="120"/>
    </w:pPr>
    <w:rPr>
      <w:rFonts w:asciiTheme="minorHAnsi" w:hAnsiTheme="minorHAnsi"/>
      <w:b/>
      <w:bCs/>
      <w:i/>
      <w:iCs/>
    </w:rPr>
  </w:style>
  <w:style w:type="paragraph" w:styleId="TOC3">
    <w:name w:val="toc 3"/>
    <w:basedOn w:val="Normal"/>
    <w:next w:val="Normal"/>
    <w:autoRedefine/>
    <w:uiPriority w:val="39"/>
    <w:unhideWhenUsed/>
    <w:rsid w:val="005C4225"/>
    <w:pPr>
      <w:ind w:left="480"/>
    </w:pPr>
    <w:rPr>
      <w:rFonts w:asciiTheme="minorHAnsi" w:hAnsiTheme="minorHAnsi"/>
      <w:sz w:val="20"/>
      <w:szCs w:val="20"/>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484FDC"/>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Colorful List - Accent 12 Char,Lista vistosa - Énfasis 11 Char,Subtle Emphasis1 Char,Footnote1 Char"/>
    <w:link w:val="ListParagraph"/>
    <w:uiPriority w:val="99"/>
    <w:locked/>
    <w:rsid w:val="00B24F71"/>
    <w:rPr>
      <w:rFonts w:asciiTheme="majorHAnsi" w:eastAsia="Cambria" w:hAnsiTheme="majorHAnsi" w:cs="Cambria"/>
      <w:color w:val="FF0000"/>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eastAsia="Times New Roman" w:hAnsiTheme="majorHAnsi"/>
      <w:color w:val="000000" w:themeColor="text1"/>
      <w:bdr w:val="none" w:sz="0" w:space="0" w:color="auto"/>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character" w:styleId="CommentReference">
    <w:name w:val="annotation reference"/>
    <w:basedOn w:val="DefaultParagraphFont"/>
    <w:uiPriority w:val="99"/>
    <w:semiHidden/>
    <w:unhideWhenUsed/>
    <w:rsid w:val="002D5C22"/>
    <w:rPr>
      <w:sz w:val="16"/>
      <w:szCs w:val="16"/>
    </w:rPr>
  </w:style>
  <w:style w:type="paragraph" w:styleId="CommentText">
    <w:name w:val="annotation text"/>
    <w:basedOn w:val="Normal"/>
    <w:link w:val="CommentTextChar"/>
    <w:uiPriority w:val="99"/>
    <w:semiHidden/>
    <w:unhideWhenUsed/>
    <w:rsid w:val="002D5C22"/>
    <w:rPr>
      <w:sz w:val="20"/>
      <w:szCs w:val="20"/>
    </w:rPr>
  </w:style>
  <w:style w:type="character" w:customStyle="1" w:styleId="CommentTextChar">
    <w:name w:val="Comment Text Char"/>
    <w:basedOn w:val="DefaultParagraphFont"/>
    <w:link w:val="CommentText"/>
    <w:uiPriority w:val="99"/>
    <w:semiHidden/>
    <w:rsid w:val="002D5C22"/>
    <w:rPr>
      <w:lang w:val="en-US" w:eastAsia="en-US"/>
    </w:rPr>
  </w:style>
  <w:style w:type="paragraph" w:styleId="CommentSubject">
    <w:name w:val="annotation subject"/>
    <w:basedOn w:val="CommentText"/>
    <w:next w:val="CommentText"/>
    <w:link w:val="CommentSubjectChar"/>
    <w:uiPriority w:val="99"/>
    <w:semiHidden/>
    <w:unhideWhenUsed/>
    <w:rsid w:val="002D5C22"/>
    <w:rPr>
      <w:b/>
      <w:bCs/>
    </w:rPr>
  </w:style>
  <w:style w:type="character" w:customStyle="1" w:styleId="CommentSubjectChar">
    <w:name w:val="Comment Subject Char"/>
    <w:basedOn w:val="CommentTextChar"/>
    <w:link w:val="CommentSubject"/>
    <w:uiPriority w:val="99"/>
    <w:semiHidden/>
    <w:rsid w:val="002D5C22"/>
    <w:rPr>
      <w:b/>
      <w:bCs/>
      <w:lang w:val="en-US" w:eastAsia="en-US"/>
    </w:rPr>
  </w:style>
  <w:style w:type="character" w:customStyle="1" w:styleId="UnresolvedMention1">
    <w:name w:val="Unresolved Mention1"/>
    <w:basedOn w:val="DefaultParagraphFont"/>
    <w:uiPriority w:val="99"/>
    <w:semiHidden/>
    <w:unhideWhenUsed/>
    <w:rsid w:val="000659FD"/>
    <w:rPr>
      <w:color w:val="605E5C"/>
      <w:shd w:val="clear" w:color="auto" w:fill="E1DFDD"/>
    </w:rPr>
  </w:style>
  <w:style w:type="character" w:styleId="FollowedHyperlink">
    <w:name w:val="FollowedHyperlink"/>
    <w:basedOn w:val="DefaultParagraphFont"/>
    <w:uiPriority w:val="99"/>
    <w:semiHidden/>
    <w:unhideWhenUsed/>
    <w:rsid w:val="0065716F"/>
    <w:rPr>
      <w:color w:val="800080" w:themeColor="followedHyperlink"/>
      <w:u w:val="single"/>
    </w:rPr>
  </w:style>
  <w:style w:type="paragraph" w:customStyle="1" w:styleId="estilo3">
    <w:name w:val="estilo 3"/>
    <w:basedOn w:val="Normal"/>
    <w:link w:val="estilo3Char"/>
    <w:uiPriority w:val="99"/>
    <w:rsid w:val="00A55E03"/>
    <w:pPr>
      <w:numPr>
        <w:ilvl w:val="1"/>
        <w:numId w:val="58"/>
      </w:numPr>
      <w:jc w:val="both"/>
    </w:pPr>
    <w:rPr>
      <w:rFonts w:ascii="Calibri" w:eastAsia="MS Mincho" w:hAnsi="Calibri"/>
      <w:b/>
      <w:sz w:val="22"/>
      <w:szCs w:val="20"/>
      <w:lang w:val="es-ES_tradnl"/>
    </w:rPr>
  </w:style>
  <w:style w:type="paragraph" w:styleId="NormalWeb">
    <w:name w:val="Normal (Web)"/>
    <w:basedOn w:val="Normal"/>
    <w:uiPriority w:val="99"/>
    <w:rsid w:val="00F101A9"/>
    <w:pPr>
      <w:spacing w:before="100" w:beforeAutospacing="1" w:after="100" w:afterAutospacing="1"/>
    </w:pPr>
  </w:style>
  <w:style w:type="character" w:customStyle="1" w:styleId="estilo3Char">
    <w:name w:val="estilo 3 Char"/>
    <w:link w:val="estilo3"/>
    <w:uiPriority w:val="99"/>
    <w:locked/>
    <w:rsid w:val="00975581"/>
    <w:rPr>
      <w:rFonts w:ascii="Calibri" w:eastAsia="MS Mincho" w:hAnsi="Calibri"/>
      <w:b/>
      <w:sz w:val="22"/>
      <w:bdr w:val="none" w:sz="0" w:space="0" w:color="auto"/>
      <w:lang w:val="es-ES_tradnl" w:eastAsia="en-US"/>
    </w:rPr>
  </w:style>
  <w:style w:type="paragraph" w:customStyle="1" w:styleId="Style1">
    <w:name w:val="Style1"/>
    <w:basedOn w:val="FootnoteText"/>
    <w:link w:val="Style1Char"/>
    <w:autoRedefine/>
    <w:uiPriority w:val="99"/>
    <w:rsid w:val="0047148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440" w:hanging="1440"/>
    </w:pPr>
    <w:rPr>
      <w:rFonts w:ascii="Cambria" w:eastAsia="Times New Roman" w:hAnsi="Cambria" w:cs="Times New Roman"/>
      <w:b/>
      <w:color w:val="auto"/>
      <w:sz w:val="20"/>
      <w:szCs w:val="20"/>
      <w:bdr w:val="none" w:sz="0" w:space="0" w:color="auto"/>
      <w:lang w:val="es-PY" w:eastAsia="en-US"/>
    </w:rPr>
  </w:style>
  <w:style w:type="character" w:customStyle="1" w:styleId="Style1Char">
    <w:name w:val="Style1 Char"/>
    <w:link w:val="Style1"/>
    <w:uiPriority w:val="99"/>
    <w:locked/>
    <w:rsid w:val="00471488"/>
    <w:rPr>
      <w:rFonts w:ascii="Cambria" w:eastAsia="Times New Roman" w:hAnsi="Cambria"/>
      <w:b/>
      <w:u w:color="000000"/>
      <w:bdr w:val="none" w:sz="0" w:space="0" w:color="auto"/>
      <w:lang w:val="es-PY" w:eastAsia="en-US"/>
    </w:rPr>
  </w:style>
  <w:style w:type="character" w:styleId="Emphasis">
    <w:name w:val="Emphasis"/>
    <w:basedOn w:val="DefaultParagraphFont"/>
    <w:uiPriority w:val="20"/>
    <w:qFormat/>
    <w:rsid w:val="00745721"/>
    <w:rPr>
      <w:i/>
      <w:iCs/>
    </w:rPr>
  </w:style>
  <w:style w:type="paragraph" w:styleId="TOCHeading">
    <w:name w:val="TOC Heading"/>
    <w:basedOn w:val="Heading1"/>
    <w:next w:val="Normal"/>
    <w:uiPriority w:val="39"/>
    <w:unhideWhenUsed/>
    <w:qFormat/>
    <w:rsid w:val="00484FDC"/>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right="0"/>
      <w:jc w:val="left"/>
      <w:outlineLvl w:val="9"/>
    </w:pPr>
    <w:rPr>
      <w:rFonts w:eastAsiaTheme="majorEastAsia" w:cstheme="majorBidi"/>
      <w:bCs/>
      <w:color w:val="365F91" w:themeColor="accent1" w:themeShade="BF"/>
      <w:sz w:val="28"/>
      <w:szCs w:val="28"/>
      <w:bdr w:val="none" w:sz="0" w:space="0" w:color="auto"/>
      <w:lang w:val="en-US" w:eastAsia="en-US"/>
    </w:rPr>
  </w:style>
  <w:style w:type="paragraph" w:styleId="TOC5">
    <w:name w:val="toc 5"/>
    <w:basedOn w:val="Normal"/>
    <w:next w:val="Normal"/>
    <w:autoRedefine/>
    <w:uiPriority w:val="39"/>
    <w:semiHidden/>
    <w:unhideWhenUsed/>
    <w:rsid w:val="00484FD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84FD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84FD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84FD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84FDC"/>
    <w:pPr>
      <w:ind w:left="1920"/>
    </w:pPr>
    <w:rPr>
      <w:rFonts w:asciiTheme="minorHAnsi" w:hAnsiTheme="minorHAnsi"/>
      <w:sz w:val="20"/>
      <w:szCs w:val="20"/>
    </w:rPr>
  </w:style>
  <w:style w:type="paragraph" w:styleId="Revision">
    <w:name w:val="Revision"/>
    <w:hidden/>
    <w:uiPriority w:val="99"/>
    <w:semiHidden/>
    <w:rsid w:val="00A441D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customStyle="1" w:styleId="1">
    <w:name w:val="1"/>
    <w:basedOn w:val="Normal"/>
    <w:rsid w:val="006617A0"/>
    <w:pPr>
      <w:spacing w:after="160" w:line="240" w:lineRule="exact"/>
    </w:pPr>
    <w:rPr>
      <w:rFonts w:eastAsia="Arial Unicode MS"/>
      <w:sz w:val="20"/>
      <w:szCs w:val="20"/>
      <w:bdr w:val="nil"/>
      <w:vertAlign w:val="superscript"/>
      <w:lang w:val="es-ES"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semiHidden/>
    <w:locked/>
    <w:rsid w:val="000E4195"/>
    <w:rPr>
      <w:rFonts w:ascii="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1098">
      <w:bodyDiv w:val="1"/>
      <w:marLeft w:val="0"/>
      <w:marRight w:val="0"/>
      <w:marTop w:val="0"/>
      <w:marBottom w:val="0"/>
      <w:divBdr>
        <w:top w:val="none" w:sz="0" w:space="0" w:color="auto"/>
        <w:left w:val="none" w:sz="0" w:space="0" w:color="auto"/>
        <w:bottom w:val="none" w:sz="0" w:space="0" w:color="auto"/>
        <w:right w:val="none" w:sz="0" w:space="0" w:color="auto"/>
      </w:divBdr>
      <w:divsChild>
        <w:div w:id="2083789546">
          <w:marLeft w:val="0"/>
          <w:marRight w:val="0"/>
          <w:marTop w:val="0"/>
          <w:marBottom w:val="0"/>
          <w:divBdr>
            <w:top w:val="none" w:sz="0" w:space="0" w:color="auto"/>
            <w:left w:val="none" w:sz="0" w:space="0" w:color="auto"/>
            <w:bottom w:val="none" w:sz="0" w:space="0" w:color="auto"/>
            <w:right w:val="none" w:sz="0" w:space="0" w:color="auto"/>
          </w:divBdr>
          <w:divsChild>
            <w:div w:id="1030034330">
              <w:marLeft w:val="0"/>
              <w:marRight w:val="0"/>
              <w:marTop w:val="0"/>
              <w:marBottom w:val="0"/>
              <w:divBdr>
                <w:top w:val="none" w:sz="0" w:space="0" w:color="auto"/>
                <w:left w:val="none" w:sz="0" w:space="0" w:color="auto"/>
                <w:bottom w:val="none" w:sz="0" w:space="0" w:color="auto"/>
                <w:right w:val="none" w:sz="0" w:space="0" w:color="auto"/>
              </w:divBdr>
              <w:divsChild>
                <w:div w:id="1707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8234">
      <w:bodyDiv w:val="1"/>
      <w:marLeft w:val="0"/>
      <w:marRight w:val="0"/>
      <w:marTop w:val="0"/>
      <w:marBottom w:val="0"/>
      <w:divBdr>
        <w:top w:val="none" w:sz="0" w:space="0" w:color="auto"/>
        <w:left w:val="none" w:sz="0" w:space="0" w:color="auto"/>
        <w:bottom w:val="none" w:sz="0" w:space="0" w:color="auto"/>
        <w:right w:val="none" w:sz="0" w:space="0" w:color="auto"/>
      </w:divBdr>
    </w:div>
    <w:div w:id="46219872">
      <w:bodyDiv w:val="1"/>
      <w:marLeft w:val="0"/>
      <w:marRight w:val="0"/>
      <w:marTop w:val="0"/>
      <w:marBottom w:val="0"/>
      <w:divBdr>
        <w:top w:val="none" w:sz="0" w:space="0" w:color="auto"/>
        <w:left w:val="none" w:sz="0" w:space="0" w:color="auto"/>
        <w:bottom w:val="none" w:sz="0" w:space="0" w:color="auto"/>
        <w:right w:val="none" w:sz="0" w:space="0" w:color="auto"/>
      </w:divBdr>
    </w:div>
    <w:div w:id="88356573">
      <w:bodyDiv w:val="1"/>
      <w:marLeft w:val="0"/>
      <w:marRight w:val="0"/>
      <w:marTop w:val="0"/>
      <w:marBottom w:val="0"/>
      <w:divBdr>
        <w:top w:val="none" w:sz="0" w:space="0" w:color="auto"/>
        <w:left w:val="none" w:sz="0" w:space="0" w:color="auto"/>
        <w:bottom w:val="none" w:sz="0" w:space="0" w:color="auto"/>
        <w:right w:val="none" w:sz="0" w:space="0" w:color="auto"/>
      </w:divBdr>
    </w:div>
    <w:div w:id="130251873">
      <w:bodyDiv w:val="1"/>
      <w:marLeft w:val="0"/>
      <w:marRight w:val="0"/>
      <w:marTop w:val="0"/>
      <w:marBottom w:val="0"/>
      <w:divBdr>
        <w:top w:val="none" w:sz="0" w:space="0" w:color="auto"/>
        <w:left w:val="none" w:sz="0" w:space="0" w:color="auto"/>
        <w:bottom w:val="none" w:sz="0" w:space="0" w:color="auto"/>
        <w:right w:val="none" w:sz="0" w:space="0" w:color="auto"/>
      </w:divBdr>
    </w:div>
    <w:div w:id="146939220">
      <w:bodyDiv w:val="1"/>
      <w:marLeft w:val="0"/>
      <w:marRight w:val="0"/>
      <w:marTop w:val="0"/>
      <w:marBottom w:val="0"/>
      <w:divBdr>
        <w:top w:val="none" w:sz="0" w:space="0" w:color="auto"/>
        <w:left w:val="none" w:sz="0" w:space="0" w:color="auto"/>
        <w:bottom w:val="none" w:sz="0" w:space="0" w:color="auto"/>
        <w:right w:val="none" w:sz="0" w:space="0" w:color="auto"/>
      </w:divBdr>
    </w:div>
    <w:div w:id="167142027">
      <w:bodyDiv w:val="1"/>
      <w:marLeft w:val="0"/>
      <w:marRight w:val="0"/>
      <w:marTop w:val="0"/>
      <w:marBottom w:val="0"/>
      <w:divBdr>
        <w:top w:val="none" w:sz="0" w:space="0" w:color="auto"/>
        <w:left w:val="none" w:sz="0" w:space="0" w:color="auto"/>
        <w:bottom w:val="none" w:sz="0" w:space="0" w:color="auto"/>
        <w:right w:val="none" w:sz="0" w:space="0" w:color="auto"/>
      </w:divBdr>
    </w:div>
    <w:div w:id="213810057">
      <w:bodyDiv w:val="1"/>
      <w:marLeft w:val="0"/>
      <w:marRight w:val="0"/>
      <w:marTop w:val="0"/>
      <w:marBottom w:val="0"/>
      <w:divBdr>
        <w:top w:val="none" w:sz="0" w:space="0" w:color="auto"/>
        <w:left w:val="none" w:sz="0" w:space="0" w:color="auto"/>
        <w:bottom w:val="none" w:sz="0" w:space="0" w:color="auto"/>
        <w:right w:val="none" w:sz="0" w:space="0" w:color="auto"/>
      </w:divBdr>
    </w:div>
    <w:div w:id="269432082">
      <w:bodyDiv w:val="1"/>
      <w:marLeft w:val="0"/>
      <w:marRight w:val="0"/>
      <w:marTop w:val="0"/>
      <w:marBottom w:val="0"/>
      <w:divBdr>
        <w:top w:val="none" w:sz="0" w:space="0" w:color="auto"/>
        <w:left w:val="none" w:sz="0" w:space="0" w:color="auto"/>
        <w:bottom w:val="none" w:sz="0" w:space="0" w:color="auto"/>
        <w:right w:val="none" w:sz="0" w:space="0" w:color="auto"/>
      </w:divBdr>
    </w:div>
    <w:div w:id="294415773">
      <w:bodyDiv w:val="1"/>
      <w:marLeft w:val="0"/>
      <w:marRight w:val="0"/>
      <w:marTop w:val="0"/>
      <w:marBottom w:val="0"/>
      <w:divBdr>
        <w:top w:val="none" w:sz="0" w:space="0" w:color="auto"/>
        <w:left w:val="none" w:sz="0" w:space="0" w:color="auto"/>
        <w:bottom w:val="none" w:sz="0" w:space="0" w:color="auto"/>
        <w:right w:val="none" w:sz="0" w:space="0" w:color="auto"/>
      </w:divBdr>
    </w:div>
    <w:div w:id="343359531">
      <w:bodyDiv w:val="1"/>
      <w:marLeft w:val="0"/>
      <w:marRight w:val="0"/>
      <w:marTop w:val="0"/>
      <w:marBottom w:val="0"/>
      <w:divBdr>
        <w:top w:val="none" w:sz="0" w:space="0" w:color="auto"/>
        <w:left w:val="none" w:sz="0" w:space="0" w:color="auto"/>
        <w:bottom w:val="none" w:sz="0" w:space="0" w:color="auto"/>
        <w:right w:val="none" w:sz="0" w:space="0" w:color="auto"/>
      </w:divBdr>
    </w:div>
    <w:div w:id="381951874">
      <w:bodyDiv w:val="1"/>
      <w:marLeft w:val="0"/>
      <w:marRight w:val="0"/>
      <w:marTop w:val="0"/>
      <w:marBottom w:val="0"/>
      <w:divBdr>
        <w:top w:val="none" w:sz="0" w:space="0" w:color="auto"/>
        <w:left w:val="none" w:sz="0" w:space="0" w:color="auto"/>
        <w:bottom w:val="none" w:sz="0" w:space="0" w:color="auto"/>
        <w:right w:val="none" w:sz="0" w:space="0" w:color="auto"/>
      </w:divBdr>
    </w:div>
    <w:div w:id="482165738">
      <w:bodyDiv w:val="1"/>
      <w:marLeft w:val="0"/>
      <w:marRight w:val="0"/>
      <w:marTop w:val="0"/>
      <w:marBottom w:val="0"/>
      <w:divBdr>
        <w:top w:val="none" w:sz="0" w:space="0" w:color="auto"/>
        <w:left w:val="none" w:sz="0" w:space="0" w:color="auto"/>
        <w:bottom w:val="none" w:sz="0" w:space="0" w:color="auto"/>
        <w:right w:val="none" w:sz="0" w:space="0" w:color="auto"/>
      </w:divBdr>
    </w:div>
    <w:div w:id="486046893">
      <w:bodyDiv w:val="1"/>
      <w:marLeft w:val="0"/>
      <w:marRight w:val="0"/>
      <w:marTop w:val="0"/>
      <w:marBottom w:val="0"/>
      <w:divBdr>
        <w:top w:val="none" w:sz="0" w:space="0" w:color="auto"/>
        <w:left w:val="none" w:sz="0" w:space="0" w:color="auto"/>
        <w:bottom w:val="none" w:sz="0" w:space="0" w:color="auto"/>
        <w:right w:val="none" w:sz="0" w:space="0" w:color="auto"/>
      </w:divBdr>
    </w:div>
    <w:div w:id="486169196">
      <w:bodyDiv w:val="1"/>
      <w:marLeft w:val="0"/>
      <w:marRight w:val="0"/>
      <w:marTop w:val="0"/>
      <w:marBottom w:val="0"/>
      <w:divBdr>
        <w:top w:val="none" w:sz="0" w:space="0" w:color="auto"/>
        <w:left w:val="none" w:sz="0" w:space="0" w:color="auto"/>
        <w:bottom w:val="none" w:sz="0" w:space="0" w:color="auto"/>
        <w:right w:val="none" w:sz="0" w:space="0" w:color="auto"/>
      </w:divBdr>
    </w:div>
    <w:div w:id="490294396">
      <w:bodyDiv w:val="1"/>
      <w:marLeft w:val="0"/>
      <w:marRight w:val="0"/>
      <w:marTop w:val="0"/>
      <w:marBottom w:val="0"/>
      <w:divBdr>
        <w:top w:val="none" w:sz="0" w:space="0" w:color="auto"/>
        <w:left w:val="none" w:sz="0" w:space="0" w:color="auto"/>
        <w:bottom w:val="none" w:sz="0" w:space="0" w:color="auto"/>
        <w:right w:val="none" w:sz="0" w:space="0" w:color="auto"/>
      </w:divBdr>
    </w:div>
    <w:div w:id="516046529">
      <w:bodyDiv w:val="1"/>
      <w:marLeft w:val="0"/>
      <w:marRight w:val="0"/>
      <w:marTop w:val="0"/>
      <w:marBottom w:val="0"/>
      <w:divBdr>
        <w:top w:val="none" w:sz="0" w:space="0" w:color="auto"/>
        <w:left w:val="none" w:sz="0" w:space="0" w:color="auto"/>
        <w:bottom w:val="none" w:sz="0" w:space="0" w:color="auto"/>
        <w:right w:val="none" w:sz="0" w:space="0" w:color="auto"/>
      </w:divBdr>
    </w:div>
    <w:div w:id="675158328">
      <w:bodyDiv w:val="1"/>
      <w:marLeft w:val="0"/>
      <w:marRight w:val="0"/>
      <w:marTop w:val="0"/>
      <w:marBottom w:val="0"/>
      <w:divBdr>
        <w:top w:val="none" w:sz="0" w:space="0" w:color="auto"/>
        <w:left w:val="none" w:sz="0" w:space="0" w:color="auto"/>
        <w:bottom w:val="none" w:sz="0" w:space="0" w:color="auto"/>
        <w:right w:val="none" w:sz="0" w:space="0" w:color="auto"/>
      </w:divBdr>
    </w:div>
    <w:div w:id="682243277">
      <w:bodyDiv w:val="1"/>
      <w:marLeft w:val="0"/>
      <w:marRight w:val="0"/>
      <w:marTop w:val="0"/>
      <w:marBottom w:val="0"/>
      <w:divBdr>
        <w:top w:val="none" w:sz="0" w:space="0" w:color="auto"/>
        <w:left w:val="none" w:sz="0" w:space="0" w:color="auto"/>
        <w:bottom w:val="none" w:sz="0" w:space="0" w:color="auto"/>
        <w:right w:val="none" w:sz="0" w:space="0" w:color="auto"/>
      </w:divBdr>
    </w:div>
    <w:div w:id="757334714">
      <w:bodyDiv w:val="1"/>
      <w:marLeft w:val="0"/>
      <w:marRight w:val="0"/>
      <w:marTop w:val="0"/>
      <w:marBottom w:val="0"/>
      <w:divBdr>
        <w:top w:val="none" w:sz="0" w:space="0" w:color="auto"/>
        <w:left w:val="none" w:sz="0" w:space="0" w:color="auto"/>
        <w:bottom w:val="none" w:sz="0" w:space="0" w:color="auto"/>
        <w:right w:val="none" w:sz="0" w:space="0" w:color="auto"/>
      </w:divBdr>
    </w:div>
    <w:div w:id="758212671">
      <w:bodyDiv w:val="1"/>
      <w:marLeft w:val="0"/>
      <w:marRight w:val="0"/>
      <w:marTop w:val="0"/>
      <w:marBottom w:val="0"/>
      <w:divBdr>
        <w:top w:val="none" w:sz="0" w:space="0" w:color="auto"/>
        <w:left w:val="none" w:sz="0" w:space="0" w:color="auto"/>
        <w:bottom w:val="none" w:sz="0" w:space="0" w:color="auto"/>
        <w:right w:val="none" w:sz="0" w:space="0" w:color="auto"/>
      </w:divBdr>
    </w:div>
    <w:div w:id="771706938">
      <w:bodyDiv w:val="1"/>
      <w:marLeft w:val="0"/>
      <w:marRight w:val="0"/>
      <w:marTop w:val="0"/>
      <w:marBottom w:val="0"/>
      <w:divBdr>
        <w:top w:val="none" w:sz="0" w:space="0" w:color="auto"/>
        <w:left w:val="none" w:sz="0" w:space="0" w:color="auto"/>
        <w:bottom w:val="none" w:sz="0" w:space="0" w:color="auto"/>
        <w:right w:val="none" w:sz="0" w:space="0" w:color="auto"/>
      </w:divBdr>
    </w:div>
    <w:div w:id="781264766">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15297174">
      <w:bodyDiv w:val="1"/>
      <w:marLeft w:val="0"/>
      <w:marRight w:val="0"/>
      <w:marTop w:val="0"/>
      <w:marBottom w:val="0"/>
      <w:divBdr>
        <w:top w:val="none" w:sz="0" w:space="0" w:color="auto"/>
        <w:left w:val="none" w:sz="0" w:space="0" w:color="auto"/>
        <w:bottom w:val="none" w:sz="0" w:space="0" w:color="auto"/>
        <w:right w:val="none" w:sz="0" w:space="0" w:color="auto"/>
      </w:divBdr>
    </w:div>
    <w:div w:id="820582657">
      <w:bodyDiv w:val="1"/>
      <w:marLeft w:val="0"/>
      <w:marRight w:val="0"/>
      <w:marTop w:val="0"/>
      <w:marBottom w:val="0"/>
      <w:divBdr>
        <w:top w:val="none" w:sz="0" w:space="0" w:color="auto"/>
        <w:left w:val="none" w:sz="0" w:space="0" w:color="auto"/>
        <w:bottom w:val="none" w:sz="0" w:space="0" w:color="auto"/>
        <w:right w:val="none" w:sz="0" w:space="0" w:color="auto"/>
      </w:divBdr>
    </w:div>
    <w:div w:id="848567807">
      <w:bodyDiv w:val="1"/>
      <w:marLeft w:val="0"/>
      <w:marRight w:val="0"/>
      <w:marTop w:val="0"/>
      <w:marBottom w:val="0"/>
      <w:divBdr>
        <w:top w:val="none" w:sz="0" w:space="0" w:color="auto"/>
        <w:left w:val="none" w:sz="0" w:space="0" w:color="auto"/>
        <w:bottom w:val="none" w:sz="0" w:space="0" w:color="auto"/>
        <w:right w:val="none" w:sz="0" w:space="0" w:color="auto"/>
      </w:divBdr>
    </w:div>
    <w:div w:id="862867455">
      <w:bodyDiv w:val="1"/>
      <w:marLeft w:val="0"/>
      <w:marRight w:val="0"/>
      <w:marTop w:val="0"/>
      <w:marBottom w:val="0"/>
      <w:divBdr>
        <w:top w:val="none" w:sz="0" w:space="0" w:color="auto"/>
        <w:left w:val="none" w:sz="0" w:space="0" w:color="auto"/>
        <w:bottom w:val="none" w:sz="0" w:space="0" w:color="auto"/>
        <w:right w:val="none" w:sz="0" w:space="0" w:color="auto"/>
      </w:divBdr>
    </w:div>
    <w:div w:id="875778600">
      <w:bodyDiv w:val="1"/>
      <w:marLeft w:val="0"/>
      <w:marRight w:val="0"/>
      <w:marTop w:val="0"/>
      <w:marBottom w:val="0"/>
      <w:divBdr>
        <w:top w:val="none" w:sz="0" w:space="0" w:color="auto"/>
        <w:left w:val="none" w:sz="0" w:space="0" w:color="auto"/>
        <w:bottom w:val="none" w:sz="0" w:space="0" w:color="auto"/>
        <w:right w:val="none" w:sz="0" w:space="0" w:color="auto"/>
      </w:divBdr>
    </w:div>
    <w:div w:id="881940787">
      <w:bodyDiv w:val="1"/>
      <w:marLeft w:val="0"/>
      <w:marRight w:val="0"/>
      <w:marTop w:val="0"/>
      <w:marBottom w:val="0"/>
      <w:divBdr>
        <w:top w:val="none" w:sz="0" w:space="0" w:color="auto"/>
        <w:left w:val="none" w:sz="0" w:space="0" w:color="auto"/>
        <w:bottom w:val="none" w:sz="0" w:space="0" w:color="auto"/>
        <w:right w:val="none" w:sz="0" w:space="0" w:color="auto"/>
      </w:divBdr>
    </w:div>
    <w:div w:id="910236031">
      <w:bodyDiv w:val="1"/>
      <w:marLeft w:val="0"/>
      <w:marRight w:val="0"/>
      <w:marTop w:val="0"/>
      <w:marBottom w:val="0"/>
      <w:divBdr>
        <w:top w:val="none" w:sz="0" w:space="0" w:color="auto"/>
        <w:left w:val="none" w:sz="0" w:space="0" w:color="auto"/>
        <w:bottom w:val="none" w:sz="0" w:space="0" w:color="auto"/>
        <w:right w:val="none" w:sz="0" w:space="0" w:color="auto"/>
      </w:divBdr>
    </w:div>
    <w:div w:id="925067636">
      <w:bodyDiv w:val="1"/>
      <w:marLeft w:val="0"/>
      <w:marRight w:val="0"/>
      <w:marTop w:val="0"/>
      <w:marBottom w:val="0"/>
      <w:divBdr>
        <w:top w:val="none" w:sz="0" w:space="0" w:color="auto"/>
        <w:left w:val="none" w:sz="0" w:space="0" w:color="auto"/>
        <w:bottom w:val="none" w:sz="0" w:space="0" w:color="auto"/>
        <w:right w:val="none" w:sz="0" w:space="0" w:color="auto"/>
      </w:divBdr>
    </w:div>
    <w:div w:id="954215183">
      <w:bodyDiv w:val="1"/>
      <w:marLeft w:val="0"/>
      <w:marRight w:val="0"/>
      <w:marTop w:val="0"/>
      <w:marBottom w:val="0"/>
      <w:divBdr>
        <w:top w:val="none" w:sz="0" w:space="0" w:color="auto"/>
        <w:left w:val="none" w:sz="0" w:space="0" w:color="auto"/>
        <w:bottom w:val="none" w:sz="0" w:space="0" w:color="auto"/>
        <w:right w:val="none" w:sz="0" w:space="0" w:color="auto"/>
      </w:divBdr>
    </w:div>
    <w:div w:id="984354617">
      <w:bodyDiv w:val="1"/>
      <w:marLeft w:val="0"/>
      <w:marRight w:val="0"/>
      <w:marTop w:val="0"/>
      <w:marBottom w:val="0"/>
      <w:divBdr>
        <w:top w:val="none" w:sz="0" w:space="0" w:color="auto"/>
        <w:left w:val="none" w:sz="0" w:space="0" w:color="auto"/>
        <w:bottom w:val="none" w:sz="0" w:space="0" w:color="auto"/>
        <w:right w:val="none" w:sz="0" w:space="0" w:color="auto"/>
      </w:divBdr>
    </w:div>
    <w:div w:id="989603125">
      <w:bodyDiv w:val="1"/>
      <w:marLeft w:val="0"/>
      <w:marRight w:val="0"/>
      <w:marTop w:val="0"/>
      <w:marBottom w:val="0"/>
      <w:divBdr>
        <w:top w:val="none" w:sz="0" w:space="0" w:color="auto"/>
        <w:left w:val="none" w:sz="0" w:space="0" w:color="auto"/>
        <w:bottom w:val="none" w:sz="0" w:space="0" w:color="auto"/>
        <w:right w:val="none" w:sz="0" w:space="0" w:color="auto"/>
      </w:divBdr>
    </w:div>
    <w:div w:id="1000543083">
      <w:bodyDiv w:val="1"/>
      <w:marLeft w:val="0"/>
      <w:marRight w:val="0"/>
      <w:marTop w:val="0"/>
      <w:marBottom w:val="0"/>
      <w:divBdr>
        <w:top w:val="none" w:sz="0" w:space="0" w:color="auto"/>
        <w:left w:val="none" w:sz="0" w:space="0" w:color="auto"/>
        <w:bottom w:val="none" w:sz="0" w:space="0" w:color="auto"/>
        <w:right w:val="none" w:sz="0" w:space="0" w:color="auto"/>
      </w:divBdr>
    </w:div>
    <w:div w:id="1021975260">
      <w:bodyDiv w:val="1"/>
      <w:marLeft w:val="0"/>
      <w:marRight w:val="0"/>
      <w:marTop w:val="0"/>
      <w:marBottom w:val="0"/>
      <w:divBdr>
        <w:top w:val="none" w:sz="0" w:space="0" w:color="auto"/>
        <w:left w:val="none" w:sz="0" w:space="0" w:color="auto"/>
        <w:bottom w:val="none" w:sz="0" w:space="0" w:color="auto"/>
        <w:right w:val="none" w:sz="0" w:space="0" w:color="auto"/>
      </w:divBdr>
    </w:div>
    <w:div w:id="1179349892">
      <w:bodyDiv w:val="1"/>
      <w:marLeft w:val="0"/>
      <w:marRight w:val="0"/>
      <w:marTop w:val="0"/>
      <w:marBottom w:val="0"/>
      <w:divBdr>
        <w:top w:val="none" w:sz="0" w:space="0" w:color="auto"/>
        <w:left w:val="none" w:sz="0" w:space="0" w:color="auto"/>
        <w:bottom w:val="none" w:sz="0" w:space="0" w:color="auto"/>
        <w:right w:val="none" w:sz="0" w:space="0" w:color="auto"/>
      </w:divBdr>
    </w:div>
    <w:div w:id="1260480405">
      <w:bodyDiv w:val="1"/>
      <w:marLeft w:val="0"/>
      <w:marRight w:val="0"/>
      <w:marTop w:val="0"/>
      <w:marBottom w:val="0"/>
      <w:divBdr>
        <w:top w:val="none" w:sz="0" w:space="0" w:color="auto"/>
        <w:left w:val="none" w:sz="0" w:space="0" w:color="auto"/>
        <w:bottom w:val="none" w:sz="0" w:space="0" w:color="auto"/>
        <w:right w:val="none" w:sz="0" w:space="0" w:color="auto"/>
      </w:divBdr>
    </w:div>
    <w:div w:id="1281179702">
      <w:bodyDiv w:val="1"/>
      <w:marLeft w:val="0"/>
      <w:marRight w:val="0"/>
      <w:marTop w:val="0"/>
      <w:marBottom w:val="0"/>
      <w:divBdr>
        <w:top w:val="none" w:sz="0" w:space="0" w:color="auto"/>
        <w:left w:val="none" w:sz="0" w:space="0" w:color="auto"/>
        <w:bottom w:val="none" w:sz="0" w:space="0" w:color="auto"/>
        <w:right w:val="none" w:sz="0" w:space="0" w:color="auto"/>
      </w:divBdr>
      <w:divsChild>
        <w:div w:id="320350173">
          <w:marLeft w:val="-225"/>
          <w:marRight w:val="-225"/>
          <w:marTop w:val="45"/>
          <w:marBottom w:val="45"/>
          <w:divBdr>
            <w:top w:val="none" w:sz="0" w:space="0" w:color="auto"/>
            <w:left w:val="none" w:sz="0" w:space="0" w:color="auto"/>
            <w:bottom w:val="none" w:sz="0" w:space="0" w:color="auto"/>
            <w:right w:val="none" w:sz="0" w:space="0" w:color="auto"/>
          </w:divBdr>
        </w:div>
        <w:div w:id="1375545222">
          <w:marLeft w:val="-225"/>
          <w:marRight w:val="-225"/>
          <w:marTop w:val="45"/>
          <w:marBottom w:val="45"/>
          <w:divBdr>
            <w:top w:val="none" w:sz="0" w:space="0" w:color="auto"/>
            <w:left w:val="none" w:sz="0" w:space="0" w:color="auto"/>
            <w:bottom w:val="none" w:sz="0" w:space="0" w:color="auto"/>
            <w:right w:val="none" w:sz="0" w:space="0" w:color="auto"/>
          </w:divBdr>
          <w:divsChild>
            <w:div w:id="166677959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283343755">
      <w:bodyDiv w:val="1"/>
      <w:marLeft w:val="0"/>
      <w:marRight w:val="0"/>
      <w:marTop w:val="0"/>
      <w:marBottom w:val="0"/>
      <w:divBdr>
        <w:top w:val="none" w:sz="0" w:space="0" w:color="auto"/>
        <w:left w:val="none" w:sz="0" w:space="0" w:color="auto"/>
        <w:bottom w:val="none" w:sz="0" w:space="0" w:color="auto"/>
        <w:right w:val="none" w:sz="0" w:space="0" w:color="auto"/>
      </w:divBdr>
    </w:div>
    <w:div w:id="1290865821">
      <w:bodyDiv w:val="1"/>
      <w:marLeft w:val="0"/>
      <w:marRight w:val="0"/>
      <w:marTop w:val="0"/>
      <w:marBottom w:val="0"/>
      <w:divBdr>
        <w:top w:val="none" w:sz="0" w:space="0" w:color="auto"/>
        <w:left w:val="none" w:sz="0" w:space="0" w:color="auto"/>
        <w:bottom w:val="none" w:sz="0" w:space="0" w:color="auto"/>
        <w:right w:val="none" w:sz="0" w:space="0" w:color="auto"/>
      </w:divBdr>
    </w:div>
    <w:div w:id="1302998784">
      <w:bodyDiv w:val="1"/>
      <w:marLeft w:val="0"/>
      <w:marRight w:val="0"/>
      <w:marTop w:val="0"/>
      <w:marBottom w:val="0"/>
      <w:divBdr>
        <w:top w:val="none" w:sz="0" w:space="0" w:color="auto"/>
        <w:left w:val="none" w:sz="0" w:space="0" w:color="auto"/>
        <w:bottom w:val="none" w:sz="0" w:space="0" w:color="auto"/>
        <w:right w:val="none" w:sz="0" w:space="0" w:color="auto"/>
      </w:divBdr>
    </w:div>
    <w:div w:id="1363896923">
      <w:bodyDiv w:val="1"/>
      <w:marLeft w:val="0"/>
      <w:marRight w:val="0"/>
      <w:marTop w:val="0"/>
      <w:marBottom w:val="0"/>
      <w:divBdr>
        <w:top w:val="none" w:sz="0" w:space="0" w:color="auto"/>
        <w:left w:val="none" w:sz="0" w:space="0" w:color="auto"/>
        <w:bottom w:val="none" w:sz="0" w:space="0" w:color="auto"/>
        <w:right w:val="none" w:sz="0" w:space="0" w:color="auto"/>
      </w:divBdr>
    </w:div>
    <w:div w:id="1375958889">
      <w:bodyDiv w:val="1"/>
      <w:marLeft w:val="0"/>
      <w:marRight w:val="0"/>
      <w:marTop w:val="0"/>
      <w:marBottom w:val="0"/>
      <w:divBdr>
        <w:top w:val="none" w:sz="0" w:space="0" w:color="auto"/>
        <w:left w:val="none" w:sz="0" w:space="0" w:color="auto"/>
        <w:bottom w:val="none" w:sz="0" w:space="0" w:color="auto"/>
        <w:right w:val="none" w:sz="0" w:space="0" w:color="auto"/>
      </w:divBdr>
    </w:div>
    <w:div w:id="1379547876">
      <w:bodyDiv w:val="1"/>
      <w:marLeft w:val="0"/>
      <w:marRight w:val="0"/>
      <w:marTop w:val="0"/>
      <w:marBottom w:val="0"/>
      <w:divBdr>
        <w:top w:val="none" w:sz="0" w:space="0" w:color="auto"/>
        <w:left w:val="none" w:sz="0" w:space="0" w:color="auto"/>
        <w:bottom w:val="none" w:sz="0" w:space="0" w:color="auto"/>
        <w:right w:val="none" w:sz="0" w:space="0" w:color="auto"/>
      </w:divBdr>
      <w:divsChild>
        <w:div w:id="794519920">
          <w:marLeft w:val="-225"/>
          <w:marRight w:val="-225"/>
          <w:marTop w:val="45"/>
          <w:marBottom w:val="45"/>
          <w:divBdr>
            <w:top w:val="none" w:sz="0" w:space="0" w:color="auto"/>
            <w:left w:val="none" w:sz="0" w:space="0" w:color="auto"/>
            <w:bottom w:val="none" w:sz="0" w:space="0" w:color="auto"/>
            <w:right w:val="none" w:sz="0" w:space="0" w:color="auto"/>
          </w:divBdr>
        </w:div>
        <w:div w:id="507644570">
          <w:marLeft w:val="-225"/>
          <w:marRight w:val="-225"/>
          <w:marTop w:val="45"/>
          <w:marBottom w:val="45"/>
          <w:divBdr>
            <w:top w:val="none" w:sz="0" w:space="0" w:color="auto"/>
            <w:left w:val="none" w:sz="0" w:space="0" w:color="auto"/>
            <w:bottom w:val="none" w:sz="0" w:space="0" w:color="auto"/>
            <w:right w:val="none" w:sz="0" w:space="0" w:color="auto"/>
          </w:divBdr>
          <w:divsChild>
            <w:div w:id="59972749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82825099">
      <w:bodyDiv w:val="1"/>
      <w:marLeft w:val="0"/>
      <w:marRight w:val="0"/>
      <w:marTop w:val="0"/>
      <w:marBottom w:val="0"/>
      <w:divBdr>
        <w:top w:val="none" w:sz="0" w:space="0" w:color="auto"/>
        <w:left w:val="none" w:sz="0" w:space="0" w:color="auto"/>
        <w:bottom w:val="none" w:sz="0" w:space="0" w:color="auto"/>
        <w:right w:val="none" w:sz="0" w:space="0" w:color="auto"/>
      </w:divBdr>
      <w:divsChild>
        <w:div w:id="1972590357">
          <w:marLeft w:val="0"/>
          <w:marRight w:val="0"/>
          <w:marTop w:val="0"/>
          <w:marBottom w:val="0"/>
          <w:divBdr>
            <w:top w:val="none" w:sz="0" w:space="0" w:color="auto"/>
            <w:left w:val="none" w:sz="0" w:space="0" w:color="auto"/>
            <w:bottom w:val="none" w:sz="0" w:space="0" w:color="auto"/>
            <w:right w:val="none" w:sz="0" w:space="0" w:color="auto"/>
          </w:divBdr>
          <w:divsChild>
            <w:div w:id="844050025">
              <w:marLeft w:val="0"/>
              <w:marRight w:val="0"/>
              <w:marTop w:val="0"/>
              <w:marBottom w:val="0"/>
              <w:divBdr>
                <w:top w:val="none" w:sz="0" w:space="0" w:color="auto"/>
                <w:left w:val="none" w:sz="0" w:space="0" w:color="auto"/>
                <w:bottom w:val="none" w:sz="0" w:space="0" w:color="auto"/>
                <w:right w:val="none" w:sz="0" w:space="0" w:color="auto"/>
              </w:divBdr>
              <w:divsChild>
                <w:div w:id="12539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6244">
      <w:bodyDiv w:val="1"/>
      <w:marLeft w:val="0"/>
      <w:marRight w:val="0"/>
      <w:marTop w:val="0"/>
      <w:marBottom w:val="0"/>
      <w:divBdr>
        <w:top w:val="none" w:sz="0" w:space="0" w:color="auto"/>
        <w:left w:val="none" w:sz="0" w:space="0" w:color="auto"/>
        <w:bottom w:val="none" w:sz="0" w:space="0" w:color="auto"/>
        <w:right w:val="none" w:sz="0" w:space="0" w:color="auto"/>
      </w:divBdr>
    </w:div>
    <w:div w:id="1455514763">
      <w:bodyDiv w:val="1"/>
      <w:marLeft w:val="0"/>
      <w:marRight w:val="0"/>
      <w:marTop w:val="0"/>
      <w:marBottom w:val="0"/>
      <w:divBdr>
        <w:top w:val="none" w:sz="0" w:space="0" w:color="auto"/>
        <w:left w:val="none" w:sz="0" w:space="0" w:color="auto"/>
        <w:bottom w:val="none" w:sz="0" w:space="0" w:color="auto"/>
        <w:right w:val="none" w:sz="0" w:space="0" w:color="auto"/>
      </w:divBdr>
    </w:div>
    <w:div w:id="1479346848">
      <w:bodyDiv w:val="1"/>
      <w:marLeft w:val="0"/>
      <w:marRight w:val="0"/>
      <w:marTop w:val="0"/>
      <w:marBottom w:val="0"/>
      <w:divBdr>
        <w:top w:val="none" w:sz="0" w:space="0" w:color="auto"/>
        <w:left w:val="none" w:sz="0" w:space="0" w:color="auto"/>
        <w:bottom w:val="none" w:sz="0" w:space="0" w:color="auto"/>
        <w:right w:val="none" w:sz="0" w:space="0" w:color="auto"/>
      </w:divBdr>
    </w:div>
    <w:div w:id="1502620780">
      <w:bodyDiv w:val="1"/>
      <w:marLeft w:val="0"/>
      <w:marRight w:val="0"/>
      <w:marTop w:val="0"/>
      <w:marBottom w:val="0"/>
      <w:divBdr>
        <w:top w:val="none" w:sz="0" w:space="0" w:color="auto"/>
        <w:left w:val="none" w:sz="0" w:space="0" w:color="auto"/>
        <w:bottom w:val="none" w:sz="0" w:space="0" w:color="auto"/>
        <w:right w:val="none" w:sz="0" w:space="0" w:color="auto"/>
      </w:divBdr>
      <w:divsChild>
        <w:div w:id="1809738501">
          <w:marLeft w:val="0"/>
          <w:marRight w:val="0"/>
          <w:marTop w:val="0"/>
          <w:marBottom w:val="0"/>
          <w:divBdr>
            <w:top w:val="none" w:sz="0" w:space="0" w:color="auto"/>
            <w:left w:val="none" w:sz="0" w:space="0" w:color="auto"/>
            <w:bottom w:val="none" w:sz="0" w:space="0" w:color="auto"/>
            <w:right w:val="none" w:sz="0" w:space="0" w:color="auto"/>
          </w:divBdr>
          <w:divsChild>
            <w:div w:id="803280764">
              <w:marLeft w:val="0"/>
              <w:marRight w:val="0"/>
              <w:marTop w:val="0"/>
              <w:marBottom w:val="0"/>
              <w:divBdr>
                <w:top w:val="none" w:sz="0" w:space="0" w:color="auto"/>
                <w:left w:val="none" w:sz="0" w:space="0" w:color="auto"/>
                <w:bottom w:val="none" w:sz="0" w:space="0" w:color="auto"/>
                <w:right w:val="none" w:sz="0" w:space="0" w:color="auto"/>
              </w:divBdr>
              <w:divsChild>
                <w:div w:id="340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1937">
      <w:bodyDiv w:val="1"/>
      <w:marLeft w:val="0"/>
      <w:marRight w:val="0"/>
      <w:marTop w:val="0"/>
      <w:marBottom w:val="0"/>
      <w:divBdr>
        <w:top w:val="none" w:sz="0" w:space="0" w:color="auto"/>
        <w:left w:val="none" w:sz="0" w:space="0" w:color="auto"/>
        <w:bottom w:val="none" w:sz="0" w:space="0" w:color="auto"/>
        <w:right w:val="none" w:sz="0" w:space="0" w:color="auto"/>
      </w:divBdr>
    </w:div>
    <w:div w:id="1511522921">
      <w:bodyDiv w:val="1"/>
      <w:marLeft w:val="0"/>
      <w:marRight w:val="0"/>
      <w:marTop w:val="0"/>
      <w:marBottom w:val="0"/>
      <w:divBdr>
        <w:top w:val="none" w:sz="0" w:space="0" w:color="auto"/>
        <w:left w:val="none" w:sz="0" w:space="0" w:color="auto"/>
        <w:bottom w:val="none" w:sz="0" w:space="0" w:color="auto"/>
        <w:right w:val="none" w:sz="0" w:space="0" w:color="auto"/>
      </w:divBdr>
    </w:div>
    <w:div w:id="1540623135">
      <w:bodyDiv w:val="1"/>
      <w:marLeft w:val="0"/>
      <w:marRight w:val="0"/>
      <w:marTop w:val="0"/>
      <w:marBottom w:val="0"/>
      <w:divBdr>
        <w:top w:val="none" w:sz="0" w:space="0" w:color="auto"/>
        <w:left w:val="none" w:sz="0" w:space="0" w:color="auto"/>
        <w:bottom w:val="none" w:sz="0" w:space="0" w:color="auto"/>
        <w:right w:val="none" w:sz="0" w:space="0" w:color="auto"/>
      </w:divBdr>
    </w:div>
    <w:div w:id="1572502937">
      <w:bodyDiv w:val="1"/>
      <w:marLeft w:val="0"/>
      <w:marRight w:val="0"/>
      <w:marTop w:val="0"/>
      <w:marBottom w:val="0"/>
      <w:divBdr>
        <w:top w:val="none" w:sz="0" w:space="0" w:color="auto"/>
        <w:left w:val="none" w:sz="0" w:space="0" w:color="auto"/>
        <w:bottom w:val="none" w:sz="0" w:space="0" w:color="auto"/>
        <w:right w:val="none" w:sz="0" w:space="0" w:color="auto"/>
      </w:divBdr>
    </w:div>
    <w:div w:id="1613242403">
      <w:bodyDiv w:val="1"/>
      <w:marLeft w:val="0"/>
      <w:marRight w:val="0"/>
      <w:marTop w:val="0"/>
      <w:marBottom w:val="0"/>
      <w:divBdr>
        <w:top w:val="none" w:sz="0" w:space="0" w:color="auto"/>
        <w:left w:val="none" w:sz="0" w:space="0" w:color="auto"/>
        <w:bottom w:val="none" w:sz="0" w:space="0" w:color="auto"/>
        <w:right w:val="none" w:sz="0" w:space="0" w:color="auto"/>
      </w:divBdr>
    </w:div>
    <w:div w:id="1788229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192127">
      <w:bodyDiv w:val="1"/>
      <w:marLeft w:val="0"/>
      <w:marRight w:val="0"/>
      <w:marTop w:val="0"/>
      <w:marBottom w:val="0"/>
      <w:divBdr>
        <w:top w:val="none" w:sz="0" w:space="0" w:color="auto"/>
        <w:left w:val="none" w:sz="0" w:space="0" w:color="auto"/>
        <w:bottom w:val="none" w:sz="0" w:space="0" w:color="auto"/>
        <w:right w:val="none" w:sz="0" w:space="0" w:color="auto"/>
      </w:divBdr>
    </w:div>
    <w:div w:id="1835946682">
      <w:bodyDiv w:val="1"/>
      <w:marLeft w:val="0"/>
      <w:marRight w:val="0"/>
      <w:marTop w:val="0"/>
      <w:marBottom w:val="0"/>
      <w:divBdr>
        <w:top w:val="none" w:sz="0" w:space="0" w:color="auto"/>
        <w:left w:val="none" w:sz="0" w:space="0" w:color="auto"/>
        <w:bottom w:val="none" w:sz="0" w:space="0" w:color="auto"/>
        <w:right w:val="none" w:sz="0" w:space="0" w:color="auto"/>
      </w:divBdr>
    </w:div>
    <w:div w:id="1897010746">
      <w:bodyDiv w:val="1"/>
      <w:marLeft w:val="0"/>
      <w:marRight w:val="0"/>
      <w:marTop w:val="0"/>
      <w:marBottom w:val="0"/>
      <w:divBdr>
        <w:top w:val="none" w:sz="0" w:space="0" w:color="auto"/>
        <w:left w:val="none" w:sz="0" w:space="0" w:color="auto"/>
        <w:bottom w:val="none" w:sz="0" w:space="0" w:color="auto"/>
        <w:right w:val="none" w:sz="0" w:space="0" w:color="auto"/>
      </w:divBdr>
    </w:div>
    <w:div w:id="1909071140">
      <w:bodyDiv w:val="1"/>
      <w:marLeft w:val="0"/>
      <w:marRight w:val="0"/>
      <w:marTop w:val="0"/>
      <w:marBottom w:val="0"/>
      <w:divBdr>
        <w:top w:val="none" w:sz="0" w:space="0" w:color="auto"/>
        <w:left w:val="none" w:sz="0" w:space="0" w:color="auto"/>
        <w:bottom w:val="none" w:sz="0" w:space="0" w:color="auto"/>
        <w:right w:val="none" w:sz="0" w:space="0" w:color="auto"/>
      </w:divBdr>
    </w:div>
    <w:div w:id="1930117707">
      <w:bodyDiv w:val="1"/>
      <w:marLeft w:val="0"/>
      <w:marRight w:val="0"/>
      <w:marTop w:val="0"/>
      <w:marBottom w:val="0"/>
      <w:divBdr>
        <w:top w:val="none" w:sz="0" w:space="0" w:color="auto"/>
        <w:left w:val="none" w:sz="0" w:space="0" w:color="auto"/>
        <w:bottom w:val="none" w:sz="0" w:space="0" w:color="auto"/>
        <w:right w:val="none" w:sz="0" w:space="0" w:color="auto"/>
      </w:divBdr>
    </w:div>
    <w:div w:id="200674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Terrorism/Span/indice.htm" TargetMode="External"/><Relationship Id="rId2" Type="http://schemas.openxmlformats.org/officeDocument/2006/relationships/hyperlink" Target="http://www.oas.org/es/cidh/ppl/docs/pdf/PPL2011esp.pdf" TargetMode="External"/><Relationship Id="rId1" Type="http://schemas.openxmlformats.org/officeDocument/2006/relationships/hyperlink" Target="https://www.adndigital.com.py/tras-19-anos-hoy-debe-iniciarse-juicio-oral-contra-walter-bower-por-tortura/" TargetMode="External"/><Relationship Id="rId5"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4"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7148-924A-4951-BEFB-7B7F520EC40A}">
  <ds:schemaRefs>
    <ds:schemaRef ds:uri="http://schemas.microsoft.com/sharepoint/v3/contenttype/forms"/>
  </ds:schemaRefs>
</ds:datastoreItem>
</file>

<file path=customXml/itemProps2.xml><?xml version="1.0" encoding="utf-8"?>
<ds:datastoreItem xmlns:ds="http://schemas.openxmlformats.org/officeDocument/2006/customXml" ds:itemID="{C74D0DFC-94A2-4367-B7FC-B6A6AC50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3EDDC-55BF-424F-8C9E-C8B83D8375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DA74C0-3282-40EC-BD9F-46DAD13C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13596</Words>
  <Characters>77500</Characters>
  <Application>Microsoft Office Word</Application>
  <DocSecurity>0</DocSecurity>
  <Lines>645</Lines>
  <Paragraphs>181</Paragraphs>
  <ScaleCrop>false</ScaleCrop>
  <Company/>
  <LinksUpToDate>false</LinksUpToDate>
  <CharactersWithSpaces>90915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2022-01-12T20:00:00Z</dcterms:created>
  <dcterms:modified xsi:type="dcterms:W3CDTF">2022-01-12T20:00:00Z</dcterms:modified>
</cp:coreProperties>
</file>