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A2A3" w14:textId="77777777" w:rsidR="00610A15" w:rsidRPr="007A0D4C" w:rsidRDefault="00610A15" w:rsidP="007A0D4C">
      <w:pPr>
        <w:jc w:val="both"/>
        <w:rPr>
          <w:rFonts w:ascii="Cambria" w:hAnsi="Cambria" w:cs="Univers"/>
          <w:b/>
          <w:bCs/>
          <w:sz w:val="20"/>
          <w:szCs w:val="20"/>
          <w:lang w:val="es-ES_tradnl"/>
        </w:rPr>
      </w:pPr>
      <w:r w:rsidRPr="007A0D4C">
        <w:rPr>
          <w:rFonts w:ascii="Cambria" w:hAnsi="Cambria"/>
          <w:noProof/>
          <w:sz w:val="20"/>
          <w:szCs w:val="20"/>
        </w:rPr>
        <mc:AlternateContent>
          <mc:Choice Requires="wps">
            <w:drawing>
              <wp:anchor distT="0" distB="0" distL="114300" distR="114300" simplePos="0" relativeHeight="251658240" behindDoc="0" locked="0" layoutInCell="1" allowOverlap="1" wp14:anchorId="4E369024" wp14:editId="1E449B6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18FCF"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7A0D4C">
        <w:rPr>
          <w:rFonts w:ascii="Cambria" w:hAnsi="Cambria"/>
          <w:noProof/>
          <w:sz w:val="20"/>
          <w:szCs w:val="20"/>
        </w:rPr>
        <mc:AlternateContent>
          <mc:Choice Requires="wps">
            <w:drawing>
              <wp:anchor distT="0" distB="0" distL="114300" distR="114300" simplePos="0" relativeHeight="251658244" behindDoc="0" locked="0" layoutInCell="1" allowOverlap="1" wp14:anchorId="490BA972" wp14:editId="5F7056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3D0B5" w14:textId="77777777" w:rsidR="000A5EAC" w:rsidRDefault="000A5EAC" w:rsidP="00610A15">
                            <w:r>
                              <w:rPr>
                                <w:noProof/>
                              </w:rPr>
                              <w:drawing>
                                <wp:inline distT="0" distB="0" distL="0" distR="0" wp14:anchorId="784748D0" wp14:editId="61C14BE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BA97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D13D0B5" w14:textId="77777777" w:rsidR="000A5EAC" w:rsidRDefault="000A5EAC" w:rsidP="00610A15">
                      <w:r>
                        <w:rPr>
                          <w:noProof/>
                        </w:rPr>
                        <w:drawing>
                          <wp:inline distT="0" distB="0" distL="0" distR="0" wp14:anchorId="784748D0" wp14:editId="61C14BE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545B3DFA" w14:textId="77777777" w:rsidR="00610A15" w:rsidRPr="007A0D4C" w:rsidRDefault="00610A15" w:rsidP="007A0D4C">
      <w:pPr>
        <w:tabs>
          <w:tab w:val="center" w:pos="5400"/>
        </w:tabs>
        <w:suppressAutoHyphens/>
        <w:jc w:val="both"/>
        <w:rPr>
          <w:rFonts w:ascii="Cambria" w:hAnsi="Cambria"/>
          <w:sz w:val="20"/>
          <w:szCs w:val="20"/>
          <w:lang w:val="es-ES"/>
        </w:rPr>
      </w:pPr>
    </w:p>
    <w:p w14:paraId="4B6575D6" w14:textId="77777777" w:rsidR="00610A15" w:rsidRPr="007A0D4C" w:rsidRDefault="00610A15" w:rsidP="007A0D4C">
      <w:pPr>
        <w:tabs>
          <w:tab w:val="center" w:pos="5400"/>
        </w:tabs>
        <w:suppressAutoHyphens/>
        <w:jc w:val="both"/>
        <w:rPr>
          <w:rFonts w:ascii="Cambria" w:hAnsi="Cambria"/>
          <w:sz w:val="20"/>
          <w:szCs w:val="20"/>
          <w:lang w:val="es-ES"/>
        </w:rPr>
      </w:pPr>
    </w:p>
    <w:p w14:paraId="0E6680AA" w14:textId="77777777" w:rsidR="00610A15" w:rsidRPr="007A0D4C" w:rsidRDefault="00610A15" w:rsidP="007A0D4C">
      <w:pPr>
        <w:tabs>
          <w:tab w:val="center" w:pos="5400"/>
        </w:tabs>
        <w:suppressAutoHyphens/>
        <w:jc w:val="both"/>
        <w:rPr>
          <w:rFonts w:ascii="Cambria" w:hAnsi="Cambria"/>
          <w:sz w:val="20"/>
          <w:szCs w:val="20"/>
          <w:lang w:val="es-ES_tradnl"/>
        </w:rPr>
      </w:pPr>
    </w:p>
    <w:p w14:paraId="0D62BF25" w14:textId="77777777" w:rsidR="00610A15" w:rsidRPr="007A0D4C" w:rsidRDefault="00610A15" w:rsidP="007A0D4C">
      <w:pPr>
        <w:tabs>
          <w:tab w:val="center" w:pos="5400"/>
        </w:tabs>
        <w:suppressAutoHyphens/>
        <w:jc w:val="both"/>
        <w:rPr>
          <w:rFonts w:ascii="Cambria" w:hAnsi="Cambria"/>
          <w:sz w:val="20"/>
          <w:szCs w:val="20"/>
          <w:lang w:val="es-ES_tradnl"/>
        </w:rPr>
      </w:pPr>
    </w:p>
    <w:p w14:paraId="204BA990" w14:textId="77777777" w:rsidR="00610A15" w:rsidRPr="007A0D4C" w:rsidRDefault="00610A15" w:rsidP="007A0D4C">
      <w:pPr>
        <w:tabs>
          <w:tab w:val="center" w:pos="5400"/>
        </w:tabs>
        <w:suppressAutoHyphens/>
        <w:jc w:val="both"/>
        <w:rPr>
          <w:rFonts w:ascii="Cambria" w:hAnsi="Cambria"/>
          <w:sz w:val="20"/>
          <w:szCs w:val="20"/>
          <w:lang w:val="es-ES_tradnl"/>
        </w:rPr>
      </w:pPr>
    </w:p>
    <w:p w14:paraId="11B4B8DB" w14:textId="77777777" w:rsidR="00610A15" w:rsidRPr="007A0D4C" w:rsidRDefault="00610A15" w:rsidP="007A0D4C">
      <w:pPr>
        <w:tabs>
          <w:tab w:val="center" w:pos="5400"/>
        </w:tabs>
        <w:suppressAutoHyphens/>
        <w:jc w:val="both"/>
        <w:rPr>
          <w:rFonts w:ascii="Cambria" w:hAnsi="Cambria"/>
          <w:sz w:val="20"/>
          <w:szCs w:val="20"/>
          <w:lang w:val="es-ES_tradnl"/>
        </w:rPr>
      </w:pPr>
    </w:p>
    <w:p w14:paraId="5D245E3B" w14:textId="77777777" w:rsidR="00610A15" w:rsidRPr="007A0D4C" w:rsidRDefault="00610A15" w:rsidP="007A0D4C">
      <w:pPr>
        <w:tabs>
          <w:tab w:val="center" w:pos="5400"/>
        </w:tabs>
        <w:suppressAutoHyphens/>
        <w:jc w:val="both"/>
        <w:rPr>
          <w:rFonts w:ascii="Cambria" w:hAnsi="Cambria"/>
          <w:sz w:val="20"/>
          <w:szCs w:val="20"/>
          <w:lang w:val="es-ES_tradnl"/>
        </w:rPr>
      </w:pPr>
    </w:p>
    <w:p w14:paraId="573FF1DF" w14:textId="77777777" w:rsidR="00610A15" w:rsidRPr="007A0D4C" w:rsidRDefault="00610A15" w:rsidP="007A0D4C">
      <w:pPr>
        <w:tabs>
          <w:tab w:val="center" w:pos="5400"/>
        </w:tabs>
        <w:suppressAutoHyphens/>
        <w:jc w:val="both"/>
        <w:rPr>
          <w:rFonts w:ascii="Cambria" w:hAnsi="Cambria"/>
          <w:sz w:val="20"/>
          <w:szCs w:val="20"/>
          <w:lang w:val="es-ES_tradnl"/>
        </w:rPr>
      </w:pPr>
    </w:p>
    <w:p w14:paraId="4B2EDC31" w14:textId="77777777" w:rsidR="00610A15" w:rsidRPr="007A0D4C" w:rsidRDefault="00610A15" w:rsidP="007A0D4C">
      <w:pPr>
        <w:tabs>
          <w:tab w:val="center" w:pos="5400"/>
        </w:tabs>
        <w:suppressAutoHyphens/>
        <w:jc w:val="both"/>
        <w:rPr>
          <w:rFonts w:ascii="Cambria" w:hAnsi="Cambria"/>
          <w:sz w:val="20"/>
          <w:szCs w:val="20"/>
          <w:lang w:val="es-ES_tradnl"/>
        </w:rPr>
      </w:pPr>
    </w:p>
    <w:p w14:paraId="5FC21805" w14:textId="77777777" w:rsidR="00610A15" w:rsidRPr="007A0D4C" w:rsidRDefault="00610A15" w:rsidP="007A0D4C">
      <w:pPr>
        <w:tabs>
          <w:tab w:val="center" w:pos="5400"/>
        </w:tabs>
        <w:suppressAutoHyphens/>
        <w:jc w:val="both"/>
        <w:rPr>
          <w:rFonts w:ascii="Cambria" w:hAnsi="Cambria"/>
          <w:sz w:val="20"/>
          <w:szCs w:val="20"/>
          <w:lang w:val="es-ES_tradnl"/>
        </w:rPr>
      </w:pPr>
    </w:p>
    <w:p w14:paraId="342057F3" w14:textId="77777777" w:rsidR="00610A15" w:rsidRPr="007A0D4C" w:rsidRDefault="00610A15" w:rsidP="007A0D4C">
      <w:pPr>
        <w:tabs>
          <w:tab w:val="center" w:pos="5400"/>
        </w:tabs>
        <w:suppressAutoHyphens/>
        <w:jc w:val="both"/>
        <w:rPr>
          <w:rFonts w:ascii="Cambria" w:hAnsi="Cambria"/>
          <w:sz w:val="20"/>
          <w:szCs w:val="20"/>
          <w:lang w:val="es-ES_tradnl"/>
        </w:rPr>
      </w:pPr>
    </w:p>
    <w:p w14:paraId="57DAE0D7" w14:textId="77777777" w:rsidR="00610A15" w:rsidRPr="007A0D4C" w:rsidRDefault="00610A15" w:rsidP="007A0D4C">
      <w:pPr>
        <w:tabs>
          <w:tab w:val="center" w:pos="5400"/>
        </w:tabs>
        <w:suppressAutoHyphens/>
        <w:jc w:val="both"/>
        <w:rPr>
          <w:rFonts w:ascii="Cambria" w:hAnsi="Cambria"/>
          <w:sz w:val="20"/>
          <w:szCs w:val="20"/>
          <w:lang w:val="es-ES_tradnl"/>
        </w:rPr>
      </w:pPr>
    </w:p>
    <w:p w14:paraId="02F0709A" w14:textId="77777777" w:rsidR="00610A15" w:rsidRPr="007A0D4C" w:rsidRDefault="00610A15" w:rsidP="007A0D4C">
      <w:pPr>
        <w:tabs>
          <w:tab w:val="center" w:pos="5400"/>
        </w:tabs>
        <w:suppressAutoHyphens/>
        <w:jc w:val="both"/>
        <w:rPr>
          <w:rFonts w:ascii="Cambria" w:hAnsi="Cambria"/>
          <w:sz w:val="20"/>
          <w:szCs w:val="20"/>
          <w:lang w:val="es-ES_tradnl"/>
        </w:rPr>
      </w:pPr>
      <w:r w:rsidRPr="007A0D4C">
        <w:rPr>
          <w:rFonts w:ascii="Cambria" w:hAnsi="Cambria"/>
          <w:noProof/>
          <w:sz w:val="20"/>
          <w:szCs w:val="20"/>
        </w:rPr>
        <mc:AlternateContent>
          <mc:Choice Requires="wps">
            <w:drawing>
              <wp:anchor distT="0" distB="0" distL="114300" distR="114300" simplePos="0" relativeHeight="251658241" behindDoc="0" locked="0" layoutInCell="1" allowOverlap="1" wp14:anchorId="73A4F00D" wp14:editId="199A082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504BF" w14:textId="495B93D0" w:rsidR="000A5EAC" w:rsidRPr="00430348" w:rsidRDefault="000A5EAC"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196/20</w:t>
                            </w:r>
                          </w:p>
                          <w:p w14:paraId="7333E102" w14:textId="674585BB" w:rsidR="000A5EAC" w:rsidRPr="005B2F65" w:rsidRDefault="000A5EAC"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CASO 13.030</w:t>
                            </w:r>
                          </w:p>
                          <w:p w14:paraId="284C10D3" w14:textId="77777777" w:rsidR="000A5EAC" w:rsidRPr="005B2F65" w:rsidRDefault="000A5EAC" w:rsidP="00610A15">
                            <w:pPr>
                              <w:spacing w:line="276" w:lineRule="auto"/>
                              <w:rPr>
                                <w:rFonts w:ascii="Cambria" w:hAnsi="Cambria" w:cs="Arial"/>
                                <w:color w:val="0D0D0D" w:themeColor="text1" w:themeTint="F2"/>
                                <w:szCs w:val="22"/>
                                <w:lang w:val="es-ES_tradnl"/>
                              </w:rPr>
                            </w:pPr>
                            <w:r w:rsidRPr="005B2F65">
                              <w:rPr>
                                <w:rFonts w:ascii="Cambria" w:hAnsi="Cambria" w:cs="Arial"/>
                                <w:color w:val="0D0D0D" w:themeColor="text1" w:themeTint="F2"/>
                                <w:szCs w:val="22"/>
                                <w:lang w:val="es-ES_tradnl"/>
                              </w:rPr>
                              <w:t>INFORME DE FONDO</w:t>
                            </w:r>
                          </w:p>
                          <w:p w14:paraId="092E3550" w14:textId="21D4D977" w:rsidR="000A5EAC" w:rsidRPr="005B2F65" w:rsidRDefault="000A5EAC" w:rsidP="00610A15">
                            <w:pPr>
                              <w:spacing w:line="276" w:lineRule="auto"/>
                              <w:rPr>
                                <w:rFonts w:ascii="Cambria" w:hAnsi="Cambria" w:cs="Arial"/>
                                <w:color w:val="0D0D0D" w:themeColor="text1" w:themeTint="F2"/>
                                <w:szCs w:val="22"/>
                                <w:lang w:val="es-ES_tradnl"/>
                              </w:rPr>
                            </w:pPr>
                            <w:bookmarkStart w:id="0" w:name="_ftnref1"/>
                            <w:r>
                              <w:rPr>
                                <w:rFonts w:ascii="Cambria" w:hAnsi="Cambria" w:cs="Arial"/>
                                <w:color w:val="0D0D0D" w:themeColor="text1" w:themeTint="F2"/>
                                <w:szCs w:val="22"/>
                                <w:lang w:val="es-ES_tradnl"/>
                              </w:rPr>
                              <w:t xml:space="preserve">SANTIAGO LEGUIZAMÓN ZAVÁN Y FAMILIA </w:t>
                            </w:r>
                          </w:p>
                          <w:p w14:paraId="4CBFFC8D" w14:textId="77777777" w:rsidR="000A5EAC" w:rsidRPr="005B2F65" w:rsidRDefault="000A5EAC" w:rsidP="00610A15">
                            <w:pPr>
                              <w:spacing w:line="276" w:lineRule="auto"/>
                              <w:rPr>
                                <w:rFonts w:ascii="Cambria" w:hAnsi="Cambria" w:cs="Arial"/>
                                <w:color w:val="0D0D0D" w:themeColor="text1" w:themeTint="F2"/>
                                <w:szCs w:val="22"/>
                                <w:lang w:val="es-ES_tradnl"/>
                              </w:rPr>
                            </w:pPr>
                          </w:p>
                          <w:bookmarkEnd w:id="0"/>
                          <w:p w14:paraId="7C4899CA" w14:textId="1C7D1F3C" w:rsidR="000A5EAC" w:rsidRPr="00430348" w:rsidRDefault="000A5EAC"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PARAGUAY</w:t>
                            </w:r>
                          </w:p>
                          <w:p w14:paraId="0840E228" w14:textId="77777777" w:rsidR="000A5EAC" w:rsidRPr="00AE5488" w:rsidRDefault="000A5EAC"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F00D"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C2504BF" w14:textId="495B93D0" w:rsidR="000A5EAC" w:rsidRPr="00430348" w:rsidRDefault="000A5EAC"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196/20</w:t>
                      </w:r>
                    </w:p>
                    <w:p w14:paraId="7333E102" w14:textId="674585BB" w:rsidR="000A5EAC" w:rsidRPr="005B2F65" w:rsidRDefault="000A5EAC"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CASO 13.030</w:t>
                      </w:r>
                    </w:p>
                    <w:p w14:paraId="284C10D3" w14:textId="77777777" w:rsidR="000A5EAC" w:rsidRPr="005B2F65" w:rsidRDefault="000A5EAC" w:rsidP="00610A15">
                      <w:pPr>
                        <w:spacing w:line="276" w:lineRule="auto"/>
                        <w:rPr>
                          <w:rFonts w:ascii="Cambria" w:hAnsi="Cambria" w:cs="Arial"/>
                          <w:color w:val="0D0D0D" w:themeColor="text1" w:themeTint="F2"/>
                          <w:szCs w:val="22"/>
                          <w:lang w:val="es-ES_tradnl"/>
                        </w:rPr>
                      </w:pPr>
                      <w:r w:rsidRPr="005B2F65">
                        <w:rPr>
                          <w:rFonts w:ascii="Cambria" w:hAnsi="Cambria" w:cs="Arial"/>
                          <w:color w:val="0D0D0D" w:themeColor="text1" w:themeTint="F2"/>
                          <w:szCs w:val="22"/>
                          <w:lang w:val="es-ES_tradnl"/>
                        </w:rPr>
                        <w:t>INFORME DE FONDO</w:t>
                      </w:r>
                    </w:p>
                    <w:p w14:paraId="092E3550" w14:textId="21D4D977" w:rsidR="000A5EAC" w:rsidRPr="005B2F65" w:rsidRDefault="000A5EAC" w:rsidP="00610A15">
                      <w:pPr>
                        <w:spacing w:line="276" w:lineRule="auto"/>
                        <w:rPr>
                          <w:rFonts w:ascii="Cambria" w:hAnsi="Cambria" w:cs="Arial"/>
                          <w:color w:val="0D0D0D" w:themeColor="text1" w:themeTint="F2"/>
                          <w:szCs w:val="22"/>
                          <w:lang w:val="es-ES_tradnl"/>
                        </w:rPr>
                      </w:pPr>
                      <w:bookmarkStart w:id="1" w:name="_ftnref1"/>
                      <w:r>
                        <w:rPr>
                          <w:rFonts w:ascii="Cambria" w:hAnsi="Cambria" w:cs="Arial"/>
                          <w:color w:val="0D0D0D" w:themeColor="text1" w:themeTint="F2"/>
                          <w:szCs w:val="22"/>
                          <w:lang w:val="es-ES_tradnl"/>
                        </w:rPr>
                        <w:t xml:space="preserve">SANTIAGO LEGUIZAMÓN ZAVÁN Y FAMILIA </w:t>
                      </w:r>
                    </w:p>
                    <w:p w14:paraId="4CBFFC8D" w14:textId="77777777" w:rsidR="000A5EAC" w:rsidRPr="005B2F65" w:rsidRDefault="000A5EAC" w:rsidP="00610A15">
                      <w:pPr>
                        <w:spacing w:line="276" w:lineRule="auto"/>
                        <w:rPr>
                          <w:rFonts w:ascii="Cambria" w:hAnsi="Cambria" w:cs="Arial"/>
                          <w:color w:val="0D0D0D" w:themeColor="text1" w:themeTint="F2"/>
                          <w:szCs w:val="22"/>
                          <w:lang w:val="es-ES_tradnl"/>
                        </w:rPr>
                      </w:pPr>
                    </w:p>
                    <w:bookmarkEnd w:id="1"/>
                    <w:p w14:paraId="7C4899CA" w14:textId="1C7D1F3C" w:rsidR="000A5EAC" w:rsidRPr="00430348" w:rsidRDefault="000A5EAC"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PARAGUAY</w:t>
                      </w:r>
                    </w:p>
                    <w:p w14:paraId="0840E228" w14:textId="77777777" w:rsidR="000A5EAC" w:rsidRPr="00AE5488" w:rsidRDefault="000A5EAC" w:rsidP="00610A15">
                      <w:pPr>
                        <w:rPr>
                          <w:color w:val="0D0D0D" w:themeColor="text1" w:themeTint="F2"/>
                          <w:lang w:val="es-ES_tradnl"/>
                        </w:rPr>
                      </w:pPr>
                    </w:p>
                  </w:txbxContent>
                </v:textbox>
              </v:shape>
            </w:pict>
          </mc:Fallback>
        </mc:AlternateContent>
      </w:r>
      <w:r w:rsidRPr="007A0D4C">
        <w:rPr>
          <w:rFonts w:ascii="Cambria" w:hAnsi="Cambria"/>
          <w:noProof/>
          <w:sz w:val="20"/>
          <w:szCs w:val="20"/>
        </w:rPr>
        <mc:AlternateContent>
          <mc:Choice Requires="wps">
            <w:drawing>
              <wp:anchor distT="0" distB="0" distL="114300" distR="114300" simplePos="0" relativeHeight="251658243" behindDoc="0" locked="0" layoutInCell="1" allowOverlap="1" wp14:anchorId="45387E17" wp14:editId="234A06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2B19B" w14:textId="59426548" w:rsidR="000A5EAC" w:rsidRPr="009E54A9" w:rsidRDefault="000A5EAC"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28F45503" w14:textId="63346960" w:rsidR="000A5EAC" w:rsidRPr="00B17B12" w:rsidRDefault="000A5EAC" w:rsidP="009D70A3">
                            <w:pPr>
                              <w:spacing w:line="276" w:lineRule="auto"/>
                              <w:jc w:val="right"/>
                              <w:rPr>
                                <w:rFonts w:asciiTheme="minorHAnsi" w:hAnsiTheme="minorHAnsi"/>
                                <w:color w:val="FFFFFF" w:themeColor="background1"/>
                                <w:sz w:val="22"/>
                                <w:lang w:val="pt-BR"/>
                              </w:rPr>
                            </w:pPr>
                            <w:r w:rsidRPr="00174CA8">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209</w:t>
                            </w:r>
                          </w:p>
                          <w:p w14:paraId="406E156D" w14:textId="6CBB6921" w:rsidR="000A5EAC" w:rsidRPr="009D70A3" w:rsidRDefault="000A5EAC"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10</w:t>
                            </w:r>
                            <w:r w:rsidRPr="009D70A3">
                              <w:rPr>
                                <w:rFonts w:asciiTheme="minorHAnsi" w:hAnsiTheme="minorHAnsi"/>
                                <w:color w:val="FFFFFF" w:themeColor="background1"/>
                                <w:sz w:val="22"/>
                                <w:lang w:val="es-VE"/>
                              </w:rPr>
                              <w:t xml:space="preserve"> de </w:t>
                            </w:r>
                            <w:r>
                              <w:rPr>
                                <w:rFonts w:asciiTheme="minorHAnsi" w:hAnsiTheme="minorHAnsi"/>
                                <w:color w:val="FFFFFF" w:themeColor="background1"/>
                                <w:sz w:val="22"/>
                                <w:lang w:val="es-VE"/>
                              </w:rPr>
                              <w:t>julio 2020</w:t>
                            </w:r>
                          </w:p>
                          <w:p w14:paraId="5A38DF6C" w14:textId="77777777" w:rsidR="000A5EAC" w:rsidRPr="00E33B22" w:rsidRDefault="000A5EAC"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7E17"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7D2B19B" w14:textId="59426548" w:rsidR="000A5EAC" w:rsidRPr="009E54A9" w:rsidRDefault="000A5EAC"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28F45503" w14:textId="63346960" w:rsidR="000A5EAC" w:rsidRPr="00B17B12" w:rsidRDefault="000A5EAC" w:rsidP="009D70A3">
                      <w:pPr>
                        <w:spacing w:line="276" w:lineRule="auto"/>
                        <w:jc w:val="right"/>
                        <w:rPr>
                          <w:rFonts w:asciiTheme="minorHAnsi" w:hAnsiTheme="minorHAnsi"/>
                          <w:color w:val="FFFFFF" w:themeColor="background1"/>
                          <w:sz w:val="22"/>
                          <w:lang w:val="pt-BR"/>
                        </w:rPr>
                      </w:pPr>
                      <w:r w:rsidRPr="00174CA8">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209</w:t>
                      </w:r>
                    </w:p>
                    <w:p w14:paraId="406E156D" w14:textId="6CBB6921" w:rsidR="000A5EAC" w:rsidRPr="009D70A3" w:rsidRDefault="000A5EAC"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10</w:t>
                      </w:r>
                      <w:r w:rsidRPr="009D70A3">
                        <w:rPr>
                          <w:rFonts w:asciiTheme="minorHAnsi" w:hAnsiTheme="minorHAnsi"/>
                          <w:color w:val="FFFFFF" w:themeColor="background1"/>
                          <w:sz w:val="22"/>
                          <w:lang w:val="es-VE"/>
                        </w:rPr>
                        <w:t xml:space="preserve"> de </w:t>
                      </w:r>
                      <w:r>
                        <w:rPr>
                          <w:rFonts w:asciiTheme="minorHAnsi" w:hAnsiTheme="minorHAnsi"/>
                          <w:color w:val="FFFFFF" w:themeColor="background1"/>
                          <w:sz w:val="22"/>
                          <w:lang w:val="es-VE"/>
                        </w:rPr>
                        <w:t>julio 2020</w:t>
                      </w:r>
                    </w:p>
                    <w:p w14:paraId="5A38DF6C" w14:textId="77777777" w:rsidR="000A5EAC" w:rsidRPr="00E33B22" w:rsidRDefault="000A5EAC"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v:textbox>
              </v:shape>
            </w:pict>
          </mc:Fallback>
        </mc:AlternateContent>
      </w:r>
    </w:p>
    <w:p w14:paraId="5D1C64EA" w14:textId="77777777" w:rsidR="00610A15" w:rsidRPr="007A0D4C" w:rsidRDefault="00610A15" w:rsidP="007A0D4C">
      <w:pPr>
        <w:tabs>
          <w:tab w:val="center" w:pos="5400"/>
        </w:tabs>
        <w:suppressAutoHyphens/>
        <w:jc w:val="both"/>
        <w:rPr>
          <w:rFonts w:ascii="Cambria" w:hAnsi="Cambria"/>
          <w:sz w:val="20"/>
          <w:szCs w:val="20"/>
          <w:lang w:val="es-ES_tradnl"/>
        </w:rPr>
      </w:pPr>
    </w:p>
    <w:p w14:paraId="25583BDB" w14:textId="77777777" w:rsidR="00610A15" w:rsidRPr="007A0D4C" w:rsidRDefault="00610A15" w:rsidP="007A0D4C">
      <w:pPr>
        <w:tabs>
          <w:tab w:val="center" w:pos="5400"/>
        </w:tabs>
        <w:suppressAutoHyphens/>
        <w:jc w:val="both"/>
        <w:rPr>
          <w:rFonts w:ascii="Cambria" w:hAnsi="Cambria"/>
          <w:sz w:val="20"/>
          <w:szCs w:val="20"/>
          <w:lang w:val="es-ES_tradnl"/>
        </w:rPr>
      </w:pPr>
    </w:p>
    <w:p w14:paraId="44FCF8AE" w14:textId="77777777" w:rsidR="00610A15" w:rsidRPr="007A0D4C" w:rsidRDefault="00610A15" w:rsidP="007A0D4C">
      <w:pPr>
        <w:tabs>
          <w:tab w:val="center" w:pos="5400"/>
        </w:tabs>
        <w:suppressAutoHyphens/>
        <w:jc w:val="both"/>
        <w:rPr>
          <w:rFonts w:ascii="Cambria" w:hAnsi="Cambria" w:cs="Arial"/>
          <w:sz w:val="20"/>
          <w:szCs w:val="20"/>
          <w:lang w:val="es-ES_tradnl"/>
        </w:rPr>
      </w:pPr>
    </w:p>
    <w:p w14:paraId="37DD06ED" w14:textId="77777777" w:rsidR="00610A15" w:rsidRPr="007A0D4C" w:rsidRDefault="00610A15" w:rsidP="007A0D4C">
      <w:pPr>
        <w:tabs>
          <w:tab w:val="center" w:pos="5400"/>
        </w:tabs>
        <w:suppressAutoHyphens/>
        <w:jc w:val="both"/>
        <w:rPr>
          <w:rFonts w:ascii="Cambria" w:hAnsi="Cambria"/>
          <w:sz w:val="20"/>
          <w:szCs w:val="20"/>
          <w:lang w:val="es-ES_tradnl"/>
        </w:rPr>
      </w:pPr>
    </w:p>
    <w:p w14:paraId="355F722A" w14:textId="77777777" w:rsidR="00610A15" w:rsidRPr="007A0D4C" w:rsidRDefault="00610A15" w:rsidP="007A0D4C">
      <w:pPr>
        <w:tabs>
          <w:tab w:val="center" w:pos="5400"/>
        </w:tabs>
        <w:suppressAutoHyphens/>
        <w:jc w:val="both"/>
        <w:rPr>
          <w:rFonts w:ascii="Cambria" w:hAnsi="Cambria"/>
          <w:sz w:val="20"/>
          <w:szCs w:val="20"/>
          <w:lang w:val="es-ES_tradnl"/>
        </w:rPr>
      </w:pPr>
    </w:p>
    <w:p w14:paraId="29AB7459" w14:textId="77777777" w:rsidR="00610A15" w:rsidRPr="007A0D4C" w:rsidRDefault="00610A15" w:rsidP="007A0D4C">
      <w:pPr>
        <w:tabs>
          <w:tab w:val="center" w:pos="5400"/>
        </w:tabs>
        <w:suppressAutoHyphens/>
        <w:jc w:val="both"/>
        <w:rPr>
          <w:rFonts w:ascii="Cambria" w:hAnsi="Cambria"/>
          <w:sz w:val="20"/>
          <w:szCs w:val="20"/>
          <w:lang w:val="es-ES_tradnl"/>
        </w:rPr>
      </w:pPr>
    </w:p>
    <w:p w14:paraId="319B51ED" w14:textId="77777777" w:rsidR="00610A15" w:rsidRPr="007A0D4C" w:rsidRDefault="00610A15" w:rsidP="007A0D4C">
      <w:pPr>
        <w:tabs>
          <w:tab w:val="center" w:pos="5400"/>
        </w:tabs>
        <w:suppressAutoHyphens/>
        <w:jc w:val="both"/>
        <w:rPr>
          <w:rFonts w:ascii="Cambria" w:hAnsi="Cambria"/>
          <w:sz w:val="20"/>
          <w:szCs w:val="20"/>
          <w:lang w:val="es-ES_tradnl"/>
        </w:rPr>
      </w:pPr>
    </w:p>
    <w:p w14:paraId="2EA2B18A" w14:textId="77777777" w:rsidR="00610A15" w:rsidRPr="007A0D4C" w:rsidRDefault="00610A15" w:rsidP="007A0D4C">
      <w:pPr>
        <w:tabs>
          <w:tab w:val="center" w:pos="5400"/>
        </w:tabs>
        <w:suppressAutoHyphens/>
        <w:jc w:val="both"/>
        <w:rPr>
          <w:rFonts w:ascii="Cambria" w:hAnsi="Cambria"/>
          <w:sz w:val="20"/>
          <w:szCs w:val="20"/>
          <w:lang w:val="es-ES_tradnl"/>
        </w:rPr>
      </w:pPr>
    </w:p>
    <w:p w14:paraId="3281B6B4" w14:textId="77777777" w:rsidR="00610A15" w:rsidRPr="007A0D4C" w:rsidRDefault="00610A15" w:rsidP="007A0D4C">
      <w:pPr>
        <w:tabs>
          <w:tab w:val="center" w:pos="5400"/>
        </w:tabs>
        <w:suppressAutoHyphens/>
        <w:jc w:val="both"/>
        <w:rPr>
          <w:rFonts w:ascii="Cambria" w:hAnsi="Cambria"/>
          <w:sz w:val="20"/>
          <w:szCs w:val="20"/>
          <w:lang w:val="es-ES_tradnl"/>
        </w:rPr>
      </w:pPr>
    </w:p>
    <w:p w14:paraId="354ADA61" w14:textId="77777777" w:rsidR="00610A15" w:rsidRPr="007A0D4C" w:rsidRDefault="00610A15" w:rsidP="007A0D4C">
      <w:pPr>
        <w:tabs>
          <w:tab w:val="center" w:pos="5400"/>
        </w:tabs>
        <w:suppressAutoHyphens/>
        <w:jc w:val="both"/>
        <w:rPr>
          <w:rFonts w:ascii="Cambria" w:hAnsi="Cambria"/>
          <w:sz w:val="20"/>
          <w:szCs w:val="20"/>
          <w:lang w:val="es-ES_tradnl"/>
        </w:rPr>
      </w:pPr>
    </w:p>
    <w:p w14:paraId="13A87D8E" w14:textId="77777777" w:rsidR="00610A15" w:rsidRPr="007A0D4C" w:rsidRDefault="00610A15" w:rsidP="007A0D4C">
      <w:pPr>
        <w:tabs>
          <w:tab w:val="center" w:pos="5400"/>
        </w:tabs>
        <w:suppressAutoHyphens/>
        <w:jc w:val="both"/>
        <w:rPr>
          <w:rFonts w:ascii="Cambria" w:hAnsi="Cambria"/>
          <w:sz w:val="20"/>
          <w:szCs w:val="20"/>
          <w:lang w:val="es-ES_tradnl"/>
        </w:rPr>
      </w:pPr>
    </w:p>
    <w:p w14:paraId="41E55A8C" w14:textId="77777777" w:rsidR="00610A15" w:rsidRPr="007A0D4C" w:rsidRDefault="00610A15" w:rsidP="007A0D4C">
      <w:pPr>
        <w:tabs>
          <w:tab w:val="center" w:pos="5400"/>
        </w:tabs>
        <w:suppressAutoHyphens/>
        <w:jc w:val="both"/>
        <w:rPr>
          <w:rFonts w:ascii="Cambria" w:hAnsi="Cambria"/>
          <w:sz w:val="20"/>
          <w:szCs w:val="20"/>
          <w:lang w:val="es-ES_tradnl"/>
        </w:rPr>
      </w:pPr>
    </w:p>
    <w:p w14:paraId="16CF7BE9" w14:textId="77777777" w:rsidR="00610A15" w:rsidRPr="007A0D4C" w:rsidRDefault="00610A15" w:rsidP="007A0D4C">
      <w:pPr>
        <w:tabs>
          <w:tab w:val="center" w:pos="5400"/>
        </w:tabs>
        <w:suppressAutoHyphens/>
        <w:jc w:val="both"/>
        <w:rPr>
          <w:rFonts w:ascii="Cambria" w:hAnsi="Cambria"/>
          <w:sz w:val="20"/>
          <w:szCs w:val="20"/>
          <w:lang w:val="es-ES_tradnl"/>
        </w:rPr>
      </w:pPr>
    </w:p>
    <w:p w14:paraId="30D16553" w14:textId="77777777" w:rsidR="00610A15" w:rsidRPr="007A0D4C" w:rsidRDefault="00610A15" w:rsidP="007A0D4C">
      <w:pPr>
        <w:tabs>
          <w:tab w:val="center" w:pos="5400"/>
        </w:tabs>
        <w:suppressAutoHyphens/>
        <w:jc w:val="both"/>
        <w:rPr>
          <w:rFonts w:ascii="Cambria" w:hAnsi="Cambria"/>
          <w:sz w:val="20"/>
          <w:szCs w:val="20"/>
          <w:lang w:val="es-ES_tradnl"/>
        </w:rPr>
      </w:pPr>
    </w:p>
    <w:p w14:paraId="6C28E629" w14:textId="77777777" w:rsidR="00610A15" w:rsidRPr="007A0D4C" w:rsidRDefault="00610A15" w:rsidP="007A0D4C">
      <w:pPr>
        <w:tabs>
          <w:tab w:val="center" w:pos="5400"/>
        </w:tabs>
        <w:suppressAutoHyphens/>
        <w:jc w:val="both"/>
        <w:rPr>
          <w:rFonts w:ascii="Cambria" w:hAnsi="Cambria"/>
          <w:sz w:val="20"/>
          <w:szCs w:val="20"/>
          <w:lang w:val="es-ES_tradnl"/>
        </w:rPr>
      </w:pPr>
    </w:p>
    <w:p w14:paraId="781297E5" w14:textId="77777777" w:rsidR="00610A15" w:rsidRPr="007A0D4C" w:rsidRDefault="00610A15" w:rsidP="007A0D4C">
      <w:pPr>
        <w:tabs>
          <w:tab w:val="center" w:pos="5400"/>
        </w:tabs>
        <w:suppressAutoHyphens/>
        <w:jc w:val="both"/>
        <w:rPr>
          <w:rFonts w:ascii="Cambria" w:hAnsi="Cambria"/>
          <w:sz w:val="20"/>
          <w:szCs w:val="20"/>
          <w:lang w:val="es-ES_tradnl"/>
        </w:rPr>
      </w:pPr>
    </w:p>
    <w:p w14:paraId="7C5A26B2" w14:textId="77777777" w:rsidR="00610A15" w:rsidRPr="007A0D4C" w:rsidRDefault="00610A15" w:rsidP="007A0D4C">
      <w:pPr>
        <w:tabs>
          <w:tab w:val="center" w:pos="5400"/>
        </w:tabs>
        <w:suppressAutoHyphens/>
        <w:jc w:val="both"/>
        <w:rPr>
          <w:rFonts w:ascii="Cambria" w:hAnsi="Cambria"/>
          <w:sz w:val="20"/>
          <w:szCs w:val="20"/>
          <w:lang w:val="es-ES_tradnl"/>
        </w:rPr>
      </w:pPr>
    </w:p>
    <w:p w14:paraId="298B7A45" w14:textId="77777777" w:rsidR="00610A15" w:rsidRPr="007A0D4C" w:rsidRDefault="00610A15" w:rsidP="007A0D4C">
      <w:pPr>
        <w:tabs>
          <w:tab w:val="center" w:pos="5400"/>
        </w:tabs>
        <w:suppressAutoHyphens/>
        <w:jc w:val="both"/>
        <w:rPr>
          <w:rFonts w:ascii="Cambria" w:hAnsi="Cambria"/>
          <w:sz w:val="20"/>
          <w:szCs w:val="20"/>
          <w:lang w:val="es-ES_tradnl"/>
        </w:rPr>
      </w:pPr>
    </w:p>
    <w:p w14:paraId="66DE696E" w14:textId="77777777" w:rsidR="00610A15" w:rsidRPr="007A0D4C" w:rsidRDefault="00610A15" w:rsidP="007A0D4C">
      <w:pPr>
        <w:tabs>
          <w:tab w:val="center" w:pos="5400"/>
        </w:tabs>
        <w:suppressAutoHyphens/>
        <w:jc w:val="both"/>
        <w:rPr>
          <w:rFonts w:ascii="Cambria" w:hAnsi="Cambria"/>
          <w:sz w:val="20"/>
          <w:szCs w:val="20"/>
          <w:lang w:val="es-ES_tradnl"/>
        </w:rPr>
      </w:pPr>
    </w:p>
    <w:p w14:paraId="7D7F7BEC" w14:textId="77777777" w:rsidR="00610A15" w:rsidRPr="007A0D4C" w:rsidRDefault="00610A15" w:rsidP="007A0D4C">
      <w:pPr>
        <w:tabs>
          <w:tab w:val="center" w:pos="5400"/>
        </w:tabs>
        <w:suppressAutoHyphens/>
        <w:jc w:val="both"/>
        <w:rPr>
          <w:rFonts w:ascii="Cambria" w:hAnsi="Cambria"/>
          <w:sz w:val="20"/>
          <w:szCs w:val="20"/>
          <w:lang w:val="es-ES_tradnl"/>
        </w:rPr>
      </w:pPr>
    </w:p>
    <w:p w14:paraId="1EC1FA35" w14:textId="77777777" w:rsidR="00610A15" w:rsidRPr="007A0D4C" w:rsidRDefault="00610A15" w:rsidP="007A0D4C">
      <w:pPr>
        <w:tabs>
          <w:tab w:val="center" w:pos="5400"/>
        </w:tabs>
        <w:suppressAutoHyphens/>
        <w:jc w:val="both"/>
        <w:rPr>
          <w:rFonts w:ascii="Cambria" w:hAnsi="Cambria"/>
          <w:sz w:val="20"/>
          <w:szCs w:val="20"/>
          <w:lang w:val="es-CO"/>
        </w:rPr>
      </w:pPr>
    </w:p>
    <w:p w14:paraId="12A88545" w14:textId="77777777" w:rsidR="00610A15" w:rsidRPr="007A0D4C" w:rsidRDefault="00610A15" w:rsidP="007A0D4C">
      <w:pPr>
        <w:tabs>
          <w:tab w:val="center" w:pos="5400"/>
        </w:tabs>
        <w:suppressAutoHyphens/>
        <w:jc w:val="both"/>
        <w:rPr>
          <w:rFonts w:ascii="Cambria" w:hAnsi="Cambria"/>
          <w:sz w:val="20"/>
          <w:szCs w:val="20"/>
          <w:lang w:val="es-ES_tradnl"/>
        </w:rPr>
      </w:pPr>
    </w:p>
    <w:p w14:paraId="660D5C84" w14:textId="77777777" w:rsidR="00610A15" w:rsidRPr="007A0D4C" w:rsidRDefault="00610A15" w:rsidP="007A0D4C">
      <w:pPr>
        <w:tabs>
          <w:tab w:val="center" w:pos="5400"/>
        </w:tabs>
        <w:suppressAutoHyphens/>
        <w:jc w:val="both"/>
        <w:rPr>
          <w:rFonts w:ascii="Cambria" w:hAnsi="Cambria"/>
          <w:sz w:val="20"/>
          <w:szCs w:val="20"/>
          <w:lang w:val="es-ES_tradnl"/>
        </w:rPr>
      </w:pPr>
    </w:p>
    <w:p w14:paraId="29A3137D" w14:textId="77777777" w:rsidR="00610A15" w:rsidRPr="007A0D4C" w:rsidRDefault="00610A15" w:rsidP="007A0D4C">
      <w:pPr>
        <w:tabs>
          <w:tab w:val="center" w:pos="5400"/>
        </w:tabs>
        <w:suppressAutoHyphens/>
        <w:jc w:val="both"/>
        <w:rPr>
          <w:rFonts w:ascii="Cambria" w:hAnsi="Cambria"/>
          <w:sz w:val="20"/>
          <w:szCs w:val="20"/>
          <w:lang w:val="es-ES_tradnl"/>
        </w:rPr>
      </w:pPr>
    </w:p>
    <w:p w14:paraId="702F6C96" w14:textId="77777777" w:rsidR="00610A15" w:rsidRPr="007A0D4C" w:rsidRDefault="00610A15" w:rsidP="007A0D4C">
      <w:pPr>
        <w:tabs>
          <w:tab w:val="center" w:pos="5400"/>
        </w:tabs>
        <w:suppressAutoHyphens/>
        <w:jc w:val="both"/>
        <w:rPr>
          <w:rFonts w:ascii="Cambria" w:hAnsi="Cambria"/>
          <w:sz w:val="20"/>
          <w:szCs w:val="20"/>
          <w:lang w:val="es-ES_tradnl"/>
        </w:rPr>
      </w:pPr>
    </w:p>
    <w:p w14:paraId="6665AFF3" w14:textId="77777777" w:rsidR="00610A15" w:rsidRPr="007A0D4C" w:rsidRDefault="00610A15" w:rsidP="007A0D4C">
      <w:pPr>
        <w:tabs>
          <w:tab w:val="center" w:pos="5400"/>
        </w:tabs>
        <w:suppressAutoHyphens/>
        <w:jc w:val="both"/>
        <w:rPr>
          <w:rFonts w:ascii="Cambria" w:hAnsi="Cambria"/>
          <w:sz w:val="20"/>
          <w:szCs w:val="20"/>
          <w:lang w:val="es-ES_tradnl"/>
        </w:rPr>
      </w:pPr>
    </w:p>
    <w:p w14:paraId="661BE80C" w14:textId="77777777" w:rsidR="00610A15" w:rsidRPr="007A0D4C" w:rsidRDefault="00610A15" w:rsidP="007A0D4C">
      <w:pPr>
        <w:tabs>
          <w:tab w:val="center" w:pos="5400"/>
        </w:tabs>
        <w:suppressAutoHyphens/>
        <w:jc w:val="both"/>
        <w:rPr>
          <w:rFonts w:ascii="Cambria" w:hAnsi="Cambria"/>
          <w:sz w:val="20"/>
          <w:szCs w:val="20"/>
          <w:lang w:val="es-ES_tradnl"/>
        </w:rPr>
      </w:pPr>
    </w:p>
    <w:p w14:paraId="57A20E57" w14:textId="77777777" w:rsidR="00610A15" w:rsidRPr="007A0D4C" w:rsidRDefault="00610A15" w:rsidP="007A0D4C">
      <w:pPr>
        <w:tabs>
          <w:tab w:val="center" w:pos="5400"/>
        </w:tabs>
        <w:suppressAutoHyphens/>
        <w:jc w:val="both"/>
        <w:rPr>
          <w:rFonts w:ascii="Cambria" w:hAnsi="Cambria"/>
          <w:sz w:val="20"/>
          <w:szCs w:val="20"/>
          <w:lang w:val="es-ES_tradnl"/>
        </w:rPr>
      </w:pPr>
    </w:p>
    <w:p w14:paraId="7F0D14B7" w14:textId="77777777" w:rsidR="00610A15" w:rsidRPr="007A0D4C" w:rsidRDefault="00610A15" w:rsidP="007A0D4C">
      <w:pPr>
        <w:tabs>
          <w:tab w:val="center" w:pos="5400"/>
        </w:tabs>
        <w:suppressAutoHyphens/>
        <w:jc w:val="both"/>
        <w:rPr>
          <w:rFonts w:ascii="Cambria" w:hAnsi="Cambria"/>
          <w:sz w:val="20"/>
          <w:szCs w:val="20"/>
          <w:lang w:val="es-ES_tradnl"/>
        </w:rPr>
      </w:pPr>
      <w:r w:rsidRPr="007A0D4C">
        <w:rPr>
          <w:rFonts w:ascii="Cambria" w:hAnsi="Cambria"/>
          <w:noProof/>
          <w:sz w:val="20"/>
          <w:szCs w:val="20"/>
        </w:rPr>
        <mc:AlternateContent>
          <mc:Choice Requires="wps">
            <w:drawing>
              <wp:anchor distT="0" distB="0" distL="114300" distR="114300" simplePos="0" relativeHeight="251658242" behindDoc="0" locked="0" layoutInCell="1" allowOverlap="1" wp14:anchorId="69F10D9F" wp14:editId="5FA476D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59EF1" w14:textId="7945CA52" w:rsidR="000A5EAC" w:rsidRPr="00445986" w:rsidRDefault="000A5EAC"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2178 </w:t>
                            </w:r>
                            <w:r w:rsidRPr="00445986">
                              <w:rPr>
                                <w:rFonts w:ascii="Cambria" w:hAnsi="Cambria"/>
                                <w:color w:val="0D0D0D" w:themeColor="text1" w:themeTint="F2"/>
                                <w:sz w:val="18"/>
                                <w:szCs w:val="20"/>
                                <w:lang w:val="es-ES"/>
                              </w:rPr>
                              <w:t xml:space="preserve">celebrada el </w:t>
                            </w:r>
                            <w:r>
                              <w:rPr>
                                <w:rFonts w:ascii="Cambria" w:hAnsi="Cambria"/>
                                <w:color w:val="0D0D0D" w:themeColor="text1" w:themeTint="F2"/>
                                <w:sz w:val="18"/>
                                <w:szCs w:val="20"/>
                                <w:lang w:val="es-ES"/>
                              </w:rPr>
                              <w:t>10 de julio de 2020</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 xml:space="preserve">176 Período </w:t>
                            </w:r>
                            <w:r w:rsidRPr="0001204F">
                              <w:rPr>
                                <w:rFonts w:ascii="Cambria" w:hAnsi="Cambria" w:cs="Univers"/>
                                <w:color w:val="0D0D0D" w:themeColor="text1" w:themeTint="F2"/>
                                <w:sz w:val="18"/>
                                <w:szCs w:val="20"/>
                                <w:lang w:val="es-ES_tradnl"/>
                              </w:rPr>
                              <w:t>de Sesiones.</w:t>
                            </w:r>
                          </w:p>
                          <w:p w14:paraId="1C0F7658" w14:textId="77777777" w:rsidR="000A5EAC" w:rsidRPr="00167A34" w:rsidRDefault="000A5EAC" w:rsidP="00610A15">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0D9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8E59EF1" w14:textId="7945CA52" w:rsidR="000A5EAC" w:rsidRPr="00445986" w:rsidRDefault="000A5EAC"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2178 </w:t>
                      </w:r>
                      <w:r w:rsidRPr="00445986">
                        <w:rPr>
                          <w:rFonts w:ascii="Cambria" w:hAnsi="Cambria"/>
                          <w:color w:val="0D0D0D" w:themeColor="text1" w:themeTint="F2"/>
                          <w:sz w:val="18"/>
                          <w:szCs w:val="20"/>
                          <w:lang w:val="es-ES"/>
                        </w:rPr>
                        <w:t xml:space="preserve">celebrada el </w:t>
                      </w:r>
                      <w:r>
                        <w:rPr>
                          <w:rFonts w:ascii="Cambria" w:hAnsi="Cambria"/>
                          <w:color w:val="0D0D0D" w:themeColor="text1" w:themeTint="F2"/>
                          <w:sz w:val="18"/>
                          <w:szCs w:val="20"/>
                          <w:lang w:val="es-ES"/>
                        </w:rPr>
                        <w:t>10 de julio de 2020</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 xml:space="preserve">176 Período </w:t>
                      </w:r>
                      <w:r w:rsidRPr="0001204F">
                        <w:rPr>
                          <w:rFonts w:ascii="Cambria" w:hAnsi="Cambria" w:cs="Univers"/>
                          <w:color w:val="0D0D0D" w:themeColor="text1" w:themeTint="F2"/>
                          <w:sz w:val="18"/>
                          <w:szCs w:val="20"/>
                          <w:lang w:val="es-ES_tradnl"/>
                        </w:rPr>
                        <w:t>de Sesiones.</w:t>
                      </w:r>
                    </w:p>
                    <w:p w14:paraId="1C0F7658" w14:textId="77777777" w:rsidR="000A5EAC" w:rsidRPr="00167A34" w:rsidRDefault="000A5EAC" w:rsidP="00610A15">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3E0AD03" w14:textId="77777777" w:rsidR="00610A15" w:rsidRPr="007A0D4C" w:rsidRDefault="00610A15" w:rsidP="007A0D4C">
      <w:pPr>
        <w:tabs>
          <w:tab w:val="center" w:pos="5400"/>
        </w:tabs>
        <w:suppressAutoHyphens/>
        <w:jc w:val="both"/>
        <w:rPr>
          <w:rFonts w:ascii="Cambria" w:hAnsi="Cambria"/>
          <w:sz w:val="20"/>
          <w:szCs w:val="20"/>
          <w:lang w:val="es-ES_tradnl"/>
        </w:rPr>
      </w:pPr>
    </w:p>
    <w:p w14:paraId="4D5A21BB" w14:textId="77777777" w:rsidR="00610A15" w:rsidRPr="007A0D4C" w:rsidRDefault="00610A15" w:rsidP="007A0D4C">
      <w:pPr>
        <w:tabs>
          <w:tab w:val="center" w:pos="5400"/>
        </w:tabs>
        <w:suppressAutoHyphens/>
        <w:jc w:val="both"/>
        <w:rPr>
          <w:rFonts w:ascii="Cambria" w:hAnsi="Cambria"/>
          <w:sz w:val="20"/>
          <w:szCs w:val="20"/>
          <w:lang w:val="es-ES_tradnl"/>
        </w:rPr>
      </w:pPr>
    </w:p>
    <w:p w14:paraId="15CCF461" w14:textId="77777777" w:rsidR="00610A15" w:rsidRPr="007A0D4C" w:rsidRDefault="00610A15" w:rsidP="007A0D4C">
      <w:pPr>
        <w:tabs>
          <w:tab w:val="center" w:pos="5400"/>
        </w:tabs>
        <w:suppressAutoHyphens/>
        <w:jc w:val="both"/>
        <w:rPr>
          <w:rFonts w:ascii="Cambria" w:hAnsi="Cambria"/>
          <w:sz w:val="20"/>
          <w:szCs w:val="20"/>
          <w:lang w:val="es-ES_tradnl"/>
        </w:rPr>
      </w:pPr>
    </w:p>
    <w:p w14:paraId="72C7E0DC" w14:textId="77777777" w:rsidR="00610A15" w:rsidRPr="007A0D4C" w:rsidRDefault="00610A15" w:rsidP="007A0D4C">
      <w:pPr>
        <w:tabs>
          <w:tab w:val="center" w:pos="5400"/>
        </w:tabs>
        <w:suppressAutoHyphens/>
        <w:jc w:val="both"/>
        <w:rPr>
          <w:rFonts w:ascii="Cambria" w:hAnsi="Cambria"/>
          <w:sz w:val="20"/>
          <w:szCs w:val="20"/>
          <w:lang w:val="es-ES_tradnl"/>
        </w:rPr>
      </w:pPr>
    </w:p>
    <w:p w14:paraId="790A5DE4" w14:textId="77777777" w:rsidR="00610A15" w:rsidRPr="007A0D4C" w:rsidRDefault="00610A15" w:rsidP="007A0D4C">
      <w:pPr>
        <w:tabs>
          <w:tab w:val="center" w:pos="5400"/>
        </w:tabs>
        <w:suppressAutoHyphens/>
        <w:jc w:val="both"/>
        <w:rPr>
          <w:rFonts w:ascii="Cambria" w:hAnsi="Cambria"/>
          <w:sz w:val="20"/>
          <w:szCs w:val="20"/>
          <w:lang w:val="es-ES_tradnl"/>
        </w:rPr>
      </w:pPr>
      <w:r w:rsidRPr="007A0D4C">
        <w:rPr>
          <w:rFonts w:ascii="Cambria" w:hAnsi="Cambria"/>
          <w:noProof/>
          <w:sz w:val="20"/>
          <w:szCs w:val="20"/>
        </w:rPr>
        <mc:AlternateContent>
          <mc:Choice Requires="wps">
            <w:drawing>
              <wp:anchor distT="0" distB="0" distL="114300" distR="114300" simplePos="0" relativeHeight="251658245" behindDoc="0" locked="0" layoutInCell="1" allowOverlap="1" wp14:anchorId="4370B78E" wp14:editId="563E90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27509" w14:textId="190DBB29" w:rsidR="000A5EAC" w:rsidRPr="009D70A3" w:rsidRDefault="000A5EAC" w:rsidP="002B6246">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Pr>
                                <w:rFonts w:ascii="Cambria" w:hAnsi="Cambria"/>
                                <w:color w:val="595959" w:themeColor="text1" w:themeTint="A6"/>
                                <w:sz w:val="18"/>
                                <w:szCs w:val="18"/>
                                <w:lang w:val="pt-BR"/>
                              </w:rPr>
                              <w:t>196/20, Caso 13.030</w:t>
                            </w:r>
                            <w:r w:rsidRPr="00CD5726">
                              <w:rPr>
                                <w:rFonts w:ascii="Cambria" w:hAnsi="Cambria"/>
                                <w:color w:val="595959" w:themeColor="text1" w:themeTint="A6"/>
                                <w:sz w:val="18"/>
                                <w:szCs w:val="18"/>
                                <w:lang w:val="pt-BR"/>
                              </w:rPr>
                              <w:t xml:space="preserve">.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Santiago Leguizamón Zaván y familia. Paraguay</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10 de julio de 2020</w:t>
                            </w:r>
                            <w:r w:rsidRPr="009D70A3">
                              <w:rPr>
                                <w:rFonts w:ascii="Cambria" w:hAnsi="Cambria"/>
                                <w:color w:val="595959" w:themeColor="text1" w:themeTint="A6"/>
                                <w:sz w:val="18"/>
                                <w:szCs w:val="18"/>
                                <w:lang w:val="es-VE"/>
                              </w:rPr>
                              <w:t>.</w:t>
                            </w:r>
                          </w:p>
                          <w:p w14:paraId="490B71FB" w14:textId="05EA85D5" w:rsidR="000A5EAC" w:rsidRPr="009D70A3" w:rsidRDefault="000A5EAC" w:rsidP="00610A15">
                            <w:pPr>
                              <w:spacing w:line="276" w:lineRule="auto"/>
                              <w:rPr>
                                <w:rFonts w:ascii="Cambria" w:hAnsi="Cambria"/>
                                <w:color w:val="595959" w:themeColor="text1" w:themeTint="A6"/>
                                <w:sz w:val="18"/>
                                <w:szCs w:val="18"/>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B78E"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1827509" w14:textId="190DBB29" w:rsidR="000A5EAC" w:rsidRPr="009D70A3" w:rsidRDefault="000A5EAC" w:rsidP="002B6246">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Pr>
                          <w:rFonts w:ascii="Cambria" w:hAnsi="Cambria"/>
                          <w:color w:val="595959" w:themeColor="text1" w:themeTint="A6"/>
                          <w:sz w:val="18"/>
                          <w:szCs w:val="18"/>
                          <w:lang w:val="pt-BR"/>
                        </w:rPr>
                        <w:t>196/20, Caso 13.030</w:t>
                      </w:r>
                      <w:r w:rsidRPr="00CD5726">
                        <w:rPr>
                          <w:rFonts w:ascii="Cambria" w:hAnsi="Cambria"/>
                          <w:color w:val="595959" w:themeColor="text1" w:themeTint="A6"/>
                          <w:sz w:val="18"/>
                          <w:szCs w:val="18"/>
                          <w:lang w:val="pt-BR"/>
                        </w:rPr>
                        <w:t xml:space="preserve">.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Santiago Leguizamón Zaván y familia. Paraguay</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10 de julio de 2020</w:t>
                      </w:r>
                      <w:r w:rsidRPr="009D70A3">
                        <w:rPr>
                          <w:rFonts w:ascii="Cambria" w:hAnsi="Cambria"/>
                          <w:color w:val="595959" w:themeColor="text1" w:themeTint="A6"/>
                          <w:sz w:val="18"/>
                          <w:szCs w:val="18"/>
                          <w:lang w:val="es-VE"/>
                        </w:rPr>
                        <w:t>.</w:t>
                      </w:r>
                    </w:p>
                    <w:p w14:paraId="490B71FB" w14:textId="05EA85D5" w:rsidR="000A5EAC" w:rsidRPr="009D70A3" w:rsidRDefault="000A5EAC" w:rsidP="00610A15">
                      <w:pPr>
                        <w:spacing w:line="276" w:lineRule="auto"/>
                        <w:rPr>
                          <w:rFonts w:ascii="Cambria" w:hAnsi="Cambria"/>
                          <w:color w:val="595959" w:themeColor="text1" w:themeTint="A6"/>
                          <w:sz w:val="18"/>
                          <w:szCs w:val="18"/>
                          <w:lang w:val="es-VE"/>
                        </w:rPr>
                      </w:pPr>
                    </w:p>
                  </w:txbxContent>
                </v:textbox>
              </v:shape>
            </w:pict>
          </mc:Fallback>
        </mc:AlternateContent>
      </w:r>
    </w:p>
    <w:p w14:paraId="1DC0EB57" w14:textId="77777777" w:rsidR="00610A15" w:rsidRPr="007A0D4C" w:rsidRDefault="00610A15" w:rsidP="007A0D4C">
      <w:pPr>
        <w:tabs>
          <w:tab w:val="center" w:pos="5400"/>
        </w:tabs>
        <w:suppressAutoHyphens/>
        <w:jc w:val="both"/>
        <w:rPr>
          <w:rFonts w:ascii="Cambria" w:hAnsi="Cambria"/>
          <w:b/>
          <w:sz w:val="20"/>
          <w:szCs w:val="20"/>
          <w:lang w:val="es-ES_tradnl"/>
        </w:rPr>
        <w:sectPr w:rsidR="00610A15" w:rsidRPr="007A0D4C" w:rsidSect="00610A15">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7A0D4C">
        <w:rPr>
          <w:rFonts w:ascii="Cambria" w:hAnsi="Cambria"/>
          <w:noProof/>
          <w:sz w:val="20"/>
          <w:szCs w:val="20"/>
        </w:rPr>
        <mc:AlternateContent>
          <mc:Choice Requires="wps">
            <w:drawing>
              <wp:anchor distT="0" distB="0" distL="114300" distR="114300" simplePos="0" relativeHeight="251658246" behindDoc="0" locked="0" layoutInCell="1" allowOverlap="1" wp14:anchorId="3929889C" wp14:editId="5BFA1AFE">
                <wp:simplePos x="0" y="0"/>
                <wp:positionH relativeFrom="column">
                  <wp:posOffset>1325881</wp:posOffset>
                </wp:positionH>
                <wp:positionV relativeFrom="paragraph">
                  <wp:posOffset>640715</wp:posOffset>
                </wp:positionV>
                <wp:extent cx="1958340" cy="567055"/>
                <wp:effectExtent l="0" t="0" r="3810" b="4445"/>
                <wp:wrapNone/>
                <wp:docPr id="9" name="Text Box 9"/>
                <wp:cNvGraphicFramePr/>
                <a:graphic xmlns:a="http://schemas.openxmlformats.org/drawingml/2006/main">
                  <a:graphicData uri="http://schemas.microsoft.com/office/word/2010/wordprocessingShape">
                    <wps:wsp>
                      <wps:cNvSpPr txBox="1"/>
                      <wps:spPr>
                        <a:xfrm>
                          <a:off x="0" y="0"/>
                          <a:ext cx="195834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AEF38" w14:textId="0B7E4553" w:rsidR="000A5EAC" w:rsidRPr="00D72DC6" w:rsidRDefault="000A5EAC" w:rsidP="00610A15">
                            <w:pPr>
                              <w:rPr>
                                <w:color w:val="FFFFFF" w:themeColor="background1"/>
                                <w14:textFill>
                                  <w14:noFill/>
                                </w14:textFill>
                              </w:rPr>
                            </w:pPr>
                            <w:r>
                              <w:rPr>
                                <w:noProof/>
                                <w:color w:val="FFFFFF" w:themeColor="background1"/>
                              </w:rPr>
                              <w:drawing>
                                <wp:inline distT="0" distB="0" distL="0" distR="0" wp14:anchorId="06362978" wp14:editId="034CD85A">
                                  <wp:extent cx="1769110" cy="45505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769110" cy="455055"/>
                                          </a:xfrm>
                                          <a:prstGeom prst="rect">
                                            <a:avLst/>
                                          </a:prstGeom>
                                        </pic:spPr>
                                      </pic:pic>
                                    </a:graphicData>
                                  </a:graphic>
                                </wp:inline>
                              </w:drawing>
                            </w:r>
                            <w:r>
                              <w:rPr>
                                <w:noProof/>
                                <w:color w:val="FFFFFF" w:themeColor="background1"/>
                              </w:rPr>
                              <w:drawing>
                                <wp:inline distT="0" distB="0" distL="0" distR="0" wp14:anchorId="3B31FBCE" wp14:editId="5FE2665F">
                                  <wp:extent cx="1577340" cy="46926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57734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889C" id="Text Box 9" o:spid="_x0000_s1031" type="#_x0000_t202" style="position:absolute;left:0;text-align:left;margin-left:104.4pt;margin-top:50.45pt;width:154.2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" fillcolor="white [3201]" stroked="f" strokeweight=".5pt">
                <v:textbox>
                  <w:txbxContent>
                    <w:p w14:paraId="152AEF38" w14:textId="0B7E4553" w:rsidR="000A5EAC" w:rsidRPr="00D72DC6" w:rsidRDefault="000A5EAC" w:rsidP="00610A15">
                      <w:pPr>
                        <w:rPr>
                          <w:color w:val="FFFFFF" w:themeColor="background1"/>
                          <w14:textFill>
                            <w14:noFill/>
                          </w14:textFill>
                        </w:rPr>
                      </w:pPr>
                      <w:r>
                        <w:rPr>
                          <w:noProof/>
                          <w:color w:val="FFFFFF" w:themeColor="background1"/>
                        </w:rPr>
                        <w:drawing>
                          <wp:inline distT="0" distB="0" distL="0" distR="0" wp14:anchorId="06362978" wp14:editId="034CD85A">
                            <wp:extent cx="1769110" cy="45505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769110" cy="455055"/>
                                    </a:xfrm>
                                    <a:prstGeom prst="rect">
                                      <a:avLst/>
                                    </a:prstGeom>
                                  </pic:spPr>
                                </pic:pic>
                              </a:graphicData>
                            </a:graphic>
                          </wp:inline>
                        </w:drawing>
                      </w:r>
                      <w:r>
                        <w:rPr>
                          <w:noProof/>
                          <w:color w:val="FFFFFF" w:themeColor="background1"/>
                        </w:rPr>
                        <w:drawing>
                          <wp:inline distT="0" distB="0" distL="0" distR="0" wp14:anchorId="3B31FBCE" wp14:editId="5FE2665F">
                            <wp:extent cx="1577340" cy="46926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577340" cy="469265"/>
                                    </a:xfrm>
                                    <a:prstGeom prst="rect">
                                      <a:avLst/>
                                    </a:prstGeom>
                                  </pic:spPr>
                                </pic:pic>
                              </a:graphicData>
                            </a:graphic>
                          </wp:inline>
                        </w:drawing>
                      </w:r>
                    </w:p>
                  </w:txbxContent>
                </v:textbox>
              </v:shape>
            </w:pict>
          </mc:Fallback>
        </mc:AlternateContent>
      </w:r>
      <w:r w:rsidRPr="007A0D4C">
        <w:rPr>
          <w:rFonts w:ascii="Cambria" w:hAnsi="Cambria"/>
          <w:noProof/>
          <w:sz w:val="20"/>
          <w:szCs w:val="20"/>
        </w:rPr>
        <mc:AlternateContent>
          <mc:Choice Requires="wps">
            <w:drawing>
              <wp:anchor distT="0" distB="0" distL="114300" distR="114300" simplePos="0" relativeHeight="251658247" behindDoc="0" locked="0" layoutInCell="1" allowOverlap="1" wp14:anchorId="5942C045" wp14:editId="70D70EC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65A72" w14:textId="77777777" w:rsidR="000A5EAC" w:rsidRPr="004B7EB6" w:rsidRDefault="000A5EAC"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C045"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4265A72" w14:textId="77777777" w:rsidR="000A5EAC" w:rsidRPr="004B7EB6" w:rsidRDefault="000A5EAC"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1137A9" w14:textId="476D317F" w:rsidR="00610A15" w:rsidRPr="007A0D4C" w:rsidRDefault="00602108" w:rsidP="007A0D4C">
      <w:pPr>
        <w:tabs>
          <w:tab w:val="center" w:pos="5400"/>
        </w:tabs>
        <w:suppressAutoHyphens/>
        <w:jc w:val="center"/>
        <w:rPr>
          <w:rFonts w:ascii="Cambria" w:hAnsi="Cambria"/>
          <w:b/>
          <w:sz w:val="20"/>
          <w:szCs w:val="20"/>
          <w:lang w:val="es-VE"/>
        </w:rPr>
      </w:pPr>
      <w:r w:rsidRPr="007A0D4C">
        <w:rPr>
          <w:rFonts w:ascii="Cambria" w:hAnsi="Cambria"/>
          <w:b/>
          <w:sz w:val="20"/>
          <w:szCs w:val="20"/>
          <w:lang w:val="es-VE"/>
        </w:rPr>
        <w:lastRenderedPageBreak/>
        <w:t xml:space="preserve">INFORME No. </w:t>
      </w:r>
      <w:r w:rsidR="00084245">
        <w:rPr>
          <w:rFonts w:ascii="Cambria" w:hAnsi="Cambria"/>
          <w:b/>
          <w:sz w:val="20"/>
          <w:szCs w:val="20"/>
          <w:lang w:val="es-VE"/>
        </w:rPr>
        <w:t>196</w:t>
      </w:r>
      <w:r w:rsidR="008350C7" w:rsidRPr="007A0D4C">
        <w:rPr>
          <w:rFonts w:ascii="Cambria" w:hAnsi="Cambria"/>
          <w:b/>
          <w:sz w:val="20"/>
          <w:szCs w:val="20"/>
          <w:lang w:val="es-VE"/>
        </w:rPr>
        <w:t>/20</w:t>
      </w:r>
    </w:p>
    <w:p w14:paraId="6890F3B5" w14:textId="2928F195" w:rsidR="0066546F" w:rsidRPr="007A0D4C" w:rsidRDefault="008350C7" w:rsidP="007A0D4C">
      <w:pPr>
        <w:tabs>
          <w:tab w:val="center" w:pos="5400"/>
        </w:tabs>
        <w:suppressAutoHyphens/>
        <w:jc w:val="center"/>
        <w:rPr>
          <w:rFonts w:ascii="Cambria" w:hAnsi="Cambria"/>
          <w:b/>
          <w:sz w:val="20"/>
          <w:szCs w:val="20"/>
          <w:lang w:val="es-VE"/>
        </w:rPr>
      </w:pPr>
      <w:r w:rsidRPr="007A0D4C">
        <w:rPr>
          <w:rFonts w:ascii="Cambria" w:hAnsi="Cambria"/>
          <w:b/>
          <w:sz w:val="20"/>
          <w:szCs w:val="20"/>
          <w:lang w:val="es-VE"/>
        </w:rPr>
        <w:t>CASO 13.030</w:t>
      </w:r>
    </w:p>
    <w:p w14:paraId="1BE25221" w14:textId="77777777" w:rsidR="0066546F" w:rsidRPr="007A0D4C" w:rsidRDefault="0066546F" w:rsidP="007A0D4C">
      <w:pPr>
        <w:tabs>
          <w:tab w:val="center" w:pos="5400"/>
        </w:tabs>
        <w:suppressAutoHyphens/>
        <w:jc w:val="center"/>
        <w:rPr>
          <w:rFonts w:ascii="Cambria" w:hAnsi="Cambria"/>
          <w:sz w:val="20"/>
          <w:szCs w:val="20"/>
          <w:lang w:val="es-VE"/>
        </w:rPr>
      </w:pPr>
      <w:r w:rsidRPr="007A0D4C">
        <w:rPr>
          <w:rFonts w:ascii="Cambria" w:hAnsi="Cambria"/>
          <w:sz w:val="20"/>
          <w:szCs w:val="20"/>
          <w:lang w:val="es-VE"/>
        </w:rPr>
        <w:t>INFORME DE FONDO</w:t>
      </w:r>
    </w:p>
    <w:p w14:paraId="54757AA1" w14:textId="35D8E1A2" w:rsidR="0066546F" w:rsidRPr="007A0D4C" w:rsidRDefault="008350C7" w:rsidP="007A0D4C">
      <w:pPr>
        <w:tabs>
          <w:tab w:val="center" w:pos="5400"/>
        </w:tabs>
        <w:suppressAutoHyphens/>
        <w:jc w:val="center"/>
        <w:rPr>
          <w:rFonts w:ascii="Cambria" w:hAnsi="Cambria"/>
          <w:sz w:val="20"/>
          <w:szCs w:val="20"/>
          <w:lang w:val="es-VE"/>
        </w:rPr>
      </w:pPr>
      <w:r w:rsidRPr="007A0D4C">
        <w:rPr>
          <w:rFonts w:ascii="Cambria" w:hAnsi="Cambria"/>
          <w:sz w:val="20"/>
          <w:szCs w:val="20"/>
          <w:lang w:val="es-VE"/>
        </w:rPr>
        <w:t>SANTIAGO LEGUIZAMÓN ZAVÁN Y FAMILIA</w:t>
      </w:r>
    </w:p>
    <w:p w14:paraId="39EE46A2" w14:textId="14E5F1D5" w:rsidR="0066546F" w:rsidRPr="007A0D4C" w:rsidRDefault="008350C7" w:rsidP="007A0D4C">
      <w:pPr>
        <w:tabs>
          <w:tab w:val="center" w:pos="5400"/>
        </w:tabs>
        <w:suppressAutoHyphens/>
        <w:jc w:val="center"/>
        <w:rPr>
          <w:rFonts w:ascii="Cambria" w:hAnsi="Cambria"/>
          <w:sz w:val="20"/>
          <w:szCs w:val="20"/>
          <w:lang w:val="es-ES_tradnl"/>
        </w:rPr>
      </w:pPr>
      <w:r w:rsidRPr="007A0D4C">
        <w:rPr>
          <w:rFonts w:ascii="Cambria" w:hAnsi="Cambria"/>
          <w:sz w:val="20"/>
          <w:szCs w:val="20"/>
          <w:lang w:val="es-ES_tradnl"/>
        </w:rPr>
        <w:t>PARAGUAY</w:t>
      </w:r>
    </w:p>
    <w:p w14:paraId="05188E05" w14:textId="4310B4F8" w:rsidR="0066546F" w:rsidRPr="007A0D4C" w:rsidRDefault="00084245" w:rsidP="007A0D4C">
      <w:pPr>
        <w:tabs>
          <w:tab w:val="center" w:pos="5400"/>
        </w:tabs>
        <w:suppressAutoHyphens/>
        <w:jc w:val="center"/>
        <w:rPr>
          <w:rFonts w:ascii="Cambria" w:hAnsi="Cambria"/>
          <w:sz w:val="20"/>
          <w:szCs w:val="20"/>
          <w:lang w:val="es-ES_tradnl"/>
        </w:rPr>
      </w:pPr>
      <w:r>
        <w:rPr>
          <w:rFonts w:ascii="Cambria" w:hAnsi="Cambria"/>
          <w:sz w:val="20"/>
          <w:szCs w:val="20"/>
          <w:lang w:val="es-ES_tradnl"/>
        </w:rPr>
        <w:t>10</w:t>
      </w:r>
      <w:r w:rsidR="008350C7" w:rsidRPr="007A0D4C">
        <w:rPr>
          <w:rFonts w:ascii="Cambria" w:hAnsi="Cambria"/>
          <w:sz w:val="20"/>
          <w:szCs w:val="20"/>
          <w:lang w:val="es-ES_tradnl"/>
        </w:rPr>
        <w:t xml:space="preserve"> DE </w:t>
      </w:r>
      <w:r w:rsidR="00364652" w:rsidRPr="007A0D4C">
        <w:rPr>
          <w:rFonts w:ascii="Cambria" w:hAnsi="Cambria"/>
          <w:sz w:val="20"/>
          <w:szCs w:val="20"/>
          <w:lang w:val="es-ES_tradnl"/>
        </w:rPr>
        <w:t>JULIO</w:t>
      </w:r>
      <w:r w:rsidR="008350C7" w:rsidRPr="007A0D4C">
        <w:rPr>
          <w:rFonts w:ascii="Cambria" w:hAnsi="Cambria"/>
          <w:sz w:val="20"/>
          <w:szCs w:val="20"/>
          <w:lang w:val="es-ES_tradnl"/>
        </w:rPr>
        <w:t xml:space="preserve"> DE 2020</w:t>
      </w:r>
    </w:p>
    <w:p w14:paraId="53AFE097" w14:textId="0D3CC5FE" w:rsidR="00443F8D" w:rsidRPr="007A0D4C" w:rsidRDefault="00443F8D" w:rsidP="007A0D4C">
      <w:pPr>
        <w:tabs>
          <w:tab w:val="center" w:pos="5400"/>
        </w:tabs>
        <w:suppressAutoHyphens/>
        <w:jc w:val="center"/>
        <w:rPr>
          <w:rFonts w:ascii="Cambria" w:hAnsi="Cambria"/>
          <w:sz w:val="20"/>
          <w:szCs w:val="20"/>
          <w:lang w:val="es-ES_tradnl"/>
        </w:rPr>
      </w:pPr>
    </w:p>
    <w:p w14:paraId="6F845CC4" w14:textId="52CEED09" w:rsidR="00443F8D" w:rsidRPr="007A0D4C" w:rsidRDefault="00443F8D" w:rsidP="007A0D4C">
      <w:pPr>
        <w:tabs>
          <w:tab w:val="center" w:pos="5400"/>
        </w:tabs>
        <w:suppressAutoHyphens/>
        <w:jc w:val="center"/>
        <w:rPr>
          <w:rFonts w:ascii="Cambria" w:hAnsi="Cambria"/>
          <w:b/>
          <w:sz w:val="20"/>
          <w:szCs w:val="20"/>
          <w:lang w:val="es-ES_tradnl"/>
        </w:rPr>
      </w:pPr>
      <w:r w:rsidRPr="007A0D4C">
        <w:rPr>
          <w:rFonts w:ascii="Cambria" w:hAnsi="Cambria"/>
          <w:b/>
          <w:sz w:val="20"/>
          <w:szCs w:val="20"/>
          <w:lang w:val="es-ES_tradnl"/>
        </w:rPr>
        <w:t>ÍNDICE</w:t>
      </w:r>
    </w:p>
    <w:p w14:paraId="66A8E45C" w14:textId="784D8711" w:rsidR="00C5061E" w:rsidRPr="007A0D4C" w:rsidRDefault="00C5061E" w:rsidP="007A0D4C">
      <w:pPr>
        <w:tabs>
          <w:tab w:val="center" w:pos="5400"/>
        </w:tabs>
        <w:suppressAutoHyphens/>
        <w:jc w:val="center"/>
        <w:rPr>
          <w:rFonts w:ascii="Cambria" w:hAnsi="Cambria"/>
          <w:sz w:val="20"/>
          <w:szCs w:val="20"/>
          <w:lang w:val="es-ES_tradnl"/>
        </w:rPr>
      </w:pPr>
    </w:p>
    <w:p w14:paraId="5CFEE290" w14:textId="77777777" w:rsidR="00C5061E" w:rsidRPr="007A0D4C" w:rsidRDefault="00C5061E" w:rsidP="007A0D4C">
      <w:pPr>
        <w:tabs>
          <w:tab w:val="center" w:pos="5400"/>
        </w:tabs>
        <w:suppressAutoHyphens/>
        <w:jc w:val="both"/>
        <w:rPr>
          <w:rFonts w:ascii="Cambria" w:hAnsi="Cambria"/>
          <w:sz w:val="20"/>
          <w:szCs w:val="20"/>
          <w:lang w:val="es-ES_tradnl"/>
        </w:rPr>
      </w:pPr>
    </w:p>
    <w:sdt>
      <w:sdtPr>
        <w:rPr>
          <w:rFonts w:ascii="Times New Roman" w:eastAsia="Arial Unicode MS" w:hAnsi="Times New Roman" w:cs="Times New Roman"/>
          <w:b w:val="0"/>
          <w:bCs w:val="0"/>
          <w:sz w:val="24"/>
          <w:szCs w:val="24"/>
          <w:bdr w:val="nil"/>
          <w:lang w:eastAsia="en-US"/>
        </w:rPr>
        <w:id w:val="1937091545"/>
        <w:docPartObj>
          <w:docPartGallery w:val="Table of Contents"/>
          <w:docPartUnique/>
        </w:docPartObj>
      </w:sdtPr>
      <w:sdtEndPr>
        <w:rPr>
          <w:noProof/>
        </w:rPr>
      </w:sdtEndPr>
      <w:sdtContent>
        <w:p w14:paraId="5D4C5CAB" w14:textId="55DBFE2A" w:rsidR="0027039F" w:rsidRPr="006F38A3" w:rsidRDefault="0027039F" w:rsidP="007A0D4C">
          <w:pPr>
            <w:pStyle w:val="TOCHeading"/>
            <w:spacing w:line="240" w:lineRule="auto"/>
          </w:pPr>
        </w:p>
        <w:p w14:paraId="6F1B717B" w14:textId="7AE663F2" w:rsidR="006F38A3" w:rsidRPr="000D7953" w:rsidRDefault="0027039F">
          <w:pPr>
            <w:pStyle w:val="TOC1"/>
            <w:rPr>
              <w:rFonts w:eastAsiaTheme="minorEastAsia" w:cstheme="minorBidi"/>
              <w:b w:val="0"/>
              <w:bCs w:val="0"/>
              <w:bdr w:val="none" w:sz="0" w:space="0" w:color="auto"/>
              <w:lang w:val="en-US"/>
            </w:rPr>
          </w:pPr>
          <w:r w:rsidRPr="006F38A3">
            <w:fldChar w:fldCharType="begin"/>
          </w:r>
          <w:r w:rsidRPr="000D7953">
            <w:instrText xml:space="preserve"> TOC \o "1-3" \h \z \u </w:instrText>
          </w:r>
          <w:r w:rsidRPr="006F38A3">
            <w:fldChar w:fldCharType="separate"/>
          </w:r>
          <w:hyperlink w:anchor="_Toc47965316" w:history="1">
            <w:r w:rsidR="006F38A3" w:rsidRPr="000D7953">
              <w:rPr>
                <w:rStyle w:val="Hyperlink"/>
              </w:rPr>
              <w:t>I.</w:t>
            </w:r>
            <w:r w:rsidR="006F38A3" w:rsidRPr="000D7953">
              <w:rPr>
                <w:rFonts w:eastAsiaTheme="minorEastAsia" w:cstheme="minorBidi"/>
                <w:b w:val="0"/>
                <w:bCs w:val="0"/>
                <w:bdr w:val="none" w:sz="0" w:space="0" w:color="auto"/>
                <w:lang w:val="en-US"/>
              </w:rPr>
              <w:tab/>
            </w:r>
            <w:r w:rsidR="006F38A3" w:rsidRPr="000D7953">
              <w:rPr>
                <w:rStyle w:val="Hyperlink"/>
              </w:rPr>
              <w:t>INTRODUCCIÓN</w:t>
            </w:r>
            <w:r w:rsidR="006F38A3" w:rsidRPr="000D7953">
              <w:rPr>
                <w:webHidden/>
              </w:rPr>
              <w:tab/>
            </w:r>
            <w:r w:rsidR="006F38A3" w:rsidRPr="000D7953">
              <w:rPr>
                <w:webHidden/>
              </w:rPr>
              <w:fldChar w:fldCharType="begin"/>
            </w:r>
            <w:r w:rsidR="006F38A3" w:rsidRPr="000D7953">
              <w:rPr>
                <w:webHidden/>
              </w:rPr>
              <w:instrText xml:space="preserve"> PAGEREF _Toc47965316 \h </w:instrText>
            </w:r>
            <w:r w:rsidR="006F38A3" w:rsidRPr="000D7953">
              <w:rPr>
                <w:webHidden/>
              </w:rPr>
            </w:r>
            <w:r w:rsidR="006F38A3" w:rsidRPr="000D7953">
              <w:rPr>
                <w:webHidden/>
              </w:rPr>
              <w:fldChar w:fldCharType="separate"/>
            </w:r>
            <w:r w:rsidR="00511D57">
              <w:rPr>
                <w:webHidden/>
              </w:rPr>
              <w:t>2</w:t>
            </w:r>
            <w:r w:rsidR="006F38A3" w:rsidRPr="000D7953">
              <w:rPr>
                <w:webHidden/>
              </w:rPr>
              <w:fldChar w:fldCharType="end"/>
            </w:r>
          </w:hyperlink>
        </w:p>
        <w:p w14:paraId="0ADD6BC8" w14:textId="215D3456" w:rsidR="006F38A3" w:rsidRPr="000D7953" w:rsidRDefault="00511D57">
          <w:pPr>
            <w:pStyle w:val="TOC1"/>
            <w:rPr>
              <w:rFonts w:eastAsiaTheme="minorEastAsia" w:cstheme="minorBidi"/>
              <w:b w:val="0"/>
              <w:bCs w:val="0"/>
              <w:bdr w:val="none" w:sz="0" w:space="0" w:color="auto"/>
              <w:lang w:val="en-US"/>
            </w:rPr>
          </w:pPr>
          <w:hyperlink w:anchor="_Toc47965317" w:history="1">
            <w:r w:rsidR="006F38A3" w:rsidRPr="000D7953">
              <w:rPr>
                <w:rStyle w:val="Hyperlink"/>
                <w:lang w:eastAsia="es-ES"/>
              </w:rPr>
              <w:t>II.</w:t>
            </w:r>
            <w:r w:rsidR="006F38A3" w:rsidRPr="000D7953">
              <w:rPr>
                <w:rFonts w:eastAsiaTheme="minorEastAsia" w:cstheme="minorBidi"/>
                <w:b w:val="0"/>
                <w:bCs w:val="0"/>
                <w:bdr w:val="none" w:sz="0" w:space="0" w:color="auto"/>
                <w:lang w:val="en-US"/>
              </w:rPr>
              <w:tab/>
            </w:r>
            <w:r w:rsidR="006F38A3" w:rsidRPr="000D7953">
              <w:rPr>
                <w:rStyle w:val="Hyperlink"/>
                <w:lang w:val="es-ES_tradnl" w:eastAsia="es-ES"/>
              </w:rPr>
              <w:t>ALEGATOS DE LAS PARTES</w:t>
            </w:r>
            <w:r w:rsidR="006F38A3" w:rsidRPr="000D7953">
              <w:rPr>
                <w:webHidden/>
              </w:rPr>
              <w:tab/>
            </w:r>
            <w:r w:rsidR="006F38A3" w:rsidRPr="000D7953">
              <w:rPr>
                <w:webHidden/>
              </w:rPr>
              <w:fldChar w:fldCharType="begin"/>
            </w:r>
            <w:r w:rsidR="006F38A3" w:rsidRPr="000D7953">
              <w:rPr>
                <w:webHidden/>
              </w:rPr>
              <w:instrText xml:space="preserve"> PAGEREF _Toc47965317 \h </w:instrText>
            </w:r>
            <w:r w:rsidR="006F38A3" w:rsidRPr="000D7953">
              <w:rPr>
                <w:webHidden/>
              </w:rPr>
            </w:r>
            <w:r w:rsidR="006F38A3" w:rsidRPr="000D7953">
              <w:rPr>
                <w:webHidden/>
              </w:rPr>
              <w:fldChar w:fldCharType="separate"/>
            </w:r>
            <w:r>
              <w:rPr>
                <w:webHidden/>
              </w:rPr>
              <w:t>2</w:t>
            </w:r>
            <w:r w:rsidR="006F38A3" w:rsidRPr="000D7953">
              <w:rPr>
                <w:webHidden/>
              </w:rPr>
              <w:fldChar w:fldCharType="end"/>
            </w:r>
          </w:hyperlink>
        </w:p>
        <w:p w14:paraId="6B7C80F0" w14:textId="123A7D9E" w:rsidR="006F38A3" w:rsidRPr="000D7953" w:rsidRDefault="00511D57">
          <w:pPr>
            <w:pStyle w:val="TOC2"/>
            <w:rPr>
              <w:rFonts w:eastAsiaTheme="minorEastAsia" w:cstheme="minorBidi"/>
              <w:bdr w:val="none" w:sz="0" w:space="0" w:color="auto"/>
              <w:lang w:val="en-US" w:eastAsia="en-US"/>
            </w:rPr>
          </w:pPr>
          <w:hyperlink w:anchor="_Toc47965318" w:history="1">
            <w:r w:rsidR="006F38A3" w:rsidRPr="000D7953">
              <w:rPr>
                <w:rStyle w:val="Hyperlink"/>
              </w:rPr>
              <w:t>A.</w:t>
            </w:r>
            <w:r w:rsidR="006F38A3" w:rsidRPr="000D7953">
              <w:rPr>
                <w:rFonts w:eastAsiaTheme="minorEastAsia" w:cstheme="minorBidi"/>
                <w:bdr w:val="none" w:sz="0" w:space="0" w:color="auto"/>
                <w:lang w:val="en-US" w:eastAsia="en-US"/>
              </w:rPr>
              <w:tab/>
            </w:r>
            <w:r w:rsidR="006F38A3" w:rsidRPr="000D7953">
              <w:rPr>
                <w:rStyle w:val="Hyperlink"/>
              </w:rPr>
              <w:t>Parte peticionaria</w:t>
            </w:r>
            <w:r w:rsidR="006F38A3" w:rsidRPr="000D7953">
              <w:rPr>
                <w:webHidden/>
              </w:rPr>
              <w:tab/>
            </w:r>
            <w:r w:rsidR="006F38A3" w:rsidRPr="000D7953">
              <w:rPr>
                <w:webHidden/>
              </w:rPr>
              <w:fldChar w:fldCharType="begin"/>
            </w:r>
            <w:r w:rsidR="006F38A3" w:rsidRPr="000D7953">
              <w:rPr>
                <w:webHidden/>
              </w:rPr>
              <w:instrText xml:space="preserve"> PAGEREF _Toc47965318 \h </w:instrText>
            </w:r>
            <w:r w:rsidR="006F38A3" w:rsidRPr="000D7953">
              <w:rPr>
                <w:webHidden/>
              </w:rPr>
            </w:r>
            <w:r w:rsidR="006F38A3" w:rsidRPr="000D7953">
              <w:rPr>
                <w:webHidden/>
              </w:rPr>
              <w:fldChar w:fldCharType="separate"/>
            </w:r>
            <w:r>
              <w:rPr>
                <w:webHidden/>
              </w:rPr>
              <w:t>2</w:t>
            </w:r>
            <w:r w:rsidR="006F38A3" w:rsidRPr="000D7953">
              <w:rPr>
                <w:webHidden/>
              </w:rPr>
              <w:fldChar w:fldCharType="end"/>
            </w:r>
          </w:hyperlink>
        </w:p>
        <w:p w14:paraId="226B7A9D" w14:textId="1D423A6A" w:rsidR="006F38A3" w:rsidRPr="000D7953" w:rsidRDefault="00511D57">
          <w:pPr>
            <w:pStyle w:val="TOC2"/>
            <w:rPr>
              <w:rFonts w:eastAsiaTheme="minorEastAsia" w:cstheme="minorBidi"/>
              <w:bdr w:val="none" w:sz="0" w:space="0" w:color="auto"/>
              <w:lang w:val="en-US" w:eastAsia="en-US"/>
            </w:rPr>
          </w:pPr>
          <w:hyperlink w:anchor="_Toc47965319" w:history="1">
            <w:r w:rsidR="006F38A3" w:rsidRPr="000D7953">
              <w:rPr>
                <w:rStyle w:val="Hyperlink"/>
              </w:rPr>
              <w:t>B.</w:t>
            </w:r>
            <w:r w:rsidR="006F38A3" w:rsidRPr="000D7953">
              <w:rPr>
                <w:rFonts w:eastAsiaTheme="minorEastAsia" w:cstheme="minorBidi"/>
                <w:bdr w:val="none" w:sz="0" w:space="0" w:color="auto"/>
                <w:lang w:val="en-US" w:eastAsia="en-US"/>
              </w:rPr>
              <w:tab/>
            </w:r>
            <w:r w:rsidR="006F38A3" w:rsidRPr="000D7953">
              <w:rPr>
                <w:rStyle w:val="Hyperlink"/>
              </w:rPr>
              <w:t>Estado</w:t>
            </w:r>
            <w:r w:rsidR="006F38A3" w:rsidRPr="000D7953">
              <w:rPr>
                <w:webHidden/>
              </w:rPr>
              <w:tab/>
            </w:r>
            <w:r w:rsidR="006F38A3" w:rsidRPr="000D7953">
              <w:rPr>
                <w:webHidden/>
              </w:rPr>
              <w:fldChar w:fldCharType="begin"/>
            </w:r>
            <w:r w:rsidR="006F38A3" w:rsidRPr="000D7953">
              <w:rPr>
                <w:webHidden/>
              </w:rPr>
              <w:instrText xml:space="preserve"> PAGEREF _Toc47965319 \h </w:instrText>
            </w:r>
            <w:r w:rsidR="006F38A3" w:rsidRPr="000D7953">
              <w:rPr>
                <w:webHidden/>
              </w:rPr>
            </w:r>
            <w:r w:rsidR="006F38A3" w:rsidRPr="000D7953">
              <w:rPr>
                <w:webHidden/>
              </w:rPr>
              <w:fldChar w:fldCharType="separate"/>
            </w:r>
            <w:r>
              <w:rPr>
                <w:webHidden/>
              </w:rPr>
              <w:t>4</w:t>
            </w:r>
            <w:r w:rsidR="006F38A3" w:rsidRPr="000D7953">
              <w:rPr>
                <w:webHidden/>
              </w:rPr>
              <w:fldChar w:fldCharType="end"/>
            </w:r>
          </w:hyperlink>
        </w:p>
        <w:p w14:paraId="104BA398" w14:textId="57E8B02E" w:rsidR="006F38A3" w:rsidRPr="000D7953" w:rsidRDefault="00511D57">
          <w:pPr>
            <w:pStyle w:val="TOC1"/>
            <w:rPr>
              <w:rFonts w:eastAsiaTheme="minorEastAsia" w:cstheme="minorBidi"/>
              <w:b w:val="0"/>
              <w:bCs w:val="0"/>
              <w:bdr w:val="none" w:sz="0" w:space="0" w:color="auto"/>
              <w:lang w:val="en-US"/>
            </w:rPr>
          </w:pPr>
          <w:hyperlink w:anchor="_Toc47965320" w:history="1">
            <w:r w:rsidR="006F38A3" w:rsidRPr="000D7953">
              <w:rPr>
                <w:rStyle w:val="Hyperlink"/>
              </w:rPr>
              <w:t>III.</w:t>
            </w:r>
            <w:r w:rsidR="006F38A3" w:rsidRPr="000D7953">
              <w:rPr>
                <w:rFonts w:eastAsiaTheme="minorEastAsia" w:cstheme="minorBidi"/>
                <w:b w:val="0"/>
                <w:bCs w:val="0"/>
                <w:bdr w:val="none" w:sz="0" w:space="0" w:color="auto"/>
                <w:lang w:val="en-US"/>
              </w:rPr>
              <w:tab/>
            </w:r>
            <w:r w:rsidR="006F38A3" w:rsidRPr="000D7953">
              <w:rPr>
                <w:rStyle w:val="Hyperlink"/>
              </w:rPr>
              <w:t>DETERMINACIONES DE HECHO</w:t>
            </w:r>
            <w:r w:rsidR="006F38A3" w:rsidRPr="000D7953">
              <w:rPr>
                <w:webHidden/>
              </w:rPr>
              <w:tab/>
            </w:r>
            <w:r w:rsidR="006F38A3" w:rsidRPr="000D7953">
              <w:rPr>
                <w:webHidden/>
              </w:rPr>
              <w:fldChar w:fldCharType="begin"/>
            </w:r>
            <w:r w:rsidR="006F38A3" w:rsidRPr="000D7953">
              <w:rPr>
                <w:webHidden/>
              </w:rPr>
              <w:instrText xml:space="preserve"> PAGEREF _Toc47965320 \h </w:instrText>
            </w:r>
            <w:r w:rsidR="006F38A3" w:rsidRPr="000D7953">
              <w:rPr>
                <w:webHidden/>
              </w:rPr>
            </w:r>
            <w:r w:rsidR="006F38A3" w:rsidRPr="000D7953">
              <w:rPr>
                <w:webHidden/>
              </w:rPr>
              <w:fldChar w:fldCharType="separate"/>
            </w:r>
            <w:r>
              <w:rPr>
                <w:webHidden/>
              </w:rPr>
              <w:t>5</w:t>
            </w:r>
            <w:r w:rsidR="006F38A3" w:rsidRPr="000D7953">
              <w:rPr>
                <w:webHidden/>
              </w:rPr>
              <w:fldChar w:fldCharType="end"/>
            </w:r>
          </w:hyperlink>
        </w:p>
        <w:p w14:paraId="40CFA76E" w14:textId="02FB3CAB" w:rsidR="006F38A3" w:rsidRPr="000D7953" w:rsidRDefault="00511D57">
          <w:pPr>
            <w:pStyle w:val="TOC2"/>
            <w:rPr>
              <w:rFonts w:eastAsiaTheme="minorEastAsia" w:cstheme="minorBidi"/>
              <w:bdr w:val="none" w:sz="0" w:space="0" w:color="auto"/>
              <w:lang w:val="en-US" w:eastAsia="en-US"/>
            </w:rPr>
          </w:pPr>
          <w:hyperlink w:anchor="_Toc47965321" w:history="1">
            <w:r w:rsidR="006F38A3" w:rsidRPr="000D7953">
              <w:rPr>
                <w:rStyle w:val="Hyperlink"/>
              </w:rPr>
              <w:t>A.</w:t>
            </w:r>
            <w:r w:rsidR="006F38A3" w:rsidRPr="000D7953">
              <w:rPr>
                <w:rFonts w:eastAsiaTheme="minorEastAsia" w:cstheme="minorBidi"/>
                <w:bdr w:val="none" w:sz="0" w:space="0" w:color="auto"/>
                <w:lang w:val="en-US" w:eastAsia="en-US"/>
              </w:rPr>
              <w:tab/>
            </w:r>
            <w:r w:rsidR="006F38A3" w:rsidRPr="000D7953">
              <w:rPr>
                <w:rStyle w:val="Hyperlink"/>
              </w:rPr>
              <w:t>Sobre el periodista Santiago Leguizamón y su familia</w:t>
            </w:r>
            <w:r w:rsidR="006F38A3" w:rsidRPr="000D7953">
              <w:rPr>
                <w:webHidden/>
              </w:rPr>
              <w:tab/>
            </w:r>
            <w:r w:rsidR="006F38A3" w:rsidRPr="000D7953">
              <w:rPr>
                <w:webHidden/>
              </w:rPr>
              <w:fldChar w:fldCharType="begin"/>
            </w:r>
            <w:r w:rsidR="006F38A3" w:rsidRPr="000D7953">
              <w:rPr>
                <w:webHidden/>
              </w:rPr>
              <w:instrText xml:space="preserve"> PAGEREF _Toc47965321 \h </w:instrText>
            </w:r>
            <w:r w:rsidR="006F38A3" w:rsidRPr="000D7953">
              <w:rPr>
                <w:webHidden/>
              </w:rPr>
            </w:r>
            <w:r w:rsidR="006F38A3" w:rsidRPr="000D7953">
              <w:rPr>
                <w:webHidden/>
              </w:rPr>
              <w:fldChar w:fldCharType="separate"/>
            </w:r>
            <w:r>
              <w:rPr>
                <w:webHidden/>
              </w:rPr>
              <w:t>5</w:t>
            </w:r>
            <w:r w:rsidR="006F38A3" w:rsidRPr="000D7953">
              <w:rPr>
                <w:webHidden/>
              </w:rPr>
              <w:fldChar w:fldCharType="end"/>
            </w:r>
          </w:hyperlink>
        </w:p>
        <w:p w14:paraId="7956FD0D" w14:textId="405FF1B4" w:rsidR="006F38A3" w:rsidRPr="000D7953" w:rsidRDefault="00511D57">
          <w:pPr>
            <w:pStyle w:val="TOC2"/>
            <w:rPr>
              <w:rFonts w:eastAsiaTheme="minorEastAsia" w:cstheme="minorBidi"/>
              <w:bdr w:val="none" w:sz="0" w:space="0" w:color="auto"/>
              <w:lang w:val="en-US" w:eastAsia="en-US"/>
            </w:rPr>
          </w:pPr>
          <w:hyperlink w:anchor="_Toc47965322" w:history="1">
            <w:r w:rsidR="006F38A3" w:rsidRPr="000D7953">
              <w:rPr>
                <w:rStyle w:val="Hyperlink"/>
                <w:lang w:val="es-PE"/>
              </w:rPr>
              <w:t>B.</w:t>
            </w:r>
            <w:r w:rsidR="006F38A3" w:rsidRPr="000D7953">
              <w:rPr>
                <w:rFonts w:eastAsiaTheme="minorEastAsia" w:cstheme="minorBidi"/>
                <w:bdr w:val="none" w:sz="0" w:space="0" w:color="auto"/>
                <w:lang w:val="en-US" w:eastAsia="en-US"/>
              </w:rPr>
              <w:tab/>
            </w:r>
            <w:r w:rsidR="006F38A3" w:rsidRPr="000D7953">
              <w:rPr>
                <w:rStyle w:val="Hyperlink"/>
                <w:lang w:val="es-VE"/>
              </w:rPr>
              <w:t>Las amenazas y el asesinato del periodista Santiago Leguizam</w:t>
            </w:r>
            <w:r w:rsidR="006F38A3" w:rsidRPr="000D7953">
              <w:rPr>
                <w:rStyle w:val="Hyperlink"/>
                <w:lang w:val="es-PE"/>
              </w:rPr>
              <w:t>ón</w:t>
            </w:r>
            <w:r w:rsidR="006F38A3" w:rsidRPr="000D7953">
              <w:rPr>
                <w:webHidden/>
              </w:rPr>
              <w:tab/>
            </w:r>
            <w:r w:rsidR="006F38A3" w:rsidRPr="000D7953">
              <w:rPr>
                <w:webHidden/>
              </w:rPr>
              <w:fldChar w:fldCharType="begin"/>
            </w:r>
            <w:r w:rsidR="006F38A3" w:rsidRPr="000D7953">
              <w:rPr>
                <w:webHidden/>
              </w:rPr>
              <w:instrText xml:space="preserve"> PAGEREF _Toc47965322 \h </w:instrText>
            </w:r>
            <w:r w:rsidR="006F38A3" w:rsidRPr="000D7953">
              <w:rPr>
                <w:webHidden/>
              </w:rPr>
            </w:r>
            <w:r w:rsidR="006F38A3" w:rsidRPr="000D7953">
              <w:rPr>
                <w:webHidden/>
              </w:rPr>
              <w:fldChar w:fldCharType="separate"/>
            </w:r>
            <w:r>
              <w:rPr>
                <w:webHidden/>
              </w:rPr>
              <w:t>6</w:t>
            </w:r>
            <w:r w:rsidR="006F38A3" w:rsidRPr="000D7953">
              <w:rPr>
                <w:webHidden/>
              </w:rPr>
              <w:fldChar w:fldCharType="end"/>
            </w:r>
          </w:hyperlink>
        </w:p>
        <w:p w14:paraId="1936D09D" w14:textId="1034D3B7" w:rsidR="006F38A3" w:rsidRPr="000D7953" w:rsidRDefault="00511D57">
          <w:pPr>
            <w:pStyle w:val="TOC2"/>
            <w:rPr>
              <w:rFonts w:eastAsiaTheme="minorEastAsia" w:cstheme="minorBidi"/>
              <w:bdr w:val="none" w:sz="0" w:space="0" w:color="auto"/>
              <w:lang w:val="en-US" w:eastAsia="en-US"/>
            </w:rPr>
          </w:pPr>
          <w:hyperlink w:anchor="_Toc47965323" w:history="1">
            <w:r w:rsidR="006F38A3" w:rsidRPr="000D7953">
              <w:rPr>
                <w:rStyle w:val="Hyperlink"/>
                <w:lang w:val="es-VE"/>
              </w:rPr>
              <w:t>C.</w:t>
            </w:r>
            <w:r w:rsidR="006F38A3" w:rsidRPr="000D7953">
              <w:rPr>
                <w:rFonts w:eastAsiaTheme="minorEastAsia" w:cstheme="minorBidi"/>
                <w:bdr w:val="none" w:sz="0" w:space="0" w:color="auto"/>
                <w:lang w:val="en-US" w:eastAsia="en-US"/>
              </w:rPr>
              <w:tab/>
            </w:r>
            <w:r w:rsidR="006F38A3" w:rsidRPr="000D7953">
              <w:rPr>
                <w:rStyle w:val="Hyperlink"/>
                <w:lang w:val="es-VE"/>
              </w:rPr>
              <w:t>Investigación y p</w:t>
            </w:r>
            <w:r w:rsidR="006F38A3" w:rsidRPr="000D7953">
              <w:rPr>
                <w:rStyle w:val="Hyperlink"/>
              </w:rPr>
              <w:t>roceso penal por el asesinato de Santiago Leguizamón</w:t>
            </w:r>
            <w:r w:rsidR="006F38A3" w:rsidRPr="000D7953">
              <w:rPr>
                <w:webHidden/>
              </w:rPr>
              <w:tab/>
            </w:r>
            <w:r w:rsidR="006F38A3" w:rsidRPr="000D7953">
              <w:rPr>
                <w:webHidden/>
              </w:rPr>
              <w:fldChar w:fldCharType="begin"/>
            </w:r>
            <w:r w:rsidR="006F38A3" w:rsidRPr="000D7953">
              <w:rPr>
                <w:webHidden/>
              </w:rPr>
              <w:instrText xml:space="preserve"> PAGEREF _Toc47965323 \h </w:instrText>
            </w:r>
            <w:r w:rsidR="006F38A3" w:rsidRPr="000D7953">
              <w:rPr>
                <w:webHidden/>
              </w:rPr>
            </w:r>
            <w:r w:rsidR="006F38A3" w:rsidRPr="000D7953">
              <w:rPr>
                <w:webHidden/>
              </w:rPr>
              <w:fldChar w:fldCharType="separate"/>
            </w:r>
            <w:r>
              <w:rPr>
                <w:webHidden/>
              </w:rPr>
              <w:t>8</w:t>
            </w:r>
            <w:r w:rsidR="006F38A3" w:rsidRPr="000D7953">
              <w:rPr>
                <w:webHidden/>
              </w:rPr>
              <w:fldChar w:fldCharType="end"/>
            </w:r>
          </w:hyperlink>
        </w:p>
        <w:p w14:paraId="66EDD84C" w14:textId="12748421"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24" w:history="1">
            <w:r w:rsidR="006F38A3" w:rsidRPr="000D7953">
              <w:rPr>
                <w:rStyle w:val="Hyperlink"/>
                <w:rFonts w:ascii="Cambria" w:hAnsi="Cambria"/>
                <w:noProof/>
                <w:sz w:val="20"/>
                <w:szCs w:val="20"/>
                <w:lang w:val="es-VE"/>
              </w:rPr>
              <w:t>1.</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Diligencias iniciales y proceso penal ante el Juzgado de primera instancia en lo criminal y tutelar del menor del primer turno de la circunscripción judicial del Amambay</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_Toc47965324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8</w:t>
            </w:r>
            <w:r w:rsidR="006F38A3" w:rsidRPr="000D7953">
              <w:rPr>
                <w:rFonts w:ascii="Cambria" w:hAnsi="Cambria"/>
                <w:noProof/>
                <w:webHidden/>
                <w:sz w:val="20"/>
                <w:szCs w:val="20"/>
              </w:rPr>
              <w:fldChar w:fldCharType="end"/>
            </w:r>
          </w:hyperlink>
        </w:p>
        <w:p w14:paraId="4D8FBD77" w14:textId="0EE0F14D"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25" w:history="1">
            <w:r w:rsidR="006F38A3" w:rsidRPr="000D7953">
              <w:rPr>
                <w:rStyle w:val="Hyperlink"/>
                <w:rFonts w:ascii="Cambria" w:hAnsi="Cambria"/>
                <w:noProof/>
                <w:sz w:val="20"/>
                <w:szCs w:val="20"/>
              </w:rPr>
              <w:t>2.</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Archivo de la investigación y solicitud de cooperación internacional a las autoridades de Brasil</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_Toc47965325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13</w:t>
            </w:r>
            <w:r w:rsidR="006F38A3" w:rsidRPr="000D7953">
              <w:rPr>
                <w:rFonts w:ascii="Cambria" w:hAnsi="Cambria"/>
                <w:noProof/>
                <w:webHidden/>
                <w:sz w:val="20"/>
                <w:szCs w:val="20"/>
              </w:rPr>
              <w:fldChar w:fldCharType="end"/>
            </w:r>
          </w:hyperlink>
        </w:p>
        <w:p w14:paraId="1E64609D" w14:textId="1C8CE38E"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26" w:history="1">
            <w:r w:rsidR="006F38A3" w:rsidRPr="000D7953">
              <w:rPr>
                <w:rStyle w:val="Hyperlink"/>
                <w:rFonts w:ascii="Cambria" w:hAnsi="Cambria"/>
                <w:noProof/>
                <w:sz w:val="20"/>
                <w:szCs w:val="20"/>
              </w:rPr>
              <w:t>3.</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Amenazas a los familiares de Santiago Leguizamón y consecuencias sufridas con motivo de su asesinato</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_Toc47965326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14</w:t>
            </w:r>
            <w:r w:rsidR="006F38A3" w:rsidRPr="000D7953">
              <w:rPr>
                <w:rFonts w:ascii="Cambria" w:hAnsi="Cambria"/>
                <w:noProof/>
                <w:webHidden/>
                <w:sz w:val="20"/>
                <w:szCs w:val="20"/>
              </w:rPr>
              <w:fldChar w:fldCharType="end"/>
            </w:r>
          </w:hyperlink>
        </w:p>
        <w:p w14:paraId="0BDB2D79" w14:textId="4D79DA80" w:rsidR="006F38A3" w:rsidRPr="000D7953" w:rsidRDefault="00511D57">
          <w:pPr>
            <w:pStyle w:val="TOC1"/>
            <w:rPr>
              <w:rFonts w:eastAsiaTheme="minorEastAsia" w:cstheme="minorBidi"/>
              <w:b w:val="0"/>
              <w:bCs w:val="0"/>
              <w:bdr w:val="none" w:sz="0" w:space="0" w:color="auto"/>
              <w:lang w:val="en-US"/>
            </w:rPr>
          </w:pPr>
          <w:hyperlink w:anchor="_Toc47965327" w:history="1">
            <w:r w:rsidR="006F38A3" w:rsidRPr="000D7953">
              <w:rPr>
                <w:rStyle w:val="Hyperlink"/>
              </w:rPr>
              <w:t>IV.</w:t>
            </w:r>
            <w:r w:rsidR="006F38A3" w:rsidRPr="000D7953">
              <w:rPr>
                <w:rFonts w:eastAsiaTheme="minorEastAsia" w:cstheme="minorBidi"/>
                <w:b w:val="0"/>
                <w:bCs w:val="0"/>
                <w:bdr w:val="none" w:sz="0" w:space="0" w:color="auto"/>
                <w:lang w:val="en-US"/>
              </w:rPr>
              <w:tab/>
            </w:r>
            <w:r w:rsidR="006F38A3" w:rsidRPr="000D7953">
              <w:rPr>
                <w:rStyle w:val="Hyperlink"/>
              </w:rPr>
              <w:t>ANÁLISIS DE DERECHO</w:t>
            </w:r>
            <w:r w:rsidR="006F38A3" w:rsidRPr="000D7953">
              <w:rPr>
                <w:webHidden/>
              </w:rPr>
              <w:tab/>
            </w:r>
            <w:r w:rsidR="006F38A3" w:rsidRPr="000D7953">
              <w:rPr>
                <w:webHidden/>
              </w:rPr>
              <w:fldChar w:fldCharType="begin"/>
            </w:r>
            <w:r w:rsidR="006F38A3" w:rsidRPr="000D7953">
              <w:rPr>
                <w:webHidden/>
              </w:rPr>
              <w:instrText xml:space="preserve"> PAGEREF _Toc47965327 \h </w:instrText>
            </w:r>
            <w:r w:rsidR="006F38A3" w:rsidRPr="000D7953">
              <w:rPr>
                <w:webHidden/>
              </w:rPr>
            </w:r>
            <w:r w:rsidR="006F38A3" w:rsidRPr="000D7953">
              <w:rPr>
                <w:webHidden/>
              </w:rPr>
              <w:fldChar w:fldCharType="separate"/>
            </w:r>
            <w:r>
              <w:rPr>
                <w:webHidden/>
              </w:rPr>
              <w:t>15</w:t>
            </w:r>
            <w:r w:rsidR="006F38A3" w:rsidRPr="000D7953">
              <w:rPr>
                <w:webHidden/>
              </w:rPr>
              <w:fldChar w:fldCharType="end"/>
            </w:r>
          </w:hyperlink>
        </w:p>
        <w:p w14:paraId="726C248A" w14:textId="289EE0DD" w:rsidR="006F38A3" w:rsidRPr="000D7953" w:rsidRDefault="00511D57">
          <w:pPr>
            <w:pStyle w:val="TOC2"/>
            <w:rPr>
              <w:rFonts w:eastAsiaTheme="minorEastAsia" w:cstheme="minorBidi"/>
              <w:bdr w:val="none" w:sz="0" w:space="0" w:color="auto"/>
              <w:lang w:val="en-US" w:eastAsia="en-US"/>
            </w:rPr>
          </w:pPr>
          <w:hyperlink w:anchor="_Toc47965328" w:history="1">
            <w:r w:rsidR="006F38A3" w:rsidRPr="000D7953">
              <w:rPr>
                <w:rStyle w:val="Hyperlink"/>
              </w:rPr>
              <w:t>A.</w:t>
            </w:r>
            <w:r w:rsidR="006F38A3" w:rsidRPr="000D7953">
              <w:rPr>
                <w:rFonts w:eastAsiaTheme="minorEastAsia" w:cstheme="minorBidi"/>
                <w:bdr w:val="none" w:sz="0" w:space="0" w:color="auto"/>
                <w:lang w:val="en-US" w:eastAsia="en-US"/>
              </w:rPr>
              <w:tab/>
            </w:r>
            <w:r w:rsidR="006F38A3" w:rsidRPr="000D7953">
              <w:rPr>
                <w:rStyle w:val="Hyperlink"/>
              </w:rPr>
              <w:t>Derechos</w:t>
            </w:r>
            <w:r w:rsidR="006F38A3" w:rsidRPr="000D7953">
              <w:rPr>
                <w:rStyle w:val="Hyperlink"/>
                <w:lang w:val="es-ES"/>
              </w:rPr>
              <w:t xml:space="preserve"> a la vida (artículo 4), </w:t>
            </w:r>
            <w:r w:rsidR="006F38A3" w:rsidRPr="000D7953">
              <w:rPr>
                <w:rStyle w:val="Hyperlink"/>
              </w:rPr>
              <w:t xml:space="preserve">a la libertad de pensamiento y de expresión (artículo 13), </w:t>
            </w:r>
            <w:r w:rsidR="006F38A3" w:rsidRPr="000D7953">
              <w:rPr>
                <w:rStyle w:val="Hyperlink"/>
                <w:lang w:val="es-ES"/>
              </w:rPr>
              <w:t>a las garantías judiciales (artículo 8)</w:t>
            </w:r>
            <w:r w:rsidR="006F38A3" w:rsidRPr="000D7953">
              <w:rPr>
                <w:rStyle w:val="Hyperlink"/>
                <w:vertAlign w:val="superscript"/>
                <w:lang w:val="es-ES"/>
              </w:rPr>
              <w:t xml:space="preserve"> </w:t>
            </w:r>
            <w:r w:rsidR="006F38A3" w:rsidRPr="000D7953">
              <w:rPr>
                <w:rStyle w:val="Hyperlink"/>
                <w:lang w:val="es-ES"/>
              </w:rPr>
              <w:t xml:space="preserve">y a la protección judicial (artículo 25) </w:t>
            </w:r>
            <w:r w:rsidR="006F38A3" w:rsidRPr="000D7953">
              <w:rPr>
                <w:rStyle w:val="Hyperlink"/>
              </w:rPr>
              <w:t>en relación con el artículo 1.1 de la Convención Americana</w:t>
            </w:r>
            <w:r w:rsidR="006F38A3" w:rsidRPr="000D7953">
              <w:rPr>
                <w:webHidden/>
              </w:rPr>
              <w:tab/>
            </w:r>
            <w:r w:rsidR="006F38A3" w:rsidRPr="000D7953">
              <w:rPr>
                <w:webHidden/>
              </w:rPr>
              <w:fldChar w:fldCharType="begin"/>
            </w:r>
            <w:r w:rsidR="006F38A3" w:rsidRPr="000D7953">
              <w:rPr>
                <w:webHidden/>
              </w:rPr>
              <w:instrText xml:space="preserve"> PAGEREF _Toc47965328 \h </w:instrText>
            </w:r>
            <w:r w:rsidR="006F38A3" w:rsidRPr="000D7953">
              <w:rPr>
                <w:webHidden/>
              </w:rPr>
            </w:r>
            <w:r w:rsidR="006F38A3" w:rsidRPr="000D7953">
              <w:rPr>
                <w:webHidden/>
              </w:rPr>
              <w:fldChar w:fldCharType="separate"/>
            </w:r>
            <w:r>
              <w:rPr>
                <w:webHidden/>
              </w:rPr>
              <w:t>15</w:t>
            </w:r>
            <w:r w:rsidR="006F38A3" w:rsidRPr="000D7953">
              <w:rPr>
                <w:webHidden/>
              </w:rPr>
              <w:fldChar w:fldCharType="end"/>
            </w:r>
          </w:hyperlink>
        </w:p>
        <w:p w14:paraId="39C2BB11" w14:textId="1BD56AC4"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29" w:history="1">
            <w:r w:rsidR="006F38A3" w:rsidRPr="000D7953">
              <w:rPr>
                <w:rStyle w:val="Hyperlink"/>
                <w:rFonts w:ascii="Cambria" w:hAnsi="Cambria"/>
                <w:noProof/>
                <w:sz w:val="20"/>
                <w:szCs w:val="20"/>
              </w:rPr>
              <w:t>1.</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Consideraciones generales sobre el rol trascendental de la prensa y las obligaciones positivas de los Estados frente a crímenes contra periodistas cometidos por el ejercicio de la libertad de expresión</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_Toc47965329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15</w:t>
            </w:r>
            <w:r w:rsidR="006F38A3" w:rsidRPr="000D7953">
              <w:rPr>
                <w:rFonts w:ascii="Cambria" w:hAnsi="Cambria"/>
                <w:noProof/>
                <w:webHidden/>
                <w:sz w:val="20"/>
                <w:szCs w:val="20"/>
              </w:rPr>
              <w:fldChar w:fldCharType="end"/>
            </w:r>
          </w:hyperlink>
        </w:p>
        <w:p w14:paraId="7E8F5B9B" w14:textId="3CA4F291"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30" w:history="1">
            <w:r w:rsidR="006F38A3" w:rsidRPr="000D7953">
              <w:rPr>
                <w:rStyle w:val="Hyperlink"/>
                <w:rFonts w:ascii="Cambria" w:hAnsi="Cambria"/>
                <w:noProof/>
                <w:sz w:val="20"/>
                <w:szCs w:val="20"/>
              </w:rPr>
              <w:t>2.</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lang w:val="es-US"/>
              </w:rPr>
              <w:t>Consideraciones s</w:t>
            </w:r>
            <w:r w:rsidR="006F38A3" w:rsidRPr="000D7953">
              <w:rPr>
                <w:rStyle w:val="Hyperlink"/>
                <w:rFonts w:ascii="Cambria" w:hAnsi="Cambria"/>
                <w:noProof/>
                <w:sz w:val="20"/>
                <w:szCs w:val="20"/>
              </w:rPr>
              <w:t>obre el deber de prevención de la violación al derecho a la vida y la obligación de proteger a periodistas expuestos a un riesgo especial</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_Toc47965330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17</w:t>
            </w:r>
            <w:r w:rsidR="006F38A3" w:rsidRPr="000D7953">
              <w:rPr>
                <w:rFonts w:ascii="Cambria" w:hAnsi="Cambria"/>
                <w:noProof/>
                <w:webHidden/>
                <w:sz w:val="20"/>
                <w:szCs w:val="20"/>
              </w:rPr>
              <w:fldChar w:fldCharType="end"/>
            </w:r>
          </w:hyperlink>
        </w:p>
        <w:p w14:paraId="5CBA40BE" w14:textId="0A16A82A"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31" w:history="1">
            <w:r w:rsidR="006F38A3" w:rsidRPr="000D7953">
              <w:rPr>
                <w:rStyle w:val="Hyperlink"/>
                <w:rFonts w:ascii="Cambria" w:hAnsi="Cambria"/>
                <w:noProof/>
                <w:sz w:val="20"/>
                <w:szCs w:val="20"/>
              </w:rPr>
              <w:t>3.</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Consideraciones generales sobre el deber de investigar crímenes contra periodistas por el ejercicio de su derecho a la libertad de expresión</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_Toc47965331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18</w:t>
            </w:r>
            <w:r w:rsidR="006F38A3" w:rsidRPr="000D7953">
              <w:rPr>
                <w:rFonts w:ascii="Cambria" w:hAnsi="Cambria"/>
                <w:noProof/>
                <w:webHidden/>
                <w:sz w:val="20"/>
                <w:szCs w:val="20"/>
              </w:rPr>
              <w:fldChar w:fldCharType="end"/>
            </w:r>
          </w:hyperlink>
        </w:p>
        <w:p w14:paraId="7052A78A" w14:textId="410826CC" w:rsidR="006F38A3" w:rsidRPr="000D7953" w:rsidRDefault="00511D57">
          <w:pPr>
            <w:pStyle w:val="TOC3"/>
            <w:tabs>
              <w:tab w:val="left" w:pos="2160"/>
            </w:tabs>
            <w:rPr>
              <w:rFonts w:ascii="Cambria" w:eastAsiaTheme="minorEastAsia" w:hAnsi="Cambria" w:cstheme="minorBidi"/>
              <w:noProof/>
              <w:sz w:val="20"/>
              <w:szCs w:val="20"/>
              <w:bdr w:val="none" w:sz="0" w:space="0" w:color="auto"/>
            </w:rPr>
          </w:pPr>
          <w:hyperlink w:anchor="_Toc47965332" w:history="1">
            <w:r w:rsidR="006F38A3" w:rsidRPr="000D7953">
              <w:rPr>
                <w:rStyle w:val="Hyperlink"/>
                <w:rFonts w:ascii="Cambria" w:hAnsi="Cambria"/>
                <w:noProof/>
                <w:sz w:val="20"/>
                <w:szCs w:val="20"/>
                <w:lang w:val="es-US"/>
              </w:rPr>
              <w:t>4.</w:t>
            </w:r>
            <w:r w:rsidR="006F38A3" w:rsidRPr="000D7953">
              <w:rPr>
                <w:rFonts w:ascii="Cambria" w:eastAsiaTheme="minorEastAsia" w:hAnsi="Cambria" w:cstheme="minorBidi"/>
                <w:noProof/>
                <w:sz w:val="20"/>
                <w:szCs w:val="20"/>
                <w:bdr w:val="none" w:sz="0" w:space="0" w:color="auto"/>
              </w:rPr>
              <w:tab/>
            </w:r>
            <w:r w:rsidR="006F38A3" w:rsidRPr="000D7953">
              <w:rPr>
                <w:rStyle w:val="Hyperlink"/>
                <w:rFonts w:ascii="Cambria" w:hAnsi="Cambria"/>
                <w:noProof/>
                <w:sz w:val="20"/>
                <w:szCs w:val="20"/>
              </w:rPr>
              <w:t>Análisis del caso</w:t>
            </w:r>
            <w:r w:rsidR="006F38A3" w:rsidRPr="000D7953">
              <w:rPr>
                <w:rFonts w:ascii="Cambria" w:hAnsi="Cambria"/>
                <w:noProof/>
                <w:webHidden/>
                <w:sz w:val="20"/>
                <w:szCs w:val="20"/>
              </w:rPr>
              <w:tab/>
            </w:r>
            <w:r w:rsidR="006F38A3" w:rsidRPr="000D7953">
              <w:rPr>
                <w:rFonts w:ascii="Cambria" w:hAnsi="Cambria"/>
                <w:noProof/>
                <w:webHidden/>
                <w:sz w:val="20"/>
                <w:szCs w:val="20"/>
              </w:rPr>
              <w:fldChar w:fldCharType="begin"/>
            </w:r>
            <w:r w:rsidR="006F38A3" w:rsidRPr="000D7953">
              <w:rPr>
                <w:rFonts w:ascii="Cambria" w:hAnsi="Cambria"/>
                <w:noProof/>
                <w:webHidden/>
                <w:sz w:val="20"/>
                <w:szCs w:val="20"/>
              </w:rPr>
              <w:instrText xml:space="preserve"> PAGEREF _Toc47965332 \h </w:instrText>
            </w:r>
            <w:r w:rsidR="006F38A3" w:rsidRPr="000D7953">
              <w:rPr>
                <w:rFonts w:ascii="Cambria" w:hAnsi="Cambria"/>
                <w:noProof/>
                <w:webHidden/>
                <w:sz w:val="20"/>
                <w:szCs w:val="20"/>
              </w:rPr>
            </w:r>
            <w:r w:rsidR="006F38A3" w:rsidRPr="000D7953">
              <w:rPr>
                <w:rFonts w:ascii="Cambria" w:hAnsi="Cambria"/>
                <w:noProof/>
                <w:webHidden/>
                <w:sz w:val="20"/>
                <w:szCs w:val="20"/>
              </w:rPr>
              <w:fldChar w:fldCharType="separate"/>
            </w:r>
            <w:r>
              <w:rPr>
                <w:rFonts w:ascii="Cambria" w:hAnsi="Cambria"/>
                <w:noProof/>
                <w:webHidden/>
                <w:sz w:val="20"/>
                <w:szCs w:val="20"/>
              </w:rPr>
              <w:t>22</w:t>
            </w:r>
            <w:r w:rsidR="006F38A3" w:rsidRPr="000D7953">
              <w:rPr>
                <w:rFonts w:ascii="Cambria" w:hAnsi="Cambria"/>
                <w:noProof/>
                <w:webHidden/>
                <w:sz w:val="20"/>
                <w:szCs w:val="20"/>
              </w:rPr>
              <w:fldChar w:fldCharType="end"/>
            </w:r>
          </w:hyperlink>
        </w:p>
        <w:p w14:paraId="2DF25644" w14:textId="5786C562" w:rsidR="006F38A3" w:rsidRPr="000D7953" w:rsidRDefault="00511D57">
          <w:pPr>
            <w:pStyle w:val="TOC2"/>
            <w:rPr>
              <w:rFonts w:eastAsiaTheme="minorEastAsia" w:cstheme="minorBidi"/>
              <w:bdr w:val="none" w:sz="0" w:space="0" w:color="auto"/>
              <w:lang w:val="en-US" w:eastAsia="en-US"/>
            </w:rPr>
          </w:pPr>
          <w:hyperlink w:anchor="_Toc47965333" w:history="1">
            <w:r w:rsidR="006F38A3" w:rsidRPr="000D7953">
              <w:rPr>
                <w:rStyle w:val="Hyperlink"/>
                <w:lang w:val="es-ES"/>
              </w:rPr>
              <w:t>B.</w:t>
            </w:r>
            <w:r w:rsidR="006F38A3" w:rsidRPr="000D7953">
              <w:rPr>
                <w:rFonts w:eastAsiaTheme="minorEastAsia" w:cstheme="minorBidi"/>
                <w:bdr w:val="none" w:sz="0" w:space="0" w:color="auto"/>
                <w:lang w:val="en-US" w:eastAsia="en-US"/>
              </w:rPr>
              <w:tab/>
            </w:r>
            <w:r w:rsidR="006F38A3" w:rsidRPr="000D7953">
              <w:rPr>
                <w:rStyle w:val="Hyperlink"/>
              </w:rPr>
              <w:t xml:space="preserve">Derecho </w:t>
            </w:r>
            <w:r w:rsidR="006F38A3" w:rsidRPr="000D7953">
              <w:rPr>
                <w:rStyle w:val="Hyperlink"/>
                <w:lang w:val="es-ES"/>
              </w:rPr>
              <w:t xml:space="preserve">a la integridad personal (artículo 5.1) </w:t>
            </w:r>
            <w:r w:rsidR="006F38A3" w:rsidRPr="000D7953">
              <w:rPr>
                <w:rStyle w:val="Hyperlink"/>
                <w:rFonts w:cs="Verdana"/>
                <w:lang w:val="es-CO"/>
              </w:rPr>
              <w:t>en relación con la obligación general de respetar derechos (artículo 1.1)</w:t>
            </w:r>
            <w:r w:rsidR="006F38A3" w:rsidRPr="000D7953">
              <w:rPr>
                <w:rStyle w:val="Hyperlink"/>
                <w:lang w:val="es-ES"/>
              </w:rPr>
              <w:t xml:space="preserve"> de la Convención Americana en perjuicio de los familiares</w:t>
            </w:r>
            <w:r w:rsidR="006F38A3" w:rsidRPr="000D7953">
              <w:rPr>
                <w:webHidden/>
              </w:rPr>
              <w:tab/>
            </w:r>
            <w:r w:rsidR="006F38A3" w:rsidRPr="000D7953">
              <w:rPr>
                <w:webHidden/>
              </w:rPr>
              <w:fldChar w:fldCharType="begin"/>
            </w:r>
            <w:r w:rsidR="006F38A3" w:rsidRPr="000D7953">
              <w:rPr>
                <w:webHidden/>
              </w:rPr>
              <w:instrText xml:space="preserve"> PAGEREF _Toc47965333 \h </w:instrText>
            </w:r>
            <w:r w:rsidR="006F38A3" w:rsidRPr="000D7953">
              <w:rPr>
                <w:webHidden/>
              </w:rPr>
            </w:r>
            <w:r w:rsidR="006F38A3" w:rsidRPr="000D7953">
              <w:rPr>
                <w:webHidden/>
              </w:rPr>
              <w:fldChar w:fldCharType="separate"/>
            </w:r>
            <w:r>
              <w:rPr>
                <w:webHidden/>
              </w:rPr>
              <w:t>27</w:t>
            </w:r>
            <w:r w:rsidR="006F38A3" w:rsidRPr="000D7953">
              <w:rPr>
                <w:webHidden/>
              </w:rPr>
              <w:fldChar w:fldCharType="end"/>
            </w:r>
          </w:hyperlink>
        </w:p>
        <w:p w14:paraId="44E42F5E" w14:textId="3D7CB54F" w:rsidR="006F38A3" w:rsidRPr="000D7953" w:rsidRDefault="00511D57">
          <w:pPr>
            <w:pStyle w:val="TOC1"/>
            <w:rPr>
              <w:rFonts w:eastAsiaTheme="minorEastAsia" w:cstheme="minorBidi"/>
              <w:b w:val="0"/>
              <w:bCs w:val="0"/>
              <w:bdr w:val="none" w:sz="0" w:space="0" w:color="auto"/>
              <w:lang w:val="en-US"/>
            </w:rPr>
          </w:pPr>
          <w:hyperlink w:anchor="_Toc47965334" w:history="1">
            <w:r w:rsidR="006F38A3" w:rsidRPr="000D7953">
              <w:rPr>
                <w:rStyle w:val="Hyperlink"/>
              </w:rPr>
              <w:t>V.</w:t>
            </w:r>
            <w:r w:rsidR="006F38A3" w:rsidRPr="000D7953">
              <w:rPr>
                <w:rFonts w:eastAsiaTheme="minorEastAsia" w:cstheme="minorBidi"/>
                <w:b w:val="0"/>
                <w:bCs w:val="0"/>
                <w:bdr w:val="none" w:sz="0" w:space="0" w:color="auto"/>
                <w:lang w:val="en-US"/>
              </w:rPr>
              <w:tab/>
            </w:r>
            <w:r w:rsidR="006F38A3" w:rsidRPr="000D7953">
              <w:rPr>
                <w:rStyle w:val="Hyperlink"/>
                <w:lang w:val="es-CO"/>
              </w:rPr>
              <w:t>CONCLUSIONES</w:t>
            </w:r>
            <w:r w:rsidR="006F38A3" w:rsidRPr="000D7953">
              <w:rPr>
                <w:webHidden/>
              </w:rPr>
              <w:tab/>
            </w:r>
            <w:r w:rsidR="006F38A3" w:rsidRPr="000D7953">
              <w:rPr>
                <w:webHidden/>
              </w:rPr>
              <w:fldChar w:fldCharType="begin"/>
            </w:r>
            <w:r w:rsidR="006F38A3" w:rsidRPr="000D7953">
              <w:rPr>
                <w:webHidden/>
              </w:rPr>
              <w:instrText xml:space="preserve"> PAGEREF _Toc47965334 \h </w:instrText>
            </w:r>
            <w:r w:rsidR="006F38A3" w:rsidRPr="000D7953">
              <w:rPr>
                <w:webHidden/>
              </w:rPr>
            </w:r>
            <w:r w:rsidR="006F38A3" w:rsidRPr="000D7953">
              <w:rPr>
                <w:webHidden/>
              </w:rPr>
              <w:fldChar w:fldCharType="separate"/>
            </w:r>
            <w:r>
              <w:rPr>
                <w:webHidden/>
              </w:rPr>
              <w:t>28</w:t>
            </w:r>
            <w:r w:rsidR="006F38A3" w:rsidRPr="000D7953">
              <w:rPr>
                <w:webHidden/>
              </w:rPr>
              <w:fldChar w:fldCharType="end"/>
            </w:r>
          </w:hyperlink>
        </w:p>
        <w:p w14:paraId="00F9F9A0" w14:textId="018DC3C2" w:rsidR="006F38A3" w:rsidRPr="000D7953" w:rsidRDefault="00511D57">
          <w:pPr>
            <w:pStyle w:val="TOC1"/>
            <w:rPr>
              <w:rFonts w:eastAsiaTheme="minorEastAsia" w:cstheme="minorBidi"/>
              <w:b w:val="0"/>
              <w:bCs w:val="0"/>
              <w:bdr w:val="none" w:sz="0" w:space="0" w:color="auto"/>
              <w:lang w:val="en-US"/>
            </w:rPr>
          </w:pPr>
          <w:hyperlink w:anchor="_Toc47965335" w:history="1">
            <w:r w:rsidR="006F38A3" w:rsidRPr="000D7953">
              <w:rPr>
                <w:rStyle w:val="Hyperlink"/>
              </w:rPr>
              <w:t>VI.</w:t>
            </w:r>
            <w:r w:rsidR="006F38A3" w:rsidRPr="000D7953">
              <w:rPr>
                <w:rFonts w:eastAsiaTheme="minorEastAsia" w:cstheme="minorBidi"/>
                <w:b w:val="0"/>
                <w:bCs w:val="0"/>
                <w:bdr w:val="none" w:sz="0" w:space="0" w:color="auto"/>
                <w:lang w:val="en-US"/>
              </w:rPr>
              <w:tab/>
            </w:r>
            <w:r w:rsidR="006F38A3" w:rsidRPr="000D7953">
              <w:rPr>
                <w:rStyle w:val="Hyperlink"/>
                <w:lang w:val="es-CO"/>
              </w:rPr>
              <w:t>RECOMENDACIONES</w:t>
            </w:r>
            <w:r w:rsidR="006F38A3" w:rsidRPr="000D7953">
              <w:rPr>
                <w:webHidden/>
              </w:rPr>
              <w:tab/>
            </w:r>
            <w:r w:rsidR="006F38A3" w:rsidRPr="000D7953">
              <w:rPr>
                <w:webHidden/>
              </w:rPr>
              <w:fldChar w:fldCharType="begin"/>
            </w:r>
            <w:r w:rsidR="006F38A3" w:rsidRPr="000D7953">
              <w:rPr>
                <w:webHidden/>
              </w:rPr>
              <w:instrText xml:space="preserve"> PAGEREF _Toc47965335 \h </w:instrText>
            </w:r>
            <w:r w:rsidR="006F38A3" w:rsidRPr="000D7953">
              <w:rPr>
                <w:webHidden/>
              </w:rPr>
            </w:r>
            <w:r w:rsidR="006F38A3" w:rsidRPr="000D7953">
              <w:rPr>
                <w:webHidden/>
              </w:rPr>
              <w:fldChar w:fldCharType="separate"/>
            </w:r>
            <w:r>
              <w:rPr>
                <w:webHidden/>
              </w:rPr>
              <w:t>28</w:t>
            </w:r>
            <w:r w:rsidR="006F38A3" w:rsidRPr="000D7953">
              <w:rPr>
                <w:webHidden/>
              </w:rPr>
              <w:fldChar w:fldCharType="end"/>
            </w:r>
          </w:hyperlink>
        </w:p>
        <w:p w14:paraId="558BEFB3" w14:textId="450BBFB6" w:rsidR="0027039F" w:rsidRPr="00B12F4B" w:rsidRDefault="0027039F" w:rsidP="007A0D4C">
          <w:pPr>
            <w:rPr>
              <w:rFonts w:ascii="Cambria" w:hAnsi="Cambria"/>
              <w:sz w:val="20"/>
              <w:szCs w:val="20"/>
            </w:rPr>
          </w:pPr>
          <w:r w:rsidRPr="006F38A3">
            <w:rPr>
              <w:rFonts w:ascii="Cambria" w:hAnsi="Cambria"/>
              <w:b/>
              <w:bCs/>
              <w:noProof/>
              <w:sz w:val="20"/>
              <w:szCs w:val="20"/>
            </w:rPr>
            <w:fldChar w:fldCharType="end"/>
          </w:r>
        </w:p>
      </w:sdtContent>
    </w:sdt>
    <w:p w14:paraId="1A0D0F24" w14:textId="4936E4AF" w:rsidR="00E1480C" w:rsidRPr="00B12F4B" w:rsidRDefault="004D50EC" w:rsidP="007A0D4C">
      <w:pPr>
        <w:tabs>
          <w:tab w:val="center" w:pos="5400"/>
        </w:tabs>
        <w:suppressAutoHyphens/>
        <w:jc w:val="both"/>
        <w:rPr>
          <w:rFonts w:ascii="Cambria" w:hAnsi="Cambria"/>
          <w:sz w:val="20"/>
          <w:szCs w:val="20"/>
          <w:lang w:val="es-ES_tradnl"/>
        </w:rPr>
      </w:pPr>
      <w:r w:rsidRPr="00B12F4B">
        <w:rPr>
          <w:rFonts w:ascii="Cambria" w:hAnsi="Cambria"/>
          <w:sz w:val="20"/>
          <w:szCs w:val="20"/>
          <w:lang w:val="es-ES_tradnl"/>
        </w:rPr>
        <w:br w:type="page"/>
      </w:r>
    </w:p>
    <w:p w14:paraId="59EFE8A6" w14:textId="77777777" w:rsidR="00C5061E" w:rsidRPr="007A0D4C" w:rsidRDefault="00C5061E" w:rsidP="007A0D4C">
      <w:pPr>
        <w:tabs>
          <w:tab w:val="center" w:pos="5400"/>
        </w:tabs>
        <w:suppressAutoHyphens/>
        <w:jc w:val="both"/>
        <w:rPr>
          <w:rFonts w:ascii="Cambria" w:hAnsi="Cambria"/>
          <w:sz w:val="20"/>
          <w:szCs w:val="20"/>
          <w:lang w:val="es-ES_tradnl"/>
        </w:rPr>
      </w:pPr>
    </w:p>
    <w:p w14:paraId="5A132A05" w14:textId="3F2B3F19" w:rsidR="00874460" w:rsidRPr="007A0D4C" w:rsidRDefault="00874460" w:rsidP="007A0D4C">
      <w:pPr>
        <w:tabs>
          <w:tab w:val="center" w:pos="5400"/>
        </w:tabs>
        <w:suppressAutoHyphens/>
        <w:jc w:val="center"/>
        <w:rPr>
          <w:rFonts w:ascii="Cambria" w:hAnsi="Cambria"/>
          <w:b/>
          <w:sz w:val="20"/>
          <w:szCs w:val="20"/>
          <w:lang w:val="es-VE"/>
        </w:rPr>
      </w:pPr>
      <w:r w:rsidRPr="007A0D4C">
        <w:rPr>
          <w:rFonts w:ascii="Cambria" w:hAnsi="Cambria"/>
          <w:b/>
          <w:sz w:val="20"/>
          <w:szCs w:val="20"/>
          <w:lang w:val="es-VE"/>
        </w:rPr>
        <w:t xml:space="preserve">INFORME No. </w:t>
      </w:r>
      <w:r w:rsidR="00084245">
        <w:rPr>
          <w:rFonts w:ascii="Cambria" w:hAnsi="Cambria"/>
          <w:b/>
          <w:sz w:val="20"/>
          <w:szCs w:val="20"/>
          <w:lang w:val="es-VE"/>
        </w:rPr>
        <w:t>196</w:t>
      </w:r>
      <w:r w:rsidRPr="007A0D4C">
        <w:rPr>
          <w:rFonts w:ascii="Cambria" w:hAnsi="Cambria"/>
          <w:b/>
          <w:sz w:val="20"/>
          <w:szCs w:val="20"/>
          <w:lang w:val="es-VE"/>
        </w:rPr>
        <w:t>/20</w:t>
      </w:r>
    </w:p>
    <w:p w14:paraId="2C3FD4D7" w14:textId="77777777" w:rsidR="00874460" w:rsidRPr="007A0D4C" w:rsidRDefault="00874460" w:rsidP="007A0D4C">
      <w:pPr>
        <w:tabs>
          <w:tab w:val="center" w:pos="5400"/>
        </w:tabs>
        <w:suppressAutoHyphens/>
        <w:jc w:val="center"/>
        <w:rPr>
          <w:rFonts w:ascii="Cambria" w:hAnsi="Cambria"/>
          <w:b/>
          <w:sz w:val="20"/>
          <w:szCs w:val="20"/>
          <w:lang w:val="es-VE"/>
        </w:rPr>
      </w:pPr>
      <w:r w:rsidRPr="007A0D4C">
        <w:rPr>
          <w:rFonts w:ascii="Cambria" w:hAnsi="Cambria"/>
          <w:b/>
          <w:sz w:val="20"/>
          <w:szCs w:val="20"/>
          <w:lang w:val="es-VE"/>
        </w:rPr>
        <w:t>CASO 13.030</w:t>
      </w:r>
    </w:p>
    <w:p w14:paraId="27D4F979" w14:textId="77777777" w:rsidR="00874460" w:rsidRPr="007A0D4C" w:rsidRDefault="00874460" w:rsidP="007A0D4C">
      <w:pPr>
        <w:tabs>
          <w:tab w:val="center" w:pos="5400"/>
        </w:tabs>
        <w:suppressAutoHyphens/>
        <w:jc w:val="center"/>
        <w:rPr>
          <w:rFonts w:ascii="Cambria" w:hAnsi="Cambria"/>
          <w:sz w:val="20"/>
          <w:szCs w:val="20"/>
          <w:lang w:val="es-VE"/>
        </w:rPr>
      </w:pPr>
      <w:r w:rsidRPr="007A0D4C">
        <w:rPr>
          <w:rFonts w:ascii="Cambria" w:hAnsi="Cambria"/>
          <w:sz w:val="20"/>
          <w:szCs w:val="20"/>
          <w:lang w:val="es-VE"/>
        </w:rPr>
        <w:t>INFORME DE FONDO</w:t>
      </w:r>
    </w:p>
    <w:p w14:paraId="307367BB" w14:textId="77777777" w:rsidR="00874460" w:rsidRPr="007A0D4C" w:rsidRDefault="00874460" w:rsidP="007A0D4C">
      <w:pPr>
        <w:tabs>
          <w:tab w:val="center" w:pos="5400"/>
        </w:tabs>
        <w:suppressAutoHyphens/>
        <w:jc w:val="center"/>
        <w:rPr>
          <w:rFonts w:ascii="Cambria" w:hAnsi="Cambria"/>
          <w:sz w:val="20"/>
          <w:szCs w:val="20"/>
          <w:lang w:val="es-VE"/>
        </w:rPr>
      </w:pPr>
      <w:r w:rsidRPr="007A0D4C">
        <w:rPr>
          <w:rFonts w:ascii="Cambria" w:hAnsi="Cambria"/>
          <w:sz w:val="20"/>
          <w:szCs w:val="20"/>
          <w:lang w:val="es-VE"/>
        </w:rPr>
        <w:t>SANTIAGO LEGUIZAMÓN ZAVÁN Y FAMILIA</w:t>
      </w:r>
    </w:p>
    <w:p w14:paraId="565F436E" w14:textId="77777777" w:rsidR="00874460" w:rsidRPr="007A0D4C" w:rsidRDefault="00874460" w:rsidP="007A0D4C">
      <w:pPr>
        <w:tabs>
          <w:tab w:val="center" w:pos="5400"/>
        </w:tabs>
        <w:suppressAutoHyphens/>
        <w:jc w:val="center"/>
        <w:rPr>
          <w:rFonts w:ascii="Cambria" w:hAnsi="Cambria"/>
          <w:sz w:val="20"/>
          <w:szCs w:val="20"/>
          <w:lang w:val="es-ES_tradnl"/>
        </w:rPr>
      </w:pPr>
      <w:r w:rsidRPr="007A0D4C">
        <w:rPr>
          <w:rFonts w:ascii="Cambria" w:hAnsi="Cambria"/>
          <w:sz w:val="20"/>
          <w:szCs w:val="20"/>
          <w:lang w:val="es-ES_tradnl"/>
        </w:rPr>
        <w:t>PARAGUAY</w:t>
      </w:r>
    </w:p>
    <w:p w14:paraId="1FAAAC47" w14:textId="79208582" w:rsidR="00874460" w:rsidRPr="007A0D4C" w:rsidRDefault="00084245" w:rsidP="007A0D4C">
      <w:pPr>
        <w:tabs>
          <w:tab w:val="center" w:pos="5400"/>
        </w:tabs>
        <w:suppressAutoHyphens/>
        <w:jc w:val="center"/>
        <w:rPr>
          <w:rFonts w:ascii="Cambria" w:hAnsi="Cambria"/>
          <w:sz w:val="20"/>
          <w:szCs w:val="20"/>
          <w:lang w:val="es-ES_tradnl"/>
        </w:rPr>
      </w:pPr>
      <w:r>
        <w:rPr>
          <w:rFonts w:ascii="Cambria" w:hAnsi="Cambria"/>
          <w:sz w:val="20"/>
          <w:szCs w:val="20"/>
          <w:lang w:val="es-ES_tradnl"/>
        </w:rPr>
        <w:t>10</w:t>
      </w:r>
      <w:r w:rsidR="00874460" w:rsidRPr="007A0D4C">
        <w:rPr>
          <w:rFonts w:ascii="Cambria" w:hAnsi="Cambria"/>
          <w:sz w:val="20"/>
          <w:szCs w:val="20"/>
          <w:lang w:val="es-ES_tradnl"/>
        </w:rPr>
        <w:t xml:space="preserve"> DE </w:t>
      </w:r>
      <w:r w:rsidR="00802221" w:rsidRPr="007A0D4C">
        <w:rPr>
          <w:rFonts w:ascii="Cambria" w:hAnsi="Cambria"/>
          <w:sz w:val="20"/>
          <w:szCs w:val="20"/>
          <w:lang w:val="es-ES_tradnl"/>
        </w:rPr>
        <w:t>JULIO</w:t>
      </w:r>
      <w:r w:rsidR="00874460" w:rsidRPr="007A0D4C">
        <w:rPr>
          <w:rFonts w:ascii="Cambria" w:hAnsi="Cambria"/>
          <w:sz w:val="20"/>
          <w:szCs w:val="20"/>
          <w:lang w:val="es-ES_tradnl"/>
        </w:rPr>
        <w:t xml:space="preserve"> DE 2020</w:t>
      </w:r>
    </w:p>
    <w:p w14:paraId="020A89D6" w14:textId="77777777" w:rsidR="00E1480C" w:rsidRPr="007A0D4C" w:rsidRDefault="00E1480C" w:rsidP="007A0D4C">
      <w:pPr>
        <w:pStyle w:val="ListParagraph"/>
        <w:suppressAutoHyphens/>
        <w:spacing w:before="0" w:after="0"/>
        <w:rPr>
          <w:b/>
          <w:color w:val="auto"/>
          <w:sz w:val="20"/>
          <w:szCs w:val="20"/>
          <w:lang w:val="es-ES_tradnl"/>
        </w:rPr>
      </w:pPr>
    </w:p>
    <w:p w14:paraId="69567B3B" w14:textId="77777777" w:rsidR="00E1480C" w:rsidRPr="007A0D4C" w:rsidRDefault="00E1480C" w:rsidP="007A0D4C">
      <w:pPr>
        <w:pStyle w:val="Heading1"/>
      </w:pPr>
      <w:bookmarkStart w:id="2" w:name="_Toc6937369"/>
      <w:bookmarkStart w:id="3" w:name="_Toc11073097"/>
      <w:bookmarkStart w:id="4" w:name="_Toc47965316"/>
      <w:r w:rsidRPr="007A0D4C">
        <w:t>INTRODUCCIÓN</w:t>
      </w:r>
      <w:bookmarkEnd w:id="2"/>
      <w:bookmarkEnd w:id="3"/>
      <w:bookmarkEnd w:id="4"/>
    </w:p>
    <w:p w14:paraId="35C271E2" w14:textId="77777777" w:rsidR="00E1480C" w:rsidRPr="007A0D4C" w:rsidRDefault="00E1480C" w:rsidP="007A0D4C">
      <w:pPr>
        <w:suppressAutoHyphens/>
        <w:jc w:val="both"/>
        <w:rPr>
          <w:rFonts w:ascii="Cambria" w:eastAsia="Cambria" w:hAnsi="Cambria" w:cs="Cambria"/>
          <w:b/>
          <w:sz w:val="20"/>
          <w:szCs w:val="20"/>
          <w:u w:color="000000"/>
          <w:lang w:val="es-ES_tradnl" w:eastAsia="es-ES"/>
        </w:rPr>
      </w:pPr>
    </w:p>
    <w:p w14:paraId="5D06E449" w14:textId="6FAECDDA" w:rsidR="007E2BA7" w:rsidRPr="007A0D4C" w:rsidRDefault="00E1480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 xml:space="preserve">El </w:t>
      </w:r>
      <w:r w:rsidR="0008037D" w:rsidRPr="007A0D4C">
        <w:rPr>
          <w:rFonts w:ascii="Cambria" w:hAnsi="Cambria"/>
          <w:sz w:val="20"/>
          <w:szCs w:val="20"/>
          <w:lang w:val="es-MX"/>
        </w:rPr>
        <w:t>19 de enero de 2007</w:t>
      </w:r>
      <w:r w:rsidR="00EB4621" w:rsidRPr="007A0D4C">
        <w:rPr>
          <w:rFonts w:ascii="Cambria" w:hAnsi="Cambria"/>
          <w:sz w:val="20"/>
          <w:szCs w:val="20"/>
          <w:lang w:val="es-MX"/>
        </w:rPr>
        <w:t xml:space="preserve"> la Comisión Interamericana de Derechos Humanos (en adelante la “Comisión”, la “Comisión Interamericana” o la “CIDH”) recibió una petición presentada </w:t>
      </w:r>
      <w:r w:rsidR="00340ECD" w:rsidRPr="007A0D4C">
        <w:rPr>
          <w:rFonts w:ascii="Cambria" w:hAnsi="Cambria"/>
          <w:sz w:val="20"/>
          <w:szCs w:val="20"/>
          <w:lang w:val="es-ES"/>
        </w:rPr>
        <w:t xml:space="preserve">por la Sociedad Interamericana de Prensa </w:t>
      </w:r>
      <w:r w:rsidR="00ED73E7" w:rsidRPr="007A0D4C">
        <w:rPr>
          <w:rFonts w:ascii="Cambria" w:hAnsi="Cambria"/>
          <w:sz w:val="20"/>
          <w:szCs w:val="20"/>
          <w:lang w:val="es-ES"/>
        </w:rPr>
        <w:t xml:space="preserve">(SIP) </w:t>
      </w:r>
      <w:r w:rsidR="00340ECD" w:rsidRPr="007A0D4C">
        <w:rPr>
          <w:rFonts w:ascii="Cambria" w:hAnsi="Cambria"/>
          <w:sz w:val="20"/>
          <w:szCs w:val="20"/>
          <w:lang w:val="es-MX"/>
        </w:rPr>
        <w:t xml:space="preserve">(en adelante los “peticionarios” o </w:t>
      </w:r>
      <w:r w:rsidR="00340ECD" w:rsidRPr="007A0D4C">
        <w:rPr>
          <w:rFonts w:ascii="Cambria" w:hAnsi="Cambria"/>
          <w:sz w:val="20"/>
          <w:szCs w:val="20"/>
          <w:lang w:val="es-PE"/>
        </w:rPr>
        <w:t>“la parte peticionaria”</w:t>
      </w:r>
      <w:r w:rsidR="00340ECD" w:rsidRPr="007A0D4C">
        <w:rPr>
          <w:rFonts w:ascii="Cambria" w:hAnsi="Cambria"/>
          <w:sz w:val="20"/>
          <w:szCs w:val="20"/>
          <w:lang w:val="es-MX"/>
        </w:rPr>
        <w:t>)</w:t>
      </w:r>
      <w:r w:rsidR="00340ECD" w:rsidRPr="007A0D4C">
        <w:rPr>
          <w:rStyle w:val="FootnoteReference"/>
          <w:rFonts w:ascii="Cambria" w:hAnsi="Cambria"/>
          <w:sz w:val="20"/>
          <w:szCs w:val="20"/>
          <w:lang w:val="es-ES"/>
        </w:rPr>
        <w:footnoteReference w:id="2"/>
      </w:r>
      <w:r w:rsidR="00340ECD" w:rsidRPr="007A0D4C">
        <w:rPr>
          <w:rFonts w:ascii="Cambria" w:hAnsi="Cambria"/>
          <w:sz w:val="20"/>
          <w:szCs w:val="20"/>
          <w:lang w:val="es-ES"/>
        </w:rPr>
        <w:t xml:space="preserve">, </w:t>
      </w:r>
      <w:r w:rsidR="003E3637" w:rsidRPr="007A0D4C">
        <w:rPr>
          <w:rFonts w:ascii="Cambria" w:hAnsi="Cambria"/>
          <w:color w:val="000000" w:themeColor="text1"/>
          <w:sz w:val="20"/>
          <w:szCs w:val="20"/>
          <w:lang w:val="es-VE"/>
        </w:rPr>
        <w:t>en la cual se alega la responsabilidad internacional de</w:t>
      </w:r>
      <w:r w:rsidR="0008037D" w:rsidRPr="007A0D4C">
        <w:rPr>
          <w:rFonts w:ascii="Cambria" w:hAnsi="Cambria"/>
          <w:sz w:val="20"/>
          <w:szCs w:val="20"/>
          <w:lang w:val="es-MX"/>
        </w:rPr>
        <w:t xml:space="preserve"> la República del Paraguay </w:t>
      </w:r>
      <w:r w:rsidR="00EB4621" w:rsidRPr="007A0D4C">
        <w:rPr>
          <w:rFonts w:ascii="Cambria" w:hAnsi="Cambria"/>
          <w:sz w:val="20"/>
          <w:szCs w:val="20"/>
          <w:lang w:val="es-MX"/>
        </w:rPr>
        <w:t xml:space="preserve">(en adelante </w:t>
      </w:r>
      <w:r w:rsidR="003E3637" w:rsidRPr="007A0D4C">
        <w:rPr>
          <w:rFonts w:ascii="Cambria" w:hAnsi="Cambria"/>
          <w:sz w:val="20"/>
          <w:szCs w:val="20"/>
          <w:lang w:val="es-MX"/>
        </w:rPr>
        <w:t>“</w:t>
      </w:r>
      <w:r w:rsidR="0008037D" w:rsidRPr="007A0D4C">
        <w:rPr>
          <w:rFonts w:ascii="Cambria" w:hAnsi="Cambria"/>
          <w:sz w:val="20"/>
          <w:szCs w:val="20"/>
          <w:lang w:val="es-MX"/>
        </w:rPr>
        <w:t>el Estado”</w:t>
      </w:r>
      <w:r w:rsidR="006420F8">
        <w:rPr>
          <w:rFonts w:ascii="Cambria" w:hAnsi="Cambria"/>
          <w:sz w:val="20"/>
          <w:szCs w:val="20"/>
          <w:lang w:val="es-MX"/>
        </w:rPr>
        <w:t xml:space="preserve">, “el Estado paraguayo” </w:t>
      </w:r>
      <w:r w:rsidR="0008037D" w:rsidRPr="007A0D4C">
        <w:rPr>
          <w:rFonts w:ascii="Cambria" w:hAnsi="Cambria"/>
          <w:sz w:val="20"/>
          <w:szCs w:val="20"/>
          <w:lang w:val="es-MX"/>
        </w:rPr>
        <w:t>o “Paraguay</w:t>
      </w:r>
      <w:r w:rsidR="00EB4621" w:rsidRPr="007A0D4C">
        <w:rPr>
          <w:rFonts w:ascii="Cambria" w:hAnsi="Cambria"/>
          <w:sz w:val="20"/>
          <w:szCs w:val="20"/>
          <w:lang w:val="es-MX"/>
        </w:rPr>
        <w:t>”)</w:t>
      </w:r>
      <w:r w:rsidR="003E3637" w:rsidRPr="007A0D4C">
        <w:rPr>
          <w:rFonts w:ascii="Cambria" w:hAnsi="Cambria"/>
          <w:sz w:val="20"/>
          <w:szCs w:val="20"/>
          <w:lang w:val="es-MX"/>
        </w:rPr>
        <w:t xml:space="preserve"> en perjuicio de</w:t>
      </w:r>
      <w:r w:rsidR="0008037D" w:rsidRPr="007A0D4C">
        <w:rPr>
          <w:rFonts w:ascii="Cambria" w:hAnsi="Cambria"/>
          <w:sz w:val="20"/>
          <w:szCs w:val="20"/>
          <w:lang w:val="es-MX"/>
        </w:rPr>
        <w:t>l periodista</w:t>
      </w:r>
      <w:r w:rsidR="003E3637" w:rsidRPr="007A0D4C">
        <w:rPr>
          <w:rFonts w:ascii="Cambria" w:hAnsi="Cambria"/>
          <w:sz w:val="20"/>
          <w:szCs w:val="20"/>
          <w:lang w:val="es-MX"/>
        </w:rPr>
        <w:t xml:space="preserve"> </w:t>
      </w:r>
      <w:r w:rsidR="0008037D" w:rsidRPr="007A0D4C">
        <w:rPr>
          <w:rFonts w:ascii="Cambria" w:hAnsi="Cambria"/>
          <w:sz w:val="20"/>
          <w:szCs w:val="20"/>
          <w:lang w:val="es-MX"/>
        </w:rPr>
        <w:t xml:space="preserve">Santiago Leguizamón Zaván y sus familiares </w:t>
      </w:r>
      <w:r w:rsidR="003E3637" w:rsidRPr="007A0D4C">
        <w:rPr>
          <w:rFonts w:ascii="Cambria" w:hAnsi="Cambria"/>
          <w:sz w:val="20"/>
          <w:szCs w:val="20"/>
          <w:lang w:val="es-MX"/>
        </w:rPr>
        <w:t>p</w:t>
      </w:r>
      <w:r w:rsidR="00BA44BB" w:rsidRPr="007A0D4C">
        <w:rPr>
          <w:rFonts w:ascii="Cambria" w:hAnsi="Cambria"/>
          <w:sz w:val="20"/>
          <w:szCs w:val="20"/>
          <w:lang w:val="es-MX"/>
        </w:rPr>
        <w:t xml:space="preserve">or la alegada </w:t>
      </w:r>
      <w:r w:rsidR="00BA44BB" w:rsidRPr="007A0D4C">
        <w:rPr>
          <w:rFonts w:ascii="Cambria" w:hAnsi="Cambria"/>
          <w:sz w:val="20"/>
          <w:szCs w:val="20"/>
          <w:lang w:val="es-VE"/>
        </w:rPr>
        <w:t>violación de</w:t>
      </w:r>
      <w:r w:rsidR="00443F8D" w:rsidRPr="007A0D4C">
        <w:rPr>
          <w:rFonts w:ascii="Cambria" w:hAnsi="Cambria"/>
          <w:sz w:val="20"/>
          <w:szCs w:val="20"/>
          <w:lang w:val="es-VE"/>
        </w:rPr>
        <w:t xml:space="preserve"> los derechos a la vida y a la libertad de expresión del periodista debido a su asesinato con motivo del ejercicio periodístico, así como por </w:t>
      </w:r>
      <w:r w:rsidR="00443F8D" w:rsidRPr="007A0D4C">
        <w:rPr>
          <w:rFonts w:ascii="Cambria" w:hAnsi="Cambria"/>
          <w:sz w:val="20"/>
          <w:szCs w:val="20"/>
          <w:lang w:val="es-PE"/>
        </w:rPr>
        <w:t>la alegada falta de investigación diligente y efectiva de su muerte.</w:t>
      </w:r>
    </w:p>
    <w:p w14:paraId="2E54F995" w14:textId="77777777" w:rsidR="00276AF8" w:rsidRPr="007A0D4C" w:rsidRDefault="00276AF8"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3D848042" w14:textId="1C56BAB5" w:rsidR="00EB4621" w:rsidRPr="007A0D4C" w:rsidRDefault="00EB46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MX"/>
        </w:rPr>
        <w:t>La Comisión aprobó el informe de admisibilid</w:t>
      </w:r>
      <w:r w:rsidR="00ED73E7" w:rsidRPr="007A0D4C">
        <w:rPr>
          <w:rFonts w:ascii="Cambria" w:hAnsi="Cambria"/>
          <w:sz w:val="20"/>
          <w:szCs w:val="20"/>
          <w:lang w:val="es-MX"/>
        </w:rPr>
        <w:t>ad No. 24/16 el 15 de abril de 2016</w:t>
      </w:r>
      <w:r w:rsidR="00AA1432" w:rsidRPr="007A0D4C">
        <w:rPr>
          <w:rStyle w:val="FootnoteReference"/>
          <w:rFonts w:ascii="Cambria" w:hAnsi="Cambria"/>
          <w:sz w:val="20"/>
          <w:szCs w:val="20"/>
          <w:lang w:val="es-MX"/>
        </w:rPr>
        <w:footnoteReference w:id="3"/>
      </w:r>
      <w:r w:rsidR="00D86B15" w:rsidRPr="007A0D4C">
        <w:rPr>
          <w:rFonts w:ascii="Cambria" w:hAnsi="Cambria"/>
          <w:sz w:val="20"/>
          <w:szCs w:val="20"/>
          <w:lang w:val="es-MX"/>
        </w:rPr>
        <w:t xml:space="preserve">. El </w:t>
      </w:r>
      <w:r w:rsidR="00931EE6" w:rsidRPr="007A0D4C">
        <w:rPr>
          <w:rFonts w:ascii="Cambria" w:hAnsi="Cambria"/>
          <w:sz w:val="20"/>
          <w:szCs w:val="20"/>
          <w:lang w:val="es-MX"/>
        </w:rPr>
        <w:t xml:space="preserve">3 de mayo de 2016 </w:t>
      </w:r>
      <w:r w:rsidR="00D86B15" w:rsidRPr="007A0D4C">
        <w:rPr>
          <w:rFonts w:ascii="Cambria" w:hAnsi="Cambria"/>
          <w:sz w:val="20"/>
          <w:szCs w:val="20"/>
          <w:lang w:val="es-MX"/>
        </w:rPr>
        <w:t xml:space="preserve">la Comisión notificó dicho informe a las partes y se puso a su </w:t>
      </w:r>
      <w:r w:rsidRPr="007A0D4C">
        <w:rPr>
          <w:rFonts w:ascii="Cambria" w:hAnsi="Cambria"/>
          <w:sz w:val="20"/>
          <w:szCs w:val="20"/>
          <w:lang w:val="es-MX"/>
        </w:rPr>
        <w:t>disposición a fin de llegar a una solución amistosa</w:t>
      </w:r>
      <w:r w:rsidR="00931EE6" w:rsidRPr="007A0D4C">
        <w:rPr>
          <w:rStyle w:val="FootnoteReference"/>
          <w:rFonts w:ascii="Cambria" w:hAnsi="Cambria"/>
          <w:sz w:val="20"/>
          <w:szCs w:val="20"/>
          <w:lang w:val="es-MX"/>
        </w:rPr>
        <w:footnoteReference w:id="4"/>
      </w:r>
      <w:r w:rsidRPr="007A0D4C">
        <w:rPr>
          <w:rFonts w:ascii="Cambria" w:hAnsi="Cambria"/>
          <w:sz w:val="20"/>
          <w:szCs w:val="20"/>
          <w:lang w:val="es-MX"/>
        </w:rPr>
        <w:t xml:space="preserve">. Las partes contaron con los plazos reglamentarios para presentar sus observaciones adicionales sobre el fondo. </w:t>
      </w:r>
      <w:r w:rsidR="00ED73E7" w:rsidRPr="000D369F">
        <w:rPr>
          <w:rFonts w:ascii="Cambria" w:hAnsi="Cambria"/>
          <w:sz w:val="20"/>
          <w:szCs w:val="20"/>
          <w:lang w:val="es-ES_tradnl"/>
        </w:rPr>
        <w:t xml:space="preserve">El Estado no presentó observaciones en la etapa de fondo. </w:t>
      </w:r>
      <w:r w:rsidRPr="007A0D4C">
        <w:rPr>
          <w:rFonts w:ascii="Cambria" w:hAnsi="Cambria"/>
          <w:sz w:val="20"/>
          <w:szCs w:val="20"/>
          <w:lang w:val="es-MX"/>
        </w:rPr>
        <w:t>Toda la información recibida fue debidamente trasladada entre las partes.</w:t>
      </w:r>
    </w:p>
    <w:p w14:paraId="1F393BDF" w14:textId="77777777" w:rsidR="00E1480C" w:rsidRPr="007A0D4C" w:rsidRDefault="00E1480C" w:rsidP="007A0D4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MX"/>
        </w:rPr>
      </w:pPr>
    </w:p>
    <w:p w14:paraId="71BA8FF5" w14:textId="77777777" w:rsidR="00E1480C" w:rsidRPr="007A0D4C" w:rsidRDefault="00E1480C" w:rsidP="007A0D4C">
      <w:pPr>
        <w:pStyle w:val="Heading1"/>
        <w:rPr>
          <w:u w:color="000000"/>
          <w:lang w:val="es-ES_tradnl" w:eastAsia="es-ES"/>
        </w:rPr>
      </w:pPr>
      <w:bookmarkStart w:id="5" w:name="_Toc6937370"/>
      <w:bookmarkStart w:id="6" w:name="_Toc11073098"/>
      <w:bookmarkStart w:id="7" w:name="_Toc47965317"/>
      <w:r w:rsidRPr="007A0D4C">
        <w:rPr>
          <w:u w:color="000000"/>
          <w:lang w:val="es-ES_tradnl" w:eastAsia="es-ES"/>
        </w:rPr>
        <w:t>ALEGATOS DE LAS PARTES</w:t>
      </w:r>
      <w:bookmarkEnd w:id="5"/>
      <w:bookmarkEnd w:id="6"/>
      <w:bookmarkEnd w:id="7"/>
    </w:p>
    <w:p w14:paraId="1D31A1D1" w14:textId="77777777" w:rsidR="00EB4621" w:rsidRPr="007A0D4C" w:rsidRDefault="00EB4621" w:rsidP="007A0D4C">
      <w:pPr>
        <w:jc w:val="both"/>
        <w:rPr>
          <w:rFonts w:ascii="Cambria" w:hAnsi="Cambria"/>
          <w:sz w:val="20"/>
          <w:szCs w:val="20"/>
          <w:lang w:val="es-ES_tradnl" w:eastAsia="es-ES"/>
        </w:rPr>
      </w:pPr>
    </w:p>
    <w:p w14:paraId="1419937D" w14:textId="77777777" w:rsidR="00E1480C" w:rsidRPr="007A0D4C" w:rsidRDefault="00E1480C" w:rsidP="007A0D4C">
      <w:pPr>
        <w:pStyle w:val="Heading2"/>
        <w:spacing w:before="0" w:after="0"/>
        <w:ind w:left="0" w:firstLine="0"/>
        <w:jc w:val="both"/>
      </w:pPr>
      <w:bookmarkStart w:id="8" w:name="_Toc6937371"/>
      <w:bookmarkStart w:id="9" w:name="_Toc11073099"/>
      <w:bookmarkStart w:id="10" w:name="_Toc47965318"/>
      <w:r w:rsidRPr="007A0D4C">
        <w:t>Parte peticionaria</w:t>
      </w:r>
      <w:bookmarkEnd w:id="8"/>
      <w:bookmarkEnd w:id="9"/>
      <w:bookmarkEnd w:id="10"/>
      <w:r w:rsidRPr="007A0D4C">
        <w:t xml:space="preserve"> </w:t>
      </w:r>
    </w:p>
    <w:p w14:paraId="730E4484" w14:textId="77777777" w:rsidR="00443F8D" w:rsidRPr="007A0D4C" w:rsidRDefault="00443F8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bookmarkStart w:id="11" w:name="_Toc515543697"/>
      <w:bookmarkStart w:id="12" w:name="_Toc535329121"/>
      <w:bookmarkStart w:id="13" w:name="_Toc4417449"/>
    </w:p>
    <w:p w14:paraId="722F48DE" w14:textId="5630D141" w:rsidR="00343E7B" w:rsidRPr="007A0D4C" w:rsidRDefault="00443F8D"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ES"/>
        </w:rPr>
        <w:t xml:space="preserve">La </w:t>
      </w:r>
      <w:r w:rsidR="00802221" w:rsidRPr="007A0D4C">
        <w:rPr>
          <w:rFonts w:ascii="Cambria" w:hAnsi="Cambria"/>
          <w:sz w:val="20"/>
          <w:szCs w:val="20"/>
          <w:lang w:val="es-ES"/>
        </w:rPr>
        <w:t xml:space="preserve">parte </w:t>
      </w:r>
      <w:r w:rsidRPr="007A0D4C">
        <w:rPr>
          <w:rFonts w:ascii="Cambria" w:hAnsi="Cambria"/>
          <w:sz w:val="20"/>
          <w:szCs w:val="20"/>
          <w:lang w:val="es-ES"/>
        </w:rPr>
        <w:t>peticionaria aleg</w:t>
      </w:r>
      <w:r w:rsidR="00802221" w:rsidRPr="007A0D4C">
        <w:rPr>
          <w:rFonts w:ascii="Cambria" w:hAnsi="Cambria"/>
          <w:sz w:val="20"/>
          <w:szCs w:val="20"/>
          <w:lang w:val="es-ES"/>
        </w:rPr>
        <w:t>a</w:t>
      </w:r>
      <w:r w:rsidRPr="007A0D4C">
        <w:rPr>
          <w:rFonts w:ascii="Cambria" w:hAnsi="Cambria"/>
          <w:sz w:val="20"/>
          <w:szCs w:val="20"/>
          <w:lang w:val="es-ES"/>
        </w:rPr>
        <w:t xml:space="preserve"> que Santiago Leguizamón Zaván fue un</w:t>
      </w:r>
      <w:r w:rsidR="00CB7475" w:rsidRPr="007A0D4C">
        <w:rPr>
          <w:rFonts w:ascii="Cambria" w:hAnsi="Cambria"/>
          <w:sz w:val="20"/>
          <w:szCs w:val="20"/>
          <w:lang w:val="es-ES"/>
        </w:rPr>
        <w:t xml:space="preserve"> reconocido</w:t>
      </w:r>
      <w:r w:rsidRPr="007A0D4C">
        <w:rPr>
          <w:rFonts w:ascii="Cambria" w:hAnsi="Cambria"/>
          <w:sz w:val="20"/>
          <w:szCs w:val="20"/>
          <w:lang w:val="es-ES"/>
        </w:rPr>
        <w:t xml:space="preserve"> periodista</w:t>
      </w:r>
      <w:r w:rsidR="00CB7475" w:rsidRPr="007A0D4C">
        <w:rPr>
          <w:rFonts w:ascii="Cambria" w:hAnsi="Cambria"/>
          <w:sz w:val="20"/>
          <w:szCs w:val="20"/>
          <w:lang w:val="es-ES"/>
        </w:rPr>
        <w:t xml:space="preserve"> de nacionalidad paraguaya,</w:t>
      </w:r>
      <w:r w:rsidRPr="007A0D4C">
        <w:rPr>
          <w:rFonts w:ascii="Cambria" w:hAnsi="Cambria"/>
          <w:sz w:val="20"/>
          <w:szCs w:val="20"/>
          <w:lang w:val="es-ES"/>
        </w:rPr>
        <w:t xml:space="preserve"> radicado en</w:t>
      </w:r>
      <w:r w:rsidR="00CB7475" w:rsidRPr="007A0D4C">
        <w:rPr>
          <w:rFonts w:ascii="Cambria" w:hAnsi="Cambria"/>
          <w:sz w:val="20"/>
          <w:szCs w:val="20"/>
          <w:lang w:val="es-ES"/>
        </w:rPr>
        <w:t xml:space="preserve"> la ciudad de</w:t>
      </w:r>
      <w:r w:rsidRPr="007A0D4C">
        <w:rPr>
          <w:rFonts w:ascii="Cambria" w:hAnsi="Cambria"/>
          <w:sz w:val="20"/>
          <w:szCs w:val="20"/>
          <w:lang w:val="es-ES"/>
        </w:rPr>
        <w:t xml:space="preserve"> Pedro Juan Caballero, fronteriza con Brasil</w:t>
      </w:r>
      <w:r w:rsidR="00CB7475" w:rsidRPr="007A0D4C">
        <w:rPr>
          <w:rFonts w:ascii="Cambria" w:hAnsi="Cambria"/>
          <w:sz w:val="20"/>
          <w:szCs w:val="20"/>
          <w:lang w:val="es-ES"/>
        </w:rPr>
        <w:t>.</w:t>
      </w:r>
      <w:r w:rsidRPr="007A0D4C">
        <w:rPr>
          <w:rFonts w:ascii="Cambria" w:hAnsi="Cambria"/>
          <w:sz w:val="20"/>
          <w:szCs w:val="20"/>
          <w:lang w:val="es-ES"/>
        </w:rPr>
        <w:t xml:space="preserve"> </w:t>
      </w:r>
      <w:r w:rsidR="00CB7475" w:rsidRPr="007A0D4C">
        <w:rPr>
          <w:rFonts w:ascii="Cambria" w:hAnsi="Cambria"/>
          <w:sz w:val="20"/>
          <w:szCs w:val="20"/>
          <w:lang w:val="es-ES"/>
        </w:rPr>
        <w:t xml:space="preserve">La peticionaria </w:t>
      </w:r>
      <w:r w:rsidR="007D7A1F" w:rsidRPr="007A0D4C">
        <w:rPr>
          <w:rFonts w:ascii="Cambria" w:hAnsi="Cambria"/>
          <w:sz w:val="20"/>
          <w:szCs w:val="20"/>
          <w:lang w:val="es-ES"/>
        </w:rPr>
        <w:t>caracteriza</w:t>
      </w:r>
      <w:r w:rsidR="00CB7475" w:rsidRPr="007A0D4C">
        <w:rPr>
          <w:rFonts w:ascii="Cambria" w:hAnsi="Cambria"/>
          <w:sz w:val="20"/>
          <w:szCs w:val="20"/>
          <w:lang w:val="es-ES"/>
        </w:rPr>
        <w:t xml:space="preserve"> a esta región binacional como</w:t>
      </w:r>
      <w:r w:rsidR="0028466F" w:rsidRPr="007A0D4C">
        <w:rPr>
          <w:rFonts w:ascii="Cambria" w:hAnsi="Cambria"/>
          <w:sz w:val="20"/>
          <w:szCs w:val="20"/>
          <w:lang w:val="es-ES"/>
        </w:rPr>
        <w:t xml:space="preserve"> una “zona sin ley”, marcada por la corrupción, la violencia, el contrabando, el narcotráfico y la delincuencia. </w:t>
      </w:r>
      <w:r w:rsidR="00CB7475" w:rsidRPr="007A0D4C">
        <w:rPr>
          <w:rFonts w:ascii="Cambria" w:hAnsi="Cambria"/>
          <w:sz w:val="20"/>
          <w:szCs w:val="20"/>
          <w:lang w:val="es-ES"/>
        </w:rPr>
        <w:t>Agreg</w:t>
      </w:r>
      <w:r w:rsidR="007D7A1F" w:rsidRPr="007A0D4C">
        <w:rPr>
          <w:rFonts w:ascii="Cambria" w:hAnsi="Cambria"/>
          <w:sz w:val="20"/>
          <w:szCs w:val="20"/>
          <w:lang w:val="es-ES"/>
        </w:rPr>
        <w:t>a</w:t>
      </w:r>
      <w:r w:rsidR="00E46B37" w:rsidRPr="007A0D4C">
        <w:rPr>
          <w:rFonts w:ascii="Cambria" w:hAnsi="Cambria"/>
          <w:sz w:val="20"/>
          <w:szCs w:val="20"/>
          <w:lang w:val="es-ES"/>
        </w:rPr>
        <w:t xml:space="preserve"> que Santiago Leguizamón escribía artículos críticos sobre </w:t>
      </w:r>
      <w:r w:rsidR="00CB7475" w:rsidRPr="007A0D4C">
        <w:rPr>
          <w:rFonts w:ascii="Cambria" w:hAnsi="Cambria"/>
          <w:sz w:val="20"/>
          <w:szCs w:val="20"/>
          <w:lang w:val="es-ES"/>
        </w:rPr>
        <w:t>la actuación</w:t>
      </w:r>
      <w:r w:rsidR="00E46B37" w:rsidRPr="007A0D4C">
        <w:rPr>
          <w:rFonts w:ascii="Cambria" w:hAnsi="Cambria"/>
          <w:sz w:val="20"/>
          <w:szCs w:val="20"/>
          <w:lang w:val="es-ES"/>
        </w:rPr>
        <w:t xml:space="preserve"> de autoridades y empresarios</w:t>
      </w:r>
      <w:r w:rsidR="00CB7475" w:rsidRPr="007A0D4C">
        <w:rPr>
          <w:rFonts w:ascii="Cambria" w:hAnsi="Cambria"/>
          <w:sz w:val="20"/>
          <w:szCs w:val="20"/>
          <w:lang w:val="es-ES"/>
        </w:rPr>
        <w:t xml:space="preserve"> de la zona para medios nacionales como el Diario Noticias.</w:t>
      </w:r>
      <w:r w:rsidR="007D7A1F" w:rsidRPr="007A0D4C">
        <w:rPr>
          <w:rFonts w:ascii="Cambria" w:hAnsi="Cambria"/>
          <w:sz w:val="20"/>
          <w:szCs w:val="20"/>
          <w:lang w:val="es-ES"/>
        </w:rPr>
        <w:t xml:space="preserve"> </w:t>
      </w:r>
      <w:r w:rsidR="00CB7475" w:rsidRPr="007A0D4C">
        <w:rPr>
          <w:rFonts w:ascii="Cambria" w:hAnsi="Cambria"/>
          <w:sz w:val="20"/>
          <w:szCs w:val="20"/>
          <w:lang w:val="es-ES"/>
        </w:rPr>
        <w:t>En ese contexto,</w:t>
      </w:r>
      <w:r w:rsidR="007D7A1F" w:rsidRPr="007A0D4C">
        <w:rPr>
          <w:rFonts w:ascii="Cambria" w:hAnsi="Cambria"/>
          <w:sz w:val="20"/>
          <w:szCs w:val="20"/>
          <w:lang w:val="es-ES"/>
        </w:rPr>
        <w:t xml:space="preserve"> destaca que,</w:t>
      </w:r>
      <w:r w:rsidR="00CB7475" w:rsidRPr="007A0D4C">
        <w:rPr>
          <w:rFonts w:ascii="Cambria" w:hAnsi="Cambria"/>
          <w:sz w:val="20"/>
          <w:szCs w:val="20"/>
          <w:lang w:val="es-ES"/>
        </w:rPr>
        <w:t xml:space="preserve"> a</w:t>
      </w:r>
      <w:r w:rsidR="00E56C2A" w:rsidRPr="007A0D4C">
        <w:rPr>
          <w:rFonts w:ascii="Cambria" w:hAnsi="Cambria"/>
          <w:sz w:val="20"/>
          <w:szCs w:val="20"/>
          <w:lang w:val="es-ES"/>
        </w:rPr>
        <w:t xml:space="preserve"> fines de marzo</w:t>
      </w:r>
      <w:r w:rsidR="00CB7475" w:rsidRPr="007A0D4C">
        <w:rPr>
          <w:rFonts w:ascii="Cambria" w:hAnsi="Cambria"/>
          <w:sz w:val="20"/>
          <w:szCs w:val="20"/>
          <w:lang w:val="es-ES"/>
        </w:rPr>
        <w:t xml:space="preserve"> de 1991</w:t>
      </w:r>
      <w:r w:rsidR="007D7A1F" w:rsidRPr="007A0D4C">
        <w:rPr>
          <w:rFonts w:ascii="Cambria" w:hAnsi="Cambria"/>
          <w:sz w:val="20"/>
          <w:szCs w:val="20"/>
          <w:lang w:val="es-ES"/>
        </w:rPr>
        <w:t>,</w:t>
      </w:r>
      <w:r w:rsidR="00E56C2A" w:rsidRPr="007A0D4C">
        <w:rPr>
          <w:rFonts w:ascii="Cambria" w:hAnsi="Cambria"/>
          <w:sz w:val="20"/>
          <w:szCs w:val="20"/>
          <w:lang w:val="es-ES"/>
        </w:rPr>
        <w:t xml:space="preserve"> publicó </w:t>
      </w:r>
      <w:r w:rsidR="00FE5EC4" w:rsidRPr="007A0D4C">
        <w:rPr>
          <w:rFonts w:ascii="Cambria" w:hAnsi="Cambria"/>
          <w:sz w:val="20"/>
          <w:szCs w:val="20"/>
          <w:lang w:val="es-ES"/>
        </w:rPr>
        <w:t>una</w:t>
      </w:r>
      <w:r w:rsidR="004542CD" w:rsidRPr="007A0D4C">
        <w:rPr>
          <w:rFonts w:ascii="Cambria" w:hAnsi="Cambria"/>
          <w:sz w:val="20"/>
          <w:szCs w:val="20"/>
          <w:lang w:val="es-ES"/>
        </w:rPr>
        <w:t xml:space="preserve"> </w:t>
      </w:r>
      <w:r w:rsidR="0087124A" w:rsidRPr="007A0D4C">
        <w:rPr>
          <w:rFonts w:ascii="Cambria" w:hAnsi="Cambria"/>
          <w:sz w:val="20"/>
          <w:szCs w:val="20"/>
          <w:lang w:val="es-ES"/>
        </w:rPr>
        <w:t xml:space="preserve">serie </w:t>
      </w:r>
      <w:r w:rsidR="0025017C" w:rsidRPr="007A0D4C">
        <w:rPr>
          <w:rFonts w:ascii="Cambria" w:hAnsi="Cambria"/>
          <w:sz w:val="20"/>
          <w:szCs w:val="20"/>
          <w:lang w:val="es-ES"/>
        </w:rPr>
        <w:t xml:space="preserve">de </w:t>
      </w:r>
      <w:r w:rsidR="0074094D" w:rsidRPr="007A0D4C">
        <w:rPr>
          <w:rFonts w:ascii="Cambria" w:hAnsi="Cambria"/>
          <w:sz w:val="20"/>
          <w:szCs w:val="20"/>
          <w:lang w:val="es-ES"/>
        </w:rPr>
        <w:t>artí</w:t>
      </w:r>
      <w:r w:rsidR="00741647" w:rsidRPr="007A0D4C">
        <w:rPr>
          <w:rFonts w:ascii="Cambria" w:hAnsi="Cambria"/>
          <w:sz w:val="20"/>
          <w:szCs w:val="20"/>
          <w:lang w:val="es-ES"/>
        </w:rPr>
        <w:t>culos</w:t>
      </w:r>
      <w:r w:rsidR="0025017C" w:rsidRPr="007A0D4C">
        <w:rPr>
          <w:rFonts w:ascii="Cambria" w:hAnsi="Cambria"/>
          <w:sz w:val="20"/>
          <w:szCs w:val="20"/>
          <w:lang w:val="es-ES"/>
        </w:rPr>
        <w:t xml:space="preserve"> </w:t>
      </w:r>
      <w:r w:rsidR="00ED6389" w:rsidRPr="007A0D4C">
        <w:rPr>
          <w:rFonts w:ascii="Cambria" w:hAnsi="Cambria"/>
          <w:sz w:val="20"/>
          <w:szCs w:val="20"/>
          <w:lang w:val="es-ES"/>
        </w:rPr>
        <w:t xml:space="preserve">en </w:t>
      </w:r>
      <w:r w:rsidR="00FE5EC4" w:rsidRPr="007A0D4C">
        <w:rPr>
          <w:rFonts w:ascii="Cambria" w:hAnsi="Cambria"/>
          <w:sz w:val="20"/>
          <w:szCs w:val="20"/>
          <w:lang w:val="es-ES"/>
        </w:rPr>
        <w:t xml:space="preserve">el Diario Noticias, en el que trabajaba como corresponsal, </w:t>
      </w:r>
      <w:r w:rsidR="002C1014" w:rsidRPr="007A0D4C">
        <w:rPr>
          <w:rFonts w:ascii="Cambria" w:hAnsi="Cambria"/>
          <w:sz w:val="20"/>
          <w:szCs w:val="20"/>
          <w:lang w:val="es-ES"/>
        </w:rPr>
        <w:t>en l</w:t>
      </w:r>
      <w:r w:rsidR="00E63558" w:rsidRPr="007A0D4C">
        <w:rPr>
          <w:rFonts w:ascii="Cambria" w:hAnsi="Cambria"/>
          <w:sz w:val="20"/>
          <w:szCs w:val="20"/>
          <w:lang w:val="es-ES"/>
        </w:rPr>
        <w:t>o</w:t>
      </w:r>
      <w:r w:rsidR="002F6280" w:rsidRPr="007A0D4C">
        <w:rPr>
          <w:rFonts w:ascii="Cambria" w:hAnsi="Cambria"/>
          <w:sz w:val="20"/>
          <w:szCs w:val="20"/>
          <w:lang w:val="es-ES"/>
        </w:rPr>
        <w:t>s</w:t>
      </w:r>
      <w:r w:rsidR="002C1014" w:rsidRPr="007A0D4C">
        <w:rPr>
          <w:rFonts w:ascii="Cambria" w:hAnsi="Cambria"/>
          <w:sz w:val="20"/>
          <w:szCs w:val="20"/>
          <w:lang w:val="es-ES"/>
        </w:rPr>
        <w:t xml:space="preserve"> que se denunci</w:t>
      </w:r>
      <w:r w:rsidR="00E67012">
        <w:rPr>
          <w:rFonts w:ascii="Cambria" w:hAnsi="Cambria"/>
          <w:sz w:val="20"/>
          <w:szCs w:val="20"/>
          <w:lang w:val="es-ES"/>
        </w:rPr>
        <w:t>ó</w:t>
      </w:r>
      <w:r w:rsidR="002C1014" w:rsidRPr="007A0D4C">
        <w:rPr>
          <w:rFonts w:ascii="Cambria" w:hAnsi="Cambria"/>
          <w:sz w:val="20"/>
          <w:szCs w:val="20"/>
          <w:lang w:val="es-ES"/>
        </w:rPr>
        <w:t xml:space="preserve"> </w:t>
      </w:r>
      <w:r w:rsidR="003A3A8B" w:rsidRPr="007A0D4C">
        <w:rPr>
          <w:rFonts w:ascii="Cambria" w:hAnsi="Cambria"/>
          <w:sz w:val="20"/>
          <w:szCs w:val="20"/>
          <w:lang w:val="es-ES"/>
        </w:rPr>
        <w:t xml:space="preserve">una </w:t>
      </w:r>
      <w:r w:rsidR="00E67012">
        <w:rPr>
          <w:rFonts w:ascii="Cambria" w:hAnsi="Cambria"/>
          <w:sz w:val="20"/>
          <w:szCs w:val="20"/>
          <w:lang w:val="es-ES"/>
        </w:rPr>
        <w:t>serie de presuntos</w:t>
      </w:r>
      <w:r w:rsidR="00E67012" w:rsidRPr="007A0D4C">
        <w:rPr>
          <w:rFonts w:ascii="Cambria" w:hAnsi="Cambria"/>
          <w:sz w:val="20"/>
          <w:szCs w:val="20"/>
          <w:lang w:val="es-ES"/>
        </w:rPr>
        <w:t xml:space="preserve"> hechos delictivos y de corrupción</w:t>
      </w:r>
      <w:r w:rsidR="00E67012">
        <w:rPr>
          <w:rFonts w:ascii="Cambria" w:hAnsi="Cambria"/>
          <w:sz w:val="20"/>
          <w:szCs w:val="20"/>
          <w:lang w:val="es-ES"/>
        </w:rPr>
        <w:t>, así como una</w:t>
      </w:r>
      <w:r w:rsidR="00E67012" w:rsidRPr="007A0D4C">
        <w:rPr>
          <w:rFonts w:ascii="Cambria" w:hAnsi="Cambria"/>
          <w:sz w:val="20"/>
          <w:szCs w:val="20"/>
          <w:lang w:val="es-ES"/>
        </w:rPr>
        <w:t xml:space="preserve"> </w:t>
      </w:r>
      <w:r w:rsidR="003A3A8B" w:rsidRPr="007A0D4C">
        <w:rPr>
          <w:rFonts w:ascii="Cambria" w:hAnsi="Cambria"/>
          <w:sz w:val="20"/>
          <w:szCs w:val="20"/>
          <w:lang w:val="es-ES"/>
        </w:rPr>
        <w:t xml:space="preserve">presunta triangulación </w:t>
      </w:r>
      <w:r w:rsidR="00D6039E" w:rsidRPr="007A0D4C">
        <w:rPr>
          <w:rFonts w:ascii="Cambria" w:hAnsi="Cambria"/>
          <w:sz w:val="20"/>
          <w:szCs w:val="20"/>
          <w:lang w:val="es-ES"/>
        </w:rPr>
        <w:t xml:space="preserve">entre </w:t>
      </w:r>
      <w:r w:rsidR="00ED01C5" w:rsidRPr="007A0D4C">
        <w:rPr>
          <w:rFonts w:ascii="Cambria" w:hAnsi="Cambria"/>
          <w:sz w:val="20"/>
          <w:szCs w:val="20"/>
          <w:lang w:val="es-ES"/>
        </w:rPr>
        <w:t>un individuo brasile</w:t>
      </w:r>
      <w:r w:rsidR="00860860">
        <w:rPr>
          <w:rFonts w:ascii="Cambria" w:hAnsi="Cambria"/>
          <w:sz w:val="20"/>
          <w:szCs w:val="20"/>
          <w:lang w:val="es-ES"/>
        </w:rPr>
        <w:t>ñ</w:t>
      </w:r>
      <w:r w:rsidR="00ED01C5" w:rsidRPr="007A0D4C">
        <w:rPr>
          <w:rFonts w:ascii="Cambria" w:hAnsi="Cambria"/>
          <w:sz w:val="20"/>
          <w:szCs w:val="20"/>
          <w:lang w:val="es-ES"/>
        </w:rPr>
        <w:t xml:space="preserve">o conocido como “El Turco”, miembro de una </w:t>
      </w:r>
      <w:r w:rsidR="00D6039E" w:rsidRPr="007A0D4C">
        <w:rPr>
          <w:rFonts w:ascii="Cambria" w:hAnsi="Cambria"/>
          <w:sz w:val="20"/>
          <w:szCs w:val="20"/>
          <w:lang w:val="es-ES"/>
        </w:rPr>
        <w:t xml:space="preserve">familia </w:t>
      </w:r>
      <w:r w:rsidR="00CB7475" w:rsidRPr="007A0D4C">
        <w:rPr>
          <w:rFonts w:ascii="Cambria" w:hAnsi="Cambria"/>
          <w:sz w:val="20"/>
          <w:szCs w:val="20"/>
          <w:lang w:val="es-ES"/>
        </w:rPr>
        <w:t xml:space="preserve">de </w:t>
      </w:r>
      <w:r w:rsidR="00D6039E" w:rsidRPr="007A0D4C">
        <w:rPr>
          <w:rFonts w:ascii="Cambria" w:hAnsi="Cambria"/>
          <w:sz w:val="20"/>
          <w:szCs w:val="20"/>
          <w:lang w:val="es-ES"/>
        </w:rPr>
        <w:t>empresari</w:t>
      </w:r>
      <w:r w:rsidR="00CB7475" w:rsidRPr="007A0D4C">
        <w:rPr>
          <w:rFonts w:ascii="Cambria" w:hAnsi="Cambria"/>
          <w:sz w:val="20"/>
          <w:szCs w:val="20"/>
          <w:lang w:val="es-ES"/>
        </w:rPr>
        <w:t>os</w:t>
      </w:r>
      <w:r w:rsidR="00ED01C5" w:rsidRPr="007A0D4C">
        <w:rPr>
          <w:rFonts w:ascii="Cambria" w:hAnsi="Cambria"/>
          <w:sz w:val="20"/>
          <w:szCs w:val="20"/>
          <w:lang w:val="es-ES"/>
        </w:rPr>
        <w:t xml:space="preserve">, </w:t>
      </w:r>
      <w:r w:rsidR="00D6039E" w:rsidRPr="007A0D4C">
        <w:rPr>
          <w:rFonts w:ascii="Cambria" w:hAnsi="Cambria"/>
          <w:sz w:val="20"/>
          <w:szCs w:val="20"/>
          <w:lang w:val="es-ES"/>
        </w:rPr>
        <w:t>y</w:t>
      </w:r>
      <w:r w:rsidR="001E65DF" w:rsidRPr="007A0D4C">
        <w:rPr>
          <w:rFonts w:ascii="Cambria" w:hAnsi="Cambria"/>
          <w:sz w:val="20"/>
          <w:szCs w:val="20"/>
          <w:lang w:val="es-ES"/>
        </w:rPr>
        <w:t xml:space="preserve"> la Cámara Paraguaya de la Soja (CAPROSA) </w:t>
      </w:r>
      <w:r w:rsidR="00501202" w:rsidRPr="007A0D4C">
        <w:rPr>
          <w:rFonts w:ascii="Cambria" w:hAnsi="Cambria"/>
          <w:sz w:val="20"/>
          <w:szCs w:val="20"/>
          <w:lang w:val="es-ES"/>
        </w:rPr>
        <w:t>para evadir</w:t>
      </w:r>
      <w:r w:rsidR="007C6416" w:rsidRPr="007A0D4C">
        <w:rPr>
          <w:rFonts w:ascii="Cambria" w:hAnsi="Cambria"/>
          <w:sz w:val="20"/>
          <w:szCs w:val="20"/>
          <w:lang w:val="es-ES"/>
        </w:rPr>
        <w:t xml:space="preserve"> el pago de</w:t>
      </w:r>
      <w:r w:rsidR="00501202" w:rsidRPr="007A0D4C">
        <w:rPr>
          <w:rFonts w:ascii="Cambria" w:hAnsi="Cambria"/>
          <w:sz w:val="20"/>
          <w:szCs w:val="20"/>
          <w:lang w:val="es-ES"/>
        </w:rPr>
        <w:t xml:space="preserve"> impuestos brasileños y paraguayos</w:t>
      </w:r>
      <w:r w:rsidR="007C6416" w:rsidRPr="007A0D4C">
        <w:rPr>
          <w:rFonts w:ascii="Cambria" w:hAnsi="Cambria"/>
          <w:sz w:val="20"/>
          <w:szCs w:val="20"/>
          <w:lang w:val="es-ES"/>
        </w:rPr>
        <w:t xml:space="preserve"> por la comercialización de soja</w:t>
      </w:r>
      <w:r w:rsidR="00E56C2A" w:rsidRPr="007A0D4C">
        <w:rPr>
          <w:rFonts w:ascii="Cambria" w:hAnsi="Cambria"/>
          <w:sz w:val="20"/>
          <w:szCs w:val="20"/>
          <w:lang w:val="es-ES"/>
        </w:rPr>
        <w:t xml:space="preserve">. </w:t>
      </w:r>
      <w:r w:rsidR="00501202" w:rsidRPr="007A0D4C">
        <w:rPr>
          <w:rFonts w:ascii="Cambria" w:hAnsi="Cambria"/>
          <w:sz w:val="20"/>
          <w:szCs w:val="20"/>
          <w:lang w:val="es-ES"/>
        </w:rPr>
        <w:t xml:space="preserve"> </w:t>
      </w:r>
    </w:p>
    <w:p w14:paraId="1E6D4F30" w14:textId="77777777" w:rsidR="00343E7B" w:rsidRPr="007A0D4C" w:rsidRDefault="00343E7B"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6BC00356" w14:textId="20AF1DAB" w:rsidR="00FF368D" w:rsidRPr="009313AF" w:rsidRDefault="0055246C" w:rsidP="007A0D4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 xml:space="preserve">Según </w:t>
      </w:r>
      <w:r w:rsidR="00443F8D" w:rsidRPr="007A0D4C">
        <w:rPr>
          <w:rFonts w:ascii="Cambria" w:hAnsi="Cambria"/>
          <w:sz w:val="20"/>
          <w:szCs w:val="20"/>
          <w:lang w:val="es-ES"/>
        </w:rPr>
        <w:t>la</w:t>
      </w:r>
      <w:r w:rsidRPr="007A0D4C">
        <w:rPr>
          <w:rFonts w:ascii="Cambria" w:hAnsi="Cambria"/>
          <w:sz w:val="20"/>
          <w:szCs w:val="20"/>
          <w:lang w:val="es-ES"/>
        </w:rPr>
        <w:t xml:space="preserve"> parte</w:t>
      </w:r>
      <w:r w:rsidR="00443F8D" w:rsidRPr="007A0D4C">
        <w:rPr>
          <w:rFonts w:ascii="Cambria" w:hAnsi="Cambria"/>
          <w:sz w:val="20"/>
          <w:szCs w:val="20"/>
          <w:lang w:val="es-ES"/>
        </w:rPr>
        <w:t xml:space="preserve"> peticionaria, su</w:t>
      </w:r>
      <w:r w:rsidR="005F0B97" w:rsidRPr="007A0D4C">
        <w:rPr>
          <w:rFonts w:ascii="Cambria" w:hAnsi="Cambria"/>
          <w:sz w:val="20"/>
          <w:szCs w:val="20"/>
          <w:lang w:val="es-ES"/>
        </w:rPr>
        <w:t xml:space="preserve">s reportajes dejaban entrever </w:t>
      </w:r>
      <w:r w:rsidR="00443F8D" w:rsidRPr="007A0D4C">
        <w:rPr>
          <w:rFonts w:ascii="Cambria" w:hAnsi="Cambria"/>
          <w:sz w:val="20"/>
          <w:szCs w:val="20"/>
          <w:lang w:val="es-ES"/>
        </w:rPr>
        <w:t xml:space="preserve">una presunta complicidad entre los </w:t>
      </w:r>
      <w:r w:rsidR="00235C0C" w:rsidRPr="007A0D4C">
        <w:rPr>
          <w:rFonts w:ascii="Cambria" w:hAnsi="Cambria"/>
          <w:sz w:val="20"/>
          <w:szCs w:val="20"/>
          <w:lang w:val="es-ES"/>
        </w:rPr>
        <w:t>“</w:t>
      </w:r>
      <w:r w:rsidR="00443F8D" w:rsidRPr="007A0D4C">
        <w:rPr>
          <w:rFonts w:ascii="Cambria" w:hAnsi="Cambria"/>
          <w:sz w:val="20"/>
          <w:szCs w:val="20"/>
          <w:lang w:val="es-ES"/>
        </w:rPr>
        <w:t>capos de crimen</w:t>
      </w:r>
      <w:r w:rsidR="00235C0C" w:rsidRPr="007A0D4C">
        <w:rPr>
          <w:rFonts w:ascii="Cambria" w:hAnsi="Cambria"/>
          <w:sz w:val="20"/>
          <w:szCs w:val="20"/>
          <w:lang w:val="es-ES"/>
        </w:rPr>
        <w:t>”</w:t>
      </w:r>
      <w:r w:rsidR="00EF1C2B" w:rsidRPr="007A0D4C">
        <w:rPr>
          <w:rFonts w:ascii="Cambria" w:hAnsi="Cambria"/>
          <w:sz w:val="20"/>
          <w:szCs w:val="20"/>
          <w:lang w:val="es-ES"/>
        </w:rPr>
        <w:t>,</w:t>
      </w:r>
      <w:r w:rsidR="00704A77" w:rsidRPr="007A0D4C">
        <w:rPr>
          <w:rFonts w:ascii="Cambria" w:hAnsi="Cambria"/>
          <w:sz w:val="20"/>
          <w:szCs w:val="20"/>
          <w:lang w:val="es-ES"/>
        </w:rPr>
        <w:t xml:space="preserve"> y sus socios comerciales</w:t>
      </w:r>
      <w:r w:rsidR="00CB7475" w:rsidRPr="007A0D4C">
        <w:rPr>
          <w:rFonts w:ascii="Cambria" w:hAnsi="Cambria"/>
          <w:sz w:val="20"/>
          <w:szCs w:val="20"/>
          <w:lang w:val="es-ES"/>
        </w:rPr>
        <w:t>, entre los que menciona</w:t>
      </w:r>
      <w:r w:rsidR="00EF1C2B" w:rsidRPr="007A0D4C">
        <w:rPr>
          <w:rFonts w:ascii="Cambria" w:hAnsi="Cambria"/>
          <w:sz w:val="20"/>
          <w:szCs w:val="20"/>
          <w:lang w:val="es-ES"/>
        </w:rPr>
        <w:t xml:space="preserve"> </w:t>
      </w:r>
      <w:r w:rsidR="00CB7475" w:rsidRPr="007A0D4C">
        <w:rPr>
          <w:rFonts w:ascii="Cambria" w:hAnsi="Cambria"/>
          <w:sz w:val="20"/>
          <w:szCs w:val="20"/>
          <w:lang w:val="es-ES"/>
        </w:rPr>
        <w:t>a</w:t>
      </w:r>
      <w:r w:rsidR="00E607D9" w:rsidRPr="007A0D4C">
        <w:rPr>
          <w:rFonts w:ascii="Cambria" w:hAnsi="Cambria"/>
          <w:sz w:val="20"/>
          <w:szCs w:val="20"/>
          <w:lang w:val="es-ES"/>
        </w:rPr>
        <w:t>l presidente del Consejo de Desarrollo del Amambay (CODAM)</w:t>
      </w:r>
      <w:r w:rsidR="00E5365A" w:rsidRPr="007A0D4C">
        <w:rPr>
          <w:rFonts w:ascii="Cambria" w:hAnsi="Cambria"/>
          <w:sz w:val="20"/>
          <w:szCs w:val="20"/>
          <w:lang w:val="es-ES"/>
        </w:rPr>
        <w:t>-organismo encargado de las políticas de desarrollo en Amambay</w:t>
      </w:r>
      <w:r w:rsidR="00552183" w:rsidRPr="007A0D4C">
        <w:rPr>
          <w:rFonts w:ascii="Cambria" w:hAnsi="Cambria"/>
          <w:sz w:val="20"/>
          <w:szCs w:val="20"/>
          <w:lang w:val="es-ES"/>
        </w:rPr>
        <w:t xml:space="preserve">, </w:t>
      </w:r>
      <w:r w:rsidR="00CB7475" w:rsidRPr="007A0D4C">
        <w:rPr>
          <w:rFonts w:ascii="Cambria" w:hAnsi="Cambria"/>
          <w:sz w:val="20"/>
          <w:szCs w:val="20"/>
          <w:lang w:val="es-ES"/>
        </w:rPr>
        <w:t>incluyendo la</w:t>
      </w:r>
      <w:r w:rsidR="00552183" w:rsidRPr="007A0D4C">
        <w:rPr>
          <w:rFonts w:ascii="Cambria" w:hAnsi="Cambria"/>
          <w:sz w:val="20"/>
          <w:szCs w:val="20"/>
          <w:lang w:val="es-ES"/>
        </w:rPr>
        <w:t xml:space="preserve"> administra</w:t>
      </w:r>
      <w:r w:rsidR="00CB7475" w:rsidRPr="007A0D4C">
        <w:rPr>
          <w:rFonts w:ascii="Cambria" w:hAnsi="Cambria"/>
          <w:sz w:val="20"/>
          <w:szCs w:val="20"/>
          <w:lang w:val="es-ES"/>
        </w:rPr>
        <w:t>ción</w:t>
      </w:r>
      <w:r w:rsidR="00552183" w:rsidRPr="007A0D4C">
        <w:rPr>
          <w:rFonts w:ascii="Cambria" w:hAnsi="Cambria"/>
          <w:sz w:val="20"/>
          <w:szCs w:val="20"/>
          <w:lang w:val="es-ES"/>
        </w:rPr>
        <w:t xml:space="preserve"> y distribución</w:t>
      </w:r>
      <w:r w:rsidR="00CB7475" w:rsidRPr="007A0D4C">
        <w:rPr>
          <w:rFonts w:ascii="Cambria" w:hAnsi="Cambria"/>
          <w:sz w:val="20"/>
          <w:szCs w:val="20"/>
          <w:lang w:val="es-ES"/>
        </w:rPr>
        <w:t xml:space="preserve"> de tierra</w:t>
      </w:r>
      <w:r w:rsidR="00552183" w:rsidRPr="007A0D4C">
        <w:rPr>
          <w:rFonts w:ascii="Cambria" w:hAnsi="Cambria"/>
          <w:sz w:val="20"/>
          <w:szCs w:val="20"/>
          <w:lang w:val="es-ES"/>
        </w:rPr>
        <w:t xml:space="preserve"> a los campesinos</w:t>
      </w:r>
      <w:r w:rsidR="00F11D1B" w:rsidRPr="007A0D4C">
        <w:rPr>
          <w:rFonts w:ascii="Cambria" w:hAnsi="Cambria"/>
          <w:sz w:val="20"/>
          <w:szCs w:val="20"/>
          <w:lang w:val="es-ES"/>
        </w:rPr>
        <w:t>-</w:t>
      </w:r>
      <w:r w:rsidR="00443F8D" w:rsidRPr="007A0D4C">
        <w:rPr>
          <w:rFonts w:ascii="Cambria" w:hAnsi="Cambria"/>
          <w:sz w:val="20"/>
          <w:szCs w:val="20"/>
          <w:lang w:val="es-ES"/>
        </w:rPr>
        <w:t xml:space="preserve"> y </w:t>
      </w:r>
      <w:r w:rsidR="00CB7475" w:rsidRPr="007A0D4C">
        <w:rPr>
          <w:rFonts w:ascii="Cambria" w:hAnsi="Cambria"/>
          <w:sz w:val="20"/>
          <w:szCs w:val="20"/>
          <w:lang w:val="es-ES"/>
        </w:rPr>
        <w:t xml:space="preserve">presuntas conexiones con </w:t>
      </w:r>
      <w:r w:rsidR="00443F8D" w:rsidRPr="007A0D4C">
        <w:rPr>
          <w:rFonts w:ascii="Cambria" w:hAnsi="Cambria"/>
          <w:sz w:val="20"/>
          <w:szCs w:val="20"/>
          <w:lang w:val="es-ES"/>
        </w:rPr>
        <w:t>el presidente</w:t>
      </w:r>
      <w:r w:rsidR="00CB7475" w:rsidRPr="007A0D4C">
        <w:rPr>
          <w:rFonts w:ascii="Cambria" w:hAnsi="Cambria"/>
          <w:sz w:val="20"/>
          <w:szCs w:val="20"/>
          <w:lang w:val="es-ES"/>
        </w:rPr>
        <w:t xml:space="preserve"> de la República de la ép</w:t>
      </w:r>
      <w:r w:rsidR="007D7A1F" w:rsidRPr="007A0D4C">
        <w:rPr>
          <w:rFonts w:ascii="Cambria" w:hAnsi="Cambria"/>
          <w:sz w:val="20"/>
          <w:szCs w:val="20"/>
          <w:lang w:val="es-ES"/>
        </w:rPr>
        <w:t>oc</w:t>
      </w:r>
      <w:r w:rsidR="00CB7475" w:rsidRPr="007A0D4C">
        <w:rPr>
          <w:rFonts w:ascii="Cambria" w:hAnsi="Cambria"/>
          <w:sz w:val="20"/>
          <w:szCs w:val="20"/>
          <w:lang w:val="es-ES"/>
        </w:rPr>
        <w:t>a,</w:t>
      </w:r>
      <w:r w:rsidR="00443F8D" w:rsidRPr="007A0D4C">
        <w:rPr>
          <w:rFonts w:ascii="Cambria" w:hAnsi="Cambria"/>
          <w:sz w:val="20"/>
          <w:szCs w:val="20"/>
          <w:lang w:val="es-ES"/>
        </w:rPr>
        <w:t xml:space="preserve"> </w:t>
      </w:r>
      <w:r w:rsidR="00443F8D" w:rsidRPr="009B3377">
        <w:rPr>
          <w:rFonts w:ascii="Cambria" w:hAnsi="Cambria"/>
          <w:sz w:val="20"/>
          <w:szCs w:val="20"/>
          <w:lang w:val="es-ES"/>
        </w:rPr>
        <w:t>Andrés Rodríguez</w:t>
      </w:r>
      <w:r w:rsidR="00D00C50" w:rsidRPr="009B3377">
        <w:rPr>
          <w:rFonts w:ascii="Cambria" w:hAnsi="Cambria"/>
          <w:sz w:val="20"/>
          <w:szCs w:val="20"/>
          <w:lang w:val="es-ES"/>
        </w:rPr>
        <w:t>.</w:t>
      </w:r>
      <w:r w:rsidR="00443F8D" w:rsidRPr="009B3377">
        <w:rPr>
          <w:rFonts w:ascii="Cambria" w:hAnsi="Cambria"/>
          <w:sz w:val="20"/>
          <w:szCs w:val="20"/>
          <w:lang w:val="es-ES"/>
        </w:rPr>
        <w:t xml:space="preserve"> </w:t>
      </w:r>
      <w:r w:rsidR="008E0D7F" w:rsidRPr="009B3377">
        <w:rPr>
          <w:rFonts w:ascii="Cambria" w:hAnsi="Cambria"/>
          <w:sz w:val="20"/>
          <w:szCs w:val="20"/>
          <w:lang w:val="es-ES"/>
        </w:rPr>
        <w:t>La parte</w:t>
      </w:r>
      <w:r w:rsidR="008E0D7F" w:rsidRPr="007A0D4C">
        <w:rPr>
          <w:rFonts w:ascii="Cambria" w:hAnsi="Cambria"/>
          <w:sz w:val="20"/>
          <w:szCs w:val="20"/>
          <w:lang w:val="es-ES"/>
        </w:rPr>
        <w:t xml:space="preserve"> peticionaria </w:t>
      </w:r>
      <w:r w:rsidR="00996C00" w:rsidRPr="007A0D4C">
        <w:rPr>
          <w:rFonts w:ascii="Cambria" w:hAnsi="Cambria"/>
          <w:sz w:val="20"/>
          <w:szCs w:val="20"/>
          <w:lang w:val="es-ES"/>
        </w:rPr>
        <w:t xml:space="preserve">destacó </w:t>
      </w:r>
      <w:r w:rsidR="00CD20F4" w:rsidRPr="007A0D4C">
        <w:rPr>
          <w:rFonts w:ascii="Cambria" w:hAnsi="Cambria"/>
          <w:sz w:val="20"/>
          <w:szCs w:val="20"/>
          <w:lang w:val="es-ES"/>
        </w:rPr>
        <w:t xml:space="preserve">que </w:t>
      </w:r>
      <w:r w:rsidR="00E67012">
        <w:rPr>
          <w:rFonts w:ascii="Cambria" w:hAnsi="Cambria"/>
          <w:sz w:val="20"/>
          <w:szCs w:val="20"/>
          <w:lang w:val="es-ES"/>
        </w:rPr>
        <w:t xml:space="preserve">Andrés Rodríguez </w:t>
      </w:r>
      <w:r w:rsidR="00CB7475" w:rsidRPr="007A0D4C">
        <w:rPr>
          <w:rFonts w:ascii="Cambria" w:hAnsi="Cambria"/>
          <w:sz w:val="20"/>
          <w:szCs w:val="20"/>
          <w:lang w:val="es-ES"/>
        </w:rPr>
        <w:t>mantenía por entonces</w:t>
      </w:r>
      <w:r w:rsidR="007D7A1F" w:rsidRPr="007A0D4C">
        <w:rPr>
          <w:rFonts w:ascii="Cambria" w:hAnsi="Cambria"/>
          <w:sz w:val="20"/>
          <w:szCs w:val="20"/>
          <w:lang w:val="es-ES"/>
        </w:rPr>
        <w:t>,</w:t>
      </w:r>
      <w:r w:rsidR="0012710D" w:rsidRPr="007A0D4C">
        <w:rPr>
          <w:rFonts w:ascii="Cambria" w:hAnsi="Cambria"/>
          <w:sz w:val="20"/>
          <w:szCs w:val="20"/>
          <w:lang w:val="es-ES"/>
        </w:rPr>
        <w:t xml:space="preserve"> una relación estrecha con </w:t>
      </w:r>
      <w:r w:rsidR="00B31224" w:rsidRPr="007A0D4C">
        <w:rPr>
          <w:rFonts w:ascii="Cambria" w:hAnsi="Cambria"/>
          <w:sz w:val="20"/>
          <w:szCs w:val="20"/>
          <w:lang w:val="es-ES"/>
        </w:rPr>
        <w:t xml:space="preserve">la </w:t>
      </w:r>
      <w:r w:rsidR="00214C40" w:rsidRPr="007A0D4C">
        <w:rPr>
          <w:rFonts w:ascii="Cambria" w:hAnsi="Cambria"/>
          <w:sz w:val="20"/>
          <w:szCs w:val="20"/>
          <w:lang w:val="es-ES"/>
        </w:rPr>
        <w:t xml:space="preserve">familia de </w:t>
      </w:r>
      <w:r w:rsidR="00FF368D" w:rsidRPr="007A0D4C">
        <w:rPr>
          <w:rFonts w:ascii="Cambria" w:hAnsi="Cambria"/>
          <w:sz w:val="20"/>
          <w:szCs w:val="20"/>
          <w:lang w:val="es-ES"/>
        </w:rPr>
        <w:t>“El Turco”</w:t>
      </w:r>
      <w:r w:rsidR="00214C40" w:rsidRPr="007A0D4C">
        <w:rPr>
          <w:rFonts w:ascii="Cambria" w:hAnsi="Cambria"/>
          <w:sz w:val="20"/>
          <w:szCs w:val="20"/>
          <w:lang w:val="es-ES"/>
        </w:rPr>
        <w:t xml:space="preserve">, y que incluso </w:t>
      </w:r>
      <w:r w:rsidR="00F83276" w:rsidRPr="007A0D4C">
        <w:rPr>
          <w:rFonts w:ascii="Cambria" w:hAnsi="Cambria"/>
          <w:sz w:val="20"/>
          <w:szCs w:val="20"/>
          <w:lang w:val="es-ES"/>
        </w:rPr>
        <w:t>el</w:t>
      </w:r>
      <w:r w:rsidR="00214C40" w:rsidRPr="007A0D4C">
        <w:rPr>
          <w:rFonts w:ascii="Cambria" w:hAnsi="Cambria"/>
          <w:sz w:val="20"/>
          <w:szCs w:val="20"/>
          <w:lang w:val="es-ES"/>
        </w:rPr>
        <w:t xml:space="preserve"> hijo</w:t>
      </w:r>
      <w:r w:rsidR="00FF368D" w:rsidRPr="007A0D4C">
        <w:rPr>
          <w:rFonts w:ascii="Cambria" w:hAnsi="Cambria"/>
          <w:sz w:val="20"/>
          <w:szCs w:val="20"/>
          <w:lang w:val="es-ES"/>
        </w:rPr>
        <w:t xml:space="preserve"> </w:t>
      </w:r>
      <w:r w:rsidR="00A607BF" w:rsidRPr="007A0D4C">
        <w:rPr>
          <w:rFonts w:ascii="Cambria" w:hAnsi="Cambria"/>
          <w:sz w:val="20"/>
          <w:szCs w:val="20"/>
          <w:lang w:val="es-ES"/>
        </w:rPr>
        <w:t>d</w:t>
      </w:r>
      <w:r w:rsidR="00F83276" w:rsidRPr="007A0D4C">
        <w:rPr>
          <w:rFonts w:ascii="Cambria" w:hAnsi="Cambria"/>
          <w:sz w:val="20"/>
          <w:szCs w:val="20"/>
          <w:lang w:val="es-ES"/>
        </w:rPr>
        <w:t xml:space="preserve">e este último </w:t>
      </w:r>
      <w:r w:rsidR="00FF368D" w:rsidRPr="007A0D4C">
        <w:rPr>
          <w:rFonts w:ascii="Cambria" w:hAnsi="Cambria"/>
          <w:sz w:val="20"/>
          <w:szCs w:val="20"/>
          <w:lang w:val="es-ES"/>
        </w:rPr>
        <w:t>era</w:t>
      </w:r>
      <w:r w:rsidR="007B571D" w:rsidRPr="007A0D4C">
        <w:rPr>
          <w:rFonts w:ascii="Cambria" w:hAnsi="Cambria"/>
          <w:sz w:val="20"/>
          <w:szCs w:val="20"/>
          <w:lang w:val="es-ES"/>
        </w:rPr>
        <w:t xml:space="preserve"> </w:t>
      </w:r>
      <w:r w:rsidR="00E67012">
        <w:rPr>
          <w:rFonts w:ascii="Cambria" w:hAnsi="Cambria"/>
          <w:sz w:val="20"/>
          <w:szCs w:val="20"/>
          <w:lang w:val="es-ES"/>
        </w:rPr>
        <w:t xml:space="preserve">su </w:t>
      </w:r>
      <w:r w:rsidR="00FF368D" w:rsidRPr="007A0D4C">
        <w:rPr>
          <w:rFonts w:ascii="Cambria" w:hAnsi="Cambria"/>
          <w:sz w:val="20"/>
          <w:szCs w:val="20"/>
          <w:lang w:val="es-ES"/>
        </w:rPr>
        <w:t>ahijado</w:t>
      </w:r>
      <w:r w:rsidR="00070737" w:rsidRPr="007A0D4C">
        <w:rPr>
          <w:rFonts w:ascii="Cambria" w:hAnsi="Cambria"/>
          <w:sz w:val="20"/>
          <w:szCs w:val="20"/>
          <w:lang w:val="es-ES"/>
        </w:rPr>
        <w:t>.</w:t>
      </w:r>
    </w:p>
    <w:p w14:paraId="3256A14D" w14:textId="58EE2429" w:rsidR="005B4E4A" w:rsidRPr="007A0D4C" w:rsidRDefault="00D00C50"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ES"/>
        </w:rPr>
        <w:lastRenderedPageBreak/>
        <w:t xml:space="preserve">La parte peticionaria señala que el 26 de abril de 1991, cuando </w:t>
      </w:r>
      <w:r w:rsidR="00FC091B" w:rsidRPr="007A0D4C">
        <w:rPr>
          <w:rFonts w:ascii="Cambria" w:hAnsi="Cambria"/>
          <w:sz w:val="20"/>
          <w:szCs w:val="20"/>
          <w:lang w:val="es-ES"/>
        </w:rPr>
        <w:t xml:space="preserve">Santiago Leguizamón se dirigía </w:t>
      </w:r>
      <w:r w:rsidRPr="007A0D4C">
        <w:rPr>
          <w:rFonts w:ascii="Cambria" w:hAnsi="Cambria"/>
          <w:sz w:val="20"/>
          <w:szCs w:val="20"/>
          <w:lang w:val="es-ES"/>
        </w:rPr>
        <w:t>a</w:t>
      </w:r>
      <w:r w:rsidR="00FC091B" w:rsidRPr="007A0D4C">
        <w:rPr>
          <w:rFonts w:ascii="Cambria" w:hAnsi="Cambria"/>
          <w:sz w:val="20"/>
          <w:szCs w:val="20"/>
          <w:lang w:val="es-ES"/>
        </w:rPr>
        <w:t xml:space="preserve"> un </w:t>
      </w:r>
      <w:r w:rsidR="007D7A1F" w:rsidRPr="007A0D4C">
        <w:rPr>
          <w:rFonts w:ascii="Cambria" w:hAnsi="Cambria"/>
          <w:sz w:val="20"/>
          <w:szCs w:val="20"/>
          <w:lang w:val="es-ES"/>
        </w:rPr>
        <w:t>restaurante</w:t>
      </w:r>
      <w:r w:rsidR="00FC091B" w:rsidRPr="007A0D4C">
        <w:rPr>
          <w:rFonts w:ascii="Cambria" w:hAnsi="Cambria"/>
          <w:sz w:val="20"/>
          <w:szCs w:val="20"/>
          <w:lang w:val="es-ES"/>
        </w:rPr>
        <w:t xml:space="preserve"> para</w:t>
      </w:r>
      <w:r w:rsidRPr="007A0D4C">
        <w:rPr>
          <w:rFonts w:ascii="Cambria" w:hAnsi="Cambria"/>
          <w:sz w:val="20"/>
          <w:szCs w:val="20"/>
          <w:lang w:val="es-ES"/>
        </w:rPr>
        <w:t xml:space="preserve"> </w:t>
      </w:r>
      <w:r w:rsidR="00FC091B" w:rsidRPr="007A0D4C">
        <w:rPr>
          <w:rFonts w:ascii="Cambria" w:hAnsi="Cambria"/>
          <w:sz w:val="20"/>
          <w:szCs w:val="20"/>
          <w:lang w:val="es-ES"/>
        </w:rPr>
        <w:t>la</w:t>
      </w:r>
      <w:r w:rsidR="007D7A1F" w:rsidRPr="007A0D4C">
        <w:rPr>
          <w:rFonts w:ascii="Cambria" w:hAnsi="Cambria"/>
          <w:sz w:val="20"/>
          <w:szCs w:val="20"/>
          <w:lang w:val="es-ES"/>
        </w:rPr>
        <w:t xml:space="preserve"> </w:t>
      </w:r>
      <w:r w:rsidR="00FC091B" w:rsidRPr="007A0D4C">
        <w:rPr>
          <w:rFonts w:ascii="Cambria" w:hAnsi="Cambria"/>
          <w:sz w:val="20"/>
          <w:szCs w:val="20"/>
          <w:lang w:val="es-ES"/>
        </w:rPr>
        <w:t>celebración d</w:t>
      </w:r>
      <w:r w:rsidRPr="007A0D4C">
        <w:rPr>
          <w:rFonts w:ascii="Cambria" w:hAnsi="Cambria"/>
          <w:sz w:val="20"/>
          <w:szCs w:val="20"/>
          <w:lang w:val="es-ES"/>
        </w:rPr>
        <w:t>el Día del Periodist</w:t>
      </w:r>
      <w:r w:rsidR="007D7A1F" w:rsidRPr="007A0D4C">
        <w:rPr>
          <w:rFonts w:ascii="Cambria" w:hAnsi="Cambria"/>
          <w:sz w:val="20"/>
          <w:szCs w:val="20"/>
          <w:lang w:val="es-ES"/>
        </w:rPr>
        <w:t>a</w:t>
      </w:r>
      <w:r w:rsidR="00FC091B" w:rsidRPr="007A0D4C">
        <w:rPr>
          <w:rFonts w:ascii="Cambria" w:hAnsi="Cambria"/>
          <w:sz w:val="20"/>
          <w:szCs w:val="20"/>
          <w:lang w:val="es-ES"/>
        </w:rPr>
        <w:t xml:space="preserve">, </w:t>
      </w:r>
      <w:r w:rsidRPr="007A0D4C">
        <w:rPr>
          <w:rFonts w:ascii="Cambria" w:hAnsi="Cambria"/>
          <w:sz w:val="20"/>
          <w:szCs w:val="20"/>
          <w:lang w:val="es-ES"/>
        </w:rPr>
        <w:t>junto a su colaborador Baldomero Cabral, fue</w:t>
      </w:r>
      <w:r w:rsidR="00FC091B" w:rsidRPr="007A0D4C">
        <w:rPr>
          <w:rFonts w:ascii="Cambria" w:hAnsi="Cambria"/>
          <w:sz w:val="20"/>
          <w:szCs w:val="20"/>
          <w:lang w:val="es-ES"/>
        </w:rPr>
        <w:t>ron</w:t>
      </w:r>
      <w:r w:rsidRPr="007A0D4C">
        <w:rPr>
          <w:rFonts w:ascii="Cambria" w:hAnsi="Cambria"/>
          <w:sz w:val="20"/>
          <w:szCs w:val="20"/>
          <w:lang w:val="es-ES"/>
        </w:rPr>
        <w:t xml:space="preserve"> interceptado</w:t>
      </w:r>
      <w:r w:rsidR="00FC091B" w:rsidRPr="007A0D4C">
        <w:rPr>
          <w:rFonts w:ascii="Cambria" w:hAnsi="Cambria"/>
          <w:sz w:val="20"/>
          <w:szCs w:val="20"/>
          <w:lang w:val="es-ES"/>
        </w:rPr>
        <w:t>s</w:t>
      </w:r>
      <w:r w:rsidRPr="007A0D4C">
        <w:rPr>
          <w:rFonts w:ascii="Cambria" w:hAnsi="Cambria"/>
          <w:sz w:val="20"/>
          <w:szCs w:val="20"/>
          <w:lang w:val="es-ES"/>
        </w:rPr>
        <w:t xml:space="preserve"> por un vehículo Volkswagen Gol de color negro desde donde tres individuos le</w:t>
      </w:r>
      <w:r w:rsidR="00FC091B" w:rsidRPr="007A0D4C">
        <w:rPr>
          <w:rFonts w:ascii="Cambria" w:hAnsi="Cambria"/>
          <w:sz w:val="20"/>
          <w:szCs w:val="20"/>
          <w:lang w:val="es-ES"/>
        </w:rPr>
        <w:t>s</w:t>
      </w:r>
      <w:r w:rsidRPr="007A0D4C">
        <w:rPr>
          <w:rFonts w:ascii="Cambria" w:hAnsi="Cambria"/>
          <w:sz w:val="20"/>
          <w:szCs w:val="20"/>
          <w:lang w:val="es-ES"/>
        </w:rPr>
        <w:t xml:space="preserve"> dispararon con armas de distinto calibre</w:t>
      </w:r>
      <w:r w:rsidR="007D7A1F" w:rsidRPr="007A0D4C">
        <w:rPr>
          <w:rFonts w:ascii="Cambria" w:hAnsi="Cambria"/>
          <w:sz w:val="20"/>
          <w:szCs w:val="20"/>
          <w:lang w:val="es-ES"/>
        </w:rPr>
        <w:t xml:space="preserve">, </w:t>
      </w:r>
      <w:r w:rsidRPr="007A0D4C">
        <w:rPr>
          <w:rFonts w:ascii="Cambria" w:hAnsi="Cambria"/>
          <w:sz w:val="20"/>
          <w:szCs w:val="20"/>
          <w:lang w:val="es-ES"/>
        </w:rPr>
        <w:t>causa</w:t>
      </w:r>
      <w:r w:rsidR="007D7A1F" w:rsidRPr="007A0D4C">
        <w:rPr>
          <w:rFonts w:ascii="Cambria" w:hAnsi="Cambria"/>
          <w:sz w:val="20"/>
          <w:szCs w:val="20"/>
          <w:lang w:val="es-ES"/>
        </w:rPr>
        <w:t>ndo</w:t>
      </w:r>
      <w:r w:rsidRPr="007A0D4C">
        <w:rPr>
          <w:rFonts w:ascii="Cambria" w:hAnsi="Cambria"/>
          <w:sz w:val="20"/>
          <w:szCs w:val="20"/>
          <w:lang w:val="es-ES"/>
        </w:rPr>
        <w:t xml:space="preserve"> la muerte</w:t>
      </w:r>
      <w:r w:rsidR="007D7A1F" w:rsidRPr="007A0D4C">
        <w:rPr>
          <w:rFonts w:ascii="Cambria" w:hAnsi="Cambria"/>
          <w:sz w:val="20"/>
          <w:szCs w:val="20"/>
          <w:lang w:val="es-ES"/>
        </w:rPr>
        <w:t xml:space="preserve"> del periodista.</w:t>
      </w:r>
      <w:r w:rsidRPr="007A0D4C">
        <w:rPr>
          <w:rFonts w:ascii="Cambria" w:hAnsi="Cambria"/>
          <w:sz w:val="20"/>
          <w:szCs w:val="20"/>
          <w:lang w:val="es-ES"/>
        </w:rPr>
        <w:t xml:space="preserve"> Según la petición, el periodista sufrió 21 heridas de bala. </w:t>
      </w:r>
      <w:r w:rsidR="007D7A1F" w:rsidRPr="007A0D4C">
        <w:rPr>
          <w:rFonts w:ascii="Cambria" w:hAnsi="Cambria"/>
          <w:sz w:val="20"/>
          <w:szCs w:val="20"/>
          <w:lang w:val="es-ES"/>
        </w:rPr>
        <w:t>L</w:t>
      </w:r>
      <w:r w:rsidRPr="007A0D4C">
        <w:rPr>
          <w:rFonts w:ascii="Cambria" w:hAnsi="Cambria"/>
          <w:sz w:val="20"/>
          <w:szCs w:val="20"/>
          <w:lang w:val="es-ES"/>
        </w:rPr>
        <w:t>a parte peticionaria</w:t>
      </w:r>
      <w:r w:rsidR="007D7A1F" w:rsidRPr="007A0D4C">
        <w:rPr>
          <w:rFonts w:ascii="Cambria" w:hAnsi="Cambria"/>
          <w:sz w:val="20"/>
          <w:szCs w:val="20"/>
          <w:lang w:val="es-ES"/>
        </w:rPr>
        <w:t xml:space="preserve"> destaca que</w:t>
      </w:r>
      <w:r w:rsidRPr="007A0D4C">
        <w:rPr>
          <w:rFonts w:ascii="Cambria" w:hAnsi="Cambria"/>
          <w:sz w:val="20"/>
          <w:szCs w:val="20"/>
          <w:lang w:val="es-ES"/>
        </w:rPr>
        <w:t xml:space="preserve"> este sería el primer asesinato de un periodista por razones vinculadas con la profesión en Paraguay</w:t>
      </w:r>
      <w:r w:rsidR="00E67012">
        <w:rPr>
          <w:rFonts w:ascii="Cambria" w:hAnsi="Cambria"/>
          <w:sz w:val="20"/>
          <w:szCs w:val="20"/>
          <w:lang w:val="es-ES"/>
        </w:rPr>
        <w:t>,</w:t>
      </w:r>
      <w:r w:rsidRPr="007A0D4C">
        <w:rPr>
          <w:rFonts w:ascii="Cambria" w:hAnsi="Cambria"/>
          <w:sz w:val="20"/>
          <w:szCs w:val="20"/>
          <w:lang w:val="es-ES"/>
        </w:rPr>
        <w:t xml:space="preserve"> </w:t>
      </w:r>
      <w:r w:rsidR="00E67012">
        <w:rPr>
          <w:rFonts w:ascii="Cambria" w:hAnsi="Cambria"/>
          <w:sz w:val="20"/>
          <w:szCs w:val="20"/>
          <w:lang w:val="es-ES"/>
        </w:rPr>
        <w:t xml:space="preserve">en la época </w:t>
      </w:r>
      <w:r w:rsidRPr="007A0D4C">
        <w:rPr>
          <w:rFonts w:ascii="Cambria" w:hAnsi="Cambria"/>
          <w:sz w:val="20"/>
          <w:szCs w:val="20"/>
          <w:lang w:val="es-ES"/>
        </w:rPr>
        <w:t xml:space="preserve">postdictadura. </w:t>
      </w:r>
      <w:r w:rsidR="00E5378E" w:rsidRPr="007A0D4C">
        <w:rPr>
          <w:rFonts w:ascii="Cambria" w:hAnsi="Cambria"/>
          <w:sz w:val="20"/>
          <w:szCs w:val="20"/>
          <w:lang w:val="es-ES"/>
        </w:rPr>
        <w:t xml:space="preserve">Indica además que, si bien se inició una </w:t>
      </w:r>
      <w:r w:rsidR="00CB01BC" w:rsidRPr="007A0D4C">
        <w:rPr>
          <w:rFonts w:ascii="Cambria" w:hAnsi="Cambria"/>
          <w:sz w:val="20"/>
          <w:szCs w:val="20"/>
          <w:lang w:val="es-ES"/>
        </w:rPr>
        <w:t xml:space="preserve">investigación de oficio el mismo día del asesinato, esta </w:t>
      </w:r>
      <w:r w:rsidR="00374CEA" w:rsidRPr="007A0D4C">
        <w:rPr>
          <w:rFonts w:ascii="Cambria" w:hAnsi="Cambria"/>
          <w:sz w:val="20"/>
          <w:szCs w:val="20"/>
          <w:lang w:val="es-ES"/>
        </w:rPr>
        <w:t>fue ineficiente y poco diligente, y que hasta la fecha el caso se encuentra en impunidad.</w:t>
      </w:r>
    </w:p>
    <w:p w14:paraId="064CBF05" w14:textId="77777777" w:rsidR="009F4FEC" w:rsidRPr="007A0D4C" w:rsidRDefault="009F4FEC"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3F0CA817" w14:textId="5D0B7867" w:rsidR="00BD6A01" w:rsidRPr="007A0D4C" w:rsidRDefault="00A7797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La parte peticionaria a</w:t>
      </w:r>
      <w:r w:rsidR="00145ADE" w:rsidRPr="007A0D4C">
        <w:rPr>
          <w:rFonts w:ascii="Cambria" w:hAnsi="Cambria"/>
          <w:sz w:val="20"/>
          <w:szCs w:val="20"/>
          <w:lang w:val="es-VE"/>
        </w:rPr>
        <w:t xml:space="preserve">lega que el periodista </w:t>
      </w:r>
      <w:r w:rsidR="00FC091B" w:rsidRPr="007A0D4C">
        <w:rPr>
          <w:rFonts w:ascii="Cambria" w:hAnsi="Cambria"/>
          <w:sz w:val="20"/>
          <w:szCs w:val="20"/>
          <w:lang w:val="es-VE"/>
        </w:rPr>
        <w:t>recibi</w:t>
      </w:r>
      <w:r w:rsidR="00E67012">
        <w:rPr>
          <w:rFonts w:ascii="Cambria" w:hAnsi="Cambria"/>
          <w:sz w:val="20"/>
          <w:szCs w:val="20"/>
          <w:lang w:val="es-VE"/>
        </w:rPr>
        <w:t>ó</w:t>
      </w:r>
      <w:r w:rsidR="00FC091B" w:rsidRPr="007A0D4C">
        <w:rPr>
          <w:rFonts w:ascii="Cambria" w:hAnsi="Cambria"/>
          <w:sz w:val="20"/>
          <w:szCs w:val="20"/>
          <w:lang w:val="es-PE"/>
        </w:rPr>
        <w:t xml:space="preserve"> </w:t>
      </w:r>
      <w:r w:rsidR="00145ADE" w:rsidRPr="007A0D4C">
        <w:rPr>
          <w:rFonts w:ascii="Cambria" w:hAnsi="Cambria"/>
          <w:sz w:val="20"/>
          <w:szCs w:val="20"/>
          <w:lang w:val="es-PE"/>
        </w:rPr>
        <w:t xml:space="preserve">amenazas y sufrió actos de hostigamiento </w:t>
      </w:r>
      <w:r w:rsidR="001E7854" w:rsidRPr="007A0D4C">
        <w:rPr>
          <w:rFonts w:ascii="Cambria" w:hAnsi="Cambria"/>
          <w:sz w:val="20"/>
          <w:szCs w:val="20"/>
          <w:lang w:val="es-PE"/>
        </w:rPr>
        <w:t xml:space="preserve">por su labor periodística con anterioridad a su asesinato, </w:t>
      </w:r>
      <w:r w:rsidR="00105490" w:rsidRPr="007A0D4C">
        <w:rPr>
          <w:rFonts w:ascii="Cambria" w:hAnsi="Cambria"/>
          <w:sz w:val="20"/>
          <w:szCs w:val="20"/>
          <w:lang w:val="es-PE"/>
        </w:rPr>
        <w:t xml:space="preserve">y que “en varias oportunidades […] había solicitado custodia </w:t>
      </w:r>
      <w:r w:rsidR="00DD5B0E" w:rsidRPr="007A0D4C">
        <w:rPr>
          <w:rFonts w:ascii="Cambria" w:hAnsi="Cambria"/>
          <w:sz w:val="20"/>
          <w:szCs w:val="20"/>
          <w:lang w:val="es-PE"/>
        </w:rPr>
        <w:t>policial</w:t>
      </w:r>
      <w:r w:rsidR="00105490" w:rsidRPr="007A0D4C">
        <w:rPr>
          <w:rFonts w:ascii="Cambria" w:hAnsi="Cambria"/>
          <w:sz w:val="20"/>
          <w:szCs w:val="20"/>
          <w:lang w:val="es-PE"/>
        </w:rPr>
        <w:t xml:space="preserve">, lo que se concretó en algunas de ellas, excepto la solicitada </w:t>
      </w:r>
      <w:r w:rsidR="00986B53" w:rsidRPr="007A0D4C">
        <w:rPr>
          <w:rFonts w:ascii="Cambria" w:hAnsi="Cambria"/>
          <w:sz w:val="20"/>
          <w:szCs w:val="20"/>
          <w:lang w:val="es-PE"/>
        </w:rPr>
        <w:t xml:space="preserve">en los últimos meses antes de su asesinato”. </w:t>
      </w:r>
      <w:r w:rsidR="002927F1" w:rsidRPr="007A0D4C">
        <w:rPr>
          <w:rFonts w:ascii="Cambria" w:hAnsi="Cambria"/>
          <w:sz w:val="20"/>
          <w:szCs w:val="20"/>
          <w:lang w:val="es-ES"/>
        </w:rPr>
        <w:t>Asimismo, señala que el periodista “le decía</w:t>
      </w:r>
      <w:r w:rsidR="0045733A" w:rsidRPr="007A0D4C">
        <w:rPr>
          <w:rFonts w:ascii="Cambria" w:hAnsi="Cambria"/>
          <w:sz w:val="20"/>
          <w:szCs w:val="20"/>
          <w:lang w:val="es-ES"/>
        </w:rPr>
        <w:t xml:space="preserve"> [a su equipo de trabajo]</w:t>
      </w:r>
      <w:r w:rsidR="002927F1" w:rsidRPr="007A0D4C">
        <w:rPr>
          <w:rFonts w:ascii="Cambria" w:hAnsi="Cambria"/>
          <w:sz w:val="20"/>
          <w:szCs w:val="20"/>
          <w:lang w:val="es-ES"/>
        </w:rPr>
        <w:t xml:space="preserve"> que debía cuidarse” y que debían “estar en permanente vigilancia”;</w:t>
      </w:r>
      <w:r w:rsidR="00711C27" w:rsidRPr="007A0D4C">
        <w:rPr>
          <w:rFonts w:ascii="Cambria" w:hAnsi="Cambria"/>
          <w:sz w:val="20"/>
          <w:szCs w:val="20"/>
          <w:lang w:val="es-ES"/>
        </w:rPr>
        <w:t xml:space="preserve"> </w:t>
      </w:r>
      <w:r w:rsidR="002927F1" w:rsidRPr="007A0D4C">
        <w:rPr>
          <w:rFonts w:ascii="Cambria" w:hAnsi="Cambria"/>
          <w:sz w:val="20"/>
          <w:szCs w:val="20"/>
          <w:lang w:val="es-ES"/>
        </w:rPr>
        <w:t>ante las amenazas afirmaba que “pref[ería] la muerte física a la muerte ética”.</w:t>
      </w:r>
      <w:r w:rsidR="004846A4" w:rsidRPr="007A0D4C">
        <w:rPr>
          <w:rFonts w:ascii="Cambria" w:hAnsi="Cambria"/>
          <w:sz w:val="20"/>
          <w:szCs w:val="20"/>
          <w:lang w:val="es-ES"/>
        </w:rPr>
        <w:t xml:space="preserve"> </w:t>
      </w:r>
      <w:r w:rsidR="00711C27" w:rsidRPr="007A0D4C">
        <w:rPr>
          <w:rFonts w:ascii="Cambria" w:hAnsi="Cambria"/>
          <w:sz w:val="20"/>
          <w:szCs w:val="20"/>
          <w:lang w:val="es-PE"/>
        </w:rPr>
        <w:t>La parte peticionaria d</w:t>
      </w:r>
      <w:r w:rsidR="00986B53" w:rsidRPr="007A0D4C">
        <w:rPr>
          <w:rFonts w:ascii="Cambria" w:hAnsi="Cambria"/>
          <w:sz w:val="20"/>
          <w:szCs w:val="20"/>
          <w:lang w:val="es-PE"/>
        </w:rPr>
        <w:t>estaca que</w:t>
      </w:r>
      <w:r w:rsidR="00D01CAF" w:rsidRPr="007A0D4C">
        <w:rPr>
          <w:rFonts w:ascii="Cambria" w:hAnsi="Cambria"/>
          <w:sz w:val="20"/>
          <w:szCs w:val="20"/>
          <w:lang w:val="es-PE"/>
        </w:rPr>
        <w:t>,</w:t>
      </w:r>
      <w:r w:rsidR="00986B53" w:rsidRPr="007A0D4C">
        <w:rPr>
          <w:rFonts w:ascii="Cambria" w:hAnsi="Cambria"/>
          <w:sz w:val="20"/>
          <w:szCs w:val="20"/>
          <w:lang w:val="es-PE"/>
        </w:rPr>
        <w:t xml:space="preserve"> </w:t>
      </w:r>
      <w:r w:rsidR="001213AF" w:rsidRPr="007A0D4C">
        <w:rPr>
          <w:rFonts w:ascii="Cambria" w:hAnsi="Cambria"/>
          <w:sz w:val="20"/>
          <w:szCs w:val="20"/>
          <w:lang w:val="es-PE"/>
        </w:rPr>
        <w:t>un año antes de</w:t>
      </w:r>
      <w:r w:rsidR="00D22F41" w:rsidRPr="007A0D4C">
        <w:rPr>
          <w:rFonts w:ascii="Cambria" w:hAnsi="Cambria"/>
          <w:sz w:val="20"/>
          <w:szCs w:val="20"/>
          <w:lang w:val="es-PE"/>
        </w:rPr>
        <w:t>l</w:t>
      </w:r>
      <w:r w:rsidR="001213AF" w:rsidRPr="007A0D4C">
        <w:rPr>
          <w:rFonts w:ascii="Cambria" w:hAnsi="Cambria"/>
          <w:sz w:val="20"/>
          <w:szCs w:val="20"/>
          <w:lang w:val="es-PE"/>
        </w:rPr>
        <w:t xml:space="preserve"> asesinato</w:t>
      </w:r>
      <w:r w:rsidR="00D22F41" w:rsidRPr="007A0D4C">
        <w:rPr>
          <w:rFonts w:ascii="Cambria" w:hAnsi="Cambria"/>
          <w:sz w:val="20"/>
          <w:szCs w:val="20"/>
          <w:lang w:val="es-PE"/>
        </w:rPr>
        <w:t xml:space="preserve"> del periodista</w:t>
      </w:r>
      <w:r w:rsidR="001213AF" w:rsidRPr="007A0D4C">
        <w:rPr>
          <w:rFonts w:ascii="Cambria" w:hAnsi="Cambria"/>
          <w:sz w:val="20"/>
          <w:szCs w:val="20"/>
          <w:lang w:val="es-PE"/>
        </w:rPr>
        <w:t>,</w:t>
      </w:r>
      <w:r w:rsidR="00D22F41" w:rsidRPr="007A0D4C">
        <w:rPr>
          <w:rFonts w:ascii="Cambria" w:hAnsi="Cambria"/>
          <w:sz w:val="20"/>
          <w:szCs w:val="20"/>
          <w:lang w:val="es-PE"/>
        </w:rPr>
        <w:t xml:space="preserve"> y</w:t>
      </w:r>
      <w:r w:rsidR="001213AF" w:rsidRPr="007A0D4C">
        <w:rPr>
          <w:rFonts w:ascii="Cambria" w:hAnsi="Cambria"/>
          <w:sz w:val="20"/>
          <w:szCs w:val="20"/>
          <w:lang w:val="es-PE"/>
        </w:rPr>
        <w:t xml:space="preserve"> </w:t>
      </w:r>
      <w:r w:rsidR="00986B53" w:rsidRPr="007A0D4C">
        <w:rPr>
          <w:rFonts w:ascii="Cambria" w:hAnsi="Cambria"/>
          <w:sz w:val="20"/>
          <w:szCs w:val="20"/>
          <w:lang w:val="es-PE"/>
        </w:rPr>
        <w:t xml:space="preserve">en virtud de dichas amenazas, </w:t>
      </w:r>
      <w:r w:rsidR="00D22F41" w:rsidRPr="007A0D4C">
        <w:rPr>
          <w:rFonts w:ascii="Cambria" w:hAnsi="Cambria"/>
          <w:sz w:val="20"/>
          <w:szCs w:val="20"/>
          <w:lang w:val="es-PE"/>
        </w:rPr>
        <w:t xml:space="preserve">aquel </w:t>
      </w:r>
      <w:r w:rsidR="00D166C2" w:rsidRPr="007A0D4C">
        <w:rPr>
          <w:rFonts w:ascii="Cambria" w:hAnsi="Cambria"/>
          <w:sz w:val="20"/>
          <w:szCs w:val="20"/>
          <w:lang w:val="es-PE"/>
        </w:rPr>
        <w:t xml:space="preserve">contrató a una persona que lo acompañaba a todos lados con un arma </w:t>
      </w:r>
      <w:r w:rsidR="00951FE6" w:rsidRPr="007A0D4C">
        <w:rPr>
          <w:rFonts w:ascii="Cambria" w:hAnsi="Cambria"/>
          <w:sz w:val="20"/>
          <w:szCs w:val="20"/>
          <w:lang w:val="es-PE"/>
        </w:rPr>
        <w:t>de fuego en el vehículo</w:t>
      </w:r>
      <w:r w:rsidR="00FC091B" w:rsidRPr="007A0D4C">
        <w:rPr>
          <w:rFonts w:ascii="Cambria" w:hAnsi="Cambria"/>
          <w:sz w:val="20"/>
          <w:szCs w:val="20"/>
          <w:lang w:val="es-PE"/>
        </w:rPr>
        <w:t xml:space="preserve">; asimismo </w:t>
      </w:r>
      <w:r w:rsidR="00951FE6" w:rsidRPr="007A0D4C">
        <w:rPr>
          <w:rFonts w:ascii="Cambria" w:hAnsi="Cambria"/>
          <w:sz w:val="20"/>
          <w:szCs w:val="20"/>
          <w:lang w:val="es-PE"/>
        </w:rPr>
        <w:t>adoptó otras medidas de seguridad</w:t>
      </w:r>
      <w:r w:rsidR="00B9417B" w:rsidRPr="007A0D4C">
        <w:rPr>
          <w:rFonts w:ascii="Cambria" w:hAnsi="Cambria"/>
          <w:sz w:val="20"/>
          <w:szCs w:val="20"/>
          <w:lang w:val="es-PE"/>
        </w:rPr>
        <w:t xml:space="preserve">. </w:t>
      </w:r>
      <w:r w:rsidR="00FC091B" w:rsidRPr="007A0D4C">
        <w:rPr>
          <w:rFonts w:ascii="Cambria" w:hAnsi="Cambria"/>
          <w:sz w:val="20"/>
          <w:szCs w:val="20"/>
          <w:lang w:val="es-PE"/>
        </w:rPr>
        <w:t>Su</w:t>
      </w:r>
      <w:r w:rsidR="00DD5B0E" w:rsidRPr="007A0D4C">
        <w:rPr>
          <w:rFonts w:ascii="Cambria" w:hAnsi="Cambria"/>
          <w:sz w:val="20"/>
          <w:szCs w:val="20"/>
          <w:lang w:val="es-ES"/>
        </w:rPr>
        <w:t xml:space="preserve"> esposa y </w:t>
      </w:r>
      <w:r w:rsidR="002D24A9" w:rsidRPr="007A0D4C">
        <w:rPr>
          <w:rFonts w:ascii="Cambria" w:hAnsi="Cambria"/>
          <w:sz w:val="20"/>
          <w:szCs w:val="20"/>
          <w:lang w:val="es-ES"/>
        </w:rPr>
        <w:t>sus cuatro</w:t>
      </w:r>
      <w:r w:rsidR="00DD5B0E" w:rsidRPr="007A0D4C">
        <w:rPr>
          <w:rFonts w:ascii="Cambria" w:hAnsi="Cambria"/>
          <w:sz w:val="20"/>
          <w:szCs w:val="20"/>
          <w:lang w:val="es-ES"/>
        </w:rPr>
        <w:t xml:space="preserve"> hijos residían en la ciudad capital de Asunción debido a la inseguridad de la localidad fronteriza de Pedro Juan Caballero</w:t>
      </w:r>
      <w:r w:rsidR="00FB7AEF" w:rsidRPr="007A0D4C">
        <w:rPr>
          <w:rFonts w:ascii="Cambria" w:hAnsi="Cambria"/>
          <w:sz w:val="20"/>
          <w:szCs w:val="20"/>
          <w:lang w:val="es-ES"/>
        </w:rPr>
        <w:t>.</w:t>
      </w:r>
      <w:r w:rsidR="00DD5B0E" w:rsidRPr="007A0D4C">
        <w:rPr>
          <w:rFonts w:ascii="Cambria" w:hAnsi="Cambria"/>
          <w:sz w:val="20"/>
          <w:szCs w:val="20"/>
          <w:lang w:val="es-ES"/>
        </w:rPr>
        <w:t xml:space="preserve"> </w:t>
      </w:r>
      <w:r w:rsidR="00B72275" w:rsidRPr="007A0D4C">
        <w:rPr>
          <w:rFonts w:ascii="Cambria" w:hAnsi="Cambria"/>
          <w:sz w:val="20"/>
          <w:szCs w:val="20"/>
          <w:lang w:val="es-ES"/>
        </w:rPr>
        <w:t>De igual manera, los peticionarios alegan que la esposa y los hijos de</w:t>
      </w:r>
      <w:r w:rsidR="00122FCD" w:rsidRPr="007A0D4C">
        <w:rPr>
          <w:rFonts w:ascii="Cambria" w:hAnsi="Cambria"/>
          <w:sz w:val="20"/>
          <w:szCs w:val="20"/>
          <w:lang w:val="es-ES"/>
        </w:rPr>
        <w:t xml:space="preserve">l periodista sufrieron </w:t>
      </w:r>
      <w:r w:rsidR="00764135" w:rsidRPr="007A0D4C">
        <w:rPr>
          <w:rFonts w:ascii="Cambria" w:hAnsi="Cambria"/>
          <w:sz w:val="20"/>
          <w:szCs w:val="20"/>
          <w:lang w:val="es-ES"/>
        </w:rPr>
        <w:t xml:space="preserve">hostigamientos y </w:t>
      </w:r>
      <w:r w:rsidR="00FF3731" w:rsidRPr="007A0D4C">
        <w:rPr>
          <w:rFonts w:ascii="Cambria" w:hAnsi="Cambria"/>
          <w:sz w:val="20"/>
          <w:szCs w:val="20"/>
          <w:lang w:val="es-ES"/>
        </w:rPr>
        <w:t>amenazas</w:t>
      </w:r>
      <w:r w:rsidR="00443DA6" w:rsidRPr="007A0D4C">
        <w:rPr>
          <w:rFonts w:ascii="Cambria" w:hAnsi="Cambria"/>
          <w:sz w:val="20"/>
          <w:szCs w:val="20"/>
          <w:lang w:val="es-ES"/>
        </w:rPr>
        <w:t>, incluso de muerte,</w:t>
      </w:r>
      <w:r w:rsidR="00FF3731" w:rsidRPr="007A0D4C">
        <w:rPr>
          <w:rFonts w:ascii="Cambria" w:hAnsi="Cambria"/>
          <w:sz w:val="20"/>
          <w:szCs w:val="20"/>
          <w:lang w:val="es-ES"/>
        </w:rPr>
        <w:t xml:space="preserve"> </w:t>
      </w:r>
      <w:r w:rsidR="00443DA6" w:rsidRPr="007A0D4C">
        <w:rPr>
          <w:rFonts w:ascii="Cambria" w:hAnsi="Cambria"/>
          <w:sz w:val="20"/>
          <w:szCs w:val="20"/>
          <w:lang w:val="es-ES"/>
        </w:rPr>
        <w:t>con posterioridad a</w:t>
      </w:r>
      <w:r w:rsidR="00E67012">
        <w:rPr>
          <w:rFonts w:ascii="Cambria" w:hAnsi="Cambria"/>
          <w:sz w:val="20"/>
          <w:szCs w:val="20"/>
          <w:lang w:val="es-ES"/>
        </w:rPr>
        <w:t xml:space="preserve"> su fallecimiento</w:t>
      </w:r>
      <w:r w:rsidR="005F672E" w:rsidRPr="007A0D4C">
        <w:rPr>
          <w:rFonts w:ascii="Cambria" w:hAnsi="Cambria"/>
          <w:sz w:val="20"/>
          <w:szCs w:val="20"/>
          <w:lang w:val="es-ES"/>
        </w:rPr>
        <w:t>,</w:t>
      </w:r>
      <w:r w:rsidR="005951D6" w:rsidRPr="007A0D4C">
        <w:rPr>
          <w:rFonts w:ascii="Cambria" w:hAnsi="Cambria"/>
          <w:sz w:val="20"/>
          <w:szCs w:val="20"/>
          <w:lang w:val="es-ES"/>
        </w:rPr>
        <w:t xml:space="preserve"> y que sus vidas </w:t>
      </w:r>
      <w:r w:rsidR="00DD72B9" w:rsidRPr="007A0D4C">
        <w:rPr>
          <w:rFonts w:ascii="Cambria" w:hAnsi="Cambria"/>
          <w:sz w:val="20"/>
          <w:szCs w:val="20"/>
          <w:lang w:val="es-ES"/>
        </w:rPr>
        <w:t xml:space="preserve">se vieron afectadas </w:t>
      </w:r>
      <w:r w:rsidR="00764135" w:rsidRPr="007A0D4C">
        <w:rPr>
          <w:rFonts w:ascii="Cambria" w:hAnsi="Cambria"/>
          <w:sz w:val="20"/>
          <w:szCs w:val="20"/>
          <w:lang w:val="es-ES"/>
        </w:rPr>
        <w:t>tanto en el aspecto moral como material.</w:t>
      </w:r>
    </w:p>
    <w:p w14:paraId="22E3745F" w14:textId="77777777" w:rsidR="00D73839" w:rsidRPr="007A0D4C" w:rsidRDefault="00D73839"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494B860C" w14:textId="2647AAEF" w:rsidR="005F0B97" w:rsidRPr="007A0D4C" w:rsidRDefault="00FC091B"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trike/>
          <w:sz w:val="20"/>
          <w:szCs w:val="20"/>
          <w:lang w:val="es-VE"/>
        </w:rPr>
      </w:pPr>
      <w:r w:rsidRPr="007A0D4C">
        <w:rPr>
          <w:rFonts w:ascii="Cambria" w:hAnsi="Cambria"/>
          <w:sz w:val="20"/>
          <w:szCs w:val="20"/>
          <w:lang w:val="es-VE"/>
        </w:rPr>
        <w:t xml:space="preserve">De acuerdo </w:t>
      </w:r>
      <w:r w:rsidR="007D7A1F" w:rsidRPr="007A0D4C">
        <w:rPr>
          <w:rFonts w:ascii="Cambria" w:hAnsi="Cambria"/>
          <w:sz w:val="20"/>
          <w:szCs w:val="20"/>
          <w:lang w:val="es-VE"/>
        </w:rPr>
        <w:t>con</w:t>
      </w:r>
      <w:r w:rsidRPr="007A0D4C">
        <w:rPr>
          <w:rFonts w:ascii="Cambria" w:hAnsi="Cambria"/>
          <w:sz w:val="20"/>
          <w:szCs w:val="20"/>
          <w:lang w:val="es-VE"/>
        </w:rPr>
        <w:t xml:space="preserve"> los peticionarios</w:t>
      </w:r>
      <w:r w:rsidR="002D0576" w:rsidRPr="007A0D4C">
        <w:rPr>
          <w:rFonts w:ascii="Cambria" w:hAnsi="Cambria"/>
          <w:sz w:val="20"/>
          <w:szCs w:val="20"/>
          <w:lang w:val="es-PE"/>
        </w:rPr>
        <w:t>,</w:t>
      </w:r>
      <w:r w:rsidR="009D0234" w:rsidRPr="007A0D4C">
        <w:rPr>
          <w:rFonts w:ascii="Cambria" w:hAnsi="Cambria"/>
          <w:sz w:val="20"/>
          <w:szCs w:val="20"/>
          <w:lang w:val="es-PE"/>
        </w:rPr>
        <w:t xml:space="preserve"> </w:t>
      </w:r>
      <w:r w:rsidR="00E67012" w:rsidRPr="007A0D4C">
        <w:rPr>
          <w:rFonts w:ascii="Cambria" w:hAnsi="Cambria"/>
          <w:sz w:val="20"/>
          <w:szCs w:val="20"/>
          <w:lang w:val="es-ES"/>
        </w:rPr>
        <w:t>cuando el presidente Rodríguez visit</w:t>
      </w:r>
      <w:r w:rsidR="00E67012" w:rsidRPr="007A0D4C">
        <w:rPr>
          <w:rFonts w:ascii="Cambria" w:hAnsi="Cambria"/>
          <w:sz w:val="20"/>
          <w:szCs w:val="20"/>
          <w:lang w:val="es-PE"/>
        </w:rPr>
        <w:t>ó</w:t>
      </w:r>
      <w:r w:rsidR="00E67012" w:rsidRPr="007A0D4C">
        <w:rPr>
          <w:rFonts w:ascii="Cambria" w:hAnsi="Cambria"/>
          <w:sz w:val="20"/>
          <w:szCs w:val="20"/>
          <w:lang w:val="es-ES"/>
        </w:rPr>
        <w:t xml:space="preserve"> la localidad de Pedro Juan Caballero el 14 de febrero de 1991</w:t>
      </w:r>
      <w:r w:rsidR="00E67012">
        <w:rPr>
          <w:rFonts w:ascii="Cambria" w:hAnsi="Cambria"/>
          <w:sz w:val="20"/>
          <w:szCs w:val="20"/>
          <w:lang w:val="es-ES"/>
        </w:rPr>
        <w:t xml:space="preserve">, dos </w:t>
      </w:r>
      <w:r w:rsidR="008025C7" w:rsidRPr="007A0D4C">
        <w:rPr>
          <w:rFonts w:ascii="Cambria" w:hAnsi="Cambria"/>
          <w:sz w:val="20"/>
          <w:szCs w:val="20"/>
          <w:lang w:val="es-ES"/>
        </w:rPr>
        <w:t>meses antes de</w:t>
      </w:r>
      <w:r w:rsidR="00E67012">
        <w:rPr>
          <w:rFonts w:ascii="Cambria" w:hAnsi="Cambria"/>
          <w:sz w:val="20"/>
          <w:szCs w:val="20"/>
          <w:lang w:val="es-ES"/>
        </w:rPr>
        <w:t xml:space="preserve"> la muerte</w:t>
      </w:r>
      <w:r w:rsidR="008025C7" w:rsidRPr="007A0D4C">
        <w:rPr>
          <w:rFonts w:ascii="Cambria" w:hAnsi="Cambria"/>
          <w:sz w:val="20"/>
          <w:szCs w:val="20"/>
          <w:lang w:val="es-ES"/>
        </w:rPr>
        <w:t xml:space="preserve"> del periodista, con motivo de la inauguración de un hotel </w:t>
      </w:r>
      <w:r w:rsidRPr="007A0D4C">
        <w:rPr>
          <w:rFonts w:ascii="Cambria" w:hAnsi="Cambria"/>
          <w:sz w:val="20"/>
          <w:szCs w:val="20"/>
          <w:lang w:val="es-ES"/>
        </w:rPr>
        <w:t xml:space="preserve">y </w:t>
      </w:r>
      <w:r w:rsidR="008025C7" w:rsidRPr="007A0D4C">
        <w:rPr>
          <w:rFonts w:ascii="Cambria" w:hAnsi="Cambria"/>
          <w:sz w:val="20"/>
          <w:szCs w:val="20"/>
          <w:lang w:val="es-ES"/>
        </w:rPr>
        <w:t>casino propiedad de “El Turco”</w:t>
      </w:r>
      <w:r w:rsidR="008A5A9F" w:rsidRPr="007A0D4C">
        <w:rPr>
          <w:rFonts w:ascii="Cambria" w:hAnsi="Cambria"/>
          <w:sz w:val="20"/>
          <w:szCs w:val="20"/>
          <w:lang w:val="es-ES"/>
        </w:rPr>
        <w:t xml:space="preserve">, </w:t>
      </w:r>
      <w:r w:rsidR="008025C7" w:rsidRPr="007A0D4C">
        <w:rPr>
          <w:rFonts w:ascii="Cambria" w:hAnsi="Cambria"/>
          <w:sz w:val="20"/>
          <w:szCs w:val="20"/>
          <w:lang w:val="es-ES"/>
        </w:rPr>
        <w:t>el movimiento de los campesinos sin tierra realiz</w:t>
      </w:r>
      <w:r w:rsidR="00E67012">
        <w:rPr>
          <w:rFonts w:ascii="Cambria" w:hAnsi="Cambria"/>
          <w:sz w:val="20"/>
          <w:szCs w:val="20"/>
          <w:lang w:val="es-ES"/>
        </w:rPr>
        <w:t xml:space="preserve">ó </w:t>
      </w:r>
      <w:r w:rsidR="008025C7" w:rsidRPr="007A0D4C">
        <w:rPr>
          <w:rFonts w:ascii="Cambria" w:hAnsi="Cambria"/>
          <w:sz w:val="20"/>
          <w:szCs w:val="20"/>
          <w:lang w:val="es-ES"/>
        </w:rPr>
        <w:t>una protesta demandando soluciones al presidente</w:t>
      </w:r>
      <w:r w:rsidR="00E67012">
        <w:rPr>
          <w:rFonts w:ascii="Cambria" w:hAnsi="Cambria"/>
          <w:sz w:val="20"/>
          <w:szCs w:val="20"/>
          <w:lang w:val="es-ES"/>
        </w:rPr>
        <w:t xml:space="preserve">, apoyada por </w:t>
      </w:r>
      <w:r w:rsidR="008025C7" w:rsidRPr="007A0D4C">
        <w:rPr>
          <w:rFonts w:ascii="Cambria" w:hAnsi="Cambria"/>
          <w:sz w:val="20"/>
          <w:szCs w:val="20"/>
          <w:lang w:val="es-ES"/>
        </w:rPr>
        <w:t>Leguizamón</w:t>
      </w:r>
      <w:r w:rsidR="00CC1769">
        <w:rPr>
          <w:rFonts w:ascii="Cambria" w:hAnsi="Cambria"/>
          <w:sz w:val="20"/>
          <w:szCs w:val="20"/>
          <w:lang w:val="es-ES"/>
        </w:rPr>
        <w:t>,</w:t>
      </w:r>
      <w:r w:rsidR="008025C7" w:rsidRPr="007A0D4C">
        <w:rPr>
          <w:rFonts w:ascii="Cambria" w:hAnsi="Cambria"/>
          <w:sz w:val="20"/>
          <w:szCs w:val="20"/>
          <w:lang w:val="es-ES"/>
        </w:rPr>
        <w:t xml:space="preserve"> </w:t>
      </w:r>
      <w:r w:rsidR="00E67012">
        <w:rPr>
          <w:rFonts w:ascii="Cambria" w:hAnsi="Cambria"/>
          <w:sz w:val="20"/>
          <w:szCs w:val="20"/>
          <w:lang w:val="es-ES"/>
        </w:rPr>
        <w:t xml:space="preserve">quien </w:t>
      </w:r>
      <w:r w:rsidR="008025C7" w:rsidRPr="007A0D4C">
        <w:rPr>
          <w:rFonts w:ascii="Cambria" w:hAnsi="Cambria"/>
          <w:sz w:val="20"/>
          <w:szCs w:val="20"/>
          <w:lang w:val="es-ES"/>
        </w:rPr>
        <w:t xml:space="preserve">habría “abrazado esta causa en su programa de radio y en sus despachos como corresponsal”. Según la </w:t>
      </w:r>
      <w:r w:rsidR="00CC1769">
        <w:rPr>
          <w:rFonts w:ascii="Cambria" w:hAnsi="Cambria"/>
          <w:sz w:val="20"/>
          <w:szCs w:val="20"/>
          <w:lang w:val="es-ES"/>
        </w:rPr>
        <w:t>parte peticionaria</w:t>
      </w:r>
      <w:r w:rsidRPr="007A0D4C">
        <w:rPr>
          <w:rFonts w:ascii="Cambria" w:hAnsi="Cambria"/>
          <w:sz w:val="20"/>
          <w:szCs w:val="20"/>
          <w:lang w:val="es-ES"/>
        </w:rPr>
        <w:t>,</w:t>
      </w:r>
      <w:r w:rsidR="008025C7" w:rsidRPr="007A0D4C">
        <w:rPr>
          <w:rFonts w:ascii="Cambria" w:hAnsi="Cambria"/>
          <w:sz w:val="20"/>
          <w:szCs w:val="20"/>
          <w:lang w:val="es-ES"/>
        </w:rPr>
        <w:t xml:space="preserve"> </w:t>
      </w:r>
      <w:r w:rsidR="00E67012" w:rsidRPr="007A0D4C">
        <w:rPr>
          <w:rFonts w:ascii="Cambria" w:hAnsi="Cambria"/>
          <w:sz w:val="20"/>
          <w:szCs w:val="20"/>
          <w:lang w:val="es-PE"/>
        </w:rPr>
        <w:t xml:space="preserve">el periodista le contó a su esposa que </w:t>
      </w:r>
      <w:r w:rsidR="008025C7" w:rsidRPr="007A0D4C">
        <w:rPr>
          <w:rFonts w:ascii="Cambria" w:hAnsi="Cambria"/>
          <w:sz w:val="20"/>
          <w:szCs w:val="20"/>
          <w:lang w:val="es-ES"/>
        </w:rPr>
        <w:t>un testigo habría escuchado decir al entonces presidente de la República “</w:t>
      </w:r>
      <w:r w:rsidR="00616035" w:rsidRPr="007A0D4C">
        <w:rPr>
          <w:rFonts w:ascii="Cambria" w:hAnsi="Cambria"/>
          <w:sz w:val="20"/>
          <w:szCs w:val="20"/>
          <w:lang w:val="es-ES"/>
        </w:rPr>
        <w:t>c</w:t>
      </w:r>
      <w:r w:rsidR="008025C7" w:rsidRPr="007A0D4C">
        <w:rPr>
          <w:rFonts w:ascii="Cambria" w:hAnsi="Cambria"/>
          <w:sz w:val="20"/>
          <w:szCs w:val="20"/>
          <w:lang w:val="es-ES"/>
        </w:rPr>
        <w:t xml:space="preserve">on ese muchacho hay que hacer algo”. </w:t>
      </w:r>
    </w:p>
    <w:p w14:paraId="3EED6BBE" w14:textId="77777777" w:rsidR="00D73839" w:rsidRPr="007A0D4C" w:rsidRDefault="00D73839"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trike/>
          <w:sz w:val="20"/>
          <w:szCs w:val="20"/>
          <w:lang w:val="es-VE"/>
        </w:rPr>
      </w:pPr>
    </w:p>
    <w:p w14:paraId="13F0630A" w14:textId="1061EA6C" w:rsidR="008025C7" w:rsidRPr="007A0D4C" w:rsidRDefault="008025C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7A0D4C">
        <w:rPr>
          <w:rFonts w:ascii="Cambria" w:hAnsi="Cambria"/>
          <w:sz w:val="20"/>
          <w:szCs w:val="20"/>
          <w:lang w:val="es-ES"/>
        </w:rPr>
        <w:t xml:space="preserve">La </w:t>
      </w:r>
      <w:r w:rsidR="004D1A0E" w:rsidRPr="007A0D4C">
        <w:rPr>
          <w:rFonts w:ascii="Cambria" w:hAnsi="Cambria"/>
          <w:sz w:val="20"/>
          <w:szCs w:val="20"/>
          <w:lang w:val="es-ES"/>
        </w:rPr>
        <w:t xml:space="preserve">parte </w:t>
      </w:r>
      <w:r w:rsidRPr="007A0D4C">
        <w:rPr>
          <w:rFonts w:ascii="Cambria" w:hAnsi="Cambria"/>
          <w:sz w:val="20"/>
          <w:szCs w:val="20"/>
          <w:lang w:val="es-ES"/>
        </w:rPr>
        <w:t xml:space="preserve">peticionaria también </w:t>
      </w:r>
      <w:r w:rsidR="004D1A0E" w:rsidRPr="007A0D4C">
        <w:rPr>
          <w:rFonts w:ascii="Cambria" w:hAnsi="Cambria"/>
          <w:sz w:val="20"/>
          <w:szCs w:val="20"/>
          <w:lang w:val="es-ES"/>
        </w:rPr>
        <w:t>señala</w:t>
      </w:r>
      <w:r w:rsidRPr="007A0D4C">
        <w:rPr>
          <w:rFonts w:ascii="Cambria" w:hAnsi="Cambria"/>
          <w:sz w:val="20"/>
          <w:szCs w:val="20"/>
          <w:lang w:val="es-ES"/>
        </w:rPr>
        <w:t xml:space="preserve"> que</w:t>
      </w:r>
      <w:r w:rsidR="007D12BE" w:rsidRPr="007A0D4C">
        <w:rPr>
          <w:rFonts w:ascii="Cambria" w:hAnsi="Cambria"/>
          <w:sz w:val="20"/>
          <w:szCs w:val="20"/>
          <w:lang w:val="es-ES"/>
        </w:rPr>
        <w:t>,</w:t>
      </w:r>
      <w:r w:rsidRPr="007A0D4C">
        <w:rPr>
          <w:rFonts w:ascii="Cambria" w:hAnsi="Cambria"/>
          <w:sz w:val="20"/>
          <w:szCs w:val="20"/>
          <w:lang w:val="es-ES"/>
        </w:rPr>
        <w:t xml:space="preserve"> en la época de los hechos, el periodista tenía en su posesión “una foto</w:t>
      </w:r>
      <w:r w:rsidR="008C1166" w:rsidRPr="007A0D4C">
        <w:rPr>
          <w:rFonts w:ascii="Cambria" w:hAnsi="Cambria"/>
          <w:sz w:val="20"/>
          <w:szCs w:val="20"/>
          <w:lang w:val="es-ES"/>
        </w:rPr>
        <w:t>grafía</w:t>
      </w:r>
      <w:r w:rsidRPr="007A0D4C">
        <w:rPr>
          <w:rFonts w:ascii="Cambria" w:hAnsi="Cambria"/>
          <w:sz w:val="20"/>
          <w:szCs w:val="20"/>
          <w:lang w:val="es-ES"/>
        </w:rPr>
        <w:t xml:space="preserve"> </w:t>
      </w:r>
      <w:r w:rsidR="00FF4918" w:rsidRPr="007A0D4C">
        <w:rPr>
          <w:rFonts w:ascii="Cambria" w:hAnsi="Cambria"/>
          <w:sz w:val="20"/>
          <w:szCs w:val="20"/>
          <w:lang w:val="es-ES"/>
        </w:rPr>
        <w:t>clave</w:t>
      </w:r>
      <w:r w:rsidRPr="007A0D4C">
        <w:rPr>
          <w:rFonts w:ascii="Cambria" w:hAnsi="Cambria"/>
          <w:sz w:val="20"/>
          <w:szCs w:val="20"/>
          <w:lang w:val="es-ES"/>
        </w:rPr>
        <w:t>”, en la que posaban “el jefe del Cartel de Medellín, Pablo Escobar Gaviria, con ‘El Turco’ y el presidente Rodríguez”. Afirm</w:t>
      </w:r>
      <w:r w:rsidR="0012217B" w:rsidRPr="007A0D4C">
        <w:rPr>
          <w:rFonts w:ascii="Cambria" w:hAnsi="Cambria"/>
          <w:sz w:val="20"/>
          <w:szCs w:val="20"/>
          <w:lang w:val="es-ES"/>
        </w:rPr>
        <w:t>a</w:t>
      </w:r>
      <w:r w:rsidRPr="007A0D4C">
        <w:rPr>
          <w:rFonts w:ascii="Cambria" w:hAnsi="Cambria"/>
          <w:sz w:val="20"/>
          <w:szCs w:val="20"/>
          <w:lang w:val="es-ES"/>
        </w:rPr>
        <w:t xml:space="preserve"> que Santiago Leguizamón iba a</w:t>
      </w:r>
      <w:r w:rsidR="00F042BD" w:rsidRPr="007A0D4C">
        <w:rPr>
          <w:rFonts w:ascii="Cambria" w:hAnsi="Cambria"/>
          <w:sz w:val="20"/>
          <w:szCs w:val="20"/>
          <w:lang w:val="es-ES"/>
        </w:rPr>
        <w:t xml:space="preserve"> entregar la fotografía a un amigo cercano para que l</w:t>
      </w:r>
      <w:r w:rsidR="006E30AB" w:rsidRPr="007A0D4C">
        <w:rPr>
          <w:rFonts w:ascii="Cambria" w:hAnsi="Cambria"/>
          <w:sz w:val="20"/>
          <w:szCs w:val="20"/>
          <w:lang w:val="es-ES"/>
        </w:rPr>
        <w:t>a</w:t>
      </w:r>
      <w:r w:rsidR="00F042BD" w:rsidRPr="007A0D4C">
        <w:rPr>
          <w:rFonts w:ascii="Cambria" w:hAnsi="Cambria"/>
          <w:sz w:val="20"/>
          <w:szCs w:val="20"/>
          <w:lang w:val="es-ES"/>
        </w:rPr>
        <w:t xml:space="preserve"> sacara del país y la mantuviera a salvo</w:t>
      </w:r>
      <w:r w:rsidR="008D75FB" w:rsidRPr="007A0D4C">
        <w:rPr>
          <w:rFonts w:ascii="Cambria" w:hAnsi="Cambria"/>
          <w:sz w:val="20"/>
          <w:szCs w:val="20"/>
          <w:lang w:val="es-ES"/>
        </w:rPr>
        <w:t>. La familia sostiene que la fotografía desapareció en un allanamiento militar ilegal de la radio Mburucuyá al día siguiente del asesinato</w:t>
      </w:r>
      <w:r w:rsidR="006E30AB" w:rsidRPr="007A0D4C">
        <w:rPr>
          <w:rFonts w:ascii="Cambria" w:hAnsi="Cambria"/>
          <w:sz w:val="20"/>
          <w:szCs w:val="20"/>
          <w:lang w:val="es-ES"/>
        </w:rPr>
        <w:t>.</w:t>
      </w:r>
      <w:r w:rsidR="008D75FB" w:rsidRPr="007A0D4C">
        <w:rPr>
          <w:rFonts w:ascii="Cambria" w:hAnsi="Cambria"/>
          <w:sz w:val="20"/>
          <w:szCs w:val="20"/>
          <w:lang w:val="es-ES"/>
        </w:rPr>
        <w:t xml:space="preserve"> </w:t>
      </w:r>
    </w:p>
    <w:p w14:paraId="0FE9FB3F" w14:textId="77777777" w:rsidR="00563870" w:rsidRPr="007A0D4C" w:rsidRDefault="00563870" w:rsidP="007A0D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trike/>
          <w:sz w:val="20"/>
          <w:szCs w:val="20"/>
          <w:highlight w:val="green"/>
          <w:lang w:val="es-ES"/>
        </w:rPr>
      </w:pPr>
    </w:p>
    <w:p w14:paraId="30EF7559" w14:textId="4A0C84C3" w:rsidR="00EB2CE6" w:rsidRPr="007A0D4C" w:rsidRDefault="00ED202E"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VE"/>
        </w:rPr>
      </w:pPr>
      <w:r w:rsidRPr="007A0D4C">
        <w:rPr>
          <w:rFonts w:ascii="Cambria" w:hAnsi="Cambria"/>
          <w:sz w:val="20"/>
          <w:szCs w:val="20"/>
          <w:lang w:val="es-PE"/>
        </w:rPr>
        <w:t xml:space="preserve">La parte peticionaria </w:t>
      </w:r>
      <w:r w:rsidR="00A3474A" w:rsidRPr="007A0D4C">
        <w:rPr>
          <w:rFonts w:ascii="Cambria" w:hAnsi="Cambria"/>
          <w:sz w:val="20"/>
          <w:szCs w:val="20"/>
          <w:lang w:val="es-PE"/>
        </w:rPr>
        <w:t xml:space="preserve">señala </w:t>
      </w:r>
      <w:r w:rsidR="00661E47" w:rsidRPr="007A0D4C">
        <w:rPr>
          <w:rFonts w:ascii="Cambria" w:hAnsi="Cambria"/>
          <w:sz w:val="20"/>
          <w:szCs w:val="20"/>
          <w:lang w:val="es-PE"/>
        </w:rPr>
        <w:t xml:space="preserve">que el Estado violó el derecho a la vida en perjuicio de Santiago Leguizamón </w:t>
      </w:r>
      <w:r w:rsidR="00522E5E" w:rsidRPr="007A0D4C">
        <w:rPr>
          <w:rFonts w:ascii="Cambria" w:hAnsi="Cambria"/>
          <w:sz w:val="20"/>
          <w:szCs w:val="20"/>
          <w:lang w:val="es-PE"/>
        </w:rPr>
        <w:t>debido a que n</w:t>
      </w:r>
      <w:r w:rsidR="005D342C" w:rsidRPr="007A0D4C">
        <w:rPr>
          <w:rFonts w:ascii="Cambria" w:hAnsi="Cambria"/>
          <w:sz w:val="20"/>
          <w:szCs w:val="20"/>
          <w:lang w:val="es-PE"/>
        </w:rPr>
        <w:t xml:space="preserve">o cumplió con su obligación de investigar y sancionar su asesinato, </w:t>
      </w:r>
      <w:r w:rsidR="00B82381" w:rsidRPr="007A0D4C">
        <w:rPr>
          <w:rFonts w:ascii="Cambria" w:hAnsi="Cambria"/>
          <w:sz w:val="20"/>
          <w:szCs w:val="20"/>
          <w:lang w:val="es-PE"/>
        </w:rPr>
        <w:t xml:space="preserve">ni cumplió con su obligación de proteger </w:t>
      </w:r>
      <w:r w:rsidR="00FC091B" w:rsidRPr="007A0D4C">
        <w:rPr>
          <w:rFonts w:ascii="Cambria" w:hAnsi="Cambria"/>
          <w:sz w:val="20"/>
          <w:szCs w:val="20"/>
          <w:lang w:val="es-PE"/>
        </w:rPr>
        <w:t>la vida e integridad del periodista en relación con el ejercicio de la libertad de expresión</w:t>
      </w:r>
      <w:r w:rsidR="00B82381" w:rsidRPr="007A0D4C">
        <w:rPr>
          <w:rFonts w:ascii="Cambria" w:hAnsi="Cambria"/>
          <w:sz w:val="20"/>
          <w:szCs w:val="20"/>
          <w:lang w:val="es-PE"/>
        </w:rPr>
        <w:t>, en particular atendiendo a que el periodista “había solicitado protección policial en distintas oportunidades”.</w:t>
      </w:r>
      <w:r w:rsidR="00033D01" w:rsidRPr="007A0D4C">
        <w:rPr>
          <w:rFonts w:ascii="Cambria" w:hAnsi="Cambria"/>
          <w:sz w:val="20"/>
          <w:szCs w:val="20"/>
          <w:lang w:val="es-PE"/>
        </w:rPr>
        <w:t xml:space="preserve"> </w:t>
      </w:r>
      <w:r w:rsidR="00F014FC" w:rsidRPr="007A0D4C">
        <w:rPr>
          <w:rFonts w:ascii="Cambria" w:hAnsi="Cambria"/>
          <w:sz w:val="20"/>
          <w:szCs w:val="20"/>
          <w:lang w:val="es-ES"/>
        </w:rPr>
        <w:t>Asimismo, seña</w:t>
      </w:r>
      <w:r w:rsidR="00593BB1" w:rsidRPr="007A0D4C">
        <w:rPr>
          <w:rFonts w:ascii="Cambria" w:hAnsi="Cambria"/>
          <w:sz w:val="20"/>
          <w:szCs w:val="20"/>
          <w:lang w:val="es-ES"/>
        </w:rPr>
        <w:t>l</w:t>
      </w:r>
      <w:r w:rsidR="00F014FC" w:rsidRPr="007A0D4C">
        <w:rPr>
          <w:rFonts w:ascii="Cambria" w:hAnsi="Cambria"/>
          <w:sz w:val="20"/>
          <w:szCs w:val="20"/>
          <w:lang w:val="es-ES"/>
        </w:rPr>
        <w:t>a</w:t>
      </w:r>
      <w:r w:rsidR="00593BB1" w:rsidRPr="007A0D4C">
        <w:rPr>
          <w:rFonts w:ascii="Cambria" w:hAnsi="Cambria"/>
          <w:sz w:val="20"/>
          <w:szCs w:val="20"/>
          <w:lang w:val="es-ES"/>
        </w:rPr>
        <w:t xml:space="preserve"> que</w:t>
      </w:r>
      <w:r w:rsidR="00CC1769">
        <w:rPr>
          <w:rFonts w:ascii="Cambria" w:hAnsi="Cambria"/>
          <w:sz w:val="20"/>
          <w:szCs w:val="20"/>
          <w:lang w:val="es-ES"/>
        </w:rPr>
        <w:t xml:space="preserve"> </w:t>
      </w:r>
      <w:r w:rsidR="00CC1769" w:rsidRPr="00261517">
        <w:rPr>
          <w:rFonts w:ascii="Cambria" w:hAnsi="Cambria"/>
          <w:sz w:val="20"/>
          <w:szCs w:val="20"/>
          <w:lang w:val="es-ES"/>
        </w:rPr>
        <w:t xml:space="preserve">el </w:t>
      </w:r>
      <w:r w:rsidR="00CC1769" w:rsidRPr="000D7953">
        <w:rPr>
          <w:rFonts w:ascii="Cambria" w:hAnsi="Cambria"/>
          <w:sz w:val="20"/>
          <w:szCs w:val="20"/>
          <w:lang w:val="es-VE"/>
        </w:rPr>
        <w:t>periodista</w:t>
      </w:r>
      <w:r w:rsidR="00CC1769" w:rsidRPr="00261517">
        <w:rPr>
          <w:rFonts w:ascii="Cambria" w:hAnsi="Cambria"/>
          <w:sz w:val="20"/>
          <w:szCs w:val="20"/>
          <w:lang w:val="es-VE"/>
        </w:rPr>
        <w:t xml:space="preserve"> </w:t>
      </w:r>
      <w:r w:rsidR="00896AC8" w:rsidRPr="00261517">
        <w:rPr>
          <w:rFonts w:ascii="Cambria" w:hAnsi="Cambria"/>
          <w:sz w:val="20"/>
          <w:szCs w:val="20"/>
          <w:lang w:val="es-VE"/>
        </w:rPr>
        <w:t xml:space="preserve">sufría </w:t>
      </w:r>
      <w:r w:rsidR="00261517" w:rsidRPr="000E193C">
        <w:rPr>
          <w:rFonts w:ascii="Cambria" w:hAnsi="Cambria"/>
          <w:sz w:val="20"/>
          <w:szCs w:val="20"/>
          <w:lang w:val="es-VE"/>
        </w:rPr>
        <w:t>amenazas</w:t>
      </w:r>
      <w:r w:rsidR="00261517" w:rsidRPr="00261517">
        <w:rPr>
          <w:rFonts w:ascii="Cambria" w:hAnsi="Cambria"/>
          <w:sz w:val="20"/>
          <w:szCs w:val="20"/>
          <w:lang w:val="es-VE"/>
        </w:rPr>
        <w:t xml:space="preserve"> </w:t>
      </w:r>
      <w:r w:rsidR="00896AC8" w:rsidRPr="00261517">
        <w:rPr>
          <w:rFonts w:ascii="Cambria" w:hAnsi="Cambria"/>
          <w:sz w:val="20"/>
          <w:szCs w:val="20"/>
          <w:lang w:val="es-VE"/>
        </w:rPr>
        <w:t xml:space="preserve">y </w:t>
      </w:r>
      <w:r w:rsidR="00261517" w:rsidRPr="00DF12D5">
        <w:rPr>
          <w:rFonts w:ascii="Cambria" w:hAnsi="Cambria"/>
          <w:sz w:val="20"/>
          <w:szCs w:val="20"/>
          <w:lang w:val="es-VE"/>
        </w:rPr>
        <w:t>actos de hostigamiento</w:t>
      </w:r>
      <w:r w:rsidR="00261517">
        <w:rPr>
          <w:rFonts w:ascii="Cambria" w:hAnsi="Cambria"/>
          <w:sz w:val="20"/>
          <w:szCs w:val="20"/>
          <w:lang w:val="es-VE"/>
        </w:rPr>
        <w:t xml:space="preserve"> </w:t>
      </w:r>
      <w:r w:rsidR="00896AC8" w:rsidRPr="00261517">
        <w:rPr>
          <w:rFonts w:ascii="Cambria" w:hAnsi="Cambria"/>
          <w:sz w:val="20"/>
          <w:szCs w:val="20"/>
          <w:lang w:val="es-VE"/>
        </w:rPr>
        <w:t xml:space="preserve">por </w:t>
      </w:r>
      <w:r w:rsidR="00F014FC" w:rsidRPr="00261517">
        <w:rPr>
          <w:rFonts w:ascii="Cambria" w:hAnsi="Cambria"/>
          <w:sz w:val="20"/>
          <w:szCs w:val="20"/>
          <w:lang w:val="es-VE"/>
        </w:rPr>
        <w:t xml:space="preserve">su </w:t>
      </w:r>
      <w:r w:rsidR="00896AC8" w:rsidRPr="00261517">
        <w:rPr>
          <w:rFonts w:ascii="Cambria" w:hAnsi="Cambria"/>
          <w:sz w:val="20"/>
          <w:szCs w:val="20"/>
          <w:lang w:val="es-VE"/>
        </w:rPr>
        <w:t>labor periodística y social</w:t>
      </w:r>
      <w:r w:rsidR="00CC1769" w:rsidRPr="00261517">
        <w:rPr>
          <w:rFonts w:ascii="Cambria" w:hAnsi="Cambria"/>
          <w:sz w:val="20"/>
          <w:szCs w:val="20"/>
          <w:lang w:val="es-VE"/>
        </w:rPr>
        <w:t>,</w:t>
      </w:r>
      <w:r w:rsidR="00896AC8" w:rsidRPr="00261517">
        <w:rPr>
          <w:rFonts w:ascii="Cambria" w:hAnsi="Cambria"/>
          <w:sz w:val="20"/>
          <w:szCs w:val="20"/>
          <w:lang w:val="es-VE"/>
        </w:rPr>
        <w:t xml:space="preserve"> </w:t>
      </w:r>
      <w:r w:rsidR="00CC1769" w:rsidRPr="00261517">
        <w:rPr>
          <w:rFonts w:ascii="Cambria" w:hAnsi="Cambria"/>
          <w:sz w:val="20"/>
          <w:szCs w:val="20"/>
          <w:lang w:val="es-ES"/>
        </w:rPr>
        <w:t xml:space="preserve">debido a </w:t>
      </w:r>
      <w:r w:rsidR="00261517">
        <w:rPr>
          <w:rFonts w:ascii="Cambria" w:hAnsi="Cambria"/>
          <w:sz w:val="20"/>
          <w:szCs w:val="20"/>
          <w:lang w:val="es-ES"/>
        </w:rPr>
        <w:t xml:space="preserve">que </w:t>
      </w:r>
      <w:r w:rsidR="00CC1769" w:rsidRPr="000D7953">
        <w:rPr>
          <w:rFonts w:ascii="Cambria" w:hAnsi="Cambria"/>
          <w:sz w:val="20"/>
          <w:szCs w:val="20"/>
          <w:lang w:val="es-VE"/>
        </w:rPr>
        <w:t xml:space="preserve">investigaba y publicaba regularmente </w:t>
      </w:r>
      <w:r w:rsidR="00261517" w:rsidRPr="000D7953">
        <w:rPr>
          <w:rFonts w:ascii="Cambria" w:hAnsi="Cambria"/>
          <w:sz w:val="20"/>
          <w:szCs w:val="20"/>
          <w:lang w:val="es-VE"/>
        </w:rPr>
        <w:t xml:space="preserve">notas periodísticas </w:t>
      </w:r>
      <w:r w:rsidR="00CC1769" w:rsidRPr="000D7953">
        <w:rPr>
          <w:rFonts w:ascii="Cambria" w:hAnsi="Cambria"/>
          <w:sz w:val="20"/>
          <w:szCs w:val="20"/>
          <w:lang w:val="es-VE"/>
        </w:rPr>
        <w:t>en alguno</w:t>
      </w:r>
      <w:r w:rsidR="00261517" w:rsidRPr="000D7953">
        <w:rPr>
          <w:rFonts w:ascii="Cambria" w:hAnsi="Cambria"/>
          <w:sz w:val="20"/>
          <w:szCs w:val="20"/>
          <w:lang w:val="es-VE"/>
        </w:rPr>
        <w:t>s</w:t>
      </w:r>
      <w:r w:rsidR="00CC1769" w:rsidRPr="000D7953">
        <w:rPr>
          <w:rFonts w:ascii="Cambria" w:hAnsi="Cambria"/>
          <w:sz w:val="20"/>
          <w:szCs w:val="20"/>
          <w:lang w:val="es-VE"/>
        </w:rPr>
        <w:t xml:space="preserve"> de los medios de comunicación más importantes del país sobre </w:t>
      </w:r>
      <w:r w:rsidR="00CC1769" w:rsidRPr="000D7953">
        <w:rPr>
          <w:rFonts w:ascii="Cambria" w:hAnsi="Cambria"/>
          <w:sz w:val="20"/>
          <w:szCs w:val="20"/>
          <w:lang w:val="es-ES"/>
        </w:rPr>
        <w:t>la situación de violencia, narcotráfico, corrupción y desigualdad que existía en Pedro Juan Caballero</w:t>
      </w:r>
      <w:r w:rsidR="00261517" w:rsidRPr="00261517">
        <w:rPr>
          <w:rFonts w:ascii="Cambria" w:hAnsi="Cambria"/>
          <w:sz w:val="20"/>
          <w:szCs w:val="20"/>
          <w:lang w:val="es-ES"/>
        </w:rPr>
        <w:t>.</w:t>
      </w:r>
      <w:r w:rsidR="00261517">
        <w:rPr>
          <w:rFonts w:ascii="Cambria" w:hAnsi="Cambria"/>
          <w:sz w:val="20"/>
          <w:szCs w:val="20"/>
          <w:lang w:val="es-ES"/>
        </w:rPr>
        <w:t xml:space="preserve"> La parte peticionaria alega </w:t>
      </w:r>
      <w:r w:rsidR="00896AC8" w:rsidRPr="007A0D4C">
        <w:rPr>
          <w:rFonts w:ascii="Cambria" w:hAnsi="Cambria"/>
          <w:sz w:val="20"/>
          <w:szCs w:val="20"/>
          <w:lang w:val="es-VE"/>
        </w:rPr>
        <w:t>que estas denuncias eran públicas</w:t>
      </w:r>
      <w:r w:rsidR="00593BB1" w:rsidRPr="007A0D4C">
        <w:rPr>
          <w:rFonts w:ascii="Cambria" w:hAnsi="Cambria"/>
          <w:sz w:val="20"/>
          <w:szCs w:val="20"/>
          <w:lang w:val="es-VE"/>
        </w:rPr>
        <w:t>,</w:t>
      </w:r>
      <w:r w:rsidR="00896AC8" w:rsidRPr="007A0D4C">
        <w:rPr>
          <w:rFonts w:ascii="Cambria" w:hAnsi="Cambria"/>
          <w:sz w:val="20"/>
          <w:szCs w:val="20"/>
          <w:lang w:val="es-VE"/>
        </w:rPr>
        <w:t xml:space="preserve"> por lo que el Estado de Paraguay conocía que existía un riesgo real e inmediato </w:t>
      </w:r>
      <w:r w:rsidR="00A43A0F" w:rsidRPr="007A0D4C">
        <w:rPr>
          <w:rFonts w:ascii="Cambria" w:hAnsi="Cambria"/>
          <w:sz w:val="20"/>
          <w:szCs w:val="20"/>
          <w:lang w:val="es-VE"/>
        </w:rPr>
        <w:t>para su</w:t>
      </w:r>
      <w:r w:rsidR="00896AC8" w:rsidRPr="007A0D4C">
        <w:rPr>
          <w:rFonts w:ascii="Cambria" w:hAnsi="Cambria"/>
          <w:sz w:val="20"/>
          <w:szCs w:val="20"/>
          <w:lang w:val="es-VE"/>
        </w:rPr>
        <w:t xml:space="preserve"> vida</w:t>
      </w:r>
      <w:r w:rsidR="001344A3" w:rsidRPr="007A0D4C">
        <w:rPr>
          <w:rFonts w:ascii="Cambria" w:hAnsi="Cambria"/>
          <w:sz w:val="20"/>
          <w:szCs w:val="20"/>
          <w:lang w:val="es-ES"/>
        </w:rPr>
        <w:t xml:space="preserve">. </w:t>
      </w:r>
      <w:r w:rsidR="00F1481D" w:rsidRPr="007A0D4C">
        <w:rPr>
          <w:rFonts w:ascii="Cambria" w:hAnsi="Cambria"/>
          <w:sz w:val="20"/>
          <w:szCs w:val="20"/>
          <w:lang w:val="es-ES"/>
        </w:rPr>
        <w:t xml:space="preserve">Los peticionarios consideran que el Estado </w:t>
      </w:r>
      <w:r w:rsidR="00F1481D" w:rsidRPr="007A0D4C">
        <w:rPr>
          <w:rFonts w:ascii="Cambria" w:hAnsi="Cambria"/>
          <w:sz w:val="20"/>
          <w:szCs w:val="20"/>
          <w:lang w:val="es-VE"/>
        </w:rPr>
        <w:t>tenía una obligación de protección reforzada del derecho a la vida del periodista debido a que este</w:t>
      </w:r>
      <w:r w:rsidR="00FC091B" w:rsidRPr="007A0D4C">
        <w:rPr>
          <w:rFonts w:ascii="Cambria" w:hAnsi="Cambria"/>
          <w:sz w:val="20"/>
          <w:szCs w:val="20"/>
          <w:lang w:val="es-VE"/>
        </w:rPr>
        <w:t xml:space="preserve"> ejercía un derecho fundamental </w:t>
      </w:r>
      <w:r w:rsidR="00F1481D" w:rsidRPr="007A0D4C">
        <w:rPr>
          <w:rFonts w:ascii="Cambria" w:hAnsi="Cambria"/>
          <w:sz w:val="20"/>
          <w:szCs w:val="20"/>
          <w:lang w:val="es-VE"/>
        </w:rPr>
        <w:t>en una situación de especial vulnerabilidad por el contexto de violencia y tensión social que existía en Pedro Juan Caballero</w:t>
      </w:r>
      <w:r w:rsidR="007218F1" w:rsidRPr="007A0D4C">
        <w:rPr>
          <w:rFonts w:ascii="Cambria" w:hAnsi="Cambria"/>
          <w:sz w:val="20"/>
          <w:szCs w:val="20"/>
          <w:lang w:val="es-VE"/>
        </w:rPr>
        <w:t>, una de las zonas más violentas de Paraguay</w:t>
      </w:r>
      <w:r w:rsidR="00F1481D" w:rsidRPr="007A0D4C">
        <w:rPr>
          <w:rFonts w:ascii="Cambria" w:hAnsi="Cambria"/>
          <w:sz w:val="20"/>
          <w:szCs w:val="20"/>
          <w:lang w:val="es-VE"/>
        </w:rPr>
        <w:t xml:space="preserve">.  </w:t>
      </w:r>
      <w:r w:rsidR="001344A3" w:rsidRPr="007A0D4C">
        <w:rPr>
          <w:rFonts w:ascii="Cambria" w:hAnsi="Cambria"/>
          <w:sz w:val="20"/>
          <w:szCs w:val="20"/>
          <w:lang w:val="es-ES"/>
        </w:rPr>
        <w:t xml:space="preserve">A pesar de ello, </w:t>
      </w:r>
      <w:r w:rsidR="00593BB1" w:rsidRPr="007A0D4C">
        <w:rPr>
          <w:rFonts w:ascii="Cambria" w:hAnsi="Cambria"/>
          <w:sz w:val="20"/>
          <w:szCs w:val="20"/>
          <w:lang w:val="es-ES"/>
        </w:rPr>
        <w:t>la parte peticionaria alega que</w:t>
      </w:r>
      <w:r w:rsidR="00CA1992" w:rsidRPr="007A0D4C">
        <w:rPr>
          <w:rFonts w:ascii="Cambria" w:hAnsi="Cambria"/>
          <w:sz w:val="20"/>
          <w:szCs w:val="20"/>
          <w:lang w:val="es-ES"/>
        </w:rPr>
        <w:t xml:space="preserve"> </w:t>
      </w:r>
      <w:r w:rsidR="001344A3" w:rsidRPr="007A0D4C">
        <w:rPr>
          <w:rFonts w:ascii="Cambria" w:hAnsi="Cambria"/>
          <w:sz w:val="20"/>
          <w:szCs w:val="20"/>
          <w:lang w:val="es-ES"/>
        </w:rPr>
        <w:t xml:space="preserve">el Estado de Paraguay no otorgó ninguna medida de protección para </w:t>
      </w:r>
      <w:r w:rsidR="00F1481D" w:rsidRPr="007A0D4C">
        <w:rPr>
          <w:rFonts w:ascii="Cambria" w:hAnsi="Cambria"/>
          <w:sz w:val="20"/>
          <w:szCs w:val="20"/>
          <w:lang w:val="es-ES"/>
        </w:rPr>
        <w:t>preveni</w:t>
      </w:r>
      <w:r w:rsidR="001344A3" w:rsidRPr="007A0D4C">
        <w:rPr>
          <w:rFonts w:ascii="Cambria" w:hAnsi="Cambria"/>
          <w:sz w:val="20"/>
          <w:szCs w:val="20"/>
          <w:lang w:val="es-ES"/>
        </w:rPr>
        <w:t>r el asesinato de Santiago Leguizamón</w:t>
      </w:r>
      <w:r w:rsidR="00435E2C" w:rsidRPr="007A0D4C">
        <w:rPr>
          <w:rFonts w:ascii="Cambria" w:hAnsi="Cambria"/>
          <w:sz w:val="20"/>
          <w:szCs w:val="20"/>
          <w:lang w:val="es-ES"/>
        </w:rPr>
        <w:t xml:space="preserve">. </w:t>
      </w:r>
    </w:p>
    <w:p w14:paraId="51629AA0" w14:textId="77777777" w:rsidR="00235C0C" w:rsidRPr="007A0D4C" w:rsidRDefault="00235C0C" w:rsidP="007A0D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VE"/>
        </w:rPr>
      </w:pPr>
    </w:p>
    <w:p w14:paraId="765CBCB6" w14:textId="5792C61C" w:rsidR="00AA6F8E" w:rsidRPr="007A0D4C" w:rsidRDefault="008C327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VE"/>
        </w:rPr>
      </w:pPr>
      <w:r w:rsidRPr="007A0D4C">
        <w:rPr>
          <w:rFonts w:ascii="Cambria" w:hAnsi="Cambria"/>
          <w:sz w:val="20"/>
          <w:szCs w:val="20"/>
          <w:lang w:val="es-ES"/>
        </w:rPr>
        <w:t xml:space="preserve">De </w:t>
      </w:r>
      <w:r w:rsidR="00862A23" w:rsidRPr="007A0D4C">
        <w:rPr>
          <w:rFonts w:ascii="Cambria" w:hAnsi="Cambria"/>
          <w:sz w:val="20"/>
          <w:szCs w:val="20"/>
          <w:lang w:val="es-ES"/>
        </w:rPr>
        <w:t xml:space="preserve">igual manera, los peticionarios </w:t>
      </w:r>
      <w:r w:rsidR="008B78AD" w:rsidRPr="007A0D4C">
        <w:rPr>
          <w:rFonts w:ascii="Cambria" w:hAnsi="Cambria"/>
          <w:sz w:val="20"/>
          <w:szCs w:val="20"/>
          <w:lang w:val="es-ES"/>
        </w:rPr>
        <w:t>estiman que el Estado violó el derecho a la libertad de expresión de Santiago Leguizamón, tanto e</w:t>
      </w:r>
      <w:r w:rsidR="00642147" w:rsidRPr="007A0D4C">
        <w:rPr>
          <w:rFonts w:ascii="Cambria" w:hAnsi="Cambria"/>
          <w:sz w:val="20"/>
          <w:szCs w:val="20"/>
          <w:lang w:val="es-ES"/>
        </w:rPr>
        <w:t>n su dimensión individual como colectiva. S</w:t>
      </w:r>
      <w:r w:rsidR="00862A23" w:rsidRPr="007A0D4C">
        <w:rPr>
          <w:rFonts w:ascii="Cambria" w:hAnsi="Cambria"/>
          <w:sz w:val="20"/>
          <w:szCs w:val="20"/>
          <w:lang w:val="es-ES"/>
        </w:rPr>
        <w:t xml:space="preserve">eñalan que el asesinato </w:t>
      </w:r>
      <w:r w:rsidR="00880B95" w:rsidRPr="007A0D4C">
        <w:rPr>
          <w:rFonts w:ascii="Cambria" w:hAnsi="Cambria"/>
          <w:sz w:val="20"/>
          <w:szCs w:val="20"/>
          <w:lang w:val="es-ES"/>
        </w:rPr>
        <w:t xml:space="preserve">del reconocido periodista </w:t>
      </w:r>
      <w:r w:rsidR="008B78AD" w:rsidRPr="007A0D4C">
        <w:rPr>
          <w:rFonts w:ascii="Cambria" w:hAnsi="Cambria"/>
          <w:sz w:val="20"/>
          <w:szCs w:val="20"/>
          <w:lang w:val="es-ES"/>
        </w:rPr>
        <w:t xml:space="preserve">se </w:t>
      </w:r>
      <w:r w:rsidR="00B62BE5" w:rsidRPr="007A0D4C">
        <w:rPr>
          <w:rFonts w:ascii="Cambria" w:hAnsi="Cambria"/>
          <w:sz w:val="20"/>
          <w:szCs w:val="20"/>
          <w:lang w:val="es-ES"/>
        </w:rPr>
        <w:t>debió a</w:t>
      </w:r>
      <w:r w:rsidR="008B78AD" w:rsidRPr="007A0D4C">
        <w:rPr>
          <w:rFonts w:ascii="Cambria" w:hAnsi="Cambria"/>
          <w:sz w:val="20"/>
          <w:szCs w:val="20"/>
          <w:lang w:val="es-ES"/>
        </w:rPr>
        <w:t xml:space="preserve"> su labor periodística</w:t>
      </w:r>
      <w:r w:rsidR="0047585D" w:rsidRPr="007A0D4C">
        <w:rPr>
          <w:rFonts w:ascii="Cambria" w:hAnsi="Cambria"/>
          <w:sz w:val="20"/>
          <w:szCs w:val="20"/>
          <w:lang w:val="es-ES"/>
        </w:rPr>
        <w:t xml:space="preserve"> y tuvo como objetivo </w:t>
      </w:r>
      <w:r w:rsidR="00FC091B" w:rsidRPr="007A0D4C">
        <w:rPr>
          <w:rFonts w:ascii="Cambria" w:hAnsi="Cambria"/>
          <w:sz w:val="20"/>
          <w:szCs w:val="20"/>
          <w:lang w:val="es-ES"/>
        </w:rPr>
        <w:t xml:space="preserve">silenciarlo, </w:t>
      </w:r>
      <w:r w:rsidR="0047585D" w:rsidRPr="007A0D4C">
        <w:rPr>
          <w:rFonts w:ascii="Cambria" w:hAnsi="Cambria"/>
          <w:sz w:val="20"/>
          <w:szCs w:val="20"/>
          <w:lang w:val="es-ES"/>
        </w:rPr>
        <w:t xml:space="preserve">ya que sus investigaciones “molestaban al poder político y económico del país”. </w:t>
      </w:r>
      <w:r w:rsidR="00E5341E" w:rsidRPr="007A0D4C">
        <w:rPr>
          <w:rFonts w:ascii="Cambria" w:hAnsi="Cambria"/>
          <w:sz w:val="20"/>
          <w:szCs w:val="20"/>
          <w:lang w:val="es-ES"/>
        </w:rPr>
        <w:t xml:space="preserve">Los peticionarios señalan que </w:t>
      </w:r>
      <w:r w:rsidR="00B62BE5" w:rsidRPr="007A0D4C">
        <w:rPr>
          <w:rFonts w:ascii="Cambria" w:hAnsi="Cambria"/>
          <w:sz w:val="20"/>
          <w:szCs w:val="20"/>
          <w:lang w:val="es-ES"/>
        </w:rPr>
        <w:t>su</w:t>
      </w:r>
      <w:r w:rsidR="00E5341E" w:rsidRPr="007A0D4C">
        <w:rPr>
          <w:rFonts w:ascii="Cambria" w:hAnsi="Cambria"/>
          <w:sz w:val="20"/>
          <w:szCs w:val="20"/>
          <w:lang w:val="es-ES"/>
        </w:rPr>
        <w:t xml:space="preserve"> asesinato constituyó la forma más violenta de censura </w:t>
      </w:r>
      <w:r w:rsidR="00CD2AB6" w:rsidRPr="007A0D4C">
        <w:rPr>
          <w:rFonts w:ascii="Cambria" w:hAnsi="Cambria"/>
          <w:sz w:val="20"/>
          <w:szCs w:val="20"/>
          <w:lang w:val="es-ES"/>
        </w:rPr>
        <w:t xml:space="preserve">y la forma más radical de suprimir su derecho a expresarse libremente, lo cual, a su vez, </w:t>
      </w:r>
      <w:r w:rsidR="00041286" w:rsidRPr="007A0D4C">
        <w:rPr>
          <w:rFonts w:ascii="Cambria" w:hAnsi="Cambria"/>
          <w:sz w:val="20"/>
          <w:szCs w:val="20"/>
          <w:lang w:val="es-ES"/>
        </w:rPr>
        <w:t xml:space="preserve">generó un efecto silenciador </w:t>
      </w:r>
      <w:r w:rsidR="005A3F6E" w:rsidRPr="007A0D4C">
        <w:rPr>
          <w:rFonts w:ascii="Cambria" w:hAnsi="Cambria"/>
          <w:sz w:val="20"/>
          <w:szCs w:val="20"/>
          <w:lang w:val="es-ES"/>
        </w:rPr>
        <w:t>en</w:t>
      </w:r>
      <w:r w:rsidR="00041286" w:rsidRPr="007A0D4C">
        <w:rPr>
          <w:rFonts w:ascii="Cambria" w:hAnsi="Cambria"/>
          <w:sz w:val="20"/>
          <w:szCs w:val="20"/>
          <w:lang w:val="es-ES"/>
        </w:rPr>
        <w:t xml:space="preserve"> otros periodistas</w:t>
      </w:r>
      <w:r w:rsidR="00840944" w:rsidRPr="007A0D4C">
        <w:rPr>
          <w:rFonts w:ascii="Cambria" w:hAnsi="Cambria"/>
          <w:sz w:val="20"/>
          <w:szCs w:val="20"/>
          <w:lang w:val="es-ES"/>
        </w:rPr>
        <w:t xml:space="preserve"> e impidió a la sociedad paraguaya, y al pueblo de </w:t>
      </w:r>
      <w:r w:rsidR="00840944" w:rsidRPr="007A0D4C">
        <w:rPr>
          <w:rFonts w:ascii="Cambria" w:hAnsi="Cambria"/>
          <w:sz w:val="20"/>
          <w:szCs w:val="20"/>
          <w:lang w:val="es-ES"/>
        </w:rPr>
        <w:lastRenderedPageBreak/>
        <w:t xml:space="preserve">Pedro Juan Caballero, en particular, </w:t>
      </w:r>
      <w:r w:rsidR="00456B8E" w:rsidRPr="007A0D4C">
        <w:rPr>
          <w:rFonts w:ascii="Cambria" w:hAnsi="Cambria"/>
          <w:sz w:val="20"/>
          <w:szCs w:val="20"/>
          <w:lang w:val="es-ES"/>
        </w:rPr>
        <w:t xml:space="preserve">escuchar las opiniones o noticias de relevancia pública que Santiago Leguizamón </w:t>
      </w:r>
      <w:r w:rsidR="00957783" w:rsidRPr="007A0D4C">
        <w:rPr>
          <w:rFonts w:ascii="Cambria" w:hAnsi="Cambria"/>
          <w:sz w:val="20"/>
          <w:szCs w:val="20"/>
          <w:lang w:val="es-ES"/>
        </w:rPr>
        <w:t>difundía a través de los medios de comunicación</w:t>
      </w:r>
      <w:r w:rsidR="00BE36A2" w:rsidRPr="007A0D4C">
        <w:rPr>
          <w:rFonts w:ascii="Cambria" w:hAnsi="Cambria"/>
          <w:sz w:val="20"/>
          <w:szCs w:val="20"/>
          <w:lang w:val="es-ES"/>
        </w:rPr>
        <w:t xml:space="preserve">. </w:t>
      </w:r>
      <w:r w:rsidR="002F2950" w:rsidRPr="007A0D4C">
        <w:rPr>
          <w:rFonts w:ascii="Cambria" w:hAnsi="Cambria"/>
          <w:sz w:val="20"/>
          <w:szCs w:val="20"/>
          <w:lang w:val="es-ES"/>
        </w:rPr>
        <w:t>También, consideraron que</w:t>
      </w:r>
      <w:r w:rsidR="00FA4281" w:rsidRPr="007A0D4C">
        <w:rPr>
          <w:rFonts w:ascii="Cambria" w:hAnsi="Cambria"/>
          <w:sz w:val="20"/>
          <w:szCs w:val="20"/>
          <w:lang w:val="es-ES"/>
        </w:rPr>
        <w:t xml:space="preserve"> el derecho a la libertad de expresión no fue garantizado por el Estado debido a</w:t>
      </w:r>
      <w:r w:rsidR="002F2950" w:rsidRPr="007A0D4C">
        <w:rPr>
          <w:rFonts w:ascii="Cambria" w:hAnsi="Cambria"/>
          <w:sz w:val="20"/>
          <w:szCs w:val="20"/>
          <w:lang w:val="es-ES"/>
        </w:rPr>
        <w:t xml:space="preserve"> </w:t>
      </w:r>
      <w:r w:rsidR="00F3789A" w:rsidRPr="007A0D4C">
        <w:rPr>
          <w:rFonts w:ascii="Cambria" w:hAnsi="Cambria"/>
          <w:sz w:val="20"/>
          <w:szCs w:val="20"/>
          <w:lang w:val="es-ES"/>
        </w:rPr>
        <w:t>la falta de una investigación diligente y la impunidad en la que se encuentra el caso</w:t>
      </w:r>
      <w:r w:rsidR="00F1364E" w:rsidRPr="007A0D4C">
        <w:rPr>
          <w:rFonts w:ascii="Cambria" w:hAnsi="Cambria"/>
          <w:sz w:val="20"/>
          <w:szCs w:val="20"/>
          <w:lang w:val="es-ES"/>
        </w:rPr>
        <w:t>.</w:t>
      </w:r>
      <w:r w:rsidR="00F3789A" w:rsidRPr="007A0D4C">
        <w:rPr>
          <w:rFonts w:ascii="Cambria" w:hAnsi="Cambria"/>
          <w:sz w:val="20"/>
          <w:szCs w:val="20"/>
          <w:lang w:val="es-ES"/>
        </w:rPr>
        <w:t xml:space="preserve"> </w:t>
      </w:r>
    </w:p>
    <w:p w14:paraId="2B99BA1B" w14:textId="77777777" w:rsidR="00FC091B" w:rsidRPr="007A0D4C" w:rsidRDefault="00FC091B" w:rsidP="007A0D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VE"/>
        </w:rPr>
      </w:pPr>
    </w:p>
    <w:p w14:paraId="6356DC2C" w14:textId="17E9D5CA" w:rsidR="005C013F" w:rsidRPr="007A0D4C" w:rsidRDefault="005862F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VE"/>
        </w:rPr>
      </w:pPr>
      <w:r w:rsidRPr="007A0D4C">
        <w:rPr>
          <w:rFonts w:ascii="Cambria" w:hAnsi="Cambria"/>
          <w:sz w:val="20"/>
          <w:szCs w:val="20"/>
          <w:lang w:val="es-ES"/>
        </w:rPr>
        <w:t>Por su parte, l</w:t>
      </w:r>
      <w:r w:rsidR="00563870" w:rsidRPr="007A0D4C">
        <w:rPr>
          <w:rFonts w:ascii="Cambria" w:hAnsi="Cambria"/>
          <w:sz w:val="20"/>
          <w:szCs w:val="20"/>
          <w:lang w:val="es-ES"/>
        </w:rPr>
        <w:t xml:space="preserve">a parte peticionaria </w:t>
      </w:r>
      <w:r w:rsidR="00957EB5" w:rsidRPr="007A0D4C">
        <w:rPr>
          <w:rFonts w:ascii="Cambria" w:hAnsi="Cambria"/>
          <w:sz w:val="20"/>
          <w:szCs w:val="20"/>
          <w:lang w:val="es-ES"/>
        </w:rPr>
        <w:t>indica</w:t>
      </w:r>
      <w:r w:rsidRPr="007A0D4C">
        <w:rPr>
          <w:rFonts w:ascii="Cambria" w:hAnsi="Cambria"/>
          <w:sz w:val="20"/>
          <w:szCs w:val="20"/>
          <w:lang w:val="es-ES"/>
        </w:rPr>
        <w:t xml:space="preserve"> que el Estado violó los derechos </w:t>
      </w:r>
      <w:r w:rsidR="00A8627D" w:rsidRPr="007A0D4C">
        <w:rPr>
          <w:rFonts w:ascii="Cambria" w:hAnsi="Cambria"/>
          <w:sz w:val="20"/>
          <w:szCs w:val="20"/>
          <w:lang w:val="es-ES"/>
        </w:rPr>
        <w:t xml:space="preserve">a las garantías judiciales y protección judicial de la esposa de Santiago Leguizamón y de sus cuatro hijos. </w:t>
      </w:r>
      <w:r w:rsidR="00110BDC" w:rsidRPr="007A0D4C">
        <w:rPr>
          <w:rFonts w:ascii="Cambria" w:hAnsi="Cambria"/>
          <w:sz w:val="20"/>
          <w:szCs w:val="20"/>
          <w:lang w:val="es-ES"/>
        </w:rPr>
        <w:t>Lo anterior, debido a que</w:t>
      </w:r>
      <w:r w:rsidR="005C013F" w:rsidRPr="007A0D4C">
        <w:rPr>
          <w:rFonts w:ascii="Cambria" w:hAnsi="Cambria"/>
          <w:sz w:val="20"/>
          <w:szCs w:val="20"/>
          <w:lang w:val="es-ES"/>
        </w:rPr>
        <w:t>,</w:t>
      </w:r>
      <w:r w:rsidR="00110BDC" w:rsidRPr="007A0D4C">
        <w:rPr>
          <w:rFonts w:ascii="Cambria" w:hAnsi="Cambria"/>
          <w:sz w:val="20"/>
          <w:szCs w:val="20"/>
          <w:lang w:val="es-ES"/>
        </w:rPr>
        <w:t xml:space="preserve"> si bien la investigación judicial se </w:t>
      </w:r>
      <w:r w:rsidR="0017208C" w:rsidRPr="007A0D4C">
        <w:rPr>
          <w:rFonts w:ascii="Cambria" w:hAnsi="Cambria"/>
          <w:sz w:val="20"/>
          <w:szCs w:val="20"/>
          <w:lang w:val="es-ES"/>
        </w:rPr>
        <w:t xml:space="preserve">inició </w:t>
      </w:r>
      <w:r w:rsidR="00110BDC" w:rsidRPr="007A0D4C">
        <w:rPr>
          <w:rFonts w:ascii="Cambria" w:hAnsi="Cambria"/>
          <w:sz w:val="20"/>
          <w:szCs w:val="20"/>
          <w:lang w:val="es-ES"/>
        </w:rPr>
        <w:t xml:space="preserve">el mismo día del asesinato del periodista, </w:t>
      </w:r>
      <w:r w:rsidR="00563870" w:rsidRPr="007A0D4C">
        <w:rPr>
          <w:rFonts w:ascii="Cambria" w:hAnsi="Cambria"/>
          <w:sz w:val="20"/>
          <w:szCs w:val="20"/>
          <w:lang w:val="es-ES"/>
        </w:rPr>
        <w:t xml:space="preserve">esta se realizó </w:t>
      </w:r>
      <w:r w:rsidR="005C013F" w:rsidRPr="007A0D4C">
        <w:rPr>
          <w:rFonts w:ascii="Cambria" w:hAnsi="Cambria"/>
          <w:sz w:val="20"/>
          <w:szCs w:val="20"/>
          <w:lang w:val="es-ES"/>
        </w:rPr>
        <w:t xml:space="preserve">sin </w:t>
      </w:r>
      <w:r w:rsidR="005C013F" w:rsidRPr="007A0D4C">
        <w:rPr>
          <w:rFonts w:ascii="Cambria" w:hAnsi="Cambria"/>
          <w:sz w:val="20"/>
          <w:szCs w:val="20"/>
          <w:lang w:val="es-VE"/>
        </w:rPr>
        <w:t>la debida diligencia</w:t>
      </w:r>
      <w:r w:rsidR="00126C65" w:rsidRPr="007A0D4C">
        <w:rPr>
          <w:rFonts w:ascii="Cambria" w:hAnsi="Cambria"/>
          <w:sz w:val="20"/>
          <w:szCs w:val="20"/>
          <w:lang w:val="es-VE"/>
        </w:rPr>
        <w:t xml:space="preserve">, </w:t>
      </w:r>
      <w:r w:rsidR="003269A4" w:rsidRPr="007A0D4C">
        <w:rPr>
          <w:rFonts w:ascii="Cambria" w:hAnsi="Cambria"/>
          <w:sz w:val="20"/>
          <w:szCs w:val="20"/>
          <w:lang w:val="es-VE"/>
        </w:rPr>
        <w:t>y tampoco</w:t>
      </w:r>
      <w:r w:rsidR="00126C65" w:rsidRPr="007A0D4C">
        <w:rPr>
          <w:rFonts w:ascii="Cambria" w:hAnsi="Cambria"/>
          <w:sz w:val="20"/>
          <w:szCs w:val="20"/>
          <w:lang w:val="es-VE"/>
        </w:rPr>
        <w:t xml:space="preserve"> fue </w:t>
      </w:r>
      <w:r w:rsidR="005C013F" w:rsidRPr="007A0D4C">
        <w:rPr>
          <w:rFonts w:ascii="Cambria" w:hAnsi="Cambria"/>
          <w:sz w:val="20"/>
          <w:szCs w:val="20"/>
          <w:lang w:val="es-VE"/>
        </w:rPr>
        <w:t xml:space="preserve">efectiva </w:t>
      </w:r>
      <w:r w:rsidR="003269A4" w:rsidRPr="007A0D4C">
        <w:rPr>
          <w:rFonts w:ascii="Cambria" w:hAnsi="Cambria"/>
          <w:sz w:val="20"/>
          <w:szCs w:val="20"/>
          <w:lang w:val="es-VE"/>
        </w:rPr>
        <w:t>e</w:t>
      </w:r>
      <w:r w:rsidR="005C013F" w:rsidRPr="007A0D4C">
        <w:rPr>
          <w:rFonts w:ascii="Cambria" w:hAnsi="Cambria"/>
          <w:sz w:val="20"/>
          <w:szCs w:val="20"/>
          <w:lang w:val="es-VE"/>
        </w:rPr>
        <w:t xml:space="preserve"> imparcial, </w:t>
      </w:r>
      <w:r w:rsidR="00553CF4" w:rsidRPr="007A0D4C">
        <w:rPr>
          <w:rFonts w:ascii="Cambria" w:hAnsi="Cambria"/>
          <w:sz w:val="20"/>
          <w:szCs w:val="20"/>
          <w:lang w:val="es-VE"/>
        </w:rPr>
        <w:t xml:space="preserve">lo cual impidió </w:t>
      </w:r>
      <w:r w:rsidR="005C013F" w:rsidRPr="007A0D4C">
        <w:rPr>
          <w:rFonts w:ascii="Cambria" w:hAnsi="Cambria"/>
          <w:sz w:val="20"/>
          <w:szCs w:val="20"/>
          <w:lang w:val="es-VE"/>
        </w:rPr>
        <w:t xml:space="preserve">el enjuiciamiento y sanción de los </w:t>
      </w:r>
      <w:r w:rsidR="00C65496" w:rsidRPr="007A0D4C">
        <w:rPr>
          <w:rFonts w:ascii="Cambria" w:hAnsi="Cambria"/>
          <w:sz w:val="20"/>
          <w:szCs w:val="20"/>
          <w:lang w:val="es-VE"/>
        </w:rPr>
        <w:t>responsables,</w:t>
      </w:r>
      <w:r w:rsidR="005C013F" w:rsidRPr="007A0D4C">
        <w:rPr>
          <w:rFonts w:ascii="Cambria" w:hAnsi="Cambria"/>
          <w:sz w:val="20"/>
          <w:szCs w:val="20"/>
          <w:lang w:val="es-VE"/>
        </w:rPr>
        <w:t xml:space="preserve"> así como </w:t>
      </w:r>
      <w:r w:rsidR="00553CF4" w:rsidRPr="007A0D4C">
        <w:rPr>
          <w:rFonts w:ascii="Cambria" w:hAnsi="Cambria"/>
          <w:sz w:val="20"/>
          <w:szCs w:val="20"/>
          <w:lang w:val="es-VE"/>
        </w:rPr>
        <w:t xml:space="preserve">la adopción de </w:t>
      </w:r>
      <w:r w:rsidR="005C013F" w:rsidRPr="007A0D4C">
        <w:rPr>
          <w:rFonts w:ascii="Cambria" w:hAnsi="Cambria"/>
          <w:sz w:val="20"/>
          <w:szCs w:val="20"/>
          <w:lang w:val="es-VE"/>
        </w:rPr>
        <w:t xml:space="preserve">medidas de reparación del daño </w:t>
      </w:r>
      <w:r w:rsidR="000B6245" w:rsidRPr="007A0D4C">
        <w:rPr>
          <w:rFonts w:ascii="Cambria" w:hAnsi="Cambria"/>
          <w:sz w:val="20"/>
          <w:szCs w:val="20"/>
          <w:lang w:val="es-VE"/>
        </w:rPr>
        <w:t>causado</w:t>
      </w:r>
      <w:r w:rsidR="00553CF4" w:rsidRPr="007A0D4C">
        <w:rPr>
          <w:rFonts w:ascii="Cambria" w:hAnsi="Cambria"/>
          <w:sz w:val="20"/>
          <w:szCs w:val="20"/>
          <w:lang w:val="es-VE"/>
        </w:rPr>
        <w:t>.</w:t>
      </w:r>
      <w:r w:rsidR="000B6245" w:rsidRPr="007A0D4C">
        <w:rPr>
          <w:rFonts w:ascii="Cambria" w:hAnsi="Cambria"/>
          <w:sz w:val="20"/>
          <w:szCs w:val="20"/>
          <w:lang w:val="es-VE"/>
        </w:rPr>
        <w:t xml:space="preserve"> La parte peticionaria destaca que la investigación </w:t>
      </w:r>
      <w:r w:rsidR="00545638" w:rsidRPr="007A0D4C">
        <w:rPr>
          <w:rFonts w:ascii="Cambria" w:hAnsi="Cambria"/>
          <w:sz w:val="20"/>
          <w:szCs w:val="20"/>
          <w:lang w:val="es-VE"/>
        </w:rPr>
        <w:t xml:space="preserve">inicial </w:t>
      </w:r>
      <w:r w:rsidR="00BB60D0" w:rsidRPr="007A0D4C">
        <w:rPr>
          <w:rFonts w:ascii="Cambria" w:hAnsi="Cambria"/>
          <w:sz w:val="20"/>
          <w:szCs w:val="20"/>
          <w:lang w:val="es-VE"/>
        </w:rPr>
        <w:t>f</w:t>
      </w:r>
      <w:r w:rsidR="00545638" w:rsidRPr="007A0D4C">
        <w:rPr>
          <w:rFonts w:ascii="Cambria" w:hAnsi="Cambria"/>
          <w:sz w:val="20"/>
          <w:szCs w:val="20"/>
          <w:lang w:val="es-VE"/>
        </w:rPr>
        <w:t xml:space="preserve">ue incompleta, que no existió una hipótesis clara </w:t>
      </w:r>
      <w:r w:rsidR="003F5041" w:rsidRPr="007A0D4C">
        <w:rPr>
          <w:rFonts w:ascii="Cambria" w:hAnsi="Cambria"/>
          <w:sz w:val="20"/>
          <w:szCs w:val="20"/>
          <w:lang w:val="es-VE"/>
        </w:rPr>
        <w:t xml:space="preserve">de investigación, </w:t>
      </w:r>
      <w:r w:rsidR="002F6508" w:rsidRPr="007A0D4C">
        <w:rPr>
          <w:rFonts w:ascii="Cambria" w:hAnsi="Cambria"/>
          <w:sz w:val="20"/>
          <w:szCs w:val="20"/>
          <w:lang w:val="es-VE"/>
        </w:rPr>
        <w:t xml:space="preserve">y </w:t>
      </w:r>
      <w:r w:rsidR="00BB60D0" w:rsidRPr="007A0D4C">
        <w:rPr>
          <w:rFonts w:ascii="Cambria" w:hAnsi="Cambria"/>
          <w:sz w:val="20"/>
          <w:szCs w:val="20"/>
          <w:lang w:val="es-VE"/>
        </w:rPr>
        <w:t xml:space="preserve">que hasta la fecha </w:t>
      </w:r>
      <w:r w:rsidR="00BB60D0" w:rsidRPr="007A0D4C">
        <w:rPr>
          <w:rFonts w:ascii="Cambria" w:hAnsi="Cambria"/>
          <w:sz w:val="20"/>
          <w:szCs w:val="20"/>
          <w:lang w:val="es-ES"/>
        </w:rPr>
        <w:t>los autores intelectuales no ha</w:t>
      </w:r>
      <w:r w:rsidR="00261517">
        <w:rPr>
          <w:rFonts w:ascii="Cambria" w:hAnsi="Cambria"/>
          <w:sz w:val="20"/>
          <w:szCs w:val="20"/>
          <w:lang w:val="es-ES"/>
        </w:rPr>
        <w:t>n</w:t>
      </w:r>
      <w:r w:rsidR="00BB60D0" w:rsidRPr="007A0D4C">
        <w:rPr>
          <w:rFonts w:ascii="Cambria" w:hAnsi="Cambria"/>
          <w:sz w:val="20"/>
          <w:szCs w:val="20"/>
          <w:lang w:val="es-ES"/>
        </w:rPr>
        <w:t xml:space="preserve"> sido identificados ni procesados</w:t>
      </w:r>
      <w:r w:rsidR="009F4DEA" w:rsidRPr="007A0D4C">
        <w:rPr>
          <w:rFonts w:ascii="Cambria" w:hAnsi="Cambria"/>
          <w:sz w:val="20"/>
          <w:szCs w:val="20"/>
          <w:lang w:val="es-ES"/>
        </w:rPr>
        <w:t>. Indica</w:t>
      </w:r>
      <w:r w:rsidR="002F6508" w:rsidRPr="007A0D4C">
        <w:rPr>
          <w:rFonts w:ascii="Cambria" w:hAnsi="Cambria"/>
          <w:sz w:val="20"/>
          <w:szCs w:val="20"/>
          <w:lang w:val="es-ES"/>
        </w:rPr>
        <w:t xml:space="preserve"> también</w:t>
      </w:r>
      <w:r w:rsidR="009F4DEA" w:rsidRPr="007A0D4C">
        <w:rPr>
          <w:rFonts w:ascii="Cambria" w:hAnsi="Cambria"/>
          <w:sz w:val="20"/>
          <w:szCs w:val="20"/>
          <w:lang w:val="es-ES"/>
        </w:rPr>
        <w:t xml:space="preserve"> que</w:t>
      </w:r>
      <w:r w:rsidR="007D7596" w:rsidRPr="007A0D4C">
        <w:rPr>
          <w:rFonts w:ascii="Cambria" w:hAnsi="Cambria"/>
          <w:sz w:val="20"/>
          <w:szCs w:val="20"/>
          <w:lang w:val="es-ES"/>
        </w:rPr>
        <w:t>,</w:t>
      </w:r>
      <w:r w:rsidR="00803F90" w:rsidRPr="007A0D4C">
        <w:rPr>
          <w:rFonts w:ascii="Cambria" w:hAnsi="Cambria"/>
          <w:sz w:val="20"/>
          <w:szCs w:val="20"/>
          <w:lang w:val="es-ES"/>
        </w:rPr>
        <w:t xml:space="preserve"> ante la </w:t>
      </w:r>
      <w:r w:rsidR="002F6508" w:rsidRPr="007A0D4C">
        <w:rPr>
          <w:rFonts w:ascii="Cambria" w:hAnsi="Cambria"/>
          <w:sz w:val="20"/>
          <w:szCs w:val="20"/>
          <w:lang w:val="es-ES"/>
        </w:rPr>
        <w:t>imposibilidad</w:t>
      </w:r>
      <w:r w:rsidR="00803F90" w:rsidRPr="007A0D4C">
        <w:rPr>
          <w:rFonts w:ascii="Cambria" w:hAnsi="Cambria"/>
          <w:sz w:val="20"/>
          <w:szCs w:val="20"/>
          <w:lang w:val="es-ES"/>
        </w:rPr>
        <w:t xml:space="preserve"> de extra</w:t>
      </w:r>
      <w:r w:rsidR="002F6508" w:rsidRPr="007A0D4C">
        <w:rPr>
          <w:rFonts w:ascii="Cambria" w:hAnsi="Cambria"/>
          <w:sz w:val="20"/>
          <w:szCs w:val="20"/>
          <w:lang w:val="es-ES"/>
        </w:rPr>
        <w:t>di</w:t>
      </w:r>
      <w:r w:rsidR="00803F90" w:rsidRPr="007A0D4C">
        <w:rPr>
          <w:rFonts w:ascii="Cambria" w:hAnsi="Cambria"/>
          <w:sz w:val="20"/>
          <w:szCs w:val="20"/>
          <w:lang w:val="es-ES"/>
        </w:rPr>
        <w:t>ción de los presuntos autores materiales de nacionalidad</w:t>
      </w:r>
      <w:r w:rsidR="007D7596" w:rsidRPr="007A0D4C">
        <w:rPr>
          <w:rFonts w:ascii="Cambria" w:hAnsi="Cambria"/>
          <w:sz w:val="20"/>
          <w:szCs w:val="20"/>
          <w:lang w:val="es-ES"/>
        </w:rPr>
        <w:t xml:space="preserve"> brasile</w:t>
      </w:r>
      <w:r w:rsidR="00860860">
        <w:rPr>
          <w:rFonts w:ascii="Cambria" w:hAnsi="Cambria"/>
          <w:sz w:val="20"/>
          <w:szCs w:val="20"/>
          <w:lang w:val="es-ES"/>
        </w:rPr>
        <w:t>ñ</w:t>
      </w:r>
      <w:r w:rsidR="007D7596" w:rsidRPr="007A0D4C">
        <w:rPr>
          <w:rFonts w:ascii="Cambria" w:hAnsi="Cambria"/>
          <w:sz w:val="20"/>
          <w:szCs w:val="20"/>
          <w:lang w:val="es-ES"/>
        </w:rPr>
        <w:t>a,</w:t>
      </w:r>
      <w:r w:rsidR="00803F90" w:rsidRPr="007A0D4C">
        <w:rPr>
          <w:rFonts w:ascii="Cambria" w:hAnsi="Cambria"/>
          <w:sz w:val="20"/>
          <w:szCs w:val="20"/>
          <w:lang w:val="es-ES"/>
        </w:rPr>
        <w:t xml:space="preserve"> </w:t>
      </w:r>
      <w:r w:rsidR="009F4DEA" w:rsidRPr="007A0D4C">
        <w:rPr>
          <w:rFonts w:ascii="Cambria" w:hAnsi="Cambria"/>
          <w:sz w:val="20"/>
          <w:szCs w:val="20"/>
          <w:lang w:val="es-ES"/>
        </w:rPr>
        <w:t xml:space="preserve">las medidas judiciales y solicitudes de cooperación internacional para </w:t>
      </w:r>
      <w:r w:rsidR="00A66BE5" w:rsidRPr="007A0D4C">
        <w:rPr>
          <w:rFonts w:ascii="Cambria" w:hAnsi="Cambria"/>
          <w:sz w:val="20"/>
          <w:szCs w:val="20"/>
          <w:lang w:val="es-ES"/>
        </w:rPr>
        <w:t xml:space="preserve">solicitar su procesamiento oficial en Brasil </w:t>
      </w:r>
      <w:r w:rsidR="009F4DEA" w:rsidRPr="007A0D4C">
        <w:rPr>
          <w:rFonts w:ascii="Cambria" w:hAnsi="Cambria"/>
          <w:sz w:val="20"/>
          <w:szCs w:val="20"/>
          <w:lang w:val="es-ES"/>
        </w:rPr>
        <w:t>fueron tramitadas con extremada lentitud y negligencia</w:t>
      </w:r>
      <w:r w:rsidR="00BF0AEE" w:rsidRPr="007A0D4C">
        <w:rPr>
          <w:rFonts w:ascii="Cambria" w:hAnsi="Cambria"/>
          <w:sz w:val="20"/>
          <w:szCs w:val="20"/>
          <w:lang w:val="es-ES"/>
        </w:rPr>
        <w:t>, y que a partir de que el último pedido de cooperación fuera devuelto</w:t>
      </w:r>
      <w:r w:rsidR="00261517">
        <w:rPr>
          <w:rFonts w:ascii="Cambria" w:hAnsi="Cambria"/>
          <w:sz w:val="20"/>
          <w:szCs w:val="20"/>
          <w:lang w:val="es-ES"/>
        </w:rPr>
        <w:t xml:space="preserve"> en 2014</w:t>
      </w:r>
      <w:r w:rsidR="00BF0AEE" w:rsidRPr="007A0D4C">
        <w:rPr>
          <w:rFonts w:ascii="Cambria" w:hAnsi="Cambria"/>
          <w:sz w:val="20"/>
          <w:szCs w:val="20"/>
          <w:lang w:val="es-ES"/>
        </w:rPr>
        <w:t xml:space="preserve">, </w:t>
      </w:r>
      <w:r w:rsidR="009873B7" w:rsidRPr="007A0D4C">
        <w:rPr>
          <w:rFonts w:ascii="Cambria" w:hAnsi="Cambria"/>
          <w:sz w:val="20"/>
          <w:szCs w:val="20"/>
          <w:lang w:val="es-ES"/>
        </w:rPr>
        <w:t>la causa no recibió trámite alguno.</w:t>
      </w:r>
    </w:p>
    <w:p w14:paraId="59D08053" w14:textId="77777777" w:rsidR="00563870" w:rsidRPr="007A0D4C" w:rsidRDefault="00563870" w:rsidP="007A0D4C">
      <w:pPr>
        <w:pStyle w:val="ListParagraph"/>
        <w:spacing w:before="0" w:after="0"/>
        <w:rPr>
          <w:sz w:val="20"/>
          <w:szCs w:val="20"/>
          <w:lang w:val="es-ES"/>
        </w:rPr>
      </w:pPr>
    </w:p>
    <w:p w14:paraId="5D5AE514" w14:textId="5383965D" w:rsidR="00A512AB" w:rsidRPr="007A0D4C" w:rsidRDefault="00B93592"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VE"/>
        </w:rPr>
      </w:pPr>
      <w:r w:rsidRPr="007A0D4C">
        <w:rPr>
          <w:rFonts w:ascii="Cambria" w:hAnsi="Cambria"/>
          <w:sz w:val="20"/>
          <w:szCs w:val="20"/>
          <w:lang w:val="es-VE"/>
        </w:rPr>
        <w:t xml:space="preserve">Asimismo, los peticionarios </w:t>
      </w:r>
      <w:r w:rsidR="004F0FDE" w:rsidRPr="007A0D4C">
        <w:rPr>
          <w:rFonts w:ascii="Cambria" w:hAnsi="Cambria"/>
          <w:sz w:val="20"/>
          <w:szCs w:val="20"/>
          <w:lang w:val="es-VE"/>
        </w:rPr>
        <w:t xml:space="preserve">alegan </w:t>
      </w:r>
      <w:r w:rsidR="007D6283" w:rsidRPr="007A0D4C">
        <w:rPr>
          <w:rFonts w:ascii="Cambria" w:hAnsi="Cambria"/>
          <w:sz w:val="20"/>
          <w:szCs w:val="20"/>
          <w:lang w:val="es-VE"/>
        </w:rPr>
        <w:t>que la esposa y los cuatro hijos de Santiago Leguizam</w:t>
      </w:r>
      <w:r w:rsidR="007D6283" w:rsidRPr="007A0D4C">
        <w:rPr>
          <w:rFonts w:ascii="Cambria" w:hAnsi="Cambria"/>
          <w:sz w:val="20"/>
          <w:szCs w:val="20"/>
          <w:lang w:val="es-PE"/>
        </w:rPr>
        <w:t xml:space="preserve">ón </w:t>
      </w:r>
      <w:r w:rsidR="007D6283" w:rsidRPr="007A0D4C">
        <w:rPr>
          <w:rFonts w:ascii="Cambria" w:hAnsi="Cambria"/>
          <w:sz w:val="20"/>
          <w:szCs w:val="20"/>
          <w:lang w:val="es-VE"/>
        </w:rPr>
        <w:t>tuvieron que soportar la angustia y tristeza que gener</w:t>
      </w:r>
      <w:r w:rsidR="001A23FA" w:rsidRPr="007A0D4C">
        <w:rPr>
          <w:rFonts w:ascii="Cambria" w:hAnsi="Cambria"/>
          <w:sz w:val="20"/>
          <w:szCs w:val="20"/>
          <w:lang w:val="es-VE"/>
        </w:rPr>
        <w:t>ó</w:t>
      </w:r>
      <w:r w:rsidR="007D6283" w:rsidRPr="007A0D4C">
        <w:rPr>
          <w:rFonts w:ascii="Cambria" w:hAnsi="Cambria"/>
          <w:sz w:val="20"/>
          <w:szCs w:val="20"/>
          <w:lang w:val="es-VE"/>
        </w:rPr>
        <w:t xml:space="preserve"> la pérdida de un ser querido, agravada por la falta de un juicio justo y la sanción a los responsables</w:t>
      </w:r>
      <w:r w:rsidR="00FD2328" w:rsidRPr="007A0D4C">
        <w:rPr>
          <w:rFonts w:ascii="Cambria" w:hAnsi="Cambria"/>
          <w:sz w:val="20"/>
          <w:szCs w:val="20"/>
          <w:lang w:val="es-VE"/>
        </w:rPr>
        <w:t xml:space="preserve">. Además, señalan que </w:t>
      </w:r>
      <w:r w:rsidR="00DB35CD" w:rsidRPr="007A0D4C">
        <w:rPr>
          <w:rFonts w:ascii="Cambria" w:hAnsi="Cambria"/>
          <w:sz w:val="20"/>
          <w:szCs w:val="20"/>
          <w:lang w:val="es-VE"/>
        </w:rPr>
        <w:t xml:space="preserve">debieron </w:t>
      </w:r>
      <w:r w:rsidR="000130D4" w:rsidRPr="007A0D4C">
        <w:rPr>
          <w:rFonts w:ascii="Cambria" w:hAnsi="Cambria"/>
          <w:sz w:val="20"/>
          <w:szCs w:val="20"/>
          <w:lang w:val="es-VE"/>
        </w:rPr>
        <w:t>soportar</w:t>
      </w:r>
      <w:r w:rsidR="004F0FDE" w:rsidRPr="007A0D4C">
        <w:rPr>
          <w:rFonts w:ascii="Cambria" w:hAnsi="Cambria"/>
          <w:sz w:val="20"/>
          <w:szCs w:val="20"/>
          <w:lang w:val="es-VE"/>
        </w:rPr>
        <w:t xml:space="preserve"> </w:t>
      </w:r>
      <w:r w:rsidR="007D6283" w:rsidRPr="007A0D4C">
        <w:rPr>
          <w:rFonts w:ascii="Cambria" w:hAnsi="Cambria"/>
          <w:sz w:val="20"/>
          <w:szCs w:val="20"/>
          <w:lang w:val="es-VE"/>
        </w:rPr>
        <w:t xml:space="preserve">la falta de protección del Estado </w:t>
      </w:r>
      <w:r w:rsidR="00261517">
        <w:rPr>
          <w:rFonts w:ascii="Cambria" w:hAnsi="Cambria"/>
          <w:sz w:val="20"/>
          <w:szCs w:val="20"/>
          <w:lang w:val="es-VE"/>
        </w:rPr>
        <w:t xml:space="preserve">y la ausencia de una </w:t>
      </w:r>
      <w:r w:rsidR="00385856" w:rsidRPr="007A0D4C">
        <w:rPr>
          <w:rFonts w:ascii="Cambria" w:hAnsi="Cambria"/>
          <w:sz w:val="20"/>
          <w:szCs w:val="20"/>
          <w:lang w:val="es-VE"/>
        </w:rPr>
        <w:t>investigación ante</w:t>
      </w:r>
      <w:r w:rsidR="007D6283" w:rsidRPr="007A0D4C">
        <w:rPr>
          <w:rFonts w:ascii="Cambria" w:hAnsi="Cambria"/>
          <w:sz w:val="20"/>
          <w:szCs w:val="20"/>
          <w:lang w:val="es-VE"/>
        </w:rPr>
        <w:t xml:space="preserve"> las amenazas y amedrentamientos a la familia</w:t>
      </w:r>
      <w:r w:rsidR="00261517">
        <w:rPr>
          <w:rFonts w:ascii="Cambria" w:hAnsi="Cambria"/>
          <w:sz w:val="20"/>
          <w:szCs w:val="20"/>
          <w:lang w:val="es-VE"/>
        </w:rPr>
        <w:t xml:space="preserve">, en un contexto </w:t>
      </w:r>
      <w:r w:rsidR="003E7C65">
        <w:rPr>
          <w:rFonts w:ascii="Cambria" w:hAnsi="Cambria"/>
          <w:sz w:val="20"/>
          <w:szCs w:val="20"/>
          <w:lang w:val="es-VE"/>
        </w:rPr>
        <w:t xml:space="preserve">de </w:t>
      </w:r>
      <w:r w:rsidR="00261517" w:rsidRPr="007A0D4C">
        <w:rPr>
          <w:rFonts w:ascii="Cambria" w:hAnsi="Cambria"/>
          <w:sz w:val="20"/>
          <w:szCs w:val="20"/>
          <w:lang w:val="es-VE"/>
        </w:rPr>
        <w:t>de</w:t>
      </w:r>
      <w:r w:rsidR="003E7C65">
        <w:rPr>
          <w:rFonts w:ascii="Cambria" w:hAnsi="Cambria"/>
          <w:sz w:val="20"/>
          <w:szCs w:val="20"/>
          <w:lang w:val="es-VE"/>
        </w:rPr>
        <w:t>sc</w:t>
      </w:r>
      <w:r w:rsidR="00261517" w:rsidRPr="007A0D4C">
        <w:rPr>
          <w:rFonts w:ascii="Cambria" w:hAnsi="Cambria"/>
          <w:sz w:val="20"/>
          <w:szCs w:val="20"/>
          <w:lang w:val="es-VE"/>
        </w:rPr>
        <w:t xml:space="preserve">onfianza </w:t>
      </w:r>
      <w:r w:rsidR="003E7C65">
        <w:rPr>
          <w:rFonts w:ascii="Cambria" w:hAnsi="Cambria"/>
          <w:sz w:val="20"/>
          <w:szCs w:val="20"/>
          <w:lang w:val="es-VE"/>
        </w:rPr>
        <w:t>en</w:t>
      </w:r>
      <w:r w:rsidR="00261517" w:rsidRPr="007A0D4C">
        <w:rPr>
          <w:rFonts w:ascii="Cambria" w:hAnsi="Cambria"/>
          <w:sz w:val="20"/>
          <w:szCs w:val="20"/>
          <w:lang w:val="es-VE"/>
        </w:rPr>
        <w:t xml:space="preserve"> las autoridades debido a la estrecha relación de los presuntos autores morales con el presidente de la República</w:t>
      </w:r>
      <w:r w:rsidR="00261517">
        <w:rPr>
          <w:rFonts w:ascii="Cambria" w:hAnsi="Cambria"/>
          <w:sz w:val="20"/>
          <w:szCs w:val="20"/>
          <w:lang w:val="es-VE"/>
        </w:rPr>
        <w:t xml:space="preserve">. </w:t>
      </w:r>
      <w:r w:rsidR="000D7953">
        <w:rPr>
          <w:rFonts w:ascii="Cambria" w:hAnsi="Cambria"/>
          <w:sz w:val="20"/>
          <w:szCs w:val="20"/>
          <w:lang w:val="es-VE"/>
        </w:rPr>
        <w:t>Resaltan,</w:t>
      </w:r>
      <w:r w:rsidR="00261517">
        <w:rPr>
          <w:rFonts w:ascii="Cambria" w:hAnsi="Cambria"/>
          <w:sz w:val="20"/>
          <w:szCs w:val="20"/>
          <w:lang w:val="es-VE"/>
        </w:rPr>
        <w:t xml:space="preserve"> además, que la muerte de Santiago Leguizamón generó un</w:t>
      </w:r>
      <w:r w:rsidR="001F164F" w:rsidRPr="007A0D4C">
        <w:rPr>
          <w:rFonts w:ascii="Cambria" w:hAnsi="Cambria"/>
          <w:sz w:val="20"/>
          <w:szCs w:val="20"/>
          <w:lang w:val="es-VE"/>
        </w:rPr>
        <w:t xml:space="preserve"> impacto económico </w:t>
      </w:r>
      <w:r w:rsidR="00261517">
        <w:rPr>
          <w:rFonts w:ascii="Cambria" w:hAnsi="Cambria"/>
          <w:sz w:val="20"/>
          <w:szCs w:val="20"/>
          <w:lang w:val="es-VE"/>
        </w:rPr>
        <w:t>en su perjuicio</w:t>
      </w:r>
      <w:r w:rsidR="00DB35CD" w:rsidRPr="007A0D4C">
        <w:rPr>
          <w:rFonts w:ascii="Cambria" w:hAnsi="Cambria"/>
          <w:sz w:val="20"/>
          <w:szCs w:val="20"/>
          <w:lang w:val="es-VE"/>
        </w:rPr>
        <w:t>. Todo lo anterior, según los peticionarios,</w:t>
      </w:r>
      <w:r w:rsidR="007D6283" w:rsidRPr="007A0D4C">
        <w:rPr>
          <w:rFonts w:ascii="Cambria" w:hAnsi="Cambria"/>
          <w:sz w:val="20"/>
          <w:szCs w:val="20"/>
          <w:lang w:val="es-VE"/>
        </w:rPr>
        <w:t xml:space="preserve"> </w:t>
      </w:r>
      <w:r w:rsidR="001F164F" w:rsidRPr="007A0D4C">
        <w:rPr>
          <w:rFonts w:ascii="Cambria" w:hAnsi="Cambria"/>
          <w:sz w:val="20"/>
          <w:szCs w:val="20"/>
          <w:lang w:val="es-VE"/>
        </w:rPr>
        <w:t>generó</w:t>
      </w:r>
      <w:r w:rsidR="006C21E8" w:rsidRPr="007A0D4C">
        <w:rPr>
          <w:rFonts w:ascii="Cambria" w:hAnsi="Cambria"/>
          <w:sz w:val="20"/>
          <w:szCs w:val="20"/>
          <w:lang w:val="es-VE"/>
        </w:rPr>
        <w:t xml:space="preserve"> en la familia, sentimientos de dolor e impotencia, que afectan de manera grave su integridad personal. </w:t>
      </w:r>
    </w:p>
    <w:p w14:paraId="03F9A65D" w14:textId="77777777" w:rsidR="00EF7FB5" w:rsidRPr="007A0D4C" w:rsidRDefault="00EF7FB5" w:rsidP="007A0D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VE"/>
        </w:rPr>
      </w:pPr>
    </w:p>
    <w:p w14:paraId="78486CEA" w14:textId="4F7E68EF" w:rsidR="001C0705" w:rsidRPr="007A0D4C" w:rsidRDefault="00C857A0"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Con base en lo expuesto, l</w:t>
      </w:r>
      <w:r w:rsidR="001C0705" w:rsidRPr="007A0D4C">
        <w:rPr>
          <w:rFonts w:ascii="Cambria" w:hAnsi="Cambria"/>
          <w:sz w:val="20"/>
          <w:szCs w:val="20"/>
          <w:lang w:val="es-VE"/>
        </w:rPr>
        <w:t>os peticionarios solicitan a la CIDH declarar la responsabilidad internac</w:t>
      </w:r>
      <w:r w:rsidRPr="007A0D4C">
        <w:rPr>
          <w:rFonts w:ascii="Cambria" w:hAnsi="Cambria"/>
          <w:sz w:val="20"/>
          <w:szCs w:val="20"/>
          <w:lang w:val="es-VE"/>
        </w:rPr>
        <w:t xml:space="preserve">ional del Estado </w:t>
      </w:r>
      <w:r w:rsidR="006420F8">
        <w:rPr>
          <w:rFonts w:ascii="Cambria" w:hAnsi="Cambria"/>
          <w:sz w:val="20"/>
          <w:szCs w:val="20"/>
          <w:lang w:val="es-VE"/>
        </w:rPr>
        <w:t>paraguayo</w:t>
      </w:r>
      <w:r w:rsidRPr="007A0D4C">
        <w:rPr>
          <w:rFonts w:ascii="Cambria" w:hAnsi="Cambria"/>
          <w:sz w:val="20"/>
          <w:szCs w:val="20"/>
          <w:lang w:val="es-VE"/>
        </w:rPr>
        <w:t xml:space="preserve"> por la violación de los artículos </w:t>
      </w:r>
      <w:r w:rsidR="0010209C" w:rsidRPr="007A0D4C">
        <w:rPr>
          <w:rFonts w:ascii="Cambria" w:hAnsi="Cambria"/>
          <w:sz w:val="20"/>
          <w:szCs w:val="20"/>
          <w:lang w:val="es-VE"/>
        </w:rPr>
        <w:t xml:space="preserve">4, </w:t>
      </w:r>
      <w:r w:rsidR="00F26254" w:rsidRPr="007A0D4C">
        <w:rPr>
          <w:rFonts w:ascii="Cambria" w:hAnsi="Cambria"/>
          <w:sz w:val="20"/>
          <w:szCs w:val="20"/>
          <w:lang w:val="es-VE"/>
        </w:rPr>
        <w:t xml:space="preserve">5, </w:t>
      </w:r>
      <w:r w:rsidRPr="007A0D4C">
        <w:rPr>
          <w:rFonts w:ascii="Cambria" w:hAnsi="Cambria"/>
          <w:sz w:val="20"/>
          <w:szCs w:val="20"/>
          <w:lang w:val="es-VE"/>
        </w:rPr>
        <w:t xml:space="preserve">13, 8 y 25, en relación con </w:t>
      </w:r>
      <w:r w:rsidR="00E350E1" w:rsidRPr="007A0D4C">
        <w:rPr>
          <w:rFonts w:ascii="Cambria" w:hAnsi="Cambria"/>
          <w:sz w:val="20"/>
          <w:szCs w:val="20"/>
          <w:lang w:val="es-VE"/>
        </w:rPr>
        <w:t xml:space="preserve">el </w:t>
      </w:r>
      <w:r w:rsidR="00B16402" w:rsidRPr="007A0D4C">
        <w:rPr>
          <w:rFonts w:ascii="Cambria" w:hAnsi="Cambria"/>
          <w:sz w:val="20"/>
          <w:szCs w:val="20"/>
          <w:lang w:val="es-VE"/>
        </w:rPr>
        <w:t>artí</w:t>
      </w:r>
      <w:r w:rsidRPr="007A0D4C">
        <w:rPr>
          <w:rFonts w:ascii="Cambria" w:hAnsi="Cambria"/>
          <w:sz w:val="20"/>
          <w:szCs w:val="20"/>
          <w:lang w:val="es-VE"/>
        </w:rPr>
        <w:t xml:space="preserve">culo 1.1 de la Convención, en perjuicio </w:t>
      </w:r>
      <w:r w:rsidR="0083588D" w:rsidRPr="007A0D4C">
        <w:rPr>
          <w:rFonts w:ascii="Cambria" w:hAnsi="Cambria"/>
          <w:sz w:val="20"/>
          <w:szCs w:val="20"/>
          <w:lang w:val="es-VE"/>
        </w:rPr>
        <w:t xml:space="preserve">del </w:t>
      </w:r>
      <w:r w:rsidRPr="007A0D4C">
        <w:rPr>
          <w:rFonts w:ascii="Cambria" w:hAnsi="Cambria"/>
          <w:sz w:val="20"/>
          <w:szCs w:val="20"/>
          <w:lang w:val="es-VE"/>
        </w:rPr>
        <w:t>periodista</w:t>
      </w:r>
      <w:r w:rsidR="0083588D" w:rsidRPr="007A0D4C">
        <w:rPr>
          <w:rFonts w:ascii="Cambria" w:hAnsi="Cambria"/>
          <w:sz w:val="20"/>
          <w:szCs w:val="20"/>
          <w:lang w:val="es-VE"/>
        </w:rPr>
        <w:t xml:space="preserve"> y su familia</w:t>
      </w:r>
      <w:r w:rsidRPr="007A0D4C">
        <w:rPr>
          <w:rFonts w:ascii="Cambria" w:hAnsi="Cambria"/>
          <w:sz w:val="20"/>
          <w:szCs w:val="20"/>
          <w:lang w:val="es-VE"/>
        </w:rPr>
        <w:t>.</w:t>
      </w:r>
    </w:p>
    <w:p w14:paraId="28624D8B" w14:textId="77777777" w:rsidR="00F54DD1" w:rsidRPr="007A0D4C" w:rsidRDefault="00F54DD1"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1B3C7BD9" w14:textId="77777777" w:rsidR="0098300E" w:rsidRPr="007A0D4C" w:rsidRDefault="00C024AD" w:rsidP="007A0D4C">
      <w:pPr>
        <w:pStyle w:val="Heading2"/>
        <w:spacing w:before="0" w:after="0"/>
        <w:ind w:left="0" w:firstLine="0"/>
        <w:jc w:val="both"/>
      </w:pPr>
      <w:bookmarkStart w:id="14" w:name="_Toc47965319"/>
      <w:r w:rsidRPr="007A0D4C">
        <w:t>Estado</w:t>
      </w:r>
      <w:bookmarkEnd w:id="11"/>
      <w:bookmarkEnd w:id="12"/>
      <w:bookmarkEnd w:id="13"/>
      <w:bookmarkEnd w:id="14"/>
    </w:p>
    <w:p w14:paraId="03B7FC50" w14:textId="3790FD46" w:rsidR="00620F66" w:rsidRPr="007A0D4C" w:rsidRDefault="00620F66"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highlight w:val="yellow"/>
          <w:lang w:val="es-VE"/>
        </w:rPr>
      </w:pPr>
    </w:p>
    <w:p w14:paraId="12092EC5" w14:textId="77777777" w:rsidR="00620F66" w:rsidRPr="000D369F" w:rsidRDefault="00620F66"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AR"/>
        </w:rPr>
      </w:pPr>
      <w:r w:rsidRPr="000D369F">
        <w:rPr>
          <w:rFonts w:ascii="Cambria" w:hAnsi="Cambria"/>
          <w:sz w:val="20"/>
          <w:szCs w:val="20"/>
          <w:lang w:val="es-AR"/>
        </w:rPr>
        <w:t>El Estado no presentó observaciones en esta etapa, por lo que la presente sección se basa en los argumentos de fondo esgrimidos durante la etapa de admisibilidad.</w:t>
      </w:r>
    </w:p>
    <w:p w14:paraId="7F0541CA" w14:textId="77777777" w:rsidR="005F0B97" w:rsidRPr="007A0D4C" w:rsidRDefault="005F0B97" w:rsidP="007A0D4C">
      <w:pPr>
        <w:pStyle w:val="ListParagraph"/>
        <w:spacing w:before="0" w:after="0"/>
        <w:rPr>
          <w:sz w:val="20"/>
          <w:szCs w:val="20"/>
          <w:lang w:val="es-VE"/>
        </w:rPr>
      </w:pPr>
    </w:p>
    <w:p w14:paraId="35C78C1F" w14:textId="144445F6"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El Estado señal</w:t>
      </w:r>
      <w:r w:rsidR="00CE51A4" w:rsidRPr="007A0D4C">
        <w:rPr>
          <w:rFonts w:ascii="Cambria" w:hAnsi="Cambria"/>
          <w:sz w:val="20"/>
          <w:szCs w:val="20"/>
          <w:lang w:val="es-VE"/>
        </w:rPr>
        <w:t>a</w:t>
      </w:r>
      <w:r w:rsidRPr="007A0D4C">
        <w:rPr>
          <w:rFonts w:ascii="Cambria" w:hAnsi="Cambria"/>
          <w:sz w:val="20"/>
          <w:szCs w:val="20"/>
          <w:lang w:val="es-VE"/>
        </w:rPr>
        <w:t xml:space="preserve"> que “de las constancias del expediente judicial, </w:t>
      </w:r>
      <w:r w:rsidR="00AE4690" w:rsidRPr="007A0D4C">
        <w:rPr>
          <w:rFonts w:ascii="Cambria" w:hAnsi="Cambria"/>
          <w:sz w:val="20"/>
          <w:szCs w:val="20"/>
          <w:lang w:val="es-PE"/>
        </w:rPr>
        <w:t>[el]</w:t>
      </w:r>
      <w:r w:rsidRPr="007A0D4C">
        <w:rPr>
          <w:rFonts w:ascii="Cambria" w:hAnsi="Cambria"/>
          <w:sz w:val="20"/>
          <w:szCs w:val="20"/>
          <w:lang w:val="es-VE"/>
        </w:rPr>
        <w:t xml:space="preserve"> 26 de abril de 1991 el periodista SANTIAGO LEGUIZAMON fue víctima de un hecho punible de homicidio doloso, ocurrido en la vía pública de la ciudad de Pedro Juan Caballero, recibiendo un total de 22 proyectiles. Inmediatamente de ocurrido el hecho el Juez y el Agente Fiscal de Turno se constituyeron en el lugar, y </w:t>
      </w:r>
      <w:r w:rsidR="0010030B" w:rsidRPr="007A0D4C">
        <w:rPr>
          <w:rFonts w:ascii="Cambria" w:hAnsi="Cambria"/>
          <w:sz w:val="20"/>
          <w:szCs w:val="20"/>
          <w:lang w:val="es-VE"/>
        </w:rPr>
        <w:t xml:space="preserve">[…] [el] </w:t>
      </w:r>
      <w:r w:rsidRPr="007A0D4C">
        <w:rPr>
          <w:rFonts w:ascii="Cambria" w:hAnsi="Cambria"/>
          <w:sz w:val="20"/>
          <w:szCs w:val="20"/>
          <w:lang w:val="es-VE"/>
        </w:rPr>
        <w:t>26 de abril de 1991, el Juzgado instruyó el sumario en averiguación del hecho y la determinación de su autor o autores, cómplices y encubridores”. Agreg</w:t>
      </w:r>
      <w:r w:rsidR="00CE51A4" w:rsidRPr="007A0D4C">
        <w:rPr>
          <w:rFonts w:ascii="Cambria" w:hAnsi="Cambria"/>
          <w:sz w:val="20"/>
          <w:szCs w:val="20"/>
          <w:lang w:val="es-VE"/>
        </w:rPr>
        <w:t>a</w:t>
      </w:r>
      <w:r w:rsidRPr="007A0D4C">
        <w:rPr>
          <w:rFonts w:ascii="Cambria" w:hAnsi="Cambria"/>
          <w:sz w:val="20"/>
          <w:szCs w:val="20"/>
          <w:lang w:val="es-VE"/>
        </w:rPr>
        <w:t xml:space="preserve"> que la causa judicial fue asignada al Juzgado en lo Penal de Liquidación y Sentencia No. 3 de la </w:t>
      </w:r>
      <w:r w:rsidR="00A45D97">
        <w:rPr>
          <w:rFonts w:ascii="Cambria" w:hAnsi="Cambria"/>
          <w:sz w:val="20"/>
          <w:szCs w:val="20"/>
          <w:lang w:val="es-VE"/>
        </w:rPr>
        <w:t>c</w:t>
      </w:r>
      <w:r w:rsidRPr="007A0D4C">
        <w:rPr>
          <w:rFonts w:ascii="Cambria" w:hAnsi="Cambria"/>
          <w:sz w:val="20"/>
          <w:szCs w:val="20"/>
          <w:lang w:val="es-VE"/>
        </w:rPr>
        <w:t xml:space="preserve">ircunscripción </w:t>
      </w:r>
      <w:r w:rsidR="00A45D97">
        <w:rPr>
          <w:rFonts w:ascii="Cambria" w:hAnsi="Cambria"/>
          <w:sz w:val="20"/>
          <w:szCs w:val="20"/>
          <w:lang w:val="es-VE"/>
        </w:rPr>
        <w:t>j</w:t>
      </w:r>
      <w:r w:rsidRPr="007A0D4C">
        <w:rPr>
          <w:rFonts w:ascii="Cambria" w:hAnsi="Cambria"/>
          <w:sz w:val="20"/>
          <w:szCs w:val="20"/>
          <w:lang w:val="es-VE"/>
        </w:rPr>
        <w:t>udicial de</w:t>
      </w:r>
      <w:r w:rsidR="00E43350">
        <w:rPr>
          <w:rFonts w:ascii="Cambria" w:hAnsi="Cambria"/>
          <w:sz w:val="20"/>
          <w:szCs w:val="20"/>
          <w:lang w:val="es-VE"/>
        </w:rPr>
        <w:t>l</w:t>
      </w:r>
      <w:r w:rsidRPr="007A0D4C">
        <w:rPr>
          <w:rFonts w:ascii="Cambria" w:hAnsi="Cambria"/>
          <w:sz w:val="20"/>
          <w:szCs w:val="20"/>
          <w:lang w:val="es-VE"/>
        </w:rPr>
        <w:t xml:space="preserve"> Amambay. El Estado explic</w:t>
      </w:r>
      <w:r w:rsidR="00CE51A4" w:rsidRPr="007A0D4C">
        <w:rPr>
          <w:rFonts w:ascii="Cambria" w:hAnsi="Cambria"/>
          <w:sz w:val="20"/>
          <w:szCs w:val="20"/>
          <w:lang w:val="es-VE"/>
        </w:rPr>
        <w:t>a</w:t>
      </w:r>
      <w:r w:rsidRPr="007A0D4C">
        <w:rPr>
          <w:rFonts w:ascii="Cambria" w:hAnsi="Cambria"/>
          <w:sz w:val="20"/>
          <w:szCs w:val="20"/>
          <w:lang w:val="es-VE"/>
        </w:rPr>
        <w:t xml:space="preserve"> que el proceso penal de este caso </w:t>
      </w:r>
      <w:r w:rsidR="00856925">
        <w:rPr>
          <w:rFonts w:ascii="Cambria" w:hAnsi="Cambria"/>
          <w:sz w:val="20"/>
          <w:szCs w:val="20"/>
          <w:lang w:val="es-VE"/>
        </w:rPr>
        <w:t>fue</w:t>
      </w:r>
      <w:r w:rsidRPr="007A0D4C">
        <w:rPr>
          <w:rFonts w:ascii="Cambria" w:hAnsi="Cambria"/>
          <w:sz w:val="20"/>
          <w:szCs w:val="20"/>
          <w:lang w:val="es-VE"/>
        </w:rPr>
        <w:t xml:space="preserve"> de tipo inquisitivo, de conformidad con el Código de Procedimientos Penales de 1890, vigente al momento de ocurrido</w:t>
      </w:r>
      <w:r w:rsidR="00860860">
        <w:rPr>
          <w:rFonts w:ascii="Cambria" w:hAnsi="Cambria"/>
          <w:sz w:val="20"/>
          <w:szCs w:val="20"/>
          <w:lang w:val="es-VE"/>
        </w:rPr>
        <w:t>s</w:t>
      </w:r>
      <w:r w:rsidRPr="007A0D4C">
        <w:rPr>
          <w:rFonts w:ascii="Cambria" w:hAnsi="Cambria"/>
          <w:sz w:val="20"/>
          <w:szCs w:val="20"/>
          <w:lang w:val="es-VE"/>
        </w:rPr>
        <w:t xml:space="preserve"> los hechos. </w:t>
      </w:r>
    </w:p>
    <w:p w14:paraId="128C5EB0" w14:textId="77777777" w:rsidR="005F0B97" w:rsidRPr="007A0D4C" w:rsidRDefault="005F0B97" w:rsidP="007A0D4C">
      <w:pPr>
        <w:pStyle w:val="ListParagraph"/>
        <w:spacing w:before="0" w:after="0"/>
        <w:rPr>
          <w:sz w:val="20"/>
          <w:szCs w:val="20"/>
          <w:lang w:val="es-VE"/>
        </w:rPr>
      </w:pPr>
    </w:p>
    <w:p w14:paraId="43575D33" w14:textId="1D6683B4"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El Estado afirm</w:t>
      </w:r>
      <w:r w:rsidR="00CE51A4" w:rsidRPr="007A0D4C">
        <w:rPr>
          <w:rFonts w:ascii="Cambria" w:hAnsi="Cambria"/>
          <w:sz w:val="20"/>
          <w:szCs w:val="20"/>
          <w:lang w:val="es-VE"/>
        </w:rPr>
        <w:t>a</w:t>
      </w:r>
      <w:r w:rsidRPr="007A0D4C">
        <w:rPr>
          <w:rFonts w:ascii="Cambria" w:hAnsi="Cambria"/>
          <w:sz w:val="20"/>
          <w:szCs w:val="20"/>
          <w:lang w:val="es-VE"/>
        </w:rPr>
        <w:t xml:space="preserve"> que a través de una providencia de 18 febrero de 1992 el juez amplió el sumario e incluyó como sospechosos a catorce personas, todas ellas de nacionalidad brasileña. Inform</w:t>
      </w:r>
      <w:r w:rsidR="00A64BCC" w:rsidRPr="007A0D4C">
        <w:rPr>
          <w:rFonts w:ascii="Cambria" w:hAnsi="Cambria"/>
          <w:sz w:val="20"/>
          <w:szCs w:val="20"/>
          <w:lang w:val="es-VE"/>
        </w:rPr>
        <w:t>a</w:t>
      </w:r>
      <w:r w:rsidRPr="007A0D4C">
        <w:rPr>
          <w:rFonts w:ascii="Cambria" w:hAnsi="Cambria"/>
          <w:sz w:val="20"/>
          <w:szCs w:val="20"/>
          <w:lang w:val="es-VE"/>
        </w:rPr>
        <w:t xml:space="preserve"> que el Juzgado dictó auto formal de prisión el 29 de abril de 1992, con fines de extradición desde Brasil, en caso de que allí estuviesen. Indic</w:t>
      </w:r>
      <w:r w:rsidR="00A64BCC" w:rsidRPr="007A0D4C">
        <w:rPr>
          <w:rFonts w:ascii="Cambria" w:hAnsi="Cambria"/>
          <w:sz w:val="20"/>
          <w:szCs w:val="20"/>
          <w:lang w:val="es-VE"/>
        </w:rPr>
        <w:t>a</w:t>
      </w:r>
      <w:r w:rsidRPr="007A0D4C">
        <w:rPr>
          <w:rFonts w:ascii="Cambria" w:hAnsi="Cambria"/>
          <w:sz w:val="20"/>
          <w:szCs w:val="20"/>
          <w:lang w:val="es-VE"/>
        </w:rPr>
        <w:t xml:space="preserve"> que el 21 de septiembre de 1992, el Juzgado declaró rebelde y contumaz a todos los indiciados. </w:t>
      </w:r>
      <w:r w:rsidR="00A64BCC" w:rsidRPr="007A0D4C">
        <w:rPr>
          <w:rFonts w:ascii="Cambria" w:hAnsi="Cambria"/>
          <w:sz w:val="20"/>
          <w:szCs w:val="20"/>
          <w:lang w:val="es-VE"/>
        </w:rPr>
        <w:t>El Estado también señala</w:t>
      </w:r>
      <w:r w:rsidRPr="007A0D4C">
        <w:rPr>
          <w:rFonts w:ascii="Cambria" w:hAnsi="Cambria"/>
          <w:sz w:val="20"/>
          <w:szCs w:val="20"/>
          <w:lang w:val="es-VE"/>
        </w:rPr>
        <w:t xml:space="preserve"> que el 26 de septiembre de 1997, el Juzgado amplió sumario en contra de una persona de nacionalidad brasileña y ordenó su detención preventiva. </w:t>
      </w:r>
    </w:p>
    <w:p w14:paraId="0AA82030" w14:textId="77777777" w:rsidR="005F0B97" w:rsidRPr="007A0D4C" w:rsidRDefault="005F0B97" w:rsidP="007A0D4C">
      <w:pPr>
        <w:pStyle w:val="ListParagraph"/>
        <w:spacing w:before="0" w:after="0"/>
        <w:rPr>
          <w:sz w:val="20"/>
          <w:szCs w:val="20"/>
          <w:lang w:val="es-VE"/>
        </w:rPr>
      </w:pPr>
    </w:p>
    <w:p w14:paraId="099F4280" w14:textId="29FA52FF"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El Estado explic</w:t>
      </w:r>
      <w:r w:rsidR="007B695D" w:rsidRPr="007A0D4C">
        <w:rPr>
          <w:rFonts w:ascii="Cambria" w:hAnsi="Cambria"/>
          <w:sz w:val="20"/>
          <w:szCs w:val="20"/>
          <w:lang w:val="es-VE"/>
        </w:rPr>
        <w:t>a</w:t>
      </w:r>
      <w:r w:rsidRPr="007A0D4C">
        <w:rPr>
          <w:rFonts w:ascii="Cambria" w:hAnsi="Cambria"/>
          <w:sz w:val="20"/>
          <w:szCs w:val="20"/>
          <w:lang w:val="es-VE"/>
        </w:rPr>
        <w:t xml:space="preserve"> que el 8 de abril de 1998 volvió a ampliarse el sumario incluyéndose a un individuo paraguayo, como uno de los autores intelectuales del hecho, sin embargo, el 14 de mayo de 1999 el Juez de la causa resolvió sobreseer provisionalmente la investigación respecto de esta persona “al no haberse podido demostrar su participación”. </w:t>
      </w:r>
    </w:p>
    <w:p w14:paraId="2A3C597B" w14:textId="77777777" w:rsidR="005F0B97" w:rsidRPr="007A0D4C" w:rsidRDefault="005F0B97" w:rsidP="007A0D4C">
      <w:pPr>
        <w:pStyle w:val="ListParagraph"/>
        <w:spacing w:before="0" w:after="0"/>
        <w:rPr>
          <w:sz w:val="20"/>
          <w:szCs w:val="20"/>
          <w:lang w:val="es-VE"/>
        </w:rPr>
      </w:pPr>
    </w:p>
    <w:p w14:paraId="5A24B341" w14:textId="302220EA"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lastRenderedPageBreak/>
        <w:t>El Estado inform</w:t>
      </w:r>
      <w:r w:rsidR="007B695D" w:rsidRPr="007A0D4C">
        <w:rPr>
          <w:rFonts w:ascii="Cambria" w:hAnsi="Cambria"/>
          <w:sz w:val="20"/>
          <w:szCs w:val="20"/>
          <w:lang w:val="es-VE"/>
        </w:rPr>
        <w:t>a</w:t>
      </w:r>
      <w:r w:rsidRPr="007A0D4C">
        <w:rPr>
          <w:rFonts w:ascii="Cambria" w:hAnsi="Cambria"/>
          <w:sz w:val="20"/>
          <w:szCs w:val="20"/>
          <w:lang w:val="es-VE"/>
        </w:rPr>
        <w:t xml:space="preserve"> que </w:t>
      </w:r>
      <w:r w:rsidR="00C757B6" w:rsidRPr="007A0D4C">
        <w:rPr>
          <w:rFonts w:ascii="Cambria" w:hAnsi="Cambria"/>
          <w:sz w:val="20"/>
          <w:szCs w:val="20"/>
          <w:lang w:val="es-VE"/>
        </w:rPr>
        <w:t>cinco</w:t>
      </w:r>
      <w:r w:rsidRPr="007A0D4C">
        <w:rPr>
          <w:rFonts w:ascii="Cambria" w:hAnsi="Cambria"/>
          <w:sz w:val="20"/>
          <w:szCs w:val="20"/>
          <w:lang w:val="es-VE"/>
        </w:rPr>
        <w:t xml:space="preserve"> de los imputados habrían sido asesinados en otros hechos de violencia, por lo que se declaró la extinción de la causa penal respecto de ellos. El Estado también </w:t>
      </w:r>
      <w:r w:rsidR="003837C3" w:rsidRPr="007A0D4C">
        <w:rPr>
          <w:rFonts w:ascii="Cambria" w:hAnsi="Cambria"/>
          <w:sz w:val="20"/>
          <w:szCs w:val="20"/>
          <w:lang w:val="es-VE"/>
        </w:rPr>
        <w:t>alega</w:t>
      </w:r>
      <w:r w:rsidRPr="007A0D4C">
        <w:rPr>
          <w:rFonts w:ascii="Cambria" w:hAnsi="Cambria"/>
          <w:sz w:val="20"/>
          <w:szCs w:val="20"/>
          <w:lang w:val="es-VE"/>
        </w:rPr>
        <w:t xml:space="preserve"> que el 20 de febrero de 2002 ordenó remitir las compulsas del expediente al Fiscal General del Estado para que sean enviadas a Brasil, con el objeto de que la causa </w:t>
      </w:r>
      <w:r w:rsidR="00860860">
        <w:rPr>
          <w:rFonts w:ascii="Cambria" w:hAnsi="Cambria"/>
          <w:sz w:val="20"/>
          <w:szCs w:val="20"/>
          <w:lang w:val="es-VE"/>
        </w:rPr>
        <w:t xml:space="preserve">se </w:t>
      </w:r>
      <w:r w:rsidRPr="007A0D4C">
        <w:rPr>
          <w:rFonts w:ascii="Cambria" w:hAnsi="Cambria"/>
          <w:sz w:val="20"/>
          <w:szCs w:val="20"/>
          <w:lang w:val="es-VE"/>
        </w:rPr>
        <w:t>tramit</w:t>
      </w:r>
      <w:r w:rsidR="00860860">
        <w:rPr>
          <w:rFonts w:ascii="Cambria" w:hAnsi="Cambria"/>
          <w:sz w:val="20"/>
          <w:szCs w:val="20"/>
          <w:lang w:val="es-VE"/>
        </w:rPr>
        <w:t>ara</w:t>
      </w:r>
      <w:r w:rsidRPr="007A0D4C">
        <w:rPr>
          <w:rFonts w:ascii="Cambria" w:hAnsi="Cambria"/>
          <w:sz w:val="20"/>
          <w:szCs w:val="20"/>
          <w:lang w:val="es-VE"/>
        </w:rPr>
        <w:t xml:space="preserve"> allí ya que, argumenta el Estado, Brasil prohíbe la extradición de sus ciudadanos. Señal</w:t>
      </w:r>
      <w:r w:rsidR="00B64C57" w:rsidRPr="007A0D4C">
        <w:rPr>
          <w:rFonts w:ascii="Cambria" w:hAnsi="Cambria"/>
          <w:sz w:val="20"/>
          <w:szCs w:val="20"/>
          <w:lang w:val="es-VE"/>
        </w:rPr>
        <w:t>a</w:t>
      </w:r>
      <w:r w:rsidRPr="007A0D4C">
        <w:rPr>
          <w:rFonts w:ascii="Cambria" w:hAnsi="Cambria"/>
          <w:sz w:val="20"/>
          <w:szCs w:val="20"/>
          <w:lang w:val="es-VE"/>
        </w:rPr>
        <w:t xml:space="preserve"> que en julio de 2006 el Juzgado remitió al Ministerio Público copias autenticadas de los 17 tomos de la causa</w:t>
      </w:r>
      <w:r w:rsidR="00860860">
        <w:rPr>
          <w:rFonts w:ascii="Cambria" w:hAnsi="Cambria"/>
          <w:sz w:val="20"/>
          <w:szCs w:val="20"/>
          <w:lang w:val="es-VE"/>
        </w:rPr>
        <w:t>. Este último</w:t>
      </w:r>
      <w:r w:rsidRPr="007A0D4C">
        <w:rPr>
          <w:rFonts w:ascii="Cambria" w:hAnsi="Cambria"/>
          <w:sz w:val="20"/>
          <w:szCs w:val="20"/>
          <w:lang w:val="es-VE"/>
        </w:rPr>
        <w:t xml:space="preserve"> los envió al Ministerio de Relaciones Exteriores de Paraguay para </w:t>
      </w:r>
      <w:r w:rsidR="00860860">
        <w:rPr>
          <w:rFonts w:ascii="Cambria" w:hAnsi="Cambria"/>
          <w:sz w:val="20"/>
          <w:szCs w:val="20"/>
          <w:lang w:val="es-VE"/>
        </w:rPr>
        <w:t xml:space="preserve">su correspondiente remisión </w:t>
      </w:r>
      <w:r w:rsidRPr="007A0D4C">
        <w:rPr>
          <w:rFonts w:ascii="Cambria" w:hAnsi="Cambria"/>
          <w:sz w:val="20"/>
          <w:szCs w:val="20"/>
          <w:lang w:val="es-VE"/>
        </w:rPr>
        <w:t>al [M]inisterio [P]úblico de Brasil. El Estado inform</w:t>
      </w:r>
      <w:r w:rsidR="00B64C57" w:rsidRPr="007A0D4C">
        <w:rPr>
          <w:rFonts w:ascii="Cambria" w:hAnsi="Cambria"/>
          <w:sz w:val="20"/>
          <w:szCs w:val="20"/>
          <w:lang w:val="es-VE"/>
        </w:rPr>
        <w:t>a</w:t>
      </w:r>
      <w:r w:rsidRPr="007A0D4C">
        <w:rPr>
          <w:rFonts w:ascii="Cambria" w:hAnsi="Cambria"/>
          <w:sz w:val="20"/>
          <w:szCs w:val="20"/>
          <w:lang w:val="es-VE"/>
        </w:rPr>
        <w:t xml:space="preserve"> que problemas con las traducciones generaron la devolución de la documentación, </w:t>
      </w:r>
      <w:r w:rsidR="00860860">
        <w:rPr>
          <w:rFonts w:ascii="Cambria" w:hAnsi="Cambria"/>
          <w:sz w:val="20"/>
          <w:szCs w:val="20"/>
          <w:lang w:val="es-VE"/>
        </w:rPr>
        <w:t>la cual fue re</w:t>
      </w:r>
      <w:r w:rsidRPr="007A0D4C">
        <w:rPr>
          <w:rFonts w:ascii="Cambria" w:hAnsi="Cambria"/>
          <w:sz w:val="20"/>
          <w:szCs w:val="20"/>
          <w:lang w:val="es-VE"/>
        </w:rPr>
        <w:t>envia</w:t>
      </w:r>
      <w:r w:rsidR="00860860">
        <w:rPr>
          <w:rFonts w:ascii="Cambria" w:hAnsi="Cambria"/>
          <w:sz w:val="20"/>
          <w:szCs w:val="20"/>
          <w:lang w:val="es-VE"/>
        </w:rPr>
        <w:t>da</w:t>
      </w:r>
      <w:r w:rsidRPr="007A0D4C">
        <w:rPr>
          <w:rFonts w:ascii="Cambria" w:hAnsi="Cambria"/>
          <w:sz w:val="20"/>
          <w:szCs w:val="20"/>
          <w:lang w:val="es-VE"/>
        </w:rPr>
        <w:t xml:space="preserve"> el 27 de febrero de 2009. Según el Estado, “la Cancillería brasileña acuso recibo de la nota con sus antecedentes y confirmó su remisión al Ministerio de Justicia para las providencias que sean necesarias”.</w:t>
      </w:r>
      <w:r w:rsidR="00AE194B" w:rsidRPr="007A0D4C">
        <w:rPr>
          <w:rFonts w:ascii="Cambria" w:hAnsi="Cambria"/>
          <w:sz w:val="20"/>
          <w:szCs w:val="20"/>
          <w:lang w:val="es-VE"/>
        </w:rPr>
        <w:t xml:space="preserve"> </w:t>
      </w:r>
      <w:r w:rsidRPr="007A0D4C">
        <w:rPr>
          <w:rFonts w:ascii="Cambria" w:hAnsi="Cambria"/>
          <w:sz w:val="20"/>
          <w:szCs w:val="20"/>
          <w:lang w:val="es-VE"/>
        </w:rPr>
        <w:t>Sobre la base de lo anterior, el Estado indic</w:t>
      </w:r>
      <w:r w:rsidR="00AE194B" w:rsidRPr="007A0D4C">
        <w:rPr>
          <w:rFonts w:ascii="Cambria" w:hAnsi="Cambria"/>
          <w:sz w:val="20"/>
          <w:szCs w:val="20"/>
          <w:lang w:val="es-VE"/>
        </w:rPr>
        <w:t>a</w:t>
      </w:r>
      <w:r w:rsidRPr="007A0D4C">
        <w:rPr>
          <w:rFonts w:ascii="Cambria" w:hAnsi="Cambria"/>
          <w:sz w:val="20"/>
          <w:szCs w:val="20"/>
          <w:lang w:val="es-VE"/>
        </w:rPr>
        <w:t xml:space="preserve"> que “existe un pedido formal del Estado paraguayo para que los ciudadanos brasileños involucrados en la causa sean investigados en su país de origen”.</w:t>
      </w:r>
    </w:p>
    <w:p w14:paraId="429FE82D" w14:textId="77777777" w:rsidR="005F0B97" w:rsidRPr="007A0D4C" w:rsidRDefault="005F0B97" w:rsidP="007A0D4C">
      <w:pPr>
        <w:pStyle w:val="ListParagraph"/>
        <w:spacing w:before="0" w:after="0"/>
        <w:rPr>
          <w:sz w:val="20"/>
          <w:szCs w:val="20"/>
          <w:lang w:val="es-VE"/>
        </w:rPr>
      </w:pPr>
    </w:p>
    <w:p w14:paraId="4CFDB574" w14:textId="3430BA12"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El Estado, asimismo, sost</w:t>
      </w:r>
      <w:r w:rsidR="00AE194B" w:rsidRPr="007A0D4C">
        <w:rPr>
          <w:rFonts w:ascii="Cambria" w:hAnsi="Cambria"/>
          <w:sz w:val="20"/>
          <w:szCs w:val="20"/>
          <w:lang w:val="es-VE"/>
        </w:rPr>
        <w:t>iene</w:t>
      </w:r>
      <w:r w:rsidRPr="007A0D4C">
        <w:rPr>
          <w:rFonts w:ascii="Cambria" w:hAnsi="Cambria"/>
          <w:sz w:val="20"/>
          <w:szCs w:val="20"/>
          <w:lang w:val="es-VE"/>
        </w:rPr>
        <w:t xml:space="preserve"> que </w:t>
      </w:r>
      <w:r w:rsidR="006629FC" w:rsidRPr="007A0D4C">
        <w:rPr>
          <w:rFonts w:ascii="Cambria" w:hAnsi="Cambria"/>
          <w:sz w:val="20"/>
          <w:szCs w:val="20"/>
          <w:lang w:val="es-VE"/>
        </w:rPr>
        <w:t>no es responsable por las</w:t>
      </w:r>
      <w:r w:rsidRPr="007A0D4C">
        <w:rPr>
          <w:rFonts w:ascii="Cambria" w:hAnsi="Cambria"/>
          <w:sz w:val="20"/>
          <w:szCs w:val="20"/>
          <w:lang w:val="es-VE"/>
        </w:rPr>
        <w:t xml:space="preserve"> violaciones </w:t>
      </w:r>
      <w:r w:rsidR="006629FC" w:rsidRPr="007A0D4C">
        <w:rPr>
          <w:rFonts w:ascii="Cambria" w:hAnsi="Cambria"/>
          <w:sz w:val="20"/>
          <w:szCs w:val="20"/>
          <w:lang w:val="es-VE"/>
        </w:rPr>
        <w:t xml:space="preserve">de </w:t>
      </w:r>
      <w:r w:rsidRPr="007A0D4C">
        <w:rPr>
          <w:rFonts w:ascii="Cambria" w:hAnsi="Cambria"/>
          <w:sz w:val="20"/>
          <w:szCs w:val="20"/>
          <w:lang w:val="es-VE"/>
        </w:rPr>
        <w:t xml:space="preserve">los derechos consagrados en la Convención Americana sobre Derechos Humanos, dado que: a) ningún agente del Estado se encuentra acusado de estar involucrado en la muerte del periodista; b) el Estado no realizó acciones para impedir la labor del periodista, y c) el Estado </w:t>
      </w:r>
      <w:r w:rsidR="00C27BB5" w:rsidRPr="007A0D4C">
        <w:rPr>
          <w:rFonts w:ascii="Cambria" w:hAnsi="Cambria"/>
          <w:sz w:val="20"/>
          <w:szCs w:val="20"/>
          <w:lang w:val="es-VE"/>
        </w:rPr>
        <w:t>inve</w:t>
      </w:r>
      <w:r w:rsidR="000E3A40">
        <w:rPr>
          <w:rFonts w:ascii="Cambria" w:hAnsi="Cambria"/>
          <w:sz w:val="20"/>
          <w:szCs w:val="20"/>
          <w:lang w:val="es-VE"/>
        </w:rPr>
        <w:t>s</w:t>
      </w:r>
      <w:r w:rsidR="00C27BB5" w:rsidRPr="007A0D4C">
        <w:rPr>
          <w:rFonts w:ascii="Cambria" w:hAnsi="Cambria"/>
          <w:sz w:val="20"/>
          <w:szCs w:val="20"/>
          <w:lang w:val="es-VE"/>
        </w:rPr>
        <w:t>tigó</w:t>
      </w:r>
      <w:r w:rsidRPr="007A0D4C">
        <w:rPr>
          <w:rFonts w:ascii="Cambria" w:hAnsi="Cambria"/>
          <w:sz w:val="20"/>
          <w:szCs w:val="20"/>
          <w:lang w:val="es-VE"/>
        </w:rPr>
        <w:t xml:space="preserve"> el homicidio de oficio y proces</w:t>
      </w:r>
      <w:r w:rsidR="00C27BB5" w:rsidRPr="007A0D4C">
        <w:rPr>
          <w:rFonts w:ascii="Cambria" w:hAnsi="Cambria"/>
          <w:sz w:val="20"/>
          <w:szCs w:val="20"/>
          <w:lang w:val="es-VE"/>
        </w:rPr>
        <w:t xml:space="preserve">ó </w:t>
      </w:r>
      <w:r w:rsidRPr="007A0D4C">
        <w:rPr>
          <w:rFonts w:ascii="Cambria" w:hAnsi="Cambria"/>
          <w:sz w:val="20"/>
          <w:szCs w:val="20"/>
          <w:lang w:val="es-VE"/>
        </w:rPr>
        <w:t xml:space="preserve">a los sospechosos, hasta los límites de su jurisdicción. </w:t>
      </w:r>
      <w:r w:rsidR="00E73466" w:rsidRPr="007A0D4C">
        <w:rPr>
          <w:rFonts w:ascii="Cambria" w:hAnsi="Cambria"/>
          <w:sz w:val="20"/>
          <w:szCs w:val="20"/>
          <w:lang w:val="es-VE"/>
        </w:rPr>
        <w:t>Alega que</w:t>
      </w:r>
      <w:r w:rsidR="00C27BB5" w:rsidRPr="007A0D4C">
        <w:rPr>
          <w:rFonts w:ascii="Cambria" w:hAnsi="Cambria"/>
          <w:sz w:val="20"/>
          <w:szCs w:val="20"/>
          <w:lang w:val="es-VE"/>
        </w:rPr>
        <w:t>,</w:t>
      </w:r>
      <w:r w:rsidR="00E73466" w:rsidRPr="007A0D4C">
        <w:rPr>
          <w:rFonts w:ascii="Cambria" w:hAnsi="Cambria"/>
          <w:sz w:val="20"/>
          <w:szCs w:val="20"/>
          <w:lang w:val="es-VE"/>
        </w:rPr>
        <w:t xml:space="preserve"> </w:t>
      </w:r>
      <w:r w:rsidR="00DB1E46" w:rsidRPr="007A0D4C">
        <w:rPr>
          <w:rFonts w:ascii="Cambria" w:hAnsi="Cambria"/>
          <w:sz w:val="20"/>
          <w:szCs w:val="20"/>
          <w:lang w:val="es-VE"/>
        </w:rPr>
        <w:t>ante la imposibilidad material de continuar las investigaciones y la causa en la jurisdicción local</w:t>
      </w:r>
      <w:r w:rsidR="00F424B4" w:rsidRPr="007A0D4C">
        <w:rPr>
          <w:rFonts w:ascii="Cambria" w:hAnsi="Cambria"/>
          <w:sz w:val="20"/>
          <w:szCs w:val="20"/>
          <w:lang w:val="es-VE"/>
        </w:rPr>
        <w:t xml:space="preserve"> para los indiciados extranjeros, se remitió el caso a Brasil, con el objetivo de evitar la impunidad</w:t>
      </w:r>
      <w:r w:rsidR="00D0349D" w:rsidRPr="007A0D4C">
        <w:rPr>
          <w:rFonts w:ascii="Cambria" w:hAnsi="Cambria"/>
          <w:sz w:val="20"/>
          <w:szCs w:val="20"/>
          <w:lang w:val="es-VE"/>
        </w:rPr>
        <w:t xml:space="preserve"> del crimen.</w:t>
      </w:r>
    </w:p>
    <w:p w14:paraId="0650AF30" w14:textId="77777777" w:rsidR="005F0B97" w:rsidRPr="007A0D4C" w:rsidRDefault="005F0B97" w:rsidP="007A0D4C">
      <w:pPr>
        <w:pStyle w:val="ListParagraph"/>
        <w:spacing w:before="0" w:after="0"/>
        <w:rPr>
          <w:sz w:val="20"/>
          <w:szCs w:val="20"/>
          <w:lang w:val="es-VE"/>
        </w:rPr>
      </w:pPr>
    </w:p>
    <w:p w14:paraId="0E69B791" w14:textId="7191DCF9" w:rsidR="005F0B97" w:rsidRPr="007A0D4C" w:rsidRDefault="005F0B9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 xml:space="preserve">Finalmente, el Estado </w:t>
      </w:r>
      <w:r w:rsidR="00D0349D" w:rsidRPr="007A0D4C">
        <w:rPr>
          <w:rFonts w:ascii="Cambria" w:hAnsi="Cambria"/>
          <w:sz w:val="20"/>
          <w:szCs w:val="20"/>
          <w:lang w:val="es-VE"/>
        </w:rPr>
        <w:t>señala</w:t>
      </w:r>
      <w:r w:rsidRPr="007A0D4C">
        <w:rPr>
          <w:rFonts w:ascii="Cambria" w:hAnsi="Cambria"/>
          <w:sz w:val="20"/>
          <w:szCs w:val="20"/>
          <w:lang w:val="es-VE"/>
        </w:rPr>
        <w:t xml:space="preserve"> que “a pesar de que el crimen del periodista Santiago Leguizamón fue cometido en territorio de Paraguay, el lugar exacto es en una zona fronteriza seca, de tránsito libre entre l</w:t>
      </w:r>
      <w:r w:rsidR="007D0C72" w:rsidRPr="007A0D4C">
        <w:rPr>
          <w:rFonts w:ascii="Cambria" w:hAnsi="Cambria"/>
          <w:sz w:val="20"/>
          <w:szCs w:val="20"/>
          <w:lang w:val="es-VE"/>
        </w:rPr>
        <w:t>a</w:t>
      </w:r>
      <w:r w:rsidRPr="007A0D4C">
        <w:rPr>
          <w:rFonts w:ascii="Cambria" w:hAnsi="Cambria"/>
          <w:sz w:val="20"/>
          <w:szCs w:val="20"/>
          <w:lang w:val="es-VE"/>
        </w:rPr>
        <w:t xml:space="preserve">s ciudades paraguaya de Pedro Juan Caballero y brasileña de </w:t>
      </w:r>
      <w:r w:rsidR="00A910B8">
        <w:rPr>
          <w:rFonts w:ascii="Cambria" w:hAnsi="Cambria"/>
          <w:sz w:val="20"/>
          <w:szCs w:val="20"/>
          <w:lang w:val="es-VE"/>
        </w:rPr>
        <w:t>Ponta Porã</w:t>
      </w:r>
      <w:r w:rsidRPr="007A0D4C">
        <w:rPr>
          <w:rFonts w:ascii="Cambria" w:hAnsi="Cambria"/>
          <w:sz w:val="20"/>
          <w:szCs w:val="20"/>
          <w:lang w:val="es-VE"/>
        </w:rPr>
        <w:t xml:space="preserve">”. El Estado </w:t>
      </w:r>
      <w:r w:rsidR="00D0349D" w:rsidRPr="007A0D4C">
        <w:rPr>
          <w:rFonts w:ascii="Cambria" w:hAnsi="Cambria"/>
          <w:sz w:val="20"/>
          <w:szCs w:val="20"/>
          <w:lang w:val="es-VE"/>
        </w:rPr>
        <w:t>alega</w:t>
      </w:r>
      <w:r w:rsidRPr="007A0D4C">
        <w:rPr>
          <w:rFonts w:ascii="Cambria" w:hAnsi="Cambria"/>
          <w:sz w:val="20"/>
          <w:szCs w:val="20"/>
          <w:lang w:val="es-VE"/>
        </w:rPr>
        <w:t xml:space="preserve"> que</w:t>
      </w:r>
      <w:r w:rsidR="007D0C72" w:rsidRPr="007A0D4C">
        <w:rPr>
          <w:rFonts w:ascii="Cambria" w:hAnsi="Cambria"/>
          <w:sz w:val="20"/>
          <w:szCs w:val="20"/>
          <w:lang w:val="es-VE"/>
        </w:rPr>
        <w:t>,</w:t>
      </w:r>
      <w:r w:rsidRPr="007A0D4C">
        <w:rPr>
          <w:rFonts w:ascii="Cambria" w:hAnsi="Cambria"/>
          <w:sz w:val="20"/>
          <w:szCs w:val="20"/>
          <w:lang w:val="es-VE"/>
        </w:rPr>
        <w:t xml:space="preserve"> por estas razones, pareciera que en Brasil se dio la apertura de investigaciones policiales por estos hechos, aunque indicó que no ha comprobado si efectivamente una investigación fue abierta en Brasil en 1991 por el asesinato de Santiago Leguizamón.</w:t>
      </w:r>
    </w:p>
    <w:p w14:paraId="62664B9F" w14:textId="77777777" w:rsidR="00527CAB" w:rsidRPr="007A0D4C" w:rsidRDefault="00527CAB"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096FF78B" w14:textId="77777777" w:rsidR="00C04673" w:rsidRPr="007A0D4C" w:rsidRDefault="00C04673" w:rsidP="007A0D4C">
      <w:pPr>
        <w:pStyle w:val="Heading1"/>
      </w:pPr>
      <w:bookmarkStart w:id="15" w:name="_Toc515543698"/>
      <w:bookmarkStart w:id="16" w:name="_Toc535329122"/>
      <w:bookmarkStart w:id="17" w:name="_Toc4417450"/>
      <w:bookmarkStart w:id="18" w:name="_Toc47965320"/>
      <w:r w:rsidRPr="007A0D4C">
        <w:t>DETERMINACIONES DE HECHO</w:t>
      </w:r>
      <w:bookmarkEnd w:id="15"/>
      <w:bookmarkEnd w:id="16"/>
      <w:bookmarkEnd w:id="17"/>
      <w:bookmarkEnd w:id="18"/>
    </w:p>
    <w:p w14:paraId="2B9C7FBD" w14:textId="77777777" w:rsidR="00077BBE" w:rsidRPr="007A0D4C" w:rsidRDefault="00077BBE" w:rsidP="007A0D4C">
      <w:pPr>
        <w:jc w:val="both"/>
        <w:rPr>
          <w:rFonts w:ascii="Cambria" w:hAnsi="Cambria"/>
          <w:sz w:val="20"/>
          <w:szCs w:val="20"/>
          <w:lang w:val="es-PE"/>
        </w:rPr>
      </w:pPr>
    </w:p>
    <w:p w14:paraId="4D7167D3" w14:textId="2465F7FC" w:rsidR="00C340E8" w:rsidRPr="007A0D4C" w:rsidRDefault="00E872C2" w:rsidP="00C870C0">
      <w:pPr>
        <w:pStyle w:val="Heading2"/>
        <w:numPr>
          <w:ilvl w:val="0"/>
          <w:numId w:val="53"/>
        </w:numPr>
        <w:spacing w:before="0" w:after="0"/>
        <w:ind w:left="0" w:firstLine="0"/>
        <w:jc w:val="both"/>
      </w:pPr>
      <w:bookmarkStart w:id="19" w:name="_Toc47965321"/>
      <w:r w:rsidRPr="007A0D4C">
        <w:t>Sobre el periodista Santiago Leguizamón y su famili</w:t>
      </w:r>
      <w:r w:rsidR="00F97B7C" w:rsidRPr="007A0D4C">
        <w:t>a</w:t>
      </w:r>
      <w:bookmarkEnd w:id="19"/>
    </w:p>
    <w:p w14:paraId="12A8E837" w14:textId="77777777" w:rsidR="00984558" w:rsidRPr="007A0D4C" w:rsidRDefault="00984558" w:rsidP="007A0D4C">
      <w:pPr>
        <w:jc w:val="both"/>
        <w:rPr>
          <w:rFonts w:ascii="Cambria" w:hAnsi="Cambria"/>
          <w:sz w:val="20"/>
          <w:szCs w:val="20"/>
          <w:lang w:val="es-ES_tradnl"/>
        </w:rPr>
      </w:pPr>
    </w:p>
    <w:p w14:paraId="259F984F" w14:textId="03D72117" w:rsidR="00B47C45" w:rsidRPr="007A0D4C" w:rsidRDefault="00B47C45"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ES"/>
        </w:rPr>
        <w:t xml:space="preserve">Santiago Leguizamón Zaván fue un periodista </w:t>
      </w:r>
      <w:r w:rsidR="00FC091B" w:rsidRPr="007A0D4C">
        <w:rPr>
          <w:rFonts w:ascii="Cambria" w:hAnsi="Cambria"/>
          <w:sz w:val="20"/>
          <w:szCs w:val="20"/>
          <w:lang w:val="es-ES"/>
        </w:rPr>
        <w:t>de</w:t>
      </w:r>
      <w:r w:rsidRPr="007A0D4C">
        <w:rPr>
          <w:rFonts w:ascii="Cambria" w:hAnsi="Cambria"/>
          <w:sz w:val="20"/>
          <w:szCs w:val="20"/>
          <w:lang w:val="es-ES"/>
        </w:rPr>
        <w:t xml:space="preserve"> amplia trayectoria</w:t>
      </w:r>
      <w:r w:rsidR="00FC091B" w:rsidRPr="007A0D4C">
        <w:rPr>
          <w:rFonts w:ascii="Cambria" w:hAnsi="Cambria"/>
          <w:sz w:val="20"/>
          <w:szCs w:val="20"/>
          <w:lang w:val="es-ES"/>
        </w:rPr>
        <w:t xml:space="preserve"> en</w:t>
      </w:r>
      <w:r w:rsidRPr="007A0D4C">
        <w:rPr>
          <w:rFonts w:ascii="Cambria" w:hAnsi="Cambria"/>
          <w:sz w:val="20"/>
          <w:szCs w:val="20"/>
          <w:lang w:val="es-ES"/>
        </w:rPr>
        <w:t xml:space="preserve"> </w:t>
      </w:r>
      <w:r w:rsidR="00FC091B" w:rsidRPr="007A0D4C">
        <w:rPr>
          <w:rFonts w:ascii="Cambria" w:hAnsi="Cambria"/>
          <w:sz w:val="20"/>
          <w:szCs w:val="20"/>
          <w:lang w:val="es-ES"/>
        </w:rPr>
        <w:t xml:space="preserve">Paraguay, </w:t>
      </w:r>
      <w:r w:rsidRPr="007A0D4C">
        <w:rPr>
          <w:rFonts w:ascii="Cambria" w:hAnsi="Cambria"/>
          <w:sz w:val="20"/>
          <w:szCs w:val="20"/>
          <w:lang w:val="es-ES"/>
        </w:rPr>
        <w:t xml:space="preserve">radicado en </w:t>
      </w:r>
      <w:r w:rsidR="00FC091B" w:rsidRPr="007A0D4C">
        <w:rPr>
          <w:rFonts w:ascii="Cambria" w:hAnsi="Cambria"/>
          <w:sz w:val="20"/>
          <w:szCs w:val="20"/>
          <w:lang w:val="es-ES"/>
        </w:rPr>
        <w:t xml:space="preserve">la ciudad de </w:t>
      </w:r>
      <w:r w:rsidRPr="007A0D4C">
        <w:rPr>
          <w:rFonts w:ascii="Cambria" w:hAnsi="Cambria"/>
          <w:sz w:val="20"/>
          <w:szCs w:val="20"/>
          <w:lang w:val="es-ES"/>
        </w:rPr>
        <w:t>Pedro Juan Caballero, una ciudad fronteriza con Brasil, en el Departamento de</w:t>
      </w:r>
      <w:r w:rsidR="00C828D6">
        <w:rPr>
          <w:rFonts w:ascii="Cambria" w:hAnsi="Cambria"/>
          <w:sz w:val="20"/>
          <w:szCs w:val="20"/>
          <w:lang w:val="es-ES"/>
        </w:rPr>
        <w:t>l</w:t>
      </w:r>
      <w:r w:rsidRPr="007A0D4C">
        <w:rPr>
          <w:rFonts w:ascii="Cambria" w:hAnsi="Cambria"/>
          <w:sz w:val="20"/>
          <w:szCs w:val="20"/>
          <w:lang w:val="es-ES"/>
        </w:rPr>
        <w:t xml:space="preserve"> Amambay. </w:t>
      </w:r>
      <w:r w:rsidR="00596A63" w:rsidRPr="007A0D4C">
        <w:rPr>
          <w:rFonts w:ascii="Cambria" w:hAnsi="Cambria"/>
          <w:sz w:val="20"/>
          <w:szCs w:val="20"/>
          <w:lang w:val="es-ES"/>
        </w:rPr>
        <w:t>En e</w:t>
      </w:r>
      <w:r w:rsidRPr="007A0D4C">
        <w:rPr>
          <w:rFonts w:ascii="Cambria" w:hAnsi="Cambria"/>
          <w:sz w:val="20"/>
          <w:szCs w:val="20"/>
          <w:lang w:val="es-ES"/>
        </w:rPr>
        <w:t xml:space="preserve">l momento de los hechos, Leguizamón trabajaba como corresponsal del diario capitalino Diario Noticias, del diario última Hora y del Canal 13. Asimismo, conducía el programa matutino “Puertas Abiertas” en la </w:t>
      </w:r>
      <w:r w:rsidR="00E67012">
        <w:rPr>
          <w:rFonts w:ascii="Cambria" w:hAnsi="Cambria"/>
          <w:sz w:val="20"/>
          <w:szCs w:val="20"/>
          <w:lang w:val="es-ES"/>
        </w:rPr>
        <w:t>r</w:t>
      </w:r>
      <w:r w:rsidRPr="007A0D4C">
        <w:rPr>
          <w:rFonts w:ascii="Cambria" w:hAnsi="Cambria"/>
          <w:sz w:val="20"/>
          <w:szCs w:val="20"/>
          <w:lang w:val="es-ES"/>
        </w:rPr>
        <w:t xml:space="preserve">adio Mburucuyá, un pequeño medio de la localidad fundado por él en 1975 y </w:t>
      </w:r>
      <w:r w:rsidR="00FC091B" w:rsidRPr="007A0D4C">
        <w:rPr>
          <w:rFonts w:ascii="Cambria" w:hAnsi="Cambria"/>
          <w:sz w:val="20"/>
          <w:szCs w:val="20"/>
          <w:lang w:val="es-ES"/>
        </w:rPr>
        <w:t xml:space="preserve">también </w:t>
      </w:r>
      <w:r w:rsidRPr="007A0D4C">
        <w:rPr>
          <w:rFonts w:ascii="Cambria" w:hAnsi="Cambria"/>
          <w:sz w:val="20"/>
          <w:szCs w:val="20"/>
          <w:lang w:val="es-ES"/>
        </w:rPr>
        <w:t>era director de la Revista Mburucuyá</w:t>
      </w:r>
      <w:r w:rsidR="0021674B" w:rsidRPr="007A0D4C">
        <w:rPr>
          <w:rStyle w:val="FootnoteReference"/>
          <w:rFonts w:ascii="Cambria" w:hAnsi="Cambria"/>
          <w:sz w:val="20"/>
          <w:szCs w:val="20"/>
          <w:lang w:val="es-ES"/>
        </w:rPr>
        <w:footnoteReference w:id="5"/>
      </w:r>
      <w:r w:rsidRPr="007A0D4C">
        <w:rPr>
          <w:rFonts w:ascii="Cambria" w:hAnsi="Cambria"/>
          <w:sz w:val="20"/>
          <w:szCs w:val="20"/>
          <w:lang w:val="es-ES"/>
        </w:rPr>
        <w:t xml:space="preserve">. </w:t>
      </w:r>
    </w:p>
    <w:p w14:paraId="6E8B3C39" w14:textId="77777777" w:rsidR="0027316D" w:rsidRPr="007A0D4C" w:rsidRDefault="0027316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FBD6A76" w14:textId="7036B70A" w:rsidR="00C0552E" w:rsidRPr="007A0D4C" w:rsidRDefault="00B47C45"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ES"/>
        </w:rPr>
        <w:t xml:space="preserve">La </w:t>
      </w:r>
      <w:r w:rsidR="00D21D04" w:rsidRPr="007A0D4C">
        <w:rPr>
          <w:rFonts w:ascii="Cambria" w:hAnsi="Cambria"/>
          <w:sz w:val="20"/>
          <w:szCs w:val="20"/>
          <w:lang w:val="es-ES"/>
        </w:rPr>
        <w:t xml:space="preserve">ciudad de </w:t>
      </w:r>
      <w:r w:rsidRPr="007A0D4C">
        <w:rPr>
          <w:rFonts w:ascii="Cambria" w:hAnsi="Cambria"/>
          <w:sz w:val="20"/>
          <w:szCs w:val="20"/>
          <w:lang w:val="es-ES"/>
        </w:rPr>
        <w:t>Pedro Juan Caballero</w:t>
      </w:r>
      <w:r w:rsidR="00D21D04" w:rsidRPr="007A0D4C">
        <w:rPr>
          <w:rFonts w:ascii="Cambria" w:hAnsi="Cambria"/>
          <w:sz w:val="20"/>
          <w:szCs w:val="20"/>
          <w:lang w:val="es-ES"/>
        </w:rPr>
        <w:t>, en donde residía Santiago Leguizamón,</w:t>
      </w:r>
      <w:r w:rsidRPr="007A0D4C">
        <w:rPr>
          <w:rFonts w:ascii="Cambria" w:hAnsi="Cambria"/>
          <w:sz w:val="20"/>
          <w:szCs w:val="20"/>
          <w:lang w:val="es-ES"/>
        </w:rPr>
        <w:t xml:space="preserve"> </w:t>
      </w:r>
      <w:r w:rsidR="00696A32" w:rsidRPr="007A0D4C">
        <w:rPr>
          <w:rFonts w:ascii="Cambria" w:hAnsi="Cambria"/>
          <w:sz w:val="20"/>
          <w:szCs w:val="20"/>
          <w:lang w:val="es-ES"/>
        </w:rPr>
        <w:t xml:space="preserve">ha sido </w:t>
      </w:r>
      <w:r w:rsidR="00E81F65" w:rsidRPr="007A0D4C">
        <w:rPr>
          <w:rFonts w:ascii="Cambria" w:hAnsi="Cambria"/>
          <w:sz w:val="20"/>
          <w:szCs w:val="20"/>
          <w:lang w:val="es-ES"/>
        </w:rPr>
        <w:t xml:space="preserve">considerada como </w:t>
      </w:r>
      <w:r w:rsidR="00860860" w:rsidRPr="007A0D4C">
        <w:rPr>
          <w:rFonts w:ascii="Cambria" w:hAnsi="Cambria"/>
          <w:sz w:val="20"/>
          <w:szCs w:val="20"/>
          <w:lang w:val="es-ES"/>
        </w:rPr>
        <w:t xml:space="preserve">una “especie de zona sin ley”, </w:t>
      </w:r>
      <w:r w:rsidR="00A910B8">
        <w:rPr>
          <w:rFonts w:ascii="Cambria" w:hAnsi="Cambria"/>
          <w:sz w:val="20"/>
          <w:szCs w:val="20"/>
          <w:lang w:val="es-ES"/>
        </w:rPr>
        <w:t xml:space="preserve">al ser </w:t>
      </w:r>
      <w:r w:rsidR="00E81F65" w:rsidRPr="007A0D4C">
        <w:rPr>
          <w:rFonts w:ascii="Cambria" w:hAnsi="Cambria"/>
          <w:sz w:val="20"/>
          <w:szCs w:val="20"/>
          <w:lang w:val="es-ES"/>
        </w:rPr>
        <w:t xml:space="preserve">una </w:t>
      </w:r>
      <w:r w:rsidR="00696A32" w:rsidRPr="007A0D4C">
        <w:rPr>
          <w:rFonts w:ascii="Cambria" w:hAnsi="Cambria"/>
          <w:sz w:val="20"/>
          <w:szCs w:val="20"/>
          <w:lang w:val="es-ES"/>
        </w:rPr>
        <w:t>de las m</w:t>
      </w:r>
      <w:r w:rsidR="00824381" w:rsidRPr="007A0D4C">
        <w:rPr>
          <w:rFonts w:ascii="Cambria" w:hAnsi="Cambria"/>
          <w:sz w:val="20"/>
          <w:szCs w:val="20"/>
          <w:lang w:val="es-ES"/>
        </w:rPr>
        <w:t>ás</w:t>
      </w:r>
      <w:r w:rsidR="00696A32" w:rsidRPr="007A0D4C">
        <w:rPr>
          <w:rFonts w:ascii="Cambria" w:hAnsi="Cambria"/>
          <w:sz w:val="20"/>
          <w:szCs w:val="20"/>
          <w:lang w:val="es-ES"/>
        </w:rPr>
        <w:t xml:space="preserve"> peligrosas del sur del continente</w:t>
      </w:r>
      <w:r w:rsidR="003E47F1" w:rsidRPr="007A0D4C">
        <w:rPr>
          <w:rFonts w:ascii="Cambria" w:hAnsi="Cambria"/>
          <w:sz w:val="20"/>
          <w:szCs w:val="20"/>
          <w:lang w:val="es-ES"/>
        </w:rPr>
        <w:t xml:space="preserve">, </w:t>
      </w:r>
      <w:r w:rsidRPr="007A0D4C">
        <w:rPr>
          <w:rFonts w:ascii="Cambria" w:hAnsi="Cambria"/>
          <w:sz w:val="20"/>
          <w:szCs w:val="20"/>
          <w:lang w:val="es-ES"/>
        </w:rPr>
        <w:t>marcada por la corrupción, la violencia, el contrabando, el narcotráfico y la delincuencia</w:t>
      </w:r>
      <w:r w:rsidR="001B6F4E" w:rsidRPr="007A0D4C">
        <w:rPr>
          <w:rFonts w:ascii="Cambria" w:hAnsi="Cambria"/>
          <w:sz w:val="20"/>
          <w:szCs w:val="20"/>
          <w:lang w:val="es-ES"/>
        </w:rPr>
        <w:t>, incluso hasta la actualidad</w:t>
      </w:r>
      <w:r w:rsidR="00705872" w:rsidRPr="007A0D4C">
        <w:rPr>
          <w:rStyle w:val="FootnoteReference"/>
          <w:rFonts w:ascii="Cambria" w:hAnsi="Cambria"/>
          <w:sz w:val="20"/>
          <w:szCs w:val="20"/>
          <w:lang w:val="es-ES"/>
        </w:rPr>
        <w:footnoteReference w:id="6"/>
      </w:r>
      <w:r w:rsidRPr="007A0D4C">
        <w:rPr>
          <w:rFonts w:ascii="Cambria" w:hAnsi="Cambria"/>
          <w:sz w:val="20"/>
          <w:szCs w:val="20"/>
          <w:lang w:val="es-ES"/>
        </w:rPr>
        <w:t>.</w:t>
      </w:r>
      <w:r w:rsidR="001B6F4E" w:rsidRPr="007A0D4C">
        <w:rPr>
          <w:rFonts w:ascii="Cambria" w:hAnsi="Cambria"/>
          <w:sz w:val="20"/>
          <w:szCs w:val="20"/>
          <w:lang w:val="es-ES"/>
        </w:rPr>
        <w:t xml:space="preserve"> </w:t>
      </w:r>
      <w:r w:rsidRPr="007A0D4C">
        <w:rPr>
          <w:rFonts w:ascii="Cambria" w:hAnsi="Cambria"/>
          <w:sz w:val="20"/>
          <w:szCs w:val="20"/>
          <w:lang w:val="es-ES"/>
        </w:rPr>
        <w:t xml:space="preserve"> </w:t>
      </w:r>
      <w:r w:rsidR="00336218" w:rsidRPr="007A0D4C">
        <w:rPr>
          <w:rFonts w:ascii="Cambria" w:hAnsi="Cambria"/>
          <w:sz w:val="20"/>
          <w:szCs w:val="20"/>
          <w:lang w:val="es-ES"/>
        </w:rPr>
        <w:t xml:space="preserve">Lo anterior fue </w:t>
      </w:r>
      <w:r w:rsidR="00460441" w:rsidRPr="007A0D4C">
        <w:rPr>
          <w:rFonts w:ascii="Cambria" w:hAnsi="Cambria"/>
          <w:sz w:val="20"/>
          <w:szCs w:val="20"/>
          <w:lang w:val="es-ES"/>
        </w:rPr>
        <w:t xml:space="preserve">descrito </w:t>
      </w:r>
      <w:r w:rsidR="006C6470" w:rsidRPr="007A0D4C">
        <w:rPr>
          <w:rFonts w:ascii="Cambria" w:hAnsi="Cambria"/>
          <w:sz w:val="20"/>
          <w:szCs w:val="20"/>
          <w:lang w:val="es-ES"/>
        </w:rPr>
        <w:t xml:space="preserve">por </w:t>
      </w:r>
      <w:r w:rsidRPr="007A0D4C">
        <w:rPr>
          <w:rFonts w:ascii="Cambria" w:hAnsi="Cambria"/>
          <w:sz w:val="20"/>
          <w:szCs w:val="20"/>
          <w:lang w:val="es-ES"/>
        </w:rPr>
        <w:t>Santiago Leguizamón</w:t>
      </w:r>
      <w:r w:rsidR="006C6470" w:rsidRPr="007A0D4C">
        <w:rPr>
          <w:rFonts w:ascii="Cambria" w:hAnsi="Cambria"/>
          <w:sz w:val="20"/>
          <w:szCs w:val="20"/>
          <w:lang w:val="es-ES"/>
        </w:rPr>
        <w:t xml:space="preserve">, quien </w:t>
      </w:r>
      <w:r w:rsidRPr="007A0D4C">
        <w:rPr>
          <w:rFonts w:ascii="Cambria" w:hAnsi="Cambria"/>
          <w:sz w:val="20"/>
          <w:szCs w:val="20"/>
          <w:lang w:val="es-ES"/>
        </w:rPr>
        <w:t xml:space="preserve">escribía artículos críticos sobre </w:t>
      </w:r>
      <w:r w:rsidR="00696A32" w:rsidRPr="007A0D4C">
        <w:rPr>
          <w:rFonts w:ascii="Cambria" w:hAnsi="Cambria"/>
          <w:sz w:val="20"/>
          <w:szCs w:val="20"/>
          <w:lang w:val="es-ES"/>
        </w:rPr>
        <w:t>la actuación</w:t>
      </w:r>
      <w:r w:rsidRPr="007A0D4C">
        <w:rPr>
          <w:rFonts w:ascii="Cambria" w:hAnsi="Cambria"/>
          <w:sz w:val="20"/>
          <w:szCs w:val="20"/>
          <w:lang w:val="es-ES"/>
        </w:rPr>
        <w:t xml:space="preserve"> de</w:t>
      </w:r>
      <w:r w:rsidR="00696A32" w:rsidRPr="007A0D4C">
        <w:rPr>
          <w:rFonts w:ascii="Cambria" w:hAnsi="Cambria"/>
          <w:sz w:val="20"/>
          <w:szCs w:val="20"/>
          <w:lang w:val="es-ES"/>
        </w:rPr>
        <w:t xml:space="preserve"> las</w:t>
      </w:r>
      <w:r w:rsidRPr="007A0D4C">
        <w:rPr>
          <w:rFonts w:ascii="Cambria" w:hAnsi="Cambria"/>
          <w:sz w:val="20"/>
          <w:szCs w:val="20"/>
          <w:lang w:val="es-ES"/>
        </w:rPr>
        <w:t xml:space="preserve"> autoridades y</w:t>
      </w:r>
      <w:r w:rsidR="00696A32" w:rsidRPr="007A0D4C">
        <w:rPr>
          <w:rFonts w:ascii="Cambria" w:hAnsi="Cambria"/>
          <w:sz w:val="20"/>
          <w:szCs w:val="20"/>
          <w:lang w:val="es-ES"/>
        </w:rPr>
        <w:t xml:space="preserve"> ciertos</w:t>
      </w:r>
      <w:r w:rsidRPr="007A0D4C">
        <w:rPr>
          <w:rFonts w:ascii="Cambria" w:hAnsi="Cambria"/>
          <w:sz w:val="20"/>
          <w:szCs w:val="20"/>
          <w:lang w:val="es-ES"/>
        </w:rPr>
        <w:t xml:space="preserve"> empresarios </w:t>
      </w:r>
      <w:r w:rsidR="00696A32" w:rsidRPr="007A0D4C">
        <w:rPr>
          <w:rFonts w:ascii="Cambria" w:hAnsi="Cambria"/>
          <w:sz w:val="20"/>
          <w:szCs w:val="20"/>
          <w:lang w:val="es-ES"/>
        </w:rPr>
        <w:t xml:space="preserve">de su comunidad, </w:t>
      </w:r>
      <w:r w:rsidRPr="007A0D4C">
        <w:rPr>
          <w:rFonts w:ascii="Cambria" w:hAnsi="Cambria"/>
          <w:sz w:val="20"/>
          <w:szCs w:val="20"/>
          <w:lang w:val="es-ES"/>
        </w:rPr>
        <w:t xml:space="preserve">en relación con el medio ambiente, contrabando de madera, la situación </w:t>
      </w:r>
      <w:r w:rsidRPr="007A0D4C">
        <w:rPr>
          <w:rFonts w:ascii="Cambria" w:hAnsi="Cambria"/>
          <w:sz w:val="20"/>
          <w:szCs w:val="20"/>
          <w:lang w:val="es-ES"/>
        </w:rPr>
        <w:lastRenderedPageBreak/>
        <w:t>de los pueblos indígenas y sus tierras, la corrupción y los problemas de delincuencia y violencia en la zona fronteriza</w:t>
      </w:r>
      <w:r w:rsidR="00F84EE6" w:rsidRPr="007A0D4C">
        <w:rPr>
          <w:rStyle w:val="FootnoteReference"/>
          <w:rFonts w:ascii="Cambria" w:hAnsi="Cambria"/>
          <w:sz w:val="20"/>
          <w:szCs w:val="20"/>
          <w:lang w:val="es-ES"/>
        </w:rPr>
        <w:footnoteReference w:id="7"/>
      </w:r>
      <w:r w:rsidRPr="007A0D4C">
        <w:rPr>
          <w:rFonts w:ascii="Cambria" w:hAnsi="Cambria"/>
          <w:sz w:val="20"/>
          <w:szCs w:val="20"/>
          <w:lang w:val="es-ES"/>
        </w:rPr>
        <w:t>.</w:t>
      </w:r>
    </w:p>
    <w:p w14:paraId="6376C838" w14:textId="77777777" w:rsidR="00C0552E" w:rsidRPr="007A0D4C" w:rsidDel="00696A32" w:rsidRDefault="00C0552E"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FC86177" w14:textId="7E18EF38" w:rsidR="00235C0C" w:rsidRPr="007A0D4C" w:rsidRDefault="00C0552E"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7A0D4C">
        <w:rPr>
          <w:rFonts w:ascii="Cambria" w:hAnsi="Cambria"/>
          <w:sz w:val="20"/>
          <w:szCs w:val="20"/>
          <w:lang w:val="es-VE"/>
        </w:rPr>
        <w:t>E</w:t>
      </w:r>
      <w:r w:rsidR="00B47C45" w:rsidRPr="007A0D4C">
        <w:rPr>
          <w:rFonts w:ascii="Cambria" w:hAnsi="Cambria"/>
          <w:sz w:val="20"/>
          <w:szCs w:val="20"/>
          <w:lang w:val="es-VE"/>
        </w:rPr>
        <w:t xml:space="preserve">ntre el 22 y 26 de marzo de 1991 Santiago Leguizamón </w:t>
      </w:r>
      <w:r w:rsidR="00B47C45" w:rsidRPr="007A0D4C">
        <w:rPr>
          <w:rFonts w:ascii="Cambria" w:hAnsi="Cambria"/>
          <w:sz w:val="20"/>
          <w:szCs w:val="20"/>
          <w:lang w:val="es-ES"/>
        </w:rPr>
        <w:t xml:space="preserve">publicó una serie de artículos en el Diario Noticias, </w:t>
      </w:r>
      <w:r w:rsidR="00696A32" w:rsidRPr="007A0D4C">
        <w:rPr>
          <w:rFonts w:ascii="Cambria" w:hAnsi="Cambria"/>
          <w:sz w:val="20"/>
          <w:szCs w:val="20"/>
          <w:lang w:val="es-ES"/>
        </w:rPr>
        <w:t>en los</w:t>
      </w:r>
      <w:r w:rsidR="00B47C45" w:rsidRPr="007A0D4C">
        <w:rPr>
          <w:rFonts w:ascii="Cambria" w:hAnsi="Cambria"/>
          <w:sz w:val="20"/>
          <w:szCs w:val="20"/>
          <w:lang w:val="es-ES"/>
        </w:rPr>
        <w:t xml:space="preserve"> que </w:t>
      </w:r>
      <w:r w:rsidR="00696A32" w:rsidRPr="007A0D4C">
        <w:rPr>
          <w:rFonts w:ascii="Cambria" w:hAnsi="Cambria"/>
          <w:sz w:val="20"/>
          <w:szCs w:val="20"/>
          <w:lang w:val="es-ES"/>
        </w:rPr>
        <w:t>denunció</w:t>
      </w:r>
      <w:r w:rsidR="00B47C45" w:rsidRPr="007A0D4C">
        <w:rPr>
          <w:rFonts w:ascii="Cambria" w:hAnsi="Cambria"/>
          <w:sz w:val="20"/>
          <w:szCs w:val="20"/>
          <w:lang w:val="es-ES"/>
        </w:rPr>
        <w:t xml:space="preserve"> una presunta triangulación entre una familia empresaria brasileña y la Cámara Paraguaya de la Soja (CAPROSA) para evadir el pago de impuestos brasileños y paraguayos por la comercialización de soja. Asimismo, una serie de artículos titulada “El Hampa en Pedro Juan”, revelaba la</w:t>
      </w:r>
      <w:r w:rsidR="00A910B8">
        <w:rPr>
          <w:rFonts w:ascii="Cambria" w:hAnsi="Cambria"/>
          <w:sz w:val="20"/>
          <w:szCs w:val="20"/>
          <w:lang w:val="es-ES"/>
        </w:rPr>
        <w:t xml:space="preserve"> presunta </w:t>
      </w:r>
      <w:r w:rsidR="00B47C45" w:rsidRPr="007A0D4C">
        <w:rPr>
          <w:rFonts w:ascii="Cambria" w:hAnsi="Cambria"/>
          <w:sz w:val="20"/>
          <w:szCs w:val="20"/>
          <w:lang w:val="es-ES"/>
        </w:rPr>
        <w:t xml:space="preserve">responsabilidad en negocios vinculados al contrabando, lavado de dinero y corrupción de un empresario miembro de </w:t>
      </w:r>
      <w:r w:rsidR="00696A32" w:rsidRPr="007A0D4C">
        <w:rPr>
          <w:rFonts w:ascii="Cambria" w:hAnsi="Cambria"/>
          <w:sz w:val="20"/>
          <w:szCs w:val="20"/>
          <w:lang w:val="es-ES"/>
        </w:rPr>
        <w:t xml:space="preserve">una </w:t>
      </w:r>
      <w:r w:rsidR="00B47C45" w:rsidRPr="007A0D4C">
        <w:rPr>
          <w:rFonts w:ascii="Cambria" w:hAnsi="Cambria"/>
          <w:sz w:val="20"/>
          <w:szCs w:val="20"/>
          <w:lang w:val="es-ES"/>
        </w:rPr>
        <w:t xml:space="preserve">familia de origen brasileño, conocido bajo el alias “El Turco”, así como </w:t>
      </w:r>
      <w:r w:rsidR="00696A32" w:rsidRPr="007A0D4C">
        <w:rPr>
          <w:rFonts w:ascii="Cambria" w:hAnsi="Cambria"/>
          <w:sz w:val="20"/>
          <w:szCs w:val="20"/>
          <w:lang w:val="es-ES"/>
        </w:rPr>
        <w:t>la presunta colusión de</w:t>
      </w:r>
      <w:r w:rsidR="00B47C45" w:rsidRPr="007A0D4C">
        <w:rPr>
          <w:rFonts w:ascii="Cambria" w:hAnsi="Cambria"/>
          <w:sz w:val="20"/>
          <w:szCs w:val="20"/>
          <w:lang w:val="es-ES"/>
        </w:rPr>
        <w:t xml:space="preserve"> autoridades locales, y la existencia de “pistoleros a sueldo” que protegían a la organización criminal</w:t>
      </w:r>
      <w:r w:rsidR="000D766F" w:rsidRPr="007A0D4C">
        <w:rPr>
          <w:rStyle w:val="FootnoteReference"/>
          <w:rFonts w:ascii="Cambria" w:hAnsi="Cambria"/>
          <w:sz w:val="20"/>
          <w:szCs w:val="20"/>
          <w:lang w:val="es-ES"/>
        </w:rPr>
        <w:footnoteReference w:id="8"/>
      </w:r>
      <w:r w:rsidR="00B47C45" w:rsidRPr="007A0D4C">
        <w:rPr>
          <w:rFonts w:ascii="Cambria" w:hAnsi="Cambria"/>
          <w:sz w:val="20"/>
          <w:szCs w:val="20"/>
          <w:lang w:val="es-ES"/>
        </w:rPr>
        <w:t xml:space="preserve">. </w:t>
      </w:r>
    </w:p>
    <w:p w14:paraId="2D232ACD" w14:textId="77777777" w:rsidR="008263DE" w:rsidRPr="007A0D4C" w:rsidRDefault="008263DE" w:rsidP="007A0D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
        </w:rPr>
      </w:pPr>
    </w:p>
    <w:p w14:paraId="62972737" w14:textId="67C55006" w:rsidR="00984558" w:rsidRPr="007A0D4C" w:rsidRDefault="003D1AAA"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VE"/>
        </w:rPr>
        <w:t>El periodista</w:t>
      </w:r>
      <w:r w:rsidR="00AF0104" w:rsidRPr="007A0D4C">
        <w:rPr>
          <w:rFonts w:ascii="Cambria" w:hAnsi="Cambria"/>
          <w:sz w:val="20"/>
          <w:szCs w:val="20"/>
          <w:lang w:val="es-VE"/>
        </w:rPr>
        <w:t xml:space="preserve"> estaba casado con Ana María </w:t>
      </w:r>
      <w:r w:rsidR="00DC7ED4" w:rsidRPr="007A0D4C">
        <w:rPr>
          <w:rFonts w:ascii="Cambria" w:hAnsi="Cambria"/>
          <w:sz w:val="20"/>
          <w:szCs w:val="20"/>
          <w:lang w:val="es-VE"/>
        </w:rPr>
        <w:t>Margarita Morra</w:t>
      </w:r>
      <w:r w:rsidR="000D3B05" w:rsidRPr="007A0D4C">
        <w:rPr>
          <w:rStyle w:val="FootnoteReference"/>
          <w:rFonts w:ascii="Cambria" w:hAnsi="Cambria"/>
          <w:sz w:val="20"/>
          <w:szCs w:val="20"/>
          <w:lang w:val="es-VE"/>
        </w:rPr>
        <w:footnoteReference w:id="9"/>
      </w:r>
      <w:r w:rsidR="00DC7ED4" w:rsidRPr="007A0D4C">
        <w:rPr>
          <w:rFonts w:ascii="Cambria" w:hAnsi="Cambria"/>
          <w:sz w:val="20"/>
          <w:szCs w:val="20"/>
          <w:lang w:val="es-VE"/>
        </w:rPr>
        <w:t xml:space="preserve">, con quien tuvo </w:t>
      </w:r>
      <w:r w:rsidR="007474ED" w:rsidRPr="007A0D4C">
        <w:rPr>
          <w:rFonts w:ascii="Cambria" w:hAnsi="Cambria"/>
          <w:sz w:val="20"/>
          <w:szCs w:val="20"/>
          <w:lang w:val="es-VE"/>
        </w:rPr>
        <w:t xml:space="preserve">tres </w:t>
      </w:r>
      <w:r w:rsidR="00DC7ED4" w:rsidRPr="007A0D4C">
        <w:rPr>
          <w:rFonts w:ascii="Cambria" w:hAnsi="Cambria"/>
          <w:sz w:val="20"/>
          <w:szCs w:val="20"/>
          <w:lang w:val="es-VE"/>
        </w:rPr>
        <w:t xml:space="preserve">hijos </w:t>
      </w:r>
      <w:r w:rsidR="007474ED" w:rsidRPr="007A0D4C">
        <w:rPr>
          <w:rFonts w:ascii="Cambria" w:hAnsi="Cambria"/>
          <w:sz w:val="20"/>
          <w:szCs w:val="20"/>
          <w:lang w:val="es-VE"/>
        </w:rPr>
        <w:t>y una</w:t>
      </w:r>
      <w:r w:rsidR="00DC7ED4" w:rsidRPr="007A0D4C">
        <w:rPr>
          <w:rFonts w:ascii="Cambria" w:hAnsi="Cambria"/>
          <w:sz w:val="20"/>
          <w:szCs w:val="20"/>
          <w:lang w:val="es-VE"/>
        </w:rPr>
        <w:t xml:space="preserve"> hija: Raquel Leguizamón </w:t>
      </w:r>
      <w:r w:rsidR="00F817C3" w:rsidRPr="007A0D4C">
        <w:rPr>
          <w:rFonts w:ascii="Cambria" w:hAnsi="Cambria"/>
          <w:sz w:val="20"/>
          <w:szCs w:val="20"/>
          <w:lang w:val="es-VE"/>
        </w:rPr>
        <w:t>Morra, Dante Leguizamón Morra, Sebastián Leguizamón Morra y Fernando Leguizamón Morra</w:t>
      </w:r>
      <w:r w:rsidR="008D2550" w:rsidRPr="007A0D4C">
        <w:rPr>
          <w:rFonts w:ascii="Cambria" w:hAnsi="Cambria"/>
          <w:sz w:val="20"/>
          <w:szCs w:val="20"/>
          <w:lang w:val="es-VE"/>
        </w:rPr>
        <w:t>. La familia del periodista vivía en Asunción</w:t>
      </w:r>
      <w:r w:rsidR="0092264C" w:rsidRPr="007A0D4C">
        <w:rPr>
          <w:rStyle w:val="FootnoteReference"/>
          <w:rFonts w:ascii="Cambria" w:hAnsi="Cambria"/>
          <w:sz w:val="20"/>
          <w:szCs w:val="20"/>
          <w:lang w:val="es-VE"/>
        </w:rPr>
        <w:footnoteReference w:id="10"/>
      </w:r>
      <w:r w:rsidR="00F817C3" w:rsidRPr="007A0D4C">
        <w:rPr>
          <w:rFonts w:ascii="Cambria" w:hAnsi="Cambria"/>
          <w:sz w:val="20"/>
          <w:szCs w:val="20"/>
          <w:lang w:val="es-VE"/>
        </w:rPr>
        <w:t>.</w:t>
      </w:r>
    </w:p>
    <w:p w14:paraId="3BE14E0B" w14:textId="77777777" w:rsidR="003D1AAA" w:rsidRPr="007A0D4C" w:rsidRDefault="003D1AAA"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6B0E0264" w14:textId="5FBCB87F" w:rsidR="00256D53" w:rsidRPr="007A0D4C" w:rsidRDefault="009E450C" w:rsidP="007A0D4C">
      <w:pPr>
        <w:pStyle w:val="Heading2"/>
        <w:spacing w:before="0" w:after="0"/>
        <w:ind w:left="0" w:firstLine="0"/>
        <w:jc w:val="both"/>
        <w:rPr>
          <w:lang w:val="es-PE"/>
        </w:rPr>
      </w:pPr>
      <w:bookmarkStart w:id="20" w:name="_Toc47965322"/>
      <w:r w:rsidRPr="007A0D4C">
        <w:rPr>
          <w:lang w:val="es-VE"/>
        </w:rPr>
        <w:t>Las amenazas y el</w:t>
      </w:r>
      <w:r w:rsidR="00C12356" w:rsidRPr="007A0D4C">
        <w:rPr>
          <w:lang w:val="es-VE"/>
        </w:rPr>
        <w:t xml:space="preserve"> a</w:t>
      </w:r>
      <w:r w:rsidR="00256D53" w:rsidRPr="007A0D4C">
        <w:rPr>
          <w:lang w:val="es-VE"/>
        </w:rPr>
        <w:t>sesinato del periodista Santiago Leguizam</w:t>
      </w:r>
      <w:r w:rsidR="00256D53" w:rsidRPr="007A0D4C">
        <w:rPr>
          <w:lang w:val="es-PE"/>
        </w:rPr>
        <w:t>ón</w:t>
      </w:r>
      <w:bookmarkEnd w:id="20"/>
    </w:p>
    <w:p w14:paraId="4EC654A3" w14:textId="1CA6BCBA" w:rsidR="00256D53" w:rsidRPr="007A0D4C" w:rsidRDefault="00256D53" w:rsidP="007A0D4C">
      <w:pPr>
        <w:rPr>
          <w:rFonts w:ascii="Cambria" w:hAnsi="Cambria"/>
          <w:sz w:val="20"/>
          <w:szCs w:val="20"/>
          <w:lang w:val="es-PE"/>
        </w:rPr>
      </w:pPr>
    </w:p>
    <w:p w14:paraId="669A26A0" w14:textId="1D9E2976" w:rsidR="00107E37" w:rsidRPr="007A0D4C" w:rsidRDefault="0095039A"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VE"/>
        </w:rPr>
        <w:t>El 26 de abril de 1991</w:t>
      </w:r>
      <w:r w:rsidR="00A90612" w:rsidRPr="007A0D4C">
        <w:rPr>
          <w:rFonts w:ascii="Cambria" w:hAnsi="Cambria"/>
          <w:sz w:val="20"/>
          <w:szCs w:val="20"/>
          <w:lang w:val="es-VE"/>
        </w:rPr>
        <w:t xml:space="preserve"> a las 12:15 horas aproximadamente</w:t>
      </w:r>
      <w:r w:rsidR="008253D1" w:rsidRPr="007A0D4C">
        <w:rPr>
          <w:rStyle w:val="FootnoteReference"/>
          <w:rFonts w:ascii="Cambria" w:hAnsi="Cambria"/>
          <w:sz w:val="20"/>
          <w:szCs w:val="20"/>
          <w:lang w:val="es-VE"/>
        </w:rPr>
        <w:footnoteReference w:id="11"/>
      </w:r>
      <w:r w:rsidR="00A90612" w:rsidRPr="007A0D4C">
        <w:rPr>
          <w:rFonts w:ascii="Cambria" w:hAnsi="Cambria"/>
          <w:sz w:val="20"/>
          <w:szCs w:val="20"/>
          <w:lang w:val="es-VE"/>
        </w:rPr>
        <w:t>,</w:t>
      </w:r>
      <w:r w:rsidRPr="007A0D4C">
        <w:rPr>
          <w:rFonts w:ascii="Cambria" w:hAnsi="Cambria"/>
          <w:sz w:val="20"/>
          <w:szCs w:val="20"/>
          <w:lang w:val="es-VE"/>
        </w:rPr>
        <w:t xml:space="preserve"> </w:t>
      </w:r>
      <w:r w:rsidR="00FE532A" w:rsidRPr="007A0D4C">
        <w:rPr>
          <w:rFonts w:ascii="Cambria" w:hAnsi="Cambria"/>
          <w:sz w:val="20"/>
          <w:szCs w:val="20"/>
          <w:lang w:val="es-VE"/>
        </w:rPr>
        <w:t>el periodista</w:t>
      </w:r>
      <w:r w:rsidRPr="007A0D4C">
        <w:rPr>
          <w:rFonts w:ascii="Cambria" w:hAnsi="Cambria"/>
          <w:sz w:val="20"/>
          <w:szCs w:val="20"/>
          <w:lang w:val="es-VE"/>
        </w:rPr>
        <w:t xml:space="preserve"> Santiago Leguizamón</w:t>
      </w:r>
      <w:r w:rsidR="00FE532A" w:rsidRPr="007A0D4C">
        <w:rPr>
          <w:rFonts w:ascii="Cambria" w:hAnsi="Cambria"/>
          <w:sz w:val="20"/>
          <w:szCs w:val="20"/>
          <w:lang w:val="es-VE"/>
        </w:rPr>
        <w:t xml:space="preserve"> Zav</w:t>
      </w:r>
      <w:r w:rsidR="00FE532A" w:rsidRPr="007A0D4C">
        <w:rPr>
          <w:rFonts w:ascii="Cambria" w:hAnsi="Cambria"/>
          <w:sz w:val="20"/>
          <w:szCs w:val="20"/>
          <w:lang w:val="es-PE"/>
        </w:rPr>
        <w:t>án</w:t>
      </w:r>
      <w:r w:rsidR="005D7AA4" w:rsidRPr="007A0D4C">
        <w:rPr>
          <w:rFonts w:ascii="Cambria" w:hAnsi="Cambria"/>
          <w:sz w:val="20"/>
          <w:szCs w:val="20"/>
          <w:lang w:val="es-PE"/>
        </w:rPr>
        <w:t xml:space="preserve"> fue asesinado </w:t>
      </w:r>
      <w:r w:rsidR="00BA5B11" w:rsidRPr="007A0D4C">
        <w:rPr>
          <w:rFonts w:ascii="Cambria" w:hAnsi="Cambria"/>
          <w:sz w:val="20"/>
          <w:szCs w:val="20"/>
          <w:lang w:val="es-PE"/>
        </w:rPr>
        <w:t>en</w:t>
      </w:r>
      <w:r w:rsidR="00387F08" w:rsidRPr="007A0D4C">
        <w:rPr>
          <w:rFonts w:ascii="Cambria" w:hAnsi="Cambria"/>
          <w:sz w:val="20"/>
          <w:szCs w:val="20"/>
          <w:lang w:val="es-PE"/>
        </w:rPr>
        <w:t xml:space="preserve"> territorio paraguayo, </w:t>
      </w:r>
      <w:r w:rsidR="00673E29" w:rsidRPr="007A0D4C">
        <w:rPr>
          <w:rFonts w:ascii="Cambria" w:hAnsi="Cambria"/>
          <w:sz w:val="20"/>
          <w:szCs w:val="20"/>
          <w:lang w:val="es-PE"/>
        </w:rPr>
        <w:t>cerca de</w:t>
      </w:r>
      <w:r w:rsidR="00BA5B11" w:rsidRPr="007A0D4C">
        <w:rPr>
          <w:rFonts w:ascii="Cambria" w:hAnsi="Cambria"/>
          <w:sz w:val="20"/>
          <w:szCs w:val="20"/>
          <w:lang w:val="es-PE"/>
        </w:rPr>
        <w:t xml:space="preserve"> la línea demarcatoria de frontera</w:t>
      </w:r>
      <w:r w:rsidRPr="007A0D4C">
        <w:rPr>
          <w:rFonts w:ascii="Cambria" w:hAnsi="Cambria"/>
          <w:sz w:val="20"/>
          <w:szCs w:val="20"/>
          <w:lang w:val="es-VE"/>
        </w:rPr>
        <w:t xml:space="preserve"> </w:t>
      </w:r>
      <w:r w:rsidR="00387F08" w:rsidRPr="007A0D4C">
        <w:rPr>
          <w:rFonts w:ascii="Cambria" w:hAnsi="Cambria"/>
          <w:sz w:val="20"/>
          <w:szCs w:val="20"/>
          <w:lang w:val="es-VE"/>
        </w:rPr>
        <w:t xml:space="preserve">entre Paraguay y Brasil, cuando </w:t>
      </w:r>
      <w:r w:rsidRPr="007A0D4C">
        <w:rPr>
          <w:rFonts w:ascii="Cambria" w:hAnsi="Cambria"/>
          <w:sz w:val="20"/>
          <w:szCs w:val="20"/>
          <w:lang w:val="es-VE"/>
        </w:rPr>
        <w:t>se dirigía a un restaurante para la celebración del Día del</w:t>
      </w:r>
      <w:r w:rsidRPr="007A0D4C">
        <w:rPr>
          <w:rFonts w:ascii="Cambria" w:hAnsi="Cambria"/>
          <w:sz w:val="20"/>
          <w:szCs w:val="20"/>
          <w:lang w:val="es-ES"/>
        </w:rPr>
        <w:t xml:space="preserve"> Periodista</w:t>
      </w:r>
      <w:r w:rsidR="00177E6C" w:rsidRPr="007A0D4C">
        <w:rPr>
          <w:rFonts w:ascii="Cambria" w:hAnsi="Cambria"/>
          <w:sz w:val="20"/>
          <w:szCs w:val="20"/>
          <w:lang w:val="es-ES"/>
        </w:rPr>
        <w:t>.</w:t>
      </w:r>
      <w:r w:rsidRPr="007A0D4C">
        <w:rPr>
          <w:rFonts w:ascii="Cambria" w:hAnsi="Cambria"/>
          <w:sz w:val="20"/>
          <w:szCs w:val="20"/>
          <w:lang w:val="es-ES"/>
        </w:rPr>
        <w:t xml:space="preserve"> </w:t>
      </w:r>
      <w:r w:rsidR="004D2EE4" w:rsidRPr="007A0D4C">
        <w:rPr>
          <w:rFonts w:ascii="Cambria" w:hAnsi="Cambria"/>
          <w:sz w:val="20"/>
          <w:szCs w:val="20"/>
          <w:lang w:val="es-ES"/>
        </w:rPr>
        <w:t xml:space="preserve">Según el expediente, </w:t>
      </w:r>
      <w:r w:rsidR="00462380" w:rsidRPr="007A0D4C">
        <w:rPr>
          <w:rFonts w:ascii="Cambria" w:hAnsi="Cambria"/>
          <w:sz w:val="20"/>
          <w:szCs w:val="20"/>
          <w:lang w:val="es-ES"/>
        </w:rPr>
        <w:t>el periodista se encontraba dentro de su vehículo</w:t>
      </w:r>
      <w:r w:rsidR="00B066DD" w:rsidRPr="007A0D4C">
        <w:rPr>
          <w:rFonts w:ascii="Cambria" w:hAnsi="Cambria"/>
          <w:sz w:val="20"/>
          <w:szCs w:val="20"/>
          <w:lang w:val="es-ES"/>
        </w:rPr>
        <w:t xml:space="preserve">, </w:t>
      </w:r>
      <w:r w:rsidRPr="007A0D4C">
        <w:rPr>
          <w:rFonts w:ascii="Cambria" w:hAnsi="Cambria"/>
          <w:sz w:val="20"/>
          <w:szCs w:val="20"/>
          <w:lang w:val="es-ES"/>
        </w:rPr>
        <w:t xml:space="preserve">junto </w:t>
      </w:r>
      <w:r w:rsidR="00B066DD" w:rsidRPr="007A0D4C">
        <w:rPr>
          <w:rFonts w:ascii="Cambria" w:hAnsi="Cambria"/>
          <w:sz w:val="20"/>
          <w:szCs w:val="20"/>
          <w:lang w:val="es-ES"/>
        </w:rPr>
        <w:t>con</w:t>
      </w:r>
      <w:r w:rsidRPr="007A0D4C">
        <w:rPr>
          <w:rFonts w:ascii="Cambria" w:hAnsi="Cambria"/>
          <w:sz w:val="20"/>
          <w:szCs w:val="20"/>
          <w:lang w:val="es-ES"/>
        </w:rPr>
        <w:t xml:space="preserve"> su colaborador Baldomero Cabral, </w:t>
      </w:r>
      <w:r w:rsidR="00B066DD" w:rsidRPr="007A0D4C">
        <w:rPr>
          <w:rFonts w:ascii="Cambria" w:hAnsi="Cambria"/>
          <w:sz w:val="20"/>
          <w:szCs w:val="20"/>
          <w:lang w:val="es-ES"/>
        </w:rPr>
        <w:t xml:space="preserve">cuando </w:t>
      </w:r>
      <w:r w:rsidRPr="007A0D4C">
        <w:rPr>
          <w:rFonts w:ascii="Cambria" w:hAnsi="Cambria"/>
          <w:sz w:val="20"/>
          <w:szCs w:val="20"/>
          <w:lang w:val="es-ES"/>
        </w:rPr>
        <w:t xml:space="preserve">fueron interceptados por </w:t>
      </w:r>
      <w:r w:rsidR="00AA051B" w:rsidRPr="007A0D4C">
        <w:rPr>
          <w:rFonts w:ascii="Cambria" w:hAnsi="Cambria"/>
          <w:sz w:val="20"/>
          <w:szCs w:val="20"/>
          <w:lang w:val="es-ES"/>
        </w:rPr>
        <w:t xml:space="preserve">tres individuos en </w:t>
      </w:r>
      <w:r w:rsidRPr="007A0D4C">
        <w:rPr>
          <w:rFonts w:ascii="Cambria" w:hAnsi="Cambria"/>
          <w:sz w:val="20"/>
          <w:szCs w:val="20"/>
          <w:lang w:val="es-ES"/>
        </w:rPr>
        <w:t>un vehículo Volkswagen Gol de color negro</w:t>
      </w:r>
      <w:r w:rsidR="00AA051B" w:rsidRPr="007A0D4C">
        <w:rPr>
          <w:rFonts w:ascii="Cambria" w:hAnsi="Cambria"/>
          <w:sz w:val="20"/>
          <w:szCs w:val="20"/>
          <w:lang w:val="es-ES"/>
        </w:rPr>
        <w:t>, sin chapa,</w:t>
      </w:r>
      <w:r w:rsidRPr="007A0D4C">
        <w:rPr>
          <w:rFonts w:ascii="Cambria" w:hAnsi="Cambria"/>
          <w:sz w:val="20"/>
          <w:szCs w:val="20"/>
          <w:lang w:val="es-ES"/>
        </w:rPr>
        <w:t xml:space="preserve"> desde donde les dispararon con armas </w:t>
      </w:r>
      <w:r w:rsidR="00B31B3A" w:rsidRPr="007A0D4C">
        <w:rPr>
          <w:rFonts w:ascii="Cambria" w:hAnsi="Cambria"/>
          <w:sz w:val="20"/>
          <w:szCs w:val="20"/>
          <w:lang w:val="es-ES"/>
        </w:rPr>
        <w:t xml:space="preserve">de fuego </w:t>
      </w:r>
      <w:r w:rsidRPr="007A0D4C">
        <w:rPr>
          <w:rFonts w:ascii="Cambria" w:hAnsi="Cambria"/>
          <w:sz w:val="20"/>
          <w:szCs w:val="20"/>
          <w:lang w:val="es-ES"/>
        </w:rPr>
        <w:t xml:space="preserve">de </w:t>
      </w:r>
      <w:r w:rsidR="00772C04" w:rsidRPr="007A0D4C">
        <w:rPr>
          <w:rFonts w:ascii="Cambria" w:hAnsi="Cambria"/>
          <w:sz w:val="20"/>
          <w:szCs w:val="20"/>
          <w:lang w:val="es-ES"/>
        </w:rPr>
        <w:t xml:space="preserve">distinto </w:t>
      </w:r>
      <w:r w:rsidRPr="007A0D4C">
        <w:rPr>
          <w:rFonts w:ascii="Cambria" w:hAnsi="Cambria"/>
          <w:sz w:val="20"/>
          <w:szCs w:val="20"/>
          <w:lang w:val="es-ES"/>
        </w:rPr>
        <w:t xml:space="preserve">calibre, causando la muerte del periodista. </w:t>
      </w:r>
      <w:r w:rsidR="00D91B82" w:rsidRPr="007A0D4C">
        <w:rPr>
          <w:rFonts w:ascii="Cambria" w:hAnsi="Cambria"/>
          <w:sz w:val="20"/>
          <w:szCs w:val="20"/>
          <w:lang w:val="es-ES"/>
        </w:rPr>
        <w:t>El periodista sufrió 21 heridas de bala</w:t>
      </w:r>
      <w:r w:rsidR="006252E6" w:rsidRPr="007A0D4C">
        <w:rPr>
          <w:rFonts w:ascii="Cambria" w:hAnsi="Cambria"/>
          <w:sz w:val="20"/>
          <w:szCs w:val="20"/>
          <w:lang w:val="es-ES"/>
        </w:rPr>
        <w:t>.</w:t>
      </w:r>
      <w:r w:rsidR="005335F1" w:rsidRPr="007A0D4C">
        <w:rPr>
          <w:rFonts w:ascii="Cambria" w:hAnsi="Cambria"/>
          <w:sz w:val="20"/>
          <w:szCs w:val="20"/>
          <w:lang w:val="es-ES"/>
        </w:rPr>
        <w:t xml:space="preserve"> Luego del incidente, </w:t>
      </w:r>
      <w:r w:rsidR="006766FD" w:rsidRPr="007A0D4C">
        <w:rPr>
          <w:rFonts w:ascii="Cambria" w:hAnsi="Cambria"/>
          <w:sz w:val="20"/>
          <w:szCs w:val="20"/>
          <w:lang w:val="es-ES"/>
        </w:rPr>
        <w:t xml:space="preserve">los presuntos autores del crimen cruzaron la frontera hacia la ciudad de </w:t>
      </w:r>
      <w:r w:rsidR="00A910B8">
        <w:rPr>
          <w:rFonts w:ascii="Cambria" w:hAnsi="Cambria"/>
          <w:sz w:val="20"/>
          <w:szCs w:val="20"/>
          <w:lang w:val="es-ES"/>
        </w:rPr>
        <w:t>Ponta Porã</w:t>
      </w:r>
      <w:r w:rsidR="006766FD" w:rsidRPr="007A0D4C">
        <w:rPr>
          <w:rFonts w:ascii="Cambria" w:hAnsi="Cambria"/>
          <w:sz w:val="20"/>
          <w:szCs w:val="20"/>
          <w:lang w:val="es-ES"/>
        </w:rPr>
        <w:t xml:space="preserve"> en Brasil</w:t>
      </w:r>
      <w:r w:rsidR="007B5781" w:rsidRPr="007A0D4C">
        <w:rPr>
          <w:rStyle w:val="FootnoteReference"/>
          <w:rFonts w:ascii="Cambria" w:hAnsi="Cambria"/>
          <w:sz w:val="20"/>
          <w:szCs w:val="20"/>
          <w:lang w:val="es-ES"/>
        </w:rPr>
        <w:footnoteReference w:id="12"/>
      </w:r>
      <w:r w:rsidR="007B5781" w:rsidRPr="007A0D4C">
        <w:rPr>
          <w:rFonts w:ascii="Cambria" w:hAnsi="Cambria"/>
          <w:sz w:val="20"/>
          <w:szCs w:val="20"/>
          <w:lang w:val="es-ES"/>
        </w:rPr>
        <w:t>.</w:t>
      </w:r>
    </w:p>
    <w:p w14:paraId="1316C160" w14:textId="77777777" w:rsidR="00667B4D" w:rsidRPr="007A0D4C" w:rsidRDefault="00667B4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143A6FD3" w14:textId="15073B64" w:rsidR="00082574" w:rsidRPr="007A0D4C" w:rsidRDefault="00107E3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ES"/>
        </w:rPr>
        <w:t>E</w:t>
      </w:r>
      <w:r w:rsidR="0095039A" w:rsidRPr="007A0D4C">
        <w:rPr>
          <w:rFonts w:ascii="Cambria" w:hAnsi="Cambria"/>
          <w:sz w:val="20"/>
          <w:szCs w:val="20"/>
          <w:lang w:val="es-ES"/>
        </w:rPr>
        <w:t xml:space="preserve">l </w:t>
      </w:r>
      <w:r w:rsidR="00AA3A0C" w:rsidRPr="007A0D4C">
        <w:rPr>
          <w:rFonts w:ascii="Cambria" w:hAnsi="Cambria"/>
          <w:sz w:val="20"/>
          <w:szCs w:val="20"/>
          <w:lang w:val="es-ES"/>
        </w:rPr>
        <w:t>mismo día del asesinato, Baldomero Cabral</w:t>
      </w:r>
      <w:r w:rsidR="001962B8" w:rsidRPr="007A0D4C">
        <w:rPr>
          <w:rFonts w:ascii="Cambria" w:hAnsi="Cambria"/>
          <w:sz w:val="20"/>
          <w:szCs w:val="20"/>
          <w:lang w:val="es-ES"/>
        </w:rPr>
        <w:t>,</w:t>
      </w:r>
      <w:r w:rsidR="00725642" w:rsidRPr="007A0D4C">
        <w:rPr>
          <w:rFonts w:ascii="Cambria" w:hAnsi="Cambria"/>
          <w:sz w:val="20"/>
          <w:szCs w:val="20"/>
          <w:lang w:val="es-ES"/>
        </w:rPr>
        <w:t xml:space="preserve"> testigo de los hechos</w:t>
      </w:r>
      <w:r w:rsidR="00946D5E" w:rsidRPr="007A0D4C">
        <w:rPr>
          <w:rFonts w:ascii="Cambria" w:hAnsi="Cambria"/>
          <w:sz w:val="20"/>
          <w:szCs w:val="20"/>
          <w:lang w:val="es-ES"/>
        </w:rPr>
        <w:t>,</w:t>
      </w:r>
      <w:r w:rsidR="00725642" w:rsidRPr="007A0D4C">
        <w:rPr>
          <w:rFonts w:ascii="Cambria" w:hAnsi="Cambria"/>
          <w:sz w:val="20"/>
          <w:szCs w:val="20"/>
          <w:lang w:val="es-ES"/>
        </w:rPr>
        <w:t xml:space="preserve"> quien se encontraba en el vehículo al </w:t>
      </w:r>
      <w:r w:rsidR="00C2212F" w:rsidRPr="007A0D4C">
        <w:rPr>
          <w:rFonts w:ascii="Cambria" w:hAnsi="Cambria"/>
          <w:sz w:val="20"/>
          <w:szCs w:val="20"/>
          <w:lang w:val="es-ES"/>
        </w:rPr>
        <w:t>momento</w:t>
      </w:r>
      <w:r w:rsidR="00725642" w:rsidRPr="007A0D4C">
        <w:rPr>
          <w:rFonts w:ascii="Cambria" w:hAnsi="Cambria"/>
          <w:sz w:val="20"/>
          <w:szCs w:val="20"/>
          <w:lang w:val="es-ES"/>
        </w:rPr>
        <w:t xml:space="preserve"> del atentado, declaró que</w:t>
      </w:r>
      <w:r w:rsidR="00BB37D9" w:rsidRPr="007A0D4C">
        <w:rPr>
          <w:rFonts w:ascii="Cambria" w:hAnsi="Cambria"/>
          <w:sz w:val="20"/>
          <w:szCs w:val="20"/>
          <w:lang w:val="es-ES"/>
        </w:rPr>
        <w:t>,</w:t>
      </w:r>
      <w:r w:rsidR="00725642" w:rsidRPr="007A0D4C">
        <w:rPr>
          <w:rFonts w:ascii="Cambria" w:hAnsi="Cambria"/>
          <w:sz w:val="20"/>
          <w:szCs w:val="20"/>
          <w:lang w:val="es-ES"/>
        </w:rPr>
        <w:t xml:space="preserve"> </w:t>
      </w:r>
      <w:r w:rsidR="00657AC1" w:rsidRPr="007A0D4C">
        <w:rPr>
          <w:rFonts w:ascii="Cambria" w:hAnsi="Cambria"/>
          <w:sz w:val="20"/>
          <w:szCs w:val="20"/>
          <w:lang w:val="es-ES"/>
        </w:rPr>
        <w:t xml:space="preserve">al escuchar </w:t>
      </w:r>
      <w:r w:rsidR="00C2212F" w:rsidRPr="007A0D4C">
        <w:rPr>
          <w:rFonts w:ascii="Cambria" w:hAnsi="Cambria"/>
          <w:sz w:val="20"/>
          <w:szCs w:val="20"/>
          <w:lang w:val="es-ES"/>
        </w:rPr>
        <w:t xml:space="preserve">el primer </w:t>
      </w:r>
      <w:r w:rsidR="00657AC1" w:rsidRPr="007A0D4C">
        <w:rPr>
          <w:rFonts w:ascii="Cambria" w:hAnsi="Cambria"/>
          <w:sz w:val="20"/>
          <w:szCs w:val="20"/>
          <w:lang w:val="es-ES"/>
        </w:rPr>
        <w:t xml:space="preserve">disparo, Santiago Leguizamón </w:t>
      </w:r>
      <w:r w:rsidR="00C2212F" w:rsidRPr="007A0D4C">
        <w:rPr>
          <w:rFonts w:ascii="Cambria" w:hAnsi="Cambria"/>
          <w:sz w:val="20"/>
          <w:szCs w:val="20"/>
          <w:lang w:val="es-ES"/>
        </w:rPr>
        <w:t>le dijo “</w:t>
      </w:r>
      <w:r w:rsidR="00B76133" w:rsidRPr="007A0D4C">
        <w:rPr>
          <w:rFonts w:ascii="Cambria" w:hAnsi="Cambria"/>
          <w:sz w:val="20"/>
          <w:szCs w:val="20"/>
          <w:lang w:val="es-ES"/>
        </w:rPr>
        <w:t>corre y escápate porque vos podés salvarte, y yo ya no puedo”.</w:t>
      </w:r>
      <w:r w:rsidR="00946D5E" w:rsidRPr="007A0D4C">
        <w:rPr>
          <w:rFonts w:ascii="Cambria" w:hAnsi="Cambria"/>
          <w:sz w:val="20"/>
          <w:szCs w:val="20"/>
          <w:lang w:val="es-ES"/>
        </w:rPr>
        <w:t xml:space="preserve"> Baldomero Cabral logró escapar de la escena del crimen</w:t>
      </w:r>
      <w:r w:rsidR="00F613D9" w:rsidRPr="007A0D4C">
        <w:rPr>
          <w:rFonts w:ascii="Cambria" w:hAnsi="Cambria"/>
          <w:sz w:val="20"/>
          <w:szCs w:val="20"/>
          <w:lang w:val="es-ES"/>
        </w:rPr>
        <w:t>, refugiándose donde un vecino</w:t>
      </w:r>
      <w:r w:rsidR="00F613D9" w:rsidRPr="007A0D4C">
        <w:rPr>
          <w:rStyle w:val="FootnoteReference"/>
          <w:rFonts w:ascii="Cambria" w:hAnsi="Cambria"/>
          <w:sz w:val="20"/>
          <w:szCs w:val="20"/>
          <w:lang w:val="es-ES"/>
        </w:rPr>
        <w:footnoteReference w:id="13"/>
      </w:r>
      <w:r w:rsidR="00F613D9" w:rsidRPr="007A0D4C">
        <w:rPr>
          <w:rFonts w:ascii="Cambria" w:hAnsi="Cambria"/>
          <w:sz w:val="20"/>
          <w:szCs w:val="20"/>
          <w:lang w:val="es-ES"/>
        </w:rPr>
        <w:t>.</w:t>
      </w:r>
    </w:p>
    <w:p w14:paraId="517E2087" w14:textId="77777777" w:rsidR="005564DD" w:rsidRPr="007A0D4C" w:rsidRDefault="005564D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C92F644" w14:textId="6E4D5ADC" w:rsidR="002A0F92" w:rsidRPr="000D369F" w:rsidRDefault="00701D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Con anterioridad al asesinato, </w:t>
      </w:r>
      <w:r w:rsidRPr="007A0D4C">
        <w:rPr>
          <w:rFonts w:ascii="Cambria" w:hAnsi="Cambria"/>
          <w:sz w:val="20"/>
          <w:szCs w:val="20"/>
          <w:lang w:val="es-VE"/>
        </w:rPr>
        <w:t>el periodista recibió</w:t>
      </w:r>
      <w:r w:rsidRPr="007A0D4C">
        <w:rPr>
          <w:rFonts w:ascii="Cambria" w:hAnsi="Cambria"/>
          <w:sz w:val="20"/>
          <w:szCs w:val="20"/>
          <w:lang w:val="es-PE"/>
        </w:rPr>
        <w:t xml:space="preserve"> amenazas </w:t>
      </w:r>
      <w:r w:rsidR="00B146D7" w:rsidRPr="007A0D4C">
        <w:rPr>
          <w:rFonts w:ascii="Cambria" w:hAnsi="Cambria"/>
          <w:sz w:val="20"/>
          <w:szCs w:val="20"/>
          <w:lang w:val="es-PE"/>
        </w:rPr>
        <w:t xml:space="preserve">en distintas oportunidades </w:t>
      </w:r>
      <w:r w:rsidRPr="000D369F">
        <w:rPr>
          <w:rFonts w:ascii="Cambria" w:hAnsi="Cambria"/>
          <w:sz w:val="20"/>
          <w:szCs w:val="20"/>
          <w:lang w:val="es-PE"/>
        </w:rPr>
        <w:t xml:space="preserve">por </w:t>
      </w:r>
      <w:r w:rsidR="00B146D7" w:rsidRPr="000D369F">
        <w:rPr>
          <w:rFonts w:ascii="Cambria" w:hAnsi="Cambria"/>
          <w:sz w:val="20"/>
          <w:szCs w:val="20"/>
          <w:lang w:val="es-PE"/>
        </w:rPr>
        <w:t xml:space="preserve">el ejercicio de </w:t>
      </w:r>
      <w:r w:rsidRPr="000D369F">
        <w:rPr>
          <w:rFonts w:ascii="Cambria" w:hAnsi="Cambria"/>
          <w:sz w:val="20"/>
          <w:szCs w:val="20"/>
          <w:lang w:val="es-PE"/>
        </w:rPr>
        <w:t>su labor periodística</w:t>
      </w:r>
      <w:r w:rsidR="00757699" w:rsidRPr="000D369F">
        <w:rPr>
          <w:rFonts w:ascii="Cambria" w:hAnsi="Cambria"/>
          <w:sz w:val="20"/>
          <w:szCs w:val="20"/>
          <w:lang w:val="es-PE"/>
        </w:rPr>
        <w:t xml:space="preserve">, </w:t>
      </w:r>
      <w:r w:rsidR="004F3838" w:rsidRPr="004F0E83">
        <w:rPr>
          <w:rFonts w:ascii="Cambria" w:hAnsi="Cambria"/>
          <w:sz w:val="20"/>
          <w:szCs w:val="20"/>
          <w:lang w:val="es-PE"/>
        </w:rPr>
        <w:t>incluso</w:t>
      </w:r>
      <w:r w:rsidR="00C028AF" w:rsidRPr="004F0E83">
        <w:rPr>
          <w:rFonts w:ascii="Cambria" w:hAnsi="Cambria"/>
          <w:sz w:val="20"/>
          <w:szCs w:val="20"/>
          <w:lang w:val="es-PE"/>
        </w:rPr>
        <w:t xml:space="preserve"> días antes de su muerte</w:t>
      </w:r>
      <w:r w:rsidR="004F3838" w:rsidRPr="004F0E83">
        <w:rPr>
          <w:rFonts w:ascii="Cambria" w:hAnsi="Cambria"/>
          <w:sz w:val="20"/>
          <w:szCs w:val="20"/>
          <w:lang w:val="es-PE"/>
        </w:rPr>
        <w:t>,</w:t>
      </w:r>
      <w:r w:rsidR="00C028AF" w:rsidRPr="004F0E83">
        <w:rPr>
          <w:rFonts w:ascii="Cambria" w:hAnsi="Cambria"/>
          <w:sz w:val="20"/>
          <w:szCs w:val="20"/>
          <w:lang w:val="es-PE"/>
        </w:rPr>
        <w:t xml:space="preserve"> </w:t>
      </w:r>
      <w:r w:rsidR="00757699" w:rsidRPr="004F0E83">
        <w:rPr>
          <w:rFonts w:ascii="Cambria" w:hAnsi="Cambria"/>
          <w:sz w:val="20"/>
          <w:szCs w:val="20"/>
          <w:lang w:val="es-PE"/>
        </w:rPr>
        <w:t>las cuales</w:t>
      </w:r>
      <w:r w:rsidR="00757699" w:rsidRPr="000D369F">
        <w:rPr>
          <w:rFonts w:ascii="Cambria" w:hAnsi="Cambria"/>
          <w:sz w:val="20"/>
          <w:szCs w:val="20"/>
          <w:lang w:val="es-PE"/>
        </w:rPr>
        <w:t xml:space="preserve"> </w:t>
      </w:r>
      <w:r w:rsidR="009A778C" w:rsidRPr="000D369F">
        <w:rPr>
          <w:rFonts w:ascii="Cambria" w:hAnsi="Cambria"/>
          <w:sz w:val="20"/>
          <w:szCs w:val="20"/>
          <w:lang w:val="es-PE"/>
        </w:rPr>
        <w:t>eran de</w:t>
      </w:r>
      <w:r w:rsidR="00757699" w:rsidRPr="000D369F">
        <w:rPr>
          <w:rFonts w:ascii="Cambria" w:hAnsi="Cambria"/>
          <w:sz w:val="20"/>
          <w:szCs w:val="20"/>
          <w:lang w:val="es-PE"/>
        </w:rPr>
        <w:t xml:space="preserve"> conocimiento de su esposa </w:t>
      </w:r>
      <w:r w:rsidR="00757699" w:rsidRPr="000D369F">
        <w:rPr>
          <w:rFonts w:ascii="Cambria" w:hAnsi="Cambria"/>
          <w:sz w:val="20"/>
          <w:szCs w:val="20"/>
          <w:lang w:val="es-PE"/>
        </w:rPr>
        <w:lastRenderedPageBreak/>
        <w:t>y de diversos colegas periodistas</w:t>
      </w:r>
      <w:r w:rsidR="00E86963" w:rsidRPr="000D369F">
        <w:rPr>
          <w:rFonts w:ascii="Cambria" w:hAnsi="Cambria"/>
          <w:sz w:val="20"/>
          <w:szCs w:val="20"/>
          <w:lang w:val="es-PE"/>
        </w:rPr>
        <w:t xml:space="preserve"> y compañeros de trabajo</w:t>
      </w:r>
      <w:r w:rsidR="003A3853" w:rsidRPr="000D369F">
        <w:rPr>
          <w:rFonts w:ascii="Cambria" w:hAnsi="Cambria"/>
          <w:sz w:val="20"/>
          <w:szCs w:val="20"/>
          <w:lang w:val="es-PE"/>
        </w:rPr>
        <w:t>. Santiago Leguizamón no identificó la fuente de las amenazas</w:t>
      </w:r>
      <w:r w:rsidR="00E86963" w:rsidRPr="000D369F">
        <w:rPr>
          <w:rStyle w:val="FootnoteReference"/>
          <w:rFonts w:ascii="Cambria" w:hAnsi="Cambria"/>
          <w:sz w:val="20"/>
          <w:szCs w:val="20"/>
          <w:lang w:val="es-PE"/>
        </w:rPr>
        <w:footnoteReference w:id="14"/>
      </w:r>
      <w:r w:rsidR="00A910B8">
        <w:rPr>
          <w:rFonts w:ascii="Cambria" w:hAnsi="Cambria"/>
          <w:sz w:val="20"/>
          <w:szCs w:val="20"/>
          <w:lang w:val="es-PE"/>
        </w:rPr>
        <w:t>, sin embargo, las</w:t>
      </w:r>
      <w:r w:rsidR="009A778C" w:rsidRPr="000D369F">
        <w:rPr>
          <w:rFonts w:ascii="Cambria" w:hAnsi="Cambria"/>
          <w:sz w:val="20"/>
          <w:szCs w:val="20"/>
          <w:lang w:val="es-PE"/>
        </w:rPr>
        <w:t xml:space="preserve"> hizo públicas, a través de su programa radial</w:t>
      </w:r>
      <w:r w:rsidR="003E18CB" w:rsidRPr="000D369F">
        <w:rPr>
          <w:rStyle w:val="FootnoteReference"/>
          <w:rFonts w:ascii="Cambria" w:hAnsi="Cambria"/>
          <w:sz w:val="20"/>
          <w:szCs w:val="20"/>
          <w:lang w:val="es-PE"/>
        </w:rPr>
        <w:footnoteReference w:id="15"/>
      </w:r>
      <w:r w:rsidR="009A778C" w:rsidRPr="000D369F">
        <w:rPr>
          <w:rFonts w:ascii="Cambria" w:hAnsi="Cambria"/>
          <w:sz w:val="20"/>
          <w:szCs w:val="20"/>
          <w:lang w:val="es-PE"/>
        </w:rPr>
        <w:t xml:space="preserve">. </w:t>
      </w:r>
      <w:r w:rsidR="00910051" w:rsidRPr="000D369F">
        <w:rPr>
          <w:rFonts w:ascii="Cambria" w:hAnsi="Cambria"/>
          <w:sz w:val="20"/>
          <w:szCs w:val="20"/>
          <w:lang w:val="es-PE"/>
        </w:rPr>
        <w:t xml:space="preserve">En particular, </w:t>
      </w:r>
      <w:r w:rsidR="00830987" w:rsidRPr="000D369F">
        <w:rPr>
          <w:rFonts w:ascii="Cambria" w:hAnsi="Cambria"/>
          <w:sz w:val="20"/>
          <w:szCs w:val="20"/>
          <w:lang w:val="es-PE"/>
        </w:rPr>
        <w:t xml:space="preserve">el locutor </w:t>
      </w:r>
      <w:r w:rsidR="00771452" w:rsidRPr="000D369F">
        <w:rPr>
          <w:rFonts w:ascii="Cambria" w:hAnsi="Cambria"/>
          <w:sz w:val="20"/>
          <w:szCs w:val="20"/>
          <w:lang w:val="es-PE"/>
        </w:rPr>
        <w:t xml:space="preserve">Kiko Servián, dijo que </w:t>
      </w:r>
      <w:r w:rsidR="004C506E" w:rsidRPr="000D369F">
        <w:rPr>
          <w:rFonts w:ascii="Cambria" w:hAnsi="Cambria"/>
          <w:sz w:val="20"/>
          <w:szCs w:val="20"/>
          <w:lang w:val="es-PE"/>
        </w:rPr>
        <w:t xml:space="preserve">días antes de la muerte de Leguizamón, mientras ambos conducían </w:t>
      </w:r>
      <w:r w:rsidR="00771452" w:rsidRPr="000D369F">
        <w:rPr>
          <w:rFonts w:ascii="Cambria" w:hAnsi="Cambria"/>
          <w:sz w:val="20"/>
          <w:szCs w:val="20"/>
          <w:lang w:val="es-PE"/>
        </w:rPr>
        <w:t>el programa “Puerta</w:t>
      </w:r>
      <w:r w:rsidR="00A910B8">
        <w:rPr>
          <w:rFonts w:ascii="Cambria" w:hAnsi="Cambria"/>
          <w:sz w:val="20"/>
          <w:szCs w:val="20"/>
          <w:lang w:val="es-PE"/>
        </w:rPr>
        <w:t>s</w:t>
      </w:r>
      <w:r w:rsidR="00771452" w:rsidRPr="000D369F">
        <w:rPr>
          <w:rFonts w:ascii="Cambria" w:hAnsi="Cambria"/>
          <w:sz w:val="20"/>
          <w:szCs w:val="20"/>
          <w:lang w:val="es-PE"/>
        </w:rPr>
        <w:t xml:space="preserve"> Abierta</w:t>
      </w:r>
      <w:r w:rsidR="00A910B8">
        <w:rPr>
          <w:rFonts w:ascii="Cambria" w:hAnsi="Cambria"/>
          <w:sz w:val="20"/>
          <w:szCs w:val="20"/>
          <w:lang w:val="es-PE"/>
        </w:rPr>
        <w:t>s</w:t>
      </w:r>
      <w:r w:rsidR="00771452" w:rsidRPr="000D369F">
        <w:rPr>
          <w:rFonts w:ascii="Cambria" w:hAnsi="Cambria"/>
          <w:sz w:val="20"/>
          <w:szCs w:val="20"/>
          <w:lang w:val="es-PE"/>
        </w:rPr>
        <w:t xml:space="preserve">”, </w:t>
      </w:r>
      <w:r w:rsidR="004C506E" w:rsidRPr="000D369F">
        <w:rPr>
          <w:rFonts w:ascii="Cambria" w:hAnsi="Cambria"/>
          <w:sz w:val="20"/>
          <w:szCs w:val="20"/>
          <w:lang w:val="es-PE"/>
        </w:rPr>
        <w:t xml:space="preserve">este último manifestó públicamente </w:t>
      </w:r>
      <w:r w:rsidR="00C06134" w:rsidRPr="000D369F">
        <w:rPr>
          <w:rFonts w:ascii="Cambria" w:hAnsi="Cambria"/>
          <w:sz w:val="20"/>
          <w:szCs w:val="20"/>
          <w:lang w:val="es-PE"/>
        </w:rPr>
        <w:t>que conocía</w:t>
      </w:r>
      <w:r w:rsidR="00EC34DE" w:rsidRPr="000D369F">
        <w:rPr>
          <w:rFonts w:ascii="Cambria" w:hAnsi="Cambria"/>
          <w:sz w:val="20"/>
          <w:szCs w:val="20"/>
          <w:lang w:val="es-PE"/>
        </w:rPr>
        <w:t xml:space="preserve"> las amenazas de muerte en su contra y preguntaba de quiénes provendría</w:t>
      </w:r>
      <w:r w:rsidR="00A910B8">
        <w:rPr>
          <w:rFonts w:ascii="Cambria" w:hAnsi="Cambria"/>
          <w:sz w:val="20"/>
          <w:szCs w:val="20"/>
          <w:lang w:val="es-PE"/>
        </w:rPr>
        <w:t>n</w:t>
      </w:r>
      <w:r w:rsidR="00EC34DE" w:rsidRPr="000D369F">
        <w:rPr>
          <w:rStyle w:val="FootnoteReference"/>
          <w:rFonts w:ascii="Cambria" w:hAnsi="Cambria"/>
          <w:sz w:val="20"/>
          <w:szCs w:val="20"/>
          <w:lang w:val="es-PE"/>
        </w:rPr>
        <w:footnoteReference w:id="16"/>
      </w:r>
      <w:r w:rsidR="00EC34DE" w:rsidRPr="000D369F">
        <w:rPr>
          <w:rFonts w:ascii="Cambria" w:hAnsi="Cambria"/>
          <w:sz w:val="20"/>
          <w:szCs w:val="20"/>
          <w:lang w:val="es-PE"/>
        </w:rPr>
        <w:t>.</w:t>
      </w:r>
      <w:r w:rsidR="002A0F92" w:rsidRPr="000D369F">
        <w:rPr>
          <w:rFonts w:ascii="Cambria" w:hAnsi="Cambria"/>
          <w:sz w:val="20"/>
          <w:szCs w:val="20"/>
          <w:lang w:val="es-PE"/>
        </w:rPr>
        <w:t xml:space="preserve"> Asimismo, un amigo cercano del periodista, </w:t>
      </w:r>
      <w:r w:rsidR="00A80DEC" w:rsidRPr="000D369F">
        <w:rPr>
          <w:rFonts w:ascii="Cambria" w:hAnsi="Cambria"/>
          <w:sz w:val="20"/>
          <w:szCs w:val="20"/>
          <w:lang w:val="es-PE"/>
        </w:rPr>
        <w:t xml:space="preserve">le advirtió </w:t>
      </w:r>
      <w:r w:rsidR="004B4606" w:rsidRPr="000D369F">
        <w:rPr>
          <w:rFonts w:ascii="Cambria" w:hAnsi="Cambria"/>
          <w:sz w:val="20"/>
          <w:szCs w:val="20"/>
          <w:lang w:val="es-PE"/>
        </w:rPr>
        <w:t xml:space="preserve">que se cuidara porque había </w:t>
      </w:r>
      <w:r w:rsidR="003A2797" w:rsidRPr="000D369F">
        <w:rPr>
          <w:rFonts w:ascii="Cambria" w:hAnsi="Cambria"/>
          <w:sz w:val="20"/>
          <w:szCs w:val="20"/>
          <w:lang w:val="es-PE"/>
        </w:rPr>
        <w:t>recibido información</w:t>
      </w:r>
      <w:r w:rsidR="004B4606" w:rsidRPr="000D369F">
        <w:rPr>
          <w:rFonts w:ascii="Cambria" w:hAnsi="Cambria"/>
          <w:sz w:val="20"/>
          <w:szCs w:val="20"/>
          <w:lang w:val="es-PE"/>
        </w:rPr>
        <w:t xml:space="preserve"> que </w:t>
      </w:r>
      <w:r w:rsidR="00FE09CF" w:rsidRPr="000D369F">
        <w:rPr>
          <w:rFonts w:ascii="Cambria" w:hAnsi="Cambria"/>
          <w:sz w:val="20"/>
          <w:szCs w:val="20"/>
          <w:lang w:val="es-PE"/>
        </w:rPr>
        <w:t xml:space="preserve">querían matarlo </w:t>
      </w:r>
      <w:r w:rsidR="0080122B" w:rsidRPr="000D369F">
        <w:rPr>
          <w:rFonts w:ascii="Cambria" w:hAnsi="Cambria"/>
          <w:sz w:val="20"/>
          <w:szCs w:val="20"/>
          <w:lang w:val="es-PE"/>
        </w:rPr>
        <w:t>por l</w:t>
      </w:r>
      <w:r w:rsidR="000B3B8D" w:rsidRPr="000D369F">
        <w:rPr>
          <w:rFonts w:ascii="Cambria" w:hAnsi="Cambria"/>
          <w:sz w:val="20"/>
          <w:szCs w:val="20"/>
          <w:lang w:val="es-PE"/>
        </w:rPr>
        <w:t xml:space="preserve">as denuncias </w:t>
      </w:r>
      <w:r w:rsidR="00C33423" w:rsidRPr="000D369F">
        <w:rPr>
          <w:rFonts w:ascii="Cambria" w:hAnsi="Cambria"/>
          <w:sz w:val="20"/>
          <w:szCs w:val="20"/>
          <w:lang w:val="es-PE"/>
        </w:rPr>
        <w:t>permanente</w:t>
      </w:r>
      <w:r w:rsidR="003A2797" w:rsidRPr="000D369F">
        <w:rPr>
          <w:rFonts w:ascii="Cambria" w:hAnsi="Cambria"/>
          <w:sz w:val="20"/>
          <w:szCs w:val="20"/>
          <w:lang w:val="es-PE"/>
        </w:rPr>
        <w:t xml:space="preserve">s </w:t>
      </w:r>
      <w:r w:rsidR="000B3B8D" w:rsidRPr="000D369F">
        <w:rPr>
          <w:rFonts w:ascii="Cambria" w:hAnsi="Cambria"/>
          <w:sz w:val="20"/>
          <w:szCs w:val="20"/>
          <w:lang w:val="es-PE"/>
        </w:rPr>
        <w:t>que hacía sobre la problemática de la zona</w:t>
      </w:r>
      <w:r w:rsidR="00477FFE" w:rsidRPr="000D369F">
        <w:rPr>
          <w:rStyle w:val="FootnoteReference"/>
          <w:rFonts w:ascii="Cambria" w:hAnsi="Cambria"/>
          <w:sz w:val="20"/>
          <w:szCs w:val="20"/>
          <w:lang w:val="es-PE"/>
        </w:rPr>
        <w:footnoteReference w:id="17"/>
      </w:r>
      <w:r w:rsidR="00C33423" w:rsidRPr="000D369F">
        <w:rPr>
          <w:rFonts w:ascii="Cambria" w:hAnsi="Cambria"/>
          <w:sz w:val="20"/>
          <w:szCs w:val="20"/>
          <w:lang w:val="es-PE"/>
        </w:rPr>
        <w:t>.</w:t>
      </w:r>
    </w:p>
    <w:p w14:paraId="726C9E93" w14:textId="77777777" w:rsidR="00C80917" w:rsidRPr="000D369F" w:rsidRDefault="00C80917"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55D7954" w14:textId="4934E116" w:rsidR="00544E8D" w:rsidRPr="00D51469" w:rsidRDefault="00065E2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D51469">
        <w:rPr>
          <w:rFonts w:ascii="Cambria" w:hAnsi="Cambria"/>
          <w:sz w:val="20"/>
          <w:szCs w:val="20"/>
          <w:lang w:val="es-ES"/>
        </w:rPr>
        <w:t>A</w:t>
      </w:r>
      <w:r w:rsidR="008E1F4B" w:rsidRPr="00D51469">
        <w:rPr>
          <w:rFonts w:ascii="Cambria" w:hAnsi="Cambria"/>
          <w:sz w:val="20"/>
          <w:szCs w:val="20"/>
          <w:lang w:val="es-ES"/>
        </w:rPr>
        <w:t>demás</w:t>
      </w:r>
      <w:r w:rsidRPr="00D51469">
        <w:rPr>
          <w:rFonts w:ascii="Cambria" w:hAnsi="Cambria"/>
          <w:sz w:val="20"/>
          <w:szCs w:val="20"/>
          <w:lang w:val="es-ES"/>
        </w:rPr>
        <w:t>, según declaraciones</w:t>
      </w:r>
      <w:r w:rsidR="00B91117" w:rsidRPr="00D51469">
        <w:rPr>
          <w:rFonts w:ascii="Cambria" w:hAnsi="Cambria"/>
          <w:sz w:val="20"/>
          <w:szCs w:val="20"/>
          <w:lang w:val="es-ES"/>
        </w:rPr>
        <w:t>,</w:t>
      </w:r>
      <w:r w:rsidRPr="00D51469">
        <w:rPr>
          <w:rFonts w:ascii="Cambria" w:hAnsi="Cambria"/>
          <w:sz w:val="20"/>
          <w:szCs w:val="20"/>
          <w:lang w:val="es-ES"/>
        </w:rPr>
        <w:t xml:space="preserve"> </w:t>
      </w:r>
      <w:r w:rsidR="00B113AC" w:rsidRPr="00D51469">
        <w:rPr>
          <w:rFonts w:ascii="Cambria" w:hAnsi="Cambria"/>
          <w:sz w:val="20"/>
          <w:szCs w:val="20"/>
          <w:lang w:val="es-ES"/>
        </w:rPr>
        <w:t>el</w:t>
      </w:r>
      <w:r w:rsidR="00701D21" w:rsidRPr="00D51469">
        <w:rPr>
          <w:rFonts w:ascii="Cambria" w:hAnsi="Cambria"/>
          <w:sz w:val="20"/>
          <w:szCs w:val="20"/>
          <w:lang w:val="es-ES"/>
        </w:rPr>
        <w:t xml:space="preserve"> periodista le decía a su equipo de trabajo que </w:t>
      </w:r>
      <w:r w:rsidR="00667255" w:rsidRPr="00D51469">
        <w:rPr>
          <w:rFonts w:ascii="Cambria" w:hAnsi="Cambria"/>
          <w:sz w:val="20"/>
          <w:szCs w:val="20"/>
          <w:lang w:val="es-ES"/>
        </w:rPr>
        <w:t xml:space="preserve">“era necesario cuidarse </w:t>
      </w:r>
      <w:r w:rsidR="00701D21" w:rsidRPr="00D51469">
        <w:rPr>
          <w:rFonts w:ascii="Cambria" w:hAnsi="Cambria"/>
          <w:sz w:val="20"/>
          <w:szCs w:val="20"/>
          <w:lang w:val="es-ES"/>
        </w:rPr>
        <w:t>y estar en permanente vigilancia”</w:t>
      </w:r>
      <w:r w:rsidR="009D32BD" w:rsidRPr="00D51469">
        <w:rPr>
          <w:rFonts w:ascii="Cambria" w:hAnsi="Cambria"/>
          <w:sz w:val="20"/>
          <w:szCs w:val="20"/>
          <w:lang w:val="es-ES"/>
        </w:rPr>
        <w:t xml:space="preserve">, por lo que </w:t>
      </w:r>
      <w:r w:rsidR="006D5ECA" w:rsidRPr="00D51469">
        <w:rPr>
          <w:rFonts w:ascii="Cambria" w:hAnsi="Cambria"/>
          <w:sz w:val="20"/>
          <w:szCs w:val="20"/>
          <w:lang w:val="es-ES"/>
        </w:rPr>
        <w:t>Baldomero Cabral, sobre todo en horas de la noche, portaba un</w:t>
      </w:r>
      <w:r w:rsidR="00FC0BB2" w:rsidRPr="00D51469">
        <w:rPr>
          <w:rFonts w:ascii="Cambria" w:hAnsi="Cambria"/>
          <w:sz w:val="20"/>
          <w:szCs w:val="20"/>
          <w:lang w:val="es-ES"/>
        </w:rPr>
        <w:t xml:space="preserve"> revolver calibre </w:t>
      </w:r>
      <w:r w:rsidR="006D5ECA" w:rsidRPr="00D51469">
        <w:rPr>
          <w:rFonts w:ascii="Cambria" w:hAnsi="Cambria"/>
          <w:sz w:val="20"/>
          <w:szCs w:val="20"/>
          <w:lang w:val="es-ES"/>
        </w:rPr>
        <w:t>38 mm</w:t>
      </w:r>
      <w:r w:rsidR="00736E07" w:rsidRPr="00D51469">
        <w:rPr>
          <w:rFonts w:ascii="Cambria" w:hAnsi="Cambria"/>
          <w:sz w:val="20"/>
          <w:szCs w:val="20"/>
          <w:lang w:val="es-ES"/>
        </w:rPr>
        <w:t xml:space="preserve"> cuando salía en compañía de Santiago Leguizamón</w:t>
      </w:r>
      <w:r w:rsidR="00FC0BB2" w:rsidRPr="00D51469">
        <w:rPr>
          <w:rFonts w:ascii="Cambria" w:hAnsi="Cambria"/>
          <w:sz w:val="20"/>
          <w:szCs w:val="20"/>
          <w:lang w:val="es-ES"/>
        </w:rPr>
        <w:t xml:space="preserve">, </w:t>
      </w:r>
      <w:r w:rsidR="00F06A83" w:rsidRPr="00D51469">
        <w:rPr>
          <w:rFonts w:ascii="Cambria" w:hAnsi="Cambria"/>
          <w:sz w:val="20"/>
          <w:szCs w:val="20"/>
          <w:lang w:val="es-ES"/>
        </w:rPr>
        <w:t>para la protección de ambos, la cual fue p</w:t>
      </w:r>
      <w:r w:rsidR="00FC0BB2" w:rsidRPr="00D51469">
        <w:rPr>
          <w:rFonts w:ascii="Cambria" w:hAnsi="Cambria"/>
          <w:sz w:val="20"/>
          <w:szCs w:val="20"/>
          <w:lang w:val="es-ES"/>
        </w:rPr>
        <w:t>roporcionada por el propio</w:t>
      </w:r>
      <w:r w:rsidR="00317593" w:rsidRPr="00D51469">
        <w:rPr>
          <w:rFonts w:ascii="Cambria" w:hAnsi="Cambria"/>
          <w:sz w:val="20"/>
          <w:szCs w:val="20"/>
          <w:lang w:val="es-ES"/>
        </w:rPr>
        <w:t xml:space="preserve"> periodista</w:t>
      </w:r>
      <w:r w:rsidR="009941C8" w:rsidRPr="00D51469">
        <w:rPr>
          <w:rStyle w:val="FootnoteReference"/>
          <w:rFonts w:ascii="Cambria" w:hAnsi="Cambria"/>
          <w:sz w:val="20"/>
          <w:szCs w:val="20"/>
          <w:lang w:val="es-ES"/>
        </w:rPr>
        <w:footnoteReference w:id="18"/>
      </w:r>
      <w:r w:rsidR="00F06A83" w:rsidRPr="00D51469">
        <w:rPr>
          <w:rFonts w:ascii="Cambria" w:hAnsi="Cambria"/>
          <w:sz w:val="20"/>
          <w:szCs w:val="20"/>
          <w:lang w:val="es-ES"/>
        </w:rPr>
        <w:t xml:space="preserve">. </w:t>
      </w:r>
      <w:r w:rsidR="00490F27" w:rsidRPr="00D51469">
        <w:rPr>
          <w:rFonts w:ascii="Cambria" w:hAnsi="Cambria"/>
          <w:sz w:val="20"/>
          <w:szCs w:val="20"/>
          <w:lang w:val="es-ES"/>
        </w:rPr>
        <w:t>Santiago Leguizamón también</w:t>
      </w:r>
      <w:r w:rsidR="0088044E" w:rsidRPr="00D51469">
        <w:rPr>
          <w:rFonts w:ascii="Cambria" w:hAnsi="Cambria"/>
          <w:sz w:val="20"/>
          <w:szCs w:val="20"/>
          <w:lang w:val="es-ES"/>
        </w:rPr>
        <w:t xml:space="preserve"> adoptó</w:t>
      </w:r>
      <w:r w:rsidR="00490F27" w:rsidRPr="00D51469">
        <w:rPr>
          <w:rFonts w:ascii="Cambria" w:hAnsi="Cambria"/>
          <w:sz w:val="20"/>
          <w:szCs w:val="20"/>
          <w:lang w:val="es-ES"/>
        </w:rPr>
        <w:t xml:space="preserve"> otras</w:t>
      </w:r>
      <w:r w:rsidR="0088044E" w:rsidRPr="00D51469">
        <w:rPr>
          <w:rFonts w:ascii="Cambria" w:hAnsi="Cambria"/>
          <w:sz w:val="20"/>
          <w:szCs w:val="20"/>
          <w:lang w:val="es-ES"/>
        </w:rPr>
        <w:t xml:space="preserve"> medidas de seguridad</w:t>
      </w:r>
      <w:r w:rsidR="00490F27" w:rsidRPr="00D51469">
        <w:rPr>
          <w:rFonts w:ascii="Cambria" w:hAnsi="Cambria"/>
          <w:sz w:val="20"/>
          <w:szCs w:val="20"/>
          <w:lang w:val="es-ES"/>
        </w:rPr>
        <w:t xml:space="preserve">, como </w:t>
      </w:r>
      <w:r w:rsidR="009D1E46" w:rsidRPr="00D51469">
        <w:rPr>
          <w:rFonts w:ascii="Cambria" w:hAnsi="Cambria"/>
          <w:sz w:val="20"/>
          <w:szCs w:val="20"/>
          <w:lang w:val="es-ES"/>
        </w:rPr>
        <w:t xml:space="preserve">contratar a un guardia de seguridad </w:t>
      </w:r>
      <w:r w:rsidR="00B900B2" w:rsidRPr="00D51469">
        <w:rPr>
          <w:rFonts w:ascii="Cambria" w:hAnsi="Cambria"/>
          <w:sz w:val="20"/>
          <w:szCs w:val="20"/>
          <w:lang w:val="es-ES"/>
        </w:rPr>
        <w:t xml:space="preserve">nocturno </w:t>
      </w:r>
      <w:r w:rsidR="009D1E46" w:rsidRPr="00D51469">
        <w:rPr>
          <w:rFonts w:ascii="Cambria" w:hAnsi="Cambria"/>
          <w:sz w:val="20"/>
          <w:szCs w:val="20"/>
          <w:lang w:val="es-ES"/>
        </w:rPr>
        <w:t>para la radio,</w:t>
      </w:r>
      <w:r w:rsidR="009941C8" w:rsidRPr="00D51469">
        <w:rPr>
          <w:rFonts w:ascii="Cambria" w:hAnsi="Cambria"/>
          <w:sz w:val="20"/>
          <w:szCs w:val="20"/>
          <w:lang w:val="es-ES"/>
        </w:rPr>
        <w:t xml:space="preserve"> quien en </w:t>
      </w:r>
      <w:r w:rsidR="00CA229E" w:rsidRPr="00D51469">
        <w:rPr>
          <w:rFonts w:ascii="Cambria" w:hAnsi="Cambria"/>
          <w:sz w:val="20"/>
          <w:szCs w:val="20"/>
          <w:lang w:val="es-ES"/>
        </w:rPr>
        <w:t>ciertas ocasiones</w:t>
      </w:r>
      <w:r w:rsidR="009941C8" w:rsidRPr="00D51469">
        <w:rPr>
          <w:rFonts w:ascii="Cambria" w:hAnsi="Cambria"/>
          <w:sz w:val="20"/>
          <w:szCs w:val="20"/>
          <w:lang w:val="es-ES"/>
        </w:rPr>
        <w:t xml:space="preserve"> también estaba armado</w:t>
      </w:r>
      <w:r w:rsidR="009941C8" w:rsidRPr="00D51469">
        <w:rPr>
          <w:rStyle w:val="FootnoteReference"/>
          <w:rFonts w:ascii="Cambria" w:hAnsi="Cambria"/>
          <w:sz w:val="20"/>
          <w:szCs w:val="20"/>
          <w:lang w:val="es-ES"/>
        </w:rPr>
        <w:footnoteReference w:id="19"/>
      </w:r>
      <w:r w:rsidR="009941C8" w:rsidRPr="00D51469">
        <w:rPr>
          <w:rFonts w:ascii="Cambria" w:hAnsi="Cambria"/>
          <w:sz w:val="20"/>
          <w:szCs w:val="20"/>
          <w:lang w:val="es-ES"/>
        </w:rPr>
        <w:t xml:space="preserve">. </w:t>
      </w:r>
      <w:r w:rsidR="009D1E46" w:rsidRPr="00D51469">
        <w:rPr>
          <w:rFonts w:ascii="Cambria" w:hAnsi="Cambria"/>
          <w:sz w:val="20"/>
          <w:szCs w:val="20"/>
          <w:lang w:val="es-ES"/>
        </w:rPr>
        <w:t xml:space="preserve"> </w:t>
      </w:r>
    </w:p>
    <w:p w14:paraId="0CABEBFA" w14:textId="77777777" w:rsidR="008E28A4" w:rsidRPr="00D51469" w:rsidRDefault="008E28A4"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72B5211B" w14:textId="2E680A17" w:rsidR="00D51469" w:rsidRPr="00601762" w:rsidRDefault="006B4EDD" w:rsidP="00D5146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D51469">
        <w:rPr>
          <w:rFonts w:ascii="Cambria" w:hAnsi="Cambria"/>
          <w:sz w:val="20"/>
          <w:szCs w:val="20"/>
          <w:lang w:val="es-PE"/>
        </w:rPr>
        <w:t>No consta en el expediente que el periodista haya presentado alguna denuncia por las amenazas recibidas ni que haya solicitado la adopción de alguna medida de protección.</w:t>
      </w:r>
      <w:r w:rsidR="00C244AF" w:rsidRPr="00D51469">
        <w:rPr>
          <w:rFonts w:ascii="Cambria" w:hAnsi="Cambria"/>
          <w:sz w:val="20"/>
          <w:szCs w:val="20"/>
          <w:lang w:val="es-PE"/>
        </w:rPr>
        <w:t xml:space="preserve"> Sin embargo, la parte peticionaria alegó que</w:t>
      </w:r>
      <w:r w:rsidRPr="00D51469">
        <w:rPr>
          <w:rFonts w:ascii="Cambria" w:hAnsi="Cambria"/>
          <w:sz w:val="20"/>
          <w:szCs w:val="20"/>
          <w:lang w:val="es-PE"/>
        </w:rPr>
        <w:t xml:space="preserve"> </w:t>
      </w:r>
      <w:r w:rsidR="00544E8D" w:rsidRPr="00D51469">
        <w:rPr>
          <w:rFonts w:ascii="Cambria" w:hAnsi="Cambria"/>
          <w:sz w:val="20"/>
          <w:szCs w:val="20"/>
          <w:lang w:val="es-PE"/>
        </w:rPr>
        <w:t xml:space="preserve">“en varias oportunidades </w:t>
      </w:r>
      <w:r w:rsidR="007F67AA" w:rsidRPr="00D51469">
        <w:rPr>
          <w:rFonts w:ascii="Cambria" w:hAnsi="Cambria"/>
          <w:sz w:val="20"/>
          <w:szCs w:val="20"/>
          <w:lang w:val="es-PE"/>
        </w:rPr>
        <w:t>[Santiago Leguizamón</w:t>
      </w:r>
      <w:r w:rsidR="00544E8D" w:rsidRPr="00D51469">
        <w:rPr>
          <w:rFonts w:ascii="Cambria" w:hAnsi="Cambria"/>
          <w:sz w:val="20"/>
          <w:szCs w:val="20"/>
          <w:lang w:val="es-PE"/>
        </w:rPr>
        <w:t>] había solicitado custodia policial, lo que se concretó en algunas de ellas, excepto la solicitada en los últimos meses antes de su asesinato”</w:t>
      </w:r>
      <w:r w:rsidR="00A910B8">
        <w:rPr>
          <w:rStyle w:val="FootnoteReference"/>
          <w:rFonts w:ascii="Cambria" w:hAnsi="Cambria"/>
          <w:sz w:val="20"/>
          <w:szCs w:val="20"/>
          <w:lang w:val="es-PE"/>
        </w:rPr>
        <w:footnoteReference w:id="20"/>
      </w:r>
      <w:r w:rsidR="00544E8D" w:rsidRPr="00D51469">
        <w:rPr>
          <w:rFonts w:ascii="Cambria" w:hAnsi="Cambria"/>
          <w:sz w:val="20"/>
          <w:szCs w:val="20"/>
          <w:lang w:val="es-PE"/>
        </w:rPr>
        <w:t>.</w:t>
      </w:r>
      <w:r w:rsidR="007F67AA" w:rsidRPr="00D51469">
        <w:rPr>
          <w:rFonts w:ascii="Cambria" w:hAnsi="Cambria"/>
          <w:sz w:val="20"/>
          <w:szCs w:val="20"/>
          <w:lang w:val="es-PE"/>
        </w:rPr>
        <w:t xml:space="preserve"> Lo anterior no ha sido controvertido por el Estado</w:t>
      </w:r>
      <w:r w:rsidR="002E461C" w:rsidRPr="00D51469">
        <w:rPr>
          <w:rFonts w:ascii="Cambria" w:hAnsi="Cambria"/>
          <w:sz w:val="20"/>
          <w:szCs w:val="20"/>
          <w:lang w:val="es-PE"/>
        </w:rPr>
        <w:t xml:space="preserve">, a pesar de haber tenido la oportunidad para ello. </w:t>
      </w:r>
    </w:p>
    <w:p w14:paraId="23E0650F" w14:textId="77777777" w:rsidR="005C3C15" w:rsidRPr="00D51469" w:rsidRDefault="005C3C15" w:rsidP="00601762">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PE"/>
        </w:rPr>
      </w:pPr>
    </w:p>
    <w:p w14:paraId="051A05C0" w14:textId="1D624C16" w:rsidR="00975541" w:rsidRPr="00E82EF4" w:rsidRDefault="008B797D"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lastRenderedPageBreak/>
        <w:t>El 25 de julio de 1991, el guardia de seguridad de la ra</w:t>
      </w:r>
      <w:r w:rsidR="0098067C" w:rsidRPr="007A0D4C">
        <w:rPr>
          <w:rFonts w:ascii="Cambria" w:hAnsi="Cambria"/>
          <w:sz w:val="20"/>
          <w:szCs w:val="20"/>
          <w:lang w:val="es-PE"/>
        </w:rPr>
        <w:t xml:space="preserve">dio declaró que “tres meses antes de ocurrir </w:t>
      </w:r>
      <w:r w:rsidR="00E73077" w:rsidRPr="007A0D4C">
        <w:rPr>
          <w:rFonts w:ascii="Cambria" w:hAnsi="Cambria"/>
          <w:sz w:val="20"/>
          <w:szCs w:val="20"/>
          <w:lang w:val="es-PE"/>
        </w:rPr>
        <w:t>el hecho,</w:t>
      </w:r>
      <w:r w:rsidR="00B05D40" w:rsidRPr="007A0D4C">
        <w:rPr>
          <w:rFonts w:ascii="Cambria" w:hAnsi="Cambria"/>
          <w:sz w:val="20"/>
          <w:szCs w:val="20"/>
          <w:lang w:val="es-PE"/>
        </w:rPr>
        <w:t xml:space="preserve"> en horas de la noche quedaba un soldado de la Delegación de Gobierno local haciendo guardia con </w:t>
      </w:r>
      <w:r w:rsidR="000B51F5" w:rsidRPr="007A0D4C">
        <w:rPr>
          <w:rFonts w:ascii="Cambria" w:hAnsi="Cambria"/>
          <w:sz w:val="20"/>
          <w:szCs w:val="20"/>
          <w:lang w:val="es-PE"/>
        </w:rPr>
        <w:t>[él]</w:t>
      </w:r>
      <w:r w:rsidR="00B05D40" w:rsidRPr="007A0D4C">
        <w:rPr>
          <w:rFonts w:ascii="Cambria" w:hAnsi="Cambria"/>
          <w:sz w:val="20"/>
          <w:szCs w:val="20"/>
          <w:lang w:val="es-PE"/>
        </w:rPr>
        <w:t xml:space="preserve"> y </w:t>
      </w:r>
      <w:r w:rsidR="000B51F5" w:rsidRPr="007A0D4C">
        <w:rPr>
          <w:rFonts w:ascii="Cambria" w:hAnsi="Cambria"/>
          <w:sz w:val="20"/>
          <w:szCs w:val="20"/>
          <w:lang w:val="es-PE"/>
        </w:rPr>
        <w:t xml:space="preserve">que posteriormente a la muerte de Leguizamón </w:t>
      </w:r>
      <w:r w:rsidR="00E73077" w:rsidRPr="007A0D4C">
        <w:rPr>
          <w:rFonts w:ascii="Cambria" w:hAnsi="Cambria"/>
          <w:sz w:val="20"/>
          <w:szCs w:val="20"/>
          <w:lang w:val="es-PE"/>
        </w:rPr>
        <w:t xml:space="preserve">exist[ía] guardia permanente, de día y noche, acompañando </w:t>
      </w:r>
      <w:r w:rsidR="002C461D" w:rsidRPr="00BD7B50">
        <w:rPr>
          <w:rFonts w:ascii="Cambria" w:hAnsi="Cambria"/>
          <w:sz w:val="20"/>
          <w:szCs w:val="20"/>
          <w:lang w:val="es-PE"/>
        </w:rPr>
        <w:t>al compareciente un sargento y soldado de la Dele</w:t>
      </w:r>
      <w:r w:rsidR="002C461D" w:rsidRPr="00E82EF4">
        <w:rPr>
          <w:rFonts w:ascii="Cambria" w:hAnsi="Cambria"/>
          <w:sz w:val="20"/>
          <w:szCs w:val="20"/>
          <w:lang w:val="es-PE"/>
        </w:rPr>
        <w:t>gación”</w:t>
      </w:r>
      <w:r w:rsidR="002C461D" w:rsidRPr="00BD7B50">
        <w:rPr>
          <w:rStyle w:val="FootnoteReference"/>
          <w:rFonts w:ascii="Cambria" w:hAnsi="Cambria"/>
          <w:sz w:val="20"/>
          <w:szCs w:val="20"/>
          <w:lang w:val="es-PE"/>
        </w:rPr>
        <w:footnoteReference w:id="21"/>
      </w:r>
      <w:r w:rsidR="002C461D" w:rsidRPr="00BD7B50">
        <w:rPr>
          <w:rFonts w:ascii="Cambria" w:hAnsi="Cambria"/>
          <w:sz w:val="20"/>
          <w:szCs w:val="20"/>
          <w:lang w:val="es-PE"/>
        </w:rPr>
        <w:t xml:space="preserve">. </w:t>
      </w:r>
    </w:p>
    <w:p w14:paraId="5F0D9912" w14:textId="77777777" w:rsidR="00456EE0" w:rsidRPr="009E19B5" w:rsidRDefault="00456EE0"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0D77483" w14:textId="1036CDE7" w:rsidR="00C023A3" w:rsidRPr="00601762" w:rsidRDefault="00975541" w:rsidP="000009B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FF0000"/>
          <w:sz w:val="20"/>
          <w:szCs w:val="20"/>
          <w:lang w:val="es-PE"/>
        </w:rPr>
      </w:pPr>
      <w:r w:rsidRPr="00DF10D7">
        <w:rPr>
          <w:rFonts w:ascii="Cambria" w:hAnsi="Cambria"/>
          <w:sz w:val="20"/>
          <w:szCs w:val="20"/>
          <w:lang w:val="es-PE"/>
        </w:rPr>
        <w:t xml:space="preserve">Un día antes del </w:t>
      </w:r>
      <w:r w:rsidR="00177FA7" w:rsidRPr="0029430D">
        <w:rPr>
          <w:rFonts w:ascii="Cambria" w:hAnsi="Cambria"/>
          <w:sz w:val="20"/>
          <w:szCs w:val="20"/>
          <w:lang w:val="es-PE"/>
        </w:rPr>
        <w:t xml:space="preserve">asesinato </w:t>
      </w:r>
      <w:r w:rsidR="006275D0" w:rsidRPr="00C74D18">
        <w:rPr>
          <w:rFonts w:ascii="Cambria" w:hAnsi="Cambria"/>
          <w:sz w:val="20"/>
          <w:szCs w:val="20"/>
          <w:lang w:val="es-PE"/>
        </w:rPr>
        <w:t xml:space="preserve">del periodista, </w:t>
      </w:r>
      <w:r w:rsidR="00A302AE" w:rsidRPr="00CA4DB3">
        <w:rPr>
          <w:rFonts w:ascii="Cambria" w:hAnsi="Cambria"/>
          <w:sz w:val="20"/>
          <w:szCs w:val="20"/>
          <w:lang w:val="es-PE"/>
        </w:rPr>
        <w:t>el</w:t>
      </w:r>
      <w:r w:rsidR="001F4C9E" w:rsidRPr="00D129F8">
        <w:rPr>
          <w:rFonts w:ascii="Cambria" w:hAnsi="Cambria"/>
          <w:sz w:val="20"/>
          <w:szCs w:val="20"/>
          <w:lang w:val="es-PE"/>
        </w:rPr>
        <w:t xml:space="preserve"> Delegado de Gobierno</w:t>
      </w:r>
      <w:r w:rsidR="00CE3857" w:rsidRPr="00D129F8">
        <w:rPr>
          <w:rFonts w:ascii="Cambria" w:hAnsi="Cambria"/>
          <w:sz w:val="20"/>
          <w:szCs w:val="20"/>
          <w:lang w:val="es-PE"/>
        </w:rPr>
        <w:t xml:space="preserve"> de</w:t>
      </w:r>
      <w:r w:rsidR="00A40947" w:rsidRPr="0002452D">
        <w:rPr>
          <w:rFonts w:ascii="Cambria" w:hAnsi="Cambria"/>
          <w:sz w:val="20"/>
          <w:szCs w:val="20"/>
          <w:lang w:val="es-PE"/>
        </w:rPr>
        <w:t>l Departamento del</w:t>
      </w:r>
      <w:r w:rsidR="00CE3857" w:rsidRPr="00DF541C">
        <w:rPr>
          <w:rFonts w:ascii="Cambria" w:hAnsi="Cambria"/>
          <w:sz w:val="20"/>
          <w:szCs w:val="20"/>
          <w:lang w:val="es-PE"/>
        </w:rPr>
        <w:t xml:space="preserve"> Amambay</w:t>
      </w:r>
      <w:r w:rsidR="001F4C9E" w:rsidRPr="00DF541C">
        <w:rPr>
          <w:rFonts w:ascii="Cambria" w:hAnsi="Cambria"/>
          <w:sz w:val="20"/>
          <w:szCs w:val="20"/>
          <w:lang w:val="es-PE"/>
        </w:rPr>
        <w:t xml:space="preserve"> </w:t>
      </w:r>
      <w:r w:rsidR="00A869C4" w:rsidRPr="00253514">
        <w:rPr>
          <w:rFonts w:ascii="Cambria" w:hAnsi="Cambria"/>
          <w:sz w:val="20"/>
          <w:szCs w:val="20"/>
          <w:lang w:val="es-PE"/>
        </w:rPr>
        <w:t xml:space="preserve">le </w:t>
      </w:r>
      <w:r w:rsidR="001F4C9E" w:rsidRPr="00C52C14">
        <w:rPr>
          <w:rFonts w:ascii="Cambria" w:hAnsi="Cambria"/>
          <w:sz w:val="20"/>
          <w:szCs w:val="20"/>
          <w:lang w:val="es-PE"/>
        </w:rPr>
        <w:t xml:space="preserve">ofreció </w:t>
      </w:r>
      <w:r w:rsidR="00C54198" w:rsidRPr="00C52C14">
        <w:rPr>
          <w:rFonts w:ascii="Cambria" w:hAnsi="Cambria"/>
          <w:sz w:val="20"/>
          <w:szCs w:val="20"/>
          <w:lang w:val="es-PE"/>
        </w:rPr>
        <w:t>escolta para su custodia debido al grave riesgo que corría,</w:t>
      </w:r>
      <w:r w:rsidR="00CE3857" w:rsidRPr="00546ED5">
        <w:rPr>
          <w:rFonts w:ascii="Cambria" w:hAnsi="Cambria"/>
          <w:sz w:val="20"/>
          <w:szCs w:val="20"/>
          <w:lang w:val="es-PE"/>
        </w:rPr>
        <w:t xml:space="preserve"> mientras </w:t>
      </w:r>
      <w:r w:rsidR="00753A2D" w:rsidRPr="00546ED5">
        <w:rPr>
          <w:rFonts w:ascii="Cambria" w:hAnsi="Cambria"/>
          <w:sz w:val="20"/>
          <w:szCs w:val="20"/>
          <w:lang w:val="es-PE"/>
        </w:rPr>
        <w:t xml:space="preserve">ambos tomaban tereré </w:t>
      </w:r>
      <w:r w:rsidR="007F28F2" w:rsidRPr="00546ED5">
        <w:rPr>
          <w:rFonts w:ascii="Cambria" w:hAnsi="Cambria"/>
          <w:sz w:val="20"/>
          <w:szCs w:val="20"/>
          <w:lang w:val="es-PE"/>
        </w:rPr>
        <w:t>durante</w:t>
      </w:r>
      <w:r w:rsidR="00CE3857" w:rsidRPr="006F1DBC">
        <w:rPr>
          <w:rFonts w:ascii="Cambria" w:hAnsi="Cambria"/>
          <w:sz w:val="20"/>
          <w:szCs w:val="20"/>
          <w:lang w:val="es-PE"/>
        </w:rPr>
        <w:t xml:space="preserve"> la inauguración </w:t>
      </w:r>
      <w:r w:rsidR="00EE2AE6" w:rsidRPr="00BD7B50">
        <w:rPr>
          <w:rFonts w:ascii="Cambria" w:hAnsi="Cambria"/>
          <w:sz w:val="20"/>
          <w:szCs w:val="20"/>
          <w:lang w:val="es-PE"/>
        </w:rPr>
        <w:t>de una capilla</w:t>
      </w:r>
      <w:r w:rsidR="00756FF4" w:rsidRPr="00BD7B50">
        <w:rPr>
          <w:rFonts w:ascii="Cambria" w:hAnsi="Cambria"/>
          <w:sz w:val="20"/>
          <w:szCs w:val="20"/>
          <w:lang w:val="es-PE"/>
        </w:rPr>
        <w:t>.</w:t>
      </w:r>
      <w:r w:rsidR="004F5A17" w:rsidRPr="00E82EF4">
        <w:rPr>
          <w:rFonts w:ascii="Cambria" w:hAnsi="Cambria"/>
          <w:sz w:val="20"/>
          <w:szCs w:val="20"/>
          <w:lang w:val="es-PE"/>
        </w:rPr>
        <w:t xml:space="preserve"> </w:t>
      </w:r>
      <w:r w:rsidR="00ED60A6" w:rsidRPr="00E82EF4">
        <w:rPr>
          <w:rFonts w:ascii="Cambria" w:hAnsi="Cambria"/>
          <w:sz w:val="20"/>
          <w:szCs w:val="20"/>
          <w:lang w:val="es-PE"/>
        </w:rPr>
        <w:t>Según el delegado, el periodista</w:t>
      </w:r>
      <w:r w:rsidR="00ED60A6" w:rsidRPr="00221A0B">
        <w:rPr>
          <w:rFonts w:ascii="Cambria" w:hAnsi="Cambria"/>
          <w:sz w:val="20"/>
          <w:szCs w:val="20"/>
          <w:lang w:val="es-PE"/>
        </w:rPr>
        <w:t xml:space="preserve"> no habría aceptado la protección. </w:t>
      </w:r>
      <w:r w:rsidR="0074209B" w:rsidRPr="00221A0B">
        <w:rPr>
          <w:rFonts w:ascii="Cambria" w:hAnsi="Cambria"/>
          <w:sz w:val="20"/>
          <w:szCs w:val="20"/>
          <w:lang w:val="es-PE"/>
        </w:rPr>
        <w:t>Una declaración a nivel interno</w:t>
      </w:r>
      <w:r w:rsidR="00706B8E" w:rsidRPr="00221A0B">
        <w:rPr>
          <w:rFonts w:ascii="Cambria" w:hAnsi="Cambria"/>
          <w:sz w:val="20"/>
          <w:szCs w:val="20"/>
          <w:lang w:val="es-PE"/>
        </w:rPr>
        <w:t xml:space="preserve"> destacó que el periodista no confiaba en </w:t>
      </w:r>
      <w:r w:rsidR="000009B1" w:rsidRPr="00221A0B">
        <w:rPr>
          <w:rFonts w:ascii="Cambria" w:hAnsi="Cambria"/>
          <w:sz w:val="20"/>
          <w:szCs w:val="20"/>
          <w:lang w:val="es-PE"/>
        </w:rPr>
        <w:t xml:space="preserve">que </w:t>
      </w:r>
      <w:r w:rsidR="00706B8E" w:rsidRPr="000C6F36">
        <w:rPr>
          <w:rFonts w:ascii="Cambria" w:hAnsi="Cambria"/>
          <w:sz w:val="20"/>
          <w:szCs w:val="20"/>
          <w:lang w:val="es-PE"/>
        </w:rPr>
        <w:t xml:space="preserve">las autoridades </w:t>
      </w:r>
      <w:r w:rsidR="000009B1" w:rsidRPr="009E19B5">
        <w:rPr>
          <w:rFonts w:ascii="Cambria" w:hAnsi="Cambria"/>
          <w:sz w:val="20"/>
          <w:szCs w:val="20"/>
          <w:lang w:val="es-PE"/>
        </w:rPr>
        <w:t>adoptarían medidas al respecto</w:t>
      </w:r>
      <w:r w:rsidR="00BD7B50" w:rsidRPr="00BD7B50">
        <w:rPr>
          <w:rStyle w:val="FootnoteReference"/>
          <w:rFonts w:ascii="Cambria" w:hAnsi="Cambria"/>
          <w:sz w:val="20"/>
          <w:szCs w:val="20"/>
          <w:lang w:val="es-PE"/>
        </w:rPr>
        <w:footnoteReference w:id="22"/>
      </w:r>
      <w:r w:rsidR="000009B1" w:rsidRPr="00BD7B50">
        <w:rPr>
          <w:rFonts w:ascii="Cambria" w:hAnsi="Cambria"/>
          <w:sz w:val="20"/>
          <w:szCs w:val="20"/>
          <w:lang w:val="es-PE"/>
        </w:rPr>
        <w:t xml:space="preserve">. </w:t>
      </w:r>
    </w:p>
    <w:p w14:paraId="1A61C53E" w14:textId="77777777" w:rsidR="00BD7B50" w:rsidRPr="002C542E" w:rsidRDefault="00BD7B50" w:rsidP="006017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FF0000"/>
          <w:sz w:val="20"/>
          <w:szCs w:val="20"/>
          <w:highlight w:val="cyan"/>
          <w:lang w:val="es-PE"/>
        </w:rPr>
      </w:pPr>
    </w:p>
    <w:p w14:paraId="37A4D9ED" w14:textId="411F5A10" w:rsidR="00FB0991" w:rsidRPr="007A0D4C" w:rsidRDefault="00FB099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El asesinato de Santiago Leguizamón se realizó en una zona </w:t>
      </w:r>
      <w:r w:rsidR="003D0CBB" w:rsidRPr="007A0D4C">
        <w:rPr>
          <w:rFonts w:ascii="Cambria" w:hAnsi="Cambria"/>
          <w:sz w:val="20"/>
          <w:szCs w:val="20"/>
          <w:lang w:val="es-PE"/>
        </w:rPr>
        <w:t>fronteriza</w:t>
      </w:r>
      <w:r w:rsidR="008725B0" w:rsidRPr="007A0D4C">
        <w:rPr>
          <w:rFonts w:ascii="Cambria" w:hAnsi="Cambria"/>
          <w:sz w:val="20"/>
          <w:szCs w:val="20"/>
          <w:lang w:val="es-PE"/>
        </w:rPr>
        <w:t xml:space="preserve"> </w:t>
      </w:r>
      <w:r w:rsidR="003D0CBB" w:rsidRPr="007A0D4C">
        <w:rPr>
          <w:rFonts w:ascii="Cambria" w:hAnsi="Cambria"/>
          <w:sz w:val="20"/>
          <w:szCs w:val="20"/>
          <w:lang w:val="es-PE"/>
        </w:rPr>
        <w:t>que</w:t>
      </w:r>
      <w:r w:rsidR="008725B0" w:rsidRPr="007A0D4C">
        <w:rPr>
          <w:rFonts w:ascii="Cambria" w:hAnsi="Cambria"/>
          <w:sz w:val="20"/>
          <w:szCs w:val="20"/>
          <w:lang w:val="es-PE"/>
        </w:rPr>
        <w:t>,</w:t>
      </w:r>
      <w:r w:rsidR="003D0CBB" w:rsidRPr="007A0D4C">
        <w:rPr>
          <w:rFonts w:ascii="Cambria" w:hAnsi="Cambria"/>
          <w:sz w:val="20"/>
          <w:szCs w:val="20"/>
          <w:lang w:val="es-PE"/>
        </w:rPr>
        <w:t xml:space="preserve"> de acuerdo con l</w:t>
      </w:r>
      <w:r w:rsidR="00DD3C36" w:rsidRPr="007A0D4C">
        <w:rPr>
          <w:rFonts w:ascii="Cambria" w:hAnsi="Cambria"/>
          <w:sz w:val="20"/>
          <w:szCs w:val="20"/>
          <w:lang w:val="es-PE"/>
        </w:rPr>
        <w:t xml:space="preserve">os reportes del propio </w:t>
      </w:r>
      <w:r w:rsidR="00E06D3C" w:rsidRPr="007A0D4C">
        <w:rPr>
          <w:rFonts w:ascii="Cambria" w:hAnsi="Cambria"/>
          <w:sz w:val="20"/>
          <w:szCs w:val="20"/>
          <w:lang w:val="es-PE"/>
        </w:rPr>
        <w:t>Legu</w:t>
      </w:r>
      <w:r w:rsidR="00921B55" w:rsidRPr="007A0D4C">
        <w:rPr>
          <w:rFonts w:ascii="Cambria" w:hAnsi="Cambria"/>
          <w:sz w:val="20"/>
          <w:szCs w:val="20"/>
          <w:lang w:val="es-PE"/>
        </w:rPr>
        <w:t>i</w:t>
      </w:r>
      <w:r w:rsidR="00E06D3C" w:rsidRPr="007A0D4C">
        <w:rPr>
          <w:rFonts w:ascii="Cambria" w:hAnsi="Cambria"/>
          <w:sz w:val="20"/>
          <w:szCs w:val="20"/>
          <w:lang w:val="es-PE"/>
        </w:rPr>
        <w:t>zamón</w:t>
      </w:r>
      <w:r w:rsidR="004071F3" w:rsidRPr="007A0D4C">
        <w:rPr>
          <w:rFonts w:ascii="Cambria" w:hAnsi="Cambria"/>
          <w:sz w:val="20"/>
          <w:szCs w:val="20"/>
          <w:lang w:val="es-PE"/>
        </w:rPr>
        <w:t>,</w:t>
      </w:r>
      <w:r w:rsidR="00DD3C36" w:rsidRPr="007A0D4C">
        <w:rPr>
          <w:rFonts w:ascii="Cambria" w:hAnsi="Cambria"/>
          <w:sz w:val="20"/>
          <w:szCs w:val="20"/>
          <w:lang w:val="es-PE"/>
        </w:rPr>
        <w:t xml:space="preserve"> era una zona violenta, en donde imperaba</w:t>
      </w:r>
      <w:r w:rsidR="009351D5" w:rsidRPr="007A0D4C">
        <w:rPr>
          <w:rFonts w:ascii="Cambria" w:hAnsi="Cambria"/>
          <w:sz w:val="20"/>
          <w:szCs w:val="20"/>
          <w:lang w:val="es-PE"/>
        </w:rPr>
        <w:t xml:space="preserve"> el contrabando, la </w:t>
      </w:r>
      <w:r w:rsidR="00DD3C36" w:rsidRPr="007A0D4C">
        <w:rPr>
          <w:rFonts w:ascii="Cambria" w:hAnsi="Cambria"/>
          <w:sz w:val="20"/>
          <w:szCs w:val="20"/>
          <w:lang w:val="es-PE"/>
        </w:rPr>
        <w:t xml:space="preserve">corrupción y la impunidad. </w:t>
      </w:r>
      <w:r w:rsidR="006823D4" w:rsidRPr="007A0D4C">
        <w:rPr>
          <w:rFonts w:ascii="Cambria" w:hAnsi="Cambria"/>
          <w:sz w:val="20"/>
          <w:szCs w:val="20"/>
          <w:lang w:val="es-PE"/>
        </w:rPr>
        <w:t>Si bien dicho asesinato fue el primero dirigido contra un periodista después de</w:t>
      </w:r>
      <w:r w:rsidR="00F000A4" w:rsidRPr="007A0D4C">
        <w:rPr>
          <w:rFonts w:ascii="Cambria" w:hAnsi="Cambria"/>
          <w:sz w:val="20"/>
          <w:szCs w:val="20"/>
          <w:lang w:val="es-PE"/>
        </w:rPr>
        <w:t xml:space="preserve">l regreso a la democracia, la CIDH ha </w:t>
      </w:r>
      <w:r w:rsidR="009E4B0B" w:rsidRPr="007A0D4C">
        <w:rPr>
          <w:rFonts w:ascii="Cambria" w:hAnsi="Cambria"/>
          <w:sz w:val="20"/>
          <w:szCs w:val="20"/>
          <w:lang w:val="es-PE"/>
        </w:rPr>
        <w:t xml:space="preserve">documentado que </w:t>
      </w:r>
      <w:r w:rsidR="00CC249C" w:rsidRPr="007A0D4C">
        <w:rPr>
          <w:rFonts w:ascii="Cambria" w:hAnsi="Cambria"/>
          <w:sz w:val="20"/>
          <w:szCs w:val="20"/>
          <w:lang w:val="es-PE"/>
        </w:rPr>
        <w:t xml:space="preserve">desde 1991 </w:t>
      </w:r>
      <w:r w:rsidR="009E4B0B" w:rsidRPr="007A0D4C">
        <w:rPr>
          <w:rFonts w:ascii="Cambria" w:hAnsi="Cambria"/>
          <w:sz w:val="20"/>
          <w:szCs w:val="20"/>
          <w:lang w:val="es-PE"/>
        </w:rPr>
        <w:t xml:space="preserve">a la fecha al </w:t>
      </w:r>
      <w:r w:rsidR="009E4B0B" w:rsidRPr="009B3377">
        <w:rPr>
          <w:rFonts w:ascii="Cambria" w:hAnsi="Cambria"/>
          <w:sz w:val="20"/>
          <w:szCs w:val="20"/>
          <w:lang w:val="es-PE"/>
        </w:rPr>
        <w:t>menos 1</w:t>
      </w:r>
      <w:r w:rsidR="00644389" w:rsidRPr="009B3377">
        <w:rPr>
          <w:rFonts w:ascii="Cambria" w:hAnsi="Cambria"/>
          <w:sz w:val="20"/>
          <w:szCs w:val="20"/>
          <w:lang w:val="es-PE"/>
        </w:rPr>
        <w:t>9</w:t>
      </w:r>
      <w:r w:rsidR="009E4B0B" w:rsidRPr="009B3377">
        <w:rPr>
          <w:rFonts w:ascii="Cambria" w:hAnsi="Cambria"/>
          <w:sz w:val="20"/>
          <w:szCs w:val="20"/>
          <w:lang w:val="es-PE"/>
        </w:rPr>
        <w:t xml:space="preserve"> periodistas</w:t>
      </w:r>
      <w:r w:rsidR="009E4B0B" w:rsidRPr="007A0D4C">
        <w:rPr>
          <w:rFonts w:ascii="Cambria" w:hAnsi="Cambria"/>
          <w:sz w:val="20"/>
          <w:szCs w:val="20"/>
          <w:lang w:val="es-PE"/>
        </w:rPr>
        <w:t xml:space="preserve"> habrían sido asesinados con motivo del ejercicio de su labor</w:t>
      </w:r>
      <w:r w:rsidR="00637B34" w:rsidRPr="007A0D4C">
        <w:rPr>
          <w:rFonts w:ascii="Cambria" w:hAnsi="Cambria"/>
          <w:sz w:val="20"/>
          <w:szCs w:val="20"/>
          <w:lang w:val="es-PE"/>
        </w:rPr>
        <w:t>, siendo las zonas fronterizas, entre ellas la ciudad de Pedro Juan Caballero, unas de las más peligrosas para ejercer el periodismo en la actualidad</w:t>
      </w:r>
      <w:r w:rsidR="0053117A" w:rsidRPr="007A0D4C">
        <w:rPr>
          <w:rStyle w:val="FootnoteReference"/>
          <w:rFonts w:ascii="Cambria" w:hAnsi="Cambria"/>
          <w:sz w:val="20"/>
          <w:szCs w:val="20"/>
          <w:lang w:val="es-PE"/>
        </w:rPr>
        <w:footnoteReference w:id="23"/>
      </w:r>
      <w:r w:rsidR="009E4B0B" w:rsidRPr="007A0D4C">
        <w:rPr>
          <w:rFonts w:ascii="Cambria" w:hAnsi="Cambria"/>
          <w:sz w:val="20"/>
          <w:szCs w:val="20"/>
          <w:lang w:val="es-PE"/>
        </w:rPr>
        <w:t xml:space="preserve">. </w:t>
      </w:r>
      <w:r w:rsidR="00C4229C" w:rsidRPr="007A0D4C">
        <w:rPr>
          <w:rFonts w:ascii="Cambria" w:hAnsi="Cambria"/>
          <w:sz w:val="20"/>
          <w:szCs w:val="20"/>
          <w:lang w:val="es-PE"/>
        </w:rPr>
        <w:t xml:space="preserve">La </w:t>
      </w:r>
      <w:r w:rsidR="009E4B0B" w:rsidRPr="007A0D4C">
        <w:rPr>
          <w:rFonts w:ascii="Cambria" w:hAnsi="Cambria"/>
          <w:sz w:val="20"/>
          <w:szCs w:val="20"/>
          <w:lang w:val="es-PE"/>
        </w:rPr>
        <w:t xml:space="preserve">CIDH no cuenta con información respecto a la creación </w:t>
      </w:r>
      <w:r w:rsidR="00C4229C" w:rsidRPr="007A0D4C">
        <w:rPr>
          <w:rFonts w:ascii="Cambria" w:hAnsi="Cambria"/>
          <w:sz w:val="20"/>
          <w:szCs w:val="20"/>
          <w:lang w:val="es-PE"/>
        </w:rPr>
        <w:t xml:space="preserve">de un mecanismo de protección </w:t>
      </w:r>
      <w:r w:rsidR="00A3079A" w:rsidRPr="007A0D4C">
        <w:rPr>
          <w:rFonts w:ascii="Cambria" w:hAnsi="Cambria"/>
          <w:sz w:val="20"/>
          <w:szCs w:val="20"/>
          <w:lang w:val="es-PE"/>
        </w:rPr>
        <w:t xml:space="preserve">integral </w:t>
      </w:r>
      <w:r w:rsidR="00C4229C" w:rsidRPr="007A0D4C">
        <w:rPr>
          <w:rFonts w:ascii="Cambria" w:hAnsi="Cambria"/>
          <w:sz w:val="20"/>
          <w:szCs w:val="20"/>
          <w:lang w:val="es-PE"/>
        </w:rPr>
        <w:t>de periodistas y defensores de derechos humanos en Paraguay, a pesar de</w:t>
      </w:r>
      <w:r w:rsidR="00EF4D9E" w:rsidRPr="007A0D4C">
        <w:rPr>
          <w:rFonts w:ascii="Cambria" w:hAnsi="Cambria"/>
          <w:sz w:val="20"/>
          <w:szCs w:val="20"/>
          <w:lang w:val="es-PE"/>
        </w:rPr>
        <w:t>l compromiso manifestado por parte del Estado para</w:t>
      </w:r>
      <w:r w:rsidR="0053117A" w:rsidRPr="007A0D4C">
        <w:rPr>
          <w:rFonts w:ascii="Cambria" w:hAnsi="Cambria"/>
          <w:sz w:val="20"/>
          <w:szCs w:val="20"/>
          <w:lang w:val="es-PE"/>
        </w:rPr>
        <w:t xml:space="preserve"> su creación</w:t>
      </w:r>
      <w:r w:rsidR="00AC3441" w:rsidRPr="007A0D4C">
        <w:rPr>
          <w:rStyle w:val="FootnoteReference"/>
          <w:rFonts w:ascii="Cambria" w:hAnsi="Cambria"/>
          <w:sz w:val="20"/>
          <w:szCs w:val="20"/>
          <w:lang w:val="es-PE"/>
        </w:rPr>
        <w:footnoteReference w:id="24"/>
      </w:r>
      <w:r w:rsidR="0053117A" w:rsidRPr="007A0D4C">
        <w:rPr>
          <w:rFonts w:ascii="Cambria" w:hAnsi="Cambria"/>
          <w:sz w:val="20"/>
          <w:szCs w:val="20"/>
          <w:lang w:val="es-PE"/>
        </w:rPr>
        <w:t>.</w:t>
      </w:r>
    </w:p>
    <w:p w14:paraId="1F0955EE" w14:textId="77777777" w:rsidR="00637242" w:rsidRPr="007A0D4C" w:rsidRDefault="00637242"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536FAA70" w14:textId="1BAD8683" w:rsidR="00D02335" w:rsidRPr="007A0D4C" w:rsidRDefault="00867E09" w:rsidP="007A0D4C">
      <w:pPr>
        <w:pStyle w:val="Heading2"/>
        <w:spacing w:before="0" w:after="0"/>
        <w:ind w:left="0" w:firstLine="0"/>
        <w:jc w:val="both"/>
        <w:rPr>
          <w:lang w:val="es-VE"/>
        </w:rPr>
      </w:pPr>
      <w:bookmarkStart w:id="21" w:name="_Toc47965323"/>
      <w:r w:rsidRPr="007A0D4C">
        <w:rPr>
          <w:lang w:val="es-VE"/>
        </w:rPr>
        <w:t xml:space="preserve">Investigación </w:t>
      </w:r>
      <w:r w:rsidR="00054D9F" w:rsidRPr="007A0D4C">
        <w:rPr>
          <w:lang w:val="es-VE"/>
        </w:rPr>
        <w:t>y p</w:t>
      </w:r>
      <w:r w:rsidR="009C5FD9" w:rsidRPr="007A0D4C">
        <w:t xml:space="preserve">roceso penal </w:t>
      </w:r>
      <w:bookmarkStart w:id="22" w:name="_Toc6937376"/>
      <w:bookmarkStart w:id="23" w:name="_Toc11073104"/>
      <w:r w:rsidR="00D02335" w:rsidRPr="007A0D4C">
        <w:t>por</w:t>
      </w:r>
      <w:r w:rsidR="00054D9F" w:rsidRPr="007A0D4C">
        <w:t xml:space="preserve"> el asesinato de Santiago Leguizamón</w:t>
      </w:r>
      <w:bookmarkEnd w:id="21"/>
      <w:r w:rsidR="00D02335" w:rsidRPr="007A0D4C">
        <w:t xml:space="preserve"> </w:t>
      </w:r>
      <w:bookmarkEnd w:id="22"/>
      <w:bookmarkEnd w:id="23"/>
    </w:p>
    <w:p w14:paraId="7DEA6CFD" w14:textId="77777777" w:rsidR="00D02335" w:rsidRPr="007A0D4C" w:rsidRDefault="00D02335" w:rsidP="007A0D4C">
      <w:pPr>
        <w:jc w:val="both"/>
        <w:rPr>
          <w:rFonts w:ascii="Cambria" w:hAnsi="Cambria"/>
          <w:sz w:val="20"/>
          <w:szCs w:val="20"/>
          <w:lang w:val="es-ES_tradnl"/>
        </w:rPr>
      </w:pPr>
    </w:p>
    <w:p w14:paraId="676D8335" w14:textId="25DA2173" w:rsidR="00115C58" w:rsidRPr="004926CC" w:rsidRDefault="006A58A8" w:rsidP="007A0D4C">
      <w:pPr>
        <w:pStyle w:val="Heading3"/>
        <w:rPr>
          <w:lang w:val="es-VE"/>
        </w:rPr>
      </w:pPr>
      <w:bookmarkStart w:id="24" w:name="_Toc47965324"/>
      <w:r w:rsidRPr="004926CC">
        <w:t xml:space="preserve">Diligencias </w:t>
      </w:r>
      <w:r w:rsidR="00D92166" w:rsidRPr="004926CC">
        <w:t>iniciales</w:t>
      </w:r>
      <w:r w:rsidRPr="004926CC">
        <w:t xml:space="preserve"> y proceso penal</w:t>
      </w:r>
      <w:r w:rsidR="00115C58" w:rsidRPr="004926CC">
        <w:t xml:space="preserve"> ante el Juzgado</w:t>
      </w:r>
      <w:r w:rsidR="007D7305" w:rsidRPr="004926CC">
        <w:t xml:space="preserve"> de primera instancia en lo criminal y tutelar del menor </w:t>
      </w:r>
      <w:r w:rsidR="00A45D97">
        <w:t xml:space="preserve">del primer turno </w:t>
      </w:r>
      <w:r w:rsidR="0061495C" w:rsidRPr="004926CC">
        <w:t>de la circunscripción</w:t>
      </w:r>
      <w:r w:rsidR="00115C58" w:rsidRPr="004926CC">
        <w:t xml:space="preserve"> </w:t>
      </w:r>
      <w:r w:rsidR="00A45D97">
        <w:t xml:space="preserve">judicial </w:t>
      </w:r>
      <w:r w:rsidR="00115C58" w:rsidRPr="004926CC">
        <w:t>de</w:t>
      </w:r>
      <w:r w:rsidR="0061495C" w:rsidRPr="004926CC">
        <w:t>l</w:t>
      </w:r>
      <w:r w:rsidR="00115C58" w:rsidRPr="004926CC">
        <w:t xml:space="preserve"> Amambay</w:t>
      </w:r>
      <w:bookmarkEnd w:id="24"/>
    </w:p>
    <w:p w14:paraId="347DA6AA" w14:textId="5BA1C0C7" w:rsidR="00D02335" w:rsidRPr="007A0D4C" w:rsidRDefault="00D92166" w:rsidP="007A0D4C">
      <w:pPr>
        <w:pStyle w:val="Heading3"/>
        <w:numPr>
          <w:ilvl w:val="0"/>
          <w:numId w:val="0"/>
        </w:numPr>
        <w:ind w:left="720"/>
        <w:rPr>
          <w:lang w:val="es-VE"/>
        </w:rPr>
      </w:pPr>
      <w:r w:rsidRPr="007A0D4C">
        <w:t xml:space="preserve"> </w:t>
      </w:r>
    </w:p>
    <w:p w14:paraId="174A7C58" w14:textId="313F6D6E" w:rsidR="00505AE6" w:rsidRPr="008F5D93" w:rsidRDefault="00EB057E"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F5D93">
        <w:rPr>
          <w:rFonts w:ascii="Cambria" w:hAnsi="Cambria"/>
          <w:sz w:val="20"/>
          <w:szCs w:val="20"/>
          <w:lang w:val="es-PE"/>
        </w:rPr>
        <w:t>De manera preliminar, la</w:t>
      </w:r>
      <w:r w:rsidR="00505AE6" w:rsidRPr="008F5D93">
        <w:rPr>
          <w:rFonts w:ascii="Cambria" w:hAnsi="Cambria"/>
          <w:sz w:val="20"/>
          <w:szCs w:val="20"/>
          <w:lang w:val="es-PE"/>
        </w:rPr>
        <w:t xml:space="preserve"> CIDH </w:t>
      </w:r>
      <w:r w:rsidRPr="008F5D93">
        <w:rPr>
          <w:rFonts w:ascii="Cambria" w:hAnsi="Cambria"/>
          <w:sz w:val="20"/>
          <w:szCs w:val="20"/>
          <w:lang w:val="es-PE"/>
        </w:rPr>
        <w:t xml:space="preserve">destaca que </w:t>
      </w:r>
      <w:r w:rsidR="00505AE6" w:rsidRPr="008F5D93">
        <w:rPr>
          <w:rFonts w:ascii="Cambria" w:hAnsi="Cambria"/>
          <w:sz w:val="20"/>
          <w:szCs w:val="20"/>
          <w:lang w:val="es-PE"/>
        </w:rPr>
        <w:t>no cuenta con la totalidad del expediente a ni</w:t>
      </w:r>
      <w:r w:rsidR="00696FA3" w:rsidRPr="008F5D93">
        <w:rPr>
          <w:rFonts w:ascii="Cambria" w:hAnsi="Cambria"/>
          <w:sz w:val="20"/>
          <w:szCs w:val="20"/>
          <w:lang w:val="es-PE"/>
        </w:rPr>
        <w:t>vel interno</w:t>
      </w:r>
      <w:r w:rsidRPr="008F5D93">
        <w:rPr>
          <w:rFonts w:ascii="Cambria" w:hAnsi="Cambria"/>
          <w:sz w:val="20"/>
          <w:szCs w:val="20"/>
          <w:lang w:val="es-PE"/>
        </w:rPr>
        <w:t>, por lo</w:t>
      </w:r>
      <w:r w:rsidR="002E7E36" w:rsidRPr="008F5D93">
        <w:rPr>
          <w:rFonts w:ascii="Cambria" w:hAnsi="Cambria"/>
          <w:sz w:val="20"/>
          <w:szCs w:val="20"/>
          <w:lang w:val="es-PE"/>
        </w:rPr>
        <w:t xml:space="preserve"> que el presente apartado se basa en el expediente que obra ante la Comisión y los alegatos de la parte peticionaria y del Estado que no han sido controvertidos durante e</w:t>
      </w:r>
      <w:r w:rsidR="005573E1" w:rsidRPr="008F5D93">
        <w:rPr>
          <w:rFonts w:ascii="Cambria" w:hAnsi="Cambria"/>
          <w:sz w:val="20"/>
          <w:szCs w:val="20"/>
          <w:lang w:val="es-PE"/>
        </w:rPr>
        <w:t>l</w:t>
      </w:r>
      <w:r w:rsidR="002E7E36" w:rsidRPr="008F5D93">
        <w:rPr>
          <w:rFonts w:ascii="Cambria" w:hAnsi="Cambria"/>
          <w:sz w:val="20"/>
          <w:szCs w:val="20"/>
          <w:lang w:val="es-PE"/>
        </w:rPr>
        <w:t xml:space="preserve"> proceso ante </w:t>
      </w:r>
      <w:r w:rsidR="00B13EEE">
        <w:rPr>
          <w:rFonts w:ascii="Cambria" w:hAnsi="Cambria"/>
          <w:sz w:val="20"/>
          <w:szCs w:val="20"/>
          <w:lang w:val="es-PE"/>
        </w:rPr>
        <w:t>ella</w:t>
      </w:r>
      <w:r w:rsidR="002E7E36" w:rsidRPr="008F5D93">
        <w:rPr>
          <w:rFonts w:ascii="Cambria" w:hAnsi="Cambria"/>
          <w:sz w:val="20"/>
          <w:szCs w:val="20"/>
          <w:lang w:val="es-PE"/>
        </w:rPr>
        <w:t>.</w:t>
      </w:r>
    </w:p>
    <w:p w14:paraId="4A1C43C2" w14:textId="77777777" w:rsidR="005237DD" w:rsidRPr="007A0D4C" w:rsidRDefault="005237D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FFD5879" w14:textId="6D4B980F" w:rsidR="00562BBA" w:rsidRPr="007A0D4C" w:rsidRDefault="005237DD"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El 26 de abril de 1991</w:t>
      </w:r>
      <w:r w:rsidR="00324D61" w:rsidRPr="007A0D4C">
        <w:rPr>
          <w:rFonts w:ascii="Cambria" w:hAnsi="Cambria"/>
          <w:color w:val="000000" w:themeColor="text1"/>
          <w:sz w:val="20"/>
          <w:szCs w:val="20"/>
          <w:lang w:val="es-PE"/>
        </w:rPr>
        <w:t xml:space="preserve"> el Juzgado </w:t>
      </w:r>
      <w:r w:rsidR="00324D61" w:rsidRPr="007A0D4C">
        <w:rPr>
          <w:rFonts w:ascii="Cambria" w:hAnsi="Cambria"/>
          <w:sz w:val="20"/>
          <w:szCs w:val="20"/>
          <w:lang w:val="es-PE"/>
        </w:rPr>
        <w:t xml:space="preserve">de primera instancia en lo criminal y tutelar del menor del primer turno </w:t>
      </w:r>
      <w:r w:rsidR="00490D05" w:rsidRPr="007A0D4C">
        <w:rPr>
          <w:rFonts w:ascii="Cambria" w:hAnsi="Cambria"/>
          <w:color w:val="000000" w:themeColor="text1"/>
          <w:sz w:val="20"/>
          <w:szCs w:val="20"/>
          <w:lang w:val="es-PE"/>
        </w:rPr>
        <w:t>de la circunscripción judicial del Amambay</w:t>
      </w:r>
      <w:r w:rsidR="00562BBA" w:rsidRPr="007A0D4C">
        <w:rPr>
          <w:rFonts w:ascii="Cambria" w:hAnsi="Cambria"/>
          <w:color w:val="000000" w:themeColor="text1"/>
          <w:sz w:val="20"/>
          <w:szCs w:val="20"/>
          <w:lang w:val="es-PE"/>
        </w:rPr>
        <w:t xml:space="preserve"> (</w:t>
      </w:r>
      <w:r w:rsidR="00562BBA" w:rsidRPr="007A0D4C">
        <w:rPr>
          <w:rFonts w:ascii="Cambria" w:hAnsi="Cambria"/>
          <w:sz w:val="20"/>
          <w:szCs w:val="20"/>
          <w:lang w:val="es-PE"/>
        </w:rPr>
        <w:t>en la ciudad de Pedro Juan Caballero)</w:t>
      </w:r>
      <w:r w:rsidR="00C66F0F" w:rsidRPr="007A0D4C">
        <w:rPr>
          <w:rFonts w:ascii="Cambria" w:hAnsi="Cambria"/>
          <w:color w:val="000000" w:themeColor="text1"/>
          <w:sz w:val="20"/>
          <w:szCs w:val="20"/>
          <w:lang w:val="es-PE"/>
        </w:rPr>
        <w:t xml:space="preserve"> </w:t>
      </w:r>
      <w:r w:rsidR="00490D05" w:rsidRPr="007A0D4C">
        <w:rPr>
          <w:rFonts w:ascii="Cambria" w:hAnsi="Cambria"/>
          <w:color w:val="000000" w:themeColor="text1"/>
          <w:sz w:val="20"/>
          <w:szCs w:val="20"/>
          <w:lang w:val="es-PE"/>
        </w:rPr>
        <w:t xml:space="preserve">inició </w:t>
      </w:r>
      <w:r w:rsidR="00A45D97">
        <w:rPr>
          <w:rFonts w:ascii="Cambria" w:hAnsi="Cambria"/>
          <w:color w:val="000000" w:themeColor="text1"/>
          <w:sz w:val="20"/>
          <w:szCs w:val="20"/>
          <w:lang w:val="es-PE"/>
        </w:rPr>
        <w:t>una</w:t>
      </w:r>
      <w:r w:rsidR="00490D05" w:rsidRPr="007A0D4C">
        <w:rPr>
          <w:rFonts w:ascii="Cambria" w:hAnsi="Cambria"/>
          <w:color w:val="000000" w:themeColor="text1"/>
          <w:sz w:val="20"/>
          <w:szCs w:val="20"/>
          <w:lang w:val="es-PE"/>
        </w:rPr>
        <w:t xml:space="preserve"> investigación de oficio </w:t>
      </w:r>
      <w:r w:rsidR="00A45D97">
        <w:rPr>
          <w:rFonts w:ascii="Cambria" w:hAnsi="Cambria"/>
          <w:color w:val="000000" w:themeColor="text1"/>
          <w:sz w:val="20"/>
          <w:szCs w:val="20"/>
          <w:lang w:val="es-PE"/>
        </w:rPr>
        <w:t xml:space="preserve">por </w:t>
      </w:r>
      <w:r w:rsidR="00490D05" w:rsidRPr="007A0D4C">
        <w:rPr>
          <w:rFonts w:ascii="Cambria" w:hAnsi="Cambria"/>
          <w:color w:val="000000" w:themeColor="text1"/>
          <w:sz w:val="20"/>
          <w:szCs w:val="20"/>
          <w:lang w:val="es-PE"/>
        </w:rPr>
        <w:t xml:space="preserve">el homicidio de Santiago Leguizamón, tras recibir un informe verbal por parte de </w:t>
      </w:r>
      <w:r w:rsidR="00490D05" w:rsidRPr="007A0D4C">
        <w:rPr>
          <w:rFonts w:ascii="Cambria" w:hAnsi="Cambria"/>
          <w:color w:val="000000" w:themeColor="text1"/>
          <w:sz w:val="20"/>
          <w:szCs w:val="20"/>
          <w:lang w:val="es-PE"/>
        </w:rPr>
        <w:lastRenderedPageBreak/>
        <w:t xml:space="preserve">agentes de la policía asignados a la Delegación de Gobierno, quienes dieron parte de un hecho de homicidio ocurrido en la localidad de Pedro Juan Caballero, aproximadamente a las 12:15 horas. </w:t>
      </w:r>
      <w:r w:rsidR="00F02254" w:rsidRPr="007A0D4C">
        <w:rPr>
          <w:rFonts w:ascii="Cambria" w:hAnsi="Cambria"/>
          <w:color w:val="000000" w:themeColor="text1"/>
          <w:sz w:val="20"/>
          <w:szCs w:val="20"/>
          <w:lang w:val="es-PE"/>
        </w:rPr>
        <w:t xml:space="preserve">El juez ordenó </w:t>
      </w:r>
      <w:r w:rsidR="0055224B" w:rsidRPr="007A0D4C">
        <w:rPr>
          <w:rFonts w:ascii="Cambria" w:hAnsi="Cambria"/>
          <w:color w:val="000000" w:themeColor="text1"/>
          <w:sz w:val="20"/>
          <w:szCs w:val="20"/>
          <w:lang w:val="es-PE"/>
        </w:rPr>
        <w:t xml:space="preserve">el apersonamiento a la escena del crimen para realizar el levantamiento del cadáver, practicar </w:t>
      </w:r>
      <w:r w:rsidR="00A45D97">
        <w:rPr>
          <w:rFonts w:ascii="Cambria" w:hAnsi="Cambria"/>
          <w:color w:val="000000" w:themeColor="text1"/>
          <w:sz w:val="20"/>
          <w:szCs w:val="20"/>
          <w:lang w:val="es-PE"/>
        </w:rPr>
        <w:t xml:space="preserve">la </w:t>
      </w:r>
      <w:r w:rsidR="0055224B" w:rsidRPr="007A0D4C">
        <w:rPr>
          <w:rFonts w:ascii="Cambria" w:hAnsi="Cambria"/>
          <w:color w:val="000000" w:themeColor="text1"/>
          <w:sz w:val="20"/>
          <w:szCs w:val="20"/>
          <w:lang w:val="es-PE"/>
        </w:rPr>
        <w:t>inspección ocular y trazar un croquis de</w:t>
      </w:r>
      <w:r w:rsidR="00E91B54" w:rsidRPr="007A0D4C">
        <w:rPr>
          <w:rFonts w:ascii="Cambria" w:hAnsi="Cambria"/>
          <w:color w:val="000000" w:themeColor="text1"/>
          <w:sz w:val="20"/>
          <w:szCs w:val="20"/>
          <w:lang w:val="es-PE"/>
        </w:rPr>
        <w:t>l lugar</w:t>
      </w:r>
      <w:r w:rsidR="00E91B54" w:rsidRPr="007A0D4C">
        <w:rPr>
          <w:rStyle w:val="FootnoteReference"/>
          <w:rFonts w:ascii="Cambria" w:hAnsi="Cambria"/>
          <w:color w:val="000000" w:themeColor="text1"/>
          <w:sz w:val="20"/>
          <w:szCs w:val="20"/>
          <w:lang w:val="es-PE"/>
        </w:rPr>
        <w:footnoteReference w:id="25"/>
      </w:r>
      <w:r w:rsidR="00E91B54" w:rsidRPr="007A0D4C">
        <w:rPr>
          <w:rFonts w:ascii="Cambria" w:hAnsi="Cambria"/>
          <w:color w:val="000000" w:themeColor="text1"/>
          <w:sz w:val="20"/>
          <w:szCs w:val="20"/>
          <w:lang w:val="es-PE"/>
        </w:rPr>
        <w:t>.</w:t>
      </w:r>
      <w:r w:rsidR="00EF297F" w:rsidRPr="007A0D4C">
        <w:rPr>
          <w:rFonts w:ascii="Cambria" w:hAnsi="Cambria"/>
          <w:color w:val="000000" w:themeColor="text1"/>
          <w:sz w:val="20"/>
          <w:szCs w:val="20"/>
          <w:lang w:val="es-PE"/>
        </w:rPr>
        <w:t xml:space="preserve"> </w:t>
      </w:r>
      <w:r w:rsidR="00AB418E" w:rsidRPr="007A0D4C">
        <w:rPr>
          <w:rFonts w:ascii="Cambria" w:hAnsi="Cambria"/>
          <w:color w:val="000000" w:themeColor="text1"/>
          <w:sz w:val="20"/>
          <w:szCs w:val="20"/>
          <w:lang w:val="es-PE"/>
        </w:rPr>
        <w:t>Personal policial, autor</w:t>
      </w:r>
      <w:r w:rsidR="00987DA0" w:rsidRPr="007A0D4C">
        <w:rPr>
          <w:rFonts w:ascii="Cambria" w:hAnsi="Cambria"/>
          <w:color w:val="000000" w:themeColor="text1"/>
          <w:sz w:val="20"/>
          <w:szCs w:val="20"/>
          <w:lang w:val="es-PE"/>
        </w:rPr>
        <w:t xml:space="preserve">idades judiciales y el médico forense se </w:t>
      </w:r>
      <w:r w:rsidR="00EF297F" w:rsidRPr="007A0D4C">
        <w:rPr>
          <w:rFonts w:ascii="Cambria" w:hAnsi="Cambria"/>
          <w:color w:val="000000" w:themeColor="text1"/>
          <w:sz w:val="20"/>
          <w:szCs w:val="20"/>
          <w:lang w:val="es-PE"/>
        </w:rPr>
        <w:t xml:space="preserve">constituyeron </w:t>
      </w:r>
      <w:r w:rsidR="00987DA0" w:rsidRPr="007A0D4C">
        <w:rPr>
          <w:rFonts w:ascii="Cambria" w:hAnsi="Cambria"/>
          <w:color w:val="000000" w:themeColor="text1"/>
          <w:sz w:val="20"/>
          <w:szCs w:val="20"/>
          <w:lang w:val="es-PE"/>
        </w:rPr>
        <w:t>en la escena del crimen.</w:t>
      </w:r>
      <w:r w:rsidR="00EF297F" w:rsidRPr="007A0D4C">
        <w:rPr>
          <w:rFonts w:ascii="Cambria" w:hAnsi="Cambria"/>
          <w:color w:val="000000" w:themeColor="text1"/>
          <w:sz w:val="20"/>
          <w:szCs w:val="20"/>
          <w:lang w:val="es-PE"/>
        </w:rPr>
        <w:t xml:space="preserve"> </w:t>
      </w:r>
    </w:p>
    <w:p w14:paraId="08D11E44" w14:textId="77777777" w:rsidR="002434E7" w:rsidRPr="007A0D4C" w:rsidRDefault="002434E7"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1C2ADBD7" w14:textId="03520791" w:rsidR="00AD77E2" w:rsidRPr="007A0D4C" w:rsidRDefault="00490D05"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E</w:t>
      </w:r>
      <w:r w:rsidR="00B979C0" w:rsidRPr="007A0D4C">
        <w:rPr>
          <w:rFonts w:ascii="Cambria" w:hAnsi="Cambria"/>
          <w:color w:val="000000" w:themeColor="text1"/>
          <w:sz w:val="20"/>
          <w:szCs w:val="20"/>
          <w:lang w:val="es-PE"/>
        </w:rPr>
        <w:t>se mismo día</w:t>
      </w:r>
      <w:r w:rsidR="002434E7" w:rsidRPr="007A0D4C">
        <w:rPr>
          <w:rFonts w:ascii="Cambria" w:hAnsi="Cambria"/>
          <w:color w:val="000000" w:themeColor="text1"/>
          <w:sz w:val="20"/>
          <w:szCs w:val="20"/>
          <w:lang w:val="es-PE"/>
        </w:rPr>
        <w:t>,</w:t>
      </w:r>
      <w:r w:rsidR="00B979C0" w:rsidRPr="007A0D4C">
        <w:rPr>
          <w:rFonts w:ascii="Cambria" w:hAnsi="Cambria"/>
          <w:color w:val="000000" w:themeColor="text1"/>
          <w:sz w:val="20"/>
          <w:szCs w:val="20"/>
          <w:lang w:val="es-PE"/>
        </w:rPr>
        <w:t xml:space="preserve"> a las 12:45 horas</w:t>
      </w:r>
      <w:r w:rsidR="00182CBC" w:rsidRPr="007A0D4C">
        <w:rPr>
          <w:rFonts w:ascii="Cambria" w:hAnsi="Cambria"/>
          <w:color w:val="000000" w:themeColor="text1"/>
          <w:sz w:val="20"/>
          <w:szCs w:val="20"/>
          <w:lang w:val="es-PE"/>
        </w:rPr>
        <w:t xml:space="preserve"> aproximadamente</w:t>
      </w:r>
      <w:r w:rsidR="00B979C0"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 xml:space="preserve">el Juzgado elaboró un acta </w:t>
      </w:r>
      <w:r w:rsidR="00182CBC" w:rsidRPr="007A0D4C">
        <w:rPr>
          <w:rFonts w:ascii="Cambria" w:hAnsi="Cambria"/>
          <w:color w:val="000000" w:themeColor="text1"/>
          <w:sz w:val="20"/>
          <w:szCs w:val="20"/>
          <w:lang w:val="es-PE"/>
        </w:rPr>
        <w:t xml:space="preserve">judicial </w:t>
      </w:r>
      <w:r w:rsidRPr="007A0D4C">
        <w:rPr>
          <w:rFonts w:ascii="Cambria" w:hAnsi="Cambria"/>
          <w:color w:val="000000" w:themeColor="text1"/>
          <w:sz w:val="20"/>
          <w:szCs w:val="20"/>
          <w:lang w:val="es-PE"/>
        </w:rPr>
        <w:t>de la inspección</w:t>
      </w:r>
      <w:r w:rsidR="00A64EB4" w:rsidRPr="007A0D4C">
        <w:rPr>
          <w:rFonts w:ascii="Cambria" w:hAnsi="Cambria"/>
          <w:color w:val="000000" w:themeColor="text1"/>
          <w:sz w:val="20"/>
          <w:szCs w:val="20"/>
          <w:lang w:val="es-PE"/>
        </w:rPr>
        <w:t xml:space="preserve"> y se </w:t>
      </w:r>
      <w:r w:rsidRPr="007A0D4C">
        <w:rPr>
          <w:rFonts w:ascii="Cambria" w:hAnsi="Cambria"/>
          <w:color w:val="000000" w:themeColor="text1"/>
          <w:sz w:val="20"/>
          <w:szCs w:val="20"/>
          <w:lang w:val="es-PE"/>
        </w:rPr>
        <w:t>levantó un croquis del lugar del hecho</w:t>
      </w:r>
      <w:r w:rsidR="00463004" w:rsidRPr="007A0D4C">
        <w:rPr>
          <w:rStyle w:val="FootnoteReference"/>
          <w:rFonts w:ascii="Cambria" w:hAnsi="Cambria"/>
          <w:color w:val="000000" w:themeColor="text1"/>
          <w:sz w:val="20"/>
          <w:szCs w:val="20"/>
          <w:lang w:val="es-PE"/>
        </w:rPr>
        <w:footnoteReference w:id="26"/>
      </w:r>
      <w:r w:rsidR="00A64EB4" w:rsidRPr="007A0D4C">
        <w:rPr>
          <w:rFonts w:ascii="Cambria" w:hAnsi="Cambria"/>
          <w:color w:val="000000" w:themeColor="text1"/>
          <w:sz w:val="20"/>
          <w:szCs w:val="20"/>
          <w:lang w:val="es-PE"/>
        </w:rPr>
        <w:t>.</w:t>
      </w:r>
      <w:r w:rsidR="00174171" w:rsidRPr="007A0D4C">
        <w:rPr>
          <w:rFonts w:ascii="Cambria" w:hAnsi="Cambria"/>
          <w:color w:val="000000" w:themeColor="text1"/>
          <w:sz w:val="20"/>
          <w:szCs w:val="20"/>
          <w:lang w:val="es-PE"/>
        </w:rPr>
        <w:t xml:space="preserve"> </w:t>
      </w:r>
      <w:r w:rsidR="00406DB7" w:rsidRPr="007A0D4C">
        <w:rPr>
          <w:rFonts w:ascii="Cambria" w:hAnsi="Cambria"/>
          <w:color w:val="000000" w:themeColor="text1"/>
          <w:sz w:val="20"/>
          <w:szCs w:val="20"/>
          <w:lang w:val="es-PE"/>
        </w:rPr>
        <w:t>Se ordenó también</w:t>
      </w:r>
      <w:r w:rsidR="00A45D97">
        <w:rPr>
          <w:rFonts w:ascii="Cambria" w:hAnsi="Cambria"/>
          <w:color w:val="000000" w:themeColor="text1"/>
          <w:sz w:val="20"/>
          <w:szCs w:val="20"/>
          <w:lang w:val="es-PE"/>
        </w:rPr>
        <w:t>,</w:t>
      </w:r>
      <w:r w:rsidR="00406DB7" w:rsidRPr="007A0D4C">
        <w:rPr>
          <w:rFonts w:ascii="Cambria" w:hAnsi="Cambria"/>
          <w:color w:val="000000" w:themeColor="text1"/>
          <w:sz w:val="20"/>
          <w:szCs w:val="20"/>
          <w:lang w:val="es-PE"/>
        </w:rPr>
        <w:t xml:space="preserve"> el traslado del vehículo </w:t>
      </w:r>
      <w:r w:rsidR="006E1475" w:rsidRPr="007A0D4C">
        <w:rPr>
          <w:rFonts w:ascii="Cambria" w:hAnsi="Cambria"/>
          <w:color w:val="000000" w:themeColor="text1"/>
          <w:sz w:val="20"/>
          <w:szCs w:val="20"/>
          <w:lang w:val="es-PE"/>
        </w:rPr>
        <w:t>blanco marca Nissan, en el que se encontró el cuerpo del periodista</w:t>
      </w:r>
      <w:r w:rsidR="00A45D97">
        <w:rPr>
          <w:rFonts w:ascii="Cambria" w:hAnsi="Cambria"/>
          <w:color w:val="000000" w:themeColor="text1"/>
          <w:sz w:val="20"/>
          <w:szCs w:val="20"/>
          <w:lang w:val="es-PE"/>
        </w:rPr>
        <w:t>,</w:t>
      </w:r>
      <w:r w:rsidR="006E1475" w:rsidRPr="007A0D4C">
        <w:rPr>
          <w:rFonts w:ascii="Cambria" w:hAnsi="Cambria"/>
          <w:color w:val="000000" w:themeColor="text1"/>
          <w:sz w:val="20"/>
          <w:szCs w:val="20"/>
          <w:lang w:val="es-PE"/>
        </w:rPr>
        <w:t xml:space="preserve"> </w:t>
      </w:r>
      <w:r w:rsidR="00352D03" w:rsidRPr="007A0D4C">
        <w:rPr>
          <w:rFonts w:ascii="Cambria" w:hAnsi="Cambria"/>
          <w:color w:val="000000" w:themeColor="text1"/>
          <w:sz w:val="20"/>
          <w:szCs w:val="20"/>
          <w:lang w:val="es-PE"/>
        </w:rPr>
        <w:t xml:space="preserve">al predio del tribunal. </w:t>
      </w:r>
      <w:r w:rsidR="00D255F8" w:rsidRPr="007A0D4C">
        <w:rPr>
          <w:rFonts w:ascii="Cambria" w:hAnsi="Cambria"/>
          <w:color w:val="000000" w:themeColor="text1"/>
          <w:sz w:val="20"/>
          <w:szCs w:val="20"/>
          <w:lang w:val="es-PE"/>
        </w:rPr>
        <w:t xml:space="preserve">Asimismo, se </w:t>
      </w:r>
      <w:r w:rsidR="009B107E" w:rsidRPr="007A0D4C">
        <w:rPr>
          <w:rFonts w:ascii="Cambria" w:hAnsi="Cambria"/>
          <w:color w:val="000000" w:themeColor="text1"/>
          <w:sz w:val="20"/>
          <w:szCs w:val="20"/>
          <w:lang w:val="es-PE"/>
        </w:rPr>
        <w:t xml:space="preserve">“rescató” un cartucho winchester calibre 12 </w:t>
      </w:r>
      <w:r w:rsidR="001B36A8" w:rsidRPr="007A0D4C">
        <w:rPr>
          <w:rFonts w:ascii="Cambria" w:hAnsi="Cambria"/>
          <w:color w:val="000000" w:themeColor="text1"/>
          <w:sz w:val="20"/>
          <w:szCs w:val="20"/>
          <w:lang w:val="es-PE"/>
        </w:rPr>
        <w:t xml:space="preserve">y dos proyectiles de plomo, entre otras </w:t>
      </w:r>
      <w:r w:rsidRPr="007A0D4C">
        <w:rPr>
          <w:rFonts w:ascii="Cambria" w:hAnsi="Cambria"/>
          <w:color w:val="000000" w:themeColor="text1"/>
          <w:sz w:val="20"/>
          <w:szCs w:val="20"/>
          <w:lang w:val="es-PE"/>
        </w:rPr>
        <w:t>evidencias</w:t>
      </w:r>
      <w:r w:rsidR="007C5C96" w:rsidRPr="007A0D4C">
        <w:rPr>
          <w:rStyle w:val="FootnoteReference"/>
          <w:rFonts w:ascii="Cambria" w:hAnsi="Cambria"/>
          <w:color w:val="000000" w:themeColor="text1"/>
          <w:sz w:val="20"/>
          <w:szCs w:val="20"/>
          <w:lang w:val="es-PE"/>
        </w:rPr>
        <w:footnoteReference w:id="27"/>
      </w:r>
      <w:r w:rsidR="00117E0E">
        <w:rPr>
          <w:rFonts w:ascii="Cambria" w:hAnsi="Cambria"/>
          <w:color w:val="000000" w:themeColor="text1"/>
          <w:sz w:val="20"/>
          <w:szCs w:val="20"/>
          <w:lang w:val="es-PE"/>
        </w:rPr>
        <w:t xml:space="preserve"> y</w:t>
      </w:r>
      <w:r w:rsidR="002710B7">
        <w:rPr>
          <w:rFonts w:ascii="Cambria" w:hAnsi="Cambria"/>
          <w:color w:val="000000" w:themeColor="text1"/>
          <w:sz w:val="20"/>
          <w:szCs w:val="20"/>
          <w:lang w:val="es-PE"/>
        </w:rPr>
        <w:t xml:space="preserve"> </w:t>
      </w:r>
      <w:r w:rsidR="00117E0E">
        <w:rPr>
          <w:rFonts w:ascii="Cambria" w:hAnsi="Cambria"/>
          <w:color w:val="000000" w:themeColor="text1"/>
          <w:sz w:val="20"/>
          <w:szCs w:val="20"/>
          <w:lang w:val="es-PE"/>
        </w:rPr>
        <w:t>s</w:t>
      </w:r>
      <w:r w:rsidR="00B3303F" w:rsidRPr="007A0D4C">
        <w:rPr>
          <w:rFonts w:ascii="Cambria" w:hAnsi="Cambria"/>
          <w:color w:val="000000" w:themeColor="text1"/>
          <w:sz w:val="20"/>
          <w:szCs w:val="20"/>
          <w:lang w:val="es-PE"/>
        </w:rPr>
        <w:t xml:space="preserve">e tomaron </w:t>
      </w:r>
      <w:r w:rsidR="00962836" w:rsidRPr="007A0D4C">
        <w:rPr>
          <w:rFonts w:ascii="Cambria" w:hAnsi="Cambria"/>
          <w:color w:val="000000" w:themeColor="text1"/>
          <w:sz w:val="20"/>
          <w:szCs w:val="20"/>
          <w:lang w:val="es-PE"/>
        </w:rPr>
        <w:t>fotografías del cuerpo del periodista dentro del vehículo</w:t>
      </w:r>
      <w:r w:rsidR="00962836" w:rsidRPr="007A0D4C">
        <w:rPr>
          <w:rStyle w:val="FootnoteReference"/>
          <w:rFonts w:ascii="Cambria" w:hAnsi="Cambria"/>
          <w:color w:val="000000" w:themeColor="text1"/>
          <w:sz w:val="20"/>
          <w:szCs w:val="20"/>
          <w:lang w:val="es-PE"/>
        </w:rPr>
        <w:footnoteReference w:id="28"/>
      </w:r>
      <w:r w:rsidR="00962836" w:rsidRPr="007A0D4C">
        <w:rPr>
          <w:rFonts w:ascii="Cambria" w:hAnsi="Cambria"/>
          <w:color w:val="000000" w:themeColor="text1"/>
          <w:sz w:val="20"/>
          <w:szCs w:val="20"/>
          <w:lang w:val="es-PE"/>
        </w:rPr>
        <w:t xml:space="preserve">. </w:t>
      </w:r>
    </w:p>
    <w:p w14:paraId="14AD6C57" w14:textId="77777777" w:rsidR="003855AD" w:rsidRPr="007A0D4C" w:rsidRDefault="003855A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6E1D8DCC" w14:textId="78CB79C8" w:rsidR="001B36A8" w:rsidRPr="007A0D4C" w:rsidRDefault="0036193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Por su parte, el médico forense de la circunscripción, presente en el levantamiento del cadáver, realizó una</w:t>
      </w:r>
      <w:r w:rsidR="00A445AF" w:rsidRPr="007A0D4C">
        <w:rPr>
          <w:rFonts w:ascii="Cambria" w:hAnsi="Cambria"/>
          <w:color w:val="000000" w:themeColor="text1"/>
          <w:sz w:val="20"/>
          <w:szCs w:val="20"/>
          <w:lang w:val="es-PE"/>
        </w:rPr>
        <w:t xml:space="preserve"> “inspección médica”</w:t>
      </w:r>
      <w:r w:rsidR="007465C3"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 xml:space="preserve">del cadáver, luego </w:t>
      </w:r>
      <w:r w:rsidR="007465C3" w:rsidRPr="007A0D4C">
        <w:rPr>
          <w:rFonts w:ascii="Cambria" w:hAnsi="Cambria"/>
          <w:color w:val="000000" w:themeColor="text1"/>
          <w:sz w:val="20"/>
          <w:szCs w:val="20"/>
          <w:lang w:val="es-PE"/>
        </w:rPr>
        <w:t xml:space="preserve">del </w:t>
      </w:r>
      <w:r w:rsidRPr="007A0D4C">
        <w:rPr>
          <w:rFonts w:ascii="Cambria" w:hAnsi="Cambria"/>
          <w:color w:val="000000" w:themeColor="text1"/>
          <w:sz w:val="20"/>
          <w:szCs w:val="20"/>
          <w:lang w:val="es-PE"/>
        </w:rPr>
        <w:t>traslado</w:t>
      </w:r>
      <w:r w:rsidR="007465C3" w:rsidRPr="007A0D4C">
        <w:rPr>
          <w:rFonts w:ascii="Cambria" w:hAnsi="Cambria"/>
          <w:color w:val="000000" w:themeColor="text1"/>
          <w:sz w:val="20"/>
          <w:szCs w:val="20"/>
          <w:lang w:val="es-PE"/>
        </w:rPr>
        <w:t xml:space="preserve"> del cuerpo</w:t>
      </w:r>
      <w:r w:rsidRPr="007A0D4C">
        <w:rPr>
          <w:rFonts w:ascii="Cambria" w:hAnsi="Cambria"/>
          <w:color w:val="000000" w:themeColor="text1"/>
          <w:sz w:val="20"/>
          <w:szCs w:val="20"/>
          <w:lang w:val="es-PE"/>
        </w:rPr>
        <w:t xml:space="preserve"> a la morgue</w:t>
      </w:r>
      <w:r w:rsidR="007465C3" w:rsidRPr="007A0D4C">
        <w:rPr>
          <w:rFonts w:ascii="Cambria" w:hAnsi="Cambria"/>
          <w:color w:val="000000" w:themeColor="text1"/>
          <w:sz w:val="20"/>
          <w:szCs w:val="20"/>
          <w:lang w:val="es-PE"/>
        </w:rPr>
        <w:t xml:space="preserve">. </w:t>
      </w:r>
      <w:r w:rsidR="00AD77E2" w:rsidRPr="007A0D4C">
        <w:rPr>
          <w:rFonts w:ascii="Cambria" w:hAnsi="Cambria"/>
          <w:color w:val="000000" w:themeColor="text1"/>
          <w:sz w:val="20"/>
          <w:szCs w:val="20"/>
          <w:lang w:val="es-PE"/>
        </w:rPr>
        <w:t xml:space="preserve">Determinó que </w:t>
      </w:r>
      <w:r w:rsidR="001630C6" w:rsidRPr="007A0D4C">
        <w:rPr>
          <w:rFonts w:ascii="Cambria" w:hAnsi="Cambria"/>
          <w:color w:val="000000" w:themeColor="text1"/>
          <w:sz w:val="20"/>
          <w:szCs w:val="20"/>
          <w:lang w:val="es-PE"/>
        </w:rPr>
        <w:t>la causa de muerte del periodista fue “</w:t>
      </w:r>
      <w:r w:rsidR="00474C7F" w:rsidRPr="007A0D4C">
        <w:rPr>
          <w:rFonts w:ascii="Cambria" w:hAnsi="Cambria"/>
          <w:color w:val="000000" w:themeColor="text1"/>
          <w:sz w:val="20"/>
          <w:szCs w:val="20"/>
          <w:lang w:val="es-PE"/>
        </w:rPr>
        <w:t>l</w:t>
      </w:r>
      <w:r w:rsidR="00690BC9" w:rsidRPr="007A0D4C">
        <w:rPr>
          <w:rFonts w:ascii="Cambria" w:hAnsi="Cambria"/>
          <w:color w:val="000000" w:themeColor="text1"/>
          <w:sz w:val="20"/>
          <w:szCs w:val="20"/>
          <w:lang w:val="es-PE"/>
        </w:rPr>
        <w:t>esión densa</w:t>
      </w:r>
      <w:r w:rsidR="00474C7F" w:rsidRPr="007A0D4C">
        <w:rPr>
          <w:rFonts w:ascii="Cambria" w:hAnsi="Cambria"/>
          <w:color w:val="000000" w:themeColor="text1"/>
          <w:sz w:val="20"/>
          <w:szCs w:val="20"/>
          <w:lang w:val="es-PE"/>
        </w:rPr>
        <w:t xml:space="preserve"> encef</w:t>
      </w:r>
      <w:r w:rsidR="00416CC5" w:rsidRPr="007A0D4C">
        <w:rPr>
          <w:rFonts w:ascii="Cambria" w:hAnsi="Cambria"/>
          <w:color w:val="000000" w:themeColor="text1"/>
          <w:sz w:val="20"/>
          <w:szCs w:val="20"/>
          <w:lang w:val="es-PE"/>
        </w:rPr>
        <w:t>álica</w:t>
      </w:r>
      <w:r w:rsidR="00474C7F" w:rsidRPr="007A0D4C">
        <w:rPr>
          <w:rFonts w:ascii="Cambria" w:hAnsi="Cambria"/>
          <w:color w:val="000000" w:themeColor="text1"/>
          <w:sz w:val="20"/>
          <w:szCs w:val="20"/>
          <w:lang w:val="es-PE"/>
        </w:rPr>
        <w:t xml:space="preserve"> y hemorragia aguda”, y d</w:t>
      </w:r>
      <w:r w:rsidR="00BE06B8" w:rsidRPr="007A0D4C">
        <w:rPr>
          <w:rFonts w:ascii="Cambria" w:hAnsi="Cambria"/>
          <w:color w:val="000000" w:themeColor="text1"/>
          <w:sz w:val="20"/>
          <w:szCs w:val="20"/>
          <w:lang w:val="es-PE"/>
        </w:rPr>
        <w:t>escribió</w:t>
      </w:r>
      <w:r w:rsidR="00474C7F" w:rsidRPr="007A0D4C">
        <w:rPr>
          <w:rFonts w:ascii="Cambria" w:hAnsi="Cambria"/>
          <w:color w:val="000000" w:themeColor="text1"/>
          <w:sz w:val="20"/>
          <w:szCs w:val="20"/>
          <w:lang w:val="es-PE"/>
        </w:rPr>
        <w:t xml:space="preserve"> las diversas lesiones por arma de fuego entre las que destac</w:t>
      </w:r>
      <w:r w:rsidR="00632D74" w:rsidRPr="007A0D4C">
        <w:rPr>
          <w:rFonts w:ascii="Cambria" w:hAnsi="Cambria"/>
          <w:color w:val="000000" w:themeColor="text1"/>
          <w:sz w:val="20"/>
          <w:szCs w:val="20"/>
          <w:lang w:val="es-PE"/>
        </w:rPr>
        <w:t>an</w:t>
      </w:r>
      <w:r w:rsidR="00474C7F" w:rsidRPr="007A0D4C">
        <w:rPr>
          <w:rFonts w:ascii="Cambria" w:hAnsi="Cambria"/>
          <w:color w:val="000000" w:themeColor="text1"/>
          <w:sz w:val="20"/>
          <w:szCs w:val="20"/>
          <w:lang w:val="es-PE"/>
        </w:rPr>
        <w:t xml:space="preserve"> </w:t>
      </w:r>
      <w:r w:rsidR="0020121F" w:rsidRPr="007A0D4C">
        <w:rPr>
          <w:rFonts w:ascii="Cambria" w:hAnsi="Cambria"/>
          <w:color w:val="000000" w:themeColor="text1"/>
          <w:sz w:val="20"/>
          <w:szCs w:val="20"/>
          <w:lang w:val="es-PE"/>
        </w:rPr>
        <w:t xml:space="preserve">la </w:t>
      </w:r>
      <w:r w:rsidR="003855AD" w:rsidRPr="007A0D4C">
        <w:rPr>
          <w:rFonts w:ascii="Cambria" w:hAnsi="Cambria"/>
          <w:color w:val="000000" w:themeColor="text1"/>
          <w:sz w:val="20"/>
          <w:szCs w:val="20"/>
          <w:lang w:val="es-PE"/>
        </w:rPr>
        <w:t>desaparición</w:t>
      </w:r>
      <w:r w:rsidR="0020121F" w:rsidRPr="007A0D4C">
        <w:rPr>
          <w:rFonts w:ascii="Cambria" w:hAnsi="Cambria"/>
          <w:color w:val="000000" w:themeColor="text1"/>
          <w:sz w:val="20"/>
          <w:szCs w:val="20"/>
          <w:lang w:val="es-PE"/>
        </w:rPr>
        <w:t xml:space="preserve"> del globo </w:t>
      </w:r>
      <w:r w:rsidR="003855AD" w:rsidRPr="007A0D4C">
        <w:rPr>
          <w:rFonts w:ascii="Cambria" w:hAnsi="Cambria"/>
          <w:color w:val="000000" w:themeColor="text1"/>
          <w:sz w:val="20"/>
          <w:szCs w:val="20"/>
          <w:lang w:val="es-PE"/>
        </w:rPr>
        <w:t>ocular</w:t>
      </w:r>
      <w:r w:rsidR="0020121F" w:rsidRPr="007A0D4C">
        <w:rPr>
          <w:rFonts w:ascii="Cambria" w:hAnsi="Cambria"/>
          <w:color w:val="000000" w:themeColor="text1"/>
          <w:sz w:val="20"/>
          <w:szCs w:val="20"/>
          <w:lang w:val="es-PE"/>
        </w:rPr>
        <w:t xml:space="preserve"> izquierd</w:t>
      </w:r>
      <w:r w:rsidR="008F011C" w:rsidRPr="007A0D4C">
        <w:rPr>
          <w:rFonts w:ascii="Cambria" w:hAnsi="Cambria"/>
          <w:color w:val="000000" w:themeColor="text1"/>
          <w:sz w:val="20"/>
          <w:szCs w:val="20"/>
          <w:lang w:val="es-PE"/>
        </w:rPr>
        <w:t>o</w:t>
      </w:r>
      <w:r w:rsidR="0020121F" w:rsidRPr="007A0D4C">
        <w:rPr>
          <w:rFonts w:ascii="Cambria" w:hAnsi="Cambria"/>
          <w:color w:val="000000" w:themeColor="text1"/>
          <w:sz w:val="20"/>
          <w:szCs w:val="20"/>
          <w:lang w:val="es-PE"/>
        </w:rPr>
        <w:t xml:space="preserve">, fracturas, heridas desgarrantes en el cuello, </w:t>
      </w:r>
      <w:r w:rsidR="000F2029" w:rsidRPr="007A0D4C">
        <w:rPr>
          <w:rFonts w:ascii="Cambria" w:hAnsi="Cambria"/>
          <w:color w:val="000000" w:themeColor="text1"/>
          <w:sz w:val="20"/>
          <w:szCs w:val="20"/>
          <w:lang w:val="es-PE"/>
        </w:rPr>
        <w:t xml:space="preserve">hombros y </w:t>
      </w:r>
      <w:r w:rsidR="003855AD" w:rsidRPr="007A0D4C">
        <w:rPr>
          <w:rFonts w:ascii="Cambria" w:hAnsi="Cambria"/>
          <w:color w:val="000000" w:themeColor="text1"/>
          <w:sz w:val="20"/>
          <w:szCs w:val="20"/>
          <w:lang w:val="es-PE"/>
        </w:rPr>
        <w:t>extremidades inferiores</w:t>
      </w:r>
      <w:r w:rsidR="003855AD" w:rsidRPr="007A0D4C">
        <w:rPr>
          <w:rStyle w:val="FootnoteReference"/>
          <w:rFonts w:ascii="Cambria" w:hAnsi="Cambria"/>
          <w:color w:val="000000" w:themeColor="text1"/>
          <w:sz w:val="20"/>
          <w:szCs w:val="20"/>
          <w:lang w:val="es-PE"/>
        </w:rPr>
        <w:footnoteReference w:id="29"/>
      </w:r>
      <w:r w:rsidR="003855AD" w:rsidRPr="007A0D4C">
        <w:rPr>
          <w:rFonts w:ascii="Cambria" w:hAnsi="Cambria"/>
          <w:color w:val="000000" w:themeColor="text1"/>
          <w:sz w:val="20"/>
          <w:szCs w:val="20"/>
          <w:lang w:val="es-PE"/>
        </w:rPr>
        <w:t>.</w:t>
      </w:r>
      <w:r w:rsidR="00690BC9" w:rsidRPr="007A0D4C">
        <w:rPr>
          <w:rFonts w:ascii="Cambria" w:hAnsi="Cambria"/>
          <w:color w:val="000000" w:themeColor="text1"/>
          <w:sz w:val="20"/>
          <w:szCs w:val="20"/>
          <w:lang w:val="es-PE"/>
        </w:rPr>
        <w:t xml:space="preserve"> </w:t>
      </w:r>
      <w:r w:rsidR="00152C5E" w:rsidRPr="007A0D4C">
        <w:rPr>
          <w:rFonts w:ascii="Cambria" w:hAnsi="Cambria"/>
          <w:color w:val="000000" w:themeColor="text1"/>
          <w:sz w:val="20"/>
          <w:szCs w:val="20"/>
          <w:lang w:val="es-PE"/>
        </w:rPr>
        <w:t xml:space="preserve">Finalmente, </w:t>
      </w:r>
      <w:r w:rsidR="00632D74" w:rsidRPr="007A0D4C">
        <w:rPr>
          <w:rFonts w:ascii="Cambria" w:hAnsi="Cambria"/>
          <w:color w:val="000000" w:themeColor="text1"/>
          <w:sz w:val="20"/>
          <w:szCs w:val="20"/>
          <w:lang w:val="es-PE"/>
        </w:rPr>
        <w:t xml:space="preserve">se </w:t>
      </w:r>
      <w:r w:rsidR="00152C5E" w:rsidRPr="007A0D4C">
        <w:rPr>
          <w:rFonts w:ascii="Cambria" w:hAnsi="Cambria"/>
          <w:color w:val="000000" w:themeColor="text1"/>
          <w:sz w:val="20"/>
          <w:szCs w:val="20"/>
          <w:lang w:val="es-PE"/>
        </w:rPr>
        <w:t>dispuso la entrega del cuerpo a familiares y colegas</w:t>
      </w:r>
      <w:r w:rsidR="004428E0" w:rsidRPr="007A0D4C">
        <w:rPr>
          <w:rFonts w:ascii="Cambria" w:hAnsi="Cambria"/>
          <w:color w:val="000000" w:themeColor="text1"/>
          <w:sz w:val="20"/>
          <w:szCs w:val="20"/>
          <w:lang w:val="es-PE"/>
        </w:rPr>
        <w:t>.</w:t>
      </w:r>
    </w:p>
    <w:p w14:paraId="3EE91243" w14:textId="77777777" w:rsidR="004428E0" w:rsidRPr="007A0D4C" w:rsidRDefault="004428E0"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1B370F99" w14:textId="43E7A89F" w:rsidR="00AD5FE6" w:rsidRPr="008F5D93" w:rsidRDefault="00490D05"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E</w:t>
      </w:r>
      <w:r w:rsidR="00ED604A" w:rsidRPr="007A0D4C">
        <w:rPr>
          <w:rFonts w:ascii="Cambria" w:hAnsi="Cambria"/>
          <w:color w:val="000000" w:themeColor="text1"/>
          <w:sz w:val="20"/>
          <w:szCs w:val="20"/>
          <w:lang w:val="es-PE"/>
        </w:rPr>
        <w:t>l</w:t>
      </w:r>
      <w:r w:rsidRPr="007A0D4C">
        <w:rPr>
          <w:rFonts w:ascii="Cambria" w:hAnsi="Cambria"/>
          <w:color w:val="000000" w:themeColor="text1"/>
          <w:sz w:val="20"/>
          <w:szCs w:val="20"/>
          <w:lang w:val="es-PE"/>
        </w:rPr>
        <w:t xml:space="preserve"> mism</w:t>
      </w:r>
      <w:r w:rsidR="00AD5FE6" w:rsidRPr="007A0D4C">
        <w:rPr>
          <w:rFonts w:ascii="Cambria" w:hAnsi="Cambria"/>
          <w:color w:val="000000" w:themeColor="text1"/>
          <w:sz w:val="20"/>
          <w:szCs w:val="20"/>
          <w:lang w:val="es-PE"/>
        </w:rPr>
        <w:t xml:space="preserve">o </w:t>
      </w:r>
      <w:r w:rsidR="00ED604A" w:rsidRPr="007A0D4C">
        <w:rPr>
          <w:rFonts w:ascii="Cambria" w:hAnsi="Cambria"/>
          <w:color w:val="000000" w:themeColor="text1"/>
          <w:sz w:val="20"/>
          <w:szCs w:val="20"/>
          <w:lang w:val="es-PE"/>
        </w:rPr>
        <w:t>26 de abril de 1991</w:t>
      </w:r>
      <w:r w:rsidRPr="007A0D4C">
        <w:rPr>
          <w:rFonts w:ascii="Cambria" w:hAnsi="Cambria"/>
          <w:color w:val="000000" w:themeColor="text1"/>
          <w:sz w:val="20"/>
          <w:szCs w:val="20"/>
          <w:lang w:val="es-PE"/>
        </w:rPr>
        <w:t xml:space="preserve"> el Juzgado </w:t>
      </w:r>
      <w:r w:rsidR="00F90A2F" w:rsidRPr="007A0D4C">
        <w:rPr>
          <w:rFonts w:ascii="Cambria" w:hAnsi="Cambria"/>
          <w:color w:val="000000" w:themeColor="text1"/>
          <w:sz w:val="20"/>
          <w:szCs w:val="20"/>
          <w:lang w:val="es-PE"/>
        </w:rPr>
        <w:t xml:space="preserve">emitió un auto interlocutorio ordenando </w:t>
      </w:r>
      <w:r w:rsidRPr="007A0D4C">
        <w:rPr>
          <w:rFonts w:ascii="Cambria" w:hAnsi="Cambria"/>
          <w:color w:val="000000" w:themeColor="text1"/>
          <w:sz w:val="20"/>
          <w:szCs w:val="20"/>
          <w:lang w:val="es-PE"/>
        </w:rPr>
        <w:t>la instrucción de</w:t>
      </w:r>
      <w:r w:rsidR="00EF3C22" w:rsidRPr="007A0D4C">
        <w:rPr>
          <w:rFonts w:ascii="Cambria" w:hAnsi="Cambria"/>
          <w:color w:val="000000" w:themeColor="text1"/>
          <w:sz w:val="20"/>
          <w:szCs w:val="20"/>
          <w:lang w:val="es-PE"/>
        </w:rPr>
        <w:t>l</w:t>
      </w:r>
      <w:r w:rsidRPr="007A0D4C">
        <w:rPr>
          <w:rFonts w:ascii="Cambria" w:hAnsi="Cambria"/>
          <w:color w:val="000000" w:themeColor="text1"/>
          <w:sz w:val="20"/>
          <w:szCs w:val="20"/>
          <w:lang w:val="es-PE"/>
        </w:rPr>
        <w:t xml:space="preserve"> sumario </w:t>
      </w:r>
      <w:r w:rsidR="003A29DB" w:rsidRPr="007A0D4C">
        <w:rPr>
          <w:rFonts w:ascii="Cambria" w:hAnsi="Cambria"/>
          <w:color w:val="000000" w:themeColor="text1"/>
          <w:sz w:val="20"/>
          <w:szCs w:val="20"/>
          <w:lang w:val="es-PE"/>
        </w:rPr>
        <w:t xml:space="preserve">en averiguación y comprobación </w:t>
      </w:r>
      <w:r w:rsidRPr="007A0D4C">
        <w:rPr>
          <w:rFonts w:ascii="Cambria" w:hAnsi="Cambria"/>
          <w:color w:val="000000" w:themeColor="text1"/>
          <w:sz w:val="20"/>
          <w:szCs w:val="20"/>
          <w:lang w:val="es-PE"/>
        </w:rPr>
        <w:t>del homicidio de Santiago Leguizamón</w:t>
      </w:r>
      <w:r w:rsidR="0054541F" w:rsidRPr="007A0D4C">
        <w:rPr>
          <w:rFonts w:ascii="Cambria" w:hAnsi="Cambria"/>
          <w:color w:val="000000" w:themeColor="text1"/>
          <w:sz w:val="20"/>
          <w:szCs w:val="20"/>
          <w:lang w:val="es-PE"/>
        </w:rPr>
        <w:t xml:space="preserve"> y la determinación de sus </w:t>
      </w:r>
      <w:r w:rsidR="0054541F" w:rsidRPr="008F5D93">
        <w:rPr>
          <w:rFonts w:ascii="Cambria" w:hAnsi="Cambria"/>
          <w:color w:val="000000" w:themeColor="text1"/>
          <w:sz w:val="20"/>
          <w:szCs w:val="20"/>
          <w:lang w:val="es-PE"/>
        </w:rPr>
        <w:t>autores,</w:t>
      </w:r>
      <w:r w:rsidRPr="008F5D93">
        <w:rPr>
          <w:rFonts w:ascii="Cambria" w:hAnsi="Cambria"/>
          <w:color w:val="000000" w:themeColor="text1"/>
          <w:sz w:val="20"/>
          <w:szCs w:val="20"/>
          <w:lang w:val="es-PE"/>
        </w:rPr>
        <w:t xml:space="preserve"> </w:t>
      </w:r>
      <w:r w:rsidR="008F32E2" w:rsidRPr="008F5D93">
        <w:rPr>
          <w:rFonts w:ascii="Cambria" w:hAnsi="Cambria"/>
          <w:color w:val="000000" w:themeColor="text1"/>
          <w:sz w:val="20"/>
          <w:szCs w:val="20"/>
          <w:lang w:val="es-PE"/>
        </w:rPr>
        <w:t xml:space="preserve">y </w:t>
      </w:r>
      <w:r w:rsidR="00A94875" w:rsidRPr="008F5D93">
        <w:rPr>
          <w:rFonts w:ascii="Cambria" w:hAnsi="Cambria"/>
          <w:color w:val="000000" w:themeColor="text1"/>
          <w:sz w:val="20"/>
          <w:szCs w:val="20"/>
          <w:lang w:val="es-PE"/>
        </w:rPr>
        <w:t>solicitó la realización de</w:t>
      </w:r>
      <w:r w:rsidRPr="008F5D93">
        <w:rPr>
          <w:rFonts w:ascii="Cambria" w:hAnsi="Cambria"/>
          <w:color w:val="000000" w:themeColor="text1"/>
          <w:sz w:val="20"/>
          <w:szCs w:val="20"/>
          <w:lang w:val="es-PE"/>
        </w:rPr>
        <w:t xml:space="preserve"> diligencias de investigación</w:t>
      </w:r>
      <w:r w:rsidR="00CD0278" w:rsidRPr="008F5D93">
        <w:rPr>
          <w:rStyle w:val="FootnoteReference"/>
          <w:rFonts w:ascii="Cambria" w:hAnsi="Cambria"/>
          <w:color w:val="000000" w:themeColor="text1"/>
          <w:sz w:val="20"/>
          <w:szCs w:val="20"/>
          <w:lang w:val="es-PE"/>
        </w:rPr>
        <w:footnoteReference w:id="30"/>
      </w:r>
      <w:r w:rsidR="00CD0278" w:rsidRPr="008F5D93">
        <w:rPr>
          <w:rFonts w:ascii="Cambria" w:hAnsi="Cambria"/>
          <w:color w:val="000000" w:themeColor="text1"/>
          <w:sz w:val="20"/>
          <w:szCs w:val="20"/>
          <w:lang w:val="es-PE"/>
        </w:rPr>
        <w:t>.</w:t>
      </w:r>
      <w:r w:rsidR="00995DF1" w:rsidRPr="008F5D93">
        <w:rPr>
          <w:rFonts w:ascii="Cambria" w:hAnsi="Cambria"/>
          <w:color w:val="000000" w:themeColor="text1"/>
          <w:sz w:val="20"/>
          <w:szCs w:val="20"/>
          <w:lang w:val="es-PE"/>
        </w:rPr>
        <w:t xml:space="preserve"> El 27 d</w:t>
      </w:r>
      <w:r w:rsidR="00060E0D" w:rsidRPr="008F5D93">
        <w:rPr>
          <w:rFonts w:ascii="Cambria" w:hAnsi="Cambria"/>
          <w:color w:val="000000" w:themeColor="text1"/>
          <w:sz w:val="20"/>
          <w:szCs w:val="20"/>
          <w:lang w:val="es-PE"/>
        </w:rPr>
        <w:t xml:space="preserve">e abril de 1991 </w:t>
      </w:r>
      <w:r w:rsidR="00CC2D56" w:rsidRPr="008F5D93">
        <w:rPr>
          <w:rFonts w:ascii="Cambria" w:hAnsi="Cambria"/>
          <w:color w:val="000000" w:themeColor="text1"/>
          <w:sz w:val="20"/>
          <w:szCs w:val="20"/>
          <w:lang w:val="es-PE"/>
        </w:rPr>
        <w:t xml:space="preserve">Paraguay </w:t>
      </w:r>
      <w:r w:rsidR="006C34BF" w:rsidRPr="008F5D93">
        <w:rPr>
          <w:rFonts w:ascii="Cambria" w:hAnsi="Cambria"/>
          <w:color w:val="000000" w:themeColor="text1"/>
          <w:sz w:val="20"/>
          <w:szCs w:val="20"/>
          <w:lang w:val="es-PE"/>
        </w:rPr>
        <w:t xml:space="preserve">solicitó a </w:t>
      </w:r>
      <w:r w:rsidR="007F783E" w:rsidRPr="008F5D93">
        <w:rPr>
          <w:rFonts w:ascii="Cambria" w:hAnsi="Cambria"/>
          <w:color w:val="000000" w:themeColor="text1"/>
          <w:sz w:val="20"/>
          <w:szCs w:val="20"/>
          <w:lang w:val="es-PE"/>
        </w:rPr>
        <w:t xml:space="preserve">Brasil información sobre datos que pudieran contribuir con la individualización de los autores </w:t>
      </w:r>
      <w:r w:rsidR="00A71EF3" w:rsidRPr="008F5D93">
        <w:rPr>
          <w:rFonts w:ascii="Cambria" w:hAnsi="Cambria"/>
          <w:color w:val="000000" w:themeColor="text1"/>
          <w:sz w:val="20"/>
          <w:szCs w:val="20"/>
          <w:lang w:val="es-PE"/>
        </w:rPr>
        <w:t>del crimen contra Santiago Leguizamón</w:t>
      </w:r>
      <w:r w:rsidR="00A71EF3" w:rsidRPr="008F5D93">
        <w:rPr>
          <w:rStyle w:val="FootnoteReference"/>
          <w:rFonts w:ascii="Cambria" w:hAnsi="Cambria"/>
          <w:color w:val="000000" w:themeColor="text1"/>
          <w:sz w:val="20"/>
          <w:szCs w:val="20"/>
          <w:lang w:val="es-PE"/>
        </w:rPr>
        <w:footnoteReference w:id="31"/>
      </w:r>
      <w:r w:rsidR="00A71EF3" w:rsidRPr="008F5D93">
        <w:rPr>
          <w:rFonts w:ascii="Cambria" w:hAnsi="Cambria"/>
          <w:color w:val="000000" w:themeColor="text1"/>
          <w:sz w:val="20"/>
          <w:szCs w:val="20"/>
          <w:lang w:val="es-PE"/>
        </w:rPr>
        <w:t>.</w:t>
      </w:r>
    </w:p>
    <w:p w14:paraId="7860A68C" w14:textId="77777777" w:rsidR="00CD0278" w:rsidRPr="008F5D93" w:rsidRDefault="00CD0278"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15378886" w14:textId="3906C5BA" w:rsidR="008B6BCC" w:rsidRPr="008F5D93" w:rsidRDefault="00AD5FE6"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8F5D93">
        <w:rPr>
          <w:rFonts w:ascii="Cambria" w:hAnsi="Cambria"/>
          <w:color w:val="000000" w:themeColor="text1"/>
          <w:sz w:val="20"/>
          <w:szCs w:val="20"/>
          <w:lang w:val="es-PE"/>
        </w:rPr>
        <w:t xml:space="preserve">Conforme al expediente ante la CIDH, el </w:t>
      </w:r>
      <w:r w:rsidR="00980140">
        <w:rPr>
          <w:rFonts w:ascii="Cambria" w:hAnsi="Cambria"/>
          <w:color w:val="000000" w:themeColor="text1"/>
          <w:sz w:val="20"/>
          <w:szCs w:val="20"/>
          <w:lang w:val="es-PE"/>
        </w:rPr>
        <w:t>Juzgado</w:t>
      </w:r>
      <w:r w:rsidRPr="008F5D93">
        <w:rPr>
          <w:rFonts w:ascii="Cambria" w:hAnsi="Cambria"/>
          <w:color w:val="000000" w:themeColor="text1"/>
          <w:sz w:val="20"/>
          <w:szCs w:val="20"/>
          <w:lang w:val="es-PE"/>
        </w:rPr>
        <w:t xml:space="preserve"> recabó al menos </w:t>
      </w:r>
      <w:r w:rsidR="004F546A" w:rsidRPr="008F5D93">
        <w:rPr>
          <w:rFonts w:ascii="Cambria" w:hAnsi="Cambria"/>
          <w:color w:val="000000" w:themeColor="text1"/>
          <w:sz w:val="20"/>
          <w:szCs w:val="20"/>
          <w:lang w:val="es-PE"/>
        </w:rPr>
        <w:t>20 declaraciones</w:t>
      </w:r>
      <w:r w:rsidR="000678DD" w:rsidRPr="008F5D93">
        <w:rPr>
          <w:rFonts w:ascii="Cambria" w:hAnsi="Cambria"/>
          <w:color w:val="000000" w:themeColor="text1"/>
          <w:sz w:val="20"/>
          <w:szCs w:val="20"/>
          <w:lang w:val="es-PE"/>
        </w:rPr>
        <w:t xml:space="preserve"> entre </w:t>
      </w:r>
      <w:r w:rsidR="0060402D" w:rsidRPr="008F5D93">
        <w:rPr>
          <w:rFonts w:ascii="Cambria" w:hAnsi="Cambria"/>
          <w:color w:val="000000" w:themeColor="text1"/>
          <w:sz w:val="20"/>
          <w:szCs w:val="20"/>
          <w:lang w:val="es-PE"/>
        </w:rPr>
        <w:t>trabajadores de la radio, testigos, familiares y amigos del</w:t>
      </w:r>
      <w:r w:rsidR="00CB431F" w:rsidRPr="008F5D93">
        <w:rPr>
          <w:rFonts w:ascii="Cambria" w:hAnsi="Cambria"/>
          <w:color w:val="000000" w:themeColor="text1"/>
          <w:sz w:val="20"/>
          <w:szCs w:val="20"/>
          <w:lang w:val="es-PE"/>
        </w:rPr>
        <w:t xml:space="preserve"> </w:t>
      </w:r>
      <w:r w:rsidR="0060402D" w:rsidRPr="008F5D93">
        <w:rPr>
          <w:rFonts w:ascii="Cambria" w:hAnsi="Cambria"/>
          <w:color w:val="000000" w:themeColor="text1"/>
          <w:sz w:val="20"/>
          <w:szCs w:val="20"/>
          <w:lang w:val="es-PE"/>
        </w:rPr>
        <w:t>periodista, entre otros</w:t>
      </w:r>
      <w:r w:rsidR="00333103" w:rsidRPr="008F5D93">
        <w:rPr>
          <w:rStyle w:val="FootnoteReference"/>
          <w:rFonts w:ascii="Cambria" w:hAnsi="Cambria"/>
          <w:color w:val="000000" w:themeColor="text1"/>
          <w:sz w:val="20"/>
          <w:szCs w:val="20"/>
          <w:lang w:val="es-PE"/>
        </w:rPr>
        <w:footnoteReference w:id="32"/>
      </w:r>
      <w:r w:rsidR="0060402D" w:rsidRPr="008F5D93">
        <w:rPr>
          <w:rFonts w:ascii="Cambria" w:hAnsi="Cambria"/>
          <w:color w:val="000000" w:themeColor="text1"/>
          <w:sz w:val="20"/>
          <w:szCs w:val="20"/>
          <w:lang w:val="es-PE"/>
        </w:rPr>
        <w:t>. Asimismo, se rec</w:t>
      </w:r>
      <w:r w:rsidR="005662F6" w:rsidRPr="008F5D93">
        <w:rPr>
          <w:rFonts w:ascii="Cambria" w:hAnsi="Cambria"/>
          <w:color w:val="000000" w:themeColor="text1"/>
          <w:sz w:val="20"/>
          <w:szCs w:val="20"/>
          <w:lang w:val="es-PE"/>
        </w:rPr>
        <w:t>ab</w:t>
      </w:r>
      <w:r w:rsidR="0060402D" w:rsidRPr="008F5D93">
        <w:rPr>
          <w:rFonts w:ascii="Cambria" w:hAnsi="Cambria"/>
          <w:color w:val="000000" w:themeColor="text1"/>
          <w:sz w:val="20"/>
          <w:szCs w:val="20"/>
          <w:lang w:val="es-PE"/>
        </w:rPr>
        <w:t xml:space="preserve">ó la declaración testifical de </w:t>
      </w:r>
      <w:r w:rsidR="005662F6" w:rsidRPr="008F5D93">
        <w:rPr>
          <w:rFonts w:ascii="Cambria" w:hAnsi="Cambria"/>
          <w:color w:val="000000" w:themeColor="text1"/>
          <w:sz w:val="20"/>
          <w:szCs w:val="20"/>
          <w:lang w:val="es-PE"/>
        </w:rPr>
        <w:t xml:space="preserve">dos personas, </w:t>
      </w:r>
      <w:r w:rsidR="004069D8" w:rsidRPr="008F5D93">
        <w:rPr>
          <w:rFonts w:ascii="Cambria" w:hAnsi="Cambria"/>
          <w:color w:val="000000" w:themeColor="text1"/>
          <w:sz w:val="20"/>
          <w:szCs w:val="20"/>
          <w:lang w:val="es-PE"/>
        </w:rPr>
        <w:t>quienes,</w:t>
      </w:r>
      <w:r w:rsidR="005662F6" w:rsidRPr="008F5D93">
        <w:rPr>
          <w:rFonts w:ascii="Cambria" w:hAnsi="Cambria"/>
          <w:color w:val="000000" w:themeColor="text1"/>
          <w:sz w:val="20"/>
          <w:szCs w:val="20"/>
          <w:lang w:val="es-PE"/>
        </w:rPr>
        <w:t xml:space="preserve"> según los peticionarios</w:t>
      </w:r>
      <w:r w:rsidR="00A45D97">
        <w:rPr>
          <w:rFonts w:ascii="Cambria" w:hAnsi="Cambria"/>
          <w:color w:val="000000" w:themeColor="text1"/>
          <w:sz w:val="20"/>
          <w:szCs w:val="20"/>
          <w:lang w:val="es-PE"/>
        </w:rPr>
        <w:t>,</w:t>
      </w:r>
      <w:r w:rsidR="005662F6" w:rsidRPr="008F5D93">
        <w:rPr>
          <w:rFonts w:ascii="Cambria" w:hAnsi="Cambria"/>
          <w:color w:val="000000" w:themeColor="text1"/>
          <w:sz w:val="20"/>
          <w:szCs w:val="20"/>
          <w:lang w:val="es-PE"/>
        </w:rPr>
        <w:t xml:space="preserve"> habrían sido los autores intelectuales del asesinato</w:t>
      </w:r>
      <w:r w:rsidR="0077413A" w:rsidRPr="008F5D93">
        <w:rPr>
          <w:rStyle w:val="FootnoteReference"/>
          <w:rFonts w:ascii="Cambria" w:hAnsi="Cambria"/>
          <w:color w:val="000000" w:themeColor="text1"/>
          <w:sz w:val="20"/>
          <w:szCs w:val="20"/>
          <w:lang w:val="es-PE"/>
        </w:rPr>
        <w:footnoteReference w:id="33"/>
      </w:r>
      <w:r w:rsidR="005662F6" w:rsidRPr="008F5D93">
        <w:rPr>
          <w:rFonts w:ascii="Cambria" w:hAnsi="Cambria"/>
          <w:color w:val="000000" w:themeColor="text1"/>
          <w:sz w:val="20"/>
          <w:szCs w:val="20"/>
          <w:lang w:val="es-PE"/>
        </w:rPr>
        <w:t xml:space="preserve">. </w:t>
      </w:r>
    </w:p>
    <w:p w14:paraId="25AEA094" w14:textId="77777777" w:rsidR="001133AC" w:rsidRPr="008F5D93" w:rsidRDefault="001133AC"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2395D551" w14:textId="54A6C941" w:rsidR="00002979" w:rsidRPr="008F5D93" w:rsidRDefault="005E3FF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8F5D93">
        <w:rPr>
          <w:rFonts w:ascii="Cambria" w:hAnsi="Cambria"/>
          <w:color w:val="000000" w:themeColor="text1"/>
          <w:sz w:val="20"/>
          <w:szCs w:val="20"/>
          <w:lang w:val="es-PE"/>
        </w:rPr>
        <w:t xml:space="preserve">Otras diligencias de investigación </w:t>
      </w:r>
      <w:r w:rsidR="00F14DCC" w:rsidRPr="008F5D93">
        <w:rPr>
          <w:rFonts w:ascii="Cambria" w:hAnsi="Cambria"/>
          <w:color w:val="000000" w:themeColor="text1"/>
          <w:sz w:val="20"/>
          <w:szCs w:val="20"/>
          <w:lang w:val="es-PE"/>
        </w:rPr>
        <w:t xml:space="preserve">practicadas </w:t>
      </w:r>
      <w:r w:rsidRPr="008F5D93">
        <w:rPr>
          <w:rFonts w:ascii="Cambria" w:hAnsi="Cambria"/>
          <w:color w:val="000000" w:themeColor="text1"/>
          <w:sz w:val="20"/>
          <w:szCs w:val="20"/>
          <w:lang w:val="es-PE"/>
        </w:rPr>
        <w:t>fueron las siguientes</w:t>
      </w:r>
      <w:r w:rsidR="00635C8D" w:rsidRPr="008F5D93">
        <w:rPr>
          <w:rStyle w:val="FootnoteReference"/>
          <w:rFonts w:ascii="Cambria" w:hAnsi="Cambria"/>
          <w:color w:val="000000" w:themeColor="text1"/>
          <w:sz w:val="20"/>
          <w:szCs w:val="20"/>
          <w:lang w:val="es-PE"/>
        </w:rPr>
        <w:footnoteReference w:id="34"/>
      </w:r>
      <w:r w:rsidRPr="008F5D93">
        <w:rPr>
          <w:rFonts w:ascii="Cambria" w:hAnsi="Cambria"/>
          <w:color w:val="000000" w:themeColor="text1"/>
          <w:sz w:val="20"/>
          <w:szCs w:val="20"/>
          <w:lang w:val="es-PE"/>
        </w:rPr>
        <w:t xml:space="preserve">: </w:t>
      </w:r>
      <w:r w:rsidR="00F14DCC" w:rsidRPr="008F5D93">
        <w:rPr>
          <w:rFonts w:ascii="Cambria" w:hAnsi="Cambria"/>
          <w:color w:val="000000" w:themeColor="text1"/>
          <w:sz w:val="20"/>
          <w:szCs w:val="20"/>
          <w:lang w:val="es-PE"/>
        </w:rPr>
        <w:t>a) el 29 de abril de 1991 se realizó una inspección ocular de la radio Mburucuyá</w:t>
      </w:r>
      <w:r w:rsidR="00486B3C" w:rsidRPr="008F5D93">
        <w:rPr>
          <w:rFonts w:ascii="Cambria" w:hAnsi="Cambria"/>
          <w:color w:val="000000" w:themeColor="text1"/>
          <w:sz w:val="20"/>
          <w:szCs w:val="20"/>
          <w:lang w:val="es-PE"/>
        </w:rPr>
        <w:t xml:space="preserve"> en la cual se concluyó </w:t>
      </w:r>
      <w:r w:rsidR="00190262" w:rsidRPr="008F5D93">
        <w:rPr>
          <w:rFonts w:ascii="Cambria" w:hAnsi="Cambria"/>
          <w:color w:val="000000" w:themeColor="text1"/>
          <w:sz w:val="20"/>
          <w:szCs w:val="20"/>
          <w:lang w:val="es-PE"/>
        </w:rPr>
        <w:t xml:space="preserve">que no se encontraron elementos </w:t>
      </w:r>
      <w:r w:rsidR="00744AEA" w:rsidRPr="008F5D93">
        <w:rPr>
          <w:rFonts w:ascii="Cambria" w:hAnsi="Cambria"/>
          <w:color w:val="000000" w:themeColor="text1"/>
          <w:sz w:val="20"/>
          <w:szCs w:val="20"/>
          <w:lang w:val="es-PE"/>
        </w:rPr>
        <w:lastRenderedPageBreak/>
        <w:t xml:space="preserve">útiles para la </w:t>
      </w:r>
      <w:r w:rsidR="00635C8D" w:rsidRPr="008F5D93">
        <w:rPr>
          <w:rFonts w:ascii="Cambria" w:hAnsi="Cambria"/>
          <w:color w:val="000000" w:themeColor="text1"/>
          <w:sz w:val="20"/>
          <w:szCs w:val="20"/>
          <w:lang w:val="es-PE"/>
        </w:rPr>
        <w:t>investigación; b)</w:t>
      </w:r>
      <w:r w:rsidR="004D527D" w:rsidRPr="008F5D93">
        <w:rPr>
          <w:rFonts w:ascii="Cambria" w:hAnsi="Cambria"/>
          <w:color w:val="000000" w:themeColor="text1"/>
          <w:sz w:val="20"/>
          <w:szCs w:val="20"/>
          <w:lang w:val="es-PE"/>
        </w:rPr>
        <w:t xml:space="preserve"> se solicitaron y recibieron </w:t>
      </w:r>
      <w:r w:rsidR="00223EE7" w:rsidRPr="008F5D93">
        <w:rPr>
          <w:rFonts w:ascii="Cambria" w:hAnsi="Cambria"/>
          <w:color w:val="000000" w:themeColor="text1"/>
          <w:sz w:val="20"/>
          <w:szCs w:val="20"/>
          <w:lang w:val="es-PE"/>
        </w:rPr>
        <w:t xml:space="preserve">informes sobre el movimiento de aeronaves </w:t>
      </w:r>
      <w:r w:rsidR="001A61D3" w:rsidRPr="008F5D93">
        <w:rPr>
          <w:rFonts w:ascii="Cambria" w:hAnsi="Cambria"/>
          <w:color w:val="000000" w:themeColor="text1"/>
          <w:sz w:val="20"/>
          <w:szCs w:val="20"/>
          <w:lang w:val="es-PE"/>
        </w:rPr>
        <w:t xml:space="preserve">el día de la muerte de Santiago Leguizamón </w:t>
      </w:r>
      <w:r w:rsidR="00223EE7" w:rsidRPr="008F5D93">
        <w:rPr>
          <w:rFonts w:ascii="Cambria" w:hAnsi="Cambria"/>
          <w:color w:val="000000" w:themeColor="text1"/>
          <w:sz w:val="20"/>
          <w:szCs w:val="20"/>
          <w:lang w:val="es-PE"/>
        </w:rPr>
        <w:t xml:space="preserve">desde la base aérea de Pedro Juan Caballero </w:t>
      </w:r>
      <w:r w:rsidR="007D28EF" w:rsidRPr="008F5D93">
        <w:rPr>
          <w:rFonts w:ascii="Cambria" w:hAnsi="Cambria"/>
          <w:color w:val="000000" w:themeColor="text1"/>
          <w:sz w:val="20"/>
          <w:szCs w:val="20"/>
          <w:lang w:val="es-PE"/>
        </w:rPr>
        <w:t xml:space="preserve">(Paraguay) hacia el aeropuerto de </w:t>
      </w:r>
      <w:r w:rsidR="00A910B8">
        <w:rPr>
          <w:rFonts w:ascii="Cambria" w:hAnsi="Cambria"/>
          <w:color w:val="000000" w:themeColor="text1"/>
          <w:sz w:val="20"/>
          <w:szCs w:val="20"/>
          <w:lang w:val="es-PE"/>
        </w:rPr>
        <w:t>Ponta Porã</w:t>
      </w:r>
      <w:r w:rsidR="007D28EF" w:rsidRPr="008F5D93">
        <w:rPr>
          <w:rFonts w:ascii="Cambria" w:hAnsi="Cambria"/>
          <w:color w:val="000000" w:themeColor="text1"/>
          <w:sz w:val="20"/>
          <w:szCs w:val="20"/>
          <w:lang w:val="es-PE"/>
        </w:rPr>
        <w:t xml:space="preserve"> (Brasil)</w:t>
      </w:r>
      <w:r w:rsidR="004036F5" w:rsidRPr="008F5D93">
        <w:rPr>
          <w:rFonts w:ascii="Cambria" w:hAnsi="Cambria"/>
          <w:color w:val="000000" w:themeColor="text1"/>
          <w:sz w:val="20"/>
          <w:szCs w:val="20"/>
          <w:lang w:val="es-PE"/>
        </w:rPr>
        <w:t xml:space="preserve"> debido a </w:t>
      </w:r>
      <w:r w:rsidR="0054000F" w:rsidRPr="008F5D93">
        <w:rPr>
          <w:rFonts w:ascii="Cambria" w:hAnsi="Cambria"/>
          <w:color w:val="000000" w:themeColor="text1"/>
          <w:sz w:val="20"/>
          <w:szCs w:val="20"/>
          <w:lang w:val="es-PE"/>
        </w:rPr>
        <w:t xml:space="preserve">la </w:t>
      </w:r>
      <w:r w:rsidR="00A45D97">
        <w:rPr>
          <w:rFonts w:ascii="Cambria" w:hAnsi="Cambria"/>
          <w:color w:val="000000" w:themeColor="text1"/>
          <w:sz w:val="20"/>
          <w:szCs w:val="20"/>
          <w:lang w:val="es-PE"/>
        </w:rPr>
        <w:t>sospecha de</w:t>
      </w:r>
      <w:r w:rsidR="0054000F" w:rsidRPr="008F5D93">
        <w:rPr>
          <w:rFonts w:ascii="Cambria" w:hAnsi="Cambria"/>
          <w:color w:val="000000" w:themeColor="text1"/>
          <w:sz w:val="20"/>
          <w:szCs w:val="20"/>
          <w:lang w:val="es-PE"/>
        </w:rPr>
        <w:t xml:space="preserve"> que después del atentado</w:t>
      </w:r>
      <w:r w:rsidR="00A45D97">
        <w:rPr>
          <w:rFonts w:ascii="Cambria" w:hAnsi="Cambria"/>
          <w:color w:val="000000" w:themeColor="text1"/>
          <w:sz w:val="20"/>
          <w:szCs w:val="20"/>
          <w:lang w:val="es-PE"/>
        </w:rPr>
        <w:t>,</w:t>
      </w:r>
      <w:r w:rsidR="0054000F" w:rsidRPr="008F5D93">
        <w:rPr>
          <w:rFonts w:ascii="Cambria" w:hAnsi="Cambria"/>
          <w:color w:val="000000" w:themeColor="text1"/>
          <w:sz w:val="20"/>
          <w:szCs w:val="20"/>
          <w:lang w:val="es-PE"/>
        </w:rPr>
        <w:t xml:space="preserve"> despeg</w:t>
      </w:r>
      <w:r w:rsidR="00A45D97">
        <w:rPr>
          <w:rFonts w:ascii="Cambria" w:hAnsi="Cambria"/>
          <w:color w:val="000000" w:themeColor="text1"/>
          <w:sz w:val="20"/>
          <w:szCs w:val="20"/>
          <w:lang w:val="es-PE"/>
        </w:rPr>
        <w:t>ara</w:t>
      </w:r>
      <w:r w:rsidR="0054000F" w:rsidRPr="008F5D93">
        <w:rPr>
          <w:rFonts w:ascii="Cambria" w:hAnsi="Cambria"/>
          <w:color w:val="000000" w:themeColor="text1"/>
          <w:sz w:val="20"/>
          <w:szCs w:val="20"/>
          <w:lang w:val="es-PE"/>
        </w:rPr>
        <w:t xml:space="preserve"> un avión de </w:t>
      </w:r>
      <w:r w:rsidR="00A910B8">
        <w:rPr>
          <w:rFonts w:ascii="Cambria" w:hAnsi="Cambria"/>
          <w:color w:val="000000" w:themeColor="text1"/>
          <w:sz w:val="20"/>
          <w:szCs w:val="20"/>
          <w:lang w:val="es-PE"/>
        </w:rPr>
        <w:t>Ponta Porã</w:t>
      </w:r>
      <w:r w:rsidR="0054000F" w:rsidRPr="008F5D93">
        <w:rPr>
          <w:rFonts w:ascii="Cambria" w:hAnsi="Cambria"/>
          <w:color w:val="000000" w:themeColor="text1"/>
          <w:sz w:val="20"/>
          <w:szCs w:val="20"/>
          <w:lang w:val="es-PE"/>
        </w:rPr>
        <w:t xml:space="preserve"> con cuatro personas a bordo</w:t>
      </w:r>
      <w:r w:rsidR="00384E09" w:rsidRPr="008F5D93">
        <w:rPr>
          <w:rFonts w:ascii="Cambria" w:hAnsi="Cambria"/>
          <w:color w:val="000000" w:themeColor="text1"/>
          <w:sz w:val="20"/>
          <w:szCs w:val="20"/>
          <w:lang w:val="es-PE"/>
        </w:rPr>
        <w:t xml:space="preserve">; </w:t>
      </w:r>
      <w:r w:rsidR="00120ECF" w:rsidRPr="008F5D93">
        <w:rPr>
          <w:rFonts w:ascii="Cambria" w:hAnsi="Cambria"/>
          <w:color w:val="000000" w:themeColor="text1"/>
          <w:sz w:val="20"/>
          <w:szCs w:val="20"/>
          <w:lang w:val="es-PE"/>
        </w:rPr>
        <w:t>c)</w:t>
      </w:r>
      <w:r w:rsidR="007B4A6C" w:rsidRPr="008F5D93">
        <w:rPr>
          <w:rFonts w:ascii="Cambria" w:hAnsi="Cambria"/>
          <w:color w:val="000000" w:themeColor="text1"/>
          <w:sz w:val="20"/>
          <w:szCs w:val="20"/>
          <w:lang w:val="es-PE"/>
        </w:rPr>
        <w:t xml:space="preserve"> </w:t>
      </w:r>
      <w:r w:rsidR="00E61875" w:rsidRPr="008F5D93">
        <w:rPr>
          <w:rFonts w:ascii="Cambria" w:hAnsi="Cambria"/>
          <w:color w:val="000000" w:themeColor="text1"/>
          <w:sz w:val="20"/>
          <w:szCs w:val="20"/>
          <w:lang w:val="es-PE"/>
        </w:rPr>
        <w:t>se elaboraron informes policiales sobre el estado de la investigación</w:t>
      </w:r>
      <w:r w:rsidR="00D52DF2" w:rsidRPr="008F5D93">
        <w:rPr>
          <w:rFonts w:ascii="Cambria" w:hAnsi="Cambria"/>
          <w:color w:val="000000" w:themeColor="text1"/>
          <w:sz w:val="20"/>
          <w:szCs w:val="20"/>
          <w:lang w:val="es-PE"/>
        </w:rPr>
        <w:t xml:space="preserve">, y d) se requirieron las noticias publicadas </w:t>
      </w:r>
      <w:r w:rsidR="006355C5" w:rsidRPr="008F5D93">
        <w:rPr>
          <w:rFonts w:ascii="Cambria" w:hAnsi="Cambria"/>
          <w:color w:val="000000" w:themeColor="text1"/>
          <w:sz w:val="20"/>
          <w:szCs w:val="20"/>
          <w:lang w:val="es-PE"/>
        </w:rPr>
        <w:t>por el periodista.</w:t>
      </w:r>
    </w:p>
    <w:p w14:paraId="46253A00" w14:textId="77777777" w:rsidR="00002979" w:rsidRPr="008F5D93" w:rsidRDefault="00002979" w:rsidP="007A0D4C">
      <w:pPr>
        <w:pStyle w:val="ListParagraph"/>
        <w:spacing w:before="0" w:after="0"/>
        <w:rPr>
          <w:color w:val="000000" w:themeColor="text1"/>
          <w:sz w:val="20"/>
          <w:szCs w:val="20"/>
          <w:lang w:val="es-PE"/>
        </w:rPr>
      </w:pPr>
    </w:p>
    <w:p w14:paraId="08FB3DBD" w14:textId="60BEF5A7" w:rsidR="00F313CE" w:rsidRPr="008F5D93" w:rsidRDefault="006C6BA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8F5D93">
        <w:rPr>
          <w:rFonts w:ascii="Cambria" w:hAnsi="Cambria"/>
          <w:color w:val="000000" w:themeColor="text1"/>
          <w:sz w:val="20"/>
          <w:szCs w:val="20"/>
          <w:lang w:val="es-PE"/>
        </w:rPr>
        <w:t xml:space="preserve">El inicio de la investigación </w:t>
      </w:r>
      <w:r w:rsidR="004D1B9F" w:rsidRPr="008F5D93">
        <w:rPr>
          <w:rFonts w:ascii="Cambria" w:hAnsi="Cambria"/>
          <w:color w:val="000000" w:themeColor="text1"/>
          <w:sz w:val="20"/>
          <w:szCs w:val="20"/>
          <w:lang w:val="es-PE"/>
        </w:rPr>
        <w:t xml:space="preserve">fue </w:t>
      </w:r>
      <w:r w:rsidR="00C21701" w:rsidRPr="008F5D93">
        <w:rPr>
          <w:rFonts w:ascii="Cambria" w:hAnsi="Cambria"/>
          <w:color w:val="000000" w:themeColor="text1"/>
          <w:sz w:val="20"/>
          <w:szCs w:val="20"/>
          <w:lang w:val="es-PE"/>
        </w:rPr>
        <w:t>puesto</w:t>
      </w:r>
      <w:r w:rsidR="004D1B9F" w:rsidRPr="008F5D93">
        <w:rPr>
          <w:rFonts w:ascii="Cambria" w:hAnsi="Cambria"/>
          <w:color w:val="000000" w:themeColor="text1"/>
          <w:sz w:val="20"/>
          <w:szCs w:val="20"/>
          <w:lang w:val="es-PE"/>
        </w:rPr>
        <w:t xml:space="preserve"> en conocimiento del Ministerio del Interior por Pablo Benítez, Delegado de Gobierno del Amambay, </w:t>
      </w:r>
      <w:r w:rsidR="007B0F80" w:rsidRPr="008F5D93">
        <w:rPr>
          <w:rFonts w:ascii="Cambria" w:hAnsi="Cambria"/>
          <w:color w:val="000000" w:themeColor="text1"/>
          <w:sz w:val="20"/>
          <w:szCs w:val="20"/>
          <w:lang w:val="es-PE"/>
        </w:rPr>
        <w:t xml:space="preserve">por lo que el ministerio destacó </w:t>
      </w:r>
      <w:r w:rsidR="00024EA6" w:rsidRPr="008F5D93">
        <w:rPr>
          <w:rFonts w:ascii="Cambria" w:hAnsi="Cambria"/>
          <w:color w:val="000000" w:themeColor="text1"/>
          <w:sz w:val="20"/>
          <w:szCs w:val="20"/>
          <w:lang w:val="es-PE"/>
        </w:rPr>
        <w:t>a oficiales del servicio de inteligencia de la policía de Asunción</w:t>
      </w:r>
      <w:r w:rsidR="00B54EEE" w:rsidRPr="008F5D93">
        <w:rPr>
          <w:rFonts w:ascii="Cambria" w:hAnsi="Cambria"/>
          <w:color w:val="000000" w:themeColor="text1"/>
          <w:sz w:val="20"/>
          <w:szCs w:val="20"/>
          <w:lang w:val="es-PE"/>
        </w:rPr>
        <w:t xml:space="preserve"> </w:t>
      </w:r>
      <w:r w:rsidR="0036793C" w:rsidRPr="008F5D93">
        <w:rPr>
          <w:rFonts w:ascii="Cambria" w:hAnsi="Cambria"/>
          <w:color w:val="000000" w:themeColor="text1"/>
          <w:sz w:val="20"/>
          <w:szCs w:val="20"/>
          <w:lang w:val="es-PE"/>
        </w:rPr>
        <w:t xml:space="preserve">y </w:t>
      </w:r>
      <w:r w:rsidR="00B54EEE" w:rsidRPr="008F5D93">
        <w:rPr>
          <w:rFonts w:ascii="Cambria" w:hAnsi="Cambria"/>
          <w:color w:val="000000" w:themeColor="text1"/>
          <w:sz w:val="20"/>
          <w:szCs w:val="20"/>
          <w:lang w:val="es-PE"/>
        </w:rPr>
        <w:t xml:space="preserve">expertos </w:t>
      </w:r>
      <w:r w:rsidR="000B5AE8" w:rsidRPr="008F5D93">
        <w:rPr>
          <w:rFonts w:ascii="Cambria" w:hAnsi="Cambria"/>
          <w:color w:val="000000" w:themeColor="text1"/>
          <w:sz w:val="20"/>
          <w:szCs w:val="20"/>
          <w:lang w:val="es-PE"/>
        </w:rPr>
        <w:t>en la realización de identikit</w:t>
      </w:r>
      <w:r w:rsidR="00A45D97">
        <w:rPr>
          <w:rFonts w:ascii="Cambria" w:hAnsi="Cambria"/>
          <w:color w:val="000000" w:themeColor="text1"/>
          <w:sz w:val="20"/>
          <w:szCs w:val="20"/>
          <w:lang w:val="es-PE"/>
        </w:rPr>
        <w:t>s</w:t>
      </w:r>
      <w:r w:rsidR="000B5AE8" w:rsidRPr="008F5D93">
        <w:rPr>
          <w:rFonts w:ascii="Cambria" w:hAnsi="Cambria"/>
          <w:color w:val="000000" w:themeColor="text1"/>
          <w:sz w:val="20"/>
          <w:szCs w:val="20"/>
          <w:lang w:val="es-PE"/>
        </w:rPr>
        <w:t>, quienes se sumaron a las investigaciones. De conformidad con información recibida por una llamada anónima</w:t>
      </w:r>
      <w:r w:rsidR="00C21701" w:rsidRPr="008F5D93">
        <w:rPr>
          <w:rFonts w:ascii="Cambria" w:hAnsi="Cambria"/>
          <w:color w:val="000000" w:themeColor="text1"/>
          <w:sz w:val="20"/>
          <w:szCs w:val="20"/>
          <w:lang w:val="es-PE"/>
        </w:rPr>
        <w:t>, se realizó el identikit de dos de los presuntos autores del crimen</w:t>
      </w:r>
      <w:r w:rsidR="000F525A" w:rsidRPr="008F5D93">
        <w:rPr>
          <w:rFonts w:ascii="Cambria" w:hAnsi="Cambria"/>
          <w:color w:val="000000" w:themeColor="text1"/>
          <w:sz w:val="20"/>
          <w:szCs w:val="20"/>
          <w:lang w:val="es-PE"/>
        </w:rPr>
        <w:t xml:space="preserve">, el cual fue divulgado con las autoridades </w:t>
      </w:r>
      <w:r w:rsidR="00860860">
        <w:rPr>
          <w:rFonts w:ascii="Cambria" w:hAnsi="Cambria"/>
          <w:color w:val="000000" w:themeColor="text1"/>
          <w:sz w:val="20"/>
          <w:szCs w:val="20"/>
          <w:lang w:val="es-PE"/>
        </w:rPr>
        <w:t>brasileña</w:t>
      </w:r>
      <w:r w:rsidR="000F525A" w:rsidRPr="008F5D93">
        <w:rPr>
          <w:rFonts w:ascii="Cambria" w:hAnsi="Cambria"/>
          <w:color w:val="000000" w:themeColor="text1"/>
          <w:sz w:val="20"/>
          <w:szCs w:val="20"/>
          <w:lang w:val="es-PE"/>
        </w:rPr>
        <w:t>s</w:t>
      </w:r>
      <w:r w:rsidR="009A6C17" w:rsidRPr="008F5D93">
        <w:rPr>
          <w:rStyle w:val="FootnoteReference"/>
          <w:rFonts w:ascii="Cambria" w:hAnsi="Cambria"/>
          <w:color w:val="000000" w:themeColor="text1"/>
          <w:sz w:val="20"/>
          <w:szCs w:val="20"/>
          <w:lang w:val="es-PE"/>
        </w:rPr>
        <w:footnoteReference w:id="35"/>
      </w:r>
      <w:r w:rsidR="00C21701" w:rsidRPr="008F5D93">
        <w:rPr>
          <w:rFonts w:ascii="Cambria" w:hAnsi="Cambria"/>
          <w:color w:val="000000" w:themeColor="text1"/>
          <w:sz w:val="20"/>
          <w:szCs w:val="20"/>
          <w:lang w:val="es-PE"/>
        </w:rPr>
        <w:t xml:space="preserve">. </w:t>
      </w:r>
      <w:r w:rsidR="00B21380" w:rsidRPr="008F5D93">
        <w:rPr>
          <w:rFonts w:ascii="Cambria" w:hAnsi="Cambria"/>
          <w:color w:val="000000" w:themeColor="text1"/>
          <w:sz w:val="20"/>
          <w:szCs w:val="20"/>
          <w:lang w:val="es-PE"/>
        </w:rPr>
        <w:t>De igual manera</w:t>
      </w:r>
      <w:r w:rsidR="0036793C" w:rsidRPr="008F5D93">
        <w:rPr>
          <w:rFonts w:ascii="Cambria" w:hAnsi="Cambria"/>
          <w:color w:val="000000" w:themeColor="text1"/>
          <w:sz w:val="20"/>
          <w:szCs w:val="20"/>
          <w:lang w:val="es-PE"/>
        </w:rPr>
        <w:t>,</w:t>
      </w:r>
      <w:r w:rsidR="00B21380" w:rsidRPr="008F5D93">
        <w:rPr>
          <w:rFonts w:ascii="Cambria" w:hAnsi="Cambria"/>
          <w:color w:val="000000" w:themeColor="text1"/>
          <w:sz w:val="20"/>
          <w:szCs w:val="20"/>
          <w:lang w:val="es-PE"/>
        </w:rPr>
        <w:t xml:space="preserve"> </w:t>
      </w:r>
      <w:r w:rsidR="00495552" w:rsidRPr="008F5D93">
        <w:rPr>
          <w:rFonts w:ascii="Cambria" w:hAnsi="Cambria"/>
          <w:color w:val="000000" w:themeColor="text1"/>
          <w:sz w:val="20"/>
          <w:szCs w:val="20"/>
          <w:lang w:val="es-PE"/>
        </w:rPr>
        <w:t xml:space="preserve">100 hombres de las Fuerzas Armadas </w:t>
      </w:r>
      <w:r w:rsidR="0036793C" w:rsidRPr="008F5D93">
        <w:rPr>
          <w:rFonts w:ascii="Cambria" w:hAnsi="Cambria"/>
          <w:color w:val="000000" w:themeColor="text1"/>
          <w:sz w:val="20"/>
          <w:szCs w:val="20"/>
          <w:lang w:val="es-PE"/>
        </w:rPr>
        <w:t xml:space="preserve">reforzaron el Batallón </w:t>
      </w:r>
      <w:r w:rsidR="005D7C62" w:rsidRPr="008F5D93">
        <w:rPr>
          <w:rFonts w:ascii="Cambria" w:hAnsi="Cambria"/>
          <w:color w:val="000000" w:themeColor="text1"/>
          <w:sz w:val="20"/>
          <w:szCs w:val="20"/>
          <w:lang w:val="es-PE"/>
        </w:rPr>
        <w:t xml:space="preserve">de la Frontera No. 2 y junto con </w:t>
      </w:r>
      <w:r w:rsidR="00EA09E9" w:rsidRPr="008F5D93">
        <w:rPr>
          <w:rFonts w:ascii="Cambria" w:hAnsi="Cambria"/>
          <w:color w:val="000000" w:themeColor="text1"/>
          <w:sz w:val="20"/>
          <w:szCs w:val="20"/>
          <w:lang w:val="es-PE"/>
        </w:rPr>
        <w:t>funcionarios de la capital y del Amambay</w:t>
      </w:r>
      <w:r w:rsidR="00A45D97">
        <w:rPr>
          <w:rFonts w:ascii="Cambria" w:hAnsi="Cambria"/>
          <w:color w:val="000000" w:themeColor="text1"/>
          <w:sz w:val="20"/>
          <w:szCs w:val="20"/>
          <w:lang w:val="es-PE"/>
        </w:rPr>
        <w:t>,</w:t>
      </w:r>
      <w:r w:rsidR="00EA09E9" w:rsidRPr="008F5D93">
        <w:rPr>
          <w:rFonts w:ascii="Cambria" w:hAnsi="Cambria"/>
          <w:color w:val="000000" w:themeColor="text1"/>
          <w:sz w:val="20"/>
          <w:szCs w:val="20"/>
          <w:lang w:val="es-PE"/>
        </w:rPr>
        <w:t xml:space="preserve"> </w:t>
      </w:r>
      <w:r w:rsidR="003C39E1" w:rsidRPr="008F5D93">
        <w:rPr>
          <w:rFonts w:ascii="Cambria" w:hAnsi="Cambria"/>
          <w:color w:val="000000" w:themeColor="text1"/>
          <w:sz w:val="20"/>
          <w:szCs w:val="20"/>
          <w:lang w:val="es-PE"/>
        </w:rPr>
        <w:t xml:space="preserve">emprendieron la búsqueda de los presuntos autores </w:t>
      </w:r>
      <w:r w:rsidR="009B5A4B" w:rsidRPr="008F5D93">
        <w:rPr>
          <w:rFonts w:ascii="Cambria" w:hAnsi="Cambria"/>
          <w:color w:val="000000" w:themeColor="text1"/>
          <w:sz w:val="20"/>
          <w:szCs w:val="20"/>
          <w:lang w:val="es-PE"/>
        </w:rPr>
        <w:t>sin éxito</w:t>
      </w:r>
      <w:r w:rsidR="009B5A4B" w:rsidRPr="008F5D93">
        <w:rPr>
          <w:rStyle w:val="FootnoteReference"/>
          <w:rFonts w:ascii="Cambria" w:hAnsi="Cambria"/>
          <w:color w:val="000000" w:themeColor="text1"/>
          <w:sz w:val="20"/>
          <w:szCs w:val="20"/>
          <w:lang w:val="es-PE"/>
        </w:rPr>
        <w:footnoteReference w:id="36"/>
      </w:r>
      <w:r w:rsidR="009B5A4B" w:rsidRPr="008F5D93">
        <w:rPr>
          <w:rFonts w:ascii="Cambria" w:hAnsi="Cambria"/>
          <w:color w:val="000000" w:themeColor="text1"/>
          <w:sz w:val="20"/>
          <w:szCs w:val="20"/>
          <w:lang w:val="es-PE"/>
        </w:rPr>
        <w:t xml:space="preserve">. </w:t>
      </w:r>
    </w:p>
    <w:p w14:paraId="755B81D0" w14:textId="77777777" w:rsidR="00263E68" w:rsidRPr="008F5D93" w:rsidRDefault="00263E68" w:rsidP="007A0D4C">
      <w:pPr>
        <w:pStyle w:val="ListParagraph"/>
        <w:spacing w:before="0" w:after="0"/>
        <w:rPr>
          <w:color w:val="000000" w:themeColor="text1"/>
          <w:sz w:val="20"/>
          <w:szCs w:val="20"/>
          <w:lang w:val="es-PE"/>
        </w:rPr>
      </w:pPr>
    </w:p>
    <w:p w14:paraId="08FD9AE7" w14:textId="18E2E050" w:rsidR="00166A14" w:rsidRPr="008F5D93" w:rsidRDefault="00263E68"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8F5D93">
        <w:rPr>
          <w:rFonts w:ascii="Cambria" w:hAnsi="Cambria"/>
          <w:color w:val="000000" w:themeColor="text1"/>
          <w:sz w:val="20"/>
          <w:szCs w:val="20"/>
          <w:lang w:val="es-PE"/>
        </w:rPr>
        <w:t xml:space="preserve">El </w:t>
      </w:r>
      <w:r w:rsidR="003617B7" w:rsidRPr="008F5D93">
        <w:rPr>
          <w:rFonts w:ascii="Cambria" w:hAnsi="Cambria"/>
          <w:color w:val="000000" w:themeColor="text1"/>
          <w:sz w:val="20"/>
          <w:szCs w:val="20"/>
          <w:lang w:val="es-PE"/>
        </w:rPr>
        <w:t xml:space="preserve">9 de enero </w:t>
      </w:r>
      <w:r w:rsidR="00DB00B2" w:rsidRPr="008F5D93">
        <w:rPr>
          <w:rFonts w:ascii="Cambria" w:hAnsi="Cambria"/>
          <w:color w:val="000000" w:themeColor="text1"/>
          <w:sz w:val="20"/>
          <w:szCs w:val="20"/>
          <w:lang w:val="es-PE"/>
        </w:rPr>
        <w:t xml:space="preserve">de 1992 </w:t>
      </w:r>
      <w:r w:rsidR="00B91E56" w:rsidRPr="008F5D93">
        <w:rPr>
          <w:rFonts w:ascii="Cambria" w:hAnsi="Cambria"/>
          <w:color w:val="000000" w:themeColor="text1"/>
          <w:sz w:val="20"/>
          <w:szCs w:val="20"/>
          <w:lang w:val="es-PE"/>
        </w:rPr>
        <w:t>se solici</w:t>
      </w:r>
      <w:r w:rsidR="007325CB" w:rsidRPr="008F5D93">
        <w:rPr>
          <w:rFonts w:ascii="Cambria" w:hAnsi="Cambria"/>
          <w:color w:val="000000" w:themeColor="text1"/>
          <w:sz w:val="20"/>
          <w:szCs w:val="20"/>
          <w:lang w:val="es-PE"/>
        </w:rPr>
        <w:t xml:space="preserve">tó a autoridades </w:t>
      </w:r>
      <w:r w:rsidR="007E1200" w:rsidRPr="008F5D93">
        <w:rPr>
          <w:rFonts w:ascii="Cambria" w:hAnsi="Cambria"/>
          <w:color w:val="000000" w:themeColor="text1"/>
          <w:sz w:val="20"/>
          <w:szCs w:val="20"/>
          <w:lang w:val="es-PE"/>
        </w:rPr>
        <w:t xml:space="preserve">de la policía de </w:t>
      </w:r>
      <w:r w:rsidR="00A910B8">
        <w:rPr>
          <w:rFonts w:ascii="Cambria" w:hAnsi="Cambria"/>
          <w:color w:val="000000" w:themeColor="text1"/>
          <w:sz w:val="20"/>
          <w:szCs w:val="20"/>
          <w:lang w:val="es-PE"/>
        </w:rPr>
        <w:t>Ponta Porã</w:t>
      </w:r>
      <w:r w:rsidR="007E1200" w:rsidRPr="008F5D93">
        <w:rPr>
          <w:rFonts w:ascii="Cambria" w:hAnsi="Cambria"/>
          <w:color w:val="000000" w:themeColor="text1"/>
          <w:sz w:val="20"/>
          <w:szCs w:val="20"/>
          <w:lang w:val="es-PE"/>
        </w:rPr>
        <w:t xml:space="preserve"> </w:t>
      </w:r>
      <w:r w:rsidR="00B21667" w:rsidRPr="008F5D93">
        <w:rPr>
          <w:rFonts w:ascii="Cambria" w:hAnsi="Cambria"/>
          <w:color w:val="000000" w:themeColor="text1"/>
          <w:sz w:val="20"/>
          <w:szCs w:val="20"/>
          <w:lang w:val="es-PE"/>
        </w:rPr>
        <w:t xml:space="preserve">y de Campo Grande </w:t>
      </w:r>
      <w:r w:rsidR="00717E74" w:rsidRPr="008F5D93">
        <w:rPr>
          <w:rFonts w:ascii="Cambria" w:hAnsi="Cambria"/>
          <w:color w:val="000000" w:themeColor="text1"/>
          <w:sz w:val="20"/>
          <w:szCs w:val="20"/>
          <w:lang w:val="es-PE"/>
        </w:rPr>
        <w:t>en Br</w:t>
      </w:r>
      <w:r w:rsidR="004575CA" w:rsidRPr="008F5D93">
        <w:rPr>
          <w:rFonts w:ascii="Cambria" w:hAnsi="Cambria"/>
          <w:color w:val="000000" w:themeColor="text1"/>
          <w:sz w:val="20"/>
          <w:szCs w:val="20"/>
          <w:lang w:val="es-PE"/>
        </w:rPr>
        <w:t xml:space="preserve">asil </w:t>
      </w:r>
      <w:r w:rsidR="0067143F" w:rsidRPr="008F5D93">
        <w:rPr>
          <w:rFonts w:ascii="Cambria" w:hAnsi="Cambria"/>
          <w:color w:val="000000" w:themeColor="text1"/>
          <w:sz w:val="20"/>
          <w:szCs w:val="20"/>
          <w:lang w:val="es-PE"/>
        </w:rPr>
        <w:t xml:space="preserve">la confirmación de la detención de uno de los presuntos autores materiales del crimen de Santiago Leguizamón </w:t>
      </w:r>
      <w:r w:rsidR="00B06A36" w:rsidRPr="008F5D93">
        <w:rPr>
          <w:rFonts w:ascii="Cambria" w:hAnsi="Cambria"/>
          <w:color w:val="000000" w:themeColor="text1"/>
          <w:sz w:val="20"/>
          <w:szCs w:val="20"/>
          <w:lang w:val="es-PE"/>
        </w:rPr>
        <w:t xml:space="preserve">conocido como “tiro certo”. </w:t>
      </w:r>
      <w:r w:rsidR="005068CB" w:rsidRPr="008F5D93">
        <w:rPr>
          <w:rFonts w:ascii="Cambria" w:hAnsi="Cambria"/>
          <w:color w:val="000000" w:themeColor="text1"/>
          <w:sz w:val="20"/>
          <w:szCs w:val="20"/>
          <w:lang w:val="es-PE"/>
        </w:rPr>
        <w:t xml:space="preserve">El 16 de enero </w:t>
      </w:r>
      <w:r w:rsidR="00EA2FAE" w:rsidRPr="008F5D93">
        <w:rPr>
          <w:rFonts w:ascii="Cambria" w:hAnsi="Cambria"/>
          <w:color w:val="000000" w:themeColor="text1"/>
          <w:sz w:val="20"/>
          <w:szCs w:val="20"/>
          <w:lang w:val="es-PE"/>
        </w:rPr>
        <w:t>de 1992 el jefe de la policía del Amambay tu</w:t>
      </w:r>
      <w:r w:rsidR="002B4BE9" w:rsidRPr="008F5D93">
        <w:rPr>
          <w:rFonts w:ascii="Cambria" w:hAnsi="Cambria"/>
          <w:color w:val="000000" w:themeColor="text1"/>
          <w:sz w:val="20"/>
          <w:szCs w:val="20"/>
          <w:lang w:val="es-PE"/>
        </w:rPr>
        <w:t xml:space="preserve">vo una entrevista con el delegado del grupo de operaciones </w:t>
      </w:r>
      <w:r w:rsidR="00926BA7" w:rsidRPr="008F5D93">
        <w:rPr>
          <w:rFonts w:ascii="Cambria" w:hAnsi="Cambria"/>
          <w:color w:val="000000" w:themeColor="text1"/>
          <w:sz w:val="20"/>
          <w:szCs w:val="20"/>
          <w:lang w:val="es-PE"/>
        </w:rPr>
        <w:t>especiales de la Secretaría de Seguridad Pública del Estado de Mato Grosso</w:t>
      </w:r>
      <w:r w:rsidR="00980140">
        <w:rPr>
          <w:rFonts w:ascii="Cambria" w:hAnsi="Cambria"/>
          <w:color w:val="000000" w:themeColor="text1"/>
          <w:sz w:val="20"/>
          <w:szCs w:val="20"/>
          <w:lang w:val="es-PE"/>
        </w:rPr>
        <w:t xml:space="preserve"> (Brasil)</w:t>
      </w:r>
      <w:r w:rsidR="00926BA7" w:rsidRPr="008F5D93">
        <w:rPr>
          <w:rFonts w:ascii="Cambria" w:hAnsi="Cambria"/>
          <w:color w:val="000000" w:themeColor="text1"/>
          <w:sz w:val="20"/>
          <w:szCs w:val="20"/>
          <w:lang w:val="es-PE"/>
        </w:rPr>
        <w:t xml:space="preserve">, el cual confirmó que alias “tiro certo” </w:t>
      </w:r>
      <w:r w:rsidR="00E44137" w:rsidRPr="008F5D93">
        <w:rPr>
          <w:rFonts w:ascii="Cambria" w:hAnsi="Cambria"/>
          <w:color w:val="000000" w:themeColor="text1"/>
          <w:sz w:val="20"/>
          <w:szCs w:val="20"/>
          <w:lang w:val="es-PE"/>
        </w:rPr>
        <w:t xml:space="preserve">o “cacao” y otro presunto autor material, se encontraban detenidos </w:t>
      </w:r>
      <w:r w:rsidR="0093327C" w:rsidRPr="008F5D93">
        <w:rPr>
          <w:rFonts w:ascii="Cambria" w:hAnsi="Cambria"/>
          <w:color w:val="000000" w:themeColor="text1"/>
          <w:sz w:val="20"/>
          <w:szCs w:val="20"/>
          <w:lang w:val="es-PE"/>
        </w:rPr>
        <w:t>en la institución a su cargo por el homicidi</w:t>
      </w:r>
      <w:r w:rsidR="00213855" w:rsidRPr="008F5D93">
        <w:rPr>
          <w:rFonts w:ascii="Cambria" w:hAnsi="Cambria"/>
          <w:color w:val="000000" w:themeColor="text1"/>
          <w:sz w:val="20"/>
          <w:szCs w:val="20"/>
          <w:lang w:val="es-PE"/>
        </w:rPr>
        <w:t>o</w:t>
      </w:r>
      <w:r w:rsidR="0093327C" w:rsidRPr="008F5D93">
        <w:rPr>
          <w:rFonts w:ascii="Cambria" w:hAnsi="Cambria"/>
          <w:color w:val="000000" w:themeColor="text1"/>
          <w:sz w:val="20"/>
          <w:szCs w:val="20"/>
          <w:lang w:val="es-PE"/>
        </w:rPr>
        <w:t xml:space="preserve"> perpetrado contra un juez en Brasil</w:t>
      </w:r>
      <w:r w:rsidR="00213855" w:rsidRPr="008F5D93">
        <w:rPr>
          <w:rStyle w:val="FootnoteReference"/>
          <w:rFonts w:ascii="Cambria" w:hAnsi="Cambria"/>
          <w:color w:val="000000" w:themeColor="text1"/>
          <w:sz w:val="20"/>
          <w:szCs w:val="20"/>
          <w:lang w:val="es-PE"/>
        </w:rPr>
        <w:footnoteReference w:id="37"/>
      </w:r>
      <w:r w:rsidR="0093327C" w:rsidRPr="008F5D93">
        <w:rPr>
          <w:rFonts w:ascii="Cambria" w:hAnsi="Cambria"/>
          <w:color w:val="000000" w:themeColor="text1"/>
          <w:sz w:val="20"/>
          <w:szCs w:val="20"/>
          <w:lang w:val="es-PE"/>
        </w:rPr>
        <w:t xml:space="preserve">. </w:t>
      </w:r>
    </w:p>
    <w:p w14:paraId="6257EB10" w14:textId="77777777" w:rsidR="00E66AAA" w:rsidRPr="008F5D93" w:rsidRDefault="00E66AAA"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7B9BF4BF" w14:textId="0072ABA0" w:rsidR="00263E68" w:rsidRPr="00E13CAA" w:rsidRDefault="00166A14"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8F5D93">
        <w:rPr>
          <w:rFonts w:ascii="Cambria" w:hAnsi="Cambria"/>
          <w:color w:val="000000" w:themeColor="text1"/>
          <w:sz w:val="20"/>
          <w:szCs w:val="20"/>
          <w:lang w:val="es-PE"/>
        </w:rPr>
        <w:t xml:space="preserve">El </w:t>
      </w:r>
      <w:r w:rsidR="00263E68" w:rsidRPr="008F5D93">
        <w:rPr>
          <w:rFonts w:ascii="Cambria" w:hAnsi="Cambria"/>
          <w:color w:val="000000" w:themeColor="text1"/>
          <w:sz w:val="20"/>
          <w:szCs w:val="20"/>
          <w:lang w:val="es-PE"/>
        </w:rPr>
        <w:t xml:space="preserve">10 de febrero de </w:t>
      </w:r>
      <w:r w:rsidR="00E400BF" w:rsidRPr="008F5D93">
        <w:rPr>
          <w:rFonts w:ascii="Cambria" w:hAnsi="Cambria"/>
          <w:color w:val="000000" w:themeColor="text1"/>
          <w:sz w:val="20"/>
          <w:szCs w:val="20"/>
          <w:lang w:val="es-PE"/>
        </w:rPr>
        <w:t>1992</w:t>
      </w:r>
      <w:r w:rsidR="00263E68" w:rsidRPr="008F5D93">
        <w:rPr>
          <w:rFonts w:ascii="Cambria" w:hAnsi="Cambria"/>
          <w:color w:val="000000" w:themeColor="text1"/>
          <w:sz w:val="20"/>
          <w:szCs w:val="20"/>
          <w:lang w:val="es-PE"/>
        </w:rPr>
        <w:t xml:space="preserve">, el Juzgado libró seis exhortos a autoridades </w:t>
      </w:r>
      <w:r w:rsidR="00860860">
        <w:rPr>
          <w:rFonts w:ascii="Cambria" w:hAnsi="Cambria"/>
          <w:color w:val="000000" w:themeColor="text1"/>
          <w:sz w:val="20"/>
          <w:szCs w:val="20"/>
          <w:lang w:val="es-PE"/>
        </w:rPr>
        <w:t>brasileña</w:t>
      </w:r>
      <w:r w:rsidR="00263E68" w:rsidRPr="008F5D93">
        <w:rPr>
          <w:rFonts w:ascii="Cambria" w:hAnsi="Cambria"/>
          <w:color w:val="000000" w:themeColor="text1"/>
          <w:sz w:val="20"/>
          <w:szCs w:val="20"/>
          <w:lang w:val="es-PE"/>
        </w:rPr>
        <w:t xml:space="preserve">s policiales y judiciales del Estado de Mato Grosso, solicitando información </w:t>
      </w:r>
      <w:r w:rsidR="00A45D97">
        <w:rPr>
          <w:rFonts w:ascii="Cambria" w:hAnsi="Cambria"/>
          <w:color w:val="000000" w:themeColor="text1"/>
          <w:sz w:val="20"/>
          <w:szCs w:val="20"/>
          <w:lang w:val="es-PE"/>
        </w:rPr>
        <w:t>sobre la detención</w:t>
      </w:r>
      <w:r w:rsidR="00980140">
        <w:rPr>
          <w:rFonts w:ascii="Cambria" w:hAnsi="Cambria"/>
          <w:color w:val="000000" w:themeColor="text1"/>
          <w:sz w:val="20"/>
          <w:szCs w:val="20"/>
          <w:lang w:val="es-PE"/>
        </w:rPr>
        <w:t xml:space="preserve"> de</w:t>
      </w:r>
      <w:r w:rsidR="00A45D97">
        <w:rPr>
          <w:rFonts w:ascii="Cambria" w:hAnsi="Cambria"/>
          <w:color w:val="000000" w:themeColor="text1"/>
          <w:sz w:val="20"/>
          <w:szCs w:val="20"/>
          <w:lang w:val="es-PE"/>
        </w:rPr>
        <w:t xml:space="preserve"> </w:t>
      </w:r>
      <w:r w:rsidR="00263E68" w:rsidRPr="008F5D93">
        <w:rPr>
          <w:rFonts w:ascii="Cambria" w:hAnsi="Cambria"/>
          <w:color w:val="000000" w:themeColor="text1"/>
          <w:sz w:val="20"/>
          <w:szCs w:val="20"/>
          <w:lang w:val="es-PE"/>
        </w:rPr>
        <w:t xml:space="preserve">los procesados </w:t>
      </w:r>
      <w:r w:rsidR="00980140">
        <w:rPr>
          <w:rFonts w:ascii="Cambria" w:hAnsi="Cambria"/>
          <w:color w:val="000000" w:themeColor="text1"/>
          <w:sz w:val="20"/>
          <w:szCs w:val="20"/>
          <w:lang w:val="es-PE"/>
        </w:rPr>
        <w:t xml:space="preserve">y si estos </w:t>
      </w:r>
      <w:r w:rsidR="00263E68" w:rsidRPr="008F5D93">
        <w:rPr>
          <w:rFonts w:ascii="Cambria" w:hAnsi="Cambria"/>
          <w:color w:val="000000" w:themeColor="text1"/>
          <w:sz w:val="20"/>
          <w:szCs w:val="20"/>
          <w:lang w:val="es-PE"/>
        </w:rPr>
        <w:t>habían prestado declaración ante la jurisdicción de Brasil</w:t>
      </w:r>
      <w:r w:rsidR="00980140">
        <w:rPr>
          <w:rFonts w:ascii="Cambria" w:hAnsi="Cambria"/>
          <w:color w:val="000000" w:themeColor="text1"/>
          <w:sz w:val="20"/>
          <w:szCs w:val="20"/>
          <w:lang w:val="es-PE"/>
        </w:rPr>
        <w:t xml:space="preserve">. </w:t>
      </w:r>
      <w:r w:rsidR="00263E68" w:rsidRPr="008F5D93">
        <w:rPr>
          <w:rFonts w:ascii="Cambria" w:hAnsi="Cambria"/>
          <w:color w:val="000000" w:themeColor="text1"/>
          <w:sz w:val="20"/>
          <w:szCs w:val="20"/>
          <w:lang w:val="es-PE"/>
        </w:rPr>
        <w:t xml:space="preserve"> </w:t>
      </w:r>
      <w:r w:rsidR="00980140">
        <w:rPr>
          <w:rFonts w:ascii="Cambria" w:hAnsi="Cambria"/>
          <w:color w:val="000000" w:themeColor="text1"/>
          <w:sz w:val="20"/>
          <w:szCs w:val="20"/>
          <w:lang w:val="es-PE"/>
        </w:rPr>
        <w:t>E</w:t>
      </w:r>
      <w:r w:rsidR="00263E68" w:rsidRPr="008F5D93">
        <w:rPr>
          <w:rFonts w:ascii="Cambria" w:hAnsi="Cambria"/>
          <w:color w:val="000000" w:themeColor="text1"/>
          <w:sz w:val="20"/>
          <w:szCs w:val="20"/>
          <w:lang w:val="es-PE"/>
        </w:rPr>
        <w:t xml:space="preserve">n caso afirmativo, </w:t>
      </w:r>
      <w:r w:rsidR="00980140">
        <w:rPr>
          <w:rFonts w:ascii="Cambria" w:hAnsi="Cambria"/>
          <w:color w:val="000000" w:themeColor="text1"/>
          <w:sz w:val="20"/>
          <w:szCs w:val="20"/>
          <w:lang w:val="es-PE"/>
        </w:rPr>
        <w:t>el Juzgado</w:t>
      </w:r>
      <w:r w:rsidR="00263E68" w:rsidRPr="008F5D93">
        <w:rPr>
          <w:rFonts w:ascii="Cambria" w:hAnsi="Cambria"/>
          <w:color w:val="000000" w:themeColor="text1"/>
          <w:sz w:val="20"/>
          <w:szCs w:val="20"/>
          <w:lang w:val="es-PE"/>
        </w:rPr>
        <w:t xml:space="preserve"> requirió la remisión de copias autenticadas de dichos testimonios</w:t>
      </w:r>
      <w:r w:rsidR="0085135B" w:rsidRPr="008F5D93">
        <w:rPr>
          <w:rStyle w:val="FootnoteReference"/>
          <w:rFonts w:ascii="Cambria" w:hAnsi="Cambria"/>
          <w:color w:val="000000" w:themeColor="text1"/>
          <w:sz w:val="20"/>
          <w:szCs w:val="20"/>
          <w:lang w:val="es-PE"/>
        </w:rPr>
        <w:footnoteReference w:id="38"/>
      </w:r>
      <w:r w:rsidR="00263E68" w:rsidRPr="008F5D93">
        <w:rPr>
          <w:rFonts w:ascii="Cambria" w:hAnsi="Cambria"/>
          <w:color w:val="000000" w:themeColor="text1"/>
          <w:sz w:val="20"/>
          <w:szCs w:val="20"/>
          <w:lang w:val="es-PE"/>
        </w:rPr>
        <w:t xml:space="preserve">. </w:t>
      </w:r>
      <w:r w:rsidR="00833DCF" w:rsidRPr="008F5D93">
        <w:rPr>
          <w:rFonts w:ascii="Cambria" w:hAnsi="Cambria"/>
          <w:color w:val="000000" w:themeColor="text1"/>
          <w:sz w:val="20"/>
          <w:szCs w:val="20"/>
          <w:lang w:val="es-PE"/>
        </w:rPr>
        <w:t>Las</w:t>
      </w:r>
      <w:r w:rsidR="00263E68" w:rsidRPr="008F5D93">
        <w:rPr>
          <w:rFonts w:ascii="Cambria" w:hAnsi="Cambria"/>
          <w:color w:val="000000" w:themeColor="text1"/>
          <w:sz w:val="20"/>
          <w:szCs w:val="20"/>
          <w:lang w:val="es-PE"/>
        </w:rPr>
        <w:t xml:space="preserve"> solicitudes fueron devueltas por Brasil porque</w:t>
      </w:r>
      <w:r w:rsidR="00263E68" w:rsidRPr="007A0D4C">
        <w:rPr>
          <w:rFonts w:ascii="Cambria" w:hAnsi="Cambria"/>
          <w:color w:val="000000" w:themeColor="text1"/>
          <w:sz w:val="20"/>
          <w:szCs w:val="20"/>
          <w:lang w:val="es-PE"/>
        </w:rPr>
        <w:t xml:space="preserve"> no fueron remitidas por vía diplomática, no se siguieron los protocolos de remisión de exhortos judiciales de cooperación internacional y el exhorto no fue redactado en idioma portugués</w:t>
      </w:r>
      <w:r w:rsidR="0085135B" w:rsidRPr="007A0D4C">
        <w:rPr>
          <w:rStyle w:val="FootnoteReference"/>
          <w:rFonts w:ascii="Cambria" w:hAnsi="Cambria"/>
          <w:color w:val="000000" w:themeColor="text1"/>
          <w:sz w:val="20"/>
          <w:szCs w:val="20"/>
          <w:lang w:val="es-PE"/>
        </w:rPr>
        <w:footnoteReference w:id="39"/>
      </w:r>
      <w:r w:rsidR="0085135B" w:rsidRPr="007A0D4C">
        <w:rPr>
          <w:rFonts w:ascii="Cambria" w:hAnsi="Cambria"/>
          <w:color w:val="000000" w:themeColor="text1"/>
          <w:sz w:val="20"/>
          <w:szCs w:val="20"/>
          <w:lang w:val="es-PE"/>
        </w:rPr>
        <w:t>.</w:t>
      </w:r>
      <w:r w:rsidR="00263E68" w:rsidRPr="007A0D4C">
        <w:rPr>
          <w:rFonts w:ascii="Cambria" w:hAnsi="Cambria"/>
          <w:color w:val="000000" w:themeColor="text1"/>
          <w:sz w:val="20"/>
          <w:szCs w:val="20"/>
          <w:lang w:val="es-PE"/>
        </w:rPr>
        <w:t xml:space="preserve"> </w:t>
      </w:r>
      <w:r w:rsidR="00270B69" w:rsidRPr="007A0D4C">
        <w:rPr>
          <w:rFonts w:ascii="Cambria" w:hAnsi="Cambria"/>
          <w:color w:val="000000" w:themeColor="text1"/>
          <w:sz w:val="20"/>
          <w:szCs w:val="20"/>
          <w:lang w:val="es-PE"/>
        </w:rPr>
        <w:t xml:space="preserve">El </w:t>
      </w:r>
      <w:r w:rsidR="00EC7180" w:rsidRPr="007A0D4C">
        <w:rPr>
          <w:rFonts w:ascii="Cambria" w:hAnsi="Cambria"/>
          <w:color w:val="000000" w:themeColor="text1"/>
          <w:sz w:val="20"/>
          <w:szCs w:val="20"/>
          <w:lang w:val="es-PE"/>
        </w:rPr>
        <w:t xml:space="preserve">6 de abril de 1992 el </w:t>
      </w:r>
      <w:r w:rsidR="00270B69" w:rsidRPr="007A0D4C">
        <w:rPr>
          <w:rFonts w:ascii="Cambria" w:hAnsi="Cambria"/>
          <w:color w:val="000000" w:themeColor="text1"/>
          <w:sz w:val="20"/>
          <w:szCs w:val="20"/>
          <w:lang w:val="es-PE"/>
        </w:rPr>
        <w:t xml:space="preserve">Fiscal de la causa </w:t>
      </w:r>
      <w:r w:rsidR="00270B69" w:rsidRPr="00E13CAA">
        <w:rPr>
          <w:rFonts w:ascii="Cambria" w:hAnsi="Cambria"/>
          <w:color w:val="000000" w:themeColor="text1"/>
          <w:sz w:val="20"/>
          <w:szCs w:val="20"/>
          <w:lang w:val="es-PE"/>
        </w:rPr>
        <w:t>solicitó</w:t>
      </w:r>
      <w:r w:rsidR="00EC7180" w:rsidRPr="00E13CAA">
        <w:rPr>
          <w:rFonts w:ascii="Cambria" w:hAnsi="Cambria"/>
          <w:color w:val="000000" w:themeColor="text1"/>
          <w:sz w:val="20"/>
          <w:szCs w:val="20"/>
          <w:lang w:val="es-PE"/>
        </w:rPr>
        <w:t xml:space="preserve"> se cumplieran con los r</w:t>
      </w:r>
      <w:r w:rsidR="0003152F" w:rsidRPr="00E13CAA">
        <w:rPr>
          <w:rFonts w:ascii="Cambria" w:hAnsi="Cambria"/>
          <w:color w:val="000000" w:themeColor="text1"/>
          <w:sz w:val="20"/>
          <w:szCs w:val="20"/>
          <w:lang w:val="es-PE"/>
        </w:rPr>
        <w:t>e</w:t>
      </w:r>
      <w:r w:rsidR="00EC7180" w:rsidRPr="00E13CAA">
        <w:rPr>
          <w:rFonts w:ascii="Cambria" w:hAnsi="Cambria"/>
          <w:color w:val="000000" w:themeColor="text1"/>
          <w:sz w:val="20"/>
          <w:szCs w:val="20"/>
          <w:lang w:val="es-PE"/>
        </w:rPr>
        <w:t xml:space="preserve">quisitos citados y </w:t>
      </w:r>
      <w:r w:rsidR="0003152F" w:rsidRPr="00E13CAA">
        <w:rPr>
          <w:rFonts w:ascii="Cambria" w:hAnsi="Cambria"/>
          <w:color w:val="000000" w:themeColor="text1"/>
          <w:sz w:val="20"/>
          <w:szCs w:val="20"/>
          <w:lang w:val="es-PE"/>
        </w:rPr>
        <w:t>que el Juzgado dicte auto de prisión con fines de extradición en contra de los 14 procesados</w:t>
      </w:r>
      <w:r w:rsidR="0003152F" w:rsidRPr="00E13CAA">
        <w:rPr>
          <w:rStyle w:val="FootnoteReference"/>
          <w:rFonts w:ascii="Cambria" w:hAnsi="Cambria"/>
          <w:color w:val="000000" w:themeColor="text1"/>
          <w:sz w:val="20"/>
          <w:szCs w:val="20"/>
          <w:lang w:val="es-PE"/>
        </w:rPr>
        <w:footnoteReference w:id="40"/>
      </w:r>
      <w:r w:rsidR="0003152F" w:rsidRPr="00E13CAA">
        <w:rPr>
          <w:rFonts w:ascii="Cambria" w:hAnsi="Cambria"/>
          <w:color w:val="000000" w:themeColor="text1"/>
          <w:sz w:val="20"/>
          <w:szCs w:val="20"/>
          <w:lang w:val="es-PE"/>
        </w:rPr>
        <w:t>.</w:t>
      </w:r>
    </w:p>
    <w:p w14:paraId="68CDDE29" w14:textId="77777777" w:rsidR="002F711B" w:rsidRPr="00E13CAA" w:rsidRDefault="002F711B"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3AFCE464" w14:textId="51A3C219" w:rsidR="00C912B2" w:rsidRPr="00E13CAA" w:rsidRDefault="00B85D18"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El 18 de febrero de 1992, a solicitud del Ministerio Público</w:t>
      </w:r>
      <w:r w:rsidR="001645CA" w:rsidRPr="00E13CAA">
        <w:rPr>
          <w:rStyle w:val="FootnoteReference"/>
          <w:rFonts w:ascii="Cambria" w:hAnsi="Cambria"/>
          <w:color w:val="000000" w:themeColor="text1"/>
          <w:sz w:val="20"/>
          <w:szCs w:val="20"/>
          <w:lang w:val="es-PE"/>
        </w:rPr>
        <w:footnoteReference w:id="41"/>
      </w:r>
      <w:r w:rsidRPr="00E13CAA">
        <w:rPr>
          <w:rFonts w:ascii="Cambria" w:hAnsi="Cambria"/>
          <w:color w:val="000000" w:themeColor="text1"/>
          <w:sz w:val="20"/>
          <w:szCs w:val="20"/>
          <w:lang w:val="es-PE"/>
        </w:rPr>
        <w:t xml:space="preserve"> y </w:t>
      </w:r>
      <w:r w:rsidR="00CE11B8" w:rsidRPr="00E13CAA">
        <w:rPr>
          <w:rFonts w:ascii="Cambria" w:hAnsi="Cambria"/>
          <w:color w:val="000000" w:themeColor="text1"/>
          <w:sz w:val="20"/>
          <w:szCs w:val="20"/>
          <w:lang w:val="es-PE"/>
        </w:rPr>
        <w:t>con</w:t>
      </w:r>
      <w:r w:rsidRPr="00E13CAA">
        <w:rPr>
          <w:rFonts w:ascii="Cambria" w:hAnsi="Cambria"/>
          <w:color w:val="000000" w:themeColor="text1"/>
          <w:sz w:val="20"/>
          <w:szCs w:val="20"/>
          <w:lang w:val="es-PE"/>
        </w:rPr>
        <w:t xml:space="preserve"> base </w:t>
      </w:r>
      <w:r w:rsidR="00CE11B8" w:rsidRPr="00E13CAA">
        <w:rPr>
          <w:rFonts w:ascii="Cambria" w:hAnsi="Cambria"/>
          <w:color w:val="000000" w:themeColor="text1"/>
          <w:sz w:val="20"/>
          <w:szCs w:val="20"/>
          <w:lang w:val="es-PE"/>
        </w:rPr>
        <w:t>en</w:t>
      </w:r>
      <w:r w:rsidRPr="00E13CAA">
        <w:rPr>
          <w:rFonts w:ascii="Cambria" w:hAnsi="Cambria"/>
          <w:color w:val="000000" w:themeColor="text1"/>
          <w:sz w:val="20"/>
          <w:szCs w:val="20"/>
          <w:lang w:val="es-PE"/>
        </w:rPr>
        <w:t xml:space="preserve"> publicaciones periodísticas</w:t>
      </w:r>
      <w:r w:rsidR="00C74A08" w:rsidRPr="00E13CAA">
        <w:rPr>
          <w:rStyle w:val="FootnoteReference"/>
          <w:rFonts w:ascii="Cambria" w:hAnsi="Cambria"/>
          <w:color w:val="000000" w:themeColor="text1"/>
          <w:sz w:val="20"/>
          <w:szCs w:val="20"/>
          <w:lang w:val="es-PE"/>
        </w:rPr>
        <w:footnoteReference w:id="42"/>
      </w:r>
      <w:r w:rsidRPr="00E13CAA">
        <w:rPr>
          <w:rFonts w:ascii="Cambria" w:hAnsi="Cambria"/>
          <w:color w:val="000000" w:themeColor="text1"/>
          <w:sz w:val="20"/>
          <w:szCs w:val="20"/>
          <w:lang w:val="es-PE"/>
        </w:rPr>
        <w:t xml:space="preserve"> previas, el Juzgado resolvió ampliar el sumario</w:t>
      </w:r>
      <w:r w:rsidR="004057E7" w:rsidRPr="00E13CAA">
        <w:rPr>
          <w:rFonts w:ascii="Cambria" w:hAnsi="Cambria"/>
          <w:color w:val="000000" w:themeColor="text1"/>
          <w:sz w:val="20"/>
          <w:szCs w:val="20"/>
          <w:lang w:val="es-PE"/>
        </w:rPr>
        <w:t xml:space="preserve">, </w:t>
      </w:r>
      <w:r w:rsidRPr="00E13CAA">
        <w:rPr>
          <w:rFonts w:ascii="Cambria" w:hAnsi="Cambria"/>
          <w:color w:val="000000" w:themeColor="text1"/>
          <w:sz w:val="20"/>
          <w:szCs w:val="20"/>
          <w:lang w:val="es-PE"/>
        </w:rPr>
        <w:t xml:space="preserve">dictar </w:t>
      </w:r>
      <w:r w:rsidR="00AB63F4" w:rsidRPr="00E13CAA">
        <w:rPr>
          <w:rFonts w:ascii="Cambria" w:hAnsi="Cambria"/>
          <w:color w:val="000000" w:themeColor="text1"/>
          <w:sz w:val="20"/>
          <w:szCs w:val="20"/>
          <w:lang w:val="es-PE"/>
        </w:rPr>
        <w:t>órdenes</w:t>
      </w:r>
      <w:r w:rsidRPr="00E13CAA">
        <w:rPr>
          <w:rFonts w:ascii="Cambria" w:hAnsi="Cambria"/>
          <w:color w:val="000000" w:themeColor="text1"/>
          <w:sz w:val="20"/>
          <w:szCs w:val="20"/>
          <w:lang w:val="es-PE"/>
        </w:rPr>
        <w:t xml:space="preserve"> de </w:t>
      </w:r>
      <w:r w:rsidR="00AB63F4" w:rsidRPr="00E13CAA">
        <w:rPr>
          <w:rFonts w:ascii="Cambria" w:hAnsi="Cambria"/>
          <w:color w:val="000000" w:themeColor="text1"/>
          <w:sz w:val="20"/>
          <w:szCs w:val="20"/>
          <w:lang w:val="es-PE"/>
        </w:rPr>
        <w:t xml:space="preserve">captura </w:t>
      </w:r>
      <w:r w:rsidR="004057E7" w:rsidRPr="00E13CAA">
        <w:rPr>
          <w:rFonts w:ascii="Cambria" w:hAnsi="Cambria"/>
          <w:color w:val="000000" w:themeColor="text1"/>
          <w:sz w:val="20"/>
          <w:szCs w:val="20"/>
          <w:lang w:val="es-PE"/>
        </w:rPr>
        <w:t xml:space="preserve">y prisión preventiva </w:t>
      </w:r>
      <w:r w:rsidRPr="00E13CAA">
        <w:rPr>
          <w:rFonts w:ascii="Cambria" w:hAnsi="Cambria"/>
          <w:color w:val="000000" w:themeColor="text1"/>
          <w:sz w:val="20"/>
          <w:szCs w:val="20"/>
          <w:lang w:val="es-PE"/>
        </w:rPr>
        <w:t xml:space="preserve">en contra de 14 </w:t>
      </w:r>
      <w:r w:rsidRPr="00E13CAA">
        <w:rPr>
          <w:rFonts w:ascii="Cambria" w:hAnsi="Cambria"/>
          <w:color w:val="000000" w:themeColor="text1"/>
          <w:sz w:val="20"/>
          <w:szCs w:val="20"/>
          <w:lang w:val="es-PE"/>
        </w:rPr>
        <w:lastRenderedPageBreak/>
        <w:t>ciudadanos brasileños</w:t>
      </w:r>
      <w:r w:rsidR="00D1142D" w:rsidRPr="00E13CAA">
        <w:rPr>
          <w:rStyle w:val="FootnoteReference"/>
          <w:rFonts w:ascii="Cambria" w:hAnsi="Cambria"/>
          <w:color w:val="000000" w:themeColor="text1"/>
          <w:sz w:val="20"/>
          <w:szCs w:val="20"/>
          <w:lang w:val="es-PE"/>
        </w:rPr>
        <w:footnoteReference w:id="43"/>
      </w:r>
      <w:r w:rsidR="00E72C14" w:rsidRPr="00E13CAA">
        <w:rPr>
          <w:rFonts w:ascii="Cambria" w:hAnsi="Cambria"/>
          <w:color w:val="000000" w:themeColor="text1"/>
          <w:sz w:val="20"/>
          <w:szCs w:val="20"/>
          <w:lang w:val="es-PE"/>
        </w:rPr>
        <w:t>.</w:t>
      </w:r>
      <w:r w:rsidR="00693FCD" w:rsidRPr="00E13CAA">
        <w:rPr>
          <w:rFonts w:ascii="Cambria" w:hAnsi="Cambria"/>
          <w:color w:val="000000" w:themeColor="text1"/>
          <w:sz w:val="20"/>
          <w:szCs w:val="20"/>
          <w:lang w:val="es-PE"/>
        </w:rPr>
        <w:t xml:space="preserve"> Los 14 procesados </w:t>
      </w:r>
      <w:r w:rsidRPr="00E13CAA">
        <w:rPr>
          <w:rFonts w:ascii="Cambria" w:hAnsi="Cambria"/>
          <w:color w:val="000000" w:themeColor="text1"/>
          <w:sz w:val="20"/>
          <w:szCs w:val="20"/>
          <w:lang w:val="es-PE"/>
        </w:rPr>
        <w:t>fueron declarados prófugos de la justicia</w:t>
      </w:r>
      <w:r w:rsidR="00217797" w:rsidRPr="00E13CAA">
        <w:rPr>
          <w:rFonts w:ascii="Cambria" w:hAnsi="Cambria"/>
          <w:color w:val="000000" w:themeColor="text1"/>
          <w:sz w:val="20"/>
          <w:szCs w:val="20"/>
          <w:lang w:val="es-PE"/>
        </w:rPr>
        <w:t>. Se l</w:t>
      </w:r>
      <w:r w:rsidR="00D336EE" w:rsidRPr="00E13CAA">
        <w:rPr>
          <w:rFonts w:ascii="Cambria" w:hAnsi="Cambria"/>
          <w:color w:val="000000" w:themeColor="text1"/>
          <w:sz w:val="20"/>
          <w:szCs w:val="20"/>
          <w:lang w:val="es-PE"/>
        </w:rPr>
        <w:t>i</w:t>
      </w:r>
      <w:r w:rsidR="00217797" w:rsidRPr="00E13CAA">
        <w:rPr>
          <w:rFonts w:ascii="Cambria" w:hAnsi="Cambria"/>
          <w:color w:val="000000" w:themeColor="text1"/>
          <w:sz w:val="20"/>
          <w:szCs w:val="20"/>
          <w:lang w:val="es-PE"/>
        </w:rPr>
        <w:t>braron</w:t>
      </w:r>
      <w:r w:rsidR="00D336EE" w:rsidRPr="00E13CAA">
        <w:rPr>
          <w:rFonts w:ascii="Cambria" w:hAnsi="Cambria"/>
          <w:color w:val="000000" w:themeColor="text1"/>
          <w:sz w:val="20"/>
          <w:szCs w:val="20"/>
          <w:lang w:val="es-PE"/>
        </w:rPr>
        <w:t xml:space="preserve"> </w:t>
      </w:r>
      <w:r w:rsidR="00BB7FD3" w:rsidRPr="00E13CAA">
        <w:rPr>
          <w:rFonts w:ascii="Cambria" w:hAnsi="Cambria"/>
          <w:color w:val="000000" w:themeColor="text1"/>
          <w:sz w:val="20"/>
          <w:szCs w:val="20"/>
          <w:lang w:val="es-PE"/>
        </w:rPr>
        <w:t xml:space="preserve">las órdenes </w:t>
      </w:r>
      <w:r w:rsidR="004069D8">
        <w:rPr>
          <w:rFonts w:ascii="Cambria" w:hAnsi="Cambria"/>
          <w:color w:val="000000" w:themeColor="text1"/>
          <w:sz w:val="20"/>
          <w:szCs w:val="20"/>
          <w:lang w:val="es-PE"/>
        </w:rPr>
        <w:t xml:space="preserve">de </w:t>
      </w:r>
      <w:r w:rsidR="00BB7FD3" w:rsidRPr="00E13CAA">
        <w:rPr>
          <w:rFonts w:ascii="Cambria" w:hAnsi="Cambria"/>
          <w:color w:val="000000" w:themeColor="text1"/>
          <w:sz w:val="20"/>
          <w:szCs w:val="20"/>
          <w:lang w:val="es-PE"/>
        </w:rPr>
        <w:t xml:space="preserve">captura correspondientes y se notificó </w:t>
      </w:r>
      <w:r w:rsidRPr="00E13CAA">
        <w:rPr>
          <w:rFonts w:ascii="Cambria" w:hAnsi="Cambria"/>
          <w:color w:val="000000" w:themeColor="text1"/>
          <w:sz w:val="20"/>
          <w:szCs w:val="20"/>
          <w:lang w:val="es-PE"/>
        </w:rPr>
        <w:t>a la oficina de la Interpol en Asunción</w:t>
      </w:r>
      <w:r w:rsidR="00D81B6C" w:rsidRPr="00E13CAA">
        <w:rPr>
          <w:rStyle w:val="FootnoteReference"/>
          <w:rFonts w:ascii="Cambria" w:hAnsi="Cambria"/>
          <w:color w:val="000000" w:themeColor="text1"/>
          <w:sz w:val="20"/>
          <w:szCs w:val="20"/>
          <w:lang w:val="es-PE"/>
        </w:rPr>
        <w:footnoteReference w:id="44"/>
      </w:r>
      <w:r w:rsidR="00A76A18" w:rsidRPr="00E13CAA">
        <w:rPr>
          <w:rFonts w:ascii="Cambria" w:hAnsi="Cambria"/>
          <w:color w:val="000000" w:themeColor="text1"/>
          <w:sz w:val="20"/>
          <w:szCs w:val="20"/>
          <w:lang w:val="es-PE"/>
        </w:rPr>
        <w:t>.</w:t>
      </w:r>
      <w:r w:rsidRPr="00E13CAA">
        <w:rPr>
          <w:rFonts w:ascii="Cambria" w:hAnsi="Cambria"/>
          <w:color w:val="000000" w:themeColor="text1"/>
          <w:sz w:val="20"/>
          <w:szCs w:val="20"/>
          <w:lang w:val="es-PE"/>
        </w:rPr>
        <w:t xml:space="preserve"> </w:t>
      </w:r>
      <w:r w:rsidR="002F711B" w:rsidRPr="00E13CAA">
        <w:rPr>
          <w:rFonts w:ascii="Cambria" w:hAnsi="Cambria"/>
          <w:color w:val="000000" w:themeColor="text1"/>
          <w:sz w:val="20"/>
          <w:szCs w:val="20"/>
          <w:lang w:val="es-PE"/>
        </w:rPr>
        <w:t xml:space="preserve">El 16 de marzo de 1992 el proceso se tituló </w:t>
      </w:r>
      <w:r w:rsidR="00532E0C" w:rsidRPr="00E13CAA">
        <w:rPr>
          <w:rFonts w:ascii="Cambria" w:hAnsi="Cambria"/>
          <w:color w:val="000000" w:themeColor="text1"/>
          <w:sz w:val="20"/>
          <w:szCs w:val="20"/>
          <w:lang w:val="es-PE"/>
        </w:rPr>
        <w:t>“Daniel Alvarez George y otros</w:t>
      </w:r>
      <w:r w:rsidR="00F64EA2" w:rsidRPr="00E13CAA">
        <w:rPr>
          <w:rFonts w:ascii="Cambria" w:hAnsi="Cambria"/>
          <w:color w:val="000000" w:themeColor="text1"/>
          <w:sz w:val="20"/>
          <w:szCs w:val="20"/>
          <w:lang w:val="es-PE"/>
        </w:rPr>
        <w:t xml:space="preserve"> s/</w:t>
      </w:r>
      <w:r w:rsidR="003A0E5E" w:rsidRPr="00E13CAA">
        <w:rPr>
          <w:rFonts w:ascii="Cambria" w:hAnsi="Cambria"/>
          <w:color w:val="000000" w:themeColor="text1"/>
          <w:sz w:val="20"/>
          <w:szCs w:val="20"/>
          <w:lang w:val="es-PE"/>
        </w:rPr>
        <w:t>homicidio en esta ciudad</w:t>
      </w:r>
      <w:r w:rsidR="00532E0C" w:rsidRPr="00E13CAA">
        <w:rPr>
          <w:rFonts w:ascii="Cambria" w:hAnsi="Cambria"/>
          <w:color w:val="000000" w:themeColor="text1"/>
          <w:sz w:val="20"/>
          <w:szCs w:val="20"/>
          <w:lang w:val="es-PE"/>
        </w:rPr>
        <w:t>”</w:t>
      </w:r>
      <w:r w:rsidR="00126053" w:rsidRPr="00E13CAA">
        <w:rPr>
          <w:rStyle w:val="FootnoteReference"/>
          <w:rFonts w:ascii="Cambria" w:hAnsi="Cambria"/>
          <w:color w:val="000000" w:themeColor="text1"/>
          <w:sz w:val="20"/>
          <w:szCs w:val="20"/>
          <w:lang w:val="es-PE"/>
        </w:rPr>
        <w:footnoteReference w:id="45"/>
      </w:r>
      <w:r w:rsidR="003A0E5E" w:rsidRPr="00E13CAA">
        <w:rPr>
          <w:rFonts w:ascii="Cambria" w:hAnsi="Cambria"/>
          <w:color w:val="000000" w:themeColor="text1"/>
          <w:sz w:val="20"/>
          <w:szCs w:val="20"/>
          <w:lang w:val="es-PE"/>
        </w:rPr>
        <w:t>.</w:t>
      </w:r>
    </w:p>
    <w:p w14:paraId="06A126B0" w14:textId="77777777" w:rsidR="003A0E5E" w:rsidRPr="00E13CAA" w:rsidRDefault="003A0E5E"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3F13CE03" w14:textId="77D213F9" w:rsidR="00767C38" w:rsidRPr="007A0D4C" w:rsidRDefault="00836E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 xml:space="preserve">El 2 de marzo de 1992 la Policía Nacional confirmó al </w:t>
      </w:r>
      <w:r w:rsidR="00980140">
        <w:rPr>
          <w:rFonts w:ascii="Cambria" w:hAnsi="Cambria"/>
          <w:color w:val="000000" w:themeColor="text1"/>
          <w:sz w:val="20"/>
          <w:szCs w:val="20"/>
          <w:lang w:val="es-PE"/>
        </w:rPr>
        <w:t>Juzgado</w:t>
      </w:r>
      <w:r w:rsidRPr="007A0D4C">
        <w:rPr>
          <w:rFonts w:ascii="Cambria" w:hAnsi="Cambria"/>
          <w:color w:val="000000" w:themeColor="text1"/>
          <w:sz w:val="20"/>
          <w:szCs w:val="20"/>
          <w:lang w:val="es-PE"/>
        </w:rPr>
        <w:t xml:space="preserve"> la impartición de la orden de captura en contra de los procesados en todo el territorio de la jurisdicción de Paraguay</w:t>
      </w:r>
      <w:r w:rsidR="002B2F97" w:rsidRPr="007A0D4C">
        <w:rPr>
          <w:rStyle w:val="FootnoteReference"/>
          <w:rFonts w:ascii="Cambria" w:hAnsi="Cambria"/>
          <w:color w:val="000000" w:themeColor="text1"/>
          <w:sz w:val="20"/>
          <w:szCs w:val="20"/>
          <w:lang w:val="es-PE"/>
        </w:rPr>
        <w:footnoteReference w:id="46"/>
      </w:r>
      <w:r w:rsidR="0018799E"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 xml:space="preserve"> </w:t>
      </w:r>
      <w:r w:rsidR="00C63A34" w:rsidRPr="007A0D4C">
        <w:rPr>
          <w:rFonts w:ascii="Cambria" w:hAnsi="Cambria"/>
          <w:color w:val="000000" w:themeColor="text1"/>
          <w:sz w:val="20"/>
          <w:szCs w:val="20"/>
          <w:lang w:val="es-PE"/>
        </w:rPr>
        <w:t xml:space="preserve">El 3 de abril </w:t>
      </w:r>
      <w:r w:rsidR="002955F4" w:rsidRPr="007A0D4C">
        <w:rPr>
          <w:rFonts w:ascii="Cambria" w:hAnsi="Cambria"/>
          <w:color w:val="000000" w:themeColor="text1"/>
          <w:sz w:val="20"/>
          <w:szCs w:val="20"/>
          <w:lang w:val="es-PE"/>
        </w:rPr>
        <w:t>de 1992</w:t>
      </w:r>
      <w:r w:rsidR="00623AE3"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 xml:space="preserve">el jefe del departamento de la </w:t>
      </w:r>
      <w:r w:rsidR="00623AE3" w:rsidRPr="007A0D4C">
        <w:rPr>
          <w:rFonts w:ascii="Cambria" w:hAnsi="Cambria"/>
          <w:color w:val="000000" w:themeColor="text1"/>
          <w:sz w:val="20"/>
          <w:szCs w:val="20"/>
          <w:lang w:val="es-PE"/>
        </w:rPr>
        <w:t>Interpol</w:t>
      </w:r>
      <w:r w:rsidRPr="007A0D4C">
        <w:rPr>
          <w:rFonts w:ascii="Cambria" w:hAnsi="Cambria"/>
          <w:color w:val="000000" w:themeColor="text1"/>
          <w:sz w:val="20"/>
          <w:szCs w:val="20"/>
          <w:lang w:val="es-PE"/>
        </w:rPr>
        <w:t xml:space="preserve"> de la Policía Nacional de Paraguay informó al </w:t>
      </w:r>
      <w:r w:rsidR="00980140">
        <w:rPr>
          <w:rFonts w:ascii="Cambria" w:hAnsi="Cambria"/>
          <w:color w:val="000000" w:themeColor="text1"/>
          <w:sz w:val="20"/>
          <w:szCs w:val="20"/>
          <w:lang w:val="es-PE"/>
        </w:rPr>
        <w:t>Juzgado</w:t>
      </w:r>
      <w:r w:rsidRPr="007A0D4C">
        <w:rPr>
          <w:rFonts w:ascii="Cambria" w:hAnsi="Cambria"/>
          <w:color w:val="000000" w:themeColor="text1"/>
          <w:sz w:val="20"/>
          <w:szCs w:val="20"/>
          <w:lang w:val="es-PE"/>
        </w:rPr>
        <w:t xml:space="preserve"> que no se podría dictar la orden de captura a nivel internacional sin que </w:t>
      </w:r>
      <w:r w:rsidR="004069D8">
        <w:rPr>
          <w:rFonts w:ascii="Cambria" w:hAnsi="Cambria"/>
          <w:color w:val="000000" w:themeColor="text1"/>
          <w:sz w:val="20"/>
          <w:szCs w:val="20"/>
          <w:lang w:val="es-PE"/>
        </w:rPr>
        <w:t xml:space="preserve">se </w:t>
      </w:r>
      <w:r w:rsidR="00C77806" w:rsidRPr="007A0D4C">
        <w:rPr>
          <w:rFonts w:ascii="Cambria" w:hAnsi="Cambria"/>
          <w:color w:val="000000" w:themeColor="text1"/>
          <w:sz w:val="20"/>
          <w:szCs w:val="20"/>
          <w:lang w:val="es-PE"/>
        </w:rPr>
        <w:t>les proporci</w:t>
      </w:r>
      <w:r w:rsidR="004069D8">
        <w:rPr>
          <w:rFonts w:ascii="Cambria" w:hAnsi="Cambria"/>
          <w:color w:val="000000" w:themeColor="text1"/>
          <w:sz w:val="20"/>
          <w:szCs w:val="20"/>
          <w:lang w:val="es-PE"/>
        </w:rPr>
        <w:t>onaran</w:t>
      </w:r>
      <w:r w:rsidRPr="007A0D4C">
        <w:rPr>
          <w:rFonts w:ascii="Cambria" w:hAnsi="Cambria"/>
          <w:color w:val="000000" w:themeColor="text1"/>
          <w:sz w:val="20"/>
          <w:szCs w:val="20"/>
          <w:lang w:val="es-PE"/>
        </w:rPr>
        <w:t xml:space="preserve"> los datos de filiación completos de los encausados, una relación de los hechos imputados por Paraguay, la tipificación y posible pena aplicable al delito y la debida constancia </w:t>
      </w:r>
      <w:r w:rsidR="004069D8">
        <w:rPr>
          <w:rFonts w:ascii="Cambria" w:hAnsi="Cambria"/>
          <w:color w:val="000000" w:themeColor="text1"/>
          <w:sz w:val="20"/>
          <w:szCs w:val="20"/>
          <w:lang w:val="es-PE"/>
        </w:rPr>
        <w:t xml:space="preserve">de </w:t>
      </w:r>
      <w:r w:rsidRPr="007A0D4C">
        <w:rPr>
          <w:rFonts w:ascii="Cambria" w:hAnsi="Cambria"/>
          <w:color w:val="000000" w:themeColor="text1"/>
          <w:sz w:val="20"/>
          <w:szCs w:val="20"/>
          <w:lang w:val="es-PE"/>
        </w:rPr>
        <w:t>que</w:t>
      </w:r>
      <w:r w:rsidR="006638C3" w:rsidRPr="007A0D4C">
        <w:rPr>
          <w:rFonts w:ascii="Cambria" w:hAnsi="Cambria"/>
          <w:color w:val="000000" w:themeColor="text1"/>
          <w:sz w:val="20"/>
          <w:szCs w:val="20"/>
          <w:lang w:val="es-PE"/>
        </w:rPr>
        <w:t>,</w:t>
      </w:r>
      <w:r w:rsidRPr="007A0D4C">
        <w:rPr>
          <w:rFonts w:ascii="Cambria" w:hAnsi="Cambria"/>
          <w:color w:val="000000" w:themeColor="text1"/>
          <w:sz w:val="20"/>
          <w:szCs w:val="20"/>
          <w:lang w:val="es-PE"/>
        </w:rPr>
        <w:t xml:space="preserve"> en caso de ser localizados, se solicitar</w:t>
      </w:r>
      <w:r w:rsidR="004069D8">
        <w:rPr>
          <w:rFonts w:ascii="Cambria" w:hAnsi="Cambria"/>
          <w:color w:val="000000" w:themeColor="text1"/>
          <w:sz w:val="20"/>
          <w:szCs w:val="20"/>
          <w:lang w:val="es-PE"/>
        </w:rPr>
        <w:t>ía</w:t>
      </w:r>
      <w:r w:rsidRPr="007A0D4C">
        <w:rPr>
          <w:rFonts w:ascii="Cambria" w:hAnsi="Cambria"/>
          <w:color w:val="000000" w:themeColor="text1"/>
          <w:sz w:val="20"/>
          <w:szCs w:val="20"/>
          <w:lang w:val="es-PE"/>
        </w:rPr>
        <w:t xml:space="preserve"> la detención preventiva con fines de extradición</w:t>
      </w:r>
      <w:r w:rsidR="00D94D5E" w:rsidRPr="007A0D4C">
        <w:rPr>
          <w:rFonts w:ascii="Cambria" w:hAnsi="Cambria"/>
          <w:color w:val="000000" w:themeColor="text1"/>
          <w:sz w:val="20"/>
          <w:szCs w:val="20"/>
          <w:lang w:val="es-PE"/>
        </w:rPr>
        <w:t>.</w:t>
      </w:r>
      <w:r w:rsidR="004664F6"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 xml:space="preserve">El 22 de mayo de 1992 el </w:t>
      </w:r>
      <w:r w:rsidR="00980140">
        <w:rPr>
          <w:rFonts w:ascii="Cambria" w:hAnsi="Cambria"/>
          <w:color w:val="000000" w:themeColor="text1"/>
          <w:sz w:val="20"/>
          <w:szCs w:val="20"/>
          <w:lang w:val="es-PE"/>
        </w:rPr>
        <w:t>Juzgado</w:t>
      </w:r>
      <w:r w:rsidRPr="007A0D4C">
        <w:rPr>
          <w:rFonts w:ascii="Cambria" w:hAnsi="Cambria"/>
          <w:color w:val="000000" w:themeColor="text1"/>
          <w:sz w:val="20"/>
          <w:szCs w:val="20"/>
          <w:lang w:val="es-PE"/>
        </w:rPr>
        <w:t xml:space="preserve"> reiteró la orden de captura en todo el territorio paraguayo y la orden de captura internacional</w:t>
      </w:r>
      <w:r w:rsidR="00D94D5E" w:rsidRPr="007A0D4C">
        <w:rPr>
          <w:rStyle w:val="FootnoteReference"/>
          <w:rFonts w:ascii="Cambria" w:hAnsi="Cambria"/>
          <w:color w:val="000000" w:themeColor="text1"/>
          <w:sz w:val="20"/>
          <w:szCs w:val="20"/>
          <w:lang w:val="es-PE"/>
        </w:rPr>
        <w:footnoteReference w:id="47"/>
      </w:r>
      <w:r w:rsidR="00D94D5E" w:rsidRPr="007A0D4C">
        <w:rPr>
          <w:rFonts w:ascii="Cambria" w:hAnsi="Cambria"/>
          <w:color w:val="000000" w:themeColor="text1"/>
          <w:sz w:val="20"/>
          <w:szCs w:val="20"/>
          <w:lang w:val="es-PE"/>
        </w:rPr>
        <w:t>.</w:t>
      </w:r>
      <w:r w:rsidRPr="007A0D4C">
        <w:rPr>
          <w:rFonts w:ascii="Cambria" w:hAnsi="Cambria"/>
          <w:color w:val="000000" w:themeColor="text1"/>
          <w:sz w:val="20"/>
          <w:szCs w:val="20"/>
          <w:lang w:val="es-PE"/>
        </w:rPr>
        <w:t xml:space="preserve"> No </w:t>
      </w:r>
      <w:r w:rsidR="000010B3" w:rsidRPr="007A0D4C">
        <w:rPr>
          <w:rFonts w:ascii="Cambria" w:hAnsi="Cambria"/>
          <w:color w:val="000000" w:themeColor="text1"/>
          <w:sz w:val="20"/>
          <w:szCs w:val="20"/>
          <w:lang w:val="es-PE"/>
        </w:rPr>
        <w:t xml:space="preserve">consta en el </w:t>
      </w:r>
      <w:r w:rsidR="009C7584" w:rsidRPr="007A0D4C">
        <w:rPr>
          <w:rFonts w:ascii="Cambria" w:hAnsi="Cambria"/>
          <w:color w:val="000000" w:themeColor="text1"/>
          <w:sz w:val="20"/>
          <w:szCs w:val="20"/>
          <w:lang w:val="es-PE"/>
        </w:rPr>
        <w:t>expediente</w:t>
      </w:r>
      <w:r w:rsidR="000010B3" w:rsidRPr="007A0D4C">
        <w:rPr>
          <w:rFonts w:ascii="Cambria" w:hAnsi="Cambria"/>
          <w:color w:val="000000" w:themeColor="text1"/>
          <w:sz w:val="20"/>
          <w:szCs w:val="20"/>
          <w:lang w:val="es-PE"/>
        </w:rPr>
        <w:t xml:space="preserve"> ante la </w:t>
      </w:r>
      <w:r w:rsidR="009C7584" w:rsidRPr="007A0D4C">
        <w:rPr>
          <w:rFonts w:ascii="Cambria" w:hAnsi="Cambria"/>
          <w:color w:val="000000" w:themeColor="text1"/>
          <w:sz w:val="20"/>
          <w:szCs w:val="20"/>
          <w:lang w:val="es-PE"/>
        </w:rPr>
        <w:t>Comisión</w:t>
      </w:r>
      <w:r w:rsidR="000010B3" w:rsidRPr="007A0D4C">
        <w:rPr>
          <w:rFonts w:ascii="Cambria" w:hAnsi="Cambria"/>
          <w:color w:val="000000" w:themeColor="text1"/>
          <w:sz w:val="20"/>
          <w:szCs w:val="20"/>
          <w:lang w:val="es-PE"/>
        </w:rPr>
        <w:t xml:space="preserve"> que se haya</w:t>
      </w:r>
      <w:r w:rsidR="004069D8">
        <w:rPr>
          <w:rFonts w:ascii="Cambria" w:hAnsi="Cambria"/>
          <w:color w:val="000000" w:themeColor="text1"/>
          <w:sz w:val="20"/>
          <w:szCs w:val="20"/>
          <w:lang w:val="es-PE"/>
        </w:rPr>
        <w:t>n</w:t>
      </w:r>
      <w:r w:rsidR="000010B3" w:rsidRPr="007A0D4C">
        <w:rPr>
          <w:rFonts w:ascii="Cambria" w:hAnsi="Cambria"/>
          <w:color w:val="000000" w:themeColor="text1"/>
          <w:sz w:val="20"/>
          <w:szCs w:val="20"/>
          <w:lang w:val="es-PE"/>
        </w:rPr>
        <w:t xml:space="preserve"> subsanado las omisiones </w:t>
      </w:r>
      <w:r w:rsidR="009C7584" w:rsidRPr="007A0D4C">
        <w:rPr>
          <w:rFonts w:ascii="Cambria" w:hAnsi="Cambria"/>
          <w:color w:val="000000" w:themeColor="text1"/>
          <w:sz w:val="20"/>
          <w:szCs w:val="20"/>
          <w:lang w:val="es-PE"/>
        </w:rPr>
        <w:t>y cumplido con los requisitos</w:t>
      </w:r>
      <w:r w:rsidRPr="007A0D4C">
        <w:rPr>
          <w:rFonts w:ascii="Cambria" w:hAnsi="Cambria"/>
          <w:color w:val="000000" w:themeColor="text1"/>
          <w:sz w:val="20"/>
          <w:szCs w:val="20"/>
          <w:lang w:val="es-PE"/>
        </w:rPr>
        <w:t xml:space="preserve"> solicitados por </w:t>
      </w:r>
      <w:r w:rsidR="009C7584" w:rsidRPr="007A0D4C">
        <w:rPr>
          <w:rFonts w:ascii="Cambria" w:hAnsi="Cambria"/>
          <w:color w:val="000000" w:themeColor="text1"/>
          <w:sz w:val="20"/>
          <w:szCs w:val="20"/>
          <w:lang w:val="es-PE"/>
        </w:rPr>
        <w:t>la Interpol</w:t>
      </w:r>
      <w:r w:rsidR="004B226D" w:rsidRPr="007A0D4C">
        <w:rPr>
          <w:rFonts w:ascii="Cambria" w:hAnsi="Cambria"/>
          <w:color w:val="000000" w:themeColor="text1"/>
          <w:sz w:val="20"/>
          <w:szCs w:val="20"/>
          <w:lang w:val="es-PE"/>
        </w:rPr>
        <w:t xml:space="preserve">. </w:t>
      </w:r>
      <w:r w:rsidR="005706FF" w:rsidRPr="007A0D4C">
        <w:rPr>
          <w:rFonts w:ascii="Cambria" w:hAnsi="Cambria"/>
          <w:color w:val="000000" w:themeColor="text1"/>
          <w:sz w:val="20"/>
          <w:szCs w:val="20"/>
          <w:lang w:val="es-PE"/>
        </w:rPr>
        <w:t xml:space="preserve">Según la parte peticionaria, lo cual no fue controvertido por el Estado, </w:t>
      </w:r>
      <w:r w:rsidR="004069D8" w:rsidRPr="007A0D4C">
        <w:rPr>
          <w:rFonts w:ascii="Cambria" w:hAnsi="Cambria"/>
          <w:color w:val="000000" w:themeColor="text1"/>
          <w:sz w:val="20"/>
          <w:szCs w:val="20"/>
          <w:lang w:val="es-PE"/>
        </w:rPr>
        <w:t>en 1997</w:t>
      </w:r>
      <w:r w:rsidR="004069D8">
        <w:rPr>
          <w:rFonts w:ascii="Cambria" w:hAnsi="Cambria"/>
          <w:color w:val="000000" w:themeColor="text1"/>
          <w:sz w:val="20"/>
          <w:szCs w:val="20"/>
          <w:lang w:val="es-PE"/>
        </w:rPr>
        <w:t xml:space="preserve">, </w:t>
      </w:r>
      <w:r w:rsidR="005706FF" w:rsidRPr="007A0D4C">
        <w:rPr>
          <w:rFonts w:ascii="Cambria" w:hAnsi="Cambria"/>
          <w:color w:val="000000" w:themeColor="text1"/>
          <w:sz w:val="20"/>
          <w:szCs w:val="20"/>
          <w:lang w:val="es-PE"/>
        </w:rPr>
        <w:t>ó</w:t>
      </w:r>
      <w:r w:rsidRPr="007A0D4C">
        <w:rPr>
          <w:rFonts w:ascii="Cambria" w:hAnsi="Cambria"/>
          <w:color w:val="000000" w:themeColor="text1"/>
          <w:sz w:val="20"/>
          <w:szCs w:val="20"/>
          <w:lang w:val="es-PE"/>
        </w:rPr>
        <w:t xml:space="preserve">rdenes de captura internacional </w:t>
      </w:r>
      <w:r w:rsidR="004069D8">
        <w:rPr>
          <w:rFonts w:ascii="Cambria" w:hAnsi="Cambria"/>
          <w:color w:val="000000" w:themeColor="text1"/>
          <w:sz w:val="20"/>
          <w:szCs w:val="20"/>
          <w:lang w:val="es-PE"/>
        </w:rPr>
        <w:t xml:space="preserve">fueron reiteradas </w:t>
      </w:r>
      <w:r w:rsidRPr="007A0D4C">
        <w:rPr>
          <w:rFonts w:ascii="Cambria" w:hAnsi="Cambria"/>
          <w:color w:val="000000" w:themeColor="text1"/>
          <w:sz w:val="20"/>
          <w:szCs w:val="20"/>
          <w:lang w:val="es-PE"/>
        </w:rPr>
        <w:t>por el Juzg</w:t>
      </w:r>
      <w:r w:rsidR="004069D8">
        <w:rPr>
          <w:rFonts w:ascii="Cambria" w:hAnsi="Cambria"/>
          <w:color w:val="000000" w:themeColor="text1"/>
          <w:sz w:val="20"/>
          <w:szCs w:val="20"/>
          <w:lang w:val="es-PE"/>
        </w:rPr>
        <w:t>ado</w:t>
      </w:r>
      <w:r w:rsidR="00310A7A" w:rsidRPr="007A0D4C">
        <w:rPr>
          <w:rStyle w:val="FootnoteReference"/>
          <w:rFonts w:ascii="Cambria" w:hAnsi="Cambria"/>
          <w:color w:val="000000" w:themeColor="text1"/>
          <w:sz w:val="20"/>
          <w:szCs w:val="20"/>
          <w:lang w:val="es-PE"/>
        </w:rPr>
        <w:footnoteReference w:id="48"/>
      </w:r>
      <w:r w:rsidR="00767C38" w:rsidRPr="007A0D4C">
        <w:rPr>
          <w:rFonts w:ascii="Cambria" w:hAnsi="Cambria"/>
          <w:color w:val="000000" w:themeColor="text1"/>
          <w:sz w:val="20"/>
          <w:szCs w:val="20"/>
          <w:lang w:val="es-PE"/>
        </w:rPr>
        <w:t xml:space="preserve">. </w:t>
      </w:r>
    </w:p>
    <w:p w14:paraId="3C23ECC3" w14:textId="77777777" w:rsidR="0035797F" w:rsidRPr="007A0D4C" w:rsidRDefault="0035797F"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542E5F5A" w14:textId="5155320A" w:rsidR="00B22507" w:rsidRPr="007A0D4C" w:rsidRDefault="00B2250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 xml:space="preserve">El 29 de abril de 1992 el </w:t>
      </w:r>
      <w:r w:rsidR="00980140">
        <w:rPr>
          <w:rFonts w:ascii="Cambria" w:hAnsi="Cambria"/>
          <w:color w:val="000000" w:themeColor="text1"/>
          <w:sz w:val="20"/>
          <w:szCs w:val="20"/>
          <w:lang w:val="es-PE"/>
        </w:rPr>
        <w:t>Juzgado</w:t>
      </w:r>
      <w:r w:rsidRPr="007A0D4C">
        <w:rPr>
          <w:rFonts w:ascii="Cambria" w:hAnsi="Cambria"/>
          <w:color w:val="000000" w:themeColor="text1"/>
          <w:sz w:val="20"/>
          <w:szCs w:val="20"/>
          <w:lang w:val="es-PE"/>
        </w:rPr>
        <w:t xml:space="preserve"> dictó auto de prisión con fines de extradición en contra de los 14 procesados</w:t>
      </w:r>
      <w:r w:rsidRPr="007A0D4C">
        <w:rPr>
          <w:rStyle w:val="FootnoteReference"/>
          <w:rFonts w:ascii="Cambria" w:hAnsi="Cambria"/>
          <w:color w:val="000000" w:themeColor="text1"/>
          <w:sz w:val="20"/>
          <w:szCs w:val="20"/>
          <w:lang w:val="es-PE"/>
        </w:rPr>
        <w:footnoteReference w:id="49"/>
      </w:r>
      <w:r w:rsidRPr="007A0D4C">
        <w:rPr>
          <w:rFonts w:ascii="Cambria" w:hAnsi="Cambria"/>
          <w:color w:val="000000" w:themeColor="text1"/>
          <w:sz w:val="20"/>
          <w:szCs w:val="20"/>
          <w:lang w:val="es-PE"/>
        </w:rPr>
        <w:t xml:space="preserve">. </w:t>
      </w:r>
    </w:p>
    <w:p w14:paraId="60938D7F" w14:textId="77777777" w:rsidR="00B22507" w:rsidRPr="007A0D4C" w:rsidRDefault="00B22507"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022BC738" w14:textId="4C6D89C4" w:rsidR="000E4ACA" w:rsidRPr="007A0D4C" w:rsidRDefault="00836E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 xml:space="preserve">El 21 de septiembre de 1992 el </w:t>
      </w:r>
      <w:r w:rsidR="00980140">
        <w:rPr>
          <w:rFonts w:ascii="Cambria" w:hAnsi="Cambria"/>
          <w:color w:val="000000" w:themeColor="text1"/>
          <w:sz w:val="20"/>
          <w:szCs w:val="20"/>
          <w:lang w:val="es-PE"/>
        </w:rPr>
        <w:t>Juzgado</w:t>
      </w:r>
      <w:r w:rsidR="00475FEF" w:rsidRPr="007A0D4C">
        <w:rPr>
          <w:rFonts w:ascii="Cambria" w:hAnsi="Cambria"/>
          <w:color w:val="000000" w:themeColor="text1"/>
          <w:sz w:val="20"/>
          <w:szCs w:val="20"/>
          <w:lang w:val="es-PE"/>
        </w:rPr>
        <w:t xml:space="preserve"> adoptó un auto interlocutorio mediante el </w:t>
      </w:r>
      <w:r w:rsidR="00A441AF" w:rsidRPr="007A0D4C">
        <w:rPr>
          <w:rFonts w:ascii="Cambria" w:hAnsi="Cambria"/>
          <w:color w:val="000000" w:themeColor="text1"/>
          <w:sz w:val="20"/>
          <w:szCs w:val="20"/>
          <w:lang w:val="es-PE"/>
        </w:rPr>
        <w:t>cual</w:t>
      </w:r>
      <w:r w:rsidRPr="007A0D4C">
        <w:rPr>
          <w:rFonts w:ascii="Cambria" w:hAnsi="Cambria"/>
          <w:color w:val="000000" w:themeColor="text1"/>
          <w:sz w:val="20"/>
          <w:szCs w:val="20"/>
          <w:lang w:val="es-PE"/>
        </w:rPr>
        <w:t xml:space="preserve"> declaró prófugos a los procesados y dispuso su rebeldía </w:t>
      </w:r>
      <w:r w:rsidR="00B3106C" w:rsidRPr="007A0D4C">
        <w:rPr>
          <w:rFonts w:ascii="Cambria" w:hAnsi="Cambria"/>
          <w:color w:val="000000" w:themeColor="text1"/>
          <w:sz w:val="20"/>
          <w:szCs w:val="20"/>
          <w:lang w:val="es-PE"/>
        </w:rPr>
        <w:t xml:space="preserve">y contumacia </w:t>
      </w:r>
      <w:r w:rsidRPr="007A0D4C">
        <w:rPr>
          <w:rFonts w:ascii="Cambria" w:hAnsi="Cambria"/>
          <w:color w:val="000000" w:themeColor="text1"/>
          <w:sz w:val="20"/>
          <w:szCs w:val="20"/>
          <w:lang w:val="es-PE"/>
        </w:rPr>
        <w:t>a los mandatos de la justicia</w:t>
      </w:r>
      <w:r w:rsidR="00A441AF" w:rsidRPr="007A0D4C">
        <w:rPr>
          <w:rStyle w:val="FootnoteReference"/>
          <w:rFonts w:ascii="Cambria" w:hAnsi="Cambria"/>
          <w:color w:val="000000" w:themeColor="text1"/>
          <w:sz w:val="20"/>
          <w:szCs w:val="20"/>
          <w:lang w:val="es-PE"/>
        </w:rPr>
        <w:footnoteReference w:id="50"/>
      </w:r>
      <w:r w:rsidR="00B3106C" w:rsidRPr="007A0D4C">
        <w:rPr>
          <w:rFonts w:ascii="Cambria" w:hAnsi="Cambria"/>
          <w:color w:val="000000" w:themeColor="text1"/>
          <w:sz w:val="20"/>
          <w:szCs w:val="20"/>
          <w:lang w:val="es-PE"/>
        </w:rPr>
        <w:t>.</w:t>
      </w:r>
      <w:r w:rsidR="00815F52" w:rsidRPr="007A0D4C">
        <w:rPr>
          <w:rFonts w:ascii="Cambria" w:hAnsi="Cambria"/>
          <w:color w:val="000000" w:themeColor="text1"/>
          <w:sz w:val="20"/>
          <w:szCs w:val="20"/>
          <w:lang w:val="es-PE"/>
        </w:rPr>
        <w:t xml:space="preserve"> </w:t>
      </w:r>
    </w:p>
    <w:p w14:paraId="2D4F08A5" w14:textId="77777777" w:rsidR="00AE4663" w:rsidRPr="007A0D4C" w:rsidRDefault="00AE4663"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72753D6F" w14:textId="2ADAD716" w:rsidR="00AE4663" w:rsidRPr="007A0D4C" w:rsidRDefault="00836E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 xml:space="preserve">El 30 de septiembre de 1992 el </w:t>
      </w:r>
      <w:r w:rsidR="00980140">
        <w:rPr>
          <w:rFonts w:ascii="Cambria" w:hAnsi="Cambria"/>
          <w:color w:val="000000" w:themeColor="text1"/>
          <w:sz w:val="20"/>
          <w:szCs w:val="20"/>
          <w:lang w:val="es-PE"/>
        </w:rPr>
        <w:t>Juzgado</w:t>
      </w:r>
      <w:r w:rsidRPr="007A0D4C">
        <w:rPr>
          <w:rFonts w:ascii="Cambria" w:hAnsi="Cambria"/>
          <w:color w:val="000000" w:themeColor="text1"/>
          <w:sz w:val="20"/>
          <w:szCs w:val="20"/>
          <w:lang w:val="es-PE"/>
        </w:rPr>
        <w:t xml:space="preserve"> </w:t>
      </w:r>
      <w:r w:rsidR="004069D8" w:rsidRPr="007A0D4C">
        <w:rPr>
          <w:rFonts w:ascii="Cambria" w:hAnsi="Cambria"/>
          <w:color w:val="000000" w:themeColor="text1"/>
          <w:sz w:val="20"/>
          <w:szCs w:val="20"/>
          <w:lang w:val="es-PE"/>
        </w:rPr>
        <w:t xml:space="preserve">remitió </w:t>
      </w:r>
      <w:r w:rsidR="004930BB" w:rsidRPr="007A0D4C">
        <w:rPr>
          <w:rFonts w:ascii="Cambria" w:hAnsi="Cambria"/>
          <w:color w:val="000000" w:themeColor="text1"/>
          <w:sz w:val="20"/>
          <w:szCs w:val="20"/>
          <w:lang w:val="es-PE"/>
        </w:rPr>
        <w:t xml:space="preserve">nuevamente </w:t>
      </w:r>
      <w:r w:rsidRPr="007A0D4C">
        <w:rPr>
          <w:rFonts w:ascii="Cambria" w:hAnsi="Cambria"/>
          <w:color w:val="000000" w:themeColor="text1"/>
          <w:sz w:val="20"/>
          <w:szCs w:val="20"/>
          <w:lang w:val="es-PE"/>
        </w:rPr>
        <w:t>exhortos judiciales solicitando información y cooperación judicial internacional a autoridades policiales y judiciales del Estado de Mato Gros</w:t>
      </w:r>
      <w:r w:rsidR="004069D8">
        <w:rPr>
          <w:rFonts w:ascii="Cambria" w:hAnsi="Cambria"/>
          <w:color w:val="000000" w:themeColor="text1"/>
          <w:sz w:val="20"/>
          <w:szCs w:val="20"/>
          <w:lang w:val="es-PE"/>
        </w:rPr>
        <w:t xml:space="preserve">so, </w:t>
      </w:r>
      <w:r w:rsidRPr="007A0D4C">
        <w:rPr>
          <w:rFonts w:ascii="Cambria" w:hAnsi="Cambria"/>
          <w:color w:val="000000" w:themeColor="text1"/>
          <w:sz w:val="20"/>
          <w:szCs w:val="20"/>
          <w:lang w:val="es-PE"/>
        </w:rPr>
        <w:t xml:space="preserve">respecto de los </w:t>
      </w:r>
      <w:r w:rsidR="004930BB" w:rsidRPr="007A0D4C">
        <w:rPr>
          <w:rFonts w:ascii="Cambria" w:hAnsi="Cambria"/>
          <w:color w:val="000000" w:themeColor="text1"/>
          <w:sz w:val="20"/>
          <w:szCs w:val="20"/>
          <w:lang w:val="es-PE"/>
        </w:rPr>
        <w:t xml:space="preserve">14 </w:t>
      </w:r>
      <w:r w:rsidRPr="007A0D4C">
        <w:rPr>
          <w:rFonts w:ascii="Cambria" w:hAnsi="Cambria"/>
          <w:color w:val="000000" w:themeColor="text1"/>
          <w:sz w:val="20"/>
          <w:szCs w:val="20"/>
          <w:lang w:val="es-PE"/>
        </w:rPr>
        <w:t xml:space="preserve">procesados </w:t>
      </w:r>
      <w:r w:rsidR="00860860">
        <w:rPr>
          <w:rFonts w:ascii="Cambria" w:hAnsi="Cambria"/>
          <w:color w:val="000000" w:themeColor="text1"/>
          <w:sz w:val="20"/>
          <w:szCs w:val="20"/>
          <w:lang w:val="es-PE"/>
        </w:rPr>
        <w:t>brasileño</w:t>
      </w:r>
      <w:r w:rsidR="004930BB" w:rsidRPr="007A0D4C">
        <w:rPr>
          <w:rFonts w:ascii="Cambria" w:hAnsi="Cambria"/>
          <w:color w:val="000000" w:themeColor="text1"/>
          <w:sz w:val="20"/>
          <w:szCs w:val="20"/>
          <w:lang w:val="es-PE"/>
        </w:rPr>
        <w:t xml:space="preserve">s. </w:t>
      </w:r>
      <w:r w:rsidR="00AC3041" w:rsidRPr="007A0D4C">
        <w:rPr>
          <w:rFonts w:ascii="Cambria" w:hAnsi="Cambria"/>
          <w:color w:val="000000" w:themeColor="text1"/>
          <w:sz w:val="20"/>
          <w:szCs w:val="20"/>
          <w:lang w:val="es-PE"/>
        </w:rPr>
        <w:t>Asimismo, el juez solicitó a</w:t>
      </w:r>
      <w:r w:rsidR="0046155E" w:rsidRPr="007A0D4C">
        <w:rPr>
          <w:rFonts w:ascii="Cambria" w:hAnsi="Cambria"/>
          <w:color w:val="000000" w:themeColor="text1"/>
          <w:sz w:val="20"/>
          <w:szCs w:val="20"/>
          <w:lang w:val="es-PE"/>
        </w:rPr>
        <w:t xml:space="preserve">l presidente de la Corte Suprema que dichos exhortos fueran tramitados por la vía diplomática y de conformidad con </w:t>
      </w:r>
      <w:r w:rsidR="00833966" w:rsidRPr="007A0D4C">
        <w:rPr>
          <w:rFonts w:ascii="Cambria" w:hAnsi="Cambria"/>
          <w:color w:val="000000" w:themeColor="text1"/>
          <w:sz w:val="20"/>
          <w:szCs w:val="20"/>
          <w:lang w:val="es-PE"/>
        </w:rPr>
        <w:t xml:space="preserve">las disposiciones legales </w:t>
      </w:r>
      <w:r w:rsidR="00860860">
        <w:rPr>
          <w:rFonts w:ascii="Cambria" w:hAnsi="Cambria"/>
          <w:color w:val="000000" w:themeColor="text1"/>
          <w:sz w:val="20"/>
          <w:szCs w:val="20"/>
          <w:lang w:val="es-PE"/>
        </w:rPr>
        <w:t>brasileña</w:t>
      </w:r>
      <w:r w:rsidR="00833966" w:rsidRPr="007A0D4C">
        <w:rPr>
          <w:rFonts w:ascii="Cambria" w:hAnsi="Cambria"/>
          <w:color w:val="000000" w:themeColor="text1"/>
          <w:sz w:val="20"/>
          <w:szCs w:val="20"/>
          <w:lang w:val="es-PE"/>
        </w:rPr>
        <w:t>s</w:t>
      </w:r>
      <w:r w:rsidR="00833966" w:rsidRPr="007A0D4C">
        <w:rPr>
          <w:rStyle w:val="FootnoteReference"/>
          <w:rFonts w:ascii="Cambria" w:hAnsi="Cambria"/>
          <w:color w:val="000000" w:themeColor="text1"/>
          <w:sz w:val="20"/>
          <w:szCs w:val="20"/>
          <w:lang w:val="es-PE"/>
        </w:rPr>
        <w:footnoteReference w:id="51"/>
      </w:r>
      <w:r w:rsidR="00833966" w:rsidRPr="007A0D4C">
        <w:rPr>
          <w:rFonts w:ascii="Cambria" w:hAnsi="Cambria"/>
          <w:color w:val="000000" w:themeColor="text1"/>
          <w:sz w:val="20"/>
          <w:szCs w:val="20"/>
          <w:lang w:val="es-PE"/>
        </w:rPr>
        <w:t>.</w:t>
      </w:r>
      <w:r w:rsidR="00AC3041" w:rsidRPr="007A0D4C">
        <w:rPr>
          <w:rFonts w:ascii="Cambria" w:hAnsi="Cambria"/>
          <w:color w:val="000000" w:themeColor="text1"/>
          <w:sz w:val="20"/>
          <w:szCs w:val="20"/>
          <w:lang w:val="es-PE"/>
        </w:rPr>
        <w:t xml:space="preserve"> </w:t>
      </w:r>
      <w:r w:rsidR="004930BB" w:rsidRPr="007A0D4C">
        <w:rPr>
          <w:rFonts w:ascii="Cambria" w:hAnsi="Cambria"/>
          <w:color w:val="000000" w:themeColor="text1"/>
          <w:sz w:val="20"/>
          <w:szCs w:val="20"/>
          <w:lang w:val="es-PE"/>
        </w:rPr>
        <w:t>Según la parte peticionaria</w:t>
      </w:r>
      <w:r w:rsidR="0091122C" w:rsidRPr="007A0D4C">
        <w:rPr>
          <w:rFonts w:ascii="Cambria" w:hAnsi="Cambria"/>
          <w:color w:val="000000" w:themeColor="text1"/>
          <w:sz w:val="20"/>
          <w:szCs w:val="20"/>
          <w:lang w:val="es-PE"/>
        </w:rPr>
        <w:t>, no controvertido por el Estado,</w:t>
      </w:r>
      <w:r w:rsidRPr="007A0D4C">
        <w:rPr>
          <w:rFonts w:ascii="Cambria" w:hAnsi="Cambria"/>
          <w:color w:val="000000" w:themeColor="text1"/>
          <w:sz w:val="20"/>
          <w:szCs w:val="20"/>
          <w:lang w:val="es-PE"/>
        </w:rPr>
        <w:t xml:space="preserve"> </w:t>
      </w:r>
      <w:r w:rsidR="004930BB" w:rsidRPr="007A0D4C">
        <w:rPr>
          <w:rFonts w:ascii="Cambria" w:hAnsi="Cambria"/>
          <w:color w:val="000000" w:themeColor="text1"/>
          <w:sz w:val="20"/>
          <w:szCs w:val="20"/>
          <w:lang w:val="es-PE"/>
        </w:rPr>
        <w:t xml:space="preserve">las </w:t>
      </w:r>
      <w:r w:rsidRPr="007A0D4C">
        <w:rPr>
          <w:rFonts w:ascii="Cambria" w:hAnsi="Cambria"/>
          <w:color w:val="000000" w:themeColor="text1"/>
          <w:sz w:val="20"/>
          <w:szCs w:val="20"/>
          <w:lang w:val="es-PE"/>
        </w:rPr>
        <w:t xml:space="preserve">cartas rogatorias fueron </w:t>
      </w:r>
      <w:r w:rsidR="00676B25" w:rsidRPr="007A0D4C">
        <w:rPr>
          <w:rFonts w:ascii="Cambria" w:hAnsi="Cambria"/>
          <w:color w:val="000000" w:themeColor="text1"/>
          <w:sz w:val="20"/>
          <w:szCs w:val="20"/>
          <w:lang w:val="es-PE"/>
        </w:rPr>
        <w:t xml:space="preserve">nuevamente </w:t>
      </w:r>
      <w:r w:rsidRPr="007A0D4C">
        <w:rPr>
          <w:rFonts w:ascii="Cambria" w:hAnsi="Cambria"/>
          <w:color w:val="000000" w:themeColor="text1"/>
          <w:sz w:val="20"/>
          <w:szCs w:val="20"/>
          <w:lang w:val="es-PE"/>
        </w:rPr>
        <w:t>devueltas por vía diplomática de la Cancillería brasileña, debido a que no estaban traducidas al idioma portugués y no se indicaba quién se haría cargo de las costas de las diligencias solicitadas</w:t>
      </w:r>
      <w:r w:rsidR="0091122C" w:rsidRPr="007A0D4C">
        <w:rPr>
          <w:rFonts w:ascii="Cambria" w:hAnsi="Cambria"/>
          <w:color w:val="000000" w:themeColor="text1"/>
          <w:sz w:val="20"/>
          <w:szCs w:val="20"/>
          <w:lang w:val="es-PE"/>
        </w:rPr>
        <w:t xml:space="preserve">. </w:t>
      </w:r>
      <w:r w:rsidRPr="007A0D4C">
        <w:rPr>
          <w:rFonts w:ascii="Cambria" w:hAnsi="Cambria"/>
          <w:color w:val="000000" w:themeColor="text1"/>
          <w:sz w:val="20"/>
          <w:szCs w:val="20"/>
          <w:lang w:val="es-PE"/>
        </w:rPr>
        <w:t>Similares diligencias fueron realizadas de manera infructuosa en julio de 1993 y en marzo de 1994</w:t>
      </w:r>
      <w:r w:rsidR="0091122C" w:rsidRPr="007A0D4C">
        <w:rPr>
          <w:rStyle w:val="FootnoteReference"/>
          <w:rFonts w:ascii="Cambria" w:hAnsi="Cambria"/>
          <w:color w:val="000000" w:themeColor="text1"/>
          <w:sz w:val="20"/>
          <w:szCs w:val="20"/>
          <w:lang w:val="es-PE"/>
        </w:rPr>
        <w:footnoteReference w:id="52"/>
      </w:r>
      <w:r w:rsidR="0091122C" w:rsidRPr="007A0D4C">
        <w:rPr>
          <w:rFonts w:ascii="Cambria" w:hAnsi="Cambria"/>
          <w:color w:val="000000" w:themeColor="text1"/>
          <w:sz w:val="20"/>
          <w:szCs w:val="20"/>
          <w:lang w:val="es-PE"/>
        </w:rPr>
        <w:t>.</w:t>
      </w:r>
    </w:p>
    <w:p w14:paraId="02B34534" w14:textId="77777777" w:rsidR="00CD1E13" w:rsidRPr="007A0D4C" w:rsidRDefault="00CD1E13"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7604AD55" w14:textId="745565B6" w:rsidR="00DA12DA" w:rsidRPr="00E13CAA" w:rsidRDefault="0061040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7A0D4C">
        <w:rPr>
          <w:rFonts w:ascii="Cambria" w:hAnsi="Cambria"/>
          <w:color w:val="000000" w:themeColor="text1"/>
          <w:sz w:val="20"/>
          <w:szCs w:val="20"/>
          <w:lang w:val="es-PE"/>
        </w:rPr>
        <w:t>Según la parte peticionari</w:t>
      </w:r>
      <w:r w:rsidR="002840F1" w:rsidRPr="007A0D4C">
        <w:rPr>
          <w:rFonts w:ascii="Cambria" w:hAnsi="Cambria"/>
          <w:color w:val="000000" w:themeColor="text1"/>
          <w:sz w:val="20"/>
          <w:szCs w:val="20"/>
          <w:lang w:val="es-PE"/>
        </w:rPr>
        <w:t>a</w:t>
      </w:r>
      <w:r w:rsidRPr="007A0D4C">
        <w:rPr>
          <w:rFonts w:ascii="Cambria" w:hAnsi="Cambria"/>
          <w:color w:val="000000" w:themeColor="text1"/>
          <w:sz w:val="20"/>
          <w:szCs w:val="20"/>
          <w:lang w:val="es-PE"/>
        </w:rPr>
        <w:t>, lo cual no fue controvertido por el Estado, e</w:t>
      </w:r>
      <w:r w:rsidR="00836E21" w:rsidRPr="007A0D4C">
        <w:rPr>
          <w:rFonts w:ascii="Cambria" w:hAnsi="Cambria"/>
          <w:color w:val="000000" w:themeColor="text1"/>
          <w:sz w:val="20"/>
          <w:szCs w:val="20"/>
          <w:lang w:val="es-PE"/>
        </w:rPr>
        <w:t xml:space="preserve">l 15 de septiembre de 1993 la Policía Nacional de Paraguay detuvo a uno de los procesados en la causa, el señor Daniel Arístides Calonga </w:t>
      </w:r>
      <w:r w:rsidR="00836E21" w:rsidRPr="00E13CAA">
        <w:rPr>
          <w:rFonts w:ascii="Cambria" w:hAnsi="Cambria"/>
          <w:color w:val="000000" w:themeColor="text1"/>
          <w:sz w:val="20"/>
          <w:szCs w:val="20"/>
          <w:lang w:val="es-PE"/>
        </w:rPr>
        <w:t xml:space="preserve">López, quien fue remitido a la Penitenciaría Nacional de Tacumbú a disposición del </w:t>
      </w:r>
      <w:r w:rsidR="00980140">
        <w:rPr>
          <w:rFonts w:ascii="Cambria" w:hAnsi="Cambria"/>
          <w:color w:val="000000" w:themeColor="text1"/>
          <w:sz w:val="20"/>
          <w:szCs w:val="20"/>
          <w:lang w:val="es-PE"/>
        </w:rPr>
        <w:t>Juzgado</w:t>
      </w:r>
      <w:r w:rsidR="00836E21" w:rsidRPr="00E13CAA">
        <w:rPr>
          <w:rFonts w:ascii="Cambria" w:hAnsi="Cambria"/>
          <w:color w:val="000000" w:themeColor="text1"/>
          <w:sz w:val="20"/>
          <w:szCs w:val="20"/>
          <w:lang w:val="es-PE"/>
        </w:rPr>
        <w:t xml:space="preserve">. </w:t>
      </w:r>
      <w:r w:rsidR="002C7975" w:rsidRPr="00E13CAA">
        <w:rPr>
          <w:rFonts w:ascii="Cambria" w:hAnsi="Cambria"/>
          <w:color w:val="000000" w:themeColor="text1"/>
          <w:sz w:val="20"/>
          <w:szCs w:val="20"/>
          <w:lang w:val="es-PE"/>
        </w:rPr>
        <w:t>Según los peticionarios, n</w:t>
      </w:r>
      <w:r w:rsidR="00836E21" w:rsidRPr="00E13CAA">
        <w:rPr>
          <w:rFonts w:ascii="Cambria" w:hAnsi="Cambria"/>
          <w:color w:val="000000" w:themeColor="text1"/>
          <w:sz w:val="20"/>
          <w:szCs w:val="20"/>
          <w:lang w:val="es-PE"/>
        </w:rPr>
        <w:t>o se adoptaron medidas judiciales respecto de este procesado en el marco de la causa</w:t>
      </w:r>
      <w:r w:rsidR="002C7975" w:rsidRPr="00E13CAA">
        <w:rPr>
          <w:rFonts w:ascii="Cambria" w:hAnsi="Cambria"/>
          <w:color w:val="000000" w:themeColor="text1"/>
          <w:sz w:val="20"/>
          <w:szCs w:val="20"/>
          <w:lang w:val="es-PE"/>
        </w:rPr>
        <w:t xml:space="preserve"> ni consta </w:t>
      </w:r>
      <w:r w:rsidR="00836E21" w:rsidRPr="00E13CAA">
        <w:rPr>
          <w:rFonts w:ascii="Cambria" w:hAnsi="Cambria"/>
          <w:color w:val="000000" w:themeColor="text1"/>
          <w:sz w:val="20"/>
          <w:szCs w:val="20"/>
          <w:lang w:val="es-PE"/>
        </w:rPr>
        <w:lastRenderedPageBreak/>
        <w:t xml:space="preserve">que haya sido llamado a prestar declaración indagatoria. </w:t>
      </w:r>
      <w:r w:rsidR="002840F1" w:rsidRPr="00E13CAA">
        <w:rPr>
          <w:rFonts w:ascii="Cambria" w:hAnsi="Cambria"/>
          <w:color w:val="000000" w:themeColor="text1"/>
          <w:sz w:val="20"/>
          <w:szCs w:val="20"/>
          <w:lang w:val="es-PE"/>
        </w:rPr>
        <w:t xml:space="preserve">El procesado falleció </w:t>
      </w:r>
      <w:r w:rsidR="00836E21" w:rsidRPr="00E13CAA">
        <w:rPr>
          <w:rFonts w:ascii="Cambria" w:hAnsi="Cambria"/>
          <w:color w:val="000000" w:themeColor="text1"/>
          <w:sz w:val="20"/>
          <w:szCs w:val="20"/>
          <w:lang w:val="es-PE"/>
        </w:rPr>
        <w:t xml:space="preserve">el 18 de septiembre de 2001, víctima de un </w:t>
      </w:r>
      <w:r w:rsidR="002840F1" w:rsidRPr="00E13CAA">
        <w:rPr>
          <w:rFonts w:ascii="Cambria" w:hAnsi="Cambria"/>
          <w:color w:val="000000" w:themeColor="text1"/>
          <w:sz w:val="20"/>
          <w:szCs w:val="20"/>
          <w:lang w:val="es-PE"/>
        </w:rPr>
        <w:t xml:space="preserve">presunto </w:t>
      </w:r>
      <w:r w:rsidR="00836E21" w:rsidRPr="00E13CAA">
        <w:rPr>
          <w:rFonts w:ascii="Cambria" w:hAnsi="Cambria"/>
          <w:color w:val="000000" w:themeColor="text1"/>
          <w:sz w:val="20"/>
          <w:szCs w:val="20"/>
          <w:lang w:val="es-PE"/>
        </w:rPr>
        <w:t>homicidio</w:t>
      </w:r>
      <w:r w:rsidR="002840F1" w:rsidRPr="00E13CAA">
        <w:rPr>
          <w:rStyle w:val="FootnoteReference"/>
          <w:rFonts w:ascii="Cambria" w:hAnsi="Cambria"/>
          <w:color w:val="000000" w:themeColor="text1"/>
          <w:sz w:val="20"/>
          <w:szCs w:val="20"/>
          <w:lang w:val="es-PE"/>
        </w:rPr>
        <w:footnoteReference w:id="53"/>
      </w:r>
      <w:r w:rsidR="002840F1" w:rsidRPr="00E13CAA">
        <w:rPr>
          <w:rFonts w:ascii="Cambria" w:hAnsi="Cambria"/>
          <w:color w:val="000000" w:themeColor="text1"/>
          <w:sz w:val="20"/>
          <w:szCs w:val="20"/>
          <w:lang w:val="es-PE"/>
        </w:rPr>
        <w:t>.</w:t>
      </w:r>
      <w:r w:rsidR="00836E21" w:rsidRPr="00E13CAA">
        <w:rPr>
          <w:rFonts w:ascii="Cambria" w:hAnsi="Cambria"/>
          <w:color w:val="000000" w:themeColor="text1"/>
          <w:sz w:val="20"/>
          <w:szCs w:val="20"/>
          <w:lang w:val="es-PE"/>
        </w:rPr>
        <w:t xml:space="preserve"> </w:t>
      </w:r>
    </w:p>
    <w:p w14:paraId="240732BE" w14:textId="77777777" w:rsidR="00C918CD" w:rsidRPr="00E13CAA" w:rsidRDefault="00C918CD"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0AF2BC2E" w14:textId="1D46519D" w:rsidR="00075CE4" w:rsidRPr="00E13CAA" w:rsidRDefault="00836E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 xml:space="preserve">El 15 de octubre de 1993 la Policía Nacional de Paraguay detuvo </w:t>
      </w:r>
      <w:r w:rsidR="0074387D" w:rsidRPr="00E13CAA">
        <w:rPr>
          <w:rFonts w:ascii="Cambria" w:hAnsi="Cambria"/>
          <w:color w:val="000000" w:themeColor="text1"/>
          <w:sz w:val="20"/>
          <w:szCs w:val="20"/>
          <w:lang w:val="es-PE"/>
        </w:rPr>
        <w:t xml:space="preserve">por error </w:t>
      </w:r>
      <w:r w:rsidRPr="00E13CAA">
        <w:rPr>
          <w:rFonts w:ascii="Cambria" w:hAnsi="Cambria"/>
          <w:color w:val="000000" w:themeColor="text1"/>
          <w:sz w:val="20"/>
          <w:szCs w:val="20"/>
          <w:lang w:val="es-PE"/>
        </w:rPr>
        <w:t xml:space="preserve">al ciudadano </w:t>
      </w:r>
      <w:r w:rsidR="00860860">
        <w:rPr>
          <w:rFonts w:ascii="Cambria" w:hAnsi="Cambria"/>
          <w:color w:val="000000" w:themeColor="text1"/>
          <w:sz w:val="20"/>
          <w:szCs w:val="20"/>
          <w:lang w:val="es-PE"/>
        </w:rPr>
        <w:t>brasileño</w:t>
      </w:r>
      <w:r w:rsidRPr="00E13CAA">
        <w:rPr>
          <w:rFonts w:ascii="Cambria" w:hAnsi="Cambria"/>
          <w:color w:val="000000" w:themeColor="text1"/>
          <w:sz w:val="20"/>
          <w:szCs w:val="20"/>
          <w:lang w:val="es-PE"/>
        </w:rPr>
        <w:t xml:space="preserve"> Jocimar Alves Silveira, </w:t>
      </w:r>
      <w:r w:rsidR="002B1AB3" w:rsidRPr="00E13CAA">
        <w:rPr>
          <w:rFonts w:ascii="Cambria" w:hAnsi="Cambria"/>
          <w:color w:val="000000" w:themeColor="text1"/>
          <w:sz w:val="20"/>
          <w:szCs w:val="20"/>
          <w:lang w:val="es-PE"/>
        </w:rPr>
        <w:t>a quien se confundió con</w:t>
      </w:r>
      <w:r w:rsidRPr="00E13CAA">
        <w:rPr>
          <w:rFonts w:ascii="Cambria" w:hAnsi="Cambria"/>
          <w:color w:val="000000" w:themeColor="text1"/>
          <w:sz w:val="20"/>
          <w:szCs w:val="20"/>
          <w:lang w:val="es-PE"/>
        </w:rPr>
        <w:t xml:space="preserve"> el procesado José Francisco Araulho</w:t>
      </w:r>
      <w:r w:rsidR="00003E53" w:rsidRPr="00E13CAA">
        <w:rPr>
          <w:rFonts w:ascii="Cambria" w:hAnsi="Cambria"/>
          <w:color w:val="000000" w:themeColor="text1"/>
          <w:sz w:val="20"/>
          <w:szCs w:val="20"/>
          <w:lang w:val="es-PE"/>
        </w:rPr>
        <w:t>. Luego de prestar su declaración</w:t>
      </w:r>
      <w:r w:rsidR="00A97BF0" w:rsidRPr="00E13CAA">
        <w:rPr>
          <w:rFonts w:ascii="Cambria" w:hAnsi="Cambria"/>
          <w:color w:val="000000" w:themeColor="text1"/>
          <w:sz w:val="20"/>
          <w:szCs w:val="20"/>
          <w:lang w:val="es-PE"/>
        </w:rPr>
        <w:t xml:space="preserve"> </w:t>
      </w:r>
      <w:r w:rsidRPr="00E13CAA">
        <w:rPr>
          <w:rFonts w:ascii="Cambria" w:hAnsi="Cambria"/>
          <w:color w:val="000000" w:themeColor="text1"/>
          <w:sz w:val="20"/>
          <w:szCs w:val="20"/>
          <w:lang w:val="es-PE"/>
        </w:rPr>
        <w:t xml:space="preserve">indagatoria </w:t>
      </w:r>
      <w:r w:rsidR="00A97BF0" w:rsidRPr="00E13CAA">
        <w:rPr>
          <w:rFonts w:ascii="Cambria" w:hAnsi="Cambria"/>
          <w:color w:val="000000" w:themeColor="text1"/>
          <w:sz w:val="20"/>
          <w:szCs w:val="20"/>
          <w:lang w:val="es-PE"/>
        </w:rPr>
        <w:t>y comprobar</w:t>
      </w:r>
      <w:r w:rsidR="006F3F2E" w:rsidRPr="00E13CAA">
        <w:rPr>
          <w:rFonts w:ascii="Cambria" w:hAnsi="Cambria"/>
          <w:color w:val="000000" w:themeColor="text1"/>
          <w:sz w:val="20"/>
          <w:szCs w:val="20"/>
          <w:lang w:val="es-PE"/>
        </w:rPr>
        <w:t xml:space="preserve"> su identidad, </w:t>
      </w:r>
      <w:r w:rsidRPr="00E13CAA">
        <w:rPr>
          <w:rFonts w:ascii="Cambria" w:hAnsi="Cambria"/>
          <w:color w:val="000000" w:themeColor="text1"/>
          <w:sz w:val="20"/>
          <w:szCs w:val="20"/>
          <w:lang w:val="es-PE"/>
        </w:rPr>
        <w:t xml:space="preserve">el </w:t>
      </w:r>
      <w:r w:rsidR="00A97BF0" w:rsidRPr="00E13CAA">
        <w:rPr>
          <w:rFonts w:ascii="Cambria" w:hAnsi="Cambria"/>
          <w:color w:val="000000" w:themeColor="text1"/>
          <w:sz w:val="20"/>
          <w:szCs w:val="20"/>
          <w:lang w:val="es-PE"/>
        </w:rPr>
        <w:t xml:space="preserve">21 de octubre de 1993 el </w:t>
      </w:r>
      <w:r w:rsidR="00980140">
        <w:rPr>
          <w:rFonts w:ascii="Cambria" w:hAnsi="Cambria"/>
          <w:color w:val="000000" w:themeColor="text1"/>
          <w:sz w:val="20"/>
          <w:szCs w:val="20"/>
          <w:lang w:val="es-PE"/>
        </w:rPr>
        <w:t>Juzgado</w:t>
      </w:r>
      <w:r w:rsidRPr="00E13CAA">
        <w:rPr>
          <w:rFonts w:ascii="Cambria" w:hAnsi="Cambria"/>
          <w:color w:val="000000" w:themeColor="text1"/>
          <w:sz w:val="20"/>
          <w:szCs w:val="20"/>
          <w:lang w:val="es-PE"/>
        </w:rPr>
        <w:t xml:space="preserve"> dispuso el levantamiento de la detención preventiva</w:t>
      </w:r>
      <w:r w:rsidR="00A97BF0" w:rsidRPr="00E13CAA">
        <w:rPr>
          <w:rStyle w:val="FootnoteReference"/>
          <w:rFonts w:ascii="Cambria" w:hAnsi="Cambria"/>
          <w:color w:val="000000" w:themeColor="text1"/>
          <w:sz w:val="20"/>
          <w:szCs w:val="20"/>
          <w:lang w:val="es-PE"/>
        </w:rPr>
        <w:footnoteReference w:id="54"/>
      </w:r>
      <w:r w:rsidR="00A97BF0" w:rsidRPr="00E13CAA">
        <w:rPr>
          <w:rFonts w:ascii="Cambria" w:hAnsi="Cambria"/>
          <w:color w:val="000000" w:themeColor="text1"/>
          <w:sz w:val="20"/>
          <w:szCs w:val="20"/>
          <w:lang w:val="es-PE"/>
        </w:rPr>
        <w:t>.</w:t>
      </w:r>
    </w:p>
    <w:p w14:paraId="37003291" w14:textId="77777777" w:rsidR="005B10E7" w:rsidRPr="00E13CAA" w:rsidRDefault="005B10E7"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77B78EA2" w14:textId="2DB5B73F" w:rsidR="004D0286" w:rsidRPr="00E13CAA" w:rsidRDefault="00075CE4"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Según la parte peticio</w:t>
      </w:r>
      <w:r w:rsidR="00381DA3" w:rsidRPr="00E13CAA">
        <w:rPr>
          <w:rFonts w:ascii="Cambria" w:hAnsi="Cambria"/>
          <w:color w:val="000000" w:themeColor="text1"/>
          <w:sz w:val="20"/>
          <w:szCs w:val="20"/>
          <w:lang w:val="es-PE"/>
        </w:rPr>
        <w:t>naria, e</w:t>
      </w:r>
      <w:r w:rsidR="00836E21" w:rsidRPr="00E13CAA">
        <w:rPr>
          <w:rFonts w:ascii="Cambria" w:hAnsi="Cambria"/>
          <w:color w:val="000000" w:themeColor="text1"/>
          <w:sz w:val="20"/>
          <w:szCs w:val="20"/>
          <w:lang w:val="es-PE"/>
        </w:rPr>
        <w:t xml:space="preserve">l 29 de agosto de 1996 el Juzgado de la causa se constituyó en el asiento del Poder Judicial de la ciudad de Ponta Porã para tomar declaración informativa al ciudadano brasileño José Paulo Dos Santos Galdino, sindicado por fuentes periodísticas y por investigaciones policiales </w:t>
      </w:r>
      <w:r w:rsidR="00860860">
        <w:rPr>
          <w:rFonts w:ascii="Cambria" w:hAnsi="Cambria"/>
          <w:color w:val="000000" w:themeColor="text1"/>
          <w:sz w:val="20"/>
          <w:szCs w:val="20"/>
          <w:lang w:val="es-PE"/>
        </w:rPr>
        <w:t>brasileña</w:t>
      </w:r>
      <w:r w:rsidR="00836E21" w:rsidRPr="00E13CAA">
        <w:rPr>
          <w:rFonts w:ascii="Cambria" w:hAnsi="Cambria"/>
          <w:color w:val="000000" w:themeColor="text1"/>
          <w:sz w:val="20"/>
          <w:szCs w:val="20"/>
          <w:lang w:val="es-PE"/>
        </w:rPr>
        <w:t>s del Estado de Mato Grosso como un presunto autor material del asesinato de Leguizamón, pero que no estaba procesado formalmente en el marco de la causa</w:t>
      </w:r>
      <w:r w:rsidR="001C57A1" w:rsidRPr="00E13CAA">
        <w:rPr>
          <w:rFonts w:ascii="Cambria" w:hAnsi="Cambria"/>
          <w:color w:val="000000" w:themeColor="text1"/>
          <w:sz w:val="20"/>
          <w:szCs w:val="20"/>
          <w:lang w:val="es-PE"/>
        </w:rPr>
        <w:t xml:space="preserve">. </w:t>
      </w:r>
      <w:r w:rsidR="001A1502" w:rsidRPr="00E13CAA">
        <w:rPr>
          <w:rFonts w:ascii="Cambria" w:hAnsi="Cambria"/>
          <w:color w:val="000000" w:themeColor="text1"/>
          <w:sz w:val="20"/>
          <w:szCs w:val="20"/>
          <w:lang w:val="es-PE"/>
        </w:rPr>
        <w:t>Aquel se encontraba</w:t>
      </w:r>
      <w:r w:rsidR="00EC4EAB" w:rsidRPr="00E13CAA">
        <w:rPr>
          <w:rFonts w:ascii="Cambria" w:hAnsi="Cambria"/>
          <w:color w:val="000000" w:themeColor="text1"/>
          <w:sz w:val="20"/>
          <w:szCs w:val="20"/>
          <w:lang w:val="es-PE"/>
        </w:rPr>
        <w:t xml:space="preserve"> cumpliendo</w:t>
      </w:r>
      <w:r w:rsidR="00836E21" w:rsidRPr="00E13CAA">
        <w:rPr>
          <w:rFonts w:ascii="Cambria" w:hAnsi="Cambria"/>
          <w:color w:val="000000" w:themeColor="text1"/>
          <w:sz w:val="20"/>
          <w:szCs w:val="20"/>
          <w:lang w:val="es-PE"/>
        </w:rPr>
        <w:t xml:space="preserve"> una condena de 22 años de prisión por el delito de homicidio, impuesta por los tribunales del Brasil. El 10 de septiembre de 1996 el fiscal de la causa reiteró al Juzgado la solicitud de procesamiento penal del señor Dos Santos Galdino, ofreciendo como pruebas las declaraciones incriminatorias en su contra que existían en fuentes de la policía brasileña</w:t>
      </w:r>
      <w:r w:rsidR="00447F53" w:rsidRPr="00E13CAA">
        <w:rPr>
          <w:rFonts w:ascii="Cambria" w:hAnsi="Cambria"/>
          <w:color w:val="000000" w:themeColor="text1"/>
          <w:sz w:val="20"/>
          <w:szCs w:val="20"/>
          <w:lang w:val="es-PE"/>
        </w:rPr>
        <w:t>. E</w:t>
      </w:r>
      <w:r w:rsidR="00836E21" w:rsidRPr="00E13CAA">
        <w:rPr>
          <w:rFonts w:ascii="Cambria" w:hAnsi="Cambria"/>
          <w:color w:val="000000" w:themeColor="text1"/>
          <w:sz w:val="20"/>
          <w:szCs w:val="20"/>
          <w:lang w:val="es-PE"/>
        </w:rPr>
        <w:t xml:space="preserve">l 26 de septiembre de 1997 el Juzgado amplió el sumario </w:t>
      </w:r>
      <w:r w:rsidR="004D0286" w:rsidRPr="00E13CAA">
        <w:rPr>
          <w:rFonts w:ascii="Cambria" w:hAnsi="Cambria"/>
          <w:color w:val="000000" w:themeColor="text1"/>
          <w:sz w:val="20"/>
          <w:szCs w:val="20"/>
          <w:lang w:val="es-PE"/>
        </w:rPr>
        <w:t>y lo</w:t>
      </w:r>
      <w:r w:rsidR="00836E21" w:rsidRPr="00E13CAA">
        <w:rPr>
          <w:rFonts w:ascii="Cambria" w:hAnsi="Cambria"/>
          <w:color w:val="000000" w:themeColor="text1"/>
          <w:sz w:val="20"/>
          <w:szCs w:val="20"/>
          <w:lang w:val="es-PE"/>
        </w:rPr>
        <w:t xml:space="preserve"> incluyó como procesado, decretando su detención preventiva</w:t>
      </w:r>
      <w:r w:rsidR="004D0286" w:rsidRPr="00E13CAA">
        <w:rPr>
          <w:rStyle w:val="FootnoteReference"/>
          <w:rFonts w:ascii="Cambria" w:hAnsi="Cambria"/>
          <w:color w:val="000000" w:themeColor="text1"/>
          <w:sz w:val="20"/>
          <w:szCs w:val="20"/>
          <w:lang w:val="es-PE"/>
        </w:rPr>
        <w:footnoteReference w:id="55"/>
      </w:r>
      <w:r w:rsidR="004D0286" w:rsidRPr="00E13CAA">
        <w:rPr>
          <w:rFonts w:ascii="Cambria" w:hAnsi="Cambria"/>
          <w:color w:val="000000" w:themeColor="text1"/>
          <w:sz w:val="20"/>
          <w:szCs w:val="20"/>
          <w:lang w:val="es-PE"/>
        </w:rPr>
        <w:t>.</w:t>
      </w:r>
    </w:p>
    <w:p w14:paraId="13F3DF60" w14:textId="77777777" w:rsidR="00041BDC" w:rsidRPr="00E13CAA" w:rsidRDefault="00041BDC"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1B9E02EA" w14:textId="2F43C31B" w:rsidR="00424292" w:rsidRPr="00E13CAA" w:rsidRDefault="00836E2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 xml:space="preserve">El 5 de septiembre de 1996 </w:t>
      </w:r>
      <w:r w:rsidR="00B4562E" w:rsidRPr="00E13CAA">
        <w:rPr>
          <w:rFonts w:ascii="Cambria" w:hAnsi="Cambria"/>
          <w:color w:val="000000" w:themeColor="text1"/>
          <w:sz w:val="20"/>
          <w:szCs w:val="20"/>
          <w:lang w:val="es-PE"/>
        </w:rPr>
        <w:t xml:space="preserve">el procesado Luis Enrique Rodríguez Georges de nacionalidad </w:t>
      </w:r>
      <w:r w:rsidR="00860860">
        <w:rPr>
          <w:rFonts w:ascii="Cambria" w:hAnsi="Cambria"/>
          <w:color w:val="000000" w:themeColor="text1"/>
          <w:sz w:val="20"/>
          <w:szCs w:val="20"/>
          <w:lang w:val="es-PE"/>
        </w:rPr>
        <w:t>brasileña</w:t>
      </w:r>
      <w:r w:rsidR="00B4562E" w:rsidRPr="00E13CAA">
        <w:rPr>
          <w:rFonts w:ascii="Cambria" w:hAnsi="Cambria"/>
          <w:color w:val="000000" w:themeColor="text1"/>
          <w:sz w:val="20"/>
          <w:szCs w:val="20"/>
          <w:lang w:val="es-PE"/>
        </w:rPr>
        <w:t xml:space="preserve"> se </w:t>
      </w:r>
      <w:r w:rsidRPr="00E13CAA">
        <w:rPr>
          <w:rFonts w:ascii="Cambria" w:hAnsi="Cambria"/>
          <w:color w:val="000000" w:themeColor="text1"/>
          <w:sz w:val="20"/>
          <w:szCs w:val="20"/>
          <w:lang w:val="es-PE"/>
        </w:rPr>
        <w:t>puso a disposición del Juzgado</w:t>
      </w:r>
      <w:r w:rsidR="00DD5DEE" w:rsidRPr="00E13CAA">
        <w:rPr>
          <w:rFonts w:ascii="Cambria" w:hAnsi="Cambria"/>
          <w:color w:val="000000" w:themeColor="text1"/>
          <w:sz w:val="20"/>
          <w:szCs w:val="20"/>
          <w:lang w:val="es-PE"/>
        </w:rPr>
        <w:t xml:space="preserve"> de Pedro Juan Caballero</w:t>
      </w:r>
      <w:r w:rsidRPr="00E13CAA">
        <w:rPr>
          <w:rFonts w:ascii="Cambria" w:hAnsi="Cambria"/>
          <w:color w:val="000000" w:themeColor="text1"/>
          <w:sz w:val="20"/>
          <w:szCs w:val="20"/>
          <w:lang w:val="es-PE"/>
        </w:rPr>
        <w:t xml:space="preserve">, </w:t>
      </w:r>
      <w:r w:rsidR="008A1BA2" w:rsidRPr="00E13CAA">
        <w:rPr>
          <w:rFonts w:ascii="Cambria" w:hAnsi="Cambria"/>
          <w:color w:val="000000" w:themeColor="text1"/>
          <w:sz w:val="20"/>
          <w:szCs w:val="20"/>
          <w:lang w:val="es-PE"/>
        </w:rPr>
        <w:t xml:space="preserve">el cual ordenó su detención ese mismo día y recabó su </w:t>
      </w:r>
      <w:r w:rsidRPr="00E13CAA">
        <w:rPr>
          <w:rFonts w:ascii="Cambria" w:hAnsi="Cambria"/>
          <w:color w:val="000000" w:themeColor="text1"/>
          <w:sz w:val="20"/>
          <w:szCs w:val="20"/>
          <w:lang w:val="es-PE"/>
        </w:rPr>
        <w:t>declaración indagatoria</w:t>
      </w:r>
      <w:r w:rsidR="0051546E" w:rsidRPr="00E13CAA">
        <w:rPr>
          <w:rFonts w:ascii="Cambria" w:hAnsi="Cambria"/>
          <w:color w:val="000000" w:themeColor="text1"/>
          <w:sz w:val="20"/>
          <w:szCs w:val="20"/>
          <w:lang w:val="es-PE"/>
        </w:rPr>
        <w:t xml:space="preserve">. </w:t>
      </w:r>
      <w:r w:rsidR="00010A63" w:rsidRPr="00E13CAA">
        <w:rPr>
          <w:rFonts w:ascii="Cambria" w:hAnsi="Cambria"/>
          <w:color w:val="000000" w:themeColor="text1"/>
          <w:sz w:val="20"/>
          <w:szCs w:val="20"/>
          <w:lang w:val="es-PE"/>
        </w:rPr>
        <w:t>Ese mismo día</w:t>
      </w:r>
      <w:r w:rsidRPr="00E13CAA">
        <w:rPr>
          <w:rFonts w:ascii="Cambria" w:hAnsi="Cambria"/>
          <w:color w:val="000000" w:themeColor="text1"/>
          <w:sz w:val="20"/>
          <w:szCs w:val="20"/>
          <w:lang w:val="es-PE"/>
        </w:rPr>
        <w:t xml:space="preserve"> el Juzgado ordenó levantar la detención preventiva del procesado y disponer su libertad</w:t>
      </w:r>
      <w:r w:rsidR="00CC2CCC" w:rsidRPr="00E13CAA">
        <w:rPr>
          <w:rFonts w:ascii="Cambria" w:hAnsi="Cambria"/>
          <w:color w:val="000000" w:themeColor="text1"/>
          <w:sz w:val="20"/>
          <w:szCs w:val="20"/>
          <w:lang w:val="es-PE"/>
        </w:rPr>
        <w:t xml:space="preserve"> debido a la falta de elementos incriminatorios, sin desvincularlo del proceso. No se decretó </w:t>
      </w:r>
      <w:r w:rsidRPr="00E13CAA">
        <w:rPr>
          <w:rFonts w:ascii="Cambria" w:hAnsi="Cambria"/>
          <w:color w:val="000000" w:themeColor="text1"/>
          <w:sz w:val="20"/>
          <w:szCs w:val="20"/>
          <w:lang w:val="es-PE"/>
        </w:rPr>
        <w:t>otra medida cautelar en el marco del juicio</w:t>
      </w:r>
      <w:r w:rsidR="00950B3A" w:rsidRPr="00E13CAA">
        <w:rPr>
          <w:rFonts w:ascii="Cambria" w:hAnsi="Cambria"/>
          <w:color w:val="000000" w:themeColor="text1"/>
          <w:sz w:val="20"/>
          <w:szCs w:val="20"/>
          <w:lang w:val="es-PE"/>
        </w:rPr>
        <w:t>. Según la parte peticionaria, n</w:t>
      </w:r>
      <w:r w:rsidRPr="00E13CAA">
        <w:rPr>
          <w:rFonts w:ascii="Cambria" w:hAnsi="Cambria"/>
          <w:color w:val="000000" w:themeColor="text1"/>
          <w:sz w:val="20"/>
          <w:szCs w:val="20"/>
          <w:lang w:val="es-PE"/>
        </w:rPr>
        <w:t>inguna otra diligencia de investigación se efectuó respecto de este procesado en el transcurso de la causa</w:t>
      </w:r>
      <w:r w:rsidR="00950B3A" w:rsidRPr="00E13CAA">
        <w:rPr>
          <w:rStyle w:val="FootnoteReference"/>
          <w:rFonts w:ascii="Cambria" w:hAnsi="Cambria"/>
          <w:color w:val="000000" w:themeColor="text1"/>
          <w:sz w:val="20"/>
          <w:szCs w:val="20"/>
          <w:lang w:val="es-PE"/>
        </w:rPr>
        <w:footnoteReference w:id="56"/>
      </w:r>
      <w:r w:rsidRPr="00E13CAA">
        <w:rPr>
          <w:rFonts w:ascii="Cambria" w:hAnsi="Cambria"/>
          <w:color w:val="000000" w:themeColor="text1"/>
          <w:sz w:val="20"/>
          <w:szCs w:val="20"/>
          <w:lang w:val="es-PE"/>
        </w:rPr>
        <w:t xml:space="preserve">. </w:t>
      </w:r>
    </w:p>
    <w:p w14:paraId="195AD252" w14:textId="77777777" w:rsidR="002C6D1A" w:rsidRPr="00E13CAA" w:rsidRDefault="002C6D1A"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1A970D77" w14:textId="0F2AA3BE" w:rsidR="002C6D1A" w:rsidRPr="00E13CAA" w:rsidRDefault="005E681A"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 xml:space="preserve">La parte peticionaria </w:t>
      </w:r>
      <w:r w:rsidR="005471DD" w:rsidRPr="00E13CAA">
        <w:rPr>
          <w:rFonts w:ascii="Cambria" w:hAnsi="Cambria"/>
          <w:color w:val="000000" w:themeColor="text1"/>
          <w:sz w:val="20"/>
          <w:szCs w:val="20"/>
          <w:lang w:val="es-PE"/>
        </w:rPr>
        <w:t>señaló que</w:t>
      </w:r>
      <w:r w:rsidR="001439DD" w:rsidRPr="00E13CAA">
        <w:rPr>
          <w:rFonts w:ascii="Cambria" w:hAnsi="Cambria"/>
          <w:color w:val="000000" w:themeColor="text1"/>
          <w:sz w:val="20"/>
          <w:szCs w:val="20"/>
          <w:lang w:val="es-PE"/>
        </w:rPr>
        <w:t>,</w:t>
      </w:r>
      <w:r w:rsidR="005471DD" w:rsidRPr="00E13CAA">
        <w:rPr>
          <w:rFonts w:ascii="Cambria" w:hAnsi="Cambria"/>
          <w:color w:val="000000" w:themeColor="text1"/>
          <w:sz w:val="20"/>
          <w:szCs w:val="20"/>
          <w:lang w:val="es-PE"/>
        </w:rPr>
        <w:t xml:space="preserve"> de conformidad con el expediente de la causa, el Ju</w:t>
      </w:r>
      <w:r w:rsidR="00836E21" w:rsidRPr="00E13CAA">
        <w:rPr>
          <w:rFonts w:ascii="Cambria" w:hAnsi="Cambria"/>
          <w:color w:val="000000" w:themeColor="text1"/>
          <w:sz w:val="20"/>
          <w:szCs w:val="20"/>
          <w:lang w:val="es-PE"/>
        </w:rPr>
        <w:t xml:space="preserve">zgado rechazó la </w:t>
      </w:r>
      <w:r w:rsidR="00164218" w:rsidRPr="00E13CAA">
        <w:rPr>
          <w:rFonts w:ascii="Cambria" w:hAnsi="Cambria"/>
          <w:color w:val="000000" w:themeColor="text1"/>
          <w:sz w:val="20"/>
          <w:szCs w:val="20"/>
          <w:lang w:val="es-PE"/>
        </w:rPr>
        <w:t>i</w:t>
      </w:r>
      <w:r w:rsidR="00836E21" w:rsidRPr="00E13CAA">
        <w:rPr>
          <w:rFonts w:ascii="Cambria" w:hAnsi="Cambria"/>
          <w:color w:val="000000" w:themeColor="text1"/>
          <w:sz w:val="20"/>
          <w:szCs w:val="20"/>
          <w:lang w:val="es-PE"/>
        </w:rPr>
        <w:t xml:space="preserve">ncorporación </w:t>
      </w:r>
      <w:r w:rsidR="004069D8">
        <w:rPr>
          <w:rFonts w:ascii="Cambria" w:hAnsi="Cambria"/>
          <w:color w:val="000000" w:themeColor="text1"/>
          <w:sz w:val="20"/>
          <w:szCs w:val="20"/>
          <w:lang w:val="es-PE"/>
        </w:rPr>
        <w:t xml:space="preserve">de </w:t>
      </w:r>
      <w:r w:rsidR="00836E21" w:rsidRPr="00E13CAA">
        <w:rPr>
          <w:rFonts w:ascii="Cambria" w:hAnsi="Cambria"/>
          <w:color w:val="000000" w:themeColor="text1"/>
          <w:sz w:val="20"/>
          <w:szCs w:val="20"/>
          <w:lang w:val="es-PE"/>
        </w:rPr>
        <w:t xml:space="preserve">informes </w:t>
      </w:r>
      <w:r w:rsidR="00BA7561" w:rsidRPr="00E13CAA">
        <w:rPr>
          <w:rFonts w:ascii="Cambria" w:hAnsi="Cambria"/>
          <w:color w:val="000000" w:themeColor="text1"/>
          <w:sz w:val="20"/>
          <w:szCs w:val="20"/>
          <w:lang w:val="es-PE"/>
        </w:rPr>
        <w:t>de</w:t>
      </w:r>
      <w:r w:rsidR="00836E21" w:rsidRPr="00E13CAA">
        <w:rPr>
          <w:rFonts w:ascii="Cambria" w:hAnsi="Cambria"/>
          <w:color w:val="000000" w:themeColor="text1"/>
          <w:sz w:val="20"/>
          <w:szCs w:val="20"/>
          <w:lang w:val="es-PE"/>
        </w:rPr>
        <w:t>l agente fiscal provenientes de la Policía brasileña del Estado de Mato Grosso</w:t>
      </w:r>
      <w:r w:rsidR="004069D8" w:rsidRPr="004069D8">
        <w:rPr>
          <w:rFonts w:ascii="Cambria" w:hAnsi="Cambria"/>
          <w:color w:val="000000" w:themeColor="text1"/>
          <w:sz w:val="20"/>
          <w:szCs w:val="20"/>
          <w:lang w:val="es-PE"/>
        </w:rPr>
        <w:t xml:space="preserve"> </w:t>
      </w:r>
      <w:r w:rsidR="004069D8" w:rsidRPr="00E13CAA">
        <w:rPr>
          <w:rFonts w:ascii="Cambria" w:hAnsi="Cambria"/>
          <w:color w:val="000000" w:themeColor="text1"/>
          <w:sz w:val="20"/>
          <w:szCs w:val="20"/>
          <w:lang w:val="es-PE"/>
        </w:rPr>
        <w:t>como prueba</w:t>
      </w:r>
      <w:r w:rsidR="00836E21" w:rsidRPr="00E13CAA">
        <w:rPr>
          <w:rFonts w:ascii="Cambria" w:hAnsi="Cambria"/>
          <w:color w:val="000000" w:themeColor="text1"/>
          <w:sz w:val="20"/>
          <w:szCs w:val="20"/>
          <w:lang w:val="es-PE"/>
        </w:rPr>
        <w:t>, en las que algunos de los procesados daban declaraciones inculpatorias, por no estar traducidas del portugués</w:t>
      </w:r>
      <w:r w:rsidR="00075EBE" w:rsidRPr="00E13CAA">
        <w:rPr>
          <w:rStyle w:val="FootnoteReference"/>
          <w:rFonts w:ascii="Cambria" w:hAnsi="Cambria"/>
          <w:color w:val="000000" w:themeColor="text1"/>
          <w:sz w:val="20"/>
          <w:szCs w:val="20"/>
          <w:lang w:val="es-PE"/>
        </w:rPr>
        <w:footnoteReference w:id="57"/>
      </w:r>
      <w:r w:rsidR="00075EBE" w:rsidRPr="00E13CAA">
        <w:rPr>
          <w:rFonts w:ascii="Cambria" w:hAnsi="Cambria"/>
          <w:color w:val="000000" w:themeColor="text1"/>
          <w:sz w:val="20"/>
          <w:szCs w:val="20"/>
          <w:lang w:val="es-PE"/>
        </w:rPr>
        <w:t>. El Estado no controvirtió lo anterior.</w:t>
      </w:r>
    </w:p>
    <w:p w14:paraId="75BB93FA" w14:textId="77777777" w:rsidR="002C6D1A" w:rsidRPr="00E13CAA" w:rsidRDefault="002C6D1A"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33C1FC95" w14:textId="77E43200" w:rsidR="009F3182" w:rsidRPr="00E13CAA" w:rsidRDefault="00BE551B"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El 14 de mayo de 1992</w:t>
      </w:r>
      <w:r w:rsidR="0062678E" w:rsidRPr="00E13CAA">
        <w:rPr>
          <w:rFonts w:ascii="Cambria" w:hAnsi="Cambria"/>
          <w:color w:val="000000" w:themeColor="text1"/>
          <w:sz w:val="20"/>
          <w:szCs w:val="20"/>
          <w:lang w:val="es-PE"/>
        </w:rPr>
        <w:t xml:space="preserve"> el fiscal del caso pidió al Juzgado llamar a declarar </w:t>
      </w:r>
      <w:r w:rsidR="00875865" w:rsidRPr="00E13CAA">
        <w:rPr>
          <w:rFonts w:ascii="Cambria" w:hAnsi="Cambria"/>
          <w:color w:val="000000" w:themeColor="text1"/>
          <w:sz w:val="20"/>
          <w:szCs w:val="20"/>
          <w:lang w:val="es-PE"/>
        </w:rPr>
        <w:t>a una testigo que mencionó a</w:t>
      </w:r>
      <w:r w:rsidR="00922C2E" w:rsidRPr="00E13CAA">
        <w:rPr>
          <w:rFonts w:ascii="Cambria" w:hAnsi="Cambria"/>
          <w:color w:val="000000" w:themeColor="text1"/>
          <w:sz w:val="20"/>
          <w:szCs w:val="20"/>
          <w:lang w:val="es-PE"/>
        </w:rPr>
        <w:t xml:space="preserve"> </w:t>
      </w:r>
      <w:r w:rsidR="00FD2E69" w:rsidRPr="00E13CAA">
        <w:rPr>
          <w:rFonts w:ascii="Cambria" w:hAnsi="Cambria"/>
          <w:color w:val="000000" w:themeColor="text1"/>
          <w:sz w:val="20"/>
          <w:szCs w:val="20"/>
          <w:lang w:val="es-PE"/>
        </w:rPr>
        <w:t>Fernando Mendonca como p</w:t>
      </w:r>
      <w:r w:rsidR="00CE57A1" w:rsidRPr="00E13CAA">
        <w:rPr>
          <w:rFonts w:ascii="Cambria" w:hAnsi="Cambria"/>
          <w:color w:val="000000" w:themeColor="text1"/>
          <w:sz w:val="20"/>
          <w:szCs w:val="20"/>
          <w:lang w:val="es-PE"/>
        </w:rPr>
        <w:t>resunto</w:t>
      </w:r>
      <w:r w:rsidR="00FD2E69" w:rsidRPr="00E13CAA">
        <w:rPr>
          <w:rFonts w:ascii="Cambria" w:hAnsi="Cambria"/>
          <w:color w:val="000000" w:themeColor="text1"/>
          <w:sz w:val="20"/>
          <w:szCs w:val="20"/>
          <w:lang w:val="es-PE"/>
        </w:rPr>
        <w:t xml:space="preserve"> autor </w:t>
      </w:r>
      <w:r w:rsidR="00BA7332" w:rsidRPr="00E13CAA">
        <w:rPr>
          <w:rFonts w:ascii="Cambria" w:hAnsi="Cambria"/>
          <w:color w:val="000000" w:themeColor="text1"/>
          <w:sz w:val="20"/>
          <w:szCs w:val="20"/>
          <w:lang w:val="es-PE"/>
        </w:rPr>
        <w:t xml:space="preserve">intelectual </w:t>
      </w:r>
      <w:r w:rsidR="00FD2E69" w:rsidRPr="00E13CAA">
        <w:rPr>
          <w:rFonts w:ascii="Cambria" w:hAnsi="Cambria"/>
          <w:color w:val="000000" w:themeColor="text1"/>
          <w:sz w:val="20"/>
          <w:szCs w:val="20"/>
          <w:lang w:val="es-PE"/>
        </w:rPr>
        <w:t xml:space="preserve">del </w:t>
      </w:r>
      <w:r w:rsidR="00007E78">
        <w:rPr>
          <w:rFonts w:ascii="Cambria" w:hAnsi="Cambria"/>
          <w:color w:val="000000" w:themeColor="text1"/>
          <w:sz w:val="20"/>
          <w:szCs w:val="20"/>
          <w:lang w:val="es-PE"/>
        </w:rPr>
        <w:t>asesinato de Santiago Leguizamón</w:t>
      </w:r>
      <w:r w:rsidR="00FD2E69" w:rsidRPr="00E13CAA">
        <w:rPr>
          <w:rFonts w:ascii="Cambria" w:hAnsi="Cambria"/>
          <w:color w:val="000000" w:themeColor="text1"/>
          <w:sz w:val="20"/>
          <w:szCs w:val="20"/>
          <w:lang w:val="es-PE"/>
        </w:rPr>
        <w:t>, luego de la pu</w:t>
      </w:r>
      <w:r w:rsidR="007F3050" w:rsidRPr="00E13CAA">
        <w:rPr>
          <w:rFonts w:ascii="Cambria" w:hAnsi="Cambria"/>
          <w:color w:val="000000" w:themeColor="text1"/>
          <w:sz w:val="20"/>
          <w:szCs w:val="20"/>
          <w:lang w:val="es-PE"/>
        </w:rPr>
        <w:t>b</w:t>
      </w:r>
      <w:r w:rsidR="00FD2E69" w:rsidRPr="00E13CAA">
        <w:rPr>
          <w:rFonts w:ascii="Cambria" w:hAnsi="Cambria"/>
          <w:color w:val="000000" w:themeColor="text1"/>
          <w:sz w:val="20"/>
          <w:szCs w:val="20"/>
          <w:lang w:val="es-PE"/>
        </w:rPr>
        <w:t>licación de una nota de prensa</w:t>
      </w:r>
      <w:r w:rsidR="007F3050" w:rsidRPr="00E13CAA">
        <w:rPr>
          <w:rStyle w:val="FootnoteReference"/>
          <w:rFonts w:ascii="Cambria" w:hAnsi="Cambria"/>
          <w:color w:val="000000" w:themeColor="text1"/>
          <w:sz w:val="20"/>
          <w:szCs w:val="20"/>
          <w:lang w:val="es-PE"/>
        </w:rPr>
        <w:footnoteReference w:id="58"/>
      </w:r>
      <w:r w:rsidR="00FD2E69" w:rsidRPr="00E13CAA">
        <w:rPr>
          <w:rFonts w:ascii="Cambria" w:hAnsi="Cambria"/>
          <w:color w:val="000000" w:themeColor="text1"/>
          <w:sz w:val="20"/>
          <w:szCs w:val="20"/>
          <w:lang w:val="es-PE"/>
        </w:rPr>
        <w:t xml:space="preserve">. </w:t>
      </w:r>
      <w:r w:rsidR="009C088C" w:rsidRPr="00E13CAA">
        <w:rPr>
          <w:rFonts w:ascii="Cambria" w:hAnsi="Cambria"/>
          <w:color w:val="000000" w:themeColor="text1"/>
          <w:sz w:val="20"/>
          <w:szCs w:val="20"/>
          <w:lang w:val="es-PE"/>
        </w:rPr>
        <w:t xml:space="preserve">Según la parte peticionaria, el 5 </w:t>
      </w:r>
      <w:r w:rsidR="00836E21" w:rsidRPr="00E13CAA">
        <w:rPr>
          <w:rFonts w:ascii="Cambria" w:hAnsi="Cambria"/>
          <w:color w:val="000000" w:themeColor="text1"/>
          <w:sz w:val="20"/>
          <w:szCs w:val="20"/>
          <w:lang w:val="es-PE"/>
        </w:rPr>
        <w:t xml:space="preserve">de noviembre de 1997 el Ministerio Público solicitó </w:t>
      </w:r>
      <w:r w:rsidR="00B0722E" w:rsidRPr="00E13CAA">
        <w:rPr>
          <w:rFonts w:ascii="Cambria" w:hAnsi="Cambria"/>
          <w:color w:val="000000" w:themeColor="text1"/>
          <w:sz w:val="20"/>
          <w:szCs w:val="20"/>
          <w:lang w:val="es-PE"/>
        </w:rPr>
        <w:t>su</w:t>
      </w:r>
      <w:r w:rsidR="00836E21" w:rsidRPr="00E13CAA">
        <w:rPr>
          <w:rFonts w:ascii="Cambria" w:hAnsi="Cambria"/>
          <w:color w:val="000000" w:themeColor="text1"/>
          <w:sz w:val="20"/>
          <w:szCs w:val="20"/>
          <w:lang w:val="es-PE"/>
        </w:rPr>
        <w:t xml:space="preserve"> procesamiento penal, sindicado como presunto autor </w:t>
      </w:r>
      <w:r w:rsidR="00BA7332" w:rsidRPr="00E13CAA">
        <w:rPr>
          <w:rFonts w:ascii="Cambria" w:hAnsi="Cambria"/>
          <w:color w:val="000000" w:themeColor="text1"/>
          <w:sz w:val="20"/>
          <w:szCs w:val="20"/>
          <w:lang w:val="es-PE"/>
        </w:rPr>
        <w:t>intelectual d</w:t>
      </w:r>
      <w:r w:rsidR="00836E21" w:rsidRPr="00E13CAA">
        <w:rPr>
          <w:rFonts w:ascii="Cambria" w:hAnsi="Cambria"/>
          <w:color w:val="000000" w:themeColor="text1"/>
          <w:sz w:val="20"/>
          <w:szCs w:val="20"/>
          <w:lang w:val="es-PE"/>
        </w:rPr>
        <w:t>el</w:t>
      </w:r>
      <w:r w:rsidR="00BA7332" w:rsidRPr="00E13CAA">
        <w:rPr>
          <w:rFonts w:ascii="Cambria" w:hAnsi="Cambria"/>
          <w:color w:val="000000" w:themeColor="text1"/>
          <w:sz w:val="20"/>
          <w:szCs w:val="20"/>
          <w:lang w:val="es-PE"/>
        </w:rPr>
        <w:t xml:space="preserve"> asesinato contra e</w:t>
      </w:r>
      <w:r w:rsidR="00836E21" w:rsidRPr="00E13CAA">
        <w:rPr>
          <w:rFonts w:ascii="Cambria" w:hAnsi="Cambria"/>
          <w:color w:val="000000" w:themeColor="text1"/>
          <w:sz w:val="20"/>
          <w:szCs w:val="20"/>
          <w:lang w:val="es-PE"/>
        </w:rPr>
        <w:t xml:space="preserve">l periodista, a partir de las declaraciones brindadas por un testigo periodista de radio Mburucuyá. El 8 de abril de 1998 el Juzgado </w:t>
      </w:r>
      <w:r w:rsidR="003117FB" w:rsidRPr="00E13CAA">
        <w:rPr>
          <w:rFonts w:ascii="Cambria" w:hAnsi="Cambria"/>
          <w:color w:val="000000" w:themeColor="text1"/>
          <w:sz w:val="20"/>
          <w:szCs w:val="20"/>
          <w:lang w:val="es-PE"/>
        </w:rPr>
        <w:t>volvió a</w:t>
      </w:r>
      <w:r w:rsidR="00836E21" w:rsidRPr="00E13CAA">
        <w:rPr>
          <w:rFonts w:ascii="Cambria" w:hAnsi="Cambria"/>
          <w:color w:val="000000" w:themeColor="text1"/>
          <w:sz w:val="20"/>
          <w:szCs w:val="20"/>
          <w:lang w:val="es-PE"/>
        </w:rPr>
        <w:t xml:space="preserve"> ampliar el sumario y decret</w:t>
      </w:r>
      <w:r w:rsidR="003F391D" w:rsidRPr="00E13CAA">
        <w:rPr>
          <w:rFonts w:ascii="Cambria" w:hAnsi="Cambria"/>
          <w:color w:val="000000" w:themeColor="text1"/>
          <w:sz w:val="20"/>
          <w:szCs w:val="20"/>
          <w:lang w:val="es-PE"/>
        </w:rPr>
        <w:t>ó</w:t>
      </w:r>
      <w:r w:rsidR="00836E21" w:rsidRPr="00E13CAA">
        <w:rPr>
          <w:rFonts w:ascii="Cambria" w:hAnsi="Cambria"/>
          <w:color w:val="000000" w:themeColor="text1"/>
          <w:sz w:val="20"/>
          <w:szCs w:val="20"/>
          <w:lang w:val="es-PE"/>
        </w:rPr>
        <w:t xml:space="preserve"> el procesamiento penal de Fernando Enrique Mendonça Alcorta</w:t>
      </w:r>
      <w:r w:rsidR="003F4150" w:rsidRPr="00E13CAA">
        <w:rPr>
          <w:rFonts w:ascii="Cambria" w:hAnsi="Cambria"/>
          <w:color w:val="000000" w:themeColor="text1"/>
          <w:sz w:val="20"/>
          <w:szCs w:val="20"/>
          <w:lang w:val="es-PE"/>
        </w:rPr>
        <w:t>.</w:t>
      </w:r>
      <w:r w:rsidR="00836E21" w:rsidRPr="00E13CAA">
        <w:rPr>
          <w:rFonts w:ascii="Cambria" w:hAnsi="Cambria"/>
          <w:color w:val="000000" w:themeColor="text1"/>
          <w:sz w:val="20"/>
          <w:szCs w:val="20"/>
          <w:lang w:val="es-PE"/>
        </w:rPr>
        <w:t xml:space="preserve"> El 26 de mayo de 1998 el señor Mendonça prestó declaración indagatoria ante el Juzgado de la causa</w:t>
      </w:r>
      <w:r w:rsidR="00B46262" w:rsidRPr="00E13CAA">
        <w:rPr>
          <w:rFonts w:ascii="Cambria" w:hAnsi="Cambria"/>
          <w:color w:val="000000" w:themeColor="text1"/>
          <w:sz w:val="20"/>
          <w:szCs w:val="20"/>
          <w:lang w:val="es-PE"/>
        </w:rPr>
        <w:t xml:space="preserve">. Según la parte </w:t>
      </w:r>
      <w:r w:rsidR="001F689C" w:rsidRPr="00E13CAA">
        <w:rPr>
          <w:rFonts w:ascii="Cambria" w:hAnsi="Cambria"/>
          <w:color w:val="000000" w:themeColor="text1"/>
          <w:sz w:val="20"/>
          <w:szCs w:val="20"/>
          <w:lang w:val="es-PE"/>
        </w:rPr>
        <w:t>peticionaria</w:t>
      </w:r>
      <w:r w:rsidR="00B46262" w:rsidRPr="00E13CAA">
        <w:rPr>
          <w:rFonts w:ascii="Cambria" w:hAnsi="Cambria"/>
          <w:color w:val="000000" w:themeColor="text1"/>
          <w:sz w:val="20"/>
          <w:szCs w:val="20"/>
          <w:lang w:val="es-PE"/>
        </w:rPr>
        <w:t xml:space="preserve">, lo cual no fue controvertido por el Estado, </w:t>
      </w:r>
      <w:r w:rsidR="003F4150" w:rsidRPr="00E13CAA">
        <w:rPr>
          <w:rFonts w:ascii="Cambria" w:hAnsi="Cambria"/>
          <w:color w:val="000000" w:themeColor="text1"/>
          <w:sz w:val="20"/>
          <w:szCs w:val="20"/>
          <w:lang w:val="es-PE"/>
        </w:rPr>
        <w:t>no</w:t>
      </w:r>
      <w:r w:rsidR="00836E21" w:rsidRPr="00E13CAA">
        <w:rPr>
          <w:rFonts w:ascii="Cambria" w:hAnsi="Cambria"/>
          <w:color w:val="000000" w:themeColor="text1"/>
          <w:sz w:val="20"/>
          <w:szCs w:val="20"/>
          <w:lang w:val="es-PE"/>
        </w:rPr>
        <w:t xml:space="preserve"> se decretó medida cautelar alguna para asegurar su comparecencia al juicio y no se realiz</w:t>
      </w:r>
      <w:r w:rsidR="00B46262" w:rsidRPr="00E13CAA">
        <w:rPr>
          <w:rFonts w:ascii="Cambria" w:hAnsi="Cambria"/>
          <w:color w:val="000000" w:themeColor="text1"/>
          <w:sz w:val="20"/>
          <w:szCs w:val="20"/>
          <w:lang w:val="es-PE"/>
        </w:rPr>
        <w:t>aron</w:t>
      </w:r>
      <w:r w:rsidR="00156624" w:rsidRPr="00E13CAA">
        <w:rPr>
          <w:rFonts w:ascii="Cambria" w:hAnsi="Cambria"/>
          <w:color w:val="000000" w:themeColor="text1"/>
          <w:sz w:val="20"/>
          <w:szCs w:val="20"/>
          <w:lang w:val="es-PE"/>
        </w:rPr>
        <w:t xml:space="preserve"> actos posteriores </w:t>
      </w:r>
      <w:r w:rsidR="00836E21" w:rsidRPr="00E13CAA">
        <w:rPr>
          <w:rFonts w:ascii="Cambria" w:hAnsi="Cambria"/>
          <w:color w:val="000000" w:themeColor="text1"/>
          <w:sz w:val="20"/>
          <w:szCs w:val="20"/>
          <w:lang w:val="es-PE"/>
        </w:rPr>
        <w:t>de investigación relacionado</w:t>
      </w:r>
      <w:r w:rsidR="00007E78">
        <w:rPr>
          <w:rFonts w:ascii="Cambria" w:hAnsi="Cambria"/>
          <w:color w:val="000000" w:themeColor="text1"/>
          <w:sz w:val="20"/>
          <w:szCs w:val="20"/>
          <w:lang w:val="es-PE"/>
        </w:rPr>
        <w:t>s</w:t>
      </w:r>
      <w:r w:rsidR="00836E21" w:rsidRPr="00E13CAA">
        <w:rPr>
          <w:rFonts w:ascii="Cambria" w:hAnsi="Cambria"/>
          <w:color w:val="000000" w:themeColor="text1"/>
          <w:sz w:val="20"/>
          <w:szCs w:val="20"/>
          <w:lang w:val="es-PE"/>
        </w:rPr>
        <w:t xml:space="preserve"> </w:t>
      </w:r>
      <w:r w:rsidR="00007E78">
        <w:rPr>
          <w:rFonts w:ascii="Cambria" w:hAnsi="Cambria"/>
          <w:color w:val="000000" w:themeColor="text1"/>
          <w:sz w:val="20"/>
          <w:szCs w:val="20"/>
          <w:lang w:val="es-PE"/>
        </w:rPr>
        <w:t>con</w:t>
      </w:r>
      <w:r w:rsidR="00836E21" w:rsidRPr="00E13CAA">
        <w:rPr>
          <w:rFonts w:ascii="Cambria" w:hAnsi="Cambria"/>
          <w:color w:val="000000" w:themeColor="text1"/>
          <w:sz w:val="20"/>
          <w:szCs w:val="20"/>
          <w:lang w:val="es-PE"/>
        </w:rPr>
        <w:t xml:space="preserve"> su presunta participación en el crimen del periodista. El 14 de mayo de 1999 el Juzgado resolvió el sobreseimiento provisional de Mendonça, </w:t>
      </w:r>
      <w:r w:rsidR="00156624" w:rsidRPr="00E13CAA">
        <w:rPr>
          <w:rFonts w:ascii="Cambria" w:hAnsi="Cambria"/>
          <w:color w:val="000000" w:themeColor="text1"/>
          <w:sz w:val="20"/>
          <w:szCs w:val="20"/>
          <w:lang w:val="es-PE"/>
        </w:rPr>
        <w:t xml:space="preserve">al no haberse podido demostrar su participación en el </w:t>
      </w:r>
      <w:r w:rsidR="00E40009" w:rsidRPr="00E13CAA">
        <w:rPr>
          <w:rFonts w:ascii="Cambria" w:hAnsi="Cambria"/>
          <w:color w:val="000000" w:themeColor="text1"/>
          <w:sz w:val="20"/>
          <w:szCs w:val="20"/>
          <w:lang w:val="es-PE"/>
        </w:rPr>
        <w:lastRenderedPageBreak/>
        <w:t>ilícito</w:t>
      </w:r>
      <w:r w:rsidR="00E40009" w:rsidRPr="00E13CAA">
        <w:rPr>
          <w:rStyle w:val="FootnoteReference"/>
          <w:rFonts w:ascii="Cambria" w:hAnsi="Cambria"/>
          <w:color w:val="000000" w:themeColor="text1"/>
          <w:sz w:val="20"/>
          <w:szCs w:val="20"/>
          <w:lang w:val="es-PE"/>
        </w:rPr>
        <w:footnoteReference w:id="59"/>
      </w:r>
      <w:r w:rsidR="00E40009" w:rsidRPr="00E13CAA">
        <w:rPr>
          <w:rFonts w:ascii="Cambria" w:hAnsi="Cambria"/>
          <w:color w:val="000000" w:themeColor="text1"/>
          <w:sz w:val="20"/>
          <w:szCs w:val="20"/>
          <w:lang w:val="es-PE"/>
        </w:rPr>
        <w:t xml:space="preserve">. </w:t>
      </w:r>
      <w:r w:rsidR="002C4B3E" w:rsidRPr="00E13CAA">
        <w:rPr>
          <w:rFonts w:ascii="Cambria" w:hAnsi="Cambria"/>
          <w:color w:val="000000" w:themeColor="text1"/>
          <w:sz w:val="20"/>
          <w:szCs w:val="20"/>
          <w:lang w:val="es-PE"/>
        </w:rPr>
        <w:t xml:space="preserve">La testigo que inculpó al señor Mendonca, </w:t>
      </w:r>
      <w:r w:rsidR="005B785C" w:rsidRPr="00E13CAA">
        <w:rPr>
          <w:rFonts w:ascii="Cambria" w:hAnsi="Cambria"/>
          <w:color w:val="000000" w:themeColor="text1"/>
          <w:sz w:val="20"/>
          <w:szCs w:val="20"/>
          <w:lang w:val="es-PE"/>
        </w:rPr>
        <w:t xml:space="preserve">en el momento </w:t>
      </w:r>
      <w:r w:rsidR="002C4B3E" w:rsidRPr="00E13CAA">
        <w:rPr>
          <w:rFonts w:ascii="Cambria" w:hAnsi="Cambria"/>
          <w:color w:val="000000" w:themeColor="text1"/>
          <w:sz w:val="20"/>
          <w:szCs w:val="20"/>
          <w:lang w:val="es-PE"/>
        </w:rPr>
        <w:t xml:space="preserve">de declarar ante el </w:t>
      </w:r>
      <w:r w:rsidR="00980140">
        <w:rPr>
          <w:rFonts w:ascii="Cambria" w:hAnsi="Cambria"/>
          <w:color w:val="000000" w:themeColor="text1"/>
          <w:sz w:val="20"/>
          <w:szCs w:val="20"/>
          <w:lang w:val="es-PE"/>
        </w:rPr>
        <w:t>Juzgado</w:t>
      </w:r>
      <w:r w:rsidR="005B785C" w:rsidRPr="00E13CAA">
        <w:rPr>
          <w:rFonts w:ascii="Cambria" w:hAnsi="Cambria"/>
          <w:color w:val="000000" w:themeColor="text1"/>
          <w:sz w:val="20"/>
          <w:szCs w:val="20"/>
          <w:lang w:val="es-PE"/>
        </w:rPr>
        <w:t>, solicitó medidas de protección</w:t>
      </w:r>
      <w:r w:rsidR="00817825" w:rsidRPr="00E13CAA">
        <w:rPr>
          <w:rFonts w:ascii="Cambria" w:hAnsi="Cambria"/>
          <w:color w:val="000000" w:themeColor="text1"/>
          <w:sz w:val="20"/>
          <w:szCs w:val="20"/>
          <w:lang w:val="es-PE"/>
        </w:rPr>
        <w:t xml:space="preserve"> policial</w:t>
      </w:r>
      <w:r w:rsidR="005B785C" w:rsidRPr="00E13CAA">
        <w:rPr>
          <w:rFonts w:ascii="Cambria" w:hAnsi="Cambria"/>
          <w:color w:val="000000" w:themeColor="text1"/>
          <w:sz w:val="20"/>
          <w:szCs w:val="20"/>
          <w:lang w:val="es-PE"/>
        </w:rPr>
        <w:t xml:space="preserve"> </w:t>
      </w:r>
      <w:r w:rsidR="00E87465" w:rsidRPr="00E13CAA">
        <w:rPr>
          <w:rFonts w:ascii="Cambria" w:hAnsi="Cambria"/>
          <w:color w:val="000000" w:themeColor="text1"/>
          <w:sz w:val="20"/>
          <w:szCs w:val="20"/>
          <w:lang w:val="es-PE"/>
        </w:rPr>
        <w:t xml:space="preserve">para su vida </w:t>
      </w:r>
      <w:r w:rsidR="005B785C" w:rsidRPr="00E13CAA">
        <w:rPr>
          <w:rFonts w:ascii="Cambria" w:hAnsi="Cambria"/>
          <w:color w:val="000000" w:themeColor="text1"/>
          <w:sz w:val="20"/>
          <w:szCs w:val="20"/>
          <w:lang w:val="es-PE"/>
        </w:rPr>
        <w:t xml:space="preserve">que le fueron otorgadas </w:t>
      </w:r>
      <w:r w:rsidR="00E87465" w:rsidRPr="00E13CAA">
        <w:rPr>
          <w:rFonts w:ascii="Cambria" w:hAnsi="Cambria"/>
          <w:color w:val="000000" w:themeColor="text1"/>
          <w:sz w:val="20"/>
          <w:szCs w:val="20"/>
          <w:lang w:val="es-PE"/>
        </w:rPr>
        <w:t xml:space="preserve">el 29 de mayo de 1992 por el plazo de </w:t>
      </w:r>
      <w:r w:rsidR="00817825" w:rsidRPr="00E13CAA">
        <w:rPr>
          <w:rFonts w:ascii="Cambria" w:hAnsi="Cambria"/>
          <w:color w:val="000000" w:themeColor="text1"/>
          <w:sz w:val="20"/>
          <w:szCs w:val="20"/>
          <w:lang w:val="es-PE"/>
        </w:rPr>
        <w:t>ocho días. La entidad encargad</w:t>
      </w:r>
      <w:r w:rsidR="003D71A2">
        <w:rPr>
          <w:rFonts w:ascii="Cambria" w:hAnsi="Cambria"/>
          <w:color w:val="000000" w:themeColor="text1"/>
          <w:sz w:val="20"/>
          <w:szCs w:val="20"/>
          <w:lang w:val="es-PE"/>
        </w:rPr>
        <w:t>a</w:t>
      </w:r>
      <w:r w:rsidR="00817825" w:rsidRPr="00E13CAA">
        <w:rPr>
          <w:rFonts w:ascii="Cambria" w:hAnsi="Cambria"/>
          <w:color w:val="000000" w:themeColor="text1"/>
          <w:sz w:val="20"/>
          <w:szCs w:val="20"/>
          <w:lang w:val="es-PE"/>
        </w:rPr>
        <w:t xml:space="preserve"> de brinda</w:t>
      </w:r>
      <w:r w:rsidR="00ED55E3" w:rsidRPr="00E13CAA">
        <w:rPr>
          <w:rFonts w:ascii="Cambria" w:hAnsi="Cambria"/>
          <w:color w:val="000000" w:themeColor="text1"/>
          <w:sz w:val="20"/>
          <w:szCs w:val="20"/>
          <w:lang w:val="es-PE"/>
        </w:rPr>
        <w:t xml:space="preserve">r la protección policial fue </w:t>
      </w:r>
      <w:r w:rsidR="002E1772" w:rsidRPr="00E13CAA">
        <w:rPr>
          <w:rFonts w:ascii="Cambria" w:hAnsi="Cambria"/>
          <w:color w:val="000000" w:themeColor="text1"/>
          <w:sz w:val="20"/>
          <w:szCs w:val="20"/>
          <w:lang w:val="es-PE"/>
        </w:rPr>
        <w:t>la Delegación de Gobierno del Amambay</w:t>
      </w:r>
      <w:r w:rsidR="009E60B7" w:rsidRPr="00E13CAA">
        <w:rPr>
          <w:rStyle w:val="FootnoteReference"/>
          <w:rFonts w:ascii="Cambria" w:hAnsi="Cambria"/>
          <w:color w:val="000000" w:themeColor="text1"/>
          <w:sz w:val="20"/>
          <w:szCs w:val="20"/>
          <w:lang w:val="es-PE"/>
        </w:rPr>
        <w:footnoteReference w:id="60"/>
      </w:r>
      <w:r w:rsidR="005B785C" w:rsidRPr="00E13CAA">
        <w:rPr>
          <w:rFonts w:ascii="Cambria" w:hAnsi="Cambria"/>
          <w:color w:val="000000" w:themeColor="text1"/>
          <w:sz w:val="20"/>
          <w:szCs w:val="20"/>
          <w:lang w:val="es-PE"/>
        </w:rPr>
        <w:t>.</w:t>
      </w:r>
    </w:p>
    <w:p w14:paraId="67D105E3" w14:textId="77777777" w:rsidR="00CE57A1" w:rsidRPr="00E13CAA" w:rsidRDefault="00CE57A1"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PE"/>
        </w:rPr>
      </w:pPr>
    </w:p>
    <w:p w14:paraId="6027CA5D" w14:textId="4D103BBA" w:rsidR="003C070E" w:rsidRPr="00E13CAA" w:rsidRDefault="00F1506F"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lang w:val="es-PE"/>
        </w:rPr>
      </w:pPr>
      <w:r w:rsidRPr="00E13CAA">
        <w:rPr>
          <w:rFonts w:ascii="Cambria" w:hAnsi="Cambria"/>
          <w:color w:val="000000" w:themeColor="text1"/>
          <w:sz w:val="20"/>
          <w:szCs w:val="20"/>
          <w:lang w:val="es-PE"/>
        </w:rPr>
        <w:t>Según la parte peticionaria</w:t>
      </w:r>
      <w:r w:rsidR="0005258E" w:rsidRPr="00E13CAA">
        <w:rPr>
          <w:rFonts w:ascii="Cambria" w:hAnsi="Cambria"/>
          <w:color w:val="000000" w:themeColor="text1"/>
          <w:sz w:val="20"/>
          <w:szCs w:val="20"/>
          <w:lang w:val="es-PE"/>
        </w:rPr>
        <w:t>,</w:t>
      </w:r>
      <w:r w:rsidR="001F689C" w:rsidRPr="00E13CAA">
        <w:rPr>
          <w:rFonts w:ascii="Cambria" w:hAnsi="Cambria"/>
          <w:color w:val="000000" w:themeColor="text1"/>
          <w:sz w:val="20"/>
          <w:szCs w:val="20"/>
          <w:lang w:val="es-PE"/>
        </w:rPr>
        <w:t xml:space="preserve"> </w:t>
      </w:r>
      <w:r w:rsidR="0005258E" w:rsidRPr="00E13CAA">
        <w:rPr>
          <w:rFonts w:ascii="Cambria" w:hAnsi="Cambria"/>
          <w:color w:val="000000" w:themeColor="text1"/>
          <w:sz w:val="20"/>
          <w:szCs w:val="20"/>
          <w:lang w:val="es-PE"/>
        </w:rPr>
        <w:t>sin controversia por parte del Estado, e</w:t>
      </w:r>
      <w:r w:rsidR="00836E21" w:rsidRPr="00E13CAA">
        <w:rPr>
          <w:rFonts w:ascii="Cambria" w:hAnsi="Cambria"/>
          <w:color w:val="000000" w:themeColor="text1"/>
          <w:sz w:val="20"/>
          <w:szCs w:val="20"/>
          <w:lang w:val="es-PE"/>
        </w:rPr>
        <w:t>l 28 de octubre de 1998 se agregó un informe de la Interpol Brasil referente a los obstáculos legales vigentes a partir del artículo 5 de la Constitución del Brasil que rigen la extradición de los ciudadanos brasileños</w:t>
      </w:r>
      <w:r w:rsidR="00007E78">
        <w:rPr>
          <w:rFonts w:ascii="Cambria" w:hAnsi="Cambria"/>
          <w:color w:val="000000" w:themeColor="text1"/>
          <w:sz w:val="20"/>
          <w:szCs w:val="20"/>
          <w:lang w:val="es-PE"/>
        </w:rPr>
        <w:t>. El informe destacó</w:t>
      </w:r>
      <w:r w:rsidR="00836E21" w:rsidRPr="00E13CAA">
        <w:rPr>
          <w:rFonts w:ascii="Cambria" w:hAnsi="Cambria"/>
          <w:color w:val="000000" w:themeColor="text1"/>
          <w:sz w:val="20"/>
          <w:szCs w:val="20"/>
          <w:lang w:val="es-PE"/>
        </w:rPr>
        <w:t xml:space="preserve"> la posibilidad de solicitar el procesamiento penal ante la jurisdicción </w:t>
      </w:r>
      <w:r w:rsidR="00860860">
        <w:rPr>
          <w:rFonts w:ascii="Cambria" w:hAnsi="Cambria"/>
          <w:color w:val="000000" w:themeColor="text1"/>
          <w:sz w:val="20"/>
          <w:szCs w:val="20"/>
          <w:lang w:val="es-PE"/>
        </w:rPr>
        <w:t>brasileña</w:t>
      </w:r>
      <w:r w:rsidR="00836E21" w:rsidRPr="00E13CAA">
        <w:rPr>
          <w:rFonts w:ascii="Cambria" w:hAnsi="Cambria"/>
          <w:color w:val="000000" w:themeColor="text1"/>
          <w:sz w:val="20"/>
          <w:szCs w:val="20"/>
          <w:lang w:val="es-PE"/>
        </w:rPr>
        <w:t>, de conformidad a las leyes del país</w:t>
      </w:r>
      <w:r w:rsidR="00DB589A" w:rsidRPr="00E13CAA">
        <w:rPr>
          <w:rFonts w:ascii="Cambria" w:hAnsi="Cambria"/>
          <w:color w:val="000000" w:themeColor="text1"/>
          <w:sz w:val="20"/>
          <w:szCs w:val="20"/>
          <w:lang w:val="es-PE"/>
        </w:rPr>
        <w:t xml:space="preserve"> por vía diplomática.</w:t>
      </w:r>
      <w:r w:rsidR="00836E21" w:rsidRPr="00E13CAA">
        <w:rPr>
          <w:rFonts w:ascii="Cambria" w:hAnsi="Cambria"/>
          <w:color w:val="000000" w:themeColor="text1"/>
          <w:sz w:val="20"/>
          <w:szCs w:val="20"/>
          <w:lang w:val="es-PE"/>
        </w:rPr>
        <w:t xml:space="preserve"> </w:t>
      </w:r>
      <w:r w:rsidR="00E24F4E" w:rsidRPr="00E13CAA">
        <w:rPr>
          <w:rFonts w:ascii="Cambria" w:hAnsi="Cambria"/>
          <w:color w:val="000000" w:themeColor="text1"/>
          <w:sz w:val="20"/>
          <w:szCs w:val="20"/>
          <w:lang w:val="es-PE"/>
        </w:rPr>
        <w:t>E</w:t>
      </w:r>
      <w:r w:rsidR="00836E21" w:rsidRPr="00E13CAA">
        <w:rPr>
          <w:rFonts w:ascii="Cambria" w:hAnsi="Cambria"/>
          <w:color w:val="000000" w:themeColor="text1"/>
          <w:sz w:val="20"/>
          <w:szCs w:val="20"/>
          <w:lang w:val="es-PE"/>
        </w:rPr>
        <w:t xml:space="preserve">l 5 de noviembre de 1998 el Juzgado dispuso la vista al Ministerio Público a los efectos que el Fiscal General del Estado </w:t>
      </w:r>
      <w:r w:rsidR="00E24F4E" w:rsidRPr="00E13CAA">
        <w:rPr>
          <w:rFonts w:ascii="Cambria" w:hAnsi="Cambria"/>
          <w:color w:val="000000" w:themeColor="text1"/>
          <w:sz w:val="20"/>
          <w:szCs w:val="20"/>
          <w:lang w:val="es-PE"/>
        </w:rPr>
        <w:t>plantee</w:t>
      </w:r>
      <w:r w:rsidR="00836E21" w:rsidRPr="00E13CAA">
        <w:rPr>
          <w:rFonts w:ascii="Cambria" w:hAnsi="Cambria"/>
          <w:color w:val="000000" w:themeColor="text1"/>
          <w:sz w:val="20"/>
          <w:szCs w:val="20"/>
          <w:lang w:val="es-PE"/>
        </w:rPr>
        <w:t xml:space="preserve"> ante los fueros brasileños la requisitoria de procesamiento penal de los presuntos autores de nacionalidad brasileña</w:t>
      </w:r>
      <w:r w:rsidR="003E75A0" w:rsidRPr="00E13CAA">
        <w:rPr>
          <w:rStyle w:val="FootnoteReference"/>
          <w:rFonts w:ascii="Cambria" w:hAnsi="Cambria"/>
          <w:color w:val="000000" w:themeColor="text1"/>
          <w:sz w:val="20"/>
          <w:szCs w:val="20"/>
          <w:lang w:val="es-PE"/>
        </w:rPr>
        <w:footnoteReference w:id="61"/>
      </w:r>
      <w:r w:rsidR="00A758C1" w:rsidRPr="00E13CAA">
        <w:rPr>
          <w:rFonts w:ascii="Cambria" w:hAnsi="Cambria"/>
          <w:color w:val="000000" w:themeColor="text1"/>
          <w:sz w:val="20"/>
          <w:szCs w:val="20"/>
          <w:lang w:val="es-PE"/>
        </w:rPr>
        <w:t>.</w:t>
      </w:r>
    </w:p>
    <w:p w14:paraId="03D6B9C7" w14:textId="77777777" w:rsidR="000E4324" w:rsidRPr="00E13CAA" w:rsidRDefault="000E4324"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FA1BF43" w14:textId="70BC7278" w:rsidR="00DD0F24" w:rsidRPr="00E13CAA" w:rsidRDefault="00115C58" w:rsidP="007A0D4C">
      <w:pPr>
        <w:pStyle w:val="Heading3"/>
      </w:pPr>
      <w:bookmarkStart w:id="25" w:name="_Toc47965325"/>
      <w:r w:rsidRPr="00E13CAA">
        <w:t>Archivo de la investigación y solicitud de cooperación internacional a</w:t>
      </w:r>
      <w:r w:rsidR="005E020B" w:rsidRPr="00E13CAA">
        <w:t xml:space="preserve"> las autoridades de Brasil</w:t>
      </w:r>
      <w:bookmarkEnd w:id="25"/>
    </w:p>
    <w:p w14:paraId="0880486E" w14:textId="3C67478D" w:rsidR="00CA4BAF" w:rsidRPr="007A0D4C" w:rsidRDefault="00CA4BAF" w:rsidP="007A0D4C">
      <w:pPr>
        <w:rPr>
          <w:rFonts w:ascii="Cambria" w:hAnsi="Cambria"/>
          <w:sz w:val="20"/>
          <w:szCs w:val="20"/>
          <w:lang w:val="es-PE"/>
        </w:rPr>
      </w:pPr>
    </w:p>
    <w:p w14:paraId="021C7745" w14:textId="02D030CE" w:rsidR="00687C73" w:rsidRPr="007A0D4C" w:rsidRDefault="00CA4BAF"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El </w:t>
      </w:r>
      <w:r w:rsidR="00D2155A" w:rsidRPr="007A0D4C">
        <w:rPr>
          <w:rFonts w:ascii="Cambria" w:hAnsi="Cambria"/>
          <w:sz w:val="20"/>
          <w:szCs w:val="20"/>
          <w:lang w:val="es-PE"/>
        </w:rPr>
        <w:t>20 de febrero de 2002</w:t>
      </w:r>
      <w:r w:rsidR="002001F7" w:rsidRPr="007A0D4C">
        <w:rPr>
          <w:rFonts w:ascii="Cambria" w:hAnsi="Cambria"/>
          <w:sz w:val="20"/>
          <w:szCs w:val="20"/>
          <w:lang w:val="es-PE"/>
        </w:rPr>
        <w:t xml:space="preserve"> el Juzgado </w:t>
      </w:r>
      <w:r w:rsidR="00B00C0F" w:rsidRPr="007A0D4C">
        <w:rPr>
          <w:rFonts w:ascii="Cambria" w:hAnsi="Cambria"/>
          <w:sz w:val="20"/>
          <w:szCs w:val="20"/>
          <w:lang w:val="es-PE"/>
        </w:rPr>
        <w:t>en lo penal de liquidación y sentencia número uno de</w:t>
      </w:r>
      <w:r w:rsidR="00C828D6">
        <w:rPr>
          <w:rFonts w:ascii="Cambria" w:hAnsi="Cambria"/>
          <w:sz w:val="20"/>
          <w:szCs w:val="20"/>
          <w:lang w:val="es-PE"/>
        </w:rPr>
        <w:t>l</w:t>
      </w:r>
      <w:r w:rsidR="00B00C0F" w:rsidRPr="007A0D4C">
        <w:rPr>
          <w:rFonts w:ascii="Cambria" w:hAnsi="Cambria"/>
          <w:sz w:val="20"/>
          <w:szCs w:val="20"/>
          <w:lang w:val="es-PE"/>
        </w:rPr>
        <w:t xml:space="preserve"> </w:t>
      </w:r>
      <w:r w:rsidR="0043775E" w:rsidRPr="007A0D4C">
        <w:rPr>
          <w:rFonts w:ascii="Cambria" w:hAnsi="Cambria"/>
          <w:sz w:val="20"/>
          <w:szCs w:val="20"/>
          <w:lang w:val="es-PE"/>
        </w:rPr>
        <w:t xml:space="preserve">Amambay adoptó </w:t>
      </w:r>
      <w:r w:rsidR="0043775E" w:rsidRPr="007A0D4C">
        <w:rPr>
          <w:rFonts w:ascii="Cambria" w:hAnsi="Cambria"/>
          <w:sz w:val="20"/>
          <w:szCs w:val="20"/>
          <w:lang w:val="es-VE"/>
        </w:rPr>
        <w:t>una</w:t>
      </w:r>
      <w:r w:rsidR="0043775E" w:rsidRPr="007A0D4C">
        <w:rPr>
          <w:rFonts w:ascii="Cambria" w:hAnsi="Cambria"/>
          <w:sz w:val="20"/>
          <w:szCs w:val="20"/>
          <w:lang w:val="es-PE"/>
        </w:rPr>
        <w:t xml:space="preserve"> resolución </w:t>
      </w:r>
      <w:r w:rsidR="001C5835" w:rsidRPr="007A0D4C">
        <w:rPr>
          <w:rFonts w:ascii="Cambria" w:hAnsi="Cambria"/>
          <w:sz w:val="20"/>
          <w:szCs w:val="20"/>
          <w:lang w:val="es-PE"/>
        </w:rPr>
        <w:t>en la que se estableció que</w:t>
      </w:r>
      <w:r w:rsidR="00687C73" w:rsidRPr="007A0D4C">
        <w:rPr>
          <w:rFonts w:ascii="Cambria" w:hAnsi="Cambria"/>
          <w:sz w:val="20"/>
          <w:szCs w:val="20"/>
          <w:lang w:val="es-PE"/>
        </w:rPr>
        <w:t xml:space="preserve">, </w:t>
      </w:r>
      <w:r w:rsidR="001C5835" w:rsidRPr="007A0D4C">
        <w:rPr>
          <w:rFonts w:ascii="Cambria" w:hAnsi="Cambria"/>
          <w:sz w:val="20"/>
          <w:szCs w:val="20"/>
          <w:lang w:val="es-PE"/>
        </w:rPr>
        <w:t xml:space="preserve">a pesar de haberse realizado todas las diligencias </w:t>
      </w:r>
      <w:r w:rsidR="000A3440" w:rsidRPr="007A0D4C">
        <w:rPr>
          <w:rFonts w:ascii="Cambria" w:hAnsi="Cambria"/>
          <w:sz w:val="20"/>
          <w:szCs w:val="20"/>
          <w:lang w:val="es-PE"/>
        </w:rPr>
        <w:t>investigativas</w:t>
      </w:r>
      <w:r w:rsidR="00687C73" w:rsidRPr="007A0D4C">
        <w:rPr>
          <w:rFonts w:ascii="Cambria" w:hAnsi="Cambria"/>
          <w:sz w:val="20"/>
          <w:szCs w:val="20"/>
          <w:lang w:val="es-PE"/>
        </w:rPr>
        <w:t>,</w:t>
      </w:r>
      <w:r w:rsidR="001C5835" w:rsidRPr="007A0D4C">
        <w:rPr>
          <w:rFonts w:ascii="Cambria" w:hAnsi="Cambria"/>
          <w:sz w:val="20"/>
          <w:szCs w:val="20"/>
          <w:lang w:val="es-PE"/>
        </w:rPr>
        <w:t xml:space="preserve"> </w:t>
      </w:r>
      <w:r w:rsidR="000A3440" w:rsidRPr="007A0D4C">
        <w:rPr>
          <w:rFonts w:ascii="Cambria" w:hAnsi="Cambria"/>
          <w:sz w:val="20"/>
          <w:szCs w:val="20"/>
          <w:lang w:val="es-PE"/>
        </w:rPr>
        <w:t xml:space="preserve">los 14 individuos procesados no pudieron ser habidos al ser ciudadanos </w:t>
      </w:r>
      <w:r w:rsidR="00860860">
        <w:rPr>
          <w:rFonts w:ascii="Cambria" w:hAnsi="Cambria"/>
          <w:sz w:val="20"/>
          <w:szCs w:val="20"/>
          <w:lang w:val="es-PE"/>
        </w:rPr>
        <w:t>brasileño</w:t>
      </w:r>
      <w:r w:rsidR="000A3440" w:rsidRPr="007A0D4C">
        <w:rPr>
          <w:rFonts w:ascii="Cambria" w:hAnsi="Cambria"/>
          <w:sz w:val="20"/>
          <w:szCs w:val="20"/>
          <w:lang w:val="es-PE"/>
        </w:rPr>
        <w:t xml:space="preserve">s </w:t>
      </w:r>
      <w:r w:rsidR="006501A9" w:rsidRPr="007A0D4C">
        <w:rPr>
          <w:rFonts w:ascii="Cambria" w:hAnsi="Cambria"/>
          <w:sz w:val="20"/>
          <w:szCs w:val="20"/>
          <w:lang w:val="es-PE"/>
        </w:rPr>
        <w:t>y encontrarse en ese Estado, sin posibilidad de extradición debido a la normativa interna de Brasil</w:t>
      </w:r>
      <w:r w:rsidR="005A6084" w:rsidRPr="007A0D4C">
        <w:rPr>
          <w:rStyle w:val="FootnoteReference"/>
          <w:rFonts w:ascii="Cambria" w:hAnsi="Cambria"/>
          <w:sz w:val="20"/>
          <w:szCs w:val="20"/>
          <w:lang w:val="es-PE"/>
        </w:rPr>
        <w:footnoteReference w:id="62"/>
      </w:r>
      <w:r w:rsidR="006501A9" w:rsidRPr="007A0D4C">
        <w:rPr>
          <w:rFonts w:ascii="Cambria" w:hAnsi="Cambria"/>
          <w:sz w:val="20"/>
          <w:szCs w:val="20"/>
          <w:lang w:val="es-PE"/>
        </w:rPr>
        <w:t xml:space="preserve">. </w:t>
      </w:r>
    </w:p>
    <w:p w14:paraId="1844B374" w14:textId="1EA52BC1" w:rsidR="007D64EF" w:rsidRPr="007A0D4C" w:rsidRDefault="007D64EF" w:rsidP="007A0D4C">
      <w:pPr>
        <w:jc w:val="both"/>
        <w:rPr>
          <w:rFonts w:ascii="Cambria" w:hAnsi="Cambria"/>
          <w:sz w:val="20"/>
          <w:szCs w:val="20"/>
          <w:lang w:val="es-PE"/>
        </w:rPr>
      </w:pPr>
    </w:p>
    <w:p w14:paraId="418C50F2" w14:textId="2B3F2013" w:rsidR="007D64EF" w:rsidRPr="007A0D4C" w:rsidRDefault="007D64EF"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La resolución es</w:t>
      </w:r>
      <w:r w:rsidR="00906BD0" w:rsidRPr="007A0D4C">
        <w:rPr>
          <w:rFonts w:ascii="Cambria" w:hAnsi="Cambria"/>
          <w:sz w:val="20"/>
          <w:szCs w:val="20"/>
          <w:lang w:val="es-PE"/>
        </w:rPr>
        <w:t>tableció que: “</w:t>
      </w:r>
      <w:r w:rsidR="009D4F5C" w:rsidRPr="007A0D4C">
        <w:rPr>
          <w:rFonts w:ascii="Cambria" w:hAnsi="Cambria"/>
          <w:sz w:val="20"/>
          <w:szCs w:val="20"/>
          <w:lang w:val="es-PE"/>
        </w:rPr>
        <w:t>[d]eb</w:t>
      </w:r>
      <w:r w:rsidR="008B2106" w:rsidRPr="007A0D4C">
        <w:rPr>
          <w:rFonts w:ascii="Cambria" w:hAnsi="Cambria"/>
          <w:sz w:val="20"/>
          <w:szCs w:val="20"/>
          <w:lang w:val="es-PE"/>
        </w:rPr>
        <w:t>e</w:t>
      </w:r>
      <w:r w:rsidR="009D4F5C" w:rsidRPr="007A0D4C">
        <w:rPr>
          <w:rFonts w:ascii="Cambria" w:hAnsi="Cambria"/>
          <w:sz w:val="20"/>
          <w:szCs w:val="20"/>
          <w:lang w:val="es-PE"/>
        </w:rPr>
        <w:t xml:space="preserve"> </w:t>
      </w:r>
      <w:r w:rsidR="007B35D4" w:rsidRPr="007A0D4C">
        <w:rPr>
          <w:rFonts w:ascii="Cambria" w:hAnsi="Cambria"/>
          <w:sz w:val="20"/>
          <w:szCs w:val="20"/>
          <w:lang w:val="es-PE"/>
        </w:rPr>
        <w:t>resaltarse</w:t>
      </w:r>
      <w:r w:rsidR="009D4F5C" w:rsidRPr="007A0D4C">
        <w:rPr>
          <w:rFonts w:ascii="Cambria" w:hAnsi="Cambria"/>
          <w:sz w:val="20"/>
          <w:szCs w:val="20"/>
          <w:lang w:val="es-PE"/>
        </w:rPr>
        <w:t xml:space="preserve"> que </w:t>
      </w:r>
      <w:r w:rsidR="00FA344A" w:rsidRPr="007A0D4C">
        <w:rPr>
          <w:rFonts w:ascii="Cambria" w:hAnsi="Cambria"/>
          <w:sz w:val="20"/>
          <w:szCs w:val="20"/>
          <w:lang w:val="es-PE"/>
        </w:rPr>
        <w:t xml:space="preserve">se ha solicitado la extradición de los citados procesados resultando infructuoso el citado pedido </w:t>
      </w:r>
      <w:r w:rsidR="00CE15A1" w:rsidRPr="007A0D4C">
        <w:rPr>
          <w:rFonts w:ascii="Cambria" w:hAnsi="Cambria"/>
          <w:sz w:val="20"/>
          <w:szCs w:val="20"/>
          <w:lang w:val="es-PE"/>
        </w:rPr>
        <w:t>conforme al informe remitido por el mencionado País y el Ministerio de Relaciones Exteriores, en razón de que la Constitución de la República Federativa de Brasil</w:t>
      </w:r>
      <w:r w:rsidR="002026FF" w:rsidRPr="007A0D4C">
        <w:rPr>
          <w:rFonts w:ascii="Cambria" w:hAnsi="Cambria"/>
          <w:sz w:val="20"/>
          <w:szCs w:val="20"/>
          <w:lang w:val="es-PE"/>
        </w:rPr>
        <w:t xml:space="preserve"> imposibilita la </w:t>
      </w:r>
      <w:r w:rsidR="004E4527" w:rsidRPr="007A0D4C">
        <w:rPr>
          <w:rFonts w:ascii="Cambria" w:hAnsi="Cambria"/>
          <w:sz w:val="20"/>
          <w:szCs w:val="20"/>
          <w:lang w:val="es-PE"/>
        </w:rPr>
        <w:t>extradición</w:t>
      </w:r>
      <w:r w:rsidR="002026FF" w:rsidRPr="007A0D4C">
        <w:rPr>
          <w:rFonts w:ascii="Cambria" w:hAnsi="Cambria"/>
          <w:sz w:val="20"/>
          <w:szCs w:val="20"/>
          <w:lang w:val="es-PE"/>
        </w:rPr>
        <w:t xml:space="preserve"> </w:t>
      </w:r>
      <w:r w:rsidR="004E4527" w:rsidRPr="007A0D4C">
        <w:rPr>
          <w:rFonts w:ascii="Cambria" w:hAnsi="Cambria"/>
          <w:sz w:val="20"/>
          <w:szCs w:val="20"/>
          <w:lang w:val="es-PE"/>
        </w:rPr>
        <w:t xml:space="preserve">de los </w:t>
      </w:r>
      <w:r w:rsidR="00357C6D" w:rsidRPr="007A0D4C">
        <w:rPr>
          <w:rFonts w:ascii="Cambria" w:hAnsi="Cambria"/>
          <w:sz w:val="20"/>
          <w:szCs w:val="20"/>
          <w:lang w:val="es-PE"/>
        </w:rPr>
        <w:t xml:space="preserve">ciudadanos brasileños </w:t>
      </w:r>
      <w:r w:rsidR="004E4527" w:rsidRPr="007A0D4C">
        <w:rPr>
          <w:rFonts w:ascii="Cambria" w:hAnsi="Cambria"/>
          <w:sz w:val="20"/>
          <w:szCs w:val="20"/>
          <w:lang w:val="es-PE"/>
        </w:rPr>
        <w:t xml:space="preserve">por hechos punibles que no sean Narcotráfico [cita artículo </w:t>
      </w:r>
      <w:r w:rsidR="002432EC" w:rsidRPr="007A0D4C">
        <w:rPr>
          <w:rFonts w:ascii="Cambria" w:hAnsi="Cambria"/>
          <w:sz w:val="20"/>
          <w:szCs w:val="20"/>
          <w:lang w:val="es-PE"/>
        </w:rPr>
        <w:t>5</w:t>
      </w:r>
      <w:r w:rsidR="00CE322A" w:rsidRPr="007A0D4C">
        <w:rPr>
          <w:rFonts w:ascii="Cambria" w:hAnsi="Cambria"/>
          <w:sz w:val="20"/>
          <w:szCs w:val="20"/>
          <w:lang w:val="es-PE"/>
        </w:rPr>
        <w:t>,</w:t>
      </w:r>
      <w:r w:rsidR="002432EC" w:rsidRPr="007A0D4C">
        <w:rPr>
          <w:rFonts w:ascii="Cambria" w:hAnsi="Cambria"/>
          <w:sz w:val="20"/>
          <w:szCs w:val="20"/>
          <w:lang w:val="es-PE"/>
        </w:rPr>
        <w:t xml:space="preserve"> </w:t>
      </w:r>
      <w:r w:rsidR="00CE322A" w:rsidRPr="007A0D4C">
        <w:rPr>
          <w:rFonts w:ascii="Cambria" w:hAnsi="Cambria"/>
          <w:sz w:val="20"/>
          <w:szCs w:val="20"/>
          <w:lang w:val="es-PE"/>
        </w:rPr>
        <w:t>numeral</w:t>
      </w:r>
      <w:r w:rsidR="002432EC" w:rsidRPr="007A0D4C">
        <w:rPr>
          <w:rFonts w:ascii="Cambria" w:hAnsi="Cambria"/>
          <w:sz w:val="20"/>
          <w:szCs w:val="20"/>
          <w:lang w:val="es-PE"/>
        </w:rPr>
        <w:t xml:space="preserve"> (51) de la Constitución </w:t>
      </w:r>
      <w:r w:rsidR="00860860">
        <w:rPr>
          <w:rFonts w:ascii="Cambria" w:hAnsi="Cambria"/>
          <w:sz w:val="20"/>
          <w:szCs w:val="20"/>
          <w:lang w:val="es-PE"/>
        </w:rPr>
        <w:t>brasileña</w:t>
      </w:r>
      <w:r w:rsidR="005F2258" w:rsidRPr="007A0D4C">
        <w:rPr>
          <w:rFonts w:ascii="Cambria" w:hAnsi="Cambria"/>
          <w:sz w:val="20"/>
          <w:szCs w:val="20"/>
          <w:lang w:val="es-PE"/>
        </w:rPr>
        <w:t>]”</w:t>
      </w:r>
      <w:r w:rsidR="005F2258" w:rsidRPr="007A0D4C">
        <w:rPr>
          <w:rStyle w:val="FootnoteReference"/>
          <w:rFonts w:ascii="Cambria" w:hAnsi="Cambria"/>
          <w:sz w:val="20"/>
          <w:szCs w:val="20"/>
          <w:lang w:val="es-PE"/>
        </w:rPr>
        <w:footnoteReference w:id="63"/>
      </w:r>
      <w:r w:rsidR="005F2258" w:rsidRPr="007A0D4C">
        <w:rPr>
          <w:rFonts w:ascii="Cambria" w:hAnsi="Cambria"/>
          <w:sz w:val="20"/>
          <w:szCs w:val="20"/>
          <w:lang w:val="es-PE"/>
        </w:rPr>
        <w:t>.</w:t>
      </w:r>
      <w:r w:rsidR="008B2106" w:rsidRPr="007A0D4C">
        <w:rPr>
          <w:rFonts w:ascii="Cambria" w:hAnsi="Cambria"/>
          <w:sz w:val="20"/>
          <w:szCs w:val="20"/>
          <w:lang w:val="es-PE"/>
        </w:rPr>
        <w:t xml:space="preserve"> </w:t>
      </w:r>
      <w:r w:rsidR="00877E51" w:rsidRPr="007A0D4C">
        <w:rPr>
          <w:rFonts w:ascii="Cambria" w:hAnsi="Cambria"/>
          <w:sz w:val="20"/>
          <w:szCs w:val="20"/>
          <w:lang w:val="es-PE"/>
        </w:rPr>
        <w:t>La</w:t>
      </w:r>
      <w:r w:rsidR="008B2106" w:rsidRPr="007A0D4C">
        <w:rPr>
          <w:rFonts w:ascii="Cambria" w:hAnsi="Cambria"/>
          <w:sz w:val="20"/>
          <w:szCs w:val="20"/>
          <w:lang w:val="es-PE"/>
        </w:rPr>
        <w:t xml:space="preserve"> CIDH no cuenta con </w:t>
      </w:r>
      <w:r w:rsidR="00443DCD" w:rsidRPr="007A0D4C">
        <w:rPr>
          <w:rFonts w:ascii="Cambria" w:hAnsi="Cambria"/>
          <w:sz w:val="20"/>
          <w:szCs w:val="20"/>
          <w:lang w:val="es-PE"/>
        </w:rPr>
        <w:t xml:space="preserve">la solicitud de extradición y respuesta </w:t>
      </w:r>
      <w:r w:rsidR="00877E51" w:rsidRPr="007A0D4C">
        <w:rPr>
          <w:rFonts w:ascii="Cambria" w:hAnsi="Cambria"/>
          <w:sz w:val="20"/>
          <w:szCs w:val="20"/>
          <w:lang w:val="es-PE"/>
        </w:rPr>
        <w:t>en el expediente ante ella.</w:t>
      </w:r>
    </w:p>
    <w:p w14:paraId="517BCAD4" w14:textId="77777777" w:rsidR="00687C73" w:rsidRPr="007A0D4C" w:rsidRDefault="00687C73" w:rsidP="007A0D4C">
      <w:pPr>
        <w:jc w:val="both"/>
        <w:rPr>
          <w:rFonts w:ascii="Cambria" w:hAnsi="Cambria"/>
          <w:sz w:val="20"/>
          <w:szCs w:val="20"/>
          <w:lang w:val="es-PE"/>
        </w:rPr>
      </w:pPr>
    </w:p>
    <w:p w14:paraId="46D0EC20" w14:textId="2FBE3B5B" w:rsidR="00CE1D73" w:rsidRPr="007A0D4C" w:rsidRDefault="00687C73"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L</w:t>
      </w:r>
      <w:r w:rsidR="006501A9" w:rsidRPr="007A0D4C">
        <w:rPr>
          <w:rFonts w:ascii="Cambria" w:hAnsi="Cambria"/>
          <w:sz w:val="20"/>
          <w:szCs w:val="20"/>
          <w:lang w:val="es-PE"/>
        </w:rPr>
        <w:t xml:space="preserve">a resolución </w:t>
      </w:r>
      <w:r w:rsidR="005B0096" w:rsidRPr="007A0D4C">
        <w:rPr>
          <w:rFonts w:ascii="Cambria" w:hAnsi="Cambria"/>
          <w:sz w:val="20"/>
          <w:szCs w:val="20"/>
          <w:lang w:val="es-PE"/>
        </w:rPr>
        <w:t xml:space="preserve">resolvió remitir </w:t>
      </w:r>
      <w:r w:rsidR="00B40F64" w:rsidRPr="007A0D4C">
        <w:rPr>
          <w:rFonts w:ascii="Cambria" w:hAnsi="Cambria"/>
          <w:sz w:val="20"/>
          <w:szCs w:val="20"/>
          <w:lang w:val="es-PE"/>
        </w:rPr>
        <w:t>el</w:t>
      </w:r>
      <w:r w:rsidR="00B4285A" w:rsidRPr="007A0D4C">
        <w:rPr>
          <w:rFonts w:ascii="Cambria" w:hAnsi="Cambria"/>
          <w:sz w:val="20"/>
          <w:szCs w:val="20"/>
          <w:lang w:val="es-PE"/>
        </w:rPr>
        <w:t xml:space="preserve"> expediente judicial al Fiscal General del Estado</w:t>
      </w:r>
      <w:r w:rsidR="009A3F6B" w:rsidRPr="007A0D4C">
        <w:rPr>
          <w:rFonts w:ascii="Cambria" w:hAnsi="Cambria"/>
          <w:sz w:val="20"/>
          <w:szCs w:val="20"/>
          <w:lang w:val="es-PE"/>
        </w:rPr>
        <w:t>, a efecto</w:t>
      </w:r>
      <w:r w:rsidR="00007E78">
        <w:rPr>
          <w:rFonts w:ascii="Cambria" w:hAnsi="Cambria"/>
          <w:sz w:val="20"/>
          <w:szCs w:val="20"/>
          <w:lang w:val="es-PE"/>
        </w:rPr>
        <w:t>s</w:t>
      </w:r>
      <w:r w:rsidR="009A3F6B" w:rsidRPr="007A0D4C">
        <w:rPr>
          <w:rFonts w:ascii="Cambria" w:hAnsi="Cambria"/>
          <w:sz w:val="20"/>
          <w:szCs w:val="20"/>
          <w:lang w:val="es-PE"/>
        </w:rPr>
        <w:t xml:space="preserve"> de que</w:t>
      </w:r>
      <w:r w:rsidR="002644CB" w:rsidRPr="007A0D4C">
        <w:rPr>
          <w:rFonts w:ascii="Cambria" w:hAnsi="Cambria"/>
          <w:sz w:val="20"/>
          <w:szCs w:val="20"/>
          <w:lang w:val="es-PE"/>
        </w:rPr>
        <w:t xml:space="preserve"> se</w:t>
      </w:r>
      <w:r w:rsidR="009A3F6B" w:rsidRPr="007A0D4C">
        <w:rPr>
          <w:rFonts w:ascii="Cambria" w:hAnsi="Cambria"/>
          <w:sz w:val="20"/>
          <w:szCs w:val="20"/>
          <w:lang w:val="es-PE"/>
        </w:rPr>
        <w:t xml:space="preserve"> </w:t>
      </w:r>
      <w:r w:rsidR="00BE771A" w:rsidRPr="007A0D4C">
        <w:rPr>
          <w:rFonts w:ascii="Cambria" w:hAnsi="Cambria"/>
          <w:sz w:val="20"/>
          <w:szCs w:val="20"/>
          <w:lang w:val="es-PE"/>
        </w:rPr>
        <w:t xml:space="preserve">traduzca y </w:t>
      </w:r>
      <w:r w:rsidR="009A3F6B" w:rsidRPr="007A0D4C">
        <w:rPr>
          <w:rFonts w:ascii="Cambria" w:hAnsi="Cambria"/>
          <w:sz w:val="20"/>
          <w:szCs w:val="20"/>
          <w:lang w:val="es-PE"/>
        </w:rPr>
        <w:t xml:space="preserve">traslade a su </w:t>
      </w:r>
      <w:r w:rsidR="00DA41F9" w:rsidRPr="007A0D4C">
        <w:rPr>
          <w:rFonts w:ascii="Cambria" w:hAnsi="Cambria"/>
          <w:sz w:val="20"/>
          <w:szCs w:val="20"/>
          <w:lang w:val="es-PE"/>
        </w:rPr>
        <w:t xml:space="preserve">“similar de la República Federativa de Brasil”, </w:t>
      </w:r>
      <w:r w:rsidR="002C5932" w:rsidRPr="007A0D4C">
        <w:rPr>
          <w:rFonts w:ascii="Cambria" w:hAnsi="Cambria"/>
          <w:sz w:val="20"/>
          <w:szCs w:val="20"/>
          <w:lang w:val="es-PE"/>
        </w:rPr>
        <w:t xml:space="preserve">con base en el </w:t>
      </w:r>
      <w:r w:rsidR="00381247" w:rsidRPr="007A0D4C">
        <w:rPr>
          <w:rFonts w:ascii="Cambria" w:hAnsi="Cambria"/>
          <w:sz w:val="20"/>
          <w:szCs w:val="20"/>
          <w:lang w:val="es-PE"/>
        </w:rPr>
        <w:t>Tratado</w:t>
      </w:r>
      <w:r w:rsidR="002C5932" w:rsidRPr="007A0D4C">
        <w:rPr>
          <w:rFonts w:ascii="Cambria" w:hAnsi="Cambria"/>
          <w:sz w:val="20"/>
          <w:szCs w:val="20"/>
          <w:lang w:val="es-PE"/>
        </w:rPr>
        <w:t xml:space="preserve"> de </w:t>
      </w:r>
      <w:r w:rsidR="00381247" w:rsidRPr="007A0D4C">
        <w:rPr>
          <w:rFonts w:ascii="Cambria" w:hAnsi="Cambria"/>
          <w:sz w:val="20"/>
          <w:szCs w:val="20"/>
          <w:lang w:val="es-PE"/>
        </w:rPr>
        <w:t>Montevideo</w:t>
      </w:r>
      <w:r w:rsidR="002C5932" w:rsidRPr="007A0D4C">
        <w:rPr>
          <w:rFonts w:ascii="Cambria" w:hAnsi="Cambria"/>
          <w:sz w:val="20"/>
          <w:szCs w:val="20"/>
          <w:lang w:val="es-PE"/>
        </w:rPr>
        <w:t xml:space="preserve"> de 1940</w:t>
      </w:r>
      <w:r w:rsidR="00381247" w:rsidRPr="007A0D4C">
        <w:rPr>
          <w:rFonts w:ascii="Cambria" w:hAnsi="Cambria"/>
          <w:sz w:val="20"/>
          <w:szCs w:val="20"/>
          <w:lang w:val="es-PE"/>
        </w:rPr>
        <w:t>,</w:t>
      </w:r>
      <w:r w:rsidR="002C5932" w:rsidRPr="007A0D4C">
        <w:rPr>
          <w:rFonts w:ascii="Cambria" w:hAnsi="Cambria"/>
          <w:sz w:val="20"/>
          <w:szCs w:val="20"/>
          <w:lang w:val="es-PE"/>
        </w:rPr>
        <w:t xml:space="preserve"> </w:t>
      </w:r>
      <w:r w:rsidR="00CA31CB" w:rsidRPr="007A0D4C">
        <w:rPr>
          <w:rFonts w:ascii="Cambria" w:hAnsi="Cambria"/>
          <w:sz w:val="20"/>
          <w:szCs w:val="20"/>
          <w:lang w:val="es-PE"/>
        </w:rPr>
        <w:t>para</w:t>
      </w:r>
      <w:r w:rsidR="00DA41F9" w:rsidRPr="007A0D4C">
        <w:rPr>
          <w:rFonts w:ascii="Cambria" w:hAnsi="Cambria"/>
          <w:sz w:val="20"/>
          <w:szCs w:val="20"/>
          <w:lang w:val="es-PE"/>
        </w:rPr>
        <w:t xml:space="preserve"> que</w:t>
      </w:r>
      <w:r w:rsidR="00CA31CB" w:rsidRPr="007A0D4C">
        <w:rPr>
          <w:rFonts w:ascii="Cambria" w:hAnsi="Cambria"/>
          <w:sz w:val="20"/>
          <w:szCs w:val="20"/>
          <w:lang w:val="es-PE"/>
        </w:rPr>
        <w:t xml:space="preserve"> los </w:t>
      </w:r>
      <w:r w:rsidR="00F129D5" w:rsidRPr="007A0D4C">
        <w:rPr>
          <w:rFonts w:ascii="Cambria" w:hAnsi="Cambria"/>
          <w:sz w:val="20"/>
          <w:szCs w:val="20"/>
          <w:lang w:val="es-PE"/>
        </w:rPr>
        <w:t>14 procesados</w:t>
      </w:r>
      <w:r w:rsidR="00DA41F9" w:rsidRPr="007A0D4C">
        <w:rPr>
          <w:rFonts w:ascii="Cambria" w:hAnsi="Cambria"/>
          <w:sz w:val="20"/>
          <w:szCs w:val="20"/>
          <w:lang w:val="es-PE"/>
        </w:rPr>
        <w:t xml:space="preserve"> sean investigados, </w:t>
      </w:r>
      <w:r w:rsidR="00F129D5" w:rsidRPr="007A0D4C">
        <w:rPr>
          <w:rFonts w:ascii="Cambria" w:hAnsi="Cambria"/>
          <w:sz w:val="20"/>
          <w:szCs w:val="20"/>
          <w:lang w:val="es-PE"/>
        </w:rPr>
        <w:t>juzgados</w:t>
      </w:r>
      <w:r w:rsidR="00DA41F9" w:rsidRPr="007A0D4C">
        <w:rPr>
          <w:rFonts w:ascii="Cambria" w:hAnsi="Cambria"/>
          <w:sz w:val="20"/>
          <w:szCs w:val="20"/>
          <w:lang w:val="es-PE"/>
        </w:rPr>
        <w:t xml:space="preserve"> y </w:t>
      </w:r>
      <w:r w:rsidR="00AC52E2" w:rsidRPr="007A0D4C">
        <w:rPr>
          <w:rFonts w:ascii="Cambria" w:hAnsi="Cambria"/>
          <w:sz w:val="20"/>
          <w:szCs w:val="20"/>
          <w:lang w:val="es-PE"/>
        </w:rPr>
        <w:t>de ser el caso, sancionados por la comisión de</w:t>
      </w:r>
      <w:r w:rsidR="00F129D5" w:rsidRPr="007A0D4C">
        <w:rPr>
          <w:rFonts w:ascii="Cambria" w:hAnsi="Cambria"/>
          <w:sz w:val="20"/>
          <w:szCs w:val="20"/>
          <w:lang w:val="es-PE"/>
        </w:rPr>
        <w:t xml:space="preserve">l delito de </w:t>
      </w:r>
      <w:r w:rsidR="00AC52E2" w:rsidRPr="007A0D4C">
        <w:rPr>
          <w:rFonts w:ascii="Cambria" w:hAnsi="Cambria"/>
          <w:sz w:val="20"/>
          <w:szCs w:val="20"/>
          <w:lang w:val="es-PE"/>
        </w:rPr>
        <w:t>homicidio doloso en contra del periodista</w:t>
      </w:r>
      <w:r w:rsidR="00381247" w:rsidRPr="007A0D4C">
        <w:rPr>
          <w:rStyle w:val="FootnoteReference"/>
          <w:rFonts w:ascii="Cambria" w:hAnsi="Cambria"/>
          <w:sz w:val="20"/>
          <w:szCs w:val="20"/>
          <w:lang w:val="es-PE"/>
        </w:rPr>
        <w:footnoteReference w:id="64"/>
      </w:r>
      <w:r w:rsidR="008D182D" w:rsidRPr="007A0D4C">
        <w:rPr>
          <w:rFonts w:ascii="Cambria" w:hAnsi="Cambria"/>
          <w:sz w:val="20"/>
          <w:szCs w:val="20"/>
          <w:lang w:val="es-PE"/>
        </w:rPr>
        <w:t>.</w:t>
      </w:r>
      <w:r w:rsidR="00E8534D" w:rsidRPr="007A0D4C">
        <w:rPr>
          <w:rFonts w:ascii="Cambria" w:hAnsi="Cambria"/>
          <w:sz w:val="20"/>
          <w:szCs w:val="20"/>
          <w:lang w:val="es-PE"/>
        </w:rPr>
        <w:t xml:space="preserve"> </w:t>
      </w:r>
      <w:r w:rsidR="0059469B" w:rsidRPr="007A0D4C">
        <w:rPr>
          <w:rFonts w:ascii="Cambria" w:hAnsi="Cambria"/>
          <w:sz w:val="20"/>
          <w:szCs w:val="20"/>
          <w:lang w:val="es-PE"/>
        </w:rPr>
        <w:t xml:space="preserve">El 25 de febrero </w:t>
      </w:r>
      <w:r w:rsidR="004C286A" w:rsidRPr="007A0D4C">
        <w:rPr>
          <w:rFonts w:ascii="Cambria" w:hAnsi="Cambria"/>
          <w:sz w:val="20"/>
          <w:szCs w:val="20"/>
          <w:lang w:val="es-PE"/>
        </w:rPr>
        <w:t>de 2002 el expediente fue remitido a la Fiscalía General del Estado</w:t>
      </w:r>
      <w:r w:rsidR="004C286A" w:rsidRPr="007A0D4C">
        <w:rPr>
          <w:rStyle w:val="FootnoteReference"/>
          <w:rFonts w:ascii="Cambria" w:hAnsi="Cambria"/>
          <w:sz w:val="20"/>
          <w:szCs w:val="20"/>
          <w:lang w:val="es-PE"/>
        </w:rPr>
        <w:footnoteReference w:id="65"/>
      </w:r>
      <w:r w:rsidR="004C286A" w:rsidRPr="007A0D4C">
        <w:rPr>
          <w:rFonts w:ascii="Cambria" w:hAnsi="Cambria"/>
          <w:sz w:val="20"/>
          <w:szCs w:val="20"/>
          <w:lang w:val="es-PE"/>
        </w:rPr>
        <w:t>.</w:t>
      </w:r>
    </w:p>
    <w:p w14:paraId="72730CBB" w14:textId="77777777" w:rsidR="003C0738" w:rsidRPr="007A0D4C" w:rsidRDefault="003C0738" w:rsidP="007A0D4C">
      <w:pPr>
        <w:pStyle w:val="ListParagraph"/>
        <w:spacing w:before="0" w:after="0"/>
        <w:rPr>
          <w:sz w:val="20"/>
          <w:szCs w:val="20"/>
          <w:lang w:val="es-PE"/>
        </w:rPr>
      </w:pPr>
    </w:p>
    <w:p w14:paraId="237FA1E8" w14:textId="53824AEA" w:rsidR="003C0738" w:rsidRPr="007A0D4C" w:rsidRDefault="003C0738"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El Estado informó que </w:t>
      </w:r>
      <w:r w:rsidR="00BD3D48" w:rsidRPr="007A0D4C">
        <w:rPr>
          <w:rFonts w:ascii="Cambria" w:hAnsi="Cambria"/>
          <w:sz w:val="20"/>
          <w:szCs w:val="20"/>
          <w:lang w:val="es-PE"/>
        </w:rPr>
        <w:t xml:space="preserve">en julio de 2006 </w:t>
      </w:r>
      <w:r w:rsidR="00510EAC" w:rsidRPr="007A0D4C">
        <w:rPr>
          <w:rFonts w:ascii="Cambria" w:hAnsi="Cambria"/>
          <w:sz w:val="20"/>
          <w:szCs w:val="20"/>
          <w:lang w:val="es-PE"/>
        </w:rPr>
        <w:t>se remiti</w:t>
      </w:r>
      <w:r w:rsidR="00907915" w:rsidRPr="007A0D4C">
        <w:rPr>
          <w:rFonts w:ascii="Cambria" w:hAnsi="Cambria"/>
          <w:sz w:val="20"/>
          <w:szCs w:val="20"/>
          <w:lang w:val="es-PE"/>
        </w:rPr>
        <w:t>eron 17 tomos</w:t>
      </w:r>
      <w:r w:rsidR="00F50DD1" w:rsidRPr="007A0D4C">
        <w:rPr>
          <w:rFonts w:ascii="Cambria" w:hAnsi="Cambria"/>
          <w:sz w:val="20"/>
          <w:szCs w:val="20"/>
          <w:lang w:val="es-PE"/>
        </w:rPr>
        <w:t xml:space="preserve"> autenticados</w:t>
      </w:r>
      <w:r w:rsidR="00907915" w:rsidRPr="007A0D4C">
        <w:rPr>
          <w:rFonts w:ascii="Cambria" w:hAnsi="Cambria"/>
          <w:sz w:val="20"/>
          <w:szCs w:val="20"/>
          <w:lang w:val="es-PE"/>
        </w:rPr>
        <w:t xml:space="preserve"> </w:t>
      </w:r>
      <w:r w:rsidR="00AE5843" w:rsidRPr="007A0D4C">
        <w:rPr>
          <w:rFonts w:ascii="Cambria" w:hAnsi="Cambria"/>
          <w:sz w:val="20"/>
          <w:szCs w:val="20"/>
          <w:lang w:val="es-PE"/>
        </w:rPr>
        <w:t>al Ministerio de Relaciones Exteriores de Paraguay para que</w:t>
      </w:r>
      <w:r w:rsidR="00007E78">
        <w:rPr>
          <w:rFonts w:ascii="Cambria" w:hAnsi="Cambria"/>
          <w:sz w:val="20"/>
          <w:szCs w:val="20"/>
          <w:lang w:val="es-PE"/>
        </w:rPr>
        <w:t>,</w:t>
      </w:r>
      <w:r w:rsidR="00AE5843" w:rsidRPr="007A0D4C">
        <w:rPr>
          <w:rFonts w:ascii="Cambria" w:hAnsi="Cambria"/>
          <w:sz w:val="20"/>
          <w:szCs w:val="20"/>
          <w:lang w:val="es-PE"/>
        </w:rPr>
        <w:t xml:space="preserve"> por el canal diplomático</w:t>
      </w:r>
      <w:r w:rsidR="00007E78">
        <w:rPr>
          <w:rFonts w:ascii="Cambria" w:hAnsi="Cambria"/>
          <w:sz w:val="20"/>
          <w:szCs w:val="20"/>
          <w:lang w:val="es-PE"/>
        </w:rPr>
        <w:t>,</w:t>
      </w:r>
      <w:r w:rsidR="00AE5843" w:rsidRPr="007A0D4C">
        <w:rPr>
          <w:rFonts w:ascii="Cambria" w:hAnsi="Cambria"/>
          <w:sz w:val="20"/>
          <w:szCs w:val="20"/>
          <w:lang w:val="es-PE"/>
        </w:rPr>
        <w:t xml:space="preserve"> se hagan llegar a la Procuraduría General de </w:t>
      </w:r>
      <w:r w:rsidR="005844A7" w:rsidRPr="007A0D4C">
        <w:rPr>
          <w:rFonts w:ascii="Cambria" w:hAnsi="Cambria"/>
          <w:sz w:val="20"/>
          <w:szCs w:val="20"/>
          <w:lang w:val="es-PE"/>
        </w:rPr>
        <w:t>República Federativa de Brasil</w:t>
      </w:r>
      <w:r w:rsidR="00F055CA" w:rsidRPr="007A0D4C">
        <w:rPr>
          <w:rStyle w:val="FootnoteReference"/>
          <w:rFonts w:ascii="Cambria" w:hAnsi="Cambria"/>
          <w:sz w:val="20"/>
          <w:szCs w:val="20"/>
          <w:lang w:val="es-PE"/>
        </w:rPr>
        <w:footnoteReference w:id="66"/>
      </w:r>
      <w:r w:rsidR="005844A7" w:rsidRPr="007A0D4C">
        <w:rPr>
          <w:rFonts w:ascii="Cambria" w:hAnsi="Cambria"/>
          <w:sz w:val="20"/>
          <w:szCs w:val="20"/>
          <w:lang w:val="es-PE"/>
        </w:rPr>
        <w:t xml:space="preserve">. Debido a la falta de traducciones al portugués </w:t>
      </w:r>
      <w:r w:rsidR="009E6627" w:rsidRPr="007A0D4C">
        <w:rPr>
          <w:rFonts w:ascii="Cambria" w:hAnsi="Cambria"/>
          <w:sz w:val="20"/>
          <w:szCs w:val="20"/>
          <w:lang w:val="es-PE"/>
        </w:rPr>
        <w:t xml:space="preserve">dicha documentación fue devuelta </w:t>
      </w:r>
      <w:r w:rsidR="00041AFD" w:rsidRPr="007A0D4C">
        <w:rPr>
          <w:rFonts w:ascii="Cambria" w:hAnsi="Cambria"/>
          <w:sz w:val="20"/>
          <w:szCs w:val="20"/>
          <w:lang w:val="es-PE"/>
        </w:rPr>
        <w:t>y se solicitaron las traducciones respectivas a la Corte Suprema de Justicia</w:t>
      </w:r>
      <w:r w:rsidR="00F055CA" w:rsidRPr="007A0D4C">
        <w:rPr>
          <w:rStyle w:val="FootnoteReference"/>
          <w:rFonts w:ascii="Cambria" w:hAnsi="Cambria"/>
          <w:sz w:val="20"/>
          <w:szCs w:val="20"/>
          <w:lang w:val="es-PE"/>
        </w:rPr>
        <w:footnoteReference w:id="67"/>
      </w:r>
      <w:r w:rsidR="00041AFD" w:rsidRPr="007A0D4C">
        <w:rPr>
          <w:rFonts w:ascii="Cambria" w:hAnsi="Cambria"/>
          <w:sz w:val="20"/>
          <w:szCs w:val="20"/>
          <w:lang w:val="es-PE"/>
        </w:rPr>
        <w:t xml:space="preserve">. </w:t>
      </w:r>
      <w:r w:rsidR="00EA7420" w:rsidRPr="007A0D4C">
        <w:rPr>
          <w:rFonts w:ascii="Cambria" w:hAnsi="Cambria"/>
          <w:sz w:val="20"/>
          <w:szCs w:val="20"/>
          <w:lang w:val="es-PE"/>
        </w:rPr>
        <w:t xml:space="preserve">La documentación </w:t>
      </w:r>
      <w:r w:rsidR="008F1DC8" w:rsidRPr="007A0D4C">
        <w:rPr>
          <w:rFonts w:ascii="Cambria" w:hAnsi="Cambria"/>
          <w:sz w:val="20"/>
          <w:szCs w:val="20"/>
          <w:lang w:val="es-PE"/>
        </w:rPr>
        <w:t xml:space="preserve">fue </w:t>
      </w:r>
      <w:r w:rsidR="00041AFD" w:rsidRPr="007A0D4C">
        <w:rPr>
          <w:rFonts w:ascii="Cambria" w:hAnsi="Cambria"/>
          <w:sz w:val="20"/>
          <w:szCs w:val="20"/>
          <w:lang w:val="es-PE"/>
        </w:rPr>
        <w:lastRenderedPageBreak/>
        <w:t xml:space="preserve">reenviada nuevamente </w:t>
      </w:r>
      <w:r w:rsidR="00EA7420" w:rsidRPr="007A0D4C">
        <w:rPr>
          <w:rFonts w:ascii="Cambria" w:hAnsi="Cambria"/>
          <w:sz w:val="20"/>
          <w:szCs w:val="20"/>
          <w:lang w:val="es-PE"/>
        </w:rPr>
        <w:t xml:space="preserve">a Brasil </w:t>
      </w:r>
      <w:r w:rsidR="008F1DC8" w:rsidRPr="007A0D4C">
        <w:rPr>
          <w:rFonts w:ascii="Cambria" w:hAnsi="Cambria"/>
          <w:sz w:val="20"/>
          <w:szCs w:val="20"/>
          <w:lang w:val="es-PE"/>
        </w:rPr>
        <w:t xml:space="preserve">en </w:t>
      </w:r>
      <w:r w:rsidR="00E83E88" w:rsidRPr="007A0D4C">
        <w:rPr>
          <w:rFonts w:ascii="Cambria" w:hAnsi="Cambria"/>
          <w:sz w:val="20"/>
          <w:szCs w:val="20"/>
          <w:lang w:val="es-PE"/>
        </w:rPr>
        <w:t xml:space="preserve">el </w:t>
      </w:r>
      <w:r w:rsidR="008F1DC8" w:rsidRPr="007A0D4C">
        <w:rPr>
          <w:rFonts w:ascii="Cambria" w:hAnsi="Cambria"/>
          <w:sz w:val="20"/>
          <w:szCs w:val="20"/>
          <w:lang w:val="es-PE"/>
        </w:rPr>
        <w:t xml:space="preserve">2009. Según el Estado, </w:t>
      </w:r>
      <w:r w:rsidR="00C66110" w:rsidRPr="007A0D4C">
        <w:rPr>
          <w:rFonts w:ascii="Cambria" w:hAnsi="Cambria"/>
          <w:sz w:val="20"/>
          <w:szCs w:val="20"/>
          <w:lang w:val="es-PE"/>
        </w:rPr>
        <w:t xml:space="preserve">el 25 marzo de 2009 </w:t>
      </w:r>
      <w:r w:rsidR="00C457F3" w:rsidRPr="007A0D4C">
        <w:rPr>
          <w:rFonts w:ascii="Cambria" w:hAnsi="Cambria"/>
          <w:sz w:val="20"/>
          <w:szCs w:val="20"/>
          <w:lang w:val="es-PE"/>
        </w:rPr>
        <w:t xml:space="preserve">la Cancillería </w:t>
      </w:r>
      <w:r w:rsidR="00860860">
        <w:rPr>
          <w:rFonts w:ascii="Cambria" w:hAnsi="Cambria"/>
          <w:sz w:val="20"/>
          <w:szCs w:val="20"/>
          <w:lang w:val="es-PE"/>
        </w:rPr>
        <w:t>brasileña</w:t>
      </w:r>
      <w:r w:rsidR="00C457F3" w:rsidRPr="007A0D4C">
        <w:rPr>
          <w:rFonts w:ascii="Cambria" w:hAnsi="Cambria"/>
          <w:sz w:val="20"/>
          <w:szCs w:val="20"/>
          <w:lang w:val="es-PE"/>
        </w:rPr>
        <w:t xml:space="preserve"> acusó recibo de la nota y confirmó su remisión al Ministerio de Justicia</w:t>
      </w:r>
      <w:r w:rsidR="000B4CDE" w:rsidRPr="007A0D4C">
        <w:rPr>
          <w:rStyle w:val="FootnoteReference"/>
          <w:rFonts w:ascii="Cambria" w:hAnsi="Cambria"/>
          <w:sz w:val="20"/>
          <w:szCs w:val="20"/>
          <w:lang w:val="es-PE"/>
        </w:rPr>
        <w:footnoteReference w:id="68"/>
      </w:r>
      <w:r w:rsidR="00C457F3" w:rsidRPr="007A0D4C">
        <w:rPr>
          <w:rFonts w:ascii="Cambria" w:hAnsi="Cambria"/>
          <w:sz w:val="20"/>
          <w:szCs w:val="20"/>
          <w:lang w:val="es-PE"/>
        </w:rPr>
        <w:t xml:space="preserve">. </w:t>
      </w:r>
    </w:p>
    <w:p w14:paraId="792590E3" w14:textId="77777777" w:rsidR="009F7C96" w:rsidRPr="007A0D4C" w:rsidRDefault="009F7C96"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56CBA1B" w14:textId="4880CD42" w:rsidR="00BE2A2C" w:rsidRPr="007A0D4C" w:rsidRDefault="008B0266"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Según los peticionarios, lo cual no ha sido controvertido por el Estado, </w:t>
      </w:r>
      <w:r w:rsidR="0076598D" w:rsidRPr="007A0D4C">
        <w:rPr>
          <w:rFonts w:ascii="Cambria" w:hAnsi="Cambria"/>
          <w:sz w:val="20"/>
          <w:szCs w:val="20"/>
          <w:lang w:val="es-PE"/>
        </w:rPr>
        <w:t>el 13 de junio de 2011</w:t>
      </w:r>
      <w:r w:rsidR="007738FE" w:rsidRPr="007A0D4C">
        <w:rPr>
          <w:rFonts w:ascii="Cambria" w:hAnsi="Cambria"/>
          <w:sz w:val="20"/>
          <w:szCs w:val="20"/>
          <w:lang w:val="es-PE"/>
        </w:rPr>
        <w:t xml:space="preserve"> </w:t>
      </w:r>
      <w:r w:rsidR="00BE2A2C" w:rsidRPr="007A0D4C">
        <w:rPr>
          <w:rFonts w:ascii="Cambria" w:hAnsi="Cambria"/>
          <w:sz w:val="20"/>
          <w:szCs w:val="20"/>
          <w:lang w:val="es-PE"/>
        </w:rPr>
        <w:t xml:space="preserve">el Ministerio de Relaciones Exteriores del Brasil consultó a las autoridades paraguayas si persistía el interés de requerir la persecución criminal en contra del ciudadano brasileño Daniel Alvares Georges. La cancillería reiteró las solicitudes de persecución penal dirigidas en 2012 y 2013, por no </w:t>
      </w:r>
      <w:r w:rsidR="00007E78">
        <w:rPr>
          <w:rFonts w:ascii="Cambria" w:hAnsi="Cambria"/>
          <w:sz w:val="20"/>
          <w:szCs w:val="20"/>
          <w:lang w:val="es-PE"/>
        </w:rPr>
        <w:t>haber sido</w:t>
      </w:r>
      <w:r w:rsidR="00BE2A2C" w:rsidRPr="007A0D4C">
        <w:rPr>
          <w:rFonts w:ascii="Cambria" w:hAnsi="Cambria"/>
          <w:sz w:val="20"/>
          <w:szCs w:val="20"/>
          <w:lang w:val="es-PE"/>
        </w:rPr>
        <w:t xml:space="preserve"> enviadas con la correspondiente traducción al portugués</w:t>
      </w:r>
      <w:r w:rsidR="00225C28" w:rsidRPr="007A0D4C">
        <w:rPr>
          <w:rFonts w:ascii="Cambria" w:hAnsi="Cambria"/>
          <w:sz w:val="20"/>
          <w:szCs w:val="20"/>
          <w:lang w:val="es-PE"/>
        </w:rPr>
        <w:t xml:space="preserve">. </w:t>
      </w:r>
      <w:r w:rsidR="00BE2A2C" w:rsidRPr="007A0D4C">
        <w:rPr>
          <w:rFonts w:ascii="Cambria" w:hAnsi="Cambria"/>
          <w:sz w:val="20"/>
          <w:szCs w:val="20"/>
          <w:lang w:val="es-PE"/>
        </w:rPr>
        <w:t>En el 2014 otro pedido de cooperación fue devuelto, solicitando aclaraciones respecto de la medida solicitada</w:t>
      </w:r>
      <w:r w:rsidR="00280A09" w:rsidRPr="007A0D4C">
        <w:rPr>
          <w:rFonts w:ascii="Cambria" w:hAnsi="Cambria"/>
          <w:sz w:val="20"/>
          <w:szCs w:val="20"/>
          <w:lang w:val="es-PE"/>
        </w:rPr>
        <w:t>. Conforme a los peticionarios, no controvertido por el Estado,</w:t>
      </w:r>
      <w:r w:rsidR="00D33513" w:rsidRPr="007A0D4C">
        <w:rPr>
          <w:rFonts w:ascii="Cambria" w:hAnsi="Cambria"/>
          <w:sz w:val="20"/>
          <w:szCs w:val="20"/>
          <w:lang w:val="es-PE"/>
        </w:rPr>
        <w:t xml:space="preserve"> a partir de 2014, la causa no ha </w:t>
      </w:r>
      <w:r w:rsidR="00BE2A2C" w:rsidRPr="007A0D4C">
        <w:rPr>
          <w:rFonts w:ascii="Cambria" w:hAnsi="Cambria"/>
          <w:sz w:val="20"/>
          <w:szCs w:val="20"/>
          <w:lang w:val="es-PE"/>
        </w:rPr>
        <w:t>recibi</w:t>
      </w:r>
      <w:r w:rsidR="00D33513" w:rsidRPr="007A0D4C">
        <w:rPr>
          <w:rFonts w:ascii="Cambria" w:hAnsi="Cambria"/>
          <w:sz w:val="20"/>
          <w:szCs w:val="20"/>
          <w:lang w:val="es-PE"/>
        </w:rPr>
        <w:t>do</w:t>
      </w:r>
      <w:r w:rsidR="00BE2A2C" w:rsidRPr="007A0D4C">
        <w:rPr>
          <w:rFonts w:ascii="Cambria" w:hAnsi="Cambria"/>
          <w:sz w:val="20"/>
          <w:szCs w:val="20"/>
          <w:lang w:val="es-PE"/>
        </w:rPr>
        <w:t xml:space="preserve"> trámite alguno</w:t>
      </w:r>
      <w:r w:rsidR="000A20D1" w:rsidRPr="007A0D4C">
        <w:rPr>
          <w:rStyle w:val="FootnoteReference"/>
          <w:rFonts w:ascii="Cambria" w:hAnsi="Cambria"/>
          <w:sz w:val="20"/>
          <w:szCs w:val="20"/>
          <w:lang w:val="es-PE"/>
        </w:rPr>
        <w:footnoteReference w:id="69"/>
      </w:r>
      <w:r w:rsidR="000A20D1" w:rsidRPr="007A0D4C">
        <w:rPr>
          <w:rFonts w:ascii="Cambria" w:hAnsi="Cambria"/>
          <w:sz w:val="20"/>
          <w:szCs w:val="20"/>
          <w:lang w:val="es-PE"/>
        </w:rPr>
        <w:t>.</w:t>
      </w:r>
    </w:p>
    <w:p w14:paraId="0A856450" w14:textId="77777777" w:rsidR="00DB0CF7" w:rsidRPr="007A0D4C" w:rsidRDefault="00DB0CF7" w:rsidP="007A0D4C">
      <w:pPr>
        <w:pStyle w:val="ListParagraph"/>
        <w:spacing w:before="0" w:after="0"/>
        <w:rPr>
          <w:sz w:val="20"/>
          <w:szCs w:val="20"/>
          <w:lang w:val="es-PE"/>
        </w:rPr>
      </w:pPr>
    </w:p>
    <w:p w14:paraId="0822ABA9" w14:textId="49D3D45B" w:rsidR="001C04F3" w:rsidRPr="00325F5E" w:rsidRDefault="00E04A8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325F5E">
        <w:rPr>
          <w:rFonts w:ascii="Cambria" w:hAnsi="Cambria"/>
          <w:sz w:val="20"/>
          <w:szCs w:val="20"/>
          <w:lang w:val="es-PE"/>
        </w:rPr>
        <w:t xml:space="preserve">El Estado </w:t>
      </w:r>
      <w:r w:rsidR="004403A8" w:rsidRPr="00325F5E">
        <w:rPr>
          <w:rFonts w:ascii="Cambria" w:hAnsi="Cambria"/>
          <w:sz w:val="20"/>
          <w:szCs w:val="20"/>
          <w:lang w:val="es-PE"/>
        </w:rPr>
        <w:t xml:space="preserve">informó que </w:t>
      </w:r>
      <w:r w:rsidR="00FD1208" w:rsidRPr="00325F5E">
        <w:rPr>
          <w:rFonts w:ascii="Cambria" w:hAnsi="Cambria"/>
          <w:sz w:val="20"/>
          <w:szCs w:val="20"/>
          <w:lang w:val="es-PE"/>
        </w:rPr>
        <w:t xml:space="preserve">en el expediente judicial paraguayo </w:t>
      </w:r>
      <w:r w:rsidR="00DD4C75" w:rsidRPr="00325F5E">
        <w:rPr>
          <w:rFonts w:ascii="Cambria" w:hAnsi="Cambria"/>
          <w:sz w:val="20"/>
          <w:szCs w:val="20"/>
          <w:lang w:val="es-PE"/>
        </w:rPr>
        <w:t>constaba</w:t>
      </w:r>
      <w:r w:rsidR="00FD1208" w:rsidRPr="00325F5E">
        <w:rPr>
          <w:rFonts w:ascii="Cambria" w:hAnsi="Cambria"/>
          <w:sz w:val="20"/>
          <w:szCs w:val="20"/>
          <w:lang w:val="es-PE"/>
        </w:rPr>
        <w:t>n</w:t>
      </w:r>
      <w:r w:rsidR="00DD4C75" w:rsidRPr="00325F5E">
        <w:rPr>
          <w:rFonts w:ascii="Cambria" w:hAnsi="Cambria"/>
          <w:sz w:val="20"/>
          <w:szCs w:val="20"/>
          <w:lang w:val="es-PE"/>
        </w:rPr>
        <w:t xml:space="preserve"> </w:t>
      </w:r>
      <w:r w:rsidR="000379BE" w:rsidRPr="00325F5E">
        <w:rPr>
          <w:rFonts w:ascii="Cambria" w:hAnsi="Cambria"/>
          <w:sz w:val="20"/>
          <w:szCs w:val="20"/>
          <w:lang w:val="es-PE"/>
        </w:rPr>
        <w:t xml:space="preserve">artículos de prensa e </w:t>
      </w:r>
      <w:r w:rsidR="00894278" w:rsidRPr="00325F5E">
        <w:rPr>
          <w:rFonts w:ascii="Cambria" w:hAnsi="Cambria"/>
          <w:sz w:val="20"/>
          <w:szCs w:val="20"/>
          <w:lang w:val="es-PE"/>
        </w:rPr>
        <w:t>informes de magistrados o delegados policiales de Brasil</w:t>
      </w:r>
      <w:r w:rsidR="000379BE" w:rsidRPr="00325F5E">
        <w:rPr>
          <w:rFonts w:ascii="Cambria" w:hAnsi="Cambria"/>
          <w:sz w:val="20"/>
          <w:szCs w:val="20"/>
          <w:lang w:val="es-PE"/>
        </w:rPr>
        <w:t xml:space="preserve">, </w:t>
      </w:r>
      <w:r w:rsidR="00894278" w:rsidRPr="00325F5E">
        <w:rPr>
          <w:rFonts w:ascii="Cambria" w:hAnsi="Cambria"/>
          <w:sz w:val="20"/>
          <w:szCs w:val="20"/>
          <w:lang w:val="es-PE"/>
        </w:rPr>
        <w:t xml:space="preserve">que </w:t>
      </w:r>
      <w:r w:rsidR="00FD1208" w:rsidRPr="00325F5E">
        <w:rPr>
          <w:rFonts w:ascii="Cambria" w:hAnsi="Cambria"/>
          <w:sz w:val="20"/>
          <w:szCs w:val="20"/>
          <w:lang w:val="es-PE"/>
        </w:rPr>
        <w:t>podrían dar cuenta de</w:t>
      </w:r>
      <w:r w:rsidR="00894278" w:rsidRPr="00325F5E">
        <w:rPr>
          <w:rFonts w:ascii="Cambria" w:hAnsi="Cambria"/>
          <w:sz w:val="20"/>
          <w:szCs w:val="20"/>
          <w:lang w:val="es-PE"/>
        </w:rPr>
        <w:t xml:space="preserve"> </w:t>
      </w:r>
      <w:r w:rsidR="00B951B9" w:rsidRPr="00325F5E">
        <w:rPr>
          <w:rFonts w:ascii="Cambria" w:hAnsi="Cambria"/>
          <w:sz w:val="20"/>
          <w:szCs w:val="20"/>
          <w:lang w:val="es-PE"/>
        </w:rPr>
        <w:t>la existencia de</w:t>
      </w:r>
      <w:r w:rsidR="00A47C1D" w:rsidRPr="00325F5E">
        <w:rPr>
          <w:rFonts w:ascii="Cambria" w:hAnsi="Cambria"/>
          <w:sz w:val="20"/>
          <w:szCs w:val="20"/>
          <w:lang w:val="es-PE"/>
        </w:rPr>
        <w:t xml:space="preserve"> </w:t>
      </w:r>
      <w:r w:rsidR="00B951B9" w:rsidRPr="00325F5E">
        <w:rPr>
          <w:rFonts w:ascii="Cambria" w:hAnsi="Cambria"/>
          <w:sz w:val="20"/>
          <w:szCs w:val="20"/>
          <w:lang w:val="es-PE"/>
        </w:rPr>
        <w:t xml:space="preserve">investigaciones en el ámbito policial y jurisdiccional penal de Brasil </w:t>
      </w:r>
      <w:r w:rsidR="00BC70FB" w:rsidRPr="00325F5E">
        <w:rPr>
          <w:rFonts w:ascii="Cambria" w:hAnsi="Cambria"/>
          <w:sz w:val="20"/>
          <w:szCs w:val="20"/>
          <w:lang w:val="es-PE"/>
        </w:rPr>
        <w:t xml:space="preserve">por la muerte de Santiago Leguizamón, </w:t>
      </w:r>
      <w:r w:rsidR="00A47C1D" w:rsidRPr="00325F5E">
        <w:rPr>
          <w:rFonts w:ascii="Cambria" w:hAnsi="Cambria"/>
          <w:sz w:val="20"/>
          <w:szCs w:val="20"/>
          <w:lang w:val="es-PE"/>
        </w:rPr>
        <w:t>incluso contra agentes estatales por su presunta participación</w:t>
      </w:r>
      <w:r w:rsidR="007B1BD0" w:rsidRPr="00325F5E">
        <w:rPr>
          <w:rFonts w:ascii="Cambria" w:hAnsi="Cambria"/>
          <w:sz w:val="20"/>
          <w:szCs w:val="20"/>
          <w:lang w:val="es-PE"/>
        </w:rPr>
        <w:t xml:space="preserve"> en el crimen contra el periodista</w:t>
      </w:r>
      <w:r w:rsidR="00A47C1D" w:rsidRPr="00325F5E">
        <w:rPr>
          <w:rFonts w:ascii="Cambria" w:hAnsi="Cambria"/>
          <w:sz w:val="20"/>
          <w:szCs w:val="20"/>
          <w:lang w:val="es-PE"/>
        </w:rPr>
        <w:t xml:space="preserve">. </w:t>
      </w:r>
      <w:r w:rsidR="00504480" w:rsidRPr="00325F5E">
        <w:rPr>
          <w:rFonts w:ascii="Cambria" w:hAnsi="Cambria"/>
          <w:sz w:val="20"/>
          <w:szCs w:val="20"/>
          <w:lang w:val="es-PE"/>
        </w:rPr>
        <w:t xml:space="preserve">El Estado paraguayo </w:t>
      </w:r>
      <w:r w:rsidR="00D064D9" w:rsidRPr="00325F5E">
        <w:rPr>
          <w:rFonts w:ascii="Cambria" w:hAnsi="Cambria"/>
          <w:sz w:val="20"/>
          <w:szCs w:val="20"/>
          <w:lang w:val="es-PE"/>
        </w:rPr>
        <w:t>señaló que estaría recabando información al respecto vía diplomática para confirmar lo anterior</w:t>
      </w:r>
      <w:r w:rsidR="007B1BD0" w:rsidRPr="00325F5E">
        <w:rPr>
          <w:rStyle w:val="FootnoteReference"/>
          <w:rFonts w:ascii="Cambria" w:hAnsi="Cambria"/>
          <w:sz w:val="20"/>
          <w:szCs w:val="20"/>
          <w:lang w:val="es-PE"/>
        </w:rPr>
        <w:footnoteReference w:id="70"/>
      </w:r>
      <w:r w:rsidR="00D064D9" w:rsidRPr="00325F5E">
        <w:rPr>
          <w:rFonts w:ascii="Cambria" w:hAnsi="Cambria"/>
          <w:sz w:val="20"/>
          <w:szCs w:val="20"/>
          <w:lang w:val="es-PE"/>
        </w:rPr>
        <w:t xml:space="preserve">. No consta en el expediente ante la CIDH la existencia de dichas investigaciones y/o procesos, y la parte peticionaria </w:t>
      </w:r>
      <w:r w:rsidR="000D46FD" w:rsidRPr="00325F5E">
        <w:rPr>
          <w:rFonts w:ascii="Cambria" w:hAnsi="Cambria"/>
          <w:sz w:val="20"/>
          <w:szCs w:val="20"/>
          <w:lang w:val="es-PE"/>
        </w:rPr>
        <w:t xml:space="preserve">alega que hasta el 2011 no figuraba ningún </w:t>
      </w:r>
      <w:r w:rsidR="007B1BD0" w:rsidRPr="00325F5E">
        <w:rPr>
          <w:rFonts w:ascii="Cambria" w:hAnsi="Cambria"/>
          <w:sz w:val="20"/>
          <w:szCs w:val="20"/>
          <w:lang w:val="es-PE"/>
        </w:rPr>
        <w:t xml:space="preserve">procedimiento en contra de los 14 presuntos </w:t>
      </w:r>
      <w:r w:rsidR="00086511" w:rsidRPr="00325F5E">
        <w:rPr>
          <w:rFonts w:ascii="Cambria" w:hAnsi="Cambria"/>
          <w:sz w:val="20"/>
          <w:szCs w:val="20"/>
          <w:lang w:val="es-PE"/>
        </w:rPr>
        <w:t>autores</w:t>
      </w:r>
      <w:r w:rsidR="007B1BD0" w:rsidRPr="00325F5E">
        <w:rPr>
          <w:rFonts w:ascii="Cambria" w:hAnsi="Cambria"/>
          <w:sz w:val="20"/>
          <w:szCs w:val="20"/>
          <w:lang w:val="es-PE"/>
        </w:rPr>
        <w:t xml:space="preserve"> materiales</w:t>
      </w:r>
      <w:r w:rsidR="007B1BD0" w:rsidRPr="00325F5E">
        <w:rPr>
          <w:rStyle w:val="FootnoteReference"/>
          <w:rFonts w:ascii="Cambria" w:hAnsi="Cambria"/>
          <w:sz w:val="20"/>
          <w:szCs w:val="20"/>
          <w:lang w:val="es-PE"/>
        </w:rPr>
        <w:footnoteReference w:id="71"/>
      </w:r>
      <w:r w:rsidR="007B1BD0" w:rsidRPr="00325F5E">
        <w:rPr>
          <w:rFonts w:ascii="Cambria" w:hAnsi="Cambria"/>
          <w:sz w:val="20"/>
          <w:szCs w:val="20"/>
          <w:lang w:val="es-PE"/>
        </w:rPr>
        <w:t>.</w:t>
      </w:r>
    </w:p>
    <w:p w14:paraId="5E868731" w14:textId="77777777" w:rsidR="00FC0754" w:rsidRPr="00325F5E" w:rsidRDefault="00FC0754"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0AC6CFE8" w14:textId="104F41D5" w:rsidR="001C04F3" w:rsidRPr="00325F5E" w:rsidRDefault="001C04F3"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325F5E">
        <w:rPr>
          <w:rFonts w:ascii="Cambria" w:hAnsi="Cambria"/>
          <w:sz w:val="20"/>
          <w:szCs w:val="20"/>
          <w:lang w:val="es-PE"/>
        </w:rPr>
        <w:t>De acuerdo con información brindada por el Estado</w:t>
      </w:r>
      <w:r w:rsidR="00F4706E" w:rsidRPr="00325F5E">
        <w:rPr>
          <w:rFonts w:ascii="Cambria" w:hAnsi="Cambria"/>
          <w:sz w:val="20"/>
          <w:szCs w:val="20"/>
          <w:lang w:val="es-PE"/>
        </w:rPr>
        <w:t xml:space="preserve"> </w:t>
      </w:r>
      <w:r w:rsidR="006420F8">
        <w:rPr>
          <w:rFonts w:ascii="Cambria" w:hAnsi="Cambria"/>
          <w:sz w:val="20"/>
          <w:szCs w:val="20"/>
          <w:lang w:val="es-PE"/>
        </w:rPr>
        <w:t>p</w:t>
      </w:r>
      <w:r w:rsidR="00F4706E" w:rsidRPr="00325F5E">
        <w:rPr>
          <w:rFonts w:ascii="Cambria" w:hAnsi="Cambria"/>
          <w:sz w:val="20"/>
          <w:szCs w:val="20"/>
          <w:lang w:val="es-PE"/>
        </w:rPr>
        <w:t>araguay</w:t>
      </w:r>
      <w:r w:rsidR="006420F8">
        <w:rPr>
          <w:rFonts w:ascii="Cambria" w:hAnsi="Cambria"/>
          <w:sz w:val="20"/>
          <w:szCs w:val="20"/>
          <w:lang w:val="es-PE"/>
        </w:rPr>
        <w:t>o</w:t>
      </w:r>
      <w:r w:rsidRPr="00325F5E">
        <w:rPr>
          <w:rFonts w:ascii="Cambria" w:hAnsi="Cambria"/>
          <w:sz w:val="20"/>
          <w:szCs w:val="20"/>
          <w:lang w:val="es-PE"/>
        </w:rPr>
        <w:t>,</w:t>
      </w:r>
      <w:r w:rsidR="0032667D" w:rsidRPr="00325F5E">
        <w:rPr>
          <w:rFonts w:ascii="Cambria" w:hAnsi="Cambria"/>
          <w:sz w:val="20"/>
          <w:szCs w:val="20"/>
          <w:lang w:val="es-PE"/>
        </w:rPr>
        <w:t xml:space="preserve"> </w:t>
      </w:r>
      <w:r w:rsidR="00FC0754" w:rsidRPr="00325F5E">
        <w:rPr>
          <w:rFonts w:ascii="Cambria" w:hAnsi="Cambria"/>
          <w:sz w:val="20"/>
          <w:szCs w:val="20"/>
          <w:lang w:val="es-PE"/>
        </w:rPr>
        <w:t>seis</w:t>
      </w:r>
      <w:r w:rsidR="00BD6676" w:rsidRPr="00325F5E">
        <w:rPr>
          <w:rFonts w:ascii="Cambria" w:hAnsi="Cambria"/>
          <w:sz w:val="20"/>
          <w:szCs w:val="20"/>
          <w:lang w:val="es-PE"/>
        </w:rPr>
        <w:t xml:space="preserve"> de los presuntos autores materiales del asesinato de Santiago </w:t>
      </w:r>
      <w:r w:rsidR="0032667D" w:rsidRPr="00325F5E">
        <w:rPr>
          <w:rFonts w:ascii="Cambria" w:hAnsi="Cambria"/>
          <w:sz w:val="20"/>
          <w:szCs w:val="20"/>
          <w:lang w:val="es-PE"/>
        </w:rPr>
        <w:t>Leguizamón</w:t>
      </w:r>
      <w:r w:rsidR="00BD6676" w:rsidRPr="00325F5E">
        <w:rPr>
          <w:rFonts w:ascii="Cambria" w:hAnsi="Cambria"/>
          <w:sz w:val="20"/>
          <w:szCs w:val="20"/>
          <w:lang w:val="es-PE"/>
        </w:rPr>
        <w:t xml:space="preserve"> habrían fallecido, por lo que </w:t>
      </w:r>
      <w:r w:rsidR="003635AA" w:rsidRPr="00325F5E">
        <w:rPr>
          <w:rFonts w:ascii="Cambria" w:hAnsi="Cambria"/>
          <w:sz w:val="20"/>
          <w:szCs w:val="20"/>
          <w:lang w:val="es-PE"/>
        </w:rPr>
        <w:t>la acción penal estar</w:t>
      </w:r>
      <w:r w:rsidR="00787606" w:rsidRPr="00325F5E">
        <w:rPr>
          <w:rFonts w:ascii="Cambria" w:hAnsi="Cambria"/>
          <w:sz w:val="20"/>
          <w:szCs w:val="20"/>
          <w:lang w:val="es-PE"/>
        </w:rPr>
        <w:t>ía extinta en relación con los mismos</w:t>
      </w:r>
      <w:r w:rsidR="00787606" w:rsidRPr="00325F5E">
        <w:rPr>
          <w:rStyle w:val="FootnoteReference"/>
          <w:rFonts w:ascii="Cambria" w:hAnsi="Cambria"/>
          <w:sz w:val="20"/>
          <w:szCs w:val="20"/>
          <w:lang w:val="es-PE"/>
        </w:rPr>
        <w:footnoteReference w:id="72"/>
      </w:r>
      <w:r w:rsidR="00787606" w:rsidRPr="00325F5E">
        <w:rPr>
          <w:rFonts w:ascii="Cambria" w:hAnsi="Cambria"/>
          <w:sz w:val="20"/>
          <w:szCs w:val="20"/>
          <w:lang w:val="es-PE"/>
        </w:rPr>
        <w:t xml:space="preserve">. </w:t>
      </w:r>
    </w:p>
    <w:p w14:paraId="3EC699E8" w14:textId="640B3837" w:rsidR="005E020B" w:rsidRPr="007A0D4C" w:rsidRDefault="005E020B" w:rsidP="007A0D4C">
      <w:pPr>
        <w:rPr>
          <w:rFonts w:ascii="Cambria" w:hAnsi="Cambria"/>
          <w:sz w:val="20"/>
          <w:szCs w:val="20"/>
          <w:lang w:val="es-PE"/>
        </w:rPr>
      </w:pPr>
    </w:p>
    <w:p w14:paraId="1D787524" w14:textId="3144BFA4" w:rsidR="005E020B" w:rsidRPr="007A0D4C" w:rsidRDefault="005E020B" w:rsidP="007A0D4C">
      <w:pPr>
        <w:pStyle w:val="Heading3"/>
      </w:pPr>
      <w:bookmarkStart w:id="26" w:name="_Toc47965326"/>
      <w:r w:rsidRPr="007A0D4C">
        <w:t xml:space="preserve">Amenazas </w:t>
      </w:r>
      <w:r w:rsidR="00C22E94" w:rsidRPr="007A0D4C">
        <w:t>a los familiares de Santiago Leguizamón</w:t>
      </w:r>
      <w:r w:rsidR="004262FB" w:rsidRPr="007A0D4C">
        <w:t xml:space="preserve"> y consecuencias sufridas con motivo de su asesinato</w:t>
      </w:r>
      <w:bookmarkEnd w:id="26"/>
    </w:p>
    <w:p w14:paraId="4F92BECD" w14:textId="4BAE9A1C" w:rsidR="00C22E94" w:rsidRPr="007A0D4C" w:rsidRDefault="00C22E94" w:rsidP="007A0D4C">
      <w:pPr>
        <w:rPr>
          <w:rFonts w:ascii="Cambria" w:hAnsi="Cambria"/>
          <w:sz w:val="20"/>
          <w:szCs w:val="20"/>
          <w:lang w:val="es-PE"/>
        </w:rPr>
      </w:pPr>
    </w:p>
    <w:p w14:paraId="7473C597" w14:textId="355FD3B2" w:rsidR="00F96A5C" w:rsidRPr="007A0D4C" w:rsidRDefault="00A629D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Conforme a lo alegado por la parte peticionaria, lo cual no fue controvertido por el Estado, </w:t>
      </w:r>
      <w:r w:rsidR="00D04E0F" w:rsidRPr="007A0D4C">
        <w:rPr>
          <w:rFonts w:ascii="Cambria" w:hAnsi="Cambria"/>
          <w:sz w:val="20"/>
          <w:szCs w:val="20"/>
          <w:lang w:val="es-PE"/>
        </w:rPr>
        <w:t>la esposa de Santiago Leguizamón</w:t>
      </w:r>
      <w:r w:rsidR="001E689E" w:rsidRPr="007A0D4C">
        <w:rPr>
          <w:rFonts w:ascii="Cambria" w:hAnsi="Cambria"/>
          <w:sz w:val="20"/>
          <w:szCs w:val="20"/>
          <w:lang w:val="es-PE"/>
        </w:rPr>
        <w:t xml:space="preserve"> y sus hijos, fueron objeto de amenazas con posterioridad al asesinato del periodista.</w:t>
      </w:r>
      <w:r w:rsidR="005F0488" w:rsidRPr="007A0D4C">
        <w:rPr>
          <w:rFonts w:ascii="Cambria" w:hAnsi="Cambria"/>
          <w:sz w:val="20"/>
          <w:szCs w:val="20"/>
          <w:lang w:val="es-PE"/>
        </w:rPr>
        <w:t xml:space="preserve"> </w:t>
      </w:r>
      <w:r w:rsidR="00505860" w:rsidRPr="007A0D4C">
        <w:rPr>
          <w:rFonts w:ascii="Cambria" w:hAnsi="Cambria"/>
          <w:sz w:val="20"/>
          <w:szCs w:val="20"/>
          <w:lang w:val="es-PE"/>
        </w:rPr>
        <w:t>Señalaron que vehículos sin placa y con vidrios polarizados</w:t>
      </w:r>
      <w:r w:rsidR="00397C26" w:rsidRPr="007A0D4C">
        <w:rPr>
          <w:rFonts w:ascii="Cambria" w:hAnsi="Cambria"/>
          <w:sz w:val="20"/>
          <w:szCs w:val="20"/>
          <w:lang w:val="es-PE"/>
        </w:rPr>
        <w:t xml:space="preserve"> merodeaban y se estacionaban en la zona</w:t>
      </w:r>
      <w:r w:rsidR="00D540A5" w:rsidRPr="007A0D4C">
        <w:rPr>
          <w:rFonts w:ascii="Cambria" w:hAnsi="Cambria"/>
          <w:sz w:val="20"/>
          <w:szCs w:val="20"/>
          <w:lang w:val="es-PE"/>
        </w:rPr>
        <w:t xml:space="preserve">, </w:t>
      </w:r>
      <w:r w:rsidR="0091706F" w:rsidRPr="007A0D4C">
        <w:rPr>
          <w:rFonts w:ascii="Cambria" w:hAnsi="Cambria"/>
          <w:sz w:val="20"/>
          <w:szCs w:val="20"/>
          <w:lang w:val="es-PE"/>
        </w:rPr>
        <w:t>incluso</w:t>
      </w:r>
      <w:r w:rsidR="00D540A5" w:rsidRPr="007A0D4C">
        <w:rPr>
          <w:rFonts w:ascii="Cambria" w:hAnsi="Cambria"/>
          <w:sz w:val="20"/>
          <w:szCs w:val="20"/>
          <w:lang w:val="es-PE"/>
        </w:rPr>
        <w:t xml:space="preserve"> el día del velatorio en Asunción. </w:t>
      </w:r>
      <w:r w:rsidR="00251A5D" w:rsidRPr="007A0D4C">
        <w:rPr>
          <w:rFonts w:ascii="Cambria" w:hAnsi="Cambria"/>
          <w:sz w:val="20"/>
          <w:szCs w:val="20"/>
          <w:lang w:val="es-PE"/>
        </w:rPr>
        <w:t xml:space="preserve">Los hijos de Santiago Leguizamón, Dante y Sebastián recibieron llamadas anónimas con extrañas invitaciones </w:t>
      </w:r>
      <w:r w:rsidR="009D2EB6" w:rsidRPr="007A0D4C">
        <w:rPr>
          <w:rFonts w:ascii="Cambria" w:hAnsi="Cambria"/>
          <w:sz w:val="20"/>
          <w:szCs w:val="20"/>
          <w:lang w:val="es-PE"/>
        </w:rPr>
        <w:t>y consultas sobre a qué hora salían de la escuela para buscarlos allí.</w:t>
      </w:r>
      <w:r w:rsidR="009A370A" w:rsidRPr="007A0D4C">
        <w:rPr>
          <w:rFonts w:ascii="Cambria" w:hAnsi="Cambria"/>
          <w:sz w:val="20"/>
          <w:szCs w:val="20"/>
          <w:lang w:val="es-PE"/>
        </w:rPr>
        <w:t xml:space="preserve"> El 1 de mayo de 1991, la señora Ana María Morra recibió una llamada </w:t>
      </w:r>
      <w:r w:rsidR="00367265" w:rsidRPr="007A0D4C">
        <w:rPr>
          <w:rFonts w:ascii="Cambria" w:hAnsi="Cambria"/>
          <w:sz w:val="20"/>
          <w:szCs w:val="20"/>
          <w:lang w:val="es-PE"/>
        </w:rPr>
        <w:t>de una persona desconocida diciendo que era el asesino de Santiago.</w:t>
      </w:r>
      <w:r w:rsidR="000A52D9" w:rsidRPr="007A0D4C">
        <w:rPr>
          <w:rFonts w:ascii="Cambria" w:hAnsi="Cambria"/>
          <w:sz w:val="20"/>
          <w:szCs w:val="20"/>
          <w:lang w:val="es-PE"/>
        </w:rPr>
        <w:t xml:space="preserve"> Según los peticionarios, no controvertido por el Estado, ante dicha situación se solicitó </w:t>
      </w:r>
      <w:r w:rsidR="001A29AB" w:rsidRPr="007A0D4C">
        <w:rPr>
          <w:rFonts w:ascii="Cambria" w:hAnsi="Cambria"/>
          <w:sz w:val="20"/>
          <w:szCs w:val="20"/>
          <w:lang w:val="es-PE"/>
        </w:rPr>
        <w:t>custodia policial la que se mantuvo en la casa de la familia hasta noviembre de 1991</w:t>
      </w:r>
      <w:r w:rsidR="00B82CF8" w:rsidRPr="007A0D4C">
        <w:rPr>
          <w:rFonts w:ascii="Cambria" w:hAnsi="Cambria"/>
          <w:sz w:val="20"/>
          <w:szCs w:val="20"/>
          <w:lang w:val="es-PE"/>
        </w:rPr>
        <w:t>. E</w:t>
      </w:r>
      <w:r w:rsidR="001A29AB" w:rsidRPr="007A0D4C">
        <w:rPr>
          <w:rFonts w:ascii="Cambria" w:hAnsi="Cambria"/>
          <w:sz w:val="20"/>
          <w:szCs w:val="20"/>
          <w:lang w:val="es-PE"/>
        </w:rPr>
        <w:t xml:space="preserve">n junio de 1991 se cambió el número telefónico </w:t>
      </w:r>
      <w:r w:rsidR="00052D1E" w:rsidRPr="007A0D4C">
        <w:rPr>
          <w:rFonts w:ascii="Cambria" w:hAnsi="Cambria"/>
          <w:sz w:val="20"/>
          <w:szCs w:val="20"/>
          <w:lang w:val="es-PE"/>
        </w:rPr>
        <w:t>y se mantuvo en confidencialidad</w:t>
      </w:r>
      <w:r w:rsidR="00105550" w:rsidRPr="007A0D4C">
        <w:rPr>
          <w:rStyle w:val="FootnoteReference"/>
          <w:rFonts w:ascii="Cambria" w:hAnsi="Cambria"/>
          <w:sz w:val="20"/>
          <w:szCs w:val="20"/>
          <w:lang w:val="es-PE"/>
        </w:rPr>
        <w:footnoteReference w:id="73"/>
      </w:r>
      <w:r w:rsidR="00052D1E" w:rsidRPr="007A0D4C">
        <w:rPr>
          <w:rFonts w:ascii="Cambria" w:hAnsi="Cambria"/>
          <w:sz w:val="20"/>
          <w:szCs w:val="20"/>
          <w:lang w:val="es-PE"/>
        </w:rPr>
        <w:t xml:space="preserve">. </w:t>
      </w:r>
    </w:p>
    <w:p w14:paraId="38492543" w14:textId="77777777" w:rsidR="00E04A6B" w:rsidRPr="007A0D4C" w:rsidRDefault="00E04A6B"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2EDB9CF" w14:textId="795B8CC2" w:rsidR="00A105B1" w:rsidRPr="007C4A01" w:rsidRDefault="001F7302"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7A0D4C">
        <w:rPr>
          <w:rFonts w:ascii="Cambria" w:hAnsi="Cambria"/>
          <w:sz w:val="20"/>
          <w:szCs w:val="20"/>
          <w:lang w:val="es-PE"/>
        </w:rPr>
        <w:t xml:space="preserve">Según la parte peticionaria, debido </w:t>
      </w:r>
      <w:r w:rsidR="00A105B1" w:rsidRPr="007A0D4C">
        <w:rPr>
          <w:rFonts w:ascii="Cambria" w:hAnsi="Cambria"/>
          <w:sz w:val="20"/>
          <w:szCs w:val="20"/>
          <w:lang w:val="es-PE"/>
        </w:rPr>
        <w:t xml:space="preserve">a </w:t>
      </w:r>
      <w:r w:rsidR="00B82CF8" w:rsidRPr="007A0D4C">
        <w:rPr>
          <w:rFonts w:ascii="Cambria" w:hAnsi="Cambria"/>
          <w:sz w:val="20"/>
          <w:szCs w:val="20"/>
          <w:lang w:val="es-PE"/>
        </w:rPr>
        <w:t>“</w:t>
      </w:r>
      <w:r w:rsidR="00A105B1" w:rsidRPr="007A0D4C">
        <w:rPr>
          <w:rFonts w:ascii="Cambria" w:hAnsi="Cambria"/>
          <w:sz w:val="20"/>
          <w:szCs w:val="20"/>
          <w:lang w:val="es-PE"/>
        </w:rPr>
        <w:t xml:space="preserve">las constantes amenazas y a las llamadas telefónicas entre otras cosas, la familia Leguizamón Morra decidió no exponer ante el Juzgado los detalles con los que contaba, debido a que no existían garantías </w:t>
      </w:r>
      <w:r w:rsidR="00A105B1" w:rsidRPr="007C4A01">
        <w:rPr>
          <w:rFonts w:ascii="Cambria" w:hAnsi="Cambria"/>
          <w:sz w:val="20"/>
          <w:szCs w:val="20"/>
          <w:lang w:val="es-PE"/>
        </w:rPr>
        <w:t>por parte del Estado Paraguayo</w:t>
      </w:r>
      <w:r w:rsidR="002067AF" w:rsidRPr="007C4A01">
        <w:rPr>
          <w:rFonts w:ascii="Cambria" w:hAnsi="Cambria"/>
          <w:sz w:val="20"/>
          <w:szCs w:val="20"/>
          <w:lang w:val="es-PE"/>
        </w:rPr>
        <w:t>”</w:t>
      </w:r>
      <w:r w:rsidR="00105550" w:rsidRPr="007C4A01">
        <w:rPr>
          <w:rStyle w:val="FootnoteReference"/>
          <w:rFonts w:ascii="Cambria" w:hAnsi="Cambria"/>
          <w:sz w:val="20"/>
          <w:szCs w:val="20"/>
          <w:lang w:val="es-PE"/>
        </w:rPr>
        <w:footnoteReference w:id="74"/>
      </w:r>
      <w:r w:rsidR="00A105B1" w:rsidRPr="007C4A01">
        <w:rPr>
          <w:rFonts w:ascii="Cambria" w:hAnsi="Cambria"/>
          <w:sz w:val="20"/>
          <w:szCs w:val="20"/>
          <w:lang w:val="es-PE"/>
        </w:rPr>
        <w:t xml:space="preserve">. </w:t>
      </w:r>
      <w:r w:rsidR="00461DBF" w:rsidRPr="007C4A01">
        <w:rPr>
          <w:rFonts w:ascii="Cambria" w:hAnsi="Cambria"/>
          <w:sz w:val="20"/>
          <w:szCs w:val="20"/>
          <w:lang w:val="es-PE"/>
        </w:rPr>
        <w:t>No consta en el expediente ante la Comisión la presentación de una denuncia o el inicio de ofici</w:t>
      </w:r>
      <w:r w:rsidR="00CC0E08" w:rsidRPr="007C4A01">
        <w:rPr>
          <w:rFonts w:ascii="Cambria" w:hAnsi="Cambria"/>
          <w:sz w:val="20"/>
          <w:szCs w:val="20"/>
          <w:lang w:val="es-PE"/>
        </w:rPr>
        <w:t>o de una investigación ante las amenazas</w:t>
      </w:r>
      <w:r w:rsidR="005E5DED" w:rsidRPr="007C4A01">
        <w:rPr>
          <w:rFonts w:ascii="Cambria" w:hAnsi="Cambria"/>
          <w:sz w:val="20"/>
          <w:szCs w:val="20"/>
          <w:lang w:val="es-PE"/>
        </w:rPr>
        <w:t xml:space="preserve"> descritas.</w:t>
      </w:r>
    </w:p>
    <w:p w14:paraId="5B1981D2" w14:textId="77777777" w:rsidR="00A105B1" w:rsidRPr="007A0D4C" w:rsidRDefault="00A105B1"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AEFFB7E" w14:textId="41DEF367" w:rsidR="00105550" w:rsidRPr="007A0D4C" w:rsidRDefault="00AA67DF"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7A0D4C">
        <w:rPr>
          <w:rFonts w:ascii="Cambria" w:hAnsi="Cambria"/>
          <w:sz w:val="20"/>
          <w:szCs w:val="20"/>
          <w:lang w:val="es-PE"/>
        </w:rPr>
        <w:t xml:space="preserve">La muerte de Santiago Leguizamón afectó emocional y económicamente a su esposa e hijos. La señora Ana María Morra </w:t>
      </w:r>
      <w:r w:rsidR="00440F21">
        <w:rPr>
          <w:rFonts w:ascii="Cambria" w:hAnsi="Cambria"/>
          <w:sz w:val="20"/>
          <w:szCs w:val="20"/>
          <w:lang w:val="es-PE"/>
        </w:rPr>
        <w:t xml:space="preserve">recibía </w:t>
      </w:r>
      <w:r w:rsidR="00AD72FB" w:rsidRPr="007A0D4C">
        <w:rPr>
          <w:rFonts w:ascii="Cambria" w:hAnsi="Cambria"/>
          <w:sz w:val="20"/>
          <w:szCs w:val="20"/>
          <w:lang w:val="es-PE"/>
        </w:rPr>
        <w:t>un salario que no le permitía sostener económicamente al hogar, por</w:t>
      </w:r>
      <w:r w:rsidR="007010D2" w:rsidRPr="007A0D4C">
        <w:rPr>
          <w:rFonts w:ascii="Cambria" w:hAnsi="Cambria"/>
          <w:sz w:val="20"/>
          <w:szCs w:val="20"/>
          <w:lang w:val="es-PE"/>
        </w:rPr>
        <w:t xml:space="preserve"> lo que </w:t>
      </w:r>
      <w:r w:rsidR="00C25E2B" w:rsidRPr="007A0D4C">
        <w:rPr>
          <w:rFonts w:ascii="Cambria" w:hAnsi="Cambria"/>
          <w:sz w:val="20"/>
          <w:szCs w:val="20"/>
          <w:lang w:val="es-PE"/>
        </w:rPr>
        <w:t xml:space="preserve">el </w:t>
      </w:r>
      <w:r w:rsidR="00105550" w:rsidRPr="007A0D4C">
        <w:rPr>
          <w:rFonts w:ascii="Cambria" w:hAnsi="Cambria"/>
          <w:sz w:val="20"/>
          <w:szCs w:val="20"/>
          <w:lang w:val="es-PE"/>
        </w:rPr>
        <w:t>director</w:t>
      </w:r>
      <w:r w:rsidR="00C25E2B" w:rsidRPr="007A0D4C">
        <w:rPr>
          <w:rFonts w:ascii="Cambria" w:hAnsi="Cambria"/>
          <w:sz w:val="20"/>
          <w:szCs w:val="20"/>
          <w:lang w:val="es-PE"/>
        </w:rPr>
        <w:t xml:space="preserve"> del Diario ABC Color, Aldo Zucolillo, </w:t>
      </w:r>
      <w:r w:rsidR="005E5DED" w:rsidRPr="007A0D4C">
        <w:rPr>
          <w:rFonts w:ascii="Cambria" w:hAnsi="Cambria"/>
          <w:sz w:val="20"/>
          <w:szCs w:val="20"/>
          <w:lang w:val="es-PE"/>
        </w:rPr>
        <w:t>pagó</w:t>
      </w:r>
      <w:r w:rsidR="00C25E2B" w:rsidRPr="007A0D4C">
        <w:rPr>
          <w:rFonts w:ascii="Cambria" w:hAnsi="Cambria"/>
          <w:sz w:val="20"/>
          <w:szCs w:val="20"/>
          <w:lang w:val="es-PE"/>
        </w:rPr>
        <w:t xml:space="preserve"> la educación de los hijos de</w:t>
      </w:r>
      <w:r w:rsidR="00440F21">
        <w:rPr>
          <w:rFonts w:ascii="Cambria" w:hAnsi="Cambria"/>
          <w:sz w:val="20"/>
          <w:szCs w:val="20"/>
          <w:lang w:val="es-PE"/>
        </w:rPr>
        <w:t>l periodista</w:t>
      </w:r>
      <w:r w:rsidR="00C25E2B" w:rsidRPr="007A0D4C">
        <w:rPr>
          <w:rFonts w:ascii="Cambria" w:hAnsi="Cambria"/>
          <w:sz w:val="20"/>
          <w:szCs w:val="20"/>
          <w:lang w:val="es-PE"/>
        </w:rPr>
        <w:t xml:space="preserve"> </w:t>
      </w:r>
      <w:r w:rsidR="00440F21">
        <w:rPr>
          <w:rFonts w:ascii="Cambria" w:hAnsi="Cambria"/>
          <w:sz w:val="20"/>
          <w:szCs w:val="20"/>
          <w:lang w:val="es-PE"/>
        </w:rPr>
        <w:t xml:space="preserve">con el fin de que pudieran </w:t>
      </w:r>
      <w:r w:rsidR="00440F21">
        <w:rPr>
          <w:rFonts w:ascii="Cambria" w:hAnsi="Cambria"/>
          <w:sz w:val="20"/>
          <w:szCs w:val="20"/>
          <w:lang w:val="es-PE"/>
        </w:rPr>
        <w:lastRenderedPageBreak/>
        <w:t xml:space="preserve">continuar sus estudios </w:t>
      </w:r>
      <w:r w:rsidR="00C25E2B" w:rsidRPr="007A0D4C">
        <w:rPr>
          <w:rFonts w:ascii="Cambria" w:hAnsi="Cambria"/>
          <w:sz w:val="20"/>
          <w:szCs w:val="20"/>
          <w:lang w:val="es-PE"/>
        </w:rPr>
        <w:t>entre</w:t>
      </w:r>
      <w:r w:rsidR="00440F21">
        <w:rPr>
          <w:rFonts w:ascii="Cambria" w:hAnsi="Cambria"/>
          <w:sz w:val="20"/>
          <w:szCs w:val="20"/>
          <w:lang w:val="es-PE"/>
        </w:rPr>
        <w:t xml:space="preserve"> los años</w:t>
      </w:r>
      <w:r w:rsidR="00C25E2B" w:rsidRPr="007A0D4C">
        <w:rPr>
          <w:rFonts w:ascii="Cambria" w:hAnsi="Cambria"/>
          <w:sz w:val="20"/>
          <w:szCs w:val="20"/>
          <w:lang w:val="es-PE"/>
        </w:rPr>
        <w:t xml:space="preserve"> 1991 y 2008. Si bien, </w:t>
      </w:r>
      <w:r w:rsidR="00562FE2" w:rsidRPr="007A0D4C">
        <w:rPr>
          <w:rFonts w:ascii="Cambria" w:hAnsi="Cambria"/>
          <w:sz w:val="20"/>
          <w:szCs w:val="20"/>
          <w:lang w:val="es-PE"/>
        </w:rPr>
        <w:t>el Estado asignó una pensión graciable</w:t>
      </w:r>
      <w:r w:rsidR="00151EDD" w:rsidRPr="007A0D4C">
        <w:rPr>
          <w:rFonts w:ascii="Cambria" w:hAnsi="Cambria"/>
          <w:sz w:val="20"/>
          <w:szCs w:val="20"/>
          <w:lang w:val="es-PE"/>
        </w:rPr>
        <w:t xml:space="preserve"> de aproximadamente $26</w:t>
      </w:r>
      <w:r w:rsidR="00562FE2" w:rsidRPr="007A0D4C">
        <w:rPr>
          <w:rFonts w:ascii="Cambria" w:hAnsi="Cambria"/>
          <w:sz w:val="20"/>
          <w:szCs w:val="20"/>
          <w:lang w:val="es-PE"/>
        </w:rPr>
        <w:t xml:space="preserve"> a cada uno de los hijos</w:t>
      </w:r>
      <w:r w:rsidR="00D278B4" w:rsidRPr="007A0D4C">
        <w:rPr>
          <w:rFonts w:ascii="Cambria" w:hAnsi="Cambria"/>
          <w:sz w:val="20"/>
          <w:szCs w:val="20"/>
          <w:lang w:val="es-PE"/>
        </w:rPr>
        <w:t xml:space="preserve"> del periodista, el monto era insuficiente</w:t>
      </w:r>
      <w:r w:rsidR="00151EDD" w:rsidRPr="007A0D4C">
        <w:rPr>
          <w:rFonts w:ascii="Cambria" w:hAnsi="Cambria"/>
          <w:sz w:val="20"/>
          <w:szCs w:val="20"/>
          <w:lang w:val="es-PE"/>
        </w:rPr>
        <w:t xml:space="preserve">. La situación descrita </w:t>
      </w:r>
      <w:r w:rsidR="00C00184" w:rsidRPr="007A0D4C">
        <w:rPr>
          <w:rFonts w:ascii="Cambria" w:hAnsi="Cambria"/>
          <w:sz w:val="20"/>
          <w:szCs w:val="20"/>
          <w:lang w:val="es-PE"/>
        </w:rPr>
        <w:t>derivó en que Dante y Sebastián trabajaran desde jóvenes</w:t>
      </w:r>
      <w:r w:rsidR="00415FE2" w:rsidRPr="007A0D4C">
        <w:rPr>
          <w:rFonts w:ascii="Cambria" w:hAnsi="Cambria"/>
          <w:sz w:val="20"/>
          <w:szCs w:val="20"/>
          <w:lang w:val="es-PE"/>
        </w:rPr>
        <w:t xml:space="preserve"> para colaborar con los gastos de la casa. Si bien Dante concluyó sus estudios de derecho, Sebastián debió dejar la universidad por no poder costearla</w:t>
      </w:r>
      <w:r w:rsidR="00105550" w:rsidRPr="007A0D4C">
        <w:rPr>
          <w:rStyle w:val="FootnoteReference"/>
          <w:rFonts w:ascii="Cambria" w:hAnsi="Cambria"/>
          <w:sz w:val="20"/>
          <w:szCs w:val="20"/>
          <w:lang w:val="es-PE"/>
        </w:rPr>
        <w:footnoteReference w:id="75"/>
      </w:r>
      <w:r w:rsidR="00415FE2" w:rsidRPr="007A0D4C">
        <w:rPr>
          <w:rFonts w:ascii="Cambria" w:hAnsi="Cambria"/>
          <w:sz w:val="20"/>
          <w:szCs w:val="20"/>
          <w:lang w:val="es-PE"/>
        </w:rPr>
        <w:t xml:space="preserve">. </w:t>
      </w:r>
    </w:p>
    <w:p w14:paraId="267B8E0F" w14:textId="20795CF6" w:rsidR="001E123D" w:rsidRPr="007A0D4C" w:rsidRDefault="00C00184" w:rsidP="007A0D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r w:rsidRPr="007A0D4C">
        <w:rPr>
          <w:rFonts w:ascii="Cambria" w:hAnsi="Cambria"/>
          <w:sz w:val="20"/>
          <w:szCs w:val="20"/>
          <w:lang w:val="es-PE"/>
        </w:rPr>
        <w:t xml:space="preserve"> </w:t>
      </w:r>
    </w:p>
    <w:p w14:paraId="23BCE01E" w14:textId="77777777" w:rsidR="00240F3F" w:rsidRPr="009B49A7" w:rsidRDefault="00240F3F" w:rsidP="009B49A7">
      <w:pPr>
        <w:pStyle w:val="Heading1"/>
        <w:rPr>
          <w:lang w:val="es-VE"/>
        </w:rPr>
      </w:pPr>
      <w:bookmarkStart w:id="27" w:name="_Toc534905528"/>
      <w:bookmarkStart w:id="28" w:name="_Toc4417452"/>
      <w:bookmarkStart w:id="29" w:name="_Toc47965327"/>
      <w:r w:rsidRPr="009B49A7">
        <w:rPr>
          <w:lang w:val="es-VE"/>
        </w:rPr>
        <w:t>ANÁLISIS DE DERECHO</w:t>
      </w:r>
      <w:bookmarkEnd w:id="27"/>
      <w:bookmarkEnd w:id="28"/>
      <w:bookmarkEnd w:id="29"/>
    </w:p>
    <w:p w14:paraId="428CE532" w14:textId="77777777" w:rsidR="007E2BA7" w:rsidRPr="009B49A7" w:rsidRDefault="007E2BA7" w:rsidP="009B49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bookmarkStart w:id="30" w:name="_Toc534905529"/>
    </w:p>
    <w:p w14:paraId="744C1947" w14:textId="212C8731" w:rsidR="0095508E" w:rsidRPr="0087519F" w:rsidRDefault="006163B3"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_tradnl"/>
        </w:rPr>
      </w:pPr>
      <w:r w:rsidRPr="0087519F">
        <w:rPr>
          <w:rFonts w:ascii="Cambria" w:hAnsi="Cambria"/>
          <w:bCs/>
          <w:sz w:val="20"/>
          <w:szCs w:val="20"/>
          <w:lang w:val="es-CO"/>
        </w:rPr>
        <w:t xml:space="preserve">Tomando en cuenta los alegatos de las </w:t>
      </w:r>
      <w:r w:rsidR="0087519F" w:rsidRPr="0087519F">
        <w:rPr>
          <w:rFonts w:ascii="Cambria" w:hAnsi="Cambria"/>
          <w:bCs/>
          <w:sz w:val="20"/>
          <w:szCs w:val="20"/>
          <w:lang w:val="es-CO"/>
        </w:rPr>
        <w:t>partes,</w:t>
      </w:r>
      <w:r w:rsidRPr="0087519F">
        <w:rPr>
          <w:rFonts w:ascii="Cambria" w:hAnsi="Cambria"/>
          <w:bCs/>
          <w:sz w:val="20"/>
          <w:szCs w:val="20"/>
          <w:lang w:val="es-CO"/>
        </w:rPr>
        <w:t xml:space="preserve"> así como los hechos del presente caso, la Comisión efectuará </w:t>
      </w:r>
      <w:r w:rsidRPr="0087519F">
        <w:rPr>
          <w:rFonts w:ascii="Cambria" w:hAnsi="Cambria"/>
          <w:sz w:val="20"/>
          <w:szCs w:val="20"/>
          <w:lang w:val="es-CO"/>
        </w:rPr>
        <w:t>su</w:t>
      </w:r>
      <w:r w:rsidRPr="0087519F">
        <w:rPr>
          <w:rFonts w:ascii="Cambria" w:hAnsi="Cambria"/>
          <w:bCs/>
          <w:sz w:val="20"/>
          <w:szCs w:val="20"/>
          <w:lang w:val="es-CO"/>
        </w:rPr>
        <w:t xml:space="preserve"> análisis de derecho en </w:t>
      </w:r>
      <w:r w:rsidR="006F644F" w:rsidRPr="0087519F">
        <w:rPr>
          <w:rFonts w:ascii="Cambria" w:hAnsi="Cambria"/>
          <w:bCs/>
          <w:sz w:val="20"/>
          <w:szCs w:val="20"/>
          <w:lang w:val="es-CO"/>
        </w:rPr>
        <w:t xml:space="preserve">dos apartados. El primero seguirá </w:t>
      </w:r>
      <w:r w:rsidRPr="0087519F">
        <w:rPr>
          <w:rFonts w:ascii="Cambria" w:hAnsi="Cambria"/>
          <w:bCs/>
          <w:sz w:val="20"/>
          <w:szCs w:val="20"/>
          <w:lang w:val="es-CO"/>
        </w:rPr>
        <w:t xml:space="preserve">el siguiente orden: i) </w:t>
      </w:r>
      <w:bookmarkEnd w:id="30"/>
      <w:r w:rsidR="0059373E" w:rsidRPr="0087519F">
        <w:rPr>
          <w:rFonts w:ascii="Cambria" w:hAnsi="Cambria"/>
          <w:bCs/>
          <w:sz w:val="20"/>
          <w:szCs w:val="20"/>
          <w:lang w:val="es-CO"/>
        </w:rPr>
        <w:t xml:space="preserve">consideraciones </w:t>
      </w:r>
      <w:r w:rsidR="0059373E" w:rsidRPr="0087519F">
        <w:rPr>
          <w:rFonts w:ascii="Cambria" w:hAnsi="Cambria"/>
          <w:sz w:val="20"/>
          <w:szCs w:val="20"/>
          <w:lang w:val="es-PE"/>
        </w:rPr>
        <w:t>generales sobre el rol trascendental de la prensa y las obligaciones positivas de los Estados frente a crímenes contra periodistas cometidos por el ejercicio de la libertad de expresión; ii)</w:t>
      </w:r>
      <w:r w:rsidR="006F644F" w:rsidRPr="0087519F">
        <w:rPr>
          <w:rFonts w:ascii="Cambria" w:hAnsi="Cambria"/>
          <w:sz w:val="20"/>
          <w:szCs w:val="20"/>
          <w:lang w:val="es-ES_tradnl"/>
        </w:rPr>
        <w:t xml:space="preserve"> consideraciones </w:t>
      </w:r>
      <w:r w:rsidR="0059373E" w:rsidRPr="0087519F">
        <w:rPr>
          <w:rFonts w:ascii="Cambria" w:hAnsi="Cambria"/>
          <w:sz w:val="20"/>
          <w:szCs w:val="20"/>
          <w:lang w:val="es-US"/>
        </w:rPr>
        <w:t>s</w:t>
      </w:r>
      <w:r w:rsidR="0059373E" w:rsidRPr="0087519F">
        <w:rPr>
          <w:rFonts w:ascii="Cambria" w:hAnsi="Cambria"/>
          <w:sz w:val="20"/>
          <w:szCs w:val="20"/>
          <w:lang w:val="es-PE"/>
        </w:rPr>
        <w:t xml:space="preserve">obre el deber de prevención </w:t>
      </w:r>
      <w:r w:rsidR="00AD29FD">
        <w:rPr>
          <w:rFonts w:ascii="Cambria" w:hAnsi="Cambria"/>
          <w:sz w:val="20"/>
          <w:szCs w:val="20"/>
          <w:lang w:val="es-PE"/>
        </w:rPr>
        <w:t>de la violación a</w:t>
      </w:r>
      <w:r w:rsidR="0059373E" w:rsidRPr="0087519F">
        <w:rPr>
          <w:rFonts w:ascii="Cambria" w:hAnsi="Cambria"/>
          <w:sz w:val="20"/>
          <w:szCs w:val="20"/>
          <w:lang w:val="es-PE"/>
        </w:rPr>
        <w:t>l derecho a la vida y la obligación de proteger a periodistas expuestos a un riesgo especial</w:t>
      </w:r>
      <w:r w:rsidR="0087519F" w:rsidRPr="0087519F">
        <w:rPr>
          <w:rFonts w:ascii="Cambria" w:hAnsi="Cambria"/>
          <w:sz w:val="20"/>
          <w:szCs w:val="20"/>
          <w:lang w:val="es-PE"/>
        </w:rPr>
        <w:t xml:space="preserve">; c) consideraciones </w:t>
      </w:r>
      <w:r w:rsidR="0095508E" w:rsidRPr="0087519F">
        <w:rPr>
          <w:rFonts w:ascii="Cambria" w:hAnsi="Cambria"/>
          <w:sz w:val="20"/>
          <w:szCs w:val="20"/>
          <w:lang w:val="es-PE"/>
        </w:rPr>
        <w:t>generales sobre el deber de investigar crímenes contra periodistas por el ejercicio de su derecho a la libertad de expresión</w:t>
      </w:r>
      <w:r w:rsidR="0087519F" w:rsidRPr="0087519F">
        <w:rPr>
          <w:rFonts w:ascii="Cambria" w:hAnsi="Cambria"/>
          <w:sz w:val="20"/>
          <w:szCs w:val="20"/>
          <w:lang w:val="es-PE"/>
        </w:rPr>
        <w:t>, y d) análisis del caso. El segundo apartado desarrollará el derecho a la integridad personal de los familiares de Santiago Leguizamón.</w:t>
      </w:r>
    </w:p>
    <w:p w14:paraId="0664923D" w14:textId="51F2A384" w:rsidR="004118F7" w:rsidRPr="009B49A7" w:rsidRDefault="004118F7" w:rsidP="009B49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s-US"/>
        </w:rPr>
      </w:pPr>
    </w:p>
    <w:p w14:paraId="42C898B7" w14:textId="18E0E9A5" w:rsidR="0024252A" w:rsidRPr="009B49A7" w:rsidRDefault="0024252A" w:rsidP="00C870C0">
      <w:pPr>
        <w:pStyle w:val="Heading2"/>
        <w:widowControl/>
        <w:numPr>
          <w:ilvl w:val="0"/>
          <w:numId w:val="54"/>
        </w:numPr>
        <w:spacing w:before="0" w:after="0"/>
        <w:ind w:left="0" w:firstLine="0"/>
        <w:jc w:val="both"/>
        <w:rPr>
          <w:lang w:eastAsia="es-ES"/>
        </w:rPr>
      </w:pPr>
      <w:bookmarkStart w:id="31" w:name="_Toc6937380"/>
      <w:bookmarkStart w:id="32" w:name="_Toc11073108"/>
      <w:bookmarkStart w:id="33" w:name="_Toc47965328"/>
      <w:r w:rsidRPr="009B49A7">
        <w:rPr>
          <w:lang w:eastAsia="es-ES"/>
        </w:rPr>
        <w:t>Derech</w:t>
      </w:r>
      <w:r w:rsidR="00D46057" w:rsidRPr="009B49A7">
        <w:rPr>
          <w:lang w:eastAsia="es-ES"/>
        </w:rPr>
        <w:t>os</w:t>
      </w:r>
      <w:r w:rsidR="00D46057" w:rsidRPr="009B49A7">
        <w:rPr>
          <w:lang w:val="es-ES"/>
        </w:rPr>
        <w:t xml:space="preserve"> a la vida (artículo 4)</w:t>
      </w:r>
      <w:r w:rsidR="00D46057" w:rsidRPr="009B49A7">
        <w:rPr>
          <w:vertAlign w:val="superscript"/>
          <w:lang w:val="es-ES"/>
        </w:rPr>
        <w:footnoteReference w:id="76"/>
      </w:r>
      <w:r w:rsidR="00D46057" w:rsidRPr="009B49A7">
        <w:rPr>
          <w:lang w:val="es-ES"/>
        </w:rPr>
        <w:t xml:space="preserve">, </w:t>
      </w:r>
      <w:r w:rsidRPr="009B49A7">
        <w:rPr>
          <w:lang w:eastAsia="es-ES"/>
        </w:rPr>
        <w:t xml:space="preserve">a la libertad de </w:t>
      </w:r>
      <w:r w:rsidR="00702CAB" w:rsidRPr="009B49A7">
        <w:rPr>
          <w:lang w:eastAsia="es-ES"/>
        </w:rPr>
        <w:t xml:space="preserve">pensamiento y </w:t>
      </w:r>
      <w:r w:rsidR="002B34B1" w:rsidRPr="009B49A7">
        <w:rPr>
          <w:lang w:eastAsia="es-ES"/>
        </w:rPr>
        <w:t xml:space="preserve">de </w:t>
      </w:r>
      <w:r w:rsidRPr="009B49A7">
        <w:rPr>
          <w:lang w:eastAsia="es-ES"/>
        </w:rPr>
        <w:t>expresión (artículo 13)</w:t>
      </w:r>
      <w:r w:rsidRPr="009B49A7">
        <w:rPr>
          <w:rStyle w:val="FootnoteReference"/>
          <w:lang w:eastAsia="es-ES"/>
        </w:rPr>
        <w:footnoteReference w:id="77"/>
      </w:r>
      <w:r w:rsidR="00C90E06" w:rsidRPr="009B49A7">
        <w:rPr>
          <w:lang w:eastAsia="es-ES"/>
        </w:rPr>
        <w:t xml:space="preserve">, </w:t>
      </w:r>
      <w:r w:rsidR="00C90E06" w:rsidRPr="009B49A7">
        <w:rPr>
          <w:lang w:val="es-ES"/>
        </w:rPr>
        <w:t>a las garantías judiciales (artículo 8)</w:t>
      </w:r>
      <w:r w:rsidR="00C90E06" w:rsidRPr="009B49A7">
        <w:rPr>
          <w:vertAlign w:val="superscript"/>
          <w:lang w:val="es-ES"/>
        </w:rPr>
        <w:footnoteReference w:id="78"/>
      </w:r>
      <w:r w:rsidR="00C90E06" w:rsidRPr="009B49A7">
        <w:rPr>
          <w:vertAlign w:val="superscript"/>
          <w:lang w:val="es-ES"/>
        </w:rPr>
        <w:t xml:space="preserve"> </w:t>
      </w:r>
      <w:r w:rsidR="00C90E06" w:rsidRPr="009B49A7">
        <w:rPr>
          <w:lang w:val="es-ES"/>
        </w:rPr>
        <w:t>y a la protección judicial (artículo 25)</w:t>
      </w:r>
      <w:r w:rsidR="00C90E06" w:rsidRPr="009B49A7">
        <w:rPr>
          <w:vertAlign w:val="superscript"/>
          <w:lang w:val="es-ES"/>
        </w:rPr>
        <w:footnoteReference w:id="79"/>
      </w:r>
      <w:r w:rsidR="00C90E06" w:rsidRPr="009B49A7">
        <w:rPr>
          <w:lang w:val="es-ES"/>
        </w:rPr>
        <w:t xml:space="preserve"> </w:t>
      </w:r>
      <w:r w:rsidRPr="009B49A7">
        <w:rPr>
          <w:lang w:eastAsia="es-ES"/>
        </w:rPr>
        <w:t xml:space="preserve">en relación con </w:t>
      </w:r>
      <w:r w:rsidR="00C90E06" w:rsidRPr="009B49A7">
        <w:rPr>
          <w:lang w:eastAsia="es-ES"/>
        </w:rPr>
        <w:t>el</w:t>
      </w:r>
      <w:r w:rsidRPr="009B49A7">
        <w:rPr>
          <w:lang w:eastAsia="es-ES"/>
        </w:rPr>
        <w:t xml:space="preserve"> artículo 1.1</w:t>
      </w:r>
      <w:r w:rsidRPr="009B49A7">
        <w:rPr>
          <w:rStyle w:val="FootnoteReference"/>
          <w:lang w:eastAsia="es-ES"/>
        </w:rPr>
        <w:footnoteReference w:id="80"/>
      </w:r>
      <w:r w:rsidRPr="009B49A7">
        <w:rPr>
          <w:lang w:eastAsia="es-ES"/>
        </w:rPr>
        <w:t xml:space="preserve"> de la Convención Americana</w:t>
      </w:r>
      <w:bookmarkEnd w:id="31"/>
      <w:bookmarkEnd w:id="32"/>
      <w:bookmarkEnd w:id="33"/>
      <w:r w:rsidR="00702CAB" w:rsidRPr="009B49A7">
        <w:rPr>
          <w:lang w:eastAsia="es-ES"/>
        </w:rPr>
        <w:t xml:space="preserve"> </w:t>
      </w:r>
    </w:p>
    <w:p w14:paraId="50F64CED" w14:textId="271AF11D" w:rsidR="00406A1C" w:rsidRPr="009B49A7" w:rsidRDefault="00406A1C" w:rsidP="009B49A7">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eastAsia="es-ES"/>
        </w:rPr>
      </w:pPr>
    </w:p>
    <w:p w14:paraId="6FD7A51B" w14:textId="4E305218" w:rsidR="001D68F3" w:rsidRPr="002B2B42" w:rsidRDefault="00BB3EB2" w:rsidP="00C870C0">
      <w:pPr>
        <w:pStyle w:val="Heading3"/>
        <w:numPr>
          <w:ilvl w:val="0"/>
          <w:numId w:val="56"/>
        </w:numPr>
        <w:ind w:hanging="720"/>
      </w:pPr>
      <w:bookmarkStart w:id="34" w:name="_Toc47965329"/>
      <w:r w:rsidRPr="002B2B42">
        <w:t>Consideraciones generales s</w:t>
      </w:r>
      <w:r w:rsidR="008042E5" w:rsidRPr="002B2B42">
        <w:t xml:space="preserve">obre </w:t>
      </w:r>
      <w:r w:rsidR="0077565F" w:rsidRPr="002B2B42">
        <w:t xml:space="preserve">el rol trascendental de la prensa </w:t>
      </w:r>
      <w:r w:rsidR="000F4C6B" w:rsidRPr="002B2B42">
        <w:t>y</w:t>
      </w:r>
      <w:r w:rsidR="001D68F3" w:rsidRPr="002B2B42">
        <w:t xml:space="preserve"> l</w:t>
      </w:r>
      <w:r w:rsidRPr="002B2B42">
        <w:t xml:space="preserve">as obligaciones </w:t>
      </w:r>
      <w:r w:rsidR="00E13B49" w:rsidRPr="002B2B42">
        <w:t>positiva</w:t>
      </w:r>
      <w:r w:rsidR="002B2B42" w:rsidRPr="002B2B42">
        <w:t>s</w:t>
      </w:r>
      <w:r w:rsidR="00E13B49" w:rsidRPr="002B2B42">
        <w:t xml:space="preserve"> de los Estados </w:t>
      </w:r>
      <w:r w:rsidR="002B2B42" w:rsidRPr="002B2B42">
        <w:t xml:space="preserve">frente a </w:t>
      </w:r>
      <w:r w:rsidR="001D68F3" w:rsidRPr="002B2B42">
        <w:t xml:space="preserve">crímenes contra periodistas </w:t>
      </w:r>
      <w:r w:rsidR="002B2B42" w:rsidRPr="002B2B42">
        <w:t xml:space="preserve">cometidos </w:t>
      </w:r>
      <w:r w:rsidR="001D68F3" w:rsidRPr="002B2B42">
        <w:t>por el ejercicio de la libertad de expresión</w:t>
      </w:r>
      <w:bookmarkEnd w:id="34"/>
    </w:p>
    <w:p w14:paraId="4124B89D" w14:textId="77777777" w:rsidR="00ED74F2" w:rsidRPr="009B49A7" w:rsidRDefault="00ED74F2" w:rsidP="009B49A7">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eastAsia="es-ES"/>
        </w:rPr>
      </w:pPr>
    </w:p>
    <w:p w14:paraId="75939337" w14:textId="617B3C28" w:rsidR="00827806" w:rsidRPr="009B49A7" w:rsidRDefault="005E5FFB"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9B49A7">
        <w:rPr>
          <w:rFonts w:ascii="Cambria" w:hAnsi="Cambria" w:cs="Verdana"/>
          <w:sz w:val="20"/>
          <w:szCs w:val="20"/>
          <w:lang w:val="es-PE"/>
        </w:rPr>
        <w:t xml:space="preserve">La </w:t>
      </w:r>
      <w:r w:rsidR="00827806" w:rsidRPr="009B49A7">
        <w:rPr>
          <w:rFonts w:ascii="Cambria" w:hAnsi="Cambria" w:cs="Verdana"/>
          <w:sz w:val="20"/>
          <w:szCs w:val="20"/>
          <w:lang w:val="es-PE"/>
        </w:rPr>
        <w:t xml:space="preserve">Corte </w:t>
      </w:r>
      <w:r w:rsidR="00827806" w:rsidRPr="009B49A7">
        <w:rPr>
          <w:rFonts w:ascii="Cambria" w:hAnsi="Cambria" w:cs="Verdana"/>
          <w:sz w:val="20"/>
          <w:szCs w:val="20"/>
          <w:lang w:val="es-CR"/>
        </w:rPr>
        <w:t xml:space="preserve">ha enfatizado </w:t>
      </w:r>
      <w:r w:rsidR="009613F8" w:rsidRPr="009B49A7">
        <w:rPr>
          <w:rFonts w:ascii="Cambria" w:hAnsi="Cambria" w:cs="Verdana"/>
          <w:sz w:val="20"/>
          <w:szCs w:val="20"/>
          <w:lang w:val="es-CR"/>
        </w:rPr>
        <w:t xml:space="preserve">de manera constante </w:t>
      </w:r>
      <w:r w:rsidR="00827806" w:rsidRPr="009B49A7">
        <w:rPr>
          <w:rFonts w:ascii="Cambria" w:hAnsi="Cambria" w:cs="Verdana"/>
          <w:sz w:val="20"/>
          <w:szCs w:val="20"/>
          <w:lang w:val="es-CR"/>
        </w:rPr>
        <w:t>que la libertad de expresión, particularmente en asuntos de interés público, “es una piedra angular en la existencia misma de una sociedad democrática”. Sin una efectiva garantía de la</w:t>
      </w:r>
      <w:r w:rsidR="00827806" w:rsidRPr="009B49A7">
        <w:rPr>
          <w:rFonts w:ascii="Cambria" w:hAnsi="Cambria" w:cs="Verdana"/>
          <w:sz w:val="20"/>
          <w:szCs w:val="20"/>
          <w:lang w:val="es-PE"/>
        </w:rPr>
        <w:t xml:space="preserve"> </w:t>
      </w:r>
      <w:r w:rsidR="00827806" w:rsidRPr="009B49A7">
        <w:rPr>
          <w:rFonts w:ascii="Cambria" w:hAnsi="Cambria" w:cs="Verdana"/>
          <w:sz w:val="20"/>
          <w:szCs w:val="20"/>
          <w:lang w:val="es-CR"/>
        </w:rPr>
        <w:t>libertad de expresión se debilita el sistema democrático y sufren quebranto el pluralismo y</w:t>
      </w:r>
      <w:r w:rsidR="00827806" w:rsidRPr="009B49A7">
        <w:rPr>
          <w:rFonts w:ascii="Cambria" w:hAnsi="Cambria" w:cs="Verdana"/>
          <w:sz w:val="20"/>
          <w:szCs w:val="20"/>
          <w:lang w:val="es-PE"/>
        </w:rPr>
        <w:t xml:space="preserve"> </w:t>
      </w:r>
      <w:r w:rsidR="00827806" w:rsidRPr="009B49A7">
        <w:rPr>
          <w:rFonts w:ascii="Cambria" w:hAnsi="Cambria" w:cs="Verdana"/>
          <w:sz w:val="20"/>
          <w:szCs w:val="20"/>
          <w:lang w:val="es-CR"/>
        </w:rPr>
        <w:t>la tolerancia; los mecanismos de control y denuncia ciudadana pueden volverse inoperantes</w:t>
      </w:r>
      <w:r w:rsidR="00827806" w:rsidRPr="009B49A7">
        <w:rPr>
          <w:rFonts w:ascii="Cambria" w:hAnsi="Cambria" w:cs="Verdana"/>
          <w:sz w:val="20"/>
          <w:szCs w:val="20"/>
          <w:lang w:val="es-PE"/>
        </w:rPr>
        <w:t xml:space="preserve"> </w:t>
      </w:r>
      <w:r w:rsidR="00827806" w:rsidRPr="009B49A7">
        <w:rPr>
          <w:rFonts w:ascii="Cambria" w:hAnsi="Cambria" w:cs="Verdana"/>
          <w:sz w:val="20"/>
          <w:szCs w:val="20"/>
          <w:lang w:val="es-CR"/>
        </w:rPr>
        <w:t>y, en definitiva, se crea un campo fértil para que arraiguen sistemas autoritarios</w:t>
      </w:r>
      <w:r w:rsidR="00827806" w:rsidRPr="009B49A7">
        <w:rPr>
          <w:rStyle w:val="FootnoteReference"/>
          <w:rFonts w:ascii="Cambria" w:hAnsi="Cambria" w:cs="Verdana"/>
          <w:sz w:val="20"/>
          <w:szCs w:val="20"/>
        </w:rPr>
        <w:footnoteReference w:id="81"/>
      </w:r>
      <w:r w:rsidR="00827806" w:rsidRPr="009B49A7">
        <w:rPr>
          <w:rFonts w:ascii="Cambria" w:hAnsi="Cambria" w:cs="Verdana"/>
          <w:sz w:val="20"/>
          <w:szCs w:val="20"/>
          <w:lang w:val="es-PE"/>
        </w:rPr>
        <w:t>.</w:t>
      </w:r>
    </w:p>
    <w:p w14:paraId="5942CBE1" w14:textId="77777777" w:rsidR="006A5E9E" w:rsidRPr="009B49A7" w:rsidRDefault="006A5E9E" w:rsidP="006A5E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6954A19C" w14:textId="67EBD153" w:rsidR="00ED254B" w:rsidRPr="009B49A7" w:rsidRDefault="00493155"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eastAsia="es-ES"/>
        </w:rPr>
      </w:pPr>
      <w:r w:rsidRPr="009B49A7">
        <w:rPr>
          <w:rFonts w:ascii="Cambria" w:hAnsi="Cambria"/>
          <w:sz w:val="20"/>
          <w:szCs w:val="20"/>
          <w:lang w:val="es-PE" w:eastAsia="es-ES"/>
        </w:rPr>
        <w:lastRenderedPageBreak/>
        <w:t>E</w:t>
      </w:r>
      <w:r w:rsidR="0097308B" w:rsidRPr="009B49A7">
        <w:rPr>
          <w:rFonts w:ascii="Cambria" w:hAnsi="Cambria"/>
          <w:sz w:val="20"/>
          <w:szCs w:val="20"/>
          <w:lang w:val="es-PE" w:eastAsia="es-ES"/>
        </w:rPr>
        <w:t>l</w:t>
      </w:r>
      <w:r w:rsidRPr="009B49A7">
        <w:rPr>
          <w:rFonts w:ascii="Cambria" w:hAnsi="Cambria"/>
          <w:sz w:val="20"/>
          <w:szCs w:val="20"/>
          <w:lang w:val="es-PE" w:eastAsia="es-ES"/>
        </w:rPr>
        <w:t xml:space="preserve"> periodismo</w:t>
      </w:r>
      <w:r w:rsidR="00EF3503">
        <w:rPr>
          <w:rFonts w:ascii="Cambria" w:hAnsi="Cambria"/>
          <w:sz w:val="20"/>
          <w:szCs w:val="20"/>
          <w:lang w:val="es-PE" w:eastAsia="es-ES"/>
        </w:rPr>
        <w:t xml:space="preserve"> </w:t>
      </w:r>
      <w:r w:rsidRPr="009B49A7">
        <w:rPr>
          <w:rFonts w:ascii="Cambria" w:hAnsi="Cambria"/>
          <w:sz w:val="20"/>
          <w:szCs w:val="20"/>
          <w:lang w:val="es-PE" w:eastAsia="es-ES"/>
        </w:rPr>
        <w:t>representa una de las manifestaciones más importantes de la libertad de expresión e información. Las labores periodísticas y las actividades de la prensa son elementos fundamentales para el funcionamiento de las democracias, ya que son los periodistas y los medios de comunicación quienes mantienen informada a la sociedad sobre lo que ocurre y sus distintas interpretaciones, condición necesaria para que el debate público sea fuerte, informado y vigoroso</w:t>
      </w:r>
      <w:r w:rsidR="00C61829" w:rsidRPr="009B49A7">
        <w:rPr>
          <w:rStyle w:val="FootnoteReference"/>
          <w:rFonts w:ascii="Cambria" w:hAnsi="Cambria"/>
          <w:sz w:val="20"/>
          <w:szCs w:val="20"/>
          <w:lang w:val="es-PE" w:eastAsia="es-ES"/>
        </w:rPr>
        <w:footnoteReference w:id="82"/>
      </w:r>
      <w:r w:rsidRPr="009B49A7">
        <w:rPr>
          <w:rFonts w:ascii="Cambria" w:hAnsi="Cambria"/>
          <w:sz w:val="20"/>
          <w:szCs w:val="20"/>
          <w:lang w:val="es-PE" w:eastAsia="es-ES"/>
        </w:rPr>
        <w:t>. También es evidente que una prensa libre, independiente y crítica es un elemento fundamental para la vigencia de las demás libertades</w:t>
      </w:r>
      <w:r w:rsidR="007B5BCE" w:rsidRPr="009B49A7">
        <w:rPr>
          <w:rStyle w:val="FootnoteReference"/>
          <w:rFonts w:ascii="Cambria" w:hAnsi="Cambria"/>
          <w:sz w:val="20"/>
          <w:szCs w:val="20"/>
          <w:lang w:val="es-PE" w:eastAsia="es-ES"/>
        </w:rPr>
        <w:footnoteReference w:id="83"/>
      </w:r>
      <w:r w:rsidRPr="009B49A7">
        <w:rPr>
          <w:rFonts w:ascii="Cambria" w:hAnsi="Cambria"/>
          <w:sz w:val="20"/>
          <w:szCs w:val="20"/>
          <w:lang w:val="es-PE" w:eastAsia="es-ES"/>
        </w:rPr>
        <w:t>.</w:t>
      </w:r>
    </w:p>
    <w:p w14:paraId="12289E5D" w14:textId="77777777" w:rsidR="009628B9" w:rsidRPr="009B49A7" w:rsidRDefault="009628B9" w:rsidP="009B49A7">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eastAsia="es-ES"/>
        </w:rPr>
      </w:pPr>
    </w:p>
    <w:p w14:paraId="58B0CF59" w14:textId="444B354C" w:rsidR="00C07458" w:rsidRPr="009313AF" w:rsidRDefault="00556605" w:rsidP="00C0745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AR"/>
        </w:rPr>
      </w:pPr>
      <w:r w:rsidRPr="009B49A7">
        <w:rPr>
          <w:rFonts w:ascii="Cambria" w:hAnsi="Cambria"/>
          <w:sz w:val="20"/>
          <w:szCs w:val="20"/>
          <w:lang w:val="es-PE"/>
        </w:rPr>
        <w:t xml:space="preserve">Debido a lo anterior, </w:t>
      </w:r>
      <w:r w:rsidR="009628B9" w:rsidRPr="009B49A7">
        <w:rPr>
          <w:rFonts w:ascii="Cambria" w:hAnsi="Cambria"/>
          <w:sz w:val="20"/>
          <w:szCs w:val="20"/>
          <w:lang w:val="es-ES_tradnl"/>
        </w:rPr>
        <w:t xml:space="preserve">los </w:t>
      </w:r>
      <w:r w:rsidR="00CF373B" w:rsidRPr="009B49A7">
        <w:rPr>
          <w:rFonts w:ascii="Cambria" w:hAnsi="Cambria"/>
          <w:sz w:val="20"/>
          <w:szCs w:val="20"/>
          <w:lang w:val="es-ES_tradnl"/>
        </w:rPr>
        <w:t xml:space="preserve">y las </w:t>
      </w:r>
      <w:r w:rsidR="009628B9" w:rsidRPr="009B49A7">
        <w:rPr>
          <w:rFonts w:ascii="Cambria" w:hAnsi="Cambria"/>
          <w:sz w:val="20"/>
          <w:szCs w:val="20"/>
          <w:lang w:val="es-ES_tradnl"/>
        </w:rPr>
        <w:t>periodistas y trabajadores de medios de comunicación pueden estar en una situación de</w:t>
      </w:r>
      <w:r w:rsidR="009628B9" w:rsidRPr="009B49A7">
        <w:rPr>
          <w:rFonts w:ascii="Cambria" w:hAnsi="Cambria"/>
          <w:sz w:val="20"/>
          <w:szCs w:val="20"/>
          <w:lang w:val="es-PE"/>
        </w:rPr>
        <w:t xml:space="preserve"> vulnerabilidad debido al rol que cumplen en la sociedad. </w:t>
      </w:r>
      <w:r w:rsidR="00147E07">
        <w:rPr>
          <w:rFonts w:ascii="Cambria" w:hAnsi="Cambria"/>
          <w:sz w:val="20"/>
          <w:szCs w:val="20"/>
          <w:lang w:val="es-PE"/>
        </w:rPr>
        <w:t xml:space="preserve">Además, pueden sufrir diversos </w:t>
      </w:r>
      <w:r w:rsidR="00130AD5">
        <w:rPr>
          <w:rFonts w:ascii="Cambria" w:hAnsi="Cambria"/>
          <w:sz w:val="20"/>
          <w:szCs w:val="20"/>
          <w:lang w:val="es-PE"/>
        </w:rPr>
        <w:t xml:space="preserve">obstáculos con el fin de evitar que </w:t>
      </w:r>
      <w:r w:rsidR="009628B9" w:rsidRPr="009B49A7">
        <w:rPr>
          <w:rFonts w:ascii="Cambria" w:hAnsi="Cambria"/>
          <w:sz w:val="20"/>
          <w:szCs w:val="20"/>
          <w:lang w:val="es-PE"/>
        </w:rPr>
        <w:t>saquen a la luz cierta información</w:t>
      </w:r>
      <w:r w:rsidR="005A5B99">
        <w:rPr>
          <w:rFonts w:ascii="Cambria" w:hAnsi="Cambria"/>
          <w:sz w:val="20"/>
          <w:szCs w:val="20"/>
          <w:lang w:val="es-PE"/>
        </w:rPr>
        <w:t>, lo que</w:t>
      </w:r>
      <w:r w:rsidR="00D95E0A">
        <w:rPr>
          <w:rFonts w:ascii="Cambria" w:hAnsi="Cambria"/>
          <w:sz w:val="20"/>
          <w:szCs w:val="20"/>
          <w:lang w:val="es-PE"/>
        </w:rPr>
        <w:t>,</w:t>
      </w:r>
      <w:r w:rsidR="005A5B99">
        <w:rPr>
          <w:rFonts w:ascii="Cambria" w:hAnsi="Cambria"/>
          <w:sz w:val="20"/>
          <w:szCs w:val="20"/>
          <w:lang w:val="es-PE"/>
        </w:rPr>
        <w:t xml:space="preserve"> a su vez,</w:t>
      </w:r>
      <w:r w:rsidR="009628B9" w:rsidRPr="009B49A7">
        <w:rPr>
          <w:rFonts w:ascii="Cambria" w:hAnsi="Cambria"/>
          <w:sz w:val="20"/>
          <w:szCs w:val="20"/>
          <w:lang w:val="es-PE"/>
        </w:rPr>
        <w:t xml:space="preserve"> puede no solo hacerlos desistir de hacer </w:t>
      </w:r>
      <w:r w:rsidR="00851F26" w:rsidRPr="009B49A7">
        <w:rPr>
          <w:rFonts w:ascii="Cambria" w:hAnsi="Cambria"/>
          <w:sz w:val="20"/>
          <w:szCs w:val="20"/>
          <w:lang w:val="es-PE"/>
        </w:rPr>
        <w:t>denuncias,</w:t>
      </w:r>
      <w:r w:rsidR="009628B9" w:rsidRPr="009B49A7">
        <w:rPr>
          <w:rFonts w:ascii="Cambria" w:hAnsi="Cambria"/>
          <w:sz w:val="20"/>
          <w:szCs w:val="20"/>
          <w:lang w:val="es-PE"/>
        </w:rPr>
        <w:t xml:space="preserve"> sino que </w:t>
      </w:r>
      <w:r w:rsidR="009628B9" w:rsidRPr="00595807">
        <w:rPr>
          <w:rFonts w:ascii="Cambria" w:hAnsi="Cambria"/>
          <w:sz w:val="20"/>
          <w:szCs w:val="20"/>
          <w:lang w:val="es-PE"/>
        </w:rPr>
        <w:t>en muchos casos pone en riesgo su vida e integridad</w:t>
      </w:r>
      <w:r w:rsidR="008531E9" w:rsidRPr="00595807">
        <w:rPr>
          <w:rStyle w:val="FootnoteReference"/>
          <w:rFonts w:ascii="Cambria" w:hAnsi="Cambria"/>
          <w:sz w:val="20"/>
          <w:szCs w:val="20"/>
          <w:lang w:val="es-PE"/>
        </w:rPr>
        <w:footnoteReference w:id="84"/>
      </w:r>
      <w:r w:rsidR="00D60C2B" w:rsidRPr="00595807">
        <w:rPr>
          <w:rFonts w:ascii="Cambria" w:hAnsi="Cambria"/>
          <w:sz w:val="20"/>
          <w:szCs w:val="20"/>
          <w:lang w:val="es-PE"/>
        </w:rPr>
        <w:t xml:space="preserve">. </w:t>
      </w:r>
      <w:r w:rsidR="009628B9" w:rsidRPr="00595807">
        <w:rPr>
          <w:rFonts w:ascii="Cambria" w:hAnsi="Cambria"/>
          <w:sz w:val="20"/>
          <w:szCs w:val="20"/>
          <w:lang w:val="es-PE"/>
        </w:rPr>
        <w:t xml:space="preserve"> </w:t>
      </w:r>
    </w:p>
    <w:p w14:paraId="6B3C0DE5" w14:textId="77777777" w:rsidR="00C07458" w:rsidRPr="009313AF" w:rsidRDefault="00C07458" w:rsidP="009313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lang w:val="es-AR"/>
        </w:rPr>
      </w:pPr>
    </w:p>
    <w:p w14:paraId="1BE8327C" w14:textId="07654C90" w:rsidR="00C07458" w:rsidRPr="00595807" w:rsidRDefault="00C07458" w:rsidP="00C0745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AR"/>
        </w:rPr>
      </w:pPr>
      <w:r w:rsidRPr="00595807">
        <w:rPr>
          <w:rFonts w:ascii="Cambria" w:hAnsi="Cambria"/>
          <w:sz w:val="20"/>
          <w:szCs w:val="20"/>
          <w:bdr w:val="none" w:sz="0" w:space="0" w:color="auto"/>
          <w:lang w:val="es-AR"/>
        </w:rPr>
        <w:t>Como ha observado la Corte Interamericana, “el ejercicio periodístico sólo puede efectuarse libremente cuando las personas que lo realizan no son víctimas de amenazas ni de agresiones físicas, psíquicas o morales u otros actos de hostigamiento”</w:t>
      </w:r>
      <w:r w:rsidRPr="00595807">
        <w:rPr>
          <w:rFonts w:ascii="Cambria" w:hAnsi="Cambria"/>
          <w:sz w:val="20"/>
          <w:szCs w:val="20"/>
          <w:bdr w:val="none" w:sz="0" w:space="0" w:color="auto"/>
          <w:vertAlign w:val="superscript"/>
          <w:lang w:val="es-AR"/>
        </w:rPr>
        <w:footnoteReference w:id="85"/>
      </w:r>
      <w:r w:rsidRPr="00595807">
        <w:rPr>
          <w:rFonts w:ascii="Cambria" w:hAnsi="Cambria"/>
          <w:sz w:val="20"/>
          <w:szCs w:val="20"/>
          <w:bdr w:val="none" w:sz="0" w:space="0" w:color="auto"/>
          <w:lang w:val="es-AR"/>
        </w:rPr>
        <w:t xml:space="preserve">. </w:t>
      </w:r>
    </w:p>
    <w:p w14:paraId="1BFEC86C" w14:textId="77777777" w:rsidR="009C0AE8" w:rsidRPr="00C07458" w:rsidRDefault="009C0AE8" w:rsidP="009313A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4877635E" w14:textId="3C13B45B" w:rsidR="00FA58D4" w:rsidRPr="00595807" w:rsidRDefault="003E0CD3"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AR"/>
        </w:rPr>
      </w:pPr>
      <w:r w:rsidRPr="00595807">
        <w:rPr>
          <w:rFonts w:ascii="Cambria" w:hAnsi="Cambria" w:cs="Arial"/>
          <w:sz w:val="20"/>
          <w:szCs w:val="20"/>
          <w:lang w:val="es-PE"/>
        </w:rPr>
        <w:t xml:space="preserve">En este sentido, </w:t>
      </w:r>
      <w:r w:rsidR="000E4E66" w:rsidRPr="00595807">
        <w:rPr>
          <w:rFonts w:ascii="Cambria" w:hAnsi="Cambria"/>
          <w:sz w:val="20"/>
          <w:szCs w:val="20"/>
          <w:bdr w:val="none" w:sz="0" w:space="0" w:color="auto"/>
          <w:shd w:val="clear" w:color="auto" w:fill="FFFFFF"/>
          <w:lang w:val="es-AR"/>
        </w:rPr>
        <w:t xml:space="preserve">la violencia contra periodistas o trabajadores de los medios de comunicación con el objetivo de silenciarlos </w:t>
      </w:r>
      <w:r w:rsidR="00C625F7" w:rsidRPr="00595807">
        <w:rPr>
          <w:rFonts w:ascii="Cambria" w:hAnsi="Cambria"/>
          <w:sz w:val="20"/>
          <w:szCs w:val="20"/>
          <w:bdr w:val="none" w:sz="0" w:space="0" w:color="auto"/>
          <w:shd w:val="clear" w:color="auto" w:fill="FFFFFF"/>
          <w:lang w:val="es-AR"/>
        </w:rPr>
        <w:t xml:space="preserve">no solo </w:t>
      </w:r>
      <w:r w:rsidR="000E4E66" w:rsidRPr="00595807">
        <w:rPr>
          <w:rFonts w:ascii="Cambria" w:hAnsi="Cambria"/>
          <w:sz w:val="20"/>
          <w:szCs w:val="20"/>
          <w:bdr w:val="none" w:sz="0" w:space="0" w:color="auto"/>
          <w:shd w:val="clear" w:color="auto" w:fill="FFFFFF"/>
          <w:lang w:val="es-AR"/>
        </w:rPr>
        <w:t>constituye</w:t>
      </w:r>
      <w:r w:rsidR="00D95E0A">
        <w:rPr>
          <w:rFonts w:ascii="Cambria" w:hAnsi="Cambria"/>
          <w:sz w:val="20"/>
          <w:szCs w:val="20"/>
          <w:bdr w:val="none" w:sz="0" w:space="0" w:color="auto"/>
          <w:shd w:val="clear" w:color="auto" w:fill="FFFFFF"/>
          <w:lang w:val="es-AR"/>
        </w:rPr>
        <w:t xml:space="preserve"> una</w:t>
      </w:r>
      <w:r w:rsidR="000E4E66" w:rsidRPr="00595807">
        <w:rPr>
          <w:rFonts w:ascii="Cambria" w:hAnsi="Cambria"/>
          <w:sz w:val="20"/>
          <w:szCs w:val="20"/>
          <w:bdr w:val="none" w:sz="0" w:space="0" w:color="auto"/>
          <w:shd w:val="clear" w:color="auto" w:fill="FFFFFF"/>
          <w:lang w:val="es-AR"/>
        </w:rPr>
        <w:t xml:space="preserve"> violaci</w:t>
      </w:r>
      <w:r w:rsidR="00D95E0A">
        <w:rPr>
          <w:rFonts w:ascii="Cambria" w:hAnsi="Cambria"/>
          <w:sz w:val="20"/>
          <w:szCs w:val="20"/>
          <w:bdr w:val="none" w:sz="0" w:space="0" w:color="auto"/>
          <w:shd w:val="clear" w:color="auto" w:fill="FFFFFF"/>
          <w:lang w:val="es-AR"/>
        </w:rPr>
        <w:t>ón</w:t>
      </w:r>
      <w:r w:rsidR="000E4E66" w:rsidRPr="00595807">
        <w:rPr>
          <w:rFonts w:ascii="Cambria" w:hAnsi="Cambria"/>
          <w:sz w:val="20"/>
          <w:szCs w:val="20"/>
          <w:bdr w:val="none" w:sz="0" w:space="0" w:color="auto"/>
          <w:shd w:val="clear" w:color="auto" w:fill="FFFFFF"/>
          <w:lang w:val="es-AR"/>
        </w:rPr>
        <w:t xml:space="preserve"> al derecho a la libertad de expresión de la víctima</w:t>
      </w:r>
      <w:r w:rsidR="00C625F7" w:rsidRPr="00595807">
        <w:rPr>
          <w:rFonts w:ascii="Cambria" w:hAnsi="Cambria"/>
          <w:sz w:val="20"/>
          <w:szCs w:val="20"/>
          <w:bdr w:val="none" w:sz="0" w:space="0" w:color="auto"/>
          <w:shd w:val="clear" w:color="auto" w:fill="FFFFFF"/>
          <w:lang w:val="es-AR"/>
        </w:rPr>
        <w:t xml:space="preserve">, sino </w:t>
      </w:r>
      <w:r w:rsidR="00355DE3" w:rsidRPr="00595807">
        <w:rPr>
          <w:rFonts w:ascii="Cambria" w:hAnsi="Cambria"/>
          <w:sz w:val="20"/>
          <w:szCs w:val="20"/>
          <w:bdr w:val="none" w:sz="0" w:space="0" w:color="auto"/>
          <w:shd w:val="clear" w:color="auto" w:fill="FFFFFF"/>
          <w:lang w:val="es-AR"/>
        </w:rPr>
        <w:t>que,</w:t>
      </w:r>
      <w:r w:rsidR="00C625F7" w:rsidRPr="00595807">
        <w:rPr>
          <w:rFonts w:ascii="Cambria" w:hAnsi="Cambria"/>
          <w:sz w:val="20"/>
          <w:szCs w:val="20"/>
          <w:bdr w:val="none" w:sz="0" w:space="0" w:color="auto"/>
          <w:shd w:val="clear" w:color="auto" w:fill="FFFFFF"/>
          <w:lang w:val="es-AR"/>
        </w:rPr>
        <w:t xml:space="preserve"> </w:t>
      </w:r>
      <w:r w:rsidR="00EB31A7" w:rsidRPr="00595807">
        <w:rPr>
          <w:rFonts w:ascii="Cambria" w:hAnsi="Cambria" w:cs="Arial"/>
          <w:sz w:val="20"/>
          <w:szCs w:val="20"/>
          <w:lang w:val="es-AR"/>
        </w:rPr>
        <w:t>en particular, el homicidio</w:t>
      </w:r>
      <w:r w:rsidR="00C147B9" w:rsidRPr="00595807">
        <w:rPr>
          <w:rFonts w:ascii="Cambria" w:hAnsi="Cambria" w:cs="Arial"/>
          <w:sz w:val="20"/>
          <w:szCs w:val="20"/>
          <w:lang w:val="es-PR"/>
        </w:rPr>
        <w:t xml:space="preserve"> </w:t>
      </w:r>
      <w:r w:rsidR="00C147B9" w:rsidRPr="00595807">
        <w:rPr>
          <w:rFonts w:ascii="Cambria" w:hAnsi="Cambria"/>
          <w:bCs/>
          <w:sz w:val="20"/>
          <w:szCs w:val="20"/>
          <w:lang w:val="es-CO"/>
        </w:rPr>
        <w:t>por el ejercicio de su profesión constituye</w:t>
      </w:r>
      <w:r w:rsidR="00C147B9" w:rsidRPr="00595807">
        <w:rPr>
          <w:rFonts w:ascii="Cambria" w:hAnsi="Cambria" w:cs="Arial"/>
          <w:sz w:val="20"/>
          <w:szCs w:val="20"/>
          <w:lang w:val="es-PE"/>
        </w:rPr>
        <w:t xml:space="preserve"> </w:t>
      </w:r>
      <w:r w:rsidRPr="00595807">
        <w:rPr>
          <w:rFonts w:ascii="Cambria" w:hAnsi="Cambria" w:cs="Arial"/>
          <w:sz w:val="20"/>
          <w:szCs w:val="20"/>
          <w:lang w:val="es-PE"/>
        </w:rPr>
        <w:t xml:space="preserve">una </w:t>
      </w:r>
      <w:r w:rsidR="00AC7D22" w:rsidRPr="00595807">
        <w:rPr>
          <w:rFonts w:ascii="Cambria" w:hAnsi="Cambria" w:cs="Arial"/>
          <w:sz w:val="20"/>
          <w:szCs w:val="20"/>
          <w:lang w:val="es-PR"/>
        </w:rPr>
        <w:t xml:space="preserve">de las formas más violentas de suprimir </w:t>
      </w:r>
      <w:r w:rsidR="00C147B9" w:rsidRPr="00595807">
        <w:rPr>
          <w:rFonts w:ascii="Cambria" w:hAnsi="Cambria" w:cs="Arial"/>
          <w:sz w:val="20"/>
          <w:szCs w:val="20"/>
          <w:lang w:val="es-PR"/>
        </w:rPr>
        <w:t xml:space="preserve">dicho derecho </w:t>
      </w:r>
      <w:r w:rsidR="00EB31A7" w:rsidRPr="00595807">
        <w:rPr>
          <w:rFonts w:ascii="Cambria" w:hAnsi="Cambria" w:cs="Arial"/>
          <w:sz w:val="20"/>
          <w:szCs w:val="20"/>
          <w:lang w:val="es-PR"/>
        </w:rPr>
        <w:t xml:space="preserve">y </w:t>
      </w:r>
      <w:r w:rsidR="00A54552" w:rsidRPr="00595807">
        <w:rPr>
          <w:rFonts w:ascii="Cambria" w:hAnsi="Cambria"/>
          <w:bCs/>
          <w:sz w:val="20"/>
          <w:szCs w:val="20"/>
          <w:lang w:val="es-CO"/>
        </w:rPr>
        <w:t>la forma de censura más extrema</w:t>
      </w:r>
      <w:r w:rsidR="00A54552" w:rsidRPr="00595807">
        <w:rPr>
          <w:rStyle w:val="FootnoteReference"/>
          <w:rFonts w:ascii="Cambria" w:hAnsi="Cambria"/>
          <w:bCs/>
          <w:sz w:val="20"/>
          <w:szCs w:val="20"/>
          <w:lang w:val="es-CO"/>
        </w:rPr>
        <w:footnoteReference w:id="86"/>
      </w:r>
      <w:r w:rsidR="00A54552" w:rsidRPr="00595807">
        <w:rPr>
          <w:rFonts w:ascii="Cambria" w:hAnsi="Cambria" w:cs="Arial"/>
          <w:sz w:val="20"/>
          <w:szCs w:val="20"/>
          <w:lang w:val="es-CO"/>
        </w:rPr>
        <w:t xml:space="preserve">. </w:t>
      </w:r>
      <w:r w:rsidR="00D2330C" w:rsidRPr="00595807">
        <w:rPr>
          <w:rFonts w:ascii="Cambria" w:hAnsi="Cambria"/>
          <w:sz w:val="20"/>
          <w:szCs w:val="20"/>
          <w:lang w:val="es-PE"/>
        </w:rPr>
        <w:t>Además, l</w:t>
      </w:r>
      <w:r w:rsidR="0018370B" w:rsidRPr="00595807">
        <w:rPr>
          <w:rFonts w:ascii="Cambria" w:hAnsi="Cambria"/>
          <w:sz w:val="20"/>
          <w:szCs w:val="20"/>
          <w:lang w:val="es-PE"/>
        </w:rPr>
        <w:t xml:space="preserve">a Corte </w:t>
      </w:r>
      <w:r w:rsidR="00891028" w:rsidRPr="00595807">
        <w:rPr>
          <w:rFonts w:ascii="Cambria" w:hAnsi="Cambria"/>
          <w:sz w:val="20"/>
          <w:szCs w:val="20"/>
          <w:bdr w:val="none" w:sz="0" w:space="0" w:color="auto"/>
          <w:shd w:val="clear" w:color="auto" w:fill="FFFFFF"/>
          <w:lang w:val="es-AR"/>
        </w:rPr>
        <w:t>ha afirmado que “</w:t>
      </w:r>
      <w:r w:rsidR="00891028" w:rsidRPr="00595807">
        <w:rPr>
          <w:rFonts w:ascii="Cambria" w:hAnsi="Cambria" w:cs="Arial"/>
          <w:sz w:val="20"/>
          <w:szCs w:val="20"/>
          <w:lang w:val="es-PR"/>
        </w:rPr>
        <w:t xml:space="preserve">la combinación de violencia contra los periodistas y la impunidad tienen un impacto altamente negativo, en primer lugar, respecto a los propios periodistas y sus familias, y en segundo lugar, debido a que ha producido que diversas comunidades […] no reciban información sobre temas que les afectan, tales como el conflicto armado, el crimen </w:t>
      </w:r>
      <w:r w:rsidR="00891028" w:rsidRPr="00595807">
        <w:rPr>
          <w:rFonts w:ascii="Cambria" w:hAnsi="Cambria"/>
          <w:sz w:val="20"/>
          <w:szCs w:val="20"/>
          <w:lang w:val="es-ES"/>
        </w:rPr>
        <w:t>organizado</w:t>
      </w:r>
      <w:r w:rsidR="00891028" w:rsidRPr="00595807">
        <w:rPr>
          <w:rFonts w:ascii="Cambria" w:hAnsi="Cambria" w:cs="Arial"/>
          <w:sz w:val="20"/>
          <w:szCs w:val="20"/>
          <w:lang w:val="es-PR"/>
        </w:rPr>
        <w:t>, el narcotráfico y la corrupción política”</w:t>
      </w:r>
      <w:r w:rsidR="00891028" w:rsidRPr="00595807">
        <w:rPr>
          <w:rStyle w:val="FootnoteReference"/>
          <w:rFonts w:ascii="Cambria" w:hAnsi="Cambria" w:cs="Arial"/>
          <w:sz w:val="20"/>
          <w:szCs w:val="20"/>
          <w:lang w:val="es-PR"/>
        </w:rPr>
        <w:footnoteReference w:id="87"/>
      </w:r>
      <w:r w:rsidR="00891028" w:rsidRPr="00595807">
        <w:rPr>
          <w:rFonts w:ascii="Cambria" w:hAnsi="Cambria" w:cs="Arial"/>
          <w:sz w:val="20"/>
          <w:szCs w:val="20"/>
          <w:lang w:val="es-PR"/>
        </w:rPr>
        <w:t>.</w:t>
      </w:r>
    </w:p>
    <w:p w14:paraId="6120D932" w14:textId="77777777" w:rsidR="00DA0379" w:rsidRPr="00595807" w:rsidRDefault="00DA0379" w:rsidP="009B49A7">
      <w:pPr>
        <w:pStyle w:val="ListParagraph"/>
        <w:spacing w:before="0" w:after="0"/>
        <w:rPr>
          <w:sz w:val="20"/>
          <w:szCs w:val="20"/>
          <w:bdr w:val="none" w:sz="0" w:space="0" w:color="auto"/>
          <w:lang w:val="es-AR"/>
        </w:rPr>
      </w:pPr>
    </w:p>
    <w:p w14:paraId="05CA6010" w14:textId="0BB3A521" w:rsidR="00132004" w:rsidRPr="00595807" w:rsidRDefault="00D95E0A"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AR"/>
        </w:rPr>
      </w:pPr>
      <w:r>
        <w:rPr>
          <w:rFonts w:ascii="Cambria" w:hAnsi="Cambria"/>
          <w:sz w:val="20"/>
          <w:szCs w:val="20"/>
          <w:lang w:val="es-CO"/>
        </w:rPr>
        <w:t>L</w:t>
      </w:r>
      <w:r w:rsidR="00B03021" w:rsidRPr="00595807">
        <w:rPr>
          <w:rFonts w:ascii="Cambria" w:hAnsi="Cambria"/>
          <w:sz w:val="20"/>
          <w:szCs w:val="20"/>
          <w:lang w:val="es-CO"/>
        </w:rPr>
        <w:t>os órganos del sistema interamericano han sostenido que, dada la importancia del papel social que desempeñan</w:t>
      </w:r>
      <w:r w:rsidR="00620053" w:rsidRPr="00595807">
        <w:rPr>
          <w:rFonts w:ascii="Cambria" w:hAnsi="Cambria"/>
          <w:sz w:val="20"/>
          <w:szCs w:val="20"/>
          <w:lang w:val="es-CO"/>
        </w:rPr>
        <w:t xml:space="preserve"> los </w:t>
      </w:r>
      <w:r>
        <w:rPr>
          <w:rFonts w:ascii="Cambria" w:hAnsi="Cambria"/>
          <w:sz w:val="20"/>
          <w:szCs w:val="20"/>
          <w:lang w:val="es-CO"/>
        </w:rPr>
        <w:t xml:space="preserve">y las </w:t>
      </w:r>
      <w:r w:rsidR="00620053" w:rsidRPr="00595807">
        <w:rPr>
          <w:rFonts w:ascii="Cambria" w:hAnsi="Cambria"/>
          <w:sz w:val="20"/>
          <w:szCs w:val="20"/>
          <w:lang w:val="es-CO"/>
        </w:rPr>
        <w:t>periodistas</w:t>
      </w:r>
      <w:r w:rsidR="005813C5" w:rsidRPr="00595807">
        <w:rPr>
          <w:rFonts w:ascii="Cambria" w:hAnsi="Cambria"/>
          <w:sz w:val="20"/>
          <w:szCs w:val="20"/>
          <w:lang w:val="es-CO"/>
        </w:rPr>
        <w:t xml:space="preserve"> y debido a </w:t>
      </w:r>
      <w:r w:rsidR="005813C5" w:rsidRPr="00595807">
        <w:rPr>
          <w:rFonts w:ascii="Cambria" w:hAnsi="Cambria"/>
          <w:sz w:val="20"/>
          <w:szCs w:val="20"/>
          <w:bdr w:val="none" w:sz="0" w:space="0" w:color="auto"/>
          <w:lang w:val="es-AR"/>
        </w:rPr>
        <w:t xml:space="preserve">que los derechos a la vida, integridad personal y la libertad de expresión </w:t>
      </w:r>
      <w:r w:rsidR="005813C5" w:rsidRPr="00595807">
        <w:rPr>
          <w:rFonts w:ascii="Cambria" w:hAnsi="Cambria" w:cs="Arial"/>
          <w:sz w:val="20"/>
          <w:szCs w:val="20"/>
          <w:lang w:val="es-PR"/>
        </w:rPr>
        <w:t>se encuentran estrechamente relacionados</w:t>
      </w:r>
      <w:r w:rsidR="005813C5" w:rsidRPr="00595807">
        <w:rPr>
          <w:rStyle w:val="FootnoteReference"/>
          <w:rFonts w:ascii="Cambria" w:hAnsi="Cambria" w:cs="Arial"/>
          <w:sz w:val="20"/>
          <w:szCs w:val="20"/>
          <w:lang w:val="es-PR"/>
        </w:rPr>
        <w:footnoteReference w:id="88"/>
      </w:r>
      <w:r>
        <w:rPr>
          <w:rFonts w:ascii="Cambria" w:hAnsi="Cambria" w:cs="Arial"/>
          <w:sz w:val="20"/>
          <w:szCs w:val="20"/>
          <w:lang w:val="es-PR"/>
        </w:rPr>
        <w:t>,</w:t>
      </w:r>
      <w:r w:rsidR="00620053" w:rsidRPr="00595807">
        <w:rPr>
          <w:rFonts w:ascii="Cambria" w:hAnsi="Cambria" w:cs="Arial"/>
          <w:sz w:val="20"/>
          <w:szCs w:val="20"/>
          <w:lang w:val="es-PR"/>
        </w:rPr>
        <w:t xml:space="preserve"> en casos de</w:t>
      </w:r>
      <w:r w:rsidR="004D6C3B" w:rsidRPr="00595807">
        <w:rPr>
          <w:rFonts w:ascii="Cambria" w:hAnsi="Cambria"/>
          <w:sz w:val="20"/>
          <w:szCs w:val="20"/>
          <w:bdr w:val="none" w:sz="0" w:space="0" w:color="auto"/>
          <w:shd w:val="clear" w:color="auto" w:fill="FFFFFF"/>
          <w:lang w:val="es-AR"/>
        </w:rPr>
        <w:t xml:space="preserve"> violencia contra periodistas o trabajadores de los medios de comunicación por el ejercicio de su derecho a la libertad de expresión</w:t>
      </w:r>
      <w:r w:rsidR="004D6C3B" w:rsidRPr="00595807">
        <w:rPr>
          <w:rFonts w:ascii="Cambria" w:hAnsi="Cambria"/>
          <w:sz w:val="20"/>
          <w:szCs w:val="20"/>
          <w:bdr w:val="none" w:sz="0" w:space="0" w:color="auto"/>
          <w:lang w:val="es-AR"/>
        </w:rPr>
        <w:t xml:space="preserve">, </w:t>
      </w:r>
      <w:r w:rsidR="00620053" w:rsidRPr="00595807">
        <w:rPr>
          <w:rFonts w:ascii="Cambria" w:hAnsi="Cambria"/>
          <w:sz w:val="20"/>
          <w:szCs w:val="20"/>
          <w:lang w:val="es-CO"/>
        </w:rPr>
        <w:t xml:space="preserve">la Convención Americana impone </w:t>
      </w:r>
      <w:r w:rsidR="00D17C97" w:rsidRPr="00595807">
        <w:rPr>
          <w:rFonts w:ascii="Cambria" w:hAnsi="Cambria"/>
          <w:sz w:val="20"/>
          <w:szCs w:val="20"/>
          <w:bdr w:val="none" w:sz="0" w:space="0" w:color="auto"/>
          <w:lang w:val="es-AR"/>
        </w:rPr>
        <w:t xml:space="preserve">obligaciones positivas </w:t>
      </w:r>
      <w:r>
        <w:rPr>
          <w:rFonts w:ascii="Cambria" w:hAnsi="Cambria"/>
          <w:sz w:val="20"/>
          <w:szCs w:val="20"/>
          <w:bdr w:val="none" w:sz="0" w:space="0" w:color="auto"/>
          <w:lang w:val="es-AR"/>
        </w:rPr>
        <w:t xml:space="preserve">y </w:t>
      </w:r>
      <w:r w:rsidRPr="00595807">
        <w:rPr>
          <w:rFonts w:ascii="Cambria" w:hAnsi="Cambria"/>
          <w:sz w:val="20"/>
          <w:szCs w:val="20"/>
          <w:lang w:val="es-CO"/>
        </w:rPr>
        <w:t xml:space="preserve">deberes especiales </w:t>
      </w:r>
      <w:r w:rsidR="00D17C97" w:rsidRPr="00595807">
        <w:rPr>
          <w:rFonts w:ascii="Cambria" w:hAnsi="Cambria"/>
          <w:sz w:val="20"/>
          <w:szCs w:val="20"/>
          <w:bdr w:val="none" w:sz="0" w:space="0" w:color="auto"/>
          <w:lang w:val="es-AR"/>
        </w:rPr>
        <w:t>en cabeza del Estado</w:t>
      </w:r>
      <w:r>
        <w:rPr>
          <w:rFonts w:ascii="Cambria" w:hAnsi="Cambria"/>
          <w:sz w:val="20"/>
          <w:szCs w:val="20"/>
          <w:bdr w:val="none" w:sz="0" w:space="0" w:color="auto"/>
          <w:lang w:val="es-AR"/>
        </w:rPr>
        <w:t>. Estos son el</w:t>
      </w:r>
      <w:r w:rsidR="00D17C97" w:rsidRPr="00595807">
        <w:rPr>
          <w:rFonts w:ascii="Cambria" w:hAnsi="Cambria"/>
          <w:sz w:val="20"/>
          <w:szCs w:val="20"/>
          <w:bdr w:val="none" w:sz="0" w:space="0" w:color="auto"/>
          <w:lang w:val="es-AR"/>
        </w:rPr>
        <w:t xml:space="preserve"> </w:t>
      </w:r>
      <w:r>
        <w:rPr>
          <w:rFonts w:ascii="Cambria" w:hAnsi="Cambria"/>
          <w:sz w:val="20"/>
          <w:szCs w:val="20"/>
          <w:lang w:val="es-CO"/>
        </w:rPr>
        <w:t xml:space="preserve">deber </w:t>
      </w:r>
      <w:r w:rsidR="00620053" w:rsidRPr="00595807">
        <w:rPr>
          <w:rFonts w:ascii="Cambria" w:hAnsi="Cambria"/>
          <w:sz w:val="20"/>
          <w:szCs w:val="20"/>
          <w:lang w:val="es-CO"/>
        </w:rPr>
        <w:t xml:space="preserve">de prevención, protección y procuración de justicia frente a todo acto de violencia que sea ejecutado con el </w:t>
      </w:r>
      <w:r w:rsidR="00620053" w:rsidRPr="00595807">
        <w:rPr>
          <w:rFonts w:ascii="Cambria" w:hAnsi="Cambria"/>
          <w:sz w:val="20"/>
          <w:szCs w:val="20"/>
          <w:lang w:val="es-CO"/>
        </w:rPr>
        <w:lastRenderedPageBreak/>
        <w:t>objetivo de silenciarlos</w:t>
      </w:r>
      <w:r w:rsidR="00873CBB" w:rsidRPr="00595807">
        <w:rPr>
          <w:rStyle w:val="FootnoteReference"/>
          <w:rFonts w:ascii="Cambria" w:hAnsi="Cambria"/>
          <w:sz w:val="20"/>
          <w:szCs w:val="20"/>
          <w:lang w:val="es-CO"/>
        </w:rPr>
        <w:footnoteReference w:id="89"/>
      </w:r>
      <w:r w:rsidR="00620053" w:rsidRPr="00595807">
        <w:rPr>
          <w:rFonts w:ascii="Cambria" w:hAnsi="Cambria"/>
          <w:sz w:val="20"/>
          <w:szCs w:val="20"/>
          <w:lang w:val="es-CO"/>
        </w:rPr>
        <w:t>.</w:t>
      </w:r>
      <w:r w:rsidR="00D17C97" w:rsidRPr="00595807">
        <w:rPr>
          <w:rFonts w:ascii="Cambria" w:hAnsi="Cambria"/>
          <w:sz w:val="20"/>
          <w:szCs w:val="20"/>
          <w:lang w:val="es-CO"/>
        </w:rPr>
        <w:t xml:space="preserve"> </w:t>
      </w:r>
      <w:r w:rsidR="00781EC2">
        <w:rPr>
          <w:rFonts w:ascii="Cambria" w:hAnsi="Cambria"/>
          <w:sz w:val="20"/>
          <w:szCs w:val="20"/>
          <w:lang w:val="es-CO"/>
        </w:rPr>
        <w:t>A continuación</w:t>
      </w:r>
      <w:r w:rsidR="003D71A2">
        <w:rPr>
          <w:rFonts w:ascii="Cambria" w:hAnsi="Cambria"/>
          <w:sz w:val="20"/>
          <w:szCs w:val="20"/>
          <w:lang w:val="es-CO"/>
        </w:rPr>
        <w:t>,</w:t>
      </w:r>
      <w:r w:rsidR="00781EC2">
        <w:rPr>
          <w:rFonts w:ascii="Cambria" w:hAnsi="Cambria"/>
          <w:sz w:val="20"/>
          <w:szCs w:val="20"/>
          <w:lang w:val="es-CO"/>
        </w:rPr>
        <w:t xml:space="preserve"> la Comisión desarrollará algunos de estos deberes con mayor precisión.</w:t>
      </w:r>
    </w:p>
    <w:p w14:paraId="20D27BF1" w14:textId="77777777" w:rsidR="00EE77CF" w:rsidRPr="00595807" w:rsidRDefault="00EE77CF" w:rsidP="009B49A7">
      <w:pPr>
        <w:rPr>
          <w:rFonts w:ascii="Cambria" w:hAnsi="Cambria"/>
          <w:sz w:val="20"/>
          <w:szCs w:val="20"/>
          <w:lang w:val="es-US" w:eastAsia="es-ES"/>
        </w:rPr>
      </w:pPr>
    </w:p>
    <w:p w14:paraId="210B3408" w14:textId="05D29079" w:rsidR="007C748C" w:rsidRPr="00C122DB" w:rsidRDefault="002B2B42" w:rsidP="00C870C0">
      <w:pPr>
        <w:pStyle w:val="Heading3"/>
        <w:numPr>
          <w:ilvl w:val="0"/>
          <w:numId w:val="56"/>
        </w:numPr>
        <w:ind w:hanging="720"/>
      </w:pPr>
      <w:bookmarkStart w:id="35" w:name="_Toc47965330"/>
      <w:r w:rsidRPr="00C122DB">
        <w:rPr>
          <w:lang w:val="es-US"/>
        </w:rPr>
        <w:t>Consideraciones s</w:t>
      </w:r>
      <w:r w:rsidR="00F1184E" w:rsidRPr="00C122DB">
        <w:t xml:space="preserve">obre el deber de </w:t>
      </w:r>
      <w:r w:rsidR="00FC24CE" w:rsidRPr="00C122DB">
        <w:t xml:space="preserve">prevención </w:t>
      </w:r>
      <w:r w:rsidR="00AD29FD">
        <w:t>de la violación a</w:t>
      </w:r>
      <w:r w:rsidR="00FC24CE" w:rsidRPr="00C122DB">
        <w:t>l derecho a la vida</w:t>
      </w:r>
      <w:r w:rsidR="007C748C" w:rsidRPr="00C122DB">
        <w:t xml:space="preserve"> y la obligación de proteger a periodistas </w:t>
      </w:r>
      <w:r w:rsidR="00DB0731" w:rsidRPr="00C122DB">
        <w:t>expuestos a u</w:t>
      </w:r>
      <w:r w:rsidR="007C748C" w:rsidRPr="00C122DB">
        <w:t>n riesgo</w:t>
      </w:r>
      <w:r w:rsidR="00DB0731" w:rsidRPr="00C122DB">
        <w:t xml:space="preserve"> especial</w:t>
      </w:r>
      <w:bookmarkEnd w:id="35"/>
    </w:p>
    <w:p w14:paraId="500E0709" w14:textId="77777777" w:rsidR="00141089" w:rsidRPr="00595807" w:rsidRDefault="00141089" w:rsidP="003D190E">
      <w:pPr>
        <w:rPr>
          <w:rFonts w:ascii="Cambria" w:hAnsi="Cambria"/>
          <w:sz w:val="20"/>
          <w:szCs w:val="20"/>
          <w:highlight w:val="green"/>
          <w:lang w:val="es-PE"/>
        </w:rPr>
      </w:pPr>
    </w:p>
    <w:p w14:paraId="77518287" w14:textId="4124FCFB" w:rsidR="00823966" w:rsidRPr="00595807" w:rsidRDefault="00823966"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595807">
        <w:rPr>
          <w:rFonts w:ascii="Cambria" w:hAnsi="Cambria"/>
          <w:sz w:val="20"/>
          <w:szCs w:val="20"/>
          <w:lang w:val="es-ES"/>
        </w:rPr>
        <w:t>La Corte Interamericana ha establecido que “el derecho a la vida ocupa un espacio fundamental en la Convención Americana, por ser el presupuesto esencial para el ejercicio de los demás derechos. Los Estados tienen la obligación de garantizar la creación de las condiciones que se requieran para que no se produzcan violaciones de ese derecho inalienable”</w:t>
      </w:r>
      <w:r w:rsidRPr="00595807">
        <w:rPr>
          <w:rStyle w:val="FootnoteReference"/>
          <w:rFonts w:ascii="Cambria" w:hAnsi="Cambria"/>
          <w:sz w:val="20"/>
          <w:szCs w:val="20"/>
          <w:lang w:val="es-ES"/>
        </w:rPr>
        <w:footnoteReference w:id="90"/>
      </w:r>
      <w:r w:rsidRPr="00595807">
        <w:rPr>
          <w:rFonts w:ascii="Cambria" w:hAnsi="Cambria"/>
          <w:sz w:val="20"/>
          <w:szCs w:val="20"/>
          <w:lang w:val="es-ES"/>
        </w:rPr>
        <w:t xml:space="preserve">. La protección activa del derecho a la vida por parte del </w:t>
      </w:r>
      <w:r w:rsidR="00245CAB" w:rsidRPr="00595807">
        <w:rPr>
          <w:rFonts w:ascii="Cambria" w:hAnsi="Cambria"/>
          <w:sz w:val="20"/>
          <w:szCs w:val="20"/>
          <w:lang w:val="es-ES"/>
        </w:rPr>
        <w:t>Estado</w:t>
      </w:r>
      <w:r w:rsidRPr="00595807">
        <w:rPr>
          <w:rFonts w:ascii="Cambria" w:hAnsi="Cambria"/>
          <w:sz w:val="20"/>
          <w:szCs w:val="20"/>
          <w:lang w:val="es-ES"/>
        </w:rPr>
        <w:t xml:space="preserve"> involucra también a quienes deben resguardar la seguridad e impone al Estado el deber de adoptar las medidas necesarias no solo “para prevenir, suprimir y castigar la privación de la vida como consecuencia de actos criminales, sino también para prevenir y proteger a los individuos de actos criminales de otros individuos e investigar efectivamente estas situaciones”</w:t>
      </w:r>
      <w:r w:rsidRPr="00595807">
        <w:rPr>
          <w:rStyle w:val="FootnoteReference"/>
          <w:rFonts w:ascii="Cambria" w:hAnsi="Cambria"/>
          <w:sz w:val="20"/>
          <w:szCs w:val="20"/>
          <w:lang w:val="es-ES"/>
        </w:rPr>
        <w:footnoteReference w:id="91"/>
      </w:r>
      <w:r w:rsidRPr="00595807">
        <w:rPr>
          <w:rFonts w:ascii="Cambria" w:hAnsi="Cambria"/>
          <w:sz w:val="20"/>
          <w:szCs w:val="20"/>
          <w:lang w:val="es-ES"/>
        </w:rPr>
        <w:t>.</w:t>
      </w:r>
    </w:p>
    <w:p w14:paraId="405C52C4" w14:textId="77777777" w:rsidR="00823966" w:rsidRPr="00595807" w:rsidRDefault="00823966" w:rsidP="00823966">
      <w:pPr>
        <w:pStyle w:val="ListParagraph"/>
        <w:spacing w:before="0" w:after="0"/>
        <w:rPr>
          <w:sz w:val="20"/>
          <w:szCs w:val="20"/>
          <w:lang w:val="es-ES"/>
        </w:rPr>
      </w:pPr>
    </w:p>
    <w:p w14:paraId="69B5F53E" w14:textId="24622880" w:rsidR="00ED6212" w:rsidRPr="00DC7A11" w:rsidRDefault="00E70A84"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595807">
        <w:rPr>
          <w:rFonts w:ascii="Cambria" w:hAnsi="Cambria"/>
          <w:sz w:val="20"/>
          <w:szCs w:val="20"/>
          <w:lang w:val="es-CO"/>
        </w:rPr>
        <w:t>De</w:t>
      </w:r>
      <w:r w:rsidR="009B562A" w:rsidRPr="00595807">
        <w:rPr>
          <w:rFonts w:ascii="Cambria" w:hAnsi="Cambria"/>
          <w:sz w:val="20"/>
          <w:szCs w:val="20"/>
          <w:lang w:val="es-CO"/>
        </w:rPr>
        <w:t xml:space="preserve"> conformidad con la información </w:t>
      </w:r>
      <w:r w:rsidR="00807B29" w:rsidRPr="00595807">
        <w:rPr>
          <w:rFonts w:ascii="Cambria" w:hAnsi="Cambria"/>
          <w:sz w:val="20"/>
          <w:szCs w:val="20"/>
          <w:lang w:val="es-CO"/>
        </w:rPr>
        <w:t xml:space="preserve">derivada </w:t>
      </w:r>
      <w:r w:rsidR="000808AB" w:rsidRPr="00595807">
        <w:rPr>
          <w:rFonts w:ascii="Cambria" w:hAnsi="Cambria"/>
          <w:sz w:val="20"/>
          <w:szCs w:val="20"/>
          <w:lang w:val="es-CO"/>
        </w:rPr>
        <w:t>del expediente judicial</w:t>
      </w:r>
      <w:r w:rsidR="004B71C2" w:rsidRPr="00595807">
        <w:rPr>
          <w:rFonts w:ascii="Cambria" w:hAnsi="Cambria"/>
          <w:sz w:val="20"/>
          <w:szCs w:val="20"/>
          <w:lang w:val="es-CO"/>
        </w:rPr>
        <w:t xml:space="preserve">, </w:t>
      </w:r>
      <w:r w:rsidR="000808AB" w:rsidRPr="00595807">
        <w:rPr>
          <w:rFonts w:ascii="Cambria" w:hAnsi="Cambria"/>
          <w:sz w:val="20"/>
          <w:szCs w:val="20"/>
          <w:lang w:val="es-CO"/>
        </w:rPr>
        <w:t xml:space="preserve">no existen </w:t>
      </w:r>
      <w:r w:rsidR="00967EAB" w:rsidRPr="00595807">
        <w:rPr>
          <w:rFonts w:ascii="Cambria" w:hAnsi="Cambria"/>
          <w:sz w:val="20"/>
          <w:szCs w:val="20"/>
          <w:lang w:val="es-CO"/>
        </w:rPr>
        <w:t xml:space="preserve">suficientes </w:t>
      </w:r>
      <w:r w:rsidR="000808AB" w:rsidRPr="00595807">
        <w:rPr>
          <w:rFonts w:ascii="Cambria" w:hAnsi="Cambria"/>
          <w:sz w:val="20"/>
          <w:szCs w:val="20"/>
          <w:lang w:val="es-CO"/>
        </w:rPr>
        <w:t xml:space="preserve">indicios </w:t>
      </w:r>
      <w:r w:rsidR="008D69BE" w:rsidRPr="00595807">
        <w:rPr>
          <w:rFonts w:ascii="Cambria" w:hAnsi="Cambria"/>
          <w:sz w:val="20"/>
          <w:szCs w:val="20"/>
          <w:lang w:val="es-CO"/>
        </w:rPr>
        <w:t>que le permitan a la CIDH</w:t>
      </w:r>
      <w:r w:rsidR="00311915" w:rsidRPr="00595807">
        <w:rPr>
          <w:rFonts w:ascii="Cambria" w:hAnsi="Cambria"/>
          <w:sz w:val="20"/>
          <w:szCs w:val="20"/>
          <w:lang w:val="es-CO"/>
        </w:rPr>
        <w:t xml:space="preserve"> </w:t>
      </w:r>
      <w:r w:rsidR="0013642E" w:rsidRPr="00595807">
        <w:rPr>
          <w:rFonts w:ascii="Cambria" w:hAnsi="Cambria"/>
          <w:sz w:val="20"/>
          <w:szCs w:val="20"/>
          <w:lang w:val="es-CO"/>
        </w:rPr>
        <w:t>concluir</w:t>
      </w:r>
      <w:r w:rsidR="00051AFC" w:rsidRPr="00595807">
        <w:rPr>
          <w:rFonts w:ascii="Cambria" w:hAnsi="Cambria"/>
          <w:sz w:val="20"/>
          <w:szCs w:val="20"/>
          <w:lang w:val="es-CO"/>
        </w:rPr>
        <w:t xml:space="preserve"> </w:t>
      </w:r>
      <w:r w:rsidR="0013642E" w:rsidRPr="00595807">
        <w:rPr>
          <w:rFonts w:ascii="Cambria" w:hAnsi="Cambria"/>
          <w:sz w:val="20"/>
          <w:szCs w:val="20"/>
          <w:lang w:val="es-CO"/>
        </w:rPr>
        <w:t xml:space="preserve">que </w:t>
      </w:r>
      <w:r w:rsidR="008E58D3" w:rsidRPr="00595807">
        <w:rPr>
          <w:rFonts w:ascii="Cambria" w:hAnsi="Cambria"/>
          <w:sz w:val="20"/>
          <w:szCs w:val="20"/>
          <w:lang w:val="es-CO"/>
        </w:rPr>
        <w:t>la</w:t>
      </w:r>
      <w:r w:rsidR="007069F0" w:rsidRPr="00595807">
        <w:rPr>
          <w:rFonts w:ascii="Cambria" w:hAnsi="Cambria"/>
          <w:sz w:val="20"/>
          <w:szCs w:val="20"/>
          <w:lang w:val="es-CO"/>
        </w:rPr>
        <w:t xml:space="preserve">s amenazas proferidas </w:t>
      </w:r>
      <w:r w:rsidR="003108CF" w:rsidRPr="00595807">
        <w:rPr>
          <w:rFonts w:ascii="Cambria" w:hAnsi="Cambria"/>
          <w:sz w:val="20"/>
          <w:szCs w:val="20"/>
          <w:lang w:val="es-CO"/>
        </w:rPr>
        <w:t xml:space="preserve">en </w:t>
      </w:r>
      <w:r w:rsidR="007069F0" w:rsidRPr="00595807">
        <w:rPr>
          <w:rFonts w:ascii="Cambria" w:hAnsi="Cambria"/>
          <w:sz w:val="20"/>
          <w:szCs w:val="20"/>
          <w:lang w:val="es-CO"/>
        </w:rPr>
        <w:t>contra</w:t>
      </w:r>
      <w:r w:rsidR="003108CF" w:rsidRPr="00595807">
        <w:rPr>
          <w:rFonts w:ascii="Cambria" w:hAnsi="Cambria"/>
          <w:sz w:val="20"/>
          <w:szCs w:val="20"/>
          <w:lang w:val="es-CO"/>
        </w:rPr>
        <w:t xml:space="preserve"> del periodista Santiago Leguizamón</w:t>
      </w:r>
      <w:r w:rsidR="003E5E82" w:rsidRPr="00595807">
        <w:rPr>
          <w:rFonts w:ascii="Cambria" w:hAnsi="Cambria"/>
          <w:sz w:val="20"/>
          <w:szCs w:val="20"/>
          <w:lang w:val="es-CO"/>
        </w:rPr>
        <w:t xml:space="preserve">, así como su posterior </w:t>
      </w:r>
      <w:r w:rsidR="004F1AA1" w:rsidRPr="007C4A01">
        <w:rPr>
          <w:rFonts w:ascii="Cambria" w:hAnsi="Cambria"/>
          <w:sz w:val="20"/>
          <w:szCs w:val="20"/>
          <w:lang w:val="es-CO"/>
        </w:rPr>
        <w:t>asesinato</w:t>
      </w:r>
      <w:r w:rsidR="003E5E82" w:rsidRPr="007C4A01">
        <w:rPr>
          <w:rFonts w:ascii="Cambria" w:hAnsi="Cambria"/>
          <w:sz w:val="20"/>
          <w:szCs w:val="20"/>
          <w:lang w:val="es-CO"/>
        </w:rPr>
        <w:t xml:space="preserve"> </w:t>
      </w:r>
      <w:r w:rsidR="0013642E" w:rsidRPr="007C4A01">
        <w:rPr>
          <w:rFonts w:ascii="Cambria" w:hAnsi="Cambria"/>
          <w:sz w:val="20"/>
          <w:szCs w:val="20"/>
          <w:lang w:val="es-CO"/>
        </w:rPr>
        <w:t>fueron</w:t>
      </w:r>
      <w:r w:rsidR="0013642E" w:rsidRPr="00595807">
        <w:rPr>
          <w:rFonts w:ascii="Cambria" w:hAnsi="Cambria"/>
          <w:sz w:val="20"/>
          <w:szCs w:val="20"/>
          <w:lang w:val="es-CO"/>
        </w:rPr>
        <w:t xml:space="preserve"> causadas </w:t>
      </w:r>
      <w:r w:rsidR="0013642E" w:rsidRPr="00595807">
        <w:rPr>
          <w:rFonts w:ascii="Cambria" w:hAnsi="Cambria"/>
          <w:sz w:val="20"/>
          <w:szCs w:val="20"/>
          <w:lang w:val="es-ES"/>
        </w:rPr>
        <w:t>por</w:t>
      </w:r>
      <w:r w:rsidR="00823966" w:rsidRPr="00595807">
        <w:rPr>
          <w:rFonts w:ascii="Cambria" w:hAnsi="Cambria"/>
          <w:sz w:val="20"/>
          <w:szCs w:val="20"/>
          <w:lang w:val="es-ES"/>
        </w:rPr>
        <w:t xml:space="preserve"> agentes del Estado</w:t>
      </w:r>
      <w:r w:rsidR="0089219E" w:rsidRPr="00595807">
        <w:rPr>
          <w:rFonts w:ascii="Cambria" w:hAnsi="Cambria"/>
          <w:sz w:val="20"/>
          <w:szCs w:val="20"/>
          <w:lang w:val="es-ES"/>
        </w:rPr>
        <w:t xml:space="preserve">. Por lo anterior, </w:t>
      </w:r>
      <w:r w:rsidR="00823966" w:rsidRPr="00595807">
        <w:rPr>
          <w:rFonts w:ascii="Cambria" w:hAnsi="Cambria"/>
          <w:sz w:val="20"/>
          <w:szCs w:val="20"/>
          <w:lang w:val="es-ES"/>
        </w:rPr>
        <w:t>corresponde analizar</w:t>
      </w:r>
      <w:r w:rsidR="00DC26DD" w:rsidRPr="00595807">
        <w:rPr>
          <w:rFonts w:ascii="Cambria" w:hAnsi="Cambria"/>
          <w:sz w:val="20"/>
          <w:szCs w:val="20"/>
          <w:lang w:val="es-ES"/>
        </w:rPr>
        <w:t xml:space="preserve"> la alegada violación del derecho a la vida</w:t>
      </w:r>
      <w:r w:rsidR="00823966" w:rsidRPr="00595807">
        <w:rPr>
          <w:rFonts w:ascii="Cambria" w:hAnsi="Cambria"/>
          <w:sz w:val="20"/>
          <w:szCs w:val="20"/>
          <w:lang w:val="es-ES"/>
        </w:rPr>
        <w:t xml:space="preserve"> bajo el deber de protección</w:t>
      </w:r>
      <w:r w:rsidR="00421E6C">
        <w:rPr>
          <w:rFonts w:ascii="Cambria" w:hAnsi="Cambria"/>
          <w:sz w:val="20"/>
          <w:szCs w:val="20"/>
          <w:lang w:val="es-ES"/>
        </w:rPr>
        <w:t xml:space="preserve"> y prevención</w:t>
      </w:r>
      <w:r w:rsidR="00823966" w:rsidRPr="00595807">
        <w:rPr>
          <w:rFonts w:ascii="Cambria" w:hAnsi="Cambria"/>
          <w:sz w:val="20"/>
          <w:szCs w:val="20"/>
          <w:lang w:val="es-ES"/>
        </w:rPr>
        <w:t>, como componente de la obligación de garantía</w:t>
      </w:r>
      <w:r w:rsidR="00ED6212" w:rsidRPr="00595807">
        <w:rPr>
          <w:rFonts w:ascii="Cambria" w:hAnsi="Cambria"/>
          <w:sz w:val="20"/>
          <w:szCs w:val="20"/>
          <w:lang w:val="es-ES"/>
        </w:rPr>
        <w:t xml:space="preserve">, la cual </w:t>
      </w:r>
      <w:r w:rsidR="00ED6212" w:rsidRPr="00595807">
        <w:rPr>
          <w:rFonts w:ascii="Cambria" w:hAnsi="Cambria"/>
          <w:sz w:val="20"/>
          <w:szCs w:val="20"/>
          <w:bdr w:val="none" w:sz="0" w:space="0" w:color="auto"/>
          <w:lang w:val="es-ES"/>
        </w:rPr>
        <w:t xml:space="preserve">se proyecta más allá de la relación entre los agentes estatales y las personas </w:t>
      </w:r>
      <w:r w:rsidR="00ED6212" w:rsidRPr="00DC7A11">
        <w:rPr>
          <w:rFonts w:ascii="Cambria" w:hAnsi="Cambria"/>
          <w:sz w:val="20"/>
          <w:szCs w:val="20"/>
          <w:bdr w:val="none" w:sz="0" w:space="0" w:color="auto"/>
          <w:lang w:val="es-ES"/>
        </w:rPr>
        <w:t>sometidas a su jurisdicción, “abarcando asimismo el deber de prevenir, en la esfera privada, que terceros vulneren los bienes jurídicos protegidos”</w:t>
      </w:r>
      <w:r w:rsidR="00ED6212" w:rsidRPr="00DC7A11">
        <w:rPr>
          <w:rFonts w:ascii="Cambria" w:hAnsi="Cambria"/>
          <w:sz w:val="20"/>
          <w:szCs w:val="20"/>
          <w:bdr w:val="none" w:sz="0" w:space="0" w:color="auto"/>
          <w:vertAlign w:val="superscript"/>
        </w:rPr>
        <w:footnoteReference w:id="92"/>
      </w:r>
      <w:r w:rsidR="00ED6212" w:rsidRPr="00DC7A11">
        <w:rPr>
          <w:rFonts w:ascii="Cambria" w:hAnsi="Cambria"/>
          <w:sz w:val="20"/>
          <w:szCs w:val="20"/>
          <w:bdr w:val="none" w:sz="0" w:space="0" w:color="auto"/>
          <w:lang w:val="es-ES"/>
        </w:rPr>
        <w:t xml:space="preserve">. </w:t>
      </w:r>
    </w:p>
    <w:p w14:paraId="5BFD9A36" w14:textId="048E3FBE" w:rsidR="00DA5641" w:rsidRPr="00DC7A11" w:rsidRDefault="00DA5641" w:rsidP="00FE78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B12016E" w14:textId="7AB917FC" w:rsidR="00DA5641" w:rsidRPr="00DC7A11" w:rsidRDefault="00E3536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shd w:val="clear" w:color="auto" w:fill="FFFFFF"/>
          <w:lang w:val="es-AR"/>
        </w:rPr>
      </w:pPr>
      <w:r w:rsidRPr="00DC7A11">
        <w:rPr>
          <w:rFonts w:ascii="Cambria" w:hAnsi="Cambria"/>
          <w:sz w:val="20"/>
          <w:szCs w:val="20"/>
          <w:bdr w:val="none" w:sz="0" w:space="0" w:color="auto"/>
          <w:shd w:val="clear" w:color="auto" w:fill="FFFFFF"/>
          <w:lang w:val="es-ES"/>
        </w:rPr>
        <w:t>Al respecto, como</w:t>
      </w:r>
      <w:r w:rsidR="00775834" w:rsidRPr="00DC7A11">
        <w:rPr>
          <w:rFonts w:ascii="Cambria" w:hAnsi="Cambria"/>
          <w:sz w:val="20"/>
          <w:szCs w:val="20"/>
          <w:bdr w:val="none" w:sz="0" w:space="0" w:color="auto"/>
          <w:shd w:val="clear" w:color="auto" w:fill="FFFFFF"/>
          <w:lang w:val="es-PE"/>
        </w:rPr>
        <w:t xml:space="preserve"> fue establecido en párrafos anteriores, la</w:t>
      </w:r>
      <w:r w:rsidR="00775834" w:rsidRPr="00DC7A11">
        <w:rPr>
          <w:rFonts w:ascii="Cambria" w:hAnsi="Cambria"/>
          <w:sz w:val="20"/>
          <w:szCs w:val="20"/>
          <w:bdr w:val="none" w:sz="0" w:space="0" w:color="auto"/>
          <w:shd w:val="clear" w:color="auto" w:fill="FFFFFF"/>
          <w:lang w:val="es-AR"/>
        </w:rPr>
        <w:t xml:space="preserve"> Corte Interamericana ha determinado que “es fundamental que los periodistas que laboran en los medios de comunicación gocen de la protección y de la independencia necesarias para realizar sus funciones a cabalidad, ya que son ellos quienes mantienen informada a la sociedad, requisito indispensable para que ésta goce de una plena libertad y el debate público se fortalezca”</w:t>
      </w:r>
      <w:r w:rsidR="00775834" w:rsidRPr="00DC7A11">
        <w:rPr>
          <w:rFonts w:ascii="Cambria" w:hAnsi="Cambria"/>
          <w:sz w:val="20"/>
          <w:szCs w:val="20"/>
          <w:bdr w:val="none" w:sz="0" w:space="0" w:color="auto"/>
          <w:vertAlign w:val="superscript"/>
          <w:lang w:val="es-AR"/>
        </w:rPr>
        <w:footnoteReference w:id="93"/>
      </w:r>
      <w:r w:rsidR="00775834" w:rsidRPr="00DC7A11">
        <w:rPr>
          <w:rFonts w:ascii="Cambria" w:hAnsi="Cambria"/>
          <w:sz w:val="20"/>
          <w:szCs w:val="20"/>
          <w:bdr w:val="none" w:sz="0" w:space="0" w:color="auto"/>
          <w:shd w:val="clear" w:color="auto" w:fill="FFFFFF"/>
          <w:lang w:val="es-AR"/>
        </w:rPr>
        <w:t>.</w:t>
      </w:r>
      <w:r w:rsidR="00FB2B11" w:rsidRPr="00DC7A11">
        <w:rPr>
          <w:rFonts w:ascii="Cambria" w:hAnsi="Cambria"/>
          <w:sz w:val="20"/>
          <w:szCs w:val="20"/>
          <w:bdr w:val="none" w:sz="0" w:space="0" w:color="auto"/>
          <w:shd w:val="clear" w:color="auto" w:fill="FFFFFF"/>
          <w:lang w:val="es-AR"/>
        </w:rPr>
        <w:t xml:space="preserve"> </w:t>
      </w:r>
      <w:r w:rsidR="00775834" w:rsidRPr="00DC7A11">
        <w:rPr>
          <w:rFonts w:ascii="Cambria" w:hAnsi="Cambria"/>
          <w:sz w:val="20"/>
          <w:szCs w:val="20"/>
          <w:bdr w:val="none" w:sz="0" w:space="0" w:color="auto"/>
          <w:lang w:val="es-AR"/>
        </w:rPr>
        <w:t>En este sentido, la CIDH ha reconocido que los Estados tienen una obligación de proteger a quienes están expuestos a un riesgo especial en razón del ejercicio de su profesión</w:t>
      </w:r>
      <w:r w:rsidR="00775834" w:rsidRPr="00DC7A11">
        <w:rPr>
          <w:rFonts w:ascii="Cambria" w:hAnsi="Cambria"/>
          <w:sz w:val="20"/>
          <w:szCs w:val="20"/>
          <w:bdr w:val="none" w:sz="0" w:space="0" w:color="auto"/>
          <w:vertAlign w:val="superscript"/>
          <w:lang w:val="es-AR"/>
        </w:rPr>
        <w:footnoteReference w:id="94"/>
      </w:r>
      <w:r w:rsidR="00775834" w:rsidRPr="00DC7A11">
        <w:rPr>
          <w:rFonts w:ascii="Cambria" w:hAnsi="Cambria"/>
          <w:sz w:val="20"/>
          <w:szCs w:val="20"/>
          <w:bdr w:val="none" w:sz="0" w:space="0" w:color="auto"/>
          <w:lang w:val="es-AR"/>
        </w:rPr>
        <w:t xml:space="preserve">. </w:t>
      </w:r>
    </w:p>
    <w:p w14:paraId="29DA1C47" w14:textId="77777777" w:rsidR="00A72357" w:rsidRPr="00DC7A11" w:rsidRDefault="00A72357" w:rsidP="00A7235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shd w:val="clear" w:color="auto" w:fill="FFFFFF"/>
          <w:lang w:val="es-AR"/>
        </w:rPr>
      </w:pPr>
    </w:p>
    <w:p w14:paraId="7D79C5B8" w14:textId="7A2C5781" w:rsidR="00FF79AE" w:rsidRPr="0022303D" w:rsidRDefault="00823966"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DC7A11">
        <w:rPr>
          <w:rFonts w:ascii="Cambria" w:hAnsi="Cambria"/>
          <w:sz w:val="20"/>
          <w:szCs w:val="20"/>
          <w:bdr w:val="none" w:sz="0" w:space="0" w:color="auto"/>
          <w:lang w:val="es-ES"/>
        </w:rPr>
        <w:t xml:space="preserve">Sin embargo, </w:t>
      </w:r>
      <w:r w:rsidR="00A402C5" w:rsidRPr="00DC7A11">
        <w:rPr>
          <w:rFonts w:ascii="Cambria" w:hAnsi="Cambria"/>
          <w:sz w:val="20"/>
          <w:szCs w:val="20"/>
          <w:bdr w:val="none" w:sz="0" w:space="0" w:color="auto"/>
          <w:lang w:val="es-ES"/>
        </w:rPr>
        <w:t xml:space="preserve">el </w:t>
      </w:r>
      <w:r w:rsidR="00A402C5" w:rsidRPr="00DC7A11">
        <w:rPr>
          <w:rFonts w:ascii="Cambria" w:hAnsi="Cambria"/>
          <w:sz w:val="20"/>
          <w:szCs w:val="20"/>
          <w:bdr w:val="none" w:sz="0" w:space="0" w:color="auto"/>
          <w:lang w:val="es-AR"/>
        </w:rPr>
        <w:t>alcance de la obligación positiva del Estado de proteger a personas que están expuestos a un riesgo especial</w:t>
      </w:r>
      <w:r w:rsidR="00D6277E">
        <w:rPr>
          <w:rFonts w:ascii="Cambria" w:hAnsi="Cambria"/>
          <w:sz w:val="20"/>
          <w:szCs w:val="20"/>
          <w:bdr w:val="none" w:sz="0" w:space="0" w:color="auto"/>
          <w:lang w:val="es-AR"/>
        </w:rPr>
        <w:t xml:space="preserve"> y del deber de prevenir </w:t>
      </w:r>
      <w:r w:rsidR="00D6277E" w:rsidRPr="00595807">
        <w:rPr>
          <w:rFonts w:ascii="Cambria" w:hAnsi="Cambria"/>
          <w:sz w:val="20"/>
          <w:szCs w:val="20"/>
          <w:lang w:val="es-ES"/>
        </w:rPr>
        <w:t>violaci</w:t>
      </w:r>
      <w:r w:rsidR="00D6277E">
        <w:rPr>
          <w:rFonts w:ascii="Cambria" w:hAnsi="Cambria"/>
          <w:sz w:val="20"/>
          <w:szCs w:val="20"/>
          <w:lang w:val="es-ES"/>
        </w:rPr>
        <w:t>ones</w:t>
      </w:r>
      <w:r w:rsidR="00D6277E" w:rsidRPr="00595807">
        <w:rPr>
          <w:rFonts w:ascii="Cambria" w:hAnsi="Cambria"/>
          <w:sz w:val="20"/>
          <w:szCs w:val="20"/>
          <w:lang w:val="es-ES"/>
        </w:rPr>
        <w:t xml:space="preserve"> de derechos humanos</w:t>
      </w:r>
      <w:r w:rsidR="00D6277E">
        <w:rPr>
          <w:rFonts w:ascii="Cambria" w:hAnsi="Cambria"/>
          <w:sz w:val="20"/>
          <w:szCs w:val="20"/>
          <w:bdr w:val="none" w:sz="0" w:space="0" w:color="auto"/>
          <w:lang w:val="es-AR"/>
        </w:rPr>
        <w:t xml:space="preserve"> </w:t>
      </w:r>
      <w:r w:rsidR="00A402C5" w:rsidRPr="00DC7A11">
        <w:rPr>
          <w:rFonts w:ascii="Cambria" w:hAnsi="Cambria"/>
          <w:sz w:val="20"/>
          <w:szCs w:val="20"/>
          <w:bdr w:val="none" w:sz="0" w:space="0" w:color="auto"/>
          <w:lang w:val="es-AR"/>
        </w:rPr>
        <w:t>fue definido por la Corte Interamericana</w:t>
      </w:r>
      <w:r w:rsidR="00D6277E">
        <w:rPr>
          <w:rFonts w:ascii="Cambria" w:hAnsi="Cambria"/>
          <w:i/>
          <w:iCs/>
          <w:sz w:val="20"/>
          <w:szCs w:val="20"/>
          <w:bdr w:val="none" w:sz="0" w:space="0" w:color="auto"/>
          <w:lang w:val="es-AR"/>
        </w:rPr>
        <w:t xml:space="preserve">. </w:t>
      </w:r>
      <w:r w:rsidR="00D6277E" w:rsidRPr="000D7953">
        <w:rPr>
          <w:rFonts w:ascii="Cambria" w:hAnsi="Cambria"/>
          <w:sz w:val="20"/>
          <w:szCs w:val="20"/>
          <w:bdr w:val="none" w:sz="0" w:space="0" w:color="auto"/>
          <w:lang w:val="es-AR"/>
        </w:rPr>
        <w:t>Esta</w:t>
      </w:r>
      <w:r w:rsidR="009B01AA" w:rsidRPr="00D6277E">
        <w:rPr>
          <w:rFonts w:ascii="Cambria" w:hAnsi="Cambria"/>
          <w:sz w:val="20"/>
          <w:szCs w:val="20"/>
          <w:bdr w:val="none" w:sz="0" w:space="0" w:color="auto"/>
          <w:lang w:val="es-AR"/>
        </w:rPr>
        <w:t xml:space="preserve"> </w:t>
      </w:r>
      <w:r w:rsidR="009B01AA" w:rsidRPr="00DC7A11">
        <w:rPr>
          <w:rFonts w:ascii="Cambria" w:hAnsi="Cambria"/>
          <w:sz w:val="20"/>
          <w:szCs w:val="20"/>
          <w:bdr w:val="none" w:sz="0" w:space="0" w:color="auto"/>
          <w:lang w:val="es-AR"/>
        </w:rPr>
        <w:t>ha</w:t>
      </w:r>
      <w:r w:rsidR="009B01AA" w:rsidRPr="00595807">
        <w:rPr>
          <w:rFonts w:ascii="Cambria" w:hAnsi="Cambria"/>
          <w:sz w:val="20"/>
          <w:szCs w:val="20"/>
          <w:bdr w:val="none" w:sz="0" w:space="0" w:color="auto"/>
          <w:lang w:val="es-AR"/>
        </w:rPr>
        <w:t xml:space="preserve"> establecido</w:t>
      </w:r>
      <w:r w:rsidR="001B32E7" w:rsidRPr="00595807">
        <w:rPr>
          <w:rFonts w:ascii="Cambria" w:hAnsi="Cambria"/>
          <w:sz w:val="20"/>
          <w:szCs w:val="20"/>
          <w:bdr w:val="none" w:sz="0" w:space="0" w:color="auto"/>
          <w:lang w:val="es-AR"/>
        </w:rPr>
        <w:t xml:space="preserve"> que</w:t>
      </w:r>
      <w:r w:rsidRPr="00595807">
        <w:rPr>
          <w:rFonts w:ascii="Cambria" w:hAnsi="Cambria"/>
          <w:sz w:val="20"/>
          <w:szCs w:val="20"/>
          <w:bdr w:val="none" w:sz="0" w:space="0" w:color="auto"/>
          <w:lang w:val="es-ES"/>
        </w:rPr>
        <w:t xml:space="preserve"> u</w:t>
      </w:r>
      <w:r w:rsidRPr="00595807">
        <w:rPr>
          <w:rFonts w:ascii="Cambria" w:hAnsi="Cambria"/>
          <w:sz w:val="20"/>
          <w:szCs w:val="20"/>
          <w:lang w:val="es-ES"/>
        </w:rPr>
        <w:t>n Estado no puede ser responsable por cualquier violación de derechos humanos cometida entre particulares dentro de su jurisdicción</w:t>
      </w:r>
      <w:r w:rsidRPr="00595807">
        <w:rPr>
          <w:rStyle w:val="FootnoteReference"/>
          <w:rFonts w:ascii="Cambria" w:hAnsi="Cambria"/>
          <w:sz w:val="20"/>
          <w:szCs w:val="20"/>
          <w:lang w:val="es-ES"/>
        </w:rPr>
        <w:footnoteReference w:id="95"/>
      </w:r>
      <w:r w:rsidRPr="00595807">
        <w:rPr>
          <w:rFonts w:ascii="Cambria" w:hAnsi="Cambria"/>
          <w:sz w:val="20"/>
          <w:szCs w:val="20"/>
          <w:lang w:val="es-ES"/>
        </w:rPr>
        <w:t>, ya que “sus deberes de adoptar medidas de prevención y protección de los particulares en sus relaciones entre sí se encuentran condicionados al conocimiento de una situación de riesgo real e inmediato para un individuo […] y las posibilidades razonables de prevenir o evitar ese riesgo”</w:t>
      </w:r>
      <w:r w:rsidRPr="00595807">
        <w:rPr>
          <w:rFonts w:ascii="Cambria" w:hAnsi="Cambria"/>
          <w:sz w:val="20"/>
          <w:szCs w:val="20"/>
          <w:vertAlign w:val="superscript"/>
        </w:rPr>
        <w:footnoteReference w:id="96"/>
      </w:r>
      <w:r w:rsidRPr="00595807">
        <w:rPr>
          <w:rFonts w:ascii="Cambria" w:hAnsi="Cambria"/>
          <w:sz w:val="20"/>
          <w:szCs w:val="20"/>
          <w:lang w:val="es-ES"/>
        </w:rPr>
        <w:t xml:space="preserve">. En particular, </w:t>
      </w:r>
      <w:r w:rsidRPr="00595807">
        <w:rPr>
          <w:rFonts w:ascii="Cambria" w:eastAsia="Cambria" w:hAnsi="Cambria"/>
          <w:sz w:val="20"/>
          <w:szCs w:val="20"/>
          <w:u w:color="000000"/>
          <w:lang w:val="es-MX"/>
        </w:rPr>
        <w:t>a fin de establecer un incumplimiento del deber de prevenir violaciones a</w:t>
      </w:r>
      <w:r w:rsidR="006F7764" w:rsidRPr="00595807">
        <w:rPr>
          <w:rFonts w:ascii="Cambria" w:eastAsia="Cambria" w:hAnsi="Cambria"/>
          <w:sz w:val="20"/>
          <w:szCs w:val="20"/>
          <w:u w:color="000000"/>
          <w:lang w:val="es-MX"/>
        </w:rPr>
        <w:t xml:space="preserve">l </w:t>
      </w:r>
      <w:r w:rsidRPr="00595807">
        <w:rPr>
          <w:rFonts w:ascii="Cambria" w:eastAsia="Cambria" w:hAnsi="Cambria"/>
          <w:sz w:val="20"/>
          <w:szCs w:val="20"/>
          <w:u w:color="000000"/>
          <w:lang w:val="es-MX"/>
        </w:rPr>
        <w:t xml:space="preserve">derecho a la vida, debe verificarse que: i) </w:t>
      </w:r>
      <w:r w:rsidRPr="0022303D">
        <w:rPr>
          <w:rFonts w:ascii="Cambria" w:eastAsia="Cambria" w:hAnsi="Cambria"/>
          <w:sz w:val="20"/>
          <w:szCs w:val="20"/>
          <w:u w:color="000000"/>
          <w:lang w:val="es-MX"/>
        </w:rPr>
        <w:t>las autoridades estatales sabían, o debían haber sabido, de la existencia de un riesgo real e inmediato para la vida y/o integridad personal de un individuo o grupo de individuos determinado, y que ii) tales autoridades no adoptaron las medidas necesarias dentro del ámbito de sus atribuciones que, juzgadas razonablemente, podían esperarse para prevenir o evitar ese riesgo</w:t>
      </w:r>
      <w:r w:rsidRPr="0022303D">
        <w:rPr>
          <w:rStyle w:val="FootnoteReference"/>
          <w:rFonts w:ascii="Cambria" w:eastAsia="Cambria" w:hAnsi="Cambria"/>
          <w:sz w:val="20"/>
          <w:szCs w:val="20"/>
          <w:u w:color="000000"/>
          <w:lang w:val="es-MX"/>
        </w:rPr>
        <w:footnoteReference w:id="97"/>
      </w:r>
      <w:r w:rsidRPr="0022303D">
        <w:rPr>
          <w:rFonts w:ascii="Cambria" w:hAnsi="Cambria"/>
          <w:sz w:val="20"/>
          <w:szCs w:val="20"/>
          <w:lang w:val="es-MX"/>
        </w:rPr>
        <w:t>.</w:t>
      </w:r>
    </w:p>
    <w:p w14:paraId="0255445A" w14:textId="77777777" w:rsidR="00835ED1" w:rsidRPr="00595807" w:rsidRDefault="00835ED1" w:rsidP="00141089">
      <w:pPr>
        <w:rPr>
          <w:rFonts w:ascii="Cambria" w:hAnsi="Cambria"/>
          <w:sz w:val="20"/>
          <w:szCs w:val="20"/>
          <w:highlight w:val="green"/>
          <w:bdr w:val="none" w:sz="0" w:space="0" w:color="auto"/>
          <w:lang w:val="es-PE"/>
        </w:rPr>
      </w:pPr>
    </w:p>
    <w:p w14:paraId="29A6AD87" w14:textId="7A5BD42E" w:rsidR="00780D45" w:rsidRPr="00374A7E" w:rsidRDefault="00034C84"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sidRPr="00374A7E">
        <w:rPr>
          <w:rFonts w:ascii="Cambria" w:hAnsi="Cambria"/>
          <w:sz w:val="20"/>
          <w:szCs w:val="20"/>
          <w:lang w:val="es-CO"/>
        </w:rPr>
        <w:lastRenderedPageBreak/>
        <w:t>S</w:t>
      </w:r>
      <w:r w:rsidR="00141089" w:rsidRPr="00374A7E">
        <w:rPr>
          <w:rFonts w:ascii="Cambria" w:hAnsi="Cambria"/>
          <w:sz w:val="20"/>
          <w:szCs w:val="20"/>
          <w:lang w:val="es-CO"/>
        </w:rPr>
        <w:t>egún la jurisprudencia y doctrina interamericana, este riesgo especial debe ser evaluado a la</w:t>
      </w:r>
      <w:r w:rsidR="00141089" w:rsidRPr="00374A7E">
        <w:rPr>
          <w:rFonts w:ascii="Cambria" w:hAnsi="Cambria"/>
          <w:sz w:val="20"/>
          <w:szCs w:val="20"/>
          <w:bdr w:val="none" w:sz="0" w:space="0" w:color="auto"/>
          <w:lang w:val="es-AR"/>
        </w:rPr>
        <w:t xml:space="preserve"> luz del contexto existente en el país, y puede surgir por factores tales como el tipo de hechos que los y las periodistas cubren, el interés público de la información que difunden o la zona a la cual deben acceder para cumplir con su labor, así como por amenazas en relación con la difusión de esa información o por denunciar o impulsar la investigación de violaciones que sufrieron o de las que se enteraron en el ejercicio de su profesión</w:t>
      </w:r>
      <w:r w:rsidR="00141089" w:rsidRPr="00374A7E">
        <w:rPr>
          <w:rFonts w:ascii="Cambria" w:hAnsi="Cambria"/>
          <w:sz w:val="20"/>
          <w:szCs w:val="20"/>
          <w:bdr w:val="none" w:sz="0" w:space="0" w:color="auto"/>
          <w:vertAlign w:val="superscript"/>
          <w:lang w:val="es-AR"/>
        </w:rPr>
        <w:footnoteReference w:id="98"/>
      </w:r>
      <w:r w:rsidR="00141089" w:rsidRPr="00374A7E">
        <w:rPr>
          <w:rFonts w:ascii="Cambria" w:hAnsi="Cambria"/>
          <w:sz w:val="20"/>
          <w:szCs w:val="20"/>
          <w:bdr w:val="none" w:sz="0" w:space="0" w:color="auto"/>
          <w:lang w:val="es-AR"/>
        </w:rPr>
        <w:t xml:space="preserve">. </w:t>
      </w:r>
    </w:p>
    <w:p w14:paraId="2FE7D522" w14:textId="77777777" w:rsidR="00780D45" w:rsidRPr="00374A7E" w:rsidRDefault="00780D45" w:rsidP="00780D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lang w:val="es-AR"/>
        </w:rPr>
      </w:pPr>
    </w:p>
    <w:p w14:paraId="379D86A0" w14:textId="037AA708" w:rsidR="00141089" w:rsidRPr="000D7953" w:rsidRDefault="00141089" w:rsidP="007C4A0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sidRPr="00374A7E">
        <w:rPr>
          <w:rFonts w:ascii="Cambria" w:hAnsi="Cambria"/>
          <w:sz w:val="20"/>
          <w:szCs w:val="20"/>
          <w:bdr w:val="none" w:sz="0" w:space="0" w:color="auto"/>
          <w:lang w:val="es-AR"/>
        </w:rPr>
        <w:t>La Corte enfatizó que “corresponde a las autoridades estatales que toman conocimiento de la situación de riesgo especial, identificar o valorar si la persona objeto de amenazas y hostigamientos requiere de medidas de protección o remitir a la autoridad competente para hacerlo, así como ofrecer a la persona en riesgo información oportuna sobre las medidas disponibles</w:t>
      </w:r>
      <w:r w:rsidR="0062429E" w:rsidRPr="00374A7E">
        <w:rPr>
          <w:rFonts w:ascii="Cambria" w:hAnsi="Cambria"/>
          <w:sz w:val="20"/>
          <w:szCs w:val="20"/>
          <w:bdr w:val="none" w:sz="0" w:space="0" w:color="auto"/>
          <w:lang w:val="es-AR"/>
        </w:rPr>
        <w:t xml:space="preserve">. </w:t>
      </w:r>
      <w:r w:rsidR="0062429E" w:rsidRPr="00374A7E">
        <w:rPr>
          <w:rFonts w:ascii="Cambria" w:hAnsi="Cambria"/>
          <w:sz w:val="20"/>
          <w:szCs w:val="20"/>
          <w:lang w:val="es-CR"/>
        </w:rPr>
        <w:t>La valoración sobre si una persona requiere medidas de protección y cuáles son las medidas adecuadas es una obligación que corresponde al Estado y no puede restringirse a que la propia víctima lo solicite a “las autoridades competentes”, ni que conozca con exactitud cuál es la autoridad en mejor capacidad de atender su situación, ya que corresponde al Estado establecer medidas de coordinación entre sus entidades y funcionarios para tal fin</w:t>
      </w:r>
      <w:r w:rsidRPr="00374A7E">
        <w:rPr>
          <w:rFonts w:ascii="Cambria" w:hAnsi="Cambria"/>
          <w:sz w:val="20"/>
          <w:szCs w:val="20"/>
          <w:bdr w:val="none" w:sz="0" w:space="0" w:color="auto"/>
          <w:lang w:val="es-AR"/>
        </w:rPr>
        <w:t>”</w:t>
      </w:r>
      <w:r w:rsidRPr="00374A7E">
        <w:rPr>
          <w:rFonts w:ascii="Cambria" w:hAnsi="Cambria"/>
          <w:sz w:val="20"/>
          <w:szCs w:val="20"/>
          <w:bdr w:val="none" w:sz="0" w:space="0" w:color="auto"/>
          <w:vertAlign w:val="superscript"/>
          <w:lang w:val="es-AR"/>
        </w:rPr>
        <w:footnoteReference w:id="99"/>
      </w:r>
      <w:r w:rsidRPr="00374A7E">
        <w:rPr>
          <w:rFonts w:ascii="Cambria" w:hAnsi="Cambria"/>
          <w:sz w:val="20"/>
          <w:szCs w:val="20"/>
          <w:bdr w:val="none" w:sz="0" w:space="0" w:color="auto"/>
          <w:lang w:val="es-AR"/>
        </w:rPr>
        <w:t xml:space="preserve">. </w:t>
      </w:r>
    </w:p>
    <w:p w14:paraId="13668B77" w14:textId="77777777" w:rsidR="001A17E7" w:rsidRPr="00245CAB" w:rsidRDefault="001A17E7" w:rsidP="000D79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lang w:val="es-AR"/>
        </w:rPr>
      </w:pPr>
    </w:p>
    <w:p w14:paraId="04692AF1" w14:textId="55652ADB" w:rsidR="00374A7E" w:rsidRPr="00466196" w:rsidRDefault="00141089"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sidRPr="00374A7E">
        <w:rPr>
          <w:rFonts w:ascii="Cambria" w:hAnsi="Cambria"/>
          <w:sz w:val="20"/>
          <w:szCs w:val="20"/>
          <w:bdr w:val="none" w:sz="0" w:space="0" w:color="auto"/>
          <w:lang w:val="es-AR"/>
        </w:rPr>
        <w:t xml:space="preserve">Los Estados no sólo tienen la obligación de proteger a periodistas en riesgo, sino que deben garantizar que las medidas de protección adoptadas sean efectivas y adecuadas. En ese sentido, cuando se adoptan medidas para proteger a un periodista frente a una amenaza creíble de daño contra su integridad física, estas </w:t>
      </w:r>
      <w:r w:rsidRPr="00466196">
        <w:rPr>
          <w:rFonts w:ascii="Cambria" w:hAnsi="Cambria"/>
          <w:sz w:val="20"/>
          <w:szCs w:val="20"/>
          <w:bdr w:val="none" w:sz="0" w:space="0" w:color="auto"/>
          <w:lang w:val="es-AR"/>
        </w:rPr>
        <w:t>medidas deberían tener en cuenta las necesidades propias de la profesión de la persona beneficiaria, su género y otras circunstancias individuales</w:t>
      </w:r>
      <w:r w:rsidRPr="00466196">
        <w:rPr>
          <w:rFonts w:ascii="Cambria" w:hAnsi="Cambria"/>
          <w:sz w:val="20"/>
          <w:szCs w:val="20"/>
          <w:bdr w:val="none" w:sz="0" w:space="0" w:color="auto"/>
          <w:vertAlign w:val="superscript"/>
          <w:lang w:val="es-AR"/>
        </w:rPr>
        <w:footnoteReference w:id="100"/>
      </w:r>
      <w:r w:rsidRPr="00466196">
        <w:rPr>
          <w:rFonts w:ascii="Cambria" w:hAnsi="Cambria"/>
          <w:sz w:val="20"/>
          <w:szCs w:val="20"/>
          <w:bdr w:val="none" w:sz="0" w:space="0" w:color="auto"/>
          <w:lang w:val="es-AR"/>
        </w:rPr>
        <w:t>.</w:t>
      </w:r>
    </w:p>
    <w:p w14:paraId="252A09F2" w14:textId="77777777" w:rsidR="00DC0D2D" w:rsidRPr="00466196" w:rsidRDefault="00DC0D2D" w:rsidP="00DC0D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lang w:val="es-AR"/>
        </w:rPr>
      </w:pPr>
    </w:p>
    <w:p w14:paraId="69F4AA71" w14:textId="3E56B3FB" w:rsidR="003D190E" w:rsidRPr="00466196" w:rsidRDefault="00374A7E"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sidRPr="00466196">
        <w:rPr>
          <w:rFonts w:ascii="Cambria" w:hAnsi="Cambria"/>
          <w:color w:val="000000"/>
          <w:sz w:val="20"/>
          <w:szCs w:val="20"/>
          <w:bdr w:val="none" w:sz="0" w:space="0" w:color="auto"/>
          <w:lang w:val="es-AR"/>
        </w:rPr>
        <w:t xml:space="preserve">Por otro lado, la </w:t>
      </w:r>
      <w:r w:rsidR="00674307" w:rsidRPr="00466196">
        <w:rPr>
          <w:rFonts w:ascii="Cambria" w:hAnsi="Cambria"/>
          <w:color w:val="000000"/>
          <w:sz w:val="20"/>
          <w:szCs w:val="20"/>
          <w:bdr w:val="none" w:sz="0" w:space="0" w:color="auto"/>
          <w:lang w:val="es-AR"/>
        </w:rPr>
        <w:t xml:space="preserve">Corte ha establecido que la </w:t>
      </w:r>
      <w:r w:rsidR="00674307" w:rsidRPr="00466196">
        <w:rPr>
          <w:rFonts w:ascii="Cambria" w:hAnsi="Cambria"/>
          <w:sz w:val="20"/>
          <w:szCs w:val="20"/>
          <w:lang w:val="es-PE"/>
        </w:rPr>
        <w:t>obligación de garantizar el derecho a la vida presupone, además, el deber de los Estados de prevenir las violaciones a dicho derecho. Este deber de prevención abarca todas aquellas medidas de carácter jurídico, político, administrativo y cultural que promuevan la salvaguarda de los derechos humanos</w:t>
      </w:r>
      <w:r w:rsidR="00370AEB" w:rsidRPr="00466196">
        <w:rPr>
          <w:rStyle w:val="FootnoteReference"/>
          <w:rFonts w:ascii="Cambria" w:hAnsi="Cambria"/>
          <w:sz w:val="20"/>
          <w:szCs w:val="20"/>
          <w:lang w:val="es-PE"/>
        </w:rPr>
        <w:footnoteReference w:id="101"/>
      </w:r>
      <w:r w:rsidR="00600E84" w:rsidRPr="00466196">
        <w:rPr>
          <w:rFonts w:ascii="Cambria" w:hAnsi="Cambria"/>
          <w:sz w:val="20"/>
          <w:szCs w:val="20"/>
          <w:lang w:val="es-PE"/>
        </w:rPr>
        <w:t xml:space="preserve">. </w:t>
      </w:r>
      <w:r w:rsidR="001C202E" w:rsidRPr="00466196">
        <w:rPr>
          <w:rFonts w:ascii="Cambria" w:hAnsi="Cambria"/>
          <w:sz w:val="20"/>
          <w:szCs w:val="20"/>
          <w:lang w:val="es-PE"/>
        </w:rPr>
        <w:t xml:space="preserve">En este sentido, </w:t>
      </w:r>
      <w:r w:rsidR="00071B38">
        <w:rPr>
          <w:rFonts w:ascii="Cambria" w:hAnsi="Cambria"/>
          <w:sz w:val="20"/>
          <w:szCs w:val="20"/>
          <w:lang w:val="es-PE"/>
        </w:rPr>
        <w:t xml:space="preserve">la </w:t>
      </w:r>
      <w:r w:rsidRPr="00466196">
        <w:rPr>
          <w:rFonts w:ascii="Cambria" w:hAnsi="Cambria"/>
          <w:color w:val="000000"/>
          <w:sz w:val="20"/>
          <w:szCs w:val="20"/>
          <w:bdr w:val="none" w:sz="0" w:space="0" w:color="auto"/>
          <w:lang w:val="es-AR"/>
        </w:rPr>
        <w:t xml:space="preserve">CIDH ha establecido que </w:t>
      </w:r>
      <w:r w:rsidR="00CC4BD1" w:rsidRPr="00466196">
        <w:rPr>
          <w:rFonts w:ascii="Cambria" w:hAnsi="Cambria"/>
          <w:sz w:val="20"/>
          <w:szCs w:val="20"/>
          <w:lang w:val="es-PE"/>
        </w:rPr>
        <w:t>se necesitan mecanismos de prevención y medidas para resolver algunas de las causas profundas de la violencia contra los periodistas y de la impunidad</w:t>
      </w:r>
      <w:r w:rsidR="000B7986" w:rsidRPr="00466196">
        <w:rPr>
          <w:rFonts w:ascii="Cambria" w:hAnsi="Cambria"/>
          <w:sz w:val="20"/>
          <w:szCs w:val="20"/>
          <w:lang w:val="es-PE"/>
        </w:rPr>
        <w:t xml:space="preserve"> y ha destacado la importancia del est</w:t>
      </w:r>
      <w:r w:rsidR="00DF314D" w:rsidRPr="00466196">
        <w:rPr>
          <w:rFonts w:ascii="Cambria" w:hAnsi="Cambria"/>
          <w:sz w:val="20"/>
          <w:szCs w:val="20"/>
          <w:lang w:val="es-PE"/>
        </w:rPr>
        <w:t xml:space="preserve">ablecimiento de programas especiales de protección para periodistas, en particular en zonas </w:t>
      </w:r>
      <w:r w:rsidR="005B31D6" w:rsidRPr="00466196">
        <w:rPr>
          <w:rFonts w:ascii="Cambria" w:hAnsi="Cambria"/>
          <w:sz w:val="20"/>
          <w:szCs w:val="20"/>
          <w:lang w:val="es-PE"/>
        </w:rPr>
        <w:t>donde existen situaciones graves de violencia contra estos grupos</w:t>
      </w:r>
      <w:r w:rsidR="00D6277E">
        <w:rPr>
          <w:rStyle w:val="FootnoteReference"/>
          <w:rFonts w:ascii="Cambria" w:hAnsi="Cambria"/>
          <w:sz w:val="20"/>
          <w:szCs w:val="20"/>
          <w:lang w:val="es-PE"/>
        </w:rPr>
        <w:footnoteReference w:id="102"/>
      </w:r>
      <w:r w:rsidR="00CF561A" w:rsidRPr="00466196">
        <w:rPr>
          <w:rFonts w:ascii="Cambria" w:hAnsi="Cambria"/>
          <w:sz w:val="20"/>
          <w:szCs w:val="20"/>
          <w:lang w:val="es-PE"/>
        </w:rPr>
        <w:t xml:space="preserve">. </w:t>
      </w:r>
    </w:p>
    <w:p w14:paraId="519CBFB6" w14:textId="77777777" w:rsidR="004110D5" w:rsidRPr="004110D5" w:rsidRDefault="004110D5" w:rsidP="004110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highlight w:val="green"/>
          <w:bdr w:val="none" w:sz="0" w:space="0" w:color="auto"/>
          <w:lang w:val="es-AR"/>
        </w:rPr>
      </w:pPr>
    </w:p>
    <w:p w14:paraId="33EC03EE" w14:textId="1E064231" w:rsidR="00F1184E" w:rsidRPr="008965C4" w:rsidRDefault="00037C87" w:rsidP="00C870C0">
      <w:pPr>
        <w:pStyle w:val="Heading3"/>
        <w:numPr>
          <w:ilvl w:val="0"/>
          <w:numId w:val="56"/>
        </w:numPr>
        <w:ind w:hanging="720"/>
      </w:pPr>
      <w:bookmarkStart w:id="36" w:name="_Toc47965331"/>
      <w:r w:rsidRPr="008965C4">
        <w:t>Consideraciones generales s</w:t>
      </w:r>
      <w:r w:rsidR="007C748C" w:rsidRPr="008965C4">
        <w:t xml:space="preserve">obre el deber de </w:t>
      </w:r>
      <w:r w:rsidR="00F1184E" w:rsidRPr="008965C4">
        <w:t xml:space="preserve">investigar crímenes contra periodistas por el ejercicio de </w:t>
      </w:r>
      <w:r w:rsidR="00AC4CD7" w:rsidRPr="008965C4">
        <w:t>su derecho a la</w:t>
      </w:r>
      <w:r w:rsidR="00F1184E" w:rsidRPr="008965C4">
        <w:t xml:space="preserve"> libertad de expresión</w:t>
      </w:r>
      <w:bookmarkEnd w:id="36"/>
    </w:p>
    <w:p w14:paraId="7663CFBE" w14:textId="77777777" w:rsidR="00090E71" w:rsidRPr="008965C4" w:rsidRDefault="00090E71" w:rsidP="00090E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2D6C4CC6" w14:textId="035E9E51" w:rsidR="004070BC" w:rsidRPr="008965C4" w:rsidRDefault="004070B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sz w:val="20"/>
          <w:szCs w:val="20"/>
          <w:lang w:val="es-US"/>
        </w:rPr>
        <w:t>La</w:t>
      </w:r>
      <w:r w:rsidRPr="008965C4">
        <w:rPr>
          <w:rFonts w:ascii="Cambria" w:hAnsi="Cambria"/>
          <w:sz w:val="20"/>
          <w:szCs w:val="20"/>
          <w:lang w:val="es-ES"/>
        </w:rPr>
        <w:t xml:space="preserve"> Corte ha establecido que, de conformidad con los artículos 8.1 y 25.1 de la Convención Americana, los Estados </w:t>
      </w:r>
      <w:r w:rsidRPr="008965C4">
        <w:rPr>
          <w:rFonts w:ascii="Cambria" w:eastAsia="Times New Roman" w:hAnsi="Cambria" w:cs="Cambria"/>
          <w:sz w:val="20"/>
          <w:szCs w:val="20"/>
          <w:u w:color="000000"/>
          <w:lang w:val="es-ES" w:eastAsia="es-ES"/>
        </w:rPr>
        <w:t>están</w:t>
      </w:r>
      <w:r w:rsidRPr="008965C4">
        <w:rPr>
          <w:rFonts w:ascii="Cambria" w:hAnsi="Cambria"/>
          <w:sz w:val="20"/>
          <w:szCs w:val="20"/>
          <w:lang w:val="es-ES"/>
        </w:rPr>
        <w:t xml:space="preserve"> obligados a suministrar recursos judiciales efectivos a las víctimas de violaciones de los derechos humanos</w:t>
      </w:r>
      <w:r w:rsidRPr="008965C4">
        <w:rPr>
          <w:rStyle w:val="FootnoteReference"/>
          <w:rFonts w:ascii="Cambria" w:hAnsi="Cambria"/>
          <w:sz w:val="20"/>
          <w:szCs w:val="20"/>
          <w:lang w:val="es-ES"/>
        </w:rPr>
        <w:footnoteReference w:id="103"/>
      </w:r>
      <w:r w:rsidRPr="008965C4">
        <w:rPr>
          <w:rFonts w:ascii="Cambria" w:hAnsi="Cambria"/>
          <w:sz w:val="20"/>
          <w:szCs w:val="20"/>
          <w:lang w:val="es-ES"/>
        </w:rPr>
        <w:t>. Dichos recursos deben ser sustanciados de conformidad con las reglas del debido proceso legal</w:t>
      </w:r>
      <w:r w:rsidRPr="008965C4">
        <w:rPr>
          <w:rStyle w:val="FootnoteReference"/>
          <w:rFonts w:ascii="Cambria" w:hAnsi="Cambria"/>
          <w:sz w:val="20"/>
          <w:szCs w:val="20"/>
          <w:lang w:val="es-ES"/>
        </w:rPr>
        <w:footnoteReference w:id="104"/>
      </w:r>
      <w:r w:rsidRPr="008965C4">
        <w:rPr>
          <w:rFonts w:ascii="Cambria" w:hAnsi="Cambria"/>
          <w:sz w:val="20"/>
          <w:szCs w:val="20"/>
          <w:lang w:val="es-ES"/>
        </w:rPr>
        <w:t xml:space="preserve">. Asimismo, la Corte ha señalado que el derecho de acceso a la justicia debe asegurar, en </w:t>
      </w:r>
      <w:r w:rsidR="000141DC">
        <w:rPr>
          <w:rFonts w:ascii="Cambria" w:hAnsi="Cambria"/>
          <w:sz w:val="20"/>
          <w:szCs w:val="20"/>
          <w:lang w:val="es-ES"/>
        </w:rPr>
        <w:t xml:space="preserve">un plazo </w:t>
      </w:r>
      <w:r w:rsidRPr="008965C4">
        <w:rPr>
          <w:rFonts w:ascii="Cambria" w:hAnsi="Cambria"/>
          <w:sz w:val="20"/>
          <w:szCs w:val="20"/>
          <w:lang w:val="es-ES"/>
        </w:rPr>
        <w:t>razonable, el derecho de las presuntas víctimas o sus familiares a que se haga todo lo necesario para conocer la verdad de lo sucedido e investigar, juzgar y, en su caso, sancionar a los eventuales responsables</w:t>
      </w:r>
      <w:r w:rsidRPr="008965C4">
        <w:rPr>
          <w:rStyle w:val="FootnoteReference"/>
          <w:rFonts w:ascii="Cambria" w:hAnsi="Cambria"/>
          <w:sz w:val="20"/>
          <w:szCs w:val="20"/>
          <w:lang w:val="es-ES"/>
        </w:rPr>
        <w:footnoteReference w:id="105"/>
      </w:r>
      <w:r w:rsidRPr="008965C4">
        <w:rPr>
          <w:rFonts w:ascii="Cambria" w:hAnsi="Cambria"/>
          <w:sz w:val="20"/>
          <w:szCs w:val="20"/>
          <w:lang w:val="es-ES"/>
        </w:rPr>
        <w:t>.</w:t>
      </w:r>
    </w:p>
    <w:p w14:paraId="0401C9F8" w14:textId="77777777" w:rsidR="004070BC" w:rsidRPr="008965C4" w:rsidRDefault="004070BC" w:rsidP="008965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5F21E211" w14:textId="6668F77F" w:rsidR="00CB0CCB" w:rsidRPr="008965C4" w:rsidRDefault="009D001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sz w:val="20"/>
          <w:szCs w:val="20"/>
          <w:lang w:val="es-US"/>
        </w:rPr>
        <w:lastRenderedPageBreak/>
        <w:t xml:space="preserve">La jurisprudencia ha sido clara en destacar que, a la luz del deber de investigar con debida diligencia “una vez que las autoridades estatales tengan conocimiento del hecho, deben iniciar </w:t>
      </w:r>
      <w:r w:rsidRPr="008965C4">
        <w:rPr>
          <w:rFonts w:ascii="Cambria" w:hAnsi="Cambria"/>
          <w:i/>
          <w:sz w:val="20"/>
          <w:szCs w:val="20"/>
          <w:lang w:val="es-US"/>
        </w:rPr>
        <w:t xml:space="preserve">ex officio </w:t>
      </w:r>
      <w:r w:rsidRPr="008965C4">
        <w:rPr>
          <w:rFonts w:ascii="Cambria" w:hAnsi="Cambria"/>
          <w:sz w:val="20"/>
          <w:szCs w:val="20"/>
          <w:lang w:val="es-US"/>
        </w:rPr>
        <w:t>y sin dilación, una investigación seria, imparcial y efectiva […] por todos los medios legales disponibles y orientada a la determinación de la verdad”</w:t>
      </w:r>
      <w:r w:rsidRPr="008965C4">
        <w:rPr>
          <w:rFonts w:ascii="Cambria" w:hAnsi="Cambria"/>
          <w:sz w:val="20"/>
          <w:szCs w:val="20"/>
          <w:vertAlign w:val="superscript"/>
        </w:rPr>
        <w:footnoteReference w:id="106"/>
      </w:r>
      <w:r w:rsidRPr="008965C4">
        <w:rPr>
          <w:rFonts w:ascii="Cambria" w:hAnsi="Cambria"/>
          <w:sz w:val="20"/>
          <w:szCs w:val="20"/>
          <w:lang w:val="es-US"/>
        </w:rPr>
        <w:t xml:space="preserve">. </w:t>
      </w:r>
      <w:r w:rsidR="00CB0CCB" w:rsidRPr="008965C4">
        <w:rPr>
          <w:rFonts w:ascii="Cambria" w:hAnsi="Cambria"/>
          <w:sz w:val="20"/>
          <w:szCs w:val="20"/>
          <w:lang w:val="es-CO"/>
        </w:rPr>
        <w:t xml:space="preserve">Tanto </w:t>
      </w:r>
      <w:r w:rsidR="00CB0CCB" w:rsidRPr="008965C4">
        <w:rPr>
          <w:rFonts w:ascii="Cambria" w:hAnsi="Cambria"/>
          <w:spacing w:val="-3"/>
          <w:sz w:val="20"/>
          <w:szCs w:val="20"/>
          <w:lang w:val="es-ES"/>
        </w:rPr>
        <w:t>la</w:t>
      </w:r>
      <w:r w:rsidR="00CB0CCB" w:rsidRPr="008965C4">
        <w:rPr>
          <w:rFonts w:ascii="Cambria" w:hAnsi="Cambria"/>
          <w:sz w:val="20"/>
          <w:szCs w:val="20"/>
          <w:lang w:val="es-CO"/>
        </w:rPr>
        <w:t xml:space="preserve"> Comisión como la Corte han señalado en su jurisprudencia reiterada que el deber de investigar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00CB0CCB" w:rsidRPr="008965C4">
        <w:rPr>
          <w:rStyle w:val="FootnoteReference"/>
          <w:rFonts w:ascii="Cambria" w:hAnsi="Cambria"/>
          <w:sz w:val="20"/>
          <w:szCs w:val="20"/>
        </w:rPr>
        <w:footnoteReference w:id="107"/>
      </w:r>
      <w:r w:rsidR="00CB0CCB" w:rsidRPr="008965C4">
        <w:rPr>
          <w:rFonts w:ascii="Cambria" w:hAnsi="Cambria"/>
          <w:sz w:val="20"/>
          <w:szCs w:val="20"/>
          <w:lang w:val="es-CO"/>
        </w:rPr>
        <w:t>.</w:t>
      </w:r>
    </w:p>
    <w:p w14:paraId="63EBA537" w14:textId="77777777" w:rsidR="00DB2850" w:rsidRPr="008965C4" w:rsidRDefault="00DB2850" w:rsidP="00E246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3903ACAD" w14:textId="4F865305" w:rsidR="009D0017" w:rsidRPr="008965C4" w:rsidRDefault="009D0017"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sz w:val="20"/>
          <w:szCs w:val="20"/>
          <w:lang w:val="es-US"/>
        </w:rPr>
        <w:t>Asimismo, es necesario tener presente que el deber de investigar se mantiene “cualquiera sea el agente al cual pueda eventualmente atribuirse la violación, aun los particulares, pues, si sus hechos no son investigados con seriedad, resultarían, en cierto modo, auxiliados por el poder público, lo que comprometería la responsabilidad internacional del Estado”</w:t>
      </w:r>
      <w:r w:rsidRPr="008965C4">
        <w:rPr>
          <w:rFonts w:ascii="Cambria" w:hAnsi="Cambria"/>
          <w:sz w:val="20"/>
          <w:szCs w:val="20"/>
          <w:vertAlign w:val="superscript"/>
        </w:rPr>
        <w:footnoteReference w:id="108"/>
      </w:r>
      <w:r w:rsidRPr="008965C4">
        <w:rPr>
          <w:rFonts w:ascii="Cambria" w:hAnsi="Cambria"/>
          <w:sz w:val="20"/>
          <w:szCs w:val="20"/>
          <w:lang w:val="es-US"/>
        </w:rPr>
        <w:t xml:space="preserve">. </w:t>
      </w:r>
    </w:p>
    <w:p w14:paraId="7CD85B35" w14:textId="77777777" w:rsidR="008965C4" w:rsidRDefault="008965C4" w:rsidP="00E246CF">
      <w:pPr>
        <w:pStyle w:val="ListParagraph"/>
        <w:spacing w:before="0" w:after="0"/>
        <w:rPr>
          <w:sz w:val="20"/>
          <w:szCs w:val="20"/>
          <w:lang w:val="es-PE"/>
        </w:rPr>
      </w:pPr>
    </w:p>
    <w:p w14:paraId="24815AEC" w14:textId="55A9CB13" w:rsidR="008C1951" w:rsidRPr="008965C4" w:rsidRDefault="008C195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sz w:val="20"/>
          <w:szCs w:val="20"/>
          <w:bdr w:val="none" w:sz="0" w:space="0" w:color="auto"/>
          <w:lang w:val="es-AR"/>
        </w:rPr>
        <w:t xml:space="preserve">Tanto la Comisión como la Corte se han referido al efecto amedrentador que los crímenes contra periodistas tienen para otros y otras profesionales de los medios de </w:t>
      </w:r>
      <w:r w:rsidR="00D64C70" w:rsidRPr="008965C4">
        <w:rPr>
          <w:rFonts w:ascii="Cambria" w:hAnsi="Cambria"/>
          <w:sz w:val="20"/>
          <w:szCs w:val="20"/>
          <w:bdr w:val="none" w:sz="0" w:space="0" w:color="auto"/>
          <w:lang w:val="es-AR"/>
        </w:rPr>
        <w:t>comunicación,</w:t>
      </w:r>
      <w:r w:rsidRPr="008965C4">
        <w:rPr>
          <w:rFonts w:ascii="Cambria" w:hAnsi="Cambria"/>
          <w:sz w:val="20"/>
          <w:szCs w:val="20"/>
          <w:bdr w:val="none" w:sz="0" w:space="0" w:color="auto"/>
          <w:lang w:val="es-AR"/>
        </w:rPr>
        <w:t xml:space="preserve"> así como para los y las ciudadanas que pretenden denunciar abusos de poder o actos ilícitos de cualquier naturaleza</w:t>
      </w:r>
      <w:r w:rsidRPr="008965C4">
        <w:rPr>
          <w:rFonts w:ascii="Cambria" w:hAnsi="Cambria"/>
          <w:sz w:val="20"/>
          <w:szCs w:val="20"/>
          <w:bdr w:val="none" w:sz="0" w:space="0" w:color="auto"/>
          <w:vertAlign w:val="superscript"/>
          <w:lang w:val="es-AR"/>
        </w:rPr>
        <w:footnoteReference w:id="109"/>
      </w:r>
      <w:r w:rsidRPr="008965C4">
        <w:rPr>
          <w:rFonts w:ascii="Cambria" w:hAnsi="Cambria"/>
          <w:sz w:val="20"/>
          <w:szCs w:val="20"/>
          <w:bdr w:val="none" w:sz="0" w:space="0" w:color="auto"/>
          <w:lang w:val="es-AR"/>
        </w:rPr>
        <w:t>. Este efecto amedrentador solamente podrá evitarse, “mediante la acción decisiva del Estado para castigar a quienes resulten responsables, tal como corresponde a su obligación bajo el derecho internacional y el derecho interno”</w:t>
      </w:r>
      <w:r w:rsidRPr="008965C4">
        <w:rPr>
          <w:rFonts w:ascii="Cambria" w:hAnsi="Cambria"/>
          <w:sz w:val="20"/>
          <w:szCs w:val="20"/>
          <w:bdr w:val="none" w:sz="0" w:space="0" w:color="auto"/>
          <w:vertAlign w:val="superscript"/>
          <w:lang w:val="es-AR"/>
        </w:rPr>
        <w:footnoteReference w:id="110"/>
      </w:r>
      <w:r w:rsidRPr="008965C4">
        <w:rPr>
          <w:rFonts w:ascii="Cambria" w:hAnsi="Cambria"/>
          <w:sz w:val="20"/>
          <w:szCs w:val="20"/>
          <w:bdr w:val="none" w:sz="0" w:space="0" w:color="auto"/>
          <w:lang w:val="es-AR"/>
        </w:rPr>
        <w:t>.</w:t>
      </w:r>
    </w:p>
    <w:p w14:paraId="62D2FE99" w14:textId="77777777" w:rsidR="008965C4" w:rsidRDefault="008965C4" w:rsidP="00E246CF">
      <w:pPr>
        <w:pStyle w:val="ListParagraph"/>
        <w:spacing w:before="0" w:after="0"/>
        <w:rPr>
          <w:sz w:val="20"/>
          <w:szCs w:val="20"/>
          <w:lang w:val="es-PE"/>
        </w:rPr>
      </w:pPr>
    </w:p>
    <w:p w14:paraId="6ED8EBDA" w14:textId="3D1FB344" w:rsidR="008C1951" w:rsidRPr="008965C4" w:rsidRDefault="008C1951"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sz w:val="20"/>
          <w:szCs w:val="20"/>
          <w:bdr w:val="none" w:sz="0" w:space="0" w:color="auto"/>
          <w:lang w:val="es-AR"/>
        </w:rPr>
        <w:t>La Corte ha señalado que la impunidad – entendida como la falta en su conjunto de investigación, persecución, captura, enjuiciamiento y condena – propicia la repetición crónica de violaciones de derechos humanos y la total indefensión de las víctimas y sus familiares</w:t>
      </w:r>
      <w:r w:rsidRPr="008965C4">
        <w:rPr>
          <w:rFonts w:ascii="Cambria" w:hAnsi="Cambria"/>
          <w:sz w:val="20"/>
          <w:szCs w:val="20"/>
          <w:bdr w:val="none" w:sz="0" w:space="0" w:color="auto"/>
          <w:vertAlign w:val="superscript"/>
          <w:lang w:val="es-AR"/>
        </w:rPr>
        <w:footnoteReference w:id="111"/>
      </w:r>
      <w:r w:rsidRPr="008965C4">
        <w:rPr>
          <w:rFonts w:ascii="Cambria" w:hAnsi="Cambria"/>
          <w:sz w:val="20"/>
          <w:szCs w:val="20"/>
          <w:bdr w:val="none" w:sz="0" w:space="0" w:color="auto"/>
          <w:lang w:val="es-AR"/>
        </w:rPr>
        <w:t>. Por su parte, la CIDH ha instado en reiteradas ocasiones a los Estados a “[r]ealizar investigaciones serias, imparciales y efectivas sobre los asesinatos, agresiones, amenazas y actos de intimidación cometidos contra periodistas y trabajadores de medios de comunicación social”</w:t>
      </w:r>
      <w:r w:rsidRPr="008965C4">
        <w:rPr>
          <w:rFonts w:ascii="Cambria" w:hAnsi="Cambria"/>
          <w:sz w:val="20"/>
          <w:szCs w:val="20"/>
          <w:bdr w:val="none" w:sz="0" w:space="0" w:color="auto"/>
          <w:vertAlign w:val="superscript"/>
          <w:lang w:val="es-AR"/>
        </w:rPr>
        <w:footnoteReference w:id="112"/>
      </w:r>
      <w:r w:rsidRPr="008965C4">
        <w:rPr>
          <w:rFonts w:ascii="Cambria" w:hAnsi="Cambria"/>
          <w:sz w:val="20"/>
          <w:szCs w:val="20"/>
          <w:bdr w:val="none" w:sz="0" w:space="0" w:color="auto"/>
          <w:lang w:val="es-AR"/>
        </w:rPr>
        <w:t xml:space="preserve">. </w:t>
      </w:r>
    </w:p>
    <w:p w14:paraId="124DDA0F" w14:textId="77777777" w:rsidR="008965C4" w:rsidRDefault="008965C4" w:rsidP="00E246CF">
      <w:pPr>
        <w:pStyle w:val="ListParagraph"/>
        <w:spacing w:before="0" w:after="0"/>
        <w:rPr>
          <w:sz w:val="20"/>
          <w:szCs w:val="20"/>
          <w:lang w:val="es-PE"/>
        </w:rPr>
      </w:pPr>
    </w:p>
    <w:p w14:paraId="3F869E81" w14:textId="741F3FD9" w:rsidR="00B44863" w:rsidRPr="00B5616B" w:rsidRDefault="00B44863"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8965C4">
        <w:rPr>
          <w:rFonts w:ascii="Cambria" w:hAnsi="Cambria"/>
          <w:bCs/>
          <w:sz w:val="20"/>
          <w:szCs w:val="20"/>
          <w:lang w:val="es-AR"/>
        </w:rPr>
        <w:t xml:space="preserve">En el cumplimiento de su obligación de investigar, </w:t>
      </w:r>
      <w:r w:rsidRPr="008965C4">
        <w:rPr>
          <w:rFonts w:ascii="Cambria" w:hAnsi="Cambria"/>
          <w:bCs/>
          <w:sz w:val="20"/>
          <w:szCs w:val="20"/>
          <w:lang w:val="es-CO"/>
        </w:rPr>
        <w:t>juzgar y, en su caso, sancionar los responsables por los hechos de violencia cometidos contra periodistas por el ejercicio de su derecho a la libertad de expresión, los Estados deben hacer hincapié de algunas obligaciones específicas, las cuales incluyen: (i)</w:t>
      </w:r>
      <w:r w:rsidRPr="008965C4">
        <w:rPr>
          <w:rFonts w:ascii="Cambria" w:hAnsi="Cambria"/>
          <w:bCs/>
          <w:sz w:val="20"/>
          <w:szCs w:val="20"/>
          <w:lang w:val="es-UY"/>
        </w:rPr>
        <w:t xml:space="preserve"> l</w:t>
      </w:r>
      <w:r w:rsidRPr="008965C4">
        <w:rPr>
          <w:rFonts w:ascii="Cambria" w:hAnsi="Cambria"/>
          <w:bCs/>
          <w:sz w:val="20"/>
          <w:szCs w:val="20"/>
          <w:lang w:val="es-AR"/>
        </w:rPr>
        <w:t>a obligación de adoptar un marco institucional adecuado que permita investigar, juzgar y sancionar de manera efectiva la violencia contra periodistas;</w:t>
      </w:r>
      <w:r w:rsidRPr="008965C4">
        <w:rPr>
          <w:rFonts w:ascii="Cambria" w:hAnsi="Cambria"/>
          <w:bCs/>
          <w:sz w:val="20"/>
          <w:szCs w:val="20"/>
          <w:lang w:val="es-UY"/>
        </w:rPr>
        <w:t xml:space="preserve"> (ii) l</w:t>
      </w:r>
      <w:r w:rsidRPr="008965C4">
        <w:rPr>
          <w:rFonts w:ascii="Cambria" w:hAnsi="Cambria"/>
          <w:bCs/>
          <w:sz w:val="20"/>
          <w:szCs w:val="20"/>
          <w:lang w:val="es-AR"/>
        </w:rPr>
        <w:t>a obligación de actuar con debida diligencia y agotar las líneas de investigación vinculadas con el ejercicio periodístico de la víctima</w:t>
      </w:r>
      <w:r w:rsidRPr="008965C4">
        <w:rPr>
          <w:rFonts w:ascii="Cambria" w:hAnsi="Cambria"/>
          <w:bCs/>
          <w:sz w:val="20"/>
          <w:szCs w:val="20"/>
          <w:lang w:val="es-UY"/>
        </w:rPr>
        <w:t xml:space="preserve">; (iii) </w:t>
      </w:r>
      <w:r w:rsidRPr="008965C4">
        <w:rPr>
          <w:rFonts w:ascii="Cambria" w:hAnsi="Cambria"/>
          <w:bCs/>
          <w:sz w:val="20"/>
          <w:szCs w:val="20"/>
          <w:lang w:val="es-AR"/>
        </w:rPr>
        <w:t xml:space="preserve">la obligación de efectuar investigaciones en un plazo </w:t>
      </w:r>
      <w:r w:rsidRPr="00B5616B">
        <w:rPr>
          <w:rFonts w:ascii="Cambria" w:hAnsi="Cambria"/>
          <w:bCs/>
          <w:sz w:val="20"/>
          <w:szCs w:val="20"/>
          <w:lang w:val="es-AR"/>
        </w:rPr>
        <w:t>razonable</w:t>
      </w:r>
      <w:r w:rsidR="00C068E7" w:rsidRPr="00B5616B">
        <w:rPr>
          <w:rFonts w:ascii="Cambria" w:hAnsi="Cambria"/>
          <w:bCs/>
          <w:sz w:val="20"/>
          <w:szCs w:val="20"/>
          <w:lang w:val="es-AR"/>
        </w:rPr>
        <w:t xml:space="preserve">; </w:t>
      </w:r>
      <w:r w:rsidRPr="00B5616B">
        <w:rPr>
          <w:rFonts w:ascii="Cambria" w:hAnsi="Cambria"/>
          <w:bCs/>
          <w:sz w:val="20"/>
          <w:szCs w:val="20"/>
          <w:lang w:val="es-UY"/>
        </w:rPr>
        <w:t xml:space="preserve">(iv) </w:t>
      </w:r>
      <w:r w:rsidR="00A82133" w:rsidRPr="00B5616B">
        <w:rPr>
          <w:rFonts w:ascii="Cambria" w:hAnsi="Cambria"/>
          <w:bCs/>
          <w:sz w:val="20"/>
          <w:szCs w:val="20"/>
          <w:lang w:val="es-UY"/>
        </w:rPr>
        <w:t>la obligación de rem</w:t>
      </w:r>
      <w:r w:rsidR="00B86F15" w:rsidRPr="00B5616B">
        <w:rPr>
          <w:rFonts w:ascii="Cambria" w:hAnsi="Cambria"/>
          <w:bCs/>
          <w:sz w:val="20"/>
          <w:szCs w:val="20"/>
          <w:lang w:val="es-UY"/>
        </w:rPr>
        <w:t>o</w:t>
      </w:r>
      <w:r w:rsidR="00A82133" w:rsidRPr="00B5616B">
        <w:rPr>
          <w:rFonts w:ascii="Cambria" w:hAnsi="Cambria"/>
          <w:bCs/>
          <w:sz w:val="20"/>
          <w:szCs w:val="20"/>
          <w:lang w:val="es-UY"/>
        </w:rPr>
        <w:t>ver los obstáculos legales a la investigación y sanción proporcionada y efectiva de los delitos más graves contra periodistas</w:t>
      </w:r>
      <w:r w:rsidR="00C068E7" w:rsidRPr="00B5616B">
        <w:rPr>
          <w:rFonts w:ascii="Cambria" w:hAnsi="Cambria"/>
          <w:bCs/>
          <w:sz w:val="20"/>
          <w:szCs w:val="20"/>
          <w:lang w:val="es-UY"/>
        </w:rPr>
        <w:t xml:space="preserve">, y (v) </w:t>
      </w:r>
      <w:r w:rsidRPr="00B5616B">
        <w:rPr>
          <w:rFonts w:ascii="Cambria" w:hAnsi="Cambria"/>
          <w:bCs/>
          <w:sz w:val="20"/>
          <w:szCs w:val="20"/>
          <w:lang w:val="es-AR"/>
        </w:rPr>
        <w:t>la obligación de facilitar la participación de las víctimas en las investigaciones</w:t>
      </w:r>
      <w:r w:rsidRPr="00B5616B">
        <w:rPr>
          <w:rFonts w:ascii="Cambria" w:hAnsi="Cambria"/>
          <w:bCs/>
          <w:sz w:val="20"/>
          <w:szCs w:val="20"/>
          <w:vertAlign w:val="superscript"/>
          <w:lang w:val="es-AR"/>
        </w:rPr>
        <w:footnoteReference w:id="113"/>
      </w:r>
      <w:r w:rsidRPr="00B5616B">
        <w:rPr>
          <w:rFonts w:ascii="Cambria" w:hAnsi="Cambria"/>
          <w:bCs/>
          <w:sz w:val="20"/>
          <w:szCs w:val="20"/>
          <w:lang w:val="es-AR"/>
        </w:rPr>
        <w:t>.</w:t>
      </w:r>
      <w:r w:rsidR="00B422DD" w:rsidRPr="00B5616B">
        <w:rPr>
          <w:rFonts w:ascii="Cambria" w:hAnsi="Cambria"/>
          <w:bCs/>
          <w:sz w:val="20"/>
          <w:szCs w:val="20"/>
          <w:lang w:val="es-AR"/>
        </w:rPr>
        <w:t xml:space="preserve"> A </w:t>
      </w:r>
      <w:r w:rsidR="00B86F15" w:rsidRPr="00B5616B">
        <w:rPr>
          <w:rFonts w:ascii="Cambria" w:hAnsi="Cambria"/>
          <w:bCs/>
          <w:sz w:val="20"/>
          <w:szCs w:val="20"/>
          <w:lang w:val="es-AR"/>
        </w:rPr>
        <w:t>continuación,</w:t>
      </w:r>
      <w:r w:rsidR="00B422DD" w:rsidRPr="00B5616B">
        <w:rPr>
          <w:rFonts w:ascii="Cambria" w:hAnsi="Cambria"/>
          <w:bCs/>
          <w:sz w:val="20"/>
          <w:szCs w:val="20"/>
          <w:lang w:val="es-AR"/>
        </w:rPr>
        <w:t xml:space="preserve"> la Comisión se referirá</w:t>
      </w:r>
      <w:r w:rsidR="002271F1" w:rsidRPr="00B5616B">
        <w:rPr>
          <w:rFonts w:ascii="Cambria" w:hAnsi="Cambria"/>
          <w:bCs/>
          <w:sz w:val="20"/>
          <w:szCs w:val="20"/>
          <w:lang w:val="es-AR"/>
        </w:rPr>
        <w:t xml:space="preserve"> a algunas de estas obligaciones de conformidad con los estándares establecidos en el sistema interamericano</w:t>
      </w:r>
      <w:r w:rsidR="00B86F15" w:rsidRPr="00B5616B">
        <w:rPr>
          <w:rFonts w:ascii="Cambria" w:hAnsi="Cambria"/>
          <w:bCs/>
          <w:sz w:val="20"/>
          <w:szCs w:val="20"/>
          <w:lang w:val="es-AR"/>
        </w:rPr>
        <w:t xml:space="preserve"> aplicables al presente caso.</w:t>
      </w:r>
    </w:p>
    <w:p w14:paraId="41E09E56" w14:textId="54294116" w:rsidR="00794C1F" w:rsidRPr="00B5616B" w:rsidRDefault="00794C1F" w:rsidP="00B5616B">
      <w:pPr>
        <w:pStyle w:val="ListParagraph"/>
        <w:spacing w:before="0" w:after="0"/>
        <w:rPr>
          <w:sz w:val="20"/>
          <w:szCs w:val="20"/>
          <w:lang w:val="es-US"/>
        </w:rPr>
      </w:pPr>
    </w:p>
    <w:p w14:paraId="4DB2D543" w14:textId="2588A166" w:rsidR="00FE0DE9" w:rsidRPr="00B5616B" w:rsidRDefault="00360539" w:rsidP="00B5616B">
      <w:pPr>
        <w:pStyle w:val="Heading4"/>
        <w:rPr>
          <w:szCs w:val="20"/>
        </w:rPr>
      </w:pPr>
      <w:r w:rsidRPr="00B5616B">
        <w:rPr>
          <w:szCs w:val="20"/>
        </w:rPr>
        <w:t xml:space="preserve">3.a. </w:t>
      </w:r>
      <w:r w:rsidR="00FE0DE9" w:rsidRPr="00B5616B">
        <w:rPr>
          <w:szCs w:val="20"/>
        </w:rPr>
        <w:t>Debida diligencia</w:t>
      </w:r>
      <w:r w:rsidR="00601BBA" w:rsidRPr="00B5616B">
        <w:rPr>
          <w:szCs w:val="20"/>
        </w:rPr>
        <w:t xml:space="preserve"> </w:t>
      </w:r>
      <w:r w:rsidR="00637167" w:rsidRPr="00B5616B">
        <w:rPr>
          <w:szCs w:val="20"/>
        </w:rPr>
        <w:t xml:space="preserve">en la recaudación de pruebas </w:t>
      </w:r>
    </w:p>
    <w:p w14:paraId="535DEA19" w14:textId="54EA9A05" w:rsidR="00FE0DE9" w:rsidRPr="00B5616B" w:rsidRDefault="00FE0DE9" w:rsidP="00B5616B">
      <w:pPr>
        <w:pStyle w:val="ListParagraph"/>
        <w:spacing w:before="0" w:after="0"/>
        <w:rPr>
          <w:sz w:val="20"/>
          <w:szCs w:val="20"/>
          <w:lang w:val="es-US"/>
        </w:rPr>
      </w:pPr>
    </w:p>
    <w:p w14:paraId="72E5ABF0" w14:textId="5FEC3D6D" w:rsidR="008255B9" w:rsidRPr="00B5616B" w:rsidRDefault="008255B9"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Cs/>
          <w:sz w:val="20"/>
          <w:szCs w:val="20"/>
          <w:lang w:val="es-US"/>
        </w:rPr>
      </w:pPr>
      <w:r w:rsidRPr="00B5616B">
        <w:rPr>
          <w:rFonts w:ascii="Cambria" w:hAnsi="Cambria"/>
          <w:bCs/>
          <w:sz w:val="20"/>
          <w:szCs w:val="20"/>
          <w:lang w:val="es-US"/>
        </w:rPr>
        <w:t xml:space="preserve">La CIDH reitera que la investigación de las violaciones perpetradas en este caso debía ser efectuada con el más estricto apego a la </w:t>
      </w:r>
      <w:r w:rsidRPr="00B5616B">
        <w:rPr>
          <w:rFonts w:ascii="Cambria" w:hAnsi="Cambria"/>
          <w:sz w:val="20"/>
          <w:szCs w:val="20"/>
          <w:lang w:val="es-ES"/>
        </w:rPr>
        <w:t>debida diligencia, dada la gravedad del delito y la naturaleza de los derechos lesionados – derechos a la vida y</w:t>
      </w:r>
      <w:r w:rsidRPr="00B5616B">
        <w:rPr>
          <w:rFonts w:ascii="Cambria" w:hAnsi="Cambria"/>
          <w:bCs/>
          <w:sz w:val="20"/>
          <w:szCs w:val="20"/>
          <w:lang w:val="es-US"/>
        </w:rPr>
        <w:t xml:space="preserve"> a la libertad de expresión – que representaron un claro mensaje intimidante para quienes ejerc</w:t>
      </w:r>
      <w:r w:rsidR="003406DA">
        <w:rPr>
          <w:rFonts w:ascii="Cambria" w:hAnsi="Cambria"/>
          <w:bCs/>
          <w:sz w:val="20"/>
          <w:szCs w:val="20"/>
          <w:lang w:val="es-US"/>
        </w:rPr>
        <w:t>ían</w:t>
      </w:r>
      <w:r w:rsidRPr="00B5616B">
        <w:rPr>
          <w:rFonts w:ascii="Cambria" w:hAnsi="Cambria"/>
          <w:bCs/>
          <w:sz w:val="20"/>
          <w:szCs w:val="20"/>
          <w:lang w:val="es-US"/>
        </w:rPr>
        <w:t xml:space="preserve"> el periodismo en la zona</w:t>
      </w:r>
      <w:r w:rsidR="0050781E" w:rsidRPr="00B5616B">
        <w:rPr>
          <w:rStyle w:val="FootnoteReference"/>
          <w:rFonts w:ascii="Cambria" w:hAnsi="Cambria"/>
          <w:bCs/>
          <w:sz w:val="20"/>
          <w:szCs w:val="20"/>
          <w:lang w:val="es-US"/>
        </w:rPr>
        <w:footnoteReference w:id="114"/>
      </w:r>
      <w:r w:rsidRPr="00B5616B">
        <w:rPr>
          <w:rFonts w:ascii="Cambria" w:hAnsi="Cambria"/>
          <w:bCs/>
          <w:sz w:val="20"/>
          <w:szCs w:val="20"/>
          <w:lang w:val="es-US"/>
        </w:rPr>
        <w:t xml:space="preserve">. </w:t>
      </w:r>
    </w:p>
    <w:p w14:paraId="727BCA51" w14:textId="77777777" w:rsidR="00AA17FE" w:rsidRPr="000D7953" w:rsidRDefault="00AA17FE" w:rsidP="00B5616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US"/>
        </w:rPr>
      </w:pPr>
    </w:p>
    <w:p w14:paraId="7060FC49" w14:textId="37B3498D" w:rsidR="00B54E4A" w:rsidRPr="00806344" w:rsidRDefault="00905E88"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39114E">
        <w:rPr>
          <w:rFonts w:ascii="Cambria" w:hAnsi="Cambria"/>
          <w:sz w:val="20"/>
          <w:szCs w:val="20"/>
          <w:lang w:val="es-PE"/>
        </w:rPr>
        <w:t>A este respecto, l</w:t>
      </w:r>
      <w:r w:rsidR="00FE0DE9" w:rsidRPr="0039114E">
        <w:rPr>
          <w:rFonts w:ascii="Cambria" w:hAnsi="Cambria"/>
          <w:sz w:val="20"/>
          <w:szCs w:val="20"/>
          <w:lang w:val="es-PE"/>
        </w:rPr>
        <w:t>a Corte ha señalado de forma constante que la eficiente determinación de la verdad en el marco de la obligación de investigar una muerte debe mostrarse desde las primeras diligencias con toda acuciosidad</w:t>
      </w:r>
      <w:r w:rsidR="00FE0DE9" w:rsidRPr="00B5616B">
        <w:rPr>
          <w:rStyle w:val="FootnoteReference"/>
          <w:rFonts w:ascii="Cambria" w:hAnsi="Cambria"/>
          <w:sz w:val="20"/>
          <w:szCs w:val="20"/>
        </w:rPr>
        <w:footnoteReference w:id="115"/>
      </w:r>
      <w:r w:rsidR="00FE0DE9" w:rsidRPr="0039114E">
        <w:rPr>
          <w:rFonts w:ascii="Cambria" w:hAnsi="Cambria"/>
          <w:sz w:val="20"/>
          <w:szCs w:val="20"/>
          <w:lang w:val="es-PE"/>
        </w:rPr>
        <w:t xml:space="preserve">. </w:t>
      </w:r>
      <w:r w:rsidR="00FE0DE9" w:rsidRPr="00806344">
        <w:rPr>
          <w:rFonts w:ascii="Cambria" w:hAnsi="Cambria"/>
          <w:sz w:val="20"/>
          <w:szCs w:val="20"/>
          <w:lang w:val="es-PE"/>
        </w:rPr>
        <w:t>En 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00FE0DE9" w:rsidRPr="00B5616B">
        <w:rPr>
          <w:rStyle w:val="FootnoteReference"/>
          <w:rFonts w:ascii="Cambria" w:hAnsi="Cambria"/>
          <w:sz w:val="20"/>
          <w:szCs w:val="20"/>
        </w:rPr>
        <w:footnoteReference w:id="116"/>
      </w:r>
      <w:r w:rsidR="00FE0DE9" w:rsidRPr="00806344">
        <w:rPr>
          <w:rFonts w:ascii="Cambria" w:hAnsi="Cambria"/>
          <w:sz w:val="20"/>
          <w:szCs w:val="20"/>
          <w:lang w:val="es-PE"/>
        </w:rPr>
        <w:t xml:space="preserve">. Conforme a lo anterior, </w:t>
      </w:r>
      <w:r w:rsidR="0023486C" w:rsidRPr="00806344">
        <w:rPr>
          <w:rFonts w:ascii="Cambria" w:hAnsi="Cambria"/>
          <w:sz w:val="20"/>
          <w:szCs w:val="20"/>
          <w:lang w:val="es-PE"/>
        </w:rPr>
        <w:t xml:space="preserve">la Corte, siguiendo </w:t>
      </w:r>
      <w:r w:rsidR="0023486C" w:rsidRPr="00B5616B">
        <w:rPr>
          <w:rFonts w:ascii="Cambria" w:hAnsi="Cambria"/>
          <w:sz w:val="20"/>
          <w:szCs w:val="20"/>
          <w:lang w:val="es-ES"/>
        </w:rPr>
        <w:t>los estándares del Protocolo de Minnesota</w:t>
      </w:r>
      <w:r w:rsidR="0023486C" w:rsidRPr="00B5616B">
        <w:rPr>
          <w:rStyle w:val="FootnoteReference"/>
          <w:rFonts w:ascii="Cambria" w:hAnsi="Cambria" w:cs="Verdana"/>
          <w:sz w:val="20"/>
          <w:szCs w:val="20"/>
          <w:lang w:val="es-ES"/>
        </w:rPr>
        <w:footnoteReference w:id="117"/>
      </w:r>
      <w:r w:rsidR="0023486C" w:rsidRPr="00B5616B">
        <w:rPr>
          <w:rFonts w:ascii="Cambria" w:hAnsi="Cambria"/>
          <w:sz w:val="20"/>
          <w:szCs w:val="20"/>
          <w:lang w:val="es-ES"/>
        </w:rPr>
        <w:t>,</w:t>
      </w:r>
      <w:r w:rsidR="0023486C" w:rsidRPr="00806344">
        <w:rPr>
          <w:rFonts w:ascii="Cambria" w:hAnsi="Cambria"/>
          <w:sz w:val="20"/>
          <w:szCs w:val="20"/>
          <w:lang w:val="es-PE"/>
        </w:rPr>
        <w:t xml:space="preserve"> </w:t>
      </w:r>
      <w:r w:rsidR="00FE0DE9" w:rsidRPr="00806344">
        <w:rPr>
          <w:rFonts w:ascii="Cambria" w:hAnsi="Cambria"/>
          <w:sz w:val="20"/>
          <w:szCs w:val="20"/>
          <w:lang w:val="es-PE"/>
        </w:rPr>
        <w:t xml:space="preserve">ha </w:t>
      </w:r>
      <w:r w:rsidR="00F51B82" w:rsidRPr="00B5616B">
        <w:rPr>
          <w:rFonts w:ascii="Cambria" w:hAnsi="Cambria" w:cs="Tahoma"/>
          <w:sz w:val="20"/>
          <w:szCs w:val="20"/>
          <w:lang w:val="es-MX"/>
        </w:rPr>
        <w:t xml:space="preserve">establecido algunas diligencias mínimas </w:t>
      </w:r>
      <w:r w:rsidR="00FE0DE9" w:rsidRPr="00806344">
        <w:rPr>
          <w:rFonts w:ascii="Cambria" w:hAnsi="Cambria"/>
          <w:sz w:val="20"/>
          <w:szCs w:val="20"/>
          <w:lang w:val="es-PE"/>
        </w:rPr>
        <w:t>que son precis</w:t>
      </w:r>
      <w:r w:rsidR="00284920" w:rsidRPr="00806344">
        <w:rPr>
          <w:rFonts w:ascii="Cambria" w:hAnsi="Cambria"/>
          <w:sz w:val="20"/>
          <w:szCs w:val="20"/>
          <w:lang w:val="es-PE"/>
        </w:rPr>
        <w:t>a</w:t>
      </w:r>
      <w:r w:rsidR="00FE0DE9" w:rsidRPr="00806344">
        <w:rPr>
          <w:rFonts w:ascii="Cambria" w:hAnsi="Cambria"/>
          <w:sz w:val="20"/>
          <w:szCs w:val="20"/>
          <w:lang w:val="es-PE"/>
        </w:rPr>
        <w:t>s observar en una investigación cuando se está frente a una muerte violenta,</w:t>
      </w:r>
      <w:r w:rsidR="00810D9B" w:rsidRPr="00806344">
        <w:rPr>
          <w:rFonts w:ascii="Cambria" w:hAnsi="Cambria"/>
          <w:sz w:val="20"/>
          <w:szCs w:val="20"/>
          <w:lang w:val="es-PE"/>
        </w:rPr>
        <w:t xml:space="preserve"> </w:t>
      </w:r>
      <w:r w:rsidR="00810D9B" w:rsidRPr="00B5616B">
        <w:rPr>
          <w:rFonts w:ascii="Cambria" w:hAnsi="Cambria"/>
          <w:sz w:val="20"/>
          <w:szCs w:val="20"/>
          <w:lang w:val="es-US"/>
        </w:rPr>
        <w:t>súbita, inesperada y sospechosa,</w:t>
      </w:r>
      <w:r w:rsidR="00FE0DE9" w:rsidRPr="00806344">
        <w:rPr>
          <w:rFonts w:ascii="Cambria" w:hAnsi="Cambria"/>
          <w:sz w:val="20"/>
          <w:szCs w:val="20"/>
          <w:lang w:val="es-PE"/>
        </w:rPr>
        <w:t xml:space="preserve"> como la ocurrida en el presente caso. Las autoridades estatales que conducen la investigación deben realizar como mínimo, </w:t>
      </w:r>
      <w:r w:rsidR="00FE0DE9" w:rsidRPr="00806344">
        <w:rPr>
          <w:rFonts w:ascii="Cambria" w:hAnsi="Cambria"/>
          <w:i/>
          <w:sz w:val="20"/>
          <w:szCs w:val="20"/>
          <w:lang w:val="es-PE"/>
        </w:rPr>
        <w:t>inter alia</w:t>
      </w:r>
      <w:r w:rsidR="00FE0DE9" w:rsidRPr="00806344">
        <w:rPr>
          <w:rFonts w:ascii="Cambria" w:hAnsi="Cambria"/>
          <w:sz w:val="20"/>
          <w:szCs w:val="20"/>
          <w:lang w:val="es-PE"/>
        </w:rPr>
        <w:t>: i) identificar a la víctima; ii) recuperar y preservar el material probatorio relacionado con la muerte; iii) identificar posibles testigos y obtener sus declaraciones en relación con la muerte que se investiga; iv) determinar la causa, forma, lugar y momento de la muerte, así como cualquier procedimiento o práctica que pueda haberla provocado, y v)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00FE0DE9" w:rsidRPr="00B5616B">
        <w:rPr>
          <w:rStyle w:val="FootnoteReference"/>
          <w:rFonts w:ascii="Cambria" w:hAnsi="Cambria"/>
          <w:sz w:val="20"/>
          <w:szCs w:val="20"/>
        </w:rPr>
        <w:footnoteReference w:id="118"/>
      </w:r>
      <w:r w:rsidR="00FE0DE9" w:rsidRPr="00806344">
        <w:rPr>
          <w:rFonts w:ascii="Cambria" w:hAnsi="Cambria"/>
          <w:sz w:val="20"/>
          <w:szCs w:val="20"/>
          <w:lang w:val="es-PE"/>
        </w:rPr>
        <w:t>.</w:t>
      </w:r>
    </w:p>
    <w:p w14:paraId="74196FF3" w14:textId="77777777" w:rsidR="004110D5" w:rsidRPr="00806344" w:rsidRDefault="004110D5" w:rsidP="004110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0BADFC6" w14:textId="132D9F8B" w:rsidR="00FE0DE9" w:rsidRPr="00806344" w:rsidRDefault="00FE0DE9"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B5616B">
        <w:rPr>
          <w:rFonts w:ascii="Cambria" w:hAnsi="Cambria"/>
          <w:bCs/>
          <w:sz w:val="20"/>
          <w:szCs w:val="20"/>
          <w:lang w:val="es-AR"/>
        </w:rPr>
        <w:t>Además, la Corte ha señalado a lo largo de su jurisprudencia, en relación con la escena del delito, que los</w:t>
      </w:r>
      <w:r w:rsidRPr="00B5616B">
        <w:rPr>
          <w:rFonts w:ascii="Cambria" w:hAnsi="Cambria"/>
          <w:sz w:val="20"/>
          <w:szCs w:val="20"/>
          <w:lang w:val="es-PE"/>
        </w:rPr>
        <w:t xml:space="preserve"> investigadores deben, como mínimo: i) fotografiar dicha escena, cualquier otra evidencia física y el cuerpo como se encontró y después de moverlo; ii) recoger y conservar todas las muestras de sangre, cabello, fibras, hilos u otras pistas; iii) examinar el área en busca de huellas de zapatos o cualquier otra que tenga naturaleza </w:t>
      </w:r>
      <w:r w:rsidRPr="00D34A0A">
        <w:rPr>
          <w:rFonts w:ascii="Cambria" w:hAnsi="Cambria"/>
          <w:sz w:val="20"/>
          <w:szCs w:val="20"/>
          <w:lang w:val="es-PE"/>
        </w:rPr>
        <w:t>de evidencia, y iv) hacer un informe detallando cualquier observación de la escena, las acciones de los investigadores y la disposición de toda la evidencia coleccionada</w:t>
      </w:r>
      <w:r w:rsidRPr="00D34A0A">
        <w:rPr>
          <w:rStyle w:val="FootnoteReference"/>
          <w:rFonts w:ascii="Cambria" w:hAnsi="Cambria"/>
          <w:sz w:val="20"/>
          <w:szCs w:val="20"/>
        </w:rPr>
        <w:footnoteReference w:id="119"/>
      </w:r>
      <w:r w:rsidRPr="00D34A0A">
        <w:rPr>
          <w:rFonts w:ascii="Cambria" w:hAnsi="Cambria"/>
          <w:sz w:val="20"/>
          <w:szCs w:val="20"/>
          <w:lang w:val="es-PE"/>
        </w:rPr>
        <w:t xml:space="preserve">. </w:t>
      </w:r>
      <w:r w:rsidRPr="00806344">
        <w:rPr>
          <w:rFonts w:ascii="Cambria" w:hAnsi="Cambria"/>
          <w:sz w:val="20"/>
          <w:szCs w:val="20"/>
          <w:lang w:val="es-PE"/>
        </w:rPr>
        <w:t>La Corte también ha establecido que al investigar una escena del delito esta se debe preservar con el fin de proteger toda evidencia</w:t>
      </w:r>
      <w:r w:rsidRPr="00D34A0A">
        <w:rPr>
          <w:rStyle w:val="FootnoteReference"/>
          <w:rFonts w:ascii="Cambria" w:hAnsi="Cambria"/>
          <w:sz w:val="20"/>
          <w:szCs w:val="20"/>
        </w:rPr>
        <w:footnoteReference w:id="120"/>
      </w:r>
      <w:r w:rsidRPr="00806344">
        <w:rPr>
          <w:rFonts w:ascii="Cambria" w:hAnsi="Cambria"/>
          <w:sz w:val="20"/>
          <w:szCs w:val="20"/>
          <w:lang w:val="es-PE"/>
        </w:rPr>
        <w:t>.</w:t>
      </w:r>
    </w:p>
    <w:p w14:paraId="7875E36D" w14:textId="77777777" w:rsidR="00C64E12" w:rsidRPr="00D34A0A" w:rsidRDefault="00C64E12" w:rsidP="00D34A0A">
      <w:pPr>
        <w:rPr>
          <w:rFonts w:ascii="Cambria" w:hAnsi="Cambria"/>
          <w:sz w:val="20"/>
          <w:szCs w:val="20"/>
          <w:lang w:val="es-US" w:eastAsia="es-CR"/>
        </w:rPr>
      </w:pPr>
    </w:p>
    <w:p w14:paraId="4723A2F5" w14:textId="38DC39CA" w:rsidR="00FE0DE9" w:rsidRPr="00D34A0A" w:rsidRDefault="008F7456" w:rsidP="00D34A0A">
      <w:pPr>
        <w:pStyle w:val="Heading4"/>
        <w:rPr>
          <w:szCs w:val="20"/>
        </w:rPr>
      </w:pPr>
      <w:r w:rsidRPr="00D34A0A">
        <w:rPr>
          <w:szCs w:val="20"/>
        </w:rPr>
        <w:t xml:space="preserve">3.b </w:t>
      </w:r>
      <w:r w:rsidR="00A17C5D" w:rsidRPr="00D34A0A">
        <w:rPr>
          <w:szCs w:val="20"/>
        </w:rPr>
        <w:t>L</w:t>
      </w:r>
      <w:r w:rsidR="00DF099B" w:rsidRPr="00D34A0A">
        <w:rPr>
          <w:szCs w:val="20"/>
        </w:rPr>
        <w:t>íneas de investigación</w:t>
      </w:r>
      <w:r w:rsidR="00A17C5D" w:rsidRPr="00D34A0A">
        <w:rPr>
          <w:szCs w:val="20"/>
        </w:rPr>
        <w:t xml:space="preserve"> </w:t>
      </w:r>
      <w:r w:rsidR="00943453" w:rsidRPr="00D34A0A">
        <w:rPr>
          <w:szCs w:val="20"/>
        </w:rPr>
        <w:t xml:space="preserve">y la determinación de los responsables </w:t>
      </w:r>
    </w:p>
    <w:p w14:paraId="73A1BC51" w14:textId="1EC269A3" w:rsidR="00AF630E" w:rsidRPr="00D34A0A" w:rsidRDefault="00AF630E" w:rsidP="00D34A0A">
      <w:pPr>
        <w:rPr>
          <w:rFonts w:ascii="Cambria" w:hAnsi="Cambria"/>
          <w:sz w:val="20"/>
          <w:szCs w:val="20"/>
          <w:lang w:val="es-PE"/>
        </w:rPr>
      </w:pPr>
    </w:p>
    <w:p w14:paraId="4B4F8B6A" w14:textId="068CCE7C" w:rsidR="00AF630E" w:rsidRDefault="00C21840" w:rsidP="0043281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Cs/>
          <w:sz w:val="20"/>
          <w:szCs w:val="20"/>
          <w:lang w:val="es-CO"/>
        </w:rPr>
      </w:pPr>
      <w:r w:rsidRPr="00732173">
        <w:rPr>
          <w:rFonts w:ascii="Cambria" w:hAnsi="Cambria"/>
          <w:bCs/>
          <w:sz w:val="20"/>
          <w:szCs w:val="20"/>
          <w:lang w:val="es-PE"/>
        </w:rPr>
        <w:t>E</w:t>
      </w:r>
      <w:r w:rsidR="00AF630E" w:rsidRPr="00732173">
        <w:rPr>
          <w:rFonts w:ascii="Cambria" w:hAnsi="Cambria"/>
          <w:bCs/>
          <w:sz w:val="20"/>
          <w:szCs w:val="20"/>
          <w:lang w:val="es-CO"/>
        </w:rPr>
        <w:t xml:space="preserve">n el caso de violencia contra periodistas, las investigaciones penales deben agotar las líneas vinculadas con el ejercicio periodístico. Al respecto, la Corte Interamericana ha señalado que, en el cumplimiento de sus obligaciones de investigación y protección, el Estado debe actuar de forma tal que tome en cuenta la </w:t>
      </w:r>
      <w:r w:rsidR="00AF630E" w:rsidRPr="00732173">
        <w:rPr>
          <w:rFonts w:ascii="Cambria" w:hAnsi="Cambria"/>
          <w:sz w:val="20"/>
          <w:szCs w:val="20"/>
          <w:lang w:val="es-ES"/>
        </w:rPr>
        <w:t>razonable</w:t>
      </w:r>
      <w:r w:rsidR="00AF630E" w:rsidRPr="00732173">
        <w:rPr>
          <w:rFonts w:ascii="Cambria" w:hAnsi="Cambria"/>
          <w:bCs/>
          <w:sz w:val="20"/>
          <w:szCs w:val="20"/>
          <w:lang w:val="es-CO"/>
        </w:rPr>
        <w:t xml:space="preserve"> conexión entre la agresión motivada por el ejercicio de la libertad de expresión con los actos de violencia perpetrados</w:t>
      </w:r>
      <w:r w:rsidR="00AF630E" w:rsidRPr="00D34A0A">
        <w:rPr>
          <w:rFonts w:ascii="Cambria" w:hAnsi="Cambria"/>
          <w:bCs/>
          <w:sz w:val="20"/>
          <w:szCs w:val="20"/>
          <w:vertAlign w:val="superscript"/>
        </w:rPr>
        <w:footnoteReference w:id="121"/>
      </w:r>
      <w:r w:rsidR="00AF630E" w:rsidRPr="00732173">
        <w:rPr>
          <w:rFonts w:ascii="Cambria" w:hAnsi="Cambria"/>
          <w:bCs/>
          <w:sz w:val="20"/>
          <w:szCs w:val="20"/>
          <w:lang w:val="es-CO"/>
        </w:rPr>
        <w:t>.</w:t>
      </w:r>
      <w:r w:rsidR="005B38F2" w:rsidRPr="00661B5B">
        <w:rPr>
          <w:rFonts w:ascii="Cambria" w:hAnsi="Cambria"/>
          <w:bCs/>
          <w:sz w:val="20"/>
          <w:szCs w:val="20"/>
          <w:lang w:val="es-CO"/>
        </w:rPr>
        <w:t xml:space="preserve"> </w:t>
      </w:r>
      <w:r w:rsidR="0054761F" w:rsidRPr="00661B5B">
        <w:rPr>
          <w:rFonts w:ascii="Cambria" w:hAnsi="Cambria"/>
          <w:bCs/>
          <w:sz w:val="20"/>
          <w:szCs w:val="20"/>
          <w:lang w:val="es-CO"/>
        </w:rPr>
        <w:t xml:space="preserve">Lo anterior es especialmente relevante en </w:t>
      </w:r>
      <w:r w:rsidR="00DC09A3" w:rsidRPr="008613A0">
        <w:rPr>
          <w:rFonts w:ascii="Cambria" w:hAnsi="Cambria"/>
          <w:bCs/>
          <w:sz w:val="20"/>
          <w:szCs w:val="20"/>
          <w:lang w:val="es-CO"/>
        </w:rPr>
        <w:t xml:space="preserve">casos en los que </w:t>
      </w:r>
      <w:r w:rsidR="00E54040" w:rsidRPr="008613A0">
        <w:rPr>
          <w:rFonts w:ascii="Cambria" w:hAnsi="Cambria"/>
          <w:bCs/>
          <w:sz w:val="20"/>
          <w:szCs w:val="20"/>
          <w:lang w:val="es-CO"/>
        </w:rPr>
        <w:t xml:space="preserve">periodistas </w:t>
      </w:r>
      <w:r w:rsidR="001C31E4" w:rsidRPr="0045629E">
        <w:rPr>
          <w:rFonts w:ascii="Cambria" w:hAnsi="Cambria"/>
          <w:bCs/>
          <w:sz w:val="20"/>
          <w:szCs w:val="20"/>
          <w:lang w:val="es-CO"/>
        </w:rPr>
        <w:t xml:space="preserve">reportan sobre hechos de elevado interés público </w:t>
      </w:r>
      <w:r w:rsidR="006F6CD9" w:rsidRPr="00F37DDA">
        <w:rPr>
          <w:rFonts w:ascii="Cambria" w:hAnsi="Cambria"/>
          <w:bCs/>
          <w:sz w:val="20"/>
          <w:szCs w:val="20"/>
          <w:lang w:val="es-CO"/>
        </w:rPr>
        <w:t xml:space="preserve">en los que están involucrados </w:t>
      </w:r>
      <w:r w:rsidR="007370DB" w:rsidRPr="00F37DDA">
        <w:rPr>
          <w:rFonts w:ascii="Cambria" w:hAnsi="Cambria"/>
          <w:bCs/>
          <w:sz w:val="20"/>
          <w:szCs w:val="20"/>
          <w:lang w:val="es-CO"/>
        </w:rPr>
        <w:t xml:space="preserve">presuntos grupos criminales </w:t>
      </w:r>
      <w:r w:rsidR="00732173" w:rsidRPr="00C07458">
        <w:rPr>
          <w:rFonts w:ascii="Cambria" w:hAnsi="Cambria"/>
          <w:bCs/>
          <w:sz w:val="20"/>
          <w:szCs w:val="20"/>
          <w:lang w:val="es-CO"/>
        </w:rPr>
        <w:t xml:space="preserve">con la alegada participación de agentes estatales, </w:t>
      </w:r>
      <w:r w:rsidR="00B46939" w:rsidRPr="00C07458">
        <w:rPr>
          <w:rFonts w:ascii="Cambria" w:hAnsi="Cambria"/>
          <w:bCs/>
          <w:sz w:val="20"/>
          <w:szCs w:val="20"/>
          <w:lang w:val="es-CO"/>
        </w:rPr>
        <w:t>en zonas peligrosas</w:t>
      </w:r>
      <w:r w:rsidR="000A7B44" w:rsidRPr="00C07458">
        <w:rPr>
          <w:rFonts w:ascii="Cambria" w:hAnsi="Cambria"/>
          <w:bCs/>
          <w:sz w:val="20"/>
          <w:szCs w:val="20"/>
          <w:lang w:val="es-CO"/>
        </w:rPr>
        <w:t xml:space="preserve">. La Comisión considera trascendental que </w:t>
      </w:r>
      <w:r w:rsidR="003A659C" w:rsidRPr="00B705B1">
        <w:rPr>
          <w:rFonts w:ascii="Cambria" w:hAnsi="Cambria"/>
          <w:bCs/>
          <w:sz w:val="20"/>
          <w:szCs w:val="20"/>
          <w:lang w:val="es-CO"/>
        </w:rPr>
        <w:t xml:space="preserve">los actos </w:t>
      </w:r>
      <w:r w:rsidR="00FC6A2A" w:rsidRPr="00DC3902">
        <w:rPr>
          <w:rFonts w:ascii="Cambria" w:hAnsi="Cambria"/>
          <w:bCs/>
          <w:sz w:val="20"/>
          <w:szCs w:val="20"/>
          <w:lang w:val="es-CO"/>
        </w:rPr>
        <w:t xml:space="preserve">de </w:t>
      </w:r>
      <w:r w:rsidR="00FC6A2A" w:rsidRPr="0096449B">
        <w:rPr>
          <w:rFonts w:ascii="Cambria" w:hAnsi="Cambria"/>
          <w:bCs/>
          <w:sz w:val="20"/>
          <w:szCs w:val="20"/>
          <w:lang w:val="es-CO"/>
        </w:rPr>
        <w:t>investigación</w:t>
      </w:r>
      <w:r w:rsidR="003A659C" w:rsidRPr="009313AF">
        <w:rPr>
          <w:rFonts w:ascii="Cambria" w:hAnsi="Cambria"/>
          <w:bCs/>
          <w:sz w:val="20"/>
          <w:szCs w:val="20"/>
          <w:lang w:val="es-CO"/>
        </w:rPr>
        <w:t xml:space="preserve"> estén</w:t>
      </w:r>
      <w:r w:rsidR="00FC6A2A" w:rsidRPr="009313AF">
        <w:rPr>
          <w:rFonts w:ascii="Cambria" w:hAnsi="Cambria"/>
          <w:bCs/>
          <w:sz w:val="20"/>
          <w:szCs w:val="20"/>
          <w:lang w:val="es-CO"/>
        </w:rPr>
        <w:t xml:space="preserve"> orientados a determinar </w:t>
      </w:r>
      <w:r w:rsidR="008725A7" w:rsidRPr="009313AF">
        <w:rPr>
          <w:rFonts w:ascii="Cambria" w:hAnsi="Cambria"/>
          <w:bCs/>
          <w:sz w:val="20"/>
          <w:szCs w:val="20"/>
          <w:lang w:val="es-CO"/>
        </w:rPr>
        <w:t>la verdad de los hechos y los respectivos responsables</w:t>
      </w:r>
      <w:r w:rsidR="000141DC">
        <w:rPr>
          <w:rFonts w:ascii="Cambria" w:hAnsi="Cambria"/>
          <w:bCs/>
          <w:sz w:val="20"/>
          <w:szCs w:val="20"/>
          <w:lang w:val="es-CO"/>
        </w:rPr>
        <w:t>. Para ello,</w:t>
      </w:r>
      <w:r w:rsidR="00262665">
        <w:rPr>
          <w:rFonts w:ascii="Cambria" w:hAnsi="Cambria"/>
          <w:bCs/>
          <w:sz w:val="20"/>
          <w:szCs w:val="20"/>
          <w:lang w:val="es-CO"/>
        </w:rPr>
        <w:t xml:space="preserve"> los Estados</w:t>
      </w:r>
      <w:r w:rsidR="007D330A" w:rsidRPr="009313AF">
        <w:rPr>
          <w:rFonts w:ascii="Cambria" w:hAnsi="Cambria"/>
          <w:bCs/>
          <w:sz w:val="20"/>
          <w:szCs w:val="20"/>
          <w:lang w:val="es-CO"/>
        </w:rPr>
        <w:t xml:space="preserve"> deberán</w:t>
      </w:r>
      <w:r w:rsidR="00262665">
        <w:rPr>
          <w:rFonts w:ascii="Cambria" w:hAnsi="Cambria"/>
          <w:bCs/>
          <w:sz w:val="20"/>
          <w:szCs w:val="20"/>
          <w:lang w:val="es-CO"/>
        </w:rPr>
        <w:t>,</w:t>
      </w:r>
      <w:r w:rsidR="003C2E27" w:rsidRPr="009313AF">
        <w:rPr>
          <w:rFonts w:ascii="Cambria" w:hAnsi="Cambria"/>
          <w:bCs/>
          <w:sz w:val="20"/>
          <w:szCs w:val="20"/>
          <w:lang w:val="es-CO"/>
        </w:rPr>
        <w:t xml:space="preserve"> como mínimo</w:t>
      </w:r>
      <w:r w:rsidR="00262665">
        <w:rPr>
          <w:rFonts w:ascii="Cambria" w:hAnsi="Cambria"/>
          <w:bCs/>
          <w:sz w:val="20"/>
          <w:szCs w:val="20"/>
          <w:lang w:val="es-CO"/>
        </w:rPr>
        <w:t>,</w:t>
      </w:r>
      <w:r w:rsidR="007D330A" w:rsidRPr="009313AF">
        <w:rPr>
          <w:rFonts w:ascii="Cambria" w:hAnsi="Cambria"/>
          <w:bCs/>
          <w:sz w:val="20"/>
          <w:szCs w:val="20"/>
          <w:lang w:val="es-CO"/>
        </w:rPr>
        <w:t xml:space="preserve"> hacer un estudio profundo y exhaustivo de</w:t>
      </w:r>
      <w:r w:rsidR="00D303E8" w:rsidRPr="009313AF">
        <w:rPr>
          <w:rFonts w:ascii="Cambria" w:hAnsi="Cambria"/>
          <w:bCs/>
          <w:sz w:val="20"/>
          <w:szCs w:val="20"/>
          <w:lang w:val="es-CO"/>
        </w:rPr>
        <w:t>l tipo de hechos</w:t>
      </w:r>
      <w:r w:rsidR="00262665">
        <w:rPr>
          <w:rFonts w:ascii="Cambria" w:hAnsi="Cambria"/>
          <w:bCs/>
          <w:sz w:val="20"/>
          <w:szCs w:val="20"/>
          <w:lang w:val="es-CO"/>
        </w:rPr>
        <w:t xml:space="preserve"> investigados</w:t>
      </w:r>
      <w:r w:rsidR="00321F32" w:rsidRPr="009313AF">
        <w:rPr>
          <w:rFonts w:ascii="Cambria" w:hAnsi="Cambria"/>
          <w:bCs/>
          <w:sz w:val="20"/>
          <w:szCs w:val="20"/>
          <w:lang w:val="es-CO"/>
        </w:rPr>
        <w:t xml:space="preserve">, </w:t>
      </w:r>
      <w:r w:rsidR="00262665">
        <w:rPr>
          <w:rFonts w:ascii="Cambria" w:hAnsi="Cambria"/>
          <w:bCs/>
          <w:sz w:val="20"/>
          <w:szCs w:val="20"/>
          <w:lang w:val="es-CO"/>
        </w:rPr>
        <w:t xml:space="preserve">y de las </w:t>
      </w:r>
      <w:r w:rsidR="00321F32" w:rsidRPr="009313AF">
        <w:rPr>
          <w:rFonts w:ascii="Cambria" w:hAnsi="Cambria"/>
          <w:bCs/>
          <w:sz w:val="20"/>
          <w:szCs w:val="20"/>
          <w:lang w:val="es-CO"/>
        </w:rPr>
        <w:t>opiniones o investigaciones</w:t>
      </w:r>
      <w:r w:rsidR="00A67BFB" w:rsidRPr="009313AF">
        <w:rPr>
          <w:rFonts w:ascii="Cambria" w:hAnsi="Cambria"/>
          <w:bCs/>
          <w:sz w:val="20"/>
          <w:szCs w:val="20"/>
          <w:lang w:val="es-CO"/>
        </w:rPr>
        <w:t xml:space="preserve"> periodísticas </w:t>
      </w:r>
      <w:r w:rsidR="00663D1C" w:rsidRPr="009313AF">
        <w:rPr>
          <w:rFonts w:ascii="Cambria" w:hAnsi="Cambria"/>
          <w:bCs/>
          <w:sz w:val="20"/>
          <w:szCs w:val="20"/>
          <w:lang w:val="es-CO"/>
        </w:rPr>
        <w:t>elaboradas por</w:t>
      </w:r>
      <w:r w:rsidR="00A67BFB" w:rsidRPr="009313AF">
        <w:rPr>
          <w:rFonts w:ascii="Cambria" w:hAnsi="Cambria"/>
          <w:bCs/>
          <w:sz w:val="20"/>
          <w:szCs w:val="20"/>
          <w:lang w:val="es-CO"/>
        </w:rPr>
        <w:t xml:space="preserve"> la víctima</w:t>
      </w:r>
      <w:r w:rsidR="00663D1C" w:rsidRPr="009313AF">
        <w:rPr>
          <w:rFonts w:ascii="Cambria" w:hAnsi="Cambria"/>
          <w:bCs/>
          <w:sz w:val="20"/>
          <w:szCs w:val="20"/>
          <w:lang w:val="es-CO"/>
        </w:rPr>
        <w:t xml:space="preserve"> dentro de un contexto </w:t>
      </w:r>
      <w:r w:rsidR="00663D1C" w:rsidRPr="009313AF">
        <w:rPr>
          <w:rFonts w:ascii="Cambria" w:hAnsi="Cambria"/>
          <w:bCs/>
          <w:sz w:val="20"/>
          <w:szCs w:val="20"/>
          <w:lang w:val="es-CO"/>
        </w:rPr>
        <w:lastRenderedPageBreak/>
        <w:t>en particular</w:t>
      </w:r>
      <w:r w:rsidR="009E7A47" w:rsidRPr="009313AF">
        <w:rPr>
          <w:rFonts w:ascii="Cambria" w:hAnsi="Cambria"/>
          <w:bCs/>
          <w:sz w:val="20"/>
          <w:szCs w:val="20"/>
          <w:lang w:val="es-CO"/>
        </w:rPr>
        <w:t>; deberán</w:t>
      </w:r>
      <w:r w:rsidR="004772ED" w:rsidRPr="009313AF">
        <w:rPr>
          <w:rFonts w:ascii="Cambria" w:hAnsi="Cambria"/>
          <w:bCs/>
          <w:sz w:val="20"/>
          <w:szCs w:val="20"/>
          <w:lang w:val="es-CO"/>
        </w:rPr>
        <w:t xml:space="preserve"> identificar a</w:t>
      </w:r>
      <w:r w:rsidR="00A67BFB" w:rsidRPr="009313AF">
        <w:rPr>
          <w:rFonts w:ascii="Cambria" w:hAnsi="Cambria"/>
          <w:bCs/>
          <w:sz w:val="20"/>
          <w:szCs w:val="20"/>
          <w:lang w:val="es-CO"/>
        </w:rPr>
        <w:t xml:space="preserve"> las personas que </w:t>
      </w:r>
      <w:r w:rsidR="00CA1738" w:rsidRPr="009313AF">
        <w:rPr>
          <w:rFonts w:ascii="Cambria" w:hAnsi="Cambria"/>
          <w:bCs/>
          <w:sz w:val="20"/>
          <w:szCs w:val="20"/>
          <w:lang w:val="es-CO"/>
        </w:rPr>
        <w:t>fueron</w:t>
      </w:r>
      <w:r w:rsidR="00A67BFB" w:rsidRPr="009313AF">
        <w:rPr>
          <w:rFonts w:ascii="Cambria" w:hAnsi="Cambria"/>
          <w:bCs/>
          <w:sz w:val="20"/>
          <w:szCs w:val="20"/>
          <w:lang w:val="es-CO"/>
        </w:rPr>
        <w:t xml:space="preserve"> denunciadas en </w:t>
      </w:r>
      <w:r w:rsidR="003C2E27" w:rsidRPr="009313AF">
        <w:rPr>
          <w:rFonts w:ascii="Cambria" w:hAnsi="Cambria"/>
          <w:bCs/>
          <w:sz w:val="20"/>
          <w:szCs w:val="20"/>
          <w:lang w:val="es-CO"/>
        </w:rPr>
        <w:t xml:space="preserve">aquellas </w:t>
      </w:r>
      <w:r w:rsidR="00B93E23" w:rsidRPr="009313AF">
        <w:rPr>
          <w:rFonts w:ascii="Cambria" w:hAnsi="Cambria"/>
          <w:bCs/>
          <w:sz w:val="20"/>
          <w:szCs w:val="20"/>
          <w:lang w:val="es-CO"/>
        </w:rPr>
        <w:t>investigaciones</w:t>
      </w:r>
      <w:r w:rsidR="00C83D0C" w:rsidRPr="009313AF">
        <w:rPr>
          <w:rFonts w:ascii="Cambria" w:hAnsi="Cambria"/>
          <w:bCs/>
          <w:sz w:val="20"/>
          <w:szCs w:val="20"/>
          <w:lang w:val="es-CO"/>
        </w:rPr>
        <w:t xml:space="preserve"> </w:t>
      </w:r>
      <w:r w:rsidR="003C2E27" w:rsidRPr="009313AF">
        <w:rPr>
          <w:rFonts w:ascii="Cambria" w:hAnsi="Cambria"/>
          <w:bCs/>
          <w:sz w:val="20"/>
          <w:szCs w:val="20"/>
          <w:lang w:val="es-CO"/>
        </w:rPr>
        <w:t xml:space="preserve">como punto de partida </w:t>
      </w:r>
      <w:r w:rsidR="00AF51B4" w:rsidRPr="009313AF">
        <w:rPr>
          <w:rFonts w:ascii="Cambria" w:hAnsi="Cambria"/>
          <w:bCs/>
          <w:sz w:val="20"/>
          <w:szCs w:val="20"/>
          <w:lang w:val="es-CO"/>
        </w:rPr>
        <w:t>para de</w:t>
      </w:r>
      <w:r w:rsidR="00E00491" w:rsidRPr="009313AF">
        <w:rPr>
          <w:rFonts w:ascii="Cambria" w:hAnsi="Cambria"/>
          <w:bCs/>
          <w:sz w:val="20"/>
          <w:szCs w:val="20"/>
          <w:lang w:val="es-CO"/>
        </w:rPr>
        <w:t xml:space="preserve">terminar a los presuntos responsables que </w:t>
      </w:r>
      <w:r w:rsidR="004D081D" w:rsidRPr="009313AF">
        <w:rPr>
          <w:rFonts w:ascii="Cambria" w:hAnsi="Cambria"/>
          <w:bCs/>
          <w:sz w:val="20"/>
          <w:szCs w:val="20"/>
          <w:lang w:val="es-CO"/>
        </w:rPr>
        <w:t xml:space="preserve">podrían </w:t>
      </w:r>
      <w:r w:rsidR="00B92280" w:rsidRPr="009313AF">
        <w:rPr>
          <w:rFonts w:ascii="Cambria" w:hAnsi="Cambria"/>
          <w:bCs/>
          <w:sz w:val="20"/>
          <w:szCs w:val="20"/>
          <w:lang w:val="es-CO"/>
        </w:rPr>
        <w:t>querer</w:t>
      </w:r>
      <w:r w:rsidR="00E00491" w:rsidRPr="009313AF">
        <w:rPr>
          <w:rFonts w:ascii="Cambria" w:hAnsi="Cambria"/>
          <w:bCs/>
          <w:sz w:val="20"/>
          <w:szCs w:val="20"/>
          <w:lang w:val="es-CO"/>
        </w:rPr>
        <w:t xml:space="preserve"> silenciar el trabajo periodístico</w:t>
      </w:r>
      <w:r w:rsidR="00DA7E31" w:rsidRPr="009313AF">
        <w:rPr>
          <w:rFonts w:ascii="Cambria" w:hAnsi="Cambria"/>
          <w:bCs/>
          <w:sz w:val="20"/>
          <w:szCs w:val="20"/>
          <w:lang w:val="es-CO"/>
        </w:rPr>
        <w:t xml:space="preserve">, </w:t>
      </w:r>
      <w:r w:rsidR="00A24CCD" w:rsidRPr="009313AF">
        <w:rPr>
          <w:rFonts w:ascii="Cambria" w:hAnsi="Cambria"/>
          <w:bCs/>
          <w:sz w:val="20"/>
          <w:szCs w:val="20"/>
          <w:lang w:val="es-CO"/>
        </w:rPr>
        <w:t xml:space="preserve">además de las que se deriven de la propia investigación, </w:t>
      </w:r>
      <w:r w:rsidR="00937B03" w:rsidRPr="009313AF">
        <w:rPr>
          <w:rFonts w:ascii="Cambria" w:hAnsi="Cambria"/>
          <w:bCs/>
          <w:sz w:val="20"/>
          <w:szCs w:val="20"/>
          <w:lang w:val="es-CO"/>
        </w:rPr>
        <w:t>así como</w:t>
      </w:r>
      <w:r w:rsidR="00262665">
        <w:rPr>
          <w:rFonts w:ascii="Cambria" w:hAnsi="Cambria"/>
          <w:bCs/>
          <w:sz w:val="20"/>
          <w:szCs w:val="20"/>
          <w:lang w:val="es-CO"/>
        </w:rPr>
        <w:t xml:space="preserve"> determinar</w:t>
      </w:r>
      <w:r w:rsidR="0011073B" w:rsidRPr="009313AF">
        <w:rPr>
          <w:rFonts w:ascii="Cambria" w:hAnsi="Cambria"/>
          <w:bCs/>
          <w:sz w:val="20"/>
          <w:szCs w:val="20"/>
          <w:lang w:val="es-CO"/>
        </w:rPr>
        <w:t xml:space="preserve"> </w:t>
      </w:r>
      <w:r w:rsidR="00DA7E31" w:rsidRPr="009313AF">
        <w:rPr>
          <w:rFonts w:ascii="Cambria" w:hAnsi="Cambria"/>
          <w:bCs/>
          <w:sz w:val="20"/>
          <w:szCs w:val="20"/>
          <w:lang w:val="es-CO"/>
        </w:rPr>
        <w:t>la existencia de amenazas previas</w:t>
      </w:r>
      <w:r w:rsidR="00661B5B" w:rsidRPr="009313AF">
        <w:rPr>
          <w:rFonts w:ascii="Cambria" w:hAnsi="Cambria"/>
          <w:bCs/>
          <w:sz w:val="20"/>
          <w:szCs w:val="20"/>
          <w:lang w:val="es-CO"/>
        </w:rPr>
        <w:t>,</w:t>
      </w:r>
      <w:r w:rsidR="00DA7E31" w:rsidRPr="009313AF">
        <w:rPr>
          <w:rFonts w:ascii="Cambria" w:hAnsi="Cambria"/>
          <w:bCs/>
          <w:sz w:val="20"/>
          <w:szCs w:val="20"/>
          <w:lang w:val="es-CO"/>
        </w:rPr>
        <w:t xml:space="preserve"> su origen</w:t>
      </w:r>
      <w:r w:rsidR="00937B03" w:rsidRPr="009313AF">
        <w:rPr>
          <w:rFonts w:ascii="Cambria" w:hAnsi="Cambria"/>
          <w:bCs/>
          <w:sz w:val="20"/>
          <w:szCs w:val="20"/>
          <w:lang w:val="es-CO"/>
        </w:rPr>
        <w:t xml:space="preserve"> y móvil.</w:t>
      </w:r>
    </w:p>
    <w:p w14:paraId="178F3A9E" w14:textId="77777777" w:rsidR="00432817" w:rsidRPr="0045629E" w:rsidRDefault="00432817" w:rsidP="00D34A0A">
      <w:pPr>
        <w:jc w:val="both"/>
        <w:rPr>
          <w:rFonts w:ascii="Cambria" w:hAnsi="Cambria"/>
          <w:bCs/>
          <w:sz w:val="20"/>
          <w:szCs w:val="20"/>
          <w:lang w:val="es-CO"/>
        </w:rPr>
      </w:pPr>
    </w:p>
    <w:p w14:paraId="36DA3E40" w14:textId="1098455C" w:rsidR="004E4E36" w:rsidRDefault="00AF630E" w:rsidP="007C4A0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Cs/>
          <w:sz w:val="20"/>
          <w:szCs w:val="20"/>
          <w:lang w:val="es-CO"/>
        </w:rPr>
      </w:pPr>
      <w:r w:rsidRPr="00C07458">
        <w:rPr>
          <w:rFonts w:ascii="Cambria" w:hAnsi="Cambria"/>
          <w:bCs/>
          <w:sz w:val="20"/>
          <w:szCs w:val="20"/>
          <w:lang w:val="es-CO"/>
        </w:rPr>
        <w:t>A su vez, bajo estos principios el Estado está obligado a investigar</w:t>
      </w:r>
      <w:r w:rsidR="00260512" w:rsidRPr="00C07458">
        <w:rPr>
          <w:rFonts w:ascii="Cambria" w:hAnsi="Cambria"/>
          <w:bCs/>
          <w:sz w:val="20"/>
          <w:szCs w:val="20"/>
          <w:lang w:val="es-CO"/>
        </w:rPr>
        <w:t>,</w:t>
      </w:r>
      <w:r w:rsidRPr="00C07458">
        <w:rPr>
          <w:rFonts w:ascii="Cambria" w:hAnsi="Cambria"/>
          <w:bCs/>
          <w:sz w:val="20"/>
          <w:szCs w:val="20"/>
          <w:lang w:val="es-CO"/>
        </w:rPr>
        <w:t xml:space="preserve"> </w:t>
      </w:r>
      <w:r w:rsidR="00260512" w:rsidRPr="00C07458">
        <w:rPr>
          <w:rFonts w:ascii="Cambria" w:hAnsi="Cambria"/>
          <w:sz w:val="20"/>
          <w:szCs w:val="20"/>
          <w:bdr w:val="none" w:sz="0" w:space="0" w:color="auto"/>
          <w:lang w:val="es-AR"/>
        </w:rPr>
        <w:t xml:space="preserve">identificar, juzgar </w:t>
      </w:r>
      <w:r w:rsidRPr="00C07458">
        <w:rPr>
          <w:rFonts w:ascii="Cambria" w:hAnsi="Cambria"/>
          <w:bCs/>
          <w:sz w:val="20"/>
          <w:szCs w:val="20"/>
          <w:lang w:val="es-CO"/>
        </w:rPr>
        <w:t xml:space="preserve">y, en su caso, sancionar a todos los autores de los delitos, incluidos los autores materiales, intelectuales, partícipes, colaboradores y los eventuales encubridores de las violaciones de derechos humanos cometidas. Debe, además, </w:t>
      </w:r>
      <w:r w:rsidRPr="0096449B">
        <w:rPr>
          <w:rFonts w:ascii="Cambria" w:hAnsi="Cambria"/>
          <w:bCs/>
          <w:sz w:val="20"/>
          <w:szCs w:val="20"/>
          <w:lang w:val="es-CO"/>
        </w:rPr>
        <w:t>investigar las estructuras de ejecución de los crímenes o estructuras criminales a las que pertenezcan los agresores</w:t>
      </w:r>
      <w:r w:rsidR="00CA7A52" w:rsidRPr="0045629E">
        <w:rPr>
          <w:rFonts w:ascii="Cambria" w:hAnsi="Cambria"/>
          <w:sz w:val="20"/>
          <w:szCs w:val="20"/>
          <w:bdr w:val="none" w:sz="0" w:space="0" w:color="auto"/>
          <w:vertAlign w:val="superscript"/>
          <w:lang w:val="es-AR"/>
        </w:rPr>
        <w:footnoteReference w:id="122"/>
      </w:r>
      <w:r w:rsidRPr="0045629E">
        <w:rPr>
          <w:rFonts w:ascii="Cambria" w:hAnsi="Cambria"/>
          <w:bCs/>
          <w:sz w:val="20"/>
          <w:szCs w:val="20"/>
          <w:lang w:val="es-CO"/>
        </w:rPr>
        <w:t xml:space="preserve">. Como fue explicado, la “debida diligencia” </w:t>
      </w:r>
      <w:r w:rsidRPr="00F37DDA">
        <w:rPr>
          <w:rFonts w:ascii="Cambria" w:hAnsi="Cambria"/>
          <w:sz w:val="20"/>
          <w:szCs w:val="20"/>
          <w:lang w:val="es-ES"/>
        </w:rPr>
        <w:t>exige</w:t>
      </w:r>
      <w:r w:rsidRPr="00F37DDA">
        <w:rPr>
          <w:rFonts w:ascii="Cambria" w:hAnsi="Cambria"/>
          <w:bCs/>
          <w:sz w:val="20"/>
          <w:szCs w:val="20"/>
          <w:lang w:val="es-CO"/>
        </w:rPr>
        <w:t xml:space="preserve"> que las investigaciones impulsadas por el Estado tomen en cuenta “la complejidad de los</w:t>
      </w:r>
      <w:r w:rsidRPr="00C07458">
        <w:rPr>
          <w:rFonts w:ascii="Cambria" w:hAnsi="Cambria"/>
          <w:bCs/>
          <w:sz w:val="20"/>
          <w:szCs w:val="20"/>
          <w:lang w:val="es-CO"/>
        </w:rPr>
        <w:t xml:space="preserve"> hechos, el contexto en que ocurrieron y los patrones que explican su comisión”, asegurando que no haya “omisiones en la recaudación de prueba y en el seguimiento de líneas lógicas de investigación”</w:t>
      </w:r>
      <w:r w:rsidRPr="0045629E">
        <w:rPr>
          <w:rFonts w:ascii="Cambria" w:hAnsi="Cambria"/>
          <w:bCs/>
          <w:sz w:val="20"/>
          <w:szCs w:val="20"/>
          <w:vertAlign w:val="superscript"/>
        </w:rPr>
        <w:footnoteReference w:id="123"/>
      </w:r>
      <w:r w:rsidRPr="0045629E">
        <w:rPr>
          <w:rFonts w:ascii="Cambria" w:hAnsi="Cambria"/>
          <w:bCs/>
          <w:sz w:val="20"/>
          <w:szCs w:val="20"/>
          <w:lang w:val="es-CO"/>
        </w:rPr>
        <w:t>. Esta obligación reviste especial relevancia en casos d</w:t>
      </w:r>
      <w:r w:rsidRPr="00F37DDA">
        <w:rPr>
          <w:rFonts w:ascii="Cambria" w:hAnsi="Cambria"/>
          <w:bCs/>
          <w:sz w:val="20"/>
          <w:szCs w:val="20"/>
          <w:lang w:val="es-CO"/>
        </w:rPr>
        <w:t>e violencia contra periodistas, que a menudo se cometen por redes criminales que actúan bajo tolerancia o aquiescencia de agentes estatales, y en las cuales el autor material del delito sólo ejecuta órdenes</w:t>
      </w:r>
      <w:r w:rsidR="006B1A60" w:rsidRPr="0045629E">
        <w:rPr>
          <w:rStyle w:val="FootnoteReference"/>
          <w:rFonts w:ascii="Cambria" w:hAnsi="Cambria"/>
          <w:bCs/>
          <w:sz w:val="20"/>
          <w:szCs w:val="20"/>
          <w:lang w:val="es-CO"/>
        </w:rPr>
        <w:footnoteReference w:id="124"/>
      </w:r>
      <w:r w:rsidRPr="0045629E">
        <w:rPr>
          <w:rFonts w:ascii="Cambria" w:hAnsi="Cambria"/>
          <w:bCs/>
          <w:sz w:val="20"/>
          <w:szCs w:val="20"/>
          <w:lang w:val="es-CO"/>
        </w:rPr>
        <w:t>.</w:t>
      </w:r>
    </w:p>
    <w:p w14:paraId="3CA988BA" w14:textId="77777777" w:rsidR="00A969FB" w:rsidRPr="007C4A01" w:rsidRDefault="00A969FB" w:rsidP="000D79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CO"/>
        </w:rPr>
      </w:pPr>
    </w:p>
    <w:p w14:paraId="2E4F64C9" w14:textId="6E3ACEE5" w:rsidR="004E4E36" w:rsidRPr="00F37DDA" w:rsidRDefault="005123E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9313AF">
        <w:rPr>
          <w:rFonts w:ascii="Cambria" w:hAnsi="Cambria"/>
          <w:sz w:val="20"/>
          <w:szCs w:val="20"/>
          <w:lang w:val="es-PE"/>
        </w:rPr>
        <w:t>L</w:t>
      </w:r>
      <w:r w:rsidR="00AB75AB" w:rsidRPr="009313AF">
        <w:rPr>
          <w:rFonts w:ascii="Cambria" w:hAnsi="Cambria"/>
          <w:sz w:val="20"/>
          <w:szCs w:val="20"/>
          <w:lang w:val="es-PE"/>
        </w:rPr>
        <w:t>a Corte</w:t>
      </w:r>
      <w:r w:rsidRPr="009313AF">
        <w:rPr>
          <w:rFonts w:ascii="Cambria" w:hAnsi="Cambria"/>
          <w:sz w:val="20"/>
          <w:szCs w:val="20"/>
          <w:lang w:val="es-PE"/>
        </w:rPr>
        <w:t xml:space="preserve"> también</w:t>
      </w:r>
      <w:r w:rsidR="00AB75AB" w:rsidRPr="009313AF">
        <w:rPr>
          <w:rFonts w:ascii="Cambria" w:hAnsi="Cambria"/>
          <w:sz w:val="20"/>
          <w:szCs w:val="20"/>
          <w:lang w:val="es-PE"/>
        </w:rPr>
        <w:t xml:space="preserve"> ha señalado que </w:t>
      </w:r>
      <w:r w:rsidR="004E4E36" w:rsidRPr="009313AF">
        <w:rPr>
          <w:rFonts w:ascii="Cambria" w:hAnsi="Cambria"/>
          <w:sz w:val="20"/>
          <w:szCs w:val="20"/>
          <w:lang w:val="es-PE"/>
        </w:rPr>
        <w:t>para determinar si un Estado ha cumplido con su obligación de investigar a todas las personas penalmente responsables, es necesario analizar i) la existencia de indicios sobre la participación de los presuntos responsables, y ii) si hubo una actuación diligente o negligente en la indagación de tales indicios</w:t>
      </w:r>
      <w:r w:rsidR="00AB75AB" w:rsidRPr="0045629E">
        <w:rPr>
          <w:rStyle w:val="FootnoteReference"/>
          <w:rFonts w:ascii="Cambria" w:hAnsi="Cambria"/>
          <w:sz w:val="20"/>
          <w:szCs w:val="20"/>
          <w:lang w:val="es-PE"/>
        </w:rPr>
        <w:footnoteReference w:id="125"/>
      </w:r>
      <w:r w:rsidR="004E4E36" w:rsidRPr="0045629E">
        <w:rPr>
          <w:rFonts w:ascii="Cambria" w:hAnsi="Cambria"/>
          <w:sz w:val="20"/>
          <w:szCs w:val="20"/>
          <w:lang w:val="es-PE"/>
        </w:rPr>
        <w:t>.</w:t>
      </w:r>
    </w:p>
    <w:p w14:paraId="350DD3C8" w14:textId="77777777" w:rsidR="008613A0" w:rsidRPr="00F37DDA" w:rsidRDefault="008613A0" w:rsidP="009313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6CBD7107" w14:textId="0EECC7A7" w:rsidR="001D6485" w:rsidRPr="009313AF" w:rsidRDefault="008613A0" w:rsidP="00241982">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C07458">
        <w:rPr>
          <w:rFonts w:ascii="Cambria" w:hAnsi="Cambria"/>
          <w:sz w:val="20"/>
          <w:szCs w:val="20"/>
          <w:lang w:val="es-PE"/>
        </w:rPr>
        <w:t xml:space="preserve">Con base en lo anterior, la Comisión considera </w:t>
      </w:r>
      <w:r w:rsidR="00A00344" w:rsidRPr="00C07458">
        <w:rPr>
          <w:rFonts w:ascii="Cambria" w:hAnsi="Cambria"/>
          <w:sz w:val="20"/>
          <w:szCs w:val="20"/>
          <w:lang w:val="es-PE"/>
        </w:rPr>
        <w:t>que</w:t>
      </w:r>
      <w:r w:rsidR="00313BDC" w:rsidRPr="00C07458">
        <w:rPr>
          <w:rFonts w:ascii="Cambria" w:hAnsi="Cambria"/>
          <w:sz w:val="20"/>
          <w:szCs w:val="20"/>
          <w:lang w:val="es-PE"/>
        </w:rPr>
        <w:t xml:space="preserve">, </w:t>
      </w:r>
      <w:r w:rsidR="00BA4262" w:rsidRPr="00C07458">
        <w:rPr>
          <w:rFonts w:ascii="Cambria" w:hAnsi="Cambria"/>
          <w:sz w:val="20"/>
          <w:szCs w:val="20"/>
          <w:lang w:val="es-PE"/>
        </w:rPr>
        <w:t>siguiendo</w:t>
      </w:r>
      <w:r w:rsidR="00313BDC" w:rsidRPr="00C07458">
        <w:rPr>
          <w:rFonts w:ascii="Cambria" w:hAnsi="Cambria"/>
          <w:sz w:val="20"/>
          <w:szCs w:val="20"/>
          <w:lang w:val="es-PE"/>
        </w:rPr>
        <w:t xml:space="preserve"> lo</w:t>
      </w:r>
      <w:r w:rsidR="00313BDC" w:rsidRPr="00147E07">
        <w:rPr>
          <w:rFonts w:ascii="Cambria" w:hAnsi="Cambria"/>
          <w:sz w:val="20"/>
          <w:szCs w:val="20"/>
          <w:lang w:val="es-PE"/>
        </w:rPr>
        <w:t xml:space="preserve">s </w:t>
      </w:r>
      <w:r w:rsidR="00313BDC" w:rsidRPr="00130AD5">
        <w:rPr>
          <w:rFonts w:ascii="Cambria" w:hAnsi="Cambria"/>
          <w:sz w:val="20"/>
          <w:szCs w:val="20"/>
          <w:lang w:val="es-PE"/>
        </w:rPr>
        <w:t xml:space="preserve">estándares </w:t>
      </w:r>
      <w:r w:rsidR="00BA4262" w:rsidRPr="008C2670">
        <w:rPr>
          <w:rFonts w:ascii="Cambria" w:hAnsi="Cambria"/>
          <w:sz w:val="20"/>
          <w:szCs w:val="20"/>
          <w:lang w:val="es-PE"/>
        </w:rPr>
        <w:t xml:space="preserve">de debida diligencia </w:t>
      </w:r>
      <w:r w:rsidR="00313BDC" w:rsidRPr="00B705B1">
        <w:rPr>
          <w:rFonts w:ascii="Cambria" w:hAnsi="Cambria"/>
          <w:sz w:val="20"/>
          <w:szCs w:val="20"/>
          <w:lang w:val="es-PE"/>
        </w:rPr>
        <w:t>antes citados</w:t>
      </w:r>
      <w:r w:rsidR="00313BDC" w:rsidRPr="0096449B">
        <w:rPr>
          <w:rFonts w:ascii="Cambria" w:hAnsi="Cambria"/>
          <w:sz w:val="20"/>
          <w:szCs w:val="20"/>
          <w:lang w:val="es-PE"/>
        </w:rPr>
        <w:t>,</w:t>
      </w:r>
      <w:r w:rsidR="00A00344" w:rsidRPr="009313AF">
        <w:rPr>
          <w:rFonts w:ascii="Cambria" w:hAnsi="Cambria"/>
          <w:sz w:val="20"/>
          <w:szCs w:val="20"/>
          <w:lang w:val="es-PE"/>
        </w:rPr>
        <w:t xml:space="preserve"> los Estados </w:t>
      </w:r>
      <w:r w:rsidR="00A60869" w:rsidRPr="009313AF">
        <w:rPr>
          <w:rFonts w:ascii="Cambria" w:hAnsi="Cambria"/>
          <w:sz w:val="20"/>
          <w:szCs w:val="20"/>
          <w:lang w:val="es-PE"/>
        </w:rPr>
        <w:t xml:space="preserve">deberán adoptar protocolos de investigación </w:t>
      </w:r>
      <w:r w:rsidR="00DE7C6D" w:rsidRPr="009313AF">
        <w:rPr>
          <w:rFonts w:ascii="Cambria" w:hAnsi="Cambria"/>
          <w:sz w:val="20"/>
          <w:szCs w:val="20"/>
          <w:lang w:val="es-PE"/>
        </w:rPr>
        <w:t xml:space="preserve">para los delitos cometidos contra la libertad de expresión </w:t>
      </w:r>
      <w:r w:rsidR="00941068" w:rsidRPr="009313AF">
        <w:rPr>
          <w:rFonts w:ascii="Cambria" w:hAnsi="Cambria"/>
          <w:sz w:val="20"/>
          <w:szCs w:val="20"/>
          <w:lang w:val="es-PE"/>
        </w:rPr>
        <w:t xml:space="preserve">que </w:t>
      </w:r>
      <w:r w:rsidR="003A2776" w:rsidRPr="009313AF">
        <w:rPr>
          <w:rFonts w:ascii="Cambria" w:hAnsi="Cambria"/>
          <w:sz w:val="20"/>
          <w:szCs w:val="20"/>
          <w:lang w:val="es-PE"/>
        </w:rPr>
        <w:t>tengan en cuenta los siguiente</w:t>
      </w:r>
      <w:r w:rsidR="009D0B2F" w:rsidRPr="009313AF">
        <w:rPr>
          <w:rFonts w:ascii="Cambria" w:hAnsi="Cambria"/>
          <w:sz w:val="20"/>
          <w:szCs w:val="20"/>
          <w:lang w:val="es-PE"/>
        </w:rPr>
        <w:t>s</w:t>
      </w:r>
      <w:r w:rsidR="003A2776" w:rsidRPr="009313AF">
        <w:rPr>
          <w:rFonts w:ascii="Cambria" w:hAnsi="Cambria"/>
          <w:sz w:val="20"/>
          <w:szCs w:val="20"/>
          <w:lang w:val="es-PE"/>
        </w:rPr>
        <w:t xml:space="preserve"> criterios mínimos: a)</w:t>
      </w:r>
      <w:r w:rsidR="009D0B2F" w:rsidRPr="009313AF">
        <w:rPr>
          <w:rFonts w:ascii="Cambria" w:hAnsi="Cambria"/>
          <w:sz w:val="20"/>
          <w:szCs w:val="20"/>
          <w:lang w:val="es-PE"/>
        </w:rPr>
        <w:t xml:space="preserve"> </w:t>
      </w:r>
      <w:r w:rsidRPr="009313AF">
        <w:rPr>
          <w:rFonts w:ascii="Cambria" w:hAnsi="Cambria"/>
          <w:sz w:val="20"/>
          <w:szCs w:val="20"/>
          <w:lang w:val="es-PE"/>
        </w:rPr>
        <w:t>la creación de planes de investigación eficaces que orienten los actos de investigación</w:t>
      </w:r>
      <w:r w:rsidR="008B2228" w:rsidRPr="009313AF">
        <w:rPr>
          <w:rFonts w:ascii="Cambria" w:hAnsi="Cambria"/>
          <w:sz w:val="20"/>
          <w:szCs w:val="20"/>
          <w:lang w:val="es-PE"/>
        </w:rPr>
        <w:t xml:space="preserve"> con base en los estándares mínimos de debida diligencia citados en párrafos precedentes</w:t>
      </w:r>
      <w:r w:rsidR="00FE72C4" w:rsidRPr="009313AF">
        <w:rPr>
          <w:rFonts w:ascii="Cambria" w:hAnsi="Cambria"/>
          <w:sz w:val="20"/>
          <w:szCs w:val="20"/>
          <w:lang w:val="es-PE"/>
        </w:rPr>
        <w:t xml:space="preserve">, </w:t>
      </w:r>
      <w:r w:rsidR="008B2228" w:rsidRPr="009313AF">
        <w:rPr>
          <w:rFonts w:ascii="Cambria" w:hAnsi="Cambria"/>
          <w:sz w:val="20"/>
          <w:szCs w:val="20"/>
          <w:lang w:val="es-PE"/>
        </w:rPr>
        <w:t>como la</w:t>
      </w:r>
      <w:r w:rsidR="00F83A9B" w:rsidRPr="009313AF">
        <w:rPr>
          <w:rFonts w:ascii="Cambria" w:hAnsi="Cambria"/>
          <w:sz w:val="20"/>
          <w:szCs w:val="20"/>
          <w:lang w:val="es-PE"/>
        </w:rPr>
        <w:t xml:space="preserve"> </w:t>
      </w:r>
      <w:r w:rsidR="008F0A73" w:rsidRPr="009313AF">
        <w:rPr>
          <w:rFonts w:ascii="Cambria" w:hAnsi="Cambria"/>
          <w:sz w:val="20"/>
          <w:szCs w:val="20"/>
          <w:lang w:val="es-PE"/>
        </w:rPr>
        <w:t>preserva</w:t>
      </w:r>
      <w:r w:rsidR="008B2228" w:rsidRPr="009313AF">
        <w:rPr>
          <w:rFonts w:ascii="Cambria" w:hAnsi="Cambria"/>
          <w:sz w:val="20"/>
          <w:szCs w:val="20"/>
          <w:lang w:val="es-PE"/>
        </w:rPr>
        <w:t xml:space="preserve">ción de </w:t>
      </w:r>
      <w:r w:rsidR="008F0A73" w:rsidRPr="009313AF">
        <w:rPr>
          <w:rFonts w:ascii="Cambria" w:hAnsi="Cambria"/>
          <w:sz w:val="20"/>
          <w:szCs w:val="20"/>
          <w:lang w:val="es-PE"/>
        </w:rPr>
        <w:t>la escena del crime</w:t>
      </w:r>
      <w:r w:rsidR="006F69BB" w:rsidRPr="009313AF">
        <w:rPr>
          <w:rFonts w:ascii="Cambria" w:hAnsi="Cambria"/>
          <w:sz w:val="20"/>
          <w:szCs w:val="20"/>
          <w:lang w:val="es-PE"/>
        </w:rPr>
        <w:t xml:space="preserve">n, </w:t>
      </w:r>
      <w:r w:rsidR="008B2228" w:rsidRPr="009313AF">
        <w:rPr>
          <w:rFonts w:ascii="Cambria" w:hAnsi="Cambria"/>
          <w:sz w:val="20"/>
          <w:szCs w:val="20"/>
          <w:lang w:val="es-PE"/>
        </w:rPr>
        <w:t xml:space="preserve">la recaudación y preservación </w:t>
      </w:r>
      <w:r w:rsidR="00FE72C4" w:rsidRPr="009313AF">
        <w:rPr>
          <w:rFonts w:ascii="Cambria" w:hAnsi="Cambria"/>
          <w:sz w:val="20"/>
          <w:szCs w:val="20"/>
          <w:lang w:val="es-PE"/>
        </w:rPr>
        <w:t>de manera eficaz</w:t>
      </w:r>
      <w:r w:rsidR="008B2228" w:rsidRPr="009313AF">
        <w:rPr>
          <w:rFonts w:ascii="Cambria" w:hAnsi="Cambria"/>
          <w:sz w:val="20"/>
          <w:szCs w:val="20"/>
          <w:lang w:val="es-PE"/>
        </w:rPr>
        <w:t xml:space="preserve"> de</w:t>
      </w:r>
      <w:r w:rsidR="00FE72C4" w:rsidRPr="009313AF">
        <w:rPr>
          <w:rFonts w:ascii="Cambria" w:hAnsi="Cambria"/>
          <w:sz w:val="20"/>
          <w:szCs w:val="20"/>
          <w:lang w:val="es-PE"/>
        </w:rPr>
        <w:t xml:space="preserve"> la evidencia policial y forense</w:t>
      </w:r>
      <w:r w:rsidR="008B2228" w:rsidRPr="009313AF">
        <w:rPr>
          <w:rFonts w:ascii="Cambria" w:hAnsi="Cambria"/>
          <w:sz w:val="20"/>
          <w:szCs w:val="20"/>
          <w:lang w:val="es-PE"/>
        </w:rPr>
        <w:t>, entre otros</w:t>
      </w:r>
      <w:r w:rsidRPr="0045629E">
        <w:rPr>
          <w:rFonts w:ascii="Cambria" w:hAnsi="Cambria"/>
          <w:sz w:val="20"/>
          <w:szCs w:val="20"/>
          <w:lang w:val="es-PE"/>
        </w:rPr>
        <w:t xml:space="preserve">; b) la obligación de agotar todas las líneas de </w:t>
      </w:r>
      <w:r w:rsidRPr="00C07458">
        <w:rPr>
          <w:rFonts w:ascii="Cambria" w:hAnsi="Cambria"/>
          <w:sz w:val="20"/>
          <w:szCs w:val="20"/>
          <w:lang w:val="es-PE"/>
        </w:rPr>
        <w:t xml:space="preserve">investigación relacionadas con la labor periodística de la víctima, estableciendo una serie de preguntas orientadoras; c) </w:t>
      </w:r>
      <w:r w:rsidR="00D32E78" w:rsidRPr="0096449B">
        <w:rPr>
          <w:rFonts w:ascii="Cambria" w:hAnsi="Cambria"/>
          <w:sz w:val="20"/>
          <w:szCs w:val="20"/>
          <w:lang w:val="es-PE"/>
        </w:rPr>
        <w:t xml:space="preserve">la realización de un </w:t>
      </w:r>
      <w:r w:rsidRPr="009313AF">
        <w:rPr>
          <w:rFonts w:ascii="Cambria" w:hAnsi="Cambria"/>
          <w:sz w:val="20"/>
          <w:szCs w:val="20"/>
          <w:lang w:val="es-PE"/>
        </w:rPr>
        <w:t>análisis de contexto</w:t>
      </w:r>
      <w:r w:rsidR="0030687A" w:rsidRPr="009313AF">
        <w:rPr>
          <w:rFonts w:ascii="Cambria" w:hAnsi="Cambria"/>
          <w:sz w:val="20"/>
          <w:szCs w:val="20"/>
          <w:lang w:val="es-PE"/>
        </w:rPr>
        <w:t xml:space="preserve"> con </w:t>
      </w:r>
      <w:r w:rsidRPr="009313AF">
        <w:rPr>
          <w:rFonts w:ascii="Cambria" w:hAnsi="Cambria"/>
          <w:sz w:val="20"/>
          <w:szCs w:val="20"/>
          <w:lang w:val="es-PE"/>
        </w:rPr>
        <w:t xml:space="preserve">una metodología exhaustiva que prevé los antecedentes de publicaciones de la víctima y el contexto de agresiones, criminalidad y violaciones a derechos humanos en la región donde ocurre el delito; d) </w:t>
      </w:r>
      <w:r w:rsidR="00235891" w:rsidRPr="009313AF">
        <w:rPr>
          <w:rFonts w:ascii="Cambria" w:hAnsi="Cambria"/>
          <w:sz w:val="20"/>
          <w:szCs w:val="20"/>
          <w:lang w:val="es-PE"/>
        </w:rPr>
        <w:t xml:space="preserve">la consideración particular del modo en que opera el poder político y delictivo </w:t>
      </w:r>
      <w:r w:rsidR="00011C43" w:rsidRPr="009313AF">
        <w:rPr>
          <w:rFonts w:ascii="Cambria" w:hAnsi="Cambria"/>
          <w:sz w:val="20"/>
          <w:szCs w:val="20"/>
          <w:lang w:val="es-PE"/>
        </w:rPr>
        <w:t>a nivel local; e)</w:t>
      </w:r>
      <w:r w:rsidR="00F835B3" w:rsidRPr="009313AF">
        <w:rPr>
          <w:rFonts w:ascii="Cambria" w:hAnsi="Cambria"/>
          <w:sz w:val="20"/>
          <w:szCs w:val="20"/>
          <w:lang w:val="es-PE"/>
        </w:rPr>
        <w:t xml:space="preserve"> </w:t>
      </w:r>
      <w:r w:rsidR="00B06DE4" w:rsidRPr="009313AF">
        <w:rPr>
          <w:rFonts w:ascii="Cambria" w:hAnsi="Cambria"/>
          <w:sz w:val="20"/>
          <w:szCs w:val="20"/>
          <w:lang w:val="es-PE"/>
        </w:rPr>
        <w:t xml:space="preserve">la protección de </w:t>
      </w:r>
      <w:r w:rsidR="000E4937" w:rsidRPr="009313AF">
        <w:rPr>
          <w:rFonts w:ascii="Cambria" w:hAnsi="Cambria"/>
          <w:sz w:val="20"/>
          <w:szCs w:val="20"/>
          <w:lang w:val="es-PE"/>
        </w:rPr>
        <w:t xml:space="preserve">testigos y familiares de la víctima, de ser el caso; f) </w:t>
      </w:r>
      <w:r w:rsidR="0054067E" w:rsidRPr="009313AF">
        <w:rPr>
          <w:rFonts w:ascii="Cambria" w:hAnsi="Cambria"/>
          <w:sz w:val="20"/>
          <w:szCs w:val="20"/>
          <w:lang w:val="es-PE"/>
        </w:rPr>
        <w:t xml:space="preserve">la realización </w:t>
      </w:r>
      <w:r w:rsidR="00117F8D" w:rsidRPr="009313AF">
        <w:rPr>
          <w:rFonts w:ascii="Cambria" w:hAnsi="Cambria"/>
          <w:sz w:val="20"/>
          <w:szCs w:val="20"/>
          <w:lang w:val="es-PE"/>
        </w:rPr>
        <w:t xml:space="preserve">de </w:t>
      </w:r>
      <w:r w:rsidRPr="009313AF">
        <w:rPr>
          <w:rFonts w:ascii="Cambria" w:hAnsi="Cambria"/>
          <w:sz w:val="20"/>
          <w:szCs w:val="20"/>
          <w:lang w:val="es-PE"/>
        </w:rPr>
        <w:t xml:space="preserve">actos de investigación dirigidos a identificar a todas las personas responsables de delitos (materiales e intelectuales); </w:t>
      </w:r>
      <w:r w:rsidR="000A7EFE" w:rsidRPr="009313AF">
        <w:rPr>
          <w:rFonts w:ascii="Cambria" w:hAnsi="Cambria"/>
          <w:sz w:val="20"/>
          <w:szCs w:val="20"/>
          <w:lang w:val="es-PE"/>
        </w:rPr>
        <w:t>g</w:t>
      </w:r>
      <w:r w:rsidRPr="009313AF">
        <w:rPr>
          <w:rFonts w:ascii="Cambria" w:hAnsi="Cambria"/>
          <w:sz w:val="20"/>
          <w:szCs w:val="20"/>
          <w:lang w:val="es-PE"/>
        </w:rPr>
        <w:t xml:space="preserve">) </w:t>
      </w:r>
      <w:r w:rsidR="00117F8D" w:rsidRPr="009313AF">
        <w:rPr>
          <w:rFonts w:ascii="Cambria" w:hAnsi="Cambria"/>
          <w:sz w:val="20"/>
          <w:szCs w:val="20"/>
          <w:lang w:val="es-PE"/>
        </w:rPr>
        <w:t xml:space="preserve">la adopción de </w:t>
      </w:r>
      <w:r w:rsidRPr="009313AF">
        <w:rPr>
          <w:rFonts w:ascii="Cambria" w:hAnsi="Cambria"/>
          <w:sz w:val="20"/>
          <w:szCs w:val="20"/>
          <w:lang w:val="es-PE"/>
        </w:rPr>
        <w:t>directrices de enfoque especializado de género e interculturalidad</w:t>
      </w:r>
      <w:r w:rsidR="000A7EFE" w:rsidRPr="009313AF">
        <w:rPr>
          <w:rFonts w:ascii="Cambria" w:hAnsi="Cambria"/>
          <w:sz w:val="20"/>
          <w:szCs w:val="20"/>
          <w:lang w:val="es-PE"/>
        </w:rPr>
        <w:t xml:space="preserve">, </w:t>
      </w:r>
      <w:r w:rsidR="00F37DDA">
        <w:rPr>
          <w:rFonts w:ascii="Cambria" w:hAnsi="Cambria"/>
          <w:sz w:val="20"/>
          <w:szCs w:val="20"/>
          <w:lang w:val="es-PE"/>
        </w:rPr>
        <w:t xml:space="preserve">y </w:t>
      </w:r>
      <w:r w:rsidR="00291E76" w:rsidRPr="00F37DDA">
        <w:rPr>
          <w:rFonts w:ascii="Cambria" w:hAnsi="Cambria"/>
          <w:sz w:val="20"/>
          <w:szCs w:val="20"/>
          <w:lang w:val="es-PE"/>
        </w:rPr>
        <w:t>h) e</w:t>
      </w:r>
      <w:r w:rsidR="00067C73" w:rsidRPr="006A3101">
        <w:rPr>
          <w:rFonts w:ascii="Cambria" w:hAnsi="Cambria"/>
          <w:sz w:val="20"/>
          <w:szCs w:val="20"/>
          <w:lang w:val="es-PE"/>
        </w:rPr>
        <w:t xml:space="preserve">l establecimiento de criterios </w:t>
      </w:r>
      <w:r w:rsidR="0089269E" w:rsidRPr="006A3101">
        <w:rPr>
          <w:rFonts w:ascii="Cambria" w:hAnsi="Cambria"/>
          <w:sz w:val="20"/>
          <w:szCs w:val="20"/>
          <w:lang w:val="es-PE"/>
        </w:rPr>
        <w:t xml:space="preserve">que permitan investigar de forma </w:t>
      </w:r>
      <w:r w:rsidR="00E24279" w:rsidRPr="00C3008B">
        <w:rPr>
          <w:rFonts w:ascii="Cambria" w:hAnsi="Cambria"/>
          <w:sz w:val="20"/>
          <w:szCs w:val="20"/>
          <w:lang w:val="es-PE"/>
        </w:rPr>
        <w:t>efi</w:t>
      </w:r>
      <w:r w:rsidR="00E24279" w:rsidRPr="000A6D3D">
        <w:rPr>
          <w:rFonts w:ascii="Cambria" w:hAnsi="Cambria"/>
          <w:sz w:val="20"/>
          <w:szCs w:val="20"/>
          <w:lang w:val="es-PE"/>
        </w:rPr>
        <w:t>caz</w:t>
      </w:r>
      <w:r w:rsidR="00733CB3" w:rsidRPr="000A6D3D">
        <w:rPr>
          <w:rFonts w:ascii="Cambria" w:hAnsi="Cambria"/>
          <w:sz w:val="20"/>
          <w:szCs w:val="20"/>
          <w:lang w:val="es-PE"/>
        </w:rPr>
        <w:t xml:space="preserve">, </w:t>
      </w:r>
      <w:r w:rsidR="00733CB3" w:rsidRPr="009313AF">
        <w:rPr>
          <w:rFonts w:ascii="Cambria" w:hAnsi="Cambria"/>
          <w:sz w:val="20"/>
          <w:szCs w:val="20"/>
          <w:lang w:val="es-MX"/>
        </w:rPr>
        <w:t>inmediata, exhaustiva, seria e imparcia</w:t>
      </w:r>
      <w:r w:rsidR="00533D3D" w:rsidRPr="0045629E">
        <w:rPr>
          <w:rFonts w:ascii="Cambria" w:hAnsi="Cambria"/>
          <w:sz w:val="20"/>
          <w:szCs w:val="20"/>
          <w:lang w:val="es-MX"/>
        </w:rPr>
        <w:t>l l</w:t>
      </w:r>
      <w:r w:rsidR="00E24279" w:rsidRPr="00F37DDA">
        <w:rPr>
          <w:rFonts w:ascii="Cambria" w:hAnsi="Cambria"/>
          <w:sz w:val="20"/>
          <w:szCs w:val="20"/>
          <w:lang w:val="es-PE"/>
        </w:rPr>
        <w:t>as amenazas y a</w:t>
      </w:r>
      <w:r w:rsidR="00822DDA" w:rsidRPr="00F37DDA">
        <w:rPr>
          <w:rFonts w:ascii="Cambria" w:hAnsi="Cambria"/>
          <w:sz w:val="20"/>
          <w:szCs w:val="20"/>
          <w:lang w:val="es-PE"/>
        </w:rPr>
        <w:t>coso contra periodistas,</w:t>
      </w:r>
      <w:r w:rsidR="00CC2F8C" w:rsidRPr="006A3101">
        <w:rPr>
          <w:rFonts w:ascii="Cambria" w:hAnsi="Cambria"/>
          <w:sz w:val="20"/>
          <w:szCs w:val="20"/>
          <w:lang w:val="es-PE"/>
        </w:rPr>
        <w:t xml:space="preserve"> con el fin </w:t>
      </w:r>
      <w:r w:rsidR="00581BC7" w:rsidRPr="009313AF">
        <w:rPr>
          <w:rFonts w:ascii="Cambria" w:hAnsi="Cambria"/>
          <w:sz w:val="20"/>
          <w:szCs w:val="20"/>
          <w:lang w:val="es-MX"/>
        </w:rPr>
        <w:t xml:space="preserve">de actuar sobre las causas estructurales que afectan </w:t>
      </w:r>
      <w:r w:rsidR="00533D3D" w:rsidRPr="009313AF">
        <w:rPr>
          <w:rFonts w:ascii="Cambria" w:hAnsi="Cambria"/>
          <w:sz w:val="20"/>
          <w:szCs w:val="20"/>
          <w:lang w:val="es-MX"/>
        </w:rPr>
        <w:t>su</w:t>
      </w:r>
      <w:r w:rsidR="00581BC7" w:rsidRPr="009313AF">
        <w:rPr>
          <w:rFonts w:ascii="Cambria" w:hAnsi="Cambria"/>
          <w:sz w:val="20"/>
          <w:szCs w:val="20"/>
          <w:lang w:val="es-MX"/>
        </w:rPr>
        <w:t xml:space="preserve"> seguridad </w:t>
      </w:r>
      <w:r w:rsidR="00407250" w:rsidRPr="009313AF">
        <w:rPr>
          <w:rFonts w:ascii="Cambria" w:hAnsi="Cambria"/>
          <w:sz w:val="20"/>
          <w:szCs w:val="20"/>
          <w:lang w:val="es-MX"/>
        </w:rPr>
        <w:t>e</w:t>
      </w:r>
      <w:r w:rsidR="00733CB3" w:rsidRPr="009313AF">
        <w:rPr>
          <w:rFonts w:ascii="Cambria" w:hAnsi="Cambria"/>
          <w:sz w:val="20"/>
          <w:szCs w:val="20"/>
          <w:lang w:val="es-MX"/>
        </w:rPr>
        <w:t xml:space="preserve"> identificar</w:t>
      </w:r>
      <w:r w:rsidR="000D44DD" w:rsidRPr="009313AF">
        <w:rPr>
          <w:rFonts w:ascii="Cambria" w:hAnsi="Cambria"/>
          <w:sz w:val="20"/>
          <w:szCs w:val="20"/>
          <w:lang w:val="es-MX"/>
        </w:rPr>
        <w:t xml:space="preserve"> su origen</w:t>
      </w:r>
      <w:r w:rsidR="00733CB3" w:rsidRPr="009313AF">
        <w:rPr>
          <w:rFonts w:ascii="Cambria" w:hAnsi="Cambria"/>
          <w:sz w:val="20"/>
          <w:szCs w:val="20"/>
          <w:lang w:val="es-MX"/>
        </w:rPr>
        <w:t>, y sancionar a los responsables, con el objeto de tratar de impedir que las amenazas se cumplan</w:t>
      </w:r>
      <w:r w:rsidR="000D44DD" w:rsidRPr="009313AF">
        <w:rPr>
          <w:rStyle w:val="FootnoteReference"/>
          <w:rFonts w:ascii="Cambria" w:hAnsi="Cambria"/>
          <w:sz w:val="20"/>
          <w:szCs w:val="20"/>
          <w:lang w:val="es-MX"/>
        </w:rPr>
        <w:footnoteReference w:id="126"/>
      </w:r>
      <w:r w:rsidR="008C3291" w:rsidRPr="009313AF">
        <w:rPr>
          <w:rFonts w:ascii="Cambria" w:hAnsi="Cambria"/>
          <w:sz w:val="20"/>
          <w:szCs w:val="20"/>
          <w:lang w:val="es-MX"/>
        </w:rPr>
        <w:t xml:space="preserve">. </w:t>
      </w:r>
    </w:p>
    <w:p w14:paraId="11D77EE5" w14:textId="77777777" w:rsidR="001D6485" w:rsidRPr="009313AF" w:rsidRDefault="001D6485" w:rsidP="009313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E"/>
        </w:rPr>
      </w:pPr>
    </w:p>
    <w:p w14:paraId="3D9D72DE" w14:textId="67DED027" w:rsidR="002C5362" w:rsidRPr="0045629E" w:rsidRDefault="008C3291" w:rsidP="009313A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PE"/>
        </w:rPr>
      </w:pPr>
      <w:r w:rsidRPr="009313AF">
        <w:rPr>
          <w:rFonts w:ascii="Cambria" w:hAnsi="Cambria"/>
          <w:sz w:val="20"/>
          <w:szCs w:val="20"/>
          <w:lang w:val="es-MX"/>
        </w:rPr>
        <w:t xml:space="preserve">Además, la Comisión considera </w:t>
      </w:r>
      <w:r w:rsidR="00E95936" w:rsidRPr="009313AF">
        <w:rPr>
          <w:rFonts w:ascii="Cambria" w:hAnsi="Cambria"/>
          <w:sz w:val="20"/>
          <w:szCs w:val="20"/>
          <w:lang w:val="es-MX"/>
        </w:rPr>
        <w:t xml:space="preserve">que </w:t>
      </w:r>
      <w:r w:rsidR="00D254D9" w:rsidRPr="009313AF">
        <w:rPr>
          <w:rFonts w:ascii="Cambria" w:hAnsi="Cambria"/>
          <w:sz w:val="20"/>
          <w:szCs w:val="20"/>
          <w:lang w:val="es-PE"/>
        </w:rPr>
        <w:t>l</w:t>
      </w:r>
      <w:r w:rsidR="003A1211" w:rsidRPr="009313AF">
        <w:rPr>
          <w:rFonts w:ascii="Cambria" w:hAnsi="Cambria"/>
          <w:sz w:val="20"/>
          <w:szCs w:val="20"/>
          <w:lang w:val="es-PE"/>
        </w:rPr>
        <w:t>os investigadores y funcionarios</w:t>
      </w:r>
      <w:r w:rsidR="00EE40FB">
        <w:rPr>
          <w:rFonts w:ascii="Cambria" w:hAnsi="Cambria"/>
          <w:sz w:val="20"/>
          <w:szCs w:val="20"/>
          <w:lang w:val="es-PE"/>
        </w:rPr>
        <w:t xml:space="preserve"> encargados</w:t>
      </w:r>
      <w:r w:rsidR="003A1211" w:rsidRPr="009313AF">
        <w:rPr>
          <w:rFonts w:ascii="Cambria" w:hAnsi="Cambria"/>
          <w:sz w:val="20"/>
          <w:szCs w:val="20"/>
          <w:lang w:val="es-PE"/>
        </w:rPr>
        <w:t xml:space="preserve"> de</w:t>
      </w:r>
      <w:r w:rsidR="00EE40FB">
        <w:rPr>
          <w:rFonts w:ascii="Cambria" w:hAnsi="Cambria"/>
          <w:sz w:val="20"/>
          <w:szCs w:val="20"/>
          <w:lang w:val="es-PE"/>
        </w:rPr>
        <w:t xml:space="preserve"> la</w:t>
      </w:r>
      <w:r w:rsidR="003A1211" w:rsidRPr="009313AF">
        <w:rPr>
          <w:rFonts w:ascii="Cambria" w:hAnsi="Cambria"/>
          <w:sz w:val="20"/>
          <w:szCs w:val="20"/>
          <w:lang w:val="es-PE"/>
        </w:rPr>
        <w:t xml:space="preserve"> aplicación de la ley deben estar debidamente equipados y recibir capacitación especializada en todos los aspectos de la investigación de delitos contra la libertad de expres</w:t>
      </w:r>
      <w:r w:rsidR="008963D6" w:rsidRPr="009313AF">
        <w:rPr>
          <w:rFonts w:ascii="Cambria" w:hAnsi="Cambria"/>
          <w:sz w:val="20"/>
          <w:szCs w:val="20"/>
          <w:lang w:val="es-PE"/>
        </w:rPr>
        <w:t xml:space="preserve">ión. De igual manera, </w:t>
      </w:r>
      <w:r w:rsidR="00CF0010" w:rsidRPr="009313AF">
        <w:rPr>
          <w:rFonts w:ascii="Cambria" w:hAnsi="Cambria"/>
          <w:sz w:val="20"/>
          <w:szCs w:val="20"/>
          <w:lang w:val="es-PE"/>
        </w:rPr>
        <w:t>en situaciones en las que se sospeche el involucramiento de autoridades locales o poderosas bandas delictivas</w:t>
      </w:r>
      <w:r w:rsidR="003100D6" w:rsidRPr="009313AF">
        <w:rPr>
          <w:rFonts w:ascii="Cambria" w:hAnsi="Cambria"/>
          <w:sz w:val="20"/>
          <w:szCs w:val="20"/>
          <w:lang w:val="es-PE"/>
        </w:rPr>
        <w:t xml:space="preserve"> o la connivencia de las primeras con las segundas</w:t>
      </w:r>
      <w:r w:rsidR="00CF0010" w:rsidRPr="009313AF">
        <w:rPr>
          <w:rFonts w:ascii="Cambria" w:hAnsi="Cambria"/>
          <w:sz w:val="20"/>
          <w:szCs w:val="20"/>
          <w:lang w:val="es-PE"/>
        </w:rPr>
        <w:t xml:space="preserve">, </w:t>
      </w:r>
      <w:r w:rsidR="00C16B20" w:rsidRPr="009313AF">
        <w:rPr>
          <w:rFonts w:ascii="Cambria" w:hAnsi="Cambria"/>
          <w:sz w:val="20"/>
          <w:szCs w:val="20"/>
          <w:lang w:val="es-PE"/>
        </w:rPr>
        <w:t>en las que</w:t>
      </w:r>
      <w:r w:rsidR="00CF0010" w:rsidRPr="009313AF">
        <w:rPr>
          <w:rFonts w:ascii="Cambria" w:hAnsi="Cambria"/>
          <w:sz w:val="20"/>
          <w:szCs w:val="20"/>
          <w:lang w:val="es-PE"/>
        </w:rPr>
        <w:t xml:space="preserve"> </w:t>
      </w:r>
      <w:r w:rsidR="00C16B20" w:rsidRPr="009313AF">
        <w:rPr>
          <w:rFonts w:ascii="Cambria" w:hAnsi="Cambria"/>
          <w:sz w:val="20"/>
          <w:szCs w:val="20"/>
          <w:lang w:val="es-PE"/>
        </w:rPr>
        <w:t>la independencia e imparcialidad de las autoridades a cargo de la investigación o juzgamiento haya sido razonablemente cuestionada</w:t>
      </w:r>
      <w:r w:rsidR="003250D8" w:rsidRPr="009313AF">
        <w:rPr>
          <w:rFonts w:ascii="Cambria" w:hAnsi="Cambria"/>
          <w:sz w:val="20"/>
          <w:szCs w:val="20"/>
          <w:lang w:val="es-PE"/>
        </w:rPr>
        <w:t xml:space="preserve">, el Estado deberá establecer criterios claros y precisos en su legislación a fin de </w:t>
      </w:r>
      <w:r w:rsidR="00D77DA6" w:rsidRPr="009313AF">
        <w:rPr>
          <w:rFonts w:ascii="Cambria" w:hAnsi="Cambria"/>
          <w:sz w:val="20"/>
          <w:szCs w:val="20"/>
          <w:lang w:val="es-PE"/>
        </w:rPr>
        <w:t>que la investigación y juzgamiento sea</w:t>
      </w:r>
      <w:r w:rsidR="00C542CA" w:rsidRPr="009313AF">
        <w:rPr>
          <w:rFonts w:ascii="Cambria" w:hAnsi="Cambria"/>
          <w:sz w:val="20"/>
          <w:szCs w:val="20"/>
          <w:lang w:val="es-PE"/>
        </w:rPr>
        <w:t>n</w:t>
      </w:r>
      <w:r w:rsidR="00D77DA6" w:rsidRPr="009313AF">
        <w:rPr>
          <w:rFonts w:ascii="Cambria" w:hAnsi="Cambria"/>
          <w:sz w:val="20"/>
          <w:szCs w:val="20"/>
          <w:lang w:val="es-PE"/>
        </w:rPr>
        <w:t xml:space="preserve"> </w:t>
      </w:r>
      <w:r w:rsidR="00D4240C" w:rsidRPr="009313AF">
        <w:rPr>
          <w:rFonts w:ascii="Cambria" w:hAnsi="Cambria"/>
          <w:sz w:val="20"/>
          <w:szCs w:val="20"/>
          <w:lang w:val="es-PE"/>
        </w:rPr>
        <w:t>trasladad</w:t>
      </w:r>
      <w:r w:rsidR="00C542CA" w:rsidRPr="009313AF">
        <w:rPr>
          <w:rFonts w:ascii="Cambria" w:hAnsi="Cambria"/>
          <w:sz w:val="20"/>
          <w:szCs w:val="20"/>
          <w:lang w:val="es-PE"/>
        </w:rPr>
        <w:t xml:space="preserve">os </w:t>
      </w:r>
      <w:r w:rsidR="00D4240C" w:rsidRPr="009313AF">
        <w:rPr>
          <w:rFonts w:ascii="Cambria" w:hAnsi="Cambria"/>
          <w:sz w:val="20"/>
          <w:szCs w:val="20"/>
          <w:lang w:val="es-PE"/>
        </w:rPr>
        <w:t xml:space="preserve">a </w:t>
      </w:r>
      <w:r w:rsidR="00C542CA" w:rsidRPr="009313AF">
        <w:rPr>
          <w:rFonts w:ascii="Cambria" w:hAnsi="Cambria"/>
          <w:sz w:val="20"/>
          <w:szCs w:val="20"/>
          <w:lang w:val="es-PE"/>
        </w:rPr>
        <w:t>fiscalías y/o juzgados</w:t>
      </w:r>
      <w:r w:rsidR="00D4240C" w:rsidRPr="009313AF">
        <w:rPr>
          <w:rFonts w:ascii="Cambria" w:hAnsi="Cambria"/>
          <w:sz w:val="20"/>
          <w:szCs w:val="20"/>
          <w:lang w:val="es-PE"/>
        </w:rPr>
        <w:t xml:space="preserve"> independientes </w:t>
      </w:r>
      <w:r w:rsidR="00C542CA" w:rsidRPr="009313AF">
        <w:rPr>
          <w:rFonts w:ascii="Cambria" w:hAnsi="Cambria"/>
          <w:sz w:val="20"/>
          <w:szCs w:val="20"/>
          <w:lang w:val="es-PE"/>
        </w:rPr>
        <w:t>e imparciales</w:t>
      </w:r>
      <w:r w:rsidR="001D6485" w:rsidRPr="009313AF">
        <w:rPr>
          <w:rStyle w:val="FootnoteReference"/>
          <w:rFonts w:ascii="Cambria" w:hAnsi="Cambria"/>
          <w:sz w:val="20"/>
          <w:szCs w:val="20"/>
          <w:lang w:val="es-PE"/>
        </w:rPr>
        <w:footnoteReference w:id="127"/>
      </w:r>
      <w:r w:rsidR="00241982" w:rsidRPr="009313AF">
        <w:rPr>
          <w:rFonts w:ascii="Cambria" w:hAnsi="Cambria"/>
          <w:sz w:val="20"/>
          <w:szCs w:val="20"/>
          <w:lang w:val="es-PE"/>
        </w:rPr>
        <w:t>.</w:t>
      </w:r>
    </w:p>
    <w:p w14:paraId="129022F0" w14:textId="77777777" w:rsidR="00DF099B" w:rsidRPr="00B5616B" w:rsidRDefault="00DF099B" w:rsidP="00B5616B">
      <w:pPr>
        <w:pStyle w:val="ListParagraph"/>
        <w:spacing w:before="0" w:after="0"/>
        <w:rPr>
          <w:sz w:val="20"/>
          <w:szCs w:val="20"/>
          <w:lang w:val="es-ES"/>
        </w:rPr>
      </w:pPr>
    </w:p>
    <w:p w14:paraId="01B538E0" w14:textId="1B7A1610" w:rsidR="00FE0DE9" w:rsidRPr="00B5616B" w:rsidRDefault="00943453" w:rsidP="00B5616B">
      <w:pPr>
        <w:pStyle w:val="Heading4"/>
        <w:rPr>
          <w:szCs w:val="20"/>
        </w:rPr>
      </w:pPr>
      <w:r w:rsidRPr="00B5616B">
        <w:rPr>
          <w:szCs w:val="20"/>
        </w:rPr>
        <w:t xml:space="preserve">3.c </w:t>
      </w:r>
      <w:r w:rsidR="00FE0DE9" w:rsidRPr="00B5616B">
        <w:rPr>
          <w:szCs w:val="20"/>
        </w:rPr>
        <w:t xml:space="preserve">Plazo razonable </w:t>
      </w:r>
    </w:p>
    <w:p w14:paraId="1BD84DB1" w14:textId="77777777" w:rsidR="00FE0DE9" w:rsidRPr="00B5616B" w:rsidRDefault="00FE0DE9" w:rsidP="00B5616B">
      <w:pPr>
        <w:pStyle w:val="ListParagraph"/>
        <w:spacing w:before="0" w:after="0"/>
        <w:rPr>
          <w:sz w:val="20"/>
          <w:szCs w:val="20"/>
          <w:lang w:val="es-US"/>
        </w:rPr>
      </w:pPr>
    </w:p>
    <w:p w14:paraId="61271DC2" w14:textId="77777777" w:rsidR="00794C1F" w:rsidRPr="00B5616B" w:rsidRDefault="00794C1F"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US"/>
        </w:rPr>
      </w:pPr>
      <w:r w:rsidRPr="00B5616B">
        <w:rPr>
          <w:rFonts w:ascii="Cambria" w:hAnsi="Cambria"/>
          <w:sz w:val="20"/>
          <w:szCs w:val="20"/>
          <w:lang w:val="es-US"/>
        </w:rPr>
        <w:t xml:space="preserve">En cuanto al plazo razonable, el artículo 8.1 de la Convención Americana establece como uno de los elementos del debido proceso que los tribunales decidan los casos sometidos a su conocimiento en un plazo razonable. En este sentido, una demora prolongada puede llegar a constituir </w:t>
      </w:r>
      <w:r w:rsidRPr="00B5616B">
        <w:rPr>
          <w:rFonts w:ascii="Cambria" w:hAnsi="Cambria"/>
          <w:i/>
          <w:sz w:val="20"/>
          <w:szCs w:val="20"/>
          <w:lang w:val="es-US"/>
        </w:rPr>
        <w:t>per se</w:t>
      </w:r>
      <w:r w:rsidRPr="00B5616B">
        <w:rPr>
          <w:rFonts w:ascii="Cambria" w:hAnsi="Cambria"/>
          <w:sz w:val="20"/>
          <w:szCs w:val="20"/>
          <w:lang w:val="es-US"/>
        </w:rPr>
        <w:t xml:space="preserve"> una violación de las garantías judiciales</w:t>
      </w:r>
      <w:r w:rsidRPr="00B5616B">
        <w:rPr>
          <w:rStyle w:val="FootnoteReference"/>
          <w:rFonts w:ascii="Cambria" w:hAnsi="Cambria"/>
          <w:sz w:val="20"/>
          <w:szCs w:val="20"/>
          <w:lang w:val="es-ES_tradnl"/>
        </w:rPr>
        <w:footnoteReference w:id="128"/>
      </w:r>
      <w:r w:rsidRPr="00B5616B">
        <w:rPr>
          <w:rFonts w:ascii="Cambria" w:hAnsi="Cambria"/>
          <w:sz w:val="20"/>
          <w:szCs w:val="20"/>
          <w:lang w:val="es-US"/>
        </w:rPr>
        <w:t>, por lo que corresponde al Estado exponer y probar la razón por la cual se ha requerido más tiempo del razonable para dictar sentencia definitiva en un caso particular</w:t>
      </w:r>
      <w:r w:rsidRPr="00B5616B">
        <w:rPr>
          <w:rStyle w:val="FootnoteReference"/>
          <w:rFonts w:ascii="Cambria" w:hAnsi="Cambria"/>
          <w:sz w:val="20"/>
          <w:szCs w:val="20"/>
          <w:lang w:val="es-ES_tradnl"/>
        </w:rPr>
        <w:footnoteReference w:id="129"/>
      </w:r>
      <w:r w:rsidRPr="00B5616B">
        <w:rPr>
          <w:rFonts w:ascii="Cambria" w:hAnsi="Cambria"/>
          <w:sz w:val="20"/>
          <w:szCs w:val="20"/>
          <w:lang w:val="es-US"/>
        </w:rPr>
        <w:t xml:space="preserve">. </w:t>
      </w:r>
    </w:p>
    <w:p w14:paraId="34AD977C" w14:textId="77777777" w:rsidR="00794C1F" w:rsidRPr="00B5616B" w:rsidRDefault="00794C1F" w:rsidP="00B5616B">
      <w:pPr>
        <w:ind w:left="629"/>
        <w:jc w:val="both"/>
        <w:rPr>
          <w:rFonts w:ascii="Cambria" w:hAnsi="Cambria"/>
          <w:sz w:val="20"/>
          <w:szCs w:val="20"/>
          <w:lang w:val="es-ES"/>
        </w:rPr>
      </w:pPr>
    </w:p>
    <w:p w14:paraId="02993B21" w14:textId="77777777" w:rsidR="00794C1F" w:rsidRPr="00B5616B" w:rsidRDefault="00794C1F" w:rsidP="00D44BD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B5616B">
        <w:rPr>
          <w:rFonts w:ascii="Cambria" w:hAnsi="Cambria"/>
          <w:sz w:val="20"/>
          <w:szCs w:val="20"/>
          <w:lang w:val="es-ES"/>
        </w:rPr>
        <w:t>En ese sentido, la razonabilidad del plazo se debe apreciar en relación con la duración total del procedimiento penal</w:t>
      </w:r>
      <w:r w:rsidRPr="00B5616B">
        <w:rPr>
          <w:rStyle w:val="FootnoteReference"/>
          <w:rFonts w:ascii="Cambria" w:hAnsi="Cambria"/>
          <w:sz w:val="20"/>
          <w:szCs w:val="20"/>
          <w:lang w:val="es-ES_tradnl"/>
        </w:rPr>
        <w:footnoteReference w:id="130"/>
      </w:r>
      <w:r w:rsidRPr="00B5616B">
        <w:rPr>
          <w:rFonts w:ascii="Cambria" w:hAnsi="Cambria"/>
          <w:sz w:val="20"/>
          <w:szCs w:val="20"/>
          <w:lang w:val="es-ES"/>
        </w:rPr>
        <w:t xml:space="preserve">. </w:t>
      </w:r>
      <w:r w:rsidRPr="00B5616B">
        <w:rPr>
          <w:rFonts w:ascii="Cambria" w:hAnsi="Cambria"/>
          <w:sz w:val="20"/>
          <w:szCs w:val="20"/>
          <w:lang w:val="es-US"/>
        </w:rPr>
        <w:t>Según los términos del artículo 8.1 de la Convención Americana, la Comisión tomará en consideración, a la luz de las circunstancias concretas del caso, los siguientes cuatro elementos</w:t>
      </w:r>
      <w:r w:rsidRPr="00B5616B">
        <w:rPr>
          <w:rFonts w:ascii="Cambria" w:hAnsi="Cambria"/>
          <w:sz w:val="20"/>
          <w:szCs w:val="20"/>
          <w:lang w:val="es-ES"/>
        </w:rPr>
        <w:t>: i) la complejidad del asunto; ii) la actividad procesal del interesado; iii) la conducta de las autoridades judiciales;</w:t>
      </w:r>
      <w:r w:rsidRPr="00B5616B">
        <w:rPr>
          <w:rFonts w:ascii="Cambria" w:hAnsi="Cambria"/>
          <w:sz w:val="20"/>
          <w:szCs w:val="20"/>
          <w:lang w:val="es-US"/>
        </w:rPr>
        <w:t xml:space="preserve"> y iv) la afectación generada en la situación jurídica de la persona involucrada en el proceso</w:t>
      </w:r>
      <w:r w:rsidRPr="00B5616B">
        <w:rPr>
          <w:rStyle w:val="FootnoteReference"/>
          <w:rFonts w:ascii="Cambria" w:hAnsi="Cambria"/>
          <w:sz w:val="20"/>
          <w:szCs w:val="20"/>
          <w:lang w:val="es-ES_tradnl"/>
        </w:rPr>
        <w:footnoteReference w:id="131"/>
      </w:r>
      <w:r w:rsidRPr="00B5616B">
        <w:rPr>
          <w:rFonts w:ascii="Cambria" w:hAnsi="Cambria"/>
          <w:sz w:val="20"/>
          <w:szCs w:val="20"/>
          <w:lang w:val="es-ES"/>
        </w:rPr>
        <w:t>.</w:t>
      </w:r>
    </w:p>
    <w:p w14:paraId="46188853" w14:textId="32EFD824" w:rsidR="00361F7C" w:rsidRPr="00B5616B" w:rsidRDefault="00361F7C" w:rsidP="00D44B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S"/>
        </w:rPr>
      </w:pPr>
      <w:bookmarkStart w:id="37" w:name="_Toc534905537"/>
    </w:p>
    <w:p w14:paraId="1AB3860E" w14:textId="77777777" w:rsidR="00692BFA" w:rsidRPr="00524E57" w:rsidRDefault="00361F7C" w:rsidP="00D44BDA">
      <w:pPr>
        <w:pStyle w:val="Heading3"/>
        <w:tabs>
          <w:tab w:val="left" w:pos="720"/>
        </w:tabs>
        <w:rPr>
          <w:lang w:val="es-US"/>
        </w:rPr>
      </w:pPr>
      <w:bookmarkStart w:id="38" w:name="_Toc47965332"/>
      <w:r w:rsidRPr="00524E57">
        <w:t>Análisis del caso</w:t>
      </w:r>
      <w:bookmarkEnd w:id="38"/>
    </w:p>
    <w:p w14:paraId="6194FD1C" w14:textId="77777777" w:rsidR="00F43758" w:rsidRPr="00524E57" w:rsidRDefault="00F43758" w:rsidP="00D44BD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US"/>
        </w:rPr>
      </w:pPr>
    </w:p>
    <w:p w14:paraId="10DC3FE1" w14:textId="62DA1588" w:rsidR="006B4B6C" w:rsidRPr="005541DE" w:rsidRDefault="00F71B09" w:rsidP="00D44BD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524E57">
        <w:rPr>
          <w:rFonts w:ascii="Cambria" w:hAnsi="Cambria"/>
          <w:sz w:val="20"/>
          <w:szCs w:val="20"/>
          <w:lang w:val="es-US"/>
        </w:rPr>
        <w:t>E</w:t>
      </w:r>
      <w:r w:rsidR="000F4ACC" w:rsidRPr="00524E57">
        <w:rPr>
          <w:rFonts w:ascii="Cambria" w:hAnsi="Cambria"/>
          <w:sz w:val="20"/>
          <w:szCs w:val="20"/>
          <w:lang w:val="es-VE"/>
        </w:rPr>
        <w:t xml:space="preserve">l presente caso </w:t>
      </w:r>
      <w:r w:rsidRPr="00524E57">
        <w:rPr>
          <w:rFonts w:ascii="Cambria" w:hAnsi="Cambria"/>
          <w:spacing w:val="-2"/>
          <w:sz w:val="20"/>
          <w:szCs w:val="20"/>
          <w:lang w:val="es-ES_tradnl"/>
        </w:rPr>
        <w:t>se refiere a</w:t>
      </w:r>
      <w:r w:rsidR="00B23FE9" w:rsidRPr="00524E57">
        <w:rPr>
          <w:rFonts w:ascii="Cambria" w:hAnsi="Cambria"/>
          <w:spacing w:val="-2"/>
          <w:sz w:val="20"/>
          <w:szCs w:val="20"/>
          <w:lang w:val="es-ES_tradnl"/>
        </w:rPr>
        <w:t xml:space="preserve">l asesinato de Santiago Leguizamón, </w:t>
      </w:r>
      <w:r w:rsidR="00F4078C" w:rsidRPr="00524E57">
        <w:rPr>
          <w:rFonts w:ascii="Cambria" w:hAnsi="Cambria"/>
          <w:sz w:val="20"/>
          <w:szCs w:val="20"/>
          <w:lang w:val="es-VE"/>
        </w:rPr>
        <w:t>un importante periodista y defensor de derechos humanos de Pedro Juan Caballero, una de las zonas más violentas de Paraguay</w:t>
      </w:r>
      <w:r w:rsidR="00A068A6" w:rsidRPr="00524E57">
        <w:rPr>
          <w:rFonts w:ascii="Cambria" w:hAnsi="Cambria"/>
          <w:sz w:val="20"/>
          <w:szCs w:val="20"/>
          <w:lang w:val="es-VE"/>
        </w:rPr>
        <w:t xml:space="preserve"> y a la </w:t>
      </w:r>
      <w:r w:rsidR="002F7924" w:rsidRPr="00524E57">
        <w:rPr>
          <w:rFonts w:ascii="Cambria" w:hAnsi="Cambria"/>
          <w:sz w:val="20"/>
          <w:szCs w:val="20"/>
          <w:lang w:val="es-VE"/>
        </w:rPr>
        <w:t xml:space="preserve">impunidad en la que se encuentra el caso. </w:t>
      </w:r>
      <w:r w:rsidR="002F7924" w:rsidRPr="00524E57">
        <w:rPr>
          <w:rFonts w:ascii="Cambria" w:hAnsi="Cambria"/>
          <w:spacing w:val="-2"/>
          <w:sz w:val="20"/>
          <w:szCs w:val="20"/>
          <w:lang w:val="es-ES_tradnl"/>
        </w:rPr>
        <w:t>Dicho lo anterior, la Comisión deberá determinar si</w:t>
      </w:r>
      <w:r w:rsidR="001C7E29" w:rsidRPr="00524E57">
        <w:rPr>
          <w:rFonts w:ascii="Cambria" w:hAnsi="Cambria"/>
          <w:spacing w:val="-2"/>
          <w:sz w:val="20"/>
          <w:szCs w:val="20"/>
          <w:lang w:val="es-ES_tradnl"/>
        </w:rPr>
        <w:t xml:space="preserve"> el Estado</w:t>
      </w:r>
      <w:r w:rsidR="00C11F21" w:rsidRPr="00524E57">
        <w:rPr>
          <w:rFonts w:ascii="Cambria" w:hAnsi="Cambria"/>
          <w:spacing w:val="-2"/>
          <w:sz w:val="20"/>
          <w:szCs w:val="20"/>
          <w:lang w:val="es-ES_tradnl"/>
        </w:rPr>
        <w:t xml:space="preserve"> es responsable </w:t>
      </w:r>
      <w:r w:rsidR="0039213E" w:rsidRPr="00524E57">
        <w:rPr>
          <w:rFonts w:ascii="Cambria" w:hAnsi="Cambria"/>
          <w:spacing w:val="-2"/>
          <w:sz w:val="20"/>
          <w:szCs w:val="20"/>
          <w:lang w:val="es-ES_tradnl"/>
        </w:rPr>
        <w:t xml:space="preserve">internacionalmente por la muerte del periodista y si garantizó su derecho a la libertad de expresión. </w:t>
      </w:r>
      <w:r w:rsidR="001A45DB" w:rsidRPr="00524E57">
        <w:rPr>
          <w:rFonts w:ascii="Cambria" w:hAnsi="Cambria"/>
          <w:spacing w:val="-2"/>
          <w:sz w:val="20"/>
          <w:szCs w:val="20"/>
          <w:lang w:val="es-ES_tradnl"/>
        </w:rPr>
        <w:t xml:space="preserve">Asimismo, la CIDH deberá establecer si el Estado </w:t>
      </w:r>
      <w:r w:rsidR="00DB2919" w:rsidRPr="00524E57">
        <w:rPr>
          <w:rFonts w:ascii="Cambria" w:hAnsi="Cambria"/>
          <w:spacing w:val="-2"/>
          <w:sz w:val="20"/>
          <w:szCs w:val="20"/>
          <w:lang w:val="es-ES_tradnl"/>
        </w:rPr>
        <w:t>cumplió con su obliga</w:t>
      </w:r>
      <w:r w:rsidR="00B20D95" w:rsidRPr="00524E57">
        <w:rPr>
          <w:rFonts w:ascii="Cambria" w:hAnsi="Cambria"/>
          <w:spacing w:val="-2"/>
          <w:sz w:val="20"/>
          <w:szCs w:val="20"/>
          <w:lang w:val="es-ES_tradnl"/>
        </w:rPr>
        <w:t>ción de investigar el</w:t>
      </w:r>
      <w:r w:rsidR="00993DFF" w:rsidRPr="00524E57">
        <w:rPr>
          <w:rFonts w:ascii="Cambria" w:hAnsi="Cambria"/>
          <w:spacing w:val="-2"/>
          <w:sz w:val="20"/>
          <w:szCs w:val="20"/>
          <w:lang w:val="es-ES_tradnl"/>
        </w:rPr>
        <w:t xml:space="preserve"> crimen </w:t>
      </w:r>
      <w:r w:rsidR="00537445" w:rsidRPr="00524E57">
        <w:rPr>
          <w:rFonts w:ascii="Cambria" w:hAnsi="Cambria"/>
          <w:spacing w:val="-2"/>
          <w:sz w:val="20"/>
          <w:szCs w:val="20"/>
          <w:lang w:val="es-ES_tradnl"/>
        </w:rPr>
        <w:t xml:space="preserve">y garantizó los derechos a </w:t>
      </w:r>
      <w:r w:rsidR="00D43A66" w:rsidRPr="00524E57">
        <w:rPr>
          <w:rFonts w:ascii="Cambria" w:hAnsi="Cambria"/>
          <w:spacing w:val="-2"/>
          <w:sz w:val="20"/>
          <w:szCs w:val="20"/>
          <w:lang w:val="es-ES_tradnl"/>
        </w:rPr>
        <w:t xml:space="preserve">las </w:t>
      </w:r>
      <w:r w:rsidR="001A45DB" w:rsidRPr="00524E57">
        <w:rPr>
          <w:rFonts w:ascii="Cambria" w:hAnsi="Cambria"/>
          <w:spacing w:val="-2"/>
          <w:sz w:val="20"/>
          <w:szCs w:val="20"/>
          <w:lang w:val="es-ES_tradnl"/>
        </w:rPr>
        <w:t>garantías judiciales</w:t>
      </w:r>
      <w:r w:rsidR="00D43A66" w:rsidRPr="00524E57">
        <w:rPr>
          <w:rFonts w:ascii="Cambria" w:hAnsi="Cambria"/>
          <w:spacing w:val="-2"/>
          <w:sz w:val="20"/>
          <w:szCs w:val="20"/>
          <w:lang w:val="es-ES_tradnl"/>
        </w:rPr>
        <w:t xml:space="preserve"> y protección judicial</w:t>
      </w:r>
      <w:r w:rsidR="001A45DB" w:rsidRPr="00524E57">
        <w:rPr>
          <w:rFonts w:ascii="Cambria" w:hAnsi="Cambria"/>
          <w:spacing w:val="-2"/>
          <w:sz w:val="20"/>
          <w:szCs w:val="20"/>
          <w:lang w:val="es-ES_tradnl"/>
        </w:rPr>
        <w:t xml:space="preserve"> </w:t>
      </w:r>
      <w:r w:rsidR="00B20D95" w:rsidRPr="00524E57">
        <w:rPr>
          <w:rFonts w:ascii="Cambria" w:hAnsi="Cambria"/>
          <w:spacing w:val="-2"/>
          <w:sz w:val="20"/>
          <w:szCs w:val="20"/>
          <w:lang w:val="es-ES_tradnl"/>
        </w:rPr>
        <w:t xml:space="preserve">a sus familiares. </w:t>
      </w:r>
    </w:p>
    <w:p w14:paraId="372ADEE4" w14:textId="02B59697" w:rsidR="005541DE" w:rsidRDefault="005541DE" w:rsidP="005541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pacing w:val="-2"/>
          <w:sz w:val="20"/>
          <w:szCs w:val="20"/>
          <w:lang w:val="es-ES_tradnl"/>
        </w:rPr>
      </w:pPr>
    </w:p>
    <w:p w14:paraId="0B5ED675" w14:textId="17990ADB" w:rsidR="005541DE" w:rsidRPr="002D1E99" w:rsidRDefault="005541DE" w:rsidP="003846AB">
      <w:pPr>
        <w:pStyle w:val="Heading4"/>
      </w:pPr>
      <w:r>
        <w:t xml:space="preserve">4.a Derecho a la vida y a la libertad de expresión de Santiago Leguizamón </w:t>
      </w:r>
    </w:p>
    <w:p w14:paraId="10FDB40B" w14:textId="77777777" w:rsidR="002D1E99" w:rsidRPr="002D1E99" w:rsidRDefault="002D1E99" w:rsidP="002D1E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5567EE99" w14:textId="6378DBDE" w:rsidR="005E0448" w:rsidRPr="007523A4" w:rsidRDefault="002D1E99" w:rsidP="007523A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7523A4">
        <w:rPr>
          <w:rFonts w:ascii="Cambria" w:hAnsi="Cambria"/>
          <w:sz w:val="20"/>
          <w:szCs w:val="20"/>
          <w:lang w:val="es-VE"/>
        </w:rPr>
        <w:t xml:space="preserve">Los peticionarios alegan que el periodista solicitó protección </w:t>
      </w:r>
      <w:r w:rsidR="00C75D29" w:rsidRPr="007523A4">
        <w:rPr>
          <w:rFonts w:ascii="Cambria" w:hAnsi="Cambria"/>
          <w:sz w:val="20"/>
          <w:szCs w:val="20"/>
          <w:lang w:val="es-VE"/>
        </w:rPr>
        <w:t>poli</w:t>
      </w:r>
      <w:r w:rsidRPr="007523A4">
        <w:rPr>
          <w:rFonts w:ascii="Cambria" w:hAnsi="Cambria"/>
          <w:sz w:val="20"/>
          <w:szCs w:val="20"/>
          <w:lang w:val="es-VE"/>
        </w:rPr>
        <w:t>cial en distintas oportunidades y que las denuncias sobre sus amenazas eran de notorio conocimiento, pero que el Estado no adoptó medidas de protección</w:t>
      </w:r>
      <w:r w:rsidR="00071B38">
        <w:rPr>
          <w:rFonts w:ascii="Cambria" w:hAnsi="Cambria"/>
          <w:sz w:val="20"/>
          <w:szCs w:val="20"/>
          <w:lang w:val="es-VE"/>
        </w:rPr>
        <w:t xml:space="preserve"> adecuadas</w:t>
      </w:r>
      <w:r w:rsidRPr="007523A4">
        <w:rPr>
          <w:rFonts w:ascii="Cambria" w:hAnsi="Cambria"/>
          <w:sz w:val="20"/>
          <w:szCs w:val="20"/>
          <w:lang w:val="es-VE"/>
        </w:rPr>
        <w:t xml:space="preserve">, por lo que es responsable por </w:t>
      </w:r>
      <w:r w:rsidR="00AD17AE" w:rsidRPr="007523A4">
        <w:rPr>
          <w:rFonts w:ascii="Cambria" w:hAnsi="Cambria"/>
          <w:sz w:val="20"/>
          <w:szCs w:val="20"/>
          <w:lang w:val="es-VE"/>
        </w:rPr>
        <w:t xml:space="preserve">la violación del derecho a la vida y a la libertad de expresión </w:t>
      </w:r>
      <w:r w:rsidR="001B141B" w:rsidRPr="007523A4">
        <w:rPr>
          <w:rFonts w:ascii="Cambria" w:hAnsi="Cambria"/>
          <w:sz w:val="20"/>
          <w:szCs w:val="20"/>
          <w:lang w:val="es-VE"/>
        </w:rPr>
        <w:t xml:space="preserve">de Santiago Leguizamón. Por su parte, el Estado señaló que no era responsable debido a que </w:t>
      </w:r>
      <w:r w:rsidR="0056376C" w:rsidRPr="007523A4">
        <w:rPr>
          <w:rFonts w:ascii="Cambria" w:hAnsi="Cambria"/>
          <w:sz w:val="20"/>
          <w:szCs w:val="20"/>
          <w:lang w:val="es-VE"/>
        </w:rPr>
        <w:t xml:space="preserve">la muerte del periodista no fue causada por agentes estatales. Como fue previamente señalado, </w:t>
      </w:r>
      <w:r w:rsidR="002F79CF" w:rsidRPr="007523A4">
        <w:rPr>
          <w:rFonts w:ascii="Cambria" w:hAnsi="Cambria"/>
          <w:spacing w:val="-2"/>
          <w:sz w:val="20"/>
          <w:szCs w:val="20"/>
          <w:lang w:val="es-ES_tradnl"/>
        </w:rPr>
        <w:t>conforme a</w:t>
      </w:r>
      <w:r w:rsidR="002F79CF" w:rsidRPr="007523A4">
        <w:rPr>
          <w:rFonts w:ascii="Cambria" w:hAnsi="Cambria"/>
          <w:i/>
          <w:iCs/>
          <w:spacing w:val="-2"/>
          <w:sz w:val="20"/>
          <w:szCs w:val="20"/>
          <w:lang w:val="es-ES_tradnl"/>
        </w:rPr>
        <w:t xml:space="preserve"> </w:t>
      </w:r>
      <w:r w:rsidR="00B20904" w:rsidRPr="007523A4">
        <w:rPr>
          <w:rFonts w:ascii="Cambria" w:hAnsi="Cambria"/>
          <w:sz w:val="20"/>
          <w:szCs w:val="20"/>
          <w:lang w:val="es-CO"/>
        </w:rPr>
        <w:t xml:space="preserve">la información derivada del expediente judicial, no existen suficientes indicios que le permitan a la CIDH concluir que las amenazas proferidas en contra del periodista Santiago Leguizamón, así como su posterior asesinato fueron causadas </w:t>
      </w:r>
      <w:r w:rsidR="00B20904" w:rsidRPr="007523A4">
        <w:rPr>
          <w:rFonts w:ascii="Cambria" w:hAnsi="Cambria"/>
          <w:sz w:val="20"/>
          <w:szCs w:val="20"/>
          <w:lang w:val="es-ES"/>
        </w:rPr>
        <w:t>por agentes del Estado. Por lo anterior, corresponde analizar la alegada violación del derecho a la vida bajo el deber de</w:t>
      </w:r>
      <w:r w:rsidR="005336CC">
        <w:rPr>
          <w:rFonts w:ascii="Cambria" w:hAnsi="Cambria"/>
          <w:sz w:val="20"/>
          <w:szCs w:val="20"/>
          <w:lang w:val="es-ES"/>
        </w:rPr>
        <w:t xml:space="preserve"> prevención y</w:t>
      </w:r>
      <w:r w:rsidR="00B20904" w:rsidRPr="007523A4">
        <w:rPr>
          <w:rFonts w:ascii="Cambria" w:hAnsi="Cambria"/>
          <w:sz w:val="20"/>
          <w:szCs w:val="20"/>
          <w:lang w:val="es-ES"/>
        </w:rPr>
        <w:t xml:space="preserve"> protección, como componente</w:t>
      </w:r>
      <w:r w:rsidR="00D00D45">
        <w:rPr>
          <w:rFonts w:ascii="Cambria" w:hAnsi="Cambria"/>
          <w:sz w:val="20"/>
          <w:szCs w:val="20"/>
          <w:lang w:val="es-ES"/>
        </w:rPr>
        <w:t>s</w:t>
      </w:r>
      <w:r w:rsidR="00B20904" w:rsidRPr="007523A4">
        <w:rPr>
          <w:rFonts w:ascii="Cambria" w:hAnsi="Cambria"/>
          <w:sz w:val="20"/>
          <w:szCs w:val="20"/>
          <w:lang w:val="es-ES"/>
        </w:rPr>
        <w:t xml:space="preserve"> de la obligación de garantía</w:t>
      </w:r>
      <w:r w:rsidR="00E60924" w:rsidRPr="007523A4">
        <w:rPr>
          <w:rFonts w:ascii="Cambria" w:hAnsi="Cambria"/>
          <w:sz w:val="20"/>
          <w:szCs w:val="20"/>
          <w:lang w:val="es-ES"/>
        </w:rPr>
        <w:t xml:space="preserve">. Lo anterior, </w:t>
      </w:r>
      <w:r w:rsidR="00E60924" w:rsidRPr="007523A4">
        <w:rPr>
          <w:rFonts w:ascii="Cambria" w:hAnsi="Cambria"/>
          <w:sz w:val="20"/>
          <w:szCs w:val="20"/>
          <w:lang w:val="es-ES"/>
        </w:rPr>
        <w:lastRenderedPageBreak/>
        <w:t>sin perjuicio del deber del Estado de investigar</w:t>
      </w:r>
      <w:r w:rsidR="00B818F9" w:rsidRPr="007523A4">
        <w:rPr>
          <w:rFonts w:ascii="Cambria" w:hAnsi="Cambria"/>
          <w:sz w:val="20"/>
          <w:szCs w:val="20"/>
          <w:lang w:val="es-ES"/>
        </w:rPr>
        <w:t>, juzgar y sancionar a todos los autores del crimen, lo cual podría incluir a agentes estatales.</w:t>
      </w:r>
    </w:p>
    <w:p w14:paraId="0F39570D" w14:textId="77777777" w:rsidR="005E0448" w:rsidRPr="007523A4" w:rsidRDefault="005E0448" w:rsidP="007523A4">
      <w:pPr>
        <w:pStyle w:val="ListParagraph"/>
        <w:spacing w:before="0" w:after="0"/>
        <w:rPr>
          <w:sz w:val="20"/>
          <w:szCs w:val="20"/>
          <w:lang w:val="es-MX"/>
        </w:rPr>
      </w:pPr>
    </w:p>
    <w:p w14:paraId="3DD1B6F9" w14:textId="614C8086" w:rsidR="005E0448" w:rsidRPr="007523A4" w:rsidRDefault="005E0448" w:rsidP="007523A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7523A4">
        <w:rPr>
          <w:rFonts w:ascii="Cambria" w:hAnsi="Cambria"/>
          <w:sz w:val="20"/>
          <w:szCs w:val="20"/>
          <w:lang w:val="es-MX"/>
        </w:rPr>
        <w:t xml:space="preserve">A continuación, la Comisión analizará si el Estado cumplió con su deber de proteger los derechos a la vida </w:t>
      </w:r>
      <w:r w:rsidR="0013541A" w:rsidRPr="007523A4">
        <w:rPr>
          <w:rFonts w:ascii="Cambria" w:hAnsi="Cambria"/>
          <w:sz w:val="20"/>
          <w:szCs w:val="20"/>
          <w:lang w:val="es-MX"/>
        </w:rPr>
        <w:t>y a la libertad de expresión de Santiago Leguizamón</w:t>
      </w:r>
      <w:r w:rsidR="00D00D45">
        <w:rPr>
          <w:rFonts w:ascii="Cambria" w:hAnsi="Cambria"/>
          <w:sz w:val="20"/>
          <w:szCs w:val="20"/>
          <w:lang w:val="es-MX"/>
        </w:rPr>
        <w:t xml:space="preserve"> y con su deber de prevenir violaciones a tales derechos</w:t>
      </w:r>
      <w:r w:rsidR="0013541A" w:rsidRPr="007523A4">
        <w:rPr>
          <w:rFonts w:ascii="Cambria" w:hAnsi="Cambria"/>
          <w:sz w:val="20"/>
          <w:szCs w:val="20"/>
          <w:lang w:val="es-MX"/>
        </w:rPr>
        <w:t xml:space="preserve">, </w:t>
      </w:r>
      <w:r w:rsidRPr="007523A4">
        <w:rPr>
          <w:rFonts w:ascii="Cambria" w:hAnsi="Cambria"/>
          <w:sz w:val="20"/>
          <w:szCs w:val="20"/>
          <w:lang w:val="es-MX"/>
        </w:rPr>
        <w:t xml:space="preserve">de conformidad con los estándares antes señalados. </w:t>
      </w:r>
    </w:p>
    <w:p w14:paraId="7D788E83" w14:textId="77777777" w:rsidR="000F1A1A" w:rsidRPr="007523A4" w:rsidRDefault="000F1A1A" w:rsidP="007523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pacing w:val="-2"/>
          <w:sz w:val="20"/>
          <w:szCs w:val="20"/>
          <w:lang w:val="es-ES"/>
        </w:rPr>
      </w:pPr>
    </w:p>
    <w:p w14:paraId="145139DB" w14:textId="2E97CF35" w:rsidR="00C57FB3" w:rsidRPr="007523A4" w:rsidRDefault="00677462" w:rsidP="007523A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7523A4">
        <w:rPr>
          <w:rFonts w:ascii="Cambria" w:hAnsi="Cambria"/>
          <w:sz w:val="20"/>
          <w:szCs w:val="20"/>
          <w:lang w:val="es-ES"/>
        </w:rPr>
        <w:t>L</w:t>
      </w:r>
      <w:r w:rsidR="00B33695" w:rsidRPr="007523A4">
        <w:rPr>
          <w:rFonts w:ascii="Cambria" w:hAnsi="Cambria"/>
          <w:sz w:val="20"/>
          <w:szCs w:val="20"/>
          <w:lang w:val="es-VE"/>
        </w:rPr>
        <w:t xml:space="preserve">a </w:t>
      </w:r>
      <w:r w:rsidR="004740D8" w:rsidRPr="007523A4">
        <w:rPr>
          <w:rFonts w:ascii="Cambria" w:hAnsi="Cambria"/>
          <w:sz w:val="20"/>
          <w:szCs w:val="20"/>
          <w:lang w:val="es-VE"/>
        </w:rPr>
        <w:t xml:space="preserve">Comisión considera que </w:t>
      </w:r>
      <w:r w:rsidR="00293B99" w:rsidRPr="007523A4">
        <w:rPr>
          <w:rFonts w:ascii="Cambria" w:hAnsi="Cambria"/>
          <w:sz w:val="20"/>
          <w:szCs w:val="20"/>
          <w:lang w:val="es-VE"/>
        </w:rPr>
        <w:t xml:space="preserve">existen elementos de convicción suficientes </w:t>
      </w:r>
      <w:r w:rsidR="00F325D7" w:rsidRPr="007523A4">
        <w:rPr>
          <w:rFonts w:ascii="Cambria" w:hAnsi="Cambria"/>
          <w:sz w:val="20"/>
          <w:szCs w:val="20"/>
          <w:lang w:val="es-VE"/>
        </w:rPr>
        <w:t xml:space="preserve">y consistentes que permiten concluir que el asesinato de Santiago Leguizamón </w:t>
      </w:r>
      <w:r w:rsidR="00C73408" w:rsidRPr="007523A4">
        <w:rPr>
          <w:rFonts w:ascii="Cambria" w:hAnsi="Cambria"/>
          <w:sz w:val="20"/>
          <w:szCs w:val="20"/>
          <w:lang w:val="es-VE"/>
        </w:rPr>
        <w:t xml:space="preserve">estuvo </w:t>
      </w:r>
      <w:r w:rsidR="00E03590" w:rsidRPr="007523A4">
        <w:rPr>
          <w:rFonts w:ascii="Cambria" w:hAnsi="Cambria"/>
          <w:sz w:val="20"/>
          <w:szCs w:val="20"/>
          <w:lang w:val="es-VE"/>
        </w:rPr>
        <w:t>vinculado</w:t>
      </w:r>
      <w:r w:rsidR="00C73408" w:rsidRPr="007523A4">
        <w:rPr>
          <w:rFonts w:ascii="Cambria" w:hAnsi="Cambria"/>
          <w:sz w:val="20"/>
          <w:szCs w:val="20"/>
          <w:lang w:val="es-VE"/>
        </w:rPr>
        <w:t xml:space="preserve"> a su labor periodística</w:t>
      </w:r>
      <w:r w:rsidR="000602B3">
        <w:rPr>
          <w:rFonts w:ascii="Cambria" w:hAnsi="Cambria"/>
          <w:sz w:val="20"/>
          <w:szCs w:val="20"/>
          <w:lang w:val="es-VE"/>
        </w:rPr>
        <w:t>, en particular po</w:t>
      </w:r>
      <w:r w:rsidR="00E74957">
        <w:rPr>
          <w:rFonts w:ascii="Cambria" w:hAnsi="Cambria"/>
          <w:sz w:val="20"/>
          <w:szCs w:val="20"/>
          <w:lang w:val="es-VE"/>
        </w:rPr>
        <w:t>rque</w:t>
      </w:r>
      <w:r w:rsidR="000602B3">
        <w:rPr>
          <w:rFonts w:ascii="Cambria" w:hAnsi="Cambria"/>
          <w:sz w:val="20"/>
          <w:szCs w:val="20"/>
          <w:lang w:val="es-VE"/>
        </w:rPr>
        <w:t xml:space="preserve"> investigaba temas </w:t>
      </w:r>
      <w:r w:rsidR="00F028E0">
        <w:rPr>
          <w:rFonts w:ascii="Cambria" w:hAnsi="Cambria"/>
          <w:sz w:val="20"/>
          <w:szCs w:val="20"/>
          <w:lang w:val="es-VE"/>
        </w:rPr>
        <w:t>de interés público</w:t>
      </w:r>
      <w:r w:rsidR="00E74957">
        <w:rPr>
          <w:rFonts w:ascii="Cambria" w:hAnsi="Cambria"/>
          <w:sz w:val="20"/>
          <w:szCs w:val="20"/>
          <w:lang w:val="es-VE"/>
        </w:rPr>
        <w:t xml:space="preserve"> en donde estarían involucrados</w:t>
      </w:r>
      <w:r w:rsidR="00685FEF">
        <w:rPr>
          <w:rFonts w:ascii="Cambria" w:hAnsi="Cambria"/>
          <w:sz w:val="20"/>
          <w:szCs w:val="20"/>
          <w:lang w:val="es-VE"/>
        </w:rPr>
        <w:t xml:space="preserve"> importantes grupos de poder.</w:t>
      </w:r>
      <w:r w:rsidR="00E74957">
        <w:rPr>
          <w:rFonts w:ascii="Cambria" w:hAnsi="Cambria"/>
          <w:sz w:val="20"/>
          <w:szCs w:val="20"/>
          <w:lang w:val="es-VE"/>
        </w:rPr>
        <w:t xml:space="preserve"> </w:t>
      </w:r>
      <w:r w:rsidR="00A272E7" w:rsidRPr="007523A4">
        <w:rPr>
          <w:rFonts w:ascii="Cambria" w:hAnsi="Cambria"/>
          <w:sz w:val="20"/>
          <w:szCs w:val="20"/>
          <w:lang w:val="es-VE"/>
        </w:rPr>
        <w:t xml:space="preserve">Asimismo, diversas declaraciones rendidas durante las investigaciones </w:t>
      </w:r>
      <w:r w:rsidR="00CD5F4E" w:rsidRPr="007523A4">
        <w:rPr>
          <w:rFonts w:ascii="Cambria" w:hAnsi="Cambria"/>
          <w:sz w:val="20"/>
          <w:szCs w:val="20"/>
          <w:lang w:val="es-VE"/>
        </w:rPr>
        <w:t xml:space="preserve">y proceso penal por su </w:t>
      </w:r>
      <w:r w:rsidR="00D00D45">
        <w:rPr>
          <w:rFonts w:ascii="Cambria" w:hAnsi="Cambria"/>
          <w:sz w:val="20"/>
          <w:szCs w:val="20"/>
          <w:lang w:val="es-VE"/>
        </w:rPr>
        <w:t>muerte</w:t>
      </w:r>
      <w:r w:rsidR="00CD5F4E" w:rsidRPr="007523A4">
        <w:rPr>
          <w:rFonts w:ascii="Cambria" w:hAnsi="Cambria"/>
          <w:sz w:val="20"/>
          <w:szCs w:val="20"/>
          <w:lang w:val="es-VE"/>
        </w:rPr>
        <w:t xml:space="preserve"> vinculan el asesinato </w:t>
      </w:r>
      <w:r w:rsidR="00351A04" w:rsidRPr="007523A4">
        <w:rPr>
          <w:rFonts w:ascii="Cambria" w:hAnsi="Cambria"/>
          <w:sz w:val="20"/>
          <w:szCs w:val="20"/>
          <w:lang w:val="es-VE"/>
        </w:rPr>
        <w:t xml:space="preserve">con </w:t>
      </w:r>
      <w:r w:rsidR="00AE552E" w:rsidRPr="007523A4">
        <w:rPr>
          <w:rFonts w:ascii="Cambria" w:hAnsi="Cambria"/>
          <w:sz w:val="20"/>
          <w:szCs w:val="20"/>
          <w:lang w:val="es-VE"/>
        </w:rPr>
        <w:t>la</w:t>
      </w:r>
      <w:r w:rsidR="00351A04" w:rsidRPr="007523A4">
        <w:rPr>
          <w:rFonts w:ascii="Cambria" w:hAnsi="Cambria"/>
          <w:sz w:val="20"/>
          <w:szCs w:val="20"/>
          <w:lang w:val="es-VE"/>
        </w:rPr>
        <w:t xml:space="preserve"> labor crítica del periodista en la zona</w:t>
      </w:r>
      <w:r w:rsidR="00DF0BB5" w:rsidRPr="007523A4">
        <w:rPr>
          <w:rFonts w:ascii="Cambria" w:hAnsi="Cambria"/>
          <w:sz w:val="20"/>
          <w:szCs w:val="20"/>
          <w:lang w:val="es-VE"/>
        </w:rPr>
        <w:t>. De igual manera, de la prueba aportada</w:t>
      </w:r>
      <w:r w:rsidR="00D00D45">
        <w:rPr>
          <w:rFonts w:ascii="Cambria" w:hAnsi="Cambria"/>
          <w:sz w:val="20"/>
          <w:szCs w:val="20"/>
          <w:lang w:val="es-VE"/>
        </w:rPr>
        <w:t>,</w:t>
      </w:r>
      <w:r w:rsidR="00DF0BB5" w:rsidRPr="007523A4">
        <w:rPr>
          <w:rFonts w:ascii="Cambria" w:hAnsi="Cambria"/>
          <w:sz w:val="20"/>
          <w:szCs w:val="20"/>
          <w:lang w:val="es-VE"/>
        </w:rPr>
        <w:t xml:space="preserve"> result</w:t>
      </w:r>
      <w:r w:rsidR="00F24167" w:rsidRPr="007523A4">
        <w:rPr>
          <w:rFonts w:ascii="Cambria" w:hAnsi="Cambria"/>
          <w:sz w:val="20"/>
          <w:szCs w:val="20"/>
          <w:lang w:val="es-VE"/>
        </w:rPr>
        <w:t>a claro que Santiago recibió una serie de amenazas, incluso de muerte</w:t>
      </w:r>
      <w:r w:rsidR="005336CC">
        <w:rPr>
          <w:rFonts w:ascii="Cambria" w:hAnsi="Cambria"/>
          <w:sz w:val="20"/>
          <w:szCs w:val="20"/>
          <w:lang w:val="es-VE"/>
        </w:rPr>
        <w:t>,</w:t>
      </w:r>
      <w:r w:rsidR="00F24167" w:rsidRPr="007523A4">
        <w:rPr>
          <w:rFonts w:ascii="Cambria" w:hAnsi="Cambria"/>
          <w:sz w:val="20"/>
          <w:szCs w:val="20"/>
          <w:lang w:val="es-VE"/>
        </w:rPr>
        <w:t xml:space="preserve"> como respuesta a los artículos que publicaba</w:t>
      </w:r>
      <w:r w:rsidR="00D01D2D" w:rsidRPr="007523A4">
        <w:rPr>
          <w:rFonts w:ascii="Cambria" w:hAnsi="Cambria"/>
          <w:sz w:val="20"/>
          <w:szCs w:val="20"/>
          <w:lang w:val="es-VE"/>
        </w:rPr>
        <w:t xml:space="preserve">, a pesar de que no se conoce con certeza si estas provinieron de agentes estatales o de terceros. </w:t>
      </w:r>
      <w:r w:rsidR="00C57FB3" w:rsidRPr="007523A4">
        <w:rPr>
          <w:rFonts w:ascii="Cambria" w:hAnsi="Cambria"/>
          <w:sz w:val="20"/>
          <w:szCs w:val="20"/>
          <w:lang w:val="es-VE"/>
        </w:rPr>
        <w:t xml:space="preserve"> </w:t>
      </w:r>
    </w:p>
    <w:p w14:paraId="0B17B976" w14:textId="77777777" w:rsidR="00FB3949" w:rsidRPr="007523A4" w:rsidRDefault="00FB3949" w:rsidP="007523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pacing w:val="-2"/>
          <w:sz w:val="20"/>
          <w:szCs w:val="20"/>
          <w:lang w:val="es-ES_tradnl"/>
        </w:rPr>
      </w:pPr>
    </w:p>
    <w:p w14:paraId="6FD1DCBE" w14:textId="2FF8F30F" w:rsidR="00A321F6" w:rsidRPr="007523A4" w:rsidRDefault="00815111" w:rsidP="007523A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pacing w:val="-2"/>
          <w:sz w:val="20"/>
          <w:szCs w:val="20"/>
          <w:lang w:val="es-ES_tradnl"/>
        </w:rPr>
      </w:pPr>
      <w:r w:rsidRPr="007523A4">
        <w:rPr>
          <w:rFonts w:ascii="Cambria" w:hAnsi="Cambria"/>
          <w:spacing w:val="-2"/>
          <w:sz w:val="20"/>
          <w:szCs w:val="20"/>
          <w:lang w:val="es-ES_tradnl"/>
        </w:rPr>
        <w:t xml:space="preserve">Para la Comisión resulta probado que </w:t>
      </w:r>
      <w:r w:rsidR="00A21BA9" w:rsidRPr="007523A4">
        <w:rPr>
          <w:rFonts w:ascii="Cambria" w:hAnsi="Cambria"/>
          <w:sz w:val="20"/>
          <w:szCs w:val="20"/>
          <w:lang w:val="es-VE"/>
        </w:rPr>
        <w:t>Santiago</w:t>
      </w:r>
      <w:r w:rsidR="00E944CE" w:rsidRPr="007523A4">
        <w:rPr>
          <w:rFonts w:ascii="Cambria" w:hAnsi="Cambria"/>
          <w:sz w:val="20"/>
          <w:szCs w:val="20"/>
          <w:lang w:val="es-VE"/>
        </w:rPr>
        <w:t xml:space="preserve"> exponía</w:t>
      </w:r>
      <w:r w:rsidR="00D00D45">
        <w:rPr>
          <w:rFonts w:ascii="Cambria" w:hAnsi="Cambria"/>
          <w:sz w:val="20"/>
          <w:szCs w:val="20"/>
          <w:lang w:val="es-VE"/>
        </w:rPr>
        <w:t xml:space="preserve"> </w:t>
      </w:r>
      <w:r w:rsidR="00E944CE" w:rsidRPr="007523A4">
        <w:rPr>
          <w:rFonts w:ascii="Cambria" w:hAnsi="Cambria"/>
          <w:sz w:val="20"/>
          <w:szCs w:val="20"/>
          <w:lang w:val="es-VE"/>
        </w:rPr>
        <w:t>de forma pública</w:t>
      </w:r>
      <w:r w:rsidR="00C83ED7" w:rsidRPr="007523A4">
        <w:rPr>
          <w:rFonts w:ascii="Cambria" w:hAnsi="Cambria"/>
          <w:sz w:val="20"/>
          <w:szCs w:val="20"/>
          <w:lang w:val="es-VE"/>
        </w:rPr>
        <w:t>, hechos y críticas respecto de</w:t>
      </w:r>
      <w:r w:rsidR="00D73429" w:rsidRPr="007523A4">
        <w:rPr>
          <w:rFonts w:ascii="Cambria" w:hAnsi="Cambria"/>
          <w:sz w:val="20"/>
          <w:szCs w:val="20"/>
          <w:lang w:val="es-VE"/>
        </w:rPr>
        <w:t xml:space="preserve"> </w:t>
      </w:r>
      <w:r w:rsidR="00A21BA9" w:rsidRPr="007523A4">
        <w:rPr>
          <w:rFonts w:ascii="Cambria" w:hAnsi="Cambria"/>
          <w:sz w:val="20"/>
          <w:szCs w:val="20"/>
          <w:lang w:val="es-ES"/>
        </w:rPr>
        <w:t>la actuación de las autoridades y ciertos empresarios de su comunidad, en relación con el medio ambiente, contrabando de madera, la situación de los pueblos indígenas y sus tierras, la corrupción y los problemas de delincuencia y violencia en</w:t>
      </w:r>
      <w:r w:rsidR="00D00D45" w:rsidRPr="007523A4">
        <w:rPr>
          <w:rFonts w:ascii="Cambria" w:hAnsi="Cambria"/>
          <w:sz w:val="20"/>
          <w:szCs w:val="20"/>
          <w:lang w:val="es-VE"/>
        </w:rPr>
        <w:t xml:space="preserve"> la ciudad de Pedro Juan Caballero</w:t>
      </w:r>
      <w:r w:rsidR="00D00D45">
        <w:rPr>
          <w:rFonts w:ascii="Cambria" w:hAnsi="Cambria"/>
          <w:sz w:val="20"/>
          <w:szCs w:val="20"/>
          <w:lang w:val="es-VE"/>
        </w:rPr>
        <w:t>,</w:t>
      </w:r>
      <w:r w:rsidR="00A21BA9" w:rsidRPr="007523A4">
        <w:rPr>
          <w:rFonts w:ascii="Cambria" w:hAnsi="Cambria"/>
          <w:sz w:val="20"/>
          <w:szCs w:val="20"/>
          <w:lang w:val="es-ES"/>
        </w:rPr>
        <w:t xml:space="preserve"> zona fronteriza</w:t>
      </w:r>
      <w:r w:rsidR="00D00D45">
        <w:rPr>
          <w:rFonts w:ascii="Cambria" w:hAnsi="Cambria"/>
          <w:sz w:val="20"/>
          <w:szCs w:val="20"/>
          <w:lang w:val="es-ES"/>
        </w:rPr>
        <w:t xml:space="preserve"> con Brasil.</w:t>
      </w:r>
      <w:r w:rsidR="002D1AD2" w:rsidRPr="007523A4">
        <w:rPr>
          <w:rFonts w:ascii="Cambria" w:hAnsi="Cambria"/>
          <w:sz w:val="20"/>
          <w:szCs w:val="20"/>
          <w:lang w:val="es-VE"/>
        </w:rPr>
        <w:t xml:space="preserve"> </w:t>
      </w:r>
      <w:r w:rsidR="00F54FC9" w:rsidRPr="007523A4">
        <w:rPr>
          <w:rFonts w:ascii="Cambria" w:hAnsi="Cambria"/>
          <w:sz w:val="20"/>
          <w:szCs w:val="20"/>
          <w:lang w:val="es-VE"/>
        </w:rPr>
        <w:t>Es decir que el periodista investigó temas de alto interés público</w:t>
      </w:r>
      <w:r w:rsidR="00A568C5" w:rsidRPr="007523A4">
        <w:rPr>
          <w:rFonts w:ascii="Cambria" w:hAnsi="Cambria"/>
          <w:sz w:val="20"/>
          <w:szCs w:val="20"/>
          <w:lang w:val="es-VE"/>
        </w:rPr>
        <w:t>, y expuso,</w:t>
      </w:r>
      <w:r w:rsidR="00F60BDC" w:rsidRPr="007523A4">
        <w:rPr>
          <w:rFonts w:ascii="Cambria" w:hAnsi="Cambria"/>
          <w:sz w:val="20"/>
          <w:szCs w:val="20"/>
          <w:lang w:val="es-VE"/>
        </w:rPr>
        <w:t xml:space="preserve"> de manera directa y reiterada</w:t>
      </w:r>
      <w:r w:rsidR="00A568C5" w:rsidRPr="007523A4">
        <w:rPr>
          <w:rFonts w:ascii="Cambria" w:hAnsi="Cambria"/>
          <w:sz w:val="20"/>
          <w:szCs w:val="20"/>
          <w:lang w:val="es-VE"/>
        </w:rPr>
        <w:t xml:space="preserve">, </w:t>
      </w:r>
      <w:r w:rsidR="00C53911" w:rsidRPr="007523A4">
        <w:rPr>
          <w:rFonts w:ascii="Cambria" w:hAnsi="Cambria"/>
          <w:sz w:val="20"/>
          <w:szCs w:val="20"/>
          <w:lang w:val="es-VE"/>
        </w:rPr>
        <w:t xml:space="preserve">a las autoridades y empresarios poderosos de su localidad. Esto le generó una serie de amenazas, </w:t>
      </w:r>
      <w:r w:rsidR="0097028A" w:rsidRPr="007523A4">
        <w:rPr>
          <w:rFonts w:ascii="Cambria" w:hAnsi="Cambria"/>
          <w:sz w:val="20"/>
          <w:szCs w:val="20"/>
          <w:lang w:val="es-VE"/>
        </w:rPr>
        <w:t>que luego se concretaron en su brutal asesinato</w:t>
      </w:r>
      <w:r w:rsidR="00D612DF" w:rsidRPr="007523A4">
        <w:rPr>
          <w:rFonts w:ascii="Cambria" w:hAnsi="Cambria"/>
          <w:sz w:val="20"/>
          <w:szCs w:val="20"/>
          <w:lang w:val="es-VE"/>
        </w:rPr>
        <w:t xml:space="preserve">, causado por 21 heridas de bala, que incluso </w:t>
      </w:r>
      <w:r w:rsidR="00D00D45">
        <w:rPr>
          <w:rFonts w:ascii="Cambria" w:hAnsi="Cambria"/>
          <w:sz w:val="20"/>
          <w:szCs w:val="20"/>
          <w:lang w:val="es-VE"/>
        </w:rPr>
        <w:t xml:space="preserve">le </w:t>
      </w:r>
      <w:r w:rsidR="00D612DF" w:rsidRPr="007523A4">
        <w:rPr>
          <w:rFonts w:ascii="Cambria" w:hAnsi="Cambria"/>
          <w:sz w:val="20"/>
          <w:szCs w:val="20"/>
          <w:lang w:val="es-VE"/>
        </w:rPr>
        <w:t xml:space="preserve">causaron la </w:t>
      </w:r>
      <w:r w:rsidR="004E525A" w:rsidRPr="007523A4">
        <w:rPr>
          <w:rFonts w:ascii="Cambria" w:hAnsi="Cambria"/>
          <w:sz w:val="20"/>
          <w:szCs w:val="20"/>
          <w:lang w:val="es-VE"/>
        </w:rPr>
        <w:t>pérdida del globo ocula</w:t>
      </w:r>
      <w:r w:rsidR="00EB7E60" w:rsidRPr="007523A4">
        <w:rPr>
          <w:rFonts w:ascii="Cambria" w:hAnsi="Cambria"/>
          <w:sz w:val="20"/>
          <w:szCs w:val="20"/>
          <w:lang w:val="es-VE"/>
        </w:rPr>
        <w:t>r izquierdo</w:t>
      </w:r>
      <w:r w:rsidR="00EC56D7" w:rsidRPr="007523A4">
        <w:rPr>
          <w:rFonts w:ascii="Cambria" w:hAnsi="Cambria"/>
          <w:sz w:val="20"/>
          <w:szCs w:val="20"/>
          <w:lang w:val="es-VE"/>
        </w:rPr>
        <w:t>.</w:t>
      </w:r>
      <w:r w:rsidR="00030F34" w:rsidRPr="007523A4">
        <w:rPr>
          <w:rFonts w:ascii="Cambria" w:hAnsi="Cambria"/>
          <w:sz w:val="20"/>
          <w:szCs w:val="20"/>
          <w:lang w:val="es-VE"/>
        </w:rPr>
        <w:t xml:space="preserve"> Además,</w:t>
      </w:r>
      <w:r w:rsidR="00EC56D7" w:rsidRPr="007523A4">
        <w:rPr>
          <w:rFonts w:ascii="Cambria" w:hAnsi="Cambria"/>
          <w:sz w:val="20"/>
          <w:szCs w:val="20"/>
          <w:lang w:val="es-VE"/>
        </w:rPr>
        <w:t xml:space="preserve"> </w:t>
      </w:r>
      <w:r w:rsidR="00030F34" w:rsidRPr="007523A4">
        <w:rPr>
          <w:rFonts w:ascii="Cambria" w:hAnsi="Cambria"/>
          <w:sz w:val="20"/>
          <w:szCs w:val="20"/>
          <w:lang w:val="es-VE"/>
        </w:rPr>
        <w:t>l</w:t>
      </w:r>
      <w:r w:rsidR="00EC56D7" w:rsidRPr="007523A4">
        <w:rPr>
          <w:rFonts w:ascii="Cambria" w:hAnsi="Cambria"/>
          <w:sz w:val="20"/>
          <w:szCs w:val="20"/>
          <w:lang w:val="es-VE"/>
        </w:rPr>
        <w:t xml:space="preserve">a Comisión destaca </w:t>
      </w:r>
      <w:r w:rsidR="00030F34" w:rsidRPr="007523A4">
        <w:rPr>
          <w:rFonts w:ascii="Cambria" w:hAnsi="Cambria"/>
          <w:sz w:val="20"/>
          <w:szCs w:val="20"/>
          <w:lang w:val="es-VE"/>
        </w:rPr>
        <w:t>que</w:t>
      </w:r>
      <w:r w:rsidR="00F22DF0" w:rsidRPr="007523A4">
        <w:rPr>
          <w:rFonts w:ascii="Cambria" w:hAnsi="Cambria"/>
          <w:sz w:val="20"/>
          <w:szCs w:val="20"/>
          <w:lang w:val="es-VE"/>
        </w:rPr>
        <w:t xml:space="preserve"> Pedro Juan Caballero </w:t>
      </w:r>
      <w:r w:rsidR="00CC6A86" w:rsidRPr="007523A4">
        <w:rPr>
          <w:rFonts w:ascii="Cambria" w:hAnsi="Cambria"/>
          <w:sz w:val="20"/>
          <w:szCs w:val="20"/>
          <w:lang w:val="es-VE"/>
        </w:rPr>
        <w:t>era una zona muy violenta, en donde</w:t>
      </w:r>
      <w:r w:rsidR="00E77CCC">
        <w:rPr>
          <w:rFonts w:ascii="Cambria" w:hAnsi="Cambria"/>
          <w:sz w:val="20"/>
          <w:szCs w:val="20"/>
          <w:lang w:val="es-VE"/>
        </w:rPr>
        <w:t xml:space="preserve">, </w:t>
      </w:r>
      <w:r w:rsidR="00CC6A86" w:rsidRPr="007523A4">
        <w:rPr>
          <w:rFonts w:ascii="Cambria" w:hAnsi="Cambria"/>
          <w:sz w:val="20"/>
          <w:szCs w:val="20"/>
          <w:lang w:val="es-VE"/>
        </w:rPr>
        <w:t xml:space="preserve">según la prensa de la época, se sabía </w:t>
      </w:r>
      <w:r w:rsidR="00233028" w:rsidRPr="007523A4">
        <w:rPr>
          <w:rFonts w:ascii="Cambria" w:hAnsi="Cambria"/>
          <w:sz w:val="20"/>
          <w:szCs w:val="20"/>
          <w:lang w:val="es-VE"/>
        </w:rPr>
        <w:t xml:space="preserve">“quiénes eran los mafiosos </w:t>
      </w:r>
      <w:r w:rsidR="00F075CD" w:rsidRPr="007523A4">
        <w:rPr>
          <w:rFonts w:ascii="Cambria" w:hAnsi="Cambria"/>
          <w:sz w:val="20"/>
          <w:szCs w:val="20"/>
          <w:lang w:val="es-VE"/>
        </w:rPr>
        <w:t>en la zona”</w:t>
      </w:r>
      <w:r w:rsidR="00E26DFD" w:rsidRPr="007523A4">
        <w:rPr>
          <w:rFonts w:ascii="Cambria" w:hAnsi="Cambria"/>
          <w:sz w:val="20"/>
          <w:szCs w:val="20"/>
          <w:lang w:val="es-VE"/>
        </w:rPr>
        <w:t xml:space="preserve"> y “quiénes eran los corruptos”</w:t>
      </w:r>
      <w:r w:rsidR="00F075CD" w:rsidRPr="007523A4">
        <w:rPr>
          <w:rStyle w:val="FootnoteReference"/>
          <w:rFonts w:ascii="Cambria" w:hAnsi="Cambria"/>
          <w:sz w:val="20"/>
          <w:szCs w:val="20"/>
          <w:lang w:val="es-VE"/>
        </w:rPr>
        <w:footnoteReference w:id="132"/>
      </w:r>
      <w:r w:rsidR="00F075CD" w:rsidRPr="007523A4">
        <w:rPr>
          <w:rFonts w:ascii="Cambria" w:hAnsi="Cambria"/>
          <w:sz w:val="20"/>
          <w:szCs w:val="20"/>
          <w:lang w:val="es-VE"/>
        </w:rPr>
        <w:t>.</w:t>
      </w:r>
      <w:r w:rsidR="00657ACB" w:rsidRPr="007523A4">
        <w:rPr>
          <w:rFonts w:ascii="Cambria" w:hAnsi="Cambria"/>
          <w:sz w:val="20"/>
          <w:szCs w:val="20"/>
          <w:lang w:val="es-VE"/>
        </w:rPr>
        <w:t xml:space="preserve"> Lo anterior comprueba la existencia de un riesgo </w:t>
      </w:r>
      <w:r w:rsidR="006A4798" w:rsidRPr="007523A4">
        <w:rPr>
          <w:rFonts w:ascii="Cambria" w:hAnsi="Cambria"/>
          <w:sz w:val="20"/>
          <w:szCs w:val="20"/>
          <w:lang w:val="es-VE"/>
        </w:rPr>
        <w:t>especial con motivo de su labor y el ejercicio de su derecho a la libertad de expresión</w:t>
      </w:r>
      <w:r w:rsidR="00657ACB" w:rsidRPr="007523A4">
        <w:rPr>
          <w:rFonts w:ascii="Cambria" w:hAnsi="Cambria"/>
          <w:sz w:val="20"/>
          <w:szCs w:val="20"/>
          <w:lang w:val="es-VE"/>
        </w:rPr>
        <w:t>.</w:t>
      </w:r>
    </w:p>
    <w:p w14:paraId="65F6264D" w14:textId="77777777" w:rsidR="007523A4" w:rsidRPr="007523A4" w:rsidRDefault="007523A4" w:rsidP="007523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pacing w:val="-2"/>
          <w:sz w:val="20"/>
          <w:szCs w:val="20"/>
          <w:lang w:val="es-ES_tradnl"/>
        </w:rPr>
      </w:pPr>
    </w:p>
    <w:p w14:paraId="0FBEF407" w14:textId="75F36FD2" w:rsidR="00884512" w:rsidRPr="002812FE" w:rsidRDefault="00887642" w:rsidP="007523A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pacing w:val="-2"/>
          <w:sz w:val="20"/>
          <w:szCs w:val="20"/>
          <w:lang w:val="es-ES_tradnl"/>
        </w:rPr>
      </w:pPr>
      <w:r w:rsidRPr="007523A4">
        <w:rPr>
          <w:rFonts w:ascii="Cambria" w:hAnsi="Cambria"/>
          <w:spacing w:val="-2"/>
          <w:sz w:val="20"/>
          <w:szCs w:val="20"/>
          <w:lang w:val="es-ES_tradnl"/>
        </w:rPr>
        <w:t xml:space="preserve">Asimismo, </w:t>
      </w:r>
      <w:r w:rsidR="00A1471C" w:rsidRPr="007523A4">
        <w:rPr>
          <w:rFonts w:ascii="Cambria" w:hAnsi="Cambria"/>
          <w:spacing w:val="-2"/>
          <w:sz w:val="20"/>
          <w:szCs w:val="20"/>
          <w:lang w:val="es-ES_tradnl"/>
        </w:rPr>
        <w:t xml:space="preserve">en cuanto </w:t>
      </w:r>
      <w:r w:rsidR="00A1471C" w:rsidRPr="007523A4">
        <w:rPr>
          <w:rFonts w:ascii="Cambria" w:hAnsi="Cambria"/>
          <w:sz w:val="20"/>
          <w:szCs w:val="20"/>
          <w:lang w:val="es-US"/>
        </w:rPr>
        <w:t>al conocimiento de la situación de riesgo, la Comisión destaca que</w:t>
      </w:r>
      <w:r w:rsidR="00D72D44" w:rsidRPr="007523A4">
        <w:rPr>
          <w:rFonts w:ascii="Cambria" w:hAnsi="Cambria"/>
          <w:sz w:val="20"/>
          <w:szCs w:val="20"/>
          <w:lang w:val="es-US"/>
        </w:rPr>
        <w:t xml:space="preserve"> dicho requisito se cumple cuando la víctima pone en conocimiento</w:t>
      </w:r>
      <w:r w:rsidR="005330F0" w:rsidRPr="007523A4">
        <w:rPr>
          <w:rFonts w:ascii="Cambria" w:hAnsi="Cambria"/>
          <w:sz w:val="20"/>
          <w:szCs w:val="20"/>
          <w:lang w:val="es-US"/>
        </w:rPr>
        <w:t xml:space="preserve"> del Estado</w:t>
      </w:r>
      <w:r w:rsidR="00FF2F03" w:rsidRPr="007523A4">
        <w:rPr>
          <w:rFonts w:ascii="Cambria" w:hAnsi="Cambria"/>
          <w:sz w:val="20"/>
          <w:szCs w:val="20"/>
          <w:lang w:val="es-US"/>
        </w:rPr>
        <w:t xml:space="preserve"> </w:t>
      </w:r>
      <w:r w:rsidR="00FF2F03" w:rsidRPr="007523A4">
        <w:rPr>
          <w:rFonts w:ascii="Cambria" w:hAnsi="Cambria"/>
          <w:sz w:val="20"/>
          <w:szCs w:val="20"/>
          <w:lang w:val="es-PE"/>
        </w:rPr>
        <w:t>una situación de riesgo real e inmediato a través de</w:t>
      </w:r>
      <w:r w:rsidR="00D72D44" w:rsidRPr="007523A4">
        <w:rPr>
          <w:rFonts w:ascii="Cambria" w:hAnsi="Cambria"/>
          <w:sz w:val="20"/>
          <w:szCs w:val="20"/>
          <w:lang w:val="es-US"/>
        </w:rPr>
        <w:t xml:space="preserve"> </w:t>
      </w:r>
      <w:r w:rsidR="00CD4A25" w:rsidRPr="007523A4">
        <w:rPr>
          <w:rFonts w:ascii="Cambria" w:hAnsi="Cambria"/>
          <w:sz w:val="20"/>
          <w:szCs w:val="20"/>
          <w:lang w:val="es-PE"/>
        </w:rPr>
        <w:t>las denuncias realizadas ante órganos o funcionarios públicos, respecto de las cuales se puede verificar el conocimiento estatal previo</w:t>
      </w:r>
      <w:r w:rsidR="00A225EF" w:rsidRPr="007523A4">
        <w:rPr>
          <w:rFonts w:ascii="Cambria" w:hAnsi="Cambria"/>
          <w:sz w:val="20"/>
          <w:szCs w:val="20"/>
          <w:lang w:val="es-PE"/>
        </w:rPr>
        <w:t xml:space="preserve">. </w:t>
      </w:r>
      <w:r w:rsidR="00E11FC7" w:rsidRPr="007523A4">
        <w:rPr>
          <w:rFonts w:ascii="Cambria" w:hAnsi="Cambria"/>
          <w:sz w:val="20"/>
          <w:szCs w:val="20"/>
          <w:lang w:val="es-PE"/>
        </w:rPr>
        <w:t>Además</w:t>
      </w:r>
      <w:r w:rsidR="00A225EF" w:rsidRPr="007523A4">
        <w:rPr>
          <w:rFonts w:ascii="Cambria" w:hAnsi="Cambria"/>
          <w:sz w:val="20"/>
          <w:szCs w:val="20"/>
          <w:lang w:val="es-PE"/>
        </w:rPr>
        <w:t xml:space="preserve">, la Comisión considera </w:t>
      </w:r>
      <w:r w:rsidR="00E77021" w:rsidRPr="007523A4">
        <w:rPr>
          <w:rFonts w:ascii="Cambria" w:hAnsi="Cambria"/>
          <w:sz w:val="20"/>
          <w:szCs w:val="20"/>
          <w:lang w:val="es-PE"/>
        </w:rPr>
        <w:t>que la puesta en conocimiento también se cumple si se logra determinar</w:t>
      </w:r>
      <w:r w:rsidR="00153E99" w:rsidRPr="007523A4">
        <w:rPr>
          <w:rFonts w:ascii="Cambria" w:hAnsi="Cambria"/>
          <w:sz w:val="20"/>
          <w:szCs w:val="20"/>
          <w:lang w:val="es-PE"/>
        </w:rPr>
        <w:t xml:space="preserve"> en ciertos casos,</w:t>
      </w:r>
      <w:r w:rsidR="00E77021" w:rsidRPr="007523A4">
        <w:rPr>
          <w:rFonts w:ascii="Cambria" w:hAnsi="Cambria"/>
          <w:sz w:val="20"/>
          <w:szCs w:val="20"/>
          <w:lang w:val="es-PE"/>
        </w:rPr>
        <w:t xml:space="preserve"> </w:t>
      </w:r>
      <w:r w:rsidR="00E77021" w:rsidRPr="00420DFB">
        <w:rPr>
          <w:rFonts w:ascii="Cambria" w:hAnsi="Cambria"/>
          <w:sz w:val="20"/>
          <w:szCs w:val="20"/>
          <w:lang w:val="es-PE"/>
        </w:rPr>
        <w:t xml:space="preserve">que </w:t>
      </w:r>
      <w:r w:rsidR="00A225EF" w:rsidRPr="00420DFB">
        <w:rPr>
          <w:rFonts w:ascii="Cambria" w:hAnsi="Cambria"/>
          <w:sz w:val="20"/>
          <w:szCs w:val="20"/>
          <w:lang w:val="es-PE"/>
        </w:rPr>
        <w:t xml:space="preserve">el Estado </w:t>
      </w:r>
      <w:r w:rsidR="00800660" w:rsidRPr="00420DFB">
        <w:rPr>
          <w:rFonts w:ascii="Cambria" w:hAnsi="Cambria"/>
          <w:sz w:val="20"/>
          <w:szCs w:val="20"/>
          <w:lang w:val="es-PE"/>
        </w:rPr>
        <w:t>recibió</w:t>
      </w:r>
      <w:r w:rsidR="00A225EF" w:rsidRPr="00420DFB">
        <w:rPr>
          <w:rFonts w:ascii="Cambria" w:hAnsi="Cambria"/>
          <w:sz w:val="20"/>
          <w:szCs w:val="20"/>
          <w:lang w:val="es-PE"/>
        </w:rPr>
        <w:t xml:space="preserve"> noticia de dich</w:t>
      </w:r>
      <w:r w:rsidR="00800660" w:rsidRPr="00420DFB">
        <w:rPr>
          <w:rFonts w:ascii="Cambria" w:hAnsi="Cambria"/>
          <w:sz w:val="20"/>
          <w:szCs w:val="20"/>
          <w:lang w:val="es-PE"/>
        </w:rPr>
        <w:t>o riesgo real e inmediato</w:t>
      </w:r>
      <w:r w:rsidR="00A225EF" w:rsidRPr="00420DFB">
        <w:rPr>
          <w:rFonts w:ascii="Cambria" w:hAnsi="Cambria"/>
          <w:sz w:val="20"/>
          <w:szCs w:val="20"/>
          <w:lang w:val="es-PE"/>
        </w:rPr>
        <w:t xml:space="preserve"> por otros medios</w:t>
      </w:r>
      <w:r w:rsidR="00315AC9" w:rsidRPr="00420DFB">
        <w:rPr>
          <w:rFonts w:ascii="Cambria" w:hAnsi="Cambria"/>
          <w:sz w:val="20"/>
          <w:szCs w:val="20"/>
          <w:lang w:val="es-PE"/>
        </w:rPr>
        <w:t xml:space="preserve"> que permitan comprobar </w:t>
      </w:r>
      <w:r w:rsidR="00FC3A0C" w:rsidRPr="00420DFB">
        <w:rPr>
          <w:rFonts w:ascii="Cambria" w:hAnsi="Cambria"/>
          <w:sz w:val="20"/>
          <w:szCs w:val="20"/>
          <w:lang w:val="es-PE"/>
        </w:rPr>
        <w:t>que conoció</w:t>
      </w:r>
      <w:r w:rsidR="001461B0" w:rsidRPr="00420DFB">
        <w:rPr>
          <w:rFonts w:ascii="Cambria" w:hAnsi="Cambria"/>
          <w:sz w:val="20"/>
          <w:szCs w:val="20"/>
          <w:lang w:val="es-PE"/>
        </w:rPr>
        <w:t xml:space="preserve"> una situación particular</w:t>
      </w:r>
      <w:r w:rsidR="00A225EF" w:rsidRPr="00420DFB">
        <w:rPr>
          <w:rFonts w:ascii="Cambria" w:hAnsi="Cambria"/>
          <w:sz w:val="20"/>
          <w:szCs w:val="20"/>
          <w:lang w:val="es-PE"/>
        </w:rPr>
        <w:t xml:space="preserve">, </w:t>
      </w:r>
      <w:r w:rsidR="00800660" w:rsidRPr="00420DFB">
        <w:rPr>
          <w:rFonts w:ascii="Cambria" w:hAnsi="Cambria"/>
          <w:sz w:val="20"/>
          <w:szCs w:val="20"/>
          <w:lang w:val="es-PE"/>
        </w:rPr>
        <w:t xml:space="preserve">lo cual </w:t>
      </w:r>
      <w:r w:rsidR="00A225EF" w:rsidRPr="00420DFB">
        <w:rPr>
          <w:rFonts w:ascii="Cambria" w:hAnsi="Cambria"/>
          <w:sz w:val="20"/>
          <w:szCs w:val="20"/>
          <w:lang w:val="es-PE"/>
        </w:rPr>
        <w:t>debe ser suficiente para que éste active mecanismos de protección a favor de</w:t>
      </w:r>
      <w:r w:rsidR="00800660" w:rsidRPr="00420DFB">
        <w:rPr>
          <w:rFonts w:ascii="Cambria" w:hAnsi="Cambria"/>
          <w:sz w:val="20"/>
          <w:szCs w:val="20"/>
          <w:lang w:val="es-PE"/>
        </w:rPr>
        <w:t xml:space="preserve"> la víctima</w:t>
      </w:r>
      <w:r w:rsidR="00800660" w:rsidRPr="00420DFB">
        <w:rPr>
          <w:rStyle w:val="FootnoteReference"/>
          <w:rFonts w:ascii="Cambria" w:hAnsi="Cambria"/>
          <w:sz w:val="20"/>
          <w:szCs w:val="20"/>
          <w:lang w:val="es-PE"/>
        </w:rPr>
        <w:footnoteReference w:id="133"/>
      </w:r>
      <w:r w:rsidR="00800660" w:rsidRPr="00420DFB">
        <w:rPr>
          <w:rFonts w:ascii="Cambria" w:hAnsi="Cambria"/>
          <w:sz w:val="20"/>
          <w:szCs w:val="20"/>
          <w:lang w:val="es-PE"/>
        </w:rPr>
        <w:t>.</w:t>
      </w:r>
      <w:r w:rsidR="00645756" w:rsidRPr="007523A4">
        <w:rPr>
          <w:rFonts w:ascii="Cambria" w:hAnsi="Cambria"/>
          <w:sz w:val="20"/>
          <w:szCs w:val="20"/>
          <w:lang w:val="es-PE"/>
        </w:rPr>
        <w:t xml:space="preserve"> Es decir que, una vez que </w:t>
      </w:r>
      <w:r w:rsidR="00685A5D" w:rsidRPr="007523A4">
        <w:rPr>
          <w:rFonts w:ascii="Cambria" w:hAnsi="Cambria"/>
          <w:sz w:val="20"/>
          <w:szCs w:val="20"/>
          <w:bdr w:val="none" w:sz="0" w:space="0" w:color="auto"/>
          <w:lang w:val="es-AR"/>
        </w:rPr>
        <w:t xml:space="preserve">las autoridades estatales </w:t>
      </w:r>
      <w:r w:rsidR="00BA6828" w:rsidRPr="007523A4">
        <w:rPr>
          <w:rFonts w:ascii="Cambria" w:hAnsi="Cambria"/>
          <w:sz w:val="20"/>
          <w:szCs w:val="20"/>
          <w:bdr w:val="none" w:sz="0" w:space="0" w:color="auto"/>
          <w:lang w:val="es-AR"/>
        </w:rPr>
        <w:t>t</w:t>
      </w:r>
      <w:r w:rsidR="00685A5D" w:rsidRPr="007523A4">
        <w:rPr>
          <w:rFonts w:ascii="Cambria" w:hAnsi="Cambria"/>
          <w:sz w:val="20"/>
          <w:szCs w:val="20"/>
          <w:bdr w:val="none" w:sz="0" w:space="0" w:color="auto"/>
          <w:lang w:val="es-AR"/>
        </w:rPr>
        <w:t xml:space="preserve">oman conocimiento de la situación de riesgo especial, </w:t>
      </w:r>
      <w:r w:rsidR="007166CA" w:rsidRPr="002812FE">
        <w:rPr>
          <w:rFonts w:ascii="Cambria" w:hAnsi="Cambria"/>
          <w:sz w:val="20"/>
          <w:szCs w:val="20"/>
          <w:bdr w:val="none" w:sz="0" w:space="0" w:color="auto"/>
          <w:lang w:val="es-AR"/>
        </w:rPr>
        <w:t>le</w:t>
      </w:r>
      <w:r w:rsidR="007166CA" w:rsidRPr="002812FE">
        <w:rPr>
          <w:rFonts w:ascii="Cambria" w:hAnsi="Cambria"/>
          <w:sz w:val="20"/>
          <w:szCs w:val="20"/>
          <w:lang w:val="es-CR"/>
        </w:rPr>
        <w:t xml:space="preserve"> corresponde al Estado</w:t>
      </w:r>
      <w:r w:rsidR="007166CA" w:rsidRPr="002812FE">
        <w:rPr>
          <w:rFonts w:ascii="Cambria" w:hAnsi="Cambria"/>
          <w:sz w:val="20"/>
          <w:szCs w:val="20"/>
          <w:bdr w:val="none" w:sz="0" w:space="0" w:color="auto"/>
          <w:lang w:val="es-AR"/>
        </w:rPr>
        <w:t xml:space="preserve"> </w:t>
      </w:r>
      <w:r w:rsidR="00685A5D" w:rsidRPr="007523A4">
        <w:rPr>
          <w:rFonts w:ascii="Cambria" w:hAnsi="Cambria"/>
          <w:sz w:val="20"/>
          <w:szCs w:val="20"/>
          <w:bdr w:val="none" w:sz="0" w:space="0" w:color="auto"/>
          <w:lang w:val="es-AR"/>
        </w:rPr>
        <w:t xml:space="preserve">identificar o valorar </w:t>
      </w:r>
      <w:r w:rsidR="004D7684">
        <w:rPr>
          <w:rFonts w:ascii="Cambria" w:hAnsi="Cambria"/>
          <w:sz w:val="20"/>
          <w:szCs w:val="20"/>
          <w:bdr w:val="none" w:sz="0" w:space="0" w:color="auto"/>
          <w:lang w:val="es-AR"/>
        </w:rPr>
        <w:t xml:space="preserve">el nivel de riesgo, </w:t>
      </w:r>
      <w:r w:rsidR="00685A5D" w:rsidRPr="007523A4">
        <w:rPr>
          <w:rFonts w:ascii="Cambria" w:hAnsi="Cambria"/>
          <w:sz w:val="20"/>
          <w:szCs w:val="20"/>
          <w:bdr w:val="none" w:sz="0" w:space="0" w:color="auto"/>
          <w:lang w:val="es-AR"/>
        </w:rPr>
        <w:t xml:space="preserve">si la persona objeto de </w:t>
      </w:r>
      <w:r w:rsidR="00685A5D" w:rsidRPr="002812FE">
        <w:rPr>
          <w:rFonts w:ascii="Cambria" w:hAnsi="Cambria"/>
          <w:sz w:val="20"/>
          <w:szCs w:val="20"/>
          <w:bdr w:val="none" w:sz="0" w:space="0" w:color="auto"/>
          <w:lang w:val="es-AR"/>
        </w:rPr>
        <w:t>amenazas y hostigamientos requiere de medidas de protección o remitir a la autoridad competente para hacerlo, así como ofrecer a la persona en riesgo información oportuna sobre las medidas disponibles</w:t>
      </w:r>
      <w:r w:rsidR="00685A5D" w:rsidRPr="002812FE">
        <w:rPr>
          <w:rFonts w:ascii="Cambria" w:hAnsi="Cambria"/>
          <w:sz w:val="20"/>
          <w:szCs w:val="20"/>
          <w:lang w:val="es-CR"/>
        </w:rPr>
        <w:t xml:space="preserve">.  </w:t>
      </w:r>
    </w:p>
    <w:p w14:paraId="13EF7BE5" w14:textId="77777777" w:rsidR="00CD4A25" w:rsidRPr="002812FE" w:rsidRDefault="00CD4A25" w:rsidP="007523A4">
      <w:pPr>
        <w:pStyle w:val="ListParagraph"/>
        <w:spacing w:before="0" w:after="0"/>
        <w:rPr>
          <w:sz w:val="20"/>
          <w:szCs w:val="20"/>
          <w:lang w:val="es-US"/>
        </w:rPr>
      </w:pPr>
    </w:p>
    <w:p w14:paraId="263129B6" w14:textId="2E84D8C5" w:rsidR="0060479B" w:rsidRDefault="0060479B" w:rsidP="00604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_tradnl"/>
        </w:rPr>
      </w:pPr>
      <w:r>
        <w:rPr>
          <w:rFonts w:ascii="Cambria" w:hAnsi="Cambria"/>
          <w:sz w:val="20"/>
          <w:szCs w:val="20"/>
          <w:lang w:val="es-ES_tradnl"/>
        </w:rPr>
        <w:t>En</w:t>
      </w:r>
      <w:r w:rsidR="004D7684">
        <w:rPr>
          <w:rFonts w:ascii="Cambria" w:hAnsi="Cambria"/>
          <w:sz w:val="20"/>
          <w:szCs w:val="20"/>
          <w:lang w:val="es-ES_tradnl"/>
        </w:rPr>
        <w:t xml:space="preserve"> el presente caso</w:t>
      </w:r>
      <w:r>
        <w:rPr>
          <w:rFonts w:ascii="Cambria" w:hAnsi="Cambria"/>
          <w:sz w:val="20"/>
          <w:szCs w:val="20"/>
          <w:lang w:val="es-ES_tradnl"/>
        </w:rPr>
        <w:t>, l</w:t>
      </w:r>
      <w:r w:rsidRPr="00C27961">
        <w:rPr>
          <w:rFonts w:ascii="Cambria" w:hAnsi="Cambria"/>
          <w:sz w:val="20"/>
          <w:szCs w:val="20"/>
          <w:lang w:val="es-ES_tradnl"/>
        </w:rPr>
        <w:t xml:space="preserve">a Comisión comprueba que el </w:t>
      </w:r>
      <w:r>
        <w:rPr>
          <w:rFonts w:ascii="Cambria" w:hAnsi="Cambria"/>
          <w:sz w:val="20"/>
          <w:szCs w:val="20"/>
          <w:lang w:val="es-ES_tradnl"/>
        </w:rPr>
        <w:t>Estado conoció del riesgo en el que se encontraba Santiago Leguizamón. En efecto, según los elementos probatorios ante en el expediente,</w:t>
      </w:r>
      <w:r w:rsidRPr="00C27961">
        <w:rPr>
          <w:rFonts w:ascii="Cambria" w:hAnsi="Cambria"/>
          <w:sz w:val="20"/>
          <w:szCs w:val="20"/>
          <w:lang w:val="es-ES_tradnl"/>
        </w:rPr>
        <w:t xml:space="preserve"> </w:t>
      </w:r>
      <w:r>
        <w:rPr>
          <w:rFonts w:ascii="Cambria" w:hAnsi="Cambria"/>
          <w:sz w:val="20"/>
          <w:szCs w:val="20"/>
          <w:lang w:val="es-ES_tradnl"/>
        </w:rPr>
        <w:t xml:space="preserve">el </w:t>
      </w:r>
      <w:r w:rsidRPr="00C27961">
        <w:rPr>
          <w:rFonts w:ascii="Cambria" w:hAnsi="Cambria"/>
          <w:sz w:val="20"/>
          <w:szCs w:val="20"/>
          <w:lang w:val="es-ES_tradnl"/>
        </w:rPr>
        <w:t>Delegado de Gobierno del Amambay declaró en prensa y ante la autoridad judicial que un día antes de que se produjera la muerte del periodista, aquel le ofreció escolta policial por el grave peligro en el que se encontraba. Es decir que, dicha autoridad, quien en aquella época era el representante del poder ejecutivo en el departamento</w:t>
      </w:r>
      <w:r>
        <w:rPr>
          <w:rFonts w:ascii="Cambria" w:hAnsi="Cambria"/>
          <w:sz w:val="20"/>
          <w:szCs w:val="20"/>
          <w:lang w:val="es-ES_tradnl"/>
        </w:rPr>
        <w:t xml:space="preserve">, </w:t>
      </w:r>
      <w:r w:rsidRPr="00C27961">
        <w:rPr>
          <w:rFonts w:ascii="Cambria" w:hAnsi="Cambria"/>
          <w:sz w:val="20"/>
          <w:szCs w:val="20"/>
          <w:lang w:val="es-ES_tradnl"/>
        </w:rPr>
        <w:t>quien ejercía funciones de supervisión de la policía de la zona</w:t>
      </w:r>
      <w:r>
        <w:rPr>
          <w:rFonts w:ascii="Cambria" w:hAnsi="Cambria"/>
          <w:sz w:val="20"/>
          <w:szCs w:val="20"/>
          <w:lang w:val="es-ES_tradnl"/>
        </w:rPr>
        <w:t xml:space="preserve"> y cuya dependencia era la encargada de ofrecer medidas de protección </w:t>
      </w:r>
      <w:r w:rsidRPr="00420DFB">
        <w:rPr>
          <w:rFonts w:ascii="Cambria" w:hAnsi="Cambria"/>
          <w:sz w:val="20"/>
          <w:szCs w:val="20"/>
          <w:lang w:val="es-ES_tradnl"/>
        </w:rPr>
        <w:t>policial (</w:t>
      </w:r>
      <w:r w:rsidRPr="00420DFB">
        <w:rPr>
          <w:rFonts w:ascii="Cambria" w:hAnsi="Cambria"/>
          <w:i/>
          <w:iCs/>
          <w:sz w:val="20"/>
          <w:szCs w:val="20"/>
          <w:lang w:val="es-ES_tradnl"/>
        </w:rPr>
        <w:t>supra</w:t>
      </w:r>
      <w:r w:rsidRPr="00420DFB">
        <w:rPr>
          <w:rFonts w:ascii="Cambria" w:hAnsi="Cambria"/>
          <w:sz w:val="20"/>
          <w:szCs w:val="20"/>
          <w:lang w:val="es-ES_tradnl"/>
        </w:rPr>
        <w:t xml:space="preserve"> párr. 53), conoció</w:t>
      </w:r>
      <w:r w:rsidRPr="00C27961">
        <w:rPr>
          <w:rFonts w:ascii="Cambria" w:hAnsi="Cambria"/>
          <w:sz w:val="20"/>
          <w:szCs w:val="20"/>
          <w:lang w:val="es-ES_tradnl"/>
        </w:rPr>
        <w:t xml:space="preserve"> el riesgo en el que se encontraba Santiago. Si bien no se puede determinar el momento en el que conoció</w:t>
      </w:r>
      <w:r>
        <w:rPr>
          <w:rFonts w:ascii="Cambria" w:hAnsi="Cambria"/>
          <w:sz w:val="20"/>
          <w:szCs w:val="20"/>
          <w:lang w:val="es-ES_tradnl"/>
        </w:rPr>
        <w:t xml:space="preserve"> el riesgo</w:t>
      </w:r>
      <w:r w:rsidRPr="00C27961">
        <w:rPr>
          <w:rFonts w:ascii="Cambria" w:hAnsi="Cambria"/>
          <w:sz w:val="20"/>
          <w:szCs w:val="20"/>
          <w:lang w:val="es-ES_tradnl"/>
        </w:rPr>
        <w:t xml:space="preserve">, la Comisión considera razonable concluir que dicho conocimiento no fue adquirido un día antes del asesinato, sino con anterioridad, por lo que el Estado debió </w:t>
      </w:r>
      <w:r>
        <w:rPr>
          <w:rFonts w:ascii="Cambria" w:hAnsi="Cambria"/>
          <w:sz w:val="20"/>
          <w:szCs w:val="20"/>
          <w:lang w:val="es-ES_tradnl"/>
        </w:rPr>
        <w:t xml:space="preserve">efectuar un análisis de riesgo y </w:t>
      </w:r>
      <w:r w:rsidRPr="00C27961">
        <w:rPr>
          <w:rFonts w:ascii="Cambria" w:hAnsi="Cambria"/>
          <w:sz w:val="20"/>
          <w:szCs w:val="20"/>
          <w:lang w:val="es-ES_tradnl"/>
        </w:rPr>
        <w:t xml:space="preserve">adoptar medidas de protección en beneficio del </w:t>
      </w:r>
      <w:r w:rsidRPr="006F1DBC">
        <w:rPr>
          <w:rFonts w:ascii="Cambria" w:hAnsi="Cambria"/>
          <w:sz w:val="20"/>
          <w:szCs w:val="20"/>
          <w:lang w:val="es-ES_tradnl"/>
        </w:rPr>
        <w:t>periodista</w:t>
      </w:r>
      <w:r w:rsidRPr="00601762">
        <w:rPr>
          <w:rFonts w:ascii="Cambria" w:hAnsi="Cambria"/>
          <w:sz w:val="20"/>
          <w:szCs w:val="20"/>
          <w:lang w:val="es-ES_tradnl"/>
        </w:rPr>
        <w:t xml:space="preserve">. El Estado debió </w:t>
      </w:r>
      <w:r w:rsidRPr="00601762">
        <w:rPr>
          <w:rFonts w:ascii="Cambria" w:hAnsi="Cambria"/>
          <w:sz w:val="20"/>
          <w:szCs w:val="20"/>
          <w:bdr w:val="none" w:sz="0" w:space="0" w:color="auto"/>
          <w:lang w:val="es-AR"/>
        </w:rPr>
        <w:t xml:space="preserve">ofrecerle información oportuna sobre las medidas disponibles de acuerdo con las circunstancias particulares </w:t>
      </w:r>
      <w:r w:rsidRPr="00601762">
        <w:rPr>
          <w:rFonts w:ascii="Cambria" w:hAnsi="Cambria"/>
          <w:sz w:val="20"/>
          <w:szCs w:val="20"/>
          <w:bdr w:val="none" w:sz="0" w:space="0" w:color="auto"/>
          <w:lang w:val="es-AR"/>
        </w:rPr>
        <w:lastRenderedPageBreak/>
        <w:t>de este, en especial si es que existían dudas por parte del periodista sobre la efectividad de las medidas que podría adoptar el Estado, como se deriva de declaraciones de testigos en las investigaciones a nivel interno</w:t>
      </w:r>
      <w:r w:rsidRPr="00601762">
        <w:rPr>
          <w:rStyle w:val="FootnoteReference"/>
          <w:rFonts w:ascii="Cambria" w:hAnsi="Cambria"/>
          <w:sz w:val="20"/>
          <w:szCs w:val="20"/>
          <w:bdr w:val="none" w:sz="0" w:space="0" w:color="auto"/>
          <w:lang w:val="es-AR"/>
        </w:rPr>
        <w:footnoteReference w:id="134"/>
      </w:r>
      <w:r w:rsidRPr="006F1DBC">
        <w:rPr>
          <w:rFonts w:ascii="Cambria" w:hAnsi="Cambria"/>
          <w:sz w:val="20"/>
          <w:szCs w:val="20"/>
          <w:lang w:val="es-ES_tradnl"/>
        </w:rPr>
        <w:t>. Aun</w:t>
      </w:r>
      <w:r w:rsidRPr="00C27961">
        <w:rPr>
          <w:rFonts w:ascii="Cambria" w:hAnsi="Cambria"/>
          <w:sz w:val="20"/>
          <w:szCs w:val="20"/>
          <w:lang w:val="es-ES_tradnl"/>
        </w:rPr>
        <w:t xml:space="preserve"> si el Delegado de </w:t>
      </w:r>
      <w:r w:rsidRPr="0038781E">
        <w:rPr>
          <w:rFonts w:ascii="Cambria" w:hAnsi="Cambria"/>
          <w:sz w:val="20"/>
          <w:szCs w:val="20"/>
          <w:lang w:val="es-ES_tradnl"/>
        </w:rPr>
        <w:t xml:space="preserve">Gobierno no fuera la única autoridad encargada de ofrecer protección, este requisito se encuentra cumplido, ya que existe un deber de coordinación entre </w:t>
      </w:r>
      <w:r w:rsidRPr="00C52C14">
        <w:rPr>
          <w:rFonts w:ascii="Cambria" w:hAnsi="Cambria"/>
          <w:sz w:val="20"/>
          <w:szCs w:val="20"/>
          <w:lang w:val="es-ES_tradnl"/>
        </w:rPr>
        <w:t>las entidades y funcionarios por parte del Estado.</w:t>
      </w:r>
    </w:p>
    <w:p w14:paraId="0AC9F9E9" w14:textId="77777777" w:rsidR="0060479B" w:rsidRPr="00902508" w:rsidRDefault="0060479B" w:rsidP="000D795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_tradnl"/>
        </w:rPr>
      </w:pPr>
    </w:p>
    <w:p w14:paraId="26B3A6E4" w14:textId="6ADF2FCA" w:rsidR="007523A4" w:rsidRPr="000D7953" w:rsidRDefault="001721A5" w:rsidP="000D795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sz w:val="20"/>
          <w:szCs w:val="20"/>
          <w:lang w:val="es-ES_tradnl"/>
        </w:rPr>
      </w:pPr>
      <w:r w:rsidRPr="002812FE">
        <w:rPr>
          <w:rFonts w:ascii="Cambria" w:hAnsi="Cambria"/>
          <w:sz w:val="20"/>
          <w:szCs w:val="20"/>
          <w:lang w:val="es-ES_tradnl"/>
        </w:rPr>
        <w:t>A</w:t>
      </w:r>
      <w:r w:rsidR="0060479B">
        <w:rPr>
          <w:rFonts w:ascii="Cambria" w:hAnsi="Cambria"/>
          <w:sz w:val="20"/>
          <w:szCs w:val="20"/>
          <w:lang w:val="es-ES_tradnl"/>
        </w:rPr>
        <w:t>demás</w:t>
      </w:r>
      <w:r w:rsidRPr="002812FE">
        <w:rPr>
          <w:rFonts w:ascii="Cambria" w:hAnsi="Cambria"/>
          <w:sz w:val="20"/>
          <w:szCs w:val="20"/>
          <w:lang w:val="es-ES_tradnl"/>
        </w:rPr>
        <w:t xml:space="preserve">, </w:t>
      </w:r>
      <w:r w:rsidR="00221A0B" w:rsidRPr="00C27961">
        <w:rPr>
          <w:rFonts w:ascii="Cambria" w:hAnsi="Cambria"/>
          <w:sz w:val="20"/>
          <w:szCs w:val="20"/>
          <w:lang w:val="es-ES_tradnl"/>
        </w:rPr>
        <w:t>surge de la prueba que</w:t>
      </w:r>
      <w:r w:rsidR="00221A0B">
        <w:rPr>
          <w:rFonts w:ascii="Cambria" w:hAnsi="Cambria"/>
          <w:sz w:val="20"/>
          <w:szCs w:val="20"/>
          <w:lang w:val="es-ES_tradnl"/>
        </w:rPr>
        <w:t xml:space="preserve"> Santiago Leguizamón, quien era un periodista </w:t>
      </w:r>
      <w:r w:rsidR="00221A0B" w:rsidRPr="00C27961">
        <w:rPr>
          <w:rFonts w:ascii="Cambria" w:hAnsi="Cambria"/>
          <w:sz w:val="20"/>
          <w:szCs w:val="20"/>
          <w:lang w:val="es-ES_tradnl"/>
        </w:rPr>
        <w:t xml:space="preserve">muy reconocido en la </w:t>
      </w:r>
      <w:r w:rsidR="00221A0B">
        <w:rPr>
          <w:rFonts w:ascii="Cambria" w:hAnsi="Cambria"/>
          <w:sz w:val="20"/>
          <w:szCs w:val="20"/>
          <w:lang w:val="es-ES_tradnl"/>
        </w:rPr>
        <w:t>ciudad de Pedro Juan Caballero y en Paraguay</w:t>
      </w:r>
      <w:r w:rsidR="00221A0B" w:rsidRPr="00C27961">
        <w:rPr>
          <w:rFonts w:ascii="Cambria" w:hAnsi="Cambria"/>
          <w:sz w:val="20"/>
          <w:szCs w:val="20"/>
          <w:lang w:val="es-ES_tradnl"/>
        </w:rPr>
        <w:t>, denunció públicamente a través de su programa de radio</w:t>
      </w:r>
      <w:r w:rsidR="00AD7758">
        <w:rPr>
          <w:rFonts w:ascii="Cambria" w:hAnsi="Cambria"/>
          <w:sz w:val="20"/>
          <w:szCs w:val="20"/>
          <w:lang w:val="es-ES_tradnl"/>
        </w:rPr>
        <w:t>,</w:t>
      </w:r>
      <w:r w:rsidR="00221A0B" w:rsidRPr="00C27961">
        <w:rPr>
          <w:rFonts w:ascii="Cambria" w:hAnsi="Cambria"/>
          <w:sz w:val="20"/>
          <w:szCs w:val="20"/>
          <w:lang w:val="es-ES_tradnl"/>
        </w:rPr>
        <w:t xml:space="preserve"> la existencia de amenazas en su contra y preguntaba en dicho programa de dónde proven</w:t>
      </w:r>
      <w:r w:rsidR="00221A0B">
        <w:rPr>
          <w:rFonts w:ascii="Cambria" w:hAnsi="Cambria"/>
          <w:sz w:val="20"/>
          <w:szCs w:val="20"/>
          <w:lang w:val="es-ES_tradnl"/>
        </w:rPr>
        <w:t>drían</w:t>
      </w:r>
      <w:r w:rsidR="00221A0B" w:rsidRPr="00C27961">
        <w:rPr>
          <w:rFonts w:ascii="Cambria" w:hAnsi="Cambria"/>
          <w:sz w:val="20"/>
          <w:szCs w:val="20"/>
          <w:lang w:val="es-ES_tradnl"/>
        </w:rPr>
        <w:t xml:space="preserve"> las mismas.</w:t>
      </w:r>
      <w:r w:rsidR="007C61C8">
        <w:rPr>
          <w:rFonts w:ascii="Cambria" w:hAnsi="Cambria"/>
          <w:sz w:val="20"/>
          <w:szCs w:val="20"/>
          <w:lang w:val="es-ES_tradnl"/>
        </w:rPr>
        <w:t xml:space="preserve"> </w:t>
      </w:r>
      <w:r w:rsidR="00E01B5C">
        <w:rPr>
          <w:rFonts w:ascii="Cambria" w:hAnsi="Cambria"/>
          <w:sz w:val="20"/>
          <w:szCs w:val="20"/>
          <w:lang w:val="es-ES_tradnl"/>
        </w:rPr>
        <w:t xml:space="preserve">Asimismo, </w:t>
      </w:r>
      <w:r w:rsidR="00DC1786">
        <w:rPr>
          <w:rFonts w:ascii="Cambria" w:hAnsi="Cambria"/>
          <w:sz w:val="20"/>
          <w:szCs w:val="20"/>
          <w:lang w:val="es-ES_tradnl"/>
        </w:rPr>
        <w:t>si bien e</w:t>
      </w:r>
      <w:r w:rsidRPr="002812FE">
        <w:rPr>
          <w:rFonts w:ascii="Cambria" w:hAnsi="Cambria"/>
          <w:sz w:val="20"/>
          <w:szCs w:val="20"/>
          <w:lang w:val="es-ES_tradnl"/>
        </w:rPr>
        <w:t>n el caso concreto</w:t>
      </w:r>
      <w:r w:rsidR="006B4221" w:rsidRPr="002812FE">
        <w:rPr>
          <w:rFonts w:ascii="Cambria" w:hAnsi="Cambria"/>
          <w:sz w:val="20"/>
          <w:szCs w:val="20"/>
          <w:lang w:val="es-ES_tradnl"/>
        </w:rPr>
        <w:t xml:space="preserve">, </w:t>
      </w:r>
      <w:r w:rsidR="00784270" w:rsidRPr="002812FE">
        <w:rPr>
          <w:rFonts w:ascii="Cambria" w:hAnsi="Cambria"/>
          <w:sz w:val="20"/>
          <w:szCs w:val="20"/>
          <w:lang w:val="es-ES_tradnl"/>
        </w:rPr>
        <w:t>no consta en el expediente que Santiago Leguizamón h</w:t>
      </w:r>
      <w:r w:rsidR="001630CD" w:rsidRPr="002812FE">
        <w:rPr>
          <w:rFonts w:ascii="Cambria" w:hAnsi="Cambria"/>
          <w:sz w:val="20"/>
          <w:szCs w:val="20"/>
          <w:lang w:val="es-ES_tradnl"/>
        </w:rPr>
        <w:t xml:space="preserve">aya puesto en conocimiento de las autoridades la existencia de las amenazas en su contra o haya </w:t>
      </w:r>
      <w:r w:rsidR="00FF230A">
        <w:rPr>
          <w:rFonts w:ascii="Cambria" w:hAnsi="Cambria"/>
          <w:sz w:val="20"/>
          <w:szCs w:val="20"/>
          <w:lang w:val="es-ES_tradnl"/>
        </w:rPr>
        <w:t xml:space="preserve">presentado una petición formal </w:t>
      </w:r>
      <w:r w:rsidR="001630CD" w:rsidRPr="002812FE">
        <w:rPr>
          <w:rFonts w:ascii="Cambria" w:hAnsi="Cambria"/>
          <w:sz w:val="20"/>
          <w:szCs w:val="20"/>
          <w:lang w:val="es-ES_tradnl"/>
        </w:rPr>
        <w:t>de protección</w:t>
      </w:r>
      <w:r w:rsidR="00DC1786">
        <w:rPr>
          <w:rFonts w:ascii="Cambria" w:hAnsi="Cambria"/>
          <w:sz w:val="20"/>
          <w:szCs w:val="20"/>
          <w:lang w:val="es-ES_tradnl"/>
        </w:rPr>
        <w:t xml:space="preserve">, </w:t>
      </w:r>
      <w:r w:rsidR="008B7CFC" w:rsidRPr="002812FE">
        <w:rPr>
          <w:rFonts w:ascii="Cambria" w:hAnsi="Cambria"/>
          <w:sz w:val="20"/>
          <w:szCs w:val="20"/>
          <w:lang w:val="es-ES_tradnl"/>
        </w:rPr>
        <w:t xml:space="preserve">los peticionarios alegaron que el periodista </w:t>
      </w:r>
      <w:r w:rsidR="00FF230A">
        <w:rPr>
          <w:rFonts w:ascii="Cambria" w:hAnsi="Cambria"/>
          <w:sz w:val="20"/>
          <w:szCs w:val="20"/>
          <w:lang w:val="es-ES_tradnl"/>
        </w:rPr>
        <w:t>sí solicitó</w:t>
      </w:r>
      <w:r w:rsidR="008B7CFC" w:rsidRPr="002812FE">
        <w:rPr>
          <w:rFonts w:ascii="Cambria" w:hAnsi="Cambria"/>
          <w:sz w:val="20"/>
          <w:szCs w:val="20"/>
          <w:lang w:val="es-ES_tradnl"/>
        </w:rPr>
        <w:t xml:space="preserve"> </w:t>
      </w:r>
      <w:r w:rsidR="00212ECA" w:rsidRPr="002812FE">
        <w:rPr>
          <w:rFonts w:ascii="Cambria" w:hAnsi="Cambria"/>
          <w:sz w:val="20"/>
          <w:szCs w:val="20"/>
          <w:lang w:val="es-ES_tradnl"/>
        </w:rPr>
        <w:t xml:space="preserve">protección policial en varias </w:t>
      </w:r>
      <w:r w:rsidR="00212ECA" w:rsidRPr="00C27961">
        <w:rPr>
          <w:rFonts w:ascii="Cambria" w:hAnsi="Cambria"/>
          <w:sz w:val="20"/>
          <w:szCs w:val="20"/>
          <w:lang w:val="es-ES_tradnl"/>
        </w:rPr>
        <w:t>oportunidades, la cual habría sido otorgada en algunos casos</w:t>
      </w:r>
      <w:r w:rsidR="00FF230A">
        <w:rPr>
          <w:rFonts w:ascii="Cambria" w:hAnsi="Cambria"/>
          <w:sz w:val="20"/>
          <w:szCs w:val="20"/>
          <w:lang w:val="es-ES_tradnl"/>
        </w:rPr>
        <w:t xml:space="preserve">. Lo anterior, </w:t>
      </w:r>
      <w:r w:rsidR="00212ECA" w:rsidRPr="00C27961">
        <w:rPr>
          <w:rFonts w:ascii="Cambria" w:hAnsi="Cambria"/>
          <w:sz w:val="20"/>
          <w:szCs w:val="20"/>
          <w:lang w:val="es-ES_tradnl"/>
        </w:rPr>
        <w:t xml:space="preserve">no fue controvertido por el Estado. </w:t>
      </w:r>
    </w:p>
    <w:p w14:paraId="3AB4267E" w14:textId="77777777" w:rsidR="000C6F36" w:rsidRPr="00601762" w:rsidRDefault="000C6F36" w:rsidP="0060176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_tradnl"/>
        </w:rPr>
      </w:pPr>
    </w:p>
    <w:p w14:paraId="470321D5" w14:textId="2C70B63F" w:rsidR="00BB2DC4" w:rsidRPr="00420DFB" w:rsidRDefault="00BB2DC4" w:rsidP="00C2796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_tradnl"/>
        </w:rPr>
      </w:pPr>
      <w:r w:rsidRPr="0038781E">
        <w:rPr>
          <w:rFonts w:ascii="Cambria" w:hAnsi="Cambria"/>
          <w:sz w:val="20"/>
          <w:szCs w:val="20"/>
          <w:lang w:val="es-ES_tradnl"/>
        </w:rPr>
        <w:t xml:space="preserve">En cuanto a si el riesgo era real e inmediato, la CIDH considera que los hechos </w:t>
      </w:r>
      <w:r w:rsidR="006421D0" w:rsidRPr="0038781E">
        <w:rPr>
          <w:rFonts w:ascii="Cambria" w:hAnsi="Cambria"/>
          <w:sz w:val="20"/>
          <w:szCs w:val="20"/>
          <w:lang w:val="es-ES_tradnl"/>
        </w:rPr>
        <w:t xml:space="preserve">conocidos por </w:t>
      </w:r>
      <w:r w:rsidRPr="0038781E">
        <w:rPr>
          <w:rFonts w:ascii="Cambria" w:hAnsi="Cambria"/>
          <w:sz w:val="20"/>
          <w:szCs w:val="20"/>
          <w:lang w:val="es-ES_tradnl"/>
        </w:rPr>
        <w:t>las autoridades, en sí mismos, revestían especial seriedad. En efecto, las amenazas</w:t>
      </w:r>
      <w:r w:rsidR="0029430D" w:rsidRPr="00C52C14">
        <w:rPr>
          <w:rFonts w:ascii="Cambria" w:hAnsi="Cambria"/>
          <w:sz w:val="20"/>
          <w:szCs w:val="20"/>
          <w:lang w:val="es-ES_tradnl"/>
        </w:rPr>
        <w:t>, incluso</w:t>
      </w:r>
      <w:r w:rsidRPr="00902508">
        <w:rPr>
          <w:rFonts w:ascii="Cambria" w:hAnsi="Cambria"/>
          <w:sz w:val="20"/>
          <w:szCs w:val="20"/>
          <w:lang w:val="es-ES_tradnl"/>
        </w:rPr>
        <w:t xml:space="preserve"> </w:t>
      </w:r>
      <w:r w:rsidR="00BF3F68" w:rsidRPr="00546ED5">
        <w:rPr>
          <w:rFonts w:ascii="Cambria" w:hAnsi="Cambria"/>
          <w:sz w:val="20"/>
          <w:szCs w:val="20"/>
          <w:lang w:val="es-ES_tradnl"/>
        </w:rPr>
        <w:t>de muerte</w:t>
      </w:r>
      <w:r w:rsidR="0029430D" w:rsidRPr="00546ED5">
        <w:rPr>
          <w:rFonts w:ascii="Cambria" w:hAnsi="Cambria"/>
          <w:sz w:val="20"/>
          <w:szCs w:val="20"/>
          <w:lang w:val="es-ES_tradnl"/>
        </w:rPr>
        <w:t>,</w:t>
      </w:r>
      <w:r w:rsidR="00BF3F68" w:rsidRPr="00546ED5">
        <w:rPr>
          <w:rFonts w:ascii="Cambria" w:hAnsi="Cambria"/>
          <w:sz w:val="20"/>
          <w:szCs w:val="20"/>
          <w:lang w:val="es-ES_tradnl"/>
        </w:rPr>
        <w:t xml:space="preserve"> </w:t>
      </w:r>
      <w:r w:rsidRPr="00546ED5">
        <w:rPr>
          <w:rFonts w:ascii="Cambria" w:hAnsi="Cambria"/>
          <w:sz w:val="20"/>
          <w:szCs w:val="20"/>
          <w:lang w:val="es-ES_tradnl"/>
        </w:rPr>
        <w:t xml:space="preserve">sufridas por </w:t>
      </w:r>
      <w:r w:rsidR="000C2444" w:rsidRPr="0038781E">
        <w:rPr>
          <w:rFonts w:ascii="Cambria" w:hAnsi="Cambria"/>
          <w:sz w:val="20"/>
          <w:szCs w:val="20"/>
          <w:lang w:val="es-ES_tradnl"/>
        </w:rPr>
        <w:t xml:space="preserve">Santiago Leguizamón </w:t>
      </w:r>
      <w:r w:rsidR="00890C9C" w:rsidRPr="0038781E">
        <w:rPr>
          <w:rFonts w:ascii="Cambria" w:hAnsi="Cambria"/>
          <w:sz w:val="20"/>
          <w:szCs w:val="20"/>
          <w:lang w:val="es-ES_tradnl"/>
        </w:rPr>
        <w:t>eran lo suficientemente graves</w:t>
      </w:r>
      <w:r w:rsidR="00103DB0" w:rsidRPr="0038781E">
        <w:rPr>
          <w:rFonts w:ascii="Cambria" w:hAnsi="Cambria"/>
          <w:sz w:val="20"/>
          <w:szCs w:val="20"/>
          <w:lang w:val="es-ES_tradnl"/>
        </w:rPr>
        <w:t xml:space="preserve">, y </w:t>
      </w:r>
      <w:r w:rsidR="008720D9" w:rsidRPr="0038781E">
        <w:rPr>
          <w:rFonts w:ascii="Cambria" w:hAnsi="Cambria"/>
          <w:sz w:val="20"/>
          <w:szCs w:val="20"/>
          <w:lang w:val="es-ES_tradnl"/>
        </w:rPr>
        <w:t xml:space="preserve">la posibilidad de su concreción </w:t>
      </w:r>
      <w:r w:rsidR="00103DB0" w:rsidRPr="0038781E">
        <w:rPr>
          <w:rFonts w:ascii="Cambria" w:hAnsi="Cambria"/>
          <w:sz w:val="20"/>
          <w:szCs w:val="20"/>
          <w:lang w:val="es-ES_tradnl"/>
        </w:rPr>
        <w:t>era</w:t>
      </w:r>
      <w:r w:rsidR="009266C7" w:rsidRPr="0038781E">
        <w:rPr>
          <w:rFonts w:ascii="Cambria" w:hAnsi="Cambria"/>
          <w:sz w:val="20"/>
          <w:szCs w:val="20"/>
          <w:lang w:val="es-ES_tradnl"/>
        </w:rPr>
        <w:t xml:space="preserve"> </w:t>
      </w:r>
      <w:r w:rsidR="008F7312" w:rsidRPr="0038781E">
        <w:rPr>
          <w:rFonts w:ascii="Cambria" w:hAnsi="Cambria"/>
          <w:sz w:val="20"/>
          <w:szCs w:val="20"/>
          <w:lang w:val="es-ES_tradnl"/>
        </w:rPr>
        <w:t>sumamente elevada</w:t>
      </w:r>
      <w:r w:rsidR="002D024B" w:rsidRPr="0038781E">
        <w:rPr>
          <w:rFonts w:ascii="Cambria" w:hAnsi="Cambria"/>
          <w:sz w:val="20"/>
          <w:szCs w:val="20"/>
          <w:lang w:val="es-ES_tradnl"/>
        </w:rPr>
        <w:t xml:space="preserve"> </w:t>
      </w:r>
      <w:r w:rsidR="00103DB0" w:rsidRPr="0038781E">
        <w:rPr>
          <w:rFonts w:ascii="Cambria" w:hAnsi="Cambria"/>
          <w:sz w:val="20"/>
          <w:szCs w:val="20"/>
          <w:lang w:val="es-ES_tradnl"/>
        </w:rPr>
        <w:t xml:space="preserve">no sólo por el contenido de sus investigaciones y artículos periodísticos que se centraban en el actuar delictivo de grandes grupos de poder, sino también </w:t>
      </w:r>
      <w:r w:rsidR="00373D40" w:rsidRPr="0038781E">
        <w:rPr>
          <w:rFonts w:ascii="Cambria" w:hAnsi="Cambria"/>
          <w:sz w:val="20"/>
          <w:szCs w:val="20"/>
          <w:lang w:val="es-ES_tradnl"/>
        </w:rPr>
        <w:t xml:space="preserve">por </w:t>
      </w:r>
      <w:r w:rsidR="00750AEA" w:rsidRPr="0038781E">
        <w:rPr>
          <w:rFonts w:ascii="Cambria" w:hAnsi="Cambria"/>
          <w:sz w:val="20"/>
          <w:szCs w:val="20"/>
          <w:lang w:val="es-ES_tradnl"/>
        </w:rPr>
        <w:t xml:space="preserve">la </w:t>
      </w:r>
      <w:r w:rsidR="00373D40" w:rsidRPr="0038781E">
        <w:rPr>
          <w:rFonts w:ascii="Cambria" w:hAnsi="Cambria"/>
          <w:sz w:val="20"/>
          <w:szCs w:val="20"/>
          <w:lang w:val="es-ES_tradnl"/>
        </w:rPr>
        <w:t>naturaleza violenta de la zona en la cual residía y sobre la cual se refería en dichas investigaciones.</w:t>
      </w:r>
      <w:r w:rsidR="00EC5918" w:rsidRPr="0038781E">
        <w:rPr>
          <w:rFonts w:ascii="Cambria" w:hAnsi="Cambria"/>
          <w:sz w:val="20"/>
          <w:szCs w:val="20"/>
          <w:lang w:val="es-ES_tradnl"/>
        </w:rPr>
        <w:t xml:space="preserve"> </w:t>
      </w:r>
      <w:r w:rsidR="00750AEA" w:rsidRPr="0038781E">
        <w:rPr>
          <w:rFonts w:ascii="Cambria" w:hAnsi="Cambria"/>
          <w:sz w:val="20"/>
          <w:szCs w:val="20"/>
          <w:lang w:val="es-ES_tradnl"/>
        </w:rPr>
        <w:t>Asimismo, s</w:t>
      </w:r>
      <w:r w:rsidR="00EC5918" w:rsidRPr="0038781E">
        <w:rPr>
          <w:rFonts w:ascii="Cambria" w:hAnsi="Cambria"/>
          <w:sz w:val="20"/>
          <w:szCs w:val="20"/>
          <w:lang w:val="es-ES_tradnl"/>
        </w:rPr>
        <w:t>egún declaraciones brindadas a nivel interno, las últimas amenazas contra Santiago fueron recibidas un</w:t>
      </w:r>
      <w:r w:rsidR="004561B9" w:rsidRPr="0038781E">
        <w:rPr>
          <w:rFonts w:ascii="Cambria" w:hAnsi="Cambria"/>
          <w:sz w:val="20"/>
          <w:szCs w:val="20"/>
          <w:lang w:val="es-ES_tradnl"/>
        </w:rPr>
        <w:t>os días antes de su asesinato</w:t>
      </w:r>
      <w:r w:rsidR="00AE73A9" w:rsidRPr="0038781E">
        <w:rPr>
          <w:rFonts w:ascii="Cambria" w:hAnsi="Cambria"/>
          <w:sz w:val="20"/>
          <w:szCs w:val="20"/>
          <w:lang w:val="es-ES_tradnl"/>
        </w:rPr>
        <w:t xml:space="preserve"> y las advertencias por parte de sus</w:t>
      </w:r>
      <w:r w:rsidR="009E1864" w:rsidRPr="0038781E">
        <w:rPr>
          <w:rFonts w:ascii="Cambria" w:hAnsi="Cambria"/>
          <w:sz w:val="20"/>
          <w:szCs w:val="20"/>
          <w:lang w:val="es-ES_tradnl"/>
        </w:rPr>
        <w:t xml:space="preserve"> colegas se incrementaron días antes de su </w:t>
      </w:r>
      <w:r w:rsidR="00366F09" w:rsidRPr="0038781E">
        <w:rPr>
          <w:rFonts w:ascii="Cambria" w:hAnsi="Cambria"/>
          <w:sz w:val="20"/>
          <w:szCs w:val="20"/>
          <w:lang w:val="es-ES_tradnl"/>
        </w:rPr>
        <w:t>muerte</w:t>
      </w:r>
      <w:r w:rsidR="004561B9" w:rsidRPr="0038781E">
        <w:rPr>
          <w:rFonts w:ascii="Cambria" w:hAnsi="Cambria"/>
          <w:sz w:val="20"/>
          <w:szCs w:val="20"/>
          <w:lang w:val="es-ES_tradnl"/>
        </w:rPr>
        <w:t>.</w:t>
      </w:r>
      <w:r w:rsidR="00103DB0" w:rsidRPr="0038781E">
        <w:rPr>
          <w:rFonts w:ascii="Cambria" w:hAnsi="Cambria"/>
          <w:sz w:val="20"/>
          <w:szCs w:val="20"/>
          <w:lang w:val="es-ES_tradnl"/>
        </w:rPr>
        <w:t xml:space="preserve"> </w:t>
      </w:r>
      <w:r w:rsidRPr="0038781E">
        <w:rPr>
          <w:rFonts w:ascii="Cambria" w:hAnsi="Cambria"/>
          <w:sz w:val="20"/>
          <w:szCs w:val="20"/>
          <w:lang w:val="es-ES_tradnl"/>
        </w:rPr>
        <w:t>La Comisión advierte que el riesgo enfrentado por</w:t>
      </w:r>
      <w:r w:rsidR="00672E7C" w:rsidRPr="0038781E">
        <w:rPr>
          <w:rFonts w:ascii="Cambria" w:hAnsi="Cambria"/>
          <w:sz w:val="20"/>
          <w:szCs w:val="20"/>
          <w:lang w:val="es-ES_tradnl"/>
        </w:rPr>
        <w:t xml:space="preserve"> aquel </w:t>
      </w:r>
      <w:r w:rsidR="00BB0E1E" w:rsidRPr="0038781E">
        <w:rPr>
          <w:rFonts w:ascii="Cambria" w:hAnsi="Cambria"/>
          <w:sz w:val="20"/>
          <w:szCs w:val="20"/>
          <w:lang w:val="es-ES_tradnl"/>
        </w:rPr>
        <w:t>fue</w:t>
      </w:r>
      <w:r w:rsidR="00672E7C" w:rsidRPr="0038781E">
        <w:rPr>
          <w:rFonts w:ascii="Cambria" w:hAnsi="Cambria"/>
          <w:sz w:val="20"/>
          <w:szCs w:val="20"/>
          <w:lang w:val="es-ES_tradnl"/>
        </w:rPr>
        <w:t xml:space="preserve"> </w:t>
      </w:r>
      <w:r w:rsidR="00672E7C" w:rsidRPr="00420DFB">
        <w:rPr>
          <w:rFonts w:ascii="Cambria" w:hAnsi="Cambria"/>
          <w:sz w:val="20"/>
          <w:szCs w:val="20"/>
          <w:lang w:val="es-ES_tradnl"/>
        </w:rPr>
        <w:t>co</w:t>
      </w:r>
      <w:r w:rsidRPr="00420DFB">
        <w:rPr>
          <w:rFonts w:ascii="Cambria" w:hAnsi="Cambria"/>
          <w:sz w:val="20"/>
          <w:szCs w:val="20"/>
          <w:lang w:val="es-ES_tradnl"/>
        </w:rPr>
        <w:t xml:space="preserve">nsistente con la situación de </w:t>
      </w:r>
      <w:r w:rsidR="00FF1516" w:rsidRPr="00420DFB">
        <w:rPr>
          <w:rFonts w:ascii="Cambria" w:hAnsi="Cambria"/>
          <w:sz w:val="20"/>
          <w:szCs w:val="20"/>
          <w:lang w:val="es-ES_tradnl"/>
        </w:rPr>
        <w:t xml:space="preserve">violencia y criminalidad </w:t>
      </w:r>
      <w:r w:rsidRPr="00420DFB">
        <w:rPr>
          <w:rFonts w:ascii="Cambria" w:hAnsi="Cambria"/>
          <w:sz w:val="20"/>
          <w:szCs w:val="20"/>
          <w:lang w:val="es-ES_tradnl"/>
        </w:rPr>
        <w:t>que enfrentaba</w:t>
      </w:r>
      <w:r w:rsidR="00FF1516" w:rsidRPr="00420DFB">
        <w:rPr>
          <w:rFonts w:ascii="Cambria" w:hAnsi="Cambria"/>
          <w:sz w:val="20"/>
          <w:szCs w:val="20"/>
          <w:lang w:val="es-ES_tradnl"/>
        </w:rPr>
        <w:t xml:space="preserve"> la ciudad de Pedro Juan Caballero en</w:t>
      </w:r>
      <w:r w:rsidRPr="00420DFB">
        <w:rPr>
          <w:rFonts w:ascii="Cambria" w:hAnsi="Cambria"/>
          <w:sz w:val="20"/>
          <w:szCs w:val="20"/>
          <w:lang w:val="es-ES_tradnl"/>
        </w:rPr>
        <w:t xml:space="preserve"> la época de los hechos</w:t>
      </w:r>
      <w:r w:rsidR="00222CFC" w:rsidRPr="00420DFB">
        <w:rPr>
          <w:rFonts w:ascii="Cambria" w:hAnsi="Cambria"/>
          <w:sz w:val="20"/>
          <w:szCs w:val="20"/>
          <w:lang w:val="es-ES_tradnl"/>
        </w:rPr>
        <w:t xml:space="preserve">, la cual </w:t>
      </w:r>
      <w:r w:rsidR="00BB0E1E" w:rsidRPr="00420DFB">
        <w:rPr>
          <w:rFonts w:ascii="Cambria" w:hAnsi="Cambria"/>
          <w:sz w:val="20"/>
          <w:szCs w:val="20"/>
          <w:lang w:val="es-ES_tradnl"/>
        </w:rPr>
        <w:t>incluso se mantiene hasta la actualidad.</w:t>
      </w:r>
      <w:r w:rsidR="00A235FB" w:rsidRPr="00420DFB">
        <w:rPr>
          <w:rFonts w:ascii="Cambria" w:hAnsi="Cambria"/>
          <w:sz w:val="20"/>
          <w:szCs w:val="20"/>
          <w:lang w:val="es-ES_tradnl"/>
        </w:rPr>
        <w:t xml:space="preserve"> </w:t>
      </w:r>
      <w:r w:rsidRPr="00420DFB">
        <w:rPr>
          <w:rFonts w:ascii="Cambria" w:hAnsi="Cambria"/>
          <w:sz w:val="20"/>
          <w:szCs w:val="20"/>
          <w:lang w:val="es-US"/>
        </w:rPr>
        <w:t>Por lo tanto, teniendo en cuenta</w:t>
      </w:r>
      <w:r w:rsidR="0094299F" w:rsidRPr="00420DFB">
        <w:rPr>
          <w:rFonts w:ascii="Cambria" w:hAnsi="Cambria"/>
          <w:sz w:val="20"/>
          <w:szCs w:val="20"/>
          <w:lang w:val="es-US"/>
        </w:rPr>
        <w:t xml:space="preserve"> lo anteriormente señalado,</w:t>
      </w:r>
      <w:r w:rsidRPr="00420DFB">
        <w:rPr>
          <w:rFonts w:ascii="Cambria" w:hAnsi="Cambria"/>
          <w:sz w:val="20"/>
          <w:szCs w:val="20"/>
          <w:lang w:val="es-US"/>
        </w:rPr>
        <w:t xml:space="preserve"> </w:t>
      </w:r>
      <w:r w:rsidRPr="00420DFB">
        <w:rPr>
          <w:rFonts w:ascii="Cambria" w:hAnsi="Cambria"/>
          <w:sz w:val="20"/>
          <w:szCs w:val="20"/>
          <w:lang w:val="es-MX"/>
        </w:rPr>
        <w:t xml:space="preserve">la información </w:t>
      </w:r>
      <w:r w:rsidR="006B7AD7" w:rsidRPr="00420DFB">
        <w:rPr>
          <w:rFonts w:ascii="Cambria" w:hAnsi="Cambria"/>
          <w:sz w:val="20"/>
          <w:szCs w:val="20"/>
          <w:lang w:val="es-MX"/>
        </w:rPr>
        <w:t>conocida por</w:t>
      </w:r>
      <w:r w:rsidRPr="00420DFB">
        <w:rPr>
          <w:rFonts w:ascii="Cambria" w:hAnsi="Cambria"/>
          <w:sz w:val="20"/>
          <w:szCs w:val="20"/>
          <w:lang w:val="es-MX"/>
        </w:rPr>
        <w:t xml:space="preserve"> las autoridades,</w:t>
      </w:r>
      <w:r w:rsidR="002C1DFA" w:rsidRPr="00420DFB">
        <w:rPr>
          <w:rFonts w:ascii="Cambria" w:hAnsi="Cambria"/>
          <w:sz w:val="20"/>
          <w:szCs w:val="20"/>
          <w:lang w:val="es-MX"/>
        </w:rPr>
        <w:t xml:space="preserve"> </w:t>
      </w:r>
      <w:r w:rsidRPr="00420DFB">
        <w:rPr>
          <w:rFonts w:ascii="Cambria" w:hAnsi="Cambria"/>
          <w:sz w:val="20"/>
          <w:szCs w:val="20"/>
          <w:lang w:val="es-MX"/>
        </w:rPr>
        <w:t xml:space="preserve">sumado al </w:t>
      </w:r>
      <w:r w:rsidR="00232DAD" w:rsidRPr="00420DFB">
        <w:rPr>
          <w:rFonts w:ascii="Cambria" w:hAnsi="Cambria"/>
          <w:sz w:val="20"/>
          <w:szCs w:val="20"/>
          <w:lang w:val="es-MX"/>
        </w:rPr>
        <w:t xml:space="preserve">patrón de violencia </w:t>
      </w:r>
      <w:r w:rsidRPr="00420DFB">
        <w:rPr>
          <w:rFonts w:ascii="Cambria" w:hAnsi="Cambria"/>
          <w:sz w:val="20"/>
          <w:szCs w:val="20"/>
          <w:lang w:val="es-MX"/>
        </w:rPr>
        <w:t xml:space="preserve">y </w:t>
      </w:r>
      <w:r w:rsidR="00912961" w:rsidRPr="00420DFB">
        <w:rPr>
          <w:rFonts w:ascii="Cambria" w:hAnsi="Cambria"/>
          <w:sz w:val="20"/>
          <w:szCs w:val="20"/>
          <w:lang w:val="es-MX"/>
        </w:rPr>
        <w:t xml:space="preserve">a </w:t>
      </w:r>
      <w:r w:rsidRPr="00420DFB">
        <w:rPr>
          <w:rFonts w:ascii="Cambria" w:hAnsi="Cambria"/>
          <w:sz w:val="20"/>
          <w:szCs w:val="20"/>
          <w:lang w:val="es-MX"/>
        </w:rPr>
        <w:t>l</w:t>
      </w:r>
      <w:r w:rsidR="00912961" w:rsidRPr="00420DFB">
        <w:rPr>
          <w:rFonts w:ascii="Cambria" w:hAnsi="Cambria"/>
          <w:sz w:val="20"/>
          <w:szCs w:val="20"/>
          <w:lang w:val="es-MX"/>
        </w:rPr>
        <w:t>a proliferación</w:t>
      </w:r>
      <w:r w:rsidR="00B04ED8" w:rsidRPr="00420DFB">
        <w:rPr>
          <w:rFonts w:ascii="Cambria" w:hAnsi="Cambria"/>
          <w:sz w:val="20"/>
          <w:szCs w:val="20"/>
          <w:lang w:val="es-MX"/>
        </w:rPr>
        <w:t xml:space="preserve"> del</w:t>
      </w:r>
      <w:r w:rsidRPr="00420DFB">
        <w:rPr>
          <w:rFonts w:ascii="Cambria" w:hAnsi="Cambria"/>
          <w:sz w:val="20"/>
          <w:szCs w:val="20"/>
          <w:lang w:val="es-MX"/>
        </w:rPr>
        <w:t xml:space="preserve"> crimen organizado existente </w:t>
      </w:r>
      <w:r w:rsidR="006B7AD7" w:rsidRPr="00420DFB">
        <w:rPr>
          <w:rFonts w:ascii="Cambria" w:hAnsi="Cambria"/>
          <w:sz w:val="20"/>
          <w:szCs w:val="20"/>
          <w:lang w:val="es-MX"/>
        </w:rPr>
        <w:t>en Pedro Juan Caballero</w:t>
      </w:r>
      <w:r w:rsidRPr="00420DFB">
        <w:rPr>
          <w:rFonts w:ascii="Cambria" w:hAnsi="Cambria"/>
          <w:sz w:val="20"/>
          <w:szCs w:val="20"/>
          <w:lang w:val="es-MX"/>
        </w:rPr>
        <w:t xml:space="preserve"> al momento en el que ocurrieron los hechos</w:t>
      </w:r>
      <w:r w:rsidR="00E84E4F" w:rsidRPr="00420DFB">
        <w:rPr>
          <w:rFonts w:ascii="Cambria" w:hAnsi="Cambria"/>
          <w:sz w:val="20"/>
          <w:szCs w:val="20"/>
          <w:lang w:val="es-MX"/>
        </w:rPr>
        <w:t xml:space="preserve">, </w:t>
      </w:r>
      <w:r w:rsidR="00A364E8" w:rsidRPr="00420DFB">
        <w:rPr>
          <w:rFonts w:ascii="Cambria" w:hAnsi="Cambria"/>
          <w:sz w:val="20"/>
          <w:szCs w:val="20"/>
          <w:lang w:val="es-MX"/>
        </w:rPr>
        <w:t xml:space="preserve">que el propio Estado conocía y sobre </w:t>
      </w:r>
      <w:r w:rsidR="00EF4A77" w:rsidRPr="00420DFB">
        <w:rPr>
          <w:rFonts w:ascii="Cambria" w:hAnsi="Cambria"/>
          <w:sz w:val="20"/>
          <w:szCs w:val="20"/>
          <w:lang w:val="es-MX"/>
        </w:rPr>
        <w:t>el</w:t>
      </w:r>
      <w:r w:rsidR="0026406D" w:rsidRPr="00420DFB">
        <w:rPr>
          <w:rFonts w:ascii="Cambria" w:hAnsi="Cambria"/>
          <w:sz w:val="20"/>
          <w:szCs w:val="20"/>
          <w:lang w:val="es-MX"/>
        </w:rPr>
        <w:t xml:space="preserve"> cual el periodista denunciaba,</w:t>
      </w:r>
      <w:r w:rsidR="006F4B1A" w:rsidRPr="00420DFB">
        <w:rPr>
          <w:rFonts w:ascii="Cambria" w:hAnsi="Cambria"/>
          <w:sz w:val="20"/>
          <w:szCs w:val="20"/>
          <w:lang w:val="es-MX"/>
        </w:rPr>
        <w:t xml:space="preserve"> </w:t>
      </w:r>
      <w:r w:rsidRPr="00420DFB">
        <w:rPr>
          <w:rFonts w:ascii="Cambria" w:hAnsi="Cambria"/>
          <w:sz w:val="20"/>
          <w:szCs w:val="20"/>
          <w:lang w:val="es-US"/>
        </w:rPr>
        <w:t xml:space="preserve">la Comisión concluye que </w:t>
      </w:r>
      <w:r w:rsidR="006B7AD7" w:rsidRPr="00420DFB">
        <w:rPr>
          <w:rFonts w:ascii="Cambria" w:hAnsi="Cambria"/>
          <w:sz w:val="20"/>
          <w:szCs w:val="20"/>
          <w:lang w:val="es-ES_tradnl"/>
        </w:rPr>
        <w:t xml:space="preserve">Santiago Leguizamón </w:t>
      </w:r>
      <w:r w:rsidR="00DE7703" w:rsidRPr="00420DFB">
        <w:rPr>
          <w:rFonts w:ascii="Cambria" w:hAnsi="Cambria"/>
          <w:sz w:val="20"/>
          <w:szCs w:val="20"/>
          <w:lang w:val="es-ES_tradnl"/>
        </w:rPr>
        <w:t>recibió amenazas</w:t>
      </w:r>
      <w:r w:rsidR="0029430D" w:rsidRPr="00420DFB">
        <w:rPr>
          <w:rFonts w:ascii="Cambria" w:hAnsi="Cambria"/>
          <w:sz w:val="20"/>
          <w:szCs w:val="20"/>
          <w:lang w:val="es-ES_tradnl"/>
        </w:rPr>
        <w:t xml:space="preserve"> </w:t>
      </w:r>
      <w:r w:rsidR="00DE7703" w:rsidRPr="00420DFB">
        <w:rPr>
          <w:rFonts w:ascii="Cambria" w:hAnsi="Cambria"/>
          <w:sz w:val="20"/>
          <w:szCs w:val="20"/>
          <w:lang w:val="es-ES_tradnl"/>
        </w:rPr>
        <w:t xml:space="preserve">que </w:t>
      </w:r>
      <w:r w:rsidR="00F340D0" w:rsidRPr="00420DFB">
        <w:rPr>
          <w:rFonts w:ascii="Cambria" w:hAnsi="Cambria"/>
          <w:sz w:val="20"/>
          <w:szCs w:val="20"/>
          <w:lang w:val="es-ES_tradnl"/>
        </w:rPr>
        <w:t>l</w:t>
      </w:r>
      <w:r w:rsidR="00C87161" w:rsidRPr="00420DFB">
        <w:rPr>
          <w:rFonts w:ascii="Cambria" w:hAnsi="Cambria"/>
          <w:sz w:val="20"/>
          <w:szCs w:val="20"/>
          <w:lang w:val="es-ES_tradnl"/>
        </w:rPr>
        <w:t>o colocaron en</w:t>
      </w:r>
      <w:r w:rsidR="00F340D0" w:rsidRPr="00420DFB">
        <w:rPr>
          <w:rFonts w:ascii="Cambria" w:hAnsi="Cambria"/>
          <w:sz w:val="20"/>
          <w:szCs w:val="20"/>
          <w:lang w:val="es-US"/>
        </w:rPr>
        <w:t xml:space="preserve"> </w:t>
      </w:r>
      <w:r w:rsidRPr="00420DFB">
        <w:rPr>
          <w:rFonts w:ascii="Cambria" w:hAnsi="Cambria"/>
          <w:sz w:val="20"/>
          <w:szCs w:val="20"/>
          <w:lang w:val="es-US"/>
        </w:rPr>
        <w:t>un riesgo real e inmediato para su vida</w:t>
      </w:r>
      <w:r w:rsidR="006B7AD7" w:rsidRPr="00420DFB">
        <w:rPr>
          <w:rFonts w:ascii="Cambria" w:hAnsi="Cambria"/>
          <w:sz w:val="20"/>
          <w:szCs w:val="20"/>
          <w:lang w:val="es-US"/>
        </w:rPr>
        <w:t>.</w:t>
      </w:r>
    </w:p>
    <w:p w14:paraId="280269FE" w14:textId="77777777" w:rsidR="00C27961" w:rsidRPr="00420DFB" w:rsidRDefault="00C27961" w:rsidP="00C2796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_tradnl"/>
        </w:rPr>
      </w:pPr>
    </w:p>
    <w:p w14:paraId="5597F8D2" w14:textId="3C453DEA" w:rsidR="0038781E" w:rsidRPr="00420DFB" w:rsidRDefault="00BB2DC4" w:rsidP="0038781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PE"/>
        </w:rPr>
      </w:pPr>
      <w:r w:rsidRPr="00420DFB">
        <w:rPr>
          <w:rFonts w:ascii="Cambria" w:hAnsi="Cambria"/>
          <w:sz w:val="20"/>
          <w:szCs w:val="20"/>
          <w:lang w:val="es-ES_tradnl"/>
        </w:rPr>
        <w:t xml:space="preserve">En cuanto a si las autoridades que tuvieron conocimiento de la situación de riesgo adoptaron </w:t>
      </w:r>
      <w:r w:rsidRPr="00420DFB">
        <w:rPr>
          <w:rFonts w:ascii="Cambria" w:hAnsi="Cambria"/>
          <w:sz w:val="20"/>
          <w:szCs w:val="20"/>
          <w:lang w:val="es-MX"/>
        </w:rPr>
        <w:t>las medidas necesarias, dentro del ámbito de sus atribuciones que, juzgadas razonablemente, podían esperarse para prevenir o evitar ese riesgo</w:t>
      </w:r>
      <w:r w:rsidRPr="00420DFB">
        <w:rPr>
          <w:rFonts w:ascii="Cambria" w:hAnsi="Cambria"/>
          <w:sz w:val="20"/>
          <w:szCs w:val="20"/>
          <w:lang w:val="es-ES_tradnl"/>
        </w:rPr>
        <w:t xml:space="preserve">, la CIDH nota que, a </w:t>
      </w:r>
      <w:r w:rsidRPr="00420DFB">
        <w:rPr>
          <w:rFonts w:ascii="Cambria" w:hAnsi="Cambria"/>
          <w:sz w:val="20"/>
          <w:szCs w:val="20"/>
          <w:lang w:val="es-MX"/>
        </w:rPr>
        <w:t>partir de</w:t>
      </w:r>
      <w:r w:rsidR="00381918" w:rsidRPr="00420DFB">
        <w:rPr>
          <w:rFonts w:ascii="Cambria" w:hAnsi="Cambria"/>
          <w:sz w:val="20"/>
          <w:szCs w:val="20"/>
          <w:lang w:val="es-MX"/>
        </w:rPr>
        <w:t xml:space="preserve">l conocimiento </w:t>
      </w:r>
      <w:r w:rsidR="0023096B" w:rsidRPr="00420DFB">
        <w:rPr>
          <w:rFonts w:ascii="Cambria" w:hAnsi="Cambria"/>
          <w:sz w:val="20"/>
          <w:szCs w:val="20"/>
          <w:lang w:val="es-MX"/>
        </w:rPr>
        <w:t xml:space="preserve">del riesgo por parte </w:t>
      </w:r>
      <w:r w:rsidR="00381918" w:rsidRPr="00420DFB">
        <w:rPr>
          <w:rFonts w:ascii="Cambria" w:hAnsi="Cambria"/>
          <w:sz w:val="20"/>
          <w:szCs w:val="20"/>
          <w:lang w:val="es-MX"/>
        </w:rPr>
        <w:t>del Estado,</w:t>
      </w:r>
      <w:r w:rsidRPr="00420DFB">
        <w:rPr>
          <w:rFonts w:ascii="Cambria" w:hAnsi="Cambria"/>
          <w:sz w:val="20"/>
          <w:szCs w:val="20"/>
          <w:lang w:val="es-MX"/>
        </w:rPr>
        <w:t xml:space="preserve"> se activó </w:t>
      </w:r>
      <w:r w:rsidR="00381918" w:rsidRPr="00420DFB">
        <w:rPr>
          <w:rFonts w:ascii="Cambria" w:hAnsi="Cambria"/>
          <w:sz w:val="20"/>
          <w:szCs w:val="20"/>
          <w:lang w:val="es-MX"/>
        </w:rPr>
        <w:t>su</w:t>
      </w:r>
      <w:r w:rsidRPr="00420DFB">
        <w:rPr>
          <w:rFonts w:ascii="Cambria" w:hAnsi="Cambria"/>
          <w:sz w:val="20"/>
          <w:szCs w:val="20"/>
          <w:lang w:val="es-MX"/>
        </w:rPr>
        <w:t xml:space="preserve"> deber de adoptar medidas de protección, conforme al deber de garantía</w:t>
      </w:r>
      <w:r w:rsidR="00C74D18" w:rsidRPr="00420DFB">
        <w:rPr>
          <w:rFonts w:ascii="Cambria" w:hAnsi="Cambria"/>
          <w:sz w:val="20"/>
          <w:szCs w:val="20"/>
          <w:lang w:val="es-MX"/>
        </w:rPr>
        <w:t>, para lo cual también debieron realizar un a</w:t>
      </w:r>
      <w:r w:rsidR="00FA7DFD" w:rsidRPr="00420DFB">
        <w:rPr>
          <w:rFonts w:ascii="Cambria" w:hAnsi="Cambria"/>
          <w:sz w:val="20"/>
          <w:szCs w:val="20"/>
          <w:lang w:val="es-MX"/>
        </w:rPr>
        <w:t>n</w:t>
      </w:r>
      <w:r w:rsidR="00C74D18" w:rsidRPr="00420DFB">
        <w:rPr>
          <w:rFonts w:ascii="Cambria" w:hAnsi="Cambria"/>
          <w:sz w:val="20"/>
          <w:szCs w:val="20"/>
          <w:lang w:val="es-MX"/>
        </w:rPr>
        <w:t>álisi</w:t>
      </w:r>
      <w:r w:rsidR="00FA7DFD" w:rsidRPr="00420DFB">
        <w:rPr>
          <w:rFonts w:ascii="Cambria" w:hAnsi="Cambria"/>
          <w:sz w:val="20"/>
          <w:szCs w:val="20"/>
          <w:lang w:val="es-MX"/>
        </w:rPr>
        <w:t>s de riesgo</w:t>
      </w:r>
      <w:r w:rsidR="0023096B" w:rsidRPr="00420DFB">
        <w:rPr>
          <w:rFonts w:ascii="Cambria" w:hAnsi="Cambria"/>
          <w:sz w:val="20"/>
          <w:szCs w:val="20"/>
          <w:lang w:val="es-MX"/>
        </w:rPr>
        <w:t xml:space="preserve">. </w:t>
      </w:r>
      <w:r w:rsidR="00FA7DFD" w:rsidRPr="00420DFB">
        <w:rPr>
          <w:rFonts w:ascii="Cambria" w:hAnsi="Cambria"/>
          <w:sz w:val="20"/>
          <w:szCs w:val="20"/>
          <w:lang w:val="es-PE"/>
        </w:rPr>
        <w:t>La CIDH ha considerado que “</w:t>
      </w:r>
      <w:r w:rsidR="00FA7DFD" w:rsidRPr="00420DFB">
        <w:rPr>
          <w:rFonts w:ascii="Cambria" w:hAnsi="Cambria"/>
          <w:sz w:val="20"/>
          <w:szCs w:val="20"/>
          <w:lang w:val="es-ES_tradnl"/>
        </w:rPr>
        <w:t>[l]</w:t>
      </w:r>
      <w:r w:rsidR="00FA7DFD" w:rsidRPr="00420DFB">
        <w:rPr>
          <w:rFonts w:ascii="Cambria" w:hAnsi="Cambria"/>
          <w:sz w:val="20"/>
          <w:szCs w:val="20"/>
          <w:lang w:val="es-PE"/>
        </w:rPr>
        <w:t xml:space="preserve">a evaluación del riesgo debe ser entendida como el medio por el cual el Estado estudiará la mejor manera bajo la cual cumplirá con su obligación de protección, para ello, el Estado debe garantizar que en el proceso de evaluación del riesgo exista una adecuada comunicación y participación activa </w:t>
      </w:r>
      <w:r w:rsidR="0059383B" w:rsidRPr="00420DFB">
        <w:rPr>
          <w:rFonts w:ascii="Cambria" w:hAnsi="Cambria"/>
          <w:sz w:val="20"/>
          <w:szCs w:val="20"/>
          <w:lang w:val="es-PE"/>
        </w:rPr>
        <w:t xml:space="preserve">[de la </w:t>
      </w:r>
      <w:r w:rsidR="00CA4DB3" w:rsidRPr="00420DFB">
        <w:rPr>
          <w:rFonts w:ascii="Cambria" w:hAnsi="Cambria"/>
          <w:sz w:val="20"/>
          <w:szCs w:val="20"/>
          <w:lang w:val="es-PE"/>
        </w:rPr>
        <w:t>víctima]</w:t>
      </w:r>
      <w:r w:rsidR="00FA7DFD" w:rsidRPr="00420DFB">
        <w:rPr>
          <w:rFonts w:ascii="Cambria" w:hAnsi="Cambria"/>
          <w:sz w:val="20"/>
          <w:szCs w:val="20"/>
          <w:lang w:val="es-PE"/>
        </w:rPr>
        <w:t>”. La CIDH ha indicado que “</w:t>
      </w:r>
      <w:r w:rsidR="00FA7DFD" w:rsidRPr="00420DFB">
        <w:rPr>
          <w:rFonts w:ascii="Cambria" w:hAnsi="Cambria"/>
          <w:sz w:val="20"/>
          <w:szCs w:val="20"/>
          <w:lang w:val="es-MX"/>
        </w:rPr>
        <w:t>[u]</w:t>
      </w:r>
      <w:r w:rsidR="00FA7DFD" w:rsidRPr="00420DFB">
        <w:rPr>
          <w:rFonts w:ascii="Cambria" w:hAnsi="Cambria"/>
          <w:sz w:val="20"/>
          <w:szCs w:val="20"/>
          <w:lang w:val="es-ES"/>
        </w:rPr>
        <w:t xml:space="preserve">na adecuada evaluación del riesgo debe permitir al Estado adoptar las medidas de seguridad apropiadas para salvaguardar los derechos del </w:t>
      </w:r>
      <w:r w:rsidR="00CA4DB3" w:rsidRPr="00420DFB">
        <w:rPr>
          <w:rFonts w:ascii="Cambria" w:hAnsi="Cambria"/>
          <w:sz w:val="20"/>
          <w:szCs w:val="20"/>
          <w:lang w:val="es-ES"/>
        </w:rPr>
        <w:t>[…]</w:t>
      </w:r>
      <w:r w:rsidR="00FA7DFD" w:rsidRPr="00420DFB">
        <w:rPr>
          <w:rFonts w:ascii="Cambria" w:hAnsi="Cambria"/>
          <w:sz w:val="20"/>
          <w:szCs w:val="20"/>
          <w:lang w:val="es-ES"/>
        </w:rPr>
        <w:t xml:space="preserve"> solicitante y garantizar así la continuidad de sus actividades”</w:t>
      </w:r>
      <w:r w:rsidR="00FA7DFD" w:rsidRPr="00420DFB">
        <w:rPr>
          <w:rStyle w:val="FootnoteReference"/>
          <w:rFonts w:ascii="Cambria" w:hAnsi="Cambria"/>
          <w:sz w:val="20"/>
          <w:szCs w:val="20"/>
          <w:lang w:val="es-PE"/>
        </w:rPr>
        <w:t xml:space="preserve"> </w:t>
      </w:r>
      <w:r w:rsidR="00FA7DFD" w:rsidRPr="00420DFB">
        <w:rPr>
          <w:rStyle w:val="FootnoteReference"/>
          <w:rFonts w:ascii="Cambria" w:hAnsi="Cambria"/>
          <w:sz w:val="20"/>
          <w:szCs w:val="20"/>
        </w:rPr>
        <w:footnoteReference w:id="135"/>
      </w:r>
      <w:r w:rsidR="00FA7DFD" w:rsidRPr="00420DFB">
        <w:rPr>
          <w:rFonts w:ascii="Cambria" w:hAnsi="Cambria"/>
          <w:sz w:val="20"/>
          <w:szCs w:val="20"/>
          <w:lang w:val="es-ES"/>
        </w:rPr>
        <w:t xml:space="preserve">. </w:t>
      </w:r>
    </w:p>
    <w:p w14:paraId="491EDD49" w14:textId="77777777" w:rsidR="0038781E" w:rsidRPr="00420DFB" w:rsidRDefault="0038781E" w:rsidP="0060176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PE"/>
        </w:rPr>
      </w:pPr>
    </w:p>
    <w:p w14:paraId="06E5D7DD" w14:textId="7361ED06" w:rsidR="00DF10D7" w:rsidRPr="00420DFB" w:rsidRDefault="0023096B" w:rsidP="00601762">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PE"/>
        </w:rPr>
      </w:pPr>
      <w:r w:rsidRPr="00420DFB">
        <w:rPr>
          <w:rFonts w:ascii="Cambria" w:hAnsi="Cambria"/>
          <w:sz w:val="20"/>
          <w:szCs w:val="20"/>
          <w:lang w:val="es-MX"/>
        </w:rPr>
        <w:t>Sin embargo,</w:t>
      </w:r>
      <w:r w:rsidR="00D863F1" w:rsidRPr="00420DFB">
        <w:rPr>
          <w:rFonts w:ascii="Cambria" w:hAnsi="Cambria"/>
          <w:sz w:val="20"/>
          <w:szCs w:val="20"/>
          <w:lang w:val="es-MX"/>
        </w:rPr>
        <w:t xml:space="preserve"> no consta </w:t>
      </w:r>
      <w:r w:rsidR="00BB2DC4" w:rsidRPr="00420DFB">
        <w:rPr>
          <w:rFonts w:ascii="Cambria" w:hAnsi="Cambria"/>
          <w:sz w:val="20"/>
          <w:szCs w:val="20"/>
          <w:lang w:val="es-MX"/>
        </w:rPr>
        <w:t xml:space="preserve">en el expediente que </w:t>
      </w:r>
      <w:r w:rsidRPr="00420DFB">
        <w:rPr>
          <w:rFonts w:ascii="Cambria" w:hAnsi="Cambria"/>
          <w:sz w:val="20"/>
          <w:szCs w:val="20"/>
          <w:lang w:val="es-MX"/>
        </w:rPr>
        <w:t xml:space="preserve">Paraguay </w:t>
      </w:r>
      <w:r w:rsidR="00BB2DC4" w:rsidRPr="00420DFB">
        <w:rPr>
          <w:rFonts w:ascii="Cambria" w:hAnsi="Cambria"/>
          <w:sz w:val="20"/>
          <w:szCs w:val="20"/>
          <w:lang w:val="es-MX"/>
        </w:rPr>
        <w:t xml:space="preserve">haya </w:t>
      </w:r>
      <w:r w:rsidR="00591B01">
        <w:rPr>
          <w:rFonts w:ascii="Cambria" w:hAnsi="Cambria"/>
          <w:sz w:val="20"/>
          <w:szCs w:val="20"/>
          <w:lang w:val="es-MX"/>
        </w:rPr>
        <w:t>adoptado</w:t>
      </w:r>
      <w:r w:rsidR="00BB2DC4" w:rsidRPr="00420DFB">
        <w:rPr>
          <w:rFonts w:ascii="Cambria" w:hAnsi="Cambria"/>
          <w:sz w:val="20"/>
          <w:szCs w:val="20"/>
          <w:lang w:val="es-MX"/>
        </w:rPr>
        <w:t xml:space="preserve"> las </w:t>
      </w:r>
      <w:r w:rsidR="00BB2DC4" w:rsidRPr="00420DFB">
        <w:rPr>
          <w:rFonts w:ascii="Cambria" w:hAnsi="Cambria"/>
          <w:sz w:val="20"/>
          <w:szCs w:val="20"/>
          <w:lang w:val="es-US"/>
        </w:rPr>
        <w:t xml:space="preserve">medidas de protección que el riesgo </w:t>
      </w:r>
      <w:r w:rsidR="00332B28" w:rsidRPr="00420DFB">
        <w:rPr>
          <w:rFonts w:ascii="Cambria" w:hAnsi="Cambria"/>
          <w:sz w:val="20"/>
          <w:szCs w:val="20"/>
          <w:lang w:val="es-US"/>
        </w:rPr>
        <w:t xml:space="preserve">especial en razón del ejercicio periodístico </w:t>
      </w:r>
      <w:r w:rsidR="00BB2DC4" w:rsidRPr="00420DFB">
        <w:rPr>
          <w:rFonts w:ascii="Cambria" w:hAnsi="Cambria"/>
          <w:sz w:val="20"/>
          <w:szCs w:val="20"/>
          <w:lang w:val="es-US"/>
        </w:rPr>
        <w:t xml:space="preserve">ameritaba. </w:t>
      </w:r>
      <w:r w:rsidR="00821BE5" w:rsidRPr="00420DFB">
        <w:rPr>
          <w:rFonts w:ascii="Cambria" w:hAnsi="Cambria"/>
          <w:sz w:val="20"/>
          <w:szCs w:val="20"/>
          <w:lang w:val="es-US"/>
        </w:rPr>
        <w:t xml:space="preserve">En efecto, </w:t>
      </w:r>
      <w:r w:rsidR="00D129F8" w:rsidRPr="00420DFB">
        <w:rPr>
          <w:rFonts w:ascii="Cambria" w:hAnsi="Cambria"/>
          <w:sz w:val="20"/>
          <w:szCs w:val="20"/>
          <w:lang w:val="es-PE"/>
        </w:rPr>
        <w:t xml:space="preserve">el Estado no ha aportado información que demuestre que al tener conocimiento de la situación de riesgo específico hubiera realizado los esfuerzos suficientes para </w:t>
      </w:r>
      <w:r w:rsidR="00DA260F" w:rsidRPr="00420DFB">
        <w:rPr>
          <w:rFonts w:ascii="Cambria" w:hAnsi="Cambria"/>
          <w:sz w:val="20"/>
          <w:szCs w:val="20"/>
          <w:lang w:val="es-PE"/>
        </w:rPr>
        <w:t xml:space="preserve">hacer un seguimiento serio, oportuno y diligente </w:t>
      </w:r>
      <w:r w:rsidR="001008A4" w:rsidRPr="00420DFB">
        <w:rPr>
          <w:rFonts w:ascii="Cambria" w:hAnsi="Cambria"/>
          <w:sz w:val="20"/>
          <w:szCs w:val="20"/>
          <w:lang w:val="es-PE"/>
        </w:rPr>
        <w:t xml:space="preserve">para </w:t>
      </w:r>
      <w:r w:rsidR="00CF5364" w:rsidRPr="00420DFB">
        <w:rPr>
          <w:rFonts w:ascii="Cambria" w:hAnsi="Cambria" w:cs="Arial"/>
          <w:sz w:val="20"/>
          <w:szCs w:val="20"/>
          <w:lang w:val="es-PE"/>
        </w:rPr>
        <w:t>conocer</w:t>
      </w:r>
      <w:r w:rsidR="00E51FCD" w:rsidRPr="00420DFB">
        <w:rPr>
          <w:rFonts w:ascii="Cambria" w:hAnsi="Cambria" w:cs="Arial"/>
          <w:sz w:val="20"/>
          <w:szCs w:val="20"/>
          <w:lang w:val="es-PE"/>
        </w:rPr>
        <w:t xml:space="preserve"> de forma</w:t>
      </w:r>
      <w:r w:rsidR="00602EE4" w:rsidRPr="00420DFB">
        <w:rPr>
          <w:rFonts w:ascii="Cambria" w:hAnsi="Cambria" w:cs="Arial"/>
          <w:sz w:val="20"/>
          <w:szCs w:val="20"/>
          <w:lang w:val="es-PE"/>
        </w:rPr>
        <w:t xml:space="preserve"> más específic</w:t>
      </w:r>
      <w:r w:rsidR="00E51FCD" w:rsidRPr="00420DFB">
        <w:rPr>
          <w:rFonts w:ascii="Cambria" w:hAnsi="Cambria" w:cs="Arial"/>
          <w:sz w:val="20"/>
          <w:szCs w:val="20"/>
          <w:lang w:val="es-PE"/>
        </w:rPr>
        <w:t>a</w:t>
      </w:r>
      <w:r w:rsidR="00602EE4" w:rsidRPr="00420DFB">
        <w:rPr>
          <w:rFonts w:ascii="Cambria" w:hAnsi="Cambria" w:cs="Arial"/>
          <w:sz w:val="20"/>
          <w:szCs w:val="20"/>
          <w:lang w:val="es-PE"/>
        </w:rPr>
        <w:t xml:space="preserve"> el contenido de las amenazas sufridas </w:t>
      </w:r>
      <w:r w:rsidR="00E0435A" w:rsidRPr="00420DFB">
        <w:rPr>
          <w:rFonts w:ascii="Cambria" w:hAnsi="Cambria" w:cs="Arial"/>
          <w:sz w:val="20"/>
          <w:szCs w:val="20"/>
          <w:lang w:val="es-PE"/>
        </w:rPr>
        <w:t xml:space="preserve">ni </w:t>
      </w:r>
      <w:r w:rsidR="00442D13" w:rsidRPr="00420DFB">
        <w:rPr>
          <w:rFonts w:ascii="Cambria" w:hAnsi="Cambria" w:cs="Arial"/>
          <w:sz w:val="20"/>
          <w:szCs w:val="20"/>
          <w:lang w:val="es-PE"/>
        </w:rPr>
        <w:t>su</w:t>
      </w:r>
      <w:r w:rsidR="00E0435A" w:rsidRPr="00420DFB">
        <w:rPr>
          <w:rFonts w:ascii="Cambria" w:hAnsi="Cambria" w:cs="Arial"/>
          <w:sz w:val="20"/>
          <w:szCs w:val="20"/>
          <w:lang w:val="es-PE"/>
        </w:rPr>
        <w:t xml:space="preserve"> relación con el ejerc</w:t>
      </w:r>
      <w:r w:rsidR="00BB0A54" w:rsidRPr="00420DFB">
        <w:rPr>
          <w:rFonts w:ascii="Cambria" w:hAnsi="Cambria" w:cs="Arial"/>
          <w:sz w:val="20"/>
          <w:szCs w:val="20"/>
          <w:lang w:val="es-PE"/>
        </w:rPr>
        <w:t xml:space="preserve">icio periodístico, </w:t>
      </w:r>
      <w:r w:rsidR="00220EAA" w:rsidRPr="00420DFB">
        <w:rPr>
          <w:rFonts w:ascii="Cambria" w:hAnsi="Cambria" w:cs="Arial"/>
          <w:sz w:val="20"/>
          <w:szCs w:val="20"/>
          <w:lang w:val="es-PE"/>
        </w:rPr>
        <w:t>con el fin de realizar</w:t>
      </w:r>
      <w:r w:rsidR="00602EE4" w:rsidRPr="00420DFB">
        <w:rPr>
          <w:rFonts w:ascii="Cambria" w:hAnsi="Cambria" w:cs="Arial"/>
          <w:sz w:val="20"/>
          <w:szCs w:val="20"/>
          <w:lang w:val="es-PE"/>
        </w:rPr>
        <w:t xml:space="preserve"> el análisis de riesgo correspondiente y ofrecer las medidas de protección necesarias</w:t>
      </w:r>
      <w:r w:rsidR="00DD4AA8" w:rsidRPr="00420DFB">
        <w:rPr>
          <w:rFonts w:ascii="Cambria" w:hAnsi="Cambria" w:cs="Arial"/>
          <w:sz w:val="20"/>
          <w:szCs w:val="20"/>
          <w:lang w:val="es-PE"/>
        </w:rPr>
        <w:t xml:space="preserve"> </w:t>
      </w:r>
      <w:r w:rsidR="00DD4AA8" w:rsidRPr="00420DFB">
        <w:rPr>
          <w:rFonts w:ascii="Cambria" w:hAnsi="Cambria"/>
          <w:sz w:val="20"/>
          <w:szCs w:val="20"/>
          <w:lang w:val="es-PE"/>
        </w:rPr>
        <w:t xml:space="preserve">para preservar </w:t>
      </w:r>
      <w:r w:rsidR="0031200D" w:rsidRPr="00420DFB">
        <w:rPr>
          <w:rFonts w:ascii="Cambria" w:hAnsi="Cambria"/>
          <w:sz w:val="20"/>
          <w:szCs w:val="20"/>
          <w:lang w:val="es-PE"/>
        </w:rPr>
        <w:t xml:space="preserve">la </w:t>
      </w:r>
      <w:r w:rsidR="00DD4AA8" w:rsidRPr="00420DFB">
        <w:rPr>
          <w:rFonts w:ascii="Cambria" w:hAnsi="Cambria"/>
          <w:sz w:val="20"/>
          <w:szCs w:val="20"/>
          <w:lang w:val="es-PE"/>
        </w:rPr>
        <w:t>vida</w:t>
      </w:r>
      <w:r w:rsidR="0031200D" w:rsidRPr="00420DFB">
        <w:rPr>
          <w:rFonts w:ascii="Cambria" w:hAnsi="Cambria"/>
          <w:sz w:val="20"/>
          <w:szCs w:val="20"/>
          <w:lang w:val="es-PE"/>
        </w:rPr>
        <w:t xml:space="preserve"> de</w:t>
      </w:r>
      <w:r w:rsidR="00F04969" w:rsidRPr="00420DFB">
        <w:rPr>
          <w:rFonts w:ascii="Cambria" w:hAnsi="Cambria"/>
          <w:sz w:val="20"/>
          <w:szCs w:val="20"/>
          <w:lang w:val="es-PE"/>
        </w:rPr>
        <w:t xml:space="preserve"> Santiago Leguizamón</w:t>
      </w:r>
      <w:r w:rsidR="00602EE4" w:rsidRPr="00420DFB">
        <w:rPr>
          <w:rFonts w:ascii="Cambria" w:hAnsi="Cambria" w:cs="Arial"/>
          <w:sz w:val="20"/>
          <w:szCs w:val="20"/>
          <w:lang w:val="es-PE"/>
        </w:rPr>
        <w:t>.</w:t>
      </w:r>
      <w:r w:rsidR="00D2189F" w:rsidRPr="00420DFB">
        <w:rPr>
          <w:rFonts w:ascii="Cambria" w:hAnsi="Cambria" w:cs="Arial"/>
          <w:sz w:val="20"/>
          <w:szCs w:val="20"/>
          <w:lang w:val="es-PE"/>
        </w:rPr>
        <w:t xml:space="preserve"> </w:t>
      </w:r>
      <w:r w:rsidR="00786EE4" w:rsidRPr="00420DFB">
        <w:rPr>
          <w:rFonts w:ascii="Cambria" w:hAnsi="Cambria" w:cs="Arial"/>
          <w:sz w:val="20"/>
          <w:szCs w:val="20"/>
          <w:lang w:val="es-PE"/>
        </w:rPr>
        <w:t xml:space="preserve">Lo anterior, máxime </w:t>
      </w:r>
      <w:r w:rsidR="00260DFE" w:rsidRPr="00420DFB">
        <w:rPr>
          <w:rFonts w:ascii="Cambria" w:hAnsi="Cambria" w:cs="Arial"/>
          <w:sz w:val="20"/>
          <w:szCs w:val="20"/>
          <w:lang w:val="es-PE"/>
        </w:rPr>
        <w:t>el patrón de violencia de la zona</w:t>
      </w:r>
      <w:r w:rsidR="005A5DE4" w:rsidRPr="00420DFB">
        <w:rPr>
          <w:rFonts w:ascii="Cambria" w:hAnsi="Cambria" w:cs="Arial"/>
          <w:sz w:val="20"/>
          <w:szCs w:val="20"/>
          <w:lang w:val="es-PE"/>
        </w:rPr>
        <w:t xml:space="preserve"> y l</w:t>
      </w:r>
      <w:r w:rsidR="006F0624" w:rsidRPr="00420DFB">
        <w:rPr>
          <w:rFonts w:ascii="Cambria" w:hAnsi="Cambria" w:cs="Arial"/>
          <w:sz w:val="20"/>
          <w:szCs w:val="20"/>
          <w:lang w:val="es-PE"/>
        </w:rPr>
        <w:t>a desconfianza que podría haber tenido el periodista en la efectividad de las instituciones estat</w:t>
      </w:r>
      <w:r w:rsidR="00CE4B38" w:rsidRPr="00420DFB">
        <w:rPr>
          <w:rFonts w:ascii="Cambria" w:hAnsi="Cambria" w:cs="Arial"/>
          <w:sz w:val="20"/>
          <w:szCs w:val="20"/>
          <w:lang w:val="es-PE"/>
        </w:rPr>
        <w:t>a</w:t>
      </w:r>
      <w:r w:rsidR="006F0624" w:rsidRPr="00420DFB">
        <w:rPr>
          <w:rFonts w:ascii="Cambria" w:hAnsi="Cambria" w:cs="Arial"/>
          <w:sz w:val="20"/>
          <w:szCs w:val="20"/>
          <w:lang w:val="es-PE"/>
        </w:rPr>
        <w:t>les, para la cual se le deb</w:t>
      </w:r>
      <w:r w:rsidR="00CE4B38" w:rsidRPr="00420DFB">
        <w:rPr>
          <w:rFonts w:ascii="Cambria" w:hAnsi="Cambria" w:cs="Arial"/>
          <w:sz w:val="20"/>
          <w:szCs w:val="20"/>
          <w:lang w:val="es-PE"/>
        </w:rPr>
        <w:t>i</w:t>
      </w:r>
      <w:r w:rsidR="006F0624" w:rsidRPr="00420DFB">
        <w:rPr>
          <w:rFonts w:ascii="Cambria" w:hAnsi="Cambria" w:cs="Arial"/>
          <w:sz w:val="20"/>
          <w:szCs w:val="20"/>
          <w:lang w:val="es-PE"/>
        </w:rPr>
        <w:t>eron brindar alternativas efectivas de protección</w:t>
      </w:r>
      <w:r w:rsidR="00CE4B38" w:rsidRPr="00420DFB">
        <w:rPr>
          <w:rFonts w:ascii="Cambria" w:hAnsi="Cambria" w:cs="Arial"/>
          <w:sz w:val="20"/>
          <w:szCs w:val="20"/>
          <w:lang w:val="es-PE"/>
        </w:rPr>
        <w:t xml:space="preserve">, conforme al riesgo identificado. </w:t>
      </w:r>
      <w:r w:rsidR="00D2189F" w:rsidRPr="00420DFB">
        <w:rPr>
          <w:rFonts w:ascii="Cambria" w:hAnsi="Cambria" w:cs="Arial"/>
          <w:sz w:val="20"/>
          <w:szCs w:val="20"/>
          <w:lang w:val="es-PE"/>
        </w:rPr>
        <w:t>En el caso concreto, y c</w:t>
      </w:r>
      <w:r w:rsidR="0031200D" w:rsidRPr="00420DFB">
        <w:rPr>
          <w:rFonts w:ascii="Cambria" w:hAnsi="Cambria" w:cs="Arial"/>
          <w:sz w:val="20"/>
          <w:szCs w:val="20"/>
          <w:lang w:val="es-PE"/>
        </w:rPr>
        <w:t>on base en</w:t>
      </w:r>
      <w:r w:rsidR="00D2189F" w:rsidRPr="00420DFB">
        <w:rPr>
          <w:rFonts w:ascii="Cambria" w:hAnsi="Cambria" w:cs="Arial"/>
          <w:sz w:val="20"/>
          <w:szCs w:val="20"/>
          <w:lang w:val="es-PE"/>
        </w:rPr>
        <w:t xml:space="preserve"> los elementos citados en párrafos precedentes</w:t>
      </w:r>
      <w:r w:rsidR="0031200D" w:rsidRPr="00420DFB">
        <w:rPr>
          <w:rFonts w:ascii="Cambria" w:hAnsi="Cambria" w:cs="Arial"/>
          <w:sz w:val="20"/>
          <w:szCs w:val="20"/>
          <w:lang w:val="es-PE"/>
        </w:rPr>
        <w:t>,</w:t>
      </w:r>
      <w:r w:rsidR="00FF5F4F" w:rsidRPr="00420DFB">
        <w:rPr>
          <w:rFonts w:ascii="Cambria" w:hAnsi="Cambria"/>
          <w:sz w:val="20"/>
          <w:szCs w:val="20"/>
          <w:lang w:val="es-PE"/>
        </w:rPr>
        <w:t xml:space="preserve"> existían razones suficientes para concluir que el motivo de la amenaza en su contra </w:t>
      </w:r>
      <w:r w:rsidR="00FF5F4F" w:rsidRPr="00420DFB">
        <w:rPr>
          <w:rFonts w:ascii="Cambria" w:hAnsi="Cambria"/>
          <w:sz w:val="20"/>
          <w:szCs w:val="20"/>
          <w:lang w:val="es-PE"/>
        </w:rPr>
        <w:lastRenderedPageBreak/>
        <w:t xml:space="preserve">guardaba relación con sus actuaciones como </w:t>
      </w:r>
      <w:r w:rsidR="00F04969" w:rsidRPr="00420DFB">
        <w:rPr>
          <w:rFonts w:ascii="Cambria" w:hAnsi="Cambria"/>
          <w:sz w:val="20"/>
          <w:szCs w:val="20"/>
          <w:lang w:val="es-PE"/>
        </w:rPr>
        <w:t>periodista</w:t>
      </w:r>
      <w:r w:rsidR="00FF5F4F" w:rsidRPr="00420DFB">
        <w:rPr>
          <w:rFonts w:ascii="Cambria" w:hAnsi="Cambria"/>
          <w:sz w:val="20"/>
          <w:szCs w:val="20"/>
          <w:lang w:val="es-PE"/>
        </w:rPr>
        <w:t xml:space="preserve">. </w:t>
      </w:r>
      <w:r w:rsidR="00FF49C6" w:rsidRPr="00420DFB">
        <w:rPr>
          <w:rFonts w:ascii="Cambria" w:hAnsi="Cambria"/>
          <w:sz w:val="20"/>
          <w:szCs w:val="20"/>
          <w:lang w:val="es-PE"/>
        </w:rPr>
        <w:t>Por lo anterior, e</w:t>
      </w:r>
      <w:r w:rsidR="00FF5F4F" w:rsidRPr="00420DFB">
        <w:rPr>
          <w:rFonts w:ascii="Cambria" w:hAnsi="Cambria"/>
          <w:sz w:val="20"/>
          <w:szCs w:val="20"/>
          <w:lang w:val="es-PE"/>
        </w:rPr>
        <w:t>l Estado no cumplió con su deber de prevenir la vulneración de sus derechos a través de la adopción de medidas oportunas y necesarias de protección</w:t>
      </w:r>
      <w:r w:rsidR="00C52C14" w:rsidRPr="00420DFB">
        <w:rPr>
          <w:rStyle w:val="FootnoteReference"/>
          <w:rFonts w:ascii="Cambria" w:hAnsi="Cambria"/>
          <w:sz w:val="20"/>
          <w:szCs w:val="20"/>
          <w:lang w:val="es-PE"/>
        </w:rPr>
        <w:footnoteReference w:id="136"/>
      </w:r>
      <w:r w:rsidR="00FF5F4F" w:rsidRPr="00420DFB">
        <w:rPr>
          <w:rFonts w:ascii="Cambria" w:hAnsi="Cambria"/>
          <w:sz w:val="20"/>
          <w:szCs w:val="20"/>
          <w:lang w:val="es-PE"/>
        </w:rPr>
        <w:t>.</w:t>
      </w:r>
      <w:r w:rsidR="00602EE4" w:rsidRPr="00420DFB">
        <w:rPr>
          <w:rFonts w:ascii="Cambria" w:hAnsi="Cambria" w:cs="Arial"/>
          <w:sz w:val="20"/>
          <w:szCs w:val="20"/>
          <w:lang w:val="es-PE"/>
        </w:rPr>
        <w:t xml:space="preserve"> </w:t>
      </w:r>
    </w:p>
    <w:p w14:paraId="485D0942" w14:textId="77777777" w:rsidR="00207967" w:rsidRPr="009E19B5" w:rsidRDefault="00207967" w:rsidP="009E19B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_tradnl"/>
        </w:rPr>
      </w:pPr>
    </w:p>
    <w:p w14:paraId="4E887A1A" w14:textId="0ECF01C8" w:rsidR="00BB2DC4" w:rsidRPr="00BE183D" w:rsidRDefault="00591B01"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_tradnl"/>
        </w:rPr>
      </w:pPr>
      <w:r w:rsidRPr="00BE183D">
        <w:rPr>
          <w:rFonts w:ascii="Cambria" w:hAnsi="Cambria"/>
          <w:color w:val="000000"/>
          <w:sz w:val="20"/>
          <w:szCs w:val="20"/>
          <w:bdr w:val="none" w:sz="0" w:space="0" w:color="auto"/>
          <w:lang w:val="es-AR"/>
        </w:rPr>
        <w:t>Por otro lado</w:t>
      </w:r>
      <w:r>
        <w:rPr>
          <w:rFonts w:ascii="Cambria" w:hAnsi="Cambria"/>
          <w:sz w:val="20"/>
          <w:szCs w:val="20"/>
          <w:lang w:val="es-CO"/>
        </w:rPr>
        <w:t>, l</w:t>
      </w:r>
      <w:r w:rsidR="00FF027A" w:rsidRPr="00BE183D">
        <w:rPr>
          <w:rFonts w:ascii="Cambria" w:hAnsi="Cambria"/>
          <w:sz w:val="20"/>
          <w:szCs w:val="20"/>
          <w:lang w:val="es-CO"/>
        </w:rPr>
        <w:t xml:space="preserve">a CIDH considera que el papel </w:t>
      </w:r>
      <w:r w:rsidR="008A7F4A" w:rsidRPr="00BE183D">
        <w:rPr>
          <w:rFonts w:ascii="Cambria" w:hAnsi="Cambria"/>
          <w:sz w:val="20"/>
          <w:szCs w:val="20"/>
          <w:lang w:val="es-CO"/>
        </w:rPr>
        <w:t>social que desempeña</w:t>
      </w:r>
      <w:r w:rsidR="00FF027A" w:rsidRPr="00BE183D">
        <w:rPr>
          <w:rFonts w:ascii="Cambria" w:hAnsi="Cambria"/>
          <w:sz w:val="20"/>
          <w:szCs w:val="20"/>
          <w:lang w:val="es-CO"/>
        </w:rPr>
        <w:t xml:space="preserve">ba Santiago Leguizamón </w:t>
      </w:r>
      <w:r w:rsidR="00E32810" w:rsidRPr="00BE183D">
        <w:rPr>
          <w:rFonts w:ascii="Cambria" w:hAnsi="Cambria"/>
          <w:sz w:val="20"/>
          <w:szCs w:val="20"/>
          <w:lang w:val="es-CO"/>
        </w:rPr>
        <w:t xml:space="preserve">como periodista </w:t>
      </w:r>
      <w:r w:rsidR="00FF027A" w:rsidRPr="00BE183D">
        <w:rPr>
          <w:rFonts w:ascii="Cambria" w:hAnsi="Cambria"/>
          <w:sz w:val="20"/>
          <w:szCs w:val="20"/>
          <w:lang w:val="es-CO"/>
        </w:rPr>
        <w:t xml:space="preserve">era de vital importancia </w:t>
      </w:r>
      <w:r w:rsidR="00387205" w:rsidRPr="00BE183D">
        <w:rPr>
          <w:rFonts w:ascii="Cambria" w:hAnsi="Cambria"/>
          <w:sz w:val="20"/>
          <w:szCs w:val="20"/>
          <w:lang w:val="es-CO"/>
        </w:rPr>
        <w:t xml:space="preserve">y que su </w:t>
      </w:r>
      <w:r w:rsidR="008A7F4A" w:rsidRPr="00BE183D">
        <w:rPr>
          <w:rFonts w:ascii="Cambria" w:hAnsi="Cambria"/>
          <w:sz w:val="20"/>
          <w:szCs w:val="20"/>
          <w:bdr w:val="none" w:sz="0" w:space="0" w:color="auto"/>
          <w:lang w:val="es-AR"/>
        </w:rPr>
        <w:t>derecho</w:t>
      </w:r>
      <w:r w:rsidR="00387205" w:rsidRPr="00BE183D">
        <w:rPr>
          <w:rFonts w:ascii="Cambria" w:hAnsi="Cambria"/>
          <w:sz w:val="20"/>
          <w:szCs w:val="20"/>
          <w:bdr w:val="none" w:sz="0" w:space="0" w:color="auto"/>
          <w:lang w:val="es-AR"/>
        </w:rPr>
        <w:t xml:space="preserve"> </w:t>
      </w:r>
      <w:r w:rsidR="008A7F4A" w:rsidRPr="00BE183D">
        <w:rPr>
          <w:rFonts w:ascii="Cambria" w:hAnsi="Cambria"/>
          <w:sz w:val="20"/>
          <w:szCs w:val="20"/>
          <w:bdr w:val="none" w:sz="0" w:space="0" w:color="auto"/>
          <w:lang w:val="es-AR"/>
        </w:rPr>
        <w:t>a la vida</w:t>
      </w:r>
      <w:r w:rsidR="00387205" w:rsidRPr="00BE183D">
        <w:rPr>
          <w:rFonts w:ascii="Cambria" w:hAnsi="Cambria" w:cs="Arial"/>
          <w:sz w:val="20"/>
          <w:szCs w:val="20"/>
          <w:lang w:val="es-PR"/>
        </w:rPr>
        <w:t xml:space="preserve"> se encuentra estrechamente relacionado</w:t>
      </w:r>
      <w:r w:rsidR="00387205" w:rsidRPr="00BE183D">
        <w:rPr>
          <w:rFonts w:ascii="Cambria" w:hAnsi="Cambria"/>
          <w:sz w:val="20"/>
          <w:szCs w:val="20"/>
          <w:lang w:val="es-ES_tradnl"/>
        </w:rPr>
        <w:t xml:space="preserve"> con su derecho </w:t>
      </w:r>
      <w:r w:rsidR="00387205" w:rsidRPr="00BE183D">
        <w:rPr>
          <w:rFonts w:ascii="Cambria" w:hAnsi="Cambria"/>
          <w:sz w:val="20"/>
          <w:szCs w:val="20"/>
          <w:bdr w:val="none" w:sz="0" w:space="0" w:color="auto"/>
          <w:lang w:val="es-AR"/>
        </w:rPr>
        <w:t>a</w:t>
      </w:r>
      <w:r w:rsidR="008A7F4A" w:rsidRPr="00BE183D">
        <w:rPr>
          <w:rFonts w:ascii="Cambria" w:hAnsi="Cambria"/>
          <w:sz w:val="20"/>
          <w:szCs w:val="20"/>
          <w:bdr w:val="none" w:sz="0" w:space="0" w:color="auto"/>
          <w:lang w:val="es-AR"/>
        </w:rPr>
        <w:t xml:space="preserve"> la libertad de expresión</w:t>
      </w:r>
      <w:r w:rsidR="00823689" w:rsidRPr="00BE183D">
        <w:rPr>
          <w:rFonts w:ascii="Cambria" w:hAnsi="Cambria"/>
          <w:sz w:val="20"/>
          <w:szCs w:val="20"/>
          <w:bdr w:val="none" w:sz="0" w:space="0" w:color="auto"/>
          <w:lang w:val="es-AR"/>
        </w:rPr>
        <w:t xml:space="preserve">. </w:t>
      </w:r>
      <w:r w:rsidR="00057709" w:rsidRPr="00BE183D">
        <w:rPr>
          <w:rFonts w:ascii="Cambria" w:hAnsi="Cambria"/>
          <w:sz w:val="20"/>
          <w:szCs w:val="20"/>
          <w:bdr w:val="none" w:sz="0" w:space="0" w:color="auto"/>
          <w:lang w:val="es-AR"/>
        </w:rPr>
        <w:t xml:space="preserve">En este sentido, </w:t>
      </w:r>
      <w:r w:rsidR="00DC3854" w:rsidRPr="00BE183D">
        <w:rPr>
          <w:rFonts w:ascii="Cambria" w:hAnsi="Cambria"/>
          <w:sz w:val="20"/>
          <w:szCs w:val="20"/>
          <w:bdr w:val="none" w:sz="0" w:space="0" w:color="auto"/>
          <w:lang w:val="es-AR"/>
        </w:rPr>
        <w:t>su</w:t>
      </w:r>
      <w:r w:rsidR="007A6BCC" w:rsidRPr="00BE183D">
        <w:rPr>
          <w:rFonts w:ascii="Cambria" w:hAnsi="Cambria"/>
          <w:sz w:val="20"/>
          <w:szCs w:val="20"/>
          <w:bdr w:val="none" w:sz="0" w:space="0" w:color="auto"/>
          <w:lang w:val="es-AR"/>
        </w:rPr>
        <w:t xml:space="preserve"> </w:t>
      </w:r>
      <w:r w:rsidR="00DC3854" w:rsidRPr="00BE183D">
        <w:rPr>
          <w:rFonts w:ascii="Cambria" w:hAnsi="Cambria"/>
          <w:sz w:val="20"/>
          <w:szCs w:val="20"/>
          <w:bdr w:val="none" w:sz="0" w:space="0" w:color="auto"/>
          <w:lang w:val="es-AR"/>
        </w:rPr>
        <w:t xml:space="preserve">derecho a la </w:t>
      </w:r>
      <w:r w:rsidR="007A6BCC" w:rsidRPr="00BE183D">
        <w:rPr>
          <w:rFonts w:ascii="Cambria" w:hAnsi="Cambria"/>
          <w:sz w:val="20"/>
          <w:szCs w:val="20"/>
          <w:bdr w:val="none" w:sz="0" w:space="0" w:color="auto"/>
          <w:lang w:val="es-AR"/>
        </w:rPr>
        <w:t>libertad de expresión</w:t>
      </w:r>
      <w:r w:rsidR="00DC3854" w:rsidRPr="00BE183D">
        <w:rPr>
          <w:rFonts w:ascii="Cambria" w:hAnsi="Cambria"/>
          <w:sz w:val="20"/>
          <w:szCs w:val="20"/>
          <w:bdr w:val="none" w:sz="0" w:space="0" w:color="auto"/>
          <w:lang w:val="es-AR"/>
        </w:rPr>
        <w:t xml:space="preserve"> se vio afectado debido a que</w:t>
      </w:r>
      <w:r>
        <w:rPr>
          <w:rFonts w:ascii="Cambria" w:hAnsi="Cambria"/>
          <w:sz w:val="20"/>
          <w:szCs w:val="20"/>
          <w:bdr w:val="none" w:sz="0" w:space="0" w:color="auto"/>
          <w:lang w:val="es-AR"/>
        </w:rPr>
        <w:t>,</w:t>
      </w:r>
      <w:r w:rsidR="00DC3854" w:rsidRPr="00BE183D">
        <w:rPr>
          <w:rFonts w:ascii="Cambria" w:hAnsi="Cambria"/>
          <w:sz w:val="20"/>
          <w:szCs w:val="20"/>
          <w:bdr w:val="none" w:sz="0" w:space="0" w:color="auto"/>
          <w:lang w:val="es-AR"/>
        </w:rPr>
        <w:t xml:space="preserve"> con motivo de</w:t>
      </w:r>
      <w:r w:rsidR="00A532C8" w:rsidRPr="00BE183D">
        <w:rPr>
          <w:rFonts w:ascii="Cambria" w:hAnsi="Cambria"/>
          <w:sz w:val="20"/>
          <w:szCs w:val="20"/>
          <w:bdr w:val="none" w:sz="0" w:space="0" w:color="auto"/>
          <w:lang w:val="es-AR"/>
        </w:rPr>
        <w:t xml:space="preserve"> su muerte</w:t>
      </w:r>
      <w:r>
        <w:rPr>
          <w:rFonts w:ascii="Cambria" w:hAnsi="Cambria"/>
          <w:sz w:val="20"/>
          <w:szCs w:val="20"/>
          <w:bdr w:val="none" w:sz="0" w:space="0" w:color="auto"/>
          <w:lang w:val="es-AR"/>
        </w:rPr>
        <w:t>,</w:t>
      </w:r>
      <w:r w:rsidR="00A532C8" w:rsidRPr="00BE183D">
        <w:rPr>
          <w:rFonts w:ascii="Cambria" w:hAnsi="Cambria"/>
          <w:sz w:val="20"/>
          <w:szCs w:val="20"/>
          <w:bdr w:val="none" w:sz="0" w:space="0" w:color="auto"/>
          <w:lang w:val="es-AR"/>
        </w:rPr>
        <w:t xml:space="preserve"> no pude seguir ejerci</w:t>
      </w:r>
      <w:r w:rsidR="00A3240C" w:rsidRPr="00BE183D">
        <w:rPr>
          <w:rFonts w:ascii="Cambria" w:hAnsi="Cambria"/>
          <w:sz w:val="20"/>
          <w:szCs w:val="20"/>
          <w:bdr w:val="none" w:sz="0" w:space="0" w:color="auto"/>
          <w:lang w:val="es-AR"/>
        </w:rPr>
        <w:t>énd</w:t>
      </w:r>
      <w:r w:rsidR="00A532C8" w:rsidRPr="00BE183D">
        <w:rPr>
          <w:rFonts w:ascii="Cambria" w:hAnsi="Cambria"/>
          <w:sz w:val="20"/>
          <w:szCs w:val="20"/>
          <w:bdr w:val="none" w:sz="0" w:space="0" w:color="auto"/>
          <w:lang w:val="es-AR"/>
        </w:rPr>
        <w:t>o</w:t>
      </w:r>
      <w:r w:rsidR="00A3240C" w:rsidRPr="00BE183D">
        <w:rPr>
          <w:rFonts w:ascii="Cambria" w:hAnsi="Cambria"/>
          <w:sz w:val="20"/>
          <w:szCs w:val="20"/>
          <w:bdr w:val="none" w:sz="0" w:space="0" w:color="auto"/>
          <w:lang w:val="es-AR"/>
        </w:rPr>
        <w:t>lo</w:t>
      </w:r>
      <w:r w:rsidR="00043997" w:rsidRPr="00BE183D">
        <w:rPr>
          <w:rFonts w:ascii="Cambria" w:hAnsi="Cambria"/>
          <w:sz w:val="20"/>
          <w:szCs w:val="20"/>
          <w:bdr w:val="none" w:sz="0" w:space="0" w:color="auto"/>
          <w:lang w:val="es-AR"/>
        </w:rPr>
        <w:t>.</w:t>
      </w:r>
      <w:r w:rsidR="00DC3854" w:rsidRPr="00BE183D">
        <w:rPr>
          <w:rFonts w:ascii="Cambria" w:hAnsi="Cambria"/>
          <w:sz w:val="20"/>
          <w:szCs w:val="20"/>
          <w:bdr w:val="none" w:sz="0" w:space="0" w:color="auto"/>
          <w:lang w:val="es-AR"/>
        </w:rPr>
        <w:t xml:space="preserve"> </w:t>
      </w:r>
      <w:r w:rsidR="00043997" w:rsidRPr="00BE183D">
        <w:rPr>
          <w:rFonts w:ascii="Cambria" w:hAnsi="Cambria"/>
          <w:sz w:val="20"/>
          <w:szCs w:val="20"/>
          <w:bdr w:val="none" w:sz="0" w:space="0" w:color="auto"/>
          <w:lang w:val="es-AR"/>
        </w:rPr>
        <w:t>Es decir que</w:t>
      </w:r>
      <w:r w:rsidR="00E369FA" w:rsidRPr="00BE183D">
        <w:rPr>
          <w:rFonts w:ascii="Cambria" w:hAnsi="Cambria"/>
          <w:sz w:val="20"/>
          <w:szCs w:val="20"/>
          <w:bdr w:val="none" w:sz="0" w:space="0" w:color="auto"/>
          <w:lang w:val="es-AR"/>
        </w:rPr>
        <w:t xml:space="preserve"> el Estado no cumplió con su deber de garantizar la</w:t>
      </w:r>
      <w:r w:rsidR="009C4BD9" w:rsidRPr="00BE183D">
        <w:rPr>
          <w:rFonts w:ascii="Cambria" w:hAnsi="Cambria"/>
          <w:sz w:val="20"/>
          <w:szCs w:val="20"/>
          <w:bdr w:val="none" w:sz="0" w:space="0" w:color="auto"/>
          <w:lang w:val="es-AR"/>
        </w:rPr>
        <w:t xml:space="preserve"> vida del periodista, quien fue asesinado </w:t>
      </w:r>
      <w:r w:rsidR="00865C72" w:rsidRPr="00BE183D">
        <w:rPr>
          <w:rFonts w:ascii="Cambria" w:hAnsi="Cambria"/>
          <w:sz w:val="20"/>
          <w:szCs w:val="20"/>
          <w:bdr w:val="none" w:sz="0" w:space="0" w:color="auto"/>
          <w:lang w:val="es-AR"/>
        </w:rPr>
        <w:t>para censurarlo de la forma más extrema.</w:t>
      </w:r>
      <w:r w:rsidR="00E43BBB" w:rsidRPr="00BE183D">
        <w:rPr>
          <w:rFonts w:ascii="Cambria" w:hAnsi="Cambria"/>
          <w:sz w:val="20"/>
          <w:szCs w:val="20"/>
          <w:bdr w:val="none" w:sz="0" w:space="0" w:color="auto"/>
          <w:lang w:val="es-AR"/>
        </w:rPr>
        <w:t xml:space="preserve"> </w:t>
      </w:r>
      <w:r w:rsidR="00043997" w:rsidRPr="00BE183D">
        <w:rPr>
          <w:rFonts w:ascii="Cambria" w:hAnsi="Cambria"/>
          <w:sz w:val="20"/>
          <w:szCs w:val="20"/>
          <w:bdr w:val="none" w:sz="0" w:space="0" w:color="auto"/>
          <w:lang w:val="es-AR"/>
        </w:rPr>
        <w:t xml:space="preserve"> </w:t>
      </w:r>
    </w:p>
    <w:p w14:paraId="67B25338" w14:textId="77777777" w:rsidR="00865C72" w:rsidRPr="00BE183D" w:rsidRDefault="00865C72"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_tradnl"/>
        </w:rPr>
      </w:pPr>
    </w:p>
    <w:p w14:paraId="3198FD79" w14:textId="05D48732" w:rsidR="000F7F7D" w:rsidRPr="00BE183D" w:rsidRDefault="00591B01"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Pr>
          <w:rFonts w:ascii="Cambria" w:hAnsi="Cambria"/>
          <w:color w:val="000000"/>
          <w:sz w:val="20"/>
          <w:szCs w:val="20"/>
          <w:bdr w:val="none" w:sz="0" w:space="0" w:color="auto"/>
          <w:lang w:val="es-AR"/>
        </w:rPr>
        <w:t>La</w:t>
      </w:r>
      <w:r w:rsidR="000F7F7D" w:rsidRPr="00BE183D">
        <w:rPr>
          <w:rFonts w:ascii="Cambria" w:hAnsi="Cambria"/>
          <w:color w:val="000000"/>
          <w:sz w:val="20"/>
          <w:szCs w:val="20"/>
          <w:bdr w:val="none" w:sz="0" w:space="0" w:color="auto"/>
          <w:lang w:val="es-AR"/>
        </w:rPr>
        <w:t xml:space="preserve"> Corte ha establecido que la </w:t>
      </w:r>
      <w:r w:rsidR="000F7F7D" w:rsidRPr="00BE183D">
        <w:rPr>
          <w:rFonts w:ascii="Cambria" w:hAnsi="Cambria"/>
          <w:sz w:val="20"/>
          <w:szCs w:val="20"/>
          <w:lang w:val="es-PE"/>
        </w:rPr>
        <w:t xml:space="preserve">obligación de garantizar el derecho a la vida </w:t>
      </w:r>
      <w:r w:rsidR="00474BFC" w:rsidRPr="00BE183D">
        <w:rPr>
          <w:rFonts w:ascii="Cambria" w:hAnsi="Cambria"/>
          <w:sz w:val="20"/>
          <w:szCs w:val="20"/>
          <w:lang w:val="es-PE"/>
        </w:rPr>
        <w:t xml:space="preserve">y a la libertad de expresión </w:t>
      </w:r>
      <w:r w:rsidR="000F7F7D" w:rsidRPr="00BE183D">
        <w:rPr>
          <w:rFonts w:ascii="Cambria" w:hAnsi="Cambria"/>
          <w:sz w:val="20"/>
          <w:szCs w:val="20"/>
          <w:lang w:val="es-PE"/>
        </w:rPr>
        <w:t>presupone, además, el deber de</w:t>
      </w:r>
      <w:r w:rsidR="00556BAC" w:rsidRPr="00BE183D">
        <w:rPr>
          <w:rFonts w:ascii="Cambria" w:hAnsi="Cambria"/>
          <w:sz w:val="20"/>
          <w:szCs w:val="20"/>
          <w:lang w:val="es-PE"/>
        </w:rPr>
        <w:t xml:space="preserve"> adoptar medidas para prevenir la violencia contra periodistas</w:t>
      </w:r>
      <w:r w:rsidR="00A9254D" w:rsidRPr="00BE183D">
        <w:rPr>
          <w:rFonts w:ascii="Cambria" w:hAnsi="Cambria"/>
          <w:sz w:val="20"/>
          <w:szCs w:val="20"/>
          <w:lang w:val="es-PE"/>
        </w:rPr>
        <w:t xml:space="preserve"> y para otorgarle</w:t>
      </w:r>
      <w:r w:rsidR="00474BFC" w:rsidRPr="00BE183D">
        <w:rPr>
          <w:rFonts w:ascii="Cambria" w:hAnsi="Cambria"/>
          <w:sz w:val="20"/>
          <w:szCs w:val="20"/>
          <w:lang w:val="es-PE"/>
        </w:rPr>
        <w:t>s</w:t>
      </w:r>
      <w:r w:rsidR="00A9254D" w:rsidRPr="00BE183D">
        <w:rPr>
          <w:rFonts w:ascii="Cambria" w:hAnsi="Cambria"/>
          <w:sz w:val="20"/>
          <w:szCs w:val="20"/>
          <w:lang w:val="es-PE"/>
        </w:rPr>
        <w:t xml:space="preserve"> la protección debida</w:t>
      </w:r>
      <w:r w:rsidR="000F7F7D" w:rsidRPr="00BE183D">
        <w:rPr>
          <w:rFonts w:ascii="Cambria" w:hAnsi="Cambria"/>
          <w:sz w:val="20"/>
          <w:szCs w:val="20"/>
          <w:lang w:val="es-PE"/>
        </w:rPr>
        <w:t xml:space="preserve">. </w:t>
      </w:r>
      <w:r w:rsidR="00A9254D" w:rsidRPr="00BE183D">
        <w:rPr>
          <w:rFonts w:ascii="Cambria" w:hAnsi="Cambria"/>
          <w:sz w:val="20"/>
          <w:szCs w:val="20"/>
          <w:lang w:val="es-PE"/>
        </w:rPr>
        <w:t>Al respecto, c</w:t>
      </w:r>
      <w:r w:rsidR="000F7F7D" w:rsidRPr="00BE183D">
        <w:rPr>
          <w:rFonts w:ascii="Cambria" w:hAnsi="Cambria"/>
          <w:sz w:val="20"/>
          <w:szCs w:val="20"/>
          <w:lang w:val="es-PE"/>
        </w:rPr>
        <w:t>omo fuera destacado en párrafos anteriores, con posterioridad al homicidio de Santiago Leguizamón y hasta la actualidad, 19 periodistas habrían perdido la vida con motivo de sus labores periodísticas en Paraguay, especialmente en zonas fronterizas, por lo cual la CIDH ha catalogado a esta región como una “zona silenciada”</w:t>
      </w:r>
      <w:r w:rsidR="000F7F7D" w:rsidRPr="00BE183D">
        <w:rPr>
          <w:rStyle w:val="FootnoteReference"/>
          <w:rFonts w:ascii="Cambria" w:hAnsi="Cambria"/>
          <w:sz w:val="20"/>
          <w:szCs w:val="20"/>
          <w:lang w:val="es-PE"/>
        </w:rPr>
        <w:footnoteReference w:id="137"/>
      </w:r>
      <w:r w:rsidR="000F7F7D" w:rsidRPr="00BE183D">
        <w:rPr>
          <w:rFonts w:ascii="Cambria" w:hAnsi="Cambria"/>
          <w:sz w:val="20"/>
          <w:szCs w:val="20"/>
          <w:lang w:val="es-PE"/>
        </w:rPr>
        <w:t xml:space="preserve">. La CIDH no cuenta con información actualizada respecto a las medidas adoptadas </w:t>
      </w:r>
      <w:r w:rsidR="000F7F7D" w:rsidRPr="00BE183D">
        <w:rPr>
          <w:rFonts w:ascii="Cambria" w:hAnsi="Cambria" w:cs="Calibri"/>
          <w:sz w:val="20"/>
          <w:szCs w:val="20"/>
          <w:lang w:val="es-AR"/>
        </w:rPr>
        <w:t>para garantizar la seguridad de los y las periodistas que se encuentran sometidos a un riesgo especial por el ejercicio de su oficio,</w:t>
      </w:r>
      <w:r w:rsidR="00231168">
        <w:rPr>
          <w:rFonts w:ascii="Cambria" w:hAnsi="Cambria" w:cs="Calibri"/>
          <w:sz w:val="20"/>
          <w:szCs w:val="20"/>
          <w:lang w:val="es-AR"/>
        </w:rPr>
        <w:t xml:space="preserve"> especialmente en las zonas fronterizas,</w:t>
      </w:r>
      <w:r w:rsidR="000F7F7D" w:rsidRPr="00BE183D">
        <w:rPr>
          <w:rFonts w:ascii="Cambria" w:hAnsi="Cambria" w:cs="Calibri"/>
          <w:sz w:val="20"/>
          <w:szCs w:val="20"/>
          <w:lang w:val="es-AR"/>
        </w:rPr>
        <w:t xml:space="preserve"> ya sea que las amenazas provengan de agentes del Estado o que sean originadas en particulares.</w:t>
      </w:r>
    </w:p>
    <w:p w14:paraId="73CC2C3E" w14:textId="77777777" w:rsidR="00C27961" w:rsidRPr="00BE183D" w:rsidRDefault="00C27961" w:rsidP="00BE18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lang w:val="es-AR"/>
        </w:rPr>
      </w:pPr>
    </w:p>
    <w:p w14:paraId="4AB90FF7" w14:textId="24BA77B8" w:rsidR="003846AB" w:rsidRPr="000D7953" w:rsidRDefault="00BB2DC4"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bdr w:val="none" w:sz="0" w:space="0" w:color="auto"/>
          <w:lang w:val="es-AR"/>
        </w:rPr>
      </w:pPr>
      <w:r w:rsidRPr="00BE183D">
        <w:rPr>
          <w:rFonts w:ascii="Cambria" w:hAnsi="Cambria"/>
          <w:sz w:val="20"/>
          <w:szCs w:val="20"/>
          <w:lang w:val="es-US"/>
        </w:rPr>
        <w:t xml:space="preserve">Como resultado de lo expuesto, la Comisión estima que el Estado no cumplió con su deber de proteger </w:t>
      </w:r>
      <w:r w:rsidR="00343A4A">
        <w:rPr>
          <w:rFonts w:ascii="Cambria" w:hAnsi="Cambria"/>
          <w:sz w:val="20"/>
          <w:szCs w:val="20"/>
          <w:lang w:val="es-US"/>
        </w:rPr>
        <w:t>a Santiago Leguizamón y prevenir su muerte, por lo que es responsable por la falta de garantía de sus</w:t>
      </w:r>
      <w:r w:rsidR="00502C7C" w:rsidRPr="00BE183D">
        <w:rPr>
          <w:rFonts w:ascii="Cambria" w:hAnsi="Cambria"/>
          <w:sz w:val="20"/>
          <w:szCs w:val="20"/>
          <w:lang w:val="es-US"/>
        </w:rPr>
        <w:t xml:space="preserve"> d</w:t>
      </w:r>
      <w:r w:rsidRPr="00BE183D">
        <w:rPr>
          <w:rFonts w:ascii="Cambria" w:hAnsi="Cambria"/>
          <w:sz w:val="20"/>
          <w:szCs w:val="20"/>
          <w:lang w:val="es-US"/>
        </w:rPr>
        <w:t>erecho</w:t>
      </w:r>
      <w:r w:rsidR="00502C7C" w:rsidRPr="00BE183D">
        <w:rPr>
          <w:rFonts w:ascii="Cambria" w:hAnsi="Cambria"/>
          <w:sz w:val="20"/>
          <w:szCs w:val="20"/>
          <w:lang w:val="es-US"/>
        </w:rPr>
        <w:t>s</w:t>
      </w:r>
      <w:r w:rsidRPr="00BE183D">
        <w:rPr>
          <w:rFonts w:ascii="Cambria" w:hAnsi="Cambria"/>
          <w:sz w:val="20"/>
          <w:szCs w:val="20"/>
          <w:lang w:val="es-US"/>
        </w:rPr>
        <w:t xml:space="preserve"> a la vida</w:t>
      </w:r>
      <w:r w:rsidR="00502C7C" w:rsidRPr="00BE183D">
        <w:rPr>
          <w:rFonts w:ascii="Cambria" w:hAnsi="Cambria"/>
          <w:sz w:val="20"/>
          <w:szCs w:val="20"/>
          <w:lang w:val="es-US"/>
        </w:rPr>
        <w:t xml:space="preserve"> y a la libertad de expresión</w:t>
      </w:r>
      <w:r w:rsidRPr="00BE183D">
        <w:rPr>
          <w:rFonts w:ascii="Cambria" w:hAnsi="Cambria"/>
          <w:sz w:val="20"/>
          <w:szCs w:val="20"/>
          <w:lang w:val="es-US"/>
        </w:rPr>
        <w:t xml:space="preserve"> </w:t>
      </w:r>
      <w:r w:rsidRPr="00BE183D">
        <w:rPr>
          <w:rFonts w:ascii="Cambria" w:hAnsi="Cambria"/>
          <w:sz w:val="20"/>
          <w:szCs w:val="20"/>
          <w:lang w:val="es-MX"/>
        </w:rPr>
        <w:t>establecido</w:t>
      </w:r>
      <w:r w:rsidR="00ED2524" w:rsidRPr="00BE183D">
        <w:rPr>
          <w:rFonts w:ascii="Cambria" w:hAnsi="Cambria"/>
          <w:sz w:val="20"/>
          <w:szCs w:val="20"/>
          <w:lang w:val="es-MX"/>
        </w:rPr>
        <w:t>s</w:t>
      </w:r>
      <w:r w:rsidRPr="00BE183D">
        <w:rPr>
          <w:rFonts w:ascii="Cambria" w:hAnsi="Cambria"/>
          <w:sz w:val="20"/>
          <w:szCs w:val="20"/>
          <w:lang w:val="es-MX"/>
        </w:rPr>
        <w:t xml:space="preserve"> en </w:t>
      </w:r>
      <w:r w:rsidR="00ED2524" w:rsidRPr="00BE183D">
        <w:rPr>
          <w:rFonts w:ascii="Cambria" w:hAnsi="Cambria"/>
          <w:sz w:val="20"/>
          <w:szCs w:val="20"/>
          <w:lang w:val="es-MX"/>
        </w:rPr>
        <w:t>los</w:t>
      </w:r>
      <w:r w:rsidRPr="00BE183D">
        <w:rPr>
          <w:rFonts w:ascii="Cambria" w:hAnsi="Cambria"/>
          <w:sz w:val="20"/>
          <w:szCs w:val="20"/>
          <w:lang w:val="es-MX"/>
        </w:rPr>
        <w:t xml:space="preserve"> artículos 4.1 y</w:t>
      </w:r>
      <w:r w:rsidR="00ED2524" w:rsidRPr="00BE183D">
        <w:rPr>
          <w:rFonts w:ascii="Cambria" w:hAnsi="Cambria"/>
          <w:sz w:val="20"/>
          <w:szCs w:val="20"/>
          <w:lang w:val="es-MX"/>
        </w:rPr>
        <w:t xml:space="preserve"> 13</w:t>
      </w:r>
      <w:r w:rsidRPr="00BE183D">
        <w:rPr>
          <w:rFonts w:ascii="Cambria" w:hAnsi="Cambria"/>
          <w:sz w:val="20"/>
          <w:szCs w:val="20"/>
          <w:lang w:val="es-MX"/>
        </w:rPr>
        <w:t xml:space="preserve"> de la Convención Americana, en </w:t>
      </w:r>
      <w:r w:rsidR="00343A4A">
        <w:rPr>
          <w:rFonts w:ascii="Cambria" w:hAnsi="Cambria"/>
          <w:sz w:val="20"/>
          <w:szCs w:val="20"/>
          <w:lang w:val="es-MX"/>
        </w:rPr>
        <w:t xml:space="preserve">relación con </w:t>
      </w:r>
      <w:r w:rsidRPr="00BE183D">
        <w:rPr>
          <w:rFonts w:ascii="Cambria" w:hAnsi="Cambria"/>
          <w:sz w:val="20"/>
          <w:szCs w:val="20"/>
          <w:lang w:val="es-MX"/>
        </w:rPr>
        <w:t>el artículo 1.1 del mismo instrumento, en perjuicio</w:t>
      </w:r>
      <w:r w:rsidR="00502C7C" w:rsidRPr="00BE183D">
        <w:rPr>
          <w:rFonts w:ascii="Cambria" w:hAnsi="Cambria"/>
          <w:sz w:val="20"/>
          <w:szCs w:val="20"/>
          <w:lang w:val="es-MX"/>
        </w:rPr>
        <w:t xml:space="preserve"> Santiago Leguizamón</w:t>
      </w:r>
      <w:r w:rsidRPr="00BE183D">
        <w:rPr>
          <w:rFonts w:ascii="Cambria" w:hAnsi="Cambria"/>
          <w:sz w:val="20"/>
          <w:szCs w:val="20"/>
          <w:lang w:val="es-MX"/>
        </w:rPr>
        <w:t xml:space="preserve">. </w:t>
      </w:r>
    </w:p>
    <w:p w14:paraId="342B87F1" w14:textId="77777777" w:rsidR="008F7755" w:rsidRPr="00420DFB" w:rsidRDefault="008F7755" w:rsidP="000D79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lang w:val="es-AR"/>
        </w:rPr>
      </w:pPr>
    </w:p>
    <w:p w14:paraId="5E6C636B" w14:textId="49BA9784" w:rsidR="003846AB" w:rsidRPr="00BE183D" w:rsidRDefault="003846AB" w:rsidP="00BE183D">
      <w:pPr>
        <w:pStyle w:val="Heading4"/>
        <w:rPr>
          <w:szCs w:val="20"/>
          <w:bdr w:val="none" w:sz="0" w:space="0" w:color="auto"/>
        </w:rPr>
      </w:pPr>
      <w:r w:rsidRPr="00BE183D">
        <w:rPr>
          <w:szCs w:val="20"/>
          <w:bdr w:val="none" w:sz="0" w:space="0" w:color="auto"/>
        </w:rPr>
        <w:t xml:space="preserve">4.b Derecho a las garantías judiciales y protección judicial de los familiares </w:t>
      </w:r>
    </w:p>
    <w:p w14:paraId="2730EE2C" w14:textId="77777777" w:rsidR="006E2EAB" w:rsidRPr="00BE183D" w:rsidRDefault="006E2EAB"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pacing w:val="-2"/>
          <w:sz w:val="20"/>
          <w:szCs w:val="20"/>
          <w:lang w:val="es-US"/>
        </w:rPr>
      </w:pPr>
    </w:p>
    <w:p w14:paraId="1FA6AAC9" w14:textId="31C4BC24" w:rsidR="006B2321" w:rsidRPr="00BE183D" w:rsidRDefault="009D17D6"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BE183D">
        <w:rPr>
          <w:rFonts w:ascii="Cambria" w:hAnsi="Cambria"/>
          <w:spacing w:val="-2"/>
          <w:sz w:val="20"/>
          <w:szCs w:val="20"/>
          <w:lang w:val="es-ES_tradnl"/>
        </w:rPr>
        <w:t xml:space="preserve">A continuación, </w:t>
      </w:r>
      <w:r w:rsidRPr="00BE183D">
        <w:rPr>
          <w:rFonts w:ascii="Cambria" w:hAnsi="Cambria"/>
          <w:sz w:val="20"/>
          <w:szCs w:val="20"/>
          <w:lang w:val="es-CO"/>
        </w:rPr>
        <w:t>la Comisión analizará si mediante las investigaciones iniciadas a nivel interno, el Estad</w:t>
      </w:r>
      <w:r w:rsidR="006B6C20">
        <w:rPr>
          <w:rFonts w:ascii="Cambria" w:hAnsi="Cambria"/>
          <w:sz w:val="20"/>
          <w:szCs w:val="20"/>
          <w:lang w:val="es-CO"/>
        </w:rPr>
        <w:t xml:space="preserve">o </w:t>
      </w:r>
      <w:r w:rsidRPr="00BE183D">
        <w:rPr>
          <w:rFonts w:ascii="Cambria" w:hAnsi="Cambria"/>
          <w:sz w:val="20"/>
          <w:szCs w:val="20"/>
          <w:lang w:val="es-CO"/>
        </w:rPr>
        <w:t>cumpli</w:t>
      </w:r>
      <w:r w:rsidR="006B6C20">
        <w:rPr>
          <w:rFonts w:ascii="Cambria" w:hAnsi="Cambria"/>
          <w:sz w:val="20"/>
          <w:szCs w:val="20"/>
          <w:lang w:val="es-CO"/>
        </w:rPr>
        <w:t>ó</w:t>
      </w:r>
      <w:r w:rsidRPr="00BE183D">
        <w:rPr>
          <w:rFonts w:ascii="Cambria" w:hAnsi="Cambria"/>
          <w:sz w:val="20"/>
          <w:szCs w:val="20"/>
          <w:lang w:val="es-CO"/>
        </w:rPr>
        <w:t xml:space="preserve"> con su obligación de investigar los hechos del presente caso</w:t>
      </w:r>
      <w:r w:rsidR="006B6C20">
        <w:rPr>
          <w:rFonts w:ascii="Cambria" w:hAnsi="Cambria"/>
          <w:sz w:val="20"/>
          <w:szCs w:val="20"/>
          <w:lang w:val="es-CO"/>
        </w:rPr>
        <w:t xml:space="preserve">, </w:t>
      </w:r>
      <w:r w:rsidR="00580A48" w:rsidRPr="00BE183D">
        <w:rPr>
          <w:rFonts w:ascii="Cambria" w:hAnsi="Cambria"/>
          <w:sz w:val="20"/>
          <w:szCs w:val="20"/>
          <w:lang w:val="es-CO"/>
        </w:rPr>
        <w:t>de conformidad</w:t>
      </w:r>
      <w:r w:rsidRPr="00BE183D">
        <w:rPr>
          <w:rFonts w:ascii="Cambria" w:hAnsi="Cambria"/>
          <w:sz w:val="20"/>
          <w:szCs w:val="20"/>
          <w:lang w:val="es-CO"/>
        </w:rPr>
        <w:t xml:space="preserve"> </w:t>
      </w:r>
      <w:r w:rsidR="00580A48" w:rsidRPr="00BE183D">
        <w:rPr>
          <w:rFonts w:ascii="Cambria" w:hAnsi="Cambria"/>
          <w:sz w:val="20"/>
          <w:szCs w:val="20"/>
          <w:lang w:val="es-CO"/>
        </w:rPr>
        <w:t>con</w:t>
      </w:r>
      <w:r w:rsidRPr="00BE183D">
        <w:rPr>
          <w:rFonts w:ascii="Cambria" w:hAnsi="Cambria"/>
          <w:sz w:val="20"/>
          <w:szCs w:val="20"/>
          <w:lang w:val="es-CO"/>
        </w:rPr>
        <w:t xml:space="preserve"> los estándares descritos anteriormente. Este análisis será efectuado</w:t>
      </w:r>
      <w:r w:rsidR="00580A48" w:rsidRPr="00BE183D">
        <w:rPr>
          <w:rFonts w:ascii="Cambria" w:hAnsi="Cambria"/>
          <w:sz w:val="20"/>
          <w:szCs w:val="20"/>
          <w:lang w:val="es-CO"/>
        </w:rPr>
        <w:t xml:space="preserve"> respecto de </w:t>
      </w:r>
      <w:r w:rsidR="00AF43A8" w:rsidRPr="00BE183D">
        <w:rPr>
          <w:rFonts w:ascii="Cambria" w:hAnsi="Cambria"/>
          <w:sz w:val="20"/>
          <w:szCs w:val="20"/>
          <w:lang w:val="es-CO"/>
        </w:rPr>
        <w:t>tres</w:t>
      </w:r>
      <w:r w:rsidR="00580A48" w:rsidRPr="00BE183D">
        <w:rPr>
          <w:rFonts w:ascii="Cambria" w:hAnsi="Cambria"/>
          <w:sz w:val="20"/>
          <w:szCs w:val="20"/>
          <w:lang w:val="es-CO"/>
        </w:rPr>
        <w:t xml:space="preserve"> puntos: a)</w:t>
      </w:r>
      <w:r w:rsidRPr="00BE183D">
        <w:rPr>
          <w:rFonts w:ascii="Cambria" w:hAnsi="Cambria"/>
          <w:sz w:val="20"/>
          <w:szCs w:val="20"/>
          <w:lang w:val="es-CO"/>
        </w:rPr>
        <w:t xml:space="preserve"> d</w:t>
      </w:r>
      <w:r w:rsidR="00CA06E3" w:rsidRPr="00BE183D">
        <w:rPr>
          <w:rFonts w:ascii="Cambria" w:hAnsi="Cambria"/>
          <w:sz w:val="20"/>
          <w:szCs w:val="20"/>
          <w:lang w:val="es-CO"/>
        </w:rPr>
        <w:t>eber de</w:t>
      </w:r>
      <w:r w:rsidRPr="00BE183D">
        <w:rPr>
          <w:rFonts w:ascii="Cambria" w:hAnsi="Cambria"/>
          <w:sz w:val="20"/>
          <w:szCs w:val="20"/>
          <w:lang w:val="es-CO"/>
        </w:rPr>
        <w:t xml:space="preserve"> debida diligencia en la investigación</w:t>
      </w:r>
      <w:r w:rsidR="00CA06E3" w:rsidRPr="00BE183D">
        <w:rPr>
          <w:rFonts w:ascii="Cambria" w:hAnsi="Cambria"/>
          <w:sz w:val="20"/>
          <w:szCs w:val="20"/>
          <w:lang w:val="es-CO"/>
        </w:rPr>
        <w:t>; b) seguimiento de líneas de investigación</w:t>
      </w:r>
      <w:r w:rsidR="00265A99" w:rsidRPr="00BE183D">
        <w:rPr>
          <w:rFonts w:ascii="Cambria" w:hAnsi="Cambria"/>
          <w:sz w:val="20"/>
          <w:szCs w:val="20"/>
          <w:lang w:val="es-CO"/>
        </w:rPr>
        <w:t xml:space="preserve"> y determinación de los responsables del crimen</w:t>
      </w:r>
      <w:r w:rsidR="00001E9D" w:rsidRPr="00BE183D">
        <w:rPr>
          <w:rFonts w:ascii="Cambria" w:hAnsi="Cambria"/>
          <w:sz w:val="20"/>
          <w:szCs w:val="20"/>
          <w:lang w:val="es-CO"/>
        </w:rPr>
        <w:t>,</w:t>
      </w:r>
      <w:r w:rsidRPr="00BE183D">
        <w:rPr>
          <w:rFonts w:ascii="Cambria" w:hAnsi="Cambria"/>
          <w:sz w:val="20"/>
          <w:szCs w:val="20"/>
          <w:lang w:val="es-CO"/>
        </w:rPr>
        <w:t xml:space="preserve"> y</w:t>
      </w:r>
      <w:r w:rsidR="00001E9D" w:rsidRPr="00BE183D">
        <w:rPr>
          <w:rFonts w:ascii="Cambria" w:hAnsi="Cambria"/>
          <w:sz w:val="20"/>
          <w:szCs w:val="20"/>
          <w:lang w:val="es-CO"/>
        </w:rPr>
        <w:t xml:space="preserve"> c) </w:t>
      </w:r>
      <w:r w:rsidRPr="00BE183D">
        <w:rPr>
          <w:rFonts w:ascii="Cambria" w:hAnsi="Cambria"/>
          <w:sz w:val="20"/>
          <w:szCs w:val="20"/>
          <w:lang w:val="es-CO"/>
        </w:rPr>
        <w:t>cumplimiento de la garantía de</w:t>
      </w:r>
      <w:r w:rsidR="006B6C20">
        <w:rPr>
          <w:rFonts w:ascii="Cambria" w:hAnsi="Cambria"/>
          <w:sz w:val="20"/>
          <w:szCs w:val="20"/>
          <w:lang w:val="es-CO"/>
        </w:rPr>
        <w:t>l</w:t>
      </w:r>
      <w:r w:rsidRPr="00BE183D">
        <w:rPr>
          <w:rFonts w:ascii="Cambria" w:hAnsi="Cambria"/>
          <w:sz w:val="20"/>
          <w:szCs w:val="20"/>
          <w:lang w:val="es-CO"/>
        </w:rPr>
        <w:t xml:space="preserve"> plazo razonable</w:t>
      </w:r>
      <w:r w:rsidR="00001E9D" w:rsidRPr="00BE183D">
        <w:rPr>
          <w:rFonts w:ascii="Cambria" w:hAnsi="Cambria"/>
          <w:sz w:val="20"/>
          <w:szCs w:val="20"/>
          <w:lang w:val="es-CO"/>
        </w:rPr>
        <w:t>.</w:t>
      </w:r>
    </w:p>
    <w:p w14:paraId="56848556" w14:textId="77777777" w:rsidR="00001E9D" w:rsidRPr="00BE183D" w:rsidRDefault="00001E9D"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2CE6D190" w14:textId="716D65AC" w:rsidR="002A29B8" w:rsidRPr="00BE183D" w:rsidRDefault="00074F54"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BE183D">
        <w:rPr>
          <w:rFonts w:ascii="Cambria" w:hAnsi="Cambria"/>
          <w:spacing w:val="-2"/>
          <w:sz w:val="20"/>
          <w:szCs w:val="20"/>
          <w:lang w:val="es-ES_tradnl"/>
        </w:rPr>
        <w:t>En cuanto al deber de debida diligencia</w:t>
      </w:r>
      <w:r w:rsidR="003A58AC" w:rsidRPr="00BE183D">
        <w:rPr>
          <w:rFonts w:ascii="Cambria" w:hAnsi="Cambria"/>
          <w:spacing w:val="-2"/>
          <w:sz w:val="20"/>
          <w:szCs w:val="20"/>
          <w:lang w:val="es-ES_tradnl"/>
        </w:rPr>
        <w:t xml:space="preserve"> en la recaudación de prueba y en </w:t>
      </w:r>
      <w:r w:rsidR="00CE6575" w:rsidRPr="00BE183D">
        <w:rPr>
          <w:rFonts w:ascii="Cambria" w:hAnsi="Cambria"/>
          <w:spacing w:val="-2"/>
          <w:sz w:val="20"/>
          <w:szCs w:val="20"/>
          <w:lang w:val="es-ES_tradnl"/>
        </w:rPr>
        <w:t>el desarrollo de</w:t>
      </w:r>
      <w:r w:rsidR="003A58AC" w:rsidRPr="00BE183D">
        <w:rPr>
          <w:rFonts w:ascii="Cambria" w:hAnsi="Cambria"/>
          <w:spacing w:val="-2"/>
          <w:sz w:val="20"/>
          <w:szCs w:val="20"/>
          <w:lang w:val="es-ES_tradnl"/>
        </w:rPr>
        <w:t xml:space="preserve"> las investigaciones iniciales</w:t>
      </w:r>
      <w:r w:rsidR="00DB1605" w:rsidRPr="00BE183D">
        <w:rPr>
          <w:rFonts w:ascii="Cambria" w:hAnsi="Cambria"/>
          <w:spacing w:val="-2"/>
          <w:sz w:val="20"/>
          <w:szCs w:val="20"/>
          <w:lang w:val="es-ES_tradnl"/>
        </w:rPr>
        <w:t xml:space="preserve">, </w:t>
      </w:r>
      <w:r w:rsidR="006A1968" w:rsidRPr="00BE183D">
        <w:rPr>
          <w:rFonts w:ascii="Cambria" w:hAnsi="Cambria"/>
          <w:sz w:val="20"/>
          <w:szCs w:val="20"/>
          <w:lang w:val="es-PE"/>
        </w:rPr>
        <w:t xml:space="preserve">de la información presentada, la CIDH </w:t>
      </w:r>
      <w:r w:rsidR="00E903AF">
        <w:rPr>
          <w:rFonts w:ascii="Cambria" w:hAnsi="Cambria"/>
          <w:sz w:val="20"/>
          <w:szCs w:val="20"/>
          <w:lang w:val="es-PE"/>
        </w:rPr>
        <w:t xml:space="preserve">destaca que </w:t>
      </w:r>
      <w:r w:rsidR="006A1968" w:rsidRPr="00BE183D">
        <w:rPr>
          <w:rFonts w:ascii="Cambria" w:hAnsi="Cambria"/>
          <w:sz w:val="20"/>
          <w:szCs w:val="20"/>
          <w:lang w:val="es-PE"/>
        </w:rPr>
        <w:t xml:space="preserve">las autoridades </w:t>
      </w:r>
      <w:r w:rsidR="0083737B" w:rsidRPr="00BE183D">
        <w:rPr>
          <w:rFonts w:ascii="Cambria" w:hAnsi="Cambria"/>
          <w:sz w:val="20"/>
          <w:szCs w:val="20"/>
          <w:lang w:val="es-PE"/>
        </w:rPr>
        <w:t>iniciaron una investigación de forma inmediata</w:t>
      </w:r>
      <w:r w:rsidR="00E903AF">
        <w:rPr>
          <w:rFonts w:ascii="Cambria" w:hAnsi="Cambria"/>
          <w:sz w:val="20"/>
          <w:szCs w:val="20"/>
          <w:lang w:val="es-PE"/>
        </w:rPr>
        <w:t xml:space="preserve"> luego</w:t>
      </w:r>
      <w:r w:rsidR="0083737B" w:rsidRPr="00BE183D">
        <w:rPr>
          <w:rFonts w:ascii="Cambria" w:hAnsi="Cambria"/>
          <w:sz w:val="20"/>
          <w:szCs w:val="20"/>
          <w:lang w:val="es-PE"/>
        </w:rPr>
        <w:t xml:space="preserve"> de conocidos los hechos</w:t>
      </w:r>
      <w:r w:rsidR="008D11EF" w:rsidRPr="00BE183D">
        <w:rPr>
          <w:rFonts w:ascii="Cambria" w:hAnsi="Cambria"/>
          <w:sz w:val="20"/>
          <w:szCs w:val="20"/>
          <w:lang w:val="es-PE"/>
        </w:rPr>
        <w:t xml:space="preserve"> y </w:t>
      </w:r>
      <w:r w:rsidR="0083737B" w:rsidRPr="00BE183D">
        <w:rPr>
          <w:rFonts w:ascii="Cambria" w:hAnsi="Cambria"/>
          <w:sz w:val="20"/>
          <w:szCs w:val="20"/>
          <w:lang w:val="es-PE"/>
        </w:rPr>
        <w:t>al poco tiempo de ocurrido el asesinato</w:t>
      </w:r>
      <w:r w:rsidR="00B34DF1">
        <w:rPr>
          <w:rFonts w:ascii="Cambria" w:hAnsi="Cambria"/>
          <w:sz w:val="20"/>
          <w:szCs w:val="20"/>
          <w:lang w:val="es-PE"/>
        </w:rPr>
        <w:t>, recabaron</w:t>
      </w:r>
      <w:r w:rsidR="004C417D">
        <w:rPr>
          <w:rFonts w:ascii="Cambria" w:hAnsi="Cambria"/>
          <w:sz w:val="20"/>
          <w:szCs w:val="20"/>
          <w:lang w:val="es-PE"/>
        </w:rPr>
        <w:t xml:space="preserve"> algunos elementos probatorios, recibieron varias declaraciones</w:t>
      </w:r>
      <w:r w:rsidR="00281B8D">
        <w:rPr>
          <w:rFonts w:ascii="Cambria" w:hAnsi="Cambria"/>
          <w:sz w:val="20"/>
          <w:szCs w:val="20"/>
          <w:lang w:val="es-PE"/>
        </w:rPr>
        <w:t xml:space="preserve"> y </w:t>
      </w:r>
      <w:r w:rsidR="00B34DF1">
        <w:rPr>
          <w:rFonts w:ascii="Cambria" w:hAnsi="Cambria"/>
          <w:sz w:val="20"/>
          <w:szCs w:val="20"/>
          <w:lang w:val="es-PE"/>
        </w:rPr>
        <w:t>llevaron a cabo algunas diligencias importantes</w:t>
      </w:r>
      <w:r w:rsidR="00E903AF">
        <w:rPr>
          <w:rFonts w:ascii="Cambria" w:hAnsi="Cambria"/>
          <w:sz w:val="20"/>
          <w:szCs w:val="20"/>
          <w:lang w:val="es-PE"/>
        </w:rPr>
        <w:t>. Sin embargo,</w:t>
      </w:r>
      <w:r w:rsidR="0083737B" w:rsidRPr="00BE183D">
        <w:rPr>
          <w:rFonts w:ascii="Cambria" w:hAnsi="Cambria"/>
          <w:sz w:val="20"/>
          <w:szCs w:val="20"/>
          <w:lang w:val="es-PE"/>
        </w:rPr>
        <w:t xml:space="preserve"> las autoridades encargadas</w:t>
      </w:r>
      <w:r w:rsidR="006A1968" w:rsidRPr="00BE183D">
        <w:rPr>
          <w:rFonts w:ascii="Cambria" w:hAnsi="Cambria"/>
          <w:sz w:val="20"/>
          <w:szCs w:val="20"/>
          <w:lang w:val="es-PE"/>
        </w:rPr>
        <w:t xml:space="preserve"> de la investigación en este caso no siguieron procedimientos adecuados a los estándares internacionales al momento de realizar </w:t>
      </w:r>
      <w:r w:rsidR="009A62FC" w:rsidRPr="00BE183D">
        <w:rPr>
          <w:rFonts w:ascii="Cambria" w:hAnsi="Cambria"/>
          <w:sz w:val="20"/>
          <w:szCs w:val="20"/>
          <w:lang w:val="es-PE"/>
        </w:rPr>
        <w:t>la inspec</w:t>
      </w:r>
      <w:r w:rsidR="00907074" w:rsidRPr="00BE183D">
        <w:rPr>
          <w:rFonts w:ascii="Cambria" w:hAnsi="Cambria"/>
          <w:sz w:val="20"/>
          <w:szCs w:val="20"/>
          <w:lang w:val="es-PE"/>
        </w:rPr>
        <w:t>ción</w:t>
      </w:r>
      <w:r w:rsidR="006A1968" w:rsidRPr="00BE183D">
        <w:rPr>
          <w:rFonts w:ascii="Cambria" w:hAnsi="Cambria"/>
          <w:sz w:val="20"/>
          <w:szCs w:val="20"/>
          <w:lang w:val="es-PE"/>
        </w:rPr>
        <w:t xml:space="preserve"> del lugar de los hechos</w:t>
      </w:r>
      <w:r w:rsidR="006B3447" w:rsidRPr="00BE183D">
        <w:rPr>
          <w:rFonts w:ascii="Cambria" w:hAnsi="Cambria"/>
          <w:sz w:val="20"/>
          <w:szCs w:val="20"/>
          <w:lang w:val="es-PE"/>
        </w:rPr>
        <w:t xml:space="preserve"> y la recaudación de prueba</w:t>
      </w:r>
      <w:r w:rsidR="006A1968" w:rsidRPr="00BE183D">
        <w:rPr>
          <w:rFonts w:ascii="Cambria" w:hAnsi="Cambria"/>
          <w:sz w:val="20"/>
          <w:szCs w:val="20"/>
          <w:lang w:val="es-PE"/>
        </w:rPr>
        <w:t xml:space="preserve">. </w:t>
      </w:r>
    </w:p>
    <w:p w14:paraId="541A699E" w14:textId="77777777" w:rsidR="00415F88" w:rsidRPr="00BE183D" w:rsidRDefault="00415F88"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2487C645" w14:textId="1D163DE5" w:rsidR="00497252" w:rsidRPr="00BE183D" w:rsidRDefault="002A29B8"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BE183D">
        <w:rPr>
          <w:rFonts w:ascii="Cambria" w:hAnsi="Cambria"/>
          <w:sz w:val="20"/>
          <w:szCs w:val="20"/>
          <w:lang w:val="es-ES_tradnl"/>
        </w:rPr>
        <w:t xml:space="preserve">En efecto, </w:t>
      </w:r>
      <w:r w:rsidRPr="00BE183D">
        <w:rPr>
          <w:rFonts w:ascii="Cambria" w:hAnsi="Cambria"/>
          <w:sz w:val="20"/>
          <w:szCs w:val="20"/>
          <w:lang w:val="es-PE"/>
        </w:rPr>
        <w:t>n</w:t>
      </w:r>
      <w:r w:rsidR="00B640E2" w:rsidRPr="00BE183D">
        <w:rPr>
          <w:rFonts w:ascii="Cambria" w:hAnsi="Cambria"/>
          <w:sz w:val="20"/>
          <w:szCs w:val="20"/>
          <w:lang w:val="es-PE"/>
        </w:rPr>
        <w:t>o se deriva del expediente que se haya investigado exhaustivamente la escena del delito ni que se haya recuperado y preservado todo el material probatorio relacionado con la muerte</w:t>
      </w:r>
      <w:r w:rsidR="003E29C9">
        <w:rPr>
          <w:rFonts w:ascii="Cambria" w:hAnsi="Cambria"/>
          <w:sz w:val="20"/>
          <w:szCs w:val="20"/>
          <w:lang w:val="es-PE"/>
        </w:rPr>
        <w:t xml:space="preserve"> de Santiago Leguizamón</w:t>
      </w:r>
      <w:r w:rsidR="00B640E2" w:rsidRPr="00BE183D">
        <w:rPr>
          <w:rFonts w:ascii="Cambria" w:hAnsi="Cambria"/>
          <w:sz w:val="20"/>
          <w:szCs w:val="20"/>
          <w:lang w:val="es-PE"/>
        </w:rPr>
        <w:t xml:space="preserve">. </w:t>
      </w:r>
      <w:r w:rsidR="001713EB" w:rsidRPr="00BE183D">
        <w:rPr>
          <w:rFonts w:ascii="Cambria" w:hAnsi="Cambria"/>
          <w:sz w:val="20"/>
          <w:szCs w:val="20"/>
          <w:lang w:val="es-PE"/>
        </w:rPr>
        <w:t>D</w:t>
      </w:r>
      <w:r w:rsidR="006A1968" w:rsidRPr="00BE183D">
        <w:rPr>
          <w:rFonts w:ascii="Cambria" w:hAnsi="Cambria"/>
          <w:sz w:val="20"/>
          <w:szCs w:val="20"/>
          <w:lang w:val="es-PE"/>
        </w:rPr>
        <w:t xml:space="preserve">el acta de inspección del </w:t>
      </w:r>
      <w:r w:rsidR="001713EB" w:rsidRPr="00BE183D">
        <w:rPr>
          <w:rFonts w:ascii="Cambria" w:hAnsi="Cambria"/>
          <w:sz w:val="20"/>
          <w:szCs w:val="20"/>
          <w:lang w:val="es-PE"/>
        </w:rPr>
        <w:t>lugar de los hechos</w:t>
      </w:r>
      <w:r w:rsidR="006A1968" w:rsidRPr="00BE183D">
        <w:rPr>
          <w:rFonts w:ascii="Cambria" w:hAnsi="Cambria"/>
          <w:sz w:val="20"/>
          <w:szCs w:val="20"/>
          <w:lang w:val="es-PE"/>
        </w:rPr>
        <w:t>, no se</w:t>
      </w:r>
      <w:r w:rsidR="00C3172C" w:rsidRPr="00BE183D">
        <w:rPr>
          <w:rFonts w:ascii="Cambria" w:hAnsi="Cambria"/>
          <w:sz w:val="20"/>
          <w:szCs w:val="20"/>
          <w:lang w:val="es-PE"/>
        </w:rPr>
        <w:t xml:space="preserve"> </w:t>
      </w:r>
      <w:r w:rsidR="0052045F" w:rsidRPr="00BE183D">
        <w:rPr>
          <w:rFonts w:ascii="Cambria" w:hAnsi="Cambria"/>
          <w:sz w:val="20"/>
          <w:szCs w:val="20"/>
          <w:lang w:val="es-PE"/>
        </w:rPr>
        <w:t xml:space="preserve">deduce </w:t>
      </w:r>
      <w:r w:rsidR="00C3172C" w:rsidRPr="00BE183D">
        <w:rPr>
          <w:rFonts w:ascii="Cambria" w:hAnsi="Cambria"/>
          <w:sz w:val="20"/>
          <w:szCs w:val="20"/>
          <w:lang w:val="es-PE"/>
        </w:rPr>
        <w:t xml:space="preserve">que se haya brindado un resguardo adecuado a la escena del crimen </w:t>
      </w:r>
      <w:r w:rsidR="0052045F" w:rsidRPr="00BE183D">
        <w:rPr>
          <w:rFonts w:ascii="Cambria" w:hAnsi="Cambria"/>
          <w:sz w:val="20"/>
          <w:szCs w:val="20"/>
          <w:lang w:val="es-PE"/>
        </w:rPr>
        <w:t>luego de que</w:t>
      </w:r>
      <w:r w:rsidR="00CC75CF" w:rsidRPr="00BE183D">
        <w:rPr>
          <w:rFonts w:ascii="Cambria" w:hAnsi="Cambria"/>
          <w:sz w:val="20"/>
          <w:szCs w:val="20"/>
          <w:lang w:val="es-PE"/>
        </w:rPr>
        <w:t xml:space="preserve"> las autoridades se </w:t>
      </w:r>
      <w:r w:rsidR="0083737B" w:rsidRPr="00BE183D">
        <w:rPr>
          <w:rFonts w:ascii="Cambria" w:hAnsi="Cambria"/>
          <w:sz w:val="20"/>
          <w:szCs w:val="20"/>
          <w:lang w:val="es-PE"/>
        </w:rPr>
        <w:t>apersonar</w:t>
      </w:r>
      <w:r w:rsidR="00BB7368" w:rsidRPr="00BE183D">
        <w:rPr>
          <w:rFonts w:ascii="Cambria" w:hAnsi="Cambria"/>
          <w:sz w:val="20"/>
          <w:szCs w:val="20"/>
          <w:lang w:val="es-PE"/>
        </w:rPr>
        <w:t>a</w:t>
      </w:r>
      <w:r w:rsidR="0083737B" w:rsidRPr="00BE183D">
        <w:rPr>
          <w:rFonts w:ascii="Cambria" w:hAnsi="Cambria"/>
          <w:sz w:val="20"/>
          <w:szCs w:val="20"/>
          <w:lang w:val="es-PE"/>
        </w:rPr>
        <w:t xml:space="preserve">n al lugar de los hechos, </w:t>
      </w:r>
      <w:r w:rsidR="00BB7368" w:rsidRPr="00BE183D">
        <w:rPr>
          <w:rFonts w:ascii="Cambria" w:hAnsi="Cambria"/>
          <w:sz w:val="20"/>
          <w:szCs w:val="20"/>
          <w:lang w:val="es-PE"/>
        </w:rPr>
        <w:t xml:space="preserve">ni </w:t>
      </w:r>
      <w:r w:rsidR="00D75315" w:rsidRPr="00BE183D">
        <w:rPr>
          <w:rFonts w:ascii="Cambria" w:hAnsi="Cambria"/>
          <w:sz w:val="20"/>
          <w:szCs w:val="20"/>
          <w:lang w:val="es-PE"/>
        </w:rPr>
        <w:t xml:space="preserve">que se </w:t>
      </w:r>
      <w:r w:rsidR="009303E1" w:rsidRPr="00BE183D">
        <w:rPr>
          <w:rFonts w:ascii="Cambria" w:hAnsi="Cambria"/>
          <w:sz w:val="20"/>
          <w:szCs w:val="20"/>
          <w:lang w:val="es-PE"/>
        </w:rPr>
        <w:t>recolectar</w:t>
      </w:r>
      <w:r w:rsidR="00D75315" w:rsidRPr="00BE183D">
        <w:rPr>
          <w:rFonts w:ascii="Cambria" w:hAnsi="Cambria"/>
          <w:sz w:val="20"/>
          <w:szCs w:val="20"/>
          <w:lang w:val="es-PE"/>
        </w:rPr>
        <w:t>an todos</w:t>
      </w:r>
      <w:r w:rsidR="009303E1" w:rsidRPr="00BE183D">
        <w:rPr>
          <w:rFonts w:ascii="Cambria" w:hAnsi="Cambria"/>
          <w:sz w:val="20"/>
          <w:szCs w:val="20"/>
          <w:lang w:val="es-PE"/>
        </w:rPr>
        <w:t xml:space="preserve"> elementos de interés </w:t>
      </w:r>
      <w:r w:rsidR="00D75315" w:rsidRPr="00BE183D">
        <w:rPr>
          <w:rFonts w:ascii="Cambria" w:hAnsi="Cambria"/>
          <w:sz w:val="20"/>
          <w:szCs w:val="20"/>
          <w:lang w:val="es-PE"/>
        </w:rPr>
        <w:t>criminalístico. Por ejemplo, solo se recolecta</w:t>
      </w:r>
      <w:r w:rsidR="001F18A3" w:rsidRPr="00BE183D">
        <w:rPr>
          <w:rFonts w:ascii="Cambria" w:hAnsi="Cambria"/>
          <w:sz w:val="20"/>
          <w:szCs w:val="20"/>
          <w:lang w:val="es-PE"/>
        </w:rPr>
        <w:t>ron</w:t>
      </w:r>
      <w:r w:rsidR="00D75315" w:rsidRPr="00BE183D">
        <w:rPr>
          <w:rFonts w:ascii="Cambria" w:hAnsi="Cambria"/>
          <w:sz w:val="20"/>
          <w:szCs w:val="20"/>
          <w:lang w:val="es-PE"/>
        </w:rPr>
        <w:t xml:space="preserve"> </w:t>
      </w:r>
      <w:r w:rsidR="00D825C6" w:rsidRPr="00BE183D">
        <w:rPr>
          <w:rFonts w:ascii="Cambria" w:hAnsi="Cambria"/>
          <w:sz w:val="20"/>
          <w:szCs w:val="20"/>
          <w:lang w:val="es-PE"/>
        </w:rPr>
        <w:t xml:space="preserve">dos proyectiles de bala y un cartucho, a pesar de que </w:t>
      </w:r>
      <w:r w:rsidR="00C42121" w:rsidRPr="00BE183D">
        <w:rPr>
          <w:rFonts w:ascii="Cambria" w:hAnsi="Cambria"/>
          <w:sz w:val="20"/>
          <w:szCs w:val="20"/>
          <w:lang w:val="es-PE"/>
        </w:rPr>
        <w:t>varios disparos fueron efectuados</w:t>
      </w:r>
      <w:r w:rsidR="0020364C" w:rsidRPr="00BE183D">
        <w:rPr>
          <w:rFonts w:ascii="Cambria" w:hAnsi="Cambria"/>
          <w:sz w:val="20"/>
          <w:szCs w:val="20"/>
          <w:lang w:val="es-PE"/>
        </w:rPr>
        <w:t>,</w:t>
      </w:r>
      <w:r w:rsidR="00C42121" w:rsidRPr="00BE183D">
        <w:rPr>
          <w:rFonts w:ascii="Cambria" w:hAnsi="Cambria"/>
          <w:sz w:val="20"/>
          <w:szCs w:val="20"/>
          <w:lang w:val="es-PE"/>
        </w:rPr>
        <w:t xml:space="preserve"> los que produjeron 21 heridas de bala en el cuerpo de Santiago Leguizamón.</w:t>
      </w:r>
      <w:r w:rsidR="001E4D8C" w:rsidRPr="00BE183D">
        <w:rPr>
          <w:rFonts w:ascii="Cambria" w:hAnsi="Cambria"/>
          <w:sz w:val="20"/>
          <w:szCs w:val="20"/>
          <w:lang w:val="es-PE"/>
        </w:rPr>
        <w:t xml:space="preserve"> Tampoco </w:t>
      </w:r>
      <w:r w:rsidR="0020364C" w:rsidRPr="00BE183D">
        <w:rPr>
          <w:rFonts w:ascii="Cambria" w:hAnsi="Cambria"/>
          <w:sz w:val="20"/>
          <w:szCs w:val="20"/>
          <w:lang w:val="es-PE"/>
        </w:rPr>
        <w:t xml:space="preserve">se advierte del expediente que se </w:t>
      </w:r>
      <w:r w:rsidR="00D7251F" w:rsidRPr="00BE183D">
        <w:rPr>
          <w:rFonts w:ascii="Cambria" w:hAnsi="Cambria"/>
          <w:sz w:val="20"/>
          <w:szCs w:val="20"/>
          <w:lang w:val="es-PE"/>
        </w:rPr>
        <w:t xml:space="preserve">recogieran </w:t>
      </w:r>
      <w:r w:rsidR="0020364C" w:rsidRPr="00BE183D">
        <w:rPr>
          <w:rFonts w:ascii="Cambria" w:hAnsi="Cambria"/>
          <w:sz w:val="20"/>
          <w:szCs w:val="20"/>
          <w:lang w:val="es-PE"/>
        </w:rPr>
        <w:t>y conservar</w:t>
      </w:r>
      <w:r w:rsidR="00D7251F" w:rsidRPr="00BE183D">
        <w:rPr>
          <w:rFonts w:ascii="Cambria" w:hAnsi="Cambria"/>
          <w:sz w:val="20"/>
          <w:szCs w:val="20"/>
          <w:lang w:val="es-PE"/>
        </w:rPr>
        <w:t>an</w:t>
      </w:r>
      <w:r w:rsidR="0020364C" w:rsidRPr="00BE183D">
        <w:rPr>
          <w:rFonts w:ascii="Cambria" w:hAnsi="Cambria"/>
          <w:sz w:val="20"/>
          <w:szCs w:val="20"/>
          <w:lang w:val="es-PE"/>
        </w:rPr>
        <w:t xml:space="preserve"> </w:t>
      </w:r>
      <w:r w:rsidR="0020364C" w:rsidRPr="00BE183D">
        <w:rPr>
          <w:rFonts w:ascii="Cambria" w:hAnsi="Cambria"/>
          <w:sz w:val="20"/>
          <w:szCs w:val="20"/>
          <w:lang w:val="es-PE"/>
        </w:rPr>
        <w:lastRenderedPageBreak/>
        <w:t xml:space="preserve">muestras </w:t>
      </w:r>
      <w:r w:rsidR="00C74556" w:rsidRPr="00BE183D">
        <w:rPr>
          <w:rFonts w:ascii="Cambria" w:hAnsi="Cambria"/>
          <w:sz w:val="20"/>
          <w:szCs w:val="20"/>
          <w:lang w:val="es-PE"/>
        </w:rPr>
        <w:t>de sangre, pelos, fibras e hilos, huellas digitales o cualquier otra pista</w:t>
      </w:r>
      <w:r w:rsidR="0020364C" w:rsidRPr="00BE183D">
        <w:rPr>
          <w:rFonts w:ascii="Cambria" w:hAnsi="Cambria"/>
          <w:sz w:val="20"/>
          <w:szCs w:val="20"/>
          <w:lang w:val="es-PE"/>
        </w:rPr>
        <w:t xml:space="preserve">; que se examinara el área en búsqueda de huellas de zapatos o </w:t>
      </w:r>
      <w:r w:rsidR="00F21A4F" w:rsidRPr="00BE183D">
        <w:rPr>
          <w:rFonts w:ascii="Cambria" w:hAnsi="Cambria"/>
          <w:sz w:val="20"/>
          <w:szCs w:val="20"/>
          <w:lang w:val="es-PE"/>
        </w:rPr>
        <w:t>huellas de</w:t>
      </w:r>
      <w:r w:rsidR="0020364C" w:rsidRPr="00BE183D">
        <w:rPr>
          <w:rFonts w:ascii="Cambria" w:hAnsi="Cambria"/>
          <w:sz w:val="20"/>
          <w:szCs w:val="20"/>
          <w:lang w:val="es-PE"/>
        </w:rPr>
        <w:t xml:space="preserve"> vehículos que pudieran servir como pistas o evidencias de lo sucedido. </w:t>
      </w:r>
      <w:r w:rsidR="00A27CCD" w:rsidRPr="00BE183D">
        <w:rPr>
          <w:rFonts w:ascii="Cambria" w:hAnsi="Cambria"/>
          <w:sz w:val="20"/>
          <w:szCs w:val="20"/>
          <w:lang w:val="es-PE"/>
        </w:rPr>
        <w:t>Si bien se realizó un croquis dibujado del lugar de los hechos</w:t>
      </w:r>
      <w:r w:rsidR="003E2DA1" w:rsidRPr="00BE183D">
        <w:rPr>
          <w:rFonts w:ascii="Cambria" w:hAnsi="Cambria"/>
          <w:sz w:val="20"/>
          <w:szCs w:val="20"/>
          <w:lang w:val="es-PE"/>
        </w:rPr>
        <w:t>,</w:t>
      </w:r>
      <w:r w:rsidR="00A27CCD" w:rsidRPr="00BE183D">
        <w:rPr>
          <w:rFonts w:ascii="Cambria" w:hAnsi="Cambria"/>
          <w:sz w:val="20"/>
          <w:szCs w:val="20"/>
          <w:lang w:val="es-PE"/>
        </w:rPr>
        <w:t xml:space="preserve"> la escena del delito no fue fotografiada para el registro respectivo</w:t>
      </w:r>
      <w:r w:rsidR="003E2DA1" w:rsidRPr="00BE183D">
        <w:rPr>
          <w:rFonts w:ascii="Cambria" w:hAnsi="Cambria"/>
          <w:sz w:val="20"/>
          <w:szCs w:val="20"/>
          <w:lang w:val="es-PE"/>
        </w:rPr>
        <w:t>. Tampoco se detalla la posición del cuerpo</w:t>
      </w:r>
      <w:r w:rsidR="001B3B0B" w:rsidRPr="00BE183D">
        <w:rPr>
          <w:rFonts w:ascii="Cambria" w:hAnsi="Cambria"/>
          <w:sz w:val="20"/>
          <w:szCs w:val="20"/>
          <w:lang w:val="es-PE"/>
        </w:rPr>
        <w:t xml:space="preserve"> del periodista, solo se destaca que se ubicó dentro del auto Nissan blanco, </w:t>
      </w:r>
      <w:r w:rsidR="00497998" w:rsidRPr="00BE183D">
        <w:rPr>
          <w:rFonts w:ascii="Cambria" w:hAnsi="Cambria"/>
          <w:sz w:val="20"/>
          <w:szCs w:val="20"/>
          <w:lang w:val="es-PE"/>
        </w:rPr>
        <w:t xml:space="preserve">pero no se especifica la posición del cadáver y si se lo movió o no, </w:t>
      </w:r>
      <w:r w:rsidR="001B3B0B" w:rsidRPr="00BE183D">
        <w:rPr>
          <w:rFonts w:ascii="Cambria" w:hAnsi="Cambria"/>
          <w:sz w:val="20"/>
          <w:szCs w:val="20"/>
          <w:lang w:val="es-PE"/>
        </w:rPr>
        <w:t>ni se registraron</w:t>
      </w:r>
      <w:r w:rsidR="00045A2B" w:rsidRPr="00BE183D">
        <w:rPr>
          <w:rFonts w:ascii="Cambria" w:hAnsi="Cambria"/>
          <w:sz w:val="20"/>
          <w:szCs w:val="20"/>
          <w:lang w:val="es-PE"/>
        </w:rPr>
        <w:t xml:space="preserve"> los</w:t>
      </w:r>
      <w:r w:rsidR="00A27CCD" w:rsidRPr="00BE183D">
        <w:rPr>
          <w:rFonts w:ascii="Cambria" w:hAnsi="Cambria"/>
          <w:sz w:val="20"/>
          <w:szCs w:val="20"/>
          <w:lang w:val="es-PE"/>
        </w:rPr>
        <w:t xml:space="preserve"> artículos encontrados en </w:t>
      </w:r>
      <w:r w:rsidR="00045A2B" w:rsidRPr="00BE183D">
        <w:rPr>
          <w:rFonts w:ascii="Cambria" w:hAnsi="Cambria"/>
          <w:sz w:val="20"/>
          <w:szCs w:val="20"/>
          <w:lang w:val="es-PE"/>
        </w:rPr>
        <w:t>el vehículo</w:t>
      </w:r>
      <w:r w:rsidR="00360282" w:rsidRPr="00BE183D">
        <w:rPr>
          <w:rFonts w:ascii="Cambria" w:hAnsi="Cambria"/>
          <w:sz w:val="20"/>
          <w:szCs w:val="20"/>
          <w:lang w:val="es-PE"/>
        </w:rPr>
        <w:t xml:space="preserve"> o alrededor de este </w:t>
      </w:r>
      <w:r w:rsidR="00A27CCD" w:rsidRPr="00BE183D">
        <w:rPr>
          <w:rFonts w:ascii="Cambria" w:hAnsi="Cambria"/>
          <w:sz w:val="20"/>
          <w:szCs w:val="20"/>
          <w:lang w:val="es-PE"/>
        </w:rPr>
        <w:t>y su posición con relación al cadáver</w:t>
      </w:r>
      <w:r w:rsidR="00360282" w:rsidRPr="00BE183D">
        <w:rPr>
          <w:rFonts w:ascii="Cambria" w:hAnsi="Cambria"/>
          <w:sz w:val="20"/>
          <w:szCs w:val="20"/>
          <w:lang w:val="es-PE"/>
        </w:rPr>
        <w:t xml:space="preserve">. </w:t>
      </w:r>
      <w:r w:rsidR="00497252" w:rsidRPr="00BE183D">
        <w:rPr>
          <w:rFonts w:ascii="Cambria" w:hAnsi="Cambria"/>
          <w:sz w:val="20"/>
          <w:szCs w:val="20"/>
          <w:lang w:val="es-PE"/>
        </w:rPr>
        <w:t xml:space="preserve">La Comisión tampoco observa del expediente que se haya mantenido una cadena de custodia respecto de la escasa prueba recolectada. </w:t>
      </w:r>
    </w:p>
    <w:p w14:paraId="585DD6B6" w14:textId="07CE08E1" w:rsidR="00A27CCD" w:rsidRPr="00BE183D" w:rsidRDefault="00A27CCD"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2302E4C7" w14:textId="2E6323B6" w:rsidR="00A27CCD" w:rsidRPr="00BE183D" w:rsidRDefault="00470405"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i/>
          <w:iCs/>
          <w:spacing w:val="-2"/>
          <w:sz w:val="20"/>
          <w:szCs w:val="20"/>
          <w:lang w:val="es-ES_tradnl"/>
        </w:rPr>
      </w:pPr>
      <w:r w:rsidRPr="00BE183D">
        <w:rPr>
          <w:rFonts w:ascii="Cambria" w:hAnsi="Cambria"/>
          <w:sz w:val="20"/>
          <w:szCs w:val="20"/>
          <w:lang w:val="es-PE"/>
        </w:rPr>
        <w:t xml:space="preserve">Por otra parte, se observa que en el lugar de los hechos se recolectaron dos proyectiles de bala y un cartucho, pero </w:t>
      </w:r>
      <w:r w:rsidR="00E27500" w:rsidRPr="00BE183D">
        <w:rPr>
          <w:rFonts w:ascii="Cambria" w:hAnsi="Cambria"/>
          <w:bCs/>
          <w:sz w:val="20"/>
          <w:szCs w:val="20"/>
          <w:lang w:val="es-PE"/>
        </w:rPr>
        <w:t>d</w:t>
      </w:r>
      <w:r w:rsidR="00E27500" w:rsidRPr="00BE183D">
        <w:rPr>
          <w:rFonts w:ascii="Cambria" w:hAnsi="Cambria"/>
          <w:bCs/>
          <w:sz w:val="20"/>
          <w:szCs w:val="20"/>
          <w:lang w:val="es-CO"/>
        </w:rPr>
        <w:t xml:space="preserve">el expediente no es posible determinar </w:t>
      </w:r>
      <w:r w:rsidR="00E27500" w:rsidRPr="00BE183D">
        <w:rPr>
          <w:rFonts w:ascii="Cambria" w:hAnsi="Cambria"/>
          <w:sz w:val="20"/>
          <w:szCs w:val="20"/>
          <w:lang w:val="es-PE"/>
        </w:rPr>
        <w:t>si</w:t>
      </w:r>
      <w:r w:rsidRPr="00BE183D">
        <w:rPr>
          <w:rFonts w:ascii="Cambria" w:hAnsi="Cambria"/>
          <w:sz w:val="20"/>
          <w:szCs w:val="20"/>
          <w:lang w:val="es-PE"/>
        </w:rPr>
        <w:t xml:space="preserve"> este material fue objeto de estudio balístico</w:t>
      </w:r>
      <w:r w:rsidR="00E225A5" w:rsidRPr="00BE183D">
        <w:rPr>
          <w:rFonts w:ascii="Cambria" w:hAnsi="Cambria"/>
          <w:sz w:val="20"/>
          <w:szCs w:val="20"/>
          <w:lang w:val="es-PE"/>
        </w:rPr>
        <w:t xml:space="preserve"> ni se comprobó el calibre utilizado en el crimen</w:t>
      </w:r>
      <w:r w:rsidRPr="00BE183D">
        <w:rPr>
          <w:rFonts w:ascii="Cambria" w:hAnsi="Cambria"/>
          <w:sz w:val="20"/>
          <w:szCs w:val="20"/>
          <w:lang w:val="es-PE"/>
        </w:rPr>
        <w:t>.</w:t>
      </w:r>
      <w:r w:rsidRPr="00BE183D">
        <w:rPr>
          <w:rFonts w:ascii="Cambria" w:hAnsi="Cambria"/>
          <w:bCs/>
          <w:sz w:val="20"/>
          <w:szCs w:val="20"/>
          <w:lang w:val="es-CO"/>
        </w:rPr>
        <w:t xml:space="preserve"> </w:t>
      </w:r>
      <w:r w:rsidR="00E27500" w:rsidRPr="00BE183D">
        <w:rPr>
          <w:rFonts w:ascii="Cambria" w:hAnsi="Cambria"/>
          <w:bCs/>
          <w:sz w:val="20"/>
          <w:szCs w:val="20"/>
          <w:lang w:val="es-CO"/>
        </w:rPr>
        <w:t>El vehículo Nissan blanco donde fue hallado el cuerpo tampoco fue objeto de ninguna pericia, solo se dej</w:t>
      </w:r>
      <w:r w:rsidR="00841A9C" w:rsidRPr="00BE183D">
        <w:rPr>
          <w:rFonts w:ascii="Cambria" w:hAnsi="Cambria"/>
          <w:bCs/>
          <w:sz w:val="20"/>
          <w:szCs w:val="20"/>
          <w:lang w:val="es-CO"/>
        </w:rPr>
        <w:t>ó</w:t>
      </w:r>
      <w:r w:rsidR="00E27500" w:rsidRPr="00BE183D">
        <w:rPr>
          <w:rFonts w:ascii="Cambria" w:hAnsi="Cambria"/>
          <w:bCs/>
          <w:sz w:val="20"/>
          <w:szCs w:val="20"/>
          <w:lang w:val="es-CO"/>
        </w:rPr>
        <w:t xml:space="preserve"> constancia que fue trasladado al predio judicial. </w:t>
      </w:r>
      <w:r w:rsidRPr="00BE183D">
        <w:rPr>
          <w:rFonts w:ascii="Cambria" w:hAnsi="Cambria"/>
          <w:sz w:val="20"/>
          <w:szCs w:val="20"/>
          <w:lang w:val="es-PE"/>
        </w:rPr>
        <w:t>Las mencionadas fallas y omisiones en la obtención de pruebas demuestran</w:t>
      </w:r>
      <w:r w:rsidR="00CB20E7">
        <w:rPr>
          <w:rFonts w:ascii="Cambria" w:hAnsi="Cambria"/>
          <w:sz w:val="20"/>
          <w:szCs w:val="20"/>
          <w:lang w:val="es-PE"/>
        </w:rPr>
        <w:t xml:space="preserve"> la</w:t>
      </w:r>
      <w:r w:rsidRPr="00BE183D">
        <w:rPr>
          <w:rFonts w:ascii="Cambria" w:hAnsi="Cambria"/>
          <w:sz w:val="20"/>
          <w:szCs w:val="20"/>
          <w:lang w:val="es-PE"/>
        </w:rPr>
        <w:t xml:space="preserve"> falta de debida diligencia del Estado en la recuperación y preservación de material probatorio. </w:t>
      </w:r>
      <w:r w:rsidRPr="009313AF">
        <w:rPr>
          <w:rFonts w:ascii="Cambria" w:hAnsi="Cambria"/>
          <w:sz w:val="20"/>
          <w:szCs w:val="20"/>
          <w:lang w:val="es-PE"/>
        </w:rPr>
        <w:t>La CIDH estima que esto pudo contribuir a la dificultad de determinar la verdad de lo ocurrido e identificar y, en su caso, sancionar a los culpables.</w:t>
      </w:r>
    </w:p>
    <w:p w14:paraId="4A09AD29" w14:textId="77777777" w:rsidR="009442B3" w:rsidRPr="00BE183D" w:rsidRDefault="009442B3"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i/>
          <w:iCs/>
          <w:spacing w:val="-2"/>
          <w:sz w:val="20"/>
          <w:szCs w:val="20"/>
          <w:lang w:val="es-ES_tradnl"/>
        </w:rPr>
      </w:pPr>
    </w:p>
    <w:p w14:paraId="24C9DB5E" w14:textId="0CE260FD" w:rsidR="006F308A" w:rsidRPr="00BE183D" w:rsidRDefault="009442B3"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US"/>
        </w:rPr>
      </w:pPr>
      <w:r w:rsidRPr="00BE183D">
        <w:rPr>
          <w:rFonts w:ascii="Cambria" w:hAnsi="Cambria"/>
          <w:sz w:val="20"/>
          <w:szCs w:val="20"/>
          <w:lang w:val="es-ES_tradnl"/>
        </w:rPr>
        <w:t xml:space="preserve">Por otro lado, </w:t>
      </w:r>
      <w:r w:rsidRPr="00BE183D">
        <w:rPr>
          <w:rFonts w:ascii="Cambria" w:hAnsi="Cambria"/>
          <w:sz w:val="20"/>
          <w:szCs w:val="20"/>
          <w:lang w:val="es-PE"/>
        </w:rPr>
        <w:t xml:space="preserve">si bien se realizó una “inspección médica” del cadáver mediante la cual se </w:t>
      </w:r>
      <w:r w:rsidRPr="00BE183D">
        <w:rPr>
          <w:rFonts w:ascii="Cambria" w:hAnsi="Cambria"/>
          <w:color w:val="000000" w:themeColor="text1"/>
          <w:sz w:val="20"/>
          <w:szCs w:val="20"/>
          <w:lang w:val="es-PE"/>
        </w:rPr>
        <w:t>determinó la causa de muerte y se describieron diversas lesiones por arma de fuego, no se realizó una autopsia</w:t>
      </w:r>
      <w:r w:rsidR="001618D2" w:rsidRPr="00BE183D">
        <w:rPr>
          <w:rFonts w:ascii="Cambria" w:hAnsi="Cambria"/>
          <w:color w:val="000000" w:themeColor="text1"/>
          <w:sz w:val="20"/>
          <w:szCs w:val="20"/>
          <w:lang w:val="es-PE"/>
        </w:rPr>
        <w:t xml:space="preserve"> que cumpliera con los requisitos mínimos </w:t>
      </w:r>
      <w:r w:rsidR="00941C53" w:rsidRPr="00BE183D">
        <w:rPr>
          <w:rFonts w:ascii="Cambria" w:hAnsi="Cambria"/>
          <w:color w:val="000000" w:themeColor="text1"/>
          <w:sz w:val="20"/>
          <w:szCs w:val="20"/>
          <w:lang w:val="es-PE"/>
        </w:rPr>
        <w:t xml:space="preserve">ni se describió </w:t>
      </w:r>
      <w:r w:rsidR="00B820C3" w:rsidRPr="00BE183D">
        <w:rPr>
          <w:rFonts w:ascii="Cambria" w:hAnsi="Cambria"/>
          <w:color w:val="000000" w:themeColor="text1"/>
          <w:sz w:val="20"/>
          <w:szCs w:val="20"/>
          <w:lang w:val="es-PE"/>
        </w:rPr>
        <w:t xml:space="preserve">si la vestimenta del periodista fue examinada en la búsqueda de elementos probatorios. La inspección médica </w:t>
      </w:r>
      <w:r w:rsidR="00FA2DC4" w:rsidRPr="00BE183D">
        <w:rPr>
          <w:rFonts w:ascii="Cambria" w:hAnsi="Cambria"/>
          <w:sz w:val="20"/>
          <w:szCs w:val="20"/>
          <w:lang w:val="es-PE"/>
        </w:rPr>
        <w:t xml:space="preserve">no describe con detalle cada una de las lesiones encontradas ni </w:t>
      </w:r>
      <w:r w:rsidR="00EE1FB8" w:rsidRPr="00BE183D">
        <w:rPr>
          <w:rFonts w:ascii="Cambria" w:hAnsi="Cambria"/>
          <w:sz w:val="20"/>
          <w:szCs w:val="20"/>
          <w:lang w:val="es-PE"/>
        </w:rPr>
        <w:t>el</w:t>
      </w:r>
      <w:r w:rsidR="00FA2DC4" w:rsidRPr="00BE183D">
        <w:rPr>
          <w:rFonts w:ascii="Cambria" w:hAnsi="Cambria"/>
          <w:sz w:val="20"/>
          <w:szCs w:val="20"/>
          <w:lang w:val="es-PE"/>
        </w:rPr>
        <w:t xml:space="preserve"> tamaño</w:t>
      </w:r>
      <w:r w:rsidR="00EE1FB8" w:rsidRPr="00BE183D">
        <w:rPr>
          <w:rFonts w:ascii="Cambria" w:hAnsi="Cambria"/>
          <w:sz w:val="20"/>
          <w:szCs w:val="20"/>
          <w:lang w:val="es-PE"/>
        </w:rPr>
        <w:t xml:space="preserve"> de todas</w:t>
      </w:r>
      <w:r w:rsidR="00BA65B9">
        <w:rPr>
          <w:rFonts w:ascii="Cambria" w:hAnsi="Cambria"/>
          <w:sz w:val="20"/>
          <w:szCs w:val="20"/>
          <w:lang w:val="es-PE"/>
        </w:rPr>
        <w:t>,</w:t>
      </w:r>
      <w:r w:rsidR="00EE1FB8" w:rsidRPr="00BE183D">
        <w:rPr>
          <w:rFonts w:ascii="Cambria" w:hAnsi="Cambria"/>
          <w:sz w:val="20"/>
          <w:szCs w:val="20"/>
          <w:lang w:val="es-PE"/>
        </w:rPr>
        <w:t xml:space="preserve"> ni existe registro fotográfico de las lesiones</w:t>
      </w:r>
      <w:r w:rsidR="00FA2DC4" w:rsidRPr="00BE183D">
        <w:rPr>
          <w:rFonts w:ascii="Cambria" w:hAnsi="Cambria"/>
          <w:sz w:val="20"/>
          <w:szCs w:val="20"/>
          <w:lang w:val="es-PE"/>
        </w:rPr>
        <w:t xml:space="preserve">; </w:t>
      </w:r>
      <w:r w:rsidR="00CE2329" w:rsidRPr="00BE183D">
        <w:rPr>
          <w:rFonts w:ascii="Cambria" w:hAnsi="Cambria"/>
          <w:sz w:val="20"/>
          <w:szCs w:val="20"/>
          <w:lang w:val="es-PE"/>
        </w:rPr>
        <w:t>tampoco</w:t>
      </w:r>
      <w:r w:rsidR="00FA2DC4" w:rsidRPr="00BE183D">
        <w:rPr>
          <w:rFonts w:ascii="Cambria" w:hAnsi="Cambria"/>
          <w:sz w:val="20"/>
          <w:szCs w:val="20"/>
          <w:lang w:val="es-PE"/>
        </w:rPr>
        <w:t xml:space="preserve"> determina la posible hora de muerte ni</w:t>
      </w:r>
      <w:r w:rsidR="000645B3" w:rsidRPr="00BE183D">
        <w:rPr>
          <w:rFonts w:ascii="Cambria" w:hAnsi="Cambria"/>
          <w:sz w:val="20"/>
          <w:szCs w:val="20"/>
          <w:lang w:val="es-PE"/>
        </w:rPr>
        <w:t xml:space="preserve"> destaca detalles de las heridas que puedan brindar elementos probatorios </w:t>
      </w:r>
      <w:r w:rsidR="00764AE0" w:rsidRPr="00BE183D">
        <w:rPr>
          <w:rFonts w:ascii="Cambria" w:hAnsi="Cambria"/>
          <w:sz w:val="20"/>
          <w:szCs w:val="20"/>
          <w:lang w:val="es-PE"/>
        </w:rPr>
        <w:t>adicionales</w:t>
      </w:r>
      <w:r w:rsidR="000645B3" w:rsidRPr="00BE183D">
        <w:rPr>
          <w:rFonts w:ascii="Cambria" w:hAnsi="Cambria"/>
          <w:sz w:val="20"/>
          <w:szCs w:val="20"/>
          <w:lang w:val="es-PE"/>
        </w:rPr>
        <w:t xml:space="preserve"> respecto de la </w:t>
      </w:r>
      <w:r w:rsidR="00764AE0" w:rsidRPr="00BE183D">
        <w:rPr>
          <w:rFonts w:ascii="Cambria" w:hAnsi="Cambria"/>
          <w:sz w:val="20"/>
          <w:szCs w:val="20"/>
          <w:lang w:val="es-PE"/>
        </w:rPr>
        <w:t xml:space="preserve">trayectoria, distancia de los disparos y posición de los agentes perpetradores. </w:t>
      </w:r>
      <w:r w:rsidR="00FA2DC4" w:rsidRPr="00BE183D">
        <w:rPr>
          <w:rFonts w:ascii="Cambria" w:hAnsi="Cambria"/>
          <w:sz w:val="20"/>
          <w:szCs w:val="20"/>
          <w:lang w:val="es-PE"/>
        </w:rPr>
        <w:t xml:space="preserve"> </w:t>
      </w:r>
    </w:p>
    <w:p w14:paraId="361BB248" w14:textId="77777777" w:rsidR="005126A1" w:rsidRPr="00BE183D" w:rsidRDefault="005126A1" w:rsidP="00BE183D">
      <w:pPr>
        <w:pStyle w:val="ListParagraph"/>
        <w:spacing w:before="0" w:after="0"/>
        <w:rPr>
          <w:sz w:val="20"/>
          <w:szCs w:val="20"/>
          <w:lang w:val="es-US"/>
        </w:rPr>
      </w:pPr>
    </w:p>
    <w:p w14:paraId="2A6E0702" w14:textId="2E22A77C" w:rsidR="007F157A" w:rsidRPr="009313AF" w:rsidRDefault="0098524D" w:rsidP="00BA30C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US"/>
        </w:rPr>
      </w:pPr>
      <w:r w:rsidRPr="00124EBC">
        <w:rPr>
          <w:rFonts w:ascii="Cambria" w:hAnsi="Cambria"/>
          <w:sz w:val="20"/>
          <w:szCs w:val="20"/>
          <w:lang w:val="es-US"/>
        </w:rPr>
        <w:t>De igual manera</w:t>
      </w:r>
      <w:r w:rsidR="006F308A" w:rsidRPr="00124EBC">
        <w:rPr>
          <w:rFonts w:ascii="Cambria" w:hAnsi="Cambria"/>
          <w:sz w:val="20"/>
          <w:szCs w:val="20"/>
          <w:lang w:val="es-US"/>
        </w:rPr>
        <w:t xml:space="preserve">, si bien </w:t>
      </w:r>
      <w:r w:rsidR="0008246A" w:rsidRPr="00124EBC">
        <w:rPr>
          <w:rFonts w:ascii="Cambria" w:hAnsi="Cambria"/>
          <w:sz w:val="20"/>
          <w:szCs w:val="20"/>
          <w:lang w:val="es-US"/>
        </w:rPr>
        <w:t xml:space="preserve">la </w:t>
      </w:r>
      <w:r w:rsidR="0008246A" w:rsidRPr="00BA30C5">
        <w:rPr>
          <w:rFonts w:ascii="Cambria" w:hAnsi="Cambria"/>
          <w:sz w:val="20"/>
          <w:szCs w:val="20"/>
          <w:lang w:val="es-US"/>
        </w:rPr>
        <w:t>Comisión no cuenta con el expediente del proceso penal completo</w:t>
      </w:r>
      <w:r w:rsidR="00025B0F" w:rsidRPr="00402E2F">
        <w:rPr>
          <w:rFonts w:ascii="Cambria" w:hAnsi="Cambria"/>
          <w:sz w:val="20"/>
          <w:szCs w:val="20"/>
          <w:lang w:val="es-US"/>
        </w:rPr>
        <w:t>, de las pruebas ante ella</w:t>
      </w:r>
      <w:r w:rsidR="00153A58" w:rsidRPr="00C07458">
        <w:rPr>
          <w:rFonts w:ascii="Cambria" w:hAnsi="Cambria"/>
          <w:sz w:val="20"/>
          <w:szCs w:val="20"/>
          <w:lang w:val="es-US"/>
        </w:rPr>
        <w:t>, no</w:t>
      </w:r>
      <w:r w:rsidR="00025B0F" w:rsidRPr="00C07458">
        <w:rPr>
          <w:rFonts w:ascii="Cambria" w:hAnsi="Cambria"/>
          <w:sz w:val="20"/>
          <w:szCs w:val="20"/>
          <w:lang w:val="es-US"/>
        </w:rPr>
        <w:t xml:space="preserve"> </w:t>
      </w:r>
      <w:r w:rsidR="00741072" w:rsidRPr="00C07458">
        <w:rPr>
          <w:rFonts w:ascii="Cambria" w:hAnsi="Cambria"/>
          <w:sz w:val="20"/>
          <w:szCs w:val="20"/>
          <w:lang w:val="es-US"/>
        </w:rPr>
        <w:t>se deduce</w:t>
      </w:r>
      <w:r w:rsidR="005A62A2" w:rsidRPr="00C07458">
        <w:rPr>
          <w:rFonts w:ascii="Cambria" w:hAnsi="Cambria"/>
          <w:sz w:val="20"/>
          <w:szCs w:val="20"/>
          <w:lang w:val="es-US"/>
        </w:rPr>
        <w:t xml:space="preserve"> claramente</w:t>
      </w:r>
      <w:r w:rsidR="00741072" w:rsidRPr="00C07458">
        <w:rPr>
          <w:rFonts w:ascii="Cambria" w:hAnsi="Cambria"/>
          <w:sz w:val="20"/>
          <w:szCs w:val="20"/>
          <w:lang w:val="es-US"/>
        </w:rPr>
        <w:t xml:space="preserve"> que </w:t>
      </w:r>
      <w:r w:rsidR="00741072" w:rsidRPr="00130AD5">
        <w:rPr>
          <w:rFonts w:ascii="Cambria" w:hAnsi="Cambria"/>
          <w:sz w:val="20"/>
          <w:szCs w:val="20"/>
          <w:lang w:val="es-US"/>
        </w:rPr>
        <w:t xml:space="preserve">se haya seguido una línea </w:t>
      </w:r>
      <w:r w:rsidR="00741072" w:rsidRPr="003E35D8">
        <w:rPr>
          <w:rFonts w:ascii="Cambria" w:hAnsi="Cambria"/>
          <w:sz w:val="20"/>
          <w:szCs w:val="20"/>
          <w:lang w:val="es-US"/>
        </w:rPr>
        <w:t xml:space="preserve">lógica de investigación </w:t>
      </w:r>
      <w:r w:rsidR="00741072" w:rsidRPr="008C2670">
        <w:rPr>
          <w:rFonts w:ascii="Cambria" w:hAnsi="Cambria"/>
          <w:sz w:val="20"/>
          <w:szCs w:val="20"/>
          <w:lang w:val="es-US"/>
        </w:rPr>
        <w:t xml:space="preserve">vinculada al ejercicio </w:t>
      </w:r>
      <w:r w:rsidR="00741072" w:rsidRPr="0096449B">
        <w:rPr>
          <w:rFonts w:ascii="Cambria" w:hAnsi="Cambria"/>
          <w:sz w:val="20"/>
          <w:szCs w:val="20"/>
          <w:lang w:val="es-US"/>
        </w:rPr>
        <w:t xml:space="preserve">de </w:t>
      </w:r>
      <w:r w:rsidR="00741072" w:rsidRPr="009313AF">
        <w:rPr>
          <w:rFonts w:ascii="Cambria" w:hAnsi="Cambria"/>
          <w:sz w:val="20"/>
          <w:szCs w:val="20"/>
          <w:lang w:val="es-US"/>
        </w:rPr>
        <w:t>la labor periodística de la víctima, ni que se haya estudiado con cuidado los posible móviles de su crimen o los presuntos responsables</w:t>
      </w:r>
      <w:r w:rsidR="007F157A" w:rsidRPr="009313AF">
        <w:rPr>
          <w:rFonts w:ascii="Cambria" w:hAnsi="Cambria"/>
          <w:sz w:val="20"/>
          <w:szCs w:val="20"/>
          <w:lang w:val="es-US"/>
        </w:rPr>
        <w:t xml:space="preserve"> materiales e</w:t>
      </w:r>
      <w:r w:rsidR="00741072" w:rsidRPr="009313AF">
        <w:rPr>
          <w:rFonts w:ascii="Cambria" w:hAnsi="Cambria"/>
          <w:sz w:val="20"/>
          <w:szCs w:val="20"/>
          <w:lang w:val="es-US"/>
        </w:rPr>
        <w:t xml:space="preserve"> intelectuales con base en la información de interés público que Santiago Leguizamón publicaba</w:t>
      </w:r>
      <w:r w:rsidR="00C55F91" w:rsidRPr="009313AF">
        <w:rPr>
          <w:rFonts w:ascii="Cambria" w:hAnsi="Cambria"/>
          <w:sz w:val="20"/>
          <w:szCs w:val="20"/>
          <w:lang w:val="es-US"/>
        </w:rPr>
        <w:t xml:space="preserve">. </w:t>
      </w:r>
      <w:r w:rsidR="00DB3EFC" w:rsidRPr="009313AF">
        <w:rPr>
          <w:rFonts w:ascii="Cambria" w:hAnsi="Cambria"/>
          <w:sz w:val="20"/>
          <w:szCs w:val="20"/>
          <w:lang w:val="es-US"/>
        </w:rPr>
        <w:t xml:space="preserve">Lo anterior, </w:t>
      </w:r>
      <w:r w:rsidR="005A62A2" w:rsidRPr="009313AF">
        <w:rPr>
          <w:rFonts w:ascii="Cambria" w:hAnsi="Cambria"/>
          <w:sz w:val="20"/>
          <w:szCs w:val="20"/>
          <w:lang w:val="es-US"/>
        </w:rPr>
        <w:t xml:space="preserve">a pesar de </w:t>
      </w:r>
      <w:r w:rsidR="003767C5" w:rsidRPr="009313AF">
        <w:rPr>
          <w:rFonts w:ascii="Cambria" w:hAnsi="Cambria"/>
          <w:sz w:val="20"/>
          <w:szCs w:val="20"/>
          <w:lang w:val="es-US"/>
        </w:rPr>
        <w:t>que</w:t>
      </w:r>
      <w:r w:rsidR="007E76BF">
        <w:rPr>
          <w:rFonts w:ascii="Cambria" w:hAnsi="Cambria"/>
          <w:sz w:val="20"/>
          <w:szCs w:val="20"/>
          <w:lang w:val="es-US"/>
        </w:rPr>
        <w:t xml:space="preserve"> Santiago Leguizamón era un reconocido periodista en Paraguay, </w:t>
      </w:r>
      <w:r w:rsidR="003767C5" w:rsidRPr="007E76BF">
        <w:rPr>
          <w:rFonts w:ascii="Cambria" w:hAnsi="Cambria"/>
          <w:sz w:val="20"/>
          <w:szCs w:val="20"/>
          <w:lang w:val="es-US"/>
        </w:rPr>
        <w:t xml:space="preserve">las autoridades conocían de la situación de riesgo con base en </w:t>
      </w:r>
      <w:r w:rsidR="003707AB">
        <w:rPr>
          <w:rFonts w:ascii="Cambria" w:hAnsi="Cambria"/>
          <w:sz w:val="20"/>
          <w:szCs w:val="20"/>
          <w:lang w:val="es-US"/>
        </w:rPr>
        <w:t>su</w:t>
      </w:r>
      <w:r w:rsidR="003767C5" w:rsidRPr="007E76BF">
        <w:rPr>
          <w:rFonts w:ascii="Cambria" w:hAnsi="Cambria"/>
          <w:sz w:val="20"/>
          <w:szCs w:val="20"/>
          <w:lang w:val="es-US"/>
        </w:rPr>
        <w:t xml:space="preserve"> labor periodística,</w:t>
      </w:r>
      <w:r w:rsidR="003707AB">
        <w:rPr>
          <w:rFonts w:ascii="Cambria" w:hAnsi="Cambria"/>
          <w:sz w:val="20"/>
          <w:szCs w:val="20"/>
          <w:lang w:val="es-US"/>
        </w:rPr>
        <w:t xml:space="preserve"> c</w:t>
      </w:r>
      <w:r w:rsidR="00F6230A">
        <w:rPr>
          <w:rFonts w:ascii="Cambria" w:hAnsi="Cambria"/>
          <w:sz w:val="20"/>
          <w:szCs w:val="20"/>
          <w:lang w:val="es-US"/>
        </w:rPr>
        <w:t>onocían</w:t>
      </w:r>
      <w:r w:rsidR="003767C5" w:rsidRPr="007E76BF">
        <w:rPr>
          <w:rFonts w:ascii="Cambria" w:hAnsi="Cambria"/>
          <w:sz w:val="20"/>
          <w:szCs w:val="20"/>
          <w:lang w:val="es-US"/>
        </w:rPr>
        <w:t xml:space="preserve"> </w:t>
      </w:r>
      <w:r w:rsidR="00306D7B" w:rsidRPr="007E76BF">
        <w:rPr>
          <w:rFonts w:ascii="Cambria" w:hAnsi="Cambria"/>
          <w:sz w:val="20"/>
          <w:szCs w:val="20"/>
          <w:lang w:val="es-US"/>
        </w:rPr>
        <w:t xml:space="preserve">de </w:t>
      </w:r>
      <w:r w:rsidR="005A62A2" w:rsidRPr="007E76BF">
        <w:rPr>
          <w:rFonts w:ascii="Cambria" w:hAnsi="Cambria"/>
          <w:sz w:val="20"/>
          <w:szCs w:val="20"/>
          <w:lang w:val="es-US"/>
        </w:rPr>
        <w:t>las diversas declarac</w:t>
      </w:r>
      <w:r w:rsidR="00DB3EFC" w:rsidRPr="007E76BF">
        <w:rPr>
          <w:rFonts w:ascii="Cambria" w:hAnsi="Cambria"/>
          <w:sz w:val="20"/>
          <w:szCs w:val="20"/>
          <w:lang w:val="es-US"/>
        </w:rPr>
        <w:t>iones a nivel interno que dieron cuenta de la existencia de ame</w:t>
      </w:r>
      <w:r w:rsidR="00306D7B" w:rsidRPr="007E76BF">
        <w:rPr>
          <w:rFonts w:ascii="Cambria" w:hAnsi="Cambria"/>
          <w:sz w:val="20"/>
          <w:szCs w:val="20"/>
          <w:lang w:val="es-US"/>
        </w:rPr>
        <w:t xml:space="preserve">nazas con motivo de su oficio </w:t>
      </w:r>
      <w:r w:rsidR="00F744E1" w:rsidRPr="00F6230A">
        <w:rPr>
          <w:rFonts w:ascii="Cambria" w:hAnsi="Cambria"/>
          <w:sz w:val="20"/>
          <w:szCs w:val="20"/>
          <w:lang w:val="es-US"/>
        </w:rPr>
        <w:t xml:space="preserve">y </w:t>
      </w:r>
      <w:r w:rsidR="00CD4BCF">
        <w:rPr>
          <w:rFonts w:ascii="Cambria" w:hAnsi="Cambria"/>
          <w:sz w:val="20"/>
          <w:szCs w:val="20"/>
          <w:lang w:val="es-US"/>
        </w:rPr>
        <w:t>sabían</w:t>
      </w:r>
      <w:r w:rsidR="00F744E1" w:rsidRPr="00F6230A">
        <w:rPr>
          <w:rFonts w:ascii="Cambria" w:hAnsi="Cambria"/>
          <w:sz w:val="20"/>
          <w:szCs w:val="20"/>
          <w:lang w:val="es-US"/>
        </w:rPr>
        <w:t xml:space="preserve"> l</w:t>
      </w:r>
      <w:r w:rsidR="005460DF">
        <w:rPr>
          <w:rFonts w:ascii="Cambria" w:hAnsi="Cambria"/>
          <w:sz w:val="20"/>
          <w:szCs w:val="20"/>
          <w:lang w:val="es-US"/>
        </w:rPr>
        <w:t xml:space="preserve">a naturaleza de los </w:t>
      </w:r>
      <w:r w:rsidR="00F744E1" w:rsidRPr="005460DF">
        <w:rPr>
          <w:rFonts w:ascii="Cambria" w:hAnsi="Cambria"/>
          <w:sz w:val="20"/>
          <w:szCs w:val="20"/>
          <w:lang w:val="es-US"/>
        </w:rPr>
        <w:t>hechos repor</w:t>
      </w:r>
      <w:r w:rsidR="0095000B" w:rsidRPr="005460DF">
        <w:rPr>
          <w:rFonts w:ascii="Cambria" w:hAnsi="Cambria"/>
          <w:sz w:val="20"/>
          <w:szCs w:val="20"/>
          <w:lang w:val="es-US"/>
        </w:rPr>
        <w:t xml:space="preserve">tados por la víctima. </w:t>
      </w:r>
      <w:r w:rsidR="005A3DF5" w:rsidRPr="005460DF">
        <w:rPr>
          <w:rFonts w:ascii="Cambria" w:hAnsi="Cambria"/>
          <w:sz w:val="20"/>
          <w:szCs w:val="20"/>
          <w:lang w:val="es-US"/>
        </w:rPr>
        <w:t xml:space="preserve">Si bien el juez de la causa solicitó los artículos publicados por Leguizamón, </w:t>
      </w:r>
      <w:r w:rsidR="00BC3A5C" w:rsidRPr="005460DF">
        <w:rPr>
          <w:rFonts w:ascii="Cambria" w:hAnsi="Cambria"/>
          <w:sz w:val="20"/>
          <w:szCs w:val="20"/>
          <w:lang w:val="es-US"/>
        </w:rPr>
        <w:t>solo</w:t>
      </w:r>
      <w:r w:rsidR="00B30961" w:rsidRPr="005460DF">
        <w:rPr>
          <w:rFonts w:ascii="Cambria" w:hAnsi="Cambria"/>
          <w:sz w:val="20"/>
          <w:szCs w:val="20"/>
          <w:lang w:val="es-US"/>
        </w:rPr>
        <w:t xml:space="preserve"> </w:t>
      </w:r>
      <w:r w:rsidR="0097533C" w:rsidRPr="005460DF">
        <w:rPr>
          <w:rFonts w:ascii="Cambria" w:hAnsi="Cambria"/>
          <w:sz w:val="20"/>
          <w:szCs w:val="20"/>
          <w:lang w:val="es-US"/>
        </w:rPr>
        <w:t>alguno</w:t>
      </w:r>
      <w:r w:rsidR="0097533C">
        <w:rPr>
          <w:rFonts w:ascii="Cambria" w:hAnsi="Cambria"/>
          <w:sz w:val="20"/>
          <w:szCs w:val="20"/>
          <w:lang w:val="es-US"/>
        </w:rPr>
        <w:t>s</w:t>
      </w:r>
      <w:r w:rsidR="0097533C" w:rsidRPr="005460DF">
        <w:rPr>
          <w:rFonts w:ascii="Cambria" w:hAnsi="Cambria"/>
          <w:sz w:val="20"/>
          <w:szCs w:val="20"/>
          <w:lang w:val="es-US"/>
        </w:rPr>
        <w:t xml:space="preserve"> </w:t>
      </w:r>
      <w:r w:rsidR="0097533C" w:rsidRPr="0097533C">
        <w:rPr>
          <w:rFonts w:ascii="Cambria" w:hAnsi="Cambria"/>
          <w:sz w:val="20"/>
          <w:szCs w:val="20"/>
          <w:lang w:val="es-US"/>
        </w:rPr>
        <w:t>de ellos fue</w:t>
      </w:r>
      <w:r w:rsidR="0097533C">
        <w:rPr>
          <w:rFonts w:ascii="Cambria" w:hAnsi="Cambria"/>
          <w:sz w:val="20"/>
          <w:szCs w:val="20"/>
          <w:lang w:val="es-US"/>
        </w:rPr>
        <w:t>ron</w:t>
      </w:r>
      <w:r w:rsidR="00BC3A5C" w:rsidRPr="0097533C">
        <w:rPr>
          <w:rFonts w:ascii="Cambria" w:hAnsi="Cambria"/>
          <w:sz w:val="20"/>
          <w:szCs w:val="20"/>
          <w:lang w:val="es-US"/>
        </w:rPr>
        <w:t xml:space="preserve"> </w:t>
      </w:r>
      <w:r w:rsidR="000403AB" w:rsidRPr="0097533C">
        <w:rPr>
          <w:rFonts w:ascii="Cambria" w:hAnsi="Cambria"/>
          <w:sz w:val="20"/>
          <w:szCs w:val="20"/>
          <w:lang w:val="es-US"/>
        </w:rPr>
        <w:t>aportados</w:t>
      </w:r>
      <w:r w:rsidR="00420CE5">
        <w:rPr>
          <w:rFonts w:ascii="Cambria" w:hAnsi="Cambria"/>
          <w:sz w:val="20"/>
          <w:szCs w:val="20"/>
          <w:lang w:val="es-US"/>
        </w:rPr>
        <w:t>. Tampoco</w:t>
      </w:r>
      <w:r w:rsidR="000403AB" w:rsidRPr="0097533C">
        <w:rPr>
          <w:rFonts w:ascii="Cambria" w:hAnsi="Cambria"/>
          <w:sz w:val="20"/>
          <w:szCs w:val="20"/>
          <w:lang w:val="es-US"/>
        </w:rPr>
        <w:t xml:space="preserve"> se deduce que las investigacione</w:t>
      </w:r>
      <w:r w:rsidR="000403AB" w:rsidRPr="00420CE5">
        <w:rPr>
          <w:rFonts w:ascii="Cambria" w:hAnsi="Cambria"/>
          <w:sz w:val="20"/>
          <w:szCs w:val="20"/>
          <w:lang w:val="es-US"/>
        </w:rPr>
        <w:t xml:space="preserve">s hayan realizado un análisis exhaustivo </w:t>
      </w:r>
      <w:r w:rsidR="00420CE5">
        <w:rPr>
          <w:rFonts w:ascii="Cambria" w:hAnsi="Cambria"/>
          <w:sz w:val="20"/>
          <w:szCs w:val="20"/>
          <w:lang w:val="es-US"/>
        </w:rPr>
        <w:t xml:space="preserve">del trabajo periodístico </w:t>
      </w:r>
      <w:r w:rsidR="0008285D">
        <w:rPr>
          <w:rFonts w:ascii="Cambria" w:hAnsi="Cambria"/>
          <w:sz w:val="20"/>
          <w:szCs w:val="20"/>
          <w:lang w:val="es-US"/>
        </w:rPr>
        <w:t xml:space="preserve">de Leguizamón </w:t>
      </w:r>
      <w:r w:rsidR="001D51FC" w:rsidRPr="00420CE5">
        <w:rPr>
          <w:rFonts w:ascii="Cambria" w:hAnsi="Cambria"/>
          <w:sz w:val="20"/>
          <w:szCs w:val="20"/>
          <w:lang w:val="es-US"/>
        </w:rPr>
        <w:t>con el fin de relacionar el crimen con la labor period</w:t>
      </w:r>
      <w:r w:rsidR="00B92057" w:rsidRPr="0008285D">
        <w:rPr>
          <w:rFonts w:ascii="Cambria" w:hAnsi="Cambria"/>
          <w:sz w:val="20"/>
          <w:szCs w:val="20"/>
          <w:lang w:val="es-US"/>
        </w:rPr>
        <w:t xml:space="preserve">ística </w:t>
      </w:r>
      <w:r w:rsidR="00637853" w:rsidRPr="0008285D">
        <w:rPr>
          <w:rFonts w:ascii="Cambria" w:hAnsi="Cambria"/>
          <w:sz w:val="20"/>
          <w:szCs w:val="20"/>
          <w:lang w:val="es-US"/>
        </w:rPr>
        <w:t xml:space="preserve">y con el objetivo </w:t>
      </w:r>
      <w:r w:rsidR="006F1791">
        <w:rPr>
          <w:rFonts w:ascii="Cambria" w:hAnsi="Cambria"/>
          <w:sz w:val="20"/>
          <w:szCs w:val="20"/>
          <w:lang w:val="es-US"/>
        </w:rPr>
        <w:t xml:space="preserve">de establecer </w:t>
      </w:r>
      <w:r w:rsidR="00124EBC" w:rsidRPr="006F1791">
        <w:rPr>
          <w:rFonts w:ascii="Cambria" w:hAnsi="Cambria"/>
          <w:sz w:val="20"/>
          <w:szCs w:val="20"/>
          <w:lang w:val="es-US"/>
        </w:rPr>
        <w:t xml:space="preserve">los </w:t>
      </w:r>
      <w:r w:rsidR="005A69CD" w:rsidRPr="006F1791">
        <w:rPr>
          <w:rFonts w:ascii="Cambria" w:hAnsi="Cambria"/>
          <w:sz w:val="20"/>
          <w:szCs w:val="20"/>
          <w:lang w:val="es-US"/>
        </w:rPr>
        <w:t>posibles</w:t>
      </w:r>
      <w:r w:rsidR="00124EBC" w:rsidRPr="006F1791">
        <w:rPr>
          <w:rFonts w:ascii="Cambria" w:hAnsi="Cambria"/>
          <w:sz w:val="20"/>
          <w:szCs w:val="20"/>
          <w:lang w:val="es-US"/>
        </w:rPr>
        <w:t xml:space="preserve"> autores materiales e intelectuales que </w:t>
      </w:r>
      <w:r w:rsidR="005A69CD">
        <w:rPr>
          <w:rFonts w:ascii="Cambria" w:hAnsi="Cambria"/>
          <w:sz w:val="20"/>
          <w:szCs w:val="20"/>
          <w:lang w:val="es-US"/>
        </w:rPr>
        <w:t xml:space="preserve">podrían haber </w:t>
      </w:r>
      <w:r w:rsidR="00124EBC" w:rsidRPr="006F1791">
        <w:rPr>
          <w:rFonts w:ascii="Cambria" w:hAnsi="Cambria"/>
          <w:sz w:val="20"/>
          <w:szCs w:val="20"/>
          <w:lang w:val="es-US"/>
        </w:rPr>
        <w:t>quer</w:t>
      </w:r>
      <w:r w:rsidR="005A69CD">
        <w:rPr>
          <w:rFonts w:ascii="Cambria" w:hAnsi="Cambria"/>
          <w:sz w:val="20"/>
          <w:szCs w:val="20"/>
          <w:lang w:val="es-US"/>
        </w:rPr>
        <w:t>ido</w:t>
      </w:r>
      <w:r w:rsidR="00124EBC" w:rsidRPr="006F1791">
        <w:rPr>
          <w:rFonts w:ascii="Cambria" w:hAnsi="Cambria"/>
          <w:sz w:val="20"/>
          <w:szCs w:val="20"/>
          <w:lang w:val="es-US"/>
        </w:rPr>
        <w:t xml:space="preserve"> silenciarlo. </w:t>
      </w:r>
    </w:p>
    <w:p w14:paraId="59E00A9A" w14:textId="77777777" w:rsidR="00124EBC" w:rsidRPr="00124EBC" w:rsidRDefault="00124EBC" w:rsidP="009313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US"/>
        </w:rPr>
      </w:pPr>
    </w:p>
    <w:p w14:paraId="2D94D4DB" w14:textId="02D8249A" w:rsidR="00932F24" w:rsidRPr="009313AF" w:rsidRDefault="00932F24" w:rsidP="00BA30C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US"/>
        </w:rPr>
      </w:pPr>
      <w:r w:rsidRPr="00BE183D">
        <w:rPr>
          <w:rFonts w:ascii="Cambria" w:hAnsi="Cambria"/>
          <w:bCs/>
          <w:sz w:val="20"/>
          <w:szCs w:val="20"/>
          <w:lang w:val="es-AR"/>
        </w:rPr>
        <w:t xml:space="preserve">La CIDH considera que la investigación tampoco ponderó aspectos vinculados con el contexto </w:t>
      </w:r>
      <w:r>
        <w:rPr>
          <w:rFonts w:ascii="Cambria" w:hAnsi="Cambria"/>
          <w:bCs/>
          <w:sz w:val="20"/>
          <w:szCs w:val="20"/>
          <w:lang w:val="es-AR"/>
        </w:rPr>
        <w:t xml:space="preserve">de Pedro Juan Caballero </w:t>
      </w:r>
      <w:r w:rsidRPr="00BE183D">
        <w:rPr>
          <w:rFonts w:ascii="Cambria" w:hAnsi="Cambria"/>
          <w:bCs/>
          <w:sz w:val="20"/>
          <w:szCs w:val="20"/>
          <w:lang w:val="es-AR"/>
        </w:rPr>
        <w:t xml:space="preserve">y al no centrarse </w:t>
      </w:r>
      <w:r>
        <w:rPr>
          <w:rFonts w:ascii="Cambria" w:hAnsi="Cambria"/>
          <w:bCs/>
          <w:sz w:val="20"/>
          <w:szCs w:val="20"/>
          <w:lang w:val="es-AR"/>
        </w:rPr>
        <w:t xml:space="preserve">el Estado </w:t>
      </w:r>
      <w:r w:rsidRPr="00BE183D">
        <w:rPr>
          <w:rFonts w:ascii="Cambria" w:hAnsi="Cambria"/>
          <w:bCs/>
          <w:sz w:val="20"/>
          <w:szCs w:val="20"/>
          <w:lang w:val="es-AR"/>
        </w:rPr>
        <w:t xml:space="preserve">en la actividad profesional del periodista, como de las características del caso debió haber hecho, las investigaciones tuvieron menos posibilidades de conseguir los resultados deseados. El crimen de Santiago no se ejecutó en cualquier zona, sino en un área </w:t>
      </w:r>
      <w:r>
        <w:rPr>
          <w:rFonts w:ascii="Cambria" w:hAnsi="Cambria"/>
          <w:bCs/>
          <w:sz w:val="20"/>
          <w:szCs w:val="20"/>
          <w:lang w:val="es-AR"/>
        </w:rPr>
        <w:t>con elevados índices de violencia</w:t>
      </w:r>
      <w:r w:rsidRPr="00BE183D">
        <w:rPr>
          <w:rFonts w:ascii="Cambria" w:hAnsi="Cambria"/>
          <w:bCs/>
          <w:sz w:val="20"/>
          <w:szCs w:val="20"/>
          <w:lang w:val="es-AR"/>
        </w:rPr>
        <w:t xml:space="preserve">, donde </w:t>
      </w:r>
      <w:r w:rsidRPr="00BE183D">
        <w:rPr>
          <w:rFonts w:ascii="Cambria" w:hAnsi="Cambria"/>
          <w:bCs/>
          <w:sz w:val="20"/>
          <w:szCs w:val="20"/>
          <w:lang w:val="es-US"/>
        </w:rPr>
        <w:t>se sospechaba que el hecho podría haber sido cometido por estructuras criminales imperantes en la zona fronteriza, incluso con participación de autoridades locales</w:t>
      </w:r>
      <w:r w:rsidR="00BA65B9">
        <w:rPr>
          <w:rFonts w:ascii="Cambria" w:hAnsi="Cambria"/>
          <w:bCs/>
          <w:sz w:val="20"/>
          <w:szCs w:val="20"/>
          <w:lang w:val="es-US"/>
        </w:rPr>
        <w:t>. Incluso</w:t>
      </w:r>
      <w:r w:rsidRPr="00BE183D">
        <w:rPr>
          <w:rFonts w:ascii="Cambria" w:hAnsi="Cambria"/>
          <w:bCs/>
          <w:sz w:val="20"/>
          <w:szCs w:val="20"/>
          <w:lang w:val="es-US"/>
        </w:rPr>
        <w:t>, una declarante</w:t>
      </w:r>
      <w:r w:rsidR="00BA65B9">
        <w:rPr>
          <w:rFonts w:ascii="Cambria" w:hAnsi="Cambria"/>
          <w:bCs/>
          <w:sz w:val="20"/>
          <w:szCs w:val="20"/>
          <w:lang w:val="es-US"/>
        </w:rPr>
        <w:t>, residente en la zona,</w:t>
      </w:r>
      <w:r w:rsidRPr="00BE183D">
        <w:rPr>
          <w:rFonts w:ascii="Cambria" w:hAnsi="Cambria"/>
          <w:bCs/>
          <w:sz w:val="20"/>
          <w:szCs w:val="20"/>
          <w:lang w:val="es-US"/>
        </w:rPr>
        <w:t xml:space="preserve"> habría solicitado medidas de protección </w:t>
      </w:r>
      <w:r w:rsidRPr="00BE183D">
        <w:rPr>
          <w:rFonts w:ascii="Cambria" w:hAnsi="Cambria"/>
          <w:color w:val="000000" w:themeColor="text1"/>
          <w:sz w:val="20"/>
          <w:szCs w:val="20"/>
          <w:lang w:val="es-PE"/>
        </w:rPr>
        <w:t>con motivo de su temor manifiesto a recibir represalias debido a su declaración.</w:t>
      </w:r>
    </w:p>
    <w:p w14:paraId="41B6A3B6" w14:textId="77777777" w:rsidR="00932F24" w:rsidRDefault="00932F24" w:rsidP="009313AF">
      <w:pPr>
        <w:pStyle w:val="ListParagraph"/>
        <w:spacing w:before="0" w:after="0"/>
        <w:rPr>
          <w:sz w:val="20"/>
          <w:szCs w:val="20"/>
          <w:lang w:val="es-US"/>
        </w:rPr>
      </w:pPr>
    </w:p>
    <w:p w14:paraId="0D785EC7" w14:textId="301060A3" w:rsidR="007C6B97" w:rsidRPr="00BE183D" w:rsidRDefault="00FD1DC9" w:rsidP="00BA30C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US"/>
        </w:rPr>
      </w:pPr>
      <w:r>
        <w:rPr>
          <w:rFonts w:ascii="Cambria" w:hAnsi="Cambria"/>
          <w:sz w:val="20"/>
          <w:szCs w:val="20"/>
          <w:lang w:val="es-US"/>
        </w:rPr>
        <w:t xml:space="preserve">Además, no </w:t>
      </w:r>
      <w:r w:rsidR="00025B0F" w:rsidRPr="00BE183D">
        <w:rPr>
          <w:rFonts w:ascii="Cambria" w:hAnsi="Cambria"/>
          <w:sz w:val="20"/>
          <w:szCs w:val="20"/>
          <w:lang w:val="es-US"/>
        </w:rPr>
        <w:t xml:space="preserve">se deriva </w:t>
      </w:r>
      <w:r w:rsidR="00153A58" w:rsidRPr="00BE183D">
        <w:rPr>
          <w:rFonts w:ascii="Cambria" w:hAnsi="Cambria"/>
          <w:sz w:val="20"/>
          <w:szCs w:val="20"/>
          <w:lang w:val="es-US"/>
        </w:rPr>
        <w:t>de forma clara que el Estado haya asumido una línea de investigación respecto del homicidio de Santiago Leguizamón</w:t>
      </w:r>
      <w:r w:rsidR="00187294" w:rsidRPr="00BE183D">
        <w:rPr>
          <w:rFonts w:ascii="Cambria" w:hAnsi="Cambria"/>
          <w:sz w:val="20"/>
          <w:szCs w:val="20"/>
          <w:lang w:val="es-US"/>
        </w:rPr>
        <w:t xml:space="preserve"> que confirme o refute </w:t>
      </w:r>
      <w:r w:rsidR="00F2580F" w:rsidRPr="00BE183D">
        <w:rPr>
          <w:rFonts w:ascii="Cambria" w:hAnsi="Cambria"/>
          <w:sz w:val="20"/>
          <w:szCs w:val="20"/>
          <w:lang w:val="es-US"/>
        </w:rPr>
        <w:t xml:space="preserve">una </w:t>
      </w:r>
      <w:r w:rsidR="00217220" w:rsidRPr="00BE183D">
        <w:rPr>
          <w:rFonts w:ascii="Cambria" w:hAnsi="Cambria"/>
          <w:sz w:val="20"/>
          <w:szCs w:val="20"/>
          <w:lang w:val="es-US"/>
        </w:rPr>
        <w:t>hi</w:t>
      </w:r>
      <w:r w:rsidR="00582407" w:rsidRPr="00BE183D">
        <w:rPr>
          <w:rFonts w:ascii="Cambria" w:hAnsi="Cambria"/>
          <w:sz w:val="20"/>
          <w:szCs w:val="20"/>
          <w:lang w:val="es-US"/>
        </w:rPr>
        <w:t>pótesis de autoría,</w:t>
      </w:r>
      <w:r w:rsidR="000312A7" w:rsidRPr="00BE183D">
        <w:rPr>
          <w:rFonts w:ascii="Cambria" w:hAnsi="Cambria"/>
          <w:sz w:val="20"/>
          <w:szCs w:val="20"/>
          <w:lang w:val="es-US"/>
        </w:rPr>
        <w:t xml:space="preserve"> </w:t>
      </w:r>
      <w:r w:rsidR="00B722C0" w:rsidRPr="00BE183D">
        <w:rPr>
          <w:rFonts w:ascii="Cambria" w:hAnsi="Cambria"/>
          <w:sz w:val="20"/>
          <w:szCs w:val="20"/>
          <w:lang w:val="es-US"/>
        </w:rPr>
        <w:t xml:space="preserve">sino que </w:t>
      </w:r>
      <w:r w:rsidR="00F2580F" w:rsidRPr="00BE183D">
        <w:rPr>
          <w:rFonts w:ascii="Cambria" w:hAnsi="Cambria"/>
          <w:sz w:val="20"/>
          <w:szCs w:val="20"/>
          <w:lang w:val="es-US"/>
        </w:rPr>
        <w:t>más</w:t>
      </w:r>
      <w:r w:rsidR="00B722C0" w:rsidRPr="00BE183D">
        <w:rPr>
          <w:rFonts w:ascii="Cambria" w:hAnsi="Cambria"/>
          <w:sz w:val="20"/>
          <w:szCs w:val="20"/>
          <w:lang w:val="es-US"/>
        </w:rPr>
        <w:t xml:space="preserve"> bien </w:t>
      </w:r>
      <w:r w:rsidR="00582407" w:rsidRPr="00BE183D">
        <w:rPr>
          <w:rFonts w:ascii="Cambria" w:hAnsi="Cambria"/>
          <w:sz w:val="20"/>
          <w:szCs w:val="20"/>
          <w:lang w:val="es-US"/>
        </w:rPr>
        <w:t xml:space="preserve">surge de la prueba que </w:t>
      </w:r>
      <w:r w:rsidR="00FD35C6" w:rsidRPr="00BE183D">
        <w:rPr>
          <w:rFonts w:ascii="Cambria" w:hAnsi="Cambria"/>
          <w:sz w:val="20"/>
          <w:szCs w:val="20"/>
          <w:lang w:val="es-US"/>
        </w:rPr>
        <w:t xml:space="preserve">la investigación se </w:t>
      </w:r>
      <w:r w:rsidR="00BA65B9" w:rsidRPr="00BE183D">
        <w:rPr>
          <w:rFonts w:ascii="Cambria" w:hAnsi="Cambria"/>
          <w:sz w:val="20"/>
          <w:szCs w:val="20"/>
          <w:lang w:val="es-US"/>
        </w:rPr>
        <w:t>gui</w:t>
      </w:r>
      <w:r w:rsidR="00BA65B9">
        <w:rPr>
          <w:rFonts w:ascii="Cambria" w:hAnsi="Cambria"/>
          <w:sz w:val="20"/>
          <w:szCs w:val="20"/>
          <w:lang w:val="es-US"/>
        </w:rPr>
        <w:t>o</w:t>
      </w:r>
      <w:r w:rsidR="00FD35C6" w:rsidRPr="00BE183D">
        <w:rPr>
          <w:rFonts w:ascii="Cambria" w:hAnsi="Cambria"/>
          <w:sz w:val="20"/>
          <w:szCs w:val="20"/>
          <w:lang w:val="es-US"/>
        </w:rPr>
        <w:t xml:space="preserve"> </w:t>
      </w:r>
      <w:r w:rsidR="00BB59FB">
        <w:rPr>
          <w:rFonts w:ascii="Cambria" w:hAnsi="Cambria"/>
          <w:sz w:val="20"/>
          <w:szCs w:val="20"/>
          <w:lang w:val="es-US"/>
        </w:rPr>
        <w:t xml:space="preserve">principalmente </w:t>
      </w:r>
      <w:r w:rsidR="00BA65B9">
        <w:rPr>
          <w:rFonts w:ascii="Cambria" w:hAnsi="Cambria"/>
          <w:sz w:val="20"/>
          <w:szCs w:val="20"/>
          <w:lang w:val="es-US"/>
        </w:rPr>
        <w:t>por</w:t>
      </w:r>
      <w:r w:rsidR="00FD35C6" w:rsidRPr="00BE183D">
        <w:rPr>
          <w:rFonts w:ascii="Cambria" w:hAnsi="Cambria"/>
          <w:sz w:val="20"/>
          <w:szCs w:val="20"/>
          <w:lang w:val="es-US"/>
        </w:rPr>
        <w:t xml:space="preserve"> investigaciones periodísticas</w:t>
      </w:r>
      <w:r w:rsidR="001B0D6C">
        <w:rPr>
          <w:rFonts w:ascii="Cambria" w:hAnsi="Cambria"/>
          <w:sz w:val="20"/>
          <w:szCs w:val="20"/>
          <w:lang w:val="es-US"/>
        </w:rPr>
        <w:t xml:space="preserve"> que </w:t>
      </w:r>
      <w:r w:rsidR="005F4E37">
        <w:rPr>
          <w:rFonts w:ascii="Cambria" w:hAnsi="Cambria"/>
          <w:sz w:val="20"/>
          <w:szCs w:val="20"/>
          <w:lang w:val="es-US"/>
        </w:rPr>
        <w:t>establecían sus propias hipótesis de</w:t>
      </w:r>
      <w:r w:rsidR="001B0D6C">
        <w:rPr>
          <w:rFonts w:ascii="Cambria" w:hAnsi="Cambria"/>
          <w:sz w:val="20"/>
          <w:szCs w:val="20"/>
          <w:lang w:val="es-US"/>
        </w:rPr>
        <w:t xml:space="preserve"> </w:t>
      </w:r>
      <w:r w:rsidR="006173AF">
        <w:rPr>
          <w:rFonts w:ascii="Cambria" w:hAnsi="Cambria"/>
          <w:sz w:val="20"/>
          <w:szCs w:val="20"/>
          <w:lang w:val="es-US"/>
        </w:rPr>
        <w:t>autoría</w:t>
      </w:r>
      <w:r w:rsidR="007E5E19">
        <w:rPr>
          <w:rFonts w:ascii="Cambria" w:hAnsi="Cambria"/>
          <w:sz w:val="20"/>
          <w:szCs w:val="20"/>
          <w:lang w:val="es-US"/>
        </w:rPr>
        <w:t>.</w:t>
      </w:r>
      <w:r w:rsidR="00FD35C6" w:rsidRPr="00BE183D">
        <w:rPr>
          <w:rFonts w:ascii="Cambria" w:hAnsi="Cambria"/>
          <w:sz w:val="20"/>
          <w:szCs w:val="20"/>
          <w:lang w:val="es-US"/>
        </w:rPr>
        <w:t xml:space="preserve"> </w:t>
      </w:r>
    </w:p>
    <w:p w14:paraId="2B524045" w14:textId="750F30CC" w:rsidR="007C6B97" w:rsidRDefault="007C6B97" w:rsidP="00840A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
        </w:rPr>
      </w:pPr>
    </w:p>
    <w:p w14:paraId="4BABCEB7" w14:textId="7F581B83" w:rsidR="00866F16" w:rsidRDefault="00806189" w:rsidP="002C542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840AA5">
        <w:rPr>
          <w:rFonts w:ascii="Cambria" w:hAnsi="Cambria"/>
          <w:sz w:val="20"/>
          <w:szCs w:val="20"/>
          <w:lang w:val="es-ES"/>
        </w:rPr>
        <w:t xml:space="preserve">Si bien el Estado </w:t>
      </w:r>
      <w:r w:rsidR="006D0E66" w:rsidRPr="00840AA5">
        <w:rPr>
          <w:rFonts w:ascii="Cambria" w:hAnsi="Cambria"/>
          <w:sz w:val="20"/>
          <w:szCs w:val="20"/>
          <w:lang w:val="es-ES"/>
        </w:rPr>
        <w:t>inici</w:t>
      </w:r>
      <w:r w:rsidR="006D0E66" w:rsidRPr="000A6D3D">
        <w:rPr>
          <w:rFonts w:ascii="Cambria" w:hAnsi="Cambria"/>
          <w:sz w:val="20"/>
          <w:szCs w:val="20"/>
          <w:lang w:val="es-ES"/>
        </w:rPr>
        <w:t xml:space="preserve">ó un proceso penal </w:t>
      </w:r>
      <w:r w:rsidR="00421498" w:rsidRPr="00C07458">
        <w:rPr>
          <w:rFonts w:ascii="Cambria" w:hAnsi="Cambria"/>
          <w:sz w:val="20"/>
          <w:szCs w:val="20"/>
          <w:lang w:val="es-ES"/>
        </w:rPr>
        <w:t>contra 14 presuntos autores materiales</w:t>
      </w:r>
      <w:r w:rsidR="000665C4" w:rsidRPr="00C07458">
        <w:rPr>
          <w:rFonts w:ascii="Cambria" w:hAnsi="Cambria"/>
          <w:sz w:val="20"/>
          <w:szCs w:val="20"/>
          <w:lang w:val="es-ES"/>
        </w:rPr>
        <w:t xml:space="preserve"> (algunos de los cuales habrían fallecido), todo</w:t>
      </w:r>
      <w:r w:rsidR="005972AA" w:rsidRPr="0096449B">
        <w:rPr>
          <w:rFonts w:ascii="Cambria" w:hAnsi="Cambria"/>
          <w:sz w:val="20"/>
          <w:szCs w:val="20"/>
          <w:lang w:val="es-ES"/>
        </w:rPr>
        <w:t>s e</w:t>
      </w:r>
      <w:r w:rsidR="005972AA" w:rsidRPr="009313AF">
        <w:rPr>
          <w:rFonts w:ascii="Cambria" w:hAnsi="Cambria"/>
          <w:sz w:val="20"/>
          <w:szCs w:val="20"/>
          <w:lang w:val="es-ES"/>
        </w:rPr>
        <w:t xml:space="preserve">llos </w:t>
      </w:r>
      <w:r w:rsidR="00FF375A" w:rsidRPr="009313AF">
        <w:rPr>
          <w:rFonts w:ascii="Cambria" w:hAnsi="Cambria"/>
          <w:sz w:val="20"/>
          <w:szCs w:val="20"/>
          <w:lang w:val="es-ES"/>
        </w:rPr>
        <w:t xml:space="preserve">se encontrarían en Brasil </w:t>
      </w:r>
      <w:r w:rsidR="00AA1435" w:rsidRPr="009313AF">
        <w:rPr>
          <w:rFonts w:ascii="Cambria" w:hAnsi="Cambria"/>
          <w:sz w:val="20"/>
          <w:szCs w:val="20"/>
          <w:lang w:val="es-ES"/>
        </w:rPr>
        <w:t>sin la posibilidad de ser extraditados</w:t>
      </w:r>
      <w:r w:rsidR="009570CA" w:rsidRPr="009313AF">
        <w:rPr>
          <w:rFonts w:ascii="Cambria" w:hAnsi="Cambria"/>
          <w:sz w:val="20"/>
          <w:szCs w:val="20"/>
          <w:lang w:val="es-ES"/>
        </w:rPr>
        <w:t xml:space="preserve"> por lo que prácticamente ninguna diligencia de importancia fue adoptada para determinar su responsabilidad</w:t>
      </w:r>
      <w:r w:rsidR="00645DA3" w:rsidRPr="009313AF">
        <w:rPr>
          <w:rFonts w:ascii="Cambria" w:hAnsi="Cambria"/>
          <w:sz w:val="20"/>
          <w:szCs w:val="20"/>
          <w:lang w:val="es-ES"/>
        </w:rPr>
        <w:t xml:space="preserve">. De igual manera, varias de las solicitudes de cooperación internacional a Brasil para recabar información y determinar </w:t>
      </w:r>
      <w:r w:rsidR="00E4419A" w:rsidRPr="009313AF">
        <w:rPr>
          <w:rFonts w:ascii="Cambria" w:hAnsi="Cambria"/>
          <w:sz w:val="20"/>
          <w:szCs w:val="20"/>
          <w:lang w:val="es-ES"/>
        </w:rPr>
        <w:lastRenderedPageBreak/>
        <w:t xml:space="preserve">la responsabilidad de </w:t>
      </w:r>
      <w:r w:rsidR="00645DA3" w:rsidRPr="009313AF">
        <w:rPr>
          <w:rFonts w:ascii="Cambria" w:hAnsi="Cambria"/>
          <w:sz w:val="20"/>
          <w:szCs w:val="20"/>
          <w:lang w:val="es-ES"/>
        </w:rPr>
        <w:t xml:space="preserve">los autores materiales y </w:t>
      </w:r>
      <w:r w:rsidR="00E4419A" w:rsidRPr="009313AF">
        <w:rPr>
          <w:rFonts w:ascii="Cambria" w:hAnsi="Cambria"/>
          <w:sz w:val="20"/>
          <w:szCs w:val="20"/>
          <w:lang w:val="es-ES"/>
        </w:rPr>
        <w:t>establecer los posibles autores intelectuales</w:t>
      </w:r>
      <w:r w:rsidR="00C013DD" w:rsidRPr="009313AF">
        <w:rPr>
          <w:rFonts w:ascii="Cambria" w:hAnsi="Cambria"/>
          <w:sz w:val="20"/>
          <w:szCs w:val="20"/>
          <w:lang w:val="es-ES"/>
        </w:rPr>
        <w:t xml:space="preserve"> </w:t>
      </w:r>
      <w:r w:rsidR="00645DA3" w:rsidRPr="009313AF">
        <w:rPr>
          <w:rFonts w:ascii="Cambria" w:hAnsi="Cambria"/>
          <w:sz w:val="20"/>
          <w:szCs w:val="20"/>
          <w:lang w:val="es-ES"/>
        </w:rPr>
        <w:t>no fueron diligentemente sustanciadas, se tramitaron con lentitud y ni siquiera fueron traducidas al portugués ni cumplieron con los protocolos diplomáticos</w:t>
      </w:r>
      <w:r w:rsidR="00657E9C" w:rsidRPr="009313AF">
        <w:rPr>
          <w:rFonts w:ascii="Cambria" w:hAnsi="Cambria"/>
          <w:sz w:val="20"/>
          <w:szCs w:val="20"/>
          <w:lang w:val="es-ES"/>
        </w:rPr>
        <w:t xml:space="preserve">. </w:t>
      </w:r>
      <w:r w:rsidR="001703EE" w:rsidRPr="009313AF">
        <w:rPr>
          <w:rFonts w:ascii="Cambria" w:hAnsi="Cambria"/>
          <w:sz w:val="20"/>
          <w:szCs w:val="20"/>
          <w:lang w:val="es-ES"/>
        </w:rPr>
        <w:t>Tamp</w:t>
      </w:r>
      <w:r w:rsidR="00E40469" w:rsidRPr="009313AF">
        <w:rPr>
          <w:rFonts w:ascii="Cambria" w:hAnsi="Cambria"/>
          <w:sz w:val="20"/>
          <w:szCs w:val="20"/>
          <w:lang w:val="es-ES"/>
        </w:rPr>
        <w:t>o</w:t>
      </w:r>
      <w:r w:rsidR="001703EE" w:rsidRPr="009313AF">
        <w:rPr>
          <w:rFonts w:ascii="Cambria" w:hAnsi="Cambria"/>
          <w:sz w:val="20"/>
          <w:szCs w:val="20"/>
          <w:lang w:val="es-ES"/>
        </w:rPr>
        <w:t>co</w:t>
      </w:r>
      <w:r w:rsidR="00AA1435" w:rsidRPr="009313AF">
        <w:rPr>
          <w:rFonts w:ascii="Cambria" w:hAnsi="Cambria"/>
          <w:sz w:val="20"/>
          <w:szCs w:val="20"/>
          <w:lang w:val="es-ES"/>
        </w:rPr>
        <w:t xml:space="preserve"> se deriva del expediente que el Estado</w:t>
      </w:r>
      <w:r w:rsidR="006D0E66" w:rsidRPr="009313AF">
        <w:rPr>
          <w:rFonts w:ascii="Cambria" w:hAnsi="Cambria"/>
          <w:sz w:val="20"/>
          <w:szCs w:val="20"/>
          <w:lang w:val="es-ES"/>
        </w:rPr>
        <w:t xml:space="preserve"> </w:t>
      </w:r>
      <w:r w:rsidR="009570CA" w:rsidRPr="009313AF">
        <w:rPr>
          <w:rFonts w:ascii="Cambria" w:hAnsi="Cambria"/>
          <w:sz w:val="20"/>
          <w:szCs w:val="20"/>
          <w:lang w:val="es-ES"/>
        </w:rPr>
        <w:t>haya adoptado</w:t>
      </w:r>
      <w:r w:rsidR="00176B64" w:rsidRPr="009313AF">
        <w:rPr>
          <w:rFonts w:ascii="Cambria" w:hAnsi="Cambria"/>
          <w:sz w:val="20"/>
          <w:szCs w:val="20"/>
          <w:lang w:val="es-ES"/>
        </w:rPr>
        <w:t xml:space="preserve"> medida alguna para investigar a cualquier otro autor material o intelectual dentro de Paraguay</w:t>
      </w:r>
      <w:r w:rsidR="000D1A61" w:rsidRPr="009313AF">
        <w:rPr>
          <w:rFonts w:ascii="Cambria" w:hAnsi="Cambria"/>
          <w:sz w:val="20"/>
          <w:szCs w:val="20"/>
          <w:lang w:val="es-ES"/>
        </w:rPr>
        <w:t xml:space="preserve"> ni que se hayan iniciado investigaciones respecto de la autoría material de un empresario conocido en Brasil, a pesar de los indicios </w:t>
      </w:r>
      <w:r w:rsidR="008F1EF4" w:rsidRPr="009313AF">
        <w:rPr>
          <w:rFonts w:ascii="Cambria" w:hAnsi="Cambria"/>
          <w:sz w:val="20"/>
          <w:szCs w:val="20"/>
          <w:lang w:val="es-ES"/>
        </w:rPr>
        <w:t xml:space="preserve">existentes. </w:t>
      </w:r>
      <w:r w:rsidR="00176B64" w:rsidRPr="009313AF">
        <w:rPr>
          <w:rFonts w:ascii="Cambria" w:hAnsi="Cambria"/>
          <w:sz w:val="20"/>
          <w:szCs w:val="20"/>
          <w:lang w:val="es-ES"/>
        </w:rPr>
        <w:t>Si bien se incluyó en el proceso penal al presidente del Consejo de Desarrollo del Amambay (CODAM)-organismo encargado de las políticas de desarrollo en Amambay-</w:t>
      </w:r>
      <w:r w:rsidR="009E2B0F" w:rsidRPr="009313AF">
        <w:rPr>
          <w:rFonts w:ascii="Cambria" w:hAnsi="Cambria"/>
          <w:sz w:val="20"/>
          <w:szCs w:val="20"/>
          <w:lang w:val="es-ES"/>
        </w:rPr>
        <w:t xml:space="preserve">con motivo de la declaración de una testigo, </w:t>
      </w:r>
      <w:r w:rsidR="00176B64" w:rsidRPr="009313AF">
        <w:rPr>
          <w:rFonts w:ascii="Cambria" w:hAnsi="Cambria"/>
          <w:sz w:val="20"/>
          <w:szCs w:val="20"/>
          <w:lang w:val="es-ES"/>
        </w:rPr>
        <w:t>luego</w:t>
      </w:r>
      <w:r w:rsidR="00E40469" w:rsidRPr="009313AF">
        <w:rPr>
          <w:rFonts w:ascii="Cambria" w:hAnsi="Cambria"/>
          <w:sz w:val="20"/>
          <w:szCs w:val="20"/>
          <w:lang w:val="es-ES"/>
        </w:rPr>
        <w:t xml:space="preserve"> de</w:t>
      </w:r>
      <w:r w:rsidR="00176B64" w:rsidRPr="009313AF">
        <w:rPr>
          <w:rFonts w:ascii="Cambria" w:hAnsi="Cambria"/>
          <w:sz w:val="20"/>
          <w:szCs w:val="20"/>
          <w:lang w:val="es-ES"/>
        </w:rPr>
        <w:t xml:space="preserve"> </w:t>
      </w:r>
      <w:r w:rsidR="00866F16" w:rsidRPr="009313AF">
        <w:rPr>
          <w:rFonts w:ascii="Cambria" w:hAnsi="Cambria"/>
          <w:sz w:val="20"/>
          <w:szCs w:val="20"/>
          <w:lang w:val="es-ES"/>
        </w:rPr>
        <w:t>recabada la</w:t>
      </w:r>
      <w:r w:rsidR="00176B64" w:rsidRPr="009313AF">
        <w:rPr>
          <w:rFonts w:ascii="Cambria" w:hAnsi="Cambria"/>
          <w:sz w:val="20"/>
          <w:szCs w:val="20"/>
          <w:lang w:val="es-ES"/>
        </w:rPr>
        <w:t xml:space="preserve"> declaración </w:t>
      </w:r>
      <w:r w:rsidR="00866F16" w:rsidRPr="009313AF">
        <w:rPr>
          <w:rFonts w:ascii="Cambria" w:hAnsi="Cambria"/>
          <w:sz w:val="20"/>
          <w:szCs w:val="20"/>
          <w:lang w:val="es-ES"/>
        </w:rPr>
        <w:t>de aquel</w:t>
      </w:r>
      <w:r w:rsidR="00E40469" w:rsidRPr="009313AF">
        <w:rPr>
          <w:rFonts w:ascii="Cambria" w:hAnsi="Cambria"/>
          <w:sz w:val="20"/>
          <w:szCs w:val="20"/>
          <w:lang w:val="es-ES"/>
        </w:rPr>
        <w:t>,</w:t>
      </w:r>
      <w:r w:rsidR="00866F16" w:rsidRPr="009313AF">
        <w:rPr>
          <w:rFonts w:ascii="Cambria" w:hAnsi="Cambria"/>
          <w:sz w:val="20"/>
          <w:szCs w:val="20"/>
          <w:lang w:val="es-ES"/>
        </w:rPr>
        <w:t xml:space="preserve"> </w:t>
      </w:r>
      <w:r w:rsidR="00176B64" w:rsidRPr="009313AF">
        <w:rPr>
          <w:rFonts w:ascii="Cambria" w:hAnsi="Cambria"/>
          <w:sz w:val="20"/>
          <w:szCs w:val="20"/>
          <w:lang w:val="es-ES"/>
        </w:rPr>
        <w:t xml:space="preserve">no se realizó ninguna otra diligencia para determinar su posible autoría intelectual, sino que se sobreseyó provisionalmente la investigación. </w:t>
      </w:r>
    </w:p>
    <w:p w14:paraId="2B8F2BFD" w14:textId="77777777" w:rsidR="00840AA5" w:rsidRPr="002C542E" w:rsidRDefault="00840AA5" w:rsidP="009313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US"/>
        </w:rPr>
      </w:pPr>
    </w:p>
    <w:p w14:paraId="52A09AD0" w14:textId="722469AC" w:rsidR="00DA54FA" w:rsidRPr="009313AF" w:rsidRDefault="00F2029C" w:rsidP="009313A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BE183D">
        <w:rPr>
          <w:rFonts w:ascii="Cambria" w:hAnsi="Cambria"/>
          <w:sz w:val="20"/>
          <w:szCs w:val="20"/>
          <w:lang w:val="es-ES"/>
        </w:rPr>
        <w:t xml:space="preserve">Asimismo, el Estado detuvo a un hombre confundiendo su identidad con la de uno de los procesados, </w:t>
      </w:r>
      <w:r w:rsidR="00DA53D5" w:rsidRPr="00BE183D">
        <w:rPr>
          <w:rFonts w:ascii="Cambria" w:hAnsi="Cambria"/>
          <w:sz w:val="20"/>
          <w:szCs w:val="20"/>
          <w:lang w:val="es-ES"/>
        </w:rPr>
        <w:t xml:space="preserve">no realizó mayores diligencias respecto del único procesado </w:t>
      </w:r>
      <w:r w:rsidR="00860860">
        <w:rPr>
          <w:rFonts w:ascii="Cambria" w:hAnsi="Cambria"/>
          <w:sz w:val="20"/>
          <w:szCs w:val="20"/>
          <w:lang w:val="es-ES"/>
        </w:rPr>
        <w:t>brasileño</w:t>
      </w:r>
      <w:r w:rsidR="00DA53D5" w:rsidRPr="00BE183D">
        <w:rPr>
          <w:rFonts w:ascii="Cambria" w:hAnsi="Cambria"/>
          <w:sz w:val="20"/>
          <w:szCs w:val="20"/>
          <w:lang w:val="es-ES"/>
        </w:rPr>
        <w:t xml:space="preserve"> a quien lograron detener, </w:t>
      </w:r>
      <w:r w:rsidRPr="00BE183D">
        <w:rPr>
          <w:rFonts w:ascii="Cambria" w:hAnsi="Cambria"/>
          <w:sz w:val="20"/>
          <w:szCs w:val="20"/>
          <w:lang w:val="es-ES"/>
        </w:rPr>
        <w:t>n</w:t>
      </w:r>
      <w:r w:rsidR="009570CA">
        <w:rPr>
          <w:rFonts w:ascii="Cambria" w:hAnsi="Cambria"/>
          <w:sz w:val="20"/>
          <w:szCs w:val="20"/>
          <w:lang w:val="es-ES"/>
        </w:rPr>
        <w:t>i</w:t>
      </w:r>
      <w:r w:rsidRPr="00BE183D">
        <w:rPr>
          <w:rFonts w:ascii="Cambria" w:hAnsi="Cambria"/>
          <w:sz w:val="20"/>
          <w:szCs w:val="20"/>
          <w:lang w:val="es-ES"/>
        </w:rPr>
        <w:t xml:space="preserve"> cumplió con los requisitos solicitados por la Interpol </w:t>
      </w:r>
      <w:r w:rsidR="008A36A8" w:rsidRPr="00BE183D">
        <w:rPr>
          <w:rFonts w:ascii="Cambria" w:hAnsi="Cambria"/>
          <w:sz w:val="20"/>
          <w:szCs w:val="20"/>
          <w:lang w:val="es-ES"/>
        </w:rPr>
        <w:t>para poder emitir las órdenes de captura internacional</w:t>
      </w:r>
      <w:r w:rsidR="00617AC3">
        <w:rPr>
          <w:rFonts w:ascii="Cambria" w:hAnsi="Cambria"/>
          <w:sz w:val="20"/>
          <w:szCs w:val="20"/>
          <w:lang w:val="es-ES"/>
        </w:rPr>
        <w:t xml:space="preserve">. </w:t>
      </w:r>
    </w:p>
    <w:p w14:paraId="4650CA55" w14:textId="77777777" w:rsidR="00F61896" w:rsidRPr="00BE183D" w:rsidRDefault="00F61896" w:rsidP="00BE183D">
      <w:pPr>
        <w:pStyle w:val="ListParagraph"/>
        <w:spacing w:before="0" w:after="0"/>
        <w:rPr>
          <w:bCs/>
          <w:sz w:val="20"/>
          <w:szCs w:val="20"/>
          <w:lang w:val="es-US"/>
        </w:rPr>
      </w:pPr>
    </w:p>
    <w:p w14:paraId="3C379B17" w14:textId="0E0AAFBA" w:rsidR="00F61896" w:rsidRPr="00BE183D" w:rsidRDefault="00F61896"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BE183D">
        <w:rPr>
          <w:rFonts w:ascii="Cambria" w:hAnsi="Cambria"/>
          <w:bCs/>
          <w:sz w:val="20"/>
          <w:szCs w:val="20"/>
          <w:lang w:val="es-US"/>
        </w:rPr>
        <w:t>De</w:t>
      </w:r>
      <w:r w:rsidRPr="00BE183D">
        <w:rPr>
          <w:rFonts w:ascii="Cambria" w:hAnsi="Cambria"/>
          <w:bCs/>
          <w:sz w:val="20"/>
          <w:szCs w:val="20"/>
          <w:lang w:val="es-CO"/>
        </w:rPr>
        <w:t xml:space="preserve"> conformidad con lo anterior, la CIDH estima que las medidas emprendidas para impulsar la investigación no </w:t>
      </w:r>
      <w:r w:rsidR="00B6530C">
        <w:rPr>
          <w:rFonts w:ascii="Cambria" w:hAnsi="Cambria"/>
          <w:bCs/>
          <w:sz w:val="20"/>
          <w:szCs w:val="20"/>
          <w:lang w:val="es-CO"/>
        </w:rPr>
        <w:t>fueron</w:t>
      </w:r>
      <w:r w:rsidRPr="00BE183D">
        <w:rPr>
          <w:rFonts w:ascii="Cambria" w:hAnsi="Cambria"/>
          <w:bCs/>
          <w:sz w:val="20"/>
          <w:szCs w:val="20"/>
          <w:lang w:val="es-CO"/>
        </w:rPr>
        <w:t xml:space="preserve"> adecuadas y suficientes para satisfacer </w:t>
      </w:r>
      <w:r w:rsidR="00126031">
        <w:rPr>
          <w:rFonts w:ascii="Cambria" w:hAnsi="Cambria"/>
          <w:bCs/>
          <w:sz w:val="20"/>
          <w:szCs w:val="20"/>
          <w:lang w:val="es-CO"/>
        </w:rPr>
        <w:t>la</w:t>
      </w:r>
      <w:r w:rsidRPr="00BE183D">
        <w:rPr>
          <w:rFonts w:ascii="Cambria" w:hAnsi="Cambria"/>
          <w:bCs/>
          <w:sz w:val="20"/>
          <w:szCs w:val="20"/>
          <w:lang w:val="es-CO"/>
        </w:rPr>
        <w:t xml:space="preserve"> obligación</w:t>
      </w:r>
      <w:r w:rsidR="00126031">
        <w:rPr>
          <w:rFonts w:ascii="Cambria" w:hAnsi="Cambria"/>
          <w:bCs/>
          <w:sz w:val="20"/>
          <w:szCs w:val="20"/>
          <w:lang w:val="es-CO"/>
        </w:rPr>
        <w:t xml:space="preserve"> del Estado</w:t>
      </w:r>
      <w:r w:rsidRPr="00BE183D">
        <w:rPr>
          <w:rFonts w:ascii="Cambria" w:hAnsi="Cambria"/>
          <w:bCs/>
          <w:sz w:val="20"/>
          <w:szCs w:val="20"/>
          <w:lang w:val="es-CO"/>
        </w:rPr>
        <w:t xml:space="preserve"> de realizar una investigación exhaustiva y diligente, dada la gravedad del crimen investigado y los efectos perversos que la impunidad de este tipo de casos genera en</w:t>
      </w:r>
      <w:r w:rsidR="005968C1" w:rsidRPr="00BE183D">
        <w:rPr>
          <w:rFonts w:ascii="Cambria" w:hAnsi="Cambria"/>
          <w:bCs/>
          <w:sz w:val="20"/>
          <w:szCs w:val="20"/>
          <w:lang w:val="es-CO"/>
        </w:rPr>
        <w:t xml:space="preserve"> los demás periodistas y en</w:t>
      </w:r>
      <w:r w:rsidRPr="00BE183D">
        <w:rPr>
          <w:rFonts w:ascii="Cambria" w:hAnsi="Cambria"/>
          <w:bCs/>
          <w:sz w:val="20"/>
          <w:szCs w:val="20"/>
          <w:lang w:val="es-CO"/>
        </w:rPr>
        <w:t xml:space="preserve"> la</w:t>
      </w:r>
      <w:r w:rsidR="005968C1" w:rsidRPr="00BE183D">
        <w:rPr>
          <w:rFonts w:ascii="Cambria" w:hAnsi="Cambria"/>
          <w:bCs/>
          <w:sz w:val="20"/>
          <w:szCs w:val="20"/>
          <w:lang w:val="es-CO"/>
        </w:rPr>
        <w:t xml:space="preserve"> comunidad</w:t>
      </w:r>
      <w:r w:rsidRPr="00BE183D">
        <w:rPr>
          <w:rFonts w:ascii="Cambria" w:hAnsi="Cambria"/>
          <w:bCs/>
          <w:sz w:val="20"/>
          <w:szCs w:val="20"/>
          <w:lang w:val="es-CO"/>
        </w:rPr>
        <w:t xml:space="preserve">. </w:t>
      </w:r>
    </w:p>
    <w:p w14:paraId="35B438C6" w14:textId="77777777" w:rsidR="007C6B97" w:rsidRPr="00BE183D" w:rsidRDefault="007C6B97" w:rsidP="00BE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
        </w:rPr>
      </w:pPr>
    </w:p>
    <w:p w14:paraId="5DF2C258" w14:textId="78EF6F22" w:rsidR="007C6B97" w:rsidRPr="00BE183D" w:rsidRDefault="005968C1"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lang w:val="es-ES"/>
        </w:rPr>
      </w:pPr>
      <w:r w:rsidRPr="00BE183D">
        <w:rPr>
          <w:rFonts w:ascii="Cambria" w:hAnsi="Cambria"/>
          <w:bCs/>
          <w:sz w:val="20"/>
          <w:szCs w:val="20"/>
          <w:lang w:val="es-ES"/>
        </w:rPr>
        <w:t>Finalmente, si</w:t>
      </w:r>
      <w:r w:rsidR="007C6B97" w:rsidRPr="00BE183D">
        <w:rPr>
          <w:rFonts w:ascii="Cambria" w:hAnsi="Cambria"/>
          <w:bCs/>
          <w:sz w:val="20"/>
          <w:szCs w:val="20"/>
          <w:lang w:val="es-ES"/>
        </w:rPr>
        <w:t xml:space="preserve"> bien </w:t>
      </w:r>
      <w:r w:rsidR="007C6B97" w:rsidRPr="00BE183D">
        <w:rPr>
          <w:rFonts w:ascii="Cambria" w:hAnsi="Cambria"/>
          <w:bCs/>
          <w:sz w:val="20"/>
          <w:szCs w:val="20"/>
          <w:lang w:val="es-US"/>
        </w:rPr>
        <w:t xml:space="preserve">el Estado alega que no pudo continuar con las investigaciones del caso ni ejecutar las órdenes de captura contra los 14 presuntos autores materiales por ser estos de nacionalidad </w:t>
      </w:r>
      <w:r w:rsidR="00860860">
        <w:rPr>
          <w:rFonts w:ascii="Cambria" w:hAnsi="Cambria"/>
          <w:bCs/>
          <w:sz w:val="20"/>
          <w:szCs w:val="20"/>
          <w:lang w:val="es-US"/>
        </w:rPr>
        <w:t>brasileña</w:t>
      </w:r>
      <w:r w:rsidR="007C6B97" w:rsidRPr="00BE183D">
        <w:rPr>
          <w:rFonts w:ascii="Cambria" w:hAnsi="Cambria"/>
          <w:bCs/>
          <w:sz w:val="20"/>
          <w:szCs w:val="20"/>
          <w:lang w:val="es-US"/>
        </w:rPr>
        <w:t xml:space="preserve"> y encontrarse en Brasil sin posibilidad de extradición</w:t>
      </w:r>
      <w:r w:rsidR="0097128F" w:rsidRPr="00BE183D">
        <w:rPr>
          <w:rStyle w:val="FootnoteReference"/>
          <w:rFonts w:ascii="Cambria" w:hAnsi="Cambria"/>
          <w:bCs/>
          <w:sz w:val="20"/>
          <w:szCs w:val="20"/>
          <w:lang w:val="es-US"/>
        </w:rPr>
        <w:footnoteReference w:id="138"/>
      </w:r>
      <w:r w:rsidR="007704D4" w:rsidRPr="00BE183D">
        <w:rPr>
          <w:rFonts w:ascii="Cambria" w:hAnsi="Cambria"/>
          <w:bCs/>
          <w:sz w:val="20"/>
          <w:szCs w:val="20"/>
          <w:lang w:val="es-US"/>
        </w:rPr>
        <w:t xml:space="preserve"> por lo que archivó el caso en el año 2002</w:t>
      </w:r>
      <w:r w:rsidR="007C6B97" w:rsidRPr="00BE183D">
        <w:rPr>
          <w:rFonts w:ascii="Cambria" w:hAnsi="Cambria"/>
          <w:bCs/>
          <w:sz w:val="20"/>
          <w:szCs w:val="20"/>
          <w:lang w:val="es-US"/>
        </w:rPr>
        <w:t xml:space="preserve">, la Comisión destaca que </w:t>
      </w:r>
      <w:r w:rsidR="00261B12" w:rsidRPr="00BE183D">
        <w:rPr>
          <w:rFonts w:ascii="Cambria" w:hAnsi="Cambria"/>
          <w:bCs/>
          <w:sz w:val="20"/>
          <w:szCs w:val="20"/>
          <w:lang w:val="es-US"/>
        </w:rPr>
        <w:t xml:space="preserve">el asesinato </w:t>
      </w:r>
      <w:r w:rsidR="007737F6" w:rsidRPr="00BE183D">
        <w:rPr>
          <w:rFonts w:ascii="Cambria" w:hAnsi="Cambria"/>
          <w:bCs/>
          <w:sz w:val="20"/>
          <w:szCs w:val="20"/>
          <w:lang w:val="es-US"/>
        </w:rPr>
        <w:t xml:space="preserve">de Santiago Leguizamón se cometió en el año 1991. En este sentido, </w:t>
      </w:r>
      <w:r w:rsidR="00DE5A40" w:rsidRPr="00BE183D">
        <w:rPr>
          <w:rFonts w:ascii="Cambria" w:hAnsi="Cambria"/>
          <w:bCs/>
          <w:sz w:val="20"/>
          <w:szCs w:val="20"/>
          <w:lang w:val="es-US"/>
        </w:rPr>
        <w:t xml:space="preserve">el Estado no logró </w:t>
      </w:r>
      <w:r w:rsidR="004E1B17" w:rsidRPr="00BE183D">
        <w:rPr>
          <w:rFonts w:ascii="Cambria" w:hAnsi="Cambria"/>
          <w:bCs/>
          <w:sz w:val="20"/>
          <w:szCs w:val="20"/>
          <w:lang w:val="es-US"/>
        </w:rPr>
        <w:t>procesar ni condenar a ningún autor del crimen</w:t>
      </w:r>
      <w:r w:rsidR="00803CE3" w:rsidRPr="00BE183D">
        <w:rPr>
          <w:rFonts w:ascii="Cambria" w:hAnsi="Cambria"/>
          <w:bCs/>
          <w:sz w:val="20"/>
          <w:szCs w:val="20"/>
          <w:lang w:val="es-US"/>
        </w:rPr>
        <w:t xml:space="preserve"> por 11 años</w:t>
      </w:r>
      <w:r w:rsidR="00BF0B6D" w:rsidRPr="00BE183D">
        <w:rPr>
          <w:rFonts w:ascii="Cambria" w:hAnsi="Cambria"/>
          <w:bCs/>
          <w:sz w:val="20"/>
          <w:szCs w:val="20"/>
          <w:lang w:val="es-US"/>
        </w:rPr>
        <w:t xml:space="preserve">. Además, si bien con el </w:t>
      </w:r>
      <w:r w:rsidR="00DC2F9A" w:rsidRPr="00BE183D">
        <w:rPr>
          <w:rFonts w:ascii="Cambria" w:hAnsi="Cambria"/>
          <w:bCs/>
          <w:sz w:val="20"/>
          <w:szCs w:val="20"/>
          <w:lang w:val="es-US"/>
        </w:rPr>
        <w:t>archivo</w:t>
      </w:r>
      <w:r w:rsidR="00BF0B6D" w:rsidRPr="00BE183D">
        <w:rPr>
          <w:rFonts w:ascii="Cambria" w:hAnsi="Cambria"/>
          <w:bCs/>
          <w:sz w:val="20"/>
          <w:szCs w:val="20"/>
          <w:lang w:val="es-US"/>
        </w:rPr>
        <w:t xml:space="preserve"> del caso se decidió </w:t>
      </w:r>
      <w:r w:rsidR="00DC2F9A" w:rsidRPr="00BE183D">
        <w:rPr>
          <w:rFonts w:ascii="Cambria" w:hAnsi="Cambria"/>
          <w:bCs/>
          <w:sz w:val="20"/>
          <w:szCs w:val="20"/>
          <w:lang w:val="es-US"/>
        </w:rPr>
        <w:t>solicit</w:t>
      </w:r>
      <w:r w:rsidR="00B047F2" w:rsidRPr="00BE183D">
        <w:rPr>
          <w:rFonts w:ascii="Cambria" w:hAnsi="Cambria"/>
          <w:bCs/>
          <w:sz w:val="20"/>
          <w:szCs w:val="20"/>
          <w:lang w:val="es-US"/>
        </w:rPr>
        <w:t>ar</w:t>
      </w:r>
      <w:r w:rsidR="00DC2F9A" w:rsidRPr="00BE183D">
        <w:rPr>
          <w:rFonts w:ascii="Cambria" w:hAnsi="Cambria"/>
          <w:bCs/>
          <w:sz w:val="20"/>
          <w:szCs w:val="20"/>
          <w:lang w:val="es-US"/>
        </w:rPr>
        <w:t xml:space="preserve"> a Brasil el proces</w:t>
      </w:r>
      <w:r w:rsidR="00E46317" w:rsidRPr="00BE183D">
        <w:rPr>
          <w:rFonts w:ascii="Cambria" w:hAnsi="Cambria"/>
          <w:bCs/>
          <w:sz w:val="20"/>
          <w:szCs w:val="20"/>
          <w:lang w:val="es-US"/>
        </w:rPr>
        <w:t xml:space="preserve">amiento y </w:t>
      </w:r>
      <w:r w:rsidR="00B047F2" w:rsidRPr="00BE183D">
        <w:rPr>
          <w:rFonts w:ascii="Cambria" w:hAnsi="Cambria"/>
          <w:bCs/>
          <w:sz w:val="20"/>
          <w:szCs w:val="20"/>
          <w:lang w:val="es-US"/>
        </w:rPr>
        <w:t xml:space="preserve">juzgamiento de los presuntos autores materiales </w:t>
      </w:r>
      <w:r w:rsidR="00C13B80" w:rsidRPr="00BE183D">
        <w:rPr>
          <w:rFonts w:ascii="Cambria" w:hAnsi="Cambria"/>
          <w:bCs/>
          <w:sz w:val="20"/>
          <w:szCs w:val="20"/>
          <w:lang w:val="es-US"/>
        </w:rPr>
        <w:t xml:space="preserve">ante la imposibilidad de la extradición, </w:t>
      </w:r>
      <w:r w:rsidR="00C93976" w:rsidRPr="00BE183D">
        <w:rPr>
          <w:rFonts w:ascii="Cambria" w:hAnsi="Cambria"/>
          <w:bCs/>
          <w:sz w:val="20"/>
          <w:szCs w:val="20"/>
          <w:lang w:val="es-US"/>
        </w:rPr>
        <w:t>la solicitud formal no fue enviada al Brasil hasta el 2006</w:t>
      </w:r>
      <w:r w:rsidR="000E6026" w:rsidRPr="00BE183D">
        <w:rPr>
          <w:rFonts w:ascii="Cambria" w:hAnsi="Cambria"/>
          <w:bCs/>
          <w:sz w:val="20"/>
          <w:szCs w:val="20"/>
          <w:lang w:val="es-US"/>
        </w:rPr>
        <w:t xml:space="preserve">. Esta fue devuelta en distintas ocasiones por falta de traducción al portugués y por el incumplimiento de </w:t>
      </w:r>
      <w:r w:rsidR="00703496" w:rsidRPr="00BE183D">
        <w:rPr>
          <w:rFonts w:ascii="Cambria" w:hAnsi="Cambria"/>
          <w:bCs/>
          <w:sz w:val="20"/>
          <w:szCs w:val="20"/>
          <w:lang w:val="es-US"/>
        </w:rPr>
        <w:t xml:space="preserve">otros requisitos. Fue nuevamente enviada en el 2014, pero devuelta por razones similares. </w:t>
      </w:r>
      <w:r w:rsidR="00EB4D73" w:rsidRPr="00BE183D">
        <w:rPr>
          <w:rFonts w:ascii="Cambria" w:hAnsi="Cambria"/>
          <w:sz w:val="20"/>
          <w:szCs w:val="20"/>
          <w:lang w:val="es-ES"/>
        </w:rPr>
        <w:t>Por lo anterior, y debido a que luego de 29 años de cometido el crimen</w:t>
      </w:r>
      <w:r w:rsidR="006E7677" w:rsidRPr="00BE183D">
        <w:rPr>
          <w:rFonts w:ascii="Cambria" w:hAnsi="Cambria"/>
          <w:sz w:val="20"/>
          <w:szCs w:val="20"/>
          <w:lang w:val="es-ES"/>
        </w:rPr>
        <w:t xml:space="preserve"> –</w:t>
      </w:r>
      <w:r w:rsidR="004727EA">
        <w:rPr>
          <w:rFonts w:ascii="Cambria" w:hAnsi="Cambria"/>
          <w:sz w:val="20"/>
          <w:szCs w:val="20"/>
          <w:lang w:val="es-ES"/>
        </w:rPr>
        <w:t xml:space="preserve">al menos </w:t>
      </w:r>
      <w:r w:rsidR="003E1900" w:rsidRPr="00BE183D">
        <w:rPr>
          <w:rFonts w:ascii="Cambria" w:hAnsi="Cambria"/>
          <w:sz w:val="20"/>
          <w:szCs w:val="20"/>
          <w:lang w:val="es-ES"/>
        </w:rPr>
        <w:t xml:space="preserve">15 años de estos </w:t>
      </w:r>
      <w:r w:rsidR="001941FD" w:rsidRPr="00BE183D">
        <w:rPr>
          <w:rFonts w:ascii="Cambria" w:hAnsi="Cambria"/>
          <w:sz w:val="20"/>
          <w:szCs w:val="20"/>
          <w:lang w:val="es-ES"/>
        </w:rPr>
        <w:t>son responsabilidad exclusiva de Paraguay–</w:t>
      </w:r>
      <w:r w:rsidR="00E83F0D" w:rsidRPr="00BE183D">
        <w:rPr>
          <w:rFonts w:ascii="Cambria" w:hAnsi="Cambria"/>
          <w:sz w:val="20"/>
          <w:szCs w:val="20"/>
          <w:lang w:val="es-ES"/>
        </w:rPr>
        <w:t xml:space="preserve"> </w:t>
      </w:r>
      <w:r w:rsidR="00EB4D73" w:rsidRPr="00BE183D">
        <w:rPr>
          <w:rFonts w:ascii="Cambria" w:hAnsi="Cambria"/>
          <w:sz w:val="20"/>
          <w:szCs w:val="20"/>
          <w:lang w:val="es-ES"/>
        </w:rPr>
        <w:t xml:space="preserve">el asesinato de Santiago Leguizamón </w:t>
      </w:r>
      <w:r w:rsidR="006E7677" w:rsidRPr="00BE183D">
        <w:rPr>
          <w:rFonts w:ascii="Cambria" w:hAnsi="Cambria"/>
          <w:sz w:val="20"/>
          <w:szCs w:val="20"/>
          <w:lang w:val="es-ES"/>
        </w:rPr>
        <w:t xml:space="preserve">aún </w:t>
      </w:r>
      <w:r w:rsidR="00EB4D73" w:rsidRPr="00BE183D">
        <w:rPr>
          <w:rFonts w:ascii="Cambria" w:hAnsi="Cambria"/>
          <w:sz w:val="20"/>
          <w:szCs w:val="20"/>
          <w:lang w:val="es-ES"/>
        </w:rPr>
        <w:t xml:space="preserve">se encuentra en total impunidad, </w:t>
      </w:r>
      <w:r w:rsidR="00BE529A" w:rsidRPr="00BE183D">
        <w:rPr>
          <w:rFonts w:ascii="Cambria" w:hAnsi="Cambria"/>
          <w:sz w:val="20"/>
          <w:szCs w:val="20"/>
          <w:lang w:val="es-ES"/>
        </w:rPr>
        <w:t xml:space="preserve">la </w:t>
      </w:r>
      <w:r w:rsidR="00726035" w:rsidRPr="00BE183D">
        <w:rPr>
          <w:rFonts w:ascii="Cambria" w:hAnsi="Cambria"/>
          <w:sz w:val="20"/>
          <w:szCs w:val="20"/>
          <w:lang w:val="es-ES"/>
        </w:rPr>
        <w:t>Comisión</w:t>
      </w:r>
      <w:r w:rsidR="00BE529A" w:rsidRPr="00BE183D">
        <w:rPr>
          <w:rFonts w:ascii="Cambria" w:hAnsi="Cambria"/>
          <w:sz w:val="20"/>
          <w:szCs w:val="20"/>
          <w:lang w:val="es-ES"/>
        </w:rPr>
        <w:t xml:space="preserve"> considera que el Estado incumplió </w:t>
      </w:r>
      <w:r w:rsidR="00342481" w:rsidRPr="00BE183D">
        <w:rPr>
          <w:rFonts w:ascii="Cambria" w:hAnsi="Cambria"/>
          <w:sz w:val="20"/>
          <w:szCs w:val="20"/>
          <w:lang w:val="es-ES"/>
        </w:rPr>
        <w:t xml:space="preserve">su obligación </w:t>
      </w:r>
      <w:r w:rsidR="00672A06" w:rsidRPr="00BE183D">
        <w:rPr>
          <w:rFonts w:ascii="Cambria" w:hAnsi="Cambria"/>
          <w:bCs/>
          <w:sz w:val="20"/>
          <w:szCs w:val="20"/>
          <w:lang w:val="es-US"/>
        </w:rPr>
        <w:t>respecto al plazo razonable</w:t>
      </w:r>
      <w:r w:rsidR="00726035" w:rsidRPr="00BE183D">
        <w:rPr>
          <w:rFonts w:ascii="Cambria" w:hAnsi="Cambria"/>
          <w:bCs/>
          <w:sz w:val="20"/>
          <w:szCs w:val="20"/>
          <w:lang w:val="es-US"/>
        </w:rPr>
        <w:t>.</w:t>
      </w:r>
    </w:p>
    <w:p w14:paraId="167FE45F" w14:textId="77777777" w:rsidR="00DF1163" w:rsidRPr="00BE183D" w:rsidRDefault="00DF1163" w:rsidP="00BE18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CO"/>
        </w:rPr>
      </w:pPr>
    </w:p>
    <w:p w14:paraId="110937CB" w14:textId="3EACF12D" w:rsidR="00DC0D2D" w:rsidRPr="00601762" w:rsidRDefault="00DF1163" w:rsidP="009313A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i/>
          <w:iCs/>
          <w:spacing w:val="-2"/>
          <w:sz w:val="20"/>
          <w:szCs w:val="20"/>
          <w:lang w:val="es-ES_tradnl"/>
        </w:rPr>
      </w:pPr>
      <w:r w:rsidRPr="00BE183D">
        <w:rPr>
          <w:rFonts w:ascii="Cambria" w:hAnsi="Cambria"/>
          <w:bCs/>
          <w:sz w:val="20"/>
          <w:szCs w:val="20"/>
          <w:lang w:val="es-CO"/>
        </w:rPr>
        <w:t xml:space="preserve">Por todo lo anterior, la CIDH concluye que el Estado </w:t>
      </w:r>
      <w:r w:rsidR="000E4434" w:rsidRPr="00BE183D">
        <w:rPr>
          <w:rFonts w:ascii="Cambria" w:hAnsi="Cambria"/>
          <w:bCs/>
          <w:sz w:val="20"/>
          <w:szCs w:val="20"/>
          <w:lang w:val="es-CO"/>
        </w:rPr>
        <w:t>violó</w:t>
      </w:r>
      <w:r w:rsidRPr="00BE183D">
        <w:rPr>
          <w:rFonts w:ascii="Cambria" w:hAnsi="Cambria"/>
          <w:bCs/>
          <w:sz w:val="20"/>
          <w:szCs w:val="20"/>
          <w:lang w:val="es-CO"/>
        </w:rPr>
        <w:t xml:space="preserve"> los derechos a las garantías judiciales y a la protección judicial establecidos en los artículos 8.1 y 25.1 de la Convención Americana, en relación con </w:t>
      </w:r>
      <w:r w:rsidR="00BC4289" w:rsidRPr="00BE183D">
        <w:rPr>
          <w:rFonts w:ascii="Cambria" w:hAnsi="Cambria"/>
          <w:bCs/>
          <w:sz w:val="20"/>
          <w:szCs w:val="20"/>
          <w:lang w:val="es-CO"/>
        </w:rPr>
        <w:t>el</w:t>
      </w:r>
      <w:r w:rsidRPr="00BE183D">
        <w:rPr>
          <w:rFonts w:ascii="Cambria" w:hAnsi="Cambria"/>
          <w:bCs/>
          <w:sz w:val="20"/>
          <w:szCs w:val="20"/>
          <w:lang w:val="es-CO"/>
        </w:rPr>
        <w:t xml:space="preserve"> artículo 1.1</w:t>
      </w:r>
      <w:r w:rsidR="00B929FB" w:rsidRPr="00BE183D">
        <w:rPr>
          <w:rFonts w:ascii="Cambria" w:hAnsi="Cambria"/>
          <w:bCs/>
          <w:sz w:val="20"/>
          <w:szCs w:val="20"/>
          <w:lang w:val="es-CO"/>
        </w:rPr>
        <w:t xml:space="preserve"> del mismo instrumento</w:t>
      </w:r>
      <w:r w:rsidRPr="00BE183D">
        <w:rPr>
          <w:rFonts w:ascii="Cambria" w:hAnsi="Cambria"/>
          <w:bCs/>
          <w:sz w:val="20"/>
          <w:szCs w:val="20"/>
          <w:lang w:val="es-CO"/>
        </w:rPr>
        <w:t>,</w:t>
      </w:r>
      <w:r w:rsidRPr="00BE183D">
        <w:rPr>
          <w:rFonts w:ascii="Cambria" w:hAnsi="Cambria"/>
          <w:sz w:val="20"/>
          <w:szCs w:val="20"/>
          <w:lang w:val="es-ES"/>
        </w:rPr>
        <w:t xml:space="preserve"> </w:t>
      </w:r>
      <w:r w:rsidRPr="00BE183D">
        <w:rPr>
          <w:rFonts w:ascii="Cambria" w:hAnsi="Cambria"/>
          <w:bCs/>
          <w:sz w:val="20"/>
          <w:szCs w:val="20"/>
          <w:lang w:val="es-CO"/>
        </w:rPr>
        <w:t xml:space="preserve">en perjuicio </w:t>
      </w:r>
      <w:r w:rsidR="00B929FB" w:rsidRPr="00BE183D">
        <w:rPr>
          <w:rFonts w:ascii="Cambria" w:hAnsi="Cambria"/>
          <w:bCs/>
          <w:sz w:val="20"/>
          <w:szCs w:val="20"/>
          <w:lang w:val="es-CO"/>
        </w:rPr>
        <w:t xml:space="preserve">de </w:t>
      </w:r>
      <w:r w:rsidR="00B929FB" w:rsidRPr="00BE183D">
        <w:rPr>
          <w:rFonts w:ascii="Cambria" w:hAnsi="Cambria"/>
          <w:sz w:val="20"/>
          <w:szCs w:val="20"/>
          <w:lang w:val="es-VE"/>
        </w:rPr>
        <w:t>Ana María Margarita Morra (</w:t>
      </w:r>
      <w:r w:rsidR="00B929FB" w:rsidRPr="00BE183D">
        <w:rPr>
          <w:rFonts w:ascii="Cambria" w:hAnsi="Cambria"/>
          <w:sz w:val="20"/>
          <w:szCs w:val="20"/>
          <w:lang w:val="es-CO"/>
        </w:rPr>
        <w:t>esposa de Santiago Leguizamón</w:t>
      </w:r>
      <w:r w:rsidR="00B929FB" w:rsidRPr="00BE183D">
        <w:rPr>
          <w:rFonts w:ascii="Cambria" w:hAnsi="Cambria"/>
          <w:sz w:val="20"/>
          <w:szCs w:val="20"/>
          <w:lang w:val="es-VE"/>
        </w:rPr>
        <w:t>) y de Raquel Leguizamón Morra, Dante Leguizamón Morra, Sebastián Leguizamón Morra y Fernando Leguizamón Morra (hija e hijos).</w:t>
      </w:r>
    </w:p>
    <w:p w14:paraId="0BAD17EE" w14:textId="77777777" w:rsidR="00546ED5" w:rsidRPr="00B705B1" w:rsidRDefault="00546ED5" w:rsidP="006017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iCs/>
          <w:spacing w:val="-2"/>
          <w:sz w:val="20"/>
          <w:szCs w:val="20"/>
          <w:lang w:val="es-ES_tradnl"/>
        </w:rPr>
      </w:pPr>
    </w:p>
    <w:p w14:paraId="132D273A" w14:textId="14875AEC" w:rsidR="00D90DC1" w:rsidRPr="00BE183D" w:rsidRDefault="00F15BDF" w:rsidP="00BE183D">
      <w:pPr>
        <w:pStyle w:val="Heading2"/>
        <w:numPr>
          <w:ilvl w:val="0"/>
          <w:numId w:val="54"/>
        </w:numPr>
        <w:spacing w:before="0" w:after="0"/>
        <w:ind w:left="0" w:firstLine="0"/>
        <w:jc w:val="both"/>
        <w:rPr>
          <w:lang w:val="es-ES"/>
        </w:rPr>
      </w:pPr>
      <w:bookmarkStart w:id="39" w:name="_Toc534905538"/>
      <w:bookmarkStart w:id="40" w:name="_Toc536024419"/>
      <w:bookmarkStart w:id="41" w:name="_Toc4417456"/>
      <w:bookmarkStart w:id="42" w:name="_Toc47965333"/>
      <w:bookmarkEnd w:id="37"/>
      <w:r w:rsidRPr="00BE183D">
        <w:t xml:space="preserve">Derecho </w:t>
      </w:r>
      <w:bookmarkEnd w:id="39"/>
      <w:bookmarkEnd w:id="40"/>
      <w:bookmarkEnd w:id="41"/>
      <w:r w:rsidR="00D90DC1" w:rsidRPr="00BE183D">
        <w:rPr>
          <w:lang w:val="es-ES"/>
        </w:rPr>
        <w:t>a la integridad personal (artículo 5.1</w:t>
      </w:r>
      <w:r w:rsidR="0060479B">
        <w:rPr>
          <w:lang w:val="es-ES"/>
        </w:rPr>
        <w:t>)</w:t>
      </w:r>
      <w:r w:rsidR="00D90DC1" w:rsidRPr="00BE183D">
        <w:rPr>
          <w:vertAlign w:val="superscript"/>
        </w:rPr>
        <w:footnoteReference w:id="139"/>
      </w:r>
      <w:r w:rsidR="00D90DC1" w:rsidRPr="00BE183D">
        <w:rPr>
          <w:lang w:val="es-ES"/>
        </w:rPr>
        <w:t xml:space="preserve"> </w:t>
      </w:r>
      <w:r w:rsidR="00D90DC1" w:rsidRPr="00BE183D">
        <w:rPr>
          <w:rFonts w:cs="Verdana"/>
          <w:lang w:val="es-CO"/>
        </w:rPr>
        <w:t>en relación con la obligación general de respetar derechos (artículo 1.1)</w:t>
      </w:r>
      <w:r w:rsidR="00D90DC1" w:rsidRPr="00BE183D">
        <w:rPr>
          <w:lang w:val="es-ES"/>
        </w:rPr>
        <w:t xml:space="preserve"> de la Convención Americana</w:t>
      </w:r>
      <w:r w:rsidR="00A15848" w:rsidRPr="00BE183D">
        <w:rPr>
          <w:lang w:val="es-ES"/>
        </w:rPr>
        <w:t xml:space="preserve"> en perjuicio de los familiares</w:t>
      </w:r>
      <w:bookmarkEnd w:id="42"/>
      <w:r w:rsidR="00A15848" w:rsidRPr="00BE183D">
        <w:rPr>
          <w:lang w:val="es-ES"/>
        </w:rPr>
        <w:t xml:space="preserve"> </w:t>
      </w:r>
    </w:p>
    <w:p w14:paraId="721D9726" w14:textId="77777777" w:rsidR="00BC4F34" w:rsidRPr="00BE183D" w:rsidRDefault="00BC4F34" w:rsidP="00BE183D">
      <w:pPr>
        <w:jc w:val="both"/>
        <w:rPr>
          <w:rFonts w:ascii="Cambria" w:hAnsi="Cambria"/>
          <w:sz w:val="20"/>
          <w:szCs w:val="20"/>
          <w:lang w:val="es-ES_tradnl"/>
        </w:rPr>
      </w:pPr>
    </w:p>
    <w:p w14:paraId="59CDFE12" w14:textId="093B57C7" w:rsidR="00D17192" w:rsidRPr="00BE183D" w:rsidRDefault="006C12CF"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US"/>
        </w:rPr>
      </w:pPr>
      <w:r w:rsidRPr="00BE183D">
        <w:rPr>
          <w:rFonts w:ascii="Cambria" w:hAnsi="Cambria"/>
          <w:sz w:val="20"/>
          <w:szCs w:val="20"/>
          <w:lang w:val="es-ES_tradnl"/>
        </w:rPr>
        <w:t xml:space="preserve">La </w:t>
      </w:r>
      <w:r w:rsidR="00D17192" w:rsidRPr="00BE183D">
        <w:rPr>
          <w:rFonts w:ascii="Cambria" w:hAnsi="Cambria"/>
          <w:sz w:val="20"/>
          <w:szCs w:val="20"/>
          <w:lang w:val="es-CO"/>
        </w:rPr>
        <w:t xml:space="preserve">Corte Interamericana ha indicado de manera reiterada que los familiares de las víctimas de ciertas violaciones de derechos </w:t>
      </w:r>
      <w:r w:rsidR="00D17192" w:rsidRPr="00BE183D">
        <w:rPr>
          <w:rFonts w:ascii="Cambria" w:hAnsi="Cambria"/>
          <w:sz w:val="20"/>
          <w:szCs w:val="20"/>
          <w:lang w:val="es-ES"/>
        </w:rPr>
        <w:t>humanos</w:t>
      </w:r>
      <w:r w:rsidR="00D17192" w:rsidRPr="00BE183D">
        <w:rPr>
          <w:rFonts w:ascii="Cambria" w:hAnsi="Cambria"/>
          <w:sz w:val="20"/>
          <w:szCs w:val="20"/>
          <w:lang w:val="es-CO"/>
        </w:rPr>
        <w:t xml:space="preserve"> pueden ser, a su vez, víctimas</w:t>
      </w:r>
      <w:r w:rsidR="00D17192" w:rsidRPr="00BE183D">
        <w:rPr>
          <w:rFonts w:ascii="Cambria" w:hAnsi="Cambria"/>
          <w:sz w:val="20"/>
          <w:szCs w:val="20"/>
          <w:vertAlign w:val="superscript"/>
        </w:rPr>
        <w:footnoteReference w:id="140"/>
      </w:r>
      <w:r w:rsidR="00D17192" w:rsidRPr="00BE183D">
        <w:rPr>
          <w:rFonts w:ascii="Cambria" w:hAnsi="Cambria"/>
          <w:sz w:val="20"/>
          <w:szCs w:val="20"/>
          <w:lang w:val="es-CO"/>
        </w:rPr>
        <w:t>. Específicamente, la Corte ha indicado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00D17192" w:rsidRPr="00BE183D">
        <w:rPr>
          <w:rFonts w:ascii="Cambria" w:hAnsi="Cambria"/>
          <w:sz w:val="20"/>
          <w:szCs w:val="20"/>
          <w:vertAlign w:val="superscript"/>
        </w:rPr>
        <w:footnoteReference w:id="141"/>
      </w:r>
      <w:r w:rsidR="00D17192" w:rsidRPr="00BE183D">
        <w:rPr>
          <w:rFonts w:ascii="Cambria" w:hAnsi="Cambria"/>
          <w:sz w:val="20"/>
          <w:szCs w:val="20"/>
          <w:lang w:val="es-CO"/>
        </w:rPr>
        <w:t xml:space="preserve">. Asimismo, la Corte Interamericana ha establecido que “[l]a obligación de investigar violaciones de derechos humanos se encuentra dentro de las medidas positivas que deben adoptar los Estados para garantizar los derechos reconocidos en la Convención. </w:t>
      </w:r>
      <w:r w:rsidR="00A673AD" w:rsidRPr="00BE183D">
        <w:rPr>
          <w:rFonts w:ascii="Cambria" w:hAnsi="Cambria"/>
          <w:sz w:val="20"/>
          <w:szCs w:val="20"/>
          <w:lang w:val="es-CO"/>
        </w:rPr>
        <w:t>L</w:t>
      </w:r>
      <w:r w:rsidR="00D17192" w:rsidRPr="00BE183D">
        <w:rPr>
          <w:rFonts w:ascii="Cambria" w:hAnsi="Cambria"/>
          <w:sz w:val="20"/>
          <w:szCs w:val="20"/>
          <w:lang w:val="es-CO"/>
        </w:rPr>
        <w:t xml:space="preserve">a Corte Interamericana </w:t>
      </w:r>
      <w:r w:rsidR="00D17192" w:rsidRPr="00BE183D">
        <w:rPr>
          <w:rFonts w:ascii="Cambria" w:hAnsi="Cambria"/>
          <w:sz w:val="20"/>
          <w:szCs w:val="20"/>
          <w:lang w:val="es-CO"/>
        </w:rPr>
        <w:lastRenderedPageBreak/>
        <w:t>ha establecido que la ausencia de recursos efectivos constituye una fuente de sufrimiento y angustia adicionales para los familiares de las víctimas</w:t>
      </w:r>
      <w:r w:rsidR="00B61BAA" w:rsidRPr="00BE183D">
        <w:rPr>
          <w:rStyle w:val="FootnoteReference"/>
          <w:rFonts w:ascii="Cambria" w:hAnsi="Cambria"/>
          <w:sz w:val="20"/>
          <w:szCs w:val="20"/>
        </w:rPr>
        <w:footnoteReference w:id="142"/>
      </w:r>
      <w:r w:rsidR="00D17192" w:rsidRPr="00BE183D">
        <w:rPr>
          <w:rFonts w:ascii="Cambria" w:hAnsi="Cambria"/>
          <w:sz w:val="20"/>
          <w:szCs w:val="20"/>
          <w:lang w:val="es-CO"/>
        </w:rPr>
        <w:t>.</w:t>
      </w:r>
    </w:p>
    <w:p w14:paraId="5AF04532" w14:textId="77777777" w:rsidR="00B61BAA" w:rsidRPr="00BE183D" w:rsidRDefault="00B61BAA" w:rsidP="00BE18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S"/>
        </w:rPr>
      </w:pPr>
    </w:p>
    <w:p w14:paraId="3F582D8E" w14:textId="47F7CAA0" w:rsidR="00E20A11" w:rsidRPr="00F55004" w:rsidRDefault="00F712FB" w:rsidP="00BE18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BE183D">
        <w:rPr>
          <w:rFonts w:ascii="Cambria" w:hAnsi="Cambria"/>
          <w:sz w:val="20"/>
          <w:szCs w:val="20"/>
          <w:lang w:val="es-CO"/>
        </w:rPr>
        <w:t xml:space="preserve">En </w:t>
      </w:r>
      <w:r w:rsidR="00223F92" w:rsidRPr="00BE183D">
        <w:rPr>
          <w:rFonts w:ascii="Cambria" w:hAnsi="Cambria"/>
          <w:sz w:val="20"/>
          <w:szCs w:val="20"/>
          <w:lang w:val="es-CO"/>
        </w:rPr>
        <w:t xml:space="preserve">cuanto a </w:t>
      </w:r>
      <w:r w:rsidR="00DB314A" w:rsidRPr="00BE183D">
        <w:rPr>
          <w:rFonts w:ascii="Cambria" w:hAnsi="Cambria"/>
          <w:sz w:val="20"/>
          <w:szCs w:val="20"/>
          <w:lang w:val="es-CO"/>
        </w:rPr>
        <w:t xml:space="preserve">la alegada </w:t>
      </w:r>
      <w:r w:rsidR="00223F92" w:rsidRPr="00BE183D">
        <w:rPr>
          <w:rFonts w:ascii="Cambria" w:hAnsi="Cambria"/>
          <w:sz w:val="20"/>
          <w:szCs w:val="20"/>
          <w:lang w:val="es-CO"/>
        </w:rPr>
        <w:t xml:space="preserve">violación del derecho a la integridad personal </w:t>
      </w:r>
      <w:r w:rsidR="006716A4" w:rsidRPr="00BE183D">
        <w:rPr>
          <w:rFonts w:ascii="Cambria" w:hAnsi="Cambria"/>
          <w:sz w:val="20"/>
          <w:szCs w:val="20"/>
          <w:lang w:val="es-CO"/>
        </w:rPr>
        <w:t xml:space="preserve">de </w:t>
      </w:r>
      <w:r w:rsidRPr="00BE183D">
        <w:rPr>
          <w:rFonts w:ascii="Cambria" w:hAnsi="Cambria"/>
          <w:sz w:val="20"/>
          <w:szCs w:val="20"/>
          <w:lang w:val="es-VE"/>
        </w:rPr>
        <w:t>Ana María Margarita Morra</w:t>
      </w:r>
      <w:r w:rsidR="006716A4" w:rsidRPr="00BE183D">
        <w:rPr>
          <w:rFonts w:ascii="Cambria" w:hAnsi="Cambria"/>
          <w:sz w:val="20"/>
          <w:szCs w:val="20"/>
          <w:lang w:val="es-VE"/>
        </w:rPr>
        <w:t xml:space="preserve"> (</w:t>
      </w:r>
      <w:r w:rsidR="006716A4" w:rsidRPr="00BE183D">
        <w:rPr>
          <w:rFonts w:ascii="Cambria" w:hAnsi="Cambria"/>
          <w:sz w:val="20"/>
          <w:szCs w:val="20"/>
          <w:lang w:val="es-CO"/>
        </w:rPr>
        <w:t>esposa de Santiago Leguizamón</w:t>
      </w:r>
      <w:r w:rsidR="00395FE8" w:rsidRPr="00BE183D">
        <w:rPr>
          <w:rFonts w:ascii="Cambria" w:hAnsi="Cambria"/>
          <w:sz w:val="20"/>
          <w:szCs w:val="20"/>
          <w:lang w:val="es-VE"/>
        </w:rPr>
        <w:t xml:space="preserve">) y de </w:t>
      </w:r>
      <w:r w:rsidRPr="00BE183D">
        <w:rPr>
          <w:rFonts w:ascii="Cambria" w:hAnsi="Cambria"/>
          <w:sz w:val="20"/>
          <w:szCs w:val="20"/>
          <w:lang w:val="es-VE"/>
        </w:rPr>
        <w:t>Raquel Leguizamón Morra, Dante Leguizamón Morra, Sebastián Leguizamón Morra y Fernando Leguizamón Morra</w:t>
      </w:r>
      <w:r w:rsidR="006716A4" w:rsidRPr="00BE183D">
        <w:rPr>
          <w:rFonts w:ascii="Cambria" w:hAnsi="Cambria"/>
          <w:sz w:val="20"/>
          <w:szCs w:val="20"/>
          <w:lang w:val="es-VE"/>
        </w:rPr>
        <w:t xml:space="preserve"> (hija e hijos</w:t>
      </w:r>
      <w:r w:rsidR="003705B7" w:rsidRPr="00BE183D">
        <w:rPr>
          <w:rFonts w:ascii="Cambria" w:hAnsi="Cambria"/>
          <w:sz w:val="20"/>
          <w:szCs w:val="20"/>
          <w:lang w:val="es-VE"/>
        </w:rPr>
        <w:t>)</w:t>
      </w:r>
      <w:r w:rsidR="00223F92" w:rsidRPr="00BE183D">
        <w:rPr>
          <w:rFonts w:ascii="Cambria" w:hAnsi="Cambria"/>
          <w:sz w:val="20"/>
          <w:szCs w:val="20"/>
          <w:lang w:val="es-CO"/>
        </w:rPr>
        <w:t>,</w:t>
      </w:r>
      <w:r w:rsidR="00DB314A" w:rsidRPr="00BE183D">
        <w:rPr>
          <w:rFonts w:ascii="Cambria" w:hAnsi="Cambria"/>
          <w:sz w:val="20"/>
          <w:szCs w:val="20"/>
          <w:lang w:val="es-CO"/>
        </w:rPr>
        <w:t xml:space="preserve"> </w:t>
      </w:r>
      <w:r w:rsidR="00F446E6" w:rsidRPr="00BE183D">
        <w:rPr>
          <w:rFonts w:ascii="Cambria" w:hAnsi="Cambria"/>
          <w:sz w:val="20"/>
          <w:szCs w:val="20"/>
          <w:lang w:val="es-CO"/>
        </w:rPr>
        <w:t>por las amenazas</w:t>
      </w:r>
      <w:r w:rsidR="00D3248A" w:rsidRPr="00BE183D">
        <w:rPr>
          <w:rFonts w:ascii="Cambria" w:hAnsi="Cambria"/>
          <w:sz w:val="20"/>
          <w:szCs w:val="20"/>
          <w:lang w:val="es-CO"/>
        </w:rPr>
        <w:t xml:space="preserve"> y</w:t>
      </w:r>
      <w:r w:rsidR="00433C0A" w:rsidRPr="00BE183D">
        <w:rPr>
          <w:rFonts w:ascii="Cambria" w:hAnsi="Cambria"/>
          <w:sz w:val="20"/>
          <w:szCs w:val="20"/>
          <w:lang w:val="es-CO"/>
        </w:rPr>
        <w:t xml:space="preserve"> </w:t>
      </w:r>
      <w:r w:rsidR="00F446E6" w:rsidRPr="00BE183D">
        <w:rPr>
          <w:rFonts w:ascii="Cambria" w:hAnsi="Cambria"/>
          <w:sz w:val="20"/>
          <w:szCs w:val="20"/>
          <w:lang w:val="es-CO"/>
        </w:rPr>
        <w:t xml:space="preserve">actos de hostigamiento en </w:t>
      </w:r>
      <w:r w:rsidR="00433C0A" w:rsidRPr="00BE183D">
        <w:rPr>
          <w:rFonts w:ascii="Cambria" w:hAnsi="Cambria"/>
          <w:sz w:val="20"/>
          <w:szCs w:val="20"/>
          <w:lang w:val="es-CO"/>
        </w:rPr>
        <w:t xml:space="preserve">su </w:t>
      </w:r>
      <w:r w:rsidR="00F446E6" w:rsidRPr="00BE183D">
        <w:rPr>
          <w:rFonts w:ascii="Cambria" w:hAnsi="Cambria"/>
          <w:sz w:val="20"/>
          <w:szCs w:val="20"/>
          <w:lang w:val="es-CO"/>
        </w:rPr>
        <w:t>contra</w:t>
      </w:r>
      <w:r w:rsidR="00433C0A" w:rsidRPr="00BE183D">
        <w:rPr>
          <w:rFonts w:ascii="Cambria" w:hAnsi="Cambria"/>
          <w:sz w:val="20"/>
          <w:szCs w:val="20"/>
          <w:lang w:val="es-CO"/>
        </w:rPr>
        <w:t xml:space="preserve"> </w:t>
      </w:r>
      <w:r w:rsidR="00D3248A" w:rsidRPr="00BE183D">
        <w:rPr>
          <w:rFonts w:ascii="Cambria" w:hAnsi="Cambria"/>
          <w:sz w:val="20"/>
          <w:szCs w:val="20"/>
          <w:lang w:val="es-CO"/>
        </w:rPr>
        <w:t xml:space="preserve">con </w:t>
      </w:r>
      <w:r w:rsidR="00135F83" w:rsidRPr="00BE183D">
        <w:rPr>
          <w:rFonts w:ascii="Cambria" w:hAnsi="Cambria"/>
          <w:sz w:val="20"/>
          <w:szCs w:val="20"/>
          <w:lang w:val="es-CO"/>
        </w:rPr>
        <w:t>posterioridad</w:t>
      </w:r>
      <w:r w:rsidR="00D3248A" w:rsidRPr="00BE183D">
        <w:rPr>
          <w:rFonts w:ascii="Cambria" w:hAnsi="Cambria"/>
          <w:sz w:val="20"/>
          <w:szCs w:val="20"/>
          <w:lang w:val="es-CO"/>
        </w:rPr>
        <w:t xml:space="preserve"> a la muerte de</w:t>
      </w:r>
      <w:r w:rsidR="00135F83" w:rsidRPr="00BE183D">
        <w:rPr>
          <w:rFonts w:ascii="Cambria" w:hAnsi="Cambria"/>
          <w:sz w:val="20"/>
          <w:szCs w:val="20"/>
          <w:lang w:val="es-CO"/>
        </w:rPr>
        <w:t xml:space="preserve">l periodista, </w:t>
      </w:r>
      <w:r w:rsidR="00433C0A" w:rsidRPr="00BE183D">
        <w:rPr>
          <w:rFonts w:ascii="Cambria" w:hAnsi="Cambria"/>
          <w:sz w:val="20"/>
          <w:szCs w:val="20"/>
          <w:lang w:val="es-CO"/>
        </w:rPr>
        <w:t>y falta de investigación de los mismos,</w:t>
      </w:r>
      <w:r w:rsidR="00DB314A" w:rsidRPr="00BE183D">
        <w:rPr>
          <w:rFonts w:ascii="Cambria" w:hAnsi="Cambria"/>
          <w:sz w:val="20"/>
          <w:szCs w:val="20"/>
          <w:lang w:val="es-CO"/>
        </w:rPr>
        <w:t xml:space="preserve"> </w:t>
      </w:r>
      <w:r w:rsidR="00223F92" w:rsidRPr="00BE183D">
        <w:rPr>
          <w:rFonts w:ascii="Cambria" w:hAnsi="Cambria"/>
          <w:sz w:val="20"/>
          <w:szCs w:val="20"/>
          <w:lang w:val="es-CO"/>
        </w:rPr>
        <w:t>la Comisión observa que,</w:t>
      </w:r>
      <w:r w:rsidR="00724FFB" w:rsidRPr="00BE183D">
        <w:rPr>
          <w:rFonts w:ascii="Cambria" w:hAnsi="Cambria"/>
          <w:sz w:val="20"/>
          <w:szCs w:val="20"/>
          <w:lang w:val="es-CO"/>
        </w:rPr>
        <w:t xml:space="preserve"> si bien la parte peticionaria </w:t>
      </w:r>
      <w:r w:rsidR="002D392D" w:rsidRPr="00BE183D">
        <w:rPr>
          <w:rFonts w:ascii="Cambria" w:hAnsi="Cambria"/>
          <w:sz w:val="20"/>
          <w:szCs w:val="20"/>
          <w:lang w:val="es-CO"/>
        </w:rPr>
        <w:t xml:space="preserve">alegó la existencia de una serie de amenazas en contra de la familia del periodista y la </w:t>
      </w:r>
      <w:r w:rsidR="00984C30" w:rsidRPr="00BE183D">
        <w:rPr>
          <w:rFonts w:ascii="Cambria" w:hAnsi="Cambria"/>
          <w:sz w:val="20"/>
          <w:szCs w:val="20"/>
          <w:lang w:val="es-CO"/>
        </w:rPr>
        <w:t>asignación de custodia policial por algunos meses</w:t>
      </w:r>
      <w:r w:rsidR="002D392D" w:rsidRPr="00BE183D">
        <w:rPr>
          <w:rFonts w:ascii="Cambria" w:hAnsi="Cambria"/>
          <w:sz w:val="20"/>
          <w:szCs w:val="20"/>
          <w:lang w:val="es-CO"/>
        </w:rPr>
        <w:t>,</w:t>
      </w:r>
      <w:r w:rsidR="00984C30" w:rsidRPr="00BE183D">
        <w:rPr>
          <w:rFonts w:ascii="Cambria" w:hAnsi="Cambria"/>
          <w:sz w:val="20"/>
          <w:szCs w:val="20"/>
          <w:lang w:val="es-CO"/>
        </w:rPr>
        <w:t xml:space="preserve"> </w:t>
      </w:r>
      <w:r w:rsidR="00D179D7" w:rsidRPr="00BE183D">
        <w:rPr>
          <w:rFonts w:ascii="Cambria" w:hAnsi="Cambria"/>
          <w:sz w:val="20"/>
          <w:szCs w:val="20"/>
          <w:lang w:val="es-CO"/>
        </w:rPr>
        <w:t xml:space="preserve">no </w:t>
      </w:r>
      <w:r w:rsidR="00D93B5F" w:rsidRPr="00BE183D">
        <w:rPr>
          <w:rFonts w:ascii="Cambria" w:hAnsi="Cambria"/>
          <w:sz w:val="20"/>
          <w:szCs w:val="20"/>
          <w:lang w:val="es-CO"/>
        </w:rPr>
        <w:t xml:space="preserve">puede determinarse si las mismas provinieron de agentes estatales o de </w:t>
      </w:r>
      <w:r w:rsidR="00A02172" w:rsidRPr="00BE183D">
        <w:rPr>
          <w:rFonts w:ascii="Cambria" w:hAnsi="Cambria"/>
          <w:sz w:val="20"/>
          <w:szCs w:val="20"/>
          <w:lang w:val="es-CO"/>
        </w:rPr>
        <w:t>particulares. L</w:t>
      </w:r>
      <w:r w:rsidR="00984C30" w:rsidRPr="00BE183D">
        <w:rPr>
          <w:rFonts w:ascii="Cambria" w:hAnsi="Cambria"/>
          <w:sz w:val="20"/>
          <w:szCs w:val="20"/>
          <w:lang w:val="es-CO"/>
        </w:rPr>
        <w:t xml:space="preserve">a Comisión </w:t>
      </w:r>
      <w:r w:rsidR="00A02172" w:rsidRPr="00BE183D">
        <w:rPr>
          <w:rFonts w:ascii="Cambria" w:hAnsi="Cambria"/>
          <w:sz w:val="20"/>
          <w:szCs w:val="20"/>
          <w:lang w:val="es-CO"/>
        </w:rPr>
        <w:t>tampoco</w:t>
      </w:r>
      <w:r w:rsidR="00984C30" w:rsidRPr="00BE183D">
        <w:rPr>
          <w:rFonts w:ascii="Cambria" w:hAnsi="Cambria"/>
          <w:sz w:val="20"/>
          <w:szCs w:val="20"/>
          <w:lang w:val="es-CO"/>
        </w:rPr>
        <w:t xml:space="preserve"> cuenta con sustento probatorio derivado </w:t>
      </w:r>
      <w:r w:rsidR="002D392D" w:rsidRPr="00BE183D">
        <w:rPr>
          <w:rFonts w:ascii="Cambria" w:hAnsi="Cambria"/>
          <w:sz w:val="20"/>
          <w:szCs w:val="20"/>
          <w:lang w:val="es-CO"/>
        </w:rPr>
        <w:t xml:space="preserve">del </w:t>
      </w:r>
      <w:r w:rsidR="00984C30" w:rsidRPr="00BE183D">
        <w:rPr>
          <w:rFonts w:ascii="Cambria" w:hAnsi="Cambria"/>
          <w:sz w:val="20"/>
          <w:szCs w:val="20"/>
          <w:lang w:val="es-CO"/>
        </w:rPr>
        <w:t>expediente ante ella que permita concluir</w:t>
      </w:r>
      <w:r w:rsidR="00E8461C" w:rsidRPr="00BE183D">
        <w:rPr>
          <w:rFonts w:ascii="Cambria" w:hAnsi="Cambria"/>
          <w:sz w:val="20"/>
          <w:szCs w:val="20"/>
          <w:lang w:val="es-CO"/>
        </w:rPr>
        <w:t xml:space="preserve"> que las amenazas </w:t>
      </w:r>
      <w:r w:rsidR="00590726" w:rsidRPr="00BE183D">
        <w:rPr>
          <w:rFonts w:ascii="Cambria" w:hAnsi="Cambria"/>
          <w:sz w:val="20"/>
          <w:szCs w:val="20"/>
          <w:lang w:val="es-CO"/>
        </w:rPr>
        <w:t>fueron</w:t>
      </w:r>
      <w:r w:rsidR="00984C30" w:rsidRPr="00BE183D">
        <w:rPr>
          <w:rFonts w:ascii="Cambria" w:hAnsi="Cambria"/>
          <w:sz w:val="20"/>
          <w:szCs w:val="20"/>
          <w:lang w:val="es-CO"/>
        </w:rPr>
        <w:t xml:space="preserve"> </w:t>
      </w:r>
      <w:r w:rsidR="00FE60A3" w:rsidRPr="00BE183D">
        <w:rPr>
          <w:rFonts w:ascii="Cambria" w:hAnsi="Cambria"/>
          <w:sz w:val="20"/>
          <w:szCs w:val="20"/>
          <w:lang w:val="es-CO"/>
        </w:rPr>
        <w:t>puestas</w:t>
      </w:r>
      <w:r w:rsidR="001B71D3" w:rsidRPr="00BE183D">
        <w:rPr>
          <w:rFonts w:ascii="Cambria" w:hAnsi="Cambria"/>
          <w:sz w:val="20"/>
          <w:szCs w:val="20"/>
          <w:lang w:val="es-CO"/>
        </w:rPr>
        <w:t xml:space="preserve"> en conocimiento del</w:t>
      </w:r>
      <w:r w:rsidR="001B71D3">
        <w:rPr>
          <w:rFonts w:ascii="Cambria" w:hAnsi="Cambria"/>
          <w:sz w:val="20"/>
          <w:szCs w:val="20"/>
          <w:lang w:val="es-CO"/>
        </w:rPr>
        <w:t xml:space="preserve"> Estado</w:t>
      </w:r>
      <w:r w:rsidR="000C7C3D">
        <w:rPr>
          <w:rFonts w:ascii="Cambria" w:hAnsi="Cambria"/>
          <w:sz w:val="20"/>
          <w:szCs w:val="20"/>
          <w:lang w:val="es-CO"/>
        </w:rPr>
        <w:t xml:space="preserve">, </w:t>
      </w:r>
      <w:r w:rsidR="001B71D3">
        <w:rPr>
          <w:rFonts w:ascii="Cambria" w:hAnsi="Cambria"/>
          <w:sz w:val="20"/>
          <w:szCs w:val="20"/>
          <w:lang w:val="es-CO"/>
        </w:rPr>
        <w:t>a efectos de</w:t>
      </w:r>
      <w:r w:rsidR="000722AD">
        <w:rPr>
          <w:rFonts w:ascii="Cambria" w:hAnsi="Cambria"/>
          <w:sz w:val="20"/>
          <w:szCs w:val="20"/>
          <w:lang w:val="es-CO"/>
        </w:rPr>
        <w:t xml:space="preserve"> </w:t>
      </w:r>
      <w:r w:rsidR="00FB64AA">
        <w:rPr>
          <w:rFonts w:ascii="Cambria" w:hAnsi="Cambria"/>
          <w:sz w:val="20"/>
          <w:szCs w:val="20"/>
          <w:lang w:val="es-CO"/>
        </w:rPr>
        <w:t xml:space="preserve">activar su deber de prevención con el fin de </w:t>
      </w:r>
      <w:r w:rsidR="000722AD">
        <w:rPr>
          <w:rFonts w:ascii="Cambria" w:hAnsi="Cambria"/>
          <w:sz w:val="20"/>
          <w:szCs w:val="20"/>
          <w:lang w:val="es-CO"/>
        </w:rPr>
        <w:t xml:space="preserve">que </w:t>
      </w:r>
      <w:r w:rsidR="000C7C3D">
        <w:rPr>
          <w:rFonts w:ascii="Cambria" w:hAnsi="Cambria"/>
          <w:sz w:val="20"/>
          <w:szCs w:val="20"/>
          <w:lang w:val="es-CO"/>
        </w:rPr>
        <w:t>este</w:t>
      </w:r>
      <w:r w:rsidR="001B71D3">
        <w:rPr>
          <w:rFonts w:ascii="Cambria" w:hAnsi="Cambria"/>
          <w:sz w:val="20"/>
          <w:szCs w:val="20"/>
          <w:lang w:val="es-CO"/>
        </w:rPr>
        <w:t xml:space="preserve"> adopt</w:t>
      </w:r>
      <w:r w:rsidR="00277242">
        <w:rPr>
          <w:rFonts w:ascii="Cambria" w:hAnsi="Cambria"/>
          <w:sz w:val="20"/>
          <w:szCs w:val="20"/>
          <w:lang w:val="es-CO"/>
        </w:rPr>
        <w:t>ara</w:t>
      </w:r>
      <w:r w:rsidR="001B71D3">
        <w:rPr>
          <w:rFonts w:ascii="Cambria" w:hAnsi="Cambria"/>
          <w:sz w:val="20"/>
          <w:szCs w:val="20"/>
          <w:lang w:val="es-CO"/>
        </w:rPr>
        <w:t xml:space="preserve"> las medidas de protección respectivas</w:t>
      </w:r>
      <w:r w:rsidR="000722AD">
        <w:rPr>
          <w:rFonts w:ascii="Cambria" w:hAnsi="Cambria"/>
          <w:sz w:val="20"/>
          <w:szCs w:val="20"/>
          <w:lang w:val="es-CO"/>
        </w:rPr>
        <w:t xml:space="preserve"> </w:t>
      </w:r>
      <w:r w:rsidR="003871FE">
        <w:rPr>
          <w:rFonts w:ascii="Cambria" w:hAnsi="Cambria"/>
          <w:sz w:val="20"/>
          <w:szCs w:val="20"/>
          <w:lang w:val="es-CO"/>
        </w:rPr>
        <w:t xml:space="preserve">y se </w:t>
      </w:r>
      <w:r w:rsidR="000722AD">
        <w:rPr>
          <w:rFonts w:ascii="Cambria" w:hAnsi="Cambria"/>
          <w:sz w:val="20"/>
          <w:szCs w:val="20"/>
          <w:lang w:val="es-CO"/>
        </w:rPr>
        <w:t>inici</w:t>
      </w:r>
      <w:r w:rsidR="003871FE">
        <w:rPr>
          <w:rFonts w:ascii="Cambria" w:hAnsi="Cambria"/>
          <w:sz w:val="20"/>
          <w:szCs w:val="20"/>
          <w:lang w:val="es-CO"/>
        </w:rPr>
        <w:t>aran</w:t>
      </w:r>
      <w:r w:rsidR="000722AD">
        <w:rPr>
          <w:rFonts w:ascii="Cambria" w:hAnsi="Cambria"/>
          <w:sz w:val="20"/>
          <w:szCs w:val="20"/>
          <w:lang w:val="es-CO"/>
        </w:rPr>
        <w:t xml:space="preserve"> </w:t>
      </w:r>
      <w:r w:rsidR="001B71D3">
        <w:rPr>
          <w:rFonts w:ascii="Cambria" w:hAnsi="Cambria"/>
          <w:sz w:val="20"/>
          <w:szCs w:val="20"/>
          <w:lang w:val="es-CO"/>
        </w:rPr>
        <w:t xml:space="preserve">las investigaciones correspondientes. Ante ello, la CIDH no </w:t>
      </w:r>
      <w:r w:rsidR="00343A4A">
        <w:rPr>
          <w:rFonts w:ascii="Cambria" w:hAnsi="Cambria"/>
          <w:sz w:val="20"/>
          <w:szCs w:val="20"/>
          <w:lang w:val="es-CO"/>
        </w:rPr>
        <w:t>cuenta con elementos suficientes para</w:t>
      </w:r>
      <w:r w:rsidR="001B71D3">
        <w:rPr>
          <w:rFonts w:ascii="Cambria" w:hAnsi="Cambria"/>
          <w:sz w:val="20"/>
          <w:szCs w:val="20"/>
          <w:lang w:val="es-CO"/>
        </w:rPr>
        <w:t xml:space="preserve"> concluir que </w:t>
      </w:r>
      <w:r w:rsidR="00E20A11">
        <w:rPr>
          <w:rFonts w:ascii="Cambria" w:hAnsi="Cambria"/>
          <w:sz w:val="20"/>
          <w:szCs w:val="20"/>
          <w:lang w:val="es-CO"/>
        </w:rPr>
        <w:t xml:space="preserve">el Estado es responsable </w:t>
      </w:r>
      <w:r w:rsidR="001064CD">
        <w:rPr>
          <w:rFonts w:ascii="Cambria" w:hAnsi="Cambria"/>
          <w:sz w:val="20"/>
          <w:szCs w:val="20"/>
          <w:lang w:val="es-CO"/>
        </w:rPr>
        <w:t>por la violación del derecho a la integridad personal de los familiares en cuanto a este extremo.</w:t>
      </w:r>
    </w:p>
    <w:p w14:paraId="609A4080" w14:textId="77777777" w:rsidR="001064CD" w:rsidRPr="001064CD" w:rsidRDefault="001064CD" w:rsidP="00106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66F2744" w14:textId="1FA8EE3D" w:rsidR="00AA297C" w:rsidRPr="000D7953" w:rsidRDefault="002D392D" w:rsidP="00AA297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Pr>
          <w:rFonts w:ascii="Cambria" w:hAnsi="Cambria"/>
          <w:sz w:val="20"/>
          <w:szCs w:val="20"/>
          <w:lang w:val="es-CO"/>
        </w:rPr>
        <w:t xml:space="preserve"> </w:t>
      </w:r>
      <w:r w:rsidR="00FE1344">
        <w:rPr>
          <w:rFonts w:ascii="Cambria" w:hAnsi="Cambria"/>
          <w:sz w:val="20"/>
          <w:szCs w:val="20"/>
          <w:lang w:val="es-CO"/>
        </w:rPr>
        <w:t>Sin embargo,</w:t>
      </w:r>
      <w:r w:rsidR="00223F92" w:rsidRPr="003705B7">
        <w:rPr>
          <w:rFonts w:ascii="Cambria" w:hAnsi="Cambria"/>
          <w:sz w:val="20"/>
          <w:szCs w:val="20"/>
          <w:lang w:val="es-CO"/>
        </w:rPr>
        <w:t xml:space="preserve"> tal como ha sido expuesto, el Estado es responsable por </w:t>
      </w:r>
      <w:r w:rsidR="00645B3F">
        <w:rPr>
          <w:rFonts w:ascii="Cambria" w:hAnsi="Cambria"/>
          <w:sz w:val="20"/>
          <w:szCs w:val="20"/>
          <w:lang w:val="es-CO"/>
        </w:rPr>
        <w:t xml:space="preserve">la muerte </w:t>
      </w:r>
      <w:r w:rsidR="00DF409A">
        <w:rPr>
          <w:rFonts w:ascii="Cambria" w:hAnsi="Cambria"/>
          <w:sz w:val="20"/>
          <w:szCs w:val="20"/>
          <w:lang w:val="es-CO"/>
        </w:rPr>
        <w:t xml:space="preserve">del periodista </w:t>
      </w:r>
      <w:r w:rsidR="00D1608C">
        <w:rPr>
          <w:rFonts w:ascii="Cambria" w:hAnsi="Cambria"/>
          <w:sz w:val="20"/>
          <w:szCs w:val="20"/>
          <w:lang w:val="es-CO"/>
        </w:rPr>
        <w:t xml:space="preserve">al haber incumplido con su deber de </w:t>
      </w:r>
      <w:r w:rsidR="00343A4A">
        <w:rPr>
          <w:rFonts w:ascii="Cambria" w:hAnsi="Cambria"/>
          <w:sz w:val="20"/>
          <w:szCs w:val="20"/>
          <w:lang w:val="es-CO"/>
        </w:rPr>
        <w:t xml:space="preserve">protección y de </w:t>
      </w:r>
      <w:r w:rsidR="00D1608C">
        <w:rPr>
          <w:rFonts w:ascii="Cambria" w:hAnsi="Cambria"/>
          <w:sz w:val="20"/>
          <w:szCs w:val="20"/>
          <w:lang w:val="es-CO"/>
        </w:rPr>
        <w:t xml:space="preserve">prevención, </w:t>
      </w:r>
      <w:r w:rsidR="00343A4A">
        <w:rPr>
          <w:rFonts w:ascii="Cambria" w:hAnsi="Cambria"/>
          <w:sz w:val="20"/>
          <w:szCs w:val="20"/>
          <w:lang w:val="es-CO"/>
        </w:rPr>
        <w:t xml:space="preserve">y por no haber garantizado </w:t>
      </w:r>
      <w:r w:rsidR="00DF409A">
        <w:rPr>
          <w:rFonts w:ascii="Cambria" w:hAnsi="Cambria"/>
          <w:sz w:val="20"/>
          <w:szCs w:val="20"/>
          <w:lang w:val="es-CO"/>
        </w:rPr>
        <w:t>su derecho a la libertad de expresió</w:t>
      </w:r>
      <w:r w:rsidR="00D65A03">
        <w:rPr>
          <w:rFonts w:ascii="Cambria" w:hAnsi="Cambria"/>
          <w:sz w:val="20"/>
          <w:szCs w:val="20"/>
          <w:lang w:val="es-CO"/>
        </w:rPr>
        <w:t>n</w:t>
      </w:r>
      <w:r w:rsidR="009C1A75">
        <w:rPr>
          <w:rFonts w:ascii="Cambria" w:hAnsi="Cambria"/>
          <w:sz w:val="20"/>
          <w:szCs w:val="20"/>
          <w:lang w:val="es-CO"/>
        </w:rPr>
        <w:t>.</w:t>
      </w:r>
      <w:r w:rsidR="00343A4A">
        <w:rPr>
          <w:rFonts w:ascii="Cambria" w:hAnsi="Cambria"/>
          <w:sz w:val="20"/>
          <w:szCs w:val="20"/>
          <w:lang w:val="es-CO"/>
        </w:rPr>
        <w:t xml:space="preserve"> E</w:t>
      </w:r>
      <w:r w:rsidR="009C1A75">
        <w:rPr>
          <w:rFonts w:ascii="Cambria" w:hAnsi="Cambria"/>
          <w:sz w:val="20"/>
          <w:szCs w:val="20"/>
          <w:lang w:val="es-CO"/>
        </w:rPr>
        <w:t>l Estado tampoco investigó</w:t>
      </w:r>
      <w:r w:rsidR="00DF409A">
        <w:rPr>
          <w:rFonts w:ascii="Cambria" w:hAnsi="Cambria"/>
          <w:sz w:val="20"/>
          <w:szCs w:val="20"/>
          <w:lang w:val="es-CO"/>
        </w:rPr>
        <w:t xml:space="preserve"> </w:t>
      </w:r>
      <w:r w:rsidR="00223F92" w:rsidRPr="003705B7">
        <w:rPr>
          <w:rFonts w:ascii="Cambria" w:hAnsi="Cambria"/>
          <w:sz w:val="20"/>
          <w:szCs w:val="20"/>
          <w:lang w:val="es-CO"/>
        </w:rPr>
        <w:t xml:space="preserve">con la debida diligencia </w:t>
      </w:r>
      <w:r w:rsidR="003705B7">
        <w:rPr>
          <w:rFonts w:ascii="Cambria" w:hAnsi="Cambria"/>
          <w:sz w:val="20"/>
          <w:szCs w:val="20"/>
          <w:lang w:val="es-CO"/>
        </w:rPr>
        <w:t xml:space="preserve">y dentro de un plazo razonable </w:t>
      </w:r>
      <w:r w:rsidR="00223F92" w:rsidRPr="003705B7">
        <w:rPr>
          <w:rFonts w:ascii="Cambria" w:hAnsi="Cambria"/>
          <w:sz w:val="20"/>
          <w:szCs w:val="20"/>
          <w:lang w:val="es-CO"/>
        </w:rPr>
        <w:t>la</w:t>
      </w:r>
      <w:r w:rsidR="004446C2">
        <w:rPr>
          <w:rFonts w:ascii="Cambria" w:hAnsi="Cambria"/>
          <w:sz w:val="20"/>
          <w:szCs w:val="20"/>
          <w:lang w:val="es-CO"/>
        </w:rPr>
        <w:t xml:space="preserve"> muerte</w:t>
      </w:r>
      <w:r w:rsidR="00DE01DB">
        <w:rPr>
          <w:rFonts w:ascii="Cambria" w:hAnsi="Cambria"/>
          <w:sz w:val="20"/>
          <w:szCs w:val="20"/>
          <w:lang w:val="es-CO"/>
        </w:rPr>
        <w:t xml:space="preserve"> violenta</w:t>
      </w:r>
      <w:r w:rsidR="004446C2">
        <w:rPr>
          <w:rFonts w:ascii="Cambria" w:hAnsi="Cambria"/>
          <w:sz w:val="20"/>
          <w:szCs w:val="20"/>
          <w:lang w:val="es-CO"/>
        </w:rPr>
        <w:t xml:space="preserve"> del periodi</w:t>
      </w:r>
      <w:r w:rsidR="00223F92" w:rsidRPr="003705B7">
        <w:rPr>
          <w:rFonts w:ascii="Cambria" w:hAnsi="Cambria"/>
          <w:sz w:val="20"/>
          <w:szCs w:val="20"/>
          <w:lang w:val="es-CO"/>
        </w:rPr>
        <w:t>s</w:t>
      </w:r>
      <w:r w:rsidR="004446C2">
        <w:rPr>
          <w:rFonts w:ascii="Cambria" w:hAnsi="Cambria"/>
          <w:sz w:val="20"/>
          <w:szCs w:val="20"/>
          <w:lang w:val="es-CO"/>
        </w:rPr>
        <w:t xml:space="preserve">ta. </w:t>
      </w:r>
      <w:r w:rsidR="004446C2" w:rsidRPr="003705B7">
        <w:rPr>
          <w:rFonts w:ascii="Cambria" w:hAnsi="Cambria"/>
          <w:sz w:val="20"/>
          <w:szCs w:val="20"/>
          <w:lang w:val="es-CO"/>
        </w:rPr>
        <w:t xml:space="preserve">Al respecto, </w:t>
      </w:r>
      <w:r w:rsidR="00DE01DB">
        <w:rPr>
          <w:rFonts w:ascii="Cambria" w:hAnsi="Cambria"/>
          <w:sz w:val="20"/>
          <w:szCs w:val="20"/>
          <w:lang w:val="es-CO"/>
        </w:rPr>
        <w:t xml:space="preserve">la Comisión </w:t>
      </w:r>
      <w:r w:rsidR="004446C2" w:rsidRPr="003705B7">
        <w:rPr>
          <w:rFonts w:ascii="Cambria" w:hAnsi="Cambria"/>
          <w:sz w:val="20"/>
          <w:szCs w:val="20"/>
          <w:lang w:val="es-CO"/>
        </w:rPr>
        <w:t>estima que la</w:t>
      </w:r>
      <w:r w:rsidR="00DE01DB">
        <w:rPr>
          <w:rFonts w:ascii="Cambria" w:hAnsi="Cambria"/>
          <w:sz w:val="20"/>
          <w:szCs w:val="20"/>
          <w:lang w:val="es-CO"/>
        </w:rPr>
        <w:t xml:space="preserve"> form</w:t>
      </w:r>
      <w:r w:rsidR="000D54BE">
        <w:rPr>
          <w:rFonts w:ascii="Cambria" w:hAnsi="Cambria"/>
          <w:sz w:val="20"/>
          <w:szCs w:val="20"/>
          <w:lang w:val="es-CO"/>
        </w:rPr>
        <w:t xml:space="preserve">a y las circunstancias </w:t>
      </w:r>
      <w:r w:rsidR="0059356A">
        <w:rPr>
          <w:rFonts w:ascii="Cambria" w:hAnsi="Cambria"/>
          <w:sz w:val="20"/>
          <w:szCs w:val="20"/>
          <w:lang w:val="es-CO"/>
        </w:rPr>
        <w:t>en las que ocurrió e</w:t>
      </w:r>
      <w:r w:rsidR="00343A4A">
        <w:rPr>
          <w:rFonts w:ascii="Cambria" w:hAnsi="Cambria"/>
          <w:sz w:val="20"/>
          <w:szCs w:val="20"/>
          <w:lang w:val="es-CO"/>
        </w:rPr>
        <w:t>l asesinato</w:t>
      </w:r>
      <w:r w:rsidR="0059356A">
        <w:rPr>
          <w:rFonts w:ascii="Cambria" w:hAnsi="Cambria"/>
          <w:sz w:val="20"/>
          <w:szCs w:val="20"/>
          <w:lang w:val="es-CO"/>
        </w:rPr>
        <w:t xml:space="preserve"> de</w:t>
      </w:r>
      <w:r w:rsidR="000D54BE">
        <w:rPr>
          <w:rFonts w:ascii="Cambria" w:hAnsi="Cambria"/>
          <w:sz w:val="20"/>
          <w:szCs w:val="20"/>
          <w:lang w:val="es-CO"/>
        </w:rPr>
        <w:t xml:space="preserve"> Santiago Leguizamón, así como la </w:t>
      </w:r>
      <w:r w:rsidR="004446C2" w:rsidRPr="003705B7">
        <w:rPr>
          <w:rFonts w:ascii="Cambria" w:hAnsi="Cambria"/>
          <w:sz w:val="20"/>
          <w:szCs w:val="20"/>
          <w:lang w:val="es-CO"/>
        </w:rPr>
        <w:t>ausencia de una investigación diligente</w:t>
      </w:r>
      <w:r w:rsidR="0072457F">
        <w:rPr>
          <w:rFonts w:ascii="Cambria" w:hAnsi="Cambria"/>
          <w:sz w:val="20"/>
          <w:szCs w:val="20"/>
          <w:lang w:val="es-CO"/>
        </w:rPr>
        <w:t>,</w:t>
      </w:r>
      <w:r w:rsidR="004446C2" w:rsidRPr="003705B7">
        <w:rPr>
          <w:rFonts w:ascii="Cambria" w:hAnsi="Cambria"/>
          <w:sz w:val="20"/>
          <w:szCs w:val="20"/>
          <w:lang w:val="es-CO"/>
        </w:rPr>
        <w:t xml:space="preserve"> ha</w:t>
      </w:r>
      <w:r w:rsidR="00343A4A">
        <w:rPr>
          <w:rFonts w:ascii="Cambria" w:hAnsi="Cambria"/>
          <w:sz w:val="20"/>
          <w:szCs w:val="20"/>
          <w:lang w:val="es-CO"/>
        </w:rPr>
        <w:t>n</w:t>
      </w:r>
      <w:r w:rsidR="004446C2" w:rsidRPr="003705B7">
        <w:rPr>
          <w:rFonts w:ascii="Cambria" w:hAnsi="Cambria"/>
          <w:sz w:val="20"/>
          <w:szCs w:val="20"/>
          <w:lang w:val="es-CO"/>
        </w:rPr>
        <w:t xml:space="preserve"> afectado la integridad psíquica y moral de</w:t>
      </w:r>
      <w:r w:rsidR="000D54BE">
        <w:rPr>
          <w:rFonts w:ascii="Cambria" w:hAnsi="Cambria"/>
          <w:sz w:val="20"/>
          <w:szCs w:val="20"/>
          <w:lang w:val="es-CO"/>
        </w:rPr>
        <w:t xml:space="preserve"> sus familiares</w:t>
      </w:r>
      <w:r w:rsidR="00343A4A">
        <w:rPr>
          <w:rFonts w:ascii="Cambria" w:hAnsi="Cambria"/>
          <w:sz w:val="20"/>
          <w:szCs w:val="20"/>
          <w:lang w:val="es-CO"/>
        </w:rPr>
        <w:t>.</w:t>
      </w:r>
      <w:r w:rsidR="00012F6E">
        <w:rPr>
          <w:rFonts w:ascii="Cambria" w:hAnsi="Cambria"/>
          <w:sz w:val="20"/>
          <w:szCs w:val="20"/>
          <w:lang w:val="es-CO"/>
        </w:rPr>
        <w:t xml:space="preserve"> </w:t>
      </w:r>
      <w:r w:rsidR="00343A4A">
        <w:rPr>
          <w:rFonts w:ascii="Cambria" w:hAnsi="Cambria"/>
          <w:sz w:val="20"/>
          <w:szCs w:val="20"/>
          <w:lang w:val="es-CO"/>
        </w:rPr>
        <w:t>A</w:t>
      </w:r>
      <w:r w:rsidR="004446C2" w:rsidRPr="003705B7">
        <w:rPr>
          <w:rFonts w:ascii="Cambria" w:hAnsi="Cambria"/>
          <w:sz w:val="20"/>
          <w:szCs w:val="20"/>
          <w:lang w:val="es-CO"/>
        </w:rPr>
        <w:t>demás</w:t>
      </w:r>
      <w:r w:rsidR="00343A4A">
        <w:rPr>
          <w:rFonts w:ascii="Cambria" w:hAnsi="Cambria"/>
          <w:sz w:val="20"/>
          <w:szCs w:val="20"/>
          <w:lang w:val="es-CO"/>
        </w:rPr>
        <w:t>,</w:t>
      </w:r>
      <w:r w:rsidR="004446C2" w:rsidRPr="003705B7">
        <w:rPr>
          <w:rFonts w:ascii="Cambria" w:hAnsi="Cambria"/>
          <w:sz w:val="20"/>
          <w:szCs w:val="20"/>
          <w:lang w:val="es-CO"/>
        </w:rPr>
        <w:t xml:space="preserve"> </w:t>
      </w:r>
      <w:r w:rsidR="00343A4A" w:rsidRPr="003705B7">
        <w:rPr>
          <w:rFonts w:ascii="Cambria" w:hAnsi="Cambria"/>
          <w:sz w:val="20"/>
          <w:szCs w:val="20"/>
          <w:lang w:val="es-CO"/>
        </w:rPr>
        <w:t xml:space="preserve">el retardo </w:t>
      </w:r>
      <w:r w:rsidR="00343A4A" w:rsidRPr="00420DFB">
        <w:rPr>
          <w:rFonts w:ascii="Cambria" w:hAnsi="Cambria"/>
          <w:sz w:val="20"/>
          <w:szCs w:val="20"/>
          <w:lang w:val="es-CO"/>
        </w:rPr>
        <w:t xml:space="preserve">de más 29 años </w:t>
      </w:r>
      <w:r w:rsidR="00343A4A" w:rsidRPr="003705B7">
        <w:rPr>
          <w:rFonts w:ascii="Cambria" w:hAnsi="Cambria"/>
          <w:sz w:val="20"/>
          <w:szCs w:val="20"/>
          <w:lang w:val="es-CO"/>
        </w:rPr>
        <w:t>en la obtención de justicia</w:t>
      </w:r>
      <w:r w:rsidR="00343A4A">
        <w:rPr>
          <w:rFonts w:ascii="Cambria" w:hAnsi="Cambria"/>
          <w:sz w:val="20"/>
          <w:szCs w:val="20"/>
          <w:lang w:val="es-CO"/>
        </w:rPr>
        <w:t xml:space="preserve"> y la impunidad imperante en el caso ha causado </w:t>
      </w:r>
      <w:r w:rsidR="004446C2" w:rsidRPr="003705B7">
        <w:rPr>
          <w:rFonts w:ascii="Cambria" w:hAnsi="Cambria"/>
          <w:sz w:val="20"/>
          <w:szCs w:val="20"/>
          <w:lang w:val="es-CO"/>
        </w:rPr>
        <w:t>sufrimiento</w:t>
      </w:r>
      <w:r w:rsidR="00F41858">
        <w:rPr>
          <w:rFonts w:ascii="Cambria" w:hAnsi="Cambria"/>
          <w:sz w:val="20"/>
          <w:szCs w:val="20"/>
          <w:lang w:val="es-CO"/>
        </w:rPr>
        <w:t>,</w:t>
      </w:r>
      <w:r w:rsidR="004446C2" w:rsidRPr="003705B7">
        <w:rPr>
          <w:rFonts w:ascii="Cambria" w:hAnsi="Cambria"/>
          <w:sz w:val="20"/>
          <w:szCs w:val="20"/>
          <w:lang w:val="es-CO"/>
        </w:rPr>
        <w:t xml:space="preserve"> angustia</w:t>
      </w:r>
      <w:r w:rsidR="00F41858">
        <w:rPr>
          <w:rFonts w:ascii="Cambria" w:hAnsi="Cambria"/>
          <w:sz w:val="20"/>
          <w:szCs w:val="20"/>
          <w:lang w:val="es-CO"/>
        </w:rPr>
        <w:t xml:space="preserve"> e impotencia</w:t>
      </w:r>
      <w:r w:rsidR="004446C2" w:rsidRPr="003705B7">
        <w:rPr>
          <w:rFonts w:ascii="Cambria" w:hAnsi="Cambria"/>
          <w:sz w:val="20"/>
          <w:szCs w:val="20"/>
          <w:lang w:val="es-CO"/>
        </w:rPr>
        <w:t xml:space="preserve"> </w:t>
      </w:r>
      <w:r w:rsidR="00343A4A">
        <w:rPr>
          <w:rFonts w:ascii="Cambria" w:hAnsi="Cambria"/>
          <w:sz w:val="20"/>
          <w:szCs w:val="20"/>
          <w:lang w:val="es-CO"/>
        </w:rPr>
        <w:t>en sus familiares</w:t>
      </w:r>
      <w:r w:rsidR="004446C2" w:rsidRPr="003705B7">
        <w:rPr>
          <w:rFonts w:ascii="Cambria" w:hAnsi="Cambria"/>
          <w:sz w:val="20"/>
          <w:szCs w:val="20"/>
          <w:lang w:val="es-CO"/>
        </w:rPr>
        <w:t xml:space="preserve">. </w:t>
      </w:r>
      <w:r w:rsidR="009301CE">
        <w:rPr>
          <w:rFonts w:ascii="Cambria" w:hAnsi="Cambria"/>
          <w:sz w:val="20"/>
          <w:szCs w:val="20"/>
          <w:lang w:val="es-CO"/>
        </w:rPr>
        <w:t xml:space="preserve">La Comisión </w:t>
      </w:r>
      <w:r w:rsidR="00546ED5">
        <w:rPr>
          <w:rFonts w:ascii="Cambria" w:hAnsi="Cambria"/>
          <w:sz w:val="20"/>
          <w:szCs w:val="20"/>
          <w:lang w:val="es-CO"/>
        </w:rPr>
        <w:t>considera,</w:t>
      </w:r>
      <w:r w:rsidR="009301CE">
        <w:rPr>
          <w:rFonts w:ascii="Cambria" w:hAnsi="Cambria"/>
          <w:sz w:val="20"/>
          <w:szCs w:val="20"/>
          <w:lang w:val="es-CO"/>
        </w:rPr>
        <w:t xml:space="preserve"> además</w:t>
      </w:r>
      <w:r w:rsidR="00BE3980">
        <w:rPr>
          <w:rFonts w:ascii="Cambria" w:hAnsi="Cambria"/>
          <w:sz w:val="20"/>
          <w:szCs w:val="20"/>
          <w:lang w:val="es-CO"/>
        </w:rPr>
        <w:t>,</w:t>
      </w:r>
      <w:r w:rsidR="009301CE">
        <w:rPr>
          <w:rFonts w:ascii="Cambria" w:hAnsi="Cambria"/>
          <w:sz w:val="20"/>
          <w:szCs w:val="20"/>
          <w:lang w:val="es-CO"/>
        </w:rPr>
        <w:t xml:space="preserve"> que la muerte del </w:t>
      </w:r>
      <w:r w:rsidR="00DB0BE3">
        <w:rPr>
          <w:rFonts w:ascii="Cambria" w:hAnsi="Cambria"/>
          <w:sz w:val="20"/>
          <w:szCs w:val="20"/>
          <w:lang w:val="es-CO"/>
        </w:rPr>
        <w:t>periodista</w:t>
      </w:r>
      <w:r w:rsidR="009301CE">
        <w:rPr>
          <w:rFonts w:ascii="Cambria" w:hAnsi="Cambria"/>
          <w:sz w:val="20"/>
          <w:szCs w:val="20"/>
          <w:lang w:val="es-CO"/>
        </w:rPr>
        <w:t xml:space="preserve"> generó una serie de </w:t>
      </w:r>
      <w:r w:rsidR="002B7E6C">
        <w:rPr>
          <w:rFonts w:ascii="Cambria" w:hAnsi="Cambria"/>
          <w:sz w:val="20"/>
          <w:szCs w:val="20"/>
          <w:lang w:val="es-CO"/>
        </w:rPr>
        <w:t xml:space="preserve">afectaciones en la familia, al haber sido aquel </w:t>
      </w:r>
      <w:r w:rsidR="00DB0BE3">
        <w:rPr>
          <w:rFonts w:ascii="Cambria" w:hAnsi="Cambria"/>
          <w:sz w:val="20"/>
          <w:szCs w:val="20"/>
          <w:lang w:val="es-CO"/>
        </w:rPr>
        <w:t>el principal sustento económico del hogar.</w:t>
      </w:r>
      <w:r w:rsidR="0073624C">
        <w:rPr>
          <w:rFonts w:ascii="Cambria" w:hAnsi="Cambria"/>
          <w:sz w:val="20"/>
          <w:szCs w:val="20"/>
          <w:lang w:val="es-CO"/>
        </w:rPr>
        <w:t xml:space="preserve"> La ausencia de recursos económicos suficientes para cubrir la educación de los hijos de Ana </w:t>
      </w:r>
      <w:r w:rsidR="00906FEB">
        <w:rPr>
          <w:rFonts w:ascii="Cambria" w:hAnsi="Cambria"/>
          <w:sz w:val="20"/>
          <w:szCs w:val="20"/>
          <w:lang w:val="es-CO"/>
        </w:rPr>
        <w:t>Morra, así como</w:t>
      </w:r>
      <w:r w:rsidR="00434A12">
        <w:rPr>
          <w:rFonts w:ascii="Cambria" w:hAnsi="Cambria"/>
          <w:sz w:val="20"/>
          <w:szCs w:val="20"/>
          <w:lang w:val="es-CO"/>
        </w:rPr>
        <w:t xml:space="preserve"> necesidad de </w:t>
      </w:r>
      <w:r w:rsidR="00551986">
        <w:rPr>
          <w:rFonts w:ascii="Cambria" w:hAnsi="Cambria"/>
          <w:sz w:val="20"/>
          <w:szCs w:val="20"/>
          <w:lang w:val="es-CO"/>
        </w:rPr>
        <w:t>vender la radio y obtener empleos diversos para generar suficientes ingreso</w:t>
      </w:r>
      <w:r w:rsidR="00AA297C">
        <w:rPr>
          <w:rFonts w:ascii="Cambria" w:hAnsi="Cambria"/>
          <w:sz w:val="20"/>
          <w:szCs w:val="20"/>
          <w:lang w:val="es-CO"/>
        </w:rPr>
        <w:t>s</w:t>
      </w:r>
      <w:r w:rsidR="00551986">
        <w:rPr>
          <w:rFonts w:ascii="Cambria" w:hAnsi="Cambria"/>
          <w:sz w:val="20"/>
          <w:szCs w:val="20"/>
          <w:lang w:val="es-CO"/>
        </w:rPr>
        <w:t xml:space="preserve">, causó en los familiares de Santiago Leguizamón sentimientos adicionales de frustración </w:t>
      </w:r>
      <w:r w:rsidR="00AA297C">
        <w:rPr>
          <w:rFonts w:ascii="Cambria" w:hAnsi="Cambria"/>
          <w:sz w:val="20"/>
          <w:szCs w:val="20"/>
          <w:lang w:val="es-CO"/>
        </w:rPr>
        <w:t>y sufrimiento.</w:t>
      </w:r>
    </w:p>
    <w:p w14:paraId="50586FF3" w14:textId="77777777" w:rsidR="008F7755" w:rsidRPr="00420DFB" w:rsidRDefault="008F7755" w:rsidP="000D79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8FF7C83" w14:textId="7027F2B3" w:rsidR="004446C2" w:rsidRPr="00AA297C" w:rsidRDefault="00AA297C" w:rsidP="00AA297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Pr>
          <w:rFonts w:ascii="Cambria" w:hAnsi="Cambria"/>
          <w:sz w:val="20"/>
          <w:szCs w:val="20"/>
          <w:lang w:val="es-CO"/>
        </w:rPr>
        <w:t>Por lo anterior,</w:t>
      </w:r>
      <w:r>
        <w:rPr>
          <w:rFonts w:ascii="Cambria" w:hAnsi="Cambria"/>
          <w:sz w:val="20"/>
          <w:szCs w:val="20"/>
          <w:lang w:val="es-ES"/>
        </w:rPr>
        <w:t xml:space="preserve"> l</w:t>
      </w:r>
      <w:r w:rsidR="004446C2" w:rsidRPr="00AA297C">
        <w:rPr>
          <w:rFonts w:ascii="Cambria" w:hAnsi="Cambria"/>
          <w:sz w:val="20"/>
          <w:szCs w:val="20"/>
          <w:lang w:val="es-CO"/>
        </w:rPr>
        <w:t xml:space="preserve">a CIDH concluye que el Estado violó </w:t>
      </w:r>
      <w:r w:rsidR="00703E55">
        <w:rPr>
          <w:rFonts w:ascii="Cambria" w:hAnsi="Cambria"/>
          <w:sz w:val="20"/>
          <w:szCs w:val="20"/>
          <w:lang w:val="es-CO"/>
        </w:rPr>
        <w:t xml:space="preserve">el </w:t>
      </w:r>
      <w:r w:rsidR="004446C2" w:rsidRPr="00AA297C">
        <w:rPr>
          <w:rFonts w:ascii="Cambria" w:hAnsi="Cambria"/>
          <w:sz w:val="20"/>
          <w:szCs w:val="20"/>
          <w:lang w:val="es-CO"/>
        </w:rPr>
        <w:t>derecho</w:t>
      </w:r>
      <w:r w:rsidR="00703E55">
        <w:rPr>
          <w:rFonts w:ascii="Cambria" w:hAnsi="Cambria"/>
          <w:sz w:val="20"/>
          <w:szCs w:val="20"/>
          <w:lang w:val="es-CO"/>
        </w:rPr>
        <w:t xml:space="preserve"> </w:t>
      </w:r>
      <w:r w:rsidR="004446C2" w:rsidRPr="00AA297C">
        <w:rPr>
          <w:rFonts w:ascii="Cambria" w:hAnsi="Cambria"/>
          <w:sz w:val="20"/>
          <w:szCs w:val="20"/>
          <w:lang w:val="es-CO"/>
        </w:rPr>
        <w:t>consagrado en el artículo 5.1 de la Convención, en relación con el artículo 1.1 de la misma, en perjuicio de</w:t>
      </w:r>
      <w:r w:rsidR="00703E55">
        <w:rPr>
          <w:rFonts w:ascii="Cambria" w:hAnsi="Cambria"/>
          <w:sz w:val="20"/>
          <w:szCs w:val="20"/>
          <w:lang w:val="es-CO"/>
        </w:rPr>
        <w:t xml:space="preserve"> </w:t>
      </w:r>
      <w:r w:rsidR="00703E55" w:rsidRPr="007A0D4C">
        <w:rPr>
          <w:rFonts w:ascii="Cambria" w:hAnsi="Cambria"/>
          <w:sz w:val="20"/>
          <w:szCs w:val="20"/>
          <w:lang w:val="es-VE"/>
        </w:rPr>
        <w:t>Ana María Margarita Morra</w:t>
      </w:r>
      <w:r w:rsidR="00703E55">
        <w:rPr>
          <w:rFonts w:ascii="Cambria" w:hAnsi="Cambria"/>
          <w:sz w:val="20"/>
          <w:szCs w:val="20"/>
          <w:lang w:val="es-VE"/>
        </w:rPr>
        <w:t xml:space="preserve"> (</w:t>
      </w:r>
      <w:r w:rsidR="00703E55">
        <w:rPr>
          <w:rFonts w:ascii="Cambria" w:hAnsi="Cambria"/>
          <w:sz w:val="20"/>
          <w:szCs w:val="20"/>
          <w:lang w:val="es-CO"/>
        </w:rPr>
        <w:t>esposa de Santiago Leguizamón</w:t>
      </w:r>
      <w:r w:rsidR="00703E55">
        <w:rPr>
          <w:rFonts w:ascii="Cambria" w:hAnsi="Cambria"/>
          <w:sz w:val="20"/>
          <w:szCs w:val="20"/>
          <w:lang w:val="es-VE"/>
        </w:rPr>
        <w:t xml:space="preserve">) y de </w:t>
      </w:r>
      <w:r w:rsidR="00703E55" w:rsidRPr="007A0D4C">
        <w:rPr>
          <w:rFonts w:ascii="Cambria" w:hAnsi="Cambria"/>
          <w:sz w:val="20"/>
          <w:szCs w:val="20"/>
          <w:lang w:val="es-VE"/>
        </w:rPr>
        <w:t>Raquel Leguizamón Morra, Dante Leguizamón Morra, Sebastián Leguizamón Morra y Fernando Leguizamón Morra</w:t>
      </w:r>
      <w:r w:rsidR="00703E55">
        <w:rPr>
          <w:rFonts w:ascii="Cambria" w:hAnsi="Cambria"/>
          <w:sz w:val="20"/>
          <w:szCs w:val="20"/>
          <w:lang w:val="es-VE"/>
        </w:rPr>
        <w:t xml:space="preserve"> (hija e hijos).</w:t>
      </w:r>
    </w:p>
    <w:p w14:paraId="01F20D35" w14:textId="77777777" w:rsidR="004F3357" w:rsidRPr="008965C4" w:rsidRDefault="004F3357" w:rsidP="008965C4">
      <w:pPr>
        <w:pStyle w:val="NoSpacing"/>
        <w:spacing w:before="0" w:after="0"/>
        <w:ind w:firstLine="0"/>
        <w:rPr>
          <w:szCs w:val="20"/>
          <w:lang w:val="es-VE"/>
        </w:rPr>
      </w:pPr>
    </w:p>
    <w:p w14:paraId="45116347" w14:textId="3A67B604" w:rsidR="00E464AC" w:rsidRPr="009B49A7" w:rsidRDefault="00E464AC" w:rsidP="009B49A7">
      <w:pPr>
        <w:pStyle w:val="Heading1"/>
        <w:rPr>
          <w:lang w:val="es-CO"/>
        </w:rPr>
      </w:pPr>
      <w:bookmarkStart w:id="43" w:name="_Toc534905542"/>
      <w:bookmarkStart w:id="44" w:name="_Toc4417464"/>
      <w:bookmarkStart w:id="45" w:name="_Toc47965334"/>
      <w:r w:rsidRPr="009B49A7">
        <w:rPr>
          <w:lang w:val="es-CO"/>
        </w:rPr>
        <w:t>CONCLUSIONES</w:t>
      </w:r>
      <w:bookmarkEnd w:id="43"/>
      <w:bookmarkEnd w:id="44"/>
      <w:bookmarkEnd w:id="45"/>
    </w:p>
    <w:p w14:paraId="37BE9079" w14:textId="77777777" w:rsidR="004F3357" w:rsidRPr="009B49A7" w:rsidRDefault="004F3357" w:rsidP="009B49A7">
      <w:pPr>
        <w:jc w:val="both"/>
        <w:rPr>
          <w:rFonts w:ascii="Cambria" w:hAnsi="Cambria"/>
          <w:sz w:val="20"/>
          <w:szCs w:val="20"/>
          <w:lang w:val="es-CO"/>
        </w:rPr>
      </w:pPr>
    </w:p>
    <w:p w14:paraId="27A9143B" w14:textId="2FEAB4F2" w:rsidR="0024056B" w:rsidRPr="009B49A7" w:rsidRDefault="00E464AC"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r w:rsidRPr="009B49A7">
        <w:rPr>
          <w:rFonts w:ascii="Cambria" w:hAnsi="Cambria"/>
          <w:sz w:val="20"/>
          <w:szCs w:val="20"/>
          <w:lang w:val="es-VE"/>
        </w:rPr>
        <w:t>Con</w:t>
      </w:r>
      <w:r w:rsidRPr="009B49A7">
        <w:rPr>
          <w:rFonts w:ascii="Cambria" w:hAnsi="Cambria"/>
          <w:sz w:val="20"/>
          <w:szCs w:val="20"/>
          <w:lang w:val="es-CL"/>
        </w:rPr>
        <w:t xml:space="preserve"> base en las consideraciones de hecho y de derecho contenidas en el presente informe, l</w:t>
      </w:r>
      <w:r w:rsidRPr="009B49A7">
        <w:rPr>
          <w:rFonts w:ascii="Cambria" w:hAnsi="Cambria"/>
          <w:sz w:val="20"/>
          <w:szCs w:val="20"/>
          <w:lang w:val="es-ES"/>
        </w:rPr>
        <w:t xml:space="preserve">a CIDH concluye que el Estado </w:t>
      </w:r>
      <w:r w:rsidR="006420F8">
        <w:rPr>
          <w:rFonts w:ascii="Cambria" w:hAnsi="Cambria"/>
          <w:sz w:val="20"/>
          <w:szCs w:val="20"/>
          <w:lang w:val="es-ES"/>
        </w:rPr>
        <w:t>p</w:t>
      </w:r>
      <w:r w:rsidR="003C7E44" w:rsidRPr="009B49A7">
        <w:rPr>
          <w:rFonts w:ascii="Cambria" w:hAnsi="Cambria"/>
          <w:sz w:val="20"/>
          <w:szCs w:val="20"/>
          <w:lang w:val="es-ES"/>
        </w:rPr>
        <w:t>araguay</w:t>
      </w:r>
      <w:r w:rsidR="006420F8">
        <w:rPr>
          <w:rFonts w:ascii="Cambria" w:hAnsi="Cambria"/>
          <w:sz w:val="20"/>
          <w:szCs w:val="20"/>
          <w:lang w:val="es-ES"/>
        </w:rPr>
        <w:t>o</w:t>
      </w:r>
      <w:r w:rsidR="003C7E44" w:rsidRPr="009B49A7">
        <w:rPr>
          <w:rFonts w:ascii="Cambria" w:hAnsi="Cambria"/>
          <w:sz w:val="20"/>
          <w:szCs w:val="20"/>
          <w:lang w:val="es-ES"/>
        </w:rPr>
        <w:t xml:space="preserve"> </w:t>
      </w:r>
      <w:r w:rsidR="0024056B" w:rsidRPr="009B49A7">
        <w:rPr>
          <w:rFonts w:ascii="Cambria" w:hAnsi="Cambria"/>
          <w:sz w:val="20"/>
          <w:szCs w:val="20"/>
          <w:lang w:val="es-ES"/>
        </w:rPr>
        <w:t>violó</w:t>
      </w:r>
      <w:r w:rsidR="005B1415" w:rsidRPr="009B49A7">
        <w:rPr>
          <w:rFonts w:ascii="Cambria" w:hAnsi="Cambria"/>
          <w:sz w:val="20"/>
          <w:szCs w:val="20"/>
          <w:lang w:val="es-ES"/>
        </w:rPr>
        <w:t xml:space="preserve"> </w:t>
      </w:r>
      <w:r w:rsidR="005B1415" w:rsidRPr="009B49A7">
        <w:rPr>
          <w:rFonts w:ascii="Cambria" w:hAnsi="Cambria" w:cs="Arial"/>
          <w:bCs/>
          <w:sz w:val="20"/>
          <w:szCs w:val="20"/>
          <w:lang w:val="es-CO"/>
        </w:rPr>
        <w:t xml:space="preserve">los derechos reconocidos en los artículos </w:t>
      </w:r>
      <w:r w:rsidR="00806344">
        <w:rPr>
          <w:rFonts w:ascii="Cambria" w:hAnsi="Cambria" w:cs="Arial"/>
          <w:bCs/>
          <w:sz w:val="20"/>
          <w:szCs w:val="20"/>
          <w:lang w:val="es-CO"/>
        </w:rPr>
        <w:t xml:space="preserve">4 (vida) </w:t>
      </w:r>
      <w:r w:rsidR="00405609">
        <w:rPr>
          <w:rFonts w:ascii="Cambria" w:hAnsi="Cambria" w:cs="Arial"/>
          <w:bCs/>
          <w:sz w:val="20"/>
          <w:szCs w:val="20"/>
          <w:lang w:val="es-CO"/>
        </w:rPr>
        <w:t xml:space="preserve">y </w:t>
      </w:r>
      <w:r w:rsidR="005B1415" w:rsidRPr="009B49A7">
        <w:rPr>
          <w:rFonts w:ascii="Cambria" w:hAnsi="Cambria" w:cs="Arial"/>
          <w:bCs/>
          <w:sz w:val="20"/>
          <w:szCs w:val="20"/>
          <w:lang w:val="es-CO"/>
        </w:rPr>
        <w:t>13 (libertad de pensamiento y expresión)</w:t>
      </w:r>
      <w:r w:rsidR="00F7726B" w:rsidRPr="009B49A7">
        <w:rPr>
          <w:rFonts w:ascii="Cambria" w:hAnsi="Cambria" w:cs="Arial"/>
          <w:bCs/>
          <w:sz w:val="20"/>
          <w:szCs w:val="20"/>
          <w:lang w:val="es-CO"/>
        </w:rPr>
        <w:t xml:space="preserve"> en relación con</w:t>
      </w:r>
      <w:r w:rsidR="005B1415" w:rsidRPr="009B49A7">
        <w:rPr>
          <w:rFonts w:ascii="Cambria" w:hAnsi="Cambria" w:cs="Arial"/>
          <w:bCs/>
          <w:sz w:val="20"/>
          <w:szCs w:val="20"/>
          <w:lang w:val="es-CO"/>
        </w:rPr>
        <w:t xml:space="preserve"> </w:t>
      </w:r>
      <w:r w:rsidR="00D662B4" w:rsidRPr="009B49A7">
        <w:rPr>
          <w:rFonts w:ascii="Cambria" w:hAnsi="Cambria" w:cs="Arial"/>
          <w:bCs/>
          <w:sz w:val="20"/>
          <w:szCs w:val="20"/>
          <w:lang w:val="es-CO"/>
        </w:rPr>
        <w:t>los artículos 1.1 (obligación de respetar los derechos)</w:t>
      </w:r>
      <w:r w:rsidR="00405609">
        <w:rPr>
          <w:rFonts w:ascii="Cambria" w:hAnsi="Cambria" w:cs="Arial"/>
          <w:bCs/>
          <w:sz w:val="20"/>
          <w:szCs w:val="20"/>
          <w:lang w:val="es-CO"/>
        </w:rPr>
        <w:t xml:space="preserve"> </w:t>
      </w:r>
      <w:r w:rsidR="00405609" w:rsidRPr="009B49A7">
        <w:rPr>
          <w:rFonts w:ascii="Cambria" w:hAnsi="Cambria" w:cs="Arial"/>
          <w:bCs/>
          <w:sz w:val="20"/>
          <w:szCs w:val="20"/>
          <w:lang w:val="es-CO"/>
        </w:rPr>
        <w:t>en perjuicio de Santiago Leguizamón Za</w:t>
      </w:r>
      <w:r w:rsidR="00D002C8">
        <w:rPr>
          <w:rFonts w:ascii="Cambria" w:hAnsi="Cambria" w:cs="Arial"/>
          <w:bCs/>
          <w:sz w:val="20"/>
          <w:szCs w:val="20"/>
          <w:lang w:val="es-CO"/>
        </w:rPr>
        <w:t>v</w:t>
      </w:r>
      <w:r w:rsidR="00405609" w:rsidRPr="009B49A7">
        <w:rPr>
          <w:rFonts w:ascii="Cambria" w:hAnsi="Cambria" w:cs="Arial"/>
          <w:bCs/>
          <w:sz w:val="20"/>
          <w:szCs w:val="20"/>
          <w:lang w:val="es-CO"/>
        </w:rPr>
        <w:t>án</w:t>
      </w:r>
      <w:r w:rsidR="00405609">
        <w:rPr>
          <w:rFonts w:ascii="Cambria" w:hAnsi="Cambria" w:cs="Arial"/>
          <w:bCs/>
          <w:sz w:val="20"/>
          <w:szCs w:val="20"/>
          <w:lang w:val="es-CO"/>
        </w:rPr>
        <w:t xml:space="preserve">. </w:t>
      </w:r>
      <w:r w:rsidR="00E34FD9" w:rsidRPr="009B49A7">
        <w:rPr>
          <w:rFonts w:ascii="Cambria" w:hAnsi="Cambria" w:cs="Arial"/>
          <w:bCs/>
          <w:sz w:val="20"/>
          <w:szCs w:val="20"/>
          <w:lang w:val="es-CO"/>
        </w:rPr>
        <w:t xml:space="preserve">Asimismo, </w:t>
      </w:r>
      <w:r w:rsidR="00E34FD9" w:rsidRPr="009B49A7">
        <w:rPr>
          <w:rFonts w:ascii="Cambria" w:hAnsi="Cambria"/>
          <w:sz w:val="20"/>
          <w:szCs w:val="20"/>
          <w:lang w:val="es-ES"/>
        </w:rPr>
        <w:t xml:space="preserve">Paraguay violó </w:t>
      </w:r>
      <w:r w:rsidR="00E34FD9" w:rsidRPr="009B49A7">
        <w:rPr>
          <w:rFonts w:ascii="Cambria" w:hAnsi="Cambria" w:cs="Arial"/>
          <w:bCs/>
          <w:sz w:val="20"/>
          <w:szCs w:val="20"/>
          <w:lang w:val="es-CO"/>
        </w:rPr>
        <w:t>los derechos reconocidos en los artículos</w:t>
      </w:r>
      <w:r w:rsidR="00925691" w:rsidRPr="009B49A7">
        <w:rPr>
          <w:rFonts w:ascii="Cambria" w:hAnsi="Cambria" w:cs="Arial"/>
          <w:bCs/>
          <w:sz w:val="20"/>
          <w:szCs w:val="20"/>
          <w:lang w:val="es-CO"/>
        </w:rPr>
        <w:t xml:space="preserve"> 5.1 (integridad personal),</w:t>
      </w:r>
      <w:r w:rsidR="00E34FD9" w:rsidRPr="009B49A7">
        <w:rPr>
          <w:rFonts w:ascii="Cambria" w:hAnsi="Cambria" w:cs="Arial"/>
          <w:bCs/>
          <w:sz w:val="20"/>
          <w:szCs w:val="20"/>
          <w:lang w:val="es-CO"/>
        </w:rPr>
        <w:t xml:space="preserve"> 8.1 (garantías judiciales) y 25.1 (protección judicial), </w:t>
      </w:r>
      <w:r w:rsidR="005B1415" w:rsidRPr="009B49A7">
        <w:rPr>
          <w:rFonts w:ascii="Cambria" w:hAnsi="Cambria" w:cs="Arial"/>
          <w:bCs/>
          <w:sz w:val="20"/>
          <w:szCs w:val="20"/>
          <w:lang w:val="es-CO"/>
        </w:rPr>
        <w:t>en relación con</w:t>
      </w:r>
      <w:r w:rsidR="00E34FD9" w:rsidRPr="009B49A7">
        <w:rPr>
          <w:rFonts w:ascii="Cambria" w:hAnsi="Cambria" w:cs="Arial"/>
          <w:bCs/>
          <w:sz w:val="20"/>
          <w:szCs w:val="20"/>
          <w:lang w:val="es-CO"/>
        </w:rPr>
        <w:t xml:space="preserve"> el artículo 1.1 (obligación de respetar los derechos)</w:t>
      </w:r>
      <w:r w:rsidR="00315CEB" w:rsidRPr="009B49A7">
        <w:rPr>
          <w:rFonts w:ascii="Cambria" w:hAnsi="Cambria" w:cs="Arial"/>
          <w:bCs/>
          <w:sz w:val="20"/>
          <w:szCs w:val="20"/>
          <w:lang w:val="es-CO"/>
        </w:rPr>
        <w:t xml:space="preserve"> de la Convención Americana, </w:t>
      </w:r>
      <w:r w:rsidR="0024056B" w:rsidRPr="009B49A7">
        <w:rPr>
          <w:rFonts w:ascii="Cambria" w:hAnsi="Cambria"/>
          <w:sz w:val="20"/>
          <w:szCs w:val="20"/>
          <w:lang w:val="es-ES"/>
        </w:rPr>
        <w:t>en perjuicio de</w:t>
      </w:r>
      <w:r w:rsidR="00E669F1">
        <w:rPr>
          <w:rFonts w:ascii="Cambria" w:hAnsi="Cambria"/>
          <w:sz w:val="20"/>
          <w:szCs w:val="20"/>
          <w:lang w:val="es-ES"/>
        </w:rPr>
        <w:t xml:space="preserve"> </w:t>
      </w:r>
      <w:r w:rsidR="00E669F1" w:rsidRPr="007A0D4C">
        <w:rPr>
          <w:rFonts w:ascii="Cambria" w:hAnsi="Cambria"/>
          <w:sz w:val="20"/>
          <w:szCs w:val="20"/>
          <w:lang w:val="es-VE"/>
        </w:rPr>
        <w:t>Ana María Margarita Morra, Raquel Leguizamón Morra, Dante Leguizamón Morra, Sebastián Leguizamón Morra y Fernando Leguizamón Morra</w:t>
      </w:r>
      <w:r w:rsidR="00E669F1">
        <w:rPr>
          <w:rFonts w:ascii="Cambria" w:hAnsi="Cambria"/>
          <w:sz w:val="20"/>
          <w:szCs w:val="20"/>
          <w:lang w:val="es-VE"/>
        </w:rPr>
        <w:t>.</w:t>
      </w:r>
    </w:p>
    <w:p w14:paraId="7019EB42" w14:textId="77777777" w:rsidR="004F3357" w:rsidRPr="009B49A7" w:rsidRDefault="004F3357" w:rsidP="009B49A7">
      <w:pPr>
        <w:pStyle w:val="NoSpacing"/>
        <w:spacing w:before="0" w:after="0"/>
        <w:ind w:firstLine="0"/>
        <w:rPr>
          <w:szCs w:val="20"/>
          <w:lang w:val="es-CO"/>
        </w:rPr>
      </w:pPr>
    </w:p>
    <w:p w14:paraId="5C1066FF" w14:textId="2D633445" w:rsidR="00E464AC" w:rsidRPr="009B49A7" w:rsidRDefault="00E464AC" w:rsidP="009B49A7">
      <w:pPr>
        <w:pStyle w:val="Heading1"/>
        <w:rPr>
          <w:lang w:val="es-CO"/>
        </w:rPr>
      </w:pPr>
      <w:bookmarkStart w:id="46" w:name="_Toc534905543"/>
      <w:bookmarkStart w:id="47" w:name="_Toc4417465"/>
      <w:bookmarkStart w:id="48" w:name="_Toc47965335"/>
      <w:r w:rsidRPr="009B49A7">
        <w:rPr>
          <w:lang w:val="es-CO"/>
        </w:rPr>
        <w:t>RECOMENDACIONES</w:t>
      </w:r>
      <w:bookmarkEnd w:id="46"/>
      <w:bookmarkEnd w:id="47"/>
      <w:bookmarkEnd w:id="48"/>
    </w:p>
    <w:p w14:paraId="24B67F01" w14:textId="77777777" w:rsidR="00337F80" w:rsidRPr="009B49A7" w:rsidRDefault="00337F80" w:rsidP="009B49A7">
      <w:pPr>
        <w:rPr>
          <w:rFonts w:ascii="Cambria" w:hAnsi="Cambria"/>
          <w:sz w:val="20"/>
          <w:szCs w:val="20"/>
          <w:lang w:val="es-CO" w:eastAsia="es-ES"/>
        </w:rPr>
      </w:pPr>
    </w:p>
    <w:p w14:paraId="08331D10" w14:textId="77777777" w:rsidR="00337F80" w:rsidRPr="009B49A7" w:rsidRDefault="00337F80" w:rsidP="00C870C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9B49A7">
        <w:rPr>
          <w:rFonts w:ascii="Cambria" w:hAnsi="Cambria"/>
          <w:sz w:val="20"/>
          <w:szCs w:val="20"/>
          <w:lang w:val="es-VE"/>
        </w:rPr>
        <w:t>Con fundamento en el análisis y las conclusiones del presente informe,</w:t>
      </w:r>
    </w:p>
    <w:p w14:paraId="2BEE9E2B" w14:textId="77777777" w:rsidR="00337F80" w:rsidRPr="007A0D4C" w:rsidRDefault="00337F80" w:rsidP="007A0D4C">
      <w:pPr>
        <w:jc w:val="both"/>
        <w:rPr>
          <w:rFonts w:ascii="Cambria" w:hAnsi="Cambria"/>
          <w:b/>
          <w:bCs/>
          <w:sz w:val="20"/>
          <w:szCs w:val="20"/>
          <w:lang w:val="es-CL"/>
        </w:rPr>
      </w:pPr>
    </w:p>
    <w:p w14:paraId="401F5C13" w14:textId="77777777" w:rsidR="00760828" w:rsidRDefault="00760828" w:rsidP="007A0D4C">
      <w:pPr>
        <w:jc w:val="both"/>
        <w:rPr>
          <w:rFonts w:ascii="Cambria" w:hAnsi="Cambria"/>
          <w:b/>
          <w:bCs/>
          <w:sz w:val="20"/>
          <w:szCs w:val="20"/>
          <w:lang w:val="es-CL"/>
        </w:rPr>
      </w:pPr>
    </w:p>
    <w:p w14:paraId="683BAC0A" w14:textId="77777777" w:rsidR="00760828" w:rsidRDefault="00760828" w:rsidP="007A0D4C">
      <w:pPr>
        <w:jc w:val="both"/>
        <w:rPr>
          <w:rFonts w:ascii="Cambria" w:hAnsi="Cambria"/>
          <w:b/>
          <w:bCs/>
          <w:sz w:val="20"/>
          <w:szCs w:val="20"/>
          <w:lang w:val="es-CL"/>
        </w:rPr>
      </w:pPr>
    </w:p>
    <w:p w14:paraId="4A138C9C" w14:textId="77777777" w:rsidR="00760828" w:rsidRDefault="00760828" w:rsidP="007A0D4C">
      <w:pPr>
        <w:jc w:val="both"/>
        <w:rPr>
          <w:rFonts w:ascii="Cambria" w:hAnsi="Cambria"/>
          <w:b/>
          <w:bCs/>
          <w:sz w:val="20"/>
          <w:szCs w:val="20"/>
          <w:lang w:val="es-CL"/>
        </w:rPr>
      </w:pPr>
    </w:p>
    <w:p w14:paraId="657D5B88" w14:textId="77777777" w:rsidR="00760828" w:rsidRDefault="00760828" w:rsidP="007A0D4C">
      <w:pPr>
        <w:jc w:val="both"/>
        <w:rPr>
          <w:rFonts w:ascii="Cambria" w:hAnsi="Cambria"/>
          <w:b/>
          <w:bCs/>
          <w:sz w:val="20"/>
          <w:szCs w:val="20"/>
          <w:lang w:val="es-CL"/>
        </w:rPr>
      </w:pPr>
    </w:p>
    <w:p w14:paraId="7C36A9AA" w14:textId="6B062319" w:rsidR="00337F80" w:rsidRPr="007A0D4C" w:rsidRDefault="00337F80" w:rsidP="007A0D4C">
      <w:pPr>
        <w:jc w:val="both"/>
        <w:rPr>
          <w:rFonts w:ascii="Cambria" w:hAnsi="Cambria"/>
          <w:b/>
          <w:bCs/>
          <w:sz w:val="20"/>
          <w:szCs w:val="20"/>
          <w:lang w:val="es-CL"/>
        </w:rPr>
      </w:pPr>
      <w:r w:rsidRPr="007A0D4C">
        <w:rPr>
          <w:rFonts w:ascii="Cambria" w:hAnsi="Cambria"/>
          <w:b/>
          <w:bCs/>
          <w:sz w:val="20"/>
          <w:szCs w:val="20"/>
          <w:lang w:val="es-CL"/>
        </w:rPr>
        <w:lastRenderedPageBreak/>
        <w:t>LA COMISIÓN INTERAMERICANA DE DERECHOS HUMANOS RECOMIENDA AL ESTADO DE</w:t>
      </w:r>
      <w:r w:rsidR="00506613" w:rsidRPr="007A0D4C">
        <w:rPr>
          <w:rFonts w:ascii="Cambria" w:hAnsi="Cambria"/>
          <w:b/>
          <w:bCs/>
          <w:sz w:val="20"/>
          <w:szCs w:val="20"/>
          <w:lang w:val="es-CL"/>
        </w:rPr>
        <w:t xml:space="preserve"> PARAGUAY</w:t>
      </w:r>
      <w:r w:rsidRPr="007A0D4C">
        <w:rPr>
          <w:rFonts w:ascii="Cambria" w:hAnsi="Cambria"/>
          <w:b/>
          <w:bCs/>
          <w:sz w:val="20"/>
          <w:szCs w:val="20"/>
          <w:lang w:val="es-CL"/>
        </w:rPr>
        <w:t>:</w:t>
      </w:r>
    </w:p>
    <w:p w14:paraId="5817DAFD" w14:textId="77777777" w:rsidR="00337F80" w:rsidRPr="007A0D4C" w:rsidRDefault="00337F80" w:rsidP="007A0D4C">
      <w:pPr>
        <w:jc w:val="both"/>
        <w:rPr>
          <w:rFonts w:ascii="Cambria" w:hAnsi="Cambria"/>
          <w:sz w:val="20"/>
          <w:szCs w:val="20"/>
          <w:lang w:val="es-ES"/>
        </w:rPr>
      </w:pPr>
    </w:p>
    <w:p w14:paraId="310E788D" w14:textId="7801E037" w:rsidR="00236DFA" w:rsidRPr="005F334D" w:rsidRDefault="00236DFA" w:rsidP="00C870C0">
      <w:pPr>
        <w:pStyle w:val="ListParagraph"/>
        <w:numPr>
          <w:ilvl w:val="0"/>
          <w:numId w:val="58"/>
        </w:numPr>
        <w:spacing w:before="0" w:after="0"/>
        <w:ind w:left="0" w:firstLine="0"/>
        <w:rPr>
          <w:sz w:val="20"/>
          <w:szCs w:val="20"/>
          <w:lang w:val="es-ES"/>
        </w:rPr>
      </w:pPr>
      <w:r w:rsidRPr="007A0D4C">
        <w:rPr>
          <w:sz w:val="20"/>
          <w:szCs w:val="20"/>
          <w:lang w:val="es-AR"/>
        </w:rPr>
        <w:t>Realizar una investigación completa, imparcial, efectiva</w:t>
      </w:r>
      <w:r w:rsidR="00DF263D">
        <w:rPr>
          <w:sz w:val="20"/>
          <w:szCs w:val="20"/>
          <w:lang w:val="es-AR"/>
        </w:rPr>
        <w:t xml:space="preserve">, de manera expedita, </w:t>
      </w:r>
      <w:r w:rsidRPr="007A0D4C">
        <w:rPr>
          <w:sz w:val="20"/>
          <w:szCs w:val="20"/>
          <w:lang w:val="es-AR"/>
        </w:rPr>
        <w:t>que permita esclarecer las circunstancias del asesinato del periodista Santiago Leguizamón Za</w:t>
      </w:r>
      <w:r w:rsidR="00D002C8">
        <w:rPr>
          <w:sz w:val="20"/>
          <w:szCs w:val="20"/>
          <w:lang w:val="es-AR"/>
        </w:rPr>
        <w:t>v</w:t>
      </w:r>
      <w:r w:rsidRPr="007A0D4C">
        <w:rPr>
          <w:sz w:val="20"/>
          <w:szCs w:val="20"/>
          <w:lang w:val="es-AR"/>
        </w:rPr>
        <w:t>án y determinar las responsabilidades correspondientes, tanto en cuanto a su autoría material como intelectual.</w:t>
      </w:r>
    </w:p>
    <w:p w14:paraId="4C7FC027" w14:textId="77777777" w:rsidR="00D002C8" w:rsidRPr="00D4401F" w:rsidRDefault="00D002C8" w:rsidP="000D7953">
      <w:pPr>
        <w:pStyle w:val="ListParagraph"/>
        <w:spacing w:before="0" w:after="0"/>
        <w:rPr>
          <w:sz w:val="20"/>
          <w:szCs w:val="20"/>
          <w:lang w:val="es-ES"/>
        </w:rPr>
      </w:pPr>
    </w:p>
    <w:p w14:paraId="68C14AE7" w14:textId="43C5127B" w:rsidR="00D002C8" w:rsidRPr="000D7953" w:rsidRDefault="00D002C8" w:rsidP="00D002C8">
      <w:pPr>
        <w:pStyle w:val="ListParagraph"/>
        <w:numPr>
          <w:ilvl w:val="0"/>
          <w:numId w:val="58"/>
        </w:numPr>
        <w:spacing w:before="0" w:after="0"/>
        <w:ind w:left="0" w:firstLine="0"/>
        <w:rPr>
          <w:sz w:val="20"/>
          <w:szCs w:val="20"/>
          <w:lang w:val="es-PE"/>
        </w:rPr>
      </w:pPr>
      <w:r w:rsidRPr="000D7953">
        <w:rPr>
          <w:sz w:val="20"/>
          <w:szCs w:val="20"/>
          <w:lang w:val="es-AR"/>
        </w:rPr>
        <w:t>Solicitar la cooperación del Estado de Brasil para que ejerza su jurisdicción respecto de los presuntos autores de ciudadanía brasileña del asesinato del periodista Santiago Leguizamón Za</w:t>
      </w:r>
      <w:r>
        <w:rPr>
          <w:sz w:val="20"/>
          <w:szCs w:val="20"/>
          <w:lang w:val="es-AR"/>
        </w:rPr>
        <w:t>v</w:t>
      </w:r>
      <w:r w:rsidRPr="000D7953">
        <w:rPr>
          <w:sz w:val="20"/>
          <w:szCs w:val="20"/>
          <w:lang w:val="es-AR"/>
        </w:rPr>
        <w:t xml:space="preserve">án que no puedan ser extraditados al Paraguay, cumpliendo los requisitos formales que pudiera solicitar el Estado de Brasil </w:t>
      </w:r>
      <w:r>
        <w:rPr>
          <w:sz w:val="20"/>
          <w:szCs w:val="20"/>
          <w:lang w:val="es-AR"/>
        </w:rPr>
        <w:t xml:space="preserve">y </w:t>
      </w:r>
      <w:r w:rsidRPr="000D7953">
        <w:rPr>
          <w:sz w:val="20"/>
          <w:szCs w:val="20"/>
          <w:lang w:val="es-AR"/>
        </w:rPr>
        <w:t>de conformidad con los acuerdos en vigor entre ambos países. </w:t>
      </w:r>
    </w:p>
    <w:p w14:paraId="7A62D7B0" w14:textId="77777777" w:rsidR="003903D5" w:rsidRPr="000D7953" w:rsidRDefault="003903D5" w:rsidP="000D7953">
      <w:pPr>
        <w:pStyle w:val="ListParagraph"/>
        <w:spacing w:before="0" w:after="0"/>
        <w:rPr>
          <w:sz w:val="20"/>
          <w:szCs w:val="20"/>
          <w:lang w:val="es-PE"/>
        </w:rPr>
      </w:pPr>
    </w:p>
    <w:p w14:paraId="34F5056B" w14:textId="68814F1E" w:rsidR="00D002C8" w:rsidRPr="000D7953" w:rsidRDefault="00D002C8" w:rsidP="000D7953">
      <w:pPr>
        <w:pStyle w:val="ListParagraph"/>
        <w:numPr>
          <w:ilvl w:val="0"/>
          <w:numId w:val="58"/>
        </w:numPr>
        <w:spacing w:before="0" w:after="0"/>
        <w:ind w:left="0" w:firstLine="0"/>
        <w:rPr>
          <w:sz w:val="20"/>
          <w:szCs w:val="20"/>
          <w:lang w:val="es-PE"/>
        </w:rPr>
      </w:pPr>
      <w:r w:rsidRPr="000D7953">
        <w:rPr>
          <w:sz w:val="20"/>
          <w:szCs w:val="20"/>
          <w:lang w:val="es-AR"/>
        </w:rPr>
        <w:t>En su caso, colaborar con el Estado de Brasil para que se realice una </w:t>
      </w:r>
      <w:r w:rsidRPr="000D7953">
        <w:rPr>
          <w:sz w:val="20"/>
          <w:szCs w:val="20"/>
          <w:lang w:val="es-PE"/>
        </w:rPr>
        <w:t>investigación completa, imparcial, efectiva y dentro de un plazo razonable que permita esclarecer las circunstancias del asesinato del periodista Santiago Leguizamón Zaván.</w:t>
      </w:r>
    </w:p>
    <w:p w14:paraId="6FE6854F" w14:textId="77777777" w:rsidR="00D002C8" w:rsidRPr="000D7953" w:rsidRDefault="00D002C8" w:rsidP="00870AB3">
      <w:pPr>
        <w:pStyle w:val="ListParagraph"/>
        <w:spacing w:before="0" w:after="0"/>
        <w:rPr>
          <w:sz w:val="20"/>
          <w:szCs w:val="20"/>
          <w:lang w:val="es-PE"/>
        </w:rPr>
      </w:pPr>
    </w:p>
    <w:p w14:paraId="58F23457" w14:textId="3FA0340F" w:rsidR="00073B60" w:rsidRPr="009313AF" w:rsidRDefault="003E0785" w:rsidP="009313AF">
      <w:pPr>
        <w:pStyle w:val="ListParagraph"/>
        <w:numPr>
          <w:ilvl w:val="0"/>
          <w:numId w:val="58"/>
        </w:numPr>
        <w:spacing w:before="0" w:after="0"/>
        <w:ind w:left="0" w:firstLine="0"/>
        <w:rPr>
          <w:sz w:val="20"/>
          <w:szCs w:val="20"/>
          <w:lang w:val="es-ES"/>
        </w:rPr>
      </w:pPr>
      <w:r w:rsidRPr="009313AF">
        <w:rPr>
          <w:sz w:val="20"/>
          <w:szCs w:val="20"/>
          <w:lang w:val="es-PE"/>
        </w:rPr>
        <w:t>Ad</w:t>
      </w:r>
      <w:r w:rsidR="00E30CE4" w:rsidRPr="009313AF">
        <w:rPr>
          <w:sz w:val="20"/>
          <w:szCs w:val="20"/>
          <w:lang w:val="es-PE"/>
        </w:rPr>
        <w:t xml:space="preserve">optar medidas de carácter legislativo, institucional y judicial orientadas a reducir la exposición al riesgo de </w:t>
      </w:r>
      <w:r w:rsidR="00870AB3" w:rsidRPr="009313AF">
        <w:rPr>
          <w:sz w:val="20"/>
          <w:szCs w:val="20"/>
          <w:lang w:val="es-PE"/>
        </w:rPr>
        <w:t xml:space="preserve">periodistas </w:t>
      </w:r>
      <w:r w:rsidR="00BB3DD9" w:rsidRPr="009313AF">
        <w:rPr>
          <w:sz w:val="20"/>
          <w:szCs w:val="20"/>
          <w:lang w:val="es-PE"/>
        </w:rPr>
        <w:t xml:space="preserve">y trabajadores de medios de comunicación </w:t>
      </w:r>
      <w:r w:rsidR="00E30CE4" w:rsidRPr="009313AF">
        <w:rPr>
          <w:sz w:val="20"/>
          <w:szCs w:val="20"/>
          <w:lang w:val="es-PE"/>
        </w:rPr>
        <w:t xml:space="preserve">que se encuentran en situación de </w:t>
      </w:r>
      <w:r w:rsidR="00B62A33" w:rsidRPr="009313AF">
        <w:rPr>
          <w:sz w:val="20"/>
          <w:szCs w:val="20"/>
          <w:lang w:val="es-PE"/>
        </w:rPr>
        <w:t>riesgo</w:t>
      </w:r>
      <w:r w:rsidR="00EA7F55" w:rsidRPr="009313AF">
        <w:rPr>
          <w:sz w:val="20"/>
          <w:szCs w:val="20"/>
          <w:lang w:val="es-PE"/>
        </w:rPr>
        <w:t xml:space="preserve"> especial</w:t>
      </w:r>
      <w:r w:rsidR="00B62A33" w:rsidRPr="009313AF">
        <w:rPr>
          <w:sz w:val="20"/>
          <w:szCs w:val="20"/>
          <w:lang w:val="es-PE"/>
        </w:rPr>
        <w:t xml:space="preserve"> por el ejercicio de su labor periodística</w:t>
      </w:r>
      <w:r w:rsidR="00E30CE4" w:rsidRPr="009313AF">
        <w:rPr>
          <w:sz w:val="20"/>
          <w:szCs w:val="20"/>
          <w:lang w:val="es-PE"/>
        </w:rPr>
        <w:t>. En ese sentido, el Estado debe</w:t>
      </w:r>
      <w:r w:rsidR="00073B60" w:rsidRPr="009313AF">
        <w:rPr>
          <w:sz w:val="20"/>
          <w:szCs w:val="20"/>
          <w:lang w:val="es-PE"/>
        </w:rPr>
        <w:t xml:space="preserve"> desarrollar </w:t>
      </w:r>
      <w:r w:rsidR="00FF230A">
        <w:rPr>
          <w:sz w:val="20"/>
          <w:szCs w:val="20"/>
          <w:lang w:val="es-PE"/>
        </w:rPr>
        <w:t>programas y</w:t>
      </w:r>
      <w:r w:rsidR="00FF230A" w:rsidRPr="009313AF">
        <w:rPr>
          <w:sz w:val="20"/>
          <w:szCs w:val="20"/>
          <w:lang w:val="es-PE"/>
        </w:rPr>
        <w:t xml:space="preserve"> </w:t>
      </w:r>
      <w:r w:rsidR="00073B60" w:rsidRPr="009313AF">
        <w:rPr>
          <w:sz w:val="20"/>
          <w:szCs w:val="20"/>
          <w:lang w:val="es-PE"/>
        </w:rPr>
        <w:t>medidas</w:t>
      </w:r>
      <w:r w:rsidR="00FF230A">
        <w:rPr>
          <w:sz w:val="20"/>
          <w:szCs w:val="20"/>
          <w:lang w:val="es-PE"/>
        </w:rPr>
        <w:t xml:space="preserve"> </w:t>
      </w:r>
      <w:r w:rsidR="00073B60" w:rsidRPr="009313AF">
        <w:rPr>
          <w:sz w:val="20"/>
          <w:szCs w:val="20"/>
          <w:lang w:val="es-PE"/>
        </w:rPr>
        <w:t>adecuadas y expeditas de respuesta institucional que permitan proteger eficazmente a periodistas y trabajadores de medios de comunicación en situaciones de riesgo</w:t>
      </w:r>
      <w:r w:rsidR="00B6405F">
        <w:rPr>
          <w:sz w:val="20"/>
          <w:szCs w:val="20"/>
          <w:lang w:val="es-PE"/>
        </w:rPr>
        <w:t xml:space="preserve"> especial por el ejercicio de su oficio</w:t>
      </w:r>
      <w:r w:rsidR="00142803" w:rsidRPr="009313AF">
        <w:rPr>
          <w:sz w:val="20"/>
          <w:szCs w:val="20"/>
          <w:lang w:val="es-PE"/>
        </w:rPr>
        <w:t xml:space="preserve">, </w:t>
      </w:r>
      <w:r w:rsidR="00073B60" w:rsidRPr="009313AF">
        <w:rPr>
          <w:sz w:val="20"/>
          <w:szCs w:val="20"/>
          <w:lang w:val="es-PE"/>
        </w:rPr>
        <w:t>y de ser el caso</w:t>
      </w:r>
      <w:r w:rsidR="005F143F">
        <w:rPr>
          <w:sz w:val="20"/>
          <w:szCs w:val="20"/>
          <w:lang w:val="es-PE"/>
        </w:rPr>
        <w:t xml:space="preserve"> a</w:t>
      </w:r>
      <w:r w:rsidR="00073B60" w:rsidRPr="009313AF">
        <w:rPr>
          <w:sz w:val="20"/>
          <w:szCs w:val="20"/>
          <w:lang w:val="es-PE"/>
        </w:rPr>
        <w:t xml:space="preserve"> sus familiares, </w:t>
      </w:r>
      <w:r w:rsidR="00142803" w:rsidRPr="00967279">
        <w:rPr>
          <w:rFonts w:cs="Calibri"/>
          <w:sz w:val="20"/>
          <w:szCs w:val="20"/>
          <w:lang w:val="es-AR"/>
        </w:rPr>
        <w:t>ya sea que las amenazas provengan de agentes del Estado o que sean originadas en particular</w:t>
      </w:r>
      <w:r w:rsidR="00142803" w:rsidRPr="00B6405F">
        <w:rPr>
          <w:rFonts w:cs="Calibri"/>
          <w:sz w:val="20"/>
          <w:szCs w:val="20"/>
          <w:lang w:val="es-AR"/>
        </w:rPr>
        <w:t xml:space="preserve">es. </w:t>
      </w:r>
      <w:r w:rsidR="003903D5">
        <w:rPr>
          <w:rFonts w:cs="Calibri"/>
          <w:sz w:val="20"/>
          <w:szCs w:val="20"/>
          <w:lang w:val="es-AR"/>
        </w:rPr>
        <w:t xml:space="preserve">En particular, </w:t>
      </w:r>
      <w:r w:rsidR="00552B03">
        <w:rPr>
          <w:rFonts w:cs="Calibri"/>
          <w:sz w:val="20"/>
          <w:szCs w:val="20"/>
          <w:lang w:val="es-AR"/>
        </w:rPr>
        <w:t xml:space="preserve">diseñar e implementar </w:t>
      </w:r>
      <w:r w:rsidR="003903D5">
        <w:rPr>
          <w:rFonts w:cs="Calibri"/>
          <w:sz w:val="20"/>
          <w:szCs w:val="20"/>
          <w:lang w:val="es-AR"/>
        </w:rPr>
        <w:t xml:space="preserve">protocolos de evaluación de riesgo adecuados y programas de protección para los periodistas y sus familiares. </w:t>
      </w:r>
    </w:p>
    <w:p w14:paraId="21D68C53" w14:textId="5ECED5D4" w:rsidR="00B76801" w:rsidRPr="009313AF" w:rsidRDefault="00B76801" w:rsidP="009313AF">
      <w:pPr>
        <w:pStyle w:val="ListParagraph"/>
        <w:spacing w:before="0" w:after="0"/>
        <w:rPr>
          <w:sz w:val="20"/>
          <w:szCs w:val="20"/>
          <w:lang w:val="es-ES"/>
        </w:rPr>
      </w:pPr>
    </w:p>
    <w:p w14:paraId="008D2AA8" w14:textId="5C2FA055" w:rsidR="0097536A" w:rsidRPr="009313AF" w:rsidRDefault="00E30CE4" w:rsidP="003E0785">
      <w:pPr>
        <w:pStyle w:val="ListParagraph"/>
        <w:numPr>
          <w:ilvl w:val="0"/>
          <w:numId w:val="58"/>
        </w:numPr>
        <w:spacing w:before="0" w:after="0"/>
        <w:ind w:left="0" w:firstLine="0"/>
        <w:rPr>
          <w:sz w:val="20"/>
          <w:szCs w:val="20"/>
          <w:lang w:val="es-ES"/>
        </w:rPr>
      </w:pPr>
      <w:r w:rsidRPr="009313AF">
        <w:rPr>
          <w:sz w:val="20"/>
          <w:szCs w:val="20"/>
          <w:lang w:val="es-PE"/>
        </w:rPr>
        <w:t xml:space="preserve"> </w:t>
      </w:r>
      <w:r w:rsidR="00F36579" w:rsidRPr="009313AF">
        <w:rPr>
          <w:sz w:val="20"/>
          <w:szCs w:val="20"/>
          <w:lang w:val="es-PE"/>
        </w:rPr>
        <w:t>F</w:t>
      </w:r>
      <w:r w:rsidRPr="009313AF">
        <w:rPr>
          <w:sz w:val="20"/>
          <w:szCs w:val="20"/>
          <w:lang w:val="es-PE"/>
        </w:rPr>
        <w:t xml:space="preserve">ortalecer la capacidad institucional para combatir el patrón de impunidad frente a casos de amenazas y muertes de </w:t>
      </w:r>
      <w:r w:rsidR="00EA7F55" w:rsidRPr="009313AF">
        <w:rPr>
          <w:sz w:val="20"/>
          <w:szCs w:val="20"/>
          <w:lang w:val="es-PE"/>
        </w:rPr>
        <w:t>periodistas y trabajadores de medios de comunicación</w:t>
      </w:r>
      <w:r w:rsidRPr="009313AF">
        <w:rPr>
          <w:sz w:val="20"/>
          <w:szCs w:val="20"/>
          <w:lang w:val="es-PE"/>
        </w:rPr>
        <w:t xml:space="preserve">, mediante la elaboración de protocolos de investigación que tengan en cuenta los riesgos inherentes a la labor </w:t>
      </w:r>
      <w:r w:rsidR="001E4E5B" w:rsidRPr="009313AF">
        <w:rPr>
          <w:sz w:val="20"/>
          <w:szCs w:val="20"/>
          <w:lang w:val="es-PE"/>
        </w:rPr>
        <w:t>que realizan</w:t>
      </w:r>
      <w:r w:rsidR="009C4D68">
        <w:rPr>
          <w:sz w:val="20"/>
          <w:szCs w:val="20"/>
          <w:lang w:val="es-PE"/>
        </w:rPr>
        <w:t xml:space="preserve"> los periodistas</w:t>
      </w:r>
      <w:r w:rsidRPr="009313AF">
        <w:rPr>
          <w:sz w:val="20"/>
          <w:szCs w:val="20"/>
          <w:lang w:val="es-PE"/>
        </w:rPr>
        <w:t>, y en particular que conduzcan a la sanción de los responsables y a una reparación adecuada a las víctimas</w:t>
      </w:r>
      <w:r w:rsidR="00F1334F" w:rsidRPr="009313AF">
        <w:rPr>
          <w:sz w:val="20"/>
          <w:szCs w:val="20"/>
          <w:lang w:val="es-PE"/>
        </w:rPr>
        <w:t xml:space="preserve">, </w:t>
      </w:r>
      <w:r w:rsidR="00967279" w:rsidRPr="009313AF">
        <w:rPr>
          <w:sz w:val="20"/>
          <w:szCs w:val="20"/>
          <w:lang w:val="es-PE"/>
        </w:rPr>
        <w:t xml:space="preserve">de conformidad con los </w:t>
      </w:r>
      <w:r w:rsidR="009C4D68">
        <w:rPr>
          <w:sz w:val="20"/>
          <w:szCs w:val="20"/>
          <w:lang w:val="es-PE"/>
        </w:rPr>
        <w:t xml:space="preserve">estándares y </w:t>
      </w:r>
      <w:r w:rsidR="00967279" w:rsidRPr="009313AF">
        <w:rPr>
          <w:sz w:val="20"/>
          <w:szCs w:val="20"/>
          <w:lang w:val="es-PE"/>
        </w:rPr>
        <w:t>criterios establecidos en el presente informe de fondo.</w:t>
      </w:r>
    </w:p>
    <w:p w14:paraId="0D36C419" w14:textId="0E160134" w:rsidR="00303886" w:rsidRPr="00967279" w:rsidRDefault="00F1334F" w:rsidP="00967279">
      <w:pPr>
        <w:pStyle w:val="ListParagraph"/>
        <w:spacing w:before="0" w:after="0"/>
        <w:rPr>
          <w:sz w:val="20"/>
          <w:szCs w:val="20"/>
          <w:lang w:val="es-ES"/>
        </w:rPr>
      </w:pPr>
      <w:r w:rsidRPr="009313AF">
        <w:rPr>
          <w:sz w:val="20"/>
          <w:szCs w:val="20"/>
          <w:lang w:val="es-PE"/>
        </w:rPr>
        <w:t xml:space="preserve"> </w:t>
      </w:r>
    </w:p>
    <w:p w14:paraId="7417BECF" w14:textId="77777777" w:rsidR="00E14500" w:rsidRPr="007A0D4C" w:rsidRDefault="00E14500" w:rsidP="00C870C0">
      <w:pPr>
        <w:pStyle w:val="ListParagraph"/>
        <w:numPr>
          <w:ilvl w:val="0"/>
          <w:numId w:val="58"/>
        </w:numPr>
        <w:spacing w:before="0" w:after="0"/>
        <w:ind w:left="0" w:firstLine="0"/>
        <w:rPr>
          <w:sz w:val="20"/>
          <w:szCs w:val="20"/>
          <w:lang w:val="es-ES"/>
        </w:rPr>
      </w:pPr>
      <w:r w:rsidRPr="007A0D4C">
        <w:rPr>
          <w:rFonts w:eastAsia="Times New Roman" w:cs="Tahoma"/>
          <w:sz w:val="20"/>
          <w:szCs w:val="20"/>
          <w:bdr w:val="none" w:sz="0" w:space="0" w:color="auto"/>
          <w:lang w:val="es-ES"/>
        </w:rPr>
        <w:t>Reparar integralmente las violaciones de derechos humanos declaradas en el presente informe tanto en el aspecto material como inmaterial. El Estado deberá adoptar las medidas de compensación económica y satisfacción.</w:t>
      </w:r>
    </w:p>
    <w:p w14:paraId="254CAB32" w14:textId="77777777" w:rsidR="00E14500" w:rsidRPr="007A0D4C" w:rsidRDefault="00E14500" w:rsidP="007A0D4C">
      <w:pPr>
        <w:pStyle w:val="ListParagraph"/>
        <w:spacing w:before="0" w:after="0"/>
        <w:rPr>
          <w:color w:val="auto"/>
          <w:sz w:val="20"/>
          <w:szCs w:val="20"/>
          <w:lang w:val="es-ES"/>
        </w:rPr>
      </w:pPr>
    </w:p>
    <w:p w14:paraId="095063AD" w14:textId="2CF0E5BC" w:rsidR="00E14500" w:rsidRPr="00552B03" w:rsidRDefault="00E14500" w:rsidP="00C870C0">
      <w:pPr>
        <w:pStyle w:val="ListParagraph"/>
        <w:numPr>
          <w:ilvl w:val="0"/>
          <w:numId w:val="58"/>
        </w:numPr>
        <w:spacing w:before="0" w:after="0"/>
        <w:ind w:left="0" w:firstLine="0"/>
        <w:rPr>
          <w:sz w:val="20"/>
          <w:szCs w:val="20"/>
          <w:lang w:val="es-PE"/>
        </w:rPr>
      </w:pPr>
      <w:bookmarkStart w:id="49" w:name="_Hlk19538831"/>
      <w:r w:rsidRPr="00552B03">
        <w:rPr>
          <w:sz w:val="20"/>
          <w:szCs w:val="20"/>
          <w:lang w:val="es-ES"/>
        </w:rPr>
        <w:t>D</w:t>
      </w:r>
      <w:r w:rsidR="00552B03" w:rsidRPr="00552B03">
        <w:rPr>
          <w:sz w:val="20"/>
          <w:szCs w:val="20"/>
          <w:lang w:val="es-ES"/>
        </w:rPr>
        <w:t xml:space="preserve">iseñar programas de formación </w:t>
      </w:r>
      <w:r w:rsidR="00552B03" w:rsidRPr="000E3A40">
        <w:rPr>
          <w:sz w:val="20"/>
          <w:szCs w:val="20"/>
          <w:lang w:val="es-ES"/>
        </w:rPr>
        <w:t xml:space="preserve">y capacitación </w:t>
      </w:r>
      <w:r w:rsidR="00552B03">
        <w:rPr>
          <w:sz w:val="20"/>
          <w:szCs w:val="20"/>
          <w:lang w:val="es-ES"/>
        </w:rPr>
        <w:t xml:space="preserve">que incluyan </w:t>
      </w:r>
      <w:r w:rsidR="00552B03" w:rsidRPr="0086366D">
        <w:rPr>
          <w:sz w:val="20"/>
          <w:szCs w:val="20"/>
          <w:lang w:val="es-ES"/>
        </w:rPr>
        <w:t>los estándares y criterios establecidos en el presente informe de fondo</w:t>
      </w:r>
      <w:r w:rsidR="00FF230A">
        <w:rPr>
          <w:sz w:val="20"/>
          <w:szCs w:val="20"/>
          <w:lang w:val="es-ES"/>
        </w:rPr>
        <w:t>, en particular</w:t>
      </w:r>
      <w:r w:rsidR="005776D7">
        <w:rPr>
          <w:sz w:val="20"/>
          <w:szCs w:val="20"/>
          <w:lang w:val="es-ES"/>
        </w:rPr>
        <w:t>,</w:t>
      </w:r>
      <w:r w:rsidR="00FF230A">
        <w:rPr>
          <w:sz w:val="20"/>
          <w:szCs w:val="20"/>
          <w:lang w:val="es-ES"/>
        </w:rPr>
        <w:t xml:space="preserve"> los referidos a la investigación de </w:t>
      </w:r>
      <w:r w:rsidR="005776D7">
        <w:rPr>
          <w:sz w:val="20"/>
          <w:szCs w:val="20"/>
          <w:lang w:val="es-ES"/>
        </w:rPr>
        <w:t>crímenes</w:t>
      </w:r>
      <w:r w:rsidR="00FF230A">
        <w:rPr>
          <w:sz w:val="20"/>
          <w:szCs w:val="20"/>
          <w:lang w:val="es-ES"/>
        </w:rPr>
        <w:t xml:space="preserve"> contra periodistas,</w:t>
      </w:r>
      <w:r w:rsidR="00552B03" w:rsidRPr="00552B03">
        <w:rPr>
          <w:sz w:val="20"/>
          <w:szCs w:val="20"/>
          <w:lang w:val="es-PE"/>
        </w:rPr>
        <w:t xml:space="preserve"> </w:t>
      </w:r>
      <w:r w:rsidR="00552B03" w:rsidRPr="000D7953">
        <w:rPr>
          <w:sz w:val="20"/>
          <w:szCs w:val="20"/>
          <w:lang w:val="es-PE"/>
        </w:rPr>
        <w:t>par</w:t>
      </w:r>
      <w:r w:rsidR="00BA65B9">
        <w:rPr>
          <w:sz w:val="20"/>
          <w:szCs w:val="20"/>
          <w:lang w:val="es-PE"/>
        </w:rPr>
        <w:t>a</w:t>
      </w:r>
      <w:r w:rsidR="00552B03" w:rsidRPr="000D7953">
        <w:rPr>
          <w:sz w:val="20"/>
          <w:szCs w:val="20"/>
          <w:lang w:val="es-PE"/>
        </w:rPr>
        <w:t xml:space="preserve"> los operadores jurídicos</w:t>
      </w:r>
      <w:r w:rsidR="005776D7">
        <w:rPr>
          <w:sz w:val="20"/>
          <w:szCs w:val="20"/>
          <w:lang w:val="es-PE"/>
        </w:rPr>
        <w:t xml:space="preserve"> d</w:t>
      </w:r>
      <w:r w:rsidR="00552B03">
        <w:rPr>
          <w:sz w:val="20"/>
          <w:szCs w:val="20"/>
          <w:lang w:val="es-PE"/>
        </w:rPr>
        <w:t xml:space="preserve">el Poder Judicial, Ministerio Público y Policía </w:t>
      </w:r>
      <w:r w:rsidR="005776D7">
        <w:rPr>
          <w:sz w:val="20"/>
          <w:szCs w:val="20"/>
          <w:lang w:val="es-PE"/>
        </w:rPr>
        <w:t>de investigación,</w:t>
      </w:r>
      <w:r w:rsidR="005776D7" w:rsidRPr="00E61650">
        <w:rPr>
          <w:sz w:val="20"/>
          <w:szCs w:val="20"/>
          <w:lang w:val="es-PE"/>
        </w:rPr>
        <w:t xml:space="preserve"> a cargo de investigar </w:t>
      </w:r>
      <w:r w:rsidR="005776D7">
        <w:rPr>
          <w:sz w:val="20"/>
          <w:szCs w:val="20"/>
          <w:lang w:val="es-PE"/>
        </w:rPr>
        <w:t>casos de violencia</w:t>
      </w:r>
      <w:r w:rsidR="005776D7" w:rsidRPr="00552B03">
        <w:rPr>
          <w:sz w:val="20"/>
          <w:szCs w:val="20"/>
          <w:lang w:val="es-PE"/>
        </w:rPr>
        <w:t xml:space="preserve"> contra periodistas</w:t>
      </w:r>
      <w:r w:rsidR="005776D7">
        <w:rPr>
          <w:sz w:val="20"/>
          <w:szCs w:val="20"/>
          <w:lang w:val="es-ES"/>
        </w:rPr>
        <w:t>.</w:t>
      </w:r>
    </w:p>
    <w:bookmarkEnd w:id="49"/>
    <w:p w14:paraId="29A12400" w14:textId="77777777" w:rsidR="00D002C8" w:rsidRPr="000D7953" w:rsidRDefault="00D002C8" w:rsidP="00D002C8">
      <w:pPr>
        <w:keepNext/>
        <w:jc w:val="both"/>
        <w:rPr>
          <w:rFonts w:ascii="Cambria" w:hAnsi="Cambria"/>
          <w:sz w:val="20"/>
          <w:szCs w:val="20"/>
          <w:lang w:val="es-PE"/>
        </w:rPr>
      </w:pPr>
    </w:p>
    <w:p w14:paraId="113BD332" w14:textId="164DDD30" w:rsidR="00AF0D46" w:rsidRDefault="00AF0D46" w:rsidP="00AF0D46">
      <w:pPr>
        <w:ind w:firstLine="36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10 días del mes de julio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sidRPr="00E02D8D">
        <w:rPr>
          <w:rFonts w:ascii="Cambria" w:hAnsi="Cambria"/>
          <w:spacing w:val="-2"/>
          <w:sz w:val="20"/>
          <w:lang w:val="es-US"/>
        </w:rPr>
        <w:t>Julissa Mantilla Falcón</w:t>
      </w:r>
      <w:r>
        <w:rPr>
          <w:rFonts w:ascii="Cambria" w:hAnsi="Cambria"/>
          <w:spacing w:val="-2"/>
          <w:sz w:val="20"/>
          <w:lang w:val="es-US"/>
        </w:rPr>
        <w:t xml:space="preserve"> 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3F21F051" w14:textId="77777777" w:rsidR="00AF0D46" w:rsidRDefault="00AF0D46" w:rsidP="00AF0D46">
      <w:pPr>
        <w:ind w:firstLine="360"/>
        <w:jc w:val="both"/>
        <w:rPr>
          <w:rFonts w:ascii="Cambria" w:hAnsi="Cambria"/>
          <w:spacing w:val="-2"/>
          <w:sz w:val="20"/>
          <w:szCs w:val="20"/>
          <w:lang w:val="es-CL"/>
        </w:rPr>
      </w:pPr>
    </w:p>
    <w:p w14:paraId="140D3463" w14:textId="77777777" w:rsidR="00AF0D46" w:rsidRDefault="00AF0D46" w:rsidP="00AF0D46">
      <w:pPr>
        <w:ind w:firstLine="36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599F6F16" w14:textId="07861268" w:rsidR="00AF0D46" w:rsidRDefault="00AF0D46" w:rsidP="00AF0D46">
      <w:pPr>
        <w:jc w:val="center"/>
        <w:rPr>
          <w:rFonts w:ascii="Cambria" w:hAnsi="Cambria"/>
          <w:sz w:val="20"/>
          <w:szCs w:val="20"/>
        </w:rPr>
      </w:pPr>
      <w:r>
        <w:rPr>
          <w:rFonts w:ascii="Cambria" w:hAnsi="Cambria"/>
          <w:sz w:val="20"/>
          <w:szCs w:val="20"/>
          <w:lang w:val="es-CL"/>
        </w:rPr>
        <w:t xml:space="preserve">     </w:t>
      </w:r>
    </w:p>
    <w:p w14:paraId="547596E0" w14:textId="77777777" w:rsidR="00AF0D46" w:rsidRPr="000426AA" w:rsidRDefault="00AF0D46" w:rsidP="00AF0D46">
      <w:pPr>
        <w:tabs>
          <w:tab w:val="left" w:pos="810"/>
        </w:tabs>
        <w:suppressAutoHyphens/>
        <w:jc w:val="center"/>
        <w:rPr>
          <w:rFonts w:ascii="Cambria" w:hAnsi="Cambria" w:cs="Calibri"/>
          <w:i/>
          <w:sz w:val="20"/>
          <w:szCs w:val="20"/>
          <w:lang w:val="pt-BR"/>
        </w:rPr>
      </w:pPr>
      <w:r w:rsidRPr="000426AA">
        <w:rPr>
          <w:rFonts w:ascii="Cambria" w:hAnsi="Cambria" w:cs="Calibri"/>
          <w:sz w:val="20"/>
          <w:szCs w:val="20"/>
          <w:lang w:val="pt-BR"/>
        </w:rPr>
        <w:t>Marisol Blanchard</w:t>
      </w:r>
    </w:p>
    <w:p w14:paraId="4CC0B860" w14:textId="0AF565F8" w:rsidR="00D002C8" w:rsidRPr="000D7953" w:rsidRDefault="00AF0D46" w:rsidP="00760828">
      <w:pPr>
        <w:tabs>
          <w:tab w:val="left" w:pos="810"/>
        </w:tabs>
        <w:suppressAutoHyphens/>
        <w:jc w:val="center"/>
        <w:rPr>
          <w:rFonts w:ascii="Cambria" w:hAnsi="Cambria"/>
          <w:sz w:val="20"/>
          <w:szCs w:val="20"/>
          <w:lang w:val="es-PE"/>
        </w:rPr>
      </w:pPr>
      <w:r w:rsidRPr="000426AA">
        <w:rPr>
          <w:rFonts w:ascii="Cambria" w:hAnsi="Cambria" w:cs="Calibri"/>
          <w:sz w:val="20"/>
          <w:szCs w:val="20"/>
          <w:lang w:val="pt-BR"/>
        </w:rPr>
        <w:t>Secretaria Ejecutiva Adjunt</w:t>
      </w:r>
      <w:bookmarkStart w:id="50" w:name="ministro"/>
      <w:bookmarkEnd w:id="50"/>
      <w:r>
        <w:rPr>
          <w:rFonts w:ascii="Cambria" w:hAnsi="Cambria" w:cs="Calibri"/>
          <w:sz w:val="20"/>
          <w:szCs w:val="20"/>
          <w:lang w:val="pt-BR"/>
        </w:rPr>
        <w:t>a</w:t>
      </w:r>
    </w:p>
    <w:sectPr w:rsidR="00D002C8" w:rsidRPr="000D7953"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20B6" w14:textId="77777777" w:rsidR="000A5EAC" w:rsidRDefault="000A5EAC" w:rsidP="00610A15">
      <w:r>
        <w:separator/>
      </w:r>
    </w:p>
  </w:endnote>
  <w:endnote w:type="continuationSeparator" w:id="0">
    <w:p w14:paraId="7839D09A" w14:textId="77777777" w:rsidR="000A5EAC" w:rsidRDefault="000A5EAC" w:rsidP="00610A15">
      <w:r>
        <w:continuationSeparator/>
      </w:r>
    </w:p>
  </w:endnote>
  <w:endnote w:type="continuationNotice" w:id="1">
    <w:p w14:paraId="17816750" w14:textId="77777777" w:rsidR="000A5EAC" w:rsidRDefault="000A5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5294112"/>
      <w:docPartObj>
        <w:docPartGallery w:val="Page Numbers (Bottom of Page)"/>
        <w:docPartUnique/>
      </w:docPartObj>
    </w:sdtPr>
    <w:sdtEndPr>
      <w:rPr>
        <w:noProof/>
      </w:rPr>
    </w:sdtEndPr>
    <w:sdtContent>
      <w:p w14:paraId="051B9669" w14:textId="62C0F59A" w:rsidR="000A5EAC" w:rsidRPr="00395F72" w:rsidRDefault="000A5EAC">
        <w:pPr>
          <w:pStyle w:val="Footer"/>
          <w:jc w:val="center"/>
          <w:rPr>
            <w:sz w:val="20"/>
            <w:szCs w:val="20"/>
          </w:rPr>
        </w:pPr>
        <w:r w:rsidRPr="00395F72">
          <w:rPr>
            <w:sz w:val="20"/>
            <w:szCs w:val="20"/>
          </w:rPr>
          <w:fldChar w:fldCharType="begin"/>
        </w:r>
        <w:r w:rsidRPr="00395F72">
          <w:rPr>
            <w:sz w:val="20"/>
            <w:szCs w:val="20"/>
          </w:rPr>
          <w:instrText xml:space="preserve"> PAGE   \* MERGEFORMAT </w:instrText>
        </w:r>
        <w:r w:rsidRPr="00395F72">
          <w:rPr>
            <w:sz w:val="20"/>
            <w:szCs w:val="20"/>
          </w:rPr>
          <w:fldChar w:fldCharType="separate"/>
        </w:r>
        <w:r w:rsidR="00041D70">
          <w:rPr>
            <w:noProof/>
            <w:sz w:val="20"/>
            <w:szCs w:val="20"/>
          </w:rPr>
          <w:t>10</w:t>
        </w:r>
        <w:r w:rsidRPr="00395F72">
          <w:rPr>
            <w:noProof/>
            <w:sz w:val="20"/>
            <w:szCs w:val="20"/>
          </w:rPr>
          <w:fldChar w:fldCharType="end"/>
        </w:r>
      </w:p>
    </w:sdtContent>
  </w:sdt>
  <w:p w14:paraId="0E65FFFB" w14:textId="77777777" w:rsidR="000A5EAC" w:rsidRDefault="000A5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D8ED" w14:textId="77777777" w:rsidR="000A5EAC" w:rsidRPr="00934A2C" w:rsidRDefault="000A5EAC">
    <w:pPr>
      <w:pStyle w:val="Footer"/>
      <w:jc w:val="center"/>
      <w:rPr>
        <w:sz w:val="16"/>
        <w:szCs w:val="22"/>
      </w:rPr>
    </w:pPr>
  </w:p>
  <w:p w14:paraId="35E4D989" w14:textId="77777777" w:rsidR="000A5EAC" w:rsidRDefault="000A5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FEA5" w14:textId="77777777" w:rsidR="000A5EAC" w:rsidRDefault="000A5EAC" w:rsidP="00610A15">
      <w:r>
        <w:separator/>
      </w:r>
    </w:p>
  </w:footnote>
  <w:footnote w:type="continuationSeparator" w:id="0">
    <w:p w14:paraId="19A0A29F" w14:textId="77777777" w:rsidR="000A5EAC" w:rsidRDefault="000A5EAC" w:rsidP="00610A15">
      <w:r>
        <w:continuationSeparator/>
      </w:r>
    </w:p>
  </w:footnote>
  <w:footnote w:type="continuationNotice" w:id="1">
    <w:p w14:paraId="7C0965B2" w14:textId="77777777" w:rsidR="000A5EAC" w:rsidRDefault="000A5EAC"/>
  </w:footnote>
  <w:footnote w:id="2">
    <w:p w14:paraId="4B6F9873" w14:textId="20C1A396" w:rsidR="000A5EAC" w:rsidRPr="000D7953" w:rsidRDefault="000A5EAC" w:rsidP="000D7953">
      <w:pPr>
        <w:pStyle w:val="FootnoteText"/>
        <w:tabs>
          <w:tab w:val="left" w:pos="1800"/>
        </w:tabs>
        <w:jc w:val="both"/>
        <w:rPr>
          <w:rFonts w:ascii="Cambria" w:hAnsi="Cambria"/>
          <w:color w:val="FF0000"/>
          <w:sz w:val="16"/>
          <w:szCs w:val="16"/>
          <w:lang w:val="es-UY"/>
        </w:rPr>
      </w:pPr>
      <w:r w:rsidRPr="000D7953">
        <w:rPr>
          <w:rStyle w:val="FootnoteReference"/>
          <w:rFonts w:ascii="Cambria" w:hAnsi="Cambria"/>
          <w:sz w:val="16"/>
          <w:szCs w:val="16"/>
        </w:rPr>
        <w:footnoteRef/>
      </w:r>
      <w:r w:rsidRPr="000D7953">
        <w:rPr>
          <w:rFonts w:ascii="Cambria" w:hAnsi="Cambria"/>
          <w:sz w:val="16"/>
          <w:szCs w:val="16"/>
          <w:lang w:val="es-UY"/>
        </w:rPr>
        <w:t xml:space="preserve"> En comunicación recibida el 22 de octubre de 2015, la viuda de Santiago Leguizamón, Ana María Morra, designó a Dante Ariel Leguizamón Morra como representante legal de la familia en la presente causa e informó que no contaría con la representación de la Sociedad Interamericana de Prensa (SIP). En el escrito de observaciones de fondo de 22 de noviembre de 2016 se incorporan como co-peticionarios al proceso: la Coordinadora de Derechos Humanos del Paraguay (CODEHUPY), el Sindicato de Periodistas del Paraguay, el Foro de Periodistas del Paraguay y Voces Paraguay. </w:t>
      </w:r>
    </w:p>
  </w:footnote>
  <w:footnote w:id="3">
    <w:p w14:paraId="5692F419" w14:textId="080555E8"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color w:val="auto"/>
          <w:sz w:val="16"/>
          <w:szCs w:val="16"/>
          <w:lang w:val="es-MX"/>
        </w:rPr>
        <w:t xml:space="preserve">CIDH. </w:t>
      </w:r>
      <w:r w:rsidRPr="000D7953">
        <w:rPr>
          <w:rFonts w:ascii="Cambria" w:hAnsi="Cambria"/>
          <w:color w:val="auto"/>
          <w:sz w:val="16"/>
          <w:szCs w:val="16"/>
          <w:lang w:val="es-PE"/>
        </w:rPr>
        <w:t>Informe No. 24/16</w:t>
      </w:r>
      <w:r w:rsidRPr="000D7953">
        <w:rPr>
          <w:rFonts w:ascii="Cambria" w:hAnsi="Cambria"/>
          <w:color w:val="auto"/>
          <w:sz w:val="16"/>
          <w:szCs w:val="16"/>
          <w:lang w:val="es-MX"/>
        </w:rPr>
        <w:t xml:space="preserve">. Petición 66-07. Admisibilidad. </w:t>
      </w:r>
      <w:r w:rsidRPr="000D7953">
        <w:rPr>
          <w:rFonts w:ascii="Cambria" w:hAnsi="Cambria"/>
          <w:sz w:val="16"/>
          <w:szCs w:val="16"/>
          <w:lang w:val="es-MX"/>
        </w:rPr>
        <w:t xml:space="preserve">Santiago Leguizamón Zaván y familia. Paraguay. </w:t>
      </w:r>
      <w:r w:rsidRPr="000D7953">
        <w:rPr>
          <w:rFonts w:ascii="Cambria" w:hAnsi="Cambria"/>
          <w:color w:val="auto"/>
          <w:sz w:val="16"/>
          <w:szCs w:val="16"/>
          <w:lang w:val="es-MX"/>
        </w:rPr>
        <w:t>15 de abril de 2016. La CIDH declaró admisible la petición respecto de los artículos 4, 5, 13, 8 y 25, en relación con el artículo 1.1 de la Convención Americana.</w:t>
      </w:r>
    </w:p>
  </w:footnote>
  <w:footnote w:id="4">
    <w:p w14:paraId="0CFD9B15" w14:textId="39FD720E"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Con anterioridad a la adopción del informe de admisibilidad, mediante </w:t>
      </w:r>
      <w:r w:rsidRPr="000D7953">
        <w:rPr>
          <w:rFonts w:ascii="Cambria" w:hAnsi="Cambria"/>
          <w:sz w:val="16"/>
          <w:szCs w:val="16"/>
          <w:lang w:val="es-UY"/>
        </w:rPr>
        <w:t>comunicación recibida el 22 de octubre de 2015, la viuda de Santiago Leguizamón, Ana María Morra, solicitó poner término al</w:t>
      </w:r>
      <w:r w:rsidRPr="000D7953">
        <w:rPr>
          <w:rFonts w:ascii="Cambria" w:hAnsi="Cambria"/>
          <w:sz w:val="16"/>
          <w:szCs w:val="16"/>
          <w:lang w:val="es-PE"/>
        </w:rPr>
        <w:t xml:space="preserve"> proceso de solución amistosa en curso, lo cual fue aceptado por la Comisión.</w:t>
      </w:r>
    </w:p>
  </w:footnote>
  <w:footnote w:id="5">
    <w:p w14:paraId="41E087CF" w14:textId="7F6EEAB6"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 Sociedad Interamericana de Prensa (SIP). El caso de Santiago Leguizamón. ¿Quién me ha robado el mes de abril? Anexo a la</w:t>
      </w:r>
      <w:r w:rsidRPr="000D7953">
        <w:rPr>
          <w:rFonts w:ascii="Cambria" w:hAnsi="Cambria"/>
          <w:sz w:val="16"/>
          <w:szCs w:val="16"/>
          <w:lang w:val="es-MX"/>
        </w:rPr>
        <w:t xml:space="preserve"> petición inicial de 19 de enero de 2007, págs. 1, 4 y 5. Véase también, Escrito de petición inicial de 19 de enero de 2007, pág. 2 y escrito de observaciones de fondo de los peticionarios de 22 de noviembre de 2016, págs. 2 y 3. Esta información no fue controvertida por el Estado</w:t>
      </w:r>
      <w:r w:rsidRPr="000D7953">
        <w:rPr>
          <w:rFonts w:ascii="Cambria" w:hAnsi="Cambria"/>
          <w:sz w:val="16"/>
          <w:szCs w:val="16"/>
          <w:lang w:val="es-PE"/>
        </w:rPr>
        <w:t xml:space="preserv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sz w:val="16"/>
          <w:szCs w:val="16"/>
          <w:lang w:val="es-PE"/>
        </w:rPr>
        <w:t>OEA/Ser.L/V/IICIDH/RELE/INF.16/17, 15</w:t>
      </w:r>
      <w:r w:rsidRPr="000D7953">
        <w:rPr>
          <w:rFonts w:ascii="Cambria" w:hAnsi="Cambria"/>
          <w:sz w:val="16"/>
          <w:szCs w:val="16"/>
          <w:lang w:val="es-MX"/>
        </w:rPr>
        <w:t xml:space="preserve"> de marzo de 2017. Capítulo 1. Párr 131. Disponible en: </w:t>
      </w:r>
      <w:hyperlink r:id="rId1" w:history="1">
        <w:r w:rsidRPr="000D7953">
          <w:rPr>
            <w:rStyle w:val="Hyperlink"/>
            <w:rFonts w:ascii="Cambria" w:hAnsi="Cambria"/>
            <w:sz w:val="16"/>
            <w:szCs w:val="16"/>
            <w:lang w:val="es-PE"/>
          </w:rPr>
          <w:t>http://www.oas.org/es/cidh/expresion/docs/publicaciones/ZONAS_SILENCIADAS_ESP.pdf</w:t>
        </w:r>
      </w:hyperlink>
      <w:r w:rsidRPr="000D7953">
        <w:rPr>
          <w:rFonts w:ascii="Cambria" w:hAnsi="Cambria"/>
          <w:sz w:val="16"/>
          <w:szCs w:val="16"/>
          <w:lang w:val="es-PE"/>
        </w:rPr>
        <w:t>.</w:t>
      </w:r>
    </w:p>
  </w:footnote>
  <w:footnote w:id="6">
    <w:p w14:paraId="64D0916D" w14:textId="20351D7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ES"/>
        </w:rPr>
        <w:t xml:space="preserve">CIDH. Informe Situación de los derechos humanos en </w:t>
      </w:r>
      <w:r w:rsidRPr="000D7953">
        <w:rPr>
          <w:rFonts w:ascii="Cambria" w:hAnsi="Cambria"/>
          <w:sz w:val="16"/>
          <w:szCs w:val="16"/>
          <w:lang w:val="es-MX"/>
        </w:rPr>
        <w:t xml:space="preserve">Paraguay. </w:t>
      </w:r>
      <w:r w:rsidRPr="000D7953">
        <w:rPr>
          <w:rFonts w:ascii="Cambria" w:hAnsi="Cambria"/>
          <w:sz w:val="16"/>
          <w:szCs w:val="16"/>
          <w:lang w:val="es-PE"/>
        </w:rPr>
        <w:t>OEA/Ser./L/VII.110. Doc. 52</w:t>
      </w:r>
      <w:r w:rsidRPr="000D7953">
        <w:rPr>
          <w:rFonts w:ascii="Cambria" w:hAnsi="Cambria"/>
          <w:sz w:val="16"/>
          <w:szCs w:val="16"/>
          <w:lang w:val="es-MX"/>
        </w:rPr>
        <w:t>, 9 de marzo de 2001. Capítulo III. Impunidad. Párr 14. Disponible en:</w:t>
      </w:r>
      <w:r w:rsidRPr="000D7953">
        <w:rPr>
          <w:rFonts w:ascii="Cambria" w:hAnsi="Cambria"/>
          <w:sz w:val="16"/>
          <w:szCs w:val="16"/>
          <w:lang w:val="es-PE"/>
        </w:rPr>
        <w:t xml:space="preserve"> </w:t>
      </w:r>
      <w:hyperlink r:id="rId2" w:history="1">
        <w:r w:rsidRPr="000D7953">
          <w:rPr>
            <w:rStyle w:val="Hyperlink"/>
            <w:rFonts w:ascii="Cambria" w:hAnsi="Cambria"/>
            <w:sz w:val="16"/>
            <w:szCs w:val="16"/>
            <w:lang w:val="es-PE"/>
          </w:rPr>
          <w:t>http://www.cidh.org/countryrep/Paraguay01sp/cap.3.htm</w:t>
        </w:r>
      </w:hyperlink>
      <w:r w:rsidRPr="000D7953">
        <w:rPr>
          <w:rFonts w:ascii="Cambria" w:hAnsi="Cambria"/>
          <w:sz w:val="16"/>
          <w:szCs w:val="16"/>
          <w:lang w:val="es-MX"/>
        </w:rPr>
        <w:t xml:space="preserve">; 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Capítulo 1. Párr 131. </w:t>
      </w:r>
      <w:r w:rsidRPr="000D7953">
        <w:rPr>
          <w:rFonts w:ascii="Cambria" w:hAnsi="Cambria"/>
          <w:sz w:val="16"/>
          <w:szCs w:val="16"/>
          <w:lang w:val="es-PE"/>
        </w:rPr>
        <w:t xml:space="preserve">Si bien estos informes se refieren a años posteriores a los hechos, la CIDH considera que era de notorio conocimiento que la ciudad de Pedro Juan Caballero era una zona fronteriza violenta, derivada de los propios artículos escritos por Santiago Leguizamón. </w:t>
      </w:r>
    </w:p>
  </w:footnote>
  <w:footnote w:id="7">
    <w:p w14:paraId="14A5D4E5" w14:textId="239CCBE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 Notas de prensa escritas por Santiago Leguizamón y notas de prensa en referencia a los artículos del periodista. Juzgado de primera instancia en lo criminal del primer turno. Expediente Judicial: averiguación s/homicidio en esta ciudad. Tomo I, Año 1991, No. 70, folios s/n y 51 y ss. Anexo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Véase también, Anexo 1. Sociedad Interamericana de Prensa (SIP). El caso de Santiago Leguizamón. ¿Quién me ha robado el mes de abril? Anexo a la</w:t>
      </w:r>
      <w:r w:rsidRPr="000D7953">
        <w:rPr>
          <w:rFonts w:ascii="Cambria" w:hAnsi="Cambria"/>
          <w:sz w:val="16"/>
          <w:szCs w:val="16"/>
          <w:lang w:val="es-MX"/>
        </w:rPr>
        <w:t xml:space="preserve"> petición inicial de 19 de enero de 2007, págs. 1 a 3, y escrito de observaciones de fondo de los peticionarios de 22 de noviembre de 2016, págs. 3 a 8 y 10 a 12.</w:t>
      </w:r>
    </w:p>
  </w:footnote>
  <w:footnote w:id="8">
    <w:p w14:paraId="6012F166" w14:textId="12F53FC0"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 Notas de prensa tituladas el “Hampa en Pedro Juan” y “Sus últimas denuncias”. Juzgado de primera instancia en lo criminal del primer turno. Expediente Judicial: averiguación s/homicidio en esta ciudad. Tomo I, Año 1991, No. 70, folios s/n. Anexo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Según los peticionarios el primer artículo, entre otros, habría sido elaborado por Santiago Leguizamón, sin embargo, llevaba la firma de otras personas debido a las advertencias recibidas para dejar de escribir sobre esos temas. Véase también, Anexo 1. Sociedad Interamericana de Prensa (SIP). El caso de Santiago Leguizamón. ¿Quién me ha robado el mes de abril? Anexo a la</w:t>
      </w:r>
      <w:r w:rsidRPr="000D7953">
        <w:rPr>
          <w:rFonts w:ascii="Cambria" w:hAnsi="Cambria"/>
          <w:sz w:val="16"/>
          <w:szCs w:val="16"/>
          <w:lang w:val="es-MX"/>
        </w:rPr>
        <w:t xml:space="preserve"> petición inicial de 19 de enero de 2007, págs. 1 a 3, y escrito de observaciones de fondo de los peticionarios de 22 de noviembre de 2016, págs. 10 a 12.</w:t>
      </w:r>
    </w:p>
  </w:footnote>
  <w:footnote w:id="9">
    <w:p w14:paraId="179BF449" w14:textId="659B5C3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 Certificado de matrimonio, 30 de noviembre de 1974. Expediente judicial. Anexo a la</w:t>
      </w:r>
      <w:r w:rsidRPr="000D7953">
        <w:rPr>
          <w:rFonts w:ascii="Cambria" w:hAnsi="Cambria"/>
          <w:sz w:val="16"/>
          <w:szCs w:val="16"/>
          <w:lang w:val="es-MX"/>
        </w:rPr>
        <w:t xml:space="preserve"> petición inicial de 19 de enero de 2007, folio 27.</w:t>
      </w:r>
    </w:p>
  </w:footnote>
  <w:footnote w:id="10">
    <w:p w14:paraId="3CD13963" w14:textId="412CC86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5. Declaración de Ana María Morra Vda. de Leguizamón ante el Juez de primera instancia en lo criminal del décimo turno de Asunción, 27 de mayo de 1992. Expediente judicial. Anexo a la</w:t>
      </w:r>
      <w:r w:rsidRPr="000D7953">
        <w:rPr>
          <w:rFonts w:ascii="Cambria" w:hAnsi="Cambria"/>
          <w:sz w:val="16"/>
          <w:szCs w:val="16"/>
          <w:lang w:val="es-MX"/>
        </w:rPr>
        <w:t xml:space="preserve"> petición inicial de 19 de enero de 2007. Véase también, escrito de observaciones de fondo de los peticionarios de 22 de noviembre de 2016, págs. 2 y 16.</w:t>
      </w:r>
    </w:p>
  </w:footnote>
  <w:footnote w:id="11">
    <w:p w14:paraId="10BF2F8D" w14:textId="6E1158BB"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6. Certificado de defunción de Santiago Leguizamón Zaván. Expediente judicial. Anexo a la</w:t>
      </w:r>
      <w:r w:rsidRPr="000D7953">
        <w:rPr>
          <w:rFonts w:ascii="Cambria" w:hAnsi="Cambria"/>
          <w:sz w:val="16"/>
          <w:szCs w:val="16"/>
          <w:lang w:val="es-MX"/>
        </w:rPr>
        <w:t xml:space="preserve"> petición inicial de 19 de enero de 2007, folio 127.</w:t>
      </w:r>
    </w:p>
  </w:footnote>
  <w:footnote w:id="12">
    <w:p w14:paraId="19ED0671" w14:textId="2A85F00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7. Informe Policial. Delegación de Gobierno del Amambay. Nota J.P. No. 128/91, 31 de octubre de 1991, y Parte policial. Delegación de Gobierno del Amambay. Nota J.P. No. 86/91, 2 de mayo de 1991. Expediente judicial. Anexos a la</w:t>
      </w:r>
      <w:r w:rsidRPr="000D7953">
        <w:rPr>
          <w:rFonts w:ascii="Cambria" w:hAnsi="Cambria"/>
          <w:sz w:val="16"/>
          <w:szCs w:val="16"/>
          <w:lang w:val="es-MX"/>
        </w:rPr>
        <w:t xml:space="preserve"> petición inicial de 19 de enero de 2007, folios 56 a 57 y 163 a 165.</w:t>
      </w:r>
    </w:p>
  </w:footnote>
  <w:footnote w:id="13">
    <w:p w14:paraId="4DD676E0" w14:textId="6F56EEC6"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8. Declaración de Baldomero Cabral ante el Juez de primera instancia en lo criminal y tutelar del menor del primer turno de la ciudad de Pedro Juan Caballero, 26 de abril de 1991. Expediente judicial. Anexo a la</w:t>
      </w:r>
      <w:r w:rsidRPr="000D7953">
        <w:rPr>
          <w:rFonts w:ascii="Cambria" w:hAnsi="Cambria"/>
          <w:sz w:val="16"/>
          <w:szCs w:val="16"/>
          <w:lang w:val="es-MX"/>
        </w:rPr>
        <w:t xml:space="preserve"> petición inicial de 19 de enero de 2007. Baldomero Cabral era el electricista de la radio </w:t>
      </w:r>
      <w:r w:rsidRPr="000D7953">
        <w:rPr>
          <w:rFonts w:ascii="Cambria" w:hAnsi="Cambria"/>
          <w:sz w:val="16"/>
          <w:szCs w:val="16"/>
          <w:lang w:val="es-ES"/>
        </w:rPr>
        <w:t>Mburucuyá</w:t>
      </w:r>
      <w:r w:rsidRPr="000D7953">
        <w:rPr>
          <w:rFonts w:ascii="Cambria" w:hAnsi="Cambria"/>
          <w:sz w:val="16"/>
          <w:szCs w:val="16"/>
          <w:lang w:val="es-MX"/>
        </w:rPr>
        <w:t xml:space="preserve"> y también el chofer de Santiago Leguizamón.</w:t>
      </w:r>
    </w:p>
  </w:footnote>
  <w:footnote w:id="14">
    <w:p w14:paraId="0C132C9A" w14:textId="779F59B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Anexos 5 y 8. Declaración de Ana María Morra Vda. de Leguizamón ante el Juez de primera instancia en lo criminal del décimo turno de Asunción, 27 de mayo de 1992, folio 101 (reverso), y declaración de Baldomero Cabral ante el Juez de primera instancia en lo criminal y tutelar del menor del primer turno de la ciudad de Pedro Juan Caballero, 26 de abril de 1991, folios 6 (reverso) y 7. Anexo 9. Declaración de Francisco Gill Serviano Coronel (Kiko Servián), 29 de abril de 1991, folios 18 (reverso) y 19 ; declaración de Marcial Benítez, 30 de abril de 1991, folios 23 (reverso) y 24; declaración de Filemón Valdez, 14 de mayo de 1991, folios 84 (reverso) y 85 (quien destacó que el 24 de abril de 1991 el periodista le comentó sobre la última amenaza recibida); declaración de Delpilar Benitez Ortiz, 22 de julio de 1991, folio 132; declaración de Miguel Cabrera Deleon, 24 de julio de 1991, folios 133 (reverso) y 134, y declaración de Cándido Troche Díaz, 25 de julio de 1991, folio136 (reverso). Todas las anteriores rendidas ante el Juez de primera instancia en lo criminal y tutelar del menor del primer turno de la ciudad de Pedro Juan Caballero. Declaración de Humberto León Rubín ante el Juez de primera instancia en lo criminal del décimo turno de Asunción, 14 de mayo de 1991, folios 97 (reverso) y 98 (quien le advirtió al periodista de que había escuchado que lo querían matar y le pidió que tomara precauciones). Expediente judicial. Anexos a la</w:t>
      </w:r>
      <w:r w:rsidRPr="000D7953">
        <w:rPr>
          <w:rFonts w:ascii="Cambria" w:hAnsi="Cambria"/>
          <w:sz w:val="16"/>
          <w:szCs w:val="16"/>
          <w:lang w:val="es-MX"/>
        </w:rPr>
        <w:t xml:space="preserve"> petición inicial de 19 de enero de 2007.</w:t>
      </w:r>
    </w:p>
    <w:p w14:paraId="0C75E3FB" w14:textId="35E43E6C" w:rsidR="000A5EAC" w:rsidRPr="000D7953" w:rsidRDefault="000A5EAC" w:rsidP="000D7953">
      <w:pPr>
        <w:pStyle w:val="FootnoteText"/>
        <w:tabs>
          <w:tab w:val="left" w:pos="1800"/>
        </w:tabs>
        <w:jc w:val="both"/>
        <w:rPr>
          <w:rFonts w:ascii="Cambria" w:hAnsi="Cambria"/>
          <w:sz w:val="16"/>
          <w:szCs w:val="16"/>
          <w:lang w:val="es-PE"/>
        </w:rPr>
      </w:pPr>
      <w:r w:rsidRPr="000D7953">
        <w:rPr>
          <w:rFonts w:ascii="Cambria" w:hAnsi="Cambria"/>
          <w:sz w:val="16"/>
          <w:szCs w:val="16"/>
          <w:lang w:val="es-PE"/>
        </w:rPr>
        <w:t>Si bien Santiago Leguizamón no identificó la fuente de las amenazas, según la declaración de Filemón Valdez ante el juez de Pedro Juan Caballero, aquel le confesó que, el señor Fernando Mendonca, una autoridad local quería matarlo por sus denuncias de corrupción en Amambay, en especial en la ciudad de Pedro Juan Caballero, pero que el periodista no lo denunció porque creía que las autoridades no investigarían ni tomarán ninguna medida, especialmente porque según el testigo, Santiago le señaló que el señor Mendonca estaría protegido por el presidente del Paraguay de ese entonces. La autoridad local declaró, a su vez, que el contenido de dicha declaración era falso y que tenía fines políticos y malintencionados. Véase, Declaración de Filemón Valdez ante el Juez de primera instancia en lo criminal y tutelar del menor del primer turno de la ciudad de Pedro Juan Caballero, 14 de mayo de 1991, folios 84 (reverso) y 85, y Anexo 10. Declaración de Fernando Enrique Mendonca Alcorta ante el Juez de primera instancia en lo criminal y tutelar del menor del primer turno de la ciudad de Pedro Juan Caballero, 31 de julio de 1991, folios 141 (reverso) y 142. Expediente judicial. Anexos a la</w:t>
      </w:r>
      <w:r w:rsidRPr="000D7953">
        <w:rPr>
          <w:rFonts w:ascii="Cambria" w:hAnsi="Cambria"/>
          <w:sz w:val="16"/>
          <w:szCs w:val="16"/>
          <w:lang w:val="es-MX"/>
        </w:rPr>
        <w:t xml:space="preserve"> petición inicial de 19 de enero de 2007.</w:t>
      </w:r>
    </w:p>
  </w:footnote>
  <w:footnote w:id="15">
    <w:p w14:paraId="780900A9" w14:textId="28B86D28"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5. Declaración de Ana María Morra Vda. de Leguizamón ante el Juez de primera instancia en lo criminal del décimo turno de Asunción, 27 de mayo de 1992, folio 101 (reverso). Anexo 9. Declaración de Francisco Gill Serviano Coronel (Kiko Servián), 29 de abril de 1991, folios 18 (reverso) y 19 ; declaración de Marcial Benítez, 30 de abril de 1991, folios 23 (reverso) y 24; declaración de Delpilar Benitez Ortiz, 22 de julio de 1991, folio 132, y declaración de Miguel Cabrera Deleon, 24 de julio de 1991, folios 133 (reverso) y 134. Todas las anteriores rendidas ante el Juez de primera instancia en lo criminal y tutelar del menor del primer turno de la ciudad de Pedro Juan Caballero. Declaración de Humberto León Rubín ante el Juez de primera instancia en lo criminal del décimo turno de Asunción, 14 de mayo de 1991, folios 97 (reverso) y 98. Expediente judicial. Anexos a la</w:t>
      </w:r>
      <w:r w:rsidRPr="000D7953">
        <w:rPr>
          <w:rFonts w:ascii="Cambria" w:hAnsi="Cambria"/>
          <w:sz w:val="16"/>
          <w:szCs w:val="16"/>
          <w:lang w:val="es-MX"/>
        </w:rPr>
        <w:t xml:space="preserve"> petición inicial de 19 de enero de 2007.</w:t>
      </w:r>
    </w:p>
  </w:footnote>
  <w:footnote w:id="16">
    <w:p w14:paraId="68BE6D4B" w14:textId="2CAF903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9. Declaración de Francisco Gill Serviano Coronel (Kiko Servián) ante el Juez de primera instancia en lo criminal y tutelar del menor del primer turno de la ciudad de Pedro Juan Caballero, 29 de abril de 1991. Expediente judicial. Anexo a la</w:t>
      </w:r>
      <w:r w:rsidRPr="000D7953">
        <w:rPr>
          <w:rFonts w:ascii="Cambria" w:hAnsi="Cambria"/>
          <w:sz w:val="16"/>
          <w:szCs w:val="16"/>
          <w:lang w:val="es-MX"/>
        </w:rPr>
        <w:t xml:space="preserve"> petición inicial de 19 de enero de 2007, folio 19.</w:t>
      </w:r>
    </w:p>
  </w:footnote>
  <w:footnote w:id="17">
    <w:p w14:paraId="73383372" w14:textId="663C1C4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9. Declaración de Humberto León Rubín ante el Juez de primera instancia en lo criminal del décimo turno de Asunción, 14 de mayo de 1991, folios 97 (reverso) y 98. Expediente judicial. Anexo a la</w:t>
      </w:r>
      <w:r w:rsidRPr="000D7953">
        <w:rPr>
          <w:rFonts w:ascii="Cambria" w:hAnsi="Cambria"/>
          <w:sz w:val="16"/>
          <w:szCs w:val="16"/>
          <w:lang w:val="es-MX"/>
        </w:rPr>
        <w:t xml:space="preserve"> petición inicial de 19 de enero de 2007.</w:t>
      </w:r>
    </w:p>
  </w:footnote>
  <w:footnote w:id="18">
    <w:p w14:paraId="73514B35" w14:textId="2B16375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8. Declaración de Baldomero Cabral ante el Juez de primera instancia en lo criminal y tutelar del menor del primer turno de la ciudad de Pedro Juan Caballero, 26 de abril de 1991. Expediente judicial. Anexo a la</w:t>
      </w:r>
      <w:r w:rsidRPr="000D7953">
        <w:rPr>
          <w:rFonts w:ascii="Cambria" w:hAnsi="Cambria"/>
          <w:sz w:val="16"/>
          <w:szCs w:val="16"/>
          <w:lang w:val="es-MX"/>
        </w:rPr>
        <w:t xml:space="preserve"> petición inicial de 19 de enero de 2007, folios 6 (reverso) y 7.</w:t>
      </w:r>
    </w:p>
  </w:footnote>
  <w:footnote w:id="19">
    <w:p w14:paraId="5BF17126" w14:textId="0E5528F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9. Declaración de Cándido Troche Díaz ante el Juez de primera instancia en lo criminal y tutelar del menor del primer turno de la ciudad de Pedro Juan Caballero, 25 de julio de 1991. Expediente judicial. Anexo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folios 136 a 137.</w:t>
      </w:r>
    </w:p>
  </w:footnote>
  <w:footnote w:id="20">
    <w:p w14:paraId="6857DD69" w14:textId="242EE3A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38.</w:t>
      </w:r>
    </w:p>
  </w:footnote>
  <w:footnote w:id="21">
    <w:p w14:paraId="0FD6B094" w14:textId="7411864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9. Declaración de Cándido Troche Díaz ante el Juez de primera instancia en lo criminal y tutelar del menor del primer turno de la ciudad de Pedro Juan Caballero, 25 de julio de 1991. Expediente judicial. Anexo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folios 136 a 137.</w:t>
      </w:r>
    </w:p>
  </w:footnote>
  <w:footnote w:id="22">
    <w:p w14:paraId="5A1FF691" w14:textId="5F5A8B32" w:rsidR="000A5EAC" w:rsidRPr="000D7953" w:rsidRDefault="000A5EAC" w:rsidP="000D7953">
      <w:pPr>
        <w:pStyle w:val="FootnoteText"/>
        <w:tabs>
          <w:tab w:val="left" w:pos="1800"/>
        </w:tabs>
        <w:jc w:val="both"/>
        <w:rPr>
          <w:rFonts w:ascii="Cambria" w:hAnsi="Cambria"/>
          <w:sz w:val="16"/>
          <w:szCs w:val="16"/>
          <w:lang w:val="es-MX"/>
        </w:rPr>
      </w:pPr>
      <w:r w:rsidRPr="000D7953">
        <w:rPr>
          <w:rStyle w:val="FootnoteReference"/>
          <w:rFonts w:ascii="Cambria" w:hAnsi="Cambria"/>
          <w:sz w:val="16"/>
          <w:szCs w:val="16"/>
        </w:rPr>
        <w:footnoteRef/>
      </w:r>
      <w:r w:rsidRPr="000D7953">
        <w:rPr>
          <w:rFonts w:ascii="Cambria" w:hAnsi="Cambria"/>
          <w:sz w:val="16"/>
          <w:szCs w:val="16"/>
          <w:lang w:val="es-PE"/>
        </w:rPr>
        <w:t xml:space="preserve"> Anexo 11. Nota de prensa titulada “Asesinos habrían venido de Río de Janeiro o San Pablo”. Diario ABC. 29 de abril de 1991; Oficios No. 982 y 1116 emitidos por el Juez de primera instancia en lo criminal y tutelar del menor del primer turno de la ciudad de Pedro Juan Caballero, 4 de noviembre de 1991 y 19 de diciembre de 1991, respectivamente, folios 162 y 169; declaración de Pablino Benítez Bareiro, 21 de enero de 1992, folios 203 y 204 en donde ratifica sus declaraciones al diario ABC, y declaración de Marcial Benítez ante el Juez de primera instancia en lo criminal y tutelar del menor del primer turno de la ciudad de Pedro Juan Caballero (en donde ratifica lo señalado por Pablino Benítez), 30 de abril de 1991, folio 24. Expediente judicial. Anexos a la</w:t>
      </w:r>
      <w:r w:rsidRPr="000D7953">
        <w:rPr>
          <w:rFonts w:ascii="Cambria" w:hAnsi="Cambria"/>
          <w:sz w:val="16"/>
          <w:szCs w:val="16"/>
          <w:lang w:val="es-MX"/>
        </w:rPr>
        <w:t xml:space="preserve"> petición inicial de 19 de enero de 2007.</w:t>
      </w:r>
    </w:p>
    <w:p w14:paraId="1742FE5B" w14:textId="399B231C" w:rsidR="000A5EAC" w:rsidRPr="000D7953" w:rsidRDefault="000A5EAC" w:rsidP="000D7953">
      <w:pPr>
        <w:pStyle w:val="FootnoteText"/>
        <w:tabs>
          <w:tab w:val="left" w:pos="1800"/>
        </w:tabs>
        <w:jc w:val="both"/>
        <w:rPr>
          <w:rFonts w:ascii="Cambria" w:hAnsi="Cambria"/>
          <w:sz w:val="16"/>
          <w:szCs w:val="16"/>
          <w:lang w:val="es-PE"/>
        </w:rPr>
      </w:pPr>
      <w:r w:rsidRPr="000D7953">
        <w:rPr>
          <w:rFonts w:ascii="Cambria" w:hAnsi="Cambria"/>
          <w:sz w:val="16"/>
          <w:szCs w:val="16"/>
          <w:lang w:val="es-MX"/>
        </w:rPr>
        <w:t>S</w:t>
      </w:r>
      <w:r w:rsidRPr="000D7953">
        <w:rPr>
          <w:rFonts w:ascii="Cambria" w:hAnsi="Cambria"/>
          <w:sz w:val="16"/>
          <w:szCs w:val="16"/>
          <w:lang w:val="es-PE"/>
        </w:rPr>
        <w:t>egún la declaración de Filemón Valdez ante el juez de Pedro Juan Caballero, Santiago Leguizamón le confesó que una autoridad local quería matarlo por sus denuncias de corrupción en Amambay, en especial en la ciudad de Pedro Juan Caballero, pero que el periodista no lo denunció porque creía que las autoridades no investigarían ni tomarán ninguna medida, especialmente porque según el testigo, Santiago le señaló que el señor Mendonca estaría protegido por el presidente del Paraguay de ese entonces. Véase, Declaración de Filemón Valdez ante el Juez de primera instancia en lo criminal y tutelar del menor del primer turno de la ciudad de Pedro Juan Caballero, 14 de mayo de 1991, folios 84 (reverso) y 85. Expediente judicial. Anexos a la</w:t>
      </w:r>
      <w:r w:rsidRPr="000D7953">
        <w:rPr>
          <w:rFonts w:ascii="Cambria" w:hAnsi="Cambria"/>
          <w:sz w:val="16"/>
          <w:szCs w:val="16"/>
          <w:lang w:val="es-MX"/>
        </w:rPr>
        <w:t xml:space="preserve"> petición inicial de 19 de enero de 2007.</w:t>
      </w:r>
    </w:p>
  </w:footnote>
  <w:footnote w:id="23">
    <w:p w14:paraId="1178FFAB" w14:textId="627C0FEE" w:rsidR="000A5EAC" w:rsidRPr="000D7953" w:rsidRDefault="000A5EAC" w:rsidP="000D7953">
      <w:pPr>
        <w:pStyle w:val="FootnoteText"/>
        <w:tabs>
          <w:tab w:val="left" w:pos="1800"/>
        </w:tabs>
        <w:jc w:val="both"/>
        <w:rPr>
          <w:rFonts w:ascii="Cambria" w:hAnsi="Cambria"/>
          <w:sz w:val="16"/>
          <w:szCs w:val="16"/>
          <w:lang w:val="es-MX"/>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Pág. 61, y Comunicado de prensa No. R41/20. “Relatoría Especial condena asesinato del periodista Leo Veras en Paraguay y llama a adoptar acciones decididas para prevenir e investigar crímenes de periodistas en la frontera”. 17 de febrero de 2020. Disponible en: </w:t>
      </w:r>
      <w:hyperlink r:id="rId3" w:history="1">
        <w:r w:rsidRPr="000D7953">
          <w:rPr>
            <w:rStyle w:val="Hyperlink"/>
            <w:rFonts w:ascii="Cambria" w:hAnsi="Cambria"/>
            <w:sz w:val="16"/>
            <w:szCs w:val="16"/>
            <w:lang w:val="es-PE"/>
          </w:rPr>
          <w:t>http://www.oas.org/es/cidh/expresion/showarticle.asp?artID=1165&amp;lID=2</w:t>
        </w:r>
      </w:hyperlink>
      <w:r w:rsidRPr="000D7953">
        <w:rPr>
          <w:rFonts w:ascii="Cambria" w:hAnsi="Cambria"/>
          <w:sz w:val="16"/>
          <w:szCs w:val="16"/>
          <w:lang w:val="es-PE"/>
        </w:rPr>
        <w:t xml:space="preserve"> </w:t>
      </w:r>
    </w:p>
  </w:footnote>
  <w:footnote w:id="24">
    <w:p w14:paraId="54F4B87A" w14:textId="2A19DB0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En el caso de Paraguay el Estado informó a la Relatoría Especial que se encontraría “en estudio en el Congreso Nacional un proyecto de Ley sobre la protección de los periodistas y defensores de derechos humanos, el mismo fue presentado el 17 de noviembre de 2016, con el nombre de Proyecto de Ley “De libertad de expresión y protección a periodistas, trabajadores de prensa y defensores de derechos humanos”. La CIDH no cuenta con información actualizada sobre la adopción de esta norma o la creación de un mecanismo de protección.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Párrs. 137 y 177. De conformidad con el informe zonas silenciadas, la CIDH destaca la adopción de normativa diversa y la creación de mecanismos de protección para periodistas en la región, como por ejemplo en México, Colombia, Honduras y Brasil. Asimismo, se destaca que Guatemala habría iniciado esfuerzos en este sentido, al igual que Argentina, que además aprobó el </w:t>
      </w:r>
      <w:r w:rsidRPr="000D7953">
        <w:rPr>
          <w:rFonts w:ascii="Cambria" w:hAnsi="Cambria"/>
          <w:sz w:val="16"/>
          <w:szCs w:val="16"/>
          <w:lang w:val="es-PE"/>
        </w:rPr>
        <w:t xml:space="preserve">el Protocolo General de Actuación para la Protección de la Actividad Periodística en 2016. Véase,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Págs. 77 a 102.</w:t>
      </w:r>
    </w:p>
  </w:footnote>
  <w:footnote w:id="25">
    <w:p w14:paraId="67C298E7" w14:textId="3CF555A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12. Auto del Juez de primera instancia en lo criminal y tutelar del menor del primer turno de la ciudad de Pedro Juan Caballero, 26 de abril de 1991. Expediente judicial. Anexos a la</w:t>
      </w:r>
      <w:r w:rsidRPr="000D7953">
        <w:rPr>
          <w:rFonts w:ascii="Cambria" w:hAnsi="Cambria"/>
          <w:sz w:val="16"/>
          <w:szCs w:val="16"/>
          <w:lang w:val="es-MX"/>
        </w:rPr>
        <w:t xml:space="preserve"> petición inicial de 19 de enero de 2007, folio 1.</w:t>
      </w:r>
    </w:p>
  </w:footnote>
  <w:footnote w:id="26">
    <w:p w14:paraId="1FEE06B9" w14:textId="2AE35F34"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13. Acta judicial. Juzgado de primera instancia en lo criminal y tutelar del menor del primer turno de la ciudad de Pedro Juan Caballero, 26 de abril de 1991, </w:t>
      </w:r>
      <w:r w:rsidRPr="000D7953">
        <w:rPr>
          <w:rFonts w:ascii="Cambria" w:hAnsi="Cambria"/>
          <w:sz w:val="16"/>
          <w:szCs w:val="16"/>
          <w:lang w:val="es-MX"/>
        </w:rPr>
        <w:t>y Croquis del lugar de los hechos.</w:t>
      </w:r>
      <w:r w:rsidRPr="000D7953">
        <w:rPr>
          <w:rFonts w:ascii="Cambria" w:hAnsi="Cambria"/>
          <w:sz w:val="16"/>
          <w:szCs w:val="16"/>
          <w:lang w:val="es-PE"/>
        </w:rPr>
        <w:t xml:space="preserve"> Expediente judicial. Anexos a la</w:t>
      </w:r>
      <w:r w:rsidRPr="000D7953">
        <w:rPr>
          <w:rFonts w:ascii="Cambria" w:hAnsi="Cambria"/>
          <w:sz w:val="16"/>
          <w:szCs w:val="16"/>
          <w:lang w:val="es-MX"/>
        </w:rPr>
        <w:t xml:space="preserve"> petición inicial de 19 de enero de 2007, folios 2 a 4.</w:t>
      </w:r>
    </w:p>
  </w:footnote>
  <w:footnote w:id="27">
    <w:p w14:paraId="4BF2E111" w14:textId="6FC8139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13. Acta judicial. Juzgado de primera instancia en lo criminal y tutelar del menor del primer turno de la ciudad de Pedro Juan Caballero, 26 de abril de 1991. Expediente judicial. Anexos a la</w:t>
      </w:r>
      <w:r w:rsidRPr="000D7953">
        <w:rPr>
          <w:rFonts w:ascii="Cambria" w:hAnsi="Cambria"/>
          <w:sz w:val="16"/>
          <w:szCs w:val="16"/>
          <w:lang w:val="es-MX"/>
        </w:rPr>
        <w:t xml:space="preserve"> petición inicial de 19 de enero de 2007, folios 2 a 3.</w:t>
      </w:r>
    </w:p>
  </w:footnote>
  <w:footnote w:id="28">
    <w:p w14:paraId="2E582460" w14:textId="69A3C564"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14. Fotografías del cadáver de Santiago Leguizamón. Expediente judicial. Anexos a la</w:t>
      </w:r>
      <w:r w:rsidRPr="000D7953">
        <w:rPr>
          <w:rFonts w:ascii="Cambria" w:hAnsi="Cambria"/>
          <w:sz w:val="16"/>
          <w:szCs w:val="16"/>
          <w:lang w:val="es-MX"/>
        </w:rPr>
        <w:t xml:space="preserve"> petición inicial de 19 de enero de 2007, folio 268.</w:t>
      </w:r>
    </w:p>
  </w:footnote>
  <w:footnote w:id="29">
    <w:p w14:paraId="457AAFFB" w14:textId="7013B394"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15. Certificado del médico cirujano Justo Ramón Roig, 29 de abril de 1991. Anexo 13. Acta judicial. Juzgado de primera instancia en lo criminal y tutelar del menor del primer turno de la ciudad de Pedro Juan Caballero, 26 de abril de 1991. Expediente judicial. Anexos a la</w:t>
      </w:r>
      <w:r w:rsidRPr="000D7953">
        <w:rPr>
          <w:rFonts w:ascii="Cambria" w:hAnsi="Cambria"/>
          <w:sz w:val="16"/>
          <w:szCs w:val="16"/>
          <w:lang w:val="es-MX"/>
        </w:rPr>
        <w:t xml:space="preserve"> petición inicial de 19 de enero de 2007, folios 2 a 3 y 55.</w:t>
      </w:r>
    </w:p>
  </w:footnote>
  <w:footnote w:id="30">
    <w:p w14:paraId="2C6DCB3E" w14:textId="3EDD16F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16. Auto interlocutorio No. 169. Juzgado de primera instancia en lo criminal y tutelar del menor del primer turno de la ciudad de Pedro Juan Caballero, 26 de abril de 1991. Expediente judicial. Anexos a la</w:t>
      </w:r>
      <w:r w:rsidRPr="000D7953">
        <w:rPr>
          <w:rFonts w:ascii="Cambria" w:hAnsi="Cambria"/>
          <w:sz w:val="16"/>
          <w:szCs w:val="16"/>
          <w:lang w:val="es-MX"/>
        </w:rPr>
        <w:t xml:space="preserve"> petición inicial de 19 de enero de 2007, folio 5.</w:t>
      </w:r>
    </w:p>
  </w:footnote>
  <w:footnote w:id="31">
    <w:p w14:paraId="3E599AB9" w14:textId="10A3A734"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17. Carta del Vicecónsul del Paraguay en Ponta Porã al Delegado Regional de la policía civil, 27 de abril de 1991. Expediente judicial. Anexos a la</w:t>
      </w:r>
      <w:r w:rsidRPr="000D7953">
        <w:rPr>
          <w:rFonts w:ascii="Cambria" w:hAnsi="Cambria"/>
          <w:sz w:val="16"/>
          <w:szCs w:val="16"/>
          <w:lang w:val="es-MX"/>
        </w:rPr>
        <w:t xml:space="preserve"> petición inicial de 19 de enero de 2007, folio 186.</w:t>
      </w:r>
    </w:p>
  </w:footnote>
  <w:footnote w:id="32">
    <w:p w14:paraId="1059F147" w14:textId="71521D3A" w:rsidR="000A5EAC" w:rsidRPr="000D7953" w:rsidRDefault="000A5EAC" w:rsidP="000D7953">
      <w:pPr>
        <w:pStyle w:val="FootnoteText"/>
        <w:tabs>
          <w:tab w:val="left" w:pos="1800"/>
        </w:tabs>
        <w:jc w:val="both"/>
        <w:rPr>
          <w:rFonts w:ascii="Cambria" w:hAnsi="Cambria"/>
          <w:color w:val="FF0000"/>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color w:val="000000" w:themeColor="text1"/>
          <w:sz w:val="16"/>
          <w:szCs w:val="16"/>
          <w:lang w:val="es-PE"/>
        </w:rPr>
        <w:t xml:space="preserve">La parte peticionaria señala que se recabaron 44 declaraciones, citando tomos del expediente judicial con los que la CIDH no cuenta. Anexo 18. Declaraciones dictadas en proceso por la muerte de Santiago Leguizamón. Expediente judicial. </w:t>
      </w:r>
      <w:r w:rsidRPr="000D7953">
        <w:rPr>
          <w:rFonts w:ascii="Cambria" w:hAnsi="Cambria"/>
          <w:sz w:val="16"/>
          <w:szCs w:val="16"/>
          <w:lang w:val="es-PE"/>
        </w:rPr>
        <w:t>Anexos a la</w:t>
      </w:r>
      <w:r w:rsidRPr="000D7953">
        <w:rPr>
          <w:rFonts w:ascii="Cambria" w:hAnsi="Cambria"/>
          <w:sz w:val="16"/>
          <w:szCs w:val="16"/>
          <w:lang w:val="es-MX"/>
        </w:rPr>
        <w:t xml:space="preserve"> petición inicial de 19 de enero de 2007.</w:t>
      </w:r>
    </w:p>
  </w:footnote>
  <w:footnote w:id="33">
    <w:p w14:paraId="66130159" w14:textId="2C077C8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19. Declaración de Fahd Yamil ante el Juez de primera instancia en lo criminal y tutelar del menor del primer turno de la ciudad de Pedro Juan Caballero, 25 de junio de 1991. Expediente judicial. Anexos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folios 124 a 126, y anexo 10. Declaración de Fernando Enrique Mendonca Alcorta ante el Juez de primera instancia en lo criminal y tutelar del menor del primer turno de la ciudad de Pedro Juan Caballero, 31 de julio de 1991. Expediente judicial. Anexos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folios 141 y 142.</w:t>
      </w:r>
    </w:p>
  </w:footnote>
  <w:footnote w:id="34">
    <w:p w14:paraId="5C083975" w14:textId="4426FDF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20. Acta de inspección ocular de la radio Mburucuyá, 29 de abril de 1991; Exhorto 4/91, Notas No. 3381, 382 y 383, 2 de mayo de 1991; nota de prensa titulada “Libraron un exhorto a Brasil”. Diario Noticias. 30 de abril de 1991; informe sobre movimientos de aeronaves del comandante de la base aérea de Pedro Juan Caballero, 3 de mayo de 1991; informe del Superintendente y oficio No. 3/91 de archivista encargado sobre movimientos de aeronaves del aeropuerto internacional de Punta Porá, 7 de mayo de 1991; auto del Juzgado de primera instancia en lo criminal y tutelar del menor del primer turno de la ciudad de Pedro Juan Caballero, 30 de abril de 1991. Expediente judicial. Anexos a la</w:t>
      </w:r>
      <w:r w:rsidRPr="000D7953">
        <w:rPr>
          <w:rFonts w:ascii="Cambria" w:hAnsi="Cambria"/>
          <w:sz w:val="16"/>
          <w:szCs w:val="16"/>
          <w:lang w:val="es-MX"/>
        </w:rPr>
        <w:t xml:space="preserve"> petición inicial de 19 de enero de 2007, folios</w:t>
      </w:r>
      <w:r w:rsidRPr="000D7953">
        <w:rPr>
          <w:rFonts w:ascii="Cambria" w:hAnsi="Cambria"/>
          <w:sz w:val="16"/>
          <w:szCs w:val="16"/>
          <w:lang w:val="es-PE"/>
        </w:rPr>
        <w:t xml:space="preserve"> 22, 25, 39 a 42, 62 a 65 y 67 a 68. Anexo 7. Informe Policial. Delegación de Gobierno del Amambay. Nota J.P. No. 128/91, 31 de octubre de 1991, y Parte policial. Delegación de Gobierno del Amambay. Nota J.P. No. 86/91, 2 de mayo de 1991. Expediente judicial. Anexos a la</w:t>
      </w:r>
      <w:r w:rsidRPr="000D7953">
        <w:rPr>
          <w:rFonts w:ascii="Cambria" w:hAnsi="Cambria"/>
          <w:sz w:val="16"/>
          <w:szCs w:val="16"/>
          <w:lang w:val="es-MX"/>
        </w:rPr>
        <w:t xml:space="preserve"> petición inicial de 19 de enero de 2007, folios 56 a 57 y 163 a 165. </w:t>
      </w:r>
    </w:p>
  </w:footnote>
  <w:footnote w:id="35">
    <w:p w14:paraId="3396170E" w14:textId="2BCD3F3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7. Informe Policial. Delegación de Gobierno del Amambay. Nota J.P. No. 128/91, 31 de octubre de 1991. Expediente judicial. Anexos a la</w:t>
      </w:r>
      <w:r w:rsidRPr="000D7953">
        <w:rPr>
          <w:rFonts w:ascii="Cambria" w:hAnsi="Cambria"/>
          <w:sz w:val="16"/>
          <w:szCs w:val="16"/>
          <w:lang w:val="es-MX"/>
        </w:rPr>
        <w:t xml:space="preserve"> petición inicial de 19 de enero de 2007, folios 164 y 165, y anexo 21. </w:t>
      </w:r>
      <w:r w:rsidRPr="000D7953">
        <w:rPr>
          <w:rFonts w:ascii="Cambria" w:hAnsi="Cambria"/>
          <w:sz w:val="16"/>
          <w:szCs w:val="16"/>
          <w:lang w:val="es-PE"/>
        </w:rPr>
        <w:t xml:space="preserve"> Oficio No. 261/91 del delegado de la policía de Ponta Porã, 9 de mayo de 1991, y Nota J.P. No. 94/91, 17 de mayo de 1991. Expediente judicial. Anexos a la</w:t>
      </w:r>
      <w:r w:rsidRPr="000D7953">
        <w:rPr>
          <w:rFonts w:ascii="Cambria" w:hAnsi="Cambria"/>
          <w:sz w:val="16"/>
          <w:szCs w:val="16"/>
          <w:lang w:val="es-MX"/>
        </w:rPr>
        <w:t xml:space="preserve"> petición inicial de 19 de enero de 2007, folios 86 a 87.</w:t>
      </w:r>
    </w:p>
  </w:footnote>
  <w:footnote w:id="36">
    <w:p w14:paraId="55841F2B" w14:textId="7C34F86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7. Informe Policial. Delegación de Gobierno del Amambay. Nota J.P. No. 128/91, 31 de octubre de 1991. Expediente judicial. Anexos a la</w:t>
      </w:r>
      <w:r w:rsidRPr="000D7953">
        <w:rPr>
          <w:rFonts w:ascii="Cambria" w:hAnsi="Cambria"/>
          <w:sz w:val="16"/>
          <w:szCs w:val="16"/>
          <w:lang w:val="es-MX"/>
        </w:rPr>
        <w:t xml:space="preserve"> petición inicial de 19 de enero de 2007, folios 164 y 165</w:t>
      </w:r>
      <w:r w:rsidRPr="000D7953">
        <w:rPr>
          <w:rFonts w:ascii="Cambria" w:hAnsi="Cambria"/>
          <w:sz w:val="16"/>
          <w:szCs w:val="16"/>
          <w:lang w:val="es-PE"/>
        </w:rPr>
        <w:t>, y anexo 22. Nota de prensa s/f titulada “Hay identikit de 2 asesinos de Leguizamón”. Expediente judicial. Anexos a la</w:t>
      </w:r>
      <w:r w:rsidRPr="000D7953">
        <w:rPr>
          <w:rFonts w:ascii="Cambria" w:hAnsi="Cambria"/>
          <w:sz w:val="16"/>
          <w:szCs w:val="16"/>
          <w:lang w:val="es-MX"/>
        </w:rPr>
        <w:t xml:space="preserve"> petición inicial de 19 de enero de 2007, folio 48. </w:t>
      </w:r>
    </w:p>
  </w:footnote>
  <w:footnote w:id="37">
    <w:p w14:paraId="2CB18C42" w14:textId="1729AAA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23. Cartas y oficios entre autoridades policiales del Paraguay y Brasil, 9, 14, 15 y 16 de enero de 1992, e informe ampliatorio sobre investigaciones practicadas Nota J.P No. 3/92, 21 de enero de 1992. Expediente judicial. Anexos a la</w:t>
      </w:r>
      <w:r w:rsidRPr="000D7953">
        <w:rPr>
          <w:rFonts w:ascii="Cambria" w:hAnsi="Cambria"/>
          <w:sz w:val="16"/>
          <w:szCs w:val="16"/>
          <w:lang w:val="es-MX"/>
        </w:rPr>
        <w:t xml:space="preserve"> petición inicial de 19 de enero de 2007. </w:t>
      </w:r>
    </w:p>
  </w:footnote>
  <w:footnote w:id="38">
    <w:p w14:paraId="3C28C444" w14:textId="3484CDF7"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24. Auto del juez de primera instancia en lo criminal y tutelar del menor del primer turno de la ciudad de Pedro Juan Caballero, 10 de febrero de 1992; exhortos Nos. 3/92, 4/92, 5/92, 6/92, 7/92 y 8/92, 10 de febrero de 1992, y Nota No. 41 al Cónsul paraguayo en Ponta Porá, 10 de febrero de 1992. Expediente judicial. Anexos a la</w:t>
      </w:r>
      <w:r w:rsidRPr="000D7953">
        <w:rPr>
          <w:rFonts w:ascii="Cambria" w:hAnsi="Cambria"/>
          <w:sz w:val="16"/>
          <w:szCs w:val="16"/>
          <w:lang w:val="es-MX"/>
        </w:rPr>
        <w:t xml:space="preserve"> petición inicial de 19 de enero de 2007, folios 206 a 213.</w:t>
      </w:r>
    </w:p>
  </w:footnote>
  <w:footnote w:id="39">
    <w:p w14:paraId="3DB0E695" w14:textId="1E780788"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25. N.N No. 4/92 del Consulado del Paraguay en Ponta Porã “11 de 1992” y documentación referida a la respuesta de Brasil. Expediente judicial. Anexos a la</w:t>
      </w:r>
      <w:r w:rsidRPr="000D7953">
        <w:rPr>
          <w:rFonts w:ascii="Cambria" w:hAnsi="Cambria"/>
          <w:sz w:val="16"/>
          <w:szCs w:val="16"/>
          <w:lang w:val="es-MX"/>
        </w:rPr>
        <w:t xml:space="preserve"> petición inicial de 19 de enero de 2007, folios 233 a 241.</w:t>
      </w:r>
    </w:p>
  </w:footnote>
  <w:footnote w:id="40">
    <w:p w14:paraId="622F414F" w14:textId="7DC5ADBE"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26. Dictamen Fiscal No. 85, 6 de abril de 1992. Expediente judicial. Anexos a la</w:t>
      </w:r>
      <w:r w:rsidRPr="000D7953">
        <w:rPr>
          <w:rFonts w:ascii="Cambria" w:hAnsi="Cambria"/>
          <w:sz w:val="16"/>
          <w:szCs w:val="16"/>
          <w:lang w:val="es-MX"/>
        </w:rPr>
        <w:t xml:space="preserve"> petición inicial de 19 de enero de 2007, folios 244 a 245.</w:t>
      </w:r>
    </w:p>
  </w:footnote>
  <w:footnote w:id="41">
    <w:p w14:paraId="65C39FCC" w14:textId="23A73AD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27. </w:t>
      </w:r>
      <w:r w:rsidRPr="000D7953">
        <w:rPr>
          <w:rFonts w:ascii="Cambria" w:hAnsi="Cambria"/>
          <w:color w:val="000000" w:themeColor="text1"/>
          <w:sz w:val="16"/>
          <w:szCs w:val="16"/>
          <w:lang w:val="es-PE"/>
        </w:rPr>
        <w:t xml:space="preserve">Solicitud del Fiscal de Feria de la circunscripción del Amambay, 15 de enero de 1992, y solicitud del Fiscal del segundo turno e interino del primer turno de la circunscripción del Amambay, 13 de febrero de 1992. </w:t>
      </w:r>
      <w:r w:rsidRPr="000D7953">
        <w:rPr>
          <w:rFonts w:ascii="Cambria" w:hAnsi="Cambria"/>
          <w:sz w:val="16"/>
          <w:szCs w:val="16"/>
          <w:lang w:val="es-PE"/>
        </w:rPr>
        <w:t>Expediente judicial. Anexos a la</w:t>
      </w:r>
      <w:r w:rsidRPr="000D7953">
        <w:rPr>
          <w:rFonts w:ascii="Cambria" w:hAnsi="Cambria"/>
          <w:sz w:val="16"/>
          <w:szCs w:val="16"/>
          <w:lang w:val="es-MX"/>
        </w:rPr>
        <w:t xml:space="preserve"> petición inicial de 19 de enero de 2007, folios 181 y 214 a 215.</w:t>
      </w:r>
    </w:p>
  </w:footnote>
  <w:footnote w:id="42">
    <w:p w14:paraId="0D8F940D" w14:textId="6189752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28. Notas periodísticas. Expediente judicial. Anexos a la</w:t>
      </w:r>
      <w:r w:rsidRPr="000D7953">
        <w:rPr>
          <w:rFonts w:ascii="Cambria" w:hAnsi="Cambria"/>
          <w:sz w:val="16"/>
          <w:szCs w:val="16"/>
          <w:lang w:val="es-MX"/>
        </w:rPr>
        <w:t xml:space="preserve"> petición inicial de 19 de enero de 2007, folios 177 a 180, 184 a 185 y 188 y ss.</w:t>
      </w:r>
    </w:p>
  </w:footnote>
  <w:footnote w:id="43">
    <w:p w14:paraId="48549A88" w14:textId="27C1D15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29. Ampliación de sumario, 18 de febrero de 1992. Expediente judicial. Anexo a la</w:t>
      </w:r>
      <w:r w:rsidRPr="000D7953">
        <w:rPr>
          <w:rFonts w:ascii="Cambria" w:hAnsi="Cambria"/>
          <w:sz w:val="16"/>
          <w:szCs w:val="16"/>
          <w:lang w:val="es-MX"/>
        </w:rPr>
        <w:t xml:space="preserve"> petición inicial de 19 de enero de 2007, folio 217.</w:t>
      </w:r>
      <w:r w:rsidRPr="000D7953">
        <w:rPr>
          <w:rFonts w:ascii="Cambria" w:hAnsi="Cambria"/>
          <w:sz w:val="16"/>
          <w:szCs w:val="16"/>
          <w:lang w:val="es-PE"/>
        </w:rPr>
        <w:t xml:space="preserve"> Las personas que fueron incluidas en el sumario y cuya detención se solicitaron son: Daniel Álvarez Georges, Walter Aparecido de Lima, João Francisco R. Pires, Mauricio Marques, Francisco Giménez, Vilmar Aparecido Lima, Braz Vaz de Moura, Luis Enrique Georges, Reginaldo Naba, João Aparecido de Lima, Arístides Calonga López, José Altino Dos Santos, Milton Gonzaga y João Francisco Araulho.</w:t>
      </w:r>
    </w:p>
  </w:footnote>
  <w:footnote w:id="44">
    <w:p w14:paraId="775ED070" w14:textId="51899B3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30. Oficios No. 84 y 85; telegramas a Ministerio del Interior y Jefatura de la policía de la capital, 18 de febrero de 1992, y Oficios No. 93 y 94, 19 de febrero de 1992. Expediente judicial. Anexo a la</w:t>
      </w:r>
      <w:r w:rsidRPr="000D7953">
        <w:rPr>
          <w:rFonts w:ascii="Cambria" w:hAnsi="Cambria"/>
          <w:sz w:val="16"/>
          <w:szCs w:val="16"/>
          <w:lang w:val="es-MX"/>
        </w:rPr>
        <w:t xml:space="preserve"> petición inicial de 19 de enero de 2007, folios 218 a 221, y 227 a 228.</w:t>
      </w:r>
    </w:p>
  </w:footnote>
  <w:footnote w:id="45">
    <w:p w14:paraId="77744EE0" w14:textId="2713D92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31. Resolución del juez de primera instancia en lo criminal y tutelar del menor del primer turno de la ciudad de Pedro Juan Caballero, 16 de marzo de 1992. Expediente judicial. Anexo a la</w:t>
      </w:r>
      <w:r w:rsidRPr="000D7953">
        <w:rPr>
          <w:rFonts w:ascii="Cambria" w:hAnsi="Cambria"/>
          <w:sz w:val="16"/>
          <w:szCs w:val="16"/>
          <w:lang w:val="es-MX"/>
        </w:rPr>
        <w:t xml:space="preserve"> petición inicial de 19 de enero de 2007, folio </w:t>
      </w:r>
      <w:r w:rsidRPr="000D7953">
        <w:rPr>
          <w:rFonts w:ascii="Cambria" w:hAnsi="Cambria"/>
          <w:sz w:val="16"/>
          <w:szCs w:val="16"/>
          <w:lang w:val="es-PE"/>
        </w:rPr>
        <w:t xml:space="preserve">232. </w:t>
      </w:r>
    </w:p>
    <w:p w14:paraId="005A9F2C" w14:textId="4448DE45" w:rsidR="000A5EAC" w:rsidRPr="000D7953" w:rsidRDefault="000A5EAC" w:rsidP="000D7953">
      <w:pPr>
        <w:pStyle w:val="FootnoteText"/>
        <w:tabs>
          <w:tab w:val="left" w:pos="1800"/>
        </w:tabs>
        <w:jc w:val="both"/>
        <w:rPr>
          <w:rFonts w:ascii="Cambria" w:hAnsi="Cambria"/>
          <w:sz w:val="16"/>
          <w:szCs w:val="16"/>
          <w:lang w:val="es-PE"/>
        </w:rPr>
      </w:pPr>
      <w:r w:rsidRPr="000D7953">
        <w:rPr>
          <w:rFonts w:ascii="Cambria" w:hAnsi="Cambria"/>
          <w:sz w:val="16"/>
          <w:szCs w:val="16"/>
          <w:lang w:val="es-PE"/>
        </w:rPr>
        <w:t>Daniel Alvarez Georges era hijo de Fahd Yamil. Anexo 32. Declaración de Francisco Vierci Mendoza ante el juez de primera instancia en lo criminal y tutelar del menor del primer turno de la ciudad de Pedro Juan Caballero, 3 de marzo de 1992. Expediente judicial. Anexo a la</w:t>
      </w:r>
      <w:r w:rsidRPr="000D7953">
        <w:rPr>
          <w:rFonts w:ascii="Cambria" w:hAnsi="Cambria"/>
          <w:sz w:val="16"/>
          <w:szCs w:val="16"/>
          <w:lang w:val="es-MX"/>
        </w:rPr>
        <w:t xml:space="preserve"> petición inicial de 19 de enero de 2007, folios 230 y 231.</w:t>
      </w:r>
    </w:p>
  </w:footnote>
  <w:footnote w:id="46">
    <w:p w14:paraId="19DFF24A" w14:textId="3A83DF5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33. Oficio D-9-J. No. 1.757, 2 de marzo de 1992. Expediente judicial. Anexo a la</w:t>
      </w:r>
      <w:r w:rsidRPr="000D7953">
        <w:rPr>
          <w:rFonts w:ascii="Cambria" w:hAnsi="Cambria"/>
          <w:sz w:val="16"/>
          <w:szCs w:val="16"/>
          <w:lang w:val="es-MX"/>
        </w:rPr>
        <w:t xml:space="preserve"> petición inicial de 19 de enero de 2007, folio </w:t>
      </w:r>
      <w:r w:rsidRPr="000D7953">
        <w:rPr>
          <w:rFonts w:ascii="Cambria" w:hAnsi="Cambria"/>
          <w:sz w:val="16"/>
          <w:szCs w:val="16"/>
          <w:lang w:val="es-PE"/>
        </w:rPr>
        <w:t>242.</w:t>
      </w:r>
    </w:p>
  </w:footnote>
  <w:footnote w:id="47">
    <w:p w14:paraId="1BEBC1FF" w14:textId="292E4EA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34. Oficio IP/66/OF-33/92, 3 de abril de 1992, y resolución del juez de primera instancia en lo criminal y tutelar del menor del primer turno de la ciudad de Pedro Juan Caballero, 27 de mayo de 1992; Oficios No. 414, 415, 416 y 417 mediante los cuales el juzgado reitera las órdenes de captura, 30 de septiembre de 1992, y Oficio D-9-J. No. 12.785, 9 de noviembre de 1992 por medio del cual la policía comunica que se impartió las órdenes de captura solicitadas. Expediente judicial. Anexo a la</w:t>
      </w:r>
      <w:r w:rsidRPr="000D7953">
        <w:rPr>
          <w:rFonts w:ascii="Cambria" w:hAnsi="Cambria"/>
          <w:sz w:val="16"/>
          <w:szCs w:val="16"/>
          <w:lang w:val="es-MX"/>
        </w:rPr>
        <w:t xml:space="preserve"> petición inicial de 19 de enero de 2007, folios </w:t>
      </w:r>
      <w:r w:rsidRPr="000D7953">
        <w:rPr>
          <w:rFonts w:ascii="Cambria" w:hAnsi="Cambria"/>
          <w:sz w:val="16"/>
          <w:szCs w:val="16"/>
          <w:lang w:val="es-PE"/>
        </w:rPr>
        <w:t>305 a 310.</w:t>
      </w:r>
    </w:p>
  </w:footnote>
  <w:footnote w:id="48">
    <w:p w14:paraId="03867259" w14:textId="36B5BE3B"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98.</w:t>
      </w:r>
    </w:p>
  </w:footnote>
  <w:footnote w:id="49">
    <w:p w14:paraId="120CEEBE" w14:textId="708D153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35. Resolución del juez de primera instancia en lo criminal y tutelar del menor del primer turno de la ciudad de Pedro Juan Caballero, 29 de abril de 1992. Expediente judicial. Anexo a la</w:t>
      </w:r>
      <w:r w:rsidRPr="000D7953">
        <w:rPr>
          <w:rFonts w:ascii="Cambria" w:hAnsi="Cambria"/>
          <w:sz w:val="16"/>
          <w:szCs w:val="16"/>
          <w:lang w:val="es-MX"/>
        </w:rPr>
        <w:t xml:space="preserve"> petición inicial de 19 de enero de 2007, folio </w:t>
      </w:r>
      <w:r w:rsidRPr="000D7953">
        <w:rPr>
          <w:rFonts w:ascii="Cambria" w:hAnsi="Cambria"/>
          <w:sz w:val="16"/>
          <w:szCs w:val="16"/>
          <w:lang w:val="es-PE"/>
        </w:rPr>
        <w:t>249.</w:t>
      </w:r>
    </w:p>
  </w:footnote>
  <w:footnote w:id="50">
    <w:p w14:paraId="6771F3FC" w14:textId="6F72EA8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36. Auto interlocutorio No. 232, 21 de septiembre de 1992. Expediente judicial. Anexo a la</w:t>
      </w:r>
      <w:r w:rsidRPr="000D7953">
        <w:rPr>
          <w:rFonts w:ascii="Cambria" w:hAnsi="Cambria"/>
          <w:sz w:val="16"/>
          <w:szCs w:val="16"/>
          <w:lang w:val="es-MX"/>
        </w:rPr>
        <w:t xml:space="preserve"> petición inicial de 19 de enero de 2007, folio </w:t>
      </w:r>
      <w:r w:rsidRPr="000D7953">
        <w:rPr>
          <w:rFonts w:ascii="Cambria" w:hAnsi="Cambria"/>
          <w:sz w:val="16"/>
          <w:szCs w:val="16"/>
          <w:lang w:val="es-PE"/>
        </w:rPr>
        <w:t>297.</w:t>
      </w:r>
    </w:p>
  </w:footnote>
  <w:footnote w:id="51">
    <w:p w14:paraId="375C239C" w14:textId="269CA626"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37. Exhortos No. 2, 3, 4, 5, 6, 7 y 8, 30 de septiembre de 1992, y Oficio No. 418, 30 de septiembre de 1992. Expediente judicial. Anexo a la</w:t>
      </w:r>
      <w:r w:rsidRPr="000D7953">
        <w:rPr>
          <w:rFonts w:ascii="Cambria" w:hAnsi="Cambria"/>
          <w:sz w:val="16"/>
          <w:szCs w:val="16"/>
          <w:lang w:val="es-MX"/>
        </w:rPr>
        <w:t xml:space="preserve"> petición inicial de 19 de enero de 2007, folios </w:t>
      </w:r>
      <w:r w:rsidRPr="000D7953">
        <w:rPr>
          <w:rFonts w:ascii="Cambria" w:hAnsi="Cambria"/>
          <w:sz w:val="16"/>
          <w:szCs w:val="16"/>
          <w:lang w:val="es-PE"/>
        </w:rPr>
        <w:t>298 a 304 y 309.</w:t>
      </w:r>
    </w:p>
  </w:footnote>
  <w:footnote w:id="52">
    <w:p w14:paraId="7D8FB334" w14:textId="6234F5FE"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100.</w:t>
      </w:r>
    </w:p>
  </w:footnote>
  <w:footnote w:id="53">
    <w:p w14:paraId="24D472D5" w14:textId="1CBB0AE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101.</w:t>
      </w:r>
    </w:p>
  </w:footnote>
  <w:footnote w:id="54">
    <w:p w14:paraId="50BE4541" w14:textId="649530F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102, y escrito del Estado de 13 de diciembre de 2010, pág. 3. El Estado destacó que la fecha de detención fue 15 de octubre de 1994.</w:t>
      </w:r>
    </w:p>
  </w:footnote>
  <w:footnote w:id="55">
    <w:p w14:paraId="635FEC38" w14:textId="3CAB3C9A"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103, y escrito del Estado de 13 de diciembre de 2010, pág. 3. El Estado destacó que se incluyó al procesado mediante ampliación del sumario por auto interlocutorio No. 317.</w:t>
      </w:r>
    </w:p>
  </w:footnote>
  <w:footnote w:id="56">
    <w:p w14:paraId="03A46337" w14:textId="03D7E06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104, y escrito del Estado de 13 de diciembre de 2010, pág. 3. El Estado destacó que la detención preventiva se levantó mediante auto interlocutorio No. 364.</w:t>
      </w:r>
    </w:p>
  </w:footnote>
  <w:footnote w:id="57">
    <w:p w14:paraId="749343A9" w14:textId="70C0C5D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105.</w:t>
      </w:r>
    </w:p>
  </w:footnote>
  <w:footnote w:id="58">
    <w:p w14:paraId="4D99CE27" w14:textId="629EB69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38. Dictamen Fiscal No. 127, 14 de mayo de 1992; nota de prensa titulada “Aparece testigo en el caso Leguizamón” publicada en el diario “Última Hora”; Declaración de Julia [Bogado] de González ante el Juez de primera instancia en lo criminal y correccional del menor del tercer turno de la ciudad de Pedro Juan Caballero, 29 de mayo de 1992, y declaración de Egidio Bogado López ante el Juez de primera instancia en lo criminal y correccional del menor del tercer turno de la ciudad de Pedro Juan Caballero, 18 de junio de 1992. Expediente judicial. Anexos a la</w:t>
      </w:r>
      <w:r w:rsidRPr="000D7953">
        <w:rPr>
          <w:rFonts w:ascii="Cambria" w:hAnsi="Cambria"/>
          <w:sz w:val="16"/>
          <w:szCs w:val="16"/>
          <w:lang w:val="es-MX"/>
        </w:rPr>
        <w:t xml:space="preserve"> petición inicial de 19 de enero de 2007, folios 252 a 254, 271 a 273 y 288 a 289.</w:t>
      </w:r>
    </w:p>
  </w:footnote>
  <w:footnote w:id="59">
    <w:p w14:paraId="0034977D" w14:textId="185B0C3D"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Escrito de observaciones de fondo de los peticionarios de 22 de noviembre de 2016, párr. 106, y escrito del Estado de 13 de diciembre de 2010, págs. 3 y 4. </w:t>
      </w:r>
    </w:p>
  </w:footnote>
  <w:footnote w:id="60">
    <w:p w14:paraId="6418ABD9" w14:textId="7DCF1D2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39. Declaración de Julia [Bogado] de González ante el Juez de primera instancia en lo criminal y correccional del menor del tercer turno de la ciudad de Pedro Juan Caballero, 29 de mayo de 1992; Auto por el cual el juez ordena la adopción de medidas de protección policial, 29 de mayo de 1992, y Nota No. 189 dirigida al Delegado de Gobierno del Amambay, ordenando se ejecute la medida de protección policial por ocho días, 29 de mayo de 1992. Expediente judicial. Anexos a la</w:t>
      </w:r>
      <w:r w:rsidRPr="000D7953">
        <w:rPr>
          <w:rFonts w:ascii="Cambria" w:hAnsi="Cambria"/>
          <w:sz w:val="16"/>
          <w:szCs w:val="16"/>
          <w:lang w:val="es-MX"/>
        </w:rPr>
        <w:t xml:space="preserve"> petición inicial de 19 de enero de 2007, folios 272 a 274. </w:t>
      </w:r>
    </w:p>
  </w:footnote>
  <w:footnote w:id="61">
    <w:p w14:paraId="045EB8E4" w14:textId="0C4EA8EC"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107.</w:t>
      </w:r>
    </w:p>
  </w:footnote>
  <w:footnote w:id="62">
    <w:p w14:paraId="77D0F123" w14:textId="0D9DAB9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40. Resolución No. 5 del Juez penal de liquidación y sentencia número uno de la circunscripción judicial del Amambay, 20 de febrero de 2002. Anexo al escrito de la parte peticionaria de 30 de junio de 2008, folios 1747 a 1748.</w:t>
      </w:r>
    </w:p>
  </w:footnote>
  <w:footnote w:id="63">
    <w:p w14:paraId="375BE74B" w14:textId="6EAE889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40. Resolución No. 5 del Juez penal de liquidación y sentencia número uno de la circunscripción judicial del Amambay, 20 de febrero de 2002. Anexo al escrito de la parte peticionaria de 30 de junio de 2008, folios 1747 a 1748. El artículo 5, numeral (51) de la Constitución brasileña establece que: “ningún brasileño será extraditado, salvo el naturalizado, en supuesto de delito común, practicado antes de la naturalización o de comprobada vinculación en tráfico ilícito de estupefacientes y drogas afines, en la forma de la ley”.</w:t>
      </w:r>
    </w:p>
  </w:footnote>
  <w:footnote w:id="64">
    <w:p w14:paraId="790E6415" w14:textId="38BAB870"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40. Resolución No. 5 del Juez penal de liquidación y sentencia número uno de la circunscripción judicial del Amambay, 20 de febrero de 2002. Anexo al escrito de la parte peticionaria de 30 de junio de 2008, folios 1747 a 1748.</w:t>
      </w:r>
    </w:p>
  </w:footnote>
  <w:footnote w:id="65">
    <w:p w14:paraId="11B29C5D" w14:textId="6E42615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41. Oficio s/f del dirigido por el Juez penal de liquidación y sentencia número uno de la circunscripción judicial del Amambay a la Ministra de la Corte Suprema de Justicia. Anexo al escrito de la parte peticionaria de 30 de junio de 2008, folio 1753.</w:t>
      </w:r>
    </w:p>
  </w:footnote>
  <w:footnote w:id="66">
    <w:p w14:paraId="385062E9" w14:textId="76E33AB8"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Escrito del Estado de 13 de diciembre de 2010, pág. 5.</w:t>
      </w:r>
    </w:p>
  </w:footnote>
  <w:footnote w:id="67">
    <w:p w14:paraId="60060A24" w14:textId="49B8CFB6"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rPr>
        <w:t xml:space="preserve"> Anexo 42. DJ/50/JUST BRAS PARG. </w:t>
      </w:r>
      <w:r w:rsidRPr="000D7953">
        <w:rPr>
          <w:rFonts w:ascii="Cambria" w:hAnsi="Cambria"/>
          <w:sz w:val="16"/>
          <w:szCs w:val="16"/>
          <w:lang w:val="es-PE"/>
        </w:rPr>
        <w:t>Nota del Ministerio de Relaciones Exteriores de Brasil a la Embajada de Paraguay, 13 de julio de 2007. Nota No. 127 del presidente de la circunscripción judicial del Amambay a la presidenta de la Corte Suprema de Justicia, 13 de septiembre de 2007. Anexo al escrito de la parte peticionaria de 30 de junio de 2008, folios 1767 y 1772.</w:t>
      </w:r>
    </w:p>
  </w:footnote>
  <w:footnote w:id="68">
    <w:p w14:paraId="7F75E1D0" w14:textId="37D7716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Escrito del Estado de 13 de diciembre de 2010, pág. 5.</w:t>
      </w:r>
    </w:p>
  </w:footnote>
  <w:footnote w:id="69">
    <w:p w14:paraId="0C3E33E9" w14:textId="520557D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Escrito de observaciones de fondo de los peticionarios de 22 de noviembre de 2016, pág. 22. </w:t>
      </w:r>
      <w:r w:rsidRPr="000D7953">
        <w:rPr>
          <w:rFonts w:ascii="Cambria" w:hAnsi="Cambria"/>
          <w:sz w:val="16"/>
          <w:szCs w:val="16"/>
          <w:lang w:val="es-PE"/>
        </w:rPr>
        <w:t>La CIDH no cuenta con el expediente completo del caso ni con los escritos de envío del expediente judicial a la justicia brasileña.</w:t>
      </w:r>
    </w:p>
  </w:footnote>
  <w:footnote w:id="70">
    <w:p w14:paraId="350A9AF2" w14:textId="32072A4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Escrito del Estado de 1 de febrero de 2011, pág. 1. Anexo 43. Anexos al escrito del Estado de 1 de febrero de 2011.</w:t>
      </w:r>
    </w:p>
  </w:footnote>
  <w:footnote w:id="71">
    <w:p w14:paraId="793C02A6" w14:textId="4B669F9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44. Investigación de la Sociedad Interamericana de Prensa (SIP) sobre el caso Santiago Leguizamón ante autoridades judiciales brasileñas. Anexo al escrito de la parte peticionaria de 12 de enero de 2012, folio 3.</w:t>
      </w:r>
    </w:p>
  </w:footnote>
  <w:footnote w:id="72">
    <w:p w14:paraId="3E394840" w14:textId="174CFC37"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Los ciudadanos brasileños fallecidos serían: José Aparecido de Lima, Braz Vas de Moura, José Francisco Araulho (alias “tiro certo”), Walter Aparecido de Lima, José Francisco Da Rocha Pires y Arístides Calonga López. Este último falleció en Paraguay en 2001. Escrito del Estado de 13 de diciembre de 2010, pág. 4. Anexo 45. Anexo al escrito de la parte peticionaria de 30 de junio de 2008, folios 1786 y 1787. Paraguay consultó al Brasil sobre la muerte de estas personas, sin embargo, no existe confirmación de dicha consulta en el expediente ante la Comisión.</w:t>
      </w:r>
    </w:p>
  </w:footnote>
  <w:footnote w:id="73">
    <w:p w14:paraId="0F9BB94F" w14:textId="4E179D7B"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págs. 13 y 14.</w:t>
      </w:r>
    </w:p>
  </w:footnote>
  <w:footnote w:id="74">
    <w:p w14:paraId="7DC58E76" w14:textId="4C7E865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 79.</w:t>
      </w:r>
    </w:p>
  </w:footnote>
  <w:footnote w:id="75">
    <w:p w14:paraId="6B8C6A82" w14:textId="60C47987"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Escrito de observaciones de fondo de los peticionarios de 22 de noviembre de 2016, párrs. 80 a 88.</w:t>
      </w:r>
    </w:p>
  </w:footnote>
  <w:footnote w:id="76">
    <w:p w14:paraId="6871C150" w14:textId="550F8447" w:rsidR="000A5EAC" w:rsidRPr="000D7953" w:rsidRDefault="000A5EAC" w:rsidP="000D7953">
      <w:pPr>
        <w:pStyle w:val="ListParagraph"/>
        <w:shd w:val="clear" w:color="auto" w:fill="FFFFFF"/>
        <w:tabs>
          <w:tab w:val="left" w:pos="810"/>
          <w:tab w:val="left" w:pos="1800"/>
        </w:tabs>
        <w:spacing w:before="0" w:after="0"/>
        <w:rPr>
          <w:szCs w:val="16"/>
          <w:lang w:val="es-CO"/>
        </w:rPr>
      </w:pPr>
      <w:r w:rsidRPr="000D7953">
        <w:rPr>
          <w:rStyle w:val="FootnoteReference"/>
          <w:szCs w:val="16"/>
        </w:rPr>
        <w:footnoteRef/>
      </w:r>
      <w:r w:rsidRPr="000D7953">
        <w:rPr>
          <w:szCs w:val="16"/>
          <w:lang w:val="es-CO"/>
        </w:rPr>
        <w:t xml:space="preserve"> El artículo 4.1 de la Convención determina que “</w:t>
      </w:r>
      <w:r w:rsidRPr="000D7953">
        <w:rPr>
          <w:rFonts w:cs="Tahoma"/>
          <w:szCs w:val="16"/>
          <w:lang w:val="es-CO" w:eastAsia="x-none"/>
        </w:rPr>
        <w:t xml:space="preserve">[t]oda persona tiene derecho a que se respete su vida. Este derecho estará protegido por la ley y, en general, a partir del momento de la concepción. </w:t>
      </w:r>
      <w:r w:rsidRPr="000D7953">
        <w:rPr>
          <w:rFonts w:cs="Tahoma"/>
          <w:szCs w:val="16"/>
          <w:lang w:val="es-AR"/>
        </w:rPr>
        <w:t>Nadie puede ser privado de la vida arbitrariamente. […]”</w:t>
      </w:r>
    </w:p>
  </w:footnote>
  <w:footnote w:id="77">
    <w:p w14:paraId="635B4C9D" w14:textId="77777777"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Style w:val="FootnoteReference"/>
          <w:rFonts w:ascii="Cambria" w:hAnsi="Cambria"/>
          <w:color w:val="auto"/>
          <w:sz w:val="16"/>
          <w:szCs w:val="16"/>
        </w:rPr>
        <w:footnoteRef/>
      </w:r>
      <w:r w:rsidRPr="000D7953">
        <w:rPr>
          <w:rFonts w:ascii="Cambria" w:hAnsi="Cambria"/>
          <w:color w:val="auto"/>
          <w:sz w:val="16"/>
          <w:szCs w:val="16"/>
          <w:lang w:val="es-MX"/>
        </w:rPr>
        <w:t xml:space="preserve"> El artículo 13 de la Convención Americana dispone en lo pertinente que:</w:t>
      </w:r>
    </w:p>
    <w:p w14:paraId="40970F3B" w14:textId="1DF02FF8"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Fonts w:ascii="Cambria" w:hAnsi="Cambria"/>
          <w:color w:val="auto"/>
          <w:sz w:val="16"/>
          <w:szCs w:val="16"/>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7E302F5C" w14:textId="77777777"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Fonts w:ascii="Cambria" w:hAnsi="Cambria"/>
          <w:color w:val="auto"/>
          <w:sz w:val="16"/>
          <w:szCs w:val="16"/>
          <w:lang w:val="es-MX"/>
        </w:rPr>
        <w:t>2. El ejercicio del derecho previsto en el inciso precedente no puede estar sujeto a previa censura sino a responsabilidades ulteriores, las que deben estar expresamente fijadas por la ley y ser necesarias para asegurar:</w:t>
      </w:r>
    </w:p>
    <w:p w14:paraId="1995CFF7" w14:textId="77777777"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Fonts w:ascii="Cambria" w:hAnsi="Cambria"/>
          <w:color w:val="auto"/>
          <w:sz w:val="16"/>
          <w:szCs w:val="16"/>
          <w:lang w:val="es-MX"/>
        </w:rPr>
        <w:t>a. el respeto a los derechos o a la reputación de los demás, o</w:t>
      </w:r>
    </w:p>
    <w:p w14:paraId="2357EDCE" w14:textId="77777777"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Fonts w:ascii="Cambria" w:hAnsi="Cambria"/>
          <w:color w:val="auto"/>
          <w:sz w:val="16"/>
          <w:szCs w:val="16"/>
          <w:lang w:val="es-MX"/>
        </w:rPr>
        <w:t>b. la protección de la seguridad nacional, el orden público o la salud o la moral públicas.</w:t>
      </w:r>
    </w:p>
    <w:p w14:paraId="71836C3C" w14:textId="7F747E80" w:rsidR="000A5EAC" w:rsidRPr="000D7953" w:rsidRDefault="000A5EAC" w:rsidP="000D7953">
      <w:pPr>
        <w:pStyle w:val="FootnoteText"/>
        <w:tabs>
          <w:tab w:val="left" w:pos="1800"/>
        </w:tabs>
        <w:jc w:val="both"/>
        <w:rPr>
          <w:rFonts w:ascii="Cambria" w:hAnsi="Cambria"/>
          <w:color w:val="auto"/>
          <w:sz w:val="16"/>
          <w:szCs w:val="16"/>
          <w:lang w:val="es-MX"/>
        </w:rPr>
      </w:pPr>
      <w:r w:rsidRPr="000D7953">
        <w:rPr>
          <w:rFonts w:ascii="Cambria" w:hAnsi="Cambria"/>
          <w:color w:val="auto"/>
          <w:sz w:val="16"/>
          <w:szCs w:val="16"/>
          <w:lang w:val="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footnote>
  <w:footnote w:id="78">
    <w:p w14:paraId="118D46A6" w14:textId="77777777" w:rsidR="000A5EAC" w:rsidRPr="000D7953" w:rsidRDefault="000A5EAC" w:rsidP="000D7953">
      <w:pPr>
        <w:shd w:val="clear" w:color="auto" w:fill="FFFFFF"/>
        <w:tabs>
          <w:tab w:val="left" w:pos="810"/>
          <w:tab w:val="left" w:pos="1800"/>
        </w:tabs>
        <w:jc w:val="both"/>
        <w:rPr>
          <w:rFonts w:ascii="Cambria" w:hAnsi="Cambria"/>
          <w:sz w:val="16"/>
          <w:szCs w:val="16"/>
          <w:lang w:val="es-ES_tradnl"/>
        </w:rPr>
      </w:pPr>
      <w:r w:rsidRPr="000D7953">
        <w:rPr>
          <w:rStyle w:val="FootnoteReference"/>
          <w:rFonts w:ascii="Cambria" w:hAnsi="Cambria"/>
          <w:sz w:val="16"/>
          <w:szCs w:val="16"/>
        </w:rPr>
        <w:footnoteRef/>
      </w:r>
      <w:r w:rsidRPr="000D7953">
        <w:rPr>
          <w:rFonts w:ascii="Cambria" w:hAnsi="Cambria"/>
          <w:sz w:val="16"/>
          <w:szCs w:val="16"/>
          <w:lang w:val="es-CO"/>
        </w:rPr>
        <w:t xml:space="preserve"> </w:t>
      </w:r>
      <w:r w:rsidRPr="000D7953">
        <w:rPr>
          <w:rFonts w:ascii="Cambria" w:hAnsi="Cambria" w:cs="Arial"/>
          <w:sz w:val="16"/>
          <w:szCs w:val="16"/>
          <w:lang w:val="es-AR"/>
        </w:rPr>
        <w:t>El artículo 8.1 de la Convención Americana establece que “</w:t>
      </w:r>
      <w:r w:rsidRPr="000D7953">
        <w:rPr>
          <w:rFonts w:ascii="Cambria" w:eastAsia="Calibri" w:hAnsi="Cambria" w:cs="Arial"/>
          <w:sz w:val="16"/>
          <w:szCs w:val="16"/>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79">
    <w:p w14:paraId="73DC1B2E" w14:textId="77777777"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rPr>
        <w:footnoteRef/>
      </w:r>
      <w:r w:rsidRPr="000D7953">
        <w:rPr>
          <w:rFonts w:ascii="Cambria" w:hAnsi="Cambria"/>
          <w:sz w:val="16"/>
          <w:szCs w:val="16"/>
          <w:lang w:val="es-CO"/>
        </w:rPr>
        <w:t xml:space="preserve"> </w:t>
      </w:r>
      <w:r w:rsidRPr="000D7953">
        <w:rPr>
          <w:rFonts w:ascii="Cambria" w:hAnsi="Cambria" w:cs="Arial"/>
          <w:sz w:val="16"/>
          <w:szCs w:val="16"/>
          <w:lang w:val="es-AR"/>
        </w:rPr>
        <w:t>El artículo 25.1 de la Convención consagra que “[t]</w:t>
      </w:r>
      <w:r w:rsidRPr="000D7953">
        <w:rPr>
          <w:rFonts w:ascii="Cambria" w:hAnsi="Cambria" w:cs="Arial"/>
          <w:sz w:val="16"/>
          <w:szCs w:val="16"/>
          <w:lang w:val="es-ES_tradnl"/>
        </w:rPr>
        <w: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0">
    <w:p w14:paraId="59DC4071" w14:textId="540F3935" w:rsidR="000A5EAC" w:rsidRPr="000D7953" w:rsidRDefault="000A5EAC" w:rsidP="000D7953">
      <w:pPr>
        <w:pStyle w:val="FootnoteText"/>
        <w:tabs>
          <w:tab w:val="left" w:pos="1800"/>
        </w:tabs>
        <w:jc w:val="both"/>
        <w:rPr>
          <w:rFonts w:ascii="Cambria" w:hAnsi="Cambria"/>
          <w:color w:val="auto"/>
          <w:sz w:val="16"/>
          <w:szCs w:val="16"/>
          <w:lang w:val="es-PE"/>
        </w:rPr>
      </w:pPr>
      <w:r w:rsidRPr="000D7953">
        <w:rPr>
          <w:rStyle w:val="FootnoteReference"/>
          <w:rFonts w:ascii="Cambria" w:hAnsi="Cambria"/>
          <w:color w:val="auto"/>
          <w:sz w:val="16"/>
          <w:szCs w:val="16"/>
        </w:rPr>
        <w:footnoteRef/>
      </w:r>
      <w:r w:rsidRPr="000D7953">
        <w:rPr>
          <w:rFonts w:ascii="Cambria" w:hAnsi="Cambria"/>
          <w:color w:val="auto"/>
          <w:sz w:val="16"/>
          <w:szCs w:val="16"/>
          <w:lang w:val="es-PE"/>
        </w:rPr>
        <w:t xml:space="preserve"> El </w:t>
      </w:r>
      <w:r w:rsidRPr="000D7953">
        <w:rPr>
          <w:rFonts w:ascii="Cambria" w:hAnsi="Cambria"/>
          <w:color w:val="auto"/>
          <w:sz w:val="16"/>
          <w:szCs w:val="16"/>
          <w:bdr w:val="none" w:sz="0" w:space="0" w:color="auto" w:frame="1"/>
          <w:lang w:val="es-MX"/>
        </w:rPr>
        <w:t xml:space="preserve">artículo 1.1 </w:t>
      </w:r>
      <w:r w:rsidRPr="000D7953">
        <w:rPr>
          <w:rFonts w:ascii="Cambria" w:hAnsi="Cambria"/>
          <w:color w:val="auto"/>
          <w:sz w:val="16"/>
          <w:szCs w:val="16"/>
          <w:lang w:val="es-MX"/>
        </w:rPr>
        <w:t>de la Convención Americana dispone que</w:t>
      </w:r>
      <w:r w:rsidRPr="000D7953">
        <w:rPr>
          <w:rFonts w:ascii="Cambria" w:eastAsia="Batang" w:hAnsi="Cambria"/>
          <w:color w:val="auto"/>
          <w:sz w:val="16"/>
          <w:szCs w:val="16"/>
          <w:bdr w:val="none" w:sz="0" w:space="0" w:color="auto" w:frame="1"/>
          <w:lang w:val="es-ES_tradnl"/>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81">
    <w:p w14:paraId="39839FA4" w14:textId="4E5A2837" w:rsidR="000A5EAC" w:rsidRPr="000D7953" w:rsidRDefault="000A5EAC" w:rsidP="000D7953">
      <w:pPr>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iCs/>
          <w:sz w:val="16"/>
          <w:szCs w:val="16"/>
          <w:lang w:val="es-ES"/>
        </w:rPr>
        <w:t>Corte IDH.</w:t>
      </w:r>
      <w:r w:rsidRPr="000D7953">
        <w:rPr>
          <w:rFonts w:ascii="Cambria" w:hAnsi="Cambria"/>
          <w:i/>
          <w:sz w:val="16"/>
          <w:szCs w:val="16"/>
          <w:lang w:val="es-ES"/>
        </w:rPr>
        <w:t xml:space="preserve"> La Colegiación Obligatoria de Periodistas (Arts. 13 y 29 de la Convención Americana sobre Derechos Humanos). </w:t>
      </w:r>
      <w:r w:rsidRPr="000D7953">
        <w:rPr>
          <w:rFonts w:ascii="Cambria" w:hAnsi="Cambria"/>
          <w:sz w:val="16"/>
          <w:szCs w:val="16"/>
          <w:lang w:val="es-ES"/>
        </w:rPr>
        <w:t>Opinión Consultiva OC-5/85 de 13 de noviembre de 1985. Serie A No. 5. Párr. 70, y</w:t>
      </w:r>
      <w:r w:rsidRPr="000D7953">
        <w:rPr>
          <w:rFonts w:ascii="Cambria" w:hAnsi="Cambria"/>
          <w:i/>
          <w:sz w:val="16"/>
          <w:szCs w:val="16"/>
          <w:lang w:val="es-ES"/>
        </w:rPr>
        <w:t xml:space="preserve"> Caso Carvajal Carvajal y otros Vs. Colombia. </w:t>
      </w:r>
      <w:r w:rsidRPr="000D7953">
        <w:rPr>
          <w:rFonts w:ascii="Cambria" w:hAnsi="Cambria"/>
          <w:sz w:val="16"/>
          <w:szCs w:val="16"/>
          <w:lang w:val="es-ES"/>
        </w:rPr>
        <w:t>Fondo, Reparaciones y Costas. Sentencia de 13 de marzo de 2018. Serie C No. 352. Párr. 174.</w:t>
      </w:r>
    </w:p>
  </w:footnote>
  <w:footnote w:id="82">
    <w:p w14:paraId="060A4121" w14:textId="21E23FFB"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Corte IDH. </w:t>
      </w:r>
      <w:r w:rsidRPr="000D7953">
        <w:rPr>
          <w:rFonts w:ascii="Cambria" w:hAnsi="Cambria"/>
          <w:i/>
          <w:sz w:val="16"/>
          <w:szCs w:val="16"/>
          <w:lang w:val="es-ES"/>
        </w:rPr>
        <w:t xml:space="preserve">Caso Ivcher Bronstein Vs. </w:t>
      </w:r>
      <w:r w:rsidRPr="000D7953">
        <w:rPr>
          <w:rFonts w:ascii="Cambria" w:hAnsi="Cambria"/>
          <w:i/>
          <w:sz w:val="16"/>
          <w:szCs w:val="16"/>
          <w:lang w:val="es-AR"/>
        </w:rPr>
        <w:t>Perú</w:t>
      </w:r>
      <w:r w:rsidRPr="000D7953">
        <w:rPr>
          <w:rFonts w:ascii="Cambria" w:hAnsi="Cambria"/>
          <w:sz w:val="16"/>
          <w:szCs w:val="16"/>
          <w:lang w:val="es-AR"/>
        </w:rPr>
        <w:t xml:space="preserve">. Fondo, Reparaciones y Costas. Sentencia de 6 de febrero de 2001. Serie C No. 74. Párr. 150, y </w:t>
      </w:r>
      <w:r w:rsidRPr="000D7953">
        <w:rPr>
          <w:rFonts w:ascii="Cambria" w:hAnsi="Cambria"/>
          <w:i/>
          <w:sz w:val="16"/>
          <w:szCs w:val="16"/>
          <w:lang w:val="es-CO"/>
        </w:rPr>
        <w:t>Caso Herrera Ulloa Vs. Costa Rica</w:t>
      </w:r>
      <w:r w:rsidRPr="000D7953">
        <w:rPr>
          <w:rFonts w:ascii="Cambria" w:hAnsi="Cambria"/>
          <w:sz w:val="16"/>
          <w:szCs w:val="16"/>
          <w:lang w:val="es-CO"/>
        </w:rPr>
        <w:t xml:space="preserve">. Excepciones Preliminares, Fondo, Reparaciones y Costas. Sentencia de 2 de julio de 2004. Serie C No. 107. Párrs. 117 a 119. </w:t>
      </w:r>
      <w:r w:rsidRPr="000D7953">
        <w:rPr>
          <w:rFonts w:ascii="Cambria" w:hAnsi="Cambria"/>
          <w:sz w:val="16"/>
          <w:szCs w:val="16"/>
          <w:lang w:val="es-PE"/>
        </w:rPr>
        <w:t xml:space="preserve">CIDH. Informe No. 150/18. Caso No. 12.954. Jineth Bedoya Lima y otra. Colombia. 7 de diciembre de 2018. Párr. 74, y </w:t>
      </w:r>
      <w:r w:rsidRPr="000D7953">
        <w:rPr>
          <w:rFonts w:ascii="Cambria" w:hAnsi="Cambria"/>
          <w:sz w:val="16"/>
          <w:szCs w:val="16"/>
          <w:lang w:val="es-MX"/>
        </w:rPr>
        <w:t xml:space="preserve">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Capítulo 1. Párr. 15.</w:t>
      </w:r>
    </w:p>
  </w:footnote>
  <w:footnote w:id="83">
    <w:p w14:paraId="7828D44B" w14:textId="5CDB78E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CIDH. </w:t>
      </w:r>
      <w:r w:rsidRPr="000D7953">
        <w:rPr>
          <w:rFonts w:ascii="Cambria" w:hAnsi="Cambria"/>
          <w:sz w:val="16"/>
          <w:szCs w:val="16"/>
          <w:lang w:val="es-PE"/>
        </w:rPr>
        <w:t xml:space="preserve">Informe No. 130/99. Caso No. 11.740. Víctor Manuel Oropeza. México. 19 de noviembre de 1999. Párr. 46, y </w:t>
      </w:r>
      <w:r w:rsidRPr="000D7953">
        <w:rPr>
          <w:rFonts w:ascii="Cambria" w:hAnsi="Cambria"/>
          <w:sz w:val="16"/>
          <w:szCs w:val="16"/>
          <w:lang w:val="es-MX"/>
        </w:rPr>
        <w:t xml:space="preserve">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Capítulo 1. Párr. 15.</w:t>
      </w:r>
    </w:p>
  </w:footnote>
  <w:footnote w:id="84">
    <w:p w14:paraId="4A08E34F" w14:textId="41354C65" w:rsidR="000A5EAC" w:rsidRPr="000D7953" w:rsidRDefault="000A5EAC" w:rsidP="000D7953">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Capítulo 1. Párr. 17, citando al </w:t>
      </w:r>
      <w:r w:rsidRPr="000D7953">
        <w:rPr>
          <w:rFonts w:ascii="Cambria" w:hAnsi="Cambria"/>
          <w:sz w:val="16"/>
          <w:szCs w:val="16"/>
          <w:lang w:val="es-PE"/>
        </w:rPr>
        <w:t xml:space="preserve">Consejo de Europa. Comité de Ministros. Declaración del Comité de Ministros sobre la protección a periodistas y la seguridad de periodistas y otros actores de los medios. Adoptada el 30 de abril de 2014. Disponible en: </w:t>
      </w:r>
      <w:hyperlink r:id="rId4" w:history="1">
        <w:r w:rsidRPr="000D7953">
          <w:rPr>
            <w:rStyle w:val="Hyperlink"/>
            <w:rFonts w:ascii="Cambria" w:hAnsi="Cambria"/>
            <w:sz w:val="16"/>
            <w:szCs w:val="16"/>
            <w:lang w:val="es-PE"/>
          </w:rPr>
          <w:t>https://www.coe.int/en/web/freedom-expression/news-media/-/asset_publisher/Mo0WV0OwvbhA/content/declaration-of-the-committee-of-ministers-on-the-protection-of-journalism-and-safety-of-journalists-and-other-media-actors-adopted-by-the-committee-of?inheritRedirect=false</w:t>
        </w:r>
      </w:hyperlink>
      <w:r w:rsidRPr="000D7953">
        <w:rPr>
          <w:rFonts w:ascii="Cambria" w:hAnsi="Cambria"/>
          <w:sz w:val="16"/>
          <w:szCs w:val="16"/>
          <w:lang w:val="es-PE"/>
        </w:rPr>
        <w:t xml:space="preserve"> </w:t>
      </w:r>
    </w:p>
  </w:footnote>
  <w:footnote w:id="85">
    <w:p w14:paraId="3F72AFD3" w14:textId="671279B9"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ES"/>
        </w:rPr>
      </w:pPr>
      <w:r w:rsidRPr="000D7953">
        <w:rPr>
          <w:rStyle w:val="FootnoteReference"/>
          <w:rFonts w:ascii="Cambria" w:hAnsi="Cambria" w:cs="Cambria"/>
          <w:sz w:val="16"/>
          <w:szCs w:val="16"/>
          <w:lang w:val="es-AR" w:eastAsia="x-none"/>
        </w:rPr>
        <w:footnoteRef/>
      </w:r>
      <w:r w:rsidRPr="000D7953">
        <w:rPr>
          <w:rFonts w:ascii="Cambria" w:hAnsi="Cambria"/>
          <w:sz w:val="16"/>
          <w:szCs w:val="16"/>
          <w:lang w:val="es-AR" w:eastAsia="x-none"/>
        </w:rPr>
        <w:t xml:space="preserve"> Corte IDH. </w:t>
      </w:r>
      <w:r w:rsidRPr="000D7953">
        <w:rPr>
          <w:rFonts w:ascii="Cambria" w:hAnsi="Cambria"/>
          <w:bCs/>
          <w:i/>
          <w:sz w:val="16"/>
          <w:szCs w:val="16"/>
          <w:lang w:val="es-AR" w:eastAsia="x-none"/>
        </w:rPr>
        <w:t>Caso Vélez Restrepo y Familiares Vs. Colombia</w:t>
      </w:r>
      <w:r w:rsidRPr="000D7953">
        <w:rPr>
          <w:rFonts w:ascii="Cambria" w:hAnsi="Cambria"/>
          <w:sz w:val="16"/>
          <w:szCs w:val="16"/>
          <w:lang w:val="es-PE"/>
        </w:rPr>
        <w:t xml:space="preserve">. </w:t>
      </w:r>
      <w:r w:rsidRPr="000D7953">
        <w:rPr>
          <w:rFonts w:ascii="Cambria" w:hAnsi="Cambria"/>
          <w:iCs/>
          <w:sz w:val="16"/>
          <w:szCs w:val="16"/>
          <w:lang w:val="es-AR" w:eastAsia="x-none"/>
        </w:rPr>
        <w:t>Excepción Preliminar, Fondo, Reparaciones y Costas.</w:t>
      </w:r>
      <w:r w:rsidRPr="000D7953">
        <w:rPr>
          <w:rFonts w:ascii="Cambria" w:hAnsi="Cambria"/>
          <w:sz w:val="16"/>
          <w:szCs w:val="16"/>
          <w:lang w:val="es-AR" w:eastAsia="x-none"/>
        </w:rPr>
        <w:t xml:space="preserve"> Sentencia de 3 de septiembre de 2012 Serie C No. 248. Párr. 209.</w:t>
      </w:r>
    </w:p>
  </w:footnote>
  <w:footnote w:id="86">
    <w:p w14:paraId="1150E0CC" w14:textId="7003D711"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CO"/>
        </w:rPr>
        <w:t xml:space="preserve">Corte IDH. </w:t>
      </w:r>
      <w:r w:rsidRPr="000D7953">
        <w:rPr>
          <w:rFonts w:ascii="Cambria" w:hAnsi="Cambria"/>
          <w:i/>
          <w:sz w:val="16"/>
          <w:szCs w:val="16"/>
          <w:lang w:val="es-ES"/>
        </w:rPr>
        <w:t>Caso Carvajal Carvajal y otros Vs. Colombia, supra</w:t>
      </w:r>
      <w:r w:rsidRPr="000D7953">
        <w:rPr>
          <w:rFonts w:ascii="Cambria" w:hAnsi="Cambria"/>
          <w:sz w:val="16"/>
          <w:szCs w:val="16"/>
          <w:lang w:val="es-ES"/>
        </w:rPr>
        <w:t xml:space="preserve">. Párr. 175. </w:t>
      </w:r>
      <w:r w:rsidRPr="000D7953">
        <w:rPr>
          <w:rFonts w:ascii="Cambria" w:hAnsi="Cambria"/>
          <w:sz w:val="16"/>
          <w:szCs w:val="16"/>
          <w:lang w:val="es-PE"/>
        </w:rPr>
        <w:t xml:space="preserve">CIDH. Informe No. 21/15. Caso No. 12.462. Nelson Carvajal Carvajal y familia. Colombia. 26 de marzo de 2015. Párr. 112, y </w:t>
      </w:r>
      <w:r w:rsidRPr="000D7953">
        <w:rPr>
          <w:rFonts w:ascii="Cambria" w:hAnsi="Cambria"/>
          <w:sz w:val="16"/>
          <w:szCs w:val="16"/>
          <w:lang w:val="es-MX"/>
        </w:rPr>
        <w:t xml:space="preserve">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Introducción. Párr. 2.</w:t>
      </w:r>
      <w:r w:rsidRPr="000D7953">
        <w:rPr>
          <w:rFonts w:ascii="Cambria" w:hAnsi="Cambria"/>
          <w:sz w:val="16"/>
          <w:szCs w:val="16"/>
          <w:lang w:val="es-PE"/>
        </w:rPr>
        <w:t xml:space="preserve"> </w:t>
      </w:r>
      <w:r w:rsidRPr="000D7953">
        <w:rPr>
          <w:rFonts w:ascii="Cambria" w:hAnsi="Cambria"/>
          <w:sz w:val="16"/>
          <w:szCs w:val="16"/>
          <w:lang w:val="es-CO"/>
        </w:rPr>
        <w:t xml:space="preserve">Naciones Unidas. Asamblea General. </w:t>
      </w:r>
      <w:hyperlink r:id="rId5" w:history="1">
        <w:r w:rsidRPr="000D7953">
          <w:rPr>
            <w:rStyle w:val="Hyperlink"/>
            <w:rFonts w:ascii="Cambria" w:hAnsi="Cambria"/>
            <w:sz w:val="16"/>
            <w:szCs w:val="16"/>
            <w:lang w:val="es-CO"/>
          </w:rPr>
          <w:t>Informe del Relator Especial sobre las ejecuciones extrajudiciales, sumarias o arbitrarias, Christof Heyns</w:t>
        </w:r>
      </w:hyperlink>
      <w:r w:rsidRPr="000D7953">
        <w:rPr>
          <w:rFonts w:ascii="Cambria" w:hAnsi="Cambria"/>
          <w:i/>
          <w:sz w:val="16"/>
          <w:szCs w:val="16"/>
          <w:lang w:val="es-CO"/>
        </w:rPr>
        <w:t>.</w:t>
      </w:r>
      <w:r w:rsidRPr="000D7953">
        <w:rPr>
          <w:rFonts w:ascii="Cambria" w:hAnsi="Cambria"/>
          <w:sz w:val="16"/>
          <w:szCs w:val="16"/>
          <w:lang w:val="es-CO"/>
        </w:rPr>
        <w:t xml:space="preserve"> A/HRC/20/22. 10 de abril de 2012. Párr. 21.</w:t>
      </w:r>
    </w:p>
  </w:footnote>
  <w:footnote w:id="87">
    <w:p w14:paraId="0527D812" w14:textId="539107ED"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Corte IDH. </w:t>
      </w:r>
      <w:r w:rsidRPr="000D7953">
        <w:rPr>
          <w:rFonts w:ascii="Cambria" w:hAnsi="Cambria" w:cs="Verdana"/>
          <w:i/>
          <w:sz w:val="16"/>
          <w:szCs w:val="16"/>
          <w:lang w:val="es-ES"/>
        </w:rPr>
        <w:t>Caso Vélez Restrepo y familiares Vs. Colombia</w:t>
      </w:r>
      <w:r w:rsidRPr="000D7953">
        <w:rPr>
          <w:rFonts w:ascii="Cambria" w:hAnsi="Cambria"/>
          <w:sz w:val="16"/>
          <w:szCs w:val="16"/>
          <w:lang w:val="es-PE"/>
        </w:rPr>
        <w:t xml:space="preserve">, </w:t>
      </w:r>
      <w:r w:rsidRPr="000D7953">
        <w:rPr>
          <w:rFonts w:ascii="Cambria" w:hAnsi="Cambria"/>
          <w:i/>
          <w:iCs/>
          <w:sz w:val="16"/>
          <w:szCs w:val="16"/>
          <w:lang w:val="es-PE"/>
        </w:rPr>
        <w:t>supra</w:t>
      </w:r>
      <w:r w:rsidRPr="000D7953">
        <w:rPr>
          <w:rFonts w:ascii="Cambria" w:hAnsi="Cambria"/>
          <w:sz w:val="16"/>
          <w:szCs w:val="16"/>
          <w:lang w:val="es-AR" w:eastAsia="x-none"/>
        </w:rPr>
        <w:t xml:space="preserve">. </w:t>
      </w:r>
      <w:r w:rsidRPr="000D7953">
        <w:rPr>
          <w:rFonts w:ascii="Cambria" w:hAnsi="Cambria"/>
          <w:sz w:val="16"/>
          <w:szCs w:val="16"/>
          <w:lang w:val="es-PE"/>
        </w:rPr>
        <w:t xml:space="preserve"> Párr. 148, y </w:t>
      </w:r>
      <w:r w:rsidRPr="000D7953">
        <w:rPr>
          <w:rFonts w:ascii="Cambria" w:hAnsi="Cambria"/>
          <w:i/>
          <w:sz w:val="16"/>
          <w:szCs w:val="16"/>
          <w:lang w:val="es-AR" w:eastAsia="x-none"/>
        </w:rPr>
        <w:t xml:space="preserve">Caso Carvajal Carvajal y otros Vs. Colombia, supra. </w:t>
      </w:r>
      <w:r w:rsidRPr="000D7953">
        <w:rPr>
          <w:rFonts w:ascii="Cambria" w:hAnsi="Cambria"/>
          <w:sz w:val="16"/>
          <w:szCs w:val="16"/>
          <w:lang w:val="es-AR" w:eastAsia="x-none"/>
        </w:rPr>
        <w:t>Párrs.  175 y 177.</w:t>
      </w:r>
    </w:p>
  </w:footnote>
  <w:footnote w:id="88">
    <w:p w14:paraId="5C648A68" w14:textId="159064DB"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rPr>
        <w:footnoteRef/>
      </w:r>
      <w:r w:rsidRPr="000D7953">
        <w:rPr>
          <w:rFonts w:ascii="Cambria" w:hAnsi="Cambria"/>
          <w:sz w:val="16"/>
          <w:szCs w:val="16"/>
          <w:lang w:val="es-ES"/>
        </w:rPr>
        <w:t xml:space="preserve"> Corte IDH. </w:t>
      </w:r>
      <w:r w:rsidRPr="000D7953">
        <w:rPr>
          <w:rFonts w:ascii="Cambria" w:hAnsi="Cambria"/>
          <w:i/>
          <w:sz w:val="16"/>
          <w:szCs w:val="16"/>
          <w:lang w:val="es-AR" w:eastAsia="x-none"/>
        </w:rPr>
        <w:t>Caso Carvajal Carvajal y otros Vs. Colombia, supra</w:t>
      </w:r>
      <w:r w:rsidRPr="000D7953">
        <w:rPr>
          <w:rFonts w:ascii="Cambria" w:hAnsi="Cambria"/>
          <w:sz w:val="16"/>
          <w:szCs w:val="16"/>
          <w:lang w:val="es-AR" w:eastAsia="x-none"/>
        </w:rPr>
        <w:t>. 176. CIDH.</w:t>
      </w:r>
      <w:r w:rsidRPr="000D7953">
        <w:rPr>
          <w:rFonts w:ascii="Cambria" w:hAnsi="Cambria"/>
          <w:sz w:val="16"/>
          <w:szCs w:val="16"/>
          <w:lang w:val="es-PE"/>
        </w:rPr>
        <w:t xml:space="preserve"> Informe No. 150/18. Caso No. 12.954. Jineth Bedoya Lima y otra. Colombia. 7 de diciembre de 2018. Párr. 75.</w:t>
      </w:r>
    </w:p>
  </w:footnote>
  <w:footnote w:id="89">
    <w:p w14:paraId="674D8365" w14:textId="445332A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CO"/>
        </w:rPr>
        <w:t xml:space="preserve">Corte IDH. </w:t>
      </w:r>
      <w:r w:rsidRPr="000D7953">
        <w:rPr>
          <w:rFonts w:ascii="Cambria" w:hAnsi="Cambria"/>
          <w:bCs/>
          <w:i/>
          <w:sz w:val="16"/>
          <w:szCs w:val="16"/>
          <w:lang w:val="es-CO"/>
        </w:rPr>
        <w:t>Caso Vélez Restrepo y Familiares Vs. Colombia</w:t>
      </w:r>
      <w:r w:rsidRPr="000D7953">
        <w:rPr>
          <w:rFonts w:ascii="Cambria" w:hAnsi="Cambria"/>
          <w:i/>
          <w:sz w:val="16"/>
          <w:szCs w:val="16"/>
          <w:lang w:val="es-CO"/>
        </w:rPr>
        <w:t>,</w:t>
      </w:r>
      <w:r w:rsidRPr="000D7953">
        <w:rPr>
          <w:rFonts w:ascii="Cambria" w:hAnsi="Cambria"/>
          <w:b/>
          <w:bCs/>
          <w:i/>
          <w:sz w:val="16"/>
          <w:szCs w:val="16"/>
          <w:lang w:val="es-CO"/>
        </w:rPr>
        <w:t xml:space="preserve"> </w:t>
      </w:r>
      <w:r w:rsidRPr="000D7953">
        <w:rPr>
          <w:rFonts w:ascii="Cambria" w:hAnsi="Cambria"/>
          <w:i/>
          <w:sz w:val="16"/>
          <w:szCs w:val="16"/>
          <w:lang w:val="es-CO"/>
        </w:rPr>
        <w:t>supra.</w:t>
      </w:r>
      <w:r w:rsidRPr="000D7953">
        <w:rPr>
          <w:rFonts w:ascii="Cambria" w:hAnsi="Cambria"/>
          <w:b/>
          <w:bCs/>
          <w:i/>
          <w:sz w:val="16"/>
          <w:szCs w:val="16"/>
          <w:lang w:val="es-CO"/>
        </w:rPr>
        <w:t xml:space="preserve"> </w:t>
      </w:r>
      <w:r w:rsidRPr="000D7953">
        <w:rPr>
          <w:rFonts w:ascii="Cambria" w:hAnsi="Cambria"/>
          <w:sz w:val="16"/>
          <w:szCs w:val="16"/>
          <w:lang w:val="es-CO"/>
        </w:rPr>
        <w:t xml:space="preserve">Párrs. 189 y 194. </w:t>
      </w:r>
      <w:r w:rsidRPr="000D7953">
        <w:rPr>
          <w:rFonts w:ascii="Cambria" w:hAnsi="Cambria"/>
          <w:sz w:val="16"/>
          <w:szCs w:val="16"/>
          <w:lang w:val="es-PE"/>
        </w:rPr>
        <w:t>CIDH. Informe No. 21/15. Caso No. 12.462. Nelson Carvajal Carvajal y familia. Colombia. 26 de marzo de 2015. Párr. 110, e Informe No. 150/18. Caso No. 12.954. Jineth Bedoya Lima y otra. Colombia. 7 de diciembre de 2018. Párr. 75.</w:t>
      </w:r>
    </w:p>
  </w:footnote>
  <w:footnote w:id="90">
    <w:p w14:paraId="71CE9107" w14:textId="7CF784ED"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Corte IDH. </w:t>
      </w:r>
      <w:r w:rsidRPr="000D7953">
        <w:rPr>
          <w:rFonts w:ascii="Cambria" w:hAnsi="Cambria"/>
          <w:i/>
          <w:sz w:val="16"/>
          <w:szCs w:val="16"/>
          <w:lang w:val="es-US"/>
        </w:rPr>
        <w:t>Caso Masacres de El Mozote y lugares aledaños Vs. El Salvador</w:t>
      </w:r>
      <w:r w:rsidRPr="000D7953">
        <w:rPr>
          <w:rFonts w:ascii="Cambria" w:hAnsi="Cambria"/>
          <w:sz w:val="16"/>
          <w:szCs w:val="16"/>
          <w:lang w:val="es-US"/>
        </w:rPr>
        <w:t>. Fondo, Reparaciones y Costas. Sentencia de 25 de octubre de 2012. Serie C No. 252. Párr. 145.</w:t>
      </w:r>
    </w:p>
  </w:footnote>
  <w:footnote w:id="91">
    <w:p w14:paraId="1C9EB33B" w14:textId="0800BDCB"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w:t>
      </w:r>
      <w:r w:rsidRPr="000D7953">
        <w:rPr>
          <w:rFonts w:ascii="Cambria" w:hAnsi="Cambria"/>
          <w:sz w:val="16"/>
          <w:szCs w:val="16"/>
          <w:lang w:val="es-ES"/>
        </w:rPr>
        <w:t xml:space="preserve">Corte IDH. </w:t>
      </w:r>
      <w:r w:rsidRPr="000D7953">
        <w:rPr>
          <w:rFonts w:ascii="Cambria" w:hAnsi="Cambria"/>
          <w:i/>
          <w:sz w:val="16"/>
          <w:szCs w:val="16"/>
          <w:lang w:val="es-ES"/>
        </w:rPr>
        <w:t>Caso de las Masacres de Ituango Vs. Colombia</w:t>
      </w:r>
      <w:r w:rsidRPr="000D7953">
        <w:rPr>
          <w:rFonts w:ascii="Cambria" w:hAnsi="Cambria"/>
          <w:sz w:val="16"/>
          <w:szCs w:val="16"/>
          <w:lang w:val="es-ES"/>
        </w:rPr>
        <w:t>. Sentencia de 1 de julio de 2006. Serie C No. 148. Párr. 131.</w:t>
      </w:r>
    </w:p>
  </w:footnote>
  <w:footnote w:id="92">
    <w:p w14:paraId="603004EF" w14:textId="3EA70CBE"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Corte IDH. </w:t>
      </w:r>
      <w:r w:rsidRPr="000D7953">
        <w:rPr>
          <w:rFonts w:ascii="Cambria" w:hAnsi="Cambria"/>
          <w:i/>
          <w:sz w:val="16"/>
          <w:szCs w:val="16"/>
          <w:lang w:val="es-US"/>
        </w:rPr>
        <w:t>Caso Luna López Vs. Honduras</w:t>
      </w:r>
      <w:r w:rsidRPr="000D7953">
        <w:rPr>
          <w:rFonts w:ascii="Cambria" w:hAnsi="Cambria"/>
          <w:sz w:val="16"/>
          <w:szCs w:val="16"/>
          <w:lang w:val="es-US"/>
        </w:rPr>
        <w:t>. Fondo, Reparaciones y Costas. Sentencia de 10 de octubre de 2013. Serie C No. 269. Párr. 120.</w:t>
      </w:r>
    </w:p>
  </w:footnote>
  <w:footnote w:id="93">
    <w:p w14:paraId="4D1705D0" w14:textId="36AA32A5" w:rsidR="000A5EAC" w:rsidRPr="000D7953" w:rsidRDefault="000A5EAC" w:rsidP="000D7953">
      <w:pPr>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ES"/>
        </w:rPr>
      </w:pPr>
      <w:r w:rsidRPr="000D7953">
        <w:rPr>
          <w:rStyle w:val="FootnoteReference"/>
          <w:rFonts w:ascii="Cambria" w:hAnsi="Cambria" w:cs="Cambria"/>
          <w:sz w:val="16"/>
          <w:szCs w:val="16"/>
          <w:lang w:val="es-AR"/>
        </w:rPr>
        <w:footnoteRef/>
      </w:r>
      <w:r w:rsidRPr="000D7953">
        <w:rPr>
          <w:rFonts w:ascii="Cambria" w:hAnsi="Cambria"/>
          <w:sz w:val="16"/>
          <w:szCs w:val="16"/>
          <w:lang w:val="es-ES"/>
        </w:rPr>
        <w:t xml:space="preserve"> Corte IDH. </w:t>
      </w:r>
      <w:r w:rsidRPr="000D7953">
        <w:rPr>
          <w:rFonts w:ascii="Cambria" w:hAnsi="Cambria"/>
          <w:i/>
          <w:sz w:val="16"/>
          <w:szCs w:val="16"/>
          <w:lang w:val="es-ES"/>
        </w:rPr>
        <w:t xml:space="preserve">Caso Ivcher Bronstein Vs. </w:t>
      </w:r>
      <w:r w:rsidRPr="000D7953">
        <w:rPr>
          <w:rFonts w:ascii="Cambria" w:hAnsi="Cambria"/>
          <w:i/>
          <w:sz w:val="16"/>
          <w:szCs w:val="16"/>
          <w:lang w:val="es-AR"/>
        </w:rPr>
        <w:t>Perú</w:t>
      </w:r>
      <w:r w:rsidRPr="000D7953">
        <w:rPr>
          <w:rFonts w:ascii="Cambria" w:hAnsi="Cambria"/>
          <w:sz w:val="16"/>
          <w:szCs w:val="16"/>
          <w:lang w:val="es-AR"/>
        </w:rPr>
        <w:t xml:space="preserve">, </w:t>
      </w:r>
      <w:r w:rsidRPr="000D7953">
        <w:rPr>
          <w:rFonts w:ascii="Cambria" w:hAnsi="Cambria"/>
          <w:i/>
          <w:iCs/>
          <w:sz w:val="16"/>
          <w:szCs w:val="16"/>
          <w:lang w:val="es-AR"/>
        </w:rPr>
        <w:t>supra.</w:t>
      </w:r>
      <w:r w:rsidRPr="000D7953">
        <w:rPr>
          <w:rFonts w:ascii="Cambria" w:hAnsi="Cambria"/>
          <w:sz w:val="16"/>
          <w:szCs w:val="16"/>
          <w:lang w:val="es-AR"/>
        </w:rPr>
        <w:t xml:space="preserve"> Párr. 150, y </w:t>
      </w:r>
      <w:r w:rsidRPr="000D7953">
        <w:rPr>
          <w:rFonts w:ascii="Cambria" w:hAnsi="Cambria"/>
          <w:i/>
          <w:sz w:val="16"/>
          <w:szCs w:val="16"/>
          <w:lang w:val="es-AR"/>
        </w:rPr>
        <w:t>Caso Herrera Ulloa Vs. Costa Rica</w:t>
      </w:r>
      <w:r w:rsidRPr="000D7953">
        <w:rPr>
          <w:rFonts w:ascii="Cambria" w:hAnsi="Cambria"/>
          <w:sz w:val="16"/>
          <w:szCs w:val="16"/>
          <w:lang w:val="es-AR"/>
        </w:rPr>
        <w:t xml:space="preserve">, </w:t>
      </w:r>
      <w:r w:rsidRPr="000D7953">
        <w:rPr>
          <w:rFonts w:ascii="Cambria" w:hAnsi="Cambria"/>
          <w:i/>
          <w:iCs/>
          <w:sz w:val="16"/>
          <w:szCs w:val="16"/>
          <w:lang w:val="es-AR"/>
        </w:rPr>
        <w:t>supra.</w:t>
      </w:r>
      <w:r w:rsidRPr="000D7953">
        <w:rPr>
          <w:rFonts w:ascii="Cambria" w:hAnsi="Cambria"/>
          <w:sz w:val="16"/>
          <w:szCs w:val="16"/>
          <w:lang w:val="es-AR"/>
        </w:rPr>
        <w:t xml:space="preserve"> Párr. 119.</w:t>
      </w:r>
    </w:p>
  </w:footnote>
  <w:footnote w:id="94">
    <w:p w14:paraId="0746D85A" w14:textId="06CA3D42"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sz w:val="16"/>
          <w:szCs w:val="16"/>
          <w:lang w:val="es-AR" w:eastAsia="x-none"/>
        </w:rPr>
        <w:footnoteRef/>
      </w:r>
      <w:r w:rsidRPr="000D7953">
        <w:rPr>
          <w:rFonts w:ascii="Cambria" w:hAnsi="Cambria"/>
          <w:sz w:val="16"/>
          <w:szCs w:val="16"/>
          <w:lang w:val="es-AR" w:eastAsia="x-none"/>
        </w:rPr>
        <w:t xml:space="preserve"> </w:t>
      </w:r>
      <w:r w:rsidRPr="000D7953">
        <w:rPr>
          <w:rFonts w:ascii="Cambria" w:hAnsi="Cambria"/>
          <w:sz w:val="16"/>
          <w:szCs w:val="16"/>
          <w:lang w:val="es-CO"/>
        </w:rPr>
        <w:t xml:space="preserve">Corte IDH. </w:t>
      </w:r>
      <w:r w:rsidRPr="000D7953">
        <w:rPr>
          <w:rFonts w:ascii="Cambria" w:hAnsi="Cambria"/>
          <w:bCs/>
          <w:i/>
          <w:sz w:val="16"/>
          <w:szCs w:val="16"/>
          <w:lang w:val="es-CO"/>
        </w:rPr>
        <w:t>Caso Vélez Restrepo y Familiares Vs. Colombia</w:t>
      </w:r>
      <w:r w:rsidRPr="000D7953">
        <w:rPr>
          <w:rFonts w:ascii="Cambria" w:hAnsi="Cambria"/>
          <w:i/>
          <w:sz w:val="16"/>
          <w:szCs w:val="16"/>
          <w:lang w:val="es-CO"/>
        </w:rPr>
        <w:t>,</w:t>
      </w:r>
      <w:r w:rsidRPr="000D7953">
        <w:rPr>
          <w:rFonts w:ascii="Cambria" w:hAnsi="Cambria"/>
          <w:b/>
          <w:bCs/>
          <w:i/>
          <w:sz w:val="16"/>
          <w:szCs w:val="16"/>
          <w:lang w:val="es-CO"/>
        </w:rPr>
        <w:t xml:space="preserve"> </w:t>
      </w:r>
      <w:r w:rsidRPr="000D7953">
        <w:rPr>
          <w:rFonts w:ascii="Cambria" w:hAnsi="Cambria"/>
          <w:i/>
          <w:sz w:val="16"/>
          <w:szCs w:val="16"/>
          <w:lang w:val="es-CO"/>
        </w:rPr>
        <w:t>supra.</w:t>
      </w:r>
      <w:r w:rsidRPr="000D7953">
        <w:rPr>
          <w:rFonts w:ascii="Cambria" w:hAnsi="Cambria"/>
          <w:b/>
          <w:bCs/>
          <w:i/>
          <w:sz w:val="16"/>
          <w:szCs w:val="16"/>
          <w:lang w:val="es-CO"/>
        </w:rPr>
        <w:t xml:space="preserve"> </w:t>
      </w:r>
      <w:r w:rsidRPr="000D7953">
        <w:rPr>
          <w:rFonts w:ascii="Cambria" w:hAnsi="Cambria"/>
          <w:sz w:val="16"/>
          <w:szCs w:val="16"/>
          <w:lang w:val="es-CO"/>
        </w:rPr>
        <w:t>Párr. 194.</w:t>
      </w:r>
    </w:p>
  </w:footnote>
  <w:footnote w:id="95">
    <w:p w14:paraId="53E1D2B0" w14:textId="3A65B3D1"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Corte IDH. </w:t>
      </w:r>
      <w:r w:rsidRPr="000D7953">
        <w:rPr>
          <w:rFonts w:ascii="Cambria" w:hAnsi="Cambria"/>
          <w:i/>
          <w:sz w:val="16"/>
          <w:szCs w:val="16"/>
          <w:lang w:val="es-US"/>
        </w:rPr>
        <w:t>Caso Luna López Vs. Honduras</w:t>
      </w:r>
      <w:r w:rsidRPr="000D7953">
        <w:rPr>
          <w:rFonts w:ascii="Cambria" w:hAnsi="Cambria"/>
          <w:sz w:val="16"/>
          <w:szCs w:val="16"/>
          <w:lang w:val="es-US"/>
        </w:rPr>
        <w:t xml:space="preserve">, </w:t>
      </w:r>
      <w:r w:rsidRPr="000D7953">
        <w:rPr>
          <w:rFonts w:ascii="Cambria" w:hAnsi="Cambria"/>
          <w:i/>
          <w:iCs/>
          <w:sz w:val="16"/>
          <w:szCs w:val="16"/>
          <w:lang w:val="es-US"/>
        </w:rPr>
        <w:t>supra</w:t>
      </w:r>
      <w:r w:rsidRPr="000D7953">
        <w:rPr>
          <w:rFonts w:ascii="Cambria" w:hAnsi="Cambria"/>
          <w:sz w:val="16"/>
          <w:szCs w:val="16"/>
          <w:lang w:val="es-US"/>
        </w:rPr>
        <w:t>. Párr. 120.</w:t>
      </w:r>
    </w:p>
  </w:footnote>
  <w:footnote w:id="96">
    <w:p w14:paraId="195C9B88" w14:textId="72507C27"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Corte IDH. </w:t>
      </w:r>
      <w:r w:rsidRPr="000D7953">
        <w:rPr>
          <w:rFonts w:ascii="Cambria" w:hAnsi="Cambria"/>
          <w:i/>
          <w:sz w:val="16"/>
          <w:szCs w:val="16"/>
          <w:lang w:val="es-US"/>
        </w:rPr>
        <w:t>Caso de la Masacre de Pueblo Bello Vs. Colombia</w:t>
      </w:r>
      <w:r w:rsidRPr="000D7953">
        <w:rPr>
          <w:rFonts w:ascii="Cambria" w:hAnsi="Cambria"/>
          <w:sz w:val="16"/>
          <w:szCs w:val="16"/>
          <w:lang w:val="es-US"/>
        </w:rPr>
        <w:t xml:space="preserve">. Sentencia de 31 de enero de 2006. Serie C No. 140. Párr. 123; </w:t>
      </w:r>
      <w:r w:rsidRPr="000D7953">
        <w:rPr>
          <w:rFonts w:ascii="Cambria" w:hAnsi="Cambria"/>
          <w:i/>
          <w:sz w:val="16"/>
          <w:szCs w:val="16"/>
          <w:lang w:val="es-US"/>
        </w:rPr>
        <w:t>Caso González y otras (“Campo Algodonero”) Vs. México</w:t>
      </w:r>
      <w:r w:rsidRPr="000D7953">
        <w:rPr>
          <w:rFonts w:ascii="Cambria" w:hAnsi="Cambria"/>
          <w:sz w:val="16"/>
          <w:szCs w:val="16"/>
          <w:lang w:val="es-US"/>
        </w:rPr>
        <w:t xml:space="preserve">. Excepción Preliminar, Fondo, Reparaciones y Costas. Sentencia de 16 de noviembre de 2009. Serie C No. 205. Párr. 280; </w:t>
      </w:r>
      <w:r w:rsidRPr="000D7953">
        <w:rPr>
          <w:rFonts w:ascii="Cambria" w:hAnsi="Cambria"/>
          <w:i/>
          <w:sz w:val="16"/>
          <w:szCs w:val="16"/>
          <w:lang w:val="es-US"/>
        </w:rPr>
        <w:t>Caso Velásquez Paiz y otros Vs. Guatemala</w:t>
      </w:r>
      <w:r w:rsidRPr="000D7953">
        <w:rPr>
          <w:rFonts w:ascii="Cambria" w:hAnsi="Cambria"/>
          <w:sz w:val="16"/>
          <w:szCs w:val="16"/>
          <w:lang w:val="es-US"/>
        </w:rPr>
        <w:t>. Excepciones Preliminares, Fondo, Reparaciones y Costas. Sentencia de 19 de noviembre de 2015. Serie C No. 307. Párr. 109.</w:t>
      </w:r>
    </w:p>
  </w:footnote>
  <w:footnote w:id="97">
    <w:p w14:paraId="10C771F9" w14:textId="18B3CE4C"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US"/>
        </w:rPr>
        <w:t xml:space="preserve"> Corte IDH. </w:t>
      </w:r>
      <w:r w:rsidRPr="000D7953">
        <w:rPr>
          <w:rFonts w:ascii="Cambria" w:hAnsi="Cambria"/>
          <w:i/>
          <w:sz w:val="16"/>
          <w:szCs w:val="16"/>
          <w:lang w:val="es-US"/>
        </w:rPr>
        <w:t xml:space="preserve">Caso Velásquez Paiz y otros Vs. Guatemala, supra. </w:t>
      </w:r>
      <w:r w:rsidRPr="000D7953">
        <w:rPr>
          <w:rFonts w:ascii="Cambria" w:hAnsi="Cambria"/>
          <w:iCs/>
          <w:sz w:val="16"/>
          <w:szCs w:val="16"/>
          <w:lang w:val="es-US"/>
        </w:rPr>
        <w:t>P</w:t>
      </w:r>
      <w:r w:rsidRPr="000D7953">
        <w:rPr>
          <w:rFonts w:ascii="Cambria" w:hAnsi="Cambria"/>
          <w:sz w:val="16"/>
          <w:szCs w:val="16"/>
          <w:lang w:val="es-US"/>
        </w:rPr>
        <w:t xml:space="preserve">árr. </w:t>
      </w:r>
      <w:r w:rsidRPr="000D7953">
        <w:rPr>
          <w:rFonts w:ascii="Cambria" w:hAnsi="Cambria"/>
          <w:sz w:val="16"/>
          <w:szCs w:val="16"/>
          <w:lang w:val="pt-BR"/>
        </w:rPr>
        <w:t xml:space="preserve">109, y </w:t>
      </w:r>
      <w:r w:rsidRPr="000D7953">
        <w:rPr>
          <w:rFonts w:ascii="Cambria" w:hAnsi="Cambria"/>
          <w:i/>
          <w:iCs/>
          <w:sz w:val="16"/>
          <w:szCs w:val="16"/>
          <w:lang w:val="pt-BR"/>
        </w:rPr>
        <w:t>Caso López Soto y otros Vs. Venezuela</w:t>
      </w:r>
      <w:r w:rsidRPr="000D7953">
        <w:rPr>
          <w:rFonts w:ascii="Cambria" w:hAnsi="Cambria"/>
          <w:sz w:val="16"/>
          <w:szCs w:val="16"/>
          <w:lang w:val="pt-BR"/>
        </w:rPr>
        <w:t xml:space="preserve">. </w:t>
      </w:r>
      <w:r w:rsidRPr="000D7953">
        <w:rPr>
          <w:rFonts w:ascii="Cambria" w:hAnsi="Cambria"/>
          <w:sz w:val="16"/>
          <w:szCs w:val="16"/>
          <w:lang w:val="es-US"/>
        </w:rPr>
        <w:t>Fondo, Reparaciones y Costas. Sentencia de 26 de septiembre de 2018. Serie C No. 362. Párr. 140.</w:t>
      </w:r>
    </w:p>
  </w:footnote>
  <w:footnote w:id="98">
    <w:p w14:paraId="237B1625" w14:textId="1F7DC1DB"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sz w:val="16"/>
          <w:szCs w:val="16"/>
          <w:lang w:val="es-AR" w:eastAsia="x-none"/>
        </w:rPr>
        <w:footnoteRef/>
      </w:r>
      <w:r w:rsidRPr="000D7953">
        <w:rPr>
          <w:rFonts w:ascii="Cambria" w:hAnsi="Cambria"/>
          <w:sz w:val="16"/>
          <w:szCs w:val="16"/>
          <w:lang w:val="es-AR" w:eastAsia="x-none"/>
        </w:rPr>
        <w:t xml:space="preserve"> Corte IDH. </w:t>
      </w:r>
      <w:r w:rsidRPr="000D7953">
        <w:rPr>
          <w:rFonts w:ascii="Cambria" w:hAnsi="Cambria"/>
          <w:i/>
          <w:sz w:val="16"/>
          <w:szCs w:val="16"/>
          <w:lang w:val="es-AR" w:eastAsia="x-none"/>
        </w:rPr>
        <w:t xml:space="preserve">Caso Vélez Restrepo y Familiares Vs. Colombia, supra. </w:t>
      </w:r>
      <w:r w:rsidRPr="000D7953">
        <w:rPr>
          <w:rFonts w:ascii="Cambria" w:hAnsi="Cambria"/>
          <w:sz w:val="16"/>
          <w:szCs w:val="16"/>
          <w:lang w:val="es-AR" w:eastAsia="x-none"/>
        </w:rPr>
        <w:t>Párr. 193 y 194.</w:t>
      </w:r>
    </w:p>
  </w:footnote>
  <w:footnote w:id="99">
    <w:p w14:paraId="440D5173" w14:textId="3D83F8A3"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lang w:val="es-AR" w:eastAsia="x-none"/>
        </w:rPr>
        <w:footnoteRef/>
      </w:r>
      <w:r w:rsidRPr="000D7953">
        <w:rPr>
          <w:rFonts w:ascii="Cambria" w:hAnsi="Cambria"/>
          <w:sz w:val="16"/>
          <w:szCs w:val="16"/>
          <w:lang w:val="es-AR" w:eastAsia="x-none"/>
        </w:rPr>
        <w:t xml:space="preserve"> </w:t>
      </w:r>
      <w:r w:rsidRPr="000D7953">
        <w:rPr>
          <w:rFonts w:ascii="Cambria" w:hAnsi="Cambria"/>
          <w:sz w:val="16"/>
          <w:szCs w:val="16"/>
          <w:lang w:val="es-US"/>
        </w:rPr>
        <w:t xml:space="preserve">Corte IDH. </w:t>
      </w:r>
      <w:r w:rsidRPr="000D7953">
        <w:rPr>
          <w:rFonts w:ascii="Cambria" w:hAnsi="Cambria"/>
          <w:i/>
          <w:sz w:val="16"/>
          <w:szCs w:val="16"/>
          <w:lang w:val="es-AR" w:eastAsia="x-none"/>
        </w:rPr>
        <w:t>Caso Vélez Restrepo y Familiares Vs. Colombia</w:t>
      </w:r>
      <w:r w:rsidRPr="000D7953">
        <w:rPr>
          <w:rFonts w:ascii="Cambria" w:hAnsi="Cambria"/>
          <w:sz w:val="16"/>
          <w:szCs w:val="16"/>
          <w:lang w:val="es-US"/>
        </w:rPr>
        <w:t xml:space="preserve">, </w:t>
      </w:r>
      <w:r w:rsidRPr="000D7953">
        <w:rPr>
          <w:rFonts w:ascii="Cambria" w:hAnsi="Cambria"/>
          <w:i/>
          <w:iCs/>
          <w:sz w:val="16"/>
          <w:szCs w:val="16"/>
          <w:lang w:val="es-US"/>
        </w:rPr>
        <w:t>supra.</w:t>
      </w:r>
      <w:r w:rsidRPr="000D7953">
        <w:rPr>
          <w:rFonts w:ascii="Cambria" w:hAnsi="Cambria"/>
          <w:sz w:val="16"/>
          <w:szCs w:val="16"/>
          <w:lang w:val="es-US"/>
        </w:rPr>
        <w:t xml:space="preserve"> </w:t>
      </w:r>
      <w:r w:rsidRPr="000D7953">
        <w:rPr>
          <w:rFonts w:ascii="Cambria" w:hAnsi="Cambria"/>
          <w:sz w:val="16"/>
          <w:szCs w:val="16"/>
          <w:lang w:val="es-AR" w:eastAsia="x-none"/>
        </w:rPr>
        <w:t xml:space="preserve">Párr. 201, y </w:t>
      </w:r>
      <w:r w:rsidRPr="000D7953">
        <w:rPr>
          <w:rFonts w:ascii="Cambria" w:hAnsi="Cambria"/>
          <w:i/>
          <w:sz w:val="16"/>
          <w:szCs w:val="16"/>
          <w:lang w:val="es-US"/>
        </w:rPr>
        <w:t>Caso Luna López Vs. Honduras</w:t>
      </w:r>
      <w:r w:rsidRPr="000D7953">
        <w:rPr>
          <w:rFonts w:ascii="Cambria" w:hAnsi="Cambria"/>
          <w:sz w:val="16"/>
          <w:szCs w:val="16"/>
          <w:lang w:val="es-US"/>
        </w:rPr>
        <w:t xml:space="preserve">, </w:t>
      </w:r>
      <w:r w:rsidRPr="000D7953">
        <w:rPr>
          <w:rFonts w:ascii="Cambria" w:hAnsi="Cambria"/>
          <w:i/>
          <w:iCs/>
          <w:sz w:val="16"/>
          <w:szCs w:val="16"/>
          <w:lang w:val="es-US"/>
        </w:rPr>
        <w:t>supra</w:t>
      </w:r>
      <w:r w:rsidRPr="000D7953">
        <w:rPr>
          <w:rFonts w:ascii="Cambria" w:hAnsi="Cambria"/>
          <w:sz w:val="16"/>
          <w:szCs w:val="16"/>
          <w:lang w:val="es-US"/>
        </w:rPr>
        <w:t>. Párr. 120.</w:t>
      </w:r>
    </w:p>
  </w:footnote>
  <w:footnote w:id="100">
    <w:p w14:paraId="4DFA719B" w14:textId="5E7C960D"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cs="Cambria"/>
          <w:sz w:val="16"/>
          <w:szCs w:val="16"/>
          <w:lang w:val="es-AR" w:eastAsia="x-none"/>
        </w:rPr>
        <w:footnoteRef/>
      </w:r>
      <w:r w:rsidRPr="000D7953">
        <w:rPr>
          <w:rFonts w:ascii="Cambria" w:hAnsi="Cambria"/>
          <w:sz w:val="16"/>
          <w:szCs w:val="16"/>
          <w:lang w:val="es-AR" w:eastAsia="x-none"/>
        </w:rPr>
        <w:t xml:space="preserve"> CIDH. </w:t>
      </w:r>
      <w:hyperlink r:id="rId6" w:history="1">
        <w:r w:rsidRPr="000D7953">
          <w:rPr>
            <w:rStyle w:val="Hyperlink"/>
            <w:rFonts w:ascii="Cambria" w:hAnsi="Cambria"/>
            <w:sz w:val="16"/>
            <w:szCs w:val="16"/>
            <w:lang w:val="es-AR" w:eastAsia="x-none"/>
          </w:rPr>
          <w:t>Informe Anual 2013. Informe de la Relatoría Especial para la Libertad de Expresión</w:t>
        </w:r>
      </w:hyperlink>
      <w:r w:rsidRPr="000D7953">
        <w:rPr>
          <w:rFonts w:ascii="Cambria" w:hAnsi="Cambria"/>
          <w:sz w:val="16"/>
          <w:szCs w:val="16"/>
          <w:lang w:val="es-AR" w:eastAsia="x-none"/>
        </w:rPr>
        <w:t xml:space="preserve">. Capítulo III (Violencia contra periodistas y trabajadores de medios: estándares interamericanos y prácticas nacionales sobre prevención, protección y procuración de la justicia). OEA/Ser.L/V/II.149. Doc. 50. 31 de diciembre de 2013. Párr. 72; Relator Especial de las Naciones Unidas (ONU) para la Libertad de Opinión y de Expresión, Representante para la Libertad de los Medios de Comunicación de la Organización para la Seguridad y la Cooperación en Europa (OSCE), Relatora Especial de la Organización de los Estados Americanos (OEA) para la Libertad de Expresión y Relatora Especial sobre Libertad de Expresión y Acceso a la Información de la Comisión Africana de Derechos Humanos y de los Pueblos (CADHP). 25 de junio de 2012. </w:t>
      </w:r>
      <w:hyperlink r:id="rId7" w:history="1">
        <w:r w:rsidRPr="000D7953">
          <w:rPr>
            <w:rStyle w:val="Hyperlink"/>
            <w:rFonts w:ascii="Cambria" w:hAnsi="Cambria" w:cs="Cambria"/>
            <w:i/>
            <w:sz w:val="16"/>
            <w:szCs w:val="16"/>
            <w:lang w:val="es-AR" w:eastAsia="x-none"/>
          </w:rPr>
          <w:t>Declaración Conjunta sobre Delitos contra la Libertad de Expresión</w:t>
        </w:r>
      </w:hyperlink>
      <w:r w:rsidRPr="000D7953">
        <w:rPr>
          <w:rFonts w:ascii="Cambria" w:hAnsi="Cambria"/>
          <w:sz w:val="16"/>
          <w:szCs w:val="16"/>
          <w:lang w:val="es-AR" w:eastAsia="x-none"/>
        </w:rPr>
        <w:t xml:space="preserve">. </w:t>
      </w:r>
      <w:r w:rsidRPr="000D7953">
        <w:rPr>
          <w:rFonts w:ascii="Cambria" w:hAnsi="Cambria"/>
          <w:sz w:val="16"/>
          <w:szCs w:val="16"/>
          <w:lang w:val="es-PE"/>
        </w:rPr>
        <w:t>CIDH. Informe No. 150/18. Caso No. 12.954. Jineth Bedoya Lima y otra. Colombia. 7 de diciembre de 2018. Párr. 77.</w:t>
      </w:r>
    </w:p>
  </w:footnote>
  <w:footnote w:id="101">
    <w:p w14:paraId="3D1CA4AC" w14:textId="211B390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Corte IDH. </w:t>
      </w:r>
      <w:r w:rsidRPr="000D7953">
        <w:rPr>
          <w:rFonts w:ascii="Cambria" w:hAnsi="Cambria"/>
          <w:i/>
          <w:iCs/>
          <w:sz w:val="16"/>
          <w:szCs w:val="16"/>
          <w:lang w:val="es-PE"/>
        </w:rPr>
        <w:t>C</w:t>
      </w:r>
      <w:r w:rsidRPr="000D7953">
        <w:rPr>
          <w:rFonts w:ascii="Cambria" w:hAnsi="Cambria"/>
          <w:i/>
          <w:sz w:val="16"/>
          <w:szCs w:val="16"/>
          <w:lang w:val="es-CO"/>
        </w:rPr>
        <w:t xml:space="preserve">aso Velásquez Rodríguez Vs. Honduras. Fondo. </w:t>
      </w:r>
      <w:r w:rsidRPr="000D7953">
        <w:rPr>
          <w:rFonts w:ascii="Cambria" w:hAnsi="Cambria"/>
          <w:sz w:val="16"/>
          <w:szCs w:val="16"/>
          <w:lang w:val="es-CO"/>
        </w:rPr>
        <w:t xml:space="preserve">Sentencia de 29 de julio de 1988. </w:t>
      </w:r>
      <w:r w:rsidRPr="000D7953">
        <w:rPr>
          <w:rFonts w:ascii="Cambria" w:hAnsi="Cambria"/>
          <w:sz w:val="16"/>
          <w:szCs w:val="16"/>
          <w:lang w:val="pt-BR"/>
        </w:rPr>
        <w:t xml:space="preserve">Serie C No. 04. </w:t>
      </w:r>
      <w:r w:rsidRPr="000D7953">
        <w:rPr>
          <w:rFonts w:ascii="Cambria" w:hAnsi="Cambria"/>
          <w:sz w:val="16"/>
          <w:szCs w:val="16"/>
          <w:lang w:val="es-PE"/>
        </w:rPr>
        <w:t xml:space="preserve">Párr. 166; </w:t>
      </w:r>
      <w:r w:rsidRPr="000D7953">
        <w:rPr>
          <w:rFonts w:ascii="Cambria" w:hAnsi="Cambria"/>
          <w:i/>
          <w:iCs/>
          <w:sz w:val="16"/>
          <w:szCs w:val="16"/>
          <w:lang w:val="es-PE"/>
        </w:rPr>
        <w:t>Caso González y otras (“Campo Algodonero”) Vs. México,</w:t>
      </w:r>
      <w:r w:rsidRPr="000D7953">
        <w:rPr>
          <w:rFonts w:ascii="Cambria" w:hAnsi="Cambria"/>
          <w:sz w:val="16"/>
          <w:szCs w:val="16"/>
          <w:lang w:val="es-PE"/>
        </w:rPr>
        <w:t xml:space="preserve"> </w:t>
      </w:r>
      <w:r w:rsidRPr="000D7953">
        <w:rPr>
          <w:rFonts w:ascii="Cambria" w:hAnsi="Cambria"/>
          <w:i/>
          <w:iCs/>
          <w:sz w:val="16"/>
          <w:szCs w:val="16"/>
          <w:lang w:val="es-PE"/>
        </w:rPr>
        <w:t>supra.</w:t>
      </w:r>
      <w:r w:rsidRPr="000D7953">
        <w:rPr>
          <w:rFonts w:ascii="Cambria" w:hAnsi="Cambria"/>
          <w:sz w:val="16"/>
          <w:szCs w:val="16"/>
          <w:lang w:val="es-PE"/>
        </w:rPr>
        <w:t xml:space="preserve"> Párr. 252, y </w:t>
      </w:r>
      <w:r w:rsidRPr="000D7953">
        <w:rPr>
          <w:rFonts w:ascii="Cambria" w:hAnsi="Cambria"/>
          <w:i/>
          <w:iCs/>
          <w:sz w:val="16"/>
          <w:szCs w:val="16"/>
          <w:lang w:val="es-ES"/>
        </w:rPr>
        <w:t>Caso Defensor de Derechos Humanos y otros Vs. Guatemala.</w:t>
      </w:r>
      <w:r w:rsidRPr="000D7953">
        <w:rPr>
          <w:rFonts w:ascii="Cambria" w:hAnsi="Cambria"/>
          <w:sz w:val="16"/>
          <w:szCs w:val="16"/>
          <w:lang w:val="es-ES"/>
        </w:rPr>
        <w:t xml:space="preserve"> Excepciones Preliminares, Fondo, Reparaciones y Costas. Sentencia de 28 de agosto de 2014. Serie C No. 283. Párr. 139.</w:t>
      </w:r>
    </w:p>
  </w:footnote>
  <w:footnote w:id="102">
    <w:p w14:paraId="1F437077" w14:textId="63EFCF91" w:rsidR="000A5EAC" w:rsidRPr="000D7953" w:rsidRDefault="000A5EAC" w:rsidP="000D7953">
      <w:pPr>
        <w:pStyle w:val="FootnoteText"/>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Págs. 77 a 102.</w:t>
      </w:r>
    </w:p>
  </w:footnote>
  <w:footnote w:id="103">
    <w:p w14:paraId="2ECA0692" w14:textId="0A299242"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Corte IDH. </w:t>
      </w:r>
      <w:r w:rsidRPr="000D7953">
        <w:rPr>
          <w:rFonts w:ascii="Cambria" w:hAnsi="Cambria"/>
          <w:i/>
          <w:iCs/>
          <w:sz w:val="16"/>
          <w:szCs w:val="16"/>
          <w:lang w:val="es-ES"/>
        </w:rPr>
        <w:t>Caso Defensor de Derechos Humanos y otros Vs. Guatemala, supra</w:t>
      </w:r>
      <w:r w:rsidRPr="000D7953">
        <w:rPr>
          <w:rFonts w:ascii="Cambria" w:hAnsi="Cambria"/>
          <w:sz w:val="16"/>
          <w:szCs w:val="16"/>
          <w:lang w:val="es-ES"/>
        </w:rPr>
        <w:t>. Párr. 199.</w:t>
      </w:r>
    </w:p>
  </w:footnote>
  <w:footnote w:id="104">
    <w:p w14:paraId="176AE330" w14:textId="568523AC"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w:t>
      </w:r>
      <w:r w:rsidRPr="000D7953">
        <w:rPr>
          <w:rStyle w:val="Strong"/>
          <w:rFonts w:ascii="Cambria" w:hAnsi="Cambria"/>
          <w:b w:val="0"/>
          <w:sz w:val="16"/>
          <w:szCs w:val="16"/>
          <w:shd w:val="clear" w:color="auto" w:fill="FFFFFF"/>
          <w:lang w:val="es-ES"/>
        </w:rPr>
        <w:t xml:space="preserve">Corte IDH. </w:t>
      </w:r>
      <w:r w:rsidRPr="000D7953">
        <w:rPr>
          <w:rStyle w:val="Strong"/>
          <w:rFonts w:ascii="Cambria" w:hAnsi="Cambria"/>
          <w:b w:val="0"/>
          <w:i/>
          <w:iCs/>
          <w:sz w:val="16"/>
          <w:szCs w:val="16"/>
          <w:shd w:val="clear" w:color="auto" w:fill="FFFFFF"/>
          <w:lang w:val="es-ES"/>
        </w:rPr>
        <w:t>Caso Espinoza Gonzáles Vs. Perú.</w:t>
      </w:r>
      <w:r w:rsidRPr="000D7953">
        <w:rPr>
          <w:rStyle w:val="Strong"/>
          <w:rFonts w:ascii="Cambria" w:hAnsi="Cambria"/>
          <w:b w:val="0"/>
          <w:sz w:val="16"/>
          <w:szCs w:val="16"/>
          <w:shd w:val="clear" w:color="auto" w:fill="FFFFFF"/>
          <w:lang w:val="es-ES"/>
        </w:rPr>
        <w:t xml:space="preserve"> Excepciones Preliminares, Fondo, Reparaciones y Costas. Sentencia de 20 de noviembre de 2014. Serie C No. 289. Párr. 237.</w:t>
      </w:r>
    </w:p>
  </w:footnote>
  <w:footnote w:id="105">
    <w:p w14:paraId="7A9A5B3C" w14:textId="5BE5D0C4"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Corte IDH. </w:t>
      </w:r>
      <w:r w:rsidRPr="000D7953">
        <w:rPr>
          <w:rFonts w:ascii="Cambria" w:hAnsi="Cambria"/>
          <w:i/>
          <w:iCs/>
          <w:sz w:val="16"/>
          <w:szCs w:val="16"/>
          <w:lang w:val="es-ES"/>
        </w:rPr>
        <w:t>Caso Defensor de Derechos Humanos y otros Vs. Guatemala, supra</w:t>
      </w:r>
      <w:r w:rsidRPr="000D7953">
        <w:rPr>
          <w:rFonts w:ascii="Cambria" w:hAnsi="Cambria"/>
          <w:sz w:val="16"/>
          <w:szCs w:val="16"/>
          <w:lang w:val="es-ES"/>
        </w:rPr>
        <w:t>. Párr. 199.</w:t>
      </w:r>
    </w:p>
  </w:footnote>
  <w:footnote w:id="106">
    <w:p w14:paraId="27AB2638" w14:textId="1C77E45A"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US"/>
        </w:rPr>
        <w:t xml:space="preserve"> </w:t>
      </w:r>
      <w:r w:rsidRPr="000D7953">
        <w:rPr>
          <w:rFonts w:ascii="Cambria" w:hAnsi="Cambria"/>
          <w:bCs/>
          <w:sz w:val="16"/>
          <w:szCs w:val="16"/>
          <w:lang w:val="es-US"/>
        </w:rPr>
        <w:t xml:space="preserve">Corte IDH. </w:t>
      </w:r>
      <w:r w:rsidRPr="000D7953">
        <w:rPr>
          <w:rFonts w:ascii="Cambria" w:hAnsi="Cambria"/>
          <w:bCs/>
          <w:i/>
          <w:sz w:val="16"/>
          <w:szCs w:val="16"/>
          <w:lang w:val="es-ES"/>
        </w:rPr>
        <w:t>Caso García Prieto y otro Vs. El Salvador</w:t>
      </w:r>
      <w:r w:rsidRPr="000D7953">
        <w:rPr>
          <w:rFonts w:ascii="Cambria" w:hAnsi="Cambria"/>
          <w:bCs/>
          <w:sz w:val="16"/>
          <w:szCs w:val="16"/>
          <w:lang w:val="es-ES"/>
        </w:rPr>
        <w:t>. Excepciones Preliminares, Fondo, Reparaciones y Costas. Sentencia de 20 de noviembre de 2007. Serie C No. 168. Párr. 101.</w:t>
      </w:r>
    </w:p>
  </w:footnote>
  <w:footnote w:id="107">
    <w:p w14:paraId="10CCF69F" w14:textId="68C4212C"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w:t>
      </w:r>
      <w:r w:rsidRPr="000D7953">
        <w:rPr>
          <w:rStyle w:val="Strong"/>
          <w:rFonts w:ascii="Cambria" w:hAnsi="Cambria"/>
          <w:b w:val="0"/>
          <w:sz w:val="16"/>
          <w:szCs w:val="16"/>
          <w:shd w:val="clear" w:color="auto" w:fill="FFFFFF"/>
          <w:lang w:val="es-ES"/>
        </w:rPr>
        <w:t xml:space="preserve">Corte IDH. </w:t>
      </w:r>
      <w:r w:rsidRPr="000D7953">
        <w:rPr>
          <w:rStyle w:val="Strong"/>
          <w:rFonts w:ascii="Cambria" w:hAnsi="Cambria"/>
          <w:b w:val="0"/>
          <w:i/>
          <w:iCs/>
          <w:sz w:val="16"/>
          <w:szCs w:val="16"/>
          <w:shd w:val="clear" w:color="auto" w:fill="FFFFFF"/>
          <w:lang w:val="es-ES"/>
        </w:rPr>
        <w:t>Caso Chitay Nech y otros Vs. Guatemala.</w:t>
      </w:r>
      <w:r w:rsidRPr="000D7953">
        <w:rPr>
          <w:rStyle w:val="Strong"/>
          <w:rFonts w:ascii="Cambria" w:hAnsi="Cambria"/>
          <w:b w:val="0"/>
          <w:sz w:val="16"/>
          <w:szCs w:val="16"/>
          <w:shd w:val="clear" w:color="auto" w:fill="FFFFFF"/>
          <w:lang w:val="es-ES"/>
        </w:rPr>
        <w:t xml:space="preserve"> Excepciones Preliminares, Fondo, Reparaciones y Costas. Sentencia de 25 de mayo de 2010. Serie C No. 212. Párr. 192.</w:t>
      </w:r>
    </w:p>
  </w:footnote>
  <w:footnote w:id="108">
    <w:p w14:paraId="6FF040F7" w14:textId="71F313B9"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rPr>
        <w:footnoteRef/>
      </w:r>
      <w:r w:rsidRPr="000D7953">
        <w:rPr>
          <w:rFonts w:ascii="Cambria" w:hAnsi="Cambria"/>
          <w:sz w:val="16"/>
          <w:szCs w:val="16"/>
          <w:lang w:val="es-US"/>
        </w:rPr>
        <w:t xml:space="preserve"> </w:t>
      </w:r>
      <w:r w:rsidRPr="000D7953">
        <w:rPr>
          <w:rFonts w:ascii="Cambria" w:hAnsi="Cambria"/>
          <w:bCs/>
          <w:sz w:val="16"/>
          <w:szCs w:val="16"/>
          <w:lang w:val="es-US"/>
        </w:rPr>
        <w:t xml:space="preserve">Corte IDH. </w:t>
      </w:r>
      <w:r w:rsidRPr="000D7953">
        <w:rPr>
          <w:rFonts w:ascii="Cambria" w:hAnsi="Cambria"/>
          <w:bCs/>
          <w:i/>
          <w:sz w:val="16"/>
          <w:szCs w:val="16"/>
          <w:lang w:val="es-US"/>
        </w:rPr>
        <w:t>Caso Velásquez Rodríguez Vs. Honduras</w:t>
      </w:r>
      <w:r w:rsidRPr="000D7953">
        <w:rPr>
          <w:rFonts w:ascii="Cambria" w:hAnsi="Cambria"/>
          <w:bCs/>
          <w:sz w:val="16"/>
          <w:szCs w:val="16"/>
          <w:lang w:val="es-US"/>
        </w:rPr>
        <w:t xml:space="preserve">. Fondo, </w:t>
      </w:r>
      <w:r w:rsidRPr="000D7953">
        <w:rPr>
          <w:rFonts w:ascii="Cambria" w:hAnsi="Cambria"/>
          <w:bCs/>
          <w:i/>
          <w:iCs/>
          <w:sz w:val="16"/>
          <w:szCs w:val="16"/>
          <w:lang w:val="es-US"/>
        </w:rPr>
        <w:t>supra.</w:t>
      </w:r>
      <w:r w:rsidRPr="000D7953">
        <w:rPr>
          <w:rFonts w:ascii="Cambria" w:hAnsi="Cambria"/>
          <w:bCs/>
          <w:sz w:val="16"/>
          <w:szCs w:val="16"/>
          <w:lang w:val="es-US"/>
        </w:rPr>
        <w:t xml:space="preserve"> </w:t>
      </w:r>
      <w:r w:rsidRPr="000D7953">
        <w:rPr>
          <w:rFonts w:ascii="Cambria" w:hAnsi="Cambria"/>
          <w:sz w:val="16"/>
          <w:szCs w:val="16"/>
          <w:lang w:val="pt-BR"/>
        </w:rPr>
        <w:t xml:space="preserve">Párr. </w:t>
      </w:r>
      <w:r w:rsidRPr="000D7953">
        <w:rPr>
          <w:rFonts w:ascii="Cambria" w:hAnsi="Cambria"/>
          <w:sz w:val="16"/>
          <w:szCs w:val="16"/>
          <w:lang w:val="pt-BR" w:eastAsia="zh-CN"/>
        </w:rPr>
        <w:t xml:space="preserve">145, y </w:t>
      </w:r>
      <w:r w:rsidRPr="000D7953">
        <w:rPr>
          <w:rFonts w:ascii="Cambria" w:hAnsi="Cambria"/>
          <w:i/>
          <w:sz w:val="16"/>
          <w:szCs w:val="16"/>
          <w:lang w:val="pt-BR" w:eastAsia="x-none"/>
        </w:rPr>
        <w:t xml:space="preserve">Caso Kawas Fernández Vs. </w:t>
      </w:r>
      <w:r w:rsidRPr="000D7953">
        <w:rPr>
          <w:rFonts w:ascii="Cambria" w:hAnsi="Cambria"/>
          <w:i/>
          <w:sz w:val="16"/>
          <w:szCs w:val="16"/>
          <w:lang w:val="es-AR" w:eastAsia="x-none"/>
        </w:rPr>
        <w:t>Honduras</w:t>
      </w:r>
      <w:r w:rsidRPr="000D7953">
        <w:rPr>
          <w:rFonts w:ascii="Cambria" w:hAnsi="Cambria"/>
          <w:sz w:val="16"/>
          <w:szCs w:val="16"/>
          <w:lang w:val="es-AR" w:eastAsia="x-none"/>
        </w:rPr>
        <w:t xml:space="preserve">. Fondo, Reparaciones y Costas. Sentencia de 3 de abril de 2009. Serie C No. 134. Párr. </w:t>
      </w:r>
      <w:r w:rsidRPr="000D7953">
        <w:rPr>
          <w:rFonts w:ascii="Cambria" w:hAnsi="Cambria"/>
          <w:sz w:val="16"/>
          <w:szCs w:val="16"/>
          <w:lang w:val="es-CO" w:eastAsia="zh-CN"/>
        </w:rPr>
        <w:t>78.</w:t>
      </w:r>
    </w:p>
  </w:footnote>
  <w:footnote w:id="109">
    <w:p w14:paraId="085F33F6" w14:textId="1F195EB5"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cs="Cambria"/>
          <w:sz w:val="16"/>
          <w:szCs w:val="16"/>
          <w:lang w:val="es-AR" w:eastAsia="x-none"/>
        </w:rPr>
        <w:footnoteRef/>
      </w:r>
      <w:r w:rsidRPr="000D7953">
        <w:rPr>
          <w:rFonts w:ascii="Cambria" w:hAnsi="Cambria"/>
          <w:sz w:val="16"/>
          <w:szCs w:val="16"/>
          <w:lang w:val="es-AR" w:eastAsia="x-none"/>
        </w:rPr>
        <w:t xml:space="preserve"> Corte IDH. </w:t>
      </w:r>
      <w:r w:rsidRPr="000D7953">
        <w:rPr>
          <w:rFonts w:ascii="Cambria" w:hAnsi="Cambria"/>
          <w:i/>
          <w:iCs/>
          <w:sz w:val="16"/>
          <w:szCs w:val="16"/>
          <w:lang w:val="es-AR" w:eastAsia="x-none"/>
        </w:rPr>
        <w:t xml:space="preserve">Caso Vélez Restrepo y Familiares Vs. Colombia, supra. </w:t>
      </w:r>
      <w:r w:rsidRPr="000D7953">
        <w:rPr>
          <w:rFonts w:ascii="Cambria" w:hAnsi="Cambria"/>
          <w:sz w:val="16"/>
          <w:szCs w:val="16"/>
          <w:lang w:val="es-AR" w:eastAsia="x-none"/>
        </w:rPr>
        <w:t xml:space="preserve">Párr. 148, y </w:t>
      </w:r>
      <w:r w:rsidRPr="000D7953">
        <w:rPr>
          <w:rFonts w:ascii="Cambria" w:hAnsi="Cambria"/>
          <w:i/>
          <w:sz w:val="16"/>
          <w:szCs w:val="16"/>
          <w:lang w:val="es-ES"/>
        </w:rPr>
        <w:t>Caso Carvajal Carvajal y otros Vs. Colombia, supra</w:t>
      </w:r>
      <w:r w:rsidRPr="000D7953">
        <w:rPr>
          <w:rFonts w:ascii="Cambria" w:hAnsi="Cambria"/>
          <w:sz w:val="16"/>
          <w:szCs w:val="16"/>
          <w:lang w:val="es-ES"/>
        </w:rPr>
        <w:t xml:space="preserve">. Párr. 175. </w:t>
      </w:r>
      <w:r w:rsidRPr="000D7953">
        <w:rPr>
          <w:rFonts w:ascii="Cambria" w:hAnsi="Cambria"/>
          <w:sz w:val="16"/>
          <w:szCs w:val="16"/>
          <w:lang w:val="es-AR" w:eastAsia="x-none"/>
        </w:rPr>
        <w:t>CIDH. Informe No. 136/10. Caso 12.658. Luis Gonzalo “Richard” Vélez Restrepo y Familia (Colombia)</w:t>
      </w:r>
      <w:r w:rsidRPr="000D7953">
        <w:rPr>
          <w:rFonts w:ascii="Cambria" w:hAnsi="Cambria"/>
          <w:iCs/>
          <w:sz w:val="16"/>
          <w:szCs w:val="16"/>
          <w:lang w:val="es-AR" w:eastAsia="x-none"/>
        </w:rPr>
        <w:t xml:space="preserve">. 23 </w:t>
      </w:r>
      <w:r w:rsidRPr="000D7953">
        <w:rPr>
          <w:rFonts w:ascii="Cambria" w:hAnsi="Cambria"/>
          <w:sz w:val="16"/>
          <w:szCs w:val="16"/>
          <w:lang w:val="es-AR" w:eastAsia="x-none"/>
        </w:rPr>
        <w:t xml:space="preserve">de octubre de 2010. Párr. 136; CIDH. Informe No. 50/99. Caso 11.739. </w:t>
      </w:r>
      <w:r w:rsidRPr="000D7953">
        <w:rPr>
          <w:rFonts w:ascii="Cambria" w:hAnsi="Cambria"/>
          <w:iCs/>
          <w:sz w:val="16"/>
          <w:szCs w:val="16"/>
          <w:lang w:val="es-AR" w:eastAsia="x-none"/>
        </w:rPr>
        <w:t>Héctor Félix Miranda (México)</w:t>
      </w:r>
      <w:r w:rsidRPr="000D7953">
        <w:rPr>
          <w:rFonts w:ascii="Cambria" w:hAnsi="Cambria"/>
          <w:sz w:val="16"/>
          <w:szCs w:val="16"/>
          <w:lang w:val="es-AR" w:eastAsia="x-none"/>
        </w:rPr>
        <w:t xml:space="preserve">. 13 de abril de 1999. Párr. 52; CIDH. Informe No. 130/99. Caso No. 11.740. </w:t>
      </w:r>
      <w:r w:rsidRPr="000D7953">
        <w:rPr>
          <w:rFonts w:ascii="Cambria" w:hAnsi="Cambria"/>
          <w:iCs/>
          <w:sz w:val="16"/>
          <w:szCs w:val="16"/>
          <w:lang w:val="es-AR" w:eastAsia="x-none"/>
        </w:rPr>
        <w:t>Víctor Manuel Oropeza (México)</w:t>
      </w:r>
      <w:r w:rsidRPr="000D7953">
        <w:rPr>
          <w:rFonts w:ascii="Cambria" w:hAnsi="Cambria"/>
          <w:sz w:val="16"/>
          <w:szCs w:val="16"/>
          <w:lang w:val="es-AR" w:eastAsia="x-none"/>
        </w:rPr>
        <w:t>. 19 de noviembre de 1999. Párr. 58.</w:t>
      </w:r>
    </w:p>
  </w:footnote>
  <w:footnote w:id="110">
    <w:p w14:paraId="47590B1B" w14:textId="3DD0E2D3"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cs="Cambria"/>
          <w:sz w:val="16"/>
          <w:szCs w:val="16"/>
          <w:lang w:val="es-AR" w:eastAsia="x-none"/>
        </w:rPr>
        <w:footnoteRef/>
      </w:r>
      <w:r w:rsidRPr="000D7953">
        <w:rPr>
          <w:rFonts w:ascii="Cambria" w:hAnsi="Cambria"/>
          <w:sz w:val="16"/>
          <w:szCs w:val="16"/>
          <w:lang w:val="es-AR" w:eastAsia="x-none"/>
        </w:rPr>
        <w:t xml:space="preserve"> </w:t>
      </w:r>
      <w:r w:rsidRPr="000D7953">
        <w:rPr>
          <w:rFonts w:ascii="Cambria" w:hAnsi="Cambria"/>
          <w:sz w:val="16"/>
          <w:szCs w:val="16"/>
          <w:lang w:val="es-PE"/>
        </w:rPr>
        <w:t xml:space="preserve">CIDH. Informe No. 150/18. Caso No. 12.954. Jineth Bedoya Lima y otra. Colombia. 7 de diciembre de 2018. Párr. 108. </w:t>
      </w:r>
      <w:r w:rsidRPr="000D7953">
        <w:rPr>
          <w:rFonts w:ascii="Cambria" w:hAnsi="Cambria"/>
          <w:i/>
          <w:iCs/>
          <w:sz w:val="16"/>
          <w:szCs w:val="16"/>
          <w:lang w:val="es-AR" w:eastAsia="x-none"/>
        </w:rPr>
        <w:t>Ver también</w:t>
      </w:r>
      <w:r w:rsidRPr="000D7953">
        <w:rPr>
          <w:rFonts w:ascii="Cambria" w:hAnsi="Cambria"/>
          <w:sz w:val="16"/>
          <w:szCs w:val="16"/>
          <w:lang w:val="es-AR" w:eastAsia="x-none"/>
        </w:rPr>
        <w:t xml:space="preserve">, Corte IDH. </w:t>
      </w:r>
      <w:r w:rsidRPr="000D7953">
        <w:rPr>
          <w:rFonts w:ascii="Cambria" w:hAnsi="Cambria"/>
          <w:i/>
          <w:iCs/>
          <w:sz w:val="16"/>
          <w:szCs w:val="16"/>
          <w:lang w:val="es-AR" w:eastAsia="x-none"/>
        </w:rPr>
        <w:t xml:space="preserve">Caso Vélez Restrepo y Familiares Vs. Colombia, supra. </w:t>
      </w:r>
      <w:r w:rsidRPr="000D7953">
        <w:rPr>
          <w:rFonts w:ascii="Cambria" w:hAnsi="Cambria"/>
          <w:sz w:val="16"/>
          <w:szCs w:val="16"/>
          <w:lang w:val="es-AR" w:eastAsia="x-none"/>
        </w:rPr>
        <w:t>Párr. 211.</w:t>
      </w:r>
    </w:p>
  </w:footnote>
  <w:footnote w:id="111">
    <w:p w14:paraId="3E0BE120" w14:textId="20ACEB2E" w:rsidR="000A5EAC" w:rsidRPr="000D7953" w:rsidRDefault="000A5EAC" w:rsidP="000D7953">
      <w:pPr>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ES"/>
        </w:rPr>
      </w:pPr>
      <w:r w:rsidRPr="000D7953">
        <w:rPr>
          <w:rStyle w:val="FootnoteReference"/>
          <w:rFonts w:ascii="Cambria" w:hAnsi="Cambria" w:cs="Cambria"/>
          <w:sz w:val="16"/>
          <w:szCs w:val="16"/>
          <w:lang w:val="es-AR"/>
        </w:rPr>
        <w:footnoteRef/>
      </w:r>
      <w:r w:rsidRPr="000D7953">
        <w:rPr>
          <w:rFonts w:ascii="Cambria" w:hAnsi="Cambria"/>
          <w:sz w:val="16"/>
          <w:szCs w:val="16"/>
          <w:lang w:val="es-AR"/>
        </w:rPr>
        <w:t xml:space="preserve"> Corte IDH. </w:t>
      </w:r>
      <w:r w:rsidRPr="000D7953">
        <w:rPr>
          <w:rFonts w:ascii="Cambria" w:hAnsi="Cambria"/>
          <w:i/>
          <w:iCs/>
          <w:sz w:val="16"/>
          <w:szCs w:val="16"/>
          <w:lang w:val="es-AR"/>
        </w:rPr>
        <w:t xml:space="preserve">Caso Ivcher Bronstein Vs. Perú, supra. </w:t>
      </w:r>
      <w:r w:rsidRPr="000D7953">
        <w:rPr>
          <w:rFonts w:ascii="Cambria" w:hAnsi="Cambria"/>
          <w:sz w:val="16"/>
          <w:szCs w:val="16"/>
          <w:lang w:val="es-AR"/>
        </w:rPr>
        <w:t xml:space="preserve">Párr. 186, y </w:t>
      </w:r>
      <w:r w:rsidRPr="000D7953">
        <w:rPr>
          <w:rFonts w:ascii="Cambria" w:hAnsi="Cambria"/>
          <w:i/>
          <w:iCs/>
          <w:sz w:val="16"/>
          <w:szCs w:val="16"/>
          <w:lang w:val="es-AR"/>
        </w:rPr>
        <w:t>Caso Bámaca Velásquez Vs. Guatemala. Fondo</w:t>
      </w:r>
      <w:r w:rsidRPr="000D7953">
        <w:rPr>
          <w:rFonts w:ascii="Cambria" w:hAnsi="Cambria"/>
          <w:sz w:val="16"/>
          <w:szCs w:val="16"/>
          <w:lang w:val="es-AR"/>
        </w:rPr>
        <w:t xml:space="preserve">. Sentencia de 25 de noviembre de 2000. Serie C No. 70. Párr. 211. </w:t>
      </w:r>
      <w:r w:rsidRPr="000D7953">
        <w:rPr>
          <w:rFonts w:ascii="Cambria" w:hAnsi="Cambria"/>
          <w:sz w:val="16"/>
          <w:szCs w:val="16"/>
          <w:lang w:val="es-AR" w:eastAsia="x-none"/>
        </w:rPr>
        <w:t>CIDH.</w:t>
      </w:r>
      <w:r w:rsidRPr="000D7953">
        <w:rPr>
          <w:rFonts w:ascii="Cambria" w:hAnsi="Cambria"/>
          <w:sz w:val="16"/>
          <w:szCs w:val="16"/>
          <w:lang w:val="es-PE"/>
        </w:rPr>
        <w:t xml:space="preserve"> Informe No. 21/15. Caso No. 12.462. Nelson Carvajal Carvajal y familia. Colombia. 26 de marzo de 2015. Párr. 122, e Informe No. 150/18. Caso No. 12.954. Jineth Bedoya Lima y otra. Colombia. 7 de diciembre de 2018. Párr. 109.</w:t>
      </w:r>
    </w:p>
  </w:footnote>
  <w:footnote w:id="112">
    <w:p w14:paraId="68C86C0D" w14:textId="327EA263"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color w:val="auto"/>
          <w:sz w:val="16"/>
          <w:szCs w:val="16"/>
          <w:lang w:val="es-ES"/>
        </w:rPr>
      </w:pPr>
      <w:r w:rsidRPr="000D7953">
        <w:rPr>
          <w:rStyle w:val="FootnoteReference"/>
          <w:rFonts w:ascii="Cambria" w:hAnsi="Cambria" w:cs="Cambria"/>
          <w:color w:val="auto"/>
          <w:sz w:val="16"/>
          <w:szCs w:val="16"/>
          <w:lang w:val="es-AR" w:eastAsia="x-none"/>
        </w:rPr>
        <w:footnoteRef/>
      </w:r>
      <w:r w:rsidRPr="000D7953">
        <w:rPr>
          <w:rFonts w:ascii="Cambria" w:hAnsi="Cambria"/>
          <w:color w:val="auto"/>
          <w:sz w:val="16"/>
          <w:szCs w:val="16"/>
          <w:lang w:val="es-AR" w:eastAsia="x-none"/>
        </w:rPr>
        <w:t xml:space="preserve"> CIDH. </w:t>
      </w:r>
      <w:r w:rsidRPr="000D7953">
        <w:rPr>
          <w:rFonts w:ascii="Cambria" w:hAnsi="Cambria"/>
          <w:sz w:val="16"/>
          <w:szCs w:val="16"/>
          <w:lang w:val="es-PE"/>
        </w:rPr>
        <w:t>Informe No. 150/18. Caso No. 12.954. Jineth Bedoya Lima y otra. Colombia. 7 de diciembre de 2018. Párr. 109.</w:t>
      </w:r>
    </w:p>
  </w:footnote>
  <w:footnote w:id="113">
    <w:p w14:paraId="2B22B97C" w14:textId="7ADC2714"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cs="Cambria"/>
          <w:sz w:val="16"/>
          <w:szCs w:val="16"/>
          <w:lang w:val="es-CO"/>
        </w:rPr>
        <w:footnoteRef/>
      </w:r>
      <w:r w:rsidRPr="000D7953">
        <w:rPr>
          <w:rFonts w:ascii="Cambria" w:hAnsi="Cambria"/>
          <w:sz w:val="16"/>
          <w:szCs w:val="16"/>
          <w:lang w:val="es-CO"/>
        </w:rPr>
        <w:t xml:space="preserve"> CIDH. </w:t>
      </w:r>
      <w:r w:rsidRPr="000D7953">
        <w:rPr>
          <w:rFonts w:ascii="Cambria" w:hAnsi="Cambria"/>
          <w:sz w:val="16"/>
          <w:szCs w:val="16"/>
          <w:lang w:val="es-MX"/>
        </w:rPr>
        <w:t xml:space="preserve">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w:t>
      </w:r>
      <w:r w:rsidRPr="000D7953">
        <w:rPr>
          <w:rFonts w:ascii="Cambria" w:hAnsi="Cambria"/>
          <w:sz w:val="16"/>
          <w:szCs w:val="16"/>
          <w:lang w:val="es-CO"/>
        </w:rPr>
        <w:t>Pág. 103 y ss.</w:t>
      </w:r>
    </w:p>
  </w:footnote>
  <w:footnote w:id="114">
    <w:p w14:paraId="72330DEC" w14:textId="0650F6A3"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AR" w:eastAsia="x-none"/>
        </w:rPr>
        <w:t>CIDH.</w:t>
      </w:r>
      <w:r w:rsidRPr="000D7953">
        <w:rPr>
          <w:rFonts w:ascii="Cambria" w:hAnsi="Cambria"/>
          <w:sz w:val="16"/>
          <w:szCs w:val="16"/>
          <w:lang w:val="es-PE"/>
        </w:rPr>
        <w:t xml:space="preserve"> Informe No. 21/15. Caso No. 12.462. Nelson Carvajal Carvajal y familia. Colombia. 26 de marzo de 2015. Párr. 153.</w:t>
      </w:r>
    </w:p>
  </w:footnote>
  <w:footnote w:id="115">
    <w:p w14:paraId="7C27A4F0" w14:textId="15734F36"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Corte IDH. </w:t>
      </w:r>
      <w:r w:rsidRPr="000D7953">
        <w:rPr>
          <w:rFonts w:ascii="Cambria" w:hAnsi="Cambria"/>
          <w:i/>
          <w:sz w:val="16"/>
          <w:szCs w:val="16"/>
          <w:lang w:val="es-PE"/>
        </w:rPr>
        <w:t>Caso Servellón García y otros Vs. Honduras</w:t>
      </w:r>
      <w:r w:rsidRPr="000D7953">
        <w:rPr>
          <w:rFonts w:ascii="Cambria" w:hAnsi="Cambria"/>
          <w:sz w:val="16"/>
          <w:szCs w:val="16"/>
          <w:lang w:val="es-PE"/>
        </w:rPr>
        <w:t xml:space="preserve">. Sentencia de 21 de septiembre de 2006. Serie C No. 152. Párr. 120, y </w:t>
      </w:r>
      <w:r w:rsidRPr="000D7953">
        <w:rPr>
          <w:rFonts w:ascii="Cambria" w:hAnsi="Cambria"/>
          <w:i/>
          <w:sz w:val="16"/>
          <w:szCs w:val="16"/>
          <w:lang w:val="es-PE"/>
        </w:rPr>
        <w:t xml:space="preserve">Caso Ruiz Fuentes y Otra Vs. Guatemala. Excepción Preliminar, Fondo, Reparaciones y Costas. </w:t>
      </w:r>
      <w:r w:rsidRPr="000D7953">
        <w:rPr>
          <w:rFonts w:ascii="Cambria" w:hAnsi="Cambria"/>
          <w:sz w:val="16"/>
          <w:szCs w:val="16"/>
          <w:lang w:val="es-PE"/>
        </w:rPr>
        <w:t>Sentencia de 10 de octubre de 2019. Serie C No. 384. Párr. 178.</w:t>
      </w:r>
    </w:p>
  </w:footnote>
  <w:footnote w:id="116">
    <w:p w14:paraId="17EF8E9D" w14:textId="4A63B7F4"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CO"/>
        </w:rPr>
        <w:t xml:space="preserve">Corte IDH. </w:t>
      </w:r>
      <w:r w:rsidRPr="000D7953">
        <w:rPr>
          <w:rFonts w:ascii="Cambria" w:hAnsi="Cambria"/>
          <w:i/>
          <w:sz w:val="16"/>
          <w:szCs w:val="16"/>
          <w:lang w:val="es-PE"/>
        </w:rPr>
        <w:t xml:space="preserve">Caso Servellón García y otros Vs. Honduras, supra. </w:t>
      </w:r>
      <w:r w:rsidRPr="000D7953">
        <w:rPr>
          <w:rFonts w:ascii="Cambria" w:hAnsi="Cambria"/>
          <w:sz w:val="16"/>
          <w:szCs w:val="16"/>
          <w:lang w:val="es-PE"/>
        </w:rPr>
        <w:t xml:space="preserve">Párr. 119, y </w:t>
      </w:r>
      <w:r w:rsidRPr="000D7953">
        <w:rPr>
          <w:rFonts w:ascii="Cambria" w:hAnsi="Cambria"/>
          <w:i/>
          <w:sz w:val="16"/>
          <w:szCs w:val="16"/>
          <w:lang w:val="es-PE"/>
        </w:rPr>
        <w:t>Caso Villamizar Durán y otros Vs. Colombia. Excepción Preliminar, Fondo, Reparaciones y Costas.</w:t>
      </w:r>
      <w:r w:rsidRPr="000D7953">
        <w:rPr>
          <w:rFonts w:ascii="Cambria" w:hAnsi="Cambria"/>
          <w:sz w:val="16"/>
          <w:szCs w:val="16"/>
          <w:lang w:val="es-PE"/>
        </w:rPr>
        <w:t xml:space="preserve"> Sentencia de 20 de noviembre de 2018. Serie C No. 364. Párr. 175.</w:t>
      </w:r>
    </w:p>
  </w:footnote>
  <w:footnote w:id="117">
    <w:p w14:paraId="30139674" w14:textId="1156C69F" w:rsidR="000A5EAC" w:rsidRPr="000D7953" w:rsidRDefault="000A5EAC" w:rsidP="000D7953">
      <w:pPr>
        <w:pStyle w:val="FootnoteText"/>
        <w:tabs>
          <w:tab w:val="left" w:pos="1800"/>
        </w:tabs>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sz w:val="16"/>
          <w:szCs w:val="16"/>
          <w:lang w:val="es-ES"/>
        </w:rPr>
        <w:t xml:space="preserve"> ONU. </w:t>
      </w:r>
      <w:r w:rsidRPr="000D7953">
        <w:rPr>
          <w:rFonts w:ascii="Cambria" w:hAnsi="Cambria"/>
          <w:i/>
          <w:sz w:val="16"/>
          <w:szCs w:val="16"/>
          <w:lang w:val="es-ES"/>
        </w:rPr>
        <w:t>Protocolo de Minnesota sobre la Investigación de Muertes Potencialmente Ilícitas</w:t>
      </w:r>
      <w:r w:rsidRPr="000D7953">
        <w:rPr>
          <w:rFonts w:ascii="Cambria" w:hAnsi="Cambria"/>
          <w:sz w:val="16"/>
          <w:szCs w:val="16"/>
          <w:lang w:val="es-ES"/>
        </w:rPr>
        <w:t xml:space="preserve"> (2016), Oficina del Alto Comisionado de las Naciones Unidas para los Derechos Humanos, Nueva York y Ginebra, 2017.</w:t>
      </w:r>
    </w:p>
  </w:footnote>
  <w:footnote w:id="118">
    <w:p w14:paraId="5C3EE796" w14:textId="490E7B7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CO"/>
        </w:rPr>
        <w:t xml:space="preserve">Corte IDH. </w:t>
      </w:r>
      <w:r w:rsidRPr="000D7953">
        <w:rPr>
          <w:rFonts w:ascii="Cambria" w:hAnsi="Cambria"/>
          <w:i/>
          <w:sz w:val="16"/>
          <w:szCs w:val="16"/>
          <w:lang w:val="es-PE"/>
        </w:rPr>
        <w:t>Caso Juan Humberto Sánchez Vs. Honduras. Excepción Preliminar, Fondo, Reparaciones y Costas</w:t>
      </w:r>
      <w:r w:rsidRPr="000D7953">
        <w:rPr>
          <w:rFonts w:ascii="Cambria" w:hAnsi="Cambria"/>
          <w:sz w:val="16"/>
          <w:szCs w:val="16"/>
          <w:lang w:val="es-PE"/>
        </w:rPr>
        <w:t xml:space="preserve">. Sentencia de 7 de junio de 2003. Serie C No. 99. Párr. 127, y </w:t>
      </w:r>
      <w:r w:rsidRPr="000D7953">
        <w:rPr>
          <w:rFonts w:ascii="Cambria" w:hAnsi="Cambria"/>
          <w:i/>
          <w:sz w:val="16"/>
          <w:szCs w:val="16"/>
          <w:lang w:val="es-PE"/>
        </w:rPr>
        <w:t>Caso Gómez Virula y otros Vs. Guatemala. Excepción Preliminar, Fondo, Reparaciones y Costas</w:t>
      </w:r>
      <w:r w:rsidRPr="000D7953">
        <w:rPr>
          <w:rFonts w:ascii="Cambria" w:hAnsi="Cambria"/>
          <w:sz w:val="16"/>
          <w:szCs w:val="16"/>
          <w:lang w:val="es-PE"/>
        </w:rPr>
        <w:t>. Sentencia de 21 de noviembre de 2019.  Serie C No. 393. Párr. 73.</w:t>
      </w:r>
    </w:p>
  </w:footnote>
  <w:footnote w:id="119">
    <w:p w14:paraId="74475B6D" w14:textId="6D5491BF"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i/>
          <w:sz w:val="16"/>
          <w:szCs w:val="16"/>
          <w:lang w:val="es-PE"/>
        </w:rPr>
        <w:t xml:space="preserve"> </w:t>
      </w:r>
      <w:r w:rsidRPr="000D7953">
        <w:rPr>
          <w:rFonts w:ascii="Cambria" w:hAnsi="Cambria"/>
          <w:sz w:val="16"/>
          <w:szCs w:val="16"/>
          <w:lang w:val="es-CO"/>
        </w:rPr>
        <w:t xml:space="preserve">Corte IDH. </w:t>
      </w:r>
      <w:r w:rsidRPr="000D7953">
        <w:rPr>
          <w:rFonts w:ascii="Cambria" w:hAnsi="Cambria"/>
          <w:i/>
          <w:sz w:val="16"/>
          <w:szCs w:val="16"/>
          <w:lang w:val="es-PE"/>
        </w:rPr>
        <w:t xml:space="preserve">Caso González y otras (“Campo Algodonero”) Vs. México, supra. </w:t>
      </w:r>
      <w:r w:rsidRPr="000D7953">
        <w:rPr>
          <w:rFonts w:ascii="Cambria" w:hAnsi="Cambria"/>
          <w:sz w:val="16"/>
          <w:szCs w:val="16"/>
          <w:lang w:val="es-PE"/>
        </w:rPr>
        <w:t xml:space="preserve">Párr. 301, y </w:t>
      </w:r>
      <w:r w:rsidRPr="000D7953">
        <w:rPr>
          <w:rFonts w:ascii="Cambria" w:hAnsi="Cambria"/>
          <w:i/>
          <w:sz w:val="16"/>
          <w:szCs w:val="16"/>
          <w:lang w:val="es-PE"/>
        </w:rPr>
        <w:t xml:space="preserve">Caso Gómez Virula y otros Vs. Guatemala, supra. </w:t>
      </w:r>
      <w:r w:rsidRPr="000D7953">
        <w:rPr>
          <w:rFonts w:ascii="Cambria" w:hAnsi="Cambria"/>
          <w:iCs/>
          <w:sz w:val="16"/>
          <w:szCs w:val="16"/>
          <w:lang w:val="es-PE"/>
        </w:rPr>
        <w:t>Párr.</w:t>
      </w:r>
      <w:r w:rsidRPr="000D7953">
        <w:rPr>
          <w:rFonts w:ascii="Cambria" w:hAnsi="Cambria"/>
          <w:i/>
          <w:sz w:val="16"/>
          <w:szCs w:val="16"/>
          <w:lang w:val="es-PE"/>
        </w:rPr>
        <w:t xml:space="preserve"> </w:t>
      </w:r>
      <w:r w:rsidRPr="000D7953">
        <w:rPr>
          <w:rFonts w:ascii="Cambria" w:hAnsi="Cambria"/>
          <w:iCs/>
          <w:sz w:val="16"/>
          <w:szCs w:val="16"/>
          <w:lang w:val="es-PE"/>
        </w:rPr>
        <w:t>74.</w:t>
      </w:r>
    </w:p>
  </w:footnote>
  <w:footnote w:id="120">
    <w:p w14:paraId="708B610D" w14:textId="4BA30C19"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CO"/>
        </w:rPr>
        <w:t xml:space="preserve">Corte IDH. </w:t>
      </w:r>
      <w:r w:rsidRPr="000D7953">
        <w:rPr>
          <w:rFonts w:ascii="Cambria" w:hAnsi="Cambria"/>
          <w:i/>
          <w:sz w:val="16"/>
          <w:szCs w:val="16"/>
          <w:lang w:val="es-PE"/>
        </w:rPr>
        <w:t>Caso Hermanos Landaeta Mejías y otros Vs. Venezuela. Excepciones Preliminares, Fondo, Reparaciones y Costas.</w:t>
      </w:r>
      <w:r w:rsidRPr="000D7953">
        <w:rPr>
          <w:rFonts w:ascii="Cambria" w:hAnsi="Cambria"/>
          <w:sz w:val="16"/>
          <w:szCs w:val="16"/>
          <w:lang w:val="es-PE"/>
        </w:rPr>
        <w:t xml:space="preserve"> Sentencia de 27 de agosto de 2014. Serie C No. 281. Párr. 254, y </w:t>
      </w:r>
      <w:r w:rsidRPr="000D7953">
        <w:rPr>
          <w:rFonts w:ascii="Cambria" w:hAnsi="Cambria"/>
          <w:i/>
          <w:sz w:val="16"/>
          <w:szCs w:val="16"/>
          <w:lang w:val="es-PE"/>
        </w:rPr>
        <w:t xml:space="preserve">Caso Gómez Virula y otros Vs. Guatemala, supra. </w:t>
      </w:r>
      <w:r w:rsidRPr="000D7953">
        <w:rPr>
          <w:rFonts w:ascii="Cambria" w:hAnsi="Cambria"/>
          <w:iCs/>
          <w:sz w:val="16"/>
          <w:szCs w:val="16"/>
          <w:lang w:val="es-PE"/>
        </w:rPr>
        <w:t>Párr. 74.</w:t>
      </w:r>
    </w:p>
  </w:footnote>
  <w:footnote w:id="121">
    <w:p w14:paraId="4871835F" w14:textId="2F2972AD"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lang w:val="es-CO"/>
        </w:rPr>
        <w:footnoteRef/>
      </w:r>
      <w:r w:rsidRPr="000D7953">
        <w:rPr>
          <w:rFonts w:ascii="Cambria" w:hAnsi="Cambria"/>
          <w:sz w:val="16"/>
          <w:szCs w:val="16"/>
          <w:lang w:val="es-CO"/>
        </w:rPr>
        <w:t xml:space="preserve"> Corte IDH. </w:t>
      </w:r>
      <w:r w:rsidRPr="000D7953">
        <w:rPr>
          <w:rFonts w:ascii="Cambria" w:hAnsi="Cambria"/>
          <w:i/>
          <w:iCs/>
          <w:sz w:val="16"/>
          <w:szCs w:val="16"/>
          <w:lang w:val="es-CO"/>
        </w:rPr>
        <w:t xml:space="preserve">Caso Vélez Restrepo y Familiares Vs. Colombia, supra. </w:t>
      </w:r>
      <w:r w:rsidRPr="000D7953">
        <w:rPr>
          <w:rFonts w:ascii="Cambria" w:hAnsi="Cambria"/>
          <w:sz w:val="16"/>
          <w:szCs w:val="16"/>
          <w:lang w:val="es-CO"/>
        </w:rPr>
        <w:t>Párr. 211.</w:t>
      </w:r>
    </w:p>
  </w:footnote>
  <w:footnote w:id="122">
    <w:p w14:paraId="5EAF3C14" w14:textId="77777777" w:rsidR="000A5EAC" w:rsidRPr="000D7953" w:rsidRDefault="000A5EAC" w:rsidP="000D7953">
      <w:pPr>
        <w:pStyle w:val="FootnoteText"/>
        <w:pBdr>
          <w:top w:val="none" w:sz="0" w:space="0" w:color="auto"/>
          <w:left w:val="none" w:sz="0" w:space="0" w:color="auto"/>
          <w:bottom w:val="none" w:sz="0" w:space="0" w:color="auto"/>
          <w:right w:val="none" w:sz="0" w:space="0" w:color="auto"/>
          <w:bar w:val="none" w:sz="0" w:color="auto"/>
        </w:pBdr>
        <w:tabs>
          <w:tab w:val="left" w:pos="1800"/>
        </w:tabs>
        <w:jc w:val="both"/>
        <w:rPr>
          <w:rFonts w:ascii="Cambria" w:hAnsi="Cambria"/>
          <w:sz w:val="16"/>
          <w:szCs w:val="16"/>
          <w:lang w:val="es-AR"/>
        </w:rPr>
      </w:pPr>
      <w:r w:rsidRPr="000D7953">
        <w:rPr>
          <w:rStyle w:val="FootnoteReference"/>
          <w:rFonts w:ascii="Cambria" w:hAnsi="Cambria" w:cs="Cambria"/>
          <w:sz w:val="16"/>
          <w:szCs w:val="16"/>
          <w:lang w:val="es-AR" w:eastAsia="x-none"/>
        </w:rPr>
        <w:footnoteRef/>
      </w:r>
      <w:r w:rsidRPr="000D7953">
        <w:rPr>
          <w:rFonts w:ascii="Cambria" w:hAnsi="Cambria"/>
          <w:sz w:val="16"/>
          <w:szCs w:val="16"/>
          <w:lang w:val="es-AR" w:eastAsia="x-none"/>
        </w:rPr>
        <w:t xml:space="preserve"> CIDH.</w:t>
      </w:r>
      <w:r w:rsidRPr="000D7953">
        <w:rPr>
          <w:rFonts w:ascii="Cambria" w:hAnsi="Cambria"/>
          <w:sz w:val="16"/>
          <w:szCs w:val="16"/>
          <w:lang w:val="es-PE"/>
        </w:rPr>
        <w:t xml:space="preserve"> Informe No. 150/18. Caso No. 12.954. Jineth Bedoya Lima y otra. Colombia. 7 de diciembre de 2018. Párr. 110.</w:t>
      </w:r>
    </w:p>
  </w:footnote>
  <w:footnote w:id="123">
    <w:p w14:paraId="45C9C1BB" w14:textId="4913F7B1"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lang w:val="es-CO"/>
        </w:rPr>
        <w:footnoteRef/>
      </w:r>
      <w:r w:rsidRPr="000D7953">
        <w:rPr>
          <w:rFonts w:ascii="Cambria" w:hAnsi="Cambria"/>
          <w:sz w:val="16"/>
          <w:szCs w:val="16"/>
          <w:lang w:val="es-CO"/>
        </w:rPr>
        <w:t xml:space="preserve"> Corte IDH. </w:t>
      </w:r>
      <w:r w:rsidRPr="000D7953">
        <w:rPr>
          <w:rFonts w:ascii="Cambria" w:hAnsi="Cambria"/>
          <w:i/>
          <w:iCs/>
          <w:sz w:val="16"/>
          <w:szCs w:val="16"/>
          <w:lang w:val="es-CO"/>
        </w:rPr>
        <w:t xml:space="preserve">Caso de la Masacre de La Rochela Vs. Colombia. </w:t>
      </w:r>
      <w:r w:rsidRPr="000D7953">
        <w:rPr>
          <w:rFonts w:ascii="Cambria" w:hAnsi="Cambria"/>
          <w:iCs/>
          <w:sz w:val="16"/>
          <w:szCs w:val="16"/>
          <w:lang w:val="es-CO"/>
        </w:rPr>
        <w:t>Fondo, Reparaciones y Costas</w:t>
      </w:r>
      <w:r w:rsidRPr="000D7953">
        <w:rPr>
          <w:rFonts w:ascii="Cambria" w:hAnsi="Cambria"/>
          <w:sz w:val="16"/>
          <w:szCs w:val="16"/>
          <w:lang w:val="es-CO"/>
        </w:rPr>
        <w:t xml:space="preserve">. Sentencia de 11 de mayo de 2007. Serie C No. 163. Párr. 158, y </w:t>
      </w:r>
      <w:r w:rsidRPr="000D7953">
        <w:rPr>
          <w:rFonts w:ascii="Cambria" w:hAnsi="Cambria"/>
          <w:i/>
          <w:iCs/>
          <w:sz w:val="16"/>
          <w:szCs w:val="16"/>
          <w:lang w:val="es-CO"/>
        </w:rPr>
        <w:t xml:space="preserve">Caso Manuel Cepeda Vargas Vs. Colombia. </w:t>
      </w:r>
      <w:r w:rsidRPr="000D7953">
        <w:rPr>
          <w:rFonts w:ascii="Cambria" w:hAnsi="Cambria"/>
          <w:iCs/>
          <w:sz w:val="16"/>
          <w:szCs w:val="16"/>
          <w:lang w:val="es-CO"/>
        </w:rPr>
        <w:t>Excepciones Preliminares, Fondo, Reparaciones y Costas</w:t>
      </w:r>
      <w:r w:rsidRPr="000D7953">
        <w:rPr>
          <w:rFonts w:ascii="Cambria" w:hAnsi="Cambria"/>
          <w:sz w:val="16"/>
          <w:szCs w:val="16"/>
          <w:lang w:val="es-CO"/>
        </w:rPr>
        <w:t>. Sentencia de 26 de mayo de 2010. Serie C No. 213. Párr. 106-110 y 167.</w:t>
      </w:r>
    </w:p>
  </w:footnote>
  <w:footnote w:id="124">
    <w:p w14:paraId="0FF7CB91" w14:textId="650FBC38"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AR" w:eastAsia="x-none"/>
        </w:rPr>
        <w:t>CIDH.</w:t>
      </w:r>
      <w:r w:rsidRPr="000D7953">
        <w:rPr>
          <w:rFonts w:ascii="Cambria" w:hAnsi="Cambria"/>
          <w:sz w:val="16"/>
          <w:szCs w:val="16"/>
          <w:lang w:val="es-PE"/>
        </w:rPr>
        <w:t xml:space="preserve"> Informe No. 21/15. Caso No. 12.462. Nelson Carvajal Carvajal y familia. Colombia. 26 de marzo de 2015. Párr. 156.</w:t>
      </w:r>
    </w:p>
  </w:footnote>
  <w:footnote w:id="125">
    <w:p w14:paraId="507159C3" w14:textId="3EBDC620"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Corte IDH. </w:t>
      </w:r>
      <w:r w:rsidRPr="000D7953">
        <w:rPr>
          <w:rFonts w:ascii="Cambria" w:hAnsi="Cambria"/>
          <w:i/>
          <w:iCs/>
          <w:sz w:val="16"/>
          <w:szCs w:val="16"/>
          <w:lang w:val="es-PE"/>
        </w:rPr>
        <w:t>Caso Pacheco León y otros Vs. Honduras.</w:t>
      </w:r>
      <w:r w:rsidRPr="000D7953">
        <w:rPr>
          <w:rFonts w:ascii="Cambria" w:hAnsi="Cambria"/>
          <w:sz w:val="16"/>
          <w:szCs w:val="16"/>
          <w:lang w:val="es-PE"/>
        </w:rPr>
        <w:t xml:space="preserve"> Fondo, Reparaciones y Costas. Sentencia de 15 de noviembre 2017. Serie C No. 342. Párr. 94, y </w:t>
      </w:r>
      <w:r w:rsidRPr="000D7953">
        <w:rPr>
          <w:rFonts w:ascii="Cambria" w:hAnsi="Cambria"/>
          <w:i/>
          <w:sz w:val="16"/>
          <w:szCs w:val="16"/>
          <w:lang w:val="es-PE"/>
        </w:rPr>
        <w:t xml:space="preserve">Caso Gómez Virula y otros Vs. Guatemala, supra. </w:t>
      </w:r>
      <w:r w:rsidRPr="000D7953">
        <w:rPr>
          <w:rFonts w:ascii="Cambria" w:hAnsi="Cambria"/>
          <w:iCs/>
          <w:sz w:val="16"/>
          <w:szCs w:val="16"/>
          <w:lang w:val="es-PE"/>
        </w:rPr>
        <w:t>Párr. 78.</w:t>
      </w:r>
    </w:p>
  </w:footnote>
  <w:footnote w:id="126">
    <w:p w14:paraId="1872AC7F" w14:textId="1E122EA0"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La CIDH, a través de su Relatoría Especial para la Libertad de Expresión, ha desarrollado varios de estos criterios en dos de sus informes temáticos sobre violencia contra periodistas, en los cuales se establecen criterios específicos de investigación y procuración de justicia para crímenes contra periodistas. Véase, </w:t>
      </w:r>
      <w:r w:rsidRPr="000D7953">
        <w:rPr>
          <w:rFonts w:ascii="Cambria" w:hAnsi="Cambria"/>
          <w:sz w:val="16"/>
          <w:szCs w:val="16"/>
          <w:lang w:val="es-MX"/>
        </w:rPr>
        <w:t xml:space="preserve">CIDH. Relatoría Especial para la Libertad de Expresión. Informe </w:t>
      </w:r>
      <w:r w:rsidRPr="000D7953">
        <w:rPr>
          <w:rFonts w:ascii="Cambria" w:hAnsi="Cambria"/>
          <w:sz w:val="16"/>
          <w:szCs w:val="16"/>
          <w:lang w:val="es-AR" w:eastAsia="x-none"/>
        </w:rPr>
        <w:t xml:space="preserve">Violencia contra periodistas y trabajadores de medios: estándares interamericanos y prácticas nacionales sobre prevención, protección y procuración de la justicia. OEA/Ser.L/V/II. CIDH/RELE/INF. 12/13. 31 de diciembre de 2013, disponible en: </w:t>
      </w:r>
      <w:hyperlink r:id="rId8" w:history="1">
        <w:r w:rsidRPr="000D7953">
          <w:rPr>
            <w:rStyle w:val="Hyperlink"/>
            <w:rFonts w:ascii="Cambria" w:hAnsi="Cambria"/>
            <w:sz w:val="16"/>
            <w:szCs w:val="16"/>
            <w:lang w:val="es-PE"/>
          </w:rPr>
          <w:t>http://www.oas.org/es/cidh/expresion/docs/informes/2014_04_22_Violencia_ESP_WEB.pdf</w:t>
        </w:r>
      </w:hyperlink>
      <w:r w:rsidRPr="000D7953">
        <w:rPr>
          <w:rFonts w:ascii="Cambria" w:hAnsi="Cambria"/>
          <w:sz w:val="16"/>
          <w:szCs w:val="16"/>
          <w:lang w:val="es-PE" w:eastAsia="x-none"/>
        </w:rPr>
        <w:t xml:space="preserve">. Págs. 104 y ss, </w:t>
      </w:r>
      <w:r w:rsidRPr="000D7953">
        <w:rPr>
          <w:rFonts w:ascii="Cambria" w:hAnsi="Cambria"/>
          <w:sz w:val="16"/>
          <w:szCs w:val="16"/>
          <w:lang w:val="es-MX"/>
        </w:rPr>
        <w:t xml:space="preserve">e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xml:space="preserve">. Págs. 103 y ss. Asimismo, </w:t>
      </w:r>
      <w:r w:rsidRPr="000D7953">
        <w:rPr>
          <w:rFonts w:ascii="Cambria" w:hAnsi="Cambria"/>
          <w:sz w:val="16"/>
          <w:szCs w:val="16"/>
          <w:lang w:val="es-PE"/>
        </w:rPr>
        <w:t xml:space="preserve">la Procuraduría General de la República de México, por ejemplo, adoptó un Protocolo Homologado de Investigación de delitos cometidos contra la libertad de expresión en octubre de 2018, en donde se establecen los criterios aquí señalados. El protocolo se encuentra disponible en: </w:t>
      </w:r>
      <w:hyperlink r:id="rId9" w:history="1">
        <w:r w:rsidRPr="000D7953">
          <w:rPr>
            <w:rStyle w:val="Hyperlink"/>
            <w:rFonts w:ascii="Cambria" w:hAnsi="Cambria"/>
            <w:sz w:val="16"/>
            <w:szCs w:val="16"/>
            <w:lang w:val="es-PE"/>
          </w:rPr>
          <w:t>https://www.gob.mx/cms/uploads/attachment/file/444272/Protocolo_homologado_de_investigaci_n_de_delitos_cometidos_contra_la_libertad_de_expresi_n.pdf</w:t>
        </w:r>
      </w:hyperlink>
      <w:r w:rsidRPr="000D7953">
        <w:rPr>
          <w:rFonts w:ascii="Cambria" w:hAnsi="Cambria"/>
          <w:sz w:val="16"/>
          <w:szCs w:val="16"/>
          <w:lang w:val="es-PE"/>
        </w:rPr>
        <w:t xml:space="preserve">. Véase también, </w:t>
      </w:r>
      <w:r w:rsidRPr="000D7953">
        <w:rPr>
          <w:rFonts w:ascii="Cambria" w:hAnsi="Cambria"/>
          <w:sz w:val="16"/>
          <w:szCs w:val="16"/>
          <w:lang w:val="es-VE"/>
        </w:rPr>
        <w:t xml:space="preserve">CIDH. </w:t>
      </w:r>
      <w:r w:rsidRPr="000D7953">
        <w:rPr>
          <w:rFonts w:ascii="Cambria" w:hAnsi="Cambria"/>
          <w:i/>
          <w:sz w:val="16"/>
          <w:szCs w:val="16"/>
          <w:lang w:val="es-VE"/>
        </w:rPr>
        <w:t>Segundo Informe sobre la situación de las defensoras y los defensores de derechos humanos en las Américas</w:t>
      </w:r>
      <w:r w:rsidRPr="000D7953">
        <w:rPr>
          <w:rFonts w:ascii="Cambria" w:hAnsi="Cambria"/>
          <w:sz w:val="16"/>
          <w:szCs w:val="16"/>
          <w:lang w:val="es-VE"/>
        </w:rPr>
        <w:t xml:space="preserve">. OEA/ser.L/V/II.Doc.66. 31 de diciembre de 2011. Párr. </w:t>
      </w:r>
      <w:r w:rsidRPr="000D7953">
        <w:rPr>
          <w:rFonts w:ascii="Cambria" w:hAnsi="Cambria"/>
          <w:sz w:val="16"/>
          <w:szCs w:val="16"/>
          <w:lang w:val="es-US"/>
        </w:rPr>
        <w:t xml:space="preserve">45. Disponible en: </w:t>
      </w:r>
      <w:hyperlink r:id="rId10" w:history="1">
        <w:r w:rsidRPr="000D7953">
          <w:rPr>
            <w:rStyle w:val="Hyperlink"/>
            <w:rFonts w:ascii="Cambria" w:hAnsi="Cambria"/>
            <w:sz w:val="16"/>
            <w:szCs w:val="16"/>
            <w:lang w:val="es-PE"/>
          </w:rPr>
          <w:t>https://www.oas.org/es/cidh/defensores/docs/pdf/defensores2011.pdf</w:t>
        </w:r>
      </w:hyperlink>
    </w:p>
  </w:footnote>
  <w:footnote w:id="127">
    <w:p w14:paraId="12EDE994" w14:textId="79E95805"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CIDH. </w:t>
      </w:r>
      <w:r w:rsidRPr="000D7953">
        <w:rPr>
          <w:rFonts w:ascii="Cambria" w:hAnsi="Cambria"/>
          <w:sz w:val="16"/>
          <w:szCs w:val="16"/>
          <w:lang w:val="es-MX"/>
        </w:rPr>
        <w:t xml:space="preserve">Relatoría Especial para la Libertad de Expresión. Informe Especial sobre la situación de libertad de expresión en México. Junio de 2018. Págs. 12 y 13. Disponible en: </w:t>
      </w:r>
      <w:hyperlink r:id="rId11" w:history="1">
        <w:r w:rsidRPr="000D7953">
          <w:rPr>
            <w:rStyle w:val="Hyperlink"/>
            <w:rFonts w:ascii="Cambria" w:hAnsi="Cambria"/>
            <w:sz w:val="16"/>
            <w:szCs w:val="16"/>
            <w:lang w:val="es-PE"/>
          </w:rPr>
          <w:t>https://www.oas.org/es/cidh/expresion/docs/2018_06_18%20CIDH-UN_FINAL_MX_report_SPA.PDF</w:t>
        </w:r>
      </w:hyperlink>
    </w:p>
  </w:footnote>
  <w:footnote w:id="128">
    <w:p w14:paraId="44D58AFF" w14:textId="739414E8" w:rsidR="000A5EAC" w:rsidRPr="000D7953" w:rsidRDefault="000A5EAC" w:rsidP="000D7953">
      <w:pPr>
        <w:pStyle w:val="FootnoteText"/>
        <w:tabs>
          <w:tab w:val="left" w:pos="1800"/>
        </w:tabs>
        <w:jc w:val="both"/>
        <w:rPr>
          <w:rFonts w:ascii="Cambria" w:hAnsi="Cambria"/>
          <w:sz w:val="16"/>
          <w:szCs w:val="16"/>
          <w:lang w:val="pt-BR"/>
        </w:rPr>
      </w:pPr>
      <w:r w:rsidRPr="000D7953">
        <w:rPr>
          <w:rStyle w:val="FootnoteReference"/>
          <w:rFonts w:ascii="Cambria" w:hAnsi="Cambria"/>
          <w:sz w:val="16"/>
          <w:szCs w:val="16"/>
        </w:rPr>
        <w:footnoteRef/>
      </w:r>
      <w:r w:rsidRPr="000D7953">
        <w:rPr>
          <w:rFonts w:ascii="Cambria" w:hAnsi="Cambria" w:cs="Arial"/>
          <w:sz w:val="16"/>
          <w:szCs w:val="16"/>
          <w:lang w:val="es-US"/>
        </w:rPr>
        <w:t xml:space="preserve"> </w:t>
      </w:r>
      <w:r w:rsidRPr="000D7953">
        <w:rPr>
          <w:rFonts w:ascii="Cambria" w:hAnsi="Cambria"/>
          <w:sz w:val="16"/>
          <w:szCs w:val="16"/>
          <w:lang w:val="es-US"/>
        </w:rPr>
        <w:t xml:space="preserve">Corte IDH. </w:t>
      </w:r>
      <w:r w:rsidRPr="000D7953">
        <w:rPr>
          <w:rFonts w:ascii="Cambria" w:hAnsi="Cambria"/>
          <w:i/>
          <w:sz w:val="16"/>
          <w:szCs w:val="16"/>
          <w:lang w:val="es-US"/>
        </w:rPr>
        <w:t>Caso Gómez Palomino Vs. Perú</w:t>
      </w:r>
      <w:r w:rsidRPr="000D7953">
        <w:rPr>
          <w:rFonts w:ascii="Cambria" w:hAnsi="Cambria"/>
          <w:sz w:val="16"/>
          <w:szCs w:val="16"/>
          <w:lang w:val="es-US"/>
        </w:rPr>
        <w:t xml:space="preserve">. Fondo, Reparaciones y Costas. Sentencia de 22 de noviembre de 2005. Serie C No. 136. Párr. </w:t>
      </w:r>
      <w:r w:rsidRPr="000D7953">
        <w:rPr>
          <w:rFonts w:ascii="Cambria" w:hAnsi="Cambria" w:cs="Arial"/>
          <w:sz w:val="16"/>
          <w:szCs w:val="16"/>
          <w:lang w:val="es-US"/>
        </w:rPr>
        <w:t xml:space="preserve">85; </w:t>
      </w:r>
      <w:r w:rsidRPr="000D7953">
        <w:rPr>
          <w:rFonts w:ascii="Cambria" w:hAnsi="Cambria"/>
          <w:i/>
          <w:sz w:val="16"/>
          <w:szCs w:val="16"/>
          <w:lang w:val="es-ES_tradnl"/>
        </w:rPr>
        <w:t>Caso García Asto y Ramírez Rojas Vs. Perú</w:t>
      </w:r>
      <w:r w:rsidRPr="000D7953">
        <w:rPr>
          <w:rFonts w:ascii="Cambria" w:hAnsi="Cambria"/>
          <w:sz w:val="16"/>
          <w:szCs w:val="16"/>
          <w:lang w:val="es-ES_tradnl"/>
        </w:rPr>
        <w:t xml:space="preserve">. </w:t>
      </w:r>
      <w:r w:rsidRPr="000D7953">
        <w:rPr>
          <w:rFonts w:ascii="Cambria" w:hAnsi="Cambria"/>
          <w:sz w:val="16"/>
          <w:szCs w:val="16"/>
          <w:lang w:val="es-AR"/>
        </w:rPr>
        <w:t>Fondo, Reparaciones y Costas.</w:t>
      </w:r>
      <w:r w:rsidRPr="000D7953">
        <w:rPr>
          <w:rFonts w:ascii="Cambria" w:hAnsi="Cambria"/>
          <w:sz w:val="16"/>
          <w:szCs w:val="16"/>
          <w:lang w:val="es-ES_tradnl"/>
        </w:rPr>
        <w:t xml:space="preserve"> Sentencia de 25 de noviembre de 2005. </w:t>
      </w:r>
      <w:r w:rsidRPr="000D7953">
        <w:rPr>
          <w:rFonts w:ascii="Cambria" w:hAnsi="Cambria"/>
          <w:sz w:val="16"/>
          <w:szCs w:val="16"/>
          <w:lang w:val="pt-BR"/>
        </w:rPr>
        <w:t>Serie C No. 137</w:t>
      </w:r>
      <w:r w:rsidRPr="000D7953">
        <w:rPr>
          <w:rFonts w:ascii="Cambria" w:hAnsi="Cambria" w:cs="Arial"/>
          <w:iCs/>
          <w:sz w:val="16"/>
          <w:szCs w:val="16"/>
          <w:lang w:val="pt-BR"/>
        </w:rPr>
        <w:t xml:space="preserve">, párr. 166. </w:t>
      </w:r>
    </w:p>
  </w:footnote>
  <w:footnote w:id="129">
    <w:p w14:paraId="4F4234DF" w14:textId="2B7DE9B4" w:rsidR="000A5EAC" w:rsidRPr="000D7953" w:rsidRDefault="000A5EAC" w:rsidP="000D7953">
      <w:pPr>
        <w:pStyle w:val="FootnoteText"/>
        <w:tabs>
          <w:tab w:val="left" w:pos="1800"/>
        </w:tabs>
        <w:jc w:val="both"/>
        <w:rPr>
          <w:rFonts w:ascii="Cambria" w:hAnsi="Cambria"/>
          <w:sz w:val="16"/>
          <w:szCs w:val="16"/>
          <w:lang w:val="es-ES_tradnl"/>
        </w:rPr>
      </w:pPr>
      <w:r w:rsidRPr="000D7953">
        <w:rPr>
          <w:rStyle w:val="FootnoteReference"/>
          <w:rFonts w:ascii="Cambria" w:hAnsi="Cambria"/>
          <w:sz w:val="16"/>
          <w:szCs w:val="16"/>
        </w:rPr>
        <w:footnoteRef/>
      </w:r>
      <w:r w:rsidRPr="000D7953">
        <w:rPr>
          <w:rFonts w:ascii="Cambria" w:hAnsi="Cambria"/>
          <w:sz w:val="16"/>
          <w:szCs w:val="16"/>
          <w:lang w:val="pt-BR"/>
        </w:rPr>
        <w:t xml:space="preserve"> Corte IDH. </w:t>
      </w:r>
      <w:r w:rsidRPr="000D7953">
        <w:rPr>
          <w:rFonts w:ascii="Cambria" w:hAnsi="Cambria"/>
          <w:i/>
          <w:iCs/>
          <w:sz w:val="16"/>
          <w:szCs w:val="16"/>
          <w:lang w:val="pt-BR"/>
        </w:rPr>
        <w:t>Caso Ricardo</w:t>
      </w:r>
      <w:r w:rsidRPr="000D7953">
        <w:rPr>
          <w:rFonts w:ascii="Cambria" w:hAnsi="Cambria"/>
          <w:sz w:val="16"/>
          <w:szCs w:val="16"/>
          <w:lang w:val="pt-BR"/>
        </w:rPr>
        <w:t xml:space="preserve"> </w:t>
      </w:r>
      <w:r w:rsidRPr="000D7953">
        <w:rPr>
          <w:rFonts w:ascii="Cambria" w:hAnsi="Cambria"/>
          <w:i/>
          <w:sz w:val="16"/>
          <w:szCs w:val="16"/>
          <w:lang w:val="pt-BR"/>
        </w:rPr>
        <w:t xml:space="preserve">Canese Vs. Paraguay. </w:t>
      </w:r>
      <w:r w:rsidRPr="000D7953">
        <w:rPr>
          <w:rFonts w:ascii="Cambria" w:hAnsi="Cambria"/>
          <w:sz w:val="16"/>
          <w:szCs w:val="16"/>
          <w:lang w:val="es-ES_tradnl"/>
        </w:rPr>
        <w:t>Fondo, Reparaciones y Costas. Sentencia de 31 de agosto de 2004. Serie C No. 111.</w:t>
      </w:r>
      <w:r w:rsidRPr="000D7953">
        <w:rPr>
          <w:rFonts w:ascii="Cambria" w:hAnsi="Cambria"/>
          <w:sz w:val="16"/>
          <w:szCs w:val="16"/>
          <w:lang w:val="pt-BR"/>
        </w:rPr>
        <w:t xml:space="preserve"> Párr.</w:t>
      </w:r>
      <w:r w:rsidRPr="000D7953">
        <w:rPr>
          <w:rFonts w:ascii="Cambria" w:hAnsi="Cambria" w:cs="Arial"/>
          <w:sz w:val="16"/>
          <w:szCs w:val="16"/>
          <w:lang w:val="pt-BR"/>
        </w:rPr>
        <w:t xml:space="preserve"> 142.</w:t>
      </w:r>
    </w:p>
  </w:footnote>
  <w:footnote w:id="130">
    <w:p w14:paraId="39F33FDB" w14:textId="722CB1E3" w:rsidR="000A5EAC" w:rsidRPr="000D7953" w:rsidRDefault="000A5EAC" w:rsidP="000D7953">
      <w:pPr>
        <w:pStyle w:val="FootnoteText"/>
        <w:tabs>
          <w:tab w:val="left" w:pos="1800"/>
        </w:tabs>
        <w:jc w:val="both"/>
        <w:rPr>
          <w:rFonts w:ascii="Cambria" w:hAnsi="Cambria"/>
          <w:sz w:val="16"/>
          <w:szCs w:val="16"/>
          <w:lang w:val="es-ES_tradnl"/>
        </w:rPr>
      </w:pPr>
      <w:r w:rsidRPr="000D7953">
        <w:rPr>
          <w:rStyle w:val="FootnoteReference"/>
          <w:rFonts w:ascii="Cambria" w:hAnsi="Cambria"/>
          <w:sz w:val="16"/>
          <w:szCs w:val="16"/>
        </w:rPr>
        <w:footnoteRef/>
      </w:r>
      <w:r w:rsidRPr="000D7953">
        <w:rPr>
          <w:rFonts w:ascii="Cambria" w:hAnsi="Cambria" w:cs="Arial"/>
          <w:sz w:val="16"/>
          <w:szCs w:val="16"/>
          <w:lang w:val="pt-BR"/>
        </w:rPr>
        <w:t xml:space="preserve"> </w:t>
      </w:r>
      <w:r w:rsidRPr="000D7953">
        <w:rPr>
          <w:rFonts w:ascii="Cambria" w:hAnsi="Cambria"/>
          <w:sz w:val="16"/>
          <w:szCs w:val="16"/>
          <w:lang w:val="pt-BR"/>
        </w:rPr>
        <w:t xml:space="preserve">Corte IDH. </w:t>
      </w:r>
      <w:r w:rsidRPr="000D7953">
        <w:rPr>
          <w:rFonts w:ascii="Cambria" w:hAnsi="Cambria"/>
          <w:i/>
          <w:sz w:val="16"/>
          <w:szCs w:val="16"/>
          <w:lang w:val="es-ES_tradnl"/>
        </w:rPr>
        <w:t>Caso</w:t>
      </w:r>
      <w:r w:rsidRPr="000D7953">
        <w:rPr>
          <w:rFonts w:ascii="Cambria" w:hAnsi="Cambria"/>
          <w:sz w:val="16"/>
          <w:szCs w:val="16"/>
          <w:lang w:val="es-ES_tradnl"/>
        </w:rPr>
        <w:t xml:space="preserve"> </w:t>
      </w:r>
      <w:r w:rsidRPr="000D7953">
        <w:rPr>
          <w:rFonts w:ascii="Cambria" w:hAnsi="Cambria"/>
          <w:i/>
          <w:sz w:val="16"/>
          <w:szCs w:val="16"/>
          <w:lang w:val="es-ES_tradnl"/>
        </w:rPr>
        <w:t>López Álvarez Vs. Honduras</w:t>
      </w:r>
      <w:r w:rsidRPr="000D7953">
        <w:rPr>
          <w:rFonts w:ascii="Cambria" w:hAnsi="Cambria"/>
          <w:sz w:val="16"/>
          <w:szCs w:val="16"/>
          <w:lang w:val="es-ES_tradnl"/>
        </w:rPr>
        <w:t>. Fondo, Reparaciones y Costas. Sentencia de 1 de febrero de 2006. Serie C No. 141. Párr.</w:t>
      </w:r>
      <w:r w:rsidRPr="000D7953">
        <w:rPr>
          <w:rFonts w:ascii="Cambria" w:hAnsi="Cambria" w:cs="Arial"/>
          <w:sz w:val="16"/>
          <w:szCs w:val="16"/>
          <w:lang w:val="es-ES"/>
        </w:rPr>
        <w:t xml:space="preserve"> 129;</w:t>
      </w:r>
      <w:r w:rsidRPr="000D7953">
        <w:rPr>
          <w:rFonts w:ascii="Cambria" w:hAnsi="Cambria"/>
          <w:sz w:val="16"/>
          <w:szCs w:val="16"/>
          <w:lang w:val="es-ES_tradnl"/>
        </w:rPr>
        <w:t xml:space="preserve"> </w:t>
      </w:r>
      <w:r w:rsidRPr="000D7953">
        <w:rPr>
          <w:rFonts w:ascii="Cambria" w:hAnsi="Cambria"/>
          <w:i/>
          <w:sz w:val="16"/>
          <w:szCs w:val="16"/>
          <w:lang w:val="es-ES_tradnl"/>
        </w:rPr>
        <w:t>Caso Acosta Calderón Vs. Ecuador</w:t>
      </w:r>
      <w:r w:rsidRPr="000D7953">
        <w:rPr>
          <w:rFonts w:ascii="Cambria" w:hAnsi="Cambria"/>
          <w:sz w:val="16"/>
          <w:szCs w:val="16"/>
          <w:lang w:val="es-ES_tradnl"/>
        </w:rPr>
        <w:t>. Fondo, Reparaciones y Costas. Sentencia de 24 de junio de 2005. Serie C No. 129. Párr.</w:t>
      </w:r>
      <w:r w:rsidRPr="000D7953">
        <w:rPr>
          <w:rFonts w:ascii="Cambria" w:hAnsi="Cambria" w:cs="Arial"/>
          <w:sz w:val="16"/>
          <w:szCs w:val="16"/>
          <w:lang w:val="es-ES"/>
        </w:rPr>
        <w:t xml:space="preserve"> 104, y </w:t>
      </w:r>
      <w:r w:rsidRPr="000D7953">
        <w:rPr>
          <w:rFonts w:ascii="Cambria" w:hAnsi="Cambria"/>
          <w:i/>
          <w:sz w:val="16"/>
          <w:szCs w:val="16"/>
          <w:lang w:val="es-ES_tradnl"/>
        </w:rPr>
        <w:t>Caso Tibi Vs. Ecuador</w:t>
      </w:r>
      <w:r w:rsidRPr="000D7953">
        <w:rPr>
          <w:rFonts w:ascii="Cambria" w:hAnsi="Cambria"/>
          <w:sz w:val="16"/>
          <w:szCs w:val="16"/>
          <w:lang w:val="es-ES_tradnl"/>
        </w:rPr>
        <w:t>. Excepciones Preliminares, Fondo, Reparaciones y Costas. Sentencia de 7 de septiembre de 2004. Serie C No. 114</w:t>
      </w:r>
      <w:r w:rsidRPr="000D7953">
        <w:rPr>
          <w:rFonts w:ascii="Cambria" w:hAnsi="Cambria" w:cs="Arial"/>
          <w:sz w:val="16"/>
          <w:szCs w:val="16"/>
          <w:lang w:val="es-ES_tradnl"/>
        </w:rPr>
        <w:t>. Párr. 168.</w:t>
      </w:r>
    </w:p>
  </w:footnote>
  <w:footnote w:id="131">
    <w:p w14:paraId="43E57D2A" w14:textId="1DA2BD11" w:rsidR="000A5EAC" w:rsidRPr="000D7953" w:rsidRDefault="000A5EAC" w:rsidP="000D7953">
      <w:pPr>
        <w:pStyle w:val="FootnoteText"/>
        <w:tabs>
          <w:tab w:val="left" w:pos="1800"/>
        </w:tabs>
        <w:jc w:val="both"/>
        <w:rPr>
          <w:rFonts w:ascii="Cambria" w:hAnsi="Cambria"/>
          <w:sz w:val="16"/>
          <w:szCs w:val="16"/>
          <w:lang w:val="es-ES_tradnl"/>
        </w:rPr>
      </w:pPr>
      <w:r w:rsidRPr="000D7953">
        <w:rPr>
          <w:rStyle w:val="FootnoteReference"/>
          <w:rFonts w:ascii="Cambria" w:hAnsi="Cambria"/>
          <w:sz w:val="16"/>
          <w:szCs w:val="16"/>
        </w:rPr>
        <w:footnoteRef/>
      </w:r>
      <w:r w:rsidRPr="000D7953">
        <w:rPr>
          <w:rFonts w:ascii="Cambria" w:hAnsi="Cambria" w:cs="Arial"/>
          <w:sz w:val="16"/>
          <w:szCs w:val="16"/>
          <w:lang w:val="es-ES_tradnl"/>
        </w:rPr>
        <w:t xml:space="preserve"> </w:t>
      </w:r>
      <w:r w:rsidRPr="000D7953">
        <w:rPr>
          <w:rFonts w:ascii="Cambria" w:hAnsi="Cambria"/>
          <w:sz w:val="16"/>
          <w:szCs w:val="16"/>
          <w:lang w:val="es-ES_tradnl"/>
        </w:rPr>
        <w:t xml:space="preserve">Corte IDH. Caso </w:t>
      </w:r>
      <w:r w:rsidRPr="000D7953">
        <w:rPr>
          <w:rFonts w:ascii="Cambria" w:hAnsi="Cambria"/>
          <w:i/>
          <w:sz w:val="16"/>
          <w:szCs w:val="16"/>
          <w:lang w:val="es-ES_tradnl"/>
        </w:rPr>
        <w:t>Masacre de Santo Domingo</w:t>
      </w:r>
      <w:r w:rsidRPr="000D7953">
        <w:rPr>
          <w:rFonts w:ascii="Cambria" w:hAnsi="Cambria"/>
          <w:sz w:val="16"/>
          <w:szCs w:val="16"/>
          <w:lang w:val="es-ES_tradnl"/>
        </w:rPr>
        <w:t>. Vs. Colombia. Excepciones Preliminares, Fondo, Reparaciones y Costas. Sentencia de 30 de noviembre de 2012. Serie C No. 259</w:t>
      </w:r>
      <w:r w:rsidRPr="000D7953">
        <w:rPr>
          <w:rFonts w:ascii="Cambria" w:hAnsi="Cambria" w:cs="Arial"/>
          <w:sz w:val="16"/>
          <w:szCs w:val="16"/>
          <w:lang w:val="es-ES_tradnl"/>
        </w:rPr>
        <w:t>. P</w:t>
      </w:r>
      <w:r w:rsidRPr="000D7953">
        <w:rPr>
          <w:rFonts w:ascii="Cambria" w:hAnsi="Cambria"/>
          <w:sz w:val="16"/>
          <w:szCs w:val="16"/>
          <w:lang w:val="es-ES_tradnl"/>
        </w:rPr>
        <w:t>árr.</w:t>
      </w:r>
      <w:r w:rsidRPr="000D7953">
        <w:rPr>
          <w:rFonts w:ascii="Cambria" w:hAnsi="Cambria" w:cs="Arial"/>
          <w:sz w:val="16"/>
          <w:szCs w:val="16"/>
          <w:lang w:val="es-ES_tradnl"/>
        </w:rPr>
        <w:t xml:space="preserve"> </w:t>
      </w:r>
      <w:r w:rsidRPr="000D7953">
        <w:rPr>
          <w:rFonts w:ascii="Cambria" w:hAnsi="Cambria" w:cs="Arial"/>
          <w:sz w:val="16"/>
          <w:szCs w:val="16"/>
          <w:lang w:val="es-ES"/>
        </w:rPr>
        <w:t>164.</w:t>
      </w:r>
    </w:p>
  </w:footnote>
  <w:footnote w:id="132">
    <w:p w14:paraId="3506A639" w14:textId="073C032E"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46. Nota de prensa titulada “Piden que juez interrogue a los miembros de familias influyentes”. 5 de mayo de 1991; nota de prensa titulada “Hasta Rodríguez sabe quiénes son los corruptos”. 5 de mayo de 1991, y nota de prensa titulada “Delegado y jueces respaldan a mafiosos”. Diario Hoy s/f. Expediente judicial. Anexos a la</w:t>
      </w:r>
      <w:r w:rsidRPr="000D7953">
        <w:rPr>
          <w:rFonts w:ascii="Cambria" w:hAnsi="Cambria"/>
          <w:sz w:val="16"/>
          <w:szCs w:val="16"/>
          <w:lang w:val="es-MX"/>
        </w:rPr>
        <w:t xml:space="preserve"> petición inicial de 19 de enero de 2007.</w:t>
      </w:r>
    </w:p>
  </w:footnote>
  <w:footnote w:id="133">
    <w:p w14:paraId="6E27699A" w14:textId="332C071B"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i/>
          <w:iCs/>
          <w:sz w:val="16"/>
          <w:szCs w:val="16"/>
          <w:lang w:val="es-PE"/>
        </w:rPr>
        <w:t>Mutatis mutandi</w:t>
      </w:r>
      <w:r w:rsidRPr="000D7953">
        <w:rPr>
          <w:rFonts w:ascii="Cambria" w:hAnsi="Cambria"/>
          <w:sz w:val="16"/>
          <w:szCs w:val="16"/>
          <w:lang w:val="es-PE"/>
        </w:rPr>
        <w:t xml:space="preserve">, </w:t>
      </w:r>
      <w:r w:rsidRPr="000D7953">
        <w:rPr>
          <w:rFonts w:ascii="Cambria" w:hAnsi="Cambria"/>
          <w:sz w:val="16"/>
          <w:szCs w:val="16"/>
          <w:lang w:val="es-VE"/>
        </w:rPr>
        <w:t xml:space="preserve">CIDH. </w:t>
      </w:r>
      <w:r w:rsidRPr="000D7953">
        <w:rPr>
          <w:rFonts w:ascii="Cambria" w:hAnsi="Cambria"/>
          <w:i/>
          <w:sz w:val="16"/>
          <w:szCs w:val="16"/>
          <w:lang w:val="es-VE"/>
        </w:rPr>
        <w:t>Segundo Informe sobre la situación de las defensoras y los defensores de derechos humanos en las Américas, supra</w:t>
      </w:r>
      <w:r w:rsidRPr="000D7953">
        <w:rPr>
          <w:rFonts w:ascii="Cambria" w:hAnsi="Cambria"/>
          <w:sz w:val="16"/>
          <w:szCs w:val="16"/>
          <w:lang w:val="es-VE"/>
        </w:rPr>
        <w:t xml:space="preserve">. Párr. </w:t>
      </w:r>
      <w:r w:rsidRPr="000D7953">
        <w:rPr>
          <w:rFonts w:ascii="Cambria" w:hAnsi="Cambria"/>
          <w:sz w:val="16"/>
          <w:szCs w:val="16"/>
          <w:lang w:val="es-US"/>
        </w:rPr>
        <w:t xml:space="preserve">43. </w:t>
      </w:r>
      <w:hyperlink w:history="1"/>
    </w:p>
  </w:footnote>
  <w:footnote w:id="134">
    <w:p w14:paraId="4719E44A" w14:textId="77777777"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Anexo 9. Declaración de Filemón Valdez ante el Juez de primera instancia en lo criminal y tutelar del menor del primer turno de la ciudad de Pedro Juan Caballero, 14 de mayo de 1991. Expediente judicial. Anexos a la</w:t>
      </w:r>
      <w:r w:rsidRPr="000D7953">
        <w:rPr>
          <w:rFonts w:ascii="Cambria" w:hAnsi="Cambria"/>
          <w:sz w:val="16"/>
          <w:szCs w:val="16"/>
          <w:lang w:val="es-MX"/>
        </w:rPr>
        <w:t xml:space="preserve"> petición inicial de 19 de enero de 2007, </w:t>
      </w:r>
      <w:r w:rsidRPr="000D7953">
        <w:rPr>
          <w:rFonts w:ascii="Cambria" w:hAnsi="Cambria"/>
          <w:sz w:val="16"/>
          <w:szCs w:val="16"/>
          <w:lang w:val="es-PE"/>
        </w:rPr>
        <w:t>folios 84 y 85.</w:t>
      </w:r>
    </w:p>
  </w:footnote>
  <w:footnote w:id="135">
    <w:p w14:paraId="1FD7DDC6" w14:textId="054F8812" w:rsidR="000A5EAC" w:rsidRPr="000D7953" w:rsidRDefault="000A5EAC" w:rsidP="000D7953">
      <w:pPr>
        <w:pStyle w:val="FootnoteText"/>
        <w:jc w:val="both"/>
        <w:rPr>
          <w:rFonts w:ascii="Cambria" w:hAnsi="Cambria"/>
          <w:sz w:val="16"/>
          <w:szCs w:val="16"/>
          <w:lang w:val="es-ES"/>
        </w:rPr>
      </w:pPr>
      <w:r w:rsidRPr="000D7953">
        <w:rPr>
          <w:rStyle w:val="FootnoteReference"/>
          <w:rFonts w:ascii="Cambria" w:hAnsi="Cambria"/>
          <w:sz w:val="16"/>
          <w:szCs w:val="16"/>
        </w:rPr>
        <w:footnoteRef/>
      </w:r>
      <w:r w:rsidRPr="000D7953">
        <w:rPr>
          <w:rFonts w:ascii="Cambria" w:hAnsi="Cambria" w:cs="Arial"/>
          <w:sz w:val="16"/>
          <w:szCs w:val="16"/>
          <w:lang w:val="es-ES"/>
        </w:rPr>
        <w:t xml:space="preserve"> CIDH. </w:t>
      </w:r>
      <w:r w:rsidRPr="000D7953">
        <w:rPr>
          <w:rFonts w:ascii="Cambria" w:hAnsi="Cambria" w:cs="Arial"/>
          <w:i/>
          <w:sz w:val="16"/>
          <w:szCs w:val="16"/>
          <w:lang w:val="es-ES"/>
        </w:rPr>
        <w:t xml:space="preserve">Segundo Informe sobre la Situación de las Defensoras y Defensores de Derechos Humanos en las Américas, supra. </w:t>
      </w:r>
      <w:r w:rsidRPr="000D7953">
        <w:rPr>
          <w:rFonts w:ascii="Cambria" w:hAnsi="Cambria" w:cs="Arial"/>
          <w:sz w:val="16"/>
          <w:szCs w:val="16"/>
          <w:lang w:val="es-ES"/>
        </w:rPr>
        <w:t xml:space="preserve">31 de diciembre de 2011. Párr. 505, e </w:t>
      </w:r>
      <w:r w:rsidRPr="000D7953">
        <w:rPr>
          <w:rFonts w:ascii="Cambria" w:hAnsi="Cambria"/>
          <w:sz w:val="16"/>
          <w:szCs w:val="16"/>
          <w:lang w:val="es-AR" w:eastAsia="x-none"/>
        </w:rPr>
        <w:t>CIDH.</w:t>
      </w:r>
      <w:r w:rsidRPr="000D7953">
        <w:rPr>
          <w:rFonts w:ascii="Cambria" w:hAnsi="Cambria"/>
          <w:sz w:val="16"/>
          <w:szCs w:val="16"/>
          <w:lang w:val="es-PE"/>
        </w:rPr>
        <w:t xml:space="preserve"> Informe No.35/17 (Publicación). Caso No. 12.713. José Rusbel Lara y otros. Colombia. 21 de marzo de 2017. Párr. 184.</w:t>
      </w:r>
    </w:p>
  </w:footnote>
  <w:footnote w:id="136">
    <w:p w14:paraId="2E8753CA" w14:textId="36B628FF" w:rsidR="000A5EAC" w:rsidRPr="000D7953" w:rsidRDefault="000A5EAC" w:rsidP="000D7953">
      <w:pPr>
        <w:pStyle w:val="FootnoteText"/>
        <w:tabs>
          <w:tab w:val="left" w:pos="1800"/>
        </w:tabs>
        <w:jc w:val="both"/>
        <w:rPr>
          <w:rFonts w:ascii="Cambria" w:hAnsi="Cambria"/>
          <w:sz w:val="16"/>
          <w:szCs w:val="16"/>
          <w:lang w:val="es-US"/>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AR" w:eastAsia="x-none"/>
        </w:rPr>
        <w:t>CIDH.</w:t>
      </w:r>
      <w:r w:rsidRPr="000D7953">
        <w:rPr>
          <w:rFonts w:ascii="Cambria" w:hAnsi="Cambria"/>
          <w:sz w:val="16"/>
          <w:szCs w:val="16"/>
          <w:lang w:val="es-PE"/>
        </w:rPr>
        <w:t xml:space="preserve"> Informe No.35/17 (Publicación). Caso No. 12.713. José Rusbel Lara y otros. Colombia. 21 de marzo de 2017. Párrs. 156 y ss. </w:t>
      </w:r>
      <w:r w:rsidRPr="000D7953">
        <w:rPr>
          <w:rFonts w:ascii="Cambria" w:hAnsi="Cambria"/>
          <w:sz w:val="16"/>
          <w:szCs w:val="16"/>
          <w:lang w:val="es-US"/>
        </w:rPr>
        <w:t xml:space="preserve">Corte IDH. </w:t>
      </w:r>
      <w:r w:rsidRPr="000D7953">
        <w:rPr>
          <w:rFonts w:ascii="Cambria" w:hAnsi="Cambria"/>
          <w:i/>
          <w:sz w:val="16"/>
          <w:szCs w:val="16"/>
          <w:lang w:val="es-US"/>
        </w:rPr>
        <w:t>Caso Luna López Vs. Honduras</w:t>
      </w:r>
      <w:r w:rsidRPr="000D7953">
        <w:rPr>
          <w:rFonts w:ascii="Cambria" w:hAnsi="Cambria"/>
          <w:sz w:val="16"/>
          <w:szCs w:val="16"/>
          <w:lang w:val="es-US"/>
        </w:rPr>
        <w:t xml:space="preserve">, </w:t>
      </w:r>
      <w:r w:rsidRPr="000D7953">
        <w:rPr>
          <w:rFonts w:ascii="Cambria" w:hAnsi="Cambria"/>
          <w:i/>
          <w:iCs/>
          <w:sz w:val="16"/>
          <w:szCs w:val="16"/>
          <w:lang w:val="es-US"/>
        </w:rPr>
        <w:t>supra</w:t>
      </w:r>
      <w:r w:rsidRPr="000D7953">
        <w:rPr>
          <w:rFonts w:ascii="Cambria" w:hAnsi="Cambria"/>
          <w:sz w:val="16"/>
          <w:szCs w:val="16"/>
          <w:lang w:val="es-US"/>
        </w:rPr>
        <w:t>. Párrs. 135 a 137.</w:t>
      </w:r>
    </w:p>
  </w:footnote>
  <w:footnote w:id="137">
    <w:p w14:paraId="352BDC91" w14:textId="77777777" w:rsidR="000A5EAC" w:rsidRPr="000D7953" w:rsidRDefault="000A5EAC" w:rsidP="000D7953">
      <w:pPr>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w:t>
      </w:r>
      <w:r w:rsidRPr="000D7953">
        <w:rPr>
          <w:rFonts w:ascii="Cambria" w:hAnsi="Cambria"/>
          <w:sz w:val="16"/>
          <w:szCs w:val="16"/>
          <w:lang w:val="es-MX"/>
        </w:rPr>
        <w:t xml:space="preserve">CIDH. Relatoría Especial para la Libertad de Expresión. Informe Zonas Silenciadas: regiones de alta peligrosidad para ejercer la libertad de expresión, </w:t>
      </w:r>
      <w:r w:rsidRPr="000D7953">
        <w:rPr>
          <w:rFonts w:ascii="Cambria" w:hAnsi="Cambria"/>
          <w:i/>
          <w:iCs/>
          <w:sz w:val="16"/>
          <w:szCs w:val="16"/>
          <w:lang w:val="es-MX"/>
        </w:rPr>
        <w:t>supra</w:t>
      </w:r>
      <w:r w:rsidRPr="000D7953">
        <w:rPr>
          <w:rFonts w:ascii="Cambria" w:hAnsi="Cambria"/>
          <w:sz w:val="16"/>
          <w:szCs w:val="16"/>
          <w:lang w:val="es-MX"/>
        </w:rPr>
        <w:t>. Capítulo 1. Párrs. 151, 171 y 175 y ss. En el párrafo 151 la CIDH cita el Plan de Acción de las Naciones Unidas sobre la seguridad de los periodistas y la cuestión de la impunidad. ONU.</w:t>
      </w:r>
      <w:r w:rsidRPr="000D7953">
        <w:rPr>
          <w:rFonts w:ascii="Cambria" w:hAnsi="Cambria"/>
          <w:sz w:val="16"/>
          <w:szCs w:val="16"/>
          <w:lang w:val="es-PE"/>
        </w:rPr>
        <w:t xml:space="preserve"> Organización de las Naciones Unidas para la Educación, la Ciencia y la Cultura (UNESCO). Programa Internacional para el Desarrollo de la Comunicación. Plan de Acción de las Naciones Unidas sobre la Seguridad de los Periodistas y la Cuestón de la Impunidad. Punto 1.6. Disponible en: </w:t>
      </w:r>
      <w:hyperlink r:id="rId12" w:history="1">
        <w:r w:rsidRPr="000D7953">
          <w:rPr>
            <w:rStyle w:val="Hyperlink"/>
            <w:rFonts w:ascii="Cambria" w:hAnsi="Cambria"/>
            <w:sz w:val="16"/>
            <w:szCs w:val="16"/>
            <w:lang w:val="es-PE"/>
          </w:rPr>
          <w:t>https://en.unesco.org/sites/default/files/un-plan-on-safety-journalists_es.pdf</w:t>
        </w:r>
      </w:hyperlink>
      <w:r w:rsidRPr="000D7953">
        <w:rPr>
          <w:rFonts w:ascii="Cambria" w:hAnsi="Cambria"/>
          <w:sz w:val="16"/>
          <w:szCs w:val="16"/>
          <w:lang w:val="es-PE"/>
        </w:rPr>
        <w:t xml:space="preserve">, y </w:t>
      </w:r>
      <w:hyperlink r:id="rId13" w:history="1">
        <w:r w:rsidRPr="000D7953">
          <w:rPr>
            <w:rStyle w:val="Hyperlink"/>
            <w:rFonts w:ascii="Cambria" w:hAnsi="Cambria"/>
            <w:sz w:val="16"/>
            <w:szCs w:val="16"/>
            <w:lang w:val="es-PE"/>
          </w:rPr>
          <w:t>https://en.unesco.org/un-plan-action-safety-journalists</w:t>
        </w:r>
      </w:hyperlink>
      <w:r w:rsidRPr="000D7953">
        <w:rPr>
          <w:rFonts w:ascii="Cambria" w:hAnsi="Cambria"/>
          <w:sz w:val="16"/>
          <w:szCs w:val="16"/>
          <w:lang w:val="es-PE"/>
        </w:rPr>
        <w:t xml:space="preserve"> </w:t>
      </w:r>
    </w:p>
  </w:footnote>
  <w:footnote w:id="138">
    <w:p w14:paraId="6088378A" w14:textId="2958C7E2" w:rsidR="000A5EAC" w:rsidRPr="000D7953" w:rsidRDefault="000A5EAC" w:rsidP="000D7953">
      <w:pPr>
        <w:pStyle w:val="FootnoteText"/>
        <w:tabs>
          <w:tab w:val="left" w:pos="1800"/>
        </w:tabs>
        <w:jc w:val="both"/>
        <w:rPr>
          <w:rFonts w:ascii="Cambria" w:hAnsi="Cambria"/>
          <w:sz w:val="16"/>
          <w:szCs w:val="16"/>
          <w:lang w:val="es-PE"/>
        </w:rPr>
      </w:pPr>
      <w:r w:rsidRPr="000D7953">
        <w:rPr>
          <w:rStyle w:val="FootnoteReference"/>
          <w:rFonts w:ascii="Cambria" w:hAnsi="Cambria"/>
          <w:sz w:val="16"/>
          <w:szCs w:val="16"/>
        </w:rPr>
        <w:footnoteRef/>
      </w:r>
      <w:r w:rsidRPr="000D7953">
        <w:rPr>
          <w:rFonts w:ascii="Cambria" w:hAnsi="Cambria"/>
          <w:sz w:val="16"/>
          <w:szCs w:val="16"/>
          <w:lang w:val="es-PE"/>
        </w:rPr>
        <w:t xml:space="preserve"> La Comisión no cuenta con el expediente de solicitud de extradición. Esta información es proporcionada por el Estado en la resolución judicial de archivo del expediente.</w:t>
      </w:r>
    </w:p>
  </w:footnote>
  <w:footnote w:id="139">
    <w:p w14:paraId="1C25FDB9" w14:textId="10ECAF27"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rPr>
        <w:footnoteRef/>
      </w:r>
      <w:r w:rsidRPr="000D7953">
        <w:rPr>
          <w:rFonts w:ascii="Cambria" w:hAnsi="Cambria"/>
          <w:sz w:val="16"/>
          <w:szCs w:val="16"/>
          <w:lang w:val="es-CO"/>
        </w:rPr>
        <w:t xml:space="preserve"> El artículo 5.1 de la Convención establece que “[t]oda persona tiene derecho a que se respete su integridad física, psíquica y moral”.</w:t>
      </w:r>
    </w:p>
  </w:footnote>
  <w:footnote w:id="140">
    <w:p w14:paraId="585B5E71" w14:textId="63081D5E"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lang w:eastAsia="x-none"/>
        </w:rPr>
        <w:footnoteRef/>
      </w:r>
      <w:r w:rsidRPr="000D7953">
        <w:rPr>
          <w:rFonts w:ascii="Cambria" w:hAnsi="Cambria"/>
          <w:sz w:val="16"/>
          <w:szCs w:val="16"/>
          <w:lang w:val="es-CO" w:eastAsia="x-none"/>
        </w:rPr>
        <w:t xml:space="preserve"> Corte IDH. </w:t>
      </w:r>
      <w:r w:rsidRPr="000D7953">
        <w:rPr>
          <w:rFonts w:ascii="Cambria" w:hAnsi="Cambria"/>
          <w:i/>
          <w:sz w:val="16"/>
          <w:szCs w:val="16"/>
          <w:lang w:val="es-CO" w:eastAsia="x-none"/>
        </w:rPr>
        <w:t>Caso Cantoral Huamaní y García Santa Cruz Vs. Perú</w:t>
      </w:r>
      <w:r w:rsidRPr="000D7953">
        <w:rPr>
          <w:rFonts w:ascii="Cambria" w:hAnsi="Cambria"/>
          <w:sz w:val="16"/>
          <w:szCs w:val="16"/>
          <w:lang w:val="es-CO" w:eastAsia="x-none"/>
        </w:rPr>
        <w:t xml:space="preserve">. Excepción Preliminar, Fondo, Reparaciones y Costas. Sentencia de 10 de julio de 2007. Serie C No. 167. Párr. 112, y </w:t>
      </w:r>
      <w:r w:rsidRPr="000D7953">
        <w:rPr>
          <w:rFonts w:ascii="Cambria" w:hAnsi="Cambria"/>
          <w:i/>
          <w:sz w:val="16"/>
          <w:szCs w:val="16"/>
          <w:lang w:val="es-CO" w:eastAsia="x-none"/>
        </w:rPr>
        <w:t>Caso Bueno Alves Vs. Argentina</w:t>
      </w:r>
      <w:r w:rsidRPr="000D7953">
        <w:rPr>
          <w:rFonts w:ascii="Cambria" w:hAnsi="Cambria"/>
          <w:sz w:val="16"/>
          <w:szCs w:val="16"/>
          <w:lang w:val="es-CO" w:eastAsia="x-none"/>
        </w:rPr>
        <w:t>. Sentencia de 11 de mayo de 2007. Serie C. No. 164. Párr. 102.</w:t>
      </w:r>
    </w:p>
  </w:footnote>
  <w:footnote w:id="141">
    <w:p w14:paraId="44430691" w14:textId="4663A6E6" w:rsidR="000A5EAC" w:rsidRPr="000D7953" w:rsidRDefault="000A5EAC" w:rsidP="000D7953">
      <w:pPr>
        <w:pStyle w:val="FootnoteText"/>
        <w:tabs>
          <w:tab w:val="left" w:pos="1800"/>
        </w:tabs>
        <w:jc w:val="both"/>
        <w:rPr>
          <w:rFonts w:ascii="Cambria" w:hAnsi="Cambria"/>
          <w:sz w:val="16"/>
          <w:szCs w:val="16"/>
          <w:lang w:val="es-CO"/>
        </w:rPr>
      </w:pPr>
      <w:r w:rsidRPr="000D7953">
        <w:rPr>
          <w:rStyle w:val="FootnoteReference"/>
          <w:rFonts w:ascii="Cambria" w:hAnsi="Cambria"/>
          <w:sz w:val="16"/>
          <w:szCs w:val="16"/>
          <w:lang w:eastAsia="x-none"/>
        </w:rPr>
        <w:footnoteRef/>
      </w:r>
      <w:r w:rsidRPr="000D7953">
        <w:rPr>
          <w:rFonts w:ascii="Cambria" w:hAnsi="Cambria"/>
          <w:sz w:val="16"/>
          <w:szCs w:val="16"/>
          <w:lang w:val="es-CO" w:eastAsia="x-none"/>
        </w:rPr>
        <w:t xml:space="preserve"> Corte IDH. </w:t>
      </w:r>
      <w:r w:rsidRPr="000D7953">
        <w:rPr>
          <w:rFonts w:ascii="Cambria" w:hAnsi="Cambria"/>
          <w:i/>
          <w:sz w:val="16"/>
          <w:szCs w:val="16"/>
          <w:lang w:val="es-CO" w:eastAsia="x-none"/>
        </w:rPr>
        <w:t>Caso Cantoral Huamaní y García Santa Cruz Vs. Perú</w:t>
      </w:r>
      <w:r w:rsidRPr="000D7953">
        <w:rPr>
          <w:rFonts w:ascii="Cambria" w:hAnsi="Cambria"/>
          <w:sz w:val="16"/>
          <w:szCs w:val="16"/>
          <w:lang w:val="es-CO" w:eastAsia="x-none"/>
        </w:rPr>
        <w:t xml:space="preserve">. Excepción Preliminar, Fondo, Reparaciones y Costas. Sentencia de 10 de julio de 2007. Serie C No. 167. Párr. 112, y </w:t>
      </w:r>
      <w:r w:rsidRPr="000D7953">
        <w:rPr>
          <w:rFonts w:ascii="Cambria" w:hAnsi="Cambria"/>
          <w:i/>
          <w:iCs/>
          <w:sz w:val="16"/>
          <w:szCs w:val="16"/>
          <w:lang w:val="es-PE"/>
        </w:rPr>
        <w:t>Caso Valencia Hinojosa y otra Vs. Ecuador.</w:t>
      </w:r>
      <w:r w:rsidRPr="000D7953">
        <w:rPr>
          <w:rFonts w:ascii="Cambria" w:hAnsi="Cambria"/>
          <w:sz w:val="16"/>
          <w:szCs w:val="16"/>
          <w:lang w:val="es-PE"/>
        </w:rPr>
        <w:t xml:space="preserve"> Excepciones Preliminares, Fondo, Reparaciones y Costas. Sentencia de 29 de noviembre de 2016. Serie C No. 327. Párr. 142.</w:t>
      </w:r>
    </w:p>
  </w:footnote>
  <w:footnote w:id="142">
    <w:p w14:paraId="2EA7D90D" w14:textId="1C64B349" w:rsidR="000A5EAC" w:rsidRPr="000D7953" w:rsidRDefault="000A5EAC" w:rsidP="000D7953">
      <w:pPr>
        <w:pStyle w:val="FootnoteText"/>
        <w:tabs>
          <w:tab w:val="left" w:pos="1800"/>
        </w:tabs>
        <w:jc w:val="both"/>
        <w:rPr>
          <w:rFonts w:ascii="Cambria" w:hAnsi="Cambria"/>
          <w:sz w:val="16"/>
          <w:szCs w:val="16"/>
          <w:lang w:val="es-ES_tradnl"/>
        </w:rPr>
      </w:pPr>
      <w:r w:rsidRPr="000D7953">
        <w:rPr>
          <w:rStyle w:val="FootnoteReference"/>
          <w:rFonts w:ascii="Cambria" w:hAnsi="Cambria"/>
          <w:sz w:val="16"/>
          <w:szCs w:val="16"/>
        </w:rPr>
        <w:footnoteRef/>
      </w:r>
      <w:r w:rsidRPr="000D7953">
        <w:rPr>
          <w:rFonts w:ascii="Cambria" w:hAnsi="Cambria"/>
          <w:sz w:val="16"/>
          <w:szCs w:val="16"/>
          <w:lang w:val="es-US"/>
        </w:rPr>
        <w:t xml:space="preserve"> </w:t>
      </w:r>
      <w:r w:rsidRPr="000D7953">
        <w:rPr>
          <w:rFonts w:ascii="Cambria" w:hAnsi="Cambria"/>
          <w:noProof/>
          <w:sz w:val="16"/>
          <w:szCs w:val="16"/>
          <w:lang w:val="es-US"/>
        </w:rPr>
        <w:t xml:space="preserve">Corte IDH. </w:t>
      </w:r>
      <w:r w:rsidRPr="000D7953">
        <w:rPr>
          <w:rFonts w:ascii="Cambria" w:hAnsi="Cambria"/>
          <w:i/>
          <w:sz w:val="16"/>
          <w:szCs w:val="16"/>
          <w:lang w:val="es-US"/>
        </w:rPr>
        <w:t>Caso Valle Jaramillo y otros Vs. Colombia</w:t>
      </w:r>
      <w:r w:rsidRPr="000D7953">
        <w:rPr>
          <w:rFonts w:ascii="Cambria" w:hAnsi="Cambria"/>
          <w:sz w:val="16"/>
          <w:szCs w:val="16"/>
          <w:lang w:val="es-US"/>
        </w:rPr>
        <w:t>. Fondo, Reparaciones y Costas. Sentencia de 27 de noviembre de 2008. Serie C No. 192. P</w:t>
      </w:r>
      <w:r w:rsidRPr="000D7953">
        <w:rPr>
          <w:rFonts w:ascii="Cambria" w:hAnsi="Cambria"/>
          <w:noProof/>
          <w:sz w:val="16"/>
          <w:szCs w:val="16"/>
          <w:lang w:val="es-ES"/>
        </w:rPr>
        <w:t>árr.</w:t>
      </w:r>
      <w:r w:rsidRPr="000D7953">
        <w:rPr>
          <w:rFonts w:ascii="Cambria" w:hAnsi="Cambria"/>
          <w:sz w:val="16"/>
          <w:szCs w:val="16"/>
          <w:lang w:val="es-ES_tradnl"/>
        </w:rPr>
        <w:t xml:space="preserve"> 102.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1492" w14:textId="77777777" w:rsidR="000A5EAC" w:rsidRDefault="000A5EAC"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E9CF13E" w14:textId="77777777" w:rsidR="000A5EAC" w:rsidRDefault="000A5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8070" w14:textId="77777777" w:rsidR="000A5EAC" w:rsidRDefault="000A5EAC" w:rsidP="00430348">
    <w:pPr>
      <w:pStyle w:val="Header"/>
      <w:tabs>
        <w:tab w:val="clear" w:pos="4320"/>
        <w:tab w:val="clear" w:pos="8640"/>
      </w:tabs>
      <w:jc w:val="center"/>
      <w:rPr>
        <w:sz w:val="22"/>
        <w:szCs w:val="22"/>
      </w:rPr>
    </w:pPr>
    <w:r>
      <w:rPr>
        <w:noProof/>
        <w:sz w:val="22"/>
        <w:szCs w:val="22"/>
      </w:rPr>
      <w:drawing>
        <wp:inline distT="0" distB="0" distL="0" distR="0" wp14:anchorId="5DE7F305" wp14:editId="2662E95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D8FF916" w14:textId="77777777" w:rsidR="000A5EAC" w:rsidRPr="00EC7D62" w:rsidRDefault="00511D57" w:rsidP="00430348">
    <w:pPr>
      <w:pStyle w:val="Header"/>
      <w:tabs>
        <w:tab w:val="clear" w:pos="4320"/>
        <w:tab w:val="clear" w:pos="8640"/>
      </w:tabs>
      <w:jc w:val="center"/>
      <w:rPr>
        <w:sz w:val="22"/>
        <w:szCs w:val="22"/>
      </w:rPr>
    </w:pPr>
    <w:r>
      <w:rPr>
        <w:noProof/>
        <w:sz w:val="22"/>
        <w:szCs w:val="22"/>
      </w:rPr>
      <w:pict w14:anchorId="3B9ECFB4">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EA000D"/>
    <w:multiLevelType w:val="hybridMultilevel"/>
    <w:tmpl w:val="7F6CBBBC"/>
    <w:lvl w:ilvl="0" w:tplc="8C844A0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24" w15:restartNumberingAfterBreak="0">
    <w:nsid w:val="38392973"/>
    <w:multiLevelType w:val="hybridMultilevel"/>
    <w:tmpl w:val="2FF4FC0A"/>
    <w:lvl w:ilvl="0" w:tplc="82602046">
      <w:start w:val="1"/>
      <w:numFmt w:val="decimal"/>
      <w:lvlText w:val="%1."/>
      <w:lvlJc w:val="left"/>
      <w:pPr>
        <w:tabs>
          <w:tab w:val="num" w:pos="1260"/>
        </w:tabs>
        <w:ind w:left="1260" w:hanging="360"/>
      </w:pPr>
      <w:rPr>
        <w:b w:val="0"/>
      </w:rPr>
    </w:lvl>
    <w:lvl w:ilvl="1" w:tplc="5B509156">
      <w:start w:val="2"/>
      <w:numFmt w:val="bullet"/>
      <w:lvlText w:val="-"/>
      <w:lvlJc w:val="left"/>
      <w:pPr>
        <w:tabs>
          <w:tab w:val="num" w:pos="1440"/>
        </w:tabs>
        <w:ind w:left="1440" w:hanging="360"/>
      </w:pPr>
      <w:rPr>
        <w:rFonts w:ascii="Calibri" w:eastAsia="Times New Roman" w:hAnsi="Calibri" w:cs="Arial" w:hint="default"/>
      </w:rPr>
    </w:lvl>
    <w:lvl w:ilvl="2" w:tplc="B374DD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5195813"/>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D50E99"/>
    <w:multiLevelType w:val="multilevel"/>
    <w:tmpl w:val="09EC1734"/>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9542BA5"/>
    <w:multiLevelType w:val="hybridMultilevel"/>
    <w:tmpl w:val="22E4DB82"/>
    <w:lvl w:ilvl="0" w:tplc="B576EF06">
      <w:start w:val="1"/>
      <w:numFmt w:val="decimal"/>
      <w:pStyle w:val="PrrafodeSentencia"/>
      <w:lvlText w:val="%1."/>
      <w:lvlJc w:val="left"/>
      <w:pPr>
        <w:ind w:left="1710" w:hanging="360"/>
      </w:pPr>
      <w:rPr>
        <w:rFonts w:ascii="Verdana" w:hAnsi="Verdana" w:hint="default"/>
        <w:b w:val="0"/>
        <w:i w:val="0"/>
        <w:strike w:val="0"/>
        <w:dstrike w:val="0"/>
        <w:color w:val="auto"/>
        <w:sz w:val="20"/>
        <w:szCs w:val="20"/>
        <w:u w:val="none"/>
        <w:effect w:val="none"/>
        <w:vertAlign w:val="baseline"/>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D7D4B9D"/>
    <w:multiLevelType w:val="hybridMultilevel"/>
    <w:tmpl w:val="6592F3EC"/>
    <w:lvl w:ilvl="0" w:tplc="2AA69C44">
      <w:start w:val="1"/>
      <w:numFmt w:val="decimal"/>
      <w:lvlText w:val="%1."/>
      <w:lvlJc w:val="left"/>
      <w:pPr>
        <w:ind w:left="360" w:hanging="360"/>
      </w:pPr>
      <w:rPr>
        <w:rFonts w:ascii="Cambria" w:hAnsi="Cambria" w:hint="default"/>
        <w:b w:val="0"/>
        <w:i w:val="0"/>
        <w:strike w:val="0"/>
        <w:color w:val="auto"/>
        <w:sz w:val="20"/>
        <w:szCs w:val="20"/>
        <w:lang w:val="es-C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8E7BBF"/>
    <w:multiLevelType w:val="hybridMultilevel"/>
    <w:tmpl w:val="C9BCA5A0"/>
    <w:lvl w:ilvl="0" w:tplc="D7709152">
      <w:start w:val="1"/>
      <w:numFmt w:val="decimal"/>
      <w:lvlText w:val="%1."/>
      <w:lvlJc w:val="left"/>
      <w:pPr>
        <w:tabs>
          <w:tab w:val="num" w:pos="1080"/>
        </w:tabs>
        <w:ind w:left="1080" w:hanging="720"/>
      </w:pPr>
      <w:rPr>
        <w:rFonts w:hint="default"/>
        <w:b w:val="0"/>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842327A"/>
    <w:lvl w:ilvl="0" w:tplc="E9DC5756">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6A1E81"/>
    <w:multiLevelType w:val="hybridMultilevel"/>
    <w:tmpl w:val="C0704448"/>
    <w:lvl w:ilvl="0" w:tplc="1332A3B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0C2010"/>
    <w:multiLevelType w:val="hybridMultilevel"/>
    <w:tmpl w:val="E0223D7C"/>
    <w:lvl w:ilvl="0" w:tplc="0F9AC49C">
      <w:start w:val="1"/>
      <w:numFmt w:val="decimal"/>
      <w:lvlText w:val="%1."/>
      <w:lvlJc w:val="left"/>
      <w:pPr>
        <w:ind w:left="7740" w:hanging="360"/>
      </w:pPr>
      <w:rPr>
        <w:rFonts w:ascii="Cambria" w:hAnsi="Cambria" w:hint="default"/>
        <w:b w:val="0"/>
        <w:i w:val="0"/>
        <w:sz w:val="20"/>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19"/>
  </w:num>
  <w:num w:numId="5">
    <w:abstractNumId w:val="47"/>
  </w:num>
  <w:num w:numId="6">
    <w:abstractNumId w:val="26"/>
  </w:num>
  <w:num w:numId="7">
    <w:abstractNumId w:val="6"/>
  </w:num>
  <w:num w:numId="8">
    <w:abstractNumId w:val="16"/>
  </w:num>
  <w:num w:numId="9">
    <w:abstractNumId w:val="39"/>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0"/>
  </w:num>
  <w:num w:numId="28">
    <w:abstractNumId w:val="21"/>
  </w:num>
  <w:num w:numId="29">
    <w:abstractNumId w:val="22"/>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8"/>
  </w:num>
  <w:num w:numId="43">
    <w:abstractNumId w:val="49"/>
  </w:num>
  <w:num w:numId="44">
    <w:abstractNumId w:val="53"/>
  </w:num>
  <w:num w:numId="45">
    <w:abstractNumId w:val="55"/>
  </w:num>
  <w:num w:numId="46">
    <w:abstractNumId w:val="56"/>
  </w:num>
  <w:num w:numId="47">
    <w:abstractNumId w:val="57"/>
  </w:num>
  <w:num w:numId="48">
    <w:abstractNumId w:val="59"/>
  </w:num>
  <w:num w:numId="49">
    <w:abstractNumId w:val="60"/>
  </w:num>
  <w:num w:numId="50">
    <w:abstractNumId w:val="50"/>
  </w:num>
  <w:num w:numId="51">
    <w:abstractNumId w:val="44"/>
  </w:num>
  <w:num w:numId="52">
    <w:abstractNumId w:val="51"/>
  </w:num>
  <w:num w:numId="53">
    <w:abstractNumId w:val="51"/>
    <w:lvlOverride w:ilvl="0">
      <w:startOverride w:val="1"/>
    </w:lvlOverride>
  </w:num>
  <w:num w:numId="54">
    <w:abstractNumId w:val="3"/>
    <w:lvlOverride w:ilvl="0">
      <w:startOverride w:val="1"/>
    </w:lvlOverride>
  </w:num>
  <w:num w:numId="55">
    <w:abstractNumId w:val="41"/>
  </w:num>
  <w:num w:numId="56">
    <w:abstractNumId w:val="41"/>
    <w:lvlOverride w:ilvl="0">
      <w:startOverride w:val="1"/>
    </w:lvlOverride>
  </w:num>
  <w:num w:numId="57">
    <w:abstractNumId w:val="58"/>
  </w:num>
  <w:num w:numId="58">
    <w:abstractNumId w:val="40"/>
  </w:num>
  <w:num w:numId="59">
    <w:abstractNumId w:val="42"/>
  </w:num>
  <w:num w:numId="60">
    <w:abstractNumId w:val="52"/>
  </w:num>
  <w:num w:numId="61">
    <w:abstractNumId w:val="46"/>
  </w:num>
  <w:num w:numId="62">
    <w:abstractNumId w:val="24"/>
  </w:num>
  <w:num w:numId="63">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15"/>
    <w:rsid w:val="000009B1"/>
    <w:rsid w:val="00000A09"/>
    <w:rsid w:val="00000CC2"/>
    <w:rsid w:val="000010B3"/>
    <w:rsid w:val="000012E6"/>
    <w:rsid w:val="00001CC5"/>
    <w:rsid w:val="00001D82"/>
    <w:rsid w:val="00001E9D"/>
    <w:rsid w:val="0000232D"/>
    <w:rsid w:val="000024DE"/>
    <w:rsid w:val="000024F3"/>
    <w:rsid w:val="00002979"/>
    <w:rsid w:val="0000307D"/>
    <w:rsid w:val="00003E53"/>
    <w:rsid w:val="00003F9E"/>
    <w:rsid w:val="000053F2"/>
    <w:rsid w:val="00005B87"/>
    <w:rsid w:val="00007841"/>
    <w:rsid w:val="00007E78"/>
    <w:rsid w:val="00010A63"/>
    <w:rsid w:val="00010B5D"/>
    <w:rsid w:val="000113AE"/>
    <w:rsid w:val="00011C43"/>
    <w:rsid w:val="0001204F"/>
    <w:rsid w:val="0001241C"/>
    <w:rsid w:val="00012B59"/>
    <w:rsid w:val="00012E83"/>
    <w:rsid w:val="00012F6E"/>
    <w:rsid w:val="00012FB6"/>
    <w:rsid w:val="000130D4"/>
    <w:rsid w:val="0001328B"/>
    <w:rsid w:val="00013349"/>
    <w:rsid w:val="00013B83"/>
    <w:rsid w:val="000141DC"/>
    <w:rsid w:val="000142AE"/>
    <w:rsid w:val="000144B0"/>
    <w:rsid w:val="00014889"/>
    <w:rsid w:val="000148B8"/>
    <w:rsid w:val="00014D12"/>
    <w:rsid w:val="00015029"/>
    <w:rsid w:val="00015160"/>
    <w:rsid w:val="00015603"/>
    <w:rsid w:val="000162BA"/>
    <w:rsid w:val="000166B8"/>
    <w:rsid w:val="0001672D"/>
    <w:rsid w:val="00016ABB"/>
    <w:rsid w:val="00016C86"/>
    <w:rsid w:val="00016D2A"/>
    <w:rsid w:val="00016D9E"/>
    <w:rsid w:val="00017406"/>
    <w:rsid w:val="00017914"/>
    <w:rsid w:val="00017D6D"/>
    <w:rsid w:val="00017D85"/>
    <w:rsid w:val="00017DD6"/>
    <w:rsid w:val="0002081F"/>
    <w:rsid w:val="0002135B"/>
    <w:rsid w:val="00021471"/>
    <w:rsid w:val="000217D6"/>
    <w:rsid w:val="000219AE"/>
    <w:rsid w:val="00022056"/>
    <w:rsid w:val="000222F4"/>
    <w:rsid w:val="0002233A"/>
    <w:rsid w:val="000223F6"/>
    <w:rsid w:val="00022AA3"/>
    <w:rsid w:val="00022B16"/>
    <w:rsid w:val="000231A1"/>
    <w:rsid w:val="0002379E"/>
    <w:rsid w:val="00023B59"/>
    <w:rsid w:val="00023BB4"/>
    <w:rsid w:val="00023C14"/>
    <w:rsid w:val="0002403F"/>
    <w:rsid w:val="0002452D"/>
    <w:rsid w:val="00024EA6"/>
    <w:rsid w:val="00025915"/>
    <w:rsid w:val="00025917"/>
    <w:rsid w:val="00025B0F"/>
    <w:rsid w:val="00025BC8"/>
    <w:rsid w:val="000260E9"/>
    <w:rsid w:val="00026A10"/>
    <w:rsid w:val="00026DEE"/>
    <w:rsid w:val="00027A2D"/>
    <w:rsid w:val="00027E00"/>
    <w:rsid w:val="000303EE"/>
    <w:rsid w:val="000306A8"/>
    <w:rsid w:val="00030BFA"/>
    <w:rsid w:val="00030F34"/>
    <w:rsid w:val="00030FE8"/>
    <w:rsid w:val="000312A7"/>
    <w:rsid w:val="0003147A"/>
    <w:rsid w:val="0003152F"/>
    <w:rsid w:val="00031711"/>
    <w:rsid w:val="0003171F"/>
    <w:rsid w:val="00032355"/>
    <w:rsid w:val="00032F38"/>
    <w:rsid w:val="00032F3F"/>
    <w:rsid w:val="000332F7"/>
    <w:rsid w:val="0003332C"/>
    <w:rsid w:val="00033C86"/>
    <w:rsid w:val="00033D01"/>
    <w:rsid w:val="000346EB"/>
    <w:rsid w:val="000348A6"/>
    <w:rsid w:val="00034A5C"/>
    <w:rsid w:val="00034C84"/>
    <w:rsid w:val="0003512F"/>
    <w:rsid w:val="0003573C"/>
    <w:rsid w:val="00036EA7"/>
    <w:rsid w:val="0003703A"/>
    <w:rsid w:val="0003727E"/>
    <w:rsid w:val="000379BE"/>
    <w:rsid w:val="00037C87"/>
    <w:rsid w:val="00037EC1"/>
    <w:rsid w:val="00040277"/>
    <w:rsid w:val="000403AB"/>
    <w:rsid w:val="000403D5"/>
    <w:rsid w:val="000405C4"/>
    <w:rsid w:val="00040BB9"/>
    <w:rsid w:val="0004111F"/>
    <w:rsid w:val="00041286"/>
    <w:rsid w:val="00041547"/>
    <w:rsid w:val="00041AFD"/>
    <w:rsid w:val="00041BDC"/>
    <w:rsid w:val="00041D70"/>
    <w:rsid w:val="00041DC7"/>
    <w:rsid w:val="0004289A"/>
    <w:rsid w:val="0004386B"/>
    <w:rsid w:val="00043997"/>
    <w:rsid w:val="00043C3B"/>
    <w:rsid w:val="000445D8"/>
    <w:rsid w:val="00044648"/>
    <w:rsid w:val="00044691"/>
    <w:rsid w:val="000446EB"/>
    <w:rsid w:val="00044CEC"/>
    <w:rsid w:val="00044D5E"/>
    <w:rsid w:val="00045672"/>
    <w:rsid w:val="00045A2B"/>
    <w:rsid w:val="00045B6C"/>
    <w:rsid w:val="000464BD"/>
    <w:rsid w:val="00046714"/>
    <w:rsid w:val="0004678E"/>
    <w:rsid w:val="000468D7"/>
    <w:rsid w:val="000502BC"/>
    <w:rsid w:val="00050681"/>
    <w:rsid w:val="00050A3A"/>
    <w:rsid w:val="0005101E"/>
    <w:rsid w:val="00051300"/>
    <w:rsid w:val="00051A15"/>
    <w:rsid w:val="00051AFC"/>
    <w:rsid w:val="00051E6F"/>
    <w:rsid w:val="0005258E"/>
    <w:rsid w:val="000528DB"/>
    <w:rsid w:val="000528E2"/>
    <w:rsid w:val="00052C00"/>
    <w:rsid w:val="00052D1E"/>
    <w:rsid w:val="000534FE"/>
    <w:rsid w:val="0005367E"/>
    <w:rsid w:val="00053717"/>
    <w:rsid w:val="00054511"/>
    <w:rsid w:val="00054D9F"/>
    <w:rsid w:val="0005551A"/>
    <w:rsid w:val="00055573"/>
    <w:rsid w:val="00055963"/>
    <w:rsid w:val="00055CA8"/>
    <w:rsid w:val="00055DB2"/>
    <w:rsid w:val="000561E3"/>
    <w:rsid w:val="00056A77"/>
    <w:rsid w:val="00057709"/>
    <w:rsid w:val="000602B3"/>
    <w:rsid w:val="00060E0D"/>
    <w:rsid w:val="00060F6A"/>
    <w:rsid w:val="000622F0"/>
    <w:rsid w:val="000629E4"/>
    <w:rsid w:val="00062B4C"/>
    <w:rsid w:val="00062C4F"/>
    <w:rsid w:val="00062D3F"/>
    <w:rsid w:val="00062E07"/>
    <w:rsid w:val="00062E8A"/>
    <w:rsid w:val="00063642"/>
    <w:rsid w:val="00063738"/>
    <w:rsid w:val="000645B3"/>
    <w:rsid w:val="00064968"/>
    <w:rsid w:val="00064A01"/>
    <w:rsid w:val="00064CCB"/>
    <w:rsid w:val="000658EF"/>
    <w:rsid w:val="00065D17"/>
    <w:rsid w:val="00065E2C"/>
    <w:rsid w:val="00065E4A"/>
    <w:rsid w:val="00066471"/>
    <w:rsid w:val="000665C4"/>
    <w:rsid w:val="00066C93"/>
    <w:rsid w:val="0006708D"/>
    <w:rsid w:val="000677CF"/>
    <w:rsid w:val="000678C9"/>
    <w:rsid w:val="000678DD"/>
    <w:rsid w:val="00067C73"/>
    <w:rsid w:val="00067DC3"/>
    <w:rsid w:val="000700F5"/>
    <w:rsid w:val="00070474"/>
    <w:rsid w:val="00070737"/>
    <w:rsid w:val="00070807"/>
    <w:rsid w:val="0007095D"/>
    <w:rsid w:val="00070ABC"/>
    <w:rsid w:val="00070CFA"/>
    <w:rsid w:val="00071078"/>
    <w:rsid w:val="00071346"/>
    <w:rsid w:val="00071B38"/>
    <w:rsid w:val="000722AD"/>
    <w:rsid w:val="0007269B"/>
    <w:rsid w:val="00072A44"/>
    <w:rsid w:val="000738B7"/>
    <w:rsid w:val="00073B44"/>
    <w:rsid w:val="00073B60"/>
    <w:rsid w:val="00073CEA"/>
    <w:rsid w:val="000742AC"/>
    <w:rsid w:val="00074517"/>
    <w:rsid w:val="00074748"/>
    <w:rsid w:val="00074F54"/>
    <w:rsid w:val="000750D5"/>
    <w:rsid w:val="00075CC1"/>
    <w:rsid w:val="00075CE4"/>
    <w:rsid w:val="00075EBE"/>
    <w:rsid w:val="000766FC"/>
    <w:rsid w:val="00076930"/>
    <w:rsid w:val="00076CB5"/>
    <w:rsid w:val="000774D5"/>
    <w:rsid w:val="00077517"/>
    <w:rsid w:val="000776D1"/>
    <w:rsid w:val="00077BBE"/>
    <w:rsid w:val="0008007F"/>
    <w:rsid w:val="000800B3"/>
    <w:rsid w:val="0008037D"/>
    <w:rsid w:val="000808AB"/>
    <w:rsid w:val="00082221"/>
    <w:rsid w:val="0008246A"/>
    <w:rsid w:val="00082574"/>
    <w:rsid w:val="0008285D"/>
    <w:rsid w:val="00083704"/>
    <w:rsid w:val="00083994"/>
    <w:rsid w:val="00083A4B"/>
    <w:rsid w:val="0008400F"/>
    <w:rsid w:val="00084245"/>
    <w:rsid w:val="000846E9"/>
    <w:rsid w:val="0008595B"/>
    <w:rsid w:val="00085AC0"/>
    <w:rsid w:val="00085C63"/>
    <w:rsid w:val="00085D0C"/>
    <w:rsid w:val="00085FAD"/>
    <w:rsid w:val="000862BE"/>
    <w:rsid w:val="00086511"/>
    <w:rsid w:val="00086D6B"/>
    <w:rsid w:val="000904DE"/>
    <w:rsid w:val="000909BA"/>
    <w:rsid w:val="000909F3"/>
    <w:rsid w:val="00090BFB"/>
    <w:rsid w:val="00090E71"/>
    <w:rsid w:val="0009137A"/>
    <w:rsid w:val="00091479"/>
    <w:rsid w:val="00092171"/>
    <w:rsid w:val="000922FF"/>
    <w:rsid w:val="00092543"/>
    <w:rsid w:val="00093372"/>
    <w:rsid w:val="00093C1A"/>
    <w:rsid w:val="00093F48"/>
    <w:rsid w:val="0009455F"/>
    <w:rsid w:val="000947BD"/>
    <w:rsid w:val="0009488C"/>
    <w:rsid w:val="00094EAF"/>
    <w:rsid w:val="00095D8E"/>
    <w:rsid w:val="00096104"/>
    <w:rsid w:val="00096255"/>
    <w:rsid w:val="000965DD"/>
    <w:rsid w:val="000965F4"/>
    <w:rsid w:val="00097288"/>
    <w:rsid w:val="00097BA8"/>
    <w:rsid w:val="00097F1C"/>
    <w:rsid w:val="000A0564"/>
    <w:rsid w:val="000A066B"/>
    <w:rsid w:val="000A0BC1"/>
    <w:rsid w:val="000A123D"/>
    <w:rsid w:val="000A20D1"/>
    <w:rsid w:val="000A2453"/>
    <w:rsid w:val="000A2B16"/>
    <w:rsid w:val="000A3440"/>
    <w:rsid w:val="000A34EE"/>
    <w:rsid w:val="000A388F"/>
    <w:rsid w:val="000A3A4D"/>
    <w:rsid w:val="000A4648"/>
    <w:rsid w:val="000A52D9"/>
    <w:rsid w:val="000A5DFE"/>
    <w:rsid w:val="000A5EAC"/>
    <w:rsid w:val="000A6127"/>
    <w:rsid w:val="000A643D"/>
    <w:rsid w:val="000A64C2"/>
    <w:rsid w:val="000A6859"/>
    <w:rsid w:val="000A6BC6"/>
    <w:rsid w:val="000A6D3D"/>
    <w:rsid w:val="000A6F57"/>
    <w:rsid w:val="000A702B"/>
    <w:rsid w:val="000A7B44"/>
    <w:rsid w:val="000A7D08"/>
    <w:rsid w:val="000A7EFE"/>
    <w:rsid w:val="000B0046"/>
    <w:rsid w:val="000B07F5"/>
    <w:rsid w:val="000B0A18"/>
    <w:rsid w:val="000B0AA0"/>
    <w:rsid w:val="000B1F78"/>
    <w:rsid w:val="000B25CA"/>
    <w:rsid w:val="000B269D"/>
    <w:rsid w:val="000B2F25"/>
    <w:rsid w:val="000B36E8"/>
    <w:rsid w:val="000B3B8D"/>
    <w:rsid w:val="000B3F97"/>
    <w:rsid w:val="000B48D6"/>
    <w:rsid w:val="000B4BAA"/>
    <w:rsid w:val="000B4CDE"/>
    <w:rsid w:val="000B4DC8"/>
    <w:rsid w:val="000B51F5"/>
    <w:rsid w:val="000B5AC0"/>
    <w:rsid w:val="000B5AE8"/>
    <w:rsid w:val="000B5B30"/>
    <w:rsid w:val="000B6018"/>
    <w:rsid w:val="000B6245"/>
    <w:rsid w:val="000B6355"/>
    <w:rsid w:val="000B6632"/>
    <w:rsid w:val="000B6F3C"/>
    <w:rsid w:val="000B726B"/>
    <w:rsid w:val="000B7986"/>
    <w:rsid w:val="000B7DD2"/>
    <w:rsid w:val="000C0308"/>
    <w:rsid w:val="000C034A"/>
    <w:rsid w:val="000C0CC7"/>
    <w:rsid w:val="000C12E7"/>
    <w:rsid w:val="000C1778"/>
    <w:rsid w:val="000C1A92"/>
    <w:rsid w:val="000C1B97"/>
    <w:rsid w:val="000C1CEE"/>
    <w:rsid w:val="000C2444"/>
    <w:rsid w:val="000C2575"/>
    <w:rsid w:val="000C2FF6"/>
    <w:rsid w:val="000C35A7"/>
    <w:rsid w:val="000C3879"/>
    <w:rsid w:val="000C3FC7"/>
    <w:rsid w:val="000C437A"/>
    <w:rsid w:val="000C44C2"/>
    <w:rsid w:val="000C4600"/>
    <w:rsid w:val="000C50A5"/>
    <w:rsid w:val="000C50ED"/>
    <w:rsid w:val="000C572C"/>
    <w:rsid w:val="000C5FFD"/>
    <w:rsid w:val="000C63F5"/>
    <w:rsid w:val="000C67DE"/>
    <w:rsid w:val="000C6F36"/>
    <w:rsid w:val="000C7168"/>
    <w:rsid w:val="000C758F"/>
    <w:rsid w:val="000C7605"/>
    <w:rsid w:val="000C795A"/>
    <w:rsid w:val="000C7C3D"/>
    <w:rsid w:val="000C7EAB"/>
    <w:rsid w:val="000D0673"/>
    <w:rsid w:val="000D0CD1"/>
    <w:rsid w:val="000D0F2E"/>
    <w:rsid w:val="000D1730"/>
    <w:rsid w:val="000D1A61"/>
    <w:rsid w:val="000D232F"/>
    <w:rsid w:val="000D2755"/>
    <w:rsid w:val="000D2940"/>
    <w:rsid w:val="000D2D99"/>
    <w:rsid w:val="000D30B1"/>
    <w:rsid w:val="000D3118"/>
    <w:rsid w:val="000D369F"/>
    <w:rsid w:val="000D3B05"/>
    <w:rsid w:val="000D4274"/>
    <w:rsid w:val="000D43BE"/>
    <w:rsid w:val="000D44DD"/>
    <w:rsid w:val="000D45DD"/>
    <w:rsid w:val="000D46FD"/>
    <w:rsid w:val="000D47AD"/>
    <w:rsid w:val="000D4BA6"/>
    <w:rsid w:val="000D4BF9"/>
    <w:rsid w:val="000D50A2"/>
    <w:rsid w:val="000D5262"/>
    <w:rsid w:val="000D5408"/>
    <w:rsid w:val="000D54BE"/>
    <w:rsid w:val="000D659E"/>
    <w:rsid w:val="000D6FFE"/>
    <w:rsid w:val="000D72D0"/>
    <w:rsid w:val="000D766F"/>
    <w:rsid w:val="000D777F"/>
    <w:rsid w:val="000D7953"/>
    <w:rsid w:val="000D7CF0"/>
    <w:rsid w:val="000D7EC9"/>
    <w:rsid w:val="000E0131"/>
    <w:rsid w:val="000E0243"/>
    <w:rsid w:val="000E0877"/>
    <w:rsid w:val="000E0A78"/>
    <w:rsid w:val="000E0C1C"/>
    <w:rsid w:val="000E1077"/>
    <w:rsid w:val="000E1453"/>
    <w:rsid w:val="000E151F"/>
    <w:rsid w:val="000E1954"/>
    <w:rsid w:val="000E1F32"/>
    <w:rsid w:val="000E209F"/>
    <w:rsid w:val="000E2516"/>
    <w:rsid w:val="000E2E21"/>
    <w:rsid w:val="000E3433"/>
    <w:rsid w:val="000E3A40"/>
    <w:rsid w:val="000E3A6A"/>
    <w:rsid w:val="000E4097"/>
    <w:rsid w:val="000E40FE"/>
    <w:rsid w:val="000E4324"/>
    <w:rsid w:val="000E4434"/>
    <w:rsid w:val="000E4937"/>
    <w:rsid w:val="000E4ACA"/>
    <w:rsid w:val="000E4E66"/>
    <w:rsid w:val="000E53CC"/>
    <w:rsid w:val="000E556A"/>
    <w:rsid w:val="000E5697"/>
    <w:rsid w:val="000E5983"/>
    <w:rsid w:val="000E5AC0"/>
    <w:rsid w:val="000E5ADB"/>
    <w:rsid w:val="000E6026"/>
    <w:rsid w:val="000E6257"/>
    <w:rsid w:val="000E627A"/>
    <w:rsid w:val="000E6A9D"/>
    <w:rsid w:val="000E6ADD"/>
    <w:rsid w:val="000E6E04"/>
    <w:rsid w:val="000E753F"/>
    <w:rsid w:val="000E7965"/>
    <w:rsid w:val="000F039F"/>
    <w:rsid w:val="000F1A1A"/>
    <w:rsid w:val="000F1CCD"/>
    <w:rsid w:val="000F2029"/>
    <w:rsid w:val="000F2267"/>
    <w:rsid w:val="000F2611"/>
    <w:rsid w:val="000F2EAA"/>
    <w:rsid w:val="000F3085"/>
    <w:rsid w:val="000F3CF5"/>
    <w:rsid w:val="000F3E4F"/>
    <w:rsid w:val="000F4369"/>
    <w:rsid w:val="000F4651"/>
    <w:rsid w:val="000F4ACC"/>
    <w:rsid w:val="000F4C6B"/>
    <w:rsid w:val="000F4E4A"/>
    <w:rsid w:val="000F4F4E"/>
    <w:rsid w:val="000F525A"/>
    <w:rsid w:val="000F5649"/>
    <w:rsid w:val="000F56A8"/>
    <w:rsid w:val="000F5CC5"/>
    <w:rsid w:val="000F62D6"/>
    <w:rsid w:val="000F6AC3"/>
    <w:rsid w:val="000F6BD4"/>
    <w:rsid w:val="000F6C18"/>
    <w:rsid w:val="000F6D35"/>
    <w:rsid w:val="000F7218"/>
    <w:rsid w:val="000F7C0B"/>
    <w:rsid w:val="000F7D42"/>
    <w:rsid w:val="000F7F7D"/>
    <w:rsid w:val="00100163"/>
    <w:rsid w:val="0010030B"/>
    <w:rsid w:val="001008A4"/>
    <w:rsid w:val="00100D4B"/>
    <w:rsid w:val="00101E3D"/>
    <w:rsid w:val="0010209C"/>
    <w:rsid w:val="00102122"/>
    <w:rsid w:val="00102288"/>
    <w:rsid w:val="0010280E"/>
    <w:rsid w:val="00102C99"/>
    <w:rsid w:val="00102E4A"/>
    <w:rsid w:val="00103D07"/>
    <w:rsid w:val="00103D8E"/>
    <w:rsid w:val="00103DB0"/>
    <w:rsid w:val="00103EC5"/>
    <w:rsid w:val="001043E5"/>
    <w:rsid w:val="00105111"/>
    <w:rsid w:val="00105409"/>
    <w:rsid w:val="00105490"/>
    <w:rsid w:val="00105550"/>
    <w:rsid w:val="00105BB5"/>
    <w:rsid w:val="0010627C"/>
    <w:rsid w:val="001063BE"/>
    <w:rsid w:val="001064CD"/>
    <w:rsid w:val="00107061"/>
    <w:rsid w:val="00107E37"/>
    <w:rsid w:val="00107E45"/>
    <w:rsid w:val="001106D5"/>
    <w:rsid w:val="0011073B"/>
    <w:rsid w:val="00110BDC"/>
    <w:rsid w:val="00110CDA"/>
    <w:rsid w:val="00110EAB"/>
    <w:rsid w:val="001117C0"/>
    <w:rsid w:val="00111EB9"/>
    <w:rsid w:val="00111F81"/>
    <w:rsid w:val="0011203E"/>
    <w:rsid w:val="001123BE"/>
    <w:rsid w:val="00113043"/>
    <w:rsid w:val="00113114"/>
    <w:rsid w:val="001131F3"/>
    <w:rsid w:val="001133AC"/>
    <w:rsid w:val="00113B31"/>
    <w:rsid w:val="00113D99"/>
    <w:rsid w:val="0011410B"/>
    <w:rsid w:val="0011410C"/>
    <w:rsid w:val="00114C10"/>
    <w:rsid w:val="00114E7F"/>
    <w:rsid w:val="00115C58"/>
    <w:rsid w:val="00115DFD"/>
    <w:rsid w:val="00116266"/>
    <w:rsid w:val="00117E0E"/>
    <w:rsid w:val="00117F8D"/>
    <w:rsid w:val="00117FB3"/>
    <w:rsid w:val="001200FB"/>
    <w:rsid w:val="00120644"/>
    <w:rsid w:val="00120ECF"/>
    <w:rsid w:val="001213AF"/>
    <w:rsid w:val="00121B28"/>
    <w:rsid w:val="0012217B"/>
    <w:rsid w:val="001222C1"/>
    <w:rsid w:val="001228B3"/>
    <w:rsid w:val="00122FCD"/>
    <w:rsid w:val="0012328E"/>
    <w:rsid w:val="00123BCA"/>
    <w:rsid w:val="00123DDD"/>
    <w:rsid w:val="001243E4"/>
    <w:rsid w:val="001245C9"/>
    <w:rsid w:val="0012478B"/>
    <w:rsid w:val="001248F2"/>
    <w:rsid w:val="00124EBC"/>
    <w:rsid w:val="00124F6E"/>
    <w:rsid w:val="001253B4"/>
    <w:rsid w:val="00125D2F"/>
    <w:rsid w:val="00125D4C"/>
    <w:rsid w:val="00125DAD"/>
    <w:rsid w:val="00125F19"/>
    <w:rsid w:val="00126031"/>
    <w:rsid w:val="00126053"/>
    <w:rsid w:val="00126797"/>
    <w:rsid w:val="00126915"/>
    <w:rsid w:val="00126C65"/>
    <w:rsid w:val="00126D53"/>
    <w:rsid w:val="0012710D"/>
    <w:rsid w:val="001271A9"/>
    <w:rsid w:val="001301BA"/>
    <w:rsid w:val="0013051F"/>
    <w:rsid w:val="00130AD5"/>
    <w:rsid w:val="00131031"/>
    <w:rsid w:val="001314FF"/>
    <w:rsid w:val="00131C6D"/>
    <w:rsid w:val="00131E6D"/>
    <w:rsid w:val="00132004"/>
    <w:rsid w:val="00132771"/>
    <w:rsid w:val="00132773"/>
    <w:rsid w:val="00132A6B"/>
    <w:rsid w:val="001337D0"/>
    <w:rsid w:val="00134104"/>
    <w:rsid w:val="001344A3"/>
    <w:rsid w:val="001344D9"/>
    <w:rsid w:val="001345C0"/>
    <w:rsid w:val="00134890"/>
    <w:rsid w:val="0013541A"/>
    <w:rsid w:val="001355C2"/>
    <w:rsid w:val="00135BF8"/>
    <w:rsid w:val="00135F83"/>
    <w:rsid w:val="0013630C"/>
    <w:rsid w:val="0013642E"/>
    <w:rsid w:val="0013646C"/>
    <w:rsid w:val="00136860"/>
    <w:rsid w:val="00136C66"/>
    <w:rsid w:val="00137570"/>
    <w:rsid w:val="00137C28"/>
    <w:rsid w:val="00140A4E"/>
    <w:rsid w:val="00140B7C"/>
    <w:rsid w:val="00141024"/>
    <w:rsid w:val="00141089"/>
    <w:rsid w:val="001416C7"/>
    <w:rsid w:val="001419F4"/>
    <w:rsid w:val="00141A5A"/>
    <w:rsid w:val="0014205D"/>
    <w:rsid w:val="001427B3"/>
    <w:rsid w:val="00142803"/>
    <w:rsid w:val="00142DF1"/>
    <w:rsid w:val="001439DD"/>
    <w:rsid w:val="00143A5A"/>
    <w:rsid w:val="0014450F"/>
    <w:rsid w:val="0014457B"/>
    <w:rsid w:val="0014492F"/>
    <w:rsid w:val="00144BC0"/>
    <w:rsid w:val="00144F68"/>
    <w:rsid w:val="00145699"/>
    <w:rsid w:val="00145ADE"/>
    <w:rsid w:val="00145CB5"/>
    <w:rsid w:val="00145F3A"/>
    <w:rsid w:val="001461B0"/>
    <w:rsid w:val="00146C5D"/>
    <w:rsid w:val="001470ED"/>
    <w:rsid w:val="00147E07"/>
    <w:rsid w:val="001508A7"/>
    <w:rsid w:val="00151204"/>
    <w:rsid w:val="00151386"/>
    <w:rsid w:val="00151564"/>
    <w:rsid w:val="00151EDD"/>
    <w:rsid w:val="001521EA"/>
    <w:rsid w:val="001526D0"/>
    <w:rsid w:val="00152AE5"/>
    <w:rsid w:val="00152C5E"/>
    <w:rsid w:val="00153A58"/>
    <w:rsid w:val="00153C37"/>
    <w:rsid w:val="00153E99"/>
    <w:rsid w:val="001549CF"/>
    <w:rsid w:val="00154B26"/>
    <w:rsid w:val="00154ED3"/>
    <w:rsid w:val="00155302"/>
    <w:rsid w:val="001559B8"/>
    <w:rsid w:val="001560B0"/>
    <w:rsid w:val="001560E5"/>
    <w:rsid w:val="001564CC"/>
    <w:rsid w:val="00156624"/>
    <w:rsid w:val="00157069"/>
    <w:rsid w:val="00157B31"/>
    <w:rsid w:val="0016030A"/>
    <w:rsid w:val="00160552"/>
    <w:rsid w:val="00160E5D"/>
    <w:rsid w:val="00161544"/>
    <w:rsid w:val="001618D2"/>
    <w:rsid w:val="00161BC3"/>
    <w:rsid w:val="00161EE8"/>
    <w:rsid w:val="00162322"/>
    <w:rsid w:val="00162933"/>
    <w:rsid w:val="00162AD4"/>
    <w:rsid w:val="00162FB1"/>
    <w:rsid w:val="001630C6"/>
    <w:rsid w:val="001630CD"/>
    <w:rsid w:val="0016315D"/>
    <w:rsid w:val="00163A33"/>
    <w:rsid w:val="00164218"/>
    <w:rsid w:val="001644C3"/>
    <w:rsid w:val="001645C4"/>
    <w:rsid w:val="001645CA"/>
    <w:rsid w:val="001649AE"/>
    <w:rsid w:val="00165174"/>
    <w:rsid w:val="00166A14"/>
    <w:rsid w:val="00167182"/>
    <w:rsid w:val="0016762C"/>
    <w:rsid w:val="001703EE"/>
    <w:rsid w:val="001706FF"/>
    <w:rsid w:val="00170C97"/>
    <w:rsid w:val="00170DF2"/>
    <w:rsid w:val="0017114C"/>
    <w:rsid w:val="001713EB"/>
    <w:rsid w:val="001716BA"/>
    <w:rsid w:val="00171900"/>
    <w:rsid w:val="0017199C"/>
    <w:rsid w:val="0017199E"/>
    <w:rsid w:val="00171BA6"/>
    <w:rsid w:val="00171E0A"/>
    <w:rsid w:val="00171E73"/>
    <w:rsid w:val="0017208C"/>
    <w:rsid w:val="001721A5"/>
    <w:rsid w:val="0017276F"/>
    <w:rsid w:val="0017300F"/>
    <w:rsid w:val="001734E0"/>
    <w:rsid w:val="001736C0"/>
    <w:rsid w:val="00173CF9"/>
    <w:rsid w:val="00174171"/>
    <w:rsid w:val="00174CA8"/>
    <w:rsid w:val="00175C44"/>
    <w:rsid w:val="00175F24"/>
    <w:rsid w:val="00176469"/>
    <w:rsid w:val="00176900"/>
    <w:rsid w:val="00176B64"/>
    <w:rsid w:val="00177413"/>
    <w:rsid w:val="001776E5"/>
    <w:rsid w:val="00177E6C"/>
    <w:rsid w:val="00177FA7"/>
    <w:rsid w:val="001806C3"/>
    <w:rsid w:val="00180ECF"/>
    <w:rsid w:val="0018119F"/>
    <w:rsid w:val="00181617"/>
    <w:rsid w:val="00181755"/>
    <w:rsid w:val="00181AEA"/>
    <w:rsid w:val="00181B79"/>
    <w:rsid w:val="00182615"/>
    <w:rsid w:val="00182CBC"/>
    <w:rsid w:val="00183032"/>
    <w:rsid w:val="001835A0"/>
    <w:rsid w:val="0018370B"/>
    <w:rsid w:val="00183715"/>
    <w:rsid w:val="00183A12"/>
    <w:rsid w:val="00183B94"/>
    <w:rsid w:val="00183F68"/>
    <w:rsid w:val="00184D2E"/>
    <w:rsid w:val="001855F6"/>
    <w:rsid w:val="00185AB1"/>
    <w:rsid w:val="00185D70"/>
    <w:rsid w:val="00185F48"/>
    <w:rsid w:val="00186061"/>
    <w:rsid w:val="001860EA"/>
    <w:rsid w:val="00187294"/>
    <w:rsid w:val="0018762C"/>
    <w:rsid w:val="0018799E"/>
    <w:rsid w:val="00187B32"/>
    <w:rsid w:val="00187B9E"/>
    <w:rsid w:val="00187C8E"/>
    <w:rsid w:val="00190262"/>
    <w:rsid w:val="00190855"/>
    <w:rsid w:val="00190C02"/>
    <w:rsid w:val="001911AB"/>
    <w:rsid w:val="0019142A"/>
    <w:rsid w:val="001915DC"/>
    <w:rsid w:val="001917A4"/>
    <w:rsid w:val="001917E2"/>
    <w:rsid w:val="00191AF5"/>
    <w:rsid w:val="00191FCF"/>
    <w:rsid w:val="001922D8"/>
    <w:rsid w:val="00192C26"/>
    <w:rsid w:val="001934E8"/>
    <w:rsid w:val="001935BB"/>
    <w:rsid w:val="00193799"/>
    <w:rsid w:val="0019408B"/>
    <w:rsid w:val="001941A8"/>
    <w:rsid w:val="001941FD"/>
    <w:rsid w:val="001945CB"/>
    <w:rsid w:val="00194824"/>
    <w:rsid w:val="0019494F"/>
    <w:rsid w:val="00195108"/>
    <w:rsid w:val="00195E96"/>
    <w:rsid w:val="001962B8"/>
    <w:rsid w:val="001962E4"/>
    <w:rsid w:val="001967D0"/>
    <w:rsid w:val="00196E67"/>
    <w:rsid w:val="00197162"/>
    <w:rsid w:val="001A0717"/>
    <w:rsid w:val="001A09B6"/>
    <w:rsid w:val="001A0EDC"/>
    <w:rsid w:val="001A12A5"/>
    <w:rsid w:val="001A1502"/>
    <w:rsid w:val="001A1569"/>
    <w:rsid w:val="001A172A"/>
    <w:rsid w:val="001A17E7"/>
    <w:rsid w:val="001A187D"/>
    <w:rsid w:val="001A18C1"/>
    <w:rsid w:val="001A1AE4"/>
    <w:rsid w:val="001A1C36"/>
    <w:rsid w:val="001A2051"/>
    <w:rsid w:val="001A20F1"/>
    <w:rsid w:val="001A2154"/>
    <w:rsid w:val="001A233A"/>
    <w:rsid w:val="001A23FA"/>
    <w:rsid w:val="001A2507"/>
    <w:rsid w:val="001A2590"/>
    <w:rsid w:val="001A29AB"/>
    <w:rsid w:val="001A3060"/>
    <w:rsid w:val="001A3646"/>
    <w:rsid w:val="001A3778"/>
    <w:rsid w:val="001A3FA2"/>
    <w:rsid w:val="001A45DB"/>
    <w:rsid w:val="001A4914"/>
    <w:rsid w:val="001A4C4A"/>
    <w:rsid w:val="001A4F7A"/>
    <w:rsid w:val="001A53B8"/>
    <w:rsid w:val="001A55A7"/>
    <w:rsid w:val="001A584A"/>
    <w:rsid w:val="001A5FDB"/>
    <w:rsid w:val="001A602C"/>
    <w:rsid w:val="001A61B4"/>
    <w:rsid w:val="001A61D3"/>
    <w:rsid w:val="001A6B02"/>
    <w:rsid w:val="001A74FA"/>
    <w:rsid w:val="001A765D"/>
    <w:rsid w:val="001A78F0"/>
    <w:rsid w:val="001A7C70"/>
    <w:rsid w:val="001B046C"/>
    <w:rsid w:val="001B087B"/>
    <w:rsid w:val="001B0D6C"/>
    <w:rsid w:val="001B0EE9"/>
    <w:rsid w:val="001B100F"/>
    <w:rsid w:val="001B12CA"/>
    <w:rsid w:val="001B141B"/>
    <w:rsid w:val="001B14D4"/>
    <w:rsid w:val="001B14D6"/>
    <w:rsid w:val="001B167F"/>
    <w:rsid w:val="001B182A"/>
    <w:rsid w:val="001B1832"/>
    <w:rsid w:val="001B18A6"/>
    <w:rsid w:val="001B24A7"/>
    <w:rsid w:val="001B2830"/>
    <w:rsid w:val="001B29F1"/>
    <w:rsid w:val="001B32E7"/>
    <w:rsid w:val="001B339F"/>
    <w:rsid w:val="001B34A9"/>
    <w:rsid w:val="001B36A8"/>
    <w:rsid w:val="001B3A7A"/>
    <w:rsid w:val="001B3B0B"/>
    <w:rsid w:val="001B405E"/>
    <w:rsid w:val="001B40C6"/>
    <w:rsid w:val="001B4403"/>
    <w:rsid w:val="001B4723"/>
    <w:rsid w:val="001B4C95"/>
    <w:rsid w:val="001B4E2E"/>
    <w:rsid w:val="001B5895"/>
    <w:rsid w:val="001B675B"/>
    <w:rsid w:val="001B6B03"/>
    <w:rsid w:val="001B6F4E"/>
    <w:rsid w:val="001B71D3"/>
    <w:rsid w:val="001B744F"/>
    <w:rsid w:val="001B788C"/>
    <w:rsid w:val="001C01D3"/>
    <w:rsid w:val="001C04F3"/>
    <w:rsid w:val="001C0705"/>
    <w:rsid w:val="001C0A6C"/>
    <w:rsid w:val="001C0C26"/>
    <w:rsid w:val="001C1360"/>
    <w:rsid w:val="001C1680"/>
    <w:rsid w:val="001C1DD9"/>
    <w:rsid w:val="001C1FE5"/>
    <w:rsid w:val="001C1FF3"/>
    <w:rsid w:val="001C202E"/>
    <w:rsid w:val="001C25B8"/>
    <w:rsid w:val="001C291D"/>
    <w:rsid w:val="001C2E45"/>
    <w:rsid w:val="001C31E4"/>
    <w:rsid w:val="001C3A89"/>
    <w:rsid w:val="001C3EBD"/>
    <w:rsid w:val="001C3FFF"/>
    <w:rsid w:val="001C4DC8"/>
    <w:rsid w:val="001C57A1"/>
    <w:rsid w:val="001C5835"/>
    <w:rsid w:val="001C58B2"/>
    <w:rsid w:val="001C59A0"/>
    <w:rsid w:val="001C59CF"/>
    <w:rsid w:val="001C62C5"/>
    <w:rsid w:val="001C6533"/>
    <w:rsid w:val="001C654E"/>
    <w:rsid w:val="001C6BA4"/>
    <w:rsid w:val="001C6F4D"/>
    <w:rsid w:val="001C6FC4"/>
    <w:rsid w:val="001C7482"/>
    <w:rsid w:val="001C758C"/>
    <w:rsid w:val="001C7632"/>
    <w:rsid w:val="001C76DA"/>
    <w:rsid w:val="001C7E29"/>
    <w:rsid w:val="001D0846"/>
    <w:rsid w:val="001D085B"/>
    <w:rsid w:val="001D0ECE"/>
    <w:rsid w:val="001D115A"/>
    <w:rsid w:val="001D22DF"/>
    <w:rsid w:val="001D27CD"/>
    <w:rsid w:val="001D3487"/>
    <w:rsid w:val="001D36AC"/>
    <w:rsid w:val="001D3D74"/>
    <w:rsid w:val="001D3ECE"/>
    <w:rsid w:val="001D44D0"/>
    <w:rsid w:val="001D4550"/>
    <w:rsid w:val="001D4A21"/>
    <w:rsid w:val="001D4C5E"/>
    <w:rsid w:val="001D51FC"/>
    <w:rsid w:val="001D5F64"/>
    <w:rsid w:val="001D6161"/>
    <w:rsid w:val="001D6485"/>
    <w:rsid w:val="001D6813"/>
    <w:rsid w:val="001D68F3"/>
    <w:rsid w:val="001D710F"/>
    <w:rsid w:val="001D770D"/>
    <w:rsid w:val="001D78C1"/>
    <w:rsid w:val="001D7926"/>
    <w:rsid w:val="001D7AF6"/>
    <w:rsid w:val="001E0265"/>
    <w:rsid w:val="001E0430"/>
    <w:rsid w:val="001E0EE5"/>
    <w:rsid w:val="001E123D"/>
    <w:rsid w:val="001E15A2"/>
    <w:rsid w:val="001E17C1"/>
    <w:rsid w:val="001E188A"/>
    <w:rsid w:val="001E1B0B"/>
    <w:rsid w:val="001E1F4E"/>
    <w:rsid w:val="001E3078"/>
    <w:rsid w:val="001E352E"/>
    <w:rsid w:val="001E3559"/>
    <w:rsid w:val="001E3A1F"/>
    <w:rsid w:val="001E3D60"/>
    <w:rsid w:val="001E437F"/>
    <w:rsid w:val="001E46BE"/>
    <w:rsid w:val="001E498B"/>
    <w:rsid w:val="001E4A8B"/>
    <w:rsid w:val="001E4C88"/>
    <w:rsid w:val="001E4D8C"/>
    <w:rsid w:val="001E4E5B"/>
    <w:rsid w:val="001E65DF"/>
    <w:rsid w:val="001E689E"/>
    <w:rsid w:val="001E6D70"/>
    <w:rsid w:val="001E6FD6"/>
    <w:rsid w:val="001E708C"/>
    <w:rsid w:val="001E736D"/>
    <w:rsid w:val="001E751A"/>
    <w:rsid w:val="001E7792"/>
    <w:rsid w:val="001E7854"/>
    <w:rsid w:val="001E7AD3"/>
    <w:rsid w:val="001E7B6D"/>
    <w:rsid w:val="001E7F72"/>
    <w:rsid w:val="001F0081"/>
    <w:rsid w:val="001F053F"/>
    <w:rsid w:val="001F094D"/>
    <w:rsid w:val="001F1013"/>
    <w:rsid w:val="001F1244"/>
    <w:rsid w:val="001F1578"/>
    <w:rsid w:val="001F164F"/>
    <w:rsid w:val="001F1800"/>
    <w:rsid w:val="001F18A3"/>
    <w:rsid w:val="001F1E2C"/>
    <w:rsid w:val="001F2AF1"/>
    <w:rsid w:val="001F2D44"/>
    <w:rsid w:val="001F3289"/>
    <w:rsid w:val="001F37E8"/>
    <w:rsid w:val="001F47AE"/>
    <w:rsid w:val="001F47FE"/>
    <w:rsid w:val="001F4C9E"/>
    <w:rsid w:val="001F53D1"/>
    <w:rsid w:val="001F5529"/>
    <w:rsid w:val="001F5B47"/>
    <w:rsid w:val="001F689C"/>
    <w:rsid w:val="001F6BD4"/>
    <w:rsid w:val="001F6C65"/>
    <w:rsid w:val="001F6D98"/>
    <w:rsid w:val="001F72F2"/>
    <w:rsid w:val="001F7302"/>
    <w:rsid w:val="001F753B"/>
    <w:rsid w:val="001F7BF0"/>
    <w:rsid w:val="002001F7"/>
    <w:rsid w:val="0020086B"/>
    <w:rsid w:val="00200ED6"/>
    <w:rsid w:val="0020121F"/>
    <w:rsid w:val="00201A5E"/>
    <w:rsid w:val="00201B45"/>
    <w:rsid w:val="00201F0D"/>
    <w:rsid w:val="00201F5E"/>
    <w:rsid w:val="002024D5"/>
    <w:rsid w:val="002026FF"/>
    <w:rsid w:val="00203167"/>
    <w:rsid w:val="002032D3"/>
    <w:rsid w:val="0020364C"/>
    <w:rsid w:val="0020486C"/>
    <w:rsid w:val="00205638"/>
    <w:rsid w:val="0020582A"/>
    <w:rsid w:val="00205BE0"/>
    <w:rsid w:val="00206601"/>
    <w:rsid w:val="002067AF"/>
    <w:rsid w:val="00206BDC"/>
    <w:rsid w:val="00206F24"/>
    <w:rsid w:val="00207967"/>
    <w:rsid w:val="00207E0A"/>
    <w:rsid w:val="002101EB"/>
    <w:rsid w:val="00210810"/>
    <w:rsid w:val="00211704"/>
    <w:rsid w:val="00211AAD"/>
    <w:rsid w:val="00211D94"/>
    <w:rsid w:val="00211EA5"/>
    <w:rsid w:val="00212544"/>
    <w:rsid w:val="00212AFB"/>
    <w:rsid w:val="00212ECA"/>
    <w:rsid w:val="002137AD"/>
    <w:rsid w:val="00213855"/>
    <w:rsid w:val="00213A95"/>
    <w:rsid w:val="00214097"/>
    <w:rsid w:val="00214B9D"/>
    <w:rsid w:val="00214C40"/>
    <w:rsid w:val="00214DB0"/>
    <w:rsid w:val="00214E2C"/>
    <w:rsid w:val="00215419"/>
    <w:rsid w:val="002158CD"/>
    <w:rsid w:val="00215C55"/>
    <w:rsid w:val="002163EC"/>
    <w:rsid w:val="0021674B"/>
    <w:rsid w:val="0021687B"/>
    <w:rsid w:val="00216A7D"/>
    <w:rsid w:val="00216B73"/>
    <w:rsid w:val="00217220"/>
    <w:rsid w:val="00217221"/>
    <w:rsid w:val="00217797"/>
    <w:rsid w:val="00217FE8"/>
    <w:rsid w:val="00220028"/>
    <w:rsid w:val="00220EAA"/>
    <w:rsid w:val="002212E2"/>
    <w:rsid w:val="00221306"/>
    <w:rsid w:val="00221388"/>
    <w:rsid w:val="002217A5"/>
    <w:rsid w:val="00221A0B"/>
    <w:rsid w:val="00222388"/>
    <w:rsid w:val="002226DE"/>
    <w:rsid w:val="00222775"/>
    <w:rsid w:val="002227F5"/>
    <w:rsid w:val="00222CFC"/>
    <w:rsid w:val="0022303D"/>
    <w:rsid w:val="00223DE9"/>
    <w:rsid w:val="00223EE7"/>
    <w:rsid w:val="00223F92"/>
    <w:rsid w:val="00224294"/>
    <w:rsid w:val="00224629"/>
    <w:rsid w:val="00224998"/>
    <w:rsid w:val="0022542A"/>
    <w:rsid w:val="00225A6F"/>
    <w:rsid w:val="00225C28"/>
    <w:rsid w:val="00226367"/>
    <w:rsid w:val="00226453"/>
    <w:rsid w:val="00226E3B"/>
    <w:rsid w:val="002271F1"/>
    <w:rsid w:val="002278F5"/>
    <w:rsid w:val="00227F37"/>
    <w:rsid w:val="00230401"/>
    <w:rsid w:val="002304BB"/>
    <w:rsid w:val="0023076F"/>
    <w:rsid w:val="0023096B"/>
    <w:rsid w:val="00230A59"/>
    <w:rsid w:val="00231168"/>
    <w:rsid w:val="00231ED3"/>
    <w:rsid w:val="0023208C"/>
    <w:rsid w:val="00232199"/>
    <w:rsid w:val="002321F0"/>
    <w:rsid w:val="002321FE"/>
    <w:rsid w:val="0023271E"/>
    <w:rsid w:val="00232DAD"/>
    <w:rsid w:val="00232F61"/>
    <w:rsid w:val="00233028"/>
    <w:rsid w:val="002331F6"/>
    <w:rsid w:val="0023326F"/>
    <w:rsid w:val="00233856"/>
    <w:rsid w:val="00233B3D"/>
    <w:rsid w:val="00233DC0"/>
    <w:rsid w:val="00234004"/>
    <w:rsid w:val="0023433A"/>
    <w:rsid w:val="002343EF"/>
    <w:rsid w:val="002345EE"/>
    <w:rsid w:val="0023470E"/>
    <w:rsid w:val="0023486C"/>
    <w:rsid w:val="00234DEC"/>
    <w:rsid w:val="00235156"/>
    <w:rsid w:val="00235891"/>
    <w:rsid w:val="00235C0C"/>
    <w:rsid w:val="00235CDD"/>
    <w:rsid w:val="00235F84"/>
    <w:rsid w:val="002369F8"/>
    <w:rsid w:val="00236C0B"/>
    <w:rsid w:val="00236DFA"/>
    <w:rsid w:val="00237243"/>
    <w:rsid w:val="00237263"/>
    <w:rsid w:val="00237827"/>
    <w:rsid w:val="002401C4"/>
    <w:rsid w:val="0024056B"/>
    <w:rsid w:val="00240CA2"/>
    <w:rsid w:val="00240EF7"/>
    <w:rsid w:val="00240F3F"/>
    <w:rsid w:val="002412D1"/>
    <w:rsid w:val="002413ED"/>
    <w:rsid w:val="002414D1"/>
    <w:rsid w:val="00241982"/>
    <w:rsid w:val="00241EA6"/>
    <w:rsid w:val="0024252A"/>
    <w:rsid w:val="002425F2"/>
    <w:rsid w:val="0024264F"/>
    <w:rsid w:val="00242A9A"/>
    <w:rsid w:val="00242BDE"/>
    <w:rsid w:val="00242F2B"/>
    <w:rsid w:val="00242F79"/>
    <w:rsid w:val="00242FC9"/>
    <w:rsid w:val="002432EC"/>
    <w:rsid w:val="002434E7"/>
    <w:rsid w:val="00243588"/>
    <w:rsid w:val="00243D00"/>
    <w:rsid w:val="002452C2"/>
    <w:rsid w:val="00245CAB"/>
    <w:rsid w:val="002460F4"/>
    <w:rsid w:val="00247063"/>
    <w:rsid w:val="0024774E"/>
    <w:rsid w:val="0025017C"/>
    <w:rsid w:val="00250466"/>
    <w:rsid w:val="00250560"/>
    <w:rsid w:val="0025130A"/>
    <w:rsid w:val="002513BE"/>
    <w:rsid w:val="00251A5D"/>
    <w:rsid w:val="00251B5B"/>
    <w:rsid w:val="00251D3C"/>
    <w:rsid w:val="00252042"/>
    <w:rsid w:val="0025210B"/>
    <w:rsid w:val="00252601"/>
    <w:rsid w:val="002529D2"/>
    <w:rsid w:val="00252C31"/>
    <w:rsid w:val="002533BB"/>
    <w:rsid w:val="00253514"/>
    <w:rsid w:val="00253D82"/>
    <w:rsid w:val="00253E91"/>
    <w:rsid w:val="00254071"/>
    <w:rsid w:val="00254A3B"/>
    <w:rsid w:val="00254DE3"/>
    <w:rsid w:val="002551D5"/>
    <w:rsid w:val="00256493"/>
    <w:rsid w:val="002566D0"/>
    <w:rsid w:val="00256795"/>
    <w:rsid w:val="00256D53"/>
    <w:rsid w:val="00256FDC"/>
    <w:rsid w:val="0025719D"/>
    <w:rsid w:val="0025722D"/>
    <w:rsid w:val="00257653"/>
    <w:rsid w:val="00257719"/>
    <w:rsid w:val="00260512"/>
    <w:rsid w:val="00260537"/>
    <w:rsid w:val="00260DFE"/>
    <w:rsid w:val="0026110B"/>
    <w:rsid w:val="00261517"/>
    <w:rsid w:val="00261B12"/>
    <w:rsid w:val="00262345"/>
    <w:rsid w:val="00262665"/>
    <w:rsid w:val="00262BA4"/>
    <w:rsid w:val="0026312E"/>
    <w:rsid w:val="00263897"/>
    <w:rsid w:val="00263B13"/>
    <w:rsid w:val="00263B40"/>
    <w:rsid w:val="00263E68"/>
    <w:rsid w:val="00263F7B"/>
    <w:rsid w:val="0026406D"/>
    <w:rsid w:val="002644CB"/>
    <w:rsid w:val="0026490D"/>
    <w:rsid w:val="00264EDC"/>
    <w:rsid w:val="00265628"/>
    <w:rsid w:val="00265949"/>
    <w:rsid w:val="00265A99"/>
    <w:rsid w:val="00265B2B"/>
    <w:rsid w:val="00265D48"/>
    <w:rsid w:val="00266550"/>
    <w:rsid w:val="0026748D"/>
    <w:rsid w:val="00267649"/>
    <w:rsid w:val="00267BEA"/>
    <w:rsid w:val="00270399"/>
    <w:rsid w:val="0027039F"/>
    <w:rsid w:val="002707B5"/>
    <w:rsid w:val="00270954"/>
    <w:rsid w:val="00270B69"/>
    <w:rsid w:val="00270C0F"/>
    <w:rsid w:val="002710B7"/>
    <w:rsid w:val="0027138C"/>
    <w:rsid w:val="0027159B"/>
    <w:rsid w:val="00271888"/>
    <w:rsid w:val="00271A19"/>
    <w:rsid w:val="00271BB9"/>
    <w:rsid w:val="00271EF6"/>
    <w:rsid w:val="00271FE3"/>
    <w:rsid w:val="002720D1"/>
    <w:rsid w:val="00272234"/>
    <w:rsid w:val="002728FC"/>
    <w:rsid w:val="00272983"/>
    <w:rsid w:val="00273037"/>
    <w:rsid w:val="0027316D"/>
    <w:rsid w:val="00273E50"/>
    <w:rsid w:val="00273F61"/>
    <w:rsid w:val="002748E9"/>
    <w:rsid w:val="00274CF3"/>
    <w:rsid w:val="00275093"/>
    <w:rsid w:val="0027575A"/>
    <w:rsid w:val="00275F67"/>
    <w:rsid w:val="0027611D"/>
    <w:rsid w:val="00276787"/>
    <w:rsid w:val="00276821"/>
    <w:rsid w:val="0027683B"/>
    <w:rsid w:val="00276921"/>
    <w:rsid w:val="00276AF8"/>
    <w:rsid w:val="00277115"/>
    <w:rsid w:val="00277242"/>
    <w:rsid w:val="00277A03"/>
    <w:rsid w:val="0028034B"/>
    <w:rsid w:val="00280437"/>
    <w:rsid w:val="00280A09"/>
    <w:rsid w:val="00280EDF"/>
    <w:rsid w:val="002812FE"/>
    <w:rsid w:val="00281995"/>
    <w:rsid w:val="00281B8D"/>
    <w:rsid w:val="00281DEF"/>
    <w:rsid w:val="00282144"/>
    <w:rsid w:val="002838FF"/>
    <w:rsid w:val="00283901"/>
    <w:rsid w:val="002840F1"/>
    <w:rsid w:val="002843C1"/>
    <w:rsid w:val="0028466F"/>
    <w:rsid w:val="002847D8"/>
    <w:rsid w:val="00284920"/>
    <w:rsid w:val="00284E49"/>
    <w:rsid w:val="0028526B"/>
    <w:rsid w:val="00285A22"/>
    <w:rsid w:val="00286E6F"/>
    <w:rsid w:val="002870E7"/>
    <w:rsid w:val="00287104"/>
    <w:rsid w:val="0028720F"/>
    <w:rsid w:val="0028771D"/>
    <w:rsid w:val="002877AC"/>
    <w:rsid w:val="00290228"/>
    <w:rsid w:val="00290247"/>
    <w:rsid w:val="00290718"/>
    <w:rsid w:val="00290A2B"/>
    <w:rsid w:val="0029106D"/>
    <w:rsid w:val="00291602"/>
    <w:rsid w:val="00291B1D"/>
    <w:rsid w:val="00291E50"/>
    <w:rsid w:val="00291E76"/>
    <w:rsid w:val="0029219C"/>
    <w:rsid w:val="00292721"/>
    <w:rsid w:val="002927F1"/>
    <w:rsid w:val="002928DC"/>
    <w:rsid w:val="00293443"/>
    <w:rsid w:val="00293532"/>
    <w:rsid w:val="00293A02"/>
    <w:rsid w:val="00293B99"/>
    <w:rsid w:val="0029430D"/>
    <w:rsid w:val="0029470E"/>
    <w:rsid w:val="00294887"/>
    <w:rsid w:val="002948AA"/>
    <w:rsid w:val="002955F4"/>
    <w:rsid w:val="00295CFB"/>
    <w:rsid w:val="00296179"/>
    <w:rsid w:val="002962AF"/>
    <w:rsid w:val="0029646A"/>
    <w:rsid w:val="00296553"/>
    <w:rsid w:val="0029690C"/>
    <w:rsid w:val="0029721E"/>
    <w:rsid w:val="0029726D"/>
    <w:rsid w:val="00297347"/>
    <w:rsid w:val="0029761A"/>
    <w:rsid w:val="00297774"/>
    <w:rsid w:val="002977AF"/>
    <w:rsid w:val="0029791D"/>
    <w:rsid w:val="00297ED2"/>
    <w:rsid w:val="002A0584"/>
    <w:rsid w:val="002A0B62"/>
    <w:rsid w:val="002A0C6D"/>
    <w:rsid w:val="002A0F92"/>
    <w:rsid w:val="002A1609"/>
    <w:rsid w:val="002A1F8F"/>
    <w:rsid w:val="002A20D5"/>
    <w:rsid w:val="002A255A"/>
    <w:rsid w:val="002A27BD"/>
    <w:rsid w:val="002A29B8"/>
    <w:rsid w:val="002A2A6B"/>
    <w:rsid w:val="002A3681"/>
    <w:rsid w:val="002A38AB"/>
    <w:rsid w:val="002A478B"/>
    <w:rsid w:val="002A47F8"/>
    <w:rsid w:val="002A4854"/>
    <w:rsid w:val="002A4884"/>
    <w:rsid w:val="002A4A93"/>
    <w:rsid w:val="002A4C5E"/>
    <w:rsid w:val="002A4CE7"/>
    <w:rsid w:val="002A4FCC"/>
    <w:rsid w:val="002A5180"/>
    <w:rsid w:val="002A51C0"/>
    <w:rsid w:val="002A55CA"/>
    <w:rsid w:val="002A595A"/>
    <w:rsid w:val="002A61D3"/>
    <w:rsid w:val="002A62BA"/>
    <w:rsid w:val="002A674D"/>
    <w:rsid w:val="002A69A8"/>
    <w:rsid w:val="002A70C4"/>
    <w:rsid w:val="002A7194"/>
    <w:rsid w:val="002A78A8"/>
    <w:rsid w:val="002A7A40"/>
    <w:rsid w:val="002B04FC"/>
    <w:rsid w:val="002B05CC"/>
    <w:rsid w:val="002B1017"/>
    <w:rsid w:val="002B101D"/>
    <w:rsid w:val="002B1AB3"/>
    <w:rsid w:val="002B1D2F"/>
    <w:rsid w:val="002B27C2"/>
    <w:rsid w:val="002B2866"/>
    <w:rsid w:val="002B2B42"/>
    <w:rsid w:val="002B2E66"/>
    <w:rsid w:val="002B2EC4"/>
    <w:rsid w:val="002B2F97"/>
    <w:rsid w:val="002B34B1"/>
    <w:rsid w:val="002B36A4"/>
    <w:rsid w:val="002B386F"/>
    <w:rsid w:val="002B3A6E"/>
    <w:rsid w:val="002B41C6"/>
    <w:rsid w:val="002B443C"/>
    <w:rsid w:val="002B4891"/>
    <w:rsid w:val="002B4BE9"/>
    <w:rsid w:val="002B4D1C"/>
    <w:rsid w:val="002B4FAA"/>
    <w:rsid w:val="002B57C4"/>
    <w:rsid w:val="002B58BA"/>
    <w:rsid w:val="002B596B"/>
    <w:rsid w:val="002B5CC5"/>
    <w:rsid w:val="002B5FD2"/>
    <w:rsid w:val="002B6246"/>
    <w:rsid w:val="002B65DF"/>
    <w:rsid w:val="002B667F"/>
    <w:rsid w:val="002B68BB"/>
    <w:rsid w:val="002B6B50"/>
    <w:rsid w:val="002B7150"/>
    <w:rsid w:val="002B7E65"/>
    <w:rsid w:val="002B7E6C"/>
    <w:rsid w:val="002C019D"/>
    <w:rsid w:val="002C02DD"/>
    <w:rsid w:val="002C0928"/>
    <w:rsid w:val="002C1014"/>
    <w:rsid w:val="002C1DBB"/>
    <w:rsid w:val="002C1DFA"/>
    <w:rsid w:val="002C1E26"/>
    <w:rsid w:val="002C1E4B"/>
    <w:rsid w:val="002C208C"/>
    <w:rsid w:val="002C254B"/>
    <w:rsid w:val="002C25E2"/>
    <w:rsid w:val="002C28B4"/>
    <w:rsid w:val="002C2CAD"/>
    <w:rsid w:val="002C32DD"/>
    <w:rsid w:val="002C41EC"/>
    <w:rsid w:val="002C45D9"/>
    <w:rsid w:val="002C45FE"/>
    <w:rsid w:val="002C461D"/>
    <w:rsid w:val="002C4798"/>
    <w:rsid w:val="002C4B3E"/>
    <w:rsid w:val="002C4F19"/>
    <w:rsid w:val="002C5362"/>
    <w:rsid w:val="002C542E"/>
    <w:rsid w:val="002C56B4"/>
    <w:rsid w:val="002C5932"/>
    <w:rsid w:val="002C59D7"/>
    <w:rsid w:val="002C6D1A"/>
    <w:rsid w:val="002C6D25"/>
    <w:rsid w:val="002C6D7F"/>
    <w:rsid w:val="002C7975"/>
    <w:rsid w:val="002C79D8"/>
    <w:rsid w:val="002C7DC7"/>
    <w:rsid w:val="002C7F94"/>
    <w:rsid w:val="002D024B"/>
    <w:rsid w:val="002D0576"/>
    <w:rsid w:val="002D1440"/>
    <w:rsid w:val="002D160A"/>
    <w:rsid w:val="002D1AD2"/>
    <w:rsid w:val="002D1B4D"/>
    <w:rsid w:val="002D1E78"/>
    <w:rsid w:val="002D1E99"/>
    <w:rsid w:val="002D24A9"/>
    <w:rsid w:val="002D25E9"/>
    <w:rsid w:val="002D2BAB"/>
    <w:rsid w:val="002D2CC4"/>
    <w:rsid w:val="002D2F2F"/>
    <w:rsid w:val="002D322C"/>
    <w:rsid w:val="002D3658"/>
    <w:rsid w:val="002D392D"/>
    <w:rsid w:val="002D3D1D"/>
    <w:rsid w:val="002D5073"/>
    <w:rsid w:val="002D537C"/>
    <w:rsid w:val="002D5A43"/>
    <w:rsid w:val="002D5F48"/>
    <w:rsid w:val="002D6345"/>
    <w:rsid w:val="002D6496"/>
    <w:rsid w:val="002D65B2"/>
    <w:rsid w:val="002D65D7"/>
    <w:rsid w:val="002D7331"/>
    <w:rsid w:val="002D7595"/>
    <w:rsid w:val="002D78C1"/>
    <w:rsid w:val="002E0C23"/>
    <w:rsid w:val="002E0D62"/>
    <w:rsid w:val="002E0F2F"/>
    <w:rsid w:val="002E1159"/>
    <w:rsid w:val="002E11C8"/>
    <w:rsid w:val="002E1675"/>
    <w:rsid w:val="002E1739"/>
    <w:rsid w:val="002E1772"/>
    <w:rsid w:val="002E17A4"/>
    <w:rsid w:val="002E1A56"/>
    <w:rsid w:val="002E1D68"/>
    <w:rsid w:val="002E2438"/>
    <w:rsid w:val="002E24BC"/>
    <w:rsid w:val="002E293E"/>
    <w:rsid w:val="002E2EE3"/>
    <w:rsid w:val="002E38B4"/>
    <w:rsid w:val="002E455F"/>
    <w:rsid w:val="002E456C"/>
    <w:rsid w:val="002E461C"/>
    <w:rsid w:val="002E5E1E"/>
    <w:rsid w:val="002E5E79"/>
    <w:rsid w:val="002E6334"/>
    <w:rsid w:val="002E6955"/>
    <w:rsid w:val="002E69BE"/>
    <w:rsid w:val="002E6C13"/>
    <w:rsid w:val="002E744B"/>
    <w:rsid w:val="002E7622"/>
    <w:rsid w:val="002E793D"/>
    <w:rsid w:val="002E7CDC"/>
    <w:rsid w:val="002E7E36"/>
    <w:rsid w:val="002F03C1"/>
    <w:rsid w:val="002F0415"/>
    <w:rsid w:val="002F13DA"/>
    <w:rsid w:val="002F1846"/>
    <w:rsid w:val="002F1915"/>
    <w:rsid w:val="002F210F"/>
    <w:rsid w:val="002F2481"/>
    <w:rsid w:val="002F25AA"/>
    <w:rsid w:val="002F2950"/>
    <w:rsid w:val="002F2AF1"/>
    <w:rsid w:val="002F2E20"/>
    <w:rsid w:val="002F325F"/>
    <w:rsid w:val="002F3A20"/>
    <w:rsid w:val="002F3AE6"/>
    <w:rsid w:val="002F3B9D"/>
    <w:rsid w:val="002F3F1B"/>
    <w:rsid w:val="002F40C2"/>
    <w:rsid w:val="002F4B6E"/>
    <w:rsid w:val="002F4E11"/>
    <w:rsid w:val="002F52FF"/>
    <w:rsid w:val="002F6280"/>
    <w:rsid w:val="002F63F9"/>
    <w:rsid w:val="002F6508"/>
    <w:rsid w:val="002F683E"/>
    <w:rsid w:val="002F711B"/>
    <w:rsid w:val="002F787B"/>
    <w:rsid w:val="002F7924"/>
    <w:rsid w:val="002F79CF"/>
    <w:rsid w:val="00300268"/>
    <w:rsid w:val="00300AAD"/>
    <w:rsid w:val="0030158B"/>
    <w:rsid w:val="00301818"/>
    <w:rsid w:val="00301A61"/>
    <w:rsid w:val="00301DC1"/>
    <w:rsid w:val="00302095"/>
    <w:rsid w:val="00302C3A"/>
    <w:rsid w:val="00303884"/>
    <w:rsid w:val="00303886"/>
    <w:rsid w:val="00303C0C"/>
    <w:rsid w:val="00304FAD"/>
    <w:rsid w:val="00305464"/>
    <w:rsid w:val="003055D4"/>
    <w:rsid w:val="00305CB0"/>
    <w:rsid w:val="00306409"/>
    <w:rsid w:val="00306518"/>
    <w:rsid w:val="00306563"/>
    <w:rsid w:val="00306566"/>
    <w:rsid w:val="0030687A"/>
    <w:rsid w:val="00306D7B"/>
    <w:rsid w:val="00306F82"/>
    <w:rsid w:val="00307026"/>
    <w:rsid w:val="0030744E"/>
    <w:rsid w:val="00307571"/>
    <w:rsid w:val="00307BBD"/>
    <w:rsid w:val="00307F11"/>
    <w:rsid w:val="003100D6"/>
    <w:rsid w:val="00310709"/>
    <w:rsid w:val="003108CF"/>
    <w:rsid w:val="00310947"/>
    <w:rsid w:val="003109FD"/>
    <w:rsid w:val="00310A7A"/>
    <w:rsid w:val="00310AF7"/>
    <w:rsid w:val="00310C1A"/>
    <w:rsid w:val="003114C6"/>
    <w:rsid w:val="0031159A"/>
    <w:rsid w:val="003117FB"/>
    <w:rsid w:val="003117FD"/>
    <w:rsid w:val="00311915"/>
    <w:rsid w:val="00311930"/>
    <w:rsid w:val="0031200D"/>
    <w:rsid w:val="00312499"/>
    <w:rsid w:val="00313006"/>
    <w:rsid w:val="00313806"/>
    <w:rsid w:val="00313827"/>
    <w:rsid w:val="003138F8"/>
    <w:rsid w:val="00313BDC"/>
    <w:rsid w:val="00314B74"/>
    <w:rsid w:val="00314C32"/>
    <w:rsid w:val="00315238"/>
    <w:rsid w:val="003157E3"/>
    <w:rsid w:val="00315AC9"/>
    <w:rsid w:val="00315CEB"/>
    <w:rsid w:val="00315FFF"/>
    <w:rsid w:val="00316217"/>
    <w:rsid w:val="00316B67"/>
    <w:rsid w:val="003170A9"/>
    <w:rsid w:val="00317593"/>
    <w:rsid w:val="003201A8"/>
    <w:rsid w:val="003201EF"/>
    <w:rsid w:val="003202B3"/>
    <w:rsid w:val="00320629"/>
    <w:rsid w:val="00320A31"/>
    <w:rsid w:val="00320FF6"/>
    <w:rsid w:val="003215B3"/>
    <w:rsid w:val="00321622"/>
    <w:rsid w:val="00321F32"/>
    <w:rsid w:val="003228C5"/>
    <w:rsid w:val="00322E09"/>
    <w:rsid w:val="00323040"/>
    <w:rsid w:val="00323325"/>
    <w:rsid w:val="003233F7"/>
    <w:rsid w:val="003234F0"/>
    <w:rsid w:val="0032388C"/>
    <w:rsid w:val="003238CB"/>
    <w:rsid w:val="00323B1F"/>
    <w:rsid w:val="00323E42"/>
    <w:rsid w:val="003240CF"/>
    <w:rsid w:val="0032411F"/>
    <w:rsid w:val="003249DA"/>
    <w:rsid w:val="00324D61"/>
    <w:rsid w:val="00324EE8"/>
    <w:rsid w:val="003250D8"/>
    <w:rsid w:val="00325F5E"/>
    <w:rsid w:val="0032608A"/>
    <w:rsid w:val="00326101"/>
    <w:rsid w:val="0032667D"/>
    <w:rsid w:val="003269A4"/>
    <w:rsid w:val="00326A45"/>
    <w:rsid w:val="00326B93"/>
    <w:rsid w:val="00327014"/>
    <w:rsid w:val="00327103"/>
    <w:rsid w:val="00327BEA"/>
    <w:rsid w:val="00327EEB"/>
    <w:rsid w:val="00330FBF"/>
    <w:rsid w:val="003310DB"/>
    <w:rsid w:val="003314BC"/>
    <w:rsid w:val="00331539"/>
    <w:rsid w:val="00331610"/>
    <w:rsid w:val="00331AFD"/>
    <w:rsid w:val="00331F86"/>
    <w:rsid w:val="0033205C"/>
    <w:rsid w:val="0033275C"/>
    <w:rsid w:val="00332844"/>
    <w:rsid w:val="00332B15"/>
    <w:rsid w:val="00332B28"/>
    <w:rsid w:val="00332E16"/>
    <w:rsid w:val="00332FA9"/>
    <w:rsid w:val="00333103"/>
    <w:rsid w:val="003331CA"/>
    <w:rsid w:val="0033365D"/>
    <w:rsid w:val="0033391A"/>
    <w:rsid w:val="00333E58"/>
    <w:rsid w:val="00334986"/>
    <w:rsid w:val="00334B73"/>
    <w:rsid w:val="003357E9"/>
    <w:rsid w:val="00335FF2"/>
    <w:rsid w:val="0033600B"/>
    <w:rsid w:val="00336218"/>
    <w:rsid w:val="0033679C"/>
    <w:rsid w:val="00336EBD"/>
    <w:rsid w:val="003376D6"/>
    <w:rsid w:val="003377B8"/>
    <w:rsid w:val="0033796A"/>
    <w:rsid w:val="00337EEE"/>
    <w:rsid w:val="00337F80"/>
    <w:rsid w:val="003406DA"/>
    <w:rsid w:val="00340CF3"/>
    <w:rsid w:val="00340E84"/>
    <w:rsid w:val="00340ECD"/>
    <w:rsid w:val="003410DD"/>
    <w:rsid w:val="0034234C"/>
    <w:rsid w:val="00342481"/>
    <w:rsid w:val="003425C3"/>
    <w:rsid w:val="00342B20"/>
    <w:rsid w:val="00343A4A"/>
    <w:rsid w:val="00343B09"/>
    <w:rsid w:val="00343E7B"/>
    <w:rsid w:val="00344DDD"/>
    <w:rsid w:val="00345048"/>
    <w:rsid w:val="00345282"/>
    <w:rsid w:val="00346123"/>
    <w:rsid w:val="00346575"/>
    <w:rsid w:val="00346A2C"/>
    <w:rsid w:val="00346B51"/>
    <w:rsid w:val="003470A3"/>
    <w:rsid w:val="003471CF"/>
    <w:rsid w:val="00347D3E"/>
    <w:rsid w:val="00350D4F"/>
    <w:rsid w:val="00351505"/>
    <w:rsid w:val="003515BD"/>
    <w:rsid w:val="00351A04"/>
    <w:rsid w:val="003521A9"/>
    <w:rsid w:val="003523D8"/>
    <w:rsid w:val="003524A2"/>
    <w:rsid w:val="00352559"/>
    <w:rsid w:val="003526C3"/>
    <w:rsid w:val="00352D03"/>
    <w:rsid w:val="00353263"/>
    <w:rsid w:val="00353A2F"/>
    <w:rsid w:val="00353B89"/>
    <w:rsid w:val="00354085"/>
    <w:rsid w:val="003549A5"/>
    <w:rsid w:val="00354A31"/>
    <w:rsid w:val="00354AB9"/>
    <w:rsid w:val="003551A3"/>
    <w:rsid w:val="00355688"/>
    <w:rsid w:val="00355BF4"/>
    <w:rsid w:val="00355DE3"/>
    <w:rsid w:val="00355E94"/>
    <w:rsid w:val="00356B34"/>
    <w:rsid w:val="00357067"/>
    <w:rsid w:val="00357940"/>
    <w:rsid w:val="0035797F"/>
    <w:rsid w:val="00357A02"/>
    <w:rsid w:val="00357ACD"/>
    <w:rsid w:val="00357C6D"/>
    <w:rsid w:val="00357D4F"/>
    <w:rsid w:val="00357F6E"/>
    <w:rsid w:val="00360282"/>
    <w:rsid w:val="0036033F"/>
    <w:rsid w:val="00360539"/>
    <w:rsid w:val="00360EE7"/>
    <w:rsid w:val="00361016"/>
    <w:rsid w:val="003612C9"/>
    <w:rsid w:val="00361528"/>
    <w:rsid w:val="003617B7"/>
    <w:rsid w:val="003617DF"/>
    <w:rsid w:val="0036193C"/>
    <w:rsid w:val="00361CEF"/>
    <w:rsid w:val="00361F7C"/>
    <w:rsid w:val="003621C2"/>
    <w:rsid w:val="0036281D"/>
    <w:rsid w:val="00362901"/>
    <w:rsid w:val="00362943"/>
    <w:rsid w:val="00362EE0"/>
    <w:rsid w:val="00362FB2"/>
    <w:rsid w:val="00363308"/>
    <w:rsid w:val="003635AA"/>
    <w:rsid w:val="00363957"/>
    <w:rsid w:val="003645DF"/>
    <w:rsid w:val="00364600"/>
    <w:rsid w:val="00364652"/>
    <w:rsid w:val="003654F3"/>
    <w:rsid w:val="003657E0"/>
    <w:rsid w:val="0036592A"/>
    <w:rsid w:val="00365D32"/>
    <w:rsid w:val="003661C1"/>
    <w:rsid w:val="003663A1"/>
    <w:rsid w:val="00366616"/>
    <w:rsid w:val="003666CF"/>
    <w:rsid w:val="00366CA1"/>
    <w:rsid w:val="00366EB6"/>
    <w:rsid w:val="00366F09"/>
    <w:rsid w:val="00367265"/>
    <w:rsid w:val="003675D0"/>
    <w:rsid w:val="0036793C"/>
    <w:rsid w:val="00367F6A"/>
    <w:rsid w:val="003705B7"/>
    <w:rsid w:val="003707AB"/>
    <w:rsid w:val="00370AEB"/>
    <w:rsid w:val="00370BC7"/>
    <w:rsid w:val="00370EE8"/>
    <w:rsid w:val="003710E4"/>
    <w:rsid w:val="0037126C"/>
    <w:rsid w:val="00371733"/>
    <w:rsid w:val="003719ED"/>
    <w:rsid w:val="00371D7F"/>
    <w:rsid w:val="00371DF9"/>
    <w:rsid w:val="00371FCC"/>
    <w:rsid w:val="00372BDF"/>
    <w:rsid w:val="0037375D"/>
    <w:rsid w:val="003738C3"/>
    <w:rsid w:val="00373D40"/>
    <w:rsid w:val="00374191"/>
    <w:rsid w:val="00374A7E"/>
    <w:rsid w:val="00374BE8"/>
    <w:rsid w:val="00374CCE"/>
    <w:rsid w:val="00374CEA"/>
    <w:rsid w:val="00375019"/>
    <w:rsid w:val="003750A1"/>
    <w:rsid w:val="00375C17"/>
    <w:rsid w:val="0037643B"/>
    <w:rsid w:val="003767C5"/>
    <w:rsid w:val="00376F32"/>
    <w:rsid w:val="003778AE"/>
    <w:rsid w:val="003778FA"/>
    <w:rsid w:val="00377E97"/>
    <w:rsid w:val="00381247"/>
    <w:rsid w:val="00381918"/>
    <w:rsid w:val="00381DA3"/>
    <w:rsid w:val="00381E37"/>
    <w:rsid w:val="00381F6A"/>
    <w:rsid w:val="00382074"/>
    <w:rsid w:val="00382559"/>
    <w:rsid w:val="003828E6"/>
    <w:rsid w:val="00382A04"/>
    <w:rsid w:val="00382DF2"/>
    <w:rsid w:val="00383744"/>
    <w:rsid w:val="003837C3"/>
    <w:rsid w:val="00383AF4"/>
    <w:rsid w:val="00384677"/>
    <w:rsid w:val="003846AB"/>
    <w:rsid w:val="00384841"/>
    <w:rsid w:val="00384A21"/>
    <w:rsid w:val="00384D4D"/>
    <w:rsid w:val="00384E09"/>
    <w:rsid w:val="0038507F"/>
    <w:rsid w:val="003855AD"/>
    <w:rsid w:val="00385856"/>
    <w:rsid w:val="00385A4F"/>
    <w:rsid w:val="00385D11"/>
    <w:rsid w:val="00385EBB"/>
    <w:rsid w:val="00385F48"/>
    <w:rsid w:val="00386110"/>
    <w:rsid w:val="00386546"/>
    <w:rsid w:val="003866CD"/>
    <w:rsid w:val="0038692F"/>
    <w:rsid w:val="00386AAB"/>
    <w:rsid w:val="0038710B"/>
    <w:rsid w:val="003871FE"/>
    <w:rsid w:val="00387205"/>
    <w:rsid w:val="0038763B"/>
    <w:rsid w:val="003876F6"/>
    <w:rsid w:val="0038781E"/>
    <w:rsid w:val="00387CEF"/>
    <w:rsid w:val="00387F08"/>
    <w:rsid w:val="003903D5"/>
    <w:rsid w:val="00390653"/>
    <w:rsid w:val="00390721"/>
    <w:rsid w:val="00390A0A"/>
    <w:rsid w:val="00390C27"/>
    <w:rsid w:val="00390CD1"/>
    <w:rsid w:val="00390F88"/>
    <w:rsid w:val="0039114E"/>
    <w:rsid w:val="003912BE"/>
    <w:rsid w:val="0039213E"/>
    <w:rsid w:val="00392344"/>
    <w:rsid w:val="0039256F"/>
    <w:rsid w:val="00392DD9"/>
    <w:rsid w:val="00393794"/>
    <w:rsid w:val="0039387D"/>
    <w:rsid w:val="00393A0C"/>
    <w:rsid w:val="00393A7D"/>
    <w:rsid w:val="00393CEA"/>
    <w:rsid w:val="003941B3"/>
    <w:rsid w:val="00394350"/>
    <w:rsid w:val="00394E49"/>
    <w:rsid w:val="00395290"/>
    <w:rsid w:val="003955F6"/>
    <w:rsid w:val="00395BCE"/>
    <w:rsid w:val="00395F72"/>
    <w:rsid w:val="00395FE8"/>
    <w:rsid w:val="00396839"/>
    <w:rsid w:val="0039689D"/>
    <w:rsid w:val="00397211"/>
    <w:rsid w:val="0039769D"/>
    <w:rsid w:val="00397BA2"/>
    <w:rsid w:val="00397C26"/>
    <w:rsid w:val="003A02C0"/>
    <w:rsid w:val="003A02DF"/>
    <w:rsid w:val="003A0320"/>
    <w:rsid w:val="003A0322"/>
    <w:rsid w:val="003A0387"/>
    <w:rsid w:val="003A050A"/>
    <w:rsid w:val="003A0E5E"/>
    <w:rsid w:val="003A0F18"/>
    <w:rsid w:val="003A0F9B"/>
    <w:rsid w:val="003A1211"/>
    <w:rsid w:val="003A1624"/>
    <w:rsid w:val="003A18D6"/>
    <w:rsid w:val="003A1CD5"/>
    <w:rsid w:val="003A2069"/>
    <w:rsid w:val="003A23BE"/>
    <w:rsid w:val="003A273F"/>
    <w:rsid w:val="003A2776"/>
    <w:rsid w:val="003A2797"/>
    <w:rsid w:val="003A29A3"/>
    <w:rsid w:val="003A29DB"/>
    <w:rsid w:val="003A2AAE"/>
    <w:rsid w:val="003A3853"/>
    <w:rsid w:val="003A3A8B"/>
    <w:rsid w:val="003A3CDF"/>
    <w:rsid w:val="003A3D32"/>
    <w:rsid w:val="003A3E9A"/>
    <w:rsid w:val="003A3F07"/>
    <w:rsid w:val="003A42DD"/>
    <w:rsid w:val="003A43B3"/>
    <w:rsid w:val="003A455D"/>
    <w:rsid w:val="003A5091"/>
    <w:rsid w:val="003A51F3"/>
    <w:rsid w:val="003A57A8"/>
    <w:rsid w:val="003A58AC"/>
    <w:rsid w:val="003A5E43"/>
    <w:rsid w:val="003A5EA2"/>
    <w:rsid w:val="003A64F6"/>
    <w:rsid w:val="003A659C"/>
    <w:rsid w:val="003A67CC"/>
    <w:rsid w:val="003A6DAD"/>
    <w:rsid w:val="003A7B30"/>
    <w:rsid w:val="003A7B98"/>
    <w:rsid w:val="003A7C89"/>
    <w:rsid w:val="003A7D64"/>
    <w:rsid w:val="003B003D"/>
    <w:rsid w:val="003B0407"/>
    <w:rsid w:val="003B05BF"/>
    <w:rsid w:val="003B0D09"/>
    <w:rsid w:val="003B0DF3"/>
    <w:rsid w:val="003B1616"/>
    <w:rsid w:val="003B19D4"/>
    <w:rsid w:val="003B1C23"/>
    <w:rsid w:val="003B1E18"/>
    <w:rsid w:val="003B1EC6"/>
    <w:rsid w:val="003B2B64"/>
    <w:rsid w:val="003B2BCB"/>
    <w:rsid w:val="003B2C3B"/>
    <w:rsid w:val="003B3246"/>
    <w:rsid w:val="003B376C"/>
    <w:rsid w:val="003B3A1B"/>
    <w:rsid w:val="003B3A7B"/>
    <w:rsid w:val="003B3CE9"/>
    <w:rsid w:val="003B4614"/>
    <w:rsid w:val="003B4C4C"/>
    <w:rsid w:val="003B4EA0"/>
    <w:rsid w:val="003B5197"/>
    <w:rsid w:val="003B5761"/>
    <w:rsid w:val="003B6B74"/>
    <w:rsid w:val="003B7324"/>
    <w:rsid w:val="003B7769"/>
    <w:rsid w:val="003B77ED"/>
    <w:rsid w:val="003B79AE"/>
    <w:rsid w:val="003B7B82"/>
    <w:rsid w:val="003B7D9D"/>
    <w:rsid w:val="003C0694"/>
    <w:rsid w:val="003C070E"/>
    <w:rsid w:val="003C0738"/>
    <w:rsid w:val="003C0AF6"/>
    <w:rsid w:val="003C0E7F"/>
    <w:rsid w:val="003C11E4"/>
    <w:rsid w:val="003C16A7"/>
    <w:rsid w:val="003C1A39"/>
    <w:rsid w:val="003C1CE6"/>
    <w:rsid w:val="003C1F75"/>
    <w:rsid w:val="003C2144"/>
    <w:rsid w:val="003C22D9"/>
    <w:rsid w:val="003C2314"/>
    <w:rsid w:val="003C2B62"/>
    <w:rsid w:val="003C2E27"/>
    <w:rsid w:val="003C31A5"/>
    <w:rsid w:val="003C39E1"/>
    <w:rsid w:val="003C42FE"/>
    <w:rsid w:val="003C44D7"/>
    <w:rsid w:val="003C4CE7"/>
    <w:rsid w:val="003C519B"/>
    <w:rsid w:val="003C5299"/>
    <w:rsid w:val="003C52DB"/>
    <w:rsid w:val="003C5DB3"/>
    <w:rsid w:val="003C63C4"/>
    <w:rsid w:val="003C652C"/>
    <w:rsid w:val="003C6790"/>
    <w:rsid w:val="003C6845"/>
    <w:rsid w:val="003C6CDA"/>
    <w:rsid w:val="003C6D24"/>
    <w:rsid w:val="003C742F"/>
    <w:rsid w:val="003C7E44"/>
    <w:rsid w:val="003D085A"/>
    <w:rsid w:val="003D0CBB"/>
    <w:rsid w:val="003D1314"/>
    <w:rsid w:val="003D16AB"/>
    <w:rsid w:val="003D1730"/>
    <w:rsid w:val="003D190E"/>
    <w:rsid w:val="003D1AAA"/>
    <w:rsid w:val="003D1AC6"/>
    <w:rsid w:val="003D26AC"/>
    <w:rsid w:val="003D2A3D"/>
    <w:rsid w:val="003D2E1F"/>
    <w:rsid w:val="003D333D"/>
    <w:rsid w:val="003D33EC"/>
    <w:rsid w:val="003D34BB"/>
    <w:rsid w:val="003D3A8A"/>
    <w:rsid w:val="003D3C7B"/>
    <w:rsid w:val="003D3EED"/>
    <w:rsid w:val="003D42E5"/>
    <w:rsid w:val="003D4903"/>
    <w:rsid w:val="003D53EB"/>
    <w:rsid w:val="003D552B"/>
    <w:rsid w:val="003D59E2"/>
    <w:rsid w:val="003D5B39"/>
    <w:rsid w:val="003D5FFE"/>
    <w:rsid w:val="003D6462"/>
    <w:rsid w:val="003D66DF"/>
    <w:rsid w:val="003D7192"/>
    <w:rsid w:val="003D71A2"/>
    <w:rsid w:val="003D75E3"/>
    <w:rsid w:val="003D7811"/>
    <w:rsid w:val="003D7BED"/>
    <w:rsid w:val="003D7D98"/>
    <w:rsid w:val="003E0111"/>
    <w:rsid w:val="003E0317"/>
    <w:rsid w:val="003E0785"/>
    <w:rsid w:val="003E07D5"/>
    <w:rsid w:val="003E0CD3"/>
    <w:rsid w:val="003E117B"/>
    <w:rsid w:val="003E18CB"/>
    <w:rsid w:val="003E1900"/>
    <w:rsid w:val="003E1A5B"/>
    <w:rsid w:val="003E29BB"/>
    <w:rsid w:val="003E29C9"/>
    <w:rsid w:val="003E2DA1"/>
    <w:rsid w:val="003E2EE5"/>
    <w:rsid w:val="003E35D8"/>
    <w:rsid w:val="003E35E8"/>
    <w:rsid w:val="003E3637"/>
    <w:rsid w:val="003E38F5"/>
    <w:rsid w:val="003E3A20"/>
    <w:rsid w:val="003E3D57"/>
    <w:rsid w:val="003E3D7F"/>
    <w:rsid w:val="003E3F83"/>
    <w:rsid w:val="003E47F1"/>
    <w:rsid w:val="003E5853"/>
    <w:rsid w:val="003E5B17"/>
    <w:rsid w:val="003E5CFD"/>
    <w:rsid w:val="003E5DAC"/>
    <w:rsid w:val="003E5E82"/>
    <w:rsid w:val="003E6CE0"/>
    <w:rsid w:val="003E6E6D"/>
    <w:rsid w:val="003E7346"/>
    <w:rsid w:val="003E752C"/>
    <w:rsid w:val="003E75A0"/>
    <w:rsid w:val="003E7C65"/>
    <w:rsid w:val="003E7DCA"/>
    <w:rsid w:val="003F09A4"/>
    <w:rsid w:val="003F0A7B"/>
    <w:rsid w:val="003F0ABA"/>
    <w:rsid w:val="003F0CD3"/>
    <w:rsid w:val="003F1B4C"/>
    <w:rsid w:val="003F1C3C"/>
    <w:rsid w:val="003F1C6E"/>
    <w:rsid w:val="003F1F14"/>
    <w:rsid w:val="003F2050"/>
    <w:rsid w:val="003F216A"/>
    <w:rsid w:val="003F2388"/>
    <w:rsid w:val="003F24CF"/>
    <w:rsid w:val="003F2C93"/>
    <w:rsid w:val="003F384F"/>
    <w:rsid w:val="003F391D"/>
    <w:rsid w:val="003F3F90"/>
    <w:rsid w:val="003F4150"/>
    <w:rsid w:val="003F421D"/>
    <w:rsid w:val="003F450A"/>
    <w:rsid w:val="003F5041"/>
    <w:rsid w:val="003F517E"/>
    <w:rsid w:val="003F5B5C"/>
    <w:rsid w:val="003F6474"/>
    <w:rsid w:val="003F745C"/>
    <w:rsid w:val="003F7BE1"/>
    <w:rsid w:val="004004A9"/>
    <w:rsid w:val="0040052A"/>
    <w:rsid w:val="00400BE3"/>
    <w:rsid w:val="00402564"/>
    <w:rsid w:val="00402C53"/>
    <w:rsid w:val="00402CA4"/>
    <w:rsid w:val="00402E2F"/>
    <w:rsid w:val="00402EF9"/>
    <w:rsid w:val="004036F5"/>
    <w:rsid w:val="00403FF3"/>
    <w:rsid w:val="00404541"/>
    <w:rsid w:val="00404580"/>
    <w:rsid w:val="0040491D"/>
    <w:rsid w:val="00404A35"/>
    <w:rsid w:val="00404EDE"/>
    <w:rsid w:val="00404FC1"/>
    <w:rsid w:val="00405056"/>
    <w:rsid w:val="004055FD"/>
    <w:rsid w:val="00405609"/>
    <w:rsid w:val="004057E7"/>
    <w:rsid w:val="00405CB0"/>
    <w:rsid w:val="00406413"/>
    <w:rsid w:val="0040670F"/>
    <w:rsid w:val="0040677B"/>
    <w:rsid w:val="004069D8"/>
    <w:rsid w:val="00406A1C"/>
    <w:rsid w:val="00406B0C"/>
    <w:rsid w:val="00406DB7"/>
    <w:rsid w:val="00406E60"/>
    <w:rsid w:val="004070BC"/>
    <w:rsid w:val="004070E0"/>
    <w:rsid w:val="004071F3"/>
    <w:rsid w:val="00407250"/>
    <w:rsid w:val="004101D8"/>
    <w:rsid w:val="0041069F"/>
    <w:rsid w:val="004107A1"/>
    <w:rsid w:val="004110D5"/>
    <w:rsid w:val="0041123D"/>
    <w:rsid w:val="0041155E"/>
    <w:rsid w:val="0041172A"/>
    <w:rsid w:val="004118F7"/>
    <w:rsid w:val="00411AFE"/>
    <w:rsid w:val="00412174"/>
    <w:rsid w:val="00412ABF"/>
    <w:rsid w:val="00413615"/>
    <w:rsid w:val="00413750"/>
    <w:rsid w:val="00413AD1"/>
    <w:rsid w:val="00414B17"/>
    <w:rsid w:val="00414CF1"/>
    <w:rsid w:val="00415497"/>
    <w:rsid w:val="0041569F"/>
    <w:rsid w:val="004158B6"/>
    <w:rsid w:val="00415D66"/>
    <w:rsid w:val="00415F88"/>
    <w:rsid w:val="00415FE2"/>
    <w:rsid w:val="0041623C"/>
    <w:rsid w:val="00416CC5"/>
    <w:rsid w:val="00420194"/>
    <w:rsid w:val="00420505"/>
    <w:rsid w:val="00420CE5"/>
    <w:rsid w:val="00420D09"/>
    <w:rsid w:val="00420DDD"/>
    <w:rsid w:val="00420DFB"/>
    <w:rsid w:val="00421498"/>
    <w:rsid w:val="004216F8"/>
    <w:rsid w:val="00421E6C"/>
    <w:rsid w:val="0042236C"/>
    <w:rsid w:val="004226AA"/>
    <w:rsid w:val="00423F48"/>
    <w:rsid w:val="00423F4D"/>
    <w:rsid w:val="00424292"/>
    <w:rsid w:val="00424D80"/>
    <w:rsid w:val="00425271"/>
    <w:rsid w:val="00425E89"/>
    <w:rsid w:val="00425EC1"/>
    <w:rsid w:val="0042608E"/>
    <w:rsid w:val="0042621C"/>
    <w:rsid w:val="004262FB"/>
    <w:rsid w:val="004268E5"/>
    <w:rsid w:val="00426981"/>
    <w:rsid w:val="0042758D"/>
    <w:rsid w:val="00427999"/>
    <w:rsid w:val="00427A4D"/>
    <w:rsid w:val="00427C30"/>
    <w:rsid w:val="00430348"/>
    <w:rsid w:val="004307AB"/>
    <w:rsid w:val="004316C9"/>
    <w:rsid w:val="00431AD7"/>
    <w:rsid w:val="00431D37"/>
    <w:rsid w:val="00431D55"/>
    <w:rsid w:val="004324B4"/>
    <w:rsid w:val="00432817"/>
    <w:rsid w:val="00432924"/>
    <w:rsid w:val="00432A12"/>
    <w:rsid w:val="004331CC"/>
    <w:rsid w:val="0043370E"/>
    <w:rsid w:val="00433C0A"/>
    <w:rsid w:val="0043425F"/>
    <w:rsid w:val="004344A5"/>
    <w:rsid w:val="004347E9"/>
    <w:rsid w:val="00434A12"/>
    <w:rsid w:val="00434DDF"/>
    <w:rsid w:val="00434F40"/>
    <w:rsid w:val="004350BB"/>
    <w:rsid w:val="00435534"/>
    <w:rsid w:val="0043594F"/>
    <w:rsid w:val="004359DF"/>
    <w:rsid w:val="00435C8B"/>
    <w:rsid w:val="00435DF7"/>
    <w:rsid w:val="00435E2C"/>
    <w:rsid w:val="00435EA0"/>
    <w:rsid w:val="00436989"/>
    <w:rsid w:val="0043775E"/>
    <w:rsid w:val="00437796"/>
    <w:rsid w:val="0043798A"/>
    <w:rsid w:val="00437AE4"/>
    <w:rsid w:val="00437D17"/>
    <w:rsid w:val="004403A8"/>
    <w:rsid w:val="004407F2"/>
    <w:rsid w:val="00440F21"/>
    <w:rsid w:val="004412FE"/>
    <w:rsid w:val="00441354"/>
    <w:rsid w:val="0044174E"/>
    <w:rsid w:val="00441988"/>
    <w:rsid w:val="00441A39"/>
    <w:rsid w:val="0044204F"/>
    <w:rsid w:val="004426E7"/>
    <w:rsid w:val="00442762"/>
    <w:rsid w:val="004428E0"/>
    <w:rsid w:val="00442B93"/>
    <w:rsid w:val="00442D13"/>
    <w:rsid w:val="0044342E"/>
    <w:rsid w:val="004434AF"/>
    <w:rsid w:val="0044351D"/>
    <w:rsid w:val="00443532"/>
    <w:rsid w:val="004435B3"/>
    <w:rsid w:val="00443DA6"/>
    <w:rsid w:val="00443DCD"/>
    <w:rsid w:val="00443F8D"/>
    <w:rsid w:val="00444029"/>
    <w:rsid w:val="004446C2"/>
    <w:rsid w:val="00444859"/>
    <w:rsid w:val="00444B33"/>
    <w:rsid w:val="0044510A"/>
    <w:rsid w:val="00445336"/>
    <w:rsid w:val="00445986"/>
    <w:rsid w:val="00445D31"/>
    <w:rsid w:val="00445DC5"/>
    <w:rsid w:val="00445EBE"/>
    <w:rsid w:val="004463DB"/>
    <w:rsid w:val="00446A07"/>
    <w:rsid w:val="00446EB6"/>
    <w:rsid w:val="00447DAF"/>
    <w:rsid w:val="00447F53"/>
    <w:rsid w:val="00447F89"/>
    <w:rsid w:val="00450278"/>
    <w:rsid w:val="0045033B"/>
    <w:rsid w:val="00450709"/>
    <w:rsid w:val="00450AAF"/>
    <w:rsid w:val="00452156"/>
    <w:rsid w:val="004521A5"/>
    <w:rsid w:val="004525BE"/>
    <w:rsid w:val="00452903"/>
    <w:rsid w:val="00452FE1"/>
    <w:rsid w:val="004530E2"/>
    <w:rsid w:val="00454224"/>
    <w:rsid w:val="004542CD"/>
    <w:rsid w:val="00454983"/>
    <w:rsid w:val="00454FF5"/>
    <w:rsid w:val="00455E46"/>
    <w:rsid w:val="00455E55"/>
    <w:rsid w:val="00455E58"/>
    <w:rsid w:val="00455E6B"/>
    <w:rsid w:val="004561B9"/>
    <w:rsid w:val="0045629E"/>
    <w:rsid w:val="004564DD"/>
    <w:rsid w:val="00456B50"/>
    <w:rsid w:val="00456B8E"/>
    <w:rsid w:val="00456D94"/>
    <w:rsid w:val="00456EE0"/>
    <w:rsid w:val="0045733A"/>
    <w:rsid w:val="0045738F"/>
    <w:rsid w:val="004575CA"/>
    <w:rsid w:val="00457E7B"/>
    <w:rsid w:val="00457F4A"/>
    <w:rsid w:val="00457F8B"/>
    <w:rsid w:val="00460441"/>
    <w:rsid w:val="004604F9"/>
    <w:rsid w:val="00460D9C"/>
    <w:rsid w:val="0046103B"/>
    <w:rsid w:val="0046155E"/>
    <w:rsid w:val="00461602"/>
    <w:rsid w:val="004618A0"/>
    <w:rsid w:val="004618CD"/>
    <w:rsid w:val="00461A93"/>
    <w:rsid w:val="00461DBF"/>
    <w:rsid w:val="00462380"/>
    <w:rsid w:val="004626C4"/>
    <w:rsid w:val="00462839"/>
    <w:rsid w:val="00463004"/>
    <w:rsid w:val="004635CE"/>
    <w:rsid w:val="00463C2F"/>
    <w:rsid w:val="004642E9"/>
    <w:rsid w:val="0046522B"/>
    <w:rsid w:val="004654E5"/>
    <w:rsid w:val="0046565B"/>
    <w:rsid w:val="00465838"/>
    <w:rsid w:val="00465931"/>
    <w:rsid w:val="00465A8A"/>
    <w:rsid w:val="00466196"/>
    <w:rsid w:val="00466314"/>
    <w:rsid w:val="004664F6"/>
    <w:rsid w:val="00466871"/>
    <w:rsid w:val="00467823"/>
    <w:rsid w:val="00467834"/>
    <w:rsid w:val="004678FC"/>
    <w:rsid w:val="0046791E"/>
    <w:rsid w:val="00470405"/>
    <w:rsid w:val="00470428"/>
    <w:rsid w:val="0047048D"/>
    <w:rsid w:val="00470ED6"/>
    <w:rsid w:val="00471693"/>
    <w:rsid w:val="00471BA2"/>
    <w:rsid w:val="004721E1"/>
    <w:rsid w:val="00472587"/>
    <w:rsid w:val="004727EA"/>
    <w:rsid w:val="00472C48"/>
    <w:rsid w:val="00473197"/>
    <w:rsid w:val="0047378D"/>
    <w:rsid w:val="00473DA7"/>
    <w:rsid w:val="004740D8"/>
    <w:rsid w:val="004745DC"/>
    <w:rsid w:val="00474A5B"/>
    <w:rsid w:val="00474BFC"/>
    <w:rsid w:val="00474C7F"/>
    <w:rsid w:val="00474FDF"/>
    <w:rsid w:val="00475647"/>
    <w:rsid w:val="0047583E"/>
    <w:rsid w:val="0047585D"/>
    <w:rsid w:val="00475F79"/>
    <w:rsid w:val="00475FEF"/>
    <w:rsid w:val="00476132"/>
    <w:rsid w:val="00476417"/>
    <w:rsid w:val="0047674C"/>
    <w:rsid w:val="00476ED9"/>
    <w:rsid w:val="0047721A"/>
    <w:rsid w:val="004772ED"/>
    <w:rsid w:val="0047777D"/>
    <w:rsid w:val="00477F42"/>
    <w:rsid w:val="00477FFE"/>
    <w:rsid w:val="004809E7"/>
    <w:rsid w:val="00480C46"/>
    <w:rsid w:val="004811CC"/>
    <w:rsid w:val="00481364"/>
    <w:rsid w:val="004817E4"/>
    <w:rsid w:val="00481823"/>
    <w:rsid w:val="00481EFD"/>
    <w:rsid w:val="004828E1"/>
    <w:rsid w:val="004836FF"/>
    <w:rsid w:val="00483BA0"/>
    <w:rsid w:val="00483DC5"/>
    <w:rsid w:val="00484044"/>
    <w:rsid w:val="004841D2"/>
    <w:rsid w:val="004841E9"/>
    <w:rsid w:val="004846A4"/>
    <w:rsid w:val="00484786"/>
    <w:rsid w:val="004848FF"/>
    <w:rsid w:val="004849E7"/>
    <w:rsid w:val="00484C10"/>
    <w:rsid w:val="00484E38"/>
    <w:rsid w:val="004862C3"/>
    <w:rsid w:val="004867F9"/>
    <w:rsid w:val="00486857"/>
    <w:rsid w:val="00486871"/>
    <w:rsid w:val="004869ED"/>
    <w:rsid w:val="00486B3C"/>
    <w:rsid w:val="004900D2"/>
    <w:rsid w:val="004904DF"/>
    <w:rsid w:val="00490D05"/>
    <w:rsid w:val="00490F27"/>
    <w:rsid w:val="00491B21"/>
    <w:rsid w:val="00491D71"/>
    <w:rsid w:val="0049220C"/>
    <w:rsid w:val="004926CC"/>
    <w:rsid w:val="00492709"/>
    <w:rsid w:val="004929EB"/>
    <w:rsid w:val="00492F90"/>
    <w:rsid w:val="004930BB"/>
    <w:rsid w:val="00493155"/>
    <w:rsid w:val="0049325D"/>
    <w:rsid w:val="004937E7"/>
    <w:rsid w:val="00493CD4"/>
    <w:rsid w:val="00493F03"/>
    <w:rsid w:val="0049413A"/>
    <w:rsid w:val="004943EB"/>
    <w:rsid w:val="00494FA6"/>
    <w:rsid w:val="00495107"/>
    <w:rsid w:val="004952B4"/>
    <w:rsid w:val="004954AC"/>
    <w:rsid w:val="00495552"/>
    <w:rsid w:val="004956E3"/>
    <w:rsid w:val="00495BBF"/>
    <w:rsid w:val="00495FFC"/>
    <w:rsid w:val="00496393"/>
    <w:rsid w:val="00496500"/>
    <w:rsid w:val="00496A3E"/>
    <w:rsid w:val="00496F12"/>
    <w:rsid w:val="00497252"/>
    <w:rsid w:val="00497998"/>
    <w:rsid w:val="00497BD3"/>
    <w:rsid w:val="00497C83"/>
    <w:rsid w:val="00497EDD"/>
    <w:rsid w:val="00497FFB"/>
    <w:rsid w:val="004A0A29"/>
    <w:rsid w:val="004A0A69"/>
    <w:rsid w:val="004A0D31"/>
    <w:rsid w:val="004A116B"/>
    <w:rsid w:val="004A16B7"/>
    <w:rsid w:val="004A1889"/>
    <w:rsid w:val="004A1A31"/>
    <w:rsid w:val="004A1D32"/>
    <w:rsid w:val="004A1DE6"/>
    <w:rsid w:val="004A1EE2"/>
    <w:rsid w:val="004A2096"/>
    <w:rsid w:val="004A2424"/>
    <w:rsid w:val="004A3C90"/>
    <w:rsid w:val="004A3F45"/>
    <w:rsid w:val="004A4339"/>
    <w:rsid w:val="004A4531"/>
    <w:rsid w:val="004A4ACC"/>
    <w:rsid w:val="004A4CCA"/>
    <w:rsid w:val="004A5071"/>
    <w:rsid w:val="004A5231"/>
    <w:rsid w:val="004A5484"/>
    <w:rsid w:val="004A5B6D"/>
    <w:rsid w:val="004A60F2"/>
    <w:rsid w:val="004A637A"/>
    <w:rsid w:val="004A6910"/>
    <w:rsid w:val="004A6B8F"/>
    <w:rsid w:val="004A71DF"/>
    <w:rsid w:val="004A7DBC"/>
    <w:rsid w:val="004B0285"/>
    <w:rsid w:val="004B0411"/>
    <w:rsid w:val="004B0582"/>
    <w:rsid w:val="004B0927"/>
    <w:rsid w:val="004B1595"/>
    <w:rsid w:val="004B160A"/>
    <w:rsid w:val="004B17A6"/>
    <w:rsid w:val="004B19DF"/>
    <w:rsid w:val="004B226D"/>
    <w:rsid w:val="004B2590"/>
    <w:rsid w:val="004B2766"/>
    <w:rsid w:val="004B281F"/>
    <w:rsid w:val="004B3610"/>
    <w:rsid w:val="004B3AF6"/>
    <w:rsid w:val="004B3C1E"/>
    <w:rsid w:val="004B4257"/>
    <w:rsid w:val="004B4606"/>
    <w:rsid w:val="004B5064"/>
    <w:rsid w:val="004B570C"/>
    <w:rsid w:val="004B582F"/>
    <w:rsid w:val="004B59D5"/>
    <w:rsid w:val="004B6032"/>
    <w:rsid w:val="004B6168"/>
    <w:rsid w:val="004B635D"/>
    <w:rsid w:val="004B6653"/>
    <w:rsid w:val="004B6724"/>
    <w:rsid w:val="004B6A8F"/>
    <w:rsid w:val="004B6B3C"/>
    <w:rsid w:val="004B71C2"/>
    <w:rsid w:val="004B7569"/>
    <w:rsid w:val="004B76FB"/>
    <w:rsid w:val="004B7769"/>
    <w:rsid w:val="004B7A49"/>
    <w:rsid w:val="004B7FBF"/>
    <w:rsid w:val="004C0048"/>
    <w:rsid w:val="004C0C7D"/>
    <w:rsid w:val="004C0FC2"/>
    <w:rsid w:val="004C1102"/>
    <w:rsid w:val="004C1D39"/>
    <w:rsid w:val="004C20A8"/>
    <w:rsid w:val="004C286A"/>
    <w:rsid w:val="004C2FFE"/>
    <w:rsid w:val="004C32C9"/>
    <w:rsid w:val="004C32F8"/>
    <w:rsid w:val="004C343B"/>
    <w:rsid w:val="004C35E8"/>
    <w:rsid w:val="004C3FEC"/>
    <w:rsid w:val="004C417D"/>
    <w:rsid w:val="004C4472"/>
    <w:rsid w:val="004C461A"/>
    <w:rsid w:val="004C49AF"/>
    <w:rsid w:val="004C4BBC"/>
    <w:rsid w:val="004C506E"/>
    <w:rsid w:val="004C5CF1"/>
    <w:rsid w:val="004C614E"/>
    <w:rsid w:val="004C6D2C"/>
    <w:rsid w:val="004C70C9"/>
    <w:rsid w:val="004C7FD7"/>
    <w:rsid w:val="004D0286"/>
    <w:rsid w:val="004D03A3"/>
    <w:rsid w:val="004D081D"/>
    <w:rsid w:val="004D0BB9"/>
    <w:rsid w:val="004D0D4D"/>
    <w:rsid w:val="004D1A0E"/>
    <w:rsid w:val="004D1B9F"/>
    <w:rsid w:val="004D24EF"/>
    <w:rsid w:val="004D26C8"/>
    <w:rsid w:val="004D2AD8"/>
    <w:rsid w:val="004D2EDA"/>
    <w:rsid w:val="004D2EE4"/>
    <w:rsid w:val="004D4176"/>
    <w:rsid w:val="004D4688"/>
    <w:rsid w:val="004D50EC"/>
    <w:rsid w:val="004D527D"/>
    <w:rsid w:val="004D567F"/>
    <w:rsid w:val="004D5B56"/>
    <w:rsid w:val="004D5C84"/>
    <w:rsid w:val="004D68FA"/>
    <w:rsid w:val="004D6C3B"/>
    <w:rsid w:val="004D6F82"/>
    <w:rsid w:val="004D7684"/>
    <w:rsid w:val="004D79AF"/>
    <w:rsid w:val="004E019B"/>
    <w:rsid w:val="004E0C0D"/>
    <w:rsid w:val="004E0D5A"/>
    <w:rsid w:val="004E13DD"/>
    <w:rsid w:val="004E15FF"/>
    <w:rsid w:val="004E1B17"/>
    <w:rsid w:val="004E2655"/>
    <w:rsid w:val="004E2C91"/>
    <w:rsid w:val="004E34B2"/>
    <w:rsid w:val="004E3691"/>
    <w:rsid w:val="004E40CD"/>
    <w:rsid w:val="004E4527"/>
    <w:rsid w:val="004E4B5E"/>
    <w:rsid w:val="004E4DF5"/>
    <w:rsid w:val="004E4E36"/>
    <w:rsid w:val="004E525A"/>
    <w:rsid w:val="004E525D"/>
    <w:rsid w:val="004E5B82"/>
    <w:rsid w:val="004E5C67"/>
    <w:rsid w:val="004E6191"/>
    <w:rsid w:val="004E631C"/>
    <w:rsid w:val="004E6BBA"/>
    <w:rsid w:val="004E703B"/>
    <w:rsid w:val="004E71D3"/>
    <w:rsid w:val="004E71FB"/>
    <w:rsid w:val="004E742A"/>
    <w:rsid w:val="004E7626"/>
    <w:rsid w:val="004F07A2"/>
    <w:rsid w:val="004F08FA"/>
    <w:rsid w:val="004F093F"/>
    <w:rsid w:val="004F09A4"/>
    <w:rsid w:val="004F09E0"/>
    <w:rsid w:val="004F0E83"/>
    <w:rsid w:val="004F0F52"/>
    <w:rsid w:val="004F0FDE"/>
    <w:rsid w:val="004F11E9"/>
    <w:rsid w:val="004F1AA1"/>
    <w:rsid w:val="004F1B61"/>
    <w:rsid w:val="004F1CAF"/>
    <w:rsid w:val="004F1F57"/>
    <w:rsid w:val="004F2A05"/>
    <w:rsid w:val="004F3357"/>
    <w:rsid w:val="004F3838"/>
    <w:rsid w:val="004F38BB"/>
    <w:rsid w:val="004F3E3E"/>
    <w:rsid w:val="004F424A"/>
    <w:rsid w:val="004F4336"/>
    <w:rsid w:val="004F4599"/>
    <w:rsid w:val="004F4608"/>
    <w:rsid w:val="004F546A"/>
    <w:rsid w:val="004F55F3"/>
    <w:rsid w:val="004F5A17"/>
    <w:rsid w:val="004F5DD1"/>
    <w:rsid w:val="004F5FBD"/>
    <w:rsid w:val="004F623F"/>
    <w:rsid w:val="004F634D"/>
    <w:rsid w:val="004F6E19"/>
    <w:rsid w:val="004F737D"/>
    <w:rsid w:val="004F74CB"/>
    <w:rsid w:val="004F76F1"/>
    <w:rsid w:val="004F7E8A"/>
    <w:rsid w:val="00500339"/>
    <w:rsid w:val="00500CAC"/>
    <w:rsid w:val="005010DE"/>
    <w:rsid w:val="00501202"/>
    <w:rsid w:val="00501438"/>
    <w:rsid w:val="005016EF"/>
    <w:rsid w:val="00501746"/>
    <w:rsid w:val="005019C4"/>
    <w:rsid w:val="005020EA"/>
    <w:rsid w:val="005029CA"/>
    <w:rsid w:val="00502C7C"/>
    <w:rsid w:val="00502CD1"/>
    <w:rsid w:val="00503202"/>
    <w:rsid w:val="00503FA1"/>
    <w:rsid w:val="00503FFC"/>
    <w:rsid w:val="00504480"/>
    <w:rsid w:val="005044A2"/>
    <w:rsid w:val="00504991"/>
    <w:rsid w:val="00504ABC"/>
    <w:rsid w:val="00504B76"/>
    <w:rsid w:val="0050523F"/>
    <w:rsid w:val="005055DD"/>
    <w:rsid w:val="00505860"/>
    <w:rsid w:val="00505AE0"/>
    <w:rsid w:val="00505AE6"/>
    <w:rsid w:val="005063CB"/>
    <w:rsid w:val="00506613"/>
    <w:rsid w:val="005068CB"/>
    <w:rsid w:val="00506AF3"/>
    <w:rsid w:val="00506DF3"/>
    <w:rsid w:val="00506FF0"/>
    <w:rsid w:val="00507167"/>
    <w:rsid w:val="0050781E"/>
    <w:rsid w:val="0051022D"/>
    <w:rsid w:val="00510482"/>
    <w:rsid w:val="005106F3"/>
    <w:rsid w:val="00510EAC"/>
    <w:rsid w:val="00510F43"/>
    <w:rsid w:val="00511652"/>
    <w:rsid w:val="005117CD"/>
    <w:rsid w:val="00511C91"/>
    <w:rsid w:val="00511D57"/>
    <w:rsid w:val="00512185"/>
    <w:rsid w:val="005123EC"/>
    <w:rsid w:val="005126A1"/>
    <w:rsid w:val="0051270F"/>
    <w:rsid w:val="00512AB3"/>
    <w:rsid w:val="00512D33"/>
    <w:rsid w:val="00512E34"/>
    <w:rsid w:val="00512EDF"/>
    <w:rsid w:val="00513282"/>
    <w:rsid w:val="005136F2"/>
    <w:rsid w:val="005138AD"/>
    <w:rsid w:val="00513918"/>
    <w:rsid w:val="00513A36"/>
    <w:rsid w:val="00513C36"/>
    <w:rsid w:val="00514217"/>
    <w:rsid w:val="00514527"/>
    <w:rsid w:val="00514C36"/>
    <w:rsid w:val="00515203"/>
    <w:rsid w:val="00515306"/>
    <w:rsid w:val="0051546E"/>
    <w:rsid w:val="0051572B"/>
    <w:rsid w:val="005157B6"/>
    <w:rsid w:val="00515E9B"/>
    <w:rsid w:val="00515F85"/>
    <w:rsid w:val="005162B5"/>
    <w:rsid w:val="00516C63"/>
    <w:rsid w:val="00516CAA"/>
    <w:rsid w:val="00517ABA"/>
    <w:rsid w:val="00517DD6"/>
    <w:rsid w:val="0052013C"/>
    <w:rsid w:val="005201EC"/>
    <w:rsid w:val="0052045F"/>
    <w:rsid w:val="00520849"/>
    <w:rsid w:val="0052108B"/>
    <w:rsid w:val="005211CD"/>
    <w:rsid w:val="0052151F"/>
    <w:rsid w:val="00521B2A"/>
    <w:rsid w:val="00521B7B"/>
    <w:rsid w:val="00522516"/>
    <w:rsid w:val="00522688"/>
    <w:rsid w:val="005228B0"/>
    <w:rsid w:val="005229A9"/>
    <w:rsid w:val="00522CA6"/>
    <w:rsid w:val="00522E5E"/>
    <w:rsid w:val="005234B1"/>
    <w:rsid w:val="00523685"/>
    <w:rsid w:val="005237DD"/>
    <w:rsid w:val="005239EC"/>
    <w:rsid w:val="00523A2F"/>
    <w:rsid w:val="00523ADC"/>
    <w:rsid w:val="00523BA1"/>
    <w:rsid w:val="00524730"/>
    <w:rsid w:val="00524DB0"/>
    <w:rsid w:val="00524E57"/>
    <w:rsid w:val="00525135"/>
    <w:rsid w:val="00525470"/>
    <w:rsid w:val="00525F7F"/>
    <w:rsid w:val="005261C2"/>
    <w:rsid w:val="005267E9"/>
    <w:rsid w:val="00526DFC"/>
    <w:rsid w:val="00526F05"/>
    <w:rsid w:val="0052716E"/>
    <w:rsid w:val="00527739"/>
    <w:rsid w:val="00527B2F"/>
    <w:rsid w:val="00527CAB"/>
    <w:rsid w:val="00527CBA"/>
    <w:rsid w:val="00527DEB"/>
    <w:rsid w:val="00527F84"/>
    <w:rsid w:val="00530012"/>
    <w:rsid w:val="005300EA"/>
    <w:rsid w:val="0053065B"/>
    <w:rsid w:val="00531130"/>
    <w:rsid w:val="0053117A"/>
    <w:rsid w:val="00531582"/>
    <w:rsid w:val="0053209C"/>
    <w:rsid w:val="00532135"/>
    <w:rsid w:val="00532E0C"/>
    <w:rsid w:val="005330F0"/>
    <w:rsid w:val="00533179"/>
    <w:rsid w:val="005335F1"/>
    <w:rsid w:val="005336CC"/>
    <w:rsid w:val="00533D3D"/>
    <w:rsid w:val="00533E32"/>
    <w:rsid w:val="00534BFF"/>
    <w:rsid w:val="00534F5D"/>
    <w:rsid w:val="0053513A"/>
    <w:rsid w:val="00535C0D"/>
    <w:rsid w:val="00536094"/>
    <w:rsid w:val="00536162"/>
    <w:rsid w:val="00536377"/>
    <w:rsid w:val="00536642"/>
    <w:rsid w:val="0053671A"/>
    <w:rsid w:val="005369A4"/>
    <w:rsid w:val="00536ECC"/>
    <w:rsid w:val="00537017"/>
    <w:rsid w:val="00537445"/>
    <w:rsid w:val="0053746C"/>
    <w:rsid w:val="005375F7"/>
    <w:rsid w:val="0054000F"/>
    <w:rsid w:val="0054067E"/>
    <w:rsid w:val="00540760"/>
    <w:rsid w:val="00540D0F"/>
    <w:rsid w:val="00540E5F"/>
    <w:rsid w:val="00540E96"/>
    <w:rsid w:val="0054132A"/>
    <w:rsid w:val="005415F6"/>
    <w:rsid w:val="00541C07"/>
    <w:rsid w:val="00541E6C"/>
    <w:rsid w:val="00541FB9"/>
    <w:rsid w:val="0054241C"/>
    <w:rsid w:val="005425CC"/>
    <w:rsid w:val="0054278B"/>
    <w:rsid w:val="00543B15"/>
    <w:rsid w:val="00543FE6"/>
    <w:rsid w:val="00544BF8"/>
    <w:rsid w:val="00544D28"/>
    <w:rsid w:val="00544E8D"/>
    <w:rsid w:val="005450F5"/>
    <w:rsid w:val="0054541F"/>
    <w:rsid w:val="005454BE"/>
    <w:rsid w:val="00545638"/>
    <w:rsid w:val="00545A5C"/>
    <w:rsid w:val="00545B9D"/>
    <w:rsid w:val="005460DF"/>
    <w:rsid w:val="00546CC0"/>
    <w:rsid w:val="00546ED5"/>
    <w:rsid w:val="005471DD"/>
    <w:rsid w:val="00547293"/>
    <w:rsid w:val="0054761F"/>
    <w:rsid w:val="00547D11"/>
    <w:rsid w:val="00547DAE"/>
    <w:rsid w:val="00550034"/>
    <w:rsid w:val="00550730"/>
    <w:rsid w:val="00550969"/>
    <w:rsid w:val="00550AAC"/>
    <w:rsid w:val="00550AAE"/>
    <w:rsid w:val="00550CDE"/>
    <w:rsid w:val="00550F5C"/>
    <w:rsid w:val="005516B2"/>
    <w:rsid w:val="00551986"/>
    <w:rsid w:val="00551DF7"/>
    <w:rsid w:val="00552183"/>
    <w:rsid w:val="0055224B"/>
    <w:rsid w:val="005522E8"/>
    <w:rsid w:val="0055246C"/>
    <w:rsid w:val="00552489"/>
    <w:rsid w:val="00552946"/>
    <w:rsid w:val="00552B03"/>
    <w:rsid w:val="00552C1C"/>
    <w:rsid w:val="005535B4"/>
    <w:rsid w:val="00553CF4"/>
    <w:rsid w:val="005541DE"/>
    <w:rsid w:val="0055431F"/>
    <w:rsid w:val="00554791"/>
    <w:rsid w:val="0055486A"/>
    <w:rsid w:val="00554A23"/>
    <w:rsid w:val="00554B6F"/>
    <w:rsid w:val="005557F8"/>
    <w:rsid w:val="005564DD"/>
    <w:rsid w:val="005565B6"/>
    <w:rsid w:val="00556605"/>
    <w:rsid w:val="00556BAC"/>
    <w:rsid w:val="005573E1"/>
    <w:rsid w:val="005601CF"/>
    <w:rsid w:val="00560281"/>
    <w:rsid w:val="00560296"/>
    <w:rsid w:val="00560302"/>
    <w:rsid w:val="005607EA"/>
    <w:rsid w:val="00560AB4"/>
    <w:rsid w:val="00560D78"/>
    <w:rsid w:val="00560F24"/>
    <w:rsid w:val="00561144"/>
    <w:rsid w:val="00561ADC"/>
    <w:rsid w:val="00562223"/>
    <w:rsid w:val="00562649"/>
    <w:rsid w:val="00562BBA"/>
    <w:rsid w:val="00562F15"/>
    <w:rsid w:val="00562FE2"/>
    <w:rsid w:val="0056376C"/>
    <w:rsid w:val="00563870"/>
    <w:rsid w:val="00563951"/>
    <w:rsid w:val="00563CB5"/>
    <w:rsid w:val="00565828"/>
    <w:rsid w:val="005658CC"/>
    <w:rsid w:val="00565947"/>
    <w:rsid w:val="00565B67"/>
    <w:rsid w:val="00565EB6"/>
    <w:rsid w:val="005660B7"/>
    <w:rsid w:val="005662F6"/>
    <w:rsid w:val="00567121"/>
    <w:rsid w:val="00567149"/>
    <w:rsid w:val="00567763"/>
    <w:rsid w:val="005706FF"/>
    <w:rsid w:val="00570995"/>
    <w:rsid w:val="00570D63"/>
    <w:rsid w:val="005710BF"/>
    <w:rsid w:val="0057233D"/>
    <w:rsid w:val="005723D1"/>
    <w:rsid w:val="0057241F"/>
    <w:rsid w:val="00572F02"/>
    <w:rsid w:val="005731AB"/>
    <w:rsid w:val="005736B7"/>
    <w:rsid w:val="00573789"/>
    <w:rsid w:val="00573A70"/>
    <w:rsid w:val="00574340"/>
    <w:rsid w:val="00574378"/>
    <w:rsid w:val="00574544"/>
    <w:rsid w:val="00574B03"/>
    <w:rsid w:val="00575982"/>
    <w:rsid w:val="00576A1A"/>
    <w:rsid w:val="00576A83"/>
    <w:rsid w:val="005773D8"/>
    <w:rsid w:val="005776D7"/>
    <w:rsid w:val="00577FDF"/>
    <w:rsid w:val="0058012A"/>
    <w:rsid w:val="005806D2"/>
    <w:rsid w:val="00580A48"/>
    <w:rsid w:val="00580D2E"/>
    <w:rsid w:val="005813C5"/>
    <w:rsid w:val="00581850"/>
    <w:rsid w:val="00581BC7"/>
    <w:rsid w:val="00582407"/>
    <w:rsid w:val="00582A10"/>
    <w:rsid w:val="00582BD7"/>
    <w:rsid w:val="005834A8"/>
    <w:rsid w:val="00583810"/>
    <w:rsid w:val="00583872"/>
    <w:rsid w:val="0058395B"/>
    <w:rsid w:val="005840EE"/>
    <w:rsid w:val="00584354"/>
    <w:rsid w:val="005844A7"/>
    <w:rsid w:val="005844E0"/>
    <w:rsid w:val="00584788"/>
    <w:rsid w:val="00584A1F"/>
    <w:rsid w:val="00584BDE"/>
    <w:rsid w:val="00584C46"/>
    <w:rsid w:val="0058537D"/>
    <w:rsid w:val="005853A7"/>
    <w:rsid w:val="005854C3"/>
    <w:rsid w:val="0058583B"/>
    <w:rsid w:val="00585B20"/>
    <w:rsid w:val="00585C54"/>
    <w:rsid w:val="00585D53"/>
    <w:rsid w:val="0058617D"/>
    <w:rsid w:val="005862FC"/>
    <w:rsid w:val="00586A63"/>
    <w:rsid w:val="00586E34"/>
    <w:rsid w:val="00587431"/>
    <w:rsid w:val="00587760"/>
    <w:rsid w:val="005903C4"/>
    <w:rsid w:val="00590726"/>
    <w:rsid w:val="005909CD"/>
    <w:rsid w:val="00590ACA"/>
    <w:rsid w:val="005912CC"/>
    <w:rsid w:val="00591371"/>
    <w:rsid w:val="0059157A"/>
    <w:rsid w:val="005917AB"/>
    <w:rsid w:val="00591B01"/>
    <w:rsid w:val="00591DAE"/>
    <w:rsid w:val="005920D3"/>
    <w:rsid w:val="0059210D"/>
    <w:rsid w:val="005923D5"/>
    <w:rsid w:val="00592859"/>
    <w:rsid w:val="00592A9E"/>
    <w:rsid w:val="00592C02"/>
    <w:rsid w:val="00592C5B"/>
    <w:rsid w:val="00592E86"/>
    <w:rsid w:val="00592EE3"/>
    <w:rsid w:val="0059356A"/>
    <w:rsid w:val="0059357A"/>
    <w:rsid w:val="0059373E"/>
    <w:rsid w:val="0059383B"/>
    <w:rsid w:val="00593900"/>
    <w:rsid w:val="00593BB1"/>
    <w:rsid w:val="00593C22"/>
    <w:rsid w:val="00594065"/>
    <w:rsid w:val="005944E0"/>
    <w:rsid w:val="0059469B"/>
    <w:rsid w:val="005947B9"/>
    <w:rsid w:val="00594807"/>
    <w:rsid w:val="00594A11"/>
    <w:rsid w:val="005951D6"/>
    <w:rsid w:val="005955E8"/>
    <w:rsid w:val="005956E5"/>
    <w:rsid w:val="00595807"/>
    <w:rsid w:val="00595B15"/>
    <w:rsid w:val="00595CAB"/>
    <w:rsid w:val="0059600E"/>
    <w:rsid w:val="005960E8"/>
    <w:rsid w:val="005961DE"/>
    <w:rsid w:val="005967F9"/>
    <w:rsid w:val="005968C1"/>
    <w:rsid w:val="005968E6"/>
    <w:rsid w:val="005968F7"/>
    <w:rsid w:val="00596A63"/>
    <w:rsid w:val="00596D9B"/>
    <w:rsid w:val="005972AA"/>
    <w:rsid w:val="00597A74"/>
    <w:rsid w:val="005A0BA6"/>
    <w:rsid w:val="005A0F2A"/>
    <w:rsid w:val="005A11E5"/>
    <w:rsid w:val="005A196F"/>
    <w:rsid w:val="005A1A79"/>
    <w:rsid w:val="005A1E84"/>
    <w:rsid w:val="005A2C50"/>
    <w:rsid w:val="005A307B"/>
    <w:rsid w:val="005A3DF5"/>
    <w:rsid w:val="005A3DFA"/>
    <w:rsid w:val="005A3F6E"/>
    <w:rsid w:val="005A45F6"/>
    <w:rsid w:val="005A4879"/>
    <w:rsid w:val="005A4BBB"/>
    <w:rsid w:val="005A550E"/>
    <w:rsid w:val="005A5B99"/>
    <w:rsid w:val="005A5D31"/>
    <w:rsid w:val="005A5DE4"/>
    <w:rsid w:val="005A6084"/>
    <w:rsid w:val="005A624A"/>
    <w:rsid w:val="005A62A2"/>
    <w:rsid w:val="005A69CD"/>
    <w:rsid w:val="005A6C96"/>
    <w:rsid w:val="005A6D5C"/>
    <w:rsid w:val="005A70D6"/>
    <w:rsid w:val="005A756E"/>
    <w:rsid w:val="005A77E6"/>
    <w:rsid w:val="005A7BCC"/>
    <w:rsid w:val="005B0096"/>
    <w:rsid w:val="005B0147"/>
    <w:rsid w:val="005B022B"/>
    <w:rsid w:val="005B09FA"/>
    <w:rsid w:val="005B0FDC"/>
    <w:rsid w:val="005B109C"/>
    <w:rsid w:val="005B10E7"/>
    <w:rsid w:val="005B1415"/>
    <w:rsid w:val="005B1DF2"/>
    <w:rsid w:val="005B2251"/>
    <w:rsid w:val="005B2784"/>
    <w:rsid w:val="005B2F25"/>
    <w:rsid w:val="005B2F65"/>
    <w:rsid w:val="005B31A3"/>
    <w:rsid w:val="005B31D6"/>
    <w:rsid w:val="005B3264"/>
    <w:rsid w:val="005B3341"/>
    <w:rsid w:val="005B36DA"/>
    <w:rsid w:val="005B38F2"/>
    <w:rsid w:val="005B3A1E"/>
    <w:rsid w:val="005B3AD5"/>
    <w:rsid w:val="005B4089"/>
    <w:rsid w:val="005B44F6"/>
    <w:rsid w:val="005B4A7B"/>
    <w:rsid w:val="005B4E4A"/>
    <w:rsid w:val="005B5019"/>
    <w:rsid w:val="005B57C3"/>
    <w:rsid w:val="005B5A32"/>
    <w:rsid w:val="005B6642"/>
    <w:rsid w:val="005B7225"/>
    <w:rsid w:val="005B727C"/>
    <w:rsid w:val="005B73EF"/>
    <w:rsid w:val="005B7660"/>
    <w:rsid w:val="005B785C"/>
    <w:rsid w:val="005B7D55"/>
    <w:rsid w:val="005C013F"/>
    <w:rsid w:val="005C03AB"/>
    <w:rsid w:val="005C0C14"/>
    <w:rsid w:val="005C0ED0"/>
    <w:rsid w:val="005C119D"/>
    <w:rsid w:val="005C124B"/>
    <w:rsid w:val="005C14C3"/>
    <w:rsid w:val="005C20CB"/>
    <w:rsid w:val="005C2805"/>
    <w:rsid w:val="005C288D"/>
    <w:rsid w:val="005C29FC"/>
    <w:rsid w:val="005C2BBF"/>
    <w:rsid w:val="005C317F"/>
    <w:rsid w:val="005C3A26"/>
    <w:rsid w:val="005C3C15"/>
    <w:rsid w:val="005C3C23"/>
    <w:rsid w:val="005C3E72"/>
    <w:rsid w:val="005C40A0"/>
    <w:rsid w:val="005C43AF"/>
    <w:rsid w:val="005C4FC4"/>
    <w:rsid w:val="005C5248"/>
    <w:rsid w:val="005C549A"/>
    <w:rsid w:val="005C64CE"/>
    <w:rsid w:val="005C67C9"/>
    <w:rsid w:val="005C698A"/>
    <w:rsid w:val="005C6A2A"/>
    <w:rsid w:val="005C6BB5"/>
    <w:rsid w:val="005C705D"/>
    <w:rsid w:val="005C7461"/>
    <w:rsid w:val="005C7507"/>
    <w:rsid w:val="005C76CE"/>
    <w:rsid w:val="005C7879"/>
    <w:rsid w:val="005D05E8"/>
    <w:rsid w:val="005D0674"/>
    <w:rsid w:val="005D070C"/>
    <w:rsid w:val="005D0E60"/>
    <w:rsid w:val="005D1694"/>
    <w:rsid w:val="005D19DE"/>
    <w:rsid w:val="005D240F"/>
    <w:rsid w:val="005D26BC"/>
    <w:rsid w:val="005D2A6B"/>
    <w:rsid w:val="005D2FF9"/>
    <w:rsid w:val="005D342C"/>
    <w:rsid w:val="005D3632"/>
    <w:rsid w:val="005D3AE1"/>
    <w:rsid w:val="005D42FC"/>
    <w:rsid w:val="005D477A"/>
    <w:rsid w:val="005D48CA"/>
    <w:rsid w:val="005D5143"/>
    <w:rsid w:val="005D5C76"/>
    <w:rsid w:val="005D5D1B"/>
    <w:rsid w:val="005D626F"/>
    <w:rsid w:val="005D6736"/>
    <w:rsid w:val="005D7AA4"/>
    <w:rsid w:val="005D7C62"/>
    <w:rsid w:val="005E020B"/>
    <w:rsid w:val="005E0448"/>
    <w:rsid w:val="005E0660"/>
    <w:rsid w:val="005E09CF"/>
    <w:rsid w:val="005E0ED8"/>
    <w:rsid w:val="005E125C"/>
    <w:rsid w:val="005E14EE"/>
    <w:rsid w:val="005E1587"/>
    <w:rsid w:val="005E1B34"/>
    <w:rsid w:val="005E23EE"/>
    <w:rsid w:val="005E2616"/>
    <w:rsid w:val="005E2908"/>
    <w:rsid w:val="005E301D"/>
    <w:rsid w:val="005E331B"/>
    <w:rsid w:val="005E34AF"/>
    <w:rsid w:val="005E34B1"/>
    <w:rsid w:val="005E3AFF"/>
    <w:rsid w:val="005E3FF1"/>
    <w:rsid w:val="005E550F"/>
    <w:rsid w:val="005E5513"/>
    <w:rsid w:val="005E5648"/>
    <w:rsid w:val="005E5A69"/>
    <w:rsid w:val="005E5DED"/>
    <w:rsid w:val="005E5FFB"/>
    <w:rsid w:val="005E60CB"/>
    <w:rsid w:val="005E64C6"/>
    <w:rsid w:val="005E6538"/>
    <w:rsid w:val="005E657E"/>
    <w:rsid w:val="005E6717"/>
    <w:rsid w:val="005E681A"/>
    <w:rsid w:val="005E6EDB"/>
    <w:rsid w:val="005E78AB"/>
    <w:rsid w:val="005E7CB0"/>
    <w:rsid w:val="005F0488"/>
    <w:rsid w:val="005F0B97"/>
    <w:rsid w:val="005F0F67"/>
    <w:rsid w:val="005F143F"/>
    <w:rsid w:val="005F1923"/>
    <w:rsid w:val="005F1AB5"/>
    <w:rsid w:val="005F201C"/>
    <w:rsid w:val="005F217D"/>
    <w:rsid w:val="005F2258"/>
    <w:rsid w:val="005F2F38"/>
    <w:rsid w:val="005F3108"/>
    <w:rsid w:val="005F320C"/>
    <w:rsid w:val="005F334D"/>
    <w:rsid w:val="005F3408"/>
    <w:rsid w:val="005F3532"/>
    <w:rsid w:val="005F3BAF"/>
    <w:rsid w:val="005F3CDF"/>
    <w:rsid w:val="005F4025"/>
    <w:rsid w:val="005F41BE"/>
    <w:rsid w:val="005F43FB"/>
    <w:rsid w:val="005F4B3E"/>
    <w:rsid w:val="005F4C9A"/>
    <w:rsid w:val="005F4E37"/>
    <w:rsid w:val="005F5BE5"/>
    <w:rsid w:val="005F5C22"/>
    <w:rsid w:val="005F66E0"/>
    <w:rsid w:val="005F672E"/>
    <w:rsid w:val="005F68F7"/>
    <w:rsid w:val="005F6C57"/>
    <w:rsid w:val="005F725D"/>
    <w:rsid w:val="005F756B"/>
    <w:rsid w:val="005F7C93"/>
    <w:rsid w:val="005F7F24"/>
    <w:rsid w:val="006001ED"/>
    <w:rsid w:val="006006B3"/>
    <w:rsid w:val="0060081F"/>
    <w:rsid w:val="0060097B"/>
    <w:rsid w:val="00600AFA"/>
    <w:rsid w:val="00600E84"/>
    <w:rsid w:val="006015F4"/>
    <w:rsid w:val="00601731"/>
    <w:rsid w:val="00601738"/>
    <w:rsid w:val="00601762"/>
    <w:rsid w:val="006017E5"/>
    <w:rsid w:val="00601A72"/>
    <w:rsid w:val="00601BBA"/>
    <w:rsid w:val="00601ED6"/>
    <w:rsid w:val="00601FEF"/>
    <w:rsid w:val="00602108"/>
    <w:rsid w:val="00602EE4"/>
    <w:rsid w:val="00602FB7"/>
    <w:rsid w:val="006030DB"/>
    <w:rsid w:val="006031D5"/>
    <w:rsid w:val="00603308"/>
    <w:rsid w:val="006034A4"/>
    <w:rsid w:val="0060402D"/>
    <w:rsid w:val="0060479B"/>
    <w:rsid w:val="00604843"/>
    <w:rsid w:val="00604B7D"/>
    <w:rsid w:val="006054CC"/>
    <w:rsid w:val="00605ECE"/>
    <w:rsid w:val="0060632E"/>
    <w:rsid w:val="00606454"/>
    <w:rsid w:val="0060709C"/>
    <w:rsid w:val="00607249"/>
    <w:rsid w:val="0061040C"/>
    <w:rsid w:val="006107E3"/>
    <w:rsid w:val="006108FD"/>
    <w:rsid w:val="00610A15"/>
    <w:rsid w:val="00610ADF"/>
    <w:rsid w:val="00610C34"/>
    <w:rsid w:val="006114A3"/>
    <w:rsid w:val="00611DBD"/>
    <w:rsid w:val="00612B43"/>
    <w:rsid w:val="00612D3C"/>
    <w:rsid w:val="00612ECF"/>
    <w:rsid w:val="006130B3"/>
    <w:rsid w:val="0061347F"/>
    <w:rsid w:val="0061349B"/>
    <w:rsid w:val="00613A57"/>
    <w:rsid w:val="00613F18"/>
    <w:rsid w:val="00614131"/>
    <w:rsid w:val="0061495C"/>
    <w:rsid w:val="00615A70"/>
    <w:rsid w:val="00615B26"/>
    <w:rsid w:val="00615DF2"/>
    <w:rsid w:val="00616035"/>
    <w:rsid w:val="006163B3"/>
    <w:rsid w:val="0061695C"/>
    <w:rsid w:val="00616B34"/>
    <w:rsid w:val="00616CBD"/>
    <w:rsid w:val="00616FAB"/>
    <w:rsid w:val="006173AF"/>
    <w:rsid w:val="00617630"/>
    <w:rsid w:val="0061769A"/>
    <w:rsid w:val="00617AC3"/>
    <w:rsid w:val="00617FFD"/>
    <w:rsid w:val="00620053"/>
    <w:rsid w:val="006204DC"/>
    <w:rsid w:val="006207CE"/>
    <w:rsid w:val="00620F05"/>
    <w:rsid w:val="00620F66"/>
    <w:rsid w:val="00621048"/>
    <w:rsid w:val="00621971"/>
    <w:rsid w:val="00621A87"/>
    <w:rsid w:val="00621BB5"/>
    <w:rsid w:val="00621C39"/>
    <w:rsid w:val="00621E7B"/>
    <w:rsid w:val="00622131"/>
    <w:rsid w:val="00622E5D"/>
    <w:rsid w:val="00622F74"/>
    <w:rsid w:val="00623201"/>
    <w:rsid w:val="006232F4"/>
    <w:rsid w:val="00623AE3"/>
    <w:rsid w:val="00623E53"/>
    <w:rsid w:val="00624069"/>
    <w:rsid w:val="0062429E"/>
    <w:rsid w:val="006244E2"/>
    <w:rsid w:val="006249BA"/>
    <w:rsid w:val="006252E6"/>
    <w:rsid w:val="0062554D"/>
    <w:rsid w:val="00625E4C"/>
    <w:rsid w:val="0062677E"/>
    <w:rsid w:val="0062678E"/>
    <w:rsid w:val="006267EC"/>
    <w:rsid w:val="00626CA0"/>
    <w:rsid w:val="006270E2"/>
    <w:rsid w:val="006271A7"/>
    <w:rsid w:val="006275D0"/>
    <w:rsid w:val="00627FA8"/>
    <w:rsid w:val="006302FE"/>
    <w:rsid w:val="006303E6"/>
    <w:rsid w:val="00630DA0"/>
    <w:rsid w:val="00630DB8"/>
    <w:rsid w:val="00631C83"/>
    <w:rsid w:val="00631FF1"/>
    <w:rsid w:val="006324B1"/>
    <w:rsid w:val="00632807"/>
    <w:rsid w:val="00632B27"/>
    <w:rsid w:val="00632D74"/>
    <w:rsid w:val="00632E80"/>
    <w:rsid w:val="00633373"/>
    <w:rsid w:val="006335FC"/>
    <w:rsid w:val="00633C48"/>
    <w:rsid w:val="00634468"/>
    <w:rsid w:val="0063471B"/>
    <w:rsid w:val="006355C5"/>
    <w:rsid w:val="00635C8D"/>
    <w:rsid w:val="00636BE5"/>
    <w:rsid w:val="00636EAA"/>
    <w:rsid w:val="00637167"/>
    <w:rsid w:val="00637242"/>
    <w:rsid w:val="00637730"/>
    <w:rsid w:val="00637853"/>
    <w:rsid w:val="00637B34"/>
    <w:rsid w:val="00640078"/>
    <w:rsid w:val="00640244"/>
    <w:rsid w:val="006402C6"/>
    <w:rsid w:val="00640423"/>
    <w:rsid w:val="0064050A"/>
    <w:rsid w:val="00640548"/>
    <w:rsid w:val="00640628"/>
    <w:rsid w:val="00640791"/>
    <w:rsid w:val="0064084A"/>
    <w:rsid w:val="00640A32"/>
    <w:rsid w:val="00641506"/>
    <w:rsid w:val="0064178B"/>
    <w:rsid w:val="00641B4D"/>
    <w:rsid w:val="00641C56"/>
    <w:rsid w:val="00641EE0"/>
    <w:rsid w:val="00641FA4"/>
    <w:rsid w:val="006420F8"/>
    <w:rsid w:val="00642147"/>
    <w:rsid w:val="006421D0"/>
    <w:rsid w:val="006424E4"/>
    <w:rsid w:val="00642C09"/>
    <w:rsid w:val="00642CD0"/>
    <w:rsid w:val="00642D1B"/>
    <w:rsid w:val="00643731"/>
    <w:rsid w:val="00643779"/>
    <w:rsid w:val="00644281"/>
    <w:rsid w:val="00644389"/>
    <w:rsid w:val="0064501F"/>
    <w:rsid w:val="0064521C"/>
    <w:rsid w:val="006456AE"/>
    <w:rsid w:val="00645756"/>
    <w:rsid w:val="00645B3F"/>
    <w:rsid w:val="00645DA3"/>
    <w:rsid w:val="00646354"/>
    <w:rsid w:val="00646540"/>
    <w:rsid w:val="006468DC"/>
    <w:rsid w:val="006471EA"/>
    <w:rsid w:val="0064726C"/>
    <w:rsid w:val="0064741F"/>
    <w:rsid w:val="00647572"/>
    <w:rsid w:val="00647B9F"/>
    <w:rsid w:val="00647BCC"/>
    <w:rsid w:val="00647EC5"/>
    <w:rsid w:val="006501A9"/>
    <w:rsid w:val="0065096E"/>
    <w:rsid w:val="0065106E"/>
    <w:rsid w:val="00651BCF"/>
    <w:rsid w:val="00651DB2"/>
    <w:rsid w:val="00651E06"/>
    <w:rsid w:val="0065221B"/>
    <w:rsid w:val="00652695"/>
    <w:rsid w:val="00653271"/>
    <w:rsid w:val="006532C9"/>
    <w:rsid w:val="00653474"/>
    <w:rsid w:val="00654229"/>
    <w:rsid w:val="0065438C"/>
    <w:rsid w:val="00654612"/>
    <w:rsid w:val="00654EEA"/>
    <w:rsid w:val="00655261"/>
    <w:rsid w:val="006569F8"/>
    <w:rsid w:val="00656B94"/>
    <w:rsid w:val="00656BEA"/>
    <w:rsid w:val="00656E48"/>
    <w:rsid w:val="006571A7"/>
    <w:rsid w:val="00657332"/>
    <w:rsid w:val="00657495"/>
    <w:rsid w:val="00657AC1"/>
    <w:rsid w:val="00657ACB"/>
    <w:rsid w:val="00657E9C"/>
    <w:rsid w:val="00660407"/>
    <w:rsid w:val="006604D0"/>
    <w:rsid w:val="00661170"/>
    <w:rsid w:val="00661385"/>
    <w:rsid w:val="0066189B"/>
    <w:rsid w:val="00661A76"/>
    <w:rsid w:val="00661B5B"/>
    <w:rsid w:val="00661E47"/>
    <w:rsid w:val="00662508"/>
    <w:rsid w:val="006625F4"/>
    <w:rsid w:val="006629FC"/>
    <w:rsid w:val="006635F2"/>
    <w:rsid w:val="006638C3"/>
    <w:rsid w:val="00663D1C"/>
    <w:rsid w:val="00663D71"/>
    <w:rsid w:val="0066420D"/>
    <w:rsid w:val="006648EB"/>
    <w:rsid w:val="00664F4A"/>
    <w:rsid w:val="0066546F"/>
    <w:rsid w:val="00665600"/>
    <w:rsid w:val="00665AAA"/>
    <w:rsid w:val="00665C89"/>
    <w:rsid w:val="00666F6B"/>
    <w:rsid w:val="00667255"/>
    <w:rsid w:val="006676E9"/>
    <w:rsid w:val="0066797B"/>
    <w:rsid w:val="00667A86"/>
    <w:rsid w:val="00667B4D"/>
    <w:rsid w:val="00670136"/>
    <w:rsid w:val="0067032C"/>
    <w:rsid w:val="00670A58"/>
    <w:rsid w:val="0067143F"/>
    <w:rsid w:val="006716A4"/>
    <w:rsid w:val="00671D71"/>
    <w:rsid w:val="00672450"/>
    <w:rsid w:val="00672A06"/>
    <w:rsid w:val="00672E7C"/>
    <w:rsid w:val="0067305D"/>
    <w:rsid w:val="00673E29"/>
    <w:rsid w:val="00673E47"/>
    <w:rsid w:val="00674265"/>
    <w:rsid w:val="00674307"/>
    <w:rsid w:val="006745BF"/>
    <w:rsid w:val="0067494D"/>
    <w:rsid w:val="006749C8"/>
    <w:rsid w:val="00674E68"/>
    <w:rsid w:val="00674EF8"/>
    <w:rsid w:val="00675338"/>
    <w:rsid w:val="00675750"/>
    <w:rsid w:val="0067631A"/>
    <w:rsid w:val="006766F4"/>
    <w:rsid w:val="006766FD"/>
    <w:rsid w:val="00676B25"/>
    <w:rsid w:val="00676F63"/>
    <w:rsid w:val="00677462"/>
    <w:rsid w:val="006777D1"/>
    <w:rsid w:val="006806BA"/>
    <w:rsid w:val="00680BC5"/>
    <w:rsid w:val="00680F7B"/>
    <w:rsid w:val="00681516"/>
    <w:rsid w:val="00681A36"/>
    <w:rsid w:val="006823D4"/>
    <w:rsid w:val="006831CE"/>
    <w:rsid w:val="006841F0"/>
    <w:rsid w:val="0068477B"/>
    <w:rsid w:val="00685018"/>
    <w:rsid w:val="00685028"/>
    <w:rsid w:val="006852D7"/>
    <w:rsid w:val="00685582"/>
    <w:rsid w:val="006859B5"/>
    <w:rsid w:val="00685A5D"/>
    <w:rsid w:val="00685E9B"/>
    <w:rsid w:val="00685FEF"/>
    <w:rsid w:val="006860DE"/>
    <w:rsid w:val="0068655B"/>
    <w:rsid w:val="00686600"/>
    <w:rsid w:val="0068678C"/>
    <w:rsid w:val="00686833"/>
    <w:rsid w:val="00686CBE"/>
    <w:rsid w:val="00686D0F"/>
    <w:rsid w:val="00687AD1"/>
    <w:rsid w:val="00687C73"/>
    <w:rsid w:val="0069034F"/>
    <w:rsid w:val="006908AA"/>
    <w:rsid w:val="00690BC9"/>
    <w:rsid w:val="0069108E"/>
    <w:rsid w:val="00691232"/>
    <w:rsid w:val="00691E53"/>
    <w:rsid w:val="00691FEE"/>
    <w:rsid w:val="00692327"/>
    <w:rsid w:val="00692815"/>
    <w:rsid w:val="00692A59"/>
    <w:rsid w:val="00692BFA"/>
    <w:rsid w:val="00692C41"/>
    <w:rsid w:val="00693325"/>
    <w:rsid w:val="006935F7"/>
    <w:rsid w:val="00693BCD"/>
    <w:rsid w:val="00693FCD"/>
    <w:rsid w:val="00694149"/>
    <w:rsid w:val="00694527"/>
    <w:rsid w:val="006955CD"/>
    <w:rsid w:val="00695964"/>
    <w:rsid w:val="00695FAE"/>
    <w:rsid w:val="00696847"/>
    <w:rsid w:val="0069694E"/>
    <w:rsid w:val="00696A32"/>
    <w:rsid w:val="00696B68"/>
    <w:rsid w:val="00696E87"/>
    <w:rsid w:val="00696FA3"/>
    <w:rsid w:val="00697487"/>
    <w:rsid w:val="0069756D"/>
    <w:rsid w:val="00697726"/>
    <w:rsid w:val="00697B3E"/>
    <w:rsid w:val="00697F7D"/>
    <w:rsid w:val="006A0098"/>
    <w:rsid w:val="006A02F1"/>
    <w:rsid w:val="006A0873"/>
    <w:rsid w:val="006A09FB"/>
    <w:rsid w:val="006A1968"/>
    <w:rsid w:val="006A1D25"/>
    <w:rsid w:val="006A1F34"/>
    <w:rsid w:val="006A2053"/>
    <w:rsid w:val="006A3101"/>
    <w:rsid w:val="006A389F"/>
    <w:rsid w:val="006A394A"/>
    <w:rsid w:val="006A3955"/>
    <w:rsid w:val="006A4798"/>
    <w:rsid w:val="006A4B06"/>
    <w:rsid w:val="006A4D36"/>
    <w:rsid w:val="006A5551"/>
    <w:rsid w:val="006A58A8"/>
    <w:rsid w:val="006A5969"/>
    <w:rsid w:val="006A5E9E"/>
    <w:rsid w:val="006A6813"/>
    <w:rsid w:val="006A6918"/>
    <w:rsid w:val="006A6993"/>
    <w:rsid w:val="006A710B"/>
    <w:rsid w:val="006A710D"/>
    <w:rsid w:val="006A721F"/>
    <w:rsid w:val="006A7501"/>
    <w:rsid w:val="006A75EE"/>
    <w:rsid w:val="006A7688"/>
    <w:rsid w:val="006A76A7"/>
    <w:rsid w:val="006B0F1C"/>
    <w:rsid w:val="006B1A60"/>
    <w:rsid w:val="006B1BE6"/>
    <w:rsid w:val="006B1D66"/>
    <w:rsid w:val="006B2321"/>
    <w:rsid w:val="006B2DE0"/>
    <w:rsid w:val="006B2FDF"/>
    <w:rsid w:val="006B3447"/>
    <w:rsid w:val="006B35D2"/>
    <w:rsid w:val="006B3854"/>
    <w:rsid w:val="006B3C58"/>
    <w:rsid w:val="006B3D1D"/>
    <w:rsid w:val="006B3D25"/>
    <w:rsid w:val="006B3EC1"/>
    <w:rsid w:val="006B41CA"/>
    <w:rsid w:val="006B4221"/>
    <w:rsid w:val="006B481D"/>
    <w:rsid w:val="006B4B6C"/>
    <w:rsid w:val="006B4D36"/>
    <w:rsid w:val="006B4EDD"/>
    <w:rsid w:val="006B5189"/>
    <w:rsid w:val="006B52C9"/>
    <w:rsid w:val="006B547A"/>
    <w:rsid w:val="006B54AD"/>
    <w:rsid w:val="006B56B2"/>
    <w:rsid w:val="006B59D5"/>
    <w:rsid w:val="006B5AAA"/>
    <w:rsid w:val="006B5BC5"/>
    <w:rsid w:val="006B5D34"/>
    <w:rsid w:val="006B5D4A"/>
    <w:rsid w:val="006B6044"/>
    <w:rsid w:val="006B60C3"/>
    <w:rsid w:val="006B6C20"/>
    <w:rsid w:val="006B6E80"/>
    <w:rsid w:val="006B7AD7"/>
    <w:rsid w:val="006C0DDA"/>
    <w:rsid w:val="006C12CF"/>
    <w:rsid w:val="006C1C6E"/>
    <w:rsid w:val="006C21E8"/>
    <w:rsid w:val="006C222E"/>
    <w:rsid w:val="006C252B"/>
    <w:rsid w:val="006C2B0F"/>
    <w:rsid w:val="006C31E4"/>
    <w:rsid w:val="006C3238"/>
    <w:rsid w:val="006C34BF"/>
    <w:rsid w:val="006C4B2D"/>
    <w:rsid w:val="006C4B5C"/>
    <w:rsid w:val="006C4D85"/>
    <w:rsid w:val="006C4EA7"/>
    <w:rsid w:val="006C53FC"/>
    <w:rsid w:val="006C5BF3"/>
    <w:rsid w:val="006C5CEC"/>
    <w:rsid w:val="006C633F"/>
    <w:rsid w:val="006C6470"/>
    <w:rsid w:val="006C6BA7"/>
    <w:rsid w:val="006C79AB"/>
    <w:rsid w:val="006C7B09"/>
    <w:rsid w:val="006D014B"/>
    <w:rsid w:val="006D02DA"/>
    <w:rsid w:val="006D0C31"/>
    <w:rsid w:val="006D0C46"/>
    <w:rsid w:val="006D0E66"/>
    <w:rsid w:val="006D18E1"/>
    <w:rsid w:val="006D191F"/>
    <w:rsid w:val="006D1968"/>
    <w:rsid w:val="006D19E1"/>
    <w:rsid w:val="006D1BF5"/>
    <w:rsid w:val="006D1CD3"/>
    <w:rsid w:val="006D28B5"/>
    <w:rsid w:val="006D28E4"/>
    <w:rsid w:val="006D3135"/>
    <w:rsid w:val="006D320B"/>
    <w:rsid w:val="006D3225"/>
    <w:rsid w:val="006D369C"/>
    <w:rsid w:val="006D3B0C"/>
    <w:rsid w:val="006D3B5D"/>
    <w:rsid w:val="006D3BEE"/>
    <w:rsid w:val="006D3C01"/>
    <w:rsid w:val="006D4007"/>
    <w:rsid w:val="006D447C"/>
    <w:rsid w:val="006D4907"/>
    <w:rsid w:val="006D4AE6"/>
    <w:rsid w:val="006D53D2"/>
    <w:rsid w:val="006D5BD3"/>
    <w:rsid w:val="006D5EAA"/>
    <w:rsid w:val="006D5ECA"/>
    <w:rsid w:val="006D621A"/>
    <w:rsid w:val="006D6455"/>
    <w:rsid w:val="006D655B"/>
    <w:rsid w:val="006D692D"/>
    <w:rsid w:val="006D6A00"/>
    <w:rsid w:val="006D6FFB"/>
    <w:rsid w:val="006D7687"/>
    <w:rsid w:val="006D7782"/>
    <w:rsid w:val="006D7AF6"/>
    <w:rsid w:val="006E0DFF"/>
    <w:rsid w:val="006E1025"/>
    <w:rsid w:val="006E10B1"/>
    <w:rsid w:val="006E1278"/>
    <w:rsid w:val="006E1475"/>
    <w:rsid w:val="006E19C8"/>
    <w:rsid w:val="006E1B72"/>
    <w:rsid w:val="006E22A6"/>
    <w:rsid w:val="006E24AF"/>
    <w:rsid w:val="006E2575"/>
    <w:rsid w:val="006E2752"/>
    <w:rsid w:val="006E2E54"/>
    <w:rsid w:val="006E2EAB"/>
    <w:rsid w:val="006E30AB"/>
    <w:rsid w:val="006E3409"/>
    <w:rsid w:val="006E3673"/>
    <w:rsid w:val="006E3865"/>
    <w:rsid w:val="006E3977"/>
    <w:rsid w:val="006E3AE2"/>
    <w:rsid w:val="006E3B4D"/>
    <w:rsid w:val="006E3F50"/>
    <w:rsid w:val="006E4303"/>
    <w:rsid w:val="006E436D"/>
    <w:rsid w:val="006E4556"/>
    <w:rsid w:val="006E4ABC"/>
    <w:rsid w:val="006E4B72"/>
    <w:rsid w:val="006E5726"/>
    <w:rsid w:val="006E58F4"/>
    <w:rsid w:val="006E5A07"/>
    <w:rsid w:val="006E62BD"/>
    <w:rsid w:val="006E643C"/>
    <w:rsid w:val="006E64C4"/>
    <w:rsid w:val="006E6766"/>
    <w:rsid w:val="006E677B"/>
    <w:rsid w:val="006E753D"/>
    <w:rsid w:val="006E755C"/>
    <w:rsid w:val="006E7677"/>
    <w:rsid w:val="006E7883"/>
    <w:rsid w:val="006E7DF0"/>
    <w:rsid w:val="006F003B"/>
    <w:rsid w:val="006F0624"/>
    <w:rsid w:val="006F0677"/>
    <w:rsid w:val="006F071B"/>
    <w:rsid w:val="006F0FA6"/>
    <w:rsid w:val="006F1791"/>
    <w:rsid w:val="006F1862"/>
    <w:rsid w:val="006F1B0A"/>
    <w:rsid w:val="006F1C26"/>
    <w:rsid w:val="006F1C94"/>
    <w:rsid w:val="006F1DBC"/>
    <w:rsid w:val="006F25EC"/>
    <w:rsid w:val="006F2B84"/>
    <w:rsid w:val="006F2D90"/>
    <w:rsid w:val="006F308A"/>
    <w:rsid w:val="006F3521"/>
    <w:rsid w:val="006F36D4"/>
    <w:rsid w:val="006F380A"/>
    <w:rsid w:val="006F38A3"/>
    <w:rsid w:val="006F39EA"/>
    <w:rsid w:val="006F3AC7"/>
    <w:rsid w:val="006F3EF9"/>
    <w:rsid w:val="006F3F2E"/>
    <w:rsid w:val="006F403C"/>
    <w:rsid w:val="006F4422"/>
    <w:rsid w:val="006F46D5"/>
    <w:rsid w:val="006F4B1A"/>
    <w:rsid w:val="006F4CC1"/>
    <w:rsid w:val="006F5C06"/>
    <w:rsid w:val="006F644F"/>
    <w:rsid w:val="006F66E5"/>
    <w:rsid w:val="006F69BB"/>
    <w:rsid w:val="006F6CD9"/>
    <w:rsid w:val="006F75EF"/>
    <w:rsid w:val="006F7764"/>
    <w:rsid w:val="00700174"/>
    <w:rsid w:val="00700B83"/>
    <w:rsid w:val="007010D2"/>
    <w:rsid w:val="007011B3"/>
    <w:rsid w:val="00701641"/>
    <w:rsid w:val="00701B69"/>
    <w:rsid w:val="00701C86"/>
    <w:rsid w:val="00701D21"/>
    <w:rsid w:val="00701DAF"/>
    <w:rsid w:val="00701E40"/>
    <w:rsid w:val="00702092"/>
    <w:rsid w:val="00702855"/>
    <w:rsid w:val="00702A8E"/>
    <w:rsid w:val="00702BA6"/>
    <w:rsid w:val="00702BD9"/>
    <w:rsid w:val="00702CAB"/>
    <w:rsid w:val="00702FC6"/>
    <w:rsid w:val="007030BB"/>
    <w:rsid w:val="00703496"/>
    <w:rsid w:val="00703549"/>
    <w:rsid w:val="00703A75"/>
    <w:rsid w:val="00703E55"/>
    <w:rsid w:val="00704058"/>
    <w:rsid w:val="0070419B"/>
    <w:rsid w:val="00704248"/>
    <w:rsid w:val="00704A77"/>
    <w:rsid w:val="00704C0A"/>
    <w:rsid w:val="00704D06"/>
    <w:rsid w:val="00705872"/>
    <w:rsid w:val="0070612F"/>
    <w:rsid w:val="007064C5"/>
    <w:rsid w:val="007064EA"/>
    <w:rsid w:val="00706917"/>
    <w:rsid w:val="007069F0"/>
    <w:rsid w:val="00706B8E"/>
    <w:rsid w:val="00707171"/>
    <w:rsid w:val="0070743E"/>
    <w:rsid w:val="00707594"/>
    <w:rsid w:val="0070788C"/>
    <w:rsid w:val="00707C15"/>
    <w:rsid w:val="00710238"/>
    <w:rsid w:val="0071034D"/>
    <w:rsid w:val="007105BE"/>
    <w:rsid w:val="007105D0"/>
    <w:rsid w:val="0071072E"/>
    <w:rsid w:val="007107E3"/>
    <w:rsid w:val="007108F3"/>
    <w:rsid w:val="00710C04"/>
    <w:rsid w:val="00710FEF"/>
    <w:rsid w:val="00711C27"/>
    <w:rsid w:val="00712068"/>
    <w:rsid w:val="007120C4"/>
    <w:rsid w:val="00712431"/>
    <w:rsid w:val="007129EC"/>
    <w:rsid w:val="00712B36"/>
    <w:rsid w:val="007134DB"/>
    <w:rsid w:val="007138CB"/>
    <w:rsid w:val="00713DBE"/>
    <w:rsid w:val="00713FB7"/>
    <w:rsid w:val="00714ADB"/>
    <w:rsid w:val="00715A72"/>
    <w:rsid w:val="007164DC"/>
    <w:rsid w:val="007166CA"/>
    <w:rsid w:val="007167FA"/>
    <w:rsid w:val="00716E90"/>
    <w:rsid w:val="0071741F"/>
    <w:rsid w:val="00717468"/>
    <w:rsid w:val="00717891"/>
    <w:rsid w:val="00717C83"/>
    <w:rsid w:val="00717E74"/>
    <w:rsid w:val="00720018"/>
    <w:rsid w:val="00720F4D"/>
    <w:rsid w:val="0072144C"/>
    <w:rsid w:val="007218F1"/>
    <w:rsid w:val="00721C83"/>
    <w:rsid w:val="007220C9"/>
    <w:rsid w:val="0072252E"/>
    <w:rsid w:val="00723AE3"/>
    <w:rsid w:val="0072419E"/>
    <w:rsid w:val="0072457F"/>
    <w:rsid w:val="007248DF"/>
    <w:rsid w:val="00724F85"/>
    <w:rsid w:val="00724FFB"/>
    <w:rsid w:val="00725198"/>
    <w:rsid w:val="00725642"/>
    <w:rsid w:val="00725FB5"/>
    <w:rsid w:val="00726035"/>
    <w:rsid w:val="00726B9A"/>
    <w:rsid w:val="0072703A"/>
    <w:rsid w:val="00727564"/>
    <w:rsid w:val="00727B4A"/>
    <w:rsid w:val="00730452"/>
    <w:rsid w:val="00730B65"/>
    <w:rsid w:val="00730C79"/>
    <w:rsid w:val="00730C89"/>
    <w:rsid w:val="00730EA7"/>
    <w:rsid w:val="00732173"/>
    <w:rsid w:val="007325CB"/>
    <w:rsid w:val="00732B87"/>
    <w:rsid w:val="007336AA"/>
    <w:rsid w:val="0073382B"/>
    <w:rsid w:val="00733CB3"/>
    <w:rsid w:val="00733E48"/>
    <w:rsid w:val="00734184"/>
    <w:rsid w:val="0073456D"/>
    <w:rsid w:val="007347A1"/>
    <w:rsid w:val="00734817"/>
    <w:rsid w:val="00734F0E"/>
    <w:rsid w:val="00734F96"/>
    <w:rsid w:val="007353BD"/>
    <w:rsid w:val="00735A17"/>
    <w:rsid w:val="00735A35"/>
    <w:rsid w:val="00735FF3"/>
    <w:rsid w:val="0073624C"/>
    <w:rsid w:val="00736290"/>
    <w:rsid w:val="0073671C"/>
    <w:rsid w:val="00736E07"/>
    <w:rsid w:val="007370DB"/>
    <w:rsid w:val="0073710D"/>
    <w:rsid w:val="0073743C"/>
    <w:rsid w:val="00737A1F"/>
    <w:rsid w:val="00740230"/>
    <w:rsid w:val="007408A6"/>
    <w:rsid w:val="0074094D"/>
    <w:rsid w:val="00740B68"/>
    <w:rsid w:val="00740F94"/>
    <w:rsid w:val="00741072"/>
    <w:rsid w:val="00741647"/>
    <w:rsid w:val="0074209B"/>
    <w:rsid w:val="0074253E"/>
    <w:rsid w:val="00742CAE"/>
    <w:rsid w:val="00742D26"/>
    <w:rsid w:val="00743814"/>
    <w:rsid w:val="00743856"/>
    <w:rsid w:val="0074387D"/>
    <w:rsid w:val="007438FF"/>
    <w:rsid w:val="00743C9E"/>
    <w:rsid w:val="007440D7"/>
    <w:rsid w:val="00744339"/>
    <w:rsid w:val="007447C7"/>
    <w:rsid w:val="007448A8"/>
    <w:rsid w:val="00744AEA"/>
    <w:rsid w:val="00744DAB"/>
    <w:rsid w:val="00744F61"/>
    <w:rsid w:val="007450A8"/>
    <w:rsid w:val="00745168"/>
    <w:rsid w:val="00746119"/>
    <w:rsid w:val="007465B6"/>
    <w:rsid w:val="007465C3"/>
    <w:rsid w:val="00746632"/>
    <w:rsid w:val="00746A8B"/>
    <w:rsid w:val="00746A99"/>
    <w:rsid w:val="00746B52"/>
    <w:rsid w:val="00746CA9"/>
    <w:rsid w:val="007472E6"/>
    <w:rsid w:val="00747367"/>
    <w:rsid w:val="007474ED"/>
    <w:rsid w:val="00747576"/>
    <w:rsid w:val="00747880"/>
    <w:rsid w:val="00747FA3"/>
    <w:rsid w:val="0075083B"/>
    <w:rsid w:val="00750AEA"/>
    <w:rsid w:val="007514FA"/>
    <w:rsid w:val="007516DC"/>
    <w:rsid w:val="00751EF8"/>
    <w:rsid w:val="007523A4"/>
    <w:rsid w:val="00752471"/>
    <w:rsid w:val="007526E1"/>
    <w:rsid w:val="00752952"/>
    <w:rsid w:val="00752D4B"/>
    <w:rsid w:val="00753A2D"/>
    <w:rsid w:val="00753C00"/>
    <w:rsid w:val="007545F2"/>
    <w:rsid w:val="007547E6"/>
    <w:rsid w:val="00754BBE"/>
    <w:rsid w:val="00755994"/>
    <w:rsid w:val="007559C1"/>
    <w:rsid w:val="00755A84"/>
    <w:rsid w:val="00755ECA"/>
    <w:rsid w:val="007562E0"/>
    <w:rsid w:val="00756CED"/>
    <w:rsid w:val="00756F07"/>
    <w:rsid w:val="00756F94"/>
    <w:rsid w:val="00756FF4"/>
    <w:rsid w:val="0075745B"/>
    <w:rsid w:val="00757564"/>
    <w:rsid w:val="00757699"/>
    <w:rsid w:val="00757836"/>
    <w:rsid w:val="00757CEF"/>
    <w:rsid w:val="00757E17"/>
    <w:rsid w:val="00760472"/>
    <w:rsid w:val="0076049A"/>
    <w:rsid w:val="00760828"/>
    <w:rsid w:val="007609BE"/>
    <w:rsid w:val="00760D3D"/>
    <w:rsid w:val="00761762"/>
    <w:rsid w:val="00761A05"/>
    <w:rsid w:val="00761BC7"/>
    <w:rsid w:val="00761FF7"/>
    <w:rsid w:val="00762F38"/>
    <w:rsid w:val="00763010"/>
    <w:rsid w:val="0076382A"/>
    <w:rsid w:val="007639DA"/>
    <w:rsid w:val="00763DA2"/>
    <w:rsid w:val="00763EC7"/>
    <w:rsid w:val="00764135"/>
    <w:rsid w:val="00764223"/>
    <w:rsid w:val="0076436E"/>
    <w:rsid w:val="00764AE0"/>
    <w:rsid w:val="00764C58"/>
    <w:rsid w:val="00764F22"/>
    <w:rsid w:val="00765216"/>
    <w:rsid w:val="00765259"/>
    <w:rsid w:val="0076598D"/>
    <w:rsid w:val="00765AA3"/>
    <w:rsid w:val="00765C6C"/>
    <w:rsid w:val="0076644C"/>
    <w:rsid w:val="00766454"/>
    <w:rsid w:val="00766920"/>
    <w:rsid w:val="0076788D"/>
    <w:rsid w:val="007679E4"/>
    <w:rsid w:val="00767A9E"/>
    <w:rsid w:val="00767C38"/>
    <w:rsid w:val="00770355"/>
    <w:rsid w:val="007704D4"/>
    <w:rsid w:val="00770645"/>
    <w:rsid w:val="00770938"/>
    <w:rsid w:val="00770A45"/>
    <w:rsid w:val="007712F4"/>
    <w:rsid w:val="00771452"/>
    <w:rsid w:val="00771F9A"/>
    <w:rsid w:val="00771FA3"/>
    <w:rsid w:val="00772132"/>
    <w:rsid w:val="00772723"/>
    <w:rsid w:val="007729B9"/>
    <w:rsid w:val="00772C04"/>
    <w:rsid w:val="007737F6"/>
    <w:rsid w:val="007738FE"/>
    <w:rsid w:val="0077413A"/>
    <w:rsid w:val="0077493A"/>
    <w:rsid w:val="00774CDD"/>
    <w:rsid w:val="00774F7C"/>
    <w:rsid w:val="0077565F"/>
    <w:rsid w:val="00775834"/>
    <w:rsid w:val="007761BE"/>
    <w:rsid w:val="007768AF"/>
    <w:rsid w:val="00776960"/>
    <w:rsid w:val="007773D2"/>
    <w:rsid w:val="0077799B"/>
    <w:rsid w:val="00777B02"/>
    <w:rsid w:val="00777CB6"/>
    <w:rsid w:val="00777ECD"/>
    <w:rsid w:val="007807E9"/>
    <w:rsid w:val="00780D45"/>
    <w:rsid w:val="00781146"/>
    <w:rsid w:val="00781A85"/>
    <w:rsid w:val="00781CE1"/>
    <w:rsid w:val="00781EC2"/>
    <w:rsid w:val="00782410"/>
    <w:rsid w:val="00782B79"/>
    <w:rsid w:val="00783570"/>
    <w:rsid w:val="00783DCB"/>
    <w:rsid w:val="00784266"/>
    <w:rsid w:val="00784270"/>
    <w:rsid w:val="00784A62"/>
    <w:rsid w:val="007852A4"/>
    <w:rsid w:val="00785DD5"/>
    <w:rsid w:val="007863C7"/>
    <w:rsid w:val="007864A5"/>
    <w:rsid w:val="00786606"/>
    <w:rsid w:val="00786EE4"/>
    <w:rsid w:val="00787606"/>
    <w:rsid w:val="0078763A"/>
    <w:rsid w:val="00787643"/>
    <w:rsid w:val="007877A8"/>
    <w:rsid w:val="00787BCD"/>
    <w:rsid w:val="00787D6B"/>
    <w:rsid w:val="00787E34"/>
    <w:rsid w:val="00790D80"/>
    <w:rsid w:val="0079111C"/>
    <w:rsid w:val="007917B3"/>
    <w:rsid w:val="00791A98"/>
    <w:rsid w:val="00791B01"/>
    <w:rsid w:val="007921D5"/>
    <w:rsid w:val="00792A43"/>
    <w:rsid w:val="00792F78"/>
    <w:rsid w:val="007935FA"/>
    <w:rsid w:val="00793711"/>
    <w:rsid w:val="00793B9B"/>
    <w:rsid w:val="00794373"/>
    <w:rsid w:val="0079452C"/>
    <w:rsid w:val="00794C1F"/>
    <w:rsid w:val="00794CF8"/>
    <w:rsid w:val="007950FB"/>
    <w:rsid w:val="0079526D"/>
    <w:rsid w:val="0079557A"/>
    <w:rsid w:val="00795585"/>
    <w:rsid w:val="0079572E"/>
    <w:rsid w:val="00796615"/>
    <w:rsid w:val="00796BAB"/>
    <w:rsid w:val="00796E34"/>
    <w:rsid w:val="00796F6F"/>
    <w:rsid w:val="0079704B"/>
    <w:rsid w:val="00797866"/>
    <w:rsid w:val="007978A7"/>
    <w:rsid w:val="0079792F"/>
    <w:rsid w:val="00797A2B"/>
    <w:rsid w:val="00797E6D"/>
    <w:rsid w:val="007A0047"/>
    <w:rsid w:val="007A024C"/>
    <w:rsid w:val="007A0D4C"/>
    <w:rsid w:val="007A1194"/>
    <w:rsid w:val="007A1B8A"/>
    <w:rsid w:val="007A20DB"/>
    <w:rsid w:val="007A2161"/>
    <w:rsid w:val="007A23CF"/>
    <w:rsid w:val="007A2B3A"/>
    <w:rsid w:val="007A2FDA"/>
    <w:rsid w:val="007A319C"/>
    <w:rsid w:val="007A352F"/>
    <w:rsid w:val="007A36F4"/>
    <w:rsid w:val="007A37ED"/>
    <w:rsid w:val="007A3871"/>
    <w:rsid w:val="007A38D5"/>
    <w:rsid w:val="007A3F94"/>
    <w:rsid w:val="007A3FEF"/>
    <w:rsid w:val="007A4023"/>
    <w:rsid w:val="007A43BA"/>
    <w:rsid w:val="007A43DA"/>
    <w:rsid w:val="007A4F81"/>
    <w:rsid w:val="007A5AF8"/>
    <w:rsid w:val="007A5CF1"/>
    <w:rsid w:val="007A6210"/>
    <w:rsid w:val="007A6BCC"/>
    <w:rsid w:val="007A7018"/>
    <w:rsid w:val="007A737A"/>
    <w:rsid w:val="007A7DB5"/>
    <w:rsid w:val="007B0137"/>
    <w:rsid w:val="007B05B4"/>
    <w:rsid w:val="007B0A61"/>
    <w:rsid w:val="007B0D2D"/>
    <w:rsid w:val="007B0F80"/>
    <w:rsid w:val="007B1229"/>
    <w:rsid w:val="007B1873"/>
    <w:rsid w:val="007B19EB"/>
    <w:rsid w:val="007B1BD0"/>
    <w:rsid w:val="007B1F63"/>
    <w:rsid w:val="007B225A"/>
    <w:rsid w:val="007B3072"/>
    <w:rsid w:val="007B35D4"/>
    <w:rsid w:val="007B3792"/>
    <w:rsid w:val="007B3C0C"/>
    <w:rsid w:val="007B45AE"/>
    <w:rsid w:val="007B4A6C"/>
    <w:rsid w:val="007B534E"/>
    <w:rsid w:val="007B5671"/>
    <w:rsid w:val="007B571D"/>
    <w:rsid w:val="007B5781"/>
    <w:rsid w:val="007B5BCE"/>
    <w:rsid w:val="007B62C4"/>
    <w:rsid w:val="007B6784"/>
    <w:rsid w:val="007B695D"/>
    <w:rsid w:val="007B6A8E"/>
    <w:rsid w:val="007B721E"/>
    <w:rsid w:val="007B72AD"/>
    <w:rsid w:val="007B7C3D"/>
    <w:rsid w:val="007B7DCB"/>
    <w:rsid w:val="007B7DFF"/>
    <w:rsid w:val="007C0CEB"/>
    <w:rsid w:val="007C1371"/>
    <w:rsid w:val="007C1DA6"/>
    <w:rsid w:val="007C200F"/>
    <w:rsid w:val="007C2712"/>
    <w:rsid w:val="007C2AF2"/>
    <w:rsid w:val="007C2EE3"/>
    <w:rsid w:val="007C35EA"/>
    <w:rsid w:val="007C3784"/>
    <w:rsid w:val="007C3D00"/>
    <w:rsid w:val="007C445B"/>
    <w:rsid w:val="007C4A01"/>
    <w:rsid w:val="007C4A2B"/>
    <w:rsid w:val="007C4E81"/>
    <w:rsid w:val="007C51A3"/>
    <w:rsid w:val="007C58F1"/>
    <w:rsid w:val="007C5B50"/>
    <w:rsid w:val="007C5C96"/>
    <w:rsid w:val="007C61C8"/>
    <w:rsid w:val="007C6416"/>
    <w:rsid w:val="007C68AD"/>
    <w:rsid w:val="007C6B97"/>
    <w:rsid w:val="007C6C64"/>
    <w:rsid w:val="007C6CDA"/>
    <w:rsid w:val="007C6EA5"/>
    <w:rsid w:val="007C6F88"/>
    <w:rsid w:val="007C710D"/>
    <w:rsid w:val="007C748C"/>
    <w:rsid w:val="007C7978"/>
    <w:rsid w:val="007C7B23"/>
    <w:rsid w:val="007C7F60"/>
    <w:rsid w:val="007D0191"/>
    <w:rsid w:val="007D0C72"/>
    <w:rsid w:val="007D0ED8"/>
    <w:rsid w:val="007D12BE"/>
    <w:rsid w:val="007D174D"/>
    <w:rsid w:val="007D1802"/>
    <w:rsid w:val="007D19EF"/>
    <w:rsid w:val="007D1EC6"/>
    <w:rsid w:val="007D250B"/>
    <w:rsid w:val="007D27D2"/>
    <w:rsid w:val="007D28EF"/>
    <w:rsid w:val="007D330A"/>
    <w:rsid w:val="007D351D"/>
    <w:rsid w:val="007D35BD"/>
    <w:rsid w:val="007D378B"/>
    <w:rsid w:val="007D3980"/>
    <w:rsid w:val="007D3AAD"/>
    <w:rsid w:val="007D3ABC"/>
    <w:rsid w:val="007D3C0B"/>
    <w:rsid w:val="007D55B4"/>
    <w:rsid w:val="007D591E"/>
    <w:rsid w:val="007D5B25"/>
    <w:rsid w:val="007D5F7F"/>
    <w:rsid w:val="007D6283"/>
    <w:rsid w:val="007D64EF"/>
    <w:rsid w:val="007D6C54"/>
    <w:rsid w:val="007D7209"/>
    <w:rsid w:val="007D7305"/>
    <w:rsid w:val="007D747C"/>
    <w:rsid w:val="007D7596"/>
    <w:rsid w:val="007D7A1F"/>
    <w:rsid w:val="007D7AF0"/>
    <w:rsid w:val="007D7AF4"/>
    <w:rsid w:val="007D7C58"/>
    <w:rsid w:val="007E0D56"/>
    <w:rsid w:val="007E1200"/>
    <w:rsid w:val="007E1643"/>
    <w:rsid w:val="007E1928"/>
    <w:rsid w:val="007E1CEC"/>
    <w:rsid w:val="007E1DF2"/>
    <w:rsid w:val="007E267F"/>
    <w:rsid w:val="007E2932"/>
    <w:rsid w:val="007E2BA7"/>
    <w:rsid w:val="007E2E32"/>
    <w:rsid w:val="007E3371"/>
    <w:rsid w:val="007E3C15"/>
    <w:rsid w:val="007E485C"/>
    <w:rsid w:val="007E4A19"/>
    <w:rsid w:val="007E4D03"/>
    <w:rsid w:val="007E53E6"/>
    <w:rsid w:val="007E5AF0"/>
    <w:rsid w:val="007E5E19"/>
    <w:rsid w:val="007E60E4"/>
    <w:rsid w:val="007E61E5"/>
    <w:rsid w:val="007E63D7"/>
    <w:rsid w:val="007E6E0A"/>
    <w:rsid w:val="007E76BF"/>
    <w:rsid w:val="007E779B"/>
    <w:rsid w:val="007F09B3"/>
    <w:rsid w:val="007F157A"/>
    <w:rsid w:val="007F1C2F"/>
    <w:rsid w:val="007F203C"/>
    <w:rsid w:val="007F20EE"/>
    <w:rsid w:val="007F2242"/>
    <w:rsid w:val="007F2326"/>
    <w:rsid w:val="007F2341"/>
    <w:rsid w:val="007F2583"/>
    <w:rsid w:val="007F28F2"/>
    <w:rsid w:val="007F3050"/>
    <w:rsid w:val="007F4207"/>
    <w:rsid w:val="007F4230"/>
    <w:rsid w:val="007F4318"/>
    <w:rsid w:val="007F437D"/>
    <w:rsid w:val="007F4B11"/>
    <w:rsid w:val="007F4E51"/>
    <w:rsid w:val="007F51D1"/>
    <w:rsid w:val="007F5708"/>
    <w:rsid w:val="007F5764"/>
    <w:rsid w:val="007F5CF8"/>
    <w:rsid w:val="007F5D3C"/>
    <w:rsid w:val="007F61D6"/>
    <w:rsid w:val="007F628A"/>
    <w:rsid w:val="007F632F"/>
    <w:rsid w:val="007F63C6"/>
    <w:rsid w:val="007F67AA"/>
    <w:rsid w:val="007F685E"/>
    <w:rsid w:val="007F6982"/>
    <w:rsid w:val="007F6C62"/>
    <w:rsid w:val="007F6C76"/>
    <w:rsid w:val="007F6CD6"/>
    <w:rsid w:val="007F6FD5"/>
    <w:rsid w:val="007F70C7"/>
    <w:rsid w:val="007F77F3"/>
    <w:rsid w:val="007F783E"/>
    <w:rsid w:val="007F78D0"/>
    <w:rsid w:val="007F794C"/>
    <w:rsid w:val="007F7BC8"/>
    <w:rsid w:val="008002FE"/>
    <w:rsid w:val="0080065B"/>
    <w:rsid w:val="00800660"/>
    <w:rsid w:val="008009F7"/>
    <w:rsid w:val="00800E85"/>
    <w:rsid w:val="008011C5"/>
    <w:rsid w:val="0080121F"/>
    <w:rsid w:val="0080122B"/>
    <w:rsid w:val="00801394"/>
    <w:rsid w:val="0080182C"/>
    <w:rsid w:val="00801C60"/>
    <w:rsid w:val="008020D2"/>
    <w:rsid w:val="00802172"/>
    <w:rsid w:val="00802221"/>
    <w:rsid w:val="008022C1"/>
    <w:rsid w:val="008025C7"/>
    <w:rsid w:val="00802BC6"/>
    <w:rsid w:val="00803777"/>
    <w:rsid w:val="008037EA"/>
    <w:rsid w:val="00803B0D"/>
    <w:rsid w:val="00803B13"/>
    <w:rsid w:val="00803CE3"/>
    <w:rsid w:val="00803F90"/>
    <w:rsid w:val="008042E5"/>
    <w:rsid w:val="00805083"/>
    <w:rsid w:val="00805447"/>
    <w:rsid w:val="008057B3"/>
    <w:rsid w:val="00805A6A"/>
    <w:rsid w:val="00805C72"/>
    <w:rsid w:val="00806189"/>
    <w:rsid w:val="00806344"/>
    <w:rsid w:val="00806896"/>
    <w:rsid w:val="00806C98"/>
    <w:rsid w:val="00806D93"/>
    <w:rsid w:val="00806DB6"/>
    <w:rsid w:val="008072F1"/>
    <w:rsid w:val="008073B7"/>
    <w:rsid w:val="00807B29"/>
    <w:rsid w:val="00807C76"/>
    <w:rsid w:val="00807F8D"/>
    <w:rsid w:val="00810015"/>
    <w:rsid w:val="0081003E"/>
    <w:rsid w:val="00810211"/>
    <w:rsid w:val="008102EB"/>
    <w:rsid w:val="00810D9B"/>
    <w:rsid w:val="008111B6"/>
    <w:rsid w:val="00811460"/>
    <w:rsid w:val="008116AC"/>
    <w:rsid w:val="008119CD"/>
    <w:rsid w:val="00811AE2"/>
    <w:rsid w:val="00811F42"/>
    <w:rsid w:val="0081213C"/>
    <w:rsid w:val="008130E6"/>
    <w:rsid w:val="00813990"/>
    <w:rsid w:val="008140E4"/>
    <w:rsid w:val="00814213"/>
    <w:rsid w:val="008147FA"/>
    <w:rsid w:val="00814859"/>
    <w:rsid w:val="00814954"/>
    <w:rsid w:val="00814E60"/>
    <w:rsid w:val="00815111"/>
    <w:rsid w:val="008156E5"/>
    <w:rsid w:val="00815F52"/>
    <w:rsid w:val="008164DD"/>
    <w:rsid w:val="00817559"/>
    <w:rsid w:val="00817825"/>
    <w:rsid w:val="008209A9"/>
    <w:rsid w:val="00821056"/>
    <w:rsid w:val="008218F6"/>
    <w:rsid w:val="00821BE5"/>
    <w:rsid w:val="00821E9B"/>
    <w:rsid w:val="0082214B"/>
    <w:rsid w:val="00822324"/>
    <w:rsid w:val="0082234E"/>
    <w:rsid w:val="0082295C"/>
    <w:rsid w:val="00822DDA"/>
    <w:rsid w:val="00822FBA"/>
    <w:rsid w:val="00823426"/>
    <w:rsid w:val="00823689"/>
    <w:rsid w:val="00823966"/>
    <w:rsid w:val="00823D5E"/>
    <w:rsid w:val="00823E4C"/>
    <w:rsid w:val="00823F3B"/>
    <w:rsid w:val="008242DA"/>
    <w:rsid w:val="00824381"/>
    <w:rsid w:val="008253D1"/>
    <w:rsid w:val="008255B9"/>
    <w:rsid w:val="00825847"/>
    <w:rsid w:val="00825A99"/>
    <w:rsid w:val="00825B4F"/>
    <w:rsid w:val="008263DE"/>
    <w:rsid w:val="00826A59"/>
    <w:rsid w:val="00826B16"/>
    <w:rsid w:val="00827166"/>
    <w:rsid w:val="00827806"/>
    <w:rsid w:val="00830987"/>
    <w:rsid w:val="00830D1F"/>
    <w:rsid w:val="00830E6C"/>
    <w:rsid w:val="0083124F"/>
    <w:rsid w:val="00832D69"/>
    <w:rsid w:val="00832D91"/>
    <w:rsid w:val="0083391B"/>
    <w:rsid w:val="00833966"/>
    <w:rsid w:val="00833C7C"/>
    <w:rsid w:val="00833DCF"/>
    <w:rsid w:val="008342A0"/>
    <w:rsid w:val="008345A4"/>
    <w:rsid w:val="0083492E"/>
    <w:rsid w:val="00834FC6"/>
    <w:rsid w:val="008350C7"/>
    <w:rsid w:val="00835371"/>
    <w:rsid w:val="0083586F"/>
    <w:rsid w:val="0083588D"/>
    <w:rsid w:val="00835A04"/>
    <w:rsid w:val="00835ED1"/>
    <w:rsid w:val="00835F94"/>
    <w:rsid w:val="0083602F"/>
    <w:rsid w:val="00836259"/>
    <w:rsid w:val="00836274"/>
    <w:rsid w:val="00836B23"/>
    <w:rsid w:val="00836B32"/>
    <w:rsid w:val="00836E21"/>
    <w:rsid w:val="00836E2A"/>
    <w:rsid w:val="008371DC"/>
    <w:rsid w:val="0083737B"/>
    <w:rsid w:val="00837802"/>
    <w:rsid w:val="00837913"/>
    <w:rsid w:val="00837934"/>
    <w:rsid w:val="00837FC9"/>
    <w:rsid w:val="00840251"/>
    <w:rsid w:val="008403FF"/>
    <w:rsid w:val="00840944"/>
    <w:rsid w:val="00840AA5"/>
    <w:rsid w:val="00840D00"/>
    <w:rsid w:val="00840D41"/>
    <w:rsid w:val="00841073"/>
    <w:rsid w:val="00841A9C"/>
    <w:rsid w:val="00841BC8"/>
    <w:rsid w:val="00841DDD"/>
    <w:rsid w:val="00841E53"/>
    <w:rsid w:val="00842594"/>
    <w:rsid w:val="00842E4A"/>
    <w:rsid w:val="0084319B"/>
    <w:rsid w:val="008432F3"/>
    <w:rsid w:val="00843679"/>
    <w:rsid w:val="008438AA"/>
    <w:rsid w:val="00843A79"/>
    <w:rsid w:val="00843FCD"/>
    <w:rsid w:val="008448FC"/>
    <w:rsid w:val="00844CEA"/>
    <w:rsid w:val="008459EB"/>
    <w:rsid w:val="00846291"/>
    <w:rsid w:val="0084637E"/>
    <w:rsid w:val="0084676B"/>
    <w:rsid w:val="00847893"/>
    <w:rsid w:val="00847B48"/>
    <w:rsid w:val="00847B7E"/>
    <w:rsid w:val="00847C08"/>
    <w:rsid w:val="00847FDB"/>
    <w:rsid w:val="008504AB"/>
    <w:rsid w:val="00850B9A"/>
    <w:rsid w:val="00850D4E"/>
    <w:rsid w:val="008510C4"/>
    <w:rsid w:val="0085135B"/>
    <w:rsid w:val="00851814"/>
    <w:rsid w:val="00851A5C"/>
    <w:rsid w:val="00851F08"/>
    <w:rsid w:val="00851F26"/>
    <w:rsid w:val="00851F9F"/>
    <w:rsid w:val="0085203E"/>
    <w:rsid w:val="0085315D"/>
    <w:rsid w:val="008531E9"/>
    <w:rsid w:val="0085365D"/>
    <w:rsid w:val="00853886"/>
    <w:rsid w:val="00853F39"/>
    <w:rsid w:val="0085463C"/>
    <w:rsid w:val="00854A67"/>
    <w:rsid w:val="008552F3"/>
    <w:rsid w:val="0085619D"/>
    <w:rsid w:val="0085636E"/>
    <w:rsid w:val="008566A8"/>
    <w:rsid w:val="00856728"/>
    <w:rsid w:val="00856925"/>
    <w:rsid w:val="00856AC1"/>
    <w:rsid w:val="00856B34"/>
    <w:rsid w:val="00857863"/>
    <w:rsid w:val="00857FE2"/>
    <w:rsid w:val="00860400"/>
    <w:rsid w:val="008605FB"/>
    <w:rsid w:val="00860860"/>
    <w:rsid w:val="008613A0"/>
    <w:rsid w:val="0086170A"/>
    <w:rsid w:val="00861B09"/>
    <w:rsid w:val="008626F2"/>
    <w:rsid w:val="00862A23"/>
    <w:rsid w:val="00862CB3"/>
    <w:rsid w:val="00863062"/>
    <w:rsid w:val="0086320B"/>
    <w:rsid w:val="00863D9E"/>
    <w:rsid w:val="00863F94"/>
    <w:rsid w:val="00865C72"/>
    <w:rsid w:val="00866072"/>
    <w:rsid w:val="008660BC"/>
    <w:rsid w:val="00866298"/>
    <w:rsid w:val="00866331"/>
    <w:rsid w:val="00866832"/>
    <w:rsid w:val="00866F16"/>
    <w:rsid w:val="0086703F"/>
    <w:rsid w:val="00867285"/>
    <w:rsid w:val="0086761E"/>
    <w:rsid w:val="008678FF"/>
    <w:rsid w:val="00867A75"/>
    <w:rsid w:val="00867E09"/>
    <w:rsid w:val="008705A2"/>
    <w:rsid w:val="00870AB3"/>
    <w:rsid w:val="0087124A"/>
    <w:rsid w:val="00871495"/>
    <w:rsid w:val="008715CB"/>
    <w:rsid w:val="0087173E"/>
    <w:rsid w:val="00871B0E"/>
    <w:rsid w:val="008720D9"/>
    <w:rsid w:val="00872546"/>
    <w:rsid w:val="008725A7"/>
    <w:rsid w:val="008725B0"/>
    <w:rsid w:val="008728F5"/>
    <w:rsid w:val="00872AEB"/>
    <w:rsid w:val="00872B69"/>
    <w:rsid w:val="008730B0"/>
    <w:rsid w:val="00873226"/>
    <w:rsid w:val="00873501"/>
    <w:rsid w:val="00873CBB"/>
    <w:rsid w:val="00873F99"/>
    <w:rsid w:val="00873FA7"/>
    <w:rsid w:val="0087433B"/>
    <w:rsid w:val="00874460"/>
    <w:rsid w:val="0087519F"/>
    <w:rsid w:val="00875809"/>
    <w:rsid w:val="00875865"/>
    <w:rsid w:val="00875BDC"/>
    <w:rsid w:val="00875D85"/>
    <w:rsid w:val="00875DE0"/>
    <w:rsid w:val="00876A72"/>
    <w:rsid w:val="0087778D"/>
    <w:rsid w:val="00877A1F"/>
    <w:rsid w:val="00877E51"/>
    <w:rsid w:val="008800D0"/>
    <w:rsid w:val="0088044E"/>
    <w:rsid w:val="00880B1E"/>
    <w:rsid w:val="00880B95"/>
    <w:rsid w:val="00880C82"/>
    <w:rsid w:val="00881279"/>
    <w:rsid w:val="0088162C"/>
    <w:rsid w:val="008818B7"/>
    <w:rsid w:val="00881CC7"/>
    <w:rsid w:val="00881CF2"/>
    <w:rsid w:val="00882134"/>
    <w:rsid w:val="0088302B"/>
    <w:rsid w:val="008835A9"/>
    <w:rsid w:val="00883D91"/>
    <w:rsid w:val="008841CB"/>
    <w:rsid w:val="008844BB"/>
    <w:rsid w:val="00884512"/>
    <w:rsid w:val="0088493A"/>
    <w:rsid w:val="008852AF"/>
    <w:rsid w:val="00885355"/>
    <w:rsid w:val="008853A0"/>
    <w:rsid w:val="0088553A"/>
    <w:rsid w:val="008859BD"/>
    <w:rsid w:val="00885BD7"/>
    <w:rsid w:val="00885C46"/>
    <w:rsid w:val="00885C4F"/>
    <w:rsid w:val="00885CD0"/>
    <w:rsid w:val="00886DB2"/>
    <w:rsid w:val="00886DCF"/>
    <w:rsid w:val="00886F10"/>
    <w:rsid w:val="00887066"/>
    <w:rsid w:val="00887097"/>
    <w:rsid w:val="00887343"/>
    <w:rsid w:val="00887642"/>
    <w:rsid w:val="00890415"/>
    <w:rsid w:val="00890457"/>
    <w:rsid w:val="0089076A"/>
    <w:rsid w:val="00890836"/>
    <w:rsid w:val="00890C9C"/>
    <w:rsid w:val="00890F34"/>
    <w:rsid w:val="00891028"/>
    <w:rsid w:val="008913E4"/>
    <w:rsid w:val="0089219E"/>
    <w:rsid w:val="00892227"/>
    <w:rsid w:val="008923FB"/>
    <w:rsid w:val="0089269E"/>
    <w:rsid w:val="008926B0"/>
    <w:rsid w:val="008926BC"/>
    <w:rsid w:val="008927B9"/>
    <w:rsid w:val="00892CD1"/>
    <w:rsid w:val="00892D6E"/>
    <w:rsid w:val="00892DFC"/>
    <w:rsid w:val="00892F5C"/>
    <w:rsid w:val="00893146"/>
    <w:rsid w:val="00893247"/>
    <w:rsid w:val="00893280"/>
    <w:rsid w:val="008935E2"/>
    <w:rsid w:val="00893E6E"/>
    <w:rsid w:val="0089400E"/>
    <w:rsid w:val="00894278"/>
    <w:rsid w:val="008944F5"/>
    <w:rsid w:val="008947F6"/>
    <w:rsid w:val="00894A41"/>
    <w:rsid w:val="00895A60"/>
    <w:rsid w:val="008963D6"/>
    <w:rsid w:val="008965C4"/>
    <w:rsid w:val="00896980"/>
    <w:rsid w:val="00896AC8"/>
    <w:rsid w:val="00896AE1"/>
    <w:rsid w:val="00897138"/>
    <w:rsid w:val="00897667"/>
    <w:rsid w:val="008A041C"/>
    <w:rsid w:val="008A04BD"/>
    <w:rsid w:val="008A0657"/>
    <w:rsid w:val="008A0C71"/>
    <w:rsid w:val="008A0E64"/>
    <w:rsid w:val="008A0F72"/>
    <w:rsid w:val="008A1BA2"/>
    <w:rsid w:val="008A23A6"/>
    <w:rsid w:val="008A2A13"/>
    <w:rsid w:val="008A36A8"/>
    <w:rsid w:val="008A3B72"/>
    <w:rsid w:val="008A574E"/>
    <w:rsid w:val="008A5779"/>
    <w:rsid w:val="008A5A9F"/>
    <w:rsid w:val="008A6040"/>
    <w:rsid w:val="008A6BBE"/>
    <w:rsid w:val="008A6C44"/>
    <w:rsid w:val="008A7B55"/>
    <w:rsid w:val="008A7F4A"/>
    <w:rsid w:val="008B0266"/>
    <w:rsid w:val="008B03C0"/>
    <w:rsid w:val="008B043B"/>
    <w:rsid w:val="008B09E8"/>
    <w:rsid w:val="008B152E"/>
    <w:rsid w:val="008B201D"/>
    <w:rsid w:val="008B2106"/>
    <w:rsid w:val="008B2228"/>
    <w:rsid w:val="008B2281"/>
    <w:rsid w:val="008B28F4"/>
    <w:rsid w:val="008B29C5"/>
    <w:rsid w:val="008B2BBB"/>
    <w:rsid w:val="008B2EEE"/>
    <w:rsid w:val="008B2F6E"/>
    <w:rsid w:val="008B36DE"/>
    <w:rsid w:val="008B40B6"/>
    <w:rsid w:val="008B4336"/>
    <w:rsid w:val="008B4628"/>
    <w:rsid w:val="008B475A"/>
    <w:rsid w:val="008B476D"/>
    <w:rsid w:val="008B4CE8"/>
    <w:rsid w:val="008B5CE7"/>
    <w:rsid w:val="008B6BCC"/>
    <w:rsid w:val="008B6D28"/>
    <w:rsid w:val="008B78AD"/>
    <w:rsid w:val="008B797D"/>
    <w:rsid w:val="008B7B4C"/>
    <w:rsid w:val="008B7CC1"/>
    <w:rsid w:val="008B7CFC"/>
    <w:rsid w:val="008B7E20"/>
    <w:rsid w:val="008C0773"/>
    <w:rsid w:val="008C0C90"/>
    <w:rsid w:val="008C1166"/>
    <w:rsid w:val="008C14DE"/>
    <w:rsid w:val="008C1951"/>
    <w:rsid w:val="008C1ABE"/>
    <w:rsid w:val="008C1DA8"/>
    <w:rsid w:val="008C2670"/>
    <w:rsid w:val="008C3277"/>
    <w:rsid w:val="008C3291"/>
    <w:rsid w:val="008C3A48"/>
    <w:rsid w:val="008C5587"/>
    <w:rsid w:val="008C564B"/>
    <w:rsid w:val="008C594A"/>
    <w:rsid w:val="008C6071"/>
    <w:rsid w:val="008C618B"/>
    <w:rsid w:val="008C6CC1"/>
    <w:rsid w:val="008C710E"/>
    <w:rsid w:val="008C7168"/>
    <w:rsid w:val="008C7706"/>
    <w:rsid w:val="008C79F2"/>
    <w:rsid w:val="008C7F7D"/>
    <w:rsid w:val="008D0509"/>
    <w:rsid w:val="008D06DE"/>
    <w:rsid w:val="008D0F4E"/>
    <w:rsid w:val="008D11EF"/>
    <w:rsid w:val="008D129A"/>
    <w:rsid w:val="008D165A"/>
    <w:rsid w:val="008D182D"/>
    <w:rsid w:val="008D2550"/>
    <w:rsid w:val="008D2E5C"/>
    <w:rsid w:val="008D34F3"/>
    <w:rsid w:val="008D43B1"/>
    <w:rsid w:val="008D4B87"/>
    <w:rsid w:val="008D4B98"/>
    <w:rsid w:val="008D4CC6"/>
    <w:rsid w:val="008D4DC9"/>
    <w:rsid w:val="008D50FC"/>
    <w:rsid w:val="008D527F"/>
    <w:rsid w:val="008D56C0"/>
    <w:rsid w:val="008D69BE"/>
    <w:rsid w:val="008D6CFD"/>
    <w:rsid w:val="008D75F0"/>
    <w:rsid w:val="008D75FB"/>
    <w:rsid w:val="008D7721"/>
    <w:rsid w:val="008D79BC"/>
    <w:rsid w:val="008E0058"/>
    <w:rsid w:val="008E02CE"/>
    <w:rsid w:val="008E064C"/>
    <w:rsid w:val="008E0B70"/>
    <w:rsid w:val="008E0CA1"/>
    <w:rsid w:val="008E0D7F"/>
    <w:rsid w:val="008E15B5"/>
    <w:rsid w:val="008E1F30"/>
    <w:rsid w:val="008E1F4B"/>
    <w:rsid w:val="008E2027"/>
    <w:rsid w:val="008E2564"/>
    <w:rsid w:val="008E28A4"/>
    <w:rsid w:val="008E31AE"/>
    <w:rsid w:val="008E34CB"/>
    <w:rsid w:val="008E3544"/>
    <w:rsid w:val="008E39A0"/>
    <w:rsid w:val="008E4CB4"/>
    <w:rsid w:val="008E51B2"/>
    <w:rsid w:val="008E58D3"/>
    <w:rsid w:val="008E5C3D"/>
    <w:rsid w:val="008E61CE"/>
    <w:rsid w:val="008E687B"/>
    <w:rsid w:val="008E6D97"/>
    <w:rsid w:val="008E6EBF"/>
    <w:rsid w:val="008E78CC"/>
    <w:rsid w:val="008E7B56"/>
    <w:rsid w:val="008E7D7D"/>
    <w:rsid w:val="008F011C"/>
    <w:rsid w:val="008F01BE"/>
    <w:rsid w:val="008F01F0"/>
    <w:rsid w:val="008F0A73"/>
    <w:rsid w:val="008F0E9F"/>
    <w:rsid w:val="008F0FA1"/>
    <w:rsid w:val="008F18BF"/>
    <w:rsid w:val="008F1D19"/>
    <w:rsid w:val="008F1DC8"/>
    <w:rsid w:val="008F1EF4"/>
    <w:rsid w:val="008F1FE8"/>
    <w:rsid w:val="008F208A"/>
    <w:rsid w:val="008F2483"/>
    <w:rsid w:val="008F2495"/>
    <w:rsid w:val="008F2924"/>
    <w:rsid w:val="008F2BBE"/>
    <w:rsid w:val="008F3190"/>
    <w:rsid w:val="008F32E2"/>
    <w:rsid w:val="008F3D3D"/>
    <w:rsid w:val="008F4653"/>
    <w:rsid w:val="008F4B8D"/>
    <w:rsid w:val="008F5A48"/>
    <w:rsid w:val="008F5D93"/>
    <w:rsid w:val="008F623A"/>
    <w:rsid w:val="008F7312"/>
    <w:rsid w:val="008F7456"/>
    <w:rsid w:val="008F7493"/>
    <w:rsid w:val="008F74F3"/>
    <w:rsid w:val="008F7755"/>
    <w:rsid w:val="008F784E"/>
    <w:rsid w:val="008F79E9"/>
    <w:rsid w:val="00900457"/>
    <w:rsid w:val="009007E3"/>
    <w:rsid w:val="00900A29"/>
    <w:rsid w:val="00900C8E"/>
    <w:rsid w:val="00900CF7"/>
    <w:rsid w:val="00900EBA"/>
    <w:rsid w:val="00901050"/>
    <w:rsid w:val="0090155E"/>
    <w:rsid w:val="009018B9"/>
    <w:rsid w:val="0090197D"/>
    <w:rsid w:val="00902438"/>
    <w:rsid w:val="00902508"/>
    <w:rsid w:val="00903485"/>
    <w:rsid w:val="009036BA"/>
    <w:rsid w:val="009037C7"/>
    <w:rsid w:val="00904A36"/>
    <w:rsid w:val="00905238"/>
    <w:rsid w:val="00905725"/>
    <w:rsid w:val="00905E88"/>
    <w:rsid w:val="009063F2"/>
    <w:rsid w:val="00906BD0"/>
    <w:rsid w:val="00906D90"/>
    <w:rsid w:val="00906FEB"/>
    <w:rsid w:val="00907074"/>
    <w:rsid w:val="009071FB"/>
    <w:rsid w:val="00907410"/>
    <w:rsid w:val="00907915"/>
    <w:rsid w:val="00910051"/>
    <w:rsid w:val="009110C1"/>
    <w:rsid w:val="0091122C"/>
    <w:rsid w:val="00911514"/>
    <w:rsid w:val="0091154A"/>
    <w:rsid w:val="009117C6"/>
    <w:rsid w:val="00911D78"/>
    <w:rsid w:val="00911F8E"/>
    <w:rsid w:val="0091216D"/>
    <w:rsid w:val="0091275D"/>
    <w:rsid w:val="00912961"/>
    <w:rsid w:val="00912B5D"/>
    <w:rsid w:val="00913C09"/>
    <w:rsid w:val="00914227"/>
    <w:rsid w:val="00914321"/>
    <w:rsid w:val="00914841"/>
    <w:rsid w:val="009148CE"/>
    <w:rsid w:val="009151A3"/>
    <w:rsid w:val="0091561C"/>
    <w:rsid w:val="00915846"/>
    <w:rsid w:val="00915874"/>
    <w:rsid w:val="009158B7"/>
    <w:rsid w:val="0091599C"/>
    <w:rsid w:val="00915CE3"/>
    <w:rsid w:val="0091635C"/>
    <w:rsid w:val="009164CE"/>
    <w:rsid w:val="00916655"/>
    <w:rsid w:val="00916751"/>
    <w:rsid w:val="0091706F"/>
    <w:rsid w:val="0091727A"/>
    <w:rsid w:val="0091733B"/>
    <w:rsid w:val="00917775"/>
    <w:rsid w:val="00917959"/>
    <w:rsid w:val="009200E4"/>
    <w:rsid w:val="00920126"/>
    <w:rsid w:val="00920DC7"/>
    <w:rsid w:val="009217FA"/>
    <w:rsid w:val="00921B55"/>
    <w:rsid w:val="0092264C"/>
    <w:rsid w:val="00922961"/>
    <w:rsid w:val="00922C2E"/>
    <w:rsid w:val="00923078"/>
    <w:rsid w:val="00923989"/>
    <w:rsid w:val="00923CBB"/>
    <w:rsid w:val="00924231"/>
    <w:rsid w:val="009243F5"/>
    <w:rsid w:val="00924733"/>
    <w:rsid w:val="00924852"/>
    <w:rsid w:val="0092559C"/>
    <w:rsid w:val="00925691"/>
    <w:rsid w:val="00925B7E"/>
    <w:rsid w:val="009262AE"/>
    <w:rsid w:val="009266C7"/>
    <w:rsid w:val="00926ACF"/>
    <w:rsid w:val="00926B9C"/>
    <w:rsid w:val="00926BA7"/>
    <w:rsid w:val="00926EAD"/>
    <w:rsid w:val="0092779C"/>
    <w:rsid w:val="00927BBF"/>
    <w:rsid w:val="00927C9D"/>
    <w:rsid w:val="00930026"/>
    <w:rsid w:val="009301CE"/>
    <w:rsid w:val="009303E1"/>
    <w:rsid w:val="00930E2B"/>
    <w:rsid w:val="009313AF"/>
    <w:rsid w:val="00931D3E"/>
    <w:rsid w:val="00931EE6"/>
    <w:rsid w:val="00931F8A"/>
    <w:rsid w:val="0093220E"/>
    <w:rsid w:val="00932F24"/>
    <w:rsid w:val="00933235"/>
    <w:rsid w:val="0093327C"/>
    <w:rsid w:val="009332EF"/>
    <w:rsid w:val="00933424"/>
    <w:rsid w:val="00933991"/>
    <w:rsid w:val="00934799"/>
    <w:rsid w:val="00934B23"/>
    <w:rsid w:val="009351D5"/>
    <w:rsid w:val="00935C07"/>
    <w:rsid w:val="00935FA6"/>
    <w:rsid w:val="009366CC"/>
    <w:rsid w:val="0093696C"/>
    <w:rsid w:val="00936A5C"/>
    <w:rsid w:val="009371CD"/>
    <w:rsid w:val="00937B03"/>
    <w:rsid w:val="00937B73"/>
    <w:rsid w:val="00937F98"/>
    <w:rsid w:val="009401AC"/>
    <w:rsid w:val="00940694"/>
    <w:rsid w:val="00940749"/>
    <w:rsid w:val="0094098B"/>
    <w:rsid w:val="00941068"/>
    <w:rsid w:val="00941630"/>
    <w:rsid w:val="00941C53"/>
    <w:rsid w:val="00941D58"/>
    <w:rsid w:val="009425F0"/>
    <w:rsid w:val="00942646"/>
    <w:rsid w:val="0094299F"/>
    <w:rsid w:val="00943453"/>
    <w:rsid w:val="0094382C"/>
    <w:rsid w:val="00943A07"/>
    <w:rsid w:val="009442B3"/>
    <w:rsid w:val="00944420"/>
    <w:rsid w:val="009448F3"/>
    <w:rsid w:val="00944A9F"/>
    <w:rsid w:val="00944E8E"/>
    <w:rsid w:val="00944F2A"/>
    <w:rsid w:val="00945090"/>
    <w:rsid w:val="00945189"/>
    <w:rsid w:val="00945288"/>
    <w:rsid w:val="0094576A"/>
    <w:rsid w:val="00945B40"/>
    <w:rsid w:val="00945EF2"/>
    <w:rsid w:val="009469D5"/>
    <w:rsid w:val="00946D5E"/>
    <w:rsid w:val="009470EE"/>
    <w:rsid w:val="009472BB"/>
    <w:rsid w:val="009475B7"/>
    <w:rsid w:val="00947DC9"/>
    <w:rsid w:val="0095000B"/>
    <w:rsid w:val="0095003E"/>
    <w:rsid w:val="0095039A"/>
    <w:rsid w:val="009503D9"/>
    <w:rsid w:val="00950B3A"/>
    <w:rsid w:val="00950F0D"/>
    <w:rsid w:val="00951348"/>
    <w:rsid w:val="00951A53"/>
    <w:rsid w:val="00951F01"/>
    <w:rsid w:val="00951FE6"/>
    <w:rsid w:val="009522CE"/>
    <w:rsid w:val="00953422"/>
    <w:rsid w:val="00953778"/>
    <w:rsid w:val="00953882"/>
    <w:rsid w:val="00953B11"/>
    <w:rsid w:val="00953DF2"/>
    <w:rsid w:val="00953FEC"/>
    <w:rsid w:val="0095401A"/>
    <w:rsid w:val="009540F1"/>
    <w:rsid w:val="00954AAE"/>
    <w:rsid w:val="00954E52"/>
    <w:rsid w:val="0095508E"/>
    <w:rsid w:val="0095557E"/>
    <w:rsid w:val="00955687"/>
    <w:rsid w:val="00955FA5"/>
    <w:rsid w:val="0095608A"/>
    <w:rsid w:val="009560FB"/>
    <w:rsid w:val="009563B9"/>
    <w:rsid w:val="00956841"/>
    <w:rsid w:val="009568BB"/>
    <w:rsid w:val="009569FA"/>
    <w:rsid w:val="00956A77"/>
    <w:rsid w:val="00956BD1"/>
    <w:rsid w:val="009570CA"/>
    <w:rsid w:val="00957783"/>
    <w:rsid w:val="00957E1D"/>
    <w:rsid w:val="00957EB5"/>
    <w:rsid w:val="0096011A"/>
    <w:rsid w:val="00960464"/>
    <w:rsid w:val="009604BF"/>
    <w:rsid w:val="00960662"/>
    <w:rsid w:val="009613F8"/>
    <w:rsid w:val="009616DC"/>
    <w:rsid w:val="00961BAE"/>
    <w:rsid w:val="00962407"/>
    <w:rsid w:val="00962836"/>
    <w:rsid w:val="009628B9"/>
    <w:rsid w:val="00962DF5"/>
    <w:rsid w:val="00964157"/>
    <w:rsid w:val="00964187"/>
    <w:rsid w:val="0096449B"/>
    <w:rsid w:val="00964D0C"/>
    <w:rsid w:val="00964EE0"/>
    <w:rsid w:val="00965A52"/>
    <w:rsid w:val="00965DE5"/>
    <w:rsid w:val="009663DF"/>
    <w:rsid w:val="00966CC7"/>
    <w:rsid w:val="00966F36"/>
    <w:rsid w:val="00966F7F"/>
    <w:rsid w:val="00967279"/>
    <w:rsid w:val="00967672"/>
    <w:rsid w:val="00967996"/>
    <w:rsid w:val="00967B28"/>
    <w:rsid w:val="00967EAB"/>
    <w:rsid w:val="0097028A"/>
    <w:rsid w:val="00970447"/>
    <w:rsid w:val="00970890"/>
    <w:rsid w:val="009708DD"/>
    <w:rsid w:val="00970953"/>
    <w:rsid w:val="00970C27"/>
    <w:rsid w:val="00970D76"/>
    <w:rsid w:val="0097128F"/>
    <w:rsid w:val="0097308B"/>
    <w:rsid w:val="0097325C"/>
    <w:rsid w:val="00973432"/>
    <w:rsid w:val="009735ED"/>
    <w:rsid w:val="0097369F"/>
    <w:rsid w:val="00973C1B"/>
    <w:rsid w:val="00973D70"/>
    <w:rsid w:val="00973F1D"/>
    <w:rsid w:val="00974403"/>
    <w:rsid w:val="00974435"/>
    <w:rsid w:val="00974DB8"/>
    <w:rsid w:val="00974F3F"/>
    <w:rsid w:val="0097507E"/>
    <w:rsid w:val="0097533C"/>
    <w:rsid w:val="0097536A"/>
    <w:rsid w:val="00975541"/>
    <w:rsid w:val="0097586E"/>
    <w:rsid w:val="00975B86"/>
    <w:rsid w:val="009763F3"/>
    <w:rsid w:val="009768D8"/>
    <w:rsid w:val="00976D91"/>
    <w:rsid w:val="00976E6D"/>
    <w:rsid w:val="0097725A"/>
    <w:rsid w:val="009772D9"/>
    <w:rsid w:val="00977869"/>
    <w:rsid w:val="009778CE"/>
    <w:rsid w:val="00977E16"/>
    <w:rsid w:val="00980140"/>
    <w:rsid w:val="009801A3"/>
    <w:rsid w:val="009802BC"/>
    <w:rsid w:val="009804A9"/>
    <w:rsid w:val="0098067C"/>
    <w:rsid w:val="009806E8"/>
    <w:rsid w:val="00980BE4"/>
    <w:rsid w:val="009816EE"/>
    <w:rsid w:val="00981E73"/>
    <w:rsid w:val="0098207E"/>
    <w:rsid w:val="009821E3"/>
    <w:rsid w:val="00982569"/>
    <w:rsid w:val="00982D9C"/>
    <w:rsid w:val="0098300E"/>
    <w:rsid w:val="009835BD"/>
    <w:rsid w:val="00983A0D"/>
    <w:rsid w:val="00983E9A"/>
    <w:rsid w:val="00983EE2"/>
    <w:rsid w:val="00984228"/>
    <w:rsid w:val="00984558"/>
    <w:rsid w:val="0098493C"/>
    <w:rsid w:val="00984C30"/>
    <w:rsid w:val="00984E97"/>
    <w:rsid w:val="0098524D"/>
    <w:rsid w:val="00985565"/>
    <w:rsid w:val="00985892"/>
    <w:rsid w:val="00985C3E"/>
    <w:rsid w:val="00985EC9"/>
    <w:rsid w:val="0098612E"/>
    <w:rsid w:val="009861F3"/>
    <w:rsid w:val="009869A4"/>
    <w:rsid w:val="00986B53"/>
    <w:rsid w:val="00986BAB"/>
    <w:rsid w:val="00987190"/>
    <w:rsid w:val="009873B7"/>
    <w:rsid w:val="00987706"/>
    <w:rsid w:val="00987932"/>
    <w:rsid w:val="0098793C"/>
    <w:rsid w:val="00987999"/>
    <w:rsid w:val="00987B2B"/>
    <w:rsid w:val="00987C43"/>
    <w:rsid w:val="00987DA0"/>
    <w:rsid w:val="009909BE"/>
    <w:rsid w:val="00990A71"/>
    <w:rsid w:val="00990ACC"/>
    <w:rsid w:val="009912CD"/>
    <w:rsid w:val="0099166E"/>
    <w:rsid w:val="009920F2"/>
    <w:rsid w:val="00992B58"/>
    <w:rsid w:val="009933FB"/>
    <w:rsid w:val="00993DFF"/>
    <w:rsid w:val="009941C8"/>
    <w:rsid w:val="00994313"/>
    <w:rsid w:val="0099477E"/>
    <w:rsid w:val="00994B99"/>
    <w:rsid w:val="0099508A"/>
    <w:rsid w:val="00995668"/>
    <w:rsid w:val="00995837"/>
    <w:rsid w:val="00995DF1"/>
    <w:rsid w:val="0099604D"/>
    <w:rsid w:val="0099620B"/>
    <w:rsid w:val="00996C00"/>
    <w:rsid w:val="00996F49"/>
    <w:rsid w:val="0099771E"/>
    <w:rsid w:val="00997B0E"/>
    <w:rsid w:val="00997FB0"/>
    <w:rsid w:val="009A0BF8"/>
    <w:rsid w:val="009A10DE"/>
    <w:rsid w:val="009A1411"/>
    <w:rsid w:val="009A1594"/>
    <w:rsid w:val="009A15C5"/>
    <w:rsid w:val="009A1C2F"/>
    <w:rsid w:val="009A1EF1"/>
    <w:rsid w:val="009A2A70"/>
    <w:rsid w:val="009A2ACB"/>
    <w:rsid w:val="009A33A0"/>
    <w:rsid w:val="009A370A"/>
    <w:rsid w:val="009A3DAC"/>
    <w:rsid w:val="009A3F6B"/>
    <w:rsid w:val="009A4E9C"/>
    <w:rsid w:val="009A4EFE"/>
    <w:rsid w:val="009A51FC"/>
    <w:rsid w:val="009A548D"/>
    <w:rsid w:val="009A62FC"/>
    <w:rsid w:val="009A63B9"/>
    <w:rsid w:val="009A6752"/>
    <w:rsid w:val="009A67D4"/>
    <w:rsid w:val="009A6C17"/>
    <w:rsid w:val="009A6CFF"/>
    <w:rsid w:val="009A70DA"/>
    <w:rsid w:val="009A7203"/>
    <w:rsid w:val="009A778C"/>
    <w:rsid w:val="009A7E18"/>
    <w:rsid w:val="009B01AA"/>
    <w:rsid w:val="009B05DD"/>
    <w:rsid w:val="009B0A33"/>
    <w:rsid w:val="009B0E22"/>
    <w:rsid w:val="009B107E"/>
    <w:rsid w:val="009B108B"/>
    <w:rsid w:val="009B11CC"/>
    <w:rsid w:val="009B12D6"/>
    <w:rsid w:val="009B1ABD"/>
    <w:rsid w:val="009B1AEF"/>
    <w:rsid w:val="009B1F03"/>
    <w:rsid w:val="009B28A8"/>
    <w:rsid w:val="009B3377"/>
    <w:rsid w:val="009B35D3"/>
    <w:rsid w:val="009B3A03"/>
    <w:rsid w:val="009B3DD0"/>
    <w:rsid w:val="009B4034"/>
    <w:rsid w:val="009B49A5"/>
    <w:rsid w:val="009B49A7"/>
    <w:rsid w:val="009B4A06"/>
    <w:rsid w:val="009B562A"/>
    <w:rsid w:val="009B5A4B"/>
    <w:rsid w:val="009B5B14"/>
    <w:rsid w:val="009B5E14"/>
    <w:rsid w:val="009B6FA2"/>
    <w:rsid w:val="009B726F"/>
    <w:rsid w:val="009B7603"/>
    <w:rsid w:val="009B7A61"/>
    <w:rsid w:val="009B7B99"/>
    <w:rsid w:val="009B7C97"/>
    <w:rsid w:val="009C014E"/>
    <w:rsid w:val="009C0375"/>
    <w:rsid w:val="009C0524"/>
    <w:rsid w:val="009C088C"/>
    <w:rsid w:val="009C0AE8"/>
    <w:rsid w:val="009C0FF9"/>
    <w:rsid w:val="009C154A"/>
    <w:rsid w:val="009C15AB"/>
    <w:rsid w:val="009C1A75"/>
    <w:rsid w:val="009C1C0C"/>
    <w:rsid w:val="009C1CC1"/>
    <w:rsid w:val="009C1ED7"/>
    <w:rsid w:val="009C2173"/>
    <w:rsid w:val="009C22B9"/>
    <w:rsid w:val="009C251D"/>
    <w:rsid w:val="009C255D"/>
    <w:rsid w:val="009C297C"/>
    <w:rsid w:val="009C2A1F"/>
    <w:rsid w:val="009C3186"/>
    <w:rsid w:val="009C3BEF"/>
    <w:rsid w:val="009C3DA6"/>
    <w:rsid w:val="009C4694"/>
    <w:rsid w:val="009C4BD9"/>
    <w:rsid w:val="009C4CCC"/>
    <w:rsid w:val="009C4D68"/>
    <w:rsid w:val="009C526C"/>
    <w:rsid w:val="009C5C19"/>
    <w:rsid w:val="009C5FD9"/>
    <w:rsid w:val="009C60C3"/>
    <w:rsid w:val="009C650E"/>
    <w:rsid w:val="009C6B8F"/>
    <w:rsid w:val="009C7044"/>
    <w:rsid w:val="009C7584"/>
    <w:rsid w:val="009C7992"/>
    <w:rsid w:val="009C7EE5"/>
    <w:rsid w:val="009D0017"/>
    <w:rsid w:val="009D017B"/>
    <w:rsid w:val="009D0234"/>
    <w:rsid w:val="009D0832"/>
    <w:rsid w:val="009D0B2F"/>
    <w:rsid w:val="009D0C0C"/>
    <w:rsid w:val="009D17D6"/>
    <w:rsid w:val="009D18C7"/>
    <w:rsid w:val="009D1A8C"/>
    <w:rsid w:val="009D1C8E"/>
    <w:rsid w:val="009D1E46"/>
    <w:rsid w:val="009D2407"/>
    <w:rsid w:val="009D26D3"/>
    <w:rsid w:val="009D2EB6"/>
    <w:rsid w:val="009D2ED9"/>
    <w:rsid w:val="009D32BD"/>
    <w:rsid w:val="009D366C"/>
    <w:rsid w:val="009D36AE"/>
    <w:rsid w:val="009D3D4F"/>
    <w:rsid w:val="009D4192"/>
    <w:rsid w:val="009D4795"/>
    <w:rsid w:val="009D486B"/>
    <w:rsid w:val="009D4F5C"/>
    <w:rsid w:val="009D529F"/>
    <w:rsid w:val="009D53A1"/>
    <w:rsid w:val="009D598E"/>
    <w:rsid w:val="009D5FAA"/>
    <w:rsid w:val="009D6449"/>
    <w:rsid w:val="009D64E4"/>
    <w:rsid w:val="009D681E"/>
    <w:rsid w:val="009D6DB0"/>
    <w:rsid w:val="009D6ED2"/>
    <w:rsid w:val="009D70A3"/>
    <w:rsid w:val="009D7104"/>
    <w:rsid w:val="009D7677"/>
    <w:rsid w:val="009D799B"/>
    <w:rsid w:val="009E01F0"/>
    <w:rsid w:val="009E09EF"/>
    <w:rsid w:val="009E09F5"/>
    <w:rsid w:val="009E0C2D"/>
    <w:rsid w:val="009E0FA9"/>
    <w:rsid w:val="009E12CD"/>
    <w:rsid w:val="009E145E"/>
    <w:rsid w:val="009E14D0"/>
    <w:rsid w:val="009E1596"/>
    <w:rsid w:val="009E1864"/>
    <w:rsid w:val="009E19B5"/>
    <w:rsid w:val="009E1AFB"/>
    <w:rsid w:val="009E1CE9"/>
    <w:rsid w:val="009E1EC4"/>
    <w:rsid w:val="009E1F96"/>
    <w:rsid w:val="009E2259"/>
    <w:rsid w:val="009E274B"/>
    <w:rsid w:val="009E2A71"/>
    <w:rsid w:val="009E2B0F"/>
    <w:rsid w:val="009E2C27"/>
    <w:rsid w:val="009E2FF0"/>
    <w:rsid w:val="009E3103"/>
    <w:rsid w:val="009E3902"/>
    <w:rsid w:val="009E3B07"/>
    <w:rsid w:val="009E3BAE"/>
    <w:rsid w:val="009E4190"/>
    <w:rsid w:val="009E4248"/>
    <w:rsid w:val="009E450C"/>
    <w:rsid w:val="009E48A5"/>
    <w:rsid w:val="009E4B0B"/>
    <w:rsid w:val="009E530B"/>
    <w:rsid w:val="009E54A9"/>
    <w:rsid w:val="009E581B"/>
    <w:rsid w:val="009E5953"/>
    <w:rsid w:val="009E5B45"/>
    <w:rsid w:val="009E5E19"/>
    <w:rsid w:val="009E60B7"/>
    <w:rsid w:val="009E611E"/>
    <w:rsid w:val="009E6627"/>
    <w:rsid w:val="009E69B5"/>
    <w:rsid w:val="009E7552"/>
    <w:rsid w:val="009E7874"/>
    <w:rsid w:val="009E7A47"/>
    <w:rsid w:val="009E7EA9"/>
    <w:rsid w:val="009E7FFD"/>
    <w:rsid w:val="009F0092"/>
    <w:rsid w:val="009F0204"/>
    <w:rsid w:val="009F02C3"/>
    <w:rsid w:val="009F0934"/>
    <w:rsid w:val="009F0EEB"/>
    <w:rsid w:val="009F1686"/>
    <w:rsid w:val="009F1D54"/>
    <w:rsid w:val="009F21FC"/>
    <w:rsid w:val="009F2985"/>
    <w:rsid w:val="009F29FF"/>
    <w:rsid w:val="009F2E22"/>
    <w:rsid w:val="009F2F5E"/>
    <w:rsid w:val="009F3182"/>
    <w:rsid w:val="009F331D"/>
    <w:rsid w:val="009F3520"/>
    <w:rsid w:val="009F3586"/>
    <w:rsid w:val="009F358D"/>
    <w:rsid w:val="009F3A0E"/>
    <w:rsid w:val="009F3E2A"/>
    <w:rsid w:val="009F3ED1"/>
    <w:rsid w:val="009F3EF2"/>
    <w:rsid w:val="009F498C"/>
    <w:rsid w:val="009F4B1A"/>
    <w:rsid w:val="009F4DEA"/>
    <w:rsid w:val="009F4DF1"/>
    <w:rsid w:val="009F4FEC"/>
    <w:rsid w:val="009F5038"/>
    <w:rsid w:val="009F5413"/>
    <w:rsid w:val="009F5F2F"/>
    <w:rsid w:val="009F5FA0"/>
    <w:rsid w:val="009F7629"/>
    <w:rsid w:val="009F78E4"/>
    <w:rsid w:val="009F7C1D"/>
    <w:rsid w:val="009F7C96"/>
    <w:rsid w:val="00A00344"/>
    <w:rsid w:val="00A003C9"/>
    <w:rsid w:val="00A007F3"/>
    <w:rsid w:val="00A00DB4"/>
    <w:rsid w:val="00A00EB1"/>
    <w:rsid w:val="00A017F7"/>
    <w:rsid w:val="00A02172"/>
    <w:rsid w:val="00A0296F"/>
    <w:rsid w:val="00A02B19"/>
    <w:rsid w:val="00A0337B"/>
    <w:rsid w:val="00A0337F"/>
    <w:rsid w:val="00A03637"/>
    <w:rsid w:val="00A036E5"/>
    <w:rsid w:val="00A045DC"/>
    <w:rsid w:val="00A045E9"/>
    <w:rsid w:val="00A052F6"/>
    <w:rsid w:val="00A05318"/>
    <w:rsid w:val="00A054B2"/>
    <w:rsid w:val="00A054E2"/>
    <w:rsid w:val="00A057E0"/>
    <w:rsid w:val="00A05AF3"/>
    <w:rsid w:val="00A05E80"/>
    <w:rsid w:val="00A05FD5"/>
    <w:rsid w:val="00A063A2"/>
    <w:rsid w:val="00A068A6"/>
    <w:rsid w:val="00A07543"/>
    <w:rsid w:val="00A103B7"/>
    <w:rsid w:val="00A10555"/>
    <w:rsid w:val="00A105B1"/>
    <w:rsid w:val="00A109F3"/>
    <w:rsid w:val="00A10C6B"/>
    <w:rsid w:val="00A11243"/>
    <w:rsid w:val="00A1181D"/>
    <w:rsid w:val="00A1191D"/>
    <w:rsid w:val="00A11B7B"/>
    <w:rsid w:val="00A1280E"/>
    <w:rsid w:val="00A1471C"/>
    <w:rsid w:val="00A15848"/>
    <w:rsid w:val="00A15C4F"/>
    <w:rsid w:val="00A16E82"/>
    <w:rsid w:val="00A172A8"/>
    <w:rsid w:val="00A17499"/>
    <w:rsid w:val="00A17729"/>
    <w:rsid w:val="00A17BF4"/>
    <w:rsid w:val="00A17C5D"/>
    <w:rsid w:val="00A2021B"/>
    <w:rsid w:val="00A204E9"/>
    <w:rsid w:val="00A21B41"/>
    <w:rsid w:val="00A21BA9"/>
    <w:rsid w:val="00A21ED9"/>
    <w:rsid w:val="00A21F00"/>
    <w:rsid w:val="00A220EA"/>
    <w:rsid w:val="00A2227B"/>
    <w:rsid w:val="00A225EF"/>
    <w:rsid w:val="00A228EF"/>
    <w:rsid w:val="00A22B95"/>
    <w:rsid w:val="00A2357A"/>
    <w:rsid w:val="00A235FB"/>
    <w:rsid w:val="00A23616"/>
    <w:rsid w:val="00A23A2B"/>
    <w:rsid w:val="00A24159"/>
    <w:rsid w:val="00A241A0"/>
    <w:rsid w:val="00A242A1"/>
    <w:rsid w:val="00A24BF8"/>
    <w:rsid w:val="00A24CCD"/>
    <w:rsid w:val="00A2506A"/>
    <w:rsid w:val="00A251B7"/>
    <w:rsid w:val="00A25DDA"/>
    <w:rsid w:val="00A25EF7"/>
    <w:rsid w:val="00A26660"/>
    <w:rsid w:val="00A26F14"/>
    <w:rsid w:val="00A27016"/>
    <w:rsid w:val="00A27126"/>
    <w:rsid w:val="00A272E7"/>
    <w:rsid w:val="00A272FC"/>
    <w:rsid w:val="00A27C5C"/>
    <w:rsid w:val="00A27CCD"/>
    <w:rsid w:val="00A27FF9"/>
    <w:rsid w:val="00A302AE"/>
    <w:rsid w:val="00A302D0"/>
    <w:rsid w:val="00A3079A"/>
    <w:rsid w:val="00A30DB3"/>
    <w:rsid w:val="00A30EDC"/>
    <w:rsid w:val="00A311F3"/>
    <w:rsid w:val="00A3141C"/>
    <w:rsid w:val="00A31B1D"/>
    <w:rsid w:val="00A31B71"/>
    <w:rsid w:val="00A31DDB"/>
    <w:rsid w:val="00A31E05"/>
    <w:rsid w:val="00A31E66"/>
    <w:rsid w:val="00A321F6"/>
    <w:rsid w:val="00A322C8"/>
    <w:rsid w:val="00A3240C"/>
    <w:rsid w:val="00A327A5"/>
    <w:rsid w:val="00A33D9E"/>
    <w:rsid w:val="00A34169"/>
    <w:rsid w:val="00A34287"/>
    <w:rsid w:val="00A3474A"/>
    <w:rsid w:val="00A34C7E"/>
    <w:rsid w:val="00A3518E"/>
    <w:rsid w:val="00A352A8"/>
    <w:rsid w:val="00A35A88"/>
    <w:rsid w:val="00A35A8B"/>
    <w:rsid w:val="00A361AB"/>
    <w:rsid w:val="00A36316"/>
    <w:rsid w:val="00A363AC"/>
    <w:rsid w:val="00A364E8"/>
    <w:rsid w:val="00A37115"/>
    <w:rsid w:val="00A375D7"/>
    <w:rsid w:val="00A37611"/>
    <w:rsid w:val="00A37D15"/>
    <w:rsid w:val="00A40124"/>
    <w:rsid w:val="00A402C5"/>
    <w:rsid w:val="00A403FD"/>
    <w:rsid w:val="00A406CD"/>
    <w:rsid w:val="00A406ED"/>
    <w:rsid w:val="00A4087B"/>
    <w:rsid w:val="00A40947"/>
    <w:rsid w:val="00A40B23"/>
    <w:rsid w:val="00A4174E"/>
    <w:rsid w:val="00A42081"/>
    <w:rsid w:val="00A4239F"/>
    <w:rsid w:val="00A425E3"/>
    <w:rsid w:val="00A42C3B"/>
    <w:rsid w:val="00A42D5E"/>
    <w:rsid w:val="00A435B6"/>
    <w:rsid w:val="00A43A0F"/>
    <w:rsid w:val="00A43A4C"/>
    <w:rsid w:val="00A43C9F"/>
    <w:rsid w:val="00A43CF3"/>
    <w:rsid w:val="00A441AF"/>
    <w:rsid w:val="00A445AF"/>
    <w:rsid w:val="00A44914"/>
    <w:rsid w:val="00A4578F"/>
    <w:rsid w:val="00A45AAF"/>
    <w:rsid w:val="00A45C11"/>
    <w:rsid w:val="00A45D97"/>
    <w:rsid w:val="00A45E2A"/>
    <w:rsid w:val="00A4645E"/>
    <w:rsid w:val="00A464A9"/>
    <w:rsid w:val="00A46C43"/>
    <w:rsid w:val="00A46DC1"/>
    <w:rsid w:val="00A46E42"/>
    <w:rsid w:val="00A46FED"/>
    <w:rsid w:val="00A47000"/>
    <w:rsid w:val="00A4716A"/>
    <w:rsid w:val="00A471B1"/>
    <w:rsid w:val="00A47804"/>
    <w:rsid w:val="00A47989"/>
    <w:rsid w:val="00A47BD0"/>
    <w:rsid w:val="00A47C1D"/>
    <w:rsid w:val="00A5021B"/>
    <w:rsid w:val="00A5065A"/>
    <w:rsid w:val="00A50675"/>
    <w:rsid w:val="00A512AB"/>
    <w:rsid w:val="00A513A9"/>
    <w:rsid w:val="00A5142D"/>
    <w:rsid w:val="00A51571"/>
    <w:rsid w:val="00A5167A"/>
    <w:rsid w:val="00A523CF"/>
    <w:rsid w:val="00A52BC2"/>
    <w:rsid w:val="00A52CAA"/>
    <w:rsid w:val="00A532C8"/>
    <w:rsid w:val="00A53D05"/>
    <w:rsid w:val="00A54550"/>
    <w:rsid w:val="00A54552"/>
    <w:rsid w:val="00A54BBC"/>
    <w:rsid w:val="00A5504C"/>
    <w:rsid w:val="00A556D6"/>
    <w:rsid w:val="00A55FF0"/>
    <w:rsid w:val="00A56264"/>
    <w:rsid w:val="00A5647B"/>
    <w:rsid w:val="00A5677A"/>
    <w:rsid w:val="00A568C5"/>
    <w:rsid w:val="00A57639"/>
    <w:rsid w:val="00A578D8"/>
    <w:rsid w:val="00A57A6D"/>
    <w:rsid w:val="00A57C5F"/>
    <w:rsid w:val="00A57C7E"/>
    <w:rsid w:val="00A60352"/>
    <w:rsid w:val="00A607BF"/>
    <w:rsid w:val="00A60869"/>
    <w:rsid w:val="00A609A9"/>
    <w:rsid w:val="00A60E64"/>
    <w:rsid w:val="00A60EBB"/>
    <w:rsid w:val="00A610DA"/>
    <w:rsid w:val="00A61215"/>
    <w:rsid w:val="00A615DC"/>
    <w:rsid w:val="00A6264F"/>
    <w:rsid w:val="00A629D7"/>
    <w:rsid w:val="00A62BBA"/>
    <w:rsid w:val="00A62D47"/>
    <w:rsid w:val="00A643B7"/>
    <w:rsid w:val="00A645FF"/>
    <w:rsid w:val="00A6490A"/>
    <w:rsid w:val="00A64BCC"/>
    <w:rsid w:val="00A64BDC"/>
    <w:rsid w:val="00A64EB4"/>
    <w:rsid w:val="00A64EE7"/>
    <w:rsid w:val="00A65263"/>
    <w:rsid w:val="00A654FF"/>
    <w:rsid w:val="00A65560"/>
    <w:rsid w:val="00A65812"/>
    <w:rsid w:val="00A667AE"/>
    <w:rsid w:val="00A66BE5"/>
    <w:rsid w:val="00A6717B"/>
    <w:rsid w:val="00A673AD"/>
    <w:rsid w:val="00A67626"/>
    <w:rsid w:val="00A67B42"/>
    <w:rsid w:val="00A67BFB"/>
    <w:rsid w:val="00A70252"/>
    <w:rsid w:val="00A705C2"/>
    <w:rsid w:val="00A7068E"/>
    <w:rsid w:val="00A71D6B"/>
    <w:rsid w:val="00A71EBF"/>
    <w:rsid w:val="00A71EF3"/>
    <w:rsid w:val="00A72357"/>
    <w:rsid w:val="00A72AA9"/>
    <w:rsid w:val="00A73625"/>
    <w:rsid w:val="00A73FD4"/>
    <w:rsid w:val="00A74001"/>
    <w:rsid w:val="00A7435D"/>
    <w:rsid w:val="00A74516"/>
    <w:rsid w:val="00A7467E"/>
    <w:rsid w:val="00A74C27"/>
    <w:rsid w:val="00A753D6"/>
    <w:rsid w:val="00A758C1"/>
    <w:rsid w:val="00A75F49"/>
    <w:rsid w:val="00A76192"/>
    <w:rsid w:val="00A7659D"/>
    <w:rsid w:val="00A76A18"/>
    <w:rsid w:val="00A76AA4"/>
    <w:rsid w:val="00A76C1A"/>
    <w:rsid w:val="00A76F6E"/>
    <w:rsid w:val="00A777B1"/>
    <w:rsid w:val="00A77971"/>
    <w:rsid w:val="00A77FAF"/>
    <w:rsid w:val="00A800F9"/>
    <w:rsid w:val="00A8079E"/>
    <w:rsid w:val="00A80B03"/>
    <w:rsid w:val="00A80DEC"/>
    <w:rsid w:val="00A81A7E"/>
    <w:rsid w:val="00A81EE5"/>
    <w:rsid w:val="00A82133"/>
    <w:rsid w:val="00A823A9"/>
    <w:rsid w:val="00A83008"/>
    <w:rsid w:val="00A832F3"/>
    <w:rsid w:val="00A8336E"/>
    <w:rsid w:val="00A835CF"/>
    <w:rsid w:val="00A835FB"/>
    <w:rsid w:val="00A83DDB"/>
    <w:rsid w:val="00A849AB"/>
    <w:rsid w:val="00A85097"/>
    <w:rsid w:val="00A850AE"/>
    <w:rsid w:val="00A8535C"/>
    <w:rsid w:val="00A85543"/>
    <w:rsid w:val="00A856DE"/>
    <w:rsid w:val="00A8627D"/>
    <w:rsid w:val="00A869C4"/>
    <w:rsid w:val="00A86ABB"/>
    <w:rsid w:val="00A90612"/>
    <w:rsid w:val="00A90644"/>
    <w:rsid w:val="00A907EC"/>
    <w:rsid w:val="00A90B96"/>
    <w:rsid w:val="00A90CA9"/>
    <w:rsid w:val="00A910B8"/>
    <w:rsid w:val="00A91F8F"/>
    <w:rsid w:val="00A91FA9"/>
    <w:rsid w:val="00A9254D"/>
    <w:rsid w:val="00A92D3C"/>
    <w:rsid w:val="00A92E4A"/>
    <w:rsid w:val="00A932A0"/>
    <w:rsid w:val="00A939E4"/>
    <w:rsid w:val="00A94454"/>
    <w:rsid w:val="00A94551"/>
    <w:rsid w:val="00A94667"/>
    <w:rsid w:val="00A947A5"/>
    <w:rsid w:val="00A94875"/>
    <w:rsid w:val="00A94C66"/>
    <w:rsid w:val="00A94D27"/>
    <w:rsid w:val="00A94D3B"/>
    <w:rsid w:val="00A94D3E"/>
    <w:rsid w:val="00A957DE"/>
    <w:rsid w:val="00A9602C"/>
    <w:rsid w:val="00A9692C"/>
    <w:rsid w:val="00A969FB"/>
    <w:rsid w:val="00A97587"/>
    <w:rsid w:val="00A97BC1"/>
    <w:rsid w:val="00A97BF0"/>
    <w:rsid w:val="00AA0184"/>
    <w:rsid w:val="00AA04BA"/>
    <w:rsid w:val="00AA051B"/>
    <w:rsid w:val="00AA1133"/>
    <w:rsid w:val="00AA12E4"/>
    <w:rsid w:val="00AA1432"/>
    <w:rsid w:val="00AA1435"/>
    <w:rsid w:val="00AA1699"/>
    <w:rsid w:val="00AA17FE"/>
    <w:rsid w:val="00AA2087"/>
    <w:rsid w:val="00AA247A"/>
    <w:rsid w:val="00AA2640"/>
    <w:rsid w:val="00AA271B"/>
    <w:rsid w:val="00AA297C"/>
    <w:rsid w:val="00AA2CA9"/>
    <w:rsid w:val="00AA305C"/>
    <w:rsid w:val="00AA3942"/>
    <w:rsid w:val="00AA3A0C"/>
    <w:rsid w:val="00AA3CCB"/>
    <w:rsid w:val="00AA3DBA"/>
    <w:rsid w:val="00AA4B83"/>
    <w:rsid w:val="00AA571E"/>
    <w:rsid w:val="00AA596A"/>
    <w:rsid w:val="00AA5DBB"/>
    <w:rsid w:val="00AA67DF"/>
    <w:rsid w:val="00AA6BE8"/>
    <w:rsid w:val="00AA6E2C"/>
    <w:rsid w:val="00AA6F85"/>
    <w:rsid w:val="00AA6F8E"/>
    <w:rsid w:val="00AA6FC2"/>
    <w:rsid w:val="00AA7043"/>
    <w:rsid w:val="00AA71EF"/>
    <w:rsid w:val="00AA7703"/>
    <w:rsid w:val="00AA774A"/>
    <w:rsid w:val="00AA7A2A"/>
    <w:rsid w:val="00AB0C09"/>
    <w:rsid w:val="00AB12B9"/>
    <w:rsid w:val="00AB22DE"/>
    <w:rsid w:val="00AB28F3"/>
    <w:rsid w:val="00AB2E5F"/>
    <w:rsid w:val="00AB32BC"/>
    <w:rsid w:val="00AB331B"/>
    <w:rsid w:val="00AB418E"/>
    <w:rsid w:val="00AB4536"/>
    <w:rsid w:val="00AB4596"/>
    <w:rsid w:val="00AB473D"/>
    <w:rsid w:val="00AB4846"/>
    <w:rsid w:val="00AB4A63"/>
    <w:rsid w:val="00AB4C1B"/>
    <w:rsid w:val="00AB4D53"/>
    <w:rsid w:val="00AB5D70"/>
    <w:rsid w:val="00AB63F4"/>
    <w:rsid w:val="00AB6698"/>
    <w:rsid w:val="00AB75AB"/>
    <w:rsid w:val="00AB7969"/>
    <w:rsid w:val="00AB7F1F"/>
    <w:rsid w:val="00AC0196"/>
    <w:rsid w:val="00AC0485"/>
    <w:rsid w:val="00AC0524"/>
    <w:rsid w:val="00AC0A72"/>
    <w:rsid w:val="00AC0CAA"/>
    <w:rsid w:val="00AC1260"/>
    <w:rsid w:val="00AC147D"/>
    <w:rsid w:val="00AC272E"/>
    <w:rsid w:val="00AC2AAA"/>
    <w:rsid w:val="00AC2CAF"/>
    <w:rsid w:val="00AC2EDB"/>
    <w:rsid w:val="00AC3041"/>
    <w:rsid w:val="00AC3441"/>
    <w:rsid w:val="00AC3D4E"/>
    <w:rsid w:val="00AC42E5"/>
    <w:rsid w:val="00AC4559"/>
    <w:rsid w:val="00AC4CD7"/>
    <w:rsid w:val="00AC4D9B"/>
    <w:rsid w:val="00AC4F3E"/>
    <w:rsid w:val="00AC52E2"/>
    <w:rsid w:val="00AC57D4"/>
    <w:rsid w:val="00AC5A74"/>
    <w:rsid w:val="00AC5AC4"/>
    <w:rsid w:val="00AC6507"/>
    <w:rsid w:val="00AC6B7B"/>
    <w:rsid w:val="00AC73D5"/>
    <w:rsid w:val="00AC7D22"/>
    <w:rsid w:val="00AC7DF4"/>
    <w:rsid w:val="00AC7FE7"/>
    <w:rsid w:val="00AD0306"/>
    <w:rsid w:val="00AD06A1"/>
    <w:rsid w:val="00AD0F07"/>
    <w:rsid w:val="00AD112F"/>
    <w:rsid w:val="00AD17AE"/>
    <w:rsid w:val="00AD199E"/>
    <w:rsid w:val="00AD217F"/>
    <w:rsid w:val="00AD28A3"/>
    <w:rsid w:val="00AD29FD"/>
    <w:rsid w:val="00AD2D2B"/>
    <w:rsid w:val="00AD377F"/>
    <w:rsid w:val="00AD380E"/>
    <w:rsid w:val="00AD3BDC"/>
    <w:rsid w:val="00AD4559"/>
    <w:rsid w:val="00AD527E"/>
    <w:rsid w:val="00AD5980"/>
    <w:rsid w:val="00AD5AF3"/>
    <w:rsid w:val="00AD5FC1"/>
    <w:rsid w:val="00AD5FE6"/>
    <w:rsid w:val="00AD65E1"/>
    <w:rsid w:val="00AD67F5"/>
    <w:rsid w:val="00AD6B32"/>
    <w:rsid w:val="00AD72FB"/>
    <w:rsid w:val="00AD737C"/>
    <w:rsid w:val="00AD7758"/>
    <w:rsid w:val="00AD77E2"/>
    <w:rsid w:val="00AD7BB8"/>
    <w:rsid w:val="00AE0348"/>
    <w:rsid w:val="00AE0413"/>
    <w:rsid w:val="00AE04BB"/>
    <w:rsid w:val="00AE051C"/>
    <w:rsid w:val="00AE0BAD"/>
    <w:rsid w:val="00AE10F8"/>
    <w:rsid w:val="00AE194B"/>
    <w:rsid w:val="00AE2094"/>
    <w:rsid w:val="00AE25F3"/>
    <w:rsid w:val="00AE2893"/>
    <w:rsid w:val="00AE2B3E"/>
    <w:rsid w:val="00AE2DC5"/>
    <w:rsid w:val="00AE374B"/>
    <w:rsid w:val="00AE38CA"/>
    <w:rsid w:val="00AE3EBA"/>
    <w:rsid w:val="00AE4663"/>
    <w:rsid w:val="00AE4690"/>
    <w:rsid w:val="00AE552E"/>
    <w:rsid w:val="00AE557B"/>
    <w:rsid w:val="00AE5843"/>
    <w:rsid w:val="00AE5859"/>
    <w:rsid w:val="00AE5F52"/>
    <w:rsid w:val="00AE5F79"/>
    <w:rsid w:val="00AE60E5"/>
    <w:rsid w:val="00AE6173"/>
    <w:rsid w:val="00AE6650"/>
    <w:rsid w:val="00AE6A6A"/>
    <w:rsid w:val="00AE6CD8"/>
    <w:rsid w:val="00AE7058"/>
    <w:rsid w:val="00AE73A9"/>
    <w:rsid w:val="00AE761F"/>
    <w:rsid w:val="00AE7BD8"/>
    <w:rsid w:val="00AF0104"/>
    <w:rsid w:val="00AF0D46"/>
    <w:rsid w:val="00AF1ED3"/>
    <w:rsid w:val="00AF1FE7"/>
    <w:rsid w:val="00AF2268"/>
    <w:rsid w:val="00AF2454"/>
    <w:rsid w:val="00AF27D6"/>
    <w:rsid w:val="00AF2BFD"/>
    <w:rsid w:val="00AF2D3A"/>
    <w:rsid w:val="00AF3373"/>
    <w:rsid w:val="00AF3656"/>
    <w:rsid w:val="00AF37AC"/>
    <w:rsid w:val="00AF4080"/>
    <w:rsid w:val="00AF40C0"/>
    <w:rsid w:val="00AF40D7"/>
    <w:rsid w:val="00AF43A8"/>
    <w:rsid w:val="00AF49BB"/>
    <w:rsid w:val="00AF50EE"/>
    <w:rsid w:val="00AF50F7"/>
    <w:rsid w:val="00AF51B4"/>
    <w:rsid w:val="00AF630E"/>
    <w:rsid w:val="00AF64C0"/>
    <w:rsid w:val="00AF6AC2"/>
    <w:rsid w:val="00AF7579"/>
    <w:rsid w:val="00B008EF"/>
    <w:rsid w:val="00B009F8"/>
    <w:rsid w:val="00B00C0F"/>
    <w:rsid w:val="00B010E9"/>
    <w:rsid w:val="00B011D2"/>
    <w:rsid w:val="00B01664"/>
    <w:rsid w:val="00B01733"/>
    <w:rsid w:val="00B01A7A"/>
    <w:rsid w:val="00B025C9"/>
    <w:rsid w:val="00B02C4A"/>
    <w:rsid w:val="00B02C5A"/>
    <w:rsid w:val="00B02ECC"/>
    <w:rsid w:val="00B03021"/>
    <w:rsid w:val="00B03635"/>
    <w:rsid w:val="00B0416F"/>
    <w:rsid w:val="00B0423F"/>
    <w:rsid w:val="00B047B4"/>
    <w:rsid w:val="00B047F2"/>
    <w:rsid w:val="00B04ED8"/>
    <w:rsid w:val="00B050BB"/>
    <w:rsid w:val="00B05D40"/>
    <w:rsid w:val="00B05D86"/>
    <w:rsid w:val="00B0643F"/>
    <w:rsid w:val="00B066DD"/>
    <w:rsid w:val="00B06A13"/>
    <w:rsid w:val="00B06A36"/>
    <w:rsid w:val="00B06C31"/>
    <w:rsid w:val="00B06DE4"/>
    <w:rsid w:val="00B06FFB"/>
    <w:rsid w:val="00B07010"/>
    <w:rsid w:val="00B0722E"/>
    <w:rsid w:val="00B07244"/>
    <w:rsid w:val="00B07838"/>
    <w:rsid w:val="00B10383"/>
    <w:rsid w:val="00B10F05"/>
    <w:rsid w:val="00B111C4"/>
    <w:rsid w:val="00B113AC"/>
    <w:rsid w:val="00B11530"/>
    <w:rsid w:val="00B11C27"/>
    <w:rsid w:val="00B11E42"/>
    <w:rsid w:val="00B12211"/>
    <w:rsid w:val="00B12413"/>
    <w:rsid w:val="00B1256A"/>
    <w:rsid w:val="00B12CAC"/>
    <w:rsid w:val="00B12EFA"/>
    <w:rsid w:val="00B12F4B"/>
    <w:rsid w:val="00B1382F"/>
    <w:rsid w:val="00B13950"/>
    <w:rsid w:val="00B13A6C"/>
    <w:rsid w:val="00B13BB3"/>
    <w:rsid w:val="00B13EEE"/>
    <w:rsid w:val="00B1460D"/>
    <w:rsid w:val="00B146D7"/>
    <w:rsid w:val="00B14703"/>
    <w:rsid w:val="00B14766"/>
    <w:rsid w:val="00B14934"/>
    <w:rsid w:val="00B14E62"/>
    <w:rsid w:val="00B15CF2"/>
    <w:rsid w:val="00B15DCA"/>
    <w:rsid w:val="00B15E43"/>
    <w:rsid w:val="00B1614D"/>
    <w:rsid w:val="00B1614F"/>
    <w:rsid w:val="00B16402"/>
    <w:rsid w:val="00B1650D"/>
    <w:rsid w:val="00B16F2E"/>
    <w:rsid w:val="00B17046"/>
    <w:rsid w:val="00B17B12"/>
    <w:rsid w:val="00B203B8"/>
    <w:rsid w:val="00B20599"/>
    <w:rsid w:val="00B20904"/>
    <w:rsid w:val="00B20BAA"/>
    <w:rsid w:val="00B20CE3"/>
    <w:rsid w:val="00B20D95"/>
    <w:rsid w:val="00B20F52"/>
    <w:rsid w:val="00B21380"/>
    <w:rsid w:val="00B21667"/>
    <w:rsid w:val="00B21C2C"/>
    <w:rsid w:val="00B21E43"/>
    <w:rsid w:val="00B220EF"/>
    <w:rsid w:val="00B22507"/>
    <w:rsid w:val="00B229EF"/>
    <w:rsid w:val="00B22F4D"/>
    <w:rsid w:val="00B235BE"/>
    <w:rsid w:val="00B23600"/>
    <w:rsid w:val="00B2385D"/>
    <w:rsid w:val="00B23B17"/>
    <w:rsid w:val="00B23C02"/>
    <w:rsid w:val="00B23F06"/>
    <w:rsid w:val="00B23FE9"/>
    <w:rsid w:val="00B24C26"/>
    <w:rsid w:val="00B251EC"/>
    <w:rsid w:val="00B25950"/>
    <w:rsid w:val="00B25CDB"/>
    <w:rsid w:val="00B25E1A"/>
    <w:rsid w:val="00B25ED6"/>
    <w:rsid w:val="00B25FEB"/>
    <w:rsid w:val="00B2638E"/>
    <w:rsid w:val="00B26A93"/>
    <w:rsid w:val="00B26F07"/>
    <w:rsid w:val="00B27169"/>
    <w:rsid w:val="00B27774"/>
    <w:rsid w:val="00B278D0"/>
    <w:rsid w:val="00B27978"/>
    <w:rsid w:val="00B30166"/>
    <w:rsid w:val="00B305CC"/>
    <w:rsid w:val="00B306BE"/>
    <w:rsid w:val="00B3089C"/>
    <w:rsid w:val="00B30961"/>
    <w:rsid w:val="00B30A67"/>
    <w:rsid w:val="00B30F48"/>
    <w:rsid w:val="00B3106C"/>
    <w:rsid w:val="00B31224"/>
    <w:rsid w:val="00B31701"/>
    <w:rsid w:val="00B31820"/>
    <w:rsid w:val="00B31B3A"/>
    <w:rsid w:val="00B31E9E"/>
    <w:rsid w:val="00B3238F"/>
    <w:rsid w:val="00B325B4"/>
    <w:rsid w:val="00B32E6A"/>
    <w:rsid w:val="00B3303F"/>
    <w:rsid w:val="00B33695"/>
    <w:rsid w:val="00B337BB"/>
    <w:rsid w:val="00B34414"/>
    <w:rsid w:val="00B349D2"/>
    <w:rsid w:val="00B34B33"/>
    <w:rsid w:val="00B34DF1"/>
    <w:rsid w:val="00B35552"/>
    <w:rsid w:val="00B3584D"/>
    <w:rsid w:val="00B36707"/>
    <w:rsid w:val="00B36728"/>
    <w:rsid w:val="00B372F0"/>
    <w:rsid w:val="00B40181"/>
    <w:rsid w:val="00B401F7"/>
    <w:rsid w:val="00B404C5"/>
    <w:rsid w:val="00B40EDE"/>
    <w:rsid w:val="00B40F64"/>
    <w:rsid w:val="00B41402"/>
    <w:rsid w:val="00B41FF4"/>
    <w:rsid w:val="00B42113"/>
    <w:rsid w:val="00B422DD"/>
    <w:rsid w:val="00B4268D"/>
    <w:rsid w:val="00B4285A"/>
    <w:rsid w:val="00B43D57"/>
    <w:rsid w:val="00B43E1A"/>
    <w:rsid w:val="00B444AF"/>
    <w:rsid w:val="00B44863"/>
    <w:rsid w:val="00B4562E"/>
    <w:rsid w:val="00B458DA"/>
    <w:rsid w:val="00B46262"/>
    <w:rsid w:val="00B46385"/>
    <w:rsid w:val="00B46430"/>
    <w:rsid w:val="00B467A0"/>
    <w:rsid w:val="00B46939"/>
    <w:rsid w:val="00B469E6"/>
    <w:rsid w:val="00B47124"/>
    <w:rsid w:val="00B476E8"/>
    <w:rsid w:val="00B47C45"/>
    <w:rsid w:val="00B508A0"/>
    <w:rsid w:val="00B50D3E"/>
    <w:rsid w:val="00B50DEA"/>
    <w:rsid w:val="00B51CAE"/>
    <w:rsid w:val="00B51F6F"/>
    <w:rsid w:val="00B52298"/>
    <w:rsid w:val="00B525BB"/>
    <w:rsid w:val="00B5314F"/>
    <w:rsid w:val="00B538DD"/>
    <w:rsid w:val="00B53945"/>
    <w:rsid w:val="00B53F00"/>
    <w:rsid w:val="00B54E4A"/>
    <w:rsid w:val="00B54EEE"/>
    <w:rsid w:val="00B54FBC"/>
    <w:rsid w:val="00B55465"/>
    <w:rsid w:val="00B55480"/>
    <w:rsid w:val="00B5616B"/>
    <w:rsid w:val="00B566E7"/>
    <w:rsid w:val="00B5688D"/>
    <w:rsid w:val="00B578ED"/>
    <w:rsid w:val="00B57A48"/>
    <w:rsid w:val="00B60153"/>
    <w:rsid w:val="00B601C4"/>
    <w:rsid w:val="00B60269"/>
    <w:rsid w:val="00B6072C"/>
    <w:rsid w:val="00B611E9"/>
    <w:rsid w:val="00B61A9A"/>
    <w:rsid w:val="00B61BAA"/>
    <w:rsid w:val="00B61EA3"/>
    <w:rsid w:val="00B62242"/>
    <w:rsid w:val="00B6260B"/>
    <w:rsid w:val="00B62A33"/>
    <w:rsid w:val="00B62BE5"/>
    <w:rsid w:val="00B62C15"/>
    <w:rsid w:val="00B63505"/>
    <w:rsid w:val="00B6353A"/>
    <w:rsid w:val="00B6386E"/>
    <w:rsid w:val="00B63B9B"/>
    <w:rsid w:val="00B63D18"/>
    <w:rsid w:val="00B64048"/>
    <w:rsid w:val="00B6405F"/>
    <w:rsid w:val="00B640E2"/>
    <w:rsid w:val="00B64434"/>
    <w:rsid w:val="00B645DC"/>
    <w:rsid w:val="00B64A43"/>
    <w:rsid w:val="00B64AC4"/>
    <w:rsid w:val="00B64AD9"/>
    <w:rsid w:val="00B64C57"/>
    <w:rsid w:val="00B64EB0"/>
    <w:rsid w:val="00B6518A"/>
    <w:rsid w:val="00B6530C"/>
    <w:rsid w:val="00B65370"/>
    <w:rsid w:val="00B6537C"/>
    <w:rsid w:val="00B653E7"/>
    <w:rsid w:val="00B65718"/>
    <w:rsid w:val="00B65C40"/>
    <w:rsid w:val="00B66622"/>
    <w:rsid w:val="00B66B20"/>
    <w:rsid w:val="00B66E4C"/>
    <w:rsid w:val="00B67095"/>
    <w:rsid w:val="00B67652"/>
    <w:rsid w:val="00B6771B"/>
    <w:rsid w:val="00B67892"/>
    <w:rsid w:val="00B705B1"/>
    <w:rsid w:val="00B7141F"/>
    <w:rsid w:val="00B71894"/>
    <w:rsid w:val="00B71CE7"/>
    <w:rsid w:val="00B71E3A"/>
    <w:rsid w:val="00B72275"/>
    <w:rsid w:val="00B7228F"/>
    <w:rsid w:val="00B722C0"/>
    <w:rsid w:val="00B7232A"/>
    <w:rsid w:val="00B726C9"/>
    <w:rsid w:val="00B72B71"/>
    <w:rsid w:val="00B72D9D"/>
    <w:rsid w:val="00B72ECB"/>
    <w:rsid w:val="00B73EC1"/>
    <w:rsid w:val="00B73FC6"/>
    <w:rsid w:val="00B74177"/>
    <w:rsid w:val="00B7421E"/>
    <w:rsid w:val="00B74F8E"/>
    <w:rsid w:val="00B76133"/>
    <w:rsid w:val="00B76801"/>
    <w:rsid w:val="00B76C69"/>
    <w:rsid w:val="00B76F2B"/>
    <w:rsid w:val="00B77187"/>
    <w:rsid w:val="00B77A7C"/>
    <w:rsid w:val="00B77BD4"/>
    <w:rsid w:val="00B800E8"/>
    <w:rsid w:val="00B8048C"/>
    <w:rsid w:val="00B80CDC"/>
    <w:rsid w:val="00B80DDF"/>
    <w:rsid w:val="00B8157A"/>
    <w:rsid w:val="00B816B2"/>
    <w:rsid w:val="00B818F9"/>
    <w:rsid w:val="00B81A14"/>
    <w:rsid w:val="00B820C3"/>
    <w:rsid w:val="00B82381"/>
    <w:rsid w:val="00B82CF8"/>
    <w:rsid w:val="00B82E06"/>
    <w:rsid w:val="00B82EFE"/>
    <w:rsid w:val="00B833D1"/>
    <w:rsid w:val="00B83422"/>
    <w:rsid w:val="00B8348D"/>
    <w:rsid w:val="00B83AD3"/>
    <w:rsid w:val="00B83DE6"/>
    <w:rsid w:val="00B84399"/>
    <w:rsid w:val="00B843BC"/>
    <w:rsid w:val="00B84771"/>
    <w:rsid w:val="00B84D22"/>
    <w:rsid w:val="00B853A2"/>
    <w:rsid w:val="00B85425"/>
    <w:rsid w:val="00B85D18"/>
    <w:rsid w:val="00B85FBD"/>
    <w:rsid w:val="00B86636"/>
    <w:rsid w:val="00B86A35"/>
    <w:rsid w:val="00B86AAB"/>
    <w:rsid w:val="00B86EDC"/>
    <w:rsid w:val="00B86F15"/>
    <w:rsid w:val="00B86FD4"/>
    <w:rsid w:val="00B87BD8"/>
    <w:rsid w:val="00B87D74"/>
    <w:rsid w:val="00B900B2"/>
    <w:rsid w:val="00B90F03"/>
    <w:rsid w:val="00B91117"/>
    <w:rsid w:val="00B91989"/>
    <w:rsid w:val="00B919E8"/>
    <w:rsid w:val="00B91CEF"/>
    <w:rsid w:val="00B91E56"/>
    <w:rsid w:val="00B91FF5"/>
    <w:rsid w:val="00B92057"/>
    <w:rsid w:val="00B92280"/>
    <w:rsid w:val="00B9237F"/>
    <w:rsid w:val="00B929FB"/>
    <w:rsid w:val="00B92A36"/>
    <w:rsid w:val="00B9310C"/>
    <w:rsid w:val="00B9315F"/>
    <w:rsid w:val="00B93592"/>
    <w:rsid w:val="00B93658"/>
    <w:rsid w:val="00B93857"/>
    <w:rsid w:val="00B93C6E"/>
    <w:rsid w:val="00B93E23"/>
    <w:rsid w:val="00B9417B"/>
    <w:rsid w:val="00B941F4"/>
    <w:rsid w:val="00B947C6"/>
    <w:rsid w:val="00B94BF1"/>
    <w:rsid w:val="00B951B9"/>
    <w:rsid w:val="00B958AF"/>
    <w:rsid w:val="00B95C34"/>
    <w:rsid w:val="00B9617B"/>
    <w:rsid w:val="00B968D2"/>
    <w:rsid w:val="00B97179"/>
    <w:rsid w:val="00B9773D"/>
    <w:rsid w:val="00B979C0"/>
    <w:rsid w:val="00B97E47"/>
    <w:rsid w:val="00BA0BBC"/>
    <w:rsid w:val="00BA0DAB"/>
    <w:rsid w:val="00BA0F91"/>
    <w:rsid w:val="00BA2029"/>
    <w:rsid w:val="00BA2034"/>
    <w:rsid w:val="00BA21AB"/>
    <w:rsid w:val="00BA2280"/>
    <w:rsid w:val="00BA25BF"/>
    <w:rsid w:val="00BA261B"/>
    <w:rsid w:val="00BA30C5"/>
    <w:rsid w:val="00BA36E9"/>
    <w:rsid w:val="00BA3929"/>
    <w:rsid w:val="00BA3CEA"/>
    <w:rsid w:val="00BA409C"/>
    <w:rsid w:val="00BA4262"/>
    <w:rsid w:val="00BA44BB"/>
    <w:rsid w:val="00BA4503"/>
    <w:rsid w:val="00BA49C1"/>
    <w:rsid w:val="00BA4B2A"/>
    <w:rsid w:val="00BA5173"/>
    <w:rsid w:val="00BA52BB"/>
    <w:rsid w:val="00BA5B11"/>
    <w:rsid w:val="00BA5F24"/>
    <w:rsid w:val="00BA612D"/>
    <w:rsid w:val="00BA65B9"/>
    <w:rsid w:val="00BA6828"/>
    <w:rsid w:val="00BA685A"/>
    <w:rsid w:val="00BA7332"/>
    <w:rsid w:val="00BA7561"/>
    <w:rsid w:val="00BA7668"/>
    <w:rsid w:val="00BB0323"/>
    <w:rsid w:val="00BB07BD"/>
    <w:rsid w:val="00BB07ED"/>
    <w:rsid w:val="00BB0A54"/>
    <w:rsid w:val="00BB0B1D"/>
    <w:rsid w:val="00BB0E1E"/>
    <w:rsid w:val="00BB1566"/>
    <w:rsid w:val="00BB1BF5"/>
    <w:rsid w:val="00BB1EBD"/>
    <w:rsid w:val="00BB2183"/>
    <w:rsid w:val="00BB2289"/>
    <w:rsid w:val="00BB2697"/>
    <w:rsid w:val="00BB2728"/>
    <w:rsid w:val="00BB2DC4"/>
    <w:rsid w:val="00BB37D9"/>
    <w:rsid w:val="00BB3893"/>
    <w:rsid w:val="00BB39E0"/>
    <w:rsid w:val="00BB3AAE"/>
    <w:rsid w:val="00BB3DD9"/>
    <w:rsid w:val="00BB3EB2"/>
    <w:rsid w:val="00BB4646"/>
    <w:rsid w:val="00BB4950"/>
    <w:rsid w:val="00BB572A"/>
    <w:rsid w:val="00BB59FB"/>
    <w:rsid w:val="00BB5ACC"/>
    <w:rsid w:val="00BB5FDE"/>
    <w:rsid w:val="00BB60D0"/>
    <w:rsid w:val="00BB6A64"/>
    <w:rsid w:val="00BB6FF9"/>
    <w:rsid w:val="00BB7368"/>
    <w:rsid w:val="00BB767D"/>
    <w:rsid w:val="00BB7F2E"/>
    <w:rsid w:val="00BB7FD3"/>
    <w:rsid w:val="00BC03BA"/>
    <w:rsid w:val="00BC0445"/>
    <w:rsid w:val="00BC0A9C"/>
    <w:rsid w:val="00BC0F2E"/>
    <w:rsid w:val="00BC2215"/>
    <w:rsid w:val="00BC28A7"/>
    <w:rsid w:val="00BC2E36"/>
    <w:rsid w:val="00BC2FF8"/>
    <w:rsid w:val="00BC33A4"/>
    <w:rsid w:val="00BC3A5C"/>
    <w:rsid w:val="00BC4174"/>
    <w:rsid w:val="00BC4289"/>
    <w:rsid w:val="00BC47A3"/>
    <w:rsid w:val="00BC4A81"/>
    <w:rsid w:val="00BC4B35"/>
    <w:rsid w:val="00BC4F34"/>
    <w:rsid w:val="00BC508C"/>
    <w:rsid w:val="00BC528F"/>
    <w:rsid w:val="00BC5CDD"/>
    <w:rsid w:val="00BC5E20"/>
    <w:rsid w:val="00BC601C"/>
    <w:rsid w:val="00BC638A"/>
    <w:rsid w:val="00BC64C3"/>
    <w:rsid w:val="00BC6CF0"/>
    <w:rsid w:val="00BC6CFB"/>
    <w:rsid w:val="00BC70FB"/>
    <w:rsid w:val="00BC71D0"/>
    <w:rsid w:val="00BC7679"/>
    <w:rsid w:val="00BC7862"/>
    <w:rsid w:val="00BC79B6"/>
    <w:rsid w:val="00BC7E4F"/>
    <w:rsid w:val="00BD00AE"/>
    <w:rsid w:val="00BD038C"/>
    <w:rsid w:val="00BD0476"/>
    <w:rsid w:val="00BD05EA"/>
    <w:rsid w:val="00BD0935"/>
    <w:rsid w:val="00BD1349"/>
    <w:rsid w:val="00BD1451"/>
    <w:rsid w:val="00BD14AA"/>
    <w:rsid w:val="00BD18BB"/>
    <w:rsid w:val="00BD1C5E"/>
    <w:rsid w:val="00BD1E5F"/>
    <w:rsid w:val="00BD231F"/>
    <w:rsid w:val="00BD2DD4"/>
    <w:rsid w:val="00BD361A"/>
    <w:rsid w:val="00BD3893"/>
    <w:rsid w:val="00BD3D48"/>
    <w:rsid w:val="00BD416C"/>
    <w:rsid w:val="00BD4456"/>
    <w:rsid w:val="00BD45A6"/>
    <w:rsid w:val="00BD4714"/>
    <w:rsid w:val="00BD5901"/>
    <w:rsid w:val="00BD5A85"/>
    <w:rsid w:val="00BD60CC"/>
    <w:rsid w:val="00BD61BB"/>
    <w:rsid w:val="00BD6676"/>
    <w:rsid w:val="00BD6A01"/>
    <w:rsid w:val="00BD7B14"/>
    <w:rsid w:val="00BD7B50"/>
    <w:rsid w:val="00BD7DAB"/>
    <w:rsid w:val="00BE06B8"/>
    <w:rsid w:val="00BE183D"/>
    <w:rsid w:val="00BE198A"/>
    <w:rsid w:val="00BE1D1E"/>
    <w:rsid w:val="00BE228A"/>
    <w:rsid w:val="00BE2702"/>
    <w:rsid w:val="00BE29B3"/>
    <w:rsid w:val="00BE2A2C"/>
    <w:rsid w:val="00BE2AFD"/>
    <w:rsid w:val="00BE2C89"/>
    <w:rsid w:val="00BE32D8"/>
    <w:rsid w:val="00BE33F8"/>
    <w:rsid w:val="00BE36A2"/>
    <w:rsid w:val="00BE3980"/>
    <w:rsid w:val="00BE3A11"/>
    <w:rsid w:val="00BE3E8D"/>
    <w:rsid w:val="00BE404A"/>
    <w:rsid w:val="00BE4127"/>
    <w:rsid w:val="00BE4168"/>
    <w:rsid w:val="00BE41D3"/>
    <w:rsid w:val="00BE43F9"/>
    <w:rsid w:val="00BE4473"/>
    <w:rsid w:val="00BE4899"/>
    <w:rsid w:val="00BE529A"/>
    <w:rsid w:val="00BE551B"/>
    <w:rsid w:val="00BE585C"/>
    <w:rsid w:val="00BE6014"/>
    <w:rsid w:val="00BE639C"/>
    <w:rsid w:val="00BE6D8F"/>
    <w:rsid w:val="00BE7076"/>
    <w:rsid w:val="00BE74A8"/>
    <w:rsid w:val="00BE7687"/>
    <w:rsid w:val="00BE771A"/>
    <w:rsid w:val="00BE794B"/>
    <w:rsid w:val="00BF052B"/>
    <w:rsid w:val="00BF076F"/>
    <w:rsid w:val="00BF0AD6"/>
    <w:rsid w:val="00BF0AEE"/>
    <w:rsid w:val="00BF0B6D"/>
    <w:rsid w:val="00BF184C"/>
    <w:rsid w:val="00BF1A89"/>
    <w:rsid w:val="00BF1D8A"/>
    <w:rsid w:val="00BF1EF3"/>
    <w:rsid w:val="00BF268E"/>
    <w:rsid w:val="00BF27F6"/>
    <w:rsid w:val="00BF300E"/>
    <w:rsid w:val="00BF318B"/>
    <w:rsid w:val="00BF3223"/>
    <w:rsid w:val="00BF3537"/>
    <w:rsid w:val="00BF361A"/>
    <w:rsid w:val="00BF376E"/>
    <w:rsid w:val="00BF3A3F"/>
    <w:rsid w:val="00BF3F68"/>
    <w:rsid w:val="00BF44F2"/>
    <w:rsid w:val="00BF48DF"/>
    <w:rsid w:val="00BF4ED0"/>
    <w:rsid w:val="00BF51B2"/>
    <w:rsid w:val="00BF5301"/>
    <w:rsid w:val="00BF5317"/>
    <w:rsid w:val="00BF66CC"/>
    <w:rsid w:val="00BF66D6"/>
    <w:rsid w:val="00BF7BDF"/>
    <w:rsid w:val="00BF7E2A"/>
    <w:rsid w:val="00C00184"/>
    <w:rsid w:val="00C006D1"/>
    <w:rsid w:val="00C00712"/>
    <w:rsid w:val="00C00B38"/>
    <w:rsid w:val="00C00D16"/>
    <w:rsid w:val="00C00D8D"/>
    <w:rsid w:val="00C013DD"/>
    <w:rsid w:val="00C0204A"/>
    <w:rsid w:val="00C02346"/>
    <w:rsid w:val="00C023A3"/>
    <w:rsid w:val="00C024AD"/>
    <w:rsid w:val="00C028AF"/>
    <w:rsid w:val="00C02BBD"/>
    <w:rsid w:val="00C02C3D"/>
    <w:rsid w:val="00C02CA9"/>
    <w:rsid w:val="00C02F43"/>
    <w:rsid w:val="00C0321A"/>
    <w:rsid w:val="00C03A07"/>
    <w:rsid w:val="00C03D80"/>
    <w:rsid w:val="00C04083"/>
    <w:rsid w:val="00C04673"/>
    <w:rsid w:val="00C04D97"/>
    <w:rsid w:val="00C04F8F"/>
    <w:rsid w:val="00C05013"/>
    <w:rsid w:val="00C0552E"/>
    <w:rsid w:val="00C059B1"/>
    <w:rsid w:val="00C06134"/>
    <w:rsid w:val="00C0628C"/>
    <w:rsid w:val="00C06305"/>
    <w:rsid w:val="00C068E7"/>
    <w:rsid w:val="00C069FE"/>
    <w:rsid w:val="00C06E08"/>
    <w:rsid w:val="00C070E0"/>
    <w:rsid w:val="00C07155"/>
    <w:rsid w:val="00C071C2"/>
    <w:rsid w:val="00C07458"/>
    <w:rsid w:val="00C07607"/>
    <w:rsid w:val="00C0770C"/>
    <w:rsid w:val="00C07A9D"/>
    <w:rsid w:val="00C10093"/>
    <w:rsid w:val="00C10905"/>
    <w:rsid w:val="00C10B3E"/>
    <w:rsid w:val="00C110FE"/>
    <w:rsid w:val="00C1115A"/>
    <w:rsid w:val="00C119E4"/>
    <w:rsid w:val="00C11AFB"/>
    <w:rsid w:val="00C11D4B"/>
    <w:rsid w:val="00C11F21"/>
    <w:rsid w:val="00C122DB"/>
    <w:rsid w:val="00C12356"/>
    <w:rsid w:val="00C12807"/>
    <w:rsid w:val="00C131AB"/>
    <w:rsid w:val="00C13672"/>
    <w:rsid w:val="00C136BD"/>
    <w:rsid w:val="00C13B80"/>
    <w:rsid w:val="00C145B0"/>
    <w:rsid w:val="00C147B9"/>
    <w:rsid w:val="00C149B8"/>
    <w:rsid w:val="00C14CF2"/>
    <w:rsid w:val="00C14CF8"/>
    <w:rsid w:val="00C154C6"/>
    <w:rsid w:val="00C15A44"/>
    <w:rsid w:val="00C15DA4"/>
    <w:rsid w:val="00C1609A"/>
    <w:rsid w:val="00C1672E"/>
    <w:rsid w:val="00C16B20"/>
    <w:rsid w:val="00C16E89"/>
    <w:rsid w:val="00C172D2"/>
    <w:rsid w:val="00C175E4"/>
    <w:rsid w:val="00C178E6"/>
    <w:rsid w:val="00C20182"/>
    <w:rsid w:val="00C20522"/>
    <w:rsid w:val="00C213BF"/>
    <w:rsid w:val="00C21701"/>
    <w:rsid w:val="00C21840"/>
    <w:rsid w:val="00C21E42"/>
    <w:rsid w:val="00C2212F"/>
    <w:rsid w:val="00C22245"/>
    <w:rsid w:val="00C22E55"/>
    <w:rsid w:val="00C22E94"/>
    <w:rsid w:val="00C22EA9"/>
    <w:rsid w:val="00C23379"/>
    <w:rsid w:val="00C238C4"/>
    <w:rsid w:val="00C23D82"/>
    <w:rsid w:val="00C23E92"/>
    <w:rsid w:val="00C2411C"/>
    <w:rsid w:val="00C24462"/>
    <w:rsid w:val="00C244AF"/>
    <w:rsid w:val="00C249E0"/>
    <w:rsid w:val="00C2505D"/>
    <w:rsid w:val="00C25103"/>
    <w:rsid w:val="00C252A2"/>
    <w:rsid w:val="00C25E2B"/>
    <w:rsid w:val="00C27082"/>
    <w:rsid w:val="00C27743"/>
    <w:rsid w:val="00C277E9"/>
    <w:rsid w:val="00C27961"/>
    <w:rsid w:val="00C27BB5"/>
    <w:rsid w:val="00C27E93"/>
    <w:rsid w:val="00C27FE8"/>
    <w:rsid w:val="00C3008B"/>
    <w:rsid w:val="00C305DC"/>
    <w:rsid w:val="00C30FBA"/>
    <w:rsid w:val="00C310DB"/>
    <w:rsid w:val="00C31180"/>
    <w:rsid w:val="00C3125C"/>
    <w:rsid w:val="00C3172C"/>
    <w:rsid w:val="00C317D0"/>
    <w:rsid w:val="00C31CC9"/>
    <w:rsid w:val="00C328A6"/>
    <w:rsid w:val="00C3340E"/>
    <w:rsid w:val="00C33423"/>
    <w:rsid w:val="00C33786"/>
    <w:rsid w:val="00C33D42"/>
    <w:rsid w:val="00C340E8"/>
    <w:rsid w:val="00C34235"/>
    <w:rsid w:val="00C3448F"/>
    <w:rsid w:val="00C344CA"/>
    <w:rsid w:val="00C3452F"/>
    <w:rsid w:val="00C34970"/>
    <w:rsid w:val="00C34B6C"/>
    <w:rsid w:val="00C36668"/>
    <w:rsid w:val="00C36669"/>
    <w:rsid w:val="00C366F0"/>
    <w:rsid w:val="00C36E74"/>
    <w:rsid w:val="00C3719E"/>
    <w:rsid w:val="00C37666"/>
    <w:rsid w:val="00C4039B"/>
    <w:rsid w:val="00C40E93"/>
    <w:rsid w:val="00C40EDA"/>
    <w:rsid w:val="00C411FC"/>
    <w:rsid w:val="00C41E0A"/>
    <w:rsid w:val="00C42121"/>
    <w:rsid w:val="00C4214C"/>
    <w:rsid w:val="00C4229C"/>
    <w:rsid w:val="00C4283B"/>
    <w:rsid w:val="00C42AC3"/>
    <w:rsid w:val="00C430B2"/>
    <w:rsid w:val="00C43917"/>
    <w:rsid w:val="00C45158"/>
    <w:rsid w:val="00C45543"/>
    <w:rsid w:val="00C457F3"/>
    <w:rsid w:val="00C462AC"/>
    <w:rsid w:val="00C46376"/>
    <w:rsid w:val="00C47184"/>
    <w:rsid w:val="00C471CD"/>
    <w:rsid w:val="00C47399"/>
    <w:rsid w:val="00C47544"/>
    <w:rsid w:val="00C47592"/>
    <w:rsid w:val="00C5019B"/>
    <w:rsid w:val="00C502DB"/>
    <w:rsid w:val="00C504D4"/>
    <w:rsid w:val="00C5061E"/>
    <w:rsid w:val="00C50AE1"/>
    <w:rsid w:val="00C50B98"/>
    <w:rsid w:val="00C50D77"/>
    <w:rsid w:val="00C514E0"/>
    <w:rsid w:val="00C51F67"/>
    <w:rsid w:val="00C521D1"/>
    <w:rsid w:val="00C5226B"/>
    <w:rsid w:val="00C52365"/>
    <w:rsid w:val="00C5251C"/>
    <w:rsid w:val="00C52698"/>
    <w:rsid w:val="00C52C14"/>
    <w:rsid w:val="00C52D86"/>
    <w:rsid w:val="00C537CC"/>
    <w:rsid w:val="00C53911"/>
    <w:rsid w:val="00C53974"/>
    <w:rsid w:val="00C54198"/>
    <w:rsid w:val="00C542CA"/>
    <w:rsid w:val="00C54444"/>
    <w:rsid w:val="00C54954"/>
    <w:rsid w:val="00C54C47"/>
    <w:rsid w:val="00C553EA"/>
    <w:rsid w:val="00C55924"/>
    <w:rsid w:val="00C55F91"/>
    <w:rsid w:val="00C562B7"/>
    <w:rsid w:val="00C56947"/>
    <w:rsid w:val="00C56EE4"/>
    <w:rsid w:val="00C57010"/>
    <w:rsid w:val="00C571A8"/>
    <w:rsid w:val="00C57343"/>
    <w:rsid w:val="00C57D74"/>
    <w:rsid w:val="00C57E9D"/>
    <w:rsid w:val="00C57FB3"/>
    <w:rsid w:val="00C60085"/>
    <w:rsid w:val="00C6013B"/>
    <w:rsid w:val="00C60199"/>
    <w:rsid w:val="00C6096D"/>
    <w:rsid w:val="00C61107"/>
    <w:rsid w:val="00C61705"/>
    <w:rsid w:val="00C61829"/>
    <w:rsid w:val="00C622AF"/>
    <w:rsid w:val="00C625F7"/>
    <w:rsid w:val="00C62A6A"/>
    <w:rsid w:val="00C62EE9"/>
    <w:rsid w:val="00C63068"/>
    <w:rsid w:val="00C635CF"/>
    <w:rsid w:val="00C6397F"/>
    <w:rsid w:val="00C63A34"/>
    <w:rsid w:val="00C63BE1"/>
    <w:rsid w:val="00C63E13"/>
    <w:rsid w:val="00C63F48"/>
    <w:rsid w:val="00C64194"/>
    <w:rsid w:val="00C64E12"/>
    <w:rsid w:val="00C64E55"/>
    <w:rsid w:val="00C65496"/>
    <w:rsid w:val="00C657DD"/>
    <w:rsid w:val="00C65AC0"/>
    <w:rsid w:val="00C65BCC"/>
    <w:rsid w:val="00C65F98"/>
    <w:rsid w:val="00C66110"/>
    <w:rsid w:val="00C6633E"/>
    <w:rsid w:val="00C66A37"/>
    <w:rsid w:val="00C66B1D"/>
    <w:rsid w:val="00C66BF8"/>
    <w:rsid w:val="00C66E9D"/>
    <w:rsid w:val="00C66F0F"/>
    <w:rsid w:val="00C67527"/>
    <w:rsid w:val="00C701A7"/>
    <w:rsid w:val="00C70392"/>
    <w:rsid w:val="00C708BF"/>
    <w:rsid w:val="00C70BB1"/>
    <w:rsid w:val="00C70FB4"/>
    <w:rsid w:val="00C7197A"/>
    <w:rsid w:val="00C72E15"/>
    <w:rsid w:val="00C732BA"/>
    <w:rsid w:val="00C7339D"/>
    <w:rsid w:val="00C73408"/>
    <w:rsid w:val="00C73665"/>
    <w:rsid w:val="00C73686"/>
    <w:rsid w:val="00C738F8"/>
    <w:rsid w:val="00C73E47"/>
    <w:rsid w:val="00C73F42"/>
    <w:rsid w:val="00C74556"/>
    <w:rsid w:val="00C74A08"/>
    <w:rsid w:val="00C74D18"/>
    <w:rsid w:val="00C751E4"/>
    <w:rsid w:val="00C757B6"/>
    <w:rsid w:val="00C759E6"/>
    <w:rsid w:val="00C75D29"/>
    <w:rsid w:val="00C76168"/>
    <w:rsid w:val="00C761D2"/>
    <w:rsid w:val="00C76713"/>
    <w:rsid w:val="00C77514"/>
    <w:rsid w:val="00C7771E"/>
    <w:rsid w:val="00C77806"/>
    <w:rsid w:val="00C77967"/>
    <w:rsid w:val="00C8030C"/>
    <w:rsid w:val="00C807B7"/>
    <w:rsid w:val="00C80917"/>
    <w:rsid w:val="00C80DBB"/>
    <w:rsid w:val="00C80E8E"/>
    <w:rsid w:val="00C81201"/>
    <w:rsid w:val="00C819C6"/>
    <w:rsid w:val="00C81AFC"/>
    <w:rsid w:val="00C82533"/>
    <w:rsid w:val="00C828D6"/>
    <w:rsid w:val="00C82E3D"/>
    <w:rsid w:val="00C82FA5"/>
    <w:rsid w:val="00C8348C"/>
    <w:rsid w:val="00C83BC5"/>
    <w:rsid w:val="00C83D0C"/>
    <w:rsid w:val="00C83ED7"/>
    <w:rsid w:val="00C8469C"/>
    <w:rsid w:val="00C84B7C"/>
    <w:rsid w:val="00C84B8E"/>
    <w:rsid w:val="00C857A0"/>
    <w:rsid w:val="00C85ABA"/>
    <w:rsid w:val="00C85C08"/>
    <w:rsid w:val="00C85DBF"/>
    <w:rsid w:val="00C85DC3"/>
    <w:rsid w:val="00C8602B"/>
    <w:rsid w:val="00C862C5"/>
    <w:rsid w:val="00C86478"/>
    <w:rsid w:val="00C86509"/>
    <w:rsid w:val="00C86808"/>
    <w:rsid w:val="00C870C0"/>
    <w:rsid w:val="00C87148"/>
    <w:rsid w:val="00C87161"/>
    <w:rsid w:val="00C87204"/>
    <w:rsid w:val="00C87B0D"/>
    <w:rsid w:val="00C902B3"/>
    <w:rsid w:val="00C90344"/>
    <w:rsid w:val="00C90E06"/>
    <w:rsid w:val="00C912B2"/>
    <w:rsid w:val="00C912E1"/>
    <w:rsid w:val="00C91474"/>
    <w:rsid w:val="00C91721"/>
    <w:rsid w:val="00C918CD"/>
    <w:rsid w:val="00C91D12"/>
    <w:rsid w:val="00C91F21"/>
    <w:rsid w:val="00C91F66"/>
    <w:rsid w:val="00C921AC"/>
    <w:rsid w:val="00C92B99"/>
    <w:rsid w:val="00C93141"/>
    <w:rsid w:val="00C93976"/>
    <w:rsid w:val="00C94300"/>
    <w:rsid w:val="00C944E1"/>
    <w:rsid w:val="00C944F1"/>
    <w:rsid w:val="00C954CE"/>
    <w:rsid w:val="00C9562F"/>
    <w:rsid w:val="00C970BE"/>
    <w:rsid w:val="00C9785B"/>
    <w:rsid w:val="00CA0201"/>
    <w:rsid w:val="00CA029F"/>
    <w:rsid w:val="00CA06E3"/>
    <w:rsid w:val="00CA08AB"/>
    <w:rsid w:val="00CA108A"/>
    <w:rsid w:val="00CA1738"/>
    <w:rsid w:val="00CA1992"/>
    <w:rsid w:val="00CA1A90"/>
    <w:rsid w:val="00CA1B83"/>
    <w:rsid w:val="00CA1F8B"/>
    <w:rsid w:val="00CA229E"/>
    <w:rsid w:val="00CA238E"/>
    <w:rsid w:val="00CA243E"/>
    <w:rsid w:val="00CA2470"/>
    <w:rsid w:val="00CA2D9C"/>
    <w:rsid w:val="00CA2FD8"/>
    <w:rsid w:val="00CA3198"/>
    <w:rsid w:val="00CA31CB"/>
    <w:rsid w:val="00CA3236"/>
    <w:rsid w:val="00CA397F"/>
    <w:rsid w:val="00CA3B3A"/>
    <w:rsid w:val="00CA3F3B"/>
    <w:rsid w:val="00CA3F8D"/>
    <w:rsid w:val="00CA4089"/>
    <w:rsid w:val="00CA41DF"/>
    <w:rsid w:val="00CA4BAF"/>
    <w:rsid w:val="00CA4DB3"/>
    <w:rsid w:val="00CA536F"/>
    <w:rsid w:val="00CA56F9"/>
    <w:rsid w:val="00CA5A2F"/>
    <w:rsid w:val="00CA5D0D"/>
    <w:rsid w:val="00CA6499"/>
    <w:rsid w:val="00CA6706"/>
    <w:rsid w:val="00CA6B48"/>
    <w:rsid w:val="00CA6D31"/>
    <w:rsid w:val="00CA6F24"/>
    <w:rsid w:val="00CA7315"/>
    <w:rsid w:val="00CA78A5"/>
    <w:rsid w:val="00CA7A52"/>
    <w:rsid w:val="00CA7E6C"/>
    <w:rsid w:val="00CB01BC"/>
    <w:rsid w:val="00CB0221"/>
    <w:rsid w:val="00CB02A8"/>
    <w:rsid w:val="00CB0CCB"/>
    <w:rsid w:val="00CB10E3"/>
    <w:rsid w:val="00CB135B"/>
    <w:rsid w:val="00CB1470"/>
    <w:rsid w:val="00CB1683"/>
    <w:rsid w:val="00CB1B6D"/>
    <w:rsid w:val="00CB1EE5"/>
    <w:rsid w:val="00CB20E7"/>
    <w:rsid w:val="00CB2C33"/>
    <w:rsid w:val="00CB32ED"/>
    <w:rsid w:val="00CB34B5"/>
    <w:rsid w:val="00CB37D9"/>
    <w:rsid w:val="00CB38C3"/>
    <w:rsid w:val="00CB395A"/>
    <w:rsid w:val="00CB3AE5"/>
    <w:rsid w:val="00CB3F41"/>
    <w:rsid w:val="00CB431F"/>
    <w:rsid w:val="00CB4707"/>
    <w:rsid w:val="00CB4909"/>
    <w:rsid w:val="00CB4BA4"/>
    <w:rsid w:val="00CB4D9B"/>
    <w:rsid w:val="00CB4F05"/>
    <w:rsid w:val="00CB5FF8"/>
    <w:rsid w:val="00CB6355"/>
    <w:rsid w:val="00CB67BC"/>
    <w:rsid w:val="00CB71E8"/>
    <w:rsid w:val="00CB7475"/>
    <w:rsid w:val="00CB7661"/>
    <w:rsid w:val="00CB7B69"/>
    <w:rsid w:val="00CC0184"/>
    <w:rsid w:val="00CC055C"/>
    <w:rsid w:val="00CC0B3C"/>
    <w:rsid w:val="00CC0CBD"/>
    <w:rsid w:val="00CC0E08"/>
    <w:rsid w:val="00CC0FC1"/>
    <w:rsid w:val="00CC16EF"/>
    <w:rsid w:val="00CC1769"/>
    <w:rsid w:val="00CC19FE"/>
    <w:rsid w:val="00CC1FA0"/>
    <w:rsid w:val="00CC249C"/>
    <w:rsid w:val="00CC2504"/>
    <w:rsid w:val="00CC250A"/>
    <w:rsid w:val="00CC269F"/>
    <w:rsid w:val="00CC290C"/>
    <w:rsid w:val="00CC2ADC"/>
    <w:rsid w:val="00CC2CCC"/>
    <w:rsid w:val="00CC2D56"/>
    <w:rsid w:val="00CC2F6B"/>
    <w:rsid w:val="00CC2F8C"/>
    <w:rsid w:val="00CC34B2"/>
    <w:rsid w:val="00CC3824"/>
    <w:rsid w:val="00CC4580"/>
    <w:rsid w:val="00CC4BD1"/>
    <w:rsid w:val="00CC52BA"/>
    <w:rsid w:val="00CC5732"/>
    <w:rsid w:val="00CC5777"/>
    <w:rsid w:val="00CC5797"/>
    <w:rsid w:val="00CC57DB"/>
    <w:rsid w:val="00CC648B"/>
    <w:rsid w:val="00CC66C7"/>
    <w:rsid w:val="00CC677D"/>
    <w:rsid w:val="00CC6A86"/>
    <w:rsid w:val="00CC6DC0"/>
    <w:rsid w:val="00CC71C9"/>
    <w:rsid w:val="00CC75CF"/>
    <w:rsid w:val="00CC7D76"/>
    <w:rsid w:val="00CD0278"/>
    <w:rsid w:val="00CD0828"/>
    <w:rsid w:val="00CD0AA4"/>
    <w:rsid w:val="00CD0DCE"/>
    <w:rsid w:val="00CD0E5A"/>
    <w:rsid w:val="00CD0F31"/>
    <w:rsid w:val="00CD14B3"/>
    <w:rsid w:val="00CD1515"/>
    <w:rsid w:val="00CD1DAE"/>
    <w:rsid w:val="00CD1DDC"/>
    <w:rsid w:val="00CD1E13"/>
    <w:rsid w:val="00CD20F4"/>
    <w:rsid w:val="00CD217A"/>
    <w:rsid w:val="00CD2619"/>
    <w:rsid w:val="00CD2AB6"/>
    <w:rsid w:val="00CD2FF4"/>
    <w:rsid w:val="00CD3045"/>
    <w:rsid w:val="00CD315D"/>
    <w:rsid w:val="00CD3395"/>
    <w:rsid w:val="00CD39BA"/>
    <w:rsid w:val="00CD4088"/>
    <w:rsid w:val="00CD4089"/>
    <w:rsid w:val="00CD418E"/>
    <w:rsid w:val="00CD4616"/>
    <w:rsid w:val="00CD4A25"/>
    <w:rsid w:val="00CD4BCF"/>
    <w:rsid w:val="00CD4D7F"/>
    <w:rsid w:val="00CD5726"/>
    <w:rsid w:val="00CD577D"/>
    <w:rsid w:val="00CD5C68"/>
    <w:rsid w:val="00CD5F4E"/>
    <w:rsid w:val="00CD624B"/>
    <w:rsid w:val="00CD6509"/>
    <w:rsid w:val="00CD654C"/>
    <w:rsid w:val="00CD657E"/>
    <w:rsid w:val="00CD698C"/>
    <w:rsid w:val="00CD6F79"/>
    <w:rsid w:val="00CD7143"/>
    <w:rsid w:val="00CD7916"/>
    <w:rsid w:val="00CD7A2C"/>
    <w:rsid w:val="00CE035A"/>
    <w:rsid w:val="00CE06AB"/>
    <w:rsid w:val="00CE0AF6"/>
    <w:rsid w:val="00CE11B8"/>
    <w:rsid w:val="00CE137D"/>
    <w:rsid w:val="00CE13AA"/>
    <w:rsid w:val="00CE142A"/>
    <w:rsid w:val="00CE15A1"/>
    <w:rsid w:val="00CE184C"/>
    <w:rsid w:val="00CE1D73"/>
    <w:rsid w:val="00CE1EB2"/>
    <w:rsid w:val="00CE1EEB"/>
    <w:rsid w:val="00CE2329"/>
    <w:rsid w:val="00CE2D37"/>
    <w:rsid w:val="00CE322A"/>
    <w:rsid w:val="00CE3857"/>
    <w:rsid w:val="00CE3D94"/>
    <w:rsid w:val="00CE4053"/>
    <w:rsid w:val="00CE4A1B"/>
    <w:rsid w:val="00CE4B38"/>
    <w:rsid w:val="00CE4E1F"/>
    <w:rsid w:val="00CE51A4"/>
    <w:rsid w:val="00CE51B0"/>
    <w:rsid w:val="00CE521A"/>
    <w:rsid w:val="00CE534B"/>
    <w:rsid w:val="00CE53F1"/>
    <w:rsid w:val="00CE566E"/>
    <w:rsid w:val="00CE57A1"/>
    <w:rsid w:val="00CE59AA"/>
    <w:rsid w:val="00CE63E9"/>
    <w:rsid w:val="00CE6575"/>
    <w:rsid w:val="00CE6A4A"/>
    <w:rsid w:val="00CE73B9"/>
    <w:rsid w:val="00CE7702"/>
    <w:rsid w:val="00CE7956"/>
    <w:rsid w:val="00CF0010"/>
    <w:rsid w:val="00CF02F4"/>
    <w:rsid w:val="00CF16A9"/>
    <w:rsid w:val="00CF16C1"/>
    <w:rsid w:val="00CF2B76"/>
    <w:rsid w:val="00CF2CE8"/>
    <w:rsid w:val="00CF36CC"/>
    <w:rsid w:val="00CF373B"/>
    <w:rsid w:val="00CF38DB"/>
    <w:rsid w:val="00CF3959"/>
    <w:rsid w:val="00CF3A0B"/>
    <w:rsid w:val="00CF3F97"/>
    <w:rsid w:val="00CF436D"/>
    <w:rsid w:val="00CF508A"/>
    <w:rsid w:val="00CF5144"/>
    <w:rsid w:val="00CF5364"/>
    <w:rsid w:val="00CF561A"/>
    <w:rsid w:val="00CF583D"/>
    <w:rsid w:val="00CF5E65"/>
    <w:rsid w:val="00CF695B"/>
    <w:rsid w:val="00CF6F05"/>
    <w:rsid w:val="00CF7077"/>
    <w:rsid w:val="00CF728D"/>
    <w:rsid w:val="00CF75A3"/>
    <w:rsid w:val="00CF7AD6"/>
    <w:rsid w:val="00CF7FD6"/>
    <w:rsid w:val="00D002C8"/>
    <w:rsid w:val="00D00C50"/>
    <w:rsid w:val="00D00D45"/>
    <w:rsid w:val="00D011F5"/>
    <w:rsid w:val="00D013A9"/>
    <w:rsid w:val="00D014CB"/>
    <w:rsid w:val="00D01844"/>
    <w:rsid w:val="00D01CAF"/>
    <w:rsid w:val="00D01D2D"/>
    <w:rsid w:val="00D01FC0"/>
    <w:rsid w:val="00D02335"/>
    <w:rsid w:val="00D02933"/>
    <w:rsid w:val="00D02DD7"/>
    <w:rsid w:val="00D02E7C"/>
    <w:rsid w:val="00D03253"/>
    <w:rsid w:val="00D03458"/>
    <w:rsid w:val="00D0349D"/>
    <w:rsid w:val="00D036D3"/>
    <w:rsid w:val="00D03BB0"/>
    <w:rsid w:val="00D03DF7"/>
    <w:rsid w:val="00D03E23"/>
    <w:rsid w:val="00D042E7"/>
    <w:rsid w:val="00D04E0F"/>
    <w:rsid w:val="00D05379"/>
    <w:rsid w:val="00D0542D"/>
    <w:rsid w:val="00D05690"/>
    <w:rsid w:val="00D0574E"/>
    <w:rsid w:val="00D05B38"/>
    <w:rsid w:val="00D060FB"/>
    <w:rsid w:val="00D06426"/>
    <w:rsid w:val="00D064D9"/>
    <w:rsid w:val="00D068E8"/>
    <w:rsid w:val="00D06F13"/>
    <w:rsid w:val="00D0756E"/>
    <w:rsid w:val="00D0780A"/>
    <w:rsid w:val="00D07819"/>
    <w:rsid w:val="00D07A6C"/>
    <w:rsid w:val="00D07B42"/>
    <w:rsid w:val="00D07CDA"/>
    <w:rsid w:val="00D1044E"/>
    <w:rsid w:val="00D10524"/>
    <w:rsid w:val="00D10DC7"/>
    <w:rsid w:val="00D10EA8"/>
    <w:rsid w:val="00D1142D"/>
    <w:rsid w:val="00D11434"/>
    <w:rsid w:val="00D1179C"/>
    <w:rsid w:val="00D1189C"/>
    <w:rsid w:val="00D11C24"/>
    <w:rsid w:val="00D11CEC"/>
    <w:rsid w:val="00D11FCE"/>
    <w:rsid w:val="00D129F8"/>
    <w:rsid w:val="00D1332C"/>
    <w:rsid w:val="00D13D39"/>
    <w:rsid w:val="00D144BF"/>
    <w:rsid w:val="00D149D9"/>
    <w:rsid w:val="00D14D3B"/>
    <w:rsid w:val="00D14E4F"/>
    <w:rsid w:val="00D1536E"/>
    <w:rsid w:val="00D153CE"/>
    <w:rsid w:val="00D1582B"/>
    <w:rsid w:val="00D15DA5"/>
    <w:rsid w:val="00D15ED0"/>
    <w:rsid w:val="00D1608C"/>
    <w:rsid w:val="00D160B0"/>
    <w:rsid w:val="00D163B6"/>
    <w:rsid w:val="00D166C2"/>
    <w:rsid w:val="00D1684F"/>
    <w:rsid w:val="00D17192"/>
    <w:rsid w:val="00D171B9"/>
    <w:rsid w:val="00D179D7"/>
    <w:rsid w:val="00D17C97"/>
    <w:rsid w:val="00D17EEE"/>
    <w:rsid w:val="00D202F1"/>
    <w:rsid w:val="00D208F8"/>
    <w:rsid w:val="00D21457"/>
    <w:rsid w:val="00D2155A"/>
    <w:rsid w:val="00D2158A"/>
    <w:rsid w:val="00D2189F"/>
    <w:rsid w:val="00D219A3"/>
    <w:rsid w:val="00D21A27"/>
    <w:rsid w:val="00D21D04"/>
    <w:rsid w:val="00D21DCE"/>
    <w:rsid w:val="00D21F08"/>
    <w:rsid w:val="00D22589"/>
    <w:rsid w:val="00D22BAB"/>
    <w:rsid w:val="00D22F41"/>
    <w:rsid w:val="00D232D7"/>
    <w:rsid w:val="00D2330C"/>
    <w:rsid w:val="00D23977"/>
    <w:rsid w:val="00D2435C"/>
    <w:rsid w:val="00D245E8"/>
    <w:rsid w:val="00D254D9"/>
    <w:rsid w:val="00D255F8"/>
    <w:rsid w:val="00D26B2C"/>
    <w:rsid w:val="00D26B46"/>
    <w:rsid w:val="00D278B4"/>
    <w:rsid w:val="00D30179"/>
    <w:rsid w:val="00D303E8"/>
    <w:rsid w:val="00D3041B"/>
    <w:rsid w:val="00D3058D"/>
    <w:rsid w:val="00D3083D"/>
    <w:rsid w:val="00D30C50"/>
    <w:rsid w:val="00D31837"/>
    <w:rsid w:val="00D318C1"/>
    <w:rsid w:val="00D319DF"/>
    <w:rsid w:val="00D3219A"/>
    <w:rsid w:val="00D321CC"/>
    <w:rsid w:val="00D322AA"/>
    <w:rsid w:val="00D322C3"/>
    <w:rsid w:val="00D3248A"/>
    <w:rsid w:val="00D329E9"/>
    <w:rsid w:val="00D32E78"/>
    <w:rsid w:val="00D330C6"/>
    <w:rsid w:val="00D33513"/>
    <w:rsid w:val="00D33594"/>
    <w:rsid w:val="00D336EE"/>
    <w:rsid w:val="00D337C5"/>
    <w:rsid w:val="00D338FD"/>
    <w:rsid w:val="00D349F4"/>
    <w:rsid w:val="00D34A0A"/>
    <w:rsid w:val="00D35306"/>
    <w:rsid w:val="00D359D4"/>
    <w:rsid w:val="00D35BAC"/>
    <w:rsid w:val="00D35DA1"/>
    <w:rsid w:val="00D36060"/>
    <w:rsid w:val="00D36474"/>
    <w:rsid w:val="00D36A0E"/>
    <w:rsid w:val="00D36CAA"/>
    <w:rsid w:val="00D37207"/>
    <w:rsid w:val="00D37BDD"/>
    <w:rsid w:val="00D40162"/>
    <w:rsid w:val="00D4051C"/>
    <w:rsid w:val="00D4053C"/>
    <w:rsid w:val="00D4098F"/>
    <w:rsid w:val="00D40F89"/>
    <w:rsid w:val="00D40F9B"/>
    <w:rsid w:val="00D41142"/>
    <w:rsid w:val="00D41797"/>
    <w:rsid w:val="00D41A95"/>
    <w:rsid w:val="00D41B4B"/>
    <w:rsid w:val="00D41DCC"/>
    <w:rsid w:val="00D4240C"/>
    <w:rsid w:val="00D42C74"/>
    <w:rsid w:val="00D43691"/>
    <w:rsid w:val="00D43A66"/>
    <w:rsid w:val="00D43A8B"/>
    <w:rsid w:val="00D4401F"/>
    <w:rsid w:val="00D4468F"/>
    <w:rsid w:val="00D44BDA"/>
    <w:rsid w:val="00D45187"/>
    <w:rsid w:val="00D46057"/>
    <w:rsid w:val="00D465CF"/>
    <w:rsid w:val="00D46FDB"/>
    <w:rsid w:val="00D4760B"/>
    <w:rsid w:val="00D50032"/>
    <w:rsid w:val="00D50386"/>
    <w:rsid w:val="00D50399"/>
    <w:rsid w:val="00D5081E"/>
    <w:rsid w:val="00D50BBD"/>
    <w:rsid w:val="00D50BD6"/>
    <w:rsid w:val="00D50D43"/>
    <w:rsid w:val="00D51469"/>
    <w:rsid w:val="00D514D4"/>
    <w:rsid w:val="00D52472"/>
    <w:rsid w:val="00D52CFD"/>
    <w:rsid w:val="00D52DF2"/>
    <w:rsid w:val="00D52EDF"/>
    <w:rsid w:val="00D53421"/>
    <w:rsid w:val="00D540A5"/>
    <w:rsid w:val="00D542F0"/>
    <w:rsid w:val="00D550AD"/>
    <w:rsid w:val="00D552A0"/>
    <w:rsid w:val="00D5572F"/>
    <w:rsid w:val="00D55A71"/>
    <w:rsid w:val="00D55C04"/>
    <w:rsid w:val="00D565EC"/>
    <w:rsid w:val="00D56FD5"/>
    <w:rsid w:val="00D575C9"/>
    <w:rsid w:val="00D57A35"/>
    <w:rsid w:val="00D57E8E"/>
    <w:rsid w:val="00D60144"/>
    <w:rsid w:val="00D6039E"/>
    <w:rsid w:val="00D60C2B"/>
    <w:rsid w:val="00D60C8C"/>
    <w:rsid w:val="00D6103E"/>
    <w:rsid w:val="00D612DF"/>
    <w:rsid w:val="00D61EF7"/>
    <w:rsid w:val="00D62041"/>
    <w:rsid w:val="00D6277E"/>
    <w:rsid w:val="00D63580"/>
    <w:rsid w:val="00D637D6"/>
    <w:rsid w:val="00D6381D"/>
    <w:rsid w:val="00D63A81"/>
    <w:rsid w:val="00D63D16"/>
    <w:rsid w:val="00D63DE0"/>
    <w:rsid w:val="00D63E35"/>
    <w:rsid w:val="00D64C64"/>
    <w:rsid w:val="00D64C70"/>
    <w:rsid w:val="00D65400"/>
    <w:rsid w:val="00D65A03"/>
    <w:rsid w:val="00D65B30"/>
    <w:rsid w:val="00D65C7F"/>
    <w:rsid w:val="00D662B4"/>
    <w:rsid w:val="00D66B1F"/>
    <w:rsid w:val="00D6745F"/>
    <w:rsid w:val="00D7025F"/>
    <w:rsid w:val="00D70B58"/>
    <w:rsid w:val="00D712C5"/>
    <w:rsid w:val="00D7172B"/>
    <w:rsid w:val="00D7187D"/>
    <w:rsid w:val="00D71A00"/>
    <w:rsid w:val="00D7219C"/>
    <w:rsid w:val="00D72429"/>
    <w:rsid w:val="00D7251F"/>
    <w:rsid w:val="00D72867"/>
    <w:rsid w:val="00D72D39"/>
    <w:rsid w:val="00D72D44"/>
    <w:rsid w:val="00D72DE6"/>
    <w:rsid w:val="00D73112"/>
    <w:rsid w:val="00D73215"/>
    <w:rsid w:val="00D7334A"/>
    <w:rsid w:val="00D73429"/>
    <w:rsid w:val="00D73839"/>
    <w:rsid w:val="00D73A7D"/>
    <w:rsid w:val="00D742C4"/>
    <w:rsid w:val="00D74DD2"/>
    <w:rsid w:val="00D74F3A"/>
    <w:rsid w:val="00D752CF"/>
    <w:rsid w:val="00D752E9"/>
    <w:rsid w:val="00D75315"/>
    <w:rsid w:val="00D75466"/>
    <w:rsid w:val="00D75A05"/>
    <w:rsid w:val="00D75ABC"/>
    <w:rsid w:val="00D75C6D"/>
    <w:rsid w:val="00D76C51"/>
    <w:rsid w:val="00D774EE"/>
    <w:rsid w:val="00D77DA6"/>
    <w:rsid w:val="00D804CF"/>
    <w:rsid w:val="00D805C6"/>
    <w:rsid w:val="00D805EA"/>
    <w:rsid w:val="00D80650"/>
    <w:rsid w:val="00D807F3"/>
    <w:rsid w:val="00D80857"/>
    <w:rsid w:val="00D809A0"/>
    <w:rsid w:val="00D80C31"/>
    <w:rsid w:val="00D8131B"/>
    <w:rsid w:val="00D813FB"/>
    <w:rsid w:val="00D81B36"/>
    <w:rsid w:val="00D81B6C"/>
    <w:rsid w:val="00D81F4B"/>
    <w:rsid w:val="00D823C1"/>
    <w:rsid w:val="00D825C6"/>
    <w:rsid w:val="00D82A32"/>
    <w:rsid w:val="00D83119"/>
    <w:rsid w:val="00D8318E"/>
    <w:rsid w:val="00D847D7"/>
    <w:rsid w:val="00D85CBD"/>
    <w:rsid w:val="00D85EBD"/>
    <w:rsid w:val="00D863F1"/>
    <w:rsid w:val="00D86B15"/>
    <w:rsid w:val="00D86C8B"/>
    <w:rsid w:val="00D86EF1"/>
    <w:rsid w:val="00D8716C"/>
    <w:rsid w:val="00D8778C"/>
    <w:rsid w:val="00D8792B"/>
    <w:rsid w:val="00D90026"/>
    <w:rsid w:val="00D901DA"/>
    <w:rsid w:val="00D90262"/>
    <w:rsid w:val="00D90DC1"/>
    <w:rsid w:val="00D911EB"/>
    <w:rsid w:val="00D91A21"/>
    <w:rsid w:val="00D91B82"/>
    <w:rsid w:val="00D91E9E"/>
    <w:rsid w:val="00D91F14"/>
    <w:rsid w:val="00D92166"/>
    <w:rsid w:val="00D923DB"/>
    <w:rsid w:val="00D9251F"/>
    <w:rsid w:val="00D92E06"/>
    <w:rsid w:val="00D92F47"/>
    <w:rsid w:val="00D9302B"/>
    <w:rsid w:val="00D932F0"/>
    <w:rsid w:val="00D93B5F"/>
    <w:rsid w:val="00D93D55"/>
    <w:rsid w:val="00D944D5"/>
    <w:rsid w:val="00D94D5E"/>
    <w:rsid w:val="00D9503E"/>
    <w:rsid w:val="00D95380"/>
    <w:rsid w:val="00D95528"/>
    <w:rsid w:val="00D95CBF"/>
    <w:rsid w:val="00D95E0A"/>
    <w:rsid w:val="00D95E4D"/>
    <w:rsid w:val="00D95E6F"/>
    <w:rsid w:val="00D97159"/>
    <w:rsid w:val="00D97500"/>
    <w:rsid w:val="00DA027B"/>
    <w:rsid w:val="00DA0379"/>
    <w:rsid w:val="00DA04E7"/>
    <w:rsid w:val="00DA052A"/>
    <w:rsid w:val="00DA0A5F"/>
    <w:rsid w:val="00DA1187"/>
    <w:rsid w:val="00DA12DA"/>
    <w:rsid w:val="00DA133A"/>
    <w:rsid w:val="00DA1627"/>
    <w:rsid w:val="00DA1E83"/>
    <w:rsid w:val="00DA2008"/>
    <w:rsid w:val="00DA235C"/>
    <w:rsid w:val="00DA260F"/>
    <w:rsid w:val="00DA2620"/>
    <w:rsid w:val="00DA26C5"/>
    <w:rsid w:val="00DA2B1E"/>
    <w:rsid w:val="00DA30E9"/>
    <w:rsid w:val="00DA3514"/>
    <w:rsid w:val="00DA394C"/>
    <w:rsid w:val="00DA398A"/>
    <w:rsid w:val="00DA3E78"/>
    <w:rsid w:val="00DA41F9"/>
    <w:rsid w:val="00DA4D81"/>
    <w:rsid w:val="00DA4EF2"/>
    <w:rsid w:val="00DA507C"/>
    <w:rsid w:val="00DA52E4"/>
    <w:rsid w:val="00DA53D5"/>
    <w:rsid w:val="00DA53F6"/>
    <w:rsid w:val="00DA54FA"/>
    <w:rsid w:val="00DA5641"/>
    <w:rsid w:val="00DA59CA"/>
    <w:rsid w:val="00DA5D82"/>
    <w:rsid w:val="00DA66B8"/>
    <w:rsid w:val="00DA6704"/>
    <w:rsid w:val="00DA6946"/>
    <w:rsid w:val="00DA7654"/>
    <w:rsid w:val="00DA7B4E"/>
    <w:rsid w:val="00DA7E31"/>
    <w:rsid w:val="00DB00B2"/>
    <w:rsid w:val="00DB0602"/>
    <w:rsid w:val="00DB0731"/>
    <w:rsid w:val="00DB0884"/>
    <w:rsid w:val="00DB0BDD"/>
    <w:rsid w:val="00DB0BE3"/>
    <w:rsid w:val="00DB0BFB"/>
    <w:rsid w:val="00DB0CAB"/>
    <w:rsid w:val="00DB0CF7"/>
    <w:rsid w:val="00DB13F1"/>
    <w:rsid w:val="00DB1605"/>
    <w:rsid w:val="00DB1E46"/>
    <w:rsid w:val="00DB2111"/>
    <w:rsid w:val="00DB229E"/>
    <w:rsid w:val="00DB2338"/>
    <w:rsid w:val="00DB2797"/>
    <w:rsid w:val="00DB27A8"/>
    <w:rsid w:val="00DB2850"/>
    <w:rsid w:val="00DB2919"/>
    <w:rsid w:val="00DB2E07"/>
    <w:rsid w:val="00DB314A"/>
    <w:rsid w:val="00DB35CD"/>
    <w:rsid w:val="00DB39CC"/>
    <w:rsid w:val="00DB3D5F"/>
    <w:rsid w:val="00DB3E97"/>
    <w:rsid w:val="00DB3EFC"/>
    <w:rsid w:val="00DB40ED"/>
    <w:rsid w:val="00DB412C"/>
    <w:rsid w:val="00DB43C0"/>
    <w:rsid w:val="00DB4D3C"/>
    <w:rsid w:val="00DB589A"/>
    <w:rsid w:val="00DB5E33"/>
    <w:rsid w:val="00DB62D0"/>
    <w:rsid w:val="00DB65A4"/>
    <w:rsid w:val="00DB7B53"/>
    <w:rsid w:val="00DC097B"/>
    <w:rsid w:val="00DC09A3"/>
    <w:rsid w:val="00DC0D2D"/>
    <w:rsid w:val="00DC1450"/>
    <w:rsid w:val="00DC1786"/>
    <w:rsid w:val="00DC1F32"/>
    <w:rsid w:val="00DC2432"/>
    <w:rsid w:val="00DC262E"/>
    <w:rsid w:val="00DC26AF"/>
    <w:rsid w:val="00DC26DD"/>
    <w:rsid w:val="00DC2F9A"/>
    <w:rsid w:val="00DC354A"/>
    <w:rsid w:val="00DC3754"/>
    <w:rsid w:val="00DC3854"/>
    <w:rsid w:val="00DC3902"/>
    <w:rsid w:val="00DC3C97"/>
    <w:rsid w:val="00DC3D78"/>
    <w:rsid w:val="00DC400C"/>
    <w:rsid w:val="00DC40FA"/>
    <w:rsid w:val="00DC417E"/>
    <w:rsid w:val="00DC4419"/>
    <w:rsid w:val="00DC480D"/>
    <w:rsid w:val="00DC48AB"/>
    <w:rsid w:val="00DC4D3A"/>
    <w:rsid w:val="00DC59A3"/>
    <w:rsid w:val="00DC644E"/>
    <w:rsid w:val="00DC6903"/>
    <w:rsid w:val="00DC7188"/>
    <w:rsid w:val="00DC7443"/>
    <w:rsid w:val="00DC784F"/>
    <w:rsid w:val="00DC79D1"/>
    <w:rsid w:val="00DC7A11"/>
    <w:rsid w:val="00DC7DB1"/>
    <w:rsid w:val="00DC7ED4"/>
    <w:rsid w:val="00DD04F1"/>
    <w:rsid w:val="00DD06AB"/>
    <w:rsid w:val="00DD0E88"/>
    <w:rsid w:val="00DD0F24"/>
    <w:rsid w:val="00DD1145"/>
    <w:rsid w:val="00DD114C"/>
    <w:rsid w:val="00DD14F9"/>
    <w:rsid w:val="00DD1E0D"/>
    <w:rsid w:val="00DD1EAF"/>
    <w:rsid w:val="00DD2752"/>
    <w:rsid w:val="00DD28D4"/>
    <w:rsid w:val="00DD2905"/>
    <w:rsid w:val="00DD2B00"/>
    <w:rsid w:val="00DD2ECF"/>
    <w:rsid w:val="00DD2EE3"/>
    <w:rsid w:val="00DD3015"/>
    <w:rsid w:val="00DD316A"/>
    <w:rsid w:val="00DD3C36"/>
    <w:rsid w:val="00DD3EBE"/>
    <w:rsid w:val="00DD4233"/>
    <w:rsid w:val="00DD45B7"/>
    <w:rsid w:val="00DD4953"/>
    <w:rsid w:val="00DD4AA8"/>
    <w:rsid w:val="00DD4C4E"/>
    <w:rsid w:val="00DD4C75"/>
    <w:rsid w:val="00DD5036"/>
    <w:rsid w:val="00DD54FF"/>
    <w:rsid w:val="00DD55B3"/>
    <w:rsid w:val="00DD5B0E"/>
    <w:rsid w:val="00DD5DEE"/>
    <w:rsid w:val="00DD62EF"/>
    <w:rsid w:val="00DD72B9"/>
    <w:rsid w:val="00DD761B"/>
    <w:rsid w:val="00DD764F"/>
    <w:rsid w:val="00DD7AE0"/>
    <w:rsid w:val="00DE0061"/>
    <w:rsid w:val="00DE01DB"/>
    <w:rsid w:val="00DE0AC8"/>
    <w:rsid w:val="00DE0D75"/>
    <w:rsid w:val="00DE1567"/>
    <w:rsid w:val="00DE38F3"/>
    <w:rsid w:val="00DE47EE"/>
    <w:rsid w:val="00DE497F"/>
    <w:rsid w:val="00DE4C63"/>
    <w:rsid w:val="00DE4E27"/>
    <w:rsid w:val="00DE5314"/>
    <w:rsid w:val="00DE5758"/>
    <w:rsid w:val="00DE5A40"/>
    <w:rsid w:val="00DE5E76"/>
    <w:rsid w:val="00DE60F0"/>
    <w:rsid w:val="00DE7703"/>
    <w:rsid w:val="00DE7AAF"/>
    <w:rsid w:val="00DE7C6D"/>
    <w:rsid w:val="00DF0015"/>
    <w:rsid w:val="00DF0186"/>
    <w:rsid w:val="00DF0318"/>
    <w:rsid w:val="00DF04EC"/>
    <w:rsid w:val="00DF099B"/>
    <w:rsid w:val="00DF0BB5"/>
    <w:rsid w:val="00DF10D7"/>
    <w:rsid w:val="00DF10EF"/>
    <w:rsid w:val="00DF1163"/>
    <w:rsid w:val="00DF203A"/>
    <w:rsid w:val="00DF20CE"/>
    <w:rsid w:val="00DF24D5"/>
    <w:rsid w:val="00DF263D"/>
    <w:rsid w:val="00DF314D"/>
    <w:rsid w:val="00DF32E7"/>
    <w:rsid w:val="00DF3324"/>
    <w:rsid w:val="00DF3385"/>
    <w:rsid w:val="00DF3393"/>
    <w:rsid w:val="00DF3AC2"/>
    <w:rsid w:val="00DF409A"/>
    <w:rsid w:val="00DF541C"/>
    <w:rsid w:val="00DF5456"/>
    <w:rsid w:val="00DF5A25"/>
    <w:rsid w:val="00DF5C39"/>
    <w:rsid w:val="00DF6543"/>
    <w:rsid w:val="00DF7C17"/>
    <w:rsid w:val="00E00461"/>
    <w:rsid w:val="00E00491"/>
    <w:rsid w:val="00E00A98"/>
    <w:rsid w:val="00E00B0E"/>
    <w:rsid w:val="00E01345"/>
    <w:rsid w:val="00E019AE"/>
    <w:rsid w:val="00E01A9D"/>
    <w:rsid w:val="00E01B5C"/>
    <w:rsid w:val="00E01B8C"/>
    <w:rsid w:val="00E01CFF"/>
    <w:rsid w:val="00E02B7A"/>
    <w:rsid w:val="00E03325"/>
    <w:rsid w:val="00E03590"/>
    <w:rsid w:val="00E0359A"/>
    <w:rsid w:val="00E03856"/>
    <w:rsid w:val="00E03B1A"/>
    <w:rsid w:val="00E03DC7"/>
    <w:rsid w:val="00E0435A"/>
    <w:rsid w:val="00E044CD"/>
    <w:rsid w:val="00E04A6B"/>
    <w:rsid w:val="00E04A81"/>
    <w:rsid w:val="00E04C62"/>
    <w:rsid w:val="00E05792"/>
    <w:rsid w:val="00E0631E"/>
    <w:rsid w:val="00E066C8"/>
    <w:rsid w:val="00E066DA"/>
    <w:rsid w:val="00E06B4A"/>
    <w:rsid w:val="00E06C8D"/>
    <w:rsid w:val="00E06D3C"/>
    <w:rsid w:val="00E06D96"/>
    <w:rsid w:val="00E07005"/>
    <w:rsid w:val="00E0790F"/>
    <w:rsid w:val="00E07E53"/>
    <w:rsid w:val="00E1002C"/>
    <w:rsid w:val="00E10650"/>
    <w:rsid w:val="00E11E0D"/>
    <w:rsid w:val="00E11FC7"/>
    <w:rsid w:val="00E12885"/>
    <w:rsid w:val="00E12D2F"/>
    <w:rsid w:val="00E12F0F"/>
    <w:rsid w:val="00E1320A"/>
    <w:rsid w:val="00E13964"/>
    <w:rsid w:val="00E13B49"/>
    <w:rsid w:val="00E13CAA"/>
    <w:rsid w:val="00E1449A"/>
    <w:rsid w:val="00E14500"/>
    <w:rsid w:val="00E1480C"/>
    <w:rsid w:val="00E14B10"/>
    <w:rsid w:val="00E14D7F"/>
    <w:rsid w:val="00E156CC"/>
    <w:rsid w:val="00E15B81"/>
    <w:rsid w:val="00E15F47"/>
    <w:rsid w:val="00E16016"/>
    <w:rsid w:val="00E16BE3"/>
    <w:rsid w:val="00E16EAF"/>
    <w:rsid w:val="00E1703D"/>
    <w:rsid w:val="00E20A11"/>
    <w:rsid w:val="00E21A39"/>
    <w:rsid w:val="00E21C87"/>
    <w:rsid w:val="00E21D0A"/>
    <w:rsid w:val="00E21F76"/>
    <w:rsid w:val="00E223AD"/>
    <w:rsid w:val="00E225A5"/>
    <w:rsid w:val="00E22D16"/>
    <w:rsid w:val="00E22EA0"/>
    <w:rsid w:val="00E232DC"/>
    <w:rsid w:val="00E23403"/>
    <w:rsid w:val="00E2388D"/>
    <w:rsid w:val="00E239D8"/>
    <w:rsid w:val="00E2401D"/>
    <w:rsid w:val="00E2406F"/>
    <w:rsid w:val="00E240E4"/>
    <w:rsid w:val="00E24279"/>
    <w:rsid w:val="00E246CF"/>
    <w:rsid w:val="00E24BBB"/>
    <w:rsid w:val="00E24F4E"/>
    <w:rsid w:val="00E250E9"/>
    <w:rsid w:val="00E253A8"/>
    <w:rsid w:val="00E25553"/>
    <w:rsid w:val="00E25A1B"/>
    <w:rsid w:val="00E2653A"/>
    <w:rsid w:val="00E267DD"/>
    <w:rsid w:val="00E268F5"/>
    <w:rsid w:val="00E26DFD"/>
    <w:rsid w:val="00E2718D"/>
    <w:rsid w:val="00E27500"/>
    <w:rsid w:val="00E27E05"/>
    <w:rsid w:val="00E27E1A"/>
    <w:rsid w:val="00E27E6F"/>
    <w:rsid w:val="00E30092"/>
    <w:rsid w:val="00E30707"/>
    <w:rsid w:val="00E3089A"/>
    <w:rsid w:val="00E30CE4"/>
    <w:rsid w:val="00E30D61"/>
    <w:rsid w:val="00E31731"/>
    <w:rsid w:val="00E31761"/>
    <w:rsid w:val="00E31CE3"/>
    <w:rsid w:val="00E32289"/>
    <w:rsid w:val="00E32810"/>
    <w:rsid w:val="00E32E0C"/>
    <w:rsid w:val="00E330C7"/>
    <w:rsid w:val="00E332F7"/>
    <w:rsid w:val="00E33B22"/>
    <w:rsid w:val="00E34372"/>
    <w:rsid w:val="00E344E8"/>
    <w:rsid w:val="00E3490C"/>
    <w:rsid w:val="00E34FCC"/>
    <w:rsid w:val="00E34FD9"/>
    <w:rsid w:val="00E35057"/>
    <w:rsid w:val="00E350E1"/>
    <w:rsid w:val="00E35367"/>
    <w:rsid w:val="00E35501"/>
    <w:rsid w:val="00E35768"/>
    <w:rsid w:val="00E369B9"/>
    <w:rsid w:val="00E369FA"/>
    <w:rsid w:val="00E36AA1"/>
    <w:rsid w:val="00E37A98"/>
    <w:rsid w:val="00E40009"/>
    <w:rsid w:val="00E400BF"/>
    <w:rsid w:val="00E40469"/>
    <w:rsid w:val="00E40915"/>
    <w:rsid w:val="00E40B3C"/>
    <w:rsid w:val="00E416A1"/>
    <w:rsid w:val="00E41A4F"/>
    <w:rsid w:val="00E41BC9"/>
    <w:rsid w:val="00E41FD0"/>
    <w:rsid w:val="00E42002"/>
    <w:rsid w:val="00E4266A"/>
    <w:rsid w:val="00E43350"/>
    <w:rsid w:val="00E4383F"/>
    <w:rsid w:val="00E43BBB"/>
    <w:rsid w:val="00E43F32"/>
    <w:rsid w:val="00E44137"/>
    <w:rsid w:val="00E4419A"/>
    <w:rsid w:val="00E44225"/>
    <w:rsid w:val="00E447D7"/>
    <w:rsid w:val="00E454FC"/>
    <w:rsid w:val="00E455BF"/>
    <w:rsid w:val="00E45D28"/>
    <w:rsid w:val="00E45E52"/>
    <w:rsid w:val="00E45EC7"/>
    <w:rsid w:val="00E46317"/>
    <w:rsid w:val="00E464AC"/>
    <w:rsid w:val="00E46801"/>
    <w:rsid w:val="00E46963"/>
    <w:rsid w:val="00E469CC"/>
    <w:rsid w:val="00E46B37"/>
    <w:rsid w:val="00E47350"/>
    <w:rsid w:val="00E474C9"/>
    <w:rsid w:val="00E47941"/>
    <w:rsid w:val="00E4799E"/>
    <w:rsid w:val="00E47C8F"/>
    <w:rsid w:val="00E47F49"/>
    <w:rsid w:val="00E50DE7"/>
    <w:rsid w:val="00E510C0"/>
    <w:rsid w:val="00E51871"/>
    <w:rsid w:val="00E51FCD"/>
    <w:rsid w:val="00E52097"/>
    <w:rsid w:val="00E525C7"/>
    <w:rsid w:val="00E5341E"/>
    <w:rsid w:val="00E534A6"/>
    <w:rsid w:val="00E53530"/>
    <w:rsid w:val="00E5353B"/>
    <w:rsid w:val="00E5365A"/>
    <w:rsid w:val="00E5378E"/>
    <w:rsid w:val="00E53A2E"/>
    <w:rsid w:val="00E54040"/>
    <w:rsid w:val="00E541AF"/>
    <w:rsid w:val="00E54403"/>
    <w:rsid w:val="00E544A0"/>
    <w:rsid w:val="00E54AAA"/>
    <w:rsid w:val="00E56780"/>
    <w:rsid w:val="00E56832"/>
    <w:rsid w:val="00E56C2A"/>
    <w:rsid w:val="00E56EC0"/>
    <w:rsid w:val="00E5781F"/>
    <w:rsid w:val="00E57ABF"/>
    <w:rsid w:val="00E57B06"/>
    <w:rsid w:val="00E57E9C"/>
    <w:rsid w:val="00E57EB8"/>
    <w:rsid w:val="00E607D9"/>
    <w:rsid w:val="00E60924"/>
    <w:rsid w:val="00E60F33"/>
    <w:rsid w:val="00E6160F"/>
    <w:rsid w:val="00E61875"/>
    <w:rsid w:val="00E6274C"/>
    <w:rsid w:val="00E62834"/>
    <w:rsid w:val="00E62878"/>
    <w:rsid w:val="00E62B03"/>
    <w:rsid w:val="00E62C3B"/>
    <w:rsid w:val="00E62CB5"/>
    <w:rsid w:val="00E63558"/>
    <w:rsid w:val="00E636D7"/>
    <w:rsid w:val="00E6384A"/>
    <w:rsid w:val="00E63AFE"/>
    <w:rsid w:val="00E6403B"/>
    <w:rsid w:val="00E64143"/>
    <w:rsid w:val="00E644AA"/>
    <w:rsid w:val="00E645C7"/>
    <w:rsid w:val="00E645FF"/>
    <w:rsid w:val="00E64C7E"/>
    <w:rsid w:val="00E64FB1"/>
    <w:rsid w:val="00E6533E"/>
    <w:rsid w:val="00E656CF"/>
    <w:rsid w:val="00E65707"/>
    <w:rsid w:val="00E669F1"/>
    <w:rsid w:val="00E66AAA"/>
    <w:rsid w:val="00E67012"/>
    <w:rsid w:val="00E670BC"/>
    <w:rsid w:val="00E6745D"/>
    <w:rsid w:val="00E6749B"/>
    <w:rsid w:val="00E6786C"/>
    <w:rsid w:val="00E679AA"/>
    <w:rsid w:val="00E67F98"/>
    <w:rsid w:val="00E70121"/>
    <w:rsid w:val="00E70A84"/>
    <w:rsid w:val="00E70C8D"/>
    <w:rsid w:val="00E70D74"/>
    <w:rsid w:val="00E70DBD"/>
    <w:rsid w:val="00E70E1F"/>
    <w:rsid w:val="00E714DD"/>
    <w:rsid w:val="00E7152A"/>
    <w:rsid w:val="00E71A86"/>
    <w:rsid w:val="00E71AB6"/>
    <w:rsid w:val="00E724D3"/>
    <w:rsid w:val="00E729B2"/>
    <w:rsid w:val="00E72B79"/>
    <w:rsid w:val="00E72C14"/>
    <w:rsid w:val="00E72EB0"/>
    <w:rsid w:val="00E72FDF"/>
    <w:rsid w:val="00E73077"/>
    <w:rsid w:val="00E731BB"/>
    <w:rsid w:val="00E73466"/>
    <w:rsid w:val="00E73564"/>
    <w:rsid w:val="00E735DA"/>
    <w:rsid w:val="00E74134"/>
    <w:rsid w:val="00E74174"/>
    <w:rsid w:val="00E74957"/>
    <w:rsid w:val="00E74BB0"/>
    <w:rsid w:val="00E7504B"/>
    <w:rsid w:val="00E75143"/>
    <w:rsid w:val="00E75301"/>
    <w:rsid w:val="00E753D5"/>
    <w:rsid w:val="00E756FE"/>
    <w:rsid w:val="00E75794"/>
    <w:rsid w:val="00E758DE"/>
    <w:rsid w:val="00E75C92"/>
    <w:rsid w:val="00E76363"/>
    <w:rsid w:val="00E76468"/>
    <w:rsid w:val="00E76D04"/>
    <w:rsid w:val="00E76FC1"/>
    <w:rsid w:val="00E77021"/>
    <w:rsid w:val="00E771AE"/>
    <w:rsid w:val="00E77CCC"/>
    <w:rsid w:val="00E77EDF"/>
    <w:rsid w:val="00E8068F"/>
    <w:rsid w:val="00E80E43"/>
    <w:rsid w:val="00E80FD7"/>
    <w:rsid w:val="00E81F65"/>
    <w:rsid w:val="00E82031"/>
    <w:rsid w:val="00E822E1"/>
    <w:rsid w:val="00E82EF4"/>
    <w:rsid w:val="00E831C7"/>
    <w:rsid w:val="00E832EB"/>
    <w:rsid w:val="00E83304"/>
    <w:rsid w:val="00E8353C"/>
    <w:rsid w:val="00E83D1A"/>
    <w:rsid w:val="00E83E88"/>
    <w:rsid w:val="00E83F0D"/>
    <w:rsid w:val="00E84389"/>
    <w:rsid w:val="00E84410"/>
    <w:rsid w:val="00E8461C"/>
    <w:rsid w:val="00E84E4F"/>
    <w:rsid w:val="00E8534D"/>
    <w:rsid w:val="00E86963"/>
    <w:rsid w:val="00E86E5A"/>
    <w:rsid w:val="00E872C2"/>
    <w:rsid w:val="00E87465"/>
    <w:rsid w:val="00E8790D"/>
    <w:rsid w:val="00E87B0D"/>
    <w:rsid w:val="00E903AF"/>
    <w:rsid w:val="00E90717"/>
    <w:rsid w:val="00E91B54"/>
    <w:rsid w:val="00E926A7"/>
    <w:rsid w:val="00E92D03"/>
    <w:rsid w:val="00E932B0"/>
    <w:rsid w:val="00E9330E"/>
    <w:rsid w:val="00E9365E"/>
    <w:rsid w:val="00E93795"/>
    <w:rsid w:val="00E938C9"/>
    <w:rsid w:val="00E944CE"/>
    <w:rsid w:val="00E94AB7"/>
    <w:rsid w:val="00E94B2A"/>
    <w:rsid w:val="00E9500E"/>
    <w:rsid w:val="00E951DA"/>
    <w:rsid w:val="00E95483"/>
    <w:rsid w:val="00E95823"/>
    <w:rsid w:val="00E95936"/>
    <w:rsid w:val="00E95A66"/>
    <w:rsid w:val="00E96381"/>
    <w:rsid w:val="00E963F2"/>
    <w:rsid w:val="00E966D9"/>
    <w:rsid w:val="00E96B62"/>
    <w:rsid w:val="00E97144"/>
    <w:rsid w:val="00E972A7"/>
    <w:rsid w:val="00EA02A0"/>
    <w:rsid w:val="00EA073D"/>
    <w:rsid w:val="00EA09E9"/>
    <w:rsid w:val="00EA0A86"/>
    <w:rsid w:val="00EA1496"/>
    <w:rsid w:val="00EA192A"/>
    <w:rsid w:val="00EA1E2D"/>
    <w:rsid w:val="00EA2411"/>
    <w:rsid w:val="00EA259B"/>
    <w:rsid w:val="00EA2763"/>
    <w:rsid w:val="00EA2FAE"/>
    <w:rsid w:val="00EA3223"/>
    <w:rsid w:val="00EA4CF1"/>
    <w:rsid w:val="00EA5614"/>
    <w:rsid w:val="00EA5859"/>
    <w:rsid w:val="00EA598C"/>
    <w:rsid w:val="00EA5A38"/>
    <w:rsid w:val="00EA68D6"/>
    <w:rsid w:val="00EA6D22"/>
    <w:rsid w:val="00EA7204"/>
    <w:rsid w:val="00EA7420"/>
    <w:rsid w:val="00EA7F55"/>
    <w:rsid w:val="00EB0406"/>
    <w:rsid w:val="00EB04BB"/>
    <w:rsid w:val="00EB057E"/>
    <w:rsid w:val="00EB0842"/>
    <w:rsid w:val="00EB0932"/>
    <w:rsid w:val="00EB0951"/>
    <w:rsid w:val="00EB09D7"/>
    <w:rsid w:val="00EB1A60"/>
    <w:rsid w:val="00EB1ACF"/>
    <w:rsid w:val="00EB24D0"/>
    <w:rsid w:val="00EB25CD"/>
    <w:rsid w:val="00EB2A50"/>
    <w:rsid w:val="00EB2B06"/>
    <w:rsid w:val="00EB2CE6"/>
    <w:rsid w:val="00EB3038"/>
    <w:rsid w:val="00EB3083"/>
    <w:rsid w:val="00EB31A7"/>
    <w:rsid w:val="00EB3AD1"/>
    <w:rsid w:val="00EB3EED"/>
    <w:rsid w:val="00EB4621"/>
    <w:rsid w:val="00EB4A80"/>
    <w:rsid w:val="00EB4D3B"/>
    <w:rsid w:val="00EB4D73"/>
    <w:rsid w:val="00EB54E4"/>
    <w:rsid w:val="00EB5533"/>
    <w:rsid w:val="00EB5610"/>
    <w:rsid w:val="00EB5AE7"/>
    <w:rsid w:val="00EB5F0F"/>
    <w:rsid w:val="00EB682A"/>
    <w:rsid w:val="00EB6E88"/>
    <w:rsid w:val="00EB7736"/>
    <w:rsid w:val="00EB7C6D"/>
    <w:rsid w:val="00EB7E60"/>
    <w:rsid w:val="00EC0EA7"/>
    <w:rsid w:val="00EC18D4"/>
    <w:rsid w:val="00EC214E"/>
    <w:rsid w:val="00EC2545"/>
    <w:rsid w:val="00EC27C9"/>
    <w:rsid w:val="00EC2A26"/>
    <w:rsid w:val="00EC34DE"/>
    <w:rsid w:val="00EC3A39"/>
    <w:rsid w:val="00EC4895"/>
    <w:rsid w:val="00EC4EAB"/>
    <w:rsid w:val="00EC4F01"/>
    <w:rsid w:val="00EC5179"/>
    <w:rsid w:val="00EC540C"/>
    <w:rsid w:val="00EC5573"/>
    <w:rsid w:val="00EC5588"/>
    <w:rsid w:val="00EC56D7"/>
    <w:rsid w:val="00EC5918"/>
    <w:rsid w:val="00EC664E"/>
    <w:rsid w:val="00EC6701"/>
    <w:rsid w:val="00EC6D08"/>
    <w:rsid w:val="00EC7180"/>
    <w:rsid w:val="00EC71BC"/>
    <w:rsid w:val="00ED01C5"/>
    <w:rsid w:val="00ED04E1"/>
    <w:rsid w:val="00ED052B"/>
    <w:rsid w:val="00ED0F1D"/>
    <w:rsid w:val="00ED0FF3"/>
    <w:rsid w:val="00ED104C"/>
    <w:rsid w:val="00ED1400"/>
    <w:rsid w:val="00ED1E30"/>
    <w:rsid w:val="00ED202E"/>
    <w:rsid w:val="00ED207D"/>
    <w:rsid w:val="00ED23CE"/>
    <w:rsid w:val="00ED2524"/>
    <w:rsid w:val="00ED254B"/>
    <w:rsid w:val="00ED2A8B"/>
    <w:rsid w:val="00ED32DF"/>
    <w:rsid w:val="00ED32E0"/>
    <w:rsid w:val="00ED42AD"/>
    <w:rsid w:val="00ED44B7"/>
    <w:rsid w:val="00ED4679"/>
    <w:rsid w:val="00ED47E1"/>
    <w:rsid w:val="00ED4E1D"/>
    <w:rsid w:val="00ED55E3"/>
    <w:rsid w:val="00ED561A"/>
    <w:rsid w:val="00ED564C"/>
    <w:rsid w:val="00ED604A"/>
    <w:rsid w:val="00ED60A6"/>
    <w:rsid w:val="00ED6212"/>
    <w:rsid w:val="00ED6389"/>
    <w:rsid w:val="00ED6F2C"/>
    <w:rsid w:val="00ED7363"/>
    <w:rsid w:val="00ED73E7"/>
    <w:rsid w:val="00ED74F2"/>
    <w:rsid w:val="00ED791F"/>
    <w:rsid w:val="00ED79EC"/>
    <w:rsid w:val="00ED7B7E"/>
    <w:rsid w:val="00ED7EF4"/>
    <w:rsid w:val="00EE0211"/>
    <w:rsid w:val="00EE0C66"/>
    <w:rsid w:val="00EE0D8A"/>
    <w:rsid w:val="00EE1AFE"/>
    <w:rsid w:val="00EE1E8F"/>
    <w:rsid w:val="00EE1FB8"/>
    <w:rsid w:val="00EE235D"/>
    <w:rsid w:val="00EE2AE6"/>
    <w:rsid w:val="00EE2DEB"/>
    <w:rsid w:val="00EE3011"/>
    <w:rsid w:val="00EE3C41"/>
    <w:rsid w:val="00EE3F54"/>
    <w:rsid w:val="00EE40FB"/>
    <w:rsid w:val="00EE424C"/>
    <w:rsid w:val="00EE470D"/>
    <w:rsid w:val="00EE56CD"/>
    <w:rsid w:val="00EE57F7"/>
    <w:rsid w:val="00EE6431"/>
    <w:rsid w:val="00EE645F"/>
    <w:rsid w:val="00EE6B95"/>
    <w:rsid w:val="00EE6BEE"/>
    <w:rsid w:val="00EE6E0B"/>
    <w:rsid w:val="00EE77CF"/>
    <w:rsid w:val="00EE7D35"/>
    <w:rsid w:val="00EF07A2"/>
    <w:rsid w:val="00EF08BC"/>
    <w:rsid w:val="00EF0E3F"/>
    <w:rsid w:val="00EF126B"/>
    <w:rsid w:val="00EF17E0"/>
    <w:rsid w:val="00EF1AA6"/>
    <w:rsid w:val="00EF1C2B"/>
    <w:rsid w:val="00EF1D76"/>
    <w:rsid w:val="00EF1EF0"/>
    <w:rsid w:val="00EF297F"/>
    <w:rsid w:val="00EF2B11"/>
    <w:rsid w:val="00EF2D8D"/>
    <w:rsid w:val="00EF33D5"/>
    <w:rsid w:val="00EF3503"/>
    <w:rsid w:val="00EF3662"/>
    <w:rsid w:val="00EF3C22"/>
    <w:rsid w:val="00EF4304"/>
    <w:rsid w:val="00EF47B4"/>
    <w:rsid w:val="00EF4A77"/>
    <w:rsid w:val="00EF4D9E"/>
    <w:rsid w:val="00EF4F38"/>
    <w:rsid w:val="00EF4F76"/>
    <w:rsid w:val="00EF5081"/>
    <w:rsid w:val="00EF5685"/>
    <w:rsid w:val="00EF5734"/>
    <w:rsid w:val="00EF5A28"/>
    <w:rsid w:val="00EF608C"/>
    <w:rsid w:val="00EF65A1"/>
    <w:rsid w:val="00EF698D"/>
    <w:rsid w:val="00EF6A8C"/>
    <w:rsid w:val="00EF6D96"/>
    <w:rsid w:val="00EF7238"/>
    <w:rsid w:val="00EF73C6"/>
    <w:rsid w:val="00EF7A6D"/>
    <w:rsid w:val="00EF7D82"/>
    <w:rsid w:val="00EF7FB5"/>
    <w:rsid w:val="00F000A4"/>
    <w:rsid w:val="00F00463"/>
    <w:rsid w:val="00F00808"/>
    <w:rsid w:val="00F009A7"/>
    <w:rsid w:val="00F00EBF"/>
    <w:rsid w:val="00F00FF2"/>
    <w:rsid w:val="00F014FC"/>
    <w:rsid w:val="00F0169B"/>
    <w:rsid w:val="00F0220E"/>
    <w:rsid w:val="00F02254"/>
    <w:rsid w:val="00F0228E"/>
    <w:rsid w:val="00F0255A"/>
    <w:rsid w:val="00F028E0"/>
    <w:rsid w:val="00F03F79"/>
    <w:rsid w:val="00F042BD"/>
    <w:rsid w:val="00F04969"/>
    <w:rsid w:val="00F055CA"/>
    <w:rsid w:val="00F05856"/>
    <w:rsid w:val="00F05A02"/>
    <w:rsid w:val="00F06031"/>
    <w:rsid w:val="00F062CA"/>
    <w:rsid w:val="00F06779"/>
    <w:rsid w:val="00F067C9"/>
    <w:rsid w:val="00F067F5"/>
    <w:rsid w:val="00F06A83"/>
    <w:rsid w:val="00F0748A"/>
    <w:rsid w:val="00F075CD"/>
    <w:rsid w:val="00F075FC"/>
    <w:rsid w:val="00F07709"/>
    <w:rsid w:val="00F07C75"/>
    <w:rsid w:val="00F10093"/>
    <w:rsid w:val="00F10733"/>
    <w:rsid w:val="00F10A10"/>
    <w:rsid w:val="00F10B67"/>
    <w:rsid w:val="00F10BFD"/>
    <w:rsid w:val="00F1184E"/>
    <w:rsid w:val="00F119F4"/>
    <w:rsid w:val="00F11D1B"/>
    <w:rsid w:val="00F120D1"/>
    <w:rsid w:val="00F1222D"/>
    <w:rsid w:val="00F129D5"/>
    <w:rsid w:val="00F12C56"/>
    <w:rsid w:val="00F13151"/>
    <w:rsid w:val="00F1334F"/>
    <w:rsid w:val="00F1364E"/>
    <w:rsid w:val="00F13DCA"/>
    <w:rsid w:val="00F1414F"/>
    <w:rsid w:val="00F142F8"/>
    <w:rsid w:val="00F1481D"/>
    <w:rsid w:val="00F14C25"/>
    <w:rsid w:val="00F14D3E"/>
    <w:rsid w:val="00F14D56"/>
    <w:rsid w:val="00F14DCC"/>
    <w:rsid w:val="00F1506F"/>
    <w:rsid w:val="00F159FF"/>
    <w:rsid w:val="00F15BCE"/>
    <w:rsid w:val="00F15BDF"/>
    <w:rsid w:val="00F16421"/>
    <w:rsid w:val="00F16677"/>
    <w:rsid w:val="00F16FBB"/>
    <w:rsid w:val="00F17150"/>
    <w:rsid w:val="00F17192"/>
    <w:rsid w:val="00F173B9"/>
    <w:rsid w:val="00F17478"/>
    <w:rsid w:val="00F17674"/>
    <w:rsid w:val="00F177D7"/>
    <w:rsid w:val="00F177E1"/>
    <w:rsid w:val="00F178D4"/>
    <w:rsid w:val="00F17F2C"/>
    <w:rsid w:val="00F17FC4"/>
    <w:rsid w:val="00F2029C"/>
    <w:rsid w:val="00F20A11"/>
    <w:rsid w:val="00F20EB9"/>
    <w:rsid w:val="00F21273"/>
    <w:rsid w:val="00F21517"/>
    <w:rsid w:val="00F21552"/>
    <w:rsid w:val="00F21A4F"/>
    <w:rsid w:val="00F22B08"/>
    <w:rsid w:val="00F22DD3"/>
    <w:rsid w:val="00F22DF0"/>
    <w:rsid w:val="00F22FC6"/>
    <w:rsid w:val="00F232F6"/>
    <w:rsid w:val="00F23A99"/>
    <w:rsid w:val="00F23DA7"/>
    <w:rsid w:val="00F2403C"/>
    <w:rsid w:val="00F24167"/>
    <w:rsid w:val="00F242CD"/>
    <w:rsid w:val="00F2580F"/>
    <w:rsid w:val="00F26254"/>
    <w:rsid w:val="00F268FB"/>
    <w:rsid w:val="00F26D88"/>
    <w:rsid w:val="00F26E5E"/>
    <w:rsid w:val="00F275F1"/>
    <w:rsid w:val="00F27740"/>
    <w:rsid w:val="00F27D7C"/>
    <w:rsid w:val="00F304A5"/>
    <w:rsid w:val="00F30A89"/>
    <w:rsid w:val="00F30DDB"/>
    <w:rsid w:val="00F313CE"/>
    <w:rsid w:val="00F31641"/>
    <w:rsid w:val="00F319C6"/>
    <w:rsid w:val="00F31E30"/>
    <w:rsid w:val="00F320B9"/>
    <w:rsid w:val="00F322F7"/>
    <w:rsid w:val="00F325D7"/>
    <w:rsid w:val="00F32F61"/>
    <w:rsid w:val="00F33206"/>
    <w:rsid w:val="00F33402"/>
    <w:rsid w:val="00F334CF"/>
    <w:rsid w:val="00F340D0"/>
    <w:rsid w:val="00F34B6A"/>
    <w:rsid w:val="00F3500D"/>
    <w:rsid w:val="00F3582A"/>
    <w:rsid w:val="00F3600D"/>
    <w:rsid w:val="00F363FE"/>
    <w:rsid w:val="00F36579"/>
    <w:rsid w:val="00F3749C"/>
    <w:rsid w:val="00F3762F"/>
    <w:rsid w:val="00F3789A"/>
    <w:rsid w:val="00F37DDA"/>
    <w:rsid w:val="00F37E45"/>
    <w:rsid w:val="00F40218"/>
    <w:rsid w:val="00F40524"/>
    <w:rsid w:val="00F4078C"/>
    <w:rsid w:val="00F41020"/>
    <w:rsid w:val="00F41384"/>
    <w:rsid w:val="00F41858"/>
    <w:rsid w:val="00F41BA3"/>
    <w:rsid w:val="00F424B4"/>
    <w:rsid w:val="00F42E2C"/>
    <w:rsid w:val="00F43758"/>
    <w:rsid w:val="00F43C2C"/>
    <w:rsid w:val="00F445CF"/>
    <w:rsid w:val="00F446E6"/>
    <w:rsid w:val="00F44B06"/>
    <w:rsid w:val="00F44B7E"/>
    <w:rsid w:val="00F44EA9"/>
    <w:rsid w:val="00F450EA"/>
    <w:rsid w:val="00F458FA"/>
    <w:rsid w:val="00F45A72"/>
    <w:rsid w:val="00F45A9D"/>
    <w:rsid w:val="00F465EE"/>
    <w:rsid w:val="00F468E7"/>
    <w:rsid w:val="00F46C11"/>
    <w:rsid w:val="00F4706E"/>
    <w:rsid w:val="00F477CA"/>
    <w:rsid w:val="00F479FD"/>
    <w:rsid w:val="00F47BE0"/>
    <w:rsid w:val="00F47D63"/>
    <w:rsid w:val="00F504AD"/>
    <w:rsid w:val="00F50A99"/>
    <w:rsid w:val="00F50AAD"/>
    <w:rsid w:val="00F50DD1"/>
    <w:rsid w:val="00F51068"/>
    <w:rsid w:val="00F5168B"/>
    <w:rsid w:val="00F51868"/>
    <w:rsid w:val="00F51B82"/>
    <w:rsid w:val="00F52002"/>
    <w:rsid w:val="00F5243B"/>
    <w:rsid w:val="00F52AB0"/>
    <w:rsid w:val="00F52F9D"/>
    <w:rsid w:val="00F5301F"/>
    <w:rsid w:val="00F535D2"/>
    <w:rsid w:val="00F536C1"/>
    <w:rsid w:val="00F53A7A"/>
    <w:rsid w:val="00F540A4"/>
    <w:rsid w:val="00F54DD1"/>
    <w:rsid w:val="00F54FC9"/>
    <w:rsid w:val="00F55004"/>
    <w:rsid w:val="00F552C5"/>
    <w:rsid w:val="00F55390"/>
    <w:rsid w:val="00F55879"/>
    <w:rsid w:val="00F55AC4"/>
    <w:rsid w:val="00F55D39"/>
    <w:rsid w:val="00F5644C"/>
    <w:rsid w:val="00F569FB"/>
    <w:rsid w:val="00F56D2E"/>
    <w:rsid w:val="00F5751E"/>
    <w:rsid w:val="00F57622"/>
    <w:rsid w:val="00F57888"/>
    <w:rsid w:val="00F57CC3"/>
    <w:rsid w:val="00F57FA9"/>
    <w:rsid w:val="00F600A7"/>
    <w:rsid w:val="00F60BDC"/>
    <w:rsid w:val="00F6100E"/>
    <w:rsid w:val="00F613D9"/>
    <w:rsid w:val="00F61896"/>
    <w:rsid w:val="00F6189C"/>
    <w:rsid w:val="00F6198B"/>
    <w:rsid w:val="00F6230A"/>
    <w:rsid w:val="00F6293C"/>
    <w:rsid w:val="00F63070"/>
    <w:rsid w:val="00F636C0"/>
    <w:rsid w:val="00F64EA2"/>
    <w:rsid w:val="00F64FDF"/>
    <w:rsid w:val="00F65174"/>
    <w:rsid w:val="00F657AD"/>
    <w:rsid w:val="00F65829"/>
    <w:rsid w:val="00F65B04"/>
    <w:rsid w:val="00F65DEF"/>
    <w:rsid w:val="00F66934"/>
    <w:rsid w:val="00F66C93"/>
    <w:rsid w:val="00F67AFF"/>
    <w:rsid w:val="00F67DDC"/>
    <w:rsid w:val="00F70236"/>
    <w:rsid w:val="00F705B1"/>
    <w:rsid w:val="00F70679"/>
    <w:rsid w:val="00F7128A"/>
    <w:rsid w:val="00F712A4"/>
    <w:rsid w:val="00F712FB"/>
    <w:rsid w:val="00F71685"/>
    <w:rsid w:val="00F717A3"/>
    <w:rsid w:val="00F71B09"/>
    <w:rsid w:val="00F722A2"/>
    <w:rsid w:val="00F72B4D"/>
    <w:rsid w:val="00F72F51"/>
    <w:rsid w:val="00F72FDE"/>
    <w:rsid w:val="00F73268"/>
    <w:rsid w:val="00F73497"/>
    <w:rsid w:val="00F73BB2"/>
    <w:rsid w:val="00F744E1"/>
    <w:rsid w:val="00F744ED"/>
    <w:rsid w:val="00F745E5"/>
    <w:rsid w:val="00F74B82"/>
    <w:rsid w:val="00F74BA6"/>
    <w:rsid w:val="00F750B5"/>
    <w:rsid w:val="00F75855"/>
    <w:rsid w:val="00F75CAC"/>
    <w:rsid w:val="00F75EBE"/>
    <w:rsid w:val="00F763E7"/>
    <w:rsid w:val="00F7666B"/>
    <w:rsid w:val="00F766F5"/>
    <w:rsid w:val="00F7726B"/>
    <w:rsid w:val="00F773FE"/>
    <w:rsid w:val="00F805E7"/>
    <w:rsid w:val="00F80D6B"/>
    <w:rsid w:val="00F80DF0"/>
    <w:rsid w:val="00F810B4"/>
    <w:rsid w:val="00F814F0"/>
    <w:rsid w:val="00F817C3"/>
    <w:rsid w:val="00F81909"/>
    <w:rsid w:val="00F8208C"/>
    <w:rsid w:val="00F82332"/>
    <w:rsid w:val="00F8237A"/>
    <w:rsid w:val="00F82580"/>
    <w:rsid w:val="00F82C37"/>
    <w:rsid w:val="00F83276"/>
    <w:rsid w:val="00F835B3"/>
    <w:rsid w:val="00F83751"/>
    <w:rsid w:val="00F83871"/>
    <w:rsid w:val="00F83A9B"/>
    <w:rsid w:val="00F83EAA"/>
    <w:rsid w:val="00F84343"/>
    <w:rsid w:val="00F84EE6"/>
    <w:rsid w:val="00F84FAD"/>
    <w:rsid w:val="00F857EE"/>
    <w:rsid w:val="00F85DB2"/>
    <w:rsid w:val="00F85E8E"/>
    <w:rsid w:val="00F863D3"/>
    <w:rsid w:val="00F869D5"/>
    <w:rsid w:val="00F870C2"/>
    <w:rsid w:val="00F87377"/>
    <w:rsid w:val="00F87775"/>
    <w:rsid w:val="00F87B53"/>
    <w:rsid w:val="00F87D45"/>
    <w:rsid w:val="00F9030E"/>
    <w:rsid w:val="00F90A2F"/>
    <w:rsid w:val="00F90C2E"/>
    <w:rsid w:val="00F90F87"/>
    <w:rsid w:val="00F910BA"/>
    <w:rsid w:val="00F910C7"/>
    <w:rsid w:val="00F913F4"/>
    <w:rsid w:val="00F922B9"/>
    <w:rsid w:val="00F929FC"/>
    <w:rsid w:val="00F92D11"/>
    <w:rsid w:val="00F92FA5"/>
    <w:rsid w:val="00F93065"/>
    <w:rsid w:val="00F93268"/>
    <w:rsid w:val="00F9359C"/>
    <w:rsid w:val="00F93D01"/>
    <w:rsid w:val="00F941E4"/>
    <w:rsid w:val="00F94464"/>
    <w:rsid w:val="00F94667"/>
    <w:rsid w:val="00F94CAC"/>
    <w:rsid w:val="00F951A2"/>
    <w:rsid w:val="00F95419"/>
    <w:rsid w:val="00F95D78"/>
    <w:rsid w:val="00F95FCA"/>
    <w:rsid w:val="00F96620"/>
    <w:rsid w:val="00F966F3"/>
    <w:rsid w:val="00F96A5C"/>
    <w:rsid w:val="00F96AAB"/>
    <w:rsid w:val="00F96FAA"/>
    <w:rsid w:val="00F975DA"/>
    <w:rsid w:val="00F97881"/>
    <w:rsid w:val="00F97911"/>
    <w:rsid w:val="00F97B7C"/>
    <w:rsid w:val="00FA04BC"/>
    <w:rsid w:val="00FA06FE"/>
    <w:rsid w:val="00FA166B"/>
    <w:rsid w:val="00FA1A4F"/>
    <w:rsid w:val="00FA2469"/>
    <w:rsid w:val="00FA2DC4"/>
    <w:rsid w:val="00FA344A"/>
    <w:rsid w:val="00FA373D"/>
    <w:rsid w:val="00FA3777"/>
    <w:rsid w:val="00FA3A7D"/>
    <w:rsid w:val="00FA3C3E"/>
    <w:rsid w:val="00FA4281"/>
    <w:rsid w:val="00FA4AB1"/>
    <w:rsid w:val="00FA4E93"/>
    <w:rsid w:val="00FA5211"/>
    <w:rsid w:val="00FA58D4"/>
    <w:rsid w:val="00FA5BCF"/>
    <w:rsid w:val="00FA5C9E"/>
    <w:rsid w:val="00FA64BC"/>
    <w:rsid w:val="00FA674F"/>
    <w:rsid w:val="00FA6889"/>
    <w:rsid w:val="00FA6F93"/>
    <w:rsid w:val="00FA7394"/>
    <w:rsid w:val="00FA7DFD"/>
    <w:rsid w:val="00FB0249"/>
    <w:rsid w:val="00FB0443"/>
    <w:rsid w:val="00FB0991"/>
    <w:rsid w:val="00FB0D99"/>
    <w:rsid w:val="00FB10E1"/>
    <w:rsid w:val="00FB113F"/>
    <w:rsid w:val="00FB1475"/>
    <w:rsid w:val="00FB19FF"/>
    <w:rsid w:val="00FB1A8E"/>
    <w:rsid w:val="00FB226A"/>
    <w:rsid w:val="00FB28DE"/>
    <w:rsid w:val="00FB2A6A"/>
    <w:rsid w:val="00FB2B11"/>
    <w:rsid w:val="00FB3949"/>
    <w:rsid w:val="00FB3FF7"/>
    <w:rsid w:val="00FB4174"/>
    <w:rsid w:val="00FB45BB"/>
    <w:rsid w:val="00FB473A"/>
    <w:rsid w:val="00FB564A"/>
    <w:rsid w:val="00FB5DC9"/>
    <w:rsid w:val="00FB629F"/>
    <w:rsid w:val="00FB6394"/>
    <w:rsid w:val="00FB64AA"/>
    <w:rsid w:val="00FB6A4E"/>
    <w:rsid w:val="00FB6DB3"/>
    <w:rsid w:val="00FB6FF1"/>
    <w:rsid w:val="00FB757A"/>
    <w:rsid w:val="00FB7609"/>
    <w:rsid w:val="00FB7705"/>
    <w:rsid w:val="00FB7AEF"/>
    <w:rsid w:val="00FC019B"/>
    <w:rsid w:val="00FC0396"/>
    <w:rsid w:val="00FC0754"/>
    <w:rsid w:val="00FC091B"/>
    <w:rsid w:val="00FC0AE2"/>
    <w:rsid w:val="00FC0BB2"/>
    <w:rsid w:val="00FC0DF7"/>
    <w:rsid w:val="00FC1BE1"/>
    <w:rsid w:val="00FC1C73"/>
    <w:rsid w:val="00FC2272"/>
    <w:rsid w:val="00FC24CE"/>
    <w:rsid w:val="00FC2527"/>
    <w:rsid w:val="00FC2BB9"/>
    <w:rsid w:val="00FC3082"/>
    <w:rsid w:val="00FC37BC"/>
    <w:rsid w:val="00FC37DA"/>
    <w:rsid w:val="00FC3A0C"/>
    <w:rsid w:val="00FC45DA"/>
    <w:rsid w:val="00FC4634"/>
    <w:rsid w:val="00FC4822"/>
    <w:rsid w:val="00FC5A50"/>
    <w:rsid w:val="00FC5B20"/>
    <w:rsid w:val="00FC67A5"/>
    <w:rsid w:val="00FC69DB"/>
    <w:rsid w:val="00FC6A2A"/>
    <w:rsid w:val="00FC7199"/>
    <w:rsid w:val="00FC7D6A"/>
    <w:rsid w:val="00FC7DCE"/>
    <w:rsid w:val="00FC7DD6"/>
    <w:rsid w:val="00FC7E2B"/>
    <w:rsid w:val="00FD0E61"/>
    <w:rsid w:val="00FD1208"/>
    <w:rsid w:val="00FD1DC9"/>
    <w:rsid w:val="00FD22E5"/>
    <w:rsid w:val="00FD2328"/>
    <w:rsid w:val="00FD2CAF"/>
    <w:rsid w:val="00FD2E69"/>
    <w:rsid w:val="00FD2FAE"/>
    <w:rsid w:val="00FD35C6"/>
    <w:rsid w:val="00FD36DB"/>
    <w:rsid w:val="00FD384D"/>
    <w:rsid w:val="00FD39B7"/>
    <w:rsid w:val="00FD3A76"/>
    <w:rsid w:val="00FD3E55"/>
    <w:rsid w:val="00FD3E5C"/>
    <w:rsid w:val="00FD43CC"/>
    <w:rsid w:val="00FD504D"/>
    <w:rsid w:val="00FD5AB7"/>
    <w:rsid w:val="00FD5AF7"/>
    <w:rsid w:val="00FD65ED"/>
    <w:rsid w:val="00FD787C"/>
    <w:rsid w:val="00FD7F3E"/>
    <w:rsid w:val="00FD7F50"/>
    <w:rsid w:val="00FE0423"/>
    <w:rsid w:val="00FE0466"/>
    <w:rsid w:val="00FE09CF"/>
    <w:rsid w:val="00FE0A4C"/>
    <w:rsid w:val="00FE0DE9"/>
    <w:rsid w:val="00FE1261"/>
    <w:rsid w:val="00FE1344"/>
    <w:rsid w:val="00FE1599"/>
    <w:rsid w:val="00FE1D7D"/>
    <w:rsid w:val="00FE2675"/>
    <w:rsid w:val="00FE3214"/>
    <w:rsid w:val="00FE4168"/>
    <w:rsid w:val="00FE4639"/>
    <w:rsid w:val="00FE48E4"/>
    <w:rsid w:val="00FE5236"/>
    <w:rsid w:val="00FE532A"/>
    <w:rsid w:val="00FE5CF1"/>
    <w:rsid w:val="00FE5EC4"/>
    <w:rsid w:val="00FE60A3"/>
    <w:rsid w:val="00FE60E8"/>
    <w:rsid w:val="00FE6458"/>
    <w:rsid w:val="00FE72C4"/>
    <w:rsid w:val="00FE78C5"/>
    <w:rsid w:val="00FF0138"/>
    <w:rsid w:val="00FF027A"/>
    <w:rsid w:val="00FF0AC4"/>
    <w:rsid w:val="00FF0F3D"/>
    <w:rsid w:val="00FF0F42"/>
    <w:rsid w:val="00FF13EF"/>
    <w:rsid w:val="00FF1516"/>
    <w:rsid w:val="00FF230A"/>
    <w:rsid w:val="00FF27F0"/>
    <w:rsid w:val="00FF2D83"/>
    <w:rsid w:val="00FF2F03"/>
    <w:rsid w:val="00FF3369"/>
    <w:rsid w:val="00FF33C7"/>
    <w:rsid w:val="00FF368D"/>
    <w:rsid w:val="00FF3731"/>
    <w:rsid w:val="00FF375A"/>
    <w:rsid w:val="00FF3949"/>
    <w:rsid w:val="00FF3C5D"/>
    <w:rsid w:val="00FF3C74"/>
    <w:rsid w:val="00FF426E"/>
    <w:rsid w:val="00FF481B"/>
    <w:rsid w:val="00FF4918"/>
    <w:rsid w:val="00FF49C6"/>
    <w:rsid w:val="00FF4B7E"/>
    <w:rsid w:val="00FF4CF2"/>
    <w:rsid w:val="00FF5444"/>
    <w:rsid w:val="00FF54A3"/>
    <w:rsid w:val="00FF54AB"/>
    <w:rsid w:val="00FF5F4F"/>
    <w:rsid w:val="00FF75C0"/>
    <w:rsid w:val="00FF76F7"/>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40FDD86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1480C"/>
    <w:pPr>
      <w:numPr>
        <w:numId w:val="50"/>
      </w:numPr>
      <w:suppressAutoHyphens/>
      <w:ind w:left="0" w:firstLine="0"/>
      <w:jc w:val="both"/>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2977AF"/>
    <w:pPr>
      <w:widowControl w:val="0"/>
      <w:numPr>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hanging="720"/>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6635F2"/>
    <w:pPr>
      <w:numPr>
        <w:numId w:val="5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pPr>
    <w:rPr>
      <w:rFonts w:ascii="Cambria" w:eastAsia="Batang" w:hAnsi="Cambria" w:cs="Arial"/>
      <w:b/>
      <w:bCs/>
      <w:sz w:val="20"/>
      <w:szCs w:val="20"/>
      <w:bdr w:val="none" w:sz="0" w:space="0" w:color="auto"/>
      <w:lang w:val="es-PE"/>
    </w:rPr>
  </w:style>
  <w:style w:type="paragraph" w:styleId="Heading4">
    <w:name w:val="heading 4"/>
    <w:basedOn w:val="Normal"/>
    <w:next w:val="Normal"/>
    <w:link w:val="Heading4Char"/>
    <w:uiPriority w:val="9"/>
    <w:unhideWhenUsed/>
    <w:qFormat/>
    <w:rsid w:val="00866072"/>
    <w:pPr>
      <w:numPr>
        <w:ilvl w:val="1"/>
      </w:numPr>
      <w:tabs>
        <w:tab w:val="left" w:pos="284"/>
        <w:tab w:val="left" w:pos="709"/>
      </w:tabs>
      <w:ind w:left="1156" w:firstLine="284"/>
      <w:jc w:val="both"/>
      <w:outlineLvl w:val="3"/>
    </w:pPr>
    <w:rPr>
      <w:rFonts w:ascii="Cambria" w:eastAsiaTheme="majorEastAsia" w:hAnsi="Cambria" w:cstheme="majorBidi"/>
      <w:b/>
      <w:bCs/>
      <w:i/>
      <w:iCs/>
      <w:sz w:val="20"/>
      <w:lang w:val="es-PE"/>
    </w:rPr>
  </w:style>
  <w:style w:type="paragraph" w:styleId="Heading5">
    <w:name w:val="heading 5"/>
    <w:basedOn w:val="Normal"/>
    <w:next w:val="Normal"/>
    <w:link w:val="Heading5Char"/>
    <w:uiPriority w:val="9"/>
    <w:qFormat/>
    <w:rsid w:val="001A2154"/>
    <w:pPr>
      <w:tabs>
        <w:tab w:val="left" w:pos="709"/>
      </w:tabs>
      <w:jc w:val="both"/>
      <w:outlineLvl w:val="4"/>
    </w:pPr>
    <w:rPr>
      <w:rFonts w:ascii="Cambria" w:eastAsia="Times New Roman" w:hAnsi="Cambria"/>
      <w:b/>
      <w:bCs/>
      <w:i/>
      <w:iCs/>
      <w:sz w:val="20"/>
      <w:szCs w:val="26"/>
      <w:bdr w:val="none" w:sz="0" w:space="0" w:color="auto"/>
      <w:lang w:val="es-MX"/>
    </w:rPr>
  </w:style>
  <w:style w:type="paragraph" w:styleId="Heading6">
    <w:name w:val="heading 6"/>
    <w:basedOn w:val="Heading5"/>
    <w:next w:val="Normal"/>
    <w:link w:val="Heading6Char"/>
    <w:uiPriority w:val="9"/>
    <w:qFormat/>
    <w:rsid w:val="00D550AD"/>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outlineLvl w:val="5"/>
    </w:pPr>
    <w:rPr>
      <w:rFonts w:ascii="Verdana" w:hAnsi="Verdana"/>
      <w:b w:val="0"/>
      <w:bCs w:val="0"/>
      <w:i w:val="0"/>
      <w:iCs w:val="0"/>
      <w:spacing w:val="-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0C"/>
    <w:rPr>
      <w:rFonts w:ascii="Cambria" w:eastAsiaTheme="majorEastAsia" w:hAnsi="Cambria" w:cstheme="majorBidi"/>
      <w:b/>
      <w:bCs/>
      <w:sz w:val="20"/>
      <w:szCs w:val="20"/>
      <w:bdr w:val="nil"/>
    </w:rPr>
  </w:style>
  <w:style w:type="character" w:customStyle="1" w:styleId="Heading2Char">
    <w:name w:val="Heading 2 Char"/>
    <w:basedOn w:val="DefaultParagraphFont"/>
    <w:link w:val="Heading2"/>
    <w:rsid w:val="002977AF"/>
    <w:rPr>
      <w:rFonts w:ascii="Cambria" w:eastAsia="Times New Roman" w:hAnsi="Cambria" w:cs="Arial"/>
      <w:b/>
      <w:bCs/>
      <w:iCs/>
      <w:sz w:val="20"/>
      <w:szCs w:val="20"/>
      <w:lang w:val="es-ES_tradnl"/>
    </w:rPr>
  </w:style>
  <w:style w:type="character" w:customStyle="1" w:styleId="Heading3Char">
    <w:name w:val="Heading 3 Char"/>
    <w:basedOn w:val="DefaultParagraphFont"/>
    <w:link w:val="Heading3"/>
    <w:rsid w:val="006635F2"/>
    <w:rPr>
      <w:rFonts w:ascii="Cambria" w:eastAsia="Batang" w:hAnsi="Cambria" w:cs="Arial"/>
      <w:b/>
      <w:bCs/>
      <w:sz w:val="20"/>
      <w:szCs w:val="20"/>
      <w:lang w:val="es-PE"/>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Lista vistosa - Énfasis 11"/>
    <w:link w:val="ListParagraphChar"/>
    <w:uiPriority w:val="72"/>
    <w:qFormat/>
    <w:rsid w:val="00517ABA"/>
    <w:pPr>
      <w:pBdr>
        <w:top w:val="nil"/>
        <w:left w:val="nil"/>
        <w:bottom w:val="nil"/>
        <w:right w:val="nil"/>
        <w:between w:val="nil"/>
        <w:bar w:val="nil"/>
      </w:pBdr>
      <w:spacing w:before="120" w:after="120"/>
      <w:jc w:val="both"/>
    </w:pPr>
    <w:rPr>
      <w:rFonts w:ascii="Cambria" w:eastAsia="Cambria" w:hAnsi="Cambria" w:cs="Cambria"/>
      <w:color w:val="000000"/>
      <w:sz w:val="16"/>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Lista vistosa - Énfasis 11 Char"/>
    <w:link w:val="ListParagraph"/>
    <w:uiPriority w:val="72"/>
    <w:locked/>
    <w:rsid w:val="00517ABA"/>
    <w:rPr>
      <w:rFonts w:ascii="Cambria" w:eastAsia="Cambria" w:hAnsi="Cambria" w:cs="Cambria"/>
      <w:color w:val="000000"/>
      <w:sz w:val="16"/>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qFormat/>
    <w:rsid w:val="00DF10EF"/>
    <w:pPr>
      <w:widowControl w:val="0"/>
      <w:spacing w:before="120" w:after="120"/>
      <w:ind w:firstLine="720"/>
      <w:jc w:val="both"/>
    </w:pPr>
    <w:rPr>
      <w:rFonts w:ascii="Cambria" w:eastAsia="Calibri" w:hAnsi="Cambria" w:cs="Times New Roman"/>
      <w:sz w:val="20"/>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paragraph" w:styleId="BodyText3">
    <w:name w:val="Body Text 3"/>
    <w:basedOn w:val="Normal"/>
    <w:link w:val="BodyText3Char"/>
    <w:uiPriority w:val="99"/>
    <w:unhideWhenUsed/>
    <w:rsid w:val="0098300E"/>
    <w:pPr>
      <w:spacing w:after="120"/>
    </w:pPr>
    <w:rPr>
      <w:sz w:val="16"/>
      <w:szCs w:val="16"/>
    </w:rPr>
  </w:style>
  <w:style w:type="character" w:customStyle="1" w:styleId="BodyText3Char">
    <w:name w:val="Body Text 3 Char"/>
    <w:basedOn w:val="DefaultParagraphFont"/>
    <w:link w:val="BodyText3"/>
    <w:uiPriority w:val="99"/>
    <w:rsid w:val="0098300E"/>
    <w:rPr>
      <w:rFonts w:ascii="Times New Roman" w:eastAsia="Arial Unicode MS" w:hAnsi="Times New Roman" w:cs="Times New Roman"/>
      <w:sz w:val="16"/>
      <w:szCs w:val="16"/>
      <w:bdr w:val="nil"/>
    </w:rPr>
  </w:style>
  <w:style w:type="paragraph" w:styleId="HTMLPreformatted">
    <w:name w:val="HTML Preformatted"/>
    <w:basedOn w:val="Normal"/>
    <w:link w:val="HTMLPreformattedChar"/>
    <w:uiPriority w:val="99"/>
    <w:semiHidden/>
    <w:unhideWhenUsed/>
    <w:rsid w:val="004A20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4A2096"/>
    <w:rPr>
      <w:rFonts w:ascii="Courier New" w:eastAsia="Times New Roman" w:hAnsi="Courier New" w:cs="Courier New"/>
      <w:sz w:val="20"/>
      <w:szCs w:val="20"/>
    </w:rPr>
  </w:style>
  <w:style w:type="character" w:customStyle="1" w:styleId="MediumShading1-Accent1Char">
    <w:name w:val="Medium Shading 1 - Accent 1 Char"/>
    <w:rsid w:val="003E6CE0"/>
    <w:rPr>
      <w:rFonts w:ascii="Cambria" w:hAnsi="Cambria"/>
      <w:sz w:val="16"/>
      <w:szCs w:val="22"/>
      <w:lang w:eastAsia="en-US"/>
    </w:rPr>
  </w:style>
  <w:style w:type="character" w:styleId="EndnoteReference">
    <w:name w:val="endnote reference"/>
    <w:uiPriority w:val="99"/>
    <w:semiHidden/>
    <w:unhideWhenUsed/>
    <w:rsid w:val="003E6CE0"/>
    <w:rPr>
      <w:vertAlign w:val="superscript"/>
    </w:rPr>
  </w:style>
  <w:style w:type="character" w:customStyle="1" w:styleId="Heading4Char">
    <w:name w:val="Heading 4 Char"/>
    <w:basedOn w:val="DefaultParagraphFont"/>
    <w:link w:val="Heading4"/>
    <w:uiPriority w:val="9"/>
    <w:rsid w:val="00866072"/>
    <w:rPr>
      <w:rFonts w:ascii="Cambria" w:eastAsiaTheme="majorEastAsia" w:hAnsi="Cambria" w:cstheme="majorBidi"/>
      <w:b/>
      <w:bCs/>
      <w:i/>
      <w:iCs/>
      <w:sz w:val="20"/>
      <w:bdr w:val="nil"/>
      <w:lang w:val="es-PE"/>
    </w:rPr>
  </w:style>
  <w:style w:type="character" w:customStyle="1" w:styleId="Heading5Char">
    <w:name w:val="Heading 5 Char"/>
    <w:basedOn w:val="DefaultParagraphFont"/>
    <w:link w:val="Heading5"/>
    <w:uiPriority w:val="9"/>
    <w:rsid w:val="001A2154"/>
    <w:rPr>
      <w:rFonts w:ascii="Cambria" w:eastAsia="Times New Roman" w:hAnsi="Cambria" w:cs="Times New Roman"/>
      <w:b/>
      <w:bCs/>
      <w:i/>
      <w:iCs/>
      <w:sz w:val="20"/>
      <w:szCs w:val="26"/>
      <w:lang w:val="es-MX"/>
    </w:rPr>
  </w:style>
  <w:style w:type="paragraph" w:customStyle="1" w:styleId="f1">
    <w:name w:val="f1"/>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lang w:val="es-MX" w:eastAsia="es-MX"/>
    </w:rPr>
  </w:style>
  <w:style w:type="character" w:customStyle="1" w:styleId="WW-FootnoteCharacters">
    <w:name w:val="WW-Footnote Characters"/>
    <w:rsid w:val="00E464AC"/>
    <w:rPr>
      <w:vertAlign w:val="superscript"/>
    </w:rPr>
  </w:style>
  <w:style w:type="character" w:customStyle="1" w:styleId="ju-005fpara-002cleft-002cfirst-0020line-003a-0020-00200-0020cm--char">
    <w:name w:val="ju-005fpara-002cleft-002cfirst-0020line-003a-0020-00200-0020cm--char"/>
    <w:rsid w:val="00E464AC"/>
  </w:style>
  <w:style w:type="paragraph" w:customStyle="1" w:styleId="tex12">
    <w:name w:val="tex12"/>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textosbold">
    <w:name w:val="textosbold"/>
    <w:rsid w:val="00E464AC"/>
  </w:style>
  <w:style w:type="character" w:customStyle="1" w:styleId="CharacterStyle2">
    <w:name w:val="Character Style 2"/>
    <w:uiPriority w:val="99"/>
    <w:rsid w:val="00E464AC"/>
    <w:rPr>
      <w:sz w:val="20"/>
      <w:szCs w:val="20"/>
    </w:rPr>
  </w:style>
  <w:style w:type="character" w:customStyle="1" w:styleId="CharacterStyle23">
    <w:name w:val="Character Style 23"/>
    <w:uiPriority w:val="99"/>
    <w:rsid w:val="00E464AC"/>
    <w:rPr>
      <w:sz w:val="24"/>
      <w:szCs w:val="24"/>
    </w:rPr>
  </w:style>
  <w:style w:type="character" w:customStyle="1" w:styleId="CharacterStyle1">
    <w:name w:val="Character Style 1"/>
    <w:uiPriority w:val="99"/>
    <w:rsid w:val="00E464AC"/>
    <w:rPr>
      <w:rFonts w:ascii="Bookman Old Style" w:hAnsi="Bookman Old Style" w:cs="Bookman Old Style"/>
      <w:sz w:val="22"/>
      <w:szCs w:val="22"/>
    </w:rPr>
  </w:style>
  <w:style w:type="paragraph" w:customStyle="1" w:styleId="Encabezadodetabladecontenido1">
    <w:name w:val="Encabezado de tabla de contenido1"/>
    <w:basedOn w:val="Heading1"/>
    <w:next w:val="Normal"/>
    <w:uiPriority w:val="39"/>
    <w:semiHidden/>
    <w:unhideWhenUsed/>
    <w:qFormat/>
    <w:rsid w:val="00E464A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eastAsia="MS Gothic" w:cs="Times New Roman"/>
      <w:color w:val="365F91"/>
      <w:bdr w:val="none" w:sz="0" w:space="0" w:color="auto"/>
      <w:lang w:eastAsia="ja-JP"/>
    </w:rPr>
  </w:style>
  <w:style w:type="paragraph" w:customStyle="1" w:styleId="Standard">
    <w:name w:val="Standard"/>
    <w:rsid w:val="00E464AC"/>
    <w:pPr>
      <w:suppressAutoHyphens/>
      <w:autoSpaceDN w:val="0"/>
      <w:textAlignment w:val="baseline"/>
    </w:pPr>
    <w:rPr>
      <w:rFonts w:ascii="Liberation Serif" w:eastAsia="SimSun" w:hAnsi="Liberation Serif" w:cs="Lucida Sans"/>
      <w:kern w:val="3"/>
      <w:lang w:val="es-PY" w:eastAsia="zh-CN" w:bidi="hi-IN"/>
    </w:rPr>
  </w:style>
  <w:style w:type="paragraph" w:customStyle="1" w:styleId="Style2">
    <w:name w:val="Style 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line="283" w:lineRule="auto"/>
      <w:jc w:val="both"/>
    </w:pPr>
    <w:rPr>
      <w:rFonts w:eastAsia="Times New Roman"/>
      <w:sz w:val="23"/>
      <w:szCs w:val="23"/>
      <w:bdr w:val="none" w:sz="0" w:space="0" w:color="auto"/>
      <w:lang w:eastAsia="es-MX"/>
    </w:rPr>
  </w:style>
  <w:style w:type="paragraph" w:customStyle="1" w:styleId="Style1">
    <w:name w:val="Style 1"/>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MX"/>
    </w:rPr>
  </w:style>
  <w:style w:type="paragraph" w:customStyle="1" w:styleId="Style22">
    <w:name w:val="Style 2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0" w:lineRule="auto"/>
      <w:ind w:left="792" w:hanging="360"/>
    </w:pPr>
    <w:rPr>
      <w:rFonts w:eastAsia="Times New Roman"/>
      <w:sz w:val="23"/>
      <w:szCs w:val="23"/>
      <w:bdr w:val="none" w:sz="0" w:space="0" w:color="auto"/>
      <w:lang w:eastAsia="es-MX"/>
    </w:rPr>
  </w:style>
  <w:style w:type="paragraph" w:customStyle="1" w:styleId="Style3">
    <w:name w:val="Style 3"/>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right="576"/>
      <w:jc w:val="both"/>
    </w:pPr>
    <w:rPr>
      <w:rFonts w:ascii="Bookman Old Style" w:eastAsia="Times New Roman" w:hAnsi="Bookman Old Style" w:cs="Bookman Old Style"/>
      <w:sz w:val="22"/>
      <w:szCs w:val="22"/>
      <w:bdr w:val="none" w:sz="0" w:space="0" w:color="auto"/>
      <w:lang w:eastAsia="es-MX"/>
    </w:rPr>
  </w:style>
  <w:style w:type="character" w:styleId="Emphasis">
    <w:name w:val="Emphasis"/>
    <w:uiPriority w:val="20"/>
    <w:qFormat/>
    <w:rsid w:val="00E464AC"/>
    <w:rPr>
      <w:i/>
      <w:iCs/>
    </w:rPr>
  </w:style>
  <w:style w:type="character" w:customStyle="1" w:styleId="l1">
    <w:name w:val="l1"/>
    <w:basedOn w:val="DefaultParagraphFont"/>
    <w:rsid w:val="003F2388"/>
  </w:style>
  <w:style w:type="character" w:customStyle="1" w:styleId="l2">
    <w:name w:val="l2"/>
    <w:basedOn w:val="DefaultParagraphFont"/>
    <w:rsid w:val="003F2388"/>
  </w:style>
  <w:style w:type="character" w:customStyle="1" w:styleId="CharacterStyle14">
    <w:name w:val="Character Style 14"/>
    <w:uiPriority w:val="99"/>
    <w:rsid w:val="007A7DB5"/>
    <w:rPr>
      <w:rFonts w:ascii="Bookman Old Style" w:hAnsi="Bookman Old Style" w:cs="Bookman Old Style"/>
      <w:sz w:val="23"/>
      <w:szCs w:val="23"/>
    </w:rPr>
  </w:style>
  <w:style w:type="character" w:customStyle="1" w:styleId="CharacterStyle11">
    <w:name w:val="Character Style 11"/>
    <w:uiPriority w:val="99"/>
    <w:rsid w:val="00E04C62"/>
    <w:rPr>
      <w:i/>
      <w:iCs/>
      <w:sz w:val="23"/>
      <w:szCs w:val="23"/>
    </w:rPr>
  </w:style>
  <w:style w:type="paragraph" w:customStyle="1" w:styleId="Style28">
    <w:name w:val="Style 28"/>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sz w:val="22"/>
      <w:szCs w:val="22"/>
      <w:bdr w:val="none" w:sz="0" w:space="0" w:color="auto"/>
    </w:rPr>
  </w:style>
  <w:style w:type="paragraph" w:customStyle="1" w:styleId="Style29">
    <w:name w:val="Style 29"/>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i/>
      <w:iCs/>
      <w:sz w:val="23"/>
      <w:szCs w:val="23"/>
      <w:bdr w:val="none" w:sz="0" w:space="0" w:color="auto"/>
    </w:rPr>
  </w:style>
  <w:style w:type="paragraph" w:customStyle="1" w:styleId="Style32">
    <w:name w:val="Style 32"/>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i/>
      <w:iCs/>
      <w:sz w:val="22"/>
      <w:szCs w:val="22"/>
      <w:bdr w:val="none" w:sz="0" w:space="0" w:color="auto"/>
    </w:rPr>
  </w:style>
  <w:style w:type="paragraph" w:customStyle="1" w:styleId="Style33">
    <w:name w:val="Style 33"/>
    <w:basedOn w:val="Normal"/>
    <w:uiPriority w:val="99"/>
    <w:rsid w:val="00BB03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6" w:line="156" w:lineRule="exact"/>
      <w:ind w:right="72"/>
      <w:jc w:val="right"/>
    </w:pPr>
    <w:rPr>
      <w:rFonts w:eastAsiaTheme="minorEastAsia"/>
      <w:sz w:val="21"/>
      <w:szCs w:val="21"/>
      <w:bdr w:val="none" w:sz="0" w:space="0" w:color="auto"/>
    </w:rPr>
  </w:style>
  <w:style w:type="character" w:customStyle="1" w:styleId="CharacterStyle10">
    <w:name w:val="Character Style 10"/>
    <w:uiPriority w:val="99"/>
    <w:rsid w:val="00BB0323"/>
    <w:rPr>
      <w:sz w:val="22"/>
      <w:szCs w:val="22"/>
    </w:rPr>
  </w:style>
  <w:style w:type="character" w:customStyle="1" w:styleId="CharacterStyle12">
    <w:name w:val="Character Style 12"/>
    <w:uiPriority w:val="99"/>
    <w:rsid w:val="00BB0323"/>
    <w:rPr>
      <w:i/>
      <w:iCs/>
      <w:sz w:val="22"/>
      <w:szCs w:val="22"/>
    </w:rPr>
  </w:style>
  <w:style w:type="character" w:customStyle="1" w:styleId="CharacterStyle13">
    <w:name w:val="Character Style 13"/>
    <w:uiPriority w:val="99"/>
    <w:rsid w:val="00BB0323"/>
    <w:rPr>
      <w:sz w:val="21"/>
      <w:szCs w:val="21"/>
    </w:rPr>
  </w:style>
  <w:style w:type="numbering" w:customStyle="1" w:styleId="List481">
    <w:name w:val="List 481"/>
    <w:basedOn w:val="Estiloimportado43"/>
    <w:rsid w:val="00E1480C"/>
  </w:style>
  <w:style w:type="paragraph" w:customStyle="1" w:styleId="footnote">
    <w:name w:val="footnote"/>
    <w:basedOn w:val="NormalWeb"/>
    <w:autoRedefine/>
    <w:rsid w:val="005F4025"/>
    <w:pPr>
      <w:spacing w:before="0" w:beforeAutospacing="0" w:after="40" w:afterAutospacing="0"/>
      <w:jc w:val="both"/>
    </w:pPr>
    <w:rPr>
      <w:rFonts w:ascii="Calibri" w:eastAsia="Times New Roman" w:hAnsi="Calibri" w:cs="Univers"/>
      <w:sz w:val="16"/>
      <w:szCs w:val="16"/>
      <w:lang w:val="es-MX" w:eastAsia="zh-CN"/>
    </w:rPr>
  </w:style>
  <w:style w:type="character" w:customStyle="1" w:styleId="Heading6Char">
    <w:name w:val="Heading 6 Char"/>
    <w:basedOn w:val="DefaultParagraphFont"/>
    <w:link w:val="Heading6"/>
    <w:uiPriority w:val="9"/>
    <w:rsid w:val="00D550AD"/>
    <w:rPr>
      <w:rFonts w:ascii="Verdana" w:eastAsia="Times New Roman" w:hAnsi="Verdana" w:cs="Times New Roman"/>
      <w:spacing w:val="-2"/>
      <w:sz w:val="20"/>
      <w:szCs w:val="20"/>
      <w:lang w:val="es-ES_tradnl" w:eastAsia="x-none"/>
    </w:rPr>
  </w:style>
  <w:style w:type="character" w:customStyle="1" w:styleId="spelle">
    <w:name w:val="spelle"/>
    <w:basedOn w:val="DefaultParagraphFont"/>
    <w:rsid w:val="008345A4"/>
  </w:style>
  <w:style w:type="paragraph" w:styleId="Revision">
    <w:name w:val="Revision"/>
    <w:hidden/>
    <w:uiPriority w:val="99"/>
    <w:semiHidden/>
    <w:rsid w:val="00B66E4C"/>
    <w:rPr>
      <w:rFonts w:ascii="Times New Roman" w:eastAsia="Arial Unicode MS" w:hAnsi="Times New Roman" w:cs="Times New Roman"/>
      <w:bdr w:val="nil"/>
    </w:rPr>
  </w:style>
  <w:style w:type="paragraph" w:customStyle="1" w:styleId="parrafos">
    <w:name w:val="parrafos"/>
    <w:basedOn w:val="Normal"/>
    <w:qFormat/>
    <w:rsid w:val="00620F6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UnresolvedMention1">
    <w:name w:val="Unresolved Mention1"/>
    <w:basedOn w:val="DefaultParagraphFont"/>
    <w:uiPriority w:val="99"/>
    <w:semiHidden/>
    <w:unhideWhenUsed/>
    <w:rsid w:val="00234DEC"/>
    <w:rPr>
      <w:color w:val="605E5C"/>
      <w:shd w:val="clear" w:color="auto" w:fill="E1DFDD"/>
    </w:rPr>
  </w:style>
  <w:style w:type="paragraph" w:styleId="Quote">
    <w:name w:val="Quote"/>
    <w:basedOn w:val="Normal"/>
    <w:next w:val="Normal"/>
    <w:link w:val="QuoteChar"/>
    <w:uiPriority w:val="29"/>
    <w:qFormat/>
    <w:rsid w:val="00CC648B"/>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pPr>
    <w:rPr>
      <w:rFonts w:ascii="Cambria" w:eastAsia="Times New Roman" w:hAnsi="Cambria"/>
      <w:iCs/>
      <w:sz w:val="18"/>
      <w:bdr w:val="none" w:sz="0" w:space="0" w:color="auto"/>
    </w:rPr>
  </w:style>
  <w:style w:type="character" w:customStyle="1" w:styleId="QuoteChar">
    <w:name w:val="Quote Char"/>
    <w:basedOn w:val="DefaultParagraphFont"/>
    <w:link w:val="Quote"/>
    <w:uiPriority w:val="29"/>
    <w:rsid w:val="00CC648B"/>
    <w:rPr>
      <w:rFonts w:ascii="Cambria" w:eastAsia="Times New Roman" w:hAnsi="Cambria" w:cs="Times New Roman"/>
      <w:iCs/>
      <w:sz w:val="18"/>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uiPriority w:val="99"/>
    <w:rsid w:val="009801A3"/>
    <w:rPr>
      <w:rFonts w:ascii="Verdana" w:eastAsia="Batang" w:hAnsi="Verdana" w:cs="Times"/>
      <w:noProof/>
      <w:sz w:val="16"/>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801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0"/>
      <w:bdr w:val="none" w:sz="0" w:space="0" w:color="auto"/>
      <w:vertAlign w:val="superscript"/>
      <w:lang w:val="es-ES"/>
    </w:rPr>
  </w:style>
  <w:style w:type="paragraph" w:customStyle="1" w:styleId="Prrafodelista2">
    <w:name w:val="Párrafo de lista2"/>
    <w:basedOn w:val="Normal"/>
    <w:uiPriority w:val="99"/>
    <w:rsid w:val="00FF79A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Verdana" w:eastAsia="MS Mincho" w:hAnsi="Verdana"/>
      <w:sz w:val="20"/>
      <w:szCs w:val="20"/>
      <w:bdr w:val="none" w:sz="0" w:space="0" w:color="auto"/>
      <w:lang w:val="es-ES_tradnl"/>
    </w:rPr>
  </w:style>
  <w:style w:type="paragraph" w:customStyle="1" w:styleId="PrrafodeSentencia">
    <w:name w:val="*. Párrafo de Sentencia"/>
    <w:basedOn w:val="Normal"/>
    <w:next w:val="Normal"/>
    <w:link w:val="PrrafodeSentenciaChar"/>
    <w:qFormat/>
    <w:rsid w:val="00FE0DE9"/>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after="120"/>
      <w:ind w:left="0" w:firstLine="0"/>
      <w:jc w:val="both"/>
    </w:pPr>
    <w:rPr>
      <w:rFonts w:ascii="Verdana" w:eastAsia="Batang" w:hAnsi="Verdana" w:cstheme="minorBidi"/>
      <w:color w:val="000000"/>
      <w:spacing w:val="-4"/>
      <w:sz w:val="20"/>
      <w:szCs w:val="20"/>
      <w:bdr w:val="none" w:sz="0" w:space="0" w:color="auto"/>
      <w:lang w:val="es-ES" w:eastAsia="es-CR"/>
    </w:rPr>
  </w:style>
  <w:style w:type="character" w:customStyle="1" w:styleId="PrrafodeSentenciaChar">
    <w:name w:val="*. Párrafo de Sentencia Char"/>
    <w:link w:val="PrrafodeSentencia"/>
    <w:locked/>
    <w:rsid w:val="00FE0DE9"/>
    <w:rPr>
      <w:rFonts w:ascii="Verdana" w:eastAsia="Batang" w:hAnsi="Verdana"/>
      <w:color w:val="000000"/>
      <w:spacing w:val="-4"/>
      <w:sz w:val="20"/>
      <w:szCs w:val="20"/>
      <w:lang w:val="es-ES" w:eastAsia="es-CR"/>
    </w:rPr>
  </w:style>
  <w:style w:type="character" w:customStyle="1" w:styleId="UnresolvedMention2">
    <w:name w:val="Unresolved Mention2"/>
    <w:basedOn w:val="DefaultParagraphFont"/>
    <w:uiPriority w:val="99"/>
    <w:semiHidden/>
    <w:unhideWhenUsed/>
    <w:rsid w:val="0060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736">
      <w:bodyDiv w:val="1"/>
      <w:marLeft w:val="0"/>
      <w:marRight w:val="0"/>
      <w:marTop w:val="0"/>
      <w:marBottom w:val="0"/>
      <w:divBdr>
        <w:top w:val="none" w:sz="0" w:space="0" w:color="auto"/>
        <w:left w:val="none" w:sz="0" w:space="0" w:color="auto"/>
        <w:bottom w:val="none" w:sz="0" w:space="0" w:color="auto"/>
        <w:right w:val="none" w:sz="0" w:space="0" w:color="auto"/>
      </w:divBdr>
    </w:div>
    <w:div w:id="392199140">
      <w:bodyDiv w:val="1"/>
      <w:marLeft w:val="0"/>
      <w:marRight w:val="0"/>
      <w:marTop w:val="0"/>
      <w:marBottom w:val="0"/>
      <w:divBdr>
        <w:top w:val="none" w:sz="0" w:space="0" w:color="auto"/>
        <w:left w:val="none" w:sz="0" w:space="0" w:color="auto"/>
        <w:bottom w:val="none" w:sz="0" w:space="0" w:color="auto"/>
        <w:right w:val="none" w:sz="0" w:space="0" w:color="auto"/>
      </w:divBdr>
    </w:div>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622229182">
      <w:bodyDiv w:val="1"/>
      <w:marLeft w:val="0"/>
      <w:marRight w:val="0"/>
      <w:marTop w:val="0"/>
      <w:marBottom w:val="0"/>
      <w:divBdr>
        <w:top w:val="none" w:sz="0" w:space="0" w:color="auto"/>
        <w:left w:val="none" w:sz="0" w:space="0" w:color="auto"/>
        <w:bottom w:val="none" w:sz="0" w:space="0" w:color="auto"/>
        <w:right w:val="none" w:sz="0" w:space="0" w:color="auto"/>
      </w:divBdr>
    </w:div>
    <w:div w:id="636839617">
      <w:bodyDiv w:val="1"/>
      <w:marLeft w:val="0"/>
      <w:marRight w:val="0"/>
      <w:marTop w:val="0"/>
      <w:marBottom w:val="0"/>
      <w:divBdr>
        <w:top w:val="none" w:sz="0" w:space="0" w:color="auto"/>
        <w:left w:val="none" w:sz="0" w:space="0" w:color="auto"/>
        <w:bottom w:val="none" w:sz="0" w:space="0" w:color="auto"/>
        <w:right w:val="none" w:sz="0" w:space="0" w:color="auto"/>
      </w:divBdr>
    </w:div>
    <w:div w:id="771054077">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893931800">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1580869344">
      <w:bodyDiv w:val="1"/>
      <w:marLeft w:val="0"/>
      <w:marRight w:val="0"/>
      <w:marTop w:val="0"/>
      <w:marBottom w:val="0"/>
      <w:divBdr>
        <w:top w:val="none" w:sz="0" w:space="0" w:color="auto"/>
        <w:left w:val="none" w:sz="0" w:space="0" w:color="auto"/>
        <w:bottom w:val="none" w:sz="0" w:space="0" w:color="auto"/>
        <w:right w:val="none" w:sz="0" w:space="0" w:color="auto"/>
      </w:divBdr>
    </w:div>
    <w:div w:id="1734548890">
      <w:bodyDiv w:val="1"/>
      <w:marLeft w:val="0"/>
      <w:marRight w:val="0"/>
      <w:marTop w:val="0"/>
      <w:marBottom w:val="0"/>
      <w:divBdr>
        <w:top w:val="none" w:sz="0" w:space="0" w:color="auto"/>
        <w:left w:val="none" w:sz="0" w:space="0" w:color="auto"/>
        <w:bottom w:val="none" w:sz="0" w:space="0" w:color="auto"/>
        <w:right w:val="none" w:sz="0" w:space="0" w:color="auto"/>
      </w:divBdr>
    </w:div>
    <w:div w:id="1828132956">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expresion/docs/informes/2014_04_22_Violencia_ESP_WEB.pdf" TargetMode="External"/><Relationship Id="rId13" Type="http://schemas.openxmlformats.org/officeDocument/2006/relationships/hyperlink" Target="https://en.unesco.org/un-plan-action-safety-journalists" TargetMode="External"/><Relationship Id="rId3" Type="http://schemas.openxmlformats.org/officeDocument/2006/relationships/hyperlink" Target="http://www.oas.org/es/cidh/expresion/showarticle.asp?artID=1165&amp;lID=2" TargetMode="External"/><Relationship Id="rId7" Type="http://schemas.openxmlformats.org/officeDocument/2006/relationships/hyperlink" Target="http://www.oas.org/es/cidh/expresion/showarticle.asp?artID=905&amp;lID=2" TargetMode="External"/><Relationship Id="rId12" Type="http://schemas.openxmlformats.org/officeDocument/2006/relationships/hyperlink" Target="https://en.unesco.org/sites/default/files/un-plan-on-safety-journalists_es.pdf" TargetMode="External"/><Relationship Id="rId2" Type="http://schemas.openxmlformats.org/officeDocument/2006/relationships/hyperlink" Target="http://www.cidh.org/countryrep/Paraguay01sp/cap.3.htm" TargetMode="External"/><Relationship Id="rId1" Type="http://schemas.openxmlformats.org/officeDocument/2006/relationships/hyperlink" Target="http://www.oas.org/es/cidh/expresion/docs/publicaciones/ZONAS_SILENCIADAS_ESP.pdf" TargetMode="External"/><Relationship Id="rId6" Type="http://schemas.openxmlformats.org/officeDocument/2006/relationships/hyperlink" Target="http://www.oas.org/es/cidh/expresion/docs/informes/anuales/2014_04_22_IA_2013_ESP_FINAL_WEB.pdf" TargetMode="External"/><Relationship Id="rId11" Type="http://schemas.openxmlformats.org/officeDocument/2006/relationships/hyperlink" Target="https://www.oas.org/es/cidh/expresion/docs/2018_06_18%20CIDH-UN_FINAL_MX_report_SPA.PDF" TargetMode="External"/><Relationship Id="rId5" Type="http://schemas.openxmlformats.org/officeDocument/2006/relationships/hyperlink" Target="http://www.ohchr.org/Documents/HRBodies/HRCouncil/RegularSession/Session20/A.HRC.20.22.SPA.pdf" TargetMode="External"/><Relationship Id="rId10" Type="http://schemas.openxmlformats.org/officeDocument/2006/relationships/hyperlink" Target="https://www.oas.org/es/cidh/defensores/docs/pdf/defensores2011.pdf" TargetMode="External"/><Relationship Id="rId4" Type="http://schemas.openxmlformats.org/officeDocument/2006/relationships/hyperlink" Target="https://www.coe.int/en/web/freedom-expression/news-media/-/asset_publisher/Mo0WV0OwvbhA/content/declaration-of-the-committee-of-ministers-on-the-protection-of-journalism-and-safety-of-journalists-and-other-media-actors-adopted-by-the-committee-of?inheritRedirect=false" TargetMode="External"/><Relationship Id="rId9" Type="http://schemas.openxmlformats.org/officeDocument/2006/relationships/hyperlink" Target="https://www.gob.mx/cms/uploads/attachment/file/444272/Protocolo_homologado_de_investigaci_n_de_delitos_cometidos_contra_la_libertad_de_expresi_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D911-DA5D-4AA6-96E9-5ACA5F75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15084</Words>
  <Characters>85981</Characters>
  <Application>Microsoft Office Word</Application>
  <DocSecurity>0</DocSecurity>
  <Lines>716</Lines>
  <Paragraphs>201</Paragraphs>
  <ScaleCrop>false</ScaleCrop>
  <Company/>
  <LinksUpToDate>false</LinksUpToDate>
  <CharactersWithSpaces>100864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2021-04-30T14:45:00Z</dcterms:created>
  <dcterms:modified xsi:type="dcterms:W3CDTF">2021-04-30T14:46:00Z</dcterms:modified>
</cp:coreProperties>
</file>