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558F3" w14:textId="77777777" w:rsidR="000007A2" w:rsidRPr="00007A84" w:rsidRDefault="000007A2" w:rsidP="00BD53CE">
      <w:pPr>
        <w:spacing w:after="0" w:line="240" w:lineRule="auto"/>
        <w:jc w:val="right"/>
        <w:rPr>
          <w:rFonts w:ascii="Cambria" w:hAnsi="Cambria" w:cs="Calibri"/>
          <w:color w:val="000000"/>
          <w:sz w:val="20"/>
          <w:szCs w:val="20"/>
          <w:lang w:val="es-ES_tradnl"/>
        </w:rPr>
      </w:pPr>
    </w:p>
    <w:p w14:paraId="3C024050" w14:textId="77777777" w:rsidR="00454DBC" w:rsidRDefault="00454DBC" w:rsidP="00BD53CE">
      <w:pPr>
        <w:spacing w:after="0" w:line="240" w:lineRule="auto"/>
        <w:jc w:val="right"/>
        <w:rPr>
          <w:rFonts w:ascii="Cambria" w:hAnsi="Cambria" w:cs="Calibri"/>
          <w:color w:val="000000"/>
          <w:sz w:val="20"/>
          <w:szCs w:val="20"/>
          <w:lang w:val="es-ES_tradnl"/>
        </w:rPr>
      </w:pPr>
    </w:p>
    <w:p w14:paraId="3D6A1554" w14:textId="77777777" w:rsidR="00B331B4" w:rsidRDefault="00B331B4" w:rsidP="00BD53CE">
      <w:pPr>
        <w:spacing w:after="0" w:line="240" w:lineRule="auto"/>
        <w:jc w:val="right"/>
        <w:rPr>
          <w:rFonts w:ascii="Cambria" w:hAnsi="Cambria" w:cs="Calibri"/>
          <w:color w:val="000000"/>
          <w:sz w:val="20"/>
          <w:szCs w:val="20"/>
          <w:lang w:val="es-ES_tradnl"/>
        </w:rPr>
      </w:pPr>
    </w:p>
    <w:p w14:paraId="29C1104F" w14:textId="77777777" w:rsidR="00162CE1" w:rsidRPr="000A0936" w:rsidRDefault="00B331B4" w:rsidP="00BD53CE">
      <w:pPr>
        <w:spacing w:after="0" w:line="240" w:lineRule="auto"/>
        <w:jc w:val="right"/>
        <w:rPr>
          <w:rFonts w:ascii="Cambria" w:hAnsi="Cambria" w:cs="Calibri"/>
          <w:color w:val="000000"/>
          <w:sz w:val="20"/>
          <w:szCs w:val="20"/>
          <w:lang w:val="pt-BR"/>
        </w:rPr>
      </w:pPr>
      <w:r w:rsidRPr="000A0936">
        <w:rPr>
          <w:rFonts w:ascii="Cambria" w:hAnsi="Cambria" w:cs="Calibri"/>
          <w:color w:val="000000"/>
          <w:sz w:val="20"/>
          <w:szCs w:val="20"/>
          <w:lang w:val="pt-BR"/>
        </w:rPr>
        <w:t>22 de abril</w:t>
      </w:r>
      <w:r w:rsidR="00DE2CA0" w:rsidRPr="000A0936">
        <w:rPr>
          <w:rFonts w:ascii="Cambria" w:hAnsi="Cambria" w:cs="Calibri"/>
          <w:color w:val="000000"/>
          <w:sz w:val="20"/>
          <w:szCs w:val="20"/>
          <w:lang w:val="pt-BR"/>
        </w:rPr>
        <w:t xml:space="preserve"> de 202</w:t>
      </w:r>
      <w:r w:rsidR="00EA0AB4" w:rsidRPr="000A0936">
        <w:rPr>
          <w:rFonts w:ascii="Cambria" w:hAnsi="Cambria" w:cs="Calibri"/>
          <w:color w:val="000000"/>
          <w:sz w:val="20"/>
          <w:szCs w:val="20"/>
          <w:lang w:val="pt-BR"/>
        </w:rPr>
        <w:t>2</w:t>
      </w:r>
    </w:p>
    <w:p w14:paraId="6E9B638A" w14:textId="77777777" w:rsidR="00B331B4" w:rsidRPr="000A0936" w:rsidRDefault="00B331B4" w:rsidP="00BD53CE">
      <w:pPr>
        <w:spacing w:after="0" w:line="240" w:lineRule="auto"/>
        <w:jc w:val="right"/>
        <w:rPr>
          <w:rFonts w:ascii="Cambria" w:hAnsi="Cambria" w:cs="Calibri"/>
          <w:color w:val="000000"/>
          <w:sz w:val="20"/>
          <w:szCs w:val="20"/>
          <w:lang w:val="pt-BR"/>
        </w:rPr>
      </w:pPr>
    </w:p>
    <w:p w14:paraId="5A4691DA" w14:textId="77777777" w:rsidR="00454DBC" w:rsidRPr="000A0936" w:rsidRDefault="00454DBC" w:rsidP="00BD53CE">
      <w:pPr>
        <w:spacing w:after="0" w:line="240" w:lineRule="auto"/>
        <w:jc w:val="right"/>
        <w:rPr>
          <w:rFonts w:ascii="Cambria" w:hAnsi="Cambria" w:cs="Calibri"/>
          <w:color w:val="000000"/>
          <w:sz w:val="20"/>
          <w:szCs w:val="20"/>
          <w:lang w:val="pt-BR"/>
        </w:rPr>
      </w:pPr>
    </w:p>
    <w:p w14:paraId="6056479D" w14:textId="77777777" w:rsidR="00162CE1" w:rsidRPr="000A0936" w:rsidRDefault="0042403B" w:rsidP="00BD53CE">
      <w:pPr>
        <w:spacing w:after="0" w:line="240" w:lineRule="auto"/>
        <w:jc w:val="both"/>
        <w:rPr>
          <w:rFonts w:ascii="Cambria" w:hAnsi="Cambria" w:cs="Calibri"/>
          <w:b/>
          <w:color w:val="000000"/>
          <w:sz w:val="20"/>
          <w:szCs w:val="20"/>
          <w:lang w:val="pt-BR"/>
        </w:rPr>
      </w:pPr>
      <w:r w:rsidRPr="000A0936">
        <w:rPr>
          <w:rFonts w:ascii="Cambria" w:hAnsi="Cambria" w:cs="Calibri"/>
          <w:b/>
          <w:color w:val="000000"/>
          <w:sz w:val="20"/>
          <w:szCs w:val="20"/>
          <w:lang w:val="pt-BR"/>
        </w:rPr>
        <w:t>REF</w:t>
      </w:r>
      <w:r w:rsidR="00162CE1" w:rsidRPr="000A0936">
        <w:rPr>
          <w:rFonts w:ascii="Cambria" w:hAnsi="Cambria" w:cs="Calibri"/>
          <w:b/>
          <w:color w:val="000000"/>
          <w:sz w:val="20"/>
          <w:szCs w:val="20"/>
          <w:lang w:val="pt-BR"/>
        </w:rPr>
        <w:t>.:</w:t>
      </w:r>
      <w:bookmarkStart w:id="0" w:name="Peticion_n"/>
      <w:bookmarkEnd w:id="0"/>
      <w:r w:rsidR="00A2631B" w:rsidRPr="000A0936">
        <w:rPr>
          <w:rFonts w:ascii="Cambria" w:hAnsi="Cambria" w:cs="Calibri"/>
          <w:b/>
          <w:color w:val="000000"/>
          <w:sz w:val="20"/>
          <w:szCs w:val="20"/>
          <w:lang w:val="pt-BR"/>
        </w:rPr>
        <w:tab/>
        <w:t>Caso Nº</w:t>
      </w:r>
      <w:r w:rsidR="00162CE1" w:rsidRPr="000A0936">
        <w:rPr>
          <w:rFonts w:ascii="Cambria" w:hAnsi="Cambria" w:cs="Calibri"/>
          <w:b/>
          <w:color w:val="000000"/>
          <w:sz w:val="20"/>
          <w:szCs w:val="20"/>
          <w:lang w:val="pt-BR"/>
        </w:rPr>
        <w:t xml:space="preserve"> </w:t>
      </w:r>
      <w:r w:rsidR="00FC162D" w:rsidRPr="000A0936">
        <w:rPr>
          <w:rFonts w:ascii="Cambria" w:hAnsi="Cambria" w:cs="Calibri"/>
          <w:b/>
          <w:color w:val="000000"/>
          <w:sz w:val="20"/>
          <w:szCs w:val="20"/>
          <w:lang w:val="pt-BR"/>
        </w:rPr>
        <w:t>1</w:t>
      </w:r>
      <w:r w:rsidR="00B331B4" w:rsidRPr="000A0936">
        <w:rPr>
          <w:rFonts w:ascii="Cambria" w:hAnsi="Cambria" w:cs="Calibri"/>
          <w:b/>
          <w:color w:val="000000"/>
          <w:sz w:val="20"/>
          <w:szCs w:val="20"/>
          <w:lang w:val="pt-BR"/>
        </w:rPr>
        <w:t>3.691</w:t>
      </w:r>
    </w:p>
    <w:p w14:paraId="69062FB1" w14:textId="77777777" w:rsidR="00B331B4" w:rsidRPr="00B331B4" w:rsidRDefault="00B331B4" w:rsidP="00BD53CE">
      <w:pPr>
        <w:tabs>
          <w:tab w:val="left" w:pos="7165"/>
        </w:tabs>
        <w:spacing w:after="0" w:line="240" w:lineRule="auto"/>
        <w:ind w:firstLine="720"/>
        <w:jc w:val="both"/>
        <w:rPr>
          <w:rFonts w:ascii="Cambria" w:hAnsi="Cambria" w:cs="Calibri"/>
          <w:b/>
          <w:color w:val="000000"/>
          <w:sz w:val="20"/>
          <w:szCs w:val="20"/>
          <w:lang w:val="es-ES_tradnl"/>
        </w:rPr>
      </w:pPr>
      <w:r w:rsidRPr="00B331B4">
        <w:rPr>
          <w:rFonts w:ascii="Cambria" w:hAnsi="Cambria" w:cs="Calibri"/>
          <w:b/>
          <w:color w:val="000000"/>
          <w:sz w:val="20"/>
          <w:szCs w:val="20"/>
          <w:lang w:val="es-ES_tradnl"/>
        </w:rPr>
        <w:t xml:space="preserve">Cristiane Leite De Souza y otros </w:t>
      </w:r>
    </w:p>
    <w:p w14:paraId="2D609B74" w14:textId="77777777" w:rsidR="0029733E" w:rsidRPr="00007A84" w:rsidRDefault="00444121" w:rsidP="00BD53CE">
      <w:pPr>
        <w:tabs>
          <w:tab w:val="left" w:pos="7165"/>
        </w:tabs>
        <w:spacing w:after="0" w:line="240" w:lineRule="auto"/>
        <w:ind w:firstLine="720"/>
        <w:jc w:val="both"/>
        <w:rPr>
          <w:rFonts w:ascii="Cambria" w:hAnsi="Cambria" w:cs="Calibri"/>
          <w:b/>
          <w:color w:val="000000"/>
          <w:sz w:val="20"/>
          <w:szCs w:val="20"/>
          <w:lang w:val="es-ES_tradnl"/>
        </w:rPr>
      </w:pPr>
      <w:r w:rsidRPr="00007A84">
        <w:rPr>
          <w:rFonts w:ascii="Cambria" w:hAnsi="Cambria" w:cs="Calibri"/>
          <w:b/>
          <w:color w:val="000000"/>
          <w:sz w:val="20"/>
          <w:szCs w:val="20"/>
          <w:lang w:val="es-ES_tradnl"/>
        </w:rPr>
        <w:t>Brasil</w:t>
      </w:r>
    </w:p>
    <w:p w14:paraId="6E38782C" w14:textId="77777777" w:rsidR="00BD53CE" w:rsidRDefault="00BD53CE" w:rsidP="00BD53CE">
      <w:pPr>
        <w:tabs>
          <w:tab w:val="left" w:pos="7165"/>
        </w:tabs>
        <w:spacing w:after="0" w:line="240" w:lineRule="auto"/>
        <w:ind w:firstLine="720"/>
        <w:jc w:val="both"/>
        <w:rPr>
          <w:rFonts w:ascii="Cambria" w:hAnsi="Cambria" w:cs="Calibri"/>
          <w:b/>
          <w:color w:val="000000"/>
          <w:sz w:val="20"/>
          <w:szCs w:val="20"/>
          <w:lang w:val="es-ES_tradnl"/>
        </w:rPr>
      </w:pPr>
    </w:p>
    <w:p w14:paraId="07671152" w14:textId="77777777" w:rsidR="00454DBC" w:rsidRDefault="00454DBC" w:rsidP="00BD53CE">
      <w:pPr>
        <w:tabs>
          <w:tab w:val="left" w:pos="7165"/>
        </w:tabs>
        <w:spacing w:after="0" w:line="240" w:lineRule="auto"/>
        <w:ind w:firstLine="720"/>
        <w:jc w:val="both"/>
        <w:rPr>
          <w:rFonts w:ascii="Cambria" w:hAnsi="Cambria" w:cs="Calibri"/>
          <w:b/>
          <w:color w:val="000000"/>
          <w:sz w:val="20"/>
          <w:szCs w:val="20"/>
          <w:lang w:val="es-ES_tradnl"/>
        </w:rPr>
      </w:pPr>
    </w:p>
    <w:p w14:paraId="18102878" w14:textId="77777777" w:rsidR="00162CE1" w:rsidRPr="00007A84" w:rsidRDefault="00162CE1" w:rsidP="00007A84">
      <w:pPr>
        <w:spacing w:after="0" w:line="240" w:lineRule="auto"/>
        <w:jc w:val="both"/>
        <w:rPr>
          <w:rFonts w:ascii="Cambria" w:hAnsi="Cambria" w:cs="Calibri"/>
          <w:color w:val="000000"/>
          <w:sz w:val="20"/>
          <w:szCs w:val="20"/>
          <w:lang w:val="es-ES_tradnl"/>
        </w:rPr>
      </w:pPr>
      <w:r w:rsidRPr="00007A84">
        <w:rPr>
          <w:rFonts w:ascii="Cambria" w:hAnsi="Cambria" w:cs="Calibri"/>
          <w:color w:val="000000"/>
          <w:sz w:val="20"/>
          <w:szCs w:val="20"/>
          <w:lang w:val="es-ES_tradnl"/>
        </w:rPr>
        <w:t>Señor Secretario:</w:t>
      </w:r>
    </w:p>
    <w:p w14:paraId="3EED477B" w14:textId="77777777" w:rsidR="00162CE1" w:rsidRPr="00007A84" w:rsidRDefault="00162CE1" w:rsidP="00BD53CE">
      <w:pPr>
        <w:spacing w:after="0" w:line="240" w:lineRule="auto"/>
        <w:jc w:val="both"/>
        <w:rPr>
          <w:rFonts w:ascii="Cambria" w:hAnsi="Cambria" w:cs="Calibri"/>
          <w:color w:val="000000"/>
          <w:sz w:val="20"/>
          <w:szCs w:val="20"/>
          <w:lang w:val="es-ES_tradnl"/>
        </w:rPr>
      </w:pPr>
    </w:p>
    <w:p w14:paraId="2FDC02E4" w14:textId="77777777" w:rsidR="00B331B4" w:rsidRPr="00086654" w:rsidRDefault="00007A84" w:rsidP="00B331B4">
      <w:pPr>
        <w:spacing w:after="0" w:line="240" w:lineRule="auto"/>
        <w:jc w:val="both"/>
        <w:rPr>
          <w:rFonts w:ascii="Cambria" w:hAnsi="Cambria"/>
          <w:color w:val="000000"/>
          <w:sz w:val="20"/>
          <w:szCs w:val="20"/>
          <w:lang w:val="es-ES"/>
        </w:rPr>
      </w:pPr>
      <w:r>
        <w:rPr>
          <w:rFonts w:cs="Calibri"/>
          <w:lang w:val="es-ES_tradnl"/>
        </w:rPr>
        <w:tab/>
      </w:r>
      <w:r w:rsidR="00162CE1" w:rsidRPr="00B331B4">
        <w:rPr>
          <w:rFonts w:ascii="Cambria" w:hAnsi="Cambria" w:cs="Calibri"/>
          <w:color w:val="000000"/>
          <w:sz w:val="20"/>
          <w:szCs w:val="20"/>
          <w:lang w:val="es-ES_tradnl"/>
        </w:rPr>
        <w:t>Tengo el agrado de dirigirme a usted</w:t>
      </w:r>
      <w:r w:rsidR="0042403B" w:rsidRPr="00B331B4">
        <w:rPr>
          <w:rFonts w:ascii="Cambria" w:hAnsi="Cambria" w:cs="Calibri"/>
          <w:color w:val="000000"/>
          <w:sz w:val="20"/>
          <w:szCs w:val="20"/>
          <w:lang w:val="es-ES_tradnl"/>
        </w:rPr>
        <w:t>,</w:t>
      </w:r>
      <w:r w:rsidR="00162CE1" w:rsidRPr="00B331B4">
        <w:rPr>
          <w:rFonts w:ascii="Cambria" w:hAnsi="Cambria" w:cs="Calibri"/>
          <w:color w:val="000000"/>
          <w:sz w:val="20"/>
          <w:szCs w:val="20"/>
          <w:lang w:val="es-ES_tradnl"/>
        </w:rPr>
        <w:t xml:space="preserve"> en nombre de la Comisión Interamericana de Derechos Humanos</w:t>
      </w:r>
      <w:r w:rsidR="0042403B" w:rsidRPr="00B331B4">
        <w:rPr>
          <w:rFonts w:ascii="Cambria" w:hAnsi="Cambria" w:cs="Calibri"/>
          <w:color w:val="000000"/>
          <w:sz w:val="20"/>
          <w:szCs w:val="20"/>
          <w:lang w:val="es-ES_tradnl"/>
        </w:rPr>
        <w:t>,</w:t>
      </w:r>
      <w:r w:rsidR="00162CE1" w:rsidRPr="00B331B4">
        <w:rPr>
          <w:rFonts w:ascii="Cambria" w:hAnsi="Cambria" w:cs="Calibri"/>
          <w:color w:val="000000"/>
          <w:sz w:val="20"/>
          <w:szCs w:val="20"/>
          <w:lang w:val="es-ES_tradnl"/>
        </w:rPr>
        <w:t xml:space="preserve"> con el objeto de someter a la jurisdicción de la Honorable Corte Interame</w:t>
      </w:r>
      <w:r w:rsidR="009E433A" w:rsidRPr="00B331B4">
        <w:rPr>
          <w:rFonts w:ascii="Cambria" w:hAnsi="Cambria" w:cs="Calibri"/>
          <w:color w:val="000000"/>
          <w:sz w:val="20"/>
          <w:szCs w:val="20"/>
          <w:lang w:val="es-ES_tradnl"/>
        </w:rPr>
        <w:t xml:space="preserve">ricana de Derechos Humanos, el </w:t>
      </w:r>
      <w:r w:rsidR="002E628E" w:rsidRPr="00B331B4">
        <w:rPr>
          <w:rFonts w:ascii="Cambria" w:hAnsi="Cambria" w:cs="Calibri"/>
          <w:color w:val="000000"/>
          <w:sz w:val="20"/>
          <w:szCs w:val="20"/>
          <w:lang w:val="es-ES_tradnl"/>
        </w:rPr>
        <w:t>C</w:t>
      </w:r>
      <w:r w:rsidR="00162CE1" w:rsidRPr="00B331B4">
        <w:rPr>
          <w:rFonts w:ascii="Cambria" w:hAnsi="Cambria" w:cs="Calibri"/>
          <w:color w:val="000000"/>
          <w:sz w:val="20"/>
          <w:szCs w:val="20"/>
          <w:lang w:val="es-ES_tradnl"/>
        </w:rPr>
        <w:t xml:space="preserve">aso </w:t>
      </w:r>
      <w:bookmarkStart w:id="1" w:name="Peticion_n1"/>
      <w:bookmarkEnd w:id="1"/>
      <w:r w:rsidR="00FC162D" w:rsidRPr="00B331B4">
        <w:rPr>
          <w:rFonts w:ascii="Cambria" w:hAnsi="Cambria" w:cs="Calibri"/>
          <w:color w:val="000000"/>
          <w:sz w:val="20"/>
          <w:szCs w:val="20"/>
          <w:lang w:val="es-ES_tradnl"/>
        </w:rPr>
        <w:t>1</w:t>
      </w:r>
      <w:r w:rsidR="00B331B4" w:rsidRPr="00B331B4">
        <w:rPr>
          <w:rFonts w:ascii="Cambria" w:hAnsi="Cambria" w:cs="Calibri"/>
          <w:color w:val="000000"/>
          <w:sz w:val="20"/>
          <w:szCs w:val="20"/>
          <w:lang w:val="es-ES_tradnl"/>
        </w:rPr>
        <w:t>3</w:t>
      </w:r>
      <w:r w:rsidR="00FC162D" w:rsidRPr="00B331B4">
        <w:rPr>
          <w:rFonts w:ascii="Cambria" w:hAnsi="Cambria" w:cs="Calibri"/>
          <w:color w:val="000000"/>
          <w:sz w:val="20"/>
          <w:szCs w:val="20"/>
          <w:lang w:val="es-ES_tradnl"/>
        </w:rPr>
        <w:t>.</w:t>
      </w:r>
      <w:r w:rsidR="00B331B4" w:rsidRPr="00B331B4">
        <w:rPr>
          <w:rFonts w:ascii="Cambria" w:hAnsi="Cambria" w:cs="Calibri"/>
          <w:color w:val="000000"/>
          <w:sz w:val="20"/>
          <w:szCs w:val="20"/>
          <w:lang w:val="es-ES_tradnl"/>
        </w:rPr>
        <w:t>691</w:t>
      </w:r>
      <w:r w:rsidR="009E433A" w:rsidRPr="00B331B4">
        <w:rPr>
          <w:rFonts w:ascii="Cambria" w:hAnsi="Cambria" w:cs="Calibri"/>
          <w:color w:val="000000"/>
          <w:sz w:val="20"/>
          <w:szCs w:val="20"/>
          <w:lang w:val="es-ES_tradnl"/>
        </w:rPr>
        <w:t xml:space="preserve"> </w:t>
      </w:r>
      <w:r w:rsidR="00E31CFC" w:rsidRPr="00B331B4">
        <w:rPr>
          <w:rFonts w:ascii="Cambria" w:hAnsi="Cambria" w:cs="Calibri"/>
          <w:color w:val="000000"/>
          <w:sz w:val="20"/>
          <w:szCs w:val="20"/>
          <w:lang w:val="es-ES_tradnl"/>
        </w:rPr>
        <w:t>–</w:t>
      </w:r>
      <w:r w:rsidR="00162CE1" w:rsidRPr="00B331B4">
        <w:rPr>
          <w:rFonts w:ascii="Cambria" w:hAnsi="Cambria" w:cs="Calibri"/>
          <w:color w:val="000000"/>
          <w:sz w:val="20"/>
          <w:szCs w:val="20"/>
          <w:lang w:val="es-ES_tradnl"/>
        </w:rPr>
        <w:t xml:space="preserve"> </w:t>
      </w:r>
      <w:r w:rsidR="00B331B4" w:rsidRPr="00B331B4">
        <w:rPr>
          <w:rFonts w:ascii="Cambria" w:hAnsi="Cambria" w:cs="Calibri"/>
          <w:color w:val="000000"/>
          <w:sz w:val="20"/>
          <w:szCs w:val="20"/>
          <w:lang w:val="es-ES_tradnl"/>
        </w:rPr>
        <w:t>Cristiane Leite de Souza y otros</w:t>
      </w:r>
      <w:r w:rsidR="006634BE" w:rsidRPr="00B331B4">
        <w:rPr>
          <w:rFonts w:ascii="Cambria" w:hAnsi="Cambria" w:cs="Calibri"/>
          <w:color w:val="000000"/>
          <w:sz w:val="20"/>
          <w:szCs w:val="20"/>
          <w:lang w:val="es-ES_tradnl"/>
        </w:rPr>
        <w:t>,</w:t>
      </w:r>
      <w:r w:rsidR="009E433A" w:rsidRPr="00B331B4">
        <w:rPr>
          <w:rFonts w:ascii="Cambria" w:hAnsi="Cambria" w:cs="Calibri"/>
          <w:color w:val="000000"/>
          <w:sz w:val="20"/>
          <w:szCs w:val="20"/>
          <w:lang w:val="es-ES_tradnl"/>
        </w:rPr>
        <w:t xml:space="preserve"> </w:t>
      </w:r>
      <w:r w:rsidR="00CB0139" w:rsidRPr="00B331B4">
        <w:rPr>
          <w:rFonts w:ascii="Cambria" w:hAnsi="Cambria" w:cs="Calibri"/>
          <w:color w:val="000000"/>
          <w:sz w:val="20"/>
          <w:szCs w:val="20"/>
          <w:lang w:val="es-ES_tradnl"/>
        </w:rPr>
        <w:t>de</w:t>
      </w:r>
      <w:r w:rsidR="004A2758" w:rsidRPr="00B331B4">
        <w:rPr>
          <w:rFonts w:ascii="Cambria" w:hAnsi="Cambria" w:cs="Calibri"/>
          <w:color w:val="000000"/>
          <w:sz w:val="20"/>
          <w:szCs w:val="20"/>
          <w:lang w:val="es-ES_tradnl"/>
        </w:rPr>
        <w:t xml:space="preserve"> </w:t>
      </w:r>
      <w:r w:rsidR="00333497" w:rsidRPr="00B331B4">
        <w:rPr>
          <w:rFonts w:ascii="Cambria" w:hAnsi="Cambria" w:cs="Calibri"/>
          <w:color w:val="000000"/>
          <w:sz w:val="20"/>
          <w:szCs w:val="20"/>
          <w:lang w:val="es-ES_tradnl"/>
        </w:rPr>
        <w:t xml:space="preserve">la República </w:t>
      </w:r>
      <w:r w:rsidR="00444121" w:rsidRPr="00B331B4">
        <w:rPr>
          <w:rFonts w:ascii="Cambria" w:hAnsi="Cambria" w:cs="Calibri"/>
          <w:color w:val="000000"/>
          <w:sz w:val="20"/>
          <w:szCs w:val="20"/>
          <w:lang w:val="es-ES_tradnl"/>
        </w:rPr>
        <w:t>Federativa de Brasil</w:t>
      </w:r>
      <w:r w:rsidR="00162CE1" w:rsidRPr="00B331B4">
        <w:rPr>
          <w:rFonts w:ascii="Cambria" w:hAnsi="Cambria" w:cs="Calibri"/>
          <w:color w:val="000000"/>
          <w:sz w:val="20"/>
          <w:szCs w:val="20"/>
          <w:lang w:val="es-ES_tradnl"/>
        </w:rPr>
        <w:t xml:space="preserve"> (en adelante “el Estado</w:t>
      </w:r>
      <w:r w:rsidR="00FC4FC9" w:rsidRPr="00B331B4">
        <w:rPr>
          <w:rFonts w:ascii="Cambria" w:hAnsi="Cambria" w:cs="Calibri"/>
          <w:color w:val="000000"/>
          <w:sz w:val="20"/>
          <w:szCs w:val="20"/>
          <w:lang w:val="es-ES_tradnl"/>
        </w:rPr>
        <w:t xml:space="preserve"> de Brasil</w:t>
      </w:r>
      <w:r w:rsidR="00162CE1" w:rsidRPr="00B331B4">
        <w:rPr>
          <w:rFonts w:ascii="Cambria" w:hAnsi="Cambria" w:cs="Calibri"/>
          <w:color w:val="000000"/>
          <w:sz w:val="20"/>
          <w:szCs w:val="20"/>
          <w:lang w:val="es-ES_tradnl"/>
        </w:rPr>
        <w:t>”</w:t>
      </w:r>
      <w:r w:rsidR="0025590D" w:rsidRPr="00B331B4">
        <w:rPr>
          <w:rFonts w:ascii="Cambria" w:hAnsi="Cambria" w:cs="Calibri"/>
          <w:color w:val="000000"/>
          <w:sz w:val="20"/>
          <w:szCs w:val="20"/>
          <w:lang w:val="es-ES_tradnl"/>
        </w:rPr>
        <w:t>, “Estado brasileño”</w:t>
      </w:r>
      <w:r w:rsidR="00162CE1" w:rsidRPr="00B331B4">
        <w:rPr>
          <w:rFonts w:ascii="Cambria" w:hAnsi="Cambria" w:cs="Calibri"/>
          <w:color w:val="000000"/>
          <w:sz w:val="20"/>
          <w:szCs w:val="20"/>
          <w:lang w:val="es-ES_tradnl"/>
        </w:rPr>
        <w:t xml:space="preserve"> o “</w:t>
      </w:r>
      <w:r w:rsidR="00444121" w:rsidRPr="00B331B4">
        <w:rPr>
          <w:rFonts w:ascii="Cambria" w:hAnsi="Cambria" w:cs="Calibri"/>
          <w:color w:val="000000"/>
          <w:sz w:val="20"/>
          <w:szCs w:val="20"/>
          <w:lang w:val="es-ES_tradnl"/>
        </w:rPr>
        <w:t>Brasil</w:t>
      </w:r>
      <w:r w:rsidR="00162CE1" w:rsidRPr="00B331B4">
        <w:rPr>
          <w:rFonts w:ascii="Cambria" w:hAnsi="Cambria" w:cs="Calibri"/>
          <w:color w:val="000000"/>
          <w:sz w:val="20"/>
          <w:szCs w:val="20"/>
          <w:lang w:val="es-ES_tradnl"/>
        </w:rPr>
        <w:t>”)</w:t>
      </w:r>
      <w:r w:rsidR="007E011B" w:rsidRPr="00B331B4">
        <w:rPr>
          <w:rFonts w:ascii="Cambria" w:hAnsi="Cambria" w:cs="Calibri"/>
          <w:color w:val="000000"/>
          <w:sz w:val="20"/>
          <w:szCs w:val="20"/>
          <w:lang w:val="es-ES_tradnl"/>
        </w:rPr>
        <w:t xml:space="preserve">. El caso se refiere </w:t>
      </w:r>
      <w:r w:rsidR="0075115D" w:rsidRPr="00B331B4">
        <w:rPr>
          <w:rFonts w:ascii="Cambria" w:hAnsi="Cambria" w:cs="Calibri"/>
          <w:color w:val="000000"/>
          <w:sz w:val="20"/>
          <w:szCs w:val="20"/>
          <w:lang w:val="es-ES_tradnl"/>
        </w:rPr>
        <w:t xml:space="preserve">a </w:t>
      </w:r>
      <w:r w:rsidR="003E294D" w:rsidRPr="00B331B4">
        <w:rPr>
          <w:rFonts w:ascii="Cambria" w:hAnsi="Cambria" w:cs="Calibri"/>
          <w:color w:val="000000"/>
          <w:sz w:val="20"/>
          <w:szCs w:val="20"/>
          <w:lang w:val="es-ES_tradnl"/>
        </w:rPr>
        <w:t xml:space="preserve">la </w:t>
      </w:r>
      <w:r w:rsidRPr="00B331B4">
        <w:rPr>
          <w:rFonts w:ascii="Cambria" w:hAnsi="Cambria" w:cs="Calibri"/>
          <w:color w:val="000000"/>
          <w:sz w:val="20"/>
          <w:szCs w:val="20"/>
          <w:lang w:val="es-ES_tradnl"/>
        </w:rPr>
        <w:t xml:space="preserve">responsabilidad internacional de Brasil </w:t>
      </w:r>
      <w:r w:rsidR="00B331B4" w:rsidRPr="00B331B4">
        <w:rPr>
          <w:rFonts w:ascii="Cambria" w:hAnsi="Cambria" w:cs="Calibri"/>
          <w:color w:val="000000"/>
          <w:sz w:val="20"/>
          <w:szCs w:val="20"/>
          <w:lang w:val="es-ES_tradnl"/>
        </w:rPr>
        <w:t>por la desaparición forzada de Viviane Rocha, Cristiane Leite de Souza, Wudson de Souza, Wallace do Nascimento, Antônio Carlos da Silva, Luiz Henrique Euzébio, Edson de Souza, Rosana Lima de Souza, Moisés dos Santos Cruz, Luiz Carlos Vasconcelos de Deus y Edio do Nascimento, y los actos de violencia sexual en contra de la mujer en el marco de</w:t>
      </w:r>
      <w:r w:rsidR="00B331B4" w:rsidRPr="00086654">
        <w:rPr>
          <w:rFonts w:ascii="Cambria" w:hAnsi="Cambria"/>
          <w:color w:val="000000"/>
          <w:sz w:val="20"/>
          <w:szCs w:val="20"/>
          <w:lang w:val="es-ES"/>
        </w:rPr>
        <w:t xml:space="preserve"> tales desapariciones. Asimismo, el caso</w:t>
      </w:r>
      <w:r w:rsidR="00B331B4">
        <w:rPr>
          <w:rFonts w:ascii="Cambria" w:hAnsi="Cambria"/>
          <w:color w:val="000000"/>
          <w:sz w:val="20"/>
          <w:szCs w:val="20"/>
          <w:lang w:val="es-ES"/>
        </w:rPr>
        <w:t xml:space="preserve"> </w:t>
      </w:r>
      <w:r w:rsidR="00B331B4" w:rsidRPr="00086654">
        <w:rPr>
          <w:rFonts w:ascii="Cambria" w:hAnsi="Cambria"/>
          <w:color w:val="000000"/>
          <w:sz w:val="20"/>
          <w:szCs w:val="20"/>
          <w:lang w:val="es-ES"/>
        </w:rPr>
        <w:t xml:space="preserve">se relaciona con el asesinato de las señoras </w:t>
      </w:r>
      <w:r w:rsidR="00B331B4" w:rsidRPr="00086654">
        <w:rPr>
          <w:rFonts w:ascii="Cambria" w:hAnsi="Cambria"/>
          <w:color w:val="000000"/>
          <w:sz w:val="20"/>
          <w:szCs w:val="20"/>
          <w:lang w:val="es-ES_tradnl"/>
        </w:rPr>
        <w:t>Edméa da Silva Euzébio y Sheila da Conceição, madre y prima de una de las víctimas de</w:t>
      </w:r>
      <w:r w:rsidR="00B331B4" w:rsidRPr="00086654">
        <w:rPr>
          <w:rFonts w:ascii="Cambria" w:hAnsi="Cambria"/>
          <w:color w:val="000000"/>
          <w:sz w:val="20"/>
          <w:szCs w:val="20"/>
          <w:lang w:val="es-ES"/>
        </w:rPr>
        <w:t xml:space="preserve"> desaparición, y la falta de debida diligencia en la investigación y sanción de los responsables. </w:t>
      </w:r>
    </w:p>
    <w:p w14:paraId="2667AA10" w14:textId="77777777" w:rsidR="00B331B4" w:rsidRDefault="00B331B4" w:rsidP="00B331B4">
      <w:pPr>
        <w:spacing w:after="0" w:line="240" w:lineRule="auto"/>
        <w:jc w:val="both"/>
        <w:rPr>
          <w:rFonts w:ascii="Cambria" w:hAnsi="Cambria"/>
          <w:sz w:val="20"/>
          <w:szCs w:val="20"/>
          <w:lang w:val="es-CO"/>
        </w:rPr>
      </w:pPr>
    </w:p>
    <w:p w14:paraId="71F3FB5B" w14:textId="77777777" w:rsidR="00B331B4" w:rsidRPr="00D228A7" w:rsidRDefault="00B331B4" w:rsidP="00B331B4">
      <w:pPr>
        <w:spacing w:after="0" w:line="240" w:lineRule="auto"/>
        <w:ind w:firstLine="720"/>
        <w:jc w:val="both"/>
        <w:rPr>
          <w:rFonts w:ascii="Cambria" w:hAnsi="Cambria"/>
          <w:sz w:val="20"/>
          <w:szCs w:val="20"/>
          <w:lang w:val="es-ES_tradnl"/>
        </w:rPr>
      </w:pPr>
      <w:r w:rsidRPr="00D228A7">
        <w:rPr>
          <w:rFonts w:ascii="Cambria" w:hAnsi="Cambria"/>
          <w:sz w:val="20"/>
          <w:szCs w:val="20"/>
          <w:lang w:val="es-ES_tradnl"/>
        </w:rPr>
        <w:t xml:space="preserve">El 26 de julio de 1990, </w:t>
      </w:r>
      <w:r>
        <w:rPr>
          <w:rFonts w:ascii="Cambria" w:hAnsi="Cambria"/>
          <w:sz w:val="20"/>
          <w:szCs w:val="20"/>
          <w:lang w:val="es-ES_tradnl"/>
        </w:rPr>
        <w:t xml:space="preserve">las víctimas </w:t>
      </w:r>
      <w:r w:rsidRPr="00D228A7">
        <w:rPr>
          <w:rFonts w:ascii="Cambria" w:hAnsi="Cambria"/>
          <w:sz w:val="20"/>
          <w:szCs w:val="20"/>
          <w:lang w:val="es-ES_tradnl"/>
        </w:rPr>
        <w:t xml:space="preserve">estaban en un establecimiento rural en Surui, ciudad de </w:t>
      </w:r>
      <w:bookmarkStart w:id="2" w:name="_Hlk86308659"/>
      <w:r w:rsidRPr="00D228A7">
        <w:rPr>
          <w:rFonts w:ascii="Cambria" w:hAnsi="Cambria"/>
          <w:sz w:val="20"/>
          <w:szCs w:val="20"/>
          <w:lang w:val="es-ES_tradnl"/>
        </w:rPr>
        <w:t xml:space="preserve">Magé, </w:t>
      </w:r>
      <w:bookmarkEnd w:id="2"/>
      <w:r w:rsidRPr="00D228A7">
        <w:rPr>
          <w:rFonts w:ascii="Cambria" w:hAnsi="Cambria"/>
          <w:sz w:val="20"/>
          <w:szCs w:val="20"/>
          <w:lang w:val="es-ES_tradnl"/>
        </w:rPr>
        <w:t>cuando un grupo de policías civiles y militares l</w:t>
      </w:r>
      <w:r>
        <w:rPr>
          <w:rFonts w:ascii="Cambria" w:hAnsi="Cambria"/>
          <w:sz w:val="20"/>
          <w:szCs w:val="20"/>
          <w:lang w:val="es-ES_tradnl"/>
        </w:rPr>
        <w:t>a</w:t>
      </w:r>
      <w:r w:rsidRPr="00D228A7">
        <w:rPr>
          <w:rFonts w:ascii="Cambria" w:hAnsi="Cambria"/>
          <w:sz w:val="20"/>
          <w:szCs w:val="20"/>
          <w:lang w:val="es-ES_tradnl"/>
        </w:rPr>
        <w:t>s secuestró y trasladó al rancho del militar Peninha, donde fueron sometidas a violencia sexual, asesinadas y lanzadas al Río Estrela.</w:t>
      </w:r>
      <w:r>
        <w:rPr>
          <w:rFonts w:ascii="Cambria" w:hAnsi="Cambria"/>
          <w:sz w:val="20"/>
          <w:szCs w:val="20"/>
          <w:lang w:val="es-ES_tradnl"/>
        </w:rPr>
        <w:t xml:space="preserve"> </w:t>
      </w:r>
      <w:r w:rsidRPr="00D228A7">
        <w:rPr>
          <w:rFonts w:ascii="Cambria" w:hAnsi="Cambria"/>
          <w:sz w:val="20"/>
          <w:szCs w:val="20"/>
          <w:lang w:val="es-ES_tradnl"/>
        </w:rPr>
        <w:t xml:space="preserve">El 31 de julio de 1990 el padre de Viviane </w:t>
      </w:r>
      <w:r w:rsidRPr="00D228A7">
        <w:rPr>
          <w:rFonts w:ascii="Cambria" w:hAnsi="Cambria"/>
          <w:sz w:val="20"/>
          <w:szCs w:val="20"/>
          <w:lang w:val="es-US"/>
        </w:rPr>
        <w:t xml:space="preserve">Rocha da Silva </w:t>
      </w:r>
      <w:r w:rsidRPr="00D228A7">
        <w:rPr>
          <w:rFonts w:ascii="Cambria" w:hAnsi="Cambria"/>
          <w:sz w:val="20"/>
          <w:szCs w:val="20"/>
          <w:lang w:val="es-ES_tradnl"/>
        </w:rPr>
        <w:t xml:space="preserve">denunció el secuestro de su hija y sus amigos. Ese mismo día inició la investigación policial. La Comisión Especial de la </w:t>
      </w:r>
      <w:r w:rsidR="007E6103">
        <w:rPr>
          <w:rFonts w:ascii="Cambria" w:hAnsi="Cambria"/>
          <w:sz w:val="20"/>
          <w:szCs w:val="20"/>
          <w:lang w:val="es-ES_tradnl"/>
        </w:rPr>
        <w:t>S</w:t>
      </w:r>
      <w:r w:rsidRPr="00D228A7">
        <w:rPr>
          <w:rFonts w:ascii="Cambria" w:hAnsi="Cambria"/>
          <w:sz w:val="20"/>
          <w:szCs w:val="20"/>
          <w:lang w:val="es-ES_tradnl"/>
        </w:rPr>
        <w:t xml:space="preserve">ecretaría de Estado de la Policía Civil emitió un informe </w:t>
      </w:r>
      <w:r w:rsidR="007E6103">
        <w:rPr>
          <w:rFonts w:ascii="Cambria" w:hAnsi="Cambria"/>
          <w:sz w:val="20"/>
          <w:szCs w:val="20"/>
          <w:lang w:val="es-ES_tradnl"/>
        </w:rPr>
        <w:t>indicando</w:t>
      </w:r>
      <w:r w:rsidRPr="00D228A7">
        <w:rPr>
          <w:rFonts w:ascii="Cambria" w:hAnsi="Cambria"/>
          <w:sz w:val="20"/>
          <w:szCs w:val="20"/>
          <w:lang w:val="es-ES_tradnl"/>
        </w:rPr>
        <w:t xml:space="preserve"> que el chofer del taxi que llevó a las víctimas al establecimiento rural era informante del 9º Batallón de la Policía Militar (en adelante “9º BMP”), conocido como “Caballos Corredores”, </w:t>
      </w:r>
      <w:r w:rsidR="007E6103">
        <w:rPr>
          <w:rFonts w:ascii="Cambria" w:hAnsi="Cambria"/>
          <w:sz w:val="20"/>
          <w:szCs w:val="20"/>
          <w:lang w:val="es-ES_tradnl"/>
        </w:rPr>
        <w:t>quien</w:t>
      </w:r>
      <w:r w:rsidRPr="00D228A7">
        <w:rPr>
          <w:rFonts w:ascii="Cambria" w:hAnsi="Cambria"/>
          <w:sz w:val="20"/>
          <w:szCs w:val="20"/>
          <w:lang w:val="es-ES_tradnl"/>
        </w:rPr>
        <w:t xml:space="preserve"> practicaba actos de violencia en la Favela de Acarí y había extorsionado a tres víctimas del caso. El 27 de julio de 2010 el Ministerio Público del Estado de Rio de Janeiro archivó la investigación policial, sin que </w:t>
      </w:r>
      <w:r w:rsidR="007E6103">
        <w:rPr>
          <w:rFonts w:ascii="Cambria" w:hAnsi="Cambria"/>
          <w:sz w:val="20"/>
          <w:szCs w:val="20"/>
          <w:lang w:val="es-ES_tradnl"/>
        </w:rPr>
        <w:t>se hubiera</w:t>
      </w:r>
      <w:r w:rsidRPr="00D228A7">
        <w:rPr>
          <w:rFonts w:ascii="Cambria" w:hAnsi="Cambria"/>
          <w:sz w:val="20"/>
          <w:szCs w:val="20"/>
          <w:lang w:val="es-ES_tradnl"/>
        </w:rPr>
        <w:t xml:space="preserve"> iniciad</w:t>
      </w:r>
      <w:r w:rsidR="007E6103">
        <w:rPr>
          <w:rFonts w:ascii="Cambria" w:hAnsi="Cambria"/>
          <w:sz w:val="20"/>
          <w:szCs w:val="20"/>
          <w:lang w:val="es-ES_tradnl"/>
        </w:rPr>
        <w:t>o</w:t>
      </w:r>
      <w:r w:rsidRPr="00D228A7">
        <w:rPr>
          <w:rFonts w:ascii="Cambria" w:hAnsi="Cambria"/>
          <w:sz w:val="20"/>
          <w:szCs w:val="20"/>
          <w:lang w:val="es-ES_tradnl"/>
        </w:rPr>
        <w:t xml:space="preserve"> una acción penal, pues “los cuerpos nunca fueron encontrados, no habiendo pruebas técnicas de la materialidad del crimen de homicidio” y debido a la prescripción de la pretensión punitiva. La investigación fue desarchivada el 13 de diciembre de 2011 para atender a la petición presentada ante la CIDH.   </w:t>
      </w:r>
    </w:p>
    <w:p w14:paraId="37FEC034" w14:textId="77777777" w:rsidR="00B331B4" w:rsidRPr="00D228A7" w:rsidRDefault="00B331B4" w:rsidP="00B331B4">
      <w:pPr>
        <w:spacing w:after="0" w:line="240" w:lineRule="auto"/>
        <w:jc w:val="both"/>
        <w:rPr>
          <w:rFonts w:ascii="Cambria" w:hAnsi="Cambria"/>
          <w:sz w:val="20"/>
          <w:szCs w:val="20"/>
          <w:lang w:val="es-ES_tradnl"/>
        </w:rPr>
      </w:pPr>
    </w:p>
    <w:p w14:paraId="43206554" w14:textId="77777777" w:rsidR="00B331B4" w:rsidRDefault="00B331B4" w:rsidP="00B331B4">
      <w:pPr>
        <w:spacing w:after="0" w:line="240" w:lineRule="auto"/>
        <w:ind w:firstLine="720"/>
        <w:jc w:val="both"/>
        <w:rPr>
          <w:rFonts w:ascii="Cambria" w:hAnsi="Cambria"/>
          <w:sz w:val="20"/>
          <w:szCs w:val="20"/>
          <w:lang w:val="es-ES_tradnl"/>
        </w:rPr>
      </w:pPr>
      <w:r w:rsidRPr="00D228A7">
        <w:rPr>
          <w:rFonts w:ascii="Cambria" w:hAnsi="Cambria"/>
          <w:sz w:val="20"/>
          <w:szCs w:val="20"/>
          <w:lang w:val="es-ES_tradnl"/>
        </w:rPr>
        <w:t xml:space="preserve">Por otra parte, el 15 de enero de 1993 las señoras Edméa da Silva Euzébio y Sheila da Conceição, madre y prima de Luiz Henrique Euzébio, fueron asesinadas en la ciudad de Rio de Janeiro poco después de que la señora Da Silva hubiera obtenido información y testificado en un tribunal sobre la participación de policías en las desapariciones. El 25 de febrero de 1993 se inició </w:t>
      </w:r>
      <w:r w:rsidR="0018163F">
        <w:rPr>
          <w:rFonts w:ascii="Cambria" w:hAnsi="Cambria"/>
          <w:sz w:val="20"/>
          <w:szCs w:val="20"/>
          <w:lang w:val="es-ES_tradnl"/>
        </w:rPr>
        <w:t>la</w:t>
      </w:r>
      <w:r w:rsidRPr="00D228A7">
        <w:rPr>
          <w:rFonts w:ascii="Cambria" w:hAnsi="Cambria"/>
          <w:sz w:val="20"/>
          <w:szCs w:val="20"/>
          <w:lang w:val="es-ES_tradnl"/>
        </w:rPr>
        <w:t xml:space="preserve"> investigación penal</w:t>
      </w:r>
      <w:r w:rsidR="0018163F">
        <w:rPr>
          <w:rFonts w:ascii="Cambria" w:hAnsi="Cambria"/>
          <w:sz w:val="20"/>
          <w:szCs w:val="20"/>
          <w:lang w:val="es-ES_tradnl"/>
        </w:rPr>
        <w:t xml:space="preserve"> de estas muertes</w:t>
      </w:r>
      <w:r w:rsidRPr="00D228A7">
        <w:rPr>
          <w:rFonts w:ascii="Cambria" w:hAnsi="Cambria"/>
          <w:sz w:val="20"/>
          <w:szCs w:val="20"/>
          <w:lang w:val="es-ES_tradnl"/>
        </w:rPr>
        <w:t>. La persona imputada como autor intelectual fue absuelta en 1996 por el Tribunal de Jurado a solicitud del Ministerio P</w:t>
      </w:r>
      <w:r w:rsidR="0018163F">
        <w:rPr>
          <w:rFonts w:ascii="Cambria" w:hAnsi="Cambria"/>
          <w:sz w:val="20"/>
          <w:szCs w:val="20"/>
          <w:lang w:val="es-ES_tradnl"/>
        </w:rPr>
        <w:t>ú</w:t>
      </w:r>
      <w:r w:rsidRPr="00D228A7">
        <w:rPr>
          <w:rFonts w:ascii="Cambria" w:hAnsi="Cambria"/>
          <w:sz w:val="20"/>
          <w:szCs w:val="20"/>
          <w:lang w:val="es-ES_tradnl"/>
        </w:rPr>
        <w:t xml:space="preserve">blico por falta de pruebas. Posteriormente, fueron acusados por los homicidios siete miembros del grupo </w:t>
      </w:r>
      <w:r w:rsidR="0018163F">
        <w:rPr>
          <w:rFonts w:ascii="Cambria" w:hAnsi="Cambria"/>
          <w:sz w:val="20"/>
          <w:szCs w:val="20"/>
          <w:lang w:val="es-ES_tradnl"/>
        </w:rPr>
        <w:t>“</w:t>
      </w:r>
      <w:r w:rsidRPr="00D228A7">
        <w:rPr>
          <w:rFonts w:ascii="Cambria" w:hAnsi="Cambria"/>
          <w:sz w:val="20"/>
          <w:szCs w:val="20"/>
          <w:lang w:val="es-ES_tradnl"/>
        </w:rPr>
        <w:t>Caballos Corredores</w:t>
      </w:r>
      <w:r w:rsidR="0018163F">
        <w:rPr>
          <w:rFonts w:ascii="Cambria" w:hAnsi="Cambria"/>
          <w:sz w:val="20"/>
          <w:szCs w:val="20"/>
          <w:lang w:val="es-ES_tradnl"/>
        </w:rPr>
        <w:t>”</w:t>
      </w:r>
      <w:r w:rsidRPr="00D228A7">
        <w:rPr>
          <w:rFonts w:ascii="Cambria" w:hAnsi="Cambria"/>
          <w:sz w:val="20"/>
          <w:szCs w:val="20"/>
          <w:lang w:val="es-ES_tradnl"/>
        </w:rPr>
        <w:t>. Según el Ministerio P</w:t>
      </w:r>
      <w:r w:rsidR="00344844">
        <w:rPr>
          <w:rFonts w:ascii="Cambria" w:hAnsi="Cambria"/>
          <w:sz w:val="20"/>
          <w:szCs w:val="20"/>
          <w:lang w:val="es-ES_tradnl"/>
        </w:rPr>
        <w:t>ú</w:t>
      </w:r>
      <w:r w:rsidRPr="00D228A7">
        <w:rPr>
          <w:rFonts w:ascii="Cambria" w:hAnsi="Cambria"/>
          <w:sz w:val="20"/>
          <w:szCs w:val="20"/>
          <w:lang w:val="es-ES_tradnl"/>
        </w:rPr>
        <w:t xml:space="preserve">blico, el delito se cometió debido a que la señora Edméa denunció la masacre de Acarí, exponiendo las acciones criminales del grupo. El 22 de septiembre de 2014 el caso fue llevado al Tribunal de Jurado. </w:t>
      </w:r>
    </w:p>
    <w:p w14:paraId="4CDC2A92" w14:textId="77777777" w:rsidR="00B331B4" w:rsidRDefault="00B331B4" w:rsidP="00B331B4">
      <w:pPr>
        <w:spacing w:after="0" w:line="240" w:lineRule="auto"/>
        <w:ind w:firstLine="720"/>
        <w:jc w:val="both"/>
        <w:rPr>
          <w:rFonts w:ascii="Cambria" w:hAnsi="Cambria"/>
          <w:sz w:val="20"/>
          <w:szCs w:val="20"/>
          <w:lang w:val="es-ES_tradnl"/>
        </w:rPr>
      </w:pPr>
    </w:p>
    <w:p w14:paraId="355A01D3" w14:textId="77777777" w:rsidR="00B331B4" w:rsidRDefault="00B331B4" w:rsidP="00B331B4">
      <w:pPr>
        <w:spacing w:after="0" w:line="240" w:lineRule="auto"/>
        <w:jc w:val="both"/>
        <w:rPr>
          <w:rFonts w:ascii="Cambria" w:hAnsi="Cambria" w:cs="Calibri"/>
          <w:color w:val="000000"/>
          <w:sz w:val="20"/>
          <w:szCs w:val="20"/>
          <w:lang w:val="es-ES_tradnl"/>
        </w:rPr>
      </w:pPr>
    </w:p>
    <w:p w14:paraId="5904CCE0" w14:textId="77777777" w:rsidR="00B331B4" w:rsidRPr="00007A84" w:rsidRDefault="00B331B4" w:rsidP="00B331B4">
      <w:pPr>
        <w:spacing w:after="0" w:line="240" w:lineRule="auto"/>
        <w:jc w:val="both"/>
        <w:rPr>
          <w:rFonts w:ascii="Cambria" w:hAnsi="Cambria" w:cs="Calibri"/>
          <w:color w:val="000000"/>
          <w:sz w:val="20"/>
          <w:szCs w:val="20"/>
          <w:lang w:val="es-ES_tradnl"/>
        </w:rPr>
      </w:pPr>
      <w:r w:rsidRPr="00007A84">
        <w:rPr>
          <w:rFonts w:ascii="Cambria" w:hAnsi="Cambria" w:cs="Calibri"/>
          <w:color w:val="000000"/>
          <w:sz w:val="20"/>
          <w:szCs w:val="20"/>
          <w:lang w:val="es-ES_tradnl"/>
        </w:rPr>
        <w:t>Señor</w:t>
      </w:r>
    </w:p>
    <w:p w14:paraId="28348352" w14:textId="77777777" w:rsidR="00B331B4" w:rsidRPr="00007A84" w:rsidRDefault="00B331B4" w:rsidP="00B331B4">
      <w:pPr>
        <w:spacing w:after="0" w:line="240" w:lineRule="auto"/>
        <w:jc w:val="both"/>
        <w:rPr>
          <w:rFonts w:ascii="Cambria" w:hAnsi="Cambria" w:cs="Calibri"/>
          <w:color w:val="000000"/>
          <w:sz w:val="20"/>
          <w:szCs w:val="20"/>
          <w:lang w:val="es-ES_tradnl"/>
        </w:rPr>
      </w:pPr>
      <w:r w:rsidRPr="00007A84">
        <w:rPr>
          <w:rFonts w:ascii="Cambria" w:hAnsi="Cambria" w:cs="Calibri"/>
          <w:color w:val="000000"/>
          <w:sz w:val="20"/>
          <w:szCs w:val="20"/>
          <w:lang w:val="es-ES_tradnl"/>
        </w:rPr>
        <w:t>Pablo Saavedra Alessandri</w:t>
      </w:r>
    </w:p>
    <w:p w14:paraId="019EA162" w14:textId="77777777" w:rsidR="00B331B4" w:rsidRPr="00007A84" w:rsidRDefault="00B331B4" w:rsidP="00B331B4">
      <w:pPr>
        <w:spacing w:after="0" w:line="240" w:lineRule="auto"/>
        <w:jc w:val="both"/>
        <w:rPr>
          <w:rFonts w:ascii="Cambria" w:hAnsi="Cambria" w:cs="Calibri"/>
          <w:color w:val="000000"/>
          <w:sz w:val="20"/>
          <w:szCs w:val="20"/>
          <w:lang w:val="es-ES_tradnl"/>
        </w:rPr>
      </w:pPr>
      <w:r w:rsidRPr="00007A84">
        <w:rPr>
          <w:rFonts w:ascii="Cambria" w:hAnsi="Cambria" w:cs="Calibri"/>
          <w:color w:val="000000"/>
          <w:sz w:val="20"/>
          <w:szCs w:val="20"/>
          <w:lang w:val="es-ES_tradnl"/>
        </w:rPr>
        <w:t>Secretario</w:t>
      </w:r>
    </w:p>
    <w:p w14:paraId="3DA1CFBE" w14:textId="77777777" w:rsidR="00B331B4" w:rsidRPr="00007A84" w:rsidRDefault="00B331B4" w:rsidP="00B331B4">
      <w:pPr>
        <w:spacing w:after="0" w:line="240" w:lineRule="auto"/>
        <w:jc w:val="both"/>
        <w:rPr>
          <w:rFonts w:ascii="Cambria" w:hAnsi="Cambria" w:cs="Calibri"/>
          <w:color w:val="000000"/>
          <w:sz w:val="20"/>
          <w:szCs w:val="20"/>
          <w:lang w:val="es-ES_tradnl"/>
        </w:rPr>
      </w:pPr>
      <w:r w:rsidRPr="00007A84">
        <w:rPr>
          <w:rFonts w:ascii="Cambria" w:hAnsi="Cambria" w:cs="Calibri"/>
          <w:color w:val="000000"/>
          <w:sz w:val="20"/>
          <w:szCs w:val="20"/>
          <w:lang w:val="es-ES_tradnl"/>
        </w:rPr>
        <w:t>Corte Interamericana de Derechos Humanos</w:t>
      </w:r>
    </w:p>
    <w:p w14:paraId="03AB8D23" w14:textId="77777777" w:rsidR="00B331B4" w:rsidRPr="00D228A7" w:rsidRDefault="00B331B4" w:rsidP="00B331B4">
      <w:pPr>
        <w:spacing w:after="0" w:line="240" w:lineRule="auto"/>
        <w:jc w:val="both"/>
        <w:rPr>
          <w:rFonts w:ascii="Cambria" w:hAnsi="Cambria"/>
          <w:b/>
          <w:bCs/>
          <w:sz w:val="20"/>
          <w:szCs w:val="20"/>
          <w:lang w:val="es-ES"/>
        </w:rPr>
      </w:pPr>
      <w:r w:rsidRPr="00007A84">
        <w:rPr>
          <w:rFonts w:ascii="Cambria" w:hAnsi="Cambria" w:cs="Calibri"/>
          <w:color w:val="000000"/>
          <w:sz w:val="20"/>
          <w:szCs w:val="20"/>
          <w:lang w:val="es-ES_tradnl"/>
        </w:rPr>
        <w:t>San José, Costa Rica</w:t>
      </w:r>
    </w:p>
    <w:p w14:paraId="67521FE0" w14:textId="77777777" w:rsidR="00B331B4" w:rsidRPr="00D228A7" w:rsidRDefault="00B331B4" w:rsidP="00B331B4">
      <w:pPr>
        <w:spacing w:after="0" w:line="240" w:lineRule="auto"/>
        <w:ind w:firstLine="720"/>
        <w:jc w:val="both"/>
        <w:rPr>
          <w:rFonts w:ascii="Cambria" w:hAnsi="Cambria"/>
          <w:sz w:val="20"/>
          <w:szCs w:val="20"/>
          <w:lang w:val="es-ES_tradnl"/>
        </w:rPr>
      </w:pPr>
      <w:r>
        <w:rPr>
          <w:rFonts w:ascii="Cambria" w:hAnsi="Cambria"/>
          <w:sz w:val="20"/>
          <w:szCs w:val="20"/>
          <w:lang w:val="es-US"/>
        </w:rPr>
        <w:br w:type="page"/>
      </w:r>
      <w:r w:rsidRPr="00D228A7">
        <w:rPr>
          <w:rFonts w:ascii="Cambria" w:hAnsi="Cambria"/>
          <w:sz w:val="20"/>
          <w:szCs w:val="20"/>
          <w:lang w:val="es-US"/>
        </w:rPr>
        <w:lastRenderedPageBreak/>
        <w:t xml:space="preserve">En su Informe de </w:t>
      </w:r>
      <w:r w:rsidR="0012238D">
        <w:rPr>
          <w:rFonts w:ascii="Cambria" w:hAnsi="Cambria"/>
          <w:sz w:val="20"/>
          <w:szCs w:val="20"/>
          <w:lang w:val="es-US"/>
        </w:rPr>
        <w:t xml:space="preserve">Admisibilidad y </w:t>
      </w:r>
      <w:r w:rsidRPr="00D228A7">
        <w:rPr>
          <w:rFonts w:ascii="Cambria" w:hAnsi="Cambria"/>
          <w:sz w:val="20"/>
          <w:szCs w:val="20"/>
          <w:lang w:val="es-US"/>
        </w:rPr>
        <w:t xml:space="preserve">Fondo la Comisión consideró </w:t>
      </w:r>
      <w:r w:rsidRPr="00D228A7">
        <w:rPr>
          <w:rFonts w:ascii="Cambria" w:hAnsi="Cambria"/>
          <w:bCs/>
          <w:sz w:val="20"/>
          <w:szCs w:val="20"/>
          <w:lang w:val="es-ES_tradnl"/>
        </w:rPr>
        <w:t>suficientemente acreditado</w:t>
      </w:r>
      <w:r w:rsidRPr="00D228A7">
        <w:rPr>
          <w:rFonts w:ascii="Cambria" w:hAnsi="Cambria"/>
          <w:sz w:val="20"/>
          <w:szCs w:val="20"/>
          <w:lang w:val="es-US"/>
        </w:rPr>
        <w:t xml:space="preserve"> que </w:t>
      </w:r>
      <w:r w:rsidRPr="00D228A7">
        <w:rPr>
          <w:rFonts w:ascii="Cambria" w:hAnsi="Cambria"/>
          <w:bCs/>
          <w:sz w:val="20"/>
          <w:szCs w:val="20"/>
          <w:lang w:val="es-ES_tradnl"/>
        </w:rPr>
        <w:t xml:space="preserve">lo ocurrido a las víctimas constituyó una desaparición forzada, dado que </w:t>
      </w:r>
      <w:r w:rsidRPr="00D228A7">
        <w:rPr>
          <w:rFonts w:ascii="Cambria" w:hAnsi="Cambria"/>
          <w:sz w:val="20"/>
          <w:szCs w:val="20"/>
          <w:lang w:val="es-ES_tradnl"/>
        </w:rPr>
        <w:t xml:space="preserve">las privaciones de libertad fueron ejecutadas con la participación de agentes estatales y </w:t>
      </w:r>
      <w:r w:rsidRPr="00D228A7">
        <w:rPr>
          <w:rFonts w:ascii="Cambria" w:hAnsi="Cambria"/>
          <w:sz w:val="20"/>
          <w:szCs w:val="20"/>
          <w:lang w:val="es-AR"/>
        </w:rPr>
        <w:t>la falta de investigación efectiva por parte del Estado operó como un mecanismo para encubrir la responsabilidad de los autores de los hechos. Agregó que dicha situación</w:t>
      </w:r>
      <w:r w:rsidRPr="00D228A7">
        <w:rPr>
          <w:rFonts w:ascii="Cambria" w:hAnsi="Cambria"/>
          <w:sz w:val="20"/>
          <w:szCs w:val="20"/>
          <w:lang w:val="es-ES_tradnl"/>
        </w:rPr>
        <w:t xml:space="preserve"> continua hasta el presente, al no haberse determinado el paradero o destino de las víctimas. Asimismo, teniendo en cuenta que algunas de las víctimas eran niñas y niños, concluyó que el Estado violó</w:t>
      </w:r>
      <w:r w:rsidR="00344844">
        <w:rPr>
          <w:rFonts w:ascii="Cambria" w:hAnsi="Cambria"/>
          <w:sz w:val="20"/>
          <w:szCs w:val="20"/>
          <w:lang w:val="es-ES_tradnl"/>
        </w:rPr>
        <w:t xml:space="preserve"> además </w:t>
      </w:r>
      <w:r w:rsidRPr="00D228A7">
        <w:rPr>
          <w:rFonts w:ascii="Cambria" w:hAnsi="Cambria"/>
          <w:sz w:val="20"/>
          <w:szCs w:val="20"/>
          <w:lang w:val="es-ES_tradnl"/>
        </w:rPr>
        <w:t xml:space="preserve">los derechos reconocidos en el artículo 19 de la Convención Americana, al no haber adoptado las medidas reforzadas de protección que ameritaba su interés superior. </w:t>
      </w:r>
    </w:p>
    <w:p w14:paraId="549DBC00" w14:textId="77777777" w:rsidR="00B331B4" w:rsidRPr="00D228A7" w:rsidRDefault="00B331B4" w:rsidP="00B331B4">
      <w:pPr>
        <w:spacing w:after="0" w:line="240" w:lineRule="auto"/>
        <w:jc w:val="both"/>
        <w:rPr>
          <w:rFonts w:ascii="Cambria" w:hAnsi="Cambria"/>
          <w:sz w:val="20"/>
          <w:szCs w:val="20"/>
          <w:lang w:val="es-AR"/>
        </w:rPr>
      </w:pPr>
    </w:p>
    <w:p w14:paraId="42422DDB" w14:textId="77777777" w:rsidR="00B331B4" w:rsidRPr="00D228A7" w:rsidRDefault="00344844" w:rsidP="00344844">
      <w:pPr>
        <w:spacing w:after="0" w:line="240" w:lineRule="auto"/>
        <w:ind w:firstLine="720"/>
        <w:jc w:val="both"/>
        <w:rPr>
          <w:rFonts w:ascii="Cambria" w:hAnsi="Cambria"/>
          <w:sz w:val="20"/>
          <w:szCs w:val="20"/>
          <w:lang w:val="es-ES"/>
        </w:rPr>
      </w:pPr>
      <w:r>
        <w:rPr>
          <w:rFonts w:ascii="Cambria" w:hAnsi="Cambria"/>
          <w:sz w:val="20"/>
          <w:szCs w:val="20"/>
          <w:lang w:val="es-ES_tradnl"/>
        </w:rPr>
        <w:t>Por otra parte</w:t>
      </w:r>
      <w:r w:rsidR="00B331B4" w:rsidRPr="00D228A7">
        <w:rPr>
          <w:rFonts w:ascii="Cambria" w:hAnsi="Cambria"/>
          <w:sz w:val="20"/>
          <w:szCs w:val="20"/>
          <w:lang w:val="es-ES_tradnl"/>
        </w:rPr>
        <w:t xml:space="preserve">, la Comisión estableció </w:t>
      </w:r>
      <w:r w:rsidR="00B331B4" w:rsidRPr="00D228A7">
        <w:rPr>
          <w:rFonts w:ascii="Cambria" w:hAnsi="Cambria"/>
          <w:sz w:val="20"/>
          <w:szCs w:val="20"/>
          <w:lang w:val="es-AR"/>
        </w:rPr>
        <w:t xml:space="preserve">que el Estado </w:t>
      </w:r>
      <w:r w:rsidR="00B331B4" w:rsidRPr="00D228A7">
        <w:rPr>
          <w:rFonts w:ascii="Cambria" w:hAnsi="Cambria"/>
          <w:sz w:val="20"/>
          <w:szCs w:val="20"/>
          <w:lang w:val="es-ES_tradnl"/>
        </w:rPr>
        <w:t xml:space="preserve">incumplió su obligación de investigar, juzgar y sancionar, en un plazo razonable y con la debida diligencia, las desapariciones forzadas. La CIDH observó que la investigación policial </w:t>
      </w:r>
      <w:r w:rsidR="00FA3D53">
        <w:rPr>
          <w:rFonts w:ascii="Cambria" w:hAnsi="Cambria"/>
          <w:sz w:val="20"/>
          <w:szCs w:val="20"/>
          <w:lang w:val="es-ES_tradnl"/>
        </w:rPr>
        <w:t>duró</w:t>
      </w:r>
      <w:r w:rsidR="00B331B4" w:rsidRPr="00D228A7">
        <w:rPr>
          <w:rFonts w:ascii="Cambria" w:hAnsi="Cambria"/>
          <w:sz w:val="20"/>
          <w:szCs w:val="20"/>
          <w:lang w:val="es-ES_tradnl"/>
        </w:rPr>
        <w:t xml:space="preserve"> casi 20 años, con diversos periodos de demora, </w:t>
      </w:r>
      <w:r w:rsidR="00FA3D53">
        <w:rPr>
          <w:rFonts w:ascii="Cambria" w:hAnsi="Cambria"/>
          <w:sz w:val="20"/>
          <w:szCs w:val="20"/>
          <w:lang w:val="es-ES_tradnl"/>
        </w:rPr>
        <w:t xml:space="preserve">con </w:t>
      </w:r>
      <w:r w:rsidR="00B331B4" w:rsidRPr="00D228A7">
        <w:rPr>
          <w:rFonts w:ascii="Cambria" w:hAnsi="Cambria"/>
          <w:sz w:val="20"/>
          <w:szCs w:val="20"/>
          <w:lang w:val="es-ES_tradnl"/>
        </w:rPr>
        <w:t xml:space="preserve">fallas en la inmediatez de las diligencias y las técnicas utilizadas y con una evaluación tardía de las pruebas. La Comisión señaló que la investigación fue archivada sin que el paradero de las víctimas fuera determinado y sin que ninguna persona fuera efectivamente responsabilizada por las violaciones, a pesar de los claros indicios de la participación de agentes estatales. Indicó además que no se inició una investigación en relación con la denunciada violación sexual que habrían sufrido las mujeres desparecidas. Finalmente, la Comisión observó que el Estado no incorporó </w:t>
      </w:r>
      <w:r w:rsidR="00B331B4" w:rsidRPr="00D228A7">
        <w:rPr>
          <w:rFonts w:ascii="Cambria" w:hAnsi="Cambria"/>
          <w:sz w:val="20"/>
          <w:szCs w:val="20"/>
          <w:lang w:val="es-ES"/>
        </w:rPr>
        <w:t xml:space="preserve">el tipo penal de desaparición forzada en su legislación. </w:t>
      </w:r>
      <w:r w:rsidR="00B331B4" w:rsidRPr="00D228A7">
        <w:rPr>
          <w:rFonts w:ascii="Cambria" w:hAnsi="Cambria"/>
          <w:sz w:val="20"/>
          <w:szCs w:val="20"/>
          <w:lang w:val="es-ES_tradnl"/>
        </w:rPr>
        <w:t xml:space="preserve">La Comisión concluyó que el Estado </w:t>
      </w:r>
      <w:r w:rsidR="00B331B4" w:rsidRPr="00D228A7">
        <w:rPr>
          <w:rFonts w:ascii="Cambria" w:hAnsi="Cambria"/>
          <w:sz w:val="20"/>
          <w:szCs w:val="20"/>
          <w:lang w:val="es-AR"/>
        </w:rPr>
        <w:t>violó el derecho a las garantías judiciales y la protección judicial y el derecho a la igualdad ante la ley en perjuicio de las víctimas y que incumplió con l</w:t>
      </w:r>
      <w:r w:rsidR="00B331B4" w:rsidRPr="00D228A7">
        <w:rPr>
          <w:rFonts w:ascii="Cambria" w:hAnsi="Cambria"/>
          <w:sz w:val="20"/>
          <w:szCs w:val="20"/>
          <w:lang w:val="es-ES"/>
        </w:rPr>
        <w:t xml:space="preserve">a obligación de adoptar disposiciones de derecho interno. </w:t>
      </w:r>
      <w:r w:rsidR="00FA3D53">
        <w:rPr>
          <w:rFonts w:ascii="Cambria" w:hAnsi="Cambria"/>
          <w:sz w:val="20"/>
          <w:szCs w:val="20"/>
          <w:lang w:val="es-ES"/>
        </w:rPr>
        <w:t xml:space="preserve"> </w:t>
      </w:r>
    </w:p>
    <w:p w14:paraId="7FE60CF0" w14:textId="77777777" w:rsidR="00B331B4" w:rsidRPr="00D228A7" w:rsidRDefault="00B331B4" w:rsidP="00B331B4">
      <w:pPr>
        <w:spacing w:after="0" w:line="240" w:lineRule="auto"/>
        <w:jc w:val="both"/>
        <w:rPr>
          <w:rFonts w:ascii="Cambria" w:hAnsi="Cambria"/>
          <w:sz w:val="20"/>
          <w:szCs w:val="20"/>
          <w:lang w:val="es-ES_tradnl"/>
        </w:rPr>
      </w:pPr>
    </w:p>
    <w:p w14:paraId="378B3FFC" w14:textId="77777777" w:rsidR="00B331B4" w:rsidRPr="00D228A7" w:rsidRDefault="00B331B4" w:rsidP="00FA3D53">
      <w:pPr>
        <w:spacing w:after="0" w:line="240" w:lineRule="auto"/>
        <w:ind w:firstLine="720"/>
        <w:jc w:val="both"/>
        <w:rPr>
          <w:rFonts w:ascii="Cambria" w:hAnsi="Cambria"/>
          <w:sz w:val="20"/>
          <w:szCs w:val="20"/>
          <w:lang w:val="es-ES_tradnl"/>
        </w:rPr>
      </w:pPr>
      <w:r w:rsidRPr="00D228A7">
        <w:rPr>
          <w:rFonts w:ascii="Cambria" w:hAnsi="Cambria"/>
          <w:sz w:val="20"/>
          <w:szCs w:val="20"/>
          <w:lang w:val="es-ES_tradnl"/>
        </w:rPr>
        <w:t xml:space="preserve">Por otra parte, observó </w:t>
      </w:r>
      <w:r w:rsidR="00FA3D53">
        <w:rPr>
          <w:rFonts w:ascii="Cambria" w:hAnsi="Cambria"/>
          <w:sz w:val="20"/>
          <w:szCs w:val="20"/>
          <w:lang w:val="es-ES_tradnl"/>
        </w:rPr>
        <w:t>la existencia de un</w:t>
      </w:r>
      <w:r w:rsidRPr="00D228A7">
        <w:rPr>
          <w:rFonts w:ascii="Cambria" w:hAnsi="Cambria"/>
          <w:sz w:val="20"/>
          <w:szCs w:val="20"/>
          <w:lang w:val="es-ES_tradnl"/>
        </w:rPr>
        <w:t xml:space="preserve"> nexo causal entre el asesinato de </w:t>
      </w:r>
      <w:bookmarkStart w:id="3" w:name="_Hlk86309813"/>
      <w:r w:rsidRPr="00D228A7">
        <w:rPr>
          <w:rFonts w:ascii="Cambria" w:hAnsi="Cambria"/>
          <w:sz w:val="20"/>
          <w:szCs w:val="20"/>
          <w:lang w:val="es-ES_tradnl"/>
        </w:rPr>
        <w:t xml:space="preserve">Edméa da Silva Euzébio y de Sheila Conceição </w:t>
      </w:r>
      <w:bookmarkEnd w:id="3"/>
      <w:r w:rsidR="00FA3D53">
        <w:rPr>
          <w:rFonts w:ascii="Cambria" w:hAnsi="Cambria"/>
          <w:sz w:val="20"/>
          <w:szCs w:val="20"/>
          <w:lang w:val="es-VE"/>
        </w:rPr>
        <w:t>y</w:t>
      </w:r>
      <w:r w:rsidRPr="00D228A7">
        <w:rPr>
          <w:rFonts w:ascii="Cambria" w:hAnsi="Cambria"/>
          <w:sz w:val="20"/>
          <w:szCs w:val="20"/>
          <w:lang w:val="es-VE"/>
        </w:rPr>
        <w:t xml:space="preserve"> la desaparición de las víctimas y su labor en “Madres de Acarí”, movimiento de madres de víctimas de violencia institucional. </w:t>
      </w:r>
      <w:r w:rsidR="00FA3D53">
        <w:rPr>
          <w:rFonts w:ascii="Cambria" w:hAnsi="Cambria"/>
          <w:sz w:val="20"/>
          <w:szCs w:val="20"/>
          <w:lang w:val="es-VE"/>
        </w:rPr>
        <w:t>La Comisión consideró</w:t>
      </w:r>
      <w:r w:rsidRPr="00D228A7">
        <w:rPr>
          <w:rFonts w:ascii="Cambria" w:hAnsi="Cambria"/>
          <w:sz w:val="20"/>
          <w:szCs w:val="20"/>
          <w:lang w:val="es-VE"/>
        </w:rPr>
        <w:t xml:space="preserve"> que </w:t>
      </w:r>
      <w:bookmarkStart w:id="4" w:name="_Hlk86309952"/>
      <w:r w:rsidRPr="00D228A7">
        <w:rPr>
          <w:rFonts w:ascii="Cambria" w:hAnsi="Cambria"/>
          <w:sz w:val="20"/>
          <w:szCs w:val="20"/>
          <w:lang w:val="es-ES_tradnl"/>
        </w:rPr>
        <w:t>Edméa Euzébio</w:t>
      </w:r>
      <w:bookmarkEnd w:id="4"/>
      <w:r w:rsidRPr="00D228A7">
        <w:rPr>
          <w:rFonts w:ascii="Cambria" w:hAnsi="Cambria"/>
          <w:sz w:val="20"/>
          <w:szCs w:val="20"/>
          <w:lang w:val="es-ES_tradnl"/>
        </w:rPr>
        <w:t xml:space="preserve"> </w:t>
      </w:r>
      <w:r w:rsidRPr="00D228A7">
        <w:rPr>
          <w:rFonts w:ascii="Cambria" w:hAnsi="Cambria"/>
          <w:sz w:val="20"/>
          <w:szCs w:val="20"/>
          <w:lang w:val="es-CO"/>
        </w:rPr>
        <w:t xml:space="preserve">estaba expuesta a una situación de especial riesgo en virtud de su calidad de defensora de derechos humanos y de su participación activa en la denuncia y búsqueda de </w:t>
      </w:r>
      <w:r w:rsidR="00FA3D53">
        <w:rPr>
          <w:rFonts w:ascii="Cambria" w:hAnsi="Cambria"/>
          <w:sz w:val="20"/>
          <w:szCs w:val="20"/>
          <w:lang w:val="es-CO"/>
        </w:rPr>
        <w:t>justicia por</w:t>
      </w:r>
      <w:r w:rsidRPr="00D228A7">
        <w:rPr>
          <w:rFonts w:ascii="Cambria" w:hAnsi="Cambria"/>
          <w:sz w:val="20"/>
          <w:szCs w:val="20"/>
          <w:lang w:val="es-CO"/>
        </w:rPr>
        <w:t xml:space="preserve"> la desaparición de su hijo. Sumado a ello, la Comisión determinó que </w:t>
      </w:r>
      <w:r w:rsidRPr="00D228A7">
        <w:rPr>
          <w:rFonts w:ascii="Cambria" w:hAnsi="Cambria"/>
          <w:sz w:val="20"/>
          <w:szCs w:val="20"/>
          <w:lang w:val="es-MX"/>
        </w:rPr>
        <w:t xml:space="preserve">el Estado no actuó de manera diligente para dilucidar la verdad de los hechos ni vincularlos con el expediente seguido por las desapariciones y que, habiendo transcurrido 28 años de los mismos, existe una prolongación irrazonable de la situación de impunidad. La Comisión concluyó que </w:t>
      </w:r>
      <w:r w:rsidRPr="00D228A7">
        <w:rPr>
          <w:rFonts w:ascii="Cambria" w:hAnsi="Cambria"/>
          <w:sz w:val="20"/>
          <w:szCs w:val="20"/>
          <w:lang w:val="es-CO"/>
        </w:rPr>
        <w:t xml:space="preserve">el </w:t>
      </w:r>
      <w:r w:rsidRPr="00D228A7">
        <w:rPr>
          <w:rFonts w:ascii="Cambria" w:hAnsi="Cambria"/>
          <w:sz w:val="20"/>
          <w:szCs w:val="20"/>
          <w:lang w:val="es-ES_tradnl"/>
        </w:rPr>
        <w:t>Estado es responsable por la violación del derecho a la vida, a la libertad de expresión, a la libertad de reunión, a las garantías judiciales y a la protección judicial en perjuicio de Edméa da Silva Euzébio y Sheila Conceição.</w:t>
      </w:r>
    </w:p>
    <w:p w14:paraId="7422767E" w14:textId="77777777" w:rsidR="00B331B4" w:rsidRPr="00D228A7" w:rsidRDefault="00B331B4" w:rsidP="00B331B4">
      <w:pPr>
        <w:spacing w:after="0" w:line="240" w:lineRule="auto"/>
        <w:jc w:val="both"/>
        <w:rPr>
          <w:rFonts w:ascii="Cambria" w:hAnsi="Cambria"/>
          <w:sz w:val="20"/>
          <w:szCs w:val="20"/>
          <w:lang w:val="es-ES_tradnl"/>
        </w:rPr>
      </w:pPr>
    </w:p>
    <w:p w14:paraId="6928B8B5" w14:textId="77777777" w:rsidR="00B331B4" w:rsidRPr="00D228A7" w:rsidRDefault="00B331B4" w:rsidP="00FA3D53">
      <w:pPr>
        <w:spacing w:after="0" w:line="240" w:lineRule="auto"/>
        <w:ind w:firstLine="720"/>
        <w:jc w:val="both"/>
        <w:rPr>
          <w:rFonts w:ascii="Cambria" w:hAnsi="Cambria"/>
          <w:sz w:val="20"/>
          <w:szCs w:val="20"/>
          <w:lang w:val="es-ES"/>
        </w:rPr>
      </w:pPr>
      <w:r w:rsidRPr="00D228A7">
        <w:rPr>
          <w:rFonts w:ascii="Cambria" w:hAnsi="Cambria"/>
          <w:sz w:val="20"/>
          <w:szCs w:val="20"/>
          <w:lang w:val="es-ES"/>
        </w:rPr>
        <w:t xml:space="preserve">Finalmente, la Comisión entendió que la desaparición forzada de las víctimas, </w:t>
      </w:r>
      <w:r w:rsidRPr="00D228A7">
        <w:rPr>
          <w:rFonts w:ascii="Cambria" w:hAnsi="Cambria"/>
          <w:sz w:val="20"/>
          <w:szCs w:val="20"/>
          <w:lang w:val="es-ES_tradnl"/>
        </w:rPr>
        <w:t xml:space="preserve">la incertidumbre de su destino y la ausencia de verdad y justicia ocasionaron sufrimiento y angustia en perjuicio de sus familiares, en violación de su derecho a la integridad psíquica y moral. </w:t>
      </w:r>
    </w:p>
    <w:p w14:paraId="5A42D82F" w14:textId="77777777" w:rsidR="00B331B4" w:rsidRPr="00D228A7" w:rsidRDefault="00B331B4" w:rsidP="00B331B4">
      <w:pPr>
        <w:spacing w:after="0" w:line="240" w:lineRule="auto"/>
        <w:jc w:val="both"/>
        <w:rPr>
          <w:rFonts w:ascii="Cambria" w:hAnsi="Cambria"/>
          <w:b/>
          <w:bCs/>
          <w:sz w:val="20"/>
          <w:szCs w:val="20"/>
          <w:lang w:val="es-ES"/>
        </w:rPr>
      </w:pPr>
    </w:p>
    <w:p w14:paraId="516C7A82" w14:textId="77777777" w:rsidR="00B331B4" w:rsidRPr="00D35B40" w:rsidRDefault="00B331B4" w:rsidP="00D35B40">
      <w:pPr>
        <w:spacing w:after="0" w:line="240" w:lineRule="auto"/>
        <w:ind w:firstLine="720"/>
        <w:jc w:val="both"/>
        <w:rPr>
          <w:rFonts w:ascii="Cambria" w:eastAsia="Times New Roman" w:hAnsi="Cambria" w:cs="Calibri"/>
          <w:color w:val="000000"/>
          <w:sz w:val="20"/>
          <w:szCs w:val="20"/>
          <w:lang w:val="es-ES_tradnl"/>
        </w:rPr>
      </w:pPr>
      <w:r w:rsidRPr="00D228A7">
        <w:rPr>
          <w:rFonts w:ascii="Cambria" w:hAnsi="Cambria"/>
          <w:sz w:val="20"/>
          <w:szCs w:val="20"/>
          <w:lang w:val="es-US"/>
        </w:rPr>
        <w:t xml:space="preserve">Con base en todo lo anterior, la Comisión determinó que </w:t>
      </w:r>
      <w:r w:rsidRPr="00D228A7">
        <w:rPr>
          <w:rFonts w:ascii="Cambria" w:hAnsi="Cambria"/>
          <w:sz w:val="20"/>
          <w:szCs w:val="20"/>
          <w:lang w:val="es-MX"/>
        </w:rPr>
        <w:t>el Estado</w:t>
      </w:r>
      <w:r w:rsidRPr="00D228A7">
        <w:rPr>
          <w:rFonts w:ascii="Cambria" w:hAnsi="Cambria"/>
          <w:sz w:val="20"/>
          <w:szCs w:val="20"/>
          <w:lang w:val="es-ES_tradnl"/>
        </w:rPr>
        <w:t xml:space="preserve"> brasileño es responsable por la violación de los artículos II, XVIII y XXIII de la Declaración Americana; de los artículos 3, 4, 5, 8</w:t>
      </w:r>
      <w:r w:rsidR="009C60C8">
        <w:rPr>
          <w:rFonts w:ascii="Cambria" w:hAnsi="Cambria"/>
          <w:sz w:val="20"/>
          <w:szCs w:val="20"/>
          <w:lang w:val="es-ES_tradnl"/>
        </w:rPr>
        <w:t>,</w:t>
      </w:r>
      <w:r w:rsidRPr="00D228A7">
        <w:rPr>
          <w:rFonts w:ascii="Cambria" w:hAnsi="Cambria"/>
          <w:sz w:val="20"/>
          <w:szCs w:val="20"/>
          <w:lang w:val="es-ES_tradnl"/>
        </w:rPr>
        <w:t xml:space="preserve"> 13, 16, 19, 24 y 25 de la Convención Americana en relación con sus artículos 1.1 y 2; de los artículos I.a, b y d, y III de la </w:t>
      </w:r>
      <w:r w:rsidR="00D768DE">
        <w:rPr>
          <w:rFonts w:ascii="Cambria" w:hAnsi="Cambria"/>
          <w:sz w:val="20"/>
          <w:szCs w:val="20"/>
          <w:lang w:val="es-ES_tradnl"/>
        </w:rPr>
        <w:t>Convención Interamericana sobre Desaparición Forzada de Personas</w:t>
      </w:r>
      <w:r w:rsidRPr="00D228A7">
        <w:rPr>
          <w:rFonts w:ascii="Cambria" w:hAnsi="Cambria"/>
          <w:sz w:val="20"/>
          <w:szCs w:val="20"/>
          <w:lang w:val="es-ES_tradnl"/>
        </w:rPr>
        <w:t xml:space="preserve">; y de los artículos 7.b) y 7.f) de la </w:t>
      </w:r>
      <w:r w:rsidR="006D69F4">
        <w:rPr>
          <w:rFonts w:ascii="Cambria" w:hAnsi="Cambria"/>
          <w:sz w:val="20"/>
          <w:szCs w:val="20"/>
          <w:lang w:val="es-ES_tradnl"/>
        </w:rPr>
        <w:t>Interamericana para Prevenir, Sancionar y Erradicar la Violencia contra la Mujer “</w:t>
      </w:r>
      <w:r w:rsidRPr="00D228A7">
        <w:rPr>
          <w:rFonts w:ascii="Cambria" w:hAnsi="Cambria"/>
          <w:sz w:val="20"/>
          <w:szCs w:val="20"/>
          <w:lang w:val="es-ES_tradnl"/>
        </w:rPr>
        <w:t xml:space="preserve">Convención de </w:t>
      </w:r>
      <w:bookmarkStart w:id="5" w:name="_Hlk86310428"/>
      <w:r w:rsidRPr="00D228A7">
        <w:rPr>
          <w:rFonts w:ascii="Cambria" w:hAnsi="Cambria"/>
          <w:sz w:val="20"/>
          <w:szCs w:val="20"/>
          <w:lang w:val="es-ES_tradnl"/>
        </w:rPr>
        <w:t>Belém do Pará</w:t>
      </w:r>
      <w:r w:rsidR="006D69F4">
        <w:rPr>
          <w:rFonts w:ascii="Cambria" w:hAnsi="Cambria"/>
          <w:sz w:val="20"/>
          <w:szCs w:val="20"/>
          <w:lang w:val="es-ES_tradnl"/>
        </w:rPr>
        <w:t>”</w:t>
      </w:r>
      <w:r w:rsidRPr="00D228A7">
        <w:rPr>
          <w:rFonts w:ascii="Cambria" w:hAnsi="Cambria"/>
          <w:sz w:val="20"/>
          <w:szCs w:val="20"/>
          <w:lang w:val="es-ES_tradnl"/>
        </w:rPr>
        <w:t xml:space="preserve">. </w:t>
      </w:r>
      <w:bookmarkEnd w:id="5"/>
    </w:p>
    <w:p w14:paraId="49A4BB98" w14:textId="77777777" w:rsidR="00454DBC" w:rsidRPr="00D35B40" w:rsidRDefault="00454DBC" w:rsidP="00D35B40">
      <w:pPr>
        <w:pStyle w:val="parrafos"/>
        <w:tabs>
          <w:tab w:val="left" w:pos="360"/>
        </w:tabs>
        <w:rPr>
          <w:rFonts w:eastAsia="Times New Roman" w:cs="Calibri"/>
          <w:bdr w:val="none" w:sz="0" w:space="0" w:color="auto"/>
          <w:lang w:val="es-ES_tradnl"/>
        </w:rPr>
      </w:pPr>
    </w:p>
    <w:p w14:paraId="4FBDA569" w14:textId="77777777" w:rsidR="00292E9E" w:rsidRPr="00D35B40" w:rsidRDefault="0075115D" w:rsidP="00D35B40">
      <w:pPr>
        <w:pStyle w:val="HTMLPreformatted"/>
        <w:tabs>
          <w:tab w:val="clear" w:pos="916"/>
          <w:tab w:val="left" w:pos="720"/>
        </w:tabs>
        <w:jc w:val="both"/>
        <w:rPr>
          <w:rFonts w:ascii="Cambria" w:hAnsi="Cambria" w:cs="Calibri"/>
          <w:color w:val="000000"/>
          <w:lang w:val="es-ES_tradnl"/>
        </w:rPr>
      </w:pPr>
      <w:r w:rsidRPr="00D35B40">
        <w:rPr>
          <w:rFonts w:ascii="Cambria" w:hAnsi="Cambria" w:cs="Calibri"/>
          <w:color w:val="000000"/>
          <w:lang w:val="es-ES_tradnl"/>
        </w:rPr>
        <w:tab/>
      </w:r>
      <w:r w:rsidR="00292E9E" w:rsidRPr="00007A84">
        <w:rPr>
          <w:rFonts w:ascii="Cambria" w:hAnsi="Cambria" w:cs="Calibri"/>
          <w:color w:val="000000"/>
          <w:lang w:val="es-ES_tradnl"/>
        </w:rPr>
        <w:t xml:space="preserve">El Estado de Brasil </w:t>
      </w:r>
      <w:r w:rsidR="006D69F4">
        <w:rPr>
          <w:rFonts w:ascii="Cambria" w:hAnsi="Cambria" w:cs="Calibri"/>
          <w:color w:val="000000"/>
          <w:lang w:val="es-ES_tradnl"/>
        </w:rPr>
        <w:t>depositó el instrumento de ratificación de</w:t>
      </w:r>
      <w:r w:rsidR="00292E9E" w:rsidRPr="00007A84">
        <w:rPr>
          <w:rFonts w:ascii="Cambria" w:hAnsi="Cambria" w:cs="Calibri"/>
          <w:color w:val="000000"/>
          <w:lang w:val="es-ES_tradnl"/>
        </w:rPr>
        <w:t xml:space="preserve"> la Convención Americana sobre Derechos Humanos el </w:t>
      </w:r>
      <w:r w:rsidR="00F52C72" w:rsidRPr="00007A84">
        <w:rPr>
          <w:rFonts w:ascii="Cambria" w:hAnsi="Cambria" w:cs="Calibri"/>
          <w:color w:val="000000"/>
          <w:lang w:val="es-ES_tradnl"/>
        </w:rPr>
        <w:t xml:space="preserve">25 </w:t>
      </w:r>
      <w:r w:rsidR="00292E9E" w:rsidRPr="00007A84">
        <w:rPr>
          <w:rFonts w:ascii="Cambria" w:hAnsi="Cambria" w:cs="Calibri"/>
          <w:color w:val="000000"/>
          <w:lang w:val="es-ES_tradnl"/>
        </w:rPr>
        <w:t xml:space="preserve">de </w:t>
      </w:r>
      <w:r w:rsidR="00F52C72" w:rsidRPr="00007A84">
        <w:rPr>
          <w:rFonts w:ascii="Cambria" w:hAnsi="Cambria" w:cs="Calibri"/>
          <w:color w:val="000000"/>
          <w:lang w:val="es-ES_tradnl"/>
        </w:rPr>
        <w:t>septi</w:t>
      </w:r>
      <w:r w:rsidR="00292E9E" w:rsidRPr="00007A84">
        <w:rPr>
          <w:rFonts w:ascii="Cambria" w:hAnsi="Cambria" w:cs="Calibri"/>
          <w:color w:val="000000"/>
          <w:lang w:val="es-ES_tradnl"/>
        </w:rPr>
        <w:t>embre de 19</w:t>
      </w:r>
      <w:r w:rsidR="00F52C72" w:rsidRPr="00007A84">
        <w:rPr>
          <w:rFonts w:ascii="Cambria" w:hAnsi="Cambria" w:cs="Calibri"/>
          <w:color w:val="000000"/>
          <w:lang w:val="es-ES_tradnl"/>
        </w:rPr>
        <w:t>92</w:t>
      </w:r>
      <w:r w:rsidR="00292E9E" w:rsidRPr="00007A84">
        <w:rPr>
          <w:rFonts w:ascii="Cambria" w:hAnsi="Cambria" w:cs="Calibri"/>
          <w:color w:val="000000"/>
          <w:lang w:val="es-ES_tradnl"/>
        </w:rPr>
        <w:t xml:space="preserve"> y aceptó la competencia contenciosa de la Corte </w:t>
      </w:r>
      <w:r w:rsidR="00FE57DC" w:rsidRPr="00007A84">
        <w:rPr>
          <w:rFonts w:ascii="Cambria" w:hAnsi="Cambria" w:cs="Calibri"/>
          <w:color w:val="000000"/>
          <w:lang w:val="es-ES_tradnl"/>
        </w:rPr>
        <w:t xml:space="preserve">Interamericana </w:t>
      </w:r>
      <w:r w:rsidR="00292E9E" w:rsidRPr="00007A84">
        <w:rPr>
          <w:rFonts w:ascii="Cambria" w:hAnsi="Cambria" w:cs="Calibri"/>
          <w:color w:val="000000"/>
          <w:lang w:val="es-ES_tradnl"/>
        </w:rPr>
        <w:t xml:space="preserve">el </w:t>
      </w:r>
      <w:r w:rsidR="00AC14C0" w:rsidRPr="00007A84">
        <w:rPr>
          <w:rFonts w:ascii="Cambria" w:hAnsi="Cambria" w:cs="Calibri"/>
          <w:color w:val="000000"/>
          <w:lang w:val="es-ES_tradnl"/>
        </w:rPr>
        <w:t>10</w:t>
      </w:r>
      <w:r w:rsidR="00292E9E" w:rsidRPr="00007A84">
        <w:rPr>
          <w:rFonts w:ascii="Cambria" w:hAnsi="Cambria" w:cs="Calibri"/>
          <w:color w:val="000000"/>
          <w:lang w:val="es-ES_tradnl"/>
        </w:rPr>
        <w:t xml:space="preserve"> de </w:t>
      </w:r>
      <w:r w:rsidR="00AC14C0" w:rsidRPr="00007A84">
        <w:rPr>
          <w:rFonts w:ascii="Cambria" w:hAnsi="Cambria" w:cs="Calibri"/>
          <w:color w:val="000000"/>
          <w:lang w:val="es-ES_tradnl"/>
        </w:rPr>
        <w:t xml:space="preserve">diciembre </w:t>
      </w:r>
      <w:r w:rsidR="00292E9E" w:rsidRPr="00007A84">
        <w:rPr>
          <w:rFonts w:ascii="Cambria" w:hAnsi="Cambria" w:cs="Calibri"/>
          <w:color w:val="000000"/>
          <w:lang w:val="es-ES_tradnl"/>
        </w:rPr>
        <w:t>de 19</w:t>
      </w:r>
      <w:r w:rsidR="00AC14C0" w:rsidRPr="00007A84">
        <w:rPr>
          <w:rFonts w:ascii="Cambria" w:hAnsi="Cambria" w:cs="Calibri"/>
          <w:color w:val="000000"/>
          <w:lang w:val="es-ES_tradnl"/>
        </w:rPr>
        <w:t>98</w:t>
      </w:r>
      <w:r w:rsidR="00292E9E" w:rsidRPr="00007A84">
        <w:rPr>
          <w:rFonts w:ascii="Cambria" w:hAnsi="Cambria" w:cs="Calibri"/>
          <w:color w:val="000000"/>
          <w:lang w:val="es-ES_tradnl"/>
        </w:rPr>
        <w:t>.</w:t>
      </w:r>
      <w:r w:rsidR="00E5536A" w:rsidRPr="00D35B40">
        <w:rPr>
          <w:rFonts w:ascii="Cambria" w:hAnsi="Cambria" w:cs="Calibri"/>
          <w:color w:val="000000"/>
          <w:lang w:val="es-ES_tradnl"/>
        </w:rPr>
        <w:t xml:space="preserve"> </w:t>
      </w:r>
      <w:r w:rsidR="006D69F4" w:rsidRPr="00D35B40">
        <w:rPr>
          <w:rFonts w:ascii="Cambria" w:hAnsi="Cambria" w:cs="Calibri"/>
          <w:color w:val="000000"/>
          <w:lang w:val="es-ES_tradnl"/>
        </w:rPr>
        <w:t xml:space="preserve">Asimismo, Brasil depositó el instrumento de ratificación de </w:t>
      </w:r>
      <w:r w:rsidR="00D35B40" w:rsidRPr="00D35B40">
        <w:rPr>
          <w:rFonts w:ascii="Cambria" w:hAnsi="Cambria" w:cs="Calibri"/>
          <w:color w:val="000000"/>
          <w:lang w:val="es-ES_tradnl"/>
        </w:rPr>
        <w:t>la Convención de Belém do Pará el 27 de noviembre de 1995</w:t>
      </w:r>
      <w:r w:rsidR="00D768DE">
        <w:rPr>
          <w:rFonts w:ascii="Cambria" w:hAnsi="Cambria" w:cs="Calibri"/>
          <w:color w:val="000000"/>
          <w:lang w:val="es-ES_tradnl"/>
        </w:rPr>
        <w:t xml:space="preserve">, y el de la </w:t>
      </w:r>
      <w:r w:rsidR="00D768DE">
        <w:rPr>
          <w:rFonts w:ascii="Cambria" w:hAnsi="Cambria"/>
          <w:lang w:val="es-ES_tradnl"/>
        </w:rPr>
        <w:t>Convención Interamericana sobre Desaparición Forzada de Personas</w:t>
      </w:r>
      <w:r w:rsidR="00D768DE">
        <w:rPr>
          <w:rFonts w:ascii="Cambria" w:hAnsi="Cambria" w:cs="Calibri"/>
          <w:color w:val="000000"/>
          <w:lang w:val="es-ES_tradnl"/>
        </w:rPr>
        <w:t xml:space="preserve"> el 3 de febrero de 2014</w:t>
      </w:r>
      <w:r w:rsidR="00D35B40" w:rsidRPr="00D35B40">
        <w:rPr>
          <w:rFonts w:ascii="Cambria" w:hAnsi="Cambria" w:cs="Calibri"/>
          <w:color w:val="000000"/>
          <w:lang w:val="es-ES_tradnl"/>
        </w:rPr>
        <w:t>.</w:t>
      </w:r>
    </w:p>
    <w:p w14:paraId="397F9C44" w14:textId="77777777" w:rsidR="00292E9E" w:rsidRPr="00007A84" w:rsidRDefault="00292E9E" w:rsidP="00BD53CE">
      <w:pPr>
        <w:tabs>
          <w:tab w:val="left" w:pos="720"/>
          <w:tab w:val="left" w:pos="1440"/>
        </w:tabs>
        <w:spacing w:after="0" w:line="240" w:lineRule="auto"/>
        <w:jc w:val="both"/>
        <w:rPr>
          <w:rFonts w:ascii="Cambria" w:hAnsi="Cambria" w:cs="Calibri"/>
          <w:color w:val="000000"/>
          <w:sz w:val="20"/>
          <w:szCs w:val="20"/>
          <w:lang w:val="es-ES_tradnl"/>
        </w:rPr>
      </w:pPr>
    </w:p>
    <w:p w14:paraId="6F9A9E7D" w14:textId="77777777" w:rsidR="000E1DB2" w:rsidRPr="00007A84" w:rsidRDefault="00292E9E" w:rsidP="00BD53CE">
      <w:pPr>
        <w:spacing w:after="0" w:line="240" w:lineRule="auto"/>
        <w:ind w:firstLine="720"/>
        <w:jc w:val="both"/>
        <w:rPr>
          <w:rFonts w:ascii="Cambria" w:hAnsi="Cambria" w:cs="Calibri"/>
          <w:color w:val="000000"/>
          <w:sz w:val="20"/>
          <w:szCs w:val="20"/>
          <w:lang w:val="es-ES_tradnl"/>
        </w:rPr>
      </w:pPr>
      <w:r w:rsidRPr="00007A84">
        <w:rPr>
          <w:rFonts w:ascii="Cambria" w:hAnsi="Cambria" w:cs="Calibri"/>
          <w:color w:val="000000"/>
          <w:sz w:val="20"/>
          <w:szCs w:val="20"/>
          <w:lang w:val="es-ES_tradnl"/>
        </w:rPr>
        <w:t>La Comisión ha designado a</w:t>
      </w:r>
      <w:r w:rsidR="00CB7D82">
        <w:rPr>
          <w:rFonts w:ascii="Cambria" w:hAnsi="Cambria" w:cs="Calibri"/>
          <w:color w:val="000000"/>
          <w:sz w:val="20"/>
          <w:szCs w:val="20"/>
          <w:lang w:val="es-ES_tradnl"/>
        </w:rPr>
        <w:t xml:space="preserve"> </w:t>
      </w:r>
      <w:r w:rsidR="008733FD" w:rsidRPr="00007A84">
        <w:rPr>
          <w:rFonts w:ascii="Cambria" w:hAnsi="Cambria" w:cs="Calibri"/>
          <w:color w:val="000000"/>
          <w:sz w:val="20"/>
          <w:szCs w:val="20"/>
          <w:lang w:val="es-ES_tradnl"/>
        </w:rPr>
        <w:t>l</w:t>
      </w:r>
      <w:r w:rsidR="00CB7D82">
        <w:rPr>
          <w:rFonts w:ascii="Cambria" w:hAnsi="Cambria" w:cs="Calibri"/>
          <w:color w:val="000000"/>
          <w:sz w:val="20"/>
          <w:szCs w:val="20"/>
          <w:lang w:val="es-ES_tradnl"/>
        </w:rPr>
        <w:t>a</w:t>
      </w:r>
      <w:r w:rsidRPr="00007A84">
        <w:rPr>
          <w:rFonts w:ascii="Cambria" w:hAnsi="Cambria" w:cs="Calibri"/>
          <w:color w:val="000000"/>
          <w:sz w:val="20"/>
          <w:szCs w:val="20"/>
          <w:lang w:val="es-ES_tradnl"/>
        </w:rPr>
        <w:t xml:space="preserve"> </w:t>
      </w:r>
      <w:r w:rsidR="008733FD" w:rsidRPr="00007A84">
        <w:rPr>
          <w:rFonts w:ascii="Cambria" w:hAnsi="Cambria" w:cs="Calibri"/>
          <w:color w:val="000000"/>
          <w:sz w:val="20"/>
          <w:szCs w:val="20"/>
          <w:lang w:val="es-ES_tradnl"/>
        </w:rPr>
        <w:t>Comisionad</w:t>
      </w:r>
      <w:r w:rsidR="00CB7D82">
        <w:rPr>
          <w:rFonts w:ascii="Cambria" w:hAnsi="Cambria" w:cs="Calibri"/>
          <w:color w:val="000000"/>
          <w:sz w:val="20"/>
          <w:szCs w:val="20"/>
          <w:lang w:val="es-ES_tradnl"/>
        </w:rPr>
        <w:t>a</w:t>
      </w:r>
      <w:r w:rsidR="008733FD" w:rsidRPr="00007A84">
        <w:rPr>
          <w:rFonts w:ascii="Cambria" w:hAnsi="Cambria" w:cs="Calibri"/>
          <w:color w:val="000000"/>
          <w:sz w:val="20"/>
          <w:szCs w:val="20"/>
          <w:lang w:val="es-ES_tradnl"/>
        </w:rPr>
        <w:t xml:space="preserve"> J</w:t>
      </w:r>
      <w:r w:rsidR="00CB7D82">
        <w:rPr>
          <w:rFonts w:ascii="Cambria" w:hAnsi="Cambria" w:cs="Calibri"/>
          <w:color w:val="000000"/>
          <w:sz w:val="20"/>
          <w:szCs w:val="20"/>
          <w:lang w:val="es-ES_tradnl"/>
        </w:rPr>
        <w:t>ulissa Mantilla</w:t>
      </w:r>
      <w:r w:rsidRPr="00007A84">
        <w:rPr>
          <w:rFonts w:ascii="Cambria" w:hAnsi="Cambria" w:cs="Calibri"/>
          <w:color w:val="000000"/>
          <w:sz w:val="20"/>
          <w:szCs w:val="20"/>
          <w:lang w:val="es-ES_tradnl"/>
        </w:rPr>
        <w:t xml:space="preserve"> </w:t>
      </w:r>
      <w:r w:rsidR="00C7236D" w:rsidRPr="00007A84">
        <w:rPr>
          <w:rFonts w:ascii="Cambria" w:hAnsi="Cambria" w:cs="Calibri"/>
          <w:color w:val="000000"/>
          <w:sz w:val="20"/>
          <w:szCs w:val="20"/>
          <w:lang w:val="es-ES_tradnl"/>
        </w:rPr>
        <w:t xml:space="preserve">y a la Secretaria Ejecutiva Tania Reneaum Panszi </w:t>
      </w:r>
      <w:r w:rsidRPr="00007A84">
        <w:rPr>
          <w:rFonts w:ascii="Cambria" w:hAnsi="Cambria" w:cs="Calibri"/>
          <w:color w:val="000000"/>
          <w:sz w:val="20"/>
          <w:szCs w:val="20"/>
          <w:lang w:val="es-ES_tradnl"/>
        </w:rPr>
        <w:t>como su</w:t>
      </w:r>
      <w:r w:rsidR="00CB7D82">
        <w:rPr>
          <w:rFonts w:ascii="Cambria" w:hAnsi="Cambria" w:cs="Calibri"/>
          <w:color w:val="000000"/>
          <w:sz w:val="20"/>
          <w:szCs w:val="20"/>
          <w:lang w:val="es-ES_tradnl"/>
        </w:rPr>
        <w:t>s</w:t>
      </w:r>
      <w:r w:rsidRPr="00007A84">
        <w:rPr>
          <w:rFonts w:ascii="Cambria" w:hAnsi="Cambria" w:cs="Calibri"/>
          <w:color w:val="000000"/>
          <w:sz w:val="20"/>
          <w:szCs w:val="20"/>
          <w:lang w:val="es-ES_tradnl"/>
        </w:rPr>
        <w:t xml:space="preserve"> </w:t>
      </w:r>
      <w:r w:rsidR="00C7236D" w:rsidRPr="00007A84">
        <w:rPr>
          <w:rFonts w:ascii="Cambria" w:hAnsi="Cambria" w:cs="Calibri"/>
          <w:color w:val="000000"/>
          <w:sz w:val="20"/>
          <w:szCs w:val="20"/>
          <w:lang w:val="es-ES_tradnl"/>
        </w:rPr>
        <w:t>delegada</w:t>
      </w:r>
      <w:r w:rsidR="00CB7D82">
        <w:rPr>
          <w:rFonts w:ascii="Cambria" w:hAnsi="Cambria" w:cs="Calibri"/>
          <w:color w:val="000000"/>
          <w:sz w:val="20"/>
          <w:szCs w:val="20"/>
          <w:lang w:val="es-ES_tradnl"/>
        </w:rPr>
        <w:t>s</w:t>
      </w:r>
      <w:r w:rsidRPr="00007A84">
        <w:rPr>
          <w:rFonts w:ascii="Cambria" w:hAnsi="Cambria" w:cs="Calibri"/>
          <w:color w:val="000000"/>
          <w:sz w:val="20"/>
          <w:szCs w:val="20"/>
          <w:lang w:val="es-ES_tradnl"/>
        </w:rPr>
        <w:t xml:space="preserve">. Asimismo, </w:t>
      </w:r>
      <w:r w:rsidR="00EB76F5" w:rsidRPr="00007A84">
        <w:rPr>
          <w:rFonts w:ascii="Cambria" w:hAnsi="Cambria" w:cs="Calibri"/>
          <w:color w:val="000000"/>
          <w:sz w:val="20"/>
          <w:szCs w:val="20"/>
          <w:lang w:val="es-ES_tradnl"/>
        </w:rPr>
        <w:t xml:space="preserve">ha designado </w:t>
      </w:r>
      <w:r w:rsidR="0003443F" w:rsidRPr="00007A84">
        <w:rPr>
          <w:rFonts w:ascii="Cambria" w:hAnsi="Cambria" w:cs="Calibri"/>
          <w:color w:val="000000"/>
          <w:sz w:val="20"/>
          <w:szCs w:val="20"/>
          <w:lang w:val="es-ES_tradnl"/>
        </w:rPr>
        <w:t xml:space="preserve">a </w:t>
      </w:r>
      <w:r w:rsidRPr="00007A84">
        <w:rPr>
          <w:rFonts w:ascii="Cambria" w:hAnsi="Cambria" w:cs="Calibri"/>
          <w:color w:val="000000"/>
          <w:sz w:val="20"/>
          <w:szCs w:val="20"/>
          <w:lang w:val="es-ES_tradnl"/>
        </w:rPr>
        <w:t>Marisol Blanchard Ver</w:t>
      </w:r>
      <w:r w:rsidR="0003443F" w:rsidRPr="00007A84">
        <w:rPr>
          <w:rFonts w:ascii="Cambria" w:hAnsi="Cambria" w:cs="Calibri"/>
          <w:color w:val="000000"/>
          <w:sz w:val="20"/>
          <w:szCs w:val="20"/>
          <w:lang w:val="es-ES_tradnl"/>
        </w:rPr>
        <w:t>a, Secr</w:t>
      </w:r>
      <w:r w:rsidR="00D86D55" w:rsidRPr="00007A84">
        <w:rPr>
          <w:rFonts w:ascii="Cambria" w:hAnsi="Cambria" w:cs="Calibri"/>
          <w:color w:val="000000"/>
          <w:sz w:val="20"/>
          <w:szCs w:val="20"/>
          <w:lang w:val="es-ES_tradnl"/>
        </w:rPr>
        <w:t xml:space="preserve">etaria Ejecutiva Adjunta, </w:t>
      </w:r>
      <w:r w:rsidRPr="00007A84">
        <w:rPr>
          <w:rFonts w:ascii="Cambria" w:hAnsi="Cambria" w:cs="Calibri"/>
          <w:color w:val="000000"/>
          <w:sz w:val="20"/>
          <w:szCs w:val="20"/>
          <w:lang w:val="es-ES_tradnl"/>
        </w:rPr>
        <w:t>Jorge Meza Flores</w:t>
      </w:r>
      <w:r w:rsidR="00D86D55" w:rsidRPr="00007A84">
        <w:rPr>
          <w:rFonts w:ascii="Cambria" w:hAnsi="Cambria" w:cs="Calibri"/>
          <w:color w:val="000000"/>
          <w:sz w:val="20"/>
          <w:szCs w:val="20"/>
          <w:lang w:val="es-ES_tradnl"/>
        </w:rPr>
        <w:t xml:space="preserve"> y </w:t>
      </w:r>
      <w:r w:rsidR="00240532">
        <w:rPr>
          <w:rFonts w:ascii="Cambria" w:hAnsi="Cambria" w:cs="Calibri"/>
          <w:color w:val="000000"/>
          <w:sz w:val="20"/>
          <w:szCs w:val="20"/>
          <w:lang w:val="es-ES_tradnl"/>
        </w:rPr>
        <w:t>Marina de Almeida Rosa</w:t>
      </w:r>
      <w:r w:rsidRPr="00007A84">
        <w:rPr>
          <w:rFonts w:ascii="Cambria" w:hAnsi="Cambria" w:cs="Calibri"/>
          <w:color w:val="000000"/>
          <w:sz w:val="20"/>
          <w:szCs w:val="20"/>
          <w:lang w:val="es-ES_tradnl"/>
        </w:rPr>
        <w:t>, especialista</w:t>
      </w:r>
      <w:r w:rsidR="00EB76F5" w:rsidRPr="00007A84">
        <w:rPr>
          <w:rFonts w:ascii="Cambria" w:hAnsi="Cambria" w:cs="Calibri"/>
          <w:color w:val="000000"/>
          <w:sz w:val="20"/>
          <w:szCs w:val="20"/>
          <w:lang w:val="es-ES_tradnl"/>
        </w:rPr>
        <w:t>s</w:t>
      </w:r>
      <w:r w:rsidRPr="00007A84">
        <w:rPr>
          <w:rFonts w:ascii="Cambria" w:hAnsi="Cambria" w:cs="Calibri"/>
          <w:color w:val="000000"/>
          <w:sz w:val="20"/>
          <w:szCs w:val="20"/>
          <w:lang w:val="es-ES_tradnl"/>
        </w:rPr>
        <w:t xml:space="preserve"> de la Secretaría Ejecutiva de la CIDH, </w:t>
      </w:r>
      <w:r w:rsidR="0003443F" w:rsidRPr="00007A84">
        <w:rPr>
          <w:rFonts w:ascii="Cambria" w:hAnsi="Cambria" w:cs="Calibri"/>
          <w:color w:val="000000"/>
          <w:sz w:val="20"/>
          <w:szCs w:val="20"/>
          <w:lang w:val="es-ES_tradnl"/>
        </w:rPr>
        <w:t xml:space="preserve">quienes </w:t>
      </w:r>
      <w:r w:rsidRPr="00007A84">
        <w:rPr>
          <w:rFonts w:ascii="Cambria" w:hAnsi="Cambria" w:cs="Calibri"/>
          <w:color w:val="000000"/>
          <w:sz w:val="20"/>
          <w:szCs w:val="20"/>
          <w:lang w:val="es-ES_tradnl"/>
        </w:rPr>
        <w:t>actuarán como asesor</w:t>
      </w:r>
      <w:r w:rsidR="00EB76F5" w:rsidRPr="00007A84">
        <w:rPr>
          <w:rFonts w:ascii="Cambria" w:hAnsi="Cambria" w:cs="Calibri"/>
          <w:color w:val="000000"/>
          <w:sz w:val="20"/>
          <w:szCs w:val="20"/>
          <w:lang w:val="es-ES_tradnl"/>
        </w:rPr>
        <w:t>a</w:t>
      </w:r>
      <w:r w:rsidR="00240532">
        <w:rPr>
          <w:rFonts w:ascii="Cambria" w:hAnsi="Cambria" w:cs="Calibri"/>
          <w:color w:val="000000"/>
          <w:sz w:val="20"/>
          <w:szCs w:val="20"/>
          <w:lang w:val="es-ES_tradnl"/>
        </w:rPr>
        <w:t>s</w:t>
      </w:r>
      <w:r w:rsidR="00EB76F5" w:rsidRPr="00007A84">
        <w:rPr>
          <w:rFonts w:ascii="Cambria" w:hAnsi="Cambria" w:cs="Calibri"/>
          <w:color w:val="000000"/>
          <w:sz w:val="20"/>
          <w:szCs w:val="20"/>
          <w:lang w:val="es-ES_tradnl"/>
        </w:rPr>
        <w:t xml:space="preserve"> y asesor</w:t>
      </w:r>
      <w:r w:rsidR="008733FD" w:rsidRPr="00007A84">
        <w:rPr>
          <w:rFonts w:ascii="Cambria" w:hAnsi="Cambria" w:cs="Calibri"/>
          <w:color w:val="000000"/>
          <w:sz w:val="20"/>
          <w:szCs w:val="20"/>
          <w:lang w:val="es-ES_tradnl"/>
        </w:rPr>
        <w:t xml:space="preserve"> </w:t>
      </w:r>
      <w:r w:rsidRPr="00007A84">
        <w:rPr>
          <w:rFonts w:ascii="Cambria" w:hAnsi="Cambria" w:cs="Calibri"/>
          <w:color w:val="000000"/>
          <w:sz w:val="20"/>
          <w:szCs w:val="20"/>
          <w:lang w:val="es-ES_tradnl"/>
        </w:rPr>
        <w:t>legales</w:t>
      </w:r>
      <w:r w:rsidR="000E1DB2" w:rsidRPr="00007A84">
        <w:rPr>
          <w:rFonts w:ascii="Cambria" w:hAnsi="Cambria" w:cs="Calibri"/>
          <w:color w:val="000000"/>
          <w:sz w:val="20"/>
          <w:szCs w:val="20"/>
          <w:lang w:val="es-ES_tradnl"/>
        </w:rPr>
        <w:t>.</w:t>
      </w:r>
    </w:p>
    <w:p w14:paraId="19BF0DAF" w14:textId="77777777" w:rsidR="00560F49" w:rsidRPr="00007A84" w:rsidRDefault="00560F49" w:rsidP="00BD53CE">
      <w:pPr>
        <w:spacing w:after="0" w:line="240" w:lineRule="auto"/>
        <w:jc w:val="both"/>
        <w:rPr>
          <w:rFonts w:ascii="Cambria" w:hAnsi="Cambria" w:cs="Calibri"/>
          <w:color w:val="000000"/>
          <w:sz w:val="20"/>
          <w:szCs w:val="20"/>
          <w:lang w:val="es-ES_tradnl"/>
        </w:rPr>
      </w:pPr>
    </w:p>
    <w:p w14:paraId="517CB82F" w14:textId="77777777" w:rsidR="00DF3621" w:rsidRPr="00007A84" w:rsidRDefault="0042403B" w:rsidP="00BD53CE">
      <w:pPr>
        <w:spacing w:after="0" w:line="240" w:lineRule="auto"/>
        <w:ind w:firstLine="720"/>
        <w:jc w:val="both"/>
        <w:rPr>
          <w:rFonts w:ascii="Cambria" w:hAnsi="Cambria" w:cs="Calibri"/>
          <w:color w:val="000000"/>
          <w:sz w:val="20"/>
          <w:szCs w:val="20"/>
          <w:lang w:val="es-ES_tradnl"/>
        </w:rPr>
      </w:pPr>
      <w:r w:rsidRPr="00007A84">
        <w:rPr>
          <w:rFonts w:ascii="Cambria" w:hAnsi="Cambria" w:cs="Calibri"/>
          <w:color w:val="000000"/>
          <w:sz w:val="20"/>
          <w:szCs w:val="20"/>
          <w:lang w:val="es-ES_tradnl"/>
        </w:rPr>
        <w:t>De conformidad con el artículo 35 del Reglamento de la Corte Interamericana,</w:t>
      </w:r>
      <w:r w:rsidR="0090766E" w:rsidRPr="00007A84">
        <w:rPr>
          <w:rFonts w:ascii="Cambria" w:hAnsi="Cambria" w:cs="Calibri"/>
          <w:color w:val="000000"/>
          <w:sz w:val="20"/>
          <w:szCs w:val="20"/>
          <w:lang w:val="es-ES_tradnl"/>
        </w:rPr>
        <w:t xml:space="preserve"> la Comisión adjunta copia del I</w:t>
      </w:r>
      <w:r w:rsidRPr="00007A84">
        <w:rPr>
          <w:rFonts w:ascii="Cambria" w:hAnsi="Cambria" w:cs="Calibri"/>
          <w:color w:val="000000"/>
          <w:sz w:val="20"/>
          <w:szCs w:val="20"/>
          <w:lang w:val="es-ES_tradnl"/>
        </w:rPr>
        <w:t>nforme</w:t>
      </w:r>
      <w:r w:rsidR="0090766E" w:rsidRPr="00007A84">
        <w:rPr>
          <w:rFonts w:ascii="Cambria" w:hAnsi="Cambria" w:cs="Calibri"/>
          <w:color w:val="000000"/>
          <w:sz w:val="20"/>
          <w:szCs w:val="20"/>
          <w:lang w:val="es-ES_tradnl"/>
        </w:rPr>
        <w:t xml:space="preserve"> de </w:t>
      </w:r>
      <w:r w:rsidR="0012238D">
        <w:rPr>
          <w:rFonts w:ascii="Cambria" w:hAnsi="Cambria"/>
          <w:sz w:val="20"/>
          <w:szCs w:val="20"/>
          <w:lang w:val="es-US"/>
        </w:rPr>
        <w:t>Admisibilidad y</w:t>
      </w:r>
      <w:r w:rsidR="0012238D" w:rsidRPr="00007A84">
        <w:rPr>
          <w:rFonts w:ascii="Cambria" w:hAnsi="Cambria" w:cs="Calibri"/>
          <w:color w:val="000000"/>
          <w:sz w:val="20"/>
          <w:szCs w:val="20"/>
          <w:lang w:val="es-ES_tradnl"/>
        </w:rPr>
        <w:t xml:space="preserve"> Fondo </w:t>
      </w:r>
      <w:r w:rsidR="0090766E" w:rsidRPr="00007A84">
        <w:rPr>
          <w:rFonts w:ascii="Cambria" w:hAnsi="Cambria" w:cs="Calibri"/>
          <w:color w:val="000000"/>
          <w:sz w:val="20"/>
          <w:szCs w:val="20"/>
          <w:lang w:val="es-ES_tradnl"/>
        </w:rPr>
        <w:t>No.</w:t>
      </w:r>
      <w:r w:rsidRPr="00007A84">
        <w:rPr>
          <w:rFonts w:ascii="Cambria" w:hAnsi="Cambria" w:cs="Calibri"/>
          <w:color w:val="000000"/>
          <w:sz w:val="20"/>
          <w:szCs w:val="20"/>
          <w:lang w:val="es-ES_tradnl"/>
        </w:rPr>
        <w:t xml:space="preserve"> </w:t>
      </w:r>
      <w:r w:rsidR="004826A1">
        <w:rPr>
          <w:rFonts w:ascii="Cambria" w:hAnsi="Cambria" w:cs="Calibri"/>
          <w:color w:val="000000"/>
          <w:sz w:val="20"/>
          <w:szCs w:val="20"/>
          <w:lang w:val="es-ES_tradnl"/>
        </w:rPr>
        <w:t>100</w:t>
      </w:r>
      <w:r w:rsidRPr="00007A84">
        <w:rPr>
          <w:rFonts w:ascii="Cambria" w:hAnsi="Cambria" w:cs="Calibri"/>
          <w:color w:val="000000"/>
          <w:sz w:val="20"/>
          <w:szCs w:val="20"/>
          <w:lang w:val="es-ES_tradnl"/>
        </w:rPr>
        <w:t>/</w:t>
      </w:r>
      <w:r w:rsidR="00E46EB2">
        <w:rPr>
          <w:rFonts w:ascii="Cambria" w:hAnsi="Cambria" w:cs="Calibri"/>
          <w:color w:val="000000"/>
          <w:sz w:val="20"/>
          <w:szCs w:val="20"/>
          <w:lang w:val="es-ES_tradnl"/>
        </w:rPr>
        <w:t>2</w:t>
      </w:r>
      <w:r w:rsidR="004826A1">
        <w:rPr>
          <w:rFonts w:ascii="Cambria" w:hAnsi="Cambria" w:cs="Calibri"/>
          <w:color w:val="000000"/>
          <w:sz w:val="20"/>
          <w:szCs w:val="20"/>
          <w:lang w:val="es-ES_tradnl"/>
        </w:rPr>
        <w:t>1</w:t>
      </w:r>
      <w:r w:rsidRPr="00007A84">
        <w:rPr>
          <w:rFonts w:ascii="Cambria" w:hAnsi="Cambria" w:cs="Calibri"/>
          <w:color w:val="000000"/>
          <w:sz w:val="20"/>
          <w:szCs w:val="20"/>
          <w:lang w:val="es-ES_tradnl"/>
        </w:rPr>
        <w:t xml:space="preserve"> elaborado en observancia del artículo 50 de la Convención, así como copia de la totalidad del expediente ante la Comisión Interamericana (Apéndice I) y los anexos utilizados en la elaboración del </w:t>
      </w:r>
      <w:r w:rsidR="00395D59" w:rsidRPr="00007A84">
        <w:rPr>
          <w:rFonts w:ascii="Cambria" w:hAnsi="Cambria" w:cs="Calibri"/>
          <w:color w:val="000000"/>
          <w:sz w:val="20"/>
          <w:szCs w:val="20"/>
          <w:lang w:val="es-ES_tradnl"/>
        </w:rPr>
        <w:t xml:space="preserve">Informe de </w:t>
      </w:r>
      <w:r w:rsidR="0012238D">
        <w:rPr>
          <w:rFonts w:ascii="Cambria" w:hAnsi="Cambria"/>
          <w:sz w:val="20"/>
          <w:szCs w:val="20"/>
          <w:lang w:val="es-US"/>
        </w:rPr>
        <w:t>Admisibilidad y</w:t>
      </w:r>
      <w:r w:rsidR="0012238D" w:rsidRPr="00007A84">
        <w:rPr>
          <w:rFonts w:ascii="Cambria" w:hAnsi="Cambria" w:cs="Calibri"/>
          <w:color w:val="000000"/>
          <w:sz w:val="20"/>
          <w:szCs w:val="20"/>
          <w:lang w:val="es-ES_tradnl"/>
        </w:rPr>
        <w:t xml:space="preserve"> </w:t>
      </w:r>
      <w:r w:rsidR="00395D59" w:rsidRPr="00007A84">
        <w:rPr>
          <w:rFonts w:ascii="Cambria" w:hAnsi="Cambria" w:cs="Calibri"/>
          <w:color w:val="000000"/>
          <w:sz w:val="20"/>
          <w:szCs w:val="20"/>
          <w:lang w:val="es-ES_tradnl"/>
        </w:rPr>
        <w:t xml:space="preserve">Fondo No. </w:t>
      </w:r>
      <w:r w:rsidR="00332AD4">
        <w:rPr>
          <w:rFonts w:ascii="Cambria" w:hAnsi="Cambria" w:cs="Calibri"/>
          <w:color w:val="000000"/>
          <w:sz w:val="20"/>
          <w:szCs w:val="20"/>
          <w:lang w:val="es-ES_tradnl"/>
        </w:rPr>
        <w:t>1</w:t>
      </w:r>
      <w:r w:rsidR="004826A1">
        <w:rPr>
          <w:rFonts w:ascii="Cambria" w:hAnsi="Cambria" w:cs="Calibri"/>
          <w:color w:val="000000"/>
          <w:sz w:val="20"/>
          <w:szCs w:val="20"/>
          <w:lang w:val="es-ES_tradnl"/>
        </w:rPr>
        <w:t>00</w:t>
      </w:r>
      <w:r w:rsidR="00332AD4" w:rsidRPr="00007A84">
        <w:rPr>
          <w:rFonts w:ascii="Cambria" w:hAnsi="Cambria" w:cs="Calibri"/>
          <w:color w:val="000000"/>
          <w:sz w:val="20"/>
          <w:szCs w:val="20"/>
          <w:lang w:val="es-ES_tradnl"/>
        </w:rPr>
        <w:t>/</w:t>
      </w:r>
      <w:r w:rsidR="00E46EB2">
        <w:rPr>
          <w:rFonts w:ascii="Cambria" w:hAnsi="Cambria" w:cs="Calibri"/>
          <w:color w:val="000000"/>
          <w:sz w:val="20"/>
          <w:szCs w:val="20"/>
          <w:lang w:val="es-ES_tradnl"/>
        </w:rPr>
        <w:t>2</w:t>
      </w:r>
      <w:r w:rsidR="004826A1">
        <w:rPr>
          <w:rFonts w:ascii="Cambria" w:hAnsi="Cambria" w:cs="Calibri"/>
          <w:color w:val="000000"/>
          <w:sz w:val="20"/>
          <w:szCs w:val="20"/>
          <w:lang w:val="es-ES_tradnl"/>
        </w:rPr>
        <w:t>1</w:t>
      </w:r>
      <w:r w:rsidR="00332AD4" w:rsidRPr="00007A84">
        <w:rPr>
          <w:rFonts w:ascii="Cambria" w:hAnsi="Cambria" w:cs="Calibri"/>
          <w:color w:val="000000"/>
          <w:sz w:val="20"/>
          <w:szCs w:val="20"/>
          <w:lang w:val="es-ES_tradnl"/>
        </w:rPr>
        <w:t xml:space="preserve"> </w:t>
      </w:r>
      <w:r w:rsidR="00F353B3" w:rsidRPr="00007A84">
        <w:rPr>
          <w:rFonts w:ascii="Cambria" w:hAnsi="Cambria" w:cs="Calibri"/>
          <w:color w:val="000000"/>
          <w:sz w:val="20"/>
          <w:szCs w:val="20"/>
          <w:lang w:val="es-ES_tradnl"/>
        </w:rPr>
        <w:t xml:space="preserve">(Anexos). </w:t>
      </w:r>
    </w:p>
    <w:p w14:paraId="38B2B319" w14:textId="77777777" w:rsidR="00DF3621" w:rsidRPr="000A0936" w:rsidRDefault="00DF3621" w:rsidP="00BD53CE">
      <w:pPr>
        <w:spacing w:after="0" w:line="240" w:lineRule="auto"/>
        <w:ind w:firstLine="720"/>
        <w:jc w:val="both"/>
        <w:rPr>
          <w:rFonts w:ascii="Cambria" w:hAnsi="Cambria" w:cs="Calibri"/>
          <w:color w:val="000000"/>
          <w:sz w:val="20"/>
          <w:szCs w:val="20"/>
          <w:lang w:val="es-CO"/>
        </w:rPr>
      </w:pPr>
    </w:p>
    <w:p w14:paraId="3A8D9F9F" w14:textId="77777777" w:rsidR="00DB5116" w:rsidRDefault="00F353B3" w:rsidP="00963D11">
      <w:pPr>
        <w:tabs>
          <w:tab w:val="left" w:pos="810"/>
        </w:tabs>
        <w:spacing w:after="0" w:line="240" w:lineRule="auto"/>
        <w:ind w:firstLine="720"/>
        <w:jc w:val="both"/>
        <w:rPr>
          <w:rFonts w:ascii="Cambria" w:hAnsi="Cambria" w:cs="Calibri"/>
          <w:sz w:val="20"/>
          <w:szCs w:val="20"/>
          <w:lang w:val="es-AR"/>
        </w:rPr>
      </w:pPr>
      <w:r w:rsidRPr="00007A84">
        <w:rPr>
          <w:rFonts w:ascii="Cambria" w:hAnsi="Cambria" w:cs="Calibri"/>
          <w:color w:val="000000"/>
          <w:sz w:val="20"/>
          <w:szCs w:val="20"/>
          <w:lang w:val="es-ES_tradnl"/>
        </w:rPr>
        <w:t xml:space="preserve">Dicho Informe de </w:t>
      </w:r>
      <w:r w:rsidR="0012238D">
        <w:rPr>
          <w:rFonts w:ascii="Cambria" w:hAnsi="Cambria"/>
          <w:sz w:val="20"/>
          <w:szCs w:val="20"/>
          <w:lang w:val="es-US"/>
        </w:rPr>
        <w:t>Admisibilidad y</w:t>
      </w:r>
      <w:r w:rsidR="0012238D" w:rsidRPr="00007A84">
        <w:rPr>
          <w:rFonts w:ascii="Cambria" w:hAnsi="Cambria" w:cs="Calibri"/>
          <w:color w:val="000000"/>
          <w:sz w:val="20"/>
          <w:szCs w:val="20"/>
          <w:lang w:val="es-ES_tradnl"/>
        </w:rPr>
        <w:t xml:space="preserve"> </w:t>
      </w:r>
      <w:r w:rsidRPr="00007A84">
        <w:rPr>
          <w:rFonts w:ascii="Cambria" w:hAnsi="Cambria" w:cs="Calibri"/>
          <w:color w:val="000000"/>
          <w:sz w:val="20"/>
          <w:szCs w:val="20"/>
          <w:lang w:val="es-ES_tradnl"/>
        </w:rPr>
        <w:t>F</w:t>
      </w:r>
      <w:r w:rsidR="0042403B" w:rsidRPr="00007A84">
        <w:rPr>
          <w:rFonts w:ascii="Cambria" w:hAnsi="Cambria" w:cs="Calibri"/>
          <w:color w:val="000000"/>
          <w:sz w:val="20"/>
          <w:szCs w:val="20"/>
          <w:lang w:val="es-ES_tradnl"/>
        </w:rPr>
        <w:t xml:space="preserve">ondo </w:t>
      </w:r>
      <w:r w:rsidR="0042403B" w:rsidRPr="00963D11">
        <w:rPr>
          <w:rFonts w:ascii="Cambria" w:hAnsi="Cambria" w:cs="Calibri"/>
          <w:color w:val="000000"/>
          <w:sz w:val="20"/>
          <w:szCs w:val="20"/>
          <w:lang w:val="es-ES_tradnl"/>
        </w:rPr>
        <w:t xml:space="preserve">fue notificado al Estado </w:t>
      </w:r>
      <w:r w:rsidR="00DF3621" w:rsidRPr="00963D11">
        <w:rPr>
          <w:rFonts w:ascii="Cambria" w:hAnsi="Cambria" w:cs="Calibri"/>
          <w:color w:val="000000"/>
          <w:sz w:val="20"/>
          <w:szCs w:val="20"/>
          <w:lang w:val="es-ES_tradnl"/>
        </w:rPr>
        <w:t>el</w:t>
      </w:r>
      <w:r w:rsidR="00036FC7" w:rsidRPr="00963D11">
        <w:rPr>
          <w:rFonts w:ascii="Cambria" w:hAnsi="Cambria" w:cs="Calibri"/>
          <w:color w:val="000000"/>
          <w:sz w:val="20"/>
          <w:szCs w:val="20"/>
          <w:lang w:val="es-ES_tradnl"/>
        </w:rPr>
        <w:t xml:space="preserve"> </w:t>
      </w:r>
      <w:r w:rsidR="00B85C99" w:rsidRPr="00963D11">
        <w:rPr>
          <w:rFonts w:ascii="Cambria" w:hAnsi="Cambria" w:cs="Calibri"/>
          <w:color w:val="000000"/>
          <w:sz w:val="20"/>
          <w:szCs w:val="20"/>
          <w:lang w:val="es-ES_tradnl"/>
        </w:rPr>
        <w:t>22 de julio</w:t>
      </w:r>
      <w:r w:rsidR="00E46EB2" w:rsidRPr="00963D11">
        <w:rPr>
          <w:rFonts w:ascii="Cambria" w:hAnsi="Cambria" w:cs="Calibri"/>
          <w:color w:val="000000"/>
          <w:sz w:val="20"/>
          <w:szCs w:val="20"/>
          <w:lang w:val="es-ES_tradnl"/>
        </w:rPr>
        <w:t xml:space="preserve"> </w:t>
      </w:r>
      <w:r w:rsidR="0040282E" w:rsidRPr="00963D11">
        <w:rPr>
          <w:rFonts w:ascii="Cambria" w:hAnsi="Cambria" w:cs="Calibri"/>
          <w:color w:val="000000"/>
          <w:sz w:val="20"/>
          <w:szCs w:val="20"/>
          <w:lang w:val="es-ES_tradnl"/>
        </w:rPr>
        <w:t>de 202</w:t>
      </w:r>
      <w:r w:rsidR="00E46EB2" w:rsidRPr="00963D11">
        <w:rPr>
          <w:rFonts w:ascii="Cambria" w:hAnsi="Cambria" w:cs="Calibri"/>
          <w:color w:val="000000"/>
          <w:sz w:val="20"/>
          <w:szCs w:val="20"/>
          <w:lang w:val="es-ES_tradnl"/>
        </w:rPr>
        <w:t>1</w:t>
      </w:r>
      <w:r w:rsidR="0042403B" w:rsidRPr="00963D11">
        <w:rPr>
          <w:rFonts w:ascii="Cambria" w:hAnsi="Cambria" w:cs="Calibri"/>
          <w:color w:val="000000"/>
          <w:sz w:val="20"/>
          <w:szCs w:val="20"/>
          <w:lang w:val="es-ES_tradnl"/>
        </w:rPr>
        <w:t xml:space="preserve">, otorgándole un plazo de dos meses para informar sobre el cumplimiento de las recomendaciones. </w:t>
      </w:r>
      <w:r w:rsidR="00E21E08" w:rsidRPr="00963D11">
        <w:rPr>
          <w:rFonts w:ascii="Cambria" w:hAnsi="Cambria" w:cs="Calibri"/>
          <w:color w:val="000000"/>
          <w:sz w:val="20"/>
          <w:szCs w:val="20"/>
          <w:lang w:val="es-ES_tradnl"/>
        </w:rPr>
        <w:t xml:space="preserve">Tras el otorgamiento por parte de la CIDH de </w:t>
      </w:r>
      <w:r w:rsidR="00B85C99" w:rsidRPr="00963D11">
        <w:rPr>
          <w:rFonts w:ascii="Cambria" w:hAnsi="Cambria" w:cs="Calibri"/>
          <w:color w:val="000000"/>
          <w:sz w:val="20"/>
          <w:szCs w:val="20"/>
          <w:lang w:val="es-ES_tradnl"/>
        </w:rPr>
        <w:t>do</w:t>
      </w:r>
      <w:r w:rsidR="00E46EB2" w:rsidRPr="00963D11">
        <w:rPr>
          <w:rFonts w:ascii="Cambria" w:hAnsi="Cambria" w:cs="Calibri"/>
          <w:color w:val="000000"/>
          <w:sz w:val="20"/>
          <w:szCs w:val="20"/>
          <w:lang w:val="es-ES_tradnl"/>
        </w:rPr>
        <w:t>s</w:t>
      </w:r>
      <w:r w:rsidR="00E21E08" w:rsidRPr="00963D11">
        <w:rPr>
          <w:rFonts w:ascii="Cambria" w:hAnsi="Cambria" w:cs="Calibri"/>
          <w:color w:val="000000"/>
          <w:sz w:val="20"/>
          <w:szCs w:val="20"/>
          <w:lang w:val="es-ES_tradnl"/>
        </w:rPr>
        <w:t xml:space="preserve"> prórroga</w:t>
      </w:r>
      <w:r w:rsidR="004F47B4" w:rsidRPr="00963D11">
        <w:rPr>
          <w:rFonts w:ascii="Cambria" w:hAnsi="Cambria" w:cs="Calibri"/>
          <w:color w:val="000000"/>
          <w:sz w:val="20"/>
          <w:szCs w:val="20"/>
          <w:lang w:val="es-ES_tradnl"/>
        </w:rPr>
        <w:t>s</w:t>
      </w:r>
      <w:r w:rsidR="00E21E08" w:rsidRPr="00963D11">
        <w:rPr>
          <w:rFonts w:ascii="Cambria" w:hAnsi="Cambria" w:cs="Calibri"/>
          <w:color w:val="000000"/>
          <w:sz w:val="20"/>
          <w:szCs w:val="20"/>
          <w:lang w:val="es-ES_tradnl"/>
        </w:rPr>
        <w:t xml:space="preserve">, el </w:t>
      </w:r>
      <w:r w:rsidR="00BD6FC1" w:rsidRPr="00963D11">
        <w:rPr>
          <w:rFonts w:ascii="Cambria" w:hAnsi="Cambria" w:cs="Calibri"/>
          <w:color w:val="000000"/>
          <w:sz w:val="20"/>
          <w:szCs w:val="20"/>
          <w:lang w:val="es-ES_tradnl"/>
        </w:rPr>
        <w:t>7 de abril</w:t>
      </w:r>
      <w:r w:rsidR="0040282E" w:rsidRPr="00963D11">
        <w:rPr>
          <w:rFonts w:ascii="Cambria" w:hAnsi="Cambria" w:cs="Calibri"/>
          <w:color w:val="000000"/>
          <w:sz w:val="20"/>
          <w:szCs w:val="20"/>
          <w:lang w:val="es-ES_tradnl"/>
        </w:rPr>
        <w:t xml:space="preserve"> de 202</w:t>
      </w:r>
      <w:r w:rsidR="00BD6FC1" w:rsidRPr="00963D11">
        <w:rPr>
          <w:rFonts w:ascii="Cambria" w:hAnsi="Cambria" w:cs="Calibri"/>
          <w:color w:val="000000"/>
          <w:sz w:val="20"/>
          <w:szCs w:val="20"/>
          <w:lang w:val="es-ES_tradnl"/>
        </w:rPr>
        <w:t>2</w:t>
      </w:r>
      <w:r w:rsidR="00E21E08" w:rsidRPr="00963D11">
        <w:rPr>
          <w:rFonts w:ascii="Cambria" w:hAnsi="Cambria" w:cs="Calibri"/>
          <w:color w:val="000000"/>
          <w:sz w:val="20"/>
          <w:szCs w:val="20"/>
          <w:lang w:val="es-ES_tradnl"/>
        </w:rPr>
        <w:t xml:space="preserve"> el Estado solicitó una </w:t>
      </w:r>
      <w:r w:rsidR="00BD6FC1" w:rsidRPr="00963D11">
        <w:rPr>
          <w:rFonts w:ascii="Cambria" w:hAnsi="Cambria" w:cs="Calibri"/>
          <w:color w:val="000000"/>
          <w:sz w:val="20"/>
          <w:szCs w:val="20"/>
          <w:lang w:val="es-ES_tradnl"/>
        </w:rPr>
        <w:t>tercera</w:t>
      </w:r>
      <w:r w:rsidR="00225DD5" w:rsidRPr="00963D11">
        <w:rPr>
          <w:rFonts w:ascii="Cambria" w:hAnsi="Cambria" w:cs="Calibri"/>
          <w:color w:val="000000"/>
          <w:sz w:val="20"/>
          <w:szCs w:val="20"/>
          <w:lang w:val="es-ES_tradnl"/>
        </w:rPr>
        <w:t xml:space="preserve"> </w:t>
      </w:r>
      <w:r w:rsidR="00E21E08" w:rsidRPr="00963D11">
        <w:rPr>
          <w:rFonts w:ascii="Cambria" w:hAnsi="Cambria" w:cs="Calibri"/>
          <w:color w:val="000000"/>
          <w:sz w:val="20"/>
          <w:szCs w:val="20"/>
          <w:lang w:val="es-ES_tradnl"/>
        </w:rPr>
        <w:t>prórroga.</w:t>
      </w:r>
      <w:r w:rsidR="00312151" w:rsidRPr="00963D11">
        <w:rPr>
          <w:rFonts w:ascii="Cambria" w:hAnsi="Cambria" w:cs="Calibri"/>
          <w:color w:val="000000"/>
          <w:sz w:val="20"/>
          <w:szCs w:val="20"/>
          <w:lang w:val="es-ES_tradnl"/>
        </w:rPr>
        <w:t xml:space="preserve"> </w:t>
      </w:r>
      <w:r w:rsidR="0062369E" w:rsidRPr="00963D11">
        <w:rPr>
          <w:rFonts w:ascii="Cambria" w:hAnsi="Cambria" w:cs="Calibri"/>
          <w:color w:val="000000"/>
          <w:sz w:val="20"/>
          <w:szCs w:val="20"/>
          <w:lang w:val="es-ES_tradnl"/>
        </w:rPr>
        <w:t xml:space="preserve">Al evaluar dicha solicitud, la Comisión observó que, </w:t>
      </w:r>
      <w:r w:rsidR="00963D11" w:rsidRPr="00963D11">
        <w:rPr>
          <w:rFonts w:ascii="Cambria" w:hAnsi="Cambria" w:cs="Calibri"/>
          <w:color w:val="000000"/>
          <w:sz w:val="20"/>
          <w:szCs w:val="20"/>
          <w:lang w:val="es-ES_tradnl"/>
        </w:rPr>
        <w:t xml:space="preserve">a nueve meses de notificado el informe, no ha habido </w:t>
      </w:r>
      <w:r w:rsidR="00963D11" w:rsidRPr="00963D11">
        <w:rPr>
          <w:rFonts w:ascii="Cambria" w:eastAsia="Times New Roman" w:hAnsi="Cambria" w:cs="Cambria"/>
          <w:sz w:val="20"/>
          <w:szCs w:val="20"/>
          <w:lang w:val="es-CO"/>
        </w:rPr>
        <w:t>avances sustantivos en el cumplimiento con las recomendaciones, ni existen expectativas de que las mismas sean integralmente cumplidas ante la CIDH en un plazo razonable. Por lo tanto</w:t>
      </w:r>
      <w:r w:rsidR="005376D9" w:rsidRPr="00963D11">
        <w:rPr>
          <w:rFonts w:ascii="Cambria" w:hAnsi="Cambria" w:cs="Calibri"/>
          <w:color w:val="000000"/>
          <w:sz w:val="20"/>
          <w:szCs w:val="20"/>
          <w:lang w:val="es-ES_tradnl"/>
        </w:rPr>
        <w:t>,</w:t>
      </w:r>
      <w:r w:rsidR="00AC4FC1" w:rsidRPr="00963D11">
        <w:rPr>
          <w:rFonts w:ascii="Cambria" w:hAnsi="Cambria" w:cs="Calibri"/>
          <w:color w:val="000000"/>
          <w:sz w:val="20"/>
          <w:szCs w:val="20"/>
          <w:lang w:val="es-ES_tradnl"/>
        </w:rPr>
        <w:t xml:space="preserve"> </w:t>
      </w:r>
      <w:r w:rsidR="005376D9" w:rsidRPr="00963D11">
        <w:rPr>
          <w:rFonts w:ascii="Cambria" w:hAnsi="Cambria" w:cs="Calibri"/>
          <w:color w:val="000000"/>
          <w:sz w:val="20"/>
          <w:szCs w:val="20"/>
          <w:lang w:val="es-ES_tradnl"/>
        </w:rPr>
        <w:t xml:space="preserve">teniendo en cuenta </w:t>
      </w:r>
      <w:r w:rsidR="004F4E7F" w:rsidRPr="00963D11">
        <w:rPr>
          <w:rFonts w:ascii="Cambria" w:hAnsi="Cambria" w:cs="Calibri"/>
          <w:color w:val="000000"/>
          <w:sz w:val="20"/>
          <w:szCs w:val="20"/>
          <w:lang w:val="es-ES_tradnl"/>
        </w:rPr>
        <w:t xml:space="preserve">la </w:t>
      </w:r>
      <w:r w:rsidR="005376D9" w:rsidRPr="00963D11">
        <w:rPr>
          <w:rFonts w:ascii="Cambria" w:hAnsi="Cambria" w:cs="Calibri"/>
          <w:color w:val="000000"/>
          <w:sz w:val="20"/>
          <w:szCs w:val="20"/>
          <w:lang w:val="es-ES_tradnl"/>
        </w:rPr>
        <w:t>necesidad de obtención de justicia y reparación para la</w:t>
      </w:r>
      <w:r w:rsidR="006F2B7A" w:rsidRPr="00963D11">
        <w:rPr>
          <w:rFonts w:ascii="Cambria" w:hAnsi="Cambria" w:cs="Calibri"/>
          <w:color w:val="000000"/>
          <w:sz w:val="20"/>
          <w:szCs w:val="20"/>
          <w:lang w:val="es-ES_tradnl"/>
        </w:rPr>
        <w:t>s</w:t>
      </w:r>
      <w:r w:rsidR="005376D9" w:rsidRPr="00963D11">
        <w:rPr>
          <w:rFonts w:ascii="Cambria" w:hAnsi="Cambria" w:cs="Calibri"/>
          <w:color w:val="000000"/>
          <w:sz w:val="20"/>
          <w:szCs w:val="20"/>
          <w:lang w:val="es-ES_tradnl"/>
        </w:rPr>
        <w:t xml:space="preserve"> víctima</w:t>
      </w:r>
      <w:r w:rsidR="006F2B7A" w:rsidRPr="00963D11">
        <w:rPr>
          <w:rFonts w:ascii="Cambria" w:hAnsi="Cambria" w:cs="Calibri"/>
          <w:color w:val="000000"/>
          <w:sz w:val="20"/>
          <w:szCs w:val="20"/>
          <w:lang w:val="es-ES_tradnl"/>
        </w:rPr>
        <w:t>s</w:t>
      </w:r>
      <w:r w:rsidR="006252E5" w:rsidRPr="00963D11">
        <w:rPr>
          <w:rFonts w:ascii="Cambria" w:hAnsi="Cambria" w:cs="Calibri"/>
          <w:color w:val="000000"/>
          <w:sz w:val="20"/>
          <w:szCs w:val="20"/>
          <w:lang w:val="es-ES_tradnl"/>
        </w:rPr>
        <w:t xml:space="preserve">, </w:t>
      </w:r>
      <w:r w:rsidR="004F4E7F" w:rsidRPr="00963D11">
        <w:rPr>
          <w:rFonts w:ascii="Cambria" w:hAnsi="Cambria" w:cs="Calibri"/>
          <w:color w:val="000000"/>
          <w:sz w:val="20"/>
          <w:szCs w:val="20"/>
          <w:lang w:val="es-ES_tradnl"/>
        </w:rPr>
        <w:t>la Comisión decidió someter el caso a la jurisdicción de la Corte Interamericana</w:t>
      </w:r>
      <w:r w:rsidR="00186B8D" w:rsidRPr="00963D11">
        <w:rPr>
          <w:rFonts w:ascii="Cambria" w:hAnsi="Cambria" w:cs="Calibri"/>
          <w:sz w:val="20"/>
          <w:szCs w:val="20"/>
          <w:lang w:val="es-AR"/>
        </w:rPr>
        <w:t>.</w:t>
      </w:r>
      <w:r w:rsidR="00FF2DAA" w:rsidRPr="00007A84">
        <w:rPr>
          <w:rFonts w:ascii="Cambria" w:hAnsi="Cambria" w:cs="Calibri"/>
          <w:sz w:val="20"/>
          <w:szCs w:val="20"/>
          <w:lang w:val="es-AR"/>
        </w:rPr>
        <w:t xml:space="preserve"> </w:t>
      </w:r>
    </w:p>
    <w:p w14:paraId="663172EC" w14:textId="77777777" w:rsidR="00DB5116" w:rsidRDefault="00DB5116" w:rsidP="00FD0015">
      <w:pPr>
        <w:tabs>
          <w:tab w:val="left" w:pos="810"/>
        </w:tabs>
        <w:spacing w:after="0" w:line="240" w:lineRule="auto"/>
        <w:ind w:firstLine="720"/>
        <w:jc w:val="both"/>
        <w:rPr>
          <w:rFonts w:ascii="Cambria" w:hAnsi="Cambria" w:cs="Calibri"/>
          <w:sz w:val="20"/>
          <w:szCs w:val="20"/>
          <w:lang w:val="es-AR"/>
        </w:rPr>
      </w:pPr>
    </w:p>
    <w:p w14:paraId="1212B19C" w14:textId="77777777" w:rsidR="007258E8" w:rsidRDefault="00FD0015" w:rsidP="007258E8">
      <w:pPr>
        <w:tabs>
          <w:tab w:val="left" w:pos="810"/>
        </w:tabs>
        <w:spacing w:after="0" w:line="240" w:lineRule="auto"/>
        <w:ind w:firstLine="720"/>
        <w:jc w:val="both"/>
        <w:rPr>
          <w:rFonts w:ascii="Cambria" w:hAnsi="Cambria"/>
          <w:sz w:val="20"/>
          <w:szCs w:val="20"/>
          <w:lang w:val="es-CO"/>
        </w:rPr>
      </w:pPr>
      <w:r w:rsidRPr="002A348D">
        <w:rPr>
          <w:rFonts w:ascii="Cambria" w:hAnsi="Cambria"/>
          <w:sz w:val="20"/>
          <w:szCs w:val="20"/>
          <w:lang w:val="es-CO"/>
        </w:rPr>
        <w:t xml:space="preserve">Específicamente, la Comisión somete a la Honorable Corte las acciones y omisiones estatales que ocurrieron o continuaron ocurriendo con posterioridad al </w:t>
      </w:r>
      <w:r w:rsidRPr="00007A84">
        <w:rPr>
          <w:rFonts w:ascii="Cambria" w:hAnsi="Cambria" w:cs="Calibri"/>
          <w:color w:val="000000"/>
          <w:sz w:val="20"/>
          <w:szCs w:val="20"/>
          <w:lang w:val="es-ES_tradnl"/>
        </w:rPr>
        <w:t>10 de diciembre de 1998</w:t>
      </w:r>
      <w:r w:rsidRPr="002A348D">
        <w:rPr>
          <w:rFonts w:ascii="Cambria" w:hAnsi="Cambria"/>
          <w:sz w:val="20"/>
          <w:szCs w:val="20"/>
          <w:lang w:val="es-CO"/>
        </w:rPr>
        <w:t xml:space="preserve">, fecha de aceptación de la competencia </w:t>
      </w:r>
      <w:r>
        <w:rPr>
          <w:rFonts w:ascii="Cambria" w:hAnsi="Cambria"/>
          <w:sz w:val="20"/>
          <w:szCs w:val="20"/>
          <w:lang w:val="es-CO"/>
        </w:rPr>
        <w:t xml:space="preserve">contenciosa </w:t>
      </w:r>
      <w:r w:rsidRPr="002A348D">
        <w:rPr>
          <w:rFonts w:ascii="Cambria" w:hAnsi="Cambria"/>
          <w:sz w:val="20"/>
          <w:szCs w:val="20"/>
          <w:lang w:val="es-CO"/>
        </w:rPr>
        <w:t xml:space="preserve">de la Corte por parte del Estado </w:t>
      </w:r>
      <w:r>
        <w:rPr>
          <w:rFonts w:ascii="Cambria" w:hAnsi="Cambria"/>
          <w:sz w:val="20"/>
          <w:szCs w:val="20"/>
          <w:lang w:val="es-CO"/>
        </w:rPr>
        <w:t>de Brasil</w:t>
      </w:r>
      <w:r w:rsidRPr="002A348D">
        <w:rPr>
          <w:rFonts w:ascii="Cambria" w:hAnsi="Cambria"/>
          <w:sz w:val="20"/>
          <w:szCs w:val="20"/>
          <w:lang w:val="es-CO"/>
        </w:rPr>
        <w:t xml:space="preserve">. </w:t>
      </w:r>
      <w:r w:rsidR="000C7FCE" w:rsidRPr="003D3F6E">
        <w:rPr>
          <w:rFonts w:ascii="Cambria" w:hAnsi="Cambria"/>
          <w:sz w:val="20"/>
          <w:szCs w:val="20"/>
          <w:lang w:val="es-CO"/>
        </w:rPr>
        <w:t xml:space="preserve">Específicamente, la Comisión somete a la Honorable Corte </w:t>
      </w:r>
      <w:r w:rsidR="000C7FCE" w:rsidRPr="00452270">
        <w:rPr>
          <w:rFonts w:ascii="Cambria" w:hAnsi="Cambria"/>
          <w:sz w:val="20"/>
          <w:szCs w:val="20"/>
          <w:lang w:val="es-CO"/>
        </w:rPr>
        <w:t xml:space="preserve">las acciones y </w:t>
      </w:r>
      <w:r w:rsidR="000C7FCE">
        <w:rPr>
          <w:rFonts w:ascii="Cambria" w:hAnsi="Cambria"/>
          <w:sz w:val="20"/>
          <w:szCs w:val="20"/>
          <w:lang w:val="es-CO"/>
        </w:rPr>
        <w:t xml:space="preserve">omisiones estatales ocurridas o </w:t>
      </w:r>
      <w:r w:rsidR="000C7FCE" w:rsidRPr="00452270">
        <w:rPr>
          <w:rFonts w:ascii="Cambria" w:hAnsi="Cambria"/>
          <w:sz w:val="20"/>
          <w:szCs w:val="20"/>
          <w:lang w:val="es-CO"/>
        </w:rPr>
        <w:t xml:space="preserve">que continuaron </w:t>
      </w:r>
      <w:r w:rsidR="000C7FCE">
        <w:rPr>
          <w:rFonts w:ascii="Cambria" w:hAnsi="Cambria"/>
          <w:sz w:val="20"/>
          <w:szCs w:val="20"/>
          <w:lang w:val="es-CO"/>
        </w:rPr>
        <w:t>ocurriendo con posterioridad al</w:t>
      </w:r>
      <w:r w:rsidR="000C7FCE" w:rsidRPr="003D3F6E">
        <w:rPr>
          <w:rFonts w:ascii="Cambria" w:hAnsi="Cambria"/>
          <w:sz w:val="20"/>
          <w:szCs w:val="20"/>
          <w:lang w:val="es-PE"/>
        </w:rPr>
        <w:t xml:space="preserve"> </w:t>
      </w:r>
      <w:r w:rsidR="000C7FCE" w:rsidRPr="00007A84">
        <w:rPr>
          <w:rFonts w:ascii="Cambria" w:hAnsi="Cambria" w:cs="Calibri"/>
          <w:color w:val="000000"/>
          <w:sz w:val="20"/>
          <w:szCs w:val="20"/>
          <w:lang w:val="es-ES_tradnl"/>
        </w:rPr>
        <w:t>10 de diciembre de 1998</w:t>
      </w:r>
      <w:r w:rsidR="000C7FCE" w:rsidRPr="00452270">
        <w:rPr>
          <w:rFonts w:ascii="Cambria" w:hAnsi="Cambria"/>
          <w:sz w:val="20"/>
          <w:szCs w:val="20"/>
          <w:lang w:val="es-CO"/>
        </w:rPr>
        <w:t>, fecha de aceptación de la competencia</w:t>
      </w:r>
      <w:r w:rsidR="000C7FCE">
        <w:rPr>
          <w:rFonts w:ascii="Cambria" w:hAnsi="Cambria"/>
          <w:sz w:val="20"/>
          <w:szCs w:val="20"/>
          <w:lang w:val="es-CO"/>
        </w:rPr>
        <w:t xml:space="preserve"> </w:t>
      </w:r>
      <w:r w:rsidR="000C7FCE" w:rsidRPr="00452270">
        <w:rPr>
          <w:rFonts w:ascii="Cambria" w:hAnsi="Cambria"/>
          <w:sz w:val="20"/>
          <w:szCs w:val="20"/>
          <w:lang w:val="es-CO"/>
        </w:rPr>
        <w:t xml:space="preserve">contenciosa de la Corte Interamericana por parte del Estado de </w:t>
      </w:r>
      <w:r w:rsidR="000C7FCE">
        <w:rPr>
          <w:rFonts w:ascii="Cambria" w:hAnsi="Cambria"/>
          <w:sz w:val="20"/>
          <w:szCs w:val="20"/>
          <w:lang w:val="es-CO"/>
        </w:rPr>
        <w:t>Brasil</w:t>
      </w:r>
      <w:r w:rsidR="000C7FCE" w:rsidRPr="00452270">
        <w:rPr>
          <w:rFonts w:ascii="Cambria" w:hAnsi="Cambria"/>
          <w:sz w:val="20"/>
          <w:szCs w:val="20"/>
          <w:lang w:val="es-CO"/>
        </w:rPr>
        <w:t>.</w:t>
      </w:r>
      <w:r w:rsidR="000C7FCE">
        <w:rPr>
          <w:rFonts w:ascii="Cambria" w:hAnsi="Cambria"/>
          <w:sz w:val="20"/>
          <w:szCs w:val="20"/>
          <w:lang w:val="es-CO"/>
        </w:rPr>
        <w:t xml:space="preserve"> Así, la Comisión resalta que se encuentran </w:t>
      </w:r>
      <w:r w:rsidR="00BF33F0">
        <w:rPr>
          <w:rFonts w:ascii="Cambria" w:hAnsi="Cambria"/>
          <w:sz w:val="20"/>
          <w:szCs w:val="20"/>
          <w:lang w:val="es-CO"/>
        </w:rPr>
        <w:t xml:space="preserve">incluidos </w:t>
      </w:r>
      <w:r w:rsidR="000C7FCE">
        <w:rPr>
          <w:rFonts w:ascii="Cambria" w:hAnsi="Cambria"/>
          <w:sz w:val="20"/>
          <w:szCs w:val="20"/>
          <w:lang w:val="es-CO"/>
        </w:rPr>
        <w:t xml:space="preserve">dentro de la competencia de la Corte </w:t>
      </w:r>
      <w:r w:rsidR="000C7FCE" w:rsidRPr="003D3F6E">
        <w:rPr>
          <w:rFonts w:ascii="Cambria" w:hAnsi="Cambria"/>
          <w:sz w:val="20"/>
          <w:szCs w:val="20"/>
          <w:lang w:val="es-CO"/>
        </w:rPr>
        <w:t xml:space="preserve">los hechos relativos a </w:t>
      </w:r>
      <w:r w:rsidR="000C7FCE" w:rsidRPr="003D3F6E">
        <w:rPr>
          <w:rFonts w:ascii="Cambria" w:hAnsi="Cambria" w:cs="Calibri"/>
          <w:sz w:val="20"/>
          <w:szCs w:val="20"/>
          <w:lang w:val="es-ES"/>
        </w:rPr>
        <w:t>la desaparici</w:t>
      </w:r>
      <w:r w:rsidR="007258E8">
        <w:rPr>
          <w:rFonts w:ascii="Cambria" w:hAnsi="Cambria" w:cs="Calibri"/>
          <w:sz w:val="20"/>
          <w:szCs w:val="20"/>
          <w:lang w:val="es-ES"/>
        </w:rPr>
        <w:t>ón</w:t>
      </w:r>
      <w:r w:rsidR="000C7FCE" w:rsidRPr="003D3F6E">
        <w:rPr>
          <w:rFonts w:ascii="Cambria" w:hAnsi="Cambria" w:cs="Calibri"/>
          <w:sz w:val="20"/>
          <w:szCs w:val="20"/>
          <w:lang w:val="es-ES"/>
        </w:rPr>
        <w:t xml:space="preserve"> forzada de </w:t>
      </w:r>
      <w:r w:rsidR="000C7FCE">
        <w:rPr>
          <w:rFonts w:ascii="Cambria" w:hAnsi="Cambria"/>
          <w:sz w:val="20"/>
          <w:szCs w:val="20"/>
          <w:lang w:val="es-ES_tradnl"/>
        </w:rPr>
        <w:t xml:space="preserve">las </w:t>
      </w:r>
      <w:r w:rsidR="007258E8">
        <w:rPr>
          <w:rFonts w:ascii="Cambria" w:hAnsi="Cambria"/>
          <w:sz w:val="20"/>
          <w:szCs w:val="20"/>
          <w:lang w:val="es-ES_tradnl"/>
        </w:rPr>
        <w:t xml:space="preserve">once </w:t>
      </w:r>
      <w:r w:rsidR="000C7FCE">
        <w:rPr>
          <w:rFonts w:ascii="Cambria" w:hAnsi="Cambria"/>
          <w:sz w:val="20"/>
          <w:szCs w:val="20"/>
          <w:lang w:val="es-ES_tradnl"/>
        </w:rPr>
        <w:t>v</w:t>
      </w:r>
      <w:r w:rsidR="000C7FCE">
        <w:rPr>
          <w:rFonts w:ascii="Cambria" w:hAnsi="Cambria"/>
          <w:sz w:val="20"/>
          <w:szCs w:val="20"/>
          <w:lang w:val="es-US"/>
        </w:rPr>
        <w:t>íctimas</w:t>
      </w:r>
      <w:r w:rsidR="000C7FCE" w:rsidRPr="003D3F6E">
        <w:rPr>
          <w:rFonts w:ascii="Cambria" w:hAnsi="Cambria"/>
          <w:sz w:val="20"/>
          <w:szCs w:val="20"/>
          <w:lang w:val="es-ES_tradnl"/>
        </w:rPr>
        <w:t xml:space="preserve">, las cuales continúan hasta el presente, </w:t>
      </w:r>
      <w:r w:rsidR="007258E8">
        <w:rPr>
          <w:rFonts w:ascii="Cambria" w:hAnsi="Cambria"/>
          <w:sz w:val="20"/>
          <w:szCs w:val="20"/>
          <w:lang w:val="es-ES_tradnl"/>
        </w:rPr>
        <w:t xml:space="preserve">su falta de investigación y sanción, así como la </w:t>
      </w:r>
      <w:r w:rsidR="000C7FCE" w:rsidRPr="003D3F6E">
        <w:rPr>
          <w:rFonts w:ascii="Cambria" w:hAnsi="Cambria"/>
          <w:sz w:val="20"/>
          <w:szCs w:val="20"/>
          <w:lang w:val="es-ES_tradnl"/>
        </w:rPr>
        <w:t>falta de investigación y sanción de</w:t>
      </w:r>
      <w:r w:rsidR="007258E8">
        <w:rPr>
          <w:rFonts w:ascii="Cambria" w:hAnsi="Cambria"/>
          <w:sz w:val="20"/>
          <w:szCs w:val="20"/>
          <w:lang w:val="es-ES_tradnl"/>
        </w:rPr>
        <w:t xml:space="preserve"> las muertes de</w:t>
      </w:r>
      <w:r w:rsidR="000C7FCE" w:rsidRPr="003D3F6E">
        <w:rPr>
          <w:rFonts w:ascii="Cambria" w:hAnsi="Cambria"/>
          <w:sz w:val="20"/>
          <w:szCs w:val="20"/>
          <w:lang w:val="es-ES_tradnl"/>
        </w:rPr>
        <w:t xml:space="preserve"> </w:t>
      </w:r>
      <w:r w:rsidR="007258E8" w:rsidRPr="00086654">
        <w:rPr>
          <w:rFonts w:ascii="Cambria" w:hAnsi="Cambria"/>
          <w:color w:val="000000"/>
          <w:sz w:val="20"/>
          <w:szCs w:val="20"/>
          <w:lang w:val="es-ES_tradnl"/>
        </w:rPr>
        <w:t>Edméa da Silva Euzébio y Sheila da Conceição</w:t>
      </w:r>
      <w:r w:rsidR="000C7FCE" w:rsidRPr="003D3F6E">
        <w:rPr>
          <w:rFonts w:ascii="Cambria" w:hAnsi="Cambria"/>
          <w:sz w:val="20"/>
          <w:szCs w:val="20"/>
          <w:lang w:val="es-CO"/>
        </w:rPr>
        <w:t xml:space="preserve">. </w:t>
      </w:r>
    </w:p>
    <w:p w14:paraId="72347A65" w14:textId="77777777" w:rsidR="007258E8" w:rsidRDefault="007258E8" w:rsidP="007258E8">
      <w:pPr>
        <w:tabs>
          <w:tab w:val="left" w:pos="810"/>
        </w:tabs>
        <w:spacing w:after="0" w:line="240" w:lineRule="auto"/>
        <w:ind w:firstLine="720"/>
        <w:jc w:val="both"/>
        <w:rPr>
          <w:rFonts w:ascii="Cambria" w:hAnsi="Cambria"/>
          <w:sz w:val="20"/>
          <w:szCs w:val="20"/>
          <w:lang w:val="es-CO"/>
        </w:rPr>
      </w:pPr>
    </w:p>
    <w:p w14:paraId="624874E4" w14:textId="77777777" w:rsidR="007258E8" w:rsidRPr="007258E8" w:rsidRDefault="00143EB4" w:rsidP="007258E8">
      <w:pPr>
        <w:tabs>
          <w:tab w:val="left" w:pos="810"/>
        </w:tabs>
        <w:spacing w:after="0" w:line="240" w:lineRule="auto"/>
        <w:ind w:firstLine="720"/>
        <w:jc w:val="both"/>
        <w:rPr>
          <w:rFonts w:ascii="Cambria" w:hAnsi="Cambria"/>
          <w:sz w:val="20"/>
          <w:szCs w:val="20"/>
          <w:lang w:val="es-CO"/>
        </w:rPr>
      </w:pPr>
      <w:r w:rsidRPr="00007A84">
        <w:rPr>
          <w:rFonts w:ascii="Cambria" w:hAnsi="Cambria" w:cs="Calibri"/>
          <w:color w:val="000000"/>
          <w:sz w:val="20"/>
          <w:szCs w:val="20"/>
          <w:lang w:val="es-ES_tradnl"/>
        </w:rPr>
        <w:t xml:space="preserve">En ese sentido, la Comisión solicita a la </w:t>
      </w:r>
      <w:r w:rsidR="00707281" w:rsidRPr="00007A84">
        <w:rPr>
          <w:rFonts w:ascii="Cambria" w:hAnsi="Cambria" w:cs="Calibri"/>
          <w:color w:val="000000"/>
          <w:sz w:val="20"/>
          <w:szCs w:val="20"/>
          <w:lang w:val="es-ES_tradnl"/>
        </w:rPr>
        <w:t xml:space="preserve">Honorable </w:t>
      </w:r>
      <w:r w:rsidRPr="00007A84">
        <w:rPr>
          <w:rFonts w:ascii="Cambria" w:hAnsi="Cambria" w:cs="Calibri"/>
          <w:color w:val="000000"/>
          <w:sz w:val="20"/>
          <w:szCs w:val="20"/>
          <w:lang w:val="es-ES_tradnl"/>
        </w:rPr>
        <w:t xml:space="preserve">Corte que concluya y declare que el Estado de </w:t>
      </w:r>
      <w:r w:rsidR="00F52C72" w:rsidRPr="00007A84">
        <w:rPr>
          <w:rFonts w:ascii="Cambria" w:hAnsi="Cambria" w:cs="Calibri"/>
          <w:color w:val="000000"/>
          <w:sz w:val="20"/>
          <w:szCs w:val="20"/>
          <w:lang w:val="es-ES_tradnl"/>
        </w:rPr>
        <w:t>Brasil</w:t>
      </w:r>
      <w:r w:rsidRPr="00007A84">
        <w:rPr>
          <w:rFonts w:ascii="Cambria" w:hAnsi="Cambria" w:cs="Calibri"/>
          <w:color w:val="000000"/>
          <w:sz w:val="20"/>
          <w:szCs w:val="20"/>
          <w:lang w:val="es-ES_tradnl"/>
        </w:rPr>
        <w:t xml:space="preserve"> </w:t>
      </w:r>
      <w:r w:rsidR="00D902D7" w:rsidRPr="00007A84">
        <w:rPr>
          <w:rFonts w:ascii="Cambria" w:hAnsi="Cambria" w:cs="Calibri"/>
          <w:color w:val="000000"/>
          <w:sz w:val="20"/>
          <w:szCs w:val="20"/>
          <w:lang w:val="es-ES_tradnl"/>
        </w:rPr>
        <w:t xml:space="preserve">es responsable por la violación </w:t>
      </w:r>
      <w:r w:rsidR="00FD0015" w:rsidRPr="009A6627">
        <w:rPr>
          <w:rFonts w:ascii="Cambria" w:hAnsi="Cambria"/>
          <w:color w:val="000000"/>
          <w:sz w:val="20"/>
          <w:szCs w:val="20"/>
          <w:lang w:val="es-US"/>
        </w:rPr>
        <w:t xml:space="preserve">de los </w:t>
      </w:r>
      <w:r w:rsidR="007258E8">
        <w:rPr>
          <w:rFonts w:ascii="Cambria" w:hAnsi="Cambria"/>
          <w:color w:val="000000"/>
          <w:sz w:val="20"/>
          <w:szCs w:val="20"/>
          <w:lang w:val="es-US"/>
        </w:rPr>
        <w:t xml:space="preserve">derechos consagrados en los </w:t>
      </w:r>
      <w:r w:rsidR="007258E8" w:rsidRPr="00D228A7">
        <w:rPr>
          <w:rFonts w:ascii="Cambria" w:hAnsi="Cambria"/>
          <w:sz w:val="20"/>
          <w:szCs w:val="20"/>
          <w:lang w:val="es-ES_tradnl"/>
        </w:rPr>
        <w:t>artículos 3</w:t>
      </w:r>
      <w:r w:rsidR="00FB7801">
        <w:rPr>
          <w:rFonts w:ascii="Cambria" w:hAnsi="Cambria"/>
          <w:sz w:val="20"/>
          <w:szCs w:val="20"/>
          <w:lang w:val="es-ES_tradnl"/>
        </w:rPr>
        <w:t xml:space="preserve"> (personalidad jurídica)</w:t>
      </w:r>
      <w:r w:rsidR="007258E8" w:rsidRPr="00D228A7">
        <w:rPr>
          <w:rFonts w:ascii="Cambria" w:hAnsi="Cambria"/>
          <w:sz w:val="20"/>
          <w:szCs w:val="20"/>
          <w:lang w:val="es-ES_tradnl"/>
        </w:rPr>
        <w:t>, 4</w:t>
      </w:r>
      <w:r w:rsidR="00FB7801">
        <w:rPr>
          <w:rFonts w:ascii="Cambria" w:hAnsi="Cambria"/>
          <w:sz w:val="20"/>
          <w:szCs w:val="20"/>
          <w:lang w:val="es-ES_tradnl"/>
        </w:rPr>
        <w:t xml:space="preserve"> (vida)</w:t>
      </w:r>
      <w:r w:rsidR="007258E8" w:rsidRPr="00D228A7">
        <w:rPr>
          <w:rFonts w:ascii="Cambria" w:hAnsi="Cambria"/>
          <w:sz w:val="20"/>
          <w:szCs w:val="20"/>
          <w:lang w:val="es-ES_tradnl"/>
        </w:rPr>
        <w:t>, 5</w:t>
      </w:r>
      <w:r w:rsidR="00FB7801">
        <w:rPr>
          <w:rFonts w:ascii="Cambria" w:hAnsi="Cambria"/>
          <w:sz w:val="20"/>
          <w:szCs w:val="20"/>
          <w:lang w:val="es-ES_tradnl"/>
        </w:rPr>
        <w:t xml:space="preserve"> </w:t>
      </w:r>
      <w:r w:rsidR="00FB7801" w:rsidRPr="00A671D4">
        <w:rPr>
          <w:rFonts w:ascii="Cambria" w:hAnsi="Cambria"/>
          <w:sz w:val="20"/>
          <w:szCs w:val="20"/>
          <w:lang w:val="es-ES_tradnl"/>
        </w:rPr>
        <w:t>(integridad personal)</w:t>
      </w:r>
      <w:r w:rsidR="007258E8" w:rsidRPr="00D228A7">
        <w:rPr>
          <w:rFonts w:ascii="Cambria" w:hAnsi="Cambria"/>
          <w:sz w:val="20"/>
          <w:szCs w:val="20"/>
          <w:lang w:val="es-ES_tradnl"/>
        </w:rPr>
        <w:t>, 8</w:t>
      </w:r>
      <w:r w:rsidR="00FB7801">
        <w:rPr>
          <w:rFonts w:ascii="Cambria" w:hAnsi="Cambria"/>
          <w:sz w:val="20"/>
          <w:szCs w:val="20"/>
          <w:lang w:val="es-ES_tradnl"/>
        </w:rPr>
        <w:t xml:space="preserve"> </w:t>
      </w:r>
      <w:r w:rsidR="00FB7801" w:rsidRPr="00A671D4">
        <w:rPr>
          <w:rFonts w:ascii="Cambria" w:hAnsi="Cambria"/>
          <w:sz w:val="20"/>
          <w:szCs w:val="20"/>
          <w:lang w:val="es-ES_tradnl"/>
        </w:rPr>
        <w:t>(garantías judiciales)</w:t>
      </w:r>
      <w:r w:rsidR="007258E8" w:rsidRPr="00D228A7">
        <w:rPr>
          <w:rFonts w:ascii="Cambria" w:hAnsi="Cambria"/>
          <w:sz w:val="20"/>
          <w:szCs w:val="20"/>
          <w:lang w:val="es-ES_tradnl"/>
        </w:rPr>
        <w:t xml:space="preserve">, </w:t>
      </w:r>
      <w:r w:rsidR="00F31322">
        <w:rPr>
          <w:rFonts w:ascii="Cambria" w:hAnsi="Cambria"/>
          <w:sz w:val="20"/>
          <w:szCs w:val="20"/>
          <w:lang w:val="es-ES_tradnl"/>
        </w:rPr>
        <w:t>13 (</w:t>
      </w:r>
      <w:r w:rsidR="00F31322" w:rsidRPr="00D228A7">
        <w:rPr>
          <w:rFonts w:ascii="Cambria" w:hAnsi="Cambria"/>
          <w:sz w:val="20"/>
          <w:szCs w:val="20"/>
          <w:lang w:val="es-ES_tradnl"/>
        </w:rPr>
        <w:t>libertad de expresión</w:t>
      </w:r>
      <w:r w:rsidR="00F31322">
        <w:rPr>
          <w:rFonts w:ascii="Cambria" w:hAnsi="Cambria"/>
          <w:sz w:val="20"/>
          <w:szCs w:val="20"/>
          <w:lang w:val="es-ES_tradnl"/>
        </w:rPr>
        <w:t xml:space="preserve">), </w:t>
      </w:r>
      <w:r w:rsidR="007258E8" w:rsidRPr="00D228A7">
        <w:rPr>
          <w:rFonts w:ascii="Cambria" w:hAnsi="Cambria"/>
          <w:sz w:val="20"/>
          <w:szCs w:val="20"/>
          <w:lang w:val="es-ES_tradnl"/>
        </w:rPr>
        <w:t>16</w:t>
      </w:r>
      <w:r w:rsidR="00FB7801">
        <w:rPr>
          <w:rFonts w:ascii="Cambria" w:hAnsi="Cambria"/>
          <w:sz w:val="20"/>
          <w:szCs w:val="20"/>
          <w:lang w:val="es-ES_tradnl"/>
        </w:rPr>
        <w:t xml:space="preserve"> </w:t>
      </w:r>
      <w:r w:rsidR="00FB7801" w:rsidRPr="00A671D4">
        <w:rPr>
          <w:rFonts w:ascii="Cambria" w:hAnsi="Cambria"/>
          <w:sz w:val="20"/>
          <w:szCs w:val="20"/>
          <w:lang w:val="es-ES_tradnl"/>
        </w:rPr>
        <w:t>(libertad de asociación)</w:t>
      </w:r>
      <w:r w:rsidR="007258E8" w:rsidRPr="00D228A7">
        <w:rPr>
          <w:rFonts w:ascii="Cambria" w:hAnsi="Cambria"/>
          <w:sz w:val="20"/>
          <w:szCs w:val="20"/>
          <w:lang w:val="es-ES_tradnl"/>
        </w:rPr>
        <w:t>, 19</w:t>
      </w:r>
      <w:r w:rsidR="00FB7801">
        <w:rPr>
          <w:rFonts w:ascii="Cambria" w:hAnsi="Cambria"/>
          <w:sz w:val="20"/>
          <w:szCs w:val="20"/>
          <w:lang w:val="es-ES_tradnl"/>
        </w:rPr>
        <w:t xml:space="preserve"> (derechos de la niñez)</w:t>
      </w:r>
      <w:r w:rsidR="007258E8" w:rsidRPr="00D228A7">
        <w:rPr>
          <w:rFonts w:ascii="Cambria" w:hAnsi="Cambria"/>
          <w:sz w:val="20"/>
          <w:szCs w:val="20"/>
          <w:lang w:val="es-ES_tradnl"/>
        </w:rPr>
        <w:t>, 24</w:t>
      </w:r>
      <w:r w:rsidR="00FB7801">
        <w:rPr>
          <w:rFonts w:ascii="Cambria" w:hAnsi="Cambria"/>
          <w:sz w:val="20"/>
          <w:szCs w:val="20"/>
          <w:lang w:val="es-ES_tradnl"/>
        </w:rPr>
        <w:t xml:space="preserve"> </w:t>
      </w:r>
      <w:r w:rsidR="00FB7801" w:rsidRPr="00A671D4">
        <w:rPr>
          <w:rFonts w:ascii="Cambria" w:hAnsi="Cambria"/>
          <w:sz w:val="20"/>
          <w:szCs w:val="20"/>
          <w:lang w:val="es-ES_tradnl"/>
        </w:rPr>
        <w:t>(igualdad ante la ley)</w:t>
      </w:r>
      <w:r w:rsidR="007258E8" w:rsidRPr="00D228A7">
        <w:rPr>
          <w:rFonts w:ascii="Cambria" w:hAnsi="Cambria"/>
          <w:sz w:val="20"/>
          <w:szCs w:val="20"/>
          <w:lang w:val="es-ES_tradnl"/>
        </w:rPr>
        <w:t xml:space="preserve"> y 25 </w:t>
      </w:r>
      <w:r w:rsidR="00FB7801" w:rsidRPr="00A671D4">
        <w:rPr>
          <w:rFonts w:ascii="Cambria" w:hAnsi="Cambria"/>
          <w:sz w:val="20"/>
          <w:szCs w:val="20"/>
          <w:lang w:val="es-ES_tradnl"/>
        </w:rPr>
        <w:t xml:space="preserve">(protección judicial) </w:t>
      </w:r>
      <w:r w:rsidR="007258E8" w:rsidRPr="00D228A7">
        <w:rPr>
          <w:rFonts w:ascii="Cambria" w:hAnsi="Cambria"/>
          <w:sz w:val="20"/>
          <w:szCs w:val="20"/>
          <w:lang w:val="es-ES_tradnl"/>
        </w:rPr>
        <w:t xml:space="preserve">de la Convención Americana en relación con sus artículos 1.1 y 2; de los artículos I.a, b y d, y III de la </w:t>
      </w:r>
      <w:r w:rsidR="00553789">
        <w:rPr>
          <w:rFonts w:ascii="Cambria" w:hAnsi="Cambria"/>
          <w:sz w:val="20"/>
          <w:szCs w:val="20"/>
          <w:lang w:val="es-ES_tradnl"/>
        </w:rPr>
        <w:t>Convención Interamericana sobre Desaparición Forzada de Personas</w:t>
      </w:r>
      <w:r w:rsidR="007258E8" w:rsidRPr="00D228A7">
        <w:rPr>
          <w:rFonts w:ascii="Cambria" w:hAnsi="Cambria"/>
          <w:sz w:val="20"/>
          <w:szCs w:val="20"/>
          <w:lang w:val="es-ES_tradnl"/>
        </w:rPr>
        <w:t xml:space="preserve">; y de los </w:t>
      </w:r>
      <w:r w:rsidR="007258E8" w:rsidRPr="00875820">
        <w:rPr>
          <w:rFonts w:ascii="Cambria" w:hAnsi="Cambria"/>
          <w:sz w:val="20"/>
          <w:szCs w:val="20"/>
          <w:lang w:val="es-ES_tradnl"/>
        </w:rPr>
        <w:t>artículos 7.b) y 7.f) de la</w:t>
      </w:r>
      <w:r w:rsidR="007258E8" w:rsidRPr="00D228A7">
        <w:rPr>
          <w:rFonts w:ascii="Cambria" w:hAnsi="Cambria"/>
          <w:sz w:val="20"/>
          <w:szCs w:val="20"/>
          <w:lang w:val="es-ES_tradnl"/>
        </w:rPr>
        <w:t xml:space="preserve"> Convención de Belém do Pará. </w:t>
      </w:r>
      <w:r w:rsidR="00553789">
        <w:rPr>
          <w:rFonts w:ascii="Cambria" w:hAnsi="Cambria"/>
          <w:sz w:val="20"/>
          <w:szCs w:val="20"/>
          <w:lang w:val="es-ES_tradnl"/>
        </w:rPr>
        <w:t xml:space="preserve"> </w:t>
      </w:r>
    </w:p>
    <w:p w14:paraId="10B946F1" w14:textId="77777777" w:rsidR="00BD53CE" w:rsidRPr="0077163B" w:rsidRDefault="00BD53CE" w:rsidP="00BD53CE">
      <w:pPr>
        <w:tabs>
          <w:tab w:val="left" w:pos="810"/>
        </w:tabs>
        <w:spacing w:after="0" w:line="240" w:lineRule="auto"/>
        <w:ind w:firstLine="720"/>
        <w:jc w:val="both"/>
        <w:rPr>
          <w:rFonts w:ascii="Cambria" w:hAnsi="Cambria" w:cs="Calibri"/>
          <w:sz w:val="20"/>
          <w:szCs w:val="20"/>
          <w:lang w:val="es-CO"/>
        </w:rPr>
      </w:pPr>
    </w:p>
    <w:p w14:paraId="2EE3458C" w14:textId="77777777" w:rsidR="00670828" w:rsidRPr="00007A84" w:rsidRDefault="005813B7" w:rsidP="00BD53CE">
      <w:pPr>
        <w:pStyle w:val="ListParagraph"/>
        <w:tabs>
          <w:tab w:val="left" w:pos="720"/>
          <w:tab w:val="left" w:pos="1440"/>
        </w:tabs>
        <w:ind w:left="0"/>
        <w:jc w:val="both"/>
        <w:rPr>
          <w:rFonts w:eastAsia="Calibri" w:cs="Calibri"/>
          <w:sz w:val="20"/>
          <w:szCs w:val="20"/>
          <w:bdr w:val="none" w:sz="0" w:space="0" w:color="auto"/>
          <w:lang w:val="es-ES_tradnl" w:eastAsia="en-US"/>
        </w:rPr>
      </w:pPr>
      <w:r w:rsidRPr="00007A84">
        <w:rPr>
          <w:rFonts w:eastAsia="Calibri" w:cs="Calibri"/>
          <w:sz w:val="20"/>
          <w:szCs w:val="20"/>
          <w:bdr w:val="none" w:sz="0" w:space="0" w:color="auto"/>
          <w:lang w:val="es-US" w:eastAsia="en-US"/>
        </w:rPr>
        <w:tab/>
      </w:r>
      <w:r w:rsidR="00162CE1" w:rsidRPr="00007A84">
        <w:rPr>
          <w:rFonts w:cs="Calibri"/>
          <w:sz w:val="20"/>
          <w:szCs w:val="20"/>
          <w:lang w:val="es-ES_tradnl"/>
        </w:rPr>
        <w:t xml:space="preserve">En consecuencia, la Comisión solicita a la Corte Interamericana que </w:t>
      </w:r>
      <w:r w:rsidR="00670828" w:rsidRPr="00007A84">
        <w:rPr>
          <w:rFonts w:cs="Calibri"/>
          <w:sz w:val="20"/>
          <w:szCs w:val="20"/>
          <w:lang w:val="es-ES_tradnl"/>
        </w:rPr>
        <w:t>establezca las siguientes medidas de reparación:</w:t>
      </w:r>
    </w:p>
    <w:p w14:paraId="5FEFD5F6" w14:textId="77777777" w:rsidR="00B7660C" w:rsidRPr="00007A84" w:rsidRDefault="00B7660C" w:rsidP="00A94E5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720"/>
          <w:tab w:val="left" w:pos="810"/>
        </w:tabs>
        <w:ind w:left="810" w:right="720"/>
        <w:jc w:val="both"/>
        <w:rPr>
          <w:rFonts w:cs="Calibri"/>
          <w:sz w:val="20"/>
          <w:szCs w:val="20"/>
          <w:lang w:val="es-ES"/>
        </w:rPr>
      </w:pPr>
    </w:p>
    <w:p w14:paraId="0EF030DC" w14:textId="77777777" w:rsidR="00A94E5A" w:rsidRPr="00FB1FBF" w:rsidRDefault="00A94E5A" w:rsidP="00A94E5A">
      <w:pPr>
        <w:pStyle w:val="ListParagraph"/>
        <w:numPr>
          <w:ilvl w:val="0"/>
          <w:numId w:val="25"/>
        </w:numPr>
        <w:tabs>
          <w:tab w:val="left" w:pos="540"/>
          <w:tab w:val="num" w:pos="1080"/>
        </w:tabs>
        <w:ind w:left="810" w:right="720" w:firstLine="0"/>
        <w:jc w:val="both"/>
        <w:rPr>
          <w:sz w:val="20"/>
          <w:szCs w:val="20"/>
          <w:lang w:val="es-ES_tradnl"/>
        </w:rPr>
      </w:pPr>
      <w:r w:rsidRPr="00FB1FBF">
        <w:rPr>
          <w:sz w:val="20"/>
          <w:szCs w:val="20"/>
          <w:lang w:val="es-ES_tradnl"/>
        </w:rPr>
        <w:t xml:space="preserve">Reparar integralmente las violaciones de derechos humanos declaradas en el presente informe tanto en el aspecto material como inmaterial. El Estado deberá adoptar las medidas de compensación económica y satisfacción. </w:t>
      </w:r>
    </w:p>
    <w:p w14:paraId="2F8F3061" w14:textId="77777777" w:rsidR="00A94E5A" w:rsidRPr="00FB1FBF" w:rsidRDefault="00A94E5A" w:rsidP="00A94E5A">
      <w:pPr>
        <w:pStyle w:val="ListParagraph"/>
        <w:tabs>
          <w:tab w:val="left" w:pos="540"/>
          <w:tab w:val="num" w:pos="810"/>
        </w:tabs>
        <w:ind w:left="810" w:right="720"/>
        <w:rPr>
          <w:sz w:val="20"/>
          <w:szCs w:val="20"/>
          <w:lang w:val="es-ES_tradnl"/>
        </w:rPr>
      </w:pPr>
    </w:p>
    <w:p w14:paraId="233FC584" w14:textId="77777777" w:rsidR="00A94E5A" w:rsidRPr="00FB1FBF" w:rsidRDefault="00A94E5A" w:rsidP="00A94E5A">
      <w:pPr>
        <w:pStyle w:val="ListParagraph"/>
        <w:numPr>
          <w:ilvl w:val="0"/>
          <w:numId w:val="25"/>
        </w:numPr>
        <w:tabs>
          <w:tab w:val="left" w:pos="540"/>
          <w:tab w:val="num" w:pos="1080"/>
        </w:tabs>
        <w:ind w:left="810" w:right="720" w:firstLine="0"/>
        <w:jc w:val="both"/>
        <w:rPr>
          <w:sz w:val="20"/>
          <w:szCs w:val="20"/>
          <w:lang w:val="es-ES_tradnl"/>
        </w:rPr>
      </w:pPr>
      <w:r w:rsidRPr="00FB1FBF">
        <w:rPr>
          <w:sz w:val="20"/>
          <w:szCs w:val="20"/>
          <w:lang w:val="es-ES_tradnl"/>
        </w:rPr>
        <w:t>Disponer las medidas de atención en salud física y mental necesarias para la rehabilitación de los familiares de las víctimas</w:t>
      </w:r>
      <w:r w:rsidRPr="00FB1FBF">
        <w:rPr>
          <w:rStyle w:val="FootnoteReference"/>
          <w:sz w:val="20"/>
          <w:szCs w:val="20"/>
          <w:lang w:val="es-ES_tradnl"/>
        </w:rPr>
        <w:footnoteReference w:id="1"/>
      </w:r>
      <w:r w:rsidRPr="00FB1FBF">
        <w:rPr>
          <w:sz w:val="20"/>
          <w:szCs w:val="20"/>
          <w:lang w:val="es-ES_tradnl"/>
        </w:rPr>
        <w:t xml:space="preserve"> de ser su voluntad y de manera concertada.</w:t>
      </w:r>
    </w:p>
    <w:p w14:paraId="60892F58" w14:textId="77777777" w:rsidR="00A94E5A" w:rsidRPr="00FB1FBF" w:rsidRDefault="00A94E5A" w:rsidP="00A94E5A">
      <w:pPr>
        <w:pStyle w:val="ListParagraph"/>
        <w:tabs>
          <w:tab w:val="left" w:pos="540"/>
          <w:tab w:val="num" w:pos="810"/>
        </w:tabs>
        <w:ind w:left="810" w:right="720"/>
        <w:rPr>
          <w:sz w:val="20"/>
          <w:szCs w:val="20"/>
          <w:lang w:val="es-ES_tradnl"/>
        </w:rPr>
      </w:pPr>
    </w:p>
    <w:p w14:paraId="09EA2D5F" w14:textId="77777777" w:rsidR="00A94E5A" w:rsidRPr="00FB1FBF" w:rsidRDefault="00A94E5A" w:rsidP="00A94E5A">
      <w:pPr>
        <w:pStyle w:val="ListParagraph"/>
        <w:numPr>
          <w:ilvl w:val="0"/>
          <w:numId w:val="25"/>
        </w:numPr>
        <w:tabs>
          <w:tab w:val="left" w:pos="540"/>
          <w:tab w:val="num" w:pos="1080"/>
        </w:tabs>
        <w:ind w:left="810" w:right="720" w:firstLine="0"/>
        <w:jc w:val="both"/>
        <w:rPr>
          <w:sz w:val="20"/>
          <w:szCs w:val="20"/>
          <w:lang w:val="es-ES_tradnl"/>
        </w:rPr>
      </w:pPr>
      <w:r w:rsidRPr="00FB1FBF">
        <w:rPr>
          <w:sz w:val="20"/>
          <w:szCs w:val="20"/>
          <w:lang w:val="es-ES_tradnl"/>
        </w:rPr>
        <w:t>Investigar el destino o paradero de las víctimas desaparecidas y, de ser el caso, adoptar las medidas necesarias para identificar y entregar a sus familiares los restos mortales</w:t>
      </w:r>
      <w:r w:rsidRPr="00FB1FBF">
        <w:rPr>
          <w:rStyle w:val="FootnoteReference"/>
          <w:sz w:val="20"/>
          <w:szCs w:val="20"/>
          <w:lang w:val="es-ES_tradnl"/>
        </w:rPr>
        <w:footnoteReference w:id="2"/>
      </w:r>
      <w:r w:rsidRPr="00FB1FBF">
        <w:rPr>
          <w:sz w:val="20"/>
          <w:szCs w:val="20"/>
          <w:lang w:val="es-ES_tradnl"/>
        </w:rPr>
        <w:t xml:space="preserve">. Así como, </w:t>
      </w:r>
      <w:r w:rsidRPr="00FB1FBF">
        <w:rPr>
          <w:color w:val="auto"/>
          <w:sz w:val="20"/>
          <w:szCs w:val="20"/>
          <w:lang w:val="es-ES_tradnl"/>
        </w:rPr>
        <w:t>concluir l</w:t>
      </w:r>
      <w:r w:rsidRPr="00FB1FBF">
        <w:rPr>
          <w:sz w:val="20"/>
          <w:szCs w:val="20"/>
          <w:lang w:val="es-ES_tradnl"/>
        </w:rPr>
        <w:t xml:space="preserve">as investigaciones penales tanto de las desapariciones, cuanto de los homicidios de manera diligente, efectiva y dentro de un plazo razonable con el objeto de esclarecer los hechos en forma completa, identificar todas las posibles responsabilidades e </w:t>
      </w:r>
      <w:r w:rsidRPr="00FB1FBF">
        <w:rPr>
          <w:sz w:val="20"/>
          <w:szCs w:val="20"/>
          <w:lang w:val="es-ES_tradnl"/>
        </w:rPr>
        <w:lastRenderedPageBreak/>
        <w:t>imponer las sanciones que correspondan respecto de las violaciones de derechos humanos declaradas en el presente informe</w:t>
      </w:r>
      <w:r w:rsidRPr="00FB1FBF">
        <w:rPr>
          <w:rStyle w:val="FootnoteReference"/>
          <w:sz w:val="20"/>
          <w:szCs w:val="20"/>
          <w:lang w:val="es-ES_tradnl"/>
        </w:rPr>
        <w:footnoteReference w:id="3"/>
      </w:r>
      <w:r w:rsidRPr="00FB1FBF">
        <w:rPr>
          <w:sz w:val="20"/>
          <w:szCs w:val="20"/>
          <w:lang w:val="es-ES_tradnl"/>
        </w:rPr>
        <w:t>.</w:t>
      </w:r>
    </w:p>
    <w:p w14:paraId="77DB4649" w14:textId="77777777" w:rsidR="00A94E5A" w:rsidRPr="00FB1FBF" w:rsidRDefault="00A94E5A" w:rsidP="00A94E5A">
      <w:pPr>
        <w:tabs>
          <w:tab w:val="left" w:pos="540"/>
          <w:tab w:val="num" w:pos="810"/>
        </w:tabs>
        <w:spacing w:after="0" w:line="240" w:lineRule="auto"/>
        <w:ind w:left="806" w:right="720"/>
        <w:rPr>
          <w:sz w:val="20"/>
          <w:szCs w:val="20"/>
          <w:lang w:val="es-ES_tradnl"/>
        </w:rPr>
      </w:pPr>
    </w:p>
    <w:p w14:paraId="3224683D" w14:textId="77777777" w:rsidR="00A94E5A" w:rsidRPr="00FB1FBF" w:rsidRDefault="00A94E5A" w:rsidP="00A94E5A">
      <w:pPr>
        <w:pStyle w:val="ListParagraph"/>
        <w:numPr>
          <w:ilvl w:val="0"/>
          <w:numId w:val="25"/>
        </w:numPr>
        <w:tabs>
          <w:tab w:val="left" w:pos="540"/>
          <w:tab w:val="num" w:pos="1080"/>
        </w:tabs>
        <w:ind w:right="720" w:firstLine="0"/>
        <w:jc w:val="both"/>
        <w:rPr>
          <w:sz w:val="20"/>
          <w:szCs w:val="20"/>
          <w:lang w:val="es-ES_tradnl"/>
        </w:rPr>
      </w:pPr>
      <w:r w:rsidRPr="00FB1FBF">
        <w:rPr>
          <w:sz w:val="20"/>
          <w:szCs w:val="20"/>
          <w:lang w:val="es-ES_tradnl"/>
        </w:rPr>
        <w:t>Adoptar las medidas para proteger de manera efectiva y promover la labor de defensa de los derechos humanos realizada por las madres de Acarí.</w:t>
      </w:r>
    </w:p>
    <w:p w14:paraId="39BFC09B" w14:textId="77777777" w:rsidR="00A94E5A" w:rsidRPr="00FB1FBF" w:rsidRDefault="00A94E5A" w:rsidP="00A94E5A">
      <w:pPr>
        <w:pStyle w:val="ListParagraph"/>
        <w:tabs>
          <w:tab w:val="left" w:pos="540"/>
          <w:tab w:val="num" w:pos="810"/>
        </w:tabs>
        <w:ind w:left="810" w:right="720"/>
        <w:rPr>
          <w:sz w:val="20"/>
          <w:szCs w:val="20"/>
          <w:lang w:val="es-ES_tradnl"/>
        </w:rPr>
      </w:pPr>
    </w:p>
    <w:p w14:paraId="0C4CC8FD" w14:textId="77777777" w:rsidR="00A94E5A" w:rsidRPr="00FB1FBF" w:rsidRDefault="00A94E5A" w:rsidP="00A94E5A">
      <w:pPr>
        <w:pStyle w:val="ListParagraph"/>
        <w:numPr>
          <w:ilvl w:val="0"/>
          <w:numId w:val="25"/>
        </w:numPr>
        <w:tabs>
          <w:tab w:val="left" w:pos="540"/>
          <w:tab w:val="num" w:pos="1080"/>
        </w:tabs>
        <w:ind w:left="810" w:right="720" w:firstLine="0"/>
        <w:jc w:val="both"/>
        <w:rPr>
          <w:sz w:val="20"/>
          <w:szCs w:val="20"/>
          <w:lang w:val="es-ES_tradnl"/>
        </w:rPr>
      </w:pPr>
      <w:r w:rsidRPr="00FB1FBF">
        <w:rPr>
          <w:sz w:val="20"/>
          <w:szCs w:val="20"/>
          <w:lang w:val="es-ES_tradnl"/>
        </w:rPr>
        <w:t xml:space="preserve">Disponer de los medios necesarios para tipificar el delito de desaparición forzada, de acuerdo con los estándares interamericanos sobre la materia. </w:t>
      </w:r>
    </w:p>
    <w:p w14:paraId="78C73ABE" w14:textId="77777777" w:rsidR="00A94E5A" w:rsidRPr="00FB1FBF" w:rsidRDefault="00A94E5A" w:rsidP="00A94E5A">
      <w:pPr>
        <w:pStyle w:val="ListParagraph"/>
        <w:tabs>
          <w:tab w:val="left" w:pos="540"/>
          <w:tab w:val="num" w:pos="810"/>
        </w:tabs>
        <w:ind w:left="810" w:right="720"/>
        <w:rPr>
          <w:sz w:val="20"/>
          <w:szCs w:val="20"/>
          <w:lang w:val="es-ES_tradnl"/>
        </w:rPr>
      </w:pPr>
    </w:p>
    <w:p w14:paraId="0E258B01" w14:textId="77777777" w:rsidR="00A94E5A" w:rsidRPr="00FB1FBF" w:rsidRDefault="00A94E5A" w:rsidP="00A94E5A">
      <w:pPr>
        <w:pStyle w:val="ListParagraph"/>
        <w:numPr>
          <w:ilvl w:val="0"/>
          <w:numId w:val="25"/>
        </w:numPr>
        <w:tabs>
          <w:tab w:val="left" w:pos="540"/>
          <w:tab w:val="num" w:pos="1080"/>
        </w:tabs>
        <w:ind w:left="810" w:right="720" w:firstLine="0"/>
        <w:jc w:val="both"/>
        <w:rPr>
          <w:sz w:val="20"/>
          <w:szCs w:val="20"/>
          <w:lang w:val="es-ES_tradnl"/>
        </w:rPr>
      </w:pPr>
      <w:r w:rsidRPr="00FB1FBF">
        <w:rPr>
          <w:sz w:val="20"/>
          <w:szCs w:val="20"/>
          <w:lang w:val="es-ES_tradnl"/>
        </w:rPr>
        <w:t xml:space="preserve">Disponer mecanismos de no repetición consistentes en: i) adoptar medidas para realizar un diagnóstico sobre el problema de la actuación de “milicias” y la participación de agentes del Estado en Rio de Janeiro con el objeto de implementar medidas para adoptar medidas que permitan lograr su desarticulación efectiva; ii) </w:t>
      </w:r>
      <w:r w:rsidRPr="00FB1FBF">
        <w:rPr>
          <w:rFonts w:eastAsia="Times New Roman" w:cs="Tahoma"/>
          <w:sz w:val="20"/>
          <w:szCs w:val="20"/>
          <w:lang w:val="es-ES"/>
        </w:rPr>
        <w:t xml:space="preserve">reforzar la capacidad investigativa de contextos y patrones de actuación conjunta entre agentes estatales y grupos armados ilegales en la zona donde ocurrieron los hechos del presente caso aplicando un </w:t>
      </w:r>
      <w:r w:rsidRPr="00FB1FBF">
        <w:rPr>
          <w:sz w:val="20"/>
          <w:szCs w:val="20"/>
          <w:lang w:val="es-ES_tradnl"/>
        </w:rPr>
        <w:t>enfoque de género y de interseccionalidad</w:t>
      </w:r>
      <w:r w:rsidRPr="00FB1FBF">
        <w:rPr>
          <w:rFonts w:eastAsia="Times New Roman" w:cs="Tahoma"/>
          <w:sz w:val="20"/>
          <w:szCs w:val="20"/>
          <w:lang w:val="es-ES"/>
        </w:rPr>
        <w:t>; iii)</w:t>
      </w:r>
      <w:r w:rsidRPr="00FB1FBF">
        <w:rPr>
          <w:sz w:val="20"/>
          <w:szCs w:val="20"/>
          <w:lang w:val="es-ES_tradnl"/>
        </w:rPr>
        <w:t xml:space="preserve"> adoptar una campaña de sensibilización en las entidades policiales y ministeriales del Estado de Río de Janeiro, desde los más altos niveles a  fin de garantizar un enfoque de género y de interseccionalidad en las investigaciones; iv) adoptar una campaña de sensibilización en las entidades policiales y ministeriales del Estado de Rio de Janeiro, desde los más altos niveles con la finalidad de evitar la estigmatización de personas, particularmente jóvenes afrodescendientes que por su situación de pobreza puedan ser estigmatizados como “marginales” o “delincuentes”. </w:t>
      </w:r>
    </w:p>
    <w:p w14:paraId="51526221" w14:textId="77777777" w:rsidR="003A4EFF" w:rsidRPr="004C69A2" w:rsidRDefault="003A4EFF" w:rsidP="004C69A2">
      <w:pPr>
        <w:spacing w:after="0" w:line="240" w:lineRule="auto"/>
        <w:jc w:val="both"/>
        <w:rPr>
          <w:rFonts w:ascii="Cambria" w:eastAsia="Times New Roman" w:hAnsi="Cambria" w:cs="Calibri"/>
          <w:sz w:val="20"/>
          <w:szCs w:val="20"/>
          <w:lang w:val="es-ES_tradnl"/>
        </w:rPr>
      </w:pPr>
    </w:p>
    <w:p w14:paraId="608B71BD" w14:textId="77777777" w:rsidR="00616407" w:rsidRDefault="00E16ED1" w:rsidP="00616407">
      <w:pPr>
        <w:tabs>
          <w:tab w:val="left" w:pos="360"/>
        </w:tabs>
        <w:spacing w:after="0" w:line="240" w:lineRule="auto"/>
        <w:jc w:val="both"/>
        <w:rPr>
          <w:rFonts w:ascii="Cambria" w:hAnsi="Cambria"/>
          <w:sz w:val="20"/>
          <w:szCs w:val="20"/>
          <w:lang w:val="es-CO"/>
        </w:rPr>
      </w:pPr>
      <w:r w:rsidRPr="00007A84">
        <w:rPr>
          <w:rFonts w:ascii="Cambria" w:hAnsi="Cambria" w:cs="Calibri"/>
          <w:sz w:val="20"/>
          <w:szCs w:val="20"/>
          <w:lang w:val="es-ES_tradnl"/>
        </w:rPr>
        <w:tab/>
      </w:r>
      <w:r w:rsidR="00B91905">
        <w:rPr>
          <w:rFonts w:ascii="Cambria" w:hAnsi="Cambria" w:cs="Calibri"/>
          <w:sz w:val="20"/>
          <w:szCs w:val="20"/>
          <w:lang w:val="es-ES_tradnl"/>
        </w:rPr>
        <w:tab/>
      </w:r>
      <w:r w:rsidR="00162CE1" w:rsidRPr="00007A84">
        <w:rPr>
          <w:rFonts w:ascii="Cambria" w:eastAsia="Times New Roman" w:hAnsi="Cambria" w:cs="Calibri"/>
          <w:sz w:val="20"/>
          <w:szCs w:val="20"/>
          <w:lang w:val="es-CO"/>
        </w:rPr>
        <w:t>Además de la necesidad de obtención de justicia</w:t>
      </w:r>
      <w:r w:rsidR="00377262" w:rsidRPr="00007A84">
        <w:rPr>
          <w:rFonts w:ascii="Cambria" w:eastAsia="Times New Roman" w:hAnsi="Cambria" w:cs="Calibri"/>
          <w:sz w:val="20"/>
          <w:szCs w:val="20"/>
          <w:lang w:val="es-CO"/>
        </w:rPr>
        <w:t xml:space="preserve"> y reparación</w:t>
      </w:r>
      <w:r w:rsidR="00162CE1" w:rsidRPr="00007A84">
        <w:rPr>
          <w:rFonts w:ascii="Cambria" w:eastAsia="Times New Roman" w:hAnsi="Cambria" w:cs="Calibri"/>
          <w:sz w:val="20"/>
          <w:szCs w:val="20"/>
          <w:lang w:val="es-CO"/>
        </w:rPr>
        <w:t xml:space="preserve"> por la falta de cumplimie</w:t>
      </w:r>
      <w:r w:rsidR="009A0E8E" w:rsidRPr="00007A84">
        <w:rPr>
          <w:rFonts w:ascii="Cambria" w:eastAsia="Times New Roman" w:hAnsi="Cambria" w:cs="Calibri"/>
          <w:sz w:val="20"/>
          <w:szCs w:val="20"/>
          <w:lang w:val="es-CO"/>
        </w:rPr>
        <w:t xml:space="preserve">nto de las recomendaciones del Informe de </w:t>
      </w:r>
      <w:r w:rsidR="00D61080">
        <w:rPr>
          <w:rFonts w:ascii="Cambria" w:eastAsia="Times New Roman" w:hAnsi="Cambria" w:cs="Calibri"/>
          <w:sz w:val="20"/>
          <w:szCs w:val="20"/>
          <w:lang w:val="es-CO"/>
        </w:rPr>
        <w:t xml:space="preserve">Admisibilidad y </w:t>
      </w:r>
      <w:r w:rsidR="009A0E8E" w:rsidRPr="00007A84">
        <w:rPr>
          <w:rFonts w:ascii="Cambria" w:eastAsia="Times New Roman" w:hAnsi="Cambria" w:cs="Calibri"/>
          <w:sz w:val="20"/>
          <w:szCs w:val="20"/>
          <w:lang w:val="es-CO"/>
        </w:rPr>
        <w:t>F</w:t>
      </w:r>
      <w:r w:rsidR="00162CE1" w:rsidRPr="00007A84">
        <w:rPr>
          <w:rFonts w:ascii="Cambria" w:eastAsia="Times New Roman" w:hAnsi="Cambria" w:cs="Calibri"/>
          <w:sz w:val="20"/>
          <w:szCs w:val="20"/>
          <w:lang w:val="es-CO"/>
        </w:rPr>
        <w:t>ondo, la Comisión considera que el caso presenta cuestiones de orden público interamericano.</w:t>
      </w:r>
      <w:r w:rsidR="00245F50" w:rsidRPr="00007A84">
        <w:rPr>
          <w:rFonts w:ascii="Cambria" w:eastAsia="Times New Roman" w:hAnsi="Cambria" w:cs="Calibri"/>
          <w:sz w:val="20"/>
          <w:szCs w:val="20"/>
          <w:lang w:val="es-CO"/>
        </w:rPr>
        <w:t xml:space="preserve"> </w:t>
      </w:r>
      <w:r w:rsidR="00F63811" w:rsidRPr="003F7DE5">
        <w:rPr>
          <w:rFonts w:ascii="Cambria" w:eastAsia="Times New Roman" w:hAnsi="Cambria" w:cs="Calibri"/>
          <w:sz w:val="20"/>
          <w:szCs w:val="20"/>
          <w:lang w:val="es-CO"/>
        </w:rPr>
        <w:t xml:space="preserve">El mismo permitirá a la Honorable Corte </w:t>
      </w:r>
      <w:r w:rsidR="00BA557D" w:rsidRPr="003F7DE5">
        <w:rPr>
          <w:rFonts w:ascii="Cambria" w:eastAsia="Times New Roman" w:hAnsi="Cambria" w:cs="Calibri"/>
          <w:sz w:val="20"/>
          <w:szCs w:val="20"/>
          <w:lang w:val="es-CO"/>
        </w:rPr>
        <w:t xml:space="preserve">continuar desarrollando su jurisprudencia </w:t>
      </w:r>
      <w:r w:rsidR="00616407">
        <w:rPr>
          <w:rFonts w:ascii="Cambria" w:hAnsi="Cambria"/>
          <w:sz w:val="20"/>
          <w:szCs w:val="20"/>
          <w:lang w:val="es-CO"/>
        </w:rPr>
        <w:t xml:space="preserve">en materia de desaparición forzada de personas. En particular, el enfoque de género e interseccional en casos que involucren a </w:t>
      </w:r>
      <w:r w:rsidR="00616407">
        <w:rPr>
          <w:rFonts w:ascii="Cambria" w:hAnsi="Cambria"/>
          <w:iCs/>
          <w:sz w:val="20"/>
          <w:szCs w:val="20"/>
          <w:lang w:val="es-ES"/>
        </w:rPr>
        <w:t xml:space="preserve">personas jóvenes, pobres y afrodescendientes. </w:t>
      </w:r>
      <w:r w:rsidR="00616407">
        <w:rPr>
          <w:rFonts w:ascii="Cambria" w:hAnsi="Cambria"/>
          <w:sz w:val="20"/>
          <w:szCs w:val="20"/>
          <w:lang w:val="es-CO"/>
        </w:rPr>
        <w:t xml:space="preserve">Asimismo, la Corte podrá continuar profundizando su jurisprudencia relativa a los deberes estatales para garantizar la labor de las personas defensoras de derechos humanos. </w:t>
      </w:r>
    </w:p>
    <w:p w14:paraId="6097531F" w14:textId="77777777" w:rsidR="00616407" w:rsidRDefault="00616407" w:rsidP="00BD53CE">
      <w:pPr>
        <w:spacing w:after="0" w:line="240" w:lineRule="auto"/>
        <w:ind w:firstLine="720"/>
        <w:jc w:val="both"/>
        <w:rPr>
          <w:rFonts w:ascii="Cambria" w:hAnsi="Cambria" w:cs="Calibri"/>
          <w:color w:val="000000"/>
          <w:sz w:val="20"/>
          <w:szCs w:val="20"/>
          <w:lang w:val="es-ES_tradnl"/>
        </w:rPr>
      </w:pPr>
    </w:p>
    <w:p w14:paraId="285CC8F2" w14:textId="77777777" w:rsidR="00162CE1" w:rsidRPr="0039064A" w:rsidRDefault="00162CE1" w:rsidP="00BD53CE">
      <w:pPr>
        <w:spacing w:after="0" w:line="240" w:lineRule="auto"/>
        <w:ind w:firstLine="720"/>
        <w:jc w:val="both"/>
        <w:rPr>
          <w:rFonts w:ascii="Cambria" w:hAnsi="Cambria" w:cs="Calibri"/>
          <w:color w:val="000000"/>
          <w:sz w:val="20"/>
          <w:szCs w:val="20"/>
          <w:lang w:val="es-ES_tradnl"/>
        </w:rPr>
      </w:pPr>
      <w:r w:rsidRPr="0039064A">
        <w:rPr>
          <w:rFonts w:ascii="Cambria" w:hAnsi="Cambria" w:cs="Calibri"/>
          <w:color w:val="000000"/>
          <w:sz w:val="20"/>
          <w:szCs w:val="20"/>
          <w:lang w:val="es-ES_tradnl"/>
        </w:rPr>
        <w:t>En virtud de que estas cuestiones afectan de manera relevante el orden público interamericano, de conformidad con el artículo 35.1 f) del Reglamento de la Corte Interamericana, la Comisión se permite ofrecer la siguiente declaraci</w:t>
      </w:r>
      <w:r w:rsidR="009A0971" w:rsidRPr="0039064A">
        <w:rPr>
          <w:rFonts w:ascii="Cambria" w:hAnsi="Cambria" w:cs="Calibri"/>
          <w:color w:val="000000"/>
          <w:sz w:val="20"/>
          <w:szCs w:val="20"/>
          <w:lang w:val="es-ES_tradnl"/>
        </w:rPr>
        <w:t>ón</w:t>
      </w:r>
      <w:r w:rsidRPr="0039064A">
        <w:rPr>
          <w:rFonts w:ascii="Cambria" w:hAnsi="Cambria" w:cs="Calibri"/>
          <w:color w:val="000000"/>
          <w:sz w:val="20"/>
          <w:szCs w:val="20"/>
          <w:lang w:val="es-ES_tradnl"/>
        </w:rPr>
        <w:t xml:space="preserve"> pericial: </w:t>
      </w:r>
    </w:p>
    <w:p w14:paraId="0A95A8FC" w14:textId="77777777" w:rsidR="0014432C" w:rsidRPr="0039064A" w:rsidRDefault="0014432C" w:rsidP="00BD53CE">
      <w:pPr>
        <w:spacing w:after="0" w:line="240" w:lineRule="auto"/>
        <w:ind w:firstLine="720"/>
        <w:jc w:val="both"/>
        <w:rPr>
          <w:rFonts w:ascii="Cambria" w:hAnsi="Cambria" w:cs="Calibri"/>
          <w:color w:val="000000"/>
          <w:sz w:val="20"/>
          <w:szCs w:val="20"/>
          <w:lang w:val="es-ES_tradnl"/>
        </w:rPr>
      </w:pPr>
    </w:p>
    <w:p w14:paraId="2A808073" w14:textId="77777777" w:rsidR="00E42F54" w:rsidRDefault="001A09CF" w:rsidP="00CF1DB7">
      <w:pPr>
        <w:tabs>
          <w:tab w:val="left" w:pos="360"/>
          <w:tab w:val="left" w:pos="720"/>
          <w:tab w:val="left" w:pos="1080"/>
        </w:tabs>
        <w:autoSpaceDE w:val="0"/>
        <w:autoSpaceDN w:val="0"/>
        <w:adjustRightInd w:val="0"/>
        <w:spacing w:after="0" w:line="240" w:lineRule="auto"/>
        <w:jc w:val="both"/>
        <w:rPr>
          <w:rFonts w:ascii="Cambria" w:eastAsia="Times New Roman" w:hAnsi="Cambria" w:cs="Calibri"/>
          <w:sz w:val="20"/>
          <w:szCs w:val="20"/>
          <w:lang w:val="es-CO"/>
        </w:rPr>
      </w:pPr>
      <w:r w:rsidRPr="0039064A">
        <w:rPr>
          <w:rFonts w:ascii="Cambria" w:hAnsi="Cambria" w:cs="Calibri"/>
          <w:b/>
          <w:sz w:val="20"/>
          <w:szCs w:val="20"/>
          <w:lang w:val="es-ES_tradnl"/>
        </w:rPr>
        <w:tab/>
      </w:r>
      <w:r w:rsidR="00CF1DB7">
        <w:rPr>
          <w:rFonts w:ascii="Cambria" w:hAnsi="Cambria" w:cs="Calibri"/>
          <w:b/>
          <w:sz w:val="20"/>
          <w:szCs w:val="20"/>
          <w:lang w:val="es-ES_tradnl"/>
        </w:rPr>
        <w:tab/>
      </w:r>
      <w:r w:rsidR="008F7152" w:rsidRPr="0039064A">
        <w:rPr>
          <w:rFonts w:ascii="Cambria" w:hAnsi="Cambria" w:cs="Calibri"/>
          <w:b/>
          <w:sz w:val="20"/>
          <w:szCs w:val="20"/>
          <w:lang w:val="es-ES_tradnl"/>
        </w:rPr>
        <w:t>Perito/a, cuyo nombre será informado a la brevedad</w:t>
      </w:r>
      <w:r w:rsidR="008F7152" w:rsidRPr="0039064A">
        <w:rPr>
          <w:rFonts w:ascii="Cambria" w:hAnsi="Cambria" w:cs="Calibri"/>
          <w:sz w:val="20"/>
          <w:szCs w:val="20"/>
          <w:lang w:val="es-ES_tradnl"/>
        </w:rPr>
        <w:t xml:space="preserve">, </w:t>
      </w:r>
      <w:r w:rsidR="008F7152" w:rsidRPr="0039064A">
        <w:rPr>
          <w:rFonts w:ascii="Cambria" w:eastAsia="Times New Roman" w:hAnsi="Cambria" w:cs="Calibri"/>
          <w:sz w:val="20"/>
          <w:szCs w:val="20"/>
          <w:lang w:val="es-CO"/>
        </w:rPr>
        <w:t>quie</w:t>
      </w:r>
      <w:r w:rsidR="008F7152" w:rsidRPr="00A32E72">
        <w:rPr>
          <w:rFonts w:ascii="Cambria" w:hAnsi="Cambria" w:cs="Calibri"/>
          <w:color w:val="000000"/>
          <w:sz w:val="20"/>
          <w:szCs w:val="20"/>
          <w:lang w:val="es-ES_tradnl"/>
        </w:rPr>
        <w:t xml:space="preserve">n declarará </w:t>
      </w:r>
      <w:r w:rsidR="00694376" w:rsidRPr="00A32E72">
        <w:rPr>
          <w:rFonts w:ascii="Cambria" w:hAnsi="Cambria" w:cs="Calibri"/>
          <w:color w:val="000000"/>
          <w:sz w:val="20"/>
          <w:szCs w:val="20"/>
          <w:lang w:val="es-ES_tradnl"/>
        </w:rPr>
        <w:t xml:space="preserve">sobre </w:t>
      </w:r>
      <w:r w:rsidR="00290F8D" w:rsidRPr="00A32E72">
        <w:rPr>
          <w:rFonts w:ascii="Cambria" w:hAnsi="Cambria" w:cs="Calibri"/>
          <w:color w:val="000000"/>
          <w:sz w:val="20"/>
          <w:szCs w:val="20"/>
          <w:lang w:val="es-ES_tradnl"/>
        </w:rPr>
        <w:t xml:space="preserve">las obligaciones de los Estados </w:t>
      </w:r>
      <w:r w:rsidR="00454722" w:rsidRPr="00A32E72">
        <w:rPr>
          <w:rFonts w:ascii="Cambria" w:hAnsi="Cambria" w:cs="Calibri"/>
          <w:color w:val="000000"/>
          <w:sz w:val="20"/>
          <w:szCs w:val="20"/>
          <w:lang w:val="es-ES_tradnl"/>
        </w:rPr>
        <w:t>en</w:t>
      </w:r>
      <w:r w:rsidR="00186B8D" w:rsidRPr="00A32E72">
        <w:rPr>
          <w:rFonts w:ascii="Cambria" w:hAnsi="Cambria" w:cs="Calibri"/>
          <w:color w:val="000000"/>
          <w:sz w:val="20"/>
          <w:szCs w:val="20"/>
          <w:lang w:val="es-ES_tradnl"/>
        </w:rPr>
        <w:t xml:space="preserve"> materia de </w:t>
      </w:r>
      <w:r w:rsidR="00410E88">
        <w:rPr>
          <w:rFonts w:ascii="Cambria" w:hAnsi="Cambria" w:cs="Calibri"/>
          <w:color w:val="000000"/>
          <w:sz w:val="20"/>
          <w:szCs w:val="20"/>
          <w:lang w:val="es-ES_tradnl"/>
        </w:rPr>
        <w:t xml:space="preserve">desaparición forzada de personas, en particular sobre la </w:t>
      </w:r>
      <w:r w:rsidR="00E42F54" w:rsidRPr="00A32E72">
        <w:rPr>
          <w:rFonts w:ascii="Cambria" w:hAnsi="Cambria" w:cs="Calibri"/>
          <w:color w:val="000000"/>
          <w:sz w:val="20"/>
          <w:szCs w:val="20"/>
          <w:lang w:val="es-ES_tradnl"/>
        </w:rPr>
        <w:t xml:space="preserve">debida diligencia reforzada en la investigación de desapariciones forzadas de </w:t>
      </w:r>
      <w:r w:rsidR="00D204A8" w:rsidRPr="00A32E72">
        <w:rPr>
          <w:rFonts w:ascii="Cambria" w:hAnsi="Cambria" w:cs="Calibri"/>
          <w:color w:val="000000"/>
          <w:sz w:val="20"/>
          <w:szCs w:val="20"/>
          <w:lang w:val="es-ES_tradnl"/>
        </w:rPr>
        <w:t>mujeres a la luz de las obligaciones derivadas de la Convención de Belém do Pará</w:t>
      </w:r>
      <w:r w:rsidR="00286EA8">
        <w:rPr>
          <w:rFonts w:ascii="Cambria" w:hAnsi="Cambria" w:cs="Calibri"/>
          <w:color w:val="000000"/>
          <w:sz w:val="20"/>
          <w:szCs w:val="20"/>
          <w:lang w:val="es-ES_tradnl"/>
        </w:rPr>
        <w:t>, en particular cuando existen indicios de violencia sexual</w:t>
      </w:r>
      <w:r w:rsidR="00D204A8" w:rsidRPr="00A32E72">
        <w:rPr>
          <w:rFonts w:ascii="Cambria" w:hAnsi="Cambria" w:cs="Calibri"/>
          <w:color w:val="000000"/>
          <w:sz w:val="20"/>
          <w:szCs w:val="20"/>
          <w:lang w:val="es-ES_tradnl"/>
        </w:rPr>
        <w:t xml:space="preserve">. Asimismo, el/la perito/a se referirá a </w:t>
      </w:r>
      <w:r w:rsidR="00A32E72" w:rsidRPr="00A32E72">
        <w:rPr>
          <w:rFonts w:ascii="Cambria" w:hAnsi="Cambria" w:cs="Calibri"/>
          <w:color w:val="000000"/>
          <w:sz w:val="20"/>
          <w:szCs w:val="20"/>
          <w:lang w:val="es-ES_tradnl"/>
        </w:rPr>
        <w:t>la interseccionalidad del enfoque de género en casos que involucren a personas jóvenes, pobres y afrodescendientes.</w:t>
      </w:r>
      <w:r w:rsidR="00286EA8" w:rsidRPr="00286EA8">
        <w:rPr>
          <w:rFonts w:ascii="Cambria" w:hAnsi="Cambria" w:cs="Calibri"/>
          <w:color w:val="000000"/>
          <w:sz w:val="20"/>
          <w:szCs w:val="20"/>
          <w:lang w:val="es-ES_tradnl"/>
        </w:rPr>
        <w:t xml:space="preserve"> El/la perito/a podrá referirse a los hechos del caso a fin de ejemplificar los estándares del peritaje.</w:t>
      </w:r>
      <w:r w:rsidR="00286EA8" w:rsidRPr="00994C5F">
        <w:rPr>
          <w:rFonts w:cs="Calibri"/>
          <w:sz w:val="20"/>
          <w:szCs w:val="20"/>
          <w:lang w:val="es-ES_tradnl"/>
        </w:rPr>
        <w:t xml:space="preserve">  </w:t>
      </w:r>
    </w:p>
    <w:p w14:paraId="1ECC7866" w14:textId="77777777" w:rsidR="00286EA8" w:rsidRDefault="00286EA8" w:rsidP="00CF1DB7">
      <w:pPr>
        <w:tabs>
          <w:tab w:val="left" w:pos="360"/>
          <w:tab w:val="left" w:pos="720"/>
          <w:tab w:val="left" w:pos="1080"/>
        </w:tabs>
        <w:autoSpaceDE w:val="0"/>
        <w:autoSpaceDN w:val="0"/>
        <w:adjustRightInd w:val="0"/>
        <w:spacing w:after="0" w:line="240" w:lineRule="auto"/>
        <w:jc w:val="both"/>
        <w:rPr>
          <w:rFonts w:ascii="Cambria" w:eastAsia="Times New Roman" w:hAnsi="Cambria" w:cs="Calibri"/>
          <w:sz w:val="20"/>
          <w:szCs w:val="20"/>
          <w:lang w:val="es-CO"/>
        </w:rPr>
      </w:pPr>
    </w:p>
    <w:p w14:paraId="25339282" w14:textId="77777777" w:rsidR="00162CE1" w:rsidRPr="0039064A" w:rsidRDefault="00162CE1" w:rsidP="00BD53CE">
      <w:pPr>
        <w:spacing w:after="0" w:line="240" w:lineRule="auto"/>
        <w:jc w:val="both"/>
        <w:rPr>
          <w:rFonts w:ascii="Cambria" w:hAnsi="Cambria" w:cs="Calibri"/>
          <w:color w:val="000000"/>
          <w:sz w:val="20"/>
          <w:szCs w:val="20"/>
          <w:lang w:val="es-ES_tradnl"/>
        </w:rPr>
      </w:pPr>
      <w:r w:rsidRPr="0039064A">
        <w:rPr>
          <w:rFonts w:ascii="Cambria" w:hAnsi="Cambria" w:cs="Calibri"/>
          <w:color w:val="000000"/>
          <w:sz w:val="20"/>
          <w:szCs w:val="20"/>
          <w:lang w:val="es-ES_tradnl"/>
        </w:rPr>
        <w:tab/>
      </w:r>
      <w:r w:rsidR="009A0971" w:rsidRPr="0039064A">
        <w:rPr>
          <w:rFonts w:ascii="Cambria" w:hAnsi="Cambria" w:cs="Calibri"/>
          <w:color w:val="000000"/>
          <w:sz w:val="20"/>
          <w:szCs w:val="20"/>
          <w:lang w:val="es-ES_tradnl"/>
        </w:rPr>
        <w:t xml:space="preserve">El </w:t>
      </w:r>
      <w:r w:rsidRPr="0039064A">
        <w:rPr>
          <w:rFonts w:ascii="Cambria" w:hAnsi="Cambria" w:cs="Calibri"/>
          <w:color w:val="000000"/>
          <w:sz w:val="20"/>
          <w:szCs w:val="20"/>
          <w:lang w:val="es-ES_tradnl"/>
        </w:rPr>
        <w:t xml:space="preserve">CV del/a perito/a propuesto/a será incluido en los anexos al </w:t>
      </w:r>
      <w:r w:rsidR="00E6263B" w:rsidRPr="0039064A">
        <w:rPr>
          <w:rFonts w:ascii="Cambria" w:hAnsi="Cambria" w:cs="Calibri"/>
          <w:color w:val="000000"/>
          <w:sz w:val="20"/>
          <w:szCs w:val="20"/>
          <w:lang w:val="es-ES_tradnl"/>
        </w:rPr>
        <w:t xml:space="preserve">Informe de </w:t>
      </w:r>
      <w:r w:rsidR="0012238D">
        <w:rPr>
          <w:rFonts w:ascii="Cambria" w:hAnsi="Cambria"/>
          <w:sz w:val="20"/>
          <w:szCs w:val="20"/>
          <w:lang w:val="es-US"/>
        </w:rPr>
        <w:t>Admisibilidad y</w:t>
      </w:r>
      <w:r w:rsidR="0012238D" w:rsidRPr="0039064A">
        <w:rPr>
          <w:rFonts w:ascii="Cambria" w:hAnsi="Cambria" w:cs="Calibri"/>
          <w:color w:val="000000"/>
          <w:sz w:val="20"/>
          <w:szCs w:val="20"/>
          <w:lang w:val="es-ES_tradnl"/>
        </w:rPr>
        <w:t xml:space="preserve"> </w:t>
      </w:r>
      <w:r w:rsidR="00E6263B" w:rsidRPr="0039064A">
        <w:rPr>
          <w:rFonts w:ascii="Cambria" w:hAnsi="Cambria" w:cs="Calibri"/>
          <w:color w:val="000000"/>
          <w:sz w:val="20"/>
          <w:szCs w:val="20"/>
          <w:lang w:val="es-ES_tradnl"/>
        </w:rPr>
        <w:t xml:space="preserve">Fondo </w:t>
      </w:r>
      <w:r w:rsidR="00F0191D" w:rsidRPr="0039064A">
        <w:rPr>
          <w:rFonts w:ascii="Cambria" w:hAnsi="Cambria" w:cs="Calibri"/>
          <w:color w:val="000000"/>
          <w:sz w:val="20"/>
          <w:szCs w:val="20"/>
          <w:lang w:val="es-ES_tradnl"/>
        </w:rPr>
        <w:t xml:space="preserve">No. </w:t>
      </w:r>
      <w:r w:rsidR="00E46EB2">
        <w:rPr>
          <w:rFonts w:ascii="Cambria" w:hAnsi="Cambria" w:cs="Calibri"/>
          <w:color w:val="000000"/>
          <w:sz w:val="20"/>
          <w:szCs w:val="20"/>
          <w:lang w:val="es-ES_tradnl"/>
        </w:rPr>
        <w:t>1</w:t>
      </w:r>
      <w:r w:rsidR="0012238D">
        <w:rPr>
          <w:rFonts w:ascii="Cambria" w:hAnsi="Cambria" w:cs="Calibri"/>
          <w:color w:val="000000"/>
          <w:sz w:val="20"/>
          <w:szCs w:val="20"/>
          <w:lang w:val="es-ES_tradnl"/>
        </w:rPr>
        <w:t>00</w:t>
      </w:r>
      <w:r w:rsidR="00E46EB2" w:rsidRPr="00007A84">
        <w:rPr>
          <w:rFonts w:ascii="Cambria" w:hAnsi="Cambria" w:cs="Calibri"/>
          <w:color w:val="000000"/>
          <w:sz w:val="20"/>
          <w:szCs w:val="20"/>
          <w:lang w:val="es-ES_tradnl"/>
        </w:rPr>
        <w:t>/</w:t>
      </w:r>
      <w:r w:rsidR="00E46EB2">
        <w:rPr>
          <w:rFonts w:ascii="Cambria" w:hAnsi="Cambria" w:cs="Calibri"/>
          <w:color w:val="000000"/>
          <w:sz w:val="20"/>
          <w:szCs w:val="20"/>
          <w:lang w:val="es-ES_tradnl"/>
        </w:rPr>
        <w:t>2</w:t>
      </w:r>
      <w:r w:rsidR="0012238D">
        <w:rPr>
          <w:rFonts w:ascii="Cambria" w:hAnsi="Cambria" w:cs="Calibri"/>
          <w:color w:val="000000"/>
          <w:sz w:val="20"/>
          <w:szCs w:val="20"/>
          <w:lang w:val="es-ES_tradnl"/>
        </w:rPr>
        <w:t>1</w:t>
      </w:r>
      <w:r w:rsidRPr="0039064A">
        <w:rPr>
          <w:rFonts w:ascii="Cambria" w:hAnsi="Cambria" w:cs="Calibri"/>
          <w:color w:val="000000"/>
          <w:sz w:val="20"/>
          <w:szCs w:val="20"/>
          <w:lang w:val="es-ES_tradnl"/>
        </w:rPr>
        <w:t xml:space="preserve">. </w:t>
      </w:r>
    </w:p>
    <w:p w14:paraId="46885A92" w14:textId="77777777" w:rsidR="00373D3D" w:rsidRPr="0039064A" w:rsidRDefault="00373D3D" w:rsidP="00BD53CE">
      <w:pPr>
        <w:spacing w:after="0" w:line="240" w:lineRule="auto"/>
        <w:jc w:val="both"/>
        <w:rPr>
          <w:rFonts w:ascii="Cambria" w:hAnsi="Cambria" w:cs="Calibri"/>
          <w:color w:val="000000"/>
          <w:sz w:val="20"/>
          <w:szCs w:val="20"/>
          <w:lang w:val="es-ES_tradnl"/>
        </w:rPr>
      </w:pPr>
    </w:p>
    <w:p w14:paraId="7807689B" w14:textId="77777777" w:rsidR="00BF72CC" w:rsidRDefault="005853C6" w:rsidP="00BD53CE">
      <w:pPr>
        <w:spacing w:after="0" w:line="240" w:lineRule="auto"/>
        <w:jc w:val="both"/>
        <w:rPr>
          <w:rFonts w:ascii="Cambria" w:hAnsi="Cambria" w:cs="Calibri"/>
          <w:color w:val="000000"/>
          <w:sz w:val="20"/>
          <w:szCs w:val="20"/>
          <w:lang w:val="es-ES_tradnl"/>
        </w:rPr>
      </w:pPr>
      <w:r w:rsidRPr="0039064A">
        <w:rPr>
          <w:rFonts w:ascii="Cambria" w:hAnsi="Cambria" w:cs="Calibri"/>
          <w:color w:val="000000"/>
          <w:sz w:val="20"/>
          <w:szCs w:val="20"/>
          <w:lang w:val="es-ES_tradnl"/>
        </w:rPr>
        <w:tab/>
      </w:r>
    </w:p>
    <w:p w14:paraId="4F44ECC8" w14:textId="77777777" w:rsidR="00BF72CC" w:rsidRDefault="00BF72CC" w:rsidP="00BD53CE">
      <w:pPr>
        <w:spacing w:after="0" w:line="240" w:lineRule="auto"/>
        <w:jc w:val="both"/>
        <w:rPr>
          <w:rFonts w:ascii="Cambria" w:hAnsi="Cambria" w:cs="Calibri"/>
          <w:color w:val="000000"/>
          <w:sz w:val="20"/>
          <w:szCs w:val="20"/>
          <w:lang w:val="es-ES_tradnl"/>
        </w:rPr>
      </w:pPr>
    </w:p>
    <w:p w14:paraId="223C92D8" w14:textId="77777777" w:rsidR="00BF72CC" w:rsidRDefault="00BF72CC" w:rsidP="00BD53CE">
      <w:pPr>
        <w:spacing w:after="0" w:line="240" w:lineRule="auto"/>
        <w:jc w:val="both"/>
        <w:rPr>
          <w:rFonts w:ascii="Cambria" w:hAnsi="Cambria" w:cs="Calibri"/>
          <w:color w:val="000000"/>
          <w:sz w:val="20"/>
          <w:szCs w:val="20"/>
          <w:lang w:val="es-ES_tradnl"/>
        </w:rPr>
      </w:pPr>
    </w:p>
    <w:p w14:paraId="08DA2850" w14:textId="77777777" w:rsidR="005853C6" w:rsidRPr="00BF72CC" w:rsidRDefault="005853C6" w:rsidP="00BF72CC">
      <w:pPr>
        <w:spacing w:after="0" w:line="240" w:lineRule="auto"/>
        <w:ind w:firstLine="720"/>
        <w:jc w:val="both"/>
        <w:rPr>
          <w:rFonts w:ascii="Cambria" w:hAnsi="Cambria" w:cs="Calibri"/>
          <w:color w:val="000000"/>
          <w:sz w:val="20"/>
          <w:szCs w:val="20"/>
          <w:lang w:val="es-ES_tradnl"/>
        </w:rPr>
      </w:pPr>
      <w:r w:rsidRPr="00BF72CC">
        <w:rPr>
          <w:rFonts w:ascii="Cambria" w:hAnsi="Cambria" w:cs="Calibri"/>
          <w:color w:val="000000"/>
          <w:sz w:val="20"/>
          <w:szCs w:val="20"/>
          <w:lang w:val="es-ES_tradnl"/>
        </w:rPr>
        <w:t>La Comisión pone en conocimiento de la Honorable Corte la siguiente información de quienes actúan como parte peticionaria en el trámite ante la CIDH conforme a la información más reciente:</w:t>
      </w:r>
    </w:p>
    <w:p w14:paraId="34492F40" w14:textId="77777777" w:rsidR="00BD53CE" w:rsidRPr="00BF72CC" w:rsidRDefault="00BD53CE" w:rsidP="00BF72CC">
      <w:pPr>
        <w:spacing w:after="0" w:line="240" w:lineRule="auto"/>
        <w:jc w:val="both"/>
        <w:rPr>
          <w:rFonts w:ascii="Cambria" w:hAnsi="Cambria" w:cs="Calibri"/>
          <w:color w:val="000000"/>
          <w:sz w:val="20"/>
          <w:szCs w:val="20"/>
          <w:lang w:val="es-ES_tradnl"/>
        </w:rPr>
      </w:pPr>
    </w:p>
    <w:p w14:paraId="76A667D7" w14:textId="77777777" w:rsidR="00BF72CC" w:rsidRPr="00BF72CC" w:rsidRDefault="00BF72CC" w:rsidP="00BF72CC">
      <w:pPr>
        <w:spacing w:after="0" w:line="240" w:lineRule="auto"/>
        <w:jc w:val="center"/>
        <w:rPr>
          <w:rFonts w:ascii="Cambria" w:hAnsi="Cambria"/>
          <w:sz w:val="20"/>
          <w:szCs w:val="20"/>
          <w:lang w:val="pt-BR"/>
        </w:rPr>
      </w:pPr>
      <w:r w:rsidRPr="00BF72CC">
        <w:rPr>
          <w:rFonts w:ascii="Cambria" w:hAnsi="Cambria"/>
          <w:sz w:val="20"/>
          <w:szCs w:val="20"/>
          <w:lang w:val="pt-BR"/>
        </w:rPr>
        <w:t>Organizacao de Direitos Humanos Projeto Legal</w:t>
      </w:r>
    </w:p>
    <w:p w14:paraId="68EA88C8" w14:textId="58CB877F" w:rsidR="00BF72CC" w:rsidRPr="00216A44" w:rsidRDefault="00216A44" w:rsidP="00BF72CC">
      <w:pPr>
        <w:spacing w:after="0" w:line="240" w:lineRule="auto"/>
        <w:jc w:val="center"/>
        <w:rPr>
          <w:rFonts w:ascii="Cambria" w:hAnsi="Cambria"/>
          <w:sz w:val="20"/>
          <w:szCs w:val="20"/>
          <w:highlight w:val="black"/>
          <w:lang w:val="es-CO"/>
        </w:rPr>
      </w:pPr>
      <w:r w:rsidRPr="00216A44">
        <w:rPr>
          <w:rFonts w:ascii="Cambria" w:hAnsi="Cambria"/>
          <w:sz w:val="20"/>
          <w:szCs w:val="20"/>
          <w:highlight w:val="black"/>
          <w:lang w:val="es-CO"/>
        </w:rPr>
        <w:t>XXXXXXXXXXXXXXXXXXXXXXXXXXXXXX</w:t>
      </w:r>
    </w:p>
    <w:p w14:paraId="088E4D3B" w14:textId="77777777" w:rsidR="00BF72CC" w:rsidRDefault="00BF72CC" w:rsidP="00BD53CE">
      <w:pPr>
        <w:spacing w:after="0" w:line="240" w:lineRule="auto"/>
        <w:ind w:firstLine="720"/>
        <w:jc w:val="both"/>
        <w:rPr>
          <w:rFonts w:ascii="Cambria" w:hAnsi="Cambria" w:cs="Calibri"/>
          <w:color w:val="000000"/>
          <w:sz w:val="20"/>
          <w:szCs w:val="20"/>
          <w:lang w:val="es-ES_tradnl"/>
        </w:rPr>
      </w:pPr>
    </w:p>
    <w:p w14:paraId="56358B7A" w14:textId="77777777" w:rsidR="005853C6" w:rsidRPr="00007A84" w:rsidRDefault="005853C6" w:rsidP="00BD53CE">
      <w:pPr>
        <w:spacing w:after="0" w:line="240" w:lineRule="auto"/>
        <w:ind w:firstLine="720"/>
        <w:jc w:val="both"/>
        <w:rPr>
          <w:rFonts w:ascii="Cambria" w:hAnsi="Cambria" w:cs="Calibri"/>
          <w:color w:val="000000"/>
          <w:sz w:val="20"/>
          <w:szCs w:val="20"/>
          <w:lang w:val="es-ES_tradnl"/>
        </w:rPr>
      </w:pPr>
      <w:r w:rsidRPr="00BF72CC">
        <w:rPr>
          <w:rFonts w:ascii="Cambria" w:hAnsi="Cambria" w:cs="Calibri"/>
          <w:color w:val="000000"/>
          <w:sz w:val="20"/>
          <w:szCs w:val="20"/>
          <w:lang w:val="es-ES_tradnl"/>
        </w:rPr>
        <w:t>Aprovecho</w:t>
      </w:r>
      <w:r w:rsidRPr="00007A84">
        <w:rPr>
          <w:rFonts w:ascii="Cambria" w:hAnsi="Cambria" w:cs="Calibri"/>
          <w:color w:val="000000"/>
          <w:sz w:val="20"/>
          <w:szCs w:val="20"/>
          <w:lang w:val="es-ES_tradnl"/>
        </w:rPr>
        <w:t xml:space="preserve"> la oportunidad para saludar a usted muy atentamente,</w:t>
      </w:r>
    </w:p>
    <w:p w14:paraId="5F34A641" w14:textId="77777777" w:rsidR="00D526D7" w:rsidRPr="00BF72CC" w:rsidRDefault="00D526D7" w:rsidP="00BD53CE">
      <w:pPr>
        <w:spacing w:after="0" w:line="240" w:lineRule="auto"/>
        <w:jc w:val="center"/>
        <w:rPr>
          <w:rFonts w:ascii="Cambria" w:hAnsi="Cambria" w:cs="Calibri"/>
          <w:noProof/>
          <w:sz w:val="20"/>
          <w:szCs w:val="20"/>
          <w:lang w:val="es-US"/>
        </w:rPr>
      </w:pPr>
    </w:p>
    <w:p w14:paraId="01DAEAC7" w14:textId="51F99D8F" w:rsidR="00D526D7" w:rsidRDefault="00D526D7" w:rsidP="00BD53CE">
      <w:pPr>
        <w:spacing w:after="0" w:line="240" w:lineRule="auto"/>
        <w:jc w:val="center"/>
        <w:rPr>
          <w:rFonts w:ascii="Cambria" w:hAnsi="Cambria" w:cs="Calibri"/>
          <w:noProof/>
          <w:sz w:val="20"/>
          <w:szCs w:val="20"/>
        </w:rPr>
      </w:pPr>
    </w:p>
    <w:p w14:paraId="466D7BA1" w14:textId="77777777" w:rsidR="00D526D7" w:rsidRPr="00007A84" w:rsidRDefault="00D526D7" w:rsidP="00BD53CE">
      <w:pPr>
        <w:spacing w:after="0" w:line="240" w:lineRule="auto"/>
        <w:jc w:val="center"/>
        <w:rPr>
          <w:rFonts w:ascii="Cambria" w:hAnsi="Cambria" w:cs="Calibri"/>
          <w:sz w:val="20"/>
          <w:szCs w:val="20"/>
        </w:rPr>
      </w:pPr>
    </w:p>
    <w:p w14:paraId="712CB730" w14:textId="77777777" w:rsidR="00BD53CE" w:rsidRPr="00D526D7" w:rsidRDefault="00BD53CE" w:rsidP="00BD53CE">
      <w:pPr>
        <w:tabs>
          <w:tab w:val="left" w:pos="-720"/>
        </w:tabs>
        <w:spacing w:after="0" w:line="240" w:lineRule="auto"/>
        <w:jc w:val="center"/>
        <w:rPr>
          <w:rFonts w:ascii="Cambria" w:hAnsi="Cambria" w:cs="Calibri"/>
          <w:sz w:val="20"/>
          <w:szCs w:val="20"/>
          <w:lang w:val="es-US"/>
        </w:rPr>
      </w:pPr>
      <w:r w:rsidRPr="00D526D7">
        <w:rPr>
          <w:rFonts w:ascii="Cambria" w:hAnsi="Cambria" w:cs="Calibri"/>
          <w:sz w:val="20"/>
          <w:szCs w:val="20"/>
          <w:lang w:val="es-US"/>
        </w:rPr>
        <w:t>Marisol Blanchard</w:t>
      </w:r>
    </w:p>
    <w:p w14:paraId="5B7CAC44" w14:textId="77777777" w:rsidR="00BD53CE" w:rsidRPr="00D526D7" w:rsidRDefault="00BD53CE" w:rsidP="00BD53CE">
      <w:pPr>
        <w:tabs>
          <w:tab w:val="left" w:pos="-720"/>
          <w:tab w:val="left" w:pos="5760"/>
        </w:tabs>
        <w:spacing w:after="0" w:line="240" w:lineRule="auto"/>
        <w:jc w:val="center"/>
        <w:rPr>
          <w:rFonts w:ascii="Cambria" w:hAnsi="Cambria" w:cs="Calibri"/>
          <w:sz w:val="20"/>
          <w:szCs w:val="20"/>
          <w:lang w:val="es-US"/>
        </w:rPr>
      </w:pPr>
      <w:r w:rsidRPr="00D526D7">
        <w:rPr>
          <w:rFonts w:ascii="Cambria" w:hAnsi="Cambria" w:cs="Calibri"/>
          <w:sz w:val="20"/>
          <w:szCs w:val="20"/>
          <w:lang w:val="es-US"/>
        </w:rPr>
        <w:t>Secretaria Ejecutiva Adjunta</w:t>
      </w:r>
    </w:p>
    <w:p w14:paraId="58E9820C" w14:textId="77777777" w:rsidR="005853C6" w:rsidRPr="00007A84" w:rsidRDefault="005853C6" w:rsidP="00BD53CE">
      <w:pPr>
        <w:spacing w:after="0" w:line="240" w:lineRule="auto"/>
        <w:jc w:val="both"/>
        <w:rPr>
          <w:rFonts w:ascii="Cambria" w:hAnsi="Cambria" w:cs="Calibri"/>
          <w:color w:val="000000"/>
          <w:sz w:val="20"/>
          <w:szCs w:val="20"/>
          <w:lang w:val="es-ES_tradnl"/>
        </w:rPr>
      </w:pPr>
      <w:bookmarkStart w:id="6" w:name="ministro"/>
      <w:bookmarkEnd w:id="6"/>
    </w:p>
    <w:p w14:paraId="112EDBEE" w14:textId="77777777" w:rsidR="00BD53CE" w:rsidRPr="00007A84" w:rsidRDefault="00BD53CE" w:rsidP="00BD53CE">
      <w:pPr>
        <w:spacing w:after="0" w:line="240" w:lineRule="auto"/>
        <w:jc w:val="both"/>
        <w:rPr>
          <w:rFonts w:ascii="Cambria" w:hAnsi="Cambria" w:cs="Calibri"/>
          <w:color w:val="000000"/>
          <w:sz w:val="20"/>
          <w:szCs w:val="20"/>
          <w:lang w:val="es-ES_tradnl"/>
        </w:rPr>
      </w:pPr>
    </w:p>
    <w:p w14:paraId="4DB7FD92" w14:textId="77777777" w:rsidR="005853C6" w:rsidRPr="00007A84" w:rsidRDefault="005853C6" w:rsidP="00BD53CE">
      <w:pPr>
        <w:spacing w:after="0" w:line="240" w:lineRule="auto"/>
        <w:jc w:val="both"/>
        <w:rPr>
          <w:rFonts w:ascii="Cambria" w:hAnsi="Cambria" w:cs="Calibri"/>
          <w:color w:val="000000"/>
          <w:sz w:val="20"/>
          <w:szCs w:val="20"/>
          <w:lang w:val="es-ES_tradnl"/>
        </w:rPr>
      </w:pPr>
      <w:r w:rsidRPr="00007A84">
        <w:rPr>
          <w:rFonts w:ascii="Cambria" w:hAnsi="Cambria" w:cs="Calibri"/>
          <w:color w:val="000000"/>
          <w:sz w:val="20"/>
          <w:szCs w:val="20"/>
          <w:lang w:val="es-ES_tradnl"/>
        </w:rPr>
        <w:t>Anexo</w:t>
      </w:r>
    </w:p>
    <w:sectPr w:rsidR="005853C6" w:rsidRPr="00007A84" w:rsidSect="0003443F">
      <w:headerReference w:type="default" r:id="rId12"/>
      <w:footerReference w:type="default" r:id="rId13"/>
      <w:headerReference w:type="first" r:id="rId14"/>
      <w:footerReference w:type="first" r:id="rId15"/>
      <w:pgSz w:w="12240" w:h="15840"/>
      <w:pgMar w:top="-1486"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C587D" w14:textId="77777777" w:rsidR="006E1E82" w:rsidRDefault="006E1E82">
      <w:pPr>
        <w:spacing w:after="0" w:line="240" w:lineRule="auto"/>
      </w:pPr>
      <w:r>
        <w:separator/>
      </w:r>
    </w:p>
  </w:endnote>
  <w:endnote w:type="continuationSeparator" w:id="0">
    <w:p w14:paraId="12C20060" w14:textId="77777777" w:rsidR="006E1E82" w:rsidRDefault="006E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2DE1" w14:textId="77777777" w:rsidR="00162CE1" w:rsidRPr="00BF72CC" w:rsidRDefault="00162CE1">
    <w:pPr>
      <w:pStyle w:val="Footer"/>
      <w:jc w:val="center"/>
      <w:rPr>
        <w:rFonts w:ascii="Cambria" w:hAnsi="Cambria"/>
        <w:sz w:val="18"/>
        <w:szCs w:val="18"/>
      </w:rPr>
    </w:pPr>
    <w:r w:rsidRPr="00BF72CC">
      <w:rPr>
        <w:rFonts w:ascii="Cambria" w:hAnsi="Cambria"/>
        <w:sz w:val="18"/>
        <w:szCs w:val="18"/>
      </w:rPr>
      <w:fldChar w:fldCharType="begin"/>
    </w:r>
    <w:r w:rsidRPr="00BF72CC">
      <w:rPr>
        <w:rFonts w:ascii="Cambria" w:hAnsi="Cambria"/>
        <w:sz w:val="18"/>
        <w:szCs w:val="18"/>
      </w:rPr>
      <w:instrText xml:space="preserve"> PAGE   \* MERGEFORMAT </w:instrText>
    </w:r>
    <w:r w:rsidRPr="00BF72CC">
      <w:rPr>
        <w:rFonts w:ascii="Cambria" w:hAnsi="Cambria"/>
        <w:sz w:val="18"/>
        <w:szCs w:val="18"/>
      </w:rPr>
      <w:fldChar w:fldCharType="separate"/>
    </w:r>
    <w:r w:rsidR="002D7AFD" w:rsidRPr="00BF72CC">
      <w:rPr>
        <w:rFonts w:ascii="Cambria" w:hAnsi="Cambria"/>
        <w:noProof/>
        <w:sz w:val="18"/>
        <w:szCs w:val="18"/>
      </w:rPr>
      <w:t>4</w:t>
    </w:r>
    <w:r w:rsidRPr="00BF72CC">
      <w:rPr>
        <w:rFonts w:ascii="Cambria" w:hAnsi="Cambria"/>
        <w:noProof/>
        <w:sz w:val="18"/>
        <w:szCs w:val="18"/>
      </w:rPr>
      <w:fldChar w:fldCharType="end"/>
    </w:r>
  </w:p>
  <w:p w14:paraId="5864DDD7" w14:textId="77777777" w:rsidR="002E628E" w:rsidRDefault="0003443F" w:rsidP="002E628E">
    <w:pPr>
      <w:pStyle w:val="Footer"/>
      <w:spacing w:line="360" w:lineRule="auto"/>
    </w:pPr>
    <w:r>
      <w:t>_____________________________________________________________________________________</w:t>
    </w:r>
  </w:p>
  <w:p w14:paraId="309F576D" w14:textId="7A86A2B8" w:rsidR="00162CE1" w:rsidRDefault="00BC7A80" w:rsidP="00F8734F">
    <w:pPr>
      <w:pStyle w:val="Footer"/>
      <w:jc w:val="center"/>
    </w:pPr>
    <w:r w:rsidRPr="008A5CB5">
      <w:rPr>
        <w:noProof/>
      </w:rPr>
      <w:drawing>
        <wp:inline distT="0" distB="0" distL="0" distR="0" wp14:anchorId="57D511E5" wp14:editId="6A7DE352">
          <wp:extent cx="5123180" cy="309245"/>
          <wp:effectExtent l="0" t="0" r="0" b="0"/>
          <wp:docPr id="4" name="Picture 3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3180" cy="30924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4A2B" w14:textId="77777777" w:rsidR="00162CE1" w:rsidRDefault="0003443F" w:rsidP="00162CE1">
    <w:pPr>
      <w:pStyle w:val="Footer"/>
      <w:spacing w:line="360" w:lineRule="auto"/>
    </w:pPr>
    <w:r>
      <w:t>_____________________________________________________________________________________</w:t>
    </w:r>
  </w:p>
  <w:p w14:paraId="59142CC9" w14:textId="4485073E" w:rsidR="00162CE1" w:rsidRDefault="00BC7A80" w:rsidP="00162CE1">
    <w:pPr>
      <w:pStyle w:val="Footer"/>
      <w:jc w:val="center"/>
    </w:pPr>
    <w:r w:rsidRPr="008A5CB5">
      <w:rPr>
        <w:noProof/>
      </w:rPr>
      <w:drawing>
        <wp:inline distT="0" distB="0" distL="0" distR="0" wp14:anchorId="39F1EB98" wp14:editId="47207DC0">
          <wp:extent cx="5123180" cy="309245"/>
          <wp:effectExtent l="0" t="0" r="0" b="0"/>
          <wp:docPr id="7" name="Picture 3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3180" cy="3092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1AA13" w14:textId="77777777" w:rsidR="006E1E82" w:rsidRDefault="006E1E82">
      <w:pPr>
        <w:spacing w:after="0" w:line="240" w:lineRule="auto"/>
      </w:pPr>
      <w:r>
        <w:separator/>
      </w:r>
    </w:p>
  </w:footnote>
  <w:footnote w:type="continuationSeparator" w:id="0">
    <w:p w14:paraId="5184BE6A" w14:textId="77777777" w:rsidR="006E1E82" w:rsidRDefault="006E1E82">
      <w:pPr>
        <w:spacing w:after="0" w:line="240" w:lineRule="auto"/>
      </w:pPr>
      <w:r>
        <w:continuationSeparator/>
      </w:r>
    </w:p>
  </w:footnote>
  <w:footnote w:id="1">
    <w:p w14:paraId="363053B7" w14:textId="77777777" w:rsidR="00A94E5A" w:rsidRPr="00A94E5A" w:rsidRDefault="00A94E5A" w:rsidP="00A94E5A">
      <w:pPr>
        <w:spacing w:after="0" w:line="240" w:lineRule="auto"/>
        <w:jc w:val="both"/>
        <w:rPr>
          <w:rFonts w:ascii="Cambria" w:hAnsi="Cambria"/>
          <w:sz w:val="16"/>
          <w:szCs w:val="16"/>
          <w:lang w:val="es-US"/>
        </w:rPr>
      </w:pPr>
      <w:r w:rsidRPr="00FB1FBF">
        <w:rPr>
          <w:rStyle w:val="FootnoteReference"/>
          <w:rFonts w:ascii="Cambria" w:hAnsi="Cambria"/>
          <w:sz w:val="16"/>
          <w:szCs w:val="16"/>
        </w:rPr>
        <w:footnoteRef/>
      </w:r>
      <w:r w:rsidRPr="00A94E5A">
        <w:rPr>
          <w:rFonts w:ascii="Cambria" w:hAnsi="Cambria"/>
          <w:sz w:val="16"/>
          <w:szCs w:val="16"/>
          <w:lang w:val="es-US"/>
        </w:rPr>
        <w:t xml:space="preserve"> Se refiere a los familaires de Viviane Rocha, Cristiane Souza Leite, Wudson de Souza, Wallace do Nascimento, Antônio Carlos da Silva, Luiz Henrique Euzébio, Edson de Souza, Rosana Lima de Souza, Moisés dos Santos Cruz, Luiz Carlos Vasconcelos de Deus, Edio do Nascimento, Edméa da Silva Euzébio y Sheila da Conceição</w:t>
      </w:r>
      <w:r>
        <w:rPr>
          <w:rFonts w:ascii="Cambria" w:hAnsi="Cambria"/>
          <w:sz w:val="16"/>
          <w:szCs w:val="16"/>
          <w:lang w:val="es-US"/>
        </w:rPr>
        <w:t>.</w:t>
      </w:r>
    </w:p>
  </w:footnote>
  <w:footnote w:id="2">
    <w:p w14:paraId="77085916" w14:textId="77777777" w:rsidR="00A94E5A" w:rsidRPr="00FB1FBF" w:rsidRDefault="00A94E5A" w:rsidP="00A94E5A">
      <w:pPr>
        <w:pStyle w:val="FootnoteText"/>
        <w:jc w:val="both"/>
        <w:rPr>
          <w:lang w:val="pt-BR"/>
        </w:rPr>
      </w:pPr>
      <w:r w:rsidRPr="00FB1FBF">
        <w:rPr>
          <w:rStyle w:val="FootnoteReference"/>
        </w:rPr>
        <w:footnoteRef/>
      </w:r>
      <w:r w:rsidRPr="00FB1FBF">
        <w:rPr>
          <w:lang w:val="pt-BR"/>
        </w:rPr>
        <w:t xml:space="preserve"> Se refiere a la desaparición forzada de las víctimas Viviane Rocha, Cristiane Souza Leite, Wudson de Souza, Wallace do Nascimento, Antônio Carlos da Silva, Luiz Henrique Euzébio, Edson de Souza, Rosana Lima de Souza, Moisés dos Santos Cruz, Luiz Carlos Vasconcelos de Deus y Edio do Nascimento</w:t>
      </w:r>
      <w:r>
        <w:rPr>
          <w:lang w:val="pt-BR"/>
        </w:rPr>
        <w:t>.</w:t>
      </w:r>
    </w:p>
  </w:footnote>
  <w:footnote w:id="3">
    <w:p w14:paraId="164E9762" w14:textId="77777777" w:rsidR="00A94E5A" w:rsidRPr="00F740CA" w:rsidRDefault="00A94E5A" w:rsidP="00A94E5A">
      <w:pPr>
        <w:pStyle w:val="FootnoteText"/>
        <w:rPr>
          <w:lang w:val="pt-BR"/>
        </w:rPr>
      </w:pPr>
      <w:r w:rsidRPr="00FB1FBF">
        <w:rPr>
          <w:rStyle w:val="FootnoteReference"/>
        </w:rPr>
        <w:footnoteRef/>
      </w:r>
      <w:r w:rsidRPr="00FB1FBF">
        <w:rPr>
          <w:lang w:val="pt-BR"/>
        </w:rPr>
        <w:t xml:space="preserve"> Se refiere a los homicídios de las víctimas </w:t>
      </w:r>
      <w:r w:rsidRPr="00FB1FBF">
        <w:rPr>
          <w:color w:val="auto"/>
          <w:lang w:val="es-ES_tradnl"/>
        </w:rPr>
        <w:t>Edméa da Silva Euzébio</w:t>
      </w:r>
      <w:r w:rsidRPr="00FB1FBF">
        <w:rPr>
          <w:lang w:val="es-ES_tradnl"/>
        </w:rPr>
        <w:t xml:space="preserve"> y</w:t>
      </w:r>
      <w:r w:rsidRPr="00FB1FBF">
        <w:rPr>
          <w:color w:val="auto"/>
          <w:lang w:val="es-ES_tradnl"/>
        </w:rPr>
        <w:t xml:space="preserve"> Sheila da Conceição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AEC6" w14:textId="31B7F219" w:rsidR="00162CE1" w:rsidRPr="0058688A" w:rsidRDefault="00BC7A80" w:rsidP="00162CE1">
    <w:pPr>
      <w:pStyle w:val="Header"/>
      <w:jc w:val="center"/>
      <w:rPr>
        <w:lang w:val="es-ES_tradnl"/>
      </w:rPr>
    </w:pPr>
    <w:r>
      <w:rPr>
        <w:noProof/>
        <w:lang w:val="es-ES_tradnl"/>
      </w:rPr>
      <w:drawing>
        <wp:inline distT="0" distB="0" distL="0" distR="0" wp14:anchorId="782FAB8C" wp14:editId="357702EC">
          <wp:extent cx="2286000" cy="134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34620"/>
                  </a:xfrm>
                  <a:prstGeom prst="rect">
                    <a:avLst/>
                  </a:prstGeom>
                  <a:noFill/>
                  <a:ln>
                    <a:noFill/>
                  </a:ln>
                </pic:spPr>
              </pic:pic>
            </a:graphicData>
          </a:graphic>
        </wp:inline>
      </w:drawing>
    </w:r>
  </w:p>
  <w:p w14:paraId="5868BB8B" w14:textId="77777777" w:rsidR="00162CE1" w:rsidRDefault="0003443F">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2E04" w14:textId="7D9063F7" w:rsidR="00162CE1" w:rsidRDefault="00BC7A80" w:rsidP="00162CE1">
    <w:pPr>
      <w:pStyle w:val="Header"/>
    </w:pPr>
    <w:r w:rsidRPr="008A5CB5">
      <w:rPr>
        <w:noProof/>
      </w:rPr>
      <w:drawing>
        <wp:inline distT="0" distB="0" distL="0" distR="0" wp14:anchorId="241C57BC" wp14:editId="1A4253AA">
          <wp:extent cx="2353310" cy="457200"/>
          <wp:effectExtent l="0" t="0" r="0" b="0"/>
          <wp:docPr id="5" name="Picture 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457200"/>
                  </a:xfrm>
                  <a:prstGeom prst="rect">
                    <a:avLst/>
                  </a:prstGeom>
                  <a:noFill/>
                  <a:ln>
                    <a:noFill/>
                  </a:ln>
                </pic:spPr>
              </pic:pic>
            </a:graphicData>
          </a:graphic>
        </wp:inline>
      </w:drawing>
    </w:r>
    <w:r w:rsidR="00162CE1">
      <w:tab/>
    </w:r>
    <w:r w:rsidR="00162CE1">
      <w:tab/>
    </w:r>
    <w:r w:rsidRPr="008A5CB5">
      <w:rPr>
        <w:noProof/>
      </w:rPr>
      <w:drawing>
        <wp:inline distT="0" distB="0" distL="0" distR="0" wp14:anchorId="6E5E7D18" wp14:editId="2675EE7C">
          <wp:extent cx="1654175" cy="483870"/>
          <wp:effectExtent l="0" t="0" r="0" b="0"/>
          <wp:docPr id="6" name="Picture 2"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4175" cy="483870"/>
                  </a:xfrm>
                  <a:prstGeom prst="rect">
                    <a:avLst/>
                  </a:prstGeom>
                  <a:noFill/>
                  <a:ln>
                    <a:noFill/>
                  </a:ln>
                </pic:spPr>
              </pic:pic>
            </a:graphicData>
          </a:graphic>
        </wp:inline>
      </w:drawing>
    </w:r>
  </w:p>
  <w:p w14:paraId="7ACA58F1" w14:textId="77777777" w:rsidR="00162CE1" w:rsidRDefault="00216A44" w:rsidP="00162CE1">
    <w:pPr>
      <w:pStyle w:val="Header"/>
    </w:pPr>
    <w:r>
      <w:rPr>
        <w:noProof/>
      </w:rPr>
      <w:pict w14:anchorId="39A97D15">
        <v:rect id="_x0000_i1025" style="width:468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10A1"/>
    <w:multiLevelType w:val="hybridMultilevel"/>
    <w:tmpl w:val="3DCAC4EC"/>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7D56AC9"/>
    <w:multiLevelType w:val="hybridMultilevel"/>
    <w:tmpl w:val="3DCAC4EC"/>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DA61E90"/>
    <w:multiLevelType w:val="multilevel"/>
    <w:tmpl w:val="D10C3E3A"/>
    <w:lvl w:ilvl="0">
      <w:start w:val="1"/>
      <w:numFmt w:val="decimal"/>
      <w:lvlText w:val="%1."/>
      <w:lvlJc w:val="left"/>
      <w:rPr>
        <w:rFonts w:ascii="Cambria" w:eastAsia="Cambria" w:hAnsi="Cambria" w:cs="Cambria"/>
        <w:b w:val="0"/>
        <w:color w:val="000000"/>
        <w:position w:val="0"/>
        <w:sz w:val="20"/>
        <w:szCs w:val="20"/>
        <w:u w:color="FF0000"/>
        <w:rtl w:val="0"/>
        <w:lang w:val="es-ES_tradnl"/>
      </w:rPr>
    </w:lvl>
    <w:lvl w:ilvl="1">
      <w:start w:val="1"/>
      <w:numFmt w:val="lowerLetter"/>
      <w:lvlText w:val="%2."/>
      <w:lvlJc w:val="left"/>
      <w:rPr>
        <w:rFonts w:ascii="Cambria" w:eastAsia="Cambria" w:hAnsi="Cambria" w:cs="Cambria"/>
        <w:color w:val="000000"/>
        <w:position w:val="0"/>
        <w:u w:color="000000"/>
        <w:rtl w:val="0"/>
        <w:lang w:val="es-ES_tradnl"/>
      </w:rPr>
    </w:lvl>
    <w:lvl w:ilvl="2">
      <w:start w:val="1"/>
      <w:numFmt w:val="lowerRoman"/>
      <w:lvlText w:val="%3."/>
      <w:lvlJc w:val="left"/>
      <w:rPr>
        <w:rFonts w:ascii="Cambria" w:eastAsia="Cambria" w:hAnsi="Cambria" w:cs="Cambria"/>
        <w:color w:val="000000"/>
        <w:position w:val="0"/>
        <w:u w:color="000000"/>
        <w:rtl w:val="0"/>
        <w:lang w:val="es-ES_tradnl"/>
      </w:rPr>
    </w:lvl>
    <w:lvl w:ilvl="3">
      <w:start w:val="1"/>
      <w:numFmt w:val="decimal"/>
      <w:lvlText w:val="%4."/>
      <w:lvlJc w:val="left"/>
      <w:rPr>
        <w:rFonts w:ascii="Cambria" w:eastAsia="Cambria" w:hAnsi="Cambria" w:cs="Cambria"/>
        <w:color w:val="000000"/>
        <w:position w:val="0"/>
        <w:u w:color="000000"/>
        <w:rtl w:val="0"/>
        <w:lang w:val="es-ES_tradnl"/>
      </w:rPr>
    </w:lvl>
    <w:lvl w:ilvl="4">
      <w:start w:val="1"/>
      <w:numFmt w:val="lowerLetter"/>
      <w:lvlText w:val="%5."/>
      <w:lvlJc w:val="left"/>
      <w:rPr>
        <w:rFonts w:ascii="Cambria" w:eastAsia="Cambria" w:hAnsi="Cambria" w:cs="Cambria"/>
        <w:color w:val="000000"/>
        <w:position w:val="0"/>
        <w:u w:color="000000"/>
        <w:rtl w:val="0"/>
        <w:lang w:val="es-ES_tradnl"/>
      </w:rPr>
    </w:lvl>
    <w:lvl w:ilvl="5">
      <w:start w:val="1"/>
      <w:numFmt w:val="lowerRoman"/>
      <w:lvlText w:val="%6."/>
      <w:lvlJc w:val="left"/>
      <w:rPr>
        <w:rFonts w:ascii="Cambria" w:eastAsia="Cambria" w:hAnsi="Cambria" w:cs="Cambria"/>
        <w:color w:val="000000"/>
        <w:position w:val="0"/>
        <w:u w:color="000000"/>
        <w:rtl w:val="0"/>
        <w:lang w:val="es-ES_tradnl"/>
      </w:rPr>
    </w:lvl>
    <w:lvl w:ilvl="6">
      <w:start w:val="1"/>
      <w:numFmt w:val="decimal"/>
      <w:lvlText w:val="%7."/>
      <w:lvlJc w:val="left"/>
      <w:rPr>
        <w:rFonts w:ascii="Cambria" w:eastAsia="Cambria" w:hAnsi="Cambria" w:cs="Cambria"/>
        <w:color w:val="000000"/>
        <w:position w:val="0"/>
        <w:u w:color="000000"/>
        <w:rtl w:val="0"/>
        <w:lang w:val="es-ES_tradnl"/>
      </w:rPr>
    </w:lvl>
    <w:lvl w:ilvl="7">
      <w:start w:val="1"/>
      <w:numFmt w:val="lowerLetter"/>
      <w:lvlText w:val="%8."/>
      <w:lvlJc w:val="left"/>
      <w:rPr>
        <w:rFonts w:ascii="Cambria" w:eastAsia="Cambria" w:hAnsi="Cambria" w:cs="Cambria"/>
        <w:color w:val="000000"/>
        <w:position w:val="0"/>
        <w:u w:color="000000"/>
        <w:rtl w:val="0"/>
        <w:lang w:val="es-ES_tradnl"/>
      </w:rPr>
    </w:lvl>
    <w:lvl w:ilvl="8">
      <w:start w:val="1"/>
      <w:numFmt w:val="lowerRoman"/>
      <w:lvlText w:val="%9."/>
      <w:lvlJc w:val="left"/>
      <w:rPr>
        <w:rFonts w:ascii="Cambria" w:eastAsia="Cambria" w:hAnsi="Cambria" w:cs="Cambria"/>
        <w:color w:val="000000"/>
        <w:position w:val="0"/>
        <w:u w:color="000000"/>
        <w:rtl w:val="0"/>
        <w:lang w:val="es-ES_tradnl"/>
      </w:rPr>
    </w:lvl>
  </w:abstractNum>
  <w:abstractNum w:abstractNumId="3" w15:restartNumberingAfterBreak="0">
    <w:nsid w:val="27553490"/>
    <w:multiLevelType w:val="hybridMultilevel"/>
    <w:tmpl w:val="98C2F8A2"/>
    <w:lvl w:ilvl="0" w:tplc="F788C15C">
      <w:start w:val="20"/>
      <w:numFmt w:val="decimal"/>
      <w:lvlText w:val="%1."/>
      <w:lvlJc w:val="left"/>
      <w:pPr>
        <w:ind w:left="720" w:hanging="360"/>
      </w:pPr>
      <w:rPr>
        <w:rFonts w:ascii="Cambria" w:hAnsi="Cambria"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C67FFA"/>
    <w:multiLevelType w:val="hybridMultilevel"/>
    <w:tmpl w:val="3B324E06"/>
    <w:lvl w:ilvl="0" w:tplc="5D921E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E6C6A"/>
    <w:multiLevelType w:val="hybridMultilevel"/>
    <w:tmpl w:val="3B324E0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8B6462"/>
    <w:multiLevelType w:val="hybridMultilevel"/>
    <w:tmpl w:val="610EC480"/>
    <w:lvl w:ilvl="0" w:tplc="ED0447A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B48A7"/>
    <w:multiLevelType w:val="hybridMultilevel"/>
    <w:tmpl w:val="8F2605F0"/>
    <w:lvl w:ilvl="0" w:tplc="8B2C8F78">
      <w:start w:val="1"/>
      <w:numFmt w:val="decimal"/>
      <w:lvlText w:val="%1."/>
      <w:lvlJc w:val="left"/>
      <w:pPr>
        <w:ind w:left="720" w:hanging="360"/>
      </w:pPr>
      <w:rPr>
        <w:rFonts w:eastAsia="Cambria" w:cs="Cambria"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DC61D90"/>
    <w:multiLevelType w:val="hybridMultilevel"/>
    <w:tmpl w:val="88B899B8"/>
    <w:lvl w:ilvl="0" w:tplc="C7EC2450">
      <w:start w:val="1"/>
      <w:numFmt w:val="decimal"/>
      <w:lvlText w:val="%1."/>
      <w:lvlJc w:val="left"/>
      <w:pPr>
        <w:tabs>
          <w:tab w:val="num" w:pos="1080"/>
        </w:tabs>
        <w:ind w:left="1080" w:hanging="360"/>
      </w:pPr>
      <w:rPr>
        <w:rFonts w:ascii="Cambria" w:hAnsi="Cambria" w:cs="Times New Roman" w:hint="default"/>
        <w:b w:val="0"/>
        <w:i w:val="0"/>
        <w:sz w:val="20"/>
        <w:szCs w:val="20"/>
        <w:lang w:val="es-CO"/>
      </w:rPr>
    </w:lvl>
    <w:lvl w:ilvl="1" w:tplc="41189D3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CB44BB"/>
    <w:multiLevelType w:val="multilevel"/>
    <w:tmpl w:val="8196F056"/>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401A6212"/>
    <w:multiLevelType w:val="hybridMultilevel"/>
    <w:tmpl w:val="0E28989A"/>
    <w:lvl w:ilvl="0" w:tplc="9A5C2456">
      <w:start w:val="204"/>
      <w:numFmt w:val="decimal"/>
      <w:lvlText w:val="%1."/>
      <w:lvlJc w:val="left"/>
      <w:pPr>
        <w:ind w:left="360" w:hanging="360"/>
      </w:pPr>
      <w:rPr>
        <w:rFonts w:ascii="Cambria" w:hAnsi="Cambria"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412342E"/>
    <w:multiLevelType w:val="multilevel"/>
    <w:tmpl w:val="1ADE2FB2"/>
    <w:styleLink w:val="List19"/>
    <w:lvl w:ilvl="0">
      <w:start w:val="1"/>
      <w:numFmt w:val="decimal"/>
      <w:lvlText w:val="%1."/>
      <w:lvlJc w:val="left"/>
      <w:pPr>
        <w:tabs>
          <w:tab w:val="num" w:pos="806"/>
        </w:tabs>
        <w:ind w:left="806" w:hanging="806"/>
      </w:pPr>
      <w:rPr>
        <w:rFonts w:ascii="Cambria" w:eastAsia="Cambria" w:hAnsi="Cambria" w:cs="Cambria"/>
        <w:position w:val="0"/>
        <w:sz w:val="20"/>
        <w:szCs w:val="20"/>
        <w:rtl w:val="0"/>
        <w:lang w:val="es-ES_tradnl"/>
      </w:rPr>
    </w:lvl>
    <w:lvl w:ilvl="1">
      <w:start w:val="1"/>
      <w:numFmt w:val="lowerLetter"/>
      <w:lvlText w:val="%2."/>
      <w:lvlJc w:val="left"/>
      <w:pPr>
        <w:tabs>
          <w:tab w:val="num" w:pos="1740"/>
        </w:tabs>
        <w:ind w:left="1740" w:hanging="300"/>
      </w:pPr>
      <w:rPr>
        <w:rFonts w:ascii="Cambria" w:eastAsia="Cambria" w:hAnsi="Cambria" w:cs="Cambria"/>
        <w:position w:val="0"/>
        <w:sz w:val="20"/>
        <w:szCs w:val="20"/>
        <w:rtl w:val="0"/>
        <w:lang w:val="es-ES_tradnl"/>
      </w:rPr>
    </w:lvl>
    <w:lvl w:ilvl="2">
      <w:start w:val="1"/>
      <w:numFmt w:val="lowerRoman"/>
      <w:lvlText w:val="%3."/>
      <w:lvlJc w:val="left"/>
      <w:pPr>
        <w:tabs>
          <w:tab w:val="num" w:pos="2471"/>
        </w:tabs>
        <w:ind w:left="2471" w:hanging="247"/>
      </w:pPr>
      <w:rPr>
        <w:rFonts w:ascii="Cambria" w:eastAsia="Cambria" w:hAnsi="Cambria" w:cs="Cambria"/>
        <w:position w:val="0"/>
        <w:sz w:val="20"/>
        <w:szCs w:val="20"/>
        <w:rtl w:val="0"/>
        <w:lang w:val="es-ES_tradnl"/>
      </w:rPr>
    </w:lvl>
    <w:lvl w:ilvl="3">
      <w:start w:val="1"/>
      <w:numFmt w:val="decimal"/>
      <w:lvlText w:val="%4."/>
      <w:lvlJc w:val="left"/>
      <w:pPr>
        <w:tabs>
          <w:tab w:val="num" w:pos="3180"/>
        </w:tabs>
        <w:ind w:left="3180" w:hanging="300"/>
      </w:pPr>
      <w:rPr>
        <w:rFonts w:ascii="Cambria" w:eastAsia="Cambria" w:hAnsi="Cambria" w:cs="Cambria"/>
        <w:position w:val="0"/>
        <w:sz w:val="20"/>
        <w:szCs w:val="20"/>
        <w:rtl w:val="0"/>
        <w:lang w:val="es-ES_tradnl"/>
      </w:rPr>
    </w:lvl>
    <w:lvl w:ilvl="4">
      <w:start w:val="1"/>
      <w:numFmt w:val="lowerLetter"/>
      <w:lvlText w:val="%5."/>
      <w:lvlJc w:val="left"/>
      <w:pPr>
        <w:tabs>
          <w:tab w:val="num" w:pos="3900"/>
        </w:tabs>
        <w:ind w:left="3900" w:hanging="300"/>
      </w:pPr>
      <w:rPr>
        <w:rFonts w:ascii="Cambria" w:eastAsia="Cambria" w:hAnsi="Cambria" w:cs="Cambria"/>
        <w:position w:val="0"/>
        <w:sz w:val="20"/>
        <w:szCs w:val="20"/>
        <w:rtl w:val="0"/>
        <w:lang w:val="es-ES_tradnl"/>
      </w:rPr>
    </w:lvl>
    <w:lvl w:ilvl="5">
      <w:start w:val="1"/>
      <w:numFmt w:val="lowerRoman"/>
      <w:lvlText w:val="%6."/>
      <w:lvlJc w:val="left"/>
      <w:pPr>
        <w:tabs>
          <w:tab w:val="num" w:pos="4631"/>
        </w:tabs>
        <w:ind w:left="4631" w:hanging="247"/>
      </w:pPr>
      <w:rPr>
        <w:rFonts w:ascii="Cambria" w:eastAsia="Cambria" w:hAnsi="Cambria" w:cs="Cambria"/>
        <w:position w:val="0"/>
        <w:sz w:val="20"/>
        <w:szCs w:val="20"/>
        <w:rtl w:val="0"/>
        <w:lang w:val="es-ES_tradnl"/>
      </w:rPr>
    </w:lvl>
    <w:lvl w:ilvl="6">
      <w:start w:val="1"/>
      <w:numFmt w:val="decimal"/>
      <w:lvlText w:val="%7."/>
      <w:lvlJc w:val="left"/>
      <w:pPr>
        <w:tabs>
          <w:tab w:val="num" w:pos="5340"/>
        </w:tabs>
        <w:ind w:left="5340" w:hanging="300"/>
      </w:pPr>
      <w:rPr>
        <w:rFonts w:ascii="Cambria" w:eastAsia="Cambria" w:hAnsi="Cambria" w:cs="Cambria"/>
        <w:position w:val="0"/>
        <w:sz w:val="20"/>
        <w:szCs w:val="20"/>
        <w:rtl w:val="0"/>
        <w:lang w:val="es-ES_tradnl"/>
      </w:rPr>
    </w:lvl>
    <w:lvl w:ilvl="7">
      <w:start w:val="1"/>
      <w:numFmt w:val="lowerLetter"/>
      <w:lvlText w:val="%8."/>
      <w:lvlJc w:val="left"/>
      <w:pPr>
        <w:tabs>
          <w:tab w:val="num" w:pos="6060"/>
        </w:tabs>
        <w:ind w:left="6060" w:hanging="300"/>
      </w:pPr>
      <w:rPr>
        <w:rFonts w:ascii="Cambria" w:eastAsia="Cambria" w:hAnsi="Cambria" w:cs="Cambria"/>
        <w:position w:val="0"/>
        <w:sz w:val="20"/>
        <w:szCs w:val="20"/>
        <w:rtl w:val="0"/>
        <w:lang w:val="es-ES_tradnl"/>
      </w:rPr>
    </w:lvl>
    <w:lvl w:ilvl="8">
      <w:start w:val="1"/>
      <w:numFmt w:val="lowerRoman"/>
      <w:lvlText w:val="%9."/>
      <w:lvlJc w:val="left"/>
      <w:pPr>
        <w:tabs>
          <w:tab w:val="num" w:pos="6791"/>
        </w:tabs>
        <w:ind w:left="6791" w:hanging="247"/>
      </w:pPr>
      <w:rPr>
        <w:rFonts w:ascii="Cambria" w:eastAsia="Cambria" w:hAnsi="Cambria" w:cs="Cambria"/>
        <w:position w:val="0"/>
        <w:sz w:val="20"/>
        <w:szCs w:val="20"/>
        <w:rtl w:val="0"/>
        <w:lang w:val="es-ES_tradnl"/>
      </w:rPr>
    </w:lvl>
  </w:abstractNum>
  <w:abstractNum w:abstractNumId="12" w15:restartNumberingAfterBreak="0">
    <w:nsid w:val="4991082E"/>
    <w:multiLevelType w:val="hybridMultilevel"/>
    <w:tmpl w:val="F2DC6340"/>
    <w:lvl w:ilvl="0" w:tplc="0B726994">
      <w:start w:val="1"/>
      <w:numFmt w:val="decimal"/>
      <w:lvlText w:val="%1."/>
      <w:lvlJc w:val="left"/>
      <w:pPr>
        <w:ind w:left="360" w:hanging="360"/>
      </w:pPr>
      <w:rPr>
        <w:rFonts w:ascii="Cambria" w:hAnsi="Cambria" w:hint="default"/>
        <w:b w:val="0"/>
        <w:i w:val="0"/>
        <w:color w:val="000000"/>
        <w:sz w:val="20"/>
        <w:lang w:val="es-CO"/>
      </w:rPr>
    </w:lvl>
    <w:lvl w:ilvl="1" w:tplc="240A0019" w:tentative="1">
      <w:start w:val="1"/>
      <w:numFmt w:val="lowerLetter"/>
      <w:lvlText w:val="%2."/>
      <w:lvlJc w:val="left"/>
      <w:pPr>
        <w:ind w:left="-450" w:hanging="360"/>
      </w:pPr>
    </w:lvl>
    <w:lvl w:ilvl="2" w:tplc="240A001B" w:tentative="1">
      <w:start w:val="1"/>
      <w:numFmt w:val="lowerRoman"/>
      <w:lvlText w:val="%3."/>
      <w:lvlJc w:val="right"/>
      <w:pPr>
        <w:ind w:left="270" w:hanging="180"/>
      </w:pPr>
    </w:lvl>
    <w:lvl w:ilvl="3" w:tplc="240A000F" w:tentative="1">
      <w:start w:val="1"/>
      <w:numFmt w:val="decimal"/>
      <w:lvlText w:val="%4."/>
      <w:lvlJc w:val="left"/>
      <w:pPr>
        <w:ind w:left="990" w:hanging="360"/>
      </w:pPr>
    </w:lvl>
    <w:lvl w:ilvl="4" w:tplc="240A0019" w:tentative="1">
      <w:start w:val="1"/>
      <w:numFmt w:val="lowerLetter"/>
      <w:lvlText w:val="%5."/>
      <w:lvlJc w:val="left"/>
      <w:pPr>
        <w:ind w:left="1710" w:hanging="360"/>
      </w:pPr>
    </w:lvl>
    <w:lvl w:ilvl="5" w:tplc="240A001B" w:tentative="1">
      <w:start w:val="1"/>
      <w:numFmt w:val="lowerRoman"/>
      <w:lvlText w:val="%6."/>
      <w:lvlJc w:val="right"/>
      <w:pPr>
        <w:ind w:left="2430" w:hanging="180"/>
      </w:pPr>
    </w:lvl>
    <w:lvl w:ilvl="6" w:tplc="240A000F" w:tentative="1">
      <w:start w:val="1"/>
      <w:numFmt w:val="decimal"/>
      <w:lvlText w:val="%7."/>
      <w:lvlJc w:val="left"/>
      <w:pPr>
        <w:ind w:left="3150" w:hanging="360"/>
      </w:pPr>
    </w:lvl>
    <w:lvl w:ilvl="7" w:tplc="240A0019" w:tentative="1">
      <w:start w:val="1"/>
      <w:numFmt w:val="lowerLetter"/>
      <w:lvlText w:val="%8."/>
      <w:lvlJc w:val="left"/>
      <w:pPr>
        <w:ind w:left="3870" w:hanging="360"/>
      </w:pPr>
    </w:lvl>
    <w:lvl w:ilvl="8" w:tplc="240A001B" w:tentative="1">
      <w:start w:val="1"/>
      <w:numFmt w:val="lowerRoman"/>
      <w:lvlText w:val="%9."/>
      <w:lvlJc w:val="right"/>
      <w:pPr>
        <w:ind w:left="4590" w:hanging="180"/>
      </w:pPr>
    </w:lvl>
  </w:abstractNum>
  <w:abstractNum w:abstractNumId="13" w15:restartNumberingAfterBreak="0">
    <w:nsid w:val="4DFA3B18"/>
    <w:multiLevelType w:val="multilevel"/>
    <w:tmpl w:val="8196F056"/>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7D4B9D"/>
    <w:multiLevelType w:val="hybridMultilevel"/>
    <w:tmpl w:val="88A6D808"/>
    <w:lvl w:ilvl="0" w:tplc="2C38E732">
      <w:start w:val="1"/>
      <w:numFmt w:val="decimal"/>
      <w:lvlText w:val="%1."/>
      <w:lvlJc w:val="left"/>
      <w:pPr>
        <w:ind w:left="990" w:hanging="360"/>
      </w:pPr>
      <w:rPr>
        <w:rFonts w:ascii="Cambria" w:hAnsi="Cambria" w:hint="default"/>
        <w:b w:val="0"/>
        <w:color w:val="auto"/>
        <w:sz w:val="20"/>
        <w:szCs w:val="20"/>
        <w:lang w:val="es-AR"/>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ED15A8"/>
    <w:multiLevelType w:val="hybridMultilevel"/>
    <w:tmpl w:val="3DCAC4EC"/>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2B8097C"/>
    <w:multiLevelType w:val="hybridMultilevel"/>
    <w:tmpl w:val="3DCAC4EC"/>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6BE5E6A"/>
    <w:multiLevelType w:val="hybridMultilevel"/>
    <w:tmpl w:val="C9D20C7E"/>
    <w:lvl w:ilvl="0" w:tplc="B47EC36A">
      <w:start w:val="1"/>
      <w:numFmt w:val="decimal"/>
      <w:lvlText w:val="%1."/>
      <w:lvlJc w:val="left"/>
      <w:pPr>
        <w:tabs>
          <w:tab w:val="num" w:pos="720"/>
        </w:tabs>
        <w:ind w:left="0" w:firstLine="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B64019"/>
    <w:multiLevelType w:val="hybridMultilevel"/>
    <w:tmpl w:val="3B324E0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4460CA"/>
    <w:multiLevelType w:val="hybridMultilevel"/>
    <w:tmpl w:val="07B85AD8"/>
    <w:lvl w:ilvl="0" w:tplc="67D6E770">
      <w:start w:val="1"/>
      <w:numFmt w:val="decimal"/>
      <w:lvlText w:val="%1."/>
      <w:lvlJc w:val="left"/>
      <w:pPr>
        <w:tabs>
          <w:tab w:val="num" w:pos="720"/>
        </w:tabs>
        <w:ind w:left="720" w:hanging="360"/>
      </w:pPr>
      <w:rPr>
        <w:rFonts w:cs="Calibri"/>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6E15765F"/>
    <w:multiLevelType w:val="hybridMultilevel"/>
    <w:tmpl w:val="E19847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4B81A8D"/>
    <w:multiLevelType w:val="hybridMultilevel"/>
    <w:tmpl w:val="79AE9E34"/>
    <w:lvl w:ilvl="0" w:tplc="F7A2A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3A10CB"/>
    <w:multiLevelType w:val="multilevel"/>
    <w:tmpl w:val="8196F056"/>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 w15:restartNumberingAfterBreak="0">
    <w:nsid w:val="7AFB3831"/>
    <w:multiLevelType w:val="hybridMultilevel"/>
    <w:tmpl w:val="1474E3CC"/>
    <w:lvl w:ilvl="0" w:tplc="5D1A316A">
      <w:start w:val="2"/>
      <w:numFmt w:val="upperLetter"/>
      <w:lvlText w:val="%1."/>
      <w:lvlJc w:val="left"/>
      <w:pPr>
        <w:tabs>
          <w:tab w:val="num" w:pos="1440"/>
        </w:tabs>
        <w:ind w:left="1440" w:hanging="720"/>
      </w:pPr>
    </w:lvl>
    <w:lvl w:ilvl="1" w:tplc="BD42056E">
      <w:start w:val="1"/>
      <w:numFmt w:val="decimal"/>
      <w:lvlText w:val="%2."/>
      <w:lvlJc w:val="left"/>
      <w:pPr>
        <w:tabs>
          <w:tab w:val="num" w:pos="1200"/>
        </w:tabs>
        <w:ind w:left="12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16cid:durableId="26793391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77763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3478909">
    <w:abstractNumId w:val="19"/>
  </w:num>
  <w:num w:numId="4" w16cid:durableId="2055693973">
    <w:abstractNumId w:val="14"/>
  </w:num>
  <w:num w:numId="5" w16cid:durableId="711073332">
    <w:abstractNumId w:val="6"/>
  </w:num>
  <w:num w:numId="6" w16cid:durableId="1985422964">
    <w:abstractNumId w:val="10"/>
  </w:num>
  <w:num w:numId="7" w16cid:durableId="2097509081">
    <w:abstractNumId w:val="8"/>
  </w:num>
  <w:num w:numId="8" w16cid:durableId="1261640577">
    <w:abstractNumId w:val="3"/>
  </w:num>
  <w:num w:numId="9" w16cid:durableId="1341272734">
    <w:abstractNumId w:val="12"/>
  </w:num>
  <w:num w:numId="10" w16cid:durableId="48916250">
    <w:abstractNumId w:val="15"/>
  </w:num>
  <w:num w:numId="11" w16cid:durableId="216285030">
    <w:abstractNumId w:val="16"/>
  </w:num>
  <w:num w:numId="12" w16cid:durableId="1814328499">
    <w:abstractNumId w:val="17"/>
  </w:num>
  <w:num w:numId="13" w16cid:durableId="1529873691">
    <w:abstractNumId w:val="18"/>
  </w:num>
  <w:num w:numId="14" w16cid:durableId="193159429">
    <w:abstractNumId w:val="1"/>
  </w:num>
  <w:num w:numId="15" w16cid:durableId="1091320946">
    <w:abstractNumId w:val="0"/>
  </w:num>
  <w:num w:numId="16" w16cid:durableId="599725465">
    <w:abstractNumId w:val="22"/>
  </w:num>
  <w:num w:numId="17" w16cid:durableId="1021518704">
    <w:abstractNumId w:val="7"/>
  </w:num>
  <w:num w:numId="18" w16cid:durableId="796685857">
    <w:abstractNumId w:val="23"/>
  </w:num>
  <w:num w:numId="19" w16cid:durableId="408161523">
    <w:abstractNumId w:val="9"/>
  </w:num>
  <w:num w:numId="20" w16cid:durableId="1765572282">
    <w:abstractNumId w:val="4"/>
  </w:num>
  <w:num w:numId="21" w16cid:durableId="1987855143">
    <w:abstractNumId w:val="13"/>
  </w:num>
  <w:num w:numId="22" w16cid:durableId="2114787662">
    <w:abstractNumId w:val="24"/>
  </w:num>
  <w:num w:numId="23" w16cid:durableId="2101412801">
    <w:abstractNumId w:val="20"/>
  </w:num>
  <w:num w:numId="24" w16cid:durableId="849685787">
    <w:abstractNumId w:val="5"/>
  </w:num>
  <w:num w:numId="25" w16cid:durableId="412581251">
    <w:abstractNumId w:val="11"/>
  </w:num>
  <w:num w:numId="26" w16cid:durableId="1374308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06"/>
    <w:rsid w:val="000007A2"/>
    <w:rsid w:val="00001F0D"/>
    <w:rsid w:val="00003368"/>
    <w:rsid w:val="00005ED3"/>
    <w:rsid w:val="00007A84"/>
    <w:rsid w:val="000144C7"/>
    <w:rsid w:val="00015E4D"/>
    <w:rsid w:val="00017E7A"/>
    <w:rsid w:val="00024CE0"/>
    <w:rsid w:val="00026F24"/>
    <w:rsid w:val="00031B92"/>
    <w:rsid w:val="00031EB1"/>
    <w:rsid w:val="0003443F"/>
    <w:rsid w:val="000369D1"/>
    <w:rsid w:val="00036FC7"/>
    <w:rsid w:val="00037C7F"/>
    <w:rsid w:val="00047385"/>
    <w:rsid w:val="000508F7"/>
    <w:rsid w:val="00060423"/>
    <w:rsid w:val="000634A3"/>
    <w:rsid w:val="000751DF"/>
    <w:rsid w:val="00076DBF"/>
    <w:rsid w:val="00077DE5"/>
    <w:rsid w:val="00077FF7"/>
    <w:rsid w:val="00080794"/>
    <w:rsid w:val="00084078"/>
    <w:rsid w:val="00085FA1"/>
    <w:rsid w:val="0009673A"/>
    <w:rsid w:val="000A0936"/>
    <w:rsid w:val="000A2C28"/>
    <w:rsid w:val="000A45AD"/>
    <w:rsid w:val="000A4754"/>
    <w:rsid w:val="000A4B14"/>
    <w:rsid w:val="000B1138"/>
    <w:rsid w:val="000B3053"/>
    <w:rsid w:val="000C140C"/>
    <w:rsid w:val="000C5BFC"/>
    <w:rsid w:val="000C7FCE"/>
    <w:rsid w:val="000D003A"/>
    <w:rsid w:val="000D164E"/>
    <w:rsid w:val="000D2623"/>
    <w:rsid w:val="000D26A9"/>
    <w:rsid w:val="000D4633"/>
    <w:rsid w:val="000D4AE6"/>
    <w:rsid w:val="000E0F2F"/>
    <w:rsid w:val="000E146E"/>
    <w:rsid w:val="000E1DB2"/>
    <w:rsid w:val="000E2431"/>
    <w:rsid w:val="000F23FB"/>
    <w:rsid w:val="000F291B"/>
    <w:rsid w:val="000F3EE0"/>
    <w:rsid w:val="00101C8B"/>
    <w:rsid w:val="00107B94"/>
    <w:rsid w:val="001217D9"/>
    <w:rsid w:val="0012238D"/>
    <w:rsid w:val="00131B3B"/>
    <w:rsid w:val="0013395A"/>
    <w:rsid w:val="00134CFC"/>
    <w:rsid w:val="00140652"/>
    <w:rsid w:val="00141387"/>
    <w:rsid w:val="00143EB4"/>
    <w:rsid w:val="0014432C"/>
    <w:rsid w:val="00144F4B"/>
    <w:rsid w:val="00146EE3"/>
    <w:rsid w:val="0014730B"/>
    <w:rsid w:val="0015496C"/>
    <w:rsid w:val="00157476"/>
    <w:rsid w:val="00160008"/>
    <w:rsid w:val="00162CE1"/>
    <w:rsid w:val="001648FF"/>
    <w:rsid w:val="00170E12"/>
    <w:rsid w:val="001722A9"/>
    <w:rsid w:val="00176C72"/>
    <w:rsid w:val="001770EE"/>
    <w:rsid w:val="0018163F"/>
    <w:rsid w:val="00186B8D"/>
    <w:rsid w:val="001904F6"/>
    <w:rsid w:val="001942E2"/>
    <w:rsid w:val="00195334"/>
    <w:rsid w:val="00196D6F"/>
    <w:rsid w:val="001A09CF"/>
    <w:rsid w:val="001A7EDF"/>
    <w:rsid w:val="001B08B2"/>
    <w:rsid w:val="001B08F9"/>
    <w:rsid w:val="001B2E69"/>
    <w:rsid w:val="001B528C"/>
    <w:rsid w:val="001C2AED"/>
    <w:rsid w:val="001D0C4D"/>
    <w:rsid w:val="001D5161"/>
    <w:rsid w:val="001E5256"/>
    <w:rsid w:val="001E59D8"/>
    <w:rsid w:val="001F2B4C"/>
    <w:rsid w:val="00206412"/>
    <w:rsid w:val="0020717F"/>
    <w:rsid w:val="0021546C"/>
    <w:rsid w:val="00216A44"/>
    <w:rsid w:val="002201A4"/>
    <w:rsid w:val="002219A9"/>
    <w:rsid w:val="00225DD5"/>
    <w:rsid w:val="00226BCD"/>
    <w:rsid w:val="00234AC6"/>
    <w:rsid w:val="00237ECE"/>
    <w:rsid w:val="00240532"/>
    <w:rsid w:val="002426D8"/>
    <w:rsid w:val="00245F50"/>
    <w:rsid w:val="00251748"/>
    <w:rsid w:val="002534CD"/>
    <w:rsid w:val="0025590D"/>
    <w:rsid w:val="002568CD"/>
    <w:rsid w:val="0027604A"/>
    <w:rsid w:val="00277FD1"/>
    <w:rsid w:val="00281A54"/>
    <w:rsid w:val="00281CD1"/>
    <w:rsid w:val="00286EA8"/>
    <w:rsid w:val="00290F8D"/>
    <w:rsid w:val="00292E9E"/>
    <w:rsid w:val="002944EF"/>
    <w:rsid w:val="00294F21"/>
    <w:rsid w:val="0029733E"/>
    <w:rsid w:val="002A19E1"/>
    <w:rsid w:val="002B2614"/>
    <w:rsid w:val="002B424E"/>
    <w:rsid w:val="002B64DC"/>
    <w:rsid w:val="002C0015"/>
    <w:rsid w:val="002C5B6A"/>
    <w:rsid w:val="002D2985"/>
    <w:rsid w:val="002D7AFD"/>
    <w:rsid w:val="002E334C"/>
    <w:rsid w:val="002E48D6"/>
    <w:rsid w:val="002E57B6"/>
    <w:rsid w:val="002E628E"/>
    <w:rsid w:val="002E780D"/>
    <w:rsid w:val="002F2D52"/>
    <w:rsid w:val="002F6526"/>
    <w:rsid w:val="00304B8E"/>
    <w:rsid w:val="00304DFD"/>
    <w:rsid w:val="00305082"/>
    <w:rsid w:val="0030700B"/>
    <w:rsid w:val="00312151"/>
    <w:rsid w:val="003126A2"/>
    <w:rsid w:val="00313029"/>
    <w:rsid w:val="00313F26"/>
    <w:rsid w:val="003145A0"/>
    <w:rsid w:val="00316C30"/>
    <w:rsid w:val="00316E75"/>
    <w:rsid w:val="003254D3"/>
    <w:rsid w:val="00325553"/>
    <w:rsid w:val="00331129"/>
    <w:rsid w:val="00332AD4"/>
    <w:rsid w:val="00333497"/>
    <w:rsid w:val="0033372D"/>
    <w:rsid w:val="00336D34"/>
    <w:rsid w:val="003406ED"/>
    <w:rsid w:val="00343EDF"/>
    <w:rsid w:val="00344844"/>
    <w:rsid w:val="0035292C"/>
    <w:rsid w:val="003537C6"/>
    <w:rsid w:val="00362BCC"/>
    <w:rsid w:val="00363DA9"/>
    <w:rsid w:val="0036640D"/>
    <w:rsid w:val="00373D3D"/>
    <w:rsid w:val="00374F28"/>
    <w:rsid w:val="00377262"/>
    <w:rsid w:val="0038187F"/>
    <w:rsid w:val="00387266"/>
    <w:rsid w:val="00387D83"/>
    <w:rsid w:val="003904CF"/>
    <w:rsid w:val="0039057E"/>
    <w:rsid w:val="0039064A"/>
    <w:rsid w:val="003908E6"/>
    <w:rsid w:val="00395D59"/>
    <w:rsid w:val="003968A2"/>
    <w:rsid w:val="003A1B8E"/>
    <w:rsid w:val="003A4EFF"/>
    <w:rsid w:val="003A6DEC"/>
    <w:rsid w:val="003A71C5"/>
    <w:rsid w:val="003A7B52"/>
    <w:rsid w:val="003B012D"/>
    <w:rsid w:val="003D1860"/>
    <w:rsid w:val="003D1984"/>
    <w:rsid w:val="003D207A"/>
    <w:rsid w:val="003D3F6E"/>
    <w:rsid w:val="003D405E"/>
    <w:rsid w:val="003D4DD9"/>
    <w:rsid w:val="003E14A3"/>
    <w:rsid w:val="003E294D"/>
    <w:rsid w:val="003F1B9C"/>
    <w:rsid w:val="003F73F9"/>
    <w:rsid w:val="003F7DE5"/>
    <w:rsid w:val="0040282E"/>
    <w:rsid w:val="00403967"/>
    <w:rsid w:val="004051B3"/>
    <w:rsid w:val="00405528"/>
    <w:rsid w:val="00407877"/>
    <w:rsid w:val="004103EC"/>
    <w:rsid w:val="00410E88"/>
    <w:rsid w:val="00415488"/>
    <w:rsid w:val="004173F3"/>
    <w:rsid w:val="0042403B"/>
    <w:rsid w:val="004311FF"/>
    <w:rsid w:val="00444121"/>
    <w:rsid w:val="00452270"/>
    <w:rsid w:val="00454722"/>
    <w:rsid w:val="00454DBC"/>
    <w:rsid w:val="00456DAA"/>
    <w:rsid w:val="00462FA9"/>
    <w:rsid w:val="004649F4"/>
    <w:rsid w:val="004675E9"/>
    <w:rsid w:val="00475AF1"/>
    <w:rsid w:val="00475C19"/>
    <w:rsid w:val="0047698B"/>
    <w:rsid w:val="00477FD0"/>
    <w:rsid w:val="004825F5"/>
    <w:rsid w:val="004826A1"/>
    <w:rsid w:val="004872B9"/>
    <w:rsid w:val="00491AB8"/>
    <w:rsid w:val="00495F11"/>
    <w:rsid w:val="00496C45"/>
    <w:rsid w:val="004A2758"/>
    <w:rsid w:val="004B7C0C"/>
    <w:rsid w:val="004C11AF"/>
    <w:rsid w:val="004C29AB"/>
    <w:rsid w:val="004C5616"/>
    <w:rsid w:val="004C69A2"/>
    <w:rsid w:val="004C7F32"/>
    <w:rsid w:val="004D15E1"/>
    <w:rsid w:val="004D7DF0"/>
    <w:rsid w:val="004D7F1C"/>
    <w:rsid w:val="004E0C4F"/>
    <w:rsid w:val="004E0F5A"/>
    <w:rsid w:val="004E6A6C"/>
    <w:rsid w:val="004E754D"/>
    <w:rsid w:val="004F13CD"/>
    <w:rsid w:val="004F3366"/>
    <w:rsid w:val="004F475F"/>
    <w:rsid w:val="004F47B4"/>
    <w:rsid w:val="004F4E7F"/>
    <w:rsid w:val="004F651D"/>
    <w:rsid w:val="004F7F8F"/>
    <w:rsid w:val="00501326"/>
    <w:rsid w:val="00506DE4"/>
    <w:rsid w:val="00517525"/>
    <w:rsid w:val="005246CC"/>
    <w:rsid w:val="00525B16"/>
    <w:rsid w:val="005266C2"/>
    <w:rsid w:val="00526C8F"/>
    <w:rsid w:val="00527A0C"/>
    <w:rsid w:val="00530164"/>
    <w:rsid w:val="005306F3"/>
    <w:rsid w:val="005319E3"/>
    <w:rsid w:val="005334BE"/>
    <w:rsid w:val="00534EA6"/>
    <w:rsid w:val="00535890"/>
    <w:rsid w:val="00536BD1"/>
    <w:rsid w:val="005374B4"/>
    <w:rsid w:val="005376D9"/>
    <w:rsid w:val="00541067"/>
    <w:rsid w:val="00550822"/>
    <w:rsid w:val="00551DD6"/>
    <w:rsid w:val="00553789"/>
    <w:rsid w:val="005570AA"/>
    <w:rsid w:val="00557B7E"/>
    <w:rsid w:val="00560F49"/>
    <w:rsid w:val="00563E22"/>
    <w:rsid w:val="00563EFC"/>
    <w:rsid w:val="00564608"/>
    <w:rsid w:val="005668C4"/>
    <w:rsid w:val="0057349A"/>
    <w:rsid w:val="0057354D"/>
    <w:rsid w:val="00580385"/>
    <w:rsid w:val="005813B7"/>
    <w:rsid w:val="005853C6"/>
    <w:rsid w:val="0059345A"/>
    <w:rsid w:val="00594E8A"/>
    <w:rsid w:val="005950D8"/>
    <w:rsid w:val="005A4E07"/>
    <w:rsid w:val="005A621F"/>
    <w:rsid w:val="005A7321"/>
    <w:rsid w:val="005B1895"/>
    <w:rsid w:val="005B4C43"/>
    <w:rsid w:val="005B4F61"/>
    <w:rsid w:val="005B6610"/>
    <w:rsid w:val="005C33B5"/>
    <w:rsid w:val="005C5C37"/>
    <w:rsid w:val="005C7C22"/>
    <w:rsid w:val="005C7F13"/>
    <w:rsid w:val="005D2B11"/>
    <w:rsid w:val="005D656C"/>
    <w:rsid w:val="005E0E8D"/>
    <w:rsid w:val="005E1FA3"/>
    <w:rsid w:val="005E7AE9"/>
    <w:rsid w:val="005F109F"/>
    <w:rsid w:val="005F3FF9"/>
    <w:rsid w:val="0060155C"/>
    <w:rsid w:val="006027D4"/>
    <w:rsid w:val="006037BB"/>
    <w:rsid w:val="0060615D"/>
    <w:rsid w:val="00607CA5"/>
    <w:rsid w:val="00612A1C"/>
    <w:rsid w:val="00616407"/>
    <w:rsid w:val="0062369E"/>
    <w:rsid w:val="006238C4"/>
    <w:rsid w:val="00624914"/>
    <w:rsid w:val="006252E5"/>
    <w:rsid w:val="006253E4"/>
    <w:rsid w:val="00625C17"/>
    <w:rsid w:val="006344F2"/>
    <w:rsid w:val="00641E26"/>
    <w:rsid w:val="006432E5"/>
    <w:rsid w:val="00644EC3"/>
    <w:rsid w:val="0065299A"/>
    <w:rsid w:val="00654668"/>
    <w:rsid w:val="0065576D"/>
    <w:rsid w:val="00655B70"/>
    <w:rsid w:val="00661062"/>
    <w:rsid w:val="006634BE"/>
    <w:rsid w:val="00667D8A"/>
    <w:rsid w:val="00670828"/>
    <w:rsid w:val="00676FB5"/>
    <w:rsid w:val="00681D50"/>
    <w:rsid w:val="00683D65"/>
    <w:rsid w:val="00691A97"/>
    <w:rsid w:val="00692D1B"/>
    <w:rsid w:val="00693CBB"/>
    <w:rsid w:val="00694376"/>
    <w:rsid w:val="006943A7"/>
    <w:rsid w:val="006A0DDA"/>
    <w:rsid w:val="006A2353"/>
    <w:rsid w:val="006A729F"/>
    <w:rsid w:val="006B05F6"/>
    <w:rsid w:val="006B0E9D"/>
    <w:rsid w:val="006C3E16"/>
    <w:rsid w:val="006C7939"/>
    <w:rsid w:val="006D45B0"/>
    <w:rsid w:val="006D69F4"/>
    <w:rsid w:val="006D7806"/>
    <w:rsid w:val="006D7A02"/>
    <w:rsid w:val="006E0044"/>
    <w:rsid w:val="006E1E82"/>
    <w:rsid w:val="006E284F"/>
    <w:rsid w:val="006E5C0B"/>
    <w:rsid w:val="006F2B7A"/>
    <w:rsid w:val="006F46B8"/>
    <w:rsid w:val="006F4B0C"/>
    <w:rsid w:val="006F5300"/>
    <w:rsid w:val="006F539D"/>
    <w:rsid w:val="00707281"/>
    <w:rsid w:val="007258E8"/>
    <w:rsid w:val="00730B2B"/>
    <w:rsid w:val="00733D5E"/>
    <w:rsid w:val="00735CD4"/>
    <w:rsid w:val="007366E9"/>
    <w:rsid w:val="007401E2"/>
    <w:rsid w:val="00743959"/>
    <w:rsid w:val="0074602A"/>
    <w:rsid w:val="00746A42"/>
    <w:rsid w:val="00750687"/>
    <w:rsid w:val="00750D4A"/>
    <w:rsid w:val="0075115D"/>
    <w:rsid w:val="007603AB"/>
    <w:rsid w:val="00760449"/>
    <w:rsid w:val="007650AF"/>
    <w:rsid w:val="00770267"/>
    <w:rsid w:val="0077163B"/>
    <w:rsid w:val="00775598"/>
    <w:rsid w:val="00777515"/>
    <w:rsid w:val="00782AEB"/>
    <w:rsid w:val="00791A94"/>
    <w:rsid w:val="007940B2"/>
    <w:rsid w:val="0079510B"/>
    <w:rsid w:val="00795EEE"/>
    <w:rsid w:val="00796DD9"/>
    <w:rsid w:val="007977BB"/>
    <w:rsid w:val="007A0931"/>
    <w:rsid w:val="007A20BB"/>
    <w:rsid w:val="007B22B5"/>
    <w:rsid w:val="007B7696"/>
    <w:rsid w:val="007C15AB"/>
    <w:rsid w:val="007C322A"/>
    <w:rsid w:val="007C42F0"/>
    <w:rsid w:val="007D220F"/>
    <w:rsid w:val="007E011B"/>
    <w:rsid w:val="007E29F3"/>
    <w:rsid w:val="007E3EF7"/>
    <w:rsid w:val="007E4D91"/>
    <w:rsid w:val="007E6103"/>
    <w:rsid w:val="007F10E4"/>
    <w:rsid w:val="007F73FB"/>
    <w:rsid w:val="00800BC4"/>
    <w:rsid w:val="0080746B"/>
    <w:rsid w:val="00810A4E"/>
    <w:rsid w:val="00820606"/>
    <w:rsid w:val="0082191F"/>
    <w:rsid w:val="00837A17"/>
    <w:rsid w:val="0084002E"/>
    <w:rsid w:val="0084069E"/>
    <w:rsid w:val="00841031"/>
    <w:rsid w:val="008441A2"/>
    <w:rsid w:val="00847BDC"/>
    <w:rsid w:val="008607DB"/>
    <w:rsid w:val="008616CE"/>
    <w:rsid w:val="00862AD4"/>
    <w:rsid w:val="00863302"/>
    <w:rsid w:val="0086452F"/>
    <w:rsid w:val="00864E93"/>
    <w:rsid w:val="008733FD"/>
    <w:rsid w:val="00875820"/>
    <w:rsid w:val="0088196F"/>
    <w:rsid w:val="008819C0"/>
    <w:rsid w:val="00883259"/>
    <w:rsid w:val="00883E7F"/>
    <w:rsid w:val="00893093"/>
    <w:rsid w:val="00893594"/>
    <w:rsid w:val="008A11E8"/>
    <w:rsid w:val="008A143D"/>
    <w:rsid w:val="008A15CF"/>
    <w:rsid w:val="008A1F21"/>
    <w:rsid w:val="008A422D"/>
    <w:rsid w:val="008A58BB"/>
    <w:rsid w:val="008A6113"/>
    <w:rsid w:val="008B3A73"/>
    <w:rsid w:val="008C0E95"/>
    <w:rsid w:val="008C0ECE"/>
    <w:rsid w:val="008C2458"/>
    <w:rsid w:val="008C7EBA"/>
    <w:rsid w:val="008D0065"/>
    <w:rsid w:val="008D07A3"/>
    <w:rsid w:val="008D2479"/>
    <w:rsid w:val="008D5226"/>
    <w:rsid w:val="008D53E2"/>
    <w:rsid w:val="008D72C2"/>
    <w:rsid w:val="008E006A"/>
    <w:rsid w:val="008E135E"/>
    <w:rsid w:val="008E30DF"/>
    <w:rsid w:val="008E3768"/>
    <w:rsid w:val="008E6BD7"/>
    <w:rsid w:val="008F1DE1"/>
    <w:rsid w:val="008F34BF"/>
    <w:rsid w:val="008F542A"/>
    <w:rsid w:val="008F7152"/>
    <w:rsid w:val="008F7250"/>
    <w:rsid w:val="009025D4"/>
    <w:rsid w:val="00906ADA"/>
    <w:rsid w:val="0090766E"/>
    <w:rsid w:val="00910C01"/>
    <w:rsid w:val="00913034"/>
    <w:rsid w:val="00914042"/>
    <w:rsid w:val="0092092D"/>
    <w:rsid w:val="0092777F"/>
    <w:rsid w:val="00932AD3"/>
    <w:rsid w:val="0093318E"/>
    <w:rsid w:val="00934E7C"/>
    <w:rsid w:val="00942177"/>
    <w:rsid w:val="00944E4E"/>
    <w:rsid w:val="009518C1"/>
    <w:rsid w:val="00955270"/>
    <w:rsid w:val="0095543E"/>
    <w:rsid w:val="00961B44"/>
    <w:rsid w:val="00963D11"/>
    <w:rsid w:val="00964241"/>
    <w:rsid w:val="00966B33"/>
    <w:rsid w:val="00967A6F"/>
    <w:rsid w:val="00970BC7"/>
    <w:rsid w:val="0097437A"/>
    <w:rsid w:val="00977A5C"/>
    <w:rsid w:val="0099038C"/>
    <w:rsid w:val="00990F1C"/>
    <w:rsid w:val="009914FA"/>
    <w:rsid w:val="00992286"/>
    <w:rsid w:val="009A0971"/>
    <w:rsid w:val="009A0E8E"/>
    <w:rsid w:val="009A22FA"/>
    <w:rsid w:val="009A6627"/>
    <w:rsid w:val="009B104E"/>
    <w:rsid w:val="009B333D"/>
    <w:rsid w:val="009C1EB7"/>
    <w:rsid w:val="009C1FBE"/>
    <w:rsid w:val="009C29CA"/>
    <w:rsid w:val="009C60C8"/>
    <w:rsid w:val="009D5542"/>
    <w:rsid w:val="009D79F1"/>
    <w:rsid w:val="009E0F35"/>
    <w:rsid w:val="009E23BD"/>
    <w:rsid w:val="009E2CC2"/>
    <w:rsid w:val="009E2EBC"/>
    <w:rsid w:val="009E3BC0"/>
    <w:rsid w:val="009E433A"/>
    <w:rsid w:val="009F3818"/>
    <w:rsid w:val="009F4C73"/>
    <w:rsid w:val="009F4F6A"/>
    <w:rsid w:val="009F77AA"/>
    <w:rsid w:val="00A03F38"/>
    <w:rsid w:val="00A0467E"/>
    <w:rsid w:val="00A0617D"/>
    <w:rsid w:val="00A06FAC"/>
    <w:rsid w:val="00A07134"/>
    <w:rsid w:val="00A15067"/>
    <w:rsid w:val="00A15A9A"/>
    <w:rsid w:val="00A15E26"/>
    <w:rsid w:val="00A2631B"/>
    <w:rsid w:val="00A27809"/>
    <w:rsid w:val="00A32E72"/>
    <w:rsid w:val="00A32EC6"/>
    <w:rsid w:val="00A4186A"/>
    <w:rsid w:val="00A430B1"/>
    <w:rsid w:val="00A44D63"/>
    <w:rsid w:val="00A500E8"/>
    <w:rsid w:val="00A532CA"/>
    <w:rsid w:val="00A5484E"/>
    <w:rsid w:val="00A54EEB"/>
    <w:rsid w:val="00A613FC"/>
    <w:rsid w:val="00A65452"/>
    <w:rsid w:val="00A7442D"/>
    <w:rsid w:val="00A77918"/>
    <w:rsid w:val="00A77AEB"/>
    <w:rsid w:val="00A827A2"/>
    <w:rsid w:val="00A92321"/>
    <w:rsid w:val="00A925FF"/>
    <w:rsid w:val="00A94E5A"/>
    <w:rsid w:val="00AA3678"/>
    <w:rsid w:val="00AA484F"/>
    <w:rsid w:val="00AB1902"/>
    <w:rsid w:val="00AB1A5D"/>
    <w:rsid w:val="00AB70F2"/>
    <w:rsid w:val="00AC14C0"/>
    <w:rsid w:val="00AC3B8F"/>
    <w:rsid w:val="00AC3F36"/>
    <w:rsid w:val="00AC403E"/>
    <w:rsid w:val="00AC4FC1"/>
    <w:rsid w:val="00AD01AD"/>
    <w:rsid w:val="00AD10C9"/>
    <w:rsid w:val="00AD4608"/>
    <w:rsid w:val="00AD5F3D"/>
    <w:rsid w:val="00AD6936"/>
    <w:rsid w:val="00AD730C"/>
    <w:rsid w:val="00AE10C6"/>
    <w:rsid w:val="00AE17BE"/>
    <w:rsid w:val="00AE314D"/>
    <w:rsid w:val="00AE5935"/>
    <w:rsid w:val="00AF2B73"/>
    <w:rsid w:val="00AF4B54"/>
    <w:rsid w:val="00AF5BCC"/>
    <w:rsid w:val="00B012C4"/>
    <w:rsid w:val="00B037A3"/>
    <w:rsid w:val="00B03DD7"/>
    <w:rsid w:val="00B05FFF"/>
    <w:rsid w:val="00B10A06"/>
    <w:rsid w:val="00B2111B"/>
    <w:rsid w:val="00B22B4B"/>
    <w:rsid w:val="00B24A53"/>
    <w:rsid w:val="00B256AE"/>
    <w:rsid w:val="00B30C05"/>
    <w:rsid w:val="00B327A6"/>
    <w:rsid w:val="00B331B4"/>
    <w:rsid w:val="00B40417"/>
    <w:rsid w:val="00B40764"/>
    <w:rsid w:val="00B4147B"/>
    <w:rsid w:val="00B44AD6"/>
    <w:rsid w:val="00B45B3C"/>
    <w:rsid w:val="00B51775"/>
    <w:rsid w:val="00B51F92"/>
    <w:rsid w:val="00B53058"/>
    <w:rsid w:val="00B5663C"/>
    <w:rsid w:val="00B569ED"/>
    <w:rsid w:val="00B62511"/>
    <w:rsid w:val="00B65C95"/>
    <w:rsid w:val="00B67019"/>
    <w:rsid w:val="00B67CD0"/>
    <w:rsid w:val="00B70AF6"/>
    <w:rsid w:val="00B70B7C"/>
    <w:rsid w:val="00B7660C"/>
    <w:rsid w:val="00B8038E"/>
    <w:rsid w:val="00B82394"/>
    <w:rsid w:val="00B83DB0"/>
    <w:rsid w:val="00B85C99"/>
    <w:rsid w:val="00B91905"/>
    <w:rsid w:val="00B955FB"/>
    <w:rsid w:val="00B96B34"/>
    <w:rsid w:val="00BA557D"/>
    <w:rsid w:val="00BB0160"/>
    <w:rsid w:val="00BB136A"/>
    <w:rsid w:val="00BB2038"/>
    <w:rsid w:val="00BB3111"/>
    <w:rsid w:val="00BB4AB9"/>
    <w:rsid w:val="00BB4FA3"/>
    <w:rsid w:val="00BB720B"/>
    <w:rsid w:val="00BC038B"/>
    <w:rsid w:val="00BC3E3A"/>
    <w:rsid w:val="00BC4E11"/>
    <w:rsid w:val="00BC7A80"/>
    <w:rsid w:val="00BD2575"/>
    <w:rsid w:val="00BD4454"/>
    <w:rsid w:val="00BD53CE"/>
    <w:rsid w:val="00BD560B"/>
    <w:rsid w:val="00BD6FC1"/>
    <w:rsid w:val="00BE1894"/>
    <w:rsid w:val="00BE21C5"/>
    <w:rsid w:val="00BE311F"/>
    <w:rsid w:val="00BE50F8"/>
    <w:rsid w:val="00BE5F73"/>
    <w:rsid w:val="00BF207A"/>
    <w:rsid w:val="00BF33F0"/>
    <w:rsid w:val="00BF3C98"/>
    <w:rsid w:val="00BF72CC"/>
    <w:rsid w:val="00C07EDA"/>
    <w:rsid w:val="00C162EB"/>
    <w:rsid w:val="00C17404"/>
    <w:rsid w:val="00C22A45"/>
    <w:rsid w:val="00C22D7B"/>
    <w:rsid w:val="00C23A3B"/>
    <w:rsid w:val="00C23EC0"/>
    <w:rsid w:val="00C24FF7"/>
    <w:rsid w:val="00C250DE"/>
    <w:rsid w:val="00C2673B"/>
    <w:rsid w:val="00C32E72"/>
    <w:rsid w:val="00C35350"/>
    <w:rsid w:val="00C40437"/>
    <w:rsid w:val="00C427E5"/>
    <w:rsid w:val="00C44075"/>
    <w:rsid w:val="00C44C0E"/>
    <w:rsid w:val="00C459F8"/>
    <w:rsid w:val="00C524EE"/>
    <w:rsid w:val="00C52A3C"/>
    <w:rsid w:val="00C5331A"/>
    <w:rsid w:val="00C55C5B"/>
    <w:rsid w:val="00C615C6"/>
    <w:rsid w:val="00C7236D"/>
    <w:rsid w:val="00C75CD5"/>
    <w:rsid w:val="00C76180"/>
    <w:rsid w:val="00C82F29"/>
    <w:rsid w:val="00C86746"/>
    <w:rsid w:val="00C872C8"/>
    <w:rsid w:val="00CB0139"/>
    <w:rsid w:val="00CB0F08"/>
    <w:rsid w:val="00CB7D82"/>
    <w:rsid w:val="00CC6C41"/>
    <w:rsid w:val="00CD442C"/>
    <w:rsid w:val="00CE18E3"/>
    <w:rsid w:val="00CE18ED"/>
    <w:rsid w:val="00CE33E8"/>
    <w:rsid w:val="00CE4B72"/>
    <w:rsid w:val="00CE60A3"/>
    <w:rsid w:val="00CF1DB7"/>
    <w:rsid w:val="00CF2DCE"/>
    <w:rsid w:val="00CF60A9"/>
    <w:rsid w:val="00CF68B8"/>
    <w:rsid w:val="00CF7490"/>
    <w:rsid w:val="00D04F89"/>
    <w:rsid w:val="00D15E8D"/>
    <w:rsid w:val="00D17F20"/>
    <w:rsid w:val="00D204A8"/>
    <w:rsid w:val="00D210E4"/>
    <w:rsid w:val="00D30790"/>
    <w:rsid w:val="00D358CC"/>
    <w:rsid w:val="00D35B40"/>
    <w:rsid w:val="00D379A8"/>
    <w:rsid w:val="00D40531"/>
    <w:rsid w:val="00D41A92"/>
    <w:rsid w:val="00D41DD9"/>
    <w:rsid w:val="00D41F28"/>
    <w:rsid w:val="00D456E1"/>
    <w:rsid w:val="00D458E2"/>
    <w:rsid w:val="00D507B2"/>
    <w:rsid w:val="00D50C53"/>
    <w:rsid w:val="00D526D7"/>
    <w:rsid w:val="00D52C05"/>
    <w:rsid w:val="00D54583"/>
    <w:rsid w:val="00D55740"/>
    <w:rsid w:val="00D61080"/>
    <w:rsid w:val="00D618E7"/>
    <w:rsid w:val="00D61BA6"/>
    <w:rsid w:val="00D61F59"/>
    <w:rsid w:val="00D639F7"/>
    <w:rsid w:val="00D66EC6"/>
    <w:rsid w:val="00D73B7B"/>
    <w:rsid w:val="00D765A1"/>
    <w:rsid w:val="00D768DE"/>
    <w:rsid w:val="00D7730D"/>
    <w:rsid w:val="00D77E91"/>
    <w:rsid w:val="00D805B3"/>
    <w:rsid w:val="00D8302A"/>
    <w:rsid w:val="00D8378B"/>
    <w:rsid w:val="00D83ABC"/>
    <w:rsid w:val="00D86D55"/>
    <w:rsid w:val="00D902D7"/>
    <w:rsid w:val="00D90C91"/>
    <w:rsid w:val="00D96806"/>
    <w:rsid w:val="00DA1B96"/>
    <w:rsid w:val="00DB03F6"/>
    <w:rsid w:val="00DB1C5B"/>
    <w:rsid w:val="00DB4BCD"/>
    <w:rsid w:val="00DB5116"/>
    <w:rsid w:val="00DB56E1"/>
    <w:rsid w:val="00DB5E85"/>
    <w:rsid w:val="00DB7E8A"/>
    <w:rsid w:val="00DB7F43"/>
    <w:rsid w:val="00DC692D"/>
    <w:rsid w:val="00DD3DD5"/>
    <w:rsid w:val="00DD466A"/>
    <w:rsid w:val="00DD4CD9"/>
    <w:rsid w:val="00DD5378"/>
    <w:rsid w:val="00DE0E68"/>
    <w:rsid w:val="00DE2CA0"/>
    <w:rsid w:val="00DE7134"/>
    <w:rsid w:val="00DF15E0"/>
    <w:rsid w:val="00DF3621"/>
    <w:rsid w:val="00DF3B7F"/>
    <w:rsid w:val="00DF46F3"/>
    <w:rsid w:val="00DF4A93"/>
    <w:rsid w:val="00DF652D"/>
    <w:rsid w:val="00DF7DE3"/>
    <w:rsid w:val="00E03877"/>
    <w:rsid w:val="00E073FA"/>
    <w:rsid w:val="00E0780E"/>
    <w:rsid w:val="00E12B66"/>
    <w:rsid w:val="00E16ED1"/>
    <w:rsid w:val="00E17733"/>
    <w:rsid w:val="00E21E08"/>
    <w:rsid w:val="00E25B3F"/>
    <w:rsid w:val="00E26906"/>
    <w:rsid w:val="00E26CD9"/>
    <w:rsid w:val="00E31CFC"/>
    <w:rsid w:val="00E35D60"/>
    <w:rsid w:val="00E405C0"/>
    <w:rsid w:val="00E41D66"/>
    <w:rsid w:val="00E42E3B"/>
    <w:rsid w:val="00E42F54"/>
    <w:rsid w:val="00E46EB2"/>
    <w:rsid w:val="00E5346E"/>
    <w:rsid w:val="00E54A1A"/>
    <w:rsid w:val="00E5536A"/>
    <w:rsid w:val="00E567C0"/>
    <w:rsid w:val="00E6263B"/>
    <w:rsid w:val="00E6441F"/>
    <w:rsid w:val="00E65AC2"/>
    <w:rsid w:val="00E67F09"/>
    <w:rsid w:val="00E7198B"/>
    <w:rsid w:val="00E71A41"/>
    <w:rsid w:val="00E828A3"/>
    <w:rsid w:val="00E83947"/>
    <w:rsid w:val="00E84BFB"/>
    <w:rsid w:val="00E85BE8"/>
    <w:rsid w:val="00E85ECE"/>
    <w:rsid w:val="00E939BD"/>
    <w:rsid w:val="00EA0AB4"/>
    <w:rsid w:val="00EB07E0"/>
    <w:rsid w:val="00EB76F5"/>
    <w:rsid w:val="00EC468B"/>
    <w:rsid w:val="00EC655F"/>
    <w:rsid w:val="00ED09B8"/>
    <w:rsid w:val="00ED588B"/>
    <w:rsid w:val="00ED764A"/>
    <w:rsid w:val="00ED7C32"/>
    <w:rsid w:val="00EE2E5E"/>
    <w:rsid w:val="00EE5095"/>
    <w:rsid w:val="00EF2CA7"/>
    <w:rsid w:val="00EF3DD1"/>
    <w:rsid w:val="00EF64D1"/>
    <w:rsid w:val="00F0191D"/>
    <w:rsid w:val="00F01BC8"/>
    <w:rsid w:val="00F04656"/>
    <w:rsid w:val="00F07EE5"/>
    <w:rsid w:val="00F11C02"/>
    <w:rsid w:val="00F176FF"/>
    <w:rsid w:val="00F221C0"/>
    <w:rsid w:val="00F242FD"/>
    <w:rsid w:val="00F25856"/>
    <w:rsid w:val="00F31322"/>
    <w:rsid w:val="00F353B3"/>
    <w:rsid w:val="00F35BB1"/>
    <w:rsid w:val="00F4501D"/>
    <w:rsid w:val="00F467D0"/>
    <w:rsid w:val="00F47068"/>
    <w:rsid w:val="00F47777"/>
    <w:rsid w:val="00F5130E"/>
    <w:rsid w:val="00F51BAF"/>
    <w:rsid w:val="00F52C72"/>
    <w:rsid w:val="00F5749D"/>
    <w:rsid w:val="00F616AB"/>
    <w:rsid w:val="00F63811"/>
    <w:rsid w:val="00F67366"/>
    <w:rsid w:val="00F70939"/>
    <w:rsid w:val="00F73473"/>
    <w:rsid w:val="00F74C09"/>
    <w:rsid w:val="00F759EB"/>
    <w:rsid w:val="00F75B73"/>
    <w:rsid w:val="00F75F83"/>
    <w:rsid w:val="00F808A9"/>
    <w:rsid w:val="00F827AC"/>
    <w:rsid w:val="00F84A74"/>
    <w:rsid w:val="00F84B4C"/>
    <w:rsid w:val="00F86E94"/>
    <w:rsid w:val="00F8734F"/>
    <w:rsid w:val="00F969DE"/>
    <w:rsid w:val="00FA3D53"/>
    <w:rsid w:val="00FA5645"/>
    <w:rsid w:val="00FA576A"/>
    <w:rsid w:val="00FA6C97"/>
    <w:rsid w:val="00FB0B22"/>
    <w:rsid w:val="00FB0B99"/>
    <w:rsid w:val="00FB23F4"/>
    <w:rsid w:val="00FB7801"/>
    <w:rsid w:val="00FC0A74"/>
    <w:rsid w:val="00FC162D"/>
    <w:rsid w:val="00FC221D"/>
    <w:rsid w:val="00FC32E3"/>
    <w:rsid w:val="00FC4FC9"/>
    <w:rsid w:val="00FD0015"/>
    <w:rsid w:val="00FD1150"/>
    <w:rsid w:val="00FD4907"/>
    <w:rsid w:val="00FD64D1"/>
    <w:rsid w:val="00FD7341"/>
    <w:rsid w:val="00FE57DC"/>
    <w:rsid w:val="00FF1491"/>
    <w:rsid w:val="00FF2DAA"/>
    <w:rsid w:val="00FF469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7CE67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s-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3DE"/>
    <w:pPr>
      <w:spacing w:after="200" w:line="276" w:lineRule="auto"/>
    </w:pPr>
    <w:rPr>
      <w:rFonts w:ascii="Calibri" w:eastAsia="Calibri" w:hAnsi="Calibri"/>
      <w:sz w:val="22"/>
      <w:szCs w:val="22"/>
      <w:lang w:val="en-US" w:eastAsia="en-US"/>
    </w:rPr>
  </w:style>
  <w:style w:type="paragraph" w:styleId="Heading1">
    <w:name w:val="heading 1"/>
    <w:basedOn w:val="Normal"/>
    <w:next w:val="Normal"/>
    <w:link w:val="Heading1Char"/>
    <w:uiPriority w:val="9"/>
    <w:qFormat/>
    <w:rsid w:val="00E26CD9"/>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5A53DE"/>
    <w:pPr>
      <w:tabs>
        <w:tab w:val="center" w:pos="4680"/>
        <w:tab w:val="right" w:pos="9360"/>
      </w:tabs>
      <w:spacing w:after="0" w:line="240" w:lineRule="auto"/>
    </w:pPr>
  </w:style>
  <w:style w:type="paragraph" w:styleId="Footer">
    <w:name w:val="footer"/>
    <w:basedOn w:val="Normal"/>
    <w:unhideWhenUsed/>
    <w:rsid w:val="005A53DE"/>
    <w:pPr>
      <w:tabs>
        <w:tab w:val="center" w:pos="4680"/>
        <w:tab w:val="right" w:pos="9360"/>
      </w:tabs>
      <w:spacing w:after="0" w:line="240" w:lineRule="auto"/>
    </w:pPr>
  </w:style>
  <w:style w:type="paragraph" w:customStyle="1" w:styleId="Default">
    <w:name w:val="Default"/>
    <w:rsid w:val="005A53DE"/>
    <w:pPr>
      <w:autoSpaceDE w:val="0"/>
      <w:autoSpaceDN w:val="0"/>
      <w:adjustRightInd w:val="0"/>
    </w:pPr>
    <w:rPr>
      <w:rFonts w:ascii="Arial" w:hAnsi="Arial" w:cs="Arial"/>
      <w:color w:val="000000"/>
      <w:sz w:val="24"/>
      <w:szCs w:val="24"/>
      <w:lang w:val="en-US" w:eastAsia="en-US"/>
    </w:rPr>
  </w:style>
  <w:style w:type="character" w:styleId="Hyperlink">
    <w:name w:val="Hyperlink"/>
    <w:rsid w:val="005A53DE"/>
    <w:rPr>
      <w:color w:val="0000FF"/>
      <w:u w:val="single"/>
    </w:rPr>
  </w:style>
  <w:style w:type="paragraph" w:styleId="BodyText">
    <w:name w:val="Body Text"/>
    <w:basedOn w:val="Normal"/>
    <w:semiHidden/>
    <w:unhideWhenUsed/>
    <w:rsid w:val="005A53DE"/>
    <w:pPr>
      <w:spacing w:after="120"/>
    </w:pPr>
  </w:style>
  <w:style w:type="paragraph" w:styleId="BalloonText">
    <w:name w:val="Balloon Text"/>
    <w:basedOn w:val="Normal"/>
    <w:link w:val="BalloonTextChar"/>
    <w:uiPriority w:val="99"/>
    <w:semiHidden/>
    <w:unhideWhenUsed/>
    <w:rsid w:val="0060615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615D"/>
    <w:rPr>
      <w:rFonts w:ascii="Tahoma" w:eastAsia="Calibri" w:hAnsi="Tahoma" w:cs="Tahoma"/>
      <w:sz w:val="16"/>
      <w:szCs w:val="16"/>
    </w:rPr>
  </w:style>
  <w:style w:type="paragraph" w:styleId="ListParagraph">
    <w:name w:val="List Paragraph"/>
    <w:aliases w:val="Párrafo de lista1,List Paragraph1,Colorful List - Accent 11,List Paragraph11,List Paragraph2,Lista vistosa - Énfasis 11,Medium Grid 1 - Accent 21,Colorful List - Accent 12,Subtle Emphasis1,Footnote1,Grade Clara - Ênfase 31"/>
    <w:link w:val="ListParagraphChar"/>
    <w:uiPriority w:val="99"/>
    <w:qFormat/>
    <w:rsid w:val="00B24A53"/>
    <w:pPr>
      <w:pBdr>
        <w:top w:val="nil"/>
        <w:left w:val="nil"/>
        <w:bottom w:val="nil"/>
        <w:right w:val="nil"/>
        <w:between w:val="nil"/>
        <w:bar w:val="nil"/>
      </w:pBdr>
      <w:ind w:left="720"/>
    </w:pPr>
    <w:rPr>
      <w:rFonts w:ascii="Cambria" w:eastAsia="Cambria" w:hAnsi="Cambria" w:cs="Cambria"/>
      <w:color w:val="000000"/>
      <w:sz w:val="24"/>
      <w:szCs w:val="24"/>
      <w:u w:color="000000"/>
      <w:bdr w:val="nil"/>
      <w:lang w:val="en-US" w:eastAsia="es-ES"/>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Subtle Emphasis1 Char"/>
    <w:link w:val="ListParagraph"/>
    <w:uiPriority w:val="99"/>
    <w:locked/>
    <w:rsid w:val="00B24A53"/>
    <w:rPr>
      <w:rFonts w:ascii="Cambria" w:eastAsia="Cambria" w:hAnsi="Cambria" w:cs="Cambria"/>
      <w:color w:val="000000"/>
      <w:sz w:val="24"/>
      <w:szCs w:val="24"/>
      <w:u w:color="000000"/>
      <w:bdr w:val="nil"/>
      <w:lang w:eastAsia="es-ES"/>
    </w:rPr>
  </w:style>
  <w:style w:type="character" w:styleId="CommentReference">
    <w:name w:val="annotation reference"/>
    <w:uiPriority w:val="99"/>
    <w:semiHidden/>
    <w:unhideWhenUsed/>
    <w:rsid w:val="00DF7DE3"/>
    <w:rPr>
      <w:sz w:val="16"/>
      <w:szCs w:val="16"/>
    </w:rPr>
  </w:style>
  <w:style w:type="paragraph" w:styleId="CommentText">
    <w:name w:val="annotation text"/>
    <w:basedOn w:val="Normal"/>
    <w:link w:val="CommentTextChar"/>
    <w:uiPriority w:val="99"/>
    <w:unhideWhenUsed/>
    <w:rsid w:val="00DF7DE3"/>
    <w:rPr>
      <w:sz w:val="20"/>
      <w:szCs w:val="20"/>
    </w:rPr>
  </w:style>
  <w:style w:type="character" w:customStyle="1" w:styleId="CommentTextChar">
    <w:name w:val="Comment Text Char"/>
    <w:link w:val="CommentText"/>
    <w:uiPriority w:val="99"/>
    <w:rsid w:val="00DF7DE3"/>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DF7DE3"/>
    <w:rPr>
      <w:b/>
      <w:bCs/>
    </w:rPr>
  </w:style>
  <w:style w:type="character" w:customStyle="1" w:styleId="CommentSubjectChar">
    <w:name w:val="Comment Subject Char"/>
    <w:link w:val="CommentSubject"/>
    <w:uiPriority w:val="99"/>
    <w:semiHidden/>
    <w:rsid w:val="00DF7DE3"/>
    <w:rPr>
      <w:rFonts w:ascii="Calibri" w:eastAsia="Calibri" w:hAnsi="Calibri"/>
      <w:b/>
      <w:bCs/>
    </w:rPr>
  </w:style>
  <w:style w:type="paragraph" w:styleId="NormalWeb">
    <w:name w:val="Normal (Web)"/>
    <w:basedOn w:val="Normal"/>
    <w:uiPriority w:val="99"/>
    <w:semiHidden/>
    <w:unhideWhenUsed/>
    <w:rsid w:val="004C11AF"/>
    <w:pPr>
      <w:spacing w:before="100" w:beforeAutospacing="1" w:after="100" w:afterAutospacing="1" w:line="240" w:lineRule="auto"/>
    </w:pPr>
    <w:rPr>
      <w:rFonts w:ascii="Times New Roman" w:hAnsi="Times New Roman"/>
      <w:sz w:val="24"/>
      <w:szCs w:val="24"/>
    </w:rPr>
  </w:style>
  <w:style w:type="paragraph" w:styleId="BodyTextIndent">
    <w:name w:val="Body Text Indent"/>
    <w:basedOn w:val="Normal"/>
    <w:link w:val="BodyTextIndentChar"/>
    <w:uiPriority w:val="99"/>
    <w:unhideWhenUsed/>
    <w:rsid w:val="00A54EEB"/>
    <w:pPr>
      <w:spacing w:after="120"/>
      <w:ind w:left="360"/>
    </w:pPr>
  </w:style>
  <w:style w:type="character" w:customStyle="1" w:styleId="BodyTextIndentChar">
    <w:name w:val="Body Text Indent Char"/>
    <w:link w:val="BodyTextIndent"/>
    <w:uiPriority w:val="99"/>
    <w:rsid w:val="00A54EEB"/>
    <w:rPr>
      <w:rFonts w:ascii="Calibri" w:eastAsia="Calibri" w:hAnsi="Calibri"/>
      <w:sz w:val="22"/>
      <w:szCs w:val="22"/>
    </w:rPr>
  </w:style>
  <w:style w:type="paragraph" w:customStyle="1" w:styleId="parrafos">
    <w:name w:val="parrafos"/>
    <w:basedOn w:val="Normal"/>
    <w:link w:val="parrafosChar"/>
    <w:qFormat/>
    <w:rsid w:val="00E26CD9"/>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E26CD9"/>
    <w:rPr>
      <w:rFonts w:ascii="Cambria" w:eastAsia="Arial Unicode MS" w:hAnsi="Cambria"/>
      <w:color w:val="000000"/>
      <w:bdr w:val="nil"/>
      <w:lang w:val="es-VE"/>
    </w:rPr>
  </w:style>
  <w:style w:type="character" w:customStyle="1" w:styleId="Heading1Char">
    <w:name w:val="Heading 1 Char"/>
    <w:link w:val="Heading1"/>
    <w:uiPriority w:val="9"/>
    <w:rsid w:val="00E26CD9"/>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E26CD9"/>
    <w:pPr>
      <w:keepLines/>
      <w:spacing w:before="480" w:after="0"/>
      <w:outlineLvl w:val="9"/>
    </w:pPr>
    <w:rPr>
      <w:rFonts w:ascii="Cambria" w:eastAsia="MS Gothic" w:hAnsi="Cambria"/>
      <w:color w:val="365F91"/>
      <w:kern w:val="0"/>
      <w:sz w:val="28"/>
      <w:szCs w:val="28"/>
      <w:lang w:eastAsia="ja-JP"/>
    </w:rPr>
  </w:style>
  <w:style w:type="character" w:styleId="Strong">
    <w:name w:val="Strong"/>
    <w:uiPriority w:val="22"/>
    <w:qFormat/>
    <w:rsid w:val="00036FC7"/>
    <w:rPr>
      <w:b/>
      <w:bCs/>
    </w:rPr>
  </w:style>
  <w:style w:type="character" w:customStyle="1" w:styleId="HeaderChar">
    <w:name w:val="Header Char"/>
    <w:aliases w:val="encabezado Char"/>
    <w:link w:val="Header"/>
    <w:rsid w:val="00475C19"/>
    <w:rPr>
      <w:rFonts w:ascii="Calibri" w:eastAsia="Calibri" w:hAnsi="Calibri"/>
      <w:sz w:val="22"/>
      <w:szCs w:val="22"/>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C"/>
    <w:link w:val="FootnoteTextChar"/>
    <w:qFormat/>
    <w:rsid w:val="00290F8D"/>
    <w:pPr>
      <w:pBdr>
        <w:top w:val="nil"/>
        <w:left w:val="nil"/>
        <w:bottom w:val="nil"/>
        <w:right w:val="nil"/>
        <w:between w:val="nil"/>
        <w:bar w:val="nil"/>
      </w:pBdr>
    </w:pPr>
    <w:rPr>
      <w:rFonts w:ascii="Cambria" w:eastAsia="Calibri" w:hAnsi="Cambria" w:cs="Calibri"/>
      <w:color w:val="000000"/>
      <w:sz w:val="16"/>
      <w:u w:color="000000"/>
      <w:bdr w:val="nil"/>
      <w:lang w:val="en-US"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link w:val="FootnoteText"/>
    <w:qFormat/>
    <w:rsid w:val="00290F8D"/>
    <w:rPr>
      <w:rFonts w:ascii="Cambria" w:eastAsia="Calibri" w:hAnsi="Cambria" w:cs="Calibri"/>
      <w:color w:val="000000"/>
      <w:sz w:val="16"/>
      <w:u w:color="000000"/>
      <w:bdr w:val="nil"/>
      <w:lang w:eastAsia="es-E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link w:val="FootnotesrefssChar1Char"/>
    <w:unhideWhenUsed/>
    <w:qFormat/>
    <w:rsid w:val="00290F8D"/>
    <w:rPr>
      <w:vertAlign w:val="superscript"/>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290F8D"/>
    <w:pPr>
      <w:spacing w:after="160" w:line="240" w:lineRule="exact"/>
    </w:pPr>
    <w:rPr>
      <w:rFonts w:ascii="Times New Roman" w:eastAsia="Times New Roman" w:hAnsi="Times New Roman"/>
      <w:sz w:val="20"/>
      <w:szCs w:val="20"/>
      <w:vertAlign w:val="superscript"/>
    </w:rPr>
  </w:style>
  <w:style w:type="numbering" w:customStyle="1" w:styleId="Estiloimportado1">
    <w:name w:val="Estilo importado 1"/>
    <w:rsid w:val="00ED7C32"/>
  </w:style>
  <w:style w:type="paragraph" w:styleId="BodyText3">
    <w:name w:val="Body Text 3"/>
    <w:basedOn w:val="Normal"/>
    <w:link w:val="BodyText3Char"/>
    <w:uiPriority w:val="99"/>
    <w:unhideWhenUsed/>
    <w:rsid w:val="00AD01AD"/>
    <w:pPr>
      <w:pBdr>
        <w:top w:val="nil"/>
        <w:left w:val="nil"/>
        <w:bottom w:val="nil"/>
        <w:right w:val="nil"/>
        <w:between w:val="nil"/>
        <w:bar w:val="nil"/>
      </w:pBdr>
      <w:spacing w:after="120" w:line="240" w:lineRule="auto"/>
    </w:pPr>
    <w:rPr>
      <w:rFonts w:ascii="Cambria" w:eastAsia="Arial Unicode MS" w:hAnsi="Cambria"/>
      <w:sz w:val="16"/>
      <w:szCs w:val="16"/>
      <w:bdr w:val="nil"/>
      <w:lang w:val="es-ES" w:eastAsia="es-ES"/>
    </w:rPr>
  </w:style>
  <w:style w:type="character" w:customStyle="1" w:styleId="BodyText3Char">
    <w:name w:val="Body Text 3 Char"/>
    <w:link w:val="BodyText3"/>
    <w:uiPriority w:val="99"/>
    <w:rsid w:val="00AD01AD"/>
    <w:rPr>
      <w:rFonts w:ascii="Cambria" w:eastAsia="Arial Unicode MS" w:hAnsi="Cambria"/>
      <w:sz w:val="16"/>
      <w:szCs w:val="16"/>
      <w:bdr w:val="nil"/>
      <w:lang w:val="es-ES" w:eastAsia="es-ES"/>
    </w:rPr>
  </w:style>
  <w:style w:type="character" w:customStyle="1" w:styleId="cf01">
    <w:name w:val="cf01"/>
    <w:rsid w:val="00BC3E3A"/>
    <w:rPr>
      <w:rFonts w:ascii="Segoe UI" w:hAnsi="Segoe UI" w:cs="Segoe UI" w:hint="default"/>
      <w:sz w:val="18"/>
      <w:szCs w:val="18"/>
    </w:rPr>
  </w:style>
  <w:style w:type="paragraph" w:styleId="HTMLPreformatted">
    <w:name w:val="HTML Preformatted"/>
    <w:basedOn w:val="Normal"/>
    <w:link w:val="HTMLPreformattedChar"/>
    <w:uiPriority w:val="99"/>
    <w:unhideWhenUsed/>
    <w:rsid w:val="006D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6D69F4"/>
    <w:rPr>
      <w:rFonts w:ascii="Courier New" w:hAnsi="Courier New" w:cs="Courier New"/>
    </w:rPr>
  </w:style>
  <w:style w:type="numbering" w:customStyle="1" w:styleId="List19">
    <w:name w:val="List 19"/>
    <w:basedOn w:val="NoList"/>
    <w:rsid w:val="00A94E5A"/>
    <w:pPr>
      <w:numPr>
        <w:numId w:val="25"/>
      </w:numPr>
    </w:pPr>
  </w:style>
  <w:style w:type="paragraph" w:customStyle="1" w:styleId="Body">
    <w:name w:val="Body"/>
    <w:rsid w:val="00654668"/>
    <w:pPr>
      <w:pBdr>
        <w:top w:val="nil"/>
        <w:left w:val="nil"/>
        <w:bottom w:val="nil"/>
        <w:right w:val="nil"/>
        <w:between w:val="nil"/>
        <w:bar w:val="nil"/>
      </w:pBdr>
      <w:ind w:firstLine="634"/>
      <w:jc w:val="both"/>
    </w:pPr>
    <w:rPr>
      <w:rFonts w:ascii="Cambria" w:eastAsia="Cambria" w:hAnsi="Cambria" w:cs="Cambria"/>
      <w:color w:val="000000"/>
      <w:u w:color="000000"/>
      <w:bdr w:val="nil"/>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28618">
      <w:bodyDiv w:val="1"/>
      <w:marLeft w:val="0"/>
      <w:marRight w:val="0"/>
      <w:marTop w:val="0"/>
      <w:marBottom w:val="0"/>
      <w:divBdr>
        <w:top w:val="none" w:sz="0" w:space="0" w:color="auto"/>
        <w:left w:val="none" w:sz="0" w:space="0" w:color="auto"/>
        <w:bottom w:val="none" w:sz="0" w:space="0" w:color="auto"/>
        <w:right w:val="none" w:sz="0" w:space="0" w:color="auto"/>
      </w:divBdr>
    </w:div>
    <w:div w:id="432095733">
      <w:bodyDiv w:val="1"/>
      <w:marLeft w:val="0"/>
      <w:marRight w:val="0"/>
      <w:marTop w:val="0"/>
      <w:marBottom w:val="0"/>
      <w:divBdr>
        <w:top w:val="none" w:sz="0" w:space="0" w:color="auto"/>
        <w:left w:val="none" w:sz="0" w:space="0" w:color="auto"/>
        <w:bottom w:val="none" w:sz="0" w:space="0" w:color="auto"/>
        <w:right w:val="none" w:sz="0" w:space="0" w:color="auto"/>
      </w:divBdr>
    </w:div>
    <w:div w:id="843789377">
      <w:bodyDiv w:val="1"/>
      <w:marLeft w:val="0"/>
      <w:marRight w:val="0"/>
      <w:marTop w:val="0"/>
      <w:marBottom w:val="0"/>
      <w:divBdr>
        <w:top w:val="none" w:sz="0" w:space="0" w:color="auto"/>
        <w:left w:val="none" w:sz="0" w:space="0" w:color="auto"/>
        <w:bottom w:val="none" w:sz="0" w:space="0" w:color="auto"/>
        <w:right w:val="none" w:sz="0" w:space="0" w:color="auto"/>
      </w:divBdr>
    </w:div>
    <w:div w:id="931162599">
      <w:bodyDiv w:val="1"/>
      <w:marLeft w:val="0"/>
      <w:marRight w:val="0"/>
      <w:marTop w:val="0"/>
      <w:marBottom w:val="0"/>
      <w:divBdr>
        <w:top w:val="none" w:sz="0" w:space="0" w:color="auto"/>
        <w:left w:val="none" w:sz="0" w:space="0" w:color="auto"/>
        <w:bottom w:val="none" w:sz="0" w:space="0" w:color="auto"/>
        <w:right w:val="none" w:sz="0" w:space="0" w:color="auto"/>
      </w:divBdr>
    </w:div>
    <w:div w:id="1427967323">
      <w:bodyDiv w:val="1"/>
      <w:marLeft w:val="0"/>
      <w:marRight w:val="0"/>
      <w:marTop w:val="0"/>
      <w:marBottom w:val="0"/>
      <w:divBdr>
        <w:top w:val="none" w:sz="0" w:space="0" w:color="auto"/>
        <w:left w:val="none" w:sz="0" w:space="0" w:color="auto"/>
        <w:bottom w:val="none" w:sz="0" w:space="0" w:color="auto"/>
        <w:right w:val="none" w:sz="0" w:space="0" w:color="auto"/>
      </w:divBdr>
    </w:div>
    <w:div w:id="1474252416">
      <w:bodyDiv w:val="1"/>
      <w:marLeft w:val="0"/>
      <w:marRight w:val="0"/>
      <w:marTop w:val="0"/>
      <w:marBottom w:val="0"/>
      <w:divBdr>
        <w:top w:val="none" w:sz="0" w:space="0" w:color="auto"/>
        <w:left w:val="none" w:sz="0" w:space="0" w:color="auto"/>
        <w:bottom w:val="none" w:sz="0" w:space="0" w:color="auto"/>
        <w:right w:val="none" w:sz="0" w:space="0" w:color="auto"/>
      </w:divBdr>
    </w:div>
    <w:div w:id="1474905477">
      <w:bodyDiv w:val="1"/>
      <w:marLeft w:val="0"/>
      <w:marRight w:val="0"/>
      <w:marTop w:val="0"/>
      <w:marBottom w:val="0"/>
      <w:divBdr>
        <w:top w:val="none" w:sz="0" w:space="0" w:color="auto"/>
        <w:left w:val="none" w:sz="0" w:space="0" w:color="auto"/>
        <w:bottom w:val="none" w:sz="0" w:space="0" w:color="auto"/>
        <w:right w:val="none" w:sz="0" w:space="0" w:color="auto"/>
      </w:divBdr>
    </w:div>
    <w:div w:id="1529416678">
      <w:bodyDiv w:val="1"/>
      <w:marLeft w:val="0"/>
      <w:marRight w:val="0"/>
      <w:marTop w:val="0"/>
      <w:marBottom w:val="0"/>
      <w:divBdr>
        <w:top w:val="none" w:sz="0" w:space="0" w:color="auto"/>
        <w:left w:val="none" w:sz="0" w:space="0" w:color="auto"/>
        <w:bottom w:val="none" w:sz="0" w:space="0" w:color="auto"/>
        <w:right w:val="none" w:sz="0" w:space="0" w:color="auto"/>
      </w:divBdr>
    </w:div>
    <w:div w:id="1991326211">
      <w:bodyDiv w:val="1"/>
      <w:marLeft w:val="0"/>
      <w:marRight w:val="0"/>
      <w:marTop w:val="0"/>
      <w:marBottom w:val="0"/>
      <w:divBdr>
        <w:top w:val="none" w:sz="0" w:space="0" w:color="auto"/>
        <w:left w:val="none" w:sz="0" w:space="0" w:color="auto"/>
        <w:bottom w:val="none" w:sz="0" w:space="0" w:color="auto"/>
        <w:right w:val="none" w:sz="0" w:space="0" w:color="auto"/>
      </w:divBdr>
    </w:div>
    <w:div w:id="20862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274706-5D8D-4C8D-9D47-7B8DE9D99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59835D-24FD-426A-826D-350D9BFFE233}">
  <ds:schemaRefs>
    <ds:schemaRef ds:uri="http://schemas.openxmlformats.org/officeDocument/2006/bibliography"/>
  </ds:schemaRefs>
</ds:datastoreItem>
</file>

<file path=customXml/itemProps3.xml><?xml version="1.0" encoding="utf-8"?>
<ds:datastoreItem xmlns:ds="http://schemas.openxmlformats.org/officeDocument/2006/customXml" ds:itemID="{CA9A4CC4-ADAB-4742-9938-8EAD506CE899}">
  <ds:schemaRefs>
    <ds:schemaRef ds:uri="http://schemas.microsoft.com/office/2006/metadata/longProperties"/>
  </ds:schemaRefs>
</ds:datastoreItem>
</file>

<file path=customXml/itemProps4.xml><?xml version="1.0" encoding="utf-8"?>
<ds:datastoreItem xmlns:ds="http://schemas.openxmlformats.org/officeDocument/2006/customXml" ds:itemID="{7BA9FEDA-9B5A-474A-B230-22D4837FE8D7}">
  <ds:schemaRefs>
    <ds:schemaRef ds:uri="http://schemas.microsoft.com/sharepoint/v3/contenttype/forms"/>
  </ds:schemaRefs>
</ds:datastoreItem>
</file>

<file path=customXml/itemProps5.xml><?xml version="1.0" encoding="utf-8"?>
<ds:datastoreItem xmlns:ds="http://schemas.openxmlformats.org/officeDocument/2006/customXml" ds:itemID="{50F8AD3A-A88F-4988-951D-9A7755D308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2298</Words>
  <Characters>13100</Characters>
  <Application>Microsoft Office Word</Application>
  <DocSecurity>0</DocSecurity>
  <Lines>109</Lines>
  <Paragraphs>30</Paragraphs>
  <ScaleCrop>false</ScaleCrop>
  <Company/>
  <LinksUpToDate>false</LinksUpToDate>
  <CharactersWithSpaces>15368</CharactersWithSpaces>
  <SharedDoc>false</SharedDoc>
  <HLinks>
    <vt:vector size="6" baseType="variant">
      <vt:variant>
        <vt:i4>1114210</vt:i4>
      </vt:variant>
      <vt:variant>
        <vt:i4>0</vt:i4>
      </vt:variant>
      <vt:variant>
        <vt:i4>0</vt:i4>
      </vt:variant>
      <vt:variant>
        <vt:i4>5</vt:i4>
      </vt:variant>
      <vt:variant>
        <vt:lpwstr>mailto:casoscidh@projetolegal.org.br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2023-04-04T19:22:00Z</dcterms:created>
  <dcterms:modified xsi:type="dcterms:W3CDTF">2023-04-04T19:22:00Z</dcterms:modified>
</cp:coreProperties>
</file>