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03681" w14:textId="77777777" w:rsidR="00332F7A" w:rsidRDefault="00332F7A" w:rsidP="00332F7A">
      <w:pPr>
        <w:tabs>
          <w:tab w:val="left" w:pos="720"/>
        </w:tabs>
        <w:jc w:val="right"/>
        <w:rPr>
          <w:rFonts w:ascii="Cambria" w:hAnsi="Cambria" w:cs="Calibri"/>
          <w:color w:val="000000"/>
          <w:sz w:val="20"/>
          <w:szCs w:val="20"/>
          <w:lang w:val="es-ES"/>
        </w:rPr>
      </w:pPr>
    </w:p>
    <w:p w14:paraId="409F56A0" w14:textId="0FB8D1D7" w:rsidR="004D58FB" w:rsidRDefault="005C4C2F" w:rsidP="00332F7A">
      <w:pPr>
        <w:tabs>
          <w:tab w:val="left" w:pos="720"/>
        </w:tabs>
        <w:jc w:val="right"/>
        <w:rPr>
          <w:rFonts w:ascii="Cambria" w:hAnsi="Cambria" w:cs="Calibri"/>
          <w:b/>
          <w:color w:val="000000"/>
          <w:sz w:val="20"/>
          <w:szCs w:val="20"/>
          <w:lang w:val="es-ES"/>
        </w:rPr>
      </w:pPr>
      <w:r>
        <w:rPr>
          <w:rFonts w:ascii="Cambria" w:hAnsi="Cambria" w:cs="Calibri"/>
          <w:color w:val="000000"/>
          <w:sz w:val="20"/>
          <w:szCs w:val="20"/>
          <w:lang w:val="es-ES"/>
        </w:rPr>
        <w:t>26 de septiembre</w:t>
      </w:r>
      <w:r w:rsidR="004D58FB">
        <w:rPr>
          <w:rFonts w:ascii="Cambria" w:hAnsi="Cambria" w:cs="Calibri"/>
          <w:color w:val="000000"/>
          <w:sz w:val="20"/>
          <w:szCs w:val="20"/>
          <w:lang w:val="es-ES"/>
        </w:rPr>
        <w:t xml:space="preserve"> </w:t>
      </w:r>
      <w:r w:rsidR="004D58FB" w:rsidRPr="00C41800">
        <w:rPr>
          <w:rFonts w:ascii="Cambria" w:hAnsi="Cambria" w:cs="Calibri"/>
          <w:color w:val="000000"/>
          <w:sz w:val="20"/>
          <w:szCs w:val="20"/>
          <w:lang w:val="es-ES"/>
        </w:rPr>
        <w:t>de 202</w:t>
      </w:r>
      <w:r w:rsidR="004D58FB">
        <w:rPr>
          <w:rFonts w:ascii="Cambria" w:hAnsi="Cambria" w:cs="Calibri"/>
          <w:color w:val="000000"/>
          <w:sz w:val="20"/>
          <w:szCs w:val="20"/>
          <w:lang w:val="es-ES"/>
        </w:rPr>
        <w:t>2</w:t>
      </w:r>
    </w:p>
    <w:p w14:paraId="7A266F42" w14:textId="77777777" w:rsidR="004D58FB" w:rsidRPr="00C41800" w:rsidRDefault="004D58FB" w:rsidP="00332F7A">
      <w:pPr>
        <w:tabs>
          <w:tab w:val="left" w:pos="720"/>
        </w:tabs>
        <w:jc w:val="both"/>
        <w:rPr>
          <w:rFonts w:ascii="Cambria" w:hAnsi="Cambria" w:cs="Calibri"/>
          <w:b/>
          <w:color w:val="000000"/>
          <w:sz w:val="20"/>
          <w:szCs w:val="20"/>
          <w:lang w:val="es-ES"/>
        </w:rPr>
      </w:pPr>
      <w:r w:rsidRPr="00C41800">
        <w:rPr>
          <w:rFonts w:ascii="Cambria" w:hAnsi="Cambria" w:cs="Calibri"/>
          <w:b/>
          <w:color w:val="000000"/>
          <w:sz w:val="20"/>
          <w:szCs w:val="20"/>
          <w:lang w:val="es-ES"/>
        </w:rPr>
        <w:t>REF.:</w:t>
      </w:r>
      <w:bookmarkStart w:id="0" w:name="Peticion_n"/>
      <w:bookmarkEnd w:id="0"/>
      <w:r w:rsidRPr="00C41800">
        <w:rPr>
          <w:rFonts w:ascii="Cambria" w:hAnsi="Cambria" w:cs="Calibri"/>
          <w:b/>
          <w:color w:val="000000"/>
          <w:sz w:val="20"/>
          <w:szCs w:val="20"/>
          <w:lang w:val="es-ES"/>
        </w:rPr>
        <w:tab/>
        <w:t xml:space="preserve">Caso Nº </w:t>
      </w:r>
      <w:r>
        <w:rPr>
          <w:rFonts w:ascii="Cambria" w:hAnsi="Cambria" w:cs="Calibri"/>
          <w:b/>
          <w:color w:val="000000"/>
          <w:sz w:val="20"/>
          <w:szCs w:val="20"/>
          <w:lang w:val="es-ES"/>
        </w:rPr>
        <w:t>12.932</w:t>
      </w:r>
    </w:p>
    <w:p w14:paraId="1EB1C1F5" w14:textId="77777777" w:rsidR="00332F7A" w:rsidRDefault="004D58FB" w:rsidP="00332F7A">
      <w:pPr>
        <w:tabs>
          <w:tab w:val="left" w:pos="720"/>
        </w:tabs>
        <w:ind w:left="720"/>
        <w:jc w:val="both"/>
        <w:rPr>
          <w:rFonts w:ascii="Cambria" w:hAnsi="Cambria" w:cs="Calibri"/>
          <w:b/>
          <w:color w:val="000000"/>
          <w:sz w:val="20"/>
          <w:szCs w:val="20"/>
          <w:lang w:val="es-ES"/>
        </w:rPr>
      </w:pPr>
      <w:r>
        <w:rPr>
          <w:rFonts w:ascii="Cambria" w:hAnsi="Cambria" w:cs="Calibri"/>
          <w:b/>
          <w:color w:val="000000"/>
          <w:sz w:val="20"/>
          <w:szCs w:val="20"/>
          <w:lang w:val="es-ES"/>
        </w:rPr>
        <w:t>Agapito Pérez Lucas, Nicolás Mateo, Macario Pú Chivalán,</w:t>
      </w:r>
    </w:p>
    <w:p w14:paraId="2F873AA0" w14:textId="246A8A67" w:rsidR="004D58FB" w:rsidRPr="00C41800" w:rsidRDefault="004D58FB" w:rsidP="00332F7A">
      <w:pPr>
        <w:tabs>
          <w:tab w:val="left" w:pos="720"/>
        </w:tabs>
        <w:ind w:left="720"/>
        <w:jc w:val="both"/>
        <w:rPr>
          <w:rFonts w:ascii="Cambria" w:hAnsi="Cambria" w:cs="Calibri"/>
          <w:b/>
          <w:color w:val="000000"/>
          <w:sz w:val="20"/>
          <w:szCs w:val="20"/>
          <w:lang w:val="es-ES"/>
        </w:rPr>
      </w:pPr>
      <w:r>
        <w:rPr>
          <w:rFonts w:ascii="Cambria" w:hAnsi="Cambria" w:cs="Calibri"/>
          <w:b/>
          <w:color w:val="000000"/>
          <w:sz w:val="20"/>
          <w:szCs w:val="20"/>
          <w:lang w:val="es-ES"/>
        </w:rPr>
        <w:t xml:space="preserve">Luis Ruiz Luis y sus familiares </w:t>
      </w:r>
    </w:p>
    <w:p w14:paraId="71E0EB82" w14:textId="77777777" w:rsidR="004D58FB" w:rsidRPr="00C41800" w:rsidRDefault="004D58FB" w:rsidP="00332F7A">
      <w:pPr>
        <w:tabs>
          <w:tab w:val="left" w:pos="720"/>
        </w:tabs>
        <w:ind w:left="720"/>
        <w:jc w:val="both"/>
        <w:rPr>
          <w:rFonts w:ascii="Cambria" w:hAnsi="Cambria" w:cs="Calibri"/>
          <w:b/>
          <w:color w:val="000000"/>
          <w:sz w:val="20"/>
          <w:szCs w:val="20"/>
          <w:lang w:val="es-ES"/>
        </w:rPr>
      </w:pPr>
      <w:r>
        <w:rPr>
          <w:rFonts w:ascii="Cambria" w:hAnsi="Cambria" w:cs="Calibri"/>
          <w:b/>
          <w:color w:val="000000"/>
          <w:sz w:val="20"/>
          <w:szCs w:val="20"/>
          <w:lang w:val="es-ES"/>
        </w:rPr>
        <w:t>Guatemala</w:t>
      </w:r>
    </w:p>
    <w:p w14:paraId="5CB7BCD5" w14:textId="77777777" w:rsidR="004D58FB" w:rsidRPr="00C41800" w:rsidRDefault="004D58FB" w:rsidP="00332F7A">
      <w:pPr>
        <w:tabs>
          <w:tab w:val="left" w:pos="720"/>
        </w:tabs>
        <w:jc w:val="both"/>
        <w:rPr>
          <w:rFonts w:ascii="Cambria" w:hAnsi="Cambria" w:cs="Calibri"/>
          <w:b/>
          <w:color w:val="000000"/>
          <w:sz w:val="20"/>
          <w:szCs w:val="20"/>
          <w:lang w:val="es-ES"/>
        </w:rPr>
      </w:pPr>
    </w:p>
    <w:p w14:paraId="0FD412B8" w14:textId="77777777" w:rsidR="004D58FB" w:rsidRDefault="004D58FB" w:rsidP="00332F7A">
      <w:pPr>
        <w:tabs>
          <w:tab w:val="left" w:pos="720"/>
        </w:tabs>
        <w:jc w:val="both"/>
        <w:rPr>
          <w:rFonts w:ascii="Cambria" w:hAnsi="Cambria" w:cs="Calibri"/>
          <w:color w:val="000000"/>
          <w:sz w:val="20"/>
          <w:szCs w:val="20"/>
          <w:lang w:val="es-ES"/>
        </w:rPr>
      </w:pPr>
      <w:r w:rsidRPr="00C41800">
        <w:rPr>
          <w:rFonts w:ascii="Cambria" w:hAnsi="Cambria" w:cs="Calibri"/>
          <w:color w:val="000000"/>
          <w:sz w:val="20"/>
          <w:szCs w:val="20"/>
          <w:lang w:val="es-ES"/>
        </w:rPr>
        <w:t>Señor Secretario:</w:t>
      </w:r>
    </w:p>
    <w:p w14:paraId="55DEE06E" w14:textId="77777777" w:rsidR="004D58FB" w:rsidRPr="00E25CE8" w:rsidRDefault="004D58FB" w:rsidP="00332F7A">
      <w:pPr>
        <w:tabs>
          <w:tab w:val="left" w:pos="720"/>
        </w:tabs>
        <w:jc w:val="both"/>
        <w:rPr>
          <w:rFonts w:ascii="Cambria" w:hAnsi="Cambria" w:cs="Calibri"/>
          <w:color w:val="000000"/>
          <w:sz w:val="20"/>
          <w:szCs w:val="20"/>
          <w:lang w:val="es-ES"/>
        </w:rPr>
      </w:pPr>
    </w:p>
    <w:p w14:paraId="6254AFA7" w14:textId="77777777" w:rsidR="0073722D" w:rsidRDefault="004D58FB" w:rsidP="00332F7A">
      <w:pPr>
        <w:tabs>
          <w:tab w:val="left" w:pos="720"/>
        </w:tabs>
        <w:ind w:firstLine="720"/>
        <w:jc w:val="both"/>
        <w:rPr>
          <w:rFonts w:ascii="Cambria" w:hAnsi="Cambria" w:cs="Calibri"/>
          <w:color w:val="000000"/>
          <w:sz w:val="20"/>
          <w:szCs w:val="20"/>
          <w:lang w:val="es-ES"/>
        </w:rPr>
      </w:pPr>
      <w:r w:rsidRPr="006A2D38">
        <w:rPr>
          <w:rFonts w:ascii="Cambria" w:hAnsi="Cambria" w:cs="Calibri"/>
          <w:color w:val="000000"/>
          <w:sz w:val="20"/>
          <w:szCs w:val="20"/>
          <w:lang w:val="es-ES"/>
        </w:rPr>
        <w:t>Tengo el agrado de dirigirme a usted, en nombre de la Comisión Interamericana de Derechos Humanos</w:t>
      </w:r>
      <w:r w:rsidR="00E25CE8" w:rsidRPr="006A2D38">
        <w:rPr>
          <w:rFonts w:ascii="Cambria" w:hAnsi="Cambria"/>
          <w:sz w:val="20"/>
          <w:szCs w:val="20"/>
          <w:lang w:val="es-ES"/>
        </w:rPr>
        <w:t xml:space="preserve"> (en adelante “la Comisión Interamericana”, “la Comisión” o “la CIDH”) </w:t>
      </w:r>
      <w:r w:rsidRPr="006A2D38">
        <w:rPr>
          <w:rFonts w:ascii="Cambria" w:hAnsi="Cambria" w:cs="Calibri"/>
          <w:color w:val="000000"/>
          <w:sz w:val="20"/>
          <w:szCs w:val="20"/>
          <w:lang w:val="es-ES"/>
        </w:rPr>
        <w:t xml:space="preserve">, con el objeto de someter a la jurisdicción de la Honorable Corte Interamericana de Derechos Humanos, el Caso </w:t>
      </w:r>
      <w:bookmarkStart w:id="1" w:name="Peticion_n1"/>
      <w:bookmarkEnd w:id="1"/>
      <w:r w:rsidRPr="006A2D38">
        <w:rPr>
          <w:rFonts w:ascii="Cambria" w:hAnsi="Cambria" w:cs="Calibri"/>
          <w:color w:val="000000"/>
          <w:sz w:val="20"/>
          <w:szCs w:val="20"/>
          <w:lang w:val="es-ES"/>
        </w:rPr>
        <w:t>12.932 –</w:t>
      </w:r>
      <w:r w:rsidRPr="006A2D38">
        <w:rPr>
          <w:rFonts w:ascii="Cambria" w:eastAsia="Arial Unicode MS" w:hAnsi="Cambria"/>
          <w:color w:val="000000"/>
          <w:sz w:val="20"/>
          <w:szCs w:val="20"/>
          <w:bdr w:val="nil"/>
          <w:lang w:val="es-ES"/>
        </w:rPr>
        <w:t xml:space="preserve"> </w:t>
      </w:r>
      <w:r w:rsidRPr="006A2D38">
        <w:rPr>
          <w:rFonts w:ascii="Cambria" w:hAnsi="Cambria" w:cs="Calibri"/>
          <w:color w:val="000000"/>
          <w:sz w:val="20"/>
          <w:szCs w:val="20"/>
          <w:lang w:val="es-ES"/>
        </w:rPr>
        <w:t xml:space="preserve">Agapito Pérez Lucas, Nicolás Mateo, Macario Pú Chivalán, Luis Ruiz Luis y sus familiares </w:t>
      </w:r>
      <w:r w:rsidR="00E25CE8" w:rsidRPr="006A2D38">
        <w:rPr>
          <w:rFonts w:ascii="Cambria" w:hAnsi="Cambria" w:cs="Calibri"/>
          <w:color w:val="000000"/>
          <w:sz w:val="20"/>
          <w:szCs w:val="20"/>
          <w:lang w:val="es-ES"/>
        </w:rPr>
        <w:t xml:space="preserve">respecto </w:t>
      </w:r>
      <w:r w:rsidRPr="006A2D38">
        <w:rPr>
          <w:rFonts w:ascii="Cambria" w:hAnsi="Cambria" w:cs="Calibri"/>
          <w:color w:val="000000"/>
          <w:sz w:val="20"/>
          <w:szCs w:val="20"/>
          <w:lang w:val="es-ES"/>
        </w:rPr>
        <w:t xml:space="preserve">de la República de Guatemala (en adelante “el Estado”, “el Estado guatemalteco” o “Guatemala”). El caso se refiere a la responsabilidad internacional del Estado </w:t>
      </w:r>
      <w:r w:rsidR="00E25CE8" w:rsidRPr="006A2D38">
        <w:rPr>
          <w:rFonts w:ascii="Cambria" w:hAnsi="Cambria" w:cs="Calibri"/>
          <w:color w:val="000000"/>
          <w:sz w:val="20"/>
          <w:szCs w:val="20"/>
          <w:lang w:val="es-ES"/>
        </w:rPr>
        <w:t xml:space="preserve">guatemalteco </w:t>
      </w:r>
      <w:r w:rsidRPr="006A2D38">
        <w:rPr>
          <w:rFonts w:ascii="Cambria" w:hAnsi="Cambria" w:cs="Calibri"/>
          <w:color w:val="000000"/>
          <w:sz w:val="20"/>
          <w:szCs w:val="20"/>
          <w:lang w:val="es-ES"/>
        </w:rPr>
        <w:t xml:space="preserve">por la violación de una serie de derechos </w:t>
      </w:r>
      <w:r w:rsidR="0073722D" w:rsidRPr="006A2D38">
        <w:rPr>
          <w:rFonts w:ascii="Cambria" w:hAnsi="Cambria" w:cs="Calibri"/>
          <w:color w:val="000000"/>
          <w:sz w:val="20"/>
          <w:szCs w:val="20"/>
          <w:lang w:val="es-ES"/>
        </w:rPr>
        <w:t>protegidos por la Convención Americana sobre Derechos Humanos y</w:t>
      </w:r>
      <w:r w:rsidR="00E25CE8" w:rsidRPr="006A2D38">
        <w:rPr>
          <w:rFonts w:ascii="Cambria" w:hAnsi="Cambria" w:cs="Calibri"/>
          <w:color w:val="000000"/>
          <w:sz w:val="20"/>
          <w:szCs w:val="20"/>
          <w:lang w:val="es-ES"/>
        </w:rPr>
        <w:t xml:space="preserve"> por</w:t>
      </w:r>
      <w:r w:rsidR="0073722D" w:rsidRPr="006A2D38">
        <w:rPr>
          <w:rFonts w:ascii="Cambria" w:hAnsi="Cambria" w:cs="Calibri"/>
          <w:color w:val="000000"/>
          <w:sz w:val="20"/>
          <w:szCs w:val="20"/>
          <w:lang w:val="es-ES"/>
        </w:rPr>
        <w:t xml:space="preserve"> la Convención Interamericana sobre Desaparición </w:t>
      </w:r>
      <w:r w:rsidR="00E25CE8" w:rsidRPr="006A2D38">
        <w:rPr>
          <w:rFonts w:ascii="Cambria" w:hAnsi="Cambria" w:cs="Calibri"/>
          <w:color w:val="000000"/>
          <w:sz w:val="20"/>
          <w:szCs w:val="20"/>
          <w:lang w:val="es-ES"/>
        </w:rPr>
        <w:t>F</w:t>
      </w:r>
      <w:r w:rsidR="0073722D" w:rsidRPr="006A2D38">
        <w:rPr>
          <w:rFonts w:ascii="Cambria" w:hAnsi="Cambria" w:cs="Calibri"/>
          <w:color w:val="000000"/>
          <w:sz w:val="20"/>
          <w:szCs w:val="20"/>
          <w:lang w:val="es-ES"/>
        </w:rPr>
        <w:t xml:space="preserve">orzada de Personas como consecuencia de la detención </w:t>
      </w:r>
      <w:r w:rsidR="00E25CE8" w:rsidRPr="006A2D38">
        <w:rPr>
          <w:rFonts w:ascii="Cambria" w:hAnsi="Cambria" w:cs="Calibri"/>
          <w:color w:val="000000"/>
          <w:sz w:val="20"/>
          <w:szCs w:val="20"/>
          <w:lang w:val="es-ES"/>
        </w:rPr>
        <w:t xml:space="preserve">en el mes de abril de 1989 </w:t>
      </w:r>
      <w:r w:rsidR="0073722D" w:rsidRPr="006A2D38">
        <w:rPr>
          <w:rFonts w:ascii="Cambria" w:hAnsi="Cambria" w:cs="Calibri"/>
          <w:color w:val="000000"/>
          <w:sz w:val="20"/>
          <w:szCs w:val="20"/>
          <w:lang w:val="es-ES"/>
        </w:rPr>
        <w:t>y posterior desaparición forzada de los Sres. Agapito Pérez Lucas, Nicolás Mateo, Macario Pú Chivalán y Luis Ruiz Luis</w:t>
      </w:r>
      <w:r w:rsidR="00E25CE8" w:rsidRPr="006A2D38">
        <w:rPr>
          <w:rFonts w:ascii="Cambria" w:hAnsi="Cambria" w:cs="Calibri"/>
          <w:color w:val="000000"/>
          <w:sz w:val="20"/>
          <w:szCs w:val="20"/>
          <w:lang w:val="es-ES"/>
        </w:rPr>
        <w:t xml:space="preserve"> </w:t>
      </w:r>
      <w:r w:rsidR="0073722D" w:rsidRPr="006A2D38">
        <w:rPr>
          <w:rFonts w:ascii="Cambria" w:hAnsi="Cambria" w:cs="Calibri"/>
          <w:color w:val="000000"/>
          <w:sz w:val="20"/>
          <w:szCs w:val="20"/>
          <w:lang w:val="es-ES"/>
        </w:rPr>
        <w:t>y del estado de impunidad en el que se encuentra el caso</w:t>
      </w:r>
      <w:r w:rsidR="00E25CE8" w:rsidRPr="006A2D38">
        <w:rPr>
          <w:rFonts w:ascii="Cambria" w:hAnsi="Cambria" w:cs="Calibri"/>
          <w:color w:val="000000"/>
          <w:sz w:val="20"/>
          <w:szCs w:val="20"/>
          <w:lang w:val="es-ES"/>
        </w:rPr>
        <w:t xml:space="preserve">. </w:t>
      </w:r>
    </w:p>
    <w:p w14:paraId="65E395BF" w14:textId="77777777" w:rsidR="00E862DD" w:rsidRPr="006A2D38" w:rsidRDefault="00E862DD" w:rsidP="00332F7A">
      <w:pPr>
        <w:tabs>
          <w:tab w:val="left" w:pos="720"/>
        </w:tabs>
        <w:ind w:firstLine="1418"/>
        <w:jc w:val="both"/>
        <w:rPr>
          <w:rFonts w:ascii="Cambria" w:hAnsi="Cambria"/>
          <w:sz w:val="20"/>
          <w:szCs w:val="20"/>
          <w:lang w:val="es-ES"/>
        </w:rPr>
      </w:pPr>
    </w:p>
    <w:p w14:paraId="66F4B8CB" w14:textId="4FC6C7CA" w:rsidR="008D6371" w:rsidRDefault="0073722D" w:rsidP="00332F7A">
      <w:pPr>
        <w:pStyle w:val="NormalWeb"/>
        <w:tabs>
          <w:tab w:val="left" w:pos="720"/>
        </w:tabs>
        <w:spacing w:before="0" w:beforeAutospacing="0" w:after="0" w:afterAutospacing="0"/>
        <w:ind w:firstLine="720"/>
        <w:jc w:val="both"/>
        <w:rPr>
          <w:rFonts w:ascii="Cambria" w:hAnsi="Cambria"/>
          <w:sz w:val="20"/>
          <w:szCs w:val="20"/>
          <w:lang w:val="es-ES"/>
        </w:rPr>
      </w:pPr>
      <w:r w:rsidRPr="006A2D38">
        <w:rPr>
          <w:rFonts w:ascii="Cambria" w:hAnsi="Cambria" w:cs="Calibri"/>
          <w:color w:val="000000"/>
          <w:sz w:val="20"/>
          <w:szCs w:val="20"/>
          <w:lang w:val="es-ES"/>
        </w:rPr>
        <w:t xml:space="preserve">En su Informe de Fondo Nro. 386/21 la </w:t>
      </w:r>
      <w:r w:rsidR="00E25CE8" w:rsidRPr="006A2D38">
        <w:rPr>
          <w:rFonts w:ascii="Cambria" w:hAnsi="Cambria" w:cs="Calibri"/>
          <w:color w:val="000000"/>
          <w:sz w:val="20"/>
          <w:szCs w:val="20"/>
          <w:lang w:val="es-ES"/>
        </w:rPr>
        <w:t>Comisión</w:t>
      </w:r>
      <w:r w:rsidRPr="006A2D38">
        <w:rPr>
          <w:rFonts w:ascii="Cambria" w:hAnsi="Cambria" w:cs="Calibri"/>
          <w:color w:val="000000"/>
          <w:sz w:val="20"/>
          <w:szCs w:val="20"/>
          <w:lang w:val="es-ES"/>
        </w:rPr>
        <w:t xml:space="preserve"> </w:t>
      </w:r>
      <w:r w:rsidR="00E25CE8" w:rsidRPr="006A2D38">
        <w:rPr>
          <w:rFonts w:ascii="Cambria" w:hAnsi="Cambria" w:cs="Calibri"/>
          <w:color w:val="000000"/>
          <w:sz w:val="20"/>
          <w:szCs w:val="20"/>
          <w:lang w:val="es-ES"/>
        </w:rPr>
        <w:t xml:space="preserve">consideró que los hechos denunciados encuadran en un contexto </w:t>
      </w:r>
      <w:r w:rsidR="006A2D38" w:rsidRPr="006A2D38">
        <w:rPr>
          <w:rFonts w:ascii="Cambria" w:hAnsi="Cambria" w:cs="Calibri"/>
          <w:color w:val="000000"/>
          <w:sz w:val="20"/>
          <w:szCs w:val="20"/>
          <w:lang w:val="es-ES"/>
        </w:rPr>
        <w:t xml:space="preserve">histórico </w:t>
      </w:r>
      <w:r w:rsidR="00E25CE8" w:rsidRPr="006A2D38">
        <w:rPr>
          <w:rFonts w:ascii="Cambria" w:hAnsi="Cambria" w:cs="Calibri"/>
          <w:color w:val="000000"/>
          <w:sz w:val="20"/>
          <w:szCs w:val="20"/>
          <w:lang w:val="es-ES"/>
        </w:rPr>
        <w:t xml:space="preserve">ampliamente conocido por los órganos de protección del </w:t>
      </w:r>
      <w:r w:rsidR="006A2D38" w:rsidRPr="006A2D38">
        <w:rPr>
          <w:rFonts w:ascii="Cambria" w:hAnsi="Cambria" w:cs="Calibri"/>
          <w:color w:val="000000"/>
          <w:sz w:val="20"/>
          <w:szCs w:val="20"/>
          <w:lang w:val="es-ES"/>
        </w:rPr>
        <w:t>S</w:t>
      </w:r>
      <w:r w:rsidR="00E25CE8" w:rsidRPr="006A2D38">
        <w:rPr>
          <w:rFonts w:ascii="Cambria" w:hAnsi="Cambria" w:cs="Calibri"/>
          <w:color w:val="000000"/>
          <w:sz w:val="20"/>
          <w:szCs w:val="20"/>
          <w:lang w:val="es-ES"/>
        </w:rPr>
        <w:t xml:space="preserve">istema </w:t>
      </w:r>
      <w:r w:rsidR="006A2D38" w:rsidRPr="006A2D38">
        <w:rPr>
          <w:rFonts w:ascii="Cambria" w:hAnsi="Cambria" w:cs="Calibri"/>
          <w:color w:val="000000"/>
          <w:sz w:val="20"/>
          <w:szCs w:val="20"/>
          <w:lang w:val="es-ES"/>
        </w:rPr>
        <w:t>I</w:t>
      </w:r>
      <w:r w:rsidR="00E25CE8" w:rsidRPr="006A2D38">
        <w:rPr>
          <w:rFonts w:ascii="Cambria" w:hAnsi="Cambria" w:cs="Calibri"/>
          <w:color w:val="000000"/>
          <w:sz w:val="20"/>
          <w:szCs w:val="20"/>
          <w:lang w:val="es-ES"/>
        </w:rPr>
        <w:t xml:space="preserve">nteramericano de </w:t>
      </w:r>
      <w:r w:rsidR="006A2D38" w:rsidRPr="006A2D38">
        <w:rPr>
          <w:rFonts w:ascii="Cambria" w:hAnsi="Cambria" w:cs="Calibri"/>
          <w:color w:val="000000"/>
          <w:sz w:val="20"/>
          <w:szCs w:val="20"/>
          <w:lang w:val="es-ES"/>
        </w:rPr>
        <w:t>D</w:t>
      </w:r>
      <w:r w:rsidR="00E25CE8" w:rsidRPr="006A2D38">
        <w:rPr>
          <w:rFonts w:ascii="Cambria" w:hAnsi="Cambria" w:cs="Calibri"/>
          <w:color w:val="000000"/>
          <w:sz w:val="20"/>
          <w:szCs w:val="20"/>
          <w:lang w:val="es-ES"/>
        </w:rPr>
        <w:t xml:space="preserve">erechos </w:t>
      </w:r>
      <w:r w:rsidR="006A2D38" w:rsidRPr="006A2D38">
        <w:rPr>
          <w:rFonts w:ascii="Cambria" w:hAnsi="Cambria" w:cs="Calibri"/>
          <w:color w:val="000000"/>
          <w:sz w:val="20"/>
          <w:szCs w:val="20"/>
          <w:lang w:val="es-ES"/>
        </w:rPr>
        <w:t>H</w:t>
      </w:r>
      <w:r w:rsidR="00E25CE8" w:rsidRPr="006A2D38">
        <w:rPr>
          <w:rFonts w:ascii="Cambria" w:hAnsi="Cambria" w:cs="Calibri"/>
          <w:color w:val="000000"/>
          <w:sz w:val="20"/>
          <w:szCs w:val="20"/>
          <w:lang w:val="es-ES"/>
        </w:rPr>
        <w:t xml:space="preserve">umanos y documentado por la </w:t>
      </w:r>
      <w:r w:rsidR="006A2D38" w:rsidRPr="006A2D38">
        <w:rPr>
          <w:rFonts w:ascii="Cambria" w:hAnsi="Cambria" w:cs="Calibri"/>
          <w:color w:val="000000"/>
          <w:sz w:val="20"/>
          <w:szCs w:val="20"/>
          <w:lang w:val="es-ES"/>
        </w:rPr>
        <w:t>Comisión</w:t>
      </w:r>
      <w:r w:rsidR="00E25CE8" w:rsidRPr="006A2D38">
        <w:rPr>
          <w:rFonts w:ascii="Cambria" w:hAnsi="Cambria" w:cs="Calibri"/>
          <w:color w:val="000000"/>
          <w:sz w:val="20"/>
          <w:szCs w:val="20"/>
          <w:lang w:val="es-ES"/>
        </w:rPr>
        <w:t xml:space="preserve"> para el Esclarecimiento </w:t>
      </w:r>
      <w:r w:rsidR="006A2D38" w:rsidRPr="006A2D38">
        <w:rPr>
          <w:rFonts w:ascii="Cambria" w:hAnsi="Cambria" w:cs="Calibri"/>
          <w:color w:val="000000"/>
          <w:sz w:val="20"/>
          <w:szCs w:val="20"/>
          <w:lang w:val="es-ES"/>
        </w:rPr>
        <w:t>Histórico</w:t>
      </w:r>
      <w:r w:rsidR="00E25CE8" w:rsidRPr="006A2D38">
        <w:rPr>
          <w:rFonts w:ascii="Cambria" w:hAnsi="Cambria" w:cs="Calibri"/>
          <w:color w:val="000000"/>
          <w:sz w:val="20"/>
          <w:szCs w:val="20"/>
          <w:lang w:val="es-ES"/>
        </w:rPr>
        <w:t xml:space="preserve"> en su </w:t>
      </w:r>
      <w:r w:rsidR="006A2D38" w:rsidRPr="006A2D38">
        <w:rPr>
          <w:rFonts w:ascii="Cambria" w:hAnsi="Cambria" w:cs="Calibri"/>
          <w:color w:val="000000"/>
          <w:sz w:val="20"/>
          <w:szCs w:val="20"/>
          <w:lang w:val="es-ES"/>
        </w:rPr>
        <w:t>I</w:t>
      </w:r>
      <w:r w:rsidR="00E25CE8" w:rsidRPr="006A2D38">
        <w:rPr>
          <w:rFonts w:ascii="Cambria" w:hAnsi="Cambria" w:cs="Calibri"/>
          <w:color w:val="000000"/>
          <w:sz w:val="20"/>
          <w:szCs w:val="20"/>
          <w:lang w:val="es-ES"/>
        </w:rPr>
        <w:t xml:space="preserve">nforme </w:t>
      </w:r>
      <w:r w:rsidR="006A2D38" w:rsidRPr="006A2D38">
        <w:rPr>
          <w:rFonts w:ascii="Cambria" w:hAnsi="Cambria" w:cs="Calibri"/>
          <w:color w:val="000000"/>
          <w:sz w:val="20"/>
          <w:szCs w:val="20"/>
          <w:lang w:val="es-ES"/>
        </w:rPr>
        <w:t>F</w:t>
      </w:r>
      <w:r w:rsidR="00E25CE8" w:rsidRPr="006A2D38">
        <w:rPr>
          <w:rFonts w:ascii="Cambria" w:hAnsi="Cambria" w:cs="Calibri"/>
          <w:color w:val="000000"/>
          <w:sz w:val="20"/>
          <w:szCs w:val="20"/>
          <w:lang w:val="es-ES"/>
        </w:rPr>
        <w:t>inal “Guatemala Nunca Mas”</w:t>
      </w:r>
      <w:r w:rsidR="006A2D38" w:rsidRPr="006A2D38">
        <w:rPr>
          <w:rFonts w:ascii="Cambria" w:hAnsi="Cambria" w:cs="Calibri"/>
          <w:color w:val="000000"/>
          <w:sz w:val="20"/>
          <w:szCs w:val="20"/>
          <w:lang w:val="es-ES"/>
        </w:rPr>
        <w:t xml:space="preserve">. Dicho contexto se caracterizó </w:t>
      </w:r>
      <w:r w:rsidR="00E25CE8" w:rsidRPr="006A2D38">
        <w:rPr>
          <w:rFonts w:ascii="Cambria" w:hAnsi="Cambria" w:cs="Calibri"/>
          <w:color w:val="000000"/>
          <w:sz w:val="20"/>
          <w:szCs w:val="20"/>
          <w:lang w:val="es-ES"/>
        </w:rPr>
        <w:t xml:space="preserve">por la </w:t>
      </w:r>
      <w:r w:rsidR="00E25CE8" w:rsidRPr="008D6371">
        <w:rPr>
          <w:rFonts w:ascii="Cambria" w:hAnsi="Cambria" w:cs="Calibri"/>
          <w:color w:val="000000"/>
          <w:sz w:val="20"/>
          <w:szCs w:val="20"/>
          <w:lang w:val="es-ES"/>
        </w:rPr>
        <w:t>existencia de un conflicto armado interno que tuvo lugar desde 1962 hasta 1996</w:t>
      </w:r>
      <w:r w:rsidR="006A2D38" w:rsidRPr="008D6371">
        <w:rPr>
          <w:rFonts w:ascii="Cambria" w:hAnsi="Cambria" w:cs="Calibri"/>
          <w:color w:val="000000"/>
          <w:sz w:val="20"/>
          <w:szCs w:val="20"/>
          <w:lang w:val="es-ES"/>
        </w:rPr>
        <w:t>, el cual trajo aparejado</w:t>
      </w:r>
      <w:r w:rsidR="00E25CE8" w:rsidRPr="008D6371">
        <w:rPr>
          <w:rFonts w:ascii="Cambria" w:hAnsi="Cambria" w:cs="Calibri"/>
          <w:color w:val="000000"/>
          <w:sz w:val="20"/>
          <w:szCs w:val="20"/>
          <w:lang w:val="es-ES"/>
        </w:rPr>
        <w:t xml:space="preserve"> el </w:t>
      </w:r>
      <w:r w:rsidR="00E25CE8" w:rsidRPr="008D6371">
        <w:rPr>
          <w:rFonts w:ascii="Cambria" w:hAnsi="Cambria"/>
          <w:sz w:val="20"/>
          <w:szCs w:val="20"/>
          <w:lang w:val="es-ES"/>
        </w:rPr>
        <w:t xml:space="preserve">quiebre de la democracia y el Estado de Derecho en el </w:t>
      </w:r>
      <w:r w:rsidR="006A2D38" w:rsidRPr="008D6371">
        <w:rPr>
          <w:rFonts w:ascii="Cambria" w:hAnsi="Cambria"/>
          <w:sz w:val="20"/>
          <w:szCs w:val="20"/>
          <w:lang w:val="es-ES"/>
        </w:rPr>
        <w:t>país</w:t>
      </w:r>
      <w:r w:rsidR="00E25CE8" w:rsidRPr="008D6371">
        <w:rPr>
          <w:rFonts w:ascii="Cambria" w:hAnsi="Cambria"/>
          <w:sz w:val="20"/>
          <w:szCs w:val="20"/>
          <w:lang w:val="es-ES"/>
        </w:rPr>
        <w:t xml:space="preserve"> y provocó grandes costos humanos y materiales. De manera particular, la CIDH señaló que la </w:t>
      </w:r>
      <w:r w:rsidR="006A2D38" w:rsidRPr="008D6371">
        <w:rPr>
          <w:rFonts w:ascii="Cambria" w:hAnsi="Cambria"/>
          <w:sz w:val="20"/>
          <w:szCs w:val="20"/>
          <w:lang w:val="es-ES"/>
        </w:rPr>
        <w:t>política</w:t>
      </w:r>
      <w:r w:rsidR="00E25CE8" w:rsidRPr="008D6371">
        <w:rPr>
          <w:rFonts w:ascii="Cambria" w:hAnsi="Cambria"/>
          <w:sz w:val="20"/>
          <w:szCs w:val="20"/>
          <w:lang w:val="es-ES"/>
        </w:rPr>
        <w:t xml:space="preserve"> de “tierra arrasada”</w:t>
      </w:r>
      <w:r w:rsidR="008D6371" w:rsidRPr="008D6371">
        <w:rPr>
          <w:rFonts w:ascii="Cambria" w:hAnsi="Cambria"/>
          <w:sz w:val="20"/>
          <w:szCs w:val="20"/>
          <w:lang w:val="es-ES"/>
        </w:rPr>
        <w:t xml:space="preserve"> </w:t>
      </w:r>
      <w:r w:rsidR="008D6371">
        <w:rPr>
          <w:rFonts w:ascii="Cambria" w:hAnsi="Cambria"/>
          <w:sz w:val="20"/>
          <w:szCs w:val="20"/>
          <w:lang w:val="es-ES"/>
        </w:rPr>
        <w:t xml:space="preserve">- </w:t>
      </w:r>
      <w:r w:rsidR="008D6371" w:rsidRPr="008D6371">
        <w:rPr>
          <w:rFonts w:ascii="Cambria" w:hAnsi="Cambria"/>
          <w:sz w:val="20"/>
          <w:szCs w:val="20"/>
          <w:lang w:val="es-ES"/>
        </w:rPr>
        <w:t>inspirada en la noción de “enemigo interno” y por la llamada “doctrina de seguridad nacional”</w:t>
      </w:r>
      <w:r w:rsidR="008D6371">
        <w:rPr>
          <w:rFonts w:ascii="Cambria" w:hAnsi="Cambria"/>
          <w:sz w:val="20"/>
          <w:szCs w:val="20"/>
          <w:lang w:val="es-ES"/>
        </w:rPr>
        <w:t xml:space="preserve"> - </w:t>
      </w:r>
      <w:r w:rsidR="008D6371" w:rsidRPr="008D6371">
        <w:rPr>
          <w:rFonts w:ascii="Cambria" w:hAnsi="Cambria"/>
          <w:sz w:val="20"/>
          <w:szCs w:val="20"/>
          <w:lang w:val="es-ES"/>
        </w:rPr>
        <w:t xml:space="preserve">  e</w:t>
      </w:r>
      <w:r w:rsidR="00E25CE8" w:rsidRPr="008D6371">
        <w:rPr>
          <w:rFonts w:ascii="Cambria" w:hAnsi="Cambria"/>
          <w:sz w:val="20"/>
          <w:szCs w:val="20"/>
          <w:lang w:val="es-ES"/>
        </w:rPr>
        <w:t>jecutada por las instituciones del Estado guatemalteco</w:t>
      </w:r>
      <w:r w:rsidR="006A2D38" w:rsidRPr="008D6371">
        <w:rPr>
          <w:rFonts w:ascii="Cambria" w:hAnsi="Cambria"/>
          <w:sz w:val="20"/>
          <w:szCs w:val="20"/>
          <w:lang w:val="es-ES"/>
        </w:rPr>
        <w:t xml:space="preserve"> </w:t>
      </w:r>
      <w:r w:rsidR="008D6371" w:rsidRPr="008D6371">
        <w:rPr>
          <w:rFonts w:ascii="Cambria" w:hAnsi="Cambria"/>
          <w:sz w:val="20"/>
          <w:szCs w:val="20"/>
          <w:lang w:val="es-ES"/>
        </w:rPr>
        <w:t xml:space="preserve">y por actores paraestatales </w:t>
      </w:r>
      <w:r w:rsidR="006A2D38" w:rsidRPr="008D6371">
        <w:rPr>
          <w:rFonts w:ascii="Cambria" w:hAnsi="Cambria"/>
          <w:sz w:val="20"/>
          <w:szCs w:val="20"/>
          <w:lang w:val="es-ES"/>
        </w:rPr>
        <w:t xml:space="preserve">en su lucha contra los grupos insurgentes </w:t>
      </w:r>
      <w:r w:rsidR="008D6371">
        <w:rPr>
          <w:rFonts w:ascii="Cambria" w:hAnsi="Cambria"/>
          <w:sz w:val="20"/>
          <w:szCs w:val="20"/>
          <w:lang w:val="es-ES"/>
        </w:rPr>
        <w:t xml:space="preserve">provocó </w:t>
      </w:r>
      <w:r w:rsidR="006A2D38" w:rsidRPr="008D6371">
        <w:rPr>
          <w:rFonts w:ascii="Cambria" w:hAnsi="Cambria"/>
          <w:sz w:val="20"/>
          <w:szCs w:val="20"/>
          <w:lang w:val="es-ES"/>
        </w:rPr>
        <w:t>múltiples y graves violaciones a los derechos humanos y, en especial, la vulneración de los derechos a la vida a la integridad personal y a la libertad personal en perjuicio de intelectuales, artistas, estudiantes, docentes, lideres sindicales y otros actores sociales que resultaban considerados como expresiones disidentes al régimen político imperante.</w:t>
      </w:r>
    </w:p>
    <w:p w14:paraId="55623FFA" w14:textId="77777777" w:rsidR="00E862DD" w:rsidRPr="008D6371" w:rsidRDefault="00E862DD" w:rsidP="00332F7A">
      <w:pPr>
        <w:pStyle w:val="NormalWeb"/>
        <w:tabs>
          <w:tab w:val="left" w:pos="720"/>
        </w:tabs>
        <w:spacing w:before="0" w:beforeAutospacing="0" w:after="0" w:afterAutospacing="0"/>
        <w:ind w:firstLine="1418"/>
        <w:jc w:val="both"/>
        <w:rPr>
          <w:rFonts w:ascii="Cambria" w:hAnsi="Cambria"/>
          <w:sz w:val="20"/>
          <w:szCs w:val="20"/>
          <w:lang w:val="es-ES"/>
        </w:rPr>
      </w:pPr>
    </w:p>
    <w:p w14:paraId="353D39CE" w14:textId="5751F0AD" w:rsidR="008D6371" w:rsidRDefault="002D21AB" w:rsidP="00332F7A">
      <w:pPr>
        <w:pStyle w:val="NormalWeb"/>
        <w:tabs>
          <w:tab w:val="left" w:pos="720"/>
        </w:tabs>
        <w:spacing w:before="0" w:beforeAutospacing="0" w:after="0" w:afterAutospacing="0"/>
        <w:ind w:firstLine="720"/>
        <w:jc w:val="both"/>
        <w:rPr>
          <w:rFonts w:ascii="Cambria" w:hAnsi="Cambria"/>
          <w:sz w:val="20"/>
          <w:szCs w:val="20"/>
          <w:lang w:val="es-ES"/>
        </w:rPr>
      </w:pPr>
      <w:r>
        <w:rPr>
          <w:rFonts w:ascii="Cambria" w:hAnsi="Cambria"/>
          <w:sz w:val="20"/>
          <w:szCs w:val="20"/>
          <w:lang w:val="es-ES"/>
        </w:rPr>
        <w:t xml:space="preserve">En dicho marco, </w:t>
      </w:r>
      <w:r w:rsidR="006A2D38" w:rsidRPr="008D6371">
        <w:rPr>
          <w:rFonts w:ascii="Cambria" w:hAnsi="Cambria"/>
          <w:sz w:val="20"/>
          <w:szCs w:val="20"/>
          <w:lang w:val="es-ES"/>
        </w:rPr>
        <w:t xml:space="preserve">los Sres. Macario Pu Chivalán, Luis Ruiz Luis, Agapito Pérez Lucas y Nicolás Mateo eran miembros activos del Consejo de Comunidades Étnicas Runujel Junam (CERJ) </w:t>
      </w:r>
      <w:r>
        <w:rPr>
          <w:rFonts w:ascii="Cambria" w:hAnsi="Cambria"/>
          <w:sz w:val="20"/>
          <w:szCs w:val="20"/>
          <w:lang w:val="es-ES"/>
        </w:rPr>
        <w:t xml:space="preserve"> y</w:t>
      </w:r>
      <w:r w:rsidR="006A2D38" w:rsidRPr="008D6371">
        <w:rPr>
          <w:rFonts w:ascii="Cambria" w:hAnsi="Cambria"/>
          <w:sz w:val="20"/>
          <w:szCs w:val="20"/>
          <w:lang w:val="es-ES"/>
        </w:rPr>
        <w:t xml:space="preserve"> trabajaban en tareas de promoción y defensa de los derechos humanos en comunidades pertenecientes al Departamento del Quiche. En particular, </w:t>
      </w:r>
      <w:r w:rsidRPr="008D6371">
        <w:rPr>
          <w:rFonts w:ascii="Cambria" w:hAnsi="Cambria"/>
          <w:sz w:val="20"/>
          <w:szCs w:val="20"/>
          <w:lang w:val="es-ES"/>
        </w:rPr>
        <w:t xml:space="preserve">las labores de las </w:t>
      </w:r>
      <w:r w:rsidR="002A4A50" w:rsidRPr="008D6371">
        <w:rPr>
          <w:rFonts w:ascii="Cambria" w:hAnsi="Cambria"/>
          <w:sz w:val="20"/>
          <w:szCs w:val="20"/>
          <w:lang w:val="es-ES"/>
        </w:rPr>
        <w:t>víctimas</w:t>
      </w:r>
      <w:r w:rsidRPr="008D6371">
        <w:rPr>
          <w:rFonts w:ascii="Cambria" w:hAnsi="Cambria"/>
          <w:sz w:val="20"/>
          <w:szCs w:val="20"/>
          <w:lang w:val="es-ES"/>
        </w:rPr>
        <w:t xml:space="preserve"> se </w:t>
      </w:r>
      <w:r>
        <w:rPr>
          <w:rFonts w:ascii="Cambria" w:hAnsi="Cambria"/>
          <w:sz w:val="20"/>
          <w:szCs w:val="20"/>
          <w:lang w:val="es-ES"/>
        </w:rPr>
        <w:t>enfocaban</w:t>
      </w:r>
      <w:r w:rsidR="006A2D38" w:rsidRPr="008D6371">
        <w:rPr>
          <w:rFonts w:ascii="Cambria" w:hAnsi="Cambria"/>
          <w:sz w:val="20"/>
          <w:szCs w:val="20"/>
          <w:lang w:val="es-ES"/>
        </w:rPr>
        <w:t xml:space="preserve"> en </w:t>
      </w:r>
      <w:r w:rsidR="008D6371" w:rsidRPr="008D6371">
        <w:rPr>
          <w:rFonts w:ascii="Cambria" w:hAnsi="Cambria"/>
          <w:sz w:val="20"/>
          <w:szCs w:val="20"/>
          <w:lang w:val="es-ES"/>
        </w:rPr>
        <w:t>prevenir y evitar</w:t>
      </w:r>
      <w:r w:rsidR="006A2D38" w:rsidRPr="008D6371">
        <w:rPr>
          <w:rFonts w:ascii="Cambria" w:hAnsi="Cambria"/>
          <w:sz w:val="20"/>
          <w:szCs w:val="20"/>
          <w:lang w:val="es-ES"/>
        </w:rPr>
        <w:t xml:space="preserve"> el reclutamiento forzoso de campesinos de la zona por parte de los Comités de Defensa Civil o Grupos de Autodefensa Civil </w:t>
      </w:r>
      <w:r w:rsidR="008D6371" w:rsidRPr="008D6371">
        <w:rPr>
          <w:rFonts w:ascii="Cambria" w:hAnsi="Cambria"/>
          <w:sz w:val="20"/>
          <w:szCs w:val="20"/>
          <w:lang w:val="es-ES"/>
        </w:rPr>
        <w:t>que combatían contra los grupos insurgentes.</w:t>
      </w:r>
      <w:r w:rsidR="006A2D38" w:rsidRPr="008D6371">
        <w:rPr>
          <w:rFonts w:ascii="Cambria" w:hAnsi="Cambria"/>
          <w:sz w:val="20"/>
          <w:szCs w:val="20"/>
          <w:lang w:val="es-ES"/>
        </w:rPr>
        <w:t xml:space="preserve"> Como consecuencia de estas labores, las victimas y sus familiares recibieron amenazas</w:t>
      </w:r>
      <w:r w:rsidR="008D6371" w:rsidRPr="008D6371">
        <w:rPr>
          <w:rFonts w:ascii="Cambria" w:hAnsi="Cambria"/>
          <w:sz w:val="20"/>
          <w:szCs w:val="20"/>
          <w:lang w:val="es-ES"/>
        </w:rPr>
        <w:t xml:space="preserve"> y, en marzo de 1989 debieron trasladarse junto con sus familiares a la Finca Trinidad Miramar, Municipio de Patulul, Departamento de Suchitepéquez para trabajar en la cosecha de </w:t>
      </w:r>
      <w:r w:rsidR="008D6371">
        <w:rPr>
          <w:rFonts w:ascii="Cambria" w:hAnsi="Cambria"/>
          <w:sz w:val="20"/>
          <w:szCs w:val="20"/>
          <w:lang w:val="es-ES"/>
        </w:rPr>
        <w:t xml:space="preserve">café. </w:t>
      </w:r>
    </w:p>
    <w:p w14:paraId="08DF6177" w14:textId="77777777" w:rsidR="00E862DD" w:rsidRDefault="00E862DD" w:rsidP="00332F7A">
      <w:pPr>
        <w:pStyle w:val="NormalWeb"/>
        <w:tabs>
          <w:tab w:val="left" w:pos="720"/>
        </w:tabs>
        <w:spacing w:before="0" w:beforeAutospacing="0" w:after="0" w:afterAutospacing="0"/>
        <w:ind w:firstLine="1418"/>
        <w:jc w:val="both"/>
        <w:rPr>
          <w:rFonts w:ascii="Cambria" w:hAnsi="Cambria"/>
          <w:sz w:val="20"/>
          <w:szCs w:val="20"/>
          <w:lang w:val="es-ES"/>
        </w:rPr>
      </w:pPr>
    </w:p>
    <w:p w14:paraId="78397713" w14:textId="7D8AF0B0" w:rsidR="00395E5C" w:rsidRDefault="00395E5C" w:rsidP="00332F7A">
      <w:pPr>
        <w:pStyle w:val="NormalWeb"/>
        <w:tabs>
          <w:tab w:val="left" w:pos="720"/>
        </w:tabs>
        <w:spacing w:before="0" w:beforeAutospacing="0" w:after="0" w:afterAutospacing="0"/>
        <w:ind w:firstLine="720"/>
        <w:jc w:val="both"/>
        <w:rPr>
          <w:rFonts w:ascii="Cambria" w:hAnsi="Cambria"/>
          <w:sz w:val="20"/>
          <w:szCs w:val="20"/>
          <w:lang w:val="es-ES"/>
        </w:rPr>
      </w:pPr>
      <w:r>
        <w:rPr>
          <w:rFonts w:ascii="Cambria" w:hAnsi="Cambria"/>
          <w:sz w:val="20"/>
          <w:szCs w:val="20"/>
          <w:lang w:val="es-ES"/>
        </w:rPr>
        <w:t xml:space="preserve">El </w:t>
      </w:r>
      <w:r w:rsidRPr="00A65225">
        <w:rPr>
          <w:rFonts w:ascii="Cambria" w:hAnsi="Cambria"/>
          <w:sz w:val="20"/>
          <w:szCs w:val="20"/>
          <w:lang w:val="es-ES"/>
        </w:rPr>
        <w:t xml:space="preserve">1 de abril de 1989 en horas de la noche un grupo de personas armadas y vestidas con indumentaria de </w:t>
      </w:r>
      <w:r w:rsidRPr="00AD4136">
        <w:rPr>
          <w:rFonts w:ascii="Cambria" w:hAnsi="Cambria"/>
          <w:sz w:val="20"/>
          <w:szCs w:val="20"/>
          <w:lang w:val="es-ES"/>
        </w:rPr>
        <w:t>uso común por parte de las fuerzas armadas de Guatemala irrumpieron en la Finca Trinidad Miramar</w:t>
      </w:r>
      <w:r>
        <w:rPr>
          <w:rFonts w:ascii="Cambria" w:hAnsi="Cambria"/>
          <w:sz w:val="20"/>
          <w:szCs w:val="20"/>
          <w:lang w:val="es-ES"/>
        </w:rPr>
        <w:t xml:space="preserve"> </w:t>
      </w:r>
      <w:r w:rsidRPr="00AD4136">
        <w:rPr>
          <w:rFonts w:ascii="Cambria" w:hAnsi="Cambria"/>
          <w:sz w:val="20"/>
          <w:szCs w:val="20"/>
          <w:lang w:val="es-ES"/>
        </w:rPr>
        <w:t>y privaron de la libertad a los Sres. Agapito Pérez Lucas y Nicolás Mate</w:t>
      </w:r>
      <w:r>
        <w:rPr>
          <w:rFonts w:ascii="Cambria" w:hAnsi="Cambria"/>
          <w:sz w:val="20"/>
          <w:szCs w:val="20"/>
          <w:lang w:val="es-ES"/>
        </w:rPr>
        <w:t xml:space="preserve">o. No se les informó a los familiares de las victimas el lugar donde habrían sido conducidos sus seres queridos ni las razones de las detenciones. A pesar de que los familiares se entrevistaron con diversas autoridades estatales en los días posteriores a la desaparición, a la fecha se desconoce el paradero de los Sres. Pérez Lucas y Mateo. </w:t>
      </w:r>
      <w:r w:rsidR="002A4A50">
        <w:rPr>
          <w:rFonts w:ascii="Cambria" w:hAnsi="Cambria"/>
          <w:sz w:val="20"/>
          <w:szCs w:val="20"/>
          <w:lang w:val="es-ES"/>
        </w:rPr>
        <w:t xml:space="preserve"> Asimismo, </w:t>
      </w:r>
      <w:r w:rsidR="00E036A3">
        <w:rPr>
          <w:rFonts w:ascii="Cambria" w:hAnsi="Cambria"/>
          <w:sz w:val="20"/>
          <w:szCs w:val="20"/>
          <w:lang w:val="es-ES"/>
        </w:rPr>
        <w:t xml:space="preserve">el 7 de abril de 1989 </w:t>
      </w:r>
      <w:r w:rsidR="00E036A3" w:rsidRPr="00AD4136">
        <w:rPr>
          <w:rFonts w:ascii="Cambria" w:hAnsi="Cambria"/>
          <w:sz w:val="20"/>
          <w:szCs w:val="20"/>
          <w:lang w:val="es-ES"/>
        </w:rPr>
        <w:t xml:space="preserve">los Sres. Pu Chivalán y Ruiz Luis también fueron detenidos </w:t>
      </w:r>
      <w:r w:rsidR="00E036A3">
        <w:rPr>
          <w:rFonts w:ascii="Cambria" w:hAnsi="Cambria"/>
          <w:sz w:val="20"/>
          <w:szCs w:val="20"/>
          <w:lang w:val="es-ES"/>
        </w:rPr>
        <w:t xml:space="preserve">de manera violenta </w:t>
      </w:r>
      <w:r w:rsidR="00E036A3" w:rsidRPr="00AD4136">
        <w:rPr>
          <w:rFonts w:ascii="Cambria" w:hAnsi="Cambria"/>
          <w:sz w:val="20"/>
          <w:szCs w:val="20"/>
          <w:lang w:val="es-ES"/>
        </w:rPr>
        <w:t>en la Finca Trinidad Miramar</w:t>
      </w:r>
      <w:r w:rsidR="00E036A3">
        <w:rPr>
          <w:rFonts w:ascii="Cambria" w:hAnsi="Cambria"/>
          <w:sz w:val="20"/>
          <w:szCs w:val="20"/>
          <w:lang w:val="es-ES"/>
        </w:rPr>
        <w:t xml:space="preserve">. A la fecha tampoco se tiene noticias del lugar a donde fueron trasladados, de los motivos de la detención y de sus respectivos paraderos. </w:t>
      </w:r>
    </w:p>
    <w:p w14:paraId="4F9A1288" w14:textId="27A7E73B" w:rsidR="00E862DD" w:rsidRDefault="00E862DD" w:rsidP="00332F7A">
      <w:pPr>
        <w:pStyle w:val="NormalWeb"/>
        <w:tabs>
          <w:tab w:val="left" w:pos="720"/>
        </w:tabs>
        <w:spacing w:before="0" w:beforeAutospacing="0" w:after="0" w:afterAutospacing="0"/>
        <w:jc w:val="both"/>
        <w:rPr>
          <w:rFonts w:ascii="Cambria" w:hAnsi="Cambria"/>
          <w:sz w:val="20"/>
          <w:szCs w:val="20"/>
          <w:lang w:val="es-ES"/>
        </w:rPr>
      </w:pPr>
    </w:p>
    <w:p w14:paraId="29238596" w14:textId="77777777" w:rsidR="00332F7A" w:rsidRPr="00C91673" w:rsidRDefault="00332F7A" w:rsidP="00332F7A">
      <w:pPr>
        <w:jc w:val="both"/>
        <w:rPr>
          <w:rFonts w:ascii="Cambria" w:hAnsi="Cambria" w:cs="Calibri"/>
          <w:sz w:val="20"/>
          <w:szCs w:val="20"/>
          <w:lang w:val="es-ES"/>
        </w:rPr>
      </w:pPr>
      <w:r w:rsidRPr="00C91673">
        <w:rPr>
          <w:rFonts w:ascii="Cambria" w:hAnsi="Cambria" w:cs="Calibri"/>
          <w:sz w:val="20"/>
          <w:szCs w:val="20"/>
          <w:lang w:val="es-ES"/>
        </w:rPr>
        <w:t>Señor</w:t>
      </w:r>
    </w:p>
    <w:p w14:paraId="52C8A555" w14:textId="77777777" w:rsidR="00332F7A" w:rsidRPr="00C91673" w:rsidRDefault="00332F7A" w:rsidP="00332F7A">
      <w:pPr>
        <w:jc w:val="both"/>
        <w:rPr>
          <w:rFonts w:ascii="Cambria" w:hAnsi="Cambria" w:cs="Calibri"/>
          <w:sz w:val="20"/>
          <w:szCs w:val="20"/>
          <w:lang w:val="es-ES"/>
        </w:rPr>
      </w:pPr>
      <w:r w:rsidRPr="00C91673">
        <w:rPr>
          <w:rFonts w:ascii="Cambria" w:hAnsi="Cambria" w:cs="Calibri"/>
          <w:sz w:val="20"/>
          <w:szCs w:val="20"/>
          <w:lang w:val="es-ES"/>
        </w:rPr>
        <w:t>Pablo Saavedra Alessandri</w:t>
      </w:r>
    </w:p>
    <w:p w14:paraId="767B7F8C" w14:textId="77777777" w:rsidR="00332F7A" w:rsidRPr="00C91673" w:rsidRDefault="00332F7A" w:rsidP="00332F7A">
      <w:pPr>
        <w:jc w:val="both"/>
        <w:rPr>
          <w:rFonts w:ascii="Cambria" w:hAnsi="Cambria" w:cs="Calibri"/>
          <w:sz w:val="20"/>
          <w:szCs w:val="20"/>
          <w:lang w:val="es-ES"/>
        </w:rPr>
      </w:pPr>
      <w:r w:rsidRPr="00C91673">
        <w:rPr>
          <w:rFonts w:ascii="Cambria" w:hAnsi="Cambria" w:cs="Calibri"/>
          <w:sz w:val="20"/>
          <w:szCs w:val="20"/>
          <w:lang w:val="es-ES"/>
        </w:rPr>
        <w:t>Secretario</w:t>
      </w:r>
    </w:p>
    <w:p w14:paraId="7AD91D9C" w14:textId="77777777" w:rsidR="00332F7A" w:rsidRPr="00C91673" w:rsidRDefault="00332F7A" w:rsidP="00332F7A">
      <w:pPr>
        <w:jc w:val="both"/>
        <w:rPr>
          <w:rFonts w:ascii="Cambria" w:hAnsi="Cambria" w:cs="Calibri"/>
          <w:sz w:val="20"/>
          <w:szCs w:val="20"/>
          <w:lang w:val="es-ES"/>
        </w:rPr>
      </w:pPr>
      <w:r w:rsidRPr="00C91673">
        <w:rPr>
          <w:rFonts w:ascii="Cambria" w:hAnsi="Cambria" w:cs="Calibri"/>
          <w:sz w:val="20"/>
          <w:szCs w:val="20"/>
          <w:lang w:val="es-ES"/>
        </w:rPr>
        <w:t>Corte Interamericana de Derechos Humanos</w:t>
      </w:r>
    </w:p>
    <w:p w14:paraId="7651DE55" w14:textId="73EB0CA0" w:rsidR="00332F7A" w:rsidRDefault="00332F7A" w:rsidP="00332F7A">
      <w:pPr>
        <w:jc w:val="both"/>
        <w:rPr>
          <w:rFonts w:ascii="Cambria" w:hAnsi="Cambria" w:cs="Calibri"/>
          <w:sz w:val="20"/>
          <w:szCs w:val="20"/>
          <w:lang w:val="es-ES"/>
        </w:rPr>
      </w:pPr>
      <w:r w:rsidRPr="00C91673">
        <w:rPr>
          <w:rFonts w:ascii="Cambria" w:hAnsi="Cambria" w:cs="Calibri"/>
          <w:sz w:val="20"/>
          <w:szCs w:val="20"/>
          <w:lang w:val="es-ES"/>
        </w:rPr>
        <w:t>San José, Costa Rica</w:t>
      </w:r>
    </w:p>
    <w:p w14:paraId="1B5054C2" w14:textId="3AE8F528" w:rsidR="00C91673" w:rsidRDefault="00C91673" w:rsidP="00332F7A">
      <w:pPr>
        <w:jc w:val="both"/>
        <w:rPr>
          <w:rFonts w:ascii="Cambria" w:hAnsi="Cambria" w:cs="Calibri"/>
          <w:sz w:val="20"/>
          <w:szCs w:val="20"/>
          <w:lang w:val="es-ES"/>
        </w:rPr>
      </w:pPr>
    </w:p>
    <w:p w14:paraId="1611E19E" w14:textId="77777777" w:rsidR="00C91673" w:rsidRPr="00C91673" w:rsidRDefault="00C91673" w:rsidP="00332F7A">
      <w:pPr>
        <w:jc w:val="both"/>
        <w:rPr>
          <w:rFonts w:ascii="Cambria" w:hAnsi="Cambria" w:cs="Calibri"/>
          <w:sz w:val="20"/>
          <w:szCs w:val="20"/>
          <w:lang w:val="es-ES"/>
        </w:rPr>
      </w:pPr>
    </w:p>
    <w:p w14:paraId="3EFD0B9B" w14:textId="67823099" w:rsidR="0096351F" w:rsidRDefault="002A4A50" w:rsidP="00332F7A">
      <w:pPr>
        <w:pStyle w:val="NormalWeb"/>
        <w:tabs>
          <w:tab w:val="left" w:pos="720"/>
        </w:tabs>
        <w:spacing w:before="0" w:beforeAutospacing="0" w:after="0" w:afterAutospacing="0"/>
        <w:ind w:firstLine="720"/>
        <w:jc w:val="both"/>
        <w:rPr>
          <w:rFonts w:ascii="Cambria" w:hAnsi="Cambria"/>
          <w:sz w:val="20"/>
          <w:szCs w:val="20"/>
          <w:lang w:val="es-ES"/>
        </w:rPr>
      </w:pPr>
      <w:r>
        <w:rPr>
          <w:rFonts w:ascii="Cambria" w:hAnsi="Cambria"/>
          <w:sz w:val="20"/>
          <w:szCs w:val="20"/>
          <w:lang w:val="es-ES"/>
        </w:rPr>
        <w:t xml:space="preserve">En su </w:t>
      </w:r>
      <w:r w:rsidR="00570286">
        <w:rPr>
          <w:rFonts w:ascii="Cambria" w:hAnsi="Cambria"/>
          <w:sz w:val="20"/>
          <w:szCs w:val="20"/>
          <w:lang w:val="es-ES"/>
        </w:rPr>
        <w:t xml:space="preserve">Informe de Fondo Nro. 386/21 </w:t>
      </w:r>
      <w:r>
        <w:rPr>
          <w:rFonts w:ascii="Cambria" w:hAnsi="Cambria"/>
          <w:sz w:val="20"/>
          <w:szCs w:val="20"/>
          <w:lang w:val="es-ES"/>
        </w:rPr>
        <w:t>l</w:t>
      </w:r>
      <w:r w:rsidR="00570286">
        <w:rPr>
          <w:rFonts w:ascii="Cambria" w:hAnsi="Cambria"/>
          <w:sz w:val="20"/>
          <w:szCs w:val="20"/>
          <w:lang w:val="es-ES"/>
        </w:rPr>
        <w:t xml:space="preserve">a </w:t>
      </w:r>
      <w:r w:rsidR="00F07570">
        <w:rPr>
          <w:rFonts w:ascii="Cambria" w:hAnsi="Cambria"/>
          <w:sz w:val="20"/>
          <w:szCs w:val="20"/>
          <w:lang w:val="es-ES"/>
        </w:rPr>
        <w:t>Comisión</w:t>
      </w:r>
      <w:r w:rsidR="00570286">
        <w:rPr>
          <w:rFonts w:ascii="Cambria" w:hAnsi="Cambria"/>
          <w:sz w:val="20"/>
          <w:szCs w:val="20"/>
          <w:lang w:val="es-ES"/>
        </w:rPr>
        <w:t xml:space="preserve"> </w:t>
      </w:r>
      <w:r>
        <w:rPr>
          <w:rFonts w:ascii="Cambria" w:hAnsi="Cambria"/>
          <w:sz w:val="20"/>
          <w:szCs w:val="20"/>
          <w:lang w:val="es-ES"/>
        </w:rPr>
        <w:t xml:space="preserve">concluyó </w:t>
      </w:r>
      <w:r w:rsidR="00CA1259">
        <w:rPr>
          <w:rFonts w:ascii="Cambria" w:hAnsi="Cambria"/>
          <w:sz w:val="20"/>
          <w:szCs w:val="20"/>
          <w:lang w:val="es-ES"/>
        </w:rPr>
        <w:t xml:space="preserve">en primer término </w:t>
      </w:r>
      <w:r>
        <w:rPr>
          <w:rFonts w:ascii="Cambria" w:hAnsi="Cambria"/>
          <w:sz w:val="20"/>
          <w:szCs w:val="20"/>
          <w:lang w:val="es-ES"/>
        </w:rPr>
        <w:t>que</w:t>
      </w:r>
      <w:r w:rsidR="00CA1259">
        <w:rPr>
          <w:rFonts w:ascii="Cambria" w:hAnsi="Cambria"/>
          <w:sz w:val="20"/>
          <w:szCs w:val="20"/>
          <w:lang w:val="es-ES"/>
        </w:rPr>
        <w:t>,</w:t>
      </w:r>
      <w:r>
        <w:rPr>
          <w:rFonts w:ascii="Cambria" w:hAnsi="Cambria"/>
          <w:sz w:val="20"/>
          <w:szCs w:val="20"/>
          <w:lang w:val="es-ES"/>
        </w:rPr>
        <w:t xml:space="preserve"> de acuerdo con los elementos disponibles en el expediente, las víctimas fueron objeto de una</w:t>
      </w:r>
      <w:r w:rsidR="00D15272" w:rsidRPr="00364A7D">
        <w:rPr>
          <w:rFonts w:ascii="Cambria" w:hAnsi="Cambria"/>
          <w:sz w:val="20"/>
          <w:szCs w:val="20"/>
          <w:lang w:val="es-ES"/>
        </w:rPr>
        <w:t xml:space="preserve"> desaparición forzada</w:t>
      </w:r>
      <w:r>
        <w:rPr>
          <w:rFonts w:ascii="Cambria" w:hAnsi="Cambria"/>
          <w:sz w:val="20"/>
          <w:szCs w:val="20"/>
          <w:lang w:val="es-ES"/>
        </w:rPr>
        <w:t>.</w:t>
      </w:r>
      <w:r w:rsidR="0096351F">
        <w:rPr>
          <w:rFonts w:ascii="Cambria" w:hAnsi="Cambria"/>
          <w:sz w:val="20"/>
          <w:szCs w:val="20"/>
          <w:lang w:val="es-ES"/>
        </w:rPr>
        <w:t xml:space="preserve"> </w:t>
      </w:r>
      <w:r w:rsidR="00CA1259">
        <w:rPr>
          <w:rFonts w:ascii="Cambria" w:hAnsi="Cambria"/>
          <w:sz w:val="20"/>
          <w:szCs w:val="20"/>
          <w:lang w:val="es-ES"/>
        </w:rPr>
        <w:t>En este sentido, l</w:t>
      </w:r>
      <w:r w:rsidR="0096351F">
        <w:rPr>
          <w:rFonts w:ascii="Cambria" w:hAnsi="Cambria"/>
          <w:sz w:val="20"/>
          <w:szCs w:val="20"/>
          <w:lang w:val="es-ES"/>
        </w:rPr>
        <w:t xml:space="preserve">a Comisión </w:t>
      </w:r>
      <w:r w:rsidR="00CA1259">
        <w:rPr>
          <w:rFonts w:ascii="Cambria" w:hAnsi="Cambria"/>
          <w:sz w:val="20"/>
          <w:szCs w:val="20"/>
          <w:lang w:val="es-ES"/>
        </w:rPr>
        <w:t xml:space="preserve">determinó </w:t>
      </w:r>
      <w:r w:rsidR="0096351F">
        <w:rPr>
          <w:rFonts w:ascii="Cambria" w:hAnsi="Cambria"/>
          <w:sz w:val="20"/>
          <w:szCs w:val="20"/>
          <w:lang w:val="es-ES"/>
        </w:rPr>
        <w:t xml:space="preserve">que las víctimas fueron </w:t>
      </w:r>
      <w:r w:rsidR="00CA1259">
        <w:rPr>
          <w:rFonts w:ascii="Cambria" w:hAnsi="Cambria"/>
          <w:sz w:val="20"/>
          <w:szCs w:val="20"/>
          <w:lang w:val="es-ES"/>
        </w:rPr>
        <w:t xml:space="preserve">privadas de su libertad </w:t>
      </w:r>
      <w:r w:rsidR="0096351F">
        <w:rPr>
          <w:rFonts w:ascii="Cambria" w:hAnsi="Cambria"/>
          <w:sz w:val="20"/>
          <w:szCs w:val="20"/>
          <w:lang w:val="es-ES"/>
        </w:rPr>
        <w:t>por agentes estatale</w:t>
      </w:r>
      <w:r w:rsidR="00CA1259">
        <w:rPr>
          <w:rFonts w:ascii="Cambria" w:hAnsi="Cambria"/>
          <w:sz w:val="20"/>
          <w:szCs w:val="20"/>
          <w:lang w:val="es-ES"/>
        </w:rPr>
        <w:t>s</w:t>
      </w:r>
      <w:r w:rsidR="0096351F">
        <w:rPr>
          <w:rFonts w:ascii="Cambria" w:hAnsi="Cambria"/>
          <w:sz w:val="20"/>
          <w:szCs w:val="20"/>
          <w:lang w:val="es-ES"/>
        </w:rPr>
        <w:t xml:space="preserve">, existiendo una negativa a informar sobre su paradero o destino. </w:t>
      </w:r>
      <w:r w:rsidR="00CA1259">
        <w:rPr>
          <w:rFonts w:ascii="Cambria" w:hAnsi="Cambria"/>
          <w:sz w:val="20"/>
          <w:szCs w:val="20"/>
          <w:lang w:val="es-ES"/>
        </w:rPr>
        <w:t>En particular</w:t>
      </w:r>
      <w:r w:rsidR="0096351F">
        <w:rPr>
          <w:rFonts w:ascii="Cambria" w:hAnsi="Cambria"/>
          <w:sz w:val="20"/>
          <w:szCs w:val="20"/>
          <w:lang w:val="es-ES"/>
        </w:rPr>
        <w:t xml:space="preserve">, la Comisión notó que a pesar de los </w:t>
      </w:r>
      <w:r w:rsidR="00CA1259">
        <w:rPr>
          <w:rFonts w:ascii="Cambria" w:hAnsi="Cambria"/>
          <w:sz w:val="20"/>
          <w:szCs w:val="20"/>
          <w:lang w:val="es-ES"/>
        </w:rPr>
        <w:t>e</w:t>
      </w:r>
      <w:r w:rsidR="0096351F">
        <w:rPr>
          <w:rFonts w:ascii="Cambria" w:hAnsi="Cambria"/>
          <w:sz w:val="20"/>
          <w:szCs w:val="20"/>
          <w:lang w:val="es-ES"/>
        </w:rPr>
        <w:t xml:space="preserve">sfuerzos </w:t>
      </w:r>
      <w:r w:rsidR="00CA1259">
        <w:rPr>
          <w:rFonts w:ascii="Cambria" w:hAnsi="Cambria"/>
          <w:sz w:val="20"/>
          <w:szCs w:val="20"/>
          <w:lang w:val="es-ES"/>
        </w:rPr>
        <w:t>emprendidos</w:t>
      </w:r>
      <w:r w:rsidR="0096351F">
        <w:rPr>
          <w:rFonts w:ascii="Cambria" w:hAnsi="Cambria"/>
          <w:sz w:val="20"/>
          <w:szCs w:val="20"/>
          <w:lang w:val="es-ES"/>
        </w:rPr>
        <w:t xml:space="preserve"> por los familiares de las víctimas en los días posteriores a los operativos militares del 1 y 7 de abril de 1989 la respuesta estatal no estuvo dirigida a determinar lo ocurrido y conocer el paradero de </w:t>
      </w:r>
      <w:r w:rsidR="0096351F" w:rsidRPr="008D6371">
        <w:rPr>
          <w:rFonts w:ascii="Cambria" w:hAnsi="Cambria"/>
          <w:sz w:val="20"/>
          <w:szCs w:val="20"/>
          <w:lang w:val="es-ES"/>
        </w:rPr>
        <w:t>los Sres. Macario Pu Chivalán, Luis Ruiz Luis, Agapito Pérez Lucas y Nicolás Mateo</w:t>
      </w:r>
      <w:r w:rsidR="0096351F">
        <w:rPr>
          <w:rFonts w:ascii="Cambria" w:hAnsi="Cambria"/>
          <w:sz w:val="20"/>
          <w:szCs w:val="20"/>
          <w:lang w:val="es-ES"/>
        </w:rPr>
        <w:t xml:space="preserve">. Pese a la presentación de dos recursos de exhibición personal presentados por el CERJ en los días 4 y 10 de abril de 1989, </w:t>
      </w:r>
      <w:r w:rsidR="00CA1259">
        <w:rPr>
          <w:rFonts w:ascii="Cambria" w:hAnsi="Cambria"/>
          <w:sz w:val="20"/>
          <w:szCs w:val="20"/>
          <w:lang w:val="es-ES"/>
        </w:rPr>
        <w:t>el Estado no presentó</w:t>
      </w:r>
      <w:r w:rsidR="0096351F" w:rsidRPr="008E166F">
        <w:rPr>
          <w:rFonts w:ascii="Cambria" w:hAnsi="Cambria"/>
          <w:sz w:val="20"/>
          <w:szCs w:val="20"/>
          <w:lang w:val="es-ES"/>
        </w:rPr>
        <w:t xml:space="preserve"> información respecto del trámite otorgado a dichos recursos como tampoco respecto de la realización de diligencias o investigaciones por parte de los órganos competentes del Estado a fin de </w:t>
      </w:r>
      <w:r w:rsidR="0096351F">
        <w:rPr>
          <w:rFonts w:ascii="Cambria" w:hAnsi="Cambria"/>
          <w:sz w:val="20"/>
          <w:szCs w:val="20"/>
          <w:lang w:val="es-ES"/>
        </w:rPr>
        <w:t xml:space="preserve">conocer el destino de las víctimas del caso.  </w:t>
      </w:r>
    </w:p>
    <w:p w14:paraId="2F7C8B66" w14:textId="77777777" w:rsidR="00E862DD" w:rsidRDefault="00E862DD" w:rsidP="00332F7A">
      <w:pPr>
        <w:pStyle w:val="NormalWeb"/>
        <w:tabs>
          <w:tab w:val="left" w:pos="720"/>
        </w:tabs>
        <w:spacing w:before="0" w:beforeAutospacing="0" w:after="0" w:afterAutospacing="0"/>
        <w:jc w:val="both"/>
        <w:rPr>
          <w:rFonts w:ascii="Cambria" w:hAnsi="Cambria"/>
          <w:sz w:val="20"/>
          <w:szCs w:val="20"/>
          <w:lang w:val="es-ES"/>
        </w:rPr>
      </w:pPr>
    </w:p>
    <w:p w14:paraId="57FC97B4" w14:textId="1EA586B2" w:rsidR="00963F5F" w:rsidRDefault="00CA1259" w:rsidP="00332F7A">
      <w:pPr>
        <w:pStyle w:val="NormalWeb"/>
        <w:tabs>
          <w:tab w:val="left" w:pos="720"/>
        </w:tabs>
        <w:spacing w:before="0" w:beforeAutospacing="0" w:after="0" w:afterAutospacing="0"/>
        <w:ind w:firstLine="720"/>
        <w:jc w:val="both"/>
        <w:rPr>
          <w:rFonts w:ascii="Cambria" w:hAnsi="Cambria"/>
          <w:sz w:val="20"/>
          <w:szCs w:val="20"/>
          <w:lang w:val="es-ES"/>
        </w:rPr>
      </w:pPr>
      <w:r>
        <w:rPr>
          <w:rFonts w:ascii="Cambria" w:hAnsi="Cambria"/>
          <w:sz w:val="20"/>
          <w:szCs w:val="20"/>
          <w:lang w:val="es-ES"/>
        </w:rPr>
        <w:t>En segundo término, en su informe de fondo, la</w:t>
      </w:r>
      <w:r w:rsidR="00F07570" w:rsidRPr="00661AA4">
        <w:rPr>
          <w:rFonts w:ascii="Cambria" w:hAnsi="Cambria"/>
          <w:sz w:val="20"/>
          <w:szCs w:val="20"/>
          <w:lang w:val="es-ES"/>
        </w:rPr>
        <w:t xml:space="preserve"> Comisión </w:t>
      </w:r>
      <w:r>
        <w:rPr>
          <w:rFonts w:ascii="Cambria" w:hAnsi="Cambria"/>
          <w:sz w:val="20"/>
          <w:szCs w:val="20"/>
          <w:lang w:val="es-ES"/>
        </w:rPr>
        <w:t xml:space="preserve">concluyó </w:t>
      </w:r>
      <w:r w:rsidR="00F07570" w:rsidRPr="00661AA4">
        <w:rPr>
          <w:rFonts w:ascii="Cambria" w:hAnsi="Cambria"/>
          <w:sz w:val="20"/>
          <w:szCs w:val="20"/>
          <w:lang w:val="es-ES"/>
        </w:rPr>
        <w:t xml:space="preserve">que la desaparición forzada de las víctimas se encontraba vinculada con la labor de defensa de los derechos humanos que ellas realizaban como miembros del Consejo de Comunidades Étnicas Runujel Junam (CERJ) y en particular, </w:t>
      </w:r>
      <w:r w:rsidR="00F07570">
        <w:rPr>
          <w:rFonts w:ascii="Cambria" w:hAnsi="Cambria"/>
          <w:sz w:val="20"/>
          <w:szCs w:val="20"/>
          <w:lang w:val="es-ES"/>
        </w:rPr>
        <w:t xml:space="preserve">las actividades que ellas realizaban </w:t>
      </w:r>
      <w:r w:rsidR="00F07570" w:rsidRPr="00661AA4">
        <w:rPr>
          <w:rFonts w:ascii="Cambria" w:hAnsi="Cambria"/>
          <w:sz w:val="20"/>
          <w:szCs w:val="20"/>
          <w:lang w:val="es-ES"/>
        </w:rPr>
        <w:t xml:space="preserve">en contra del reclutamiento forzado de campesinos por parte de las Patrullas de Autodefensas Civiles. </w:t>
      </w:r>
      <w:r w:rsidR="00F07570">
        <w:rPr>
          <w:rFonts w:ascii="Cambria" w:hAnsi="Cambria"/>
          <w:sz w:val="20"/>
          <w:szCs w:val="20"/>
          <w:lang w:val="es-ES"/>
        </w:rPr>
        <w:t>En consecuencia, la CIDH concluyó que el Estado de Guatemala resulta responsable por la violación del derecho a asociarse en defensa de los derechos humanos consagrado en el articulo 16.1 de la Convención Americana sobre Derechos Humanos.</w:t>
      </w:r>
    </w:p>
    <w:p w14:paraId="1054B174" w14:textId="77777777" w:rsidR="00963F5F" w:rsidRDefault="00963F5F" w:rsidP="00332F7A">
      <w:pPr>
        <w:pStyle w:val="NormalWeb"/>
        <w:tabs>
          <w:tab w:val="left" w:pos="720"/>
        </w:tabs>
        <w:spacing w:before="0" w:beforeAutospacing="0" w:after="0" w:afterAutospacing="0"/>
        <w:ind w:firstLine="1418"/>
        <w:jc w:val="both"/>
        <w:rPr>
          <w:rFonts w:ascii="Cambria" w:hAnsi="Cambria"/>
          <w:sz w:val="20"/>
          <w:szCs w:val="20"/>
          <w:lang w:val="es-ES"/>
        </w:rPr>
      </w:pPr>
    </w:p>
    <w:p w14:paraId="1C28798C" w14:textId="376451DE" w:rsidR="00963F5F" w:rsidRDefault="00CA1259" w:rsidP="00332F7A">
      <w:pPr>
        <w:pStyle w:val="NormalWeb"/>
        <w:tabs>
          <w:tab w:val="left" w:pos="720"/>
        </w:tabs>
        <w:spacing w:before="0" w:beforeAutospacing="0" w:after="0" w:afterAutospacing="0"/>
        <w:ind w:firstLine="720"/>
        <w:jc w:val="both"/>
        <w:rPr>
          <w:rFonts w:ascii="Cambria" w:hAnsi="Cambria"/>
          <w:sz w:val="20"/>
          <w:szCs w:val="20"/>
          <w:lang w:val="es-ES"/>
        </w:rPr>
      </w:pPr>
      <w:r>
        <w:rPr>
          <w:rFonts w:ascii="Cambria" w:hAnsi="Cambria"/>
          <w:sz w:val="20"/>
          <w:szCs w:val="20"/>
          <w:lang w:val="es-ES"/>
        </w:rPr>
        <w:t>En tercer lugar</w:t>
      </w:r>
      <w:r w:rsidR="00963F5F">
        <w:rPr>
          <w:rFonts w:ascii="Cambria" w:hAnsi="Cambria"/>
          <w:sz w:val="20"/>
          <w:szCs w:val="20"/>
          <w:lang w:val="es-ES"/>
        </w:rPr>
        <w:t xml:space="preserve">, </w:t>
      </w:r>
      <w:r>
        <w:rPr>
          <w:rFonts w:ascii="Cambria" w:hAnsi="Cambria"/>
          <w:sz w:val="20"/>
          <w:szCs w:val="20"/>
          <w:lang w:val="es-ES"/>
        </w:rPr>
        <w:t xml:space="preserve">la Comisión </w:t>
      </w:r>
      <w:r w:rsidR="00963F5F" w:rsidRPr="00364A7D">
        <w:rPr>
          <w:rFonts w:ascii="Cambria" w:hAnsi="Cambria"/>
          <w:sz w:val="20"/>
          <w:szCs w:val="20"/>
          <w:lang w:val="es-ES"/>
        </w:rPr>
        <w:t xml:space="preserve">consideró que </w:t>
      </w:r>
      <w:r>
        <w:rPr>
          <w:rFonts w:ascii="Cambria" w:hAnsi="Cambria"/>
          <w:sz w:val="20"/>
          <w:szCs w:val="20"/>
          <w:lang w:val="es-ES"/>
        </w:rPr>
        <w:t>el Estado no investigó los hechos de manera diligente</w:t>
      </w:r>
      <w:r w:rsidR="00CB7416">
        <w:rPr>
          <w:rFonts w:ascii="Cambria" w:hAnsi="Cambria"/>
          <w:sz w:val="20"/>
          <w:szCs w:val="20"/>
          <w:lang w:val="es-ES"/>
        </w:rPr>
        <w:t xml:space="preserve"> ni en un plazo razonable</w:t>
      </w:r>
      <w:r>
        <w:rPr>
          <w:rFonts w:ascii="Cambria" w:hAnsi="Cambria"/>
          <w:sz w:val="20"/>
          <w:szCs w:val="20"/>
          <w:lang w:val="es-ES"/>
        </w:rPr>
        <w:t>. En particular, n</w:t>
      </w:r>
      <w:r w:rsidR="00963F5F" w:rsidRPr="00364A7D">
        <w:rPr>
          <w:rFonts w:ascii="Cambria" w:hAnsi="Cambria"/>
          <w:sz w:val="20"/>
          <w:szCs w:val="20"/>
          <w:lang w:val="es-ES"/>
        </w:rPr>
        <w:t xml:space="preserve">o constan en el expediente, ni fueron informadas por el Estado de Guatemala, </w:t>
      </w:r>
      <w:r>
        <w:rPr>
          <w:rFonts w:ascii="Cambria" w:hAnsi="Cambria"/>
          <w:sz w:val="20"/>
          <w:szCs w:val="20"/>
          <w:lang w:val="es-ES"/>
        </w:rPr>
        <w:t>las</w:t>
      </w:r>
      <w:r w:rsidR="00963F5F">
        <w:rPr>
          <w:rFonts w:ascii="Cambria" w:hAnsi="Cambria"/>
          <w:sz w:val="20"/>
          <w:szCs w:val="20"/>
          <w:lang w:val="es-ES"/>
        </w:rPr>
        <w:t xml:space="preserve"> acciones </w:t>
      </w:r>
      <w:r>
        <w:rPr>
          <w:rFonts w:ascii="Cambria" w:hAnsi="Cambria"/>
          <w:sz w:val="20"/>
          <w:szCs w:val="20"/>
          <w:lang w:val="es-ES"/>
        </w:rPr>
        <w:t xml:space="preserve">que </w:t>
      </w:r>
      <w:r w:rsidR="00963F5F">
        <w:rPr>
          <w:rFonts w:ascii="Cambria" w:hAnsi="Cambria"/>
          <w:sz w:val="20"/>
          <w:szCs w:val="20"/>
          <w:lang w:val="es-ES"/>
        </w:rPr>
        <w:t>habrían sido adoptadas</w:t>
      </w:r>
      <w:r w:rsidR="00963F5F" w:rsidRPr="00364A7D">
        <w:rPr>
          <w:rFonts w:ascii="Cambria" w:hAnsi="Cambria"/>
          <w:sz w:val="20"/>
          <w:szCs w:val="20"/>
          <w:lang w:val="es-ES"/>
        </w:rPr>
        <w:t xml:space="preserve"> por las autoridades judiciales en los primeros días posteriores a la desaparición forzada de las víctimas. </w:t>
      </w:r>
      <w:r w:rsidR="00963F5F">
        <w:rPr>
          <w:rFonts w:ascii="Cambria" w:hAnsi="Cambria"/>
          <w:sz w:val="20"/>
          <w:szCs w:val="20"/>
          <w:lang w:val="es-ES"/>
        </w:rPr>
        <w:t>La Comisión</w:t>
      </w:r>
      <w:r w:rsidR="00963F5F" w:rsidRPr="00364A7D">
        <w:rPr>
          <w:rFonts w:ascii="Cambria" w:hAnsi="Cambria"/>
          <w:sz w:val="20"/>
          <w:szCs w:val="20"/>
          <w:lang w:val="es-ES"/>
        </w:rPr>
        <w:t xml:space="preserve"> </w:t>
      </w:r>
      <w:r>
        <w:rPr>
          <w:rFonts w:ascii="Cambria" w:hAnsi="Cambria"/>
          <w:sz w:val="20"/>
          <w:szCs w:val="20"/>
          <w:lang w:val="es-ES"/>
        </w:rPr>
        <w:t>observó asimismo</w:t>
      </w:r>
      <w:r w:rsidR="00963F5F" w:rsidRPr="00364A7D">
        <w:rPr>
          <w:rFonts w:ascii="Cambria" w:hAnsi="Cambria"/>
          <w:sz w:val="20"/>
          <w:szCs w:val="20"/>
          <w:lang w:val="es-ES"/>
        </w:rPr>
        <w:t xml:space="preserve"> que las actuaciones judiciales realizadas en el año 1989 a partir de la interposición de un recuso de exhibición personal por parte de </w:t>
      </w:r>
      <w:r w:rsidR="00963F5F">
        <w:rPr>
          <w:rFonts w:ascii="Cambria" w:hAnsi="Cambria"/>
          <w:sz w:val="20"/>
          <w:szCs w:val="20"/>
          <w:lang w:val="es-ES"/>
        </w:rPr>
        <w:t xml:space="preserve">los representantes de las </w:t>
      </w:r>
      <w:r w:rsidR="00963F5F" w:rsidRPr="00364A7D">
        <w:rPr>
          <w:rFonts w:ascii="Cambria" w:hAnsi="Cambria"/>
          <w:sz w:val="20"/>
          <w:szCs w:val="20"/>
          <w:lang w:val="es-ES"/>
        </w:rPr>
        <w:t>victimas se habrían perdido en un incendio que en el año 1993</w:t>
      </w:r>
      <w:r w:rsidR="00963F5F">
        <w:rPr>
          <w:rFonts w:ascii="Cambria" w:hAnsi="Cambria"/>
          <w:sz w:val="20"/>
          <w:szCs w:val="20"/>
          <w:lang w:val="es-ES"/>
        </w:rPr>
        <w:t xml:space="preserve"> </w:t>
      </w:r>
      <w:r w:rsidR="00963F5F" w:rsidRPr="00364A7D">
        <w:rPr>
          <w:rFonts w:ascii="Cambria" w:hAnsi="Cambria"/>
          <w:sz w:val="20"/>
          <w:szCs w:val="20"/>
          <w:lang w:val="es-ES"/>
        </w:rPr>
        <w:t>afect</w:t>
      </w:r>
      <w:r w:rsidR="00963F5F">
        <w:rPr>
          <w:rFonts w:ascii="Cambria" w:hAnsi="Cambria"/>
          <w:sz w:val="20"/>
          <w:szCs w:val="20"/>
          <w:lang w:val="es-ES"/>
        </w:rPr>
        <w:t>ó</w:t>
      </w:r>
      <w:r w:rsidR="00963F5F" w:rsidRPr="00364A7D">
        <w:rPr>
          <w:rFonts w:ascii="Cambria" w:hAnsi="Cambria"/>
          <w:sz w:val="20"/>
          <w:szCs w:val="20"/>
          <w:lang w:val="es-ES"/>
        </w:rPr>
        <w:t xml:space="preserve"> los archivos judiciales</w:t>
      </w:r>
      <w:r w:rsidR="00963F5F">
        <w:rPr>
          <w:rFonts w:ascii="Cambria" w:hAnsi="Cambria"/>
          <w:sz w:val="20"/>
          <w:szCs w:val="20"/>
          <w:lang w:val="es-ES"/>
        </w:rPr>
        <w:t>.</w:t>
      </w:r>
    </w:p>
    <w:p w14:paraId="4ADDCC0E" w14:textId="77777777" w:rsidR="00C91673" w:rsidRDefault="00C91673" w:rsidP="00332F7A">
      <w:pPr>
        <w:pStyle w:val="NormalWeb"/>
        <w:tabs>
          <w:tab w:val="left" w:pos="720"/>
        </w:tabs>
        <w:spacing w:before="0" w:beforeAutospacing="0" w:after="0" w:afterAutospacing="0"/>
        <w:ind w:firstLine="1418"/>
        <w:jc w:val="both"/>
        <w:rPr>
          <w:rFonts w:ascii="Cambria" w:hAnsi="Cambria"/>
          <w:sz w:val="20"/>
          <w:szCs w:val="20"/>
          <w:lang w:val="es-ES"/>
        </w:rPr>
      </w:pPr>
    </w:p>
    <w:p w14:paraId="3BFBD29A" w14:textId="2CC2DE7A" w:rsidR="00963F5F" w:rsidRDefault="00963F5F" w:rsidP="00C91673">
      <w:pPr>
        <w:pStyle w:val="NormalWeb"/>
        <w:tabs>
          <w:tab w:val="left" w:pos="720"/>
        </w:tabs>
        <w:spacing w:before="0" w:beforeAutospacing="0" w:after="0" w:afterAutospacing="0"/>
        <w:ind w:firstLine="720"/>
        <w:jc w:val="both"/>
        <w:rPr>
          <w:rFonts w:ascii="Cambria" w:hAnsi="Cambria"/>
          <w:sz w:val="20"/>
          <w:szCs w:val="20"/>
          <w:lang w:val="es-ES"/>
        </w:rPr>
      </w:pPr>
      <w:r w:rsidRPr="00364A7D">
        <w:rPr>
          <w:rFonts w:ascii="Cambria" w:hAnsi="Cambria"/>
          <w:sz w:val="20"/>
          <w:szCs w:val="20"/>
          <w:lang w:val="es-ES"/>
        </w:rPr>
        <w:t xml:space="preserve">Con respecto a </w:t>
      </w:r>
      <w:r w:rsidR="00CA1259">
        <w:rPr>
          <w:rFonts w:ascii="Cambria" w:hAnsi="Cambria"/>
          <w:sz w:val="20"/>
          <w:szCs w:val="20"/>
          <w:lang w:val="es-ES"/>
        </w:rPr>
        <w:t>una i</w:t>
      </w:r>
      <w:r w:rsidRPr="00364A7D">
        <w:rPr>
          <w:rFonts w:ascii="Cambria" w:hAnsi="Cambria"/>
          <w:sz w:val="20"/>
          <w:szCs w:val="20"/>
          <w:lang w:val="es-ES"/>
        </w:rPr>
        <w:t xml:space="preserve">nvestigación judicial iniciada en el año 2006 como consecuencia de la interposición de un nuevo recurso de exhibición personal por parte del CERJ, la Comisión verificó que dicha investigación debió́ comenzar </w:t>
      </w:r>
      <w:r w:rsidR="00CB7416">
        <w:rPr>
          <w:rFonts w:ascii="Cambria" w:hAnsi="Cambria"/>
          <w:sz w:val="20"/>
          <w:szCs w:val="20"/>
          <w:lang w:val="es-ES"/>
        </w:rPr>
        <w:t>desde un inicio</w:t>
      </w:r>
      <w:r w:rsidRPr="00364A7D">
        <w:rPr>
          <w:rFonts w:ascii="Cambria" w:hAnsi="Cambria"/>
          <w:sz w:val="20"/>
          <w:szCs w:val="20"/>
          <w:lang w:val="es-ES"/>
        </w:rPr>
        <w:t xml:space="preserve">, esto es, </w:t>
      </w:r>
      <w:r w:rsidR="00CB7416">
        <w:rPr>
          <w:rFonts w:ascii="Cambria" w:hAnsi="Cambria"/>
          <w:sz w:val="20"/>
          <w:szCs w:val="20"/>
          <w:lang w:val="es-ES"/>
        </w:rPr>
        <w:t>sin</w:t>
      </w:r>
      <w:r w:rsidRPr="00364A7D">
        <w:rPr>
          <w:rFonts w:ascii="Cambria" w:hAnsi="Cambria"/>
          <w:sz w:val="20"/>
          <w:szCs w:val="20"/>
          <w:lang w:val="es-ES"/>
        </w:rPr>
        <w:t xml:space="preserve"> </w:t>
      </w:r>
      <w:r w:rsidR="00CB7416">
        <w:rPr>
          <w:rFonts w:ascii="Cambria" w:hAnsi="Cambria"/>
          <w:sz w:val="20"/>
          <w:szCs w:val="20"/>
          <w:lang w:val="es-ES"/>
        </w:rPr>
        <w:t>actuaciones</w:t>
      </w:r>
      <w:r w:rsidRPr="00364A7D">
        <w:rPr>
          <w:rFonts w:ascii="Cambria" w:hAnsi="Cambria"/>
          <w:sz w:val="20"/>
          <w:szCs w:val="20"/>
          <w:lang w:val="es-ES"/>
        </w:rPr>
        <w:t xml:space="preserve"> o diligencia</w:t>
      </w:r>
      <w:r w:rsidR="00CB7416">
        <w:rPr>
          <w:rFonts w:ascii="Cambria" w:hAnsi="Cambria"/>
          <w:sz w:val="20"/>
          <w:szCs w:val="20"/>
          <w:lang w:val="es-ES"/>
        </w:rPr>
        <w:t>s</w:t>
      </w:r>
      <w:r w:rsidRPr="00364A7D">
        <w:rPr>
          <w:rFonts w:ascii="Cambria" w:hAnsi="Cambria"/>
          <w:sz w:val="20"/>
          <w:szCs w:val="20"/>
          <w:lang w:val="es-ES"/>
        </w:rPr>
        <w:t xml:space="preserve"> realizada en los primeros días posteriores a los hechos de abril de 1989 que pudieran ser de utilidad para esclarecer lo sucedido. </w:t>
      </w:r>
      <w:r w:rsidR="00CB7416">
        <w:rPr>
          <w:rFonts w:ascii="Cambria" w:hAnsi="Cambria"/>
          <w:sz w:val="20"/>
          <w:szCs w:val="20"/>
          <w:lang w:val="es-ES"/>
        </w:rPr>
        <w:t xml:space="preserve"> </w:t>
      </w:r>
      <w:r w:rsidRPr="00364A7D">
        <w:rPr>
          <w:rFonts w:ascii="Cambria" w:hAnsi="Cambria"/>
          <w:sz w:val="20"/>
          <w:szCs w:val="20"/>
          <w:lang w:val="es-ES"/>
        </w:rPr>
        <w:t xml:space="preserve">Asimismo, la </w:t>
      </w:r>
      <w:r w:rsidR="00CB7416">
        <w:rPr>
          <w:rFonts w:ascii="Cambria" w:hAnsi="Cambria"/>
          <w:sz w:val="20"/>
          <w:szCs w:val="20"/>
          <w:lang w:val="es-ES"/>
        </w:rPr>
        <w:t xml:space="preserve">Comisión notó que la </w:t>
      </w:r>
      <w:r w:rsidRPr="00364A7D">
        <w:rPr>
          <w:rFonts w:ascii="Cambria" w:hAnsi="Cambria"/>
          <w:sz w:val="20"/>
          <w:szCs w:val="20"/>
          <w:lang w:val="es-ES"/>
        </w:rPr>
        <w:t>oficina del Procurador de Derechos Humanos</w:t>
      </w:r>
      <w:r w:rsidR="00CB7416">
        <w:rPr>
          <w:rFonts w:ascii="Cambria" w:hAnsi="Cambria"/>
          <w:sz w:val="20"/>
          <w:szCs w:val="20"/>
          <w:lang w:val="es-ES"/>
        </w:rPr>
        <w:t xml:space="preserve"> que participó en la investigación</w:t>
      </w:r>
      <w:r w:rsidRPr="00364A7D">
        <w:rPr>
          <w:rFonts w:ascii="Cambria" w:hAnsi="Cambria"/>
          <w:sz w:val="20"/>
          <w:szCs w:val="20"/>
          <w:lang w:val="es-ES"/>
        </w:rPr>
        <w:t xml:space="preserve"> se encontró con numerosas dificultades a la hora de profundizar las hipótesis de investigación. Por ejemplo, el Ej</w:t>
      </w:r>
      <w:r>
        <w:rPr>
          <w:rFonts w:ascii="Cambria" w:hAnsi="Cambria"/>
          <w:sz w:val="20"/>
          <w:szCs w:val="20"/>
          <w:lang w:val="es-ES"/>
        </w:rPr>
        <w:t>é</w:t>
      </w:r>
      <w:r w:rsidRPr="00364A7D">
        <w:rPr>
          <w:rFonts w:ascii="Cambria" w:hAnsi="Cambria"/>
          <w:sz w:val="20"/>
          <w:szCs w:val="20"/>
          <w:lang w:val="es-ES"/>
        </w:rPr>
        <w:t>rcito de Guatemala y el Ministerio de Defensa han sido reticentes a la hora de responder las solicitudes de información cursadas por el Procurador, lo cual impidió que se pudieran conocer datos básicos de lo sucedido</w:t>
      </w:r>
      <w:r>
        <w:rPr>
          <w:rFonts w:ascii="Cambria" w:hAnsi="Cambria"/>
          <w:sz w:val="20"/>
          <w:szCs w:val="20"/>
          <w:lang w:val="es-ES"/>
        </w:rPr>
        <w:t>, tales</w:t>
      </w:r>
      <w:r w:rsidRPr="00364A7D">
        <w:rPr>
          <w:rFonts w:ascii="Cambria" w:hAnsi="Cambria"/>
          <w:sz w:val="20"/>
          <w:szCs w:val="20"/>
          <w:lang w:val="es-ES"/>
        </w:rPr>
        <w:t xml:space="preserve"> como el nombre de las unidades militares que operaban en la zona donde sucedieron los hechos y la nómina de oficiales responsables </w:t>
      </w:r>
      <w:r w:rsidRPr="00A87CFB">
        <w:rPr>
          <w:rFonts w:ascii="Cambria" w:hAnsi="Cambria"/>
          <w:sz w:val="20"/>
          <w:szCs w:val="20"/>
          <w:lang w:val="es-ES"/>
        </w:rPr>
        <w:t xml:space="preserve">de las mismas. </w:t>
      </w:r>
    </w:p>
    <w:p w14:paraId="46CB42A6" w14:textId="77777777" w:rsidR="00963F5F" w:rsidRDefault="00963F5F" w:rsidP="00332F7A">
      <w:pPr>
        <w:pStyle w:val="NormalWeb"/>
        <w:tabs>
          <w:tab w:val="left" w:pos="720"/>
        </w:tabs>
        <w:spacing w:before="0" w:beforeAutospacing="0" w:after="0" w:afterAutospacing="0"/>
        <w:ind w:firstLine="1418"/>
        <w:jc w:val="both"/>
        <w:rPr>
          <w:rFonts w:ascii="Cambria" w:hAnsi="Cambria"/>
          <w:sz w:val="20"/>
          <w:szCs w:val="20"/>
          <w:lang w:val="es-ES"/>
        </w:rPr>
      </w:pPr>
    </w:p>
    <w:p w14:paraId="7EC8B8F0" w14:textId="77777777" w:rsidR="00963F5F" w:rsidRDefault="00963F5F" w:rsidP="00C91673">
      <w:pPr>
        <w:pStyle w:val="NormalWeb"/>
        <w:tabs>
          <w:tab w:val="left" w:pos="720"/>
        </w:tabs>
        <w:spacing w:before="0" w:beforeAutospacing="0" w:after="0" w:afterAutospacing="0"/>
        <w:ind w:firstLine="720"/>
        <w:jc w:val="both"/>
        <w:rPr>
          <w:rFonts w:ascii="Cambria" w:hAnsi="Cambria"/>
          <w:sz w:val="20"/>
          <w:szCs w:val="20"/>
          <w:lang w:val="es-ES"/>
        </w:rPr>
      </w:pPr>
      <w:r w:rsidRPr="00A87CFB">
        <w:rPr>
          <w:rFonts w:ascii="Cambria" w:hAnsi="Cambria"/>
          <w:sz w:val="20"/>
          <w:szCs w:val="20"/>
          <w:lang w:val="es-ES"/>
        </w:rPr>
        <w:t>La Comisión destac</w:t>
      </w:r>
      <w:r>
        <w:rPr>
          <w:rFonts w:ascii="Cambria" w:hAnsi="Cambria"/>
          <w:sz w:val="20"/>
          <w:szCs w:val="20"/>
          <w:lang w:val="es-ES"/>
        </w:rPr>
        <w:t>ó</w:t>
      </w:r>
      <w:r w:rsidRPr="00A87CFB">
        <w:rPr>
          <w:rFonts w:ascii="Cambria" w:hAnsi="Cambria"/>
          <w:sz w:val="20"/>
          <w:szCs w:val="20"/>
          <w:lang w:val="es-ES"/>
        </w:rPr>
        <w:t xml:space="preserve"> que de la información existente en el expediente no consta que exista un plan o estrategia de investigación proactiva que, por ejemplo, </w:t>
      </w:r>
      <w:r>
        <w:rPr>
          <w:rFonts w:ascii="Cambria" w:hAnsi="Cambria"/>
          <w:sz w:val="20"/>
          <w:szCs w:val="20"/>
          <w:lang w:val="es-ES"/>
        </w:rPr>
        <w:t xml:space="preserve">emprenda </w:t>
      </w:r>
      <w:r w:rsidRPr="00A87CFB">
        <w:rPr>
          <w:rFonts w:ascii="Cambria" w:hAnsi="Cambria"/>
          <w:sz w:val="20"/>
          <w:szCs w:val="20"/>
          <w:lang w:val="es-ES"/>
        </w:rPr>
        <w:t xml:space="preserve">una búsqueda activa de posibles testigos del hecho, analice documentación que pueda existir en diversos archivos o explore las posibilidades que pueden brindar el campo de la antropología forense, por nombrar algunas disciplinas </w:t>
      </w:r>
    </w:p>
    <w:p w14:paraId="756BB8D5" w14:textId="77777777" w:rsidR="00963F5F" w:rsidRDefault="00963F5F" w:rsidP="00332F7A">
      <w:pPr>
        <w:pStyle w:val="NormalWeb"/>
        <w:tabs>
          <w:tab w:val="left" w:pos="720"/>
        </w:tabs>
        <w:spacing w:before="0" w:beforeAutospacing="0" w:after="0" w:afterAutospacing="0"/>
        <w:ind w:firstLine="1418"/>
        <w:jc w:val="both"/>
        <w:rPr>
          <w:rFonts w:ascii="Cambria" w:hAnsi="Cambria"/>
          <w:sz w:val="20"/>
          <w:szCs w:val="20"/>
          <w:lang w:val="es-ES"/>
        </w:rPr>
      </w:pPr>
    </w:p>
    <w:p w14:paraId="651BAF00" w14:textId="39B1DF13" w:rsidR="00CB7416" w:rsidRDefault="00CB7416" w:rsidP="00C91673">
      <w:pPr>
        <w:pStyle w:val="NormalWeb"/>
        <w:tabs>
          <w:tab w:val="left" w:pos="720"/>
        </w:tabs>
        <w:spacing w:before="0" w:beforeAutospacing="0" w:after="0" w:afterAutospacing="0"/>
        <w:ind w:firstLine="720"/>
        <w:jc w:val="both"/>
        <w:rPr>
          <w:rFonts w:ascii="Cambria" w:hAnsi="Cambria"/>
          <w:sz w:val="20"/>
          <w:szCs w:val="20"/>
          <w:lang w:val="es-ES"/>
        </w:rPr>
      </w:pPr>
      <w:r>
        <w:rPr>
          <w:rFonts w:ascii="Cambria" w:hAnsi="Cambria"/>
          <w:sz w:val="20"/>
          <w:szCs w:val="20"/>
          <w:lang w:val="es-ES"/>
        </w:rPr>
        <w:t>Además,</w:t>
      </w:r>
      <w:r w:rsidR="00963F5F" w:rsidRPr="00A87CFB">
        <w:rPr>
          <w:rFonts w:ascii="Cambria" w:hAnsi="Cambria"/>
          <w:sz w:val="20"/>
          <w:szCs w:val="20"/>
          <w:lang w:val="es-ES"/>
        </w:rPr>
        <w:t xml:space="preserve"> con respecto a la garantía del plazo razonable, la Comisión observ</w:t>
      </w:r>
      <w:r w:rsidR="00963F5F">
        <w:rPr>
          <w:rFonts w:ascii="Cambria" w:hAnsi="Cambria"/>
          <w:sz w:val="20"/>
          <w:szCs w:val="20"/>
          <w:lang w:val="es-ES"/>
        </w:rPr>
        <w:t>ó</w:t>
      </w:r>
      <w:r w:rsidR="00963F5F" w:rsidRPr="00A87CFB">
        <w:rPr>
          <w:rFonts w:ascii="Cambria" w:hAnsi="Cambria"/>
          <w:sz w:val="20"/>
          <w:szCs w:val="20"/>
          <w:lang w:val="es-ES"/>
        </w:rPr>
        <w:t xml:space="preserve"> que existieron per</w:t>
      </w:r>
      <w:r w:rsidR="00963F5F">
        <w:rPr>
          <w:rFonts w:ascii="Cambria" w:hAnsi="Cambria"/>
          <w:sz w:val="20"/>
          <w:szCs w:val="20"/>
          <w:lang w:val="es-ES"/>
        </w:rPr>
        <w:t>í</w:t>
      </w:r>
      <w:r w:rsidR="00963F5F" w:rsidRPr="00A87CFB">
        <w:rPr>
          <w:rFonts w:ascii="Cambria" w:hAnsi="Cambria"/>
          <w:sz w:val="20"/>
          <w:szCs w:val="20"/>
          <w:lang w:val="es-ES"/>
        </w:rPr>
        <w:t>odos de inactividad no justificados por el Estado, particularmente durante la década de los 90. Asimismo, destac</w:t>
      </w:r>
      <w:r w:rsidR="00963F5F">
        <w:rPr>
          <w:rFonts w:ascii="Cambria" w:hAnsi="Cambria"/>
          <w:sz w:val="20"/>
          <w:szCs w:val="20"/>
          <w:lang w:val="es-ES"/>
        </w:rPr>
        <w:t>ó</w:t>
      </w:r>
      <w:r w:rsidR="00963F5F" w:rsidRPr="00A87CFB">
        <w:rPr>
          <w:rFonts w:ascii="Cambria" w:hAnsi="Cambria"/>
          <w:sz w:val="20"/>
          <w:szCs w:val="20"/>
          <w:lang w:val="es-ES"/>
        </w:rPr>
        <w:t xml:space="preserve"> que la presente investigación fue iniciada en el año 2006 sin que hasta el momento se haya indicado a persona alguna como responsable de los hechos ni se haya esclarecido la suerte de las víctimas</w:t>
      </w:r>
      <w:r>
        <w:rPr>
          <w:rFonts w:ascii="Cambria" w:hAnsi="Cambria"/>
          <w:sz w:val="20"/>
          <w:szCs w:val="20"/>
          <w:lang w:val="es-ES"/>
        </w:rPr>
        <w:t>, no obstante los años que han transcurrido desde su de</w:t>
      </w:r>
      <w:r w:rsidR="005C4C2F">
        <w:rPr>
          <w:rFonts w:ascii="Cambria" w:hAnsi="Cambria"/>
          <w:sz w:val="20"/>
          <w:szCs w:val="20"/>
          <w:lang w:val="es-ES"/>
        </w:rPr>
        <w:t>s</w:t>
      </w:r>
      <w:r>
        <w:rPr>
          <w:rFonts w:ascii="Cambria" w:hAnsi="Cambria"/>
          <w:sz w:val="20"/>
          <w:szCs w:val="20"/>
          <w:lang w:val="es-ES"/>
        </w:rPr>
        <w:t>aparición</w:t>
      </w:r>
      <w:r w:rsidR="00963F5F" w:rsidRPr="00A87CFB">
        <w:rPr>
          <w:rFonts w:ascii="Cambria" w:hAnsi="Cambria"/>
          <w:sz w:val="20"/>
          <w:szCs w:val="20"/>
          <w:lang w:val="es-ES"/>
        </w:rPr>
        <w:t>.</w:t>
      </w:r>
    </w:p>
    <w:p w14:paraId="08C1B8C3" w14:textId="77777777" w:rsidR="003602F3" w:rsidRDefault="003602F3" w:rsidP="00332F7A">
      <w:pPr>
        <w:pStyle w:val="NormalWeb"/>
        <w:tabs>
          <w:tab w:val="left" w:pos="720"/>
        </w:tabs>
        <w:spacing w:before="0" w:beforeAutospacing="0" w:after="0" w:afterAutospacing="0"/>
        <w:jc w:val="both"/>
        <w:rPr>
          <w:rFonts w:ascii="Cambria" w:hAnsi="Cambria"/>
          <w:sz w:val="20"/>
          <w:szCs w:val="20"/>
          <w:lang w:val="es-ES"/>
        </w:rPr>
      </w:pPr>
    </w:p>
    <w:p w14:paraId="0AD9D793" w14:textId="77C7BAAF" w:rsidR="00395E5C" w:rsidRDefault="00963F5F" w:rsidP="00332F7A">
      <w:pPr>
        <w:pStyle w:val="NormalWeb"/>
        <w:tabs>
          <w:tab w:val="left" w:pos="720"/>
        </w:tabs>
        <w:spacing w:before="0" w:beforeAutospacing="0" w:after="0" w:afterAutospacing="0"/>
        <w:ind w:firstLine="720"/>
        <w:jc w:val="both"/>
        <w:rPr>
          <w:rFonts w:ascii="Cambria" w:hAnsi="Cambria"/>
          <w:sz w:val="20"/>
          <w:szCs w:val="20"/>
          <w:lang w:val="es-ES"/>
        </w:rPr>
      </w:pPr>
      <w:r w:rsidRPr="003602F3">
        <w:rPr>
          <w:rFonts w:ascii="Cambria" w:hAnsi="Cambria"/>
          <w:sz w:val="20"/>
          <w:szCs w:val="20"/>
          <w:lang w:val="es-ES"/>
        </w:rPr>
        <w:t>Finalmente, e</w:t>
      </w:r>
      <w:r w:rsidR="00CB7416">
        <w:rPr>
          <w:rFonts w:ascii="Cambria" w:hAnsi="Cambria"/>
          <w:sz w:val="20"/>
          <w:szCs w:val="20"/>
          <w:lang w:val="es-ES"/>
        </w:rPr>
        <w:t>n cuarto término, en su</w:t>
      </w:r>
      <w:r w:rsidRPr="003602F3">
        <w:rPr>
          <w:rFonts w:ascii="Cambria" w:hAnsi="Cambria"/>
          <w:sz w:val="20"/>
          <w:szCs w:val="20"/>
          <w:lang w:val="es-ES"/>
        </w:rPr>
        <w:t xml:space="preserve"> </w:t>
      </w:r>
      <w:r w:rsidR="00CB7416">
        <w:rPr>
          <w:rFonts w:ascii="Cambria" w:hAnsi="Cambria"/>
          <w:sz w:val="20"/>
          <w:szCs w:val="20"/>
          <w:lang w:val="es-ES"/>
        </w:rPr>
        <w:t>informe de fondo, la CIDH concluyó que</w:t>
      </w:r>
      <w:r w:rsidR="003602F3" w:rsidRPr="003602F3">
        <w:rPr>
          <w:rFonts w:ascii="Cambria" w:hAnsi="Cambria"/>
          <w:sz w:val="20"/>
          <w:szCs w:val="20"/>
          <w:lang w:val="es-ES"/>
        </w:rPr>
        <w:t xml:space="preserve"> </w:t>
      </w:r>
      <w:r w:rsidR="00CB7416">
        <w:rPr>
          <w:rFonts w:ascii="Cambria" w:hAnsi="Cambria"/>
          <w:sz w:val="20"/>
          <w:szCs w:val="20"/>
          <w:lang w:val="es-ES"/>
        </w:rPr>
        <w:t xml:space="preserve">los hechos antes relatados atribuibles al Estado, han </w:t>
      </w:r>
      <w:r w:rsidR="003602F3" w:rsidRPr="003602F3">
        <w:rPr>
          <w:rFonts w:ascii="Cambria" w:hAnsi="Cambria"/>
          <w:sz w:val="20"/>
          <w:szCs w:val="20"/>
          <w:lang w:val="es-ES"/>
        </w:rPr>
        <w:t>generado un</w:t>
      </w:r>
      <w:r w:rsidR="00CB7416">
        <w:rPr>
          <w:rFonts w:ascii="Cambria" w:hAnsi="Cambria"/>
          <w:sz w:val="20"/>
          <w:szCs w:val="20"/>
          <w:lang w:val="es-ES"/>
        </w:rPr>
        <w:t>a afectación al derecho a la integridad personal de los familiares. Lo anterior, como resultado del</w:t>
      </w:r>
      <w:r w:rsidR="003602F3" w:rsidRPr="003602F3">
        <w:rPr>
          <w:rFonts w:ascii="Cambria" w:hAnsi="Cambria"/>
          <w:sz w:val="20"/>
          <w:szCs w:val="20"/>
          <w:lang w:val="es-ES"/>
        </w:rPr>
        <w:t xml:space="preserve"> profundo sentimiento de dolor, angustia e incertidumbre en sus familiares, quienes han recurrido a diversas autoridades y han emprendido múltiples acciones judiciales y extrajudiciales de búsqueda que han resultado infructuosas; sentimientos que se han profundizado por la falta de una investigación efectiva y diligente</w:t>
      </w:r>
      <w:r w:rsidR="00CB7416">
        <w:rPr>
          <w:rFonts w:ascii="Cambria" w:hAnsi="Cambria"/>
          <w:sz w:val="20"/>
          <w:szCs w:val="20"/>
          <w:lang w:val="es-ES"/>
        </w:rPr>
        <w:t xml:space="preserve">. </w:t>
      </w:r>
      <w:r w:rsidR="003602F3" w:rsidRPr="003602F3">
        <w:rPr>
          <w:rFonts w:ascii="Cambria" w:hAnsi="Cambria"/>
          <w:sz w:val="20"/>
          <w:szCs w:val="20"/>
          <w:lang w:val="es-ES"/>
        </w:rPr>
        <w:t xml:space="preserve"> </w:t>
      </w:r>
    </w:p>
    <w:p w14:paraId="3A732594" w14:textId="470914F5" w:rsidR="00CB7416" w:rsidRDefault="00CB7416" w:rsidP="00332F7A">
      <w:pPr>
        <w:pStyle w:val="NormalWeb"/>
        <w:tabs>
          <w:tab w:val="left" w:pos="720"/>
        </w:tabs>
        <w:spacing w:before="0" w:beforeAutospacing="0" w:after="0" w:afterAutospacing="0"/>
        <w:ind w:firstLine="1418"/>
        <w:jc w:val="both"/>
        <w:rPr>
          <w:rFonts w:ascii="Cambria" w:hAnsi="Cambria"/>
          <w:sz w:val="20"/>
          <w:szCs w:val="20"/>
          <w:lang w:val="es-ES"/>
        </w:rPr>
      </w:pPr>
    </w:p>
    <w:p w14:paraId="4275DB70" w14:textId="77777777" w:rsidR="00C91673" w:rsidRDefault="00C91673" w:rsidP="00332F7A">
      <w:pPr>
        <w:pStyle w:val="NormalWeb"/>
        <w:tabs>
          <w:tab w:val="left" w:pos="720"/>
        </w:tabs>
        <w:spacing w:before="0" w:beforeAutospacing="0" w:after="0" w:afterAutospacing="0"/>
        <w:ind w:firstLine="1418"/>
        <w:jc w:val="both"/>
        <w:rPr>
          <w:rFonts w:ascii="Cambria" w:hAnsi="Cambria"/>
          <w:sz w:val="20"/>
          <w:szCs w:val="20"/>
          <w:lang w:val="es-ES"/>
        </w:rPr>
      </w:pPr>
    </w:p>
    <w:p w14:paraId="3BCA01BE" w14:textId="2169945B" w:rsidR="00CB7416" w:rsidRDefault="00CB7416" w:rsidP="00C91673">
      <w:pPr>
        <w:pStyle w:val="NormalWeb"/>
        <w:tabs>
          <w:tab w:val="left" w:pos="720"/>
        </w:tabs>
        <w:spacing w:before="0" w:beforeAutospacing="0" w:after="0" w:afterAutospacing="0"/>
        <w:ind w:firstLine="720"/>
        <w:jc w:val="both"/>
        <w:rPr>
          <w:rFonts w:ascii="Cambria" w:hAnsi="Cambria"/>
          <w:sz w:val="20"/>
          <w:szCs w:val="20"/>
          <w:lang w:val="es-ES"/>
        </w:rPr>
      </w:pPr>
      <w:r>
        <w:rPr>
          <w:rFonts w:ascii="Cambria" w:hAnsi="Cambria"/>
          <w:sz w:val="20"/>
          <w:szCs w:val="20"/>
          <w:lang w:val="es-ES"/>
        </w:rPr>
        <w:t>En virtud de todo lo expuesto, la CIDH</w:t>
      </w:r>
      <w:r w:rsidRPr="00EB6FFE">
        <w:rPr>
          <w:rFonts w:ascii="Cambria" w:hAnsi="Cambria"/>
          <w:sz w:val="20"/>
          <w:szCs w:val="20"/>
          <w:lang w:val="es-ES"/>
        </w:rPr>
        <w:t xml:space="preserve"> concluy</w:t>
      </w:r>
      <w:r>
        <w:rPr>
          <w:rFonts w:ascii="Cambria" w:hAnsi="Cambria"/>
          <w:sz w:val="20"/>
          <w:szCs w:val="20"/>
          <w:lang w:val="es-ES"/>
        </w:rPr>
        <w:t>ó en su informe de fondo que</w:t>
      </w:r>
      <w:r w:rsidRPr="00EB6FFE">
        <w:rPr>
          <w:rFonts w:ascii="Cambria" w:hAnsi="Cambria"/>
          <w:sz w:val="20"/>
          <w:szCs w:val="20"/>
          <w:lang w:val="es-ES"/>
        </w:rPr>
        <w:t xml:space="preserve"> el Estado de Guatemala es responsable por la violación de los derechos a la personalidad jurídica, a la vida, a la integridad personal, a la libertad personal, a la libertad de asociación en defensa de los derechos humanos, a las garantías judiciales y a la protección judicial. Todo lo anterior, conforme a lo establecido en los artículos 3, 4.1, 5.1, 7.1, 16.1, 8.1 y 25.1 de la Convención Americana en relación con el artículo 1.1 del mismo instrumento. Asimismo, la CIDH concluye que el Estado resulta responsable por el incumplimiento de las obligaciones consagradas en los artículos I a) y b) de la Convención Interamericana sobre Desaparición Forzada de Personas a partir del 25 de febrero de 2000, fecha de dep</w:t>
      </w:r>
      <w:r>
        <w:rPr>
          <w:rFonts w:ascii="Cambria" w:hAnsi="Cambria"/>
          <w:sz w:val="20"/>
          <w:szCs w:val="20"/>
          <w:lang w:val="es-ES"/>
        </w:rPr>
        <w:t>ó</w:t>
      </w:r>
      <w:r w:rsidRPr="00EB6FFE">
        <w:rPr>
          <w:rFonts w:ascii="Cambria" w:hAnsi="Cambria"/>
          <w:sz w:val="20"/>
          <w:szCs w:val="20"/>
          <w:lang w:val="es-ES"/>
        </w:rPr>
        <w:t>sito de dicho instrumento por parte del Estado de Guatemala</w:t>
      </w:r>
      <w:r>
        <w:rPr>
          <w:rFonts w:ascii="Cambria" w:hAnsi="Cambria"/>
          <w:sz w:val="20"/>
          <w:szCs w:val="20"/>
          <w:lang w:val="es-ES"/>
        </w:rPr>
        <w:t xml:space="preserve">. </w:t>
      </w:r>
    </w:p>
    <w:p w14:paraId="622FE7DC" w14:textId="77777777" w:rsidR="003602F3" w:rsidRDefault="003602F3" w:rsidP="00332F7A">
      <w:pPr>
        <w:pStyle w:val="NormalWeb"/>
        <w:tabs>
          <w:tab w:val="left" w:pos="720"/>
        </w:tabs>
        <w:spacing w:before="0" w:beforeAutospacing="0" w:after="0" w:afterAutospacing="0"/>
        <w:jc w:val="both"/>
        <w:rPr>
          <w:rFonts w:ascii="Cambria" w:hAnsi="Cambria"/>
          <w:sz w:val="20"/>
          <w:szCs w:val="20"/>
          <w:lang w:val="es-ES"/>
        </w:rPr>
      </w:pPr>
    </w:p>
    <w:p w14:paraId="62DECB5F" w14:textId="77777777" w:rsidR="00395E5C" w:rsidRPr="00395E5C" w:rsidRDefault="00395E5C" w:rsidP="00C91673">
      <w:pPr>
        <w:tabs>
          <w:tab w:val="left" w:pos="720"/>
        </w:tabs>
        <w:ind w:firstLine="720"/>
        <w:jc w:val="both"/>
        <w:rPr>
          <w:rFonts w:ascii="Cambria" w:hAnsi="Cambria"/>
          <w:sz w:val="20"/>
          <w:szCs w:val="20"/>
          <w:lang w:val="es-ES"/>
        </w:rPr>
      </w:pPr>
      <w:r w:rsidRPr="00395E5C">
        <w:rPr>
          <w:rFonts w:ascii="Cambria" w:hAnsi="Cambria"/>
          <w:sz w:val="20"/>
          <w:szCs w:val="20"/>
          <w:lang w:val="es-ES"/>
        </w:rPr>
        <w:t xml:space="preserve">El Estado de Guatemala depositó su instrumento de ratificación de la Convención Americana el 25 de mayo de 1978 y aceptó la jurisdicción contenciosa de la Corte el 9 de marzo de 1987. Además, depositó el instrumento de ratificación de la Convención Interamericana sobre Desaparición Forzada de Personas el 25 de febrero de 2000. </w:t>
      </w:r>
    </w:p>
    <w:p w14:paraId="182CDD4C" w14:textId="77777777" w:rsidR="00395E5C" w:rsidRPr="00395E5C" w:rsidRDefault="00395E5C" w:rsidP="00332F7A">
      <w:pPr>
        <w:tabs>
          <w:tab w:val="left" w:pos="720"/>
        </w:tabs>
        <w:jc w:val="both"/>
        <w:rPr>
          <w:rFonts w:ascii="Cambria" w:hAnsi="Cambria"/>
          <w:sz w:val="20"/>
          <w:szCs w:val="20"/>
          <w:lang w:val="es-ES"/>
        </w:rPr>
      </w:pPr>
    </w:p>
    <w:p w14:paraId="0C3261A9" w14:textId="4B39EE19" w:rsidR="00395E5C" w:rsidRDefault="00395E5C" w:rsidP="00C91673">
      <w:pPr>
        <w:tabs>
          <w:tab w:val="left" w:pos="720"/>
        </w:tabs>
        <w:ind w:firstLine="720"/>
        <w:jc w:val="both"/>
        <w:rPr>
          <w:rFonts w:ascii="Cambria" w:hAnsi="Cambria"/>
          <w:sz w:val="20"/>
          <w:szCs w:val="20"/>
          <w:lang w:val="es-ES"/>
        </w:rPr>
      </w:pPr>
      <w:r w:rsidRPr="00395E5C">
        <w:rPr>
          <w:rFonts w:ascii="Cambria" w:hAnsi="Cambria"/>
          <w:sz w:val="20"/>
          <w:szCs w:val="20"/>
          <w:lang w:val="es-ES"/>
        </w:rPr>
        <w:t>La Comisión ha designado a la Comisionada Esmeralda Arosemena de Troitiño, relatora de país para Guatemala y a la Secretaria Ejecutiva Tania Reneaum Panszi como sus delegadas. Asimismo, Jorge Humberto Meza Flores, Secretario Ejecutivo Adjunto e Ignacio Bollier especialista de la Secretaría Ejecutiva de la CIDH, actuarán como asesores legales.</w:t>
      </w:r>
    </w:p>
    <w:p w14:paraId="03D95AF4" w14:textId="77777777" w:rsidR="00BD64A7" w:rsidRPr="00395E5C" w:rsidRDefault="00BD64A7" w:rsidP="00332F7A">
      <w:pPr>
        <w:tabs>
          <w:tab w:val="left" w:pos="720"/>
        </w:tabs>
        <w:ind w:firstLine="1418"/>
        <w:jc w:val="both"/>
        <w:rPr>
          <w:rFonts w:ascii="Cambria" w:hAnsi="Cambria"/>
          <w:sz w:val="20"/>
          <w:szCs w:val="20"/>
          <w:lang w:val="es-ES"/>
        </w:rPr>
      </w:pPr>
    </w:p>
    <w:p w14:paraId="4482EBDA" w14:textId="77777777" w:rsidR="00BD64A7" w:rsidRDefault="00E036A3" w:rsidP="00C91673">
      <w:pPr>
        <w:pStyle w:val="NormalWeb"/>
        <w:tabs>
          <w:tab w:val="left" w:pos="720"/>
        </w:tabs>
        <w:spacing w:before="0" w:beforeAutospacing="0" w:after="0" w:afterAutospacing="0"/>
        <w:ind w:firstLine="720"/>
        <w:jc w:val="both"/>
        <w:rPr>
          <w:rFonts w:ascii="Cambria" w:hAnsi="Cambria"/>
          <w:sz w:val="20"/>
          <w:szCs w:val="20"/>
          <w:lang w:val="es-ES"/>
        </w:rPr>
      </w:pPr>
      <w:r w:rsidRPr="00E036A3">
        <w:rPr>
          <w:rFonts w:ascii="Cambria" w:hAnsi="Cambria"/>
          <w:sz w:val="20"/>
          <w:szCs w:val="20"/>
          <w:lang w:val="es-ES"/>
        </w:rPr>
        <w:t>De conformidad con el artículo 35 del Reglamento de la Corte Interamericana, la Comisión adjunta copia del Informe de Fondo N</w:t>
      </w:r>
      <w:r w:rsidR="000608E8">
        <w:rPr>
          <w:rFonts w:ascii="Cambria" w:hAnsi="Cambria"/>
          <w:sz w:val="20"/>
          <w:szCs w:val="20"/>
          <w:lang w:val="es-ES"/>
        </w:rPr>
        <w:t>r</w:t>
      </w:r>
      <w:r w:rsidRPr="00E036A3">
        <w:rPr>
          <w:rFonts w:ascii="Cambria" w:hAnsi="Cambria"/>
          <w:sz w:val="20"/>
          <w:szCs w:val="20"/>
          <w:lang w:val="es-ES"/>
        </w:rPr>
        <w:t xml:space="preserve">o. 386/21 elaborado en observancia del articulo 50 de la Convención, así́ como copia de la totalidad del expediente ante la Comisión Interamericana (Apéndice I) y los anexos utilizados en la elaboración del informe 386/21 (Anexos). </w:t>
      </w:r>
    </w:p>
    <w:p w14:paraId="6D9EE049" w14:textId="77777777" w:rsidR="00BD64A7" w:rsidRDefault="00BD64A7" w:rsidP="00332F7A">
      <w:pPr>
        <w:pStyle w:val="NormalWeb"/>
        <w:tabs>
          <w:tab w:val="left" w:pos="720"/>
        </w:tabs>
        <w:spacing w:before="0" w:beforeAutospacing="0" w:after="0" w:afterAutospacing="0"/>
        <w:ind w:firstLine="1418"/>
        <w:jc w:val="both"/>
        <w:rPr>
          <w:lang w:val="es-ES"/>
        </w:rPr>
      </w:pPr>
    </w:p>
    <w:p w14:paraId="1F021FAD" w14:textId="0A3BC817" w:rsidR="00E036A3" w:rsidRPr="0083039E" w:rsidRDefault="00E036A3" w:rsidP="00C91673">
      <w:pPr>
        <w:pStyle w:val="NormalWeb"/>
        <w:tabs>
          <w:tab w:val="left" w:pos="720"/>
        </w:tabs>
        <w:spacing w:before="0" w:beforeAutospacing="0" w:after="0" w:afterAutospacing="0"/>
        <w:ind w:firstLine="720"/>
        <w:jc w:val="both"/>
        <w:rPr>
          <w:rFonts w:ascii="Cambria" w:hAnsi="Cambria"/>
          <w:sz w:val="20"/>
          <w:szCs w:val="20"/>
          <w:lang w:val="es-ES"/>
        </w:rPr>
      </w:pPr>
      <w:r w:rsidRPr="003602F3">
        <w:rPr>
          <w:rFonts w:ascii="Cambria" w:hAnsi="Cambria"/>
          <w:sz w:val="20"/>
          <w:szCs w:val="20"/>
          <w:lang w:val="es-ES"/>
        </w:rPr>
        <w:t xml:space="preserve">Dicho Informe de Fondo fue notificado al Estado el </w:t>
      </w:r>
      <w:r w:rsidR="003602F3" w:rsidRPr="003602F3">
        <w:rPr>
          <w:rFonts w:ascii="Cambria" w:hAnsi="Cambria"/>
          <w:sz w:val="20"/>
          <w:szCs w:val="20"/>
          <w:lang w:val="es-ES"/>
        </w:rPr>
        <w:t>día</w:t>
      </w:r>
      <w:r w:rsidRPr="003602F3">
        <w:rPr>
          <w:rFonts w:ascii="Cambria" w:hAnsi="Cambria"/>
          <w:sz w:val="20"/>
          <w:szCs w:val="20"/>
          <w:lang w:val="es-ES"/>
        </w:rPr>
        <w:t xml:space="preserve"> </w:t>
      </w:r>
      <w:r w:rsidR="003602F3" w:rsidRPr="003602F3">
        <w:rPr>
          <w:rFonts w:ascii="Cambria" w:hAnsi="Cambria"/>
          <w:sz w:val="20"/>
          <w:szCs w:val="20"/>
          <w:lang w:val="es-ES"/>
        </w:rPr>
        <w:t xml:space="preserve">26 de enero de 2022 </w:t>
      </w:r>
      <w:r w:rsidR="00BD64A7" w:rsidRPr="003602F3">
        <w:rPr>
          <w:rFonts w:ascii="Cambria" w:hAnsi="Cambria"/>
          <w:sz w:val="20"/>
          <w:szCs w:val="20"/>
          <w:lang w:val="es-ES"/>
        </w:rPr>
        <w:t>otorgándole</w:t>
      </w:r>
      <w:r w:rsidRPr="003602F3">
        <w:rPr>
          <w:rFonts w:ascii="Cambria" w:hAnsi="Cambria"/>
          <w:sz w:val="20"/>
          <w:szCs w:val="20"/>
          <w:lang w:val="es-ES"/>
        </w:rPr>
        <w:t xml:space="preserve"> un plazo de dos meses para informar sobre el cumplimiento de las recomendaciones. Con posterioridad al vencimiento de dicho plazo, la </w:t>
      </w:r>
      <w:r w:rsidR="00BD64A7" w:rsidRPr="003602F3">
        <w:rPr>
          <w:rFonts w:ascii="Cambria" w:hAnsi="Cambria"/>
          <w:sz w:val="20"/>
          <w:szCs w:val="20"/>
          <w:lang w:val="es-ES"/>
        </w:rPr>
        <w:t>Comisión</w:t>
      </w:r>
      <w:r w:rsidRPr="003602F3">
        <w:rPr>
          <w:rFonts w:ascii="Cambria" w:hAnsi="Cambria"/>
          <w:sz w:val="20"/>
          <w:szCs w:val="20"/>
          <w:lang w:val="es-ES"/>
        </w:rPr>
        <w:t xml:space="preserve"> </w:t>
      </w:r>
      <w:r w:rsidR="002922F2">
        <w:rPr>
          <w:rFonts w:ascii="Cambria" w:hAnsi="Cambria"/>
          <w:sz w:val="20"/>
          <w:szCs w:val="20"/>
          <w:lang w:val="es-ES"/>
        </w:rPr>
        <w:t>otorgó al Estado dos prórrogas para cumplir con las recomendaciones del informe de fondo. Durante dicho periodo la CIDH remitió una nota técnica y celebró una reunió</w:t>
      </w:r>
      <w:r w:rsidR="00332F7A">
        <w:rPr>
          <w:rFonts w:ascii="Cambria" w:hAnsi="Cambria"/>
          <w:sz w:val="20"/>
          <w:szCs w:val="20"/>
          <w:lang w:val="es-ES"/>
        </w:rPr>
        <w:t>n</w:t>
      </w:r>
      <w:r w:rsidR="002922F2">
        <w:rPr>
          <w:rFonts w:ascii="Cambria" w:hAnsi="Cambria"/>
          <w:sz w:val="20"/>
          <w:szCs w:val="20"/>
          <w:lang w:val="es-ES"/>
        </w:rPr>
        <w:t xml:space="preserve"> de trabajo para favorecer el diálogo entre las partes. Transcurrido dicho plazo, la Comisión notó que pese a la voluntad expresada por el Estado de Guatemala para cumplir con las recomendaciones, no existían avances sustantivos </w:t>
      </w:r>
      <w:r w:rsidR="00332F7A">
        <w:rPr>
          <w:rFonts w:ascii="Cambria" w:hAnsi="Cambria"/>
          <w:sz w:val="20"/>
          <w:szCs w:val="20"/>
          <w:lang w:val="es-ES"/>
        </w:rPr>
        <w:t xml:space="preserve">en </w:t>
      </w:r>
      <w:r w:rsidR="002922F2">
        <w:rPr>
          <w:rFonts w:ascii="Cambria" w:hAnsi="Cambria"/>
          <w:sz w:val="20"/>
          <w:szCs w:val="20"/>
          <w:lang w:val="es-ES"/>
        </w:rPr>
        <w:t>su</w:t>
      </w:r>
      <w:r w:rsidR="0083039E" w:rsidRPr="0083039E">
        <w:rPr>
          <w:rFonts w:ascii="Cambria" w:eastAsia="Cambria" w:hAnsi="Cambria" w:cs="Cambria"/>
          <w:sz w:val="20"/>
          <w:szCs w:val="20"/>
          <w:lang w:val="es-ES"/>
        </w:rPr>
        <w:t xml:space="preserve"> cumplimiento</w:t>
      </w:r>
      <w:r w:rsidR="002922F2">
        <w:rPr>
          <w:rFonts w:ascii="Cambria" w:eastAsia="Cambria" w:hAnsi="Cambria" w:cs="Cambria"/>
          <w:sz w:val="20"/>
          <w:szCs w:val="20"/>
          <w:lang w:val="es-ES"/>
        </w:rPr>
        <w:t xml:space="preserve">, tratando asimismo </w:t>
      </w:r>
      <w:r w:rsidR="00860D72">
        <w:rPr>
          <w:rFonts w:ascii="Cambria" w:eastAsia="Cambria" w:hAnsi="Cambria" w:cs="Cambria"/>
          <w:sz w:val="20"/>
          <w:szCs w:val="20"/>
          <w:lang w:val="es-ES"/>
        </w:rPr>
        <w:t>el presente caso respecto de la desaparición forzada de personas, la cual tiene un carácter continu</w:t>
      </w:r>
      <w:r w:rsidR="00332F7A">
        <w:rPr>
          <w:rFonts w:ascii="Cambria" w:eastAsia="Cambria" w:hAnsi="Cambria" w:cs="Cambria"/>
          <w:sz w:val="20"/>
          <w:szCs w:val="20"/>
          <w:lang w:val="es-ES"/>
        </w:rPr>
        <w:t>ado</w:t>
      </w:r>
      <w:r w:rsidR="00860D72">
        <w:rPr>
          <w:rFonts w:ascii="Cambria" w:eastAsia="Cambria" w:hAnsi="Cambria" w:cs="Cambria"/>
          <w:sz w:val="20"/>
          <w:szCs w:val="20"/>
          <w:lang w:val="es-ES"/>
        </w:rPr>
        <w:t xml:space="preserve"> en las afectaciones a los derechos de las víctimas. En consecuencia, ante la necesidad de </w:t>
      </w:r>
      <w:r w:rsidR="0083039E" w:rsidRPr="0083039E">
        <w:rPr>
          <w:rFonts w:ascii="Cambria" w:eastAsia="Cambria" w:hAnsi="Cambria" w:cs="Cambria"/>
          <w:sz w:val="20"/>
          <w:szCs w:val="20"/>
          <w:lang w:val="es-ES"/>
        </w:rPr>
        <w:t xml:space="preserve">obtención de justicia y reparación </w:t>
      </w:r>
      <w:r w:rsidR="00860D72">
        <w:rPr>
          <w:rFonts w:ascii="Cambria" w:eastAsia="Cambria" w:hAnsi="Cambria" w:cs="Cambria"/>
          <w:sz w:val="20"/>
          <w:szCs w:val="20"/>
          <w:lang w:val="es-ES"/>
        </w:rPr>
        <w:t>a las víctimas</w:t>
      </w:r>
      <w:r w:rsidR="0083039E" w:rsidRPr="0083039E">
        <w:rPr>
          <w:rFonts w:ascii="Cambria" w:eastAsia="Cambria" w:hAnsi="Cambria" w:cs="Cambria"/>
          <w:sz w:val="20"/>
          <w:szCs w:val="20"/>
          <w:lang w:val="es-ES"/>
        </w:rPr>
        <w:t xml:space="preserve">, la Comisión decidió </w:t>
      </w:r>
      <w:r w:rsidR="00860D72">
        <w:rPr>
          <w:rFonts w:ascii="Cambria" w:eastAsia="Cambria" w:hAnsi="Cambria" w:cs="Cambria"/>
          <w:sz w:val="20"/>
          <w:szCs w:val="20"/>
          <w:lang w:val="es-ES"/>
        </w:rPr>
        <w:t>remitir el caso</w:t>
      </w:r>
      <w:r w:rsidR="0083039E" w:rsidRPr="0083039E">
        <w:rPr>
          <w:rFonts w:ascii="Cambria" w:eastAsia="Cambria" w:hAnsi="Cambria" w:cs="Cambria"/>
          <w:sz w:val="20"/>
          <w:szCs w:val="20"/>
          <w:lang w:val="es-ES"/>
        </w:rPr>
        <w:t xml:space="preserve"> a la jurisdicción de esta Honorable Corte. </w:t>
      </w:r>
    </w:p>
    <w:p w14:paraId="2F85F42F" w14:textId="77777777" w:rsidR="00BD64A7" w:rsidRPr="00C66C84" w:rsidRDefault="00BD64A7" w:rsidP="00332F7A">
      <w:pPr>
        <w:tabs>
          <w:tab w:val="left" w:pos="720"/>
        </w:tabs>
        <w:rPr>
          <w:lang w:val="es-US"/>
        </w:rPr>
      </w:pPr>
    </w:p>
    <w:p w14:paraId="40F57BBA" w14:textId="77777777" w:rsidR="00BD64A7" w:rsidRDefault="00BD64A7" w:rsidP="00C91673">
      <w:pPr>
        <w:pStyle w:val="NormalWeb"/>
        <w:tabs>
          <w:tab w:val="left" w:pos="720"/>
        </w:tabs>
        <w:spacing w:before="0" w:beforeAutospacing="0" w:after="0" w:afterAutospacing="0"/>
        <w:ind w:firstLine="720"/>
        <w:jc w:val="both"/>
        <w:rPr>
          <w:rFonts w:ascii="Cambria" w:hAnsi="Cambria"/>
          <w:sz w:val="20"/>
          <w:szCs w:val="20"/>
          <w:lang w:val="es-ES"/>
        </w:rPr>
      </w:pPr>
      <w:r w:rsidRPr="00EB6FFE">
        <w:rPr>
          <w:rFonts w:ascii="Cambria" w:hAnsi="Cambria"/>
          <w:sz w:val="20"/>
          <w:szCs w:val="20"/>
          <w:lang w:val="es-ES"/>
        </w:rPr>
        <w:t xml:space="preserve">En ese sentido, la Comisión solicita a la Honorable Corte que concluya y declare que el Estado de Guatemala es responsable por la violación de los derechos a la personalidad </w:t>
      </w:r>
      <w:r w:rsidR="00EB6FFE" w:rsidRPr="00EB6FFE">
        <w:rPr>
          <w:rFonts w:ascii="Cambria" w:hAnsi="Cambria"/>
          <w:sz w:val="20"/>
          <w:szCs w:val="20"/>
          <w:lang w:val="es-ES"/>
        </w:rPr>
        <w:t>jurídica</w:t>
      </w:r>
      <w:r w:rsidRPr="00EB6FFE">
        <w:rPr>
          <w:rFonts w:ascii="Cambria" w:hAnsi="Cambria"/>
          <w:sz w:val="20"/>
          <w:szCs w:val="20"/>
          <w:lang w:val="es-ES"/>
        </w:rPr>
        <w:t xml:space="preserve">, a la vida, a la integridad personal, a la libertad personal, a la libertad de </w:t>
      </w:r>
      <w:r w:rsidR="00EB6FFE" w:rsidRPr="00EB6FFE">
        <w:rPr>
          <w:rFonts w:ascii="Cambria" w:hAnsi="Cambria"/>
          <w:sz w:val="20"/>
          <w:szCs w:val="20"/>
          <w:lang w:val="es-ES"/>
        </w:rPr>
        <w:t>asociación</w:t>
      </w:r>
      <w:r w:rsidRPr="00EB6FFE">
        <w:rPr>
          <w:rFonts w:ascii="Cambria" w:hAnsi="Cambria"/>
          <w:sz w:val="20"/>
          <w:szCs w:val="20"/>
          <w:lang w:val="es-ES"/>
        </w:rPr>
        <w:t xml:space="preserve"> en defensa de los derechos humanos, a las </w:t>
      </w:r>
      <w:r w:rsidR="00EB6FFE" w:rsidRPr="00EB6FFE">
        <w:rPr>
          <w:rFonts w:ascii="Cambria" w:hAnsi="Cambria"/>
          <w:sz w:val="20"/>
          <w:szCs w:val="20"/>
          <w:lang w:val="es-ES"/>
        </w:rPr>
        <w:t>garantías</w:t>
      </w:r>
      <w:r w:rsidRPr="00EB6FFE">
        <w:rPr>
          <w:rFonts w:ascii="Cambria" w:hAnsi="Cambria"/>
          <w:sz w:val="20"/>
          <w:szCs w:val="20"/>
          <w:lang w:val="es-ES"/>
        </w:rPr>
        <w:t xml:space="preserve"> judiciales y a la </w:t>
      </w:r>
      <w:r w:rsidR="00EB6FFE" w:rsidRPr="00EB6FFE">
        <w:rPr>
          <w:rFonts w:ascii="Cambria" w:hAnsi="Cambria"/>
          <w:sz w:val="20"/>
          <w:szCs w:val="20"/>
          <w:lang w:val="es-ES"/>
        </w:rPr>
        <w:t>protección</w:t>
      </w:r>
      <w:r w:rsidRPr="00EB6FFE">
        <w:rPr>
          <w:rFonts w:ascii="Cambria" w:hAnsi="Cambria"/>
          <w:sz w:val="20"/>
          <w:szCs w:val="20"/>
          <w:lang w:val="es-ES"/>
        </w:rPr>
        <w:t xml:space="preserve"> judicial. Todo lo anterior, conforme a lo establecido en los </w:t>
      </w:r>
      <w:r w:rsidR="00EB6FFE" w:rsidRPr="00EB6FFE">
        <w:rPr>
          <w:rFonts w:ascii="Cambria" w:hAnsi="Cambria"/>
          <w:sz w:val="20"/>
          <w:szCs w:val="20"/>
          <w:lang w:val="es-ES"/>
        </w:rPr>
        <w:t>artículos</w:t>
      </w:r>
      <w:r w:rsidRPr="00EB6FFE">
        <w:rPr>
          <w:rFonts w:ascii="Cambria" w:hAnsi="Cambria"/>
          <w:sz w:val="20"/>
          <w:szCs w:val="20"/>
          <w:lang w:val="es-ES"/>
        </w:rPr>
        <w:t xml:space="preserve"> 3, 4.1, 5.1, 7.1, 16.1, 8.1 y 25.1 de la </w:t>
      </w:r>
      <w:r w:rsidR="00EB6FFE" w:rsidRPr="00EB6FFE">
        <w:rPr>
          <w:rFonts w:ascii="Cambria" w:hAnsi="Cambria"/>
          <w:sz w:val="20"/>
          <w:szCs w:val="20"/>
          <w:lang w:val="es-ES"/>
        </w:rPr>
        <w:t>Convención</w:t>
      </w:r>
      <w:r w:rsidRPr="00EB6FFE">
        <w:rPr>
          <w:rFonts w:ascii="Cambria" w:hAnsi="Cambria"/>
          <w:sz w:val="20"/>
          <w:szCs w:val="20"/>
          <w:lang w:val="es-ES"/>
        </w:rPr>
        <w:t xml:space="preserve"> Americana en </w:t>
      </w:r>
      <w:r w:rsidR="00EB6FFE" w:rsidRPr="00EB6FFE">
        <w:rPr>
          <w:rFonts w:ascii="Cambria" w:hAnsi="Cambria"/>
          <w:sz w:val="20"/>
          <w:szCs w:val="20"/>
          <w:lang w:val="es-ES"/>
        </w:rPr>
        <w:t>relación</w:t>
      </w:r>
      <w:r w:rsidRPr="00EB6FFE">
        <w:rPr>
          <w:rFonts w:ascii="Cambria" w:hAnsi="Cambria"/>
          <w:sz w:val="20"/>
          <w:szCs w:val="20"/>
          <w:lang w:val="es-ES"/>
        </w:rPr>
        <w:t xml:space="preserve"> con el </w:t>
      </w:r>
      <w:r w:rsidR="00EB6FFE" w:rsidRPr="00EB6FFE">
        <w:rPr>
          <w:rFonts w:ascii="Cambria" w:hAnsi="Cambria"/>
          <w:sz w:val="20"/>
          <w:szCs w:val="20"/>
          <w:lang w:val="es-ES"/>
        </w:rPr>
        <w:t>artículo</w:t>
      </w:r>
      <w:r w:rsidRPr="00EB6FFE">
        <w:rPr>
          <w:rFonts w:ascii="Cambria" w:hAnsi="Cambria"/>
          <w:sz w:val="20"/>
          <w:szCs w:val="20"/>
          <w:lang w:val="es-ES"/>
        </w:rPr>
        <w:t xml:space="preserve"> 1.1 del mismo instrumento. Asimismo, la CIDH concluye que el Estado resulta responsable por el incumplimiento de las obligaciones con</w:t>
      </w:r>
      <w:r w:rsidR="00EB6FFE" w:rsidRPr="00EB6FFE">
        <w:rPr>
          <w:rFonts w:ascii="Cambria" w:hAnsi="Cambria"/>
          <w:sz w:val="20"/>
          <w:szCs w:val="20"/>
          <w:lang w:val="es-ES"/>
        </w:rPr>
        <w:t xml:space="preserve">sagradas </w:t>
      </w:r>
      <w:r w:rsidRPr="00EB6FFE">
        <w:rPr>
          <w:rFonts w:ascii="Cambria" w:hAnsi="Cambria"/>
          <w:sz w:val="20"/>
          <w:szCs w:val="20"/>
          <w:lang w:val="es-ES"/>
        </w:rPr>
        <w:t xml:space="preserve">en los </w:t>
      </w:r>
      <w:r w:rsidR="00EB6FFE" w:rsidRPr="00EB6FFE">
        <w:rPr>
          <w:rFonts w:ascii="Cambria" w:hAnsi="Cambria"/>
          <w:sz w:val="20"/>
          <w:szCs w:val="20"/>
          <w:lang w:val="es-ES"/>
        </w:rPr>
        <w:t>artículos</w:t>
      </w:r>
      <w:r w:rsidRPr="00EB6FFE">
        <w:rPr>
          <w:rFonts w:ascii="Cambria" w:hAnsi="Cambria"/>
          <w:sz w:val="20"/>
          <w:szCs w:val="20"/>
          <w:lang w:val="es-ES"/>
        </w:rPr>
        <w:t xml:space="preserve"> I a) y b) de la </w:t>
      </w:r>
      <w:r w:rsidR="00EB6FFE" w:rsidRPr="00EB6FFE">
        <w:rPr>
          <w:rFonts w:ascii="Cambria" w:hAnsi="Cambria"/>
          <w:sz w:val="20"/>
          <w:szCs w:val="20"/>
          <w:lang w:val="es-ES"/>
        </w:rPr>
        <w:t>Convención</w:t>
      </w:r>
      <w:r w:rsidRPr="00EB6FFE">
        <w:rPr>
          <w:rFonts w:ascii="Cambria" w:hAnsi="Cambria"/>
          <w:sz w:val="20"/>
          <w:szCs w:val="20"/>
          <w:lang w:val="es-ES"/>
        </w:rPr>
        <w:t xml:space="preserve"> Interamericana sobre </w:t>
      </w:r>
      <w:r w:rsidR="00EB6FFE" w:rsidRPr="00EB6FFE">
        <w:rPr>
          <w:rFonts w:ascii="Cambria" w:hAnsi="Cambria"/>
          <w:sz w:val="20"/>
          <w:szCs w:val="20"/>
          <w:lang w:val="es-ES"/>
        </w:rPr>
        <w:t>Desaparición</w:t>
      </w:r>
      <w:r w:rsidRPr="00EB6FFE">
        <w:rPr>
          <w:rFonts w:ascii="Cambria" w:hAnsi="Cambria"/>
          <w:sz w:val="20"/>
          <w:szCs w:val="20"/>
          <w:lang w:val="es-ES"/>
        </w:rPr>
        <w:t xml:space="preserve"> Forzada de Personas a partir del 25 de febrero de 2000, fecha de </w:t>
      </w:r>
      <w:r w:rsidR="00EB6FFE" w:rsidRPr="00EB6FFE">
        <w:rPr>
          <w:rFonts w:ascii="Cambria" w:hAnsi="Cambria"/>
          <w:sz w:val="20"/>
          <w:szCs w:val="20"/>
          <w:lang w:val="es-ES"/>
        </w:rPr>
        <w:t>dep</w:t>
      </w:r>
      <w:r w:rsidR="0083039E">
        <w:rPr>
          <w:rFonts w:ascii="Cambria" w:hAnsi="Cambria"/>
          <w:sz w:val="20"/>
          <w:szCs w:val="20"/>
          <w:lang w:val="es-ES"/>
        </w:rPr>
        <w:t>ó</w:t>
      </w:r>
      <w:r w:rsidR="00EB6FFE" w:rsidRPr="00EB6FFE">
        <w:rPr>
          <w:rFonts w:ascii="Cambria" w:hAnsi="Cambria"/>
          <w:sz w:val="20"/>
          <w:szCs w:val="20"/>
          <w:lang w:val="es-ES"/>
        </w:rPr>
        <w:t>sito de dicho instrumento por parte del Estado de Guatemala</w:t>
      </w:r>
      <w:r w:rsidR="003602F3">
        <w:rPr>
          <w:rFonts w:ascii="Cambria" w:hAnsi="Cambria"/>
          <w:sz w:val="20"/>
          <w:szCs w:val="20"/>
          <w:lang w:val="es-ES"/>
        </w:rPr>
        <w:t xml:space="preserve">. </w:t>
      </w:r>
    </w:p>
    <w:p w14:paraId="24986171" w14:textId="77777777" w:rsidR="00FA31CC" w:rsidRPr="00EB6FFE" w:rsidRDefault="00FA31CC" w:rsidP="00332F7A">
      <w:pPr>
        <w:pStyle w:val="NormalWeb"/>
        <w:tabs>
          <w:tab w:val="left" w:pos="720"/>
        </w:tabs>
        <w:spacing w:before="0" w:beforeAutospacing="0" w:after="0" w:afterAutospacing="0"/>
        <w:ind w:firstLine="567"/>
        <w:jc w:val="both"/>
        <w:rPr>
          <w:rFonts w:ascii="Cambria" w:hAnsi="Cambria"/>
          <w:sz w:val="20"/>
          <w:szCs w:val="20"/>
          <w:lang w:val="es-ES"/>
        </w:rPr>
      </w:pPr>
    </w:p>
    <w:p w14:paraId="04DF01D9" w14:textId="77777777" w:rsidR="00EB6FFE" w:rsidRDefault="00EB6FFE" w:rsidP="00C91673">
      <w:pPr>
        <w:pStyle w:val="NormalWeb"/>
        <w:tabs>
          <w:tab w:val="left" w:pos="720"/>
        </w:tabs>
        <w:spacing w:before="0" w:beforeAutospacing="0" w:after="0" w:afterAutospacing="0"/>
        <w:ind w:firstLine="720"/>
        <w:jc w:val="both"/>
        <w:rPr>
          <w:rFonts w:ascii="Cambria" w:hAnsi="Cambria"/>
          <w:sz w:val="20"/>
          <w:szCs w:val="20"/>
          <w:lang w:val="es-ES"/>
        </w:rPr>
      </w:pPr>
      <w:r w:rsidRPr="00EB6FFE">
        <w:rPr>
          <w:rFonts w:ascii="Cambria" w:hAnsi="Cambria"/>
          <w:sz w:val="20"/>
          <w:szCs w:val="20"/>
          <w:lang w:val="es-ES"/>
        </w:rPr>
        <w:t xml:space="preserve">En consecuencia, la Comisión solicita a la Corte Interamericana que establezca las siguientes medidas de reparación: </w:t>
      </w:r>
    </w:p>
    <w:p w14:paraId="7A56947B" w14:textId="77777777" w:rsidR="003602F3" w:rsidRPr="00EB6FFE" w:rsidRDefault="003602F3" w:rsidP="00332F7A">
      <w:pPr>
        <w:pStyle w:val="NormalWeb"/>
        <w:tabs>
          <w:tab w:val="left" w:pos="720"/>
        </w:tabs>
        <w:spacing w:before="0" w:beforeAutospacing="0" w:after="0" w:afterAutospacing="0"/>
        <w:jc w:val="both"/>
        <w:rPr>
          <w:rFonts w:ascii="Cambria" w:hAnsi="Cambria"/>
          <w:sz w:val="20"/>
          <w:szCs w:val="20"/>
          <w:lang w:val="es-ES"/>
        </w:rPr>
      </w:pPr>
    </w:p>
    <w:p w14:paraId="668B2ACB" w14:textId="77777777" w:rsidR="00EB6FFE" w:rsidRPr="00EB6FFE" w:rsidRDefault="00EB6FFE" w:rsidP="00C91673">
      <w:pPr>
        <w:pStyle w:val="NormalWeb"/>
        <w:numPr>
          <w:ilvl w:val="0"/>
          <w:numId w:val="1"/>
        </w:numPr>
        <w:tabs>
          <w:tab w:val="left" w:pos="720"/>
        </w:tabs>
        <w:spacing w:before="0" w:beforeAutospacing="0" w:after="0" w:afterAutospacing="0"/>
        <w:ind w:left="1080" w:right="516"/>
        <w:jc w:val="both"/>
        <w:rPr>
          <w:rFonts w:ascii="Cambria" w:hAnsi="Cambria"/>
          <w:sz w:val="20"/>
          <w:szCs w:val="20"/>
          <w:lang w:val="es-ES"/>
        </w:rPr>
      </w:pPr>
      <w:r w:rsidRPr="00EB6FFE">
        <w:rPr>
          <w:rFonts w:ascii="Cambria" w:hAnsi="Cambria"/>
          <w:sz w:val="20"/>
          <w:szCs w:val="20"/>
          <w:lang w:val="es-ES"/>
        </w:rPr>
        <w:t xml:space="preserve">Reparar adecuadamente todas las violaciones a los derechos humanos reconocidas en el presente informe, incluyendo las medidas de satisfacción pertinentes y el pago por el daño en el aspecto material e inmaterial. </w:t>
      </w:r>
    </w:p>
    <w:p w14:paraId="03F58E2F" w14:textId="77777777" w:rsidR="00EB6FFE" w:rsidRPr="00EB6FFE" w:rsidRDefault="00EB6FFE" w:rsidP="00C91673">
      <w:pPr>
        <w:pStyle w:val="NormalWeb"/>
        <w:tabs>
          <w:tab w:val="left" w:pos="720"/>
        </w:tabs>
        <w:spacing w:before="0" w:beforeAutospacing="0" w:after="0" w:afterAutospacing="0"/>
        <w:ind w:left="1080" w:right="516" w:hanging="360"/>
        <w:jc w:val="both"/>
        <w:rPr>
          <w:rFonts w:ascii="Cambria" w:hAnsi="Cambria"/>
          <w:sz w:val="20"/>
          <w:szCs w:val="20"/>
          <w:lang w:val="es-ES"/>
        </w:rPr>
      </w:pPr>
    </w:p>
    <w:p w14:paraId="7E5C4BC8" w14:textId="77777777" w:rsidR="00EB6FFE" w:rsidRPr="00EB6FFE" w:rsidRDefault="00EB6FFE" w:rsidP="00C91673">
      <w:pPr>
        <w:pStyle w:val="NormalWeb"/>
        <w:numPr>
          <w:ilvl w:val="0"/>
          <w:numId w:val="1"/>
        </w:numPr>
        <w:tabs>
          <w:tab w:val="left" w:pos="720"/>
        </w:tabs>
        <w:spacing w:before="0" w:beforeAutospacing="0" w:after="0" w:afterAutospacing="0"/>
        <w:ind w:left="1080" w:right="516"/>
        <w:jc w:val="both"/>
        <w:rPr>
          <w:rFonts w:ascii="Cambria" w:hAnsi="Cambria"/>
          <w:sz w:val="20"/>
          <w:szCs w:val="20"/>
          <w:lang w:val="es-ES"/>
        </w:rPr>
      </w:pPr>
      <w:r w:rsidRPr="00EB6FFE">
        <w:rPr>
          <w:rFonts w:ascii="Cambria" w:hAnsi="Cambria"/>
          <w:sz w:val="20"/>
          <w:szCs w:val="20"/>
          <w:lang w:val="es-ES"/>
        </w:rPr>
        <w:t xml:space="preserve">Implementar de un programa de rehabilitación, atención psicológica y psicosocial adecuada a los familiares de las víctimas de los hechos de desaparición forzada del presente caso, tomando en cuenta sus deseos y necesidades. </w:t>
      </w:r>
    </w:p>
    <w:p w14:paraId="35D42607" w14:textId="77777777" w:rsidR="00EB6FFE" w:rsidRPr="00EB6FFE" w:rsidRDefault="00EB6FFE" w:rsidP="00C91673">
      <w:pPr>
        <w:pStyle w:val="ListParagraph"/>
        <w:tabs>
          <w:tab w:val="left" w:pos="720"/>
        </w:tabs>
        <w:ind w:left="1080" w:hanging="360"/>
        <w:rPr>
          <w:rFonts w:ascii="Cambria" w:hAnsi="Cambria"/>
          <w:sz w:val="20"/>
          <w:szCs w:val="20"/>
          <w:lang w:val="es-ES"/>
        </w:rPr>
      </w:pPr>
    </w:p>
    <w:p w14:paraId="26C3A373" w14:textId="77777777" w:rsidR="00EB6FFE" w:rsidRPr="00EB6FFE" w:rsidRDefault="00EB6FFE" w:rsidP="00C91673">
      <w:pPr>
        <w:pStyle w:val="NormalWeb"/>
        <w:numPr>
          <w:ilvl w:val="0"/>
          <w:numId w:val="1"/>
        </w:numPr>
        <w:tabs>
          <w:tab w:val="left" w:pos="720"/>
        </w:tabs>
        <w:spacing w:before="0" w:beforeAutospacing="0" w:after="0" w:afterAutospacing="0"/>
        <w:ind w:left="1080" w:right="516"/>
        <w:jc w:val="both"/>
        <w:rPr>
          <w:rFonts w:ascii="Cambria" w:hAnsi="Cambria"/>
          <w:sz w:val="20"/>
          <w:szCs w:val="20"/>
          <w:lang w:val="es-ES"/>
        </w:rPr>
      </w:pPr>
      <w:r w:rsidRPr="00EB6FFE">
        <w:rPr>
          <w:rFonts w:ascii="Cambria" w:hAnsi="Cambria"/>
          <w:sz w:val="20"/>
          <w:szCs w:val="20"/>
          <w:lang w:val="es-ES"/>
        </w:rPr>
        <w:t xml:space="preserve">Investigar a través de un plan de búsqueda adecuado, con resultados medibles en el tiempo y con la participación de los familiares de las víctimas, el destino o paradero de Agapito Pérez Lucas, Macario Pú Chivalán, Luis Ruiz Luis y Nicolás Mateo y, de ser el caso, adoptar las medidas necesarias para identificar y entregar a sus familiares sus restos mortales. </w:t>
      </w:r>
    </w:p>
    <w:p w14:paraId="3A624280" w14:textId="77777777" w:rsidR="00EB6FFE" w:rsidRDefault="00EB6FFE" w:rsidP="00C91673">
      <w:pPr>
        <w:pStyle w:val="ListParagraph"/>
        <w:tabs>
          <w:tab w:val="left" w:pos="720"/>
        </w:tabs>
        <w:ind w:left="1080" w:hanging="360"/>
        <w:rPr>
          <w:rFonts w:ascii="Cambria" w:hAnsi="Cambria"/>
          <w:sz w:val="20"/>
          <w:szCs w:val="20"/>
          <w:lang w:val="es-ES"/>
        </w:rPr>
      </w:pPr>
    </w:p>
    <w:p w14:paraId="669E0C87" w14:textId="77777777" w:rsidR="00EB6FFE" w:rsidRDefault="00EB6FFE" w:rsidP="00C91673">
      <w:pPr>
        <w:pStyle w:val="NormalWeb"/>
        <w:numPr>
          <w:ilvl w:val="0"/>
          <w:numId w:val="1"/>
        </w:numPr>
        <w:tabs>
          <w:tab w:val="left" w:pos="720"/>
        </w:tabs>
        <w:spacing w:before="0" w:beforeAutospacing="0" w:after="0" w:afterAutospacing="0"/>
        <w:ind w:left="1080" w:right="516"/>
        <w:jc w:val="both"/>
        <w:rPr>
          <w:rFonts w:ascii="Cambria" w:hAnsi="Cambria"/>
          <w:sz w:val="20"/>
          <w:szCs w:val="20"/>
          <w:lang w:val="es-ES"/>
        </w:rPr>
      </w:pPr>
      <w:r w:rsidRPr="00EB6FFE">
        <w:rPr>
          <w:rFonts w:ascii="Cambria" w:hAnsi="Cambria"/>
          <w:sz w:val="20"/>
          <w:szCs w:val="20"/>
          <w:lang w:val="es-ES"/>
        </w:rPr>
        <w:t xml:space="preserve">Continuar con debida diligencia los procedimientos internos destinados a una eficaz investigación, persecución, captura, enjuiciamiento y eventual castigo de los responsables de la desaparición de Agapito Pérez Lucas, Macario Pú Chivalán, Luis Ruiz Luis y Nicolás Mateo, y conducir las investigaciones de manera imparcial, efectiva y dentro de un plazo razonable con el objeto de esclarecer hechos en forma completa, identificar a los autores intelectuales y materiales e imponer las sanciones que correspondan, conforme a los estándares internacionales aplicables. </w:t>
      </w:r>
    </w:p>
    <w:p w14:paraId="585383B0" w14:textId="77777777" w:rsidR="00EB6FFE" w:rsidRDefault="00EB6FFE" w:rsidP="00C91673">
      <w:pPr>
        <w:pStyle w:val="ListParagraph"/>
        <w:tabs>
          <w:tab w:val="left" w:pos="720"/>
        </w:tabs>
        <w:ind w:left="1080" w:hanging="360"/>
        <w:rPr>
          <w:rFonts w:ascii="Cambria" w:hAnsi="Cambria"/>
          <w:sz w:val="20"/>
          <w:szCs w:val="20"/>
          <w:lang w:val="es-ES"/>
        </w:rPr>
      </w:pPr>
    </w:p>
    <w:p w14:paraId="16EFDF51" w14:textId="77777777" w:rsidR="00EB6FFE" w:rsidRDefault="00EB6FFE" w:rsidP="00C91673">
      <w:pPr>
        <w:pStyle w:val="NormalWeb"/>
        <w:numPr>
          <w:ilvl w:val="0"/>
          <w:numId w:val="1"/>
        </w:numPr>
        <w:tabs>
          <w:tab w:val="left" w:pos="720"/>
        </w:tabs>
        <w:spacing w:before="0" w:beforeAutospacing="0" w:after="0" w:afterAutospacing="0"/>
        <w:ind w:left="1080" w:right="516"/>
        <w:jc w:val="both"/>
        <w:rPr>
          <w:rFonts w:ascii="Cambria" w:hAnsi="Cambria"/>
          <w:sz w:val="20"/>
          <w:szCs w:val="20"/>
          <w:lang w:val="es-ES"/>
        </w:rPr>
      </w:pPr>
      <w:r w:rsidRPr="00EB6FFE">
        <w:rPr>
          <w:rFonts w:ascii="Cambria" w:hAnsi="Cambria"/>
          <w:sz w:val="20"/>
          <w:szCs w:val="20"/>
          <w:lang w:val="es-ES"/>
        </w:rPr>
        <w:t xml:space="preserve">Fortalecer las políticas públicas de gestión, desclasificación y acceso a los archivos documentales que guarden relación con el conflicto armado interno, en particular de aquellos que puedan resultar de utilidad para esclarecer graves violaciones a los derechos humanos. Asimismo, destinar recursos para la realización de peritajes, inspecciones y estudios forenses que puedan ser necesarios para identificar restos mortales de personas desaparecidas durante el conflicto armado. </w:t>
      </w:r>
    </w:p>
    <w:p w14:paraId="0B56DAE1" w14:textId="77777777" w:rsidR="00EB6FFE" w:rsidRDefault="00EB6FFE" w:rsidP="00C91673">
      <w:pPr>
        <w:pStyle w:val="ListParagraph"/>
        <w:tabs>
          <w:tab w:val="left" w:pos="720"/>
        </w:tabs>
        <w:ind w:left="1080" w:hanging="360"/>
        <w:rPr>
          <w:rFonts w:ascii="Cambria" w:hAnsi="Cambria"/>
          <w:sz w:val="20"/>
          <w:szCs w:val="20"/>
          <w:lang w:val="es-ES"/>
        </w:rPr>
      </w:pPr>
    </w:p>
    <w:p w14:paraId="1E17A2E9" w14:textId="77777777" w:rsidR="00EB6FFE" w:rsidRPr="00EB6FFE" w:rsidRDefault="00EB6FFE" w:rsidP="00C91673">
      <w:pPr>
        <w:pStyle w:val="NormalWeb"/>
        <w:numPr>
          <w:ilvl w:val="0"/>
          <w:numId w:val="1"/>
        </w:numPr>
        <w:tabs>
          <w:tab w:val="left" w:pos="720"/>
        </w:tabs>
        <w:spacing w:before="0" w:beforeAutospacing="0" w:after="0" w:afterAutospacing="0"/>
        <w:ind w:left="1080" w:right="516"/>
        <w:jc w:val="both"/>
        <w:rPr>
          <w:rFonts w:ascii="Cambria" w:hAnsi="Cambria"/>
          <w:sz w:val="20"/>
          <w:szCs w:val="20"/>
          <w:lang w:val="es-ES"/>
        </w:rPr>
      </w:pPr>
      <w:r w:rsidRPr="00EB6FFE">
        <w:rPr>
          <w:rFonts w:ascii="Cambria" w:hAnsi="Cambria"/>
          <w:sz w:val="20"/>
          <w:szCs w:val="20"/>
          <w:lang w:val="es-ES"/>
        </w:rPr>
        <w:t xml:space="preserve">Fortalecer las capacidades de investigación de la Procuraduría de los Derechos Humanos, mediante la provisión de los recursos humanos y técnicos adecuados, para poder llevar adelante investigaciones por desapariciones forzadas de personas de manera diligente y eficiente y garantizar que dicho órgano cuente con toda la colaboración que sea necesaria por parte del resto de las autoridades públicas del país. </w:t>
      </w:r>
    </w:p>
    <w:p w14:paraId="0BD18ED4" w14:textId="77777777" w:rsidR="00EB6FFE" w:rsidRDefault="00EB6FFE" w:rsidP="00332F7A">
      <w:pPr>
        <w:tabs>
          <w:tab w:val="left" w:pos="720"/>
        </w:tabs>
        <w:ind w:left="567" w:right="720"/>
        <w:jc w:val="both"/>
        <w:rPr>
          <w:rFonts w:cs="Calibri"/>
          <w:sz w:val="20"/>
          <w:szCs w:val="20"/>
          <w:lang w:val="es-ES"/>
        </w:rPr>
      </w:pPr>
    </w:p>
    <w:p w14:paraId="016107C1" w14:textId="3E7028C3" w:rsidR="00A01188" w:rsidRPr="00860D72" w:rsidRDefault="00C91673" w:rsidP="00C91673">
      <w:pPr>
        <w:tabs>
          <w:tab w:val="left" w:pos="720"/>
        </w:tabs>
        <w:jc w:val="both"/>
        <w:rPr>
          <w:rFonts w:ascii="Cambria" w:hAnsi="Cambria"/>
          <w:sz w:val="20"/>
          <w:szCs w:val="20"/>
          <w:lang w:val="es-ES"/>
        </w:rPr>
      </w:pPr>
      <w:r>
        <w:rPr>
          <w:rFonts w:ascii="Cambria" w:hAnsi="Cambria" w:cs="Calibri"/>
          <w:sz w:val="20"/>
          <w:szCs w:val="20"/>
          <w:lang w:val="es-ES"/>
        </w:rPr>
        <w:tab/>
      </w:r>
      <w:r w:rsidR="00EB6FFE" w:rsidRPr="00A01188">
        <w:rPr>
          <w:rFonts w:ascii="Cambria" w:hAnsi="Cambria" w:cs="Calibri"/>
          <w:sz w:val="20"/>
          <w:szCs w:val="20"/>
          <w:lang w:val="es-ES"/>
        </w:rPr>
        <w:t xml:space="preserve">Además de la necesidad de obtención de justicia y reparación por la falta de cumplimiento de las mencionadas recomendaciones del Informe de Fondo, la Comisión considera que el caso presenta cuestiones de orden público interamericano. </w:t>
      </w:r>
      <w:r w:rsidR="00EA78D2" w:rsidRPr="00A01188">
        <w:rPr>
          <w:rFonts w:ascii="Cambria" w:hAnsi="Cambria"/>
          <w:sz w:val="20"/>
          <w:szCs w:val="20"/>
          <w:lang w:val="es-ES"/>
        </w:rPr>
        <w:t xml:space="preserve">Si bien la Corte ha conocido con anterioridad otros casos relativos al contexto del conflicto armado en Guatemala, el presente caso </w:t>
      </w:r>
      <w:r w:rsidR="007E5E74">
        <w:rPr>
          <w:rFonts w:ascii="Cambria" w:hAnsi="Cambria"/>
          <w:sz w:val="20"/>
          <w:szCs w:val="20"/>
          <w:lang w:val="es-ES"/>
        </w:rPr>
        <w:t xml:space="preserve">le </w:t>
      </w:r>
      <w:r w:rsidR="00860D72">
        <w:rPr>
          <w:rFonts w:ascii="Cambria" w:hAnsi="Cambria"/>
          <w:sz w:val="20"/>
          <w:szCs w:val="20"/>
          <w:lang w:val="es-ES"/>
        </w:rPr>
        <w:t>permitirá continuar profundizando sobre su jurisprudencia respecto de la desaparición forzada</w:t>
      </w:r>
      <w:r w:rsidR="003746A6">
        <w:rPr>
          <w:rFonts w:ascii="Cambria" w:hAnsi="Cambria"/>
          <w:sz w:val="20"/>
          <w:szCs w:val="20"/>
          <w:lang w:val="es-ES"/>
        </w:rPr>
        <w:t>,</w:t>
      </w:r>
      <w:r w:rsidR="00860D72">
        <w:rPr>
          <w:rFonts w:ascii="Cambria" w:hAnsi="Cambria"/>
          <w:sz w:val="20"/>
          <w:szCs w:val="20"/>
          <w:lang w:val="es-ES"/>
        </w:rPr>
        <w:t xml:space="preserve"> particularmente cuando se trata de personas defensoras de derechos humanos. Asimismo, la Corte podrá abordar el </w:t>
      </w:r>
      <w:r w:rsidR="00EA78D2" w:rsidRPr="00A01188">
        <w:rPr>
          <w:rFonts w:ascii="Cambria" w:hAnsi="Cambria"/>
          <w:sz w:val="20"/>
          <w:szCs w:val="20"/>
          <w:lang w:val="es-ES"/>
        </w:rPr>
        <w:t xml:space="preserve">problema de </w:t>
      </w:r>
      <w:r w:rsidR="003746A6">
        <w:rPr>
          <w:rFonts w:ascii="Cambria" w:hAnsi="Cambria"/>
          <w:sz w:val="20"/>
          <w:szCs w:val="20"/>
          <w:lang w:val="es-ES"/>
        </w:rPr>
        <w:t xml:space="preserve">la falta de debida diligencia para investigar </w:t>
      </w:r>
      <w:r w:rsidR="003746A6" w:rsidRPr="00A01188">
        <w:rPr>
          <w:rFonts w:ascii="Cambria" w:hAnsi="Cambria"/>
          <w:sz w:val="20"/>
          <w:szCs w:val="20"/>
          <w:lang w:val="es-ES"/>
        </w:rPr>
        <w:t>graves violaciones de derechos humanos cometidas durante el conflicto armado</w:t>
      </w:r>
      <w:r w:rsidR="003746A6">
        <w:rPr>
          <w:rFonts w:ascii="Cambria" w:hAnsi="Cambria"/>
          <w:sz w:val="20"/>
          <w:szCs w:val="20"/>
          <w:lang w:val="es-ES"/>
        </w:rPr>
        <w:t xml:space="preserve">, así como los factores que han originado una situación de </w:t>
      </w:r>
      <w:r w:rsidR="00EA78D2" w:rsidRPr="00A01188">
        <w:rPr>
          <w:rFonts w:ascii="Cambria" w:hAnsi="Cambria"/>
          <w:sz w:val="20"/>
          <w:szCs w:val="20"/>
          <w:lang w:val="es-ES"/>
        </w:rPr>
        <w:t>impunidad estructural</w:t>
      </w:r>
      <w:r w:rsidR="00860D72">
        <w:rPr>
          <w:rFonts w:ascii="Cambria" w:hAnsi="Cambria"/>
          <w:sz w:val="20"/>
          <w:szCs w:val="20"/>
          <w:lang w:val="es-ES"/>
        </w:rPr>
        <w:t xml:space="preserve">, </w:t>
      </w:r>
      <w:r w:rsidR="003746A6">
        <w:rPr>
          <w:rFonts w:ascii="Cambria" w:hAnsi="Cambria"/>
          <w:sz w:val="20"/>
          <w:szCs w:val="20"/>
          <w:lang w:val="es-ES"/>
        </w:rPr>
        <w:t xml:space="preserve">de tal manera que pueda dictar las reparaciones que posibiliten al Estado </w:t>
      </w:r>
      <w:r w:rsidR="007E5E74">
        <w:rPr>
          <w:rFonts w:ascii="Cambria" w:hAnsi="Cambria"/>
          <w:sz w:val="20"/>
          <w:szCs w:val="20"/>
          <w:lang w:val="es-ES"/>
        </w:rPr>
        <w:t>adoptar las medidas necesarias en su aparato de justicia para c</w:t>
      </w:r>
      <w:r w:rsidR="000B0CAA">
        <w:rPr>
          <w:rFonts w:ascii="Cambria" w:hAnsi="Cambria"/>
          <w:sz w:val="20"/>
          <w:szCs w:val="20"/>
          <w:lang w:val="es-ES"/>
        </w:rPr>
        <w:t>umplir con sus obligaciones de esclarecer lo ocurrido y brindar</w:t>
      </w:r>
      <w:r w:rsidR="003746A6">
        <w:rPr>
          <w:rFonts w:ascii="Cambria" w:hAnsi="Cambria"/>
          <w:sz w:val="20"/>
          <w:szCs w:val="20"/>
          <w:lang w:val="es-ES"/>
        </w:rPr>
        <w:t xml:space="preserve"> acceso a la justicia</w:t>
      </w:r>
      <w:r w:rsidR="000B0CAA">
        <w:rPr>
          <w:rFonts w:ascii="Cambria" w:hAnsi="Cambria"/>
          <w:sz w:val="20"/>
          <w:szCs w:val="20"/>
          <w:lang w:val="es-ES"/>
        </w:rPr>
        <w:t xml:space="preserve"> y reparación</w:t>
      </w:r>
      <w:r w:rsidR="003746A6">
        <w:rPr>
          <w:rFonts w:ascii="Cambria" w:hAnsi="Cambria"/>
          <w:sz w:val="20"/>
          <w:szCs w:val="20"/>
          <w:lang w:val="es-ES"/>
        </w:rPr>
        <w:t xml:space="preserve"> a las víctimas</w:t>
      </w:r>
      <w:r w:rsidR="007E5E74">
        <w:rPr>
          <w:rFonts w:ascii="Cambria" w:hAnsi="Cambria"/>
          <w:sz w:val="20"/>
          <w:szCs w:val="20"/>
          <w:lang w:val="es-ES"/>
        </w:rPr>
        <w:t xml:space="preserve"> de tales casos</w:t>
      </w:r>
      <w:r w:rsidR="003746A6">
        <w:rPr>
          <w:rFonts w:ascii="Cambria" w:hAnsi="Cambria"/>
          <w:sz w:val="20"/>
          <w:szCs w:val="20"/>
          <w:lang w:val="es-ES"/>
        </w:rPr>
        <w:t>.</w:t>
      </w:r>
    </w:p>
    <w:p w14:paraId="6A5167F4" w14:textId="77777777" w:rsidR="00EB6FFE" w:rsidRDefault="00EB6FFE" w:rsidP="00332F7A">
      <w:pPr>
        <w:tabs>
          <w:tab w:val="left" w:pos="720"/>
        </w:tabs>
        <w:jc w:val="both"/>
        <w:rPr>
          <w:rFonts w:ascii="Cambria" w:hAnsi="Cambria" w:cs="Calibri"/>
          <w:sz w:val="20"/>
          <w:szCs w:val="20"/>
          <w:lang w:val="es-ES"/>
        </w:rPr>
      </w:pPr>
    </w:p>
    <w:p w14:paraId="500DEF67" w14:textId="449B3EC3" w:rsidR="00A01188" w:rsidRPr="00A01188" w:rsidRDefault="003746A6" w:rsidP="00C91673">
      <w:pPr>
        <w:tabs>
          <w:tab w:val="left" w:pos="720"/>
        </w:tabs>
        <w:ind w:firstLine="720"/>
        <w:jc w:val="both"/>
        <w:rPr>
          <w:rFonts w:ascii="Cambria" w:hAnsi="Cambria" w:cs="Calibri"/>
          <w:sz w:val="20"/>
          <w:szCs w:val="20"/>
          <w:lang w:val="es-ES"/>
        </w:rPr>
      </w:pPr>
      <w:r>
        <w:rPr>
          <w:rFonts w:ascii="Cambria" w:hAnsi="Cambria" w:cs="Calibri"/>
          <w:sz w:val="20"/>
          <w:szCs w:val="20"/>
          <w:lang w:val="es-ES"/>
        </w:rPr>
        <w:t>E</w:t>
      </w:r>
      <w:r w:rsidR="00A01188" w:rsidRPr="00A01188">
        <w:rPr>
          <w:rFonts w:ascii="Cambria" w:hAnsi="Cambria" w:cs="Calibri"/>
          <w:sz w:val="20"/>
          <w:szCs w:val="20"/>
          <w:lang w:val="es-ES"/>
        </w:rPr>
        <w:t>n virtud de lo</w:t>
      </w:r>
      <w:r>
        <w:rPr>
          <w:rFonts w:ascii="Cambria" w:hAnsi="Cambria" w:cs="Calibri"/>
          <w:sz w:val="20"/>
          <w:szCs w:val="20"/>
          <w:lang w:val="es-ES"/>
        </w:rPr>
        <w:t>s aspectos de orden público interamericano presentes en el caso y lo</w:t>
      </w:r>
      <w:r w:rsidR="00A01188" w:rsidRPr="00A01188">
        <w:rPr>
          <w:rFonts w:ascii="Cambria" w:hAnsi="Cambria" w:cs="Calibri"/>
          <w:sz w:val="20"/>
          <w:szCs w:val="20"/>
          <w:lang w:val="es-ES"/>
        </w:rPr>
        <w:t xml:space="preserve"> establecido en el articulo 35.1.f) del Reglamento de la Corte Interamericana, la Comisión solicita el traslado e incorporación al acer</w:t>
      </w:r>
      <w:r w:rsidR="00A01188">
        <w:rPr>
          <w:rFonts w:ascii="Cambria" w:hAnsi="Cambria" w:cs="Calibri"/>
          <w:sz w:val="20"/>
          <w:szCs w:val="20"/>
          <w:lang w:val="es-ES"/>
        </w:rPr>
        <w:t>v</w:t>
      </w:r>
      <w:r w:rsidR="00A01188" w:rsidRPr="00A01188">
        <w:rPr>
          <w:rFonts w:ascii="Cambria" w:hAnsi="Cambria" w:cs="Calibri"/>
          <w:sz w:val="20"/>
          <w:szCs w:val="20"/>
          <w:lang w:val="es-ES"/>
        </w:rPr>
        <w:t xml:space="preserve">o probatorio del presente caso las declaraciones periciales de: </w:t>
      </w:r>
    </w:p>
    <w:p w14:paraId="62BFE528" w14:textId="77777777" w:rsidR="00A01188" w:rsidRPr="00F52573" w:rsidRDefault="00A01188" w:rsidP="00332F7A">
      <w:pPr>
        <w:tabs>
          <w:tab w:val="left" w:pos="720"/>
        </w:tabs>
        <w:jc w:val="both"/>
        <w:rPr>
          <w:rFonts w:ascii="Cambria" w:hAnsi="Cambria"/>
          <w:sz w:val="20"/>
          <w:szCs w:val="20"/>
          <w:lang w:val="es-ES"/>
        </w:rPr>
      </w:pPr>
    </w:p>
    <w:p w14:paraId="76C72AC9" w14:textId="501741E4" w:rsidR="00A01188" w:rsidRPr="00334E69" w:rsidRDefault="00A01188" w:rsidP="00E5653F">
      <w:pPr>
        <w:pStyle w:val="ListParagraph"/>
        <w:numPr>
          <w:ilvl w:val="0"/>
          <w:numId w:val="2"/>
        </w:numPr>
        <w:tabs>
          <w:tab w:val="left" w:pos="720"/>
          <w:tab w:val="left" w:pos="1080"/>
        </w:tabs>
        <w:ind w:firstLine="0"/>
        <w:jc w:val="both"/>
        <w:rPr>
          <w:rFonts w:ascii="Cambria" w:hAnsi="Cambria"/>
          <w:sz w:val="20"/>
          <w:szCs w:val="20"/>
          <w:lang w:val="es-ES"/>
        </w:rPr>
      </w:pPr>
      <w:r w:rsidRPr="00334E69">
        <w:rPr>
          <w:rFonts w:ascii="Cambria" w:hAnsi="Cambria"/>
          <w:sz w:val="20"/>
          <w:szCs w:val="20"/>
          <w:lang w:val="es-ES"/>
        </w:rPr>
        <w:t xml:space="preserve">Carlos Manuel Garrido, presentado bajo ofrecimiento de la Comisión en el </w:t>
      </w:r>
      <w:r w:rsidRPr="00334E69">
        <w:rPr>
          <w:rFonts w:ascii="Cambria" w:hAnsi="Cambria"/>
          <w:i/>
          <w:sz w:val="20"/>
          <w:szCs w:val="20"/>
          <w:lang w:val="es-ES"/>
        </w:rPr>
        <w:t>Caso de la Masacre de Las Dos Erres vs Guatemala</w:t>
      </w:r>
      <w:r w:rsidRPr="00334E69">
        <w:rPr>
          <w:rFonts w:ascii="Cambria" w:hAnsi="Cambria"/>
          <w:sz w:val="20"/>
          <w:szCs w:val="20"/>
          <w:lang w:val="es-ES"/>
        </w:rPr>
        <w:t>, quien se refirió a la impunidad de las violaciones a los derechos humanos cometidas durante el conflicto armado interno en Guatemala, las deficiencias estructurales en la administración de justicia guatemalteca, y la utilización del recurso de amparo como estrategia dilatoria en los procesos judiciales.</w:t>
      </w:r>
    </w:p>
    <w:p w14:paraId="51C15981" w14:textId="77777777" w:rsidR="00334E69" w:rsidRPr="00334E69" w:rsidRDefault="00334E69" w:rsidP="00E5653F">
      <w:pPr>
        <w:pStyle w:val="ListParagraph"/>
        <w:tabs>
          <w:tab w:val="left" w:pos="720"/>
          <w:tab w:val="left" w:pos="1080"/>
        </w:tabs>
        <w:jc w:val="both"/>
        <w:rPr>
          <w:rFonts w:ascii="Cambria" w:hAnsi="Cambria"/>
          <w:sz w:val="20"/>
          <w:szCs w:val="20"/>
          <w:lang w:val="es-ES"/>
        </w:rPr>
      </w:pPr>
    </w:p>
    <w:p w14:paraId="019386B4" w14:textId="77777777" w:rsidR="00334E69" w:rsidRPr="00334E69" w:rsidRDefault="00334E69" w:rsidP="00E5653F">
      <w:pPr>
        <w:pStyle w:val="ListParagraph"/>
        <w:numPr>
          <w:ilvl w:val="0"/>
          <w:numId w:val="2"/>
        </w:numPr>
        <w:tabs>
          <w:tab w:val="left" w:pos="720"/>
          <w:tab w:val="left" w:pos="1080"/>
        </w:tabs>
        <w:ind w:firstLine="0"/>
        <w:jc w:val="both"/>
        <w:rPr>
          <w:rFonts w:ascii="Cambria" w:hAnsi="Cambria"/>
          <w:sz w:val="20"/>
          <w:szCs w:val="20"/>
          <w:lang w:val="es-ES"/>
        </w:rPr>
      </w:pPr>
      <w:r w:rsidRPr="00334E69">
        <w:rPr>
          <w:rFonts w:ascii="Cambria" w:hAnsi="Cambria"/>
          <w:sz w:val="20"/>
          <w:szCs w:val="20"/>
          <w:lang w:val="es-ES"/>
        </w:rPr>
        <w:t xml:space="preserve">Katherine Doyle, presentado bajo ofrecimiento de la representación de las victimas en el caso </w:t>
      </w:r>
      <w:r w:rsidRPr="00334E69">
        <w:rPr>
          <w:rFonts w:ascii="Cambria" w:hAnsi="Cambria"/>
          <w:i/>
          <w:sz w:val="20"/>
          <w:szCs w:val="20"/>
          <w:lang w:val="es-ES"/>
        </w:rPr>
        <w:t xml:space="preserve">Masacre Aldea </w:t>
      </w:r>
      <w:r>
        <w:rPr>
          <w:rFonts w:ascii="Cambria" w:hAnsi="Cambria"/>
          <w:i/>
          <w:sz w:val="20"/>
          <w:szCs w:val="20"/>
          <w:lang w:val="es-ES"/>
        </w:rPr>
        <w:t>L</w:t>
      </w:r>
      <w:r w:rsidRPr="00334E69">
        <w:rPr>
          <w:rFonts w:ascii="Cambria" w:hAnsi="Cambria"/>
          <w:i/>
          <w:sz w:val="20"/>
          <w:szCs w:val="20"/>
          <w:lang w:val="es-ES"/>
        </w:rPr>
        <w:t>os Josefinos vs. Guatemala</w:t>
      </w:r>
      <w:r w:rsidRPr="00334E69">
        <w:rPr>
          <w:rFonts w:ascii="Cambria" w:hAnsi="Cambria"/>
          <w:sz w:val="20"/>
          <w:szCs w:val="20"/>
          <w:lang w:val="es-ES"/>
        </w:rPr>
        <w:t xml:space="preserve">, quien se pronunció respecto de la alegada obstaculización en el acceso a la información contenida en archivos militares en Guatemala en el marco de procesos de investigación de graves violaciones a los derechos humanos cometidas durante el conflicto armado interno; y el deber del Estado de resguardar, conservar y garantizar el acceso a los archivos que contengan información relevante para el esclarecimiento de este tipo de hechos. </w:t>
      </w:r>
    </w:p>
    <w:p w14:paraId="1E3C01BB" w14:textId="6FD888D8" w:rsidR="00EB6FFE" w:rsidRDefault="00EB6FFE" w:rsidP="00332F7A">
      <w:pPr>
        <w:tabs>
          <w:tab w:val="left" w:pos="720"/>
        </w:tabs>
        <w:jc w:val="both"/>
        <w:rPr>
          <w:rFonts w:ascii="Cambria" w:hAnsi="Cambria" w:cs="Calibri"/>
          <w:color w:val="000000"/>
          <w:sz w:val="20"/>
          <w:szCs w:val="20"/>
          <w:lang w:val="es-ES"/>
        </w:rPr>
      </w:pPr>
    </w:p>
    <w:p w14:paraId="52B7A0BD" w14:textId="77777777" w:rsidR="00C91673" w:rsidRPr="00C41800" w:rsidRDefault="00C91673" w:rsidP="00332F7A">
      <w:pPr>
        <w:tabs>
          <w:tab w:val="left" w:pos="720"/>
        </w:tabs>
        <w:jc w:val="both"/>
        <w:rPr>
          <w:rFonts w:ascii="Cambria" w:hAnsi="Cambria" w:cs="Calibri"/>
          <w:color w:val="000000"/>
          <w:sz w:val="20"/>
          <w:szCs w:val="20"/>
          <w:lang w:val="es-ES"/>
        </w:rPr>
      </w:pPr>
    </w:p>
    <w:p w14:paraId="7F1B2398" w14:textId="77777777" w:rsidR="00EB6FFE" w:rsidRPr="00C41800" w:rsidRDefault="00EB6FFE" w:rsidP="00332F7A">
      <w:pPr>
        <w:tabs>
          <w:tab w:val="left" w:pos="720"/>
        </w:tabs>
        <w:ind w:firstLine="720"/>
        <w:jc w:val="both"/>
        <w:rPr>
          <w:rFonts w:ascii="Cambria" w:hAnsi="Cambria" w:cs="Calibri"/>
          <w:color w:val="000000"/>
          <w:sz w:val="20"/>
          <w:szCs w:val="20"/>
          <w:lang w:val="es-ES"/>
        </w:rPr>
      </w:pPr>
      <w:r w:rsidRPr="00C41800">
        <w:rPr>
          <w:rFonts w:ascii="Cambria" w:hAnsi="Cambria" w:cs="Calibri"/>
          <w:color w:val="000000"/>
          <w:sz w:val="20"/>
          <w:szCs w:val="20"/>
          <w:lang w:val="es-ES"/>
        </w:rPr>
        <w:t>La Comisión pone en conocimiento de la Honorable Corte la siguiente información de quien actúa como parte peticionaria en el trámite ante la CIDH conforme a la información más reciente:</w:t>
      </w:r>
    </w:p>
    <w:p w14:paraId="4F31750E" w14:textId="77777777" w:rsidR="00EB6FFE" w:rsidRPr="00C41800" w:rsidRDefault="00EB6FFE" w:rsidP="00332F7A">
      <w:pPr>
        <w:tabs>
          <w:tab w:val="left" w:pos="720"/>
        </w:tabs>
        <w:jc w:val="both"/>
        <w:rPr>
          <w:rFonts w:ascii="Cambria" w:hAnsi="Cambria" w:cs="Calibri"/>
          <w:color w:val="000000"/>
          <w:sz w:val="20"/>
          <w:szCs w:val="20"/>
          <w:lang w:val="es-ES"/>
        </w:rPr>
      </w:pPr>
    </w:p>
    <w:p w14:paraId="03AE8974" w14:textId="77777777" w:rsidR="00E5653F" w:rsidRPr="00E5653F" w:rsidRDefault="00E5653F" w:rsidP="00E5653F">
      <w:pPr>
        <w:jc w:val="center"/>
        <w:rPr>
          <w:rFonts w:ascii="Cambria" w:hAnsi="Cambria"/>
          <w:bCs/>
          <w:iCs/>
          <w:sz w:val="20"/>
          <w:szCs w:val="20"/>
          <w:lang w:val="es-ES"/>
        </w:rPr>
      </w:pPr>
      <w:r w:rsidRPr="00E5653F">
        <w:rPr>
          <w:rFonts w:ascii="Cambria" w:hAnsi="Cambria"/>
          <w:bCs/>
          <w:iCs/>
          <w:sz w:val="20"/>
          <w:szCs w:val="20"/>
          <w:lang w:val="es-ES"/>
        </w:rPr>
        <w:t>Angelita Baeyens</w:t>
      </w:r>
    </w:p>
    <w:p w14:paraId="59DBE6AE" w14:textId="77777777" w:rsidR="00E5653F" w:rsidRPr="00E5653F" w:rsidRDefault="00E5653F" w:rsidP="00E5653F">
      <w:pPr>
        <w:jc w:val="center"/>
        <w:rPr>
          <w:rFonts w:ascii="Cambria" w:hAnsi="Cambria"/>
          <w:bCs/>
          <w:iCs/>
          <w:sz w:val="20"/>
          <w:szCs w:val="20"/>
          <w:lang w:val="es-ES"/>
        </w:rPr>
      </w:pPr>
      <w:r w:rsidRPr="00E5653F">
        <w:rPr>
          <w:rFonts w:ascii="Cambria" w:hAnsi="Cambria"/>
          <w:bCs/>
          <w:iCs/>
          <w:sz w:val="20"/>
          <w:szCs w:val="20"/>
          <w:lang w:val="es-ES"/>
        </w:rPr>
        <w:t>VP Incidencia y Litigio Internacional</w:t>
      </w:r>
    </w:p>
    <w:p w14:paraId="642D7C3F" w14:textId="77777777" w:rsidR="00E5653F" w:rsidRPr="002473F6" w:rsidRDefault="00E5653F" w:rsidP="00E5653F">
      <w:pPr>
        <w:jc w:val="center"/>
        <w:rPr>
          <w:rFonts w:ascii="Cambria" w:hAnsi="Cambria"/>
          <w:bCs/>
          <w:iCs/>
          <w:sz w:val="20"/>
          <w:szCs w:val="20"/>
          <w:lang w:val="es-ES"/>
        </w:rPr>
      </w:pPr>
      <w:r w:rsidRPr="002473F6">
        <w:rPr>
          <w:rFonts w:ascii="Cambria" w:hAnsi="Cambria"/>
          <w:bCs/>
          <w:iCs/>
          <w:sz w:val="20"/>
          <w:szCs w:val="20"/>
          <w:lang w:val="es-ES"/>
        </w:rPr>
        <w:t>Robert F. Kennedy Human Rights</w:t>
      </w:r>
    </w:p>
    <w:p w14:paraId="40047153" w14:textId="1E129313" w:rsidR="00E5653F" w:rsidRPr="002473F6" w:rsidRDefault="00921EE8" w:rsidP="00E5653F">
      <w:pPr>
        <w:jc w:val="center"/>
        <w:rPr>
          <w:rFonts w:ascii="Cambria" w:hAnsi="Cambria"/>
          <w:bCs/>
          <w:iCs/>
          <w:sz w:val="20"/>
          <w:szCs w:val="20"/>
          <w:highlight w:val="black"/>
          <w:lang w:val="es-ES"/>
        </w:rPr>
      </w:pPr>
      <w:r w:rsidRPr="002473F6">
        <w:rPr>
          <w:rFonts w:ascii="Cambria" w:hAnsi="Cambria"/>
          <w:bCs/>
          <w:iCs/>
          <w:sz w:val="20"/>
          <w:szCs w:val="20"/>
          <w:highlight w:val="black"/>
          <w:lang w:val="es-ES"/>
        </w:rPr>
        <w:t>XXXXXXXXXXXXXXXXXXXXXXXXXXXXXXXXXXXXXXXXXXXXXXXXXXXXXX</w:t>
      </w:r>
    </w:p>
    <w:p w14:paraId="30608273" w14:textId="43544BFB" w:rsidR="00E5653F" w:rsidRPr="00921EE8" w:rsidRDefault="00921EE8" w:rsidP="00E5653F">
      <w:pPr>
        <w:jc w:val="center"/>
        <w:rPr>
          <w:rFonts w:ascii="Cambria" w:hAnsi="Cambria"/>
          <w:bCs/>
          <w:iCs/>
          <w:sz w:val="20"/>
          <w:szCs w:val="20"/>
          <w:highlight w:val="black"/>
          <w:lang w:val="es-ES"/>
        </w:rPr>
      </w:pPr>
      <w:r w:rsidRPr="00921EE8">
        <w:rPr>
          <w:rFonts w:ascii="Cambria" w:hAnsi="Cambria"/>
          <w:bCs/>
          <w:iCs/>
          <w:sz w:val="20"/>
          <w:szCs w:val="20"/>
          <w:highlight w:val="black"/>
          <w:lang w:val="es-ES"/>
        </w:rPr>
        <w:t>XXXXXXXXXXXXXXXXXXXXXXX</w:t>
      </w:r>
    </w:p>
    <w:p w14:paraId="23862DE1" w14:textId="77777777" w:rsidR="00E5653F" w:rsidRPr="00E5653F" w:rsidRDefault="00E5653F" w:rsidP="00E5653F">
      <w:pPr>
        <w:jc w:val="center"/>
        <w:rPr>
          <w:rFonts w:ascii="Cambria" w:hAnsi="Cambria"/>
          <w:bCs/>
          <w:iCs/>
          <w:sz w:val="20"/>
          <w:szCs w:val="20"/>
          <w:lang w:val="es-ES"/>
        </w:rPr>
      </w:pPr>
    </w:p>
    <w:p w14:paraId="727A4FDF" w14:textId="01793F83" w:rsidR="00E5653F" w:rsidRPr="00E5653F" w:rsidRDefault="00E5653F" w:rsidP="00E5653F">
      <w:pPr>
        <w:jc w:val="center"/>
        <w:rPr>
          <w:rFonts w:ascii="Cambria" w:hAnsi="Cambria"/>
          <w:bCs/>
          <w:iCs/>
          <w:sz w:val="20"/>
          <w:szCs w:val="20"/>
          <w:lang w:val="es-ES"/>
        </w:rPr>
      </w:pPr>
      <w:r w:rsidRPr="00E5653F">
        <w:rPr>
          <w:rFonts w:ascii="Cambria" w:hAnsi="Cambria"/>
          <w:bCs/>
          <w:iCs/>
          <w:sz w:val="20"/>
          <w:szCs w:val="20"/>
          <w:lang w:val="es-ES"/>
        </w:rPr>
        <w:t>Consejo de Comunidades Étnicas Runujel Junam</w:t>
      </w:r>
    </w:p>
    <w:p w14:paraId="243E9715" w14:textId="08B7690D" w:rsidR="00EB6FFE" w:rsidRPr="00921EE8" w:rsidRDefault="00921EE8" w:rsidP="00E5653F">
      <w:pPr>
        <w:tabs>
          <w:tab w:val="left" w:pos="720"/>
          <w:tab w:val="left" w:pos="1455"/>
        </w:tabs>
        <w:jc w:val="center"/>
        <w:rPr>
          <w:rFonts w:ascii="Cambria" w:hAnsi="Cambria"/>
          <w:bCs/>
          <w:iCs/>
          <w:sz w:val="20"/>
          <w:szCs w:val="20"/>
          <w:highlight w:val="black"/>
          <w:lang w:val="es-ES"/>
        </w:rPr>
      </w:pPr>
      <w:r w:rsidRPr="00921EE8">
        <w:rPr>
          <w:rFonts w:ascii="Cambria" w:hAnsi="Cambria"/>
          <w:bCs/>
          <w:iCs/>
          <w:sz w:val="20"/>
          <w:szCs w:val="20"/>
          <w:highlight w:val="black"/>
          <w:lang w:val="es-ES"/>
        </w:rPr>
        <w:t>XXXXXXXXXXXXXXXXXXXXXXXXXXXXXX</w:t>
      </w:r>
    </w:p>
    <w:p w14:paraId="46A60463" w14:textId="4EEE8B2D" w:rsidR="00E5653F" w:rsidRPr="00E5653F" w:rsidRDefault="00E5653F" w:rsidP="00E5653F">
      <w:pPr>
        <w:tabs>
          <w:tab w:val="left" w:pos="720"/>
          <w:tab w:val="left" w:pos="1455"/>
        </w:tabs>
        <w:jc w:val="center"/>
        <w:rPr>
          <w:rFonts w:ascii="Cambria" w:hAnsi="Cambria" w:cs="Calibri"/>
          <w:color w:val="000000"/>
          <w:sz w:val="20"/>
          <w:szCs w:val="20"/>
          <w:lang w:val="es-ES"/>
        </w:rPr>
      </w:pPr>
    </w:p>
    <w:p w14:paraId="25C8F14F" w14:textId="77777777" w:rsidR="00E5653F" w:rsidRPr="00E5653F" w:rsidRDefault="00E5653F" w:rsidP="00E5653F">
      <w:pPr>
        <w:jc w:val="center"/>
        <w:rPr>
          <w:rFonts w:ascii="Cambria" w:hAnsi="Cambria"/>
          <w:bCs/>
          <w:iCs/>
          <w:sz w:val="20"/>
          <w:szCs w:val="20"/>
          <w:lang w:val="es-ES"/>
        </w:rPr>
      </w:pPr>
      <w:r w:rsidRPr="00E5653F">
        <w:rPr>
          <w:rFonts w:ascii="Cambria" w:hAnsi="Cambria"/>
          <w:bCs/>
          <w:iCs/>
          <w:sz w:val="20"/>
          <w:szCs w:val="20"/>
          <w:lang w:val="es-ES"/>
        </w:rPr>
        <w:t>Amilcar Méndez Urízar</w:t>
      </w:r>
    </w:p>
    <w:p w14:paraId="305E1E9B" w14:textId="35997DCB" w:rsidR="00E5653F" w:rsidRPr="00921EE8" w:rsidRDefault="00921EE8" w:rsidP="00E5653F">
      <w:pPr>
        <w:tabs>
          <w:tab w:val="left" w:pos="720"/>
          <w:tab w:val="left" w:pos="1455"/>
        </w:tabs>
        <w:jc w:val="center"/>
        <w:rPr>
          <w:rFonts w:ascii="Cambria" w:hAnsi="Cambria"/>
          <w:bCs/>
          <w:iCs/>
          <w:sz w:val="20"/>
          <w:szCs w:val="20"/>
          <w:highlight w:val="black"/>
          <w:lang w:val="es-ES"/>
        </w:rPr>
      </w:pPr>
      <w:r w:rsidRPr="00921EE8">
        <w:rPr>
          <w:rFonts w:ascii="Cambria" w:hAnsi="Cambria"/>
          <w:bCs/>
          <w:iCs/>
          <w:sz w:val="20"/>
          <w:szCs w:val="20"/>
          <w:highlight w:val="black"/>
          <w:lang w:val="es-ES"/>
        </w:rPr>
        <w:t>XXXXXXXXXXXXXXXXX</w:t>
      </w:r>
    </w:p>
    <w:p w14:paraId="21512F3B" w14:textId="77777777" w:rsidR="00E5653F" w:rsidRPr="00C41800" w:rsidRDefault="00E5653F" w:rsidP="00E5653F">
      <w:pPr>
        <w:tabs>
          <w:tab w:val="left" w:pos="720"/>
          <w:tab w:val="left" w:pos="1455"/>
        </w:tabs>
        <w:jc w:val="center"/>
        <w:rPr>
          <w:rFonts w:ascii="Cambria" w:hAnsi="Cambria" w:cs="Calibri"/>
          <w:color w:val="000000"/>
          <w:sz w:val="20"/>
          <w:szCs w:val="20"/>
          <w:lang w:val="es-ES"/>
        </w:rPr>
      </w:pPr>
    </w:p>
    <w:p w14:paraId="1036BE26" w14:textId="10C430AF" w:rsidR="00EB6FFE" w:rsidRDefault="00EB6FFE" w:rsidP="00332F7A">
      <w:pPr>
        <w:tabs>
          <w:tab w:val="left" w:pos="720"/>
        </w:tabs>
        <w:ind w:firstLine="720"/>
        <w:jc w:val="both"/>
        <w:rPr>
          <w:rFonts w:ascii="Cambria" w:hAnsi="Cambria" w:cs="Calibri"/>
          <w:color w:val="000000"/>
          <w:sz w:val="20"/>
          <w:szCs w:val="20"/>
          <w:lang w:val="es-ES"/>
        </w:rPr>
      </w:pPr>
      <w:r w:rsidRPr="00C41800">
        <w:rPr>
          <w:rFonts w:ascii="Cambria" w:hAnsi="Cambria" w:cs="Calibri"/>
          <w:color w:val="000000"/>
          <w:sz w:val="20"/>
          <w:szCs w:val="20"/>
          <w:lang w:val="es-ES"/>
        </w:rPr>
        <w:t>Aprovecho la oportunidad para saludar a usted muy atentamente,</w:t>
      </w:r>
    </w:p>
    <w:p w14:paraId="30DDFCA9" w14:textId="77777777" w:rsidR="00E5653F" w:rsidRPr="005C4C2F" w:rsidRDefault="00E5653F" w:rsidP="00E5653F">
      <w:pPr>
        <w:rPr>
          <w:rFonts w:ascii="Cambria" w:hAnsi="Cambria"/>
          <w:sz w:val="20"/>
          <w:szCs w:val="20"/>
          <w:lang w:val="es-MX"/>
        </w:rPr>
      </w:pPr>
    </w:p>
    <w:p w14:paraId="4F32BD34" w14:textId="165A0212" w:rsidR="00E5653F" w:rsidRPr="005C4C2F" w:rsidRDefault="00E5653F" w:rsidP="00E5653F">
      <w:pPr>
        <w:rPr>
          <w:rFonts w:ascii="Cambria" w:hAnsi="Cambria"/>
          <w:sz w:val="20"/>
          <w:szCs w:val="20"/>
          <w:lang w:val="es-MX"/>
        </w:rPr>
      </w:pPr>
    </w:p>
    <w:p w14:paraId="68915D9D" w14:textId="77777777" w:rsidR="00E5653F" w:rsidRPr="005C4C2F" w:rsidRDefault="00E5653F" w:rsidP="00E5653F">
      <w:pPr>
        <w:rPr>
          <w:rFonts w:ascii="Cambria" w:hAnsi="Cambria"/>
          <w:sz w:val="20"/>
          <w:szCs w:val="20"/>
          <w:lang w:val="es-MX"/>
        </w:rPr>
      </w:pPr>
    </w:p>
    <w:p w14:paraId="2BC13531" w14:textId="77777777" w:rsidR="00E5653F" w:rsidRPr="005C4C2F" w:rsidRDefault="00E5653F" w:rsidP="00E5653F">
      <w:pPr>
        <w:tabs>
          <w:tab w:val="center" w:pos="5040"/>
        </w:tabs>
        <w:jc w:val="center"/>
        <w:rPr>
          <w:rFonts w:ascii="Cambria" w:hAnsi="Cambria"/>
          <w:sz w:val="20"/>
          <w:szCs w:val="20"/>
          <w:lang w:val="es-MX"/>
        </w:rPr>
      </w:pPr>
    </w:p>
    <w:p w14:paraId="2E225485" w14:textId="77777777" w:rsidR="00E5653F" w:rsidRPr="00E5653F" w:rsidRDefault="00E5653F" w:rsidP="00E5653F">
      <w:pPr>
        <w:jc w:val="center"/>
        <w:rPr>
          <w:rFonts w:ascii="Cambria" w:hAnsi="Cambria" w:cs="Calibri"/>
          <w:sz w:val="20"/>
          <w:szCs w:val="20"/>
          <w:lang w:val="es-CO"/>
        </w:rPr>
      </w:pPr>
      <w:r w:rsidRPr="00E5653F">
        <w:rPr>
          <w:rFonts w:ascii="Cambria" w:hAnsi="Cambria" w:cs="Calibri"/>
          <w:sz w:val="20"/>
          <w:szCs w:val="20"/>
          <w:lang w:val="es-CO"/>
        </w:rPr>
        <w:t>Jorge Meza Flores</w:t>
      </w:r>
    </w:p>
    <w:p w14:paraId="7611433C" w14:textId="77777777" w:rsidR="00E5653F" w:rsidRPr="00E5653F" w:rsidRDefault="00E5653F" w:rsidP="00E5653F">
      <w:pPr>
        <w:jc w:val="center"/>
        <w:rPr>
          <w:rFonts w:ascii="Cambria" w:hAnsi="Cambria" w:cs="Calibri"/>
          <w:sz w:val="20"/>
          <w:szCs w:val="20"/>
          <w:lang w:val="es-CO"/>
        </w:rPr>
      </w:pPr>
      <w:r w:rsidRPr="00E5653F">
        <w:rPr>
          <w:rFonts w:ascii="Cambria" w:hAnsi="Cambria" w:cs="Calibri"/>
          <w:sz w:val="20"/>
          <w:szCs w:val="20"/>
          <w:lang w:val="es-CO"/>
        </w:rPr>
        <w:t>Secretario Ejecutivo Adjunto</w:t>
      </w:r>
    </w:p>
    <w:p w14:paraId="0F4D5B99" w14:textId="77777777" w:rsidR="00E5653F" w:rsidRPr="00E5653F" w:rsidRDefault="00E5653F" w:rsidP="00E5653F">
      <w:pPr>
        <w:rPr>
          <w:rFonts w:ascii="Cambria" w:hAnsi="Cambria"/>
          <w:sz w:val="20"/>
          <w:szCs w:val="20"/>
          <w:lang w:val="es-CO"/>
        </w:rPr>
      </w:pPr>
    </w:p>
    <w:p w14:paraId="518C67EA" w14:textId="2C8E764B" w:rsidR="00E5653F" w:rsidRPr="00E5653F" w:rsidRDefault="00E5653F" w:rsidP="00E5653F">
      <w:pPr>
        <w:tabs>
          <w:tab w:val="left" w:pos="720"/>
        </w:tabs>
        <w:rPr>
          <w:rFonts w:ascii="Cambria" w:hAnsi="Cambria" w:cs="Calibri"/>
          <w:color w:val="000000"/>
          <w:sz w:val="20"/>
          <w:szCs w:val="20"/>
          <w:lang w:val="es-MX"/>
        </w:rPr>
      </w:pPr>
      <w:r w:rsidRPr="00E5653F">
        <w:rPr>
          <w:rFonts w:ascii="Cambria" w:hAnsi="Cambria" w:cstheme="minorHAnsi"/>
          <w:sz w:val="20"/>
          <w:szCs w:val="20"/>
          <w:lang w:val="es-PR"/>
        </w:rPr>
        <w:t>Anexo</w:t>
      </w:r>
    </w:p>
    <w:sectPr w:rsidR="00E5653F" w:rsidRPr="00E5653F" w:rsidSect="00F33A45">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A3E65" w14:textId="77777777" w:rsidR="00713CFD" w:rsidRDefault="00713CFD" w:rsidP="004D58FB">
      <w:r>
        <w:separator/>
      </w:r>
    </w:p>
  </w:endnote>
  <w:endnote w:type="continuationSeparator" w:id="0">
    <w:p w14:paraId="0222DCFD" w14:textId="77777777" w:rsidR="00713CFD" w:rsidRDefault="00713CFD" w:rsidP="004D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A00A4" w14:textId="77777777" w:rsidR="00A01188" w:rsidRDefault="00A01188">
    <w:pPr>
      <w:pStyle w:val="Footer"/>
    </w:pPr>
    <w:r w:rsidRPr="008A5CB5">
      <w:rPr>
        <w:noProof/>
      </w:rPr>
      <w:drawing>
        <wp:inline distT="0" distB="0" distL="0" distR="0" wp14:anchorId="29394065" wp14:editId="14683E1B">
          <wp:extent cx="5120640" cy="311785"/>
          <wp:effectExtent l="0" t="0" r="0" b="0"/>
          <wp:docPr id="3" name="Picture 35" descr="C:\Users\mfontana\Documents\Eva Fontana\GRAFICA CIDH\cartas\logos\footer-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17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F99E6" w14:textId="77777777" w:rsidR="00713CFD" w:rsidRDefault="00713CFD" w:rsidP="004D58FB">
      <w:r>
        <w:separator/>
      </w:r>
    </w:p>
  </w:footnote>
  <w:footnote w:type="continuationSeparator" w:id="0">
    <w:p w14:paraId="17FB32A5" w14:textId="77777777" w:rsidR="00713CFD" w:rsidRDefault="00713CFD" w:rsidP="004D5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38B3" w14:textId="77777777" w:rsidR="004D58FB" w:rsidRDefault="004D58FB" w:rsidP="004D58FB">
    <w:pPr>
      <w:pStyle w:val="Header"/>
    </w:pPr>
    <w:r w:rsidRPr="008A5CB5">
      <w:rPr>
        <w:noProof/>
      </w:rPr>
      <w:drawing>
        <wp:inline distT="0" distB="0" distL="0" distR="0" wp14:anchorId="017C29A8" wp14:editId="1356B2B4">
          <wp:extent cx="2349500" cy="457200"/>
          <wp:effectExtent l="0" t="0" r="0" b="0"/>
          <wp:docPr id="4" name="Picture 1" descr="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457200"/>
                  </a:xfrm>
                  <a:prstGeom prst="rect">
                    <a:avLst/>
                  </a:prstGeom>
                  <a:noFill/>
                  <a:ln>
                    <a:noFill/>
                  </a:ln>
                </pic:spPr>
              </pic:pic>
            </a:graphicData>
          </a:graphic>
        </wp:inline>
      </w:drawing>
    </w:r>
    <w:r>
      <w:tab/>
    </w:r>
    <w:r>
      <w:tab/>
    </w:r>
    <w:r w:rsidRPr="008A5CB5">
      <w:rPr>
        <w:noProof/>
      </w:rPr>
      <w:drawing>
        <wp:inline distT="0" distB="0" distL="0" distR="0" wp14:anchorId="00125E5D" wp14:editId="5BBAD2E3">
          <wp:extent cx="1651000" cy="469900"/>
          <wp:effectExtent l="0" t="0" r="0" b="0"/>
          <wp:docPr id="5" name="Picture 2" descr="C:\Users\mfontana\Documents\Eva Fontana\GRAFICA CIDH\cartas\logos\oea-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1000" cy="469900"/>
                  </a:xfrm>
                  <a:prstGeom prst="rect">
                    <a:avLst/>
                  </a:prstGeom>
                  <a:noFill/>
                  <a:ln>
                    <a:noFill/>
                  </a:ln>
                </pic:spPr>
              </pic:pic>
            </a:graphicData>
          </a:graphic>
        </wp:inline>
      </w:drawing>
    </w:r>
  </w:p>
  <w:p w14:paraId="40A7E03A" w14:textId="0FDB4FE5" w:rsidR="004D58FB" w:rsidRPr="00332F7A" w:rsidRDefault="00332F7A">
    <w:pPr>
      <w:pStyle w:val="Header"/>
      <w:rPr>
        <w:lang w:val="es-US"/>
      </w:rPr>
    </w:pPr>
    <w:r>
      <w:rPr>
        <w:lang w:val="es-US"/>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E14DE"/>
    <w:multiLevelType w:val="hybridMultilevel"/>
    <w:tmpl w:val="BA4C9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0869BB"/>
    <w:multiLevelType w:val="hybridMultilevel"/>
    <w:tmpl w:val="9AD20376"/>
    <w:lvl w:ilvl="0" w:tplc="2692FF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385563738">
    <w:abstractNumId w:val="1"/>
  </w:num>
  <w:num w:numId="2" w16cid:durableId="1025255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FB"/>
    <w:rsid w:val="000608E8"/>
    <w:rsid w:val="000A3DEB"/>
    <w:rsid w:val="000A4338"/>
    <w:rsid w:val="000B0CAA"/>
    <w:rsid w:val="00156E0B"/>
    <w:rsid w:val="002473F6"/>
    <w:rsid w:val="002922F2"/>
    <w:rsid w:val="002A4A50"/>
    <w:rsid w:val="002D21AB"/>
    <w:rsid w:val="002E7DCB"/>
    <w:rsid w:val="00320E2A"/>
    <w:rsid w:val="00332F7A"/>
    <w:rsid w:val="00334E69"/>
    <w:rsid w:val="003602F3"/>
    <w:rsid w:val="003746A6"/>
    <w:rsid w:val="003951C5"/>
    <w:rsid w:val="00395E5C"/>
    <w:rsid w:val="003A1684"/>
    <w:rsid w:val="003B51A5"/>
    <w:rsid w:val="004D58FB"/>
    <w:rsid w:val="00511B7E"/>
    <w:rsid w:val="00570286"/>
    <w:rsid w:val="005970AF"/>
    <w:rsid w:val="005A0558"/>
    <w:rsid w:val="005C4C2F"/>
    <w:rsid w:val="006366AC"/>
    <w:rsid w:val="006A2D38"/>
    <w:rsid w:val="00713CFD"/>
    <w:rsid w:val="0073722D"/>
    <w:rsid w:val="00747468"/>
    <w:rsid w:val="00756221"/>
    <w:rsid w:val="007E5E74"/>
    <w:rsid w:val="0083039E"/>
    <w:rsid w:val="00860D72"/>
    <w:rsid w:val="008D6371"/>
    <w:rsid w:val="008F5C23"/>
    <w:rsid w:val="00921EE8"/>
    <w:rsid w:val="0093294D"/>
    <w:rsid w:val="0096351F"/>
    <w:rsid w:val="00963F5F"/>
    <w:rsid w:val="00973379"/>
    <w:rsid w:val="009D5BED"/>
    <w:rsid w:val="00A01188"/>
    <w:rsid w:val="00BD64A7"/>
    <w:rsid w:val="00BF4D98"/>
    <w:rsid w:val="00C66C84"/>
    <w:rsid w:val="00C91673"/>
    <w:rsid w:val="00CA1259"/>
    <w:rsid w:val="00CB7416"/>
    <w:rsid w:val="00CC6099"/>
    <w:rsid w:val="00D15272"/>
    <w:rsid w:val="00D6305E"/>
    <w:rsid w:val="00E036A3"/>
    <w:rsid w:val="00E25CE8"/>
    <w:rsid w:val="00E5653F"/>
    <w:rsid w:val="00E862DD"/>
    <w:rsid w:val="00EA78D2"/>
    <w:rsid w:val="00EB6FFE"/>
    <w:rsid w:val="00F07570"/>
    <w:rsid w:val="00F33A45"/>
    <w:rsid w:val="00F52573"/>
    <w:rsid w:val="00FA3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B2B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CE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4D58FB"/>
    <w:pPr>
      <w:tabs>
        <w:tab w:val="center" w:pos="4680"/>
        <w:tab w:val="right" w:pos="9360"/>
      </w:tabs>
    </w:pPr>
    <w:rPr>
      <w:rFonts w:asciiTheme="minorHAnsi" w:eastAsiaTheme="minorHAnsi" w:hAnsiTheme="minorHAnsi" w:cstheme="minorBidi"/>
    </w:rPr>
  </w:style>
  <w:style w:type="character" w:customStyle="1" w:styleId="HeaderChar">
    <w:name w:val="Header Char"/>
    <w:aliases w:val="encabezado Char"/>
    <w:basedOn w:val="DefaultParagraphFont"/>
    <w:link w:val="Header"/>
    <w:rsid w:val="004D58FB"/>
  </w:style>
  <w:style w:type="paragraph" w:styleId="Footer">
    <w:name w:val="footer"/>
    <w:basedOn w:val="Normal"/>
    <w:link w:val="FooterChar"/>
    <w:uiPriority w:val="99"/>
    <w:unhideWhenUsed/>
    <w:rsid w:val="004D58F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D58FB"/>
  </w:style>
  <w:style w:type="paragraph" w:customStyle="1" w:styleId="xmsolistparagraph">
    <w:name w:val="x_msolistparagraph"/>
    <w:basedOn w:val="Normal"/>
    <w:rsid w:val="004D58FB"/>
    <w:pPr>
      <w:spacing w:before="100" w:beforeAutospacing="1" w:after="100" w:afterAutospacing="1"/>
    </w:pPr>
    <w:rPr>
      <w:lang w:val="es-CO" w:eastAsia="es-ES_tradnl"/>
    </w:rPr>
  </w:style>
  <w:style w:type="paragraph" w:styleId="NormalWeb">
    <w:name w:val="Normal (Web)"/>
    <w:basedOn w:val="Normal"/>
    <w:uiPriority w:val="99"/>
    <w:unhideWhenUsed/>
    <w:rsid w:val="00E25CE8"/>
    <w:pPr>
      <w:spacing w:before="100" w:beforeAutospacing="1" w:after="100" w:afterAutospacing="1"/>
    </w:pPr>
  </w:style>
  <w:style w:type="paragraph" w:styleId="ListParagraph">
    <w:name w:val="List Paragraph"/>
    <w:basedOn w:val="Normal"/>
    <w:uiPriority w:val="34"/>
    <w:qFormat/>
    <w:rsid w:val="00EB6FFE"/>
    <w:pPr>
      <w:ind w:left="720"/>
      <w:contextualSpacing/>
    </w:pPr>
  </w:style>
  <w:style w:type="paragraph" w:styleId="BalloonText">
    <w:name w:val="Balloon Text"/>
    <w:basedOn w:val="Normal"/>
    <w:link w:val="BalloonTextChar"/>
    <w:uiPriority w:val="99"/>
    <w:semiHidden/>
    <w:unhideWhenUsed/>
    <w:rsid w:val="00EB6FF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B6FFE"/>
    <w:rPr>
      <w:rFonts w:ascii="Tahoma" w:eastAsia="Calibri" w:hAnsi="Tahoma" w:cs="Tahoma"/>
      <w:sz w:val="16"/>
      <w:szCs w:val="16"/>
    </w:rPr>
  </w:style>
  <w:style w:type="character" w:styleId="Hyperlink">
    <w:name w:val="Hyperlink"/>
    <w:uiPriority w:val="99"/>
    <w:unhideWhenUsed/>
    <w:rsid w:val="00E565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6043">
      <w:bodyDiv w:val="1"/>
      <w:marLeft w:val="0"/>
      <w:marRight w:val="0"/>
      <w:marTop w:val="0"/>
      <w:marBottom w:val="0"/>
      <w:divBdr>
        <w:top w:val="none" w:sz="0" w:space="0" w:color="auto"/>
        <w:left w:val="none" w:sz="0" w:space="0" w:color="auto"/>
        <w:bottom w:val="none" w:sz="0" w:space="0" w:color="auto"/>
        <w:right w:val="none" w:sz="0" w:space="0" w:color="auto"/>
      </w:divBdr>
    </w:div>
    <w:div w:id="51971934">
      <w:bodyDiv w:val="1"/>
      <w:marLeft w:val="0"/>
      <w:marRight w:val="0"/>
      <w:marTop w:val="0"/>
      <w:marBottom w:val="0"/>
      <w:divBdr>
        <w:top w:val="none" w:sz="0" w:space="0" w:color="auto"/>
        <w:left w:val="none" w:sz="0" w:space="0" w:color="auto"/>
        <w:bottom w:val="none" w:sz="0" w:space="0" w:color="auto"/>
        <w:right w:val="none" w:sz="0" w:space="0" w:color="auto"/>
      </w:divBdr>
      <w:divsChild>
        <w:div w:id="718553062">
          <w:marLeft w:val="0"/>
          <w:marRight w:val="0"/>
          <w:marTop w:val="0"/>
          <w:marBottom w:val="0"/>
          <w:divBdr>
            <w:top w:val="none" w:sz="0" w:space="0" w:color="auto"/>
            <w:left w:val="none" w:sz="0" w:space="0" w:color="auto"/>
            <w:bottom w:val="none" w:sz="0" w:space="0" w:color="auto"/>
            <w:right w:val="none" w:sz="0" w:space="0" w:color="auto"/>
          </w:divBdr>
          <w:divsChild>
            <w:div w:id="13653633">
              <w:marLeft w:val="0"/>
              <w:marRight w:val="0"/>
              <w:marTop w:val="0"/>
              <w:marBottom w:val="0"/>
              <w:divBdr>
                <w:top w:val="none" w:sz="0" w:space="0" w:color="auto"/>
                <w:left w:val="none" w:sz="0" w:space="0" w:color="auto"/>
                <w:bottom w:val="none" w:sz="0" w:space="0" w:color="auto"/>
                <w:right w:val="none" w:sz="0" w:space="0" w:color="auto"/>
              </w:divBdr>
              <w:divsChild>
                <w:div w:id="74325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89152">
      <w:bodyDiv w:val="1"/>
      <w:marLeft w:val="0"/>
      <w:marRight w:val="0"/>
      <w:marTop w:val="0"/>
      <w:marBottom w:val="0"/>
      <w:divBdr>
        <w:top w:val="none" w:sz="0" w:space="0" w:color="auto"/>
        <w:left w:val="none" w:sz="0" w:space="0" w:color="auto"/>
        <w:bottom w:val="none" w:sz="0" w:space="0" w:color="auto"/>
        <w:right w:val="none" w:sz="0" w:space="0" w:color="auto"/>
      </w:divBdr>
      <w:divsChild>
        <w:div w:id="412898710">
          <w:marLeft w:val="0"/>
          <w:marRight w:val="0"/>
          <w:marTop w:val="0"/>
          <w:marBottom w:val="0"/>
          <w:divBdr>
            <w:top w:val="none" w:sz="0" w:space="0" w:color="auto"/>
            <w:left w:val="none" w:sz="0" w:space="0" w:color="auto"/>
            <w:bottom w:val="none" w:sz="0" w:space="0" w:color="auto"/>
            <w:right w:val="none" w:sz="0" w:space="0" w:color="auto"/>
          </w:divBdr>
          <w:divsChild>
            <w:div w:id="1024867329">
              <w:marLeft w:val="0"/>
              <w:marRight w:val="0"/>
              <w:marTop w:val="0"/>
              <w:marBottom w:val="0"/>
              <w:divBdr>
                <w:top w:val="none" w:sz="0" w:space="0" w:color="auto"/>
                <w:left w:val="none" w:sz="0" w:space="0" w:color="auto"/>
                <w:bottom w:val="none" w:sz="0" w:space="0" w:color="auto"/>
                <w:right w:val="none" w:sz="0" w:space="0" w:color="auto"/>
              </w:divBdr>
              <w:divsChild>
                <w:div w:id="193601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0371">
      <w:bodyDiv w:val="1"/>
      <w:marLeft w:val="0"/>
      <w:marRight w:val="0"/>
      <w:marTop w:val="0"/>
      <w:marBottom w:val="0"/>
      <w:divBdr>
        <w:top w:val="none" w:sz="0" w:space="0" w:color="auto"/>
        <w:left w:val="none" w:sz="0" w:space="0" w:color="auto"/>
        <w:bottom w:val="none" w:sz="0" w:space="0" w:color="auto"/>
        <w:right w:val="none" w:sz="0" w:space="0" w:color="auto"/>
      </w:divBdr>
      <w:divsChild>
        <w:div w:id="655260584">
          <w:marLeft w:val="0"/>
          <w:marRight w:val="0"/>
          <w:marTop w:val="0"/>
          <w:marBottom w:val="0"/>
          <w:divBdr>
            <w:top w:val="none" w:sz="0" w:space="0" w:color="auto"/>
            <w:left w:val="none" w:sz="0" w:space="0" w:color="auto"/>
            <w:bottom w:val="none" w:sz="0" w:space="0" w:color="auto"/>
            <w:right w:val="none" w:sz="0" w:space="0" w:color="auto"/>
          </w:divBdr>
          <w:divsChild>
            <w:div w:id="1350067255">
              <w:marLeft w:val="0"/>
              <w:marRight w:val="0"/>
              <w:marTop w:val="0"/>
              <w:marBottom w:val="0"/>
              <w:divBdr>
                <w:top w:val="none" w:sz="0" w:space="0" w:color="auto"/>
                <w:left w:val="none" w:sz="0" w:space="0" w:color="auto"/>
                <w:bottom w:val="none" w:sz="0" w:space="0" w:color="auto"/>
                <w:right w:val="none" w:sz="0" w:space="0" w:color="auto"/>
              </w:divBdr>
              <w:divsChild>
                <w:div w:id="51249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34710">
      <w:bodyDiv w:val="1"/>
      <w:marLeft w:val="0"/>
      <w:marRight w:val="0"/>
      <w:marTop w:val="0"/>
      <w:marBottom w:val="0"/>
      <w:divBdr>
        <w:top w:val="none" w:sz="0" w:space="0" w:color="auto"/>
        <w:left w:val="none" w:sz="0" w:space="0" w:color="auto"/>
        <w:bottom w:val="none" w:sz="0" w:space="0" w:color="auto"/>
        <w:right w:val="none" w:sz="0" w:space="0" w:color="auto"/>
      </w:divBdr>
    </w:div>
    <w:div w:id="565144311">
      <w:bodyDiv w:val="1"/>
      <w:marLeft w:val="0"/>
      <w:marRight w:val="0"/>
      <w:marTop w:val="0"/>
      <w:marBottom w:val="0"/>
      <w:divBdr>
        <w:top w:val="none" w:sz="0" w:space="0" w:color="auto"/>
        <w:left w:val="none" w:sz="0" w:space="0" w:color="auto"/>
        <w:bottom w:val="none" w:sz="0" w:space="0" w:color="auto"/>
        <w:right w:val="none" w:sz="0" w:space="0" w:color="auto"/>
      </w:divBdr>
      <w:divsChild>
        <w:div w:id="558977778">
          <w:marLeft w:val="0"/>
          <w:marRight w:val="0"/>
          <w:marTop w:val="0"/>
          <w:marBottom w:val="0"/>
          <w:divBdr>
            <w:top w:val="none" w:sz="0" w:space="0" w:color="auto"/>
            <w:left w:val="none" w:sz="0" w:space="0" w:color="auto"/>
            <w:bottom w:val="none" w:sz="0" w:space="0" w:color="auto"/>
            <w:right w:val="none" w:sz="0" w:space="0" w:color="auto"/>
          </w:divBdr>
          <w:divsChild>
            <w:div w:id="573903998">
              <w:marLeft w:val="0"/>
              <w:marRight w:val="0"/>
              <w:marTop w:val="0"/>
              <w:marBottom w:val="0"/>
              <w:divBdr>
                <w:top w:val="none" w:sz="0" w:space="0" w:color="auto"/>
                <w:left w:val="none" w:sz="0" w:space="0" w:color="auto"/>
                <w:bottom w:val="none" w:sz="0" w:space="0" w:color="auto"/>
                <w:right w:val="none" w:sz="0" w:space="0" w:color="auto"/>
              </w:divBdr>
              <w:divsChild>
                <w:div w:id="11949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79891">
      <w:bodyDiv w:val="1"/>
      <w:marLeft w:val="0"/>
      <w:marRight w:val="0"/>
      <w:marTop w:val="0"/>
      <w:marBottom w:val="0"/>
      <w:divBdr>
        <w:top w:val="none" w:sz="0" w:space="0" w:color="auto"/>
        <w:left w:val="none" w:sz="0" w:space="0" w:color="auto"/>
        <w:bottom w:val="none" w:sz="0" w:space="0" w:color="auto"/>
        <w:right w:val="none" w:sz="0" w:space="0" w:color="auto"/>
      </w:divBdr>
    </w:div>
    <w:div w:id="1361858122">
      <w:bodyDiv w:val="1"/>
      <w:marLeft w:val="0"/>
      <w:marRight w:val="0"/>
      <w:marTop w:val="0"/>
      <w:marBottom w:val="0"/>
      <w:divBdr>
        <w:top w:val="none" w:sz="0" w:space="0" w:color="auto"/>
        <w:left w:val="none" w:sz="0" w:space="0" w:color="auto"/>
        <w:bottom w:val="none" w:sz="0" w:space="0" w:color="auto"/>
        <w:right w:val="none" w:sz="0" w:space="0" w:color="auto"/>
      </w:divBdr>
    </w:div>
    <w:div w:id="1469713031">
      <w:bodyDiv w:val="1"/>
      <w:marLeft w:val="0"/>
      <w:marRight w:val="0"/>
      <w:marTop w:val="0"/>
      <w:marBottom w:val="0"/>
      <w:divBdr>
        <w:top w:val="none" w:sz="0" w:space="0" w:color="auto"/>
        <w:left w:val="none" w:sz="0" w:space="0" w:color="auto"/>
        <w:bottom w:val="none" w:sz="0" w:space="0" w:color="auto"/>
        <w:right w:val="none" w:sz="0" w:space="0" w:color="auto"/>
      </w:divBdr>
    </w:div>
    <w:div w:id="1491209952">
      <w:bodyDiv w:val="1"/>
      <w:marLeft w:val="0"/>
      <w:marRight w:val="0"/>
      <w:marTop w:val="0"/>
      <w:marBottom w:val="0"/>
      <w:divBdr>
        <w:top w:val="none" w:sz="0" w:space="0" w:color="auto"/>
        <w:left w:val="none" w:sz="0" w:space="0" w:color="auto"/>
        <w:bottom w:val="none" w:sz="0" w:space="0" w:color="auto"/>
        <w:right w:val="none" w:sz="0" w:space="0" w:color="auto"/>
      </w:divBdr>
      <w:divsChild>
        <w:div w:id="1891304741">
          <w:marLeft w:val="0"/>
          <w:marRight w:val="0"/>
          <w:marTop w:val="0"/>
          <w:marBottom w:val="0"/>
          <w:divBdr>
            <w:top w:val="none" w:sz="0" w:space="0" w:color="auto"/>
            <w:left w:val="none" w:sz="0" w:space="0" w:color="auto"/>
            <w:bottom w:val="none" w:sz="0" w:space="0" w:color="auto"/>
            <w:right w:val="none" w:sz="0" w:space="0" w:color="auto"/>
          </w:divBdr>
          <w:divsChild>
            <w:div w:id="461579830">
              <w:marLeft w:val="0"/>
              <w:marRight w:val="0"/>
              <w:marTop w:val="0"/>
              <w:marBottom w:val="0"/>
              <w:divBdr>
                <w:top w:val="none" w:sz="0" w:space="0" w:color="auto"/>
                <w:left w:val="none" w:sz="0" w:space="0" w:color="auto"/>
                <w:bottom w:val="none" w:sz="0" w:space="0" w:color="auto"/>
                <w:right w:val="none" w:sz="0" w:space="0" w:color="auto"/>
              </w:divBdr>
              <w:divsChild>
                <w:div w:id="4518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36407">
      <w:bodyDiv w:val="1"/>
      <w:marLeft w:val="0"/>
      <w:marRight w:val="0"/>
      <w:marTop w:val="0"/>
      <w:marBottom w:val="0"/>
      <w:divBdr>
        <w:top w:val="none" w:sz="0" w:space="0" w:color="auto"/>
        <w:left w:val="none" w:sz="0" w:space="0" w:color="auto"/>
        <w:bottom w:val="none" w:sz="0" w:space="0" w:color="auto"/>
        <w:right w:val="none" w:sz="0" w:space="0" w:color="auto"/>
      </w:divBdr>
    </w:div>
    <w:div w:id="1530026440">
      <w:bodyDiv w:val="1"/>
      <w:marLeft w:val="0"/>
      <w:marRight w:val="0"/>
      <w:marTop w:val="0"/>
      <w:marBottom w:val="0"/>
      <w:divBdr>
        <w:top w:val="none" w:sz="0" w:space="0" w:color="auto"/>
        <w:left w:val="none" w:sz="0" w:space="0" w:color="auto"/>
        <w:bottom w:val="none" w:sz="0" w:space="0" w:color="auto"/>
        <w:right w:val="none" w:sz="0" w:space="0" w:color="auto"/>
      </w:divBdr>
    </w:div>
    <w:div w:id="1648120440">
      <w:bodyDiv w:val="1"/>
      <w:marLeft w:val="0"/>
      <w:marRight w:val="0"/>
      <w:marTop w:val="0"/>
      <w:marBottom w:val="0"/>
      <w:divBdr>
        <w:top w:val="none" w:sz="0" w:space="0" w:color="auto"/>
        <w:left w:val="none" w:sz="0" w:space="0" w:color="auto"/>
        <w:bottom w:val="none" w:sz="0" w:space="0" w:color="auto"/>
        <w:right w:val="none" w:sz="0" w:space="0" w:color="auto"/>
      </w:divBdr>
    </w:div>
    <w:div w:id="1773092419">
      <w:bodyDiv w:val="1"/>
      <w:marLeft w:val="0"/>
      <w:marRight w:val="0"/>
      <w:marTop w:val="0"/>
      <w:marBottom w:val="0"/>
      <w:divBdr>
        <w:top w:val="none" w:sz="0" w:space="0" w:color="auto"/>
        <w:left w:val="none" w:sz="0" w:space="0" w:color="auto"/>
        <w:bottom w:val="none" w:sz="0" w:space="0" w:color="auto"/>
        <w:right w:val="none" w:sz="0" w:space="0" w:color="auto"/>
      </w:divBdr>
      <w:divsChild>
        <w:div w:id="1585409748">
          <w:marLeft w:val="0"/>
          <w:marRight w:val="0"/>
          <w:marTop w:val="0"/>
          <w:marBottom w:val="0"/>
          <w:divBdr>
            <w:top w:val="none" w:sz="0" w:space="0" w:color="auto"/>
            <w:left w:val="none" w:sz="0" w:space="0" w:color="auto"/>
            <w:bottom w:val="none" w:sz="0" w:space="0" w:color="auto"/>
            <w:right w:val="none" w:sz="0" w:space="0" w:color="auto"/>
          </w:divBdr>
          <w:divsChild>
            <w:div w:id="878006520">
              <w:marLeft w:val="0"/>
              <w:marRight w:val="0"/>
              <w:marTop w:val="0"/>
              <w:marBottom w:val="0"/>
              <w:divBdr>
                <w:top w:val="none" w:sz="0" w:space="0" w:color="auto"/>
                <w:left w:val="none" w:sz="0" w:space="0" w:color="auto"/>
                <w:bottom w:val="none" w:sz="0" w:space="0" w:color="auto"/>
                <w:right w:val="none" w:sz="0" w:space="0" w:color="auto"/>
              </w:divBdr>
              <w:divsChild>
                <w:div w:id="2920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4244">
      <w:bodyDiv w:val="1"/>
      <w:marLeft w:val="0"/>
      <w:marRight w:val="0"/>
      <w:marTop w:val="0"/>
      <w:marBottom w:val="0"/>
      <w:divBdr>
        <w:top w:val="none" w:sz="0" w:space="0" w:color="auto"/>
        <w:left w:val="none" w:sz="0" w:space="0" w:color="auto"/>
        <w:bottom w:val="none" w:sz="0" w:space="0" w:color="auto"/>
        <w:right w:val="none" w:sz="0" w:space="0" w:color="auto"/>
      </w:divBdr>
      <w:divsChild>
        <w:div w:id="1325663849">
          <w:marLeft w:val="0"/>
          <w:marRight w:val="0"/>
          <w:marTop w:val="0"/>
          <w:marBottom w:val="0"/>
          <w:divBdr>
            <w:top w:val="none" w:sz="0" w:space="0" w:color="auto"/>
            <w:left w:val="none" w:sz="0" w:space="0" w:color="auto"/>
            <w:bottom w:val="none" w:sz="0" w:space="0" w:color="auto"/>
            <w:right w:val="none" w:sz="0" w:space="0" w:color="auto"/>
          </w:divBdr>
          <w:divsChild>
            <w:div w:id="138352583">
              <w:marLeft w:val="0"/>
              <w:marRight w:val="0"/>
              <w:marTop w:val="0"/>
              <w:marBottom w:val="0"/>
              <w:divBdr>
                <w:top w:val="none" w:sz="0" w:space="0" w:color="auto"/>
                <w:left w:val="none" w:sz="0" w:space="0" w:color="auto"/>
                <w:bottom w:val="none" w:sz="0" w:space="0" w:color="auto"/>
                <w:right w:val="none" w:sz="0" w:space="0" w:color="auto"/>
              </w:divBdr>
              <w:divsChild>
                <w:div w:id="12309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42749">
      <w:bodyDiv w:val="1"/>
      <w:marLeft w:val="0"/>
      <w:marRight w:val="0"/>
      <w:marTop w:val="0"/>
      <w:marBottom w:val="0"/>
      <w:divBdr>
        <w:top w:val="none" w:sz="0" w:space="0" w:color="auto"/>
        <w:left w:val="none" w:sz="0" w:space="0" w:color="auto"/>
        <w:bottom w:val="none" w:sz="0" w:space="0" w:color="auto"/>
        <w:right w:val="none" w:sz="0" w:space="0" w:color="auto"/>
      </w:divBdr>
      <w:divsChild>
        <w:div w:id="1759212431">
          <w:marLeft w:val="0"/>
          <w:marRight w:val="0"/>
          <w:marTop w:val="0"/>
          <w:marBottom w:val="0"/>
          <w:divBdr>
            <w:top w:val="none" w:sz="0" w:space="0" w:color="auto"/>
            <w:left w:val="none" w:sz="0" w:space="0" w:color="auto"/>
            <w:bottom w:val="none" w:sz="0" w:space="0" w:color="auto"/>
            <w:right w:val="none" w:sz="0" w:space="0" w:color="auto"/>
          </w:divBdr>
          <w:divsChild>
            <w:div w:id="1870296325">
              <w:marLeft w:val="0"/>
              <w:marRight w:val="0"/>
              <w:marTop w:val="0"/>
              <w:marBottom w:val="0"/>
              <w:divBdr>
                <w:top w:val="none" w:sz="0" w:space="0" w:color="auto"/>
                <w:left w:val="none" w:sz="0" w:space="0" w:color="auto"/>
                <w:bottom w:val="none" w:sz="0" w:space="0" w:color="auto"/>
                <w:right w:val="none" w:sz="0" w:space="0" w:color="auto"/>
              </w:divBdr>
              <w:divsChild>
                <w:div w:id="1273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96793">
      <w:bodyDiv w:val="1"/>
      <w:marLeft w:val="0"/>
      <w:marRight w:val="0"/>
      <w:marTop w:val="0"/>
      <w:marBottom w:val="0"/>
      <w:divBdr>
        <w:top w:val="none" w:sz="0" w:space="0" w:color="auto"/>
        <w:left w:val="none" w:sz="0" w:space="0" w:color="auto"/>
        <w:bottom w:val="none" w:sz="0" w:space="0" w:color="auto"/>
        <w:right w:val="none" w:sz="0" w:space="0" w:color="auto"/>
      </w:divBdr>
      <w:divsChild>
        <w:div w:id="1536503287">
          <w:marLeft w:val="0"/>
          <w:marRight w:val="0"/>
          <w:marTop w:val="0"/>
          <w:marBottom w:val="0"/>
          <w:divBdr>
            <w:top w:val="none" w:sz="0" w:space="0" w:color="auto"/>
            <w:left w:val="none" w:sz="0" w:space="0" w:color="auto"/>
            <w:bottom w:val="none" w:sz="0" w:space="0" w:color="auto"/>
            <w:right w:val="none" w:sz="0" w:space="0" w:color="auto"/>
          </w:divBdr>
          <w:divsChild>
            <w:div w:id="986589596">
              <w:marLeft w:val="0"/>
              <w:marRight w:val="0"/>
              <w:marTop w:val="0"/>
              <w:marBottom w:val="0"/>
              <w:divBdr>
                <w:top w:val="none" w:sz="0" w:space="0" w:color="auto"/>
                <w:left w:val="none" w:sz="0" w:space="0" w:color="auto"/>
                <w:bottom w:val="none" w:sz="0" w:space="0" w:color="auto"/>
                <w:right w:val="none" w:sz="0" w:space="0" w:color="auto"/>
              </w:divBdr>
              <w:divsChild>
                <w:div w:id="5767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88242">
      <w:bodyDiv w:val="1"/>
      <w:marLeft w:val="0"/>
      <w:marRight w:val="0"/>
      <w:marTop w:val="0"/>
      <w:marBottom w:val="0"/>
      <w:divBdr>
        <w:top w:val="none" w:sz="0" w:space="0" w:color="auto"/>
        <w:left w:val="none" w:sz="0" w:space="0" w:color="auto"/>
        <w:bottom w:val="none" w:sz="0" w:space="0" w:color="auto"/>
        <w:right w:val="none" w:sz="0" w:space="0" w:color="auto"/>
      </w:divBdr>
    </w:div>
    <w:div w:id="2138523724">
      <w:bodyDiv w:val="1"/>
      <w:marLeft w:val="0"/>
      <w:marRight w:val="0"/>
      <w:marTop w:val="0"/>
      <w:marBottom w:val="0"/>
      <w:divBdr>
        <w:top w:val="none" w:sz="0" w:space="0" w:color="auto"/>
        <w:left w:val="none" w:sz="0" w:space="0" w:color="auto"/>
        <w:bottom w:val="none" w:sz="0" w:space="0" w:color="auto"/>
        <w:right w:val="none" w:sz="0" w:space="0" w:color="auto"/>
      </w:divBdr>
      <w:divsChild>
        <w:div w:id="198512034">
          <w:marLeft w:val="0"/>
          <w:marRight w:val="0"/>
          <w:marTop w:val="0"/>
          <w:marBottom w:val="0"/>
          <w:divBdr>
            <w:top w:val="none" w:sz="0" w:space="0" w:color="auto"/>
            <w:left w:val="none" w:sz="0" w:space="0" w:color="auto"/>
            <w:bottom w:val="none" w:sz="0" w:space="0" w:color="auto"/>
            <w:right w:val="none" w:sz="0" w:space="0" w:color="auto"/>
          </w:divBdr>
          <w:divsChild>
            <w:div w:id="977345201">
              <w:marLeft w:val="0"/>
              <w:marRight w:val="0"/>
              <w:marTop w:val="0"/>
              <w:marBottom w:val="0"/>
              <w:divBdr>
                <w:top w:val="none" w:sz="0" w:space="0" w:color="auto"/>
                <w:left w:val="none" w:sz="0" w:space="0" w:color="auto"/>
                <w:bottom w:val="none" w:sz="0" w:space="0" w:color="auto"/>
                <w:right w:val="none" w:sz="0" w:space="0" w:color="auto"/>
              </w:divBdr>
              <w:divsChild>
                <w:div w:id="9421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2712</Words>
  <Characters>15459</Characters>
  <Application>Microsoft Office Word</Application>
  <DocSecurity>0</DocSecurity>
  <Lines>128</Lines>
  <Paragraphs>36</Paragraphs>
  <ScaleCrop>false</ScaleCrop>
  <Company/>
  <LinksUpToDate>false</LinksUpToDate>
  <CharactersWithSpaces>18135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2025-01-23T19:51:00Z</dcterms:created>
  <dcterms:modified xsi:type="dcterms:W3CDTF">2025-01-23T19:51:00Z</dcterms:modified>
</cp:coreProperties>
</file>