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F581" w14:textId="77777777" w:rsidR="00040C3A" w:rsidRPr="00A44995" w:rsidRDefault="00D306D1" w:rsidP="00B44A04">
      <w:pPr>
        <w:tabs>
          <w:tab w:val="left" w:pos="360"/>
        </w:tabs>
        <w:jc w:val="both"/>
        <w:rPr>
          <w:rFonts w:asciiTheme="majorHAnsi" w:hAnsiTheme="majorHAnsi" w:cs="Univers"/>
          <w:b/>
          <w:bCs/>
          <w:sz w:val="22"/>
          <w:szCs w:val="22"/>
          <w:lang w:val="es-PE"/>
        </w:rPr>
      </w:pPr>
      <w:r w:rsidRPr="00A4499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5ECEDF8" wp14:editId="5D72034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5FDB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4499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9F5BAB9" wp14:editId="630940E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AAD70B" w14:textId="77777777" w:rsidR="00683FE9" w:rsidRDefault="00683FE9" w:rsidP="00AE5488">
                            <w:r>
                              <w:rPr>
                                <w:noProof/>
                              </w:rPr>
                              <w:drawing>
                                <wp:inline distT="0" distB="0" distL="0" distR="0" wp14:anchorId="46504E57" wp14:editId="11DA32B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5BAB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1AAD70B" w14:textId="77777777" w:rsidR="00683FE9" w:rsidRDefault="00683FE9" w:rsidP="00AE5488">
                      <w:r>
                        <w:rPr>
                          <w:noProof/>
                        </w:rPr>
                        <w:drawing>
                          <wp:inline distT="0" distB="0" distL="0" distR="0" wp14:anchorId="46504E57" wp14:editId="11DA32B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5CCE5311" w14:textId="77777777" w:rsidR="00040C3A" w:rsidRPr="00A44995" w:rsidRDefault="00040C3A" w:rsidP="00B44A04">
      <w:pPr>
        <w:tabs>
          <w:tab w:val="left" w:pos="360"/>
          <w:tab w:val="center" w:pos="5400"/>
        </w:tabs>
        <w:suppressAutoHyphens/>
        <w:jc w:val="both"/>
        <w:rPr>
          <w:rFonts w:asciiTheme="majorHAnsi" w:hAnsiTheme="majorHAnsi"/>
          <w:sz w:val="22"/>
          <w:szCs w:val="22"/>
          <w:lang w:val="es-PE"/>
        </w:rPr>
      </w:pPr>
    </w:p>
    <w:p w14:paraId="7255A118" w14:textId="77777777" w:rsidR="00040C3A" w:rsidRPr="00A44995" w:rsidRDefault="00040C3A" w:rsidP="00B44A04">
      <w:pPr>
        <w:tabs>
          <w:tab w:val="left" w:pos="360"/>
          <w:tab w:val="center" w:pos="5400"/>
        </w:tabs>
        <w:suppressAutoHyphens/>
        <w:jc w:val="both"/>
        <w:rPr>
          <w:rFonts w:asciiTheme="majorHAnsi" w:hAnsiTheme="majorHAnsi"/>
          <w:sz w:val="22"/>
          <w:szCs w:val="22"/>
          <w:lang w:val="es-PE"/>
        </w:rPr>
      </w:pPr>
    </w:p>
    <w:p w14:paraId="5A120177" w14:textId="77777777" w:rsidR="005128E4" w:rsidRPr="00A44995" w:rsidRDefault="005128E4" w:rsidP="00B44A04">
      <w:pPr>
        <w:tabs>
          <w:tab w:val="left" w:pos="360"/>
          <w:tab w:val="center" w:pos="5400"/>
        </w:tabs>
        <w:suppressAutoHyphens/>
        <w:rPr>
          <w:rFonts w:asciiTheme="majorHAnsi" w:hAnsiTheme="majorHAnsi"/>
          <w:sz w:val="22"/>
          <w:szCs w:val="22"/>
          <w:lang w:val="es-PE"/>
        </w:rPr>
      </w:pPr>
    </w:p>
    <w:p w14:paraId="7FCF13DC" w14:textId="77777777" w:rsidR="005128E4" w:rsidRPr="00A44995" w:rsidRDefault="005128E4" w:rsidP="00B44A04">
      <w:pPr>
        <w:tabs>
          <w:tab w:val="left" w:pos="360"/>
          <w:tab w:val="center" w:pos="5400"/>
        </w:tabs>
        <w:suppressAutoHyphens/>
        <w:rPr>
          <w:rFonts w:asciiTheme="majorHAnsi" w:hAnsiTheme="majorHAnsi"/>
          <w:sz w:val="22"/>
          <w:szCs w:val="22"/>
          <w:lang w:val="es-PE"/>
        </w:rPr>
      </w:pPr>
    </w:p>
    <w:p w14:paraId="4639D2C3" w14:textId="77777777" w:rsidR="005128E4" w:rsidRPr="00A44995" w:rsidRDefault="005128E4" w:rsidP="00B44A04">
      <w:pPr>
        <w:tabs>
          <w:tab w:val="left" w:pos="360"/>
          <w:tab w:val="center" w:pos="5400"/>
        </w:tabs>
        <w:suppressAutoHyphens/>
        <w:rPr>
          <w:rFonts w:asciiTheme="majorHAnsi" w:hAnsiTheme="majorHAnsi"/>
          <w:sz w:val="22"/>
          <w:szCs w:val="22"/>
          <w:lang w:val="es-PE"/>
        </w:rPr>
      </w:pPr>
    </w:p>
    <w:p w14:paraId="335755C9" w14:textId="77777777" w:rsidR="00040C3A" w:rsidRPr="00A44995" w:rsidRDefault="00040C3A" w:rsidP="00B44A04">
      <w:pPr>
        <w:tabs>
          <w:tab w:val="left" w:pos="360"/>
          <w:tab w:val="center" w:pos="5400"/>
        </w:tabs>
        <w:suppressAutoHyphens/>
        <w:jc w:val="center"/>
        <w:rPr>
          <w:rFonts w:asciiTheme="majorHAnsi" w:hAnsiTheme="majorHAnsi"/>
          <w:sz w:val="22"/>
          <w:szCs w:val="22"/>
          <w:lang w:val="es-PE"/>
        </w:rPr>
      </w:pPr>
    </w:p>
    <w:p w14:paraId="3882DCC8" w14:textId="77777777" w:rsidR="00040C3A" w:rsidRPr="00A44995" w:rsidRDefault="00040C3A" w:rsidP="00B44A04">
      <w:pPr>
        <w:tabs>
          <w:tab w:val="left" w:pos="360"/>
          <w:tab w:val="center" w:pos="5400"/>
        </w:tabs>
        <w:suppressAutoHyphens/>
        <w:jc w:val="center"/>
        <w:rPr>
          <w:rFonts w:asciiTheme="majorHAnsi" w:hAnsiTheme="majorHAnsi"/>
          <w:sz w:val="22"/>
          <w:szCs w:val="22"/>
          <w:lang w:val="es-PE"/>
        </w:rPr>
      </w:pPr>
    </w:p>
    <w:p w14:paraId="0F5CB98E" w14:textId="77777777" w:rsidR="005B52B0" w:rsidRPr="00A44995" w:rsidRDefault="005B52B0" w:rsidP="00B44A04">
      <w:pPr>
        <w:tabs>
          <w:tab w:val="left" w:pos="360"/>
          <w:tab w:val="center" w:pos="5400"/>
        </w:tabs>
        <w:suppressAutoHyphens/>
        <w:jc w:val="center"/>
        <w:rPr>
          <w:rFonts w:asciiTheme="majorHAnsi" w:hAnsiTheme="majorHAnsi"/>
          <w:sz w:val="22"/>
          <w:szCs w:val="22"/>
          <w:lang w:val="es-PE"/>
        </w:rPr>
      </w:pPr>
    </w:p>
    <w:p w14:paraId="73472857" w14:textId="77777777" w:rsidR="005B52B0" w:rsidRPr="00A44995" w:rsidRDefault="005B52B0" w:rsidP="00B44A04">
      <w:pPr>
        <w:tabs>
          <w:tab w:val="left" w:pos="360"/>
          <w:tab w:val="center" w:pos="5400"/>
        </w:tabs>
        <w:suppressAutoHyphens/>
        <w:jc w:val="center"/>
        <w:rPr>
          <w:rFonts w:asciiTheme="majorHAnsi" w:hAnsiTheme="majorHAnsi"/>
          <w:sz w:val="22"/>
          <w:szCs w:val="22"/>
          <w:lang w:val="es-PE"/>
        </w:rPr>
      </w:pPr>
    </w:p>
    <w:p w14:paraId="0BE394CF" w14:textId="77777777" w:rsidR="005B52B0" w:rsidRPr="00A44995" w:rsidRDefault="005B52B0" w:rsidP="00B44A04">
      <w:pPr>
        <w:tabs>
          <w:tab w:val="left" w:pos="360"/>
          <w:tab w:val="center" w:pos="5400"/>
        </w:tabs>
        <w:suppressAutoHyphens/>
        <w:jc w:val="center"/>
        <w:rPr>
          <w:rFonts w:asciiTheme="majorHAnsi" w:hAnsiTheme="majorHAnsi"/>
          <w:sz w:val="22"/>
          <w:szCs w:val="22"/>
          <w:lang w:val="es-PE"/>
        </w:rPr>
      </w:pPr>
    </w:p>
    <w:p w14:paraId="34D07EC6" w14:textId="77777777" w:rsidR="00040C3A" w:rsidRPr="00A44995" w:rsidRDefault="00040C3A" w:rsidP="00B44A04">
      <w:pPr>
        <w:tabs>
          <w:tab w:val="left" w:pos="360"/>
          <w:tab w:val="center" w:pos="5400"/>
        </w:tabs>
        <w:suppressAutoHyphens/>
        <w:jc w:val="center"/>
        <w:rPr>
          <w:rFonts w:asciiTheme="majorHAnsi" w:hAnsiTheme="majorHAnsi"/>
          <w:sz w:val="22"/>
          <w:szCs w:val="22"/>
          <w:lang w:val="es-PE"/>
        </w:rPr>
      </w:pPr>
    </w:p>
    <w:p w14:paraId="3D9C46E6" w14:textId="77777777" w:rsidR="00040C3A" w:rsidRPr="00A44995" w:rsidRDefault="00040C3A" w:rsidP="00B44A04">
      <w:pPr>
        <w:tabs>
          <w:tab w:val="left" w:pos="360"/>
          <w:tab w:val="center" w:pos="5400"/>
        </w:tabs>
        <w:suppressAutoHyphens/>
        <w:jc w:val="center"/>
        <w:rPr>
          <w:rFonts w:asciiTheme="majorHAnsi" w:hAnsiTheme="majorHAnsi"/>
          <w:sz w:val="22"/>
          <w:szCs w:val="22"/>
          <w:lang w:val="es-PE"/>
        </w:rPr>
      </w:pPr>
    </w:p>
    <w:p w14:paraId="2F58BEA5" w14:textId="77777777" w:rsidR="00040C3A" w:rsidRPr="00A44995" w:rsidRDefault="007C047E" w:rsidP="00B44A04">
      <w:pPr>
        <w:tabs>
          <w:tab w:val="left" w:pos="360"/>
          <w:tab w:val="center" w:pos="5400"/>
        </w:tabs>
        <w:suppressAutoHyphens/>
        <w:jc w:val="center"/>
        <w:rPr>
          <w:rFonts w:asciiTheme="majorHAnsi" w:hAnsiTheme="majorHAnsi"/>
          <w:sz w:val="22"/>
          <w:szCs w:val="22"/>
          <w:lang w:val="es-PE"/>
        </w:rPr>
      </w:pPr>
      <w:r w:rsidRPr="00A4499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50C5EFE" wp14:editId="76A53E7D">
                <wp:simplePos x="0" y="0"/>
                <wp:positionH relativeFrom="column">
                  <wp:posOffset>-345058</wp:posOffset>
                </wp:positionH>
                <wp:positionV relativeFrom="paragraph">
                  <wp:posOffset>165471</wp:posOffset>
                </wp:positionV>
                <wp:extent cx="1474039"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474039"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1EB41" w14:textId="63396F1A" w:rsidR="00683FE9" w:rsidRPr="004E2649" w:rsidRDefault="00683FE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00007107">
                              <w:rPr>
                                <w:rFonts w:asciiTheme="minorHAnsi" w:hAnsiTheme="minorHAnsi"/>
                                <w:color w:val="FFFFFF" w:themeColor="background1"/>
                                <w:sz w:val="22"/>
                                <w:lang w:val="pt-BR"/>
                              </w:rPr>
                              <w:t>L/V/II.179</w:t>
                            </w:r>
                          </w:p>
                          <w:p w14:paraId="28437023" w14:textId="3BD35D6E" w:rsidR="00007107" w:rsidRDefault="00683FE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w:t>
                            </w:r>
                            <w:r w:rsidR="00007107">
                              <w:rPr>
                                <w:rFonts w:asciiTheme="minorHAnsi" w:hAnsiTheme="minorHAnsi"/>
                                <w:color w:val="FFFFFF" w:themeColor="background1"/>
                                <w:sz w:val="22"/>
                                <w:lang w:val="pt-BR"/>
                              </w:rPr>
                              <w:t>2</w:t>
                            </w:r>
                            <w:r w:rsidR="00EA1B45">
                              <w:rPr>
                                <w:rFonts w:asciiTheme="minorHAnsi" w:hAnsiTheme="minorHAnsi"/>
                                <w:color w:val="FFFFFF" w:themeColor="background1"/>
                                <w:sz w:val="22"/>
                                <w:lang w:val="pt-BR"/>
                              </w:rPr>
                              <w:t>7</w:t>
                            </w:r>
                          </w:p>
                          <w:p w14:paraId="5A3AF541" w14:textId="12E86F4D" w:rsidR="00683FE9" w:rsidRPr="004E2649" w:rsidRDefault="0000710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23 marzo 2021</w:t>
                            </w:r>
                            <w:r w:rsidR="00683FE9">
                              <w:rPr>
                                <w:rFonts w:asciiTheme="minorHAnsi" w:hAnsiTheme="minorHAnsi"/>
                                <w:color w:val="FFFFFF" w:themeColor="background1"/>
                                <w:sz w:val="22"/>
                                <w:lang w:val="pt-BR"/>
                              </w:rPr>
                              <w:t xml:space="preserve"> </w:t>
                            </w:r>
                          </w:p>
                          <w:p w14:paraId="22DF93E2" w14:textId="50BF8E30" w:rsidR="00683FE9" w:rsidRPr="00C05784" w:rsidRDefault="00683FE9" w:rsidP="007A5817">
                            <w:pPr>
                              <w:spacing w:line="276" w:lineRule="auto"/>
                              <w:jc w:val="right"/>
                              <w:rPr>
                                <w:rFonts w:asciiTheme="minorHAnsi" w:hAnsiTheme="minorHAnsi"/>
                                <w:color w:val="FFFFFF" w:themeColor="background1"/>
                                <w:sz w:val="22"/>
                                <w:lang w:val="pt-BR"/>
                              </w:rPr>
                            </w:pPr>
                            <w:r w:rsidRPr="00C05784">
                              <w:rPr>
                                <w:rFonts w:asciiTheme="minorHAnsi" w:hAnsiTheme="minorHAnsi"/>
                                <w:color w:val="FFFFFF" w:themeColor="background1"/>
                                <w:sz w:val="22"/>
                                <w:lang w:val="pt-BR"/>
                              </w:rPr>
                              <w:t xml:space="preserve">Original: </w:t>
                            </w:r>
                            <w:r w:rsidR="00007107">
                              <w:rPr>
                                <w:rFonts w:asciiTheme="minorHAnsi" w:hAnsiTheme="minorHAnsi"/>
                                <w:color w:val="FFFFFF" w:themeColor="background1"/>
                                <w:sz w:val="22"/>
                                <w:lang w:val="pt-BR"/>
                              </w:rPr>
                              <w:t>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C5EFE" id="Text Box 8" o:spid="_x0000_s1027" type="#_x0000_t202" style="position:absolute;left:0;text-align:left;margin-left:-27.15pt;margin-top:13.05pt;width:116.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" filled="f" stroked="f" strokeweight=".5pt">
                <v:textbox>
                  <w:txbxContent>
                    <w:p w14:paraId="52D1EB41" w14:textId="63396F1A" w:rsidR="00683FE9" w:rsidRPr="004E2649" w:rsidRDefault="00683FE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00007107">
                        <w:rPr>
                          <w:rFonts w:asciiTheme="minorHAnsi" w:hAnsiTheme="minorHAnsi"/>
                          <w:color w:val="FFFFFF" w:themeColor="background1"/>
                          <w:sz w:val="22"/>
                          <w:lang w:val="pt-BR"/>
                        </w:rPr>
                        <w:t>L/V/II.179</w:t>
                      </w:r>
                    </w:p>
                    <w:p w14:paraId="28437023" w14:textId="3BD35D6E" w:rsidR="00007107" w:rsidRDefault="00683FE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w:t>
                      </w:r>
                      <w:r w:rsidR="00007107">
                        <w:rPr>
                          <w:rFonts w:asciiTheme="minorHAnsi" w:hAnsiTheme="minorHAnsi"/>
                          <w:color w:val="FFFFFF" w:themeColor="background1"/>
                          <w:sz w:val="22"/>
                          <w:lang w:val="pt-BR"/>
                        </w:rPr>
                        <w:t>2</w:t>
                      </w:r>
                      <w:r w:rsidR="00EA1B45">
                        <w:rPr>
                          <w:rFonts w:asciiTheme="minorHAnsi" w:hAnsiTheme="minorHAnsi"/>
                          <w:color w:val="FFFFFF" w:themeColor="background1"/>
                          <w:sz w:val="22"/>
                          <w:lang w:val="pt-BR"/>
                        </w:rPr>
                        <w:t>7</w:t>
                      </w:r>
                    </w:p>
                    <w:p w14:paraId="5A3AF541" w14:textId="12E86F4D" w:rsidR="00683FE9" w:rsidRPr="004E2649" w:rsidRDefault="0000710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23 marzo 2021</w:t>
                      </w:r>
                      <w:r w:rsidR="00683FE9">
                        <w:rPr>
                          <w:rFonts w:asciiTheme="minorHAnsi" w:hAnsiTheme="minorHAnsi"/>
                          <w:color w:val="FFFFFF" w:themeColor="background1"/>
                          <w:sz w:val="22"/>
                          <w:lang w:val="pt-BR"/>
                        </w:rPr>
                        <w:t xml:space="preserve"> </w:t>
                      </w:r>
                    </w:p>
                    <w:p w14:paraId="22DF93E2" w14:textId="50BF8E30" w:rsidR="00683FE9" w:rsidRPr="00C05784" w:rsidRDefault="00683FE9" w:rsidP="007A5817">
                      <w:pPr>
                        <w:spacing w:line="276" w:lineRule="auto"/>
                        <w:jc w:val="right"/>
                        <w:rPr>
                          <w:rFonts w:asciiTheme="minorHAnsi" w:hAnsiTheme="minorHAnsi"/>
                          <w:color w:val="FFFFFF" w:themeColor="background1"/>
                          <w:sz w:val="22"/>
                          <w:lang w:val="pt-BR"/>
                        </w:rPr>
                      </w:pPr>
                      <w:r w:rsidRPr="00C05784">
                        <w:rPr>
                          <w:rFonts w:asciiTheme="minorHAnsi" w:hAnsiTheme="minorHAnsi"/>
                          <w:color w:val="FFFFFF" w:themeColor="background1"/>
                          <w:sz w:val="22"/>
                          <w:lang w:val="pt-BR"/>
                        </w:rPr>
                        <w:t xml:space="preserve">Original: </w:t>
                      </w:r>
                      <w:r w:rsidR="00007107">
                        <w:rPr>
                          <w:rFonts w:asciiTheme="minorHAnsi" w:hAnsiTheme="minorHAnsi"/>
                          <w:color w:val="FFFFFF" w:themeColor="background1"/>
                          <w:sz w:val="22"/>
                          <w:lang w:val="pt-BR"/>
                        </w:rPr>
                        <w:t>Español</w:t>
                      </w:r>
                    </w:p>
                  </w:txbxContent>
                </v:textbox>
              </v:shape>
            </w:pict>
          </mc:Fallback>
        </mc:AlternateContent>
      </w:r>
      <w:r w:rsidR="003D3BC2" w:rsidRPr="00A4499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C5B4A4E" wp14:editId="153E66C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B5A8A0" w14:textId="32221D9B" w:rsidR="00683FE9" w:rsidRPr="00C14F9B" w:rsidRDefault="00683FE9" w:rsidP="00997BC5">
                            <w:pPr>
                              <w:spacing w:line="276" w:lineRule="auto"/>
                              <w:rPr>
                                <w:rFonts w:asciiTheme="majorHAnsi" w:hAnsiTheme="majorHAnsi" w:cs="Arial"/>
                                <w:b/>
                                <w:bCs/>
                                <w:color w:val="0D0D0D" w:themeColor="text1" w:themeTint="F2"/>
                                <w:sz w:val="36"/>
                                <w:szCs w:val="22"/>
                                <w:lang w:val="es-ES"/>
                              </w:rPr>
                            </w:pPr>
                            <w:r w:rsidRPr="00C14F9B">
                              <w:rPr>
                                <w:rFonts w:asciiTheme="majorHAnsi" w:hAnsiTheme="majorHAnsi" w:cs="Arial"/>
                                <w:b/>
                                <w:bCs/>
                                <w:color w:val="0D0D0D" w:themeColor="text1" w:themeTint="F2"/>
                                <w:sz w:val="36"/>
                                <w:szCs w:val="22"/>
                                <w:lang w:val="es-ES"/>
                              </w:rPr>
                              <w:t xml:space="preserve">INFORME </w:t>
                            </w:r>
                            <w:r w:rsidRPr="00C14F9B">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24</w:t>
                            </w:r>
                            <w:r w:rsidRPr="00C14F9B">
                              <w:rPr>
                                <w:rFonts w:asciiTheme="majorHAnsi" w:hAnsiTheme="majorHAnsi" w:cs="Arial"/>
                                <w:b/>
                                <w:bCs/>
                                <w:color w:val="0D0D0D" w:themeColor="text1" w:themeTint="F2"/>
                                <w:sz w:val="36"/>
                                <w:szCs w:val="22"/>
                                <w:lang w:val="es-ES"/>
                              </w:rPr>
                              <w:t>/</w:t>
                            </w:r>
                            <w:r>
                              <w:rPr>
                                <w:rFonts w:asciiTheme="majorHAnsi" w:hAnsiTheme="majorHAnsi" w:cs="Arial"/>
                                <w:b/>
                                <w:bCs/>
                                <w:color w:val="0D0D0D" w:themeColor="text1" w:themeTint="F2"/>
                                <w:sz w:val="36"/>
                                <w:szCs w:val="22"/>
                                <w:lang w:val="es-ES"/>
                              </w:rPr>
                              <w:t>21</w:t>
                            </w:r>
                          </w:p>
                          <w:p w14:paraId="0212B980" w14:textId="77777777" w:rsidR="00683FE9" w:rsidRPr="00027A6B" w:rsidRDefault="00683FE9" w:rsidP="00997BC5">
                            <w:pPr>
                              <w:spacing w:line="276" w:lineRule="auto"/>
                              <w:rPr>
                                <w:rFonts w:asciiTheme="majorHAnsi" w:hAnsiTheme="majorHAnsi" w:cs="Arial"/>
                                <w:b/>
                                <w:color w:val="0D0D0D" w:themeColor="text1" w:themeTint="F2"/>
                                <w:sz w:val="36"/>
                                <w:szCs w:val="22"/>
                                <w:lang w:val="es-ES"/>
                              </w:rPr>
                            </w:pPr>
                            <w:r w:rsidRPr="00027A6B">
                              <w:rPr>
                                <w:rFonts w:asciiTheme="majorHAnsi" w:hAnsiTheme="majorHAnsi" w:cs="Arial"/>
                                <w:b/>
                                <w:color w:val="0D0D0D" w:themeColor="text1" w:themeTint="F2"/>
                                <w:sz w:val="36"/>
                                <w:szCs w:val="22"/>
                                <w:lang w:val="es-ES"/>
                              </w:rPr>
                              <w:t xml:space="preserve">CASO </w:t>
                            </w:r>
                            <w:r>
                              <w:rPr>
                                <w:rFonts w:asciiTheme="majorHAnsi" w:hAnsiTheme="majorHAnsi" w:cs="Arial"/>
                                <w:b/>
                                <w:color w:val="0D0D0D" w:themeColor="text1" w:themeTint="F2"/>
                                <w:sz w:val="36"/>
                                <w:szCs w:val="22"/>
                                <w:lang w:val="es-ES"/>
                              </w:rPr>
                              <w:t>13.047</w:t>
                            </w:r>
                          </w:p>
                          <w:p w14:paraId="23631FE5" w14:textId="77777777" w:rsidR="00683FE9" w:rsidRPr="0010736F" w:rsidRDefault="00683FE9"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14:paraId="2CCB571B" w14:textId="77777777" w:rsidR="00683FE9" w:rsidRPr="0010736F" w:rsidRDefault="00683FE9" w:rsidP="00997BC5">
                            <w:pPr>
                              <w:spacing w:line="276" w:lineRule="auto"/>
                              <w:rPr>
                                <w:rFonts w:asciiTheme="majorHAnsi" w:hAnsiTheme="majorHAnsi" w:cs="Arial"/>
                                <w:color w:val="0D0D0D" w:themeColor="text1" w:themeTint="F2"/>
                                <w:szCs w:val="22"/>
                                <w:lang w:val="es-ES_tradnl"/>
                              </w:rPr>
                            </w:pPr>
                            <w:bookmarkStart w:id="0" w:name="_ftnref1"/>
                          </w:p>
                          <w:p w14:paraId="0FD97928" w14:textId="77777777" w:rsidR="00683FE9" w:rsidRPr="0010736F" w:rsidRDefault="00683FE9" w:rsidP="009136EF">
                            <w:pPr>
                              <w:spacing w:line="276" w:lineRule="auto"/>
                              <w:jc w:val="both"/>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MIGUEL ÁNGEL AGUIRRE MAGAÑA</w:t>
                            </w:r>
                          </w:p>
                          <w:bookmarkEnd w:id="0"/>
                          <w:p w14:paraId="2509BEE9" w14:textId="77777777" w:rsidR="00683FE9" w:rsidRPr="0010736F" w:rsidRDefault="00683FE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EL SALVADOR</w:t>
                            </w:r>
                          </w:p>
                          <w:p w14:paraId="01EDC026" w14:textId="77777777" w:rsidR="00683FE9" w:rsidRPr="00AE5488" w:rsidRDefault="00683FE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B4A4E"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06B5A8A0" w14:textId="32221D9B" w:rsidR="00683FE9" w:rsidRPr="00C14F9B" w:rsidRDefault="00683FE9" w:rsidP="00997BC5">
                      <w:pPr>
                        <w:spacing w:line="276" w:lineRule="auto"/>
                        <w:rPr>
                          <w:rFonts w:asciiTheme="majorHAnsi" w:hAnsiTheme="majorHAnsi" w:cs="Arial"/>
                          <w:b/>
                          <w:bCs/>
                          <w:color w:val="0D0D0D" w:themeColor="text1" w:themeTint="F2"/>
                          <w:sz w:val="36"/>
                          <w:szCs w:val="22"/>
                          <w:lang w:val="es-ES"/>
                        </w:rPr>
                      </w:pPr>
                      <w:r w:rsidRPr="00C14F9B">
                        <w:rPr>
                          <w:rFonts w:asciiTheme="majorHAnsi" w:hAnsiTheme="majorHAnsi" w:cs="Arial"/>
                          <w:b/>
                          <w:bCs/>
                          <w:color w:val="0D0D0D" w:themeColor="text1" w:themeTint="F2"/>
                          <w:sz w:val="36"/>
                          <w:szCs w:val="22"/>
                          <w:lang w:val="es-ES"/>
                        </w:rPr>
                        <w:t xml:space="preserve">INFORME </w:t>
                      </w:r>
                      <w:r w:rsidRPr="00C14F9B">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24</w:t>
                      </w:r>
                      <w:r w:rsidRPr="00C14F9B">
                        <w:rPr>
                          <w:rFonts w:asciiTheme="majorHAnsi" w:hAnsiTheme="majorHAnsi" w:cs="Arial"/>
                          <w:b/>
                          <w:bCs/>
                          <w:color w:val="0D0D0D" w:themeColor="text1" w:themeTint="F2"/>
                          <w:sz w:val="36"/>
                          <w:szCs w:val="22"/>
                          <w:lang w:val="es-ES"/>
                        </w:rPr>
                        <w:t>/</w:t>
                      </w:r>
                      <w:r>
                        <w:rPr>
                          <w:rFonts w:asciiTheme="majorHAnsi" w:hAnsiTheme="majorHAnsi" w:cs="Arial"/>
                          <w:b/>
                          <w:bCs/>
                          <w:color w:val="0D0D0D" w:themeColor="text1" w:themeTint="F2"/>
                          <w:sz w:val="36"/>
                          <w:szCs w:val="22"/>
                          <w:lang w:val="es-ES"/>
                        </w:rPr>
                        <w:t>21</w:t>
                      </w:r>
                    </w:p>
                    <w:p w14:paraId="0212B980" w14:textId="77777777" w:rsidR="00683FE9" w:rsidRPr="00027A6B" w:rsidRDefault="00683FE9" w:rsidP="00997BC5">
                      <w:pPr>
                        <w:spacing w:line="276" w:lineRule="auto"/>
                        <w:rPr>
                          <w:rFonts w:asciiTheme="majorHAnsi" w:hAnsiTheme="majorHAnsi" w:cs="Arial"/>
                          <w:b/>
                          <w:color w:val="0D0D0D" w:themeColor="text1" w:themeTint="F2"/>
                          <w:sz w:val="36"/>
                          <w:szCs w:val="22"/>
                          <w:lang w:val="es-ES"/>
                        </w:rPr>
                      </w:pPr>
                      <w:r w:rsidRPr="00027A6B">
                        <w:rPr>
                          <w:rFonts w:asciiTheme="majorHAnsi" w:hAnsiTheme="majorHAnsi" w:cs="Arial"/>
                          <w:b/>
                          <w:color w:val="0D0D0D" w:themeColor="text1" w:themeTint="F2"/>
                          <w:sz w:val="36"/>
                          <w:szCs w:val="22"/>
                          <w:lang w:val="es-ES"/>
                        </w:rPr>
                        <w:t xml:space="preserve">CASO </w:t>
                      </w:r>
                      <w:r>
                        <w:rPr>
                          <w:rFonts w:asciiTheme="majorHAnsi" w:hAnsiTheme="majorHAnsi" w:cs="Arial"/>
                          <w:b/>
                          <w:color w:val="0D0D0D" w:themeColor="text1" w:themeTint="F2"/>
                          <w:sz w:val="36"/>
                          <w:szCs w:val="22"/>
                          <w:lang w:val="es-ES"/>
                        </w:rPr>
                        <w:t>13.047</w:t>
                      </w:r>
                    </w:p>
                    <w:p w14:paraId="23631FE5" w14:textId="77777777" w:rsidR="00683FE9" w:rsidRPr="0010736F" w:rsidRDefault="00683FE9"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14:paraId="2CCB571B" w14:textId="77777777" w:rsidR="00683FE9" w:rsidRPr="0010736F" w:rsidRDefault="00683FE9" w:rsidP="00997BC5">
                      <w:pPr>
                        <w:spacing w:line="276" w:lineRule="auto"/>
                        <w:rPr>
                          <w:rFonts w:asciiTheme="majorHAnsi" w:hAnsiTheme="majorHAnsi" w:cs="Arial"/>
                          <w:color w:val="0D0D0D" w:themeColor="text1" w:themeTint="F2"/>
                          <w:szCs w:val="22"/>
                          <w:lang w:val="es-ES_tradnl"/>
                        </w:rPr>
                      </w:pPr>
                      <w:bookmarkStart w:id="1" w:name="_ftnref1"/>
                    </w:p>
                    <w:p w14:paraId="0FD97928" w14:textId="77777777" w:rsidR="00683FE9" w:rsidRPr="0010736F" w:rsidRDefault="00683FE9" w:rsidP="009136EF">
                      <w:pPr>
                        <w:spacing w:line="276" w:lineRule="auto"/>
                        <w:jc w:val="both"/>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MIGUEL ÁNGEL AGUIRRE MAGAÑA</w:t>
                      </w:r>
                    </w:p>
                    <w:bookmarkEnd w:id="1"/>
                    <w:p w14:paraId="2509BEE9" w14:textId="77777777" w:rsidR="00683FE9" w:rsidRPr="0010736F" w:rsidRDefault="00683FE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EL SALVADOR</w:t>
                      </w:r>
                    </w:p>
                    <w:p w14:paraId="01EDC026" w14:textId="77777777" w:rsidR="00683FE9" w:rsidRPr="00AE5488" w:rsidRDefault="00683FE9" w:rsidP="007A5817">
                      <w:pPr>
                        <w:rPr>
                          <w:color w:val="0D0D0D" w:themeColor="text1" w:themeTint="F2"/>
                          <w:lang w:val="es-ES_tradnl"/>
                        </w:rPr>
                      </w:pPr>
                    </w:p>
                  </w:txbxContent>
                </v:textbox>
              </v:shape>
            </w:pict>
          </mc:Fallback>
        </mc:AlternateContent>
      </w:r>
    </w:p>
    <w:p w14:paraId="7A9698A7" w14:textId="77777777" w:rsidR="00040C3A" w:rsidRPr="00A44995" w:rsidRDefault="00040C3A" w:rsidP="00B44A04">
      <w:pPr>
        <w:tabs>
          <w:tab w:val="left" w:pos="360"/>
          <w:tab w:val="center" w:pos="5400"/>
        </w:tabs>
        <w:suppressAutoHyphens/>
        <w:jc w:val="center"/>
        <w:rPr>
          <w:rFonts w:asciiTheme="majorHAnsi" w:hAnsiTheme="majorHAnsi"/>
          <w:sz w:val="22"/>
          <w:szCs w:val="22"/>
          <w:lang w:val="es-PE"/>
        </w:rPr>
      </w:pPr>
    </w:p>
    <w:p w14:paraId="7E6B4144" w14:textId="77777777" w:rsidR="00040C3A" w:rsidRPr="00A44995" w:rsidRDefault="00040C3A" w:rsidP="00B44A04">
      <w:pPr>
        <w:tabs>
          <w:tab w:val="left" w:pos="360"/>
          <w:tab w:val="center" w:pos="5400"/>
        </w:tabs>
        <w:suppressAutoHyphens/>
        <w:jc w:val="center"/>
        <w:rPr>
          <w:rFonts w:asciiTheme="majorHAnsi" w:hAnsiTheme="majorHAnsi"/>
          <w:sz w:val="22"/>
          <w:szCs w:val="22"/>
          <w:lang w:val="es-PE"/>
        </w:rPr>
      </w:pPr>
    </w:p>
    <w:p w14:paraId="73B3BE9E" w14:textId="77777777" w:rsidR="00040C3A" w:rsidRPr="00A44995" w:rsidRDefault="00040C3A" w:rsidP="00B44A04">
      <w:pPr>
        <w:tabs>
          <w:tab w:val="left" w:pos="360"/>
          <w:tab w:val="center" w:pos="5400"/>
        </w:tabs>
        <w:suppressAutoHyphens/>
        <w:jc w:val="center"/>
        <w:rPr>
          <w:rFonts w:asciiTheme="majorHAnsi" w:hAnsiTheme="majorHAnsi" w:cs="Arial"/>
          <w:sz w:val="22"/>
          <w:szCs w:val="22"/>
          <w:lang w:val="es-PE"/>
        </w:rPr>
      </w:pPr>
    </w:p>
    <w:p w14:paraId="51A4A969" w14:textId="77777777" w:rsidR="00040C3A" w:rsidRPr="00A44995" w:rsidRDefault="00040C3A" w:rsidP="00B44A04">
      <w:pPr>
        <w:tabs>
          <w:tab w:val="left" w:pos="360"/>
          <w:tab w:val="center" w:pos="5400"/>
        </w:tabs>
        <w:suppressAutoHyphens/>
        <w:jc w:val="center"/>
        <w:rPr>
          <w:rFonts w:asciiTheme="majorHAnsi" w:hAnsiTheme="majorHAnsi"/>
          <w:sz w:val="22"/>
          <w:szCs w:val="22"/>
          <w:lang w:val="es-PE"/>
        </w:rPr>
      </w:pPr>
    </w:p>
    <w:p w14:paraId="3503FE48" w14:textId="77777777" w:rsidR="00040C3A" w:rsidRPr="00A44995" w:rsidRDefault="00040C3A" w:rsidP="00B44A04">
      <w:pPr>
        <w:tabs>
          <w:tab w:val="left" w:pos="360"/>
          <w:tab w:val="center" w:pos="5400"/>
        </w:tabs>
        <w:suppressAutoHyphens/>
        <w:jc w:val="center"/>
        <w:rPr>
          <w:rFonts w:asciiTheme="majorHAnsi" w:hAnsiTheme="majorHAnsi"/>
          <w:sz w:val="22"/>
          <w:szCs w:val="22"/>
          <w:lang w:val="es-PE"/>
        </w:rPr>
      </w:pPr>
    </w:p>
    <w:p w14:paraId="753EE187" w14:textId="77777777" w:rsidR="00040C3A" w:rsidRPr="00A44995" w:rsidRDefault="00040C3A" w:rsidP="00B44A04">
      <w:pPr>
        <w:tabs>
          <w:tab w:val="left" w:pos="360"/>
          <w:tab w:val="center" w:pos="5400"/>
        </w:tabs>
        <w:suppressAutoHyphens/>
        <w:jc w:val="center"/>
        <w:rPr>
          <w:rFonts w:asciiTheme="majorHAnsi" w:hAnsiTheme="majorHAnsi"/>
          <w:sz w:val="22"/>
          <w:szCs w:val="22"/>
          <w:lang w:val="es-PE"/>
        </w:rPr>
      </w:pPr>
    </w:p>
    <w:p w14:paraId="085EDBED" w14:textId="77777777" w:rsidR="00040C3A" w:rsidRPr="00A44995" w:rsidRDefault="00040C3A" w:rsidP="00B44A04">
      <w:pPr>
        <w:tabs>
          <w:tab w:val="left" w:pos="360"/>
          <w:tab w:val="center" w:pos="5400"/>
        </w:tabs>
        <w:suppressAutoHyphens/>
        <w:jc w:val="center"/>
        <w:rPr>
          <w:rFonts w:asciiTheme="majorHAnsi" w:hAnsiTheme="majorHAnsi"/>
          <w:sz w:val="22"/>
          <w:szCs w:val="22"/>
          <w:lang w:val="es-PE"/>
        </w:rPr>
      </w:pPr>
    </w:p>
    <w:p w14:paraId="3A27CB85" w14:textId="77777777" w:rsidR="005128E4" w:rsidRPr="00A44995" w:rsidRDefault="005128E4" w:rsidP="00B44A04">
      <w:pPr>
        <w:tabs>
          <w:tab w:val="left" w:pos="360"/>
          <w:tab w:val="center" w:pos="5400"/>
        </w:tabs>
        <w:suppressAutoHyphens/>
        <w:jc w:val="center"/>
        <w:rPr>
          <w:rFonts w:asciiTheme="majorHAnsi" w:hAnsiTheme="majorHAnsi"/>
          <w:sz w:val="22"/>
          <w:szCs w:val="22"/>
          <w:lang w:val="es-PE"/>
        </w:rPr>
      </w:pPr>
    </w:p>
    <w:p w14:paraId="23B77E8A" w14:textId="77777777" w:rsidR="00040C3A" w:rsidRPr="00A44995" w:rsidRDefault="00040C3A" w:rsidP="00B44A04">
      <w:pPr>
        <w:tabs>
          <w:tab w:val="left" w:pos="360"/>
          <w:tab w:val="center" w:pos="5400"/>
        </w:tabs>
        <w:suppressAutoHyphens/>
        <w:jc w:val="center"/>
        <w:rPr>
          <w:rFonts w:asciiTheme="majorHAnsi" w:hAnsiTheme="majorHAnsi"/>
          <w:sz w:val="22"/>
          <w:szCs w:val="22"/>
          <w:lang w:val="es-PE"/>
        </w:rPr>
      </w:pPr>
    </w:p>
    <w:p w14:paraId="517E4A13" w14:textId="77777777" w:rsidR="005128E4" w:rsidRPr="00A44995" w:rsidRDefault="005128E4" w:rsidP="00B44A04">
      <w:pPr>
        <w:tabs>
          <w:tab w:val="left" w:pos="360"/>
          <w:tab w:val="center" w:pos="5400"/>
        </w:tabs>
        <w:suppressAutoHyphens/>
        <w:jc w:val="center"/>
        <w:rPr>
          <w:rFonts w:asciiTheme="majorHAnsi" w:hAnsiTheme="majorHAnsi"/>
          <w:sz w:val="22"/>
          <w:szCs w:val="22"/>
          <w:lang w:val="es-PE"/>
        </w:rPr>
      </w:pPr>
    </w:p>
    <w:p w14:paraId="74ECA1DA" w14:textId="77777777" w:rsidR="005128E4" w:rsidRPr="00A44995" w:rsidRDefault="005128E4" w:rsidP="00B44A04">
      <w:pPr>
        <w:tabs>
          <w:tab w:val="left" w:pos="360"/>
          <w:tab w:val="center" w:pos="5400"/>
        </w:tabs>
        <w:suppressAutoHyphens/>
        <w:jc w:val="center"/>
        <w:rPr>
          <w:rFonts w:asciiTheme="majorHAnsi" w:hAnsiTheme="majorHAnsi"/>
          <w:sz w:val="22"/>
          <w:szCs w:val="22"/>
          <w:lang w:val="es-PE"/>
        </w:rPr>
      </w:pPr>
    </w:p>
    <w:p w14:paraId="350A1810" w14:textId="77777777" w:rsidR="005128E4" w:rsidRPr="00A44995" w:rsidRDefault="005128E4" w:rsidP="00B44A04">
      <w:pPr>
        <w:tabs>
          <w:tab w:val="left" w:pos="360"/>
          <w:tab w:val="center" w:pos="5400"/>
        </w:tabs>
        <w:suppressAutoHyphens/>
        <w:jc w:val="center"/>
        <w:rPr>
          <w:rFonts w:asciiTheme="majorHAnsi" w:hAnsiTheme="majorHAnsi"/>
          <w:sz w:val="22"/>
          <w:szCs w:val="22"/>
          <w:lang w:val="es-PE"/>
        </w:rPr>
      </w:pPr>
    </w:p>
    <w:p w14:paraId="5F49FEFE" w14:textId="77777777" w:rsidR="00040C3A" w:rsidRPr="00A44995" w:rsidRDefault="00040C3A" w:rsidP="00B44A04">
      <w:pPr>
        <w:tabs>
          <w:tab w:val="left" w:pos="360"/>
          <w:tab w:val="center" w:pos="5400"/>
        </w:tabs>
        <w:suppressAutoHyphens/>
        <w:jc w:val="center"/>
        <w:rPr>
          <w:rFonts w:asciiTheme="majorHAnsi" w:hAnsiTheme="majorHAnsi"/>
          <w:sz w:val="22"/>
          <w:szCs w:val="22"/>
          <w:lang w:val="es-PE"/>
        </w:rPr>
      </w:pPr>
    </w:p>
    <w:p w14:paraId="34C846AB" w14:textId="77777777" w:rsidR="00040C3A" w:rsidRPr="00A44995" w:rsidRDefault="00040C3A" w:rsidP="00B44A04">
      <w:pPr>
        <w:tabs>
          <w:tab w:val="left" w:pos="360"/>
          <w:tab w:val="center" w:pos="5400"/>
        </w:tabs>
        <w:suppressAutoHyphens/>
        <w:jc w:val="center"/>
        <w:rPr>
          <w:rFonts w:asciiTheme="majorHAnsi" w:hAnsiTheme="majorHAnsi"/>
          <w:sz w:val="22"/>
          <w:szCs w:val="22"/>
          <w:lang w:val="es-PE"/>
        </w:rPr>
      </w:pPr>
    </w:p>
    <w:p w14:paraId="024BD349" w14:textId="77777777" w:rsidR="00A50FCF" w:rsidRPr="00A44995" w:rsidRDefault="00A50FCF" w:rsidP="00B44A04">
      <w:pPr>
        <w:tabs>
          <w:tab w:val="left" w:pos="360"/>
          <w:tab w:val="center" w:pos="5400"/>
        </w:tabs>
        <w:suppressAutoHyphens/>
        <w:jc w:val="center"/>
        <w:rPr>
          <w:rFonts w:asciiTheme="majorHAnsi" w:hAnsiTheme="majorHAnsi"/>
          <w:sz w:val="18"/>
          <w:szCs w:val="22"/>
          <w:lang w:val="es-PE"/>
        </w:rPr>
      </w:pPr>
    </w:p>
    <w:p w14:paraId="31F53DBC" w14:textId="77777777" w:rsidR="00A50FCF" w:rsidRPr="00A44995" w:rsidRDefault="00A50FCF" w:rsidP="00B44A04">
      <w:pPr>
        <w:tabs>
          <w:tab w:val="left" w:pos="360"/>
          <w:tab w:val="center" w:pos="5400"/>
        </w:tabs>
        <w:suppressAutoHyphens/>
        <w:jc w:val="center"/>
        <w:rPr>
          <w:rFonts w:asciiTheme="majorHAnsi" w:hAnsiTheme="majorHAnsi"/>
          <w:sz w:val="18"/>
          <w:szCs w:val="22"/>
          <w:lang w:val="es-PE"/>
        </w:rPr>
      </w:pPr>
    </w:p>
    <w:p w14:paraId="284E2134" w14:textId="77777777" w:rsidR="00A50FCF" w:rsidRPr="00A44995" w:rsidRDefault="00A50FCF" w:rsidP="00B44A04">
      <w:pPr>
        <w:tabs>
          <w:tab w:val="left" w:pos="360"/>
          <w:tab w:val="center" w:pos="5400"/>
        </w:tabs>
        <w:suppressAutoHyphens/>
        <w:jc w:val="center"/>
        <w:rPr>
          <w:rFonts w:asciiTheme="majorHAnsi" w:hAnsiTheme="majorHAnsi"/>
          <w:sz w:val="18"/>
          <w:szCs w:val="22"/>
          <w:lang w:val="es-PE"/>
        </w:rPr>
      </w:pPr>
    </w:p>
    <w:p w14:paraId="585C9271" w14:textId="77777777" w:rsidR="00A50FCF" w:rsidRPr="00A44995" w:rsidRDefault="00A50FCF" w:rsidP="00B44A04">
      <w:pPr>
        <w:tabs>
          <w:tab w:val="left" w:pos="360"/>
          <w:tab w:val="center" w:pos="5400"/>
        </w:tabs>
        <w:suppressAutoHyphens/>
        <w:jc w:val="center"/>
        <w:rPr>
          <w:rFonts w:asciiTheme="majorHAnsi" w:hAnsiTheme="majorHAnsi"/>
          <w:sz w:val="18"/>
          <w:szCs w:val="22"/>
          <w:lang w:val="es-PE"/>
        </w:rPr>
      </w:pPr>
    </w:p>
    <w:p w14:paraId="726AEEFC" w14:textId="77777777" w:rsidR="00A50FCF" w:rsidRPr="00A44995" w:rsidRDefault="00A50FCF" w:rsidP="00B44A04">
      <w:pPr>
        <w:tabs>
          <w:tab w:val="left" w:pos="360"/>
          <w:tab w:val="center" w:pos="5400"/>
        </w:tabs>
        <w:suppressAutoHyphens/>
        <w:jc w:val="center"/>
        <w:rPr>
          <w:rFonts w:asciiTheme="majorHAnsi" w:hAnsiTheme="majorHAnsi"/>
          <w:sz w:val="18"/>
          <w:szCs w:val="22"/>
          <w:lang w:val="es-PE"/>
        </w:rPr>
      </w:pPr>
    </w:p>
    <w:p w14:paraId="0B5F3602" w14:textId="77777777" w:rsidR="00A50FCF" w:rsidRPr="00A44995" w:rsidRDefault="00A50FCF" w:rsidP="00B44A04">
      <w:pPr>
        <w:tabs>
          <w:tab w:val="left" w:pos="360"/>
          <w:tab w:val="center" w:pos="5400"/>
        </w:tabs>
        <w:suppressAutoHyphens/>
        <w:jc w:val="center"/>
        <w:rPr>
          <w:rFonts w:asciiTheme="majorHAnsi" w:hAnsiTheme="majorHAnsi"/>
          <w:sz w:val="18"/>
          <w:szCs w:val="22"/>
          <w:lang w:val="es-PE"/>
        </w:rPr>
      </w:pPr>
    </w:p>
    <w:p w14:paraId="5EA792F6" w14:textId="77777777" w:rsidR="00A50FCF" w:rsidRPr="00A44995" w:rsidRDefault="00A50FCF" w:rsidP="00B44A04">
      <w:pPr>
        <w:tabs>
          <w:tab w:val="left" w:pos="360"/>
          <w:tab w:val="center" w:pos="5400"/>
        </w:tabs>
        <w:suppressAutoHyphens/>
        <w:jc w:val="center"/>
        <w:rPr>
          <w:rFonts w:asciiTheme="majorHAnsi" w:hAnsiTheme="majorHAnsi"/>
          <w:sz w:val="18"/>
          <w:szCs w:val="22"/>
          <w:lang w:val="es-PE"/>
        </w:rPr>
      </w:pPr>
    </w:p>
    <w:p w14:paraId="5DBDD5F6" w14:textId="77777777" w:rsidR="00A50FCF" w:rsidRPr="00A44995" w:rsidRDefault="00A50FCF" w:rsidP="00B44A04">
      <w:pPr>
        <w:tabs>
          <w:tab w:val="left" w:pos="360"/>
          <w:tab w:val="center" w:pos="5400"/>
        </w:tabs>
        <w:suppressAutoHyphens/>
        <w:jc w:val="center"/>
        <w:rPr>
          <w:rFonts w:asciiTheme="majorHAnsi" w:hAnsiTheme="majorHAnsi"/>
          <w:sz w:val="18"/>
          <w:szCs w:val="22"/>
          <w:lang w:val="es-PE"/>
        </w:rPr>
      </w:pPr>
    </w:p>
    <w:p w14:paraId="56C61C1A" w14:textId="77777777" w:rsidR="00A50FCF" w:rsidRPr="00A44995" w:rsidRDefault="00A50FCF" w:rsidP="00B44A04">
      <w:pPr>
        <w:tabs>
          <w:tab w:val="left" w:pos="360"/>
          <w:tab w:val="center" w:pos="5400"/>
        </w:tabs>
        <w:suppressAutoHyphens/>
        <w:jc w:val="center"/>
        <w:rPr>
          <w:rFonts w:asciiTheme="majorHAnsi" w:hAnsiTheme="majorHAnsi"/>
          <w:sz w:val="18"/>
          <w:szCs w:val="22"/>
          <w:lang w:val="es-PE"/>
        </w:rPr>
      </w:pPr>
    </w:p>
    <w:p w14:paraId="0930F434" w14:textId="77777777" w:rsidR="00A50FCF" w:rsidRPr="00A44995" w:rsidRDefault="00A50FCF" w:rsidP="00B44A04">
      <w:pPr>
        <w:tabs>
          <w:tab w:val="left" w:pos="360"/>
          <w:tab w:val="center" w:pos="5400"/>
        </w:tabs>
        <w:suppressAutoHyphens/>
        <w:jc w:val="center"/>
        <w:rPr>
          <w:rFonts w:asciiTheme="majorHAnsi" w:hAnsiTheme="majorHAnsi"/>
          <w:sz w:val="18"/>
          <w:szCs w:val="22"/>
          <w:lang w:val="es-PE"/>
        </w:rPr>
      </w:pPr>
    </w:p>
    <w:p w14:paraId="361531CD" w14:textId="77777777" w:rsidR="00A50FCF" w:rsidRPr="00A44995" w:rsidRDefault="00A50FCF" w:rsidP="00B44A04">
      <w:pPr>
        <w:tabs>
          <w:tab w:val="left" w:pos="360"/>
          <w:tab w:val="center" w:pos="5400"/>
        </w:tabs>
        <w:suppressAutoHyphens/>
        <w:jc w:val="center"/>
        <w:rPr>
          <w:rFonts w:asciiTheme="majorHAnsi" w:hAnsiTheme="majorHAnsi"/>
          <w:sz w:val="18"/>
          <w:szCs w:val="22"/>
          <w:lang w:val="es-PE"/>
        </w:rPr>
      </w:pPr>
    </w:p>
    <w:p w14:paraId="6624672D" w14:textId="77777777" w:rsidR="00A50FCF" w:rsidRPr="00A44995" w:rsidRDefault="00A50FCF" w:rsidP="00B44A04">
      <w:pPr>
        <w:tabs>
          <w:tab w:val="left" w:pos="360"/>
          <w:tab w:val="center" w:pos="5400"/>
        </w:tabs>
        <w:suppressAutoHyphens/>
        <w:jc w:val="center"/>
        <w:rPr>
          <w:rFonts w:asciiTheme="majorHAnsi" w:hAnsiTheme="majorHAnsi"/>
          <w:sz w:val="18"/>
          <w:szCs w:val="22"/>
          <w:lang w:val="es-PE"/>
        </w:rPr>
      </w:pPr>
    </w:p>
    <w:p w14:paraId="1D972428" w14:textId="77777777" w:rsidR="00A50FCF" w:rsidRPr="00A44995" w:rsidRDefault="008F5E58" w:rsidP="00B44A04">
      <w:pPr>
        <w:tabs>
          <w:tab w:val="left" w:pos="360"/>
          <w:tab w:val="center" w:pos="5400"/>
        </w:tabs>
        <w:suppressAutoHyphens/>
        <w:jc w:val="center"/>
        <w:rPr>
          <w:rFonts w:asciiTheme="majorHAnsi" w:hAnsiTheme="majorHAnsi"/>
          <w:sz w:val="18"/>
          <w:szCs w:val="22"/>
          <w:lang w:val="es-PE"/>
        </w:rPr>
      </w:pPr>
      <w:r w:rsidRPr="00A4499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5F9D555" wp14:editId="2C79ED14">
                <wp:simplePos x="0" y="0"/>
                <wp:positionH relativeFrom="column">
                  <wp:posOffset>1400175</wp:posOffset>
                </wp:positionH>
                <wp:positionV relativeFrom="paragraph">
                  <wp:posOffset>92710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94FF52" w14:textId="6B74F1FD" w:rsidR="00683FE9" w:rsidRDefault="00683FE9" w:rsidP="00976F8C">
                            <w:pPr>
                              <w:tabs>
                                <w:tab w:val="center" w:pos="5400"/>
                              </w:tabs>
                              <w:suppressAutoHyphens/>
                              <w:spacing w:before="60"/>
                              <w:rPr>
                                <w:rFonts w:asciiTheme="majorHAnsi" w:hAnsiTheme="majorHAnsi" w:cs="Univers"/>
                                <w:color w:val="0D0D0D" w:themeColor="text1" w:themeTint="F2"/>
                                <w:sz w:val="18"/>
                                <w:szCs w:val="20"/>
                                <w:lang w:val="es-ES"/>
                              </w:rPr>
                            </w:pPr>
                            <w:r>
                              <w:rPr>
                                <w:rFonts w:asciiTheme="majorHAnsi" w:hAnsiTheme="majorHAnsi"/>
                                <w:color w:val="0D0D0D" w:themeColor="text1" w:themeTint="F2"/>
                                <w:sz w:val="18"/>
                                <w:szCs w:val="20"/>
                                <w:lang w:val="es-ES"/>
                              </w:rPr>
                              <w:t>Aprobado por la Comisión en su S</w:t>
                            </w:r>
                            <w:r w:rsidRPr="007C047E">
                              <w:rPr>
                                <w:rFonts w:asciiTheme="majorHAnsi" w:hAnsiTheme="majorHAnsi"/>
                                <w:color w:val="0D0D0D" w:themeColor="text1" w:themeTint="F2"/>
                                <w:sz w:val="18"/>
                                <w:szCs w:val="20"/>
                                <w:lang w:val="es-ES"/>
                              </w:rPr>
                              <w:t>esión No.</w:t>
                            </w:r>
                            <w:r>
                              <w:rPr>
                                <w:rFonts w:asciiTheme="majorHAnsi" w:hAnsiTheme="majorHAnsi"/>
                                <w:color w:val="0D0D0D" w:themeColor="text1" w:themeTint="F2"/>
                                <w:sz w:val="18"/>
                                <w:szCs w:val="20"/>
                                <w:lang w:val="es-ES"/>
                              </w:rPr>
                              <w:t xml:space="preserve"> 2207</w:t>
                            </w:r>
                            <w:r w:rsidRPr="007C047E">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celebrada el 23 de marzo de 2021.</w:t>
                            </w:r>
                          </w:p>
                          <w:p w14:paraId="1313EB0C" w14:textId="0481D818" w:rsidR="00683FE9" w:rsidRPr="00027A6B" w:rsidRDefault="00683FE9"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s="Univers"/>
                                <w:color w:val="0D0D0D" w:themeColor="text1" w:themeTint="F2"/>
                                <w:sz w:val="18"/>
                                <w:szCs w:val="20"/>
                                <w:lang w:val="es-ES"/>
                              </w:rPr>
                              <w:t xml:space="preserve">179 </w:t>
                            </w:r>
                            <w:r>
                              <w:rPr>
                                <w:rFonts w:asciiTheme="majorHAnsi" w:hAnsiTheme="majorHAnsi" w:cs="Univers"/>
                                <w:color w:val="0D0D0D" w:themeColor="text1" w:themeTint="F2"/>
                                <w:sz w:val="18"/>
                                <w:szCs w:val="20"/>
                                <w:lang w:val="es-ES_tradnl"/>
                              </w:rPr>
                              <w:t>Período de S</w:t>
                            </w:r>
                            <w:r w:rsidRPr="007C047E">
                              <w:rPr>
                                <w:rFonts w:asciiTheme="majorHAnsi" w:hAnsiTheme="majorHAnsi" w:cs="Univers"/>
                                <w:color w:val="0D0D0D" w:themeColor="text1" w:themeTint="F2"/>
                                <w:sz w:val="18"/>
                                <w:szCs w:val="20"/>
                                <w:lang w:val="es-ES_tradnl"/>
                              </w:rPr>
                              <w:t>esiones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9D555" id="Text Box 7" o:spid="_x0000_s1029" type="#_x0000_t202" style="position:absolute;left:0;text-align:left;margin-left:110.25pt;margin-top:7.3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" filled="f" stroked="f" strokeweight=".5pt">
                <v:textbox>
                  <w:txbxContent>
                    <w:p w14:paraId="7494FF52" w14:textId="6B74F1FD" w:rsidR="00683FE9" w:rsidRDefault="00683FE9" w:rsidP="00976F8C">
                      <w:pPr>
                        <w:tabs>
                          <w:tab w:val="center" w:pos="5400"/>
                        </w:tabs>
                        <w:suppressAutoHyphens/>
                        <w:spacing w:before="60"/>
                        <w:rPr>
                          <w:rFonts w:asciiTheme="majorHAnsi" w:hAnsiTheme="majorHAnsi" w:cs="Univers"/>
                          <w:color w:val="0D0D0D" w:themeColor="text1" w:themeTint="F2"/>
                          <w:sz w:val="18"/>
                          <w:szCs w:val="20"/>
                          <w:lang w:val="es-ES"/>
                        </w:rPr>
                      </w:pPr>
                      <w:r>
                        <w:rPr>
                          <w:rFonts w:asciiTheme="majorHAnsi" w:hAnsiTheme="majorHAnsi"/>
                          <w:color w:val="0D0D0D" w:themeColor="text1" w:themeTint="F2"/>
                          <w:sz w:val="18"/>
                          <w:szCs w:val="20"/>
                          <w:lang w:val="es-ES"/>
                        </w:rPr>
                        <w:t>Aprobado por la Comisión en su S</w:t>
                      </w:r>
                      <w:r w:rsidRPr="007C047E">
                        <w:rPr>
                          <w:rFonts w:asciiTheme="majorHAnsi" w:hAnsiTheme="majorHAnsi"/>
                          <w:color w:val="0D0D0D" w:themeColor="text1" w:themeTint="F2"/>
                          <w:sz w:val="18"/>
                          <w:szCs w:val="20"/>
                          <w:lang w:val="es-ES"/>
                        </w:rPr>
                        <w:t>esión No.</w:t>
                      </w:r>
                      <w:r>
                        <w:rPr>
                          <w:rFonts w:asciiTheme="majorHAnsi" w:hAnsiTheme="majorHAnsi"/>
                          <w:color w:val="0D0D0D" w:themeColor="text1" w:themeTint="F2"/>
                          <w:sz w:val="18"/>
                          <w:szCs w:val="20"/>
                          <w:lang w:val="es-ES"/>
                        </w:rPr>
                        <w:t xml:space="preserve"> 2207</w:t>
                      </w:r>
                      <w:r w:rsidRPr="007C047E">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celebrada el 23 de marzo de 2021.</w:t>
                      </w:r>
                    </w:p>
                    <w:p w14:paraId="1313EB0C" w14:textId="0481D818" w:rsidR="00683FE9" w:rsidRPr="00027A6B" w:rsidRDefault="00683FE9"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s="Univers"/>
                          <w:color w:val="0D0D0D" w:themeColor="text1" w:themeTint="F2"/>
                          <w:sz w:val="18"/>
                          <w:szCs w:val="20"/>
                          <w:lang w:val="es-ES"/>
                        </w:rPr>
                        <w:t xml:space="preserve">179 </w:t>
                      </w:r>
                      <w:r>
                        <w:rPr>
                          <w:rFonts w:asciiTheme="majorHAnsi" w:hAnsiTheme="majorHAnsi" w:cs="Univers"/>
                          <w:color w:val="0D0D0D" w:themeColor="text1" w:themeTint="F2"/>
                          <w:sz w:val="18"/>
                          <w:szCs w:val="20"/>
                          <w:lang w:val="es-ES_tradnl"/>
                        </w:rPr>
                        <w:t>Período de S</w:t>
                      </w:r>
                      <w:r w:rsidRPr="007C047E">
                        <w:rPr>
                          <w:rFonts w:asciiTheme="majorHAnsi" w:hAnsiTheme="majorHAnsi" w:cs="Univers"/>
                          <w:color w:val="0D0D0D" w:themeColor="text1" w:themeTint="F2"/>
                          <w:sz w:val="18"/>
                          <w:szCs w:val="20"/>
                          <w:lang w:val="es-ES_tradnl"/>
                        </w:rPr>
                        <w:t>esiones</w:t>
                      </w:r>
                    </w:p>
                  </w:txbxContent>
                </v:textbox>
              </v:shape>
            </w:pict>
          </mc:Fallback>
        </mc:AlternateContent>
      </w:r>
    </w:p>
    <w:p w14:paraId="4A52E135" w14:textId="77777777" w:rsidR="00A50FCF" w:rsidRPr="00A44995" w:rsidRDefault="00A50FCF" w:rsidP="00B44A04">
      <w:pPr>
        <w:tabs>
          <w:tab w:val="left" w:pos="360"/>
          <w:tab w:val="center" w:pos="5400"/>
        </w:tabs>
        <w:suppressAutoHyphens/>
        <w:jc w:val="center"/>
        <w:rPr>
          <w:rFonts w:asciiTheme="majorHAnsi" w:hAnsiTheme="majorHAnsi"/>
          <w:sz w:val="18"/>
          <w:szCs w:val="22"/>
          <w:lang w:val="es-PE"/>
        </w:rPr>
      </w:pPr>
    </w:p>
    <w:p w14:paraId="68967D73" w14:textId="77777777" w:rsidR="00A50FCF" w:rsidRPr="00A44995" w:rsidRDefault="00A50FCF" w:rsidP="00B44A04">
      <w:pPr>
        <w:tabs>
          <w:tab w:val="left" w:pos="360"/>
          <w:tab w:val="center" w:pos="5400"/>
        </w:tabs>
        <w:suppressAutoHyphens/>
        <w:jc w:val="center"/>
        <w:rPr>
          <w:rFonts w:asciiTheme="majorHAnsi" w:hAnsiTheme="majorHAnsi"/>
          <w:sz w:val="18"/>
          <w:szCs w:val="22"/>
          <w:lang w:val="es-PE"/>
        </w:rPr>
      </w:pPr>
    </w:p>
    <w:p w14:paraId="7057A4C1" w14:textId="77777777" w:rsidR="00A50FCF" w:rsidRPr="00A44995" w:rsidRDefault="00A50FCF" w:rsidP="00B44A04">
      <w:pPr>
        <w:tabs>
          <w:tab w:val="left" w:pos="360"/>
          <w:tab w:val="center" w:pos="5400"/>
        </w:tabs>
        <w:suppressAutoHyphens/>
        <w:jc w:val="center"/>
        <w:rPr>
          <w:rFonts w:asciiTheme="majorHAnsi" w:hAnsiTheme="majorHAnsi"/>
          <w:sz w:val="18"/>
          <w:szCs w:val="22"/>
          <w:lang w:val="es-PE"/>
        </w:rPr>
      </w:pPr>
    </w:p>
    <w:p w14:paraId="6D58633E" w14:textId="77777777" w:rsidR="00A50FCF" w:rsidRPr="00A44995" w:rsidRDefault="00A50FCF" w:rsidP="00B44A04">
      <w:pPr>
        <w:tabs>
          <w:tab w:val="left" w:pos="360"/>
          <w:tab w:val="center" w:pos="5400"/>
        </w:tabs>
        <w:suppressAutoHyphens/>
        <w:jc w:val="center"/>
        <w:rPr>
          <w:rFonts w:asciiTheme="majorHAnsi" w:hAnsiTheme="majorHAnsi"/>
          <w:sz w:val="18"/>
          <w:szCs w:val="22"/>
          <w:lang w:val="es-PE"/>
        </w:rPr>
      </w:pPr>
    </w:p>
    <w:p w14:paraId="72E42759" w14:textId="77777777" w:rsidR="00A50FCF" w:rsidRPr="00A44995" w:rsidRDefault="00A50FCF" w:rsidP="00B44A04">
      <w:pPr>
        <w:tabs>
          <w:tab w:val="left" w:pos="360"/>
          <w:tab w:val="center" w:pos="5400"/>
        </w:tabs>
        <w:suppressAutoHyphens/>
        <w:jc w:val="center"/>
        <w:rPr>
          <w:rFonts w:asciiTheme="majorHAnsi" w:hAnsiTheme="majorHAnsi"/>
          <w:sz w:val="18"/>
          <w:szCs w:val="22"/>
          <w:lang w:val="es-PE"/>
        </w:rPr>
      </w:pPr>
    </w:p>
    <w:p w14:paraId="35C67BD7" w14:textId="77777777" w:rsidR="00A50FCF" w:rsidRPr="00A44995" w:rsidRDefault="008F5E58" w:rsidP="00B44A04">
      <w:pPr>
        <w:tabs>
          <w:tab w:val="left" w:pos="360"/>
          <w:tab w:val="center" w:pos="5400"/>
        </w:tabs>
        <w:suppressAutoHyphens/>
        <w:jc w:val="center"/>
        <w:rPr>
          <w:rFonts w:asciiTheme="majorHAnsi" w:hAnsiTheme="majorHAnsi"/>
          <w:sz w:val="18"/>
          <w:szCs w:val="22"/>
          <w:lang w:val="es-PE"/>
        </w:rPr>
      </w:pPr>
      <w:r w:rsidRPr="00A44995">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C88F1E1" wp14:editId="0CB427DF">
                <wp:simplePos x="0" y="0"/>
                <wp:positionH relativeFrom="column">
                  <wp:posOffset>1371600</wp:posOffset>
                </wp:positionH>
                <wp:positionV relativeFrom="paragraph">
                  <wp:posOffset>88900</wp:posOffset>
                </wp:positionV>
                <wp:extent cx="4943475" cy="657225"/>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F4505" w14:textId="6583A295" w:rsidR="00683FE9" w:rsidRPr="007C756A" w:rsidRDefault="00683FE9"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w:t>
                            </w:r>
                            <w:r w:rsidRPr="00F2077F">
                              <w:rPr>
                                <w:rFonts w:asciiTheme="majorHAnsi" w:hAnsiTheme="majorHAnsi"/>
                                <w:color w:val="595959" w:themeColor="text1" w:themeTint="A6"/>
                                <w:sz w:val="18"/>
                                <w:szCs w:val="18"/>
                                <w:lang w:val="es-US"/>
                              </w:rPr>
                              <w:t xml:space="preserve">Informe No. 24/21 </w:t>
                            </w:r>
                            <w:r w:rsidRPr="0077700B">
                              <w:rPr>
                                <w:rFonts w:asciiTheme="majorHAnsi" w:hAnsiTheme="majorHAnsi"/>
                                <w:color w:val="595959" w:themeColor="text1" w:themeTint="A6"/>
                                <w:sz w:val="18"/>
                                <w:szCs w:val="18"/>
                                <w:lang w:val="es-ES_tradnl"/>
                              </w:rPr>
                              <w:t>Caso</w:t>
                            </w:r>
                            <w:r>
                              <w:rPr>
                                <w:rFonts w:asciiTheme="majorHAnsi" w:hAnsiTheme="majorHAnsi"/>
                                <w:color w:val="595959" w:themeColor="text1" w:themeTint="A6"/>
                                <w:sz w:val="18"/>
                                <w:szCs w:val="18"/>
                                <w:lang w:val="es-ES_tradnl"/>
                              </w:rPr>
                              <w:t>. 13.047 Fondo.</w:t>
                            </w:r>
                            <w:r w:rsidRPr="0077700B">
                              <w:rPr>
                                <w:rFonts w:asciiTheme="majorHAnsi" w:hAnsiTheme="majorHAnsi" w:cs="Arial"/>
                                <w:color w:val="0D0D0D" w:themeColor="text1" w:themeTint="F2"/>
                                <w:szCs w:val="22"/>
                                <w:lang w:val="es-ES_tradnl"/>
                              </w:rPr>
                              <w:t xml:space="preserve"> </w:t>
                            </w:r>
                            <w:r>
                              <w:rPr>
                                <w:rFonts w:asciiTheme="majorHAnsi" w:hAnsiTheme="majorHAnsi"/>
                                <w:color w:val="595959" w:themeColor="text1" w:themeTint="A6"/>
                                <w:sz w:val="18"/>
                                <w:szCs w:val="18"/>
                                <w:lang w:val="es-ES_tradnl"/>
                              </w:rPr>
                              <w:t>Miguel Ángel Aguirre Magaña. El Salvador. 23 de marzo de 2021</w:t>
                            </w:r>
                            <w:r w:rsidRPr="00890650">
                              <w:rPr>
                                <w:rFonts w:asciiTheme="majorHAnsi" w:hAnsiTheme="majorHAnsi"/>
                                <w:color w:val="595959" w:themeColor="text1" w:themeTint="A6"/>
                                <w:sz w:val="18"/>
                                <w:szCs w:val="18"/>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8F1E1" id="Text Box 10" o:spid="_x0000_s1030" type="#_x0000_t202" style="position:absolute;left:0;text-align:left;margin-left:108pt;margin-top:7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" filled="f" stroked="f" strokeweight=".5pt">
                <v:textbox>
                  <w:txbxContent>
                    <w:p w14:paraId="1ACF4505" w14:textId="6583A295" w:rsidR="00683FE9" w:rsidRPr="007C756A" w:rsidRDefault="00683FE9"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w:t>
                      </w:r>
                      <w:r w:rsidRPr="00F2077F">
                        <w:rPr>
                          <w:rFonts w:asciiTheme="majorHAnsi" w:hAnsiTheme="majorHAnsi"/>
                          <w:color w:val="595959" w:themeColor="text1" w:themeTint="A6"/>
                          <w:sz w:val="18"/>
                          <w:szCs w:val="18"/>
                          <w:lang w:val="es-US"/>
                        </w:rPr>
                        <w:t xml:space="preserve">Informe No. 24/21 </w:t>
                      </w:r>
                      <w:r w:rsidRPr="0077700B">
                        <w:rPr>
                          <w:rFonts w:asciiTheme="majorHAnsi" w:hAnsiTheme="majorHAnsi"/>
                          <w:color w:val="595959" w:themeColor="text1" w:themeTint="A6"/>
                          <w:sz w:val="18"/>
                          <w:szCs w:val="18"/>
                          <w:lang w:val="es-ES_tradnl"/>
                        </w:rPr>
                        <w:t>Caso</w:t>
                      </w:r>
                      <w:r>
                        <w:rPr>
                          <w:rFonts w:asciiTheme="majorHAnsi" w:hAnsiTheme="majorHAnsi"/>
                          <w:color w:val="595959" w:themeColor="text1" w:themeTint="A6"/>
                          <w:sz w:val="18"/>
                          <w:szCs w:val="18"/>
                          <w:lang w:val="es-ES_tradnl"/>
                        </w:rPr>
                        <w:t>. 13.047 Fondo.</w:t>
                      </w:r>
                      <w:r w:rsidRPr="0077700B">
                        <w:rPr>
                          <w:rFonts w:asciiTheme="majorHAnsi" w:hAnsiTheme="majorHAnsi" w:cs="Arial"/>
                          <w:color w:val="0D0D0D" w:themeColor="text1" w:themeTint="F2"/>
                          <w:szCs w:val="22"/>
                          <w:lang w:val="es-ES_tradnl"/>
                        </w:rPr>
                        <w:t xml:space="preserve"> </w:t>
                      </w:r>
                      <w:r>
                        <w:rPr>
                          <w:rFonts w:asciiTheme="majorHAnsi" w:hAnsiTheme="majorHAnsi"/>
                          <w:color w:val="595959" w:themeColor="text1" w:themeTint="A6"/>
                          <w:sz w:val="18"/>
                          <w:szCs w:val="18"/>
                          <w:lang w:val="es-ES_tradnl"/>
                        </w:rPr>
                        <w:t>Miguel Ángel Aguirre Magaña. El Salvador. 23 de marzo de 2021</w:t>
                      </w:r>
                      <w:r w:rsidRPr="00890650">
                        <w:rPr>
                          <w:rFonts w:asciiTheme="majorHAnsi" w:hAnsiTheme="majorHAnsi"/>
                          <w:color w:val="595959" w:themeColor="text1" w:themeTint="A6"/>
                          <w:sz w:val="18"/>
                          <w:szCs w:val="18"/>
                          <w:lang w:val="es-ES_tradnl"/>
                        </w:rPr>
                        <w:t xml:space="preserve">. </w:t>
                      </w:r>
                    </w:p>
                  </w:txbxContent>
                </v:textbox>
              </v:shape>
            </w:pict>
          </mc:Fallback>
        </mc:AlternateContent>
      </w:r>
    </w:p>
    <w:p w14:paraId="1A89C059" w14:textId="77777777" w:rsidR="00A50FCF" w:rsidRPr="00A44995" w:rsidRDefault="00A50FCF" w:rsidP="00B44A04">
      <w:pPr>
        <w:tabs>
          <w:tab w:val="left" w:pos="360"/>
          <w:tab w:val="center" w:pos="5400"/>
        </w:tabs>
        <w:suppressAutoHyphens/>
        <w:jc w:val="center"/>
        <w:rPr>
          <w:rFonts w:asciiTheme="majorHAnsi" w:hAnsiTheme="majorHAnsi"/>
          <w:sz w:val="18"/>
          <w:szCs w:val="22"/>
          <w:lang w:val="es-PE"/>
        </w:rPr>
      </w:pPr>
    </w:p>
    <w:p w14:paraId="31A4D69F" w14:textId="77777777" w:rsidR="00A50FCF" w:rsidRPr="00A44995" w:rsidRDefault="00A50FCF" w:rsidP="00B44A04">
      <w:pPr>
        <w:tabs>
          <w:tab w:val="left" w:pos="360"/>
          <w:tab w:val="center" w:pos="5400"/>
        </w:tabs>
        <w:suppressAutoHyphens/>
        <w:jc w:val="center"/>
        <w:rPr>
          <w:rFonts w:asciiTheme="majorHAnsi" w:hAnsiTheme="majorHAnsi"/>
          <w:sz w:val="18"/>
          <w:szCs w:val="22"/>
          <w:lang w:val="es-PE"/>
        </w:rPr>
      </w:pPr>
    </w:p>
    <w:p w14:paraId="1BCA65C2" w14:textId="77777777" w:rsidR="0090270B" w:rsidRPr="00A44995" w:rsidRDefault="00D306D1" w:rsidP="00B44A04">
      <w:pPr>
        <w:tabs>
          <w:tab w:val="left" w:pos="360"/>
          <w:tab w:val="center" w:pos="5400"/>
        </w:tabs>
        <w:suppressAutoHyphens/>
        <w:jc w:val="center"/>
        <w:rPr>
          <w:rFonts w:asciiTheme="majorHAnsi" w:hAnsiTheme="majorHAnsi"/>
          <w:b/>
          <w:sz w:val="20"/>
          <w:lang w:val="es-PE"/>
        </w:rPr>
      </w:pPr>
      <w:r w:rsidRPr="00A44995">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66A5566" wp14:editId="685B1D8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96CAC" w14:textId="77777777" w:rsidR="00683FE9" w:rsidRPr="00D72DC6" w:rsidRDefault="00683FE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AD7E7B9" wp14:editId="47E19739">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A5566"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7DA96CAC" w14:textId="77777777" w:rsidR="00683FE9" w:rsidRPr="00D72DC6" w:rsidRDefault="00683FE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AD7E7B9" wp14:editId="47E19739">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44995">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A884DB6" wp14:editId="2A1A032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944C05" w14:textId="77777777" w:rsidR="00683FE9" w:rsidRPr="004B7EB6" w:rsidRDefault="00683FE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84DB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09944C05" w14:textId="77777777" w:rsidR="00683FE9" w:rsidRPr="004B7EB6" w:rsidRDefault="00683FE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EAE8EB4" w14:textId="77777777" w:rsidR="0070697F" w:rsidRPr="00A44995" w:rsidRDefault="0070697F" w:rsidP="00B44A04">
      <w:pPr>
        <w:tabs>
          <w:tab w:val="left" w:pos="360"/>
          <w:tab w:val="center" w:pos="5400"/>
        </w:tabs>
        <w:suppressAutoHyphens/>
        <w:rPr>
          <w:rFonts w:asciiTheme="majorHAnsi" w:hAnsiTheme="majorHAnsi"/>
          <w:b/>
          <w:sz w:val="20"/>
          <w:lang w:val="es-PE"/>
        </w:rPr>
        <w:sectPr w:rsidR="0070697F" w:rsidRPr="00A44995"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49A57751" w14:textId="77777777" w:rsidR="00722C9F" w:rsidRPr="00A44995" w:rsidRDefault="00722C9F" w:rsidP="00B44A04">
      <w:pPr>
        <w:tabs>
          <w:tab w:val="left" w:pos="360"/>
          <w:tab w:val="center" w:pos="5400"/>
        </w:tabs>
        <w:suppressAutoHyphens/>
        <w:spacing w:line="276" w:lineRule="auto"/>
        <w:rPr>
          <w:rFonts w:ascii="Cambria" w:hAnsi="Cambria"/>
          <w:sz w:val="20"/>
          <w:szCs w:val="20"/>
          <w:lang w:val="es-PE"/>
        </w:rPr>
      </w:pPr>
    </w:p>
    <w:p w14:paraId="6BDF35CA" w14:textId="77777777" w:rsidR="008D768D" w:rsidRPr="00A44995" w:rsidRDefault="00722C9F" w:rsidP="00B44A04">
      <w:pPr>
        <w:tabs>
          <w:tab w:val="left" w:pos="360"/>
          <w:tab w:val="center" w:pos="5400"/>
        </w:tabs>
        <w:suppressAutoHyphens/>
        <w:spacing w:line="276" w:lineRule="auto"/>
        <w:jc w:val="center"/>
        <w:rPr>
          <w:rFonts w:ascii="Cambria" w:hAnsi="Cambria"/>
          <w:b/>
          <w:sz w:val="20"/>
          <w:szCs w:val="20"/>
          <w:lang w:val="es-PE"/>
        </w:rPr>
      </w:pPr>
      <w:r w:rsidRPr="00A44995">
        <w:rPr>
          <w:rFonts w:ascii="Cambria" w:hAnsi="Cambria"/>
          <w:b/>
          <w:sz w:val="20"/>
          <w:szCs w:val="20"/>
          <w:lang w:val="es-PE"/>
        </w:rPr>
        <w:t>ÍNDICE</w:t>
      </w:r>
    </w:p>
    <w:p w14:paraId="6D1F7EA4" w14:textId="77777777" w:rsidR="00E909AA" w:rsidRPr="00A44995" w:rsidRDefault="00E909AA" w:rsidP="00B44A04">
      <w:pPr>
        <w:tabs>
          <w:tab w:val="left" w:pos="360"/>
        </w:tabs>
        <w:suppressAutoHyphens/>
        <w:rPr>
          <w:rFonts w:asciiTheme="majorHAnsi" w:hAnsiTheme="majorHAnsi"/>
          <w:b/>
          <w:sz w:val="20"/>
          <w:szCs w:val="20"/>
          <w:lang w:val="es-PE"/>
        </w:rPr>
      </w:pPr>
    </w:p>
    <w:p w14:paraId="6C4A47F2" w14:textId="043DCFC9" w:rsidR="00B85401" w:rsidRPr="00A44995" w:rsidRDefault="005777B2">
      <w:pPr>
        <w:pStyle w:val="TOC1"/>
        <w:tabs>
          <w:tab w:val="left" w:pos="1349"/>
        </w:tabs>
        <w:rPr>
          <w:rFonts w:ascii="Cambria" w:eastAsiaTheme="minorEastAsia" w:hAnsi="Cambria" w:cstheme="minorBidi"/>
          <w:noProof/>
          <w:sz w:val="20"/>
          <w:szCs w:val="20"/>
          <w:bdr w:val="none" w:sz="0" w:space="0" w:color="auto"/>
          <w:lang w:val="es-US" w:eastAsia="ja-JP"/>
        </w:rPr>
      </w:pPr>
      <w:r w:rsidRPr="00A44995">
        <w:rPr>
          <w:rFonts w:ascii="Cambria" w:hAnsi="Cambria"/>
          <w:b/>
          <w:sz w:val="20"/>
          <w:szCs w:val="20"/>
          <w:lang w:val="es-PE"/>
        </w:rPr>
        <w:fldChar w:fldCharType="begin"/>
      </w:r>
      <w:r w:rsidRPr="00A44995">
        <w:rPr>
          <w:rFonts w:ascii="Cambria" w:hAnsi="Cambria"/>
          <w:b/>
          <w:sz w:val="20"/>
          <w:szCs w:val="20"/>
          <w:lang w:val="es-PE"/>
        </w:rPr>
        <w:instrText xml:space="preserve"> TOC \o "1-3" \h \z \u </w:instrText>
      </w:r>
      <w:r w:rsidRPr="00A44995">
        <w:rPr>
          <w:rFonts w:ascii="Cambria" w:hAnsi="Cambria"/>
          <w:b/>
          <w:sz w:val="20"/>
          <w:szCs w:val="20"/>
          <w:lang w:val="es-PE"/>
        </w:rPr>
        <w:fldChar w:fldCharType="separate"/>
      </w:r>
      <w:r w:rsidR="00B85401" w:rsidRPr="00A44995">
        <w:rPr>
          <w:rFonts w:ascii="Cambria" w:hAnsi="Cambria"/>
          <w:noProof/>
          <w:sz w:val="20"/>
          <w:szCs w:val="20"/>
          <w:lang w:val="es-PE"/>
        </w:rPr>
        <w:t>I.</w:t>
      </w:r>
      <w:r w:rsidR="00B85401" w:rsidRPr="00A44995">
        <w:rPr>
          <w:rFonts w:ascii="Cambria" w:eastAsiaTheme="minorEastAsia" w:hAnsi="Cambria" w:cstheme="minorBidi"/>
          <w:noProof/>
          <w:sz w:val="20"/>
          <w:szCs w:val="20"/>
          <w:bdr w:val="none" w:sz="0" w:space="0" w:color="auto"/>
          <w:lang w:val="es-US" w:eastAsia="ja-JP"/>
        </w:rPr>
        <w:tab/>
      </w:r>
      <w:r w:rsidR="00B85401" w:rsidRPr="00A44995">
        <w:rPr>
          <w:rFonts w:ascii="Cambria" w:hAnsi="Cambria"/>
          <w:noProof/>
          <w:sz w:val="20"/>
          <w:szCs w:val="20"/>
          <w:lang w:val="es-PE"/>
        </w:rPr>
        <w:t>INTRODUCCIÓN</w:t>
      </w:r>
      <w:r w:rsidR="00B85401" w:rsidRPr="00A44995">
        <w:rPr>
          <w:rFonts w:ascii="Cambria" w:hAnsi="Cambria"/>
          <w:noProof/>
          <w:sz w:val="20"/>
          <w:szCs w:val="20"/>
          <w:lang w:val="es-US"/>
        </w:rPr>
        <w:tab/>
      </w:r>
      <w:r w:rsidR="00B85401" w:rsidRPr="00A44995">
        <w:rPr>
          <w:rFonts w:ascii="Cambria" w:hAnsi="Cambria"/>
          <w:noProof/>
          <w:sz w:val="20"/>
          <w:szCs w:val="20"/>
        </w:rPr>
        <w:fldChar w:fldCharType="begin"/>
      </w:r>
      <w:r w:rsidR="00B85401" w:rsidRPr="00A44995">
        <w:rPr>
          <w:rFonts w:ascii="Cambria" w:hAnsi="Cambria"/>
          <w:noProof/>
          <w:sz w:val="20"/>
          <w:szCs w:val="20"/>
          <w:lang w:val="es-US"/>
        </w:rPr>
        <w:instrText xml:space="preserve"> PAGEREF _Toc473195950 \h </w:instrText>
      </w:r>
      <w:r w:rsidR="00B85401" w:rsidRPr="00A44995">
        <w:rPr>
          <w:rFonts w:ascii="Cambria" w:hAnsi="Cambria"/>
          <w:noProof/>
          <w:sz w:val="20"/>
          <w:szCs w:val="20"/>
        </w:rPr>
      </w:r>
      <w:r w:rsidR="00B85401" w:rsidRPr="00A44995">
        <w:rPr>
          <w:rFonts w:ascii="Cambria" w:hAnsi="Cambria"/>
          <w:noProof/>
          <w:sz w:val="20"/>
          <w:szCs w:val="20"/>
        </w:rPr>
        <w:fldChar w:fldCharType="separate"/>
      </w:r>
      <w:r w:rsidR="00656C48">
        <w:rPr>
          <w:rFonts w:ascii="Cambria" w:hAnsi="Cambria"/>
          <w:noProof/>
          <w:sz w:val="20"/>
          <w:szCs w:val="20"/>
          <w:lang w:val="es-US"/>
        </w:rPr>
        <w:t>2</w:t>
      </w:r>
      <w:r w:rsidR="00B85401" w:rsidRPr="00A44995">
        <w:rPr>
          <w:rFonts w:ascii="Cambria" w:hAnsi="Cambria"/>
          <w:noProof/>
          <w:sz w:val="20"/>
          <w:szCs w:val="20"/>
        </w:rPr>
        <w:fldChar w:fldCharType="end"/>
      </w:r>
    </w:p>
    <w:p w14:paraId="78B6FE2E" w14:textId="77777777" w:rsidR="00B85401" w:rsidRPr="00A44995" w:rsidRDefault="00B85401">
      <w:pPr>
        <w:pStyle w:val="TOC1"/>
        <w:tabs>
          <w:tab w:val="clear" w:pos="1440"/>
          <w:tab w:val="left" w:pos="1421"/>
        </w:tabs>
        <w:rPr>
          <w:rFonts w:ascii="Cambria" w:hAnsi="Cambria"/>
          <w:noProof/>
          <w:sz w:val="20"/>
          <w:szCs w:val="20"/>
          <w:lang w:val="es-PE"/>
        </w:rPr>
      </w:pPr>
    </w:p>
    <w:p w14:paraId="1F4220E0" w14:textId="3E6251B8" w:rsidR="00B85401" w:rsidRPr="00A44995" w:rsidRDefault="00B85401">
      <w:pPr>
        <w:pStyle w:val="TOC1"/>
        <w:tabs>
          <w:tab w:val="clear" w:pos="1440"/>
          <w:tab w:val="left" w:pos="1421"/>
        </w:tabs>
        <w:rPr>
          <w:rFonts w:ascii="Cambria" w:eastAsiaTheme="minorEastAsia" w:hAnsi="Cambria" w:cstheme="minorBidi"/>
          <w:noProof/>
          <w:sz w:val="20"/>
          <w:szCs w:val="20"/>
          <w:bdr w:val="none" w:sz="0" w:space="0" w:color="auto"/>
          <w:lang w:val="es-US" w:eastAsia="ja-JP"/>
        </w:rPr>
      </w:pPr>
      <w:r w:rsidRPr="00A44995">
        <w:rPr>
          <w:rFonts w:ascii="Cambria" w:hAnsi="Cambria"/>
          <w:noProof/>
          <w:sz w:val="20"/>
          <w:szCs w:val="20"/>
          <w:lang w:val="es-PE"/>
        </w:rPr>
        <w:t>II.</w:t>
      </w:r>
      <w:r w:rsidRPr="00A44995">
        <w:rPr>
          <w:rFonts w:ascii="Cambria" w:eastAsiaTheme="minorEastAsia" w:hAnsi="Cambria" w:cstheme="minorBidi"/>
          <w:noProof/>
          <w:sz w:val="20"/>
          <w:szCs w:val="20"/>
          <w:bdr w:val="none" w:sz="0" w:space="0" w:color="auto"/>
          <w:lang w:val="es-US" w:eastAsia="ja-JP"/>
        </w:rPr>
        <w:tab/>
      </w:r>
      <w:r w:rsidRPr="00A44995">
        <w:rPr>
          <w:rFonts w:ascii="Cambria" w:hAnsi="Cambria"/>
          <w:noProof/>
          <w:sz w:val="20"/>
          <w:szCs w:val="20"/>
          <w:lang w:val="es-PE"/>
        </w:rPr>
        <w:t>ALEGATOS DE LAS PARTES</w:t>
      </w:r>
      <w:r w:rsidRPr="00A44995">
        <w:rPr>
          <w:rFonts w:ascii="Cambria" w:hAnsi="Cambria"/>
          <w:noProof/>
          <w:sz w:val="20"/>
          <w:szCs w:val="20"/>
          <w:lang w:val="es-US"/>
        </w:rPr>
        <w:tab/>
      </w:r>
      <w:r w:rsidRPr="00A44995">
        <w:rPr>
          <w:rFonts w:ascii="Cambria" w:hAnsi="Cambria"/>
          <w:noProof/>
          <w:sz w:val="20"/>
          <w:szCs w:val="20"/>
        </w:rPr>
        <w:fldChar w:fldCharType="begin"/>
      </w:r>
      <w:r w:rsidRPr="00A44995">
        <w:rPr>
          <w:rFonts w:ascii="Cambria" w:hAnsi="Cambria"/>
          <w:noProof/>
          <w:sz w:val="20"/>
          <w:szCs w:val="20"/>
          <w:lang w:val="es-US"/>
        </w:rPr>
        <w:instrText xml:space="preserve"> PAGEREF _Toc473195951 \h </w:instrText>
      </w:r>
      <w:r w:rsidRPr="00A44995">
        <w:rPr>
          <w:rFonts w:ascii="Cambria" w:hAnsi="Cambria"/>
          <w:noProof/>
          <w:sz w:val="20"/>
          <w:szCs w:val="20"/>
        </w:rPr>
      </w:r>
      <w:r w:rsidRPr="00A44995">
        <w:rPr>
          <w:rFonts w:ascii="Cambria" w:hAnsi="Cambria"/>
          <w:noProof/>
          <w:sz w:val="20"/>
          <w:szCs w:val="20"/>
        </w:rPr>
        <w:fldChar w:fldCharType="separate"/>
      </w:r>
      <w:r w:rsidR="00656C48">
        <w:rPr>
          <w:rFonts w:ascii="Cambria" w:hAnsi="Cambria"/>
          <w:noProof/>
          <w:sz w:val="20"/>
          <w:szCs w:val="20"/>
          <w:lang w:val="es-US"/>
        </w:rPr>
        <w:t>2</w:t>
      </w:r>
      <w:r w:rsidRPr="00A44995">
        <w:rPr>
          <w:rFonts w:ascii="Cambria" w:hAnsi="Cambria"/>
          <w:noProof/>
          <w:sz w:val="20"/>
          <w:szCs w:val="20"/>
        </w:rPr>
        <w:fldChar w:fldCharType="end"/>
      </w:r>
    </w:p>
    <w:p w14:paraId="46F3F616" w14:textId="79B7566A" w:rsidR="00B85401" w:rsidRPr="00A44995" w:rsidRDefault="00B85401">
      <w:pPr>
        <w:pStyle w:val="TOC2"/>
        <w:tabs>
          <w:tab w:val="left" w:pos="2160"/>
        </w:tabs>
        <w:rPr>
          <w:rFonts w:ascii="Cambria" w:eastAsiaTheme="minorEastAsia" w:hAnsi="Cambria" w:cstheme="minorBidi"/>
          <w:noProof/>
          <w:sz w:val="20"/>
          <w:szCs w:val="20"/>
          <w:bdr w:val="none" w:sz="0" w:space="0" w:color="auto"/>
          <w:lang w:val="es-US" w:eastAsia="ja-JP"/>
        </w:rPr>
      </w:pPr>
      <w:r w:rsidRPr="00A44995">
        <w:rPr>
          <w:rFonts w:ascii="Cambria" w:hAnsi="Cambria"/>
          <w:noProof/>
          <w:sz w:val="20"/>
          <w:szCs w:val="20"/>
          <w:lang w:val="es-PE"/>
        </w:rPr>
        <w:t>A.</w:t>
      </w:r>
      <w:r w:rsidRPr="00A44995">
        <w:rPr>
          <w:rFonts w:ascii="Cambria" w:eastAsiaTheme="minorEastAsia" w:hAnsi="Cambria" w:cstheme="minorBidi"/>
          <w:noProof/>
          <w:sz w:val="20"/>
          <w:szCs w:val="20"/>
          <w:bdr w:val="none" w:sz="0" w:space="0" w:color="auto"/>
          <w:lang w:val="es-US" w:eastAsia="ja-JP"/>
        </w:rPr>
        <w:tab/>
      </w:r>
      <w:r w:rsidRPr="00A44995">
        <w:rPr>
          <w:rFonts w:ascii="Cambria" w:hAnsi="Cambria"/>
          <w:noProof/>
          <w:sz w:val="20"/>
          <w:szCs w:val="20"/>
          <w:lang w:val="es-PE"/>
        </w:rPr>
        <w:t>Parte peticionaria</w:t>
      </w:r>
      <w:r w:rsidRPr="00A44995">
        <w:rPr>
          <w:rFonts w:ascii="Cambria" w:hAnsi="Cambria"/>
          <w:noProof/>
          <w:sz w:val="20"/>
          <w:szCs w:val="20"/>
          <w:lang w:val="es-US"/>
        </w:rPr>
        <w:tab/>
      </w:r>
      <w:r w:rsidRPr="00A44995">
        <w:rPr>
          <w:rFonts w:ascii="Cambria" w:hAnsi="Cambria"/>
          <w:noProof/>
          <w:sz w:val="20"/>
          <w:szCs w:val="20"/>
        </w:rPr>
        <w:fldChar w:fldCharType="begin"/>
      </w:r>
      <w:r w:rsidRPr="00A44995">
        <w:rPr>
          <w:rFonts w:ascii="Cambria" w:hAnsi="Cambria"/>
          <w:noProof/>
          <w:sz w:val="20"/>
          <w:szCs w:val="20"/>
          <w:lang w:val="es-US"/>
        </w:rPr>
        <w:instrText xml:space="preserve"> PAGEREF _Toc473195952 \h </w:instrText>
      </w:r>
      <w:r w:rsidRPr="00A44995">
        <w:rPr>
          <w:rFonts w:ascii="Cambria" w:hAnsi="Cambria"/>
          <w:noProof/>
          <w:sz w:val="20"/>
          <w:szCs w:val="20"/>
        </w:rPr>
      </w:r>
      <w:r w:rsidRPr="00A44995">
        <w:rPr>
          <w:rFonts w:ascii="Cambria" w:hAnsi="Cambria"/>
          <w:noProof/>
          <w:sz w:val="20"/>
          <w:szCs w:val="20"/>
        </w:rPr>
        <w:fldChar w:fldCharType="separate"/>
      </w:r>
      <w:r w:rsidR="00656C48">
        <w:rPr>
          <w:rFonts w:ascii="Cambria" w:hAnsi="Cambria"/>
          <w:noProof/>
          <w:sz w:val="20"/>
          <w:szCs w:val="20"/>
          <w:lang w:val="es-US"/>
        </w:rPr>
        <w:t>2</w:t>
      </w:r>
      <w:r w:rsidRPr="00A44995">
        <w:rPr>
          <w:rFonts w:ascii="Cambria" w:hAnsi="Cambria"/>
          <w:noProof/>
          <w:sz w:val="20"/>
          <w:szCs w:val="20"/>
        </w:rPr>
        <w:fldChar w:fldCharType="end"/>
      </w:r>
    </w:p>
    <w:p w14:paraId="18347320" w14:textId="52A00381" w:rsidR="00B85401" w:rsidRPr="00A44995" w:rsidRDefault="00B85401">
      <w:pPr>
        <w:pStyle w:val="TOC2"/>
        <w:tabs>
          <w:tab w:val="left" w:pos="2160"/>
        </w:tabs>
        <w:rPr>
          <w:rFonts w:ascii="Cambria" w:eastAsiaTheme="minorEastAsia" w:hAnsi="Cambria" w:cstheme="minorBidi"/>
          <w:noProof/>
          <w:sz w:val="20"/>
          <w:szCs w:val="20"/>
          <w:bdr w:val="none" w:sz="0" w:space="0" w:color="auto"/>
          <w:lang w:val="es-US" w:eastAsia="ja-JP"/>
        </w:rPr>
      </w:pPr>
      <w:r w:rsidRPr="00A44995">
        <w:rPr>
          <w:rFonts w:ascii="Cambria" w:hAnsi="Cambria"/>
          <w:noProof/>
          <w:sz w:val="20"/>
          <w:szCs w:val="20"/>
          <w:lang w:val="es-PE"/>
        </w:rPr>
        <w:t>B.</w:t>
      </w:r>
      <w:r w:rsidRPr="00A44995">
        <w:rPr>
          <w:rFonts w:ascii="Cambria" w:eastAsiaTheme="minorEastAsia" w:hAnsi="Cambria" w:cstheme="minorBidi"/>
          <w:noProof/>
          <w:sz w:val="20"/>
          <w:szCs w:val="20"/>
          <w:bdr w:val="none" w:sz="0" w:space="0" w:color="auto"/>
          <w:lang w:val="es-US" w:eastAsia="ja-JP"/>
        </w:rPr>
        <w:tab/>
      </w:r>
      <w:r w:rsidRPr="00A44995">
        <w:rPr>
          <w:rFonts w:ascii="Cambria" w:hAnsi="Cambria"/>
          <w:noProof/>
          <w:sz w:val="20"/>
          <w:szCs w:val="20"/>
          <w:lang w:val="es-PE"/>
        </w:rPr>
        <w:t>Estado</w:t>
      </w:r>
      <w:r w:rsidRPr="00A44995">
        <w:rPr>
          <w:rFonts w:ascii="Cambria" w:hAnsi="Cambria"/>
          <w:noProof/>
          <w:sz w:val="20"/>
          <w:szCs w:val="20"/>
          <w:lang w:val="es-US"/>
        </w:rPr>
        <w:tab/>
      </w:r>
      <w:r w:rsidRPr="00A44995">
        <w:rPr>
          <w:rFonts w:ascii="Cambria" w:hAnsi="Cambria"/>
          <w:noProof/>
          <w:sz w:val="20"/>
          <w:szCs w:val="20"/>
        </w:rPr>
        <w:fldChar w:fldCharType="begin"/>
      </w:r>
      <w:r w:rsidRPr="00A44995">
        <w:rPr>
          <w:rFonts w:ascii="Cambria" w:hAnsi="Cambria"/>
          <w:noProof/>
          <w:sz w:val="20"/>
          <w:szCs w:val="20"/>
          <w:lang w:val="es-US"/>
        </w:rPr>
        <w:instrText xml:space="preserve"> PAGEREF _Toc473195953 \h </w:instrText>
      </w:r>
      <w:r w:rsidRPr="00A44995">
        <w:rPr>
          <w:rFonts w:ascii="Cambria" w:hAnsi="Cambria"/>
          <w:noProof/>
          <w:sz w:val="20"/>
          <w:szCs w:val="20"/>
        </w:rPr>
      </w:r>
      <w:r w:rsidRPr="00A44995">
        <w:rPr>
          <w:rFonts w:ascii="Cambria" w:hAnsi="Cambria"/>
          <w:noProof/>
          <w:sz w:val="20"/>
          <w:szCs w:val="20"/>
        </w:rPr>
        <w:fldChar w:fldCharType="separate"/>
      </w:r>
      <w:r w:rsidR="00656C48">
        <w:rPr>
          <w:rFonts w:ascii="Cambria" w:hAnsi="Cambria"/>
          <w:noProof/>
          <w:sz w:val="20"/>
          <w:szCs w:val="20"/>
          <w:lang w:val="es-US"/>
        </w:rPr>
        <w:t>3</w:t>
      </w:r>
      <w:r w:rsidRPr="00A44995">
        <w:rPr>
          <w:rFonts w:ascii="Cambria" w:hAnsi="Cambria"/>
          <w:noProof/>
          <w:sz w:val="20"/>
          <w:szCs w:val="20"/>
        </w:rPr>
        <w:fldChar w:fldCharType="end"/>
      </w:r>
    </w:p>
    <w:p w14:paraId="2F3150E4" w14:textId="77777777" w:rsidR="00B85401" w:rsidRPr="00A44995" w:rsidRDefault="00B85401">
      <w:pPr>
        <w:pStyle w:val="TOC1"/>
        <w:tabs>
          <w:tab w:val="left" w:pos="1492"/>
        </w:tabs>
        <w:rPr>
          <w:rFonts w:ascii="Cambria" w:hAnsi="Cambria"/>
          <w:noProof/>
          <w:sz w:val="20"/>
          <w:szCs w:val="20"/>
          <w:lang w:val="es-PE"/>
        </w:rPr>
      </w:pPr>
    </w:p>
    <w:p w14:paraId="11F9127F" w14:textId="7A9746CB" w:rsidR="00B85401" w:rsidRPr="00A44995" w:rsidRDefault="00B85401">
      <w:pPr>
        <w:pStyle w:val="TOC1"/>
        <w:tabs>
          <w:tab w:val="left" w:pos="1492"/>
        </w:tabs>
        <w:rPr>
          <w:rFonts w:ascii="Cambria" w:eastAsiaTheme="minorEastAsia" w:hAnsi="Cambria" w:cstheme="minorBidi"/>
          <w:noProof/>
          <w:sz w:val="20"/>
          <w:szCs w:val="20"/>
          <w:bdr w:val="none" w:sz="0" w:space="0" w:color="auto"/>
          <w:lang w:val="es-US" w:eastAsia="ja-JP"/>
        </w:rPr>
      </w:pPr>
      <w:r w:rsidRPr="00A44995">
        <w:rPr>
          <w:rFonts w:ascii="Cambria" w:hAnsi="Cambria"/>
          <w:noProof/>
          <w:sz w:val="20"/>
          <w:szCs w:val="20"/>
          <w:lang w:val="es-PE"/>
        </w:rPr>
        <w:t>III.</w:t>
      </w:r>
      <w:r w:rsidRPr="00A44995">
        <w:rPr>
          <w:rFonts w:ascii="Cambria" w:eastAsiaTheme="minorEastAsia" w:hAnsi="Cambria" w:cstheme="minorBidi"/>
          <w:noProof/>
          <w:sz w:val="20"/>
          <w:szCs w:val="20"/>
          <w:bdr w:val="none" w:sz="0" w:space="0" w:color="auto"/>
          <w:lang w:val="es-US" w:eastAsia="ja-JP"/>
        </w:rPr>
        <w:tab/>
      </w:r>
      <w:r w:rsidRPr="00A44995">
        <w:rPr>
          <w:rFonts w:ascii="Cambria" w:hAnsi="Cambria"/>
          <w:noProof/>
          <w:sz w:val="20"/>
          <w:szCs w:val="20"/>
          <w:lang w:val="es-PE"/>
        </w:rPr>
        <w:t>DETERMINACIONES DE HECHO</w:t>
      </w:r>
      <w:r w:rsidRPr="00A44995">
        <w:rPr>
          <w:rFonts w:ascii="Cambria" w:hAnsi="Cambria"/>
          <w:noProof/>
          <w:sz w:val="20"/>
          <w:szCs w:val="20"/>
          <w:lang w:val="es-US"/>
        </w:rPr>
        <w:tab/>
      </w:r>
      <w:r w:rsidRPr="00A44995">
        <w:rPr>
          <w:rFonts w:ascii="Cambria" w:hAnsi="Cambria"/>
          <w:noProof/>
          <w:sz w:val="20"/>
          <w:szCs w:val="20"/>
        </w:rPr>
        <w:fldChar w:fldCharType="begin"/>
      </w:r>
      <w:r w:rsidRPr="00A44995">
        <w:rPr>
          <w:rFonts w:ascii="Cambria" w:hAnsi="Cambria"/>
          <w:noProof/>
          <w:sz w:val="20"/>
          <w:szCs w:val="20"/>
          <w:lang w:val="es-US"/>
        </w:rPr>
        <w:instrText xml:space="preserve"> PAGEREF _Toc473195954 \h </w:instrText>
      </w:r>
      <w:r w:rsidRPr="00A44995">
        <w:rPr>
          <w:rFonts w:ascii="Cambria" w:hAnsi="Cambria"/>
          <w:noProof/>
          <w:sz w:val="20"/>
          <w:szCs w:val="20"/>
        </w:rPr>
      </w:r>
      <w:r w:rsidRPr="00A44995">
        <w:rPr>
          <w:rFonts w:ascii="Cambria" w:hAnsi="Cambria"/>
          <w:noProof/>
          <w:sz w:val="20"/>
          <w:szCs w:val="20"/>
        </w:rPr>
        <w:fldChar w:fldCharType="separate"/>
      </w:r>
      <w:r w:rsidR="00656C48">
        <w:rPr>
          <w:rFonts w:ascii="Cambria" w:hAnsi="Cambria"/>
          <w:noProof/>
          <w:sz w:val="20"/>
          <w:szCs w:val="20"/>
          <w:lang w:val="es-US"/>
        </w:rPr>
        <w:t>4</w:t>
      </w:r>
      <w:r w:rsidRPr="00A44995">
        <w:rPr>
          <w:rFonts w:ascii="Cambria" w:hAnsi="Cambria"/>
          <w:noProof/>
          <w:sz w:val="20"/>
          <w:szCs w:val="20"/>
        </w:rPr>
        <w:fldChar w:fldCharType="end"/>
      </w:r>
    </w:p>
    <w:p w14:paraId="1B47598C" w14:textId="14C03770" w:rsidR="00B85401" w:rsidRPr="00A44995" w:rsidRDefault="00B85401">
      <w:pPr>
        <w:pStyle w:val="TOC2"/>
        <w:tabs>
          <w:tab w:val="left" w:pos="2160"/>
        </w:tabs>
        <w:rPr>
          <w:rFonts w:ascii="Cambria" w:eastAsiaTheme="minorEastAsia" w:hAnsi="Cambria" w:cstheme="minorBidi"/>
          <w:noProof/>
          <w:sz w:val="20"/>
          <w:szCs w:val="20"/>
          <w:bdr w:val="none" w:sz="0" w:space="0" w:color="auto"/>
          <w:lang w:val="es-US" w:eastAsia="ja-JP"/>
        </w:rPr>
      </w:pPr>
      <w:r w:rsidRPr="00A44995">
        <w:rPr>
          <w:rFonts w:ascii="Cambria" w:hAnsi="Cambria"/>
          <w:bCs/>
          <w:iCs/>
          <w:noProof/>
          <w:sz w:val="20"/>
          <w:szCs w:val="20"/>
          <w:lang w:val="es-PE"/>
        </w:rPr>
        <w:t>A.</w:t>
      </w:r>
      <w:r w:rsidRPr="00A44995">
        <w:rPr>
          <w:rFonts w:ascii="Cambria" w:eastAsiaTheme="minorEastAsia" w:hAnsi="Cambria" w:cstheme="minorBidi"/>
          <w:noProof/>
          <w:sz w:val="20"/>
          <w:szCs w:val="20"/>
          <w:bdr w:val="none" w:sz="0" w:space="0" w:color="auto"/>
          <w:lang w:val="es-US" w:eastAsia="ja-JP"/>
        </w:rPr>
        <w:tab/>
      </w:r>
      <w:r w:rsidRPr="00A44995">
        <w:rPr>
          <w:rFonts w:ascii="Cambria" w:hAnsi="Cambria"/>
          <w:bCs/>
          <w:iCs/>
          <w:noProof/>
          <w:sz w:val="20"/>
          <w:szCs w:val="20"/>
          <w:lang w:val="es-PE"/>
        </w:rPr>
        <w:t>Sobre lo sucedido el 13 de noviembre de 1993</w:t>
      </w:r>
      <w:r w:rsidRPr="00A44995">
        <w:rPr>
          <w:rFonts w:ascii="Cambria" w:hAnsi="Cambria"/>
          <w:noProof/>
          <w:sz w:val="20"/>
          <w:szCs w:val="20"/>
          <w:lang w:val="es-US"/>
        </w:rPr>
        <w:tab/>
      </w:r>
      <w:r w:rsidRPr="00A44995">
        <w:rPr>
          <w:rFonts w:ascii="Cambria" w:hAnsi="Cambria"/>
          <w:noProof/>
          <w:sz w:val="20"/>
          <w:szCs w:val="20"/>
        </w:rPr>
        <w:fldChar w:fldCharType="begin"/>
      </w:r>
      <w:r w:rsidRPr="00A44995">
        <w:rPr>
          <w:rFonts w:ascii="Cambria" w:hAnsi="Cambria"/>
          <w:noProof/>
          <w:sz w:val="20"/>
          <w:szCs w:val="20"/>
          <w:lang w:val="es-US"/>
        </w:rPr>
        <w:instrText xml:space="preserve"> PAGEREF _Toc473195955 \h </w:instrText>
      </w:r>
      <w:r w:rsidRPr="00A44995">
        <w:rPr>
          <w:rFonts w:ascii="Cambria" w:hAnsi="Cambria"/>
          <w:noProof/>
          <w:sz w:val="20"/>
          <w:szCs w:val="20"/>
        </w:rPr>
      </w:r>
      <w:r w:rsidRPr="00A44995">
        <w:rPr>
          <w:rFonts w:ascii="Cambria" w:hAnsi="Cambria"/>
          <w:noProof/>
          <w:sz w:val="20"/>
          <w:szCs w:val="20"/>
        </w:rPr>
        <w:fldChar w:fldCharType="separate"/>
      </w:r>
      <w:r w:rsidR="00656C48">
        <w:rPr>
          <w:rFonts w:ascii="Cambria" w:hAnsi="Cambria"/>
          <w:noProof/>
          <w:sz w:val="20"/>
          <w:szCs w:val="20"/>
          <w:lang w:val="es-US"/>
        </w:rPr>
        <w:t>4</w:t>
      </w:r>
      <w:r w:rsidRPr="00A44995">
        <w:rPr>
          <w:rFonts w:ascii="Cambria" w:hAnsi="Cambria"/>
          <w:noProof/>
          <w:sz w:val="20"/>
          <w:szCs w:val="20"/>
        </w:rPr>
        <w:fldChar w:fldCharType="end"/>
      </w:r>
    </w:p>
    <w:p w14:paraId="1B43074F" w14:textId="1540CF32" w:rsidR="00B85401" w:rsidRPr="00A44995" w:rsidRDefault="00B85401">
      <w:pPr>
        <w:pStyle w:val="TOC2"/>
        <w:tabs>
          <w:tab w:val="left" w:pos="2160"/>
        </w:tabs>
        <w:rPr>
          <w:rFonts w:ascii="Cambria" w:eastAsiaTheme="minorEastAsia" w:hAnsi="Cambria" w:cstheme="minorBidi"/>
          <w:noProof/>
          <w:sz w:val="20"/>
          <w:szCs w:val="20"/>
          <w:bdr w:val="none" w:sz="0" w:space="0" w:color="auto"/>
          <w:lang w:val="es-US" w:eastAsia="ja-JP"/>
        </w:rPr>
      </w:pPr>
      <w:r w:rsidRPr="00A44995">
        <w:rPr>
          <w:rFonts w:ascii="Cambria" w:hAnsi="Cambria"/>
          <w:noProof/>
          <w:sz w:val="20"/>
          <w:szCs w:val="20"/>
          <w:lang w:val="es-PE"/>
        </w:rPr>
        <w:t>B.</w:t>
      </w:r>
      <w:r w:rsidRPr="00A44995">
        <w:rPr>
          <w:rFonts w:ascii="Cambria" w:eastAsiaTheme="minorEastAsia" w:hAnsi="Cambria" w:cstheme="minorBidi"/>
          <w:noProof/>
          <w:sz w:val="20"/>
          <w:szCs w:val="20"/>
          <w:bdr w:val="none" w:sz="0" w:space="0" w:color="auto"/>
          <w:lang w:val="es-US" w:eastAsia="ja-JP"/>
        </w:rPr>
        <w:tab/>
      </w:r>
      <w:r w:rsidRPr="00A44995">
        <w:rPr>
          <w:rFonts w:ascii="Cambria" w:hAnsi="Cambria"/>
          <w:noProof/>
          <w:sz w:val="20"/>
          <w:szCs w:val="20"/>
          <w:lang w:val="es-PE"/>
        </w:rPr>
        <w:t>Sobre la investigación y proceso penal</w:t>
      </w:r>
      <w:r w:rsidRPr="00A44995">
        <w:rPr>
          <w:rFonts w:ascii="Cambria" w:hAnsi="Cambria"/>
          <w:noProof/>
          <w:sz w:val="20"/>
          <w:szCs w:val="20"/>
          <w:lang w:val="es-US"/>
        </w:rPr>
        <w:tab/>
      </w:r>
      <w:r w:rsidRPr="00A44995">
        <w:rPr>
          <w:rFonts w:ascii="Cambria" w:hAnsi="Cambria"/>
          <w:noProof/>
          <w:sz w:val="20"/>
          <w:szCs w:val="20"/>
        </w:rPr>
        <w:fldChar w:fldCharType="begin"/>
      </w:r>
      <w:r w:rsidRPr="00A44995">
        <w:rPr>
          <w:rFonts w:ascii="Cambria" w:hAnsi="Cambria"/>
          <w:noProof/>
          <w:sz w:val="20"/>
          <w:szCs w:val="20"/>
          <w:lang w:val="es-US"/>
        </w:rPr>
        <w:instrText xml:space="preserve"> PAGEREF _Toc473195956 \h </w:instrText>
      </w:r>
      <w:r w:rsidRPr="00A44995">
        <w:rPr>
          <w:rFonts w:ascii="Cambria" w:hAnsi="Cambria"/>
          <w:noProof/>
          <w:sz w:val="20"/>
          <w:szCs w:val="20"/>
        </w:rPr>
      </w:r>
      <w:r w:rsidRPr="00A44995">
        <w:rPr>
          <w:rFonts w:ascii="Cambria" w:hAnsi="Cambria"/>
          <w:noProof/>
          <w:sz w:val="20"/>
          <w:szCs w:val="20"/>
        </w:rPr>
        <w:fldChar w:fldCharType="separate"/>
      </w:r>
      <w:r w:rsidR="00656C48">
        <w:rPr>
          <w:rFonts w:ascii="Cambria" w:hAnsi="Cambria"/>
          <w:noProof/>
          <w:sz w:val="20"/>
          <w:szCs w:val="20"/>
          <w:lang w:val="es-US"/>
        </w:rPr>
        <w:t>4</w:t>
      </w:r>
      <w:r w:rsidRPr="00A44995">
        <w:rPr>
          <w:rFonts w:ascii="Cambria" w:hAnsi="Cambria"/>
          <w:noProof/>
          <w:sz w:val="20"/>
          <w:szCs w:val="20"/>
        </w:rPr>
        <w:fldChar w:fldCharType="end"/>
      </w:r>
    </w:p>
    <w:p w14:paraId="757C250F" w14:textId="77777777" w:rsidR="00B85401" w:rsidRPr="00A44995" w:rsidRDefault="00B85401">
      <w:pPr>
        <w:pStyle w:val="TOC1"/>
        <w:tabs>
          <w:tab w:val="left" w:pos="1482"/>
        </w:tabs>
        <w:rPr>
          <w:rFonts w:ascii="Cambria" w:hAnsi="Cambria"/>
          <w:noProof/>
          <w:sz w:val="20"/>
          <w:szCs w:val="20"/>
          <w:lang w:val="es-PE"/>
        </w:rPr>
      </w:pPr>
    </w:p>
    <w:p w14:paraId="36A6959A" w14:textId="6B540F4A" w:rsidR="00B85401" w:rsidRPr="00A44995" w:rsidRDefault="00B85401">
      <w:pPr>
        <w:pStyle w:val="TOC1"/>
        <w:tabs>
          <w:tab w:val="left" w:pos="1482"/>
        </w:tabs>
        <w:rPr>
          <w:rFonts w:ascii="Cambria" w:eastAsiaTheme="minorEastAsia" w:hAnsi="Cambria" w:cstheme="minorBidi"/>
          <w:noProof/>
          <w:sz w:val="20"/>
          <w:szCs w:val="20"/>
          <w:bdr w:val="none" w:sz="0" w:space="0" w:color="auto"/>
          <w:lang w:val="es-US" w:eastAsia="ja-JP"/>
        </w:rPr>
      </w:pPr>
      <w:r w:rsidRPr="00A44995">
        <w:rPr>
          <w:rFonts w:ascii="Cambria" w:hAnsi="Cambria"/>
          <w:noProof/>
          <w:sz w:val="20"/>
          <w:szCs w:val="20"/>
          <w:lang w:val="es-PE"/>
        </w:rPr>
        <w:t>IV.</w:t>
      </w:r>
      <w:r w:rsidRPr="00A44995">
        <w:rPr>
          <w:rFonts w:ascii="Cambria" w:eastAsiaTheme="minorEastAsia" w:hAnsi="Cambria" w:cstheme="minorBidi"/>
          <w:noProof/>
          <w:sz w:val="20"/>
          <w:szCs w:val="20"/>
          <w:bdr w:val="none" w:sz="0" w:space="0" w:color="auto"/>
          <w:lang w:val="es-US" w:eastAsia="ja-JP"/>
        </w:rPr>
        <w:tab/>
      </w:r>
      <w:r w:rsidRPr="00A44995">
        <w:rPr>
          <w:rFonts w:ascii="Cambria" w:hAnsi="Cambria"/>
          <w:noProof/>
          <w:sz w:val="20"/>
          <w:szCs w:val="20"/>
          <w:lang w:val="es-PE"/>
        </w:rPr>
        <w:t>DETERMINACIONES DE DERECHO</w:t>
      </w:r>
      <w:r w:rsidRPr="00A44995">
        <w:rPr>
          <w:rFonts w:ascii="Cambria" w:hAnsi="Cambria"/>
          <w:noProof/>
          <w:sz w:val="20"/>
          <w:szCs w:val="20"/>
          <w:lang w:val="es-US"/>
        </w:rPr>
        <w:tab/>
      </w:r>
      <w:r w:rsidRPr="00A44995">
        <w:rPr>
          <w:rFonts w:ascii="Cambria" w:hAnsi="Cambria"/>
          <w:noProof/>
          <w:sz w:val="20"/>
          <w:szCs w:val="20"/>
        </w:rPr>
        <w:fldChar w:fldCharType="begin"/>
      </w:r>
      <w:r w:rsidRPr="00A44995">
        <w:rPr>
          <w:rFonts w:ascii="Cambria" w:hAnsi="Cambria"/>
          <w:noProof/>
          <w:sz w:val="20"/>
          <w:szCs w:val="20"/>
          <w:lang w:val="es-US"/>
        </w:rPr>
        <w:instrText xml:space="preserve"> PAGEREF _Toc473195957 \h </w:instrText>
      </w:r>
      <w:r w:rsidRPr="00A44995">
        <w:rPr>
          <w:rFonts w:ascii="Cambria" w:hAnsi="Cambria"/>
          <w:noProof/>
          <w:sz w:val="20"/>
          <w:szCs w:val="20"/>
        </w:rPr>
      </w:r>
      <w:r w:rsidRPr="00A44995">
        <w:rPr>
          <w:rFonts w:ascii="Cambria" w:hAnsi="Cambria"/>
          <w:noProof/>
          <w:sz w:val="20"/>
          <w:szCs w:val="20"/>
        </w:rPr>
        <w:fldChar w:fldCharType="separate"/>
      </w:r>
      <w:r w:rsidR="00656C48">
        <w:rPr>
          <w:rFonts w:ascii="Cambria" w:hAnsi="Cambria"/>
          <w:noProof/>
          <w:sz w:val="20"/>
          <w:szCs w:val="20"/>
          <w:lang w:val="es-US"/>
        </w:rPr>
        <w:t>7</w:t>
      </w:r>
      <w:r w:rsidRPr="00A44995">
        <w:rPr>
          <w:rFonts w:ascii="Cambria" w:hAnsi="Cambria"/>
          <w:noProof/>
          <w:sz w:val="20"/>
          <w:szCs w:val="20"/>
        </w:rPr>
        <w:fldChar w:fldCharType="end"/>
      </w:r>
    </w:p>
    <w:p w14:paraId="2FC6172D" w14:textId="09AF525E" w:rsidR="00B85401" w:rsidRPr="00A44995" w:rsidRDefault="00B85401">
      <w:pPr>
        <w:pStyle w:val="TOC2"/>
        <w:tabs>
          <w:tab w:val="left" w:pos="2160"/>
        </w:tabs>
        <w:rPr>
          <w:rFonts w:ascii="Cambria" w:eastAsiaTheme="minorEastAsia" w:hAnsi="Cambria" w:cstheme="minorBidi"/>
          <w:noProof/>
          <w:sz w:val="20"/>
          <w:szCs w:val="20"/>
          <w:bdr w:val="none" w:sz="0" w:space="0" w:color="auto"/>
          <w:lang w:val="es-US" w:eastAsia="ja-JP"/>
        </w:rPr>
      </w:pPr>
      <w:r w:rsidRPr="00A44995">
        <w:rPr>
          <w:rFonts w:ascii="Cambria" w:hAnsi="Cambria" w:cstheme="minorHAnsi"/>
          <w:noProof/>
          <w:sz w:val="20"/>
          <w:szCs w:val="20"/>
          <w:lang w:val="es-PE"/>
        </w:rPr>
        <w:t>A.</w:t>
      </w:r>
      <w:r w:rsidRPr="00A44995">
        <w:rPr>
          <w:rFonts w:ascii="Cambria" w:eastAsiaTheme="minorEastAsia" w:hAnsi="Cambria" w:cstheme="minorBidi"/>
          <w:noProof/>
          <w:sz w:val="20"/>
          <w:szCs w:val="20"/>
          <w:bdr w:val="none" w:sz="0" w:space="0" w:color="auto"/>
          <w:lang w:val="es-US" w:eastAsia="ja-JP"/>
        </w:rPr>
        <w:tab/>
      </w:r>
      <w:r w:rsidRPr="00A44995">
        <w:rPr>
          <w:rFonts w:ascii="Cambria" w:hAnsi="Cambria" w:cstheme="minorHAnsi"/>
          <w:noProof/>
          <w:sz w:val="20"/>
          <w:szCs w:val="20"/>
          <w:lang w:val="es-PE"/>
        </w:rPr>
        <w:t>Derechos a las garantías judiciales y protección judicial (artículos 8.1 y 25.1 de la Convención Americana en relación con el artículo 1.1 del mismo instrumento)</w:t>
      </w:r>
      <w:r w:rsidRPr="00A44995">
        <w:rPr>
          <w:rFonts w:ascii="Cambria" w:hAnsi="Cambria"/>
          <w:noProof/>
          <w:sz w:val="20"/>
          <w:szCs w:val="20"/>
          <w:lang w:val="es-US"/>
        </w:rPr>
        <w:tab/>
      </w:r>
      <w:r w:rsidRPr="00A44995">
        <w:rPr>
          <w:rFonts w:ascii="Cambria" w:hAnsi="Cambria"/>
          <w:noProof/>
          <w:sz w:val="20"/>
          <w:szCs w:val="20"/>
        </w:rPr>
        <w:fldChar w:fldCharType="begin"/>
      </w:r>
      <w:r w:rsidRPr="00A44995">
        <w:rPr>
          <w:rFonts w:ascii="Cambria" w:hAnsi="Cambria"/>
          <w:noProof/>
          <w:sz w:val="20"/>
          <w:szCs w:val="20"/>
          <w:lang w:val="es-US"/>
        </w:rPr>
        <w:instrText xml:space="preserve"> PAGEREF _Toc473195958 \h </w:instrText>
      </w:r>
      <w:r w:rsidRPr="00A44995">
        <w:rPr>
          <w:rFonts w:ascii="Cambria" w:hAnsi="Cambria"/>
          <w:noProof/>
          <w:sz w:val="20"/>
          <w:szCs w:val="20"/>
        </w:rPr>
      </w:r>
      <w:r w:rsidRPr="00A44995">
        <w:rPr>
          <w:rFonts w:ascii="Cambria" w:hAnsi="Cambria"/>
          <w:noProof/>
          <w:sz w:val="20"/>
          <w:szCs w:val="20"/>
        </w:rPr>
        <w:fldChar w:fldCharType="separate"/>
      </w:r>
      <w:r w:rsidR="00656C48">
        <w:rPr>
          <w:rFonts w:ascii="Cambria" w:hAnsi="Cambria"/>
          <w:noProof/>
          <w:sz w:val="20"/>
          <w:szCs w:val="20"/>
          <w:lang w:val="es-US"/>
        </w:rPr>
        <w:t>7</w:t>
      </w:r>
      <w:r w:rsidRPr="00A44995">
        <w:rPr>
          <w:rFonts w:ascii="Cambria" w:hAnsi="Cambria"/>
          <w:noProof/>
          <w:sz w:val="20"/>
          <w:szCs w:val="20"/>
        </w:rPr>
        <w:fldChar w:fldCharType="end"/>
      </w:r>
    </w:p>
    <w:p w14:paraId="5D73F835" w14:textId="77777777" w:rsidR="00B85401" w:rsidRPr="00A44995" w:rsidRDefault="00B85401">
      <w:pPr>
        <w:pStyle w:val="TOC1"/>
        <w:tabs>
          <w:tab w:val="left" w:pos="1411"/>
        </w:tabs>
        <w:rPr>
          <w:rFonts w:ascii="Cambria" w:hAnsi="Cambria"/>
          <w:noProof/>
          <w:sz w:val="20"/>
          <w:szCs w:val="20"/>
          <w:lang w:val="es-PE"/>
        </w:rPr>
      </w:pPr>
    </w:p>
    <w:p w14:paraId="4505E172" w14:textId="23D36AB9" w:rsidR="00B85401" w:rsidRPr="00A44995" w:rsidRDefault="00B85401">
      <w:pPr>
        <w:pStyle w:val="TOC1"/>
        <w:tabs>
          <w:tab w:val="left" w:pos="1411"/>
        </w:tabs>
        <w:rPr>
          <w:rFonts w:ascii="Cambria" w:eastAsiaTheme="minorEastAsia" w:hAnsi="Cambria" w:cstheme="minorBidi"/>
          <w:noProof/>
          <w:sz w:val="20"/>
          <w:szCs w:val="20"/>
          <w:bdr w:val="none" w:sz="0" w:space="0" w:color="auto"/>
          <w:lang w:eastAsia="ja-JP"/>
        </w:rPr>
      </w:pPr>
      <w:r w:rsidRPr="00A44995">
        <w:rPr>
          <w:rFonts w:ascii="Cambria" w:hAnsi="Cambria"/>
          <w:noProof/>
          <w:sz w:val="20"/>
          <w:szCs w:val="20"/>
          <w:lang w:val="es-PE"/>
        </w:rPr>
        <w:t>V.</w:t>
      </w:r>
      <w:r w:rsidRPr="00A44995">
        <w:rPr>
          <w:rFonts w:ascii="Cambria" w:eastAsiaTheme="minorEastAsia" w:hAnsi="Cambria" w:cstheme="minorBidi"/>
          <w:noProof/>
          <w:sz w:val="20"/>
          <w:szCs w:val="20"/>
          <w:bdr w:val="none" w:sz="0" w:space="0" w:color="auto"/>
          <w:lang w:eastAsia="ja-JP"/>
        </w:rPr>
        <w:tab/>
      </w:r>
      <w:r w:rsidRPr="00A44995">
        <w:rPr>
          <w:rFonts w:ascii="Cambria" w:hAnsi="Cambria"/>
          <w:noProof/>
          <w:sz w:val="20"/>
          <w:szCs w:val="20"/>
          <w:lang w:val="es-PE"/>
        </w:rPr>
        <w:t>CONCLUSIONES Y RECOMENDACIONES</w:t>
      </w:r>
      <w:r w:rsidRPr="00A44995">
        <w:rPr>
          <w:rFonts w:ascii="Cambria" w:hAnsi="Cambria"/>
          <w:noProof/>
          <w:sz w:val="20"/>
          <w:szCs w:val="20"/>
        </w:rPr>
        <w:tab/>
      </w:r>
      <w:r w:rsidRPr="00A44995">
        <w:rPr>
          <w:rFonts w:ascii="Cambria" w:hAnsi="Cambria"/>
          <w:noProof/>
          <w:sz w:val="20"/>
          <w:szCs w:val="20"/>
        </w:rPr>
        <w:fldChar w:fldCharType="begin"/>
      </w:r>
      <w:r w:rsidRPr="00A44995">
        <w:rPr>
          <w:rFonts w:ascii="Cambria" w:hAnsi="Cambria"/>
          <w:noProof/>
          <w:sz w:val="20"/>
          <w:szCs w:val="20"/>
        </w:rPr>
        <w:instrText xml:space="preserve"> PAGEREF _Toc473195959 \h </w:instrText>
      </w:r>
      <w:r w:rsidRPr="00A44995">
        <w:rPr>
          <w:rFonts w:ascii="Cambria" w:hAnsi="Cambria"/>
          <w:noProof/>
          <w:sz w:val="20"/>
          <w:szCs w:val="20"/>
        </w:rPr>
      </w:r>
      <w:r w:rsidRPr="00A44995">
        <w:rPr>
          <w:rFonts w:ascii="Cambria" w:hAnsi="Cambria"/>
          <w:noProof/>
          <w:sz w:val="20"/>
          <w:szCs w:val="20"/>
        </w:rPr>
        <w:fldChar w:fldCharType="separate"/>
      </w:r>
      <w:r w:rsidR="00656C48">
        <w:rPr>
          <w:rFonts w:ascii="Cambria" w:hAnsi="Cambria"/>
          <w:noProof/>
          <w:sz w:val="20"/>
          <w:szCs w:val="20"/>
        </w:rPr>
        <w:t>11</w:t>
      </w:r>
      <w:r w:rsidRPr="00A44995">
        <w:rPr>
          <w:rFonts w:ascii="Cambria" w:hAnsi="Cambria"/>
          <w:noProof/>
          <w:sz w:val="20"/>
          <w:szCs w:val="20"/>
        </w:rPr>
        <w:fldChar w:fldCharType="end"/>
      </w:r>
    </w:p>
    <w:p w14:paraId="0DA6A43D" w14:textId="77777777" w:rsidR="008D768D" w:rsidRPr="00A44995" w:rsidRDefault="005777B2" w:rsidP="00B44A04">
      <w:pPr>
        <w:tabs>
          <w:tab w:val="left" w:pos="360"/>
          <w:tab w:val="center" w:pos="5400"/>
        </w:tabs>
        <w:suppressAutoHyphens/>
        <w:spacing w:line="276" w:lineRule="auto"/>
        <w:rPr>
          <w:rFonts w:ascii="Cambria" w:hAnsi="Cambria"/>
          <w:sz w:val="20"/>
          <w:szCs w:val="20"/>
          <w:lang w:val="es-PE"/>
        </w:rPr>
      </w:pPr>
      <w:r w:rsidRPr="00A44995">
        <w:rPr>
          <w:rFonts w:ascii="Cambria" w:hAnsi="Cambria"/>
          <w:b/>
          <w:sz w:val="20"/>
          <w:szCs w:val="20"/>
          <w:lang w:val="es-PE"/>
        </w:rPr>
        <w:fldChar w:fldCharType="end"/>
      </w:r>
    </w:p>
    <w:p w14:paraId="4CF7791F" w14:textId="77777777" w:rsidR="005937F1" w:rsidRPr="00A44995" w:rsidRDefault="00722C9F" w:rsidP="00B44A04">
      <w:pPr>
        <w:tabs>
          <w:tab w:val="left" w:pos="360"/>
        </w:tabs>
        <w:rPr>
          <w:rFonts w:ascii="Cambria" w:hAnsi="Cambria" w:cs="Calibri"/>
          <w:sz w:val="20"/>
          <w:szCs w:val="20"/>
          <w:lang w:val="es-PE"/>
        </w:rPr>
      </w:pPr>
      <w:r w:rsidRPr="00A44995">
        <w:rPr>
          <w:rFonts w:ascii="Cambria" w:hAnsi="Cambria" w:cs="Calibri"/>
          <w:sz w:val="20"/>
          <w:szCs w:val="20"/>
          <w:lang w:val="es-PE"/>
        </w:rPr>
        <w:br w:type="page"/>
      </w:r>
    </w:p>
    <w:p w14:paraId="4CEE869C" w14:textId="77777777" w:rsidR="00D12193" w:rsidRPr="00A44995" w:rsidRDefault="00A03A30" w:rsidP="00B44A04">
      <w:pPr>
        <w:pStyle w:val="Heading1"/>
        <w:tabs>
          <w:tab w:val="left" w:pos="360"/>
        </w:tabs>
        <w:ind w:left="0" w:firstLine="0"/>
        <w:rPr>
          <w:lang w:val="es-PE"/>
        </w:rPr>
      </w:pPr>
      <w:bookmarkStart w:id="2" w:name="_Toc473195950"/>
      <w:r w:rsidRPr="00A44995">
        <w:rPr>
          <w:lang w:val="es-PE"/>
        </w:rPr>
        <w:lastRenderedPageBreak/>
        <w:t>INTRODUCCIÓN</w:t>
      </w:r>
      <w:bookmarkEnd w:id="2"/>
    </w:p>
    <w:p w14:paraId="75AEDB2C" w14:textId="77777777" w:rsidR="005C4CA5" w:rsidRPr="00A44995" w:rsidRDefault="005C4CA5" w:rsidP="00B44A04">
      <w:pPr>
        <w:tabs>
          <w:tab w:val="left" w:pos="360"/>
        </w:tabs>
        <w:suppressAutoHyphens/>
        <w:rPr>
          <w:rFonts w:asciiTheme="majorHAnsi" w:hAnsiTheme="majorHAnsi"/>
          <w:b/>
          <w:sz w:val="20"/>
          <w:szCs w:val="20"/>
          <w:lang w:val="es-PE"/>
        </w:rPr>
      </w:pPr>
    </w:p>
    <w:p w14:paraId="501B1248" w14:textId="77777777" w:rsidR="008D44AF" w:rsidRPr="00A44995" w:rsidRDefault="00B44A04" w:rsidP="00B700B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color w:val="000000" w:themeColor="text1"/>
          <w:sz w:val="20"/>
          <w:szCs w:val="20"/>
          <w:lang w:val="es-PE"/>
        </w:rPr>
      </w:pPr>
      <w:r w:rsidRPr="00A44995">
        <w:rPr>
          <w:rFonts w:asciiTheme="majorHAnsi" w:hAnsiTheme="majorHAnsi"/>
          <w:color w:val="000000" w:themeColor="text1"/>
          <w:sz w:val="20"/>
          <w:szCs w:val="20"/>
          <w:lang w:val="es-PE"/>
        </w:rPr>
        <w:t xml:space="preserve">El </w:t>
      </w:r>
      <w:r w:rsidR="00CF7109" w:rsidRPr="00A44995">
        <w:rPr>
          <w:rFonts w:asciiTheme="majorHAnsi" w:hAnsiTheme="majorHAnsi"/>
          <w:color w:val="000000" w:themeColor="text1"/>
          <w:sz w:val="20"/>
          <w:szCs w:val="20"/>
          <w:lang w:val="es-PE"/>
        </w:rPr>
        <w:t>2</w:t>
      </w:r>
      <w:r w:rsidR="004E79D8" w:rsidRPr="00A44995">
        <w:rPr>
          <w:rFonts w:asciiTheme="majorHAnsi" w:hAnsiTheme="majorHAnsi"/>
          <w:color w:val="000000" w:themeColor="text1"/>
          <w:sz w:val="20"/>
          <w:szCs w:val="20"/>
          <w:lang w:val="es-PE"/>
        </w:rPr>
        <w:t xml:space="preserve">8 de julio de 2005 </w:t>
      </w:r>
      <w:r w:rsidR="00CF7109" w:rsidRPr="00A44995">
        <w:rPr>
          <w:rFonts w:asciiTheme="majorHAnsi" w:hAnsiTheme="majorHAnsi"/>
          <w:color w:val="000000" w:themeColor="text1"/>
          <w:sz w:val="20"/>
          <w:szCs w:val="20"/>
          <w:lang w:val="es-PE"/>
        </w:rPr>
        <w:t>la Comisión Interamericana de Derechos Humanos (en adelante “la Comisión Interamericana”, “la Comisión” o “la CIDH”) recibió</w:t>
      </w:r>
      <w:r w:rsidR="00815891" w:rsidRPr="00A44995">
        <w:rPr>
          <w:rFonts w:asciiTheme="majorHAnsi" w:hAnsiTheme="majorHAnsi"/>
          <w:color w:val="000000" w:themeColor="text1"/>
          <w:sz w:val="20"/>
          <w:szCs w:val="20"/>
          <w:lang w:val="es-PE"/>
        </w:rPr>
        <w:t xml:space="preserve"> </w:t>
      </w:r>
      <w:r w:rsidRPr="00A44995">
        <w:rPr>
          <w:rFonts w:asciiTheme="majorHAnsi" w:hAnsiTheme="majorHAnsi"/>
          <w:color w:val="000000" w:themeColor="text1"/>
          <w:sz w:val="20"/>
          <w:szCs w:val="20"/>
          <w:lang w:val="es-PE"/>
        </w:rPr>
        <w:t>una</w:t>
      </w:r>
      <w:r w:rsidR="00815891" w:rsidRPr="00A44995">
        <w:rPr>
          <w:rFonts w:asciiTheme="majorHAnsi" w:hAnsiTheme="majorHAnsi"/>
          <w:color w:val="000000" w:themeColor="text1"/>
          <w:sz w:val="20"/>
          <w:szCs w:val="20"/>
          <w:lang w:val="es-PE"/>
        </w:rPr>
        <w:t xml:space="preserve"> </w:t>
      </w:r>
      <w:r w:rsidR="00CF7109" w:rsidRPr="00A44995">
        <w:rPr>
          <w:rFonts w:asciiTheme="majorHAnsi" w:hAnsiTheme="majorHAnsi"/>
          <w:color w:val="000000" w:themeColor="text1"/>
          <w:sz w:val="20"/>
          <w:szCs w:val="20"/>
          <w:lang w:val="es-PE"/>
        </w:rPr>
        <w:t xml:space="preserve">petición presentada por </w:t>
      </w:r>
      <w:r w:rsidR="00600DE5" w:rsidRPr="00A44995">
        <w:rPr>
          <w:rFonts w:asciiTheme="majorHAnsi" w:hAnsiTheme="majorHAnsi"/>
          <w:color w:val="000000" w:themeColor="text1"/>
          <w:sz w:val="20"/>
          <w:szCs w:val="20"/>
          <w:lang w:val="es-PE"/>
        </w:rPr>
        <w:t xml:space="preserve">el Instituto de Derechos Humanos de la Universidad Centroamericana José Simeón Cañas </w:t>
      </w:r>
      <w:r w:rsidR="00FD0740" w:rsidRPr="00A44995">
        <w:rPr>
          <w:rFonts w:asciiTheme="majorHAnsi" w:hAnsiTheme="majorHAnsi"/>
          <w:color w:val="000000" w:themeColor="text1"/>
          <w:sz w:val="20"/>
          <w:szCs w:val="20"/>
          <w:lang w:val="es-PE"/>
        </w:rPr>
        <w:t>(en adelante, “la parte peticionaria”)</w:t>
      </w:r>
      <w:r w:rsidRPr="00A44995">
        <w:rPr>
          <w:rFonts w:asciiTheme="majorHAnsi" w:hAnsiTheme="majorHAnsi" w:cs="Calibri"/>
          <w:sz w:val="20"/>
          <w:szCs w:val="20"/>
          <w:lang w:val="es-PE"/>
        </w:rPr>
        <w:t>. En dicha petición</w:t>
      </w:r>
      <w:r w:rsidR="00CB338A" w:rsidRPr="00A44995">
        <w:rPr>
          <w:rFonts w:asciiTheme="majorHAnsi" w:hAnsiTheme="majorHAnsi" w:cs="Calibri"/>
          <w:sz w:val="20"/>
          <w:szCs w:val="20"/>
          <w:lang w:val="es-PE"/>
        </w:rPr>
        <w:t xml:space="preserve"> </w:t>
      </w:r>
      <w:r w:rsidR="00CF7109" w:rsidRPr="00A44995">
        <w:rPr>
          <w:rFonts w:asciiTheme="majorHAnsi" w:hAnsiTheme="majorHAnsi"/>
          <w:color w:val="000000" w:themeColor="text1"/>
          <w:sz w:val="20"/>
          <w:szCs w:val="20"/>
          <w:lang w:val="es-PE"/>
        </w:rPr>
        <w:t xml:space="preserve">se alegó la responsabilidad internacional </w:t>
      </w:r>
      <w:r w:rsidR="004A07CF" w:rsidRPr="00A44995">
        <w:rPr>
          <w:rFonts w:asciiTheme="majorHAnsi" w:hAnsiTheme="majorHAnsi"/>
          <w:color w:val="000000" w:themeColor="text1"/>
          <w:sz w:val="20"/>
          <w:szCs w:val="20"/>
          <w:lang w:val="es-PE"/>
        </w:rPr>
        <w:t xml:space="preserve">de la República </w:t>
      </w:r>
      <w:r w:rsidR="00600DE5" w:rsidRPr="00A44995">
        <w:rPr>
          <w:rFonts w:asciiTheme="majorHAnsi" w:hAnsiTheme="majorHAnsi"/>
          <w:color w:val="000000" w:themeColor="text1"/>
          <w:sz w:val="20"/>
          <w:szCs w:val="20"/>
          <w:lang w:val="es-PE"/>
        </w:rPr>
        <w:t>de El Salvador</w:t>
      </w:r>
      <w:r w:rsidR="00486CC7" w:rsidRPr="00A44995">
        <w:rPr>
          <w:rFonts w:asciiTheme="majorHAnsi" w:hAnsiTheme="majorHAnsi"/>
          <w:color w:val="000000" w:themeColor="text1"/>
          <w:sz w:val="20"/>
          <w:szCs w:val="20"/>
          <w:lang w:val="es-PE"/>
        </w:rPr>
        <w:t xml:space="preserve"> </w:t>
      </w:r>
      <w:r w:rsidR="00486CC7" w:rsidRPr="00A44995">
        <w:rPr>
          <w:rFonts w:asciiTheme="majorHAnsi" w:hAnsiTheme="majorHAnsi"/>
          <w:sz w:val="20"/>
          <w:szCs w:val="20"/>
          <w:lang w:val="es-PE"/>
        </w:rPr>
        <w:t xml:space="preserve">(en adelante “el Estado </w:t>
      </w:r>
      <w:r w:rsidR="00600DE5" w:rsidRPr="00A44995">
        <w:rPr>
          <w:rFonts w:asciiTheme="majorHAnsi" w:hAnsiTheme="majorHAnsi"/>
          <w:sz w:val="20"/>
          <w:szCs w:val="20"/>
          <w:lang w:val="es-PE"/>
        </w:rPr>
        <w:t>de El Salvador</w:t>
      </w:r>
      <w:r w:rsidR="00486CC7" w:rsidRPr="00A44995">
        <w:rPr>
          <w:rFonts w:asciiTheme="majorHAnsi" w:hAnsiTheme="majorHAnsi"/>
          <w:sz w:val="20"/>
          <w:szCs w:val="20"/>
          <w:lang w:val="es-PE"/>
        </w:rPr>
        <w:t>”, “el Estado” o “</w:t>
      </w:r>
      <w:r w:rsidR="00600DE5" w:rsidRPr="00A44995">
        <w:rPr>
          <w:rFonts w:asciiTheme="majorHAnsi" w:hAnsiTheme="majorHAnsi"/>
          <w:sz w:val="20"/>
          <w:szCs w:val="20"/>
          <w:lang w:val="es-PE"/>
        </w:rPr>
        <w:t>E</w:t>
      </w:r>
      <w:r w:rsidR="00486CC7" w:rsidRPr="00A44995">
        <w:rPr>
          <w:rFonts w:asciiTheme="majorHAnsi" w:hAnsiTheme="majorHAnsi"/>
          <w:sz w:val="20"/>
          <w:szCs w:val="20"/>
          <w:lang w:val="es-PE"/>
        </w:rPr>
        <w:t xml:space="preserve">l </w:t>
      </w:r>
      <w:r w:rsidR="00600DE5" w:rsidRPr="00A44995">
        <w:rPr>
          <w:rFonts w:asciiTheme="majorHAnsi" w:hAnsiTheme="majorHAnsi"/>
          <w:sz w:val="20"/>
          <w:szCs w:val="20"/>
          <w:lang w:val="es-PE"/>
        </w:rPr>
        <w:t>Salvador</w:t>
      </w:r>
      <w:r w:rsidR="00486CC7" w:rsidRPr="00A44995">
        <w:rPr>
          <w:rFonts w:asciiTheme="majorHAnsi" w:hAnsiTheme="majorHAnsi"/>
          <w:sz w:val="20"/>
          <w:szCs w:val="20"/>
          <w:lang w:val="es-PE"/>
        </w:rPr>
        <w:t>”)</w:t>
      </w:r>
      <w:r w:rsidR="00600DE5" w:rsidRPr="00A44995">
        <w:rPr>
          <w:rFonts w:asciiTheme="majorHAnsi" w:hAnsiTheme="majorHAnsi"/>
          <w:sz w:val="20"/>
          <w:szCs w:val="20"/>
          <w:lang w:val="es-PE"/>
        </w:rPr>
        <w:t xml:space="preserve"> </w:t>
      </w:r>
      <w:r w:rsidR="00CF7109" w:rsidRPr="00A44995">
        <w:rPr>
          <w:rFonts w:asciiTheme="majorHAnsi" w:hAnsiTheme="majorHAnsi"/>
          <w:color w:val="000000" w:themeColor="text1"/>
          <w:sz w:val="20"/>
          <w:szCs w:val="20"/>
          <w:lang w:val="es-PE"/>
        </w:rPr>
        <w:t xml:space="preserve">en perjuicio </w:t>
      </w:r>
      <w:r w:rsidR="00FD0740" w:rsidRPr="00A44995">
        <w:rPr>
          <w:rFonts w:asciiTheme="majorHAnsi" w:hAnsiTheme="majorHAnsi"/>
          <w:color w:val="000000" w:themeColor="text1"/>
          <w:sz w:val="20"/>
          <w:szCs w:val="20"/>
          <w:lang w:val="es-PE"/>
        </w:rPr>
        <w:t>de</w:t>
      </w:r>
      <w:r w:rsidR="00600DE5" w:rsidRPr="00A44995">
        <w:rPr>
          <w:rFonts w:asciiTheme="majorHAnsi" w:hAnsiTheme="majorHAnsi"/>
          <w:color w:val="000000" w:themeColor="text1"/>
          <w:sz w:val="20"/>
          <w:szCs w:val="20"/>
          <w:lang w:val="es-PE"/>
        </w:rPr>
        <w:t xml:space="preserve"> Miguel Ángel Aguirre Magaña por </w:t>
      </w:r>
      <w:r w:rsidR="008D44AF" w:rsidRPr="00A44995">
        <w:rPr>
          <w:rFonts w:asciiTheme="majorHAnsi" w:hAnsiTheme="majorHAnsi"/>
          <w:color w:val="000000" w:themeColor="text1"/>
          <w:sz w:val="20"/>
          <w:szCs w:val="20"/>
          <w:lang w:val="es-PE"/>
        </w:rPr>
        <w:t>la presunta falta de investigación diligente y procesamiento penal de los responsables de un hecho</w:t>
      </w:r>
      <w:r w:rsidR="00195E9F" w:rsidRPr="00A44995">
        <w:rPr>
          <w:rFonts w:asciiTheme="majorHAnsi" w:hAnsiTheme="majorHAnsi"/>
          <w:color w:val="000000" w:themeColor="text1"/>
          <w:sz w:val="20"/>
          <w:szCs w:val="20"/>
          <w:lang w:val="es-PE"/>
        </w:rPr>
        <w:t xml:space="preserve"> sucedido en 1993</w:t>
      </w:r>
      <w:r w:rsidR="008D44AF" w:rsidRPr="00A44995">
        <w:rPr>
          <w:rFonts w:asciiTheme="majorHAnsi" w:hAnsiTheme="majorHAnsi"/>
          <w:color w:val="000000" w:themeColor="text1"/>
          <w:sz w:val="20"/>
          <w:szCs w:val="20"/>
          <w:lang w:val="es-PE"/>
        </w:rPr>
        <w:t xml:space="preserve"> en el que</w:t>
      </w:r>
      <w:r w:rsidR="007B6575" w:rsidRPr="00A44995">
        <w:rPr>
          <w:rFonts w:asciiTheme="majorHAnsi" w:hAnsiTheme="majorHAnsi"/>
          <w:color w:val="000000" w:themeColor="text1"/>
          <w:sz w:val="20"/>
          <w:szCs w:val="20"/>
          <w:lang w:val="es-PE"/>
        </w:rPr>
        <w:t xml:space="preserve"> sufrió lesiones, y perdió una pierna y </w:t>
      </w:r>
      <w:r w:rsidR="008D44AF" w:rsidRPr="00A44995">
        <w:rPr>
          <w:rFonts w:asciiTheme="majorHAnsi" w:hAnsiTheme="majorHAnsi"/>
          <w:color w:val="000000" w:themeColor="text1"/>
          <w:sz w:val="20"/>
          <w:szCs w:val="20"/>
          <w:lang w:val="es-PE"/>
        </w:rPr>
        <w:t xml:space="preserve">la audición en el oído derecho. </w:t>
      </w:r>
    </w:p>
    <w:p w14:paraId="39993231" w14:textId="77777777" w:rsidR="008D44AF" w:rsidRPr="00A44995" w:rsidRDefault="008D44AF" w:rsidP="008D44A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color w:val="000000" w:themeColor="text1"/>
          <w:sz w:val="20"/>
          <w:szCs w:val="20"/>
          <w:lang w:val="es-PE"/>
        </w:rPr>
      </w:pPr>
    </w:p>
    <w:p w14:paraId="45275A11" w14:textId="77777777" w:rsidR="00600DE5" w:rsidRPr="00A44995" w:rsidRDefault="008D44AF" w:rsidP="00B700B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PE"/>
        </w:rPr>
      </w:pPr>
      <w:r w:rsidRPr="00A44995">
        <w:rPr>
          <w:rFonts w:asciiTheme="majorHAnsi" w:hAnsiTheme="majorHAnsi"/>
          <w:color w:val="000000" w:themeColor="text1"/>
          <w:sz w:val="20"/>
          <w:szCs w:val="20"/>
          <w:lang w:val="es-PE"/>
        </w:rPr>
        <w:t xml:space="preserve">La Comisión aprobó el </w:t>
      </w:r>
      <w:r w:rsidRPr="00A44995">
        <w:rPr>
          <w:rFonts w:ascii="Cambria" w:hAnsi="Cambria"/>
          <w:color w:val="000000" w:themeColor="text1"/>
          <w:sz w:val="20"/>
          <w:szCs w:val="20"/>
          <w:lang w:val="es-PE"/>
        </w:rPr>
        <w:t xml:space="preserve">Informe de Admisibilidad No. 63/16 el </w:t>
      </w:r>
      <w:r w:rsidR="00600DE5" w:rsidRPr="00A44995">
        <w:rPr>
          <w:rFonts w:ascii="Cambria" w:hAnsi="Cambria"/>
          <w:color w:val="000000" w:themeColor="text1"/>
          <w:sz w:val="20"/>
          <w:szCs w:val="20"/>
          <w:lang w:val="es-PE"/>
        </w:rPr>
        <w:t>6 de diciembre de 2016</w:t>
      </w:r>
      <w:r w:rsidR="00FD0740" w:rsidRPr="00A44995">
        <w:rPr>
          <w:rStyle w:val="FootnoteReference"/>
          <w:rFonts w:ascii="Cambria" w:hAnsi="Cambria"/>
          <w:color w:val="000000" w:themeColor="text1"/>
          <w:sz w:val="20"/>
          <w:szCs w:val="20"/>
          <w:lang w:val="es-PE"/>
        </w:rPr>
        <w:footnoteReference w:id="2"/>
      </w:r>
      <w:r w:rsidR="00A230FB" w:rsidRPr="00A44995">
        <w:rPr>
          <w:rFonts w:asciiTheme="majorHAnsi" w:hAnsiTheme="majorHAnsi"/>
          <w:sz w:val="20"/>
          <w:szCs w:val="20"/>
          <w:lang w:val="es-PE"/>
        </w:rPr>
        <w:t xml:space="preserve">. </w:t>
      </w:r>
      <w:r w:rsidRPr="00A44995">
        <w:rPr>
          <w:rFonts w:asciiTheme="majorHAnsi" w:hAnsiTheme="majorHAnsi"/>
          <w:sz w:val="20"/>
          <w:szCs w:val="20"/>
          <w:lang w:val="es-PE"/>
        </w:rPr>
        <w:t xml:space="preserve">El 15 de diciembre de 2016 la CIDH notificó dicho informe a las partes y se puso a disposición a fin de llegar a una solución amistosa, sin que se dieran las condiciones para solucionar el caso </w:t>
      </w:r>
      <w:r w:rsidR="00EE7F9B" w:rsidRPr="00A44995">
        <w:rPr>
          <w:rFonts w:asciiTheme="majorHAnsi" w:hAnsiTheme="majorHAnsi"/>
          <w:sz w:val="20"/>
          <w:szCs w:val="20"/>
          <w:lang w:val="es-PE"/>
        </w:rPr>
        <w:t>a través del referido procedimiento. Las partes contaron con los plazos reglamentarios para presentar sus observaciones adicionales sobre el fondo. Toda información recibida fue debidamente trasladada a las partes.</w:t>
      </w:r>
    </w:p>
    <w:p w14:paraId="11B716F8" w14:textId="77777777" w:rsidR="009014A4" w:rsidRPr="00A44995" w:rsidRDefault="009014A4" w:rsidP="00B44A0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jc w:val="both"/>
        <w:rPr>
          <w:rFonts w:asciiTheme="majorHAnsi" w:hAnsiTheme="majorHAnsi"/>
          <w:sz w:val="20"/>
          <w:szCs w:val="20"/>
          <w:lang w:val="es-PE"/>
        </w:rPr>
      </w:pPr>
    </w:p>
    <w:p w14:paraId="37F8E4F0" w14:textId="77777777" w:rsidR="00D12193" w:rsidRPr="00A44995" w:rsidRDefault="00D12193" w:rsidP="00B44A04">
      <w:pPr>
        <w:pStyle w:val="Heading1"/>
        <w:tabs>
          <w:tab w:val="left" w:pos="360"/>
        </w:tabs>
        <w:ind w:left="720" w:hanging="720"/>
        <w:rPr>
          <w:lang w:val="es-PE"/>
        </w:rPr>
      </w:pPr>
      <w:bookmarkStart w:id="3" w:name="_Toc473195951"/>
      <w:r w:rsidRPr="00A44995">
        <w:rPr>
          <w:lang w:val="es-PE"/>
        </w:rPr>
        <w:t>ALEGATOS DE LAS PARTES</w:t>
      </w:r>
      <w:bookmarkEnd w:id="3"/>
    </w:p>
    <w:p w14:paraId="6273918B" w14:textId="77777777" w:rsidR="0008768F" w:rsidRPr="00A44995" w:rsidRDefault="0008768F" w:rsidP="00B44A04">
      <w:pPr>
        <w:tabs>
          <w:tab w:val="left" w:pos="360"/>
        </w:tabs>
        <w:suppressAutoHyphens/>
        <w:rPr>
          <w:rFonts w:asciiTheme="majorHAnsi" w:hAnsiTheme="majorHAnsi"/>
          <w:sz w:val="20"/>
          <w:szCs w:val="20"/>
          <w:lang w:val="es-PE"/>
        </w:rPr>
      </w:pPr>
    </w:p>
    <w:p w14:paraId="06A370D8" w14:textId="77777777" w:rsidR="00D12193" w:rsidRPr="00A44995" w:rsidRDefault="0022273F" w:rsidP="00B44A04">
      <w:pPr>
        <w:pStyle w:val="Heading2"/>
        <w:tabs>
          <w:tab w:val="left" w:pos="360"/>
        </w:tabs>
        <w:ind w:hanging="630"/>
        <w:rPr>
          <w:lang w:val="es-PE"/>
        </w:rPr>
      </w:pPr>
      <w:bookmarkStart w:id="4" w:name="_Toc473195952"/>
      <w:r w:rsidRPr="00A44995">
        <w:rPr>
          <w:lang w:val="es-PE"/>
        </w:rPr>
        <w:t>Parte peticionaria</w:t>
      </w:r>
      <w:bookmarkEnd w:id="4"/>
    </w:p>
    <w:p w14:paraId="472CBECC" w14:textId="77777777" w:rsidR="00361415" w:rsidRPr="00A44995" w:rsidRDefault="00361415" w:rsidP="00B44A04">
      <w:pPr>
        <w:tabs>
          <w:tab w:val="left" w:pos="360"/>
        </w:tabs>
        <w:suppressAutoHyphens/>
        <w:rPr>
          <w:rFonts w:asciiTheme="majorHAnsi" w:hAnsiTheme="majorHAnsi"/>
          <w:sz w:val="20"/>
          <w:szCs w:val="20"/>
          <w:lang w:val="es-PE"/>
        </w:rPr>
      </w:pPr>
    </w:p>
    <w:p w14:paraId="1AA07805" w14:textId="77777777" w:rsidR="008270E2" w:rsidRPr="00A44995" w:rsidRDefault="00B44A04" w:rsidP="00195E9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autoSpaceDE w:val="0"/>
        <w:autoSpaceDN w:val="0"/>
        <w:adjustRightInd w:val="0"/>
        <w:ind w:left="0" w:firstLine="0"/>
        <w:jc w:val="both"/>
        <w:rPr>
          <w:rFonts w:ascii="Cambria" w:hAnsi="Cambria" w:cs="Cambria"/>
          <w:color w:val="000000"/>
          <w:sz w:val="20"/>
          <w:szCs w:val="20"/>
          <w:lang w:val="es-PE" w:eastAsia="es-ES"/>
        </w:rPr>
      </w:pPr>
      <w:r w:rsidRPr="00A44995">
        <w:rPr>
          <w:rFonts w:asciiTheme="majorHAnsi" w:hAnsiTheme="majorHAnsi"/>
          <w:color w:val="000000" w:themeColor="text1"/>
          <w:sz w:val="20"/>
          <w:szCs w:val="20"/>
          <w:lang w:val="es-PE"/>
        </w:rPr>
        <w:t>La parte peticionaria</w:t>
      </w:r>
      <w:r w:rsidR="00195E9F" w:rsidRPr="00A44995">
        <w:rPr>
          <w:rFonts w:asciiTheme="majorHAnsi" w:hAnsiTheme="majorHAnsi"/>
          <w:color w:val="000000" w:themeColor="text1"/>
          <w:sz w:val="20"/>
          <w:szCs w:val="20"/>
          <w:lang w:val="es-PE"/>
        </w:rPr>
        <w:t xml:space="preserve"> alega la responsabilidad internacional de El Salvador en perjuicio de Miguel Ángel Aguirre Magaña por la presunta falta de investigación diligente y procesamiento penal de los responsables de un hecho en el que</w:t>
      </w:r>
      <w:r w:rsidR="007B6575" w:rsidRPr="00A44995">
        <w:rPr>
          <w:rFonts w:asciiTheme="majorHAnsi" w:hAnsiTheme="majorHAnsi"/>
          <w:color w:val="000000" w:themeColor="text1"/>
          <w:sz w:val="20"/>
          <w:szCs w:val="20"/>
          <w:lang w:val="es-PE"/>
        </w:rPr>
        <w:t xml:space="preserve"> sufrió lesiones graves, y</w:t>
      </w:r>
      <w:r w:rsidR="00195E9F" w:rsidRPr="00A44995">
        <w:rPr>
          <w:rFonts w:asciiTheme="majorHAnsi" w:hAnsiTheme="majorHAnsi"/>
          <w:color w:val="000000" w:themeColor="text1"/>
          <w:sz w:val="20"/>
          <w:szCs w:val="20"/>
          <w:lang w:val="es-PE"/>
        </w:rPr>
        <w:t xml:space="preserve"> perdió un</w:t>
      </w:r>
      <w:r w:rsidR="007B6575" w:rsidRPr="00A44995">
        <w:rPr>
          <w:rFonts w:asciiTheme="majorHAnsi" w:hAnsiTheme="majorHAnsi"/>
          <w:color w:val="000000" w:themeColor="text1"/>
          <w:sz w:val="20"/>
          <w:szCs w:val="20"/>
          <w:lang w:val="es-PE"/>
        </w:rPr>
        <w:t>a pierna y</w:t>
      </w:r>
      <w:r w:rsidR="00195E9F" w:rsidRPr="00A44995">
        <w:rPr>
          <w:rFonts w:asciiTheme="majorHAnsi" w:hAnsiTheme="majorHAnsi"/>
          <w:color w:val="000000" w:themeColor="text1"/>
          <w:sz w:val="20"/>
          <w:szCs w:val="20"/>
          <w:lang w:val="es-PE"/>
        </w:rPr>
        <w:t xml:space="preserve"> la audición en el oído derecho. Sostiene que en la época de los hechos el señor Aguirre</w:t>
      </w:r>
      <w:r w:rsidR="00195E9F" w:rsidRPr="00A44995">
        <w:rPr>
          <w:rFonts w:ascii="Cambria" w:hAnsi="Cambria" w:cs="Cambria"/>
          <w:color w:val="000000"/>
          <w:sz w:val="20"/>
          <w:szCs w:val="20"/>
          <w:lang w:val="es-PE" w:eastAsia="es-ES"/>
        </w:rPr>
        <w:t xml:space="preserve"> era un funcionario judicial. I</w:t>
      </w:r>
      <w:r w:rsidR="00A230FB" w:rsidRPr="00A44995">
        <w:rPr>
          <w:rFonts w:ascii="Cambria" w:hAnsi="Cambria" w:cs="Cambria"/>
          <w:color w:val="000000"/>
          <w:sz w:val="20"/>
          <w:szCs w:val="20"/>
          <w:lang w:val="es-PE" w:eastAsia="es-ES"/>
        </w:rPr>
        <w:t xml:space="preserve">ndica que el 13 de noviembre de 1993 se dirigía a realizar una diligencia judicial junto con otro funcionario y con el Juez de Paz de Villa Apaneca, propietario del vehículo en el que se transportaban. </w:t>
      </w:r>
      <w:r w:rsidR="00195E9F" w:rsidRPr="00A44995">
        <w:rPr>
          <w:rFonts w:ascii="Cambria" w:hAnsi="Cambria" w:cs="Cambria"/>
          <w:color w:val="000000"/>
          <w:sz w:val="20"/>
          <w:szCs w:val="20"/>
          <w:lang w:val="es-PE" w:eastAsia="es-ES"/>
        </w:rPr>
        <w:t xml:space="preserve">Agrega que durante </w:t>
      </w:r>
      <w:r w:rsidR="00A230FB" w:rsidRPr="00A44995">
        <w:rPr>
          <w:rFonts w:ascii="Cambria" w:hAnsi="Cambria" w:cs="Cambria"/>
          <w:color w:val="000000"/>
          <w:sz w:val="20"/>
          <w:szCs w:val="20"/>
          <w:lang w:val="es-PE" w:eastAsia="es-ES"/>
        </w:rPr>
        <w:t>el trayecto</w:t>
      </w:r>
      <w:r w:rsidR="00E916F4" w:rsidRPr="00A44995">
        <w:rPr>
          <w:rFonts w:ascii="Cambria" w:hAnsi="Cambria" w:cs="Cambria"/>
          <w:color w:val="000000"/>
          <w:sz w:val="20"/>
          <w:szCs w:val="20"/>
          <w:lang w:val="es-PE" w:eastAsia="es-ES"/>
        </w:rPr>
        <w:t xml:space="preserve"> </w:t>
      </w:r>
      <w:r w:rsidR="00A230FB" w:rsidRPr="00A44995">
        <w:rPr>
          <w:rFonts w:ascii="Cambria" w:hAnsi="Cambria" w:cs="Cambria"/>
          <w:color w:val="000000"/>
          <w:sz w:val="20"/>
          <w:szCs w:val="20"/>
          <w:lang w:val="es-PE" w:eastAsia="es-ES"/>
        </w:rPr>
        <w:t>explotó repentinamente una granada en el i</w:t>
      </w:r>
      <w:r w:rsidR="00195E9F" w:rsidRPr="00A44995">
        <w:rPr>
          <w:rFonts w:ascii="Cambria" w:hAnsi="Cambria" w:cs="Cambria"/>
          <w:color w:val="000000"/>
          <w:sz w:val="20"/>
          <w:szCs w:val="20"/>
          <w:lang w:val="es-PE" w:eastAsia="es-ES"/>
        </w:rPr>
        <w:t xml:space="preserve">nterior del vehículo. </w:t>
      </w:r>
      <w:r w:rsidR="009E53A3" w:rsidRPr="00A44995">
        <w:rPr>
          <w:rFonts w:ascii="Cambria" w:hAnsi="Cambria" w:cs="Cambria"/>
          <w:color w:val="000000"/>
          <w:sz w:val="20"/>
          <w:szCs w:val="20"/>
          <w:lang w:val="es-PE" w:eastAsia="es-ES"/>
        </w:rPr>
        <w:t>I</w:t>
      </w:r>
      <w:r w:rsidR="00CA435D" w:rsidRPr="00A44995">
        <w:rPr>
          <w:rFonts w:ascii="Cambria" w:hAnsi="Cambria" w:cs="Cambria"/>
          <w:color w:val="000000"/>
          <w:sz w:val="20"/>
          <w:szCs w:val="20"/>
          <w:lang w:val="es-PE" w:eastAsia="es-ES"/>
        </w:rPr>
        <w:t>nforma que, producto de la explosión, el señor Aguir</w:t>
      </w:r>
      <w:r w:rsidR="00C50258" w:rsidRPr="00A44995">
        <w:rPr>
          <w:rFonts w:ascii="Cambria" w:hAnsi="Cambria" w:cs="Cambria"/>
          <w:color w:val="000000"/>
          <w:sz w:val="20"/>
          <w:szCs w:val="20"/>
          <w:lang w:val="es-PE" w:eastAsia="es-ES"/>
        </w:rPr>
        <w:t>r</w:t>
      </w:r>
      <w:r w:rsidR="00CA435D" w:rsidRPr="00A44995">
        <w:rPr>
          <w:rFonts w:ascii="Cambria" w:hAnsi="Cambria" w:cs="Cambria"/>
          <w:color w:val="000000"/>
          <w:sz w:val="20"/>
          <w:szCs w:val="20"/>
          <w:lang w:val="es-PE" w:eastAsia="es-ES"/>
        </w:rPr>
        <w:t xml:space="preserve">e sufrió la amputación </w:t>
      </w:r>
      <w:r w:rsidR="00C05784" w:rsidRPr="00A44995">
        <w:rPr>
          <w:rFonts w:ascii="Cambria" w:hAnsi="Cambria" w:cs="Cambria"/>
          <w:color w:val="000000"/>
          <w:sz w:val="20"/>
          <w:szCs w:val="20"/>
          <w:lang w:val="es-PE" w:eastAsia="es-ES"/>
        </w:rPr>
        <w:t xml:space="preserve">de </w:t>
      </w:r>
      <w:r w:rsidR="00CA435D" w:rsidRPr="00A44995">
        <w:rPr>
          <w:rFonts w:ascii="Cambria" w:hAnsi="Cambria" w:cs="Cambria"/>
          <w:color w:val="000000"/>
          <w:sz w:val="20"/>
          <w:szCs w:val="20"/>
          <w:lang w:val="es-PE" w:eastAsia="es-ES"/>
        </w:rPr>
        <w:t>la pierna derecha arriba de la rodilla, perdió definitivamente la audición del oído derecho, y sufrió múltiples lesiones en otras partes del cuerpo.</w:t>
      </w:r>
      <w:r w:rsidR="008270E2" w:rsidRPr="00A44995">
        <w:rPr>
          <w:rFonts w:ascii="Cambria" w:hAnsi="Cambria" w:cs="Cambria"/>
          <w:color w:val="000000"/>
          <w:sz w:val="20"/>
          <w:szCs w:val="20"/>
          <w:lang w:val="es-PE" w:eastAsia="es-ES"/>
        </w:rPr>
        <w:t xml:space="preserve"> </w:t>
      </w:r>
    </w:p>
    <w:p w14:paraId="19291E7A" w14:textId="77777777" w:rsidR="008270E2" w:rsidRPr="00A44995" w:rsidRDefault="008270E2" w:rsidP="008270E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autoSpaceDE w:val="0"/>
        <w:autoSpaceDN w:val="0"/>
        <w:adjustRightInd w:val="0"/>
        <w:jc w:val="both"/>
        <w:rPr>
          <w:rFonts w:ascii="Cambria" w:hAnsi="Cambria" w:cs="Cambria"/>
          <w:color w:val="000000"/>
          <w:sz w:val="20"/>
          <w:szCs w:val="20"/>
          <w:lang w:val="es-PE" w:eastAsia="es-ES"/>
        </w:rPr>
      </w:pPr>
    </w:p>
    <w:p w14:paraId="5982ECCF" w14:textId="77777777" w:rsidR="00DA23CB" w:rsidRPr="00A44995" w:rsidRDefault="008270E2" w:rsidP="007737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autoSpaceDE w:val="0"/>
        <w:autoSpaceDN w:val="0"/>
        <w:adjustRightInd w:val="0"/>
        <w:ind w:left="0" w:firstLine="0"/>
        <w:jc w:val="both"/>
        <w:rPr>
          <w:rFonts w:ascii="Cambria" w:hAnsi="Cambria" w:cs="Cambria"/>
          <w:color w:val="000000"/>
          <w:sz w:val="20"/>
          <w:szCs w:val="20"/>
          <w:lang w:val="es-PE" w:eastAsia="es-ES"/>
        </w:rPr>
      </w:pPr>
      <w:r w:rsidRPr="00A44995">
        <w:rPr>
          <w:rFonts w:ascii="Cambria" w:hAnsi="Cambria" w:cs="Cambria"/>
          <w:color w:val="000000"/>
          <w:sz w:val="20"/>
          <w:szCs w:val="20"/>
          <w:lang w:val="es-PE" w:eastAsia="es-ES"/>
        </w:rPr>
        <w:t xml:space="preserve">La parte peticionaria alega que el señor Aguirre denunció </w:t>
      </w:r>
      <w:r w:rsidR="006817A5" w:rsidRPr="00A44995">
        <w:rPr>
          <w:rFonts w:ascii="Cambria" w:hAnsi="Cambria" w:cs="Cambria"/>
          <w:color w:val="000000"/>
          <w:sz w:val="20"/>
          <w:szCs w:val="20"/>
          <w:lang w:val="es-PE" w:eastAsia="es-ES"/>
        </w:rPr>
        <w:t xml:space="preserve">ante las autoridades judiciales </w:t>
      </w:r>
      <w:r w:rsidRPr="00A44995">
        <w:rPr>
          <w:rFonts w:ascii="Cambria" w:hAnsi="Cambria" w:cs="Cambria"/>
          <w:color w:val="000000"/>
          <w:sz w:val="20"/>
          <w:szCs w:val="20"/>
          <w:lang w:val="es-PE" w:eastAsia="es-ES"/>
        </w:rPr>
        <w:t xml:space="preserve">que </w:t>
      </w:r>
      <w:r w:rsidR="006817A5" w:rsidRPr="00A44995">
        <w:rPr>
          <w:rFonts w:ascii="Cambria" w:hAnsi="Cambria" w:cs="Cambria"/>
          <w:color w:val="000000"/>
          <w:sz w:val="20"/>
          <w:szCs w:val="20"/>
          <w:lang w:val="es-PE" w:eastAsia="es-ES"/>
        </w:rPr>
        <w:t>se investigue y sancione al Juez de Paz de Villa Apaneca, quien habría tenido la granada que explotó en su auto</w:t>
      </w:r>
      <w:r w:rsidRPr="00A44995">
        <w:rPr>
          <w:rFonts w:ascii="Cambria" w:hAnsi="Cambria" w:cs="Cambria"/>
          <w:color w:val="000000"/>
          <w:sz w:val="20"/>
          <w:szCs w:val="20"/>
          <w:lang w:val="es-PE" w:eastAsia="es-ES"/>
        </w:rPr>
        <w:t>. Señala</w:t>
      </w:r>
      <w:r w:rsidR="006817A5" w:rsidRPr="00A44995">
        <w:rPr>
          <w:rFonts w:ascii="Cambria" w:hAnsi="Cambria" w:cs="Cambria"/>
          <w:color w:val="000000"/>
          <w:sz w:val="20"/>
          <w:szCs w:val="20"/>
          <w:lang w:val="es-PE" w:eastAsia="es-ES"/>
        </w:rPr>
        <w:t xml:space="preserve"> que la investigación por los hechos del caso vulneró los derechos a las garantías judiciales y protec</w:t>
      </w:r>
      <w:r w:rsidR="009E53A3" w:rsidRPr="00A44995">
        <w:rPr>
          <w:rFonts w:ascii="Cambria" w:hAnsi="Cambria" w:cs="Cambria"/>
          <w:color w:val="000000"/>
          <w:sz w:val="20"/>
          <w:szCs w:val="20"/>
          <w:lang w:val="es-PE" w:eastAsia="es-ES"/>
        </w:rPr>
        <w:t xml:space="preserve">ción judicial del señor Aguirre debido a que </w:t>
      </w:r>
      <w:r w:rsidR="007B6575" w:rsidRPr="00A44995">
        <w:rPr>
          <w:rFonts w:ascii="Cambria" w:hAnsi="Cambria" w:cs="Cambria"/>
          <w:color w:val="000000"/>
          <w:sz w:val="20"/>
          <w:szCs w:val="20"/>
          <w:lang w:val="es-PE" w:eastAsia="es-ES"/>
        </w:rPr>
        <w:t xml:space="preserve">i) </w:t>
      </w:r>
      <w:r w:rsidR="009E53A3" w:rsidRPr="00A44995">
        <w:rPr>
          <w:rFonts w:ascii="Cambria" w:hAnsi="Cambria" w:cs="Cambria"/>
          <w:color w:val="000000"/>
          <w:sz w:val="20"/>
          <w:szCs w:val="20"/>
          <w:lang w:val="es-PE" w:eastAsia="es-ES"/>
        </w:rPr>
        <w:t>hubo</w:t>
      </w:r>
      <w:r w:rsidR="00445A47" w:rsidRPr="00A44995">
        <w:rPr>
          <w:rFonts w:ascii="Cambria" w:hAnsi="Cambria" w:cs="Cambria"/>
          <w:color w:val="000000"/>
          <w:sz w:val="20"/>
          <w:szCs w:val="20"/>
          <w:lang w:val="es-PE" w:eastAsia="es-ES"/>
        </w:rPr>
        <w:t xml:space="preserve"> diversas irregularidades durante el proceso penal; ii) </w:t>
      </w:r>
      <w:r w:rsidR="009E53A3" w:rsidRPr="00A44995">
        <w:rPr>
          <w:rFonts w:ascii="Cambria" w:hAnsi="Cambria" w:cs="Cambria"/>
          <w:color w:val="000000"/>
          <w:sz w:val="20"/>
          <w:szCs w:val="20"/>
          <w:lang w:val="es-PE" w:eastAsia="es-ES"/>
        </w:rPr>
        <w:t xml:space="preserve">hubo </w:t>
      </w:r>
      <w:r w:rsidR="00445A47" w:rsidRPr="00A44995">
        <w:rPr>
          <w:rFonts w:ascii="Cambria" w:hAnsi="Cambria" w:cs="Cambria"/>
          <w:color w:val="000000"/>
          <w:sz w:val="20"/>
          <w:szCs w:val="20"/>
          <w:lang w:val="es-PE" w:eastAsia="es-ES"/>
        </w:rPr>
        <w:t>demora injustificada en todo el proceso; iii)</w:t>
      </w:r>
      <w:r w:rsidR="00F61019" w:rsidRPr="00A44995">
        <w:rPr>
          <w:rFonts w:asciiTheme="majorHAnsi" w:hAnsiTheme="majorHAnsi"/>
          <w:color w:val="000000" w:themeColor="text1"/>
          <w:sz w:val="20"/>
          <w:szCs w:val="20"/>
          <w:lang w:val="es-PE"/>
        </w:rPr>
        <w:t xml:space="preserve"> la investigación no se </w:t>
      </w:r>
      <w:r w:rsidR="009E53A3" w:rsidRPr="00A44995">
        <w:rPr>
          <w:rFonts w:asciiTheme="majorHAnsi" w:hAnsiTheme="majorHAnsi"/>
          <w:color w:val="000000" w:themeColor="text1"/>
          <w:sz w:val="20"/>
          <w:szCs w:val="20"/>
          <w:lang w:val="es-PE"/>
        </w:rPr>
        <w:t>realizó</w:t>
      </w:r>
      <w:r w:rsidR="00F61019" w:rsidRPr="00A44995">
        <w:rPr>
          <w:rFonts w:asciiTheme="majorHAnsi" w:hAnsiTheme="majorHAnsi"/>
          <w:color w:val="000000" w:themeColor="text1"/>
          <w:sz w:val="20"/>
          <w:szCs w:val="20"/>
          <w:lang w:val="es-PE"/>
        </w:rPr>
        <w:t xml:space="preserve"> conforme a los estándares de la debida diligencia; </w:t>
      </w:r>
      <w:r w:rsidR="009E53A3" w:rsidRPr="00A44995">
        <w:rPr>
          <w:rFonts w:asciiTheme="majorHAnsi" w:hAnsiTheme="majorHAnsi"/>
          <w:color w:val="000000" w:themeColor="text1"/>
          <w:sz w:val="20"/>
          <w:szCs w:val="20"/>
          <w:lang w:val="es-PE"/>
        </w:rPr>
        <w:t xml:space="preserve">y </w:t>
      </w:r>
      <w:r w:rsidR="00445A47" w:rsidRPr="00A44995">
        <w:rPr>
          <w:rFonts w:asciiTheme="majorHAnsi" w:hAnsiTheme="majorHAnsi"/>
          <w:color w:val="000000" w:themeColor="text1"/>
          <w:sz w:val="20"/>
          <w:szCs w:val="20"/>
          <w:lang w:val="es-PE"/>
        </w:rPr>
        <w:t>iv)</w:t>
      </w:r>
      <w:r w:rsidR="007B6575" w:rsidRPr="00A44995">
        <w:rPr>
          <w:rFonts w:asciiTheme="majorHAnsi" w:hAnsiTheme="majorHAnsi"/>
          <w:color w:val="000000" w:themeColor="text1"/>
          <w:sz w:val="20"/>
          <w:szCs w:val="20"/>
          <w:lang w:val="es-PE"/>
        </w:rPr>
        <w:t xml:space="preserve"> </w:t>
      </w:r>
      <w:r w:rsidR="00445A47" w:rsidRPr="00A44995">
        <w:rPr>
          <w:rFonts w:ascii="Cambria" w:hAnsi="Cambria" w:cs="Cambria"/>
          <w:color w:val="000000"/>
          <w:sz w:val="20"/>
          <w:szCs w:val="20"/>
          <w:lang w:val="es-PE" w:eastAsia="es-ES"/>
        </w:rPr>
        <w:t xml:space="preserve">se </w:t>
      </w:r>
      <w:r w:rsidR="009E53A3" w:rsidRPr="00A44995">
        <w:rPr>
          <w:rFonts w:ascii="Cambria" w:hAnsi="Cambria" w:cs="Cambria"/>
          <w:color w:val="000000"/>
          <w:sz w:val="20"/>
          <w:szCs w:val="20"/>
          <w:lang w:val="es-PE" w:eastAsia="es-ES"/>
        </w:rPr>
        <w:t>produjo</w:t>
      </w:r>
      <w:r w:rsidR="00445A47" w:rsidRPr="00A44995">
        <w:rPr>
          <w:rFonts w:ascii="Cambria" w:hAnsi="Cambria" w:cs="Cambria"/>
          <w:color w:val="000000"/>
          <w:sz w:val="20"/>
          <w:szCs w:val="20"/>
          <w:lang w:val="es-PE" w:eastAsia="es-ES"/>
        </w:rPr>
        <w:t xml:space="preserve"> una situación de impunidad debido a la </w:t>
      </w:r>
      <w:r w:rsidR="00445A47" w:rsidRPr="00A44995">
        <w:rPr>
          <w:rFonts w:asciiTheme="majorHAnsi" w:hAnsiTheme="majorHAnsi"/>
          <w:color w:val="000000" w:themeColor="text1"/>
          <w:sz w:val="20"/>
          <w:szCs w:val="20"/>
          <w:lang w:val="es-PE"/>
        </w:rPr>
        <w:t>falta de una investigación diligente</w:t>
      </w:r>
      <w:r w:rsidR="002824EF" w:rsidRPr="00A44995">
        <w:rPr>
          <w:rFonts w:asciiTheme="majorHAnsi" w:hAnsiTheme="majorHAnsi"/>
          <w:color w:val="000000" w:themeColor="text1"/>
          <w:sz w:val="20"/>
          <w:szCs w:val="20"/>
          <w:lang w:val="es-PE"/>
        </w:rPr>
        <w:t>.</w:t>
      </w:r>
    </w:p>
    <w:p w14:paraId="0EC3ADC6" w14:textId="77777777" w:rsidR="00DA23CB" w:rsidRPr="00A44995" w:rsidRDefault="00DA23CB" w:rsidP="00DA23CB">
      <w:pPr>
        <w:pStyle w:val="ListParagraph"/>
        <w:rPr>
          <w:sz w:val="20"/>
          <w:szCs w:val="20"/>
          <w:lang w:val="es-PE"/>
        </w:rPr>
      </w:pPr>
    </w:p>
    <w:p w14:paraId="03EE3FFA" w14:textId="77777777" w:rsidR="00C85158" w:rsidRPr="00A44995" w:rsidRDefault="00445A47" w:rsidP="005E068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autoSpaceDE w:val="0"/>
        <w:autoSpaceDN w:val="0"/>
        <w:adjustRightInd w:val="0"/>
        <w:ind w:left="0" w:firstLine="0"/>
        <w:jc w:val="both"/>
        <w:rPr>
          <w:rFonts w:ascii="Cambria" w:hAnsi="Cambria" w:cs="Cambria"/>
          <w:color w:val="000000"/>
          <w:sz w:val="20"/>
          <w:szCs w:val="20"/>
          <w:lang w:val="es-PE" w:eastAsia="es-ES"/>
        </w:rPr>
      </w:pPr>
      <w:r w:rsidRPr="00A44995">
        <w:rPr>
          <w:rFonts w:ascii="Cambria" w:hAnsi="Cambria" w:cs="Cambria"/>
          <w:color w:val="000000"/>
          <w:sz w:val="20"/>
          <w:szCs w:val="20"/>
          <w:lang w:val="es-PE" w:eastAsia="es-ES"/>
        </w:rPr>
        <w:t xml:space="preserve">En relación con </w:t>
      </w:r>
      <w:r w:rsidR="009E53A3" w:rsidRPr="00A44995">
        <w:rPr>
          <w:rFonts w:ascii="Cambria" w:hAnsi="Cambria" w:cs="Cambria"/>
          <w:color w:val="000000"/>
          <w:sz w:val="20"/>
          <w:szCs w:val="20"/>
          <w:lang w:val="es-PE" w:eastAsia="es-ES"/>
        </w:rPr>
        <w:t>las presuntas</w:t>
      </w:r>
      <w:r w:rsidR="00492FFA" w:rsidRPr="00A44995">
        <w:rPr>
          <w:rFonts w:ascii="Cambria" w:hAnsi="Cambria" w:cs="Cambria"/>
          <w:color w:val="000000"/>
          <w:sz w:val="20"/>
          <w:szCs w:val="20"/>
          <w:lang w:val="es-PE" w:eastAsia="es-ES"/>
        </w:rPr>
        <w:t xml:space="preserve"> irregularidades </w:t>
      </w:r>
      <w:r w:rsidR="00DA23CB" w:rsidRPr="00A44995">
        <w:rPr>
          <w:rFonts w:ascii="Cambria" w:hAnsi="Cambria" w:cs="Cambria"/>
          <w:color w:val="000000"/>
          <w:sz w:val="20"/>
          <w:szCs w:val="20"/>
          <w:lang w:val="es-PE" w:eastAsia="es-ES"/>
        </w:rPr>
        <w:t>durante el proceso penal</w:t>
      </w:r>
      <w:r w:rsidR="00C85158" w:rsidRPr="00A44995">
        <w:rPr>
          <w:rFonts w:ascii="Cambria" w:hAnsi="Cambria" w:cs="Cambria"/>
          <w:color w:val="000000"/>
          <w:sz w:val="20"/>
          <w:szCs w:val="20"/>
          <w:lang w:val="es-PE" w:eastAsia="es-ES"/>
        </w:rPr>
        <w:t xml:space="preserve">, </w:t>
      </w:r>
      <w:r w:rsidR="009E53A3" w:rsidRPr="00A44995">
        <w:rPr>
          <w:rFonts w:ascii="Cambria" w:hAnsi="Cambria" w:cs="Cambria"/>
          <w:color w:val="000000"/>
          <w:sz w:val="20"/>
          <w:szCs w:val="20"/>
          <w:lang w:val="es-PE" w:eastAsia="es-ES"/>
        </w:rPr>
        <w:t xml:space="preserve">la parte peticionaria </w:t>
      </w:r>
      <w:r w:rsidR="00C85158" w:rsidRPr="00A44995">
        <w:rPr>
          <w:rFonts w:ascii="Cambria" w:hAnsi="Cambria" w:cs="Cambria"/>
          <w:color w:val="000000"/>
          <w:sz w:val="20"/>
          <w:szCs w:val="20"/>
          <w:lang w:val="es-PE" w:eastAsia="es-ES"/>
        </w:rPr>
        <w:t xml:space="preserve">refiere que </w:t>
      </w:r>
      <w:r w:rsidR="005F0075" w:rsidRPr="00A44995">
        <w:rPr>
          <w:rFonts w:ascii="Cambria" w:hAnsi="Cambria" w:cs="Cambria"/>
          <w:color w:val="000000"/>
          <w:sz w:val="20"/>
          <w:szCs w:val="20"/>
          <w:lang w:val="es-PE" w:eastAsia="es-ES"/>
        </w:rPr>
        <w:t>se emitió un certificado médico falso</w:t>
      </w:r>
      <w:r w:rsidR="00C85158" w:rsidRPr="00A44995">
        <w:rPr>
          <w:rFonts w:ascii="Cambria" w:hAnsi="Cambria" w:cs="Cambria"/>
          <w:color w:val="000000"/>
          <w:sz w:val="20"/>
          <w:szCs w:val="20"/>
          <w:lang w:val="es-PE" w:eastAsia="es-ES"/>
        </w:rPr>
        <w:t xml:space="preserve"> a fin de favorecer al imputado.</w:t>
      </w:r>
      <w:r w:rsidR="005F0075" w:rsidRPr="00A44995">
        <w:rPr>
          <w:rFonts w:ascii="Cambria" w:hAnsi="Cambria" w:cs="Cambria"/>
          <w:color w:val="000000"/>
          <w:sz w:val="20"/>
          <w:szCs w:val="20"/>
          <w:lang w:val="es-PE" w:eastAsia="es-ES"/>
        </w:rPr>
        <w:t xml:space="preserve"> Ello en tanto se indicó que sufrió varias lesiones durante la explosión cuando en realidad no fue así.</w:t>
      </w:r>
      <w:r w:rsidR="00C85158" w:rsidRPr="00A44995">
        <w:rPr>
          <w:rFonts w:ascii="Cambria" w:hAnsi="Cambria" w:cs="Cambria"/>
          <w:color w:val="000000"/>
          <w:sz w:val="20"/>
          <w:szCs w:val="20"/>
          <w:lang w:val="es-PE" w:eastAsia="es-ES"/>
        </w:rPr>
        <w:t xml:space="preserve"> </w:t>
      </w:r>
      <w:r w:rsidR="00E51F5B" w:rsidRPr="00A44995">
        <w:rPr>
          <w:rFonts w:ascii="Cambria" w:hAnsi="Cambria" w:cs="Cambria"/>
          <w:color w:val="000000"/>
          <w:sz w:val="20"/>
          <w:szCs w:val="20"/>
          <w:lang w:val="es-PE" w:eastAsia="es-ES"/>
        </w:rPr>
        <w:t>Asimismo, señala</w:t>
      </w:r>
      <w:r w:rsidR="00492FFA" w:rsidRPr="00A44995">
        <w:rPr>
          <w:rFonts w:ascii="Cambria" w:hAnsi="Cambria" w:cs="Cambria"/>
          <w:color w:val="000000"/>
          <w:sz w:val="20"/>
          <w:szCs w:val="20"/>
          <w:lang w:val="es-PE" w:eastAsia="es-ES"/>
        </w:rPr>
        <w:t xml:space="preserve"> que el juzgado penal </w:t>
      </w:r>
      <w:r w:rsidR="00E51F5B" w:rsidRPr="00A44995">
        <w:rPr>
          <w:rFonts w:ascii="Cambria" w:hAnsi="Cambria" w:cs="Cambria"/>
          <w:color w:val="000000"/>
          <w:sz w:val="20"/>
          <w:szCs w:val="20"/>
          <w:lang w:val="es-PE" w:eastAsia="es-ES"/>
        </w:rPr>
        <w:t>encargado de la investigación incumplió su obligación de tomar la indagatoria al imputado y que incluso éste no participó de ninguna diligencia.</w:t>
      </w:r>
      <w:r w:rsidR="00492FFA" w:rsidRPr="00A44995">
        <w:rPr>
          <w:rFonts w:ascii="Cambria" w:hAnsi="Cambria" w:cs="Cambria"/>
          <w:color w:val="000000"/>
          <w:sz w:val="20"/>
          <w:szCs w:val="20"/>
          <w:lang w:val="es-PE" w:eastAsia="es-ES"/>
        </w:rPr>
        <w:t xml:space="preserve"> </w:t>
      </w:r>
      <w:r w:rsidR="00435BA8" w:rsidRPr="00A44995">
        <w:rPr>
          <w:rFonts w:ascii="Cambria" w:hAnsi="Cambria" w:cs="Cambria"/>
          <w:color w:val="000000"/>
          <w:sz w:val="20"/>
          <w:szCs w:val="20"/>
          <w:lang w:val="es-PE" w:eastAsia="es-ES"/>
        </w:rPr>
        <w:t>Además, señala que el referido juzgado denegó su solicitud de certificación del proceso, vulnerando así su derecho de petición.</w:t>
      </w:r>
    </w:p>
    <w:p w14:paraId="66191264" w14:textId="77777777" w:rsidR="005E0680" w:rsidRPr="00A44995" w:rsidRDefault="005E0680" w:rsidP="005E0680">
      <w:pPr>
        <w:pStyle w:val="ListParagraph"/>
        <w:rPr>
          <w:sz w:val="20"/>
          <w:szCs w:val="20"/>
          <w:lang w:val="es-PE"/>
        </w:rPr>
      </w:pPr>
    </w:p>
    <w:p w14:paraId="6AE3657C" w14:textId="77777777" w:rsidR="00E3430E" w:rsidRPr="00A44995" w:rsidRDefault="00E51F5B" w:rsidP="007737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autoSpaceDE w:val="0"/>
        <w:autoSpaceDN w:val="0"/>
        <w:adjustRightInd w:val="0"/>
        <w:ind w:left="0" w:firstLine="0"/>
        <w:jc w:val="both"/>
        <w:rPr>
          <w:rFonts w:ascii="Cambria" w:hAnsi="Cambria" w:cs="Cambria"/>
          <w:color w:val="000000"/>
          <w:sz w:val="20"/>
          <w:szCs w:val="20"/>
          <w:lang w:val="es-PE" w:eastAsia="es-ES"/>
        </w:rPr>
      </w:pPr>
      <w:r w:rsidRPr="00A44995">
        <w:rPr>
          <w:rFonts w:ascii="Cambria" w:hAnsi="Cambria" w:cs="Cambria"/>
          <w:color w:val="000000"/>
          <w:sz w:val="20"/>
          <w:szCs w:val="20"/>
          <w:lang w:val="es-PE" w:eastAsia="es-ES"/>
        </w:rPr>
        <w:t xml:space="preserve">Respecto </w:t>
      </w:r>
      <w:r w:rsidR="00022F22" w:rsidRPr="00A44995">
        <w:rPr>
          <w:rFonts w:ascii="Cambria" w:hAnsi="Cambria" w:cs="Cambria"/>
          <w:color w:val="000000"/>
          <w:sz w:val="20"/>
          <w:szCs w:val="20"/>
          <w:lang w:val="es-PE" w:eastAsia="es-ES"/>
        </w:rPr>
        <w:t>de la duración</w:t>
      </w:r>
      <w:r w:rsidRPr="00A44995">
        <w:rPr>
          <w:rFonts w:ascii="Cambria" w:hAnsi="Cambria" w:cs="Cambria"/>
          <w:color w:val="000000"/>
          <w:sz w:val="20"/>
          <w:szCs w:val="20"/>
          <w:lang w:val="es-PE" w:eastAsia="es-ES"/>
        </w:rPr>
        <w:t xml:space="preserve"> del proceso, l</w:t>
      </w:r>
      <w:r w:rsidR="005A299F" w:rsidRPr="00A44995">
        <w:rPr>
          <w:rFonts w:ascii="Cambria" w:hAnsi="Cambria" w:cs="Cambria"/>
          <w:color w:val="000000"/>
          <w:sz w:val="20"/>
          <w:szCs w:val="20"/>
          <w:lang w:val="es-PE" w:eastAsia="es-ES"/>
        </w:rPr>
        <w:t>a parte peticionaria alega</w:t>
      </w:r>
      <w:r w:rsidRPr="00A44995">
        <w:rPr>
          <w:rFonts w:ascii="Cambria" w:hAnsi="Cambria" w:cs="Cambria"/>
          <w:color w:val="000000"/>
          <w:sz w:val="20"/>
          <w:szCs w:val="20"/>
          <w:lang w:val="es-PE" w:eastAsia="es-ES"/>
        </w:rPr>
        <w:t xml:space="preserve"> que éste resulta irrazonable. </w:t>
      </w:r>
      <w:r w:rsidR="00022F22" w:rsidRPr="00A44995">
        <w:rPr>
          <w:rFonts w:ascii="Cambria" w:hAnsi="Cambria" w:cs="Cambria"/>
          <w:color w:val="000000"/>
          <w:sz w:val="20"/>
          <w:szCs w:val="20"/>
          <w:lang w:val="es-PE" w:eastAsia="es-ES"/>
        </w:rPr>
        <w:t xml:space="preserve">Explica que éste duró casi once años y culminó con el sobreseimiento del imputado. </w:t>
      </w:r>
      <w:r w:rsidR="005A299F" w:rsidRPr="00A44995">
        <w:rPr>
          <w:rFonts w:asciiTheme="majorHAnsi" w:hAnsiTheme="majorHAnsi"/>
          <w:color w:val="000000" w:themeColor="text1"/>
          <w:sz w:val="20"/>
          <w:szCs w:val="20"/>
          <w:lang w:val="es-PE"/>
        </w:rPr>
        <w:t xml:space="preserve">Denuncia que los jueces a cargo de las investigaciones cambiaron en varias ocasiones, </w:t>
      </w:r>
      <w:r w:rsidRPr="00A44995">
        <w:rPr>
          <w:rFonts w:asciiTheme="majorHAnsi" w:hAnsiTheme="majorHAnsi"/>
          <w:color w:val="000000" w:themeColor="text1"/>
          <w:sz w:val="20"/>
          <w:szCs w:val="20"/>
          <w:lang w:val="es-PE"/>
        </w:rPr>
        <w:t xml:space="preserve">y en algunos casos se inhibieron de manera injustificada. </w:t>
      </w:r>
      <w:r w:rsidR="00022F22" w:rsidRPr="00A44995">
        <w:rPr>
          <w:rFonts w:asciiTheme="majorHAnsi" w:hAnsiTheme="majorHAnsi"/>
          <w:color w:val="000000" w:themeColor="text1"/>
          <w:sz w:val="20"/>
          <w:szCs w:val="20"/>
          <w:lang w:val="es-PE"/>
        </w:rPr>
        <w:t>Sostiene</w:t>
      </w:r>
      <w:r w:rsidR="00C85158" w:rsidRPr="00A44995">
        <w:rPr>
          <w:rFonts w:asciiTheme="majorHAnsi" w:hAnsiTheme="majorHAnsi"/>
          <w:color w:val="000000" w:themeColor="text1"/>
          <w:sz w:val="20"/>
          <w:szCs w:val="20"/>
          <w:lang w:val="es-PE"/>
        </w:rPr>
        <w:t xml:space="preserve"> </w:t>
      </w:r>
      <w:r w:rsidR="00C85158" w:rsidRPr="00A44995">
        <w:rPr>
          <w:rFonts w:ascii="Cambria" w:hAnsi="Cambria" w:cs="Cambria"/>
          <w:color w:val="000000"/>
          <w:sz w:val="20"/>
          <w:szCs w:val="20"/>
          <w:lang w:val="es-PE" w:eastAsia="es-ES"/>
        </w:rPr>
        <w:t>que las diligencias realizadas durante la investigación no se llevaron a cabo de manera rápida y efectiva, incumpliéndose</w:t>
      </w:r>
      <w:r w:rsidR="00022F22" w:rsidRPr="00A44995">
        <w:rPr>
          <w:rFonts w:ascii="Cambria" w:hAnsi="Cambria" w:cs="Cambria"/>
          <w:color w:val="000000"/>
          <w:sz w:val="20"/>
          <w:szCs w:val="20"/>
          <w:lang w:val="es-PE" w:eastAsia="es-ES"/>
        </w:rPr>
        <w:t xml:space="preserve"> los plazos establecidos en el Código Procesal P</w:t>
      </w:r>
      <w:r w:rsidR="00C85158" w:rsidRPr="00A44995">
        <w:rPr>
          <w:rFonts w:ascii="Cambria" w:hAnsi="Cambria" w:cs="Cambria"/>
          <w:color w:val="000000"/>
          <w:sz w:val="20"/>
          <w:szCs w:val="20"/>
          <w:lang w:val="es-PE" w:eastAsia="es-ES"/>
        </w:rPr>
        <w:t xml:space="preserve">enal. Además, </w:t>
      </w:r>
      <w:r w:rsidR="00022F22" w:rsidRPr="00A44995">
        <w:rPr>
          <w:rFonts w:ascii="Cambria" w:hAnsi="Cambria" w:cs="Cambria"/>
          <w:color w:val="000000"/>
          <w:sz w:val="20"/>
          <w:szCs w:val="20"/>
          <w:lang w:val="es-PE" w:eastAsia="es-ES"/>
        </w:rPr>
        <w:t>resalta que</w:t>
      </w:r>
      <w:r w:rsidR="00000055" w:rsidRPr="00A44995">
        <w:rPr>
          <w:rFonts w:ascii="Cambria" w:hAnsi="Cambria" w:cs="Cambria"/>
          <w:color w:val="000000"/>
          <w:sz w:val="20"/>
          <w:szCs w:val="20"/>
          <w:lang w:val="es-PE" w:eastAsia="es-ES"/>
        </w:rPr>
        <w:t xml:space="preserve"> a pesar de presentar diversas solicitudes a las autoridades judiciales,</w:t>
      </w:r>
      <w:r w:rsidR="00022F22" w:rsidRPr="00A44995">
        <w:rPr>
          <w:rFonts w:ascii="Cambria" w:hAnsi="Cambria" w:cs="Cambria"/>
          <w:color w:val="000000"/>
          <w:sz w:val="20"/>
          <w:szCs w:val="20"/>
          <w:lang w:val="es-PE" w:eastAsia="es-ES"/>
        </w:rPr>
        <w:t xml:space="preserve"> </w:t>
      </w:r>
      <w:r w:rsidR="00000055" w:rsidRPr="00A44995">
        <w:rPr>
          <w:rFonts w:ascii="Cambria" w:hAnsi="Cambria" w:cs="Cambria"/>
          <w:color w:val="000000"/>
          <w:sz w:val="20"/>
          <w:szCs w:val="20"/>
          <w:lang w:val="es-PE" w:eastAsia="es-ES"/>
        </w:rPr>
        <w:t>éstas</w:t>
      </w:r>
      <w:r w:rsidR="00022F22" w:rsidRPr="00A44995">
        <w:rPr>
          <w:rFonts w:ascii="Cambria" w:hAnsi="Cambria" w:cs="Cambria"/>
          <w:color w:val="000000"/>
          <w:sz w:val="20"/>
          <w:szCs w:val="20"/>
          <w:lang w:val="es-PE" w:eastAsia="es-ES"/>
        </w:rPr>
        <w:t xml:space="preserve"> no impulsaron el</w:t>
      </w:r>
      <w:r w:rsidR="00C85158" w:rsidRPr="00A44995">
        <w:rPr>
          <w:rFonts w:asciiTheme="majorHAnsi" w:hAnsiTheme="majorHAnsi"/>
          <w:color w:val="000000" w:themeColor="text1"/>
          <w:sz w:val="20"/>
          <w:szCs w:val="20"/>
          <w:lang w:val="es-PE"/>
        </w:rPr>
        <w:t xml:space="preserve"> proceso. </w:t>
      </w:r>
    </w:p>
    <w:p w14:paraId="30B93A1D" w14:textId="77777777" w:rsidR="00F61019" w:rsidRPr="00A44995" w:rsidRDefault="00F61019" w:rsidP="00F61019">
      <w:pPr>
        <w:pStyle w:val="ListParagraph"/>
        <w:rPr>
          <w:sz w:val="20"/>
          <w:szCs w:val="20"/>
          <w:lang w:val="es-PE"/>
        </w:rPr>
      </w:pPr>
    </w:p>
    <w:p w14:paraId="4CF72BF2" w14:textId="77777777" w:rsidR="00F61019" w:rsidRPr="00A44995" w:rsidRDefault="00022F22" w:rsidP="007737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autoSpaceDE w:val="0"/>
        <w:autoSpaceDN w:val="0"/>
        <w:adjustRightInd w:val="0"/>
        <w:ind w:left="0" w:firstLine="0"/>
        <w:jc w:val="both"/>
        <w:rPr>
          <w:rFonts w:ascii="Cambria" w:hAnsi="Cambria" w:cs="Cambria"/>
          <w:color w:val="000000"/>
          <w:sz w:val="20"/>
          <w:szCs w:val="20"/>
          <w:lang w:val="es-PE" w:eastAsia="es-ES"/>
        </w:rPr>
      </w:pPr>
      <w:r w:rsidRPr="00A44995">
        <w:rPr>
          <w:rFonts w:ascii="Cambria" w:hAnsi="Cambria" w:cs="Cambria"/>
          <w:color w:val="000000"/>
          <w:sz w:val="20"/>
          <w:szCs w:val="20"/>
          <w:lang w:val="es-PE" w:eastAsia="es-ES"/>
        </w:rPr>
        <w:lastRenderedPageBreak/>
        <w:t>Adicionalmente, la parte peticionaria señala</w:t>
      </w:r>
      <w:r w:rsidR="00F61019" w:rsidRPr="00A44995">
        <w:rPr>
          <w:rFonts w:ascii="Cambria" w:hAnsi="Cambria" w:cs="Cambria"/>
          <w:color w:val="000000"/>
          <w:sz w:val="20"/>
          <w:szCs w:val="20"/>
          <w:lang w:val="es-PE" w:eastAsia="es-ES"/>
        </w:rPr>
        <w:t xml:space="preserve"> que la investigación </w:t>
      </w:r>
      <w:r w:rsidR="00F61019" w:rsidRPr="00A44995">
        <w:rPr>
          <w:rFonts w:asciiTheme="majorHAnsi" w:hAnsiTheme="majorHAnsi"/>
          <w:color w:val="000000" w:themeColor="text1"/>
          <w:sz w:val="20"/>
          <w:szCs w:val="20"/>
          <w:lang w:val="es-PE"/>
        </w:rPr>
        <w:t xml:space="preserve">no se </w:t>
      </w:r>
      <w:r w:rsidRPr="00A44995">
        <w:rPr>
          <w:rFonts w:asciiTheme="majorHAnsi" w:hAnsiTheme="majorHAnsi"/>
          <w:color w:val="000000" w:themeColor="text1"/>
          <w:sz w:val="20"/>
          <w:szCs w:val="20"/>
          <w:lang w:val="es-PE"/>
        </w:rPr>
        <w:t>realizó</w:t>
      </w:r>
      <w:r w:rsidR="00F61019" w:rsidRPr="00A44995">
        <w:rPr>
          <w:rFonts w:asciiTheme="majorHAnsi" w:hAnsiTheme="majorHAnsi"/>
          <w:color w:val="000000" w:themeColor="text1"/>
          <w:sz w:val="20"/>
          <w:szCs w:val="20"/>
          <w:lang w:val="es-PE"/>
        </w:rPr>
        <w:t xml:space="preserve"> conforme a los estándares de la debida diligencia. </w:t>
      </w:r>
      <w:r w:rsidRPr="00A44995">
        <w:rPr>
          <w:rFonts w:asciiTheme="majorHAnsi" w:hAnsiTheme="majorHAnsi"/>
          <w:color w:val="000000" w:themeColor="text1"/>
          <w:sz w:val="20"/>
          <w:szCs w:val="20"/>
          <w:lang w:val="es-PE"/>
        </w:rPr>
        <w:t>A</w:t>
      </w:r>
      <w:r w:rsidR="00F61019" w:rsidRPr="00A44995">
        <w:rPr>
          <w:rFonts w:asciiTheme="majorHAnsi" w:hAnsiTheme="majorHAnsi"/>
          <w:color w:val="000000" w:themeColor="text1"/>
          <w:sz w:val="20"/>
          <w:szCs w:val="20"/>
          <w:lang w:val="es-PE"/>
        </w:rPr>
        <w:t xml:space="preserve">lega que la Policía Nacional Civil no protegió la escena del delito y no realizó las pruebas científicas para determinar si la explosión se produjo por un artefacto al interior del vehículo o si habría sido lanzado desde el exterior. </w:t>
      </w:r>
      <w:r w:rsidRPr="00A44995">
        <w:rPr>
          <w:rFonts w:asciiTheme="majorHAnsi" w:hAnsiTheme="majorHAnsi"/>
          <w:color w:val="000000" w:themeColor="text1"/>
          <w:sz w:val="20"/>
          <w:szCs w:val="20"/>
          <w:lang w:val="es-PE"/>
        </w:rPr>
        <w:t>Indica</w:t>
      </w:r>
      <w:r w:rsidR="00F61019" w:rsidRPr="00A44995">
        <w:rPr>
          <w:rFonts w:asciiTheme="majorHAnsi" w:hAnsiTheme="majorHAnsi"/>
          <w:color w:val="000000" w:themeColor="text1"/>
          <w:sz w:val="20"/>
          <w:szCs w:val="20"/>
          <w:lang w:val="es-PE"/>
        </w:rPr>
        <w:t xml:space="preserve"> que los órganos de investigación del delito no cumplieron con la metodología mínima para la investigación</w:t>
      </w:r>
      <w:r w:rsidRPr="00A44995">
        <w:rPr>
          <w:rFonts w:asciiTheme="majorHAnsi" w:hAnsiTheme="majorHAnsi"/>
          <w:color w:val="000000" w:themeColor="text1"/>
          <w:sz w:val="20"/>
          <w:szCs w:val="20"/>
          <w:lang w:val="es-PE"/>
        </w:rPr>
        <w:t xml:space="preserve"> relacionados con</w:t>
      </w:r>
      <w:r w:rsidR="00F61019" w:rsidRPr="00A44995">
        <w:rPr>
          <w:rFonts w:asciiTheme="majorHAnsi" w:hAnsiTheme="majorHAnsi"/>
          <w:color w:val="000000" w:themeColor="text1"/>
          <w:sz w:val="20"/>
          <w:szCs w:val="20"/>
          <w:lang w:val="es-PE"/>
        </w:rPr>
        <w:t xml:space="preserve"> la protección, observación y fijación del lugar de los hechos, levantamiento de indicios</w:t>
      </w:r>
      <w:r w:rsidR="00C16DC0" w:rsidRPr="00A44995">
        <w:rPr>
          <w:rFonts w:asciiTheme="majorHAnsi" w:hAnsiTheme="majorHAnsi"/>
          <w:color w:val="000000" w:themeColor="text1"/>
          <w:sz w:val="20"/>
          <w:szCs w:val="20"/>
          <w:lang w:val="es-PE"/>
        </w:rPr>
        <w:t xml:space="preserve"> </w:t>
      </w:r>
      <w:r w:rsidR="00F61019" w:rsidRPr="00A44995">
        <w:rPr>
          <w:rFonts w:asciiTheme="majorHAnsi" w:hAnsiTheme="majorHAnsi"/>
          <w:color w:val="000000" w:themeColor="text1"/>
          <w:sz w:val="20"/>
          <w:szCs w:val="20"/>
          <w:lang w:val="es-PE"/>
        </w:rPr>
        <w:t xml:space="preserve">y su correspondiente suministro al laboratorio. </w:t>
      </w:r>
    </w:p>
    <w:p w14:paraId="415DD2B5" w14:textId="77777777" w:rsidR="00F61019" w:rsidRPr="00A44995" w:rsidRDefault="00F61019" w:rsidP="00F6101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autoSpaceDE w:val="0"/>
        <w:autoSpaceDN w:val="0"/>
        <w:adjustRightInd w:val="0"/>
        <w:jc w:val="both"/>
        <w:rPr>
          <w:rFonts w:ascii="Cambria" w:hAnsi="Cambria" w:cs="Cambria"/>
          <w:color w:val="000000"/>
          <w:sz w:val="20"/>
          <w:szCs w:val="20"/>
          <w:lang w:val="es-PE" w:eastAsia="es-ES"/>
        </w:rPr>
      </w:pPr>
    </w:p>
    <w:p w14:paraId="476943E4" w14:textId="77777777" w:rsidR="00403095" w:rsidRPr="00A44995" w:rsidRDefault="00834F00" w:rsidP="007B657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autoSpaceDE w:val="0"/>
        <w:autoSpaceDN w:val="0"/>
        <w:adjustRightInd w:val="0"/>
        <w:ind w:left="0" w:firstLine="0"/>
        <w:jc w:val="both"/>
        <w:rPr>
          <w:rFonts w:asciiTheme="majorHAnsi" w:hAnsiTheme="majorHAnsi"/>
          <w:color w:val="000000" w:themeColor="text1"/>
          <w:sz w:val="20"/>
          <w:szCs w:val="20"/>
          <w:lang w:val="es-PE"/>
        </w:rPr>
      </w:pPr>
      <w:r w:rsidRPr="00A44995">
        <w:rPr>
          <w:rFonts w:asciiTheme="majorHAnsi" w:hAnsiTheme="majorHAnsi"/>
          <w:color w:val="000000" w:themeColor="text1"/>
          <w:sz w:val="20"/>
          <w:szCs w:val="20"/>
          <w:lang w:val="es-PE"/>
        </w:rPr>
        <w:t>La parte peticionaria también alega</w:t>
      </w:r>
      <w:r w:rsidR="00445A47" w:rsidRPr="00A44995">
        <w:rPr>
          <w:rFonts w:asciiTheme="majorHAnsi" w:hAnsiTheme="majorHAnsi"/>
          <w:color w:val="000000" w:themeColor="text1"/>
          <w:sz w:val="20"/>
          <w:szCs w:val="20"/>
          <w:lang w:val="es-PE"/>
        </w:rPr>
        <w:t xml:space="preserve"> </w:t>
      </w:r>
      <w:r w:rsidRPr="00A44995">
        <w:rPr>
          <w:rFonts w:asciiTheme="majorHAnsi" w:hAnsiTheme="majorHAnsi"/>
          <w:color w:val="000000" w:themeColor="text1"/>
          <w:sz w:val="20"/>
          <w:szCs w:val="20"/>
          <w:lang w:val="es-PE"/>
        </w:rPr>
        <w:t xml:space="preserve">que </w:t>
      </w:r>
      <w:r w:rsidR="00E3430E" w:rsidRPr="00A44995">
        <w:rPr>
          <w:rFonts w:asciiTheme="majorHAnsi" w:hAnsiTheme="majorHAnsi"/>
          <w:color w:val="000000" w:themeColor="text1"/>
          <w:sz w:val="20"/>
          <w:szCs w:val="20"/>
          <w:lang w:val="es-PE"/>
        </w:rPr>
        <w:t>la falta de una investigación diligente conllevó a que se produjera una situación de impunidad</w:t>
      </w:r>
      <w:r w:rsidR="007B6575" w:rsidRPr="00A44995">
        <w:rPr>
          <w:rFonts w:asciiTheme="majorHAnsi" w:hAnsiTheme="majorHAnsi"/>
          <w:color w:val="000000" w:themeColor="text1"/>
          <w:sz w:val="20"/>
          <w:szCs w:val="20"/>
          <w:lang w:val="es-PE"/>
        </w:rPr>
        <w:t xml:space="preserve"> al no poder determinarse a la persona responsable de los hechos que ocasionaron a la presunta víctima lesiones permanentes e irreversibles</w:t>
      </w:r>
      <w:r w:rsidRPr="00A44995">
        <w:rPr>
          <w:rFonts w:asciiTheme="majorHAnsi" w:hAnsiTheme="majorHAnsi"/>
          <w:color w:val="000000" w:themeColor="text1"/>
          <w:sz w:val="20"/>
          <w:szCs w:val="20"/>
          <w:lang w:val="es-PE"/>
        </w:rPr>
        <w:t xml:space="preserve">. Ello en tanto el proceso culminó con una decisión de sobresimiento, la cual fue confirmada en última instancia al señalar que </w:t>
      </w:r>
      <w:r w:rsidR="00445A47" w:rsidRPr="00A44995">
        <w:rPr>
          <w:rFonts w:asciiTheme="majorHAnsi" w:hAnsiTheme="majorHAnsi"/>
          <w:color w:val="000000" w:themeColor="text1"/>
          <w:sz w:val="20"/>
          <w:szCs w:val="20"/>
          <w:lang w:val="es-PE"/>
        </w:rPr>
        <w:t xml:space="preserve">no existieron elementos suficientes que determinen la responsabilidad del imputado. </w:t>
      </w:r>
    </w:p>
    <w:p w14:paraId="2C5E6F60" w14:textId="77777777" w:rsidR="00634988" w:rsidRPr="00A44995" w:rsidRDefault="00634988" w:rsidP="007B6575">
      <w:pPr>
        <w:rPr>
          <w:rFonts w:asciiTheme="majorHAnsi" w:hAnsiTheme="majorHAnsi"/>
          <w:color w:val="000000" w:themeColor="text1"/>
          <w:sz w:val="20"/>
          <w:szCs w:val="20"/>
          <w:lang w:val="es-PE"/>
        </w:rPr>
      </w:pPr>
    </w:p>
    <w:p w14:paraId="3DE37EC8" w14:textId="77777777" w:rsidR="00D12193" w:rsidRPr="00A44995" w:rsidRDefault="0022273F" w:rsidP="00401D58">
      <w:pPr>
        <w:pStyle w:val="Heading2"/>
        <w:tabs>
          <w:tab w:val="left" w:pos="360"/>
        </w:tabs>
        <w:ind w:hanging="630"/>
        <w:rPr>
          <w:lang w:val="es-PE"/>
        </w:rPr>
      </w:pPr>
      <w:bookmarkStart w:id="5" w:name="_Toc473195953"/>
      <w:r w:rsidRPr="00A44995">
        <w:rPr>
          <w:lang w:val="es-PE"/>
        </w:rPr>
        <w:t>Estado</w:t>
      </w:r>
      <w:bookmarkEnd w:id="5"/>
      <w:r w:rsidR="00CC63CF" w:rsidRPr="00A44995">
        <w:rPr>
          <w:lang w:val="es-PE"/>
        </w:rPr>
        <w:t xml:space="preserve"> </w:t>
      </w:r>
    </w:p>
    <w:p w14:paraId="5B838E61" w14:textId="77777777" w:rsidR="002273D7" w:rsidRPr="00A44995" w:rsidRDefault="002273D7" w:rsidP="00B44A04">
      <w:pPr>
        <w:tabs>
          <w:tab w:val="left" w:pos="360"/>
        </w:tabs>
        <w:suppressAutoHyphens/>
        <w:rPr>
          <w:rFonts w:asciiTheme="majorHAnsi" w:hAnsiTheme="majorHAnsi"/>
          <w:sz w:val="20"/>
          <w:szCs w:val="20"/>
          <w:lang w:val="es-PE"/>
        </w:rPr>
      </w:pPr>
    </w:p>
    <w:p w14:paraId="60FA0344" w14:textId="77777777" w:rsidR="00CD5A1C" w:rsidRPr="00A44995" w:rsidRDefault="00CD5A1C" w:rsidP="00B700B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cs="Arial"/>
          <w:sz w:val="20"/>
          <w:szCs w:val="20"/>
          <w:lang w:val="es-PE"/>
        </w:rPr>
      </w:pPr>
      <w:r w:rsidRPr="00A44995">
        <w:rPr>
          <w:rFonts w:asciiTheme="majorHAnsi" w:hAnsiTheme="majorHAnsi" w:cs="Arial"/>
          <w:sz w:val="20"/>
          <w:szCs w:val="20"/>
          <w:lang w:val="es-PE"/>
        </w:rPr>
        <w:t xml:space="preserve">El Estado sostiene que no tiene responsabilidad internacional en el presente caso. Explica que la investigación por los hechos ocurridos en noviembre de 1993 se </w:t>
      </w:r>
      <w:r w:rsidR="00250A75" w:rsidRPr="00A44995">
        <w:rPr>
          <w:rFonts w:asciiTheme="majorHAnsi" w:hAnsiTheme="majorHAnsi" w:cs="Arial"/>
          <w:sz w:val="20"/>
          <w:szCs w:val="20"/>
          <w:lang w:val="es-PE"/>
        </w:rPr>
        <w:t>realizó</w:t>
      </w:r>
      <w:r w:rsidRPr="00A44995">
        <w:rPr>
          <w:rFonts w:asciiTheme="majorHAnsi" w:hAnsiTheme="majorHAnsi" w:cs="Arial"/>
          <w:sz w:val="20"/>
          <w:szCs w:val="20"/>
          <w:lang w:val="es-PE"/>
        </w:rPr>
        <w:t xml:space="preserve"> conforme a la normativa vigente y a los estándares internacionales del sistema interamericano.</w:t>
      </w:r>
      <w:r w:rsidR="00704BB5" w:rsidRPr="00A44995">
        <w:rPr>
          <w:rFonts w:asciiTheme="majorHAnsi" w:hAnsiTheme="majorHAnsi" w:cs="Arial"/>
          <w:sz w:val="20"/>
          <w:szCs w:val="20"/>
          <w:lang w:val="es-PE"/>
        </w:rPr>
        <w:t xml:space="preserve"> </w:t>
      </w:r>
    </w:p>
    <w:p w14:paraId="725C3459" w14:textId="77777777" w:rsidR="00CD5A1C" w:rsidRPr="00A44995" w:rsidRDefault="00CD5A1C" w:rsidP="00CD5A1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cs="Arial"/>
          <w:sz w:val="20"/>
          <w:szCs w:val="20"/>
          <w:lang w:val="es-PE"/>
        </w:rPr>
      </w:pPr>
    </w:p>
    <w:p w14:paraId="565122B5" w14:textId="77777777" w:rsidR="00CD5A1C" w:rsidRPr="00A44995" w:rsidRDefault="00CD5A1C" w:rsidP="00CD5A1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cs="Arial"/>
          <w:sz w:val="20"/>
          <w:szCs w:val="20"/>
          <w:lang w:val="es-PE"/>
        </w:rPr>
      </w:pPr>
      <w:r w:rsidRPr="00A44995">
        <w:rPr>
          <w:rFonts w:asciiTheme="majorHAnsi" w:hAnsiTheme="majorHAnsi" w:cs="Arial"/>
          <w:sz w:val="20"/>
          <w:szCs w:val="20"/>
          <w:lang w:val="es-PE"/>
        </w:rPr>
        <w:t xml:space="preserve">Respecto de la normativa aplicable para los hechos del caso, indica que </w:t>
      </w:r>
      <w:r w:rsidR="00287826" w:rsidRPr="00A44995">
        <w:rPr>
          <w:rFonts w:asciiTheme="majorHAnsi" w:hAnsiTheme="majorHAnsi" w:cs="Arial"/>
          <w:sz w:val="20"/>
          <w:szCs w:val="20"/>
          <w:lang w:val="es-PE"/>
        </w:rPr>
        <w:t xml:space="preserve">de acuerdo </w:t>
      </w:r>
      <w:r w:rsidR="00320ADE" w:rsidRPr="00A44995">
        <w:rPr>
          <w:rFonts w:asciiTheme="majorHAnsi" w:hAnsiTheme="majorHAnsi" w:cs="Arial"/>
          <w:sz w:val="20"/>
          <w:szCs w:val="20"/>
          <w:lang w:val="es-PE"/>
        </w:rPr>
        <w:t>con</w:t>
      </w:r>
      <w:r w:rsidR="00287826" w:rsidRPr="00A44995">
        <w:rPr>
          <w:rFonts w:asciiTheme="majorHAnsi" w:hAnsiTheme="majorHAnsi" w:cs="Arial"/>
          <w:sz w:val="20"/>
          <w:szCs w:val="20"/>
          <w:lang w:val="es-PE"/>
        </w:rPr>
        <w:t xml:space="preserve"> información de la Fiscalía General de la República</w:t>
      </w:r>
      <w:r w:rsidR="00320ADE" w:rsidRPr="00A44995">
        <w:rPr>
          <w:rFonts w:asciiTheme="majorHAnsi" w:hAnsiTheme="majorHAnsi" w:cs="Arial"/>
          <w:sz w:val="20"/>
          <w:szCs w:val="20"/>
          <w:lang w:val="es-PE"/>
        </w:rPr>
        <w:t xml:space="preserve">, el proceso penal </w:t>
      </w:r>
      <w:r w:rsidRPr="00A44995">
        <w:rPr>
          <w:rFonts w:asciiTheme="majorHAnsi" w:hAnsiTheme="majorHAnsi" w:cs="Arial"/>
          <w:sz w:val="20"/>
          <w:szCs w:val="20"/>
          <w:lang w:val="es-PE"/>
        </w:rPr>
        <w:t xml:space="preserve">se siguió de acuerdo con la legislación que entró en vigor en 1973. Explica que “para ese entonces la normativa procesal penal contemplaba una limitada participación y derechos a las víctimas, lo que ya ha sido superado en la normativa procesal penal vigente”. Añade que debido a dicha normativa aplicable, </w:t>
      </w:r>
      <w:r w:rsidR="00833A7E" w:rsidRPr="00A44995">
        <w:rPr>
          <w:rFonts w:asciiTheme="majorHAnsi" w:hAnsiTheme="majorHAnsi" w:cs="Arial"/>
          <w:sz w:val="20"/>
          <w:szCs w:val="20"/>
          <w:lang w:val="es-PE"/>
        </w:rPr>
        <w:t xml:space="preserve">i) </w:t>
      </w:r>
      <w:r w:rsidR="00F366A0" w:rsidRPr="00A44995">
        <w:rPr>
          <w:rFonts w:asciiTheme="majorHAnsi" w:hAnsiTheme="majorHAnsi" w:cs="Arial"/>
          <w:sz w:val="20"/>
          <w:szCs w:val="20"/>
          <w:lang w:val="es-PE"/>
        </w:rPr>
        <w:t>la Fiscalía General de la República no dirigía la investigación del delito sino la autoridad judicial, que se ocupaba en forma oficiosa del impulso y dirección del proceso</w:t>
      </w:r>
      <w:r w:rsidR="00833A7E" w:rsidRPr="00A44995">
        <w:rPr>
          <w:rFonts w:asciiTheme="majorHAnsi" w:hAnsiTheme="majorHAnsi" w:cs="Arial"/>
          <w:sz w:val="20"/>
          <w:szCs w:val="20"/>
          <w:lang w:val="es-PE"/>
        </w:rPr>
        <w:t>; y ii) no se reconocía al señor Aguirre Magaña como testigo.</w:t>
      </w:r>
    </w:p>
    <w:p w14:paraId="01AD54A5" w14:textId="77777777" w:rsidR="00CD5A1C" w:rsidRPr="00A44995" w:rsidRDefault="00CD5A1C" w:rsidP="00CD5A1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cs="Arial"/>
          <w:sz w:val="20"/>
          <w:szCs w:val="20"/>
          <w:lang w:val="es-PE"/>
        </w:rPr>
      </w:pPr>
    </w:p>
    <w:p w14:paraId="7194FE14" w14:textId="77777777" w:rsidR="00833A7E" w:rsidRPr="00A44995" w:rsidRDefault="00F366A0" w:rsidP="00833A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cs="Arial"/>
          <w:sz w:val="20"/>
          <w:szCs w:val="20"/>
          <w:lang w:val="es-PE"/>
        </w:rPr>
      </w:pPr>
      <w:r w:rsidRPr="00A44995">
        <w:rPr>
          <w:rFonts w:asciiTheme="majorHAnsi" w:hAnsiTheme="majorHAnsi" w:cs="Arial"/>
          <w:sz w:val="20"/>
          <w:szCs w:val="20"/>
          <w:lang w:val="es-PE"/>
        </w:rPr>
        <w:t>El Salvador informa que se realizaron tres inspecciones</w:t>
      </w:r>
      <w:r w:rsidR="00D61662" w:rsidRPr="00A44995">
        <w:rPr>
          <w:rFonts w:asciiTheme="majorHAnsi" w:hAnsiTheme="majorHAnsi" w:cs="Arial"/>
          <w:sz w:val="20"/>
          <w:szCs w:val="20"/>
          <w:lang w:val="es-PE"/>
        </w:rPr>
        <w:t xml:space="preserve"> luego de ocurridos los hechos </w:t>
      </w:r>
      <w:r w:rsidRPr="00A44995">
        <w:rPr>
          <w:rFonts w:asciiTheme="majorHAnsi" w:hAnsiTheme="majorHAnsi" w:cs="Arial"/>
          <w:sz w:val="20"/>
          <w:szCs w:val="20"/>
          <w:lang w:val="es-PE"/>
        </w:rPr>
        <w:t xml:space="preserve">por </w:t>
      </w:r>
      <w:r w:rsidR="00A228FA" w:rsidRPr="00A44995">
        <w:rPr>
          <w:rFonts w:asciiTheme="majorHAnsi" w:hAnsiTheme="majorHAnsi" w:cs="Arial"/>
          <w:sz w:val="20"/>
          <w:szCs w:val="20"/>
          <w:lang w:val="es-PE"/>
        </w:rPr>
        <w:t xml:space="preserve">i) </w:t>
      </w:r>
      <w:r w:rsidRPr="00A44995">
        <w:rPr>
          <w:rFonts w:asciiTheme="majorHAnsi" w:hAnsiTheme="majorHAnsi" w:cs="Arial"/>
          <w:sz w:val="20"/>
          <w:szCs w:val="20"/>
          <w:lang w:val="es-PE"/>
        </w:rPr>
        <w:t>agentes policiales</w:t>
      </w:r>
      <w:r w:rsidR="00A228FA" w:rsidRPr="00A44995">
        <w:rPr>
          <w:rFonts w:asciiTheme="majorHAnsi" w:hAnsiTheme="majorHAnsi" w:cs="Arial"/>
          <w:sz w:val="20"/>
          <w:szCs w:val="20"/>
          <w:lang w:val="es-PE"/>
        </w:rPr>
        <w:t>; ii) el j</w:t>
      </w:r>
      <w:r w:rsidRPr="00A44995">
        <w:rPr>
          <w:rFonts w:asciiTheme="majorHAnsi" w:hAnsiTheme="majorHAnsi" w:cs="Arial"/>
          <w:sz w:val="20"/>
          <w:szCs w:val="20"/>
          <w:lang w:val="es-PE"/>
        </w:rPr>
        <w:t xml:space="preserve">uez de Paz de Ataco; y iii) </w:t>
      </w:r>
      <w:r w:rsidR="00A228FA" w:rsidRPr="00A44995">
        <w:rPr>
          <w:rFonts w:asciiTheme="majorHAnsi" w:hAnsiTheme="majorHAnsi" w:cs="Arial"/>
          <w:sz w:val="20"/>
          <w:szCs w:val="20"/>
          <w:lang w:val="es-PE"/>
        </w:rPr>
        <w:t xml:space="preserve">la jueza Primero de Paz de Ahuachapán. </w:t>
      </w:r>
      <w:bookmarkStart w:id="6" w:name="_Hlk57232468"/>
      <w:r w:rsidR="00833A7E" w:rsidRPr="00A44995">
        <w:rPr>
          <w:rFonts w:asciiTheme="majorHAnsi" w:hAnsiTheme="majorHAnsi" w:cs="Arial"/>
          <w:sz w:val="20"/>
          <w:szCs w:val="20"/>
          <w:lang w:val="es-PE"/>
        </w:rPr>
        <w:t xml:space="preserve">En relación con la participación de diversas autoridades judiciales en el proceso, el Estado manifiesta que </w:t>
      </w:r>
      <w:r w:rsidR="00A228FA" w:rsidRPr="00A44995">
        <w:rPr>
          <w:rFonts w:asciiTheme="majorHAnsi" w:hAnsiTheme="majorHAnsi" w:cs="Arial"/>
          <w:sz w:val="20"/>
          <w:szCs w:val="20"/>
          <w:lang w:val="es-PE"/>
        </w:rPr>
        <w:t>fue necesario dirimir la competencia judicial “por diversas excusas que fueron presentadas por los jueces del caso, lo que implicó tiempo para la emisión de las resoluciones respecti</w:t>
      </w:r>
      <w:r w:rsidR="00833A7E" w:rsidRPr="00A44995">
        <w:rPr>
          <w:rFonts w:asciiTheme="majorHAnsi" w:hAnsiTheme="majorHAnsi" w:cs="Arial"/>
          <w:sz w:val="20"/>
          <w:szCs w:val="20"/>
          <w:lang w:val="es-PE"/>
        </w:rPr>
        <w:t>vas”. Adicionalmente, alega que</w:t>
      </w:r>
      <w:r w:rsidR="00A228FA" w:rsidRPr="00A44995">
        <w:rPr>
          <w:rFonts w:asciiTheme="majorHAnsi" w:hAnsiTheme="majorHAnsi" w:cs="Arial"/>
          <w:sz w:val="20"/>
          <w:szCs w:val="20"/>
          <w:lang w:val="es-PE"/>
        </w:rPr>
        <w:t xml:space="preserve"> “en el transcurso del proceso, fueron presentados recursos por las partes, en su mayoría por la defensa, que también solicitó diligencias que buscaban sustentar la hipótesis de otros posibles autores y causas del hecho, hasta el punto de generar una dilación en el proceso”. </w:t>
      </w:r>
      <w:bookmarkEnd w:id="6"/>
    </w:p>
    <w:p w14:paraId="7BE431B0" w14:textId="77777777" w:rsidR="005D669B" w:rsidRPr="00A44995" w:rsidRDefault="005D669B" w:rsidP="007C30E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cs="Arial"/>
          <w:sz w:val="20"/>
          <w:szCs w:val="20"/>
          <w:lang w:val="es-PE"/>
        </w:rPr>
      </w:pPr>
    </w:p>
    <w:p w14:paraId="7C531768" w14:textId="77777777" w:rsidR="00833A7E" w:rsidRPr="00A44995" w:rsidRDefault="00833A7E" w:rsidP="00833A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cs="Arial"/>
          <w:sz w:val="20"/>
          <w:szCs w:val="20"/>
          <w:lang w:val="es-PE"/>
        </w:rPr>
      </w:pPr>
      <w:r w:rsidRPr="00A44995">
        <w:rPr>
          <w:rFonts w:asciiTheme="majorHAnsi" w:hAnsiTheme="majorHAnsi" w:cs="Arial"/>
          <w:sz w:val="20"/>
          <w:szCs w:val="20"/>
          <w:lang w:val="es-PE"/>
        </w:rPr>
        <w:t xml:space="preserve">Respecto de la realización de diligencias, </w:t>
      </w:r>
      <w:r w:rsidR="00595BFF" w:rsidRPr="00A44995">
        <w:rPr>
          <w:rFonts w:asciiTheme="majorHAnsi" w:hAnsiTheme="majorHAnsi" w:cs="Arial"/>
          <w:sz w:val="20"/>
          <w:szCs w:val="20"/>
          <w:lang w:val="es-PE"/>
        </w:rPr>
        <w:t>El Salvador indica que el Ministerio Público formuló peticiones de entrevistas a la víctima, testigos e inspecciones. E</w:t>
      </w:r>
      <w:r w:rsidRPr="00A44995">
        <w:rPr>
          <w:rFonts w:asciiTheme="majorHAnsi" w:hAnsiTheme="majorHAnsi" w:cs="Arial"/>
          <w:sz w:val="20"/>
          <w:szCs w:val="20"/>
          <w:lang w:val="es-PE"/>
        </w:rPr>
        <w:t xml:space="preserve">l Estado resalta que el vehículo donde ocurrieron los hechos se incendió como consecuencia de la explosión en su interior. Señala que ello no permitió recolectar evidencias que ayudaran al esclarecimiento del hecho, generando que los peritajes realizados por los técnicos con vista de fotografía difirieran en sus conclusiones. Explica que los peritajes tuvieron dos hipótesis y que ninguna pudo ser confirmada: i) que el artefacto explosivo estalló desde el interior del vehículo y </w:t>
      </w:r>
      <w:r w:rsidRPr="00A44995">
        <w:rPr>
          <w:rFonts w:asciiTheme="majorHAnsi" w:hAnsiTheme="majorHAnsi"/>
          <w:color w:val="000000" w:themeColor="text1"/>
          <w:sz w:val="20"/>
          <w:szCs w:val="20"/>
          <w:lang w:val="es-PE"/>
        </w:rPr>
        <w:t xml:space="preserve">era transportado por </w:t>
      </w:r>
      <w:r w:rsidR="00D61662" w:rsidRPr="00A44995">
        <w:rPr>
          <w:rFonts w:ascii="Cambria" w:hAnsi="Cambria" w:cs="Cambria"/>
          <w:color w:val="000000"/>
          <w:sz w:val="20"/>
          <w:szCs w:val="20"/>
          <w:lang w:val="es-PE" w:eastAsia="es-ES"/>
        </w:rPr>
        <w:t>el Juez de Paz de Villa Apaneca</w:t>
      </w:r>
      <w:r w:rsidRPr="00A44995">
        <w:rPr>
          <w:rFonts w:asciiTheme="majorHAnsi" w:hAnsiTheme="majorHAnsi"/>
          <w:color w:val="000000" w:themeColor="text1"/>
          <w:sz w:val="20"/>
          <w:szCs w:val="20"/>
          <w:lang w:val="es-PE"/>
        </w:rPr>
        <w:t xml:space="preserve">; y ii) que </w:t>
      </w:r>
      <w:r w:rsidRPr="00A44995">
        <w:rPr>
          <w:rFonts w:asciiTheme="majorHAnsi" w:hAnsiTheme="majorHAnsi" w:cs="Arial"/>
          <w:sz w:val="20"/>
          <w:szCs w:val="20"/>
          <w:lang w:val="es-PE"/>
        </w:rPr>
        <w:t>el artefacto explosivo fue lanzado desde afuera y explotó en el interior del vehículo.</w:t>
      </w:r>
    </w:p>
    <w:p w14:paraId="1AB5F555" w14:textId="77777777" w:rsidR="00833A7E" w:rsidRPr="00A44995" w:rsidRDefault="00833A7E" w:rsidP="00833A7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cs="Arial"/>
          <w:sz w:val="20"/>
          <w:szCs w:val="20"/>
          <w:lang w:val="es-PE"/>
        </w:rPr>
      </w:pPr>
    </w:p>
    <w:p w14:paraId="51917DCB" w14:textId="77777777" w:rsidR="00833A7E" w:rsidRPr="00A44995" w:rsidRDefault="00833A7E" w:rsidP="00833A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cs="Arial"/>
          <w:sz w:val="20"/>
          <w:szCs w:val="20"/>
          <w:lang w:val="es-PE"/>
        </w:rPr>
      </w:pPr>
      <w:r w:rsidRPr="00A44995">
        <w:rPr>
          <w:rFonts w:asciiTheme="majorHAnsi" w:hAnsiTheme="majorHAnsi" w:cs="Arial"/>
          <w:sz w:val="20"/>
          <w:szCs w:val="20"/>
          <w:lang w:val="es-PE"/>
        </w:rPr>
        <w:t xml:space="preserve">También sostiene que </w:t>
      </w:r>
      <w:r w:rsidRPr="00A44995">
        <w:rPr>
          <w:rFonts w:asciiTheme="majorHAnsi" w:hAnsiTheme="majorHAnsi"/>
          <w:color w:val="000000" w:themeColor="text1"/>
          <w:sz w:val="20"/>
          <w:szCs w:val="20"/>
          <w:lang w:val="es-PE"/>
        </w:rPr>
        <w:t xml:space="preserve">los únicos testigos directos del hecho fueron aquellas personas que se encontraban al interior del vehículo. Remarca que el señor </w:t>
      </w:r>
      <w:r w:rsidR="00D61662" w:rsidRPr="00A44995">
        <w:rPr>
          <w:rFonts w:asciiTheme="majorHAnsi" w:hAnsiTheme="majorHAnsi"/>
          <w:color w:val="000000" w:themeColor="text1"/>
          <w:sz w:val="20"/>
          <w:szCs w:val="20"/>
          <w:lang w:val="es-PE"/>
        </w:rPr>
        <w:t xml:space="preserve">Francisco Reynaldo </w:t>
      </w:r>
      <w:r w:rsidRPr="00A44995">
        <w:rPr>
          <w:rFonts w:asciiTheme="majorHAnsi" w:hAnsiTheme="majorHAnsi"/>
          <w:color w:val="000000" w:themeColor="text1"/>
          <w:sz w:val="20"/>
          <w:szCs w:val="20"/>
          <w:lang w:val="es-PE"/>
        </w:rPr>
        <w:t>Castillo, conductor</w:t>
      </w:r>
      <w:r w:rsidR="00D61662" w:rsidRPr="00A44995">
        <w:rPr>
          <w:rFonts w:asciiTheme="majorHAnsi" w:hAnsiTheme="majorHAnsi"/>
          <w:color w:val="000000" w:themeColor="text1"/>
          <w:sz w:val="20"/>
          <w:szCs w:val="20"/>
          <w:lang w:val="es-PE"/>
        </w:rPr>
        <w:t xml:space="preserve"> y dueño</w:t>
      </w:r>
      <w:r w:rsidRPr="00A44995">
        <w:rPr>
          <w:rFonts w:asciiTheme="majorHAnsi" w:hAnsiTheme="majorHAnsi"/>
          <w:color w:val="000000" w:themeColor="text1"/>
          <w:sz w:val="20"/>
          <w:szCs w:val="20"/>
          <w:lang w:val="es-PE"/>
        </w:rPr>
        <w:t xml:space="preserve"> del vehículo, afirmó que se trató de un atentado. Señala que ello fue confirmado por el pasajero José Antonio Ruiz Vásquez. El Estado también señala que dicha información fue confirmada originalmente por el señor Aguirre Magaña, quien “un año más tarde expresó una versión diferente de los hechos”.</w:t>
      </w:r>
    </w:p>
    <w:p w14:paraId="5593AC43" w14:textId="77777777" w:rsidR="00833A7E" w:rsidRPr="00A44995" w:rsidRDefault="00833A7E" w:rsidP="007C30E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cs="Arial"/>
          <w:sz w:val="20"/>
          <w:szCs w:val="20"/>
          <w:lang w:val="es-PE"/>
        </w:rPr>
      </w:pPr>
    </w:p>
    <w:p w14:paraId="1D44662D" w14:textId="77777777" w:rsidR="00595BFF" w:rsidRPr="00A44995" w:rsidRDefault="009360F6" w:rsidP="00AE293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cs="Arial"/>
          <w:sz w:val="20"/>
          <w:szCs w:val="20"/>
          <w:lang w:val="es-PE"/>
        </w:rPr>
      </w:pPr>
      <w:r w:rsidRPr="00A44995">
        <w:rPr>
          <w:rFonts w:asciiTheme="majorHAnsi" w:hAnsiTheme="majorHAnsi" w:cs="Arial"/>
          <w:sz w:val="20"/>
          <w:szCs w:val="20"/>
          <w:lang w:val="es-PE"/>
        </w:rPr>
        <w:t xml:space="preserve">El Estado </w:t>
      </w:r>
      <w:r w:rsidR="00AE293C" w:rsidRPr="00A44995">
        <w:rPr>
          <w:rFonts w:asciiTheme="majorHAnsi" w:hAnsiTheme="majorHAnsi" w:cs="Arial"/>
          <w:sz w:val="20"/>
          <w:szCs w:val="20"/>
          <w:lang w:val="es-PE"/>
        </w:rPr>
        <w:t>explica que</w:t>
      </w:r>
      <w:r w:rsidR="00833A7E" w:rsidRPr="00A44995">
        <w:rPr>
          <w:rFonts w:asciiTheme="majorHAnsi" w:hAnsiTheme="majorHAnsi" w:cs="Arial"/>
          <w:sz w:val="20"/>
          <w:szCs w:val="20"/>
          <w:lang w:val="es-PE"/>
        </w:rPr>
        <w:t>, debido a lo señalado previamente, no hubo certeza para determinar la responsabilidad del señor Castillo por lo que se emitió un</w:t>
      </w:r>
      <w:r w:rsidR="00AE293C" w:rsidRPr="00A44995">
        <w:rPr>
          <w:rFonts w:asciiTheme="majorHAnsi" w:hAnsiTheme="majorHAnsi" w:cs="Arial"/>
          <w:sz w:val="20"/>
          <w:szCs w:val="20"/>
          <w:lang w:val="es-PE"/>
        </w:rPr>
        <w:t xml:space="preserve"> sobreseimiento provisional</w:t>
      </w:r>
      <w:r w:rsidR="00833A7E" w:rsidRPr="00A44995">
        <w:rPr>
          <w:rFonts w:asciiTheme="majorHAnsi" w:hAnsiTheme="majorHAnsi" w:cs="Arial"/>
          <w:sz w:val="20"/>
          <w:szCs w:val="20"/>
          <w:lang w:val="es-PE"/>
        </w:rPr>
        <w:t xml:space="preserve"> a su favor</w:t>
      </w:r>
      <w:r w:rsidR="00AE293C" w:rsidRPr="00A44995">
        <w:rPr>
          <w:rFonts w:asciiTheme="majorHAnsi" w:hAnsiTheme="majorHAnsi" w:cs="Arial"/>
          <w:sz w:val="20"/>
          <w:szCs w:val="20"/>
          <w:lang w:val="es-PE"/>
        </w:rPr>
        <w:t xml:space="preserve">. </w:t>
      </w:r>
      <w:r w:rsidR="00833A7E" w:rsidRPr="00A44995">
        <w:rPr>
          <w:rFonts w:asciiTheme="majorHAnsi" w:hAnsiTheme="majorHAnsi" w:cs="Arial"/>
          <w:sz w:val="20"/>
          <w:szCs w:val="20"/>
          <w:lang w:val="es-PE"/>
        </w:rPr>
        <w:t>Informa que ello implicó</w:t>
      </w:r>
      <w:r w:rsidR="00AE293C" w:rsidRPr="00A44995">
        <w:rPr>
          <w:rFonts w:asciiTheme="majorHAnsi" w:hAnsiTheme="majorHAnsi" w:cs="Arial"/>
          <w:sz w:val="20"/>
          <w:szCs w:val="20"/>
          <w:lang w:val="es-PE"/>
        </w:rPr>
        <w:t xml:space="preserve"> que </w:t>
      </w:r>
      <w:r w:rsidR="00833A7E" w:rsidRPr="00A44995">
        <w:rPr>
          <w:rFonts w:asciiTheme="majorHAnsi" w:hAnsiTheme="majorHAnsi" w:cs="Arial"/>
          <w:sz w:val="20"/>
          <w:szCs w:val="20"/>
          <w:lang w:val="es-PE"/>
        </w:rPr>
        <w:t xml:space="preserve">el proceso </w:t>
      </w:r>
      <w:r w:rsidR="00AE293C" w:rsidRPr="00A44995">
        <w:rPr>
          <w:rFonts w:asciiTheme="majorHAnsi" w:hAnsiTheme="majorHAnsi" w:cs="Arial"/>
          <w:sz w:val="20"/>
          <w:szCs w:val="20"/>
          <w:lang w:val="es-PE"/>
        </w:rPr>
        <w:t xml:space="preserve">se encontraba suspendido por un plazo, a efectos de la incorporación de nuevos </w:t>
      </w:r>
      <w:r w:rsidR="00AE293C" w:rsidRPr="00A44995">
        <w:rPr>
          <w:rFonts w:asciiTheme="majorHAnsi" w:hAnsiTheme="majorHAnsi" w:cs="Arial"/>
          <w:sz w:val="20"/>
          <w:szCs w:val="20"/>
          <w:lang w:val="es-PE"/>
        </w:rPr>
        <w:lastRenderedPageBreak/>
        <w:t>datos o elementos de prueba que permitan realizar la acusación. Agrega que</w:t>
      </w:r>
      <w:r w:rsidR="00595BFF" w:rsidRPr="00A44995">
        <w:rPr>
          <w:rFonts w:asciiTheme="majorHAnsi" w:hAnsiTheme="majorHAnsi" w:cs="Arial"/>
          <w:sz w:val="20"/>
          <w:szCs w:val="20"/>
          <w:lang w:val="es-PE"/>
        </w:rPr>
        <w:t>, debido al fallecimien</w:t>
      </w:r>
      <w:r w:rsidR="00D61662" w:rsidRPr="00A44995">
        <w:rPr>
          <w:rFonts w:asciiTheme="majorHAnsi" w:hAnsiTheme="majorHAnsi" w:cs="Arial"/>
          <w:sz w:val="20"/>
          <w:szCs w:val="20"/>
          <w:lang w:val="es-PE"/>
        </w:rPr>
        <w:t>to del señor Ruiz como testigo</w:t>
      </w:r>
      <w:r w:rsidR="00595BFF" w:rsidRPr="00A44995">
        <w:rPr>
          <w:rFonts w:asciiTheme="majorHAnsi" w:hAnsiTheme="majorHAnsi" w:cs="Arial"/>
          <w:sz w:val="20"/>
          <w:szCs w:val="20"/>
          <w:lang w:val="es-PE"/>
        </w:rPr>
        <w:t xml:space="preserve"> y la falta de nueva evidencia, se confirmó el sobreseimiento a favor del señor Castillo. </w:t>
      </w:r>
    </w:p>
    <w:p w14:paraId="64108C09" w14:textId="77777777" w:rsidR="008C7D46" w:rsidRPr="00A44995" w:rsidRDefault="008C7D46" w:rsidP="008C7D46">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sz w:val="20"/>
          <w:szCs w:val="20"/>
          <w:bdr w:val="none" w:sz="0" w:space="0" w:color="auto"/>
          <w:lang w:val="es-PE"/>
        </w:rPr>
      </w:pPr>
    </w:p>
    <w:p w14:paraId="69D91E3E" w14:textId="77777777" w:rsidR="00D12193" w:rsidRPr="00A44995" w:rsidRDefault="00D12193" w:rsidP="00B44A04">
      <w:pPr>
        <w:pStyle w:val="Heading1"/>
        <w:tabs>
          <w:tab w:val="left" w:pos="360"/>
        </w:tabs>
        <w:ind w:left="720" w:hanging="720"/>
        <w:rPr>
          <w:lang w:val="es-PE"/>
        </w:rPr>
      </w:pPr>
      <w:bookmarkStart w:id="7" w:name="_Toc473195954"/>
      <w:r w:rsidRPr="00A44995">
        <w:rPr>
          <w:lang w:val="es-PE"/>
        </w:rPr>
        <w:t>DETERMINACIONES DE HECHO</w:t>
      </w:r>
      <w:bookmarkEnd w:id="7"/>
      <w:r w:rsidR="008A078F" w:rsidRPr="00A44995">
        <w:rPr>
          <w:lang w:val="es-PE"/>
        </w:rPr>
        <w:t xml:space="preserve"> </w:t>
      </w:r>
    </w:p>
    <w:p w14:paraId="496A1CB8" w14:textId="77777777" w:rsidR="007C756A" w:rsidRPr="00A44995" w:rsidRDefault="007C756A" w:rsidP="00B44A04">
      <w:pPr>
        <w:tabs>
          <w:tab w:val="left" w:pos="360"/>
        </w:tabs>
        <w:rPr>
          <w:rFonts w:asciiTheme="majorHAnsi" w:hAnsiTheme="majorHAnsi"/>
          <w:b/>
          <w:sz w:val="20"/>
          <w:szCs w:val="20"/>
          <w:lang w:val="es-PE"/>
        </w:rPr>
      </w:pPr>
    </w:p>
    <w:p w14:paraId="06DCA3C7" w14:textId="77777777" w:rsidR="005B6346" w:rsidRPr="00A44995" w:rsidRDefault="005B6346" w:rsidP="007C6D32">
      <w:pPr>
        <w:pStyle w:val="Heading2"/>
        <w:numPr>
          <w:ilvl w:val="0"/>
          <w:numId w:val="58"/>
        </w:numPr>
        <w:tabs>
          <w:tab w:val="left" w:pos="360"/>
        </w:tabs>
        <w:ind w:hanging="630"/>
        <w:rPr>
          <w:bCs/>
          <w:iCs/>
          <w:lang w:val="es-PE"/>
        </w:rPr>
      </w:pPr>
      <w:bookmarkStart w:id="8" w:name="_Toc473195955"/>
      <w:r w:rsidRPr="00A44995">
        <w:rPr>
          <w:bCs/>
          <w:iCs/>
          <w:lang w:val="es-PE"/>
        </w:rPr>
        <w:t xml:space="preserve">Sobre </w:t>
      </w:r>
      <w:r w:rsidR="00D774CD" w:rsidRPr="00A44995">
        <w:rPr>
          <w:bCs/>
          <w:iCs/>
          <w:lang w:val="es-PE"/>
        </w:rPr>
        <w:t>lo sucedido el 13 de noviembre de 1993</w:t>
      </w:r>
      <w:bookmarkEnd w:id="8"/>
    </w:p>
    <w:p w14:paraId="5983B01B" w14:textId="77777777" w:rsidR="005B6346" w:rsidRPr="00A44995" w:rsidRDefault="005B6346" w:rsidP="005B6346">
      <w:pPr>
        <w:rPr>
          <w:lang w:val="es-PE" w:eastAsia="es-ES"/>
        </w:rPr>
      </w:pPr>
    </w:p>
    <w:p w14:paraId="2C07D919" w14:textId="77777777" w:rsidR="0064228D" w:rsidRPr="00A44995" w:rsidRDefault="0064228D" w:rsidP="00773736">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s="Calibri"/>
          <w:sz w:val="20"/>
          <w:szCs w:val="20"/>
          <w:lang w:val="es-PE"/>
        </w:rPr>
      </w:pPr>
      <w:r w:rsidRPr="00A44995">
        <w:rPr>
          <w:rFonts w:asciiTheme="majorHAnsi" w:hAnsiTheme="majorHAnsi" w:cs="Calibri"/>
          <w:sz w:val="20"/>
          <w:szCs w:val="20"/>
          <w:lang w:val="es-PE"/>
        </w:rPr>
        <w:t>La Comisión toma nota de que los siguientes hechos no se encuentran en controversia entre las partes y que fueron reconocidos por las autoridades judiciales en el proceso penal del presente caso:</w:t>
      </w:r>
    </w:p>
    <w:p w14:paraId="44204D07" w14:textId="77777777" w:rsidR="0064228D" w:rsidRPr="00A44995" w:rsidRDefault="0064228D" w:rsidP="0064228D">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s="Calibri"/>
          <w:sz w:val="20"/>
          <w:szCs w:val="20"/>
          <w:lang w:val="es-PE"/>
        </w:rPr>
      </w:pPr>
    </w:p>
    <w:p w14:paraId="2637E12F" w14:textId="77777777" w:rsidR="0064228D" w:rsidRPr="00A44995" w:rsidRDefault="0064228D" w:rsidP="007C6D32">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720"/>
        <w:jc w:val="both"/>
        <w:rPr>
          <w:rFonts w:asciiTheme="majorHAnsi" w:hAnsiTheme="majorHAnsi" w:cs="Calibri"/>
          <w:sz w:val="18"/>
          <w:szCs w:val="18"/>
          <w:lang w:val="es-PE"/>
        </w:rPr>
      </w:pPr>
      <w:r w:rsidRPr="00A44995">
        <w:rPr>
          <w:rFonts w:asciiTheme="majorHAnsi" w:hAnsiTheme="majorHAnsi" w:cs="Calibri"/>
          <w:sz w:val="18"/>
          <w:szCs w:val="18"/>
          <w:lang w:val="es-PE"/>
        </w:rPr>
        <w:t>En la época de los hechos Miguel Ángel Aguirre Magaña tenía cincuenta y tres años, y se desempeñaba como funcionario judicial</w:t>
      </w:r>
      <w:r w:rsidR="006A628E" w:rsidRPr="00A44995">
        <w:rPr>
          <w:rFonts w:asciiTheme="majorHAnsi" w:hAnsiTheme="majorHAnsi" w:cs="Calibri"/>
          <w:sz w:val="18"/>
          <w:szCs w:val="18"/>
          <w:lang w:val="es-PE"/>
        </w:rPr>
        <w:t xml:space="preserve"> en</w:t>
      </w:r>
      <w:r w:rsidR="00305051" w:rsidRPr="00A44995">
        <w:rPr>
          <w:rFonts w:asciiTheme="majorHAnsi" w:hAnsiTheme="majorHAnsi" w:cs="Calibri"/>
          <w:sz w:val="18"/>
          <w:szCs w:val="18"/>
          <w:lang w:val="es-PE"/>
        </w:rPr>
        <w:t xml:space="preserve"> Villa de Apaneca</w:t>
      </w:r>
      <w:r w:rsidRPr="00A44995">
        <w:rPr>
          <w:rFonts w:asciiTheme="majorHAnsi" w:hAnsiTheme="majorHAnsi" w:cs="Calibri"/>
          <w:sz w:val="18"/>
          <w:szCs w:val="18"/>
          <w:lang w:val="es-PE"/>
        </w:rPr>
        <w:t>.</w:t>
      </w:r>
    </w:p>
    <w:p w14:paraId="48C6812B" w14:textId="77777777" w:rsidR="0064228D" w:rsidRPr="00A44995" w:rsidRDefault="002C4C1B" w:rsidP="007C6D32">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720"/>
        <w:jc w:val="both"/>
        <w:rPr>
          <w:rFonts w:asciiTheme="majorHAnsi" w:hAnsiTheme="majorHAnsi"/>
          <w:color w:val="000000" w:themeColor="text1"/>
          <w:sz w:val="18"/>
          <w:szCs w:val="18"/>
          <w:lang w:val="es-PE"/>
        </w:rPr>
      </w:pPr>
      <w:r w:rsidRPr="00A44995">
        <w:rPr>
          <w:rFonts w:asciiTheme="majorHAnsi" w:hAnsiTheme="majorHAnsi" w:cs="Calibri"/>
          <w:sz w:val="18"/>
          <w:szCs w:val="18"/>
          <w:lang w:val="es-PE"/>
        </w:rPr>
        <w:t>E</w:t>
      </w:r>
      <w:r w:rsidR="0064228D" w:rsidRPr="00A44995">
        <w:rPr>
          <w:rFonts w:asciiTheme="majorHAnsi" w:hAnsiTheme="majorHAnsi" w:cs="Calibri"/>
          <w:sz w:val="18"/>
          <w:szCs w:val="18"/>
          <w:lang w:val="es-PE"/>
        </w:rPr>
        <w:t xml:space="preserve">l </w:t>
      </w:r>
      <w:r w:rsidR="00690D10" w:rsidRPr="00A44995">
        <w:rPr>
          <w:rFonts w:asciiTheme="majorHAnsi" w:hAnsiTheme="majorHAnsi" w:cs="Calibri"/>
          <w:sz w:val="18"/>
          <w:szCs w:val="18"/>
          <w:lang w:val="es-PE"/>
        </w:rPr>
        <w:t>13 de noviembre de 1993 el señor Aguirre se desplazó en un vehículo junto con Francisco Reynaldo Castillo Borja</w:t>
      </w:r>
      <w:r w:rsidR="0064228D" w:rsidRPr="00A44995">
        <w:rPr>
          <w:rFonts w:asciiTheme="majorHAnsi" w:hAnsiTheme="majorHAnsi" w:cs="Calibri"/>
          <w:sz w:val="18"/>
          <w:szCs w:val="18"/>
          <w:lang w:val="es-PE"/>
        </w:rPr>
        <w:t xml:space="preserve">, Juez de Paz </w:t>
      </w:r>
      <w:r w:rsidR="00752540" w:rsidRPr="00A44995">
        <w:rPr>
          <w:rFonts w:asciiTheme="majorHAnsi" w:hAnsiTheme="majorHAnsi" w:cs="Calibri"/>
          <w:sz w:val="18"/>
          <w:szCs w:val="18"/>
          <w:lang w:val="es-PE"/>
        </w:rPr>
        <w:t xml:space="preserve">de </w:t>
      </w:r>
      <w:r w:rsidR="0064228D" w:rsidRPr="00A44995">
        <w:rPr>
          <w:rFonts w:asciiTheme="majorHAnsi" w:hAnsiTheme="majorHAnsi" w:cs="Calibri"/>
          <w:sz w:val="18"/>
          <w:szCs w:val="18"/>
          <w:lang w:val="es-PE"/>
        </w:rPr>
        <w:t xml:space="preserve">Villa de Apaneca, </w:t>
      </w:r>
      <w:r w:rsidR="00690D10" w:rsidRPr="00A44995">
        <w:rPr>
          <w:rFonts w:asciiTheme="majorHAnsi" w:hAnsiTheme="majorHAnsi" w:cs="Calibri"/>
          <w:sz w:val="18"/>
          <w:szCs w:val="18"/>
          <w:lang w:val="es-PE"/>
        </w:rPr>
        <w:t xml:space="preserve">y </w:t>
      </w:r>
      <w:r w:rsidR="00690D10" w:rsidRPr="00A44995">
        <w:rPr>
          <w:rFonts w:asciiTheme="majorHAnsi" w:hAnsiTheme="majorHAnsi"/>
          <w:color w:val="000000" w:themeColor="text1"/>
          <w:sz w:val="18"/>
          <w:szCs w:val="18"/>
          <w:lang w:val="es-PE"/>
        </w:rPr>
        <w:t>José Antonio Ruiz Vásquez, secretario judicial, a efectos de realizar una diligencia judicial</w:t>
      </w:r>
      <w:r w:rsidR="00CC30EC" w:rsidRPr="00A44995">
        <w:rPr>
          <w:rFonts w:asciiTheme="majorHAnsi" w:hAnsiTheme="majorHAnsi"/>
          <w:color w:val="000000" w:themeColor="text1"/>
          <w:sz w:val="18"/>
          <w:szCs w:val="18"/>
          <w:lang w:val="es-PE"/>
        </w:rPr>
        <w:t xml:space="preserve"> en </w:t>
      </w:r>
      <w:r w:rsidR="00CC30EC" w:rsidRPr="00A44995">
        <w:rPr>
          <w:rFonts w:asciiTheme="majorHAnsi" w:hAnsiTheme="majorHAnsi" w:cs="Calibri"/>
          <w:sz w:val="18"/>
          <w:szCs w:val="18"/>
          <w:lang w:val="es-PE"/>
        </w:rPr>
        <w:t>Villa Concepción de Ataco</w:t>
      </w:r>
      <w:r w:rsidR="00690D10" w:rsidRPr="00A44995">
        <w:rPr>
          <w:rFonts w:asciiTheme="majorHAnsi" w:hAnsiTheme="majorHAnsi"/>
          <w:color w:val="000000" w:themeColor="text1"/>
          <w:sz w:val="18"/>
          <w:szCs w:val="18"/>
          <w:lang w:val="es-PE"/>
        </w:rPr>
        <w:t xml:space="preserve">. </w:t>
      </w:r>
      <w:r w:rsidR="0064228D" w:rsidRPr="00A44995">
        <w:rPr>
          <w:rFonts w:asciiTheme="majorHAnsi" w:hAnsiTheme="majorHAnsi"/>
          <w:color w:val="000000" w:themeColor="text1"/>
          <w:sz w:val="18"/>
          <w:szCs w:val="18"/>
          <w:lang w:val="es-PE"/>
        </w:rPr>
        <w:t>El señor Castillo era el propietario y conductor del ve</w:t>
      </w:r>
      <w:r w:rsidR="0064228D" w:rsidRPr="00A44995">
        <w:rPr>
          <w:rFonts w:asciiTheme="majorHAnsi" w:hAnsiTheme="majorHAnsi" w:cs="Calibri"/>
          <w:sz w:val="18"/>
          <w:szCs w:val="18"/>
          <w:lang w:val="es-PE"/>
        </w:rPr>
        <w:t>hículo.</w:t>
      </w:r>
    </w:p>
    <w:p w14:paraId="02563833" w14:textId="77777777" w:rsidR="009317D8" w:rsidRPr="00A44995" w:rsidRDefault="00690D10" w:rsidP="007C6D32">
      <w:pPr>
        <w:pStyle w:val="BodyTextInden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720"/>
        <w:jc w:val="both"/>
        <w:rPr>
          <w:rFonts w:asciiTheme="majorHAnsi" w:hAnsiTheme="majorHAnsi"/>
          <w:sz w:val="18"/>
          <w:szCs w:val="18"/>
          <w:lang w:val="es-PE"/>
        </w:rPr>
      </w:pPr>
      <w:r w:rsidRPr="00A44995">
        <w:rPr>
          <w:rFonts w:asciiTheme="majorHAnsi" w:hAnsiTheme="majorHAnsi"/>
          <w:sz w:val="18"/>
          <w:szCs w:val="18"/>
          <w:lang w:val="es-PE"/>
        </w:rPr>
        <w:t xml:space="preserve">Durante el trayecto hacia la </w:t>
      </w:r>
      <w:r w:rsidR="00795AA1" w:rsidRPr="00A44995">
        <w:rPr>
          <w:rFonts w:asciiTheme="majorHAnsi" w:hAnsiTheme="majorHAnsi"/>
          <w:sz w:val="18"/>
          <w:szCs w:val="18"/>
          <w:lang w:val="es-PE"/>
        </w:rPr>
        <w:t xml:space="preserve">referida </w:t>
      </w:r>
      <w:r w:rsidRPr="00A44995">
        <w:rPr>
          <w:rFonts w:asciiTheme="majorHAnsi" w:hAnsiTheme="majorHAnsi"/>
          <w:sz w:val="18"/>
          <w:szCs w:val="18"/>
          <w:lang w:val="es-PE"/>
        </w:rPr>
        <w:t>diligencia</w:t>
      </w:r>
      <w:r w:rsidR="00BA4557" w:rsidRPr="00A44995">
        <w:rPr>
          <w:rFonts w:asciiTheme="majorHAnsi" w:hAnsiTheme="majorHAnsi"/>
          <w:sz w:val="18"/>
          <w:szCs w:val="18"/>
          <w:lang w:val="es-PE"/>
        </w:rPr>
        <w:t xml:space="preserve">, sobre la carretera de la Villa </w:t>
      </w:r>
      <w:r w:rsidR="00305051" w:rsidRPr="00A44995">
        <w:rPr>
          <w:rFonts w:asciiTheme="majorHAnsi" w:hAnsiTheme="majorHAnsi"/>
          <w:sz w:val="18"/>
          <w:szCs w:val="18"/>
          <w:lang w:val="es-PE"/>
        </w:rPr>
        <w:t xml:space="preserve">de </w:t>
      </w:r>
      <w:r w:rsidR="00BA4557" w:rsidRPr="00A44995">
        <w:rPr>
          <w:rFonts w:asciiTheme="majorHAnsi" w:hAnsiTheme="majorHAnsi"/>
          <w:sz w:val="18"/>
          <w:szCs w:val="18"/>
          <w:lang w:val="es-PE"/>
        </w:rPr>
        <w:t>Apaneca, dirección hacia la ciudad de Ahuachapán,</w:t>
      </w:r>
      <w:r w:rsidRPr="00A44995">
        <w:rPr>
          <w:rFonts w:asciiTheme="majorHAnsi" w:hAnsiTheme="majorHAnsi"/>
          <w:sz w:val="18"/>
          <w:szCs w:val="18"/>
          <w:lang w:val="es-PE"/>
        </w:rPr>
        <w:t xml:space="preserve"> se produjo una explosión</w:t>
      </w:r>
      <w:r w:rsidR="00E41134" w:rsidRPr="00A44995">
        <w:rPr>
          <w:rFonts w:asciiTheme="majorHAnsi" w:hAnsiTheme="majorHAnsi"/>
          <w:sz w:val="18"/>
          <w:szCs w:val="18"/>
          <w:lang w:val="es-PE"/>
        </w:rPr>
        <w:t xml:space="preserve"> de un artefacto</w:t>
      </w:r>
      <w:r w:rsidR="00961A91" w:rsidRPr="00A44995">
        <w:rPr>
          <w:rFonts w:asciiTheme="majorHAnsi" w:hAnsiTheme="majorHAnsi"/>
          <w:sz w:val="18"/>
          <w:szCs w:val="18"/>
          <w:lang w:val="es-PE"/>
        </w:rPr>
        <w:t xml:space="preserve"> dentro del vehículo donde se encontraban las tres personas</w:t>
      </w:r>
      <w:r w:rsidR="009317D8" w:rsidRPr="00A44995">
        <w:rPr>
          <w:rStyle w:val="FootnoteReference"/>
          <w:rFonts w:asciiTheme="majorHAnsi" w:hAnsiTheme="majorHAnsi"/>
          <w:sz w:val="18"/>
          <w:szCs w:val="18"/>
          <w:lang w:val="es-PE"/>
        </w:rPr>
        <w:footnoteReference w:id="3"/>
      </w:r>
      <w:r w:rsidR="009317D8" w:rsidRPr="00A44995">
        <w:rPr>
          <w:rFonts w:asciiTheme="majorHAnsi" w:hAnsiTheme="majorHAnsi"/>
          <w:sz w:val="18"/>
          <w:szCs w:val="18"/>
          <w:lang w:val="es-PE"/>
        </w:rPr>
        <w:t>.</w:t>
      </w:r>
    </w:p>
    <w:p w14:paraId="40B6AD62" w14:textId="77777777" w:rsidR="006A628E" w:rsidRPr="00A44995" w:rsidRDefault="006A628E" w:rsidP="006A628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720"/>
        <w:jc w:val="both"/>
        <w:rPr>
          <w:rFonts w:asciiTheme="majorHAnsi" w:hAnsiTheme="majorHAnsi"/>
          <w:sz w:val="18"/>
          <w:szCs w:val="18"/>
          <w:lang w:val="es-PE"/>
        </w:rPr>
      </w:pPr>
    </w:p>
    <w:p w14:paraId="3B264C91" w14:textId="77777777" w:rsidR="00366DFD" w:rsidRPr="00A44995" w:rsidRDefault="00CC30EC" w:rsidP="00366DFD">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s="Calibri"/>
          <w:sz w:val="20"/>
          <w:szCs w:val="20"/>
          <w:lang w:val="es-PE"/>
        </w:rPr>
      </w:pPr>
      <w:r w:rsidRPr="00A44995">
        <w:rPr>
          <w:rFonts w:ascii="Cambria" w:hAnsi="Cambria" w:cs="Calibri"/>
          <w:sz w:val="20"/>
          <w:szCs w:val="20"/>
          <w:lang w:val="es-PE"/>
        </w:rPr>
        <w:t xml:space="preserve">De acuerdo al testimonio del señor Aguirre, luego de la explosión, el señor Castillo se bajó del vehículo con una escopeta e indicó que “eran víctimas de un atentado”. Sostuvo que el señor Ruiz salió corriendo a dar parte a la policía. </w:t>
      </w:r>
      <w:r w:rsidR="004F3E3D" w:rsidRPr="00A44995">
        <w:rPr>
          <w:rFonts w:ascii="Cambria" w:hAnsi="Cambria" w:cs="Calibri"/>
          <w:sz w:val="20"/>
          <w:szCs w:val="20"/>
          <w:lang w:val="es-PE"/>
        </w:rPr>
        <w:t xml:space="preserve">Explicó que el auto se empezó a incendiar y que ninguna de las dos personas lo auxilió. El señor Aguirre manifestó que fue ayudado por una persona que se encontraba en la carretera y que lo llevó al </w:t>
      </w:r>
      <w:r w:rsidR="00305051" w:rsidRPr="00A44995">
        <w:rPr>
          <w:rFonts w:asciiTheme="majorHAnsi" w:hAnsiTheme="majorHAnsi" w:cs="Calibri"/>
          <w:sz w:val="20"/>
          <w:szCs w:val="20"/>
          <w:lang w:val="es-PE"/>
        </w:rPr>
        <w:t>Hospital “</w:t>
      </w:r>
      <w:r w:rsidR="004F3E3D" w:rsidRPr="00A44995">
        <w:rPr>
          <w:rFonts w:asciiTheme="majorHAnsi" w:hAnsiTheme="majorHAnsi" w:cs="Calibri"/>
          <w:sz w:val="20"/>
          <w:szCs w:val="20"/>
          <w:lang w:val="es-PE"/>
        </w:rPr>
        <w:t>Francisco Menéndez” de la ciudad de Ahuachapán. Añadió que posteriormente fue trasladado al Hospital del Seguro Social de Santa Ana</w:t>
      </w:r>
      <w:r w:rsidR="004F3E3D" w:rsidRPr="00A44995">
        <w:rPr>
          <w:rFonts w:ascii="Cambria" w:hAnsi="Cambria" w:cs="Calibri"/>
          <w:sz w:val="20"/>
          <w:szCs w:val="20"/>
          <w:vertAlign w:val="superscript"/>
          <w:lang w:val="es-PE"/>
        </w:rPr>
        <w:footnoteReference w:id="4"/>
      </w:r>
      <w:r w:rsidR="004F3E3D" w:rsidRPr="00A44995">
        <w:rPr>
          <w:rFonts w:asciiTheme="majorHAnsi" w:hAnsiTheme="majorHAnsi" w:cs="Calibri"/>
          <w:sz w:val="20"/>
          <w:szCs w:val="20"/>
          <w:lang w:val="es-PE"/>
        </w:rPr>
        <w:t xml:space="preserve">. Dicha información no fue controvertida por el Estado.   </w:t>
      </w:r>
    </w:p>
    <w:p w14:paraId="4754177D" w14:textId="77777777" w:rsidR="00366DFD" w:rsidRPr="00A44995" w:rsidRDefault="00366DFD" w:rsidP="00366DFD">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s="Calibri"/>
          <w:sz w:val="20"/>
          <w:szCs w:val="20"/>
          <w:lang w:val="es-PE"/>
        </w:rPr>
      </w:pPr>
    </w:p>
    <w:p w14:paraId="0015F4D3" w14:textId="77777777" w:rsidR="00366DFD" w:rsidRPr="00A44995" w:rsidRDefault="00366DFD" w:rsidP="00366DFD">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s="Calibri"/>
          <w:sz w:val="20"/>
          <w:szCs w:val="20"/>
          <w:lang w:val="es-PE"/>
        </w:rPr>
      </w:pPr>
      <w:r w:rsidRPr="00A44995">
        <w:rPr>
          <w:rFonts w:ascii="Cambria" w:hAnsi="Cambria" w:cs="Calibri"/>
          <w:sz w:val="20"/>
          <w:szCs w:val="20"/>
          <w:lang w:val="es-PE"/>
        </w:rPr>
        <w:t>El señor Aguirre informó que sufrió i) graves lesiones en su pierna derecha la que, posteriormente, le fue amputada; y ii) graves y múltiples lesiones en la pierna izquierda y brazo derecho. Agregó que d</w:t>
      </w:r>
      <w:r w:rsidR="00BB79E1" w:rsidRPr="00A44995">
        <w:rPr>
          <w:rFonts w:ascii="Cambria" w:hAnsi="Cambria" w:cs="Calibri"/>
          <w:sz w:val="20"/>
          <w:szCs w:val="20"/>
          <w:lang w:val="es-PE"/>
        </w:rPr>
        <w:t>e acuerdo con un</w:t>
      </w:r>
      <w:r w:rsidR="00B12B49" w:rsidRPr="00A44995">
        <w:rPr>
          <w:rFonts w:ascii="Cambria" w:hAnsi="Cambria" w:cs="Calibri"/>
          <w:sz w:val="20"/>
          <w:szCs w:val="20"/>
          <w:lang w:val="es-PE"/>
        </w:rPr>
        <w:t xml:space="preserve"> evaluación médica</w:t>
      </w:r>
      <w:r w:rsidRPr="00A44995">
        <w:rPr>
          <w:rFonts w:ascii="Cambria" w:hAnsi="Cambria" w:cs="Calibri"/>
          <w:sz w:val="20"/>
          <w:szCs w:val="20"/>
          <w:lang w:val="es-PE"/>
        </w:rPr>
        <w:t xml:space="preserve"> </w:t>
      </w:r>
      <w:r w:rsidR="00BB79E1" w:rsidRPr="00A44995">
        <w:rPr>
          <w:rFonts w:ascii="Cambria" w:hAnsi="Cambria" w:cs="Calibri"/>
          <w:sz w:val="20"/>
          <w:szCs w:val="20"/>
          <w:lang w:val="es-PE"/>
        </w:rPr>
        <w:t xml:space="preserve">se confirmó que </w:t>
      </w:r>
      <w:r w:rsidRPr="00A44995">
        <w:rPr>
          <w:rFonts w:ascii="Cambria" w:hAnsi="Cambria" w:cs="Calibri"/>
          <w:sz w:val="20"/>
          <w:szCs w:val="20"/>
          <w:lang w:val="es-PE"/>
        </w:rPr>
        <w:t xml:space="preserve">sufrió la pérdida de la audición del oído derecho y lesiones en el oído izquierdo. El señor </w:t>
      </w:r>
      <w:r w:rsidR="00BE7F11" w:rsidRPr="00A44995">
        <w:rPr>
          <w:rFonts w:ascii="Cambria" w:hAnsi="Cambria" w:cs="Calibri"/>
          <w:sz w:val="20"/>
          <w:szCs w:val="20"/>
          <w:lang w:val="es-PE"/>
        </w:rPr>
        <w:t xml:space="preserve">Aguirre </w:t>
      </w:r>
      <w:r w:rsidRPr="00A44995">
        <w:rPr>
          <w:rFonts w:ascii="Cambria" w:hAnsi="Cambria" w:cs="Calibri"/>
          <w:sz w:val="20"/>
          <w:szCs w:val="20"/>
          <w:lang w:val="es-PE"/>
        </w:rPr>
        <w:t xml:space="preserve">explicó que </w:t>
      </w:r>
      <w:r w:rsidR="00C139D4" w:rsidRPr="00A44995">
        <w:rPr>
          <w:rFonts w:ascii="Cambria" w:hAnsi="Cambria" w:cs="Calibri"/>
          <w:sz w:val="20"/>
          <w:szCs w:val="20"/>
          <w:lang w:val="es-PE"/>
        </w:rPr>
        <w:t>se le prescribió una</w:t>
      </w:r>
      <w:r w:rsidR="00745B34" w:rsidRPr="00A44995">
        <w:rPr>
          <w:rFonts w:ascii="Cambria" w:hAnsi="Cambria" w:cs="Calibri"/>
          <w:sz w:val="20"/>
          <w:szCs w:val="20"/>
          <w:lang w:val="es-PE"/>
        </w:rPr>
        <w:t xml:space="preserve"> recuperación</w:t>
      </w:r>
      <w:r w:rsidRPr="00A44995">
        <w:rPr>
          <w:rFonts w:ascii="Cambria" w:hAnsi="Cambria" w:cs="Calibri"/>
          <w:sz w:val="20"/>
          <w:szCs w:val="20"/>
          <w:lang w:val="es-PE"/>
        </w:rPr>
        <w:t xml:space="preserve"> </w:t>
      </w:r>
      <w:r w:rsidR="00C139D4" w:rsidRPr="00A44995">
        <w:rPr>
          <w:rFonts w:ascii="Cambria" w:hAnsi="Cambria" w:cs="Calibri"/>
          <w:sz w:val="20"/>
          <w:szCs w:val="20"/>
          <w:lang w:val="es-PE"/>
        </w:rPr>
        <w:t>de</w:t>
      </w:r>
      <w:r w:rsidRPr="00A44995">
        <w:rPr>
          <w:rFonts w:ascii="Cambria" w:hAnsi="Cambria" w:cs="Calibri"/>
          <w:sz w:val="20"/>
          <w:szCs w:val="20"/>
          <w:lang w:val="es-PE"/>
        </w:rPr>
        <w:t xml:space="preserve"> veinte días</w:t>
      </w:r>
      <w:r w:rsidRPr="00A44995">
        <w:rPr>
          <w:rStyle w:val="FootnoteReference"/>
          <w:rFonts w:ascii="Cambria" w:hAnsi="Cambria" w:cs="Calibri"/>
          <w:sz w:val="20"/>
          <w:szCs w:val="20"/>
          <w:lang w:val="es-PE"/>
        </w:rPr>
        <w:footnoteReference w:id="5"/>
      </w:r>
      <w:r w:rsidRPr="00A44995">
        <w:rPr>
          <w:rFonts w:ascii="Cambria" w:hAnsi="Cambria" w:cs="Calibri"/>
          <w:sz w:val="20"/>
          <w:szCs w:val="20"/>
          <w:lang w:val="es-PE"/>
        </w:rPr>
        <w:t>.</w:t>
      </w:r>
      <w:r w:rsidR="00BE7F11" w:rsidRPr="00A44995">
        <w:rPr>
          <w:rFonts w:ascii="Cambria" w:hAnsi="Cambria" w:cs="Calibri"/>
          <w:sz w:val="20"/>
          <w:szCs w:val="20"/>
          <w:lang w:val="es-PE"/>
        </w:rPr>
        <w:t xml:space="preserve"> </w:t>
      </w:r>
      <w:r w:rsidR="00C139D4" w:rsidRPr="00A44995">
        <w:rPr>
          <w:rFonts w:ascii="Cambria" w:hAnsi="Cambria" w:cs="Calibri"/>
          <w:sz w:val="20"/>
          <w:szCs w:val="20"/>
          <w:lang w:val="es-PE"/>
        </w:rPr>
        <w:t>La Comisión observa que el señor Aguirre pudo recuperarse de las lesiones en sesenta días, aunque se dejaron secuelas permanentes como la amputación de la pierna y pérdida de la audición</w:t>
      </w:r>
      <w:r w:rsidR="00C139D4" w:rsidRPr="00A44995">
        <w:rPr>
          <w:rFonts w:ascii="Cambria" w:hAnsi="Cambria"/>
          <w:bCs/>
          <w:sz w:val="20"/>
          <w:szCs w:val="20"/>
          <w:vertAlign w:val="superscript"/>
          <w:lang w:val="es-PE"/>
        </w:rPr>
        <w:footnoteReference w:id="6"/>
      </w:r>
      <w:r w:rsidR="00C139D4" w:rsidRPr="00A44995">
        <w:rPr>
          <w:rFonts w:ascii="Cambria" w:hAnsi="Cambria" w:cs="Calibri"/>
          <w:sz w:val="20"/>
          <w:szCs w:val="20"/>
          <w:lang w:val="es-PE"/>
        </w:rPr>
        <w:t xml:space="preserve">. </w:t>
      </w:r>
      <w:r w:rsidR="00BE7F11" w:rsidRPr="00A44995">
        <w:rPr>
          <w:rFonts w:asciiTheme="majorHAnsi" w:hAnsiTheme="majorHAnsi" w:cs="Calibri"/>
          <w:sz w:val="20"/>
          <w:szCs w:val="20"/>
          <w:lang w:val="es-PE"/>
        </w:rPr>
        <w:t xml:space="preserve">Dicha información no fue controvertida por el Estado.   </w:t>
      </w:r>
    </w:p>
    <w:p w14:paraId="655DF108" w14:textId="77777777" w:rsidR="00C139D4" w:rsidRPr="00A44995" w:rsidRDefault="00C139D4" w:rsidP="00BE7F11">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s="Calibri"/>
          <w:sz w:val="20"/>
          <w:szCs w:val="20"/>
          <w:lang w:val="es-PE"/>
        </w:rPr>
      </w:pPr>
    </w:p>
    <w:p w14:paraId="5FF4AA74" w14:textId="77777777" w:rsidR="00BB79E1" w:rsidRPr="00A44995" w:rsidRDefault="00BE7F11" w:rsidP="00BE7F11">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s="Calibri"/>
          <w:sz w:val="20"/>
          <w:szCs w:val="20"/>
          <w:lang w:val="es-PE"/>
        </w:rPr>
      </w:pPr>
      <w:r w:rsidRPr="00A44995">
        <w:rPr>
          <w:rFonts w:ascii="Cambria" w:hAnsi="Cambria" w:cs="Calibri"/>
          <w:sz w:val="20"/>
          <w:szCs w:val="20"/>
          <w:lang w:val="es-PE"/>
        </w:rPr>
        <w:t xml:space="preserve">Respecto de lo sucedido a las otras dos personas que se encontraban en el vehículo, la Comisión toma nota de que no cuenta con documentación al respecto. La parte peticionaria sostuvo que </w:t>
      </w:r>
      <w:r w:rsidR="00BB79E1" w:rsidRPr="00A44995">
        <w:rPr>
          <w:rFonts w:ascii="Cambria" w:hAnsi="Cambria" w:cs="Calibri"/>
          <w:sz w:val="20"/>
          <w:szCs w:val="20"/>
          <w:lang w:val="es-PE"/>
        </w:rPr>
        <w:t xml:space="preserve">el señor Castillo no estuvo hospitalizado ni un día. Señaló que, no obstante, un médico emitió un informe en donde </w:t>
      </w:r>
      <w:r w:rsidR="00C72E06" w:rsidRPr="00A44995">
        <w:rPr>
          <w:rFonts w:ascii="Cambria" w:hAnsi="Cambria" w:cs="Calibri"/>
          <w:sz w:val="20"/>
          <w:szCs w:val="20"/>
          <w:lang w:val="es-PE"/>
        </w:rPr>
        <w:t xml:space="preserve">señaló que el señor Castillo sufrió lesiones y que perdió la audición temporalmente, por lo que se le indicó </w:t>
      </w:r>
      <w:r w:rsidR="00745B34" w:rsidRPr="00A44995">
        <w:rPr>
          <w:rFonts w:ascii="Cambria" w:hAnsi="Cambria" w:cs="Calibri"/>
          <w:sz w:val="20"/>
          <w:szCs w:val="20"/>
          <w:lang w:val="es-PE"/>
        </w:rPr>
        <w:t>“</w:t>
      </w:r>
      <w:r w:rsidR="00C72E06" w:rsidRPr="00A44995">
        <w:rPr>
          <w:rFonts w:ascii="Cambria" w:hAnsi="Cambria" w:cs="Calibri"/>
          <w:sz w:val="20"/>
          <w:szCs w:val="20"/>
          <w:lang w:val="es-PE"/>
        </w:rPr>
        <w:t>40 días de curación</w:t>
      </w:r>
      <w:r w:rsidR="00745B34" w:rsidRPr="00A44995">
        <w:rPr>
          <w:rFonts w:ascii="Cambria" w:hAnsi="Cambria" w:cs="Calibri"/>
          <w:sz w:val="20"/>
          <w:szCs w:val="20"/>
          <w:lang w:val="es-PE"/>
        </w:rPr>
        <w:t>”</w:t>
      </w:r>
      <w:r w:rsidR="00C72E06" w:rsidRPr="00A44995">
        <w:rPr>
          <w:rFonts w:ascii="Cambria" w:hAnsi="Cambria" w:cs="Calibri"/>
          <w:sz w:val="20"/>
          <w:szCs w:val="20"/>
          <w:lang w:val="es-PE"/>
        </w:rPr>
        <w:t xml:space="preserve">. La parte peticionaria agrega que dicho informe fue falso y que el médico no era especialista para </w:t>
      </w:r>
      <w:r w:rsidR="00C72E06" w:rsidRPr="00A44995">
        <w:rPr>
          <w:rFonts w:asciiTheme="majorHAnsi" w:hAnsiTheme="majorHAnsi"/>
          <w:color w:val="auto"/>
          <w:sz w:val="20"/>
          <w:szCs w:val="20"/>
          <w:lang w:val="es-PE"/>
        </w:rPr>
        <w:t>diagnosticar la pérdida de la audición ni la incapacidad</w:t>
      </w:r>
      <w:r w:rsidR="001C5F92" w:rsidRPr="00A44995">
        <w:rPr>
          <w:rFonts w:asciiTheme="majorHAnsi" w:hAnsiTheme="majorHAnsi"/>
          <w:bCs/>
          <w:color w:val="auto"/>
          <w:sz w:val="18"/>
          <w:szCs w:val="18"/>
          <w:vertAlign w:val="superscript"/>
          <w:lang w:val="es-PE"/>
        </w:rPr>
        <w:footnoteReference w:id="7"/>
      </w:r>
      <w:r w:rsidR="00C72E06" w:rsidRPr="00A44995">
        <w:rPr>
          <w:rFonts w:asciiTheme="majorHAnsi" w:hAnsiTheme="majorHAnsi"/>
          <w:color w:val="auto"/>
          <w:sz w:val="20"/>
          <w:szCs w:val="20"/>
          <w:lang w:val="es-PE"/>
        </w:rPr>
        <w:t xml:space="preserve">. </w:t>
      </w:r>
      <w:r w:rsidR="00C72E06" w:rsidRPr="00A44995">
        <w:rPr>
          <w:rFonts w:asciiTheme="majorHAnsi" w:hAnsiTheme="majorHAnsi" w:cs="Calibri"/>
          <w:sz w:val="20"/>
          <w:szCs w:val="20"/>
          <w:lang w:val="es-PE"/>
        </w:rPr>
        <w:t xml:space="preserve">Dicha información no fue controvertida por el Estado.   </w:t>
      </w:r>
    </w:p>
    <w:p w14:paraId="483C16DB" w14:textId="77777777" w:rsidR="004F3E3D" w:rsidRPr="00A44995" w:rsidRDefault="004F3E3D" w:rsidP="00A8316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right="720" w:firstLine="0"/>
        <w:jc w:val="both"/>
        <w:rPr>
          <w:rFonts w:asciiTheme="majorHAnsi" w:hAnsiTheme="majorHAnsi" w:cs="Calibri"/>
          <w:sz w:val="18"/>
          <w:szCs w:val="18"/>
          <w:lang w:val="es-PE"/>
        </w:rPr>
      </w:pPr>
    </w:p>
    <w:p w14:paraId="4445ACEB" w14:textId="77777777" w:rsidR="004F39FD" w:rsidRPr="00A44995" w:rsidRDefault="00D774CD" w:rsidP="007C6D32">
      <w:pPr>
        <w:pStyle w:val="Heading2"/>
        <w:numPr>
          <w:ilvl w:val="0"/>
          <w:numId w:val="58"/>
        </w:numPr>
        <w:tabs>
          <w:tab w:val="left" w:pos="360"/>
        </w:tabs>
        <w:ind w:hanging="630"/>
        <w:rPr>
          <w:lang w:val="es-PE"/>
        </w:rPr>
      </w:pPr>
      <w:bookmarkStart w:id="9" w:name="_Toc473195956"/>
      <w:r w:rsidRPr="00A44995">
        <w:rPr>
          <w:lang w:val="es-PE"/>
        </w:rPr>
        <w:t>Sobre</w:t>
      </w:r>
      <w:r w:rsidR="005F0075" w:rsidRPr="00A44995">
        <w:rPr>
          <w:lang w:val="es-PE"/>
        </w:rPr>
        <w:t xml:space="preserve"> la investigación y</w:t>
      </w:r>
      <w:r w:rsidRPr="00A44995">
        <w:rPr>
          <w:lang w:val="es-PE"/>
        </w:rPr>
        <w:t xml:space="preserve"> </w:t>
      </w:r>
      <w:r w:rsidR="001C5F92" w:rsidRPr="00A44995">
        <w:rPr>
          <w:lang w:val="es-PE"/>
        </w:rPr>
        <w:t>proceso penal</w:t>
      </w:r>
      <w:bookmarkEnd w:id="9"/>
    </w:p>
    <w:p w14:paraId="400799A6" w14:textId="77777777" w:rsidR="0084759E" w:rsidRPr="00A44995" w:rsidRDefault="0084759E" w:rsidP="0084759E">
      <w:pPr>
        <w:rPr>
          <w:lang w:val="es-PE" w:eastAsia="es-ES"/>
        </w:rPr>
      </w:pPr>
    </w:p>
    <w:p w14:paraId="7E9E4CD1" w14:textId="77777777" w:rsidR="00106A01" w:rsidRPr="00A44995" w:rsidRDefault="001C5F92" w:rsidP="007715CB">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PE"/>
        </w:rPr>
      </w:pPr>
      <w:r w:rsidRPr="00A44995">
        <w:rPr>
          <w:rFonts w:asciiTheme="majorHAnsi" w:hAnsiTheme="majorHAnsi"/>
          <w:bCs/>
          <w:color w:val="auto"/>
          <w:sz w:val="20"/>
          <w:szCs w:val="20"/>
          <w:lang w:val="es-PE"/>
        </w:rPr>
        <w:lastRenderedPageBreak/>
        <w:t>La Comisión toma nota de que el señor Aguirre denunció ante las autoridades judiciales que la explosión oc</w:t>
      </w:r>
      <w:r w:rsidR="005F0075" w:rsidRPr="00A44995">
        <w:rPr>
          <w:rFonts w:asciiTheme="majorHAnsi" w:hAnsiTheme="majorHAnsi"/>
          <w:bCs/>
          <w:color w:val="auto"/>
          <w:sz w:val="20"/>
          <w:szCs w:val="20"/>
          <w:lang w:val="es-PE"/>
        </w:rPr>
        <w:t>urrida el 13 de noviembre de 199</w:t>
      </w:r>
      <w:r w:rsidRPr="00A44995">
        <w:rPr>
          <w:rFonts w:asciiTheme="majorHAnsi" w:hAnsiTheme="majorHAnsi"/>
          <w:bCs/>
          <w:color w:val="auto"/>
          <w:sz w:val="20"/>
          <w:szCs w:val="20"/>
          <w:lang w:val="es-PE"/>
        </w:rPr>
        <w:t xml:space="preserve">3 fue producto de una explosión de una granada que tenía en su poder </w:t>
      </w:r>
      <w:r w:rsidR="007715CB" w:rsidRPr="00A44995">
        <w:rPr>
          <w:rFonts w:asciiTheme="majorHAnsi" w:hAnsiTheme="majorHAnsi" w:cs="Calibri"/>
          <w:sz w:val="20"/>
          <w:szCs w:val="20"/>
          <w:lang w:val="es-PE"/>
        </w:rPr>
        <w:t xml:space="preserve">Francisco Reynaldo Castillo Borja, Juez de Paz </w:t>
      </w:r>
      <w:r w:rsidR="00752540" w:rsidRPr="00A44995">
        <w:rPr>
          <w:rFonts w:asciiTheme="majorHAnsi" w:hAnsiTheme="majorHAnsi" w:cs="Calibri"/>
          <w:sz w:val="20"/>
          <w:szCs w:val="20"/>
          <w:lang w:val="es-PE"/>
        </w:rPr>
        <w:t xml:space="preserve">de </w:t>
      </w:r>
      <w:r w:rsidR="007715CB" w:rsidRPr="00A44995">
        <w:rPr>
          <w:rFonts w:asciiTheme="majorHAnsi" w:hAnsiTheme="majorHAnsi" w:cs="Calibri"/>
          <w:sz w:val="20"/>
          <w:szCs w:val="20"/>
          <w:lang w:val="es-PE"/>
        </w:rPr>
        <w:t>Villa de Apaneca. La CIDH no cuenta con el expediente</w:t>
      </w:r>
      <w:r w:rsidR="006D36AE" w:rsidRPr="00A44995">
        <w:rPr>
          <w:rFonts w:asciiTheme="majorHAnsi" w:hAnsiTheme="majorHAnsi" w:cs="Calibri"/>
          <w:sz w:val="20"/>
          <w:szCs w:val="20"/>
          <w:lang w:val="es-PE"/>
        </w:rPr>
        <w:t xml:space="preserve"> completo</w:t>
      </w:r>
      <w:r w:rsidR="007715CB" w:rsidRPr="00A44995">
        <w:rPr>
          <w:rFonts w:asciiTheme="majorHAnsi" w:hAnsiTheme="majorHAnsi" w:cs="Calibri"/>
          <w:sz w:val="20"/>
          <w:szCs w:val="20"/>
          <w:lang w:val="es-PE"/>
        </w:rPr>
        <w:t xml:space="preserve"> del proceso penal, por lo que hará referencia a la información y documentación presentada por las partes. Asimismo, </w:t>
      </w:r>
      <w:r w:rsidR="000919DB" w:rsidRPr="00A44995">
        <w:rPr>
          <w:rFonts w:asciiTheme="majorHAnsi" w:hAnsiTheme="majorHAnsi"/>
          <w:bCs/>
          <w:color w:val="auto"/>
          <w:sz w:val="20"/>
          <w:szCs w:val="20"/>
          <w:lang w:val="es-PE"/>
        </w:rPr>
        <w:t xml:space="preserve">la Comisión recuerda que, conforme a lo señalado por el Estado, en la época de hechos se encontraba vigente el </w:t>
      </w:r>
      <w:r w:rsidR="00106A01" w:rsidRPr="00A44995">
        <w:rPr>
          <w:rFonts w:asciiTheme="majorHAnsi" w:hAnsiTheme="majorHAnsi" w:cs="Calibri"/>
          <w:sz w:val="20"/>
          <w:szCs w:val="20"/>
          <w:lang w:val="es-PE"/>
        </w:rPr>
        <w:t xml:space="preserve">Código Procesal Penal </w:t>
      </w:r>
      <w:r w:rsidR="00BB79E1" w:rsidRPr="00A44995">
        <w:rPr>
          <w:rFonts w:asciiTheme="majorHAnsi" w:hAnsiTheme="majorHAnsi" w:cs="Calibri"/>
          <w:sz w:val="20"/>
          <w:szCs w:val="20"/>
          <w:lang w:val="es-PE"/>
        </w:rPr>
        <w:t>de</w:t>
      </w:r>
      <w:r w:rsidR="00106A01" w:rsidRPr="00A44995">
        <w:rPr>
          <w:rFonts w:asciiTheme="majorHAnsi" w:hAnsiTheme="majorHAnsi" w:cs="Calibri"/>
          <w:sz w:val="20"/>
          <w:szCs w:val="20"/>
          <w:lang w:val="es-PE"/>
        </w:rPr>
        <w:t xml:space="preserve"> 1973. </w:t>
      </w:r>
      <w:r w:rsidR="00BB79E1" w:rsidRPr="00A44995">
        <w:rPr>
          <w:rFonts w:asciiTheme="majorHAnsi" w:hAnsiTheme="majorHAnsi" w:cs="Calibri"/>
          <w:sz w:val="20"/>
          <w:szCs w:val="20"/>
          <w:lang w:val="es-PE"/>
        </w:rPr>
        <w:t>El Salvador informó que, de acuerdo a dicha normativa, se</w:t>
      </w:r>
      <w:r w:rsidR="0069472C" w:rsidRPr="00A44995">
        <w:rPr>
          <w:rFonts w:asciiTheme="majorHAnsi" w:hAnsiTheme="majorHAnsi" w:cs="Calibri"/>
          <w:sz w:val="20"/>
          <w:szCs w:val="20"/>
          <w:lang w:val="es-PE"/>
        </w:rPr>
        <w:t xml:space="preserve"> disp</w:t>
      </w:r>
      <w:r w:rsidR="00BB79E1" w:rsidRPr="00A44995">
        <w:rPr>
          <w:rFonts w:asciiTheme="majorHAnsi" w:hAnsiTheme="majorHAnsi" w:cs="Calibri"/>
          <w:sz w:val="20"/>
          <w:szCs w:val="20"/>
          <w:lang w:val="es-PE"/>
        </w:rPr>
        <w:t>uso</w:t>
      </w:r>
      <w:r w:rsidR="0069472C" w:rsidRPr="00A44995">
        <w:rPr>
          <w:rFonts w:asciiTheme="majorHAnsi" w:hAnsiTheme="majorHAnsi" w:cs="Calibri"/>
          <w:sz w:val="20"/>
          <w:szCs w:val="20"/>
          <w:lang w:val="es-PE"/>
        </w:rPr>
        <w:t xml:space="preserve"> que </w:t>
      </w:r>
      <w:r w:rsidR="00106A01" w:rsidRPr="00A44995">
        <w:rPr>
          <w:rFonts w:asciiTheme="majorHAnsi" w:hAnsiTheme="majorHAnsi" w:cs="Calibri"/>
          <w:sz w:val="20"/>
          <w:szCs w:val="20"/>
          <w:lang w:val="es-PE"/>
        </w:rPr>
        <w:t xml:space="preserve">la </w:t>
      </w:r>
      <w:r w:rsidR="00106A01" w:rsidRPr="00A44995">
        <w:rPr>
          <w:rFonts w:asciiTheme="majorHAnsi" w:hAnsiTheme="majorHAnsi" w:cs="Arial"/>
          <w:sz w:val="20"/>
          <w:szCs w:val="20"/>
          <w:lang w:val="es-PE"/>
        </w:rPr>
        <w:t xml:space="preserve">Fiscalía General de la República no </w:t>
      </w:r>
      <w:r w:rsidR="007715CB" w:rsidRPr="00A44995">
        <w:rPr>
          <w:rFonts w:asciiTheme="majorHAnsi" w:hAnsiTheme="majorHAnsi" w:cs="Arial"/>
          <w:sz w:val="20"/>
          <w:szCs w:val="20"/>
          <w:lang w:val="es-PE"/>
        </w:rPr>
        <w:t>estaba a cargo de</w:t>
      </w:r>
      <w:r w:rsidR="00106A01" w:rsidRPr="00A44995">
        <w:rPr>
          <w:rFonts w:asciiTheme="majorHAnsi" w:hAnsiTheme="majorHAnsi" w:cs="Arial"/>
          <w:sz w:val="20"/>
          <w:szCs w:val="20"/>
          <w:lang w:val="es-PE"/>
        </w:rPr>
        <w:t xml:space="preserve"> la investigación</w:t>
      </w:r>
      <w:r w:rsidR="007715CB" w:rsidRPr="00A44995">
        <w:rPr>
          <w:rFonts w:asciiTheme="majorHAnsi" w:hAnsiTheme="majorHAnsi" w:cs="Arial"/>
          <w:sz w:val="20"/>
          <w:szCs w:val="20"/>
          <w:lang w:val="es-PE"/>
        </w:rPr>
        <w:t>,</w:t>
      </w:r>
      <w:r w:rsidR="00106A01" w:rsidRPr="00A44995">
        <w:rPr>
          <w:rFonts w:asciiTheme="majorHAnsi" w:hAnsiTheme="majorHAnsi" w:cs="Arial"/>
          <w:sz w:val="20"/>
          <w:szCs w:val="20"/>
          <w:lang w:val="es-PE"/>
        </w:rPr>
        <w:t xml:space="preserve"> sino</w:t>
      </w:r>
      <w:r w:rsidR="007715CB" w:rsidRPr="00A44995">
        <w:rPr>
          <w:rFonts w:asciiTheme="majorHAnsi" w:hAnsiTheme="majorHAnsi" w:cs="Arial"/>
          <w:sz w:val="20"/>
          <w:szCs w:val="20"/>
          <w:lang w:val="es-PE"/>
        </w:rPr>
        <w:t xml:space="preserve"> que la autoridad judicial tendría “</w:t>
      </w:r>
      <w:r w:rsidR="00106A01" w:rsidRPr="00A44995">
        <w:rPr>
          <w:rFonts w:asciiTheme="majorHAnsi" w:hAnsiTheme="majorHAnsi" w:cs="Arial"/>
          <w:sz w:val="20"/>
          <w:szCs w:val="20"/>
          <w:lang w:val="es-PE"/>
        </w:rPr>
        <w:t>el impulso de oficio y la dirección del proceso</w:t>
      </w:r>
      <w:r w:rsidR="007715CB" w:rsidRPr="00A44995">
        <w:rPr>
          <w:rFonts w:asciiTheme="majorHAnsi" w:hAnsiTheme="majorHAnsi" w:cs="Arial"/>
          <w:sz w:val="20"/>
          <w:szCs w:val="20"/>
          <w:lang w:val="es-PE"/>
        </w:rPr>
        <w:t>”</w:t>
      </w:r>
      <w:r w:rsidR="00106A01" w:rsidRPr="00A44995">
        <w:rPr>
          <w:rStyle w:val="FootnoteReference"/>
          <w:rFonts w:asciiTheme="majorHAnsi" w:hAnsiTheme="majorHAnsi" w:cs="Arial"/>
          <w:sz w:val="20"/>
          <w:szCs w:val="20"/>
          <w:lang w:val="es-PE"/>
        </w:rPr>
        <w:footnoteReference w:id="8"/>
      </w:r>
      <w:r w:rsidR="00106A01" w:rsidRPr="00A44995">
        <w:rPr>
          <w:rFonts w:asciiTheme="majorHAnsi" w:hAnsiTheme="majorHAnsi" w:cs="Arial"/>
          <w:sz w:val="20"/>
          <w:szCs w:val="20"/>
          <w:lang w:val="es-PE"/>
        </w:rPr>
        <w:t>.</w:t>
      </w:r>
    </w:p>
    <w:p w14:paraId="19F5F420" w14:textId="77777777" w:rsidR="00676931" w:rsidRPr="00A44995" w:rsidRDefault="00676931" w:rsidP="007715CB">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right="720" w:firstLine="0"/>
        <w:jc w:val="both"/>
        <w:rPr>
          <w:rFonts w:asciiTheme="majorHAnsi" w:hAnsiTheme="majorHAnsi"/>
          <w:bCs/>
          <w:color w:val="auto"/>
          <w:sz w:val="18"/>
          <w:szCs w:val="18"/>
          <w:lang w:val="es-PE"/>
        </w:rPr>
      </w:pPr>
    </w:p>
    <w:p w14:paraId="0BA32F64" w14:textId="77777777" w:rsidR="006979DA" w:rsidRPr="00A44995" w:rsidRDefault="00466BAE" w:rsidP="00466BAE">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bCs/>
          <w:color w:val="auto"/>
          <w:sz w:val="20"/>
          <w:szCs w:val="20"/>
          <w:lang w:val="es-PE"/>
        </w:rPr>
      </w:pPr>
      <w:r w:rsidRPr="00A44995">
        <w:rPr>
          <w:rFonts w:asciiTheme="majorHAnsi" w:hAnsiTheme="majorHAnsi"/>
          <w:bCs/>
          <w:color w:val="auto"/>
          <w:sz w:val="20"/>
          <w:szCs w:val="20"/>
          <w:lang w:val="es-PE"/>
        </w:rPr>
        <w:t>La parte peticionaria informó que e</w:t>
      </w:r>
      <w:r w:rsidR="00FD2B86" w:rsidRPr="00A44995">
        <w:rPr>
          <w:rFonts w:asciiTheme="majorHAnsi" w:hAnsiTheme="majorHAnsi"/>
          <w:bCs/>
          <w:color w:val="auto"/>
          <w:sz w:val="20"/>
          <w:szCs w:val="20"/>
          <w:lang w:val="es-PE"/>
        </w:rPr>
        <w:t xml:space="preserve">l 14 de noviembre de 1993 </w:t>
      </w:r>
      <w:r w:rsidR="007715CB" w:rsidRPr="00A44995">
        <w:rPr>
          <w:rFonts w:asciiTheme="majorHAnsi" w:hAnsiTheme="majorHAnsi"/>
          <w:bCs/>
          <w:color w:val="auto"/>
          <w:sz w:val="20"/>
          <w:szCs w:val="20"/>
          <w:lang w:val="es-PE"/>
        </w:rPr>
        <w:t>la Jueza Primero de Paz de Ahuachapán fue asignada para iniciar</w:t>
      </w:r>
      <w:r w:rsidR="00FD2B86" w:rsidRPr="00A44995">
        <w:rPr>
          <w:rFonts w:asciiTheme="majorHAnsi" w:hAnsiTheme="majorHAnsi"/>
          <w:bCs/>
          <w:color w:val="auto"/>
          <w:sz w:val="20"/>
          <w:szCs w:val="20"/>
          <w:lang w:val="es-PE"/>
        </w:rPr>
        <w:t xml:space="preserve"> </w:t>
      </w:r>
      <w:r w:rsidR="007715CB" w:rsidRPr="00A44995">
        <w:rPr>
          <w:rFonts w:asciiTheme="majorHAnsi" w:hAnsiTheme="majorHAnsi"/>
          <w:bCs/>
          <w:color w:val="auto"/>
          <w:sz w:val="20"/>
          <w:szCs w:val="20"/>
          <w:lang w:val="es-PE"/>
        </w:rPr>
        <w:t>la investigación por los hechos del caso</w:t>
      </w:r>
      <w:r w:rsidR="00992DFC" w:rsidRPr="00A44995">
        <w:rPr>
          <w:rFonts w:asciiTheme="majorHAnsi" w:hAnsiTheme="majorHAnsi"/>
          <w:bCs/>
          <w:color w:val="auto"/>
          <w:sz w:val="20"/>
          <w:szCs w:val="20"/>
          <w:lang w:val="es-PE"/>
        </w:rPr>
        <w:t xml:space="preserve"> en el marco de tres delitos: </w:t>
      </w:r>
      <w:bookmarkStart w:id="10" w:name="_Hlk57225001"/>
      <w:r w:rsidR="00992DFC" w:rsidRPr="00A44995">
        <w:rPr>
          <w:rFonts w:asciiTheme="majorHAnsi" w:hAnsiTheme="majorHAnsi"/>
          <w:bCs/>
          <w:color w:val="auto"/>
          <w:sz w:val="20"/>
          <w:szCs w:val="20"/>
          <w:lang w:val="es-PE"/>
        </w:rPr>
        <w:t>i) lesiones muy graves en perjuicio del señor Aguirre; ii) tenencia, portación o conducción de armas de guerra y iii) fraude procesal.</w:t>
      </w:r>
      <w:r w:rsidR="007715CB" w:rsidRPr="00A44995">
        <w:rPr>
          <w:rFonts w:asciiTheme="majorHAnsi" w:hAnsiTheme="majorHAnsi"/>
          <w:bCs/>
          <w:color w:val="auto"/>
          <w:sz w:val="20"/>
          <w:szCs w:val="20"/>
          <w:lang w:val="es-PE"/>
        </w:rPr>
        <w:t xml:space="preserve"> </w:t>
      </w:r>
      <w:bookmarkEnd w:id="10"/>
      <w:r w:rsidRPr="00A44995">
        <w:rPr>
          <w:rFonts w:asciiTheme="majorHAnsi" w:hAnsiTheme="majorHAnsi"/>
          <w:bCs/>
          <w:color w:val="auto"/>
          <w:sz w:val="20"/>
          <w:szCs w:val="20"/>
          <w:lang w:val="es-PE"/>
        </w:rPr>
        <w:t>Sostuvo que d</w:t>
      </w:r>
      <w:r w:rsidR="007715CB" w:rsidRPr="00A44995">
        <w:rPr>
          <w:rFonts w:asciiTheme="majorHAnsi" w:hAnsiTheme="majorHAnsi"/>
          <w:bCs/>
          <w:color w:val="auto"/>
          <w:sz w:val="20"/>
          <w:szCs w:val="20"/>
          <w:lang w:val="es-PE"/>
        </w:rPr>
        <w:t>icha jueza indicó que no tenía competencia para realizar diligencias debido a que los hechos sucedieron en otra jurisdicción</w:t>
      </w:r>
      <w:r w:rsidR="00FD2B86" w:rsidRPr="00A44995">
        <w:rPr>
          <w:rFonts w:asciiTheme="majorHAnsi" w:hAnsiTheme="majorHAnsi"/>
          <w:bCs/>
          <w:color w:val="auto"/>
          <w:sz w:val="20"/>
          <w:szCs w:val="20"/>
          <w:lang w:val="es-PE"/>
        </w:rPr>
        <w:t xml:space="preserve">. </w:t>
      </w:r>
      <w:r w:rsidRPr="00A44995">
        <w:rPr>
          <w:rFonts w:asciiTheme="majorHAnsi" w:hAnsiTheme="majorHAnsi"/>
          <w:bCs/>
          <w:color w:val="auto"/>
          <w:sz w:val="20"/>
          <w:szCs w:val="20"/>
          <w:lang w:val="es-PE"/>
        </w:rPr>
        <w:t>Informó que al día siguiente la j</w:t>
      </w:r>
      <w:r w:rsidR="006979DA" w:rsidRPr="00A44995">
        <w:rPr>
          <w:rFonts w:asciiTheme="majorHAnsi" w:hAnsiTheme="majorHAnsi"/>
          <w:bCs/>
          <w:color w:val="auto"/>
          <w:sz w:val="20"/>
          <w:szCs w:val="20"/>
          <w:lang w:val="es-PE"/>
        </w:rPr>
        <w:t>ueza remitió el caso al Primer Juez de lo Penal (</w:t>
      </w:r>
      <w:r w:rsidR="00EE523D" w:rsidRPr="00A44995">
        <w:rPr>
          <w:rFonts w:asciiTheme="majorHAnsi" w:hAnsiTheme="majorHAnsi"/>
          <w:bCs/>
          <w:color w:val="auto"/>
          <w:sz w:val="20"/>
          <w:szCs w:val="20"/>
          <w:lang w:val="es-PE"/>
        </w:rPr>
        <w:t>posteriormente denominado</w:t>
      </w:r>
      <w:r w:rsidR="006979DA" w:rsidRPr="00A44995">
        <w:rPr>
          <w:rFonts w:asciiTheme="majorHAnsi" w:hAnsiTheme="majorHAnsi"/>
          <w:bCs/>
          <w:color w:val="auto"/>
          <w:sz w:val="20"/>
          <w:szCs w:val="20"/>
          <w:lang w:val="es-PE"/>
        </w:rPr>
        <w:t xml:space="preserve"> Juzgado de Instrucción de Ahuachapán)</w:t>
      </w:r>
      <w:r w:rsidRPr="00A44995">
        <w:rPr>
          <w:rStyle w:val="FootnoteReference"/>
          <w:rFonts w:asciiTheme="majorHAnsi" w:hAnsiTheme="majorHAnsi"/>
          <w:bCs/>
          <w:color w:val="auto"/>
          <w:sz w:val="20"/>
          <w:szCs w:val="20"/>
          <w:lang w:val="es-PE"/>
        </w:rPr>
        <w:footnoteReference w:id="9"/>
      </w:r>
      <w:r w:rsidR="006979DA" w:rsidRPr="00A44995">
        <w:rPr>
          <w:rFonts w:asciiTheme="majorHAnsi" w:hAnsiTheme="majorHAnsi"/>
          <w:bCs/>
          <w:color w:val="auto"/>
          <w:sz w:val="20"/>
          <w:szCs w:val="20"/>
          <w:lang w:val="es-PE"/>
        </w:rPr>
        <w:t xml:space="preserve">. </w:t>
      </w:r>
      <w:r w:rsidR="00DD7A99" w:rsidRPr="00A44995">
        <w:rPr>
          <w:rFonts w:asciiTheme="majorHAnsi" w:hAnsiTheme="majorHAnsi"/>
          <w:bCs/>
          <w:color w:val="auto"/>
          <w:sz w:val="20"/>
          <w:szCs w:val="20"/>
          <w:lang w:val="es-PE"/>
        </w:rPr>
        <w:t xml:space="preserve">Dicha información no fue controvertida por el Estado. </w:t>
      </w:r>
    </w:p>
    <w:p w14:paraId="0E5DD8E9" w14:textId="77777777" w:rsidR="00DD7A99" w:rsidRPr="00A44995" w:rsidRDefault="00DD7A99" w:rsidP="00DD7A99">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bCs/>
          <w:color w:val="auto"/>
          <w:sz w:val="20"/>
          <w:szCs w:val="20"/>
          <w:lang w:val="es-PE"/>
        </w:rPr>
      </w:pPr>
    </w:p>
    <w:p w14:paraId="4157245B" w14:textId="77777777" w:rsidR="00C2248D" w:rsidRPr="00A44995" w:rsidRDefault="00AE6D9D" w:rsidP="008660CD">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bCs/>
          <w:color w:val="auto"/>
          <w:sz w:val="20"/>
          <w:szCs w:val="20"/>
          <w:lang w:val="es-PE"/>
        </w:rPr>
      </w:pPr>
      <w:r w:rsidRPr="00A44995">
        <w:rPr>
          <w:rFonts w:asciiTheme="majorHAnsi" w:hAnsiTheme="majorHAnsi"/>
          <w:bCs/>
          <w:color w:val="auto"/>
          <w:sz w:val="20"/>
          <w:szCs w:val="20"/>
          <w:lang w:val="es-PE"/>
        </w:rPr>
        <w:t>La Comisión observa que de acuerdo a la documentación aportada</w:t>
      </w:r>
      <w:r w:rsidR="006D36AE" w:rsidRPr="00A44995">
        <w:rPr>
          <w:rFonts w:asciiTheme="majorHAnsi" w:hAnsiTheme="majorHAnsi"/>
          <w:bCs/>
          <w:color w:val="auto"/>
          <w:sz w:val="20"/>
          <w:szCs w:val="20"/>
          <w:lang w:val="es-PE"/>
        </w:rPr>
        <w:t>,</w:t>
      </w:r>
      <w:r w:rsidRPr="00A44995">
        <w:rPr>
          <w:rFonts w:asciiTheme="majorHAnsi" w:hAnsiTheme="majorHAnsi"/>
          <w:bCs/>
          <w:color w:val="auto"/>
          <w:sz w:val="20"/>
          <w:szCs w:val="20"/>
          <w:lang w:val="es-PE"/>
        </w:rPr>
        <w:t xml:space="preserve"> entre el 13 y 15 de noviembre de 1993 se realizaron tres inspecciones en el lugar de los hechos. </w:t>
      </w:r>
      <w:r w:rsidR="008660CD" w:rsidRPr="00A44995">
        <w:rPr>
          <w:rFonts w:asciiTheme="majorHAnsi" w:hAnsiTheme="majorHAnsi"/>
          <w:bCs/>
          <w:color w:val="auto"/>
          <w:sz w:val="20"/>
          <w:szCs w:val="20"/>
          <w:lang w:val="es-PE"/>
        </w:rPr>
        <w:t>L</w:t>
      </w:r>
      <w:r w:rsidR="00D371D1" w:rsidRPr="00A44995">
        <w:rPr>
          <w:rFonts w:asciiTheme="majorHAnsi" w:hAnsiTheme="majorHAnsi"/>
          <w:bCs/>
          <w:color w:val="auto"/>
          <w:sz w:val="20"/>
          <w:szCs w:val="20"/>
          <w:lang w:val="es-PE"/>
        </w:rPr>
        <w:t>a CIDH nota que en la</w:t>
      </w:r>
      <w:r w:rsidR="00C11DAE" w:rsidRPr="00A44995">
        <w:rPr>
          <w:rFonts w:asciiTheme="majorHAnsi" w:hAnsiTheme="majorHAnsi"/>
          <w:bCs/>
          <w:color w:val="auto"/>
          <w:sz w:val="20"/>
          <w:szCs w:val="20"/>
          <w:lang w:val="es-PE"/>
        </w:rPr>
        <w:t xml:space="preserve"> inspección</w:t>
      </w:r>
      <w:r w:rsidR="00D371D1" w:rsidRPr="00A44995">
        <w:rPr>
          <w:rFonts w:asciiTheme="majorHAnsi" w:hAnsiTheme="majorHAnsi"/>
          <w:bCs/>
          <w:color w:val="auto"/>
          <w:sz w:val="20"/>
          <w:szCs w:val="20"/>
          <w:lang w:val="es-PE"/>
        </w:rPr>
        <w:t xml:space="preserve"> realizada el 13 de noviembre la Policía Nacional constató que el vehículo “se trataba de una camioneta de cuatro puertas, de norte a sur, completamente destruida por el fuego”. Se indicó que encontraron en las zonas cercanas “manchas rojizas al parecer de sangre y esquirlas al parecer de un artefacto explosivo y del vehículo”. </w:t>
      </w:r>
      <w:r w:rsidR="00C2248D" w:rsidRPr="00A44995">
        <w:rPr>
          <w:rFonts w:asciiTheme="majorHAnsi" w:hAnsiTheme="majorHAnsi"/>
          <w:bCs/>
          <w:color w:val="auto"/>
          <w:sz w:val="20"/>
          <w:szCs w:val="20"/>
          <w:lang w:val="es-PE"/>
        </w:rPr>
        <w:t xml:space="preserve">La CIDH toma nota de que </w:t>
      </w:r>
      <w:bookmarkStart w:id="11" w:name="_Hlk57231607"/>
      <w:r w:rsidR="00C2248D" w:rsidRPr="00A44995">
        <w:rPr>
          <w:rFonts w:asciiTheme="majorHAnsi" w:hAnsiTheme="majorHAnsi"/>
          <w:bCs/>
          <w:color w:val="auto"/>
          <w:sz w:val="20"/>
          <w:szCs w:val="20"/>
          <w:lang w:val="es-PE"/>
        </w:rPr>
        <w:t xml:space="preserve">la </w:t>
      </w:r>
      <w:r w:rsidR="00C2248D" w:rsidRPr="00A44995">
        <w:rPr>
          <w:rFonts w:ascii="Cambria" w:hAnsi="Cambria"/>
          <w:bCs/>
          <w:color w:val="auto"/>
          <w:sz w:val="20"/>
          <w:szCs w:val="20"/>
          <w:lang w:val="es-PE"/>
        </w:rPr>
        <w:t>División Técnico Científica de la Policía Nacional Civil determinó que el artefacto explosivo consistió en un arma de guerra (granada “M-67”), la cual explotó al interior del vehículo</w:t>
      </w:r>
      <w:bookmarkEnd w:id="11"/>
      <w:r w:rsidR="00C2248D" w:rsidRPr="00A44995">
        <w:rPr>
          <w:rFonts w:ascii="Cambria" w:hAnsi="Cambria"/>
          <w:bCs/>
          <w:sz w:val="20"/>
          <w:szCs w:val="20"/>
          <w:vertAlign w:val="superscript"/>
          <w:lang w:val="es-PE"/>
        </w:rPr>
        <w:footnoteReference w:id="10"/>
      </w:r>
      <w:r w:rsidR="00C2248D" w:rsidRPr="00A44995">
        <w:rPr>
          <w:rFonts w:ascii="Cambria" w:hAnsi="Cambria"/>
          <w:bCs/>
          <w:color w:val="auto"/>
          <w:sz w:val="20"/>
          <w:szCs w:val="20"/>
          <w:lang w:val="es-PE"/>
        </w:rPr>
        <w:t>.</w:t>
      </w:r>
    </w:p>
    <w:p w14:paraId="471A9C5D" w14:textId="77777777" w:rsidR="00C2248D" w:rsidRPr="00A44995" w:rsidRDefault="00C2248D" w:rsidP="00C2248D">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bCs/>
          <w:color w:val="auto"/>
          <w:sz w:val="20"/>
          <w:szCs w:val="20"/>
          <w:lang w:val="es-PE"/>
        </w:rPr>
      </w:pPr>
    </w:p>
    <w:p w14:paraId="62ED6570" w14:textId="77777777" w:rsidR="00D371D1" w:rsidRPr="00A44995" w:rsidRDefault="00D371D1" w:rsidP="008660CD">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bCs/>
          <w:color w:val="auto"/>
          <w:sz w:val="20"/>
          <w:szCs w:val="20"/>
          <w:lang w:val="es-PE"/>
        </w:rPr>
      </w:pPr>
      <w:r w:rsidRPr="00A44995">
        <w:rPr>
          <w:rFonts w:asciiTheme="majorHAnsi" w:hAnsiTheme="majorHAnsi"/>
          <w:bCs/>
          <w:color w:val="auto"/>
          <w:sz w:val="20"/>
          <w:szCs w:val="20"/>
          <w:lang w:val="es-PE"/>
        </w:rPr>
        <w:t>Asimismo, en el marco de la</w:t>
      </w:r>
      <w:r w:rsidR="008660CD" w:rsidRPr="00A44995">
        <w:rPr>
          <w:rFonts w:asciiTheme="majorHAnsi" w:hAnsiTheme="majorHAnsi"/>
          <w:bCs/>
          <w:color w:val="auto"/>
          <w:sz w:val="20"/>
          <w:szCs w:val="20"/>
          <w:lang w:val="es-PE"/>
        </w:rPr>
        <w:t>s inspeccio</w:t>
      </w:r>
      <w:r w:rsidRPr="00A44995">
        <w:rPr>
          <w:rFonts w:asciiTheme="majorHAnsi" w:hAnsiTheme="majorHAnsi"/>
          <w:bCs/>
          <w:color w:val="auto"/>
          <w:sz w:val="20"/>
          <w:szCs w:val="20"/>
          <w:lang w:val="es-PE"/>
        </w:rPr>
        <w:t>n</w:t>
      </w:r>
      <w:r w:rsidR="008660CD" w:rsidRPr="00A44995">
        <w:rPr>
          <w:rFonts w:asciiTheme="majorHAnsi" w:hAnsiTheme="majorHAnsi"/>
          <w:bCs/>
          <w:color w:val="auto"/>
          <w:sz w:val="20"/>
          <w:szCs w:val="20"/>
          <w:lang w:val="es-PE"/>
        </w:rPr>
        <w:t>es</w:t>
      </w:r>
      <w:r w:rsidRPr="00A44995">
        <w:rPr>
          <w:rFonts w:asciiTheme="majorHAnsi" w:hAnsiTheme="majorHAnsi"/>
          <w:bCs/>
          <w:color w:val="auto"/>
          <w:sz w:val="20"/>
          <w:szCs w:val="20"/>
          <w:lang w:val="es-PE"/>
        </w:rPr>
        <w:t xml:space="preserve"> realizada</w:t>
      </w:r>
      <w:r w:rsidR="00C11DAE" w:rsidRPr="00A44995">
        <w:rPr>
          <w:rFonts w:asciiTheme="majorHAnsi" w:hAnsiTheme="majorHAnsi"/>
          <w:bCs/>
          <w:color w:val="auto"/>
          <w:sz w:val="20"/>
          <w:szCs w:val="20"/>
          <w:lang w:val="es-PE"/>
        </w:rPr>
        <w:t>s</w:t>
      </w:r>
      <w:r w:rsidRPr="00A44995">
        <w:rPr>
          <w:rFonts w:asciiTheme="majorHAnsi" w:hAnsiTheme="majorHAnsi"/>
          <w:bCs/>
          <w:color w:val="auto"/>
          <w:sz w:val="20"/>
          <w:szCs w:val="20"/>
          <w:lang w:val="es-PE"/>
        </w:rPr>
        <w:t xml:space="preserve"> </w:t>
      </w:r>
      <w:r w:rsidR="008660CD" w:rsidRPr="00A44995">
        <w:rPr>
          <w:rFonts w:asciiTheme="majorHAnsi" w:hAnsiTheme="majorHAnsi"/>
          <w:bCs/>
          <w:color w:val="auto"/>
          <w:sz w:val="20"/>
          <w:szCs w:val="20"/>
          <w:lang w:val="es-PE"/>
        </w:rPr>
        <w:t>el 14 y 15 de noviembre</w:t>
      </w:r>
      <w:r w:rsidRPr="00A44995">
        <w:rPr>
          <w:rFonts w:asciiTheme="majorHAnsi" w:hAnsiTheme="majorHAnsi"/>
          <w:bCs/>
          <w:color w:val="auto"/>
          <w:sz w:val="20"/>
          <w:szCs w:val="20"/>
          <w:lang w:val="es-PE"/>
        </w:rPr>
        <w:t>,</w:t>
      </w:r>
      <w:r w:rsidR="008660CD" w:rsidRPr="00A44995">
        <w:rPr>
          <w:rFonts w:asciiTheme="majorHAnsi" w:hAnsiTheme="majorHAnsi"/>
          <w:bCs/>
          <w:color w:val="auto"/>
          <w:sz w:val="20"/>
          <w:szCs w:val="20"/>
          <w:lang w:val="es-PE"/>
        </w:rPr>
        <w:t xml:space="preserve"> la autoridad judicial</w:t>
      </w:r>
      <w:r w:rsidRPr="00A44995">
        <w:rPr>
          <w:rFonts w:asciiTheme="majorHAnsi" w:hAnsiTheme="majorHAnsi"/>
          <w:bCs/>
          <w:color w:val="auto"/>
          <w:sz w:val="20"/>
          <w:szCs w:val="20"/>
          <w:lang w:val="es-PE"/>
        </w:rPr>
        <w:t xml:space="preserve"> constató lo siguiente: </w:t>
      </w:r>
    </w:p>
    <w:p w14:paraId="485968BB" w14:textId="77777777" w:rsidR="00D371D1" w:rsidRPr="00A44995" w:rsidRDefault="00D371D1" w:rsidP="00D371D1">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bCs/>
          <w:color w:val="auto"/>
          <w:sz w:val="20"/>
          <w:szCs w:val="20"/>
          <w:lang w:val="es-PE"/>
        </w:rPr>
      </w:pPr>
    </w:p>
    <w:p w14:paraId="2913AF1E" w14:textId="77777777" w:rsidR="00D371D1" w:rsidRPr="00A44995" w:rsidRDefault="00D371D1" w:rsidP="008660CD">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720" w:firstLine="0"/>
        <w:jc w:val="both"/>
        <w:rPr>
          <w:rFonts w:asciiTheme="majorHAnsi" w:hAnsiTheme="majorHAnsi"/>
          <w:bCs/>
          <w:color w:val="auto"/>
          <w:sz w:val="20"/>
          <w:szCs w:val="20"/>
          <w:lang w:val="es-PE"/>
        </w:rPr>
      </w:pPr>
      <w:r w:rsidRPr="00A44995">
        <w:rPr>
          <w:rFonts w:asciiTheme="majorHAnsi" w:hAnsiTheme="majorHAnsi"/>
          <w:bCs/>
          <w:color w:val="auto"/>
          <w:sz w:val="18"/>
          <w:szCs w:val="18"/>
          <w:lang w:val="es-PE"/>
        </w:rPr>
        <w:t xml:space="preserve">(...) la destrucción del total del vehículo (quemado), quedando únicamente como evidencia, su color amarillento. La compuerta que está al lado del volante conserva el color verde oscuro (…) no tiene número de placa ni se distingue la marca ni el modelo. En la pavimentada hay partículas de parabrisas y otras piezas de la camioneta, tales como radiador, piezas pequeñas de latas y no se encontró señales de sangre debido a la lluvia que cayó el día de los hechos. </w:t>
      </w:r>
    </w:p>
    <w:p w14:paraId="7331DBED" w14:textId="77777777" w:rsidR="00D371D1" w:rsidRPr="00A44995" w:rsidRDefault="008660CD" w:rsidP="008660CD">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720" w:firstLine="0"/>
        <w:jc w:val="both"/>
        <w:rPr>
          <w:rFonts w:asciiTheme="majorHAnsi" w:hAnsiTheme="majorHAnsi"/>
          <w:bCs/>
          <w:color w:val="auto"/>
          <w:sz w:val="18"/>
          <w:szCs w:val="18"/>
          <w:lang w:val="es-PE"/>
        </w:rPr>
      </w:pPr>
      <w:r w:rsidRPr="00A44995">
        <w:rPr>
          <w:rFonts w:asciiTheme="majorHAnsi" w:hAnsiTheme="majorHAnsi"/>
          <w:bCs/>
          <w:color w:val="auto"/>
          <w:sz w:val="18"/>
          <w:szCs w:val="18"/>
          <w:lang w:val="es-PE"/>
        </w:rPr>
        <w:t xml:space="preserve">(...) </w:t>
      </w:r>
      <w:r w:rsidR="00D371D1" w:rsidRPr="00A44995">
        <w:rPr>
          <w:rFonts w:asciiTheme="majorHAnsi" w:hAnsiTheme="majorHAnsi"/>
          <w:bCs/>
          <w:color w:val="auto"/>
          <w:sz w:val="18"/>
          <w:szCs w:val="18"/>
          <w:lang w:val="es-PE"/>
        </w:rPr>
        <w:t>no encontrándose fragmentos del artefacto explosivo que lesionó a las personas y destruyó al vehículo, debido al tiempo transcurrido y al desplazamiento vehicular en la carretera (…). Al proceder a inspeccionar dicho automóvil, se visualiza que éste se encuentra a un lado de la vía del mismo costado totalmente quemado, sin placas, volcado, ubicado de norte a sur, presentando un boquete en el piso delantero derecho, con proyección de adentro hacia fuera, de cuarenta y cinco por sesenta centímetros de diámetro y múltiples perforaciones producidas por esquirlas</w:t>
      </w:r>
      <w:r w:rsidR="00D371D1" w:rsidRPr="00A44995">
        <w:rPr>
          <w:rStyle w:val="FootnoteReference"/>
          <w:rFonts w:asciiTheme="majorHAnsi" w:hAnsiTheme="majorHAnsi"/>
          <w:bCs/>
          <w:color w:val="auto"/>
          <w:sz w:val="18"/>
          <w:szCs w:val="18"/>
          <w:lang w:val="es-PE"/>
        </w:rPr>
        <w:footnoteReference w:id="11"/>
      </w:r>
      <w:r w:rsidR="00D371D1" w:rsidRPr="00A44995">
        <w:rPr>
          <w:rFonts w:asciiTheme="majorHAnsi" w:hAnsiTheme="majorHAnsi"/>
          <w:bCs/>
          <w:color w:val="auto"/>
          <w:sz w:val="18"/>
          <w:szCs w:val="18"/>
          <w:lang w:val="es-PE"/>
        </w:rPr>
        <w:t xml:space="preserve">. </w:t>
      </w:r>
    </w:p>
    <w:p w14:paraId="5ACEFE9E" w14:textId="77777777" w:rsidR="00D371D1" w:rsidRPr="00A44995" w:rsidRDefault="00D371D1" w:rsidP="00AE6D9D">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bCs/>
          <w:color w:val="auto"/>
          <w:sz w:val="20"/>
          <w:szCs w:val="20"/>
          <w:lang w:val="es-PE"/>
        </w:rPr>
      </w:pPr>
    </w:p>
    <w:p w14:paraId="520AE66A" w14:textId="77777777" w:rsidR="008732DB" w:rsidRPr="00A44995" w:rsidRDefault="008732DB" w:rsidP="00AE6D9D">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bCs/>
          <w:color w:val="auto"/>
          <w:sz w:val="20"/>
          <w:szCs w:val="20"/>
          <w:lang w:val="es-PE"/>
        </w:rPr>
      </w:pPr>
      <w:r w:rsidRPr="00A44995">
        <w:rPr>
          <w:rFonts w:asciiTheme="majorHAnsi" w:hAnsiTheme="majorHAnsi"/>
          <w:bCs/>
          <w:color w:val="auto"/>
          <w:sz w:val="20"/>
          <w:szCs w:val="20"/>
          <w:lang w:val="es-PE"/>
        </w:rPr>
        <w:t xml:space="preserve">La CIDH nota que de acuerdo a la parte peticionaria, </w:t>
      </w:r>
      <w:bookmarkStart w:id="12" w:name="_Hlk57229535"/>
      <w:r w:rsidRPr="00A44995">
        <w:rPr>
          <w:rFonts w:asciiTheme="majorHAnsi" w:hAnsiTheme="majorHAnsi"/>
          <w:bCs/>
          <w:color w:val="auto"/>
          <w:sz w:val="20"/>
          <w:szCs w:val="20"/>
          <w:lang w:val="es-PE"/>
        </w:rPr>
        <w:t>únicamente se realizaron las inspecciones sin que se adopten otro tipo de diligencias, incluyendo la realización de pruebas periciales y toma de declaraciones de las personas involucradas y testigos, a efectos de esclarecer los hechos del caso. La Comisión observa que de acuerdo a las piezas judiciales aportadas ante ésta habían al menos cuatro personas que presenciaron los hechos y que “no declararon judicialmente</w:t>
      </w:r>
      <w:bookmarkEnd w:id="12"/>
      <w:r w:rsidRPr="00A44995">
        <w:rPr>
          <w:rFonts w:asciiTheme="majorHAnsi" w:hAnsiTheme="majorHAnsi"/>
          <w:bCs/>
          <w:color w:val="auto"/>
          <w:sz w:val="20"/>
          <w:szCs w:val="20"/>
          <w:lang w:val="es-PE"/>
        </w:rPr>
        <w:t>”</w:t>
      </w:r>
      <w:r w:rsidRPr="00A44995">
        <w:rPr>
          <w:rStyle w:val="FootnoteReference"/>
          <w:rFonts w:asciiTheme="majorHAnsi" w:hAnsiTheme="majorHAnsi"/>
          <w:bCs/>
          <w:color w:val="auto"/>
          <w:sz w:val="18"/>
          <w:szCs w:val="18"/>
          <w:lang w:val="es-PE"/>
        </w:rPr>
        <w:footnoteReference w:id="12"/>
      </w:r>
      <w:r w:rsidRPr="00A44995">
        <w:rPr>
          <w:rFonts w:asciiTheme="majorHAnsi" w:hAnsiTheme="majorHAnsi"/>
          <w:bCs/>
          <w:color w:val="auto"/>
          <w:sz w:val="20"/>
          <w:szCs w:val="20"/>
          <w:lang w:val="es-PE"/>
        </w:rPr>
        <w:t xml:space="preserve">. </w:t>
      </w:r>
    </w:p>
    <w:p w14:paraId="07364362" w14:textId="77777777" w:rsidR="008732DB" w:rsidRPr="00A44995" w:rsidRDefault="008732DB" w:rsidP="008732DB">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bCs/>
          <w:color w:val="auto"/>
          <w:sz w:val="20"/>
          <w:szCs w:val="20"/>
          <w:lang w:val="es-PE"/>
        </w:rPr>
      </w:pPr>
    </w:p>
    <w:p w14:paraId="47C3B608" w14:textId="77777777" w:rsidR="00E16649" w:rsidRPr="00A44995" w:rsidRDefault="00371FE6" w:rsidP="00AE6D9D">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bCs/>
          <w:color w:val="auto"/>
          <w:sz w:val="20"/>
          <w:szCs w:val="20"/>
          <w:lang w:val="es-PE"/>
        </w:rPr>
      </w:pPr>
      <w:r w:rsidRPr="00A44995">
        <w:rPr>
          <w:rFonts w:asciiTheme="majorHAnsi" w:hAnsiTheme="majorHAnsi"/>
          <w:bCs/>
          <w:color w:val="auto"/>
          <w:sz w:val="20"/>
          <w:szCs w:val="20"/>
          <w:lang w:val="es-PE"/>
        </w:rPr>
        <w:t xml:space="preserve"> La parte peticionaria también s</w:t>
      </w:r>
      <w:r w:rsidR="00FF704A" w:rsidRPr="00A44995">
        <w:rPr>
          <w:rFonts w:asciiTheme="majorHAnsi" w:hAnsiTheme="majorHAnsi"/>
          <w:bCs/>
          <w:color w:val="auto"/>
          <w:sz w:val="20"/>
          <w:szCs w:val="20"/>
          <w:lang w:val="es-PE"/>
        </w:rPr>
        <w:t>ostuvo que e</w:t>
      </w:r>
      <w:r w:rsidR="00AE6D9D" w:rsidRPr="00A44995">
        <w:rPr>
          <w:rFonts w:asciiTheme="majorHAnsi" w:hAnsiTheme="majorHAnsi"/>
          <w:bCs/>
          <w:color w:val="auto"/>
          <w:sz w:val="20"/>
          <w:szCs w:val="20"/>
          <w:lang w:val="es-PE"/>
        </w:rPr>
        <w:t>n</w:t>
      </w:r>
      <w:r w:rsidR="00FF704A" w:rsidRPr="00A44995">
        <w:rPr>
          <w:rFonts w:asciiTheme="majorHAnsi" w:hAnsiTheme="majorHAnsi"/>
          <w:bCs/>
          <w:color w:val="auto"/>
          <w:sz w:val="20"/>
          <w:szCs w:val="20"/>
          <w:lang w:val="es-PE"/>
        </w:rPr>
        <w:t>tre</w:t>
      </w:r>
      <w:r w:rsidR="00AE6D9D" w:rsidRPr="00A44995">
        <w:rPr>
          <w:rFonts w:asciiTheme="majorHAnsi" w:hAnsiTheme="majorHAnsi"/>
          <w:bCs/>
          <w:color w:val="auto"/>
          <w:sz w:val="20"/>
          <w:szCs w:val="20"/>
          <w:lang w:val="es-PE"/>
        </w:rPr>
        <w:t xml:space="preserve"> noviembre de 1994</w:t>
      </w:r>
      <w:r w:rsidR="00FF704A" w:rsidRPr="00A44995">
        <w:rPr>
          <w:rFonts w:asciiTheme="majorHAnsi" w:hAnsiTheme="majorHAnsi"/>
          <w:bCs/>
          <w:color w:val="auto"/>
          <w:sz w:val="20"/>
          <w:szCs w:val="20"/>
          <w:lang w:val="es-PE"/>
        </w:rPr>
        <w:t xml:space="preserve"> y junio de 1995</w:t>
      </w:r>
      <w:r w:rsidR="00AE6D9D" w:rsidRPr="00A44995">
        <w:rPr>
          <w:rFonts w:asciiTheme="majorHAnsi" w:hAnsiTheme="majorHAnsi"/>
          <w:bCs/>
          <w:color w:val="auto"/>
          <w:sz w:val="20"/>
          <w:szCs w:val="20"/>
          <w:lang w:val="es-PE"/>
        </w:rPr>
        <w:t xml:space="preserve"> la investigación fue trasladada </w:t>
      </w:r>
      <w:r w:rsidR="00FF704A" w:rsidRPr="00A44995">
        <w:rPr>
          <w:rFonts w:asciiTheme="majorHAnsi" w:hAnsiTheme="majorHAnsi"/>
          <w:bCs/>
          <w:color w:val="auto"/>
          <w:sz w:val="20"/>
          <w:szCs w:val="20"/>
          <w:lang w:val="es-PE"/>
        </w:rPr>
        <w:t xml:space="preserve">a otros dos jueces. Indicó que </w:t>
      </w:r>
      <w:r w:rsidR="00663EB2" w:rsidRPr="00A44995">
        <w:rPr>
          <w:rFonts w:asciiTheme="majorHAnsi" w:hAnsiTheme="majorHAnsi"/>
          <w:bCs/>
          <w:color w:val="auto"/>
          <w:sz w:val="20"/>
          <w:szCs w:val="20"/>
          <w:lang w:val="es-PE"/>
        </w:rPr>
        <w:t>el Ministerio Público</w:t>
      </w:r>
      <w:r w:rsidR="00FF704A" w:rsidRPr="00A44995">
        <w:rPr>
          <w:rFonts w:asciiTheme="majorHAnsi" w:hAnsiTheme="majorHAnsi"/>
          <w:bCs/>
          <w:color w:val="auto"/>
          <w:sz w:val="20"/>
          <w:szCs w:val="20"/>
          <w:lang w:val="es-PE"/>
        </w:rPr>
        <w:t xml:space="preserve"> solicitó la detención provisional en contra del </w:t>
      </w:r>
      <w:r w:rsidR="00FF704A" w:rsidRPr="00A44995">
        <w:rPr>
          <w:rFonts w:asciiTheme="majorHAnsi" w:hAnsiTheme="majorHAnsi"/>
          <w:bCs/>
          <w:color w:val="auto"/>
          <w:sz w:val="20"/>
          <w:szCs w:val="20"/>
          <w:lang w:val="es-PE"/>
        </w:rPr>
        <w:lastRenderedPageBreak/>
        <w:t xml:space="preserve">señor Castillo. Sostuvo que dicha solicitud no fue respondida. </w:t>
      </w:r>
      <w:r w:rsidR="00BC60F9" w:rsidRPr="00A44995">
        <w:rPr>
          <w:rFonts w:asciiTheme="majorHAnsi" w:hAnsiTheme="majorHAnsi"/>
          <w:bCs/>
          <w:color w:val="auto"/>
          <w:sz w:val="20"/>
          <w:szCs w:val="20"/>
          <w:lang w:val="es-PE"/>
        </w:rPr>
        <w:t>Asimismo, informó que dichos jueces tampoco realizaron ninguna diligencia sobre los hechos del caso. La Comisión observa que el Estado no presentó documentación</w:t>
      </w:r>
      <w:r w:rsidR="008A33B5" w:rsidRPr="00A44995">
        <w:rPr>
          <w:rFonts w:asciiTheme="majorHAnsi" w:hAnsiTheme="majorHAnsi"/>
          <w:bCs/>
          <w:color w:val="auto"/>
          <w:sz w:val="20"/>
          <w:szCs w:val="20"/>
          <w:lang w:val="es-PE"/>
        </w:rPr>
        <w:t xml:space="preserve"> sobre la realización de diligencias en dicha época.</w:t>
      </w:r>
    </w:p>
    <w:p w14:paraId="3A2B29EC" w14:textId="77777777" w:rsidR="008A33B5" w:rsidRPr="00A44995" w:rsidRDefault="008A33B5" w:rsidP="008A33B5">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bCs/>
          <w:color w:val="auto"/>
          <w:sz w:val="20"/>
          <w:szCs w:val="20"/>
          <w:lang w:val="es-PE"/>
        </w:rPr>
      </w:pPr>
    </w:p>
    <w:p w14:paraId="24F4147C" w14:textId="77777777" w:rsidR="008A33B5" w:rsidRPr="00A44995" w:rsidRDefault="008A33B5" w:rsidP="00AE6D9D">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bCs/>
          <w:color w:val="auto"/>
          <w:sz w:val="20"/>
          <w:szCs w:val="20"/>
          <w:lang w:val="es-PE"/>
        </w:rPr>
      </w:pPr>
      <w:r w:rsidRPr="00A44995">
        <w:rPr>
          <w:rFonts w:asciiTheme="majorHAnsi" w:hAnsiTheme="majorHAnsi"/>
          <w:bCs/>
          <w:color w:val="auto"/>
          <w:sz w:val="20"/>
          <w:szCs w:val="20"/>
          <w:lang w:val="es-PE"/>
        </w:rPr>
        <w:t>La CIDH toma nota de que la parte peticionaria sostuvo que el proceso se mantuvo abierto, sin ninguna actividad procesal</w:t>
      </w:r>
      <w:r w:rsidR="00B14AF3" w:rsidRPr="00A44995">
        <w:rPr>
          <w:rFonts w:asciiTheme="majorHAnsi" w:hAnsiTheme="majorHAnsi"/>
          <w:bCs/>
          <w:color w:val="auto"/>
          <w:sz w:val="20"/>
          <w:szCs w:val="20"/>
          <w:lang w:val="es-PE"/>
        </w:rPr>
        <w:t xml:space="preserve"> a pesar de diversas solicitudes,</w:t>
      </w:r>
      <w:r w:rsidRPr="00A44995">
        <w:rPr>
          <w:rFonts w:asciiTheme="majorHAnsi" w:hAnsiTheme="majorHAnsi"/>
          <w:bCs/>
          <w:color w:val="auto"/>
          <w:sz w:val="20"/>
          <w:szCs w:val="20"/>
          <w:lang w:val="es-PE"/>
        </w:rPr>
        <w:t xml:space="preserve"> y que únicamente fue trasladado a conocimiento de diversas autoridades judiciales: i) en abril de 1998 as</w:t>
      </w:r>
      <w:r w:rsidR="005C3906" w:rsidRPr="00A44995">
        <w:rPr>
          <w:rFonts w:asciiTheme="majorHAnsi" w:hAnsiTheme="majorHAnsi"/>
          <w:bCs/>
          <w:color w:val="auto"/>
          <w:sz w:val="20"/>
          <w:szCs w:val="20"/>
          <w:lang w:val="es-PE"/>
        </w:rPr>
        <w:t>umió el Juez de Instrucción en P</w:t>
      </w:r>
      <w:r w:rsidRPr="00A44995">
        <w:rPr>
          <w:rFonts w:asciiTheme="majorHAnsi" w:hAnsiTheme="majorHAnsi"/>
          <w:bCs/>
          <w:color w:val="auto"/>
          <w:sz w:val="20"/>
          <w:szCs w:val="20"/>
          <w:lang w:val="es-PE"/>
        </w:rPr>
        <w:t xml:space="preserve">ropiedad de Ahuachapán; </w:t>
      </w:r>
      <w:r w:rsidR="00411D91" w:rsidRPr="00A44995">
        <w:rPr>
          <w:rFonts w:asciiTheme="majorHAnsi" w:hAnsiTheme="majorHAnsi"/>
          <w:bCs/>
          <w:color w:val="auto"/>
          <w:sz w:val="20"/>
          <w:szCs w:val="20"/>
          <w:lang w:val="es-PE"/>
        </w:rPr>
        <w:t xml:space="preserve">y </w:t>
      </w:r>
      <w:r w:rsidRPr="00A44995">
        <w:rPr>
          <w:rFonts w:asciiTheme="majorHAnsi" w:hAnsiTheme="majorHAnsi"/>
          <w:bCs/>
          <w:color w:val="auto"/>
          <w:sz w:val="20"/>
          <w:szCs w:val="20"/>
          <w:lang w:val="es-PE"/>
        </w:rPr>
        <w:t xml:space="preserve">ii) en abril de </w:t>
      </w:r>
      <w:r w:rsidR="00411D91" w:rsidRPr="00A44995">
        <w:rPr>
          <w:rFonts w:asciiTheme="majorHAnsi" w:hAnsiTheme="majorHAnsi"/>
          <w:bCs/>
          <w:color w:val="auto"/>
          <w:sz w:val="20"/>
          <w:szCs w:val="20"/>
          <w:lang w:val="es-PE"/>
        </w:rPr>
        <w:t>2001 asumió una jueza interina</w:t>
      </w:r>
      <w:r w:rsidR="005C3906" w:rsidRPr="00A44995">
        <w:rPr>
          <w:rStyle w:val="FootnoteReference"/>
          <w:rFonts w:asciiTheme="majorHAnsi" w:hAnsiTheme="majorHAnsi"/>
          <w:bCs/>
          <w:color w:val="auto"/>
          <w:sz w:val="18"/>
          <w:szCs w:val="18"/>
          <w:lang w:val="es-PE"/>
        </w:rPr>
        <w:footnoteReference w:id="13"/>
      </w:r>
      <w:r w:rsidR="00411D91" w:rsidRPr="00A44995">
        <w:rPr>
          <w:rFonts w:asciiTheme="majorHAnsi" w:hAnsiTheme="majorHAnsi"/>
          <w:bCs/>
          <w:color w:val="auto"/>
          <w:sz w:val="20"/>
          <w:szCs w:val="20"/>
          <w:lang w:val="es-PE"/>
        </w:rPr>
        <w:t xml:space="preserve">. </w:t>
      </w:r>
      <w:r w:rsidRPr="00A44995">
        <w:rPr>
          <w:rFonts w:asciiTheme="majorHAnsi" w:hAnsiTheme="majorHAnsi"/>
          <w:bCs/>
          <w:color w:val="auto"/>
          <w:sz w:val="20"/>
          <w:szCs w:val="20"/>
          <w:lang w:val="es-PE"/>
        </w:rPr>
        <w:t>La Comisión observa que el Estado no presentó documentación sobre la realización de diligencias en dicha época.</w:t>
      </w:r>
    </w:p>
    <w:p w14:paraId="42C2930B" w14:textId="77777777" w:rsidR="00411D91" w:rsidRPr="00A44995" w:rsidRDefault="00411D91" w:rsidP="00411D91">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bCs/>
          <w:color w:val="auto"/>
          <w:sz w:val="20"/>
          <w:szCs w:val="20"/>
          <w:lang w:val="es-PE"/>
        </w:rPr>
      </w:pPr>
    </w:p>
    <w:p w14:paraId="3D8FD71A" w14:textId="77777777" w:rsidR="0064778A" w:rsidRPr="00A44995" w:rsidRDefault="00411D91" w:rsidP="00AE6D9D">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bCs/>
          <w:color w:val="auto"/>
          <w:sz w:val="20"/>
          <w:szCs w:val="20"/>
          <w:lang w:val="es-PE"/>
        </w:rPr>
      </w:pPr>
      <w:r w:rsidRPr="00A44995">
        <w:rPr>
          <w:rFonts w:asciiTheme="majorHAnsi" w:hAnsiTheme="majorHAnsi"/>
          <w:bCs/>
          <w:color w:val="auto"/>
          <w:sz w:val="20"/>
          <w:szCs w:val="20"/>
          <w:lang w:val="es-PE"/>
        </w:rPr>
        <w:t>La parte peticionaria informó que en junio de 2001 asumió el caso otro Juez de Instrucc</w:t>
      </w:r>
      <w:r w:rsidR="009F70EC" w:rsidRPr="00A44995">
        <w:rPr>
          <w:rFonts w:asciiTheme="majorHAnsi" w:hAnsiTheme="majorHAnsi"/>
          <w:bCs/>
          <w:color w:val="auto"/>
          <w:sz w:val="20"/>
          <w:szCs w:val="20"/>
          <w:lang w:val="es-PE"/>
        </w:rPr>
        <w:t>ión en P</w:t>
      </w:r>
      <w:r w:rsidRPr="00A44995">
        <w:rPr>
          <w:rFonts w:asciiTheme="majorHAnsi" w:hAnsiTheme="majorHAnsi"/>
          <w:bCs/>
          <w:color w:val="auto"/>
          <w:sz w:val="20"/>
          <w:szCs w:val="20"/>
          <w:lang w:val="es-PE"/>
        </w:rPr>
        <w:t xml:space="preserve">ropiedad de Ahuachapán. Indicó que realizó una inspección en el lugar de los hechos y emitió una orden para que el señor Castillo comparezca y rinda su declaración. La parte peticionaria alegó que </w:t>
      </w:r>
      <w:r w:rsidR="00524132" w:rsidRPr="00A44995">
        <w:rPr>
          <w:rFonts w:asciiTheme="majorHAnsi" w:hAnsiTheme="majorHAnsi"/>
          <w:bCs/>
          <w:color w:val="auto"/>
          <w:sz w:val="20"/>
          <w:szCs w:val="20"/>
          <w:lang w:val="es-PE"/>
        </w:rPr>
        <w:t xml:space="preserve">el entonces </w:t>
      </w:r>
      <w:bookmarkStart w:id="13" w:name="_Hlk57228739"/>
      <w:r w:rsidR="00524132" w:rsidRPr="00A44995">
        <w:rPr>
          <w:rFonts w:asciiTheme="majorHAnsi" w:hAnsiTheme="majorHAnsi"/>
          <w:bCs/>
          <w:color w:val="auto"/>
          <w:sz w:val="20"/>
          <w:szCs w:val="20"/>
          <w:lang w:val="es-PE"/>
        </w:rPr>
        <w:t>Magistrado Presidente de la Cámara de la Tercera Sección de Occidente</w:t>
      </w:r>
      <w:bookmarkEnd w:id="13"/>
      <w:r w:rsidR="00524132" w:rsidRPr="00A44995">
        <w:rPr>
          <w:rFonts w:asciiTheme="majorHAnsi" w:hAnsiTheme="majorHAnsi"/>
          <w:bCs/>
          <w:color w:val="auto"/>
          <w:sz w:val="20"/>
          <w:szCs w:val="20"/>
          <w:lang w:val="es-PE"/>
        </w:rPr>
        <w:t>, quien era</w:t>
      </w:r>
      <w:r w:rsidR="0064778A" w:rsidRPr="00A44995">
        <w:rPr>
          <w:rFonts w:asciiTheme="majorHAnsi" w:hAnsiTheme="majorHAnsi"/>
          <w:bCs/>
          <w:color w:val="auto"/>
          <w:sz w:val="20"/>
          <w:szCs w:val="20"/>
          <w:lang w:val="es-PE"/>
        </w:rPr>
        <w:t xml:space="preserve"> “uno de los padrinos y defensores”</w:t>
      </w:r>
      <w:r w:rsidR="00CE61E0" w:rsidRPr="00A44995">
        <w:rPr>
          <w:rFonts w:asciiTheme="majorHAnsi" w:hAnsiTheme="majorHAnsi"/>
          <w:bCs/>
          <w:color w:val="auto"/>
          <w:sz w:val="20"/>
          <w:szCs w:val="20"/>
          <w:lang w:val="es-PE"/>
        </w:rPr>
        <w:t xml:space="preserve"> del señor Castillo, le pidió al juez que desistiera de la investigación. Añadió que debido a ello dicho juez no ejecutó la orden de comparecencia del señor Castillo</w:t>
      </w:r>
      <w:r w:rsidR="0064778A" w:rsidRPr="00A44995">
        <w:rPr>
          <w:rStyle w:val="FootnoteReference"/>
          <w:rFonts w:asciiTheme="majorHAnsi" w:hAnsiTheme="majorHAnsi"/>
          <w:bCs/>
          <w:color w:val="auto"/>
          <w:sz w:val="20"/>
          <w:szCs w:val="20"/>
          <w:lang w:val="es-PE"/>
        </w:rPr>
        <w:footnoteReference w:id="14"/>
      </w:r>
      <w:r w:rsidR="0064778A" w:rsidRPr="00A44995">
        <w:rPr>
          <w:rFonts w:asciiTheme="majorHAnsi" w:hAnsiTheme="majorHAnsi"/>
          <w:bCs/>
          <w:color w:val="auto"/>
          <w:sz w:val="20"/>
          <w:szCs w:val="20"/>
          <w:lang w:val="es-PE"/>
        </w:rPr>
        <w:t>.</w:t>
      </w:r>
      <w:r w:rsidR="00CE61E0" w:rsidRPr="00A44995">
        <w:rPr>
          <w:rFonts w:asciiTheme="majorHAnsi" w:hAnsiTheme="majorHAnsi"/>
          <w:bCs/>
          <w:color w:val="auto"/>
          <w:sz w:val="20"/>
          <w:szCs w:val="20"/>
          <w:lang w:val="es-PE"/>
        </w:rPr>
        <w:t xml:space="preserve"> </w:t>
      </w:r>
      <w:r w:rsidR="009F70EC" w:rsidRPr="00A44995">
        <w:rPr>
          <w:rFonts w:asciiTheme="majorHAnsi" w:hAnsiTheme="majorHAnsi"/>
          <w:bCs/>
          <w:color w:val="auto"/>
          <w:sz w:val="20"/>
          <w:szCs w:val="20"/>
          <w:lang w:val="es-PE"/>
        </w:rPr>
        <w:t xml:space="preserve">Dicha información no fue controvertida por el Estado. </w:t>
      </w:r>
    </w:p>
    <w:p w14:paraId="523BCC92" w14:textId="77777777" w:rsidR="0064778A" w:rsidRPr="00A44995" w:rsidRDefault="0064778A" w:rsidP="0064778A">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bCs/>
          <w:color w:val="auto"/>
          <w:sz w:val="20"/>
          <w:szCs w:val="20"/>
          <w:lang w:val="es-PE"/>
        </w:rPr>
      </w:pPr>
    </w:p>
    <w:p w14:paraId="5B23EBDB" w14:textId="77777777" w:rsidR="00411D91" w:rsidRPr="00A44995" w:rsidRDefault="0064778A" w:rsidP="00AE6D9D">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bCs/>
          <w:color w:val="auto"/>
          <w:sz w:val="20"/>
          <w:szCs w:val="20"/>
          <w:lang w:val="es-PE"/>
        </w:rPr>
      </w:pPr>
      <w:r w:rsidRPr="00A44995">
        <w:rPr>
          <w:rFonts w:asciiTheme="majorHAnsi" w:hAnsiTheme="majorHAnsi"/>
          <w:bCs/>
          <w:color w:val="auto"/>
          <w:sz w:val="20"/>
          <w:szCs w:val="20"/>
          <w:lang w:val="es-PE"/>
        </w:rPr>
        <w:t xml:space="preserve">La Comisión nota que dicho juez solicitó excusarse de conocer el proceso. </w:t>
      </w:r>
      <w:r w:rsidR="00660660" w:rsidRPr="00A44995">
        <w:rPr>
          <w:rFonts w:asciiTheme="majorHAnsi" w:hAnsiTheme="majorHAnsi"/>
          <w:bCs/>
          <w:color w:val="auto"/>
          <w:sz w:val="20"/>
          <w:szCs w:val="20"/>
          <w:lang w:val="es-PE"/>
        </w:rPr>
        <w:t>Ello debido a que el señor Aguirre laboraba en el mismo juzgado que conocía del asunto. El 28 de mayo de 2002 la Cámara de la Tercera Sección de Occidente resolvió a favor de la excusa formulada</w:t>
      </w:r>
      <w:r w:rsidR="00660660" w:rsidRPr="00A44995">
        <w:rPr>
          <w:rStyle w:val="FootnoteReference"/>
          <w:rFonts w:asciiTheme="majorHAnsi" w:hAnsiTheme="majorHAnsi"/>
          <w:bCs/>
          <w:color w:val="auto"/>
          <w:sz w:val="20"/>
          <w:szCs w:val="20"/>
          <w:lang w:val="es-PE"/>
        </w:rPr>
        <w:footnoteReference w:id="15"/>
      </w:r>
      <w:r w:rsidR="00660660" w:rsidRPr="00A44995">
        <w:rPr>
          <w:rFonts w:asciiTheme="majorHAnsi" w:hAnsiTheme="majorHAnsi"/>
          <w:bCs/>
          <w:color w:val="auto"/>
          <w:sz w:val="20"/>
          <w:szCs w:val="20"/>
          <w:lang w:val="es-PE"/>
        </w:rPr>
        <w:t xml:space="preserve">. </w:t>
      </w:r>
    </w:p>
    <w:p w14:paraId="0C1C2334" w14:textId="77777777" w:rsidR="00660660" w:rsidRPr="00A44995" w:rsidRDefault="00660660" w:rsidP="00660660">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bCs/>
          <w:color w:val="auto"/>
          <w:sz w:val="20"/>
          <w:szCs w:val="20"/>
          <w:lang w:val="es-PE"/>
        </w:rPr>
      </w:pPr>
    </w:p>
    <w:p w14:paraId="2E7F31EC" w14:textId="77777777" w:rsidR="00660660" w:rsidRPr="00A44995" w:rsidRDefault="00660660" w:rsidP="00AE6D9D">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bCs/>
          <w:color w:val="auto"/>
          <w:sz w:val="20"/>
          <w:szCs w:val="20"/>
          <w:lang w:val="es-PE"/>
        </w:rPr>
      </w:pPr>
      <w:r w:rsidRPr="00A44995">
        <w:rPr>
          <w:rFonts w:asciiTheme="majorHAnsi" w:hAnsiTheme="majorHAnsi"/>
          <w:bCs/>
          <w:color w:val="auto"/>
          <w:sz w:val="20"/>
          <w:szCs w:val="20"/>
          <w:lang w:val="es-PE"/>
        </w:rPr>
        <w:t>La CIDH observa que la parte peticionaria informó que el proceso siguió abierto y no se designó a un juzgado hasta mediados del año 2003. Sostuvo que el proceso fue remitido al Juez de Primera Instancia de Atiquizaya</w:t>
      </w:r>
      <w:r w:rsidR="008E1A54" w:rsidRPr="00A44995">
        <w:rPr>
          <w:rStyle w:val="FootnoteReference"/>
          <w:rFonts w:asciiTheme="majorHAnsi" w:hAnsiTheme="majorHAnsi"/>
          <w:bCs/>
          <w:color w:val="auto"/>
          <w:sz w:val="20"/>
          <w:szCs w:val="20"/>
          <w:lang w:val="es-PE"/>
        </w:rPr>
        <w:footnoteReference w:id="16"/>
      </w:r>
      <w:r w:rsidRPr="00A44995">
        <w:rPr>
          <w:rFonts w:asciiTheme="majorHAnsi" w:hAnsiTheme="majorHAnsi"/>
          <w:bCs/>
          <w:color w:val="auto"/>
          <w:sz w:val="20"/>
          <w:szCs w:val="20"/>
          <w:lang w:val="es-PE"/>
        </w:rPr>
        <w:t>. El Estado señaló que el 2 de octubre del mismo año el juez solicitó excusarse de conocer el proceso</w:t>
      </w:r>
      <w:r w:rsidR="008E1A54" w:rsidRPr="00A44995">
        <w:rPr>
          <w:rStyle w:val="FootnoteReference"/>
          <w:rFonts w:asciiTheme="majorHAnsi" w:hAnsiTheme="majorHAnsi"/>
          <w:bCs/>
          <w:color w:val="auto"/>
          <w:sz w:val="20"/>
          <w:szCs w:val="20"/>
          <w:lang w:val="es-PE"/>
        </w:rPr>
        <w:footnoteReference w:id="17"/>
      </w:r>
      <w:r w:rsidRPr="00A44995">
        <w:rPr>
          <w:rFonts w:asciiTheme="majorHAnsi" w:hAnsiTheme="majorHAnsi"/>
          <w:bCs/>
          <w:color w:val="auto"/>
          <w:sz w:val="20"/>
          <w:szCs w:val="20"/>
          <w:lang w:val="es-PE"/>
        </w:rPr>
        <w:t xml:space="preserve">.  </w:t>
      </w:r>
      <w:r w:rsidR="008E1A54" w:rsidRPr="00A44995">
        <w:rPr>
          <w:rFonts w:asciiTheme="majorHAnsi" w:hAnsiTheme="majorHAnsi"/>
          <w:bCs/>
          <w:color w:val="auto"/>
          <w:sz w:val="20"/>
          <w:szCs w:val="20"/>
          <w:lang w:val="es-PE"/>
        </w:rPr>
        <w:t>La CIDH toma nota de que el juez indicó que su excusa se basaba en el hecho de “haber tenido una relación laboral” con el señor Aguirre</w:t>
      </w:r>
      <w:r w:rsidR="008E1A54" w:rsidRPr="00A44995">
        <w:rPr>
          <w:rStyle w:val="FootnoteReference"/>
          <w:rFonts w:asciiTheme="majorHAnsi" w:hAnsiTheme="majorHAnsi"/>
          <w:bCs/>
          <w:color w:val="auto"/>
          <w:sz w:val="20"/>
          <w:szCs w:val="20"/>
          <w:lang w:val="es-PE"/>
        </w:rPr>
        <w:footnoteReference w:id="18"/>
      </w:r>
      <w:r w:rsidR="008E1A54" w:rsidRPr="00A44995">
        <w:rPr>
          <w:rFonts w:asciiTheme="majorHAnsi" w:hAnsiTheme="majorHAnsi"/>
          <w:bCs/>
          <w:color w:val="auto"/>
          <w:sz w:val="20"/>
          <w:szCs w:val="20"/>
          <w:lang w:val="es-PE"/>
        </w:rPr>
        <w:t>. El 7 de octubre de 2003 la Cámara de la Tercera Sección de Occidente denegó la solicitud. La Cámara sostuvo que la causal presentada “no era suficiente fundamento para estimar que pueda concurrir sospecha de parcialidad” y ordenó que se continúe con la tramitación de la causa</w:t>
      </w:r>
      <w:r w:rsidR="008E1A54" w:rsidRPr="00A44995">
        <w:rPr>
          <w:rStyle w:val="FootnoteReference"/>
          <w:rFonts w:asciiTheme="majorHAnsi" w:hAnsiTheme="majorHAnsi"/>
          <w:bCs/>
          <w:color w:val="auto"/>
          <w:sz w:val="20"/>
          <w:szCs w:val="20"/>
          <w:lang w:val="es-PE"/>
        </w:rPr>
        <w:footnoteReference w:id="19"/>
      </w:r>
      <w:r w:rsidR="008E1A54" w:rsidRPr="00A44995">
        <w:rPr>
          <w:rFonts w:asciiTheme="majorHAnsi" w:hAnsiTheme="majorHAnsi"/>
          <w:bCs/>
          <w:color w:val="auto"/>
          <w:sz w:val="20"/>
          <w:szCs w:val="20"/>
          <w:lang w:val="es-PE"/>
        </w:rPr>
        <w:t>. La parte peticionaria indicó que dicho juez no adoptó ninguna diligencia durante esta época</w:t>
      </w:r>
      <w:r w:rsidR="008E1A54" w:rsidRPr="00A44995">
        <w:rPr>
          <w:rStyle w:val="FootnoteReference"/>
          <w:rFonts w:asciiTheme="majorHAnsi" w:hAnsiTheme="majorHAnsi"/>
          <w:bCs/>
          <w:color w:val="auto"/>
          <w:sz w:val="20"/>
          <w:szCs w:val="20"/>
          <w:lang w:val="es-PE"/>
        </w:rPr>
        <w:footnoteReference w:id="20"/>
      </w:r>
      <w:r w:rsidR="008E1A54" w:rsidRPr="00A44995">
        <w:rPr>
          <w:rFonts w:asciiTheme="majorHAnsi" w:hAnsiTheme="majorHAnsi"/>
          <w:bCs/>
          <w:color w:val="auto"/>
          <w:sz w:val="20"/>
          <w:szCs w:val="20"/>
          <w:lang w:val="es-PE"/>
        </w:rPr>
        <w:t xml:space="preserve">. El Estado no controvirtió dicha información.  </w:t>
      </w:r>
    </w:p>
    <w:p w14:paraId="60AAEEC5" w14:textId="77777777" w:rsidR="008E1A54" w:rsidRPr="00A44995" w:rsidRDefault="008E1A54" w:rsidP="008E1A54">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bCs/>
          <w:color w:val="auto"/>
          <w:sz w:val="20"/>
          <w:szCs w:val="20"/>
          <w:lang w:val="es-PE"/>
        </w:rPr>
      </w:pPr>
    </w:p>
    <w:p w14:paraId="1896D2B6" w14:textId="77777777" w:rsidR="00992DFC" w:rsidRPr="00A44995" w:rsidRDefault="00992DFC" w:rsidP="00992DFC">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bCs/>
          <w:color w:val="auto"/>
          <w:sz w:val="20"/>
          <w:szCs w:val="20"/>
          <w:lang w:val="es-PE"/>
        </w:rPr>
      </w:pPr>
      <w:r w:rsidRPr="00A44995">
        <w:rPr>
          <w:rFonts w:ascii="Cambria" w:hAnsi="Cambria"/>
          <w:bCs/>
          <w:color w:val="auto"/>
          <w:sz w:val="20"/>
          <w:szCs w:val="20"/>
          <w:lang w:val="es-PE"/>
        </w:rPr>
        <w:t>El 19 de mayo de 2004</w:t>
      </w:r>
      <w:r w:rsidR="00873016" w:rsidRPr="00A44995">
        <w:rPr>
          <w:rFonts w:ascii="Cambria" w:hAnsi="Cambria"/>
          <w:bCs/>
          <w:color w:val="auto"/>
          <w:sz w:val="20"/>
          <w:szCs w:val="20"/>
          <w:lang w:val="es-PE"/>
        </w:rPr>
        <w:t xml:space="preserve"> </w:t>
      </w:r>
      <w:bookmarkStart w:id="14" w:name="_Hlk57225479"/>
      <w:bookmarkStart w:id="15" w:name="_Hlk57232943"/>
      <w:r w:rsidR="00873016" w:rsidRPr="00A44995">
        <w:rPr>
          <w:rFonts w:ascii="Cambria" w:hAnsi="Cambria"/>
          <w:bCs/>
          <w:color w:val="auto"/>
          <w:sz w:val="20"/>
          <w:szCs w:val="20"/>
          <w:lang w:val="es-PE"/>
        </w:rPr>
        <w:t>el Juez de Primera Instancia de Atiquizaya</w:t>
      </w:r>
      <w:r w:rsidR="007740B1" w:rsidRPr="00A44995">
        <w:rPr>
          <w:rFonts w:ascii="Cambria" w:hAnsi="Cambria"/>
          <w:bCs/>
          <w:color w:val="auto"/>
          <w:sz w:val="20"/>
          <w:szCs w:val="20"/>
          <w:lang w:val="es-PE"/>
        </w:rPr>
        <w:t xml:space="preserve"> </w:t>
      </w:r>
      <w:bookmarkEnd w:id="14"/>
      <w:r w:rsidRPr="00A44995">
        <w:rPr>
          <w:rFonts w:ascii="Cambria" w:hAnsi="Cambria"/>
          <w:bCs/>
          <w:color w:val="auto"/>
          <w:sz w:val="20"/>
          <w:szCs w:val="20"/>
          <w:lang w:val="es-PE"/>
        </w:rPr>
        <w:t xml:space="preserve">emitió una resolución donde </w:t>
      </w:r>
      <w:bookmarkStart w:id="16" w:name="_Hlk57225494"/>
      <w:r w:rsidRPr="00A44995">
        <w:rPr>
          <w:rFonts w:ascii="Cambria" w:hAnsi="Cambria"/>
          <w:bCs/>
          <w:color w:val="auto"/>
          <w:sz w:val="20"/>
          <w:szCs w:val="20"/>
          <w:lang w:val="es-PE"/>
        </w:rPr>
        <w:t xml:space="preserve">declaró </w:t>
      </w:r>
      <w:r w:rsidR="007740B1" w:rsidRPr="00A44995">
        <w:rPr>
          <w:rFonts w:ascii="Cambria" w:hAnsi="Cambria"/>
          <w:bCs/>
          <w:color w:val="auto"/>
          <w:sz w:val="20"/>
          <w:szCs w:val="20"/>
          <w:lang w:val="es-PE"/>
        </w:rPr>
        <w:t>el sobreseimiento provisional</w:t>
      </w:r>
      <w:r w:rsidR="00873016" w:rsidRPr="00A44995">
        <w:rPr>
          <w:rFonts w:ascii="Cambria" w:hAnsi="Cambria"/>
          <w:bCs/>
          <w:color w:val="auto"/>
          <w:sz w:val="20"/>
          <w:szCs w:val="20"/>
          <w:lang w:val="es-PE"/>
        </w:rPr>
        <w:t xml:space="preserve"> del </w:t>
      </w:r>
      <w:r w:rsidR="008732DB" w:rsidRPr="00A44995">
        <w:rPr>
          <w:rFonts w:ascii="Cambria" w:hAnsi="Cambria"/>
          <w:bCs/>
          <w:color w:val="auto"/>
          <w:sz w:val="20"/>
          <w:szCs w:val="20"/>
          <w:lang w:val="es-PE"/>
        </w:rPr>
        <w:t>señor Castillo por los tres cargos imputados</w:t>
      </w:r>
      <w:bookmarkEnd w:id="15"/>
      <w:bookmarkEnd w:id="16"/>
      <w:r w:rsidR="0055246F" w:rsidRPr="00A44995">
        <w:rPr>
          <w:rFonts w:ascii="Cambria" w:hAnsi="Cambria"/>
          <w:bCs/>
          <w:color w:val="auto"/>
          <w:sz w:val="20"/>
          <w:szCs w:val="20"/>
          <w:lang w:val="es-PE"/>
        </w:rPr>
        <w:t>.</w:t>
      </w:r>
      <w:r w:rsidR="00FD1B19" w:rsidRPr="00A44995">
        <w:rPr>
          <w:rFonts w:ascii="Cambria" w:hAnsi="Cambria"/>
          <w:bCs/>
          <w:color w:val="auto"/>
          <w:sz w:val="20"/>
          <w:szCs w:val="20"/>
          <w:lang w:val="es-PE"/>
        </w:rPr>
        <w:t xml:space="preserve"> </w:t>
      </w:r>
      <w:r w:rsidR="008732DB" w:rsidRPr="00A44995">
        <w:rPr>
          <w:rFonts w:ascii="Cambria" w:hAnsi="Cambria"/>
          <w:bCs/>
          <w:color w:val="auto"/>
          <w:sz w:val="20"/>
          <w:szCs w:val="20"/>
          <w:lang w:val="es-PE"/>
        </w:rPr>
        <w:t>Ello al no haberse probado su participación en los hechos, así como tampoco su relación con las lesiones causadas al señor Aguirre. El juez indicó que su decisión se basa en que “en cuanto al cuerpo del delito y participación delincuencial en los ilícitos (…) no se recibió ninguna clase de prueba, que ni tan si quiera hubo formalmente denuncia, secuestro de arma, prueba testimonial, ni señalamiento directo de responsable alguno al respecto, más que solo lo dich</w:t>
      </w:r>
      <w:r w:rsidR="00024626" w:rsidRPr="00A44995">
        <w:rPr>
          <w:rFonts w:ascii="Cambria" w:hAnsi="Cambria"/>
          <w:bCs/>
          <w:color w:val="auto"/>
          <w:sz w:val="20"/>
          <w:szCs w:val="20"/>
          <w:lang w:val="es-PE"/>
        </w:rPr>
        <w:t>o por el ofendido Aguirre</w:t>
      </w:r>
      <w:r w:rsidR="008732DB" w:rsidRPr="00A44995">
        <w:rPr>
          <w:rFonts w:ascii="Cambria" w:hAnsi="Cambria"/>
          <w:bCs/>
          <w:color w:val="auto"/>
          <w:sz w:val="20"/>
          <w:szCs w:val="20"/>
          <w:lang w:val="es-PE"/>
        </w:rPr>
        <w:t>”.</w:t>
      </w:r>
      <w:r w:rsidR="00024626" w:rsidRPr="00A44995">
        <w:rPr>
          <w:rFonts w:ascii="Cambria" w:hAnsi="Cambria"/>
          <w:bCs/>
          <w:color w:val="auto"/>
          <w:sz w:val="20"/>
          <w:szCs w:val="20"/>
          <w:lang w:val="es-PE"/>
        </w:rPr>
        <w:t xml:space="preserve"> Agregó que “no aparece en las diligencias ningún testigo presencial o referencial que corrobore en lo más mínimo lo dicho por parte del señor Aguirre”</w:t>
      </w:r>
      <w:r w:rsidR="00024626" w:rsidRPr="00A44995">
        <w:rPr>
          <w:rFonts w:ascii="Cambria" w:hAnsi="Cambria"/>
          <w:bCs/>
          <w:sz w:val="20"/>
          <w:szCs w:val="20"/>
          <w:vertAlign w:val="superscript"/>
          <w:lang w:val="es-PE"/>
        </w:rPr>
        <w:footnoteReference w:id="21"/>
      </w:r>
      <w:r w:rsidR="00024626" w:rsidRPr="00A44995">
        <w:rPr>
          <w:rFonts w:ascii="Cambria" w:hAnsi="Cambria"/>
          <w:bCs/>
          <w:color w:val="auto"/>
          <w:sz w:val="20"/>
          <w:szCs w:val="20"/>
          <w:lang w:val="es-PE"/>
        </w:rPr>
        <w:t>.</w:t>
      </w:r>
    </w:p>
    <w:p w14:paraId="6D1E4D1B" w14:textId="77777777" w:rsidR="00992DFC" w:rsidRPr="00A44995" w:rsidRDefault="00992DFC" w:rsidP="00992DFC">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bCs/>
          <w:color w:val="auto"/>
          <w:sz w:val="20"/>
          <w:szCs w:val="20"/>
          <w:lang w:val="es-PE"/>
        </w:rPr>
      </w:pPr>
    </w:p>
    <w:p w14:paraId="3E80FF77" w14:textId="77777777" w:rsidR="00371FE6" w:rsidRPr="00A44995" w:rsidRDefault="00024626" w:rsidP="00C139D4">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bCs/>
          <w:color w:val="auto"/>
          <w:sz w:val="20"/>
          <w:szCs w:val="20"/>
          <w:lang w:val="es-PE"/>
        </w:rPr>
      </w:pPr>
      <w:r w:rsidRPr="00A44995">
        <w:rPr>
          <w:rFonts w:ascii="Cambria" w:hAnsi="Cambria"/>
          <w:bCs/>
          <w:color w:val="auto"/>
          <w:sz w:val="20"/>
          <w:szCs w:val="20"/>
          <w:lang w:val="es-PE"/>
        </w:rPr>
        <w:t xml:space="preserve">El 28 mayo de 2004 el Ministerio Fiscal apeló la resolución de sobreseimiento. </w:t>
      </w:r>
      <w:r w:rsidR="00C139D4" w:rsidRPr="00A44995">
        <w:rPr>
          <w:rFonts w:ascii="Cambria" w:hAnsi="Cambria"/>
          <w:bCs/>
          <w:color w:val="auto"/>
          <w:sz w:val="20"/>
          <w:szCs w:val="20"/>
          <w:lang w:val="es-PE"/>
        </w:rPr>
        <w:t>R</w:t>
      </w:r>
      <w:r w:rsidR="00C2248D" w:rsidRPr="00A44995">
        <w:rPr>
          <w:rFonts w:ascii="Cambria" w:hAnsi="Cambria"/>
          <w:bCs/>
          <w:color w:val="auto"/>
          <w:sz w:val="20"/>
          <w:szCs w:val="20"/>
          <w:lang w:val="es-PE"/>
        </w:rPr>
        <w:t>efirió que de la e</w:t>
      </w:r>
      <w:r w:rsidRPr="00A44995">
        <w:rPr>
          <w:rFonts w:ascii="Cambria" w:hAnsi="Cambria"/>
          <w:bCs/>
          <w:color w:val="auto"/>
          <w:sz w:val="20"/>
          <w:szCs w:val="20"/>
          <w:lang w:val="es-PE"/>
        </w:rPr>
        <w:t>xperticia practicada por la</w:t>
      </w:r>
      <w:r w:rsidR="00371FE6" w:rsidRPr="00A44995">
        <w:rPr>
          <w:rFonts w:ascii="Cambria" w:hAnsi="Cambria"/>
          <w:bCs/>
          <w:color w:val="auto"/>
          <w:sz w:val="20"/>
          <w:szCs w:val="20"/>
          <w:lang w:val="es-PE"/>
        </w:rPr>
        <w:t xml:space="preserve"> Policía Nacional Civil determinaron que el artefacto explosivo era una granada y que “hizo explosión de adentro hacia afuera del vehículo”. Sostuvo que ello</w:t>
      </w:r>
      <w:r w:rsidR="00C139D4" w:rsidRPr="00A44995">
        <w:rPr>
          <w:rFonts w:ascii="Cambria" w:hAnsi="Cambria"/>
          <w:bCs/>
          <w:color w:val="auto"/>
          <w:sz w:val="20"/>
          <w:szCs w:val="20"/>
          <w:lang w:val="es-PE"/>
        </w:rPr>
        <w:t xml:space="preserve">, sumado a la tenencia de la escopeta y </w:t>
      </w:r>
      <w:r w:rsidR="00C139D4" w:rsidRPr="00A44995">
        <w:rPr>
          <w:rFonts w:ascii="Cambria" w:hAnsi="Cambria"/>
          <w:bCs/>
          <w:color w:val="auto"/>
          <w:sz w:val="20"/>
          <w:szCs w:val="20"/>
          <w:lang w:val="es-PE"/>
        </w:rPr>
        <w:lastRenderedPageBreak/>
        <w:t>cartuchos que tenía el señor Castillo en su vehículo,</w:t>
      </w:r>
      <w:r w:rsidR="00371FE6" w:rsidRPr="00A44995">
        <w:rPr>
          <w:rFonts w:ascii="Cambria" w:hAnsi="Cambria"/>
          <w:bCs/>
          <w:color w:val="auto"/>
          <w:sz w:val="20"/>
          <w:szCs w:val="20"/>
          <w:lang w:val="es-PE"/>
        </w:rPr>
        <w:t xml:space="preserve"> refuerza la hipótesis de que no se produjo un atentado y que no se</w:t>
      </w:r>
      <w:r w:rsidR="00C139D4" w:rsidRPr="00A44995">
        <w:rPr>
          <w:rFonts w:ascii="Cambria" w:hAnsi="Cambria"/>
          <w:bCs/>
          <w:color w:val="auto"/>
          <w:sz w:val="20"/>
          <w:szCs w:val="20"/>
          <w:lang w:val="es-PE"/>
        </w:rPr>
        <w:t xml:space="preserve"> tiró una granada hacia el auto. Por el contrario, sostiene que la granada</w:t>
      </w:r>
      <w:r w:rsidR="00371FE6" w:rsidRPr="00A44995">
        <w:rPr>
          <w:rFonts w:ascii="Cambria" w:hAnsi="Cambria"/>
          <w:bCs/>
          <w:color w:val="auto"/>
          <w:sz w:val="20"/>
          <w:szCs w:val="20"/>
          <w:lang w:val="es-PE"/>
        </w:rPr>
        <w:t xml:space="preserve"> estaba en el interior del vehículo y que era de propiedad del señor Castillo</w:t>
      </w:r>
      <w:r w:rsidR="00C139D4" w:rsidRPr="00A44995">
        <w:rPr>
          <w:rFonts w:ascii="Cambria" w:hAnsi="Cambria"/>
          <w:bCs/>
          <w:sz w:val="20"/>
          <w:szCs w:val="20"/>
          <w:vertAlign w:val="superscript"/>
          <w:lang w:val="es-PE"/>
        </w:rPr>
        <w:footnoteReference w:id="22"/>
      </w:r>
      <w:r w:rsidR="00371FE6" w:rsidRPr="00A44995">
        <w:rPr>
          <w:rFonts w:ascii="Cambria" w:hAnsi="Cambria"/>
          <w:bCs/>
          <w:color w:val="auto"/>
          <w:sz w:val="20"/>
          <w:szCs w:val="20"/>
          <w:lang w:val="es-PE"/>
        </w:rPr>
        <w:t xml:space="preserve">. </w:t>
      </w:r>
    </w:p>
    <w:p w14:paraId="75D55F67" w14:textId="77777777" w:rsidR="00024626" w:rsidRPr="00A44995" w:rsidRDefault="00024626" w:rsidP="00992DFC">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bCs/>
          <w:color w:val="auto"/>
          <w:sz w:val="20"/>
          <w:szCs w:val="20"/>
          <w:lang w:val="es-PE"/>
        </w:rPr>
      </w:pPr>
    </w:p>
    <w:p w14:paraId="15B9F732" w14:textId="77777777" w:rsidR="006373B8" w:rsidRPr="00A44995" w:rsidRDefault="00992DFC" w:rsidP="006373B8">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bCs/>
          <w:color w:val="auto"/>
          <w:sz w:val="20"/>
          <w:szCs w:val="20"/>
          <w:lang w:val="es-PE"/>
        </w:rPr>
      </w:pPr>
      <w:r w:rsidRPr="00A44995">
        <w:rPr>
          <w:rFonts w:asciiTheme="majorHAnsi" w:hAnsiTheme="majorHAnsi"/>
          <w:bCs/>
          <w:color w:val="auto"/>
          <w:sz w:val="20"/>
          <w:szCs w:val="20"/>
          <w:lang w:val="es-PE"/>
        </w:rPr>
        <w:t>El 20 de julio de 2004</w:t>
      </w:r>
      <w:r w:rsidR="0055246F" w:rsidRPr="00A44995">
        <w:rPr>
          <w:rFonts w:asciiTheme="majorHAnsi" w:hAnsiTheme="majorHAnsi"/>
          <w:bCs/>
          <w:color w:val="auto"/>
          <w:sz w:val="20"/>
          <w:szCs w:val="20"/>
          <w:lang w:val="es-PE"/>
        </w:rPr>
        <w:t xml:space="preserve"> </w:t>
      </w:r>
      <w:r w:rsidR="00FD1B19" w:rsidRPr="00A44995">
        <w:rPr>
          <w:rFonts w:asciiTheme="majorHAnsi" w:hAnsiTheme="majorHAnsi"/>
          <w:bCs/>
          <w:color w:val="auto"/>
          <w:sz w:val="20"/>
          <w:szCs w:val="20"/>
          <w:lang w:val="es-PE"/>
        </w:rPr>
        <w:t xml:space="preserve">la </w:t>
      </w:r>
      <w:bookmarkStart w:id="17" w:name="_Hlk57225680"/>
      <w:r w:rsidR="00FD1B19" w:rsidRPr="00A44995">
        <w:rPr>
          <w:rFonts w:asciiTheme="majorHAnsi" w:hAnsiTheme="majorHAnsi"/>
          <w:bCs/>
          <w:color w:val="auto"/>
          <w:sz w:val="20"/>
          <w:szCs w:val="20"/>
          <w:lang w:val="es-PE"/>
        </w:rPr>
        <w:t>Cámara de la Tercera Se</w:t>
      </w:r>
      <w:r w:rsidRPr="00A44995">
        <w:rPr>
          <w:rFonts w:asciiTheme="majorHAnsi" w:hAnsiTheme="majorHAnsi"/>
          <w:bCs/>
          <w:color w:val="auto"/>
          <w:sz w:val="20"/>
          <w:szCs w:val="20"/>
          <w:lang w:val="es-PE"/>
        </w:rPr>
        <w:t xml:space="preserve">cción de Occidente </w:t>
      </w:r>
      <w:bookmarkEnd w:id="17"/>
      <w:r w:rsidR="006373B8" w:rsidRPr="00A44995">
        <w:rPr>
          <w:rFonts w:asciiTheme="majorHAnsi" w:hAnsiTheme="majorHAnsi"/>
          <w:bCs/>
          <w:color w:val="auto"/>
          <w:sz w:val="20"/>
          <w:szCs w:val="20"/>
          <w:lang w:val="es-PE"/>
        </w:rPr>
        <w:t>denegó</w:t>
      </w:r>
      <w:r w:rsidRPr="00A44995">
        <w:rPr>
          <w:rFonts w:asciiTheme="majorHAnsi" w:hAnsiTheme="majorHAnsi"/>
          <w:bCs/>
          <w:color w:val="auto"/>
          <w:sz w:val="20"/>
          <w:szCs w:val="20"/>
          <w:lang w:val="es-PE"/>
        </w:rPr>
        <w:t xml:space="preserve"> el recurso de a</w:t>
      </w:r>
      <w:r w:rsidR="00FD1B19" w:rsidRPr="00A44995">
        <w:rPr>
          <w:rFonts w:asciiTheme="majorHAnsi" w:hAnsiTheme="majorHAnsi"/>
          <w:bCs/>
          <w:color w:val="auto"/>
          <w:sz w:val="20"/>
          <w:szCs w:val="20"/>
          <w:lang w:val="es-PE"/>
        </w:rPr>
        <w:t xml:space="preserve">pelación y confirmó el sobreseimiento del caso. </w:t>
      </w:r>
      <w:r w:rsidR="006373B8" w:rsidRPr="00A44995">
        <w:rPr>
          <w:rFonts w:asciiTheme="majorHAnsi" w:hAnsiTheme="majorHAnsi"/>
          <w:bCs/>
          <w:color w:val="auto"/>
          <w:sz w:val="20"/>
          <w:szCs w:val="20"/>
          <w:lang w:val="es-PE"/>
        </w:rPr>
        <w:t xml:space="preserve">La Cámara confirmó que durante el proceso se han establecido dos hipótesis sobre lo sucedido: </w:t>
      </w:r>
      <w:bookmarkStart w:id="18" w:name="_Hlk57231742"/>
      <w:r w:rsidR="008D0934" w:rsidRPr="00A44995">
        <w:rPr>
          <w:rFonts w:ascii="Cambria" w:hAnsi="Cambria"/>
          <w:bCs/>
          <w:color w:val="auto"/>
          <w:sz w:val="20"/>
          <w:szCs w:val="20"/>
          <w:lang w:val="es-PE"/>
        </w:rPr>
        <w:t xml:space="preserve">i) </w:t>
      </w:r>
      <w:r w:rsidR="000A3FB6" w:rsidRPr="00A44995">
        <w:rPr>
          <w:rFonts w:ascii="Cambria" w:hAnsi="Cambria"/>
          <w:bCs/>
          <w:color w:val="auto"/>
          <w:sz w:val="20"/>
          <w:szCs w:val="20"/>
          <w:lang w:val="es-PE"/>
        </w:rPr>
        <w:t xml:space="preserve">que </w:t>
      </w:r>
      <w:r w:rsidR="008D0934" w:rsidRPr="00A44995">
        <w:rPr>
          <w:rFonts w:ascii="Cambria" w:hAnsi="Cambria"/>
          <w:bCs/>
          <w:color w:val="auto"/>
          <w:sz w:val="20"/>
          <w:szCs w:val="20"/>
          <w:lang w:val="es-PE"/>
        </w:rPr>
        <w:t xml:space="preserve">se trató </w:t>
      </w:r>
      <w:r w:rsidR="006373B8" w:rsidRPr="00A44995">
        <w:rPr>
          <w:rFonts w:ascii="Cambria" w:hAnsi="Cambria"/>
          <w:bCs/>
          <w:color w:val="auto"/>
          <w:sz w:val="20"/>
          <w:szCs w:val="20"/>
          <w:lang w:val="es-PE"/>
        </w:rPr>
        <w:t>de</w:t>
      </w:r>
      <w:r w:rsidR="00EF4252" w:rsidRPr="00A44995">
        <w:rPr>
          <w:rFonts w:ascii="Cambria" w:hAnsi="Cambria"/>
          <w:bCs/>
          <w:color w:val="auto"/>
          <w:sz w:val="20"/>
          <w:szCs w:val="20"/>
          <w:lang w:val="es-PE"/>
        </w:rPr>
        <w:t xml:space="preserve"> un</w:t>
      </w:r>
      <w:r w:rsidR="006373B8" w:rsidRPr="00A44995">
        <w:rPr>
          <w:rFonts w:ascii="Cambria" w:hAnsi="Cambria"/>
          <w:bCs/>
          <w:color w:val="auto"/>
          <w:sz w:val="20"/>
          <w:szCs w:val="20"/>
          <w:lang w:val="es-PE"/>
        </w:rPr>
        <w:t xml:space="preserve"> atentado en contra de las personas que estaban en el vehículo y </w:t>
      </w:r>
      <w:r w:rsidR="008D0934" w:rsidRPr="00A44995">
        <w:rPr>
          <w:rFonts w:ascii="Cambria" w:hAnsi="Cambria"/>
          <w:bCs/>
          <w:color w:val="auto"/>
          <w:sz w:val="20"/>
          <w:szCs w:val="20"/>
          <w:lang w:val="es-PE"/>
        </w:rPr>
        <w:t>el artefacto</w:t>
      </w:r>
      <w:r w:rsidR="006373B8" w:rsidRPr="00A44995">
        <w:rPr>
          <w:rFonts w:ascii="Cambria" w:hAnsi="Cambria"/>
          <w:bCs/>
          <w:color w:val="auto"/>
          <w:sz w:val="20"/>
          <w:szCs w:val="20"/>
          <w:lang w:val="es-PE"/>
        </w:rPr>
        <w:t xml:space="preserve"> explosivo</w:t>
      </w:r>
      <w:r w:rsidR="008D0934" w:rsidRPr="00A44995">
        <w:rPr>
          <w:rFonts w:ascii="Cambria" w:hAnsi="Cambria"/>
          <w:bCs/>
          <w:color w:val="auto"/>
          <w:sz w:val="20"/>
          <w:szCs w:val="20"/>
          <w:lang w:val="es-PE"/>
        </w:rPr>
        <w:t xml:space="preserve"> fue lanzado desde el exterior; y ii) </w:t>
      </w:r>
      <w:r w:rsidR="000A3FB6" w:rsidRPr="00A44995">
        <w:rPr>
          <w:rFonts w:ascii="Cambria" w:hAnsi="Cambria"/>
          <w:bCs/>
          <w:color w:val="auto"/>
          <w:sz w:val="20"/>
          <w:szCs w:val="20"/>
          <w:lang w:val="es-PE"/>
        </w:rPr>
        <w:t xml:space="preserve">que </w:t>
      </w:r>
      <w:r w:rsidR="008D0934" w:rsidRPr="00A44995">
        <w:rPr>
          <w:rFonts w:ascii="Cambria" w:hAnsi="Cambria"/>
          <w:bCs/>
          <w:color w:val="auto"/>
          <w:sz w:val="20"/>
          <w:szCs w:val="20"/>
          <w:lang w:val="es-PE"/>
        </w:rPr>
        <w:t xml:space="preserve">el artefacto </w:t>
      </w:r>
      <w:r w:rsidR="006373B8" w:rsidRPr="00A44995">
        <w:rPr>
          <w:rFonts w:ascii="Cambria" w:hAnsi="Cambria"/>
          <w:bCs/>
          <w:color w:val="auto"/>
          <w:sz w:val="20"/>
          <w:szCs w:val="20"/>
          <w:lang w:val="es-PE"/>
        </w:rPr>
        <w:t>explosivo</w:t>
      </w:r>
      <w:r w:rsidR="008D0934" w:rsidRPr="00A44995">
        <w:rPr>
          <w:rFonts w:ascii="Cambria" w:hAnsi="Cambria"/>
          <w:bCs/>
          <w:color w:val="auto"/>
          <w:sz w:val="20"/>
          <w:szCs w:val="20"/>
          <w:lang w:val="es-PE"/>
        </w:rPr>
        <w:t xml:space="preserve"> </w:t>
      </w:r>
      <w:r w:rsidR="000A3FB6" w:rsidRPr="00A44995">
        <w:rPr>
          <w:rFonts w:ascii="Cambria" w:hAnsi="Cambria"/>
          <w:bCs/>
          <w:color w:val="auto"/>
          <w:sz w:val="20"/>
          <w:szCs w:val="20"/>
          <w:lang w:val="es-PE"/>
        </w:rPr>
        <w:t xml:space="preserve">se </w:t>
      </w:r>
      <w:r w:rsidR="008D0934" w:rsidRPr="00A44995">
        <w:rPr>
          <w:rFonts w:ascii="Cambria" w:hAnsi="Cambria"/>
          <w:bCs/>
          <w:color w:val="auto"/>
          <w:sz w:val="20"/>
          <w:szCs w:val="20"/>
          <w:lang w:val="es-PE"/>
        </w:rPr>
        <w:t>encontraba al interior del vehículo</w:t>
      </w:r>
      <w:r w:rsidR="006373B8" w:rsidRPr="00A44995">
        <w:rPr>
          <w:rFonts w:ascii="Cambria" w:hAnsi="Cambria"/>
          <w:bCs/>
          <w:color w:val="auto"/>
          <w:sz w:val="20"/>
          <w:szCs w:val="20"/>
          <w:lang w:val="es-PE"/>
        </w:rPr>
        <w:t xml:space="preserve"> de propiedad del señor Castillo</w:t>
      </w:r>
      <w:r w:rsidR="008D0934" w:rsidRPr="00A44995">
        <w:rPr>
          <w:rFonts w:ascii="Cambria" w:hAnsi="Cambria"/>
          <w:bCs/>
          <w:color w:val="auto"/>
          <w:sz w:val="20"/>
          <w:szCs w:val="20"/>
          <w:lang w:val="es-PE"/>
        </w:rPr>
        <w:t xml:space="preserve">. </w:t>
      </w:r>
      <w:bookmarkEnd w:id="18"/>
    </w:p>
    <w:p w14:paraId="1A4CE78C" w14:textId="77777777" w:rsidR="006373B8" w:rsidRPr="00A44995" w:rsidRDefault="006373B8" w:rsidP="006373B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bCs/>
          <w:color w:val="auto"/>
          <w:sz w:val="20"/>
          <w:szCs w:val="20"/>
          <w:lang w:val="es-PE"/>
        </w:rPr>
      </w:pPr>
    </w:p>
    <w:p w14:paraId="135BAA0C" w14:textId="77777777" w:rsidR="008D0934" w:rsidRPr="00A44995" w:rsidRDefault="006373B8" w:rsidP="006373B8">
      <w:pPr>
        <w:pStyle w:val="BodyTextInden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bCs/>
          <w:color w:val="auto"/>
          <w:sz w:val="20"/>
          <w:szCs w:val="20"/>
          <w:lang w:val="es-PE"/>
        </w:rPr>
      </w:pPr>
      <w:r w:rsidRPr="00A44995">
        <w:rPr>
          <w:rFonts w:ascii="Cambria" w:hAnsi="Cambria"/>
          <w:bCs/>
          <w:color w:val="auto"/>
          <w:sz w:val="20"/>
          <w:szCs w:val="20"/>
          <w:lang w:val="es-PE"/>
        </w:rPr>
        <w:t>En relación con la inspección policial de 13 de noviembre de 1993, la Cámara sostuvo que “</w:t>
      </w:r>
      <w:r w:rsidR="008D0934" w:rsidRPr="00A44995">
        <w:rPr>
          <w:rFonts w:ascii="Cambria" w:hAnsi="Cambria"/>
          <w:bCs/>
          <w:color w:val="auto"/>
          <w:sz w:val="20"/>
          <w:szCs w:val="20"/>
          <w:lang w:val="es-PE"/>
        </w:rPr>
        <w:t>no se proveyó de técnicos especial</w:t>
      </w:r>
      <w:r w:rsidRPr="00A44995">
        <w:rPr>
          <w:rFonts w:ascii="Cambria" w:hAnsi="Cambria"/>
          <w:bCs/>
          <w:color w:val="auto"/>
          <w:sz w:val="20"/>
          <w:szCs w:val="20"/>
          <w:lang w:val="es-PE"/>
        </w:rPr>
        <w:t>izados en esta clase de hechos”. Ello</w:t>
      </w:r>
      <w:r w:rsidR="008D0934" w:rsidRPr="00A44995">
        <w:rPr>
          <w:rFonts w:ascii="Cambria" w:hAnsi="Cambria"/>
          <w:bCs/>
          <w:color w:val="auto"/>
          <w:sz w:val="20"/>
          <w:szCs w:val="20"/>
          <w:lang w:val="es-PE"/>
        </w:rPr>
        <w:t xml:space="preserve"> a fin de utilizar una adecuada metodología de investigación criminalística. </w:t>
      </w:r>
      <w:r w:rsidRPr="00A44995">
        <w:rPr>
          <w:rFonts w:ascii="Cambria" w:hAnsi="Cambria"/>
          <w:bCs/>
          <w:color w:val="auto"/>
          <w:sz w:val="20"/>
          <w:szCs w:val="20"/>
          <w:lang w:val="es-PE"/>
        </w:rPr>
        <w:t xml:space="preserve">Añadió que la inspección </w:t>
      </w:r>
      <w:r w:rsidR="008D0934" w:rsidRPr="00A44995">
        <w:rPr>
          <w:rFonts w:ascii="Cambria" w:hAnsi="Cambria"/>
          <w:bCs/>
          <w:color w:val="auto"/>
          <w:sz w:val="20"/>
          <w:szCs w:val="20"/>
          <w:lang w:val="es-PE"/>
        </w:rPr>
        <w:t xml:space="preserve">15 de noviembre del mismo año </w:t>
      </w:r>
      <w:r w:rsidRPr="00A44995">
        <w:rPr>
          <w:rFonts w:ascii="Cambria" w:hAnsi="Cambria"/>
          <w:bCs/>
          <w:color w:val="auto"/>
          <w:sz w:val="20"/>
          <w:szCs w:val="20"/>
          <w:lang w:val="es-PE"/>
        </w:rPr>
        <w:t>sí tuvo</w:t>
      </w:r>
      <w:r w:rsidR="008D0934" w:rsidRPr="00A44995">
        <w:rPr>
          <w:rFonts w:ascii="Cambria" w:hAnsi="Cambria"/>
          <w:bCs/>
          <w:color w:val="auto"/>
          <w:sz w:val="20"/>
          <w:szCs w:val="20"/>
          <w:lang w:val="es-PE"/>
        </w:rPr>
        <w:t xml:space="preserve"> la participación de técnicos balísticos, fotógrafos forenses, entre otros especialistas, donde se concluyó que “no se encontraron fragmentos del artefacto explosivo que lesionó a las personas y destruyó el vehículo, debido al tiempo transcurrido y al desplazamiento vehicular en la carretera”. </w:t>
      </w:r>
      <w:r w:rsidR="00826042" w:rsidRPr="00A44995">
        <w:rPr>
          <w:rFonts w:ascii="Cambria" w:hAnsi="Cambria"/>
          <w:bCs/>
          <w:color w:val="auto"/>
          <w:sz w:val="20"/>
          <w:szCs w:val="20"/>
          <w:lang w:val="es-PE"/>
        </w:rPr>
        <w:t>Frente a dicha situación la Cámara resaltó que ello demuestra “</w:t>
      </w:r>
      <w:r w:rsidR="008D0934" w:rsidRPr="00A44995">
        <w:rPr>
          <w:rFonts w:ascii="Cambria" w:hAnsi="Cambria"/>
          <w:bCs/>
          <w:color w:val="auto"/>
          <w:sz w:val="20"/>
          <w:szCs w:val="20"/>
          <w:lang w:val="es-PE"/>
        </w:rPr>
        <w:t>la importancia d</w:t>
      </w:r>
      <w:r w:rsidR="00826042" w:rsidRPr="00A44995">
        <w:rPr>
          <w:rFonts w:ascii="Cambria" w:hAnsi="Cambria"/>
          <w:bCs/>
          <w:color w:val="auto"/>
          <w:sz w:val="20"/>
          <w:szCs w:val="20"/>
          <w:lang w:val="es-PE"/>
        </w:rPr>
        <w:t>e realizar la</w:t>
      </w:r>
      <w:r w:rsidR="008D0934" w:rsidRPr="00A44995">
        <w:rPr>
          <w:rFonts w:ascii="Cambria" w:hAnsi="Cambria"/>
          <w:bCs/>
          <w:color w:val="auto"/>
          <w:sz w:val="20"/>
          <w:szCs w:val="20"/>
          <w:lang w:val="es-PE"/>
        </w:rPr>
        <w:t xml:space="preserve"> inspección</w:t>
      </w:r>
      <w:r w:rsidR="00826042" w:rsidRPr="00A44995">
        <w:rPr>
          <w:rFonts w:ascii="Cambria" w:hAnsi="Cambria"/>
          <w:bCs/>
          <w:color w:val="auto"/>
          <w:sz w:val="20"/>
          <w:szCs w:val="20"/>
          <w:lang w:val="es-PE"/>
        </w:rPr>
        <w:t xml:space="preserve"> del hecho</w:t>
      </w:r>
      <w:r w:rsidR="008D0934" w:rsidRPr="00A44995">
        <w:rPr>
          <w:rFonts w:ascii="Cambria" w:hAnsi="Cambria"/>
          <w:bCs/>
          <w:color w:val="auto"/>
          <w:sz w:val="20"/>
          <w:szCs w:val="20"/>
          <w:lang w:val="es-PE"/>
        </w:rPr>
        <w:t xml:space="preserve"> con</w:t>
      </w:r>
      <w:r w:rsidR="00826042" w:rsidRPr="00A44995">
        <w:rPr>
          <w:rFonts w:ascii="Cambria" w:hAnsi="Cambria"/>
          <w:bCs/>
          <w:color w:val="auto"/>
          <w:sz w:val="20"/>
          <w:szCs w:val="20"/>
          <w:lang w:val="es-PE"/>
        </w:rPr>
        <w:t xml:space="preserve"> todos</w:t>
      </w:r>
      <w:r w:rsidR="008D0934" w:rsidRPr="00A44995">
        <w:rPr>
          <w:rFonts w:ascii="Cambria" w:hAnsi="Cambria"/>
          <w:bCs/>
          <w:color w:val="auto"/>
          <w:sz w:val="20"/>
          <w:szCs w:val="20"/>
          <w:lang w:val="es-PE"/>
        </w:rPr>
        <w:t xml:space="preserve"> los técnicos idóneos, </w:t>
      </w:r>
      <w:r w:rsidR="00826042" w:rsidRPr="00A44995">
        <w:rPr>
          <w:rFonts w:ascii="Cambria" w:hAnsi="Cambria"/>
          <w:bCs/>
          <w:color w:val="auto"/>
          <w:sz w:val="20"/>
          <w:szCs w:val="20"/>
          <w:lang w:val="es-PE"/>
        </w:rPr>
        <w:t xml:space="preserve">recolectores de evidencia para la mejor eficacia </w:t>
      </w:r>
      <w:r w:rsidR="008D0934" w:rsidRPr="00A44995">
        <w:rPr>
          <w:rFonts w:ascii="Cambria" w:hAnsi="Cambria"/>
          <w:bCs/>
          <w:color w:val="auto"/>
          <w:sz w:val="20"/>
          <w:szCs w:val="20"/>
          <w:lang w:val="es-PE"/>
        </w:rPr>
        <w:t>de la investigación</w:t>
      </w:r>
      <w:r w:rsidR="003A19CC" w:rsidRPr="00A44995">
        <w:rPr>
          <w:rFonts w:ascii="Cambria" w:hAnsi="Cambria"/>
          <w:bCs/>
          <w:color w:val="auto"/>
          <w:sz w:val="20"/>
          <w:szCs w:val="20"/>
          <w:lang w:val="es-PE"/>
        </w:rPr>
        <w:t>”</w:t>
      </w:r>
      <w:r w:rsidR="008D0934" w:rsidRPr="00A44995">
        <w:rPr>
          <w:rFonts w:ascii="Cambria" w:hAnsi="Cambria"/>
          <w:bCs/>
          <w:sz w:val="20"/>
          <w:szCs w:val="20"/>
          <w:lang w:val="es-PE"/>
        </w:rPr>
        <w:t>.</w:t>
      </w:r>
      <w:r w:rsidR="00826042" w:rsidRPr="00A44995">
        <w:rPr>
          <w:rFonts w:ascii="Cambria" w:hAnsi="Cambria"/>
          <w:bCs/>
          <w:sz w:val="20"/>
          <w:szCs w:val="20"/>
          <w:lang w:val="es-PE"/>
        </w:rPr>
        <w:t xml:space="preserve"> Finalmente, la Cámara concluyó lo siguiente:</w:t>
      </w:r>
    </w:p>
    <w:p w14:paraId="3E974D13" w14:textId="77777777" w:rsidR="008C08B5" w:rsidRPr="00A44995" w:rsidRDefault="008C08B5" w:rsidP="00826042">
      <w:pPr>
        <w:rPr>
          <w:rFonts w:asciiTheme="majorHAnsi" w:hAnsiTheme="majorHAnsi"/>
          <w:bCs/>
          <w:sz w:val="18"/>
          <w:szCs w:val="18"/>
          <w:lang w:val="es-PE"/>
        </w:rPr>
      </w:pPr>
    </w:p>
    <w:p w14:paraId="4D74AD04" w14:textId="77777777" w:rsidR="007132E8" w:rsidRPr="00A44995" w:rsidRDefault="008C08B5" w:rsidP="00DA37D7">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720" w:firstLine="0"/>
        <w:jc w:val="both"/>
        <w:rPr>
          <w:rFonts w:asciiTheme="majorHAnsi" w:hAnsiTheme="majorHAnsi"/>
          <w:bCs/>
          <w:color w:val="auto"/>
          <w:sz w:val="16"/>
          <w:szCs w:val="16"/>
          <w:lang w:val="es-PE"/>
        </w:rPr>
      </w:pPr>
      <w:r w:rsidRPr="00A44995">
        <w:rPr>
          <w:rFonts w:asciiTheme="majorHAnsi" w:hAnsiTheme="majorHAnsi"/>
          <w:bCs/>
          <w:color w:val="auto"/>
          <w:sz w:val="16"/>
          <w:szCs w:val="16"/>
          <w:lang w:val="es-PE"/>
        </w:rPr>
        <w:t>D</w:t>
      </w:r>
      <w:r w:rsidR="007132E8" w:rsidRPr="00A44995">
        <w:rPr>
          <w:rFonts w:asciiTheme="majorHAnsi" w:hAnsiTheme="majorHAnsi"/>
          <w:bCs/>
          <w:color w:val="auto"/>
          <w:sz w:val="16"/>
          <w:szCs w:val="16"/>
          <w:lang w:val="es-PE"/>
        </w:rPr>
        <w:t>e la exposición inspeccional y pericial ha quedado en evidencia que no se cumplió con la metodología [general de investigación criminalística en el lugar de los hechos: protección, observación y fijación del lugar de los hechos, así como levantamiento y suministro de indicios al laboratorio] en lo más mínimo, y por otra parte, los peritajes no son concluyentes en sus aserciones, dejando un margen significativo de duda, por lo que no son determinantes, que ayuden a disipar las versiones antagónicas de los hechos. (…).</w:t>
      </w:r>
    </w:p>
    <w:p w14:paraId="101E4780" w14:textId="77777777" w:rsidR="007132E8" w:rsidRPr="00A44995" w:rsidRDefault="007132E8" w:rsidP="00826042">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720" w:firstLine="0"/>
        <w:jc w:val="both"/>
        <w:rPr>
          <w:rFonts w:asciiTheme="majorHAnsi" w:hAnsiTheme="majorHAnsi"/>
          <w:bCs/>
          <w:color w:val="auto"/>
          <w:sz w:val="16"/>
          <w:szCs w:val="16"/>
          <w:lang w:val="es-PE"/>
        </w:rPr>
      </w:pPr>
      <w:r w:rsidRPr="00A44995">
        <w:rPr>
          <w:rFonts w:asciiTheme="majorHAnsi" w:hAnsiTheme="majorHAnsi"/>
          <w:bCs/>
          <w:color w:val="auto"/>
          <w:sz w:val="16"/>
          <w:szCs w:val="16"/>
          <w:lang w:val="es-PE"/>
        </w:rPr>
        <w:t>Por los razonamientos justificados que se han hecho la duda permanece en todos los delitos atribuidos, ya que de no establecerse determinantemente si la granada o granadas fueron lanzadas desde fuera del vehículo, o si éstas las llevaba en el interior del mismo, no se puede concluir con acierto, la existencia de los delitos (…).</w:t>
      </w:r>
    </w:p>
    <w:p w14:paraId="74A9B331" w14:textId="77777777" w:rsidR="00E449E8" w:rsidRPr="00A44995" w:rsidRDefault="007132E8" w:rsidP="00826042">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right="720" w:firstLine="0"/>
        <w:jc w:val="both"/>
        <w:rPr>
          <w:rFonts w:asciiTheme="majorHAnsi" w:hAnsiTheme="majorHAnsi"/>
          <w:bCs/>
          <w:color w:val="auto"/>
          <w:sz w:val="16"/>
          <w:szCs w:val="16"/>
          <w:lang w:val="es-PE"/>
        </w:rPr>
      </w:pPr>
      <w:r w:rsidRPr="00A44995">
        <w:rPr>
          <w:rFonts w:asciiTheme="majorHAnsi" w:hAnsiTheme="majorHAnsi"/>
          <w:bCs/>
          <w:color w:val="auto"/>
          <w:sz w:val="16"/>
          <w:szCs w:val="16"/>
          <w:lang w:val="es-PE"/>
        </w:rPr>
        <w:t xml:space="preserve">Por el tiempo transcurrido, y por la desaparición del automóvil, torna difícil, casi imposible, realizar otros peritajes, que aclarasen la duda existente, dudas que también </w:t>
      </w:r>
      <w:r w:rsidR="00E82ADE" w:rsidRPr="00A44995">
        <w:rPr>
          <w:rFonts w:asciiTheme="majorHAnsi" w:hAnsiTheme="majorHAnsi"/>
          <w:bCs/>
          <w:color w:val="auto"/>
          <w:sz w:val="16"/>
          <w:szCs w:val="16"/>
          <w:lang w:val="es-PE"/>
        </w:rPr>
        <w:t>se</w:t>
      </w:r>
      <w:r w:rsidRPr="00A44995">
        <w:rPr>
          <w:rFonts w:asciiTheme="majorHAnsi" w:hAnsiTheme="majorHAnsi"/>
          <w:bCs/>
          <w:color w:val="auto"/>
          <w:sz w:val="16"/>
          <w:szCs w:val="16"/>
          <w:lang w:val="es-PE"/>
        </w:rPr>
        <w:t xml:space="preserve"> plantearon los peritos, al reconocer que hacen falta realizar otras investigaciones</w:t>
      </w:r>
      <w:r w:rsidR="00E82ADE" w:rsidRPr="00A44995">
        <w:rPr>
          <w:rFonts w:asciiTheme="majorHAnsi" w:hAnsiTheme="majorHAnsi"/>
          <w:bCs/>
          <w:color w:val="auto"/>
          <w:sz w:val="16"/>
          <w:szCs w:val="16"/>
          <w:lang w:val="es-PE"/>
        </w:rPr>
        <w:t>. Como consecuencia de la insuficiente investigación no se logró establecer de forma suficiente el cuerpo del delito, ni la participación del procesado en la presente instrucción, lo que hace procedente la confirmación del sobreseimiento provisional decretado por el juez recurrido</w:t>
      </w:r>
      <w:r w:rsidR="00E449E8" w:rsidRPr="00A44995">
        <w:rPr>
          <w:rStyle w:val="FootnoteReference"/>
          <w:rFonts w:asciiTheme="majorHAnsi" w:hAnsiTheme="majorHAnsi"/>
          <w:color w:val="auto"/>
          <w:sz w:val="16"/>
          <w:szCs w:val="16"/>
          <w:lang w:val="es-PE"/>
        </w:rPr>
        <w:footnoteReference w:id="23"/>
      </w:r>
      <w:r w:rsidRPr="00A44995">
        <w:rPr>
          <w:rFonts w:asciiTheme="majorHAnsi" w:hAnsiTheme="majorHAnsi"/>
          <w:bCs/>
          <w:color w:val="auto"/>
          <w:sz w:val="16"/>
          <w:szCs w:val="16"/>
          <w:lang w:val="es-PE"/>
        </w:rPr>
        <w:t>.</w:t>
      </w:r>
    </w:p>
    <w:p w14:paraId="2D4C59C2" w14:textId="77777777" w:rsidR="00747303" w:rsidRPr="00A44995" w:rsidRDefault="00E449E8" w:rsidP="00826042">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993" w:firstLine="0"/>
        <w:jc w:val="both"/>
        <w:rPr>
          <w:rFonts w:asciiTheme="majorHAnsi" w:hAnsiTheme="majorHAnsi"/>
          <w:color w:val="auto"/>
          <w:sz w:val="20"/>
          <w:szCs w:val="20"/>
          <w:lang w:val="es-PE"/>
        </w:rPr>
      </w:pPr>
      <w:r w:rsidRPr="00A44995">
        <w:rPr>
          <w:rFonts w:asciiTheme="majorHAnsi" w:hAnsiTheme="majorHAnsi"/>
          <w:color w:val="auto"/>
          <w:sz w:val="20"/>
          <w:szCs w:val="20"/>
          <w:lang w:val="es-PE"/>
        </w:rPr>
        <w:t xml:space="preserve"> </w:t>
      </w:r>
    </w:p>
    <w:p w14:paraId="651C4429" w14:textId="77777777" w:rsidR="007E5BBD" w:rsidRPr="00A44995" w:rsidRDefault="007E5BBD" w:rsidP="007E5B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cstheme="minorHAnsi"/>
          <w:sz w:val="20"/>
          <w:szCs w:val="20"/>
          <w:lang w:val="es-PE" w:eastAsia="es-ES"/>
        </w:rPr>
      </w:pPr>
      <w:r w:rsidRPr="00A44995">
        <w:rPr>
          <w:rFonts w:asciiTheme="majorHAnsi" w:hAnsiTheme="majorHAnsi" w:cstheme="minorHAnsi"/>
          <w:sz w:val="20"/>
          <w:szCs w:val="20"/>
          <w:lang w:val="es-PE" w:eastAsia="es-ES"/>
        </w:rPr>
        <w:t xml:space="preserve">La Comisión no cuenta con información actualizada sobre el estado de salud del señor Aguirre. </w:t>
      </w:r>
    </w:p>
    <w:p w14:paraId="086FCD30" w14:textId="77777777" w:rsidR="007E5BBD" w:rsidRPr="00A44995" w:rsidRDefault="007E5BBD" w:rsidP="007E5BBD">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2481"/>
        </w:tabs>
        <w:ind w:left="993" w:firstLine="0"/>
        <w:jc w:val="both"/>
        <w:rPr>
          <w:rFonts w:asciiTheme="majorHAnsi" w:hAnsiTheme="majorHAnsi"/>
          <w:bCs/>
          <w:color w:val="auto"/>
          <w:sz w:val="20"/>
          <w:szCs w:val="20"/>
          <w:lang w:val="es-PE"/>
        </w:rPr>
      </w:pPr>
      <w:r w:rsidRPr="00A44995">
        <w:rPr>
          <w:rFonts w:asciiTheme="majorHAnsi" w:hAnsiTheme="majorHAnsi"/>
          <w:bCs/>
          <w:color w:val="auto"/>
          <w:sz w:val="20"/>
          <w:szCs w:val="20"/>
          <w:lang w:val="es-PE"/>
        </w:rPr>
        <w:tab/>
      </w:r>
    </w:p>
    <w:p w14:paraId="441F5A51" w14:textId="77777777" w:rsidR="00BD4C32" w:rsidRPr="00A44995" w:rsidRDefault="00BD4C32" w:rsidP="00B44A04">
      <w:pPr>
        <w:pStyle w:val="Heading1"/>
        <w:tabs>
          <w:tab w:val="left" w:pos="360"/>
        </w:tabs>
        <w:ind w:left="720" w:hanging="720"/>
        <w:rPr>
          <w:lang w:val="es-PE"/>
        </w:rPr>
      </w:pPr>
      <w:bookmarkStart w:id="19" w:name="_Toc473195957"/>
      <w:r w:rsidRPr="00A44995">
        <w:rPr>
          <w:lang w:val="es-PE"/>
        </w:rPr>
        <w:t>DETERMINACIONES DE DERECHO</w:t>
      </w:r>
      <w:bookmarkEnd w:id="19"/>
      <w:r w:rsidR="008B67A8" w:rsidRPr="00A44995">
        <w:rPr>
          <w:lang w:val="es-PE"/>
        </w:rPr>
        <w:t xml:space="preserve"> </w:t>
      </w:r>
    </w:p>
    <w:p w14:paraId="01D8B1E4" w14:textId="77777777" w:rsidR="00BD4C32" w:rsidRPr="00A44995" w:rsidRDefault="00BD4C32" w:rsidP="00BD4C32">
      <w:pPr>
        <w:rPr>
          <w:lang w:val="es-PE" w:eastAsia="es-ES"/>
        </w:rPr>
      </w:pPr>
    </w:p>
    <w:p w14:paraId="712D30D9" w14:textId="77777777" w:rsidR="009C1D16" w:rsidRPr="00A44995" w:rsidRDefault="009C1D16" w:rsidP="007C6D32">
      <w:pPr>
        <w:pStyle w:val="Heading2"/>
        <w:numPr>
          <w:ilvl w:val="0"/>
          <w:numId w:val="59"/>
        </w:numPr>
        <w:tabs>
          <w:tab w:val="left" w:pos="360"/>
        </w:tabs>
        <w:ind w:left="360"/>
        <w:jc w:val="both"/>
        <w:rPr>
          <w:rFonts w:ascii="Cambria" w:hAnsi="Cambria" w:cstheme="minorHAnsi"/>
          <w:lang w:val="es-PE"/>
        </w:rPr>
      </w:pPr>
      <w:bookmarkStart w:id="20" w:name="_Toc51252199"/>
      <w:bookmarkStart w:id="21" w:name="_Toc54245927"/>
      <w:bookmarkStart w:id="22" w:name="_Toc473195958"/>
      <w:r w:rsidRPr="00A44995">
        <w:rPr>
          <w:rFonts w:ascii="Cambria" w:hAnsi="Cambria" w:cstheme="minorHAnsi"/>
          <w:lang w:val="es-PE"/>
        </w:rPr>
        <w:t>Derechos a las garantías judiciales y pro</w:t>
      </w:r>
      <w:r w:rsidR="000A3FB6" w:rsidRPr="00A44995">
        <w:rPr>
          <w:rFonts w:ascii="Cambria" w:hAnsi="Cambria" w:cstheme="minorHAnsi"/>
          <w:lang w:val="es-PE"/>
        </w:rPr>
        <w:t>tección judicial (artículos 8.1</w:t>
      </w:r>
      <w:r w:rsidR="000A3FB6" w:rsidRPr="00A44995">
        <w:rPr>
          <w:rStyle w:val="FootnoteReference"/>
          <w:rFonts w:ascii="Cambria" w:hAnsi="Cambria" w:cstheme="minorHAnsi"/>
          <w:lang w:val="es-PE"/>
        </w:rPr>
        <w:footnoteReference w:id="24"/>
      </w:r>
      <w:r w:rsidRPr="00A44995">
        <w:rPr>
          <w:rFonts w:ascii="Cambria" w:hAnsi="Cambria" w:cstheme="minorHAnsi"/>
          <w:lang w:val="es-PE"/>
        </w:rPr>
        <w:t xml:space="preserve"> y 25</w:t>
      </w:r>
      <w:r w:rsidR="007E5BBD" w:rsidRPr="00A44995">
        <w:rPr>
          <w:rFonts w:ascii="Cambria" w:hAnsi="Cambria" w:cstheme="minorHAnsi"/>
          <w:lang w:val="es-PE"/>
        </w:rPr>
        <w:t>.1</w:t>
      </w:r>
      <w:r w:rsidR="000A3FB6" w:rsidRPr="00A44995">
        <w:rPr>
          <w:rStyle w:val="FootnoteReference"/>
          <w:rFonts w:ascii="Cambria" w:hAnsi="Cambria" w:cstheme="minorHAnsi"/>
          <w:lang w:val="es-PE"/>
        </w:rPr>
        <w:footnoteReference w:id="25"/>
      </w:r>
      <w:r w:rsidR="007E5BBD" w:rsidRPr="00A44995">
        <w:rPr>
          <w:rFonts w:ascii="Cambria" w:hAnsi="Cambria" w:cstheme="minorHAnsi"/>
          <w:lang w:val="es-PE"/>
        </w:rPr>
        <w:t xml:space="preserve"> de la Convención Americana en relación con el artículo</w:t>
      </w:r>
      <w:r w:rsidRPr="00A44995">
        <w:rPr>
          <w:rFonts w:ascii="Cambria" w:hAnsi="Cambria" w:cstheme="minorHAnsi"/>
          <w:lang w:val="es-PE"/>
        </w:rPr>
        <w:t xml:space="preserve"> 1.1</w:t>
      </w:r>
      <w:r w:rsidR="000A3FB6" w:rsidRPr="00A44995">
        <w:rPr>
          <w:rStyle w:val="FootnoteReference"/>
          <w:rFonts w:ascii="Cambria" w:hAnsi="Cambria" w:cstheme="minorHAnsi"/>
          <w:lang w:val="es-PE"/>
        </w:rPr>
        <w:footnoteReference w:id="26"/>
      </w:r>
      <w:r w:rsidRPr="00A44995">
        <w:rPr>
          <w:rFonts w:ascii="Cambria" w:hAnsi="Cambria" w:cstheme="minorHAnsi"/>
          <w:lang w:val="es-PE"/>
        </w:rPr>
        <w:t xml:space="preserve"> </w:t>
      </w:r>
      <w:r w:rsidR="007E5BBD" w:rsidRPr="00A44995">
        <w:rPr>
          <w:rFonts w:ascii="Cambria" w:hAnsi="Cambria" w:cstheme="minorHAnsi"/>
          <w:lang w:val="es-PE"/>
        </w:rPr>
        <w:t>del mismo instrumento</w:t>
      </w:r>
      <w:r w:rsidRPr="00A44995">
        <w:rPr>
          <w:rFonts w:ascii="Cambria" w:hAnsi="Cambria" w:cstheme="minorHAnsi"/>
          <w:lang w:val="es-PE"/>
        </w:rPr>
        <w:t>)</w:t>
      </w:r>
      <w:bookmarkEnd w:id="20"/>
      <w:bookmarkEnd w:id="21"/>
      <w:bookmarkEnd w:id="22"/>
      <w:r w:rsidRPr="00A44995">
        <w:rPr>
          <w:rFonts w:ascii="Cambria" w:hAnsi="Cambria" w:cstheme="minorHAnsi"/>
          <w:lang w:val="es-PE"/>
        </w:rPr>
        <w:t xml:space="preserve"> </w:t>
      </w:r>
    </w:p>
    <w:p w14:paraId="6DB7D770" w14:textId="77777777" w:rsidR="009C1D16" w:rsidRPr="00A44995" w:rsidRDefault="009C1D16" w:rsidP="007E5BBD">
      <w:pPr>
        <w:tabs>
          <w:tab w:val="left" w:pos="360"/>
        </w:tabs>
        <w:ind w:left="360" w:hanging="360"/>
        <w:rPr>
          <w:rFonts w:ascii="Cambria" w:hAnsi="Cambria" w:cstheme="minorHAnsi"/>
          <w:sz w:val="20"/>
          <w:szCs w:val="20"/>
          <w:lang w:val="es-PE" w:eastAsia="es-ES"/>
        </w:rPr>
      </w:pPr>
    </w:p>
    <w:p w14:paraId="40D0D61A" w14:textId="77777777" w:rsidR="007E5BBD" w:rsidRPr="00A44995" w:rsidRDefault="007E5BBD" w:rsidP="007E5BBD">
      <w:pPr>
        <w:tabs>
          <w:tab w:val="left" w:pos="360"/>
        </w:tabs>
        <w:ind w:left="360" w:hanging="360"/>
        <w:rPr>
          <w:rFonts w:ascii="Cambria" w:hAnsi="Cambria" w:cstheme="minorHAnsi"/>
          <w:b/>
          <w:sz w:val="20"/>
          <w:szCs w:val="20"/>
          <w:lang w:val="es-PE" w:eastAsia="es-ES"/>
        </w:rPr>
      </w:pPr>
      <w:r w:rsidRPr="00A44995">
        <w:rPr>
          <w:rFonts w:ascii="Cambria" w:hAnsi="Cambria" w:cstheme="minorHAnsi"/>
          <w:b/>
          <w:sz w:val="20"/>
          <w:szCs w:val="20"/>
          <w:lang w:val="es-PE" w:eastAsia="es-ES"/>
        </w:rPr>
        <w:t xml:space="preserve">1. </w:t>
      </w:r>
      <w:r w:rsidRPr="00A44995">
        <w:rPr>
          <w:rFonts w:ascii="Cambria" w:hAnsi="Cambria" w:cstheme="minorHAnsi"/>
          <w:b/>
          <w:sz w:val="20"/>
          <w:szCs w:val="20"/>
          <w:lang w:val="es-PE" w:eastAsia="es-ES"/>
        </w:rPr>
        <w:tab/>
        <w:t>Consideraciones generales</w:t>
      </w:r>
    </w:p>
    <w:p w14:paraId="26B28B5F" w14:textId="77777777" w:rsidR="007E5BBD" w:rsidRPr="00A44995" w:rsidRDefault="00872C64" w:rsidP="00872C64">
      <w:pPr>
        <w:tabs>
          <w:tab w:val="left" w:pos="1041"/>
        </w:tabs>
        <w:ind w:left="360" w:hanging="360"/>
        <w:rPr>
          <w:rFonts w:ascii="Cambria" w:hAnsi="Cambria" w:cstheme="minorHAnsi"/>
          <w:sz w:val="20"/>
          <w:szCs w:val="20"/>
          <w:lang w:val="es-PE" w:eastAsia="es-ES"/>
        </w:rPr>
      </w:pPr>
      <w:r w:rsidRPr="00A44995">
        <w:rPr>
          <w:rFonts w:ascii="Cambria" w:hAnsi="Cambria" w:cstheme="minorHAnsi"/>
          <w:sz w:val="20"/>
          <w:szCs w:val="20"/>
          <w:lang w:val="es-PE" w:eastAsia="es-ES"/>
        </w:rPr>
        <w:tab/>
      </w:r>
      <w:r w:rsidRPr="00A44995">
        <w:rPr>
          <w:rFonts w:ascii="Cambria" w:hAnsi="Cambria" w:cstheme="minorHAnsi"/>
          <w:sz w:val="20"/>
          <w:szCs w:val="20"/>
          <w:lang w:val="es-PE" w:eastAsia="es-ES"/>
        </w:rPr>
        <w:tab/>
      </w:r>
    </w:p>
    <w:p w14:paraId="2A9992E1" w14:textId="77777777" w:rsidR="00364EF0" w:rsidRPr="00A44995" w:rsidRDefault="00364EF0" w:rsidP="00364EF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cstheme="minorHAnsi"/>
          <w:sz w:val="20"/>
          <w:szCs w:val="20"/>
          <w:lang w:val="es-PE" w:eastAsia="es-ES"/>
        </w:rPr>
      </w:pPr>
      <w:r w:rsidRPr="00A44995">
        <w:rPr>
          <w:rFonts w:asciiTheme="majorHAnsi" w:hAnsiTheme="majorHAnsi" w:cstheme="minorHAnsi"/>
          <w:sz w:val="20"/>
          <w:szCs w:val="20"/>
          <w:lang w:val="es-PE" w:eastAsia="es-ES"/>
        </w:rPr>
        <w:lastRenderedPageBreak/>
        <w:t xml:space="preserve">De conformidad con los artículos 8 y 25 de la Convención Americana los Estados tienen la obligación de poner a disposición de las víctimas de violaciones a los derechos humanos recursos judiciales efectivos, los cuales deben ser sustanciados </w:t>
      </w:r>
      <w:r w:rsidR="00FE214E" w:rsidRPr="00A44995">
        <w:rPr>
          <w:rFonts w:asciiTheme="majorHAnsi" w:hAnsiTheme="majorHAnsi" w:cstheme="minorHAnsi"/>
          <w:sz w:val="20"/>
          <w:szCs w:val="20"/>
          <w:lang w:val="es-PE" w:eastAsia="es-ES"/>
        </w:rPr>
        <w:t xml:space="preserve">según </w:t>
      </w:r>
      <w:r w:rsidRPr="00A44995">
        <w:rPr>
          <w:rFonts w:asciiTheme="majorHAnsi" w:hAnsiTheme="majorHAnsi" w:cstheme="minorHAnsi"/>
          <w:sz w:val="20"/>
          <w:szCs w:val="20"/>
          <w:lang w:val="es-PE" w:eastAsia="es-ES"/>
        </w:rPr>
        <w:t>las reglas del debido proceso legal</w:t>
      </w:r>
      <w:r w:rsidRPr="00A44995">
        <w:rPr>
          <w:rFonts w:asciiTheme="majorHAnsi" w:hAnsiTheme="majorHAnsi" w:cstheme="minorHAnsi"/>
          <w:sz w:val="20"/>
          <w:szCs w:val="20"/>
          <w:vertAlign w:val="superscript"/>
          <w:lang w:val="es-PE" w:eastAsia="es-ES"/>
        </w:rPr>
        <w:footnoteReference w:id="27"/>
      </w:r>
      <w:r w:rsidRPr="00A44995">
        <w:rPr>
          <w:rFonts w:asciiTheme="majorHAnsi" w:hAnsiTheme="majorHAnsi" w:cstheme="minorHAnsi"/>
          <w:sz w:val="20"/>
          <w:szCs w:val="20"/>
          <w:lang w:val="es-PE" w:eastAsia="es-ES"/>
        </w:rPr>
        <w:t>. Esta obligación es de medio y no de resultado, y debe ser asumida por el Estado como una obligación jurídica propia y no como una simple formalidad condenada de antemano a ser infructuosa</w:t>
      </w:r>
      <w:r w:rsidRPr="00A44995">
        <w:rPr>
          <w:rFonts w:asciiTheme="majorHAnsi" w:hAnsiTheme="majorHAnsi" w:cstheme="minorHAnsi"/>
          <w:sz w:val="20"/>
          <w:szCs w:val="20"/>
          <w:vertAlign w:val="superscript"/>
          <w:lang w:val="es-PE" w:eastAsia="es-ES"/>
        </w:rPr>
        <w:footnoteReference w:id="28"/>
      </w:r>
      <w:r w:rsidRPr="00A44995">
        <w:rPr>
          <w:rFonts w:asciiTheme="majorHAnsi" w:hAnsiTheme="majorHAnsi" w:cstheme="minorHAnsi"/>
          <w:sz w:val="20"/>
          <w:szCs w:val="20"/>
          <w:lang w:val="es-PE" w:eastAsia="es-ES"/>
        </w:rPr>
        <w:t xml:space="preserve">. </w:t>
      </w:r>
      <w:r w:rsidR="00212716" w:rsidRPr="00A44995">
        <w:rPr>
          <w:rFonts w:asciiTheme="majorHAnsi" w:hAnsiTheme="majorHAnsi" w:cstheme="minorHAnsi"/>
          <w:sz w:val="20"/>
          <w:szCs w:val="20"/>
          <w:lang w:val="es-PE" w:eastAsia="es-ES"/>
        </w:rPr>
        <w:t>Asimismo, la CIDH ha sostenido lo siguiente:</w:t>
      </w:r>
    </w:p>
    <w:p w14:paraId="60A493A2" w14:textId="77777777" w:rsidR="00FE214E" w:rsidRPr="00A44995" w:rsidRDefault="00FE214E" w:rsidP="00FE214E">
      <w:pPr>
        <w:rPr>
          <w:rFonts w:asciiTheme="majorHAnsi" w:hAnsiTheme="majorHAnsi" w:cstheme="minorHAnsi"/>
          <w:sz w:val="20"/>
          <w:szCs w:val="20"/>
          <w:lang w:val="es-PE" w:eastAsia="es-ES"/>
        </w:rPr>
      </w:pPr>
    </w:p>
    <w:p w14:paraId="24C09C26" w14:textId="77777777" w:rsidR="00FE214E" w:rsidRPr="00A44995" w:rsidRDefault="00FE214E" w:rsidP="00FE214E">
      <w:pPr>
        <w:tabs>
          <w:tab w:val="left" w:pos="360"/>
        </w:tabs>
        <w:ind w:left="360" w:right="720"/>
        <w:jc w:val="both"/>
        <w:rPr>
          <w:rFonts w:asciiTheme="majorHAnsi" w:hAnsiTheme="majorHAnsi" w:cstheme="minorHAnsi"/>
          <w:sz w:val="18"/>
          <w:szCs w:val="18"/>
          <w:lang w:val="es-PE" w:eastAsia="es-ES"/>
        </w:rPr>
      </w:pPr>
      <w:r w:rsidRPr="00A44995">
        <w:rPr>
          <w:rFonts w:asciiTheme="majorHAnsi" w:hAnsiTheme="majorHAnsi"/>
          <w:color w:val="000000" w:themeColor="text1"/>
          <w:sz w:val="18"/>
          <w:szCs w:val="18"/>
          <w:lang w:val="es-PE"/>
        </w:rPr>
        <w:t>La</w:t>
      </w:r>
      <w:r w:rsidRPr="00A44995">
        <w:rPr>
          <w:rFonts w:asciiTheme="majorHAnsi" w:hAnsiTheme="majorHAnsi" w:cstheme="minorHAnsi"/>
          <w:sz w:val="18"/>
          <w:szCs w:val="18"/>
          <w:lang w:val="es-PE" w:eastAsia="es-ES"/>
        </w:rPr>
        <w:t xml:space="preserve"> investigación judicial debe ser emprendida de buena fe, de manera diligente, exhaustiva e imparcial, y debe estar orientada a explorar todas las líneas investigativas posibles que permitan la identificación de los autores del delito, para su posterior juzgamiento y sanción</w:t>
      </w:r>
      <w:r w:rsidRPr="00A44995">
        <w:rPr>
          <w:rFonts w:asciiTheme="majorHAnsi" w:hAnsiTheme="majorHAnsi" w:cstheme="minorHAnsi"/>
          <w:sz w:val="18"/>
          <w:szCs w:val="18"/>
          <w:vertAlign w:val="superscript"/>
          <w:lang w:val="es-PE" w:eastAsia="es-ES"/>
        </w:rPr>
        <w:footnoteReference w:id="29"/>
      </w:r>
      <w:r w:rsidRPr="00A44995">
        <w:rPr>
          <w:rFonts w:asciiTheme="majorHAnsi" w:hAnsiTheme="majorHAnsi" w:cstheme="minorHAnsi"/>
          <w:sz w:val="18"/>
          <w:szCs w:val="18"/>
          <w:lang w:val="es-PE" w:eastAsia="es-ES"/>
        </w:rPr>
        <w:t>.</w:t>
      </w:r>
    </w:p>
    <w:p w14:paraId="0C331FAC" w14:textId="77777777" w:rsidR="00320E77" w:rsidRPr="00A44995" w:rsidRDefault="00320E77" w:rsidP="00364EF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cstheme="minorHAnsi"/>
          <w:sz w:val="20"/>
          <w:szCs w:val="20"/>
          <w:lang w:val="es-PE" w:eastAsia="es-ES"/>
        </w:rPr>
      </w:pPr>
    </w:p>
    <w:p w14:paraId="2052B000" w14:textId="77777777" w:rsidR="00F72291" w:rsidRPr="00A44995" w:rsidRDefault="00212716" w:rsidP="00F722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eastAsia="Batang" w:hAnsi="Cambria"/>
          <w:sz w:val="20"/>
          <w:szCs w:val="20"/>
          <w:bdr w:val="none" w:sz="0" w:space="0" w:color="auto" w:frame="1"/>
          <w:lang w:val="es-PE"/>
        </w:rPr>
      </w:pPr>
      <w:r w:rsidRPr="00A44995">
        <w:rPr>
          <w:rFonts w:ascii="Cambria" w:eastAsia="Batang" w:hAnsi="Cambria"/>
          <w:sz w:val="20"/>
          <w:szCs w:val="20"/>
          <w:bdr w:val="none" w:sz="0" w:space="0" w:color="auto" w:frame="1"/>
          <w:lang w:val="es-PE"/>
        </w:rPr>
        <w:t>E</w:t>
      </w:r>
      <w:r w:rsidR="00E338E3" w:rsidRPr="00A44995">
        <w:rPr>
          <w:rFonts w:ascii="Cambria" w:eastAsia="Batang" w:hAnsi="Cambria"/>
          <w:sz w:val="20"/>
          <w:szCs w:val="20"/>
          <w:bdr w:val="none" w:sz="0" w:space="0" w:color="auto" w:frame="1"/>
          <w:lang w:val="es-PE"/>
        </w:rPr>
        <w:t>n relación</w:t>
      </w:r>
      <w:r w:rsidR="00E30436" w:rsidRPr="00A44995">
        <w:rPr>
          <w:rFonts w:ascii="Cambria" w:eastAsia="Batang" w:hAnsi="Cambria"/>
          <w:sz w:val="20"/>
          <w:szCs w:val="20"/>
          <w:bdr w:val="none" w:sz="0" w:space="0" w:color="auto" w:frame="1"/>
          <w:lang w:val="es-PE"/>
        </w:rPr>
        <w:t xml:space="preserve"> con la obligación de los Estados de actuar con la debida diligencia, </w:t>
      </w:r>
      <w:r w:rsidRPr="00A44995">
        <w:rPr>
          <w:rFonts w:ascii="Cambria" w:eastAsia="Batang" w:hAnsi="Cambria"/>
          <w:sz w:val="20"/>
          <w:szCs w:val="20"/>
          <w:bdr w:val="none" w:sz="0" w:space="0" w:color="auto" w:frame="1"/>
          <w:lang w:val="es-PE"/>
        </w:rPr>
        <w:t>ésta</w:t>
      </w:r>
      <w:r w:rsidR="00F72291" w:rsidRPr="00A44995">
        <w:rPr>
          <w:rFonts w:ascii="Cambria" w:eastAsia="Batang" w:hAnsi="Cambria"/>
          <w:sz w:val="20"/>
          <w:szCs w:val="20"/>
          <w:bdr w:val="none" w:sz="0" w:space="0" w:color="auto" w:frame="1"/>
          <w:lang w:val="es-PE"/>
        </w:rPr>
        <w:t xml:space="preserve"> comprende el facilitar el acceso a recursos judiciales idóneos y efectivos frente a una violación de los derechos humanos.  Asimismo, </w:t>
      </w:r>
      <w:r w:rsidR="00AE0379" w:rsidRPr="00A44995">
        <w:rPr>
          <w:rFonts w:ascii="Cambria" w:eastAsia="Batang" w:hAnsi="Cambria"/>
          <w:sz w:val="20"/>
          <w:szCs w:val="20"/>
          <w:bdr w:val="none" w:sz="0" w:space="0" w:color="auto" w:frame="1"/>
          <w:lang w:val="es-PE"/>
        </w:rPr>
        <w:t xml:space="preserve">a efectos de asegurar el derecho de acceso a la justicia </w:t>
      </w:r>
      <w:r w:rsidR="00F72291" w:rsidRPr="00A44995">
        <w:rPr>
          <w:rFonts w:asciiTheme="majorHAnsi" w:hAnsiTheme="majorHAnsi" w:cstheme="minorHAnsi"/>
          <w:sz w:val="20"/>
          <w:szCs w:val="20"/>
          <w:lang w:val="es-PE" w:eastAsia="es-ES"/>
        </w:rPr>
        <w:t>los Estados tienen “la obligación de garantizar el derecho de las víctimas o sus familiares de participar en todas las etapas de los de manera que puedan hacer planteamientos, recibir informaciones, aportar pruebas, formular alegaciones y, en síntesis, hacer valer sus derechos”</w:t>
      </w:r>
      <w:r w:rsidR="00F72291" w:rsidRPr="00A44995">
        <w:rPr>
          <w:rFonts w:asciiTheme="majorHAnsi" w:hAnsiTheme="majorHAnsi" w:cstheme="minorHAnsi"/>
          <w:sz w:val="20"/>
          <w:szCs w:val="20"/>
          <w:vertAlign w:val="superscript"/>
          <w:lang w:val="es-PE" w:eastAsia="es-ES"/>
        </w:rPr>
        <w:footnoteReference w:id="30"/>
      </w:r>
      <w:r w:rsidR="00F72291" w:rsidRPr="00A44995">
        <w:rPr>
          <w:rFonts w:asciiTheme="majorHAnsi" w:hAnsiTheme="majorHAnsi" w:cstheme="minorHAnsi"/>
          <w:sz w:val="20"/>
          <w:szCs w:val="20"/>
          <w:lang w:val="es-PE" w:eastAsia="es-ES"/>
        </w:rPr>
        <w:t xml:space="preserve">. </w:t>
      </w:r>
      <w:r w:rsidR="001C3E6F" w:rsidRPr="00A44995">
        <w:rPr>
          <w:rFonts w:asciiTheme="majorHAnsi" w:hAnsiTheme="majorHAnsi" w:cstheme="minorHAnsi"/>
          <w:sz w:val="20"/>
          <w:szCs w:val="20"/>
          <w:lang w:val="es-PE" w:eastAsia="es-ES"/>
        </w:rPr>
        <w:t>La Corte Interamericana ha sostenido lo siguiente:</w:t>
      </w:r>
    </w:p>
    <w:p w14:paraId="1F36B16A" w14:textId="77777777" w:rsidR="002F70AD" w:rsidRPr="00A44995" w:rsidRDefault="002F70AD" w:rsidP="002F70AD">
      <w:pPr>
        <w:pStyle w:val="ListParagraph"/>
        <w:rPr>
          <w:rFonts w:cstheme="minorHAnsi"/>
          <w:sz w:val="20"/>
          <w:szCs w:val="20"/>
          <w:lang w:val="es-PE"/>
        </w:rPr>
      </w:pPr>
    </w:p>
    <w:p w14:paraId="1040F8F1" w14:textId="77777777" w:rsidR="002F70AD" w:rsidRPr="00A44995" w:rsidRDefault="001C3E6F" w:rsidP="002F70AD">
      <w:pPr>
        <w:tabs>
          <w:tab w:val="left" w:pos="360"/>
        </w:tabs>
        <w:ind w:left="360" w:right="720"/>
        <w:jc w:val="both"/>
        <w:rPr>
          <w:rFonts w:asciiTheme="majorHAnsi" w:hAnsiTheme="majorHAnsi" w:cstheme="minorHAnsi"/>
          <w:sz w:val="18"/>
          <w:szCs w:val="18"/>
          <w:lang w:val="es-PE" w:eastAsia="es-ES"/>
        </w:rPr>
      </w:pPr>
      <w:r w:rsidRPr="00A44995">
        <w:rPr>
          <w:rFonts w:ascii="Cambria" w:hAnsi="Cambria" w:cstheme="minorHAnsi"/>
          <w:sz w:val="20"/>
          <w:szCs w:val="20"/>
          <w:lang w:val="es-PE" w:eastAsia="es-ES"/>
        </w:rPr>
        <w:t>[L</w:t>
      </w:r>
      <w:r w:rsidR="002F70AD" w:rsidRPr="00A44995">
        <w:rPr>
          <w:rFonts w:ascii="Cambria" w:hAnsi="Cambria" w:cstheme="minorHAnsi"/>
          <w:sz w:val="20"/>
          <w:szCs w:val="20"/>
          <w:lang w:val="es-PE" w:eastAsia="es-ES"/>
        </w:rPr>
        <w:t>]</w:t>
      </w:r>
      <w:r w:rsidRPr="00A44995">
        <w:rPr>
          <w:rFonts w:asciiTheme="majorHAnsi" w:hAnsiTheme="majorHAnsi" w:cstheme="minorHAnsi"/>
          <w:sz w:val="18"/>
          <w:szCs w:val="18"/>
          <w:lang w:val="es-PE" w:eastAsia="es-ES"/>
        </w:rPr>
        <w:t xml:space="preserve">a investigación </w:t>
      </w:r>
      <w:r w:rsidR="00E30436" w:rsidRPr="00A44995">
        <w:rPr>
          <w:rFonts w:asciiTheme="majorHAnsi" w:hAnsiTheme="majorHAnsi" w:cstheme="minorHAnsi"/>
          <w:sz w:val="18"/>
          <w:szCs w:val="18"/>
          <w:lang w:val="es-PE" w:eastAsia="es-ES"/>
        </w:rPr>
        <w:t xml:space="preserve">debe estar orientada </w:t>
      </w:r>
      <w:r w:rsidR="00F72291" w:rsidRPr="00A44995">
        <w:rPr>
          <w:rFonts w:asciiTheme="majorHAnsi" w:hAnsiTheme="majorHAnsi" w:cstheme="minorHAnsi"/>
          <w:sz w:val="18"/>
          <w:szCs w:val="18"/>
          <w:lang w:val="es-PE" w:eastAsia="es-ES"/>
        </w:rPr>
        <w:t xml:space="preserve">a la persecución, captura, enjuiciamiento y eventual castigo de todos los responsables intelectuales y materiales de los hechos. </w:t>
      </w:r>
      <w:r w:rsidR="00E30436" w:rsidRPr="00A44995">
        <w:rPr>
          <w:rFonts w:asciiTheme="majorHAnsi" w:hAnsiTheme="majorHAnsi" w:cstheme="minorHAnsi"/>
          <w:sz w:val="18"/>
          <w:szCs w:val="18"/>
          <w:lang w:val="es-PE" w:eastAsia="es-ES"/>
        </w:rPr>
        <w:t xml:space="preserve">Y, </w:t>
      </w:r>
      <w:r w:rsidR="00F72291" w:rsidRPr="00A44995">
        <w:rPr>
          <w:rFonts w:asciiTheme="majorHAnsi" w:hAnsiTheme="majorHAnsi" w:cstheme="minorHAnsi"/>
          <w:sz w:val="18"/>
          <w:szCs w:val="18"/>
          <w:lang w:val="es-PE" w:eastAsia="es-ES"/>
        </w:rPr>
        <w:t>que la impunidad debe ser erradicada mediante la determinación de las responsabilidades tanto generales del Estado, como individuales -penales y de otra índole- de sus agentes o de particulares, de modo que para cumplir esta obligación, el Estado debe remover todos los obstáculos, de facto y de jure, que mantengan la impunidad</w:t>
      </w:r>
      <w:r w:rsidR="00F72291" w:rsidRPr="00A44995">
        <w:rPr>
          <w:rFonts w:asciiTheme="majorHAnsi" w:hAnsiTheme="majorHAnsi" w:cstheme="minorHAnsi"/>
          <w:sz w:val="18"/>
          <w:szCs w:val="18"/>
          <w:vertAlign w:val="superscript"/>
          <w:lang w:val="es-PE" w:eastAsia="es-ES"/>
        </w:rPr>
        <w:footnoteReference w:id="31"/>
      </w:r>
      <w:r w:rsidR="00F72291" w:rsidRPr="00A44995">
        <w:rPr>
          <w:rFonts w:asciiTheme="majorHAnsi" w:hAnsiTheme="majorHAnsi" w:cstheme="minorHAnsi"/>
          <w:sz w:val="18"/>
          <w:szCs w:val="18"/>
          <w:lang w:val="es-PE" w:eastAsia="es-ES"/>
        </w:rPr>
        <w:t>.</w:t>
      </w:r>
      <w:r w:rsidR="00E30436" w:rsidRPr="00A44995">
        <w:rPr>
          <w:rFonts w:asciiTheme="majorHAnsi" w:hAnsiTheme="majorHAnsi" w:cstheme="minorHAnsi"/>
          <w:sz w:val="18"/>
          <w:szCs w:val="18"/>
          <w:lang w:val="es-PE" w:eastAsia="es-ES"/>
        </w:rPr>
        <w:t xml:space="preserve"> </w:t>
      </w:r>
    </w:p>
    <w:p w14:paraId="279AE954" w14:textId="77777777" w:rsidR="002E1A58" w:rsidRPr="00A44995" w:rsidRDefault="002E1A58" w:rsidP="001C3E6F">
      <w:pPr>
        <w:rPr>
          <w:rFonts w:eastAsia="Batang"/>
          <w:sz w:val="20"/>
          <w:szCs w:val="20"/>
          <w:bdr w:val="none" w:sz="0" w:space="0" w:color="auto" w:frame="1"/>
          <w:lang w:val="es-PE"/>
        </w:rPr>
      </w:pPr>
    </w:p>
    <w:p w14:paraId="7CF602B2" w14:textId="77777777" w:rsidR="00B85401" w:rsidRPr="00A44995" w:rsidRDefault="001C3E6F" w:rsidP="00B8540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eastAsia="Batang" w:hAnsi="Cambria"/>
          <w:sz w:val="20"/>
          <w:szCs w:val="20"/>
          <w:bdr w:val="none" w:sz="0" w:space="0" w:color="auto" w:frame="1"/>
          <w:lang w:val="es-PE"/>
        </w:rPr>
      </w:pPr>
      <w:r w:rsidRPr="00A44995">
        <w:rPr>
          <w:rFonts w:ascii="Cambria" w:eastAsia="Batang" w:hAnsi="Cambria"/>
          <w:sz w:val="20"/>
          <w:szCs w:val="20"/>
          <w:bdr w:val="none" w:sz="0" w:space="0" w:color="auto" w:frame="1"/>
          <w:lang w:val="es-PE"/>
        </w:rPr>
        <w:t>Adicionalmente</w:t>
      </w:r>
      <w:r w:rsidR="002E1A58" w:rsidRPr="00A44995">
        <w:rPr>
          <w:rFonts w:asciiTheme="majorHAnsi" w:hAnsiTheme="majorHAnsi" w:cstheme="minorHAnsi"/>
          <w:sz w:val="20"/>
          <w:szCs w:val="20"/>
          <w:lang w:val="es-PE" w:eastAsia="es-ES"/>
        </w:rPr>
        <w:t xml:space="preserve">, los Estados tienen la obligación de que las investigaciones </w:t>
      </w:r>
      <w:r w:rsidR="00B85401" w:rsidRPr="00A44995">
        <w:rPr>
          <w:rFonts w:asciiTheme="majorHAnsi" w:hAnsiTheme="majorHAnsi" w:cstheme="minorHAnsi"/>
          <w:sz w:val="20"/>
          <w:szCs w:val="20"/>
          <w:lang w:val="es-PE" w:eastAsia="es-ES"/>
        </w:rPr>
        <w:t>sean</w:t>
      </w:r>
      <w:r w:rsidR="002E1A58" w:rsidRPr="00A44995">
        <w:rPr>
          <w:rFonts w:asciiTheme="majorHAnsi" w:hAnsiTheme="majorHAnsi" w:cstheme="minorHAnsi"/>
          <w:sz w:val="20"/>
          <w:szCs w:val="20"/>
          <w:lang w:val="es-PE" w:eastAsia="es-ES"/>
        </w:rPr>
        <w:t xml:space="preserve"> conducidas de manera exhausti</w:t>
      </w:r>
      <w:r w:rsidR="00B85401" w:rsidRPr="00A44995">
        <w:rPr>
          <w:rFonts w:asciiTheme="majorHAnsi" w:hAnsiTheme="majorHAnsi" w:cstheme="minorHAnsi"/>
          <w:sz w:val="20"/>
          <w:szCs w:val="20"/>
          <w:lang w:val="es-PE" w:eastAsia="es-ES"/>
        </w:rPr>
        <w:t xml:space="preserve">va y diligente. Ello significa </w:t>
      </w:r>
      <w:r w:rsidR="002E1A58" w:rsidRPr="00A44995">
        <w:rPr>
          <w:rFonts w:asciiTheme="majorHAnsi" w:hAnsiTheme="majorHAnsi" w:cstheme="minorHAnsi"/>
          <w:sz w:val="20"/>
          <w:szCs w:val="20"/>
          <w:lang w:val="es-PE" w:eastAsia="es-ES"/>
        </w:rPr>
        <w:t>realizar todas aquellas averiguaciones que sean necesarias para asegurar que las víctimas conozcan la verdad de todos los hechos acontecidos y que se sancione a quienes estén involucrados en los delitos</w:t>
      </w:r>
      <w:r w:rsidR="002E1A58" w:rsidRPr="00A44995">
        <w:rPr>
          <w:rFonts w:asciiTheme="majorHAnsi" w:hAnsiTheme="majorHAnsi" w:cstheme="minorHAnsi"/>
          <w:sz w:val="20"/>
          <w:szCs w:val="20"/>
          <w:vertAlign w:val="superscript"/>
          <w:lang w:val="es-PE" w:eastAsia="es-ES"/>
        </w:rPr>
        <w:footnoteReference w:id="32"/>
      </w:r>
      <w:r w:rsidR="002E1A58" w:rsidRPr="00A44995">
        <w:rPr>
          <w:rFonts w:asciiTheme="majorHAnsi" w:hAnsiTheme="majorHAnsi" w:cstheme="minorHAnsi"/>
          <w:sz w:val="20"/>
          <w:szCs w:val="20"/>
          <w:lang w:val="es-PE" w:eastAsia="es-ES"/>
        </w:rPr>
        <w:t xml:space="preserve">. </w:t>
      </w:r>
      <w:r w:rsidR="00B85401" w:rsidRPr="00A44995">
        <w:rPr>
          <w:rFonts w:asciiTheme="majorHAnsi" w:hAnsiTheme="majorHAnsi" w:cstheme="minorHAnsi"/>
          <w:sz w:val="20"/>
          <w:szCs w:val="20"/>
          <w:lang w:val="es-PE" w:eastAsia="es-ES"/>
        </w:rPr>
        <w:t>El Estado también tiene que demostrar que ha realizado una investigación inmediata, exhaustiva, seria e imparcial</w:t>
      </w:r>
      <w:r w:rsidR="00B85401" w:rsidRPr="00A44995">
        <w:rPr>
          <w:rFonts w:asciiTheme="majorHAnsi" w:hAnsiTheme="majorHAnsi" w:cstheme="minorHAnsi"/>
          <w:sz w:val="20"/>
          <w:szCs w:val="20"/>
          <w:vertAlign w:val="superscript"/>
          <w:lang w:val="es-PE" w:eastAsia="es-ES"/>
        </w:rPr>
        <w:footnoteReference w:id="33"/>
      </w:r>
      <w:r w:rsidR="00B85401" w:rsidRPr="00A44995">
        <w:rPr>
          <w:rFonts w:asciiTheme="majorHAnsi" w:hAnsiTheme="majorHAnsi" w:cstheme="minorHAnsi"/>
          <w:sz w:val="20"/>
          <w:szCs w:val="20"/>
          <w:lang w:val="es-PE" w:eastAsia="es-ES"/>
        </w:rPr>
        <w:t xml:space="preserve">, </w:t>
      </w:r>
      <w:bookmarkStart w:id="23" w:name="_Hlk57224300"/>
      <w:r w:rsidR="00B85401" w:rsidRPr="00A44995">
        <w:rPr>
          <w:rFonts w:asciiTheme="majorHAnsi" w:hAnsiTheme="majorHAnsi" w:cstheme="minorHAnsi"/>
          <w:sz w:val="20"/>
          <w:szCs w:val="20"/>
          <w:lang w:val="es-PE" w:eastAsia="es-ES"/>
        </w:rPr>
        <w:t>la cual debe estar orientada a explorar todas las líneas investigativas posibles que permitan la identificación de los autores del delito, para su posterior juzgamiento y sanción</w:t>
      </w:r>
      <w:r w:rsidR="00B85401" w:rsidRPr="00A44995">
        <w:rPr>
          <w:rFonts w:asciiTheme="majorHAnsi" w:hAnsiTheme="majorHAnsi" w:cstheme="minorHAnsi"/>
          <w:sz w:val="20"/>
          <w:szCs w:val="20"/>
          <w:vertAlign w:val="superscript"/>
          <w:lang w:val="es-PE" w:eastAsia="es-ES"/>
        </w:rPr>
        <w:footnoteReference w:id="34"/>
      </w:r>
      <w:r w:rsidR="00B85401" w:rsidRPr="00A44995">
        <w:rPr>
          <w:rFonts w:asciiTheme="majorHAnsi" w:hAnsiTheme="majorHAnsi" w:cstheme="minorHAnsi"/>
          <w:sz w:val="20"/>
          <w:szCs w:val="20"/>
          <w:lang w:val="es-PE" w:eastAsia="es-ES"/>
        </w:rPr>
        <w:t xml:space="preserve">. </w:t>
      </w:r>
      <w:r w:rsidR="00A67E9B" w:rsidRPr="00A44995">
        <w:rPr>
          <w:rFonts w:asciiTheme="majorHAnsi" w:hAnsiTheme="majorHAnsi" w:cstheme="minorHAnsi"/>
          <w:sz w:val="20"/>
          <w:szCs w:val="20"/>
          <w:lang w:val="es-PE" w:eastAsia="es-ES"/>
        </w:rPr>
        <w:t>Tanto la CIDH como la Corte han sostenido que los Estados pueden ser responsables</w:t>
      </w:r>
      <w:r w:rsidR="00B85401" w:rsidRPr="00A44995">
        <w:rPr>
          <w:rFonts w:asciiTheme="majorHAnsi" w:hAnsiTheme="majorHAnsi" w:cstheme="minorHAnsi"/>
          <w:sz w:val="20"/>
          <w:szCs w:val="20"/>
          <w:lang w:val="es-PE" w:eastAsia="es-ES"/>
        </w:rPr>
        <w:t xml:space="preserve"> por no “ordenar, practicar o valorar pruebas” que pueden ser fundamentales para el debido esclarecimiento de los hechos</w:t>
      </w:r>
      <w:bookmarkEnd w:id="23"/>
      <w:r w:rsidR="00B85401" w:rsidRPr="00A44995">
        <w:rPr>
          <w:rFonts w:asciiTheme="majorHAnsi" w:hAnsiTheme="majorHAnsi" w:cstheme="minorHAnsi"/>
          <w:sz w:val="20"/>
          <w:szCs w:val="20"/>
          <w:vertAlign w:val="superscript"/>
          <w:lang w:val="es-PE" w:eastAsia="es-ES"/>
        </w:rPr>
        <w:footnoteReference w:id="35"/>
      </w:r>
      <w:r w:rsidR="00B85401" w:rsidRPr="00A44995">
        <w:rPr>
          <w:rFonts w:asciiTheme="majorHAnsi" w:hAnsiTheme="majorHAnsi" w:cstheme="minorHAnsi"/>
          <w:sz w:val="20"/>
          <w:szCs w:val="20"/>
          <w:lang w:val="es-PE" w:eastAsia="es-ES"/>
        </w:rPr>
        <w:t>.</w:t>
      </w:r>
    </w:p>
    <w:p w14:paraId="04D255F0" w14:textId="77777777" w:rsidR="00917CB9" w:rsidRPr="00A44995" w:rsidRDefault="00917CB9" w:rsidP="00917CB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cstheme="minorHAnsi"/>
          <w:sz w:val="20"/>
          <w:szCs w:val="20"/>
          <w:lang w:val="es-PE" w:eastAsia="es-ES"/>
        </w:rPr>
      </w:pPr>
    </w:p>
    <w:p w14:paraId="143781A0" w14:textId="77777777" w:rsidR="002E1A58" w:rsidRPr="00A44995" w:rsidRDefault="000A037E" w:rsidP="002E1A5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cstheme="minorHAnsi"/>
          <w:sz w:val="20"/>
          <w:szCs w:val="20"/>
          <w:lang w:val="es-PE" w:eastAsia="es-ES"/>
        </w:rPr>
      </w:pPr>
      <w:r w:rsidRPr="00A44995">
        <w:rPr>
          <w:rFonts w:asciiTheme="majorHAnsi" w:hAnsiTheme="majorHAnsi" w:cstheme="minorHAnsi"/>
          <w:sz w:val="20"/>
          <w:szCs w:val="20"/>
          <w:lang w:val="es-PE" w:eastAsia="es-ES"/>
        </w:rPr>
        <w:t>En relación con el</w:t>
      </w:r>
      <w:r w:rsidR="002E1A58" w:rsidRPr="00A44995">
        <w:rPr>
          <w:rFonts w:asciiTheme="majorHAnsi" w:hAnsiTheme="majorHAnsi" w:cstheme="minorHAnsi"/>
          <w:sz w:val="20"/>
          <w:szCs w:val="20"/>
          <w:lang w:val="es-PE" w:eastAsia="es-ES"/>
        </w:rPr>
        <w:t xml:space="preserve"> principio de independencia e imparcialidad, </w:t>
      </w:r>
      <w:r w:rsidRPr="00A44995">
        <w:rPr>
          <w:rFonts w:asciiTheme="majorHAnsi" w:hAnsiTheme="majorHAnsi" w:cstheme="minorHAnsi"/>
          <w:sz w:val="20"/>
          <w:szCs w:val="20"/>
          <w:lang w:val="es-PE" w:eastAsia="es-ES"/>
        </w:rPr>
        <w:t>los Estados deben garantizar</w:t>
      </w:r>
      <w:r w:rsidR="002E1A58" w:rsidRPr="00A44995">
        <w:rPr>
          <w:rFonts w:asciiTheme="majorHAnsi" w:hAnsiTheme="majorHAnsi" w:cstheme="minorHAnsi"/>
          <w:sz w:val="20"/>
          <w:szCs w:val="20"/>
          <w:lang w:val="es-PE" w:eastAsia="es-ES"/>
        </w:rPr>
        <w:t xml:space="preserve"> que los órganos encargados de intervenir en el proceso judicial - ya sea durante la instrucción como en el juicio propiamente dicho - se aproximen al asunto contando con la mayor objetividad posible. Ello implica, en esencia, que </w:t>
      </w:r>
      <w:r w:rsidR="006262BC" w:rsidRPr="00A44995">
        <w:rPr>
          <w:rFonts w:asciiTheme="majorHAnsi" w:hAnsiTheme="majorHAnsi" w:cstheme="minorHAnsi"/>
          <w:sz w:val="20"/>
          <w:szCs w:val="20"/>
          <w:lang w:val="es-PE" w:eastAsia="es-ES"/>
        </w:rPr>
        <w:t>las autoridades judiciales</w:t>
      </w:r>
      <w:r w:rsidR="002E1A58" w:rsidRPr="00A44995">
        <w:rPr>
          <w:rFonts w:asciiTheme="majorHAnsi" w:hAnsiTheme="majorHAnsi" w:cstheme="minorHAnsi"/>
          <w:sz w:val="20"/>
          <w:szCs w:val="20"/>
          <w:lang w:val="es-PE" w:eastAsia="es-ES"/>
        </w:rPr>
        <w:t xml:space="preserve"> intervinientes deben carecer de prejuicios personales y deben ofrecer garantías suficientes de manera tal que las partes del proceso no alberguen dudas justificadas respecto a su imparcialidad</w:t>
      </w:r>
      <w:r w:rsidR="002E1A58" w:rsidRPr="00A44995">
        <w:rPr>
          <w:rFonts w:asciiTheme="majorHAnsi" w:hAnsiTheme="majorHAnsi" w:cstheme="minorHAnsi"/>
          <w:sz w:val="20"/>
          <w:szCs w:val="20"/>
          <w:vertAlign w:val="superscript"/>
          <w:lang w:val="es-PE" w:eastAsia="es-ES"/>
        </w:rPr>
        <w:footnoteReference w:id="36"/>
      </w:r>
      <w:r w:rsidR="002E1A58" w:rsidRPr="00A44995">
        <w:rPr>
          <w:rFonts w:asciiTheme="majorHAnsi" w:hAnsiTheme="majorHAnsi" w:cstheme="minorHAnsi"/>
          <w:sz w:val="20"/>
          <w:szCs w:val="20"/>
          <w:lang w:val="es-PE" w:eastAsia="es-ES"/>
        </w:rPr>
        <w:t xml:space="preserve">. </w:t>
      </w:r>
    </w:p>
    <w:p w14:paraId="30749BC3" w14:textId="77777777" w:rsidR="002E1A58" w:rsidRPr="00A44995" w:rsidRDefault="002E1A58" w:rsidP="002E1A5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eastAsia="Batang" w:hAnsi="Cambria"/>
          <w:sz w:val="20"/>
          <w:szCs w:val="20"/>
          <w:bdr w:val="none" w:sz="0" w:space="0" w:color="auto" w:frame="1"/>
          <w:lang w:val="es-PE"/>
        </w:rPr>
      </w:pPr>
    </w:p>
    <w:p w14:paraId="04884A01" w14:textId="77777777" w:rsidR="00917CB9" w:rsidRPr="00A44995" w:rsidRDefault="00917CB9" w:rsidP="00174C4B">
      <w:pPr>
        <w:rPr>
          <w:rFonts w:asciiTheme="majorHAnsi" w:hAnsiTheme="majorHAnsi" w:cstheme="minorHAnsi"/>
          <w:sz w:val="22"/>
          <w:szCs w:val="22"/>
          <w:lang w:val="es-PE"/>
        </w:rPr>
      </w:pPr>
    </w:p>
    <w:p w14:paraId="7B8BCABF" w14:textId="77777777" w:rsidR="009C1D16" w:rsidRPr="00A44995" w:rsidRDefault="00B21D9E" w:rsidP="00F3022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cstheme="minorHAnsi"/>
          <w:sz w:val="20"/>
          <w:szCs w:val="20"/>
          <w:lang w:val="es-PE" w:eastAsia="es-ES"/>
        </w:rPr>
      </w:pPr>
      <w:r w:rsidRPr="00A44995">
        <w:rPr>
          <w:rFonts w:asciiTheme="majorHAnsi" w:hAnsiTheme="majorHAnsi" w:cstheme="minorHAnsi"/>
          <w:sz w:val="20"/>
          <w:szCs w:val="20"/>
          <w:lang w:val="es-PE" w:eastAsia="es-ES"/>
        </w:rPr>
        <w:t>R</w:t>
      </w:r>
      <w:r w:rsidR="000A037E" w:rsidRPr="00A44995">
        <w:rPr>
          <w:rFonts w:asciiTheme="majorHAnsi" w:hAnsiTheme="majorHAnsi" w:cstheme="minorHAnsi"/>
          <w:sz w:val="20"/>
          <w:szCs w:val="20"/>
          <w:lang w:val="es-PE" w:eastAsia="es-ES"/>
        </w:rPr>
        <w:t xml:space="preserve">especto del plazo razonable del proceso, </w:t>
      </w:r>
      <w:r w:rsidR="00F72291" w:rsidRPr="00A44995">
        <w:rPr>
          <w:rFonts w:asciiTheme="majorHAnsi" w:hAnsiTheme="majorHAnsi" w:cstheme="minorHAnsi"/>
          <w:sz w:val="20"/>
          <w:szCs w:val="20"/>
          <w:lang w:val="es-PE" w:eastAsia="es-ES"/>
        </w:rPr>
        <w:t xml:space="preserve"> </w:t>
      </w:r>
      <w:r w:rsidR="000A037E" w:rsidRPr="00A44995">
        <w:rPr>
          <w:rFonts w:asciiTheme="majorHAnsi" w:hAnsiTheme="majorHAnsi" w:cstheme="minorHAnsi"/>
          <w:sz w:val="20"/>
          <w:szCs w:val="20"/>
          <w:lang w:val="es-PE" w:eastAsia="es-ES"/>
        </w:rPr>
        <w:t>éste</w:t>
      </w:r>
      <w:r w:rsidR="00F72291" w:rsidRPr="00A44995">
        <w:rPr>
          <w:rFonts w:asciiTheme="majorHAnsi" w:hAnsiTheme="majorHAnsi" w:cstheme="minorHAnsi"/>
          <w:sz w:val="20"/>
          <w:szCs w:val="20"/>
          <w:lang w:val="es-PE" w:eastAsia="es-ES"/>
        </w:rPr>
        <w:t xml:space="preserve"> se debe apreciar en relación con la duración total del procedimiento que se desarrolla, desde el primer acto procesal hasta que se dicte la sentencia definitiva, incluyendo los recursos de instancia que pudieran eventualmente presentarse</w:t>
      </w:r>
      <w:r w:rsidR="00F3022D" w:rsidRPr="00A44995">
        <w:rPr>
          <w:rFonts w:asciiTheme="majorHAnsi" w:hAnsiTheme="majorHAnsi" w:cstheme="minorHAnsi"/>
          <w:sz w:val="20"/>
          <w:szCs w:val="20"/>
          <w:vertAlign w:val="superscript"/>
          <w:lang w:val="es-PE" w:eastAsia="es-ES"/>
        </w:rPr>
        <w:footnoteReference w:id="37"/>
      </w:r>
      <w:r w:rsidR="00F72291" w:rsidRPr="00A44995">
        <w:rPr>
          <w:rFonts w:asciiTheme="majorHAnsi" w:hAnsiTheme="majorHAnsi" w:cstheme="minorHAnsi"/>
          <w:sz w:val="20"/>
          <w:szCs w:val="20"/>
          <w:lang w:val="es-PE" w:eastAsia="es-ES"/>
        </w:rPr>
        <w:t>. El derecho de acceso a la justicia implica que la solución de la controversia se produzca en tiempo razonable, ya que una demora prolongada puede llegar a constituir, por sí misma, una violación de las garantías judiciales</w:t>
      </w:r>
      <w:r w:rsidR="00F72291" w:rsidRPr="00A44995">
        <w:rPr>
          <w:rStyle w:val="FootnoteReference"/>
          <w:rFonts w:asciiTheme="majorHAnsi" w:hAnsiTheme="majorHAnsi" w:cstheme="minorHAnsi"/>
          <w:sz w:val="20"/>
          <w:szCs w:val="20"/>
          <w:lang w:val="es-PE" w:eastAsia="es-ES"/>
        </w:rPr>
        <w:footnoteReference w:id="38"/>
      </w:r>
      <w:r w:rsidR="00F72291" w:rsidRPr="00A44995">
        <w:rPr>
          <w:rFonts w:asciiTheme="majorHAnsi" w:hAnsiTheme="majorHAnsi" w:cstheme="minorHAnsi"/>
          <w:sz w:val="20"/>
          <w:szCs w:val="20"/>
          <w:lang w:val="es-PE" w:eastAsia="es-ES"/>
        </w:rPr>
        <w:t>.</w:t>
      </w:r>
      <w:r w:rsidR="00F3022D" w:rsidRPr="00A44995">
        <w:rPr>
          <w:rFonts w:asciiTheme="majorHAnsi" w:hAnsiTheme="majorHAnsi" w:cstheme="minorHAnsi"/>
          <w:sz w:val="20"/>
          <w:szCs w:val="20"/>
          <w:lang w:val="es-PE" w:eastAsia="es-ES"/>
        </w:rPr>
        <w:t xml:space="preserve"> Tanto la CIDH como la Corte han resaltado que, a efectos de determinar la razonabilidad de la duración de un proceso, se deben tomar en cuenta los siguientes elementos: </w:t>
      </w:r>
      <w:bookmarkStart w:id="24" w:name="_Hlk57230818"/>
      <w:r w:rsidR="00F3022D" w:rsidRPr="00A44995">
        <w:rPr>
          <w:rFonts w:ascii="Cambria" w:eastAsia="Batang" w:hAnsi="Cambria"/>
          <w:sz w:val="20"/>
          <w:szCs w:val="20"/>
          <w:bdr w:val="none" w:sz="0" w:space="0" w:color="auto"/>
          <w:lang w:val="es-PE"/>
        </w:rPr>
        <w:t>i) la complejidad del asunto; ii</w:t>
      </w:r>
      <w:r w:rsidR="00404E0D" w:rsidRPr="00A44995">
        <w:rPr>
          <w:rFonts w:ascii="Cambria" w:eastAsia="Batang" w:hAnsi="Cambria"/>
          <w:sz w:val="20"/>
          <w:szCs w:val="20"/>
          <w:bdr w:val="none" w:sz="0" w:space="0" w:color="auto"/>
          <w:lang w:val="es-PE"/>
        </w:rPr>
        <w:t xml:space="preserve">) </w:t>
      </w:r>
      <w:r w:rsidR="00F3022D" w:rsidRPr="00A44995">
        <w:rPr>
          <w:rFonts w:ascii="Cambria" w:eastAsia="Batang" w:hAnsi="Cambria"/>
          <w:sz w:val="20"/>
          <w:szCs w:val="20"/>
          <w:bdr w:val="none" w:sz="0" w:space="0" w:color="auto"/>
          <w:lang w:val="es-PE"/>
        </w:rPr>
        <w:t>l</w:t>
      </w:r>
      <w:r w:rsidR="00404E0D" w:rsidRPr="00A44995">
        <w:rPr>
          <w:rFonts w:ascii="Cambria" w:eastAsia="Batang" w:hAnsi="Cambria"/>
          <w:sz w:val="20"/>
          <w:szCs w:val="20"/>
          <w:bdr w:val="none" w:sz="0" w:space="0" w:color="auto"/>
          <w:lang w:val="es-PE"/>
        </w:rPr>
        <w:t xml:space="preserve">a actividad procesal de </w:t>
      </w:r>
      <w:r w:rsidR="00F3022D" w:rsidRPr="00A44995">
        <w:rPr>
          <w:rFonts w:ascii="Cambria" w:eastAsia="Batang" w:hAnsi="Cambria"/>
          <w:sz w:val="20"/>
          <w:szCs w:val="20"/>
          <w:bdr w:val="none" w:sz="0" w:space="0" w:color="auto"/>
          <w:lang w:val="es-PE"/>
        </w:rPr>
        <w:t>la parte interesada; iii</w:t>
      </w:r>
      <w:r w:rsidR="00404E0D" w:rsidRPr="00A44995">
        <w:rPr>
          <w:rFonts w:ascii="Cambria" w:eastAsia="Batang" w:hAnsi="Cambria"/>
          <w:sz w:val="20"/>
          <w:szCs w:val="20"/>
          <w:bdr w:val="none" w:sz="0" w:space="0" w:color="auto"/>
          <w:lang w:val="es-PE"/>
        </w:rPr>
        <w:t>) la conducta de las autoridades judiciales</w:t>
      </w:r>
      <w:r w:rsidR="00F3022D" w:rsidRPr="00A44995">
        <w:rPr>
          <w:rFonts w:ascii="Cambria" w:eastAsia="Batang" w:hAnsi="Cambria"/>
          <w:sz w:val="20"/>
          <w:szCs w:val="20"/>
          <w:bdr w:val="none" w:sz="0" w:space="0" w:color="auto"/>
          <w:lang w:val="es-PE"/>
        </w:rPr>
        <w:t>; y iv</w:t>
      </w:r>
      <w:r w:rsidR="00404E0D" w:rsidRPr="00A44995">
        <w:rPr>
          <w:rFonts w:ascii="Cambria" w:eastAsia="Batang" w:hAnsi="Cambria"/>
          <w:sz w:val="20"/>
          <w:szCs w:val="20"/>
          <w:bdr w:val="none" w:sz="0" w:space="0" w:color="auto"/>
          <w:lang w:val="es-PE"/>
        </w:rPr>
        <w:t xml:space="preserve">) </w:t>
      </w:r>
      <w:bookmarkStart w:id="25" w:name="_Hlk57233946"/>
      <w:r w:rsidR="00404E0D" w:rsidRPr="00A44995">
        <w:rPr>
          <w:rFonts w:ascii="Cambria" w:eastAsia="Batang" w:hAnsi="Cambria"/>
          <w:sz w:val="20"/>
          <w:szCs w:val="20"/>
          <w:bdr w:val="none" w:sz="0" w:space="0" w:color="auto"/>
          <w:lang w:val="es-PE"/>
        </w:rPr>
        <w:t>la afectación generada en la situación jurídica de la persona involucrada en el proceso</w:t>
      </w:r>
      <w:r w:rsidR="00404E0D" w:rsidRPr="00A44995">
        <w:rPr>
          <w:rFonts w:ascii="Cambria" w:eastAsia="Batang" w:hAnsi="Cambria"/>
          <w:sz w:val="20"/>
          <w:szCs w:val="20"/>
          <w:bdr w:val="none" w:sz="0" w:space="0" w:color="auto"/>
          <w:vertAlign w:val="superscript"/>
          <w:lang w:val="es-PE"/>
        </w:rPr>
        <w:footnoteReference w:id="39"/>
      </w:r>
      <w:r w:rsidR="00404E0D" w:rsidRPr="00A44995">
        <w:rPr>
          <w:rFonts w:ascii="Cambria" w:eastAsia="Batang" w:hAnsi="Cambria"/>
          <w:sz w:val="20"/>
          <w:szCs w:val="20"/>
          <w:bdr w:val="none" w:sz="0" w:space="0" w:color="auto"/>
          <w:lang w:val="es-PE"/>
        </w:rPr>
        <w:t xml:space="preserve">. </w:t>
      </w:r>
      <w:bookmarkEnd w:id="24"/>
      <w:bookmarkEnd w:id="25"/>
    </w:p>
    <w:p w14:paraId="3CEDFF0B" w14:textId="77777777" w:rsidR="00872C64" w:rsidRPr="00A44995" w:rsidRDefault="00872C64" w:rsidP="00872C6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cstheme="minorHAnsi"/>
          <w:sz w:val="20"/>
          <w:szCs w:val="20"/>
          <w:lang w:val="es-PE" w:eastAsia="es-ES"/>
        </w:rPr>
      </w:pPr>
    </w:p>
    <w:p w14:paraId="115E1401" w14:textId="77777777" w:rsidR="002B7D40" w:rsidRPr="00A44995" w:rsidRDefault="00B21D9E" w:rsidP="00B21D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cstheme="minorHAnsi"/>
          <w:sz w:val="20"/>
          <w:szCs w:val="20"/>
          <w:lang w:val="es-PE" w:eastAsia="es-ES"/>
        </w:rPr>
      </w:pPr>
      <w:r w:rsidRPr="00A44995">
        <w:rPr>
          <w:rFonts w:asciiTheme="majorHAnsi" w:hAnsiTheme="majorHAnsi" w:cstheme="minorHAnsi"/>
          <w:sz w:val="20"/>
          <w:szCs w:val="20"/>
          <w:lang w:val="es-PE" w:eastAsia="es-ES"/>
        </w:rPr>
        <w:t>Finalmente, t</w:t>
      </w:r>
      <w:r w:rsidR="009D74E8" w:rsidRPr="00A44995">
        <w:rPr>
          <w:rFonts w:asciiTheme="majorHAnsi" w:hAnsiTheme="majorHAnsi" w:cstheme="minorHAnsi"/>
          <w:sz w:val="20"/>
          <w:szCs w:val="20"/>
          <w:lang w:val="es-PE" w:eastAsia="es-ES"/>
        </w:rPr>
        <w:t xml:space="preserve">anto la CIDH como </w:t>
      </w:r>
      <w:r w:rsidR="001367FC" w:rsidRPr="00A44995">
        <w:rPr>
          <w:rFonts w:asciiTheme="majorHAnsi" w:hAnsiTheme="majorHAnsi" w:cstheme="minorHAnsi"/>
          <w:sz w:val="20"/>
          <w:szCs w:val="20"/>
          <w:lang w:val="es-PE" w:eastAsia="es-ES"/>
        </w:rPr>
        <w:t xml:space="preserve">la Corte </w:t>
      </w:r>
      <w:r w:rsidR="009D74E8" w:rsidRPr="00A44995">
        <w:rPr>
          <w:rFonts w:asciiTheme="majorHAnsi" w:hAnsiTheme="majorHAnsi" w:cstheme="minorHAnsi"/>
          <w:sz w:val="20"/>
          <w:szCs w:val="20"/>
          <w:lang w:val="es-PE" w:eastAsia="es-ES"/>
        </w:rPr>
        <w:t>han remarcado</w:t>
      </w:r>
      <w:r w:rsidR="001367FC" w:rsidRPr="00A44995">
        <w:rPr>
          <w:rFonts w:asciiTheme="majorHAnsi" w:hAnsiTheme="majorHAnsi" w:cstheme="minorHAnsi"/>
          <w:sz w:val="20"/>
          <w:szCs w:val="20"/>
          <w:lang w:val="es-PE" w:eastAsia="es-ES"/>
        </w:rPr>
        <w:t xml:space="preserve"> que en los casos donde existan afectaciones a una persona </w:t>
      </w:r>
      <w:r w:rsidR="009D74E8" w:rsidRPr="00A44995">
        <w:rPr>
          <w:rFonts w:asciiTheme="majorHAnsi" w:hAnsiTheme="majorHAnsi" w:cstheme="minorHAnsi"/>
          <w:sz w:val="20"/>
          <w:szCs w:val="20"/>
          <w:lang w:val="es-PE" w:eastAsia="es-ES"/>
        </w:rPr>
        <w:t>con discapacidad</w:t>
      </w:r>
      <w:r w:rsidR="001367FC" w:rsidRPr="00A44995">
        <w:rPr>
          <w:rFonts w:asciiTheme="majorHAnsi" w:hAnsiTheme="majorHAnsi" w:cstheme="minorHAnsi"/>
          <w:sz w:val="20"/>
          <w:szCs w:val="20"/>
          <w:lang w:val="es-PE" w:eastAsia="es-ES"/>
        </w:rPr>
        <w:t>, las autoridades judiciales deben actuar con mayor diligencia</w:t>
      </w:r>
      <w:r w:rsidR="003A6F91" w:rsidRPr="00A44995">
        <w:rPr>
          <w:rFonts w:asciiTheme="majorHAnsi" w:hAnsiTheme="majorHAnsi" w:cstheme="minorHAnsi"/>
          <w:sz w:val="20"/>
          <w:szCs w:val="20"/>
          <w:lang w:val="es-PE" w:eastAsia="es-ES"/>
        </w:rPr>
        <w:t xml:space="preserve">. </w:t>
      </w:r>
      <w:r w:rsidR="009D74E8" w:rsidRPr="00A44995">
        <w:rPr>
          <w:rFonts w:asciiTheme="majorHAnsi" w:hAnsiTheme="majorHAnsi" w:cstheme="minorHAnsi"/>
          <w:sz w:val="20"/>
          <w:szCs w:val="20"/>
          <w:lang w:val="es-PE" w:eastAsia="es-ES"/>
        </w:rPr>
        <w:t>La Corte ha sostenido que</w:t>
      </w:r>
      <w:r w:rsidR="001367FC" w:rsidRPr="00A44995">
        <w:rPr>
          <w:rFonts w:asciiTheme="majorHAnsi" w:hAnsiTheme="majorHAnsi" w:cstheme="minorHAnsi"/>
          <w:sz w:val="20"/>
          <w:szCs w:val="20"/>
          <w:lang w:val="es-PE" w:eastAsia="es-ES"/>
        </w:rPr>
        <w:t xml:space="preserve"> “resulta imperante la priorización en la atención y resolución del procedimiento por parte de las autoridades a cargo, con el fin de evitar retrasos en la tramitación de los procesos, de manera que se garantice la pronta resolución o ejecución de los mismos”</w:t>
      </w:r>
      <w:r w:rsidR="001367FC" w:rsidRPr="00A44995">
        <w:rPr>
          <w:rStyle w:val="FootnoteReference"/>
          <w:rFonts w:asciiTheme="majorHAnsi" w:hAnsiTheme="majorHAnsi" w:cstheme="minorHAnsi"/>
          <w:sz w:val="18"/>
          <w:szCs w:val="18"/>
          <w:lang w:val="es-PE" w:eastAsia="es-ES"/>
        </w:rPr>
        <w:footnoteReference w:id="40"/>
      </w:r>
      <w:r w:rsidR="001367FC" w:rsidRPr="00A44995">
        <w:rPr>
          <w:rFonts w:asciiTheme="majorHAnsi" w:hAnsiTheme="majorHAnsi" w:cstheme="minorHAnsi"/>
          <w:sz w:val="18"/>
          <w:szCs w:val="18"/>
          <w:lang w:val="es-PE" w:eastAsia="es-ES"/>
        </w:rPr>
        <w:t xml:space="preserve">. </w:t>
      </w:r>
      <w:r w:rsidR="009D74E8" w:rsidRPr="00A44995">
        <w:rPr>
          <w:rFonts w:asciiTheme="majorHAnsi" w:hAnsiTheme="majorHAnsi" w:cstheme="minorHAnsi"/>
          <w:sz w:val="20"/>
          <w:szCs w:val="20"/>
          <w:lang w:val="es-PE" w:eastAsia="es-ES"/>
        </w:rPr>
        <w:t>De esta forma</w:t>
      </w:r>
      <w:r w:rsidR="00C67AD1" w:rsidRPr="00A44995">
        <w:rPr>
          <w:rFonts w:asciiTheme="majorHAnsi" w:hAnsiTheme="majorHAnsi" w:cstheme="minorHAnsi"/>
          <w:sz w:val="20"/>
          <w:szCs w:val="20"/>
          <w:lang w:val="es-PE" w:eastAsia="es-ES"/>
        </w:rPr>
        <w:t>,</w:t>
      </w:r>
      <w:r w:rsidR="001367FC" w:rsidRPr="00A44995">
        <w:rPr>
          <w:rFonts w:asciiTheme="majorHAnsi" w:hAnsiTheme="majorHAnsi" w:cstheme="minorHAnsi"/>
          <w:sz w:val="20"/>
          <w:szCs w:val="20"/>
          <w:lang w:val="es-PE" w:eastAsia="es-ES"/>
        </w:rPr>
        <w:t xml:space="preserve"> </w:t>
      </w:r>
      <w:r w:rsidR="00C67AD1" w:rsidRPr="00A44995">
        <w:rPr>
          <w:rFonts w:asciiTheme="majorHAnsi" w:hAnsiTheme="majorHAnsi" w:cstheme="minorHAnsi"/>
          <w:sz w:val="20"/>
          <w:szCs w:val="20"/>
          <w:lang w:val="es-PE" w:eastAsia="es-ES"/>
        </w:rPr>
        <w:t xml:space="preserve">las obligaciones de los Estados </w:t>
      </w:r>
      <w:r w:rsidR="00392DDE" w:rsidRPr="00A44995">
        <w:rPr>
          <w:rFonts w:asciiTheme="majorHAnsi" w:hAnsiTheme="majorHAnsi" w:cstheme="minorHAnsi"/>
          <w:sz w:val="20"/>
          <w:szCs w:val="20"/>
          <w:lang w:val="es-PE" w:eastAsia="es-ES"/>
        </w:rPr>
        <w:t>respecto de los deberes de</w:t>
      </w:r>
      <w:r w:rsidR="00C67AD1" w:rsidRPr="00A44995">
        <w:rPr>
          <w:rFonts w:asciiTheme="majorHAnsi" w:hAnsiTheme="majorHAnsi" w:cstheme="minorHAnsi"/>
          <w:sz w:val="20"/>
          <w:szCs w:val="20"/>
          <w:lang w:val="es-PE" w:eastAsia="es-ES"/>
        </w:rPr>
        <w:t xml:space="preserve"> debida diligencia y celeridad </w:t>
      </w:r>
      <w:r w:rsidR="009D74E8" w:rsidRPr="00A44995">
        <w:rPr>
          <w:rFonts w:asciiTheme="majorHAnsi" w:hAnsiTheme="majorHAnsi" w:cstheme="minorHAnsi"/>
          <w:sz w:val="20"/>
          <w:szCs w:val="20"/>
          <w:lang w:val="es-PE" w:eastAsia="es-ES"/>
        </w:rPr>
        <w:t xml:space="preserve">señalados en la sección anterior </w:t>
      </w:r>
      <w:r w:rsidR="00C67AD1" w:rsidRPr="00A44995">
        <w:rPr>
          <w:rFonts w:asciiTheme="majorHAnsi" w:hAnsiTheme="majorHAnsi" w:cstheme="minorHAnsi"/>
          <w:sz w:val="20"/>
          <w:szCs w:val="20"/>
          <w:lang w:val="es-PE" w:eastAsia="es-ES"/>
        </w:rPr>
        <w:t>s</w:t>
      </w:r>
      <w:r w:rsidR="009D74E8" w:rsidRPr="00A44995">
        <w:rPr>
          <w:rFonts w:asciiTheme="majorHAnsi" w:hAnsiTheme="majorHAnsi" w:cstheme="minorHAnsi"/>
          <w:sz w:val="20"/>
          <w:szCs w:val="20"/>
          <w:lang w:val="es-PE" w:eastAsia="es-ES"/>
        </w:rPr>
        <w:t>e encuentran</w:t>
      </w:r>
      <w:r w:rsidR="00C67AD1" w:rsidRPr="00A44995">
        <w:rPr>
          <w:rFonts w:asciiTheme="majorHAnsi" w:hAnsiTheme="majorHAnsi" w:cstheme="minorHAnsi"/>
          <w:sz w:val="20"/>
          <w:szCs w:val="20"/>
          <w:lang w:val="es-PE" w:eastAsia="es-ES"/>
        </w:rPr>
        <w:t xml:space="preserve"> reforzad</w:t>
      </w:r>
      <w:r w:rsidR="00392DDE" w:rsidRPr="00A44995">
        <w:rPr>
          <w:rFonts w:asciiTheme="majorHAnsi" w:hAnsiTheme="majorHAnsi" w:cstheme="minorHAnsi"/>
          <w:sz w:val="20"/>
          <w:szCs w:val="20"/>
          <w:lang w:val="es-PE" w:eastAsia="es-ES"/>
        </w:rPr>
        <w:t>o</w:t>
      </w:r>
      <w:r w:rsidR="00C67AD1" w:rsidRPr="00A44995">
        <w:rPr>
          <w:rFonts w:asciiTheme="majorHAnsi" w:hAnsiTheme="majorHAnsi" w:cstheme="minorHAnsi"/>
          <w:sz w:val="20"/>
          <w:szCs w:val="20"/>
          <w:lang w:val="es-PE" w:eastAsia="es-ES"/>
        </w:rPr>
        <w:t>s en los cas</w:t>
      </w:r>
      <w:r w:rsidR="009D74E8" w:rsidRPr="00A44995">
        <w:rPr>
          <w:rFonts w:asciiTheme="majorHAnsi" w:hAnsiTheme="majorHAnsi" w:cstheme="minorHAnsi"/>
          <w:sz w:val="20"/>
          <w:szCs w:val="20"/>
          <w:lang w:val="es-PE" w:eastAsia="es-ES"/>
        </w:rPr>
        <w:t>os de personas con discapacidad</w:t>
      </w:r>
      <w:r w:rsidR="00C67AD1" w:rsidRPr="00A44995">
        <w:rPr>
          <w:rFonts w:asciiTheme="majorHAnsi" w:hAnsiTheme="majorHAnsi" w:cstheme="minorHAnsi"/>
          <w:sz w:val="20"/>
          <w:szCs w:val="20"/>
          <w:lang w:val="es-PE" w:eastAsia="es-ES"/>
        </w:rPr>
        <w:t xml:space="preserve">. </w:t>
      </w:r>
      <w:r w:rsidR="009D74E8" w:rsidRPr="00A44995">
        <w:rPr>
          <w:rFonts w:asciiTheme="majorHAnsi" w:hAnsiTheme="majorHAnsi" w:cstheme="minorHAnsi"/>
          <w:sz w:val="20"/>
          <w:szCs w:val="20"/>
          <w:lang w:val="es-PE" w:eastAsia="es-ES"/>
        </w:rPr>
        <w:t>Las</w:t>
      </w:r>
      <w:r w:rsidR="00C67AD1" w:rsidRPr="00A44995">
        <w:rPr>
          <w:rFonts w:asciiTheme="majorHAnsi" w:hAnsiTheme="majorHAnsi" w:cstheme="minorHAnsi"/>
          <w:sz w:val="20"/>
          <w:szCs w:val="20"/>
          <w:lang w:val="es-PE" w:eastAsia="es-ES"/>
        </w:rPr>
        <w:t xml:space="preserve"> autoridades judiciales que tengan a cargo procesos</w:t>
      </w:r>
      <w:r w:rsidR="009D74E8" w:rsidRPr="00A44995">
        <w:rPr>
          <w:rFonts w:asciiTheme="majorHAnsi" w:hAnsiTheme="majorHAnsi" w:cstheme="minorHAnsi"/>
          <w:sz w:val="20"/>
          <w:szCs w:val="20"/>
          <w:lang w:val="es-PE" w:eastAsia="es-ES"/>
        </w:rPr>
        <w:t xml:space="preserve"> en donde estén vinculados personas con discapacidad</w:t>
      </w:r>
      <w:r w:rsidR="00C67AD1" w:rsidRPr="00A44995">
        <w:rPr>
          <w:rFonts w:asciiTheme="majorHAnsi" w:hAnsiTheme="majorHAnsi" w:cstheme="minorHAnsi"/>
          <w:sz w:val="20"/>
          <w:szCs w:val="20"/>
          <w:lang w:val="es-PE" w:eastAsia="es-ES"/>
        </w:rPr>
        <w:t xml:space="preserve"> y no actúen conforme a dichos alcances</w:t>
      </w:r>
      <w:r w:rsidR="00BB13E7" w:rsidRPr="00A44995">
        <w:rPr>
          <w:rFonts w:asciiTheme="majorHAnsi" w:hAnsiTheme="majorHAnsi" w:cstheme="minorHAnsi"/>
          <w:sz w:val="20"/>
          <w:szCs w:val="20"/>
          <w:lang w:val="es-PE" w:eastAsia="es-ES"/>
        </w:rPr>
        <w:t>, vulnerarán el der</w:t>
      </w:r>
      <w:r w:rsidR="003A6F91" w:rsidRPr="00A44995">
        <w:rPr>
          <w:rFonts w:asciiTheme="majorHAnsi" w:hAnsiTheme="majorHAnsi" w:cstheme="minorHAnsi"/>
          <w:sz w:val="20"/>
          <w:szCs w:val="20"/>
          <w:lang w:val="es-PE" w:eastAsia="es-ES"/>
        </w:rPr>
        <w:t>echo a las garantías judiciales</w:t>
      </w:r>
      <w:r w:rsidR="00BB13E7" w:rsidRPr="00A44995">
        <w:rPr>
          <w:sz w:val="20"/>
          <w:szCs w:val="20"/>
          <w:vertAlign w:val="superscript"/>
          <w:lang w:val="es-PE"/>
        </w:rPr>
        <w:footnoteReference w:id="41"/>
      </w:r>
      <w:r w:rsidR="00BB13E7" w:rsidRPr="00A44995">
        <w:rPr>
          <w:rFonts w:asciiTheme="majorHAnsi" w:hAnsiTheme="majorHAnsi" w:cstheme="minorHAnsi"/>
          <w:sz w:val="20"/>
          <w:szCs w:val="20"/>
          <w:lang w:val="es-PE" w:eastAsia="es-ES"/>
        </w:rPr>
        <w:t xml:space="preserve">. </w:t>
      </w:r>
    </w:p>
    <w:p w14:paraId="61321705" w14:textId="77777777" w:rsidR="009D74E8" w:rsidRPr="00A44995" w:rsidRDefault="009D74E8" w:rsidP="009D74E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cstheme="minorHAnsi"/>
          <w:sz w:val="18"/>
          <w:szCs w:val="18"/>
          <w:lang w:val="es-PE" w:eastAsia="es-ES"/>
        </w:rPr>
      </w:pPr>
    </w:p>
    <w:p w14:paraId="59A9FE8B" w14:textId="77777777" w:rsidR="00E16924" w:rsidRPr="00A44995" w:rsidRDefault="003A6F91" w:rsidP="002B7D4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cstheme="minorHAnsi"/>
          <w:sz w:val="20"/>
          <w:szCs w:val="20"/>
          <w:lang w:val="es-PE" w:eastAsia="es-ES"/>
        </w:rPr>
      </w:pPr>
      <w:r w:rsidRPr="00A44995">
        <w:rPr>
          <w:rFonts w:asciiTheme="majorHAnsi" w:hAnsiTheme="majorHAnsi" w:cstheme="minorHAnsi"/>
          <w:sz w:val="20"/>
          <w:szCs w:val="20"/>
          <w:lang w:val="es-PE" w:eastAsia="es-ES"/>
        </w:rPr>
        <w:t>Por su parte</w:t>
      </w:r>
      <w:r w:rsidR="00E16924" w:rsidRPr="00A44995">
        <w:rPr>
          <w:rFonts w:asciiTheme="majorHAnsi" w:hAnsiTheme="majorHAnsi" w:cstheme="minorHAnsi"/>
          <w:sz w:val="20"/>
          <w:szCs w:val="20"/>
          <w:lang w:val="es-PE" w:eastAsia="es-ES"/>
        </w:rPr>
        <w:t xml:space="preserve">, el Comité </w:t>
      </w:r>
      <w:r w:rsidRPr="00A44995">
        <w:rPr>
          <w:rFonts w:asciiTheme="majorHAnsi" w:hAnsiTheme="majorHAnsi" w:cstheme="minorHAnsi"/>
          <w:sz w:val="20"/>
          <w:szCs w:val="20"/>
          <w:lang w:val="es-PE" w:eastAsia="es-ES"/>
        </w:rPr>
        <w:t xml:space="preserve">de Naciones Unidas </w:t>
      </w:r>
      <w:r w:rsidR="00E16924" w:rsidRPr="00A44995">
        <w:rPr>
          <w:rFonts w:asciiTheme="majorHAnsi" w:hAnsiTheme="majorHAnsi" w:cstheme="minorHAnsi"/>
          <w:sz w:val="20"/>
          <w:szCs w:val="20"/>
          <w:lang w:val="es-PE" w:eastAsia="es-ES"/>
        </w:rPr>
        <w:t>sobre los Derechos de las Personas con Discapacidad ha referido que los Estados tienen la obligación de asegurar que las personas con discapacidad tengan acceso a la justicia en iguald</w:t>
      </w:r>
      <w:r w:rsidR="00926763" w:rsidRPr="00A44995">
        <w:rPr>
          <w:rFonts w:asciiTheme="majorHAnsi" w:hAnsiTheme="majorHAnsi" w:cstheme="minorHAnsi"/>
          <w:sz w:val="20"/>
          <w:szCs w:val="20"/>
          <w:lang w:val="es-PE" w:eastAsia="es-ES"/>
        </w:rPr>
        <w:t xml:space="preserve">ad de condiciones con las demás. Explicó que se deben establer los ajustes necesarios para </w:t>
      </w:r>
      <w:r w:rsidR="00E16924" w:rsidRPr="00A44995">
        <w:rPr>
          <w:rFonts w:asciiTheme="majorHAnsi" w:hAnsiTheme="majorHAnsi" w:cstheme="minorHAnsi"/>
          <w:sz w:val="20"/>
          <w:szCs w:val="20"/>
          <w:lang w:val="es-PE" w:eastAsia="es-ES"/>
        </w:rPr>
        <w:t xml:space="preserve">facilitar su </w:t>
      </w:r>
      <w:r w:rsidR="00926763" w:rsidRPr="00A44995">
        <w:rPr>
          <w:rFonts w:asciiTheme="majorHAnsi" w:hAnsiTheme="majorHAnsi" w:cstheme="minorHAnsi"/>
          <w:sz w:val="20"/>
          <w:szCs w:val="20"/>
          <w:lang w:val="es-PE" w:eastAsia="es-ES"/>
        </w:rPr>
        <w:t>participacion como víctimas</w:t>
      </w:r>
      <w:r w:rsidR="00E16924" w:rsidRPr="00A44995">
        <w:rPr>
          <w:rStyle w:val="FootnoteReference"/>
          <w:rFonts w:asciiTheme="majorHAnsi" w:hAnsiTheme="majorHAnsi" w:cstheme="minorHAnsi"/>
          <w:sz w:val="20"/>
          <w:szCs w:val="20"/>
          <w:lang w:val="es-PE" w:eastAsia="es-ES"/>
        </w:rPr>
        <w:footnoteReference w:id="42"/>
      </w:r>
      <w:r w:rsidR="00E16924" w:rsidRPr="00A44995">
        <w:rPr>
          <w:rFonts w:asciiTheme="majorHAnsi" w:hAnsiTheme="majorHAnsi" w:cstheme="minorHAnsi"/>
          <w:sz w:val="20"/>
          <w:szCs w:val="20"/>
          <w:lang w:val="es-PE" w:eastAsia="es-ES"/>
        </w:rPr>
        <w:t>. A ello se incluye la declaración como testigos, en todos los procedimientos judiciales, con inclusión de la etapa de investigación y otras etapas preliminares</w:t>
      </w:r>
      <w:r w:rsidR="00E16924" w:rsidRPr="00A44995">
        <w:rPr>
          <w:rStyle w:val="FootnoteReference"/>
          <w:rFonts w:asciiTheme="majorHAnsi" w:hAnsiTheme="majorHAnsi" w:cstheme="minorHAnsi"/>
          <w:sz w:val="20"/>
          <w:szCs w:val="20"/>
          <w:lang w:val="es-PE" w:eastAsia="es-ES"/>
        </w:rPr>
        <w:footnoteReference w:id="43"/>
      </w:r>
      <w:r w:rsidR="00E16924" w:rsidRPr="00A44995">
        <w:rPr>
          <w:rFonts w:asciiTheme="majorHAnsi" w:hAnsiTheme="majorHAnsi" w:cstheme="minorHAnsi"/>
          <w:sz w:val="20"/>
          <w:szCs w:val="20"/>
          <w:lang w:val="es-PE" w:eastAsia="es-ES"/>
        </w:rPr>
        <w:t xml:space="preserve">. </w:t>
      </w:r>
    </w:p>
    <w:p w14:paraId="699711A1" w14:textId="77777777" w:rsidR="00CD6272" w:rsidRPr="00A44995" w:rsidRDefault="00CD6272" w:rsidP="00926763">
      <w:pPr>
        <w:tabs>
          <w:tab w:val="left" w:pos="360"/>
        </w:tabs>
        <w:ind w:right="720"/>
        <w:jc w:val="both"/>
        <w:rPr>
          <w:rFonts w:asciiTheme="majorHAnsi" w:hAnsiTheme="majorHAnsi" w:cstheme="minorHAnsi"/>
          <w:sz w:val="18"/>
          <w:szCs w:val="18"/>
          <w:lang w:val="es-PE" w:eastAsia="es-ES"/>
        </w:rPr>
      </w:pPr>
    </w:p>
    <w:p w14:paraId="638C4659" w14:textId="77777777" w:rsidR="009C1D16" w:rsidRPr="00A44995" w:rsidRDefault="00B21D9E" w:rsidP="0085280B">
      <w:pPr>
        <w:tabs>
          <w:tab w:val="left" w:pos="360"/>
        </w:tabs>
        <w:rPr>
          <w:rFonts w:ascii="Cambria" w:hAnsi="Cambria"/>
          <w:b/>
          <w:sz w:val="20"/>
          <w:szCs w:val="20"/>
          <w:lang w:val="es-PE" w:eastAsia="es-ES"/>
        </w:rPr>
      </w:pPr>
      <w:bookmarkStart w:id="26" w:name="_Hlk57222743"/>
      <w:r w:rsidRPr="00A44995">
        <w:rPr>
          <w:rFonts w:ascii="Cambria" w:hAnsi="Cambria"/>
          <w:b/>
          <w:sz w:val="20"/>
          <w:szCs w:val="20"/>
          <w:lang w:val="es-PE" w:eastAsia="es-ES"/>
        </w:rPr>
        <w:t>2</w:t>
      </w:r>
      <w:r w:rsidR="0085280B" w:rsidRPr="00A44995">
        <w:rPr>
          <w:rFonts w:ascii="Cambria" w:hAnsi="Cambria"/>
          <w:b/>
          <w:sz w:val="20"/>
          <w:szCs w:val="20"/>
          <w:lang w:val="es-PE" w:eastAsia="es-ES"/>
        </w:rPr>
        <w:t>.</w:t>
      </w:r>
      <w:r w:rsidR="0085280B" w:rsidRPr="00A44995">
        <w:rPr>
          <w:rFonts w:ascii="Cambria" w:hAnsi="Cambria"/>
          <w:b/>
          <w:sz w:val="20"/>
          <w:szCs w:val="20"/>
          <w:lang w:val="es-PE" w:eastAsia="es-ES"/>
        </w:rPr>
        <w:tab/>
        <w:t>Análisis del caso</w:t>
      </w:r>
    </w:p>
    <w:p w14:paraId="17739DA6" w14:textId="77777777" w:rsidR="002A3DFB" w:rsidRPr="00A44995" w:rsidRDefault="002A3DFB" w:rsidP="0085280B">
      <w:pPr>
        <w:tabs>
          <w:tab w:val="left" w:pos="360"/>
        </w:tabs>
        <w:rPr>
          <w:rFonts w:ascii="Cambria" w:hAnsi="Cambria"/>
          <w:b/>
          <w:sz w:val="20"/>
          <w:szCs w:val="20"/>
          <w:lang w:val="es-PE" w:eastAsia="es-ES"/>
        </w:rPr>
      </w:pPr>
    </w:p>
    <w:p w14:paraId="4973B090" w14:textId="77777777" w:rsidR="008E5716" w:rsidRPr="00A44995" w:rsidRDefault="000F1D38" w:rsidP="00B630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lang w:val="es-PE" w:eastAsia="es-ES"/>
        </w:rPr>
      </w:pPr>
      <w:r w:rsidRPr="00A44995">
        <w:rPr>
          <w:rFonts w:asciiTheme="majorHAnsi" w:hAnsiTheme="majorHAnsi" w:cstheme="minorHAnsi"/>
          <w:sz w:val="20"/>
          <w:szCs w:val="20"/>
          <w:lang w:val="es-PE" w:eastAsia="es-ES"/>
        </w:rPr>
        <w:t>De manera preliminar, l</w:t>
      </w:r>
      <w:r w:rsidR="00212716" w:rsidRPr="00A44995">
        <w:rPr>
          <w:rFonts w:asciiTheme="majorHAnsi" w:hAnsiTheme="majorHAnsi" w:cstheme="minorHAnsi"/>
          <w:sz w:val="20"/>
          <w:szCs w:val="20"/>
          <w:lang w:val="es-PE" w:eastAsia="es-ES"/>
        </w:rPr>
        <w:t>a Comisión r</w:t>
      </w:r>
      <w:r w:rsidRPr="00A44995">
        <w:rPr>
          <w:rFonts w:asciiTheme="majorHAnsi" w:hAnsiTheme="majorHAnsi" w:cstheme="minorHAnsi"/>
          <w:sz w:val="20"/>
          <w:szCs w:val="20"/>
          <w:lang w:val="es-PE" w:eastAsia="es-ES"/>
        </w:rPr>
        <w:t>esalta</w:t>
      </w:r>
      <w:r w:rsidR="00212716" w:rsidRPr="00A44995">
        <w:rPr>
          <w:rFonts w:asciiTheme="majorHAnsi" w:hAnsiTheme="majorHAnsi" w:cstheme="minorHAnsi"/>
          <w:sz w:val="20"/>
          <w:szCs w:val="20"/>
          <w:lang w:val="es-PE" w:eastAsia="es-ES"/>
        </w:rPr>
        <w:t xml:space="preserve"> que no forma parte de sus funciones efectuar determinaciones sobre la responsabilidad penal de personas individuales que puedan emerger </w:t>
      </w:r>
      <w:r w:rsidR="00DF396B" w:rsidRPr="00A44995">
        <w:rPr>
          <w:rFonts w:asciiTheme="majorHAnsi" w:hAnsiTheme="majorHAnsi" w:cstheme="minorHAnsi"/>
          <w:sz w:val="20"/>
          <w:szCs w:val="20"/>
          <w:lang w:val="es-PE" w:eastAsia="es-ES"/>
        </w:rPr>
        <w:t>de los hechos del presente caso.</w:t>
      </w:r>
      <w:r w:rsidR="00212716" w:rsidRPr="00A44995">
        <w:rPr>
          <w:rFonts w:asciiTheme="majorHAnsi" w:hAnsiTheme="majorHAnsi" w:cstheme="minorHAnsi"/>
          <w:sz w:val="20"/>
          <w:szCs w:val="20"/>
          <w:lang w:val="es-PE" w:eastAsia="es-ES"/>
        </w:rPr>
        <w:t xml:space="preserve"> </w:t>
      </w:r>
      <w:r w:rsidR="00DF396B" w:rsidRPr="00A44995">
        <w:rPr>
          <w:rFonts w:asciiTheme="majorHAnsi" w:hAnsiTheme="majorHAnsi" w:cstheme="minorHAnsi"/>
          <w:sz w:val="20"/>
          <w:szCs w:val="20"/>
          <w:lang w:val="es-PE" w:eastAsia="es-ES"/>
        </w:rPr>
        <w:t>El</w:t>
      </w:r>
      <w:r w:rsidR="00212716" w:rsidRPr="00A44995">
        <w:rPr>
          <w:rFonts w:asciiTheme="majorHAnsi" w:hAnsiTheme="majorHAnsi" w:cstheme="minorHAnsi"/>
          <w:sz w:val="20"/>
          <w:szCs w:val="20"/>
          <w:lang w:val="es-PE" w:eastAsia="es-ES"/>
        </w:rPr>
        <w:t xml:space="preserve"> análisis </w:t>
      </w:r>
      <w:r w:rsidR="00DF396B" w:rsidRPr="00A44995">
        <w:rPr>
          <w:rFonts w:asciiTheme="majorHAnsi" w:hAnsiTheme="majorHAnsi" w:cstheme="minorHAnsi"/>
          <w:sz w:val="20"/>
          <w:szCs w:val="20"/>
          <w:lang w:val="es-PE" w:eastAsia="es-ES"/>
        </w:rPr>
        <w:t>que se realiza a continuación se centrará</w:t>
      </w:r>
      <w:r w:rsidR="00212716" w:rsidRPr="00A44995">
        <w:rPr>
          <w:rFonts w:asciiTheme="majorHAnsi" w:hAnsiTheme="majorHAnsi" w:cstheme="minorHAnsi"/>
          <w:sz w:val="20"/>
          <w:szCs w:val="20"/>
          <w:lang w:val="es-PE" w:eastAsia="es-ES"/>
        </w:rPr>
        <w:t xml:space="preserve"> en </w:t>
      </w:r>
      <w:r w:rsidR="00DF396B" w:rsidRPr="00A44995">
        <w:rPr>
          <w:rFonts w:asciiTheme="majorHAnsi" w:hAnsiTheme="majorHAnsi" w:cstheme="minorHAnsi"/>
          <w:sz w:val="20"/>
          <w:szCs w:val="20"/>
          <w:lang w:val="es-PE" w:eastAsia="es-ES"/>
        </w:rPr>
        <w:t xml:space="preserve">determinar si </w:t>
      </w:r>
      <w:bookmarkEnd w:id="26"/>
      <w:r w:rsidR="008E5716" w:rsidRPr="00A44995">
        <w:rPr>
          <w:rFonts w:ascii="Cambria" w:hAnsi="Cambria"/>
          <w:sz w:val="20"/>
          <w:szCs w:val="20"/>
          <w:lang w:val="es-PE" w:eastAsia="es-ES"/>
        </w:rPr>
        <w:t>la investigación y proceso penal del presente caso se realizaron de conformidad con los estándares interamericanos correspondientes a los derechos a las garantías judiciales y a la protección judicial</w:t>
      </w:r>
      <w:r w:rsidR="00B630CB" w:rsidRPr="00A44995">
        <w:rPr>
          <w:rFonts w:ascii="Cambria" w:hAnsi="Cambria"/>
          <w:sz w:val="20"/>
          <w:szCs w:val="20"/>
          <w:lang w:val="es-PE" w:eastAsia="es-ES"/>
        </w:rPr>
        <w:t xml:space="preserve"> señalados previamente</w:t>
      </w:r>
      <w:r w:rsidR="008E5716" w:rsidRPr="00A44995">
        <w:rPr>
          <w:rFonts w:ascii="Cambria" w:hAnsi="Cambria"/>
          <w:sz w:val="20"/>
          <w:szCs w:val="20"/>
          <w:lang w:val="es-PE" w:eastAsia="es-ES"/>
        </w:rPr>
        <w:t xml:space="preserve">. </w:t>
      </w:r>
    </w:p>
    <w:p w14:paraId="7649542F" w14:textId="77777777" w:rsidR="008E5716" w:rsidRPr="00A44995" w:rsidRDefault="008E5716" w:rsidP="008E571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lang w:val="es-PE" w:eastAsia="es-ES"/>
        </w:rPr>
      </w:pPr>
    </w:p>
    <w:p w14:paraId="762F810A" w14:textId="77777777" w:rsidR="0020203B" w:rsidRPr="00A44995" w:rsidRDefault="007B78CC" w:rsidP="008E571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lang w:val="es-PE" w:eastAsia="es-ES"/>
        </w:rPr>
      </w:pPr>
      <w:r w:rsidRPr="00A44995">
        <w:rPr>
          <w:rFonts w:ascii="Cambria" w:hAnsi="Cambria"/>
          <w:sz w:val="20"/>
          <w:szCs w:val="20"/>
          <w:lang w:val="es-PE" w:eastAsia="es-ES"/>
        </w:rPr>
        <w:t>En el presente caso</w:t>
      </w:r>
      <w:r w:rsidR="008E5716" w:rsidRPr="00A44995">
        <w:rPr>
          <w:rFonts w:ascii="Cambria" w:hAnsi="Cambria"/>
          <w:sz w:val="20"/>
          <w:szCs w:val="20"/>
          <w:lang w:val="es-PE" w:eastAsia="es-ES"/>
        </w:rPr>
        <w:t xml:space="preserve"> la Comisión observa que </w:t>
      </w:r>
      <w:r w:rsidRPr="00A44995">
        <w:rPr>
          <w:rFonts w:ascii="Cambria" w:hAnsi="Cambria"/>
          <w:sz w:val="20"/>
          <w:szCs w:val="20"/>
          <w:lang w:val="es-PE" w:eastAsia="es-ES"/>
        </w:rPr>
        <w:t>el señor Aguirre, quien era una persona con discapacidad física</w:t>
      </w:r>
      <w:r w:rsidR="00F07662" w:rsidRPr="00A44995">
        <w:rPr>
          <w:rFonts w:ascii="Cambria" w:hAnsi="Cambria"/>
          <w:sz w:val="20"/>
          <w:szCs w:val="20"/>
          <w:lang w:val="es-PE" w:eastAsia="es-ES"/>
        </w:rPr>
        <w:t>,</w:t>
      </w:r>
      <w:r w:rsidRPr="00A44995">
        <w:rPr>
          <w:rFonts w:ascii="Cambria" w:hAnsi="Cambria"/>
          <w:sz w:val="20"/>
          <w:szCs w:val="20"/>
          <w:lang w:val="es-PE" w:eastAsia="es-ES"/>
        </w:rPr>
        <w:t xml:space="preserve"> presentó una denuncia ante las autoridades judiciales por los hechos ocurridos el 13 de noviembre de 1993. </w:t>
      </w:r>
      <w:r w:rsidR="0020203B" w:rsidRPr="00A44995">
        <w:rPr>
          <w:rFonts w:ascii="Cambria" w:hAnsi="Cambria"/>
          <w:sz w:val="20"/>
          <w:szCs w:val="20"/>
          <w:lang w:val="es-PE" w:eastAsia="es-ES"/>
        </w:rPr>
        <w:t xml:space="preserve">El señor Aguirre denunció que las graves lesiones que sufrió </w:t>
      </w:r>
      <w:r w:rsidR="0020203B" w:rsidRPr="00A44995">
        <w:rPr>
          <w:rFonts w:asciiTheme="majorHAnsi" w:hAnsiTheme="majorHAnsi"/>
          <w:bCs/>
          <w:sz w:val="20"/>
          <w:szCs w:val="20"/>
          <w:lang w:val="es-PE"/>
        </w:rPr>
        <w:t xml:space="preserve">fueron producto de una explosión de una granada que tenía en su poder el dueño y conductor del vehículo, </w:t>
      </w:r>
      <w:r w:rsidR="0020203B" w:rsidRPr="00A44995">
        <w:rPr>
          <w:rFonts w:asciiTheme="majorHAnsi" w:hAnsiTheme="majorHAnsi" w:cs="Calibri"/>
          <w:sz w:val="20"/>
          <w:szCs w:val="20"/>
          <w:lang w:val="es-PE"/>
        </w:rPr>
        <w:t xml:space="preserve">Francisco Reynaldo Castillo Borja, Juez de Paz </w:t>
      </w:r>
      <w:r w:rsidR="00752540" w:rsidRPr="00A44995">
        <w:rPr>
          <w:rFonts w:asciiTheme="majorHAnsi" w:hAnsiTheme="majorHAnsi" w:cs="Calibri"/>
          <w:sz w:val="20"/>
          <w:szCs w:val="20"/>
          <w:lang w:val="es-PE"/>
        </w:rPr>
        <w:t xml:space="preserve">de </w:t>
      </w:r>
      <w:r w:rsidR="0020203B" w:rsidRPr="00A44995">
        <w:rPr>
          <w:rFonts w:asciiTheme="majorHAnsi" w:hAnsiTheme="majorHAnsi" w:cs="Calibri"/>
          <w:sz w:val="20"/>
          <w:szCs w:val="20"/>
          <w:lang w:val="es-PE"/>
        </w:rPr>
        <w:t>Villa de Apaneca.</w:t>
      </w:r>
      <w:r w:rsidR="0020203B" w:rsidRPr="00A44995">
        <w:rPr>
          <w:rFonts w:ascii="Cambria" w:hAnsi="Cambria"/>
          <w:sz w:val="20"/>
          <w:szCs w:val="20"/>
          <w:lang w:val="es-PE" w:eastAsia="es-ES"/>
        </w:rPr>
        <w:t xml:space="preserve"> </w:t>
      </w:r>
      <w:r w:rsidR="001401C9" w:rsidRPr="00A44995">
        <w:rPr>
          <w:rFonts w:ascii="Cambria" w:hAnsi="Cambria"/>
          <w:sz w:val="20"/>
          <w:szCs w:val="20"/>
          <w:lang w:val="es-PE" w:eastAsia="es-ES"/>
        </w:rPr>
        <w:t>Conforme a lo señalado por el propio Estado, la normativa vigente establecía que la autoridad jud</w:t>
      </w:r>
      <w:r w:rsidR="005C01EE" w:rsidRPr="00A44995">
        <w:rPr>
          <w:rFonts w:ascii="Cambria" w:hAnsi="Cambria"/>
          <w:sz w:val="20"/>
          <w:szCs w:val="20"/>
          <w:lang w:val="es-PE" w:eastAsia="es-ES"/>
        </w:rPr>
        <w:t>icial, y no la Fiscalía, estaba</w:t>
      </w:r>
      <w:r w:rsidR="001401C9" w:rsidRPr="00A44995">
        <w:rPr>
          <w:rFonts w:ascii="Cambria" w:hAnsi="Cambria"/>
          <w:sz w:val="20"/>
          <w:szCs w:val="20"/>
          <w:lang w:val="es-PE" w:eastAsia="es-ES"/>
        </w:rPr>
        <w:t xml:space="preserve"> a cargo del “impulso” y “la dirección del proceso”. </w:t>
      </w:r>
    </w:p>
    <w:p w14:paraId="1776411D" w14:textId="77777777" w:rsidR="0020203B" w:rsidRPr="00A44995" w:rsidRDefault="0020203B" w:rsidP="0020203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lang w:val="es-PE" w:eastAsia="es-ES"/>
        </w:rPr>
      </w:pPr>
    </w:p>
    <w:p w14:paraId="2EACBF57" w14:textId="77777777" w:rsidR="007D238D" w:rsidRPr="00A44995" w:rsidRDefault="0020203B" w:rsidP="00594A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lang w:val="es-PE" w:eastAsia="es-ES"/>
        </w:rPr>
      </w:pPr>
      <w:r w:rsidRPr="00A44995">
        <w:rPr>
          <w:rFonts w:ascii="Cambria" w:hAnsi="Cambria"/>
          <w:sz w:val="20"/>
          <w:szCs w:val="20"/>
          <w:lang w:val="es-PE" w:eastAsia="es-ES"/>
        </w:rPr>
        <w:lastRenderedPageBreak/>
        <w:t>Al respecto, l</w:t>
      </w:r>
      <w:r w:rsidR="00F07662" w:rsidRPr="00A44995">
        <w:rPr>
          <w:rFonts w:ascii="Cambria" w:hAnsi="Cambria"/>
          <w:sz w:val="20"/>
          <w:szCs w:val="20"/>
          <w:lang w:val="es-PE" w:eastAsia="es-ES"/>
        </w:rPr>
        <w:t>a CIDH</w:t>
      </w:r>
      <w:r w:rsidR="001401C9" w:rsidRPr="00A44995">
        <w:rPr>
          <w:rFonts w:ascii="Cambria" w:hAnsi="Cambria"/>
          <w:sz w:val="20"/>
          <w:szCs w:val="20"/>
          <w:lang w:val="es-PE" w:eastAsia="es-ES"/>
        </w:rPr>
        <w:t xml:space="preserve"> toma nota de diversos elementos </w:t>
      </w:r>
      <w:r w:rsidR="007D238D" w:rsidRPr="00A44995">
        <w:rPr>
          <w:rFonts w:ascii="Cambria" w:hAnsi="Cambria"/>
          <w:sz w:val="20"/>
          <w:szCs w:val="20"/>
          <w:lang w:val="es-PE" w:eastAsia="es-ES"/>
        </w:rPr>
        <w:t xml:space="preserve">que evidencian omisiones e irregularidades en la investigación, esclarecimiento de los hechos y adelante de dicho proceso penal. </w:t>
      </w:r>
      <w:r w:rsidR="001401C9" w:rsidRPr="00A44995">
        <w:rPr>
          <w:rFonts w:ascii="Cambria" w:hAnsi="Cambria"/>
          <w:sz w:val="20"/>
          <w:szCs w:val="20"/>
          <w:lang w:val="es-PE" w:eastAsia="es-ES"/>
        </w:rPr>
        <w:t>En primer lugar, la Comisión</w:t>
      </w:r>
      <w:r w:rsidR="00F07662" w:rsidRPr="00A44995">
        <w:rPr>
          <w:rFonts w:ascii="Cambria" w:hAnsi="Cambria"/>
          <w:sz w:val="20"/>
          <w:szCs w:val="20"/>
          <w:lang w:val="es-PE" w:eastAsia="es-ES"/>
        </w:rPr>
        <w:t xml:space="preserve"> </w:t>
      </w:r>
      <w:r w:rsidR="00613154" w:rsidRPr="00A44995">
        <w:rPr>
          <w:rFonts w:ascii="Cambria" w:hAnsi="Cambria"/>
          <w:sz w:val="20"/>
          <w:szCs w:val="20"/>
          <w:lang w:val="es-PE" w:eastAsia="es-ES"/>
        </w:rPr>
        <w:t>resalta que conforme a</w:t>
      </w:r>
      <w:r w:rsidR="00FF63CB" w:rsidRPr="00A44995">
        <w:rPr>
          <w:rFonts w:ascii="Cambria" w:hAnsi="Cambria"/>
          <w:sz w:val="20"/>
          <w:szCs w:val="20"/>
          <w:lang w:val="es-PE" w:eastAsia="es-ES"/>
        </w:rPr>
        <w:t xml:space="preserve"> la documentación presentada la</w:t>
      </w:r>
      <w:r w:rsidR="00613154" w:rsidRPr="00A44995">
        <w:rPr>
          <w:rFonts w:ascii="Cambria" w:hAnsi="Cambria"/>
          <w:sz w:val="20"/>
          <w:szCs w:val="20"/>
          <w:lang w:val="es-PE" w:eastAsia="es-ES"/>
        </w:rPr>
        <w:t xml:space="preserve"> </w:t>
      </w:r>
      <w:r w:rsidR="00FF63CB" w:rsidRPr="00A44995">
        <w:rPr>
          <w:rFonts w:ascii="Cambria" w:hAnsi="Cambria"/>
          <w:sz w:val="20"/>
          <w:szCs w:val="20"/>
          <w:lang w:val="es-PE" w:eastAsia="es-ES"/>
        </w:rPr>
        <w:t>autoridad judicial</w:t>
      </w:r>
      <w:r w:rsidR="005C01EE" w:rsidRPr="00A44995">
        <w:rPr>
          <w:rFonts w:ascii="Cambria" w:hAnsi="Cambria"/>
          <w:sz w:val="20"/>
          <w:szCs w:val="20"/>
          <w:lang w:val="es-PE" w:eastAsia="es-ES"/>
        </w:rPr>
        <w:t xml:space="preserve"> que estuvo inicialmente a cargo del proceso</w:t>
      </w:r>
      <w:r w:rsidR="00363D08" w:rsidRPr="00A44995">
        <w:rPr>
          <w:rFonts w:ascii="Cambria" w:hAnsi="Cambria"/>
          <w:sz w:val="20"/>
          <w:szCs w:val="20"/>
          <w:lang w:val="es-PE" w:eastAsia="es-ES"/>
        </w:rPr>
        <w:t xml:space="preserve"> se limitó a realizar inspecciones oculares donde se identificó que la detonación del vehículo se debió a una granada M-67</w:t>
      </w:r>
      <w:r w:rsidR="00594A99" w:rsidRPr="00A44995">
        <w:rPr>
          <w:rFonts w:ascii="Cambria" w:hAnsi="Cambria"/>
          <w:sz w:val="20"/>
          <w:szCs w:val="20"/>
          <w:lang w:val="es-PE" w:eastAsia="es-ES"/>
        </w:rPr>
        <w:t xml:space="preserve"> y que </w:t>
      </w:r>
      <w:r w:rsidR="00594A99" w:rsidRPr="00A44995">
        <w:rPr>
          <w:rFonts w:ascii="Cambria" w:hAnsi="Cambria"/>
          <w:bCs/>
          <w:sz w:val="20"/>
          <w:szCs w:val="20"/>
          <w:lang w:val="es-PE"/>
        </w:rPr>
        <w:t xml:space="preserve">“hizo explosión de adentro hacia afuera del vehículo”. Asimismo, se indicó que </w:t>
      </w:r>
      <w:r w:rsidR="00363D08" w:rsidRPr="00A44995">
        <w:rPr>
          <w:rFonts w:ascii="Cambria" w:hAnsi="Cambria"/>
          <w:sz w:val="20"/>
          <w:szCs w:val="20"/>
          <w:lang w:val="es-PE" w:eastAsia="es-ES"/>
        </w:rPr>
        <w:t>el automóvil estaba prácticamente destruído</w:t>
      </w:r>
      <w:r w:rsidR="00594A99" w:rsidRPr="00A44995">
        <w:rPr>
          <w:rFonts w:ascii="Cambria" w:hAnsi="Cambria"/>
          <w:sz w:val="20"/>
          <w:szCs w:val="20"/>
          <w:lang w:val="es-PE" w:eastAsia="es-ES"/>
        </w:rPr>
        <w:t xml:space="preserve">; no obstante, se identificó que el dueño del vehículo tenía una escopeta y cartuchas en su vehículo. </w:t>
      </w:r>
      <w:r w:rsidR="00363D08" w:rsidRPr="00A44995">
        <w:rPr>
          <w:rFonts w:ascii="Cambria" w:hAnsi="Cambria"/>
          <w:sz w:val="20"/>
          <w:szCs w:val="20"/>
          <w:lang w:val="es-PE" w:eastAsia="es-ES"/>
        </w:rPr>
        <w:t>Dicha autoridad</w:t>
      </w:r>
      <w:r w:rsidR="00613154" w:rsidRPr="00A44995">
        <w:rPr>
          <w:rFonts w:ascii="Cambria" w:hAnsi="Cambria"/>
          <w:sz w:val="20"/>
          <w:szCs w:val="20"/>
          <w:lang w:val="es-PE" w:eastAsia="es-ES"/>
        </w:rPr>
        <w:t xml:space="preserve"> </w:t>
      </w:r>
      <w:r w:rsidR="00FF63CB" w:rsidRPr="00A44995">
        <w:rPr>
          <w:rFonts w:ascii="Cambria" w:hAnsi="Cambria"/>
          <w:sz w:val="20"/>
          <w:szCs w:val="20"/>
          <w:lang w:val="es-PE" w:eastAsia="es-ES"/>
        </w:rPr>
        <w:t>no solicitó</w:t>
      </w:r>
      <w:r w:rsidR="00613154" w:rsidRPr="00A44995">
        <w:rPr>
          <w:rFonts w:ascii="Cambria" w:hAnsi="Cambria"/>
          <w:sz w:val="20"/>
          <w:szCs w:val="20"/>
          <w:lang w:val="es-PE" w:eastAsia="es-ES"/>
        </w:rPr>
        <w:t xml:space="preserve"> la realización de ninguna diligencia</w:t>
      </w:r>
      <w:r w:rsidR="00C55F8A" w:rsidRPr="00A44995">
        <w:rPr>
          <w:rFonts w:ascii="Cambria" w:hAnsi="Cambria"/>
          <w:sz w:val="20"/>
          <w:szCs w:val="20"/>
          <w:lang w:val="es-PE" w:eastAsia="es-ES"/>
        </w:rPr>
        <w:t xml:space="preserve"> adicional</w:t>
      </w:r>
      <w:r w:rsidR="005C01EE" w:rsidRPr="00A44995">
        <w:rPr>
          <w:rFonts w:ascii="Cambria" w:hAnsi="Cambria"/>
          <w:sz w:val="20"/>
          <w:szCs w:val="20"/>
          <w:lang w:val="es-PE" w:eastAsia="es-ES"/>
        </w:rPr>
        <w:t xml:space="preserve"> </w:t>
      </w:r>
      <w:r w:rsidR="00363D08" w:rsidRPr="00A44995">
        <w:rPr>
          <w:rFonts w:ascii="Cambria" w:hAnsi="Cambria"/>
          <w:sz w:val="20"/>
          <w:szCs w:val="20"/>
          <w:lang w:val="es-PE" w:eastAsia="es-ES"/>
        </w:rPr>
        <w:t xml:space="preserve">ni </w:t>
      </w:r>
      <w:r w:rsidR="00613154" w:rsidRPr="00A44995">
        <w:rPr>
          <w:rFonts w:ascii="Cambria" w:hAnsi="Cambria"/>
          <w:sz w:val="20"/>
          <w:szCs w:val="20"/>
          <w:lang w:val="es-PE" w:eastAsia="es-ES"/>
        </w:rPr>
        <w:t>tampoco</w:t>
      </w:r>
      <w:r w:rsidR="005C01EE" w:rsidRPr="00A44995">
        <w:rPr>
          <w:rFonts w:ascii="Cambria" w:hAnsi="Cambria"/>
          <w:sz w:val="20"/>
          <w:szCs w:val="20"/>
          <w:lang w:val="es-PE" w:eastAsia="es-ES"/>
        </w:rPr>
        <w:t xml:space="preserve"> solicitó</w:t>
      </w:r>
      <w:r w:rsidR="00613154" w:rsidRPr="00A44995">
        <w:rPr>
          <w:rFonts w:ascii="Cambria" w:hAnsi="Cambria"/>
          <w:sz w:val="20"/>
          <w:szCs w:val="20"/>
          <w:lang w:val="es-PE" w:eastAsia="es-ES"/>
        </w:rPr>
        <w:t xml:space="preserve"> la toma de declaraciones de las tres personas que estuvieron en el vehículo cuando ocurrieron los hech</w:t>
      </w:r>
      <w:r w:rsidR="00C55F8A" w:rsidRPr="00A44995">
        <w:rPr>
          <w:rFonts w:ascii="Cambria" w:hAnsi="Cambria"/>
          <w:sz w:val="20"/>
          <w:szCs w:val="20"/>
          <w:lang w:val="es-PE" w:eastAsia="es-ES"/>
        </w:rPr>
        <w:t xml:space="preserve">os. El Estado reconoció que conforme a la normativa vigente el señor Aguirre no era reconocido como testigo. </w:t>
      </w:r>
    </w:p>
    <w:p w14:paraId="34354339" w14:textId="77777777" w:rsidR="007D238D" w:rsidRPr="00A44995" w:rsidRDefault="007D238D" w:rsidP="007D238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lang w:val="es-PE" w:eastAsia="es-ES"/>
        </w:rPr>
      </w:pPr>
    </w:p>
    <w:p w14:paraId="7A60BAA5" w14:textId="77777777" w:rsidR="00C55F8A" w:rsidRPr="00A44995" w:rsidRDefault="007D238D" w:rsidP="00363D0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lang w:val="es-PE" w:eastAsia="es-ES"/>
        </w:rPr>
      </w:pPr>
      <w:r w:rsidRPr="00A44995">
        <w:rPr>
          <w:rFonts w:ascii="Cambria" w:hAnsi="Cambria"/>
          <w:sz w:val="20"/>
          <w:szCs w:val="20"/>
          <w:lang w:val="es-PE" w:eastAsia="es-ES"/>
        </w:rPr>
        <w:t>En segundo lugar</w:t>
      </w:r>
      <w:r w:rsidR="00C55F8A" w:rsidRPr="00A44995">
        <w:rPr>
          <w:rFonts w:ascii="Cambria" w:hAnsi="Cambria"/>
          <w:sz w:val="20"/>
          <w:szCs w:val="20"/>
          <w:lang w:val="es-PE" w:eastAsia="es-ES"/>
        </w:rPr>
        <w:t xml:space="preserve">, la CIDH resalta que de acuerdo a las piezas procesales presentadas ante ésta existían al menos cuatro testigos presenciales de los hechos. No obstante, dichas personas tampoco fueron llamadas a declarar. </w:t>
      </w:r>
    </w:p>
    <w:p w14:paraId="6BE53D15" w14:textId="77777777" w:rsidR="00FF63CB" w:rsidRPr="00A44995" w:rsidRDefault="00FF63CB" w:rsidP="00FF63C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lang w:val="es-PE" w:eastAsia="es-ES"/>
        </w:rPr>
      </w:pPr>
    </w:p>
    <w:p w14:paraId="54653342" w14:textId="77777777" w:rsidR="00452E60" w:rsidRPr="00A44995" w:rsidRDefault="001401C9" w:rsidP="00C55F8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lang w:val="es-PE" w:eastAsia="es-ES"/>
        </w:rPr>
      </w:pPr>
      <w:r w:rsidRPr="00A44995">
        <w:rPr>
          <w:rFonts w:ascii="Cambria" w:hAnsi="Cambria"/>
          <w:sz w:val="20"/>
          <w:szCs w:val="20"/>
          <w:lang w:val="es-PE" w:eastAsia="es-ES"/>
        </w:rPr>
        <w:t xml:space="preserve">En </w:t>
      </w:r>
      <w:r w:rsidR="007D238D" w:rsidRPr="00A44995">
        <w:rPr>
          <w:rFonts w:ascii="Cambria" w:hAnsi="Cambria"/>
          <w:sz w:val="20"/>
          <w:szCs w:val="20"/>
          <w:lang w:val="es-PE" w:eastAsia="es-ES"/>
        </w:rPr>
        <w:t xml:space="preserve">tercer </w:t>
      </w:r>
      <w:r w:rsidRPr="00A44995">
        <w:rPr>
          <w:rFonts w:ascii="Cambria" w:hAnsi="Cambria"/>
          <w:sz w:val="20"/>
          <w:szCs w:val="20"/>
          <w:lang w:val="es-PE" w:eastAsia="es-ES"/>
        </w:rPr>
        <w:t>lugar</w:t>
      </w:r>
      <w:r w:rsidR="00FF63CB" w:rsidRPr="00A44995">
        <w:rPr>
          <w:rFonts w:ascii="Cambria" w:hAnsi="Cambria"/>
          <w:sz w:val="20"/>
          <w:szCs w:val="20"/>
          <w:lang w:val="es-PE" w:eastAsia="es-ES"/>
        </w:rPr>
        <w:t>, la CIDH nota que en</w:t>
      </w:r>
      <w:r w:rsidR="00556459" w:rsidRPr="00A44995">
        <w:rPr>
          <w:rFonts w:ascii="Cambria" w:hAnsi="Cambria"/>
          <w:sz w:val="20"/>
          <w:szCs w:val="20"/>
          <w:lang w:val="es-PE" w:eastAsia="es-ES"/>
        </w:rPr>
        <w:t>tre 1993 y 2001</w:t>
      </w:r>
      <w:r w:rsidR="00FF63CB" w:rsidRPr="00A44995">
        <w:rPr>
          <w:rFonts w:ascii="Cambria" w:hAnsi="Cambria"/>
          <w:sz w:val="20"/>
          <w:szCs w:val="20"/>
          <w:lang w:val="es-PE" w:eastAsia="es-ES"/>
        </w:rPr>
        <w:t xml:space="preserve"> el proceso fue trasladado </w:t>
      </w:r>
      <w:r w:rsidR="00556459" w:rsidRPr="00A44995">
        <w:rPr>
          <w:rFonts w:ascii="Cambria" w:hAnsi="Cambria"/>
          <w:sz w:val="20"/>
          <w:szCs w:val="20"/>
          <w:lang w:val="es-PE" w:eastAsia="es-ES"/>
        </w:rPr>
        <w:t>al menos a cinco diferentes</w:t>
      </w:r>
      <w:r w:rsidR="00FF63CB" w:rsidRPr="00A44995">
        <w:rPr>
          <w:rFonts w:ascii="Cambria" w:hAnsi="Cambria"/>
          <w:sz w:val="20"/>
          <w:szCs w:val="20"/>
          <w:lang w:val="es-PE" w:eastAsia="es-ES"/>
        </w:rPr>
        <w:t xml:space="preserve"> autoridades judiciales</w:t>
      </w:r>
      <w:r w:rsidR="00DE5118" w:rsidRPr="00A44995">
        <w:rPr>
          <w:rFonts w:ascii="Cambria" w:hAnsi="Cambria"/>
          <w:sz w:val="20"/>
          <w:szCs w:val="20"/>
          <w:lang w:val="es-PE" w:eastAsia="es-ES"/>
        </w:rPr>
        <w:t xml:space="preserve"> debido a las diversas solicitudes de inhibinación para conocer del caso</w:t>
      </w:r>
      <w:r w:rsidR="00FF63CB" w:rsidRPr="00A44995">
        <w:rPr>
          <w:rFonts w:ascii="Cambria" w:hAnsi="Cambria"/>
          <w:sz w:val="20"/>
          <w:szCs w:val="20"/>
          <w:lang w:val="es-PE" w:eastAsia="es-ES"/>
        </w:rPr>
        <w:t>.</w:t>
      </w:r>
      <w:r w:rsidR="00DE5118" w:rsidRPr="00A44995">
        <w:rPr>
          <w:rFonts w:ascii="Cambria" w:hAnsi="Cambria"/>
          <w:sz w:val="20"/>
          <w:szCs w:val="20"/>
          <w:lang w:val="es-PE" w:eastAsia="es-ES"/>
        </w:rPr>
        <w:t xml:space="preserve"> Ello debido al presunto vínculo de dichas autoridades judiciales con la persona denunciada, quien era un</w:t>
      </w:r>
      <w:r w:rsidR="00DC4F6F" w:rsidRPr="00A44995">
        <w:rPr>
          <w:rFonts w:ascii="Cambria" w:hAnsi="Cambria"/>
          <w:sz w:val="20"/>
          <w:szCs w:val="20"/>
          <w:lang w:val="es-PE" w:eastAsia="es-ES"/>
        </w:rPr>
        <w:t xml:space="preserve"> </w:t>
      </w:r>
      <w:r w:rsidR="00DC4F6F" w:rsidRPr="00A44995">
        <w:rPr>
          <w:rFonts w:asciiTheme="majorHAnsi" w:hAnsiTheme="majorHAnsi" w:cs="Calibri"/>
          <w:sz w:val="20"/>
          <w:szCs w:val="20"/>
          <w:lang w:val="es-PE"/>
        </w:rPr>
        <w:t>Juez de Paz Villa de Apaneca.</w:t>
      </w:r>
      <w:r w:rsidR="00DC4F6F" w:rsidRPr="00A44995">
        <w:rPr>
          <w:rFonts w:ascii="Cambria" w:hAnsi="Cambria"/>
          <w:sz w:val="20"/>
          <w:szCs w:val="20"/>
          <w:lang w:val="es-PE" w:eastAsia="es-ES"/>
        </w:rPr>
        <w:t xml:space="preserve"> </w:t>
      </w:r>
      <w:r w:rsidR="00FF63CB" w:rsidRPr="00A44995">
        <w:rPr>
          <w:rFonts w:ascii="Cambria" w:hAnsi="Cambria"/>
          <w:sz w:val="20"/>
          <w:szCs w:val="20"/>
          <w:lang w:val="es-PE" w:eastAsia="es-ES"/>
        </w:rPr>
        <w:t>La Comisión</w:t>
      </w:r>
      <w:r w:rsidR="00556459" w:rsidRPr="00A44995">
        <w:rPr>
          <w:rFonts w:ascii="Cambria" w:hAnsi="Cambria"/>
          <w:sz w:val="20"/>
          <w:szCs w:val="20"/>
          <w:lang w:val="es-PE" w:eastAsia="es-ES"/>
        </w:rPr>
        <w:t xml:space="preserve"> observa que conforme a la documentació</w:t>
      </w:r>
      <w:r w:rsidR="00DE5118" w:rsidRPr="00A44995">
        <w:rPr>
          <w:rFonts w:ascii="Cambria" w:hAnsi="Cambria"/>
          <w:sz w:val="20"/>
          <w:szCs w:val="20"/>
          <w:lang w:val="es-PE" w:eastAsia="es-ES"/>
        </w:rPr>
        <w:t>n presentada no hubo nin</w:t>
      </w:r>
      <w:r w:rsidR="00556459" w:rsidRPr="00A44995">
        <w:rPr>
          <w:rFonts w:ascii="Cambria" w:hAnsi="Cambria"/>
          <w:sz w:val="20"/>
          <w:szCs w:val="20"/>
          <w:lang w:val="es-PE" w:eastAsia="es-ES"/>
        </w:rPr>
        <w:t>guna actividad procesal</w:t>
      </w:r>
      <w:r w:rsidR="00452E60" w:rsidRPr="00A44995">
        <w:rPr>
          <w:rFonts w:ascii="Cambria" w:hAnsi="Cambria"/>
          <w:sz w:val="20"/>
          <w:szCs w:val="20"/>
          <w:lang w:val="es-PE" w:eastAsia="es-ES"/>
        </w:rPr>
        <w:t xml:space="preserve"> durante ese período de tiempo</w:t>
      </w:r>
      <w:r w:rsidR="00556459" w:rsidRPr="00A44995">
        <w:rPr>
          <w:rFonts w:ascii="Cambria" w:hAnsi="Cambria"/>
          <w:sz w:val="20"/>
          <w:szCs w:val="20"/>
          <w:lang w:val="es-PE" w:eastAsia="es-ES"/>
        </w:rPr>
        <w:t xml:space="preserve">. Por el contrario, </w:t>
      </w:r>
      <w:r w:rsidR="00FF63CB" w:rsidRPr="00A44995">
        <w:rPr>
          <w:rFonts w:ascii="Cambria" w:hAnsi="Cambria"/>
          <w:sz w:val="20"/>
          <w:szCs w:val="20"/>
          <w:lang w:val="es-PE" w:eastAsia="es-ES"/>
        </w:rPr>
        <w:t xml:space="preserve">ninguna de dichas autoridades solicitó la realización de diligencias ni la toma de declaraciones a las personas involucradas y testigos presenciales. </w:t>
      </w:r>
    </w:p>
    <w:p w14:paraId="496C42B8" w14:textId="77777777" w:rsidR="00452E60" w:rsidRPr="00A44995" w:rsidRDefault="00452E60" w:rsidP="00452E6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lang w:val="es-PE" w:eastAsia="es-ES"/>
        </w:rPr>
      </w:pPr>
    </w:p>
    <w:p w14:paraId="59485B38" w14:textId="23CA65B0" w:rsidR="00DE5118" w:rsidRPr="00A44995" w:rsidRDefault="001401C9" w:rsidP="00C55F8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lang w:val="es-PE" w:eastAsia="es-ES"/>
        </w:rPr>
      </w:pPr>
      <w:r w:rsidRPr="00A44995">
        <w:rPr>
          <w:rFonts w:ascii="Cambria" w:hAnsi="Cambria"/>
          <w:sz w:val="20"/>
          <w:szCs w:val="20"/>
          <w:lang w:val="es-PE" w:eastAsia="es-ES"/>
        </w:rPr>
        <w:t xml:space="preserve">En </w:t>
      </w:r>
      <w:r w:rsidR="007D238D" w:rsidRPr="00A44995">
        <w:rPr>
          <w:rFonts w:ascii="Cambria" w:hAnsi="Cambria"/>
          <w:sz w:val="20"/>
          <w:szCs w:val="20"/>
          <w:lang w:val="es-PE" w:eastAsia="es-ES"/>
        </w:rPr>
        <w:t>cuarto</w:t>
      </w:r>
      <w:r w:rsidRPr="00A44995">
        <w:rPr>
          <w:rFonts w:ascii="Cambria" w:hAnsi="Cambria"/>
          <w:sz w:val="20"/>
          <w:szCs w:val="20"/>
          <w:lang w:val="es-PE" w:eastAsia="es-ES"/>
        </w:rPr>
        <w:t xml:space="preserve"> lugar, l</w:t>
      </w:r>
      <w:r w:rsidR="00452E60" w:rsidRPr="00A44995">
        <w:rPr>
          <w:rFonts w:ascii="Cambria" w:hAnsi="Cambria"/>
          <w:sz w:val="20"/>
          <w:szCs w:val="20"/>
          <w:lang w:val="es-PE" w:eastAsia="es-ES"/>
        </w:rPr>
        <w:t xml:space="preserve">a CIDH toma nota de la información proporcionada por la parte peticionaria y no controvertida por el Estado sobre la presentación de </w:t>
      </w:r>
      <w:r w:rsidR="00000055" w:rsidRPr="00A44995">
        <w:rPr>
          <w:rFonts w:ascii="Cambria" w:hAnsi="Cambria"/>
          <w:sz w:val="20"/>
          <w:szCs w:val="20"/>
          <w:lang w:val="es-PE" w:eastAsia="es-ES"/>
        </w:rPr>
        <w:t>escritos ante las autoridades judiciales</w:t>
      </w:r>
      <w:r w:rsidR="00452E60" w:rsidRPr="00A44995">
        <w:rPr>
          <w:rFonts w:ascii="Cambria" w:hAnsi="Cambria"/>
          <w:sz w:val="20"/>
          <w:szCs w:val="20"/>
          <w:lang w:val="es-PE" w:eastAsia="es-ES"/>
        </w:rPr>
        <w:t xml:space="preserve"> para acelerar el proceso y cuestionar las omisiones en la investigación</w:t>
      </w:r>
      <w:r w:rsidR="00923207" w:rsidRPr="00A44995">
        <w:rPr>
          <w:rFonts w:ascii="Cambria" w:hAnsi="Cambria"/>
          <w:sz w:val="20"/>
          <w:szCs w:val="20"/>
          <w:lang w:val="es-PE" w:eastAsia="es-ES"/>
        </w:rPr>
        <w:t>. Dichos escritos, también presentados por el señor Maguiña, quien era una persona con discapacidad física,</w:t>
      </w:r>
      <w:r w:rsidR="00441221" w:rsidRPr="00A44995">
        <w:rPr>
          <w:rFonts w:ascii="Cambria" w:hAnsi="Cambria"/>
          <w:sz w:val="20"/>
          <w:szCs w:val="20"/>
          <w:lang w:val="es-PE" w:eastAsia="es-ES"/>
        </w:rPr>
        <w:t xml:space="preserve"> </w:t>
      </w:r>
      <w:r w:rsidR="00923207" w:rsidRPr="00A44995">
        <w:rPr>
          <w:rFonts w:ascii="Cambria" w:hAnsi="Cambria"/>
          <w:sz w:val="20"/>
          <w:szCs w:val="20"/>
          <w:lang w:val="es-PE" w:eastAsia="es-ES"/>
        </w:rPr>
        <w:t>no fueron</w:t>
      </w:r>
      <w:r w:rsidR="00441221" w:rsidRPr="00A44995">
        <w:rPr>
          <w:rFonts w:ascii="Cambria" w:hAnsi="Cambria"/>
          <w:sz w:val="20"/>
          <w:szCs w:val="20"/>
          <w:lang w:val="es-PE" w:eastAsia="es-ES"/>
        </w:rPr>
        <w:t xml:space="preserve"> atendidas. Igualmente, la CIDH nota que hubo una solicitud del Ministerio Público para procurar la detención provisional del imputado, pero </w:t>
      </w:r>
      <w:r w:rsidR="007D238D" w:rsidRPr="00A44995">
        <w:rPr>
          <w:rFonts w:ascii="Cambria" w:hAnsi="Cambria"/>
          <w:sz w:val="20"/>
          <w:szCs w:val="20"/>
          <w:lang w:val="es-PE" w:eastAsia="es-ES"/>
        </w:rPr>
        <w:t xml:space="preserve">que </w:t>
      </w:r>
      <w:r w:rsidR="00441221" w:rsidRPr="00A44995">
        <w:rPr>
          <w:rFonts w:ascii="Cambria" w:hAnsi="Cambria"/>
          <w:sz w:val="20"/>
          <w:szCs w:val="20"/>
          <w:lang w:val="es-PE" w:eastAsia="es-ES"/>
        </w:rPr>
        <w:t xml:space="preserve">ésta no fue respondida. </w:t>
      </w:r>
    </w:p>
    <w:p w14:paraId="47E04D08" w14:textId="77777777" w:rsidR="00DE5118" w:rsidRPr="00A44995" w:rsidRDefault="00DE5118" w:rsidP="00DE511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lang w:val="es-PE" w:eastAsia="es-ES"/>
        </w:rPr>
      </w:pPr>
    </w:p>
    <w:p w14:paraId="02F81602" w14:textId="77777777" w:rsidR="00FF63CB" w:rsidRPr="00A44995" w:rsidRDefault="001401C9" w:rsidP="00C55F8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lang w:val="es-PE" w:eastAsia="es-ES"/>
        </w:rPr>
      </w:pPr>
      <w:r w:rsidRPr="00A44995">
        <w:rPr>
          <w:rFonts w:ascii="Cambria" w:hAnsi="Cambria"/>
          <w:sz w:val="20"/>
          <w:szCs w:val="20"/>
          <w:lang w:val="es-PE" w:eastAsia="es-ES"/>
        </w:rPr>
        <w:t xml:space="preserve">En </w:t>
      </w:r>
      <w:r w:rsidR="007D238D" w:rsidRPr="00A44995">
        <w:rPr>
          <w:rFonts w:ascii="Cambria" w:hAnsi="Cambria"/>
          <w:sz w:val="20"/>
          <w:szCs w:val="20"/>
          <w:lang w:val="es-PE" w:eastAsia="es-ES"/>
        </w:rPr>
        <w:t>quinto</w:t>
      </w:r>
      <w:r w:rsidRPr="00A44995">
        <w:rPr>
          <w:rFonts w:ascii="Cambria" w:hAnsi="Cambria"/>
          <w:sz w:val="20"/>
          <w:szCs w:val="20"/>
          <w:lang w:val="es-PE" w:eastAsia="es-ES"/>
        </w:rPr>
        <w:t xml:space="preserve"> lugar, </w:t>
      </w:r>
      <w:r w:rsidR="00DE5118" w:rsidRPr="00A44995">
        <w:rPr>
          <w:rFonts w:ascii="Cambria" w:hAnsi="Cambria"/>
          <w:sz w:val="20"/>
          <w:szCs w:val="20"/>
          <w:lang w:val="es-PE" w:eastAsia="es-ES"/>
        </w:rPr>
        <w:t>recién en el año 2001, ocho años despu</w:t>
      </w:r>
      <w:r w:rsidRPr="00A44995">
        <w:rPr>
          <w:rFonts w:ascii="Cambria" w:hAnsi="Cambria"/>
          <w:sz w:val="20"/>
          <w:szCs w:val="20"/>
          <w:lang w:val="es-PE" w:eastAsia="es-ES"/>
        </w:rPr>
        <w:t xml:space="preserve">és de ocurridos los hechos, </w:t>
      </w:r>
      <w:r w:rsidR="008466BE" w:rsidRPr="00A44995">
        <w:rPr>
          <w:rFonts w:ascii="Cambria" w:hAnsi="Cambria"/>
          <w:sz w:val="20"/>
          <w:szCs w:val="20"/>
          <w:lang w:val="es-PE" w:eastAsia="es-ES"/>
        </w:rPr>
        <w:t>el juez</w:t>
      </w:r>
      <w:r w:rsidR="00DE5118" w:rsidRPr="00A44995">
        <w:rPr>
          <w:rFonts w:ascii="Cambria" w:hAnsi="Cambria"/>
          <w:sz w:val="20"/>
          <w:szCs w:val="20"/>
          <w:lang w:val="es-PE" w:eastAsia="es-ES"/>
        </w:rPr>
        <w:t xml:space="preserve"> </w:t>
      </w:r>
      <w:r w:rsidR="00FC4B4B" w:rsidRPr="00A44995">
        <w:rPr>
          <w:rFonts w:ascii="Cambria" w:hAnsi="Cambria"/>
          <w:sz w:val="20"/>
          <w:szCs w:val="20"/>
          <w:lang w:val="es-PE" w:eastAsia="es-ES"/>
        </w:rPr>
        <w:t xml:space="preserve">a cargo del proceso </w:t>
      </w:r>
      <w:r w:rsidR="007D238D" w:rsidRPr="00A44995">
        <w:rPr>
          <w:rFonts w:ascii="Cambria" w:hAnsi="Cambria"/>
          <w:sz w:val="20"/>
          <w:szCs w:val="20"/>
          <w:lang w:val="es-PE" w:eastAsia="es-ES"/>
        </w:rPr>
        <w:t xml:space="preserve">realizó una nueva inspección del lugar de los hechos, sin solicitar ninguna diligencia adicional. Asimismo, dicha jueza solicitó que por primera vez la persona denunciada rinda su declaración pero ésta nunca fue ejecutada. De acuerdo a la parte peticionaria, la falta de ejecución de dicha solicitud de declaración se debió a presiones externas realizadas por </w:t>
      </w:r>
      <w:r w:rsidR="008466BE" w:rsidRPr="00A44995">
        <w:rPr>
          <w:rFonts w:ascii="Cambria" w:hAnsi="Cambria"/>
          <w:sz w:val="20"/>
          <w:szCs w:val="20"/>
          <w:lang w:val="es-PE" w:eastAsia="es-ES"/>
        </w:rPr>
        <w:t xml:space="preserve">el </w:t>
      </w:r>
      <w:r w:rsidR="008466BE" w:rsidRPr="00A44995">
        <w:rPr>
          <w:rFonts w:asciiTheme="majorHAnsi" w:hAnsiTheme="majorHAnsi"/>
          <w:bCs/>
          <w:sz w:val="20"/>
          <w:szCs w:val="20"/>
          <w:lang w:val="es-PE"/>
        </w:rPr>
        <w:t>Magistrado Presidente de la Cámara de la Tercera Sección de Occidente</w:t>
      </w:r>
      <w:r w:rsidR="007D238D" w:rsidRPr="00A44995">
        <w:rPr>
          <w:rFonts w:ascii="Cambria" w:hAnsi="Cambria"/>
          <w:sz w:val="20"/>
          <w:szCs w:val="20"/>
          <w:lang w:val="es-PE" w:eastAsia="es-ES"/>
        </w:rPr>
        <w:t xml:space="preserve">, quien era una persona cercana al denunciado. La CIDH no cuenta con información suficiente para </w:t>
      </w:r>
      <w:r w:rsidR="008466BE" w:rsidRPr="00A44995">
        <w:rPr>
          <w:rFonts w:ascii="Cambria" w:hAnsi="Cambria"/>
          <w:sz w:val="20"/>
          <w:szCs w:val="20"/>
          <w:lang w:val="es-PE" w:eastAsia="es-ES"/>
        </w:rPr>
        <w:t>acreditar lo señalado por la parte peticionaria. Sin perjuicio de ello, la Comisión nota que el juez a cargo del proceso solicitó excusarse del mismo, lo cual fue aceptado por la</w:t>
      </w:r>
      <w:r w:rsidR="008466BE" w:rsidRPr="00A44995">
        <w:rPr>
          <w:rFonts w:asciiTheme="majorHAnsi" w:hAnsiTheme="majorHAnsi"/>
          <w:bCs/>
          <w:sz w:val="20"/>
          <w:szCs w:val="20"/>
          <w:lang w:val="es-PE"/>
        </w:rPr>
        <w:t xml:space="preserve"> Cámara de la Tercera Sección de Occidente</w:t>
      </w:r>
      <w:r w:rsidR="008466BE" w:rsidRPr="00A44995">
        <w:rPr>
          <w:rFonts w:ascii="Cambria" w:hAnsi="Cambria"/>
          <w:sz w:val="20"/>
          <w:szCs w:val="20"/>
          <w:lang w:val="es-PE" w:eastAsia="es-ES"/>
        </w:rPr>
        <w:t>.</w:t>
      </w:r>
    </w:p>
    <w:p w14:paraId="02710600" w14:textId="77777777" w:rsidR="008466BE" w:rsidRPr="00A44995" w:rsidRDefault="008466BE" w:rsidP="008466B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lang w:val="es-PE" w:eastAsia="es-ES"/>
        </w:rPr>
      </w:pPr>
    </w:p>
    <w:p w14:paraId="44FFD51D" w14:textId="77777777" w:rsidR="008466BE" w:rsidRPr="00A44995" w:rsidRDefault="008466BE" w:rsidP="00C55F8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lang w:val="es-PE" w:eastAsia="es-ES"/>
        </w:rPr>
      </w:pPr>
      <w:r w:rsidRPr="00A44995">
        <w:rPr>
          <w:rFonts w:ascii="Cambria" w:hAnsi="Cambria"/>
          <w:sz w:val="20"/>
          <w:szCs w:val="20"/>
          <w:lang w:val="es-PE" w:eastAsia="es-ES"/>
        </w:rPr>
        <w:t xml:space="preserve">En sexto lugar, la Comisión observa que entre los años 2001 y 2003 el caso no fue asignado a ninguna autoridad judiciales, por lo que estuvo paralizado. Asimismo, el nuevo juez que fue asignado al caso también presentó una solicitud de </w:t>
      </w:r>
      <w:r w:rsidR="008025C0" w:rsidRPr="00A44995">
        <w:rPr>
          <w:rFonts w:ascii="Cambria" w:hAnsi="Cambria"/>
          <w:sz w:val="20"/>
          <w:szCs w:val="20"/>
          <w:lang w:val="es-PE" w:eastAsia="es-ES"/>
        </w:rPr>
        <w:t xml:space="preserve">excusa, la cual no fue aceptada, y no realizó ninguna diligencia para avanzar con el caso. </w:t>
      </w:r>
    </w:p>
    <w:p w14:paraId="259FA355" w14:textId="77777777" w:rsidR="008025C0" w:rsidRPr="00A44995" w:rsidRDefault="008025C0" w:rsidP="008025C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lang w:val="es-PE" w:eastAsia="es-ES"/>
        </w:rPr>
      </w:pPr>
    </w:p>
    <w:p w14:paraId="7849B1FE" w14:textId="77777777" w:rsidR="008E5716" w:rsidRPr="00A44995" w:rsidRDefault="008025C0" w:rsidP="00594A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lang w:val="es-PE" w:eastAsia="es-ES"/>
        </w:rPr>
      </w:pPr>
      <w:r w:rsidRPr="00A44995">
        <w:rPr>
          <w:rFonts w:ascii="Cambria" w:hAnsi="Cambria"/>
          <w:sz w:val="20"/>
          <w:szCs w:val="20"/>
          <w:lang w:val="es-PE" w:eastAsia="es-ES"/>
        </w:rPr>
        <w:t xml:space="preserve">En séptimo lugar, </w:t>
      </w:r>
      <w:r w:rsidR="00594A99" w:rsidRPr="00A44995">
        <w:rPr>
          <w:rFonts w:ascii="Cambria" w:hAnsi="Cambria"/>
          <w:sz w:val="20"/>
          <w:szCs w:val="20"/>
          <w:lang w:val="es-PE" w:eastAsia="es-ES"/>
        </w:rPr>
        <w:t>en</w:t>
      </w:r>
      <w:r w:rsidR="008E5716" w:rsidRPr="00A44995">
        <w:rPr>
          <w:rFonts w:ascii="Cambria" w:hAnsi="Cambria"/>
          <w:bCs/>
          <w:sz w:val="20"/>
          <w:szCs w:val="20"/>
          <w:lang w:val="es-PE" w:eastAsia="es-ES"/>
        </w:rPr>
        <w:t xml:space="preserve"> mayo de 2004 el Juez de Primera Instancia de Atiquizaya</w:t>
      </w:r>
      <w:r w:rsidR="008E5716" w:rsidRPr="00A44995">
        <w:rPr>
          <w:rFonts w:ascii="Cambria" w:hAnsi="Cambria"/>
          <w:bCs/>
          <w:sz w:val="20"/>
          <w:szCs w:val="20"/>
          <w:lang w:val="es-PE"/>
        </w:rPr>
        <w:t xml:space="preserve"> </w:t>
      </w:r>
      <w:r w:rsidR="008E5716" w:rsidRPr="00A44995">
        <w:rPr>
          <w:rFonts w:ascii="Cambria" w:hAnsi="Cambria"/>
          <w:bCs/>
          <w:sz w:val="20"/>
          <w:szCs w:val="20"/>
          <w:lang w:val="es-PE" w:eastAsia="es-ES"/>
        </w:rPr>
        <w:t>declaró el sobresei</w:t>
      </w:r>
      <w:r w:rsidR="00594A99" w:rsidRPr="00A44995">
        <w:rPr>
          <w:rFonts w:ascii="Cambria" w:hAnsi="Cambria"/>
          <w:bCs/>
          <w:sz w:val="20"/>
          <w:szCs w:val="20"/>
          <w:lang w:val="es-PE" w:eastAsia="es-ES"/>
        </w:rPr>
        <w:t xml:space="preserve">miento provisional del imputado. Dicho juez reconoció que durante el proceso no se recibió ninguna prueba, ni hubo prueba testimonial. Dicha </w:t>
      </w:r>
      <w:r w:rsidR="008E5716" w:rsidRPr="00A44995">
        <w:rPr>
          <w:rFonts w:ascii="Cambria" w:hAnsi="Cambria"/>
          <w:bCs/>
          <w:sz w:val="20"/>
          <w:szCs w:val="20"/>
          <w:lang w:val="es-PE" w:eastAsia="es-ES"/>
        </w:rPr>
        <w:t xml:space="preserve">resolución fue confirmada por la Cámara de la Tercera Sección de Occidente </w:t>
      </w:r>
      <w:r w:rsidR="00594A99" w:rsidRPr="00A44995">
        <w:rPr>
          <w:rFonts w:ascii="Cambria" w:hAnsi="Cambria"/>
          <w:bCs/>
          <w:sz w:val="20"/>
          <w:szCs w:val="20"/>
          <w:lang w:val="es-PE" w:eastAsia="es-ES"/>
        </w:rPr>
        <w:t>en</w:t>
      </w:r>
      <w:r w:rsidR="008E5716" w:rsidRPr="00A44995">
        <w:rPr>
          <w:rFonts w:ascii="Cambria" w:hAnsi="Cambria"/>
          <w:bCs/>
          <w:sz w:val="20"/>
          <w:szCs w:val="20"/>
          <w:lang w:val="es-PE" w:eastAsia="es-ES"/>
        </w:rPr>
        <w:t xml:space="preserve"> julio de 2004. </w:t>
      </w:r>
    </w:p>
    <w:p w14:paraId="3E3E4D5E" w14:textId="77777777" w:rsidR="00594A99" w:rsidRPr="00A44995" w:rsidRDefault="00594A99" w:rsidP="00594A9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lang w:val="es-PE" w:eastAsia="es-ES"/>
        </w:rPr>
      </w:pPr>
    </w:p>
    <w:p w14:paraId="772ADECB" w14:textId="2765965C" w:rsidR="004E5CED" w:rsidRPr="00A44995" w:rsidRDefault="00594A99" w:rsidP="000E521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lang w:val="es-PE" w:eastAsia="es-ES"/>
        </w:rPr>
      </w:pPr>
      <w:r w:rsidRPr="00A44995">
        <w:rPr>
          <w:rFonts w:ascii="Cambria" w:hAnsi="Cambria"/>
          <w:bCs/>
          <w:sz w:val="20"/>
          <w:szCs w:val="20"/>
          <w:lang w:val="es-PE" w:eastAsia="es-ES"/>
        </w:rPr>
        <w:t xml:space="preserve">La Comisión considera </w:t>
      </w:r>
      <w:r w:rsidR="003F7F89" w:rsidRPr="00A44995">
        <w:rPr>
          <w:rFonts w:ascii="Cambria" w:hAnsi="Cambria"/>
          <w:bCs/>
          <w:sz w:val="20"/>
          <w:szCs w:val="20"/>
          <w:lang w:val="es-PE" w:eastAsia="es-ES"/>
        </w:rPr>
        <w:t xml:space="preserve">que desde un inicio de la investigación, existía al menos un informe policial que acreditaba que la explosión de la granada se realizó desde adentro del vehículo, y que el dueño del vehículo tenía armas en su maletera. A pesar de ello, durante todo el proceso no se adoptó ninguna diligencia dirigida a explorar dicha línea de investigación. La CIDH remarca que durante once años que duró el proceso </w:t>
      </w:r>
      <w:r w:rsidR="004E5CED" w:rsidRPr="00A44995">
        <w:rPr>
          <w:rFonts w:ascii="Cambria" w:hAnsi="Cambria"/>
          <w:bCs/>
          <w:sz w:val="20"/>
          <w:szCs w:val="20"/>
          <w:lang w:val="es-PE" w:eastAsia="es-ES"/>
        </w:rPr>
        <w:t xml:space="preserve">sólo </w:t>
      </w:r>
      <w:r w:rsidR="003F7F89" w:rsidRPr="00A44995">
        <w:rPr>
          <w:rFonts w:ascii="Cambria" w:hAnsi="Cambria"/>
          <w:bCs/>
          <w:sz w:val="20"/>
          <w:szCs w:val="20"/>
          <w:lang w:val="es-PE" w:eastAsia="es-ES"/>
        </w:rPr>
        <w:t>se realizaron cuatro inspecciones al lugar de los hechos y ninguna otra diligencia adicional. A ello se suma la falta de toma declaraciones de la persona denunciante,</w:t>
      </w:r>
      <w:r w:rsidR="00923207" w:rsidRPr="00A44995">
        <w:rPr>
          <w:rFonts w:ascii="Cambria" w:hAnsi="Cambria"/>
          <w:bCs/>
          <w:sz w:val="20"/>
          <w:szCs w:val="20"/>
          <w:lang w:val="es-PE" w:eastAsia="es-ES"/>
        </w:rPr>
        <w:t xml:space="preserve"> quien era una persona con discapacidad física,</w:t>
      </w:r>
      <w:r w:rsidR="003F7F89" w:rsidRPr="00A44995">
        <w:rPr>
          <w:rFonts w:ascii="Cambria" w:hAnsi="Cambria"/>
          <w:bCs/>
          <w:sz w:val="20"/>
          <w:szCs w:val="20"/>
          <w:lang w:val="es-PE" w:eastAsia="es-ES"/>
        </w:rPr>
        <w:t xml:space="preserve"> la persona denunciada, la otra persona que iba en el vehículo, y al menos cuatro testigos presenciales de los </w:t>
      </w:r>
      <w:r w:rsidR="003F7F89" w:rsidRPr="00A44995">
        <w:rPr>
          <w:rFonts w:ascii="Cambria" w:hAnsi="Cambria"/>
          <w:bCs/>
          <w:sz w:val="20"/>
          <w:szCs w:val="20"/>
          <w:lang w:val="es-PE" w:eastAsia="es-ES"/>
        </w:rPr>
        <w:lastRenderedPageBreak/>
        <w:t>hechos.</w:t>
      </w:r>
      <w:r w:rsidR="000E5218" w:rsidRPr="00A44995">
        <w:rPr>
          <w:rFonts w:ascii="Cambria" w:hAnsi="Cambria"/>
          <w:sz w:val="20"/>
          <w:szCs w:val="20"/>
          <w:lang w:val="es-PE" w:eastAsia="es-ES"/>
        </w:rPr>
        <w:t xml:space="preserve"> </w:t>
      </w:r>
      <w:r w:rsidR="004E5CED" w:rsidRPr="00A44995">
        <w:rPr>
          <w:rFonts w:ascii="Cambria" w:hAnsi="Cambria"/>
          <w:bCs/>
          <w:sz w:val="20"/>
          <w:szCs w:val="20"/>
          <w:lang w:val="es-PE" w:eastAsia="es-ES"/>
        </w:rPr>
        <w:t xml:space="preserve">Adicionalmente, la CIDH evidencia los </w:t>
      </w:r>
      <w:r w:rsidR="004E5CED" w:rsidRPr="00A44995">
        <w:rPr>
          <w:rFonts w:ascii="Cambria" w:hAnsi="Cambria"/>
          <w:sz w:val="20"/>
          <w:szCs w:val="20"/>
          <w:lang w:val="es-PE" w:eastAsia="es-ES"/>
        </w:rPr>
        <w:t>largos p</w:t>
      </w:r>
      <w:r w:rsidR="000E5218" w:rsidRPr="00A44995">
        <w:rPr>
          <w:rFonts w:ascii="Cambria" w:hAnsi="Cambria"/>
          <w:sz w:val="20"/>
          <w:szCs w:val="20"/>
          <w:lang w:val="es-PE" w:eastAsia="es-ES"/>
        </w:rPr>
        <w:t>eriodos de inactividad procesal,</w:t>
      </w:r>
      <w:r w:rsidR="004E5CED" w:rsidRPr="00A44995">
        <w:rPr>
          <w:rFonts w:ascii="Cambria" w:hAnsi="Cambria"/>
          <w:sz w:val="20"/>
          <w:szCs w:val="20"/>
          <w:lang w:val="es-PE" w:eastAsia="es-ES"/>
        </w:rPr>
        <w:t xml:space="preserve"> diversos traslados de la investigación a d</w:t>
      </w:r>
      <w:r w:rsidR="000E5218" w:rsidRPr="00A44995">
        <w:rPr>
          <w:rFonts w:ascii="Cambria" w:hAnsi="Cambria"/>
          <w:sz w:val="20"/>
          <w:szCs w:val="20"/>
          <w:lang w:val="es-PE" w:eastAsia="es-ES"/>
        </w:rPr>
        <w:t>istintas autoridades judiciales,</w:t>
      </w:r>
      <w:r w:rsidR="004E5CED" w:rsidRPr="00A44995">
        <w:rPr>
          <w:rFonts w:ascii="Cambria" w:hAnsi="Cambria"/>
          <w:sz w:val="20"/>
          <w:szCs w:val="20"/>
          <w:lang w:val="es-PE" w:eastAsia="es-ES"/>
        </w:rPr>
        <w:t xml:space="preserve"> </w:t>
      </w:r>
      <w:r w:rsidR="000E5218" w:rsidRPr="00A44995">
        <w:rPr>
          <w:rFonts w:ascii="Cambria" w:hAnsi="Cambria"/>
          <w:sz w:val="20"/>
          <w:szCs w:val="20"/>
          <w:lang w:val="es-PE" w:eastAsia="es-ES"/>
        </w:rPr>
        <w:t xml:space="preserve">y </w:t>
      </w:r>
      <w:r w:rsidR="004E5CED" w:rsidRPr="00A44995">
        <w:rPr>
          <w:rFonts w:ascii="Cambria" w:hAnsi="Cambria"/>
          <w:sz w:val="20"/>
          <w:szCs w:val="20"/>
          <w:lang w:val="es-PE" w:eastAsia="es-ES"/>
        </w:rPr>
        <w:t xml:space="preserve">solicitudes de excusas </w:t>
      </w:r>
      <w:r w:rsidR="000E5218" w:rsidRPr="00A44995">
        <w:rPr>
          <w:rFonts w:ascii="Cambria" w:hAnsi="Cambria"/>
          <w:sz w:val="20"/>
          <w:szCs w:val="20"/>
          <w:lang w:val="es-PE" w:eastAsia="es-ES"/>
        </w:rPr>
        <w:t xml:space="preserve">de jueces para inhibirse de conocer el proceso. </w:t>
      </w:r>
    </w:p>
    <w:p w14:paraId="42B2152C" w14:textId="77777777" w:rsidR="000E5218" w:rsidRPr="00A44995" w:rsidRDefault="000E5218" w:rsidP="000E521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lang w:val="es-PE" w:eastAsia="es-ES"/>
        </w:rPr>
      </w:pPr>
    </w:p>
    <w:p w14:paraId="44E3038A" w14:textId="77777777" w:rsidR="005C01EE" w:rsidRPr="00A44995" w:rsidRDefault="000E5218" w:rsidP="005740E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lang w:val="es-PE" w:eastAsia="es-ES"/>
        </w:rPr>
      </w:pPr>
      <w:r w:rsidRPr="00A44995">
        <w:rPr>
          <w:rFonts w:ascii="Cambria" w:hAnsi="Cambria"/>
          <w:sz w:val="20"/>
          <w:szCs w:val="20"/>
          <w:lang w:val="es-PE" w:eastAsia="es-ES"/>
        </w:rPr>
        <w:t xml:space="preserve">La CIDH considera que todos estos elementos reflejan una falta de debida diligencia en la investigación, esclarecimiento de los hechos y sanción de las personas responsables por los hechos ocurridos en 1993 en perjuicio de </w:t>
      </w:r>
      <w:r w:rsidRPr="00A44995">
        <w:rPr>
          <w:rFonts w:asciiTheme="majorHAnsi" w:hAnsiTheme="majorHAnsi" w:cs="Calibri"/>
          <w:sz w:val="20"/>
          <w:szCs w:val="20"/>
          <w:lang w:val="es-PE"/>
        </w:rPr>
        <w:t>Miguel Ángel Aguirre Magaña. La CIDH resalta que precisamente dicha falta de debida diligencia es la que generó el sobresimiento de la persona denunciada</w:t>
      </w:r>
      <w:r w:rsidR="005740E3" w:rsidRPr="00A44995">
        <w:rPr>
          <w:rFonts w:asciiTheme="majorHAnsi" w:hAnsiTheme="majorHAnsi" w:cs="Calibri"/>
          <w:sz w:val="20"/>
          <w:szCs w:val="20"/>
          <w:lang w:val="es-PE"/>
        </w:rPr>
        <w:t xml:space="preserve"> y en consecuencia, una situación de impunidad. A pesar de los diversos escritos para cuestionar las omisiones, irregularidades y falencias en la investigación, el Estado no proveyó de recursos adecuados y efectos para reparar dichas violaciones. </w:t>
      </w:r>
    </w:p>
    <w:p w14:paraId="540B94B5" w14:textId="77777777" w:rsidR="005C01EE" w:rsidRPr="00A44995" w:rsidRDefault="005C01EE" w:rsidP="008E5716">
      <w:pPr>
        <w:pStyle w:val="ListParagraph"/>
        <w:rPr>
          <w:bCs/>
          <w:sz w:val="20"/>
          <w:szCs w:val="20"/>
          <w:lang w:val="es-PE"/>
        </w:rPr>
      </w:pPr>
    </w:p>
    <w:p w14:paraId="5B54B9D8" w14:textId="77777777" w:rsidR="008E5716" w:rsidRPr="00A44995" w:rsidRDefault="00233263" w:rsidP="008E571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lang w:val="es-PE" w:eastAsia="es-ES"/>
        </w:rPr>
      </w:pPr>
      <w:r w:rsidRPr="00A44995">
        <w:rPr>
          <w:rFonts w:ascii="Cambria" w:hAnsi="Cambria"/>
          <w:bCs/>
          <w:sz w:val="20"/>
          <w:szCs w:val="20"/>
          <w:lang w:val="es-PE" w:eastAsia="es-ES"/>
        </w:rPr>
        <w:t>Respecto de la duración del proceso penal, l</w:t>
      </w:r>
      <w:r w:rsidR="008E5716" w:rsidRPr="00A44995">
        <w:rPr>
          <w:rFonts w:ascii="Cambria" w:hAnsi="Cambria"/>
          <w:bCs/>
          <w:sz w:val="20"/>
          <w:szCs w:val="20"/>
          <w:lang w:val="es-PE"/>
        </w:rPr>
        <w:t xml:space="preserve">a CIDH observa </w:t>
      </w:r>
      <w:r w:rsidRPr="00A44995">
        <w:rPr>
          <w:rFonts w:ascii="Cambria" w:hAnsi="Cambria"/>
          <w:bCs/>
          <w:sz w:val="20"/>
          <w:szCs w:val="20"/>
          <w:lang w:val="es-PE"/>
        </w:rPr>
        <w:t>éste tuvo un plazo de once años, desde la presentación de la denuncia en 1993 hasta</w:t>
      </w:r>
      <w:r w:rsidR="00FC4B4B" w:rsidRPr="00A44995">
        <w:rPr>
          <w:rFonts w:ascii="Cambria" w:hAnsi="Cambria"/>
          <w:bCs/>
          <w:sz w:val="20"/>
          <w:szCs w:val="20"/>
          <w:lang w:val="es-PE"/>
        </w:rPr>
        <w:t xml:space="preserve"> la confirmación de</w:t>
      </w:r>
      <w:r w:rsidRPr="00A44995">
        <w:rPr>
          <w:rFonts w:ascii="Cambria" w:hAnsi="Cambria"/>
          <w:bCs/>
          <w:sz w:val="20"/>
          <w:szCs w:val="20"/>
          <w:lang w:val="es-PE"/>
        </w:rPr>
        <w:t xml:space="preserve"> sobresimiento en 2004. Tomando en cuenta los elementos para determinar la razonabilidad del plazo del proceso señalados en la sección anterior, la Comisión resalta que </w:t>
      </w:r>
      <w:r w:rsidR="00FC4B4B" w:rsidRPr="00A44995">
        <w:rPr>
          <w:rFonts w:ascii="Cambria" w:hAnsi="Cambria"/>
          <w:bCs/>
          <w:sz w:val="20"/>
          <w:szCs w:val="20"/>
          <w:lang w:val="es-PE"/>
        </w:rPr>
        <w:t xml:space="preserve">no existen elementos de complejidad cuando existía una individualización del posible autor, existían testigos presenciales, e información sobre </w:t>
      </w:r>
      <w:r w:rsidR="00FC4B4B" w:rsidRPr="00A44995">
        <w:rPr>
          <w:rFonts w:ascii="Cambria" w:eastAsia="Batang" w:hAnsi="Cambria"/>
          <w:sz w:val="20"/>
          <w:szCs w:val="20"/>
          <w:bdr w:val="none" w:sz="0" w:space="0" w:color="auto"/>
          <w:lang w:val="es-PE"/>
        </w:rPr>
        <w:t xml:space="preserve">En todo caso, a fin de que un argumento de complejidad sea procedente, no es suficiente con que los Estados </w:t>
      </w:r>
      <w:r w:rsidR="00441221" w:rsidRPr="00A44995">
        <w:rPr>
          <w:rFonts w:ascii="Cambria" w:eastAsia="Batang" w:hAnsi="Cambria"/>
          <w:sz w:val="20"/>
          <w:szCs w:val="20"/>
          <w:bdr w:val="none" w:sz="0" w:space="0" w:color="auto"/>
          <w:lang w:val="es-PE"/>
        </w:rPr>
        <w:t xml:space="preserve">lo </w:t>
      </w:r>
      <w:r w:rsidR="00FC4B4B" w:rsidRPr="00A44995">
        <w:rPr>
          <w:rFonts w:ascii="Cambria" w:eastAsia="Batang" w:hAnsi="Cambria"/>
          <w:sz w:val="20"/>
          <w:szCs w:val="20"/>
          <w:bdr w:val="none" w:sz="0" w:space="0" w:color="auto"/>
          <w:lang w:val="es-PE"/>
        </w:rPr>
        <w:t>invoquen en términos. Es necesario que se presente información específica que vincule en cada caso la complejidad con la demora</w:t>
      </w:r>
      <w:r w:rsidR="00FC4B4B" w:rsidRPr="00A44995">
        <w:rPr>
          <w:rFonts w:ascii="Cambria" w:eastAsia="Batang" w:hAnsi="Cambria"/>
          <w:sz w:val="20"/>
          <w:szCs w:val="20"/>
          <w:bdr w:val="none" w:sz="0" w:space="0" w:color="auto"/>
          <w:vertAlign w:val="superscript"/>
          <w:lang w:val="es-PE"/>
        </w:rPr>
        <w:footnoteReference w:id="44"/>
      </w:r>
      <w:r w:rsidR="00FC4B4B" w:rsidRPr="00A44995">
        <w:rPr>
          <w:rFonts w:ascii="Cambria" w:eastAsia="Batang" w:hAnsi="Cambria"/>
          <w:sz w:val="20"/>
          <w:szCs w:val="20"/>
          <w:bdr w:val="none" w:sz="0" w:space="0" w:color="auto"/>
          <w:lang w:val="es-PE"/>
        </w:rPr>
        <w:t>. Ello no sucedió en el presente caso.</w:t>
      </w:r>
    </w:p>
    <w:p w14:paraId="5C6A885B" w14:textId="77777777" w:rsidR="00FC4B4B" w:rsidRPr="00A44995" w:rsidRDefault="00FC4B4B" w:rsidP="00FC4B4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lang w:val="es-PE" w:eastAsia="es-ES"/>
        </w:rPr>
      </w:pPr>
    </w:p>
    <w:p w14:paraId="7DFDF2AE" w14:textId="77777777" w:rsidR="000F2F1C" w:rsidRPr="00A44995" w:rsidRDefault="005740E3" w:rsidP="000F2F1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lang w:val="es-PE" w:eastAsia="es-ES"/>
        </w:rPr>
      </w:pPr>
      <w:r w:rsidRPr="00A44995">
        <w:rPr>
          <w:rFonts w:ascii="Cambria" w:eastAsia="Batang" w:hAnsi="Cambria"/>
          <w:sz w:val="20"/>
          <w:szCs w:val="20"/>
          <w:bdr w:val="none" w:sz="0" w:space="0" w:color="auto"/>
          <w:lang w:val="es-PE"/>
        </w:rPr>
        <w:t>Asimismo</w:t>
      </w:r>
      <w:r w:rsidR="00AE3247" w:rsidRPr="00A44995">
        <w:rPr>
          <w:rFonts w:ascii="Cambria" w:eastAsia="Batang" w:hAnsi="Cambria"/>
          <w:sz w:val="20"/>
          <w:szCs w:val="20"/>
          <w:bdr w:val="none" w:sz="0" w:space="0" w:color="auto"/>
          <w:lang w:val="es-PE"/>
        </w:rPr>
        <w:t xml:space="preserve">, la Comisión no encuentra elementos que permitan inferir que existió algún tipo de actividad o conducta de parte de la presunta víctima que hubiera entorpecido la investigación. </w:t>
      </w:r>
      <w:r w:rsidR="000F2F1C" w:rsidRPr="00A44995">
        <w:rPr>
          <w:rFonts w:ascii="Cambria" w:eastAsia="Batang" w:hAnsi="Cambria"/>
          <w:sz w:val="20"/>
          <w:szCs w:val="20"/>
          <w:bdr w:val="none" w:sz="0" w:space="0" w:color="auto"/>
          <w:lang w:val="es-PE"/>
        </w:rPr>
        <w:t xml:space="preserve">La CIDH remarca que la presentación de recursos disponibles en el ordenamiento interno por parte de la persona involucrada en el proceso no es una justificación para la demora en la tramitación del mismo. </w:t>
      </w:r>
      <w:r w:rsidR="00AE3247" w:rsidRPr="00A44995">
        <w:rPr>
          <w:rFonts w:ascii="Cambria" w:eastAsia="Batang" w:hAnsi="Cambria"/>
          <w:sz w:val="20"/>
          <w:szCs w:val="20"/>
          <w:bdr w:val="none" w:sz="0" w:space="0" w:color="auto"/>
          <w:lang w:val="es-PE"/>
        </w:rPr>
        <w:t xml:space="preserve">En relación con la actuación de las autoridades judiciales, </w:t>
      </w:r>
      <w:r w:rsidR="000F2F1C" w:rsidRPr="00A44995">
        <w:rPr>
          <w:rFonts w:ascii="Cambria" w:eastAsia="Batang" w:hAnsi="Cambria"/>
          <w:sz w:val="20"/>
          <w:szCs w:val="20"/>
          <w:bdr w:val="none" w:sz="0" w:space="0" w:color="auto"/>
          <w:lang w:val="es-PE"/>
        </w:rPr>
        <w:t>la CIDH resalta lo</w:t>
      </w:r>
      <w:r w:rsidR="00625081" w:rsidRPr="00A44995">
        <w:rPr>
          <w:rFonts w:ascii="Cambria" w:eastAsia="Batang" w:hAnsi="Cambria"/>
          <w:sz w:val="20"/>
          <w:szCs w:val="20"/>
          <w:bdr w:val="none" w:sz="0" w:space="0" w:color="auto"/>
          <w:lang w:val="es-PE"/>
        </w:rPr>
        <w:t xml:space="preserve">s diversos traslados del caso, así como los largos períodos de inactividad procesal. </w:t>
      </w:r>
    </w:p>
    <w:p w14:paraId="1254056F" w14:textId="77777777" w:rsidR="000F2F1C" w:rsidRPr="00A44995" w:rsidRDefault="000F2F1C" w:rsidP="000F2F1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eastAsia="Batang" w:hAnsi="Cambria"/>
          <w:sz w:val="20"/>
          <w:szCs w:val="20"/>
          <w:bdr w:val="none" w:sz="0" w:space="0" w:color="auto"/>
          <w:lang w:val="es-PE"/>
        </w:rPr>
      </w:pPr>
    </w:p>
    <w:p w14:paraId="3C612F7E" w14:textId="77777777" w:rsidR="00CA6F80" w:rsidRPr="00A44995" w:rsidRDefault="002E3EFB" w:rsidP="00CA6F8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lang w:val="es-PE" w:eastAsia="es-ES"/>
        </w:rPr>
      </w:pPr>
      <w:r w:rsidRPr="00A44995">
        <w:rPr>
          <w:rFonts w:ascii="Cambria" w:eastAsia="Batang" w:hAnsi="Cambria"/>
          <w:sz w:val="20"/>
          <w:szCs w:val="20"/>
          <w:bdr w:val="none" w:sz="0" w:space="0" w:color="auto"/>
          <w:lang w:val="es-PE"/>
        </w:rPr>
        <w:t>R</w:t>
      </w:r>
      <w:r w:rsidR="008E5716" w:rsidRPr="00A44995">
        <w:rPr>
          <w:rFonts w:ascii="Cambria" w:eastAsia="Batang" w:hAnsi="Cambria"/>
          <w:sz w:val="20"/>
          <w:szCs w:val="20"/>
          <w:bdr w:val="none" w:sz="0" w:space="0" w:color="auto"/>
          <w:lang w:val="es-PE"/>
        </w:rPr>
        <w:t xml:space="preserve">especto de la afectación generada en la situación jurídica de la persona involucrada en el proceso, </w:t>
      </w:r>
      <w:r w:rsidR="00CA6F80" w:rsidRPr="00A44995">
        <w:rPr>
          <w:rFonts w:ascii="Cambria" w:eastAsia="Batang" w:hAnsi="Cambria"/>
          <w:sz w:val="20"/>
          <w:szCs w:val="20"/>
          <w:bdr w:val="none" w:sz="0" w:space="0" w:color="auto"/>
          <w:lang w:val="es-PE"/>
        </w:rPr>
        <w:t xml:space="preserve">la CIDH recuerda lo señalado en la sección previa sobre el deber reforzada de acelerar la investigación en el caso de personas con discapacidad. </w:t>
      </w:r>
      <w:r w:rsidR="008E5716" w:rsidRPr="00A44995">
        <w:rPr>
          <w:rFonts w:ascii="Cambria" w:eastAsia="Batang" w:hAnsi="Cambria"/>
          <w:sz w:val="20"/>
          <w:szCs w:val="20"/>
          <w:bdr w:val="none" w:sz="0" w:space="0" w:color="auto"/>
          <w:lang w:val="es-PE"/>
        </w:rPr>
        <w:t>En tal sentido, la Comisión su</w:t>
      </w:r>
      <w:r w:rsidR="00CA6F80" w:rsidRPr="00A44995">
        <w:rPr>
          <w:rFonts w:ascii="Cambria" w:eastAsia="Batang" w:hAnsi="Cambria"/>
          <w:sz w:val="20"/>
          <w:szCs w:val="20"/>
          <w:bdr w:val="none" w:sz="0" w:space="0" w:color="auto"/>
          <w:lang w:val="es-PE"/>
        </w:rPr>
        <w:t xml:space="preserve">braya que debido a la discapacidad del señor Aguirre </w:t>
      </w:r>
      <w:r w:rsidR="008E5716" w:rsidRPr="00A44995">
        <w:rPr>
          <w:rFonts w:ascii="Cambria" w:eastAsia="Batang" w:hAnsi="Cambria"/>
          <w:sz w:val="20"/>
          <w:szCs w:val="20"/>
          <w:bdr w:val="none" w:sz="0" w:space="0" w:color="auto"/>
          <w:lang w:val="es-PE"/>
        </w:rPr>
        <w:t>era necesario que las investigaciones y el proceso penal se llev</w:t>
      </w:r>
      <w:r w:rsidR="0049754A" w:rsidRPr="00A44995">
        <w:rPr>
          <w:rFonts w:ascii="Cambria" w:eastAsia="Batang" w:hAnsi="Cambria"/>
          <w:sz w:val="20"/>
          <w:szCs w:val="20"/>
          <w:bdr w:val="none" w:sz="0" w:space="0" w:color="auto"/>
          <w:lang w:val="es-PE"/>
        </w:rPr>
        <w:t>en</w:t>
      </w:r>
      <w:r w:rsidR="008E5716" w:rsidRPr="00A44995">
        <w:rPr>
          <w:rFonts w:ascii="Cambria" w:eastAsia="Batang" w:hAnsi="Cambria"/>
          <w:sz w:val="20"/>
          <w:szCs w:val="20"/>
          <w:bdr w:val="none" w:sz="0" w:space="0" w:color="auto"/>
          <w:lang w:val="es-PE"/>
        </w:rPr>
        <w:t xml:space="preserve"> a cabo con mayor diligencia a fin de que sea resuelto </w:t>
      </w:r>
      <w:r w:rsidR="00CA6F80" w:rsidRPr="00A44995">
        <w:rPr>
          <w:rFonts w:ascii="Cambria" w:eastAsia="Batang" w:hAnsi="Cambria"/>
          <w:sz w:val="20"/>
          <w:szCs w:val="20"/>
          <w:bdr w:val="none" w:sz="0" w:space="0" w:color="auto"/>
          <w:lang w:val="es-PE"/>
        </w:rPr>
        <w:t>de manera pronta</w:t>
      </w:r>
      <w:r w:rsidR="008E5716" w:rsidRPr="00A44995">
        <w:rPr>
          <w:rFonts w:ascii="Cambria" w:eastAsia="Batang" w:hAnsi="Cambria"/>
          <w:sz w:val="20"/>
          <w:szCs w:val="20"/>
          <w:bdr w:val="none" w:sz="0" w:space="0" w:color="auto"/>
          <w:lang w:val="es-PE"/>
        </w:rPr>
        <w:t xml:space="preserve">. </w:t>
      </w:r>
      <w:r w:rsidR="00CA6F80" w:rsidRPr="00A44995">
        <w:rPr>
          <w:rFonts w:ascii="Cambria" w:eastAsia="Batang" w:hAnsi="Cambria"/>
          <w:sz w:val="20"/>
          <w:szCs w:val="20"/>
          <w:bdr w:val="none" w:sz="0" w:space="0" w:color="auto"/>
          <w:lang w:val="es-PE"/>
        </w:rPr>
        <w:t xml:space="preserve">En vista de los criterios analizados, la Comisión considera que el plazo de once años que duró el proceso penal resultó irrazonable. </w:t>
      </w:r>
    </w:p>
    <w:p w14:paraId="7767C924" w14:textId="77777777" w:rsidR="000F2F1C" w:rsidRPr="00A44995" w:rsidRDefault="000F2F1C" w:rsidP="00CA6F80">
      <w:pPr>
        <w:rPr>
          <w:rFonts w:eastAsia="Batang"/>
          <w:sz w:val="20"/>
          <w:szCs w:val="20"/>
          <w:bdr w:val="none" w:sz="0" w:space="0" w:color="auto"/>
          <w:lang w:val="es-PE"/>
        </w:rPr>
      </w:pPr>
    </w:p>
    <w:p w14:paraId="639C5825" w14:textId="77777777" w:rsidR="008E5716" w:rsidRPr="00A44995" w:rsidRDefault="00CA6F80" w:rsidP="00D6166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eastAsia="Batang" w:hAnsi="Cambria"/>
          <w:sz w:val="20"/>
          <w:szCs w:val="20"/>
          <w:bdr w:val="none" w:sz="0" w:space="0" w:color="auto"/>
          <w:lang w:val="es-PE"/>
        </w:rPr>
      </w:pPr>
      <w:r w:rsidRPr="00A44995">
        <w:rPr>
          <w:rFonts w:ascii="Cambria" w:eastAsia="Batang" w:hAnsi="Cambria"/>
          <w:sz w:val="20"/>
          <w:szCs w:val="20"/>
          <w:bdr w:val="none" w:sz="0" w:space="0" w:color="auto"/>
          <w:lang w:val="es-PE"/>
        </w:rPr>
        <w:t>Por todo lo expuesto</w:t>
      </w:r>
      <w:r w:rsidR="008E5716" w:rsidRPr="00A44995">
        <w:rPr>
          <w:rFonts w:ascii="Cambria" w:eastAsia="Batang" w:hAnsi="Cambria"/>
          <w:sz w:val="20"/>
          <w:szCs w:val="20"/>
          <w:bdr w:val="none" w:sz="0" w:space="0" w:color="auto"/>
          <w:lang w:val="es-PE"/>
        </w:rPr>
        <w:t xml:space="preserve">, la Comisión considera que el Estado incumplió con su deber </w:t>
      </w:r>
      <w:r w:rsidRPr="00A44995">
        <w:rPr>
          <w:rFonts w:ascii="Cambria" w:eastAsia="Batang" w:hAnsi="Cambria"/>
          <w:sz w:val="20"/>
          <w:szCs w:val="20"/>
          <w:bdr w:val="none" w:sz="0" w:space="0" w:color="auto"/>
          <w:lang w:val="es-PE"/>
        </w:rPr>
        <w:t xml:space="preserve">de investigar los hechos con una </w:t>
      </w:r>
      <w:r w:rsidR="008E5716" w:rsidRPr="00A44995">
        <w:rPr>
          <w:rFonts w:ascii="Cambria" w:eastAsia="Batang" w:hAnsi="Cambria"/>
          <w:sz w:val="20"/>
          <w:szCs w:val="20"/>
          <w:bdr w:val="none" w:sz="0" w:space="0" w:color="auto"/>
          <w:lang w:val="es-PE"/>
        </w:rPr>
        <w:t>debida diligencia y en un plazo razonable</w:t>
      </w:r>
      <w:r w:rsidRPr="00A44995">
        <w:rPr>
          <w:rFonts w:ascii="Cambria" w:eastAsia="Batang" w:hAnsi="Cambria"/>
          <w:sz w:val="20"/>
          <w:szCs w:val="20"/>
          <w:bdr w:val="none" w:sz="0" w:space="0" w:color="auto"/>
          <w:lang w:val="es-PE"/>
        </w:rPr>
        <w:t>, así como de proporcionar recursos adecuados y efectivos para remediar dicha situación</w:t>
      </w:r>
      <w:r w:rsidR="008E5716" w:rsidRPr="00A44995">
        <w:rPr>
          <w:rFonts w:ascii="Cambria" w:eastAsia="Batang" w:hAnsi="Cambria"/>
          <w:sz w:val="20"/>
          <w:szCs w:val="20"/>
          <w:bdr w:val="none" w:sz="0" w:space="0" w:color="auto"/>
          <w:lang w:val="es-PE"/>
        </w:rPr>
        <w:t xml:space="preserve">. Por lo tanto, </w:t>
      </w:r>
      <w:r w:rsidR="008E5716" w:rsidRPr="00A44995">
        <w:rPr>
          <w:rFonts w:ascii="Cambria" w:eastAsia="Batang" w:hAnsi="Cambria"/>
          <w:sz w:val="20"/>
          <w:szCs w:val="20"/>
          <w:bdr w:val="none" w:sz="0" w:space="0" w:color="auto" w:frame="1"/>
          <w:lang w:val="es-PE"/>
        </w:rPr>
        <w:t xml:space="preserve">la Comisión concluye que el Estado de El Salvador violó los derechos a las garantías judiciales y a la protección judicial establecidos en los artículos 8.1 y 25.1 de la Convención, en relación con las obligaciones establecidas en el artículo 1.1 del mismo instrumento, en perjuicio </w:t>
      </w:r>
      <w:r w:rsidR="005740E3" w:rsidRPr="00A44995">
        <w:rPr>
          <w:rFonts w:ascii="Cambria" w:eastAsia="Batang" w:hAnsi="Cambria"/>
          <w:sz w:val="20"/>
          <w:szCs w:val="20"/>
          <w:bdr w:val="none" w:sz="0" w:space="0" w:color="auto" w:frame="1"/>
          <w:lang w:val="es-PE"/>
        </w:rPr>
        <w:t xml:space="preserve">de </w:t>
      </w:r>
      <w:r w:rsidR="005740E3" w:rsidRPr="00A44995">
        <w:rPr>
          <w:rFonts w:asciiTheme="majorHAnsi" w:hAnsiTheme="majorHAnsi" w:cs="Calibri"/>
          <w:sz w:val="20"/>
          <w:szCs w:val="20"/>
          <w:lang w:val="es-PE"/>
        </w:rPr>
        <w:t>Miguel Ángel Aguirre Magaña.</w:t>
      </w:r>
      <w:r w:rsidR="008E5716" w:rsidRPr="00A44995">
        <w:rPr>
          <w:rFonts w:ascii="Cambria" w:eastAsia="Batang" w:hAnsi="Cambria"/>
          <w:sz w:val="20"/>
          <w:szCs w:val="20"/>
          <w:bdr w:val="none" w:sz="0" w:space="0" w:color="auto" w:frame="1"/>
          <w:lang w:val="es-PE"/>
        </w:rPr>
        <w:t xml:space="preserve">  </w:t>
      </w:r>
    </w:p>
    <w:p w14:paraId="7FEE7D32" w14:textId="77777777" w:rsidR="00F24E28" w:rsidRPr="00A44995" w:rsidRDefault="00F24E28" w:rsidP="00F24E2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cstheme="minorHAnsi"/>
          <w:sz w:val="20"/>
          <w:szCs w:val="20"/>
          <w:lang w:val="es-PE" w:eastAsia="es-ES"/>
        </w:rPr>
      </w:pPr>
    </w:p>
    <w:p w14:paraId="7B45EDBB" w14:textId="77777777" w:rsidR="00D12193" w:rsidRPr="00A44995" w:rsidRDefault="00101046" w:rsidP="00B44A04">
      <w:pPr>
        <w:pStyle w:val="Heading1"/>
        <w:tabs>
          <w:tab w:val="left" w:pos="360"/>
        </w:tabs>
        <w:ind w:left="720" w:hanging="720"/>
        <w:rPr>
          <w:lang w:val="es-PE"/>
        </w:rPr>
      </w:pPr>
      <w:bookmarkStart w:id="27" w:name="_Toc473195959"/>
      <w:r w:rsidRPr="00A44995">
        <w:rPr>
          <w:lang w:val="es-PE"/>
        </w:rPr>
        <w:t>CONCLUSIONES</w:t>
      </w:r>
      <w:r w:rsidR="00BD4C32" w:rsidRPr="00A44995">
        <w:rPr>
          <w:lang w:val="es-PE"/>
        </w:rPr>
        <w:t xml:space="preserve"> Y RECOMENDACIONES</w:t>
      </w:r>
      <w:bookmarkEnd w:id="27"/>
      <w:r w:rsidR="00BD4C32" w:rsidRPr="00A44995">
        <w:rPr>
          <w:lang w:val="es-PE"/>
        </w:rPr>
        <w:t xml:space="preserve"> </w:t>
      </w:r>
    </w:p>
    <w:p w14:paraId="44BE27D4" w14:textId="77777777" w:rsidR="00BD4C32" w:rsidRPr="00A44995" w:rsidRDefault="00BD4C32" w:rsidP="00BD4C32">
      <w:pPr>
        <w:rPr>
          <w:lang w:val="es-PE" w:eastAsia="es-ES"/>
        </w:rPr>
      </w:pPr>
    </w:p>
    <w:p w14:paraId="4E0AC476" w14:textId="77777777" w:rsidR="008E5716" w:rsidRPr="00A44995" w:rsidRDefault="006E495A" w:rsidP="008E571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eastAsia="Times New Roman" w:hAnsiTheme="majorHAnsi"/>
          <w:sz w:val="20"/>
          <w:szCs w:val="20"/>
          <w:lang w:val="es-PE"/>
        </w:rPr>
      </w:pPr>
      <w:r w:rsidRPr="00A44995">
        <w:rPr>
          <w:rFonts w:asciiTheme="majorHAnsi" w:hAnsiTheme="majorHAnsi"/>
          <w:sz w:val="20"/>
          <w:szCs w:val="20"/>
          <w:lang w:val="es-PE"/>
        </w:rPr>
        <w:t xml:space="preserve"> </w:t>
      </w:r>
      <w:r w:rsidR="008E5716" w:rsidRPr="00A44995">
        <w:rPr>
          <w:rFonts w:ascii="Cambria" w:eastAsia="Batang" w:hAnsi="Cambria"/>
          <w:sz w:val="20"/>
          <w:szCs w:val="20"/>
          <w:bdr w:val="none" w:sz="0" w:space="0" w:color="auto"/>
          <w:lang w:val="es-PE"/>
        </w:rPr>
        <w:t xml:space="preserve">Con base en las consideraciones de hecho y de derecho expuestas a lo largo del presente informe, la Comisión Interamericana concluye que el Estado de </w:t>
      </w:r>
      <w:r w:rsidR="0049754A" w:rsidRPr="00A44995">
        <w:rPr>
          <w:rFonts w:ascii="Cambria" w:eastAsia="Batang" w:hAnsi="Cambria"/>
          <w:sz w:val="20"/>
          <w:szCs w:val="20"/>
          <w:bdr w:val="none" w:sz="0" w:space="0" w:color="auto"/>
          <w:lang w:val="es-PE"/>
        </w:rPr>
        <w:t>El Salvador</w:t>
      </w:r>
      <w:r w:rsidR="008E5716" w:rsidRPr="00A44995">
        <w:rPr>
          <w:rFonts w:ascii="Cambria" w:eastAsia="Batang" w:hAnsi="Cambria"/>
          <w:sz w:val="20"/>
          <w:szCs w:val="20"/>
          <w:bdr w:val="none" w:sz="0" w:space="0" w:color="auto"/>
          <w:lang w:val="es-PE"/>
        </w:rPr>
        <w:t xml:space="preserve"> </w:t>
      </w:r>
      <w:r w:rsidR="008E5716" w:rsidRPr="00A44995">
        <w:rPr>
          <w:rFonts w:ascii="Cambria" w:eastAsia="Batang" w:hAnsi="Cambria" w:cs="Arial"/>
          <w:sz w:val="20"/>
          <w:szCs w:val="20"/>
          <w:bdr w:val="none" w:sz="0" w:space="0" w:color="auto"/>
          <w:lang w:val="es-PE"/>
        </w:rPr>
        <w:t>es responsable por la violación de los derechos a las garantías judiciales y a la protección judicial, establecidos en los artículos 8.1 y 25.1 de la Convención Americana en relación con las obligaciones establecidas en el artículo 1.1 del mismo instrumento, en perjuicio de</w:t>
      </w:r>
      <w:r w:rsidR="008E5716" w:rsidRPr="00A44995">
        <w:rPr>
          <w:rFonts w:ascii="Cambria" w:eastAsia="Batang" w:hAnsi="Cambria"/>
          <w:spacing w:val="-2"/>
          <w:sz w:val="20"/>
          <w:szCs w:val="20"/>
          <w:bdr w:val="none" w:sz="0" w:space="0" w:color="auto"/>
          <w:lang w:val="es-PE"/>
        </w:rPr>
        <w:t xml:space="preserve"> Miguel Ángel Aguirre Magaña.</w:t>
      </w:r>
    </w:p>
    <w:p w14:paraId="0E1FB18C" w14:textId="77777777" w:rsidR="008E5716" w:rsidRPr="00A44995" w:rsidRDefault="008E5716" w:rsidP="008E5716">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sz w:val="20"/>
          <w:szCs w:val="20"/>
          <w:lang w:val="es-PE"/>
        </w:rPr>
      </w:pPr>
    </w:p>
    <w:p w14:paraId="70EAF0B1" w14:textId="77777777" w:rsidR="006E495A" w:rsidRPr="00A44995" w:rsidRDefault="006E495A" w:rsidP="008E571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PE"/>
        </w:rPr>
      </w:pPr>
      <w:r w:rsidRPr="00A44995">
        <w:rPr>
          <w:rFonts w:asciiTheme="majorHAnsi" w:hAnsiTheme="majorHAnsi"/>
          <w:sz w:val="20"/>
          <w:szCs w:val="20"/>
          <w:lang w:val="es-PE"/>
        </w:rPr>
        <w:t xml:space="preserve">En virtud de </w:t>
      </w:r>
      <w:r w:rsidR="00233263" w:rsidRPr="00A44995">
        <w:rPr>
          <w:rFonts w:asciiTheme="majorHAnsi" w:hAnsiTheme="majorHAnsi"/>
          <w:sz w:val="20"/>
          <w:szCs w:val="20"/>
          <w:lang w:val="es-PE"/>
        </w:rPr>
        <w:t>dichas conclusiones</w:t>
      </w:r>
      <w:r w:rsidRPr="00A44995">
        <w:rPr>
          <w:rFonts w:asciiTheme="majorHAnsi" w:hAnsiTheme="majorHAnsi"/>
          <w:sz w:val="20"/>
          <w:szCs w:val="20"/>
          <w:lang w:val="es-PE"/>
        </w:rPr>
        <w:t xml:space="preserve">, </w:t>
      </w:r>
    </w:p>
    <w:p w14:paraId="0020B648" w14:textId="77777777" w:rsidR="00006896" w:rsidRPr="00A44995" w:rsidRDefault="00006896" w:rsidP="00B44A04">
      <w:pPr>
        <w:tabs>
          <w:tab w:val="left" w:pos="360"/>
        </w:tabs>
        <w:suppressAutoHyphens/>
        <w:jc w:val="both"/>
        <w:rPr>
          <w:rFonts w:asciiTheme="majorHAnsi" w:hAnsiTheme="majorHAnsi"/>
          <w:b/>
          <w:sz w:val="16"/>
          <w:szCs w:val="16"/>
          <w:lang w:val="es-PE"/>
        </w:rPr>
      </w:pPr>
    </w:p>
    <w:p w14:paraId="01FDA4ED" w14:textId="77777777" w:rsidR="0073724E" w:rsidRPr="00A44995" w:rsidRDefault="00006896" w:rsidP="0073724E">
      <w:pPr>
        <w:tabs>
          <w:tab w:val="left" w:pos="360"/>
        </w:tabs>
        <w:jc w:val="center"/>
        <w:rPr>
          <w:rFonts w:asciiTheme="majorHAnsi" w:hAnsiTheme="majorHAnsi"/>
          <w:b/>
          <w:sz w:val="20"/>
          <w:szCs w:val="20"/>
          <w:lang w:val="es-PE"/>
        </w:rPr>
      </w:pPr>
      <w:r w:rsidRPr="00A44995">
        <w:rPr>
          <w:rFonts w:asciiTheme="majorHAnsi" w:hAnsiTheme="majorHAnsi"/>
          <w:b/>
          <w:sz w:val="20"/>
          <w:szCs w:val="20"/>
          <w:lang w:val="es-PE"/>
        </w:rPr>
        <w:t>LA COMISIÓN INTERAMERICANA DE DERE</w:t>
      </w:r>
      <w:r w:rsidR="00B24C7E" w:rsidRPr="00A44995">
        <w:rPr>
          <w:rFonts w:asciiTheme="majorHAnsi" w:hAnsiTheme="majorHAnsi"/>
          <w:b/>
          <w:sz w:val="20"/>
          <w:szCs w:val="20"/>
          <w:lang w:val="es-PE"/>
        </w:rPr>
        <w:t>CHOS HUMANOS</w:t>
      </w:r>
    </w:p>
    <w:p w14:paraId="7AACD77C" w14:textId="77777777" w:rsidR="00006896" w:rsidRPr="00A44995" w:rsidRDefault="00006896" w:rsidP="0073724E">
      <w:pPr>
        <w:tabs>
          <w:tab w:val="left" w:pos="360"/>
        </w:tabs>
        <w:jc w:val="center"/>
        <w:rPr>
          <w:rFonts w:asciiTheme="majorHAnsi" w:hAnsiTheme="majorHAnsi"/>
          <w:b/>
          <w:sz w:val="20"/>
          <w:szCs w:val="20"/>
          <w:lang w:val="es-PE"/>
        </w:rPr>
      </w:pPr>
      <w:r w:rsidRPr="00A44995">
        <w:rPr>
          <w:rFonts w:asciiTheme="majorHAnsi" w:hAnsiTheme="majorHAnsi"/>
          <w:b/>
          <w:sz w:val="20"/>
          <w:szCs w:val="20"/>
          <w:lang w:val="es-PE"/>
        </w:rPr>
        <w:lastRenderedPageBreak/>
        <w:t>RECOMIENDA AL ESTADO D</w:t>
      </w:r>
      <w:r w:rsidR="006561B4" w:rsidRPr="00A44995">
        <w:rPr>
          <w:rFonts w:asciiTheme="majorHAnsi" w:hAnsiTheme="majorHAnsi"/>
          <w:b/>
          <w:sz w:val="20"/>
          <w:szCs w:val="20"/>
          <w:lang w:val="es-PE"/>
        </w:rPr>
        <w:t>E EL SALVADOR</w:t>
      </w:r>
      <w:r w:rsidR="00B24C7E" w:rsidRPr="00A44995">
        <w:rPr>
          <w:rFonts w:asciiTheme="majorHAnsi" w:hAnsiTheme="majorHAnsi"/>
          <w:b/>
          <w:sz w:val="20"/>
          <w:szCs w:val="20"/>
          <w:lang w:val="es-PE"/>
        </w:rPr>
        <w:t>:</w:t>
      </w:r>
    </w:p>
    <w:p w14:paraId="53D3B1E3" w14:textId="77777777" w:rsidR="008E5716" w:rsidRPr="00A44995" w:rsidRDefault="00006896" w:rsidP="0092676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themeColor="text1"/>
          <w:sz w:val="20"/>
          <w:szCs w:val="20"/>
          <w:lang w:val="es-PE"/>
        </w:rPr>
      </w:pPr>
      <w:r w:rsidRPr="00A44995">
        <w:rPr>
          <w:rFonts w:asciiTheme="majorHAnsi" w:eastAsia="Times New Roman" w:hAnsiTheme="majorHAnsi"/>
          <w:color w:val="666666"/>
          <w:sz w:val="15"/>
          <w:szCs w:val="15"/>
          <w:bdr w:val="none" w:sz="0" w:space="0" w:color="auto"/>
          <w:lang w:val="es-PE"/>
        </w:rPr>
        <w:t> </w:t>
      </w:r>
      <w:r w:rsidR="004E111E" w:rsidRPr="00A44995">
        <w:rPr>
          <w:rFonts w:ascii="Cambria" w:hAnsi="Cambria"/>
          <w:color w:val="000000" w:themeColor="text1"/>
          <w:sz w:val="20"/>
          <w:szCs w:val="20"/>
          <w:lang w:val="es-PE"/>
        </w:rPr>
        <w:t xml:space="preserve"> </w:t>
      </w:r>
    </w:p>
    <w:p w14:paraId="7B5C2335" w14:textId="77777777" w:rsidR="008E5716" w:rsidRPr="00A44995" w:rsidRDefault="008E5716" w:rsidP="007C6D3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Batang"/>
          <w:bCs/>
          <w:sz w:val="20"/>
          <w:szCs w:val="20"/>
          <w:bdr w:val="none" w:sz="0" w:space="0" w:color="auto"/>
          <w:lang w:val="es-PE"/>
        </w:rPr>
      </w:pPr>
      <w:r w:rsidRPr="00A44995">
        <w:rPr>
          <w:rFonts w:eastAsia="Batang"/>
          <w:bCs/>
          <w:sz w:val="20"/>
          <w:szCs w:val="20"/>
          <w:bdr w:val="none" w:sz="0" w:space="0" w:color="auto"/>
          <w:lang w:val="es-PE"/>
        </w:rPr>
        <w:t>Reparar integralmente las violaciones de derechos humanos declaradas en el presente informe, tanto en el aspecto material como inmaterial</w:t>
      </w:r>
      <w:r w:rsidR="00F07662" w:rsidRPr="00A44995">
        <w:rPr>
          <w:rFonts w:eastAsia="Batang"/>
          <w:bCs/>
          <w:sz w:val="20"/>
          <w:szCs w:val="20"/>
          <w:bdr w:val="none" w:sz="0" w:space="0" w:color="auto"/>
          <w:lang w:val="es-PE"/>
        </w:rPr>
        <w:t xml:space="preserve"> a favor de </w:t>
      </w:r>
      <w:r w:rsidR="00F07662" w:rsidRPr="00A44995">
        <w:rPr>
          <w:rFonts w:eastAsia="Batang"/>
          <w:spacing w:val="-2"/>
          <w:sz w:val="20"/>
          <w:szCs w:val="20"/>
          <w:bdr w:val="none" w:sz="0" w:space="0" w:color="auto"/>
          <w:lang w:val="es-PE"/>
        </w:rPr>
        <w:t>Miguel Ángel Aguirre Magaña</w:t>
      </w:r>
      <w:r w:rsidRPr="00A44995">
        <w:rPr>
          <w:rFonts w:eastAsia="Batang"/>
          <w:bCs/>
          <w:sz w:val="20"/>
          <w:szCs w:val="20"/>
          <w:bdr w:val="none" w:sz="0" w:space="0" w:color="auto"/>
          <w:lang w:val="es-PE"/>
        </w:rPr>
        <w:t xml:space="preserve">. El Estado deberá adoptar medidas de compensación económica y satisfacción del daño moral. </w:t>
      </w:r>
    </w:p>
    <w:p w14:paraId="18BFAEFA" w14:textId="77777777" w:rsidR="008E5716" w:rsidRPr="00A44995" w:rsidRDefault="008E5716" w:rsidP="008E5716">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Batang"/>
          <w:bCs/>
          <w:sz w:val="20"/>
          <w:szCs w:val="20"/>
          <w:bdr w:val="none" w:sz="0" w:space="0" w:color="auto"/>
          <w:lang w:val="es-PE"/>
        </w:rPr>
      </w:pPr>
    </w:p>
    <w:p w14:paraId="15F1F031" w14:textId="77777777" w:rsidR="00A952B7" w:rsidRPr="00A44995" w:rsidRDefault="008E5716" w:rsidP="00A952B7">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bCs/>
          <w:sz w:val="20"/>
          <w:szCs w:val="20"/>
          <w:bdr w:val="none" w:sz="0" w:space="0" w:color="auto"/>
          <w:lang w:val="es-PE"/>
        </w:rPr>
      </w:pPr>
      <w:r w:rsidRPr="00A44995">
        <w:rPr>
          <w:rFonts w:ascii="Cambria" w:eastAsia="Batang" w:hAnsi="Cambria"/>
          <w:bCs/>
          <w:sz w:val="20"/>
          <w:szCs w:val="20"/>
          <w:bdr w:val="none" w:sz="0" w:space="0" w:color="auto"/>
          <w:lang w:val="es-PE"/>
        </w:rPr>
        <w:t xml:space="preserve">Disponer las medidas de atención en salud física y mental necesarias a </w:t>
      </w:r>
      <w:r w:rsidRPr="00A44995">
        <w:rPr>
          <w:rFonts w:ascii="Cambria" w:eastAsia="Batang" w:hAnsi="Cambria"/>
          <w:spacing w:val="-2"/>
          <w:sz w:val="20"/>
          <w:szCs w:val="20"/>
          <w:bdr w:val="none" w:sz="0" w:space="0" w:color="auto"/>
          <w:lang w:val="es-PE"/>
        </w:rPr>
        <w:t>Miguel Ángel Aguirre Magaña</w:t>
      </w:r>
      <w:r w:rsidRPr="00A44995">
        <w:rPr>
          <w:rFonts w:ascii="Cambria" w:eastAsia="Batang" w:hAnsi="Cambria"/>
          <w:bCs/>
          <w:sz w:val="20"/>
          <w:szCs w:val="20"/>
          <w:bdr w:val="none" w:sz="0" w:space="0" w:color="auto"/>
          <w:lang w:val="es-PE"/>
        </w:rPr>
        <w:t>. Estas medidas deben implementarse en caso de ser voluntad de la víctima y de manera concertada con ella y sus representantes.</w:t>
      </w:r>
    </w:p>
    <w:p w14:paraId="55FE4F41" w14:textId="77777777" w:rsidR="00A952B7" w:rsidRPr="00F2077F" w:rsidRDefault="00A952B7" w:rsidP="00A952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US"/>
        </w:rPr>
      </w:pPr>
    </w:p>
    <w:p w14:paraId="541C5200" w14:textId="6B4E823B" w:rsidR="00A952B7" w:rsidRPr="00A44995" w:rsidRDefault="00A952B7" w:rsidP="00A952B7">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bCs/>
          <w:sz w:val="20"/>
          <w:szCs w:val="20"/>
          <w:bdr w:val="none" w:sz="0" w:space="0" w:color="auto"/>
          <w:lang w:val="es-PE"/>
        </w:rPr>
      </w:pPr>
      <w:r w:rsidRPr="00F2077F">
        <w:rPr>
          <w:rFonts w:ascii="Cambria" w:eastAsia="Times New Roman" w:hAnsi="Cambria"/>
          <w:sz w:val="20"/>
          <w:szCs w:val="20"/>
          <w:bdr w:val="none" w:sz="0" w:space="0" w:color="auto"/>
          <w:lang w:val="es-US"/>
        </w:rPr>
        <w:t>Disponer programas de capacitación permanente a autoridades judiciales sobre la debida diligencia</w:t>
      </w:r>
      <w:r w:rsidR="000E2327" w:rsidRPr="00F2077F">
        <w:rPr>
          <w:rFonts w:ascii="Cambria" w:eastAsia="Times New Roman" w:hAnsi="Cambria"/>
          <w:sz w:val="20"/>
          <w:szCs w:val="20"/>
          <w:bdr w:val="none" w:sz="0" w:space="0" w:color="auto"/>
          <w:lang w:val="es-US"/>
        </w:rPr>
        <w:t xml:space="preserve"> y acceso a la justicia de las personas con discapacidad, </w:t>
      </w:r>
      <w:r w:rsidRPr="00F2077F">
        <w:rPr>
          <w:rFonts w:ascii="Cambria" w:eastAsia="Times New Roman" w:hAnsi="Cambria"/>
          <w:sz w:val="20"/>
          <w:szCs w:val="20"/>
          <w:bdr w:val="none" w:sz="0" w:space="0" w:color="auto"/>
          <w:lang w:val="es-US"/>
        </w:rPr>
        <w:t>conforme a los estándares esta</w:t>
      </w:r>
      <w:r w:rsidR="000E2327" w:rsidRPr="00F2077F">
        <w:rPr>
          <w:rFonts w:ascii="Cambria" w:eastAsia="Times New Roman" w:hAnsi="Cambria"/>
          <w:sz w:val="20"/>
          <w:szCs w:val="20"/>
          <w:bdr w:val="none" w:sz="0" w:space="0" w:color="auto"/>
          <w:lang w:val="es-US"/>
        </w:rPr>
        <w:t xml:space="preserve">blecidos en el presente informe. </w:t>
      </w:r>
    </w:p>
    <w:p w14:paraId="09673151" w14:textId="77777777" w:rsidR="00B01A6C" w:rsidRDefault="00B01A6C" w:rsidP="00B01A6C">
      <w:pPr>
        <w:rPr>
          <w:b/>
          <w:lang w:val="es-US"/>
        </w:rPr>
      </w:pPr>
    </w:p>
    <w:p w14:paraId="56DB9657" w14:textId="0F968CF4" w:rsidR="00B01A6C" w:rsidRPr="00D701DD" w:rsidRDefault="00B01A6C" w:rsidP="00B01A6C">
      <w:pPr>
        <w:jc w:val="both"/>
        <w:rPr>
          <w:rFonts w:ascii="Cambria" w:hAnsi="Cambria" w:cs="Calibri Light"/>
          <w:spacing w:val="-2"/>
          <w:sz w:val="20"/>
          <w:szCs w:val="20"/>
          <w:lang w:val="es-CL"/>
        </w:rPr>
      </w:pPr>
      <w:r w:rsidRPr="00D701DD">
        <w:rPr>
          <w:rFonts w:ascii="Cambria" w:hAnsi="Cambria"/>
          <w:spacing w:val="-2"/>
          <w:sz w:val="20"/>
          <w:szCs w:val="20"/>
          <w:lang w:val="es-CL"/>
        </w:rPr>
        <w:tab/>
        <w:t xml:space="preserve">Aprobado por la Comisión Interamericana de Derechos Humanos a los </w:t>
      </w:r>
      <w:r w:rsidRPr="00B01A6C">
        <w:rPr>
          <w:rFonts w:ascii="Cambria" w:hAnsi="Cambria"/>
          <w:spacing w:val="-2"/>
          <w:sz w:val="20"/>
          <w:szCs w:val="20"/>
          <w:lang w:val="es-CL"/>
        </w:rPr>
        <w:t>23 días del mes de marzo de 2021.</w:t>
      </w:r>
      <w:r w:rsidRPr="00D701DD">
        <w:rPr>
          <w:rFonts w:ascii="Cambria" w:hAnsi="Cambria"/>
          <w:spacing w:val="-2"/>
          <w:sz w:val="20"/>
          <w:szCs w:val="20"/>
          <w:lang w:val="es-CL"/>
        </w:rPr>
        <w:t xml:space="preserve">  </w:t>
      </w:r>
      <w:r>
        <w:rPr>
          <w:rFonts w:ascii="Cambria" w:hAnsi="Cambria" w:cs="Calibri Light"/>
          <w:spacing w:val="-2"/>
          <w:sz w:val="20"/>
          <w:szCs w:val="20"/>
          <w:lang w:val="es-CL"/>
        </w:rPr>
        <w:t xml:space="preserve">(Firmado): </w:t>
      </w:r>
      <w:r w:rsidRPr="00D701DD">
        <w:rPr>
          <w:rFonts w:ascii="Cambria" w:hAnsi="Cambria" w:cs="Calibri Light"/>
          <w:spacing w:val="-2"/>
          <w:sz w:val="20"/>
          <w:szCs w:val="20"/>
          <w:lang w:val="es-CL"/>
        </w:rPr>
        <w:t>Julissa Mantilla Falcón, Primera Vicepresidenta; Flávia Piovesan, Segunda Vicepresidenta; Margarette May Macaulay, Esmeralda E. Arosemena Bernal de Troitiño, Joel Hernández, y Stuardo Ralón Orellana, Miembros de la Comisión.</w:t>
      </w:r>
    </w:p>
    <w:p w14:paraId="41235DFF" w14:textId="77777777" w:rsidR="00B01A6C" w:rsidRDefault="00B01A6C" w:rsidP="00B01A6C">
      <w:pPr>
        <w:pStyle w:val="parrafos"/>
        <w:tabs>
          <w:tab w:val="left" w:pos="360"/>
        </w:tabs>
        <w:rPr>
          <w:lang w:val="es-ES"/>
        </w:rPr>
      </w:pPr>
    </w:p>
    <w:p w14:paraId="04D9EA0A" w14:textId="77777777" w:rsidR="00B01A6C" w:rsidRDefault="00B01A6C" w:rsidP="00B01A6C">
      <w:pPr>
        <w:ind w:firstLine="720"/>
        <w:jc w:val="both"/>
        <w:rPr>
          <w:rFonts w:ascii="Cambria" w:hAnsi="Cambria"/>
          <w:sz w:val="20"/>
          <w:szCs w:val="20"/>
          <w:lang w:val="es-CL"/>
        </w:rPr>
      </w:pPr>
      <w:r>
        <w:rPr>
          <w:rFonts w:ascii="Cambria" w:hAnsi="Cambria"/>
          <w:sz w:val="20"/>
          <w:szCs w:val="20"/>
          <w:lang w:val="es-CL"/>
        </w:rPr>
        <w:t xml:space="preserve">La que suscribe, </w:t>
      </w:r>
      <w:r>
        <w:rPr>
          <w:rFonts w:ascii="Cambria" w:hAnsi="Cambria" w:cs="Arial"/>
          <w:sz w:val="20"/>
          <w:szCs w:val="20"/>
          <w:lang w:val="es-PE"/>
        </w:rPr>
        <w:t>Marisol Blanchard</w:t>
      </w:r>
      <w:r>
        <w:rPr>
          <w:rFonts w:ascii="Cambria" w:hAnsi="Cambria"/>
          <w:sz w:val="20"/>
          <w:szCs w:val="20"/>
          <w:lang w:val="es-CL"/>
        </w:rPr>
        <w:t>, Secretaria Ejecutiva Adjunta, de conformidad con el artículo 49 del Reglamento de la Comisión, certifica que es copia fiel del original depositado en los archivos de la Secretaría de la CIDH.</w:t>
      </w:r>
    </w:p>
    <w:p w14:paraId="36F43269" w14:textId="77777777" w:rsidR="00B01A6C" w:rsidRPr="003D7C01" w:rsidRDefault="00B01A6C" w:rsidP="00B01A6C">
      <w:pPr>
        <w:jc w:val="center"/>
        <w:rPr>
          <w:rFonts w:ascii="Cambria" w:hAnsi="Cambria"/>
          <w:sz w:val="16"/>
          <w:szCs w:val="16"/>
        </w:rPr>
      </w:pPr>
      <w:r w:rsidRPr="002B105B">
        <w:rPr>
          <w:rFonts w:cs="Calibri"/>
          <w:noProof/>
        </w:rPr>
        <w:drawing>
          <wp:inline distT="0" distB="0" distL="0" distR="0" wp14:anchorId="51C8DDD9" wp14:editId="21F3A547">
            <wp:extent cx="1371600" cy="809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809625"/>
                    </a:xfrm>
                    <a:prstGeom prst="rect">
                      <a:avLst/>
                    </a:prstGeom>
                    <a:noFill/>
                    <a:ln>
                      <a:noFill/>
                    </a:ln>
                  </pic:spPr>
                </pic:pic>
              </a:graphicData>
            </a:graphic>
          </wp:inline>
        </w:drawing>
      </w:r>
    </w:p>
    <w:p w14:paraId="513EC980" w14:textId="77777777" w:rsidR="00B01A6C" w:rsidRPr="001A587B" w:rsidRDefault="00B01A6C" w:rsidP="00B01A6C">
      <w:pPr>
        <w:tabs>
          <w:tab w:val="left" w:pos="-720"/>
        </w:tabs>
        <w:jc w:val="center"/>
        <w:rPr>
          <w:rFonts w:ascii="Cambria" w:hAnsi="Cambria" w:cs="Arial"/>
          <w:sz w:val="20"/>
          <w:szCs w:val="20"/>
        </w:rPr>
      </w:pPr>
      <w:r w:rsidRPr="001A587B">
        <w:rPr>
          <w:rFonts w:ascii="Cambria" w:hAnsi="Cambria" w:cs="Arial"/>
          <w:sz w:val="20"/>
          <w:szCs w:val="20"/>
        </w:rPr>
        <w:t>Marisol Blanchard</w:t>
      </w:r>
    </w:p>
    <w:p w14:paraId="70C507CB" w14:textId="77777777" w:rsidR="00B01A6C" w:rsidRPr="001A587B" w:rsidRDefault="00B01A6C" w:rsidP="00B01A6C">
      <w:pPr>
        <w:tabs>
          <w:tab w:val="left" w:pos="-720"/>
          <w:tab w:val="left" w:pos="5760"/>
        </w:tabs>
        <w:jc w:val="center"/>
        <w:rPr>
          <w:rFonts w:ascii="Calibri Light" w:hAnsi="Calibri Light"/>
          <w:sz w:val="20"/>
          <w:szCs w:val="20"/>
        </w:rPr>
      </w:pPr>
      <w:r w:rsidRPr="001A587B">
        <w:rPr>
          <w:rFonts w:ascii="Cambria" w:hAnsi="Cambria" w:cs="Arial"/>
          <w:sz w:val="20"/>
          <w:szCs w:val="20"/>
        </w:rPr>
        <w:t>Secretaria Ejecutiva Adjunta</w:t>
      </w:r>
    </w:p>
    <w:p w14:paraId="198D354B" w14:textId="77777777" w:rsidR="00B01A6C" w:rsidRDefault="00B01A6C" w:rsidP="00F2077F">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mbria" w:eastAsia="Batang" w:hAnsi="Cambria"/>
          <w:bCs/>
          <w:sz w:val="20"/>
          <w:szCs w:val="20"/>
          <w:bdr w:val="none" w:sz="0" w:space="0" w:color="auto"/>
          <w:lang w:val="es-PE"/>
        </w:rPr>
      </w:pPr>
    </w:p>
    <w:sectPr w:rsidR="00B01A6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F757" w14:textId="77777777" w:rsidR="00683FE9" w:rsidRDefault="00683FE9">
      <w:r>
        <w:separator/>
      </w:r>
    </w:p>
  </w:endnote>
  <w:endnote w:type="continuationSeparator" w:id="0">
    <w:p w14:paraId="4C21E98A" w14:textId="77777777" w:rsidR="00683FE9" w:rsidRDefault="0068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6730A9D3" w14:textId="4B9A83A5" w:rsidR="00683FE9" w:rsidRPr="00934A2C" w:rsidRDefault="00683FE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A1B45">
          <w:rPr>
            <w:noProof/>
            <w:sz w:val="16"/>
            <w:szCs w:val="22"/>
          </w:rPr>
          <w:t>1</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97EC" w14:textId="77777777" w:rsidR="00683FE9" w:rsidRPr="00934A2C" w:rsidRDefault="00683FE9">
    <w:pPr>
      <w:pStyle w:val="Footer"/>
      <w:jc w:val="center"/>
      <w:rPr>
        <w:sz w:val="16"/>
        <w:szCs w:val="22"/>
      </w:rPr>
    </w:pPr>
  </w:p>
  <w:p w14:paraId="4351F4FA" w14:textId="77777777" w:rsidR="00683FE9" w:rsidRDefault="00683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C64F" w14:textId="77777777" w:rsidR="00683FE9" w:rsidRPr="000F35ED" w:rsidRDefault="00683FE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A5EF561" w14:textId="77777777" w:rsidR="00683FE9" w:rsidRPr="000F35ED" w:rsidRDefault="00683FE9" w:rsidP="000F35ED">
      <w:pPr>
        <w:rPr>
          <w:rFonts w:asciiTheme="majorHAnsi" w:hAnsiTheme="majorHAnsi"/>
          <w:sz w:val="16"/>
          <w:szCs w:val="16"/>
        </w:rPr>
      </w:pPr>
      <w:r w:rsidRPr="000F35ED">
        <w:rPr>
          <w:rFonts w:asciiTheme="majorHAnsi" w:hAnsiTheme="majorHAnsi"/>
          <w:sz w:val="16"/>
          <w:szCs w:val="16"/>
        </w:rPr>
        <w:separator/>
      </w:r>
    </w:p>
    <w:p w14:paraId="07F87158" w14:textId="77777777" w:rsidR="00683FE9" w:rsidRPr="000F35ED" w:rsidRDefault="00683FE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7591B39" w14:textId="77777777" w:rsidR="00683FE9" w:rsidRPr="000F35ED" w:rsidRDefault="00683FE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F48CB97" w14:textId="77777777" w:rsidR="00683FE9" w:rsidRPr="000A3FB6" w:rsidRDefault="00683FE9" w:rsidP="000A3FB6">
      <w:pPr>
        <w:pStyle w:val="FootnoteText"/>
        <w:rPr>
          <w:rFonts w:ascii="Cambria" w:hAnsi="Cambria"/>
          <w:lang w:val="es-ES_tradnl"/>
        </w:rPr>
      </w:pPr>
      <w:r w:rsidRPr="000A3FB6">
        <w:rPr>
          <w:rStyle w:val="FootnoteReference"/>
          <w:rFonts w:ascii="Cambria" w:hAnsi="Cambria"/>
        </w:rPr>
        <w:footnoteRef/>
      </w:r>
      <w:r w:rsidRPr="00C05784">
        <w:rPr>
          <w:rFonts w:ascii="Cambria" w:hAnsi="Cambria"/>
          <w:lang w:val="es-US"/>
        </w:rPr>
        <w:t xml:space="preserve"> CIDH. </w:t>
      </w:r>
      <w:r w:rsidRPr="000A3FB6">
        <w:rPr>
          <w:rFonts w:ascii="Cambria" w:hAnsi="Cambria"/>
          <w:color w:val="000000" w:themeColor="text1"/>
          <w:lang w:val="es-VE"/>
        </w:rPr>
        <w:t xml:space="preserve">Informe de Admisibilidad No. 63/16. Petición 860-05. Miguel Ángel Aguirre Magaña. El Salvador. 6 de diciembre de 2016. En dicho informe declaró admisible la petición en relación con los artículos </w:t>
      </w:r>
      <w:r w:rsidRPr="000A3FB6">
        <w:rPr>
          <w:rFonts w:ascii="Cambria" w:hAnsi="Cambria"/>
          <w:lang w:val="es-PE"/>
        </w:rPr>
        <w:t>8 y 25 de la Convención Americana sobre Derechos Humanos en conexión con la obligación establecida en el artículo 1.1 del mismo instrumento.</w:t>
      </w:r>
    </w:p>
  </w:footnote>
  <w:footnote w:id="3">
    <w:p w14:paraId="36B73FD7" w14:textId="77777777" w:rsidR="00683FE9" w:rsidRPr="000A3FB6" w:rsidRDefault="00683FE9" w:rsidP="000A3FB6">
      <w:pPr>
        <w:pStyle w:val="FootnoteText"/>
        <w:rPr>
          <w:rFonts w:ascii="Cambria" w:hAnsi="Cambria"/>
          <w:lang w:val="es-PE"/>
        </w:rPr>
      </w:pPr>
      <w:r w:rsidRPr="000A3FB6">
        <w:rPr>
          <w:rStyle w:val="FootnoteReference"/>
          <w:rFonts w:ascii="Cambria" w:hAnsi="Cambria"/>
          <w:lang w:val="es-PE"/>
        </w:rPr>
        <w:footnoteRef/>
      </w:r>
      <w:r w:rsidRPr="000A3FB6">
        <w:rPr>
          <w:rFonts w:ascii="Cambria" w:hAnsi="Cambria"/>
          <w:lang w:val="es-PE"/>
        </w:rPr>
        <w:t xml:space="preserve"> Comunicación de la parte peticionaria de 28 de julio de 2005. </w:t>
      </w:r>
      <w:r>
        <w:rPr>
          <w:rFonts w:ascii="Cambria" w:hAnsi="Cambria"/>
          <w:lang w:val="es-PE"/>
        </w:rPr>
        <w:t xml:space="preserve">Anexo 1. </w:t>
      </w:r>
      <w:r w:rsidRPr="000A3FB6">
        <w:rPr>
          <w:rFonts w:ascii="Cambria" w:hAnsi="Cambria"/>
          <w:lang w:val="es-PE"/>
        </w:rPr>
        <w:t xml:space="preserve">Resolución de la Cámara de la Tercera Sección de Occidente, 20 de julio de 2004. Anexo 1 a la comunicación de la parte peticionaria de 28 de julio de 2005. </w:t>
      </w:r>
    </w:p>
    <w:p w14:paraId="2F18E8BC" w14:textId="77777777" w:rsidR="00683FE9" w:rsidRPr="000A3FB6" w:rsidRDefault="00683FE9" w:rsidP="000A3FB6">
      <w:pPr>
        <w:pStyle w:val="FootnoteText"/>
        <w:rPr>
          <w:rFonts w:ascii="Cambria" w:hAnsi="Cambria"/>
          <w:lang w:val="es-PE"/>
        </w:rPr>
      </w:pPr>
      <w:r w:rsidRPr="000A3FB6">
        <w:rPr>
          <w:rFonts w:ascii="Cambria" w:hAnsi="Cambria"/>
          <w:lang w:val="es-PE"/>
        </w:rPr>
        <w:t xml:space="preserve">Comunicación del Estado de 10 de enero de 2019. </w:t>
      </w:r>
      <w:r>
        <w:rPr>
          <w:rFonts w:ascii="Cambria" w:hAnsi="Cambria"/>
          <w:lang w:val="es-PE"/>
        </w:rPr>
        <w:t xml:space="preserve">Anexo 2. </w:t>
      </w:r>
      <w:r w:rsidRPr="000A3FB6">
        <w:rPr>
          <w:rFonts w:ascii="Cambria" w:hAnsi="Cambria"/>
          <w:lang w:val="es-PE"/>
        </w:rPr>
        <w:t xml:space="preserve">Resolución Ref. 34/03 del Juzgado de Primera Instancia de Atiquizaya, 19 de mayo de 2004. Anexo 3 a la comunicación del Estado de 10 de enero de 2019. </w:t>
      </w:r>
    </w:p>
  </w:footnote>
  <w:footnote w:id="4">
    <w:p w14:paraId="69A52EAA" w14:textId="77777777"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C05784">
        <w:rPr>
          <w:rFonts w:ascii="Cambria" w:hAnsi="Cambria"/>
          <w:lang w:val="es-US"/>
        </w:rPr>
        <w:t xml:space="preserve"> </w:t>
      </w:r>
      <w:r w:rsidRPr="000A3FB6">
        <w:rPr>
          <w:rFonts w:ascii="Cambria" w:hAnsi="Cambria"/>
          <w:lang w:val="es-PE"/>
        </w:rPr>
        <w:t>Comunicación de la parte peticionaria de 28 de julio de 2005. Comunicación de la parte peticionaria de 24 de noviembre de 2014.</w:t>
      </w:r>
    </w:p>
  </w:footnote>
  <w:footnote w:id="5">
    <w:p w14:paraId="00FC1CB5" w14:textId="77777777"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C05784">
        <w:rPr>
          <w:rFonts w:ascii="Cambria" w:hAnsi="Cambria"/>
          <w:lang w:val="es-US"/>
        </w:rPr>
        <w:t xml:space="preserve"> </w:t>
      </w:r>
      <w:r w:rsidRPr="000A3FB6">
        <w:rPr>
          <w:rFonts w:ascii="Cambria" w:hAnsi="Cambria"/>
          <w:lang w:val="es-PE"/>
        </w:rPr>
        <w:t>Comunicación de la parte peticionaria de 28 de julio de 2005. Comunicación de la parte peticionaria de 24 de noviembre de 2014. Comunicación de la parte peticionaria de 13 de noviembre de 2015.</w:t>
      </w:r>
    </w:p>
  </w:footnote>
  <w:footnote w:id="6">
    <w:p w14:paraId="62E60346" w14:textId="77777777"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C05784">
        <w:rPr>
          <w:rFonts w:ascii="Cambria" w:hAnsi="Cambria"/>
          <w:lang w:val="es-US"/>
        </w:rPr>
        <w:t xml:space="preserve"> </w:t>
      </w:r>
      <w:r>
        <w:rPr>
          <w:rFonts w:ascii="Cambria" w:hAnsi="Cambria"/>
          <w:lang w:val="es-US"/>
        </w:rPr>
        <w:t xml:space="preserve">Anexo 1. </w:t>
      </w:r>
      <w:r w:rsidRPr="000A3FB6">
        <w:rPr>
          <w:rFonts w:ascii="Cambria" w:hAnsi="Cambria"/>
          <w:lang w:val="es-PE"/>
        </w:rPr>
        <w:t>Resolución de la Cámara de la Tercera Sección de Occidente, 20 de julio de 2004.  Anexo 1 a la comunicación de la parte peticionaria de 28 de julio de 2005.</w:t>
      </w:r>
    </w:p>
  </w:footnote>
  <w:footnote w:id="7">
    <w:p w14:paraId="2D188520" w14:textId="77777777"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C05784">
        <w:rPr>
          <w:rFonts w:ascii="Cambria" w:hAnsi="Cambria"/>
          <w:lang w:val="es-US"/>
        </w:rPr>
        <w:t xml:space="preserve"> </w:t>
      </w:r>
      <w:r w:rsidRPr="000A3FB6">
        <w:rPr>
          <w:rFonts w:ascii="Cambria" w:hAnsi="Cambria"/>
          <w:lang w:val="es-PE"/>
        </w:rPr>
        <w:t>Comunicaciones de la parte peticionaria de 13 de noviembre de 2013, 31 de marzo de 2014 y 13 de noviembre de 2015.</w:t>
      </w:r>
    </w:p>
  </w:footnote>
  <w:footnote w:id="8">
    <w:p w14:paraId="20B7E2C3" w14:textId="77777777"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C05784">
        <w:rPr>
          <w:rFonts w:ascii="Cambria" w:hAnsi="Cambria"/>
          <w:lang w:val="es-US"/>
        </w:rPr>
        <w:t xml:space="preserve"> </w:t>
      </w:r>
      <w:r w:rsidRPr="000A3FB6">
        <w:rPr>
          <w:rFonts w:ascii="Cambria" w:hAnsi="Cambria"/>
          <w:lang w:val="es-PE"/>
        </w:rPr>
        <w:t>Comunicación del Estado de 10 de enero de 2019.</w:t>
      </w:r>
    </w:p>
  </w:footnote>
  <w:footnote w:id="9">
    <w:p w14:paraId="498306EA" w14:textId="77777777"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C05784">
        <w:rPr>
          <w:rFonts w:ascii="Cambria" w:hAnsi="Cambria"/>
          <w:lang w:val="es-US"/>
        </w:rPr>
        <w:t xml:space="preserve"> </w:t>
      </w:r>
      <w:r w:rsidRPr="000A3FB6">
        <w:rPr>
          <w:rFonts w:ascii="Cambria" w:hAnsi="Cambria"/>
          <w:lang w:val="es-PE"/>
        </w:rPr>
        <w:t>Comunicación de la parte peticionaria de 28 de julio de 2005. Comunicación de la parte peticionaria de 13 de noviembre de 2015.</w:t>
      </w:r>
    </w:p>
  </w:footnote>
  <w:footnote w:id="10">
    <w:p w14:paraId="42AD2210" w14:textId="6C703787"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C05784">
        <w:rPr>
          <w:rFonts w:ascii="Cambria" w:hAnsi="Cambria"/>
          <w:lang w:val="es-US"/>
        </w:rPr>
        <w:t xml:space="preserve"> </w:t>
      </w:r>
      <w:r>
        <w:rPr>
          <w:rFonts w:ascii="Cambria" w:hAnsi="Cambria"/>
          <w:lang w:val="es-US"/>
        </w:rPr>
        <w:t xml:space="preserve">Anexo 1. </w:t>
      </w:r>
      <w:r w:rsidRPr="000A3FB6">
        <w:rPr>
          <w:rFonts w:ascii="Cambria" w:hAnsi="Cambria"/>
          <w:lang w:val="es-PE"/>
        </w:rPr>
        <w:t>Resolución de la Cámara de la Tercera Sección de Occidente, 20 de julio de 2004.  Anexo 1 a la comunicación de la parte peticionaria de 28 de julio de 2005.</w:t>
      </w:r>
    </w:p>
  </w:footnote>
  <w:footnote w:id="11">
    <w:p w14:paraId="07009E9A" w14:textId="280F32E0"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C05784">
        <w:rPr>
          <w:rFonts w:ascii="Cambria" w:hAnsi="Cambria"/>
          <w:lang w:val="es-US"/>
        </w:rPr>
        <w:t xml:space="preserve"> </w:t>
      </w:r>
      <w:r>
        <w:rPr>
          <w:rFonts w:ascii="Cambria" w:hAnsi="Cambria"/>
          <w:lang w:val="es-US"/>
        </w:rPr>
        <w:t xml:space="preserve">Anexo 1. </w:t>
      </w:r>
      <w:r w:rsidRPr="000A3FB6">
        <w:rPr>
          <w:rFonts w:ascii="Cambria" w:hAnsi="Cambria"/>
          <w:lang w:val="es-PE"/>
        </w:rPr>
        <w:t>Resolución de la Cámara de la Tercera Sección de Occidente, 20 de julio de 2004.  Anexo 1 a la comunicación de la parte peticionaria de 28 de julio de 2005.</w:t>
      </w:r>
    </w:p>
  </w:footnote>
  <w:footnote w:id="12">
    <w:p w14:paraId="3DD124CE" w14:textId="6A1F8687"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C05784">
        <w:rPr>
          <w:rFonts w:ascii="Cambria" w:hAnsi="Cambria"/>
          <w:lang w:val="es-US"/>
        </w:rPr>
        <w:t xml:space="preserve"> </w:t>
      </w:r>
      <w:r>
        <w:rPr>
          <w:rFonts w:ascii="Cambria" w:hAnsi="Cambria"/>
          <w:lang w:val="es-US"/>
        </w:rPr>
        <w:t xml:space="preserve">Anexo 2. </w:t>
      </w:r>
      <w:r w:rsidRPr="000A3FB6">
        <w:rPr>
          <w:rFonts w:ascii="Cambria" w:hAnsi="Cambria"/>
          <w:lang w:val="es-PE"/>
        </w:rPr>
        <w:t>Resolución Ref. 34/03 del Juzgado de Primera Instancia de Atiquizaya, 19 de mayo de 2004. Anexo 1 a la comunicación del Estado de 10 de enero de 2019.</w:t>
      </w:r>
    </w:p>
  </w:footnote>
  <w:footnote w:id="13">
    <w:p w14:paraId="1B7DC8C8" w14:textId="77777777"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C05784">
        <w:rPr>
          <w:rFonts w:ascii="Cambria" w:hAnsi="Cambria"/>
          <w:lang w:val="es-US"/>
        </w:rPr>
        <w:t xml:space="preserve"> </w:t>
      </w:r>
      <w:r w:rsidRPr="000A3FB6">
        <w:rPr>
          <w:rFonts w:ascii="Cambria" w:hAnsi="Cambria"/>
          <w:lang w:val="es-PE"/>
        </w:rPr>
        <w:t>Comunicación de la parte peticionaria de 13 de noviembre de 2015.</w:t>
      </w:r>
    </w:p>
  </w:footnote>
  <w:footnote w:id="14">
    <w:p w14:paraId="438C613F" w14:textId="77777777"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C05784">
        <w:rPr>
          <w:rFonts w:ascii="Cambria" w:hAnsi="Cambria"/>
          <w:lang w:val="es-US"/>
        </w:rPr>
        <w:t xml:space="preserve"> </w:t>
      </w:r>
      <w:r w:rsidRPr="000A3FB6">
        <w:rPr>
          <w:rFonts w:ascii="Cambria" w:hAnsi="Cambria"/>
          <w:lang w:val="es-PE"/>
        </w:rPr>
        <w:t>Comunicación de la parte peticionaria del 28 de julio de 2005. Comunicación de la parte peticionaria de 13 de noviembre de 2015.</w:t>
      </w:r>
    </w:p>
  </w:footnote>
  <w:footnote w:id="15">
    <w:p w14:paraId="7B7B7763" w14:textId="5678CA00"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C05784">
        <w:rPr>
          <w:rFonts w:ascii="Cambria" w:hAnsi="Cambria"/>
          <w:lang w:val="es-US"/>
        </w:rPr>
        <w:t xml:space="preserve"> </w:t>
      </w:r>
      <w:r>
        <w:rPr>
          <w:rFonts w:ascii="Cambria" w:hAnsi="Cambria"/>
          <w:lang w:val="es-US"/>
        </w:rPr>
        <w:t xml:space="preserve">Anexo 2. </w:t>
      </w:r>
      <w:r w:rsidRPr="000A3FB6">
        <w:rPr>
          <w:rFonts w:ascii="Cambria" w:hAnsi="Cambria"/>
          <w:lang w:val="es-PE"/>
        </w:rPr>
        <w:t>Resolución de la Cámara de la Tercera Sección de Occidente, Excusa No. APN 32/02, de 28 de mayo de 2002. Anexo 3 a la comunicación del Estado de 10 de enero de 2019.</w:t>
      </w:r>
    </w:p>
  </w:footnote>
  <w:footnote w:id="16">
    <w:p w14:paraId="4AA0186F" w14:textId="77777777"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C05784">
        <w:rPr>
          <w:rFonts w:ascii="Cambria" w:hAnsi="Cambria"/>
          <w:lang w:val="es-US"/>
        </w:rPr>
        <w:t xml:space="preserve"> </w:t>
      </w:r>
      <w:r w:rsidRPr="000A3FB6">
        <w:rPr>
          <w:rFonts w:ascii="Cambria" w:hAnsi="Cambria"/>
          <w:lang w:val="es-PE"/>
        </w:rPr>
        <w:t>Comunicación de la parte peticionaria de 13 de noviembre de 2015.</w:t>
      </w:r>
    </w:p>
  </w:footnote>
  <w:footnote w:id="17">
    <w:p w14:paraId="7AD643BF" w14:textId="77777777" w:rsidR="00683FE9" w:rsidRPr="000A3FB6" w:rsidRDefault="00683FE9" w:rsidP="000A3FB6">
      <w:pPr>
        <w:pStyle w:val="FootnoteText"/>
        <w:rPr>
          <w:rFonts w:ascii="Cambria" w:hAnsi="Cambria"/>
          <w:lang w:val="es-ES_tradnl"/>
        </w:rPr>
      </w:pPr>
      <w:r w:rsidRPr="000A3FB6">
        <w:rPr>
          <w:rStyle w:val="FootnoteReference"/>
          <w:rFonts w:ascii="Cambria" w:hAnsi="Cambria"/>
        </w:rPr>
        <w:footnoteRef/>
      </w:r>
      <w:r w:rsidRPr="00C05784">
        <w:rPr>
          <w:rFonts w:ascii="Cambria" w:hAnsi="Cambria"/>
          <w:lang w:val="es-US"/>
        </w:rPr>
        <w:t xml:space="preserve"> </w:t>
      </w:r>
      <w:r w:rsidRPr="000A3FB6">
        <w:rPr>
          <w:rFonts w:ascii="Cambria" w:hAnsi="Cambria"/>
          <w:lang w:val="es-PE"/>
        </w:rPr>
        <w:t>Comunicación del Estado de 10 de enero de 2019.</w:t>
      </w:r>
    </w:p>
  </w:footnote>
  <w:footnote w:id="18">
    <w:p w14:paraId="08F1E609" w14:textId="72EA3D7C"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C05784">
        <w:rPr>
          <w:rFonts w:ascii="Cambria" w:hAnsi="Cambria"/>
          <w:lang w:val="es-US"/>
        </w:rPr>
        <w:t xml:space="preserve"> </w:t>
      </w:r>
      <w:r>
        <w:rPr>
          <w:rFonts w:ascii="Cambria" w:hAnsi="Cambria"/>
          <w:lang w:val="es-US"/>
        </w:rPr>
        <w:t xml:space="preserve">Anexo 2. </w:t>
      </w:r>
      <w:r w:rsidRPr="000A3FB6">
        <w:rPr>
          <w:rFonts w:ascii="Cambria" w:hAnsi="Cambria"/>
          <w:lang w:val="es-PE"/>
        </w:rPr>
        <w:t>Resolución de la Cámara de la Tercera Sección de Occidente, Excusa No. APN 36/03, de 7 de octubre de 2003. Anexo 3 a la comunicación del Estado de 10 de enero de 2019.</w:t>
      </w:r>
    </w:p>
  </w:footnote>
  <w:footnote w:id="19">
    <w:p w14:paraId="43128D42" w14:textId="1F45B5EF"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C05784">
        <w:rPr>
          <w:rFonts w:ascii="Cambria" w:hAnsi="Cambria"/>
          <w:lang w:val="es-US"/>
        </w:rPr>
        <w:t xml:space="preserve"> </w:t>
      </w:r>
      <w:r>
        <w:rPr>
          <w:rFonts w:ascii="Cambria" w:hAnsi="Cambria"/>
          <w:lang w:val="es-US"/>
        </w:rPr>
        <w:t xml:space="preserve">Anexo 2. </w:t>
      </w:r>
      <w:r w:rsidRPr="000A3FB6">
        <w:rPr>
          <w:rFonts w:ascii="Cambria" w:hAnsi="Cambria"/>
          <w:lang w:val="es-PE"/>
        </w:rPr>
        <w:t>Resolución de la Cámara de la Tercera Sección de Occidente, Excusa No. APN 36/03, de 7 de octubre de 2003. Anexo 3 a la comunicación del Estado de 10 de enero de 2019.</w:t>
      </w:r>
    </w:p>
  </w:footnote>
  <w:footnote w:id="20">
    <w:p w14:paraId="39C1FA57" w14:textId="77777777"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C05784">
        <w:rPr>
          <w:rFonts w:ascii="Cambria" w:hAnsi="Cambria"/>
          <w:lang w:val="es-US"/>
        </w:rPr>
        <w:t xml:space="preserve"> </w:t>
      </w:r>
      <w:r w:rsidRPr="000A3FB6">
        <w:rPr>
          <w:rFonts w:ascii="Cambria" w:hAnsi="Cambria"/>
          <w:lang w:val="es-PE"/>
        </w:rPr>
        <w:t>Comunicación de la parte peticionaria de 13 de noviembre de 2015.</w:t>
      </w:r>
    </w:p>
  </w:footnote>
  <w:footnote w:id="21">
    <w:p w14:paraId="61AD9B84" w14:textId="50615D47"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C05784">
        <w:rPr>
          <w:rFonts w:ascii="Cambria" w:hAnsi="Cambria"/>
          <w:lang w:val="es-US"/>
        </w:rPr>
        <w:t xml:space="preserve"> </w:t>
      </w:r>
      <w:r>
        <w:rPr>
          <w:rFonts w:ascii="Cambria" w:hAnsi="Cambria"/>
          <w:lang w:val="es-US"/>
        </w:rPr>
        <w:t xml:space="preserve">Anexo 2. </w:t>
      </w:r>
      <w:r w:rsidRPr="000A3FB6">
        <w:rPr>
          <w:rFonts w:ascii="Cambria" w:hAnsi="Cambria"/>
          <w:lang w:val="es-PE"/>
        </w:rPr>
        <w:t>Resolución Ref. 34/03 del Juzgado de Primera Instancia de Atiquizaya, 19 de mayo de 2004. Anexo 1 a la comunicación del Estado de 10 de enero de 2019.</w:t>
      </w:r>
    </w:p>
  </w:footnote>
  <w:footnote w:id="22">
    <w:p w14:paraId="5C3414D5" w14:textId="42444343"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C05784">
        <w:rPr>
          <w:rFonts w:ascii="Cambria" w:hAnsi="Cambria"/>
          <w:lang w:val="es-US"/>
        </w:rPr>
        <w:t xml:space="preserve"> </w:t>
      </w:r>
      <w:r>
        <w:rPr>
          <w:rFonts w:ascii="Cambria" w:hAnsi="Cambria"/>
          <w:lang w:val="es-US"/>
        </w:rPr>
        <w:t xml:space="preserve">Anexo 1. </w:t>
      </w:r>
      <w:r w:rsidRPr="000A3FB6">
        <w:rPr>
          <w:rFonts w:ascii="Cambria" w:hAnsi="Cambria"/>
          <w:lang w:val="es-PE"/>
        </w:rPr>
        <w:t>Resolución de la Cámara de la Tercera Sección de Occidente, 20 de julio de 2004.  Anexo 1 a la comunicación de la parte peticionaria de 28 de julio de 2005.</w:t>
      </w:r>
    </w:p>
  </w:footnote>
  <w:footnote w:id="23">
    <w:p w14:paraId="55100F36" w14:textId="4FD52C58"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C05784">
        <w:rPr>
          <w:rFonts w:ascii="Cambria" w:hAnsi="Cambria"/>
          <w:lang w:val="es-US"/>
        </w:rPr>
        <w:t xml:space="preserve"> </w:t>
      </w:r>
      <w:r>
        <w:rPr>
          <w:rFonts w:ascii="Cambria" w:hAnsi="Cambria"/>
          <w:lang w:val="es-US"/>
        </w:rPr>
        <w:t xml:space="preserve">Anexo 1. </w:t>
      </w:r>
      <w:r w:rsidRPr="000A3FB6">
        <w:rPr>
          <w:rFonts w:ascii="Cambria" w:hAnsi="Cambria"/>
          <w:lang w:val="es-PE"/>
        </w:rPr>
        <w:t>Resolución de la Cámara de la Tercera Sección de Occidente, 20 de julio de 2004.  Anexo 1 a la comunicación de la parte peticionaria de 28 de julio de 2005.</w:t>
      </w:r>
    </w:p>
  </w:footnote>
  <w:footnote w:id="24">
    <w:p w14:paraId="642470AB" w14:textId="77777777" w:rsidR="00683FE9" w:rsidRPr="000A3FB6" w:rsidRDefault="00683FE9" w:rsidP="000A3FB6">
      <w:pPr>
        <w:jc w:val="both"/>
        <w:rPr>
          <w:rFonts w:ascii="Cambria" w:eastAsia="Times New Roman" w:hAnsi="Cambria"/>
          <w:sz w:val="16"/>
          <w:szCs w:val="16"/>
          <w:bdr w:val="none" w:sz="0" w:space="0" w:color="auto"/>
          <w:lang w:val="es-ES_tradnl"/>
        </w:rPr>
      </w:pPr>
      <w:r w:rsidRPr="000A3FB6">
        <w:rPr>
          <w:rStyle w:val="FootnoteReference"/>
          <w:rFonts w:ascii="Cambria" w:hAnsi="Cambria"/>
          <w:sz w:val="16"/>
          <w:szCs w:val="16"/>
          <w:lang w:val="es-ES_tradnl"/>
        </w:rPr>
        <w:footnoteRef/>
      </w:r>
      <w:r w:rsidRPr="000A3FB6">
        <w:rPr>
          <w:rFonts w:ascii="Cambria" w:hAnsi="Cambria"/>
          <w:sz w:val="16"/>
          <w:szCs w:val="16"/>
          <w:lang w:val="es-ES_tradnl"/>
        </w:rPr>
        <w:t xml:space="preserve"> Artículo 8.1. </w:t>
      </w:r>
      <w:r w:rsidRPr="000A3FB6">
        <w:rPr>
          <w:rFonts w:ascii="Cambria" w:eastAsia="Times New Roman" w:hAnsi="Cambria" w:cs="Tahoma"/>
          <w:color w:val="000000"/>
          <w:sz w:val="16"/>
          <w:szCs w:val="16"/>
          <w:bdr w:val="none" w:sz="0" w:space="0" w:color="auto"/>
          <w:lang w:val="es-ES_tradnl"/>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25">
    <w:p w14:paraId="65033918" w14:textId="77777777" w:rsidR="00683FE9" w:rsidRPr="000A3FB6" w:rsidRDefault="00683FE9" w:rsidP="000A3FB6">
      <w:pPr>
        <w:jc w:val="both"/>
        <w:rPr>
          <w:rFonts w:ascii="Cambria" w:eastAsia="Times New Roman" w:hAnsi="Cambria"/>
          <w:sz w:val="16"/>
          <w:szCs w:val="16"/>
          <w:bdr w:val="none" w:sz="0" w:space="0" w:color="auto"/>
          <w:lang w:val="es-ES_tradnl"/>
        </w:rPr>
      </w:pPr>
      <w:r w:rsidRPr="000A3FB6">
        <w:rPr>
          <w:rStyle w:val="FootnoteReference"/>
          <w:rFonts w:ascii="Cambria" w:hAnsi="Cambria"/>
          <w:sz w:val="16"/>
          <w:szCs w:val="16"/>
          <w:lang w:val="es-ES_tradnl"/>
        </w:rPr>
        <w:footnoteRef/>
      </w:r>
      <w:r w:rsidRPr="000A3FB6">
        <w:rPr>
          <w:rFonts w:ascii="Cambria" w:hAnsi="Cambria"/>
          <w:sz w:val="16"/>
          <w:szCs w:val="16"/>
          <w:lang w:val="es-ES_tradnl"/>
        </w:rPr>
        <w:t xml:space="preserve"> Artículo 25.1. </w:t>
      </w:r>
      <w:r w:rsidRPr="000A3FB6">
        <w:rPr>
          <w:rFonts w:ascii="Cambria" w:eastAsia="Times New Roman" w:hAnsi="Cambria" w:cs="Tahoma"/>
          <w:color w:val="000000"/>
          <w:sz w:val="16"/>
          <w:szCs w:val="16"/>
          <w:bdr w:val="none" w:sz="0" w:space="0" w:color="auto"/>
          <w:lang w:val="es-ES_tradnl"/>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26">
    <w:p w14:paraId="47B239EA" w14:textId="77777777" w:rsidR="00683FE9" w:rsidRPr="00C05784" w:rsidRDefault="00683FE9" w:rsidP="000A3FB6">
      <w:pPr>
        <w:jc w:val="both"/>
        <w:rPr>
          <w:rFonts w:ascii="Cambria" w:eastAsia="Times New Roman" w:hAnsi="Cambria"/>
          <w:sz w:val="16"/>
          <w:szCs w:val="16"/>
          <w:bdr w:val="none" w:sz="0" w:space="0" w:color="auto"/>
          <w:lang w:val="es-US"/>
        </w:rPr>
      </w:pPr>
      <w:r w:rsidRPr="000A3FB6">
        <w:rPr>
          <w:rStyle w:val="FootnoteReference"/>
          <w:rFonts w:ascii="Cambria" w:hAnsi="Cambria"/>
          <w:sz w:val="16"/>
          <w:szCs w:val="16"/>
          <w:lang w:val="es-ES_tradnl"/>
        </w:rPr>
        <w:footnoteRef/>
      </w:r>
      <w:r w:rsidRPr="000A3FB6">
        <w:rPr>
          <w:rFonts w:ascii="Cambria" w:hAnsi="Cambria"/>
          <w:sz w:val="16"/>
          <w:szCs w:val="16"/>
          <w:lang w:val="es-ES_tradnl"/>
        </w:rPr>
        <w:t xml:space="preserve"> Artículo 1.1. </w:t>
      </w:r>
      <w:r w:rsidRPr="000A3FB6">
        <w:rPr>
          <w:rFonts w:ascii="Cambria" w:eastAsia="Times New Roman" w:hAnsi="Cambria" w:cs="Tahoma"/>
          <w:color w:val="000000"/>
          <w:sz w:val="16"/>
          <w:szCs w:val="16"/>
          <w:bdr w:val="none" w:sz="0" w:space="0" w:color="auto"/>
          <w:lang w:val="es-ES_tradnl"/>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27">
    <w:p w14:paraId="1B64AAF0" w14:textId="77777777" w:rsidR="00683FE9" w:rsidRPr="00AE0379" w:rsidRDefault="00683FE9" w:rsidP="000A3FB6">
      <w:pPr>
        <w:pStyle w:val="FootnoteText"/>
        <w:rPr>
          <w:rFonts w:ascii="Cambria" w:hAnsi="Cambria"/>
          <w:lang w:val="es-AR"/>
        </w:rPr>
      </w:pPr>
      <w:r w:rsidRPr="000A3FB6">
        <w:rPr>
          <w:rStyle w:val="FootnoteReference"/>
          <w:rFonts w:ascii="Cambria" w:hAnsi="Cambria"/>
        </w:rPr>
        <w:footnoteRef/>
      </w:r>
      <w:r w:rsidRPr="000A3FB6">
        <w:rPr>
          <w:rFonts w:ascii="Cambria" w:hAnsi="Cambria"/>
          <w:lang w:val="es-US"/>
        </w:rPr>
        <w:t xml:space="preserve"> Corte IDH. </w:t>
      </w:r>
      <w:r w:rsidRPr="000A3FB6">
        <w:rPr>
          <w:rFonts w:ascii="Cambria" w:hAnsi="Cambria"/>
          <w:i/>
          <w:lang w:val="es-AR"/>
        </w:rPr>
        <w:t>Caso Rodríguez Vera y otros (Desaparecidos del Palacio de Justicia) vs. Colombia</w:t>
      </w:r>
      <w:r w:rsidRPr="000A3FB6">
        <w:rPr>
          <w:rFonts w:ascii="Cambria" w:hAnsi="Cambria"/>
          <w:lang w:val="es-AR"/>
        </w:rPr>
        <w:t xml:space="preserve">. Excepciones Preliminares, Fondo, </w:t>
      </w:r>
      <w:r w:rsidRPr="00AE0379">
        <w:rPr>
          <w:rFonts w:ascii="Cambria" w:hAnsi="Cambria"/>
          <w:lang w:val="es-AR"/>
        </w:rPr>
        <w:t>Reparaciones y Costas. Sentencia de 14 de noviembre de 2014. Serie C No. 287, párr. 435</w:t>
      </w:r>
    </w:p>
  </w:footnote>
  <w:footnote w:id="28">
    <w:p w14:paraId="7FFE865C" w14:textId="77777777" w:rsidR="00683FE9" w:rsidRPr="00AE0379" w:rsidRDefault="00683FE9" w:rsidP="000A3FB6">
      <w:pPr>
        <w:pStyle w:val="FootnoteText"/>
        <w:rPr>
          <w:rFonts w:ascii="Cambria" w:hAnsi="Cambria"/>
          <w:lang w:val="es-AR"/>
        </w:rPr>
      </w:pPr>
      <w:r w:rsidRPr="00AE0379">
        <w:rPr>
          <w:rStyle w:val="FootnoteReference"/>
          <w:rFonts w:ascii="Cambria" w:hAnsi="Cambria"/>
        </w:rPr>
        <w:footnoteRef/>
      </w:r>
      <w:r w:rsidRPr="00AE0379">
        <w:rPr>
          <w:rFonts w:ascii="Cambria" w:hAnsi="Cambria"/>
          <w:lang w:val="es-AR"/>
        </w:rPr>
        <w:t xml:space="preserve"> </w:t>
      </w:r>
      <w:r w:rsidRPr="00AE0379">
        <w:rPr>
          <w:rStyle w:val="Strong"/>
          <w:rFonts w:ascii="Cambria" w:hAnsi="Cambria"/>
          <w:b w:val="0"/>
          <w:bCs w:val="0"/>
          <w:shd w:val="clear" w:color="auto" w:fill="FFFFFF"/>
          <w:lang w:val="es-AR"/>
        </w:rPr>
        <w:t xml:space="preserve">Corte IDH. </w:t>
      </w:r>
      <w:r w:rsidRPr="00AE0379">
        <w:rPr>
          <w:rStyle w:val="Strong"/>
          <w:rFonts w:ascii="Cambria" w:hAnsi="Cambria"/>
          <w:b w:val="0"/>
          <w:bCs w:val="0"/>
          <w:i/>
          <w:shd w:val="clear" w:color="auto" w:fill="FFFFFF"/>
          <w:lang w:val="es-AR"/>
        </w:rPr>
        <w:t>Caso García Lucero y otras Vs. Chile</w:t>
      </w:r>
      <w:r w:rsidRPr="00AE0379">
        <w:rPr>
          <w:rStyle w:val="Strong"/>
          <w:rFonts w:ascii="Cambria" w:hAnsi="Cambria"/>
          <w:b w:val="0"/>
          <w:bCs w:val="0"/>
          <w:shd w:val="clear" w:color="auto" w:fill="FFFFFF"/>
          <w:lang w:val="es-AR"/>
        </w:rPr>
        <w:t>. Excepción Preliminar, Fondo y Reparaciones. Sentencia de 28 de agosto de 2013. Serie C No. 267, párr. 161.</w:t>
      </w:r>
    </w:p>
  </w:footnote>
  <w:footnote w:id="29">
    <w:p w14:paraId="62757B12" w14:textId="77777777" w:rsidR="00683FE9" w:rsidRPr="00AE0379" w:rsidRDefault="00683FE9" w:rsidP="000A3FB6">
      <w:pPr>
        <w:jc w:val="both"/>
        <w:rPr>
          <w:rFonts w:ascii="Cambria" w:hAnsi="Cambria"/>
          <w:sz w:val="16"/>
          <w:szCs w:val="16"/>
          <w:lang w:val="es-ES" w:eastAsia="es-ES"/>
        </w:rPr>
      </w:pPr>
      <w:r w:rsidRPr="00AE0379">
        <w:rPr>
          <w:rStyle w:val="FootnoteReference"/>
          <w:rFonts w:ascii="Cambria" w:hAnsi="Cambria"/>
          <w:sz w:val="16"/>
          <w:szCs w:val="16"/>
        </w:rPr>
        <w:footnoteRef/>
      </w:r>
      <w:r w:rsidRPr="00AE0379">
        <w:rPr>
          <w:rFonts w:ascii="Cambria" w:hAnsi="Cambria"/>
          <w:sz w:val="16"/>
          <w:szCs w:val="16"/>
          <w:lang w:val="es-CO"/>
        </w:rPr>
        <w:t xml:space="preserve"> </w:t>
      </w:r>
      <w:r w:rsidRPr="00AE0379">
        <w:rPr>
          <w:rFonts w:ascii="Cambria" w:hAnsi="Cambria"/>
          <w:sz w:val="16"/>
          <w:szCs w:val="16"/>
          <w:lang w:val="es-ES" w:eastAsia="es-ES"/>
        </w:rPr>
        <w:t>CIDH. Informe No. 37/00. Caso 11.481. Monseñor Oscar Arnulfo Romero y Galdámez. El Salvador. 13 de abril de 2000, párr. 80.</w:t>
      </w:r>
    </w:p>
  </w:footnote>
  <w:footnote w:id="30">
    <w:p w14:paraId="4FFF40EC" w14:textId="77777777" w:rsidR="00683FE9" w:rsidRPr="00AE0379" w:rsidRDefault="00683FE9" w:rsidP="000A3FB6">
      <w:pPr>
        <w:pStyle w:val="FootnoteText"/>
        <w:rPr>
          <w:rFonts w:ascii="Cambria" w:hAnsi="Cambria"/>
          <w:lang w:val="es-AR"/>
        </w:rPr>
      </w:pPr>
      <w:r w:rsidRPr="00AE0379">
        <w:rPr>
          <w:rStyle w:val="FootnoteReference"/>
          <w:rFonts w:ascii="Cambria" w:hAnsi="Cambria"/>
        </w:rPr>
        <w:footnoteRef/>
      </w:r>
      <w:r w:rsidRPr="00AE0379">
        <w:rPr>
          <w:rFonts w:ascii="Cambria" w:hAnsi="Cambria"/>
          <w:lang w:val="es-AR"/>
        </w:rPr>
        <w:t xml:space="preserve"> </w:t>
      </w:r>
      <w:r w:rsidRPr="00AE0379">
        <w:rPr>
          <w:rStyle w:val="Strong"/>
          <w:rFonts w:ascii="Cambria" w:hAnsi="Cambria"/>
          <w:b w:val="0"/>
          <w:bCs w:val="0"/>
          <w:shd w:val="clear" w:color="auto" w:fill="FFFFFF"/>
          <w:lang w:val="es-AR"/>
        </w:rPr>
        <w:t xml:space="preserve">CIDH. </w:t>
      </w:r>
      <w:r>
        <w:rPr>
          <w:rStyle w:val="Strong"/>
          <w:rFonts w:ascii="Cambria" w:hAnsi="Cambria"/>
          <w:b w:val="0"/>
          <w:bCs w:val="0"/>
          <w:shd w:val="clear" w:color="auto" w:fill="FFFFFF"/>
          <w:lang w:val="es-AR"/>
        </w:rPr>
        <w:t xml:space="preserve">Informe temático. </w:t>
      </w:r>
      <w:r w:rsidRPr="00AE0379">
        <w:rPr>
          <w:rStyle w:val="Strong"/>
          <w:rFonts w:ascii="Cambria" w:hAnsi="Cambria"/>
          <w:b w:val="0"/>
          <w:bCs w:val="0"/>
          <w:i/>
          <w:shd w:val="clear" w:color="auto" w:fill="FFFFFF"/>
          <w:lang w:val="es-AR"/>
        </w:rPr>
        <w:t>Derecho a la Verdad en las Américas</w:t>
      </w:r>
      <w:r w:rsidRPr="00AE0379">
        <w:rPr>
          <w:rStyle w:val="Strong"/>
          <w:rFonts w:ascii="Cambria" w:hAnsi="Cambria"/>
          <w:b w:val="0"/>
          <w:bCs w:val="0"/>
          <w:shd w:val="clear" w:color="auto" w:fill="FFFFFF"/>
          <w:lang w:val="es-AR"/>
        </w:rPr>
        <w:t xml:space="preserve">. </w:t>
      </w:r>
      <w:r>
        <w:rPr>
          <w:rFonts w:ascii="Cambria" w:hAnsi="Cambria"/>
          <w:lang w:val="es-AR"/>
        </w:rPr>
        <w:t>13 agosto 2014, p</w:t>
      </w:r>
      <w:r w:rsidRPr="00AE0379">
        <w:rPr>
          <w:rFonts w:ascii="Cambria" w:hAnsi="Cambria"/>
          <w:lang w:val="es-AR"/>
        </w:rPr>
        <w:t>árr. 80</w:t>
      </w:r>
      <w:r>
        <w:rPr>
          <w:rFonts w:ascii="Cambria" w:hAnsi="Cambria"/>
          <w:lang w:val="es-AR"/>
        </w:rPr>
        <w:t xml:space="preserve">. </w:t>
      </w:r>
      <w:r w:rsidRPr="00AE0379">
        <w:rPr>
          <w:rStyle w:val="Strong"/>
          <w:rFonts w:ascii="Cambria" w:hAnsi="Cambria"/>
          <w:b w:val="0"/>
          <w:bCs w:val="0"/>
          <w:shd w:val="clear" w:color="auto" w:fill="FFFFFF"/>
          <w:lang w:val="es-AR"/>
        </w:rPr>
        <w:t xml:space="preserve">Corte IDH. </w:t>
      </w:r>
      <w:r w:rsidRPr="00AE0379">
        <w:rPr>
          <w:rStyle w:val="Strong"/>
          <w:rFonts w:ascii="Cambria" w:hAnsi="Cambria"/>
          <w:b w:val="0"/>
          <w:bCs w:val="0"/>
          <w:i/>
          <w:shd w:val="clear" w:color="auto" w:fill="FFFFFF"/>
          <w:lang w:val="es-AR"/>
        </w:rPr>
        <w:t>Caso González Medina y familiares Vs. República Dominicana</w:t>
      </w:r>
      <w:r w:rsidRPr="00AE0379">
        <w:rPr>
          <w:rStyle w:val="Strong"/>
          <w:rFonts w:ascii="Cambria" w:hAnsi="Cambria"/>
          <w:b w:val="0"/>
          <w:bCs w:val="0"/>
          <w:shd w:val="clear" w:color="auto" w:fill="FFFFFF"/>
          <w:lang w:val="es-AR"/>
        </w:rPr>
        <w:t>. Excepciones Preliminares, Fondo, Reparaciones y Costas. Sentencia de 27 de f</w:t>
      </w:r>
      <w:r>
        <w:rPr>
          <w:rStyle w:val="Strong"/>
          <w:rFonts w:ascii="Cambria" w:hAnsi="Cambria"/>
          <w:b w:val="0"/>
          <w:bCs w:val="0"/>
          <w:shd w:val="clear" w:color="auto" w:fill="FFFFFF"/>
          <w:lang w:val="es-AR"/>
        </w:rPr>
        <w:t>ebrero de 2012. Serie C No. 240, p</w:t>
      </w:r>
      <w:r w:rsidRPr="00AE0379">
        <w:rPr>
          <w:rStyle w:val="Strong"/>
          <w:rFonts w:ascii="Cambria" w:hAnsi="Cambria"/>
          <w:b w:val="0"/>
          <w:bCs w:val="0"/>
          <w:shd w:val="clear" w:color="auto" w:fill="FFFFFF"/>
          <w:lang w:val="es-AR"/>
        </w:rPr>
        <w:t xml:space="preserve">árr. 251. </w:t>
      </w:r>
    </w:p>
  </w:footnote>
  <w:footnote w:id="31">
    <w:p w14:paraId="0E6A8058" w14:textId="77777777"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C05784">
        <w:rPr>
          <w:rFonts w:ascii="Cambria" w:hAnsi="Cambria"/>
          <w:lang w:val="es-AR"/>
        </w:rPr>
        <w:t xml:space="preserve"> </w:t>
      </w:r>
      <w:r w:rsidRPr="000A3FB6">
        <w:rPr>
          <w:rStyle w:val="Strong"/>
          <w:rFonts w:ascii="Cambria" w:hAnsi="Cambria"/>
          <w:b w:val="0"/>
          <w:bCs w:val="0"/>
          <w:shd w:val="clear" w:color="auto" w:fill="FFFFFF"/>
          <w:lang w:val="es-AR"/>
        </w:rPr>
        <w:t>Corte IDH.</w:t>
      </w:r>
      <w:r w:rsidRPr="000A3FB6">
        <w:rPr>
          <w:rFonts w:ascii="Cambria" w:eastAsia="Times New Roman" w:hAnsi="Cambria" w:cs="Arial"/>
          <w:color w:val="494848"/>
          <w:bdr w:val="none" w:sz="0" w:space="0" w:color="auto"/>
          <w:shd w:val="clear" w:color="auto" w:fill="FFFFFF"/>
          <w:lang w:val="es-PE" w:eastAsia="es-PE"/>
        </w:rPr>
        <w:t xml:space="preserve"> </w:t>
      </w:r>
      <w:r w:rsidRPr="000A3FB6">
        <w:rPr>
          <w:rFonts w:ascii="Cambria" w:hAnsi="Cambria"/>
          <w:i/>
          <w:iCs/>
          <w:shd w:val="clear" w:color="auto" w:fill="FFFFFF"/>
          <w:lang w:val="es-PE"/>
        </w:rPr>
        <w:t>Caso de los Empleados de la Fábrica de Fuegos de Santo Antônio de Jesus Vs. Brasil</w:t>
      </w:r>
      <w:r w:rsidRPr="000A3FB6">
        <w:rPr>
          <w:rFonts w:ascii="Cambria" w:hAnsi="Cambria"/>
          <w:shd w:val="clear" w:color="auto" w:fill="FFFFFF"/>
          <w:lang w:val="es-PE"/>
        </w:rPr>
        <w:t xml:space="preserve">. Excepciones Preliminares, Fondo, Reparaciones y Costas. Sentencia de 15 de </w:t>
      </w:r>
      <w:r>
        <w:rPr>
          <w:rFonts w:ascii="Cambria" w:hAnsi="Cambria"/>
          <w:shd w:val="clear" w:color="auto" w:fill="FFFFFF"/>
          <w:lang w:val="es-PE"/>
        </w:rPr>
        <w:t>julio de 2020. Serie C No. 407, p</w:t>
      </w:r>
      <w:r w:rsidRPr="000A3FB6">
        <w:rPr>
          <w:rFonts w:ascii="Cambria" w:hAnsi="Cambria"/>
          <w:shd w:val="clear" w:color="auto" w:fill="FFFFFF"/>
          <w:lang w:val="es-PE"/>
        </w:rPr>
        <w:t>árr. 220.</w:t>
      </w:r>
    </w:p>
  </w:footnote>
  <w:footnote w:id="32">
    <w:p w14:paraId="26CA64F2" w14:textId="77777777" w:rsidR="00683FE9" w:rsidRPr="000A3FB6" w:rsidRDefault="00683FE9" w:rsidP="000A3FB6">
      <w:pPr>
        <w:pStyle w:val="FootnoteText"/>
        <w:rPr>
          <w:rFonts w:ascii="Cambria" w:hAnsi="Cambria"/>
          <w:lang w:val="es-AR"/>
        </w:rPr>
      </w:pPr>
      <w:r w:rsidRPr="000A3FB6">
        <w:rPr>
          <w:rStyle w:val="FootnoteReference"/>
          <w:rFonts w:ascii="Cambria" w:hAnsi="Cambria"/>
        </w:rPr>
        <w:footnoteRef/>
      </w:r>
      <w:r w:rsidRPr="000A3FB6">
        <w:rPr>
          <w:rFonts w:ascii="Cambria" w:hAnsi="Cambria"/>
          <w:lang w:val="es-AR"/>
        </w:rPr>
        <w:t xml:space="preserve"> </w:t>
      </w:r>
      <w:r w:rsidRPr="000A3FB6">
        <w:rPr>
          <w:rStyle w:val="Strong"/>
          <w:rFonts w:ascii="Cambria" w:hAnsi="Cambria"/>
          <w:b w:val="0"/>
          <w:bCs w:val="0"/>
          <w:shd w:val="clear" w:color="auto" w:fill="FFFFFF"/>
          <w:lang w:val="es-AR"/>
        </w:rPr>
        <w:t xml:space="preserve">Corte IDH. </w:t>
      </w:r>
      <w:r w:rsidRPr="000A3FB6">
        <w:rPr>
          <w:rStyle w:val="Strong"/>
          <w:rFonts w:ascii="Cambria" w:hAnsi="Cambria"/>
          <w:b w:val="0"/>
          <w:bCs w:val="0"/>
          <w:i/>
          <w:shd w:val="clear" w:color="auto" w:fill="FFFFFF"/>
          <w:lang w:val="es-AR"/>
        </w:rPr>
        <w:t>Caso Coc Max y otros (Masacre de Xamán) Vs. Guatemala</w:t>
      </w:r>
      <w:r w:rsidRPr="000A3FB6">
        <w:rPr>
          <w:rStyle w:val="Strong"/>
          <w:rFonts w:ascii="Cambria" w:hAnsi="Cambria"/>
          <w:b w:val="0"/>
          <w:bCs w:val="0"/>
          <w:shd w:val="clear" w:color="auto" w:fill="FFFFFF"/>
          <w:lang w:val="es-AR"/>
        </w:rPr>
        <w:t>. Fondo, Reparaciones y Costas. Sentencia de 22 de agosto de 2018. Serie C No.</w:t>
      </w:r>
      <w:r>
        <w:rPr>
          <w:rStyle w:val="Strong"/>
          <w:rFonts w:ascii="Cambria" w:hAnsi="Cambria"/>
          <w:b w:val="0"/>
          <w:bCs w:val="0"/>
          <w:shd w:val="clear" w:color="auto" w:fill="FFFFFF"/>
          <w:lang w:val="es-AR"/>
        </w:rPr>
        <w:t xml:space="preserve"> 356, p</w:t>
      </w:r>
      <w:r w:rsidRPr="000A3FB6">
        <w:rPr>
          <w:rStyle w:val="Strong"/>
          <w:rFonts w:ascii="Cambria" w:hAnsi="Cambria"/>
          <w:b w:val="0"/>
          <w:bCs w:val="0"/>
          <w:shd w:val="clear" w:color="auto" w:fill="FFFFFF"/>
          <w:lang w:val="es-AR"/>
        </w:rPr>
        <w:t xml:space="preserve">árr. 81. </w:t>
      </w:r>
    </w:p>
  </w:footnote>
  <w:footnote w:id="33">
    <w:p w14:paraId="3D8F5B80" w14:textId="77777777" w:rsidR="00683FE9" w:rsidRPr="000A3FB6" w:rsidRDefault="00683FE9" w:rsidP="00B85401">
      <w:pPr>
        <w:jc w:val="both"/>
        <w:rPr>
          <w:rFonts w:ascii="Cambria" w:hAnsi="Cambria" w:cs="Arial"/>
          <w:sz w:val="16"/>
          <w:szCs w:val="16"/>
          <w:lang w:val="pt-BR"/>
        </w:rPr>
      </w:pPr>
      <w:r w:rsidRPr="000A3FB6">
        <w:rPr>
          <w:rStyle w:val="FootnoteReference"/>
          <w:rFonts w:ascii="Cambria" w:hAnsi="Cambria"/>
          <w:sz w:val="16"/>
          <w:szCs w:val="16"/>
          <w:lang w:val="es-ES"/>
        </w:rPr>
        <w:footnoteRef/>
      </w:r>
      <w:r>
        <w:rPr>
          <w:rFonts w:ascii="Cambria" w:hAnsi="Cambria"/>
          <w:sz w:val="16"/>
          <w:szCs w:val="16"/>
          <w:lang w:val="es-ES"/>
        </w:rPr>
        <w:t xml:space="preserve"> CIDH. Informe No. 55/97. Fondo.</w:t>
      </w:r>
      <w:r w:rsidRPr="000A3FB6">
        <w:rPr>
          <w:rFonts w:ascii="Cambria" w:hAnsi="Cambria"/>
          <w:sz w:val="16"/>
          <w:szCs w:val="16"/>
          <w:lang w:val="es-ES"/>
        </w:rPr>
        <w:t xml:space="preserve"> </w:t>
      </w:r>
      <w:r w:rsidRPr="00B4270D">
        <w:rPr>
          <w:rFonts w:ascii="Cambria" w:hAnsi="Cambria"/>
          <w:sz w:val="16"/>
          <w:szCs w:val="16"/>
          <w:lang w:val="es-ES"/>
        </w:rPr>
        <w:t>Juan Carlos Abella y Otros</w:t>
      </w:r>
      <w:r>
        <w:rPr>
          <w:rFonts w:ascii="Cambria" w:hAnsi="Cambria"/>
          <w:i/>
          <w:sz w:val="16"/>
          <w:szCs w:val="16"/>
          <w:lang w:val="es-ES"/>
        </w:rPr>
        <w:t xml:space="preserve">. </w:t>
      </w:r>
      <w:r w:rsidRPr="00C05784">
        <w:rPr>
          <w:rFonts w:ascii="Cambria" w:hAnsi="Cambria"/>
          <w:sz w:val="16"/>
          <w:szCs w:val="16"/>
          <w:lang w:val="pt-BR"/>
        </w:rPr>
        <w:t>Argentina.</w:t>
      </w:r>
      <w:r w:rsidRPr="00C05784">
        <w:rPr>
          <w:rFonts w:ascii="Cambria" w:hAnsi="Cambria"/>
          <w:i/>
          <w:sz w:val="16"/>
          <w:szCs w:val="16"/>
          <w:lang w:val="pt-BR"/>
        </w:rPr>
        <w:t xml:space="preserve"> </w:t>
      </w:r>
      <w:r w:rsidRPr="00C05784">
        <w:rPr>
          <w:rFonts w:ascii="Cambria" w:hAnsi="Cambria"/>
          <w:sz w:val="16"/>
          <w:szCs w:val="16"/>
          <w:lang w:val="pt-BR"/>
        </w:rPr>
        <w:t xml:space="preserve">18 de noviembre de 1997, párr. </w:t>
      </w:r>
      <w:r w:rsidRPr="000A3FB6">
        <w:rPr>
          <w:rFonts w:ascii="Cambria" w:hAnsi="Cambria"/>
          <w:sz w:val="16"/>
          <w:szCs w:val="16"/>
          <w:lang w:val="pt-BR"/>
        </w:rPr>
        <w:t>412.</w:t>
      </w:r>
    </w:p>
  </w:footnote>
  <w:footnote w:id="34">
    <w:p w14:paraId="3FB61132" w14:textId="77777777" w:rsidR="00683FE9" w:rsidRPr="000A3FB6" w:rsidRDefault="00683FE9" w:rsidP="00B85401">
      <w:pPr>
        <w:pStyle w:val="FootnoteText"/>
        <w:rPr>
          <w:rFonts w:ascii="Cambria" w:hAnsi="Cambria"/>
          <w:lang w:val="es-ES"/>
        </w:rPr>
      </w:pPr>
      <w:r w:rsidRPr="000A3FB6">
        <w:rPr>
          <w:rStyle w:val="FootnoteReference"/>
          <w:rFonts w:ascii="Cambria" w:hAnsi="Cambria"/>
          <w:lang w:val="es-ES"/>
        </w:rPr>
        <w:footnoteRef/>
      </w:r>
      <w:r>
        <w:rPr>
          <w:rFonts w:ascii="Cambria" w:hAnsi="Cambria"/>
          <w:lang w:val="pt-BR"/>
        </w:rPr>
        <w:t xml:space="preserve"> CIDH.</w:t>
      </w:r>
      <w:r w:rsidRPr="000A3FB6">
        <w:rPr>
          <w:rFonts w:ascii="Cambria" w:hAnsi="Cambria"/>
          <w:lang w:val="pt-BR"/>
        </w:rPr>
        <w:t xml:space="preserve"> Informe No. 25/09</w:t>
      </w:r>
      <w:r>
        <w:rPr>
          <w:rFonts w:ascii="Cambria" w:hAnsi="Cambria"/>
          <w:lang w:val="pt-BR"/>
        </w:rPr>
        <w:t>.</w:t>
      </w:r>
      <w:r w:rsidRPr="000A3FB6">
        <w:rPr>
          <w:rFonts w:ascii="Cambria" w:hAnsi="Cambria"/>
          <w:lang w:val="pt-BR"/>
        </w:rPr>
        <w:t xml:space="preserve"> Fondo. </w:t>
      </w:r>
      <w:r>
        <w:rPr>
          <w:rFonts w:ascii="Cambria" w:hAnsi="Cambria"/>
          <w:lang w:val="pt-BR"/>
        </w:rPr>
        <w:t>Sebastião Camargo Filho. Brasil.</w:t>
      </w:r>
      <w:r w:rsidRPr="000A3FB6">
        <w:rPr>
          <w:rFonts w:ascii="Cambria" w:hAnsi="Cambria"/>
          <w:lang w:val="pt-BR"/>
        </w:rPr>
        <w:t xml:space="preserve"> </w:t>
      </w:r>
      <w:r w:rsidRPr="00C05784">
        <w:rPr>
          <w:rFonts w:ascii="Cambria" w:hAnsi="Cambria"/>
          <w:lang w:val="es-US"/>
        </w:rPr>
        <w:t xml:space="preserve">19 de marzo de 2009, párr. </w:t>
      </w:r>
      <w:r w:rsidRPr="000A3FB6">
        <w:rPr>
          <w:rFonts w:ascii="Cambria" w:hAnsi="Cambria"/>
          <w:lang w:val="es-ES"/>
        </w:rPr>
        <w:t xml:space="preserve">109. </w:t>
      </w:r>
    </w:p>
  </w:footnote>
  <w:footnote w:id="35">
    <w:p w14:paraId="46BE80E2" w14:textId="77777777" w:rsidR="00683FE9" w:rsidRPr="000A3FB6" w:rsidRDefault="00683FE9" w:rsidP="00B85401">
      <w:pPr>
        <w:pStyle w:val="FootnoteText"/>
        <w:rPr>
          <w:rFonts w:ascii="Cambria" w:hAnsi="Cambria"/>
          <w:lang w:val="es-ES"/>
        </w:rPr>
      </w:pPr>
      <w:r w:rsidRPr="000A3FB6">
        <w:rPr>
          <w:rStyle w:val="FootnoteReference"/>
          <w:rFonts w:ascii="Cambria" w:hAnsi="Cambria"/>
          <w:lang w:val="es-ES"/>
        </w:rPr>
        <w:footnoteRef/>
      </w:r>
      <w:r w:rsidRPr="000A3FB6">
        <w:rPr>
          <w:rFonts w:ascii="Cambria" w:hAnsi="Cambria"/>
          <w:lang w:val="es-ES"/>
        </w:rPr>
        <w:t xml:space="preserve"> Corte IDH., </w:t>
      </w:r>
      <w:r w:rsidRPr="000A3FB6">
        <w:rPr>
          <w:rFonts w:ascii="Cambria" w:hAnsi="Cambria"/>
          <w:i/>
          <w:iCs/>
          <w:lang w:val="es-ES"/>
        </w:rPr>
        <w:t>Caso de los “Niños de la Calle” (Villagrán Morales y otros) Vs. Guatemala.</w:t>
      </w:r>
      <w:r w:rsidRPr="000A3FB6">
        <w:rPr>
          <w:rFonts w:ascii="Cambria" w:hAnsi="Cambria"/>
          <w:lang w:val="es-ES"/>
        </w:rPr>
        <w:t xml:space="preserve"> Sentencia de 19 de noviembre de 1999. Serie C No. 6</w:t>
      </w:r>
      <w:r>
        <w:rPr>
          <w:rFonts w:ascii="Cambria" w:hAnsi="Cambria"/>
          <w:lang w:val="es-ES"/>
        </w:rPr>
        <w:t>3, párr. 230. Ver también: CIDH.</w:t>
      </w:r>
      <w:r w:rsidRPr="000A3FB6">
        <w:rPr>
          <w:rFonts w:ascii="Cambria" w:hAnsi="Cambria"/>
          <w:lang w:val="es-ES"/>
        </w:rPr>
        <w:t xml:space="preserve"> </w:t>
      </w:r>
      <w:r w:rsidRPr="000A3FB6">
        <w:rPr>
          <w:rFonts w:ascii="Cambria" w:hAnsi="Cambria"/>
          <w:i/>
          <w:lang w:val="es-ES"/>
        </w:rPr>
        <w:t>Acceso a la Justicia para las Mujeres Víctimas de Violencia en las Américas</w:t>
      </w:r>
      <w:r>
        <w:rPr>
          <w:rFonts w:ascii="Cambria" w:hAnsi="Cambria"/>
          <w:lang w:val="es-ES"/>
        </w:rPr>
        <w:t xml:space="preserve">. </w:t>
      </w:r>
      <w:r w:rsidRPr="000A3FB6">
        <w:rPr>
          <w:rFonts w:ascii="Cambria" w:hAnsi="Cambria"/>
          <w:lang w:val="es-ES"/>
        </w:rPr>
        <w:t>20 de enero de 2007, párr. 41.</w:t>
      </w:r>
    </w:p>
  </w:footnote>
  <w:footnote w:id="36">
    <w:p w14:paraId="15633027" w14:textId="77777777" w:rsidR="00683FE9" w:rsidRPr="000A3FB6" w:rsidRDefault="00683FE9" w:rsidP="000A3FB6">
      <w:pPr>
        <w:pStyle w:val="FootnoteText"/>
        <w:rPr>
          <w:rFonts w:ascii="Cambria" w:hAnsi="Cambria"/>
          <w:lang w:val="es-AR"/>
        </w:rPr>
      </w:pPr>
      <w:r w:rsidRPr="000A3FB6">
        <w:rPr>
          <w:rStyle w:val="FootnoteReference"/>
          <w:rFonts w:ascii="Cambria" w:hAnsi="Cambria"/>
        </w:rPr>
        <w:footnoteRef/>
      </w:r>
      <w:r w:rsidRPr="000A3FB6">
        <w:rPr>
          <w:rFonts w:ascii="Cambria" w:hAnsi="Cambria"/>
          <w:lang w:val="es-US"/>
        </w:rPr>
        <w:t xml:space="preserve"> </w:t>
      </w:r>
      <w:r w:rsidRPr="000A3FB6">
        <w:rPr>
          <w:rStyle w:val="Strong"/>
          <w:rFonts w:ascii="Cambria" w:hAnsi="Cambria"/>
          <w:b w:val="0"/>
          <w:bCs w:val="0"/>
          <w:shd w:val="clear" w:color="auto" w:fill="FFFFFF"/>
          <w:lang w:val="es-US"/>
        </w:rPr>
        <w:t xml:space="preserve">Corte IDH. </w:t>
      </w:r>
      <w:r w:rsidRPr="000A3FB6">
        <w:rPr>
          <w:rStyle w:val="Strong"/>
          <w:rFonts w:ascii="Cambria" w:hAnsi="Cambria"/>
          <w:b w:val="0"/>
          <w:bCs w:val="0"/>
          <w:i/>
          <w:shd w:val="clear" w:color="auto" w:fill="FFFFFF"/>
          <w:lang w:val="es-US"/>
        </w:rPr>
        <w:t>Caso Herrera Ulloa Vs. Costa Rica</w:t>
      </w:r>
      <w:r w:rsidRPr="000A3FB6">
        <w:rPr>
          <w:rStyle w:val="Strong"/>
          <w:rFonts w:ascii="Cambria" w:hAnsi="Cambria"/>
          <w:b w:val="0"/>
          <w:bCs w:val="0"/>
          <w:shd w:val="clear" w:color="auto" w:fill="FFFFFF"/>
          <w:lang w:val="es-US"/>
        </w:rPr>
        <w:t xml:space="preserve">. </w:t>
      </w:r>
      <w:r w:rsidRPr="000A3FB6">
        <w:rPr>
          <w:rStyle w:val="Strong"/>
          <w:rFonts w:ascii="Cambria" w:hAnsi="Cambria"/>
          <w:b w:val="0"/>
          <w:bCs w:val="0"/>
          <w:shd w:val="clear" w:color="auto" w:fill="FFFFFF"/>
          <w:lang w:val="es-AR"/>
        </w:rPr>
        <w:t>Excepciones Preliminares, Fondo, Reparaciones y Costas. Sentencia de 2 de julio de 2004. Serie C No. 107. Párrs 169 a 171.</w:t>
      </w:r>
    </w:p>
  </w:footnote>
  <w:footnote w:id="37">
    <w:p w14:paraId="193AF7AD" w14:textId="77777777" w:rsidR="00683FE9" w:rsidRPr="000A3FB6" w:rsidRDefault="00683FE9" w:rsidP="00F3022D">
      <w:pPr>
        <w:jc w:val="both"/>
        <w:rPr>
          <w:rFonts w:ascii="Cambria" w:eastAsia="Times New Roman" w:hAnsi="Cambria"/>
          <w:sz w:val="16"/>
          <w:szCs w:val="16"/>
          <w:lang w:val="es-ES"/>
        </w:rPr>
      </w:pPr>
      <w:r w:rsidRPr="000A3FB6">
        <w:rPr>
          <w:rStyle w:val="FootnoteReference"/>
          <w:rFonts w:ascii="Cambria" w:hAnsi="Cambria"/>
          <w:sz w:val="16"/>
          <w:szCs w:val="16"/>
          <w:lang w:val="es-ES"/>
        </w:rPr>
        <w:footnoteRef/>
      </w:r>
      <w:r w:rsidRPr="000A3FB6">
        <w:rPr>
          <w:rFonts w:ascii="Cambria" w:hAnsi="Cambria"/>
          <w:sz w:val="16"/>
          <w:szCs w:val="16"/>
          <w:lang w:val="es-ES"/>
        </w:rPr>
        <w:t xml:space="preserve"> </w:t>
      </w:r>
      <w:r w:rsidRPr="000A3FB6">
        <w:rPr>
          <w:rFonts w:ascii="Cambria" w:eastAsia="Times New Roman" w:hAnsi="Cambria"/>
          <w:sz w:val="16"/>
          <w:szCs w:val="16"/>
          <w:lang w:val="es-ES"/>
        </w:rPr>
        <w:t xml:space="preserve">Corte IDH. </w:t>
      </w:r>
      <w:r w:rsidRPr="000A3FB6">
        <w:rPr>
          <w:rFonts w:ascii="Cambria" w:eastAsia="Times New Roman" w:hAnsi="Cambria"/>
          <w:i/>
          <w:sz w:val="16"/>
          <w:szCs w:val="16"/>
          <w:lang w:val="es-ES"/>
        </w:rPr>
        <w:t>Caso Andrade Salmón Vs. Bolivia</w:t>
      </w:r>
      <w:r w:rsidRPr="000A3FB6">
        <w:rPr>
          <w:rFonts w:ascii="Cambria" w:eastAsia="Times New Roman" w:hAnsi="Cambria"/>
          <w:sz w:val="16"/>
          <w:szCs w:val="16"/>
          <w:lang w:val="es-ES"/>
        </w:rPr>
        <w:t>. Fondo, Reparaciones y Costas. Sentencia de 1 de diciembre de 2016. Serie C No. 330. Párr. 200.</w:t>
      </w:r>
    </w:p>
  </w:footnote>
  <w:footnote w:id="38">
    <w:p w14:paraId="063C6179" w14:textId="77777777"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C05784">
        <w:rPr>
          <w:rFonts w:ascii="Cambria" w:hAnsi="Cambria"/>
          <w:lang w:val="es-ES"/>
        </w:rPr>
        <w:t xml:space="preserve"> </w:t>
      </w:r>
      <w:r w:rsidRPr="000A3FB6">
        <w:rPr>
          <w:rStyle w:val="Strong"/>
          <w:rFonts w:ascii="Cambria" w:hAnsi="Cambria"/>
          <w:b w:val="0"/>
          <w:bCs w:val="0"/>
          <w:shd w:val="clear" w:color="auto" w:fill="FFFFFF"/>
          <w:lang w:val="es-AR"/>
        </w:rPr>
        <w:t>Corte IDH.</w:t>
      </w:r>
      <w:r w:rsidRPr="000A3FB6">
        <w:rPr>
          <w:rFonts w:ascii="Cambria" w:eastAsia="Times New Roman" w:hAnsi="Cambria" w:cs="Arial"/>
          <w:color w:val="494848"/>
          <w:bdr w:val="none" w:sz="0" w:space="0" w:color="auto"/>
          <w:shd w:val="clear" w:color="auto" w:fill="FFFFFF"/>
          <w:lang w:val="es-PE" w:eastAsia="es-PE"/>
        </w:rPr>
        <w:t xml:space="preserve"> </w:t>
      </w:r>
      <w:r w:rsidRPr="000A3FB6">
        <w:rPr>
          <w:rFonts w:ascii="Cambria" w:hAnsi="Cambria"/>
          <w:i/>
          <w:iCs/>
          <w:shd w:val="clear" w:color="auto" w:fill="FFFFFF"/>
          <w:lang w:val="es-PE"/>
        </w:rPr>
        <w:t>Caso de los Empleados de la Fábrica de Fuegos de Santo Antônio de Jesus Vs. Brasil</w:t>
      </w:r>
      <w:r w:rsidRPr="000A3FB6">
        <w:rPr>
          <w:rFonts w:ascii="Cambria" w:hAnsi="Cambria"/>
          <w:shd w:val="clear" w:color="auto" w:fill="FFFFFF"/>
          <w:lang w:val="es-PE"/>
        </w:rPr>
        <w:t xml:space="preserve">. Excepciones Preliminares, Fondo, Reparaciones y Costas. Sentencia de </w:t>
      </w:r>
      <w:r>
        <w:rPr>
          <w:rFonts w:ascii="Cambria" w:hAnsi="Cambria"/>
          <w:shd w:val="clear" w:color="auto" w:fill="FFFFFF"/>
          <w:lang w:val="es-PE"/>
        </w:rPr>
        <w:t>15 de julio de 2020. Serie C No. 407, p</w:t>
      </w:r>
      <w:r w:rsidRPr="000A3FB6">
        <w:rPr>
          <w:rFonts w:ascii="Cambria" w:hAnsi="Cambria"/>
          <w:shd w:val="clear" w:color="auto" w:fill="FFFFFF"/>
          <w:lang w:val="es-PE"/>
        </w:rPr>
        <w:t>árr. 222.</w:t>
      </w:r>
    </w:p>
  </w:footnote>
  <w:footnote w:id="39">
    <w:p w14:paraId="55740638" w14:textId="77777777" w:rsidR="00683FE9" w:rsidRPr="000A3FB6" w:rsidRDefault="00683FE9" w:rsidP="000A3FB6">
      <w:pPr>
        <w:pStyle w:val="FootnoteText"/>
        <w:rPr>
          <w:rFonts w:ascii="Cambria" w:hAnsi="Cambria"/>
          <w:lang w:val="es-MX"/>
        </w:rPr>
      </w:pPr>
      <w:r w:rsidRPr="000A3FB6">
        <w:rPr>
          <w:rStyle w:val="FootnoteReference"/>
          <w:rFonts w:ascii="Cambria" w:hAnsi="Cambria"/>
        </w:rPr>
        <w:footnoteRef/>
      </w:r>
      <w:r>
        <w:rPr>
          <w:rFonts w:ascii="Cambria" w:hAnsi="Cambria"/>
          <w:lang w:val="es-ES"/>
        </w:rPr>
        <w:t xml:space="preserve"> CIDH. Informe No. 110/10. Caso 12.539. </w:t>
      </w:r>
      <w:r w:rsidRPr="000A3FB6">
        <w:rPr>
          <w:rFonts w:ascii="Cambria" w:hAnsi="Cambria"/>
          <w:lang w:val="es-ES"/>
        </w:rPr>
        <w:t>Fon</w:t>
      </w:r>
      <w:r>
        <w:rPr>
          <w:rFonts w:ascii="Cambria" w:hAnsi="Cambria"/>
          <w:lang w:val="es-ES"/>
        </w:rPr>
        <w:t xml:space="preserve">do, Sebastián Furlan y familia. Argentina. </w:t>
      </w:r>
      <w:r w:rsidRPr="000A3FB6">
        <w:rPr>
          <w:rFonts w:ascii="Cambria" w:hAnsi="Cambria"/>
          <w:lang w:val="es-ES"/>
        </w:rPr>
        <w:t>21 de octubre de 2010, párr.</w:t>
      </w:r>
      <w:r>
        <w:rPr>
          <w:rFonts w:ascii="Cambria" w:hAnsi="Cambria"/>
          <w:lang w:val="es-ES"/>
        </w:rPr>
        <w:t xml:space="preserve"> </w:t>
      </w:r>
      <w:r w:rsidRPr="000A3FB6">
        <w:rPr>
          <w:rFonts w:ascii="Cambria" w:hAnsi="Cambria"/>
          <w:lang w:val="es-ES"/>
        </w:rPr>
        <w:t xml:space="preserve">100.  </w:t>
      </w:r>
    </w:p>
  </w:footnote>
  <w:footnote w:id="40">
    <w:p w14:paraId="5F1F7313" w14:textId="77777777" w:rsidR="00683FE9" w:rsidRPr="0011578E" w:rsidRDefault="00683FE9" w:rsidP="000A3FB6">
      <w:pPr>
        <w:jc w:val="both"/>
        <w:rPr>
          <w:rFonts w:ascii="Cambria" w:hAnsi="Cambria"/>
          <w:i/>
          <w:iCs/>
          <w:sz w:val="16"/>
          <w:szCs w:val="16"/>
          <w:lang w:val="es-US"/>
        </w:rPr>
      </w:pPr>
      <w:r w:rsidRPr="000A3FB6">
        <w:rPr>
          <w:rStyle w:val="FootnoteReference"/>
          <w:rFonts w:ascii="Cambria" w:hAnsi="Cambria"/>
          <w:sz w:val="16"/>
          <w:szCs w:val="16"/>
        </w:rPr>
        <w:footnoteRef/>
      </w:r>
      <w:r w:rsidRPr="00C05784">
        <w:rPr>
          <w:rFonts w:ascii="Cambria" w:hAnsi="Cambria"/>
          <w:sz w:val="16"/>
          <w:szCs w:val="16"/>
          <w:lang w:val="es-US"/>
        </w:rPr>
        <w:t xml:space="preserve"> </w:t>
      </w:r>
      <w:r w:rsidRPr="000A3FB6">
        <w:rPr>
          <w:rFonts w:ascii="Cambria" w:eastAsia="Calibri" w:hAnsi="Cambria" w:cs="Calibri"/>
          <w:color w:val="000000"/>
          <w:sz w:val="16"/>
          <w:szCs w:val="16"/>
          <w:u w:color="000000"/>
          <w:lang w:val="es-PE" w:eastAsia="es-ES"/>
        </w:rPr>
        <w:t>Corte IDH.</w:t>
      </w:r>
      <w:r w:rsidRPr="000A3FB6">
        <w:rPr>
          <w:rFonts w:ascii="Cambria" w:hAnsi="Cambria"/>
          <w:sz w:val="16"/>
          <w:szCs w:val="16"/>
          <w:lang w:val="es-PE"/>
        </w:rPr>
        <w:t xml:space="preserve"> </w:t>
      </w:r>
      <w:r w:rsidRPr="000A3FB6">
        <w:rPr>
          <w:rFonts w:ascii="Cambria" w:eastAsia="Calibri" w:hAnsi="Cambria" w:cs="Calibri"/>
          <w:i/>
          <w:color w:val="000000"/>
          <w:sz w:val="16"/>
          <w:szCs w:val="16"/>
          <w:u w:color="000000"/>
          <w:lang w:val="es-PE" w:eastAsia="es-ES"/>
        </w:rPr>
        <w:t>Caso Spoltore vs. Argentina</w:t>
      </w:r>
      <w:r w:rsidRPr="000A3FB6">
        <w:rPr>
          <w:rFonts w:ascii="Cambria" w:hAnsi="Cambria"/>
          <w:i/>
          <w:iCs/>
          <w:sz w:val="16"/>
          <w:szCs w:val="16"/>
          <w:lang w:val="es-PE"/>
        </w:rPr>
        <w:t xml:space="preserve">. Excepción preliminar, Fondo, Reparaciones y Costas. </w:t>
      </w:r>
      <w:r w:rsidRPr="000A3FB6">
        <w:rPr>
          <w:rFonts w:ascii="Cambria" w:hAnsi="Cambria"/>
          <w:sz w:val="16"/>
          <w:szCs w:val="16"/>
          <w:lang w:val="es-PE"/>
        </w:rPr>
        <w:t>Sentencia de 9 de junio de 2020. Serie C No. 404, párr. 45.</w:t>
      </w:r>
    </w:p>
  </w:footnote>
  <w:footnote w:id="41">
    <w:p w14:paraId="548E8CD9" w14:textId="77777777"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11578E">
        <w:rPr>
          <w:rFonts w:ascii="Cambria" w:hAnsi="Cambria"/>
          <w:lang w:val="es-US"/>
        </w:rPr>
        <w:t xml:space="preserve"> </w:t>
      </w:r>
      <w:r w:rsidRPr="000A3FB6">
        <w:rPr>
          <w:rFonts w:ascii="Cambria" w:hAnsi="Cambria"/>
          <w:lang w:val="es-PE"/>
        </w:rPr>
        <w:t>Corte IDH.</w:t>
      </w:r>
      <w:r w:rsidRPr="0011578E">
        <w:rPr>
          <w:rFonts w:ascii="Cambria" w:eastAsia="Arial Unicode MS" w:hAnsi="Cambria" w:cs="Arial"/>
          <w:color w:val="494848"/>
          <w:shd w:val="clear" w:color="auto" w:fill="FFFFFF"/>
          <w:lang w:val="es-US" w:eastAsia="en-US"/>
        </w:rPr>
        <w:t xml:space="preserve"> </w:t>
      </w:r>
      <w:r w:rsidRPr="000A3FB6">
        <w:rPr>
          <w:rFonts w:ascii="Cambria" w:hAnsi="Cambria"/>
          <w:i/>
          <w:lang w:val="es-PE"/>
        </w:rPr>
        <w:t>Caso Furlán y familiares Vs. Argentina. Excepciones Preliminares, Fondo, Reparaciones y Costas.</w:t>
      </w:r>
      <w:r w:rsidRPr="00C05784">
        <w:rPr>
          <w:rFonts w:ascii="Cambria" w:hAnsi="Cambria"/>
          <w:lang w:val="es-US"/>
        </w:rPr>
        <w:t xml:space="preserve"> Sentencia de 31 de agosto de 2012. Serie C No. 246, párr. 204.</w:t>
      </w:r>
    </w:p>
  </w:footnote>
  <w:footnote w:id="42">
    <w:p w14:paraId="7BBE3EB7" w14:textId="77777777"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C05784">
        <w:rPr>
          <w:rFonts w:ascii="Cambria" w:hAnsi="Cambria"/>
          <w:lang w:val="es-US"/>
        </w:rPr>
        <w:t xml:space="preserve"> ONU. </w:t>
      </w:r>
      <w:r w:rsidRPr="000A3FB6">
        <w:rPr>
          <w:rFonts w:ascii="Cambria" w:hAnsi="Cambria"/>
          <w:lang w:val="es-AR"/>
        </w:rPr>
        <w:t xml:space="preserve">Comité sobre los Derechos de las Personas con Discapacidad. </w:t>
      </w:r>
      <w:r w:rsidRPr="000A3FB6">
        <w:rPr>
          <w:rFonts w:ascii="Cambria" w:hAnsi="Cambria"/>
          <w:lang w:val="es-PE"/>
        </w:rPr>
        <w:t>Dictamen aprobado por el Comité en virtud del artículo 5 del Protocolo Facultativo, respecto de la comunicación núm. 38/2016, el 20 de septiembre de 2018</w:t>
      </w:r>
      <w:r>
        <w:rPr>
          <w:rFonts w:ascii="Cambria" w:hAnsi="Cambria"/>
          <w:lang w:val="es-PE"/>
        </w:rPr>
        <w:t>, p</w:t>
      </w:r>
      <w:r w:rsidRPr="000A3FB6">
        <w:rPr>
          <w:rFonts w:ascii="Cambria" w:hAnsi="Cambria"/>
          <w:lang w:val="es-PE"/>
        </w:rPr>
        <w:t xml:space="preserve">árr. 11.4. </w:t>
      </w:r>
    </w:p>
  </w:footnote>
  <w:footnote w:id="43">
    <w:p w14:paraId="4C78E32C" w14:textId="77777777" w:rsidR="00683FE9" w:rsidRPr="000A3FB6" w:rsidRDefault="00683FE9" w:rsidP="000A3FB6">
      <w:pPr>
        <w:pStyle w:val="FootnoteText"/>
        <w:rPr>
          <w:rFonts w:ascii="Cambria" w:hAnsi="Cambria"/>
          <w:lang w:val="es-PE"/>
        </w:rPr>
      </w:pPr>
      <w:r w:rsidRPr="000A3FB6">
        <w:rPr>
          <w:rStyle w:val="FootnoteReference"/>
          <w:rFonts w:ascii="Cambria" w:hAnsi="Cambria"/>
        </w:rPr>
        <w:footnoteRef/>
      </w:r>
      <w:r w:rsidRPr="00C05784">
        <w:rPr>
          <w:rFonts w:ascii="Cambria" w:hAnsi="Cambria"/>
          <w:lang w:val="es-US"/>
        </w:rPr>
        <w:t xml:space="preserve"> ONU. </w:t>
      </w:r>
      <w:r w:rsidRPr="000A3FB6">
        <w:rPr>
          <w:rFonts w:ascii="Cambria" w:hAnsi="Cambria"/>
          <w:lang w:val="es-AR"/>
        </w:rPr>
        <w:t xml:space="preserve">Comité sobre los Derechos de las Personas con Discapacidad. </w:t>
      </w:r>
      <w:r w:rsidRPr="000A3FB6">
        <w:rPr>
          <w:rFonts w:ascii="Cambria" w:hAnsi="Cambria"/>
          <w:lang w:val="es-PE"/>
        </w:rPr>
        <w:t>Dictamen aprobado por el Comité a tenor del artículo 2 del Protocolo Facultativo, respecto de la comunicación núm. 30/2015, el 18 de agosto de 2017</w:t>
      </w:r>
      <w:r>
        <w:rPr>
          <w:rFonts w:ascii="Cambria" w:hAnsi="Cambria"/>
          <w:lang w:val="es-PE"/>
        </w:rPr>
        <w:t>, p</w:t>
      </w:r>
      <w:r w:rsidRPr="000A3FB6">
        <w:rPr>
          <w:rFonts w:ascii="Cambria" w:hAnsi="Cambria"/>
          <w:lang w:val="es-PE"/>
        </w:rPr>
        <w:t>árr. 7.6.</w:t>
      </w:r>
    </w:p>
  </w:footnote>
  <w:footnote w:id="44">
    <w:p w14:paraId="54AFF004" w14:textId="77777777" w:rsidR="00683FE9" w:rsidRPr="000A3FB6" w:rsidRDefault="00683FE9" w:rsidP="00FC4B4B">
      <w:pPr>
        <w:pStyle w:val="FootnoteText"/>
        <w:rPr>
          <w:rFonts w:ascii="Cambria" w:hAnsi="Cambria"/>
          <w:lang w:val="es-MX"/>
        </w:rPr>
      </w:pPr>
      <w:r w:rsidRPr="000A3FB6">
        <w:rPr>
          <w:rStyle w:val="FootnoteReference"/>
          <w:rFonts w:ascii="Cambria" w:hAnsi="Cambria"/>
        </w:rPr>
        <w:footnoteRef/>
      </w:r>
      <w:r w:rsidRPr="000A3FB6">
        <w:rPr>
          <w:rFonts w:ascii="Cambria" w:hAnsi="Cambria"/>
          <w:lang w:val="es-MX"/>
        </w:rPr>
        <w:t xml:space="preserve"> CIDH. Informe No 34/14. Caso 12.492. Fondo. Carlos Escaleras Mejía y familia, párr. 172.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7739" w14:textId="77777777" w:rsidR="00683FE9" w:rsidRDefault="00683FE9" w:rsidP="00D3685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8A77297" w14:textId="77777777" w:rsidR="00683FE9" w:rsidRDefault="00683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FF66" w14:textId="77777777" w:rsidR="00683FE9" w:rsidRDefault="00683FE9" w:rsidP="00A50FCF">
    <w:pPr>
      <w:pStyle w:val="Header"/>
      <w:tabs>
        <w:tab w:val="clear" w:pos="4320"/>
        <w:tab w:val="clear" w:pos="8640"/>
      </w:tabs>
      <w:jc w:val="center"/>
      <w:rPr>
        <w:sz w:val="22"/>
        <w:szCs w:val="22"/>
      </w:rPr>
    </w:pPr>
    <w:r>
      <w:rPr>
        <w:noProof/>
        <w:sz w:val="22"/>
        <w:szCs w:val="22"/>
      </w:rPr>
      <w:drawing>
        <wp:inline distT="0" distB="0" distL="0" distR="0" wp14:anchorId="61B3B060" wp14:editId="45824EF5">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BA0BFAC" w14:textId="77777777" w:rsidR="00683FE9" w:rsidRPr="00EC7D62" w:rsidRDefault="00656C48" w:rsidP="00A50FCF">
    <w:pPr>
      <w:pStyle w:val="Header"/>
      <w:tabs>
        <w:tab w:val="clear" w:pos="4320"/>
        <w:tab w:val="clear" w:pos="8640"/>
      </w:tabs>
      <w:jc w:val="center"/>
      <w:rPr>
        <w:sz w:val="22"/>
        <w:szCs w:val="22"/>
      </w:rPr>
    </w:pPr>
    <w:r>
      <w:rPr>
        <w:sz w:val="22"/>
        <w:szCs w:val="22"/>
      </w:rPr>
      <w:pict w14:anchorId="331BDF0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1B68F9"/>
    <w:multiLevelType w:val="hybridMultilevel"/>
    <w:tmpl w:val="E2265EAC"/>
    <w:lvl w:ilvl="0" w:tplc="552E2C4A">
      <w:start w:val="1"/>
      <w:numFmt w:val="upperLetter"/>
      <w:pStyle w:val="Heading2"/>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2A0BA1"/>
    <w:multiLevelType w:val="hybridMultilevel"/>
    <w:tmpl w:val="5194EE92"/>
    <w:lvl w:ilvl="0" w:tplc="1534EA50">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6E282B"/>
    <w:multiLevelType w:val="hybridMultilevel"/>
    <w:tmpl w:val="6422C2E4"/>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D7D4B9D"/>
    <w:multiLevelType w:val="hybridMultilevel"/>
    <w:tmpl w:val="1070178A"/>
    <w:lvl w:ilvl="0" w:tplc="6CB001C0">
      <w:start w:val="1"/>
      <w:numFmt w:val="decimal"/>
      <w:lvlText w:val="%1."/>
      <w:lvlJc w:val="left"/>
      <w:pPr>
        <w:ind w:left="360" w:hanging="360"/>
      </w:pPr>
      <w:rPr>
        <w:rFonts w:ascii="Cambria" w:hAnsi="Cambria" w:hint="default"/>
        <w:b w:val="0"/>
        <w:color w:val="auto"/>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5A0C3D"/>
    <w:multiLevelType w:val="hybridMultilevel"/>
    <w:tmpl w:val="AF4C93E8"/>
    <w:lvl w:ilvl="0" w:tplc="9B38241A">
      <w:numFmt w:val="bullet"/>
      <w:lvlText w:val="-"/>
      <w:lvlJc w:val="left"/>
      <w:pPr>
        <w:ind w:left="720" w:hanging="360"/>
      </w:pPr>
      <w:rPr>
        <w:rFonts w:ascii="Cambria" w:eastAsia="Times New Roman" w:hAnsi="Cambria" w:cs="Times New Roman" w:hint="default"/>
        <w:sz w:val="18"/>
        <w:szCs w:val="18"/>
        <w:vertAlign w:val="base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E64D32"/>
    <w:multiLevelType w:val="hybridMultilevel"/>
    <w:tmpl w:val="9F8AF72C"/>
    <w:lvl w:ilvl="0" w:tplc="996A088A">
      <w:start w:val="1"/>
      <w:numFmt w:val="decimal"/>
      <w:lvlText w:val="%1."/>
      <w:lvlJc w:val="left"/>
      <w:pPr>
        <w:tabs>
          <w:tab w:val="num" w:pos="0"/>
        </w:tabs>
        <w:ind w:left="0" w:firstLine="0"/>
      </w:pPr>
      <w:rPr>
        <w:rFonts w:ascii="Verdana" w:eastAsia="Times New Roman" w:hAnsi="Verdana" w:cs="Times New Roman" w:hint="default"/>
        <w:b w:val="0"/>
        <w:i w:val="0"/>
        <w:strike w:val="0"/>
        <w:color w:val="auto"/>
        <w:sz w:val="20"/>
        <w:lang w:val="es-CO"/>
      </w:rPr>
    </w:lvl>
    <w:lvl w:ilvl="1" w:tplc="2C0A0019">
      <w:start w:val="1"/>
      <w:numFmt w:val="decimal"/>
      <w:lvlText w:val="%2."/>
      <w:lvlJc w:val="left"/>
      <w:pPr>
        <w:tabs>
          <w:tab w:val="num" w:pos="0"/>
        </w:tabs>
        <w:ind w:left="0" w:firstLine="0"/>
      </w:pPr>
      <w:rPr>
        <w:rFonts w:ascii="Verdana" w:eastAsia="Times New Roman" w:hAnsi="Verdana" w:cs="Times New Roman" w:hint="default"/>
        <w:b/>
        <w:i w:val="0"/>
        <w:strike w:val="0"/>
        <w:color w:val="auto"/>
        <w:sz w:val="20"/>
        <w:lang w:val="es-CO"/>
      </w:rPr>
    </w:lvl>
    <w:lvl w:ilvl="2" w:tplc="4202A1AC">
      <w:start w:val="1"/>
      <w:numFmt w:val="lowerRoman"/>
      <w:pStyle w:val="Estilo7"/>
      <w:lvlText w:val="%3."/>
      <w:lvlJc w:val="right"/>
      <w:pPr>
        <w:tabs>
          <w:tab w:val="num" w:pos="2160"/>
        </w:tabs>
        <w:ind w:left="2160" w:hanging="180"/>
      </w:pPr>
      <w:rPr>
        <w:rFonts w:cs="Times New Roman"/>
      </w:rPr>
    </w:lvl>
    <w:lvl w:ilvl="3" w:tplc="3F0893E6">
      <w:start w:val="1"/>
      <w:numFmt w:val="decimal"/>
      <w:lvlText w:val="%4."/>
      <w:lvlJc w:val="left"/>
      <w:pPr>
        <w:tabs>
          <w:tab w:val="num" w:pos="2880"/>
        </w:tabs>
        <w:ind w:left="2880" w:hanging="360"/>
      </w:pPr>
      <w:rPr>
        <w:rFonts w:cs="Times New Roman"/>
      </w:rPr>
    </w:lvl>
    <w:lvl w:ilvl="4" w:tplc="E7BA4BB6">
      <w:start w:val="1"/>
      <w:numFmt w:val="lowerLetter"/>
      <w:lvlText w:val="%5."/>
      <w:lvlJc w:val="left"/>
      <w:pPr>
        <w:tabs>
          <w:tab w:val="num" w:pos="3600"/>
        </w:tabs>
        <w:ind w:left="3600" w:hanging="360"/>
      </w:pPr>
      <w:rPr>
        <w:rFonts w:cs="Times New Roman"/>
      </w:rPr>
    </w:lvl>
    <w:lvl w:ilvl="5" w:tplc="2C0A001B">
      <w:start w:val="1"/>
      <w:numFmt w:val="lowerRoman"/>
      <w:lvlText w:val="%6."/>
      <w:lvlJc w:val="right"/>
      <w:pPr>
        <w:tabs>
          <w:tab w:val="num" w:pos="4320"/>
        </w:tabs>
        <w:ind w:left="4320" w:hanging="180"/>
      </w:pPr>
      <w:rPr>
        <w:rFonts w:cs="Times New Roman"/>
      </w:rPr>
    </w:lvl>
    <w:lvl w:ilvl="6" w:tplc="2C0A000F">
      <w:start w:val="1"/>
      <w:numFmt w:val="decimal"/>
      <w:lvlText w:val="%7."/>
      <w:lvlJc w:val="left"/>
      <w:pPr>
        <w:tabs>
          <w:tab w:val="num" w:pos="5040"/>
        </w:tabs>
        <w:ind w:left="5040" w:hanging="360"/>
      </w:pPr>
      <w:rPr>
        <w:rFonts w:cs="Times New Roman"/>
      </w:rPr>
    </w:lvl>
    <w:lvl w:ilvl="7" w:tplc="2C0A0019">
      <w:start w:val="1"/>
      <w:numFmt w:val="lowerLetter"/>
      <w:lvlText w:val="%8."/>
      <w:lvlJc w:val="left"/>
      <w:pPr>
        <w:tabs>
          <w:tab w:val="num" w:pos="5760"/>
        </w:tabs>
        <w:ind w:left="5760" w:hanging="360"/>
      </w:pPr>
      <w:rPr>
        <w:rFonts w:cs="Times New Roman"/>
      </w:rPr>
    </w:lvl>
    <w:lvl w:ilvl="8" w:tplc="2C0A001B">
      <w:start w:val="1"/>
      <w:numFmt w:val="lowerRoman"/>
      <w:lvlText w:val="%9."/>
      <w:lvlJc w:val="right"/>
      <w:pPr>
        <w:tabs>
          <w:tab w:val="num" w:pos="6480"/>
        </w:tabs>
        <w:ind w:left="6480" w:hanging="180"/>
      </w:pPr>
      <w:rPr>
        <w:rFonts w:cs="Times New Roman"/>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20"/>
  </w:num>
  <w:num w:numId="5">
    <w:abstractNumId w:val="47"/>
  </w:num>
  <w:num w:numId="6">
    <w:abstractNumId w:val="27"/>
  </w:num>
  <w:num w:numId="7">
    <w:abstractNumId w:val="5"/>
  </w:num>
  <w:num w:numId="8">
    <w:abstractNumId w:val="16"/>
  </w:num>
  <w:num w:numId="9">
    <w:abstractNumId w:val="41"/>
  </w:num>
  <w:num w:numId="10">
    <w:abstractNumId w:val="0"/>
  </w:num>
  <w:num w:numId="11">
    <w:abstractNumId w:val="36"/>
  </w:num>
  <w:num w:numId="12">
    <w:abstractNumId w:val="37"/>
  </w:num>
  <w:num w:numId="13">
    <w:abstractNumId w:val="42"/>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8"/>
  </w:num>
  <w:num w:numId="27">
    <w:abstractNumId w:val="21"/>
  </w:num>
  <w:num w:numId="28">
    <w:abstractNumId w:val="22"/>
  </w:num>
  <w:num w:numId="29">
    <w:abstractNumId w:val="23"/>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0"/>
  </w:num>
  <w:num w:numId="45">
    <w:abstractNumId w:val="51"/>
  </w:num>
  <w:num w:numId="46">
    <w:abstractNumId w:val="53"/>
  </w:num>
  <w:num w:numId="47">
    <w:abstractNumId w:val="54"/>
  </w:num>
  <w:num w:numId="48">
    <w:abstractNumId w:val="55"/>
  </w:num>
  <w:num w:numId="49">
    <w:abstractNumId w:val="57"/>
  </w:num>
  <w:num w:numId="50">
    <w:abstractNumId w:val="58"/>
  </w:num>
  <w:num w:numId="51">
    <w:abstractNumId w:val="19"/>
  </w:num>
  <w:num w:numId="52">
    <w:abstractNumId w:val="40"/>
  </w:num>
  <w:num w:numId="53">
    <w:abstractNumId w:val="43"/>
  </w:num>
  <w:num w:numId="54">
    <w:abstractNumId w:val="24"/>
  </w:num>
  <w:num w:numId="55">
    <w:abstractNumId w:val="15"/>
  </w:num>
  <w:num w:numId="56">
    <w:abstractNumId w:val="44"/>
  </w:num>
  <w:num w:numId="57">
    <w:abstractNumId w:val="56"/>
  </w:num>
  <w:num w:numId="58">
    <w:abstractNumId w:val="15"/>
    <w:lvlOverride w:ilvl="0">
      <w:startOverride w:val="1"/>
    </w:lvlOverride>
  </w:num>
  <w:num w:numId="59">
    <w:abstractNumId w:val="15"/>
    <w:lvlOverride w:ilvl="0">
      <w:startOverride w:val="1"/>
    </w:lvlOverride>
  </w:num>
  <w:num w:numId="60">
    <w:abstractNumId w:val="46"/>
  </w:num>
  <w:num w:numId="61">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18434"/>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055"/>
    <w:rsid w:val="0000036F"/>
    <w:rsid w:val="00000CDA"/>
    <w:rsid w:val="00002005"/>
    <w:rsid w:val="000024E6"/>
    <w:rsid w:val="00004071"/>
    <w:rsid w:val="00006896"/>
    <w:rsid w:val="00006E1F"/>
    <w:rsid w:val="000070D7"/>
    <w:rsid w:val="00007107"/>
    <w:rsid w:val="00011562"/>
    <w:rsid w:val="000116EB"/>
    <w:rsid w:val="0001498E"/>
    <w:rsid w:val="000158FD"/>
    <w:rsid w:val="0001788C"/>
    <w:rsid w:val="00022F22"/>
    <w:rsid w:val="00024626"/>
    <w:rsid w:val="00026999"/>
    <w:rsid w:val="00027A6B"/>
    <w:rsid w:val="00040C3A"/>
    <w:rsid w:val="000412D5"/>
    <w:rsid w:val="0004567B"/>
    <w:rsid w:val="00047244"/>
    <w:rsid w:val="00050138"/>
    <w:rsid w:val="00051767"/>
    <w:rsid w:val="00053A5D"/>
    <w:rsid w:val="00055A92"/>
    <w:rsid w:val="00056A14"/>
    <w:rsid w:val="00067A5D"/>
    <w:rsid w:val="00067CE9"/>
    <w:rsid w:val="000716C5"/>
    <w:rsid w:val="00073602"/>
    <w:rsid w:val="00075E23"/>
    <w:rsid w:val="0007673B"/>
    <w:rsid w:val="00085516"/>
    <w:rsid w:val="00085F2D"/>
    <w:rsid w:val="000866A4"/>
    <w:rsid w:val="0008768F"/>
    <w:rsid w:val="000915A1"/>
    <w:rsid w:val="0009173F"/>
    <w:rsid w:val="000919DB"/>
    <w:rsid w:val="00091C12"/>
    <w:rsid w:val="0009344A"/>
    <w:rsid w:val="00094AAF"/>
    <w:rsid w:val="00095160"/>
    <w:rsid w:val="000979BA"/>
    <w:rsid w:val="000A037E"/>
    <w:rsid w:val="000A24C1"/>
    <w:rsid w:val="000A25F8"/>
    <w:rsid w:val="000A392E"/>
    <w:rsid w:val="000A3FB6"/>
    <w:rsid w:val="000A575F"/>
    <w:rsid w:val="000A576A"/>
    <w:rsid w:val="000A57F6"/>
    <w:rsid w:val="000B226D"/>
    <w:rsid w:val="000B27FB"/>
    <w:rsid w:val="000B5F72"/>
    <w:rsid w:val="000B6693"/>
    <w:rsid w:val="000B72AA"/>
    <w:rsid w:val="000C4981"/>
    <w:rsid w:val="000C4D12"/>
    <w:rsid w:val="000D10DB"/>
    <w:rsid w:val="000D3186"/>
    <w:rsid w:val="000D5411"/>
    <w:rsid w:val="000D6A8E"/>
    <w:rsid w:val="000E0C8F"/>
    <w:rsid w:val="000E17EF"/>
    <w:rsid w:val="000E2327"/>
    <w:rsid w:val="000E5218"/>
    <w:rsid w:val="000E5783"/>
    <w:rsid w:val="000E5C24"/>
    <w:rsid w:val="000E5EB5"/>
    <w:rsid w:val="000E6590"/>
    <w:rsid w:val="000F0073"/>
    <w:rsid w:val="000F0FE9"/>
    <w:rsid w:val="000F113F"/>
    <w:rsid w:val="000F1D38"/>
    <w:rsid w:val="000F2F1C"/>
    <w:rsid w:val="000F35ED"/>
    <w:rsid w:val="000F68D9"/>
    <w:rsid w:val="000F7BD8"/>
    <w:rsid w:val="00101046"/>
    <w:rsid w:val="00103D54"/>
    <w:rsid w:val="00103E9A"/>
    <w:rsid w:val="001058DF"/>
    <w:rsid w:val="00106A01"/>
    <w:rsid w:val="00107131"/>
    <w:rsid w:val="0010736F"/>
    <w:rsid w:val="001122A7"/>
    <w:rsid w:val="00113F73"/>
    <w:rsid w:val="0011578E"/>
    <w:rsid w:val="00116C7B"/>
    <w:rsid w:val="0011758E"/>
    <w:rsid w:val="00121CC2"/>
    <w:rsid w:val="0012412A"/>
    <w:rsid w:val="0013183C"/>
    <w:rsid w:val="001324FE"/>
    <w:rsid w:val="00133EE5"/>
    <w:rsid w:val="001367FC"/>
    <w:rsid w:val="001401C9"/>
    <w:rsid w:val="00144450"/>
    <w:rsid w:val="0014446F"/>
    <w:rsid w:val="00156E1C"/>
    <w:rsid w:val="00160223"/>
    <w:rsid w:val="00161195"/>
    <w:rsid w:val="00162EE2"/>
    <w:rsid w:val="001656D8"/>
    <w:rsid w:val="00166189"/>
    <w:rsid w:val="00167A34"/>
    <w:rsid w:val="00170162"/>
    <w:rsid w:val="00174C4B"/>
    <w:rsid w:val="00175D37"/>
    <w:rsid w:val="00181F34"/>
    <w:rsid w:val="001820C8"/>
    <w:rsid w:val="00185757"/>
    <w:rsid w:val="001858BE"/>
    <w:rsid w:val="001873D0"/>
    <w:rsid w:val="00192AA3"/>
    <w:rsid w:val="00193808"/>
    <w:rsid w:val="00194568"/>
    <w:rsid w:val="00195022"/>
    <w:rsid w:val="001954DA"/>
    <w:rsid w:val="00195E9F"/>
    <w:rsid w:val="001A10C5"/>
    <w:rsid w:val="001A4D23"/>
    <w:rsid w:val="001A54E9"/>
    <w:rsid w:val="001A72F3"/>
    <w:rsid w:val="001A7870"/>
    <w:rsid w:val="001A7FE4"/>
    <w:rsid w:val="001B20D1"/>
    <w:rsid w:val="001B373A"/>
    <w:rsid w:val="001B688C"/>
    <w:rsid w:val="001B7738"/>
    <w:rsid w:val="001C103F"/>
    <w:rsid w:val="001C1B41"/>
    <w:rsid w:val="001C3E6F"/>
    <w:rsid w:val="001C4547"/>
    <w:rsid w:val="001C4789"/>
    <w:rsid w:val="001C5BFD"/>
    <w:rsid w:val="001C5F92"/>
    <w:rsid w:val="001C772A"/>
    <w:rsid w:val="001D18C7"/>
    <w:rsid w:val="001D3307"/>
    <w:rsid w:val="001D65EF"/>
    <w:rsid w:val="001E15B6"/>
    <w:rsid w:val="001E1CFB"/>
    <w:rsid w:val="001E281C"/>
    <w:rsid w:val="001E3404"/>
    <w:rsid w:val="001E3E3B"/>
    <w:rsid w:val="001F21F8"/>
    <w:rsid w:val="001F2460"/>
    <w:rsid w:val="001F3BF5"/>
    <w:rsid w:val="00200068"/>
    <w:rsid w:val="0020203B"/>
    <w:rsid w:val="00204B61"/>
    <w:rsid w:val="00204C61"/>
    <w:rsid w:val="00205EF8"/>
    <w:rsid w:val="00210AE1"/>
    <w:rsid w:val="0021146D"/>
    <w:rsid w:val="00211927"/>
    <w:rsid w:val="00212716"/>
    <w:rsid w:val="002135D2"/>
    <w:rsid w:val="00217057"/>
    <w:rsid w:val="0022273F"/>
    <w:rsid w:val="002250A3"/>
    <w:rsid w:val="00226031"/>
    <w:rsid w:val="002273D7"/>
    <w:rsid w:val="00227EFD"/>
    <w:rsid w:val="00233263"/>
    <w:rsid w:val="00235217"/>
    <w:rsid w:val="00237EEC"/>
    <w:rsid w:val="00240F7D"/>
    <w:rsid w:val="002446F3"/>
    <w:rsid w:val="00244E0C"/>
    <w:rsid w:val="00246D1F"/>
    <w:rsid w:val="00246EBF"/>
    <w:rsid w:val="00247239"/>
    <w:rsid w:val="00247403"/>
    <w:rsid w:val="00247542"/>
    <w:rsid w:val="00250942"/>
    <w:rsid w:val="00250A75"/>
    <w:rsid w:val="0025114B"/>
    <w:rsid w:val="00254252"/>
    <w:rsid w:val="002622B1"/>
    <w:rsid w:val="00262F56"/>
    <w:rsid w:val="00263BBD"/>
    <w:rsid w:val="002649EC"/>
    <w:rsid w:val="00266259"/>
    <w:rsid w:val="00266B61"/>
    <w:rsid w:val="00266DAB"/>
    <w:rsid w:val="0026712A"/>
    <w:rsid w:val="002704DB"/>
    <w:rsid w:val="00272204"/>
    <w:rsid w:val="0027331D"/>
    <w:rsid w:val="00274ECD"/>
    <w:rsid w:val="002750F3"/>
    <w:rsid w:val="002753B1"/>
    <w:rsid w:val="00276DF8"/>
    <w:rsid w:val="00277EF9"/>
    <w:rsid w:val="002824EF"/>
    <w:rsid w:val="002827DD"/>
    <w:rsid w:val="002857CC"/>
    <w:rsid w:val="00286768"/>
    <w:rsid w:val="0028738B"/>
    <w:rsid w:val="00287826"/>
    <w:rsid w:val="0029096A"/>
    <w:rsid w:val="002917DA"/>
    <w:rsid w:val="002952C8"/>
    <w:rsid w:val="0029725A"/>
    <w:rsid w:val="002A0AAE"/>
    <w:rsid w:val="002A3DFB"/>
    <w:rsid w:val="002A4C54"/>
    <w:rsid w:val="002A5820"/>
    <w:rsid w:val="002B2A00"/>
    <w:rsid w:val="002B7D40"/>
    <w:rsid w:val="002C22C2"/>
    <w:rsid w:val="002C256D"/>
    <w:rsid w:val="002C4C1B"/>
    <w:rsid w:val="002D1643"/>
    <w:rsid w:val="002D2B26"/>
    <w:rsid w:val="002D34D8"/>
    <w:rsid w:val="002D5A95"/>
    <w:rsid w:val="002D620B"/>
    <w:rsid w:val="002D7141"/>
    <w:rsid w:val="002D7EA2"/>
    <w:rsid w:val="002E187C"/>
    <w:rsid w:val="002E1A58"/>
    <w:rsid w:val="002E1C43"/>
    <w:rsid w:val="002E3EFB"/>
    <w:rsid w:val="002E4AEA"/>
    <w:rsid w:val="002E7D1E"/>
    <w:rsid w:val="002F1560"/>
    <w:rsid w:val="002F2C94"/>
    <w:rsid w:val="002F3E2E"/>
    <w:rsid w:val="002F5482"/>
    <w:rsid w:val="002F5A00"/>
    <w:rsid w:val="002F6CF7"/>
    <w:rsid w:val="002F6F06"/>
    <w:rsid w:val="002F70AD"/>
    <w:rsid w:val="0030129D"/>
    <w:rsid w:val="00302733"/>
    <w:rsid w:val="00303D52"/>
    <w:rsid w:val="00303EE3"/>
    <w:rsid w:val="00305051"/>
    <w:rsid w:val="00307ABC"/>
    <w:rsid w:val="00310138"/>
    <w:rsid w:val="0031160D"/>
    <w:rsid w:val="00314078"/>
    <w:rsid w:val="00314114"/>
    <w:rsid w:val="0031535D"/>
    <w:rsid w:val="0031537F"/>
    <w:rsid w:val="00320ADE"/>
    <w:rsid w:val="00320E77"/>
    <w:rsid w:val="00321826"/>
    <w:rsid w:val="00321A4A"/>
    <w:rsid w:val="00321CC4"/>
    <w:rsid w:val="0032212B"/>
    <w:rsid w:val="00322B50"/>
    <w:rsid w:val="00322B86"/>
    <w:rsid w:val="00322BF2"/>
    <w:rsid w:val="00324183"/>
    <w:rsid w:val="003243A7"/>
    <w:rsid w:val="00325F0B"/>
    <w:rsid w:val="0032742E"/>
    <w:rsid w:val="003277D9"/>
    <w:rsid w:val="0033028D"/>
    <w:rsid w:val="0033169F"/>
    <w:rsid w:val="0033197D"/>
    <w:rsid w:val="0033221E"/>
    <w:rsid w:val="0033426B"/>
    <w:rsid w:val="00336DF5"/>
    <w:rsid w:val="00337F01"/>
    <w:rsid w:val="0034054C"/>
    <w:rsid w:val="00341D46"/>
    <w:rsid w:val="00346C95"/>
    <w:rsid w:val="003506F4"/>
    <w:rsid w:val="003535DA"/>
    <w:rsid w:val="0035411C"/>
    <w:rsid w:val="00354441"/>
    <w:rsid w:val="00356185"/>
    <w:rsid w:val="003575E3"/>
    <w:rsid w:val="00360380"/>
    <w:rsid w:val="003603D7"/>
    <w:rsid w:val="00360C50"/>
    <w:rsid w:val="00361415"/>
    <w:rsid w:val="0036189F"/>
    <w:rsid w:val="00362200"/>
    <w:rsid w:val="00363D08"/>
    <w:rsid w:val="00364A45"/>
    <w:rsid w:val="00364EF0"/>
    <w:rsid w:val="00365872"/>
    <w:rsid w:val="00366DFD"/>
    <w:rsid w:val="00367DB3"/>
    <w:rsid w:val="00371FE6"/>
    <w:rsid w:val="00373805"/>
    <w:rsid w:val="0037382D"/>
    <w:rsid w:val="0037399A"/>
    <w:rsid w:val="00374CB1"/>
    <w:rsid w:val="0037519E"/>
    <w:rsid w:val="003840EF"/>
    <w:rsid w:val="00385A61"/>
    <w:rsid w:val="00386CF0"/>
    <w:rsid w:val="00392DDE"/>
    <w:rsid w:val="003940DD"/>
    <w:rsid w:val="0039566A"/>
    <w:rsid w:val="00397655"/>
    <w:rsid w:val="003976A7"/>
    <w:rsid w:val="00397A42"/>
    <w:rsid w:val="003A039B"/>
    <w:rsid w:val="003A0816"/>
    <w:rsid w:val="003A19CC"/>
    <w:rsid w:val="003A44EA"/>
    <w:rsid w:val="003A6322"/>
    <w:rsid w:val="003A6F91"/>
    <w:rsid w:val="003B3736"/>
    <w:rsid w:val="003C053F"/>
    <w:rsid w:val="003C4CF9"/>
    <w:rsid w:val="003C5173"/>
    <w:rsid w:val="003C676B"/>
    <w:rsid w:val="003D2517"/>
    <w:rsid w:val="003D3BC2"/>
    <w:rsid w:val="003D58EB"/>
    <w:rsid w:val="003D67C7"/>
    <w:rsid w:val="003D7C03"/>
    <w:rsid w:val="003E0916"/>
    <w:rsid w:val="003E3B6B"/>
    <w:rsid w:val="003E432F"/>
    <w:rsid w:val="003E6910"/>
    <w:rsid w:val="003E6CA1"/>
    <w:rsid w:val="003F7F64"/>
    <w:rsid w:val="003F7F89"/>
    <w:rsid w:val="00401D58"/>
    <w:rsid w:val="00403095"/>
    <w:rsid w:val="00404E0D"/>
    <w:rsid w:val="004053ED"/>
    <w:rsid w:val="00411D91"/>
    <w:rsid w:val="004165C2"/>
    <w:rsid w:val="00417325"/>
    <w:rsid w:val="00424AD3"/>
    <w:rsid w:val="00424C8D"/>
    <w:rsid w:val="00426114"/>
    <w:rsid w:val="00430FD4"/>
    <w:rsid w:val="004317F3"/>
    <w:rsid w:val="00434DA4"/>
    <w:rsid w:val="00435BA8"/>
    <w:rsid w:val="00436FA1"/>
    <w:rsid w:val="00437655"/>
    <w:rsid w:val="00441221"/>
    <w:rsid w:val="00441ECB"/>
    <w:rsid w:val="00442197"/>
    <w:rsid w:val="00443280"/>
    <w:rsid w:val="00445A47"/>
    <w:rsid w:val="004470AE"/>
    <w:rsid w:val="0044775D"/>
    <w:rsid w:val="00447860"/>
    <w:rsid w:val="00447E7A"/>
    <w:rsid w:val="00452E60"/>
    <w:rsid w:val="004570DA"/>
    <w:rsid w:val="00461212"/>
    <w:rsid w:val="00465441"/>
    <w:rsid w:val="0046572C"/>
    <w:rsid w:val="00466A42"/>
    <w:rsid w:val="00466BAE"/>
    <w:rsid w:val="00467B7E"/>
    <w:rsid w:val="004721F4"/>
    <w:rsid w:val="00477592"/>
    <w:rsid w:val="00481336"/>
    <w:rsid w:val="00482EC8"/>
    <w:rsid w:val="004833BF"/>
    <w:rsid w:val="00486203"/>
    <w:rsid w:val="00486CC7"/>
    <w:rsid w:val="00486F1C"/>
    <w:rsid w:val="004924D7"/>
    <w:rsid w:val="00492FFA"/>
    <w:rsid w:val="0049324C"/>
    <w:rsid w:val="0049419D"/>
    <w:rsid w:val="00495D50"/>
    <w:rsid w:val="00495D85"/>
    <w:rsid w:val="00496012"/>
    <w:rsid w:val="0049653C"/>
    <w:rsid w:val="0049754A"/>
    <w:rsid w:val="00497C59"/>
    <w:rsid w:val="004A0410"/>
    <w:rsid w:val="004A04B8"/>
    <w:rsid w:val="004A06A0"/>
    <w:rsid w:val="004A07CF"/>
    <w:rsid w:val="004A3222"/>
    <w:rsid w:val="004B1FF4"/>
    <w:rsid w:val="004B3583"/>
    <w:rsid w:val="004B40C2"/>
    <w:rsid w:val="004B716E"/>
    <w:rsid w:val="004B78E1"/>
    <w:rsid w:val="004C12E0"/>
    <w:rsid w:val="004C20D2"/>
    <w:rsid w:val="004C4B62"/>
    <w:rsid w:val="004C54C9"/>
    <w:rsid w:val="004C790D"/>
    <w:rsid w:val="004D0592"/>
    <w:rsid w:val="004D195F"/>
    <w:rsid w:val="004D2652"/>
    <w:rsid w:val="004D2720"/>
    <w:rsid w:val="004D3457"/>
    <w:rsid w:val="004D367D"/>
    <w:rsid w:val="004D3E95"/>
    <w:rsid w:val="004D52FB"/>
    <w:rsid w:val="004D5417"/>
    <w:rsid w:val="004D6025"/>
    <w:rsid w:val="004D6618"/>
    <w:rsid w:val="004E111E"/>
    <w:rsid w:val="004E2649"/>
    <w:rsid w:val="004E44AB"/>
    <w:rsid w:val="004E5CED"/>
    <w:rsid w:val="004E64A6"/>
    <w:rsid w:val="004E79D8"/>
    <w:rsid w:val="004F0852"/>
    <w:rsid w:val="004F254D"/>
    <w:rsid w:val="004F39FD"/>
    <w:rsid w:val="004F3E3D"/>
    <w:rsid w:val="004F47A6"/>
    <w:rsid w:val="004F522D"/>
    <w:rsid w:val="004F59ED"/>
    <w:rsid w:val="004F627D"/>
    <w:rsid w:val="00500CD4"/>
    <w:rsid w:val="00501399"/>
    <w:rsid w:val="005013F4"/>
    <w:rsid w:val="00501428"/>
    <w:rsid w:val="0050147B"/>
    <w:rsid w:val="005031F8"/>
    <w:rsid w:val="00504230"/>
    <w:rsid w:val="00505351"/>
    <w:rsid w:val="0050633D"/>
    <w:rsid w:val="00507BC4"/>
    <w:rsid w:val="005128E4"/>
    <w:rsid w:val="005133DB"/>
    <w:rsid w:val="00516233"/>
    <w:rsid w:val="00521FFA"/>
    <w:rsid w:val="00522143"/>
    <w:rsid w:val="00524132"/>
    <w:rsid w:val="0052473A"/>
    <w:rsid w:val="00525560"/>
    <w:rsid w:val="00525702"/>
    <w:rsid w:val="00527EC8"/>
    <w:rsid w:val="00535489"/>
    <w:rsid w:val="005354F3"/>
    <w:rsid w:val="00536923"/>
    <w:rsid w:val="00536D7E"/>
    <w:rsid w:val="00542913"/>
    <w:rsid w:val="00542D8A"/>
    <w:rsid w:val="0054300A"/>
    <w:rsid w:val="005430CE"/>
    <w:rsid w:val="00544C49"/>
    <w:rsid w:val="005471D3"/>
    <w:rsid w:val="005503FC"/>
    <w:rsid w:val="005516A1"/>
    <w:rsid w:val="0055246F"/>
    <w:rsid w:val="005559C4"/>
    <w:rsid w:val="00555DCF"/>
    <w:rsid w:val="00556459"/>
    <w:rsid w:val="00556E82"/>
    <w:rsid w:val="00557A94"/>
    <w:rsid w:val="00563D6C"/>
    <w:rsid w:val="00565744"/>
    <w:rsid w:val="00567AB7"/>
    <w:rsid w:val="0057402A"/>
    <w:rsid w:val="005740E3"/>
    <w:rsid w:val="005771D0"/>
    <w:rsid w:val="005777B2"/>
    <w:rsid w:val="005823E8"/>
    <w:rsid w:val="00582BFF"/>
    <w:rsid w:val="005831A3"/>
    <w:rsid w:val="00584A0C"/>
    <w:rsid w:val="00587459"/>
    <w:rsid w:val="005900CE"/>
    <w:rsid w:val="00590751"/>
    <w:rsid w:val="0059191A"/>
    <w:rsid w:val="005921FF"/>
    <w:rsid w:val="005937F1"/>
    <w:rsid w:val="00593928"/>
    <w:rsid w:val="00594122"/>
    <w:rsid w:val="00594A99"/>
    <w:rsid w:val="00595BFF"/>
    <w:rsid w:val="00595C1D"/>
    <w:rsid w:val="005A299F"/>
    <w:rsid w:val="005A4C6C"/>
    <w:rsid w:val="005A6857"/>
    <w:rsid w:val="005A6A16"/>
    <w:rsid w:val="005A6D0E"/>
    <w:rsid w:val="005A7473"/>
    <w:rsid w:val="005B03C6"/>
    <w:rsid w:val="005B52B0"/>
    <w:rsid w:val="005B5F09"/>
    <w:rsid w:val="005B6346"/>
    <w:rsid w:val="005B6806"/>
    <w:rsid w:val="005C01EE"/>
    <w:rsid w:val="005C3906"/>
    <w:rsid w:val="005C4225"/>
    <w:rsid w:val="005C4CA5"/>
    <w:rsid w:val="005C5857"/>
    <w:rsid w:val="005C69B5"/>
    <w:rsid w:val="005C747E"/>
    <w:rsid w:val="005D0DB1"/>
    <w:rsid w:val="005D1755"/>
    <w:rsid w:val="005D1791"/>
    <w:rsid w:val="005D252F"/>
    <w:rsid w:val="005D2FFF"/>
    <w:rsid w:val="005D669B"/>
    <w:rsid w:val="005D7666"/>
    <w:rsid w:val="005E0680"/>
    <w:rsid w:val="005E16A1"/>
    <w:rsid w:val="005E17CC"/>
    <w:rsid w:val="005E649E"/>
    <w:rsid w:val="005F0075"/>
    <w:rsid w:val="005F0DAD"/>
    <w:rsid w:val="005F0F33"/>
    <w:rsid w:val="005F309E"/>
    <w:rsid w:val="005F6F7A"/>
    <w:rsid w:val="006002B2"/>
    <w:rsid w:val="00600DE5"/>
    <w:rsid w:val="00600DEB"/>
    <w:rsid w:val="00611645"/>
    <w:rsid w:val="006125C3"/>
    <w:rsid w:val="00612C31"/>
    <w:rsid w:val="00613154"/>
    <w:rsid w:val="00614F05"/>
    <w:rsid w:val="00616E77"/>
    <w:rsid w:val="00617067"/>
    <w:rsid w:val="00617A50"/>
    <w:rsid w:val="00617BB7"/>
    <w:rsid w:val="00623008"/>
    <w:rsid w:val="00625081"/>
    <w:rsid w:val="00625941"/>
    <w:rsid w:val="006262BC"/>
    <w:rsid w:val="00626CB2"/>
    <w:rsid w:val="00627C9F"/>
    <w:rsid w:val="006311E9"/>
    <w:rsid w:val="00632354"/>
    <w:rsid w:val="006348A9"/>
    <w:rsid w:val="00634988"/>
    <w:rsid w:val="00634F3A"/>
    <w:rsid w:val="006373B8"/>
    <w:rsid w:val="00641A27"/>
    <w:rsid w:val="0064228D"/>
    <w:rsid w:val="00642810"/>
    <w:rsid w:val="006446C4"/>
    <w:rsid w:val="0064497A"/>
    <w:rsid w:val="00645038"/>
    <w:rsid w:val="00645348"/>
    <w:rsid w:val="0064778A"/>
    <w:rsid w:val="00652333"/>
    <w:rsid w:val="0065482B"/>
    <w:rsid w:val="00654B97"/>
    <w:rsid w:val="00654BD9"/>
    <w:rsid w:val="0065519D"/>
    <w:rsid w:val="00655B8E"/>
    <w:rsid w:val="006561B4"/>
    <w:rsid w:val="00656C48"/>
    <w:rsid w:val="00660471"/>
    <w:rsid w:val="00660660"/>
    <w:rsid w:val="00660E6B"/>
    <w:rsid w:val="006626BA"/>
    <w:rsid w:val="00663EB2"/>
    <w:rsid w:val="006659B2"/>
    <w:rsid w:val="006672CB"/>
    <w:rsid w:val="00671977"/>
    <w:rsid w:val="00672BEA"/>
    <w:rsid w:val="006746C0"/>
    <w:rsid w:val="00674D11"/>
    <w:rsid w:val="00674DAE"/>
    <w:rsid w:val="00676931"/>
    <w:rsid w:val="00677C9E"/>
    <w:rsid w:val="0068009E"/>
    <w:rsid w:val="006817A5"/>
    <w:rsid w:val="00682954"/>
    <w:rsid w:val="00683FE9"/>
    <w:rsid w:val="00686114"/>
    <w:rsid w:val="00686497"/>
    <w:rsid w:val="0068693F"/>
    <w:rsid w:val="00690D10"/>
    <w:rsid w:val="00692219"/>
    <w:rsid w:val="0069472C"/>
    <w:rsid w:val="006970DB"/>
    <w:rsid w:val="006979DA"/>
    <w:rsid w:val="006A08FD"/>
    <w:rsid w:val="006A11DA"/>
    <w:rsid w:val="006A17D2"/>
    <w:rsid w:val="006A186A"/>
    <w:rsid w:val="006A1B2D"/>
    <w:rsid w:val="006A4B39"/>
    <w:rsid w:val="006A628E"/>
    <w:rsid w:val="006A69FD"/>
    <w:rsid w:val="006A73E6"/>
    <w:rsid w:val="006B2C74"/>
    <w:rsid w:val="006B2D5C"/>
    <w:rsid w:val="006B3B57"/>
    <w:rsid w:val="006B4D40"/>
    <w:rsid w:val="006B5657"/>
    <w:rsid w:val="006C1A20"/>
    <w:rsid w:val="006C26A6"/>
    <w:rsid w:val="006C2918"/>
    <w:rsid w:val="006C4EB1"/>
    <w:rsid w:val="006D227A"/>
    <w:rsid w:val="006D23EF"/>
    <w:rsid w:val="006D36AE"/>
    <w:rsid w:val="006D45A6"/>
    <w:rsid w:val="006D5CAC"/>
    <w:rsid w:val="006D7279"/>
    <w:rsid w:val="006E0166"/>
    <w:rsid w:val="006E2151"/>
    <w:rsid w:val="006E34AE"/>
    <w:rsid w:val="006E3561"/>
    <w:rsid w:val="006E495A"/>
    <w:rsid w:val="006E4DCC"/>
    <w:rsid w:val="006E6862"/>
    <w:rsid w:val="006E7B34"/>
    <w:rsid w:val="006F7AEE"/>
    <w:rsid w:val="00700CD4"/>
    <w:rsid w:val="0070217C"/>
    <w:rsid w:val="00702666"/>
    <w:rsid w:val="00704688"/>
    <w:rsid w:val="00704906"/>
    <w:rsid w:val="00704BB5"/>
    <w:rsid w:val="007062C9"/>
    <w:rsid w:val="0070697F"/>
    <w:rsid w:val="00706F5C"/>
    <w:rsid w:val="007120E1"/>
    <w:rsid w:val="007132E8"/>
    <w:rsid w:val="00720B69"/>
    <w:rsid w:val="0072151D"/>
    <w:rsid w:val="0072199C"/>
    <w:rsid w:val="00721C98"/>
    <w:rsid w:val="007229A0"/>
    <w:rsid w:val="00722C9F"/>
    <w:rsid w:val="007253B8"/>
    <w:rsid w:val="00725C14"/>
    <w:rsid w:val="00726154"/>
    <w:rsid w:val="00727475"/>
    <w:rsid w:val="00727FF0"/>
    <w:rsid w:val="0073631B"/>
    <w:rsid w:val="00736FC9"/>
    <w:rsid w:val="0073724E"/>
    <w:rsid w:val="0073741F"/>
    <w:rsid w:val="00745B34"/>
    <w:rsid w:val="00745C80"/>
    <w:rsid w:val="00747303"/>
    <w:rsid w:val="00752540"/>
    <w:rsid w:val="0075312F"/>
    <w:rsid w:val="00754CD7"/>
    <w:rsid w:val="00756A96"/>
    <w:rsid w:val="00763F50"/>
    <w:rsid w:val="0076643F"/>
    <w:rsid w:val="007715CB"/>
    <w:rsid w:val="007730BC"/>
    <w:rsid w:val="00773736"/>
    <w:rsid w:val="007740B1"/>
    <w:rsid w:val="00774748"/>
    <w:rsid w:val="0077700B"/>
    <w:rsid w:val="00777F63"/>
    <w:rsid w:val="00777FDB"/>
    <w:rsid w:val="00782DEE"/>
    <w:rsid w:val="00785C04"/>
    <w:rsid w:val="0078754A"/>
    <w:rsid w:val="00795AA1"/>
    <w:rsid w:val="007A2076"/>
    <w:rsid w:val="007A3660"/>
    <w:rsid w:val="007A3C53"/>
    <w:rsid w:val="007A5817"/>
    <w:rsid w:val="007A5A7C"/>
    <w:rsid w:val="007A7F12"/>
    <w:rsid w:val="007B0C4C"/>
    <w:rsid w:val="007B2F0F"/>
    <w:rsid w:val="007B425C"/>
    <w:rsid w:val="007B60E9"/>
    <w:rsid w:val="007B6575"/>
    <w:rsid w:val="007B6CC3"/>
    <w:rsid w:val="007B7457"/>
    <w:rsid w:val="007B78CC"/>
    <w:rsid w:val="007B7F7D"/>
    <w:rsid w:val="007C0236"/>
    <w:rsid w:val="007C047E"/>
    <w:rsid w:val="007C2149"/>
    <w:rsid w:val="007C30EE"/>
    <w:rsid w:val="007C315E"/>
    <w:rsid w:val="007C3334"/>
    <w:rsid w:val="007C370D"/>
    <w:rsid w:val="007C5B49"/>
    <w:rsid w:val="007C5EBE"/>
    <w:rsid w:val="007C6D32"/>
    <w:rsid w:val="007C756A"/>
    <w:rsid w:val="007C7FBD"/>
    <w:rsid w:val="007D1FF6"/>
    <w:rsid w:val="007D20FA"/>
    <w:rsid w:val="007D238D"/>
    <w:rsid w:val="007D2B98"/>
    <w:rsid w:val="007E21BC"/>
    <w:rsid w:val="007E24B0"/>
    <w:rsid w:val="007E59CC"/>
    <w:rsid w:val="007E5BBD"/>
    <w:rsid w:val="007F7E9A"/>
    <w:rsid w:val="00800D97"/>
    <w:rsid w:val="008025C0"/>
    <w:rsid w:val="0080380A"/>
    <w:rsid w:val="00803F1C"/>
    <w:rsid w:val="00805617"/>
    <w:rsid w:val="0080600E"/>
    <w:rsid w:val="008063E6"/>
    <w:rsid w:val="00810C81"/>
    <w:rsid w:val="00811829"/>
    <w:rsid w:val="00813005"/>
    <w:rsid w:val="00813B42"/>
    <w:rsid w:val="008145CB"/>
    <w:rsid w:val="0081474F"/>
    <w:rsid w:val="00815021"/>
    <w:rsid w:val="00815891"/>
    <w:rsid w:val="00816544"/>
    <w:rsid w:val="00816696"/>
    <w:rsid w:val="0081736C"/>
    <w:rsid w:val="00817612"/>
    <w:rsid w:val="00817DD8"/>
    <w:rsid w:val="008217E6"/>
    <w:rsid w:val="00826042"/>
    <w:rsid w:val="008266A7"/>
    <w:rsid w:val="008270E2"/>
    <w:rsid w:val="0083036F"/>
    <w:rsid w:val="00832BAC"/>
    <w:rsid w:val="00832F79"/>
    <w:rsid w:val="008338A4"/>
    <w:rsid w:val="00833A7E"/>
    <w:rsid w:val="00834F00"/>
    <w:rsid w:val="00835116"/>
    <w:rsid w:val="00837C45"/>
    <w:rsid w:val="00842F10"/>
    <w:rsid w:val="0084372E"/>
    <w:rsid w:val="008441D5"/>
    <w:rsid w:val="00844730"/>
    <w:rsid w:val="008457C2"/>
    <w:rsid w:val="008466BE"/>
    <w:rsid w:val="0084708B"/>
    <w:rsid w:val="0084759E"/>
    <w:rsid w:val="0085280B"/>
    <w:rsid w:val="00857A82"/>
    <w:rsid w:val="0086036C"/>
    <w:rsid w:val="008660CD"/>
    <w:rsid w:val="008705DA"/>
    <w:rsid w:val="00872C64"/>
    <w:rsid w:val="00873016"/>
    <w:rsid w:val="008732DB"/>
    <w:rsid w:val="00873781"/>
    <w:rsid w:val="00873836"/>
    <w:rsid w:val="0087465B"/>
    <w:rsid w:val="00877214"/>
    <w:rsid w:val="008824DF"/>
    <w:rsid w:val="00885737"/>
    <w:rsid w:val="0088694E"/>
    <w:rsid w:val="00890650"/>
    <w:rsid w:val="008933F9"/>
    <w:rsid w:val="008942DB"/>
    <w:rsid w:val="00897E12"/>
    <w:rsid w:val="008A078F"/>
    <w:rsid w:val="008A2396"/>
    <w:rsid w:val="008A30E1"/>
    <w:rsid w:val="008A33B5"/>
    <w:rsid w:val="008A3409"/>
    <w:rsid w:val="008A7E0F"/>
    <w:rsid w:val="008B0E75"/>
    <w:rsid w:val="008B12F5"/>
    <w:rsid w:val="008B22FE"/>
    <w:rsid w:val="008B36C7"/>
    <w:rsid w:val="008B401C"/>
    <w:rsid w:val="008B67A8"/>
    <w:rsid w:val="008B6DD5"/>
    <w:rsid w:val="008B6EC2"/>
    <w:rsid w:val="008C08B5"/>
    <w:rsid w:val="008C3098"/>
    <w:rsid w:val="008C5C40"/>
    <w:rsid w:val="008C6955"/>
    <w:rsid w:val="008C757D"/>
    <w:rsid w:val="008C7D46"/>
    <w:rsid w:val="008D0934"/>
    <w:rsid w:val="008D28F9"/>
    <w:rsid w:val="008D44AF"/>
    <w:rsid w:val="008D47BE"/>
    <w:rsid w:val="008D768D"/>
    <w:rsid w:val="008E1A54"/>
    <w:rsid w:val="008E2AAE"/>
    <w:rsid w:val="008E2E59"/>
    <w:rsid w:val="008E36F7"/>
    <w:rsid w:val="008E3759"/>
    <w:rsid w:val="008E4CA0"/>
    <w:rsid w:val="008E5716"/>
    <w:rsid w:val="008F0C9D"/>
    <w:rsid w:val="008F1912"/>
    <w:rsid w:val="008F1B28"/>
    <w:rsid w:val="008F5456"/>
    <w:rsid w:val="008F5D81"/>
    <w:rsid w:val="008F5E58"/>
    <w:rsid w:val="008F604B"/>
    <w:rsid w:val="009014A4"/>
    <w:rsid w:val="0090192B"/>
    <w:rsid w:val="009023EA"/>
    <w:rsid w:val="0090270B"/>
    <w:rsid w:val="009036D5"/>
    <w:rsid w:val="009041DC"/>
    <w:rsid w:val="00906775"/>
    <w:rsid w:val="00910791"/>
    <w:rsid w:val="009136EF"/>
    <w:rsid w:val="00913C68"/>
    <w:rsid w:val="0091420F"/>
    <w:rsid w:val="00915482"/>
    <w:rsid w:val="009162D5"/>
    <w:rsid w:val="00916E70"/>
    <w:rsid w:val="0091795C"/>
    <w:rsid w:val="00917B5A"/>
    <w:rsid w:val="00917CB9"/>
    <w:rsid w:val="00920A58"/>
    <w:rsid w:val="00920A8C"/>
    <w:rsid w:val="0092111F"/>
    <w:rsid w:val="009213BD"/>
    <w:rsid w:val="0092252D"/>
    <w:rsid w:val="00923207"/>
    <w:rsid w:val="00923B2F"/>
    <w:rsid w:val="00923C3F"/>
    <w:rsid w:val="00926763"/>
    <w:rsid w:val="00930407"/>
    <w:rsid w:val="00931007"/>
    <w:rsid w:val="009317D8"/>
    <w:rsid w:val="00934A2C"/>
    <w:rsid w:val="009360F6"/>
    <w:rsid w:val="00937B55"/>
    <w:rsid w:val="00941359"/>
    <w:rsid w:val="00941583"/>
    <w:rsid w:val="00941C6B"/>
    <w:rsid w:val="00941DA1"/>
    <w:rsid w:val="00942E3C"/>
    <w:rsid w:val="00951C2C"/>
    <w:rsid w:val="00951CBC"/>
    <w:rsid w:val="009537A3"/>
    <w:rsid w:val="00954263"/>
    <w:rsid w:val="00956D63"/>
    <w:rsid w:val="009609E8"/>
    <w:rsid w:val="00961A91"/>
    <w:rsid w:val="00961F39"/>
    <w:rsid w:val="00964C4A"/>
    <w:rsid w:val="00965C01"/>
    <w:rsid w:val="0096706E"/>
    <w:rsid w:val="00967A49"/>
    <w:rsid w:val="00974E93"/>
    <w:rsid w:val="009759E1"/>
    <w:rsid w:val="00975C4E"/>
    <w:rsid w:val="00976F8C"/>
    <w:rsid w:val="00981000"/>
    <w:rsid w:val="00981872"/>
    <w:rsid w:val="00981FBA"/>
    <w:rsid w:val="009822AD"/>
    <w:rsid w:val="009877A8"/>
    <w:rsid w:val="009910FB"/>
    <w:rsid w:val="0099117A"/>
    <w:rsid w:val="00992DFC"/>
    <w:rsid w:val="00997155"/>
    <w:rsid w:val="00997BC5"/>
    <w:rsid w:val="009A0BE3"/>
    <w:rsid w:val="009A4F41"/>
    <w:rsid w:val="009B07FA"/>
    <w:rsid w:val="009B1B0E"/>
    <w:rsid w:val="009B381B"/>
    <w:rsid w:val="009B5FCE"/>
    <w:rsid w:val="009B7AF8"/>
    <w:rsid w:val="009C039E"/>
    <w:rsid w:val="009C06D0"/>
    <w:rsid w:val="009C1D16"/>
    <w:rsid w:val="009C2244"/>
    <w:rsid w:val="009C4EAA"/>
    <w:rsid w:val="009C5ED9"/>
    <w:rsid w:val="009C747B"/>
    <w:rsid w:val="009C7666"/>
    <w:rsid w:val="009C7F72"/>
    <w:rsid w:val="009D04D4"/>
    <w:rsid w:val="009D1753"/>
    <w:rsid w:val="009D2DF1"/>
    <w:rsid w:val="009D3F08"/>
    <w:rsid w:val="009D4CC1"/>
    <w:rsid w:val="009D74E8"/>
    <w:rsid w:val="009D7611"/>
    <w:rsid w:val="009E0B61"/>
    <w:rsid w:val="009E16B4"/>
    <w:rsid w:val="009E53A3"/>
    <w:rsid w:val="009E53DE"/>
    <w:rsid w:val="009F00FF"/>
    <w:rsid w:val="009F238A"/>
    <w:rsid w:val="009F4AE1"/>
    <w:rsid w:val="009F4B86"/>
    <w:rsid w:val="009F602F"/>
    <w:rsid w:val="009F70EC"/>
    <w:rsid w:val="00A00A17"/>
    <w:rsid w:val="00A01653"/>
    <w:rsid w:val="00A02785"/>
    <w:rsid w:val="00A03A30"/>
    <w:rsid w:val="00A06F25"/>
    <w:rsid w:val="00A121BD"/>
    <w:rsid w:val="00A133E7"/>
    <w:rsid w:val="00A16F58"/>
    <w:rsid w:val="00A215FA"/>
    <w:rsid w:val="00A2252E"/>
    <w:rsid w:val="00A228FA"/>
    <w:rsid w:val="00A22E04"/>
    <w:rsid w:val="00A230FB"/>
    <w:rsid w:val="00A2598E"/>
    <w:rsid w:val="00A328B3"/>
    <w:rsid w:val="00A32EA9"/>
    <w:rsid w:val="00A333F4"/>
    <w:rsid w:val="00A33B1E"/>
    <w:rsid w:val="00A35D50"/>
    <w:rsid w:val="00A3662D"/>
    <w:rsid w:val="00A44995"/>
    <w:rsid w:val="00A47158"/>
    <w:rsid w:val="00A47F90"/>
    <w:rsid w:val="00A50FCF"/>
    <w:rsid w:val="00A528D1"/>
    <w:rsid w:val="00A5396D"/>
    <w:rsid w:val="00A57B48"/>
    <w:rsid w:val="00A610CD"/>
    <w:rsid w:val="00A62CF6"/>
    <w:rsid w:val="00A63593"/>
    <w:rsid w:val="00A67355"/>
    <w:rsid w:val="00A67E9B"/>
    <w:rsid w:val="00A70627"/>
    <w:rsid w:val="00A72C54"/>
    <w:rsid w:val="00A72D05"/>
    <w:rsid w:val="00A73C9A"/>
    <w:rsid w:val="00A74D4C"/>
    <w:rsid w:val="00A75E63"/>
    <w:rsid w:val="00A77E4E"/>
    <w:rsid w:val="00A814FA"/>
    <w:rsid w:val="00A81ACC"/>
    <w:rsid w:val="00A83160"/>
    <w:rsid w:val="00A90753"/>
    <w:rsid w:val="00A9240C"/>
    <w:rsid w:val="00A94F13"/>
    <w:rsid w:val="00A952B7"/>
    <w:rsid w:val="00AA09A2"/>
    <w:rsid w:val="00AA1708"/>
    <w:rsid w:val="00AA527C"/>
    <w:rsid w:val="00AA62A7"/>
    <w:rsid w:val="00AA7996"/>
    <w:rsid w:val="00AB1782"/>
    <w:rsid w:val="00AB43AE"/>
    <w:rsid w:val="00AC19CB"/>
    <w:rsid w:val="00AC1A5B"/>
    <w:rsid w:val="00AC2FEC"/>
    <w:rsid w:val="00AC48E1"/>
    <w:rsid w:val="00AC55D4"/>
    <w:rsid w:val="00AD159D"/>
    <w:rsid w:val="00AD59F9"/>
    <w:rsid w:val="00AD7F14"/>
    <w:rsid w:val="00AE0379"/>
    <w:rsid w:val="00AE07EF"/>
    <w:rsid w:val="00AE293C"/>
    <w:rsid w:val="00AE31FB"/>
    <w:rsid w:val="00AE3247"/>
    <w:rsid w:val="00AE3385"/>
    <w:rsid w:val="00AE446C"/>
    <w:rsid w:val="00AE5488"/>
    <w:rsid w:val="00AE6D9D"/>
    <w:rsid w:val="00AE6F91"/>
    <w:rsid w:val="00AF0EB9"/>
    <w:rsid w:val="00AF2928"/>
    <w:rsid w:val="00AF35FA"/>
    <w:rsid w:val="00AF5571"/>
    <w:rsid w:val="00AF7988"/>
    <w:rsid w:val="00AF7D9A"/>
    <w:rsid w:val="00B01A6C"/>
    <w:rsid w:val="00B07184"/>
    <w:rsid w:val="00B0720D"/>
    <w:rsid w:val="00B07341"/>
    <w:rsid w:val="00B10876"/>
    <w:rsid w:val="00B12B49"/>
    <w:rsid w:val="00B1438A"/>
    <w:rsid w:val="00B14AF3"/>
    <w:rsid w:val="00B14D90"/>
    <w:rsid w:val="00B15B5D"/>
    <w:rsid w:val="00B21154"/>
    <w:rsid w:val="00B21D9E"/>
    <w:rsid w:val="00B24A81"/>
    <w:rsid w:val="00B24C7E"/>
    <w:rsid w:val="00B2586E"/>
    <w:rsid w:val="00B25CB8"/>
    <w:rsid w:val="00B27DE6"/>
    <w:rsid w:val="00B30539"/>
    <w:rsid w:val="00B314A4"/>
    <w:rsid w:val="00B314DB"/>
    <w:rsid w:val="00B33161"/>
    <w:rsid w:val="00B34CE7"/>
    <w:rsid w:val="00B34D72"/>
    <w:rsid w:val="00B361F2"/>
    <w:rsid w:val="00B36A91"/>
    <w:rsid w:val="00B3718B"/>
    <w:rsid w:val="00B372BC"/>
    <w:rsid w:val="00B405AB"/>
    <w:rsid w:val="00B413A2"/>
    <w:rsid w:val="00B42305"/>
    <w:rsid w:val="00B4270D"/>
    <w:rsid w:val="00B4463F"/>
    <w:rsid w:val="00B44A04"/>
    <w:rsid w:val="00B4632A"/>
    <w:rsid w:val="00B50860"/>
    <w:rsid w:val="00B513B1"/>
    <w:rsid w:val="00B530F1"/>
    <w:rsid w:val="00B5495D"/>
    <w:rsid w:val="00B54A0C"/>
    <w:rsid w:val="00B5548C"/>
    <w:rsid w:val="00B55BF5"/>
    <w:rsid w:val="00B60C3F"/>
    <w:rsid w:val="00B61339"/>
    <w:rsid w:val="00B6194C"/>
    <w:rsid w:val="00B630CB"/>
    <w:rsid w:val="00B632D6"/>
    <w:rsid w:val="00B660F3"/>
    <w:rsid w:val="00B67999"/>
    <w:rsid w:val="00B70049"/>
    <w:rsid w:val="00B700BF"/>
    <w:rsid w:val="00B70233"/>
    <w:rsid w:val="00B714EC"/>
    <w:rsid w:val="00B73CDF"/>
    <w:rsid w:val="00B74069"/>
    <w:rsid w:val="00B80143"/>
    <w:rsid w:val="00B85401"/>
    <w:rsid w:val="00B86FD4"/>
    <w:rsid w:val="00B906FE"/>
    <w:rsid w:val="00B918E1"/>
    <w:rsid w:val="00B91C43"/>
    <w:rsid w:val="00B93E82"/>
    <w:rsid w:val="00B93EEC"/>
    <w:rsid w:val="00B95668"/>
    <w:rsid w:val="00BA1068"/>
    <w:rsid w:val="00BA13FE"/>
    <w:rsid w:val="00BA276C"/>
    <w:rsid w:val="00BA4557"/>
    <w:rsid w:val="00BA461E"/>
    <w:rsid w:val="00BA71C9"/>
    <w:rsid w:val="00BB062B"/>
    <w:rsid w:val="00BB13E7"/>
    <w:rsid w:val="00BB3069"/>
    <w:rsid w:val="00BB306F"/>
    <w:rsid w:val="00BB3731"/>
    <w:rsid w:val="00BB51DC"/>
    <w:rsid w:val="00BB548E"/>
    <w:rsid w:val="00BB72FA"/>
    <w:rsid w:val="00BB79E1"/>
    <w:rsid w:val="00BB7A06"/>
    <w:rsid w:val="00BC1180"/>
    <w:rsid w:val="00BC1CF3"/>
    <w:rsid w:val="00BC338A"/>
    <w:rsid w:val="00BC53C1"/>
    <w:rsid w:val="00BC60F9"/>
    <w:rsid w:val="00BC6BE9"/>
    <w:rsid w:val="00BC6DEE"/>
    <w:rsid w:val="00BD20B8"/>
    <w:rsid w:val="00BD350A"/>
    <w:rsid w:val="00BD4B89"/>
    <w:rsid w:val="00BD4C32"/>
    <w:rsid w:val="00BD4EC0"/>
    <w:rsid w:val="00BD5934"/>
    <w:rsid w:val="00BE0881"/>
    <w:rsid w:val="00BE0C38"/>
    <w:rsid w:val="00BE2278"/>
    <w:rsid w:val="00BE499F"/>
    <w:rsid w:val="00BE755D"/>
    <w:rsid w:val="00BE7F11"/>
    <w:rsid w:val="00BF02CB"/>
    <w:rsid w:val="00BF11D3"/>
    <w:rsid w:val="00BF1664"/>
    <w:rsid w:val="00BF26F5"/>
    <w:rsid w:val="00BF6D8A"/>
    <w:rsid w:val="00BF6EE9"/>
    <w:rsid w:val="00BF6FD8"/>
    <w:rsid w:val="00BF750A"/>
    <w:rsid w:val="00C03680"/>
    <w:rsid w:val="00C054DF"/>
    <w:rsid w:val="00C056D7"/>
    <w:rsid w:val="00C05784"/>
    <w:rsid w:val="00C11DAE"/>
    <w:rsid w:val="00C139D4"/>
    <w:rsid w:val="00C14F9B"/>
    <w:rsid w:val="00C152AE"/>
    <w:rsid w:val="00C1683B"/>
    <w:rsid w:val="00C16DC0"/>
    <w:rsid w:val="00C200F7"/>
    <w:rsid w:val="00C208AE"/>
    <w:rsid w:val="00C21762"/>
    <w:rsid w:val="00C2248D"/>
    <w:rsid w:val="00C24543"/>
    <w:rsid w:val="00C256A2"/>
    <w:rsid w:val="00C27F42"/>
    <w:rsid w:val="00C313A4"/>
    <w:rsid w:val="00C3340F"/>
    <w:rsid w:val="00C33D0B"/>
    <w:rsid w:val="00C35ECA"/>
    <w:rsid w:val="00C36361"/>
    <w:rsid w:val="00C36B88"/>
    <w:rsid w:val="00C40210"/>
    <w:rsid w:val="00C40789"/>
    <w:rsid w:val="00C428EB"/>
    <w:rsid w:val="00C46EE5"/>
    <w:rsid w:val="00C50258"/>
    <w:rsid w:val="00C51515"/>
    <w:rsid w:val="00C55167"/>
    <w:rsid w:val="00C557EF"/>
    <w:rsid w:val="00C55F8A"/>
    <w:rsid w:val="00C560E0"/>
    <w:rsid w:val="00C5660B"/>
    <w:rsid w:val="00C60C54"/>
    <w:rsid w:val="00C62A75"/>
    <w:rsid w:val="00C6435A"/>
    <w:rsid w:val="00C65232"/>
    <w:rsid w:val="00C66B72"/>
    <w:rsid w:val="00C67AD1"/>
    <w:rsid w:val="00C72E06"/>
    <w:rsid w:val="00C7369C"/>
    <w:rsid w:val="00C75282"/>
    <w:rsid w:val="00C76A4A"/>
    <w:rsid w:val="00C810D8"/>
    <w:rsid w:val="00C85158"/>
    <w:rsid w:val="00C861A9"/>
    <w:rsid w:val="00C86665"/>
    <w:rsid w:val="00C909C7"/>
    <w:rsid w:val="00C9375F"/>
    <w:rsid w:val="00C9567A"/>
    <w:rsid w:val="00C96866"/>
    <w:rsid w:val="00C969E9"/>
    <w:rsid w:val="00C97129"/>
    <w:rsid w:val="00CA1C0C"/>
    <w:rsid w:val="00CA3698"/>
    <w:rsid w:val="00CA435D"/>
    <w:rsid w:val="00CA5A40"/>
    <w:rsid w:val="00CA6F80"/>
    <w:rsid w:val="00CA7DF0"/>
    <w:rsid w:val="00CB212D"/>
    <w:rsid w:val="00CB2583"/>
    <w:rsid w:val="00CB2660"/>
    <w:rsid w:val="00CB338A"/>
    <w:rsid w:val="00CB4A9E"/>
    <w:rsid w:val="00CC1E3C"/>
    <w:rsid w:val="00CC30EC"/>
    <w:rsid w:val="00CC4B3F"/>
    <w:rsid w:val="00CC595F"/>
    <w:rsid w:val="00CC5E90"/>
    <w:rsid w:val="00CC63CF"/>
    <w:rsid w:val="00CC7AC9"/>
    <w:rsid w:val="00CD0232"/>
    <w:rsid w:val="00CD046C"/>
    <w:rsid w:val="00CD4638"/>
    <w:rsid w:val="00CD5A1C"/>
    <w:rsid w:val="00CD6272"/>
    <w:rsid w:val="00CE076C"/>
    <w:rsid w:val="00CE46BF"/>
    <w:rsid w:val="00CE5199"/>
    <w:rsid w:val="00CE61E0"/>
    <w:rsid w:val="00CE66D5"/>
    <w:rsid w:val="00CF637A"/>
    <w:rsid w:val="00CF63D2"/>
    <w:rsid w:val="00CF7109"/>
    <w:rsid w:val="00D00444"/>
    <w:rsid w:val="00D00ED9"/>
    <w:rsid w:val="00D02FC9"/>
    <w:rsid w:val="00D0318B"/>
    <w:rsid w:val="00D059DE"/>
    <w:rsid w:val="00D107DF"/>
    <w:rsid w:val="00D11D32"/>
    <w:rsid w:val="00D12193"/>
    <w:rsid w:val="00D131AB"/>
    <w:rsid w:val="00D13FCE"/>
    <w:rsid w:val="00D14420"/>
    <w:rsid w:val="00D15352"/>
    <w:rsid w:val="00D268AB"/>
    <w:rsid w:val="00D26CCE"/>
    <w:rsid w:val="00D306D1"/>
    <w:rsid w:val="00D33B5D"/>
    <w:rsid w:val="00D34786"/>
    <w:rsid w:val="00D36850"/>
    <w:rsid w:val="00D371D1"/>
    <w:rsid w:val="00D37BFC"/>
    <w:rsid w:val="00D4337D"/>
    <w:rsid w:val="00D479B9"/>
    <w:rsid w:val="00D47A8E"/>
    <w:rsid w:val="00D50524"/>
    <w:rsid w:val="00D52D14"/>
    <w:rsid w:val="00D54515"/>
    <w:rsid w:val="00D54899"/>
    <w:rsid w:val="00D61662"/>
    <w:rsid w:val="00D6771C"/>
    <w:rsid w:val="00D67A26"/>
    <w:rsid w:val="00D712D3"/>
    <w:rsid w:val="00D71422"/>
    <w:rsid w:val="00D72DC6"/>
    <w:rsid w:val="00D7558D"/>
    <w:rsid w:val="00D765CB"/>
    <w:rsid w:val="00D76E23"/>
    <w:rsid w:val="00D774CD"/>
    <w:rsid w:val="00D77E0C"/>
    <w:rsid w:val="00D81D92"/>
    <w:rsid w:val="00D82292"/>
    <w:rsid w:val="00D83D73"/>
    <w:rsid w:val="00D85D6B"/>
    <w:rsid w:val="00D870E0"/>
    <w:rsid w:val="00D87271"/>
    <w:rsid w:val="00D936B8"/>
    <w:rsid w:val="00D96E66"/>
    <w:rsid w:val="00D974D8"/>
    <w:rsid w:val="00DA0331"/>
    <w:rsid w:val="00DA23CB"/>
    <w:rsid w:val="00DA37D7"/>
    <w:rsid w:val="00DA7B5F"/>
    <w:rsid w:val="00DB390C"/>
    <w:rsid w:val="00DC11E7"/>
    <w:rsid w:val="00DC4F6F"/>
    <w:rsid w:val="00DC62BC"/>
    <w:rsid w:val="00DC7023"/>
    <w:rsid w:val="00DC769A"/>
    <w:rsid w:val="00DD3D86"/>
    <w:rsid w:val="00DD46D5"/>
    <w:rsid w:val="00DD494E"/>
    <w:rsid w:val="00DD4BFE"/>
    <w:rsid w:val="00DD690F"/>
    <w:rsid w:val="00DD7A99"/>
    <w:rsid w:val="00DE5118"/>
    <w:rsid w:val="00DE6325"/>
    <w:rsid w:val="00DF032A"/>
    <w:rsid w:val="00DF1A37"/>
    <w:rsid w:val="00DF1EC4"/>
    <w:rsid w:val="00DF3642"/>
    <w:rsid w:val="00DF396B"/>
    <w:rsid w:val="00DF46ED"/>
    <w:rsid w:val="00DF6CFE"/>
    <w:rsid w:val="00E013F0"/>
    <w:rsid w:val="00E0340B"/>
    <w:rsid w:val="00E0411B"/>
    <w:rsid w:val="00E04A90"/>
    <w:rsid w:val="00E12478"/>
    <w:rsid w:val="00E14599"/>
    <w:rsid w:val="00E16649"/>
    <w:rsid w:val="00E16924"/>
    <w:rsid w:val="00E21140"/>
    <w:rsid w:val="00E219C7"/>
    <w:rsid w:val="00E23F13"/>
    <w:rsid w:val="00E25FE4"/>
    <w:rsid w:val="00E274EC"/>
    <w:rsid w:val="00E30436"/>
    <w:rsid w:val="00E338E3"/>
    <w:rsid w:val="00E3430E"/>
    <w:rsid w:val="00E34E96"/>
    <w:rsid w:val="00E36486"/>
    <w:rsid w:val="00E37711"/>
    <w:rsid w:val="00E41134"/>
    <w:rsid w:val="00E41912"/>
    <w:rsid w:val="00E43157"/>
    <w:rsid w:val="00E449E8"/>
    <w:rsid w:val="00E461CE"/>
    <w:rsid w:val="00E46FB1"/>
    <w:rsid w:val="00E51BBE"/>
    <w:rsid w:val="00E51F5B"/>
    <w:rsid w:val="00E52CE3"/>
    <w:rsid w:val="00E5325A"/>
    <w:rsid w:val="00E556D8"/>
    <w:rsid w:val="00E55A50"/>
    <w:rsid w:val="00E5696E"/>
    <w:rsid w:val="00E64DAC"/>
    <w:rsid w:val="00E65470"/>
    <w:rsid w:val="00E7107E"/>
    <w:rsid w:val="00E720CA"/>
    <w:rsid w:val="00E74898"/>
    <w:rsid w:val="00E75225"/>
    <w:rsid w:val="00E758F9"/>
    <w:rsid w:val="00E80795"/>
    <w:rsid w:val="00E810C3"/>
    <w:rsid w:val="00E812B1"/>
    <w:rsid w:val="00E82ADE"/>
    <w:rsid w:val="00E82DC0"/>
    <w:rsid w:val="00E84EB5"/>
    <w:rsid w:val="00E85662"/>
    <w:rsid w:val="00E8789F"/>
    <w:rsid w:val="00E905D3"/>
    <w:rsid w:val="00E906E2"/>
    <w:rsid w:val="00E909AA"/>
    <w:rsid w:val="00E916F4"/>
    <w:rsid w:val="00E93E20"/>
    <w:rsid w:val="00E97124"/>
    <w:rsid w:val="00E97B71"/>
    <w:rsid w:val="00EA1B45"/>
    <w:rsid w:val="00EA1E05"/>
    <w:rsid w:val="00EA3556"/>
    <w:rsid w:val="00EA3AD2"/>
    <w:rsid w:val="00EA3D34"/>
    <w:rsid w:val="00EA5777"/>
    <w:rsid w:val="00EA7330"/>
    <w:rsid w:val="00EA795C"/>
    <w:rsid w:val="00EB454D"/>
    <w:rsid w:val="00ED0A1C"/>
    <w:rsid w:val="00ED0C8D"/>
    <w:rsid w:val="00ED153D"/>
    <w:rsid w:val="00ED76BE"/>
    <w:rsid w:val="00EE523D"/>
    <w:rsid w:val="00EE55CC"/>
    <w:rsid w:val="00EE68E9"/>
    <w:rsid w:val="00EE7F9B"/>
    <w:rsid w:val="00EF073A"/>
    <w:rsid w:val="00EF08A0"/>
    <w:rsid w:val="00EF08E1"/>
    <w:rsid w:val="00EF4252"/>
    <w:rsid w:val="00EF5ABA"/>
    <w:rsid w:val="00EF619B"/>
    <w:rsid w:val="00EF7742"/>
    <w:rsid w:val="00F00B55"/>
    <w:rsid w:val="00F01397"/>
    <w:rsid w:val="00F01988"/>
    <w:rsid w:val="00F02AD1"/>
    <w:rsid w:val="00F04281"/>
    <w:rsid w:val="00F06CED"/>
    <w:rsid w:val="00F07662"/>
    <w:rsid w:val="00F12BE8"/>
    <w:rsid w:val="00F12D28"/>
    <w:rsid w:val="00F2077F"/>
    <w:rsid w:val="00F24E28"/>
    <w:rsid w:val="00F253CC"/>
    <w:rsid w:val="00F3022D"/>
    <w:rsid w:val="00F366A0"/>
    <w:rsid w:val="00F36CDD"/>
    <w:rsid w:val="00F37106"/>
    <w:rsid w:val="00F41681"/>
    <w:rsid w:val="00F43AE1"/>
    <w:rsid w:val="00F469EF"/>
    <w:rsid w:val="00F50AB3"/>
    <w:rsid w:val="00F50C5A"/>
    <w:rsid w:val="00F519CF"/>
    <w:rsid w:val="00F52354"/>
    <w:rsid w:val="00F52609"/>
    <w:rsid w:val="00F55100"/>
    <w:rsid w:val="00F551E4"/>
    <w:rsid w:val="00F56BA5"/>
    <w:rsid w:val="00F60E22"/>
    <w:rsid w:val="00F61019"/>
    <w:rsid w:val="00F6209F"/>
    <w:rsid w:val="00F637AB"/>
    <w:rsid w:val="00F64C1D"/>
    <w:rsid w:val="00F702A7"/>
    <w:rsid w:val="00F72291"/>
    <w:rsid w:val="00F73104"/>
    <w:rsid w:val="00F805FB"/>
    <w:rsid w:val="00F81395"/>
    <w:rsid w:val="00F83CC5"/>
    <w:rsid w:val="00F84F07"/>
    <w:rsid w:val="00F86009"/>
    <w:rsid w:val="00F902EB"/>
    <w:rsid w:val="00F917D1"/>
    <w:rsid w:val="00F91B1F"/>
    <w:rsid w:val="00F9473B"/>
    <w:rsid w:val="00F952DD"/>
    <w:rsid w:val="00F95B3D"/>
    <w:rsid w:val="00F9653B"/>
    <w:rsid w:val="00FA1135"/>
    <w:rsid w:val="00FA4E91"/>
    <w:rsid w:val="00FB4380"/>
    <w:rsid w:val="00FB62CF"/>
    <w:rsid w:val="00FB6EEE"/>
    <w:rsid w:val="00FC1EF5"/>
    <w:rsid w:val="00FC2375"/>
    <w:rsid w:val="00FC4B4B"/>
    <w:rsid w:val="00FC6D5C"/>
    <w:rsid w:val="00FC74B0"/>
    <w:rsid w:val="00FD0740"/>
    <w:rsid w:val="00FD1B19"/>
    <w:rsid w:val="00FD1F2C"/>
    <w:rsid w:val="00FD2B86"/>
    <w:rsid w:val="00FD2D6A"/>
    <w:rsid w:val="00FD3C3B"/>
    <w:rsid w:val="00FD5A99"/>
    <w:rsid w:val="00FE07DD"/>
    <w:rsid w:val="00FE1E41"/>
    <w:rsid w:val="00FE214E"/>
    <w:rsid w:val="00FE2E21"/>
    <w:rsid w:val="00FE3143"/>
    <w:rsid w:val="00FE340A"/>
    <w:rsid w:val="00FE6B45"/>
    <w:rsid w:val="00FE79F8"/>
    <w:rsid w:val="00FF00CF"/>
    <w:rsid w:val="00FF46AA"/>
    <w:rsid w:val="00FF55F3"/>
    <w:rsid w:val="00FF5851"/>
    <w:rsid w:val="00FF5B33"/>
    <w:rsid w:val="00FF63CB"/>
    <w:rsid w:val="00FF704A"/>
    <w:rsid w:val="00FF76DA"/>
    <w:rsid w:val="00FF7B79"/>
    <w:rsid w:val="00FF7D5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14:docId w14:val="4351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ListParagraph"/>
    <w:next w:val="Normal"/>
    <w:link w:val="Heading1Char"/>
    <w:uiPriority w:val="9"/>
    <w:qFormat/>
    <w:rsid w:val="00941C6B"/>
    <w:pPr>
      <w:numPr>
        <w:numId w:val="54"/>
      </w:numPr>
      <w:suppressAutoHyphens/>
      <w:ind w:left="1440" w:hanging="810"/>
      <w:outlineLvl w:val="0"/>
    </w:pPr>
    <w:rPr>
      <w:rFonts w:asciiTheme="majorHAnsi" w:hAnsiTheme="majorHAnsi"/>
      <w:b/>
      <w:sz w:val="20"/>
      <w:szCs w:val="20"/>
      <w:lang w:val="es-ES_tradnl"/>
    </w:rPr>
  </w:style>
  <w:style w:type="paragraph" w:styleId="Heading2">
    <w:name w:val="heading 2"/>
    <w:basedOn w:val="ListParagraph"/>
    <w:next w:val="Normal"/>
    <w:link w:val="Heading2Char"/>
    <w:uiPriority w:val="9"/>
    <w:qFormat/>
    <w:rsid w:val="007C047E"/>
    <w:pPr>
      <w:numPr>
        <w:numId w:val="55"/>
      </w:numPr>
      <w:suppressAutoHyphens/>
      <w:outlineLvl w:val="1"/>
    </w:pPr>
    <w:rPr>
      <w:rFonts w:asciiTheme="majorHAnsi" w:hAnsiTheme="majorHAnsi"/>
      <w:b/>
      <w:sz w:val="20"/>
      <w:szCs w:val="20"/>
      <w:lang w:val="es-ES_tradnl"/>
    </w:rPr>
  </w:style>
  <w:style w:type="paragraph" w:styleId="Heading3">
    <w:name w:val="heading 3"/>
    <w:basedOn w:val="Normal"/>
    <w:next w:val="Normal"/>
    <w:link w:val="Heading3Char"/>
    <w:uiPriority w:val="9"/>
    <w:qFormat/>
    <w:rsid w:val="00254252"/>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Cambria" w:eastAsia="Times New Roman" w:hAnsi="Cambria" w:cs="Arial"/>
      <w:b/>
      <w:bCs/>
      <w:sz w:val="20"/>
      <w:szCs w:val="26"/>
      <w:bdr w:val="none" w:sz="0" w:space="0" w:color="auto"/>
    </w:rPr>
  </w:style>
  <w:style w:type="paragraph" w:styleId="Heading4">
    <w:name w:val="heading 4"/>
    <w:basedOn w:val="Normal"/>
    <w:next w:val="Normal"/>
    <w:link w:val="Heading4Char"/>
    <w:uiPriority w:val="9"/>
    <w:semiHidden/>
    <w:unhideWhenUsed/>
    <w:qFormat/>
    <w:rsid w:val="00A35D5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B438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A03A30"/>
    <w:pPr>
      <w:jc w:val="both"/>
    </w:pPr>
    <w:rPr>
      <w:rFonts w:asciiTheme="majorHAnsi" w:eastAsia="Calibri" w:hAnsiTheme="majorHAnsi" w:cs="Calibri"/>
      <w:color w:val="000000"/>
      <w:sz w:val="16"/>
      <w:szCs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941C6B"/>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BD4C32"/>
    <w:pPr>
      <w:tabs>
        <w:tab w:val="left" w:pos="1440"/>
        <w:tab w:val="right" w:leader="dot" w:pos="9350"/>
      </w:tabs>
      <w:spacing w:after="100"/>
      <w:ind w:left="1440" w:hanging="22"/>
    </w:pPr>
  </w:style>
  <w:style w:type="paragraph" w:styleId="TOC1">
    <w:name w:val="toc 1"/>
    <w:basedOn w:val="Normal"/>
    <w:next w:val="Normal"/>
    <w:autoRedefine/>
    <w:uiPriority w:val="39"/>
    <w:unhideWhenUsed/>
    <w:rsid w:val="00BD4C32"/>
    <w:pPr>
      <w:tabs>
        <w:tab w:val="left" w:pos="1440"/>
        <w:tab w:val="right" w:leader="dot" w:pos="9350"/>
      </w:tabs>
      <w:spacing w:after="100"/>
      <w:ind w:left="993"/>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11,Ref. de nota al"/>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A03A30"/>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uiPriority w:val="9"/>
    <w:rsid w:val="007C047E"/>
    <w:rPr>
      <w:rFonts w:asciiTheme="majorHAnsi" w:eastAsia="Cambria" w:hAnsiTheme="majorHAnsi" w:cs="Cambria"/>
      <w:b/>
      <w:color w:val="000000"/>
      <w:u w:color="000000"/>
      <w:lang w:val="es-ES_tradnl"/>
    </w:rPr>
  </w:style>
  <w:style w:type="character" w:customStyle="1" w:styleId="Heading3Char">
    <w:name w:val="Heading 3 Char"/>
    <w:basedOn w:val="DefaultParagraphFont"/>
    <w:link w:val="Heading3"/>
    <w:rsid w:val="00254252"/>
    <w:rPr>
      <w:rFonts w:ascii="Cambria" w:eastAsia="Times New Roman" w:hAnsi="Cambria" w:cs="Arial"/>
      <w:b/>
      <w:bCs/>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2E4AEA"/>
    <w:rPr>
      <w:rFonts w:ascii="Cambria" w:eastAsia="Cambria" w:hAnsi="Cambria" w:cs="Cambria"/>
      <w:color w:val="000000"/>
      <w:sz w:val="24"/>
      <w:szCs w:val="24"/>
      <w:u w:color="000000"/>
      <w:lang w:val="en-US"/>
    </w:rPr>
  </w:style>
  <w:style w:type="character" w:customStyle="1" w:styleId="BodyTextIndentChar">
    <w:name w:val="Body Text Indent Char"/>
    <w:link w:val="BodyTextIndent"/>
    <w:locked/>
    <w:rsid w:val="00254252"/>
    <w:rPr>
      <w:rFonts w:eastAsia="Times New Roman"/>
      <w:color w:val="000000"/>
      <w:sz w:val="24"/>
      <w:szCs w:val="24"/>
      <w:u w:color="000000"/>
      <w:lang w:val="es-ES_tradnl"/>
    </w:rPr>
  </w:style>
  <w:style w:type="paragraph" w:styleId="NoSpacing">
    <w:name w:val="No Spacing"/>
    <w:uiPriority w:val="1"/>
    <w:qFormat/>
    <w:rsid w:val="00085F2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 w:type="table" w:styleId="TableGrid">
    <w:name w:val="Table Grid"/>
    <w:basedOn w:val="TableNormal"/>
    <w:uiPriority w:val="59"/>
    <w:rsid w:val="002F1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7382D"/>
    <w:rPr>
      <w:b/>
      <w:bCs/>
    </w:rPr>
  </w:style>
  <w:style w:type="character" w:styleId="CommentReference">
    <w:name w:val="annotation reference"/>
    <w:basedOn w:val="DefaultParagraphFont"/>
    <w:uiPriority w:val="99"/>
    <w:semiHidden/>
    <w:unhideWhenUsed/>
    <w:rsid w:val="00051767"/>
    <w:rPr>
      <w:sz w:val="16"/>
      <w:szCs w:val="16"/>
    </w:rPr>
  </w:style>
  <w:style w:type="paragraph" w:styleId="CommentText">
    <w:name w:val="annotation text"/>
    <w:basedOn w:val="Normal"/>
    <w:link w:val="CommentTextChar"/>
    <w:uiPriority w:val="99"/>
    <w:semiHidden/>
    <w:unhideWhenUsed/>
    <w:rsid w:val="00051767"/>
    <w:rPr>
      <w:sz w:val="20"/>
      <w:szCs w:val="20"/>
    </w:rPr>
  </w:style>
  <w:style w:type="character" w:customStyle="1" w:styleId="CommentTextChar">
    <w:name w:val="Comment Text Char"/>
    <w:basedOn w:val="DefaultParagraphFont"/>
    <w:link w:val="CommentText"/>
    <w:uiPriority w:val="99"/>
    <w:semiHidden/>
    <w:rsid w:val="00051767"/>
    <w:rPr>
      <w:lang w:val="en-US" w:eastAsia="en-US"/>
    </w:rPr>
  </w:style>
  <w:style w:type="paragraph" w:styleId="CommentSubject">
    <w:name w:val="annotation subject"/>
    <w:basedOn w:val="CommentText"/>
    <w:next w:val="CommentText"/>
    <w:link w:val="CommentSubjectChar"/>
    <w:uiPriority w:val="99"/>
    <w:semiHidden/>
    <w:unhideWhenUsed/>
    <w:rsid w:val="00051767"/>
    <w:rPr>
      <w:b/>
      <w:bCs/>
    </w:rPr>
  </w:style>
  <w:style w:type="character" w:customStyle="1" w:styleId="CommentSubjectChar">
    <w:name w:val="Comment Subject Char"/>
    <w:basedOn w:val="CommentTextChar"/>
    <w:link w:val="CommentSubject"/>
    <w:uiPriority w:val="99"/>
    <w:semiHidden/>
    <w:rsid w:val="00051767"/>
    <w:rPr>
      <w:b/>
      <w:bCs/>
      <w:lang w:val="en-US" w:eastAsia="en-US"/>
    </w:rPr>
  </w:style>
  <w:style w:type="character" w:customStyle="1" w:styleId="Heading5Char">
    <w:name w:val="Heading 5 Char"/>
    <w:basedOn w:val="DefaultParagraphFont"/>
    <w:link w:val="Heading5"/>
    <w:uiPriority w:val="9"/>
    <w:rsid w:val="00FB4380"/>
    <w:rPr>
      <w:rFonts w:asciiTheme="majorHAnsi" w:eastAsiaTheme="majorEastAsia" w:hAnsiTheme="majorHAnsi" w:cstheme="majorBidi"/>
      <w:color w:val="243F60" w:themeColor="accent1" w:themeShade="7F"/>
      <w:sz w:val="24"/>
      <w:szCs w:val="24"/>
      <w:lang w:val="en-US" w:eastAsia="en-US"/>
    </w:rPr>
  </w:style>
  <w:style w:type="paragraph" w:customStyle="1" w:styleId="Estilo7">
    <w:name w:val="Estilo7"/>
    <w:basedOn w:val="Normal"/>
    <w:qFormat/>
    <w:rsid w:val="00FB4380"/>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noProof/>
      <w:sz w:val="20"/>
      <w:szCs w:val="20"/>
      <w:bdr w:val="none" w:sz="0" w:space="0" w:color="auto"/>
      <w:lang w:val="es-ES_tradnl" w:eastAsia="es-MX"/>
    </w:rPr>
  </w:style>
  <w:style w:type="paragraph" w:styleId="BodyText3">
    <w:name w:val="Body Text 3"/>
    <w:basedOn w:val="Normal"/>
    <w:link w:val="BodyText3Char"/>
    <w:uiPriority w:val="99"/>
    <w:unhideWhenUsed/>
    <w:rsid w:val="007C5B49"/>
    <w:pPr>
      <w:spacing w:after="120"/>
    </w:pPr>
    <w:rPr>
      <w:sz w:val="16"/>
      <w:szCs w:val="16"/>
    </w:rPr>
  </w:style>
  <w:style w:type="character" w:customStyle="1" w:styleId="BodyText3Char">
    <w:name w:val="Body Text 3 Char"/>
    <w:basedOn w:val="DefaultParagraphFont"/>
    <w:link w:val="BodyText3"/>
    <w:uiPriority w:val="99"/>
    <w:rsid w:val="007C5B49"/>
    <w:rPr>
      <w:sz w:val="16"/>
      <w:szCs w:val="16"/>
      <w:lang w:val="en-US" w:eastAsia="en-US"/>
    </w:rPr>
  </w:style>
  <w:style w:type="character" w:customStyle="1" w:styleId="Mencinsinresolver1">
    <w:name w:val="Mención sin resolver1"/>
    <w:basedOn w:val="DefaultParagraphFont"/>
    <w:uiPriority w:val="99"/>
    <w:semiHidden/>
    <w:unhideWhenUsed/>
    <w:rsid w:val="00424C8D"/>
    <w:rPr>
      <w:color w:val="605E5C"/>
      <w:shd w:val="clear" w:color="auto" w:fill="E1DFDD"/>
    </w:rPr>
  </w:style>
  <w:style w:type="paragraph" w:customStyle="1" w:styleId="1">
    <w:name w:val="1"/>
    <w:basedOn w:val="Normal"/>
    <w:rsid w:val="00404E0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Heading4Char">
    <w:name w:val="Heading 4 Char"/>
    <w:basedOn w:val="DefaultParagraphFont"/>
    <w:link w:val="Heading4"/>
    <w:uiPriority w:val="9"/>
    <w:semiHidden/>
    <w:rsid w:val="00A35D50"/>
    <w:rPr>
      <w:rFonts w:asciiTheme="majorHAnsi" w:eastAsiaTheme="majorEastAsia" w:hAnsiTheme="majorHAnsi" w:cstheme="majorBidi"/>
      <w:i/>
      <w:iCs/>
      <w:color w:val="365F91" w:themeColor="accent1" w:themeShade="BF"/>
      <w:sz w:val="24"/>
      <w:szCs w:val="24"/>
      <w:lang w:val="en-US" w:eastAsia="en-US"/>
    </w:rPr>
  </w:style>
  <w:style w:type="paragraph" w:customStyle="1" w:styleId="parrafos">
    <w:name w:val="parrafos"/>
    <w:basedOn w:val="Normal"/>
    <w:link w:val="parrafosChar"/>
    <w:qFormat/>
    <w:rsid w:val="00B01A6C"/>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color w:val="000000"/>
      <w:sz w:val="20"/>
      <w:szCs w:val="20"/>
      <w:lang w:val="es-VE"/>
    </w:rPr>
  </w:style>
  <w:style w:type="character" w:customStyle="1" w:styleId="parrafosChar">
    <w:name w:val="parrafos Char"/>
    <w:link w:val="parrafos"/>
    <w:rsid w:val="00B01A6C"/>
    <w:rPr>
      <w:rFonts w:ascii="Cambria" w:hAnsi="Cambria"/>
      <w:color w:val="000000"/>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0394">
      <w:bodyDiv w:val="1"/>
      <w:marLeft w:val="0"/>
      <w:marRight w:val="0"/>
      <w:marTop w:val="0"/>
      <w:marBottom w:val="0"/>
      <w:divBdr>
        <w:top w:val="none" w:sz="0" w:space="0" w:color="auto"/>
        <w:left w:val="none" w:sz="0" w:space="0" w:color="auto"/>
        <w:bottom w:val="none" w:sz="0" w:space="0" w:color="auto"/>
        <w:right w:val="none" w:sz="0" w:space="0" w:color="auto"/>
      </w:divBdr>
    </w:div>
    <w:div w:id="292833460">
      <w:bodyDiv w:val="1"/>
      <w:marLeft w:val="0"/>
      <w:marRight w:val="0"/>
      <w:marTop w:val="0"/>
      <w:marBottom w:val="0"/>
      <w:divBdr>
        <w:top w:val="none" w:sz="0" w:space="0" w:color="auto"/>
        <w:left w:val="none" w:sz="0" w:space="0" w:color="auto"/>
        <w:bottom w:val="none" w:sz="0" w:space="0" w:color="auto"/>
        <w:right w:val="none" w:sz="0" w:space="0" w:color="auto"/>
      </w:divBdr>
    </w:div>
    <w:div w:id="381251180">
      <w:bodyDiv w:val="1"/>
      <w:marLeft w:val="0"/>
      <w:marRight w:val="0"/>
      <w:marTop w:val="0"/>
      <w:marBottom w:val="0"/>
      <w:divBdr>
        <w:top w:val="none" w:sz="0" w:space="0" w:color="auto"/>
        <w:left w:val="none" w:sz="0" w:space="0" w:color="auto"/>
        <w:bottom w:val="none" w:sz="0" w:space="0" w:color="auto"/>
        <w:right w:val="none" w:sz="0" w:space="0" w:color="auto"/>
      </w:divBdr>
    </w:div>
    <w:div w:id="448161704">
      <w:bodyDiv w:val="1"/>
      <w:marLeft w:val="0"/>
      <w:marRight w:val="0"/>
      <w:marTop w:val="0"/>
      <w:marBottom w:val="0"/>
      <w:divBdr>
        <w:top w:val="none" w:sz="0" w:space="0" w:color="auto"/>
        <w:left w:val="none" w:sz="0" w:space="0" w:color="auto"/>
        <w:bottom w:val="none" w:sz="0" w:space="0" w:color="auto"/>
        <w:right w:val="none" w:sz="0" w:space="0" w:color="auto"/>
      </w:divBdr>
    </w:div>
    <w:div w:id="450707441">
      <w:bodyDiv w:val="1"/>
      <w:marLeft w:val="0"/>
      <w:marRight w:val="0"/>
      <w:marTop w:val="0"/>
      <w:marBottom w:val="0"/>
      <w:divBdr>
        <w:top w:val="none" w:sz="0" w:space="0" w:color="auto"/>
        <w:left w:val="none" w:sz="0" w:space="0" w:color="auto"/>
        <w:bottom w:val="none" w:sz="0" w:space="0" w:color="auto"/>
        <w:right w:val="none" w:sz="0" w:space="0" w:color="auto"/>
      </w:divBdr>
    </w:div>
    <w:div w:id="547381444">
      <w:bodyDiv w:val="1"/>
      <w:marLeft w:val="0"/>
      <w:marRight w:val="0"/>
      <w:marTop w:val="0"/>
      <w:marBottom w:val="0"/>
      <w:divBdr>
        <w:top w:val="none" w:sz="0" w:space="0" w:color="auto"/>
        <w:left w:val="none" w:sz="0" w:space="0" w:color="auto"/>
        <w:bottom w:val="none" w:sz="0" w:space="0" w:color="auto"/>
        <w:right w:val="none" w:sz="0" w:space="0" w:color="auto"/>
      </w:divBdr>
    </w:div>
    <w:div w:id="558516973">
      <w:bodyDiv w:val="1"/>
      <w:marLeft w:val="0"/>
      <w:marRight w:val="0"/>
      <w:marTop w:val="0"/>
      <w:marBottom w:val="0"/>
      <w:divBdr>
        <w:top w:val="none" w:sz="0" w:space="0" w:color="auto"/>
        <w:left w:val="none" w:sz="0" w:space="0" w:color="auto"/>
        <w:bottom w:val="none" w:sz="0" w:space="0" w:color="auto"/>
        <w:right w:val="none" w:sz="0" w:space="0" w:color="auto"/>
      </w:divBdr>
    </w:div>
    <w:div w:id="618803022">
      <w:bodyDiv w:val="1"/>
      <w:marLeft w:val="0"/>
      <w:marRight w:val="0"/>
      <w:marTop w:val="0"/>
      <w:marBottom w:val="0"/>
      <w:divBdr>
        <w:top w:val="none" w:sz="0" w:space="0" w:color="auto"/>
        <w:left w:val="none" w:sz="0" w:space="0" w:color="auto"/>
        <w:bottom w:val="none" w:sz="0" w:space="0" w:color="auto"/>
        <w:right w:val="none" w:sz="0" w:space="0" w:color="auto"/>
      </w:divBdr>
    </w:div>
    <w:div w:id="620654245">
      <w:bodyDiv w:val="1"/>
      <w:marLeft w:val="0"/>
      <w:marRight w:val="0"/>
      <w:marTop w:val="0"/>
      <w:marBottom w:val="0"/>
      <w:divBdr>
        <w:top w:val="none" w:sz="0" w:space="0" w:color="auto"/>
        <w:left w:val="none" w:sz="0" w:space="0" w:color="auto"/>
        <w:bottom w:val="none" w:sz="0" w:space="0" w:color="auto"/>
        <w:right w:val="none" w:sz="0" w:space="0" w:color="auto"/>
      </w:divBdr>
    </w:div>
    <w:div w:id="668219249">
      <w:bodyDiv w:val="1"/>
      <w:marLeft w:val="0"/>
      <w:marRight w:val="0"/>
      <w:marTop w:val="0"/>
      <w:marBottom w:val="0"/>
      <w:divBdr>
        <w:top w:val="none" w:sz="0" w:space="0" w:color="auto"/>
        <w:left w:val="none" w:sz="0" w:space="0" w:color="auto"/>
        <w:bottom w:val="none" w:sz="0" w:space="0" w:color="auto"/>
        <w:right w:val="none" w:sz="0" w:space="0" w:color="auto"/>
      </w:divBdr>
    </w:div>
    <w:div w:id="760882031">
      <w:bodyDiv w:val="1"/>
      <w:marLeft w:val="0"/>
      <w:marRight w:val="0"/>
      <w:marTop w:val="0"/>
      <w:marBottom w:val="0"/>
      <w:divBdr>
        <w:top w:val="none" w:sz="0" w:space="0" w:color="auto"/>
        <w:left w:val="none" w:sz="0" w:space="0" w:color="auto"/>
        <w:bottom w:val="none" w:sz="0" w:space="0" w:color="auto"/>
        <w:right w:val="none" w:sz="0" w:space="0" w:color="auto"/>
      </w:divBdr>
    </w:div>
    <w:div w:id="766655384">
      <w:bodyDiv w:val="1"/>
      <w:marLeft w:val="0"/>
      <w:marRight w:val="0"/>
      <w:marTop w:val="0"/>
      <w:marBottom w:val="0"/>
      <w:divBdr>
        <w:top w:val="none" w:sz="0" w:space="0" w:color="auto"/>
        <w:left w:val="none" w:sz="0" w:space="0" w:color="auto"/>
        <w:bottom w:val="none" w:sz="0" w:space="0" w:color="auto"/>
        <w:right w:val="none" w:sz="0" w:space="0" w:color="auto"/>
      </w:divBdr>
    </w:div>
    <w:div w:id="825122647">
      <w:bodyDiv w:val="1"/>
      <w:marLeft w:val="0"/>
      <w:marRight w:val="0"/>
      <w:marTop w:val="0"/>
      <w:marBottom w:val="0"/>
      <w:divBdr>
        <w:top w:val="none" w:sz="0" w:space="0" w:color="auto"/>
        <w:left w:val="none" w:sz="0" w:space="0" w:color="auto"/>
        <w:bottom w:val="none" w:sz="0" w:space="0" w:color="auto"/>
        <w:right w:val="none" w:sz="0" w:space="0" w:color="auto"/>
      </w:divBdr>
    </w:div>
    <w:div w:id="897396594">
      <w:bodyDiv w:val="1"/>
      <w:marLeft w:val="0"/>
      <w:marRight w:val="0"/>
      <w:marTop w:val="0"/>
      <w:marBottom w:val="0"/>
      <w:divBdr>
        <w:top w:val="none" w:sz="0" w:space="0" w:color="auto"/>
        <w:left w:val="none" w:sz="0" w:space="0" w:color="auto"/>
        <w:bottom w:val="none" w:sz="0" w:space="0" w:color="auto"/>
        <w:right w:val="none" w:sz="0" w:space="0" w:color="auto"/>
      </w:divBdr>
    </w:div>
    <w:div w:id="1014041503">
      <w:bodyDiv w:val="1"/>
      <w:marLeft w:val="0"/>
      <w:marRight w:val="0"/>
      <w:marTop w:val="0"/>
      <w:marBottom w:val="0"/>
      <w:divBdr>
        <w:top w:val="none" w:sz="0" w:space="0" w:color="auto"/>
        <w:left w:val="none" w:sz="0" w:space="0" w:color="auto"/>
        <w:bottom w:val="none" w:sz="0" w:space="0" w:color="auto"/>
        <w:right w:val="none" w:sz="0" w:space="0" w:color="auto"/>
      </w:divBdr>
    </w:div>
    <w:div w:id="1025254006">
      <w:bodyDiv w:val="1"/>
      <w:marLeft w:val="0"/>
      <w:marRight w:val="0"/>
      <w:marTop w:val="0"/>
      <w:marBottom w:val="0"/>
      <w:divBdr>
        <w:top w:val="none" w:sz="0" w:space="0" w:color="auto"/>
        <w:left w:val="none" w:sz="0" w:space="0" w:color="auto"/>
        <w:bottom w:val="none" w:sz="0" w:space="0" w:color="auto"/>
        <w:right w:val="none" w:sz="0" w:space="0" w:color="auto"/>
      </w:divBdr>
    </w:div>
    <w:div w:id="1050305738">
      <w:bodyDiv w:val="1"/>
      <w:marLeft w:val="0"/>
      <w:marRight w:val="0"/>
      <w:marTop w:val="0"/>
      <w:marBottom w:val="0"/>
      <w:divBdr>
        <w:top w:val="none" w:sz="0" w:space="0" w:color="auto"/>
        <w:left w:val="none" w:sz="0" w:space="0" w:color="auto"/>
        <w:bottom w:val="none" w:sz="0" w:space="0" w:color="auto"/>
        <w:right w:val="none" w:sz="0" w:space="0" w:color="auto"/>
      </w:divBdr>
    </w:div>
    <w:div w:id="1113860793">
      <w:bodyDiv w:val="1"/>
      <w:marLeft w:val="0"/>
      <w:marRight w:val="0"/>
      <w:marTop w:val="0"/>
      <w:marBottom w:val="0"/>
      <w:divBdr>
        <w:top w:val="none" w:sz="0" w:space="0" w:color="auto"/>
        <w:left w:val="none" w:sz="0" w:space="0" w:color="auto"/>
        <w:bottom w:val="none" w:sz="0" w:space="0" w:color="auto"/>
        <w:right w:val="none" w:sz="0" w:space="0" w:color="auto"/>
      </w:divBdr>
    </w:div>
    <w:div w:id="1124469375">
      <w:bodyDiv w:val="1"/>
      <w:marLeft w:val="0"/>
      <w:marRight w:val="0"/>
      <w:marTop w:val="0"/>
      <w:marBottom w:val="0"/>
      <w:divBdr>
        <w:top w:val="none" w:sz="0" w:space="0" w:color="auto"/>
        <w:left w:val="none" w:sz="0" w:space="0" w:color="auto"/>
        <w:bottom w:val="none" w:sz="0" w:space="0" w:color="auto"/>
        <w:right w:val="none" w:sz="0" w:space="0" w:color="auto"/>
      </w:divBdr>
    </w:div>
    <w:div w:id="1352299592">
      <w:bodyDiv w:val="1"/>
      <w:marLeft w:val="0"/>
      <w:marRight w:val="0"/>
      <w:marTop w:val="0"/>
      <w:marBottom w:val="0"/>
      <w:divBdr>
        <w:top w:val="none" w:sz="0" w:space="0" w:color="auto"/>
        <w:left w:val="none" w:sz="0" w:space="0" w:color="auto"/>
        <w:bottom w:val="none" w:sz="0" w:space="0" w:color="auto"/>
        <w:right w:val="none" w:sz="0" w:space="0" w:color="auto"/>
      </w:divBdr>
    </w:div>
    <w:div w:id="1380591953">
      <w:bodyDiv w:val="1"/>
      <w:marLeft w:val="0"/>
      <w:marRight w:val="0"/>
      <w:marTop w:val="0"/>
      <w:marBottom w:val="0"/>
      <w:divBdr>
        <w:top w:val="none" w:sz="0" w:space="0" w:color="auto"/>
        <w:left w:val="none" w:sz="0" w:space="0" w:color="auto"/>
        <w:bottom w:val="none" w:sz="0" w:space="0" w:color="auto"/>
        <w:right w:val="none" w:sz="0" w:space="0" w:color="auto"/>
      </w:divBdr>
    </w:div>
    <w:div w:id="1468737197">
      <w:bodyDiv w:val="1"/>
      <w:marLeft w:val="0"/>
      <w:marRight w:val="0"/>
      <w:marTop w:val="0"/>
      <w:marBottom w:val="0"/>
      <w:divBdr>
        <w:top w:val="none" w:sz="0" w:space="0" w:color="auto"/>
        <w:left w:val="none" w:sz="0" w:space="0" w:color="auto"/>
        <w:bottom w:val="none" w:sz="0" w:space="0" w:color="auto"/>
        <w:right w:val="none" w:sz="0" w:space="0" w:color="auto"/>
      </w:divBdr>
    </w:div>
    <w:div w:id="1501314602">
      <w:bodyDiv w:val="1"/>
      <w:marLeft w:val="0"/>
      <w:marRight w:val="0"/>
      <w:marTop w:val="0"/>
      <w:marBottom w:val="0"/>
      <w:divBdr>
        <w:top w:val="none" w:sz="0" w:space="0" w:color="auto"/>
        <w:left w:val="none" w:sz="0" w:space="0" w:color="auto"/>
        <w:bottom w:val="none" w:sz="0" w:space="0" w:color="auto"/>
        <w:right w:val="none" w:sz="0" w:space="0" w:color="auto"/>
      </w:divBdr>
    </w:div>
    <w:div w:id="1514613798">
      <w:bodyDiv w:val="1"/>
      <w:marLeft w:val="0"/>
      <w:marRight w:val="0"/>
      <w:marTop w:val="0"/>
      <w:marBottom w:val="0"/>
      <w:divBdr>
        <w:top w:val="none" w:sz="0" w:space="0" w:color="auto"/>
        <w:left w:val="none" w:sz="0" w:space="0" w:color="auto"/>
        <w:bottom w:val="none" w:sz="0" w:space="0" w:color="auto"/>
        <w:right w:val="none" w:sz="0" w:space="0" w:color="auto"/>
      </w:divBdr>
    </w:div>
    <w:div w:id="1653437469">
      <w:bodyDiv w:val="1"/>
      <w:marLeft w:val="0"/>
      <w:marRight w:val="0"/>
      <w:marTop w:val="0"/>
      <w:marBottom w:val="0"/>
      <w:divBdr>
        <w:top w:val="none" w:sz="0" w:space="0" w:color="auto"/>
        <w:left w:val="none" w:sz="0" w:space="0" w:color="auto"/>
        <w:bottom w:val="none" w:sz="0" w:space="0" w:color="auto"/>
        <w:right w:val="none" w:sz="0" w:space="0" w:color="auto"/>
      </w:divBdr>
    </w:div>
    <w:div w:id="1671180322">
      <w:bodyDiv w:val="1"/>
      <w:marLeft w:val="0"/>
      <w:marRight w:val="0"/>
      <w:marTop w:val="0"/>
      <w:marBottom w:val="0"/>
      <w:divBdr>
        <w:top w:val="none" w:sz="0" w:space="0" w:color="auto"/>
        <w:left w:val="none" w:sz="0" w:space="0" w:color="auto"/>
        <w:bottom w:val="none" w:sz="0" w:space="0" w:color="auto"/>
        <w:right w:val="none" w:sz="0" w:space="0" w:color="auto"/>
      </w:divBdr>
    </w:div>
    <w:div w:id="17113004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8636754">
      <w:bodyDiv w:val="1"/>
      <w:marLeft w:val="0"/>
      <w:marRight w:val="0"/>
      <w:marTop w:val="0"/>
      <w:marBottom w:val="0"/>
      <w:divBdr>
        <w:top w:val="none" w:sz="0" w:space="0" w:color="auto"/>
        <w:left w:val="none" w:sz="0" w:space="0" w:color="auto"/>
        <w:bottom w:val="none" w:sz="0" w:space="0" w:color="auto"/>
        <w:right w:val="none" w:sz="0" w:space="0" w:color="auto"/>
      </w:divBdr>
    </w:div>
    <w:div w:id="1916278277">
      <w:bodyDiv w:val="1"/>
      <w:marLeft w:val="0"/>
      <w:marRight w:val="0"/>
      <w:marTop w:val="0"/>
      <w:marBottom w:val="0"/>
      <w:divBdr>
        <w:top w:val="none" w:sz="0" w:space="0" w:color="auto"/>
        <w:left w:val="none" w:sz="0" w:space="0" w:color="auto"/>
        <w:bottom w:val="none" w:sz="0" w:space="0" w:color="auto"/>
        <w:right w:val="none" w:sz="0" w:space="0" w:color="auto"/>
      </w:divBdr>
    </w:div>
    <w:div w:id="1958640840">
      <w:bodyDiv w:val="1"/>
      <w:marLeft w:val="0"/>
      <w:marRight w:val="0"/>
      <w:marTop w:val="0"/>
      <w:marBottom w:val="0"/>
      <w:divBdr>
        <w:top w:val="none" w:sz="0" w:space="0" w:color="auto"/>
        <w:left w:val="none" w:sz="0" w:space="0" w:color="auto"/>
        <w:bottom w:val="none" w:sz="0" w:space="0" w:color="auto"/>
        <w:right w:val="none" w:sz="0" w:space="0" w:color="auto"/>
      </w:divBdr>
    </w:div>
    <w:div w:id="2046296393">
      <w:bodyDiv w:val="1"/>
      <w:marLeft w:val="0"/>
      <w:marRight w:val="0"/>
      <w:marTop w:val="0"/>
      <w:marBottom w:val="0"/>
      <w:divBdr>
        <w:top w:val="none" w:sz="0" w:space="0" w:color="auto"/>
        <w:left w:val="none" w:sz="0" w:space="0" w:color="auto"/>
        <w:bottom w:val="none" w:sz="0" w:space="0" w:color="auto"/>
        <w:right w:val="none" w:sz="0" w:space="0" w:color="auto"/>
      </w:divBdr>
    </w:div>
    <w:div w:id="2053965322">
      <w:bodyDiv w:val="1"/>
      <w:marLeft w:val="0"/>
      <w:marRight w:val="0"/>
      <w:marTop w:val="0"/>
      <w:marBottom w:val="0"/>
      <w:divBdr>
        <w:top w:val="none" w:sz="0" w:space="0" w:color="auto"/>
        <w:left w:val="none" w:sz="0" w:space="0" w:color="auto"/>
        <w:bottom w:val="none" w:sz="0" w:space="0" w:color="auto"/>
        <w:right w:val="none" w:sz="0" w:space="0" w:color="auto"/>
      </w:divBdr>
    </w:div>
    <w:div w:id="2097633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30f74aa-8393-4aa5-b2f8-3c7aae566a68">
      <UserInfo>
        <DisplayName>Seminario, Javier</DisplayName>
        <AccountId>66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C8BD83-F335-4AE9-B29A-1BB7B7679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88F99-2FBF-413E-85C2-1F86461AAF16}">
  <ds:schemaRefs>
    <ds:schemaRef ds:uri="http://schemas.openxmlformats.org/officeDocument/2006/bibliography"/>
  </ds:schemaRefs>
</ds:datastoreItem>
</file>

<file path=customXml/itemProps3.xml><?xml version="1.0" encoding="utf-8"?>
<ds:datastoreItem xmlns:ds="http://schemas.openxmlformats.org/officeDocument/2006/customXml" ds:itemID="{29929A14-6EC3-4C72-8309-052CB6C45585}">
  <ds:schemaRefs>
    <ds:schemaRef ds:uri="http://schemas.microsoft.com/office/2006/metadata/properties"/>
    <ds:schemaRef ds:uri="http://schemas.microsoft.com/office/infopath/2007/PartnerControls"/>
    <ds:schemaRef ds:uri="730f74aa-8393-4aa5-b2f8-3c7aae566a68"/>
  </ds:schemaRefs>
</ds:datastoreItem>
</file>

<file path=customXml/itemProps4.xml><?xml version="1.0" encoding="utf-8"?>
<ds:datastoreItem xmlns:ds="http://schemas.openxmlformats.org/officeDocument/2006/customXml" ds:itemID="{A3D4D582-0C34-4588-9A47-2E7982264B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6044</Words>
  <Characters>34455</Characters>
  <Application>Microsoft Office Word</Application>
  <DocSecurity>0</DocSecurity>
  <Lines>287</Lines>
  <Paragraphs>80</Paragraphs>
  <ScaleCrop>false</ScaleCrop>
  <Company/>
  <LinksUpToDate>false</LinksUpToDate>
  <CharactersWithSpaces>40419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2022-03-04T22:45:00Z</dcterms:created>
  <dcterms:modified xsi:type="dcterms:W3CDTF">2022-03-04T22:45:00Z</dcterms:modified>
</cp:coreProperties>
</file>