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48CA" w14:textId="77777777" w:rsidR="005122C2" w:rsidRPr="004B7084" w:rsidRDefault="005122C2" w:rsidP="005122C2">
      <w:pPr>
        <w:spacing w:after="0" w:line="240" w:lineRule="auto"/>
        <w:jc w:val="both"/>
        <w:rPr>
          <w:rFonts w:ascii="Cambria" w:hAnsi="Cambria" w:cs="Calibri"/>
          <w:b/>
          <w:color w:val="000000"/>
          <w:sz w:val="20"/>
          <w:szCs w:val="20"/>
          <w:lang w:val="es-ES_tradnl"/>
        </w:rPr>
      </w:pPr>
    </w:p>
    <w:p w14:paraId="67C656F8" w14:textId="42B4644D" w:rsidR="005122C2" w:rsidRPr="004B7084" w:rsidRDefault="005122C2" w:rsidP="002F3EC1">
      <w:pPr>
        <w:spacing w:after="0" w:line="240" w:lineRule="auto"/>
        <w:jc w:val="right"/>
        <w:rPr>
          <w:rFonts w:ascii="Cambria" w:hAnsi="Cambria" w:cs="Calibri"/>
          <w:b/>
          <w:color w:val="000000"/>
          <w:sz w:val="20"/>
          <w:szCs w:val="20"/>
          <w:lang w:val="es-ES_tradnl"/>
        </w:rPr>
      </w:pPr>
      <w:r w:rsidRPr="004B7084">
        <w:rPr>
          <w:rFonts w:ascii="Cambria" w:hAnsi="Cambria" w:cs="Calibri"/>
          <w:color w:val="000000"/>
          <w:sz w:val="20"/>
          <w:szCs w:val="20"/>
          <w:lang w:val="es-ES_tradnl"/>
        </w:rPr>
        <w:t>2</w:t>
      </w:r>
      <w:r w:rsidR="00DB26EE" w:rsidRPr="004B7084">
        <w:rPr>
          <w:rFonts w:ascii="Cambria" w:hAnsi="Cambria" w:cs="Calibri"/>
          <w:color w:val="000000"/>
          <w:sz w:val="20"/>
          <w:szCs w:val="20"/>
          <w:lang w:val="es-ES_tradnl"/>
        </w:rPr>
        <w:t xml:space="preserve">8 </w:t>
      </w:r>
      <w:r w:rsidRPr="004B7084">
        <w:rPr>
          <w:rFonts w:ascii="Cambria" w:hAnsi="Cambria" w:cs="Calibri"/>
          <w:color w:val="000000"/>
          <w:sz w:val="20"/>
          <w:szCs w:val="20"/>
          <w:lang w:val="es-ES_tradnl"/>
        </w:rPr>
        <w:t>de</w:t>
      </w:r>
      <w:r w:rsidR="00DB26EE" w:rsidRPr="004B7084">
        <w:rPr>
          <w:rFonts w:ascii="Cambria" w:hAnsi="Cambria" w:cs="Calibri"/>
          <w:color w:val="000000"/>
          <w:sz w:val="20"/>
          <w:szCs w:val="20"/>
          <w:lang w:val="es-ES_tradnl"/>
        </w:rPr>
        <w:t xml:space="preserve"> mayo</w:t>
      </w:r>
      <w:r w:rsidRPr="004B7084">
        <w:rPr>
          <w:rFonts w:ascii="Cambria" w:hAnsi="Cambria" w:cs="Calibri"/>
          <w:color w:val="000000"/>
          <w:sz w:val="20"/>
          <w:szCs w:val="20"/>
          <w:lang w:val="es-ES_tradnl"/>
        </w:rPr>
        <w:t xml:space="preserve"> de 202</w:t>
      </w:r>
      <w:r w:rsidR="00DB26EE" w:rsidRPr="004B7084">
        <w:rPr>
          <w:rFonts w:ascii="Cambria" w:hAnsi="Cambria" w:cs="Calibri"/>
          <w:color w:val="000000"/>
          <w:sz w:val="20"/>
          <w:szCs w:val="20"/>
          <w:lang w:val="es-ES_tradnl"/>
        </w:rPr>
        <w:t>3</w:t>
      </w:r>
    </w:p>
    <w:p w14:paraId="3F0355DD" w14:textId="5651C9B8" w:rsidR="005122C2" w:rsidRPr="004B7084" w:rsidRDefault="005122C2" w:rsidP="005122C2">
      <w:pPr>
        <w:spacing w:after="0" w:line="240" w:lineRule="auto"/>
        <w:jc w:val="both"/>
        <w:rPr>
          <w:rFonts w:ascii="Cambria" w:hAnsi="Cambria" w:cs="Calibri"/>
          <w:b/>
          <w:color w:val="000000"/>
          <w:sz w:val="20"/>
          <w:szCs w:val="20"/>
          <w:lang w:val="es-ES_tradnl"/>
        </w:rPr>
      </w:pPr>
      <w:r w:rsidRPr="004B7084">
        <w:rPr>
          <w:rFonts w:ascii="Cambria" w:hAnsi="Cambria" w:cs="Calibri"/>
          <w:b/>
          <w:color w:val="000000"/>
          <w:sz w:val="20"/>
          <w:szCs w:val="20"/>
          <w:lang w:val="es-ES_tradnl"/>
        </w:rPr>
        <w:t>REF.:</w:t>
      </w:r>
      <w:bookmarkStart w:id="0" w:name="Peticion_n"/>
      <w:bookmarkEnd w:id="0"/>
      <w:r w:rsidRPr="004B7084">
        <w:rPr>
          <w:rFonts w:ascii="Cambria" w:hAnsi="Cambria" w:cs="Calibri"/>
          <w:b/>
          <w:color w:val="000000"/>
          <w:sz w:val="20"/>
          <w:szCs w:val="20"/>
          <w:lang w:val="es-ES_tradnl"/>
        </w:rPr>
        <w:tab/>
        <w:t>Caso Nº 1</w:t>
      </w:r>
      <w:r w:rsidR="00DB26EE" w:rsidRPr="004B7084">
        <w:rPr>
          <w:rFonts w:ascii="Cambria" w:hAnsi="Cambria" w:cs="Calibri"/>
          <w:b/>
          <w:color w:val="000000"/>
          <w:sz w:val="20"/>
          <w:szCs w:val="20"/>
          <w:lang w:val="es-ES_tradnl"/>
        </w:rPr>
        <w:t>2</w:t>
      </w:r>
      <w:r w:rsidRPr="004B7084">
        <w:rPr>
          <w:rFonts w:ascii="Cambria" w:hAnsi="Cambria" w:cs="Calibri"/>
          <w:b/>
          <w:color w:val="000000"/>
          <w:sz w:val="20"/>
          <w:szCs w:val="20"/>
          <w:lang w:val="es-ES_tradnl"/>
        </w:rPr>
        <w:t>.</w:t>
      </w:r>
      <w:r w:rsidR="00DB26EE" w:rsidRPr="004B7084">
        <w:rPr>
          <w:rFonts w:ascii="Cambria" w:hAnsi="Cambria" w:cs="Calibri"/>
          <w:b/>
          <w:color w:val="000000"/>
          <w:sz w:val="20"/>
          <w:szCs w:val="20"/>
          <w:lang w:val="es-ES_tradnl"/>
        </w:rPr>
        <w:t>672</w:t>
      </w:r>
    </w:p>
    <w:p w14:paraId="7E01DD18" w14:textId="40C6A240" w:rsidR="005122C2" w:rsidRPr="004B7084" w:rsidRDefault="00DB26EE" w:rsidP="005122C2">
      <w:pPr>
        <w:spacing w:after="0" w:line="240" w:lineRule="auto"/>
        <w:ind w:left="720"/>
        <w:jc w:val="both"/>
        <w:rPr>
          <w:rFonts w:ascii="Cambria" w:hAnsi="Cambria" w:cs="Calibri"/>
          <w:b/>
          <w:color w:val="000000"/>
          <w:sz w:val="20"/>
          <w:szCs w:val="20"/>
          <w:lang w:val="es-ES_tradnl"/>
        </w:rPr>
      </w:pPr>
      <w:r w:rsidRPr="004B7084">
        <w:rPr>
          <w:rFonts w:ascii="Cambria" w:hAnsi="Cambria" w:cs="Calibri"/>
          <w:b/>
          <w:color w:val="000000"/>
          <w:sz w:val="20"/>
          <w:szCs w:val="20"/>
          <w:lang w:val="es-ES_tradnl"/>
        </w:rPr>
        <w:t>Guillermo Patricio Lynn</w:t>
      </w:r>
    </w:p>
    <w:p w14:paraId="288BCB72" w14:textId="77777777" w:rsidR="005122C2" w:rsidRPr="004B7084" w:rsidRDefault="005122C2" w:rsidP="005122C2">
      <w:pPr>
        <w:spacing w:after="0" w:line="240" w:lineRule="auto"/>
        <w:ind w:left="720"/>
        <w:jc w:val="both"/>
        <w:rPr>
          <w:rFonts w:ascii="Cambria" w:hAnsi="Cambria" w:cs="Calibri"/>
          <w:b/>
          <w:color w:val="000000"/>
          <w:sz w:val="20"/>
          <w:szCs w:val="20"/>
          <w:lang w:val="es-ES_tradnl"/>
        </w:rPr>
      </w:pPr>
      <w:r w:rsidRPr="004B7084">
        <w:rPr>
          <w:rFonts w:ascii="Cambria" w:hAnsi="Cambria" w:cs="Calibri"/>
          <w:b/>
          <w:color w:val="000000"/>
          <w:sz w:val="20"/>
          <w:szCs w:val="20"/>
          <w:lang w:val="es-ES_tradnl"/>
        </w:rPr>
        <w:t>Argentina</w:t>
      </w:r>
    </w:p>
    <w:p w14:paraId="16089348" w14:textId="77777777" w:rsidR="005122C2" w:rsidRPr="004B7084" w:rsidRDefault="005122C2" w:rsidP="005122C2">
      <w:pPr>
        <w:spacing w:after="0" w:line="240" w:lineRule="auto"/>
        <w:jc w:val="both"/>
        <w:rPr>
          <w:rFonts w:ascii="Cambria" w:hAnsi="Cambria" w:cs="Calibri"/>
          <w:b/>
          <w:color w:val="000000"/>
          <w:sz w:val="20"/>
          <w:szCs w:val="20"/>
          <w:lang w:val="es-ES_tradnl"/>
        </w:rPr>
      </w:pPr>
    </w:p>
    <w:p w14:paraId="6206F3D7" w14:textId="77777777" w:rsidR="005122C2" w:rsidRPr="004B7084" w:rsidRDefault="005122C2" w:rsidP="005122C2">
      <w:pPr>
        <w:spacing w:after="0" w:line="240" w:lineRule="auto"/>
        <w:jc w:val="both"/>
        <w:rPr>
          <w:rFonts w:ascii="Cambria" w:hAnsi="Cambria" w:cs="Calibri"/>
          <w:color w:val="000000"/>
          <w:sz w:val="20"/>
          <w:szCs w:val="20"/>
          <w:lang w:val="es-ES_tradnl"/>
        </w:rPr>
      </w:pPr>
      <w:r w:rsidRPr="004B7084">
        <w:rPr>
          <w:rFonts w:ascii="Cambria" w:hAnsi="Cambria" w:cs="Calibri"/>
          <w:color w:val="000000"/>
          <w:sz w:val="20"/>
          <w:szCs w:val="20"/>
          <w:lang w:val="es-ES_tradnl"/>
        </w:rPr>
        <w:t>Señor Secretario:</w:t>
      </w:r>
    </w:p>
    <w:p w14:paraId="3FC57245" w14:textId="77777777" w:rsidR="005122C2" w:rsidRPr="004B7084" w:rsidRDefault="005122C2" w:rsidP="005122C2">
      <w:pPr>
        <w:spacing w:after="0" w:line="240" w:lineRule="auto"/>
        <w:jc w:val="both"/>
        <w:rPr>
          <w:rFonts w:ascii="Cambria" w:hAnsi="Cambria" w:cs="Calibri"/>
          <w:color w:val="000000"/>
          <w:sz w:val="20"/>
          <w:szCs w:val="20"/>
          <w:lang w:val="es-ES_tradnl"/>
        </w:rPr>
      </w:pPr>
    </w:p>
    <w:p w14:paraId="14BDA1E0" w14:textId="3108C5F0" w:rsidR="005122C2" w:rsidRPr="004B7084" w:rsidRDefault="005122C2" w:rsidP="005122C2">
      <w:pPr>
        <w:pStyle w:val="xmsolistparagraph"/>
        <w:spacing w:before="0" w:beforeAutospacing="0" w:after="0" w:afterAutospacing="0"/>
        <w:ind w:firstLine="720"/>
        <w:jc w:val="both"/>
        <w:rPr>
          <w:rFonts w:ascii="Cambria" w:hAnsi="Cambria" w:cs="Calibri"/>
          <w:color w:val="000000"/>
          <w:sz w:val="20"/>
          <w:szCs w:val="20"/>
          <w:lang w:val="es-ES_tradnl"/>
        </w:rPr>
      </w:pPr>
      <w:r w:rsidRPr="004B7084">
        <w:rPr>
          <w:rFonts w:ascii="Cambria" w:hAnsi="Cambria" w:cs="Calibri"/>
          <w:color w:val="000000"/>
          <w:sz w:val="20"/>
          <w:szCs w:val="20"/>
          <w:lang w:val="es-ES_tradnl"/>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DB26EE" w:rsidRPr="004B7084">
        <w:rPr>
          <w:rFonts w:ascii="Cambria" w:hAnsi="Cambria" w:cs="Calibri"/>
          <w:color w:val="000000"/>
          <w:sz w:val="20"/>
          <w:szCs w:val="20"/>
          <w:lang w:val="es-ES_tradnl"/>
        </w:rPr>
        <w:t>12.672</w:t>
      </w:r>
      <w:r w:rsidRPr="004B7084">
        <w:rPr>
          <w:rFonts w:ascii="Cambria" w:hAnsi="Cambria" w:cs="Calibri"/>
          <w:color w:val="000000"/>
          <w:sz w:val="20"/>
          <w:szCs w:val="20"/>
          <w:lang w:val="es-ES_tradnl"/>
        </w:rPr>
        <w:t xml:space="preserve"> –</w:t>
      </w:r>
      <w:r w:rsidRPr="004B7084">
        <w:rPr>
          <w:rFonts w:ascii="Cambria" w:eastAsia="Arial Unicode MS" w:hAnsi="Cambria"/>
          <w:color w:val="000000"/>
          <w:sz w:val="20"/>
          <w:szCs w:val="20"/>
          <w:bdr w:val="nil"/>
          <w:lang w:val="es-ES_tradnl"/>
        </w:rPr>
        <w:t xml:space="preserve"> </w:t>
      </w:r>
      <w:r w:rsidR="00DB26EE" w:rsidRPr="004B7084">
        <w:rPr>
          <w:rFonts w:ascii="Cambria" w:eastAsia="Arial Unicode MS" w:hAnsi="Cambria"/>
          <w:color w:val="000000"/>
          <w:sz w:val="20"/>
          <w:szCs w:val="20"/>
          <w:bdr w:val="nil"/>
          <w:lang w:val="es-ES_tradnl"/>
        </w:rPr>
        <w:t>Guillermo Patricio Lynn</w:t>
      </w:r>
      <w:r w:rsidRPr="004B7084">
        <w:rPr>
          <w:rFonts w:ascii="Cambria" w:eastAsia="Arial Unicode MS" w:hAnsi="Cambria"/>
          <w:color w:val="000000"/>
          <w:sz w:val="20"/>
          <w:szCs w:val="20"/>
          <w:bdr w:val="nil"/>
          <w:lang w:val="es-ES_tradnl"/>
        </w:rPr>
        <w:t xml:space="preserve"> </w:t>
      </w:r>
      <w:r w:rsidRPr="004B7084">
        <w:rPr>
          <w:rFonts w:ascii="Cambria" w:hAnsi="Cambria" w:cs="Calibri"/>
          <w:color w:val="000000"/>
          <w:sz w:val="20"/>
          <w:szCs w:val="20"/>
          <w:lang w:val="es-ES_tradnl"/>
        </w:rPr>
        <w:t xml:space="preserve">de la República Argentina (en adelante “el Estado”, “el Estado argentino” o “Argentina”). </w:t>
      </w:r>
    </w:p>
    <w:p w14:paraId="49F7DBED" w14:textId="77777777" w:rsidR="005122C2" w:rsidRPr="004B7084" w:rsidRDefault="005122C2" w:rsidP="005122C2">
      <w:pPr>
        <w:pStyle w:val="xmsolistparagraph"/>
        <w:spacing w:before="0" w:beforeAutospacing="0" w:after="0" w:afterAutospacing="0"/>
        <w:ind w:firstLine="720"/>
        <w:jc w:val="both"/>
        <w:rPr>
          <w:rFonts w:ascii="Cambria" w:hAnsi="Cambria" w:cs="Calibri"/>
          <w:color w:val="000000"/>
          <w:sz w:val="20"/>
          <w:szCs w:val="20"/>
          <w:lang w:val="es-ES_tradnl"/>
        </w:rPr>
      </w:pPr>
    </w:p>
    <w:p w14:paraId="28BD0FFE" w14:textId="7F07566A" w:rsidR="004E4451" w:rsidRPr="004B7084" w:rsidRDefault="005122C2" w:rsidP="009658C2">
      <w:pPr>
        <w:pStyle w:val="xmsolistparagraph"/>
        <w:spacing w:before="0" w:beforeAutospacing="0" w:after="0" w:afterAutospacing="0"/>
        <w:ind w:firstLine="720"/>
        <w:jc w:val="both"/>
        <w:rPr>
          <w:rFonts w:ascii="Cambria" w:hAnsi="Cambria" w:cs="Calibri"/>
          <w:color w:val="000000"/>
          <w:sz w:val="20"/>
          <w:szCs w:val="20"/>
          <w:lang w:val="es-ES_tradnl"/>
        </w:rPr>
      </w:pPr>
      <w:r w:rsidRPr="004B7084">
        <w:rPr>
          <w:rFonts w:ascii="Cambria" w:hAnsi="Cambria" w:cs="Calibri"/>
          <w:color w:val="000000"/>
          <w:sz w:val="20"/>
          <w:szCs w:val="20"/>
          <w:lang w:val="es-ES_tradnl"/>
        </w:rPr>
        <w:t xml:space="preserve">El presente caso se refiere a la responsabilidad internacional del Estado argentino </w:t>
      </w:r>
      <w:r w:rsidR="00DB16FD" w:rsidRPr="004B7084">
        <w:rPr>
          <w:rFonts w:ascii="Cambria" w:hAnsi="Cambria" w:cs="Calibri"/>
          <w:color w:val="000000"/>
          <w:sz w:val="20"/>
          <w:szCs w:val="20"/>
          <w:lang w:val="es-ES_tradnl"/>
        </w:rPr>
        <w:t xml:space="preserve">por la violación de diversos derechos reconocidos en la </w:t>
      </w:r>
      <w:r w:rsidR="00121F46" w:rsidRPr="004B7084">
        <w:rPr>
          <w:rFonts w:ascii="Cambria" w:hAnsi="Cambria" w:cs="Calibri"/>
          <w:color w:val="000000"/>
          <w:sz w:val="20"/>
          <w:szCs w:val="20"/>
          <w:lang w:val="es-ES_tradnl"/>
        </w:rPr>
        <w:t>Convención</w:t>
      </w:r>
      <w:r w:rsidR="00DB16FD" w:rsidRPr="004B7084">
        <w:rPr>
          <w:rFonts w:ascii="Cambria" w:hAnsi="Cambria" w:cs="Calibri"/>
          <w:color w:val="000000"/>
          <w:sz w:val="20"/>
          <w:szCs w:val="20"/>
          <w:lang w:val="es-ES_tradnl"/>
        </w:rPr>
        <w:t xml:space="preserve"> Americana sobre Derechos Humanos </w:t>
      </w:r>
      <w:r w:rsidR="00FA167F" w:rsidRPr="004B7084">
        <w:rPr>
          <w:rFonts w:ascii="Cambria" w:hAnsi="Cambria" w:cs="Calibri"/>
          <w:color w:val="000000"/>
          <w:sz w:val="20"/>
          <w:szCs w:val="20"/>
          <w:lang w:val="es-ES_tradnl"/>
        </w:rPr>
        <w:t xml:space="preserve">cometidas en el marco del proceso </w:t>
      </w:r>
      <w:r w:rsidR="009658C2" w:rsidRPr="004B7084">
        <w:rPr>
          <w:rFonts w:ascii="Cambria" w:hAnsi="Cambria" w:cs="Calibri"/>
          <w:color w:val="000000"/>
          <w:sz w:val="20"/>
          <w:szCs w:val="20"/>
          <w:lang w:val="es-ES_tradnl"/>
        </w:rPr>
        <w:t xml:space="preserve">mediante el cual se </w:t>
      </w:r>
      <w:r w:rsidR="004B7084">
        <w:rPr>
          <w:rFonts w:ascii="Cambria" w:hAnsi="Cambria" w:cs="Calibri"/>
          <w:color w:val="000000"/>
          <w:sz w:val="20"/>
          <w:szCs w:val="20"/>
          <w:lang w:val="es-ES_tradnl"/>
        </w:rPr>
        <w:t xml:space="preserve">impuso una sanción disciplinaria y se </w:t>
      </w:r>
      <w:r w:rsidR="009658C2" w:rsidRPr="004B7084">
        <w:rPr>
          <w:rFonts w:ascii="Cambria" w:hAnsi="Cambria" w:cs="Calibri"/>
          <w:color w:val="000000"/>
          <w:sz w:val="20"/>
          <w:szCs w:val="20"/>
          <w:lang w:val="es-ES_tradnl"/>
        </w:rPr>
        <w:t>revocó el beneficio de salidas transitorias al señor Guillermo Patricio Lynn, quien se encontraba cumpliendo condena en un centro penitenciario en la Provincia de Buenos Aires.</w:t>
      </w:r>
    </w:p>
    <w:p w14:paraId="2B40C46A" w14:textId="77777777" w:rsidR="009658C2" w:rsidRPr="004B7084" w:rsidRDefault="009658C2" w:rsidP="009658C2">
      <w:pPr>
        <w:pStyle w:val="xmsolistparagraph"/>
        <w:spacing w:before="0" w:beforeAutospacing="0" w:after="0" w:afterAutospacing="0"/>
        <w:ind w:firstLine="720"/>
        <w:jc w:val="both"/>
        <w:rPr>
          <w:rFonts w:ascii="Cambria" w:hAnsi="Cambria" w:cs="Calibri"/>
          <w:color w:val="000000"/>
          <w:sz w:val="20"/>
          <w:szCs w:val="20"/>
          <w:lang w:val="es-ES_tradnl"/>
        </w:rPr>
      </w:pPr>
    </w:p>
    <w:p w14:paraId="6D2BE5DF" w14:textId="7175C6E7" w:rsidR="006C481B" w:rsidRPr="004B7084" w:rsidRDefault="00C236EF" w:rsidP="000C0B8E">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 xml:space="preserve">El 26 de marzo de 1990, el señor Lynn fue condenado a cadena perpetua por el delito de </w:t>
      </w:r>
      <w:r w:rsidR="004B7084" w:rsidRPr="004B7084">
        <w:rPr>
          <w:rFonts w:ascii="Cambria" w:hAnsi="Cambria"/>
          <w:sz w:val="20"/>
          <w:szCs w:val="20"/>
          <w:lang w:val="es-ES_tradnl"/>
        </w:rPr>
        <w:t>homicidio</w:t>
      </w:r>
      <w:r w:rsidRPr="004B7084">
        <w:rPr>
          <w:rFonts w:ascii="Cambria" w:hAnsi="Cambria"/>
          <w:sz w:val="20"/>
          <w:szCs w:val="20"/>
          <w:lang w:val="es-ES_tradnl"/>
        </w:rPr>
        <w:t xml:space="preserve"> calificado por alevosía y, al momento de los hechos del presente caso, se encontraba detenido en </w:t>
      </w:r>
      <w:r w:rsidR="000C0B8E" w:rsidRPr="004B7084">
        <w:rPr>
          <w:rFonts w:ascii="Cambria" w:hAnsi="Cambria"/>
          <w:sz w:val="20"/>
          <w:szCs w:val="20"/>
          <w:lang w:val="es-ES_tradnl"/>
        </w:rPr>
        <w:t>la Colonia Penal de Ezeiza</w:t>
      </w:r>
      <w:r w:rsidR="00C660B0">
        <w:rPr>
          <w:rFonts w:ascii="Cambria" w:hAnsi="Cambria"/>
          <w:sz w:val="20"/>
          <w:szCs w:val="20"/>
          <w:lang w:val="es-ES_tradnl"/>
        </w:rPr>
        <w:t>, Unidad 19</w:t>
      </w:r>
      <w:r w:rsidR="004B7084">
        <w:rPr>
          <w:rFonts w:ascii="Cambria" w:hAnsi="Cambria"/>
          <w:sz w:val="20"/>
          <w:szCs w:val="20"/>
          <w:lang w:val="es-ES_tradnl"/>
        </w:rPr>
        <w:t>. D</w:t>
      </w:r>
      <w:r w:rsidR="000C0B8E" w:rsidRPr="004B7084">
        <w:rPr>
          <w:rFonts w:ascii="Cambria" w:hAnsi="Cambria"/>
          <w:sz w:val="20"/>
          <w:szCs w:val="20"/>
          <w:lang w:val="es-ES_tradnl"/>
        </w:rPr>
        <w:t xml:space="preserve">esde el 17 de </w:t>
      </w:r>
      <w:r w:rsidR="00631904">
        <w:rPr>
          <w:rFonts w:ascii="Cambria" w:hAnsi="Cambria"/>
          <w:sz w:val="20"/>
          <w:szCs w:val="20"/>
          <w:lang w:val="es-ES_tradnl"/>
        </w:rPr>
        <w:t>diciembre</w:t>
      </w:r>
      <w:r w:rsidR="000C0B8E" w:rsidRPr="004B7084">
        <w:rPr>
          <w:rFonts w:ascii="Cambria" w:hAnsi="Cambria"/>
          <w:sz w:val="20"/>
          <w:szCs w:val="20"/>
          <w:lang w:val="es-ES_tradnl"/>
        </w:rPr>
        <w:t xml:space="preserve"> de 199</w:t>
      </w:r>
      <w:r w:rsidR="00631904">
        <w:rPr>
          <w:rFonts w:ascii="Cambria" w:hAnsi="Cambria"/>
          <w:sz w:val="20"/>
          <w:szCs w:val="20"/>
          <w:lang w:val="es-ES_tradnl"/>
        </w:rPr>
        <w:t>8</w:t>
      </w:r>
      <w:r w:rsidR="000C0B8E" w:rsidRPr="004B7084">
        <w:rPr>
          <w:rFonts w:ascii="Cambria" w:hAnsi="Cambria"/>
          <w:sz w:val="20"/>
          <w:szCs w:val="20"/>
          <w:lang w:val="es-ES_tradnl"/>
        </w:rPr>
        <w:t xml:space="preserve">, </w:t>
      </w:r>
      <w:r w:rsidR="004B7084">
        <w:rPr>
          <w:rFonts w:ascii="Cambria" w:hAnsi="Cambria"/>
          <w:sz w:val="20"/>
          <w:szCs w:val="20"/>
          <w:lang w:val="es-ES_tradnl"/>
        </w:rPr>
        <w:t xml:space="preserve">el señor Lynn </w:t>
      </w:r>
      <w:r w:rsidR="000C0B8E" w:rsidRPr="004B7084">
        <w:rPr>
          <w:rFonts w:ascii="Cambria" w:hAnsi="Cambria"/>
          <w:sz w:val="20"/>
          <w:szCs w:val="20"/>
          <w:lang w:val="es-ES_tradnl"/>
        </w:rPr>
        <w:t>contó con el beneficio de salidas</w:t>
      </w:r>
      <w:r w:rsidR="004B7084">
        <w:rPr>
          <w:rFonts w:ascii="Cambria" w:hAnsi="Cambria"/>
          <w:sz w:val="20"/>
          <w:szCs w:val="20"/>
          <w:lang w:val="es-ES_tradnl"/>
        </w:rPr>
        <w:t xml:space="preserve"> transitorias</w:t>
      </w:r>
      <w:r w:rsidR="000C0B8E" w:rsidRPr="004B7084">
        <w:rPr>
          <w:rFonts w:ascii="Cambria" w:hAnsi="Cambria"/>
          <w:sz w:val="20"/>
          <w:szCs w:val="20"/>
          <w:lang w:val="es-ES_tradnl"/>
        </w:rPr>
        <w:t>, las cuales se cumplieron de manera regular hasta el 26 de marzo de 2000</w:t>
      </w:r>
      <w:r w:rsidR="00EC03A4">
        <w:rPr>
          <w:rFonts w:ascii="Cambria" w:hAnsi="Cambria"/>
          <w:sz w:val="20"/>
          <w:szCs w:val="20"/>
          <w:lang w:val="es-ES_tradnl"/>
        </w:rPr>
        <w:t>, cuando según la versión del Estado, controvertida por los peticionarios, el señor Lynn habría regresado al centro penitenciario en estado de ebriedad</w:t>
      </w:r>
      <w:r w:rsidR="000C0B8E" w:rsidRPr="004B7084">
        <w:rPr>
          <w:rFonts w:ascii="Cambria" w:hAnsi="Cambria"/>
          <w:sz w:val="20"/>
          <w:szCs w:val="20"/>
          <w:lang w:val="es-ES_tradnl"/>
        </w:rPr>
        <w:t xml:space="preserve">. </w:t>
      </w:r>
    </w:p>
    <w:p w14:paraId="4CF10B10" w14:textId="77777777" w:rsidR="006C481B" w:rsidRPr="004B7084" w:rsidRDefault="006C481B" w:rsidP="000C0B8E">
      <w:pPr>
        <w:spacing w:after="0" w:line="240" w:lineRule="auto"/>
        <w:ind w:firstLine="567"/>
        <w:jc w:val="both"/>
        <w:rPr>
          <w:rFonts w:ascii="Cambria" w:hAnsi="Cambria"/>
          <w:sz w:val="20"/>
          <w:szCs w:val="20"/>
          <w:lang w:val="es-ES_tradnl"/>
        </w:rPr>
      </w:pPr>
    </w:p>
    <w:p w14:paraId="726D1A47" w14:textId="5A21566D" w:rsidR="006C481B" w:rsidRPr="004B7084" w:rsidRDefault="006C481B" w:rsidP="000C0B8E">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 xml:space="preserve">El 27 de marzo de 2000, un día </w:t>
      </w:r>
      <w:r w:rsidR="004B7084" w:rsidRPr="004B7084">
        <w:rPr>
          <w:rFonts w:ascii="Cambria" w:hAnsi="Cambria"/>
          <w:sz w:val="20"/>
          <w:szCs w:val="20"/>
          <w:lang w:val="es-ES_tradnl"/>
        </w:rPr>
        <w:t>después</w:t>
      </w:r>
      <w:r w:rsidRPr="004B7084">
        <w:rPr>
          <w:rFonts w:ascii="Cambria" w:hAnsi="Cambria"/>
          <w:sz w:val="20"/>
          <w:szCs w:val="20"/>
          <w:lang w:val="es-ES_tradnl"/>
        </w:rPr>
        <w:t xml:space="preserve"> de haber regresado al centro penitenciario en el marco del beneficio de salidas transitorias</w:t>
      </w:r>
      <w:r w:rsidR="00631904">
        <w:rPr>
          <w:rFonts w:ascii="Cambria" w:hAnsi="Cambria"/>
          <w:sz w:val="20"/>
          <w:szCs w:val="20"/>
          <w:lang w:val="es-ES_tradnl"/>
        </w:rPr>
        <w:t xml:space="preserve">, </w:t>
      </w:r>
      <w:r w:rsidRPr="004B7084">
        <w:rPr>
          <w:rFonts w:ascii="Cambria" w:hAnsi="Cambria"/>
          <w:sz w:val="20"/>
          <w:szCs w:val="20"/>
          <w:lang w:val="es-ES_tradnl"/>
        </w:rPr>
        <w:t xml:space="preserve">se notificó al señor Lynn una resolución </w:t>
      </w:r>
      <w:r w:rsidR="004B7084" w:rsidRPr="004B7084">
        <w:rPr>
          <w:rFonts w:ascii="Cambria" w:hAnsi="Cambria"/>
          <w:sz w:val="20"/>
          <w:szCs w:val="20"/>
          <w:lang w:val="es-ES_tradnl"/>
        </w:rPr>
        <w:t>mediante</w:t>
      </w:r>
      <w:r w:rsidRPr="004B7084">
        <w:rPr>
          <w:rFonts w:ascii="Cambria" w:hAnsi="Cambria"/>
          <w:sz w:val="20"/>
          <w:szCs w:val="20"/>
          <w:lang w:val="es-ES_tradnl"/>
        </w:rPr>
        <w:t xml:space="preserve"> la cual se le impuso aislamiento provisional por resultar necesario para el mantenimiento del orden</w:t>
      </w:r>
      <w:r w:rsidR="004B7084">
        <w:rPr>
          <w:rFonts w:ascii="Cambria" w:hAnsi="Cambria"/>
          <w:sz w:val="20"/>
          <w:szCs w:val="20"/>
          <w:lang w:val="es-ES_tradnl"/>
        </w:rPr>
        <w:t xml:space="preserve">, </w:t>
      </w:r>
      <w:r w:rsidRPr="004B7084">
        <w:rPr>
          <w:rFonts w:ascii="Cambria" w:hAnsi="Cambria"/>
          <w:sz w:val="20"/>
          <w:szCs w:val="20"/>
          <w:lang w:val="es-ES_tradnl"/>
        </w:rPr>
        <w:t xml:space="preserve">sin indicar de manera expresa la causa de la sanción ni las disposiciones aplicables. Quince minutos </w:t>
      </w:r>
      <w:r w:rsidR="004B7084" w:rsidRPr="004B7084">
        <w:rPr>
          <w:rFonts w:ascii="Cambria" w:hAnsi="Cambria"/>
          <w:sz w:val="20"/>
          <w:szCs w:val="20"/>
          <w:lang w:val="es-ES_tradnl"/>
        </w:rPr>
        <w:t>después</w:t>
      </w:r>
      <w:r w:rsidRPr="004B7084">
        <w:rPr>
          <w:rFonts w:ascii="Cambria" w:hAnsi="Cambria"/>
          <w:sz w:val="20"/>
          <w:szCs w:val="20"/>
          <w:lang w:val="es-ES_tradnl"/>
        </w:rPr>
        <w:t xml:space="preserve"> de ser notificado de dicha </w:t>
      </w:r>
      <w:r w:rsidR="004B7084" w:rsidRPr="004B7084">
        <w:rPr>
          <w:rFonts w:ascii="Cambria" w:hAnsi="Cambria"/>
          <w:sz w:val="20"/>
          <w:szCs w:val="20"/>
          <w:lang w:val="es-ES_tradnl"/>
        </w:rPr>
        <w:t>resolución</w:t>
      </w:r>
      <w:r w:rsidRPr="004B7084">
        <w:rPr>
          <w:rFonts w:ascii="Cambria" w:hAnsi="Cambria"/>
          <w:sz w:val="20"/>
          <w:szCs w:val="20"/>
          <w:lang w:val="es-ES_tradnl"/>
        </w:rPr>
        <w:t xml:space="preserve"> se realizó una audiencia ante el </w:t>
      </w:r>
      <w:r w:rsidR="00C660B0">
        <w:rPr>
          <w:rFonts w:ascii="Cambria" w:hAnsi="Cambria"/>
          <w:sz w:val="20"/>
          <w:szCs w:val="20"/>
          <w:lang w:val="es-ES_tradnl"/>
        </w:rPr>
        <w:t>d</w:t>
      </w:r>
      <w:r w:rsidRPr="004B7084">
        <w:rPr>
          <w:rFonts w:ascii="Cambria" w:hAnsi="Cambria"/>
          <w:sz w:val="20"/>
          <w:szCs w:val="20"/>
          <w:lang w:val="es-ES_tradnl"/>
        </w:rPr>
        <w:t xml:space="preserve">irector del centro penitenciario, en la cual el señor Lynn no estuvo acompañado por un defensor ni tuvo la posibilidad de presentar pruebas de descargo y como consecuencia de la cual se le declaró como responsable de haber cometido una sanción disciplinaria y se le impuso el </w:t>
      </w:r>
      <w:r w:rsidR="004B7084" w:rsidRPr="004B7084">
        <w:rPr>
          <w:rFonts w:ascii="Cambria" w:hAnsi="Cambria"/>
          <w:sz w:val="20"/>
          <w:szCs w:val="20"/>
          <w:lang w:val="es-ES_tradnl"/>
        </w:rPr>
        <w:t>castigo</w:t>
      </w:r>
      <w:r w:rsidRPr="004B7084">
        <w:rPr>
          <w:rFonts w:ascii="Cambria" w:hAnsi="Cambria"/>
          <w:sz w:val="20"/>
          <w:szCs w:val="20"/>
          <w:lang w:val="es-ES_tradnl"/>
        </w:rPr>
        <w:t xml:space="preserve"> de reclusión por cinco días en una celda. </w:t>
      </w:r>
    </w:p>
    <w:p w14:paraId="65FAD81A" w14:textId="7C157EB3" w:rsidR="006C481B" w:rsidRPr="004B7084" w:rsidRDefault="006C481B" w:rsidP="00457E4C">
      <w:pPr>
        <w:spacing w:after="0" w:line="240" w:lineRule="auto"/>
        <w:jc w:val="both"/>
        <w:rPr>
          <w:rFonts w:ascii="Cambria" w:hAnsi="Cambria"/>
          <w:sz w:val="20"/>
          <w:szCs w:val="20"/>
          <w:lang w:val="es-ES_tradnl"/>
        </w:rPr>
      </w:pPr>
    </w:p>
    <w:p w14:paraId="7F8F7B67" w14:textId="77E39232" w:rsidR="003C6011" w:rsidRPr="004B7084" w:rsidRDefault="003C6011" w:rsidP="004B7084">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El 28 de ma</w:t>
      </w:r>
      <w:r w:rsidRPr="00EC03A4">
        <w:rPr>
          <w:rFonts w:ascii="Cambria" w:hAnsi="Cambria"/>
          <w:sz w:val="20"/>
          <w:szCs w:val="20"/>
          <w:lang w:val="es-ES_tradnl"/>
        </w:rPr>
        <w:t xml:space="preserve">rzo de 2000, el Consejo del Instituto Correccional Abierto de Ezeiza emitió un acta en donde </w:t>
      </w:r>
      <w:r w:rsidR="00EC03A4" w:rsidRPr="00EC03A4">
        <w:rPr>
          <w:rFonts w:ascii="Cambria" w:hAnsi="Cambria"/>
          <w:sz w:val="20"/>
          <w:szCs w:val="20"/>
          <w:lang w:val="es-ES_tradnl"/>
        </w:rPr>
        <w:t>“</w:t>
      </w:r>
      <w:r w:rsidR="004B7084" w:rsidRPr="00EC03A4">
        <w:rPr>
          <w:rFonts w:ascii="Cambria" w:hAnsi="Cambria"/>
          <w:sz w:val="20"/>
          <w:szCs w:val="20"/>
          <w:lang w:val="es-ES_tradnl"/>
        </w:rPr>
        <w:t>disminuyó</w:t>
      </w:r>
      <w:r w:rsidR="00EC03A4" w:rsidRPr="00EC03A4">
        <w:rPr>
          <w:rFonts w:ascii="Cambria" w:hAnsi="Cambria"/>
          <w:sz w:val="20"/>
          <w:szCs w:val="20"/>
          <w:lang w:val="es-ES_tradnl"/>
        </w:rPr>
        <w:t>”</w:t>
      </w:r>
      <w:r w:rsidRPr="00EC03A4">
        <w:rPr>
          <w:rFonts w:ascii="Cambria" w:hAnsi="Cambria"/>
          <w:sz w:val="20"/>
          <w:szCs w:val="20"/>
          <w:lang w:val="es-ES_tradnl"/>
        </w:rPr>
        <w:t xml:space="preserve"> los criterios de conducta y concepto del señor Lynn en vista de la sanción disciplinaria en su contra, por</w:t>
      </w:r>
      <w:r w:rsidRPr="004B7084">
        <w:rPr>
          <w:rFonts w:ascii="Cambria" w:hAnsi="Cambria"/>
          <w:sz w:val="20"/>
          <w:szCs w:val="20"/>
          <w:lang w:val="es-ES_tradnl"/>
        </w:rPr>
        <w:t xml:space="preserve"> lo cual ya no cumplía con los requisitos para continuar con el beneficio de sal</w:t>
      </w:r>
      <w:r w:rsidR="004B7084">
        <w:rPr>
          <w:rFonts w:ascii="Cambria" w:hAnsi="Cambria"/>
          <w:sz w:val="20"/>
          <w:szCs w:val="20"/>
          <w:lang w:val="es-ES_tradnl"/>
        </w:rPr>
        <w:t>i</w:t>
      </w:r>
      <w:r w:rsidRPr="004B7084">
        <w:rPr>
          <w:rFonts w:ascii="Cambria" w:hAnsi="Cambria"/>
          <w:sz w:val="20"/>
          <w:szCs w:val="20"/>
          <w:lang w:val="es-ES_tradnl"/>
        </w:rPr>
        <w:t xml:space="preserve">das transitorias y el mismo día el </w:t>
      </w:r>
      <w:r w:rsidR="004B7084">
        <w:rPr>
          <w:rFonts w:ascii="Cambria" w:hAnsi="Cambria"/>
          <w:sz w:val="20"/>
          <w:szCs w:val="20"/>
          <w:lang w:val="es-ES_tradnl"/>
        </w:rPr>
        <w:t>d</w:t>
      </w:r>
      <w:r w:rsidRPr="004B7084">
        <w:rPr>
          <w:rFonts w:ascii="Cambria" w:hAnsi="Cambria"/>
          <w:sz w:val="20"/>
          <w:szCs w:val="20"/>
          <w:lang w:val="es-ES_tradnl"/>
        </w:rPr>
        <w:t xml:space="preserve">irector del centro penitenciario emitió una resolución excluyendo de este beneficio al señor Lynn, lo cual fue confirmado dos días </w:t>
      </w:r>
      <w:r w:rsidR="004B7084" w:rsidRPr="004B7084">
        <w:rPr>
          <w:rFonts w:ascii="Cambria" w:hAnsi="Cambria"/>
          <w:sz w:val="20"/>
          <w:szCs w:val="20"/>
          <w:lang w:val="es-ES_tradnl"/>
        </w:rPr>
        <w:t>después</w:t>
      </w:r>
      <w:r w:rsidRPr="004B7084">
        <w:rPr>
          <w:rFonts w:ascii="Cambria" w:hAnsi="Cambria"/>
          <w:sz w:val="20"/>
          <w:szCs w:val="20"/>
          <w:lang w:val="es-ES_tradnl"/>
        </w:rPr>
        <w:t xml:space="preserve"> por el Juez de </w:t>
      </w:r>
      <w:r w:rsidR="00631904">
        <w:rPr>
          <w:rFonts w:ascii="Cambria" w:hAnsi="Cambria"/>
          <w:sz w:val="20"/>
          <w:szCs w:val="20"/>
          <w:lang w:val="es-ES_tradnl"/>
        </w:rPr>
        <w:t>Ejecución</w:t>
      </w:r>
      <w:r w:rsidRPr="004B7084">
        <w:rPr>
          <w:rFonts w:ascii="Cambria" w:hAnsi="Cambria"/>
          <w:sz w:val="20"/>
          <w:szCs w:val="20"/>
          <w:lang w:val="es-ES_tradnl"/>
        </w:rPr>
        <w:t>.</w:t>
      </w:r>
    </w:p>
    <w:p w14:paraId="1C2AEF2F" w14:textId="5FAA9661" w:rsidR="00C236EF" w:rsidRPr="004B7084" w:rsidRDefault="00C236EF" w:rsidP="003C6011">
      <w:pPr>
        <w:spacing w:after="0" w:line="240" w:lineRule="auto"/>
        <w:jc w:val="both"/>
        <w:rPr>
          <w:rFonts w:ascii="Cambria" w:hAnsi="Cambria"/>
          <w:sz w:val="20"/>
          <w:szCs w:val="20"/>
          <w:lang w:val="es-ES_tradnl"/>
        </w:rPr>
      </w:pPr>
    </w:p>
    <w:p w14:paraId="1AAE2DA6" w14:textId="17616627" w:rsidR="003C6011" w:rsidRPr="004B7084" w:rsidRDefault="00221B63" w:rsidP="009658C2">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 xml:space="preserve">En su Informe de Fondo, la Comisión observó </w:t>
      </w:r>
      <w:r w:rsidR="006C481B" w:rsidRPr="004B7084">
        <w:rPr>
          <w:rFonts w:ascii="Cambria" w:hAnsi="Cambria"/>
          <w:sz w:val="20"/>
          <w:szCs w:val="20"/>
          <w:lang w:val="es-ES_tradnl"/>
        </w:rPr>
        <w:t xml:space="preserve">que el proceso </w:t>
      </w:r>
      <w:r w:rsidR="004B7084" w:rsidRPr="004B7084">
        <w:rPr>
          <w:rFonts w:ascii="Cambria" w:hAnsi="Cambria"/>
          <w:sz w:val="20"/>
          <w:szCs w:val="20"/>
          <w:lang w:val="es-ES_tradnl"/>
        </w:rPr>
        <w:t>disciplinario</w:t>
      </w:r>
      <w:r w:rsidR="006C481B" w:rsidRPr="004B7084">
        <w:rPr>
          <w:rFonts w:ascii="Cambria" w:hAnsi="Cambria"/>
          <w:sz w:val="20"/>
          <w:szCs w:val="20"/>
          <w:lang w:val="es-ES_tradnl"/>
        </w:rPr>
        <w:t xml:space="preserve"> seguido contra el señor Lynn se realizó de una manera extremadamente breve, sin que se respetaran las mínimas garantías del debido proceso. En particular, que el señor Lynn no tuvo conocimiento previo y detallado de la causa, </w:t>
      </w:r>
      <w:r w:rsidR="004B7084" w:rsidRPr="004B7084">
        <w:rPr>
          <w:rFonts w:ascii="Cambria" w:hAnsi="Cambria"/>
          <w:sz w:val="20"/>
          <w:szCs w:val="20"/>
          <w:lang w:val="es-ES_tradnl"/>
        </w:rPr>
        <w:t>con</w:t>
      </w:r>
      <w:r w:rsidR="006C481B" w:rsidRPr="004B7084">
        <w:rPr>
          <w:rFonts w:ascii="Cambria" w:hAnsi="Cambria"/>
          <w:sz w:val="20"/>
          <w:szCs w:val="20"/>
          <w:lang w:val="es-ES_tradnl"/>
        </w:rPr>
        <w:t xml:space="preserve"> suficiente tiempo para defenderse antes de la audiencia y de la decisión y presentar pruebas de descargo, ni tuvo posibilidad de disponer</w:t>
      </w:r>
      <w:r w:rsidR="003C6011" w:rsidRPr="004B7084">
        <w:rPr>
          <w:rFonts w:ascii="Cambria" w:hAnsi="Cambria"/>
          <w:sz w:val="20"/>
          <w:szCs w:val="20"/>
          <w:lang w:val="es-ES_tradnl"/>
        </w:rPr>
        <w:t xml:space="preserve"> de defensa técnica. Asimismo, </w:t>
      </w:r>
      <w:r w:rsidR="00C660B0">
        <w:rPr>
          <w:rFonts w:ascii="Cambria" w:hAnsi="Cambria"/>
          <w:sz w:val="20"/>
          <w:szCs w:val="20"/>
          <w:lang w:val="es-ES_tradnl"/>
        </w:rPr>
        <w:t xml:space="preserve">la Comisión </w:t>
      </w:r>
      <w:r w:rsidR="003C6011" w:rsidRPr="004B7084">
        <w:rPr>
          <w:rFonts w:ascii="Cambria" w:hAnsi="Cambria"/>
          <w:sz w:val="20"/>
          <w:szCs w:val="20"/>
          <w:lang w:val="es-ES_tradnl"/>
        </w:rPr>
        <w:t>indicó que</w:t>
      </w:r>
      <w:r w:rsidR="00C660B0">
        <w:rPr>
          <w:rFonts w:ascii="Cambria" w:hAnsi="Cambria"/>
          <w:sz w:val="20"/>
          <w:szCs w:val="20"/>
          <w:lang w:val="es-ES_tradnl"/>
        </w:rPr>
        <w:t xml:space="preserve">, </w:t>
      </w:r>
      <w:r w:rsidR="003C6011" w:rsidRPr="004B7084">
        <w:rPr>
          <w:rFonts w:ascii="Cambria" w:hAnsi="Cambria"/>
          <w:sz w:val="20"/>
          <w:szCs w:val="20"/>
          <w:lang w:val="es-ES_tradnl"/>
        </w:rPr>
        <w:t>en el marco del procedimiento de revocatoria del beneficio de salidas</w:t>
      </w:r>
      <w:r w:rsidR="00FE7F59">
        <w:rPr>
          <w:rFonts w:ascii="Cambria" w:hAnsi="Cambria"/>
          <w:sz w:val="20"/>
          <w:szCs w:val="20"/>
          <w:lang w:val="es-ES_tradnl"/>
        </w:rPr>
        <w:t xml:space="preserve"> transitorias</w:t>
      </w:r>
      <w:r w:rsidR="00C660B0">
        <w:rPr>
          <w:rFonts w:ascii="Cambria" w:hAnsi="Cambria"/>
          <w:sz w:val="20"/>
          <w:szCs w:val="20"/>
          <w:lang w:val="es-ES_tradnl"/>
        </w:rPr>
        <w:t xml:space="preserve">, </w:t>
      </w:r>
      <w:r w:rsidR="003C6011" w:rsidRPr="004B7084">
        <w:rPr>
          <w:rFonts w:ascii="Cambria" w:hAnsi="Cambria"/>
          <w:sz w:val="20"/>
          <w:szCs w:val="20"/>
          <w:lang w:val="es-ES_tradnl"/>
        </w:rPr>
        <w:t xml:space="preserve">el señor Lynn tampoco tuvo oportunidad de presentar sus alegatos de defensa ni de ser oído frente al Consejo del Instituto Correccional Abierto de Ezeiza ni </w:t>
      </w:r>
      <w:r w:rsidR="00C660B0">
        <w:rPr>
          <w:rFonts w:ascii="Cambria" w:hAnsi="Cambria"/>
          <w:sz w:val="20"/>
          <w:szCs w:val="20"/>
          <w:lang w:val="es-ES_tradnl"/>
        </w:rPr>
        <w:t xml:space="preserve">frente </w:t>
      </w:r>
      <w:r w:rsidR="00FE7F59">
        <w:rPr>
          <w:rFonts w:ascii="Cambria" w:hAnsi="Cambria"/>
          <w:sz w:val="20"/>
          <w:szCs w:val="20"/>
          <w:lang w:val="es-ES_tradnl"/>
        </w:rPr>
        <w:t>a</w:t>
      </w:r>
      <w:r w:rsidR="003C6011" w:rsidRPr="004B7084">
        <w:rPr>
          <w:rFonts w:ascii="Cambria" w:hAnsi="Cambria"/>
          <w:sz w:val="20"/>
          <w:szCs w:val="20"/>
          <w:lang w:val="es-ES_tradnl"/>
        </w:rPr>
        <w:t xml:space="preserve">l </w:t>
      </w:r>
      <w:r w:rsidR="00FE7F59">
        <w:rPr>
          <w:rFonts w:ascii="Cambria" w:hAnsi="Cambria"/>
          <w:sz w:val="20"/>
          <w:szCs w:val="20"/>
          <w:lang w:val="es-ES_tradnl"/>
        </w:rPr>
        <w:t>J</w:t>
      </w:r>
      <w:r w:rsidR="003C6011" w:rsidRPr="004B7084">
        <w:rPr>
          <w:rFonts w:ascii="Cambria" w:hAnsi="Cambria"/>
          <w:sz w:val="20"/>
          <w:szCs w:val="20"/>
          <w:lang w:val="es-ES_tradnl"/>
        </w:rPr>
        <w:t xml:space="preserve">uez de </w:t>
      </w:r>
      <w:r w:rsidR="00FE7F59">
        <w:rPr>
          <w:rFonts w:ascii="Cambria" w:hAnsi="Cambria"/>
          <w:sz w:val="20"/>
          <w:szCs w:val="20"/>
          <w:lang w:val="es-ES_tradnl"/>
        </w:rPr>
        <w:t>E</w:t>
      </w:r>
      <w:r w:rsidR="003C6011" w:rsidRPr="004B7084">
        <w:rPr>
          <w:rFonts w:ascii="Cambria" w:hAnsi="Cambria"/>
          <w:sz w:val="20"/>
          <w:szCs w:val="20"/>
          <w:lang w:val="es-ES_tradnl"/>
        </w:rPr>
        <w:t xml:space="preserve">jecución antes de que se dispusiera la revocatoria. </w:t>
      </w:r>
    </w:p>
    <w:p w14:paraId="37DFF9C2" w14:textId="267D5302" w:rsidR="003C6011" w:rsidRPr="004B7084" w:rsidRDefault="003C6011" w:rsidP="009658C2">
      <w:pPr>
        <w:spacing w:after="0" w:line="240" w:lineRule="auto"/>
        <w:ind w:firstLine="567"/>
        <w:jc w:val="both"/>
        <w:rPr>
          <w:rFonts w:ascii="Cambria" w:hAnsi="Cambria"/>
          <w:sz w:val="20"/>
          <w:szCs w:val="20"/>
          <w:lang w:val="es-ES_tradnl"/>
        </w:rPr>
      </w:pPr>
    </w:p>
    <w:p w14:paraId="11155664" w14:textId="77777777" w:rsidR="00EC03A4" w:rsidRDefault="00EC03A4" w:rsidP="002F3EC1">
      <w:pPr>
        <w:spacing w:after="0" w:line="240" w:lineRule="auto"/>
        <w:jc w:val="both"/>
        <w:rPr>
          <w:rFonts w:ascii="Cambria" w:hAnsi="Cambria" w:cs="Calibri"/>
          <w:color w:val="000000"/>
          <w:sz w:val="20"/>
          <w:szCs w:val="20"/>
          <w:lang w:val="es-ES"/>
        </w:rPr>
      </w:pPr>
    </w:p>
    <w:p w14:paraId="22C380FD" w14:textId="39627453" w:rsidR="002F3EC1" w:rsidRPr="003756FF" w:rsidRDefault="002F3EC1" w:rsidP="002F3EC1">
      <w:pPr>
        <w:spacing w:after="0" w:line="240" w:lineRule="auto"/>
        <w:jc w:val="both"/>
        <w:rPr>
          <w:rFonts w:ascii="Cambria" w:hAnsi="Cambria" w:cs="Calibri"/>
          <w:color w:val="000000"/>
          <w:sz w:val="20"/>
          <w:szCs w:val="20"/>
          <w:lang w:val="es-ES"/>
        </w:rPr>
      </w:pPr>
      <w:r w:rsidRPr="003756FF">
        <w:rPr>
          <w:rFonts w:ascii="Cambria" w:hAnsi="Cambria" w:cs="Calibri"/>
          <w:color w:val="000000"/>
          <w:sz w:val="20"/>
          <w:szCs w:val="20"/>
          <w:lang w:val="es-ES"/>
        </w:rPr>
        <w:t>Señor</w:t>
      </w:r>
    </w:p>
    <w:p w14:paraId="41383909" w14:textId="77777777" w:rsidR="002F3EC1" w:rsidRPr="003756FF" w:rsidRDefault="002F3EC1" w:rsidP="002F3EC1">
      <w:pPr>
        <w:spacing w:after="0" w:line="240" w:lineRule="auto"/>
        <w:jc w:val="both"/>
        <w:rPr>
          <w:rFonts w:ascii="Cambria" w:hAnsi="Cambria" w:cs="Calibri"/>
          <w:color w:val="000000"/>
          <w:sz w:val="20"/>
          <w:szCs w:val="20"/>
          <w:lang w:val="es-ES"/>
        </w:rPr>
      </w:pPr>
      <w:r w:rsidRPr="003756FF">
        <w:rPr>
          <w:rFonts w:ascii="Cambria" w:hAnsi="Cambria" w:cs="Calibri"/>
          <w:color w:val="000000"/>
          <w:sz w:val="20"/>
          <w:szCs w:val="20"/>
          <w:lang w:val="es-ES"/>
        </w:rPr>
        <w:t>Pablo Saavedra Alessandri</w:t>
      </w:r>
    </w:p>
    <w:p w14:paraId="24F0E0EB" w14:textId="77777777" w:rsidR="002F3EC1" w:rsidRPr="003756FF" w:rsidRDefault="002F3EC1" w:rsidP="002F3EC1">
      <w:pPr>
        <w:spacing w:after="0" w:line="240" w:lineRule="auto"/>
        <w:jc w:val="both"/>
        <w:rPr>
          <w:rFonts w:ascii="Cambria" w:hAnsi="Cambria" w:cs="Calibri"/>
          <w:color w:val="000000"/>
          <w:sz w:val="20"/>
          <w:szCs w:val="20"/>
          <w:lang w:val="es-ES"/>
        </w:rPr>
      </w:pPr>
      <w:r w:rsidRPr="003756FF">
        <w:rPr>
          <w:rFonts w:ascii="Cambria" w:hAnsi="Cambria" w:cs="Calibri"/>
          <w:color w:val="000000"/>
          <w:sz w:val="20"/>
          <w:szCs w:val="20"/>
          <w:lang w:val="es-ES"/>
        </w:rPr>
        <w:t>Secretario</w:t>
      </w:r>
    </w:p>
    <w:p w14:paraId="47F15842" w14:textId="77777777" w:rsidR="002F3EC1" w:rsidRPr="003756FF" w:rsidRDefault="002F3EC1" w:rsidP="002F3EC1">
      <w:pPr>
        <w:spacing w:after="0" w:line="240" w:lineRule="auto"/>
        <w:jc w:val="both"/>
        <w:rPr>
          <w:rFonts w:ascii="Cambria" w:hAnsi="Cambria" w:cs="Calibri"/>
          <w:color w:val="000000"/>
          <w:sz w:val="20"/>
          <w:szCs w:val="20"/>
          <w:lang w:val="es-ES"/>
        </w:rPr>
      </w:pPr>
      <w:r w:rsidRPr="003756FF">
        <w:rPr>
          <w:rFonts w:ascii="Cambria" w:hAnsi="Cambria" w:cs="Calibri"/>
          <w:color w:val="000000"/>
          <w:sz w:val="20"/>
          <w:szCs w:val="20"/>
          <w:lang w:val="es-ES"/>
        </w:rPr>
        <w:t>Corte Interamericana de Derechos Humanos</w:t>
      </w:r>
    </w:p>
    <w:p w14:paraId="10D3C15C" w14:textId="77777777" w:rsidR="002F3EC1" w:rsidRPr="003756FF" w:rsidRDefault="002F3EC1" w:rsidP="002F3EC1">
      <w:pPr>
        <w:spacing w:after="0" w:line="240" w:lineRule="auto"/>
        <w:jc w:val="both"/>
        <w:rPr>
          <w:rFonts w:ascii="Cambria" w:hAnsi="Cambria" w:cs="Calibri"/>
          <w:color w:val="000000"/>
          <w:sz w:val="20"/>
          <w:szCs w:val="20"/>
          <w:lang w:val="es-ES"/>
        </w:rPr>
      </w:pPr>
      <w:r w:rsidRPr="003756FF">
        <w:rPr>
          <w:rFonts w:ascii="Cambria" w:hAnsi="Cambria" w:cs="Calibri"/>
          <w:color w:val="000000"/>
          <w:sz w:val="20"/>
          <w:szCs w:val="20"/>
          <w:lang w:val="es-ES"/>
        </w:rPr>
        <w:t>San José, Costa Rica</w:t>
      </w:r>
    </w:p>
    <w:p w14:paraId="28FF4D6F" w14:textId="77777777" w:rsidR="003C6011" w:rsidRPr="004B7084" w:rsidRDefault="003C6011" w:rsidP="002F3EC1">
      <w:pPr>
        <w:spacing w:after="0" w:line="240" w:lineRule="auto"/>
        <w:jc w:val="both"/>
        <w:rPr>
          <w:rFonts w:ascii="Cambria" w:hAnsi="Cambria"/>
          <w:sz w:val="20"/>
          <w:szCs w:val="20"/>
          <w:lang w:val="es-ES_tradnl"/>
        </w:rPr>
      </w:pPr>
    </w:p>
    <w:p w14:paraId="67BA23BE" w14:textId="77777777" w:rsidR="00EC03A4" w:rsidRDefault="00EC03A4" w:rsidP="009658C2">
      <w:pPr>
        <w:spacing w:after="0" w:line="240" w:lineRule="auto"/>
        <w:ind w:firstLine="567"/>
        <w:jc w:val="both"/>
        <w:rPr>
          <w:rFonts w:ascii="Cambria" w:hAnsi="Cambria"/>
          <w:sz w:val="20"/>
          <w:szCs w:val="20"/>
          <w:lang w:val="es-ES_tradnl"/>
        </w:rPr>
      </w:pPr>
    </w:p>
    <w:p w14:paraId="18F10B93" w14:textId="77777777" w:rsidR="00EC03A4" w:rsidRDefault="00EC03A4" w:rsidP="009658C2">
      <w:pPr>
        <w:spacing w:after="0" w:line="240" w:lineRule="auto"/>
        <w:ind w:firstLine="567"/>
        <w:jc w:val="both"/>
        <w:rPr>
          <w:rFonts w:ascii="Cambria" w:hAnsi="Cambria"/>
          <w:sz w:val="20"/>
          <w:szCs w:val="20"/>
          <w:lang w:val="es-ES_tradnl"/>
        </w:rPr>
      </w:pPr>
    </w:p>
    <w:p w14:paraId="18285123" w14:textId="515A30B5" w:rsidR="00EC03A4" w:rsidRDefault="00EC03A4" w:rsidP="00EC03A4">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En este sentido, la Comisión determinó que el Estado violó el derecho a ser oído, a conocer previa</w:t>
      </w:r>
      <w:r w:rsidR="0083793C">
        <w:rPr>
          <w:rFonts w:ascii="Cambria" w:hAnsi="Cambria"/>
          <w:sz w:val="20"/>
          <w:szCs w:val="20"/>
          <w:lang w:val="es-ES_tradnl"/>
        </w:rPr>
        <w:t xml:space="preserve"> y</w:t>
      </w:r>
      <w:r w:rsidRPr="004B7084">
        <w:rPr>
          <w:rFonts w:ascii="Cambria" w:hAnsi="Cambria"/>
          <w:sz w:val="20"/>
          <w:szCs w:val="20"/>
          <w:lang w:val="es-ES_tradnl"/>
        </w:rPr>
        <w:t xml:space="preserve"> detalladamente la acusación formulada, a contar con un defensor y a tener el tiempo y los medios adecuados para defensa tanto en el procedimiento ante el Director del centro penitenciario como en el procedimiento ante el Juez de Ejecución.  </w:t>
      </w:r>
    </w:p>
    <w:p w14:paraId="6155158B" w14:textId="77777777" w:rsidR="00EC03A4" w:rsidRDefault="00EC03A4" w:rsidP="00EC03A4">
      <w:pPr>
        <w:spacing w:after="0" w:line="240" w:lineRule="auto"/>
        <w:jc w:val="both"/>
        <w:rPr>
          <w:rFonts w:ascii="Cambria" w:hAnsi="Cambria"/>
          <w:sz w:val="20"/>
          <w:szCs w:val="20"/>
          <w:lang w:val="es-ES_tradnl"/>
        </w:rPr>
      </w:pPr>
    </w:p>
    <w:p w14:paraId="7D382C77" w14:textId="473BB395" w:rsidR="003C6011" w:rsidRPr="004B7084" w:rsidRDefault="003C6011" w:rsidP="009658C2">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 xml:space="preserve">Por otra parte, la Comisión consideró que el </w:t>
      </w:r>
      <w:r w:rsidR="004B7084">
        <w:rPr>
          <w:rFonts w:ascii="Cambria" w:hAnsi="Cambria"/>
          <w:sz w:val="20"/>
          <w:szCs w:val="20"/>
          <w:lang w:val="es-ES_tradnl"/>
        </w:rPr>
        <w:t>d</w:t>
      </w:r>
      <w:r w:rsidRPr="004B7084">
        <w:rPr>
          <w:rFonts w:ascii="Cambria" w:hAnsi="Cambria"/>
          <w:sz w:val="20"/>
          <w:szCs w:val="20"/>
          <w:lang w:val="es-ES_tradnl"/>
        </w:rPr>
        <w:t xml:space="preserve">irector del centro penitenciario y el </w:t>
      </w:r>
      <w:r w:rsidR="00631904">
        <w:rPr>
          <w:rFonts w:ascii="Cambria" w:hAnsi="Cambria"/>
          <w:sz w:val="20"/>
          <w:szCs w:val="20"/>
          <w:lang w:val="es-ES_tradnl"/>
        </w:rPr>
        <w:t>J</w:t>
      </w:r>
      <w:r w:rsidRPr="004B7084">
        <w:rPr>
          <w:rFonts w:ascii="Cambria" w:hAnsi="Cambria"/>
          <w:sz w:val="20"/>
          <w:szCs w:val="20"/>
          <w:lang w:val="es-ES_tradnl"/>
        </w:rPr>
        <w:t xml:space="preserve">uez de </w:t>
      </w:r>
      <w:r w:rsidR="00631904">
        <w:rPr>
          <w:rFonts w:ascii="Cambria" w:hAnsi="Cambria"/>
          <w:sz w:val="20"/>
          <w:szCs w:val="20"/>
          <w:lang w:val="es-ES_tradnl"/>
        </w:rPr>
        <w:t>E</w:t>
      </w:r>
      <w:r w:rsidRPr="004B7084">
        <w:rPr>
          <w:rFonts w:ascii="Cambria" w:hAnsi="Cambria"/>
          <w:sz w:val="20"/>
          <w:szCs w:val="20"/>
          <w:lang w:val="es-ES_tradnl"/>
        </w:rPr>
        <w:t xml:space="preserve">jecución omitieron aclarar, a la luz del principio de presunción de inocencia, los elementos posiblemente exculpatorios que surgieron </w:t>
      </w:r>
      <w:r w:rsidR="00A870F5" w:rsidRPr="004B7084">
        <w:rPr>
          <w:rFonts w:ascii="Cambria" w:hAnsi="Cambria"/>
          <w:sz w:val="20"/>
          <w:szCs w:val="20"/>
          <w:lang w:val="es-ES_tradnl"/>
        </w:rPr>
        <w:t>durante los procedimientos</w:t>
      </w:r>
      <w:r w:rsidR="00EC03A4">
        <w:rPr>
          <w:rFonts w:ascii="Cambria" w:hAnsi="Cambria"/>
          <w:sz w:val="20"/>
          <w:szCs w:val="20"/>
          <w:lang w:val="es-ES_tradnl"/>
        </w:rPr>
        <w:t xml:space="preserve">, </w:t>
      </w:r>
      <w:r w:rsidR="00A870F5" w:rsidRPr="004B7084">
        <w:rPr>
          <w:rFonts w:ascii="Cambria" w:hAnsi="Cambria"/>
          <w:sz w:val="20"/>
          <w:szCs w:val="20"/>
          <w:lang w:val="es-ES_tradnl"/>
        </w:rPr>
        <w:t xml:space="preserve">y que omitieron recabar elementos mínimos de corroboración. La Comisión </w:t>
      </w:r>
      <w:r w:rsidR="004B7084" w:rsidRPr="004B7084">
        <w:rPr>
          <w:rFonts w:ascii="Cambria" w:hAnsi="Cambria"/>
          <w:sz w:val="20"/>
          <w:szCs w:val="20"/>
          <w:lang w:val="es-ES_tradnl"/>
        </w:rPr>
        <w:t>también</w:t>
      </w:r>
      <w:r w:rsidR="00A870F5" w:rsidRPr="004B7084">
        <w:rPr>
          <w:rFonts w:ascii="Cambria" w:hAnsi="Cambria"/>
          <w:sz w:val="20"/>
          <w:szCs w:val="20"/>
          <w:lang w:val="es-ES_tradnl"/>
        </w:rPr>
        <w:t xml:space="preserve"> observó que </w:t>
      </w:r>
      <w:r w:rsidR="00C660B0" w:rsidRPr="004B7084">
        <w:rPr>
          <w:rFonts w:ascii="Cambria" w:hAnsi="Cambria"/>
          <w:sz w:val="20"/>
          <w:szCs w:val="20"/>
          <w:lang w:val="es-ES_tradnl"/>
        </w:rPr>
        <w:t>la motivación de las decisiones de ambas autoridades no satisface</w:t>
      </w:r>
      <w:r w:rsidR="00A870F5" w:rsidRPr="004B7084">
        <w:rPr>
          <w:rFonts w:ascii="Cambria" w:hAnsi="Cambria"/>
          <w:sz w:val="20"/>
          <w:szCs w:val="20"/>
          <w:lang w:val="es-ES_tradnl"/>
        </w:rPr>
        <w:t xml:space="preserve"> los </w:t>
      </w:r>
      <w:r w:rsidR="004B7084" w:rsidRPr="004B7084">
        <w:rPr>
          <w:rFonts w:ascii="Cambria" w:hAnsi="Cambria"/>
          <w:sz w:val="20"/>
          <w:szCs w:val="20"/>
          <w:lang w:val="es-ES_tradnl"/>
        </w:rPr>
        <w:t>estándares</w:t>
      </w:r>
      <w:r w:rsidR="00A870F5" w:rsidRPr="004B7084">
        <w:rPr>
          <w:rFonts w:ascii="Cambria" w:hAnsi="Cambria"/>
          <w:sz w:val="20"/>
          <w:szCs w:val="20"/>
          <w:lang w:val="es-ES_tradnl"/>
        </w:rPr>
        <w:t xml:space="preserve"> en materia de presunción de inocencia y que existió una inversión de la carga de la prueba incompatible con</w:t>
      </w:r>
      <w:r w:rsidR="00B16F5D">
        <w:rPr>
          <w:rFonts w:ascii="Cambria" w:hAnsi="Cambria"/>
          <w:sz w:val="20"/>
          <w:szCs w:val="20"/>
          <w:lang w:val="es-ES_tradnl"/>
        </w:rPr>
        <w:t xml:space="preserve"> dicho principio</w:t>
      </w:r>
      <w:r w:rsidR="00A870F5" w:rsidRPr="004B7084">
        <w:rPr>
          <w:rFonts w:ascii="Cambria" w:hAnsi="Cambria"/>
          <w:sz w:val="20"/>
          <w:szCs w:val="20"/>
          <w:lang w:val="es-ES_tradnl"/>
        </w:rPr>
        <w:t xml:space="preserve">, </w:t>
      </w:r>
      <w:r w:rsidR="004B7084" w:rsidRPr="004B7084">
        <w:rPr>
          <w:rFonts w:ascii="Cambria" w:hAnsi="Cambria"/>
          <w:sz w:val="20"/>
          <w:szCs w:val="20"/>
          <w:lang w:val="es-ES_tradnl"/>
        </w:rPr>
        <w:t>específicamente</w:t>
      </w:r>
      <w:r w:rsidR="00A870F5" w:rsidRPr="004B7084">
        <w:rPr>
          <w:rFonts w:ascii="Cambria" w:hAnsi="Cambria"/>
          <w:sz w:val="20"/>
          <w:szCs w:val="20"/>
          <w:lang w:val="es-ES_tradnl"/>
        </w:rPr>
        <w:t xml:space="preserve"> al indicarse que el señor Lynn no aportó elementos que lo eximan de la sanción. </w:t>
      </w:r>
    </w:p>
    <w:p w14:paraId="04836F44" w14:textId="77777777" w:rsidR="00A870F5" w:rsidRPr="004B7084" w:rsidRDefault="00A870F5" w:rsidP="009658C2">
      <w:pPr>
        <w:spacing w:after="0" w:line="240" w:lineRule="auto"/>
        <w:ind w:firstLine="567"/>
        <w:jc w:val="both"/>
        <w:rPr>
          <w:rFonts w:ascii="Cambria" w:hAnsi="Cambria"/>
          <w:sz w:val="20"/>
          <w:szCs w:val="20"/>
          <w:lang w:val="es-ES_tradnl"/>
        </w:rPr>
      </w:pPr>
    </w:p>
    <w:p w14:paraId="57CB712C" w14:textId="77777777" w:rsidR="00C660B0" w:rsidRDefault="009658C2" w:rsidP="009658C2">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 xml:space="preserve">Adicionalmente, la Comisión consideró que los recursos presentados para cuestionar dicha revocatoria fueron rechazados de manera preliminar y en ninguno se analizó el fondo del asunto. Ello implicó que no se tomaron en cuenta los alegatos de defensa y solicitudes para la realización de diligencias que desvirtúen las pruebas en las que se basó la decisión de revocatoria del beneficio de salidas transitorias. En consecuencia, la Comisión consideró que los recursos no fueron efectivos para permitir una revisión de dicha revocatoria. </w:t>
      </w:r>
    </w:p>
    <w:p w14:paraId="44C66F57" w14:textId="77777777" w:rsidR="00C660B0" w:rsidRDefault="00C660B0" w:rsidP="009658C2">
      <w:pPr>
        <w:spacing w:after="0" w:line="240" w:lineRule="auto"/>
        <w:ind w:firstLine="567"/>
        <w:jc w:val="both"/>
        <w:rPr>
          <w:rFonts w:ascii="Cambria" w:hAnsi="Cambria"/>
          <w:sz w:val="20"/>
          <w:szCs w:val="20"/>
          <w:lang w:val="es-ES_tradnl"/>
        </w:rPr>
      </w:pPr>
    </w:p>
    <w:p w14:paraId="5B7BA6C5" w14:textId="32C182DF" w:rsidR="009658C2" w:rsidRPr="004B7084" w:rsidRDefault="009658C2" w:rsidP="009658C2">
      <w:pPr>
        <w:spacing w:after="0" w:line="240" w:lineRule="auto"/>
        <w:ind w:firstLine="567"/>
        <w:jc w:val="both"/>
        <w:rPr>
          <w:rFonts w:ascii="Cambria" w:hAnsi="Cambria"/>
          <w:sz w:val="20"/>
          <w:szCs w:val="20"/>
          <w:lang w:val="es-ES_tradnl"/>
        </w:rPr>
      </w:pPr>
      <w:r w:rsidRPr="004B7084">
        <w:rPr>
          <w:rFonts w:ascii="Cambria" w:hAnsi="Cambria"/>
          <w:sz w:val="20"/>
          <w:szCs w:val="20"/>
          <w:lang w:val="es-ES_tradnl"/>
        </w:rPr>
        <w:t xml:space="preserve">Finalmente, la Comisión concluyó que el retroceso del señor Lynn en el proceso de ejecución de pena que llevaba, acorde con la finalidad de la condena, así como el consecuente establecimiento de condiciones más severas de privación de libertad, resultaron arbitrarios e incompatibles con la Convención Americana. </w:t>
      </w:r>
    </w:p>
    <w:p w14:paraId="31B9B13A" w14:textId="77777777" w:rsidR="009658C2" w:rsidRPr="004B7084" w:rsidRDefault="009658C2" w:rsidP="009658C2">
      <w:pPr>
        <w:spacing w:after="0" w:line="240" w:lineRule="auto"/>
        <w:ind w:firstLine="567"/>
        <w:jc w:val="both"/>
        <w:rPr>
          <w:rFonts w:ascii="Cambria" w:hAnsi="Cambria"/>
          <w:sz w:val="20"/>
          <w:szCs w:val="20"/>
          <w:lang w:val="es-ES_tradnl"/>
        </w:rPr>
      </w:pPr>
    </w:p>
    <w:p w14:paraId="1024365D" w14:textId="0347116A" w:rsidR="00353179" w:rsidRPr="004B7084" w:rsidRDefault="00963332" w:rsidP="009658C2">
      <w:pPr>
        <w:spacing w:after="0" w:line="240" w:lineRule="auto"/>
        <w:ind w:firstLine="567"/>
        <w:jc w:val="both"/>
        <w:rPr>
          <w:rFonts w:ascii="Cambria" w:hAnsi="Cambria"/>
          <w:sz w:val="20"/>
          <w:szCs w:val="20"/>
          <w:lang w:val="es-ES_tradnl"/>
        </w:rPr>
      </w:pPr>
      <w:r w:rsidRPr="004B7084">
        <w:rPr>
          <w:rFonts w:ascii="Cambria" w:hAnsi="Cambria"/>
          <w:color w:val="000000"/>
          <w:sz w:val="20"/>
          <w:szCs w:val="20"/>
          <w:lang w:val="es-ES_tradnl"/>
        </w:rPr>
        <w:t>Con base en dichas consideraciones de hecho y de derecho</w:t>
      </w:r>
      <w:r w:rsidR="009658C2" w:rsidRPr="004B7084">
        <w:rPr>
          <w:rFonts w:ascii="Cambria" w:hAnsi="Cambria"/>
          <w:sz w:val="20"/>
          <w:szCs w:val="20"/>
          <w:lang w:val="es-ES_tradnl"/>
        </w:rPr>
        <w:t>, la Comisión concluyó que el Estado era responsable por la violación de los artículo 5.6 (integridad personal); 7.1 y 7.3 (libertad personal); 8.1, 8.2, 8.2b), 8.2c), 8.2d) y h) (garantías judiciales) y 25.1 (protección judicial) de la Convención Americana sobre Derechos Humanos en relación con la obligación establecida en el artículo 1.1 del mismo instrumento.</w:t>
      </w:r>
    </w:p>
    <w:p w14:paraId="62B70DCA" w14:textId="77777777" w:rsidR="00827461" w:rsidRPr="004B7084" w:rsidRDefault="00827461" w:rsidP="00612BF1">
      <w:pPr>
        <w:spacing w:after="0" w:line="240" w:lineRule="auto"/>
        <w:jc w:val="both"/>
        <w:rPr>
          <w:rFonts w:ascii="Cambria" w:hAnsi="Cambria"/>
          <w:sz w:val="20"/>
          <w:szCs w:val="20"/>
          <w:lang w:val="es-ES_tradnl"/>
        </w:rPr>
      </w:pPr>
    </w:p>
    <w:p w14:paraId="51457744" w14:textId="3BEAEA16" w:rsidR="00DB16FD" w:rsidRPr="004B7084" w:rsidRDefault="00DB16FD" w:rsidP="004875C5">
      <w:pPr>
        <w:tabs>
          <w:tab w:val="left" w:pos="720"/>
        </w:tabs>
        <w:spacing w:after="0" w:line="240" w:lineRule="auto"/>
        <w:ind w:firstLine="709"/>
        <w:jc w:val="both"/>
        <w:rPr>
          <w:rFonts w:ascii="Cambria" w:hAnsi="Cambria"/>
          <w:sz w:val="20"/>
          <w:szCs w:val="20"/>
          <w:lang w:val="es-ES_tradnl"/>
        </w:rPr>
      </w:pPr>
      <w:r w:rsidRPr="004B7084">
        <w:rPr>
          <w:rFonts w:ascii="Cambria" w:hAnsi="Cambria"/>
          <w:sz w:val="20"/>
          <w:szCs w:val="20"/>
          <w:lang w:val="es-ES_tradnl"/>
        </w:rPr>
        <w:t xml:space="preserve">El Estado argentino depositó el instrumento de ratificación de la </w:t>
      </w:r>
      <w:r w:rsidR="00586156" w:rsidRPr="004B7084">
        <w:rPr>
          <w:rFonts w:ascii="Cambria" w:hAnsi="Cambria"/>
          <w:sz w:val="20"/>
          <w:szCs w:val="20"/>
          <w:lang w:val="es-ES_tradnl"/>
        </w:rPr>
        <w:t>Convención</w:t>
      </w:r>
      <w:r w:rsidRPr="004B7084">
        <w:rPr>
          <w:rFonts w:ascii="Cambria" w:hAnsi="Cambria"/>
          <w:sz w:val="20"/>
          <w:szCs w:val="20"/>
          <w:lang w:val="es-ES_tradnl"/>
        </w:rPr>
        <w:t xml:space="preserve"> Americana sobre Derechos Humanos y aceptó la competencia contenciosa de la Corte Interamericana el 5 de septiembre de 1984.</w:t>
      </w:r>
    </w:p>
    <w:p w14:paraId="7442960C" w14:textId="45D142C6" w:rsidR="004875C5" w:rsidRPr="004B7084" w:rsidRDefault="004875C5" w:rsidP="004875C5">
      <w:pPr>
        <w:pStyle w:val="parrafos"/>
        <w:tabs>
          <w:tab w:val="left" w:pos="360"/>
        </w:tabs>
        <w:rPr>
          <w:lang w:val="es-ES_tradnl"/>
        </w:rPr>
      </w:pPr>
      <w:r w:rsidRPr="004B7084">
        <w:rPr>
          <w:rFonts w:cs="Calibri"/>
          <w:lang w:val="es-ES_tradnl"/>
        </w:rPr>
        <w:tab/>
      </w:r>
      <w:r w:rsidRPr="004B7084">
        <w:rPr>
          <w:rFonts w:cs="Calibri"/>
          <w:lang w:val="es-ES_tradnl"/>
        </w:rPr>
        <w:tab/>
      </w:r>
      <w:r w:rsidR="00DB16FD" w:rsidRPr="004B7084">
        <w:rPr>
          <w:rFonts w:cs="Calibri"/>
          <w:lang w:val="es-ES_tradnl"/>
        </w:rPr>
        <w:t xml:space="preserve">La Comisión ha designado a la Comisionada Julissa Mantilla Falcón </w:t>
      </w:r>
      <w:r w:rsidRPr="004B7084">
        <w:rPr>
          <w:lang w:val="es-ES_tradnl"/>
        </w:rPr>
        <w:t>y a la Secretaria Ejecutiva, Tania Reneaum Panszi, como sus delegadas. Asimismo, ha nombrado a Jorge Meza Flores, Secretario Ejecutivo Adjunto</w:t>
      </w:r>
      <w:r w:rsidR="00EC03A4">
        <w:rPr>
          <w:lang w:val="es-ES_tradnl"/>
        </w:rPr>
        <w:t>,</w:t>
      </w:r>
      <w:r w:rsidRPr="004B7084">
        <w:rPr>
          <w:lang w:val="es-ES_tradnl"/>
        </w:rPr>
        <w:t xml:space="preserve"> y Erick Acuña, como sus asesores.</w:t>
      </w:r>
    </w:p>
    <w:p w14:paraId="40646B87" w14:textId="77777777" w:rsidR="00DB16FD" w:rsidRPr="004B7084" w:rsidRDefault="00DB16FD" w:rsidP="004875C5">
      <w:pPr>
        <w:spacing w:after="0" w:line="240" w:lineRule="auto"/>
        <w:jc w:val="both"/>
        <w:rPr>
          <w:rFonts w:ascii="Cambria" w:hAnsi="Cambria" w:cs="Calibri"/>
          <w:color w:val="000000"/>
          <w:sz w:val="20"/>
          <w:szCs w:val="20"/>
          <w:lang w:val="es-ES_tradnl"/>
        </w:rPr>
      </w:pPr>
    </w:p>
    <w:p w14:paraId="31D7FB3A" w14:textId="08F69606" w:rsidR="00221BFC" w:rsidRPr="004B7084" w:rsidRDefault="00DB16FD" w:rsidP="00221BFC">
      <w:pPr>
        <w:spacing w:after="0" w:line="240" w:lineRule="auto"/>
        <w:ind w:firstLine="720"/>
        <w:jc w:val="both"/>
        <w:rPr>
          <w:rFonts w:ascii="Cambria" w:hAnsi="Cambria" w:cs="Calibri"/>
          <w:color w:val="000000"/>
          <w:sz w:val="20"/>
          <w:szCs w:val="20"/>
          <w:lang w:val="es-ES_tradnl"/>
        </w:rPr>
      </w:pPr>
      <w:r w:rsidRPr="004B7084">
        <w:rPr>
          <w:rFonts w:ascii="Cambria" w:hAnsi="Cambria" w:cs="Calibri"/>
          <w:color w:val="000000"/>
          <w:sz w:val="20"/>
          <w:szCs w:val="20"/>
          <w:lang w:val="es-ES_tradnl"/>
        </w:rPr>
        <w:t xml:space="preserve">De conformidad con el artículo 35 del Reglamento de la Corte Interamericana, la Comisión adjunta copia del Informe de Fondo No. </w:t>
      </w:r>
      <w:r w:rsidR="004875C5" w:rsidRPr="004B7084">
        <w:rPr>
          <w:rFonts w:ascii="Cambria" w:hAnsi="Cambria" w:cs="Calibri"/>
          <w:color w:val="000000"/>
          <w:sz w:val="20"/>
          <w:szCs w:val="20"/>
          <w:lang w:val="es-ES_tradnl"/>
        </w:rPr>
        <w:t>106</w:t>
      </w:r>
      <w:r w:rsidRPr="004B7084">
        <w:rPr>
          <w:rFonts w:ascii="Cambria" w:hAnsi="Cambria" w:cs="Calibri"/>
          <w:color w:val="000000"/>
          <w:sz w:val="20"/>
          <w:szCs w:val="20"/>
          <w:lang w:val="es-ES_tradnl"/>
        </w:rPr>
        <w:t>/</w:t>
      </w:r>
      <w:r w:rsidR="004875C5" w:rsidRPr="004B7084">
        <w:rPr>
          <w:rFonts w:ascii="Cambria" w:hAnsi="Cambria" w:cs="Calibri"/>
          <w:color w:val="000000"/>
          <w:sz w:val="20"/>
          <w:szCs w:val="20"/>
          <w:lang w:val="es-ES_tradnl"/>
        </w:rPr>
        <w:t>18</w:t>
      </w:r>
      <w:r w:rsidRPr="004B7084">
        <w:rPr>
          <w:rFonts w:ascii="Cambria" w:hAnsi="Cambria" w:cs="Calibri"/>
          <w:color w:val="000000"/>
          <w:sz w:val="20"/>
          <w:szCs w:val="20"/>
          <w:lang w:val="es-ES_tradnl"/>
        </w:rPr>
        <w:t xml:space="preserve"> elaborado en observancia del artículo 50 de la Convención, así como copia de la totalidad del expediente ante la Comisión Interamericana (Apéndice I) y los anexos utilizados en la elaboración del </w:t>
      </w:r>
      <w:r w:rsidR="00157FF8" w:rsidRPr="004B7084">
        <w:rPr>
          <w:rFonts w:ascii="Cambria" w:hAnsi="Cambria" w:cs="Calibri"/>
          <w:color w:val="000000"/>
          <w:sz w:val="20"/>
          <w:szCs w:val="20"/>
          <w:lang w:val="es-ES_tradnl"/>
        </w:rPr>
        <w:t>I</w:t>
      </w:r>
      <w:r w:rsidRPr="004B7084">
        <w:rPr>
          <w:rFonts w:ascii="Cambria" w:hAnsi="Cambria" w:cs="Calibri"/>
          <w:color w:val="000000"/>
          <w:sz w:val="20"/>
          <w:szCs w:val="20"/>
          <w:lang w:val="es-ES_tradnl"/>
        </w:rPr>
        <w:t>nforme</w:t>
      </w:r>
      <w:r w:rsidR="00925735" w:rsidRPr="004B7084">
        <w:rPr>
          <w:rFonts w:ascii="Cambria" w:hAnsi="Cambria" w:cs="Calibri"/>
          <w:color w:val="000000"/>
          <w:sz w:val="20"/>
          <w:szCs w:val="20"/>
          <w:lang w:val="es-ES_tradnl"/>
        </w:rPr>
        <w:t xml:space="preserve"> No.</w:t>
      </w:r>
      <w:r w:rsidRPr="004B7084">
        <w:rPr>
          <w:rFonts w:ascii="Cambria" w:hAnsi="Cambria" w:cs="Calibri"/>
          <w:color w:val="000000"/>
          <w:sz w:val="20"/>
          <w:szCs w:val="20"/>
          <w:lang w:val="es-ES_tradnl"/>
        </w:rPr>
        <w:t xml:space="preserve"> </w:t>
      </w:r>
      <w:r w:rsidR="004875C5" w:rsidRPr="004B7084">
        <w:rPr>
          <w:rFonts w:ascii="Cambria" w:hAnsi="Cambria" w:cs="Calibri"/>
          <w:color w:val="000000"/>
          <w:sz w:val="20"/>
          <w:szCs w:val="20"/>
          <w:lang w:val="es-ES_tradnl"/>
        </w:rPr>
        <w:t>106</w:t>
      </w:r>
      <w:r w:rsidRPr="004B7084">
        <w:rPr>
          <w:rFonts w:ascii="Cambria" w:hAnsi="Cambria" w:cs="Calibri"/>
          <w:color w:val="000000"/>
          <w:sz w:val="20"/>
          <w:szCs w:val="20"/>
          <w:lang w:val="es-ES_tradnl"/>
        </w:rPr>
        <w:t>/</w:t>
      </w:r>
      <w:r w:rsidR="004875C5" w:rsidRPr="004B7084">
        <w:rPr>
          <w:rFonts w:ascii="Cambria" w:hAnsi="Cambria" w:cs="Calibri"/>
          <w:color w:val="000000"/>
          <w:sz w:val="20"/>
          <w:szCs w:val="20"/>
          <w:lang w:val="es-ES_tradnl"/>
        </w:rPr>
        <w:t>18</w:t>
      </w:r>
      <w:r w:rsidRPr="004B7084">
        <w:rPr>
          <w:rFonts w:ascii="Cambria" w:hAnsi="Cambria" w:cs="Calibri"/>
          <w:color w:val="000000"/>
          <w:sz w:val="20"/>
          <w:szCs w:val="20"/>
          <w:lang w:val="es-ES_tradnl"/>
        </w:rPr>
        <w:t xml:space="preserve"> (Anexos). </w:t>
      </w:r>
    </w:p>
    <w:p w14:paraId="7CCFDA70" w14:textId="77777777" w:rsidR="00221BFC" w:rsidRPr="004B7084" w:rsidRDefault="00221BFC" w:rsidP="00221BFC">
      <w:pPr>
        <w:spacing w:after="0" w:line="240" w:lineRule="auto"/>
        <w:ind w:firstLine="720"/>
        <w:jc w:val="both"/>
        <w:rPr>
          <w:rFonts w:ascii="Cambria" w:hAnsi="Cambria" w:cs="Calibri"/>
          <w:color w:val="000000"/>
          <w:sz w:val="20"/>
          <w:szCs w:val="20"/>
          <w:lang w:val="es-ES_tradnl"/>
        </w:rPr>
      </w:pPr>
    </w:p>
    <w:p w14:paraId="1A01F329" w14:textId="4FED8740" w:rsidR="008E7465" w:rsidRDefault="00221BFC" w:rsidP="008E7465">
      <w:pPr>
        <w:autoSpaceDE w:val="0"/>
        <w:autoSpaceDN w:val="0"/>
        <w:adjustRightInd w:val="0"/>
        <w:spacing w:after="0" w:line="240" w:lineRule="auto"/>
        <w:ind w:firstLine="720"/>
        <w:jc w:val="both"/>
        <w:rPr>
          <w:rFonts w:ascii="Cambria" w:hAnsi="Cambria" w:cs="Calibri"/>
          <w:color w:val="000000"/>
          <w:sz w:val="20"/>
          <w:szCs w:val="20"/>
          <w:lang w:val="es-ES_tradnl"/>
        </w:rPr>
      </w:pPr>
      <w:r w:rsidRPr="004B7084">
        <w:rPr>
          <w:rFonts w:ascii="Cambria" w:hAnsi="Cambria"/>
          <w:sz w:val="20"/>
          <w:szCs w:val="20"/>
          <w:lang w:val="es-ES_tradnl"/>
        </w:rPr>
        <w:t>Dicho Informe de Fondo fue notificado al Estado el 2</w:t>
      </w:r>
      <w:r w:rsidR="00963332" w:rsidRPr="004B7084">
        <w:rPr>
          <w:rFonts w:ascii="Cambria" w:hAnsi="Cambria"/>
          <w:sz w:val="20"/>
          <w:szCs w:val="20"/>
          <w:lang w:val="es-ES_tradnl"/>
        </w:rPr>
        <w:t xml:space="preserve">8 </w:t>
      </w:r>
      <w:r w:rsidRPr="004B7084">
        <w:rPr>
          <w:rFonts w:ascii="Cambria" w:hAnsi="Cambria"/>
          <w:sz w:val="20"/>
          <w:szCs w:val="20"/>
          <w:lang w:val="es-ES_tradnl"/>
        </w:rPr>
        <w:t xml:space="preserve">de </w:t>
      </w:r>
      <w:r w:rsidR="00963332" w:rsidRPr="004B7084">
        <w:rPr>
          <w:rFonts w:ascii="Cambria" w:hAnsi="Cambria"/>
          <w:sz w:val="20"/>
          <w:szCs w:val="20"/>
          <w:lang w:val="es-ES_tradnl"/>
        </w:rPr>
        <w:t>febrero</w:t>
      </w:r>
      <w:r w:rsidRPr="004B7084">
        <w:rPr>
          <w:rFonts w:ascii="Cambria" w:hAnsi="Cambria"/>
          <w:sz w:val="20"/>
          <w:szCs w:val="20"/>
          <w:lang w:val="es-ES_tradnl"/>
        </w:rPr>
        <w:t xml:space="preserve"> de </w:t>
      </w:r>
      <w:r w:rsidR="00963332" w:rsidRPr="004B7084">
        <w:rPr>
          <w:rFonts w:ascii="Cambria" w:hAnsi="Cambria"/>
          <w:sz w:val="20"/>
          <w:szCs w:val="20"/>
          <w:lang w:val="es-ES_tradnl"/>
        </w:rPr>
        <w:t>2019</w:t>
      </w:r>
      <w:r w:rsidRPr="004B7084">
        <w:rPr>
          <w:rFonts w:ascii="Cambria" w:hAnsi="Cambria"/>
          <w:sz w:val="20"/>
          <w:szCs w:val="20"/>
          <w:lang w:val="es-ES_tradnl"/>
        </w:rPr>
        <w:t xml:space="preserve">, otorgándole un plazo de dos meses para informar sobre el cumplimiento de las recomendaciones. </w:t>
      </w:r>
      <w:r w:rsidR="00963332" w:rsidRPr="004B7084">
        <w:rPr>
          <w:rFonts w:ascii="Cambria" w:hAnsi="Cambria" w:cs="Calibri"/>
          <w:color w:val="000000"/>
          <w:sz w:val="20"/>
          <w:szCs w:val="20"/>
          <w:lang w:val="es-ES_tradnl"/>
        </w:rPr>
        <w:t xml:space="preserve">Tras el otorgamiento por parte de la CIDH de </w:t>
      </w:r>
      <w:r w:rsidR="00631904">
        <w:rPr>
          <w:rFonts w:ascii="Cambria" w:hAnsi="Cambria" w:cs="Calibri"/>
          <w:color w:val="000000"/>
          <w:sz w:val="20"/>
          <w:szCs w:val="20"/>
          <w:lang w:val="es-ES_tradnl"/>
        </w:rPr>
        <w:t>trece</w:t>
      </w:r>
      <w:r w:rsidR="00963332" w:rsidRPr="004B7084">
        <w:rPr>
          <w:rFonts w:ascii="Cambria" w:hAnsi="Cambria" w:cs="Calibri"/>
          <w:color w:val="000000"/>
          <w:sz w:val="20"/>
          <w:szCs w:val="20"/>
          <w:lang w:val="es-ES_tradnl"/>
        </w:rPr>
        <w:t xml:space="preserve"> prórrogas para que el Estado cumpla con dichas recomendaciones, el 15 de mayo de 2023 el Estado solicitó una </w:t>
      </w:r>
      <w:r w:rsidR="00631904">
        <w:rPr>
          <w:rFonts w:ascii="Cambria" w:hAnsi="Cambria" w:cs="Calibri"/>
          <w:color w:val="000000"/>
          <w:sz w:val="20"/>
          <w:szCs w:val="20"/>
          <w:lang w:val="es-ES_tradnl"/>
        </w:rPr>
        <w:t>decimocuarta</w:t>
      </w:r>
      <w:r w:rsidR="00963332" w:rsidRPr="004B7084">
        <w:rPr>
          <w:rFonts w:ascii="Cambria" w:hAnsi="Cambria" w:cs="Calibri"/>
          <w:color w:val="000000"/>
          <w:sz w:val="20"/>
          <w:szCs w:val="20"/>
          <w:lang w:val="es-ES_tradnl"/>
        </w:rPr>
        <w:t xml:space="preserve"> prórroga. Al momento de evaluar dicha solicitud, si bien la Comisión valor</w:t>
      </w:r>
      <w:r w:rsidR="00EC03A4">
        <w:rPr>
          <w:rFonts w:ascii="Cambria" w:hAnsi="Cambria" w:cs="Calibri"/>
          <w:color w:val="000000"/>
          <w:sz w:val="20"/>
          <w:szCs w:val="20"/>
          <w:lang w:val="es-ES_tradnl"/>
        </w:rPr>
        <w:t xml:space="preserve">ó </w:t>
      </w:r>
      <w:r w:rsidR="00963332" w:rsidRPr="004B7084">
        <w:rPr>
          <w:rFonts w:ascii="Cambria" w:hAnsi="Cambria" w:cs="Calibri"/>
          <w:color w:val="000000"/>
          <w:sz w:val="20"/>
          <w:szCs w:val="20"/>
          <w:lang w:val="es-ES_tradnl"/>
        </w:rPr>
        <w:t xml:space="preserve">que el Estado ha manifestado su voluntad de cumplir, </w:t>
      </w:r>
      <w:r w:rsidR="00EC03A4">
        <w:rPr>
          <w:rFonts w:ascii="Cambria" w:hAnsi="Cambria" w:cs="Calibri"/>
          <w:color w:val="000000"/>
          <w:sz w:val="20"/>
          <w:szCs w:val="20"/>
          <w:lang w:val="es-ES_tradnl"/>
        </w:rPr>
        <w:t>y que ha realizado</w:t>
      </w:r>
      <w:r w:rsidR="00963332" w:rsidRPr="004B7084">
        <w:rPr>
          <w:rFonts w:ascii="Cambria" w:hAnsi="Cambria" w:cs="Calibri"/>
          <w:color w:val="000000"/>
          <w:sz w:val="20"/>
          <w:szCs w:val="20"/>
          <w:lang w:val="es-ES_tradnl"/>
        </w:rPr>
        <w:t xml:space="preserve"> diversas gestiones</w:t>
      </w:r>
      <w:r w:rsidR="00EC03A4">
        <w:rPr>
          <w:rFonts w:ascii="Cambria" w:hAnsi="Cambria" w:cs="Calibri"/>
          <w:color w:val="000000"/>
          <w:sz w:val="20"/>
          <w:szCs w:val="20"/>
          <w:lang w:val="es-ES_tradnl"/>
        </w:rPr>
        <w:t xml:space="preserve">, existiendo avances en el cumplimiento de indemnizaciones; notó que no cuenta con información </w:t>
      </w:r>
      <w:r w:rsidR="00631904">
        <w:rPr>
          <w:rFonts w:ascii="Cambria" w:hAnsi="Cambria" w:cs="Calibri"/>
          <w:color w:val="000000"/>
          <w:sz w:val="20"/>
          <w:szCs w:val="20"/>
          <w:lang w:val="es-ES_tradnl"/>
        </w:rPr>
        <w:t xml:space="preserve">que </w:t>
      </w:r>
      <w:r w:rsidR="00EC03A4">
        <w:rPr>
          <w:rFonts w:ascii="Cambria" w:hAnsi="Cambria" w:cs="Calibri"/>
          <w:color w:val="000000"/>
          <w:sz w:val="20"/>
          <w:szCs w:val="20"/>
          <w:lang w:val="es-ES_tradnl"/>
        </w:rPr>
        <w:t xml:space="preserve">asegure que el Estado ha adoptado las medidas para garantizar que, hechos como los del presente caso no se volvieran a repetir, de tal forma </w:t>
      </w:r>
      <w:r w:rsidR="00963332" w:rsidRPr="004B7084">
        <w:rPr>
          <w:rFonts w:ascii="Cambria" w:hAnsi="Cambria" w:cs="Calibri"/>
          <w:color w:val="000000"/>
          <w:sz w:val="20"/>
          <w:szCs w:val="20"/>
          <w:lang w:val="es-ES_tradnl"/>
        </w:rPr>
        <w:t>que, a</w:t>
      </w:r>
      <w:r w:rsidR="008107A4" w:rsidRPr="004B7084">
        <w:rPr>
          <w:rFonts w:ascii="Cambria" w:hAnsi="Cambria" w:cs="Calibri"/>
          <w:color w:val="000000"/>
          <w:sz w:val="20"/>
          <w:szCs w:val="20"/>
          <w:lang w:val="es-ES_tradnl"/>
        </w:rPr>
        <w:t xml:space="preserve"> </w:t>
      </w:r>
      <w:r w:rsidR="00EC03A4" w:rsidRPr="004B7084">
        <w:rPr>
          <w:rFonts w:ascii="Cambria" w:hAnsi="Cambria" w:cs="Calibri"/>
          <w:color w:val="000000"/>
          <w:sz w:val="20"/>
          <w:szCs w:val="20"/>
          <w:lang w:val="es-ES_tradnl"/>
        </w:rPr>
        <w:t>más</w:t>
      </w:r>
      <w:r w:rsidR="008107A4" w:rsidRPr="004B7084">
        <w:rPr>
          <w:rFonts w:ascii="Cambria" w:hAnsi="Cambria" w:cs="Calibri"/>
          <w:color w:val="000000"/>
          <w:sz w:val="20"/>
          <w:szCs w:val="20"/>
          <w:lang w:val="es-ES_tradnl"/>
        </w:rPr>
        <w:t xml:space="preserve"> de cuatro </w:t>
      </w:r>
      <w:r w:rsidR="00963332" w:rsidRPr="004B7084">
        <w:rPr>
          <w:rFonts w:ascii="Cambria" w:hAnsi="Cambria" w:cs="Calibri"/>
          <w:color w:val="000000"/>
          <w:sz w:val="20"/>
          <w:szCs w:val="20"/>
          <w:lang w:val="es-ES_tradnl"/>
        </w:rPr>
        <w:t xml:space="preserve">años de la notificación del informe </w:t>
      </w:r>
      <w:r w:rsidR="00EC03A4">
        <w:rPr>
          <w:rFonts w:ascii="Cambria" w:hAnsi="Cambria" w:cs="Calibri"/>
          <w:color w:val="000000"/>
          <w:sz w:val="20"/>
          <w:szCs w:val="20"/>
          <w:lang w:val="es-ES_tradnl"/>
        </w:rPr>
        <w:t xml:space="preserve">no se logró </w:t>
      </w:r>
      <w:r w:rsidR="00963332" w:rsidRPr="004B7084">
        <w:rPr>
          <w:rFonts w:ascii="Cambria" w:hAnsi="Cambria" w:cs="Calibri"/>
          <w:color w:val="000000"/>
          <w:sz w:val="20"/>
          <w:szCs w:val="20"/>
          <w:lang w:val="es-ES_tradnl"/>
        </w:rPr>
        <w:t xml:space="preserve">el cumplimiento </w:t>
      </w:r>
      <w:r w:rsidR="00EC03A4">
        <w:rPr>
          <w:rFonts w:ascii="Cambria" w:hAnsi="Cambria" w:cs="Calibri"/>
          <w:color w:val="000000"/>
          <w:sz w:val="20"/>
          <w:szCs w:val="20"/>
          <w:lang w:val="es-ES_tradnl"/>
        </w:rPr>
        <w:t xml:space="preserve">integral </w:t>
      </w:r>
      <w:r w:rsidR="00963332" w:rsidRPr="004B7084">
        <w:rPr>
          <w:rFonts w:ascii="Cambria" w:hAnsi="Cambria" w:cs="Calibri"/>
          <w:color w:val="000000"/>
          <w:sz w:val="20"/>
          <w:szCs w:val="20"/>
          <w:lang w:val="es-ES_tradnl"/>
        </w:rPr>
        <w:t>de las recomendaciones</w:t>
      </w:r>
      <w:r w:rsidR="008E7465">
        <w:rPr>
          <w:rFonts w:ascii="Cambria" w:hAnsi="Cambria" w:cs="Calibri"/>
          <w:color w:val="000000"/>
          <w:sz w:val="20"/>
          <w:szCs w:val="20"/>
          <w:lang w:val="es-ES_tradnl"/>
        </w:rPr>
        <w:t xml:space="preserve">. Asimismo, la Comisión observó que </w:t>
      </w:r>
      <w:r w:rsidR="00EC03A4">
        <w:rPr>
          <w:rFonts w:ascii="Cambria" w:hAnsi="Cambria" w:cs="Calibri"/>
          <w:color w:val="000000"/>
          <w:sz w:val="20"/>
          <w:szCs w:val="20"/>
          <w:lang w:val="es-ES_tradnl"/>
        </w:rPr>
        <w:t>los peticionarios</w:t>
      </w:r>
      <w:r w:rsidR="008E7465">
        <w:rPr>
          <w:rFonts w:ascii="Cambria" w:hAnsi="Cambria" w:cs="Calibri"/>
          <w:color w:val="000000"/>
          <w:sz w:val="20"/>
          <w:szCs w:val="20"/>
          <w:lang w:val="es-ES_tradnl"/>
        </w:rPr>
        <w:t xml:space="preserve"> solicitaron el envío del caso a la Corte, y que el mismo involucra</w:t>
      </w:r>
      <w:r w:rsidR="00EC03A4">
        <w:rPr>
          <w:rFonts w:ascii="Cambria" w:hAnsi="Cambria" w:cs="Calibri"/>
          <w:color w:val="000000"/>
          <w:sz w:val="20"/>
          <w:szCs w:val="20"/>
          <w:lang w:val="es-ES_tradnl"/>
        </w:rPr>
        <w:t xml:space="preserve"> </w:t>
      </w:r>
      <w:r w:rsidR="008E7465">
        <w:rPr>
          <w:rFonts w:ascii="Cambria" w:hAnsi="Cambria" w:cs="Calibri"/>
          <w:color w:val="000000"/>
          <w:sz w:val="20"/>
          <w:szCs w:val="20"/>
          <w:lang w:val="es-ES_tradnl"/>
        </w:rPr>
        <w:t xml:space="preserve">importantes </w:t>
      </w:r>
      <w:r w:rsidR="00EC03A4">
        <w:rPr>
          <w:rFonts w:ascii="Cambria" w:hAnsi="Cambria" w:cs="Calibri"/>
          <w:color w:val="000000"/>
          <w:sz w:val="20"/>
          <w:szCs w:val="20"/>
          <w:lang w:val="es-ES_tradnl"/>
        </w:rPr>
        <w:t>aspectos de orden público i</w:t>
      </w:r>
      <w:r w:rsidR="008E7465">
        <w:rPr>
          <w:rFonts w:ascii="Cambria" w:hAnsi="Cambria" w:cs="Calibri"/>
          <w:color w:val="000000"/>
          <w:sz w:val="20"/>
          <w:szCs w:val="20"/>
          <w:lang w:val="es-ES_tradnl"/>
        </w:rPr>
        <w:t>nteramericano para las personas privadas de la libertad.</w:t>
      </w:r>
    </w:p>
    <w:p w14:paraId="68C6B097" w14:textId="77777777" w:rsidR="008E7465" w:rsidRDefault="008E7465" w:rsidP="008E7465">
      <w:pPr>
        <w:autoSpaceDE w:val="0"/>
        <w:autoSpaceDN w:val="0"/>
        <w:adjustRightInd w:val="0"/>
        <w:spacing w:after="0" w:line="240" w:lineRule="auto"/>
        <w:ind w:firstLine="720"/>
        <w:jc w:val="both"/>
        <w:rPr>
          <w:rFonts w:ascii="Cambria" w:hAnsi="Cambria" w:cs="Calibri"/>
          <w:color w:val="000000"/>
          <w:sz w:val="20"/>
          <w:szCs w:val="20"/>
          <w:lang w:val="es-ES_tradnl"/>
        </w:rPr>
      </w:pPr>
    </w:p>
    <w:p w14:paraId="20EE7CB0" w14:textId="63BB20D4" w:rsidR="00967B83" w:rsidRPr="004B7084" w:rsidRDefault="008E7465" w:rsidP="008E7465">
      <w:pPr>
        <w:autoSpaceDE w:val="0"/>
        <w:autoSpaceDN w:val="0"/>
        <w:adjustRightInd w:val="0"/>
        <w:spacing w:after="0" w:line="240" w:lineRule="auto"/>
        <w:ind w:firstLine="720"/>
        <w:jc w:val="both"/>
        <w:rPr>
          <w:rFonts w:ascii="Cambria" w:hAnsi="Cambria" w:cs="Calibri"/>
          <w:color w:val="000000"/>
          <w:sz w:val="20"/>
          <w:szCs w:val="20"/>
          <w:lang w:val="es-ES_tradnl"/>
        </w:rPr>
      </w:pPr>
      <w:r>
        <w:rPr>
          <w:rFonts w:ascii="Cambria" w:hAnsi="Cambria" w:cs="Calibri"/>
          <w:color w:val="000000"/>
          <w:sz w:val="20"/>
          <w:szCs w:val="20"/>
          <w:lang w:val="es-ES_tradnl"/>
        </w:rPr>
        <w:t>En consecuencia,</w:t>
      </w:r>
      <w:r w:rsidR="00EC03A4">
        <w:rPr>
          <w:rFonts w:ascii="Cambria" w:hAnsi="Cambria" w:cs="Calibri"/>
          <w:color w:val="000000"/>
          <w:sz w:val="20"/>
          <w:szCs w:val="20"/>
          <w:lang w:val="es-ES_tradnl"/>
        </w:rPr>
        <w:t xml:space="preserve"> </w:t>
      </w:r>
      <w:r w:rsidR="00963332" w:rsidRPr="004B7084">
        <w:rPr>
          <w:rFonts w:ascii="Cambria" w:hAnsi="Cambria" w:cs="Calibri"/>
          <w:color w:val="000000"/>
          <w:sz w:val="20"/>
          <w:szCs w:val="20"/>
          <w:lang w:val="es-ES_tradnl"/>
        </w:rPr>
        <w:t xml:space="preserve">la Comisión decidió enviar el caso a la jurisdicción de la Corte Interamericana ante la necesidad de justicia y reparación </w:t>
      </w:r>
      <w:r w:rsidR="00EC03A4">
        <w:rPr>
          <w:rFonts w:ascii="Cambria" w:hAnsi="Cambria" w:cs="Calibri"/>
          <w:color w:val="000000"/>
          <w:sz w:val="20"/>
          <w:szCs w:val="20"/>
          <w:lang w:val="es-ES_tradnl"/>
        </w:rPr>
        <w:t>integral</w:t>
      </w:r>
      <w:r w:rsidR="00963332" w:rsidRPr="004B7084">
        <w:rPr>
          <w:rFonts w:ascii="Cambria" w:hAnsi="Cambria" w:cs="Calibri"/>
          <w:color w:val="000000"/>
          <w:sz w:val="20"/>
          <w:szCs w:val="20"/>
          <w:lang w:val="es-ES_tradnl"/>
        </w:rPr>
        <w:t xml:space="preserve">. </w:t>
      </w:r>
    </w:p>
    <w:p w14:paraId="7117EFD5" w14:textId="77777777" w:rsidR="00A977F4" w:rsidRPr="004B7084" w:rsidRDefault="00A977F4" w:rsidP="002B6B1F">
      <w:pPr>
        <w:autoSpaceDE w:val="0"/>
        <w:autoSpaceDN w:val="0"/>
        <w:adjustRightInd w:val="0"/>
        <w:spacing w:after="0" w:line="240" w:lineRule="auto"/>
        <w:jc w:val="both"/>
        <w:rPr>
          <w:rFonts w:ascii="Cambria" w:eastAsiaTheme="minorHAnsi" w:hAnsi="Cambria"/>
          <w:sz w:val="20"/>
          <w:szCs w:val="20"/>
          <w:lang w:val="es-ES_tradnl"/>
        </w:rPr>
      </w:pPr>
    </w:p>
    <w:p w14:paraId="0F6E7FBF" w14:textId="77777777" w:rsidR="001876F4" w:rsidRDefault="001876F4" w:rsidP="00721CE6">
      <w:pPr>
        <w:autoSpaceDE w:val="0"/>
        <w:autoSpaceDN w:val="0"/>
        <w:adjustRightInd w:val="0"/>
        <w:spacing w:after="0" w:line="240" w:lineRule="auto"/>
        <w:ind w:firstLine="567"/>
        <w:jc w:val="both"/>
        <w:rPr>
          <w:rFonts w:ascii="Cambria" w:eastAsiaTheme="minorHAnsi" w:hAnsi="Cambria"/>
          <w:sz w:val="20"/>
          <w:szCs w:val="20"/>
          <w:lang w:val="es-ES_tradnl"/>
        </w:rPr>
      </w:pPr>
    </w:p>
    <w:p w14:paraId="0D1DF9C1" w14:textId="77777777" w:rsidR="001876F4" w:rsidRDefault="001876F4" w:rsidP="00721CE6">
      <w:pPr>
        <w:autoSpaceDE w:val="0"/>
        <w:autoSpaceDN w:val="0"/>
        <w:adjustRightInd w:val="0"/>
        <w:spacing w:after="0" w:line="240" w:lineRule="auto"/>
        <w:ind w:firstLine="567"/>
        <w:jc w:val="both"/>
        <w:rPr>
          <w:rFonts w:ascii="Cambria" w:eastAsiaTheme="minorHAnsi" w:hAnsi="Cambria"/>
          <w:sz w:val="20"/>
          <w:szCs w:val="20"/>
          <w:lang w:val="es-ES_tradnl"/>
        </w:rPr>
      </w:pPr>
    </w:p>
    <w:p w14:paraId="6DD648F9" w14:textId="1D2770C5" w:rsidR="00A977F4" w:rsidRPr="004B7084" w:rsidRDefault="00A977F4" w:rsidP="00721CE6">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sz w:val="20"/>
          <w:szCs w:val="20"/>
          <w:lang w:val="es-ES_tradnl"/>
        </w:rPr>
        <w:t>En ese sentido, la Comisión solicita a la Honorable Corte que concluya y declare que el Estado de Argentina es responsable por la violación de los derechos</w:t>
      </w:r>
      <w:r w:rsidR="005059BB" w:rsidRPr="004B7084">
        <w:rPr>
          <w:rFonts w:ascii="Cambria" w:eastAsiaTheme="minorHAnsi" w:hAnsi="Cambria"/>
          <w:sz w:val="20"/>
          <w:szCs w:val="20"/>
          <w:lang w:val="es-ES_tradnl"/>
        </w:rPr>
        <w:t xml:space="preserve"> </w:t>
      </w:r>
      <w:r w:rsidR="00CD6652" w:rsidRPr="004B7084">
        <w:rPr>
          <w:rFonts w:ascii="Cambria" w:eastAsiaTheme="minorHAnsi" w:hAnsi="Cambria"/>
          <w:sz w:val="20"/>
          <w:szCs w:val="20"/>
          <w:lang w:val="es-ES_tradnl"/>
        </w:rPr>
        <w:t xml:space="preserve">a la integridad personal, </w:t>
      </w:r>
      <w:r w:rsidR="008107A4" w:rsidRPr="004B7084">
        <w:rPr>
          <w:rFonts w:ascii="Cambria" w:eastAsiaTheme="minorHAnsi" w:hAnsi="Cambria"/>
          <w:sz w:val="20"/>
          <w:szCs w:val="20"/>
          <w:lang w:val="es-ES_tradnl"/>
        </w:rPr>
        <w:t xml:space="preserve">a la libertad personal, </w:t>
      </w:r>
      <w:r w:rsidR="00CD6652" w:rsidRPr="004B7084">
        <w:rPr>
          <w:rFonts w:ascii="Cambria" w:eastAsiaTheme="minorHAnsi" w:hAnsi="Cambria"/>
          <w:sz w:val="20"/>
          <w:szCs w:val="20"/>
          <w:lang w:val="es-ES_tradnl"/>
        </w:rPr>
        <w:t>a la</w:t>
      </w:r>
      <w:r w:rsidR="003D1C43" w:rsidRPr="004B7084">
        <w:rPr>
          <w:rFonts w:ascii="Cambria" w:eastAsiaTheme="minorHAnsi" w:hAnsi="Cambria"/>
          <w:sz w:val="20"/>
          <w:szCs w:val="20"/>
          <w:lang w:val="es-ES_tradnl"/>
        </w:rPr>
        <w:t>s garantías judiciales</w:t>
      </w:r>
      <w:r w:rsidR="008107A4" w:rsidRPr="004B7084">
        <w:rPr>
          <w:rFonts w:ascii="Cambria" w:eastAsiaTheme="minorHAnsi" w:hAnsi="Cambria"/>
          <w:sz w:val="20"/>
          <w:szCs w:val="20"/>
          <w:lang w:val="es-ES_tradnl"/>
        </w:rPr>
        <w:t xml:space="preserve"> </w:t>
      </w:r>
      <w:r w:rsidR="003D1C43" w:rsidRPr="004B7084">
        <w:rPr>
          <w:rFonts w:ascii="Cambria" w:eastAsiaTheme="minorHAnsi" w:hAnsi="Cambria"/>
          <w:sz w:val="20"/>
          <w:szCs w:val="20"/>
          <w:lang w:val="es-ES_tradnl"/>
        </w:rPr>
        <w:t xml:space="preserve">y a la </w:t>
      </w:r>
      <w:r w:rsidR="00747544" w:rsidRPr="004B7084">
        <w:rPr>
          <w:rFonts w:ascii="Cambria" w:eastAsiaTheme="minorHAnsi" w:hAnsi="Cambria"/>
          <w:sz w:val="20"/>
          <w:szCs w:val="20"/>
          <w:lang w:val="es-ES_tradnl"/>
        </w:rPr>
        <w:t>protección</w:t>
      </w:r>
      <w:r w:rsidR="003D1C43" w:rsidRPr="004B7084">
        <w:rPr>
          <w:rFonts w:ascii="Cambria" w:eastAsiaTheme="minorHAnsi" w:hAnsi="Cambria"/>
          <w:sz w:val="20"/>
          <w:szCs w:val="20"/>
          <w:lang w:val="es-ES_tradnl"/>
        </w:rPr>
        <w:t xml:space="preserve"> judicial </w:t>
      </w:r>
      <w:r w:rsidR="00C07E7C" w:rsidRPr="004B7084">
        <w:rPr>
          <w:rFonts w:ascii="Cambria" w:eastAsiaTheme="minorHAnsi" w:hAnsi="Cambria"/>
          <w:sz w:val="20"/>
          <w:szCs w:val="20"/>
          <w:lang w:val="es-ES_tradnl"/>
        </w:rPr>
        <w:t>consagrados en los artículos 5</w:t>
      </w:r>
      <w:r w:rsidR="008107A4" w:rsidRPr="004B7084">
        <w:rPr>
          <w:rFonts w:ascii="Cambria" w:eastAsiaTheme="minorHAnsi" w:hAnsi="Cambria"/>
          <w:sz w:val="20"/>
          <w:szCs w:val="20"/>
          <w:lang w:val="es-ES_tradnl"/>
        </w:rPr>
        <w:t xml:space="preserve">.6, 7.1, 7.3, 8.1, 8.2 y </w:t>
      </w:r>
      <w:r w:rsidR="00C07E7C" w:rsidRPr="004B7084">
        <w:rPr>
          <w:rFonts w:ascii="Cambria" w:eastAsiaTheme="minorHAnsi" w:hAnsi="Cambria"/>
          <w:sz w:val="20"/>
          <w:szCs w:val="20"/>
          <w:lang w:val="es-ES_tradnl"/>
        </w:rPr>
        <w:t xml:space="preserve">25 de la </w:t>
      </w:r>
      <w:r w:rsidR="00747544" w:rsidRPr="004B7084">
        <w:rPr>
          <w:rFonts w:ascii="Cambria" w:eastAsiaTheme="minorHAnsi" w:hAnsi="Cambria"/>
          <w:sz w:val="20"/>
          <w:szCs w:val="20"/>
          <w:lang w:val="es-ES_tradnl"/>
        </w:rPr>
        <w:t>Convención</w:t>
      </w:r>
      <w:r w:rsidR="00C07E7C" w:rsidRPr="004B7084">
        <w:rPr>
          <w:rFonts w:ascii="Cambria" w:eastAsiaTheme="minorHAnsi" w:hAnsi="Cambria"/>
          <w:sz w:val="20"/>
          <w:szCs w:val="20"/>
          <w:lang w:val="es-ES_tradnl"/>
        </w:rPr>
        <w:t xml:space="preserve"> </w:t>
      </w:r>
      <w:r w:rsidR="00302A08" w:rsidRPr="004B7084">
        <w:rPr>
          <w:rFonts w:ascii="Cambria" w:eastAsiaTheme="minorHAnsi" w:hAnsi="Cambria"/>
          <w:sz w:val="20"/>
          <w:szCs w:val="20"/>
          <w:lang w:val="es-ES_tradnl"/>
        </w:rPr>
        <w:t xml:space="preserve">Americana </w:t>
      </w:r>
      <w:r w:rsidR="005076FC" w:rsidRPr="004B7084">
        <w:rPr>
          <w:rFonts w:ascii="Cambria" w:eastAsiaTheme="minorHAnsi" w:hAnsi="Cambria"/>
          <w:sz w:val="20"/>
          <w:szCs w:val="20"/>
          <w:lang w:val="es-ES_tradnl"/>
        </w:rPr>
        <w:t>s</w:t>
      </w:r>
      <w:r w:rsidR="00302A08" w:rsidRPr="004B7084">
        <w:rPr>
          <w:rFonts w:ascii="Cambria" w:eastAsiaTheme="minorHAnsi" w:hAnsi="Cambria"/>
          <w:sz w:val="20"/>
          <w:szCs w:val="20"/>
          <w:lang w:val="es-ES_tradnl"/>
        </w:rPr>
        <w:t xml:space="preserve">obre Derechos Humanos </w:t>
      </w:r>
      <w:r w:rsidR="00C07CD3" w:rsidRPr="004B7084">
        <w:rPr>
          <w:rFonts w:ascii="Cambria" w:eastAsiaTheme="minorHAnsi" w:hAnsi="Cambria"/>
          <w:sz w:val="20"/>
          <w:szCs w:val="20"/>
          <w:lang w:val="es-ES_tradnl"/>
        </w:rPr>
        <w:t xml:space="preserve">en </w:t>
      </w:r>
      <w:r w:rsidR="005076FC" w:rsidRPr="004B7084">
        <w:rPr>
          <w:rFonts w:ascii="Cambria" w:eastAsiaTheme="minorHAnsi" w:hAnsi="Cambria"/>
          <w:sz w:val="20"/>
          <w:szCs w:val="20"/>
          <w:lang w:val="es-ES_tradnl"/>
        </w:rPr>
        <w:t>relación</w:t>
      </w:r>
      <w:r w:rsidR="00C07CD3" w:rsidRPr="004B7084">
        <w:rPr>
          <w:rFonts w:ascii="Cambria" w:eastAsiaTheme="minorHAnsi" w:hAnsi="Cambria"/>
          <w:sz w:val="20"/>
          <w:szCs w:val="20"/>
          <w:lang w:val="es-ES_tradnl"/>
        </w:rPr>
        <w:t xml:space="preserve"> </w:t>
      </w:r>
      <w:r w:rsidR="008107A4" w:rsidRPr="004B7084">
        <w:rPr>
          <w:rFonts w:ascii="Cambria" w:eastAsiaTheme="minorHAnsi" w:hAnsi="Cambria"/>
          <w:sz w:val="20"/>
          <w:szCs w:val="20"/>
          <w:lang w:val="es-ES_tradnl"/>
        </w:rPr>
        <w:t xml:space="preserve">con su artículo </w:t>
      </w:r>
      <w:r w:rsidR="00C07CD3" w:rsidRPr="004B7084">
        <w:rPr>
          <w:rFonts w:ascii="Cambria" w:eastAsiaTheme="minorHAnsi" w:hAnsi="Cambria"/>
          <w:sz w:val="20"/>
          <w:szCs w:val="20"/>
          <w:lang w:val="es-ES_tradnl"/>
        </w:rPr>
        <w:t>1.1</w:t>
      </w:r>
      <w:r w:rsidR="008107A4" w:rsidRPr="004B7084">
        <w:rPr>
          <w:rFonts w:ascii="Cambria" w:eastAsiaTheme="minorHAnsi" w:hAnsi="Cambria"/>
          <w:sz w:val="20"/>
          <w:szCs w:val="20"/>
          <w:lang w:val="es-ES_tradnl"/>
        </w:rPr>
        <w:t xml:space="preserve">. </w:t>
      </w:r>
      <w:r w:rsidR="005076FC" w:rsidRPr="004B7084">
        <w:rPr>
          <w:rFonts w:ascii="Cambria" w:eastAsiaTheme="minorHAnsi" w:hAnsi="Cambria"/>
          <w:sz w:val="20"/>
          <w:szCs w:val="20"/>
          <w:lang w:val="es-ES_tradnl"/>
        </w:rPr>
        <w:t xml:space="preserve"> </w:t>
      </w:r>
    </w:p>
    <w:p w14:paraId="467BA6B3" w14:textId="77777777" w:rsidR="00721CE6" w:rsidRPr="004B7084" w:rsidRDefault="00721CE6" w:rsidP="00721CE6">
      <w:pPr>
        <w:autoSpaceDE w:val="0"/>
        <w:autoSpaceDN w:val="0"/>
        <w:adjustRightInd w:val="0"/>
        <w:spacing w:after="0" w:line="240" w:lineRule="auto"/>
        <w:ind w:firstLine="567"/>
        <w:jc w:val="both"/>
        <w:rPr>
          <w:rFonts w:ascii="Cambria" w:eastAsiaTheme="minorHAnsi" w:hAnsi="Cambria"/>
          <w:sz w:val="20"/>
          <w:szCs w:val="20"/>
          <w:lang w:val="es-ES_tradnl"/>
        </w:rPr>
      </w:pPr>
    </w:p>
    <w:p w14:paraId="753B45DD" w14:textId="691D009F" w:rsidR="00B77E57" w:rsidRPr="004B7084" w:rsidRDefault="00B77E57" w:rsidP="007D68A0">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sz w:val="20"/>
          <w:szCs w:val="20"/>
          <w:lang w:val="es-ES_tradnl"/>
        </w:rPr>
        <w:t>En consecuencia, la Comisión solicita a la Corte Interamericana que establezca las siguientes medidas de reparación:</w:t>
      </w:r>
    </w:p>
    <w:p w14:paraId="5F112341" w14:textId="77777777" w:rsidR="00B77E57" w:rsidRPr="004B7084" w:rsidRDefault="00B77E57" w:rsidP="002B6B1F">
      <w:pPr>
        <w:autoSpaceDE w:val="0"/>
        <w:autoSpaceDN w:val="0"/>
        <w:adjustRightInd w:val="0"/>
        <w:spacing w:after="0" w:line="240" w:lineRule="auto"/>
        <w:jc w:val="both"/>
        <w:rPr>
          <w:rFonts w:ascii="Cambria" w:eastAsiaTheme="minorHAnsi" w:hAnsi="Cambria"/>
          <w:sz w:val="20"/>
          <w:szCs w:val="20"/>
          <w:lang w:val="es-ES_tradnl"/>
        </w:rPr>
      </w:pPr>
    </w:p>
    <w:p w14:paraId="4D3FC280" w14:textId="0CE7E276" w:rsidR="00B409DA" w:rsidRPr="004B7084" w:rsidRDefault="008107A4" w:rsidP="008107A4">
      <w:pPr>
        <w:pStyle w:val="ListParagraph"/>
        <w:numPr>
          <w:ilvl w:val="0"/>
          <w:numId w:val="2"/>
        </w:numPr>
        <w:autoSpaceDE w:val="0"/>
        <w:autoSpaceDN w:val="0"/>
        <w:adjustRightInd w:val="0"/>
        <w:spacing w:after="0" w:line="240" w:lineRule="auto"/>
        <w:jc w:val="both"/>
        <w:rPr>
          <w:rFonts w:ascii="Cambria" w:eastAsiaTheme="minorHAnsi" w:hAnsi="Cambria"/>
          <w:sz w:val="20"/>
          <w:szCs w:val="20"/>
          <w:lang w:val="es-ES_tradnl"/>
        </w:rPr>
      </w:pPr>
      <w:r w:rsidRPr="004B7084">
        <w:rPr>
          <w:rFonts w:ascii="Cambria" w:eastAsiaTheme="minorHAnsi" w:hAnsi="Cambria"/>
          <w:sz w:val="20"/>
          <w:szCs w:val="20"/>
          <w:lang w:val="es-ES_tradnl"/>
        </w:rPr>
        <w:t>Reparar integralmente las consecuencias de las violaciones declaradas en el presente informe, incluyendo las medidas de satisfacción y compensación del daño material e inmaterial. Tomando en cuenta el fallecimiento de la víctima, los beneficiarios de esta recomendación deberán ser los familiares del señor Guillermo Patricio Lynn.</w:t>
      </w:r>
    </w:p>
    <w:p w14:paraId="36E77932" w14:textId="3418D9C4" w:rsidR="008107A4" w:rsidRPr="004B7084" w:rsidRDefault="008107A4" w:rsidP="008107A4">
      <w:pPr>
        <w:pStyle w:val="ListParagraph"/>
        <w:numPr>
          <w:ilvl w:val="0"/>
          <w:numId w:val="2"/>
        </w:numPr>
        <w:autoSpaceDE w:val="0"/>
        <w:autoSpaceDN w:val="0"/>
        <w:adjustRightInd w:val="0"/>
        <w:spacing w:after="0" w:line="240" w:lineRule="auto"/>
        <w:jc w:val="both"/>
        <w:rPr>
          <w:rFonts w:ascii="Cambria" w:eastAsiaTheme="minorHAnsi" w:hAnsi="Cambria"/>
          <w:sz w:val="20"/>
          <w:szCs w:val="20"/>
          <w:lang w:val="es-ES_tradnl"/>
        </w:rPr>
      </w:pPr>
      <w:r w:rsidRPr="004B7084">
        <w:rPr>
          <w:rFonts w:ascii="Cambria" w:eastAsiaTheme="minorHAnsi" w:hAnsi="Cambria"/>
          <w:sz w:val="20"/>
          <w:szCs w:val="20"/>
          <w:lang w:val="es-ES_tradnl"/>
        </w:rPr>
        <w:t>Disponer las medidas de no repetición necesarias para: i) Asegurar que los procesos sancionatorios en perjuicio de las personas privadas de libertad, cumplan con las garantías mínimas del debido proceso, conforme a los estándares establecidos en el presente informe; y ii) Asegurar que los procesos de ejecución de pena relacionados con la aplicación y/o revocatoria de un beneficio de preliberación, cumplan con las garantías mínimas del debido proceso y tengan como eje principal la finalidad de la pena conforme a los estándares establecidos en el presente informe.</w:t>
      </w:r>
    </w:p>
    <w:p w14:paraId="16ECF0DE" w14:textId="77777777" w:rsidR="00B77E57" w:rsidRPr="004B7084" w:rsidRDefault="00B77E57" w:rsidP="002B6B1F">
      <w:pPr>
        <w:autoSpaceDE w:val="0"/>
        <w:autoSpaceDN w:val="0"/>
        <w:adjustRightInd w:val="0"/>
        <w:spacing w:after="0" w:line="240" w:lineRule="auto"/>
        <w:jc w:val="both"/>
        <w:rPr>
          <w:rFonts w:ascii="Cambria" w:eastAsiaTheme="minorHAnsi" w:hAnsi="Cambria"/>
          <w:sz w:val="20"/>
          <w:szCs w:val="20"/>
          <w:lang w:val="es-ES_tradnl"/>
        </w:rPr>
      </w:pPr>
    </w:p>
    <w:p w14:paraId="1C946904" w14:textId="146E9F4D" w:rsidR="001A0309" w:rsidRPr="004B7084" w:rsidRDefault="00744401" w:rsidP="00677F08">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sz w:val="20"/>
          <w:szCs w:val="20"/>
          <w:lang w:val="es-ES_tradnl"/>
        </w:rPr>
        <w:t xml:space="preserve">Además de la necesidad de obtención de justicia y reparación </w:t>
      </w:r>
      <w:r w:rsidR="00EC03A4">
        <w:rPr>
          <w:rFonts w:ascii="Cambria" w:eastAsiaTheme="minorHAnsi" w:hAnsi="Cambria"/>
          <w:sz w:val="20"/>
          <w:szCs w:val="20"/>
          <w:lang w:val="es-ES_tradnl"/>
        </w:rPr>
        <w:t>integral</w:t>
      </w:r>
      <w:r w:rsidRPr="004B7084">
        <w:rPr>
          <w:rFonts w:ascii="Cambria" w:eastAsiaTheme="minorHAnsi" w:hAnsi="Cambria"/>
          <w:sz w:val="20"/>
          <w:szCs w:val="20"/>
          <w:lang w:val="es-ES_tradnl"/>
        </w:rPr>
        <w:t>, la Comisión considera que el caso presenta cuestiones de orden público interamericano. El mismo permitirá a la Honorable Corte profundizar y desarrollar estándares relativos al deber</w:t>
      </w:r>
      <w:r w:rsidR="007D68A0" w:rsidRPr="004B7084">
        <w:rPr>
          <w:rFonts w:ascii="Cambria" w:eastAsiaTheme="minorHAnsi" w:hAnsi="Cambria"/>
          <w:sz w:val="20"/>
          <w:szCs w:val="20"/>
          <w:lang w:val="es-ES_tradnl"/>
        </w:rPr>
        <w:t xml:space="preserve"> de los Estados </w:t>
      </w:r>
      <w:r w:rsidR="008107A4" w:rsidRPr="004B7084">
        <w:rPr>
          <w:rFonts w:ascii="Cambria" w:eastAsiaTheme="minorHAnsi" w:hAnsi="Cambria"/>
          <w:sz w:val="20"/>
          <w:szCs w:val="20"/>
          <w:lang w:val="es-ES_tradnl"/>
        </w:rPr>
        <w:t>respecto de las garantías que deben o</w:t>
      </w:r>
      <w:r w:rsidR="006E3F23" w:rsidRPr="004B7084">
        <w:rPr>
          <w:rFonts w:ascii="Cambria" w:eastAsiaTheme="minorHAnsi" w:hAnsi="Cambria"/>
          <w:sz w:val="20"/>
          <w:szCs w:val="20"/>
          <w:lang w:val="es-ES_tradnl"/>
        </w:rPr>
        <w:t xml:space="preserve">bservarse en </w:t>
      </w:r>
      <w:r w:rsidR="00677F08" w:rsidRPr="00677F08">
        <w:rPr>
          <w:rFonts w:ascii="Cambria" w:eastAsiaTheme="minorHAnsi" w:hAnsi="Cambria"/>
          <w:sz w:val="20"/>
          <w:szCs w:val="20"/>
          <w:lang w:val="es-ES_tradnl"/>
        </w:rPr>
        <w:t>los procesos sancionatorios en perjuicio de las personas privadas de libertad</w:t>
      </w:r>
      <w:r w:rsidR="00677F08">
        <w:rPr>
          <w:rFonts w:ascii="Cambria" w:eastAsiaTheme="minorHAnsi" w:hAnsi="Cambria"/>
          <w:sz w:val="20"/>
          <w:szCs w:val="20"/>
          <w:lang w:val="es-ES_tradnl"/>
        </w:rPr>
        <w:t xml:space="preserve">, así como en los procesos </w:t>
      </w:r>
      <w:r w:rsidR="00677F08" w:rsidRPr="00677F08">
        <w:rPr>
          <w:rFonts w:ascii="Cambria" w:eastAsiaTheme="minorHAnsi" w:hAnsi="Cambria"/>
          <w:sz w:val="20"/>
          <w:szCs w:val="20"/>
          <w:lang w:val="es-ES_tradnl"/>
        </w:rPr>
        <w:t>de ejecución de pena relacionados con la aplicació</w:t>
      </w:r>
      <w:r w:rsidR="00EC03A4">
        <w:rPr>
          <w:rFonts w:ascii="Cambria" w:eastAsiaTheme="minorHAnsi" w:hAnsi="Cambria"/>
          <w:sz w:val="20"/>
          <w:szCs w:val="20"/>
          <w:lang w:val="es-ES_tradnl"/>
        </w:rPr>
        <w:t>n, r</w:t>
      </w:r>
      <w:r w:rsidR="00677F08" w:rsidRPr="00677F08">
        <w:rPr>
          <w:rFonts w:ascii="Cambria" w:eastAsiaTheme="minorHAnsi" w:hAnsi="Cambria"/>
          <w:sz w:val="20"/>
          <w:szCs w:val="20"/>
          <w:lang w:val="es-ES_tradnl"/>
        </w:rPr>
        <w:t xml:space="preserve">evocatoria </w:t>
      </w:r>
      <w:r w:rsidR="00EC03A4">
        <w:rPr>
          <w:rFonts w:ascii="Cambria" w:eastAsiaTheme="minorHAnsi" w:hAnsi="Cambria"/>
          <w:sz w:val="20"/>
          <w:szCs w:val="20"/>
          <w:lang w:val="es-ES_tradnl"/>
        </w:rPr>
        <w:t xml:space="preserve">o modificación </w:t>
      </w:r>
      <w:r w:rsidR="00677F08" w:rsidRPr="00677F08">
        <w:rPr>
          <w:rFonts w:ascii="Cambria" w:eastAsiaTheme="minorHAnsi" w:hAnsi="Cambria"/>
          <w:sz w:val="20"/>
          <w:szCs w:val="20"/>
          <w:lang w:val="es-ES_tradnl"/>
        </w:rPr>
        <w:t>de un benefici</w:t>
      </w:r>
      <w:r w:rsidR="00677F08">
        <w:rPr>
          <w:rFonts w:ascii="Cambria" w:eastAsiaTheme="minorHAnsi" w:hAnsi="Cambria"/>
          <w:sz w:val="20"/>
          <w:szCs w:val="20"/>
          <w:lang w:val="es-ES_tradnl"/>
        </w:rPr>
        <w:t>o penitenciario</w:t>
      </w:r>
      <w:r w:rsidR="008107A4" w:rsidRPr="004B7084">
        <w:rPr>
          <w:rFonts w:ascii="Cambria" w:eastAsiaTheme="minorHAnsi" w:hAnsi="Cambria"/>
          <w:sz w:val="20"/>
          <w:szCs w:val="20"/>
          <w:lang w:val="es-ES_tradnl"/>
        </w:rPr>
        <w:t>.</w:t>
      </w:r>
    </w:p>
    <w:p w14:paraId="566307AB" w14:textId="77777777" w:rsidR="006E3F23" w:rsidRPr="004B7084" w:rsidRDefault="006E3F23" w:rsidP="006E3F23">
      <w:pPr>
        <w:autoSpaceDE w:val="0"/>
        <w:autoSpaceDN w:val="0"/>
        <w:adjustRightInd w:val="0"/>
        <w:spacing w:after="0" w:line="240" w:lineRule="auto"/>
        <w:ind w:firstLine="567"/>
        <w:jc w:val="both"/>
        <w:rPr>
          <w:rFonts w:ascii="Cambria" w:eastAsiaTheme="minorHAnsi" w:hAnsi="Cambria"/>
          <w:sz w:val="20"/>
          <w:szCs w:val="20"/>
          <w:lang w:val="es-ES_tradnl"/>
        </w:rPr>
      </w:pPr>
    </w:p>
    <w:p w14:paraId="43890FEA" w14:textId="6CF29D8F" w:rsidR="001A0309" w:rsidRPr="004B7084" w:rsidRDefault="001A0309" w:rsidP="007D68A0">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sz w:val="20"/>
          <w:szCs w:val="20"/>
          <w:lang w:val="es-ES_tradnl"/>
        </w:rPr>
        <w:t xml:space="preserve">En virtud de que estas cuestiones afectan de manera relevante el orden público interamericano, de conformidad con el artículo 35.1 f) del Reglamento de la Corte Interamericana, la Comisión se permite ofrecer la siguiente </w:t>
      </w:r>
      <w:r w:rsidR="008F5016" w:rsidRPr="004B7084">
        <w:rPr>
          <w:rFonts w:ascii="Cambria" w:eastAsiaTheme="minorHAnsi" w:hAnsi="Cambria"/>
          <w:sz w:val="20"/>
          <w:szCs w:val="20"/>
          <w:lang w:val="es-ES_tradnl"/>
        </w:rPr>
        <w:t>declaración</w:t>
      </w:r>
      <w:r w:rsidRPr="004B7084">
        <w:rPr>
          <w:rFonts w:ascii="Cambria" w:eastAsiaTheme="minorHAnsi" w:hAnsi="Cambria"/>
          <w:sz w:val="20"/>
          <w:szCs w:val="20"/>
          <w:lang w:val="es-ES_tradnl"/>
        </w:rPr>
        <w:t xml:space="preserve"> pericial:</w:t>
      </w:r>
    </w:p>
    <w:p w14:paraId="2A6C6F1F" w14:textId="77777777" w:rsidR="008F5016" w:rsidRPr="004B7084" w:rsidRDefault="008F5016" w:rsidP="007D68A0">
      <w:pPr>
        <w:autoSpaceDE w:val="0"/>
        <w:autoSpaceDN w:val="0"/>
        <w:adjustRightInd w:val="0"/>
        <w:spacing w:after="0" w:line="240" w:lineRule="auto"/>
        <w:ind w:firstLine="567"/>
        <w:jc w:val="both"/>
        <w:rPr>
          <w:rFonts w:ascii="Cambria" w:eastAsiaTheme="minorHAnsi" w:hAnsi="Cambria"/>
          <w:sz w:val="20"/>
          <w:szCs w:val="20"/>
          <w:lang w:val="es-ES_tradnl"/>
        </w:rPr>
      </w:pPr>
    </w:p>
    <w:p w14:paraId="36E6266C" w14:textId="4F2860ED" w:rsidR="008F5016" w:rsidRPr="004B7084" w:rsidRDefault="008F5016" w:rsidP="00677F08">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b/>
          <w:bCs/>
          <w:sz w:val="20"/>
          <w:szCs w:val="20"/>
          <w:lang w:val="es-ES_tradnl"/>
        </w:rPr>
        <w:t>Perito/a, cuyo nombre será informado a la brevedad</w:t>
      </w:r>
      <w:r w:rsidRPr="004B7084">
        <w:rPr>
          <w:rFonts w:ascii="Cambria" w:eastAsiaTheme="minorHAnsi" w:hAnsi="Cambria"/>
          <w:sz w:val="20"/>
          <w:szCs w:val="20"/>
          <w:lang w:val="es-ES_tradnl"/>
        </w:rPr>
        <w:t>, quien declarará sobre los deberes</w:t>
      </w:r>
      <w:r w:rsidR="00BE0721" w:rsidRPr="004B7084">
        <w:rPr>
          <w:rFonts w:ascii="Cambria" w:eastAsiaTheme="minorHAnsi" w:hAnsi="Cambria"/>
          <w:sz w:val="20"/>
          <w:szCs w:val="20"/>
          <w:lang w:val="es-ES_tradnl"/>
        </w:rPr>
        <w:t xml:space="preserve"> que impone el derecho internacional a los </w:t>
      </w:r>
      <w:r w:rsidR="00BF60F8" w:rsidRPr="004B7084">
        <w:rPr>
          <w:rFonts w:ascii="Cambria" w:eastAsiaTheme="minorHAnsi" w:hAnsi="Cambria"/>
          <w:sz w:val="20"/>
          <w:szCs w:val="20"/>
          <w:lang w:val="es-ES_tradnl"/>
        </w:rPr>
        <w:t>Estado</w:t>
      </w:r>
      <w:r w:rsidR="00BE0721" w:rsidRPr="004B7084">
        <w:rPr>
          <w:rFonts w:ascii="Cambria" w:eastAsiaTheme="minorHAnsi" w:hAnsi="Cambria"/>
          <w:sz w:val="20"/>
          <w:szCs w:val="20"/>
          <w:lang w:val="es-ES_tradnl"/>
        </w:rPr>
        <w:t xml:space="preserve">s </w:t>
      </w:r>
      <w:r w:rsidR="00677F08">
        <w:rPr>
          <w:rFonts w:ascii="Cambria" w:eastAsiaTheme="minorHAnsi" w:hAnsi="Cambria"/>
          <w:sz w:val="20"/>
          <w:szCs w:val="20"/>
          <w:lang w:val="es-ES_tradnl"/>
        </w:rPr>
        <w:t xml:space="preserve">para asegurar las debidas garantías en </w:t>
      </w:r>
      <w:r w:rsidR="00677F08" w:rsidRPr="00677F08">
        <w:rPr>
          <w:rFonts w:ascii="Cambria" w:eastAsiaTheme="minorHAnsi" w:hAnsi="Cambria"/>
          <w:sz w:val="20"/>
          <w:szCs w:val="20"/>
          <w:lang w:val="es-ES_tradnl"/>
        </w:rPr>
        <w:t>los procesos sancionatorios en perjuicio de las personas privadas de libertad</w:t>
      </w:r>
      <w:r w:rsidR="00677F08">
        <w:rPr>
          <w:rFonts w:ascii="Cambria" w:eastAsiaTheme="minorHAnsi" w:hAnsi="Cambria"/>
          <w:sz w:val="20"/>
          <w:szCs w:val="20"/>
          <w:lang w:val="es-ES_tradnl"/>
        </w:rPr>
        <w:t xml:space="preserve"> </w:t>
      </w:r>
      <w:r w:rsidR="006E3F23" w:rsidRPr="004B7084">
        <w:rPr>
          <w:rFonts w:ascii="Cambria" w:eastAsiaTheme="minorHAnsi" w:hAnsi="Cambria"/>
          <w:sz w:val="20"/>
          <w:szCs w:val="20"/>
          <w:lang w:val="es-ES_tradnl"/>
        </w:rPr>
        <w:t xml:space="preserve">y respecto de </w:t>
      </w:r>
      <w:r w:rsidR="00677F08" w:rsidRPr="00677F08">
        <w:rPr>
          <w:rFonts w:ascii="Cambria" w:eastAsiaTheme="minorHAnsi" w:hAnsi="Cambria"/>
          <w:sz w:val="20"/>
          <w:szCs w:val="20"/>
          <w:lang w:val="es-ES_tradnl"/>
        </w:rPr>
        <w:t>la aplicación</w:t>
      </w:r>
      <w:r w:rsidR="00EC03A4">
        <w:rPr>
          <w:rFonts w:ascii="Cambria" w:eastAsiaTheme="minorHAnsi" w:hAnsi="Cambria"/>
          <w:sz w:val="20"/>
          <w:szCs w:val="20"/>
          <w:lang w:val="es-ES_tradnl"/>
        </w:rPr>
        <w:t xml:space="preserve">, </w:t>
      </w:r>
      <w:r w:rsidR="00677F08" w:rsidRPr="00677F08">
        <w:rPr>
          <w:rFonts w:ascii="Cambria" w:eastAsiaTheme="minorHAnsi" w:hAnsi="Cambria"/>
          <w:sz w:val="20"/>
          <w:szCs w:val="20"/>
          <w:lang w:val="es-ES_tradnl"/>
        </w:rPr>
        <w:t xml:space="preserve">revocatoria </w:t>
      </w:r>
      <w:r w:rsidR="00EC03A4">
        <w:rPr>
          <w:rFonts w:ascii="Cambria" w:eastAsiaTheme="minorHAnsi" w:hAnsi="Cambria"/>
          <w:sz w:val="20"/>
          <w:szCs w:val="20"/>
          <w:lang w:val="es-ES_tradnl"/>
        </w:rPr>
        <w:t xml:space="preserve">o modificación </w:t>
      </w:r>
      <w:r w:rsidR="00677F08" w:rsidRPr="00677F08">
        <w:rPr>
          <w:rFonts w:ascii="Cambria" w:eastAsiaTheme="minorHAnsi" w:hAnsi="Cambria"/>
          <w:sz w:val="20"/>
          <w:szCs w:val="20"/>
          <w:lang w:val="es-ES_tradnl"/>
        </w:rPr>
        <w:t>de un benefici</w:t>
      </w:r>
      <w:r w:rsidR="00677F08">
        <w:rPr>
          <w:rFonts w:ascii="Cambria" w:eastAsiaTheme="minorHAnsi" w:hAnsi="Cambria"/>
          <w:sz w:val="20"/>
          <w:szCs w:val="20"/>
          <w:lang w:val="es-ES_tradnl"/>
        </w:rPr>
        <w:t xml:space="preserve">o penitenciario. </w:t>
      </w:r>
    </w:p>
    <w:p w14:paraId="754669E4" w14:textId="77777777" w:rsidR="004876BE" w:rsidRPr="004B7084" w:rsidRDefault="004876BE" w:rsidP="007D68A0">
      <w:pPr>
        <w:autoSpaceDE w:val="0"/>
        <w:autoSpaceDN w:val="0"/>
        <w:adjustRightInd w:val="0"/>
        <w:spacing w:after="0" w:line="240" w:lineRule="auto"/>
        <w:ind w:firstLine="567"/>
        <w:jc w:val="both"/>
        <w:rPr>
          <w:rFonts w:ascii="Cambria" w:eastAsiaTheme="minorHAnsi" w:hAnsi="Cambria"/>
          <w:sz w:val="20"/>
          <w:szCs w:val="20"/>
          <w:lang w:val="es-ES_tradnl"/>
        </w:rPr>
      </w:pPr>
    </w:p>
    <w:p w14:paraId="0127AE3E" w14:textId="0F24FE13" w:rsidR="004876BE" w:rsidRPr="004B7084" w:rsidRDefault="004876BE" w:rsidP="004876BE">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sz w:val="20"/>
          <w:szCs w:val="20"/>
          <w:lang w:val="es-ES_tradnl"/>
        </w:rPr>
        <w:t xml:space="preserve">El CV de los/as peritos/as propuestos/as será incluido en los anexos al Informe de Fondo No. </w:t>
      </w:r>
      <w:r w:rsidR="006E3F23" w:rsidRPr="004B7084">
        <w:rPr>
          <w:rFonts w:ascii="Cambria" w:eastAsiaTheme="minorHAnsi" w:hAnsi="Cambria"/>
          <w:sz w:val="20"/>
          <w:szCs w:val="20"/>
          <w:lang w:val="es-ES_tradnl"/>
        </w:rPr>
        <w:t>106</w:t>
      </w:r>
      <w:r w:rsidRPr="004B7084">
        <w:rPr>
          <w:rFonts w:ascii="Cambria" w:eastAsiaTheme="minorHAnsi" w:hAnsi="Cambria"/>
          <w:sz w:val="20"/>
          <w:szCs w:val="20"/>
          <w:lang w:val="es-ES_tradnl"/>
        </w:rPr>
        <w:t>/</w:t>
      </w:r>
      <w:r w:rsidR="006E3F23" w:rsidRPr="004B7084">
        <w:rPr>
          <w:rFonts w:ascii="Cambria" w:eastAsiaTheme="minorHAnsi" w:hAnsi="Cambria"/>
          <w:sz w:val="20"/>
          <w:szCs w:val="20"/>
          <w:lang w:val="es-ES_tradnl"/>
        </w:rPr>
        <w:t>18</w:t>
      </w:r>
      <w:r w:rsidRPr="004B7084">
        <w:rPr>
          <w:rFonts w:ascii="Cambria" w:eastAsiaTheme="minorHAnsi" w:hAnsi="Cambria"/>
          <w:sz w:val="20"/>
          <w:szCs w:val="20"/>
          <w:lang w:val="es-ES_tradnl"/>
        </w:rPr>
        <w:t xml:space="preserve">. </w:t>
      </w:r>
    </w:p>
    <w:p w14:paraId="48620C6B" w14:textId="77777777" w:rsidR="004876BE" w:rsidRPr="004B7084" w:rsidRDefault="004876BE" w:rsidP="00677F08">
      <w:pPr>
        <w:autoSpaceDE w:val="0"/>
        <w:autoSpaceDN w:val="0"/>
        <w:adjustRightInd w:val="0"/>
        <w:spacing w:after="0" w:line="240" w:lineRule="auto"/>
        <w:jc w:val="both"/>
        <w:rPr>
          <w:rFonts w:ascii="Cambria" w:eastAsiaTheme="minorHAnsi" w:hAnsi="Cambria"/>
          <w:sz w:val="20"/>
          <w:szCs w:val="20"/>
          <w:lang w:val="es-ES_tradnl"/>
        </w:rPr>
      </w:pPr>
    </w:p>
    <w:p w14:paraId="61A53D22" w14:textId="50FE5725" w:rsidR="004876BE" w:rsidRPr="004B7084" w:rsidRDefault="004876BE" w:rsidP="004876BE">
      <w:pPr>
        <w:autoSpaceDE w:val="0"/>
        <w:autoSpaceDN w:val="0"/>
        <w:adjustRightInd w:val="0"/>
        <w:spacing w:after="0" w:line="240" w:lineRule="auto"/>
        <w:ind w:firstLine="567"/>
        <w:jc w:val="both"/>
        <w:rPr>
          <w:rFonts w:ascii="Cambria" w:eastAsiaTheme="minorHAnsi" w:hAnsi="Cambria"/>
          <w:sz w:val="20"/>
          <w:szCs w:val="20"/>
          <w:lang w:val="es-ES_tradnl"/>
        </w:rPr>
      </w:pPr>
      <w:r w:rsidRPr="004B7084">
        <w:rPr>
          <w:rFonts w:ascii="Cambria" w:eastAsiaTheme="minorHAnsi" w:hAnsi="Cambria"/>
          <w:sz w:val="20"/>
          <w:szCs w:val="20"/>
          <w:lang w:val="es-ES_tradnl"/>
        </w:rPr>
        <w:t>La Comisión pone en conocimiento de la Honorable Corte la siguiente información de quien actúa como parte peticionaria en el trámite ante la CIDH conforme a la información más reciente:</w:t>
      </w:r>
    </w:p>
    <w:p w14:paraId="1B3101A2" w14:textId="77777777" w:rsidR="004876BE" w:rsidRPr="004B7084" w:rsidRDefault="004876BE" w:rsidP="004876BE">
      <w:pPr>
        <w:autoSpaceDE w:val="0"/>
        <w:autoSpaceDN w:val="0"/>
        <w:adjustRightInd w:val="0"/>
        <w:spacing w:after="0" w:line="240" w:lineRule="auto"/>
        <w:ind w:firstLine="567"/>
        <w:jc w:val="both"/>
        <w:rPr>
          <w:rFonts w:ascii="Cambria" w:eastAsiaTheme="minorHAnsi" w:hAnsi="Cambria"/>
          <w:sz w:val="20"/>
          <w:szCs w:val="20"/>
          <w:lang w:val="es-ES_tradnl"/>
        </w:rPr>
      </w:pPr>
    </w:p>
    <w:p w14:paraId="537E98F7" w14:textId="77777777" w:rsidR="001876F4" w:rsidRPr="00457E4C" w:rsidRDefault="001876F4" w:rsidP="001876F4">
      <w:pPr>
        <w:spacing w:after="0" w:line="240" w:lineRule="auto"/>
        <w:jc w:val="center"/>
        <w:rPr>
          <w:rFonts w:ascii="Cambria" w:hAnsi="Cambria"/>
          <w:bCs/>
          <w:iCs/>
          <w:sz w:val="20"/>
          <w:szCs w:val="20"/>
          <w:lang w:val="es-ES"/>
        </w:rPr>
      </w:pPr>
      <w:r w:rsidRPr="00457E4C">
        <w:rPr>
          <w:rFonts w:ascii="Cambria" w:hAnsi="Cambria"/>
          <w:bCs/>
          <w:iCs/>
          <w:sz w:val="20"/>
          <w:szCs w:val="20"/>
          <w:lang w:val="es-ES"/>
        </w:rPr>
        <w:t>Stella Maris Martínez</w:t>
      </w:r>
    </w:p>
    <w:p w14:paraId="2DE63AB3" w14:textId="77777777" w:rsidR="001876F4" w:rsidRPr="00457E4C" w:rsidRDefault="001876F4" w:rsidP="001876F4">
      <w:pPr>
        <w:spacing w:after="0" w:line="240" w:lineRule="auto"/>
        <w:jc w:val="center"/>
        <w:rPr>
          <w:rFonts w:ascii="Cambria" w:hAnsi="Cambria"/>
          <w:bCs/>
          <w:iCs/>
          <w:sz w:val="20"/>
          <w:szCs w:val="20"/>
          <w:lang w:val="es-ES"/>
        </w:rPr>
      </w:pPr>
      <w:r w:rsidRPr="00457E4C">
        <w:rPr>
          <w:rFonts w:ascii="Cambria" w:hAnsi="Cambria"/>
          <w:bCs/>
          <w:iCs/>
          <w:sz w:val="20"/>
          <w:szCs w:val="20"/>
          <w:lang w:val="es-ES"/>
        </w:rPr>
        <w:t xml:space="preserve">Defensora General de la Nación </w:t>
      </w:r>
    </w:p>
    <w:p w14:paraId="6CC58A5C" w14:textId="141328F9" w:rsidR="0022405A" w:rsidRPr="007D1473" w:rsidRDefault="007D1473" w:rsidP="001876F4">
      <w:pPr>
        <w:spacing w:after="0" w:line="240" w:lineRule="auto"/>
        <w:jc w:val="center"/>
        <w:rPr>
          <w:rFonts w:ascii="Cambria" w:hAnsi="Cambria"/>
          <w:bCs/>
          <w:iCs/>
          <w:sz w:val="20"/>
          <w:szCs w:val="20"/>
          <w:highlight w:val="black"/>
          <w:lang w:val="es-ES"/>
        </w:rPr>
      </w:pPr>
      <w:r w:rsidRPr="007D1473">
        <w:rPr>
          <w:rFonts w:ascii="Cambria" w:hAnsi="Cambria"/>
          <w:bCs/>
          <w:iCs/>
          <w:sz w:val="20"/>
          <w:szCs w:val="20"/>
          <w:highlight w:val="black"/>
          <w:lang w:val="es-ES"/>
        </w:rPr>
        <w:t>XXXXXXXXXXXXXXXXXXXXXXXX</w:t>
      </w:r>
    </w:p>
    <w:p w14:paraId="22BB3315" w14:textId="77777777" w:rsidR="001876F4" w:rsidRPr="00457E4C" w:rsidRDefault="001876F4" w:rsidP="001876F4">
      <w:pPr>
        <w:spacing w:after="0" w:line="240" w:lineRule="auto"/>
        <w:jc w:val="center"/>
        <w:rPr>
          <w:rFonts w:ascii="Cambria" w:eastAsiaTheme="minorHAnsi" w:hAnsi="Cambria"/>
          <w:sz w:val="20"/>
          <w:szCs w:val="20"/>
          <w:lang w:val="es-ES_tradnl"/>
        </w:rPr>
      </w:pPr>
    </w:p>
    <w:p w14:paraId="06FBBFB0" w14:textId="235E6E5E" w:rsidR="0022405A" w:rsidRPr="001876F4" w:rsidRDefault="0022405A" w:rsidP="0022405A">
      <w:pPr>
        <w:autoSpaceDE w:val="0"/>
        <w:autoSpaceDN w:val="0"/>
        <w:adjustRightInd w:val="0"/>
        <w:spacing w:after="0" w:line="240" w:lineRule="auto"/>
        <w:ind w:firstLine="567"/>
        <w:rPr>
          <w:rFonts w:ascii="Cambria" w:eastAsiaTheme="minorHAnsi" w:hAnsi="Cambria"/>
          <w:sz w:val="20"/>
          <w:szCs w:val="20"/>
          <w:lang w:val="es-ES_tradnl"/>
        </w:rPr>
      </w:pPr>
      <w:r w:rsidRPr="001876F4">
        <w:rPr>
          <w:rFonts w:ascii="Cambria" w:eastAsiaTheme="minorHAnsi" w:hAnsi="Cambria"/>
          <w:sz w:val="20"/>
          <w:szCs w:val="20"/>
          <w:lang w:val="es-ES_tradnl"/>
        </w:rPr>
        <w:t>Aprovecho la oportunidad para saludar a usted muy atentamente,</w:t>
      </w:r>
    </w:p>
    <w:p w14:paraId="1566E71B" w14:textId="10B7A2FA" w:rsidR="001876F4" w:rsidRPr="001876F4" w:rsidRDefault="001876F4" w:rsidP="001876F4">
      <w:pPr>
        <w:tabs>
          <w:tab w:val="left" w:pos="3926"/>
        </w:tabs>
        <w:spacing w:after="0" w:line="240" w:lineRule="auto"/>
        <w:rPr>
          <w:rFonts w:ascii="Cambria" w:hAnsi="Cambria"/>
          <w:sz w:val="20"/>
          <w:szCs w:val="20"/>
          <w:lang w:val="es-MX"/>
        </w:rPr>
      </w:pPr>
      <w:bookmarkStart w:id="2" w:name="_Hlk128731904"/>
      <w:bookmarkStart w:id="3" w:name="_Hlk129855594"/>
      <w:bookmarkStart w:id="4" w:name="_Hlk129970904"/>
      <w:bookmarkStart w:id="5" w:name="_Hlk122115986"/>
      <w:bookmarkStart w:id="6" w:name="_Hlk118969572"/>
      <w:bookmarkStart w:id="7" w:name="_Hlk120781836"/>
      <w:bookmarkStart w:id="8" w:name="_Hlk130997932"/>
      <w:bookmarkStart w:id="9" w:name="_Hlk119577459"/>
      <w:bookmarkStart w:id="10" w:name="_Hlk131167805"/>
      <w:bookmarkStart w:id="11" w:name="_Hlk129896549"/>
    </w:p>
    <w:p w14:paraId="27BCC64F" w14:textId="77777777" w:rsidR="001876F4" w:rsidRPr="001876F4" w:rsidRDefault="001876F4" w:rsidP="001876F4">
      <w:pPr>
        <w:spacing w:after="0" w:line="240" w:lineRule="auto"/>
        <w:jc w:val="center"/>
        <w:rPr>
          <w:rFonts w:ascii="Cambria" w:hAnsi="Cambria"/>
          <w:sz w:val="20"/>
          <w:szCs w:val="20"/>
          <w:lang w:val="es-MX"/>
        </w:rPr>
      </w:pPr>
    </w:p>
    <w:p w14:paraId="101093D4" w14:textId="77777777" w:rsidR="001876F4" w:rsidRPr="001876F4" w:rsidRDefault="001876F4" w:rsidP="001876F4">
      <w:pPr>
        <w:spacing w:after="0" w:line="240" w:lineRule="auto"/>
        <w:rPr>
          <w:rFonts w:ascii="Cambria" w:hAnsi="Cambria"/>
          <w:sz w:val="20"/>
          <w:szCs w:val="20"/>
          <w:lang w:val="es-MX"/>
        </w:rPr>
      </w:pPr>
    </w:p>
    <w:bookmarkEnd w:id="2"/>
    <w:p w14:paraId="6703D84C" w14:textId="77777777" w:rsidR="001876F4" w:rsidRPr="001876F4" w:rsidRDefault="001876F4" w:rsidP="001876F4">
      <w:pPr>
        <w:tabs>
          <w:tab w:val="center" w:pos="5040"/>
        </w:tabs>
        <w:spacing w:after="0" w:line="240" w:lineRule="auto"/>
        <w:jc w:val="center"/>
        <w:rPr>
          <w:rFonts w:ascii="Cambria" w:hAnsi="Cambria"/>
          <w:sz w:val="20"/>
          <w:szCs w:val="20"/>
          <w:lang w:val="es-MX"/>
        </w:rPr>
      </w:pPr>
    </w:p>
    <w:p w14:paraId="198DC2DD" w14:textId="77777777" w:rsidR="001876F4" w:rsidRPr="001876F4" w:rsidRDefault="001876F4" w:rsidP="001876F4">
      <w:pPr>
        <w:spacing w:after="0" w:line="240" w:lineRule="auto"/>
        <w:jc w:val="center"/>
        <w:rPr>
          <w:rFonts w:ascii="Cambria" w:hAnsi="Cambria" w:cs="Calibri"/>
          <w:sz w:val="20"/>
          <w:szCs w:val="20"/>
          <w:lang w:val="es-CO"/>
        </w:rPr>
      </w:pPr>
      <w:r w:rsidRPr="001876F4">
        <w:rPr>
          <w:rFonts w:ascii="Cambria" w:hAnsi="Cambria" w:cs="Calibri"/>
          <w:sz w:val="20"/>
          <w:szCs w:val="20"/>
          <w:lang w:val="es-CO"/>
        </w:rPr>
        <w:t>Jorge Meza Flores</w:t>
      </w:r>
    </w:p>
    <w:p w14:paraId="6E79574C" w14:textId="77777777" w:rsidR="001876F4" w:rsidRPr="001876F4" w:rsidRDefault="001876F4" w:rsidP="001876F4">
      <w:pPr>
        <w:spacing w:after="0" w:line="240" w:lineRule="auto"/>
        <w:jc w:val="center"/>
        <w:rPr>
          <w:rFonts w:ascii="Cambria" w:hAnsi="Cambria" w:cs="Calibri"/>
          <w:sz w:val="20"/>
          <w:szCs w:val="20"/>
          <w:lang w:val="es-CO"/>
        </w:rPr>
      </w:pPr>
      <w:r w:rsidRPr="001876F4">
        <w:rPr>
          <w:rFonts w:ascii="Cambria" w:hAnsi="Cambria" w:cs="Calibri"/>
          <w:sz w:val="20"/>
          <w:szCs w:val="20"/>
          <w:lang w:val="es-CO"/>
        </w:rPr>
        <w:t>Secretario Ejecutivo Adjunto</w:t>
      </w:r>
      <w:bookmarkEnd w:id="3"/>
      <w:bookmarkEnd w:id="4"/>
      <w:bookmarkEnd w:id="5"/>
      <w:bookmarkEnd w:id="6"/>
      <w:bookmarkEnd w:id="7"/>
      <w:bookmarkEnd w:id="8"/>
      <w:bookmarkEnd w:id="9"/>
      <w:bookmarkEnd w:id="10"/>
      <w:bookmarkEnd w:id="11"/>
    </w:p>
    <w:sectPr w:rsidR="001876F4" w:rsidRPr="001876F4" w:rsidSect="00F33A45">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86A3" w14:textId="77777777" w:rsidR="007C1806" w:rsidRDefault="007C1806" w:rsidP="005122C2">
      <w:pPr>
        <w:spacing w:after="0" w:line="240" w:lineRule="auto"/>
      </w:pPr>
      <w:r>
        <w:separator/>
      </w:r>
    </w:p>
  </w:endnote>
  <w:endnote w:type="continuationSeparator" w:id="0">
    <w:p w14:paraId="5F4E9CF5" w14:textId="77777777" w:rsidR="007C1806" w:rsidRDefault="007C1806" w:rsidP="0051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0842B6D3" w14:textId="13FCC056" w:rsidR="00B17875" w:rsidRDefault="00B17875"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9857C" w14:textId="77777777" w:rsidR="00B17875" w:rsidRDefault="00B17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18"/>
        <w:szCs w:val="18"/>
      </w:rPr>
      <w:id w:val="-1651211115"/>
      <w:docPartObj>
        <w:docPartGallery w:val="Page Numbers (Bottom of Page)"/>
        <w:docPartUnique/>
      </w:docPartObj>
    </w:sdtPr>
    <w:sdtEndPr>
      <w:rPr>
        <w:rStyle w:val="PageNumber"/>
      </w:rPr>
    </w:sdtEndPr>
    <w:sdtContent>
      <w:p w14:paraId="6C2C6E2B" w14:textId="09A28A30" w:rsidR="00B17875" w:rsidRPr="007E15F4" w:rsidRDefault="00B17875" w:rsidP="007E15F4">
        <w:pPr>
          <w:pStyle w:val="Footer"/>
          <w:framePr w:wrap="none" w:vAnchor="text" w:hAnchor="page" w:x="5991" w:y="-567"/>
          <w:rPr>
            <w:rStyle w:val="PageNumber"/>
            <w:rFonts w:ascii="Cambria" w:hAnsi="Cambria"/>
            <w:sz w:val="18"/>
            <w:szCs w:val="18"/>
          </w:rPr>
        </w:pPr>
        <w:r w:rsidRPr="007E15F4">
          <w:rPr>
            <w:rStyle w:val="PageNumber"/>
            <w:rFonts w:ascii="Cambria" w:hAnsi="Cambria"/>
            <w:sz w:val="18"/>
            <w:szCs w:val="18"/>
          </w:rPr>
          <w:fldChar w:fldCharType="begin"/>
        </w:r>
        <w:r w:rsidRPr="007E15F4">
          <w:rPr>
            <w:rStyle w:val="PageNumber"/>
            <w:rFonts w:ascii="Cambria" w:hAnsi="Cambria"/>
            <w:sz w:val="18"/>
            <w:szCs w:val="18"/>
          </w:rPr>
          <w:instrText xml:space="preserve"> PAGE </w:instrText>
        </w:r>
        <w:r w:rsidRPr="007E15F4">
          <w:rPr>
            <w:rStyle w:val="PageNumber"/>
            <w:rFonts w:ascii="Cambria" w:hAnsi="Cambria"/>
            <w:sz w:val="18"/>
            <w:szCs w:val="18"/>
          </w:rPr>
          <w:fldChar w:fldCharType="separate"/>
        </w:r>
        <w:r w:rsidRPr="007E15F4">
          <w:rPr>
            <w:rStyle w:val="PageNumber"/>
            <w:rFonts w:ascii="Cambria" w:hAnsi="Cambria"/>
            <w:noProof/>
            <w:sz w:val="18"/>
            <w:szCs w:val="18"/>
          </w:rPr>
          <w:t>1</w:t>
        </w:r>
        <w:r w:rsidRPr="007E15F4">
          <w:rPr>
            <w:rStyle w:val="PageNumber"/>
            <w:rFonts w:ascii="Cambria" w:hAnsi="Cambria"/>
            <w:sz w:val="18"/>
            <w:szCs w:val="18"/>
          </w:rPr>
          <w:fldChar w:fldCharType="end"/>
        </w:r>
      </w:p>
    </w:sdtContent>
  </w:sdt>
  <w:p w14:paraId="10BADFE7" w14:textId="2A0092B3" w:rsidR="00B17875" w:rsidRDefault="001876F4">
    <w:pPr>
      <w:pStyle w:val="Footer"/>
    </w:pPr>
    <w:r>
      <w:t xml:space="preserve">                 </w:t>
    </w:r>
    <w:r w:rsidR="007E15F4" w:rsidRPr="008A5CB5">
      <w:rPr>
        <w:noProof/>
      </w:rPr>
      <w:drawing>
        <wp:inline distT="0" distB="0" distL="0" distR="0" wp14:anchorId="16860C7B" wp14:editId="2F9985CE">
          <wp:extent cx="5120640" cy="320040"/>
          <wp:effectExtent l="0" t="0" r="0" b="0"/>
          <wp:docPr id="7" name="Picture 35" descr="foote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5FB2F" w14:textId="77777777" w:rsidR="007C1806" w:rsidRDefault="007C1806" w:rsidP="005122C2">
      <w:pPr>
        <w:spacing w:after="0" w:line="240" w:lineRule="auto"/>
      </w:pPr>
      <w:r>
        <w:separator/>
      </w:r>
    </w:p>
  </w:footnote>
  <w:footnote w:type="continuationSeparator" w:id="0">
    <w:p w14:paraId="1916F955" w14:textId="77777777" w:rsidR="007C1806" w:rsidRDefault="007C1806" w:rsidP="0051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F044" w14:textId="77777777" w:rsidR="005122C2" w:rsidRDefault="005122C2" w:rsidP="005122C2">
    <w:pPr>
      <w:pStyle w:val="Header"/>
    </w:pPr>
    <w:r w:rsidRPr="008A5CB5">
      <w:rPr>
        <w:noProof/>
      </w:rPr>
      <w:drawing>
        <wp:inline distT="0" distB="0" distL="0" distR="0" wp14:anchorId="73113200" wp14:editId="75B8269A">
          <wp:extent cx="2349500" cy="457200"/>
          <wp:effectExtent l="0" t="0" r="0" b="0"/>
          <wp:docPr id="4" name="Picture 1"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34ADE4D9" wp14:editId="0E3118E6">
          <wp:extent cx="1651000" cy="469900"/>
          <wp:effectExtent l="0" t="0" r="0" b="0"/>
          <wp:docPr id="5" name="Picture 2"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279250B9" w14:textId="72719FD4" w:rsidR="005122C2" w:rsidRDefault="001876F4">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52C"/>
    <w:multiLevelType w:val="hybridMultilevel"/>
    <w:tmpl w:val="8B3C1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0F33"/>
    <w:multiLevelType w:val="hybridMultilevel"/>
    <w:tmpl w:val="8AB84B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53047364">
    <w:abstractNumId w:val="1"/>
  </w:num>
  <w:num w:numId="2" w16cid:durableId="85924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C2"/>
    <w:rsid w:val="00044193"/>
    <w:rsid w:val="00083F32"/>
    <w:rsid w:val="00090F06"/>
    <w:rsid w:val="000C0B8E"/>
    <w:rsid w:val="000C611D"/>
    <w:rsid w:val="000F72F7"/>
    <w:rsid w:val="00121F46"/>
    <w:rsid w:val="00135790"/>
    <w:rsid w:val="00157FF8"/>
    <w:rsid w:val="00166E13"/>
    <w:rsid w:val="00167517"/>
    <w:rsid w:val="00172FF4"/>
    <w:rsid w:val="001876F4"/>
    <w:rsid w:val="001A0309"/>
    <w:rsid w:val="001C28C3"/>
    <w:rsid w:val="001E269A"/>
    <w:rsid w:val="001F6BE0"/>
    <w:rsid w:val="00221B63"/>
    <w:rsid w:val="00221BFC"/>
    <w:rsid w:val="00221C61"/>
    <w:rsid w:val="0022405A"/>
    <w:rsid w:val="00232F7D"/>
    <w:rsid w:val="00234B9A"/>
    <w:rsid w:val="00244D67"/>
    <w:rsid w:val="00274FFF"/>
    <w:rsid w:val="002A0311"/>
    <w:rsid w:val="002A579D"/>
    <w:rsid w:val="002B6B1F"/>
    <w:rsid w:val="002E4372"/>
    <w:rsid w:val="002F3EC1"/>
    <w:rsid w:val="00302A08"/>
    <w:rsid w:val="00333171"/>
    <w:rsid w:val="00353179"/>
    <w:rsid w:val="00361344"/>
    <w:rsid w:val="00362EBF"/>
    <w:rsid w:val="003C6011"/>
    <w:rsid w:val="003D1C43"/>
    <w:rsid w:val="003E01A1"/>
    <w:rsid w:val="004066CB"/>
    <w:rsid w:val="00446598"/>
    <w:rsid w:val="00456A79"/>
    <w:rsid w:val="00457E4C"/>
    <w:rsid w:val="004875C5"/>
    <w:rsid w:val="004876BE"/>
    <w:rsid w:val="00495F68"/>
    <w:rsid w:val="004B4ED2"/>
    <w:rsid w:val="004B7084"/>
    <w:rsid w:val="004C7DB9"/>
    <w:rsid w:val="004E4451"/>
    <w:rsid w:val="00502AD8"/>
    <w:rsid w:val="005059BB"/>
    <w:rsid w:val="00506C5A"/>
    <w:rsid w:val="005076FC"/>
    <w:rsid w:val="005122C2"/>
    <w:rsid w:val="005131FC"/>
    <w:rsid w:val="0052790F"/>
    <w:rsid w:val="005477E0"/>
    <w:rsid w:val="00567FF9"/>
    <w:rsid w:val="00586156"/>
    <w:rsid w:val="00591463"/>
    <w:rsid w:val="005A30C3"/>
    <w:rsid w:val="005B4EB1"/>
    <w:rsid w:val="005C5128"/>
    <w:rsid w:val="005E3D07"/>
    <w:rsid w:val="005F1DE3"/>
    <w:rsid w:val="00607E5E"/>
    <w:rsid w:val="00612BF1"/>
    <w:rsid w:val="00624F14"/>
    <w:rsid w:val="00631904"/>
    <w:rsid w:val="006761D9"/>
    <w:rsid w:val="00677F08"/>
    <w:rsid w:val="00681A7D"/>
    <w:rsid w:val="006B1685"/>
    <w:rsid w:val="006C481B"/>
    <w:rsid w:val="006E3F23"/>
    <w:rsid w:val="007011E6"/>
    <w:rsid w:val="00721CE6"/>
    <w:rsid w:val="00723DA5"/>
    <w:rsid w:val="00735A46"/>
    <w:rsid w:val="007420C7"/>
    <w:rsid w:val="00744401"/>
    <w:rsid w:val="00747544"/>
    <w:rsid w:val="0076341B"/>
    <w:rsid w:val="00763D1C"/>
    <w:rsid w:val="007B4742"/>
    <w:rsid w:val="007C1806"/>
    <w:rsid w:val="007D1473"/>
    <w:rsid w:val="007D15CA"/>
    <w:rsid w:val="007D68A0"/>
    <w:rsid w:val="007E15F4"/>
    <w:rsid w:val="007F6225"/>
    <w:rsid w:val="00805125"/>
    <w:rsid w:val="008107A4"/>
    <w:rsid w:val="00827461"/>
    <w:rsid w:val="008313CB"/>
    <w:rsid w:val="0083793C"/>
    <w:rsid w:val="00850736"/>
    <w:rsid w:val="00857C5A"/>
    <w:rsid w:val="008630BD"/>
    <w:rsid w:val="008725E2"/>
    <w:rsid w:val="008849B1"/>
    <w:rsid w:val="00885055"/>
    <w:rsid w:val="00890739"/>
    <w:rsid w:val="00893A8F"/>
    <w:rsid w:val="008A0316"/>
    <w:rsid w:val="008A65C5"/>
    <w:rsid w:val="008D418B"/>
    <w:rsid w:val="008E359D"/>
    <w:rsid w:val="008E7465"/>
    <w:rsid w:val="008F5016"/>
    <w:rsid w:val="00912441"/>
    <w:rsid w:val="00925735"/>
    <w:rsid w:val="0093294D"/>
    <w:rsid w:val="00934C3C"/>
    <w:rsid w:val="00942DF2"/>
    <w:rsid w:val="00963332"/>
    <w:rsid w:val="009658C2"/>
    <w:rsid w:val="00967B83"/>
    <w:rsid w:val="00983416"/>
    <w:rsid w:val="00991DCC"/>
    <w:rsid w:val="009D28C5"/>
    <w:rsid w:val="009D2DB4"/>
    <w:rsid w:val="009F1286"/>
    <w:rsid w:val="009F3D3F"/>
    <w:rsid w:val="00A31B18"/>
    <w:rsid w:val="00A870F5"/>
    <w:rsid w:val="00A977F4"/>
    <w:rsid w:val="00B048D0"/>
    <w:rsid w:val="00B1161A"/>
    <w:rsid w:val="00B16F5D"/>
    <w:rsid w:val="00B17875"/>
    <w:rsid w:val="00B178E4"/>
    <w:rsid w:val="00B212E9"/>
    <w:rsid w:val="00B223BF"/>
    <w:rsid w:val="00B25C89"/>
    <w:rsid w:val="00B409DA"/>
    <w:rsid w:val="00B43EAE"/>
    <w:rsid w:val="00B641DC"/>
    <w:rsid w:val="00B67596"/>
    <w:rsid w:val="00B676BD"/>
    <w:rsid w:val="00B77E57"/>
    <w:rsid w:val="00B83A83"/>
    <w:rsid w:val="00B84B6E"/>
    <w:rsid w:val="00B866AB"/>
    <w:rsid w:val="00BA0A91"/>
    <w:rsid w:val="00BA482B"/>
    <w:rsid w:val="00BB0F02"/>
    <w:rsid w:val="00BC0057"/>
    <w:rsid w:val="00BC3094"/>
    <w:rsid w:val="00BD2529"/>
    <w:rsid w:val="00BE0721"/>
    <w:rsid w:val="00BF37ED"/>
    <w:rsid w:val="00BF60F8"/>
    <w:rsid w:val="00C07CD3"/>
    <w:rsid w:val="00C07E7C"/>
    <w:rsid w:val="00C236EF"/>
    <w:rsid w:val="00C324AE"/>
    <w:rsid w:val="00C660B0"/>
    <w:rsid w:val="00C80629"/>
    <w:rsid w:val="00CB47C2"/>
    <w:rsid w:val="00CD124F"/>
    <w:rsid w:val="00CD6652"/>
    <w:rsid w:val="00CD6719"/>
    <w:rsid w:val="00CD6B51"/>
    <w:rsid w:val="00CE7927"/>
    <w:rsid w:val="00CF4099"/>
    <w:rsid w:val="00D0145C"/>
    <w:rsid w:val="00D11B38"/>
    <w:rsid w:val="00D45219"/>
    <w:rsid w:val="00D479C9"/>
    <w:rsid w:val="00D63838"/>
    <w:rsid w:val="00D8724A"/>
    <w:rsid w:val="00DB16FD"/>
    <w:rsid w:val="00DB26EE"/>
    <w:rsid w:val="00DB42DD"/>
    <w:rsid w:val="00DB4485"/>
    <w:rsid w:val="00DC0F56"/>
    <w:rsid w:val="00DC21B6"/>
    <w:rsid w:val="00DE1B55"/>
    <w:rsid w:val="00DF2650"/>
    <w:rsid w:val="00E0094E"/>
    <w:rsid w:val="00E31ECB"/>
    <w:rsid w:val="00E352B1"/>
    <w:rsid w:val="00E5561D"/>
    <w:rsid w:val="00E6072D"/>
    <w:rsid w:val="00E801C9"/>
    <w:rsid w:val="00E940EC"/>
    <w:rsid w:val="00EB3C93"/>
    <w:rsid w:val="00EB4635"/>
    <w:rsid w:val="00EC03A4"/>
    <w:rsid w:val="00ED3EE2"/>
    <w:rsid w:val="00F11F25"/>
    <w:rsid w:val="00F123DA"/>
    <w:rsid w:val="00F33A45"/>
    <w:rsid w:val="00F60D9A"/>
    <w:rsid w:val="00FA122D"/>
    <w:rsid w:val="00FA167F"/>
    <w:rsid w:val="00FE7F59"/>
    <w:rsid w:val="00FF3171"/>
    <w:rsid w:val="21253F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E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C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122C2"/>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5122C2"/>
  </w:style>
  <w:style w:type="paragraph" w:styleId="Footer">
    <w:name w:val="footer"/>
    <w:basedOn w:val="Normal"/>
    <w:link w:val="FooterChar"/>
    <w:uiPriority w:val="99"/>
    <w:unhideWhenUsed/>
    <w:rsid w:val="005122C2"/>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5122C2"/>
  </w:style>
  <w:style w:type="paragraph" w:customStyle="1" w:styleId="xmsolistparagraph">
    <w:name w:val="x_msolistparagraph"/>
    <w:basedOn w:val="Normal"/>
    <w:rsid w:val="005122C2"/>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
    <w:basedOn w:val="Normal"/>
    <w:link w:val="ListParagraphChar"/>
    <w:uiPriority w:val="34"/>
    <w:qFormat/>
    <w:rsid w:val="001C28C3"/>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4E4451"/>
    <w:rPr>
      <w:rFonts w:ascii="Calibri" w:eastAsia="Calibri" w:hAnsi="Calibri" w:cs="Times New Roman"/>
      <w:sz w:val="22"/>
      <w:szCs w:val="22"/>
    </w:rPr>
  </w:style>
  <w:style w:type="paragraph" w:customStyle="1" w:styleId="parrafos">
    <w:name w:val="parrafos"/>
    <w:basedOn w:val="Normal"/>
    <w:link w:val="parrafosChar"/>
    <w:qFormat/>
    <w:rsid w:val="004875C5"/>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875C5"/>
    <w:rPr>
      <w:rFonts w:ascii="Cambria" w:eastAsia="Arial Unicode MS" w:hAnsi="Cambria" w:cs="Times New Roman"/>
      <w:color w:val="000000"/>
      <w:sz w:val="20"/>
      <w:szCs w:val="20"/>
      <w:bdr w:val="nil"/>
      <w:lang w:val="es-VE"/>
    </w:rPr>
  </w:style>
  <w:style w:type="character" w:styleId="PageNumber">
    <w:name w:val="page number"/>
    <w:basedOn w:val="DefaultParagraphFont"/>
    <w:uiPriority w:val="99"/>
    <w:semiHidden/>
    <w:unhideWhenUsed/>
    <w:rsid w:val="00B17875"/>
  </w:style>
  <w:style w:type="character" w:styleId="Hyperlink">
    <w:name w:val="Hyperlink"/>
    <w:uiPriority w:val="99"/>
    <w:unhideWhenUsed/>
    <w:rsid w:val="001876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2025-01-23T19:53:00Z</dcterms:created>
  <dcterms:modified xsi:type="dcterms:W3CDTF">2025-01-23T19:53:00Z</dcterms:modified>
</cp:coreProperties>
</file>