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624E" w14:textId="77777777" w:rsidR="00E37CE0" w:rsidRPr="00A37FB0" w:rsidRDefault="00E37CE0" w:rsidP="00E37CE0">
      <w:pPr>
        <w:spacing w:after="0" w:line="240" w:lineRule="auto"/>
        <w:rPr>
          <w:rFonts w:ascii="Cambria" w:hAnsi="Cambria" w:cs="Calibri"/>
          <w:color w:val="000000"/>
          <w:sz w:val="20"/>
          <w:szCs w:val="20"/>
          <w:lang w:val="es-CO"/>
        </w:rPr>
      </w:pPr>
    </w:p>
    <w:p w14:paraId="185D5149" w14:textId="77777777" w:rsidR="00E37CE0" w:rsidRPr="00A37FB0" w:rsidRDefault="00E37CE0" w:rsidP="00E37CE0">
      <w:pPr>
        <w:spacing w:after="0" w:line="240" w:lineRule="auto"/>
        <w:ind w:left="6480" w:firstLine="720"/>
        <w:jc w:val="right"/>
        <w:rPr>
          <w:rFonts w:ascii="Cambria" w:hAnsi="Cambria" w:cs="Calibri"/>
          <w:color w:val="000000"/>
          <w:sz w:val="20"/>
          <w:szCs w:val="20"/>
          <w:lang w:val="es-CO"/>
        </w:rPr>
      </w:pPr>
    </w:p>
    <w:p w14:paraId="4F04163D" w14:textId="77777777" w:rsidR="00E37CE0" w:rsidRPr="00A37FB0" w:rsidRDefault="00E37CE0" w:rsidP="00E37CE0">
      <w:pPr>
        <w:spacing w:after="0" w:line="240" w:lineRule="auto"/>
        <w:ind w:left="6480" w:firstLine="720"/>
        <w:jc w:val="right"/>
        <w:rPr>
          <w:rFonts w:ascii="Cambria" w:hAnsi="Cambria" w:cs="Calibri"/>
          <w:color w:val="000000"/>
          <w:sz w:val="20"/>
          <w:szCs w:val="20"/>
          <w:lang w:val="es-CO"/>
        </w:rPr>
      </w:pPr>
    </w:p>
    <w:p w14:paraId="6AD60F41" w14:textId="61087F24" w:rsidR="00E37CE0" w:rsidRPr="002A1DB0" w:rsidRDefault="00205438" w:rsidP="005A77C9">
      <w:pPr>
        <w:spacing w:after="0" w:line="240" w:lineRule="auto"/>
        <w:ind w:left="6480"/>
        <w:jc w:val="right"/>
        <w:rPr>
          <w:rFonts w:ascii="Cambria" w:hAnsi="Cambria" w:cs="Calibri"/>
          <w:color w:val="000000"/>
          <w:sz w:val="20"/>
          <w:szCs w:val="20"/>
          <w:lang w:val="pt-BR"/>
        </w:rPr>
      </w:pPr>
      <w:r w:rsidRPr="002A1DB0">
        <w:rPr>
          <w:rFonts w:ascii="Cambria" w:hAnsi="Cambria" w:cs="Calibri"/>
          <w:color w:val="000000"/>
          <w:sz w:val="20"/>
          <w:szCs w:val="20"/>
          <w:lang w:val="pt-BR"/>
        </w:rPr>
        <w:t>16</w:t>
      </w:r>
      <w:r w:rsidR="00E37CE0" w:rsidRPr="002A1DB0">
        <w:rPr>
          <w:rFonts w:ascii="Cambria" w:hAnsi="Cambria" w:cs="Calibri"/>
          <w:color w:val="000000"/>
          <w:sz w:val="20"/>
          <w:szCs w:val="20"/>
          <w:lang w:val="pt-BR"/>
        </w:rPr>
        <w:t xml:space="preserve"> de </w:t>
      </w:r>
      <w:r w:rsidRPr="002A1DB0">
        <w:rPr>
          <w:rFonts w:ascii="Cambria" w:hAnsi="Cambria" w:cs="Calibri"/>
          <w:color w:val="000000"/>
          <w:sz w:val="20"/>
          <w:szCs w:val="20"/>
          <w:lang w:val="pt-BR"/>
        </w:rPr>
        <w:t>diciembre</w:t>
      </w:r>
      <w:r w:rsidR="00E37CE0" w:rsidRPr="002A1DB0">
        <w:rPr>
          <w:rFonts w:ascii="Cambria" w:hAnsi="Cambria" w:cs="Calibri"/>
          <w:color w:val="000000"/>
          <w:sz w:val="20"/>
          <w:szCs w:val="20"/>
          <w:lang w:val="pt-BR"/>
        </w:rPr>
        <w:t xml:space="preserve"> de 2023</w:t>
      </w:r>
    </w:p>
    <w:p w14:paraId="31141C70" w14:textId="77777777" w:rsidR="00E37CE0" w:rsidRPr="002A1DB0" w:rsidRDefault="00E37CE0" w:rsidP="00E37CE0">
      <w:pPr>
        <w:spacing w:after="0" w:line="240" w:lineRule="auto"/>
        <w:jc w:val="right"/>
        <w:rPr>
          <w:rFonts w:ascii="Cambria" w:hAnsi="Cambria" w:cs="Calibri"/>
          <w:color w:val="000000"/>
          <w:sz w:val="20"/>
          <w:szCs w:val="20"/>
          <w:lang w:val="pt-BR"/>
        </w:rPr>
      </w:pPr>
    </w:p>
    <w:p w14:paraId="6B93B6D9" w14:textId="42B15424" w:rsidR="00E37CE0" w:rsidRPr="002A1DB0" w:rsidRDefault="00E37CE0" w:rsidP="00E37CE0">
      <w:pPr>
        <w:spacing w:after="0" w:line="240" w:lineRule="auto"/>
        <w:jc w:val="both"/>
        <w:rPr>
          <w:rFonts w:ascii="Cambria" w:hAnsi="Cambria" w:cs="Calibri"/>
          <w:b/>
          <w:color w:val="000000"/>
          <w:sz w:val="20"/>
          <w:szCs w:val="20"/>
          <w:lang w:val="pt-BR"/>
        </w:rPr>
      </w:pPr>
      <w:r w:rsidRPr="002A1DB0">
        <w:rPr>
          <w:rFonts w:ascii="Cambria" w:hAnsi="Cambria" w:cs="Calibri"/>
          <w:b/>
          <w:color w:val="000000"/>
          <w:sz w:val="20"/>
          <w:szCs w:val="20"/>
          <w:lang w:val="pt-BR"/>
        </w:rPr>
        <w:t>REF.:</w:t>
      </w:r>
      <w:bookmarkStart w:id="0" w:name="Peticion_n"/>
      <w:bookmarkEnd w:id="0"/>
      <w:r w:rsidRPr="002A1DB0">
        <w:rPr>
          <w:rFonts w:ascii="Cambria" w:hAnsi="Cambria" w:cs="Calibri"/>
          <w:b/>
          <w:color w:val="000000"/>
          <w:sz w:val="20"/>
          <w:szCs w:val="20"/>
          <w:lang w:val="pt-BR"/>
        </w:rPr>
        <w:tab/>
        <w:t>Caso Nº 12.</w:t>
      </w:r>
      <w:r w:rsidR="00205438" w:rsidRPr="002A1DB0">
        <w:rPr>
          <w:rFonts w:ascii="Cambria" w:hAnsi="Cambria" w:cs="Calibri"/>
          <w:b/>
          <w:color w:val="000000"/>
          <w:sz w:val="20"/>
          <w:szCs w:val="20"/>
          <w:lang w:val="pt-BR"/>
        </w:rPr>
        <w:t>295</w:t>
      </w:r>
    </w:p>
    <w:p w14:paraId="1CDA8B96" w14:textId="76D553FF" w:rsidR="00E37CE0" w:rsidRPr="002A1DB0" w:rsidRDefault="00205438" w:rsidP="00E37CE0">
      <w:pPr>
        <w:tabs>
          <w:tab w:val="left" w:pos="7165"/>
        </w:tabs>
        <w:spacing w:after="0" w:line="240" w:lineRule="auto"/>
        <w:ind w:firstLine="720"/>
        <w:jc w:val="both"/>
        <w:rPr>
          <w:rFonts w:ascii="Cambria" w:hAnsi="Cambria"/>
          <w:b/>
          <w:sz w:val="20"/>
          <w:szCs w:val="20"/>
          <w:lang w:val="pt-BR"/>
        </w:rPr>
      </w:pPr>
      <w:r w:rsidRPr="002A1DB0">
        <w:rPr>
          <w:rFonts w:ascii="Cambria" w:hAnsi="Cambria"/>
          <w:b/>
          <w:sz w:val="20"/>
          <w:szCs w:val="20"/>
          <w:lang w:val="pt-BR"/>
        </w:rPr>
        <w:t>Jesús Ramiro Zapata</w:t>
      </w:r>
      <w:r w:rsidR="00E37CE0" w:rsidRPr="002A1DB0">
        <w:rPr>
          <w:rFonts w:ascii="Cambria" w:hAnsi="Cambria"/>
          <w:b/>
          <w:sz w:val="20"/>
          <w:szCs w:val="20"/>
          <w:lang w:val="pt-BR"/>
        </w:rPr>
        <w:t xml:space="preserve"> </w:t>
      </w:r>
    </w:p>
    <w:p w14:paraId="0729AA93" w14:textId="77777777" w:rsidR="00E37CE0" w:rsidRPr="00A37FB0" w:rsidRDefault="00E37CE0" w:rsidP="00E37CE0">
      <w:pPr>
        <w:tabs>
          <w:tab w:val="left" w:pos="7165"/>
        </w:tabs>
        <w:spacing w:after="0" w:line="240" w:lineRule="auto"/>
        <w:ind w:firstLine="720"/>
        <w:jc w:val="both"/>
        <w:rPr>
          <w:rFonts w:ascii="Cambria" w:hAnsi="Cambria" w:cs="Calibri"/>
          <w:b/>
          <w:color w:val="000000"/>
          <w:sz w:val="20"/>
          <w:szCs w:val="20"/>
          <w:lang w:val="es-CO"/>
        </w:rPr>
      </w:pPr>
      <w:r w:rsidRPr="00A37FB0">
        <w:rPr>
          <w:rFonts w:ascii="Cambria" w:hAnsi="Cambria" w:cs="Calibri"/>
          <w:b/>
          <w:color w:val="000000"/>
          <w:sz w:val="20"/>
          <w:szCs w:val="20"/>
          <w:lang w:val="es-CO"/>
        </w:rPr>
        <w:t>Colombia</w:t>
      </w:r>
    </w:p>
    <w:p w14:paraId="567B3717" w14:textId="77777777" w:rsidR="00E37CE0" w:rsidRPr="00A37FB0" w:rsidRDefault="00E37CE0" w:rsidP="00653CA6">
      <w:pPr>
        <w:tabs>
          <w:tab w:val="left" w:pos="7165"/>
        </w:tabs>
        <w:spacing w:after="0" w:line="240" w:lineRule="auto"/>
        <w:jc w:val="both"/>
        <w:rPr>
          <w:rFonts w:ascii="Cambria" w:hAnsi="Cambria" w:cs="Calibri"/>
          <w:b/>
          <w:color w:val="000000"/>
          <w:sz w:val="20"/>
          <w:szCs w:val="20"/>
          <w:lang w:val="es-CO"/>
        </w:rPr>
      </w:pPr>
    </w:p>
    <w:p w14:paraId="4FFD55F4" w14:textId="77777777" w:rsidR="00E37CE0" w:rsidRPr="00A37FB0" w:rsidRDefault="00E37CE0" w:rsidP="00E37CE0">
      <w:pPr>
        <w:spacing w:after="0" w:line="240" w:lineRule="auto"/>
        <w:jc w:val="both"/>
        <w:rPr>
          <w:rFonts w:ascii="Cambria" w:hAnsi="Cambria" w:cs="Calibri"/>
          <w:color w:val="000000"/>
          <w:sz w:val="20"/>
          <w:szCs w:val="20"/>
          <w:lang w:val="es-CO"/>
        </w:rPr>
      </w:pPr>
      <w:r w:rsidRPr="00A37FB0">
        <w:rPr>
          <w:rFonts w:ascii="Cambria" w:hAnsi="Cambria" w:cs="Calibri"/>
          <w:color w:val="000000"/>
          <w:sz w:val="20"/>
          <w:szCs w:val="20"/>
          <w:lang w:val="es-CO"/>
        </w:rPr>
        <w:t>Señor Secretario:</w:t>
      </w:r>
    </w:p>
    <w:p w14:paraId="44D7615C" w14:textId="77777777" w:rsidR="00E37CE0" w:rsidRPr="00A37FB0" w:rsidRDefault="00E37CE0" w:rsidP="00E37CE0">
      <w:pPr>
        <w:spacing w:after="0" w:line="240" w:lineRule="auto"/>
        <w:jc w:val="both"/>
        <w:rPr>
          <w:rFonts w:ascii="Cambria" w:hAnsi="Cambria" w:cs="Calibri"/>
          <w:color w:val="000000"/>
          <w:sz w:val="20"/>
          <w:szCs w:val="20"/>
          <w:lang w:val="es-CO"/>
        </w:rPr>
      </w:pPr>
    </w:p>
    <w:p w14:paraId="27B78456" w14:textId="4AD3D2AA" w:rsidR="00F40DD6" w:rsidRPr="00A37FB0" w:rsidRDefault="009C3E46" w:rsidP="009C3E46">
      <w:pPr>
        <w:tabs>
          <w:tab w:val="left" w:pos="360"/>
        </w:tabs>
        <w:spacing w:after="0" w:line="240" w:lineRule="auto"/>
        <w:jc w:val="both"/>
        <w:rPr>
          <w:rFonts w:ascii="Cambria" w:hAnsi="Cambria"/>
          <w:sz w:val="20"/>
          <w:szCs w:val="20"/>
          <w:lang w:val="es-CO"/>
        </w:rPr>
      </w:pPr>
      <w:r w:rsidRPr="00A37FB0">
        <w:rPr>
          <w:rFonts w:ascii="Cambria" w:hAnsi="Cambria" w:cs="Calibri"/>
          <w:color w:val="000000"/>
          <w:sz w:val="20"/>
          <w:szCs w:val="20"/>
          <w:lang w:val="es-CO"/>
        </w:rPr>
        <w:tab/>
      </w:r>
      <w:r w:rsidR="00E37CE0" w:rsidRPr="00A37FB0">
        <w:rPr>
          <w:rFonts w:ascii="Cambria" w:hAnsi="Cambria" w:cs="Calibri"/>
          <w:color w:val="000000"/>
          <w:sz w:val="20"/>
          <w:szCs w:val="20"/>
          <w:lang w:val="es-CO"/>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E37CE0" w:rsidRPr="00A37FB0">
        <w:rPr>
          <w:rFonts w:ascii="Cambria" w:hAnsi="Cambria" w:cs="Calibri"/>
          <w:color w:val="000000"/>
          <w:sz w:val="20"/>
          <w:szCs w:val="20"/>
          <w:lang w:val="es-CO"/>
        </w:rPr>
        <w:t>12.</w:t>
      </w:r>
      <w:r w:rsidR="00205438" w:rsidRPr="00A37FB0">
        <w:rPr>
          <w:rFonts w:ascii="Cambria" w:hAnsi="Cambria" w:cs="Calibri"/>
          <w:color w:val="000000"/>
          <w:sz w:val="20"/>
          <w:szCs w:val="20"/>
          <w:lang w:val="es-CO"/>
        </w:rPr>
        <w:t>295</w:t>
      </w:r>
      <w:r w:rsidR="00E37CE0" w:rsidRPr="00A37FB0">
        <w:rPr>
          <w:rFonts w:ascii="Cambria" w:hAnsi="Cambria" w:cs="Calibri"/>
          <w:color w:val="000000"/>
          <w:sz w:val="20"/>
          <w:szCs w:val="20"/>
          <w:lang w:val="es-CO"/>
        </w:rPr>
        <w:t xml:space="preserve"> – </w:t>
      </w:r>
      <w:r w:rsidR="00487174" w:rsidRPr="00A37FB0">
        <w:rPr>
          <w:rFonts w:ascii="Cambria" w:hAnsi="Cambria" w:cs="Calibri"/>
          <w:color w:val="000000"/>
          <w:sz w:val="20"/>
          <w:szCs w:val="20"/>
          <w:lang w:val="es-CO"/>
        </w:rPr>
        <w:t>Jesús Ramiro Zapata</w:t>
      </w:r>
      <w:r w:rsidR="00E37CE0" w:rsidRPr="00A37FB0">
        <w:rPr>
          <w:rFonts w:ascii="Cambria" w:hAnsi="Cambria" w:cs="Calibri"/>
          <w:color w:val="000000"/>
          <w:sz w:val="20"/>
          <w:szCs w:val="20"/>
          <w:lang w:val="es-CO"/>
        </w:rPr>
        <w:t xml:space="preserve"> de la República de Colombia (en adelante “el Estado de Colombia”, “Estado colombiano” o “Colombia”). </w:t>
      </w:r>
      <w:r w:rsidR="00653CA6" w:rsidRPr="00A37FB0">
        <w:rPr>
          <w:rFonts w:ascii="Cambria" w:hAnsi="Cambria"/>
          <w:sz w:val="20"/>
          <w:szCs w:val="20"/>
          <w:lang w:val="es-CO"/>
        </w:rPr>
        <w:t xml:space="preserve">El caso se refiere a la responsabilidad internacional del Estado colombiano por el asesinato del defensor de derechos humanos Jesús Ramiro Zapata el 3 de mayo de 2000 en el Municipio de Segovia, Departamento de Antioquia. </w:t>
      </w:r>
    </w:p>
    <w:p w14:paraId="69001278" w14:textId="77777777" w:rsidR="00F40DD6" w:rsidRPr="00A37FB0" w:rsidRDefault="00F40DD6" w:rsidP="00487174">
      <w:pPr>
        <w:spacing w:after="0" w:line="240" w:lineRule="auto"/>
        <w:ind w:firstLine="540"/>
        <w:jc w:val="both"/>
        <w:rPr>
          <w:rFonts w:ascii="Cambria" w:hAnsi="Cambria"/>
          <w:sz w:val="20"/>
          <w:szCs w:val="20"/>
          <w:lang w:val="es-CO"/>
        </w:rPr>
      </w:pPr>
    </w:p>
    <w:p w14:paraId="075B4315" w14:textId="0A8CC243" w:rsidR="00793F3F" w:rsidRPr="00A37FB0" w:rsidRDefault="00653CA6" w:rsidP="00C87BB8">
      <w:pPr>
        <w:tabs>
          <w:tab w:val="left" w:pos="360"/>
        </w:tabs>
        <w:spacing w:after="0" w:line="240" w:lineRule="auto"/>
        <w:ind w:firstLine="360"/>
        <w:jc w:val="both"/>
        <w:rPr>
          <w:rFonts w:ascii="Cambria" w:eastAsia="Arial Unicode MS" w:hAnsi="Cambria"/>
          <w:color w:val="000000"/>
          <w:sz w:val="20"/>
          <w:szCs w:val="20"/>
          <w:bdr w:val="nil"/>
          <w:lang w:val="es-CO"/>
        </w:rPr>
      </w:pPr>
      <w:r w:rsidRPr="00A37FB0">
        <w:rPr>
          <w:rFonts w:ascii="Cambria" w:hAnsi="Cambria"/>
          <w:sz w:val="20"/>
          <w:szCs w:val="20"/>
          <w:lang w:val="es-CO"/>
        </w:rPr>
        <w:t>Los hechos del caso se enmarcan en un contexto general de violencia política producto del conflicto armado en Colombia cuya influencia abarcó al Municipio de Segovia.</w:t>
      </w:r>
      <w:r w:rsidR="00FA6D18" w:rsidRPr="00A37FB0">
        <w:rPr>
          <w:rFonts w:ascii="Cambria" w:hAnsi="Cambria"/>
          <w:sz w:val="20"/>
          <w:szCs w:val="20"/>
          <w:lang w:val="es-CO"/>
        </w:rPr>
        <w:t xml:space="preserve"> </w:t>
      </w:r>
      <w:r w:rsidR="00F40DD6" w:rsidRPr="00A37FB0">
        <w:rPr>
          <w:rFonts w:ascii="Cambria" w:eastAsia="Arial Unicode MS" w:hAnsi="Cambria"/>
          <w:color w:val="000000"/>
          <w:sz w:val="20"/>
          <w:szCs w:val="20"/>
          <w:bdr w:val="nil"/>
          <w:lang w:val="es-CO"/>
        </w:rPr>
        <w:t xml:space="preserve">El señor </w:t>
      </w:r>
      <w:r w:rsidRPr="00A37FB0">
        <w:rPr>
          <w:rFonts w:ascii="Cambria" w:eastAsia="Arial Unicode MS" w:hAnsi="Cambria"/>
          <w:color w:val="000000"/>
          <w:sz w:val="20"/>
          <w:szCs w:val="20"/>
          <w:bdr w:val="nil"/>
          <w:lang w:val="es-CO"/>
        </w:rPr>
        <w:t>Zapata era docente y defensor de derechos humanos</w:t>
      </w:r>
      <w:r w:rsidR="00C87BB8" w:rsidRPr="00A37FB0">
        <w:rPr>
          <w:rFonts w:ascii="Cambria" w:eastAsia="Arial Unicode MS" w:hAnsi="Cambria"/>
          <w:color w:val="000000"/>
          <w:sz w:val="20"/>
          <w:szCs w:val="20"/>
          <w:bdr w:val="nil"/>
          <w:lang w:val="es-CO"/>
        </w:rPr>
        <w:t xml:space="preserve"> que ejerció sus funciones </w:t>
      </w:r>
      <w:r w:rsidR="004B4C3F" w:rsidRPr="00A37FB0">
        <w:rPr>
          <w:rFonts w:ascii="Cambria" w:eastAsia="Arial Unicode MS" w:hAnsi="Cambria"/>
          <w:color w:val="000000"/>
          <w:sz w:val="20"/>
          <w:szCs w:val="20"/>
          <w:bdr w:val="nil"/>
          <w:lang w:val="es-CO"/>
        </w:rPr>
        <w:t xml:space="preserve">como </w:t>
      </w:r>
      <w:r w:rsidRPr="00A37FB0">
        <w:rPr>
          <w:rFonts w:ascii="Cambria" w:eastAsia="Arial Unicode MS" w:hAnsi="Cambria"/>
          <w:color w:val="000000"/>
          <w:sz w:val="20"/>
          <w:szCs w:val="20"/>
          <w:bdr w:val="nil"/>
          <w:lang w:val="es-CO"/>
        </w:rPr>
        <w:t>miembro del Comité de Derechos Humanos de Segovia y del CODEHSEL</w:t>
      </w:r>
      <w:r w:rsidR="002B460F" w:rsidRPr="00A37FB0">
        <w:rPr>
          <w:rFonts w:ascii="Cambria" w:eastAsia="Arial Unicode MS" w:hAnsi="Cambria"/>
          <w:color w:val="000000"/>
          <w:sz w:val="20"/>
          <w:szCs w:val="20"/>
          <w:bdr w:val="nil"/>
          <w:lang w:val="es-CO"/>
        </w:rPr>
        <w:t xml:space="preserve"> </w:t>
      </w:r>
      <w:r w:rsidR="00557D55" w:rsidRPr="00A37FB0">
        <w:rPr>
          <w:rFonts w:ascii="Cambria" w:eastAsia="Arial Unicode MS" w:hAnsi="Cambria"/>
          <w:color w:val="000000"/>
          <w:sz w:val="20"/>
          <w:szCs w:val="20"/>
          <w:bdr w:val="nil"/>
          <w:lang w:val="es-CO"/>
        </w:rPr>
        <w:t>en la misma época en que los miembros de este tipo de organismos eran identificados como “enemigos internos”</w:t>
      </w:r>
      <w:r w:rsidR="003E4AEA">
        <w:rPr>
          <w:rFonts w:ascii="Cambria" w:eastAsia="Arial Unicode MS" w:hAnsi="Cambria"/>
          <w:color w:val="000000"/>
          <w:sz w:val="20"/>
          <w:szCs w:val="20"/>
          <w:bdr w:val="nil"/>
          <w:lang w:val="es-CO"/>
        </w:rPr>
        <w:t xml:space="preserve">, </w:t>
      </w:r>
      <w:r w:rsidR="00557D55" w:rsidRPr="00A37FB0">
        <w:rPr>
          <w:rFonts w:ascii="Cambria" w:eastAsia="Arial Unicode MS" w:hAnsi="Cambria"/>
          <w:color w:val="000000"/>
          <w:sz w:val="20"/>
          <w:szCs w:val="20"/>
          <w:bdr w:val="nil"/>
          <w:lang w:val="es-CO"/>
        </w:rPr>
        <w:t>doctrina instituida en el marco de la lucha antisubversiva y ejecutada por militares y paramilitares</w:t>
      </w:r>
      <w:r w:rsidRPr="00A37FB0">
        <w:rPr>
          <w:rFonts w:ascii="Cambria" w:eastAsia="Arial Unicode MS" w:hAnsi="Cambria"/>
          <w:color w:val="000000"/>
          <w:sz w:val="20"/>
          <w:szCs w:val="20"/>
          <w:bdr w:val="nil"/>
          <w:lang w:val="es-CO"/>
        </w:rPr>
        <w:t xml:space="preserve">. En el ejercicio de sus labores como defensor denunció la vinculación de las fuerzas de seguridad del Estado con elementos paramilitares en las masacres de 1988 y 1996 ocurridas en Segovia. </w:t>
      </w:r>
    </w:p>
    <w:p w14:paraId="6FEA992C" w14:textId="77777777" w:rsidR="00793F3F" w:rsidRPr="00A37FB0" w:rsidRDefault="00793F3F" w:rsidP="00C87BB8">
      <w:pPr>
        <w:tabs>
          <w:tab w:val="left" w:pos="360"/>
        </w:tabs>
        <w:spacing w:after="0" w:line="240" w:lineRule="auto"/>
        <w:ind w:firstLine="360"/>
        <w:jc w:val="both"/>
        <w:rPr>
          <w:rFonts w:ascii="Cambria" w:eastAsia="Arial Unicode MS" w:hAnsi="Cambria"/>
          <w:color w:val="000000"/>
          <w:sz w:val="20"/>
          <w:szCs w:val="20"/>
          <w:bdr w:val="nil"/>
          <w:lang w:val="es-CO"/>
        </w:rPr>
      </w:pPr>
    </w:p>
    <w:p w14:paraId="1A5928EC" w14:textId="7C50AABB" w:rsidR="00E43D52" w:rsidRPr="00A37FB0" w:rsidRDefault="00B3354A" w:rsidP="007E7E6D">
      <w:pPr>
        <w:autoSpaceDE w:val="0"/>
        <w:autoSpaceDN w:val="0"/>
        <w:adjustRightInd w:val="0"/>
        <w:spacing w:after="0" w:line="240" w:lineRule="auto"/>
        <w:ind w:firstLine="360"/>
        <w:jc w:val="both"/>
        <w:rPr>
          <w:rFonts w:ascii="Cambria" w:eastAsia="Arial Unicode MS" w:hAnsi="Cambria"/>
          <w:color w:val="000000"/>
          <w:sz w:val="20"/>
          <w:szCs w:val="20"/>
          <w:bdr w:val="nil"/>
          <w:lang w:val="es-CO"/>
        </w:rPr>
      </w:pPr>
      <w:r w:rsidRPr="00A37FB0">
        <w:rPr>
          <w:rFonts w:ascii="Cambria" w:eastAsia="Arial Unicode MS" w:hAnsi="Cambria"/>
          <w:color w:val="000000"/>
          <w:sz w:val="20"/>
          <w:szCs w:val="20"/>
          <w:bdr w:val="nil"/>
          <w:lang w:val="es-CO"/>
        </w:rPr>
        <w:t xml:space="preserve">El señor Zapata fue víctima de una serie de actos de acoso, hostigamiento y criminalización </w:t>
      </w:r>
      <w:r w:rsidR="007E7E6D" w:rsidRPr="00A37FB0">
        <w:rPr>
          <w:rFonts w:ascii="Cambria" w:eastAsia="Arial Unicode MS" w:hAnsi="Cambria"/>
          <w:color w:val="000000"/>
          <w:sz w:val="20"/>
          <w:szCs w:val="20"/>
          <w:bdr w:val="nil"/>
          <w:lang w:val="es-CO"/>
        </w:rPr>
        <w:t>por</w:t>
      </w:r>
      <w:r w:rsidRPr="00A37FB0">
        <w:rPr>
          <w:rFonts w:ascii="Cambria" w:eastAsia="Arial Unicode MS" w:hAnsi="Cambria"/>
          <w:color w:val="000000"/>
          <w:sz w:val="20"/>
          <w:szCs w:val="20"/>
          <w:bdr w:val="nil"/>
          <w:lang w:val="es-CO"/>
        </w:rPr>
        <w:t xml:space="preserve"> su labor como defensor de derechos humanos</w:t>
      </w:r>
      <w:r w:rsidR="00FA3BB1" w:rsidRPr="00A37FB0">
        <w:rPr>
          <w:rFonts w:ascii="Cambria" w:eastAsia="Arial Unicode MS" w:hAnsi="Cambria"/>
          <w:color w:val="000000"/>
          <w:sz w:val="20"/>
          <w:szCs w:val="20"/>
          <w:bdr w:val="nil"/>
          <w:lang w:val="es-CO"/>
        </w:rPr>
        <w:t xml:space="preserve">, </w:t>
      </w:r>
      <w:r w:rsidR="004B7E76" w:rsidRPr="00A37FB0">
        <w:rPr>
          <w:rFonts w:ascii="Cambria" w:eastAsia="Arial Unicode MS" w:hAnsi="Cambria"/>
          <w:color w:val="000000"/>
          <w:sz w:val="20"/>
          <w:szCs w:val="20"/>
          <w:bdr w:val="nil"/>
          <w:lang w:val="es-CO"/>
        </w:rPr>
        <w:t>incluyendo</w:t>
      </w:r>
      <w:r w:rsidR="005F081B" w:rsidRPr="00A37FB0">
        <w:rPr>
          <w:rFonts w:ascii="Cambria" w:eastAsia="Arial Unicode MS" w:hAnsi="Cambria"/>
          <w:color w:val="000000"/>
          <w:sz w:val="20"/>
          <w:szCs w:val="20"/>
          <w:bdr w:val="nil"/>
          <w:lang w:val="es-CO"/>
        </w:rPr>
        <w:t xml:space="preserve"> la apertura </w:t>
      </w:r>
      <w:r w:rsidR="00070ABC" w:rsidRPr="00A37FB0">
        <w:rPr>
          <w:rFonts w:ascii="Cambria" w:eastAsia="Arial Unicode MS" w:hAnsi="Cambria"/>
          <w:color w:val="000000"/>
          <w:sz w:val="20"/>
          <w:szCs w:val="20"/>
          <w:bdr w:val="nil"/>
          <w:lang w:val="es-CO"/>
        </w:rPr>
        <w:t xml:space="preserve">de múltiples procesos judiciales por supuestos vínculos con elementos subversivos y su </w:t>
      </w:r>
      <w:r w:rsidR="00042E0D" w:rsidRPr="00A37FB0">
        <w:rPr>
          <w:rFonts w:ascii="Cambria" w:eastAsia="Arial Unicode MS" w:hAnsi="Cambria"/>
          <w:color w:val="000000"/>
          <w:sz w:val="20"/>
          <w:szCs w:val="20"/>
          <w:bdr w:val="nil"/>
          <w:lang w:val="es-CO"/>
        </w:rPr>
        <w:t xml:space="preserve">supuesta </w:t>
      </w:r>
      <w:r w:rsidR="00070ABC" w:rsidRPr="00A37FB0">
        <w:rPr>
          <w:rFonts w:ascii="Cambria" w:eastAsia="Arial Unicode MS" w:hAnsi="Cambria"/>
          <w:color w:val="000000"/>
          <w:sz w:val="20"/>
          <w:szCs w:val="20"/>
          <w:bdr w:val="nil"/>
          <w:lang w:val="es-CO"/>
        </w:rPr>
        <w:t>participación en actos criminales</w:t>
      </w:r>
      <w:r w:rsidRPr="00A37FB0">
        <w:rPr>
          <w:rFonts w:ascii="Cambria" w:eastAsia="Arial Unicode MS" w:hAnsi="Cambria"/>
          <w:color w:val="000000"/>
          <w:sz w:val="20"/>
          <w:szCs w:val="20"/>
          <w:bdr w:val="nil"/>
          <w:lang w:val="es-CO"/>
        </w:rPr>
        <w:t>.</w:t>
      </w:r>
      <w:r w:rsidR="007A257B" w:rsidRPr="00A37FB0">
        <w:rPr>
          <w:rFonts w:ascii="Cambria" w:eastAsia="Arial Unicode MS" w:hAnsi="Cambria"/>
          <w:color w:val="000000"/>
          <w:sz w:val="20"/>
          <w:szCs w:val="20"/>
          <w:bdr w:val="nil"/>
          <w:lang w:val="es-CO"/>
        </w:rPr>
        <w:t xml:space="preserve"> El señor Zapata también fue objeto de investigaciones de inteligencia en las que se le calificó categóricamente como integrante de milicias y de grupos subversivos, como ideólogo y extremista, y </w:t>
      </w:r>
      <w:r w:rsidR="009B6CA0" w:rsidRPr="00A37FB0">
        <w:rPr>
          <w:rFonts w:ascii="Cambria" w:eastAsia="Arial Unicode MS" w:hAnsi="Cambria"/>
          <w:color w:val="000000"/>
          <w:sz w:val="20"/>
          <w:szCs w:val="20"/>
          <w:bdr w:val="nil"/>
          <w:lang w:val="es-CO"/>
        </w:rPr>
        <w:t xml:space="preserve">se alegó que </w:t>
      </w:r>
      <w:r w:rsidR="007A257B" w:rsidRPr="00A37FB0">
        <w:rPr>
          <w:rFonts w:ascii="Cambria" w:eastAsia="Arial Unicode MS" w:hAnsi="Cambria"/>
          <w:color w:val="000000"/>
          <w:sz w:val="20"/>
          <w:szCs w:val="20"/>
          <w:bdr w:val="nil"/>
          <w:lang w:val="es-CO"/>
        </w:rPr>
        <w:t>su labor de defensa de los derechos humanos era meramente una fachada.</w:t>
      </w:r>
      <w:r w:rsidRPr="00A37FB0">
        <w:rPr>
          <w:rFonts w:ascii="Cambria" w:eastAsia="Arial Unicode MS" w:hAnsi="Cambria"/>
          <w:color w:val="000000"/>
          <w:sz w:val="20"/>
          <w:szCs w:val="20"/>
          <w:bdr w:val="nil"/>
          <w:lang w:val="es-CO"/>
        </w:rPr>
        <w:t xml:space="preserve"> </w:t>
      </w:r>
    </w:p>
    <w:p w14:paraId="24FA8AC0" w14:textId="77777777" w:rsidR="00845CE8" w:rsidRPr="00A37FB0" w:rsidRDefault="00845CE8" w:rsidP="00845CE8">
      <w:pPr>
        <w:tabs>
          <w:tab w:val="left" w:pos="360"/>
        </w:tabs>
        <w:spacing w:after="0" w:line="240" w:lineRule="auto"/>
        <w:jc w:val="both"/>
        <w:rPr>
          <w:rFonts w:ascii="Cambria" w:eastAsia="Arial Unicode MS" w:hAnsi="Cambria"/>
          <w:color w:val="000000"/>
          <w:sz w:val="20"/>
          <w:szCs w:val="20"/>
          <w:bdr w:val="nil"/>
          <w:lang w:val="es-CO"/>
        </w:rPr>
      </w:pPr>
    </w:p>
    <w:p w14:paraId="1AB77BA9" w14:textId="57F55AA2" w:rsidR="00845CE8" w:rsidRPr="00A37FB0" w:rsidRDefault="007F4608" w:rsidP="009B6CA0">
      <w:pPr>
        <w:autoSpaceDE w:val="0"/>
        <w:autoSpaceDN w:val="0"/>
        <w:adjustRightInd w:val="0"/>
        <w:spacing w:after="0" w:line="240" w:lineRule="auto"/>
        <w:ind w:firstLine="360"/>
        <w:jc w:val="both"/>
        <w:rPr>
          <w:rFonts w:ascii="Cambria" w:eastAsiaTheme="minorHAnsi" w:hAnsi="Cambria" w:cs="Cambria"/>
          <w:sz w:val="20"/>
          <w:szCs w:val="20"/>
          <w:lang w:val="es-CO"/>
          <w14:ligatures w14:val="standardContextual"/>
        </w:rPr>
      </w:pPr>
      <w:r w:rsidRPr="00A37FB0">
        <w:rPr>
          <w:rFonts w:ascii="Cambria" w:eastAsia="Arial Unicode MS" w:hAnsi="Cambria"/>
          <w:color w:val="000000"/>
          <w:sz w:val="20"/>
          <w:szCs w:val="20"/>
          <w:bdr w:val="nil"/>
          <w:lang w:val="es-CO"/>
        </w:rPr>
        <w:t xml:space="preserve">Entre otros hechos de amenazas y hostigamiento, </w:t>
      </w:r>
      <w:r w:rsidR="007A257B" w:rsidRPr="00A37FB0">
        <w:rPr>
          <w:rFonts w:ascii="Cambria" w:eastAsia="Arial Unicode MS" w:hAnsi="Cambria"/>
          <w:color w:val="000000"/>
          <w:sz w:val="20"/>
          <w:szCs w:val="20"/>
          <w:bdr w:val="nil"/>
          <w:lang w:val="es-CO"/>
        </w:rPr>
        <w:t>en 1996 se realizó un allanamiento a la vivienda del señor Zapata bajo el entendido de que existía información que arrojaba que en dicha vivienda se escondía material explosivo de guerra</w:t>
      </w:r>
      <w:r w:rsidR="009B6CA0" w:rsidRPr="00A37FB0">
        <w:rPr>
          <w:rFonts w:ascii="Cambria" w:eastAsia="Arial Unicode MS" w:hAnsi="Cambria"/>
          <w:color w:val="000000"/>
          <w:sz w:val="20"/>
          <w:szCs w:val="20"/>
          <w:bdr w:val="nil"/>
          <w:lang w:val="es-CO"/>
        </w:rPr>
        <w:t>. E</w:t>
      </w:r>
      <w:r w:rsidR="00845CE8" w:rsidRPr="00A37FB0">
        <w:rPr>
          <w:rFonts w:ascii="Cambria" w:eastAsia="Arial Unicode MS" w:hAnsi="Cambria"/>
          <w:color w:val="000000"/>
          <w:sz w:val="20"/>
          <w:szCs w:val="20"/>
          <w:bdr w:val="nil"/>
          <w:lang w:val="es-CO"/>
        </w:rPr>
        <w:t>l 17 de julio de 1996 fue detenido sin orden de captura y se le inició un procedimiento por falsificación de documentos bajo el único argumento de que su fotografía no era fiel a la imagen real</w:t>
      </w:r>
      <w:r w:rsidR="00113315" w:rsidRPr="00A37FB0">
        <w:rPr>
          <w:rFonts w:ascii="Cambria" w:eastAsia="Arial Unicode MS" w:hAnsi="Cambria"/>
          <w:color w:val="000000"/>
          <w:sz w:val="20"/>
          <w:szCs w:val="20"/>
          <w:bdr w:val="nil"/>
          <w:lang w:val="es-CO"/>
        </w:rPr>
        <w:t xml:space="preserve">. </w:t>
      </w:r>
      <w:r w:rsidR="00113315" w:rsidRPr="00A37FB0">
        <w:rPr>
          <w:rFonts w:ascii="Cambria" w:eastAsiaTheme="minorHAnsi" w:hAnsi="Cambria" w:cs="Cambria"/>
          <w:sz w:val="20"/>
          <w:szCs w:val="20"/>
          <w:lang w:val="es-CO"/>
          <w14:ligatures w14:val="standardContextual"/>
        </w:rPr>
        <w:t>Al día siguiente de lo ocurrido, en la vía pública, una mujer que se identificó como Fiscal Local 245 de Medellín indicó al señor Zapata que volvía a ser detenido, dado que era considerado un sujeto peligroso, por lo cual estuvo 5 horas bajo custodia</w:t>
      </w:r>
      <w:r w:rsidR="00BF7535">
        <w:rPr>
          <w:rFonts w:ascii="Cambria" w:eastAsiaTheme="minorHAnsi" w:hAnsi="Cambria" w:cs="Cambria"/>
          <w:sz w:val="20"/>
          <w:szCs w:val="20"/>
          <w:lang w:val="es-CO"/>
          <w14:ligatures w14:val="standardContextual"/>
        </w:rPr>
        <w:t>. E</w:t>
      </w:r>
      <w:r w:rsidRPr="00A37FB0">
        <w:rPr>
          <w:rFonts w:ascii="Cambria" w:eastAsiaTheme="minorHAnsi" w:hAnsi="Cambria" w:cs="Cambria"/>
          <w:sz w:val="20"/>
          <w:szCs w:val="20"/>
          <w:lang w:val="es-CO"/>
          <w14:ligatures w14:val="standardContextual"/>
        </w:rPr>
        <w:t xml:space="preserve">l 5 marzo de 1997 detectó la presencia de personas sospechosas y armadas en las inmediaciones del colegio en el que desempeñaba sus funciones como docente. </w:t>
      </w:r>
    </w:p>
    <w:p w14:paraId="5D195200" w14:textId="77777777" w:rsidR="002C62A3" w:rsidRPr="00A37FB0" w:rsidRDefault="002C62A3" w:rsidP="007F4608">
      <w:pPr>
        <w:autoSpaceDE w:val="0"/>
        <w:autoSpaceDN w:val="0"/>
        <w:adjustRightInd w:val="0"/>
        <w:spacing w:after="0" w:line="240" w:lineRule="auto"/>
        <w:rPr>
          <w:rFonts w:ascii="Cambria" w:eastAsiaTheme="minorHAnsi" w:hAnsi="Cambria" w:cs="Cambria"/>
          <w:sz w:val="20"/>
          <w:szCs w:val="20"/>
          <w:lang w:val="es-CO"/>
          <w14:ligatures w14:val="standardContextual"/>
        </w:rPr>
      </w:pPr>
    </w:p>
    <w:p w14:paraId="5D74E909" w14:textId="190425D0" w:rsidR="00653CA6" w:rsidRPr="00A37FB0" w:rsidRDefault="002C62A3" w:rsidP="0063305A">
      <w:pPr>
        <w:autoSpaceDE w:val="0"/>
        <w:autoSpaceDN w:val="0"/>
        <w:adjustRightInd w:val="0"/>
        <w:spacing w:after="0" w:line="240" w:lineRule="auto"/>
        <w:ind w:firstLine="360"/>
        <w:jc w:val="both"/>
        <w:rPr>
          <w:rFonts w:ascii="Cambria" w:eastAsia="Arial Unicode MS" w:hAnsi="Cambria"/>
          <w:color w:val="000000"/>
          <w:sz w:val="20"/>
          <w:szCs w:val="20"/>
          <w:bdr w:val="nil"/>
          <w:lang w:val="es-CO"/>
        </w:rPr>
      </w:pPr>
      <w:r w:rsidRPr="00A37FB0">
        <w:rPr>
          <w:rFonts w:ascii="Cambria" w:eastAsiaTheme="minorHAnsi" w:hAnsi="Cambria" w:cs="Cambria"/>
          <w:sz w:val="20"/>
          <w:szCs w:val="20"/>
          <w:lang w:val="es-CO"/>
          <w14:ligatures w14:val="standardContextual"/>
        </w:rPr>
        <w:t>Durante el segundo semestre de 1997 el señor Zapata se desplazó a M</w:t>
      </w:r>
      <w:r w:rsidR="00DC1E9B" w:rsidRPr="00A37FB0">
        <w:rPr>
          <w:rFonts w:ascii="Cambria" w:eastAsiaTheme="minorHAnsi" w:hAnsi="Cambria" w:cs="Cambria"/>
          <w:sz w:val="20"/>
          <w:szCs w:val="20"/>
          <w:lang w:val="es-CO"/>
          <w14:ligatures w14:val="standardContextual"/>
        </w:rPr>
        <w:t xml:space="preserve">edellín </w:t>
      </w:r>
      <w:r w:rsidR="00A82978" w:rsidRPr="00A37FB0">
        <w:rPr>
          <w:rFonts w:ascii="Cambria" w:eastAsiaTheme="minorHAnsi" w:hAnsi="Cambria" w:cs="Cambria"/>
          <w:sz w:val="20"/>
          <w:szCs w:val="20"/>
          <w:lang w:val="es-CO"/>
          <w14:ligatures w14:val="standardContextual"/>
        </w:rPr>
        <w:t>para resguardar su vida e integridad</w:t>
      </w:r>
      <w:r w:rsidRPr="00A37FB0">
        <w:rPr>
          <w:rFonts w:ascii="Cambria" w:eastAsiaTheme="minorHAnsi" w:hAnsi="Cambria" w:cs="Cambria"/>
          <w:sz w:val="20"/>
          <w:szCs w:val="20"/>
          <w:lang w:val="es-CO"/>
          <w14:ligatures w14:val="standardContextual"/>
        </w:rPr>
        <w:t>.</w:t>
      </w:r>
      <w:r w:rsidR="000F4895" w:rsidRPr="00A37FB0">
        <w:rPr>
          <w:rFonts w:ascii="Cambria" w:eastAsiaTheme="minorHAnsi" w:hAnsi="Cambria" w:cs="Cambria"/>
          <w:sz w:val="20"/>
          <w:szCs w:val="20"/>
          <w:lang w:val="es-CO"/>
          <w14:ligatures w14:val="standardContextual"/>
        </w:rPr>
        <w:t xml:space="preserve"> Sin embargo, </w:t>
      </w:r>
      <w:r w:rsidR="008B52A2" w:rsidRPr="00A37FB0">
        <w:rPr>
          <w:rFonts w:ascii="Cambria" w:eastAsiaTheme="minorHAnsi" w:hAnsi="Cambria" w:cs="Cambria"/>
          <w:sz w:val="20"/>
          <w:szCs w:val="20"/>
          <w:lang w:val="es-CO"/>
          <w14:ligatures w14:val="standardContextual"/>
        </w:rPr>
        <w:t xml:space="preserve">se vio en una grave situación económica que lo obligó regresar a Segovia para retomar su trabajo en alguna institución educativa hacia el primer trimestre de 1998. </w:t>
      </w:r>
      <w:r w:rsidR="00653CA6" w:rsidRPr="00A37FB0">
        <w:rPr>
          <w:rFonts w:ascii="Cambria" w:eastAsia="Arial Unicode MS" w:hAnsi="Cambria"/>
          <w:color w:val="000000"/>
          <w:sz w:val="20"/>
          <w:szCs w:val="20"/>
          <w:bdr w:val="nil"/>
          <w:lang w:val="es-CO"/>
        </w:rPr>
        <w:t xml:space="preserve">En 1998 la Comisión otorgó medidas cautelares a favor de la víctima por su situación de riesgo. </w:t>
      </w:r>
      <w:r w:rsidR="00AF59AE" w:rsidRPr="00A37FB0">
        <w:rPr>
          <w:rFonts w:ascii="Cambria" w:eastAsia="Arial Unicode MS" w:hAnsi="Cambria"/>
          <w:color w:val="000000"/>
          <w:sz w:val="20"/>
          <w:szCs w:val="20"/>
          <w:bdr w:val="nil"/>
          <w:lang w:val="es-CO"/>
        </w:rPr>
        <w:t xml:space="preserve">El señor </w:t>
      </w:r>
      <w:r w:rsidR="00653CA6" w:rsidRPr="00A37FB0">
        <w:rPr>
          <w:rFonts w:ascii="Cambria" w:eastAsia="Arial Unicode MS" w:hAnsi="Cambria"/>
          <w:color w:val="000000"/>
          <w:sz w:val="20"/>
          <w:szCs w:val="20"/>
          <w:bdr w:val="nil"/>
          <w:lang w:val="es-CO"/>
        </w:rPr>
        <w:t xml:space="preserve">Zapata fue asesinado </w:t>
      </w:r>
      <w:r w:rsidR="005734FA" w:rsidRPr="00A37FB0">
        <w:rPr>
          <w:rFonts w:ascii="Cambria" w:eastAsia="Arial Unicode MS" w:hAnsi="Cambria"/>
          <w:color w:val="000000"/>
          <w:sz w:val="20"/>
          <w:szCs w:val="20"/>
          <w:bdr w:val="nil"/>
          <w:lang w:val="es-CO"/>
        </w:rPr>
        <w:t xml:space="preserve">el 3 de mayo de 2000 </w:t>
      </w:r>
      <w:r w:rsidR="00653CA6" w:rsidRPr="00A37FB0">
        <w:rPr>
          <w:rFonts w:ascii="Cambria" w:eastAsia="Arial Unicode MS" w:hAnsi="Cambria"/>
          <w:color w:val="000000"/>
          <w:sz w:val="20"/>
          <w:szCs w:val="20"/>
          <w:bdr w:val="nil"/>
          <w:lang w:val="es-CO"/>
        </w:rPr>
        <w:t>por personas que se identificaron como miembros de las Autodefensas Unidas de Colombia</w:t>
      </w:r>
      <w:r w:rsidR="009D0366" w:rsidRPr="00A37FB0">
        <w:rPr>
          <w:rFonts w:ascii="Cambria" w:eastAsia="Arial Unicode MS" w:hAnsi="Cambria"/>
          <w:color w:val="000000"/>
          <w:sz w:val="20"/>
          <w:szCs w:val="20"/>
          <w:bdr w:val="nil"/>
          <w:lang w:val="es-CO"/>
        </w:rPr>
        <w:t xml:space="preserve">. </w:t>
      </w:r>
    </w:p>
    <w:p w14:paraId="60AF6D7A" w14:textId="77777777" w:rsidR="00C3304E" w:rsidRPr="00A37FB0" w:rsidRDefault="00C3304E" w:rsidP="00C3304E">
      <w:pPr>
        <w:autoSpaceDE w:val="0"/>
        <w:autoSpaceDN w:val="0"/>
        <w:adjustRightInd w:val="0"/>
        <w:spacing w:after="0" w:line="240" w:lineRule="auto"/>
        <w:jc w:val="both"/>
        <w:rPr>
          <w:rFonts w:ascii="Cambria" w:eastAsia="Arial Unicode MS" w:hAnsi="Cambria"/>
          <w:color w:val="000000"/>
          <w:sz w:val="20"/>
          <w:szCs w:val="20"/>
          <w:bdr w:val="nil"/>
          <w:lang w:val="es-CO"/>
        </w:rPr>
      </w:pPr>
    </w:p>
    <w:p w14:paraId="1D8DDCF5" w14:textId="77777777" w:rsidR="00C3304E" w:rsidRPr="00A37FB0" w:rsidRDefault="00C3304E" w:rsidP="00C3304E">
      <w:pPr>
        <w:spacing w:after="0" w:line="240" w:lineRule="auto"/>
        <w:jc w:val="both"/>
        <w:rPr>
          <w:rFonts w:ascii="Cambria" w:hAnsi="Cambria" w:cs="Calibri"/>
          <w:color w:val="000000"/>
          <w:sz w:val="20"/>
          <w:szCs w:val="20"/>
          <w:lang w:val="es-CO"/>
        </w:rPr>
      </w:pPr>
      <w:r w:rsidRPr="00A37FB0">
        <w:rPr>
          <w:rFonts w:ascii="Cambria" w:hAnsi="Cambria" w:cs="Calibri"/>
          <w:color w:val="000000"/>
          <w:sz w:val="20"/>
          <w:szCs w:val="20"/>
          <w:lang w:val="es-CO"/>
        </w:rPr>
        <w:t>Señor</w:t>
      </w:r>
    </w:p>
    <w:p w14:paraId="666277AC" w14:textId="77777777" w:rsidR="00C3304E" w:rsidRPr="00A37FB0" w:rsidRDefault="00C3304E" w:rsidP="00C3304E">
      <w:pPr>
        <w:spacing w:after="0" w:line="240" w:lineRule="auto"/>
        <w:jc w:val="both"/>
        <w:rPr>
          <w:rFonts w:ascii="Cambria" w:hAnsi="Cambria" w:cs="Calibri"/>
          <w:color w:val="000000"/>
          <w:sz w:val="20"/>
          <w:szCs w:val="20"/>
          <w:lang w:val="es-CO"/>
        </w:rPr>
      </w:pPr>
      <w:r w:rsidRPr="00A37FB0">
        <w:rPr>
          <w:rFonts w:ascii="Cambria" w:hAnsi="Cambria" w:cs="Calibri"/>
          <w:color w:val="000000"/>
          <w:sz w:val="20"/>
          <w:szCs w:val="20"/>
          <w:lang w:val="es-CO"/>
        </w:rPr>
        <w:t>Pablo Saavedra Alessandri</w:t>
      </w:r>
    </w:p>
    <w:p w14:paraId="6A95E510" w14:textId="77777777" w:rsidR="00C3304E" w:rsidRPr="00A37FB0" w:rsidRDefault="00C3304E" w:rsidP="00C3304E">
      <w:pPr>
        <w:spacing w:after="0" w:line="240" w:lineRule="auto"/>
        <w:jc w:val="both"/>
        <w:rPr>
          <w:rFonts w:ascii="Cambria" w:hAnsi="Cambria" w:cs="Calibri"/>
          <w:color w:val="000000"/>
          <w:sz w:val="20"/>
          <w:szCs w:val="20"/>
          <w:lang w:val="es-CO"/>
        </w:rPr>
      </w:pPr>
      <w:r w:rsidRPr="00A37FB0">
        <w:rPr>
          <w:rFonts w:ascii="Cambria" w:hAnsi="Cambria" w:cs="Calibri"/>
          <w:color w:val="000000"/>
          <w:sz w:val="20"/>
          <w:szCs w:val="20"/>
          <w:lang w:val="es-CO"/>
        </w:rPr>
        <w:t>Secretario</w:t>
      </w:r>
    </w:p>
    <w:p w14:paraId="13818004" w14:textId="77777777" w:rsidR="00C3304E" w:rsidRPr="00A37FB0" w:rsidRDefault="00C3304E" w:rsidP="00C3304E">
      <w:pPr>
        <w:spacing w:after="0" w:line="240" w:lineRule="auto"/>
        <w:jc w:val="both"/>
        <w:rPr>
          <w:rFonts w:ascii="Cambria" w:hAnsi="Cambria" w:cs="Calibri"/>
          <w:color w:val="000000"/>
          <w:sz w:val="20"/>
          <w:szCs w:val="20"/>
          <w:lang w:val="es-CO"/>
        </w:rPr>
      </w:pPr>
      <w:r w:rsidRPr="00A37FB0">
        <w:rPr>
          <w:rFonts w:ascii="Cambria" w:hAnsi="Cambria" w:cs="Calibri"/>
          <w:color w:val="000000"/>
          <w:sz w:val="20"/>
          <w:szCs w:val="20"/>
          <w:lang w:val="es-CO"/>
        </w:rPr>
        <w:t>Corte Interamericana de Derechos Humanos</w:t>
      </w:r>
    </w:p>
    <w:p w14:paraId="6A18CDD3" w14:textId="77777777" w:rsidR="00C3304E" w:rsidRPr="00A37FB0" w:rsidRDefault="00C3304E" w:rsidP="00C3304E">
      <w:pPr>
        <w:spacing w:after="0" w:line="240" w:lineRule="auto"/>
        <w:jc w:val="both"/>
        <w:rPr>
          <w:rStyle w:val="Emphasis"/>
          <w:rFonts w:ascii="Cambria" w:hAnsi="Cambria"/>
          <w:b/>
          <w:bCs/>
          <w:i w:val="0"/>
          <w:iCs w:val="0"/>
          <w:sz w:val="20"/>
          <w:szCs w:val="20"/>
          <w:lang w:val="es-CO"/>
        </w:rPr>
      </w:pPr>
      <w:r w:rsidRPr="00A37FB0">
        <w:rPr>
          <w:rFonts w:ascii="Cambria" w:hAnsi="Cambria" w:cs="Calibri"/>
          <w:color w:val="000000"/>
          <w:sz w:val="20"/>
          <w:szCs w:val="20"/>
          <w:lang w:val="es-CO"/>
        </w:rPr>
        <w:t>San José, Costa Rica</w:t>
      </w:r>
    </w:p>
    <w:p w14:paraId="3B14870D" w14:textId="77777777" w:rsidR="00C3304E" w:rsidRPr="00A37FB0" w:rsidRDefault="00C3304E" w:rsidP="00C3304E">
      <w:pPr>
        <w:autoSpaceDE w:val="0"/>
        <w:autoSpaceDN w:val="0"/>
        <w:adjustRightInd w:val="0"/>
        <w:spacing w:after="0" w:line="240" w:lineRule="auto"/>
        <w:jc w:val="both"/>
        <w:rPr>
          <w:rFonts w:ascii="Cambria" w:eastAsia="Arial Unicode MS" w:hAnsi="Cambria"/>
          <w:color w:val="000000"/>
          <w:sz w:val="20"/>
          <w:szCs w:val="20"/>
          <w:bdr w:val="nil"/>
          <w:lang w:val="es-CO"/>
        </w:rPr>
      </w:pPr>
    </w:p>
    <w:p w14:paraId="516C0E43" w14:textId="5EE0FA00" w:rsidR="00EC5923" w:rsidRPr="00A37FB0" w:rsidRDefault="000B1350" w:rsidP="009E3A0E">
      <w:pPr>
        <w:autoSpaceDE w:val="0"/>
        <w:autoSpaceDN w:val="0"/>
        <w:adjustRightInd w:val="0"/>
        <w:spacing w:after="0" w:line="240" w:lineRule="auto"/>
        <w:ind w:firstLine="360"/>
        <w:jc w:val="both"/>
        <w:rPr>
          <w:rFonts w:ascii="Cambria" w:eastAsiaTheme="minorHAnsi" w:hAnsi="Cambria" w:cs="Cambria"/>
          <w:sz w:val="20"/>
          <w:szCs w:val="20"/>
          <w:lang w:val="es-CO"/>
          <w14:ligatures w14:val="standardContextual"/>
        </w:rPr>
      </w:pPr>
      <w:r w:rsidRPr="00A37FB0">
        <w:rPr>
          <w:rFonts w:ascii="Cambria" w:eastAsia="Arial Unicode MS" w:hAnsi="Cambria"/>
          <w:color w:val="000000"/>
          <w:sz w:val="20"/>
          <w:szCs w:val="20"/>
          <w:bdr w:val="nil"/>
          <w:lang w:val="es-CO"/>
        </w:rPr>
        <w:lastRenderedPageBreak/>
        <w:t>Antes del hallazgo del cadáver,</w:t>
      </w:r>
      <w:r w:rsidR="00465077" w:rsidRPr="00A37FB0">
        <w:rPr>
          <w:rFonts w:ascii="Cambria" w:eastAsia="Arial Unicode MS" w:hAnsi="Cambria"/>
          <w:color w:val="000000"/>
          <w:sz w:val="20"/>
          <w:szCs w:val="20"/>
          <w:bdr w:val="nil"/>
          <w:lang w:val="es-CO"/>
        </w:rPr>
        <w:t xml:space="preserve"> el sobrino del </w:t>
      </w:r>
      <w:r w:rsidR="0070705C" w:rsidRPr="00A37FB0">
        <w:rPr>
          <w:rFonts w:ascii="Cambria" w:eastAsia="Arial Unicode MS" w:hAnsi="Cambria"/>
          <w:color w:val="000000"/>
          <w:sz w:val="20"/>
          <w:szCs w:val="20"/>
          <w:bdr w:val="nil"/>
          <w:lang w:val="es-CO"/>
        </w:rPr>
        <w:t>señor Zapata,</w:t>
      </w:r>
      <w:r w:rsidRPr="00A37FB0">
        <w:rPr>
          <w:rFonts w:ascii="Cambria" w:eastAsia="Arial Unicode MS" w:hAnsi="Cambria"/>
          <w:color w:val="000000"/>
          <w:sz w:val="20"/>
          <w:szCs w:val="20"/>
          <w:bdr w:val="nil"/>
          <w:lang w:val="es-CO"/>
        </w:rPr>
        <w:t xml:space="preserve"> Adrián Alberto</w:t>
      </w:r>
      <w:r w:rsidR="0070705C" w:rsidRPr="00A37FB0">
        <w:rPr>
          <w:rFonts w:ascii="Cambria" w:eastAsia="Arial Unicode MS" w:hAnsi="Cambria"/>
          <w:color w:val="000000"/>
          <w:sz w:val="20"/>
          <w:szCs w:val="20"/>
          <w:bdr w:val="nil"/>
          <w:lang w:val="es-CO"/>
        </w:rPr>
        <w:t>,</w:t>
      </w:r>
      <w:r w:rsidRPr="00A37FB0">
        <w:rPr>
          <w:rFonts w:ascii="Cambria" w:eastAsia="Arial Unicode MS" w:hAnsi="Cambria"/>
          <w:color w:val="000000"/>
          <w:sz w:val="20"/>
          <w:szCs w:val="20"/>
          <w:bdr w:val="nil"/>
          <w:lang w:val="es-CO"/>
        </w:rPr>
        <w:t xml:space="preserve"> fue al Comando a indicar que tenía información de que su</w:t>
      </w:r>
      <w:r w:rsidR="0070705C" w:rsidRPr="00A37FB0">
        <w:rPr>
          <w:rFonts w:ascii="Cambria" w:eastAsia="Arial Unicode MS" w:hAnsi="Cambria"/>
          <w:color w:val="000000"/>
          <w:sz w:val="20"/>
          <w:szCs w:val="20"/>
          <w:bdr w:val="nil"/>
          <w:lang w:val="es-CO"/>
        </w:rPr>
        <w:t xml:space="preserve"> </w:t>
      </w:r>
      <w:r w:rsidRPr="00A37FB0">
        <w:rPr>
          <w:rFonts w:ascii="Cambria" w:eastAsia="Arial Unicode MS" w:hAnsi="Cambria"/>
          <w:color w:val="000000"/>
          <w:sz w:val="20"/>
          <w:szCs w:val="20"/>
          <w:bdr w:val="nil"/>
          <w:lang w:val="es-CO"/>
        </w:rPr>
        <w:t>tío había sido asesinado y que conocía su paradero</w:t>
      </w:r>
      <w:r w:rsidR="0063305A" w:rsidRPr="00A37FB0">
        <w:rPr>
          <w:rFonts w:ascii="Cambria" w:eastAsia="Arial Unicode MS" w:hAnsi="Cambria"/>
          <w:color w:val="000000"/>
          <w:sz w:val="20"/>
          <w:szCs w:val="20"/>
          <w:bdr w:val="nil"/>
          <w:lang w:val="es-CO"/>
        </w:rPr>
        <w:t xml:space="preserve">, solicitando </w:t>
      </w:r>
      <w:r w:rsidRPr="00A37FB0">
        <w:rPr>
          <w:rFonts w:ascii="Cambria" w:eastAsia="Arial Unicode MS" w:hAnsi="Cambria"/>
          <w:color w:val="000000"/>
          <w:sz w:val="20"/>
          <w:szCs w:val="20"/>
          <w:bdr w:val="nil"/>
          <w:lang w:val="es-CO"/>
        </w:rPr>
        <w:t xml:space="preserve">que fueran a hacer </w:t>
      </w:r>
      <w:r w:rsidR="0063305A" w:rsidRPr="00A37FB0">
        <w:rPr>
          <w:rFonts w:ascii="Cambria" w:eastAsia="Arial Unicode MS" w:hAnsi="Cambria"/>
          <w:color w:val="000000"/>
          <w:sz w:val="20"/>
          <w:szCs w:val="20"/>
          <w:bdr w:val="nil"/>
          <w:lang w:val="es-CO"/>
        </w:rPr>
        <w:t xml:space="preserve">el </w:t>
      </w:r>
      <w:r w:rsidRPr="00A37FB0">
        <w:rPr>
          <w:rFonts w:ascii="Cambria" w:eastAsia="Arial Unicode MS" w:hAnsi="Cambria"/>
          <w:color w:val="000000"/>
          <w:sz w:val="20"/>
          <w:szCs w:val="20"/>
          <w:bdr w:val="nil"/>
          <w:lang w:val="es-CO"/>
        </w:rPr>
        <w:t xml:space="preserve">levantamiento del cadáver, </w:t>
      </w:r>
      <w:r w:rsidR="00F26AA4" w:rsidRPr="00A37FB0">
        <w:rPr>
          <w:rFonts w:ascii="Cambria" w:eastAsia="Arial Unicode MS" w:hAnsi="Cambria"/>
          <w:color w:val="000000"/>
          <w:sz w:val="20"/>
          <w:szCs w:val="20"/>
          <w:bdr w:val="nil"/>
          <w:lang w:val="es-CO"/>
        </w:rPr>
        <w:t xml:space="preserve">ante lo cual la inspectora </w:t>
      </w:r>
      <w:r w:rsidRPr="00A37FB0">
        <w:rPr>
          <w:rFonts w:ascii="Cambria" w:eastAsia="Arial Unicode MS" w:hAnsi="Cambria"/>
          <w:color w:val="000000"/>
          <w:sz w:val="20"/>
          <w:szCs w:val="20"/>
          <w:bdr w:val="nil"/>
          <w:lang w:val="es-CO"/>
        </w:rPr>
        <w:t>“[le] dijo que fuera y lo recogiera [él]</w:t>
      </w:r>
      <w:r w:rsidR="0003074F" w:rsidRPr="00A37FB0">
        <w:rPr>
          <w:rFonts w:ascii="Cambria" w:eastAsia="Arial Unicode MS" w:hAnsi="Cambria"/>
          <w:color w:val="000000"/>
          <w:sz w:val="20"/>
          <w:szCs w:val="20"/>
          <w:bdr w:val="nil"/>
          <w:lang w:val="es-CO"/>
        </w:rPr>
        <w:t xml:space="preserve"> </w:t>
      </w:r>
      <w:r w:rsidRPr="00A37FB0">
        <w:rPr>
          <w:rFonts w:ascii="Cambria" w:eastAsia="Arial Unicode MS" w:hAnsi="Cambria"/>
          <w:color w:val="000000"/>
          <w:sz w:val="20"/>
          <w:szCs w:val="20"/>
          <w:bdr w:val="nil"/>
          <w:lang w:val="es-CO"/>
        </w:rPr>
        <w:t>que la fiscalía hacía el levantamiento por la mañana en el hospital</w:t>
      </w:r>
      <w:r w:rsidR="00D42E4F" w:rsidRPr="00D42E4F">
        <w:rPr>
          <w:rFonts w:ascii="Cambria" w:eastAsia="Arial Unicode MS" w:hAnsi="Cambria"/>
          <w:color w:val="000000"/>
          <w:sz w:val="20"/>
          <w:szCs w:val="20"/>
          <w:bdr w:val="nil"/>
          <w:lang w:val="es-US"/>
        </w:rPr>
        <w:t>”</w:t>
      </w:r>
      <w:r w:rsidRPr="00A37FB0">
        <w:rPr>
          <w:rFonts w:ascii="Cambria" w:eastAsia="Arial Unicode MS" w:hAnsi="Cambria"/>
          <w:color w:val="000000"/>
          <w:sz w:val="20"/>
          <w:szCs w:val="20"/>
          <w:bdr w:val="nil"/>
          <w:lang w:val="es-CO"/>
        </w:rPr>
        <w:t xml:space="preserve">. Siguiendo dichas instrucciones, </w:t>
      </w:r>
      <w:r w:rsidR="0063305A" w:rsidRPr="00A37FB0">
        <w:rPr>
          <w:rFonts w:ascii="Cambria" w:eastAsia="Arial Unicode MS" w:hAnsi="Cambria"/>
          <w:color w:val="000000"/>
          <w:sz w:val="20"/>
          <w:szCs w:val="20"/>
          <w:bdr w:val="nil"/>
          <w:lang w:val="es-CO"/>
        </w:rPr>
        <w:t xml:space="preserve">el sobrino del señor Zapata </w:t>
      </w:r>
      <w:r w:rsidRPr="00A37FB0">
        <w:rPr>
          <w:rFonts w:ascii="Cambria" w:eastAsia="Arial Unicode MS" w:hAnsi="Cambria"/>
          <w:color w:val="000000"/>
          <w:sz w:val="20"/>
          <w:szCs w:val="20"/>
          <w:bdr w:val="nil"/>
          <w:lang w:val="es-CO"/>
        </w:rPr>
        <w:t>se dirigió al lugar de los hechos, recogió el cadáver de su tío y lo trasladó a dicho recinto</w:t>
      </w:r>
      <w:r w:rsidR="00D86CD3" w:rsidRPr="00A37FB0">
        <w:rPr>
          <w:rFonts w:ascii="Cambria" w:eastAsia="Arial Unicode MS" w:hAnsi="Cambria"/>
          <w:color w:val="000000"/>
          <w:sz w:val="20"/>
          <w:szCs w:val="20"/>
          <w:bdr w:val="nil"/>
          <w:lang w:val="es-CO"/>
        </w:rPr>
        <w:t xml:space="preserve">. </w:t>
      </w:r>
      <w:r w:rsidR="0003074F" w:rsidRPr="00A37FB0">
        <w:rPr>
          <w:rFonts w:ascii="Cambria" w:eastAsiaTheme="minorHAnsi" w:hAnsi="Cambria" w:cs="Cambria"/>
          <w:sz w:val="20"/>
          <w:szCs w:val="20"/>
          <w:lang w:val="es-CO"/>
          <w14:ligatures w14:val="standardContextual"/>
        </w:rPr>
        <w:t>Consta en el expediente que el 4 de mayo de 2000 la Unidad Delegada ante el Juzgado Penal del Circuito,</w:t>
      </w:r>
      <w:r w:rsidR="00D86CD3" w:rsidRPr="00A37FB0">
        <w:rPr>
          <w:rFonts w:ascii="Cambria" w:eastAsiaTheme="minorHAnsi" w:hAnsi="Cambria" w:cs="Cambria"/>
          <w:sz w:val="20"/>
          <w:szCs w:val="20"/>
          <w:lang w:val="es-CO"/>
          <w14:ligatures w14:val="standardContextual"/>
        </w:rPr>
        <w:t xml:space="preserve"> </w:t>
      </w:r>
      <w:r w:rsidR="0003074F" w:rsidRPr="00A37FB0">
        <w:rPr>
          <w:rFonts w:ascii="Cambria" w:eastAsiaTheme="minorHAnsi" w:hAnsi="Cambria" w:cs="Cambria"/>
          <w:sz w:val="20"/>
          <w:szCs w:val="20"/>
          <w:lang w:val="es-CO"/>
          <w14:ligatures w14:val="standardContextual"/>
        </w:rPr>
        <w:t xml:space="preserve">recibió la </w:t>
      </w:r>
      <w:r w:rsidR="0003074F" w:rsidRPr="00A37FB0">
        <w:rPr>
          <w:rFonts w:ascii="Cambria" w:eastAsiaTheme="minorHAnsi" w:hAnsi="Cambria" w:cs="Cambria-Italic"/>
          <w:i/>
          <w:iCs/>
          <w:sz w:val="20"/>
          <w:szCs w:val="20"/>
          <w:lang w:val="es-CO"/>
          <w14:ligatures w14:val="standardContextual"/>
        </w:rPr>
        <w:t xml:space="preserve">notitia </w:t>
      </w:r>
      <w:r w:rsidR="001800C1" w:rsidRPr="00A37FB0">
        <w:rPr>
          <w:rFonts w:ascii="Cambria" w:eastAsiaTheme="minorHAnsi" w:hAnsi="Cambria" w:cs="Cambria-Italic"/>
          <w:i/>
          <w:iCs/>
          <w:sz w:val="20"/>
          <w:szCs w:val="20"/>
          <w:lang w:val="es-CO"/>
          <w14:ligatures w14:val="standardContextual"/>
        </w:rPr>
        <w:t xml:space="preserve">criminis, </w:t>
      </w:r>
      <w:r w:rsidR="001800C1" w:rsidRPr="00A37FB0">
        <w:rPr>
          <w:rFonts w:ascii="Cambria" w:eastAsiaTheme="minorHAnsi" w:hAnsi="Cambria" w:cs="Cambria"/>
          <w:sz w:val="20"/>
          <w:szCs w:val="20"/>
          <w:lang w:val="es-CO"/>
          <w14:ligatures w14:val="standardContextual"/>
        </w:rPr>
        <w:t>ordenó</w:t>
      </w:r>
      <w:r w:rsidR="0003074F" w:rsidRPr="00A37FB0">
        <w:rPr>
          <w:rFonts w:ascii="Cambria" w:eastAsiaTheme="minorHAnsi" w:hAnsi="Cambria" w:cs="Cambria"/>
          <w:sz w:val="20"/>
          <w:szCs w:val="20"/>
          <w:lang w:val="es-CO"/>
          <w14:ligatures w14:val="standardContextual"/>
        </w:rPr>
        <w:t xml:space="preserve"> el desplazamiento de los funcionarios del despacho y ordenó iniciar la</w:t>
      </w:r>
      <w:r w:rsidR="00D86CD3" w:rsidRPr="00A37FB0">
        <w:rPr>
          <w:rFonts w:ascii="Cambria" w:eastAsiaTheme="minorHAnsi" w:hAnsi="Cambria" w:cs="Cambria"/>
          <w:sz w:val="20"/>
          <w:szCs w:val="20"/>
          <w:lang w:val="es-CO"/>
          <w14:ligatures w14:val="standardContextual"/>
        </w:rPr>
        <w:t xml:space="preserve"> </w:t>
      </w:r>
      <w:r w:rsidR="0003074F" w:rsidRPr="00A37FB0">
        <w:rPr>
          <w:rFonts w:ascii="Cambria" w:eastAsiaTheme="minorHAnsi" w:hAnsi="Cambria" w:cs="Cambria"/>
          <w:sz w:val="20"/>
          <w:szCs w:val="20"/>
          <w:lang w:val="es-CO"/>
          <w14:ligatures w14:val="standardContextual"/>
        </w:rPr>
        <w:t>investigación previa</w:t>
      </w:r>
      <w:r w:rsidR="00D86CD3" w:rsidRPr="00A37FB0">
        <w:rPr>
          <w:rFonts w:ascii="Cambria" w:eastAsiaTheme="minorHAnsi" w:hAnsi="Cambria" w:cs="Cambria"/>
          <w:sz w:val="20"/>
          <w:szCs w:val="20"/>
          <w:lang w:val="es-CO"/>
          <w14:ligatures w14:val="standardContextual"/>
        </w:rPr>
        <w:t xml:space="preserve">. </w:t>
      </w:r>
      <w:r w:rsidR="0003074F" w:rsidRPr="00A37FB0">
        <w:rPr>
          <w:rFonts w:ascii="Cambria" w:eastAsiaTheme="minorHAnsi" w:hAnsi="Cambria" w:cs="Cambria"/>
          <w:sz w:val="20"/>
          <w:szCs w:val="20"/>
          <w:lang w:val="es-CO"/>
          <w14:ligatures w14:val="standardContextual"/>
        </w:rPr>
        <w:t>De acuerdo con el acta de levantamiento del cadáver, la diligencia se realizó en la morgue del Hospital San</w:t>
      </w:r>
      <w:r w:rsidR="00D86CD3" w:rsidRPr="00A37FB0">
        <w:rPr>
          <w:rFonts w:ascii="Cambria" w:eastAsiaTheme="minorHAnsi" w:hAnsi="Cambria" w:cs="Cambria"/>
          <w:sz w:val="20"/>
          <w:szCs w:val="20"/>
          <w:lang w:val="es-CO"/>
          <w14:ligatures w14:val="standardContextual"/>
        </w:rPr>
        <w:t xml:space="preserve"> </w:t>
      </w:r>
      <w:r w:rsidR="0003074F" w:rsidRPr="00A37FB0">
        <w:rPr>
          <w:rFonts w:ascii="Cambria" w:eastAsiaTheme="minorHAnsi" w:hAnsi="Cambria" w:cs="Cambria"/>
          <w:sz w:val="20"/>
          <w:szCs w:val="20"/>
          <w:lang w:val="es-CO"/>
          <w14:ligatures w14:val="standardContextual"/>
        </w:rPr>
        <w:t>Juan de Dios en Segovia, indicando que la orientación y posición del cadáver eran artificiales</w:t>
      </w:r>
      <w:r w:rsidR="00D86CD3" w:rsidRPr="00A37FB0">
        <w:rPr>
          <w:rFonts w:ascii="Cambria" w:eastAsiaTheme="minorHAnsi" w:hAnsi="Cambria" w:cs="Cambria"/>
          <w:sz w:val="20"/>
          <w:szCs w:val="20"/>
          <w:lang w:val="es-CO"/>
          <w14:ligatures w14:val="standardContextual"/>
        </w:rPr>
        <w:t xml:space="preserve">. </w:t>
      </w:r>
      <w:r w:rsidR="009E3A0E" w:rsidRPr="00A37FB0">
        <w:rPr>
          <w:rFonts w:ascii="Cambria" w:eastAsiaTheme="minorHAnsi" w:hAnsi="Cambria" w:cs="Cambria"/>
          <w:sz w:val="20"/>
          <w:szCs w:val="20"/>
          <w:lang w:val="es-CO"/>
          <w14:ligatures w14:val="standardContextual"/>
        </w:rPr>
        <w:t>Asimismo, en el acta de levantamiento de cadáver se detallaron las heridas disparadas con arma de fuego</w:t>
      </w:r>
      <w:r w:rsidR="002D50B6" w:rsidRPr="00A37FB0">
        <w:rPr>
          <w:rFonts w:ascii="Cambria" w:eastAsiaTheme="minorHAnsi" w:hAnsi="Cambria" w:cs="Cambria"/>
          <w:sz w:val="20"/>
          <w:szCs w:val="20"/>
          <w:lang w:val="es-CO"/>
          <w14:ligatures w14:val="standardContextual"/>
        </w:rPr>
        <w:t xml:space="preserve">. </w:t>
      </w:r>
    </w:p>
    <w:p w14:paraId="7CD9FA5B" w14:textId="77777777" w:rsidR="00EC5923" w:rsidRPr="00C5754A" w:rsidRDefault="00EC5923" w:rsidP="00C3304E">
      <w:pPr>
        <w:autoSpaceDE w:val="0"/>
        <w:autoSpaceDN w:val="0"/>
        <w:adjustRightInd w:val="0"/>
        <w:spacing w:after="0" w:line="240" w:lineRule="auto"/>
        <w:jc w:val="both"/>
        <w:rPr>
          <w:rFonts w:ascii="Cambria" w:eastAsiaTheme="minorHAnsi" w:hAnsi="Cambria" w:cs="Cambria"/>
          <w:sz w:val="16"/>
          <w:szCs w:val="16"/>
          <w:vertAlign w:val="superscript"/>
          <w:lang w:val="es-CO"/>
          <w14:ligatures w14:val="standardContextual"/>
        </w:rPr>
      </w:pPr>
    </w:p>
    <w:p w14:paraId="44271BE0" w14:textId="08A57F28" w:rsidR="00755F04" w:rsidRPr="00A37FB0" w:rsidRDefault="0062179C" w:rsidP="0063305A">
      <w:pPr>
        <w:autoSpaceDE w:val="0"/>
        <w:autoSpaceDN w:val="0"/>
        <w:adjustRightInd w:val="0"/>
        <w:spacing w:after="0" w:line="240" w:lineRule="auto"/>
        <w:ind w:firstLine="360"/>
        <w:jc w:val="both"/>
        <w:rPr>
          <w:rFonts w:ascii="Cambria" w:eastAsia="Arial Unicode MS" w:hAnsi="Cambria"/>
          <w:color w:val="000000"/>
          <w:sz w:val="20"/>
          <w:szCs w:val="20"/>
          <w:bdr w:val="nil"/>
          <w:lang w:val="es-CO"/>
        </w:rPr>
      </w:pPr>
      <w:r w:rsidRPr="00A37FB0">
        <w:rPr>
          <w:rFonts w:ascii="Cambria" w:eastAsia="Arial Unicode MS" w:hAnsi="Cambria"/>
          <w:color w:val="000000"/>
          <w:sz w:val="20"/>
          <w:szCs w:val="20"/>
          <w:bdr w:val="nil"/>
          <w:lang w:val="es-CO"/>
        </w:rPr>
        <w:t xml:space="preserve">Durante los años posteriores se realizaron </w:t>
      </w:r>
      <w:r w:rsidR="00EC5923" w:rsidRPr="00A37FB0">
        <w:rPr>
          <w:rFonts w:ascii="Cambria" w:eastAsia="Arial Unicode MS" w:hAnsi="Cambria"/>
          <w:color w:val="000000"/>
          <w:sz w:val="20"/>
          <w:szCs w:val="20"/>
          <w:bdr w:val="nil"/>
          <w:lang w:val="es-CO"/>
        </w:rPr>
        <w:t>una serie de</w:t>
      </w:r>
      <w:r w:rsidR="001F3248" w:rsidRPr="00A37FB0">
        <w:rPr>
          <w:rFonts w:ascii="Cambria" w:eastAsia="Arial Unicode MS" w:hAnsi="Cambria"/>
          <w:color w:val="000000"/>
          <w:sz w:val="20"/>
          <w:szCs w:val="20"/>
          <w:bdr w:val="nil"/>
          <w:lang w:val="es-CO"/>
        </w:rPr>
        <w:t xml:space="preserve"> diligencias investigativas</w:t>
      </w:r>
      <w:r w:rsidR="00D86394" w:rsidRPr="00A37FB0">
        <w:rPr>
          <w:rFonts w:ascii="Cambria" w:eastAsia="Arial Unicode MS" w:hAnsi="Cambria"/>
          <w:color w:val="000000"/>
          <w:sz w:val="20"/>
          <w:szCs w:val="20"/>
          <w:bdr w:val="nil"/>
          <w:lang w:val="es-CO"/>
        </w:rPr>
        <w:t xml:space="preserve"> sin que se obtuviese el juzgamiento de los responsables</w:t>
      </w:r>
      <w:r w:rsidR="00EC5923" w:rsidRPr="00A37FB0">
        <w:rPr>
          <w:rFonts w:ascii="Cambria" w:eastAsia="Arial Unicode MS" w:hAnsi="Cambria"/>
          <w:color w:val="000000"/>
          <w:sz w:val="20"/>
          <w:szCs w:val="20"/>
          <w:bdr w:val="nil"/>
          <w:lang w:val="es-CO"/>
        </w:rPr>
        <w:t>. T</w:t>
      </w:r>
      <w:r w:rsidR="008A7B58" w:rsidRPr="00A37FB0">
        <w:rPr>
          <w:rFonts w:ascii="Cambria" w:eastAsiaTheme="minorHAnsi" w:hAnsi="Cambria" w:cs="Cambria"/>
          <w:sz w:val="20"/>
          <w:szCs w:val="20"/>
          <w:lang w:val="es-CO"/>
          <w14:ligatures w14:val="standardContextual"/>
        </w:rPr>
        <w:t>ras diversas solicitudes para la realización de nuevas diligencias y obtención de</w:t>
      </w:r>
      <w:r w:rsidR="00EC5923" w:rsidRPr="00A37FB0">
        <w:rPr>
          <w:rFonts w:ascii="Cambria" w:eastAsia="Arial Unicode MS" w:hAnsi="Cambria"/>
          <w:color w:val="000000"/>
          <w:sz w:val="20"/>
          <w:szCs w:val="20"/>
          <w:bdr w:val="nil"/>
          <w:lang w:val="es-CO"/>
        </w:rPr>
        <w:t xml:space="preserve"> </w:t>
      </w:r>
      <w:r w:rsidR="008A7B58" w:rsidRPr="00A37FB0">
        <w:rPr>
          <w:rFonts w:ascii="Cambria" w:eastAsiaTheme="minorHAnsi" w:hAnsi="Cambria" w:cs="Cambria"/>
          <w:sz w:val="20"/>
          <w:szCs w:val="20"/>
          <w:lang w:val="es-CO"/>
          <w14:ligatures w14:val="standardContextual"/>
        </w:rPr>
        <w:t>pruebas, el 19 de marzo de 2019 la Fiscalía 69 adscrita a la Unidad Especializada contra Violaciones a los</w:t>
      </w:r>
      <w:r w:rsidR="00EC5923" w:rsidRPr="00A37FB0">
        <w:rPr>
          <w:rFonts w:ascii="Cambria" w:eastAsia="Arial Unicode MS" w:hAnsi="Cambria"/>
          <w:color w:val="000000"/>
          <w:sz w:val="20"/>
          <w:szCs w:val="20"/>
          <w:bdr w:val="nil"/>
          <w:lang w:val="es-CO"/>
        </w:rPr>
        <w:t xml:space="preserve"> </w:t>
      </w:r>
      <w:r w:rsidR="008A7B58" w:rsidRPr="00A37FB0">
        <w:rPr>
          <w:rFonts w:ascii="Cambria" w:eastAsiaTheme="minorHAnsi" w:hAnsi="Cambria" w:cs="Cambria"/>
          <w:sz w:val="20"/>
          <w:szCs w:val="20"/>
          <w:lang w:val="es-CO"/>
          <w14:ligatures w14:val="standardContextual"/>
        </w:rPr>
        <w:t xml:space="preserve">Derechos Humanos emitió una resolución de apertura de investigación. </w:t>
      </w:r>
    </w:p>
    <w:p w14:paraId="0AB9AEF9" w14:textId="77777777" w:rsidR="00813D86" w:rsidRPr="00C5754A" w:rsidRDefault="00813D86" w:rsidP="00813D86">
      <w:pPr>
        <w:spacing w:after="0" w:line="240" w:lineRule="auto"/>
        <w:jc w:val="both"/>
        <w:rPr>
          <w:rFonts w:ascii="Cambria" w:hAnsi="Cambria"/>
          <w:b/>
          <w:bCs/>
          <w:sz w:val="16"/>
          <w:szCs w:val="16"/>
          <w:lang w:val="es-CO"/>
        </w:rPr>
      </w:pPr>
    </w:p>
    <w:p w14:paraId="1610D404" w14:textId="72DDEA7E" w:rsidR="00653CA6" w:rsidRPr="00A37FB0" w:rsidRDefault="00653CA6" w:rsidP="00D86394">
      <w:pPr>
        <w:autoSpaceDE w:val="0"/>
        <w:autoSpaceDN w:val="0"/>
        <w:adjustRightInd w:val="0"/>
        <w:spacing w:after="0" w:line="240" w:lineRule="auto"/>
        <w:ind w:firstLine="360"/>
        <w:jc w:val="both"/>
        <w:rPr>
          <w:rFonts w:ascii="Cambria" w:eastAsia="Arial Unicode MS" w:hAnsi="Cambria"/>
          <w:color w:val="000000"/>
          <w:sz w:val="20"/>
          <w:szCs w:val="20"/>
          <w:bdr w:val="nil"/>
          <w:lang w:val="es-CO"/>
        </w:rPr>
      </w:pPr>
      <w:r w:rsidRPr="00A37FB0">
        <w:rPr>
          <w:rFonts w:ascii="Cambria" w:eastAsia="Arial Unicode MS" w:hAnsi="Cambria"/>
          <w:color w:val="000000"/>
          <w:sz w:val="20"/>
          <w:szCs w:val="20"/>
          <w:bdr w:val="nil"/>
          <w:lang w:val="es-CO"/>
        </w:rPr>
        <w:t xml:space="preserve">En su Informe de Fondo </w:t>
      </w:r>
      <w:r w:rsidR="009D0366" w:rsidRPr="00A37FB0">
        <w:rPr>
          <w:rFonts w:ascii="Cambria" w:eastAsia="Arial Unicode MS" w:hAnsi="Cambria"/>
          <w:color w:val="000000"/>
          <w:sz w:val="20"/>
          <w:szCs w:val="20"/>
          <w:bdr w:val="nil"/>
          <w:lang w:val="es-CO"/>
        </w:rPr>
        <w:t xml:space="preserve">No. 299/20, </w:t>
      </w:r>
      <w:r w:rsidR="001F2302" w:rsidRPr="00A37FB0">
        <w:rPr>
          <w:rFonts w:ascii="Cambria" w:eastAsia="Arial Unicode MS" w:hAnsi="Cambria"/>
          <w:color w:val="000000"/>
          <w:sz w:val="20"/>
          <w:szCs w:val="20"/>
          <w:bdr w:val="nil"/>
          <w:lang w:val="es-CO"/>
        </w:rPr>
        <w:t xml:space="preserve">con respecto </w:t>
      </w:r>
      <w:r w:rsidR="000D61DE" w:rsidRPr="00A37FB0">
        <w:rPr>
          <w:rFonts w:ascii="Cambria" w:eastAsia="Arial Unicode MS" w:hAnsi="Cambria"/>
          <w:color w:val="000000"/>
          <w:sz w:val="20"/>
          <w:szCs w:val="20"/>
          <w:bdr w:val="nil"/>
          <w:lang w:val="es-CO"/>
        </w:rPr>
        <w:t xml:space="preserve">a la muerte del señor </w:t>
      </w:r>
      <w:r w:rsidR="00D53653" w:rsidRPr="00A37FB0">
        <w:rPr>
          <w:rFonts w:ascii="Cambria" w:eastAsia="Arial Unicode MS" w:hAnsi="Cambria"/>
          <w:color w:val="000000"/>
          <w:sz w:val="20"/>
          <w:szCs w:val="20"/>
          <w:bdr w:val="nil"/>
          <w:lang w:val="es-CO"/>
        </w:rPr>
        <w:t xml:space="preserve">Zapata, </w:t>
      </w:r>
      <w:r w:rsidRPr="00A37FB0">
        <w:rPr>
          <w:rFonts w:ascii="Cambria" w:eastAsia="Arial Unicode MS" w:hAnsi="Cambria"/>
          <w:color w:val="000000"/>
          <w:sz w:val="20"/>
          <w:szCs w:val="20"/>
          <w:bdr w:val="nil"/>
          <w:lang w:val="es-CO"/>
        </w:rPr>
        <w:t xml:space="preserve">la Comisión </w:t>
      </w:r>
      <w:r w:rsidR="008401AC" w:rsidRPr="00A37FB0">
        <w:rPr>
          <w:rFonts w:ascii="Cambria" w:eastAsia="Arial Unicode MS" w:hAnsi="Cambria"/>
          <w:color w:val="000000"/>
          <w:sz w:val="20"/>
          <w:szCs w:val="20"/>
          <w:bdr w:val="nil"/>
          <w:lang w:val="es-CO"/>
        </w:rPr>
        <w:t>consideró que</w:t>
      </w:r>
      <w:r w:rsidR="008401AC" w:rsidRPr="00A37FB0">
        <w:rPr>
          <w:rFonts w:ascii="Cambria" w:eastAsiaTheme="minorHAnsi" w:hAnsi="Cambria" w:cs="Cambria"/>
          <w:sz w:val="20"/>
          <w:szCs w:val="20"/>
          <w:lang w:val="es-CO"/>
          <w14:ligatures w14:val="standardContextual"/>
        </w:rPr>
        <w:t xml:space="preserve">, si bien el expediente </w:t>
      </w:r>
      <w:r w:rsidR="006A1A12" w:rsidRPr="00A37FB0">
        <w:rPr>
          <w:rFonts w:ascii="Cambria" w:eastAsiaTheme="minorHAnsi" w:hAnsi="Cambria" w:cs="Cambria"/>
          <w:sz w:val="20"/>
          <w:szCs w:val="20"/>
          <w:lang w:val="es-CO"/>
          <w14:ligatures w14:val="standardContextual"/>
        </w:rPr>
        <w:t xml:space="preserve">del caso no contiene información </w:t>
      </w:r>
      <w:r w:rsidR="008401AC" w:rsidRPr="00A37FB0">
        <w:rPr>
          <w:rFonts w:ascii="Cambria" w:eastAsiaTheme="minorHAnsi" w:hAnsi="Cambria" w:cs="Cambria"/>
          <w:sz w:val="20"/>
          <w:szCs w:val="20"/>
          <w:lang w:val="es-CO"/>
          <w14:ligatures w14:val="standardContextual"/>
        </w:rPr>
        <w:t xml:space="preserve">sobre </w:t>
      </w:r>
      <w:r w:rsidR="00D53653" w:rsidRPr="00A37FB0">
        <w:rPr>
          <w:rFonts w:ascii="Cambria" w:eastAsiaTheme="minorHAnsi" w:hAnsi="Cambria" w:cs="Cambria"/>
          <w:sz w:val="20"/>
          <w:szCs w:val="20"/>
          <w:lang w:val="es-CO"/>
          <w14:ligatures w14:val="standardContextual"/>
        </w:rPr>
        <w:t>su</w:t>
      </w:r>
      <w:r w:rsidR="008401AC" w:rsidRPr="00A37FB0">
        <w:rPr>
          <w:rFonts w:ascii="Cambria" w:eastAsiaTheme="minorHAnsi" w:hAnsi="Cambria" w:cs="Cambria"/>
          <w:sz w:val="20"/>
          <w:szCs w:val="20"/>
          <w:lang w:val="es-CO"/>
          <w14:ligatures w14:val="standardContextual"/>
        </w:rPr>
        <w:t xml:space="preserve"> comportamiento desde </w:t>
      </w:r>
      <w:r w:rsidR="00D53653" w:rsidRPr="00A37FB0">
        <w:rPr>
          <w:rFonts w:ascii="Cambria" w:eastAsiaTheme="minorHAnsi" w:hAnsi="Cambria" w:cs="Cambria"/>
          <w:sz w:val="20"/>
          <w:szCs w:val="20"/>
          <w:lang w:val="es-CO"/>
          <w14:ligatures w14:val="standardContextual"/>
        </w:rPr>
        <w:t xml:space="preserve">que regresó </w:t>
      </w:r>
      <w:r w:rsidR="008401AC" w:rsidRPr="00A37FB0">
        <w:rPr>
          <w:rFonts w:ascii="Cambria" w:eastAsiaTheme="minorHAnsi" w:hAnsi="Cambria" w:cs="Cambria"/>
          <w:sz w:val="20"/>
          <w:szCs w:val="20"/>
          <w:lang w:val="es-CO"/>
          <w14:ligatures w14:val="standardContextual"/>
        </w:rPr>
        <w:t xml:space="preserve">a Segovia hasta el día de su muerte </w:t>
      </w:r>
      <w:r w:rsidR="008F7FA1" w:rsidRPr="00A37FB0">
        <w:rPr>
          <w:rFonts w:ascii="Cambria" w:eastAsiaTheme="minorHAnsi" w:hAnsi="Cambria" w:cs="Cambria"/>
          <w:sz w:val="20"/>
          <w:szCs w:val="20"/>
          <w:lang w:val="es-CO"/>
          <w14:ligatures w14:val="standardContextual"/>
        </w:rPr>
        <w:t xml:space="preserve">que permita determinar </w:t>
      </w:r>
      <w:r w:rsidR="008401AC" w:rsidRPr="00A37FB0">
        <w:rPr>
          <w:rFonts w:ascii="Cambria" w:eastAsiaTheme="minorHAnsi" w:hAnsi="Cambria" w:cs="Cambria"/>
          <w:sz w:val="20"/>
          <w:szCs w:val="20"/>
          <w:lang w:val="es-CO"/>
          <w14:ligatures w14:val="standardContextual"/>
        </w:rPr>
        <w:t>si comunicó a las autoridades sobre su</w:t>
      </w:r>
      <w:r w:rsidR="006A1A12" w:rsidRPr="00A37FB0">
        <w:rPr>
          <w:rFonts w:ascii="Cambria" w:eastAsiaTheme="minorHAnsi" w:hAnsi="Cambria" w:cs="Cambria"/>
          <w:sz w:val="20"/>
          <w:szCs w:val="20"/>
          <w:lang w:val="es-CO"/>
          <w14:ligatures w14:val="standardContextual"/>
        </w:rPr>
        <w:t xml:space="preserve"> </w:t>
      </w:r>
      <w:r w:rsidR="008401AC" w:rsidRPr="00A37FB0">
        <w:rPr>
          <w:rFonts w:ascii="Cambria" w:eastAsiaTheme="minorHAnsi" w:hAnsi="Cambria" w:cs="Cambria"/>
          <w:sz w:val="20"/>
          <w:szCs w:val="20"/>
          <w:lang w:val="es-CO"/>
          <w14:ligatures w14:val="standardContextual"/>
        </w:rPr>
        <w:t xml:space="preserve">situación de riesgo, </w:t>
      </w:r>
      <w:r w:rsidR="00D111BC" w:rsidRPr="00A37FB0">
        <w:rPr>
          <w:rFonts w:ascii="Cambria" w:eastAsiaTheme="minorHAnsi" w:hAnsi="Cambria" w:cs="Cambria"/>
          <w:sz w:val="20"/>
          <w:szCs w:val="20"/>
          <w:lang w:val="es-CO"/>
          <w14:ligatures w14:val="standardContextual"/>
        </w:rPr>
        <w:t xml:space="preserve">con base a </w:t>
      </w:r>
      <w:r w:rsidR="008401AC" w:rsidRPr="00A37FB0">
        <w:rPr>
          <w:rFonts w:ascii="Cambria" w:eastAsiaTheme="minorHAnsi" w:hAnsi="Cambria" w:cs="Cambria"/>
          <w:sz w:val="20"/>
          <w:szCs w:val="20"/>
          <w:lang w:val="es-CO"/>
          <w14:ligatures w14:val="standardContextual"/>
        </w:rPr>
        <w:t>los estándares sobre el deber de prevención, el contexto de Segovia y su</w:t>
      </w:r>
      <w:r w:rsidR="006A1A12" w:rsidRPr="00A37FB0">
        <w:rPr>
          <w:rFonts w:ascii="Cambria" w:eastAsiaTheme="minorHAnsi" w:hAnsi="Cambria" w:cs="Cambria"/>
          <w:sz w:val="20"/>
          <w:szCs w:val="20"/>
          <w:lang w:val="es-CO"/>
          <w14:ligatures w14:val="standardContextual"/>
        </w:rPr>
        <w:t xml:space="preserve"> </w:t>
      </w:r>
      <w:r w:rsidR="008401AC" w:rsidRPr="00A37FB0">
        <w:rPr>
          <w:rFonts w:ascii="Cambria" w:eastAsiaTheme="minorHAnsi" w:hAnsi="Cambria" w:cs="Cambria"/>
          <w:sz w:val="20"/>
          <w:szCs w:val="20"/>
          <w:lang w:val="es-CO"/>
          <w14:ligatures w14:val="standardContextual"/>
        </w:rPr>
        <w:t xml:space="preserve">calidad de defensor de derechos humanos, sumado a las medidas cautelares otorgadas en su favor, </w:t>
      </w:r>
      <w:r w:rsidR="00C77EA8" w:rsidRPr="00A37FB0">
        <w:rPr>
          <w:rFonts w:ascii="Cambria" w:eastAsiaTheme="minorHAnsi" w:hAnsi="Cambria" w:cs="Cambria"/>
          <w:sz w:val="20"/>
          <w:szCs w:val="20"/>
          <w:lang w:val="es-CO"/>
          <w14:ligatures w14:val="standardContextual"/>
        </w:rPr>
        <w:t xml:space="preserve">puede concluirse </w:t>
      </w:r>
      <w:r w:rsidR="008401AC" w:rsidRPr="00A37FB0">
        <w:rPr>
          <w:rFonts w:ascii="Cambria" w:eastAsiaTheme="minorHAnsi" w:hAnsi="Cambria" w:cs="Cambria"/>
          <w:sz w:val="20"/>
          <w:szCs w:val="20"/>
          <w:lang w:val="es-CO"/>
          <w14:ligatures w14:val="standardContextual"/>
        </w:rPr>
        <w:t>que el Estado debía saber que este se encontraban en un peligro real e inmediato y debía adoptar las</w:t>
      </w:r>
      <w:r w:rsidR="001F2302" w:rsidRPr="00A37FB0">
        <w:rPr>
          <w:rFonts w:ascii="Cambria" w:eastAsiaTheme="minorHAnsi" w:hAnsi="Cambria" w:cs="Cambria"/>
          <w:sz w:val="20"/>
          <w:szCs w:val="20"/>
          <w:lang w:val="es-CO"/>
          <w14:ligatures w14:val="standardContextual"/>
        </w:rPr>
        <w:t xml:space="preserve"> </w:t>
      </w:r>
      <w:r w:rsidR="008401AC" w:rsidRPr="00A37FB0">
        <w:rPr>
          <w:rFonts w:ascii="Cambria" w:eastAsiaTheme="minorHAnsi" w:hAnsi="Cambria" w:cs="Cambria"/>
          <w:sz w:val="20"/>
          <w:szCs w:val="20"/>
          <w:lang w:val="es-CO"/>
          <w14:ligatures w14:val="standardContextual"/>
        </w:rPr>
        <w:t xml:space="preserve">medidas necesarias para su protección. Pese a ello, </w:t>
      </w:r>
      <w:r w:rsidR="00C77EA8" w:rsidRPr="00A37FB0">
        <w:rPr>
          <w:rFonts w:ascii="Cambria" w:eastAsiaTheme="minorHAnsi" w:hAnsi="Cambria" w:cs="Cambria"/>
          <w:sz w:val="20"/>
          <w:szCs w:val="20"/>
          <w:lang w:val="es-CO"/>
          <w14:ligatures w14:val="standardContextual"/>
        </w:rPr>
        <w:t xml:space="preserve">la Comisión notó que </w:t>
      </w:r>
      <w:r w:rsidR="008401AC" w:rsidRPr="00A37FB0">
        <w:rPr>
          <w:rFonts w:ascii="Cambria" w:eastAsiaTheme="minorHAnsi" w:hAnsi="Cambria" w:cs="Cambria"/>
          <w:sz w:val="20"/>
          <w:szCs w:val="20"/>
          <w:lang w:val="es-CO"/>
          <w14:ligatures w14:val="standardContextual"/>
        </w:rPr>
        <w:t>la última comunicación oficial sobre la situación de</w:t>
      </w:r>
      <w:r w:rsidR="001F2302" w:rsidRPr="00A37FB0">
        <w:rPr>
          <w:rFonts w:ascii="Cambria" w:eastAsiaTheme="minorHAnsi" w:hAnsi="Cambria" w:cs="Cambria"/>
          <w:sz w:val="20"/>
          <w:szCs w:val="20"/>
          <w:lang w:val="es-CO"/>
          <w14:ligatures w14:val="standardContextual"/>
        </w:rPr>
        <w:t xml:space="preserve"> </w:t>
      </w:r>
      <w:r w:rsidR="008401AC" w:rsidRPr="00A37FB0">
        <w:rPr>
          <w:rFonts w:ascii="Cambria" w:eastAsiaTheme="minorHAnsi" w:hAnsi="Cambria" w:cs="Cambria"/>
          <w:sz w:val="20"/>
          <w:szCs w:val="20"/>
          <w:lang w:val="es-CO"/>
          <w14:ligatures w14:val="standardContextual"/>
        </w:rPr>
        <w:t xml:space="preserve">seguridad del señor Zapata es del 12 de mayo de 1998, </w:t>
      </w:r>
      <w:r w:rsidR="003F5463" w:rsidRPr="00A37FB0">
        <w:rPr>
          <w:rFonts w:ascii="Cambria" w:eastAsiaTheme="minorHAnsi" w:hAnsi="Cambria" w:cs="Cambria"/>
          <w:sz w:val="20"/>
          <w:szCs w:val="20"/>
          <w:lang w:val="es-CO"/>
          <w14:ligatures w14:val="standardContextual"/>
        </w:rPr>
        <w:t xml:space="preserve">en vista de lo cual la Comisión consideró </w:t>
      </w:r>
      <w:r w:rsidR="008B46BF" w:rsidRPr="00A37FB0">
        <w:rPr>
          <w:rFonts w:ascii="Cambria" w:eastAsiaTheme="minorHAnsi" w:hAnsi="Cambria" w:cs="Cambria"/>
          <w:sz w:val="20"/>
          <w:szCs w:val="20"/>
          <w:lang w:val="es-CO"/>
          <w14:ligatures w14:val="standardContextual"/>
        </w:rPr>
        <w:t>que el Estado no acreditó tomar las medidas que razonablemente se espera</w:t>
      </w:r>
      <w:r w:rsidR="00AB33AB" w:rsidRPr="00A37FB0">
        <w:rPr>
          <w:rFonts w:ascii="Cambria" w:eastAsiaTheme="minorHAnsi" w:hAnsi="Cambria" w:cs="Cambria"/>
          <w:sz w:val="20"/>
          <w:szCs w:val="20"/>
          <w:lang w:val="es-CO"/>
          <w14:ligatures w14:val="standardContextual"/>
        </w:rPr>
        <w:t>ran</w:t>
      </w:r>
      <w:r w:rsidR="008B46BF" w:rsidRPr="00A37FB0">
        <w:rPr>
          <w:rFonts w:ascii="Cambria" w:eastAsiaTheme="minorHAnsi" w:hAnsi="Cambria" w:cs="Cambria"/>
          <w:sz w:val="20"/>
          <w:szCs w:val="20"/>
          <w:lang w:val="es-CO"/>
          <w14:ligatures w14:val="standardContextual"/>
        </w:rPr>
        <w:t xml:space="preserve"> </w:t>
      </w:r>
      <w:r w:rsidR="00BF3FD1" w:rsidRPr="00A37FB0">
        <w:rPr>
          <w:rFonts w:ascii="Cambria" w:eastAsiaTheme="minorHAnsi" w:hAnsi="Cambria" w:cs="Cambria"/>
          <w:sz w:val="20"/>
          <w:szCs w:val="20"/>
          <w:lang w:val="es-CO"/>
          <w14:ligatures w14:val="standardContextual"/>
        </w:rPr>
        <w:t xml:space="preserve">para proteger a la víctima respecto del riesgo que </w:t>
      </w:r>
      <w:r w:rsidR="005A44D3" w:rsidRPr="00A37FB0">
        <w:rPr>
          <w:rFonts w:ascii="Cambria" w:eastAsiaTheme="minorHAnsi" w:hAnsi="Cambria" w:cs="Cambria"/>
          <w:sz w:val="20"/>
          <w:szCs w:val="20"/>
          <w:lang w:val="es-CO"/>
          <w14:ligatures w14:val="standardContextual"/>
        </w:rPr>
        <w:t xml:space="preserve">enfrentaba, </w:t>
      </w:r>
      <w:r w:rsidR="008401AC" w:rsidRPr="00A37FB0">
        <w:rPr>
          <w:rFonts w:ascii="Cambria" w:eastAsiaTheme="minorHAnsi" w:hAnsi="Cambria" w:cs="Cambria"/>
          <w:sz w:val="20"/>
          <w:szCs w:val="20"/>
          <w:lang w:val="es-CO"/>
          <w14:ligatures w14:val="standardContextual"/>
        </w:rPr>
        <w:t>lo que no es consistente con su obligación de prevenir</w:t>
      </w:r>
      <w:r w:rsidR="001F2302" w:rsidRPr="00A37FB0">
        <w:rPr>
          <w:rFonts w:ascii="Cambria" w:eastAsiaTheme="minorHAnsi" w:hAnsi="Cambria" w:cs="Cambria"/>
          <w:sz w:val="20"/>
          <w:szCs w:val="20"/>
          <w:lang w:val="es-CO"/>
          <w14:ligatures w14:val="standardContextual"/>
        </w:rPr>
        <w:t xml:space="preserve"> </w:t>
      </w:r>
      <w:r w:rsidR="008401AC" w:rsidRPr="00A37FB0">
        <w:rPr>
          <w:rFonts w:ascii="Cambria" w:eastAsiaTheme="minorHAnsi" w:hAnsi="Cambria" w:cs="Cambria"/>
          <w:sz w:val="20"/>
          <w:szCs w:val="20"/>
          <w:lang w:val="es-CO"/>
          <w14:ligatures w14:val="standardContextual"/>
        </w:rPr>
        <w:t>violaciones del derecho a la vida</w:t>
      </w:r>
      <w:r w:rsidR="004E4EEE">
        <w:rPr>
          <w:rFonts w:ascii="Cambria" w:eastAsiaTheme="minorHAnsi" w:hAnsi="Cambria" w:cs="Cambria"/>
          <w:sz w:val="20"/>
          <w:szCs w:val="20"/>
          <w:lang w:val="es-CO"/>
          <w14:ligatures w14:val="standardContextual"/>
        </w:rPr>
        <w:t xml:space="preserve">, </w:t>
      </w:r>
      <w:r w:rsidR="001F2302" w:rsidRPr="00A37FB0">
        <w:rPr>
          <w:rFonts w:ascii="Cambria" w:eastAsiaTheme="minorHAnsi" w:hAnsi="Cambria" w:cs="Cambria"/>
          <w:sz w:val="20"/>
          <w:szCs w:val="20"/>
          <w:lang w:val="es-CO"/>
          <w14:ligatures w14:val="standardContextual"/>
        </w:rPr>
        <w:t>por lo cual la Comisión determinó la responsabilidad del Estado</w:t>
      </w:r>
      <w:r w:rsidR="00FD19C2" w:rsidRPr="00A37FB0">
        <w:rPr>
          <w:rFonts w:ascii="Cambria" w:eastAsiaTheme="minorHAnsi" w:hAnsi="Cambria" w:cs="Cambria"/>
          <w:sz w:val="20"/>
          <w:szCs w:val="20"/>
          <w:lang w:val="es-CO"/>
          <w14:ligatures w14:val="standardContextual"/>
        </w:rPr>
        <w:t xml:space="preserve">. </w:t>
      </w:r>
    </w:p>
    <w:p w14:paraId="1EA24D2F" w14:textId="77777777" w:rsidR="00653CA6" w:rsidRPr="00C5754A" w:rsidRDefault="00653CA6" w:rsidP="00653CA6">
      <w:pPr>
        <w:tabs>
          <w:tab w:val="left" w:pos="360"/>
          <w:tab w:val="left" w:pos="1440"/>
        </w:tabs>
        <w:spacing w:after="0" w:line="240" w:lineRule="auto"/>
        <w:jc w:val="both"/>
        <w:rPr>
          <w:rFonts w:ascii="Cambria" w:eastAsia="Arial Unicode MS" w:hAnsi="Cambria"/>
          <w:color w:val="000000"/>
          <w:sz w:val="16"/>
          <w:szCs w:val="16"/>
          <w:bdr w:val="nil"/>
          <w:lang w:val="es-CO"/>
        </w:rPr>
      </w:pPr>
    </w:p>
    <w:p w14:paraId="5709B71B" w14:textId="4656555B" w:rsidR="000D1F15" w:rsidRPr="00A37FB0" w:rsidRDefault="00C37E1C" w:rsidP="008B0502">
      <w:pPr>
        <w:tabs>
          <w:tab w:val="left" w:pos="360"/>
          <w:tab w:val="left" w:pos="1440"/>
        </w:tabs>
        <w:spacing w:after="0" w:line="240" w:lineRule="auto"/>
        <w:jc w:val="both"/>
        <w:rPr>
          <w:rFonts w:ascii="Cambria" w:eastAsia="Arial Unicode MS" w:hAnsi="Cambria"/>
          <w:color w:val="000000"/>
          <w:sz w:val="20"/>
          <w:szCs w:val="20"/>
          <w:bdr w:val="nil"/>
          <w:lang w:val="es-CO"/>
        </w:rPr>
      </w:pPr>
      <w:r w:rsidRPr="00A37FB0">
        <w:rPr>
          <w:rFonts w:ascii="Cambria" w:eastAsia="Arial Unicode MS" w:hAnsi="Cambria"/>
          <w:color w:val="000000"/>
          <w:sz w:val="20"/>
          <w:szCs w:val="20"/>
          <w:bdr w:val="nil"/>
          <w:lang w:val="es-CO"/>
        </w:rPr>
        <w:tab/>
      </w:r>
      <w:r w:rsidR="000D1F15" w:rsidRPr="00A37FB0">
        <w:rPr>
          <w:rFonts w:ascii="Cambria" w:eastAsia="Arial Unicode MS" w:hAnsi="Cambria"/>
          <w:color w:val="000000"/>
          <w:sz w:val="20"/>
          <w:szCs w:val="20"/>
          <w:bdr w:val="nil"/>
          <w:lang w:val="es-CO"/>
        </w:rPr>
        <w:t>Asimismo, l</w:t>
      </w:r>
      <w:r w:rsidR="00653CA6" w:rsidRPr="00A37FB0">
        <w:rPr>
          <w:rFonts w:ascii="Cambria" w:eastAsia="Arial Unicode MS" w:hAnsi="Cambria"/>
          <w:color w:val="000000"/>
          <w:sz w:val="20"/>
          <w:szCs w:val="20"/>
          <w:bdr w:val="nil"/>
          <w:lang w:val="es-CO"/>
        </w:rPr>
        <w:t xml:space="preserve">a Comisión </w:t>
      </w:r>
      <w:r w:rsidR="000D1F15" w:rsidRPr="00A37FB0">
        <w:rPr>
          <w:rFonts w:ascii="Cambria" w:eastAsia="Arial Unicode MS" w:hAnsi="Cambria"/>
          <w:color w:val="000000"/>
          <w:sz w:val="20"/>
          <w:szCs w:val="20"/>
          <w:bdr w:val="nil"/>
          <w:lang w:val="es-CO"/>
        </w:rPr>
        <w:t>consideró</w:t>
      </w:r>
      <w:r w:rsidR="00A93822" w:rsidRPr="00A37FB0">
        <w:rPr>
          <w:rFonts w:ascii="Cambria" w:eastAsia="Arial Unicode MS" w:hAnsi="Cambria"/>
          <w:color w:val="000000"/>
          <w:sz w:val="20"/>
          <w:szCs w:val="20"/>
          <w:bdr w:val="nil"/>
          <w:lang w:val="es-CO"/>
        </w:rPr>
        <w:t xml:space="preserve"> </w:t>
      </w:r>
      <w:r w:rsidR="008B0502" w:rsidRPr="00A37FB0">
        <w:rPr>
          <w:rFonts w:ascii="Cambria" w:eastAsia="Arial Unicode MS" w:hAnsi="Cambria"/>
          <w:color w:val="000000"/>
          <w:sz w:val="20"/>
          <w:szCs w:val="20"/>
          <w:bdr w:val="nil"/>
          <w:lang w:val="es-CO"/>
        </w:rPr>
        <w:t xml:space="preserve">que </w:t>
      </w:r>
      <w:r w:rsidR="00D064C5" w:rsidRPr="00A37FB0">
        <w:rPr>
          <w:rFonts w:ascii="Cambria" w:eastAsia="Arial Unicode MS" w:hAnsi="Cambria"/>
          <w:color w:val="000000"/>
          <w:sz w:val="20"/>
          <w:szCs w:val="20"/>
          <w:bdr w:val="nil"/>
          <w:lang w:val="es-CO"/>
        </w:rPr>
        <w:t xml:space="preserve">el señor Zapata fue víctima de hostigamiento judicial </w:t>
      </w:r>
      <w:r w:rsidR="00A93822" w:rsidRPr="00A37FB0">
        <w:rPr>
          <w:rFonts w:ascii="Cambria" w:eastAsia="Arial Unicode MS" w:hAnsi="Cambria"/>
          <w:color w:val="000000"/>
          <w:sz w:val="20"/>
          <w:szCs w:val="20"/>
          <w:bdr w:val="nil"/>
          <w:lang w:val="es-CO"/>
        </w:rPr>
        <w:t xml:space="preserve">y que </w:t>
      </w:r>
      <w:r w:rsidR="008B0502" w:rsidRPr="00A37FB0">
        <w:rPr>
          <w:rFonts w:ascii="Cambria" w:eastAsia="Arial Unicode MS" w:hAnsi="Cambria"/>
          <w:color w:val="000000"/>
          <w:sz w:val="20"/>
          <w:szCs w:val="20"/>
          <w:bdr w:val="nil"/>
          <w:lang w:val="es-CO"/>
        </w:rPr>
        <w:t xml:space="preserve">el repertorio de situaciones hostiles experimentadas por </w:t>
      </w:r>
      <w:r w:rsidR="00A93822" w:rsidRPr="00A37FB0">
        <w:rPr>
          <w:rFonts w:ascii="Cambria" w:eastAsia="Arial Unicode MS" w:hAnsi="Cambria"/>
          <w:color w:val="000000"/>
          <w:sz w:val="20"/>
          <w:szCs w:val="20"/>
          <w:bdr w:val="nil"/>
          <w:lang w:val="es-CO"/>
        </w:rPr>
        <w:t xml:space="preserve">él </w:t>
      </w:r>
      <w:r w:rsidR="008B0502" w:rsidRPr="00A37FB0">
        <w:rPr>
          <w:rFonts w:ascii="Cambria" w:eastAsia="Arial Unicode MS" w:hAnsi="Cambria"/>
          <w:color w:val="000000"/>
          <w:sz w:val="20"/>
          <w:szCs w:val="20"/>
          <w:bdr w:val="nil"/>
          <w:lang w:val="es-CO"/>
        </w:rPr>
        <w:t xml:space="preserve">en la década de los noventa hasta su retorno a Segovia en 1998, en el contexto colombiano de dicha época y específicamente en Segovia, estuvieron orientadas a obstaculizar su labor de defensa de derechos humanos afectando su pertenencia a sus organizaciones y el funcionamiento de las mismas, lo cual generó sufrimiento y miedo, provocando su desplazamiento forzado. En estos términos, la Comisión concluyó que el Estado vulneró los derechos a la integridad, la honra y dignidad, a la libertad de expresión, a la libertad de asociación y a la libertad de circulación. </w:t>
      </w:r>
    </w:p>
    <w:p w14:paraId="30426C59" w14:textId="77777777" w:rsidR="00653CA6" w:rsidRPr="00C5754A" w:rsidRDefault="00653CA6" w:rsidP="00653CA6">
      <w:pPr>
        <w:tabs>
          <w:tab w:val="left" w:pos="567"/>
          <w:tab w:val="left" w:pos="1440"/>
        </w:tabs>
        <w:spacing w:after="0" w:line="240" w:lineRule="auto"/>
        <w:jc w:val="both"/>
        <w:rPr>
          <w:rFonts w:ascii="Cambria" w:hAnsi="Cambria"/>
          <w:sz w:val="16"/>
          <w:szCs w:val="16"/>
          <w:lang w:val="es-CO"/>
        </w:rPr>
      </w:pPr>
    </w:p>
    <w:p w14:paraId="75D5161B" w14:textId="20ACE2B7" w:rsidR="00653CA6" w:rsidRPr="00A37FB0" w:rsidRDefault="00C37E1C" w:rsidP="00C37E1C">
      <w:pPr>
        <w:tabs>
          <w:tab w:val="left" w:pos="360"/>
          <w:tab w:val="left" w:pos="1440"/>
        </w:tabs>
        <w:spacing w:after="0" w:line="240" w:lineRule="auto"/>
        <w:jc w:val="both"/>
        <w:rPr>
          <w:rFonts w:ascii="Cambria" w:hAnsi="Cambria"/>
          <w:sz w:val="20"/>
          <w:szCs w:val="20"/>
          <w:lang w:val="es-CO"/>
        </w:rPr>
      </w:pPr>
      <w:r w:rsidRPr="00A37FB0">
        <w:rPr>
          <w:rFonts w:ascii="Cambria" w:hAnsi="Cambria"/>
          <w:sz w:val="20"/>
          <w:szCs w:val="20"/>
          <w:lang w:val="es-CO"/>
        </w:rPr>
        <w:tab/>
      </w:r>
      <w:r w:rsidR="00653CA6" w:rsidRPr="00A37FB0">
        <w:rPr>
          <w:rFonts w:ascii="Cambria" w:hAnsi="Cambria"/>
          <w:sz w:val="20"/>
          <w:szCs w:val="20"/>
          <w:lang w:val="es-CO"/>
        </w:rPr>
        <w:t>En relación con los derechos a las garantías judiciales y protección judicial, la Comisión estableció, en primer lugar, que el Estado no cumplió con su obligación de debida diligencia de aseguramiento de la escena criminal. Ello, dado que cuando su sobrino dio noticia del hecho criminal, las autoridades le dijeron que se encargara del levantar el cadáver de su tío. La C</w:t>
      </w:r>
      <w:r w:rsidRPr="00A37FB0">
        <w:rPr>
          <w:rFonts w:ascii="Cambria" w:hAnsi="Cambria"/>
          <w:sz w:val="20"/>
          <w:szCs w:val="20"/>
          <w:lang w:val="es-CO"/>
        </w:rPr>
        <w:t>omisión</w:t>
      </w:r>
      <w:r w:rsidR="00653CA6" w:rsidRPr="00A37FB0">
        <w:rPr>
          <w:rFonts w:ascii="Cambria" w:hAnsi="Cambria"/>
          <w:sz w:val="20"/>
          <w:szCs w:val="20"/>
          <w:lang w:val="es-CO"/>
        </w:rPr>
        <w:t xml:space="preserve"> señaló que este hecho resulta de suma gravedad, ya que la manipulación del cadáver contaminó la escena del crimen, impactando en cualquier evidencia que podría haber contribuido con la identificación de los perpetradores del crimen y sus conexiones.</w:t>
      </w:r>
    </w:p>
    <w:p w14:paraId="0ABE128E" w14:textId="77777777" w:rsidR="00653CA6" w:rsidRPr="00C5754A" w:rsidRDefault="00653CA6" w:rsidP="00653CA6">
      <w:pPr>
        <w:tabs>
          <w:tab w:val="left" w:pos="567"/>
          <w:tab w:val="left" w:pos="1440"/>
        </w:tabs>
        <w:spacing w:after="0" w:line="240" w:lineRule="auto"/>
        <w:jc w:val="both"/>
        <w:rPr>
          <w:rFonts w:ascii="Cambria" w:hAnsi="Cambria"/>
          <w:sz w:val="16"/>
          <w:szCs w:val="16"/>
          <w:lang w:val="es-CO"/>
        </w:rPr>
      </w:pPr>
    </w:p>
    <w:p w14:paraId="7F60A5DA" w14:textId="15E7B08A" w:rsidR="0005391C" w:rsidRPr="00A37FB0" w:rsidRDefault="00653CA6" w:rsidP="0005744C">
      <w:pPr>
        <w:autoSpaceDE w:val="0"/>
        <w:autoSpaceDN w:val="0"/>
        <w:adjustRightInd w:val="0"/>
        <w:spacing w:after="0" w:line="240" w:lineRule="auto"/>
        <w:ind w:firstLine="360"/>
        <w:jc w:val="both"/>
        <w:rPr>
          <w:rFonts w:ascii="Cambria" w:eastAsiaTheme="minorHAnsi" w:hAnsi="Cambria" w:cs="Cambria"/>
          <w:sz w:val="20"/>
          <w:szCs w:val="20"/>
          <w:lang w:val="es-CO"/>
          <w14:ligatures w14:val="standardContextual"/>
        </w:rPr>
      </w:pPr>
      <w:r w:rsidRPr="00A37FB0">
        <w:rPr>
          <w:rFonts w:ascii="Cambria" w:hAnsi="Cambria"/>
          <w:sz w:val="20"/>
          <w:szCs w:val="20"/>
          <w:lang w:val="es-CO"/>
        </w:rPr>
        <w:t xml:space="preserve">Por otra parte, encontró que no hubo una línea de investigación principal clara que buscara establecer que la muerte del señor Zapata estuvo relacionada con su labor de defensor de derechos humanos como hubiera correspondido en su calidad de tal. </w:t>
      </w:r>
      <w:r w:rsidR="004E6616" w:rsidRPr="00A37FB0">
        <w:rPr>
          <w:rFonts w:ascii="Cambria" w:hAnsi="Cambria"/>
          <w:sz w:val="20"/>
          <w:szCs w:val="20"/>
          <w:lang w:val="es-CO"/>
        </w:rPr>
        <w:t>La Comisión o</w:t>
      </w:r>
      <w:r w:rsidRPr="00A37FB0">
        <w:rPr>
          <w:rFonts w:ascii="Cambria" w:hAnsi="Cambria"/>
          <w:sz w:val="20"/>
          <w:szCs w:val="20"/>
          <w:lang w:val="es-CO"/>
        </w:rPr>
        <w:t>bservó asimismo con preocupación que uno de los testigos que culpó materialmente a varios paramilitares por la muerte del señor Zapata y estableció algunas conexiones con agentes de seguridad del Estado, murió en un atentado tiempo después de sentar su declaración. Por otra parte, la Comisión señaló que las varias investigaciones que incluyen falsos testimonios y un informe de inteligencia, utilizados para hostigar la labor de defensor de la víctima, no fueron incorporados a la investigación.</w:t>
      </w:r>
      <w:r w:rsidR="00180760" w:rsidRPr="00A37FB0">
        <w:rPr>
          <w:rFonts w:ascii="Cambria" w:hAnsi="Cambria"/>
          <w:sz w:val="20"/>
          <w:szCs w:val="20"/>
          <w:lang w:val="es-CO"/>
        </w:rPr>
        <w:t xml:space="preserve"> Adicionalmente, la Comisión notó que </w:t>
      </w:r>
      <w:r w:rsidR="00180760" w:rsidRPr="00A37FB0">
        <w:rPr>
          <w:rFonts w:ascii="Cambria" w:eastAsiaTheme="minorHAnsi" w:hAnsi="Cambria" w:cs="Cambria"/>
          <w:sz w:val="20"/>
          <w:szCs w:val="20"/>
          <w:lang w:val="es-CO"/>
          <w14:ligatures w14:val="standardContextual"/>
        </w:rPr>
        <w:t>la investigación inició al día siguiente de la muerte del señor Zapata y se ha prolongado hasta la actualidad,</w:t>
      </w:r>
      <w:r w:rsidR="003F4C3C" w:rsidRPr="00A37FB0">
        <w:rPr>
          <w:rFonts w:ascii="Cambria" w:eastAsiaTheme="minorHAnsi" w:hAnsi="Cambria" w:cs="Cambria"/>
          <w:sz w:val="20"/>
          <w:szCs w:val="20"/>
          <w:lang w:val="es-CO"/>
          <w14:ligatures w14:val="standardContextual"/>
        </w:rPr>
        <w:t xml:space="preserve"> siendo que la</w:t>
      </w:r>
      <w:r w:rsidR="00180760" w:rsidRPr="00A37FB0">
        <w:rPr>
          <w:rFonts w:ascii="Cambria" w:eastAsiaTheme="minorHAnsi" w:hAnsi="Cambria" w:cs="Cambria"/>
          <w:sz w:val="20"/>
          <w:szCs w:val="20"/>
          <w:lang w:val="es-CO"/>
          <w14:ligatures w14:val="standardContextual"/>
        </w:rPr>
        <w:t xml:space="preserve"> investigación previa llevaba 19 años en estudio</w:t>
      </w:r>
      <w:r w:rsidR="002753F8" w:rsidRPr="00A37FB0">
        <w:rPr>
          <w:rFonts w:ascii="Cambria" w:eastAsiaTheme="minorHAnsi" w:hAnsi="Cambria" w:cs="Cambria"/>
          <w:sz w:val="20"/>
          <w:szCs w:val="20"/>
          <w:lang w:val="es-CO"/>
          <w14:ligatures w14:val="standardContextual"/>
        </w:rPr>
        <w:t>.</w:t>
      </w:r>
      <w:r w:rsidR="00821C06" w:rsidRPr="00A37FB0">
        <w:rPr>
          <w:rFonts w:ascii="Cambria" w:eastAsiaTheme="minorHAnsi" w:hAnsi="Cambria" w:cs="Cambria"/>
          <w:sz w:val="20"/>
          <w:szCs w:val="20"/>
          <w:lang w:val="es-CO"/>
          <w14:ligatures w14:val="standardContextual"/>
        </w:rPr>
        <w:t xml:space="preserve"> </w:t>
      </w:r>
      <w:r w:rsidR="0005391C" w:rsidRPr="00A37FB0">
        <w:rPr>
          <w:rFonts w:ascii="Cambria" w:hAnsi="Cambria"/>
          <w:sz w:val="20"/>
          <w:szCs w:val="20"/>
          <w:lang w:val="es-CO"/>
        </w:rPr>
        <w:t xml:space="preserve">En virtud de dichas consideraciones, la Comisión concluyó que el Estado violó los derechos a las garantías judiciales y a la protección judicial, y que la investigación </w:t>
      </w:r>
      <w:r w:rsidR="00500AEC">
        <w:rPr>
          <w:rFonts w:ascii="Cambria" w:hAnsi="Cambria"/>
          <w:sz w:val="20"/>
          <w:szCs w:val="20"/>
          <w:lang w:val="es-CO"/>
        </w:rPr>
        <w:t xml:space="preserve">no se </w:t>
      </w:r>
      <w:r w:rsidR="00821C06" w:rsidRPr="00A37FB0">
        <w:rPr>
          <w:rFonts w:ascii="Cambria" w:hAnsi="Cambria"/>
          <w:sz w:val="20"/>
          <w:szCs w:val="20"/>
          <w:lang w:val="es-CO"/>
        </w:rPr>
        <w:t xml:space="preserve">llevó </w:t>
      </w:r>
      <w:r w:rsidR="0005391C" w:rsidRPr="00A37FB0">
        <w:rPr>
          <w:rFonts w:ascii="Cambria" w:hAnsi="Cambria"/>
          <w:sz w:val="20"/>
          <w:szCs w:val="20"/>
          <w:lang w:val="es-CO"/>
        </w:rPr>
        <w:t>a cabo en un plazo razonable</w:t>
      </w:r>
      <w:r w:rsidR="00821C06" w:rsidRPr="00A37FB0">
        <w:rPr>
          <w:rFonts w:ascii="Cambria" w:hAnsi="Cambria"/>
          <w:sz w:val="20"/>
          <w:szCs w:val="20"/>
          <w:lang w:val="es-CO"/>
        </w:rPr>
        <w:t xml:space="preserve">. </w:t>
      </w:r>
    </w:p>
    <w:p w14:paraId="4B5FD849" w14:textId="77777777" w:rsidR="002753F8" w:rsidRPr="00C5754A" w:rsidRDefault="002753F8" w:rsidP="00670DC6">
      <w:pPr>
        <w:autoSpaceDE w:val="0"/>
        <w:autoSpaceDN w:val="0"/>
        <w:adjustRightInd w:val="0"/>
        <w:spacing w:after="0" w:line="240" w:lineRule="auto"/>
        <w:jc w:val="both"/>
        <w:rPr>
          <w:rFonts w:ascii="Cambria" w:eastAsiaTheme="minorHAnsi" w:hAnsi="Cambria" w:cs="Cambria"/>
          <w:sz w:val="16"/>
          <w:szCs w:val="16"/>
          <w:lang w:val="es-CO"/>
          <w14:ligatures w14:val="standardContextual"/>
        </w:rPr>
      </w:pPr>
    </w:p>
    <w:p w14:paraId="12963F0E" w14:textId="09412EF0" w:rsidR="002753F8" w:rsidRPr="00A37FB0" w:rsidRDefault="002753F8" w:rsidP="00821C06">
      <w:pPr>
        <w:autoSpaceDE w:val="0"/>
        <w:autoSpaceDN w:val="0"/>
        <w:adjustRightInd w:val="0"/>
        <w:spacing w:after="0" w:line="240" w:lineRule="auto"/>
        <w:ind w:firstLine="360"/>
        <w:jc w:val="both"/>
        <w:rPr>
          <w:rFonts w:ascii="Cambria" w:eastAsiaTheme="minorHAnsi" w:hAnsi="Cambria" w:cs="Cambria"/>
          <w:sz w:val="20"/>
          <w:szCs w:val="20"/>
          <w:lang w:val="es-CO"/>
          <w14:ligatures w14:val="standardContextual"/>
        </w:rPr>
      </w:pPr>
      <w:r w:rsidRPr="00A37FB0">
        <w:rPr>
          <w:rFonts w:ascii="Cambria" w:eastAsiaTheme="minorHAnsi" w:hAnsi="Cambria" w:cs="Cambria"/>
          <w:sz w:val="20"/>
          <w:szCs w:val="20"/>
          <w:lang w:val="es-CO"/>
          <w14:ligatures w14:val="standardContextual"/>
        </w:rPr>
        <w:t xml:space="preserve">Finalmente, la Comisión </w:t>
      </w:r>
      <w:r w:rsidR="00670DC6" w:rsidRPr="00A37FB0">
        <w:rPr>
          <w:rFonts w:ascii="Cambria" w:eastAsiaTheme="minorHAnsi" w:hAnsi="Cambria" w:cs="Cambria"/>
          <w:sz w:val="20"/>
          <w:szCs w:val="20"/>
          <w:lang w:val="es-CO"/>
          <w14:ligatures w14:val="standardContextual"/>
        </w:rPr>
        <w:t>consideró que la pérdida de su ser querido en circunstancias como las descritas, así como la ausencia de verdad y justicia, y el retardo en las investigaciones ocasionaron sufrimiento, una situación de riesgo y angustia constantes en perjuicio de los familiares de</w:t>
      </w:r>
      <w:r w:rsidR="009702E4" w:rsidRPr="00A37FB0">
        <w:rPr>
          <w:rFonts w:ascii="Cambria" w:eastAsiaTheme="minorHAnsi" w:hAnsi="Cambria" w:cs="Cambria"/>
          <w:sz w:val="20"/>
          <w:szCs w:val="20"/>
          <w:lang w:val="es-CO"/>
          <w14:ligatures w14:val="standardContextual"/>
        </w:rPr>
        <w:t xml:space="preserve">l señor </w:t>
      </w:r>
      <w:r w:rsidR="00670DC6" w:rsidRPr="00A37FB0">
        <w:rPr>
          <w:rFonts w:ascii="Cambria" w:eastAsiaTheme="minorHAnsi" w:hAnsi="Cambria" w:cs="Cambria"/>
          <w:sz w:val="20"/>
          <w:szCs w:val="20"/>
          <w:lang w:val="es-CO"/>
          <w14:ligatures w14:val="standardContextual"/>
        </w:rPr>
        <w:t>Zapata</w:t>
      </w:r>
      <w:r w:rsidR="00A5747D" w:rsidRPr="00A37FB0">
        <w:rPr>
          <w:rFonts w:ascii="Cambria" w:eastAsiaTheme="minorHAnsi" w:hAnsi="Cambria" w:cs="Cambria"/>
          <w:sz w:val="20"/>
          <w:szCs w:val="20"/>
          <w:lang w:val="es-CO"/>
          <w14:ligatures w14:val="standardContextual"/>
        </w:rPr>
        <w:t xml:space="preserve"> en violación de su derecho a la integridad psíquica y moral. </w:t>
      </w:r>
    </w:p>
    <w:p w14:paraId="5C4DE86A" w14:textId="77777777" w:rsidR="00653CA6" w:rsidRPr="00C5754A" w:rsidRDefault="00653CA6" w:rsidP="00653CA6">
      <w:pPr>
        <w:tabs>
          <w:tab w:val="left" w:pos="567"/>
          <w:tab w:val="left" w:pos="1440"/>
        </w:tabs>
        <w:spacing w:after="0" w:line="240" w:lineRule="auto"/>
        <w:jc w:val="both"/>
        <w:rPr>
          <w:rFonts w:ascii="Cambria" w:hAnsi="Cambria"/>
          <w:sz w:val="16"/>
          <w:szCs w:val="16"/>
          <w:lang w:val="es-CO"/>
        </w:rPr>
      </w:pPr>
    </w:p>
    <w:p w14:paraId="1C8BDB28" w14:textId="24B275F2" w:rsidR="00E37CE0" w:rsidRPr="00A37FB0" w:rsidRDefault="009702E4" w:rsidP="009702E4">
      <w:pPr>
        <w:tabs>
          <w:tab w:val="left" w:pos="360"/>
          <w:tab w:val="left" w:pos="1440"/>
        </w:tabs>
        <w:spacing w:after="0" w:line="240" w:lineRule="auto"/>
        <w:jc w:val="both"/>
        <w:rPr>
          <w:rFonts w:ascii="Cambria" w:hAnsi="Cambria"/>
          <w:sz w:val="20"/>
          <w:szCs w:val="20"/>
          <w:lang w:val="es-CO"/>
        </w:rPr>
      </w:pPr>
      <w:r w:rsidRPr="00A37FB0">
        <w:rPr>
          <w:rFonts w:ascii="Cambria" w:hAnsi="Cambria"/>
          <w:sz w:val="20"/>
          <w:szCs w:val="20"/>
          <w:lang w:val="es-CO"/>
        </w:rPr>
        <w:tab/>
      </w:r>
      <w:r w:rsidR="00653CA6" w:rsidRPr="00A37FB0">
        <w:rPr>
          <w:rFonts w:ascii="Cambria" w:hAnsi="Cambria"/>
          <w:sz w:val="20"/>
          <w:szCs w:val="20"/>
          <w:lang w:val="es-CO"/>
        </w:rPr>
        <w:t>Con base en dichas determinaciones, la Comisión concluyó que el Estado colombiano es responsable por la violación de los derechos establecidos en los artículos 4.1, 5.1, 8.1, 11.1, 13.1, 16.1, 22.1 y 25.1 de la Convención Americana sobre Derechos Humanos, en relación con las obligaciones establecidas en su artículo 1.1.</w:t>
      </w:r>
    </w:p>
    <w:p w14:paraId="3C63413B" w14:textId="77777777" w:rsidR="00E37CE0" w:rsidRPr="00A37FB0" w:rsidRDefault="00E37CE0" w:rsidP="00E37CE0">
      <w:pPr>
        <w:tabs>
          <w:tab w:val="left" w:pos="567"/>
          <w:tab w:val="left" w:pos="1440"/>
        </w:tabs>
        <w:spacing w:after="0" w:line="240" w:lineRule="auto"/>
        <w:ind w:firstLine="720"/>
        <w:jc w:val="both"/>
        <w:rPr>
          <w:rFonts w:ascii="Cambria" w:hAnsi="Cambria"/>
          <w:sz w:val="20"/>
          <w:szCs w:val="20"/>
          <w:lang w:val="es-CO"/>
        </w:rPr>
      </w:pPr>
    </w:p>
    <w:p w14:paraId="46CA5B03" w14:textId="69E3981C" w:rsidR="00E37CE0" w:rsidRPr="00A37FB0" w:rsidRDefault="002441DB" w:rsidP="002441DB">
      <w:pPr>
        <w:pStyle w:val="HTMLPreformatted"/>
        <w:tabs>
          <w:tab w:val="clear" w:pos="916"/>
          <w:tab w:val="left" w:pos="360"/>
        </w:tabs>
        <w:jc w:val="both"/>
        <w:rPr>
          <w:rFonts w:ascii="Cambria" w:hAnsi="Cambria" w:cs="Calibri"/>
          <w:color w:val="000000"/>
          <w:lang w:val="es-CO"/>
        </w:rPr>
      </w:pPr>
      <w:r w:rsidRPr="00A37FB0">
        <w:rPr>
          <w:rFonts w:ascii="Cambria" w:hAnsi="Cambria" w:cs="Calibri"/>
          <w:color w:val="000000"/>
          <w:lang w:val="es-CO"/>
        </w:rPr>
        <w:tab/>
      </w:r>
      <w:r w:rsidR="00E37CE0" w:rsidRPr="00A37FB0">
        <w:rPr>
          <w:rFonts w:ascii="Cambria" w:hAnsi="Cambria" w:cs="Calibri"/>
          <w:color w:val="000000"/>
          <w:lang w:val="es-CO"/>
        </w:rPr>
        <w:t xml:space="preserve">El Estado de Colombia depositó el instrumento de ratificación de la Convención Americana sobre Derechos Humanos el 31 de julio de 1973 y aceptó la competencia contenciosa de la Corte Interamericana el 21 de junio de 1985. </w:t>
      </w:r>
    </w:p>
    <w:p w14:paraId="5C124F1D" w14:textId="77777777" w:rsidR="00E37CE0" w:rsidRPr="00C5754A" w:rsidRDefault="00E37CE0" w:rsidP="00E37CE0">
      <w:pPr>
        <w:pStyle w:val="HTMLPreformatted"/>
        <w:tabs>
          <w:tab w:val="clear" w:pos="916"/>
          <w:tab w:val="left" w:pos="720"/>
        </w:tabs>
        <w:jc w:val="both"/>
        <w:rPr>
          <w:rFonts w:ascii="Cambria" w:hAnsi="Cambria" w:cs="Calibri"/>
          <w:color w:val="000000"/>
          <w:sz w:val="16"/>
          <w:szCs w:val="16"/>
          <w:lang w:val="es-CO"/>
        </w:rPr>
      </w:pPr>
    </w:p>
    <w:p w14:paraId="338B6494" w14:textId="4037AC18" w:rsidR="00E37CE0" w:rsidRPr="00A37FB0" w:rsidRDefault="008414D0" w:rsidP="008414D0">
      <w:pPr>
        <w:tabs>
          <w:tab w:val="left" w:pos="360"/>
        </w:tabs>
        <w:spacing w:after="0" w:line="240" w:lineRule="auto"/>
        <w:jc w:val="both"/>
        <w:rPr>
          <w:rFonts w:ascii="Cambria" w:hAnsi="Cambria" w:cs="Calibri"/>
          <w:color w:val="000000"/>
          <w:sz w:val="20"/>
          <w:szCs w:val="20"/>
          <w:highlight w:val="yellow"/>
          <w:lang w:val="es-CO"/>
        </w:rPr>
      </w:pPr>
      <w:r w:rsidRPr="00A37FB0">
        <w:rPr>
          <w:rFonts w:ascii="Cambria" w:hAnsi="Cambria" w:cs="Calibri"/>
          <w:color w:val="000000"/>
          <w:sz w:val="20"/>
          <w:szCs w:val="20"/>
          <w:lang w:val="es-CO"/>
        </w:rPr>
        <w:tab/>
      </w:r>
      <w:r w:rsidR="00E37CE0" w:rsidRPr="00A37FB0">
        <w:rPr>
          <w:rFonts w:ascii="Cambria" w:hAnsi="Cambria" w:cs="Calibri"/>
          <w:color w:val="000000"/>
          <w:sz w:val="20"/>
          <w:szCs w:val="20"/>
          <w:lang w:val="es-CO"/>
        </w:rPr>
        <w:t xml:space="preserve">La Comisión ha designado al Comisionado José Luis Caballero Ochoa y a la Secretaria Ejecutiva Tania Reneaum Panszi como su delegado y delegada. Asimismo, ha designado a Jorge Humberto Meza Flores, Secretario Ejecutivo Adjunto, y a </w:t>
      </w:r>
      <w:r w:rsidR="00FD1976" w:rsidRPr="00A37FB0">
        <w:rPr>
          <w:rFonts w:ascii="Cambria" w:hAnsi="Cambria" w:cs="Calibri"/>
          <w:color w:val="000000"/>
          <w:sz w:val="20"/>
          <w:szCs w:val="20"/>
          <w:lang w:val="es-CO"/>
        </w:rPr>
        <w:t>Carla Leiva</w:t>
      </w:r>
      <w:r w:rsidR="00E37CE0" w:rsidRPr="00A37FB0">
        <w:rPr>
          <w:rFonts w:ascii="Cambria" w:hAnsi="Cambria" w:cs="Calibri"/>
          <w:color w:val="000000"/>
          <w:sz w:val="20"/>
          <w:szCs w:val="20"/>
          <w:lang w:val="es-CO"/>
        </w:rPr>
        <w:t>, especialista de la Secretaría Ejecutiva de la CIDH, quienes actuarán como asesores legales.</w:t>
      </w:r>
    </w:p>
    <w:p w14:paraId="23532757" w14:textId="77777777" w:rsidR="00E37CE0" w:rsidRPr="00A37FB0" w:rsidRDefault="00E37CE0" w:rsidP="00E37CE0">
      <w:pPr>
        <w:spacing w:after="0" w:line="240" w:lineRule="auto"/>
        <w:jc w:val="both"/>
        <w:rPr>
          <w:rFonts w:ascii="Cambria" w:hAnsi="Cambria" w:cs="Calibri"/>
          <w:color w:val="000000"/>
          <w:sz w:val="20"/>
          <w:szCs w:val="20"/>
          <w:highlight w:val="yellow"/>
          <w:lang w:val="es-CO"/>
        </w:rPr>
      </w:pPr>
    </w:p>
    <w:p w14:paraId="48190813" w14:textId="52671537" w:rsidR="00E37CE0" w:rsidRPr="00A37FB0" w:rsidRDefault="00E37CE0" w:rsidP="008414D0">
      <w:pPr>
        <w:tabs>
          <w:tab w:val="left" w:pos="360"/>
        </w:tabs>
        <w:spacing w:after="0" w:line="240" w:lineRule="auto"/>
        <w:jc w:val="both"/>
        <w:rPr>
          <w:rFonts w:ascii="Cambria" w:hAnsi="Cambria" w:cs="Calibri"/>
          <w:color w:val="000000"/>
          <w:sz w:val="20"/>
          <w:szCs w:val="20"/>
          <w:lang w:val="es-CO"/>
        </w:rPr>
      </w:pPr>
      <w:r w:rsidRPr="00A37FB0">
        <w:rPr>
          <w:rFonts w:ascii="Cambria" w:hAnsi="Cambria" w:cs="Calibri"/>
          <w:color w:val="000000"/>
          <w:sz w:val="20"/>
          <w:szCs w:val="20"/>
          <w:lang w:val="es-CO"/>
        </w:rPr>
        <w:tab/>
        <w:t>De conformidad con el artículo 35 del Reglamento de la Corte Interamericana, la Comisión adjunta copia del Informe de Fondo No. 29</w:t>
      </w:r>
      <w:r w:rsidR="00FD1976" w:rsidRPr="00A37FB0">
        <w:rPr>
          <w:rFonts w:ascii="Cambria" w:hAnsi="Cambria" w:cs="Calibri"/>
          <w:color w:val="000000"/>
          <w:sz w:val="20"/>
          <w:szCs w:val="20"/>
          <w:lang w:val="es-CO"/>
        </w:rPr>
        <w:t>9</w:t>
      </w:r>
      <w:r w:rsidRPr="00A37FB0">
        <w:rPr>
          <w:rFonts w:ascii="Cambria" w:hAnsi="Cambria" w:cs="Calibri"/>
          <w:color w:val="000000"/>
          <w:sz w:val="20"/>
          <w:szCs w:val="20"/>
          <w:lang w:val="es-CO"/>
        </w:rPr>
        <w:t>/2</w:t>
      </w:r>
      <w:r w:rsidR="00FD1976" w:rsidRPr="00A37FB0">
        <w:rPr>
          <w:rFonts w:ascii="Cambria" w:hAnsi="Cambria" w:cs="Calibri"/>
          <w:color w:val="000000"/>
          <w:sz w:val="20"/>
          <w:szCs w:val="20"/>
          <w:lang w:val="es-CO"/>
        </w:rPr>
        <w:t>0</w:t>
      </w:r>
      <w:r w:rsidRPr="00A37FB0">
        <w:rPr>
          <w:rFonts w:ascii="Cambria" w:hAnsi="Cambria" w:cs="Calibri"/>
          <w:color w:val="000000"/>
          <w:sz w:val="20"/>
          <w:szCs w:val="20"/>
          <w:lang w:val="es-CO"/>
        </w:rPr>
        <w:t xml:space="preserve"> elaborado en observancia del artículo 50 de la Convención, así como copia de la totalidad del expediente ante la Comisión Interamericana (Apéndice I) y los anexos utilizados en la elaboración del Informe de Fondo No. 29</w:t>
      </w:r>
      <w:r w:rsidR="00FD1976" w:rsidRPr="00A37FB0">
        <w:rPr>
          <w:rFonts w:ascii="Cambria" w:hAnsi="Cambria" w:cs="Calibri"/>
          <w:color w:val="000000"/>
          <w:sz w:val="20"/>
          <w:szCs w:val="20"/>
          <w:lang w:val="es-CO"/>
        </w:rPr>
        <w:t>9</w:t>
      </w:r>
      <w:r w:rsidRPr="00A37FB0">
        <w:rPr>
          <w:rFonts w:ascii="Cambria" w:hAnsi="Cambria" w:cs="Calibri"/>
          <w:color w:val="000000"/>
          <w:sz w:val="20"/>
          <w:szCs w:val="20"/>
          <w:lang w:val="es-CO"/>
        </w:rPr>
        <w:t>/2</w:t>
      </w:r>
      <w:r w:rsidR="00FD1976" w:rsidRPr="00A37FB0">
        <w:rPr>
          <w:rFonts w:ascii="Cambria" w:hAnsi="Cambria" w:cs="Calibri"/>
          <w:color w:val="000000"/>
          <w:sz w:val="20"/>
          <w:szCs w:val="20"/>
          <w:lang w:val="es-CO"/>
        </w:rPr>
        <w:t>0</w:t>
      </w:r>
      <w:r w:rsidRPr="00A37FB0">
        <w:rPr>
          <w:rFonts w:ascii="Cambria" w:hAnsi="Cambria" w:cs="Calibri"/>
          <w:color w:val="000000"/>
          <w:sz w:val="20"/>
          <w:szCs w:val="20"/>
          <w:lang w:val="es-CO"/>
        </w:rPr>
        <w:t xml:space="preserve"> (Anexos). </w:t>
      </w:r>
    </w:p>
    <w:p w14:paraId="0357A815" w14:textId="77777777" w:rsidR="00E37CE0" w:rsidRPr="00A37FB0" w:rsidRDefault="00E37CE0" w:rsidP="00E37CE0">
      <w:pPr>
        <w:spacing w:after="0" w:line="240" w:lineRule="auto"/>
        <w:ind w:firstLine="720"/>
        <w:jc w:val="both"/>
        <w:rPr>
          <w:rFonts w:ascii="Cambria" w:hAnsi="Cambria" w:cs="Calibri"/>
          <w:color w:val="000000"/>
          <w:sz w:val="20"/>
          <w:szCs w:val="20"/>
          <w:lang w:val="es-CO"/>
        </w:rPr>
      </w:pPr>
    </w:p>
    <w:p w14:paraId="54D7E5AD" w14:textId="21E934D0" w:rsidR="00E37CE0" w:rsidRPr="00A37FB0" w:rsidRDefault="008414D0" w:rsidP="008414D0">
      <w:pPr>
        <w:tabs>
          <w:tab w:val="left" w:pos="360"/>
        </w:tabs>
        <w:spacing w:after="0" w:line="240" w:lineRule="auto"/>
        <w:jc w:val="both"/>
        <w:rPr>
          <w:rFonts w:ascii="Cambria" w:eastAsia="Times New Roman" w:hAnsi="Cambria" w:cs="Cambria"/>
          <w:sz w:val="20"/>
          <w:szCs w:val="20"/>
          <w:lang w:val="es-CO"/>
        </w:rPr>
      </w:pPr>
      <w:r w:rsidRPr="00A37FB0">
        <w:rPr>
          <w:rFonts w:ascii="Cambria" w:hAnsi="Cambria" w:cs="Calibri"/>
          <w:color w:val="000000"/>
          <w:sz w:val="20"/>
          <w:szCs w:val="20"/>
          <w:lang w:val="es-CO"/>
        </w:rPr>
        <w:tab/>
      </w:r>
      <w:r w:rsidR="00E37CE0" w:rsidRPr="00A37FB0">
        <w:rPr>
          <w:rFonts w:ascii="Cambria" w:hAnsi="Cambria" w:cs="Calibri"/>
          <w:color w:val="000000"/>
          <w:sz w:val="20"/>
          <w:szCs w:val="20"/>
          <w:lang w:val="es-CO"/>
        </w:rPr>
        <w:t xml:space="preserve">Dicho Informe de Fondo fue notificado al Estado el </w:t>
      </w:r>
      <w:r w:rsidR="004B7EF3" w:rsidRPr="00A37FB0">
        <w:rPr>
          <w:rFonts w:ascii="Cambria" w:hAnsi="Cambria" w:cs="Calibri"/>
          <w:color w:val="000000"/>
          <w:sz w:val="20"/>
          <w:szCs w:val="20"/>
          <w:lang w:val="es-CO"/>
        </w:rPr>
        <w:t>1</w:t>
      </w:r>
      <w:r w:rsidR="00E37CE0" w:rsidRPr="00A37FB0">
        <w:rPr>
          <w:rFonts w:ascii="Cambria" w:hAnsi="Cambria" w:cs="Calibri"/>
          <w:color w:val="000000"/>
          <w:sz w:val="20"/>
          <w:szCs w:val="20"/>
          <w:lang w:val="es-CO"/>
        </w:rPr>
        <w:t>6 de diciembre de 202</w:t>
      </w:r>
      <w:r w:rsidR="004B7EF3" w:rsidRPr="00A37FB0">
        <w:rPr>
          <w:rFonts w:ascii="Cambria" w:hAnsi="Cambria" w:cs="Calibri"/>
          <w:color w:val="000000"/>
          <w:sz w:val="20"/>
          <w:szCs w:val="20"/>
          <w:lang w:val="es-CO"/>
        </w:rPr>
        <w:t>0</w:t>
      </w:r>
      <w:r w:rsidR="00E37CE0" w:rsidRPr="00A37FB0">
        <w:rPr>
          <w:rFonts w:ascii="Cambria" w:hAnsi="Cambria" w:cs="Calibri"/>
          <w:color w:val="000000"/>
          <w:sz w:val="20"/>
          <w:szCs w:val="20"/>
          <w:lang w:val="es-CO"/>
        </w:rPr>
        <w:t xml:space="preserve">, otorgándole un plazo de dos meses para informar sobre el cumplimiento de las recomendaciones. Tras el otorgamiento por parte de la CIDH de </w:t>
      </w:r>
      <w:r w:rsidR="004B7EF3" w:rsidRPr="00A37FB0">
        <w:rPr>
          <w:rFonts w:ascii="Cambria" w:hAnsi="Cambria" w:cs="Calibri"/>
          <w:color w:val="000000"/>
          <w:sz w:val="20"/>
          <w:szCs w:val="20"/>
          <w:lang w:val="es-CO"/>
        </w:rPr>
        <w:t>11</w:t>
      </w:r>
      <w:r w:rsidR="00E37CE0" w:rsidRPr="00A37FB0">
        <w:rPr>
          <w:rFonts w:ascii="Cambria" w:hAnsi="Cambria" w:cs="Calibri"/>
          <w:color w:val="000000"/>
          <w:sz w:val="20"/>
          <w:szCs w:val="20"/>
          <w:lang w:val="es-CO"/>
        </w:rPr>
        <w:t xml:space="preserve"> prórrogas, el Estado solicitó una </w:t>
      </w:r>
      <w:r w:rsidR="004B7EF3" w:rsidRPr="00A37FB0">
        <w:rPr>
          <w:rFonts w:ascii="Cambria" w:hAnsi="Cambria" w:cs="Calibri"/>
          <w:color w:val="000000"/>
          <w:sz w:val="20"/>
          <w:szCs w:val="20"/>
          <w:lang w:val="es-CO"/>
        </w:rPr>
        <w:t xml:space="preserve">nueva </w:t>
      </w:r>
      <w:r w:rsidR="00E37CE0" w:rsidRPr="00A37FB0">
        <w:rPr>
          <w:rFonts w:ascii="Cambria" w:hAnsi="Cambria" w:cs="Calibri"/>
          <w:color w:val="000000"/>
          <w:sz w:val="20"/>
          <w:szCs w:val="20"/>
          <w:lang w:val="es-CO"/>
        </w:rPr>
        <w:t xml:space="preserve">prórroga. Al evaluar dicha solicitud, la Comisión observó que a </w:t>
      </w:r>
      <w:r w:rsidR="00233747" w:rsidRPr="00A37FB0">
        <w:rPr>
          <w:rFonts w:ascii="Cambria" w:hAnsi="Cambria" w:cs="Calibri"/>
          <w:color w:val="000000"/>
          <w:sz w:val="20"/>
          <w:szCs w:val="20"/>
          <w:lang w:val="es-CO"/>
        </w:rPr>
        <w:t>tres</w:t>
      </w:r>
      <w:r w:rsidR="00E37CE0" w:rsidRPr="00A37FB0">
        <w:rPr>
          <w:rFonts w:ascii="Cambria" w:hAnsi="Cambria" w:cs="Calibri"/>
          <w:color w:val="000000"/>
          <w:sz w:val="20"/>
          <w:szCs w:val="20"/>
          <w:lang w:val="es-CO"/>
        </w:rPr>
        <w:t xml:space="preserve"> años de notificado el </w:t>
      </w:r>
      <w:r w:rsidR="00030859">
        <w:rPr>
          <w:rFonts w:ascii="Cambria" w:hAnsi="Cambria" w:cs="Calibri"/>
          <w:color w:val="000000"/>
          <w:sz w:val="20"/>
          <w:szCs w:val="20"/>
          <w:lang w:val="es-CO"/>
        </w:rPr>
        <w:t>I</w:t>
      </w:r>
      <w:r w:rsidR="00E37CE0" w:rsidRPr="00A37FB0">
        <w:rPr>
          <w:rFonts w:ascii="Cambria" w:hAnsi="Cambria" w:cs="Calibri"/>
          <w:color w:val="000000"/>
          <w:sz w:val="20"/>
          <w:szCs w:val="20"/>
          <w:lang w:val="es-CO"/>
        </w:rPr>
        <w:t xml:space="preserve">nforme de </w:t>
      </w:r>
      <w:r w:rsidR="00030859">
        <w:rPr>
          <w:rFonts w:ascii="Cambria" w:hAnsi="Cambria" w:cs="Calibri"/>
          <w:color w:val="000000"/>
          <w:sz w:val="20"/>
          <w:szCs w:val="20"/>
          <w:lang w:val="es-CO"/>
        </w:rPr>
        <w:t>F</w:t>
      </w:r>
      <w:r w:rsidR="00E37CE0" w:rsidRPr="00A37FB0">
        <w:rPr>
          <w:rFonts w:ascii="Cambria" w:hAnsi="Cambria" w:cs="Calibri"/>
          <w:color w:val="000000"/>
          <w:sz w:val="20"/>
          <w:szCs w:val="20"/>
          <w:lang w:val="es-CO"/>
        </w:rPr>
        <w:t xml:space="preserve">ondo, pese a los esfuerzos estatales, no se advertían </w:t>
      </w:r>
      <w:r w:rsidR="00E37CE0" w:rsidRPr="00A37FB0">
        <w:rPr>
          <w:rFonts w:ascii="Cambria" w:eastAsia="Times New Roman" w:hAnsi="Cambria" w:cs="Cambria"/>
          <w:sz w:val="20"/>
          <w:szCs w:val="20"/>
          <w:lang w:val="es-CO"/>
        </w:rPr>
        <w:t>avances sustantivos en el cumplimiento de las recomendaciones. Asimismo, la Comisión notó que las partes no habían logrado arribar a un acuerdo de cumplimiento respecto de las medidas necesarias.  Por lo tanto</w:t>
      </w:r>
      <w:r w:rsidR="00E37CE0" w:rsidRPr="00A37FB0">
        <w:rPr>
          <w:rFonts w:ascii="Cambria" w:hAnsi="Cambria" w:cs="Calibri"/>
          <w:color w:val="000000"/>
          <w:sz w:val="20"/>
          <w:szCs w:val="20"/>
          <w:lang w:val="es-CO"/>
        </w:rPr>
        <w:t>, teniendo en cuenta la necesidad de obtención de justicia y reparación</w:t>
      </w:r>
      <w:r w:rsidR="00856537" w:rsidRPr="00A37FB0">
        <w:rPr>
          <w:rFonts w:ascii="Cambria" w:hAnsi="Cambria" w:cs="Calibri"/>
          <w:color w:val="000000"/>
          <w:sz w:val="20"/>
          <w:szCs w:val="20"/>
          <w:lang w:val="es-CO"/>
        </w:rPr>
        <w:t xml:space="preserve"> </w:t>
      </w:r>
      <w:r w:rsidR="00E37CE0" w:rsidRPr="00A37FB0">
        <w:rPr>
          <w:rFonts w:ascii="Cambria" w:hAnsi="Cambria" w:cs="Calibri"/>
          <w:color w:val="000000"/>
          <w:sz w:val="20"/>
          <w:szCs w:val="20"/>
          <w:lang w:val="es-CO"/>
        </w:rPr>
        <w:t>para las víctimas, la Comisión decidió someter el caso a la jurisdicción de la Corte Interamericana</w:t>
      </w:r>
      <w:r w:rsidR="00E37CE0" w:rsidRPr="00A37FB0">
        <w:rPr>
          <w:rFonts w:ascii="Cambria" w:hAnsi="Cambria" w:cs="Calibri"/>
          <w:sz w:val="20"/>
          <w:szCs w:val="20"/>
          <w:lang w:val="es-CO"/>
        </w:rPr>
        <w:t xml:space="preserve">. </w:t>
      </w:r>
    </w:p>
    <w:p w14:paraId="7992F297" w14:textId="77777777" w:rsidR="00E37CE0" w:rsidRPr="008079CC" w:rsidRDefault="00E37CE0" w:rsidP="00E37CE0">
      <w:pPr>
        <w:tabs>
          <w:tab w:val="left" w:pos="810"/>
        </w:tabs>
        <w:spacing w:after="0" w:line="240" w:lineRule="auto"/>
        <w:jc w:val="both"/>
        <w:rPr>
          <w:rFonts w:ascii="Cambria" w:hAnsi="Cambria"/>
          <w:sz w:val="16"/>
          <w:szCs w:val="16"/>
          <w:lang w:val="es-CO"/>
        </w:rPr>
      </w:pPr>
    </w:p>
    <w:p w14:paraId="15717568" w14:textId="7C821825" w:rsidR="00E37CE0" w:rsidRPr="00A37FB0" w:rsidRDefault="00454E1C" w:rsidP="00454E1C">
      <w:pPr>
        <w:tabs>
          <w:tab w:val="left" w:pos="360"/>
          <w:tab w:val="left" w:pos="1440"/>
        </w:tabs>
        <w:spacing w:after="0" w:line="240" w:lineRule="auto"/>
        <w:jc w:val="both"/>
        <w:rPr>
          <w:rFonts w:ascii="Cambria" w:hAnsi="Cambria"/>
          <w:sz w:val="20"/>
          <w:szCs w:val="20"/>
          <w:lang w:val="es-CO"/>
        </w:rPr>
      </w:pPr>
      <w:r w:rsidRPr="00A37FB0">
        <w:rPr>
          <w:rFonts w:ascii="Cambria" w:hAnsi="Cambria" w:cs="Calibri"/>
          <w:color w:val="000000"/>
          <w:sz w:val="20"/>
          <w:szCs w:val="20"/>
          <w:lang w:val="es-CO"/>
        </w:rPr>
        <w:tab/>
      </w:r>
      <w:r w:rsidR="00E37CE0" w:rsidRPr="00A37FB0">
        <w:rPr>
          <w:rFonts w:ascii="Cambria" w:hAnsi="Cambria" w:cs="Calibri"/>
          <w:color w:val="000000"/>
          <w:sz w:val="20"/>
          <w:szCs w:val="20"/>
          <w:lang w:val="es-CO"/>
        </w:rPr>
        <w:t xml:space="preserve">En ese sentido, la Comisión solicita a la Honorable Corte que concluya y declare que el Estado de Colombia es responsable por la violación </w:t>
      </w:r>
      <w:r w:rsidR="00E37CE0" w:rsidRPr="00A37FB0">
        <w:rPr>
          <w:rFonts w:ascii="Cambria" w:hAnsi="Cambria"/>
          <w:sz w:val="20"/>
          <w:szCs w:val="20"/>
          <w:lang w:val="es-CO"/>
        </w:rPr>
        <w:t>derecho a la</w:t>
      </w:r>
      <w:r w:rsidR="00EC38AB" w:rsidRPr="00A37FB0">
        <w:rPr>
          <w:rFonts w:ascii="Cambria" w:hAnsi="Cambria"/>
          <w:sz w:val="20"/>
          <w:szCs w:val="20"/>
          <w:lang w:val="es-CO"/>
        </w:rPr>
        <w:t xml:space="preserve"> vida (artículo 4)</w:t>
      </w:r>
      <w:r w:rsidRPr="00A37FB0">
        <w:rPr>
          <w:rFonts w:ascii="Cambria" w:hAnsi="Cambria"/>
          <w:sz w:val="20"/>
          <w:szCs w:val="20"/>
          <w:lang w:val="es-CO"/>
        </w:rPr>
        <w:t xml:space="preserve">, </w:t>
      </w:r>
      <w:r w:rsidR="00E37CE0" w:rsidRPr="00A37FB0">
        <w:rPr>
          <w:rFonts w:ascii="Cambria" w:hAnsi="Cambria"/>
          <w:sz w:val="20"/>
          <w:szCs w:val="20"/>
          <w:lang w:val="es-CO"/>
        </w:rPr>
        <w:t>integridad personal (artículo 5.1), garantías judiciales (artículo 8.1)</w:t>
      </w:r>
      <w:r w:rsidR="00EC38AB" w:rsidRPr="00A37FB0">
        <w:rPr>
          <w:rFonts w:ascii="Cambria" w:hAnsi="Cambria"/>
          <w:sz w:val="20"/>
          <w:szCs w:val="20"/>
          <w:lang w:val="es-CO"/>
        </w:rPr>
        <w:t xml:space="preserve">, </w:t>
      </w:r>
      <w:r w:rsidR="00A83901" w:rsidRPr="00A37FB0">
        <w:rPr>
          <w:rFonts w:ascii="Cambria" w:hAnsi="Cambria"/>
          <w:sz w:val="20"/>
          <w:szCs w:val="20"/>
          <w:lang w:val="es-CO"/>
        </w:rPr>
        <w:t>honra y dignidad (artículo 11</w:t>
      </w:r>
      <w:r w:rsidR="00FF5040" w:rsidRPr="00A37FB0">
        <w:rPr>
          <w:rFonts w:ascii="Cambria" w:hAnsi="Cambria"/>
          <w:sz w:val="20"/>
          <w:szCs w:val="20"/>
          <w:lang w:val="es-CO"/>
        </w:rPr>
        <w:t>.1</w:t>
      </w:r>
      <w:r w:rsidR="00A83901" w:rsidRPr="00A37FB0">
        <w:rPr>
          <w:rFonts w:ascii="Cambria" w:hAnsi="Cambria"/>
          <w:sz w:val="20"/>
          <w:szCs w:val="20"/>
          <w:lang w:val="es-CO"/>
        </w:rPr>
        <w:t>), libertad de expresión (artículo 13</w:t>
      </w:r>
      <w:r w:rsidR="00FF5040" w:rsidRPr="00A37FB0">
        <w:rPr>
          <w:rFonts w:ascii="Cambria" w:hAnsi="Cambria"/>
          <w:sz w:val="20"/>
          <w:szCs w:val="20"/>
          <w:lang w:val="es-CO"/>
        </w:rPr>
        <w:t>.1</w:t>
      </w:r>
      <w:r w:rsidR="00A83901" w:rsidRPr="00A37FB0">
        <w:rPr>
          <w:rFonts w:ascii="Cambria" w:hAnsi="Cambria"/>
          <w:sz w:val="20"/>
          <w:szCs w:val="20"/>
          <w:lang w:val="es-CO"/>
        </w:rPr>
        <w:t>)</w:t>
      </w:r>
      <w:r w:rsidR="00FA34E1" w:rsidRPr="00A37FB0">
        <w:rPr>
          <w:rFonts w:ascii="Cambria" w:hAnsi="Cambria"/>
          <w:sz w:val="20"/>
          <w:szCs w:val="20"/>
          <w:lang w:val="es-CO"/>
        </w:rPr>
        <w:t>, libertad de asociación (artículo 16</w:t>
      </w:r>
      <w:r w:rsidR="00FF5040" w:rsidRPr="00A37FB0">
        <w:rPr>
          <w:rFonts w:ascii="Cambria" w:hAnsi="Cambria"/>
          <w:sz w:val="20"/>
          <w:szCs w:val="20"/>
          <w:lang w:val="es-CO"/>
        </w:rPr>
        <w:t>.1</w:t>
      </w:r>
      <w:r w:rsidR="00FA34E1" w:rsidRPr="00A37FB0">
        <w:rPr>
          <w:rFonts w:ascii="Cambria" w:hAnsi="Cambria"/>
          <w:sz w:val="20"/>
          <w:szCs w:val="20"/>
          <w:lang w:val="es-CO"/>
        </w:rPr>
        <w:t xml:space="preserve">), </w:t>
      </w:r>
      <w:r w:rsidR="00324E88" w:rsidRPr="00A37FB0">
        <w:rPr>
          <w:rFonts w:ascii="Cambria" w:hAnsi="Cambria"/>
          <w:sz w:val="20"/>
          <w:szCs w:val="20"/>
          <w:lang w:val="es-CO"/>
        </w:rPr>
        <w:t xml:space="preserve">circulación y residencia (artículo </w:t>
      </w:r>
      <w:r w:rsidR="00FF5040" w:rsidRPr="00A37FB0">
        <w:rPr>
          <w:rFonts w:ascii="Cambria" w:hAnsi="Cambria"/>
          <w:sz w:val="20"/>
          <w:szCs w:val="20"/>
          <w:lang w:val="es-CO"/>
        </w:rPr>
        <w:t>22.1)</w:t>
      </w:r>
      <w:r w:rsidR="00E37CE0" w:rsidRPr="00A37FB0">
        <w:rPr>
          <w:rFonts w:ascii="Cambria" w:hAnsi="Cambria"/>
          <w:sz w:val="20"/>
          <w:szCs w:val="20"/>
          <w:lang w:val="es-CO"/>
        </w:rPr>
        <w:t xml:space="preserve"> y protección judicial (artículo 25.1), establecidos en la Convención Americana, en relación con el artículo 1.1 del mismo instrumento</w:t>
      </w:r>
      <w:r w:rsidR="003E6BCC" w:rsidRPr="00A37FB0">
        <w:rPr>
          <w:rFonts w:ascii="Cambria" w:hAnsi="Cambria"/>
          <w:sz w:val="20"/>
          <w:szCs w:val="20"/>
          <w:lang w:val="es-CO"/>
        </w:rPr>
        <w:t xml:space="preserve"> en perjuicio de las personas indicadas en cada una de las secciones del informe</w:t>
      </w:r>
      <w:r w:rsidR="00E37CE0" w:rsidRPr="00A37FB0">
        <w:rPr>
          <w:rFonts w:ascii="Cambria" w:hAnsi="Cambria"/>
          <w:sz w:val="20"/>
          <w:szCs w:val="20"/>
          <w:lang w:val="es-CO"/>
        </w:rPr>
        <w:t>.</w:t>
      </w:r>
    </w:p>
    <w:p w14:paraId="3CB1D5A6" w14:textId="77777777" w:rsidR="00E37CE0" w:rsidRPr="008079CC" w:rsidRDefault="00E37CE0" w:rsidP="00E37CE0">
      <w:pPr>
        <w:tabs>
          <w:tab w:val="left" w:pos="810"/>
        </w:tabs>
        <w:spacing w:after="0" w:line="240" w:lineRule="auto"/>
        <w:jc w:val="both"/>
        <w:rPr>
          <w:rFonts w:ascii="Cambria" w:hAnsi="Cambria" w:cs="Calibri"/>
          <w:sz w:val="16"/>
          <w:szCs w:val="16"/>
          <w:lang w:val="es-CO"/>
        </w:rPr>
      </w:pPr>
    </w:p>
    <w:p w14:paraId="0D5E03FF" w14:textId="77777777" w:rsidR="00E37CE0" w:rsidRPr="00A37FB0" w:rsidRDefault="00E37CE0" w:rsidP="003F3AEF">
      <w:pPr>
        <w:pStyle w:val="ListParagraph"/>
        <w:tabs>
          <w:tab w:val="left" w:pos="360"/>
          <w:tab w:val="left" w:pos="1440"/>
        </w:tabs>
        <w:ind w:left="0"/>
        <w:jc w:val="both"/>
        <w:rPr>
          <w:rFonts w:eastAsia="Calibri" w:cs="Calibri"/>
          <w:sz w:val="20"/>
          <w:szCs w:val="20"/>
          <w:bdr w:val="none" w:sz="0" w:space="0" w:color="auto"/>
          <w:lang w:val="es-CO" w:eastAsia="en-US"/>
        </w:rPr>
      </w:pPr>
      <w:r w:rsidRPr="00A37FB0">
        <w:rPr>
          <w:rFonts w:eastAsia="Calibri" w:cs="Calibri"/>
          <w:sz w:val="20"/>
          <w:szCs w:val="20"/>
          <w:bdr w:val="none" w:sz="0" w:space="0" w:color="auto"/>
          <w:lang w:val="es-CO" w:eastAsia="en-US"/>
        </w:rPr>
        <w:tab/>
      </w:r>
      <w:r w:rsidRPr="00A37FB0">
        <w:rPr>
          <w:rFonts w:cs="Calibri"/>
          <w:sz w:val="20"/>
          <w:szCs w:val="20"/>
          <w:lang w:val="es-CO"/>
        </w:rPr>
        <w:t>En consecuencia, la Comisión solicita a la Corte Interamericana que establezca las siguientes medidas de reparación:</w:t>
      </w:r>
    </w:p>
    <w:p w14:paraId="6ACBF413" w14:textId="77777777" w:rsidR="00E37CE0" w:rsidRPr="008079CC" w:rsidRDefault="00E37CE0" w:rsidP="00E37CE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810"/>
        </w:tabs>
        <w:ind w:left="810" w:right="720"/>
        <w:jc w:val="both"/>
        <w:rPr>
          <w:rFonts w:cs="Calibri"/>
          <w:sz w:val="16"/>
          <w:szCs w:val="16"/>
          <w:lang w:val="es-CO"/>
        </w:rPr>
      </w:pPr>
    </w:p>
    <w:p w14:paraId="39879DEF" w14:textId="77777777" w:rsidR="00A6047A" w:rsidRPr="00A37FB0" w:rsidRDefault="00F35A86" w:rsidP="005052BC">
      <w:pPr>
        <w:pStyle w:val="ListParagraph"/>
        <w:numPr>
          <w:ilvl w:val="0"/>
          <w:numId w:val="1"/>
        </w:numPr>
        <w:tabs>
          <w:tab w:val="clear" w:pos="806"/>
          <w:tab w:val="left" w:pos="1170"/>
        </w:tabs>
        <w:ind w:left="810" w:right="720" w:hanging="266"/>
        <w:jc w:val="both"/>
        <w:rPr>
          <w:rFonts w:eastAsia="Times New Roman" w:cs="Tahoma"/>
          <w:sz w:val="20"/>
          <w:szCs w:val="20"/>
          <w:lang w:val="es-CO"/>
        </w:rPr>
      </w:pPr>
      <w:r w:rsidRPr="00A37FB0">
        <w:rPr>
          <w:rFonts w:eastAsia="Times New Roman" w:cs="Tahoma"/>
          <w:sz w:val="20"/>
          <w:szCs w:val="20"/>
          <w:lang w:val="es-CO"/>
        </w:rPr>
        <w:t>Reparar integralmente las violaciones de derechos humanos declaradas en el presente informe tanto en el aspecto material como inmaterial. El Estado deberá adoptar las medidas de compensación económica y satisfacción complementarias a las ya otorgadas.</w:t>
      </w:r>
    </w:p>
    <w:p w14:paraId="224B143E" w14:textId="77777777" w:rsidR="00A6047A" w:rsidRPr="008079CC" w:rsidRDefault="00A6047A" w:rsidP="005052BC">
      <w:pPr>
        <w:pStyle w:val="ListParagraph"/>
        <w:tabs>
          <w:tab w:val="left" w:pos="1170"/>
        </w:tabs>
        <w:ind w:left="810" w:right="720" w:hanging="266"/>
        <w:jc w:val="both"/>
        <w:rPr>
          <w:rFonts w:eastAsia="Times New Roman" w:cs="Tahoma"/>
          <w:sz w:val="16"/>
          <w:szCs w:val="16"/>
          <w:lang w:val="es-CO"/>
        </w:rPr>
      </w:pPr>
    </w:p>
    <w:p w14:paraId="6E3A0788" w14:textId="77777777" w:rsidR="00905CE3" w:rsidRPr="00A37FB0" w:rsidRDefault="00A6047A" w:rsidP="005052BC">
      <w:pPr>
        <w:pStyle w:val="ListParagraph"/>
        <w:numPr>
          <w:ilvl w:val="0"/>
          <w:numId w:val="1"/>
        </w:numPr>
        <w:tabs>
          <w:tab w:val="clear" w:pos="806"/>
          <w:tab w:val="left" w:pos="1170"/>
        </w:tabs>
        <w:ind w:left="810" w:right="720" w:hanging="266"/>
        <w:jc w:val="both"/>
        <w:rPr>
          <w:rFonts w:eastAsia="Times New Roman" w:cs="Tahoma"/>
          <w:sz w:val="20"/>
          <w:szCs w:val="20"/>
          <w:lang w:val="es-CO"/>
        </w:rPr>
      </w:pPr>
      <w:r w:rsidRPr="00A37FB0">
        <w:rPr>
          <w:rFonts w:eastAsiaTheme="minorHAnsi"/>
          <w:sz w:val="20"/>
          <w:szCs w:val="20"/>
          <w:lang w:val="es-CO"/>
          <w14:ligatures w14:val="standardContextual"/>
        </w:rPr>
        <w:t>Disponer las medidas de atención en salud física y mental necesarias para la rehabilitación de los familiares del señor Zapata, de ser su voluntad y de manera concertada.</w:t>
      </w:r>
    </w:p>
    <w:p w14:paraId="433FEC3C" w14:textId="77777777" w:rsidR="00905CE3" w:rsidRPr="00C5754A" w:rsidRDefault="00905CE3" w:rsidP="005052BC">
      <w:pPr>
        <w:pStyle w:val="ListParagraph"/>
        <w:ind w:left="810" w:hanging="266"/>
        <w:rPr>
          <w:rFonts w:eastAsiaTheme="minorHAnsi"/>
          <w:sz w:val="16"/>
          <w:szCs w:val="16"/>
          <w:vertAlign w:val="subscript"/>
          <w:lang w:val="es-CO"/>
          <w14:ligatures w14:val="standardContextual"/>
        </w:rPr>
      </w:pPr>
    </w:p>
    <w:p w14:paraId="4F02E4EC" w14:textId="77777777" w:rsidR="00887CF3" w:rsidRPr="00A37FB0" w:rsidRDefault="00905CE3" w:rsidP="005052BC">
      <w:pPr>
        <w:pStyle w:val="ListParagraph"/>
        <w:numPr>
          <w:ilvl w:val="0"/>
          <w:numId w:val="1"/>
        </w:numPr>
        <w:tabs>
          <w:tab w:val="clear" w:pos="806"/>
          <w:tab w:val="left" w:pos="1170"/>
        </w:tabs>
        <w:ind w:left="810" w:right="720" w:hanging="266"/>
        <w:jc w:val="both"/>
        <w:rPr>
          <w:rFonts w:eastAsia="Times New Roman" w:cs="Tahoma"/>
          <w:sz w:val="20"/>
          <w:szCs w:val="20"/>
          <w:lang w:val="es-CO"/>
        </w:rPr>
      </w:pPr>
      <w:r w:rsidRPr="00A37FB0">
        <w:rPr>
          <w:rFonts w:eastAsiaTheme="minorHAnsi"/>
          <w:sz w:val="20"/>
          <w:szCs w:val="20"/>
          <w:lang w:val="es-CO"/>
          <w14:ligatures w14:val="standardContextual"/>
        </w:rPr>
        <w:t>Continuar la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w:t>
      </w:r>
    </w:p>
    <w:p w14:paraId="3D150AB6" w14:textId="77777777" w:rsidR="00887CF3" w:rsidRPr="008079CC" w:rsidRDefault="00887CF3" w:rsidP="005052BC">
      <w:pPr>
        <w:pStyle w:val="ListParagraph"/>
        <w:ind w:left="810" w:hanging="266"/>
        <w:rPr>
          <w:rFonts w:eastAsiaTheme="minorHAnsi"/>
          <w:sz w:val="16"/>
          <w:szCs w:val="16"/>
          <w:lang w:val="es-CO"/>
          <w14:ligatures w14:val="standardContextual"/>
        </w:rPr>
      </w:pPr>
    </w:p>
    <w:p w14:paraId="4C3B82D0" w14:textId="77777777" w:rsidR="00887CF3" w:rsidRPr="00A37FB0" w:rsidRDefault="00887CF3" w:rsidP="005052BC">
      <w:pPr>
        <w:pStyle w:val="ListParagraph"/>
        <w:numPr>
          <w:ilvl w:val="0"/>
          <w:numId w:val="1"/>
        </w:numPr>
        <w:tabs>
          <w:tab w:val="clear" w:pos="806"/>
          <w:tab w:val="left" w:pos="1170"/>
        </w:tabs>
        <w:ind w:left="810" w:right="720" w:hanging="266"/>
        <w:jc w:val="both"/>
        <w:rPr>
          <w:rFonts w:eastAsia="Times New Roman" w:cs="Tahoma"/>
          <w:sz w:val="20"/>
          <w:szCs w:val="20"/>
          <w:lang w:val="es-CO"/>
        </w:rPr>
      </w:pPr>
      <w:r w:rsidRPr="00A37FB0">
        <w:rPr>
          <w:rFonts w:eastAsiaTheme="minorHAnsi"/>
          <w:sz w:val="20"/>
          <w:szCs w:val="20"/>
          <w:lang w:val="es-CO"/>
          <w14:ligatures w14:val="standardContextual"/>
        </w:rPr>
        <w:lastRenderedPageBreak/>
        <w:t>Disponer mecanismos de no repetición que incluyan:</w:t>
      </w:r>
    </w:p>
    <w:p w14:paraId="221636F0" w14:textId="77777777" w:rsidR="00887CF3" w:rsidRPr="008079CC" w:rsidRDefault="00887CF3" w:rsidP="005052BC">
      <w:pPr>
        <w:pStyle w:val="ListParagraph"/>
        <w:ind w:left="810" w:hanging="266"/>
        <w:rPr>
          <w:rFonts w:eastAsiaTheme="minorHAnsi"/>
          <w:sz w:val="16"/>
          <w:szCs w:val="16"/>
          <w:lang w:val="es-CO"/>
          <w14:ligatures w14:val="standardContextual"/>
        </w:rPr>
      </w:pPr>
    </w:p>
    <w:p w14:paraId="0FDB12EB" w14:textId="77777777" w:rsidR="00887CF3" w:rsidRPr="00A37FB0" w:rsidRDefault="00887CF3" w:rsidP="005052BC">
      <w:pPr>
        <w:pStyle w:val="ListParagraph"/>
        <w:tabs>
          <w:tab w:val="left" w:pos="1170"/>
        </w:tabs>
        <w:ind w:left="1170" w:right="720" w:hanging="266"/>
        <w:jc w:val="both"/>
        <w:rPr>
          <w:rFonts w:eastAsiaTheme="minorHAnsi"/>
          <w:sz w:val="20"/>
          <w:szCs w:val="20"/>
          <w:lang w:val="es-CO"/>
          <w14:ligatures w14:val="standardContextual"/>
        </w:rPr>
      </w:pPr>
      <w:r w:rsidRPr="00A37FB0">
        <w:rPr>
          <w:rFonts w:eastAsiaTheme="minorHAnsi"/>
          <w:sz w:val="20"/>
          <w:szCs w:val="20"/>
          <w:lang w:val="es-CO"/>
          <w14:ligatures w14:val="standardContextual"/>
        </w:rPr>
        <w:t>4.1 Fortalecer la capacidad institucional para combatir el patrón de impunidad frente a casos de amenazas y muertes de defensoras y defensores, a través de protocolos de investigación que teniendo en cuenta los riesgos inherentes a la labor de defensa de los derechos humanos señalen como un componente esencial de la debida diligencia un desarrollo exhaustivo de la investigación bajo esta hipótesis.</w:t>
      </w:r>
    </w:p>
    <w:p w14:paraId="3928D1A3" w14:textId="77777777" w:rsidR="00887CF3" w:rsidRPr="008079CC" w:rsidRDefault="00887CF3" w:rsidP="005052BC">
      <w:pPr>
        <w:pStyle w:val="ListParagraph"/>
        <w:tabs>
          <w:tab w:val="left" w:pos="1170"/>
        </w:tabs>
        <w:ind w:left="1170" w:right="720" w:hanging="266"/>
        <w:jc w:val="both"/>
        <w:rPr>
          <w:rFonts w:eastAsiaTheme="minorHAnsi"/>
          <w:sz w:val="16"/>
          <w:szCs w:val="16"/>
          <w:lang w:val="es-CO"/>
          <w14:ligatures w14:val="standardContextual"/>
        </w:rPr>
      </w:pPr>
    </w:p>
    <w:p w14:paraId="103B9EB7" w14:textId="7A07DF7F" w:rsidR="00E37CE0" w:rsidRPr="00A37FB0" w:rsidRDefault="00887CF3" w:rsidP="005052BC">
      <w:pPr>
        <w:pStyle w:val="ListParagraph"/>
        <w:tabs>
          <w:tab w:val="left" w:pos="1170"/>
        </w:tabs>
        <w:ind w:left="1170" w:right="720" w:hanging="266"/>
        <w:jc w:val="both"/>
        <w:rPr>
          <w:rFonts w:eastAsiaTheme="minorHAnsi"/>
          <w:sz w:val="20"/>
          <w:szCs w:val="20"/>
          <w:lang w:val="es-CO"/>
          <w14:ligatures w14:val="standardContextual"/>
        </w:rPr>
      </w:pPr>
      <w:r w:rsidRPr="00A37FB0">
        <w:rPr>
          <w:rFonts w:eastAsiaTheme="minorHAnsi"/>
          <w:sz w:val="20"/>
          <w:szCs w:val="20"/>
          <w:lang w:val="es-CO"/>
          <w14:ligatures w14:val="standardContextual"/>
        </w:rPr>
        <w:t xml:space="preserve">4.2 Desarrollar medidas adecuadas y expeditas de respuesta institucional que permitan proteger eficazmente a defensoras y defensores de derechos humanos en situaciones de riesgo. En concreto, adoptar medidas para asegurar la implementación efectiva </w:t>
      </w:r>
      <w:r w:rsidR="00CC38F8">
        <w:rPr>
          <w:rFonts w:eastAsiaTheme="minorHAnsi"/>
          <w:sz w:val="20"/>
          <w:szCs w:val="20"/>
          <w:lang w:val="es-CO"/>
          <w14:ligatures w14:val="standardContextual"/>
        </w:rPr>
        <w:t xml:space="preserve">de </w:t>
      </w:r>
      <w:r w:rsidRPr="00A37FB0">
        <w:rPr>
          <w:rFonts w:eastAsiaTheme="minorHAnsi"/>
          <w:sz w:val="20"/>
          <w:szCs w:val="20"/>
          <w:lang w:val="es-CO"/>
          <w14:ligatures w14:val="standardContextual"/>
        </w:rPr>
        <w:t>las medidas especiales de protección dictad</w:t>
      </w:r>
      <w:r w:rsidR="00AD3790">
        <w:rPr>
          <w:rFonts w:eastAsiaTheme="minorHAnsi"/>
          <w:sz w:val="20"/>
          <w:szCs w:val="20"/>
          <w:lang w:val="es-CO"/>
          <w14:ligatures w14:val="standardContextual"/>
        </w:rPr>
        <w:t>a</w:t>
      </w:r>
      <w:r w:rsidRPr="00A37FB0">
        <w:rPr>
          <w:rFonts w:eastAsiaTheme="minorHAnsi"/>
          <w:sz w:val="20"/>
          <w:szCs w:val="20"/>
          <w:lang w:val="es-CO"/>
          <w14:ligatures w14:val="standardContextual"/>
        </w:rPr>
        <w:t xml:space="preserve">s por los órganos del sistema interamericano mediante la realización de análisis de riesgo oportunos que permitan determinar las medidas idóneas y efectivas de protección atendiendo a las circunstancias concretas de las personas defensoras de derechos humanos, incluyendo situaciones relacionadas con el cambio de residencia o desplazamientos vinculados con el ejercicio de sus labores. </w:t>
      </w:r>
    </w:p>
    <w:p w14:paraId="1AE5EA08" w14:textId="77777777" w:rsidR="00887CF3" w:rsidRPr="008079CC" w:rsidRDefault="00887CF3" w:rsidP="00887CF3">
      <w:pPr>
        <w:pStyle w:val="ListParagraph"/>
        <w:tabs>
          <w:tab w:val="left" w:pos="1170"/>
        </w:tabs>
        <w:ind w:left="806" w:right="720"/>
        <w:jc w:val="both"/>
        <w:rPr>
          <w:rFonts w:eastAsia="Times New Roman" w:cs="Calibri"/>
          <w:sz w:val="16"/>
          <w:szCs w:val="16"/>
          <w:lang w:val="es-CO"/>
        </w:rPr>
      </w:pPr>
    </w:p>
    <w:p w14:paraId="0A6A92CB" w14:textId="3F91C717" w:rsidR="006D27C2" w:rsidRPr="00A37FB0" w:rsidRDefault="00E33478" w:rsidP="00E33478">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A37FB0">
        <w:rPr>
          <w:rFonts w:ascii="Cambria" w:hAnsi="Cambria" w:cs="Calibri"/>
          <w:sz w:val="20"/>
          <w:szCs w:val="20"/>
          <w:lang w:val="es-CO"/>
        </w:rPr>
        <w:tab/>
      </w:r>
      <w:r w:rsidR="00E37CE0" w:rsidRPr="00A37FB0">
        <w:rPr>
          <w:rFonts w:ascii="Cambria" w:eastAsia="Times New Roman" w:hAnsi="Cambria" w:cs="Calibri"/>
          <w:sz w:val="20"/>
          <w:szCs w:val="20"/>
          <w:lang w:val="es-CO"/>
        </w:rPr>
        <w:t xml:space="preserve">Además de la necesidad de obtención de justicia y reparación por la falta de cumplimiento de las recomendaciones del Informe de Fondo, la Comisión considera que el caso presenta cuestiones de orden público interamericano. El mismo permitirá a la Honorable Corte continuar </w:t>
      </w:r>
      <w:r w:rsidR="00E37CE0" w:rsidRPr="00A37FB0">
        <w:rPr>
          <w:rFonts w:ascii="Cambria" w:eastAsia="Times New Roman" w:hAnsi="Cambria"/>
          <w:sz w:val="20"/>
          <w:szCs w:val="20"/>
          <w:lang w:val="es-CO"/>
        </w:rPr>
        <w:t xml:space="preserve">desarrollando su jurisprudencia en relación con </w:t>
      </w:r>
      <w:r w:rsidR="003E03C6" w:rsidRPr="00A37FB0">
        <w:rPr>
          <w:rFonts w:ascii="Cambria" w:eastAsia="Times New Roman" w:hAnsi="Cambria"/>
          <w:sz w:val="20"/>
          <w:szCs w:val="20"/>
          <w:lang w:val="es-CO"/>
        </w:rPr>
        <w:t>las personas defensoras de los derechos humanos</w:t>
      </w:r>
      <w:r w:rsidR="00E37CE0" w:rsidRPr="00A37FB0">
        <w:rPr>
          <w:rFonts w:ascii="Cambria" w:eastAsia="Times New Roman" w:hAnsi="Cambria"/>
          <w:sz w:val="20"/>
          <w:szCs w:val="20"/>
          <w:lang w:val="es-CO"/>
        </w:rPr>
        <w:t>.</w:t>
      </w:r>
      <w:r w:rsidR="003E03C6" w:rsidRPr="00A37FB0">
        <w:rPr>
          <w:rFonts w:ascii="Cambria" w:eastAsia="Times New Roman" w:hAnsi="Cambria"/>
          <w:sz w:val="20"/>
          <w:szCs w:val="20"/>
          <w:lang w:val="es-CO"/>
        </w:rPr>
        <w:t xml:space="preserve"> En particular, sobre </w:t>
      </w:r>
      <w:bookmarkStart w:id="2" w:name="_Hlk121851094"/>
      <w:r w:rsidR="003E03C6" w:rsidRPr="00A37FB0">
        <w:rPr>
          <w:rFonts w:ascii="Cambria" w:eastAsia="Times New Roman" w:hAnsi="Cambria" w:cs="Cambria"/>
          <w:sz w:val="20"/>
          <w:szCs w:val="20"/>
          <w:lang w:val="es-CO"/>
        </w:rPr>
        <w:t>los estándares relativos a la responsabilidad estatal por actos orientados a obstaculizar su labor de defensa,</w:t>
      </w:r>
      <w:bookmarkEnd w:id="2"/>
      <w:r w:rsidR="003E03C6" w:rsidRPr="00A37FB0">
        <w:rPr>
          <w:rFonts w:ascii="Cambria" w:eastAsia="Times New Roman" w:hAnsi="Cambria" w:cs="Cambria"/>
          <w:sz w:val="20"/>
          <w:szCs w:val="20"/>
          <w:lang w:val="es-CO"/>
        </w:rPr>
        <w:t xml:space="preserve"> así como a las obligaciones de prevención en caso de defensores y defensoras que se encuentran en situaciones de riesgo, y a la debida diligencia requerida en investigaciones sobre la muerte de personas defensoras de derechos humanos</w:t>
      </w:r>
      <w:r w:rsidR="00AB17AE" w:rsidRPr="00A37FB0">
        <w:rPr>
          <w:rFonts w:ascii="Cambria" w:eastAsia="Times New Roman" w:hAnsi="Cambria"/>
          <w:sz w:val="20"/>
          <w:szCs w:val="20"/>
          <w:lang w:val="es-CO"/>
        </w:rPr>
        <w:t>.</w:t>
      </w:r>
      <w:r w:rsidR="00E37CE0" w:rsidRPr="00A37FB0">
        <w:rPr>
          <w:rFonts w:ascii="Cambria" w:eastAsia="Times New Roman" w:hAnsi="Cambria"/>
          <w:sz w:val="20"/>
          <w:szCs w:val="20"/>
          <w:lang w:val="es-CO"/>
        </w:rPr>
        <w:t xml:space="preserve"> Asimismo, la Corte podrá profundizar el análisis sobre</w:t>
      </w:r>
      <w:r w:rsidR="00AB17AE" w:rsidRPr="00A37FB0">
        <w:rPr>
          <w:rFonts w:ascii="Cambria" w:eastAsia="Times New Roman" w:hAnsi="Cambria"/>
          <w:sz w:val="20"/>
          <w:szCs w:val="20"/>
          <w:lang w:val="es-CO"/>
        </w:rPr>
        <w:t xml:space="preserve"> </w:t>
      </w:r>
      <w:r w:rsidR="00AB17AE" w:rsidRPr="00A37FB0">
        <w:rPr>
          <w:rFonts w:ascii="Cambria" w:eastAsiaTheme="minorHAnsi" w:hAnsi="Cambria" w:cs="Cambria"/>
          <w:sz w:val="20"/>
          <w:szCs w:val="20"/>
          <w:lang w:val="es-CO"/>
          <w14:ligatures w14:val="standardContextual"/>
        </w:rPr>
        <w:t xml:space="preserve">las </w:t>
      </w:r>
      <w:r w:rsidR="008161B3" w:rsidRPr="00A37FB0">
        <w:rPr>
          <w:rFonts w:ascii="Cambria" w:eastAsiaTheme="minorHAnsi" w:hAnsi="Cambria" w:cs="Cambria"/>
          <w:sz w:val="20"/>
          <w:szCs w:val="20"/>
          <w:lang w:val="es-CO"/>
          <w14:ligatures w14:val="standardContextual"/>
        </w:rPr>
        <w:t>medidas</w:t>
      </w:r>
      <w:r w:rsidR="00AB17AE" w:rsidRPr="00A37FB0">
        <w:rPr>
          <w:rFonts w:ascii="Cambria" w:eastAsiaTheme="minorHAnsi" w:hAnsi="Cambria" w:cs="Cambria"/>
          <w:sz w:val="20"/>
          <w:szCs w:val="20"/>
          <w:lang w:val="es-CO"/>
          <w14:ligatures w14:val="standardContextual"/>
        </w:rPr>
        <w:t xml:space="preserve"> necesarias que deben </w:t>
      </w:r>
      <w:r w:rsidR="008161B3" w:rsidRPr="00A37FB0">
        <w:rPr>
          <w:rFonts w:ascii="Cambria" w:eastAsiaTheme="minorHAnsi" w:hAnsi="Cambria" w:cs="Cambria"/>
          <w:sz w:val="20"/>
          <w:szCs w:val="20"/>
          <w:lang w:val="es-CO"/>
          <w14:ligatures w14:val="standardContextual"/>
        </w:rPr>
        <w:t xml:space="preserve">adoptar </w:t>
      </w:r>
      <w:r w:rsidR="00AB17AE" w:rsidRPr="00A37FB0">
        <w:rPr>
          <w:rFonts w:ascii="Cambria" w:eastAsiaTheme="minorHAnsi" w:hAnsi="Cambria" w:cs="Cambria"/>
          <w:sz w:val="20"/>
          <w:szCs w:val="20"/>
          <w:lang w:val="es-CO"/>
          <w14:ligatures w14:val="standardContextual"/>
        </w:rPr>
        <w:t xml:space="preserve">los Estados </w:t>
      </w:r>
      <w:r w:rsidR="008161B3" w:rsidRPr="00A37FB0">
        <w:rPr>
          <w:rFonts w:ascii="Cambria" w:eastAsiaTheme="minorHAnsi" w:hAnsi="Cambria" w:cs="Cambria"/>
          <w:sz w:val="20"/>
          <w:szCs w:val="20"/>
          <w:lang w:val="es-CO"/>
          <w14:ligatures w14:val="standardContextual"/>
        </w:rPr>
        <w:t>para garantizar el derecho</w:t>
      </w:r>
      <w:r w:rsidR="005E0A86" w:rsidRPr="00A37FB0">
        <w:rPr>
          <w:rFonts w:ascii="Cambria" w:eastAsiaTheme="minorHAnsi" w:hAnsi="Cambria" w:cs="Cambria"/>
          <w:sz w:val="20"/>
          <w:szCs w:val="20"/>
          <w:lang w:val="es-CO"/>
          <w14:ligatures w14:val="standardContextual"/>
        </w:rPr>
        <w:t xml:space="preserve"> de circulación y de residencia</w:t>
      </w:r>
      <w:r w:rsidR="008161B3" w:rsidRPr="00A37FB0">
        <w:rPr>
          <w:rFonts w:ascii="Cambria" w:eastAsiaTheme="minorHAnsi" w:hAnsi="Cambria" w:cs="Cambria"/>
          <w:sz w:val="20"/>
          <w:szCs w:val="20"/>
          <w:lang w:val="es-CO"/>
          <w14:ligatures w14:val="standardContextual"/>
        </w:rPr>
        <w:t xml:space="preserve"> </w:t>
      </w:r>
      <w:r w:rsidR="004A24C1" w:rsidRPr="00A37FB0">
        <w:rPr>
          <w:rFonts w:ascii="Cambria" w:eastAsiaTheme="minorHAnsi" w:hAnsi="Cambria" w:cs="Cambria"/>
          <w:sz w:val="20"/>
          <w:szCs w:val="20"/>
          <w:lang w:val="es-CO"/>
          <w14:ligatures w14:val="standardContextual"/>
        </w:rPr>
        <w:t xml:space="preserve">ante </w:t>
      </w:r>
      <w:r w:rsidR="00D40F7C" w:rsidRPr="00A37FB0">
        <w:rPr>
          <w:rFonts w:ascii="Cambria" w:eastAsiaTheme="minorHAnsi" w:hAnsi="Cambria" w:cs="Cambria"/>
          <w:sz w:val="20"/>
          <w:szCs w:val="20"/>
          <w:lang w:val="es-CO"/>
          <w14:ligatures w14:val="standardContextual"/>
        </w:rPr>
        <w:t xml:space="preserve">el posible desplazamiento forzado por </w:t>
      </w:r>
      <w:r w:rsidR="004A24C1" w:rsidRPr="00A37FB0">
        <w:rPr>
          <w:rFonts w:ascii="Cambria" w:eastAsiaTheme="minorHAnsi" w:hAnsi="Cambria" w:cs="Cambria"/>
          <w:sz w:val="20"/>
          <w:szCs w:val="20"/>
          <w:lang w:val="es-CO"/>
          <w14:ligatures w14:val="standardContextual"/>
        </w:rPr>
        <w:t>actos de amenazas u hostigamientos</w:t>
      </w:r>
      <w:r w:rsidR="008161B3" w:rsidRPr="00A37FB0">
        <w:rPr>
          <w:rFonts w:ascii="Cambria" w:eastAsiaTheme="minorHAnsi" w:hAnsi="Cambria" w:cs="Cambria"/>
          <w:sz w:val="20"/>
          <w:szCs w:val="20"/>
          <w:lang w:val="es-CO"/>
          <w14:ligatures w14:val="standardContextual"/>
        </w:rPr>
        <w:t xml:space="preserve"> contra personas </w:t>
      </w:r>
      <w:r w:rsidR="003B53FA" w:rsidRPr="00A37FB0">
        <w:rPr>
          <w:rFonts w:ascii="Cambria" w:eastAsiaTheme="minorHAnsi" w:hAnsi="Cambria" w:cs="Cambria"/>
          <w:sz w:val="20"/>
          <w:szCs w:val="20"/>
          <w:lang w:val="es-CO"/>
          <w14:ligatures w14:val="standardContextual"/>
        </w:rPr>
        <w:t xml:space="preserve">defensoras </w:t>
      </w:r>
      <w:r w:rsidR="008161B3" w:rsidRPr="00A37FB0">
        <w:rPr>
          <w:rFonts w:ascii="Cambria" w:eastAsiaTheme="minorHAnsi" w:hAnsi="Cambria" w:cs="Cambria"/>
          <w:sz w:val="20"/>
          <w:szCs w:val="20"/>
          <w:lang w:val="es-CO"/>
          <w14:ligatures w14:val="standardContextual"/>
        </w:rPr>
        <w:t>de los derechos humanos</w:t>
      </w:r>
      <w:r w:rsidR="003B53FA" w:rsidRPr="00A37FB0">
        <w:rPr>
          <w:rFonts w:ascii="Cambria" w:eastAsiaTheme="minorHAnsi" w:hAnsi="Cambria" w:cs="Cambria"/>
          <w:sz w:val="20"/>
          <w:szCs w:val="20"/>
          <w:lang w:val="es-CO"/>
          <w14:ligatures w14:val="standardContextual"/>
        </w:rPr>
        <w:t>, incluyendo aquellos que provienen de actores no estatales</w:t>
      </w:r>
      <w:r w:rsidR="000F2505" w:rsidRPr="00A37FB0">
        <w:rPr>
          <w:rFonts w:ascii="Cambria" w:eastAsiaTheme="minorHAnsi" w:hAnsi="Cambria" w:cs="Cambria"/>
          <w:sz w:val="20"/>
          <w:szCs w:val="20"/>
          <w:lang w:val="es-CO"/>
          <w14:ligatures w14:val="standardContextual"/>
        </w:rPr>
        <w:t xml:space="preserve">. Adicionalmente, </w:t>
      </w:r>
      <w:r w:rsidR="00EE1586" w:rsidRPr="00A37FB0">
        <w:rPr>
          <w:rFonts w:ascii="Cambria" w:eastAsiaTheme="minorHAnsi" w:hAnsi="Cambria" w:cs="Cambria"/>
          <w:sz w:val="20"/>
          <w:szCs w:val="20"/>
          <w:lang w:val="es-CO"/>
          <w14:ligatures w14:val="standardContextual"/>
        </w:rPr>
        <w:t xml:space="preserve">la Corte podrá </w:t>
      </w:r>
      <w:r w:rsidR="00EF1AB0" w:rsidRPr="00A37FB0">
        <w:rPr>
          <w:rFonts w:ascii="Cambria" w:eastAsiaTheme="minorHAnsi" w:hAnsi="Cambria" w:cs="Cambria"/>
          <w:sz w:val="20"/>
          <w:szCs w:val="20"/>
          <w:lang w:val="es-CO"/>
          <w14:ligatures w14:val="standardContextual"/>
        </w:rPr>
        <w:t>referirse a las obligaciones estatales respecto de las personas desplazadas,</w:t>
      </w:r>
      <w:r w:rsidR="00D85DDD" w:rsidRPr="00A37FB0">
        <w:rPr>
          <w:rFonts w:ascii="Cambria" w:eastAsiaTheme="minorHAnsi" w:hAnsi="Cambria" w:cs="Cambria"/>
          <w:sz w:val="20"/>
          <w:szCs w:val="20"/>
          <w:lang w:val="es-CO"/>
          <w14:ligatures w14:val="standardContextual"/>
        </w:rPr>
        <w:t xml:space="preserve"> </w:t>
      </w:r>
      <w:r w:rsidR="00EF1AB0" w:rsidRPr="00A37FB0">
        <w:rPr>
          <w:rFonts w:ascii="Cambria" w:eastAsiaTheme="minorHAnsi" w:hAnsi="Cambria" w:cs="Cambria"/>
          <w:sz w:val="20"/>
          <w:szCs w:val="20"/>
          <w:lang w:val="es-CO"/>
          <w14:ligatures w14:val="standardContextual"/>
        </w:rPr>
        <w:t>incluyendo el establecimiento de condiciones para asegurar un retorno seguro y digno a su hogar</w:t>
      </w:r>
      <w:r w:rsidR="00D85DDD" w:rsidRPr="00A37FB0">
        <w:rPr>
          <w:rFonts w:ascii="Cambria" w:eastAsiaTheme="minorHAnsi" w:hAnsi="Cambria" w:cs="Cambria"/>
          <w:sz w:val="20"/>
          <w:szCs w:val="20"/>
          <w:lang w:val="es-CO"/>
          <w14:ligatures w14:val="standardContextual"/>
        </w:rPr>
        <w:t xml:space="preserve"> y e</w:t>
      </w:r>
      <w:r w:rsidR="00EA288E" w:rsidRPr="00A37FB0">
        <w:rPr>
          <w:rFonts w:ascii="Cambria" w:eastAsiaTheme="minorHAnsi" w:hAnsi="Cambria" w:cs="Cambria"/>
          <w:sz w:val="20"/>
          <w:szCs w:val="20"/>
          <w:lang w:val="es-CO"/>
          <w14:ligatures w14:val="standardContextual"/>
        </w:rPr>
        <w:t>l acceso de las</w:t>
      </w:r>
      <w:r w:rsidR="000F2505" w:rsidRPr="00A37FB0">
        <w:rPr>
          <w:rFonts w:ascii="Cambria" w:eastAsiaTheme="minorHAnsi" w:hAnsi="Cambria" w:cs="Cambria"/>
          <w:sz w:val="20"/>
          <w:szCs w:val="20"/>
          <w:lang w:val="es-CO"/>
          <w14:ligatures w14:val="standardContextual"/>
        </w:rPr>
        <w:t xml:space="preserve"> </w:t>
      </w:r>
      <w:r w:rsidR="00EA288E" w:rsidRPr="00A37FB0">
        <w:rPr>
          <w:rFonts w:ascii="Cambria" w:eastAsiaTheme="minorHAnsi" w:hAnsi="Cambria" w:cs="Cambria"/>
          <w:sz w:val="20"/>
          <w:szCs w:val="20"/>
          <w:lang w:val="es-CO"/>
          <w14:ligatures w14:val="standardContextual"/>
        </w:rPr>
        <w:t>personas desplazadas a actividades económicas de subsistencia</w:t>
      </w:r>
      <w:r w:rsidR="00D85DDD" w:rsidRPr="00A37FB0">
        <w:rPr>
          <w:rFonts w:ascii="Cambria" w:eastAsiaTheme="minorHAnsi" w:hAnsi="Cambria" w:cs="Cambria"/>
          <w:sz w:val="20"/>
          <w:szCs w:val="20"/>
          <w:lang w:val="es-CO"/>
          <w14:ligatures w14:val="standardContextual"/>
        </w:rPr>
        <w:t xml:space="preserve">. </w:t>
      </w:r>
    </w:p>
    <w:p w14:paraId="0F2C65B6" w14:textId="77777777" w:rsidR="00E37CE0" w:rsidRPr="008079CC" w:rsidRDefault="00E37CE0" w:rsidP="00E37CE0">
      <w:pPr>
        <w:spacing w:after="0" w:line="240" w:lineRule="auto"/>
        <w:ind w:firstLine="648"/>
        <w:jc w:val="both"/>
        <w:rPr>
          <w:rFonts w:ascii="Cambria" w:hAnsi="Cambria" w:cs="Calibri"/>
          <w:color w:val="000000"/>
          <w:sz w:val="16"/>
          <w:szCs w:val="16"/>
          <w:vertAlign w:val="superscript"/>
          <w:lang w:val="es-CO"/>
        </w:rPr>
      </w:pPr>
    </w:p>
    <w:p w14:paraId="3546A43A" w14:textId="77777777" w:rsidR="00E37CE0" w:rsidRPr="00A37FB0" w:rsidRDefault="00E37CE0" w:rsidP="00445AB0">
      <w:pPr>
        <w:spacing w:after="0" w:line="240" w:lineRule="auto"/>
        <w:ind w:firstLine="360"/>
        <w:jc w:val="both"/>
        <w:rPr>
          <w:rFonts w:ascii="Cambria" w:hAnsi="Cambria" w:cs="Calibri"/>
          <w:color w:val="000000"/>
          <w:sz w:val="20"/>
          <w:szCs w:val="20"/>
          <w:lang w:val="es-CO"/>
        </w:rPr>
      </w:pPr>
      <w:r w:rsidRPr="00A37FB0">
        <w:rPr>
          <w:rFonts w:ascii="Cambria" w:hAnsi="Cambria" w:cs="Calibri"/>
          <w:color w:val="000000"/>
          <w:sz w:val="20"/>
          <w:szCs w:val="20"/>
          <w:lang w:val="es-CO"/>
        </w:rPr>
        <w:t>La Comisión pone en conocimiento de la Honorable Corte la siguiente información de quienes actúan como parte peticionaria en el trámite ante la CIDH conforme a la información más reciente:</w:t>
      </w:r>
    </w:p>
    <w:p w14:paraId="4EAF996C" w14:textId="77777777" w:rsidR="00A452B0" w:rsidRPr="00445AB0" w:rsidRDefault="00A452B0" w:rsidP="00E37CE0">
      <w:pPr>
        <w:spacing w:after="0" w:line="240" w:lineRule="auto"/>
        <w:ind w:firstLine="648"/>
        <w:jc w:val="both"/>
        <w:rPr>
          <w:rFonts w:ascii="Cambria" w:hAnsi="Cambria" w:cs="Calibri"/>
          <w:color w:val="000000"/>
          <w:sz w:val="16"/>
          <w:szCs w:val="16"/>
          <w:lang w:val="es-US"/>
        </w:rPr>
      </w:pPr>
    </w:p>
    <w:p w14:paraId="03F9A783" w14:textId="77777777" w:rsidR="00A452B0" w:rsidRPr="00CC6A6B" w:rsidRDefault="00A452B0" w:rsidP="00A452B0">
      <w:pPr>
        <w:spacing w:after="0" w:line="240" w:lineRule="auto"/>
        <w:jc w:val="center"/>
        <w:rPr>
          <w:rFonts w:ascii="Cambria" w:hAnsi="Cambria"/>
          <w:bCs/>
          <w:iCs/>
          <w:color w:val="000000" w:themeColor="text1"/>
          <w:sz w:val="20"/>
          <w:szCs w:val="20"/>
          <w:lang w:val="es-CO"/>
        </w:rPr>
      </w:pPr>
      <w:r w:rsidRPr="00A37FB0">
        <w:rPr>
          <w:rFonts w:ascii="Cambria" w:hAnsi="Cambria"/>
          <w:bCs/>
          <w:iCs/>
          <w:sz w:val="20"/>
          <w:szCs w:val="20"/>
          <w:lang w:val="es-CO"/>
        </w:rPr>
        <w:t xml:space="preserve">Centro por la </w:t>
      </w:r>
      <w:r w:rsidRPr="00CC6A6B">
        <w:rPr>
          <w:rFonts w:ascii="Cambria" w:hAnsi="Cambria"/>
          <w:bCs/>
          <w:iCs/>
          <w:color w:val="000000" w:themeColor="text1"/>
          <w:sz w:val="20"/>
          <w:szCs w:val="20"/>
          <w:lang w:val="es-CO"/>
        </w:rPr>
        <w:t>Justicia y el Derecho Internacional - CEJIL</w:t>
      </w:r>
    </w:p>
    <w:p w14:paraId="1B9BF940" w14:textId="2E10ADF9" w:rsidR="00A452B0" w:rsidRPr="00416E4E" w:rsidRDefault="00416E4E" w:rsidP="00A452B0">
      <w:pPr>
        <w:spacing w:after="0" w:line="240" w:lineRule="auto"/>
        <w:jc w:val="center"/>
        <w:rPr>
          <w:rFonts w:ascii="Cambria" w:hAnsi="Cambria"/>
          <w:color w:val="000000" w:themeColor="text1"/>
          <w:sz w:val="20"/>
          <w:szCs w:val="20"/>
          <w:highlight w:val="black"/>
          <w:lang w:val="es-CO"/>
        </w:rPr>
      </w:pPr>
      <w:r w:rsidRPr="00416E4E">
        <w:rPr>
          <w:rFonts w:ascii="Cambria" w:hAnsi="Cambria"/>
          <w:color w:val="000000" w:themeColor="text1"/>
          <w:sz w:val="20"/>
          <w:szCs w:val="20"/>
          <w:highlight w:val="black"/>
          <w:lang w:val="es-CO"/>
        </w:rPr>
        <w:t>XXXXXXXXXXXXXXXXXXXXXXXXXXXXXX</w:t>
      </w:r>
    </w:p>
    <w:p w14:paraId="49B5C99E" w14:textId="77777777" w:rsidR="00A452B0" w:rsidRPr="00CC6A6B" w:rsidRDefault="00A452B0" w:rsidP="00A452B0">
      <w:pPr>
        <w:spacing w:after="0" w:line="240" w:lineRule="auto"/>
        <w:jc w:val="center"/>
        <w:rPr>
          <w:rFonts w:ascii="Cambria" w:hAnsi="Cambria" w:cs="Calibri"/>
          <w:color w:val="000000" w:themeColor="text1"/>
          <w:sz w:val="16"/>
          <w:szCs w:val="16"/>
          <w:lang w:val="es-CO"/>
        </w:rPr>
      </w:pPr>
    </w:p>
    <w:p w14:paraId="5E04832B" w14:textId="45C3D193" w:rsidR="00A452B0" w:rsidRPr="00CC6A6B" w:rsidRDefault="00A452B0" w:rsidP="00A452B0">
      <w:pPr>
        <w:tabs>
          <w:tab w:val="left" w:pos="1455"/>
        </w:tabs>
        <w:spacing w:after="0" w:line="240" w:lineRule="auto"/>
        <w:jc w:val="center"/>
        <w:rPr>
          <w:rFonts w:ascii="Cambria" w:hAnsi="Cambria"/>
          <w:bCs/>
          <w:iCs/>
          <w:color w:val="000000" w:themeColor="text1"/>
          <w:sz w:val="20"/>
          <w:szCs w:val="20"/>
          <w:lang w:val="es-CO"/>
        </w:rPr>
      </w:pPr>
      <w:r w:rsidRPr="00CC6A6B">
        <w:rPr>
          <w:rFonts w:ascii="Cambria" w:hAnsi="Cambria"/>
          <w:bCs/>
          <w:iCs/>
          <w:color w:val="000000" w:themeColor="text1"/>
          <w:sz w:val="20"/>
          <w:szCs w:val="20"/>
          <w:lang w:val="es-CO"/>
        </w:rPr>
        <w:t xml:space="preserve">Colectivo de Abogados </w:t>
      </w:r>
      <w:r w:rsidR="00CC6A6B" w:rsidRPr="00CC6A6B">
        <w:rPr>
          <w:rFonts w:ascii="Cambria" w:hAnsi="Cambria"/>
          <w:bCs/>
          <w:iCs/>
          <w:color w:val="000000" w:themeColor="text1"/>
          <w:sz w:val="20"/>
          <w:szCs w:val="20"/>
          <w:lang w:val="es-CO"/>
        </w:rPr>
        <w:t>José</w:t>
      </w:r>
      <w:r w:rsidRPr="00CC6A6B">
        <w:rPr>
          <w:rFonts w:ascii="Cambria" w:hAnsi="Cambria"/>
          <w:bCs/>
          <w:iCs/>
          <w:color w:val="000000" w:themeColor="text1"/>
          <w:sz w:val="20"/>
          <w:szCs w:val="20"/>
          <w:lang w:val="es-CO"/>
        </w:rPr>
        <w:t xml:space="preserve"> Alvear Restrepo - CAJAR</w:t>
      </w:r>
    </w:p>
    <w:p w14:paraId="6E29017A" w14:textId="7A41E497" w:rsidR="00A452B0" w:rsidRPr="00416E4E" w:rsidRDefault="00416E4E" w:rsidP="00A452B0">
      <w:pPr>
        <w:spacing w:after="0" w:line="240" w:lineRule="auto"/>
        <w:jc w:val="center"/>
        <w:rPr>
          <w:rFonts w:ascii="Cambria" w:hAnsi="Cambria" w:cs="Calibri"/>
          <w:color w:val="000000" w:themeColor="text1"/>
          <w:sz w:val="20"/>
          <w:szCs w:val="20"/>
          <w:highlight w:val="black"/>
          <w:lang w:val="es-CO"/>
        </w:rPr>
      </w:pPr>
      <w:bookmarkStart w:id="3" w:name="email"/>
      <w:bookmarkEnd w:id="3"/>
      <w:r w:rsidRPr="00416E4E">
        <w:rPr>
          <w:rFonts w:ascii="Cambria" w:hAnsi="Cambria" w:cs="Calibri"/>
          <w:color w:val="000000" w:themeColor="text1"/>
          <w:sz w:val="20"/>
          <w:szCs w:val="20"/>
          <w:highlight w:val="black"/>
          <w:lang w:val="es-CO"/>
        </w:rPr>
        <w:t>XXXXXXXXXXXXXXXXXXXXXXXXX</w:t>
      </w:r>
    </w:p>
    <w:p w14:paraId="362AA500" w14:textId="0104C60B" w:rsidR="00A452B0" w:rsidRPr="00416E4E" w:rsidRDefault="00416E4E" w:rsidP="00A452B0">
      <w:pPr>
        <w:spacing w:after="0" w:line="240" w:lineRule="auto"/>
        <w:jc w:val="center"/>
        <w:rPr>
          <w:rFonts w:ascii="Cambria" w:hAnsi="Cambria" w:cs="Calibri"/>
          <w:color w:val="000000" w:themeColor="text1"/>
          <w:sz w:val="20"/>
          <w:szCs w:val="20"/>
          <w:highlight w:val="black"/>
          <w:lang w:val="es-CO"/>
        </w:rPr>
      </w:pPr>
      <w:r w:rsidRPr="00416E4E">
        <w:rPr>
          <w:rFonts w:ascii="Cambria" w:hAnsi="Cambria" w:cs="Calibri"/>
          <w:color w:val="000000" w:themeColor="text1"/>
          <w:sz w:val="20"/>
          <w:szCs w:val="20"/>
          <w:highlight w:val="black"/>
          <w:lang w:val="es-CO"/>
        </w:rPr>
        <w:t>XXXXXXXXXXXXXXXXXXXXXXXXXXXXXXX</w:t>
      </w:r>
    </w:p>
    <w:p w14:paraId="1D08B842" w14:textId="1DE319D9" w:rsidR="00A452B0" w:rsidRPr="00416E4E" w:rsidRDefault="00416E4E" w:rsidP="00A452B0">
      <w:pPr>
        <w:spacing w:after="0" w:line="240" w:lineRule="auto"/>
        <w:jc w:val="center"/>
        <w:rPr>
          <w:rFonts w:ascii="Cambria" w:hAnsi="Cambria" w:cs="Calibri"/>
          <w:color w:val="000000" w:themeColor="text1"/>
          <w:sz w:val="20"/>
          <w:szCs w:val="20"/>
          <w:highlight w:val="black"/>
          <w:lang w:val="es-CO"/>
        </w:rPr>
      </w:pPr>
      <w:r w:rsidRPr="00416E4E">
        <w:rPr>
          <w:rFonts w:ascii="Cambria" w:hAnsi="Cambria" w:cs="Calibri"/>
          <w:color w:val="000000" w:themeColor="text1"/>
          <w:sz w:val="20"/>
          <w:szCs w:val="20"/>
          <w:highlight w:val="black"/>
          <w:lang w:val="es-CO"/>
        </w:rPr>
        <w:t>XXXXXXXXXXXXXXXXXXXXXXXXX</w:t>
      </w:r>
    </w:p>
    <w:p w14:paraId="5502DBE1" w14:textId="29A3137A" w:rsidR="00A452B0" w:rsidRPr="00CC6A6B" w:rsidRDefault="00416E4E" w:rsidP="002A1DB0">
      <w:pPr>
        <w:spacing w:after="0" w:line="240" w:lineRule="auto"/>
        <w:ind w:firstLine="648"/>
        <w:jc w:val="center"/>
        <w:rPr>
          <w:rFonts w:ascii="Cambria" w:hAnsi="Cambria" w:cs="Calibri"/>
          <w:color w:val="000000" w:themeColor="text1"/>
          <w:sz w:val="20"/>
          <w:szCs w:val="20"/>
          <w:lang w:val="es-CO"/>
        </w:rPr>
      </w:pPr>
      <w:r w:rsidRPr="00416E4E">
        <w:rPr>
          <w:rFonts w:ascii="Cambria" w:hAnsi="Cambria" w:cs="Calibri"/>
          <w:color w:val="000000" w:themeColor="text1"/>
          <w:sz w:val="20"/>
          <w:szCs w:val="20"/>
          <w:highlight w:val="black"/>
          <w:lang w:val="es-CO"/>
        </w:rPr>
        <w:t>XXXXXXXXXXXXX</w:t>
      </w:r>
    </w:p>
    <w:p w14:paraId="6A9F90E9" w14:textId="77777777" w:rsidR="00D5460A" w:rsidRPr="008079CC" w:rsidRDefault="00D5460A" w:rsidP="008079CC">
      <w:pPr>
        <w:spacing w:after="0" w:line="240" w:lineRule="auto"/>
        <w:jc w:val="both"/>
        <w:rPr>
          <w:rFonts w:ascii="Cambria" w:hAnsi="Cambria"/>
          <w:sz w:val="16"/>
          <w:szCs w:val="16"/>
          <w:vertAlign w:val="superscript"/>
          <w:lang w:val="es-CO"/>
        </w:rPr>
      </w:pPr>
    </w:p>
    <w:p w14:paraId="166E2C8D" w14:textId="04765C04" w:rsidR="00E37CE0" w:rsidRDefault="00E37CE0" w:rsidP="0051330D">
      <w:pPr>
        <w:spacing w:after="0" w:line="240" w:lineRule="auto"/>
        <w:ind w:firstLine="360"/>
        <w:jc w:val="both"/>
        <w:rPr>
          <w:rFonts w:ascii="Cambria" w:hAnsi="Cambria" w:cs="Calibri"/>
          <w:color w:val="000000"/>
          <w:sz w:val="20"/>
          <w:szCs w:val="20"/>
          <w:lang w:val="es-CO"/>
        </w:rPr>
      </w:pPr>
      <w:r w:rsidRPr="00A37FB0">
        <w:rPr>
          <w:rFonts w:ascii="Cambria" w:hAnsi="Cambria" w:cs="Calibri"/>
          <w:color w:val="000000"/>
          <w:sz w:val="20"/>
          <w:szCs w:val="20"/>
          <w:lang w:val="es-CO"/>
        </w:rPr>
        <w:t>Aprovecho la oportunidad para saludar a usted muy atentamente,</w:t>
      </w:r>
    </w:p>
    <w:p w14:paraId="132C2991" w14:textId="77777777" w:rsidR="00711518" w:rsidRPr="00A37FB0" w:rsidRDefault="00711518" w:rsidP="00E37CE0">
      <w:pPr>
        <w:spacing w:after="0" w:line="240" w:lineRule="auto"/>
        <w:ind w:firstLine="720"/>
        <w:jc w:val="both"/>
        <w:rPr>
          <w:rFonts w:ascii="Cambria" w:hAnsi="Cambria" w:cs="Calibri"/>
          <w:color w:val="000000"/>
          <w:sz w:val="20"/>
          <w:szCs w:val="20"/>
          <w:lang w:val="es-CO"/>
        </w:rPr>
      </w:pPr>
    </w:p>
    <w:p w14:paraId="1BAFCDDB" w14:textId="79BB2365" w:rsidR="00E37CE0" w:rsidRPr="00A37FB0" w:rsidRDefault="00E37CE0" w:rsidP="00E37CE0">
      <w:pPr>
        <w:tabs>
          <w:tab w:val="left" w:pos="-720"/>
          <w:tab w:val="left" w:pos="1380"/>
        </w:tabs>
        <w:suppressAutoHyphens/>
        <w:spacing w:after="0" w:line="240" w:lineRule="auto"/>
        <w:jc w:val="both"/>
        <w:rPr>
          <w:rFonts w:ascii="Cambria" w:hAnsi="Cambria"/>
          <w:sz w:val="20"/>
          <w:szCs w:val="20"/>
          <w:lang w:val="es-CO"/>
        </w:rPr>
      </w:pPr>
      <w:bookmarkStart w:id="4" w:name="_Hlk128731904"/>
      <w:bookmarkStart w:id="5" w:name="_Hlk129855594"/>
      <w:bookmarkStart w:id="6" w:name="_Hlk129970904"/>
      <w:bookmarkStart w:id="7" w:name="_Hlk122115986"/>
      <w:bookmarkStart w:id="8" w:name="_Hlk118969572"/>
      <w:bookmarkStart w:id="9" w:name="_Hlk120781836"/>
      <w:bookmarkStart w:id="10" w:name="_Hlk119577459"/>
      <w:bookmarkStart w:id="11" w:name="_Hlk130997932"/>
      <w:bookmarkStart w:id="12" w:name="_Hlk131167805"/>
    </w:p>
    <w:p w14:paraId="4278F99D" w14:textId="0E341330" w:rsidR="00E37CE0" w:rsidRPr="00A37FB0" w:rsidRDefault="00E37CE0" w:rsidP="00E37CE0">
      <w:pPr>
        <w:tabs>
          <w:tab w:val="left" w:pos="3926"/>
        </w:tabs>
        <w:spacing w:after="0" w:line="240" w:lineRule="auto"/>
        <w:rPr>
          <w:rFonts w:ascii="Cambria" w:hAnsi="Cambria"/>
          <w:sz w:val="20"/>
          <w:szCs w:val="20"/>
          <w:lang w:val="es-CO"/>
        </w:rPr>
      </w:pPr>
      <w:bookmarkStart w:id="13" w:name="_Hlk129896549"/>
    </w:p>
    <w:p w14:paraId="360CD893" w14:textId="77777777" w:rsidR="00E37CE0" w:rsidRPr="00A37FB0" w:rsidRDefault="00E37CE0" w:rsidP="00E37CE0">
      <w:pPr>
        <w:spacing w:after="0" w:line="240" w:lineRule="auto"/>
        <w:jc w:val="center"/>
        <w:rPr>
          <w:rFonts w:ascii="Cambria" w:hAnsi="Cambria"/>
          <w:sz w:val="20"/>
          <w:szCs w:val="20"/>
          <w:lang w:val="es-CO"/>
        </w:rPr>
      </w:pPr>
    </w:p>
    <w:p w14:paraId="25DD3F65" w14:textId="146830E4" w:rsidR="00E37CE0" w:rsidRPr="00A37FB0" w:rsidRDefault="00C5754A" w:rsidP="00C5754A">
      <w:pPr>
        <w:tabs>
          <w:tab w:val="left" w:pos="1405"/>
        </w:tabs>
        <w:spacing w:after="0" w:line="240" w:lineRule="auto"/>
        <w:rPr>
          <w:rFonts w:ascii="Cambria" w:hAnsi="Cambria"/>
          <w:sz w:val="20"/>
          <w:szCs w:val="20"/>
          <w:lang w:val="es-CO"/>
        </w:rPr>
      </w:pPr>
      <w:r>
        <w:rPr>
          <w:rFonts w:ascii="Cambria" w:hAnsi="Cambria"/>
          <w:sz w:val="20"/>
          <w:szCs w:val="20"/>
          <w:lang w:val="es-CO"/>
        </w:rPr>
        <w:t xml:space="preserve">            </w:t>
      </w:r>
      <w:r>
        <w:rPr>
          <w:rFonts w:ascii="Cambria" w:hAnsi="Cambria"/>
          <w:sz w:val="20"/>
          <w:szCs w:val="20"/>
          <w:lang w:val="es-CO"/>
        </w:rPr>
        <w:tab/>
      </w:r>
    </w:p>
    <w:bookmarkEnd w:id="4"/>
    <w:p w14:paraId="29DFB047" w14:textId="77777777" w:rsidR="00E37CE0" w:rsidRPr="00A37FB0" w:rsidRDefault="00E37CE0" w:rsidP="008079CC">
      <w:pPr>
        <w:spacing w:after="0" w:line="240" w:lineRule="auto"/>
        <w:jc w:val="center"/>
        <w:rPr>
          <w:rFonts w:ascii="Cambria" w:hAnsi="Cambria"/>
          <w:sz w:val="20"/>
          <w:szCs w:val="20"/>
          <w:lang w:val="es-CO"/>
        </w:rPr>
      </w:pPr>
      <w:r w:rsidRPr="00A37FB0">
        <w:rPr>
          <w:rFonts w:ascii="Cambria" w:hAnsi="Cambria"/>
          <w:sz w:val="20"/>
          <w:szCs w:val="20"/>
          <w:lang w:val="es-CO"/>
        </w:rPr>
        <w:t>Jorge Meza Flores</w:t>
      </w:r>
    </w:p>
    <w:p w14:paraId="4D24F0AE" w14:textId="461DAC49" w:rsidR="00E37CE0" w:rsidRPr="00A37FB0" w:rsidRDefault="00E37CE0" w:rsidP="00C5754A">
      <w:pPr>
        <w:spacing w:after="0" w:line="240" w:lineRule="auto"/>
        <w:jc w:val="center"/>
        <w:rPr>
          <w:rFonts w:ascii="Cambria" w:hAnsi="Cambria"/>
          <w:sz w:val="20"/>
          <w:szCs w:val="20"/>
          <w:lang w:val="es-CO"/>
        </w:rPr>
      </w:pPr>
      <w:r w:rsidRPr="00A37FB0">
        <w:rPr>
          <w:rFonts w:ascii="Cambria" w:hAnsi="Cambria"/>
          <w:sz w:val="20"/>
          <w:szCs w:val="20"/>
          <w:lang w:val="es-CO"/>
        </w:rPr>
        <w:t>Secretario Ejecutivo Adjunto</w:t>
      </w:r>
      <w:bookmarkEnd w:id="5"/>
      <w:bookmarkEnd w:id="6"/>
      <w:bookmarkEnd w:id="7"/>
      <w:bookmarkEnd w:id="8"/>
      <w:bookmarkEnd w:id="9"/>
      <w:bookmarkEnd w:id="10"/>
      <w:bookmarkEnd w:id="13"/>
    </w:p>
    <w:bookmarkEnd w:id="11"/>
    <w:bookmarkEnd w:id="12"/>
    <w:p w14:paraId="189D8D55" w14:textId="77777777" w:rsidR="00711518" w:rsidRDefault="00711518" w:rsidP="00E37CE0">
      <w:pPr>
        <w:spacing w:after="0" w:line="240" w:lineRule="auto"/>
        <w:rPr>
          <w:rFonts w:ascii="Cambria" w:hAnsi="Cambria"/>
          <w:sz w:val="20"/>
          <w:szCs w:val="20"/>
          <w:lang w:val="es-CO"/>
        </w:rPr>
      </w:pPr>
    </w:p>
    <w:p w14:paraId="1D322A04" w14:textId="5755FB7B" w:rsidR="00E37CE0" w:rsidRPr="00A37FB0" w:rsidRDefault="00E37CE0" w:rsidP="00E37CE0">
      <w:pPr>
        <w:spacing w:after="0" w:line="240" w:lineRule="auto"/>
        <w:rPr>
          <w:rFonts w:ascii="Cambria" w:hAnsi="Cambria"/>
          <w:sz w:val="20"/>
          <w:szCs w:val="20"/>
          <w:lang w:val="es-CO"/>
        </w:rPr>
      </w:pPr>
      <w:r w:rsidRPr="00A37FB0">
        <w:rPr>
          <w:rFonts w:ascii="Cambria" w:hAnsi="Cambria"/>
          <w:sz w:val="20"/>
          <w:szCs w:val="20"/>
          <w:lang w:val="es-CO"/>
        </w:rPr>
        <w:t>Anexo</w:t>
      </w:r>
      <w:bookmarkStart w:id="14" w:name="ministro"/>
      <w:bookmarkEnd w:id="14"/>
    </w:p>
    <w:p w14:paraId="6DB4D8CD" w14:textId="77777777" w:rsidR="00E37CE0" w:rsidRPr="00A37FB0" w:rsidRDefault="00E37CE0">
      <w:pPr>
        <w:rPr>
          <w:rFonts w:ascii="Cambria" w:hAnsi="Cambria"/>
          <w:sz w:val="20"/>
          <w:szCs w:val="20"/>
          <w:lang w:val="es-CO"/>
        </w:rPr>
      </w:pPr>
    </w:p>
    <w:sectPr w:rsidR="00E37CE0" w:rsidRPr="00A37FB0" w:rsidSect="009C3E46">
      <w:headerReference w:type="default" r:id="rId8"/>
      <w:footerReference w:type="default" r:id="rId9"/>
      <w:headerReference w:type="first" r:id="rId10"/>
      <w:footerReference w:type="first" r:id="rId11"/>
      <w:pgSz w:w="12240" w:h="15840"/>
      <w:pgMar w:top="-1483"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ACC8" w14:textId="77777777" w:rsidR="00617155" w:rsidRDefault="00617155">
      <w:pPr>
        <w:spacing w:after="0" w:line="240" w:lineRule="auto"/>
      </w:pPr>
      <w:r>
        <w:separator/>
      </w:r>
    </w:p>
  </w:endnote>
  <w:endnote w:type="continuationSeparator" w:id="0">
    <w:p w14:paraId="46D29DC7" w14:textId="77777777" w:rsidR="00617155" w:rsidRDefault="0061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Italic">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494F" w14:textId="77777777" w:rsidR="00FD04A2" w:rsidRPr="00623374" w:rsidRDefault="0051330D">
    <w:pPr>
      <w:pStyle w:val="Footer"/>
      <w:jc w:val="center"/>
      <w:rPr>
        <w:rFonts w:ascii="Cambria" w:hAnsi="Cambria"/>
        <w:sz w:val="18"/>
        <w:szCs w:val="18"/>
      </w:rPr>
    </w:pPr>
    <w:r w:rsidRPr="00623374">
      <w:rPr>
        <w:rFonts w:ascii="Cambria" w:hAnsi="Cambria"/>
        <w:sz w:val="18"/>
        <w:szCs w:val="18"/>
      </w:rPr>
      <w:fldChar w:fldCharType="begin"/>
    </w:r>
    <w:r w:rsidRPr="00623374">
      <w:rPr>
        <w:rFonts w:ascii="Cambria" w:hAnsi="Cambria"/>
        <w:sz w:val="18"/>
        <w:szCs w:val="18"/>
      </w:rPr>
      <w:instrText xml:space="preserve"> PAGE   \* MERGEFORMAT </w:instrText>
    </w:r>
    <w:r w:rsidRPr="00623374">
      <w:rPr>
        <w:rFonts w:ascii="Cambria" w:hAnsi="Cambria"/>
        <w:sz w:val="18"/>
        <w:szCs w:val="18"/>
      </w:rPr>
      <w:fldChar w:fldCharType="separate"/>
    </w:r>
    <w:r w:rsidRPr="00623374">
      <w:rPr>
        <w:rFonts w:ascii="Cambria" w:hAnsi="Cambria"/>
        <w:noProof/>
        <w:sz w:val="18"/>
        <w:szCs w:val="18"/>
      </w:rPr>
      <w:t>4</w:t>
    </w:r>
    <w:r w:rsidRPr="00623374">
      <w:rPr>
        <w:rFonts w:ascii="Cambria" w:hAnsi="Cambria"/>
        <w:noProof/>
        <w:sz w:val="18"/>
        <w:szCs w:val="18"/>
      </w:rPr>
      <w:fldChar w:fldCharType="end"/>
    </w:r>
  </w:p>
  <w:p w14:paraId="0B1E4E0B" w14:textId="77777777" w:rsidR="00FD04A2" w:rsidRDefault="0051330D">
    <w:pPr>
      <w:pStyle w:val="Footer"/>
      <w:spacing w:line="360" w:lineRule="auto"/>
    </w:pPr>
    <w:r>
      <w:t>_____________________________________________________________________________________</w:t>
    </w:r>
  </w:p>
  <w:p w14:paraId="24A4B684" w14:textId="77777777" w:rsidR="00FD04A2" w:rsidRDefault="0051330D">
    <w:pPr>
      <w:pStyle w:val="Footer"/>
      <w:jc w:val="center"/>
    </w:pPr>
    <w:r w:rsidRPr="008A5CB5">
      <w:rPr>
        <w:noProof/>
      </w:rPr>
      <w:drawing>
        <wp:inline distT="0" distB="0" distL="0" distR="0" wp14:anchorId="409B4D5A" wp14:editId="20F35083">
          <wp:extent cx="5120640" cy="320040"/>
          <wp:effectExtent l="0" t="0" r="3810" b="3810"/>
          <wp:docPr id="5"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94F8" w14:textId="77777777" w:rsidR="00FD04A2" w:rsidRDefault="0051330D">
    <w:pPr>
      <w:pStyle w:val="Footer"/>
      <w:spacing w:line="360" w:lineRule="auto"/>
    </w:pPr>
    <w:r>
      <w:t>_____________________________________________________________________________________</w:t>
    </w:r>
  </w:p>
  <w:p w14:paraId="3282DD5D" w14:textId="77777777" w:rsidR="00FD04A2" w:rsidRDefault="0051330D">
    <w:pPr>
      <w:pStyle w:val="Footer"/>
      <w:jc w:val="center"/>
    </w:pPr>
    <w:r w:rsidRPr="008A5CB5">
      <w:rPr>
        <w:noProof/>
      </w:rPr>
      <w:drawing>
        <wp:inline distT="0" distB="0" distL="0" distR="0" wp14:anchorId="1257787F" wp14:editId="40B64886">
          <wp:extent cx="5120640" cy="320040"/>
          <wp:effectExtent l="0" t="0" r="3810" b="3810"/>
          <wp:docPr id="2"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1420F" w14:textId="77777777" w:rsidR="00617155" w:rsidRDefault="00617155">
      <w:pPr>
        <w:spacing w:after="0" w:line="240" w:lineRule="auto"/>
      </w:pPr>
      <w:r>
        <w:separator/>
      </w:r>
    </w:p>
  </w:footnote>
  <w:footnote w:type="continuationSeparator" w:id="0">
    <w:p w14:paraId="26FFF7E8" w14:textId="77777777" w:rsidR="00617155" w:rsidRDefault="00617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27EE" w14:textId="77777777" w:rsidR="00FD04A2" w:rsidRPr="0058688A" w:rsidRDefault="0051330D">
    <w:pPr>
      <w:pStyle w:val="Header"/>
      <w:jc w:val="center"/>
      <w:rPr>
        <w:lang w:val="es-ES_tradnl"/>
      </w:rPr>
    </w:pPr>
    <w:r>
      <w:rPr>
        <w:noProof/>
        <w:lang w:val="es-ES_tradnl"/>
      </w:rPr>
      <w:drawing>
        <wp:inline distT="0" distB="0" distL="0" distR="0" wp14:anchorId="151A4742" wp14:editId="2C2C7543">
          <wp:extent cx="2286000" cy="129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9540"/>
                  </a:xfrm>
                  <a:prstGeom prst="rect">
                    <a:avLst/>
                  </a:prstGeom>
                  <a:noFill/>
                  <a:ln>
                    <a:noFill/>
                  </a:ln>
                </pic:spPr>
              </pic:pic>
            </a:graphicData>
          </a:graphic>
        </wp:inline>
      </w:drawing>
    </w:r>
  </w:p>
  <w:p w14:paraId="7ABFCC25" w14:textId="77777777" w:rsidR="00FD04A2" w:rsidRDefault="0051330D">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8999" w14:textId="77777777" w:rsidR="00FD04A2" w:rsidRDefault="0051330D">
    <w:pPr>
      <w:pStyle w:val="Header"/>
    </w:pPr>
    <w:r w:rsidRPr="008A5CB5">
      <w:rPr>
        <w:noProof/>
      </w:rPr>
      <w:drawing>
        <wp:inline distT="0" distB="0" distL="0" distR="0" wp14:anchorId="31646AC3" wp14:editId="74608504">
          <wp:extent cx="2354580" cy="457200"/>
          <wp:effectExtent l="0" t="0" r="7620" b="0"/>
          <wp:docPr id="4"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57200"/>
                  </a:xfrm>
                  <a:prstGeom prst="rect">
                    <a:avLst/>
                  </a:prstGeom>
                  <a:noFill/>
                  <a:ln>
                    <a:noFill/>
                  </a:ln>
                </pic:spPr>
              </pic:pic>
            </a:graphicData>
          </a:graphic>
        </wp:inline>
      </w:drawing>
    </w:r>
    <w:r>
      <w:tab/>
    </w:r>
    <w:r>
      <w:tab/>
    </w:r>
    <w:r w:rsidRPr="008A5CB5">
      <w:rPr>
        <w:noProof/>
      </w:rPr>
      <w:drawing>
        <wp:inline distT="0" distB="0" distL="0" distR="0" wp14:anchorId="35DBE3EA" wp14:editId="4FC34C6B">
          <wp:extent cx="1661160" cy="487680"/>
          <wp:effectExtent l="0" t="0" r="0" b="762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160" cy="487680"/>
                  </a:xfrm>
                  <a:prstGeom prst="rect">
                    <a:avLst/>
                  </a:prstGeom>
                  <a:noFill/>
                  <a:ln>
                    <a:noFill/>
                  </a:ln>
                </pic:spPr>
              </pic:pic>
            </a:graphicData>
          </a:graphic>
        </wp:inline>
      </w:drawing>
    </w:r>
  </w:p>
  <w:p w14:paraId="393BA406" w14:textId="77777777" w:rsidR="00FD04A2" w:rsidRDefault="0051330D">
    <w:pPr>
      <w:pStyle w:val="Header"/>
    </w:pPr>
    <w:r>
      <w:rPr>
        <w:noProof/>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4C9"/>
    <w:multiLevelType w:val="multilevel"/>
    <w:tmpl w:val="1ADE2FB2"/>
    <w:lvl w:ilvl="0">
      <w:start w:val="1"/>
      <w:numFmt w:val="decimal"/>
      <w:lvlText w:val="%1."/>
      <w:lvlJc w:val="left"/>
      <w:pPr>
        <w:tabs>
          <w:tab w:val="num" w:pos="806"/>
        </w:tabs>
        <w:ind w:left="806" w:hanging="806"/>
      </w:pPr>
      <w:rPr>
        <w:rFonts w:ascii="Cambria" w:eastAsia="Cambria" w:hAnsi="Cambria" w:cs="Cambria"/>
        <w:position w:val="0"/>
        <w:sz w:val="20"/>
        <w:szCs w:val="20"/>
        <w:rtl w:val="0"/>
        <w:lang w:val="es-ES_tradnl"/>
      </w:rPr>
    </w:lvl>
    <w:lvl w:ilvl="1">
      <w:start w:val="1"/>
      <w:numFmt w:val="lowerLetter"/>
      <w:lvlText w:val="%2."/>
      <w:lvlJc w:val="left"/>
      <w:pPr>
        <w:tabs>
          <w:tab w:val="num" w:pos="1740"/>
        </w:tabs>
        <w:ind w:left="1740" w:hanging="300"/>
      </w:pPr>
      <w:rPr>
        <w:rFonts w:ascii="Cambria" w:eastAsia="Cambria" w:hAnsi="Cambria" w:cs="Cambria"/>
        <w:position w:val="0"/>
        <w:sz w:val="20"/>
        <w:szCs w:val="20"/>
        <w:rtl w:val="0"/>
        <w:lang w:val="es-ES_tradnl"/>
      </w:rPr>
    </w:lvl>
    <w:lvl w:ilvl="2">
      <w:start w:val="1"/>
      <w:numFmt w:val="lowerRoman"/>
      <w:lvlText w:val="%3."/>
      <w:lvlJc w:val="left"/>
      <w:pPr>
        <w:tabs>
          <w:tab w:val="num" w:pos="2471"/>
        </w:tabs>
        <w:ind w:left="2471" w:hanging="247"/>
      </w:pPr>
      <w:rPr>
        <w:rFonts w:ascii="Cambria" w:eastAsia="Cambria" w:hAnsi="Cambria" w:cs="Cambria"/>
        <w:position w:val="0"/>
        <w:sz w:val="20"/>
        <w:szCs w:val="20"/>
        <w:rtl w:val="0"/>
        <w:lang w:val="es-ES_tradnl"/>
      </w:rPr>
    </w:lvl>
    <w:lvl w:ilvl="3">
      <w:start w:val="1"/>
      <w:numFmt w:val="decimal"/>
      <w:lvlText w:val="%4."/>
      <w:lvlJc w:val="left"/>
      <w:pPr>
        <w:tabs>
          <w:tab w:val="num" w:pos="3180"/>
        </w:tabs>
        <w:ind w:left="3180" w:hanging="300"/>
      </w:pPr>
      <w:rPr>
        <w:rFonts w:ascii="Cambria" w:eastAsia="Cambria" w:hAnsi="Cambria" w:cs="Cambria"/>
        <w:position w:val="0"/>
        <w:sz w:val="20"/>
        <w:szCs w:val="20"/>
        <w:rtl w:val="0"/>
        <w:lang w:val="es-ES_tradnl"/>
      </w:rPr>
    </w:lvl>
    <w:lvl w:ilvl="4">
      <w:start w:val="1"/>
      <w:numFmt w:val="lowerLetter"/>
      <w:lvlText w:val="%5."/>
      <w:lvlJc w:val="left"/>
      <w:pPr>
        <w:tabs>
          <w:tab w:val="num" w:pos="3900"/>
        </w:tabs>
        <w:ind w:left="3900" w:hanging="300"/>
      </w:pPr>
      <w:rPr>
        <w:rFonts w:ascii="Cambria" w:eastAsia="Cambria" w:hAnsi="Cambria" w:cs="Cambria"/>
        <w:position w:val="0"/>
        <w:sz w:val="20"/>
        <w:szCs w:val="20"/>
        <w:rtl w:val="0"/>
        <w:lang w:val="es-ES_tradnl"/>
      </w:rPr>
    </w:lvl>
    <w:lvl w:ilvl="5">
      <w:start w:val="1"/>
      <w:numFmt w:val="lowerRoman"/>
      <w:lvlText w:val="%6."/>
      <w:lvlJc w:val="left"/>
      <w:pPr>
        <w:tabs>
          <w:tab w:val="num" w:pos="4631"/>
        </w:tabs>
        <w:ind w:left="4631" w:hanging="247"/>
      </w:pPr>
      <w:rPr>
        <w:rFonts w:ascii="Cambria" w:eastAsia="Cambria" w:hAnsi="Cambria" w:cs="Cambria"/>
        <w:position w:val="0"/>
        <w:sz w:val="20"/>
        <w:szCs w:val="20"/>
        <w:rtl w:val="0"/>
        <w:lang w:val="es-ES_tradnl"/>
      </w:rPr>
    </w:lvl>
    <w:lvl w:ilvl="6">
      <w:start w:val="1"/>
      <w:numFmt w:val="decimal"/>
      <w:lvlText w:val="%7."/>
      <w:lvlJc w:val="left"/>
      <w:pPr>
        <w:tabs>
          <w:tab w:val="num" w:pos="5340"/>
        </w:tabs>
        <w:ind w:left="5340" w:hanging="300"/>
      </w:pPr>
      <w:rPr>
        <w:rFonts w:ascii="Cambria" w:eastAsia="Cambria" w:hAnsi="Cambria" w:cs="Cambria"/>
        <w:position w:val="0"/>
        <w:sz w:val="20"/>
        <w:szCs w:val="20"/>
        <w:rtl w:val="0"/>
        <w:lang w:val="es-ES_tradnl"/>
      </w:rPr>
    </w:lvl>
    <w:lvl w:ilvl="7">
      <w:start w:val="1"/>
      <w:numFmt w:val="lowerLetter"/>
      <w:lvlText w:val="%8."/>
      <w:lvlJc w:val="left"/>
      <w:pPr>
        <w:tabs>
          <w:tab w:val="num" w:pos="6060"/>
        </w:tabs>
        <w:ind w:left="6060" w:hanging="300"/>
      </w:pPr>
      <w:rPr>
        <w:rFonts w:ascii="Cambria" w:eastAsia="Cambria" w:hAnsi="Cambria" w:cs="Cambria"/>
        <w:position w:val="0"/>
        <w:sz w:val="20"/>
        <w:szCs w:val="20"/>
        <w:rtl w:val="0"/>
        <w:lang w:val="es-ES_tradnl"/>
      </w:rPr>
    </w:lvl>
    <w:lvl w:ilvl="8">
      <w:start w:val="1"/>
      <w:numFmt w:val="lowerRoman"/>
      <w:lvlText w:val="%9."/>
      <w:lvlJc w:val="left"/>
      <w:pPr>
        <w:tabs>
          <w:tab w:val="num" w:pos="6791"/>
        </w:tabs>
        <w:ind w:left="6791" w:hanging="247"/>
      </w:pPr>
      <w:rPr>
        <w:rFonts w:ascii="Cambria" w:eastAsia="Cambria" w:hAnsi="Cambria" w:cs="Cambria"/>
        <w:position w:val="0"/>
        <w:sz w:val="20"/>
        <w:szCs w:val="20"/>
        <w:rtl w:val="0"/>
        <w:lang w:val="es-ES_tradnl"/>
      </w:rPr>
    </w:lvl>
  </w:abstractNum>
  <w:abstractNum w:abstractNumId="1" w15:restartNumberingAfterBreak="0">
    <w:nsid w:val="4412342E"/>
    <w:multiLevelType w:val="multilevel"/>
    <w:tmpl w:val="1ADE2FB2"/>
    <w:styleLink w:val="List19"/>
    <w:lvl w:ilvl="0">
      <w:start w:val="1"/>
      <w:numFmt w:val="decimal"/>
      <w:lvlText w:val="%1."/>
      <w:lvlJc w:val="left"/>
      <w:pPr>
        <w:tabs>
          <w:tab w:val="num" w:pos="806"/>
        </w:tabs>
        <w:ind w:left="806" w:hanging="806"/>
      </w:pPr>
      <w:rPr>
        <w:rFonts w:ascii="Cambria" w:eastAsia="Cambria" w:hAnsi="Cambria" w:cs="Cambria"/>
        <w:position w:val="0"/>
        <w:sz w:val="20"/>
        <w:szCs w:val="20"/>
        <w:rtl w:val="0"/>
        <w:lang w:val="es-ES_tradnl"/>
      </w:rPr>
    </w:lvl>
    <w:lvl w:ilvl="1">
      <w:start w:val="1"/>
      <w:numFmt w:val="lowerLetter"/>
      <w:lvlText w:val="%2."/>
      <w:lvlJc w:val="left"/>
      <w:pPr>
        <w:tabs>
          <w:tab w:val="num" w:pos="1740"/>
        </w:tabs>
        <w:ind w:left="1740" w:hanging="300"/>
      </w:pPr>
      <w:rPr>
        <w:rFonts w:ascii="Cambria" w:eastAsia="Cambria" w:hAnsi="Cambria" w:cs="Cambria"/>
        <w:position w:val="0"/>
        <w:sz w:val="20"/>
        <w:szCs w:val="20"/>
        <w:rtl w:val="0"/>
        <w:lang w:val="es-ES_tradnl"/>
      </w:rPr>
    </w:lvl>
    <w:lvl w:ilvl="2">
      <w:start w:val="1"/>
      <w:numFmt w:val="lowerRoman"/>
      <w:lvlText w:val="%3."/>
      <w:lvlJc w:val="left"/>
      <w:pPr>
        <w:tabs>
          <w:tab w:val="num" w:pos="2471"/>
        </w:tabs>
        <w:ind w:left="2471" w:hanging="247"/>
      </w:pPr>
      <w:rPr>
        <w:rFonts w:ascii="Cambria" w:eastAsia="Cambria" w:hAnsi="Cambria" w:cs="Cambria"/>
        <w:position w:val="0"/>
        <w:sz w:val="20"/>
        <w:szCs w:val="20"/>
        <w:rtl w:val="0"/>
        <w:lang w:val="es-ES_tradnl"/>
      </w:rPr>
    </w:lvl>
    <w:lvl w:ilvl="3">
      <w:start w:val="1"/>
      <w:numFmt w:val="decimal"/>
      <w:lvlText w:val="%4."/>
      <w:lvlJc w:val="left"/>
      <w:pPr>
        <w:tabs>
          <w:tab w:val="num" w:pos="3180"/>
        </w:tabs>
        <w:ind w:left="3180" w:hanging="300"/>
      </w:pPr>
      <w:rPr>
        <w:rFonts w:ascii="Cambria" w:eastAsia="Cambria" w:hAnsi="Cambria" w:cs="Cambria"/>
        <w:position w:val="0"/>
        <w:sz w:val="20"/>
        <w:szCs w:val="20"/>
        <w:rtl w:val="0"/>
        <w:lang w:val="es-ES_tradnl"/>
      </w:rPr>
    </w:lvl>
    <w:lvl w:ilvl="4">
      <w:start w:val="1"/>
      <w:numFmt w:val="lowerLetter"/>
      <w:lvlText w:val="%5."/>
      <w:lvlJc w:val="left"/>
      <w:pPr>
        <w:tabs>
          <w:tab w:val="num" w:pos="3900"/>
        </w:tabs>
        <w:ind w:left="3900" w:hanging="300"/>
      </w:pPr>
      <w:rPr>
        <w:rFonts w:ascii="Cambria" w:eastAsia="Cambria" w:hAnsi="Cambria" w:cs="Cambria"/>
        <w:position w:val="0"/>
        <w:sz w:val="20"/>
        <w:szCs w:val="20"/>
        <w:rtl w:val="0"/>
        <w:lang w:val="es-ES_tradnl"/>
      </w:rPr>
    </w:lvl>
    <w:lvl w:ilvl="5">
      <w:start w:val="1"/>
      <w:numFmt w:val="lowerRoman"/>
      <w:lvlText w:val="%6."/>
      <w:lvlJc w:val="left"/>
      <w:pPr>
        <w:tabs>
          <w:tab w:val="num" w:pos="4631"/>
        </w:tabs>
        <w:ind w:left="4631" w:hanging="247"/>
      </w:pPr>
      <w:rPr>
        <w:rFonts w:ascii="Cambria" w:eastAsia="Cambria" w:hAnsi="Cambria" w:cs="Cambria"/>
        <w:position w:val="0"/>
        <w:sz w:val="20"/>
        <w:szCs w:val="20"/>
        <w:rtl w:val="0"/>
        <w:lang w:val="es-ES_tradnl"/>
      </w:rPr>
    </w:lvl>
    <w:lvl w:ilvl="6">
      <w:start w:val="1"/>
      <w:numFmt w:val="decimal"/>
      <w:lvlText w:val="%7."/>
      <w:lvlJc w:val="left"/>
      <w:pPr>
        <w:tabs>
          <w:tab w:val="num" w:pos="5340"/>
        </w:tabs>
        <w:ind w:left="5340" w:hanging="300"/>
      </w:pPr>
      <w:rPr>
        <w:rFonts w:ascii="Cambria" w:eastAsia="Cambria" w:hAnsi="Cambria" w:cs="Cambria"/>
        <w:position w:val="0"/>
        <w:sz w:val="20"/>
        <w:szCs w:val="20"/>
        <w:rtl w:val="0"/>
        <w:lang w:val="es-ES_tradnl"/>
      </w:rPr>
    </w:lvl>
    <w:lvl w:ilvl="7">
      <w:start w:val="1"/>
      <w:numFmt w:val="lowerLetter"/>
      <w:lvlText w:val="%8."/>
      <w:lvlJc w:val="left"/>
      <w:pPr>
        <w:tabs>
          <w:tab w:val="num" w:pos="6060"/>
        </w:tabs>
        <w:ind w:left="6060" w:hanging="300"/>
      </w:pPr>
      <w:rPr>
        <w:rFonts w:ascii="Cambria" w:eastAsia="Cambria" w:hAnsi="Cambria" w:cs="Cambria"/>
        <w:position w:val="0"/>
        <w:sz w:val="20"/>
        <w:szCs w:val="20"/>
        <w:rtl w:val="0"/>
        <w:lang w:val="es-ES_tradnl"/>
      </w:rPr>
    </w:lvl>
    <w:lvl w:ilvl="8">
      <w:start w:val="1"/>
      <w:numFmt w:val="lowerRoman"/>
      <w:lvlText w:val="%9."/>
      <w:lvlJc w:val="left"/>
      <w:pPr>
        <w:tabs>
          <w:tab w:val="num" w:pos="6791"/>
        </w:tabs>
        <w:ind w:left="6791" w:hanging="247"/>
      </w:pPr>
      <w:rPr>
        <w:rFonts w:ascii="Cambria" w:eastAsia="Cambria" w:hAnsi="Cambria" w:cs="Cambria"/>
        <w:position w:val="0"/>
        <w:sz w:val="20"/>
        <w:szCs w:val="20"/>
        <w:rtl w:val="0"/>
        <w:lang w:val="es-ES_tradnl"/>
      </w:rPr>
    </w:lvl>
  </w:abstractNum>
  <w:num w:numId="1" w16cid:durableId="1140343857">
    <w:abstractNumId w:val="1"/>
  </w:num>
  <w:num w:numId="2" w16cid:durableId="114165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E0"/>
    <w:rsid w:val="0003074F"/>
    <w:rsid w:val="00030859"/>
    <w:rsid w:val="00042E0D"/>
    <w:rsid w:val="0005391C"/>
    <w:rsid w:val="00054D73"/>
    <w:rsid w:val="0005744C"/>
    <w:rsid w:val="00060563"/>
    <w:rsid w:val="00070ABC"/>
    <w:rsid w:val="000B1350"/>
    <w:rsid w:val="000D1F15"/>
    <w:rsid w:val="000D2736"/>
    <w:rsid w:val="000D61DE"/>
    <w:rsid w:val="000F2505"/>
    <w:rsid w:val="000F2E0E"/>
    <w:rsid w:val="000F4895"/>
    <w:rsid w:val="00113315"/>
    <w:rsid w:val="00125173"/>
    <w:rsid w:val="001800C1"/>
    <w:rsid w:val="00180760"/>
    <w:rsid w:val="001958F4"/>
    <w:rsid w:val="001B45A3"/>
    <w:rsid w:val="001F2302"/>
    <w:rsid w:val="001F3248"/>
    <w:rsid w:val="00205438"/>
    <w:rsid w:val="00205CE4"/>
    <w:rsid w:val="00233747"/>
    <w:rsid w:val="002406AB"/>
    <w:rsid w:val="002441DB"/>
    <w:rsid w:val="002753F8"/>
    <w:rsid w:val="002A1DB0"/>
    <w:rsid w:val="002B460F"/>
    <w:rsid w:val="002C62A3"/>
    <w:rsid w:val="002C62C4"/>
    <w:rsid w:val="002D50B6"/>
    <w:rsid w:val="0030682C"/>
    <w:rsid w:val="00324E88"/>
    <w:rsid w:val="003277C6"/>
    <w:rsid w:val="0035783C"/>
    <w:rsid w:val="00357FD4"/>
    <w:rsid w:val="003B53FA"/>
    <w:rsid w:val="003C6BC7"/>
    <w:rsid w:val="003E03C6"/>
    <w:rsid w:val="003E4AEA"/>
    <w:rsid w:val="003E6BCC"/>
    <w:rsid w:val="003F3AEF"/>
    <w:rsid w:val="003F4C3C"/>
    <w:rsid w:val="003F5463"/>
    <w:rsid w:val="0040702A"/>
    <w:rsid w:val="0041282D"/>
    <w:rsid w:val="00416E4E"/>
    <w:rsid w:val="00445AB0"/>
    <w:rsid w:val="00454E1C"/>
    <w:rsid w:val="00465077"/>
    <w:rsid w:val="00487174"/>
    <w:rsid w:val="0049286D"/>
    <w:rsid w:val="004A24C1"/>
    <w:rsid w:val="004B4C3F"/>
    <w:rsid w:val="004B7E76"/>
    <w:rsid w:val="004B7EF3"/>
    <w:rsid w:val="004D7266"/>
    <w:rsid w:val="004E4EEE"/>
    <w:rsid w:val="004E6616"/>
    <w:rsid w:val="00500AEC"/>
    <w:rsid w:val="005052BC"/>
    <w:rsid w:val="0051330D"/>
    <w:rsid w:val="00557D55"/>
    <w:rsid w:val="005734FA"/>
    <w:rsid w:val="005A44D3"/>
    <w:rsid w:val="005A77C9"/>
    <w:rsid w:val="005E0A86"/>
    <w:rsid w:val="005F081B"/>
    <w:rsid w:val="00617155"/>
    <w:rsid w:val="0062179C"/>
    <w:rsid w:val="00627E55"/>
    <w:rsid w:val="0063305A"/>
    <w:rsid w:val="0063676E"/>
    <w:rsid w:val="0064344F"/>
    <w:rsid w:val="00653CA6"/>
    <w:rsid w:val="00670DC6"/>
    <w:rsid w:val="006A1A12"/>
    <w:rsid w:val="006D27C2"/>
    <w:rsid w:val="0070705C"/>
    <w:rsid w:val="00711518"/>
    <w:rsid w:val="0072634F"/>
    <w:rsid w:val="00755F04"/>
    <w:rsid w:val="00793F3F"/>
    <w:rsid w:val="007A257B"/>
    <w:rsid w:val="007D006A"/>
    <w:rsid w:val="007D5F0F"/>
    <w:rsid w:val="007E7E6D"/>
    <w:rsid w:val="007F4608"/>
    <w:rsid w:val="007F5A78"/>
    <w:rsid w:val="007F722E"/>
    <w:rsid w:val="008079CC"/>
    <w:rsid w:val="00813D86"/>
    <w:rsid w:val="008161B3"/>
    <w:rsid w:val="00821C06"/>
    <w:rsid w:val="008401AC"/>
    <w:rsid w:val="008414D0"/>
    <w:rsid w:val="00843A28"/>
    <w:rsid w:val="0084406A"/>
    <w:rsid w:val="00845CE8"/>
    <w:rsid w:val="00856537"/>
    <w:rsid w:val="00887CF3"/>
    <w:rsid w:val="008A7B58"/>
    <w:rsid w:val="008B0502"/>
    <w:rsid w:val="008B46BF"/>
    <w:rsid w:val="008B52A2"/>
    <w:rsid w:val="008D35B6"/>
    <w:rsid w:val="008F7FA1"/>
    <w:rsid w:val="00905CE3"/>
    <w:rsid w:val="009702E4"/>
    <w:rsid w:val="009B6CA0"/>
    <w:rsid w:val="009C3E46"/>
    <w:rsid w:val="009C48A5"/>
    <w:rsid w:val="009D0366"/>
    <w:rsid w:val="009E3A0E"/>
    <w:rsid w:val="00A37FB0"/>
    <w:rsid w:val="00A452B0"/>
    <w:rsid w:val="00A5747D"/>
    <w:rsid w:val="00A6047A"/>
    <w:rsid w:val="00A82978"/>
    <w:rsid w:val="00A83901"/>
    <w:rsid w:val="00A93822"/>
    <w:rsid w:val="00AB17AE"/>
    <w:rsid w:val="00AB33AB"/>
    <w:rsid w:val="00AD3790"/>
    <w:rsid w:val="00AF59AE"/>
    <w:rsid w:val="00B23986"/>
    <w:rsid w:val="00B3354A"/>
    <w:rsid w:val="00BF3FD1"/>
    <w:rsid w:val="00BF7535"/>
    <w:rsid w:val="00C27D2C"/>
    <w:rsid w:val="00C3304E"/>
    <w:rsid w:val="00C37E1C"/>
    <w:rsid w:val="00C5754A"/>
    <w:rsid w:val="00C77EA8"/>
    <w:rsid w:val="00C87BB8"/>
    <w:rsid w:val="00CC38F8"/>
    <w:rsid w:val="00CC6A6B"/>
    <w:rsid w:val="00CD50D8"/>
    <w:rsid w:val="00D043F0"/>
    <w:rsid w:val="00D064C5"/>
    <w:rsid w:val="00D111BC"/>
    <w:rsid w:val="00D40F7C"/>
    <w:rsid w:val="00D42E4F"/>
    <w:rsid w:val="00D53653"/>
    <w:rsid w:val="00D5460A"/>
    <w:rsid w:val="00D73A1F"/>
    <w:rsid w:val="00D76764"/>
    <w:rsid w:val="00D85DDD"/>
    <w:rsid w:val="00D86394"/>
    <w:rsid w:val="00D86CD3"/>
    <w:rsid w:val="00DC1E9B"/>
    <w:rsid w:val="00E33478"/>
    <w:rsid w:val="00E37CE0"/>
    <w:rsid w:val="00E43D52"/>
    <w:rsid w:val="00EA288E"/>
    <w:rsid w:val="00EC38AB"/>
    <w:rsid w:val="00EC5923"/>
    <w:rsid w:val="00EE1586"/>
    <w:rsid w:val="00EF1AB0"/>
    <w:rsid w:val="00F10AE7"/>
    <w:rsid w:val="00F26AA4"/>
    <w:rsid w:val="00F35A86"/>
    <w:rsid w:val="00F40DD6"/>
    <w:rsid w:val="00FA34E1"/>
    <w:rsid w:val="00FA3BB1"/>
    <w:rsid w:val="00FA6D18"/>
    <w:rsid w:val="00FD04A2"/>
    <w:rsid w:val="00FD1976"/>
    <w:rsid w:val="00FD19C2"/>
    <w:rsid w:val="00FF46CE"/>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FB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CE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E37CE0"/>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E37CE0"/>
    <w:rPr>
      <w:rFonts w:ascii="Calibri" w:eastAsia="Calibri" w:hAnsi="Calibri" w:cs="Times New Roman"/>
      <w:kern w:val="0"/>
      <w14:ligatures w14:val="none"/>
    </w:rPr>
  </w:style>
  <w:style w:type="paragraph" w:styleId="Footer">
    <w:name w:val="footer"/>
    <w:basedOn w:val="Normal"/>
    <w:link w:val="FooterChar"/>
    <w:unhideWhenUsed/>
    <w:rsid w:val="00E37CE0"/>
    <w:pPr>
      <w:tabs>
        <w:tab w:val="center" w:pos="4680"/>
        <w:tab w:val="right" w:pos="9360"/>
      </w:tabs>
      <w:spacing w:after="0" w:line="240" w:lineRule="auto"/>
    </w:pPr>
  </w:style>
  <w:style w:type="character" w:customStyle="1" w:styleId="FooterChar">
    <w:name w:val="Footer Char"/>
    <w:basedOn w:val="DefaultParagraphFont"/>
    <w:link w:val="Footer"/>
    <w:rsid w:val="00E37CE0"/>
    <w:rPr>
      <w:rFonts w:ascii="Calibri" w:eastAsia="Calibri" w:hAnsi="Calibri" w:cs="Times New Roman"/>
      <w:kern w:val="0"/>
      <w14:ligatures w14:val="none"/>
    </w:rPr>
  </w:style>
  <w:style w:type="character" w:styleId="Hyperlink">
    <w:name w:val="Hyperlink"/>
    <w:rsid w:val="00E37CE0"/>
    <w:rPr>
      <w:color w:val="0000FF"/>
      <w:u w:val="single"/>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Parragrap,D"/>
    <w:link w:val="ListParagraphChar"/>
    <w:uiPriority w:val="99"/>
    <w:qFormat/>
    <w:rsid w:val="00E37CE0"/>
    <w:pPr>
      <w:pBdr>
        <w:top w:val="nil"/>
        <w:left w:val="nil"/>
        <w:bottom w:val="nil"/>
        <w:right w:val="nil"/>
        <w:between w:val="nil"/>
        <w:bar w:val="nil"/>
      </w:pBdr>
      <w:spacing w:after="0" w:line="240" w:lineRule="auto"/>
      <w:ind w:left="720"/>
    </w:pPr>
    <w:rPr>
      <w:rFonts w:ascii="Cambria" w:eastAsia="Cambria" w:hAnsi="Cambria" w:cs="Cambria"/>
      <w:color w:val="000000"/>
      <w:kern w:val="0"/>
      <w:sz w:val="24"/>
      <w:szCs w:val="24"/>
      <w:u w:color="000000"/>
      <w:bdr w:val="nil"/>
      <w:lang w:eastAsia="es-ES"/>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99"/>
    <w:qFormat/>
    <w:locked/>
    <w:rsid w:val="00E37CE0"/>
    <w:rPr>
      <w:rFonts w:ascii="Cambria" w:eastAsia="Cambria" w:hAnsi="Cambria" w:cs="Cambria"/>
      <w:color w:val="000000"/>
      <w:kern w:val="0"/>
      <w:sz w:val="24"/>
      <w:szCs w:val="24"/>
      <w:u w:color="000000"/>
      <w:bdr w:val="nil"/>
      <w:lang w:eastAsia="es-ES"/>
      <w14:ligatures w14:val="none"/>
    </w:rPr>
  </w:style>
  <w:style w:type="paragraph" w:customStyle="1" w:styleId="parrafos">
    <w:name w:val="parrafos"/>
    <w:basedOn w:val="Normal"/>
    <w:link w:val="parrafosChar"/>
    <w:qFormat/>
    <w:rsid w:val="00E37CE0"/>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E37CE0"/>
    <w:rPr>
      <w:rFonts w:ascii="Cambria" w:eastAsia="Arial Unicode MS" w:hAnsi="Cambria" w:cs="Times New Roman"/>
      <w:color w:val="000000"/>
      <w:kern w:val="0"/>
      <w:sz w:val="20"/>
      <w:szCs w:val="20"/>
      <w:bdr w:val="nil"/>
      <w:lang w:val="es-VE"/>
      <w14:ligatures w14:val="none"/>
    </w:rPr>
  </w:style>
  <w:style w:type="paragraph" w:styleId="HTMLPreformatted">
    <w:name w:val="HTML Preformatted"/>
    <w:basedOn w:val="Normal"/>
    <w:link w:val="HTMLPreformattedChar"/>
    <w:uiPriority w:val="99"/>
    <w:unhideWhenUsed/>
    <w:rsid w:val="00E3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37CE0"/>
    <w:rPr>
      <w:rFonts w:ascii="Courier New" w:eastAsia="Times New Roman" w:hAnsi="Courier New" w:cs="Courier New"/>
      <w:kern w:val="0"/>
      <w:sz w:val="20"/>
      <w:szCs w:val="20"/>
      <w14:ligatures w14:val="none"/>
    </w:rPr>
  </w:style>
  <w:style w:type="numbering" w:customStyle="1" w:styleId="List19">
    <w:name w:val="List 19"/>
    <w:basedOn w:val="NoList"/>
    <w:rsid w:val="00E37CE0"/>
    <w:pPr>
      <w:numPr>
        <w:numId w:val="1"/>
      </w:numPr>
    </w:pPr>
  </w:style>
  <w:style w:type="character" w:styleId="Emphasis">
    <w:name w:val="Emphasis"/>
    <w:uiPriority w:val="20"/>
    <w:qFormat/>
    <w:rsid w:val="00E37CE0"/>
    <w:rPr>
      <w:i/>
      <w:iCs/>
    </w:rPr>
  </w:style>
  <w:style w:type="character" w:styleId="UnresolvedMention">
    <w:name w:val="Unresolved Mention"/>
    <w:basedOn w:val="DefaultParagraphFont"/>
    <w:uiPriority w:val="99"/>
    <w:semiHidden/>
    <w:unhideWhenUsed/>
    <w:rsid w:val="00A45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1E5AD-75B0-4293-BAE9-D9AC689D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2327</Words>
  <Characters>13270</Characters>
  <Application>Microsoft Office Word</Application>
  <DocSecurity>0</DocSecurity>
  <Lines>110</Lines>
  <Paragraphs>31</Paragraphs>
  <ScaleCrop>false</ScaleCrop>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2025-01-23T19:54:00Z</dcterms:created>
  <dcterms:modified xsi:type="dcterms:W3CDTF">2025-01-23T19:54:00Z</dcterms:modified>
</cp:coreProperties>
</file>